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0670" w14:textId="653943F1" w:rsidR="009B7AE0" w:rsidRDefault="009B7AE0" w:rsidP="00AD6463">
      <w:pPr>
        <w:spacing w:line="360" w:lineRule="auto"/>
        <w:jc w:val="both"/>
        <w:rPr>
          <w:rFonts w:ascii="Arial" w:hAnsi="Arial" w:cs="Arial"/>
          <w:b/>
          <w:bCs/>
        </w:rPr>
      </w:pPr>
      <w:r w:rsidRPr="00816BE2">
        <w:rPr>
          <w:noProof/>
          <w:lang w:val="en-ZA" w:eastAsia="en-ZA"/>
        </w:rPr>
        <w:drawing>
          <wp:anchor distT="0" distB="0" distL="114300" distR="114300" simplePos="0" relativeHeight="251659264" behindDoc="0" locked="0" layoutInCell="1" allowOverlap="1" wp14:anchorId="1CE9EC83" wp14:editId="441C754C">
            <wp:simplePos x="0" y="0"/>
            <wp:positionH relativeFrom="page">
              <wp:posOffset>3486150</wp:posOffset>
            </wp:positionH>
            <wp:positionV relativeFrom="paragraph">
              <wp:posOffset>133350</wp:posOffset>
            </wp:positionV>
            <wp:extent cx="799465" cy="914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14:paraId="60F067B7" w14:textId="77777777" w:rsidR="00AD6463" w:rsidRPr="00816BE2" w:rsidRDefault="00AD6463" w:rsidP="00AD6463">
      <w:pPr>
        <w:spacing w:line="360" w:lineRule="auto"/>
        <w:jc w:val="both"/>
        <w:rPr>
          <w:rFonts w:ascii="Arial" w:hAnsi="Arial" w:cs="Arial"/>
          <w:b/>
          <w:bCs/>
        </w:rPr>
      </w:pPr>
    </w:p>
    <w:p w14:paraId="390CB8A0" w14:textId="77777777" w:rsidR="009B7AE0" w:rsidRPr="00816BE2" w:rsidRDefault="009B7AE0" w:rsidP="009B7AE0">
      <w:pPr>
        <w:spacing w:line="360" w:lineRule="auto"/>
        <w:rPr>
          <w:rFonts w:ascii="Arial" w:hAnsi="Arial" w:cs="Arial"/>
          <w:b/>
          <w:bCs/>
        </w:rPr>
      </w:pPr>
      <w:r w:rsidRPr="00816BE2">
        <w:rPr>
          <w:rFonts w:ascii="Arial" w:hAnsi="Arial" w:cs="Arial"/>
          <w:b/>
          <w:bCs/>
        </w:rPr>
        <w:br/>
      </w:r>
    </w:p>
    <w:p w14:paraId="3813A5F8" w14:textId="77777777" w:rsidR="009B7AE0" w:rsidRPr="00816BE2" w:rsidRDefault="009B7AE0" w:rsidP="009B7AE0">
      <w:pPr>
        <w:spacing w:line="360" w:lineRule="auto"/>
        <w:rPr>
          <w:rFonts w:ascii="Arial" w:hAnsi="Arial" w:cs="Arial"/>
          <w:b/>
          <w:bCs/>
        </w:rPr>
      </w:pPr>
    </w:p>
    <w:p w14:paraId="64D2FEBF" w14:textId="77777777" w:rsidR="00DE7EE5" w:rsidRPr="00816BE2" w:rsidRDefault="00DE7EE5" w:rsidP="009B7AE0">
      <w:pPr>
        <w:spacing w:line="360" w:lineRule="auto"/>
        <w:jc w:val="center"/>
        <w:rPr>
          <w:rFonts w:ascii="Arial" w:hAnsi="Arial" w:cs="Arial"/>
          <w:b/>
          <w:bCs/>
        </w:rPr>
      </w:pPr>
    </w:p>
    <w:p w14:paraId="0D83D58F" w14:textId="77777777" w:rsidR="009B7AE0" w:rsidRPr="00816BE2" w:rsidRDefault="009B7AE0" w:rsidP="009B7AE0">
      <w:pPr>
        <w:spacing w:line="360" w:lineRule="auto"/>
        <w:jc w:val="center"/>
        <w:rPr>
          <w:rFonts w:ascii="Arial" w:hAnsi="Arial" w:cs="Arial"/>
          <w:b/>
          <w:bCs/>
        </w:rPr>
      </w:pPr>
      <w:r w:rsidRPr="00816BE2">
        <w:rPr>
          <w:rFonts w:ascii="Arial" w:hAnsi="Arial" w:cs="Arial"/>
          <w:b/>
          <w:bCs/>
        </w:rPr>
        <w:t>THE SUPREME COURT OF APPEAL OF SOUTH AFRICA</w:t>
      </w:r>
    </w:p>
    <w:p w14:paraId="15A47F35" w14:textId="77777777" w:rsidR="009B7AE0" w:rsidRPr="00816BE2" w:rsidRDefault="009B7AE0" w:rsidP="009B7AE0">
      <w:pPr>
        <w:pStyle w:val="Heading3"/>
        <w:jc w:val="center"/>
        <w:rPr>
          <w:b/>
          <w:i w:val="0"/>
          <w:sz w:val="24"/>
        </w:rPr>
      </w:pPr>
      <w:r w:rsidRPr="00816BE2">
        <w:rPr>
          <w:b/>
          <w:i w:val="0"/>
          <w:sz w:val="24"/>
        </w:rPr>
        <w:t>JUDGMENT</w:t>
      </w:r>
    </w:p>
    <w:p w14:paraId="62B0C6D4" w14:textId="77777777" w:rsidR="00DE7EE5" w:rsidRPr="00816BE2" w:rsidRDefault="00DE7EE5" w:rsidP="00DE7EE5"/>
    <w:p w14:paraId="32C8A429" w14:textId="77DAD1B5" w:rsidR="009B7AE0" w:rsidRPr="00816BE2" w:rsidRDefault="009B7AE0" w:rsidP="0069716F">
      <w:pPr>
        <w:spacing w:line="276" w:lineRule="auto"/>
        <w:jc w:val="right"/>
        <w:rPr>
          <w:rFonts w:ascii="Arial" w:hAnsi="Arial" w:cs="Arial"/>
          <w:b/>
        </w:rPr>
      </w:pPr>
      <w:r w:rsidRPr="00816BE2">
        <w:rPr>
          <w:rFonts w:ascii="Arial" w:hAnsi="Arial" w:cs="Arial"/>
          <w:b/>
        </w:rPr>
        <w:t>Reportable</w:t>
      </w:r>
    </w:p>
    <w:p w14:paraId="564E7702" w14:textId="77777777" w:rsidR="009B7AE0" w:rsidRPr="00816BE2" w:rsidRDefault="009B7AE0" w:rsidP="0069716F">
      <w:pPr>
        <w:spacing w:line="276" w:lineRule="auto"/>
        <w:jc w:val="right"/>
        <w:rPr>
          <w:rFonts w:ascii="Arial" w:hAnsi="Arial" w:cs="Arial"/>
        </w:rPr>
      </w:pPr>
      <w:r w:rsidRPr="00816BE2">
        <w:rPr>
          <w:rFonts w:ascii="Arial" w:hAnsi="Arial" w:cs="Arial"/>
        </w:rPr>
        <w:t>Case no: 1196/2022</w:t>
      </w:r>
    </w:p>
    <w:p w14:paraId="1B3877D2" w14:textId="77777777" w:rsidR="009B7AE0" w:rsidRPr="00816BE2" w:rsidRDefault="009B7AE0" w:rsidP="009B7AE0">
      <w:pPr>
        <w:spacing w:line="360" w:lineRule="auto"/>
        <w:rPr>
          <w:rFonts w:ascii="Arial" w:hAnsi="Arial" w:cs="Arial"/>
        </w:rPr>
      </w:pPr>
    </w:p>
    <w:p w14:paraId="605982F0" w14:textId="77777777" w:rsidR="009B7AE0" w:rsidRPr="00816BE2" w:rsidRDefault="009B7AE0" w:rsidP="007E0F07">
      <w:pPr>
        <w:spacing w:after="120" w:line="276" w:lineRule="auto"/>
        <w:rPr>
          <w:rFonts w:ascii="Arial" w:hAnsi="Arial" w:cs="Arial"/>
        </w:rPr>
      </w:pPr>
      <w:r w:rsidRPr="00816BE2">
        <w:rPr>
          <w:rFonts w:ascii="Arial" w:hAnsi="Arial" w:cs="Arial"/>
        </w:rPr>
        <w:t>In the matter between:</w:t>
      </w:r>
    </w:p>
    <w:p w14:paraId="65010E3F" w14:textId="77777777" w:rsidR="009B7AE0" w:rsidRPr="00816BE2" w:rsidRDefault="009B7AE0" w:rsidP="0069716F">
      <w:pPr>
        <w:tabs>
          <w:tab w:val="right" w:pos="9356"/>
        </w:tabs>
        <w:spacing w:line="360" w:lineRule="auto"/>
        <w:jc w:val="both"/>
        <w:rPr>
          <w:rFonts w:ascii="Arial" w:hAnsi="Arial" w:cs="Arial"/>
          <w:b/>
        </w:rPr>
      </w:pPr>
      <w:r w:rsidRPr="00816BE2">
        <w:rPr>
          <w:rFonts w:ascii="Arial" w:hAnsi="Arial" w:cs="Arial"/>
          <w:b/>
          <w:bCs/>
        </w:rPr>
        <w:t xml:space="preserve">KAPEEL BECHAN       </w:t>
      </w:r>
      <w:r w:rsidRPr="00816BE2">
        <w:rPr>
          <w:rFonts w:ascii="Arial" w:hAnsi="Arial" w:cs="Arial"/>
          <w:b/>
          <w:bCs/>
        </w:rPr>
        <w:tab/>
        <w:t xml:space="preserve">FIRST </w:t>
      </w:r>
      <w:r w:rsidRPr="00816BE2">
        <w:rPr>
          <w:rFonts w:ascii="Arial" w:hAnsi="Arial" w:cs="Arial"/>
          <w:b/>
        </w:rPr>
        <w:t>APPELLANT</w:t>
      </w:r>
    </w:p>
    <w:p w14:paraId="748C77A7" w14:textId="77777777" w:rsidR="009B7AE0" w:rsidRPr="00816BE2" w:rsidRDefault="009B7AE0" w:rsidP="0069716F">
      <w:pPr>
        <w:tabs>
          <w:tab w:val="right" w:pos="9356"/>
        </w:tabs>
        <w:spacing w:line="360" w:lineRule="auto"/>
        <w:jc w:val="both"/>
        <w:rPr>
          <w:rFonts w:ascii="Arial" w:hAnsi="Arial" w:cs="Arial"/>
          <w:b/>
        </w:rPr>
      </w:pPr>
      <w:r w:rsidRPr="00816BE2">
        <w:rPr>
          <w:rFonts w:ascii="Arial" w:hAnsi="Arial" w:cs="Arial"/>
          <w:b/>
        </w:rPr>
        <w:t xml:space="preserve">BECHAN CONSULTING (PTY) LTD           </w:t>
      </w:r>
      <w:r w:rsidRPr="00816BE2">
        <w:rPr>
          <w:rFonts w:ascii="Arial" w:hAnsi="Arial" w:cs="Arial"/>
          <w:b/>
        </w:rPr>
        <w:tab/>
        <w:t>SECOND APPELLANT</w:t>
      </w:r>
    </w:p>
    <w:p w14:paraId="4BD729AB" w14:textId="77777777" w:rsidR="009B7AE0" w:rsidRPr="00816BE2" w:rsidRDefault="009B7AE0" w:rsidP="0069716F">
      <w:pPr>
        <w:spacing w:before="120" w:after="120" w:line="276" w:lineRule="auto"/>
        <w:rPr>
          <w:rFonts w:ascii="Arial" w:hAnsi="Arial" w:cs="Arial"/>
        </w:rPr>
      </w:pPr>
      <w:r w:rsidRPr="00816BE2">
        <w:rPr>
          <w:rFonts w:ascii="Arial" w:hAnsi="Arial" w:cs="Arial"/>
        </w:rPr>
        <w:t>and</w:t>
      </w:r>
    </w:p>
    <w:p w14:paraId="18666375" w14:textId="77777777" w:rsidR="009B7AE0" w:rsidRPr="00816BE2" w:rsidRDefault="009B7AE0" w:rsidP="0069716F">
      <w:pPr>
        <w:tabs>
          <w:tab w:val="right" w:pos="9356"/>
        </w:tabs>
        <w:spacing w:after="80" w:line="360" w:lineRule="auto"/>
        <w:rPr>
          <w:rFonts w:ascii="Arial" w:hAnsi="Arial" w:cs="Arial"/>
          <w:b/>
        </w:rPr>
      </w:pPr>
      <w:r w:rsidRPr="00816BE2">
        <w:rPr>
          <w:rFonts w:ascii="Arial" w:hAnsi="Arial" w:cs="Arial"/>
          <w:b/>
          <w:bCs/>
        </w:rPr>
        <w:t>SARS CUSTOMS INVESTIGATIONS UNIT</w:t>
      </w:r>
      <w:r w:rsidRPr="00816BE2">
        <w:rPr>
          <w:rFonts w:ascii="Arial" w:hAnsi="Arial" w:cs="Arial"/>
          <w:b/>
          <w:bCs/>
        </w:rPr>
        <w:tab/>
        <w:t xml:space="preserve">FIRST </w:t>
      </w:r>
      <w:r w:rsidRPr="00816BE2">
        <w:rPr>
          <w:rFonts w:ascii="Arial" w:hAnsi="Arial" w:cs="Arial"/>
          <w:b/>
        </w:rPr>
        <w:t>RESPONDENT</w:t>
      </w:r>
    </w:p>
    <w:p w14:paraId="2B024D48" w14:textId="77777777" w:rsidR="009B7AE0" w:rsidRPr="00816BE2" w:rsidRDefault="009B7AE0" w:rsidP="0069716F">
      <w:pPr>
        <w:tabs>
          <w:tab w:val="right" w:pos="9356"/>
        </w:tabs>
        <w:spacing w:after="80" w:line="360" w:lineRule="auto"/>
        <w:rPr>
          <w:rFonts w:ascii="Arial" w:hAnsi="Arial" w:cs="Arial"/>
          <w:b/>
        </w:rPr>
      </w:pPr>
      <w:r w:rsidRPr="00816BE2">
        <w:rPr>
          <w:rFonts w:ascii="Arial" w:hAnsi="Arial" w:cs="Arial"/>
          <w:b/>
        </w:rPr>
        <w:t>SARS TACTICAL INVESTIGATIONS UNIT</w:t>
      </w:r>
      <w:r w:rsidRPr="00816BE2">
        <w:rPr>
          <w:rFonts w:ascii="Arial" w:hAnsi="Arial" w:cs="Arial"/>
          <w:b/>
        </w:rPr>
        <w:tab/>
        <w:t>SECOND RESPONDENT</w:t>
      </w:r>
    </w:p>
    <w:p w14:paraId="125B8B77" w14:textId="77777777" w:rsidR="009B7AE0" w:rsidRPr="00816BE2" w:rsidRDefault="009B7AE0" w:rsidP="0069716F">
      <w:pPr>
        <w:pStyle w:val="NormalIndent"/>
        <w:spacing w:after="80" w:line="360" w:lineRule="auto"/>
        <w:ind w:left="0"/>
        <w:rPr>
          <w:rFonts w:ascii="Arial" w:hAnsi="Arial" w:cs="Arial"/>
          <w:b/>
          <w:sz w:val="24"/>
          <w:szCs w:val="24"/>
        </w:rPr>
      </w:pPr>
      <w:r w:rsidRPr="00816BE2">
        <w:rPr>
          <w:rFonts w:ascii="Arial" w:hAnsi="Arial" w:cs="Arial"/>
          <w:b/>
          <w:sz w:val="24"/>
          <w:szCs w:val="24"/>
        </w:rPr>
        <w:t xml:space="preserve">TANYA POTGIETER ─ SARS ILLICIT ECONOMY UNIT </w:t>
      </w:r>
      <w:r w:rsidRPr="00816BE2">
        <w:rPr>
          <w:rFonts w:ascii="Arial" w:hAnsi="Arial" w:cs="Arial"/>
          <w:b/>
          <w:sz w:val="24"/>
          <w:szCs w:val="24"/>
        </w:rPr>
        <w:tab/>
        <w:t xml:space="preserve"> THIRD RESPONDENT</w:t>
      </w:r>
    </w:p>
    <w:p w14:paraId="5D021292" w14:textId="77777777" w:rsidR="009B7AE0" w:rsidRPr="00816BE2" w:rsidRDefault="009B7AE0" w:rsidP="0069716F">
      <w:pPr>
        <w:pStyle w:val="NormalIndent"/>
        <w:spacing w:after="80" w:line="360" w:lineRule="auto"/>
        <w:ind w:left="0"/>
        <w:rPr>
          <w:rFonts w:ascii="Arial" w:hAnsi="Arial" w:cs="Arial"/>
          <w:b/>
          <w:sz w:val="24"/>
          <w:szCs w:val="24"/>
        </w:rPr>
      </w:pPr>
      <w:r w:rsidRPr="00816BE2">
        <w:rPr>
          <w:rFonts w:ascii="Arial" w:hAnsi="Arial" w:cs="Arial"/>
          <w:b/>
          <w:sz w:val="24"/>
          <w:szCs w:val="24"/>
        </w:rPr>
        <w:t>LINDIWE SHIBINDI ─ SARS ILLICIT ECONOMY UNIT         FOURTH RESPONDENT</w:t>
      </w:r>
    </w:p>
    <w:p w14:paraId="338F49AD" w14:textId="77777777" w:rsidR="009B7AE0" w:rsidRPr="00816BE2" w:rsidRDefault="009B7AE0" w:rsidP="0069716F">
      <w:pPr>
        <w:pStyle w:val="NormalIndent"/>
        <w:spacing w:after="80" w:line="360" w:lineRule="auto"/>
        <w:ind w:left="0"/>
        <w:rPr>
          <w:rFonts w:ascii="Arial" w:hAnsi="Arial" w:cs="Arial"/>
          <w:b/>
          <w:sz w:val="24"/>
          <w:szCs w:val="24"/>
        </w:rPr>
      </w:pPr>
      <w:r w:rsidRPr="00816BE2">
        <w:rPr>
          <w:rFonts w:ascii="Arial" w:hAnsi="Arial" w:cs="Arial"/>
          <w:b/>
          <w:sz w:val="24"/>
          <w:szCs w:val="24"/>
        </w:rPr>
        <w:t xml:space="preserve">MINISTER OF POLICE                     </w:t>
      </w:r>
      <w:r w:rsidRPr="00816BE2">
        <w:rPr>
          <w:rFonts w:ascii="Arial" w:hAnsi="Arial" w:cs="Arial"/>
          <w:b/>
          <w:sz w:val="24"/>
          <w:szCs w:val="24"/>
        </w:rPr>
        <w:tab/>
      </w:r>
      <w:r w:rsidRPr="00816BE2">
        <w:rPr>
          <w:rFonts w:ascii="Arial" w:hAnsi="Arial" w:cs="Arial"/>
          <w:b/>
          <w:sz w:val="24"/>
          <w:szCs w:val="24"/>
        </w:rPr>
        <w:tab/>
      </w:r>
      <w:r w:rsidRPr="00816BE2">
        <w:rPr>
          <w:rFonts w:ascii="Arial" w:hAnsi="Arial" w:cs="Arial"/>
          <w:b/>
          <w:sz w:val="24"/>
          <w:szCs w:val="24"/>
        </w:rPr>
        <w:tab/>
        <w:t xml:space="preserve">             FIFTH RESPONDENT</w:t>
      </w:r>
    </w:p>
    <w:p w14:paraId="1B0A3523" w14:textId="77777777" w:rsidR="009B7AE0" w:rsidRPr="00816BE2" w:rsidRDefault="009B7AE0" w:rsidP="0069716F">
      <w:pPr>
        <w:pStyle w:val="NormalIndent"/>
        <w:spacing w:after="80" w:line="360" w:lineRule="auto"/>
        <w:ind w:left="0"/>
        <w:rPr>
          <w:rFonts w:ascii="Arial" w:hAnsi="Arial" w:cs="Arial"/>
          <w:b/>
          <w:sz w:val="24"/>
          <w:szCs w:val="24"/>
        </w:rPr>
      </w:pPr>
      <w:r w:rsidRPr="00816BE2">
        <w:rPr>
          <w:rFonts w:ascii="Arial" w:hAnsi="Arial" w:cs="Arial"/>
          <w:b/>
          <w:sz w:val="24"/>
          <w:szCs w:val="24"/>
        </w:rPr>
        <w:t>HAWKS SPECIAL INVESTIGATION UNIT                                      SIXTH RESPONDENT</w:t>
      </w:r>
    </w:p>
    <w:p w14:paraId="71A53789" w14:textId="77777777" w:rsidR="009B7AE0" w:rsidRPr="00816BE2" w:rsidRDefault="009B7AE0" w:rsidP="009B7AE0">
      <w:pPr>
        <w:pStyle w:val="FootnoteText"/>
        <w:spacing w:line="360" w:lineRule="auto"/>
        <w:rPr>
          <w:rFonts w:ascii="Arial" w:hAnsi="Arial" w:cs="Arial"/>
          <w:sz w:val="24"/>
          <w:szCs w:val="24"/>
        </w:rPr>
      </w:pPr>
    </w:p>
    <w:p w14:paraId="6A5068F8" w14:textId="25D32584" w:rsidR="009B7AE0" w:rsidRPr="00816BE2" w:rsidRDefault="009B7AE0" w:rsidP="0069716F">
      <w:pPr>
        <w:spacing w:line="360" w:lineRule="auto"/>
        <w:ind w:left="2160" w:hanging="2160"/>
        <w:jc w:val="both"/>
        <w:rPr>
          <w:rFonts w:ascii="Arial" w:hAnsi="Arial" w:cs="Arial"/>
        </w:rPr>
      </w:pPr>
      <w:r w:rsidRPr="00816BE2">
        <w:rPr>
          <w:rFonts w:ascii="Arial" w:hAnsi="Arial" w:cs="Arial"/>
          <w:b/>
          <w:bCs/>
        </w:rPr>
        <w:t>Neutral citation:</w:t>
      </w:r>
      <w:r w:rsidRPr="00816BE2">
        <w:rPr>
          <w:rFonts w:ascii="Arial" w:hAnsi="Arial" w:cs="Arial"/>
          <w:b/>
          <w:bCs/>
        </w:rPr>
        <w:tab/>
      </w:r>
      <w:proofErr w:type="spellStart"/>
      <w:r w:rsidRPr="00816BE2">
        <w:rPr>
          <w:rFonts w:ascii="Arial" w:hAnsi="Arial" w:cs="Arial"/>
          <w:bCs/>
          <w:i/>
        </w:rPr>
        <w:t>Bechan</w:t>
      </w:r>
      <w:proofErr w:type="spellEnd"/>
      <w:r w:rsidR="00E53951" w:rsidRPr="00816BE2">
        <w:rPr>
          <w:rFonts w:ascii="Arial" w:hAnsi="Arial" w:cs="Arial"/>
          <w:bCs/>
          <w:i/>
        </w:rPr>
        <w:t xml:space="preserve"> and Another</w:t>
      </w:r>
      <w:r w:rsidRPr="00816BE2">
        <w:rPr>
          <w:rFonts w:ascii="Arial" w:hAnsi="Arial" w:cs="Arial"/>
          <w:bCs/>
          <w:i/>
        </w:rPr>
        <w:t xml:space="preserve"> v SARS Customs Investigations Unit</w:t>
      </w:r>
      <w:r w:rsidR="00E53951" w:rsidRPr="00816BE2">
        <w:rPr>
          <w:rFonts w:ascii="Arial" w:hAnsi="Arial" w:cs="Arial"/>
          <w:bCs/>
          <w:i/>
        </w:rPr>
        <w:t xml:space="preserve"> and Others</w:t>
      </w:r>
      <w:r w:rsidRPr="00816BE2">
        <w:rPr>
          <w:rFonts w:ascii="Arial" w:hAnsi="Arial" w:cs="Arial"/>
          <w:bCs/>
          <w:i/>
        </w:rPr>
        <w:t xml:space="preserve"> </w:t>
      </w:r>
      <w:r w:rsidRPr="00816BE2">
        <w:rPr>
          <w:rFonts w:ascii="Arial" w:hAnsi="Arial" w:cs="Arial"/>
          <w:bCs/>
        </w:rPr>
        <w:t>(1196/2022) [202</w:t>
      </w:r>
      <w:r w:rsidR="0093396C" w:rsidRPr="00816BE2">
        <w:rPr>
          <w:rFonts w:ascii="Arial" w:hAnsi="Arial" w:cs="Arial"/>
          <w:bCs/>
        </w:rPr>
        <w:t>4</w:t>
      </w:r>
      <w:r w:rsidRPr="00816BE2">
        <w:rPr>
          <w:rFonts w:ascii="Arial" w:hAnsi="Arial" w:cs="Arial"/>
          <w:bCs/>
        </w:rPr>
        <w:t xml:space="preserve">] ZASCA </w:t>
      </w:r>
      <w:r w:rsidR="00B2123E">
        <w:rPr>
          <w:rFonts w:ascii="Arial" w:hAnsi="Arial" w:cs="Arial"/>
          <w:bCs/>
        </w:rPr>
        <w:t>20</w:t>
      </w:r>
      <w:r w:rsidRPr="00816BE2">
        <w:rPr>
          <w:rFonts w:ascii="Arial" w:hAnsi="Arial" w:cs="Arial"/>
          <w:bCs/>
        </w:rPr>
        <w:t xml:space="preserve"> (</w:t>
      </w:r>
      <w:r w:rsidR="00B2123E">
        <w:rPr>
          <w:rFonts w:ascii="Arial" w:hAnsi="Arial" w:cs="Arial"/>
          <w:bCs/>
        </w:rPr>
        <w:t>05</w:t>
      </w:r>
      <w:r w:rsidR="00816BE2">
        <w:rPr>
          <w:rFonts w:ascii="Arial" w:hAnsi="Arial" w:cs="Arial"/>
          <w:bCs/>
        </w:rPr>
        <w:t xml:space="preserve"> </w:t>
      </w:r>
      <w:r w:rsidR="00B2123E">
        <w:rPr>
          <w:rFonts w:ascii="Arial" w:hAnsi="Arial" w:cs="Arial"/>
          <w:bCs/>
        </w:rPr>
        <w:t>March</w:t>
      </w:r>
      <w:r w:rsidRPr="00816BE2">
        <w:rPr>
          <w:rFonts w:ascii="Arial" w:hAnsi="Arial" w:cs="Arial"/>
          <w:bCs/>
        </w:rPr>
        <w:t xml:space="preserve"> 202</w:t>
      </w:r>
      <w:r w:rsidR="0093396C" w:rsidRPr="00816BE2">
        <w:rPr>
          <w:rFonts w:ascii="Arial" w:hAnsi="Arial" w:cs="Arial"/>
          <w:bCs/>
        </w:rPr>
        <w:t>4</w:t>
      </w:r>
      <w:r w:rsidRPr="00816BE2">
        <w:rPr>
          <w:rFonts w:ascii="Arial" w:hAnsi="Arial" w:cs="Arial"/>
          <w:bCs/>
        </w:rPr>
        <w:t>)</w:t>
      </w:r>
    </w:p>
    <w:p w14:paraId="29D7E902" w14:textId="2DB66AB8" w:rsidR="009B7AE0" w:rsidRPr="00816BE2" w:rsidRDefault="009B7AE0" w:rsidP="0069716F">
      <w:pPr>
        <w:spacing w:line="360" w:lineRule="auto"/>
        <w:ind w:left="1276" w:hanging="1276"/>
        <w:jc w:val="both"/>
        <w:rPr>
          <w:rFonts w:ascii="Arial" w:hAnsi="Arial" w:cs="Arial"/>
          <w:b/>
          <w:bCs/>
          <w:i/>
          <w:iCs/>
        </w:rPr>
      </w:pPr>
      <w:r w:rsidRPr="00816BE2">
        <w:rPr>
          <w:rFonts w:ascii="Arial" w:hAnsi="Arial" w:cs="Arial"/>
          <w:b/>
          <w:bCs/>
        </w:rPr>
        <w:t>Coram:</w:t>
      </w:r>
      <w:r w:rsidRPr="00816BE2">
        <w:rPr>
          <w:rFonts w:ascii="Arial" w:hAnsi="Arial" w:cs="Arial"/>
        </w:rPr>
        <w:tab/>
        <w:t>PETSE DP, MBATHA and MATOJANE JJA</w:t>
      </w:r>
      <w:r w:rsidR="00371D33" w:rsidRPr="00816BE2">
        <w:rPr>
          <w:rFonts w:ascii="Arial" w:hAnsi="Arial" w:cs="Arial"/>
        </w:rPr>
        <w:t xml:space="preserve"> and</w:t>
      </w:r>
      <w:r w:rsidRPr="00816BE2">
        <w:rPr>
          <w:rFonts w:ascii="Arial" w:hAnsi="Arial" w:cs="Arial"/>
        </w:rPr>
        <w:t xml:space="preserve"> KATHREE-SETILOANE and KEIGHTLEY AJJA</w:t>
      </w:r>
    </w:p>
    <w:p w14:paraId="5B12AF51" w14:textId="6A4CEBA1" w:rsidR="009B7AE0" w:rsidRPr="00816BE2" w:rsidRDefault="009B7AE0" w:rsidP="0069716F">
      <w:pPr>
        <w:tabs>
          <w:tab w:val="left" w:pos="1276"/>
        </w:tabs>
        <w:spacing w:line="360" w:lineRule="auto"/>
        <w:jc w:val="both"/>
        <w:rPr>
          <w:rFonts w:ascii="Arial" w:hAnsi="Arial" w:cs="Arial"/>
          <w:bCs/>
        </w:rPr>
      </w:pPr>
      <w:r w:rsidRPr="00816BE2">
        <w:rPr>
          <w:rFonts w:ascii="Arial" w:hAnsi="Arial" w:cs="Arial"/>
          <w:b/>
          <w:bCs/>
        </w:rPr>
        <w:t>Heard</w:t>
      </w:r>
      <w:r w:rsidRPr="00816BE2">
        <w:rPr>
          <w:rFonts w:ascii="Arial" w:hAnsi="Arial" w:cs="Arial"/>
          <w:b/>
        </w:rPr>
        <w:t>:</w:t>
      </w:r>
      <w:r w:rsidRPr="00816BE2">
        <w:rPr>
          <w:rFonts w:ascii="Arial" w:hAnsi="Arial" w:cs="Arial"/>
          <w:b/>
        </w:rPr>
        <w:tab/>
      </w:r>
      <w:r w:rsidRPr="00816BE2">
        <w:rPr>
          <w:rFonts w:ascii="Arial" w:hAnsi="Arial" w:cs="Arial"/>
        </w:rPr>
        <w:t>2</w:t>
      </w:r>
      <w:r w:rsidR="00566745" w:rsidRPr="00816BE2">
        <w:rPr>
          <w:rFonts w:ascii="Arial" w:hAnsi="Arial" w:cs="Arial"/>
        </w:rPr>
        <w:t>2</w:t>
      </w:r>
      <w:r w:rsidRPr="00816BE2">
        <w:rPr>
          <w:rFonts w:ascii="Arial" w:hAnsi="Arial" w:cs="Arial"/>
        </w:rPr>
        <w:t xml:space="preserve"> November 2023</w:t>
      </w:r>
    </w:p>
    <w:p w14:paraId="76DC9C1A" w14:textId="34513CD0" w:rsidR="009B7AE0" w:rsidRPr="00816BE2" w:rsidRDefault="009B7AE0" w:rsidP="0069716F">
      <w:pPr>
        <w:tabs>
          <w:tab w:val="left" w:pos="1276"/>
        </w:tabs>
        <w:spacing w:line="360" w:lineRule="auto"/>
        <w:jc w:val="both"/>
        <w:rPr>
          <w:rFonts w:ascii="Arial" w:hAnsi="Arial" w:cs="Arial"/>
          <w:b/>
          <w:bCs/>
        </w:rPr>
      </w:pPr>
      <w:r w:rsidRPr="00816BE2">
        <w:rPr>
          <w:rFonts w:ascii="Arial" w:hAnsi="Arial" w:cs="Arial"/>
          <w:b/>
          <w:bCs/>
        </w:rPr>
        <w:t>Delivered</w:t>
      </w:r>
      <w:r w:rsidRPr="00816BE2">
        <w:rPr>
          <w:rFonts w:ascii="Arial" w:hAnsi="Arial" w:cs="Arial"/>
          <w:b/>
        </w:rPr>
        <w:t>:</w:t>
      </w:r>
      <w:r w:rsidRPr="00816BE2">
        <w:rPr>
          <w:rFonts w:ascii="Arial" w:hAnsi="Arial" w:cs="Arial"/>
        </w:rPr>
        <w:tab/>
      </w:r>
      <w:r w:rsidR="00B2123E">
        <w:rPr>
          <w:rFonts w:ascii="Arial" w:hAnsi="Arial" w:cs="Arial"/>
        </w:rPr>
        <w:t>05</w:t>
      </w:r>
      <w:r w:rsidRPr="00816BE2">
        <w:rPr>
          <w:rFonts w:ascii="Arial" w:hAnsi="Arial" w:cs="Arial"/>
        </w:rPr>
        <w:t xml:space="preserve"> </w:t>
      </w:r>
      <w:r w:rsidR="00B2123E">
        <w:rPr>
          <w:rFonts w:ascii="Arial" w:hAnsi="Arial" w:cs="Arial"/>
        </w:rPr>
        <w:t xml:space="preserve">March </w:t>
      </w:r>
      <w:r w:rsidRPr="00816BE2">
        <w:rPr>
          <w:rFonts w:ascii="Arial" w:hAnsi="Arial" w:cs="Arial"/>
        </w:rPr>
        <w:t>202</w:t>
      </w:r>
      <w:r w:rsidR="0093396C" w:rsidRPr="00816BE2">
        <w:rPr>
          <w:rFonts w:ascii="Arial" w:hAnsi="Arial" w:cs="Arial"/>
        </w:rPr>
        <w:t>4</w:t>
      </w:r>
    </w:p>
    <w:p w14:paraId="1A56ACF8" w14:textId="6AD23865" w:rsidR="009B7AE0" w:rsidRPr="00816BE2" w:rsidRDefault="009B7AE0" w:rsidP="0069716F">
      <w:pPr>
        <w:tabs>
          <w:tab w:val="left" w:pos="1276"/>
        </w:tabs>
        <w:spacing w:line="360" w:lineRule="auto"/>
        <w:jc w:val="both"/>
        <w:rPr>
          <w:rFonts w:ascii="Arial" w:hAnsi="Arial" w:cs="Arial"/>
        </w:rPr>
      </w:pPr>
      <w:r w:rsidRPr="00816BE2">
        <w:rPr>
          <w:rFonts w:ascii="Arial" w:hAnsi="Arial" w:cs="Arial"/>
          <w:b/>
          <w:bCs/>
        </w:rPr>
        <w:t>Summary:</w:t>
      </w:r>
      <w:r w:rsidR="009C04C6" w:rsidRPr="00816BE2">
        <w:rPr>
          <w:rFonts w:ascii="Arial" w:hAnsi="Arial" w:cs="Arial"/>
          <w:b/>
          <w:bCs/>
        </w:rPr>
        <w:tab/>
      </w:r>
      <w:r w:rsidR="00816BE2" w:rsidRPr="00C22D73">
        <w:rPr>
          <w:rFonts w:ascii="Arial" w:hAnsi="Arial" w:cs="Arial"/>
        </w:rPr>
        <w:t>Search and seizure – Tax Administration Act 28 of 2011 (the TAA) – interpretation – ss 59(1) and 60(1)</w:t>
      </w:r>
      <w:r w:rsidRPr="00816BE2">
        <w:rPr>
          <w:rFonts w:ascii="Arial" w:hAnsi="Arial" w:cs="Arial"/>
        </w:rPr>
        <w:t xml:space="preserve"> </w:t>
      </w:r>
      <w:r w:rsidR="00371D33" w:rsidRPr="00816BE2">
        <w:rPr>
          <w:rFonts w:ascii="Arial" w:hAnsi="Arial" w:cs="Arial"/>
        </w:rPr>
        <w:t>–</w:t>
      </w:r>
      <w:r w:rsidR="00FC67A4">
        <w:rPr>
          <w:rFonts w:ascii="Arial" w:hAnsi="Arial" w:cs="Arial"/>
        </w:rPr>
        <w:t xml:space="preserve"> </w:t>
      </w:r>
      <w:r w:rsidRPr="00816BE2">
        <w:rPr>
          <w:rFonts w:ascii="Arial" w:hAnsi="Arial" w:cs="Arial"/>
        </w:rPr>
        <w:t>execution of a warrant against third parties on premises identified in the warrant</w:t>
      </w:r>
      <w:r w:rsidR="00371D33" w:rsidRPr="00816BE2">
        <w:rPr>
          <w:rFonts w:ascii="Arial" w:hAnsi="Arial" w:cs="Arial"/>
        </w:rPr>
        <w:t xml:space="preserve"> –</w:t>
      </w:r>
      <w:r w:rsidR="00130D6B">
        <w:rPr>
          <w:rFonts w:ascii="Arial" w:hAnsi="Arial" w:cs="Arial"/>
        </w:rPr>
        <w:t xml:space="preserve"> </w:t>
      </w:r>
      <w:r w:rsidR="00371D33" w:rsidRPr="00816BE2">
        <w:rPr>
          <w:rFonts w:ascii="Arial" w:hAnsi="Arial" w:cs="Arial"/>
        </w:rPr>
        <w:t>s</w:t>
      </w:r>
      <w:r w:rsidRPr="00816BE2">
        <w:rPr>
          <w:rFonts w:ascii="Arial" w:hAnsi="Arial" w:cs="Arial"/>
        </w:rPr>
        <w:t xml:space="preserve"> 61(3)</w:t>
      </w:r>
      <w:r w:rsidRPr="00B2123E">
        <w:rPr>
          <w:rFonts w:ascii="Arial" w:hAnsi="Arial" w:cs="Arial"/>
          <w:i/>
          <w:iCs/>
        </w:rPr>
        <w:t xml:space="preserve">(a) </w:t>
      </w:r>
      <w:r w:rsidRPr="00816BE2">
        <w:rPr>
          <w:rFonts w:ascii="Arial" w:hAnsi="Arial" w:cs="Arial"/>
        </w:rPr>
        <w:t xml:space="preserve">of TAA </w:t>
      </w:r>
      <w:r w:rsidR="00371D33" w:rsidRPr="00816BE2">
        <w:rPr>
          <w:rFonts w:ascii="Arial" w:hAnsi="Arial" w:cs="Arial"/>
        </w:rPr>
        <w:t>–</w:t>
      </w:r>
      <w:r w:rsidRPr="00816BE2">
        <w:rPr>
          <w:rFonts w:ascii="Arial" w:hAnsi="Arial" w:cs="Arial"/>
        </w:rPr>
        <w:t xml:space="preserve"> </w:t>
      </w:r>
      <w:r w:rsidR="00566745" w:rsidRPr="00816BE2">
        <w:rPr>
          <w:rFonts w:ascii="Arial" w:hAnsi="Arial" w:cs="Arial"/>
        </w:rPr>
        <w:t>permit</w:t>
      </w:r>
      <w:r w:rsidR="00566745" w:rsidRPr="00C22D73">
        <w:rPr>
          <w:rFonts w:ascii="Arial" w:hAnsi="Arial" w:cs="Arial"/>
        </w:rPr>
        <w:t>s</w:t>
      </w:r>
      <w:r w:rsidRPr="00C22D73">
        <w:rPr>
          <w:rFonts w:ascii="Arial" w:hAnsi="Arial" w:cs="Arial"/>
        </w:rPr>
        <w:t xml:space="preserve"> s</w:t>
      </w:r>
      <w:r w:rsidRPr="00816BE2">
        <w:rPr>
          <w:rFonts w:ascii="Arial" w:hAnsi="Arial" w:cs="Arial"/>
        </w:rPr>
        <w:t xml:space="preserve">earch </w:t>
      </w:r>
      <w:r w:rsidR="009C7DCC" w:rsidRPr="00816BE2">
        <w:rPr>
          <w:rFonts w:ascii="Arial" w:hAnsi="Arial" w:cs="Arial"/>
        </w:rPr>
        <w:t xml:space="preserve">of </w:t>
      </w:r>
      <w:r w:rsidR="001130A6" w:rsidRPr="00816BE2">
        <w:rPr>
          <w:rFonts w:ascii="Arial" w:hAnsi="Arial" w:cs="Arial"/>
        </w:rPr>
        <w:t>anything on</w:t>
      </w:r>
      <w:r w:rsidRPr="00816BE2">
        <w:rPr>
          <w:rFonts w:ascii="Arial" w:hAnsi="Arial" w:cs="Arial"/>
        </w:rPr>
        <w:t xml:space="preserve"> </w:t>
      </w:r>
      <w:r w:rsidR="005C6FD8" w:rsidRPr="00816BE2">
        <w:rPr>
          <w:rFonts w:ascii="Arial" w:hAnsi="Arial" w:cs="Arial"/>
        </w:rPr>
        <w:t xml:space="preserve">the </w:t>
      </w:r>
      <w:r w:rsidRPr="00816BE2">
        <w:rPr>
          <w:rFonts w:ascii="Arial" w:hAnsi="Arial" w:cs="Arial"/>
        </w:rPr>
        <w:t>premises</w:t>
      </w:r>
      <w:r w:rsidR="009C7DCC" w:rsidRPr="00816BE2">
        <w:rPr>
          <w:rFonts w:ascii="Arial" w:hAnsi="Arial" w:cs="Arial"/>
        </w:rPr>
        <w:t xml:space="preserve"> </w:t>
      </w:r>
      <w:r w:rsidR="005C6FD8" w:rsidRPr="00816BE2">
        <w:rPr>
          <w:rFonts w:ascii="Arial" w:hAnsi="Arial" w:cs="Arial"/>
        </w:rPr>
        <w:t xml:space="preserve">identified in the warrant </w:t>
      </w:r>
      <w:r w:rsidRPr="00816BE2">
        <w:rPr>
          <w:rFonts w:ascii="Arial" w:hAnsi="Arial" w:cs="Arial"/>
        </w:rPr>
        <w:t>including motor vehicle</w:t>
      </w:r>
      <w:r w:rsidR="00371D33" w:rsidRPr="00816BE2">
        <w:rPr>
          <w:rFonts w:ascii="Arial" w:hAnsi="Arial" w:cs="Arial"/>
        </w:rPr>
        <w:t xml:space="preserve"> </w:t>
      </w:r>
      <w:r w:rsidRPr="00816BE2">
        <w:rPr>
          <w:rFonts w:ascii="Arial" w:hAnsi="Arial" w:cs="Arial"/>
        </w:rPr>
        <w:t>parked on the premises</w:t>
      </w:r>
      <w:r w:rsidR="00BD7C86" w:rsidRPr="00816BE2">
        <w:rPr>
          <w:rFonts w:ascii="Arial" w:hAnsi="Arial" w:cs="Arial"/>
        </w:rPr>
        <w:t xml:space="preserve"> on suspicion</w:t>
      </w:r>
      <w:r w:rsidR="009C7DCC" w:rsidRPr="00816BE2">
        <w:rPr>
          <w:rFonts w:ascii="Arial" w:hAnsi="Arial" w:cs="Arial"/>
        </w:rPr>
        <w:t xml:space="preserve"> </w:t>
      </w:r>
      <w:r w:rsidRPr="00816BE2">
        <w:rPr>
          <w:rFonts w:ascii="Arial" w:hAnsi="Arial" w:cs="Arial"/>
        </w:rPr>
        <w:t xml:space="preserve">that it contains material relevant to </w:t>
      </w:r>
      <w:r w:rsidR="009C7DCC" w:rsidRPr="00816BE2">
        <w:rPr>
          <w:rFonts w:ascii="Arial" w:hAnsi="Arial" w:cs="Arial"/>
        </w:rPr>
        <w:t xml:space="preserve">the </w:t>
      </w:r>
      <w:r w:rsidRPr="00816BE2">
        <w:rPr>
          <w:rFonts w:ascii="Arial" w:hAnsi="Arial" w:cs="Arial"/>
        </w:rPr>
        <w:t>taxpayer.</w:t>
      </w:r>
    </w:p>
    <w:p w14:paraId="1C46671D" w14:textId="665F0AFC" w:rsidR="009E5EF8" w:rsidRPr="00816BE2" w:rsidRDefault="00E53951" w:rsidP="0024472E">
      <w:pPr>
        <w:jc w:val="both"/>
        <w:rPr>
          <w:rFonts w:ascii="Arial" w:hAnsi="Arial" w:cs="Arial"/>
          <w:bCs/>
        </w:rPr>
      </w:pPr>
      <w:r w:rsidRPr="00816BE2">
        <w:rPr>
          <w:rFonts w:ascii="Arial" w:hAnsi="Arial" w:cs="Arial"/>
        </w:rPr>
        <w:br w:type="page"/>
      </w:r>
      <w:r w:rsidR="009E5EF8" w:rsidRPr="00816BE2">
        <w:rPr>
          <w:rFonts w:ascii="Arial" w:hAnsi="Arial" w:cs="Arial"/>
          <w:bCs/>
        </w:rPr>
        <w:lastRenderedPageBreak/>
        <w:t>___________________________________________________________________</w:t>
      </w:r>
    </w:p>
    <w:p w14:paraId="53EE7835" w14:textId="77777777" w:rsidR="0024472E" w:rsidRPr="00816BE2" w:rsidRDefault="0024472E" w:rsidP="0024472E">
      <w:pPr>
        <w:jc w:val="center"/>
        <w:rPr>
          <w:rFonts w:ascii="Arial" w:hAnsi="Arial" w:cs="Arial"/>
          <w:b/>
          <w:bCs/>
        </w:rPr>
      </w:pPr>
    </w:p>
    <w:p w14:paraId="7E867DB0" w14:textId="77777777" w:rsidR="0024472E" w:rsidRPr="00816BE2" w:rsidRDefault="0024472E" w:rsidP="0024472E">
      <w:pPr>
        <w:jc w:val="center"/>
        <w:rPr>
          <w:rFonts w:ascii="Arial" w:hAnsi="Arial" w:cs="Arial"/>
          <w:b/>
          <w:bCs/>
        </w:rPr>
      </w:pPr>
      <w:r w:rsidRPr="00816BE2">
        <w:rPr>
          <w:rFonts w:ascii="Arial" w:hAnsi="Arial" w:cs="Arial"/>
          <w:b/>
          <w:bCs/>
        </w:rPr>
        <w:t>ORDER</w:t>
      </w:r>
    </w:p>
    <w:p w14:paraId="0890D37C" w14:textId="77777777" w:rsidR="0024472E" w:rsidRPr="00816BE2" w:rsidRDefault="0024472E" w:rsidP="0024472E">
      <w:pPr>
        <w:rPr>
          <w:rFonts w:ascii="Arial" w:hAnsi="Arial" w:cs="Arial"/>
          <w:bCs/>
        </w:rPr>
      </w:pPr>
      <w:r w:rsidRPr="00816BE2">
        <w:rPr>
          <w:rFonts w:ascii="Arial" w:hAnsi="Arial" w:cs="Arial"/>
          <w:bCs/>
        </w:rPr>
        <w:t>___________________________________________________________________</w:t>
      </w:r>
    </w:p>
    <w:p w14:paraId="370DE9FB" w14:textId="77777777" w:rsidR="0024472E" w:rsidRPr="00816BE2" w:rsidRDefault="0024472E" w:rsidP="007D7309">
      <w:pPr>
        <w:jc w:val="both"/>
        <w:rPr>
          <w:rFonts w:ascii="Arial" w:hAnsi="Arial" w:cs="Arial"/>
          <w:b/>
          <w:bCs/>
        </w:rPr>
      </w:pPr>
    </w:p>
    <w:p w14:paraId="2BD602EC" w14:textId="77777777" w:rsidR="009B7AE0" w:rsidRPr="00816BE2" w:rsidRDefault="009E5EF8" w:rsidP="007D7309">
      <w:pPr>
        <w:spacing w:line="360" w:lineRule="auto"/>
        <w:jc w:val="both"/>
        <w:rPr>
          <w:rFonts w:ascii="Arial" w:hAnsi="Arial" w:cs="Arial"/>
          <w:bCs/>
        </w:rPr>
      </w:pPr>
      <w:r w:rsidRPr="00816BE2">
        <w:rPr>
          <w:rFonts w:ascii="Arial" w:hAnsi="Arial" w:cs="Arial"/>
          <w:b/>
          <w:bCs/>
        </w:rPr>
        <w:t>O</w:t>
      </w:r>
      <w:r w:rsidR="009B7AE0" w:rsidRPr="00816BE2">
        <w:rPr>
          <w:rFonts w:ascii="Arial" w:hAnsi="Arial" w:cs="Arial"/>
          <w:b/>
          <w:bCs/>
        </w:rPr>
        <w:t>n appeal from:</w:t>
      </w:r>
      <w:r w:rsidR="009B7AE0" w:rsidRPr="00816BE2">
        <w:rPr>
          <w:rFonts w:ascii="Arial" w:hAnsi="Arial" w:cs="Arial"/>
          <w:bCs/>
        </w:rPr>
        <w:t xml:space="preserve"> Gauteng Division of the High Court, Pretoria (Millar J, sitting as court of first instance): </w:t>
      </w:r>
    </w:p>
    <w:p w14:paraId="4C3AEF2D" w14:textId="2623C59F" w:rsidR="009B7AE0" w:rsidRPr="00816BE2" w:rsidRDefault="009B7AE0" w:rsidP="007D7309">
      <w:pPr>
        <w:spacing w:line="360" w:lineRule="auto"/>
        <w:jc w:val="both"/>
        <w:rPr>
          <w:rFonts w:ascii="Arial" w:hAnsi="Arial" w:cs="Arial"/>
        </w:rPr>
      </w:pPr>
      <w:r w:rsidRPr="00816BE2">
        <w:rPr>
          <w:rFonts w:ascii="Arial" w:hAnsi="Arial" w:cs="Arial"/>
        </w:rPr>
        <w:t>The appeal is dismissed with costs, including those of two counsel</w:t>
      </w:r>
      <w:r w:rsidR="0069716F" w:rsidRPr="00816BE2">
        <w:rPr>
          <w:rFonts w:ascii="Arial" w:hAnsi="Arial" w:cs="Arial"/>
        </w:rPr>
        <w:t>.</w:t>
      </w:r>
    </w:p>
    <w:p w14:paraId="0BF66A37" w14:textId="77777777" w:rsidR="00011180" w:rsidRPr="00816BE2" w:rsidRDefault="00011180" w:rsidP="007D7309">
      <w:pPr>
        <w:jc w:val="both"/>
        <w:rPr>
          <w:rFonts w:ascii="Arial" w:hAnsi="Arial" w:cs="Arial"/>
        </w:rPr>
      </w:pPr>
      <w:r w:rsidRPr="00816BE2">
        <w:rPr>
          <w:rFonts w:ascii="Arial" w:hAnsi="Arial" w:cs="Arial"/>
        </w:rPr>
        <w:t>___________________________________________________________________</w:t>
      </w:r>
    </w:p>
    <w:p w14:paraId="075583CB" w14:textId="77777777" w:rsidR="007D7309" w:rsidRPr="00816BE2" w:rsidRDefault="007D7309" w:rsidP="007D7309">
      <w:pPr>
        <w:jc w:val="center"/>
        <w:rPr>
          <w:rFonts w:ascii="Arial" w:hAnsi="Arial" w:cs="Arial"/>
          <w:b/>
        </w:rPr>
      </w:pPr>
    </w:p>
    <w:p w14:paraId="76ADC4FB" w14:textId="77777777" w:rsidR="009B7AE0" w:rsidRPr="00816BE2" w:rsidRDefault="007D7309" w:rsidP="007D7309">
      <w:pPr>
        <w:jc w:val="center"/>
        <w:rPr>
          <w:rFonts w:ascii="Arial" w:hAnsi="Arial" w:cs="Arial"/>
          <w:b/>
        </w:rPr>
      </w:pPr>
      <w:r w:rsidRPr="00816BE2">
        <w:rPr>
          <w:rFonts w:ascii="Arial" w:hAnsi="Arial" w:cs="Arial"/>
          <w:b/>
        </w:rPr>
        <w:t>J</w:t>
      </w:r>
      <w:r w:rsidR="00011180" w:rsidRPr="00816BE2">
        <w:rPr>
          <w:rFonts w:ascii="Arial" w:hAnsi="Arial" w:cs="Arial"/>
          <w:b/>
        </w:rPr>
        <w:t>UDGMENT</w:t>
      </w:r>
    </w:p>
    <w:p w14:paraId="036AC0E8" w14:textId="77777777" w:rsidR="00011180" w:rsidRPr="00816BE2" w:rsidRDefault="00011180" w:rsidP="007D7309">
      <w:r w:rsidRPr="00816BE2">
        <w:t>___________________________________________________________________________</w:t>
      </w:r>
    </w:p>
    <w:p w14:paraId="3177312A" w14:textId="77777777" w:rsidR="007D7309" w:rsidRPr="00816BE2" w:rsidRDefault="007D7309" w:rsidP="007D7309">
      <w:pPr>
        <w:rPr>
          <w:rFonts w:ascii="Arial" w:hAnsi="Arial" w:cs="Arial"/>
          <w:b/>
        </w:rPr>
      </w:pPr>
    </w:p>
    <w:p w14:paraId="44A5EA87" w14:textId="7492709D" w:rsidR="009B7AE0" w:rsidRPr="00816BE2" w:rsidRDefault="009B7AE0" w:rsidP="007D7309">
      <w:pPr>
        <w:rPr>
          <w:rFonts w:ascii="Arial" w:hAnsi="Arial" w:cs="Arial"/>
          <w:b/>
        </w:rPr>
      </w:pPr>
      <w:proofErr w:type="spellStart"/>
      <w:r w:rsidRPr="00816BE2">
        <w:rPr>
          <w:rFonts w:ascii="Arial" w:hAnsi="Arial" w:cs="Arial"/>
          <w:b/>
        </w:rPr>
        <w:t>Kathree-Setiloane</w:t>
      </w:r>
      <w:proofErr w:type="spellEnd"/>
      <w:r w:rsidRPr="00816BE2">
        <w:rPr>
          <w:rFonts w:ascii="Arial" w:hAnsi="Arial" w:cs="Arial"/>
          <w:b/>
        </w:rPr>
        <w:t xml:space="preserve"> AJA </w:t>
      </w:r>
      <w:r w:rsidR="00847DEB">
        <w:rPr>
          <w:rFonts w:ascii="Arial" w:hAnsi="Arial" w:cs="Arial"/>
          <w:b/>
        </w:rPr>
        <w:t>(</w:t>
      </w:r>
      <w:proofErr w:type="spellStart"/>
      <w:r w:rsidR="00A353E5">
        <w:rPr>
          <w:rFonts w:ascii="Arial" w:hAnsi="Arial" w:cs="Arial"/>
          <w:b/>
        </w:rPr>
        <w:t>Petse</w:t>
      </w:r>
      <w:proofErr w:type="spellEnd"/>
      <w:r w:rsidR="00A353E5">
        <w:rPr>
          <w:rFonts w:ascii="Arial" w:hAnsi="Arial" w:cs="Arial"/>
          <w:b/>
        </w:rPr>
        <w:t xml:space="preserve"> DP</w:t>
      </w:r>
      <w:r w:rsidR="00657433">
        <w:rPr>
          <w:rFonts w:ascii="Arial" w:hAnsi="Arial" w:cs="Arial"/>
          <w:b/>
        </w:rPr>
        <w:t xml:space="preserve">, </w:t>
      </w:r>
      <w:r w:rsidR="00D521DA">
        <w:rPr>
          <w:rFonts w:ascii="Arial" w:hAnsi="Arial" w:cs="Arial"/>
          <w:b/>
        </w:rPr>
        <w:t>Mbatha</w:t>
      </w:r>
      <w:r w:rsidR="006D25A4">
        <w:rPr>
          <w:rFonts w:ascii="Arial" w:hAnsi="Arial" w:cs="Arial"/>
          <w:b/>
        </w:rPr>
        <w:t xml:space="preserve"> and </w:t>
      </w:r>
      <w:proofErr w:type="spellStart"/>
      <w:r w:rsidR="00BE6FE6">
        <w:rPr>
          <w:rFonts w:ascii="Arial" w:hAnsi="Arial" w:cs="Arial"/>
          <w:b/>
        </w:rPr>
        <w:t>Matojane</w:t>
      </w:r>
      <w:proofErr w:type="spellEnd"/>
      <w:r w:rsidR="00BE6FE6">
        <w:rPr>
          <w:rFonts w:ascii="Arial" w:hAnsi="Arial" w:cs="Arial"/>
          <w:b/>
        </w:rPr>
        <w:t xml:space="preserve"> </w:t>
      </w:r>
      <w:r w:rsidR="009F24D1">
        <w:rPr>
          <w:rFonts w:ascii="Arial" w:hAnsi="Arial" w:cs="Arial"/>
          <w:b/>
        </w:rPr>
        <w:t xml:space="preserve">JJA and Keightley AJA </w:t>
      </w:r>
      <w:r w:rsidRPr="00816BE2">
        <w:rPr>
          <w:rFonts w:ascii="Arial" w:hAnsi="Arial" w:cs="Arial"/>
          <w:b/>
        </w:rPr>
        <w:t>concurring):</w:t>
      </w:r>
    </w:p>
    <w:p w14:paraId="2C2327D1" w14:textId="77777777" w:rsidR="009B7AE0" w:rsidRPr="00816BE2" w:rsidRDefault="009B7AE0" w:rsidP="009B7AE0">
      <w:pPr>
        <w:spacing w:line="360" w:lineRule="auto"/>
        <w:rPr>
          <w:rFonts w:ascii="Arial" w:hAnsi="Arial" w:cs="Arial"/>
        </w:rPr>
      </w:pPr>
    </w:p>
    <w:p w14:paraId="5BBB508B" w14:textId="3D858EC8"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[1]</w:t>
      </w:r>
      <w:r w:rsidRPr="00816BE2">
        <w:rPr>
          <w:rFonts w:ascii="Arial" w:hAnsi="Arial" w:cs="Arial"/>
        </w:rPr>
        <w:tab/>
      </w:r>
      <w:r w:rsidR="009B7AE0" w:rsidRPr="00816BE2">
        <w:rPr>
          <w:rFonts w:ascii="Arial" w:hAnsi="Arial" w:cs="Arial"/>
        </w:rPr>
        <w:t xml:space="preserve">The first appellant is Mr </w:t>
      </w:r>
      <w:proofErr w:type="spellStart"/>
      <w:r w:rsidR="009B7AE0" w:rsidRPr="00816BE2">
        <w:rPr>
          <w:rFonts w:ascii="Arial" w:hAnsi="Arial" w:cs="Arial"/>
        </w:rPr>
        <w:t>Kapeel</w:t>
      </w:r>
      <w:proofErr w:type="spellEnd"/>
      <w:r w:rsidR="009B7AE0" w:rsidRPr="00816BE2">
        <w:rPr>
          <w:rFonts w:ascii="Arial" w:hAnsi="Arial" w:cs="Arial"/>
        </w:rPr>
        <w:t xml:space="preserve"> </w:t>
      </w:r>
      <w:proofErr w:type="spellStart"/>
      <w:r w:rsidR="009B7AE0" w:rsidRPr="00816BE2">
        <w:rPr>
          <w:rFonts w:ascii="Arial" w:hAnsi="Arial" w:cs="Arial"/>
        </w:rPr>
        <w:t>Bechan</w:t>
      </w:r>
      <w:proofErr w:type="spellEnd"/>
      <w:r w:rsidR="009B7AE0" w:rsidRPr="00816BE2">
        <w:rPr>
          <w:rFonts w:ascii="Arial" w:hAnsi="Arial" w:cs="Arial"/>
        </w:rPr>
        <w:t xml:space="preserve">. He is the sole director of the second appellant, </w:t>
      </w:r>
      <w:proofErr w:type="spellStart"/>
      <w:r w:rsidR="009B7AE0" w:rsidRPr="00816BE2">
        <w:rPr>
          <w:rFonts w:ascii="Arial" w:hAnsi="Arial" w:cs="Arial"/>
        </w:rPr>
        <w:t>Bechan</w:t>
      </w:r>
      <w:proofErr w:type="spellEnd"/>
      <w:r w:rsidR="009B7AE0" w:rsidRPr="00816BE2">
        <w:rPr>
          <w:rFonts w:ascii="Arial" w:hAnsi="Arial" w:cs="Arial"/>
        </w:rPr>
        <w:t xml:space="preserve"> Consulting (Pty) Ltd.</w:t>
      </w:r>
      <w:r w:rsidR="009B7AE0" w:rsidRPr="00816BE2">
        <w:rPr>
          <w:rStyle w:val="FootnoteReference"/>
          <w:rFonts w:ascii="Arial" w:hAnsi="Arial" w:cs="Arial"/>
        </w:rPr>
        <w:footnoteReference w:id="1"/>
      </w:r>
      <w:r w:rsidR="00566745" w:rsidRPr="00816BE2">
        <w:rPr>
          <w:rFonts w:ascii="Arial" w:hAnsi="Arial" w:cs="Arial"/>
        </w:rPr>
        <w:t xml:space="preserve"> The first </w:t>
      </w:r>
      <w:r w:rsidR="00816BE2" w:rsidRPr="00C22D73">
        <w:rPr>
          <w:rFonts w:ascii="Arial" w:hAnsi="Arial" w:cs="Arial"/>
        </w:rPr>
        <w:t>and second</w:t>
      </w:r>
      <w:r w:rsidR="00566745" w:rsidRPr="00816BE2">
        <w:rPr>
          <w:rFonts w:ascii="Arial" w:hAnsi="Arial" w:cs="Arial"/>
        </w:rPr>
        <w:t xml:space="preserve"> respondents are divisions within the South African Revenue Service (SARS</w:t>
      </w:r>
      <w:r w:rsidR="00566745" w:rsidRPr="00C22D73">
        <w:rPr>
          <w:rFonts w:ascii="Arial" w:hAnsi="Arial" w:cs="Arial"/>
        </w:rPr>
        <w:t>)</w:t>
      </w:r>
      <w:r w:rsidR="00816BE2" w:rsidRPr="00C22D73">
        <w:rPr>
          <w:rFonts w:ascii="Arial" w:hAnsi="Arial" w:cs="Arial"/>
        </w:rPr>
        <w:t>, whilst the third and fourth respondents are SARS officials attached to the SARS’ Illicit Economy Unit, also a division of SARS</w:t>
      </w:r>
      <w:r w:rsidR="00566745" w:rsidRPr="00816BE2">
        <w:rPr>
          <w:rFonts w:ascii="Arial" w:hAnsi="Arial" w:cs="Arial"/>
        </w:rPr>
        <w:t>.</w:t>
      </w:r>
      <w:r w:rsidR="00566745" w:rsidRPr="00816BE2">
        <w:rPr>
          <w:rStyle w:val="FootnoteReference"/>
          <w:rFonts w:ascii="Arial" w:hAnsi="Arial" w:cs="Arial"/>
        </w:rPr>
        <w:footnoteReference w:id="2"/>
      </w:r>
      <w:r w:rsidR="009B7AE0" w:rsidRPr="00816BE2">
        <w:rPr>
          <w:rFonts w:ascii="Arial" w:hAnsi="Arial" w:cs="Arial"/>
        </w:rPr>
        <w:t xml:space="preserve"> The appellants </w:t>
      </w:r>
      <w:r w:rsidR="0093396C" w:rsidRPr="00816BE2">
        <w:rPr>
          <w:rFonts w:ascii="Arial" w:hAnsi="Arial" w:cs="Arial"/>
        </w:rPr>
        <w:t xml:space="preserve">applied </w:t>
      </w:r>
      <w:r w:rsidR="009B7AE0" w:rsidRPr="00816BE2">
        <w:rPr>
          <w:rFonts w:ascii="Arial" w:hAnsi="Arial" w:cs="Arial"/>
        </w:rPr>
        <w:t xml:space="preserve">to the Gauteng Division of the High Court, Pretoria (high court) for </w:t>
      </w:r>
      <w:r w:rsidR="00460229" w:rsidRPr="00816BE2">
        <w:rPr>
          <w:rFonts w:ascii="Arial" w:hAnsi="Arial" w:cs="Arial"/>
        </w:rPr>
        <w:t xml:space="preserve">relief, by way of the </w:t>
      </w:r>
      <w:proofErr w:type="spellStart"/>
      <w:r w:rsidR="00460229" w:rsidRPr="00816BE2">
        <w:rPr>
          <w:rFonts w:ascii="Arial" w:hAnsi="Arial" w:cs="Arial"/>
          <w:i/>
          <w:iCs/>
        </w:rPr>
        <w:t>mandament</w:t>
      </w:r>
      <w:proofErr w:type="spellEnd"/>
      <w:r w:rsidR="00460229" w:rsidRPr="00816BE2">
        <w:rPr>
          <w:rFonts w:ascii="Arial" w:hAnsi="Arial" w:cs="Arial"/>
          <w:i/>
          <w:iCs/>
        </w:rPr>
        <w:t xml:space="preserve"> van </w:t>
      </w:r>
      <w:proofErr w:type="spellStart"/>
      <w:r w:rsidR="00460229" w:rsidRPr="00816BE2">
        <w:rPr>
          <w:rFonts w:ascii="Arial" w:hAnsi="Arial" w:cs="Arial"/>
          <w:i/>
          <w:iCs/>
        </w:rPr>
        <w:t>spolie</w:t>
      </w:r>
      <w:proofErr w:type="spellEnd"/>
      <w:r w:rsidR="00460229" w:rsidRPr="00816BE2">
        <w:rPr>
          <w:rFonts w:ascii="Arial" w:hAnsi="Arial" w:cs="Arial"/>
        </w:rPr>
        <w:t xml:space="preserve"> (spoliation),</w:t>
      </w:r>
      <w:r w:rsidR="009B7AE0" w:rsidRPr="00816BE2">
        <w:rPr>
          <w:rFonts w:ascii="Arial" w:hAnsi="Arial" w:cs="Arial"/>
        </w:rPr>
        <w:t xml:space="preserve"> compelling </w:t>
      </w:r>
      <w:r w:rsidR="00566745" w:rsidRPr="00816BE2">
        <w:rPr>
          <w:rFonts w:ascii="Arial" w:hAnsi="Arial" w:cs="Arial"/>
        </w:rPr>
        <w:t xml:space="preserve">SARS </w:t>
      </w:r>
      <w:r w:rsidR="009B7AE0" w:rsidRPr="00816BE2">
        <w:rPr>
          <w:rFonts w:ascii="Arial" w:hAnsi="Arial" w:cs="Arial"/>
        </w:rPr>
        <w:t>to return certain item</w:t>
      </w:r>
      <w:r w:rsidR="009B7AE0" w:rsidRPr="00C22D73">
        <w:rPr>
          <w:rFonts w:ascii="Arial" w:hAnsi="Arial" w:cs="Arial"/>
        </w:rPr>
        <w:t>s s</w:t>
      </w:r>
      <w:r w:rsidR="009B7AE0" w:rsidRPr="00816BE2">
        <w:rPr>
          <w:rFonts w:ascii="Arial" w:hAnsi="Arial" w:cs="Arial"/>
        </w:rPr>
        <w:t xml:space="preserve">eized, </w:t>
      </w:r>
      <w:r w:rsidR="0039494D" w:rsidRPr="00816BE2">
        <w:rPr>
          <w:rFonts w:ascii="Arial" w:hAnsi="Arial" w:cs="Arial"/>
        </w:rPr>
        <w:t xml:space="preserve">purportedly </w:t>
      </w:r>
      <w:r w:rsidR="009B7AE0" w:rsidRPr="00816BE2">
        <w:rPr>
          <w:rFonts w:ascii="Arial" w:hAnsi="Arial" w:cs="Arial"/>
        </w:rPr>
        <w:t xml:space="preserve">unlawfully, from Mr </w:t>
      </w:r>
      <w:proofErr w:type="spellStart"/>
      <w:r w:rsidR="009B7AE0" w:rsidRPr="00816BE2">
        <w:rPr>
          <w:rFonts w:ascii="Arial" w:hAnsi="Arial" w:cs="Arial"/>
        </w:rPr>
        <w:t>Bechan’s</w:t>
      </w:r>
      <w:proofErr w:type="spellEnd"/>
      <w:r w:rsidR="009B7AE0" w:rsidRPr="00816BE2">
        <w:rPr>
          <w:rFonts w:ascii="Arial" w:hAnsi="Arial" w:cs="Arial"/>
        </w:rPr>
        <w:t xml:space="preserve"> motor vehicle during the execution of a warrant </w:t>
      </w:r>
      <w:r w:rsidR="0039494D" w:rsidRPr="00816BE2">
        <w:rPr>
          <w:rFonts w:ascii="Arial" w:hAnsi="Arial" w:cs="Arial"/>
        </w:rPr>
        <w:t xml:space="preserve">in respect of </w:t>
      </w:r>
      <w:r w:rsidR="009B7AE0" w:rsidRPr="00816BE2">
        <w:rPr>
          <w:rFonts w:ascii="Arial" w:hAnsi="Arial" w:cs="Arial"/>
        </w:rPr>
        <w:t>Bullion Star (Pty) Ltd (Bullion Star). The high court dismissed the application.</w:t>
      </w:r>
    </w:p>
    <w:p w14:paraId="3C0DD99C" w14:textId="77777777" w:rsidR="009B7AE0" w:rsidRPr="00816BE2" w:rsidRDefault="009B7AE0" w:rsidP="009B7AE0">
      <w:pPr>
        <w:spacing w:line="360" w:lineRule="auto"/>
        <w:jc w:val="both"/>
        <w:rPr>
          <w:rFonts w:ascii="Arial" w:hAnsi="Arial" w:cs="Arial"/>
          <w:b/>
          <w:bCs/>
        </w:rPr>
      </w:pPr>
    </w:p>
    <w:p w14:paraId="7A620BD6" w14:textId="5EC73C5C"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[2]</w:t>
      </w:r>
      <w:r w:rsidRPr="00816BE2">
        <w:rPr>
          <w:rFonts w:ascii="Arial" w:hAnsi="Arial" w:cs="Arial"/>
        </w:rPr>
        <w:tab/>
      </w:r>
      <w:r w:rsidR="009B7AE0" w:rsidRPr="00816BE2">
        <w:rPr>
          <w:rFonts w:ascii="Arial" w:hAnsi="Arial" w:cs="Arial"/>
        </w:rPr>
        <w:t>On 28 March 2022, SARS applied to the high co</w:t>
      </w:r>
      <w:r w:rsidR="00CC59E0" w:rsidRPr="00816BE2">
        <w:rPr>
          <w:rFonts w:ascii="Arial" w:hAnsi="Arial" w:cs="Arial"/>
        </w:rPr>
        <w:t>urt</w:t>
      </w:r>
      <w:r w:rsidR="00351683">
        <w:rPr>
          <w:rFonts w:ascii="Arial" w:hAnsi="Arial" w:cs="Arial"/>
        </w:rPr>
        <w:t xml:space="preserve"> </w:t>
      </w:r>
      <w:r w:rsidR="00351683" w:rsidRPr="00C22D73">
        <w:rPr>
          <w:rFonts w:ascii="Arial" w:hAnsi="Arial" w:cs="Arial"/>
        </w:rPr>
        <w:t>without notice to the appellants</w:t>
      </w:r>
      <w:r w:rsidR="00CC59E0" w:rsidRPr="00816BE2">
        <w:rPr>
          <w:rFonts w:ascii="Arial" w:hAnsi="Arial" w:cs="Arial"/>
        </w:rPr>
        <w:t xml:space="preserve"> for a warrant in terms of s </w:t>
      </w:r>
      <w:r w:rsidR="009B7AE0" w:rsidRPr="00816BE2">
        <w:rPr>
          <w:rFonts w:ascii="Arial" w:hAnsi="Arial" w:cs="Arial"/>
        </w:rPr>
        <w:t xml:space="preserve">59 of the Tax Administration Act 28 of 2011 (the </w:t>
      </w:r>
      <w:r w:rsidR="009B7AE0" w:rsidRPr="00816BE2">
        <w:rPr>
          <w:rFonts w:ascii="Arial" w:hAnsi="Arial" w:cs="Arial"/>
        </w:rPr>
        <w:lastRenderedPageBreak/>
        <w:t>TAA).</w:t>
      </w:r>
      <w:r w:rsidR="00295D3D" w:rsidRPr="00816BE2">
        <w:rPr>
          <w:rStyle w:val="FootnoteReference"/>
          <w:rFonts w:ascii="Arial" w:hAnsi="Arial" w:cs="Arial"/>
        </w:rPr>
        <w:footnoteReference w:id="3"/>
      </w:r>
      <w:r w:rsidR="009B7AE0" w:rsidRPr="00816BE2">
        <w:rPr>
          <w:rFonts w:ascii="Arial" w:hAnsi="Arial" w:cs="Arial"/>
        </w:rPr>
        <w:t xml:space="preserve"> The high court issued the warrant, in terms of s 60</w:t>
      </w:r>
      <w:r w:rsidR="009C04C6" w:rsidRPr="00816BE2">
        <w:rPr>
          <w:rFonts w:ascii="Arial" w:hAnsi="Arial" w:cs="Arial"/>
        </w:rPr>
        <w:t xml:space="preserve"> </w:t>
      </w:r>
      <w:r w:rsidR="009B7AE0" w:rsidRPr="00816BE2">
        <w:rPr>
          <w:rFonts w:ascii="Arial" w:hAnsi="Arial" w:cs="Arial"/>
        </w:rPr>
        <w:t>of the TAA,</w:t>
      </w:r>
      <w:r w:rsidR="00312FD4" w:rsidRPr="00816BE2">
        <w:rPr>
          <w:rStyle w:val="FootnoteReference"/>
          <w:rFonts w:ascii="Arial" w:hAnsi="Arial" w:cs="Arial"/>
        </w:rPr>
        <w:footnoteReference w:id="4"/>
      </w:r>
      <w:r w:rsidR="009B7AE0" w:rsidRPr="00816BE2">
        <w:rPr>
          <w:rFonts w:ascii="Arial" w:hAnsi="Arial" w:cs="Arial"/>
        </w:rPr>
        <w:t xml:space="preserve"> on the basis that there was reason to believe that Bullion Star had</w:t>
      </w:r>
      <w:r w:rsidR="00460229" w:rsidRPr="00816BE2">
        <w:rPr>
          <w:rFonts w:ascii="Arial" w:hAnsi="Arial" w:cs="Arial"/>
        </w:rPr>
        <w:t xml:space="preserve">, amongst others, </w:t>
      </w:r>
      <w:r w:rsidR="009B7AE0" w:rsidRPr="00816BE2">
        <w:rPr>
          <w:rFonts w:ascii="Arial" w:hAnsi="Arial" w:cs="Arial"/>
        </w:rPr>
        <w:t xml:space="preserve">committed various </w:t>
      </w:r>
      <w:r w:rsidR="00460229" w:rsidRPr="00816BE2">
        <w:rPr>
          <w:rFonts w:ascii="Arial" w:hAnsi="Arial" w:cs="Arial"/>
        </w:rPr>
        <w:t xml:space="preserve">tax </w:t>
      </w:r>
      <w:r w:rsidR="009B7AE0" w:rsidRPr="00816BE2">
        <w:rPr>
          <w:rFonts w:ascii="Arial" w:hAnsi="Arial" w:cs="Arial"/>
        </w:rPr>
        <w:t>offences</w:t>
      </w:r>
      <w:r w:rsidR="00460229" w:rsidRPr="00816BE2">
        <w:rPr>
          <w:rFonts w:ascii="Arial" w:hAnsi="Arial" w:cs="Arial"/>
        </w:rPr>
        <w:t>.</w:t>
      </w:r>
      <w:r w:rsidR="009B7AE0" w:rsidRPr="00816BE2">
        <w:rPr>
          <w:rFonts w:ascii="Arial" w:hAnsi="Arial" w:cs="Arial"/>
        </w:rPr>
        <w:t xml:space="preserve"> The warrant authorised SARS officials to search the premises </w:t>
      </w:r>
      <w:r w:rsidR="00A34974" w:rsidRPr="00816BE2">
        <w:rPr>
          <w:rFonts w:ascii="Arial" w:hAnsi="Arial" w:cs="Arial"/>
        </w:rPr>
        <w:t xml:space="preserve">identified as </w:t>
      </w:r>
      <w:r w:rsidR="009B7AE0" w:rsidRPr="00816BE2">
        <w:rPr>
          <w:rFonts w:ascii="Arial" w:hAnsi="Arial" w:cs="Arial"/>
        </w:rPr>
        <w:t>62 Wessels Road, Rivonia, Johannesburg (the premises). It furthermore authorised them, ‘in carrying out the search and seizure of the premises, to open or cause to be opened or remove and open, anythin</w:t>
      </w:r>
      <w:r w:rsidR="009B7AE0" w:rsidRPr="00C22D73">
        <w:rPr>
          <w:rFonts w:ascii="Arial" w:hAnsi="Arial" w:cs="Arial"/>
        </w:rPr>
        <w:t>g w</w:t>
      </w:r>
      <w:r w:rsidR="009B7AE0" w:rsidRPr="00816BE2">
        <w:rPr>
          <w:rFonts w:ascii="Arial" w:hAnsi="Arial" w:cs="Arial"/>
        </w:rPr>
        <w:t>hich the officials suspect to be relevant material</w:t>
      </w:r>
      <w:r w:rsidR="009B7AE0" w:rsidRPr="00816BE2">
        <w:rPr>
          <w:rStyle w:val="FootnoteReference"/>
          <w:rFonts w:ascii="Arial" w:hAnsi="Arial" w:cs="Arial"/>
        </w:rPr>
        <w:footnoteReference w:id="5"/>
      </w:r>
      <w:r w:rsidR="009B7AE0" w:rsidRPr="00816BE2">
        <w:rPr>
          <w:rFonts w:ascii="Arial" w:hAnsi="Arial" w:cs="Arial"/>
        </w:rPr>
        <w:t xml:space="preserve"> of Bullion Star’. </w:t>
      </w:r>
    </w:p>
    <w:p w14:paraId="2075A34E" w14:textId="77777777" w:rsidR="007C32E3" w:rsidRPr="00816BE2" w:rsidRDefault="007C32E3" w:rsidP="007C32E3">
      <w:pPr>
        <w:pStyle w:val="ListParagraph"/>
        <w:spacing w:line="360" w:lineRule="auto"/>
        <w:ind w:left="0"/>
        <w:jc w:val="both"/>
        <w:rPr>
          <w:rFonts w:ascii="Arial" w:hAnsi="Arial" w:cs="Arial"/>
        </w:rPr>
      </w:pPr>
    </w:p>
    <w:p w14:paraId="0B680754" w14:textId="6DC8EA03" w:rsidR="009B33E7" w:rsidRPr="00816BE2" w:rsidRDefault="00CE53A5" w:rsidP="009B33E7">
      <w:pPr>
        <w:pStyle w:val="ListParagraph"/>
        <w:spacing w:line="360" w:lineRule="auto"/>
        <w:ind w:left="0"/>
        <w:jc w:val="both"/>
        <w:rPr>
          <w:rFonts w:ascii="Arial" w:hAnsi="Arial" w:cs="Arial"/>
        </w:rPr>
      </w:pPr>
      <w:r w:rsidRPr="00816BE2">
        <w:rPr>
          <w:rFonts w:ascii="Arial" w:hAnsi="Arial" w:cs="Arial"/>
          <w:b/>
          <w:bCs/>
        </w:rPr>
        <w:t xml:space="preserve">Execution of the warrant </w:t>
      </w:r>
    </w:p>
    <w:p w14:paraId="58892D29" w14:textId="5BA5121B"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[3]</w:t>
      </w:r>
      <w:r w:rsidRPr="00816BE2">
        <w:rPr>
          <w:rFonts w:ascii="Arial" w:hAnsi="Arial" w:cs="Arial"/>
        </w:rPr>
        <w:tab/>
      </w:r>
      <w:r w:rsidR="009B7AE0" w:rsidRPr="00816BE2">
        <w:rPr>
          <w:rFonts w:ascii="Arial" w:hAnsi="Arial" w:cs="Arial"/>
        </w:rPr>
        <w:t>There is a factual dispute on the papers in relation to the execution of the warrant. Since these are motion proceedings in which the appellant</w:t>
      </w:r>
      <w:r w:rsidR="00A00C6C">
        <w:rPr>
          <w:rFonts w:ascii="Arial" w:hAnsi="Arial" w:cs="Arial"/>
        </w:rPr>
        <w:t>s</w:t>
      </w:r>
      <w:r w:rsidR="009B7AE0" w:rsidRPr="00816BE2">
        <w:rPr>
          <w:rFonts w:ascii="Arial" w:hAnsi="Arial" w:cs="Arial"/>
        </w:rPr>
        <w:t xml:space="preserve"> sought final relief in the high court, the </w:t>
      </w:r>
      <w:proofErr w:type="spellStart"/>
      <w:r w:rsidR="009B7AE0" w:rsidRPr="00816BE2">
        <w:rPr>
          <w:rFonts w:ascii="Arial" w:hAnsi="Arial" w:cs="Arial"/>
          <w:i/>
          <w:iCs/>
        </w:rPr>
        <w:t>Plascon</w:t>
      </w:r>
      <w:proofErr w:type="spellEnd"/>
      <w:r w:rsidR="009001B1" w:rsidRPr="00816BE2">
        <w:rPr>
          <w:rFonts w:ascii="Arial" w:hAnsi="Arial" w:cs="Arial"/>
          <w:i/>
          <w:iCs/>
        </w:rPr>
        <w:t>-</w:t>
      </w:r>
      <w:r w:rsidR="009B7AE0" w:rsidRPr="00816BE2">
        <w:rPr>
          <w:rFonts w:ascii="Arial" w:hAnsi="Arial" w:cs="Arial"/>
          <w:i/>
          <w:iCs/>
        </w:rPr>
        <w:t>Evan’s</w:t>
      </w:r>
      <w:r w:rsidR="009B7AE0" w:rsidRPr="00816BE2">
        <w:rPr>
          <w:rFonts w:ascii="Arial" w:hAnsi="Arial" w:cs="Arial"/>
        </w:rPr>
        <w:t xml:space="preserve"> rule applie</w:t>
      </w:r>
      <w:r w:rsidR="009001B1" w:rsidRPr="00816BE2">
        <w:rPr>
          <w:rFonts w:ascii="Arial" w:hAnsi="Arial" w:cs="Arial"/>
        </w:rPr>
        <w:t>d</w:t>
      </w:r>
      <w:r w:rsidR="009B7AE0" w:rsidRPr="00816BE2">
        <w:rPr>
          <w:rFonts w:ascii="Arial" w:hAnsi="Arial" w:cs="Arial"/>
        </w:rPr>
        <w:t>.</w:t>
      </w:r>
      <w:r w:rsidR="009001B1" w:rsidRPr="00816BE2">
        <w:rPr>
          <w:rStyle w:val="FootnoteReference"/>
          <w:rFonts w:ascii="Arial" w:hAnsi="Arial" w:cs="Arial"/>
        </w:rPr>
        <w:footnoteReference w:id="6"/>
      </w:r>
      <w:r w:rsidR="009B7AE0" w:rsidRPr="00816BE2">
        <w:rPr>
          <w:rFonts w:ascii="Arial" w:hAnsi="Arial" w:cs="Arial"/>
        </w:rPr>
        <w:t xml:space="preserve"> This was confirmed by the Constitutional Court in </w:t>
      </w:r>
      <w:r w:rsidR="009B7AE0" w:rsidRPr="00816BE2">
        <w:rPr>
          <w:rFonts w:ascii="Arial" w:hAnsi="Arial" w:cs="Arial"/>
          <w:i/>
          <w:iCs/>
        </w:rPr>
        <w:t>Thint</w:t>
      </w:r>
      <w:r w:rsidR="00BE0075" w:rsidRPr="00816BE2">
        <w:rPr>
          <w:rFonts w:ascii="Arial" w:hAnsi="Arial" w:cs="Arial"/>
          <w:i/>
          <w:iCs/>
        </w:rPr>
        <w:t xml:space="preserve"> </w:t>
      </w:r>
      <w:r w:rsidR="00BE0075" w:rsidRPr="00816BE2">
        <w:rPr>
          <w:rFonts w:ascii="Arial" w:hAnsi="Arial" w:cs="Arial"/>
          <w:i/>
          <w:iCs/>
          <w:lang w:val="en-ZA"/>
        </w:rPr>
        <w:t>(Pty) Ltd v National Director of Public Prosecutions (T</w:t>
      </w:r>
      <w:r w:rsidR="00C55C4F" w:rsidRPr="00816BE2">
        <w:rPr>
          <w:rFonts w:ascii="Arial" w:hAnsi="Arial" w:cs="Arial"/>
          <w:i/>
          <w:iCs/>
          <w:lang w:val="en-ZA"/>
        </w:rPr>
        <w:t>hint)</w:t>
      </w:r>
      <w:r w:rsidR="00BE0075" w:rsidRPr="00816BE2">
        <w:rPr>
          <w:rFonts w:ascii="Arial" w:hAnsi="Arial" w:cs="Arial"/>
          <w:i/>
          <w:iCs/>
          <w:lang w:val="en-ZA"/>
        </w:rPr>
        <w:t>,</w:t>
      </w:r>
      <w:r w:rsidR="009B7AE0" w:rsidRPr="00816BE2">
        <w:rPr>
          <w:rStyle w:val="FootnoteReference"/>
          <w:rFonts w:ascii="Arial" w:hAnsi="Arial" w:cs="Arial"/>
        </w:rPr>
        <w:footnoteReference w:id="7"/>
      </w:r>
      <w:r w:rsidR="009B7AE0" w:rsidRPr="00816BE2">
        <w:rPr>
          <w:rFonts w:ascii="Arial" w:hAnsi="Arial" w:cs="Arial"/>
          <w:i/>
          <w:iCs/>
        </w:rPr>
        <w:t xml:space="preserve"> </w:t>
      </w:r>
      <w:r w:rsidR="009B7AE0" w:rsidRPr="00816BE2">
        <w:rPr>
          <w:rFonts w:ascii="Arial" w:hAnsi="Arial" w:cs="Arial"/>
        </w:rPr>
        <w:t>in the context of a factual dispute concerning the execution of a search and seizure warrant in terms of s 29 of the National Prosecuting Authority Act 32 of 1998. The Constitutional Court held as follows in</w:t>
      </w:r>
      <w:r w:rsidR="009C7DCC" w:rsidRPr="00816BE2">
        <w:rPr>
          <w:rFonts w:ascii="Arial" w:hAnsi="Arial" w:cs="Arial"/>
        </w:rPr>
        <w:t xml:space="preserve"> </w:t>
      </w:r>
      <w:r w:rsidR="00361330" w:rsidRPr="00C22D73">
        <w:rPr>
          <w:rFonts w:ascii="Arial" w:hAnsi="Arial" w:cs="Arial"/>
        </w:rPr>
        <w:t>that case</w:t>
      </w:r>
      <w:r w:rsidR="009B7AE0" w:rsidRPr="00816BE2">
        <w:rPr>
          <w:rFonts w:ascii="Arial" w:hAnsi="Arial" w:cs="Arial"/>
        </w:rPr>
        <w:t>:</w:t>
      </w:r>
    </w:p>
    <w:p w14:paraId="21966719" w14:textId="77777777" w:rsidR="009B7AE0" w:rsidRPr="00816BE2" w:rsidRDefault="009B7AE0" w:rsidP="009B7AE0">
      <w:pPr>
        <w:spacing w:line="360" w:lineRule="auto"/>
        <w:jc w:val="both"/>
        <w:rPr>
          <w:rFonts w:ascii="Arial" w:hAnsi="Arial" w:cs="Arial"/>
          <w:sz w:val="22"/>
          <w:szCs w:val="22"/>
        </w:rPr>
      </w:pPr>
      <w:r w:rsidRPr="00816BE2">
        <w:rPr>
          <w:rFonts w:ascii="Arial" w:hAnsi="Arial" w:cs="Arial"/>
          <w:sz w:val="22"/>
          <w:szCs w:val="22"/>
        </w:rPr>
        <w:lastRenderedPageBreak/>
        <w:t xml:space="preserve">‘The latter disagreements are different because they are factual disputes concerning what happens during the execution of a warrant. Where a party challenges the lawfulness of a warrant’s execution on notice of motion and disputes of fact arise, that party remains the applicant, and the prosecution must accordingly be treated as the respondent under the </w:t>
      </w:r>
      <w:proofErr w:type="spellStart"/>
      <w:r w:rsidRPr="00816BE2">
        <w:rPr>
          <w:rFonts w:ascii="Arial" w:hAnsi="Arial" w:cs="Arial"/>
          <w:i/>
          <w:sz w:val="22"/>
          <w:szCs w:val="22"/>
        </w:rPr>
        <w:t>Plascon</w:t>
      </w:r>
      <w:proofErr w:type="spellEnd"/>
      <w:r w:rsidRPr="00816BE2">
        <w:rPr>
          <w:rFonts w:ascii="Arial" w:hAnsi="Arial" w:cs="Arial"/>
          <w:i/>
          <w:sz w:val="22"/>
          <w:szCs w:val="22"/>
        </w:rPr>
        <w:t>-Evans</w:t>
      </w:r>
      <w:r w:rsidRPr="00816BE2">
        <w:rPr>
          <w:rFonts w:ascii="Arial" w:hAnsi="Arial" w:cs="Arial"/>
          <w:sz w:val="22"/>
          <w:szCs w:val="22"/>
        </w:rPr>
        <w:t xml:space="preserve"> rule. As far as this category of factual disputes is concerned, it is the state’s version that must be accepted. That is the approach I take to the various factual disagreements arising in these two applications which relate to the execution of the warrants.’</w:t>
      </w:r>
    </w:p>
    <w:p w14:paraId="21FDDE76" w14:textId="4C2191A4" w:rsidR="009B7AE0" w:rsidRPr="00816BE2" w:rsidRDefault="009B7AE0" w:rsidP="009B7AE0">
      <w:pPr>
        <w:spacing w:line="360" w:lineRule="auto"/>
        <w:jc w:val="both"/>
        <w:rPr>
          <w:rFonts w:ascii="Arial" w:hAnsi="Arial" w:cs="Arial"/>
        </w:rPr>
      </w:pPr>
      <w:r w:rsidRPr="00816BE2">
        <w:rPr>
          <w:rFonts w:ascii="Arial" w:hAnsi="Arial" w:cs="Arial"/>
        </w:rPr>
        <w:t>The matter must</w:t>
      </w:r>
      <w:r w:rsidR="00470DD9" w:rsidRPr="00816BE2">
        <w:rPr>
          <w:rFonts w:ascii="Arial" w:hAnsi="Arial" w:cs="Arial"/>
        </w:rPr>
        <w:t>, therefore,</w:t>
      </w:r>
      <w:r w:rsidRPr="00816BE2">
        <w:rPr>
          <w:rFonts w:ascii="Arial" w:hAnsi="Arial" w:cs="Arial"/>
        </w:rPr>
        <w:t xml:space="preserve"> be adjudicated on SARS’ version</w:t>
      </w:r>
      <w:r w:rsidR="006A4662" w:rsidRPr="00816BE2">
        <w:rPr>
          <w:rFonts w:ascii="Arial" w:hAnsi="Arial" w:cs="Arial"/>
        </w:rPr>
        <w:t>.</w:t>
      </w:r>
      <w:r w:rsidRPr="00816BE2">
        <w:rPr>
          <w:rFonts w:ascii="Arial" w:hAnsi="Arial" w:cs="Arial"/>
        </w:rPr>
        <w:t xml:space="preserve"> The appellant</w:t>
      </w:r>
      <w:r w:rsidR="00410AB1">
        <w:rPr>
          <w:rFonts w:ascii="Arial" w:hAnsi="Arial" w:cs="Arial"/>
        </w:rPr>
        <w:t>s</w:t>
      </w:r>
      <w:r w:rsidRPr="00816BE2">
        <w:rPr>
          <w:rFonts w:ascii="Arial" w:hAnsi="Arial" w:cs="Arial"/>
        </w:rPr>
        <w:t xml:space="preserve"> conceded </w:t>
      </w:r>
      <w:r w:rsidR="00470DD9" w:rsidRPr="00816BE2">
        <w:rPr>
          <w:rFonts w:ascii="Arial" w:hAnsi="Arial" w:cs="Arial"/>
        </w:rPr>
        <w:t xml:space="preserve">this </w:t>
      </w:r>
      <w:r w:rsidRPr="00816BE2">
        <w:rPr>
          <w:rFonts w:ascii="Arial" w:hAnsi="Arial" w:cs="Arial"/>
        </w:rPr>
        <w:t>during argument in the appeal.</w:t>
      </w:r>
    </w:p>
    <w:p w14:paraId="234C0712" w14:textId="77777777" w:rsidR="009B7AE0" w:rsidRPr="00816BE2" w:rsidRDefault="009B7AE0" w:rsidP="009B7AE0">
      <w:pPr>
        <w:spacing w:line="360" w:lineRule="auto"/>
        <w:jc w:val="both"/>
        <w:rPr>
          <w:rFonts w:ascii="Arial" w:hAnsi="Arial" w:cs="Arial"/>
        </w:rPr>
      </w:pPr>
    </w:p>
    <w:p w14:paraId="36B80BD7" w14:textId="2F122F09"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[4]</w:t>
      </w:r>
      <w:r w:rsidRPr="00816BE2">
        <w:rPr>
          <w:rFonts w:ascii="Arial" w:hAnsi="Arial" w:cs="Arial"/>
        </w:rPr>
        <w:tab/>
      </w:r>
      <w:r w:rsidR="009B7AE0" w:rsidRPr="00816BE2">
        <w:rPr>
          <w:rFonts w:ascii="Arial" w:hAnsi="Arial" w:cs="Arial"/>
        </w:rPr>
        <w:t xml:space="preserve">SARS’ version of the events is that </w:t>
      </w:r>
      <w:r w:rsidR="00F66A82" w:rsidRPr="00C22D73">
        <w:rPr>
          <w:rFonts w:ascii="Arial" w:hAnsi="Arial" w:cs="Arial"/>
        </w:rPr>
        <w:t>on 29 March 2022</w:t>
      </w:r>
      <w:r w:rsidR="00F66A82">
        <w:rPr>
          <w:rFonts w:ascii="Arial" w:hAnsi="Arial" w:cs="Arial"/>
        </w:rPr>
        <w:t xml:space="preserve"> </w:t>
      </w:r>
      <w:r w:rsidR="009B7AE0" w:rsidRPr="00816BE2">
        <w:rPr>
          <w:rFonts w:ascii="Arial" w:hAnsi="Arial" w:cs="Arial"/>
        </w:rPr>
        <w:t>its officials arrived at the premises at</w:t>
      </w:r>
      <w:r w:rsidR="009B7AE0" w:rsidRPr="00816BE2">
        <w:rPr>
          <w:rFonts w:ascii="Arial" w:hAnsi="Arial" w:cs="Arial"/>
          <w:sz w:val="22"/>
          <w:szCs w:val="22"/>
        </w:rPr>
        <w:t xml:space="preserve"> </w:t>
      </w:r>
      <w:r w:rsidR="009B7AE0" w:rsidRPr="00816BE2">
        <w:rPr>
          <w:rFonts w:ascii="Arial" w:hAnsi="Arial" w:cs="Arial"/>
        </w:rPr>
        <w:t xml:space="preserve">approximately </w:t>
      </w:r>
      <w:r w:rsidR="00B2123E" w:rsidRPr="00816BE2">
        <w:rPr>
          <w:rFonts w:ascii="Arial" w:hAnsi="Arial" w:cs="Arial"/>
        </w:rPr>
        <w:t>11h25</w:t>
      </w:r>
      <w:r w:rsidR="00B2123E" w:rsidRPr="00C22D73">
        <w:rPr>
          <w:rFonts w:ascii="Arial" w:hAnsi="Arial" w:cs="Arial"/>
        </w:rPr>
        <w:t xml:space="preserve"> but</w:t>
      </w:r>
      <w:r w:rsidR="009B7AE0" w:rsidRPr="00816BE2">
        <w:rPr>
          <w:rFonts w:ascii="Arial" w:hAnsi="Arial" w:cs="Arial"/>
        </w:rPr>
        <w:t xml:space="preserve"> were granted access </w:t>
      </w:r>
      <w:r w:rsidR="00F66A82" w:rsidRPr="00C22D73">
        <w:rPr>
          <w:rFonts w:ascii="Arial" w:hAnsi="Arial" w:cs="Arial"/>
        </w:rPr>
        <w:t>only</w:t>
      </w:r>
      <w:r w:rsidR="00F66A82">
        <w:rPr>
          <w:rFonts w:ascii="Arial" w:hAnsi="Arial" w:cs="Arial"/>
        </w:rPr>
        <w:t xml:space="preserve"> </w:t>
      </w:r>
      <w:r w:rsidR="009B7AE0" w:rsidRPr="00816BE2">
        <w:rPr>
          <w:rFonts w:ascii="Arial" w:hAnsi="Arial" w:cs="Arial"/>
        </w:rPr>
        <w:t xml:space="preserve">at approximately 11h50. Whilst SARS officials were at the gate </w:t>
      </w:r>
      <w:r w:rsidR="009B33E7" w:rsidRPr="00816BE2">
        <w:rPr>
          <w:rFonts w:ascii="Arial" w:hAnsi="Arial" w:cs="Arial"/>
        </w:rPr>
        <w:t>a</w:t>
      </w:r>
      <w:r w:rsidR="009B7AE0" w:rsidRPr="00816BE2">
        <w:rPr>
          <w:rFonts w:ascii="Arial" w:hAnsi="Arial" w:cs="Arial"/>
        </w:rPr>
        <w:t xml:space="preserve">waiting </w:t>
      </w:r>
      <w:r w:rsidR="009B33E7" w:rsidRPr="00816BE2">
        <w:rPr>
          <w:rFonts w:ascii="Arial" w:hAnsi="Arial" w:cs="Arial"/>
        </w:rPr>
        <w:t>access to the premises</w:t>
      </w:r>
      <w:r w:rsidR="009B7AE0" w:rsidRPr="00816BE2">
        <w:rPr>
          <w:rFonts w:ascii="Arial" w:hAnsi="Arial" w:cs="Arial"/>
        </w:rPr>
        <w:t xml:space="preserve">, they saw people removing items from the building and placing them in vehicles. </w:t>
      </w:r>
      <w:r w:rsidR="00460229" w:rsidRPr="00816BE2">
        <w:rPr>
          <w:rFonts w:ascii="Arial" w:hAnsi="Arial" w:cs="Arial"/>
        </w:rPr>
        <w:t>They were</w:t>
      </w:r>
      <w:r w:rsidR="009B7AE0" w:rsidRPr="00816BE2">
        <w:rPr>
          <w:rFonts w:ascii="Arial" w:hAnsi="Arial" w:cs="Arial"/>
        </w:rPr>
        <w:t>, however, unable to identify the nature of these items.</w:t>
      </w:r>
    </w:p>
    <w:p w14:paraId="4DAB09D3" w14:textId="77777777" w:rsidR="009B7AE0" w:rsidRPr="00816BE2" w:rsidRDefault="009B7AE0" w:rsidP="009B7AE0">
      <w:pPr>
        <w:spacing w:line="360" w:lineRule="auto"/>
        <w:jc w:val="both"/>
        <w:rPr>
          <w:rFonts w:ascii="Arial" w:hAnsi="Arial" w:cs="Arial"/>
        </w:rPr>
      </w:pPr>
      <w:r w:rsidRPr="00816BE2">
        <w:rPr>
          <w:rFonts w:ascii="Arial" w:hAnsi="Arial" w:cs="Arial"/>
        </w:rPr>
        <w:t xml:space="preserve"> </w:t>
      </w:r>
    </w:p>
    <w:p w14:paraId="35A4D1DF" w14:textId="41D0E311"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[5]</w:t>
      </w:r>
      <w:r w:rsidRPr="00816BE2">
        <w:rPr>
          <w:rFonts w:ascii="Arial" w:hAnsi="Arial" w:cs="Arial"/>
        </w:rPr>
        <w:tab/>
      </w:r>
      <w:r w:rsidR="009B7AE0" w:rsidRPr="00816BE2">
        <w:rPr>
          <w:rFonts w:ascii="Arial" w:hAnsi="Arial" w:cs="Arial"/>
        </w:rPr>
        <w:t xml:space="preserve">Upon entering the </w:t>
      </w:r>
      <w:r w:rsidR="003D6CCE" w:rsidRPr="00816BE2">
        <w:rPr>
          <w:rFonts w:ascii="Arial" w:hAnsi="Arial" w:cs="Arial"/>
        </w:rPr>
        <w:t>premises, SARS</w:t>
      </w:r>
      <w:r w:rsidR="009B7AE0" w:rsidRPr="00816BE2">
        <w:rPr>
          <w:rFonts w:ascii="Arial" w:hAnsi="Arial" w:cs="Arial"/>
        </w:rPr>
        <w:t xml:space="preserve"> officials noticed a Toyota Fortuner </w:t>
      </w:r>
      <w:r w:rsidR="00F66A82" w:rsidRPr="00C22D73">
        <w:rPr>
          <w:rFonts w:ascii="Arial" w:hAnsi="Arial" w:cs="Arial"/>
        </w:rPr>
        <w:t>motor vehicle</w:t>
      </w:r>
      <w:r w:rsidR="00F66A82">
        <w:rPr>
          <w:rFonts w:ascii="Arial" w:hAnsi="Arial" w:cs="Arial"/>
        </w:rPr>
        <w:t xml:space="preserve"> </w:t>
      </w:r>
      <w:r w:rsidR="009B7AE0" w:rsidRPr="00816BE2">
        <w:rPr>
          <w:rFonts w:ascii="Arial" w:hAnsi="Arial" w:cs="Arial"/>
        </w:rPr>
        <w:t>with registration number HV07BBGP (the Fortun</w:t>
      </w:r>
      <w:r w:rsidR="009E7031" w:rsidRPr="00C22D73">
        <w:rPr>
          <w:rFonts w:ascii="Arial" w:hAnsi="Arial" w:cs="Arial"/>
        </w:rPr>
        <w:t>er</w:t>
      </w:r>
      <w:r w:rsidR="009B7AE0" w:rsidRPr="00816BE2">
        <w:rPr>
          <w:rFonts w:ascii="Arial" w:hAnsi="Arial" w:cs="Arial"/>
        </w:rPr>
        <w:t>) parked on the premises. They saw numerous files and notebooks as well as electronic equipment in</w:t>
      </w:r>
      <w:r w:rsidR="006A4662" w:rsidRPr="00816BE2">
        <w:rPr>
          <w:rFonts w:ascii="Arial" w:hAnsi="Arial" w:cs="Arial"/>
        </w:rPr>
        <w:t>side</w:t>
      </w:r>
      <w:r w:rsidR="009B7AE0" w:rsidRPr="00816BE2">
        <w:rPr>
          <w:rFonts w:ascii="Arial" w:hAnsi="Arial" w:cs="Arial"/>
        </w:rPr>
        <w:t xml:space="preserve"> the </w:t>
      </w:r>
      <w:r w:rsidR="009326CF" w:rsidRPr="00816BE2">
        <w:rPr>
          <w:rFonts w:ascii="Arial" w:hAnsi="Arial" w:cs="Arial"/>
        </w:rPr>
        <w:t>Fortun</w:t>
      </w:r>
      <w:r w:rsidR="009E7031" w:rsidRPr="00C22D73">
        <w:rPr>
          <w:rFonts w:ascii="Arial" w:hAnsi="Arial" w:cs="Arial"/>
        </w:rPr>
        <w:t>er</w:t>
      </w:r>
      <w:r w:rsidR="00320567" w:rsidRPr="00C22D73">
        <w:rPr>
          <w:rFonts w:ascii="Arial" w:hAnsi="Arial" w:cs="Arial"/>
        </w:rPr>
        <w:t>.</w:t>
      </w:r>
      <w:r w:rsidR="009B7AE0" w:rsidRPr="00816BE2">
        <w:rPr>
          <w:rFonts w:ascii="Arial" w:hAnsi="Arial" w:cs="Arial"/>
        </w:rPr>
        <w:t xml:space="preserve"> </w:t>
      </w:r>
      <w:r w:rsidR="009E7031" w:rsidRPr="00C22D73">
        <w:rPr>
          <w:rFonts w:ascii="Arial" w:hAnsi="Arial" w:cs="Arial"/>
        </w:rPr>
        <w:t>Upon</w:t>
      </w:r>
      <w:r w:rsidR="00320567" w:rsidRPr="00816BE2">
        <w:rPr>
          <w:rFonts w:ascii="Arial" w:hAnsi="Arial" w:cs="Arial"/>
        </w:rPr>
        <w:t xml:space="preserve"> </w:t>
      </w:r>
      <w:r w:rsidR="00A86675" w:rsidRPr="00816BE2">
        <w:rPr>
          <w:rFonts w:ascii="Arial" w:hAnsi="Arial" w:cs="Arial"/>
        </w:rPr>
        <w:t xml:space="preserve">being </w:t>
      </w:r>
      <w:r w:rsidR="009B7AE0" w:rsidRPr="00816BE2">
        <w:rPr>
          <w:rFonts w:ascii="Arial" w:hAnsi="Arial" w:cs="Arial"/>
        </w:rPr>
        <w:t xml:space="preserve">informed that </w:t>
      </w:r>
      <w:r w:rsidR="00320567" w:rsidRPr="00816BE2">
        <w:rPr>
          <w:rFonts w:ascii="Arial" w:hAnsi="Arial" w:cs="Arial"/>
        </w:rPr>
        <w:t xml:space="preserve">Mr </w:t>
      </w:r>
      <w:proofErr w:type="spellStart"/>
      <w:r w:rsidR="00320567" w:rsidRPr="00816BE2">
        <w:rPr>
          <w:rFonts w:ascii="Arial" w:hAnsi="Arial" w:cs="Arial"/>
        </w:rPr>
        <w:t>Bechan</w:t>
      </w:r>
      <w:proofErr w:type="spellEnd"/>
      <w:r w:rsidR="009B7AE0" w:rsidRPr="00816BE2">
        <w:rPr>
          <w:rFonts w:ascii="Arial" w:hAnsi="Arial" w:cs="Arial"/>
        </w:rPr>
        <w:t xml:space="preserve"> owned the </w:t>
      </w:r>
      <w:r w:rsidR="003D6CCE" w:rsidRPr="00816BE2">
        <w:rPr>
          <w:rFonts w:ascii="Arial" w:hAnsi="Arial" w:cs="Arial"/>
        </w:rPr>
        <w:t>Fortun</w:t>
      </w:r>
      <w:r w:rsidR="009E7031" w:rsidRPr="00C22D73">
        <w:rPr>
          <w:rFonts w:ascii="Arial" w:hAnsi="Arial" w:cs="Arial"/>
        </w:rPr>
        <w:t>er</w:t>
      </w:r>
      <w:r w:rsidR="003D6CCE" w:rsidRPr="00C22D73">
        <w:rPr>
          <w:rFonts w:ascii="Arial" w:hAnsi="Arial" w:cs="Arial"/>
        </w:rPr>
        <w:t>,</w:t>
      </w:r>
      <w:r w:rsidR="003D6CCE" w:rsidRPr="00816BE2">
        <w:rPr>
          <w:rFonts w:ascii="Arial" w:hAnsi="Arial" w:cs="Arial"/>
        </w:rPr>
        <w:t xml:space="preserve"> SARS</w:t>
      </w:r>
      <w:r w:rsidR="009B7AE0" w:rsidRPr="00816BE2">
        <w:rPr>
          <w:rFonts w:ascii="Arial" w:hAnsi="Arial" w:cs="Arial"/>
        </w:rPr>
        <w:t xml:space="preserve"> officials requested him to unlock it to enable t</w:t>
      </w:r>
      <w:r w:rsidR="006A4662" w:rsidRPr="00816BE2">
        <w:rPr>
          <w:rFonts w:ascii="Arial" w:hAnsi="Arial" w:cs="Arial"/>
        </w:rPr>
        <w:t>he</w:t>
      </w:r>
      <w:r w:rsidR="00D52744">
        <w:rPr>
          <w:rFonts w:ascii="Arial" w:hAnsi="Arial" w:cs="Arial"/>
        </w:rPr>
        <w:t>m to</w:t>
      </w:r>
      <w:r w:rsidR="009B7AE0" w:rsidRPr="00816BE2">
        <w:rPr>
          <w:rFonts w:ascii="Arial" w:hAnsi="Arial" w:cs="Arial"/>
        </w:rPr>
        <w:t xml:space="preserve"> search for material relevant to Bullion Star. </w:t>
      </w:r>
      <w:r w:rsidR="00A523C5" w:rsidRPr="00816BE2">
        <w:rPr>
          <w:rFonts w:ascii="Arial" w:hAnsi="Arial" w:cs="Arial"/>
        </w:rPr>
        <w:t xml:space="preserve">When </w:t>
      </w:r>
      <w:r w:rsidR="009B7AE0" w:rsidRPr="00816BE2">
        <w:rPr>
          <w:rFonts w:ascii="Arial" w:hAnsi="Arial" w:cs="Arial"/>
        </w:rPr>
        <w:t xml:space="preserve">Mr </w:t>
      </w:r>
      <w:proofErr w:type="spellStart"/>
      <w:r w:rsidR="009B7AE0" w:rsidRPr="00816BE2">
        <w:rPr>
          <w:rFonts w:ascii="Arial" w:hAnsi="Arial" w:cs="Arial"/>
        </w:rPr>
        <w:t>Bechan</w:t>
      </w:r>
      <w:proofErr w:type="spellEnd"/>
      <w:r w:rsidR="009B7AE0" w:rsidRPr="00816BE2">
        <w:rPr>
          <w:rFonts w:ascii="Arial" w:hAnsi="Arial" w:cs="Arial"/>
        </w:rPr>
        <w:t xml:space="preserve"> in</w:t>
      </w:r>
      <w:r w:rsidR="006A4662" w:rsidRPr="00816BE2">
        <w:rPr>
          <w:rFonts w:ascii="Arial" w:hAnsi="Arial" w:cs="Arial"/>
        </w:rPr>
        <w:t xml:space="preserve">dicated </w:t>
      </w:r>
      <w:r w:rsidR="009B7AE0" w:rsidRPr="00816BE2">
        <w:rPr>
          <w:rFonts w:ascii="Arial" w:hAnsi="Arial" w:cs="Arial"/>
        </w:rPr>
        <w:t xml:space="preserve">that he could not find </w:t>
      </w:r>
      <w:r w:rsidR="006A4662" w:rsidRPr="00816BE2">
        <w:rPr>
          <w:rFonts w:ascii="Arial" w:hAnsi="Arial" w:cs="Arial"/>
        </w:rPr>
        <w:t>its</w:t>
      </w:r>
      <w:r w:rsidR="009B7AE0" w:rsidRPr="00816BE2">
        <w:rPr>
          <w:rFonts w:ascii="Arial" w:hAnsi="Arial" w:cs="Arial"/>
        </w:rPr>
        <w:t xml:space="preserve"> keys</w:t>
      </w:r>
      <w:r w:rsidR="006A4662" w:rsidRPr="00816BE2">
        <w:rPr>
          <w:rFonts w:ascii="Arial" w:hAnsi="Arial" w:cs="Arial"/>
        </w:rPr>
        <w:t>,</w:t>
      </w:r>
      <w:r w:rsidR="009B7AE0" w:rsidRPr="00816BE2">
        <w:rPr>
          <w:rFonts w:ascii="Arial" w:hAnsi="Arial" w:cs="Arial"/>
        </w:rPr>
        <w:t xml:space="preserve"> SARS officials obtained the services of a locksmith to unlock the Fortun</w:t>
      </w:r>
      <w:r w:rsidR="009E7031" w:rsidRPr="00C22D73">
        <w:rPr>
          <w:rFonts w:ascii="Arial" w:hAnsi="Arial" w:cs="Arial"/>
        </w:rPr>
        <w:t>er</w:t>
      </w:r>
      <w:r w:rsidR="009B7AE0" w:rsidRPr="00816BE2">
        <w:rPr>
          <w:rFonts w:ascii="Arial" w:hAnsi="Arial" w:cs="Arial"/>
        </w:rPr>
        <w:t xml:space="preserve"> (and other vehicles on the premises)</w:t>
      </w:r>
      <w:r w:rsidR="006A4662" w:rsidRPr="00816BE2">
        <w:rPr>
          <w:rFonts w:ascii="Arial" w:hAnsi="Arial" w:cs="Arial"/>
        </w:rPr>
        <w:t>.</w:t>
      </w:r>
      <w:r w:rsidR="009B7AE0" w:rsidRPr="00816BE2">
        <w:rPr>
          <w:rFonts w:ascii="Arial" w:hAnsi="Arial" w:cs="Arial"/>
        </w:rPr>
        <w:t xml:space="preserve"> On opening </w:t>
      </w:r>
      <w:r w:rsidR="003F6447" w:rsidRPr="00816BE2">
        <w:rPr>
          <w:rFonts w:ascii="Arial" w:hAnsi="Arial" w:cs="Arial"/>
        </w:rPr>
        <w:t xml:space="preserve">it, </w:t>
      </w:r>
      <w:r w:rsidR="00470DD9" w:rsidRPr="00816BE2">
        <w:rPr>
          <w:rFonts w:ascii="Arial" w:hAnsi="Arial" w:cs="Arial"/>
        </w:rPr>
        <w:t>they</w:t>
      </w:r>
      <w:r w:rsidR="009B7AE0" w:rsidRPr="00816BE2">
        <w:rPr>
          <w:rFonts w:ascii="Arial" w:hAnsi="Arial" w:cs="Arial"/>
        </w:rPr>
        <w:t xml:space="preserve"> invited Mr </w:t>
      </w:r>
      <w:proofErr w:type="spellStart"/>
      <w:r w:rsidR="009B7AE0" w:rsidRPr="00816BE2">
        <w:rPr>
          <w:rFonts w:ascii="Arial" w:hAnsi="Arial" w:cs="Arial"/>
        </w:rPr>
        <w:t>Bechan</w:t>
      </w:r>
      <w:proofErr w:type="spellEnd"/>
      <w:r w:rsidR="009B7AE0" w:rsidRPr="00816BE2">
        <w:rPr>
          <w:rFonts w:ascii="Arial" w:hAnsi="Arial" w:cs="Arial"/>
        </w:rPr>
        <w:t xml:space="preserve"> to participate in and be present during, the search. </w:t>
      </w:r>
    </w:p>
    <w:p w14:paraId="0F143946" w14:textId="77777777" w:rsidR="009B7AE0" w:rsidRPr="00816BE2" w:rsidRDefault="009B7AE0" w:rsidP="009B7AE0">
      <w:pPr>
        <w:spacing w:line="360" w:lineRule="auto"/>
        <w:jc w:val="both"/>
        <w:rPr>
          <w:rFonts w:ascii="Arial" w:hAnsi="Arial" w:cs="Arial"/>
        </w:rPr>
      </w:pPr>
    </w:p>
    <w:p w14:paraId="15E5DD11" w14:textId="11E9A59E" w:rsidR="009B7AE0" w:rsidRPr="00816BE2" w:rsidRDefault="00B72E3C" w:rsidP="00B72E3C">
      <w:pPr>
        <w:pStyle w:val="ListParagraph"/>
        <w:spacing w:line="360" w:lineRule="auto"/>
        <w:ind w:left="0"/>
        <w:jc w:val="both"/>
        <w:rPr>
          <w:rFonts w:ascii="Arial" w:hAnsi="Arial" w:cs="Arial"/>
          <w:sz w:val="20"/>
          <w:szCs w:val="20"/>
        </w:rPr>
      </w:pPr>
      <w:r w:rsidRPr="00816BE2">
        <w:rPr>
          <w:rFonts w:ascii="Arial" w:hAnsi="Arial" w:cs="Arial"/>
        </w:rPr>
        <w:t>[6]</w:t>
      </w:r>
      <w:r w:rsidRPr="00816BE2">
        <w:rPr>
          <w:rFonts w:ascii="Arial" w:hAnsi="Arial" w:cs="Arial"/>
        </w:rPr>
        <w:tab/>
      </w:r>
      <w:r w:rsidR="009B7AE0" w:rsidRPr="00816BE2">
        <w:rPr>
          <w:rFonts w:ascii="Arial" w:hAnsi="Arial" w:cs="Arial"/>
        </w:rPr>
        <w:t>SARS compiled inventories of the items found in the Fortun</w:t>
      </w:r>
      <w:r w:rsidR="003F6AC6" w:rsidRPr="00C22D73">
        <w:rPr>
          <w:rFonts w:ascii="Arial" w:hAnsi="Arial" w:cs="Arial"/>
        </w:rPr>
        <w:t>er</w:t>
      </w:r>
      <w:r w:rsidR="009B7AE0" w:rsidRPr="00816BE2">
        <w:rPr>
          <w:rFonts w:ascii="Arial" w:hAnsi="Arial" w:cs="Arial"/>
        </w:rPr>
        <w:t>. These included: 10 laptop computers</w:t>
      </w:r>
      <w:r w:rsidR="00F978D4" w:rsidRPr="00E831B2">
        <w:rPr>
          <w:rFonts w:ascii="Arial" w:hAnsi="Arial" w:cs="Arial"/>
        </w:rPr>
        <w:t>,</w:t>
      </w:r>
      <w:r w:rsidR="009B7AE0" w:rsidRPr="00E831B2">
        <w:rPr>
          <w:rFonts w:ascii="Arial" w:hAnsi="Arial" w:cs="Arial"/>
        </w:rPr>
        <w:t xml:space="preserve"> </w:t>
      </w:r>
      <w:r w:rsidR="00F978D4" w:rsidRPr="00E831B2">
        <w:rPr>
          <w:rFonts w:ascii="Arial" w:hAnsi="Arial" w:cs="Arial"/>
        </w:rPr>
        <w:t>four</w:t>
      </w:r>
      <w:r w:rsidR="009B7AE0" w:rsidRPr="00816BE2">
        <w:rPr>
          <w:rFonts w:ascii="Arial" w:hAnsi="Arial" w:cs="Arial"/>
        </w:rPr>
        <w:t xml:space="preserve"> cellular phones </w:t>
      </w:r>
      <w:r w:rsidR="00797989" w:rsidRPr="00816BE2">
        <w:rPr>
          <w:rFonts w:ascii="Arial" w:hAnsi="Arial" w:cs="Arial"/>
        </w:rPr>
        <w:t xml:space="preserve">and </w:t>
      </w:r>
      <w:r w:rsidR="009B7AE0" w:rsidRPr="00816BE2">
        <w:rPr>
          <w:rFonts w:ascii="Arial" w:hAnsi="Arial" w:cs="Arial"/>
        </w:rPr>
        <w:t xml:space="preserve">various financial documents pertaining to Bullion Star, including purchase files and bank statements. However, </w:t>
      </w:r>
      <w:r w:rsidR="00A86675" w:rsidRPr="00816BE2">
        <w:rPr>
          <w:rFonts w:ascii="Arial" w:hAnsi="Arial" w:cs="Arial"/>
        </w:rPr>
        <w:t xml:space="preserve">in </w:t>
      </w:r>
      <w:r w:rsidR="003F6AC6" w:rsidRPr="00C22D73">
        <w:rPr>
          <w:rFonts w:ascii="Arial" w:hAnsi="Arial" w:cs="Arial"/>
        </w:rPr>
        <w:t>their</w:t>
      </w:r>
      <w:r w:rsidR="009B7AE0" w:rsidRPr="00816BE2">
        <w:rPr>
          <w:rFonts w:ascii="Arial" w:hAnsi="Arial" w:cs="Arial"/>
        </w:rPr>
        <w:t xml:space="preserve"> notice of motion, the appellants claimed the return of </w:t>
      </w:r>
      <w:r w:rsidR="003F6AC6" w:rsidRPr="00C22D73">
        <w:rPr>
          <w:rFonts w:ascii="Arial" w:hAnsi="Arial" w:cs="Arial"/>
        </w:rPr>
        <w:t>only</w:t>
      </w:r>
      <w:r w:rsidR="003F6AC6" w:rsidRPr="00816BE2">
        <w:rPr>
          <w:rFonts w:ascii="Arial" w:hAnsi="Arial" w:cs="Arial"/>
        </w:rPr>
        <w:t xml:space="preserve"> </w:t>
      </w:r>
      <w:r w:rsidR="009B7AE0" w:rsidRPr="00816BE2">
        <w:rPr>
          <w:rFonts w:ascii="Arial" w:hAnsi="Arial" w:cs="Arial"/>
        </w:rPr>
        <w:t xml:space="preserve">two laptop computers and two cellular phones. Despite the exchange of numerous letters in which SARS tendered the return of the seized items on proof of ownership, the appellants disavowed any knowledge of the other laptops and cellular phones. </w:t>
      </w:r>
    </w:p>
    <w:p w14:paraId="7CA9550C" w14:textId="77777777" w:rsidR="007C32E3" w:rsidRPr="00816BE2" w:rsidRDefault="007C32E3" w:rsidP="009B7AE0">
      <w:pPr>
        <w:spacing w:line="360" w:lineRule="auto"/>
        <w:jc w:val="both"/>
        <w:rPr>
          <w:rFonts w:ascii="Arial" w:hAnsi="Arial" w:cs="Arial"/>
          <w:b/>
          <w:bCs/>
        </w:rPr>
      </w:pPr>
    </w:p>
    <w:p w14:paraId="2E5E9637" w14:textId="6BA14AD5" w:rsidR="009B7AE0" w:rsidRPr="00816BE2" w:rsidRDefault="007C32E3" w:rsidP="009B7AE0">
      <w:pPr>
        <w:spacing w:line="360" w:lineRule="auto"/>
        <w:jc w:val="both"/>
        <w:rPr>
          <w:rFonts w:ascii="Arial" w:hAnsi="Arial" w:cs="Arial"/>
          <w:b/>
          <w:bCs/>
        </w:rPr>
      </w:pPr>
      <w:r w:rsidRPr="00816BE2">
        <w:rPr>
          <w:rFonts w:ascii="Arial" w:hAnsi="Arial" w:cs="Arial"/>
          <w:b/>
          <w:bCs/>
        </w:rPr>
        <w:lastRenderedPageBreak/>
        <w:t xml:space="preserve">In the </w:t>
      </w:r>
      <w:r w:rsidR="002E0C99" w:rsidRPr="00816BE2">
        <w:rPr>
          <w:rFonts w:ascii="Arial" w:hAnsi="Arial" w:cs="Arial"/>
          <w:b/>
          <w:bCs/>
        </w:rPr>
        <w:t>h</w:t>
      </w:r>
      <w:r w:rsidRPr="00816BE2">
        <w:rPr>
          <w:rFonts w:ascii="Arial" w:hAnsi="Arial" w:cs="Arial"/>
          <w:b/>
          <w:bCs/>
        </w:rPr>
        <w:t xml:space="preserve">igh </w:t>
      </w:r>
      <w:r w:rsidR="002E0C99" w:rsidRPr="00816BE2">
        <w:rPr>
          <w:rFonts w:ascii="Arial" w:hAnsi="Arial" w:cs="Arial"/>
          <w:b/>
          <w:bCs/>
        </w:rPr>
        <w:t>c</w:t>
      </w:r>
      <w:r w:rsidRPr="00816BE2">
        <w:rPr>
          <w:rFonts w:ascii="Arial" w:hAnsi="Arial" w:cs="Arial"/>
          <w:b/>
          <w:bCs/>
        </w:rPr>
        <w:t>ourt</w:t>
      </w:r>
    </w:p>
    <w:p w14:paraId="7DB588EE" w14:textId="0A77E66F"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[7]</w:t>
      </w:r>
      <w:r w:rsidRPr="00816BE2">
        <w:rPr>
          <w:rFonts w:ascii="Arial" w:hAnsi="Arial" w:cs="Arial"/>
        </w:rPr>
        <w:tab/>
      </w:r>
      <w:r w:rsidR="009B7AE0" w:rsidRPr="00816BE2">
        <w:rPr>
          <w:rFonts w:ascii="Arial" w:hAnsi="Arial" w:cs="Arial"/>
        </w:rPr>
        <w:t>On 4 April 2022, the appellants</w:t>
      </w:r>
      <w:r w:rsidR="00A7295E" w:rsidRPr="00816BE2">
        <w:rPr>
          <w:rFonts w:ascii="Arial" w:hAnsi="Arial" w:cs="Arial"/>
        </w:rPr>
        <w:t xml:space="preserve"> </w:t>
      </w:r>
      <w:r w:rsidR="0061056A" w:rsidRPr="00816BE2">
        <w:rPr>
          <w:rFonts w:ascii="Arial" w:hAnsi="Arial" w:cs="Arial"/>
        </w:rPr>
        <w:t xml:space="preserve">applied </w:t>
      </w:r>
      <w:r w:rsidR="0069716F" w:rsidRPr="00816BE2">
        <w:rPr>
          <w:rFonts w:ascii="Arial" w:hAnsi="Arial" w:cs="Arial"/>
        </w:rPr>
        <w:t>to</w:t>
      </w:r>
      <w:r w:rsidR="007C32E3" w:rsidRPr="00816BE2">
        <w:rPr>
          <w:rFonts w:ascii="Arial" w:hAnsi="Arial" w:cs="Arial"/>
        </w:rPr>
        <w:t xml:space="preserve"> the high court</w:t>
      </w:r>
      <w:r w:rsidR="00A7295E" w:rsidRPr="00816BE2">
        <w:rPr>
          <w:rFonts w:ascii="Arial" w:hAnsi="Arial" w:cs="Arial"/>
          <w:i/>
          <w:iCs/>
        </w:rPr>
        <w:t xml:space="preserve"> </w:t>
      </w:r>
      <w:r w:rsidR="009B7AE0" w:rsidRPr="00816BE2">
        <w:rPr>
          <w:rFonts w:ascii="Arial" w:hAnsi="Arial" w:cs="Arial"/>
        </w:rPr>
        <w:t>for the return of the items listed in paragraph 2 of the notice of motion</w:t>
      </w:r>
      <w:r w:rsidR="007B309A" w:rsidRPr="00816BE2">
        <w:rPr>
          <w:rFonts w:ascii="Arial" w:hAnsi="Arial" w:cs="Arial"/>
        </w:rPr>
        <w:t xml:space="preserve"> by way of the spoliation remedy.</w:t>
      </w:r>
      <w:r w:rsidR="009B7AE0" w:rsidRPr="00816BE2">
        <w:rPr>
          <w:rFonts w:ascii="Arial" w:hAnsi="Arial" w:cs="Arial"/>
        </w:rPr>
        <w:t xml:space="preserve"> </w:t>
      </w:r>
      <w:r w:rsidR="00A86675" w:rsidRPr="00816BE2">
        <w:rPr>
          <w:rFonts w:ascii="Arial" w:hAnsi="Arial" w:cs="Arial"/>
        </w:rPr>
        <w:t xml:space="preserve">To succeed in </w:t>
      </w:r>
      <w:r w:rsidR="007B309A" w:rsidRPr="00816BE2">
        <w:rPr>
          <w:rFonts w:ascii="Arial" w:hAnsi="Arial" w:cs="Arial"/>
        </w:rPr>
        <w:t>this application</w:t>
      </w:r>
      <w:r w:rsidR="00A86675" w:rsidRPr="00816BE2">
        <w:rPr>
          <w:rFonts w:ascii="Arial" w:hAnsi="Arial" w:cs="Arial"/>
        </w:rPr>
        <w:t>,</w:t>
      </w:r>
      <w:r w:rsidR="007B309A" w:rsidRPr="00816BE2">
        <w:rPr>
          <w:rFonts w:ascii="Arial" w:hAnsi="Arial" w:cs="Arial"/>
        </w:rPr>
        <w:t xml:space="preserve"> the appellants had to satisfy the </w:t>
      </w:r>
      <w:r w:rsidR="00C35F08" w:rsidRPr="00816BE2">
        <w:rPr>
          <w:rFonts w:ascii="Arial" w:hAnsi="Arial" w:cs="Arial"/>
        </w:rPr>
        <w:t xml:space="preserve">high </w:t>
      </w:r>
      <w:r w:rsidR="007B309A" w:rsidRPr="00816BE2">
        <w:rPr>
          <w:rFonts w:ascii="Arial" w:hAnsi="Arial" w:cs="Arial"/>
        </w:rPr>
        <w:t>court that they were in</w:t>
      </w:r>
      <w:r w:rsidR="003F6AC6">
        <w:rPr>
          <w:rFonts w:ascii="Arial" w:hAnsi="Arial" w:cs="Arial"/>
        </w:rPr>
        <w:t xml:space="preserve"> </w:t>
      </w:r>
      <w:r w:rsidR="003F6AC6" w:rsidRPr="00C22D73">
        <w:rPr>
          <w:rFonts w:ascii="Arial" w:hAnsi="Arial" w:cs="Arial"/>
        </w:rPr>
        <w:t>peaceful and undisturbed</w:t>
      </w:r>
      <w:r w:rsidR="007B309A" w:rsidRPr="00816BE2">
        <w:rPr>
          <w:rFonts w:ascii="Arial" w:hAnsi="Arial" w:cs="Arial"/>
        </w:rPr>
        <w:t xml:space="preserve"> possession or had </w:t>
      </w:r>
      <w:r w:rsidR="007B309A" w:rsidRPr="00816BE2">
        <w:rPr>
          <w:rFonts w:ascii="Arial" w:hAnsi="Arial" w:cs="Arial"/>
          <w:i/>
          <w:iCs/>
        </w:rPr>
        <w:t>quasi</w:t>
      </w:r>
      <w:r w:rsidR="007B309A" w:rsidRPr="00816BE2">
        <w:rPr>
          <w:rFonts w:ascii="Arial" w:hAnsi="Arial" w:cs="Arial"/>
        </w:rPr>
        <w:t xml:space="preserve"> possession of the property, and that SARS deprived them </w:t>
      </w:r>
      <w:r w:rsidR="007A152C" w:rsidRPr="00816BE2">
        <w:rPr>
          <w:rFonts w:ascii="Arial" w:hAnsi="Arial" w:cs="Arial"/>
        </w:rPr>
        <w:t xml:space="preserve">of </w:t>
      </w:r>
      <w:r w:rsidR="003F6AC6" w:rsidRPr="00C22D73">
        <w:rPr>
          <w:rFonts w:ascii="Arial" w:hAnsi="Arial" w:cs="Arial"/>
        </w:rPr>
        <w:t>their</w:t>
      </w:r>
      <w:r w:rsidR="007B309A" w:rsidRPr="00816BE2">
        <w:rPr>
          <w:rFonts w:ascii="Arial" w:hAnsi="Arial" w:cs="Arial"/>
        </w:rPr>
        <w:t xml:space="preserve"> possession forcibly or</w:t>
      </w:r>
      <w:r w:rsidR="007A152C" w:rsidRPr="00816BE2">
        <w:rPr>
          <w:rFonts w:ascii="Arial" w:hAnsi="Arial" w:cs="Arial"/>
        </w:rPr>
        <w:t xml:space="preserve"> wrongfully.</w:t>
      </w:r>
      <w:r w:rsidR="007A152C" w:rsidRPr="00816BE2">
        <w:rPr>
          <w:rStyle w:val="FootnoteReference"/>
          <w:rFonts w:ascii="Arial" w:hAnsi="Arial" w:cs="Arial"/>
        </w:rPr>
        <w:footnoteReference w:id="8"/>
      </w:r>
      <w:r w:rsidR="007A152C" w:rsidRPr="00816BE2">
        <w:rPr>
          <w:rFonts w:ascii="Arial" w:hAnsi="Arial" w:cs="Arial"/>
        </w:rPr>
        <w:t xml:space="preserve"> </w:t>
      </w:r>
      <w:r w:rsidR="009B7AE0" w:rsidRPr="00816BE2">
        <w:rPr>
          <w:rFonts w:ascii="Arial" w:hAnsi="Arial" w:cs="Arial"/>
        </w:rPr>
        <w:t>The</w:t>
      </w:r>
      <w:r w:rsidR="00C35F08" w:rsidRPr="00816BE2">
        <w:rPr>
          <w:rFonts w:ascii="Arial" w:hAnsi="Arial" w:cs="Arial"/>
        </w:rPr>
        <w:t xml:space="preserve"> appellants</w:t>
      </w:r>
      <w:r w:rsidR="009B7AE0" w:rsidRPr="00816BE2">
        <w:rPr>
          <w:rFonts w:ascii="Arial" w:hAnsi="Arial" w:cs="Arial"/>
        </w:rPr>
        <w:t xml:space="preserve"> contended, </w:t>
      </w:r>
      <w:r w:rsidR="007A152C" w:rsidRPr="00816BE2">
        <w:rPr>
          <w:rFonts w:ascii="Arial" w:hAnsi="Arial" w:cs="Arial"/>
        </w:rPr>
        <w:t>in this regard</w:t>
      </w:r>
      <w:r w:rsidR="009B7AE0" w:rsidRPr="00816BE2">
        <w:rPr>
          <w:rFonts w:ascii="Arial" w:hAnsi="Arial" w:cs="Arial"/>
        </w:rPr>
        <w:t xml:space="preserve">, that SARS </w:t>
      </w:r>
      <w:r w:rsidR="00A86675" w:rsidRPr="00816BE2">
        <w:rPr>
          <w:rFonts w:ascii="Arial" w:hAnsi="Arial" w:cs="Arial"/>
        </w:rPr>
        <w:t xml:space="preserve">had unlawfully </w:t>
      </w:r>
      <w:r w:rsidR="009B7AE0" w:rsidRPr="00816BE2">
        <w:rPr>
          <w:rFonts w:ascii="Arial" w:hAnsi="Arial" w:cs="Arial"/>
        </w:rPr>
        <w:t>seize</w:t>
      </w:r>
      <w:r w:rsidR="007A152C" w:rsidRPr="00816BE2">
        <w:rPr>
          <w:rFonts w:ascii="Arial" w:hAnsi="Arial" w:cs="Arial"/>
        </w:rPr>
        <w:t>d</w:t>
      </w:r>
      <w:r w:rsidR="009B7AE0" w:rsidRPr="00816BE2">
        <w:rPr>
          <w:rFonts w:ascii="Arial" w:hAnsi="Arial" w:cs="Arial"/>
        </w:rPr>
        <w:t xml:space="preserve"> the</w:t>
      </w:r>
      <w:r w:rsidR="003F6447" w:rsidRPr="00816BE2">
        <w:rPr>
          <w:rFonts w:ascii="Arial" w:hAnsi="Arial" w:cs="Arial"/>
        </w:rPr>
        <w:t>ir</w:t>
      </w:r>
      <w:r w:rsidR="009B7AE0" w:rsidRPr="00816BE2">
        <w:rPr>
          <w:rFonts w:ascii="Arial" w:hAnsi="Arial" w:cs="Arial"/>
        </w:rPr>
        <w:t xml:space="preserve"> property</w:t>
      </w:r>
      <w:r w:rsidR="003F6AC6">
        <w:rPr>
          <w:rFonts w:ascii="Arial" w:hAnsi="Arial" w:cs="Arial"/>
        </w:rPr>
        <w:t xml:space="preserve"> </w:t>
      </w:r>
      <w:r w:rsidR="003F6AC6" w:rsidRPr="00C22D73">
        <w:rPr>
          <w:rFonts w:ascii="Arial" w:hAnsi="Arial" w:cs="Arial"/>
        </w:rPr>
        <w:t>of</w:t>
      </w:r>
      <w:r w:rsidR="00A86675" w:rsidRPr="00816BE2">
        <w:rPr>
          <w:rFonts w:ascii="Arial" w:hAnsi="Arial" w:cs="Arial"/>
        </w:rPr>
        <w:t xml:space="preserve"> which</w:t>
      </w:r>
      <w:r w:rsidR="009B7AE0" w:rsidRPr="00816BE2">
        <w:rPr>
          <w:rFonts w:ascii="Arial" w:hAnsi="Arial" w:cs="Arial"/>
        </w:rPr>
        <w:t xml:space="preserve"> they were in peac</w:t>
      </w:r>
      <w:r w:rsidR="003F6AC6">
        <w:rPr>
          <w:rFonts w:ascii="Arial" w:hAnsi="Arial" w:cs="Arial"/>
        </w:rPr>
        <w:t>eful and undisturbed possessio</w:t>
      </w:r>
      <w:r w:rsidR="003F6AC6" w:rsidRPr="00F93A16">
        <w:rPr>
          <w:rFonts w:ascii="Arial" w:hAnsi="Arial" w:cs="Arial"/>
        </w:rPr>
        <w:t>n</w:t>
      </w:r>
      <w:r w:rsidR="009B7AE0" w:rsidRPr="00F93A16">
        <w:rPr>
          <w:rFonts w:ascii="Arial" w:hAnsi="Arial" w:cs="Arial"/>
        </w:rPr>
        <w:t>;</w:t>
      </w:r>
      <w:r w:rsidR="009B7AE0" w:rsidRPr="00816BE2">
        <w:rPr>
          <w:rFonts w:ascii="Arial" w:hAnsi="Arial" w:cs="Arial"/>
        </w:rPr>
        <w:t xml:space="preserve"> </w:t>
      </w:r>
      <w:r w:rsidR="007A152C" w:rsidRPr="00816BE2">
        <w:rPr>
          <w:rFonts w:ascii="Arial" w:hAnsi="Arial" w:cs="Arial"/>
        </w:rPr>
        <w:t xml:space="preserve">that </w:t>
      </w:r>
      <w:r w:rsidR="009B7AE0" w:rsidRPr="00816BE2">
        <w:rPr>
          <w:rFonts w:ascii="Arial" w:hAnsi="Arial" w:cs="Arial"/>
        </w:rPr>
        <w:t>the seized property was not found on the premises but was stored in the Fortun</w:t>
      </w:r>
      <w:r w:rsidR="003F6AC6" w:rsidRPr="00F93A16">
        <w:rPr>
          <w:rFonts w:ascii="Arial" w:hAnsi="Arial" w:cs="Arial"/>
        </w:rPr>
        <w:t>er</w:t>
      </w:r>
      <w:r w:rsidR="009B7AE0" w:rsidRPr="00816BE2">
        <w:rPr>
          <w:rFonts w:ascii="Arial" w:hAnsi="Arial" w:cs="Arial"/>
        </w:rPr>
        <w:t xml:space="preserve"> which was parked in ‘a general carpark’ outside the premises</w:t>
      </w:r>
      <w:r w:rsidR="007A152C" w:rsidRPr="00816BE2">
        <w:rPr>
          <w:rFonts w:ascii="Arial" w:hAnsi="Arial" w:cs="Arial"/>
        </w:rPr>
        <w:t>;</w:t>
      </w:r>
      <w:r w:rsidR="009B7AE0" w:rsidRPr="00816BE2">
        <w:rPr>
          <w:rFonts w:ascii="Arial" w:hAnsi="Arial" w:cs="Arial"/>
        </w:rPr>
        <w:t xml:space="preserve"> and </w:t>
      </w:r>
      <w:r w:rsidR="007A152C" w:rsidRPr="00816BE2">
        <w:rPr>
          <w:rFonts w:ascii="Arial" w:hAnsi="Arial" w:cs="Arial"/>
        </w:rPr>
        <w:t xml:space="preserve">that </w:t>
      </w:r>
      <w:r w:rsidR="009B7AE0" w:rsidRPr="00816BE2">
        <w:rPr>
          <w:rFonts w:ascii="Arial" w:hAnsi="Arial" w:cs="Arial"/>
        </w:rPr>
        <w:t xml:space="preserve">the scope of the warrant was limited to Bullion Star’s property for the </w:t>
      </w:r>
      <w:r w:rsidR="00B41634" w:rsidRPr="00816BE2">
        <w:rPr>
          <w:rFonts w:ascii="Arial" w:hAnsi="Arial" w:cs="Arial"/>
        </w:rPr>
        <w:t xml:space="preserve">specified </w:t>
      </w:r>
      <w:r w:rsidR="009B7AE0" w:rsidRPr="00816BE2">
        <w:rPr>
          <w:rFonts w:ascii="Arial" w:hAnsi="Arial" w:cs="Arial"/>
        </w:rPr>
        <w:t>period of assessment</w:t>
      </w:r>
      <w:r w:rsidR="00B41634" w:rsidRPr="00816BE2">
        <w:rPr>
          <w:rFonts w:ascii="Arial" w:hAnsi="Arial" w:cs="Arial"/>
        </w:rPr>
        <w:t>,</w:t>
      </w:r>
      <w:r w:rsidR="003231CE" w:rsidRPr="00816BE2">
        <w:rPr>
          <w:rFonts w:ascii="Arial" w:hAnsi="Arial" w:cs="Arial"/>
        </w:rPr>
        <w:t xml:space="preserve"> and did not extend to their property.</w:t>
      </w:r>
      <w:r w:rsidR="009B7AE0" w:rsidRPr="00816BE2">
        <w:rPr>
          <w:rFonts w:ascii="Arial" w:hAnsi="Arial" w:cs="Arial"/>
        </w:rPr>
        <w:t xml:space="preserve"> </w:t>
      </w:r>
    </w:p>
    <w:p w14:paraId="38530135" w14:textId="77777777" w:rsidR="009B7AE0" w:rsidRPr="00816BE2" w:rsidRDefault="009B7AE0" w:rsidP="009B7AE0">
      <w:pPr>
        <w:spacing w:line="360" w:lineRule="auto"/>
        <w:jc w:val="both"/>
        <w:rPr>
          <w:rFonts w:ascii="Arial" w:hAnsi="Arial" w:cs="Arial"/>
        </w:rPr>
      </w:pPr>
    </w:p>
    <w:p w14:paraId="636213B6" w14:textId="352A4AD2"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[8]</w:t>
      </w:r>
      <w:r w:rsidRPr="00816BE2">
        <w:rPr>
          <w:rFonts w:ascii="Arial" w:hAnsi="Arial" w:cs="Arial"/>
        </w:rPr>
        <w:tab/>
      </w:r>
      <w:r w:rsidR="009B7AE0" w:rsidRPr="00816BE2">
        <w:rPr>
          <w:rFonts w:ascii="Arial" w:hAnsi="Arial" w:cs="Arial"/>
        </w:rPr>
        <w:t>SARS opposed the application. It</w:t>
      </w:r>
      <w:r w:rsidR="00C35F08" w:rsidRPr="00816BE2">
        <w:rPr>
          <w:rFonts w:ascii="Arial" w:hAnsi="Arial" w:cs="Arial"/>
        </w:rPr>
        <w:t xml:space="preserve">s core </w:t>
      </w:r>
      <w:r w:rsidR="009B7AE0" w:rsidRPr="00816BE2">
        <w:rPr>
          <w:rFonts w:ascii="Arial" w:hAnsi="Arial" w:cs="Arial"/>
        </w:rPr>
        <w:t>defence</w:t>
      </w:r>
      <w:r w:rsidR="00C35F08" w:rsidRPr="00816BE2">
        <w:rPr>
          <w:rFonts w:ascii="Arial" w:hAnsi="Arial" w:cs="Arial"/>
        </w:rPr>
        <w:t xml:space="preserve"> was that</w:t>
      </w:r>
      <w:r w:rsidR="009B7AE0" w:rsidRPr="00816BE2">
        <w:rPr>
          <w:rFonts w:ascii="Arial" w:hAnsi="Arial" w:cs="Arial"/>
        </w:rPr>
        <w:t xml:space="preserve"> it did not unlawfully dispossess the appellants of the </w:t>
      </w:r>
      <w:r w:rsidR="006A4662" w:rsidRPr="00816BE2">
        <w:rPr>
          <w:rFonts w:ascii="Arial" w:hAnsi="Arial" w:cs="Arial"/>
        </w:rPr>
        <w:t>items</w:t>
      </w:r>
      <w:r w:rsidR="009B7AE0" w:rsidRPr="00816BE2">
        <w:rPr>
          <w:rFonts w:ascii="Arial" w:hAnsi="Arial" w:cs="Arial"/>
        </w:rPr>
        <w:t xml:space="preserve"> in question, because it had acted in accordance with the terms of a validly issued warrant</w:t>
      </w:r>
      <w:r w:rsidR="009E6A86" w:rsidRPr="00816BE2">
        <w:rPr>
          <w:rFonts w:ascii="Arial" w:hAnsi="Arial" w:cs="Arial"/>
        </w:rPr>
        <w:t xml:space="preserve"> under s 60 of the </w:t>
      </w:r>
      <w:r w:rsidR="003D6CCE" w:rsidRPr="00816BE2">
        <w:rPr>
          <w:rFonts w:ascii="Arial" w:hAnsi="Arial" w:cs="Arial"/>
        </w:rPr>
        <w:t>TAA</w:t>
      </w:r>
      <w:r w:rsidR="00C35F08" w:rsidRPr="00816BE2">
        <w:rPr>
          <w:rFonts w:ascii="Arial" w:hAnsi="Arial" w:cs="Arial"/>
        </w:rPr>
        <w:t>.</w:t>
      </w:r>
      <w:r w:rsidR="009B7AE0" w:rsidRPr="00816BE2">
        <w:rPr>
          <w:rFonts w:ascii="Arial" w:hAnsi="Arial" w:cs="Arial"/>
        </w:rPr>
        <w:t xml:space="preserve"> It</w:t>
      </w:r>
      <w:r w:rsidR="00C35F08" w:rsidRPr="00816BE2">
        <w:rPr>
          <w:rFonts w:ascii="Arial" w:hAnsi="Arial" w:cs="Arial"/>
        </w:rPr>
        <w:t xml:space="preserve"> </w:t>
      </w:r>
      <w:r w:rsidR="006A4662" w:rsidRPr="00816BE2">
        <w:rPr>
          <w:rFonts w:ascii="Arial" w:hAnsi="Arial" w:cs="Arial"/>
        </w:rPr>
        <w:t>pointed out</w:t>
      </w:r>
      <w:r w:rsidR="00C35F08" w:rsidRPr="00816BE2">
        <w:rPr>
          <w:rFonts w:ascii="Arial" w:hAnsi="Arial" w:cs="Arial"/>
        </w:rPr>
        <w:t xml:space="preserve"> that it</w:t>
      </w:r>
      <w:r w:rsidR="009B7AE0" w:rsidRPr="00816BE2">
        <w:rPr>
          <w:rFonts w:ascii="Arial" w:hAnsi="Arial" w:cs="Arial"/>
        </w:rPr>
        <w:t xml:space="preserve"> had returned </w:t>
      </w:r>
      <w:r w:rsidR="006A4662" w:rsidRPr="00816BE2">
        <w:rPr>
          <w:rFonts w:ascii="Arial" w:hAnsi="Arial" w:cs="Arial"/>
        </w:rPr>
        <w:t>some</w:t>
      </w:r>
      <w:r w:rsidR="009B7AE0" w:rsidRPr="00816BE2">
        <w:rPr>
          <w:rFonts w:ascii="Arial" w:hAnsi="Arial" w:cs="Arial"/>
        </w:rPr>
        <w:t xml:space="preserve"> items to the appellants but was unwilling to return </w:t>
      </w:r>
      <w:r w:rsidR="006A4662" w:rsidRPr="00816BE2">
        <w:rPr>
          <w:rFonts w:ascii="Arial" w:hAnsi="Arial" w:cs="Arial"/>
        </w:rPr>
        <w:t xml:space="preserve">the two laptop computers and two cellular phones (referenced above) </w:t>
      </w:r>
      <w:r w:rsidR="0061056A" w:rsidRPr="00816BE2">
        <w:rPr>
          <w:rFonts w:ascii="Arial" w:hAnsi="Arial" w:cs="Arial"/>
        </w:rPr>
        <w:t>because</w:t>
      </w:r>
      <w:r w:rsidR="007A152C" w:rsidRPr="00816BE2">
        <w:rPr>
          <w:rFonts w:ascii="Arial" w:hAnsi="Arial" w:cs="Arial"/>
        </w:rPr>
        <w:t>, without</w:t>
      </w:r>
      <w:r w:rsidR="006E6534" w:rsidRPr="00816BE2">
        <w:rPr>
          <w:rFonts w:ascii="Arial" w:hAnsi="Arial" w:cs="Arial"/>
        </w:rPr>
        <w:t xml:space="preserve"> access to</w:t>
      </w:r>
      <w:r w:rsidR="00C35F08" w:rsidRPr="00816BE2">
        <w:rPr>
          <w:rFonts w:ascii="Arial" w:hAnsi="Arial" w:cs="Arial"/>
        </w:rPr>
        <w:t xml:space="preserve"> their</w:t>
      </w:r>
      <w:r w:rsidR="007A152C" w:rsidRPr="00816BE2">
        <w:rPr>
          <w:rFonts w:ascii="Arial" w:hAnsi="Arial" w:cs="Arial"/>
        </w:rPr>
        <w:t xml:space="preserve"> passwords,</w:t>
      </w:r>
      <w:r w:rsidR="00C0023B" w:rsidRPr="00816BE2">
        <w:rPr>
          <w:rStyle w:val="FootnoteReference"/>
          <w:rFonts w:ascii="Arial" w:hAnsi="Arial" w:cs="Arial"/>
        </w:rPr>
        <w:footnoteReference w:id="9"/>
      </w:r>
      <w:r w:rsidR="0061056A" w:rsidRPr="00816BE2">
        <w:rPr>
          <w:rFonts w:ascii="Arial" w:hAnsi="Arial" w:cs="Arial"/>
        </w:rPr>
        <w:t xml:space="preserve"> it was </w:t>
      </w:r>
      <w:r w:rsidR="0000674E" w:rsidRPr="00816BE2">
        <w:rPr>
          <w:rFonts w:ascii="Arial" w:hAnsi="Arial" w:cs="Arial"/>
        </w:rPr>
        <w:t>unable to determine whether the</w:t>
      </w:r>
      <w:r w:rsidR="00C35F08" w:rsidRPr="00816BE2">
        <w:rPr>
          <w:rFonts w:ascii="Arial" w:hAnsi="Arial" w:cs="Arial"/>
        </w:rPr>
        <w:t>y</w:t>
      </w:r>
      <w:r w:rsidR="00DF4C24" w:rsidRPr="00816BE2">
        <w:rPr>
          <w:rFonts w:ascii="Arial" w:hAnsi="Arial" w:cs="Arial"/>
        </w:rPr>
        <w:t xml:space="preserve"> </w:t>
      </w:r>
      <w:r w:rsidR="0000674E" w:rsidRPr="00816BE2">
        <w:rPr>
          <w:rFonts w:ascii="Arial" w:hAnsi="Arial" w:cs="Arial"/>
        </w:rPr>
        <w:t>contained material relevant to Bullion Star</w:t>
      </w:r>
      <w:r w:rsidR="00DF4C24" w:rsidRPr="00816BE2">
        <w:rPr>
          <w:rFonts w:ascii="Arial" w:hAnsi="Arial" w:cs="Arial"/>
        </w:rPr>
        <w:t>.</w:t>
      </w:r>
      <w:r w:rsidR="006E6534" w:rsidRPr="00816BE2">
        <w:rPr>
          <w:rStyle w:val="FootnoteReference"/>
          <w:rFonts w:ascii="Arial" w:hAnsi="Arial" w:cs="Arial"/>
        </w:rPr>
        <w:footnoteReference w:id="10"/>
      </w:r>
      <w:r w:rsidR="009B7AE0" w:rsidRPr="00816BE2">
        <w:rPr>
          <w:rFonts w:ascii="Arial" w:hAnsi="Arial" w:cs="Arial"/>
        </w:rPr>
        <w:t xml:space="preserve">     </w:t>
      </w:r>
    </w:p>
    <w:p w14:paraId="449B1591" w14:textId="77777777" w:rsidR="009B7AE0" w:rsidRPr="00816BE2" w:rsidRDefault="009B7AE0" w:rsidP="009B7AE0">
      <w:pPr>
        <w:spacing w:line="360" w:lineRule="auto"/>
        <w:jc w:val="both"/>
        <w:rPr>
          <w:rFonts w:ascii="Arial" w:hAnsi="Arial" w:cs="Arial"/>
        </w:rPr>
      </w:pPr>
    </w:p>
    <w:p w14:paraId="05B3DDEE" w14:textId="0A09381D"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[9]</w:t>
      </w:r>
      <w:r w:rsidRPr="00816BE2">
        <w:rPr>
          <w:rFonts w:ascii="Arial" w:hAnsi="Arial" w:cs="Arial"/>
        </w:rPr>
        <w:tab/>
      </w:r>
      <w:r w:rsidR="009B7AE0" w:rsidRPr="00816BE2">
        <w:rPr>
          <w:rFonts w:ascii="Arial" w:hAnsi="Arial" w:cs="Arial"/>
        </w:rPr>
        <w:t xml:space="preserve">The high court held that SARS was entitled to search </w:t>
      </w:r>
      <w:r w:rsidR="00D52744">
        <w:rPr>
          <w:rFonts w:ascii="Arial" w:hAnsi="Arial" w:cs="Arial"/>
        </w:rPr>
        <w:t xml:space="preserve">for </w:t>
      </w:r>
      <w:r w:rsidR="009B7AE0" w:rsidRPr="00816BE2">
        <w:rPr>
          <w:rFonts w:ascii="Arial" w:hAnsi="Arial" w:cs="Arial"/>
        </w:rPr>
        <w:t>and seize items relevant to Bullion Star</w:t>
      </w:r>
      <w:r w:rsidR="00C35F08" w:rsidRPr="00816BE2">
        <w:rPr>
          <w:rFonts w:ascii="Arial" w:hAnsi="Arial" w:cs="Arial"/>
        </w:rPr>
        <w:t xml:space="preserve"> as </w:t>
      </w:r>
      <w:r w:rsidR="009B7AE0" w:rsidRPr="00816BE2">
        <w:rPr>
          <w:rFonts w:ascii="Arial" w:hAnsi="Arial" w:cs="Arial"/>
        </w:rPr>
        <w:t xml:space="preserve">the warrant specifically authorised </w:t>
      </w:r>
      <w:r w:rsidR="00C35F08" w:rsidRPr="00816BE2">
        <w:rPr>
          <w:rFonts w:ascii="Arial" w:hAnsi="Arial" w:cs="Arial"/>
        </w:rPr>
        <w:t>its</w:t>
      </w:r>
      <w:r w:rsidR="009B7AE0" w:rsidRPr="00816BE2">
        <w:rPr>
          <w:rFonts w:ascii="Arial" w:hAnsi="Arial" w:cs="Arial"/>
        </w:rPr>
        <w:t xml:space="preserve"> officials to search anywhere on the premises</w:t>
      </w:r>
      <w:r w:rsidR="00C35F08" w:rsidRPr="00816BE2">
        <w:rPr>
          <w:rFonts w:ascii="Arial" w:hAnsi="Arial" w:cs="Arial"/>
        </w:rPr>
        <w:t>.</w:t>
      </w:r>
      <w:r w:rsidR="009B7AE0" w:rsidRPr="00816BE2">
        <w:rPr>
          <w:rFonts w:ascii="Arial" w:hAnsi="Arial" w:cs="Arial"/>
        </w:rPr>
        <w:t xml:space="preserve"> This included vehicles parked on the premises. It furthermore held that to interpret the warrant to limit its terms to </w:t>
      </w:r>
      <w:r w:rsidR="002C7A4D" w:rsidRPr="00816BE2">
        <w:rPr>
          <w:rFonts w:ascii="Arial" w:hAnsi="Arial" w:cs="Arial"/>
        </w:rPr>
        <w:t xml:space="preserve">Bullion Star, the </w:t>
      </w:r>
      <w:r w:rsidR="009B7AE0" w:rsidRPr="00816BE2">
        <w:rPr>
          <w:rFonts w:ascii="Arial" w:hAnsi="Arial" w:cs="Arial"/>
        </w:rPr>
        <w:t>taxpayer referred to in the warrant</w:t>
      </w:r>
      <w:r w:rsidR="00470DD9" w:rsidRPr="00816BE2">
        <w:rPr>
          <w:rFonts w:ascii="Arial" w:hAnsi="Arial" w:cs="Arial"/>
        </w:rPr>
        <w:t>,</w:t>
      </w:r>
      <w:r w:rsidR="002C7A4D" w:rsidRPr="00816BE2">
        <w:rPr>
          <w:rFonts w:ascii="Arial" w:hAnsi="Arial" w:cs="Arial"/>
        </w:rPr>
        <w:t xml:space="preserve"> </w:t>
      </w:r>
      <w:r w:rsidR="009B7AE0" w:rsidRPr="00816BE2">
        <w:rPr>
          <w:rFonts w:ascii="Arial" w:hAnsi="Arial" w:cs="Arial"/>
        </w:rPr>
        <w:t>would serve to undermine its efficacy</w:t>
      </w:r>
      <w:r w:rsidR="002C7A4D" w:rsidRPr="00816BE2">
        <w:rPr>
          <w:rFonts w:ascii="Arial" w:hAnsi="Arial" w:cs="Arial"/>
        </w:rPr>
        <w:t>.</w:t>
      </w:r>
      <w:r w:rsidR="009B7AE0" w:rsidRPr="00816BE2">
        <w:rPr>
          <w:rFonts w:ascii="Arial" w:hAnsi="Arial" w:cs="Arial"/>
        </w:rPr>
        <w:t xml:space="preserve"> The high court accordingly dismissed the</w:t>
      </w:r>
      <w:r w:rsidR="009E6A86" w:rsidRPr="00816BE2">
        <w:rPr>
          <w:rFonts w:ascii="Arial" w:hAnsi="Arial" w:cs="Arial"/>
        </w:rPr>
        <w:t xml:space="preserve"> </w:t>
      </w:r>
      <w:r w:rsidR="009B7AE0" w:rsidRPr="00816BE2">
        <w:rPr>
          <w:rFonts w:ascii="Arial" w:hAnsi="Arial" w:cs="Arial"/>
        </w:rPr>
        <w:t xml:space="preserve">application as well as </w:t>
      </w:r>
      <w:r w:rsidR="00BF35EA" w:rsidRPr="00816BE2">
        <w:rPr>
          <w:rFonts w:ascii="Arial" w:hAnsi="Arial" w:cs="Arial"/>
        </w:rPr>
        <w:t>the</w:t>
      </w:r>
      <w:r w:rsidR="009B7AE0" w:rsidRPr="00816BE2">
        <w:rPr>
          <w:rFonts w:ascii="Arial" w:hAnsi="Arial" w:cs="Arial"/>
        </w:rPr>
        <w:t xml:space="preserve"> application for leave to appeal</w:t>
      </w:r>
      <w:r w:rsidR="009E6A86" w:rsidRPr="00816BE2">
        <w:rPr>
          <w:rFonts w:ascii="Arial" w:hAnsi="Arial" w:cs="Arial"/>
        </w:rPr>
        <w:t xml:space="preserve"> against its dismissal</w:t>
      </w:r>
      <w:r w:rsidR="009B7AE0" w:rsidRPr="00816BE2">
        <w:rPr>
          <w:rFonts w:ascii="Arial" w:hAnsi="Arial" w:cs="Arial"/>
        </w:rPr>
        <w:t>. The appellant</w:t>
      </w:r>
      <w:r w:rsidR="00BF35EA" w:rsidRPr="00816BE2">
        <w:rPr>
          <w:rFonts w:ascii="Arial" w:hAnsi="Arial" w:cs="Arial"/>
        </w:rPr>
        <w:t>s</w:t>
      </w:r>
      <w:r w:rsidR="009B7AE0" w:rsidRPr="00816BE2">
        <w:rPr>
          <w:rFonts w:ascii="Arial" w:hAnsi="Arial" w:cs="Arial"/>
        </w:rPr>
        <w:t xml:space="preserve"> </w:t>
      </w:r>
      <w:r w:rsidR="00BF35EA" w:rsidRPr="00816BE2">
        <w:rPr>
          <w:rFonts w:ascii="Arial" w:hAnsi="Arial" w:cs="Arial"/>
        </w:rPr>
        <w:t xml:space="preserve">subsequently </w:t>
      </w:r>
      <w:r w:rsidR="003231CE" w:rsidRPr="00816BE2">
        <w:rPr>
          <w:rFonts w:ascii="Arial" w:hAnsi="Arial" w:cs="Arial"/>
        </w:rPr>
        <w:t>applied</w:t>
      </w:r>
      <w:r w:rsidR="009B7AE0" w:rsidRPr="00816BE2">
        <w:rPr>
          <w:rFonts w:ascii="Arial" w:hAnsi="Arial" w:cs="Arial"/>
        </w:rPr>
        <w:t xml:space="preserve"> to this </w:t>
      </w:r>
      <w:r w:rsidR="00F159A4" w:rsidRPr="00816BE2">
        <w:rPr>
          <w:rFonts w:ascii="Arial" w:hAnsi="Arial" w:cs="Arial"/>
        </w:rPr>
        <w:t>C</w:t>
      </w:r>
      <w:r w:rsidR="009B7AE0" w:rsidRPr="00816BE2">
        <w:rPr>
          <w:rFonts w:ascii="Arial" w:hAnsi="Arial" w:cs="Arial"/>
        </w:rPr>
        <w:t xml:space="preserve">ourt for leave to appeal which was granted. </w:t>
      </w:r>
    </w:p>
    <w:p w14:paraId="74879557" w14:textId="77777777" w:rsidR="007C32E3" w:rsidRPr="00816BE2" w:rsidRDefault="007C32E3" w:rsidP="009B7AE0">
      <w:pPr>
        <w:spacing w:line="360" w:lineRule="auto"/>
        <w:jc w:val="both"/>
        <w:rPr>
          <w:rFonts w:ascii="Arial" w:hAnsi="Arial" w:cs="Arial"/>
          <w:b/>
          <w:bCs/>
          <w:sz w:val="22"/>
          <w:szCs w:val="22"/>
        </w:rPr>
      </w:pPr>
    </w:p>
    <w:p w14:paraId="5D1D0878" w14:textId="7FA0C1C0" w:rsidR="004E7CF2" w:rsidRPr="00816BE2" w:rsidRDefault="007C32E3" w:rsidP="007C32E3">
      <w:pPr>
        <w:spacing w:line="360" w:lineRule="auto"/>
        <w:jc w:val="both"/>
        <w:rPr>
          <w:rFonts w:ascii="Arial" w:hAnsi="Arial" w:cs="Arial"/>
          <w:b/>
          <w:bCs/>
        </w:rPr>
      </w:pPr>
      <w:r w:rsidRPr="00816BE2">
        <w:rPr>
          <w:rFonts w:ascii="Arial" w:hAnsi="Arial" w:cs="Arial"/>
          <w:b/>
          <w:bCs/>
        </w:rPr>
        <w:lastRenderedPageBreak/>
        <w:t xml:space="preserve">On </w:t>
      </w:r>
      <w:r w:rsidR="002E0C99" w:rsidRPr="00816BE2">
        <w:rPr>
          <w:rFonts w:ascii="Arial" w:hAnsi="Arial" w:cs="Arial"/>
          <w:b/>
          <w:bCs/>
        </w:rPr>
        <w:t>a</w:t>
      </w:r>
      <w:r w:rsidRPr="00816BE2">
        <w:rPr>
          <w:rFonts w:ascii="Arial" w:hAnsi="Arial" w:cs="Arial"/>
          <w:b/>
          <w:bCs/>
        </w:rPr>
        <w:t>ppeal</w:t>
      </w:r>
    </w:p>
    <w:p w14:paraId="3DDAD735" w14:textId="419B7BCD" w:rsidR="009B7AE0" w:rsidRPr="00816BE2" w:rsidRDefault="00B72E3C" w:rsidP="00B72E3C">
      <w:pPr>
        <w:pStyle w:val="ListParagraph"/>
        <w:spacing w:line="360" w:lineRule="auto"/>
        <w:ind w:left="0"/>
        <w:jc w:val="both"/>
        <w:rPr>
          <w:rFonts w:ascii="Arial" w:hAnsi="Arial" w:cs="Arial"/>
        </w:rPr>
      </w:pPr>
      <w:r w:rsidRPr="00816BE2">
        <w:rPr>
          <w:rFonts w:ascii="Arial" w:hAnsi="Arial" w:cs="Arial"/>
        </w:rPr>
        <w:t>[1</w:t>
      </w:r>
      <w:r w:rsidR="00C73A70" w:rsidRPr="00816BE2">
        <w:rPr>
          <w:rFonts w:ascii="Arial" w:hAnsi="Arial" w:cs="Arial"/>
        </w:rPr>
        <w:t>0</w:t>
      </w:r>
      <w:r w:rsidRPr="00816BE2">
        <w:rPr>
          <w:rFonts w:ascii="Arial" w:hAnsi="Arial" w:cs="Arial"/>
        </w:rPr>
        <w:t>]</w:t>
      </w:r>
      <w:r w:rsidRPr="00816BE2">
        <w:rPr>
          <w:rFonts w:ascii="Arial" w:hAnsi="Arial" w:cs="Arial"/>
        </w:rPr>
        <w:tab/>
      </w:r>
      <w:r w:rsidR="009A7F3E" w:rsidRPr="00816BE2">
        <w:rPr>
          <w:rFonts w:ascii="Arial" w:hAnsi="Arial" w:cs="Arial"/>
        </w:rPr>
        <w:t>The appellants conceded in their replying affidavit that the Fortun</w:t>
      </w:r>
      <w:r w:rsidR="003F6AC6" w:rsidRPr="00F93A16">
        <w:rPr>
          <w:rFonts w:ascii="Arial" w:hAnsi="Arial" w:cs="Arial"/>
        </w:rPr>
        <w:t>er</w:t>
      </w:r>
      <w:r w:rsidR="009A7F3E" w:rsidRPr="00816BE2">
        <w:rPr>
          <w:rFonts w:ascii="Arial" w:hAnsi="Arial" w:cs="Arial"/>
        </w:rPr>
        <w:t xml:space="preserve"> was parked on the premises. </w:t>
      </w:r>
      <w:r w:rsidR="003F6AC6" w:rsidRPr="00F93A16">
        <w:rPr>
          <w:rFonts w:ascii="Arial" w:hAnsi="Arial" w:cs="Arial"/>
        </w:rPr>
        <w:t>Surprisingly, t</w:t>
      </w:r>
      <w:r w:rsidR="00C73A70" w:rsidRPr="00816BE2">
        <w:rPr>
          <w:rFonts w:ascii="Arial" w:hAnsi="Arial" w:cs="Arial"/>
        </w:rPr>
        <w:t>h</w:t>
      </w:r>
      <w:r w:rsidR="006D4910" w:rsidRPr="00816BE2">
        <w:rPr>
          <w:rFonts w:ascii="Arial" w:hAnsi="Arial" w:cs="Arial"/>
        </w:rPr>
        <w:t>ey contended</w:t>
      </w:r>
      <w:r w:rsidR="00C73A70" w:rsidRPr="00816BE2">
        <w:rPr>
          <w:rFonts w:ascii="Arial" w:hAnsi="Arial" w:cs="Arial"/>
        </w:rPr>
        <w:t>, to the contrary,</w:t>
      </w:r>
      <w:r w:rsidR="006D4910" w:rsidRPr="00816BE2">
        <w:rPr>
          <w:rFonts w:ascii="Arial" w:hAnsi="Arial" w:cs="Arial"/>
        </w:rPr>
        <w:t xml:space="preserve"> </w:t>
      </w:r>
      <w:r w:rsidR="009A7F3E" w:rsidRPr="00816BE2">
        <w:rPr>
          <w:rFonts w:ascii="Arial" w:hAnsi="Arial" w:cs="Arial"/>
        </w:rPr>
        <w:t xml:space="preserve">in their </w:t>
      </w:r>
      <w:r w:rsidR="00BF35EA" w:rsidRPr="00816BE2">
        <w:rPr>
          <w:rFonts w:ascii="Arial" w:hAnsi="Arial" w:cs="Arial"/>
        </w:rPr>
        <w:t>heads of argument</w:t>
      </w:r>
      <w:r w:rsidR="006D4910" w:rsidRPr="00816BE2">
        <w:rPr>
          <w:rFonts w:ascii="Arial" w:hAnsi="Arial" w:cs="Arial"/>
        </w:rPr>
        <w:t xml:space="preserve"> in the appeal</w:t>
      </w:r>
      <w:r w:rsidR="002C7A4D" w:rsidRPr="00816BE2">
        <w:rPr>
          <w:rFonts w:ascii="Arial" w:hAnsi="Arial" w:cs="Arial"/>
        </w:rPr>
        <w:t xml:space="preserve"> </w:t>
      </w:r>
      <w:r w:rsidR="009B7AE0" w:rsidRPr="00816BE2">
        <w:rPr>
          <w:rFonts w:ascii="Arial" w:hAnsi="Arial" w:cs="Arial"/>
        </w:rPr>
        <w:t>that the Fortun</w:t>
      </w:r>
      <w:r w:rsidR="003F6AC6" w:rsidRPr="00F93A16">
        <w:rPr>
          <w:rFonts w:ascii="Arial" w:hAnsi="Arial" w:cs="Arial"/>
        </w:rPr>
        <w:t>er</w:t>
      </w:r>
      <w:r w:rsidR="009B7AE0" w:rsidRPr="00816BE2">
        <w:rPr>
          <w:rFonts w:ascii="Arial" w:hAnsi="Arial" w:cs="Arial"/>
        </w:rPr>
        <w:t xml:space="preserve"> was not parked on the premises</w:t>
      </w:r>
      <w:r w:rsidR="00386AFF" w:rsidRPr="00816BE2">
        <w:rPr>
          <w:rFonts w:ascii="Arial" w:hAnsi="Arial" w:cs="Arial"/>
        </w:rPr>
        <w:t>.</w:t>
      </w:r>
      <w:r w:rsidR="00BF35EA" w:rsidRPr="00816BE2">
        <w:rPr>
          <w:rFonts w:ascii="Arial" w:hAnsi="Arial" w:cs="Arial"/>
        </w:rPr>
        <w:t xml:space="preserve"> Th</w:t>
      </w:r>
      <w:r w:rsidR="0061056A" w:rsidRPr="00816BE2">
        <w:rPr>
          <w:rFonts w:ascii="Arial" w:hAnsi="Arial" w:cs="Arial"/>
        </w:rPr>
        <w:t xml:space="preserve">is </w:t>
      </w:r>
      <w:r w:rsidR="009A7F3E" w:rsidRPr="00816BE2">
        <w:rPr>
          <w:rFonts w:ascii="Arial" w:hAnsi="Arial" w:cs="Arial"/>
        </w:rPr>
        <w:t xml:space="preserve">question was, however, put to </w:t>
      </w:r>
      <w:r w:rsidR="001130A6" w:rsidRPr="00816BE2">
        <w:rPr>
          <w:rFonts w:ascii="Arial" w:hAnsi="Arial" w:cs="Arial"/>
        </w:rPr>
        <w:t>rest in</w:t>
      </w:r>
      <w:r w:rsidR="009A7F3E" w:rsidRPr="00816BE2">
        <w:rPr>
          <w:rFonts w:ascii="Arial" w:hAnsi="Arial" w:cs="Arial"/>
        </w:rPr>
        <w:t xml:space="preserve"> the appeal when the appellants accepted</w:t>
      </w:r>
      <w:r w:rsidR="002D3002" w:rsidRPr="00816BE2">
        <w:rPr>
          <w:rFonts w:ascii="Arial" w:hAnsi="Arial" w:cs="Arial"/>
        </w:rPr>
        <w:t>, during argument,</w:t>
      </w:r>
      <w:r w:rsidR="009A7F3E" w:rsidRPr="00816BE2">
        <w:rPr>
          <w:rFonts w:ascii="Arial" w:hAnsi="Arial" w:cs="Arial"/>
        </w:rPr>
        <w:t xml:space="preserve"> that</w:t>
      </w:r>
      <w:r w:rsidR="009B7AE0" w:rsidRPr="00816BE2">
        <w:rPr>
          <w:rFonts w:ascii="Arial" w:hAnsi="Arial" w:cs="Arial"/>
        </w:rPr>
        <w:t xml:space="preserve"> </w:t>
      </w:r>
      <w:r w:rsidR="00DF4C24" w:rsidRPr="00816BE2">
        <w:rPr>
          <w:rFonts w:ascii="Arial" w:hAnsi="Arial" w:cs="Arial"/>
        </w:rPr>
        <w:t xml:space="preserve">the </w:t>
      </w:r>
      <w:r w:rsidR="009B7AE0" w:rsidRPr="00816BE2">
        <w:rPr>
          <w:rFonts w:ascii="Arial" w:hAnsi="Arial" w:cs="Arial"/>
        </w:rPr>
        <w:t>Fortun</w:t>
      </w:r>
      <w:r w:rsidR="003F6AC6" w:rsidRPr="00F93A16">
        <w:rPr>
          <w:rFonts w:ascii="Arial" w:hAnsi="Arial" w:cs="Arial"/>
        </w:rPr>
        <w:t>er</w:t>
      </w:r>
      <w:r w:rsidR="009B7AE0" w:rsidRPr="00816BE2">
        <w:rPr>
          <w:rFonts w:ascii="Arial" w:hAnsi="Arial" w:cs="Arial"/>
        </w:rPr>
        <w:t xml:space="preserve"> was parked on the premises. </w:t>
      </w:r>
      <w:r w:rsidR="00031BC5" w:rsidRPr="00816BE2">
        <w:rPr>
          <w:rFonts w:ascii="Arial" w:hAnsi="Arial" w:cs="Arial"/>
        </w:rPr>
        <w:t>They</w:t>
      </w:r>
      <w:r w:rsidR="00C94916" w:rsidRPr="00816BE2">
        <w:rPr>
          <w:rFonts w:ascii="Arial" w:hAnsi="Arial" w:cs="Arial"/>
        </w:rPr>
        <w:t xml:space="preserve">, </w:t>
      </w:r>
      <w:r w:rsidR="003F6AC6" w:rsidRPr="00F93A16">
        <w:rPr>
          <w:rFonts w:ascii="Arial" w:hAnsi="Arial" w:cs="Arial"/>
        </w:rPr>
        <w:t>nevertheless</w:t>
      </w:r>
      <w:r w:rsidR="00C94916" w:rsidRPr="00F93A16">
        <w:rPr>
          <w:rFonts w:ascii="Arial" w:hAnsi="Arial" w:cs="Arial"/>
        </w:rPr>
        <w:t>,</w:t>
      </w:r>
      <w:r w:rsidR="00C94916" w:rsidRPr="00816BE2">
        <w:rPr>
          <w:rFonts w:ascii="Arial" w:hAnsi="Arial" w:cs="Arial"/>
        </w:rPr>
        <w:t xml:space="preserve"> </w:t>
      </w:r>
      <w:r w:rsidR="002D3002" w:rsidRPr="00816BE2">
        <w:rPr>
          <w:rFonts w:ascii="Arial" w:hAnsi="Arial" w:cs="Arial"/>
        </w:rPr>
        <w:t xml:space="preserve">argued that the </w:t>
      </w:r>
      <w:r w:rsidR="009B7AE0" w:rsidRPr="00816BE2">
        <w:rPr>
          <w:rFonts w:ascii="Arial" w:hAnsi="Arial" w:cs="Arial"/>
        </w:rPr>
        <w:t xml:space="preserve">warrant only applied to the taxpayer (Bullion Star) and not to third parties, such as </w:t>
      </w:r>
      <w:r w:rsidR="003D6CCE" w:rsidRPr="00816BE2">
        <w:rPr>
          <w:rFonts w:ascii="Arial" w:hAnsi="Arial" w:cs="Arial"/>
        </w:rPr>
        <w:t>themselves,</w:t>
      </w:r>
      <w:r w:rsidR="009B7AE0" w:rsidRPr="00816BE2">
        <w:rPr>
          <w:rFonts w:ascii="Arial" w:hAnsi="Arial" w:cs="Arial"/>
        </w:rPr>
        <w:t xml:space="preserve"> who happened to be on the premises at the time of its execution</w:t>
      </w:r>
      <w:r w:rsidR="002D3002" w:rsidRPr="00816BE2">
        <w:rPr>
          <w:rFonts w:ascii="Arial" w:hAnsi="Arial" w:cs="Arial"/>
        </w:rPr>
        <w:t>.</w:t>
      </w:r>
      <w:r w:rsidR="002D3002" w:rsidRPr="00816BE2">
        <w:rPr>
          <w:rStyle w:val="FootnoteReference"/>
          <w:rFonts w:ascii="Arial" w:hAnsi="Arial" w:cs="Arial"/>
        </w:rPr>
        <w:footnoteReference w:id="11"/>
      </w:r>
      <w:r w:rsidR="00E67DC8" w:rsidRPr="00816BE2">
        <w:rPr>
          <w:rFonts w:ascii="Arial" w:hAnsi="Arial" w:cs="Arial"/>
        </w:rPr>
        <w:t xml:space="preserve"> </w:t>
      </w:r>
    </w:p>
    <w:p w14:paraId="0F7EF083" w14:textId="77777777" w:rsidR="009B7AE0" w:rsidRPr="00816BE2" w:rsidRDefault="009B7AE0" w:rsidP="009B7AE0">
      <w:pPr>
        <w:spacing w:line="360" w:lineRule="auto"/>
        <w:jc w:val="both"/>
        <w:rPr>
          <w:rFonts w:ascii="Arial" w:hAnsi="Arial" w:cs="Arial"/>
        </w:rPr>
      </w:pPr>
    </w:p>
    <w:p w14:paraId="692B5E93" w14:textId="43ECBE06" w:rsidR="00B3344C" w:rsidRPr="00816BE2" w:rsidRDefault="00B72E3C" w:rsidP="00B72E3C">
      <w:pPr>
        <w:pStyle w:val="ListParagraph"/>
        <w:spacing w:line="360" w:lineRule="auto"/>
        <w:ind w:left="0"/>
        <w:jc w:val="both"/>
        <w:rPr>
          <w:rFonts w:ascii="Arial" w:hAnsi="Arial" w:cs="Arial"/>
        </w:rPr>
      </w:pPr>
      <w:r w:rsidRPr="00816BE2">
        <w:rPr>
          <w:rFonts w:ascii="Arial" w:hAnsi="Arial" w:cs="Arial"/>
        </w:rPr>
        <w:t>[1</w:t>
      </w:r>
      <w:r w:rsidR="004958C9" w:rsidRPr="00816BE2">
        <w:rPr>
          <w:rFonts w:ascii="Arial" w:hAnsi="Arial" w:cs="Arial"/>
        </w:rPr>
        <w:t>1</w:t>
      </w:r>
      <w:r w:rsidRPr="00816BE2">
        <w:rPr>
          <w:rFonts w:ascii="Arial" w:hAnsi="Arial" w:cs="Arial"/>
        </w:rPr>
        <w:t>]</w:t>
      </w:r>
      <w:r w:rsidRPr="00816BE2">
        <w:rPr>
          <w:rFonts w:ascii="Arial" w:hAnsi="Arial" w:cs="Arial"/>
        </w:rPr>
        <w:tab/>
      </w:r>
      <w:r w:rsidR="00762C25" w:rsidRPr="00816BE2">
        <w:rPr>
          <w:rFonts w:ascii="Arial" w:hAnsi="Arial" w:cs="Arial"/>
        </w:rPr>
        <w:t xml:space="preserve">Whether a warrant issued in terms of s 60 of the TAA may be executed against third parties </w:t>
      </w:r>
      <w:r w:rsidR="00F978D4" w:rsidRPr="00E831B2">
        <w:rPr>
          <w:rFonts w:ascii="Arial" w:hAnsi="Arial" w:cs="Arial"/>
        </w:rPr>
        <w:t>depends</w:t>
      </w:r>
      <w:r w:rsidR="00762C25" w:rsidRPr="00816BE2">
        <w:rPr>
          <w:rFonts w:ascii="Arial" w:hAnsi="Arial" w:cs="Arial"/>
        </w:rPr>
        <w:t xml:space="preserve"> on the interpretation of the </w:t>
      </w:r>
      <w:r w:rsidR="006D4910" w:rsidRPr="00816BE2">
        <w:rPr>
          <w:rFonts w:ascii="Arial" w:hAnsi="Arial" w:cs="Arial"/>
        </w:rPr>
        <w:t xml:space="preserve">warrant read together with the </w:t>
      </w:r>
      <w:r w:rsidR="00762C25" w:rsidRPr="00816BE2">
        <w:rPr>
          <w:rFonts w:ascii="Arial" w:hAnsi="Arial" w:cs="Arial"/>
        </w:rPr>
        <w:t>search and seizure provisions in the TAA.</w:t>
      </w:r>
      <w:r w:rsidR="00762C25" w:rsidRPr="00816BE2">
        <w:rPr>
          <w:rStyle w:val="FootnoteReference"/>
          <w:rFonts w:ascii="Arial" w:hAnsi="Arial" w:cs="Arial"/>
        </w:rPr>
        <w:footnoteReference w:id="12"/>
      </w:r>
      <w:r w:rsidR="006B27C2" w:rsidRPr="00816BE2">
        <w:rPr>
          <w:rFonts w:ascii="Arial" w:hAnsi="Arial" w:cs="Arial"/>
        </w:rPr>
        <w:t xml:space="preserve"> </w:t>
      </w:r>
      <w:r w:rsidR="00B3344C" w:rsidRPr="00816BE2">
        <w:rPr>
          <w:rFonts w:ascii="Arial" w:hAnsi="Arial" w:cs="Arial"/>
        </w:rPr>
        <w:t xml:space="preserve">The warrant </w:t>
      </w:r>
      <w:r w:rsidR="003F6447" w:rsidRPr="00816BE2">
        <w:rPr>
          <w:rFonts w:ascii="Arial" w:hAnsi="Arial" w:cs="Arial"/>
        </w:rPr>
        <w:t xml:space="preserve">largely </w:t>
      </w:r>
      <w:r w:rsidR="00B3344C" w:rsidRPr="00816BE2">
        <w:rPr>
          <w:rFonts w:ascii="Arial" w:hAnsi="Arial" w:cs="Arial"/>
        </w:rPr>
        <w:t>mirror</w:t>
      </w:r>
      <w:r w:rsidR="00A523C5" w:rsidRPr="00816BE2">
        <w:rPr>
          <w:rFonts w:ascii="Arial" w:hAnsi="Arial" w:cs="Arial"/>
        </w:rPr>
        <w:t>ed</w:t>
      </w:r>
      <w:r w:rsidR="00B3344C" w:rsidRPr="00816BE2">
        <w:rPr>
          <w:rFonts w:ascii="Arial" w:hAnsi="Arial" w:cs="Arial"/>
        </w:rPr>
        <w:t xml:space="preserve"> the </w:t>
      </w:r>
      <w:r w:rsidR="003F6447" w:rsidRPr="00816BE2">
        <w:rPr>
          <w:rFonts w:ascii="Arial" w:hAnsi="Arial" w:cs="Arial"/>
        </w:rPr>
        <w:t xml:space="preserve">search and seizure </w:t>
      </w:r>
      <w:r w:rsidR="00B3344C" w:rsidRPr="00816BE2">
        <w:rPr>
          <w:rFonts w:ascii="Arial" w:hAnsi="Arial" w:cs="Arial"/>
        </w:rPr>
        <w:t xml:space="preserve">provisions </w:t>
      </w:r>
      <w:r w:rsidR="003F6447" w:rsidRPr="00816BE2">
        <w:rPr>
          <w:rFonts w:ascii="Arial" w:hAnsi="Arial" w:cs="Arial"/>
        </w:rPr>
        <w:t xml:space="preserve">in Part D </w:t>
      </w:r>
      <w:r w:rsidR="00B3344C" w:rsidRPr="00816BE2">
        <w:rPr>
          <w:rFonts w:ascii="Arial" w:hAnsi="Arial" w:cs="Arial"/>
        </w:rPr>
        <w:t xml:space="preserve">of the TAA. </w:t>
      </w:r>
    </w:p>
    <w:p w14:paraId="60358931" w14:textId="77777777" w:rsidR="00B3344C" w:rsidRPr="00816BE2" w:rsidRDefault="00B3344C" w:rsidP="00B72E3C">
      <w:pPr>
        <w:pStyle w:val="ListParagraph"/>
        <w:spacing w:line="360" w:lineRule="auto"/>
        <w:ind w:left="0"/>
        <w:jc w:val="both"/>
        <w:rPr>
          <w:rFonts w:ascii="Arial" w:hAnsi="Arial" w:cs="Arial"/>
        </w:rPr>
      </w:pPr>
    </w:p>
    <w:p w14:paraId="179FA14E" w14:textId="17740D53" w:rsidR="005441A1" w:rsidRPr="00816BE2" w:rsidRDefault="00B3344C" w:rsidP="00B72E3C">
      <w:pPr>
        <w:pStyle w:val="ListParagraph"/>
        <w:spacing w:line="360" w:lineRule="auto"/>
        <w:ind w:left="0"/>
        <w:jc w:val="both"/>
        <w:rPr>
          <w:rFonts w:ascii="Arial" w:hAnsi="Arial" w:cs="Arial"/>
        </w:rPr>
      </w:pPr>
      <w:r w:rsidRPr="00816BE2">
        <w:rPr>
          <w:rFonts w:ascii="Arial" w:hAnsi="Arial" w:cs="Arial"/>
        </w:rPr>
        <w:t>[12]</w:t>
      </w:r>
      <w:r w:rsidRPr="00816BE2">
        <w:rPr>
          <w:rFonts w:ascii="Arial" w:hAnsi="Arial" w:cs="Arial"/>
        </w:rPr>
        <w:tab/>
      </w:r>
      <w:r w:rsidR="006B27C2" w:rsidRPr="00816BE2">
        <w:rPr>
          <w:rFonts w:ascii="Arial" w:hAnsi="Arial" w:cs="Arial"/>
        </w:rPr>
        <w:t xml:space="preserve">SARS contended that </w:t>
      </w:r>
      <w:r w:rsidR="006E37EF" w:rsidRPr="00816BE2">
        <w:rPr>
          <w:rFonts w:ascii="Arial" w:hAnsi="Arial" w:cs="Arial"/>
        </w:rPr>
        <w:t xml:space="preserve">on a reading of the warrant with the </w:t>
      </w:r>
      <w:r w:rsidR="004F51AA" w:rsidRPr="00816BE2">
        <w:rPr>
          <w:rFonts w:ascii="Arial" w:hAnsi="Arial" w:cs="Arial"/>
        </w:rPr>
        <w:t>provisions of ss </w:t>
      </w:r>
      <w:r w:rsidR="009B7AE0" w:rsidRPr="00816BE2">
        <w:rPr>
          <w:rFonts w:ascii="Arial" w:hAnsi="Arial" w:cs="Arial"/>
        </w:rPr>
        <w:t>59(1) and 60(1) of the TAA</w:t>
      </w:r>
      <w:r w:rsidR="006E37EF" w:rsidRPr="00816BE2">
        <w:rPr>
          <w:rFonts w:ascii="Arial" w:hAnsi="Arial" w:cs="Arial"/>
        </w:rPr>
        <w:t xml:space="preserve">, </w:t>
      </w:r>
      <w:r w:rsidR="00A523C5" w:rsidRPr="00816BE2">
        <w:rPr>
          <w:rFonts w:ascii="Arial" w:hAnsi="Arial" w:cs="Arial"/>
        </w:rPr>
        <w:t>it</w:t>
      </w:r>
      <w:r w:rsidR="006E37EF" w:rsidRPr="00816BE2">
        <w:rPr>
          <w:rFonts w:ascii="Arial" w:hAnsi="Arial" w:cs="Arial"/>
        </w:rPr>
        <w:t xml:space="preserve"> </w:t>
      </w:r>
      <w:r w:rsidR="00A523C5" w:rsidRPr="00816BE2">
        <w:rPr>
          <w:rFonts w:ascii="Arial" w:hAnsi="Arial" w:cs="Arial"/>
        </w:rPr>
        <w:t>wa</w:t>
      </w:r>
      <w:r w:rsidR="006E37EF" w:rsidRPr="00816BE2">
        <w:rPr>
          <w:rFonts w:ascii="Arial" w:hAnsi="Arial" w:cs="Arial"/>
        </w:rPr>
        <w:t>s location specific and not taxpayer specific. Hence it</w:t>
      </w:r>
      <w:r w:rsidR="00A523C5" w:rsidRPr="00816BE2">
        <w:rPr>
          <w:rFonts w:ascii="Arial" w:hAnsi="Arial" w:cs="Arial"/>
        </w:rPr>
        <w:t xml:space="preserve"> could</w:t>
      </w:r>
      <w:r w:rsidR="006E37EF" w:rsidRPr="00816BE2">
        <w:rPr>
          <w:rFonts w:ascii="Arial" w:hAnsi="Arial" w:cs="Arial"/>
        </w:rPr>
        <w:t xml:space="preserve"> be executed against third parties on the premises. </w:t>
      </w:r>
      <w:r w:rsidR="009B7AE0" w:rsidRPr="00816BE2">
        <w:rPr>
          <w:rFonts w:ascii="Arial" w:hAnsi="Arial" w:cs="Arial"/>
        </w:rPr>
        <w:t xml:space="preserve"> Section 59(1) provides that</w:t>
      </w:r>
      <w:r w:rsidR="005441A1" w:rsidRPr="00816BE2">
        <w:rPr>
          <w:rFonts w:ascii="Arial" w:hAnsi="Arial" w:cs="Arial"/>
        </w:rPr>
        <w:t>:</w:t>
      </w:r>
    </w:p>
    <w:p w14:paraId="5E5C67B6" w14:textId="65B2A0C7" w:rsidR="005441A1" w:rsidRPr="00816BE2" w:rsidRDefault="009B7AE0" w:rsidP="0069716F">
      <w:pPr>
        <w:pStyle w:val="ListParagraph"/>
        <w:spacing w:line="360" w:lineRule="auto"/>
        <w:ind w:left="0"/>
        <w:jc w:val="both"/>
        <w:rPr>
          <w:rFonts w:ascii="Arial" w:hAnsi="Arial" w:cs="Arial"/>
          <w:sz w:val="22"/>
          <w:szCs w:val="22"/>
          <w:lang w:val="en-US"/>
        </w:rPr>
      </w:pPr>
      <w:r w:rsidRPr="00816BE2">
        <w:rPr>
          <w:rFonts w:ascii="Arial" w:hAnsi="Arial" w:cs="Arial"/>
          <w:sz w:val="22"/>
          <w:szCs w:val="22"/>
        </w:rPr>
        <w:t>‘</w:t>
      </w:r>
      <w:r w:rsidR="005441A1" w:rsidRPr="00816BE2">
        <w:rPr>
          <w:rFonts w:ascii="Arial" w:hAnsi="Arial" w:cs="Arial"/>
          <w:sz w:val="22"/>
          <w:szCs w:val="22"/>
          <w:lang w:val="en-US"/>
        </w:rPr>
        <w:t>A</w:t>
      </w:r>
      <w:r w:rsidRPr="00816BE2">
        <w:rPr>
          <w:rFonts w:ascii="Arial" w:hAnsi="Arial" w:cs="Arial"/>
          <w:sz w:val="22"/>
          <w:szCs w:val="22"/>
          <w:lang w:val="en-US"/>
        </w:rPr>
        <w:t xml:space="preserve"> senior SARS official may, if necessary or relevant to administer a tax Act, </w:t>
      </w:r>
      <w:proofErr w:type="spellStart"/>
      <w:r w:rsidRPr="00816BE2">
        <w:rPr>
          <w:rFonts w:ascii="Arial" w:hAnsi="Arial" w:cs="Arial"/>
          <w:sz w:val="22"/>
          <w:szCs w:val="22"/>
          <w:lang w:val="en-US"/>
        </w:rPr>
        <w:t>authori</w:t>
      </w:r>
      <w:r w:rsidR="005441A1" w:rsidRPr="00816BE2">
        <w:rPr>
          <w:rFonts w:ascii="Arial" w:hAnsi="Arial" w:cs="Arial"/>
          <w:sz w:val="22"/>
          <w:szCs w:val="22"/>
          <w:lang w:val="en-US"/>
        </w:rPr>
        <w:t>s</w:t>
      </w:r>
      <w:r w:rsidRPr="00816BE2">
        <w:rPr>
          <w:rFonts w:ascii="Arial" w:hAnsi="Arial" w:cs="Arial"/>
          <w:sz w:val="22"/>
          <w:szCs w:val="22"/>
          <w:lang w:val="en-US"/>
        </w:rPr>
        <w:t>e</w:t>
      </w:r>
      <w:proofErr w:type="spellEnd"/>
      <w:r w:rsidRPr="00816BE2">
        <w:rPr>
          <w:rFonts w:ascii="Arial" w:hAnsi="Arial" w:cs="Arial"/>
          <w:sz w:val="22"/>
          <w:szCs w:val="22"/>
          <w:lang w:val="en-US"/>
        </w:rPr>
        <w:t xml:space="preserve"> an application for a warrant under which SARS may </w:t>
      </w:r>
      <w:r w:rsidRPr="00816BE2">
        <w:rPr>
          <w:rFonts w:ascii="Arial" w:hAnsi="Arial" w:cs="Arial"/>
          <w:i/>
          <w:iCs/>
          <w:sz w:val="22"/>
          <w:szCs w:val="22"/>
          <w:lang w:val="en-US"/>
        </w:rPr>
        <w:t xml:space="preserve">enter a premises where relevant material is kept </w:t>
      </w:r>
      <w:r w:rsidR="003D6CCE" w:rsidRPr="00816BE2">
        <w:rPr>
          <w:rFonts w:ascii="Arial" w:hAnsi="Arial" w:cs="Arial"/>
          <w:i/>
          <w:iCs/>
          <w:sz w:val="22"/>
          <w:szCs w:val="22"/>
          <w:lang w:val="en-US"/>
        </w:rPr>
        <w:t>to search</w:t>
      </w:r>
      <w:r w:rsidRPr="00816BE2">
        <w:rPr>
          <w:rFonts w:ascii="Arial" w:hAnsi="Arial" w:cs="Arial"/>
          <w:i/>
          <w:iCs/>
          <w:sz w:val="22"/>
          <w:szCs w:val="22"/>
          <w:lang w:val="en-US"/>
        </w:rPr>
        <w:t xml:space="preserve"> the premises and any person present on the premises</w:t>
      </w:r>
      <w:r w:rsidRPr="00816BE2">
        <w:rPr>
          <w:rFonts w:ascii="Arial" w:hAnsi="Arial" w:cs="Arial"/>
          <w:sz w:val="22"/>
          <w:szCs w:val="22"/>
          <w:lang w:val="en-US"/>
        </w:rPr>
        <w:t xml:space="preserve"> and seize relevant material</w:t>
      </w:r>
      <w:r w:rsidR="003D6CCE" w:rsidRPr="00816BE2">
        <w:rPr>
          <w:rFonts w:ascii="Arial" w:hAnsi="Arial" w:cs="Arial"/>
          <w:sz w:val="22"/>
          <w:szCs w:val="22"/>
          <w:lang w:val="en-US"/>
        </w:rPr>
        <w:t>.</w:t>
      </w:r>
      <w:r w:rsidRPr="00816BE2">
        <w:rPr>
          <w:rFonts w:ascii="Arial" w:hAnsi="Arial" w:cs="Arial"/>
          <w:sz w:val="22"/>
          <w:szCs w:val="22"/>
          <w:lang w:val="en-US"/>
        </w:rPr>
        <w:t>’</w:t>
      </w:r>
      <w:r w:rsidR="009A71AF">
        <w:rPr>
          <w:rFonts w:ascii="Arial" w:hAnsi="Arial" w:cs="Arial"/>
          <w:sz w:val="22"/>
          <w:szCs w:val="22"/>
          <w:lang w:val="en-US"/>
        </w:rPr>
        <w:t xml:space="preserve"> </w:t>
      </w:r>
      <w:r w:rsidR="009A71AF" w:rsidRPr="00F93A16">
        <w:rPr>
          <w:rFonts w:ascii="Arial" w:hAnsi="Arial" w:cs="Arial"/>
          <w:sz w:val="22"/>
          <w:szCs w:val="22"/>
          <w:lang w:val="en-US"/>
        </w:rPr>
        <w:t>(Emphasis added.)</w:t>
      </w:r>
    </w:p>
    <w:p w14:paraId="2233DB8F" w14:textId="77777777" w:rsidR="00B72E3C" w:rsidRPr="00816BE2" w:rsidRDefault="00B72E3C" w:rsidP="0069716F">
      <w:pPr>
        <w:pStyle w:val="ListParagraph"/>
        <w:spacing w:line="360" w:lineRule="auto"/>
        <w:ind w:left="0"/>
        <w:jc w:val="both"/>
        <w:rPr>
          <w:rFonts w:ascii="Arial" w:hAnsi="Arial" w:cs="Arial"/>
          <w:lang w:val="en-US"/>
        </w:rPr>
      </w:pPr>
    </w:p>
    <w:p w14:paraId="2C04B426" w14:textId="6C42C50B" w:rsidR="00B72E3C" w:rsidRPr="00816BE2" w:rsidRDefault="00B72E3C" w:rsidP="0069716F">
      <w:pPr>
        <w:pStyle w:val="ListParagraph"/>
        <w:spacing w:line="360" w:lineRule="auto"/>
        <w:ind w:left="0"/>
        <w:jc w:val="both"/>
        <w:rPr>
          <w:rFonts w:ascii="Arial" w:hAnsi="Arial" w:cs="Arial"/>
        </w:rPr>
      </w:pPr>
      <w:r w:rsidRPr="00816BE2">
        <w:rPr>
          <w:rFonts w:ascii="Arial" w:hAnsi="Arial" w:cs="Arial"/>
          <w:lang w:val="en-US"/>
        </w:rPr>
        <w:t>[1</w:t>
      </w:r>
      <w:r w:rsidR="00531999" w:rsidRPr="00816BE2">
        <w:rPr>
          <w:rFonts w:ascii="Arial" w:hAnsi="Arial" w:cs="Arial"/>
          <w:lang w:val="en-US"/>
        </w:rPr>
        <w:t>3</w:t>
      </w:r>
      <w:r w:rsidRPr="00816BE2">
        <w:rPr>
          <w:rFonts w:ascii="Arial" w:hAnsi="Arial" w:cs="Arial"/>
          <w:lang w:val="en-US"/>
        </w:rPr>
        <w:t>]</w:t>
      </w:r>
      <w:r w:rsidRPr="00816BE2">
        <w:rPr>
          <w:rFonts w:ascii="Arial" w:hAnsi="Arial" w:cs="Arial"/>
          <w:lang w:val="en-US"/>
        </w:rPr>
        <w:tab/>
      </w:r>
      <w:r w:rsidR="009B7AE0" w:rsidRPr="00816BE2">
        <w:rPr>
          <w:rFonts w:ascii="Arial" w:hAnsi="Arial" w:cs="Arial"/>
          <w:lang w:val="en-US"/>
        </w:rPr>
        <w:t xml:space="preserve">Section </w:t>
      </w:r>
      <w:r w:rsidR="009B7AE0" w:rsidRPr="00B2123E">
        <w:rPr>
          <w:rFonts w:ascii="Arial" w:hAnsi="Arial" w:cs="Arial"/>
          <w:lang w:val="en-US"/>
        </w:rPr>
        <w:t>60(1)</w:t>
      </w:r>
      <w:r w:rsidR="009B7AE0" w:rsidRPr="00B2123E">
        <w:rPr>
          <w:rFonts w:ascii="Arial" w:hAnsi="Arial" w:cs="Arial"/>
          <w:i/>
          <w:iCs/>
          <w:lang w:val="en-US"/>
        </w:rPr>
        <w:t>(b)</w:t>
      </w:r>
      <w:r w:rsidR="009B7AE0" w:rsidRPr="00B2123E">
        <w:rPr>
          <w:rFonts w:ascii="Arial" w:hAnsi="Arial" w:cs="Arial"/>
          <w:lang w:val="en-US"/>
        </w:rPr>
        <w:t>,</w:t>
      </w:r>
      <w:r w:rsidR="009B7AE0" w:rsidRPr="00B2123E">
        <w:rPr>
          <w:rFonts w:ascii="Arial" w:hAnsi="Arial" w:cs="Arial"/>
          <w:i/>
          <w:iCs/>
          <w:lang w:val="en-US"/>
        </w:rPr>
        <w:t xml:space="preserve"> </w:t>
      </w:r>
      <w:r w:rsidR="009B7AE0" w:rsidRPr="00816BE2">
        <w:rPr>
          <w:rFonts w:ascii="Arial" w:hAnsi="Arial" w:cs="Arial"/>
          <w:lang w:val="en-US"/>
        </w:rPr>
        <w:t>in turn</w:t>
      </w:r>
      <w:r w:rsidR="005441A1" w:rsidRPr="00816BE2">
        <w:rPr>
          <w:rFonts w:ascii="Arial" w:hAnsi="Arial" w:cs="Arial"/>
          <w:lang w:val="en-US"/>
        </w:rPr>
        <w:t>,</w:t>
      </w:r>
      <w:r w:rsidR="009B7AE0" w:rsidRPr="00816BE2">
        <w:rPr>
          <w:rFonts w:ascii="Arial" w:hAnsi="Arial" w:cs="Arial"/>
          <w:lang w:val="en-US"/>
        </w:rPr>
        <w:t xml:space="preserve"> empowers a judge or magistrate to issue the warrant referred to in s 59(1) of the TAA</w:t>
      </w:r>
      <w:r w:rsidR="005441A1" w:rsidRPr="00816BE2">
        <w:rPr>
          <w:rFonts w:ascii="Arial" w:hAnsi="Arial" w:cs="Arial"/>
          <w:lang w:val="en-US"/>
        </w:rPr>
        <w:t>,</w:t>
      </w:r>
      <w:r w:rsidR="009B7AE0" w:rsidRPr="00816BE2">
        <w:rPr>
          <w:rFonts w:ascii="Arial" w:hAnsi="Arial" w:cs="Arial"/>
          <w:lang w:val="en-US"/>
        </w:rPr>
        <w:t xml:space="preserve"> if satisfied that there are reasonable grounds to believe that, amongst others, relevant material likely to be found </w:t>
      </w:r>
      <w:r w:rsidR="009B7AE0" w:rsidRPr="00816BE2">
        <w:rPr>
          <w:rFonts w:ascii="Arial" w:hAnsi="Arial" w:cs="Arial"/>
          <w:i/>
          <w:iCs/>
          <w:lang w:val="en-US"/>
        </w:rPr>
        <w:t>on the premises specified in the application</w:t>
      </w:r>
      <w:r w:rsidR="009B7AE0" w:rsidRPr="00816BE2">
        <w:rPr>
          <w:rFonts w:ascii="Arial" w:hAnsi="Arial" w:cs="Arial"/>
          <w:lang w:val="en-US"/>
        </w:rPr>
        <w:t xml:space="preserve"> may provide evidence of the failure to comply or, the commission of an offence.</w:t>
      </w:r>
      <w:r w:rsidR="009A71AF">
        <w:rPr>
          <w:rFonts w:ascii="Arial" w:hAnsi="Arial" w:cs="Arial"/>
          <w:lang w:val="en-US"/>
        </w:rPr>
        <w:t xml:space="preserve"> </w:t>
      </w:r>
      <w:r w:rsidR="009A71AF" w:rsidRPr="00F93A16">
        <w:rPr>
          <w:rFonts w:ascii="Arial" w:hAnsi="Arial" w:cs="Arial"/>
          <w:lang w:val="en-US"/>
        </w:rPr>
        <w:t>(My emphasis.)</w:t>
      </w:r>
      <w:r w:rsidR="009B7AE0" w:rsidRPr="00816BE2">
        <w:rPr>
          <w:rFonts w:ascii="Arial" w:hAnsi="Arial" w:cs="Arial"/>
          <w:lang w:val="en-US"/>
        </w:rPr>
        <w:t xml:space="preserve"> Properly construed, </w:t>
      </w:r>
      <w:r w:rsidR="009B7AE0" w:rsidRPr="00816BE2">
        <w:rPr>
          <w:rFonts w:ascii="Arial" w:hAnsi="Arial" w:cs="Arial"/>
        </w:rPr>
        <w:t xml:space="preserve">these provisions </w:t>
      </w:r>
      <w:r w:rsidR="00465BFA" w:rsidRPr="00816BE2">
        <w:rPr>
          <w:rFonts w:ascii="Arial" w:hAnsi="Arial" w:cs="Arial"/>
        </w:rPr>
        <w:t>are location</w:t>
      </w:r>
      <w:r w:rsidR="00DF4C24" w:rsidRPr="00816BE2">
        <w:rPr>
          <w:rFonts w:ascii="Arial" w:hAnsi="Arial" w:cs="Arial"/>
        </w:rPr>
        <w:t xml:space="preserve"> and not taxpayer</w:t>
      </w:r>
      <w:r w:rsidR="00465BFA" w:rsidRPr="00816BE2">
        <w:rPr>
          <w:rFonts w:ascii="Arial" w:hAnsi="Arial" w:cs="Arial"/>
        </w:rPr>
        <w:t xml:space="preserve"> specific</w:t>
      </w:r>
      <w:r w:rsidR="00DF4C24" w:rsidRPr="00816BE2">
        <w:rPr>
          <w:rFonts w:ascii="Arial" w:hAnsi="Arial" w:cs="Arial"/>
        </w:rPr>
        <w:t>.</w:t>
      </w:r>
      <w:r w:rsidR="00465BFA" w:rsidRPr="00816BE2">
        <w:rPr>
          <w:rFonts w:ascii="Arial" w:hAnsi="Arial" w:cs="Arial"/>
        </w:rPr>
        <w:t xml:space="preserve"> </w:t>
      </w:r>
      <w:r w:rsidR="009C4B75" w:rsidRPr="00816BE2">
        <w:rPr>
          <w:rFonts w:ascii="Arial" w:hAnsi="Arial" w:cs="Arial"/>
        </w:rPr>
        <w:t xml:space="preserve">They contemplate </w:t>
      </w:r>
      <w:r w:rsidR="009B7AE0" w:rsidRPr="00816BE2">
        <w:rPr>
          <w:rFonts w:ascii="Arial" w:hAnsi="Arial" w:cs="Arial"/>
        </w:rPr>
        <w:t>that persons other than the taxpayer may be present on the premises i</w:t>
      </w:r>
      <w:r w:rsidR="00465BFA" w:rsidRPr="00816BE2">
        <w:rPr>
          <w:rFonts w:ascii="Arial" w:hAnsi="Arial" w:cs="Arial"/>
        </w:rPr>
        <w:t>dentified in the warrant</w:t>
      </w:r>
      <w:r w:rsidR="009B7AE0" w:rsidRPr="00816BE2">
        <w:rPr>
          <w:rFonts w:ascii="Arial" w:hAnsi="Arial" w:cs="Arial"/>
        </w:rPr>
        <w:t xml:space="preserve"> and in possession of material</w:t>
      </w:r>
      <w:r w:rsidR="00465BFA" w:rsidRPr="00816BE2">
        <w:rPr>
          <w:rFonts w:ascii="Arial" w:hAnsi="Arial" w:cs="Arial"/>
        </w:rPr>
        <w:t xml:space="preserve"> relevant to the taxpayer.</w:t>
      </w:r>
      <w:r w:rsidR="009B7AE0" w:rsidRPr="00816BE2">
        <w:rPr>
          <w:rFonts w:ascii="Arial" w:hAnsi="Arial" w:cs="Arial"/>
        </w:rPr>
        <w:t xml:space="preserve"> </w:t>
      </w:r>
    </w:p>
    <w:p w14:paraId="13DD866B" w14:textId="3654DE11" w:rsidR="009B7AE0" w:rsidRPr="00816BE2" w:rsidRDefault="00B72E3C" w:rsidP="0069716F">
      <w:pPr>
        <w:pStyle w:val="ListParagraph"/>
        <w:spacing w:line="360" w:lineRule="auto"/>
        <w:ind w:left="0"/>
        <w:jc w:val="both"/>
        <w:rPr>
          <w:rFonts w:ascii="Arial" w:hAnsi="Arial" w:cs="Arial"/>
        </w:rPr>
      </w:pPr>
      <w:r w:rsidRPr="00816BE2">
        <w:rPr>
          <w:rFonts w:ascii="Arial" w:hAnsi="Arial" w:cs="Arial"/>
        </w:rPr>
        <w:lastRenderedPageBreak/>
        <w:t>[1</w:t>
      </w:r>
      <w:r w:rsidR="00531999" w:rsidRPr="00816BE2">
        <w:rPr>
          <w:rFonts w:ascii="Arial" w:hAnsi="Arial" w:cs="Arial"/>
        </w:rPr>
        <w:t>4</w:t>
      </w:r>
      <w:r w:rsidRPr="00816BE2">
        <w:rPr>
          <w:rFonts w:ascii="Arial" w:hAnsi="Arial" w:cs="Arial"/>
        </w:rPr>
        <w:t>]</w:t>
      </w:r>
      <w:r w:rsidRPr="00816BE2">
        <w:rPr>
          <w:rFonts w:ascii="Arial" w:hAnsi="Arial" w:cs="Arial"/>
        </w:rPr>
        <w:tab/>
      </w:r>
      <w:r w:rsidR="00465BFA" w:rsidRPr="00816BE2">
        <w:rPr>
          <w:rFonts w:ascii="Arial" w:hAnsi="Arial" w:cs="Arial"/>
        </w:rPr>
        <w:t>T</w:t>
      </w:r>
      <w:r w:rsidR="00F077B1" w:rsidRPr="00816BE2">
        <w:rPr>
          <w:rFonts w:ascii="Arial" w:hAnsi="Arial" w:cs="Arial"/>
        </w:rPr>
        <w:t xml:space="preserve">he </w:t>
      </w:r>
      <w:r w:rsidR="009B7AE0" w:rsidRPr="00816BE2">
        <w:rPr>
          <w:rFonts w:ascii="Arial" w:hAnsi="Arial" w:cs="Arial"/>
        </w:rPr>
        <w:t>phrase ‘to search the premises and any persons present on the premises and</w:t>
      </w:r>
      <w:r w:rsidR="004F51AA" w:rsidRPr="00816BE2">
        <w:rPr>
          <w:rFonts w:ascii="Arial" w:hAnsi="Arial" w:cs="Arial"/>
        </w:rPr>
        <w:t xml:space="preserve"> seize relevant materials’ in s </w:t>
      </w:r>
      <w:r w:rsidR="009B7AE0" w:rsidRPr="00816BE2">
        <w:rPr>
          <w:rFonts w:ascii="Arial" w:hAnsi="Arial" w:cs="Arial"/>
        </w:rPr>
        <w:t>59(1) of the TAA</w:t>
      </w:r>
      <w:r w:rsidR="00C7076E" w:rsidRPr="00816BE2">
        <w:rPr>
          <w:rFonts w:ascii="Arial" w:hAnsi="Arial" w:cs="Arial"/>
        </w:rPr>
        <w:t>,</w:t>
      </w:r>
      <w:r w:rsidR="009B7AE0" w:rsidRPr="00816BE2">
        <w:rPr>
          <w:rFonts w:ascii="Arial" w:hAnsi="Arial" w:cs="Arial"/>
        </w:rPr>
        <w:t xml:space="preserve"> </w:t>
      </w:r>
      <w:r w:rsidR="00C73A70" w:rsidRPr="00816BE2">
        <w:rPr>
          <w:rFonts w:ascii="Arial" w:hAnsi="Arial" w:cs="Arial"/>
        </w:rPr>
        <w:t xml:space="preserve">is a clear </w:t>
      </w:r>
      <w:r w:rsidR="009B7AE0" w:rsidRPr="00816BE2">
        <w:rPr>
          <w:rFonts w:ascii="Arial" w:hAnsi="Arial" w:cs="Arial"/>
        </w:rPr>
        <w:t>indicat</w:t>
      </w:r>
      <w:r w:rsidR="00C73A70" w:rsidRPr="00816BE2">
        <w:rPr>
          <w:rFonts w:ascii="Arial" w:hAnsi="Arial" w:cs="Arial"/>
        </w:rPr>
        <w:t>or</w:t>
      </w:r>
      <w:r w:rsidR="009B7AE0" w:rsidRPr="00816BE2">
        <w:rPr>
          <w:rFonts w:ascii="Arial" w:hAnsi="Arial" w:cs="Arial"/>
        </w:rPr>
        <w:t xml:space="preserve"> </w:t>
      </w:r>
      <w:r w:rsidR="003929CA" w:rsidRPr="00816BE2">
        <w:rPr>
          <w:rFonts w:ascii="Arial" w:hAnsi="Arial" w:cs="Arial"/>
        </w:rPr>
        <w:t>that SARS officials may, on the authority of a warrant issued under s 60, search the</w:t>
      </w:r>
      <w:r w:rsidR="000A549A" w:rsidRPr="00816BE2">
        <w:rPr>
          <w:rFonts w:ascii="Arial" w:hAnsi="Arial" w:cs="Arial"/>
        </w:rPr>
        <w:t xml:space="preserve"> </w:t>
      </w:r>
      <w:r w:rsidR="003929CA" w:rsidRPr="00816BE2">
        <w:rPr>
          <w:rFonts w:ascii="Arial" w:hAnsi="Arial" w:cs="Arial"/>
        </w:rPr>
        <w:t xml:space="preserve">taxpayer as well as any third parties on the premises, and seize any relevant material in their possession. </w:t>
      </w:r>
      <w:r w:rsidR="009B7AE0" w:rsidRPr="00816BE2">
        <w:rPr>
          <w:rFonts w:ascii="Arial" w:hAnsi="Arial" w:cs="Arial"/>
        </w:rPr>
        <w:t xml:space="preserve"> It is immaterial that the </w:t>
      </w:r>
      <w:r w:rsidR="00F077B1" w:rsidRPr="00816BE2">
        <w:rPr>
          <w:rFonts w:ascii="Arial" w:hAnsi="Arial" w:cs="Arial"/>
        </w:rPr>
        <w:t xml:space="preserve">seized </w:t>
      </w:r>
      <w:r w:rsidR="009B7AE0" w:rsidRPr="00816BE2">
        <w:rPr>
          <w:rFonts w:ascii="Arial" w:hAnsi="Arial" w:cs="Arial"/>
        </w:rPr>
        <w:t>items</w:t>
      </w:r>
      <w:r w:rsidR="005A3C8E" w:rsidRPr="00816BE2">
        <w:rPr>
          <w:rFonts w:ascii="Arial" w:hAnsi="Arial" w:cs="Arial"/>
        </w:rPr>
        <w:t xml:space="preserve"> are</w:t>
      </w:r>
      <w:r w:rsidR="009B7AE0" w:rsidRPr="00816BE2">
        <w:rPr>
          <w:rFonts w:ascii="Arial" w:hAnsi="Arial" w:cs="Arial"/>
        </w:rPr>
        <w:t xml:space="preserve"> not </w:t>
      </w:r>
      <w:r w:rsidR="00F077B1" w:rsidRPr="00816BE2">
        <w:rPr>
          <w:rFonts w:ascii="Arial" w:hAnsi="Arial" w:cs="Arial"/>
        </w:rPr>
        <w:t xml:space="preserve">in the possession of </w:t>
      </w:r>
      <w:r w:rsidR="009B7AE0" w:rsidRPr="00816BE2">
        <w:rPr>
          <w:rFonts w:ascii="Arial" w:hAnsi="Arial" w:cs="Arial"/>
        </w:rPr>
        <w:t>the taxpayer</w:t>
      </w:r>
      <w:r w:rsidR="005A3C8E" w:rsidRPr="00816BE2">
        <w:rPr>
          <w:rFonts w:ascii="Arial" w:hAnsi="Arial" w:cs="Arial"/>
        </w:rPr>
        <w:t xml:space="preserve"> when seized</w:t>
      </w:r>
      <w:r w:rsidR="009B7AE0" w:rsidRPr="00816BE2">
        <w:rPr>
          <w:rFonts w:ascii="Arial" w:hAnsi="Arial" w:cs="Arial"/>
        </w:rPr>
        <w:t xml:space="preserve">. If they </w:t>
      </w:r>
      <w:r w:rsidR="005A3C8E" w:rsidRPr="00816BE2">
        <w:rPr>
          <w:rFonts w:ascii="Arial" w:hAnsi="Arial" w:cs="Arial"/>
        </w:rPr>
        <w:t>constitute</w:t>
      </w:r>
      <w:r w:rsidR="009B7AE0" w:rsidRPr="00816BE2">
        <w:rPr>
          <w:rFonts w:ascii="Arial" w:hAnsi="Arial" w:cs="Arial"/>
        </w:rPr>
        <w:t xml:space="preserve"> relevant </w:t>
      </w:r>
      <w:r w:rsidR="005A3C8E" w:rsidRPr="00816BE2">
        <w:rPr>
          <w:rFonts w:ascii="Arial" w:hAnsi="Arial" w:cs="Arial"/>
        </w:rPr>
        <w:t>material as defined,</w:t>
      </w:r>
      <w:r w:rsidR="009B7AE0" w:rsidRPr="00816BE2">
        <w:rPr>
          <w:rFonts w:ascii="Arial" w:hAnsi="Arial" w:cs="Arial"/>
        </w:rPr>
        <w:t xml:space="preserve"> they may be seized</w:t>
      </w:r>
      <w:r w:rsidR="00996922" w:rsidRPr="00816BE2">
        <w:rPr>
          <w:rFonts w:ascii="Arial" w:hAnsi="Arial" w:cs="Arial"/>
        </w:rPr>
        <w:t xml:space="preserve"> from a third party who is on the premises</w:t>
      </w:r>
      <w:r w:rsidR="009B7AE0" w:rsidRPr="00816BE2">
        <w:rPr>
          <w:rFonts w:ascii="Arial" w:hAnsi="Arial" w:cs="Arial"/>
        </w:rPr>
        <w:t>.</w:t>
      </w:r>
      <w:r w:rsidR="005A3C8E" w:rsidRPr="00816BE2">
        <w:rPr>
          <w:rStyle w:val="FootnoteReference"/>
          <w:rFonts w:ascii="Arial" w:hAnsi="Arial" w:cs="Arial"/>
        </w:rPr>
        <w:footnoteReference w:id="13"/>
      </w:r>
      <w:r w:rsidR="009B7AE0" w:rsidRPr="00816BE2">
        <w:rPr>
          <w:rFonts w:ascii="Arial" w:hAnsi="Arial" w:cs="Arial"/>
        </w:rPr>
        <w:t xml:space="preserve"> </w:t>
      </w:r>
    </w:p>
    <w:p w14:paraId="347A6C85" w14:textId="77777777" w:rsidR="009B7AE0" w:rsidRPr="00816BE2" w:rsidRDefault="009B7AE0" w:rsidP="009B7AE0">
      <w:pPr>
        <w:spacing w:line="360" w:lineRule="auto"/>
        <w:jc w:val="both"/>
        <w:rPr>
          <w:rFonts w:ascii="Arial" w:hAnsi="Arial" w:cs="Arial"/>
        </w:rPr>
      </w:pPr>
    </w:p>
    <w:p w14:paraId="131B1A98" w14:textId="2C3D7C86" w:rsidR="00681328" w:rsidRPr="00816BE2" w:rsidRDefault="00B72E3C" w:rsidP="00B72E3C">
      <w:pPr>
        <w:pStyle w:val="ListParagraph"/>
        <w:spacing w:line="360" w:lineRule="auto"/>
        <w:ind w:left="0"/>
        <w:jc w:val="both"/>
        <w:rPr>
          <w:rFonts w:ascii="Arial" w:hAnsi="Arial" w:cs="Arial"/>
        </w:rPr>
      </w:pPr>
      <w:r w:rsidRPr="00816BE2">
        <w:rPr>
          <w:rFonts w:ascii="Arial" w:hAnsi="Arial" w:cs="Arial"/>
        </w:rPr>
        <w:t>[1</w:t>
      </w:r>
      <w:r w:rsidR="00531999" w:rsidRPr="00816BE2">
        <w:rPr>
          <w:rFonts w:ascii="Arial" w:hAnsi="Arial" w:cs="Arial"/>
        </w:rPr>
        <w:t>5</w:t>
      </w:r>
      <w:r w:rsidRPr="00816BE2">
        <w:rPr>
          <w:rFonts w:ascii="Arial" w:hAnsi="Arial" w:cs="Arial"/>
        </w:rPr>
        <w:t>]</w:t>
      </w:r>
      <w:r w:rsidRPr="00816BE2">
        <w:rPr>
          <w:rFonts w:ascii="Arial" w:hAnsi="Arial" w:cs="Arial"/>
        </w:rPr>
        <w:tab/>
      </w:r>
      <w:r w:rsidR="00681328" w:rsidRPr="00816BE2">
        <w:rPr>
          <w:rFonts w:ascii="Arial" w:hAnsi="Arial" w:cs="Arial"/>
        </w:rPr>
        <w:t xml:space="preserve">Section 61(3) sets out the powers of </w:t>
      </w:r>
      <w:r w:rsidR="00F077B1" w:rsidRPr="00816BE2">
        <w:rPr>
          <w:rFonts w:ascii="Arial" w:hAnsi="Arial" w:cs="Arial"/>
        </w:rPr>
        <w:t xml:space="preserve">a </w:t>
      </w:r>
      <w:r w:rsidR="00681328" w:rsidRPr="00816BE2">
        <w:rPr>
          <w:rFonts w:ascii="Arial" w:hAnsi="Arial" w:cs="Arial"/>
        </w:rPr>
        <w:t>SARS official who execute</w:t>
      </w:r>
      <w:r w:rsidR="00F077B1" w:rsidRPr="00816BE2">
        <w:rPr>
          <w:rFonts w:ascii="Arial" w:hAnsi="Arial" w:cs="Arial"/>
        </w:rPr>
        <w:t>s</w:t>
      </w:r>
      <w:r w:rsidR="00681328" w:rsidRPr="00816BE2">
        <w:rPr>
          <w:rFonts w:ascii="Arial" w:hAnsi="Arial" w:cs="Arial"/>
        </w:rPr>
        <w:t xml:space="preserve"> a warrant issued </w:t>
      </w:r>
      <w:r w:rsidR="009E3967" w:rsidRPr="00816BE2">
        <w:rPr>
          <w:rFonts w:ascii="Arial" w:hAnsi="Arial" w:cs="Arial"/>
        </w:rPr>
        <w:t xml:space="preserve">in terms </w:t>
      </w:r>
      <w:r w:rsidR="003D6CCE" w:rsidRPr="00816BE2">
        <w:rPr>
          <w:rFonts w:ascii="Arial" w:hAnsi="Arial" w:cs="Arial"/>
        </w:rPr>
        <w:t>of s</w:t>
      </w:r>
      <w:r w:rsidR="00681328" w:rsidRPr="00816BE2">
        <w:rPr>
          <w:rFonts w:ascii="Arial" w:hAnsi="Arial" w:cs="Arial"/>
        </w:rPr>
        <w:t xml:space="preserve"> 60 of the TAA. It </w:t>
      </w:r>
      <w:r w:rsidR="003D6CCE" w:rsidRPr="00816BE2">
        <w:rPr>
          <w:rFonts w:ascii="Arial" w:hAnsi="Arial" w:cs="Arial"/>
        </w:rPr>
        <w:t>provides:</w:t>
      </w:r>
    </w:p>
    <w:p w14:paraId="11D7E38E" w14:textId="5BA6F745" w:rsidR="00681328" w:rsidRPr="00816BE2" w:rsidRDefault="00931682" w:rsidP="00681328">
      <w:pPr>
        <w:spacing w:line="360" w:lineRule="auto"/>
        <w:jc w:val="both"/>
        <w:rPr>
          <w:rFonts w:ascii="Arial" w:hAnsi="Arial" w:cs="Arial"/>
          <w:sz w:val="22"/>
          <w:szCs w:val="22"/>
        </w:rPr>
      </w:pPr>
      <w:r w:rsidRPr="00816BE2">
        <w:rPr>
          <w:rFonts w:ascii="Arial" w:hAnsi="Arial" w:cs="Arial"/>
          <w:sz w:val="22"/>
          <w:szCs w:val="22"/>
        </w:rPr>
        <w:t>‘The SARS official may</w:t>
      </w:r>
      <w:r w:rsidR="00681328" w:rsidRPr="00816BE2">
        <w:rPr>
          <w:rFonts w:ascii="Arial" w:hAnsi="Arial" w:cs="Arial"/>
          <w:sz w:val="22"/>
          <w:szCs w:val="22"/>
        </w:rPr>
        <w:t>–</w:t>
      </w:r>
    </w:p>
    <w:p w14:paraId="22418A1E" w14:textId="424CD8A4" w:rsidR="00681328" w:rsidRPr="00816BE2" w:rsidRDefault="00681328" w:rsidP="00681328">
      <w:pPr>
        <w:spacing w:line="360" w:lineRule="auto"/>
        <w:jc w:val="both"/>
        <w:rPr>
          <w:rFonts w:ascii="Arial" w:hAnsi="Arial" w:cs="Arial"/>
          <w:sz w:val="22"/>
          <w:szCs w:val="22"/>
          <w:lang w:val="en-US"/>
        </w:rPr>
      </w:pPr>
      <w:r w:rsidRPr="00816BE2">
        <w:rPr>
          <w:rFonts w:ascii="Arial" w:hAnsi="Arial" w:cs="Arial"/>
          <w:sz w:val="22"/>
          <w:szCs w:val="22"/>
        </w:rPr>
        <w:t>(a)</w:t>
      </w:r>
      <w:r w:rsidR="005441A1" w:rsidRPr="00816BE2">
        <w:rPr>
          <w:rFonts w:ascii="Arial" w:hAnsi="Arial" w:cs="Arial"/>
          <w:sz w:val="22"/>
          <w:szCs w:val="22"/>
        </w:rPr>
        <w:t xml:space="preserve"> </w:t>
      </w:r>
      <w:r w:rsidRPr="00816BE2">
        <w:rPr>
          <w:rFonts w:ascii="Arial" w:hAnsi="Arial" w:cs="Arial"/>
          <w:sz w:val="22"/>
          <w:szCs w:val="22"/>
          <w:lang w:val="en-US"/>
        </w:rPr>
        <w:t>open or c</w:t>
      </w:r>
      <w:r w:rsidR="00CC2D15">
        <w:rPr>
          <w:rFonts w:ascii="Arial" w:hAnsi="Arial" w:cs="Arial"/>
          <w:sz w:val="22"/>
          <w:szCs w:val="22"/>
          <w:lang w:val="en-US"/>
        </w:rPr>
        <w:t>ause</w:t>
      </w:r>
      <w:r w:rsidRPr="00816BE2">
        <w:rPr>
          <w:rFonts w:ascii="Arial" w:hAnsi="Arial" w:cs="Arial"/>
          <w:sz w:val="22"/>
          <w:szCs w:val="22"/>
          <w:lang w:val="en-US"/>
        </w:rPr>
        <w:t xml:space="preserve"> to be opened or remove in conducting a search, anything which the official suspects to contain relevant material;</w:t>
      </w:r>
    </w:p>
    <w:p w14:paraId="475C57F8" w14:textId="0E724999" w:rsidR="00681328" w:rsidRPr="00816BE2" w:rsidRDefault="00681328" w:rsidP="00681328">
      <w:pPr>
        <w:spacing w:line="360" w:lineRule="auto"/>
        <w:jc w:val="both"/>
        <w:rPr>
          <w:rFonts w:ascii="Arial" w:hAnsi="Arial" w:cs="Arial"/>
          <w:sz w:val="22"/>
          <w:szCs w:val="22"/>
          <w:lang w:val="en-US"/>
        </w:rPr>
      </w:pPr>
      <w:r w:rsidRPr="00816BE2">
        <w:rPr>
          <w:rFonts w:ascii="Arial" w:hAnsi="Arial" w:cs="Arial"/>
          <w:sz w:val="22"/>
          <w:szCs w:val="22"/>
          <w:lang w:val="en-US"/>
        </w:rPr>
        <w:t>(b)</w:t>
      </w:r>
      <w:r w:rsidR="005441A1" w:rsidRPr="00816BE2">
        <w:rPr>
          <w:rFonts w:ascii="Arial" w:hAnsi="Arial" w:cs="Arial"/>
          <w:sz w:val="22"/>
          <w:szCs w:val="22"/>
          <w:lang w:val="en-US"/>
        </w:rPr>
        <w:t xml:space="preserve"> </w:t>
      </w:r>
      <w:r w:rsidRPr="00816BE2">
        <w:rPr>
          <w:rFonts w:ascii="Arial" w:hAnsi="Arial" w:cs="Arial"/>
          <w:sz w:val="22"/>
          <w:szCs w:val="22"/>
          <w:lang w:val="en-US"/>
        </w:rPr>
        <w:t>seize any relevant material;</w:t>
      </w:r>
    </w:p>
    <w:p w14:paraId="3CA7B257" w14:textId="517E34D1" w:rsidR="00681328" w:rsidRPr="00816BE2" w:rsidRDefault="00681328" w:rsidP="00681328">
      <w:pPr>
        <w:spacing w:line="360" w:lineRule="auto"/>
        <w:jc w:val="both"/>
        <w:rPr>
          <w:rFonts w:ascii="Arial" w:hAnsi="Arial" w:cs="Arial"/>
          <w:sz w:val="22"/>
          <w:szCs w:val="22"/>
          <w:lang w:val="en-US"/>
        </w:rPr>
      </w:pPr>
      <w:r w:rsidRPr="00816BE2">
        <w:rPr>
          <w:rFonts w:ascii="Arial" w:hAnsi="Arial" w:cs="Arial"/>
          <w:sz w:val="22"/>
          <w:szCs w:val="22"/>
          <w:lang w:val="en-US"/>
        </w:rPr>
        <w:t>(c)</w:t>
      </w:r>
      <w:r w:rsidR="005441A1" w:rsidRPr="00816BE2">
        <w:rPr>
          <w:rFonts w:ascii="Arial" w:hAnsi="Arial" w:cs="Arial"/>
          <w:sz w:val="22"/>
          <w:szCs w:val="22"/>
          <w:lang w:val="en-US"/>
        </w:rPr>
        <w:t xml:space="preserve"> </w:t>
      </w:r>
      <w:r w:rsidRPr="00816BE2">
        <w:rPr>
          <w:rFonts w:ascii="Arial" w:hAnsi="Arial" w:cs="Arial"/>
          <w:sz w:val="22"/>
          <w:szCs w:val="22"/>
          <w:lang w:val="en-US"/>
        </w:rPr>
        <w:t>seize and retain a computer or storage device in which relevant material is stored for as long as it is necessary to copy the material required;</w:t>
      </w:r>
    </w:p>
    <w:p w14:paraId="08718701" w14:textId="71BD25A4" w:rsidR="00681328" w:rsidRPr="00816BE2" w:rsidRDefault="00931682" w:rsidP="00681328">
      <w:pPr>
        <w:spacing w:line="360" w:lineRule="auto"/>
        <w:jc w:val="both"/>
        <w:rPr>
          <w:rFonts w:ascii="Arial" w:hAnsi="Arial" w:cs="Arial"/>
          <w:sz w:val="22"/>
          <w:szCs w:val="22"/>
          <w:lang w:val="en-US"/>
        </w:rPr>
      </w:pPr>
      <w:r w:rsidRPr="00816BE2">
        <w:rPr>
          <w:rFonts w:ascii="Arial" w:hAnsi="Arial" w:cs="Arial"/>
          <w:sz w:val="22"/>
          <w:szCs w:val="22"/>
        </w:rPr>
        <w:t>(d)</w:t>
      </w:r>
      <w:r w:rsidR="005441A1" w:rsidRPr="00816BE2">
        <w:rPr>
          <w:rFonts w:ascii="Arial" w:hAnsi="Arial" w:cs="Arial"/>
          <w:sz w:val="22"/>
          <w:szCs w:val="22"/>
        </w:rPr>
        <w:t xml:space="preserve"> </w:t>
      </w:r>
      <w:r w:rsidRPr="00816BE2">
        <w:rPr>
          <w:rFonts w:ascii="Arial" w:hAnsi="Arial" w:cs="Arial"/>
          <w:sz w:val="22"/>
          <w:szCs w:val="22"/>
        </w:rPr>
        <w:t xml:space="preserve">. . . </w:t>
      </w:r>
    </w:p>
    <w:p w14:paraId="02D032CA" w14:textId="51B0107B" w:rsidR="00681328" w:rsidRPr="00816BE2" w:rsidRDefault="00681328" w:rsidP="00681328">
      <w:pPr>
        <w:spacing w:line="360" w:lineRule="auto"/>
        <w:jc w:val="both"/>
        <w:rPr>
          <w:rFonts w:ascii="Arial" w:hAnsi="Arial" w:cs="Arial"/>
          <w:sz w:val="22"/>
          <w:szCs w:val="22"/>
          <w:lang w:val="en-US"/>
        </w:rPr>
      </w:pPr>
      <w:r w:rsidRPr="00816BE2">
        <w:rPr>
          <w:rFonts w:ascii="Arial" w:hAnsi="Arial" w:cs="Arial"/>
          <w:sz w:val="22"/>
          <w:szCs w:val="22"/>
        </w:rPr>
        <w:t>(e)</w:t>
      </w:r>
      <w:r w:rsidR="005441A1" w:rsidRPr="00816BE2">
        <w:rPr>
          <w:rFonts w:ascii="Arial" w:hAnsi="Arial" w:cs="Arial"/>
          <w:sz w:val="22"/>
          <w:szCs w:val="22"/>
        </w:rPr>
        <w:t xml:space="preserve"> </w:t>
      </w:r>
      <w:r w:rsidRPr="00816BE2">
        <w:rPr>
          <w:rFonts w:ascii="Arial" w:hAnsi="Arial" w:cs="Arial"/>
          <w:sz w:val="22"/>
          <w:szCs w:val="22"/>
          <w:lang w:val="en-US"/>
        </w:rPr>
        <w:t xml:space="preserve">if the premises listed in the warrant is a vessel, aircraft, or vehicle, stop and </w:t>
      </w:r>
      <w:proofErr w:type="spellStart"/>
      <w:r w:rsidRPr="00816BE2">
        <w:rPr>
          <w:rFonts w:ascii="Arial" w:hAnsi="Arial" w:cs="Arial"/>
          <w:sz w:val="22"/>
          <w:szCs w:val="22"/>
          <w:lang w:val="en-US"/>
        </w:rPr>
        <w:t>board</w:t>
      </w:r>
      <w:proofErr w:type="spellEnd"/>
      <w:r w:rsidRPr="00816BE2">
        <w:rPr>
          <w:rFonts w:ascii="Arial" w:hAnsi="Arial" w:cs="Arial"/>
          <w:sz w:val="22"/>
          <w:szCs w:val="22"/>
          <w:lang w:val="en-US"/>
        </w:rPr>
        <w:t xml:space="preserve"> the vessel, aircraft, or vehicle, search the vessel, aircraft or vehicle or a person found in the vessel, aircraft or vehicle and question the person with respect to a matter dealt with in a tax Act.’</w:t>
      </w:r>
    </w:p>
    <w:p w14:paraId="21B8FCD3" w14:textId="77777777" w:rsidR="00681328" w:rsidRPr="00816BE2" w:rsidRDefault="00681328" w:rsidP="00681328">
      <w:pPr>
        <w:spacing w:line="360" w:lineRule="auto"/>
        <w:jc w:val="both"/>
        <w:rPr>
          <w:rFonts w:ascii="Arial" w:hAnsi="Arial" w:cs="Arial"/>
          <w:sz w:val="22"/>
          <w:szCs w:val="22"/>
        </w:rPr>
      </w:pPr>
    </w:p>
    <w:p w14:paraId="772F237F" w14:textId="6D0B29A4" w:rsidR="007555F9" w:rsidRPr="00816BE2" w:rsidRDefault="00B72E3C" w:rsidP="00B72E3C">
      <w:pPr>
        <w:spacing w:line="360" w:lineRule="auto"/>
        <w:jc w:val="both"/>
        <w:rPr>
          <w:rFonts w:ascii="Arial" w:hAnsi="Arial" w:cs="Arial"/>
        </w:rPr>
      </w:pPr>
      <w:r w:rsidRPr="00816BE2">
        <w:rPr>
          <w:rFonts w:ascii="Arial" w:hAnsi="Arial" w:cs="Arial"/>
        </w:rPr>
        <w:t>[1</w:t>
      </w:r>
      <w:r w:rsidR="00531999" w:rsidRPr="00816BE2">
        <w:rPr>
          <w:rFonts w:ascii="Arial" w:hAnsi="Arial" w:cs="Arial"/>
        </w:rPr>
        <w:t>6</w:t>
      </w:r>
      <w:r w:rsidRPr="00816BE2">
        <w:rPr>
          <w:rFonts w:ascii="Arial" w:hAnsi="Arial" w:cs="Arial"/>
        </w:rPr>
        <w:t>]</w:t>
      </w:r>
      <w:r w:rsidRPr="00816BE2">
        <w:rPr>
          <w:rFonts w:ascii="Arial" w:hAnsi="Arial" w:cs="Arial"/>
        </w:rPr>
        <w:tab/>
      </w:r>
      <w:r w:rsidR="00027D23" w:rsidRPr="00816BE2">
        <w:rPr>
          <w:rFonts w:ascii="Arial" w:hAnsi="Arial" w:cs="Arial"/>
        </w:rPr>
        <w:t xml:space="preserve">Section </w:t>
      </w:r>
      <w:r w:rsidR="009E3967" w:rsidRPr="00816BE2">
        <w:rPr>
          <w:rFonts w:ascii="Arial" w:hAnsi="Arial" w:cs="Arial"/>
        </w:rPr>
        <w:t>61(3) of the TA</w:t>
      </w:r>
      <w:r w:rsidR="007555F9" w:rsidRPr="00816BE2">
        <w:rPr>
          <w:rFonts w:ascii="Arial" w:hAnsi="Arial" w:cs="Arial"/>
        </w:rPr>
        <w:t>A</w:t>
      </w:r>
      <w:r w:rsidR="00027D23" w:rsidRPr="00816BE2">
        <w:rPr>
          <w:rFonts w:ascii="Arial" w:hAnsi="Arial" w:cs="Arial"/>
        </w:rPr>
        <w:t xml:space="preserve"> </w:t>
      </w:r>
      <w:r w:rsidR="00E36AAA" w:rsidRPr="00816BE2">
        <w:rPr>
          <w:rFonts w:ascii="Arial" w:hAnsi="Arial" w:cs="Arial"/>
        </w:rPr>
        <w:t>do</w:t>
      </w:r>
      <w:r w:rsidR="00027D23" w:rsidRPr="00816BE2">
        <w:rPr>
          <w:rFonts w:ascii="Arial" w:hAnsi="Arial" w:cs="Arial"/>
        </w:rPr>
        <w:t>es</w:t>
      </w:r>
      <w:r w:rsidR="009B7AE0" w:rsidRPr="00816BE2">
        <w:rPr>
          <w:rFonts w:ascii="Arial" w:hAnsi="Arial" w:cs="Arial"/>
        </w:rPr>
        <w:t xml:space="preserve"> not limit the execution of a warrant to the business of the </w:t>
      </w:r>
      <w:r w:rsidR="00B2123E" w:rsidRPr="00816BE2">
        <w:rPr>
          <w:rFonts w:ascii="Arial" w:hAnsi="Arial" w:cs="Arial"/>
        </w:rPr>
        <w:t>taxpayer. Properly</w:t>
      </w:r>
      <w:r w:rsidR="009B7AE0" w:rsidRPr="00816BE2">
        <w:rPr>
          <w:rFonts w:ascii="Arial" w:hAnsi="Arial" w:cs="Arial"/>
        </w:rPr>
        <w:t xml:space="preserve"> construed, </w:t>
      </w:r>
      <w:r w:rsidR="004F7D96" w:rsidRPr="00816BE2">
        <w:rPr>
          <w:rFonts w:ascii="Arial" w:hAnsi="Arial" w:cs="Arial"/>
        </w:rPr>
        <w:t>it</w:t>
      </w:r>
      <w:r w:rsidR="00996922" w:rsidRPr="00816BE2">
        <w:rPr>
          <w:rFonts w:ascii="Arial" w:hAnsi="Arial" w:cs="Arial"/>
        </w:rPr>
        <w:t xml:space="preserve"> </w:t>
      </w:r>
      <w:r w:rsidR="00E04F85" w:rsidRPr="00816BE2">
        <w:rPr>
          <w:rFonts w:ascii="Arial" w:hAnsi="Arial" w:cs="Arial"/>
        </w:rPr>
        <w:t>contemplate</w:t>
      </w:r>
      <w:r w:rsidR="004F7D96" w:rsidRPr="00816BE2">
        <w:rPr>
          <w:rFonts w:ascii="Arial" w:hAnsi="Arial" w:cs="Arial"/>
        </w:rPr>
        <w:t>s</w:t>
      </w:r>
      <w:r w:rsidR="009B7AE0" w:rsidRPr="00816BE2">
        <w:rPr>
          <w:rFonts w:ascii="Arial" w:hAnsi="Arial" w:cs="Arial"/>
        </w:rPr>
        <w:t xml:space="preserve"> that in executing a warrant, SARS official</w:t>
      </w:r>
      <w:r w:rsidR="004244E1" w:rsidRPr="00816BE2">
        <w:rPr>
          <w:rFonts w:ascii="Arial" w:hAnsi="Arial" w:cs="Arial"/>
        </w:rPr>
        <w:t>s</w:t>
      </w:r>
      <w:r w:rsidR="009B7AE0" w:rsidRPr="00816BE2">
        <w:rPr>
          <w:rFonts w:ascii="Arial" w:hAnsi="Arial" w:cs="Arial"/>
        </w:rPr>
        <w:t xml:space="preserve"> may search</w:t>
      </w:r>
      <w:r w:rsidR="00027D23" w:rsidRPr="00816BE2">
        <w:rPr>
          <w:rFonts w:ascii="Arial" w:hAnsi="Arial" w:cs="Arial"/>
        </w:rPr>
        <w:t xml:space="preserve"> anything </w:t>
      </w:r>
      <w:r w:rsidR="009B7AE0" w:rsidRPr="00816BE2">
        <w:rPr>
          <w:rFonts w:ascii="Arial" w:hAnsi="Arial" w:cs="Arial"/>
        </w:rPr>
        <w:t>on the premises identified in the warrant</w:t>
      </w:r>
      <w:r w:rsidR="00027D23" w:rsidRPr="00816BE2">
        <w:rPr>
          <w:rFonts w:ascii="Arial" w:hAnsi="Arial" w:cs="Arial"/>
        </w:rPr>
        <w:t>,</w:t>
      </w:r>
      <w:r w:rsidR="009B7AE0" w:rsidRPr="00816BE2">
        <w:rPr>
          <w:rFonts w:ascii="Arial" w:hAnsi="Arial" w:cs="Arial"/>
        </w:rPr>
        <w:t xml:space="preserve"> </w:t>
      </w:r>
      <w:r w:rsidR="007474E8" w:rsidRPr="00816BE2">
        <w:rPr>
          <w:rFonts w:ascii="Arial" w:hAnsi="Arial" w:cs="Arial"/>
        </w:rPr>
        <w:t xml:space="preserve">if they suspect that it contains relevant material. This is clear from the </w:t>
      </w:r>
      <w:r w:rsidR="000A549A" w:rsidRPr="00816BE2">
        <w:rPr>
          <w:rFonts w:ascii="Arial" w:hAnsi="Arial" w:cs="Arial"/>
        </w:rPr>
        <w:t xml:space="preserve">ordinary grammatical </w:t>
      </w:r>
      <w:r w:rsidR="00460C12" w:rsidRPr="00E831B2">
        <w:rPr>
          <w:rFonts w:ascii="Arial" w:hAnsi="Arial" w:cs="Arial"/>
        </w:rPr>
        <w:t>meaning</w:t>
      </w:r>
      <w:r w:rsidR="000A549A" w:rsidRPr="00816BE2">
        <w:rPr>
          <w:rFonts w:ascii="Arial" w:hAnsi="Arial" w:cs="Arial"/>
        </w:rPr>
        <w:t xml:space="preserve"> of the </w:t>
      </w:r>
      <w:r w:rsidR="009B7AE0" w:rsidRPr="00816BE2">
        <w:rPr>
          <w:rFonts w:ascii="Arial" w:hAnsi="Arial" w:cs="Arial"/>
        </w:rPr>
        <w:t>word ‘anything’</w:t>
      </w:r>
      <w:r w:rsidR="00681328" w:rsidRPr="00816BE2">
        <w:rPr>
          <w:rStyle w:val="FootnoteReference"/>
          <w:rFonts w:ascii="Arial" w:hAnsi="Arial" w:cs="Arial"/>
        </w:rPr>
        <w:footnoteReference w:id="14"/>
      </w:r>
      <w:r w:rsidR="009B7AE0" w:rsidRPr="00816BE2">
        <w:rPr>
          <w:rFonts w:ascii="Arial" w:hAnsi="Arial" w:cs="Arial"/>
        </w:rPr>
        <w:t xml:space="preserve"> </w:t>
      </w:r>
      <w:r w:rsidR="007474E8" w:rsidRPr="00816BE2">
        <w:rPr>
          <w:rFonts w:ascii="Arial" w:hAnsi="Arial" w:cs="Arial"/>
        </w:rPr>
        <w:t xml:space="preserve">which is used </w:t>
      </w:r>
      <w:r w:rsidR="009B7AE0" w:rsidRPr="00816BE2">
        <w:rPr>
          <w:rFonts w:ascii="Arial" w:hAnsi="Arial" w:cs="Arial"/>
        </w:rPr>
        <w:t>in</w:t>
      </w:r>
      <w:r w:rsidR="00681328" w:rsidRPr="00816BE2">
        <w:rPr>
          <w:rFonts w:ascii="Arial" w:hAnsi="Arial" w:cs="Arial"/>
        </w:rPr>
        <w:t xml:space="preserve"> </w:t>
      </w:r>
      <w:r w:rsidR="007474E8" w:rsidRPr="00816BE2">
        <w:rPr>
          <w:rFonts w:ascii="Arial" w:hAnsi="Arial" w:cs="Arial"/>
        </w:rPr>
        <w:t>s 61(3)</w:t>
      </w:r>
      <w:r w:rsidR="00531999" w:rsidRPr="00B2123E">
        <w:rPr>
          <w:rFonts w:ascii="Arial" w:hAnsi="Arial" w:cs="Arial"/>
          <w:i/>
          <w:iCs/>
        </w:rPr>
        <w:t>(a)</w:t>
      </w:r>
      <w:r w:rsidR="007474E8" w:rsidRPr="00816BE2">
        <w:rPr>
          <w:rFonts w:ascii="Arial" w:hAnsi="Arial" w:cs="Arial"/>
        </w:rPr>
        <w:t>.</w:t>
      </w:r>
      <w:r w:rsidR="009B7AE0" w:rsidRPr="00816BE2">
        <w:rPr>
          <w:rFonts w:ascii="Arial" w:hAnsi="Arial" w:cs="Arial"/>
        </w:rPr>
        <w:t xml:space="preserve"> Th</w:t>
      </w:r>
      <w:r w:rsidR="004F7D96" w:rsidRPr="00816BE2">
        <w:rPr>
          <w:rFonts w:ascii="Arial" w:hAnsi="Arial" w:cs="Arial"/>
        </w:rPr>
        <w:t xml:space="preserve">is </w:t>
      </w:r>
      <w:r w:rsidR="000A549A" w:rsidRPr="00816BE2">
        <w:rPr>
          <w:rFonts w:ascii="Arial" w:hAnsi="Arial" w:cs="Arial"/>
        </w:rPr>
        <w:t>word</w:t>
      </w:r>
      <w:r w:rsidR="009B7AE0" w:rsidRPr="00816BE2">
        <w:rPr>
          <w:rFonts w:ascii="Arial" w:hAnsi="Arial" w:cs="Arial"/>
        </w:rPr>
        <w:t xml:space="preserve"> is broad enough to include</w:t>
      </w:r>
      <w:r w:rsidR="00E36AAA" w:rsidRPr="00816BE2">
        <w:rPr>
          <w:rFonts w:ascii="Arial" w:hAnsi="Arial" w:cs="Arial"/>
        </w:rPr>
        <w:t xml:space="preserve"> </w:t>
      </w:r>
      <w:r w:rsidR="007474E8" w:rsidRPr="00816BE2">
        <w:rPr>
          <w:rFonts w:ascii="Arial" w:hAnsi="Arial" w:cs="Arial"/>
        </w:rPr>
        <w:t xml:space="preserve">a search of </w:t>
      </w:r>
      <w:r w:rsidR="009B7AE0" w:rsidRPr="00816BE2">
        <w:rPr>
          <w:rFonts w:ascii="Arial" w:hAnsi="Arial" w:cs="Arial"/>
        </w:rPr>
        <w:t>vehicles parked on the premises</w:t>
      </w:r>
      <w:r w:rsidR="007474E8" w:rsidRPr="00816BE2">
        <w:rPr>
          <w:rFonts w:ascii="Arial" w:hAnsi="Arial" w:cs="Arial"/>
        </w:rPr>
        <w:t xml:space="preserve"> identified in the warrant.</w:t>
      </w:r>
      <w:r w:rsidR="00027D23" w:rsidRPr="00816BE2">
        <w:rPr>
          <w:rFonts w:ascii="Arial" w:hAnsi="Arial" w:cs="Arial"/>
        </w:rPr>
        <w:t xml:space="preserve"> </w:t>
      </w:r>
    </w:p>
    <w:p w14:paraId="3533873A" w14:textId="77777777" w:rsidR="007555F9" w:rsidRPr="00816BE2" w:rsidRDefault="007555F9" w:rsidP="00B72E3C">
      <w:pPr>
        <w:spacing w:line="360" w:lineRule="auto"/>
        <w:jc w:val="both"/>
        <w:rPr>
          <w:rFonts w:ascii="Arial" w:hAnsi="Arial" w:cs="Arial"/>
        </w:rPr>
      </w:pPr>
    </w:p>
    <w:p w14:paraId="57A20641" w14:textId="02D20386" w:rsidR="009B7AE0" w:rsidRPr="00816BE2" w:rsidRDefault="007555F9" w:rsidP="00B72E3C">
      <w:pPr>
        <w:spacing w:line="360" w:lineRule="auto"/>
        <w:jc w:val="both"/>
        <w:rPr>
          <w:rFonts w:ascii="Arial" w:hAnsi="Arial" w:cs="Arial"/>
        </w:rPr>
      </w:pPr>
      <w:r w:rsidRPr="00816BE2">
        <w:rPr>
          <w:rFonts w:ascii="Arial" w:hAnsi="Arial" w:cs="Arial"/>
        </w:rPr>
        <w:t>[1</w:t>
      </w:r>
      <w:r w:rsidR="00531999" w:rsidRPr="00816BE2">
        <w:rPr>
          <w:rFonts w:ascii="Arial" w:hAnsi="Arial" w:cs="Arial"/>
        </w:rPr>
        <w:t>7</w:t>
      </w:r>
      <w:r w:rsidRPr="00816BE2">
        <w:rPr>
          <w:rFonts w:ascii="Arial" w:hAnsi="Arial" w:cs="Arial"/>
        </w:rPr>
        <w:t>]</w:t>
      </w:r>
      <w:r w:rsidRPr="00816BE2">
        <w:rPr>
          <w:rFonts w:ascii="Arial" w:hAnsi="Arial" w:cs="Arial"/>
        </w:rPr>
        <w:tab/>
      </w:r>
      <w:r w:rsidR="000A549A" w:rsidRPr="00816BE2">
        <w:rPr>
          <w:rFonts w:ascii="Arial" w:hAnsi="Arial" w:cs="Arial"/>
        </w:rPr>
        <w:t>Significantly</w:t>
      </w:r>
      <w:r w:rsidRPr="00816BE2">
        <w:rPr>
          <w:rFonts w:ascii="Arial" w:hAnsi="Arial" w:cs="Arial"/>
        </w:rPr>
        <w:t>, s 61(3)</w:t>
      </w:r>
      <w:r w:rsidR="00531999" w:rsidRPr="00B2123E">
        <w:rPr>
          <w:rFonts w:ascii="Arial" w:hAnsi="Arial" w:cs="Arial"/>
          <w:i/>
          <w:iCs/>
        </w:rPr>
        <w:t>(a)</w:t>
      </w:r>
      <w:r w:rsidRPr="00B2123E">
        <w:rPr>
          <w:rFonts w:ascii="Arial" w:hAnsi="Arial" w:cs="Arial"/>
          <w:i/>
          <w:iCs/>
        </w:rPr>
        <w:t xml:space="preserve"> </w:t>
      </w:r>
      <w:r w:rsidRPr="00816BE2">
        <w:rPr>
          <w:rFonts w:ascii="Arial" w:hAnsi="Arial" w:cs="Arial"/>
        </w:rPr>
        <w:t>of the TAA</w:t>
      </w:r>
      <w:r w:rsidR="00027D23" w:rsidRPr="00816BE2">
        <w:rPr>
          <w:rFonts w:ascii="Arial" w:hAnsi="Arial" w:cs="Arial"/>
        </w:rPr>
        <w:t xml:space="preserve"> does not afford a SARS official </w:t>
      </w:r>
      <w:r w:rsidR="00B3344C" w:rsidRPr="00816BE2">
        <w:rPr>
          <w:rFonts w:ascii="Arial" w:hAnsi="Arial" w:cs="Arial"/>
          <w:i/>
          <w:iCs/>
        </w:rPr>
        <w:t xml:space="preserve">carte </w:t>
      </w:r>
      <w:r w:rsidR="00520BD8" w:rsidRPr="00816BE2">
        <w:rPr>
          <w:rFonts w:ascii="Arial" w:hAnsi="Arial" w:cs="Arial"/>
          <w:i/>
          <w:iCs/>
        </w:rPr>
        <w:t>blanch</w:t>
      </w:r>
      <w:r w:rsidR="00696BD3" w:rsidRPr="00F93A16">
        <w:rPr>
          <w:rFonts w:ascii="Arial" w:hAnsi="Arial" w:cs="Arial"/>
          <w:i/>
          <w:iCs/>
        </w:rPr>
        <w:t>e</w:t>
      </w:r>
      <w:r w:rsidR="00520BD8" w:rsidRPr="00816BE2">
        <w:rPr>
          <w:rFonts w:ascii="Arial" w:hAnsi="Arial" w:cs="Arial"/>
          <w:i/>
          <w:iCs/>
        </w:rPr>
        <w:t xml:space="preserve"> </w:t>
      </w:r>
      <w:r w:rsidR="00520BD8" w:rsidRPr="00816BE2">
        <w:rPr>
          <w:rFonts w:ascii="Arial" w:hAnsi="Arial" w:cs="Arial"/>
        </w:rPr>
        <w:t>in</w:t>
      </w:r>
      <w:r w:rsidR="00B3344C" w:rsidRPr="00816BE2">
        <w:rPr>
          <w:rFonts w:ascii="Arial" w:hAnsi="Arial" w:cs="Arial"/>
        </w:rPr>
        <w:t xml:space="preserve"> </w:t>
      </w:r>
      <w:r w:rsidR="00027D23" w:rsidRPr="00816BE2">
        <w:rPr>
          <w:rFonts w:ascii="Arial" w:hAnsi="Arial" w:cs="Arial"/>
        </w:rPr>
        <w:t>search</w:t>
      </w:r>
      <w:r w:rsidR="00B3344C" w:rsidRPr="00816BE2">
        <w:rPr>
          <w:rFonts w:ascii="Arial" w:hAnsi="Arial" w:cs="Arial"/>
        </w:rPr>
        <w:t>ing</w:t>
      </w:r>
      <w:r w:rsidR="00027D23" w:rsidRPr="00816BE2">
        <w:rPr>
          <w:rFonts w:ascii="Arial" w:hAnsi="Arial" w:cs="Arial"/>
        </w:rPr>
        <w:t xml:space="preserve"> </w:t>
      </w:r>
      <w:r w:rsidRPr="00816BE2">
        <w:rPr>
          <w:rFonts w:ascii="Arial" w:hAnsi="Arial" w:cs="Arial"/>
        </w:rPr>
        <w:t xml:space="preserve">the </w:t>
      </w:r>
      <w:r w:rsidR="00027D23" w:rsidRPr="00816BE2">
        <w:rPr>
          <w:rFonts w:ascii="Arial" w:hAnsi="Arial" w:cs="Arial"/>
        </w:rPr>
        <w:t xml:space="preserve">property of third parties </w:t>
      </w:r>
      <w:r w:rsidR="00BA5F02" w:rsidRPr="00816BE2">
        <w:rPr>
          <w:rFonts w:ascii="Arial" w:hAnsi="Arial" w:cs="Arial"/>
        </w:rPr>
        <w:t>who</w:t>
      </w:r>
      <w:r w:rsidR="00027D23" w:rsidRPr="00816BE2">
        <w:rPr>
          <w:rFonts w:ascii="Arial" w:hAnsi="Arial" w:cs="Arial"/>
        </w:rPr>
        <w:t xml:space="preserve"> may be on the premises identified in the warrant. A SARS official may </w:t>
      </w:r>
      <w:r w:rsidR="009B7AE0" w:rsidRPr="00816BE2">
        <w:rPr>
          <w:rFonts w:ascii="Arial" w:hAnsi="Arial" w:cs="Arial"/>
        </w:rPr>
        <w:t xml:space="preserve">only </w:t>
      </w:r>
      <w:r w:rsidR="00013C2E" w:rsidRPr="00816BE2">
        <w:rPr>
          <w:rFonts w:ascii="Arial" w:hAnsi="Arial" w:cs="Arial"/>
        </w:rPr>
        <w:t xml:space="preserve">do so </w:t>
      </w:r>
      <w:r w:rsidR="00A81EDC" w:rsidRPr="00816BE2">
        <w:rPr>
          <w:rFonts w:ascii="Arial" w:hAnsi="Arial" w:cs="Arial"/>
        </w:rPr>
        <w:t xml:space="preserve">if they </w:t>
      </w:r>
      <w:r w:rsidR="009B7AE0" w:rsidRPr="00816BE2">
        <w:rPr>
          <w:rFonts w:ascii="Arial" w:hAnsi="Arial" w:cs="Arial"/>
        </w:rPr>
        <w:t>suspect that</w:t>
      </w:r>
      <w:r w:rsidR="00013C2E" w:rsidRPr="00816BE2">
        <w:rPr>
          <w:rFonts w:ascii="Arial" w:hAnsi="Arial" w:cs="Arial"/>
        </w:rPr>
        <w:t xml:space="preserve"> the property of a third </w:t>
      </w:r>
      <w:r w:rsidR="00013C2E" w:rsidRPr="00816BE2">
        <w:rPr>
          <w:rFonts w:ascii="Arial" w:hAnsi="Arial" w:cs="Arial"/>
        </w:rPr>
        <w:lastRenderedPageBreak/>
        <w:t>party</w:t>
      </w:r>
      <w:r w:rsidR="009B7AE0" w:rsidRPr="00816BE2">
        <w:rPr>
          <w:rFonts w:ascii="Arial" w:hAnsi="Arial" w:cs="Arial"/>
        </w:rPr>
        <w:t xml:space="preserve"> contain</w:t>
      </w:r>
      <w:r w:rsidR="00A81EDC" w:rsidRPr="00816BE2">
        <w:rPr>
          <w:rFonts w:ascii="Arial" w:hAnsi="Arial" w:cs="Arial"/>
        </w:rPr>
        <w:t>s</w:t>
      </w:r>
      <w:r w:rsidR="009B7AE0" w:rsidRPr="00816BE2">
        <w:rPr>
          <w:rFonts w:ascii="Arial" w:hAnsi="Arial" w:cs="Arial"/>
        </w:rPr>
        <w:t xml:space="preserve"> material relevant to the taxpayer</w:t>
      </w:r>
      <w:r w:rsidRPr="00816BE2">
        <w:rPr>
          <w:rFonts w:ascii="Arial" w:hAnsi="Arial" w:cs="Arial"/>
        </w:rPr>
        <w:t>.</w:t>
      </w:r>
      <w:r w:rsidR="009B7AE0" w:rsidRPr="00816BE2">
        <w:rPr>
          <w:rFonts w:ascii="Arial" w:hAnsi="Arial" w:cs="Arial"/>
        </w:rPr>
        <w:t xml:space="preserve"> </w:t>
      </w:r>
      <w:r w:rsidR="00A81EDC" w:rsidRPr="00816BE2">
        <w:rPr>
          <w:rFonts w:ascii="Arial" w:hAnsi="Arial" w:cs="Arial"/>
        </w:rPr>
        <w:t xml:space="preserve">This interpretation gives effect to the </w:t>
      </w:r>
      <w:r w:rsidR="00696BD3" w:rsidRPr="00F93A16">
        <w:rPr>
          <w:rFonts w:ascii="Arial" w:hAnsi="Arial" w:cs="Arial"/>
        </w:rPr>
        <w:t>manifest</w:t>
      </w:r>
      <w:r w:rsidR="00696BD3">
        <w:rPr>
          <w:rFonts w:ascii="Arial" w:hAnsi="Arial" w:cs="Arial"/>
        </w:rPr>
        <w:t xml:space="preserve"> </w:t>
      </w:r>
      <w:r w:rsidR="00A81EDC" w:rsidRPr="00816BE2">
        <w:rPr>
          <w:rFonts w:ascii="Arial" w:hAnsi="Arial" w:cs="Arial"/>
        </w:rPr>
        <w:t xml:space="preserve">purpose of </w:t>
      </w:r>
      <w:r w:rsidRPr="00816BE2">
        <w:rPr>
          <w:rFonts w:ascii="Arial" w:hAnsi="Arial" w:cs="Arial"/>
        </w:rPr>
        <w:t>the</w:t>
      </w:r>
      <w:r w:rsidR="00A81EDC" w:rsidRPr="00816BE2">
        <w:rPr>
          <w:rFonts w:ascii="Arial" w:hAnsi="Arial" w:cs="Arial"/>
        </w:rPr>
        <w:t xml:space="preserve"> searc</w:t>
      </w:r>
      <w:r w:rsidRPr="00816BE2">
        <w:rPr>
          <w:rFonts w:ascii="Arial" w:hAnsi="Arial" w:cs="Arial"/>
        </w:rPr>
        <w:t xml:space="preserve">h </w:t>
      </w:r>
      <w:r w:rsidR="00A81EDC" w:rsidRPr="00816BE2">
        <w:rPr>
          <w:rFonts w:ascii="Arial" w:hAnsi="Arial" w:cs="Arial"/>
        </w:rPr>
        <w:t xml:space="preserve">and seizure </w:t>
      </w:r>
      <w:r w:rsidRPr="00816BE2">
        <w:rPr>
          <w:rFonts w:ascii="Arial" w:hAnsi="Arial" w:cs="Arial"/>
        </w:rPr>
        <w:t>provisions</w:t>
      </w:r>
      <w:r w:rsidR="00A81EDC" w:rsidRPr="00816BE2">
        <w:rPr>
          <w:rFonts w:ascii="Arial" w:hAnsi="Arial" w:cs="Arial"/>
        </w:rPr>
        <w:t xml:space="preserve"> </w:t>
      </w:r>
      <w:r w:rsidR="00696BD3" w:rsidRPr="00F93A16">
        <w:rPr>
          <w:rFonts w:ascii="Arial" w:hAnsi="Arial" w:cs="Arial"/>
        </w:rPr>
        <w:t>of the</w:t>
      </w:r>
      <w:r w:rsidRPr="00816BE2">
        <w:rPr>
          <w:rFonts w:ascii="Arial" w:hAnsi="Arial" w:cs="Arial"/>
        </w:rPr>
        <w:t xml:space="preserve"> </w:t>
      </w:r>
      <w:r w:rsidR="00A81EDC" w:rsidRPr="00816BE2">
        <w:rPr>
          <w:rFonts w:ascii="Arial" w:hAnsi="Arial" w:cs="Arial"/>
        </w:rPr>
        <w:t>TAA, which is to obtain evidence against a taxpayer if there are reasonable grounds to suspect non-compliance</w:t>
      </w:r>
      <w:r w:rsidR="00696BD3">
        <w:rPr>
          <w:rFonts w:ascii="Arial" w:hAnsi="Arial" w:cs="Arial"/>
        </w:rPr>
        <w:t xml:space="preserve"> </w:t>
      </w:r>
      <w:r w:rsidR="00696BD3" w:rsidRPr="00F93A16">
        <w:rPr>
          <w:rFonts w:ascii="Arial" w:hAnsi="Arial" w:cs="Arial"/>
        </w:rPr>
        <w:t>with</w:t>
      </w:r>
      <w:r w:rsidR="00EC52DD">
        <w:rPr>
          <w:rFonts w:ascii="Arial" w:hAnsi="Arial" w:cs="Arial"/>
        </w:rPr>
        <w:t>,</w:t>
      </w:r>
      <w:r w:rsidR="00A81EDC" w:rsidRPr="00816BE2">
        <w:rPr>
          <w:rFonts w:ascii="Arial" w:hAnsi="Arial" w:cs="Arial"/>
        </w:rPr>
        <w:t xml:space="preserve"> or tax offences</w:t>
      </w:r>
      <w:r w:rsidR="00696BD3">
        <w:rPr>
          <w:rFonts w:ascii="Arial" w:hAnsi="Arial" w:cs="Arial"/>
        </w:rPr>
        <w:t xml:space="preserve"> </w:t>
      </w:r>
      <w:r w:rsidR="00696BD3" w:rsidRPr="00F93A16">
        <w:rPr>
          <w:rFonts w:ascii="Arial" w:hAnsi="Arial" w:cs="Arial"/>
        </w:rPr>
        <w:t>under</w:t>
      </w:r>
      <w:r w:rsidR="00EC52DD" w:rsidRPr="00F93A16">
        <w:rPr>
          <w:rFonts w:ascii="Arial" w:hAnsi="Arial" w:cs="Arial"/>
        </w:rPr>
        <w:t>,</w:t>
      </w:r>
      <w:r w:rsidR="00696BD3" w:rsidRPr="00F93A16">
        <w:rPr>
          <w:rFonts w:ascii="Arial" w:hAnsi="Arial" w:cs="Arial"/>
        </w:rPr>
        <w:t xml:space="preserve"> a tax Act</w:t>
      </w:r>
      <w:r w:rsidR="00A81EDC" w:rsidRPr="00816BE2">
        <w:rPr>
          <w:rFonts w:ascii="Arial" w:hAnsi="Arial" w:cs="Arial"/>
        </w:rPr>
        <w:t xml:space="preserve">. </w:t>
      </w:r>
      <w:r w:rsidR="00C7076E" w:rsidRPr="00816BE2">
        <w:rPr>
          <w:rFonts w:ascii="Arial" w:hAnsi="Arial" w:cs="Arial"/>
        </w:rPr>
        <w:t xml:space="preserve">As I see it, </w:t>
      </w:r>
      <w:r w:rsidR="00642E9D" w:rsidRPr="00816BE2">
        <w:rPr>
          <w:rFonts w:ascii="Arial" w:hAnsi="Arial" w:cs="Arial"/>
        </w:rPr>
        <w:t>s</w:t>
      </w:r>
      <w:r w:rsidR="00013C2E" w:rsidRPr="00816BE2">
        <w:rPr>
          <w:rFonts w:ascii="Arial" w:hAnsi="Arial" w:cs="Arial"/>
        </w:rPr>
        <w:t xml:space="preserve">earch and seizure operations </w:t>
      </w:r>
      <w:r w:rsidR="005D015F" w:rsidRPr="00816BE2">
        <w:rPr>
          <w:rFonts w:ascii="Arial" w:hAnsi="Arial" w:cs="Arial"/>
        </w:rPr>
        <w:t xml:space="preserve">on </w:t>
      </w:r>
      <w:r w:rsidR="00BA5F02" w:rsidRPr="00816BE2">
        <w:rPr>
          <w:rFonts w:ascii="Arial" w:hAnsi="Arial" w:cs="Arial"/>
        </w:rPr>
        <w:t xml:space="preserve">the </w:t>
      </w:r>
      <w:r w:rsidR="005D015F" w:rsidRPr="00816BE2">
        <w:rPr>
          <w:rFonts w:ascii="Arial" w:hAnsi="Arial" w:cs="Arial"/>
        </w:rPr>
        <w:t xml:space="preserve">premises identified in a warrant </w:t>
      </w:r>
      <w:r w:rsidR="00013C2E" w:rsidRPr="00816BE2">
        <w:rPr>
          <w:rFonts w:ascii="Arial" w:hAnsi="Arial" w:cs="Arial"/>
        </w:rPr>
        <w:t>would be rendered ineffectual if SARS officials</w:t>
      </w:r>
      <w:r w:rsidR="00642E9D" w:rsidRPr="00816BE2">
        <w:rPr>
          <w:rFonts w:ascii="Arial" w:hAnsi="Arial" w:cs="Arial"/>
        </w:rPr>
        <w:t xml:space="preserve"> </w:t>
      </w:r>
      <w:r w:rsidR="00C7076E" w:rsidRPr="00816BE2">
        <w:rPr>
          <w:rFonts w:ascii="Arial" w:hAnsi="Arial" w:cs="Arial"/>
        </w:rPr>
        <w:t>were</w:t>
      </w:r>
      <w:r w:rsidR="00013C2E" w:rsidRPr="00816BE2">
        <w:rPr>
          <w:rFonts w:ascii="Arial" w:hAnsi="Arial" w:cs="Arial"/>
        </w:rPr>
        <w:t xml:space="preserve"> powerless</w:t>
      </w:r>
      <w:r w:rsidR="005D015F" w:rsidRPr="00816BE2">
        <w:rPr>
          <w:rFonts w:ascii="Arial" w:hAnsi="Arial" w:cs="Arial"/>
        </w:rPr>
        <w:t>, under the TAA,</w:t>
      </w:r>
      <w:r w:rsidR="00013C2E" w:rsidRPr="00816BE2">
        <w:rPr>
          <w:rFonts w:ascii="Arial" w:hAnsi="Arial" w:cs="Arial"/>
        </w:rPr>
        <w:t xml:space="preserve"> to search third parties</w:t>
      </w:r>
      <w:r w:rsidR="005D015F" w:rsidRPr="00816BE2">
        <w:rPr>
          <w:rFonts w:ascii="Arial" w:hAnsi="Arial" w:cs="Arial"/>
        </w:rPr>
        <w:t xml:space="preserve"> for relevant material</w:t>
      </w:r>
      <w:r w:rsidR="00C7076E" w:rsidRPr="00816BE2">
        <w:rPr>
          <w:rFonts w:ascii="Arial" w:hAnsi="Arial" w:cs="Arial"/>
        </w:rPr>
        <w:t>. This would be</w:t>
      </w:r>
      <w:r w:rsidR="005D015F" w:rsidRPr="00816BE2">
        <w:rPr>
          <w:rFonts w:ascii="Arial" w:hAnsi="Arial" w:cs="Arial"/>
        </w:rPr>
        <w:t xml:space="preserve"> especially</w:t>
      </w:r>
      <w:r w:rsidR="00C7076E" w:rsidRPr="00816BE2">
        <w:rPr>
          <w:rFonts w:ascii="Arial" w:hAnsi="Arial" w:cs="Arial"/>
        </w:rPr>
        <w:t xml:space="preserve"> so, </w:t>
      </w:r>
      <w:r w:rsidR="005D015F" w:rsidRPr="00816BE2">
        <w:rPr>
          <w:rFonts w:ascii="Arial" w:hAnsi="Arial" w:cs="Arial"/>
        </w:rPr>
        <w:t>in</w:t>
      </w:r>
      <w:r w:rsidR="00C7076E" w:rsidRPr="00816BE2">
        <w:rPr>
          <w:rFonts w:ascii="Arial" w:hAnsi="Arial" w:cs="Arial"/>
        </w:rPr>
        <w:t xml:space="preserve"> </w:t>
      </w:r>
      <w:r w:rsidR="00E33273" w:rsidRPr="00816BE2">
        <w:rPr>
          <w:rFonts w:ascii="Arial" w:hAnsi="Arial" w:cs="Arial"/>
        </w:rPr>
        <w:t>a case such as this</w:t>
      </w:r>
      <w:r w:rsidR="005D015F" w:rsidRPr="00816BE2">
        <w:rPr>
          <w:rFonts w:ascii="Arial" w:hAnsi="Arial" w:cs="Arial"/>
        </w:rPr>
        <w:t xml:space="preserve">, where material relevant to the taxpayer was </w:t>
      </w:r>
      <w:r w:rsidR="001D7D45" w:rsidRPr="00F93A16">
        <w:rPr>
          <w:rFonts w:ascii="Arial" w:hAnsi="Arial" w:cs="Arial"/>
        </w:rPr>
        <w:t>spirited away and</w:t>
      </w:r>
      <w:r w:rsidR="001D7D45">
        <w:rPr>
          <w:rFonts w:ascii="Arial" w:hAnsi="Arial" w:cs="Arial"/>
        </w:rPr>
        <w:t xml:space="preserve"> </w:t>
      </w:r>
      <w:r w:rsidR="005D015F" w:rsidRPr="00816BE2">
        <w:rPr>
          <w:rFonts w:ascii="Arial" w:hAnsi="Arial" w:cs="Arial"/>
        </w:rPr>
        <w:t>placed in a vehicle belonging to a third party</w:t>
      </w:r>
      <w:r w:rsidR="00531999" w:rsidRPr="00816BE2">
        <w:rPr>
          <w:rFonts w:ascii="Arial" w:hAnsi="Arial" w:cs="Arial"/>
        </w:rPr>
        <w:t xml:space="preserve">, with impunity. </w:t>
      </w:r>
      <w:r w:rsidR="005D015F" w:rsidRPr="00816BE2">
        <w:rPr>
          <w:rFonts w:ascii="Arial" w:hAnsi="Arial" w:cs="Arial"/>
        </w:rPr>
        <w:t xml:space="preserve"> </w:t>
      </w:r>
    </w:p>
    <w:p w14:paraId="7DD6C094" w14:textId="77777777" w:rsidR="009B7AE0" w:rsidRPr="00816BE2" w:rsidRDefault="009B7AE0" w:rsidP="009B7AE0">
      <w:pPr>
        <w:spacing w:line="360" w:lineRule="auto"/>
        <w:jc w:val="both"/>
        <w:rPr>
          <w:rFonts w:ascii="Arial" w:hAnsi="Arial" w:cs="Arial"/>
        </w:rPr>
      </w:pPr>
    </w:p>
    <w:p w14:paraId="1D5FBF87" w14:textId="07E38307" w:rsidR="001E2AA0" w:rsidRPr="00816BE2" w:rsidRDefault="00B72E3C" w:rsidP="00F0165D">
      <w:pPr>
        <w:spacing w:line="360" w:lineRule="auto"/>
        <w:jc w:val="both"/>
        <w:rPr>
          <w:rFonts w:ascii="Arial" w:hAnsi="Arial" w:cs="Arial"/>
        </w:rPr>
      </w:pPr>
      <w:r w:rsidRPr="00816BE2">
        <w:rPr>
          <w:rFonts w:ascii="Arial" w:hAnsi="Arial" w:cs="Arial"/>
        </w:rPr>
        <w:t>[1</w:t>
      </w:r>
      <w:r w:rsidR="00531999" w:rsidRPr="00816BE2">
        <w:rPr>
          <w:rFonts w:ascii="Arial" w:hAnsi="Arial" w:cs="Arial"/>
        </w:rPr>
        <w:t>8</w:t>
      </w:r>
      <w:r w:rsidRPr="00816BE2">
        <w:rPr>
          <w:rFonts w:ascii="Arial" w:hAnsi="Arial" w:cs="Arial"/>
        </w:rPr>
        <w:t>]</w:t>
      </w:r>
      <w:r w:rsidRPr="00816BE2">
        <w:rPr>
          <w:rFonts w:ascii="Arial" w:hAnsi="Arial" w:cs="Arial"/>
        </w:rPr>
        <w:tab/>
      </w:r>
      <w:r w:rsidR="00A81EDC" w:rsidRPr="00816BE2">
        <w:rPr>
          <w:rFonts w:ascii="Arial" w:hAnsi="Arial" w:cs="Arial"/>
        </w:rPr>
        <w:t xml:space="preserve">In a final attempt to overcome the </w:t>
      </w:r>
      <w:r w:rsidR="001D7D45" w:rsidRPr="00F93A16">
        <w:rPr>
          <w:rFonts w:ascii="Arial" w:hAnsi="Arial" w:cs="Arial"/>
        </w:rPr>
        <w:t>insurmountable hurdles</w:t>
      </w:r>
      <w:r w:rsidR="007555F9" w:rsidRPr="00816BE2">
        <w:rPr>
          <w:rFonts w:ascii="Arial" w:hAnsi="Arial" w:cs="Arial"/>
        </w:rPr>
        <w:t xml:space="preserve"> </w:t>
      </w:r>
      <w:r w:rsidR="00A81EDC" w:rsidRPr="00816BE2">
        <w:rPr>
          <w:rFonts w:ascii="Arial" w:hAnsi="Arial" w:cs="Arial"/>
        </w:rPr>
        <w:t xml:space="preserve">in </w:t>
      </w:r>
      <w:r w:rsidR="000D3555" w:rsidRPr="00816BE2">
        <w:rPr>
          <w:rFonts w:ascii="Arial" w:hAnsi="Arial" w:cs="Arial"/>
        </w:rPr>
        <w:t>their</w:t>
      </w:r>
      <w:r w:rsidR="00A81EDC" w:rsidRPr="00816BE2">
        <w:rPr>
          <w:rFonts w:ascii="Arial" w:hAnsi="Arial" w:cs="Arial"/>
        </w:rPr>
        <w:t xml:space="preserve"> case, the</w:t>
      </w:r>
      <w:r w:rsidR="009B7AE0" w:rsidRPr="00816BE2">
        <w:rPr>
          <w:rFonts w:ascii="Arial" w:hAnsi="Arial" w:cs="Arial"/>
        </w:rPr>
        <w:t xml:space="preserve"> appellants contended that</w:t>
      </w:r>
      <w:r w:rsidR="005B4F63" w:rsidRPr="00816BE2">
        <w:rPr>
          <w:rFonts w:ascii="Arial" w:hAnsi="Arial" w:cs="Arial"/>
        </w:rPr>
        <w:t xml:space="preserve"> the</w:t>
      </w:r>
      <w:r w:rsidR="009B7AE0" w:rsidRPr="00816BE2">
        <w:rPr>
          <w:rFonts w:ascii="Arial" w:hAnsi="Arial" w:cs="Arial"/>
        </w:rPr>
        <w:t xml:space="preserve"> execution of the warrant was unlawful</w:t>
      </w:r>
      <w:r w:rsidR="000D3555" w:rsidRPr="00816BE2">
        <w:rPr>
          <w:rFonts w:ascii="Arial" w:hAnsi="Arial" w:cs="Arial"/>
        </w:rPr>
        <w:t>,</w:t>
      </w:r>
      <w:r w:rsidR="009B7AE0" w:rsidRPr="00816BE2">
        <w:rPr>
          <w:rFonts w:ascii="Arial" w:hAnsi="Arial" w:cs="Arial"/>
        </w:rPr>
        <w:t xml:space="preserve"> as</w:t>
      </w:r>
      <w:r w:rsidR="007555F9" w:rsidRPr="00816BE2">
        <w:rPr>
          <w:rFonts w:ascii="Arial" w:hAnsi="Arial" w:cs="Arial"/>
        </w:rPr>
        <w:t xml:space="preserve"> SARS</w:t>
      </w:r>
      <w:r w:rsidR="00723C6F" w:rsidRPr="00816BE2">
        <w:rPr>
          <w:rFonts w:ascii="Arial" w:hAnsi="Arial" w:cs="Arial"/>
        </w:rPr>
        <w:t xml:space="preserve"> officials</w:t>
      </w:r>
      <w:r w:rsidR="009B7AE0" w:rsidRPr="00816BE2">
        <w:rPr>
          <w:rFonts w:ascii="Arial" w:hAnsi="Arial" w:cs="Arial"/>
        </w:rPr>
        <w:t xml:space="preserve"> did not have reasonable and probable cause to search the Fortun</w:t>
      </w:r>
      <w:r w:rsidR="001D7D45" w:rsidRPr="00F93A16">
        <w:rPr>
          <w:rFonts w:ascii="Arial" w:hAnsi="Arial" w:cs="Arial"/>
        </w:rPr>
        <w:t>er</w:t>
      </w:r>
      <w:r w:rsidR="009B7AE0" w:rsidRPr="00816BE2">
        <w:rPr>
          <w:rFonts w:ascii="Arial" w:hAnsi="Arial" w:cs="Arial"/>
        </w:rPr>
        <w:t xml:space="preserve">. </w:t>
      </w:r>
      <w:r w:rsidR="00BD2F22" w:rsidRPr="00816BE2">
        <w:rPr>
          <w:rFonts w:ascii="Arial" w:hAnsi="Arial" w:cs="Arial"/>
        </w:rPr>
        <w:t>I disagree. On the objective facts,</w:t>
      </w:r>
      <w:r w:rsidR="00A412DE" w:rsidRPr="00816BE2">
        <w:rPr>
          <w:rFonts w:ascii="Arial" w:hAnsi="Arial" w:cs="Arial"/>
        </w:rPr>
        <w:t xml:space="preserve"> </w:t>
      </w:r>
      <w:r w:rsidR="003D6CCE" w:rsidRPr="00816BE2">
        <w:rPr>
          <w:rFonts w:ascii="Arial" w:hAnsi="Arial" w:cs="Arial"/>
        </w:rPr>
        <w:t>SARS</w:t>
      </w:r>
      <w:r w:rsidR="009B7AE0" w:rsidRPr="00816BE2">
        <w:rPr>
          <w:rFonts w:ascii="Arial" w:hAnsi="Arial" w:cs="Arial"/>
        </w:rPr>
        <w:t xml:space="preserve"> officials</w:t>
      </w:r>
      <w:r w:rsidR="00AE67B6" w:rsidRPr="00816BE2">
        <w:rPr>
          <w:rFonts w:ascii="Arial" w:hAnsi="Arial" w:cs="Arial"/>
        </w:rPr>
        <w:t xml:space="preserve"> had </w:t>
      </w:r>
      <w:r w:rsidR="001D7D45" w:rsidRPr="00F93A16">
        <w:rPr>
          <w:rFonts w:ascii="Arial" w:hAnsi="Arial" w:cs="Arial"/>
        </w:rPr>
        <w:t>reasonable</w:t>
      </w:r>
      <w:r w:rsidR="001D7D45">
        <w:rPr>
          <w:rFonts w:ascii="Arial" w:hAnsi="Arial" w:cs="Arial"/>
        </w:rPr>
        <w:t xml:space="preserve"> </w:t>
      </w:r>
      <w:r w:rsidR="007756A2" w:rsidRPr="00816BE2">
        <w:rPr>
          <w:rFonts w:ascii="Arial" w:hAnsi="Arial" w:cs="Arial"/>
        </w:rPr>
        <w:t>cause</w:t>
      </w:r>
      <w:r w:rsidR="009B7AE0" w:rsidRPr="00816BE2">
        <w:rPr>
          <w:rFonts w:ascii="Arial" w:hAnsi="Arial" w:cs="Arial"/>
        </w:rPr>
        <w:t xml:space="preserve"> to suspect that </w:t>
      </w:r>
      <w:r w:rsidR="007756A2" w:rsidRPr="00816BE2">
        <w:rPr>
          <w:rFonts w:ascii="Arial" w:hAnsi="Arial" w:cs="Arial"/>
        </w:rPr>
        <w:t>the Fortun</w:t>
      </w:r>
      <w:r w:rsidR="001D7D45" w:rsidRPr="00F93A16">
        <w:rPr>
          <w:rFonts w:ascii="Arial" w:hAnsi="Arial" w:cs="Arial"/>
        </w:rPr>
        <w:t>er</w:t>
      </w:r>
      <w:r w:rsidR="009B7AE0" w:rsidRPr="00816BE2">
        <w:rPr>
          <w:rFonts w:ascii="Arial" w:hAnsi="Arial" w:cs="Arial"/>
        </w:rPr>
        <w:t xml:space="preserve"> contained material relevant to Bullion Star.</w:t>
      </w:r>
      <w:r w:rsidR="00AE67B6" w:rsidRPr="00816BE2">
        <w:rPr>
          <w:rStyle w:val="FootnoteReference"/>
          <w:rFonts w:ascii="Arial" w:hAnsi="Arial" w:cs="Arial"/>
        </w:rPr>
        <w:footnoteReference w:id="15"/>
      </w:r>
      <w:r w:rsidR="009B7AE0" w:rsidRPr="00816BE2">
        <w:rPr>
          <w:rFonts w:ascii="Arial" w:hAnsi="Arial" w:cs="Arial"/>
        </w:rPr>
        <w:t xml:space="preserve"> </w:t>
      </w:r>
      <w:r w:rsidR="000D3555" w:rsidRPr="00816BE2">
        <w:rPr>
          <w:rFonts w:ascii="Arial" w:hAnsi="Arial" w:cs="Arial"/>
        </w:rPr>
        <w:t xml:space="preserve">They saw </w:t>
      </w:r>
      <w:r w:rsidR="001E2AA0" w:rsidRPr="00816BE2">
        <w:rPr>
          <w:rFonts w:ascii="Arial" w:hAnsi="Arial" w:cs="Arial"/>
        </w:rPr>
        <w:t xml:space="preserve">files, </w:t>
      </w:r>
      <w:r w:rsidR="00520BD8" w:rsidRPr="00816BE2">
        <w:rPr>
          <w:rFonts w:ascii="Arial" w:hAnsi="Arial" w:cs="Arial"/>
        </w:rPr>
        <w:t>notebooks,</w:t>
      </w:r>
      <w:r w:rsidR="001E2AA0" w:rsidRPr="00816BE2">
        <w:rPr>
          <w:rFonts w:ascii="Arial" w:hAnsi="Arial" w:cs="Arial"/>
        </w:rPr>
        <w:t xml:space="preserve"> and electrical equipment in</w:t>
      </w:r>
      <w:r w:rsidR="00B620ED" w:rsidRPr="00816BE2">
        <w:rPr>
          <w:rFonts w:ascii="Arial" w:hAnsi="Arial" w:cs="Arial"/>
        </w:rPr>
        <w:t>side</w:t>
      </w:r>
      <w:r w:rsidR="001E2AA0" w:rsidRPr="00816BE2">
        <w:rPr>
          <w:rFonts w:ascii="Arial" w:hAnsi="Arial" w:cs="Arial"/>
        </w:rPr>
        <w:t xml:space="preserve"> the Fortun</w:t>
      </w:r>
      <w:r w:rsidR="001D7D45" w:rsidRPr="00F93A16">
        <w:rPr>
          <w:rFonts w:ascii="Arial" w:hAnsi="Arial" w:cs="Arial"/>
        </w:rPr>
        <w:t>er</w:t>
      </w:r>
      <w:r w:rsidR="001E2AA0" w:rsidRPr="00816BE2">
        <w:rPr>
          <w:rFonts w:ascii="Arial" w:hAnsi="Arial" w:cs="Arial"/>
        </w:rPr>
        <w:t xml:space="preserve"> before</w:t>
      </w:r>
      <w:r w:rsidR="00E33273" w:rsidRPr="00816BE2">
        <w:rPr>
          <w:rFonts w:ascii="Arial" w:hAnsi="Arial" w:cs="Arial"/>
        </w:rPr>
        <w:t xml:space="preserve"> </w:t>
      </w:r>
      <w:r w:rsidR="001E2AA0" w:rsidRPr="00816BE2">
        <w:rPr>
          <w:rFonts w:ascii="Arial" w:hAnsi="Arial" w:cs="Arial"/>
        </w:rPr>
        <w:t>search</w:t>
      </w:r>
      <w:r w:rsidR="00E33273" w:rsidRPr="00816BE2">
        <w:rPr>
          <w:rFonts w:ascii="Arial" w:hAnsi="Arial" w:cs="Arial"/>
        </w:rPr>
        <w:t>ing</w:t>
      </w:r>
      <w:r w:rsidR="000D3555" w:rsidRPr="00816BE2">
        <w:rPr>
          <w:rFonts w:ascii="Arial" w:hAnsi="Arial" w:cs="Arial"/>
        </w:rPr>
        <w:t xml:space="preserve"> it. </w:t>
      </w:r>
      <w:r w:rsidR="00C7076E" w:rsidRPr="00816BE2">
        <w:rPr>
          <w:rFonts w:ascii="Arial" w:hAnsi="Arial" w:cs="Arial"/>
        </w:rPr>
        <w:t>In addition,</w:t>
      </w:r>
      <w:r w:rsidR="001E2AA0" w:rsidRPr="00816BE2">
        <w:rPr>
          <w:rFonts w:ascii="Arial" w:hAnsi="Arial" w:cs="Arial"/>
        </w:rPr>
        <w:t xml:space="preserve"> whilst waiting </w:t>
      </w:r>
      <w:r w:rsidR="005D015F" w:rsidRPr="00816BE2">
        <w:rPr>
          <w:rFonts w:ascii="Arial" w:hAnsi="Arial" w:cs="Arial"/>
        </w:rPr>
        <w:t xml:space="preserve">to gain </w:t>
      </w:r>
      <w:r w:rsidR="001E2AA0" w:rsidRPr="00816BE2">
        <w:rPr>
          <w:rFonts w:ascii="Arial" w:hAnsi="Arial" w:cs="Arial"/>
        </w:rPr>
        <w:t>access to the premises, they saw</w:t>
      </w:r>
      <w:r w:rsidR="000D3555" w:rsidRPr="00816BE2">
        <w:rPr>
          <w:rFonts w:ascii="Arial" w:hAnsi="Arial" w:cs="Arial"/>
        </w:rPr>
        <w:t xml:space="preserve"> items </w:t>
      </w:r>
      <w:r w:rsidR="007E5A62" w:rsidRPr="00816BE2">
        <w:rPr>
          <w:rFonts w:ascii="Arial" w:hAnsi="Arial" w:cs="Arial"/>
        </w:rPr>
        <w:t xml:space="preserve">being removed </w:t>
      </w:r>
      <w:r w:rsidR="000D3555" w:rsidRPr="00816BE2">
        <w:rPr>
          <w:rFonts w:ascii="Arial" w:hAnsi="Arial" w:cs="Arial"/>
        </w:rPr>
        <w:t xml:space="preserve">from </w:t>
      </w:r>
      <w:r w:rsidR="00520BD8" w:rsidRPr="00816BE2">
        <w:rPr>
          <w:rFonts w:ascii="Arial" w:hAnsi="Arial" w:cs="Arial"/>
        </w:rPr>
        <w:t>the building</w:t>
      </w:r>
      <w:r w:rsidR="001E2AA0" w:rsidRPr="00816BE2">
        <w:rPr>
          <w:rFonts w:ascii="Arial" w:hAnsi="Arial" w:cs="Arial"/>
        </w:rPr>
        <w:t xml:space="preserve"> and </w:t>
      </w:r>
      <w:r w:rsidR="00B620ED" w:rsidRPr="00816BE2">
        <w:rPr>
          <w:rFonts w:ascii="Arial" w:hAnsi="Arial" w:cs="Arial"/>
        </w:rPr>
        <w:t xml:space="preserve">being </w:t>
      </w:r>
      <w:r w:rsidR="000D3555" w:rsidRPr="00816BE2">
        <w:rPr>
          <w:rFonts w:ascii="Arial" w:hAnsi="Arial" w:cs="Arial"/>
        </w:rPr>
        <w:t>plac</w:t>
      </w:r>
      <w:r w:rsidR="007E5A62" w:rsidRPr="00816BE2">
        <w:rPr>
          <w:rFonts w:ascii="Arial" w:hAnsi="Arial" w:cs="Arial"/>
        </w:rPr>
        <w:t>ed</w:t>
      </w:r>
      <w:r w:rsidR="000D3555" w:rsidRPr="00816BE2">
        <w:rPr>
          <w:rFonts w:ascii="Arial" w:hAnsi="Arial" w:cs="Arial"/>
        </w:rPr>
        <w:t xml:space="preserve"> </w:t>
      </w:r>
      <w:r w:rsidR="001E2AA0" w:rsidRPr="00816BE2">
        <w:rPr>
          <w:rFonts w:ascii="Arial" w:hAnsi="Arial" w:cs="Arial"/>
        </w:rPr>
        <w:t xml:space="preserve">in vehicles parked on the premises. </w:t>
      </w:r>
    </w:p>
    <w:p w14:paraId="1B6D038D" w14:textId="77777777" w:rsidR="001E2AA0" w:rsidRPr="00816BE2" w:rsidRDefault="001E2AA0" w:rsidP="00F0165D">
      <w:pPr>
        <w:spacing w:line="360" w:lineRule="auto"/>
        <w:jc w:val="both"/>
        <w:rPr>
          <w:rFonts w:ascii="Arial" w:hAnsi="Arial" w:cs="Arial"/>
        </w:rPr>
      </w:pPr>
    </w:p>
    <w:p w14:paraId="6F88A477" w14:textId="588E212B" w:rsidR="00FA3C97" w:rsidRPr="00816BE2" w:rsidRDefault="001E2AA0" w:rsidP="00FA3C97">
      <w:pPr>
        <w:spacing w:line="360" w:lineRule="auto"/>
        <w:jc w:val="both"/>
        <w:rPr>
          <w:rFonts w:ascii="Arial" w:hAnsi="Arial" w:cs="Arial"/>
        </w:rPr>
      </w:pPr>
      <w:r w:rsidRPr="00816BE2">
        <w:rPr>
          <w:rFonts w:ascii="Arial" w:hAnsi="Arial" w:cs="Arial"/>
        </w:rPr>
        <w:t>[</w:t>
      </w:r>
      <w:r w:rsidR="000D3555" w:rsidRPr="00816BE2">
        <w:rPr>
          <w:rFonts w:ascii="Arial" w:hAnsi="Arial" w:cs="Arial"/>
        </w:rPr>
        <w:t>1</w:t>
      </w:r>
      <w:r w:rsidR="00531999" w:rsidRPr="00816BE2">
        <w:rPr>
          <w:rFonts w:ascii="Arial" w:hAnsi="Arial" w:cs="Arial"/>
        </w:rPr>
        <w:t>9</w:t>
      </w:r>
      <w:r w:rsidRPr="00816BE2">
        <w:rPr>
          <w:rFonts w:ascii="Arial" w:hAnsi="Arial" w:cs="Arial"/>
        </w:rPr>
        <w:t>]</w:t>
      </w:r>
      <w:r w:rsidRPr="00816BE2">
        <w:rPr>
          <w:rFonts w:ascii="Arial" w:hAnsi="Arial" w:cs="Arial"/>
        </w:rPr>
        <w:tab/>
        <w:t>Th</w:t>
      </w:r>
      <w:r w:rsidR="007E5A62" w:rsidRPr="00816BE2">
        <w:rPr>
          <w:rFonts w:ascii="Arial" w:hAnsi="Arial" w:cs="Arial"/>
        </w:rPr>
        <w:t xml:space="preserve">e </w:t>
      </w:r>
      <w:r w:rsidR="009B7AE0" w:rsidRPr="00816BE2">
        <w:rPr>
          <w:rFonts w:ascii="Arial" w:hAnsi="Arial" w:cs="Arial"/>
        </w:rPr>
        <w:t>appellants</w:t>
      </w:r>
      <w:r w:rsidR="00D12226" w:rsidRPr="00816BE2">
        <w:rPr>
          <w:rFonts w:ascii="Arial" w:hAnsi="Arial" w:cs="Arial"/>
        </w:rPr>
        <w:t xml:space="preserve"> </w:t>
      </w:r>
      <w:r w:rsidR="007E5A62" w:rsidRPr="00816BE2">
        <w:rPr>
          <w:rFonts w:ascii="Arial" w:hAnsi="Arial" w:cs="Arial"/>
        </w:rPr>
        <w:t xml:space="preserve">sought to counter this by </w:t>
      </w:r>
      <w:r w:rsidR="003D6CCE" w:rsidRPr="00816BE2">
        <w:rPr>
          <w:rFonts w:ascii="Arial" w:hAnsi="Arial" w:cs="Arial"/>
        </w:rPr>
        <w:t>submit</w:t>
      </w:r>
      <w:r w:rsidR="007E5A62" w:rsidRPr="00816BE2">
        <w:rPr>
          <w:rFonts w:ascii="Arial" w:hAnsi="Arial" w:cs="Arial"/>
        </w:rPr>
        <w:t>ting</w:t>
      </w:r>
      <w:r w:rsidR="003D6CCE" w:rsidRPr="00816BE2">
        <w:rPr>
          <w:rFonts w:ascii="Arial" w:hAnsi="Arial" w:cs="Arial"/>
        </w:rPr>
        <w:t xml:space="preserve"> that</w:t>
      </w:r>
      <w:r w:rsidR="00C83694" w:rsidRPr="00816BE2">
        <w:rPr>
          <w:rFonts w:ascii="Arial" w:hAnsi="Arial" w:cs="Arial"/>
        </w:rPr>
        <w:t xml:space="preserve"> SARS</w:t>
      </w:r>
      <w:r w:rsidR="009B7AE0" w:rsidRPr="00816BE2">
        <w:rPr>
          <w:rFonts w:ascii="Arial" w:hAnsi="Arial" w:cs="Arial"/>
        </w:rPr>
        <w:t xml:space="preserve"> officials had to know </w:t>
      </w:r>
      <w:r w:rsidR="00520BD8" w:rsidRPr="00816BE2">
        <w:rPr>
          <w:rFonts w:ascii="Arial" w:hAnsi="Arial" w:cs="Arial"/>
        </w:rPr>
        <w:t>with certainty</w:t>
      </w:r>
      <w:r w:rsidR="005B4F63" w:rsidRPr="00816BE2">
        <w:rPr>
          <w:rFonts w:ascii="Arial" w:hAnsi="Arial" w:cs="Arial"/>
        </w:rPr>
        <w:t xml:space="preserve">, </w:t>
      </w:r>
      <w:r w:rsidR="005D015F" w:rsidRPr="00816BE2">
        <w:rPr>
          <w:rFonts w:ascii="Arial" w:hAnsi="Arial" w:cs="Arial"/>
        </w:rPr>
        <w:t xml:space="preserve">before </w:t>
      </w:r>
      <w:r w:rsidR="005B4F63" w:rsidRPr="00816BE2">
        <w:rPr>
          <w:rFonts w:ascii="Arial" w:hAnsi="Arial" w:cs="Arial"/>
        </w:rPr>
        <w:t xml:space="preserve">searching </w:t>
      </w:r>
      <w:r w:rsidR="005D015F" w:rsidRPr="00816BE2">
        <w:rPr>
          <w:rFonts w:ascii="Arial" w:hAnsi="Arial" w:cs="Arial"/>
        </w:rPr>
        <w:t xml:space="preserve">the </w:t>
      </w:r>
      <w:r w:rsidR="001130A6" w:rsidRPr="00816BE2">
        <w:rPr>
          <w:rFonts w:ascii="Arial" w:hAnsi="Arial" w:cs="Arial"/>
        </w:rPr>
        <w:t>Fortun</w:t>
      </w:r>
      <w:r w:rsidR="001D7D45" w:rsidRPr="00F93A16">
        <w:rPr>
          <w:rFonts w:ascii="Arial" w:hAnsi="Arial" w:cs="Arial"/>
        </w:rPr>
        <w:t>er</w:t>
      </w:r>
      <w:r w:rsidR="00B620ED" w:rsidRPr="00816BE2">
        <w:rPr>
          <w:rFonts w:ascii="Arial" w:hAnsi="Arial" w:cs="Arial"/>
        </w:rPr>
        <w:t>, that it</w:t>
      </w:r>
      <w:r w:rsidR="005B4F63" w:rsidRPr="00816BE2">
        <w:rPr>
          <w:rFonts w:ascii="Arial" w:hAnsi="Arial" w:cs="Arial"/>
        </w:rPr>
        <w:t xml:space="preserve"> contained </w:t>
      </w:r>
      <w:r w:rsidR="00C83694" w:rsidRPr="00816BE2">
        <w:rPr>
          <w:rFonts w:ascii="Arial" w:hAnsi="Arial" w:cs="Arial"/>
        </w:rPr>
        <w:t>material</w:t>
      </w:r>
      <w:r w:rsidR="009B7AE0" w:rsidRPr="00816BE2">
        <w:rPr>
          <w:rFonts w:ascii="Arial" w:hAnsi="Arial" w:cs="Arial"/>
        </w:rPr>
        <w:t xml:space="preserve"> relevant to Bullion Star</w:t>
      </w:r>
      <w:r w:rsidR="005B4F63" w:rsidRPr="00816BE2">
        <w:rPr>
          <w:rFonts w:ascii="Arial" w:hAnsi="Arial" w:cs="Arial"/>
        </w:rPr>
        <w:t>.</w:t>
      </w:r>
      <w:r w:rsidR="00D12226" w:rsidRPr="00816BE2">
        <w:rPr>
          <w:rFonts w:ascii="Arial" w:hAnsi="Arial" w:cs="Arial"/>
        </w:rPr>
        <w:t xml:space="preserve"> </w:t>
      </w:r>
      <w:r w:rsidR="005B4F63" w:rsidRPr="00816BE2">
        <w:rPr>
          <w:rFonts w:ascii="Arial" w:hAnsi="Arial" w:cs="Arial"/>
        </w:rPr>
        <w:t>That</w:t>
      </w:r>
      <w:r w:rsidR="00AE67B6" w:rsidRPr="00816BE2">
        <w:rPr>
          <w:rFonts w:ascii="Arial" w:hAnsi="Arial" w:cs="Arial"/>
        </w:rPr>
        <w:t xml:space="preserve"> th</w:t>
      </w:r>
      <w:r w:rsidR="00EC3D69" w:rsidRPr="00816BE2">
        <w:rPr>
          <w:rFonts w:ascii="Arial" w:hAnsi="Arial" w:cs="Arial"/>
        </w:rPr>
        <w:t xml:space="preserve">e executing </w:t>
      </w:r>
      <w:r w:rsidR="00EC3D69" w:rsidRPr="00E831B2">
        <w:rPr>
          <w:rFonts w:ascii="Arial" w:hAnsi="Arial" w:cs="Arial"/>
        </w:rPr>
        <w:t>officials</w:t>
      </w:r>
      <w:r w:rsidR="005B4F63" w:rsidRPr="00E831B2">
        <w:rPr>
          <w:rFonts w:ascii="Arial" w:hAnsi="Arial" w:cs="Arial"/>
        </w:rPr>
        <w:t xml:space="preserve"> </w:t>
      </w:r>
      <w:r w:rsidR="00460C12" w:rsidRPr="00E831B2">
        <w:rPr>
          <w:rFonts w:ascii="Arial" w:hAnsi="Arial" w:cs="Arial"/>
        </w:rPr>
        <w:t>could not</w:t>
      </w:r>
      <w:r w:rsidR="00EC3D69" w:rsidRPr="00816BE2">
        <w:rPr>
          <w:rFonts w:ascii="Arial" w:hAnsi="Arial" w:cs="Arial"/>
        </w:rPr>
        <w:t xml:space="preserve"> know this </w:t>
      </w:r>
      <w:r w:rsidR="00E33273" w:rsidRPr="00816BE2">
        <w:rPr>
          <w:rFonts w:ascii="Arial" w:hAnsi="Arial" w:cs="Arial"/>
        </w:rPr>
        <w:t xml:space="preserve">with any degree of certitude </w:t>
      </w:r>
      <w:r w:rsidR="005B4F63" w:rsidRPr="00816BE2">
        <w:rPr>
          <w:rFonts w:ascii="Arial" w:hAnsi="Arial" w:cs="Arial"/>
        </w:rPr>
        <w:t>d</w:t>
      </w:r>
      <w:r w:rsidR="00EC3D69" w:rsidRPr="00816BE2">
        <w:rPr>
          <w:rFonts w:ascii="Arial" w:hAnsi="Arial" w:cs="Arial"/>
        </w:rPr>
        <w:t>id not</w:t>
      </w:r>
      <w:r w:rsidR="005B4F63" w:rsidRPr="00816BE2">
        <w:rPr>
          <w:rFonts w:ascii="Arial" w:hAnsi="Arial" w:cs="Arial"/>
        </w:rPr>
        <w:t xml:space="preserve"> mean that they had no probable cause to search the </w:t>
      </w:r>
      <w:r w:rsidR="00B620ED" w:rsidRPr="00816BE2">
        <w:rPr>
          <w:rFonts w:ascii="Arial" w:hAnsi="Arial" w:cs="Arial"/>
        </w:rPr>
        <w:t>Fortun</w:t>
      </w:r>
      <w:r w:rsidR="001D7D45" w:rsidRPr="00F93A16">
        <w:rPr>
          <w:rFonts w:ascii="Arial" w:hAnsi="Arial" w:cs="Arial"/>
        </w:rPr>
        <w:t>er</w:t>
      </w:r>
      <w:r w:rsidR="005B4F63" w:rsidRPr="00816BE2">
        <w:rPr>
          <w:rFonts w:ascii="Arial" w:hAnsi="Arial" w:cs="Arial"/>
        </w:rPr>
        <w:t>.</w:t>
      </w:r>
      <w:r w:rsidR="00C83694" w:rsidRPr="00816BE2">
        <w:rPr>
          <w:rFonts w:ascii="Arial" w:hAnsi="Arial" w:cs="Arial"/>
        </w:rPr>
        <w:t xml:space="preserve"> </w:t>
      </w:r>
      <w:r w:rsidR="009113B6" w:rsidRPr="00816BE2">
        <w:rPr>
          <w:rFonts w:ascii="Arial" w:hAnsi="Arial" w:cs="Arial"/>
        </w:rPr>
        <w:t>In terms of s 61(3)</w:t>
      </w:r>
      <w:r w:rsidR="009113B6" w:rsidRPr="00B2123E">
        <w:rPr>
          <w:rFonts w:ascii="Arial" w:hAnsi="Arial" w:cs="Arial"/>
          <w:i/>
          <w:iCs/>
        </w:rPr>
        <w:t xml:space="preserve">(a) </w:t>
      </w:r>
      <w:r w:rsidR="009113B6" w:rsidRPr="00816BE2">
        <w:rPr>
          <w:rFonts w:ascii="Arial" w:hAnsi="Arial" w:cs="Arial"/>
        </w:rPr>
        <w:t xml:space="preserve">of the TAA, </w:t>
      </w:r>
      <w:r w:rsidR="00E33273" w:rsidRPr="00816BE2">
        <w:rPr>
          <w:rFonts w:ascii="Arial" w:hAnsi="Arial" w:cs="Arial"/>
        </w:rPr>
        <w:t xml:space="preserve">nothing more than a suspicion </w:t>
      </w:r>
      <w:r w:rsidR="009E082A" w:rsidRPr="00816BE2">
        <w:rPr>
          <w:rFonts w:ascii="Arial" w:hAnsi="Arial" w:cs="Arial"/>
        </w:rPr>
        <w:t>that the Fortun</w:t>
      </w:r>
      <w:r w:rsidR="001D7D45" w:rsidRPr="00F93A16">
        <w:rPr>
          <w:rFonts w:ascii="Arial" w:hAnsi="Arial" w:cs="Arial"/>
        </w:rPr>
        <w:t>er</w:t>
      </w:r>
      <w:r w:rsidR="009E082A" w:rsidRPr="00816BE2">
        <w:rPr>
          <w:rFonts w:ascii="Arial" w:hAnsi="Arial" w:cs="Arial"/>
        </w:rPr>
        <w:t xml:space="preserve"> contained material</w:t>
      </w:r>
      <w:r w:rsidR="00B620ED" w:rsidRPr="00816BE2">
        <w:rPr>
          <w:rFonts w:ascii="Arial" w:hAnsi="Arial" w:cs="Arial"/>
        </w:rPr>
        <w:t xml:space="preserve"> relevant to the taxpayer was </w:t>
      </w:r>
      <w:r w:rsidR="00E33273" w:rsidRPr="00816BE2">
        <w:rPr>
          <w:rFonts w:ascii="Arial" w:hAnsi="Arial" w:cs="Arial"/>
        </w:rPr>
        <w:t xml:space="preserve">required. </w:t>
      </w:r>
      <w:r w:rsidR="00FA3C97" w:rsidRPr="00816BE2">
        <w:rPr>
          <w:rFonts w:ascii="Arial" w:hAnsi="Arial" w:cs="Arial"/>
        </w:rPr>
        <w:t>Thus, in terms of s 61(3)</w:t>
      </w:r>
      <w:r w:rsidR="00FA3C97" w:rsidRPr="00B2123E">
        <w:rPr>
          <w:rFonts w:ascii="Arial" w:hAnsi="Arial" w:cs="Arial"/>
          <w:i/>
          <w:iCs/>
        </w:rPr>
        <w:t xml:space="preserve">(a) </w:t>
      </w:r>
      <w:r w:rsidR="00FA3C97" w:rsidRPr="00816BE2">
        <w:rPr>
          <w:rFonts w:ascii="Arial" w:hAnsi="Arial" w:cs="Arial"/>
        </w:rPr>
        <w:t>of the TAA</w:t>
      </w:r>
      <w:r w:rsidR="00792776" w:rsidRPr="00816BE2">
        <w:rPr>
          <w:rFonts w:ascii="Arial" w:hAnsi="Arial" w:cs="Arial"/>
        </w:rPr>
        <w:t>,</w:t>
      </w:r>
      <w:r w:rsidR="00FA3C97" w:rsidRPr="00816BE2">
        <w:rPr>
          <w:rFonts w:ascii="Arial" w:hAnsi="Arial" w:cs="Arial"/>
        </w:rPr>
        <w:t xml:space="preserve"> </w:t>
      </w:r>
      <w:r w:rsidR="00460C12" w:rsidRPr="00E831B2">
        <w:rPr>
          <w:rFonts w:ascii="Arial" w:hAnsi="Arial" w:cs="Arial"/>
        </w:rPr>
        <w:t>SARS was entitled</w:t>
      </w:r>
      <w:r w:rsidR="00460C12">
        <w:rPr>
          <w:rFonts w:ascii="Arial" w:hAnsi="Arial" w:cs="Arial"/>
        </w:rPr>
        <w:t xml:space="preserve"> </w:t>
      </w:r>
      <w:r w:rsidR="00FA3C97" w:rsidRPr="00816BE2">
        <w:rPr>
          <w:rFonts w:ascii="Arial" w:hAnsi="Arial" w:cs="Arial"/>
        </w:rPr>
        <w:t xml:space="preserve">to search </w:t>
      </w:r>
      <w:r w:rsidR="00B620ED" w:rsidRPr="00816BE2">
        <w:rPr>
          <w:rFonts w:ascii="Arial" w:hAnsi="Arial" w:cs="Arial"/>
        </w:rPr>
        <w:t xml:space="preserve">and seize material from </w:t>
      </w:r>
      <w:r w:rsidR="00FA3C97" w:rsidRPr="00816BE2">
        <w:rPr>
          <w:rFonts w:ascii="Arial" w:hAnsi="Arial" w:cs="Arial"/>
        </w:rPr>
        <w:t>the Fortun</w:t>
      </w:r>
      <w:r w:rsidR="001D7D45" w:rsidRPr="00F93A16">
        <w:rPr>
          <w:rFonts w:ascii="Arial" w:hAnsi="Arial" w:cs="Arial"/>
        </w:rPr>
        <w:t>er</w:t>
      </w:r>
      <w:r w:rsidR="00FA3C97" w:rsidRPr="00816BE2">
        <w:rPr>
          <w:rFonts w:ascii="Arial" w:hAnsi="Arial" w:cs="Arial"/>
        </w:rPr>
        <w:t xml:space="preserve"> on the suspicion that it contained material relevant to Bullion Star</w:t>
      </w:r>
      <w:r w:rsidR="004C4C82" w:rsidRPr="00816BE2">
        <w:rPr>
          <w:rFonts w:ascii="Arial" w:hAnsi="Arial" w:cs="Arial"/>
        </w:rPr>
        <w:t>.</w:t>
      </w:r>
    </w:p>
    <w:p w14:paraId="6DDCBA70" w14:textId="77777777" w:rsidR="00EC3D69" w:rsidRPr="00816BE2" w:rsidRDefault="00EC3D69" w:rsidP="00F0165D">
      <w:pPr>
        <w:spacing w:line="360" w:lineRule="auto"/>
        <w:jc w:val="both"/>
        <w:rPr>
          <w:rFonts w:ascii="Arial" w:hAnsi="Arial" w:cs="Arial"/>
        </w:rPr>
      </w:pPr>
    </w:p>
    <w:p w14:paraId="21EEB63D" w14:textId="35E64F31" w:rsidR="00B60451" w:rsidRPr="00816BE2" w:rsidRDefault="00EC3D69" w:rsidP="00F0165D">
      <w:pPr>
        <w:spacing w:line="360" w:lineRule="auto"/>
        <w:jc w:val="both"/>
        <w:rPr>
          <w:rFonts w:ascii="Arial" w:hAnsi="Arial" w:cs="Arial"/>
        </w:rPr>
      </w:pPr>
      <w:r w:rsidRPr="00816BE2">
        <w:rPr>
          <w:rFonts w:ascii="Arial" w:hAnsi="Arial" w:cs="Arial"/>
        </w:rPr>
        <w:t>[</w:t>
      </w:r>
      <w:r w:rsidR="00531999" w:rsidRPr="00816BE2">
        <w:rPr>
          <w:rFonts w:ascii="Arial" w:hAnsi="Arial" w:cs="Arial"/>
        </w:rPr>
        <w:t>20</w:t>
      </w:r>
      <w:r w:rsidRPr="00816BE2">
        <w:rPr>
          <w:rFonts w:ascii="Arial" w:hAnsi="Arial" w:cs="Arial"/>
        </w:rPr>
        <w:t>]</w:t>
      </w:r>
      <w:r w:rsidRPr="00816BE2">
        <w:rPr>
          <w:rFonts w:ascii="Arial" w:hAnsi="Arial" w:cs="Arial"/>
        </w:rPr>
        <w:tab/>
      </w:r>
      <w:r w:rsidR="009E082A" w:rsidRPr="00816BE2">
        <w:rPr>
          <w:rFonts w:ascii="Arial" w:hAnsi="Arial" w:cs="Arial"/>
        </w:rPr>
        <w:t xml:space="preserve">Raising the threshold for </w:t>
      </w:r>
      <w:r w:rsidR="009559B7" w:rsidRPr="00816BE2">
        <w:rPr>
          <w:rFonts w:ascii="Arial" w:hAnsi="Arial" w:cs="Arial"/>
        </w:rPr>
        <w:t>t</w:t>
      </w:r>
      <w:r w:rsidR="009E082A" w:rsidRPr="00816BE2">
        <w:rPr>
          <w:rFonts w:ascii="Arial" w:hAnsi="Arial" w:cs="Arial"/>
        </w:rPr>
        <w:t>he</w:t>
      </w:r>
      <w:r w:rsidR="009559B7" w:rsidRPr="00816BE2">
        <w:rPr>
          <w:rFonts w:ascii="Arial" w:hAnsi="Arial" w:cs="Arial"/>
        </w:rPr>
        <w:t xml:space="preserve"> execution</w:t>
      </w:r>
      <w:r w:rsidR="009E082A" w:rsidRPr="00816BE2">
        <w:rPr>
          <w:rFonts w:ascii="Arial" w:hAnsi="Arial" w:cs="Arial"/>
        </w:rPr>
        <w:t xml:space="preserve"> of search and seizure warrants, </w:t>
      </w:r>
      <w:r w:rsidR="004C4C82" w:rsidRPr="00816BE2">
        <w:rPr>
          <w:rFonts w:ascii="Arial" w:hAnsi="Arial" w:cs="Arial"/>
        </w:rPr>
        <w:t xml:space="preserve">as </w:t>
      </w:r>
      <w:r w:rsidR="001D7D45" w:rsidRPr="00F93A16">
        <w:rPr>
          <w:rFonts w:ascii="Arial" w:hAnsi="Arial" w:cs="Arial"/>
        </w:rPr>
        <w:t>the appellants would have it,</w:t>
      </w:r>
      <w:r w:rsidR="001D7D45">
        <w:rPr>
          <w:rFonts w:ascii="Arial" w:hAnsi="Arial" w:cs="Arial"/>
        </w:rPr>
        <w:t xml:space="preserve"> </w:t>
      </w:r>
      <w:r w:rsidR="009E082A" w:rsidRPr="00816BE2">
        <w:rPr>
          <w:rFonts w:ascii="Arial" w:hAnsi="Arial" w:cs="Arial"/>
        </w:rPr>
        <w:t>w</w:t>
      </w:r>
      <w:r w:rsidR="00792776" w:rsidRPr="00816BE2">
        <w:rPr>
          <w:rFonts w:ascii="Arial" w:hAnsi="Arial" w:cs="Arial"/>
        </w:rPr>
        <w:t>ould</w:t>
      </w:r>
      <w:r w:rsidR="009E082A" w:rsidRPr="00816BE2">
        <w:rPr>
          <w:rFonts w:ascii="Arial" w:hAnsi="Arial" w:cs="Arial"/>
        </w:rPr>
        <w:t xml:space="preserve"> </w:t>
      </w:r>
      <w:r w:rsidR="00847DEB">
        <w:rPr>
          <w:rFonts w:ascii="Arial" w:hAnsi="Arial" w:cs="Arial"/>
        </w:rPr>
        <w:t>impact negatively</w:t>
      </w:r>
      <w:r w:rsidR="004C4C82" w:rsidRPr="00816BE2">
        <w:rPr>
          <w:rFonts w:ascii="Arial" w:hAnsi="Arial" w:cs="Arial"/>
        </w:rPr>
        <w:t xml:space="preserve"> on</w:t>
      </w:r>
      <w:r w:rsidR="00F0165D" w:rsidRPr="00816BE2">
        <w:rPr>
          <w:rFonts w:ascii="Arial" w:hAnsi="Arial" w:cs="Arial"/>
        </w:rPr>
        <w:t xml:space="preserve"> </w:t>
      </w:r>
      <w:r w:rsidR="000D6CB0" w:rsidRPr="00816BE2">
        <w:rPr>
          <w:rFonts w:ascii="Arial" w:hAnsi="Arial" w:cs="Arial"/>
        </w:rPr>
        <w:t>th</w:t>
      </w:r>
      <w:r w:rsidR="00C83694" w:rsidRPr="00816BE2">
        <w:rPr>
          <w:rFonts w:ascii="Arial" w:hAnsi="Arial" w:cs="Arial"/>
        </w:rPr>
        <w:t>e</w:t>
      </w:r>
      <w:r w:rsidR="005C6FD8" w:rsidRPr="00816BE2">
        <w:rPr>
          <w:rFonts w:ascii="Arial" w:hAnsi="Arial" w:cs="Arial"/>
        </w:rPr>
        <w:t>ir</w:t>
      </w:r>
      <w:r w:rsidR="00C83694" w:rsidRPr="00816BE2">
        <w:rPr>
          <w:rFonts w:ascii="Arial" w:hAnsi="Arial" w:cs="Arial"/>
        </w:rPr>
        <w:t xml:space="preserve"> </w:t>
      </w:r>
      <w:r w:rsidR="009B7AE0" w:rsidRPr="00816BE2">
        <w:rPr>
          <w:rFonts w:ascii="Arial" w:hAnsi="Arial" w:cs="Arial"/>
        </w:rPr>
        <w:t>efficacy</w:t>
      </w:r>
      <w:r w:rsidR="000D6CB0" w:rsidRPr="00816BE2">
        <w:rPr>
          <w:rFonts w:ascii="Arial" w:hAnsi="Arial" w:cs="Arial"/>
        </w:rPr>
        <w:t xml:space="preserve"> </w:t>
      </w:r>
      <w:r w:rsidR="009B7AE0" w:rsidRPr="00816BE2">
        <w:rPr>
          <w:rFonts w:ascii="Arial" w:hAnsi="Arial" w:cs="Arial"/>
        </w:rPr>
        <w:t xml:space="preserve">in </w:t>
      </w:r>
      <w:r w:rsidR="004B6D3C" w:rsidRPr="00816BE2">
        <w:rPr>
          <w:rFonts w:ascii="Arial" w:hAnsi="Arial" w:cs="Arial"/>
        </w:rPr>
        <w:t xml:space="preserve">bringing tax offenders to </w:t>
      </w:r>
      <w:r w:rsidR="001130A6" w:rsidRPr="00816BE2">
        <w:rPr>
          <w:rFonts w:ascii="Arial" w:hAnsi="Arial" w:cs="Arial"/>
        </w:rPr>
        <w:t>book.</w:t>
      </w:r>
      <w:r w:rsidR="004B6D3C" w:rsidRPr="00816BE2">
        <w:rPr>
          <w:rFonts w:ascii="Arial" w:hAnsi="Arial" w:cs="Arial"/>
        </w:rPr>
        <w:t xml:space="preserve"> A</w:t>
      </w:r>
      <w:r w:rsidR="004B6D3C" w:rsidRPr="00F93A16">
        <w:rPr>
          <w:rFonts w:ascii="Arial" w:hAnsi="Arial" w:cs="Arial"/>
        </w:rPr>
        <w:t>s</w:t>
      </w:r>
      <w:r w:rsidR="00F0165D" w:rsidRPr="00F93A16">
        <w:rPr>
          <w:rFonts w:ascii="Arial" w:hAnsi="Arial" w:cs="Arial"/>
        </w:rPr>
        <w:t xml:space="preserve"> </w:t>
      </w:r>
      <w:r w:rsidR="004B6D3C" w:rsidRPr="00F93A16">
        <w:rPr>
          <w:rFonts w:ascii="Arial" w:hAnsi="Arial" w:cs="Arial"/>
        </w:rPr>
        <w:t>i</w:t>
      </w:r>
      <w:r w:rsidR="004B6D3C" w:rsidRPr="00816BE2">
        <w:rPr>
          <w:rFonts w:ascii="Arial" w:hAnsi="Arial" w:cs="Arial"/>
        </w:rPr>
        <w:t>nvestigati</w:t>
      </w:r>
      <w:r w:rsidR="00E04588" w:rsidRPr="00816BE2">
        <w:rPr>
          <w:rFonts w:ascii="Arial" w:hAnsi="Arial" w:cs="Arial"/>
        </w:rPr>
        <w:t>on</w:t>
      </w:r>
      <w:r w:rsidR="004B6D3C" w:rsidRPr="00816BE2">
        <w:rPr>
          <w:rFonts w:ascii="Arial" w:hAnsi="Arial" w:cs="Arial"/>
        </w:rPr>
        <w:t xml:space="preserve"> tool</w:t>
      </w:r>
      <w:r w:rsidR="00F0165D" w:rsidRPr="00816BE2">
        <w:rPr>
          <w:rFonts w:ascii="Arial" w:hAnsi="Arial" w:cs="Arial"/>
        </w:rPr>
        <w:t>s</w:t>
      </w:r>
      <w:r w:rsidR="004B6D3C" w:rsidRPr="00816BE2">
        <w:rPr>
          <w:rFonts w:ascii="Arial" w:hAnsi="Arial" w:cs="Arial"/>
        </w:rPr>
        <w:t>, search and seizure warrants play a</w:t>
      </w:r>
      <w:r w:rsidR="00E04588" w:rsidRPr="00816BE2">
        <w:rPr>
          <w:rFonts w:ascii="Arial" w:hAnsi="Arial" w:cs="Arial"/>
        </w:rPr>
        <w:t xml:space="preserve"> vital</w:t>
      </w:r>
      <w:r w:rsidR="004B6D3C" w:rsidRPr="00816BE2">
        <w:rPr>
          <w:rFonts w:ascii="Arial" w:hAnsi="Arial" w:cs="Arial"/>
        </w:rPr>
        <w:t xml:space="preserve"> role</w:t>
      </w:r>
      <w:r w:rsidR="00F0165D" w:rsidRPr="00816BE2">
        <w:rPr>
          <w:rFonts w:ascii="Arial" w:hAnsi="Arial" w:cs="Arial"/>
        </w:rPr>
        <w:t xml:space="preserve"> </w:t>
      </w:r>
      <w:r w:rsidR="006072F6" w:rsidRPr="00816BE2">
        <w:rPr>
          <w:rFonts w:ascii="Arial" w:hAnsi="Arial" w:cs="Arial"/>
        </w:rPr>
        <w:lastRenderedPageBreak/>
        <w:t xml:space="preserve">in achieving </w:t>
      </w:r>
      <w:r w:rsidR="004C4C82" w:rsidRPr="00816BE2">
        <w:rPr>
          <w:rFonts w:ascii="Arial" w:hAnsi="Arial" w:cs="Arial"/>
        </w:rPr>
        <w:t>the</w:t>
      </w:r>
      <w:r w:rsidR="006072F6" w:rsidRPr="00816BE2">
        <w:rPr>
          <w:rFonts w:ascii="Arial" w:hAnsi="Arial" w:cs="Arial"/>
        </w:rPr>
        <w:t xml:space="preserve"> core objective of the TAA</w:t>
      </w:r>
      <w:r w:rsidR="000D6CB0" w:rsidRPr="00816BE2">
        <w:rPr>
          <w:rFonts w:ascii="Arial" w:hAnsi="Arial" w:cs="Arial"/>
        </w:rPr>
        <w:t xml:space="preserve">, </w:t>
      </w:r>
      <w:r w:rsidR="009B7AE0" w:rsidRPr="00816BE2">
        <w:rPr>
          <w:rFonts w:ascii="Arial" w:hAnsi="Arial" w:cs="Arial"/>
        </w:rPr>
        <w:t>which is to</w:t>
      </w:r>
      <w:r w:rsidR="004C4C82" w:rsidRPr="00816BE2">
        <w:rPr>
          <w:rFonts w:ascii="Arial" w:hAnsi="Arial" w:cs="Arial"/>
        </w:rPr>
        <w:t xml:space="preserve"> ensure</w:t>
      </w:r>
      <w:r w:rsidR="009B7AE0" w:rsidRPr="00816BE2">
        <w:rPr>
          <w:rFonts w:ascii="Arial" w:hAnsi="Arial" w:cs="Arial"/>
        </w:rPr>
        <w:t xml:space="preserve"> the effective and efficient collection of ta</w:t>
      </w:r>
      <w:r w:rsidR="009B7AE0" w:rsidRPr="00F93A16">
        <w:rPr>
          <w:rFonts w:ascii="Arial" w:hAnsi="Arial" w:cs="Arial"/>
        </w:rPr>
        <w:t>x.</w:t>
      </w:r>
      <w:r w:rsidR="005C6FD8" w:rsidRPr="00816BE2">
        <w:rPr>
          <w:rStyle w:val="FootnoteReference"/>
          <w:rFonts w:ascii="Arial" w:hAnsi="Arial" w:cs="Arial"/>
        </w:rPr>
        <w:footnoteReference w:id="16"/>
      </w:r>
    </w:p>
    <w:p w14:paraId="286352BF" w14:textId="77777777" w:rsidR="004D1B78" w:rsidRPr="00816BE2" w:rsidRDefault="004D1B78" w:rsidP="00B72E3C">
      <w:pPr>
        <w:pStyle w:val="ListParagraph"/>
        <w:spacing w:line="360" w:lineRule="auto"/>
        <w:ind w:left="0"/>
        <w:jc w:val="both"/>
        <w:rPr>
          <w:rFonts w:ascii="Arial" w:hAnsi="Arial" w:cs="Arial"/>
        </w:rPr>
      </w:pPr>
    </w:p>
    <w:p w14:paraId="605F44C1" w14:textId="1172D8EB" w:rsidR="009B7AE0" w:rsidRDefault="004D1B78" w:rsidP="00B72E3C">
      <w:pPr>
        <w:pStyle w:val="ListParagraph"/>
        <w:spacing w:line="360" w:lineRule="auto"/>
        <w:ind w:left="0"/>
        <w:jc w:val="both"/>
        <w:rPr>
          <w:rFonts w:ascii="Arial" w:hAnsi="Arial" w:cs="Arial"/>
        </w:rPr>
      </w:pPr>
      <w:r w:rsidRPr="00816BE2">
        <w:rPr>
          <w:rFonts w:ascii="Arial" w:hAnsi="Arial" w:cs="Arial"/>
        </w:rPr>
        <w:t>[</w:t>
      </w:r>
      <w:r w:rsidR="00FA3C97" w:rsidRPr="00816BE2">
        <w:rPr>
          <w:rFonts w:ascii="Arial" w:hAnsi="Arial" w:cs="Arial"/>
        </w:rPr>
        <w:t>2</w:t>
      </w:r>
      <w:r w:rsidR="00F45704">
        <w:rPr>
          <w:rFonts w:ascii="Arial" w:hAnsi="Arial" w:cs="Arial"/>
        </w:rPr>
        <w:t>1</w:t>
      </w:r>
      <w:r w:rsidRPr="00816BE2">
        <w:rPr>
          <w:rFonts w:ascii="Arial" w:hAnsi="Arial" w:cs="Arial"/>
        </w:rPr>
        <w:t>]</w:t>
      </w:r>
      <w:r w:rsidRPr="00816BE2">
        <w:rPr>
          <w:rFonts w:ascii="Arial" w:hAnsi="Arial" w:cs="Arial"/>
        </w:rPr>
        <w:tab/>
      </w:r>
      <w:r w:rsidR="00542B36" w:rsidRPr="00F93A16">
        <w:rPr>
          <w:rFonts w:ascii="Arial" w:hAnsi="Arial" w:cs="Arial"/>
        </w:rPr>
        <w:t>In the context of the facts of this case,</w:t>
      </w:r>
      <w:r w:rsidR="00542B36">
        <w:rPr>
          <w:rFonts w:ascii="Arial" w:hAnsi="Arial" w:cs="Arial"/>
        </w:rPr>
        <w:t xml:space="preserve"> </w:t>
      </w:r>
      <w:r w:rsidR="00E04588" w:rsidRPr="00816BE2">
        <w:rPr>
          <w:rFonts w:ascii="Arial" w:hAnsi="Arial" w:cs="Arial"/>
        </w:rPr>
        <w:t>SARS had a statutory right</w:t>
      </w:r>
      <w:r w:rsidR="00F51260" w:rsidRPr="00816BE2">
        <w:rPr>
          <w:rFonts w:ascii="Arial" w:hAnsi="Arial" w:cs="Arial"/>
        </w:rPr>
        <w:t xml:space="preserve"> to dispossess the appellants of t</w:t>
      </w:r>
      <w:r w:rsidR="005C6FD8" w:rsidRPr="00816BE2">
        <w:rPr>
          <w:rFonts w:ascii="Arial" w:hAnsi="Arial" w:cs="Arial"/>
        </w:rPr>
        <w:t xml:space="preserve">he </w:t>
      </w:r>
      <w:r w:rsidR="00F51260" w:rsidRPr="00816BE2">
        <w:rPr>
          <w:rFonts w:ascii="Arial" w:hAnsi="Arial" w:cs="Arial"/>
        </w:rPr>
        <w:t>property</w:t>
      </w:r>
      <w:r w:rsidR="005C6FD8" w:rsidRPr="00816BE2">
        <w:rPr>
          <w:rFonts w:ascii="Arial" w:hAnsi="Arial" w:cs="Arial"/>
        </w:rPr>
        <w:t xml:space="preserve"> found in the Fortun</w:t>
      </w:r>
      <w:r w:rsidR="00542B36" w:rsidRPr="00F93A16">
        <w:rPr>
          <w:rFonts w:ascii="Arial" w:hAnsi="Arial" w:cs="Arial"/>
        </w:rPr>
        <w:t>er</w:t>
      </w:r>
      <w:r w:rsidR="006072F6" w:rsidRPr="00816BE2">
        <w:rPr>
          <w:rFonts w:ascii="Arial" w:hAnsi="Arial" w:cs="Arial"/>
        </w:rPr>
        <w:t>. T</w:t>
      </w:r>
      <w:r w:rsidR="00A412DE" w:rsidRPr="00816BE2">
        <w:rPr>
          <w:rFonts w:ascii="Arial" w:hAnsi="Arial" w:cs="Arial"/>
        </w:rPr>
        <w:t>hey were</w:t>
      </w:r>
      <w:r w:rsidR="006072F6" w:rsidRPr="00816BE2">
        <w:rPr>
          <w:rFonts w:ascii="Arial" w:hAnsi="Arial" w:cs="Arial"/>
        </w:rPr>
        <w:t>, therefore,</w:t>
      </w:r>
      <w:r w:rsidR="009B7AE0" w:rsidRPr="00816BE2">
        <w:rPr>
          <w:rFonts w:ascii="Arial" w:hAnsi="Arial" w:cs="Arial"/>
        </w:rPr>
        <w:t xml:space="preserve"> </w:t>
      </w:r>
      <w:r w:rsidR="004A1A0A" w:rsidRPr="00816BE2">
        <w:rPr>
          <w:rFonts w:ascii="Arial" w:hAnsi="Arial" w:cs="Arial"/>
        </w:rPr>
        <w:t xml:space="preserve">not entitled to the </w:t>
      </w:r>
      <w:r w:rsidR="006B535C" w:rsidRPr="00816BE2">
        <w:rPr>
          <w:rFonts w:ascii="Arial" w:hAnsi="Arial" w:cs="Arial"/>
        </w:rPr>
        <w:t>relief</w:t>
      </w:r>
      <w:r w:rsidR="0069716F" w:rsidRPr="00816BE2">
        <w:rPr>
          <w:rFonts w:ascii="Arial" w:hAnsi="Arial" w:cs="Arial"/>
        </w:rPr>
        <w:t xml:space="preserve"> sought</w:t>
      </w:r>
      <w:r w:rsidR="002F6767" w:rsidRPr="00816BE2">
        <w:rPr>
          <w:rFonts w:ascii="Arial" w:hAnsi="Arial" w:cs="Arial"/>
        </w:rPr>
        <w:t xml:space="preserve"> in the </w:t>
      </w:r>
      <w:r w:rsidR="00FA3C97" w:rsidRPr="00816BE2">
        <w:rPr>
          <w:rFonts w:ascii="Arial" w:hAnsi="Arial" w:cs="Arial"/>
        </w:rPr>
        <w:t xml:space="preserve">spoliation application. </w:t>
      </w:r>
      <w:r w:rsidR="0069716F" w:rsidRPr="00816BE2">
        <w:rPr>
          <w:rFonts w:ascii="Arial" w:hAnsi="Arial" w:cs="Arial"/>
        </w:rPr>
        <w:t xml:space="preserve">For these reasons, the appeal </w:t>
      </w:r>
      <w:r w:rsidR="005C5AF8" w:rsidRPr="00816BE2">
        <w:rPr>
          <w:rFonts w:ascii="Arial" w:hAnsi="Arial" w:cs="Arial"/>
        </w:rPr>
        <w:t>must fail.</w:t>
      </w:r>
    </w:p>
    <w:p w14:paraId="7DF869BD" w14:textId="3DFD649B" w:rsidR="00F45704" w:rsidRDefault="00F45704" w:rsidP="00B72E3C">
      <w:pPr>
        <w:pStyle w:val="ListParagraph"/>
        <w:spacing w:line="360" w:lineRule="auto"/>
        <w:ind w:left="0"/>
        <w:jc w:val="both"/>
        <w:rPr>
          <w:rFonts w:ascii="Arial" w:hAnsi="Arial" w:cs="Arial"/>
        </w:rPr>
      </w:pPr>
    </w:p>
    <w:p w14:paraId="3D096C58" w14:textId="377AF6DD" w:rsidR="00F45704" w:rsidRPr="00E831B2" w:rsidRDefault="00F45704" w:rsidP="00B72E3C">
      <w:pPr>
        <w:pStyle w:val="ListParagraph"/>
        <w:spacing w:line="360" w:lineRule="auto"/>
        <w:ind w:left="0"/>
        <w:jc w:val="both"/>
        <w:rPr>
          <w:rFonts w:ascii="Arial" w:hAnsi="Arial" w:cs="Arial"/>
        </w:rPr>
      </w:pPr>
      <w:r>
        <w:rPr>
          <w:rFonts w:ascii="Arial" w:hAnsi="Arial" w:cs="Arial"/>
        </w:rPr>
        <w:t>[</w:t>
      </w:r>
      <w:r w:rsidRPr="00E831B2">
        <w:rPr>
          <w:rFonts w:ascii="Arial" w:hAnsi="Arial" w:cs="Arial"/>
        </w:rPr>
        <w:t>22]</w:t>
      </w:r>
      <w:r w:rsidRPr="00E831B2">
        <w:rPr>
          <w:rFonts w:ascii="Arial" w:hAnsi="Arial" w:cs="Arial"/>
        </w:rPr>
        <w:tab/>
        <w:t>For the sake of completeness, it is necessary to record that as preparations for delivery of this judgment were being made</w:t>
      </w:r>
      <w:r w:rsidR="00CC4E4F" w:rsidRPr="00E831B2">
        <w:rPr>
          <w:rFonts w:ascii="Arial" w:hAnsi="Arial" w:cs="Arial"/>
        </w:rPr>
        <w:t xml:space="preserve"> the appellants’ attorneys advised the Court that on 2 February 2024 the high court set aside the search and seizure warrant.</w:t>
      </w:r>
      <w:r w:rsidR="005554D2" w:rsidRPr="00E831B2">
        <w:rPr>
          <w:rStyle w:val="FootnoteReference"/>
          <w:rFonts w:ascii="Arial" w:hAnsi="Arial" w:cs="Arial"/>
        </w:rPr>
        <w:footnoteReference w:id="17"/>
      </w:r>
      <w:r w:rsidR="00CC4E4F" w:rsidRPr="00E831B2">
        <w:rPr>
          <w:rFonts w:ascii="Arial" w:hAnsi="Arial" w:cs="Arial"/>
        </w:rPr>
        <w:t xml:space="preserve"> This was consequent on a separate application instituted by Bullion Star. The C</w:t>
      </w:r>
      <w:r w:rsidR="00C806C4" w:rsidRPr="00E831B2">
        <w:rPr>
          <w:rFonts w:ascii="Arial" w:hAnsi="Arial" w:cs="Arial"/>
        </w:rPr>
        <w:t>o</w:t>
      </w:r>
      <w:r w:rsidR="00CC4E4F" w:rsidRPr="00E831B2">
        <w:rPr>
          <w:rFonts w:ascii="Arial" w:hAnsi="Arial" w:cs="Arial"/>
        </w:rPr>
        <w:t xml:space="preserve">urt was further advised by SARS’ attorneys that it was considering an appeal against </w:t>
      </w:r>
      <w:r w:rsidR="00C806C4" w:rsidRPr="00E831B2">
        <w:rPr>
          <w:rFonts w:ascii="Arial" w:hAnsi="Arial" w:cs="Arial"/>
        </w:rPr>
        <w:t>that order. It is a well-established general principle that this Court decides whether the judgment appealed from is right or wrong according to the facts in existence at the time it was given and not according to new circumstances that came into existence afterwards.</w:t>
      </w:r>
      <w:r w:rsidR="00C806C4" w:rsidRPr="00E831B2">
        <w:rPr>
          <w:rStyle w:val="FootnoteReference"/>
          <w:rFonts w:ascii="Arial" w:hAnsi="Arial" w:cs="Arial"/>
        </w:rPr>
        <w:footnoteReference w:id="18"/>
      </w:r>
      <w:r w:rsidR="00990B0C" w:rsidRPr="00E831B2">
        <w:rPr>
          <w:rFonts w:ascii="Arial" w:hAnsi="Arial" w:cs="Arial"/>
        </w:rPr>
        <w:t xml:space="preserve"> It follows that the subsequent setting aside of the warrant by the high court is irrelevant to this appeal. </w:t>
      </w:r>
    </w:p>
    <w:p w14:paraId="41DD7DC6" w14:textId="77777777" w:rsidR="009B7AE0" w:rsidRPr="00E831B2" w:rsidRDefault="009B7AE0" w:rsidP="009B7AE0">
      <w:pPr>
        <w:spacing w:line="360" w:lineRule="auto"/>
        <w:jc w:val="both"/>
        <w:rPr>
          <w:rFonts w:ascii="Arial" w:hAnsi="Arial" w:cs="Arial"/>
        </w:rPr>
      </w:pPr>
    </w:p>
    <w:p w14:paraId="692EF0B7" w14:textId="487A1D79" w:rsidR="009B7AE0" w:rsidRPr="00816BE2" w:rsidRDefault="00B72E3C" w:rsidP="00B72E3C">
      <w:pPr>
        <w:pStyle w:val="ListParagraph"/>
        <w:spacing w:line="360" w:lineRule="auto"/>
        <w:ind w:left="0"/>
        <w:jc w:val="both"/>
        <w:rPr>
          <w:rFonts w:ascii="Arial" w:hAnsi="Arial" w:cs="Arial"/>
        </w:rPr>
      </w:pPr>
      <w:r w:rsidRPr="00E831B2">
        <w:rPr>
          <w:rFonts w:ascii="Arial" w:hAnsi="Arial" w:cs="Arial"/>
        </w:rPr>
        <w:t>[</w:t>
      </w:r>
      <w:r w:rsidR="00531999" w:rsidRPr="00E831B2">
        <w:rPr>
          <w:rFonts w:ascii="Arial" w:hAnsi="Arial" w:cs="Arial"/>
        </w:rPr>
        <w:t>2</w:t>
      </w:r>
      <w:r w:rsidR="00161229" w:rsidRPr="00E831B2">
        <w:rPr>
          <w:rFonts w:ascii="Arial" w:hAnsi="Arial" w:cs="Arial"/>
        </w:rPr>
        <w:t>3</w:t>
      </w:r>
      <w:r w:rsidRPr="00E831B2">
        <w:rPr>
          <w:rFonts w:ascii="Arial" w:hAnsi="Arial" w:cs="Arial"/>
        </w:rPr>
        <w:t>]</w:t>
      </w:r>
      <w:r w:rsidRPr="00E831B2">
        <w:rPr>
          <w:rFonts w:ascii="Arial" w:hAnsi="Arial" w:cs="Arial"/>
        </w:rPr>
        <w:tab/>
      </w:r>
      <w:r w:rsidR="009B7AE0" w:rsidRPr="00E831B2">
        <w:rPr>
          <w:rFonts w:ascii="Arial" w:hAnsi="Arial" w:cs="Arial"/>
        </w:rPr>
        <w:t xml:space="preserve">In the result, </w:t>
      </w:r>
      <w:r w:rsidR="00542B36" w:rsidRPr="00E831B2">
        <w:rPr>
          <w:rFonts w:ascii="Arial" w:hAnsi="Arial" w:cs="Arial"/>
        </w:rPr>
        <w:t>the following</w:t>
      </w:r>
      <w:r w:rsidR="009B7AE0" w:rsidRPr="00E831B2">
        <w:rPr>
          <w:rFonts w:ascii="Arial" w:hAnsi="Arial" w:cs="Arial"/>
        </w:rPr>
        <w:t xml:space="preserve"> order </w:t>
      </w:r>
      <w:r w:rsidR="00542B36" w:rsidRPr="00E831B2">
        <w:rPr>
          <w:rFonts w:ascii="Arial" w:hAnsi="Arial" w:cs="Arial"/>
        </w:rPr>
        <w:t>is made</w:t>
      </w:r>
      <w:r w:rsidR="009B7AE0" w:rsidRPr="00E831B2">
        <w:rPr>
          <w:rFonts w:ascii="Arial" w:hAnsi="Arial" w:cs="Arial"/>
        </w:rPr>
        <w:t>:</w:t>
      </w:r>
    </w:p>
    <w:p w14:paraId="48D589E0" w14:textId="3A182933" w:rsidR="009B7AE0" w:rsidRPr="00816BE2" w:rsidRDefault="009B7AE0" w:rsidP="00B72E3C">
      <w:pPr>
        <w:spacing w:line="360" w:lineRule="auto"/>
        <w:ind w:firstLine="720"/>
        <w:jc w:val="both"/>
        <w:rPr>
          <w:rFonts w:ascii="Arial" w:hAnsi="Arial" w:cs="Arial"/>
        </w:rPr>
      </w:pPr>
      <w:r w:rsidRPr="00816BE2">
        <w:rPr>
          <w:rFonts w:ascii="Arial" w:hAnsi="Arial" w:cs="Arial"/>
        </w:rPr>
        <w:t xml:space="preserve">The appeal is dismissed with costs, including those of two </w:t>
      </w:r>
      <w:r w:rsidR="00542B36">
        <w:rPr>
          <w:rFonts w:ascii="Arial" w:hAnsi="Arial" w:cs="Arial"/>
        </w:rPr>
        <w:t>counse</w:t>
      </w:r>
      <w:r w:rsidR="00542B36" w:rsidRPr="00F93A16">
        <w:rPr>
          <w:rFonts w:ascii="Arial" w:hAnsi="Arial" w:cs="Arial"/>
        </w:rPr>
        <w:t>l</w:t>
      </w:r>
      <w:r w:rsidR="006B535C" w:rsidRPr="00F93A16">
        <w:rPr>
          <w:rFonts w:ascii="Arial" w:hAnsi="Arial" w:cs="Arial"/>
        </w:rPr>
        <w:t>.</w:t>
      </w:r>
    </w:p>
    <w:p w14:paraId="431737B5" w14:textId="77777777" w:rsidR="009B7AE0" w:rsidRPr="00816BE2" w:rsidRDefault="009B7AE0" w:rsidP="009B7AE0">
      <w:pPr>
        <w:spacing w:line="360" w:lineRule="auto"/>
        <w:jc w:val="both"/>
        <w:rPr>
          <w:rFonts w:ascii="Arial" w:hAnsi="Arial" w:cs="Arial"/>
        </w:rPr>
      </w:pPr>
    </w:p>
    <w:p w14:paraId="412C6020" w14:textId="77777777" w:rsidR="009B7AE0" w:rsidRPr="00816BE2" w:rsidRDefault="009B7AE0" w:rsidP="009B7AE0">
      <w:pPr>
        <w:spacing w:line="360" w:lineRule="auto"/>
        <w:jc w:val="both"/>
        <w:rPr>
          <w:rFonts w:ascii="Arial" w:hAnsi="Arial" w:cs="Arial"/>
        </w:rPr>
      </w:pPr>
    </w:p>
    <w:p w14:paraId="5E707906" w14:textId="77777777" w:rsidR="009B7AE0" w:rsidRPr="00816BE2" w:rsidRDefault="009B7AE0" w:rsidP="009B7AE0">
      <w:pPr>
        <w:spacing w:line="360" w:lineRule="auto"/>
        <w:jc w:val="both"/>
        <w:rPr>
          <w:rFonts w:ascii="Arial" w:hAnsi="Arial" w:cs="Arial"/>
        </w:rPr>
      </w:pPr>
    </w:p>
    <w:p w14:paraId="1BDFCD5F" w14:textId="77777777" w:rsidR="009B7AE0" w:rsidRPr="00816BE2" w:rsidRDefault="009B7AE0" w:rsidP="009B7AE0">
      <w:pPr>
        <w:spacing w:line="360" w:lineRule="auto"/>
        <w:ind w:left="5760"/>
        <w:jc w:val="both"/>
        <w:rPr>
          <w:rFonts w:ascii="Arial" w:hAnsi="Arial" w:cs="Arial"/>
        </w:rPr>
      </w:pPr>
      <w:r w:rsidRPr="00816BE2">
        <w:rPr>
          <w:rFonts w:ascii="Arial" w:hAnsi="Arial" w:cs="Arial"/>
        </w:rPr>
        <w:t>________________________</w:t>
      </w:r>
    </w:p>
    <w:p w14:paraId="73D68874" w14:textId="77777777" w:rsidR="009B7AE0" w:rsidRPr="00816BE2" w:rsidRDefault="00FF7B4A" w:rsidP="00FF7B4A">
      <w:pPr>
        <w:spacing w:line="360" w:lineRule="auto"/>
        <w:ind w:left="5760"/>
        <w:jc w:val="both"/>
        <w:rPr>
          <w:rFonts w:ascii="Arial" w:hAnsi="Arial" w:cs="Arial"/>
        </w:rPr>
      </w:pPr>
      <w:r w:rsidRPr="00816BE2">
        <w:rPr>
          <w:rFonts w:ascii="Arial" w:hAnsi="Arial" w:cs="Arial"/>
        </w:rPr>
        <w:t xml:space="preserve">       </w:t>
      </w:r>
      <w:r w:rsidR="009B7AE0" w:rsidRPr="00816BE2">
        <w:rPr>
          <w:rFonts w:ascii="Arial" w:hAnsi="Arial" w:cs="Arial"/>
        </w:rPr>
        <w:t>F KATHREE-SETILOANE</w:t>
      </w:r>
    </w:p>
    <w:p w14:paraId="083DCD45" w14:textId="77777777" w:rsidR="009B7AE0" w:rsidRPr="00816BE2" w:rsidRDefault="009B7AE0" w:rsidP="009B7AE0">
      <w:pPr>
        <w:spacing w:line="360" w:lineRule="auto"/>
        <w:ind w:left="4320" w:firstLine="720"/>
        <w:jc w:val="both"/>
        <w:rPr>
          <w:rFonts w:ascii="Arial" w:hAnsi="Arial" w:cs="Arial"/>
        </w:rPr>
      </w:pPr>
      <w:r w:rsidRPr="00816BE2">
        <w:rPr>
          <w:rFonts w:ascii="Arial" w:hAnsi="Arial" w:cs="Arial"/>
        </w:rPr>
        <w:t xml:space="preserve">    </w:t>
      </w:r>
      <w:r w:rsidR="00FF7B4A" w:rsidRPr="00816BE2">
        <w:rPr>
          <w:rFonts w:ascii="Arial" w:hAnsi="Arial" w:cs="Arial"/>
        </w:rPr>
        <w:t xml:space="preserve"> </w:t>
      </w:r>
      <w:r w:rsidRPr="00816BE2">
        <w:rPr>
          <w:rFonts w:ascii="Arial" w:hAnsi="Arial" w:cs="Arial"/>
        </w:rPr>
        <w:t xml:space="preserve">       ACTING JUDGE OF APPEAL</w:t>
      </w:r>
    </w:p>
    <w:p w14:paraId="5BE3CF96" w14:textId="0585E17E" w:rsidR="00423B10" w:rsidRDefault="00423B10">
      <w:pPr>
        <w:spacing w:after="160" w:line="259" w:lineRule="auto"/>
        <w:rPr>
          <w:rFonts w:ascii="Arial" w:hAnsi="Arial" w:cs="Arial"/>
        </w:rPr>
      </w:pPr>
      <w:r>
        <w:rPr>
          <w:rFonts w:ascii="Arial" w:hAnsi="Arial" w:cs="Arial"/>
        </w:rPr>
        <w:br w:type="page"/>
      </w:r>
    </w:p>
    <w:p w14:paraId="58C1E167" w14:textId="0589EE6A" w:rsidR="009B7AE0" w:rsidRPr="00816BE2" w:rsidRDefault="009B7AE0" w:rsidP="009B7AE0">
      <w:pPr>
        <w:spacing w:line="360" w:lineRule="auto"/>
        <w:jc w:val="both"/>
        <w:rPr>
          <w:rFonts w:ascii="Arial" w:hAnsi="Arial" w:cs="Arial"/>
        </w:rPr>
      </w:pPr>
      <w:r w:rsidRPr="00816BE2">
        <w:rPr>
          <w:rFonts w:ascii="Arial" w:hAnsi="Arial" w:cs="Arial"/>
        </w:rPr>
        <w:lastRenderedPageBreak/>
        <w:t>Appearances</w:t>
      </w:r>
    </w:p>
    <w:p w14:paraId="20F10FED" w14:textId="77777777" w:rsidR="009B7AE0" w:rsidRPr="00816BE2" w:rsidRDefault="009B7AE0" w:rsidP="009B7AE0">
      <w:pPr>
        <w:spacing w:line="360" w:lineRule="auto"/>
        <w:jc w:val="both"/>
        <w:rPr>
          <w:rFonts w:ascii="Arial" w:hAnsi="Arial" w:cs="Arial"/>
        </w:rPr>
      </w:pPr>
    </w:p>
    <w:p w14:paraId="5AFCB2F7" w14:textId="11C9DE2A" w:rsidR="009B7AE0" w:rsidRPr="00816BE2" w:rsidRDefault="009B7AE0" w:rsidP="009B7AE0">
      <w:pPr>
        <w:spacing w:line="360" w:lineRule="auto"/>
        <w:jc w:val="both"/>
        <w:rPr>
          <w:rFonts w:ascii="Arial" w:hAnsi="Arial" w:cs="Arial"/>
        </w:rPr>
      </w:pPr>
      <w:r w:rsidRPr="00816BE2">
        <w:rPr>
          <w:rFonts w:ascii="Arial" w:hAnsi="Arial" w:cs="Arial"/>
        </w:rPr>
        <w:t>For the appellants:</w:t>
      </w:r>
      <w:r w:rsidRPr="00816BE2">
        <w:rPr>
          <w:rFonts w:ascii="Arial" w:hAnsi="Arial" w:cs="Arial"/>
        </w:rPr>
        <w:tab/>
      </w:r>
      <w:r w:rsidRPr="00816BE2">
        <w:rPr>
          <w:rFonts w:ascii="Arial" w:hAnsi="Arial" w:cs="Arial"/>
        </w:rPr>
        <w:tab/>
      </w:r>
      <w:r w:rsidRPr="00816BE2">
        <w:rPr>
          <w:rFonts w:ascii="Arial" w:hAnsi="Arial" w:cs="Arial"/>
        </w:rPr>
        <w:tab/>
      </w:r>
      <w:r w:rsidR="00B86113" w:rsidRPr="00816BE2">
        <w:rPr>
          <w:rFonts w:ascii="Arial" w:hAnsi="Arial" w:cs="Arial"/>
        </w:rPr>
        <w:tab/>
      </w:r>
      <w:r w:rsidRPr="00816BE2">
        <w:rPr>
          <w:rFonts w:ascii="Arial" w:hAnsi="Arial" w:cs="Arial"/>
        </w:rPr>
        <w:t>A</w:t>
      </w:r>
      <w:r w:rsidR="00E53951" w:rsidRPr="00816BE2">
        <w:rPr>
          <w:rFonts w:ascii="Arial" w:hAnsi="Arial" w:cs="Arial"/>
        </w:rPr>
        <w:t xml:space="preserve"> </w:t>
      </w:r>
      <w:r w:rsidRPr="00816BE2">
        <w:rPr>
          <w:rFonts w:ascii="Arial" w:hAnsi="Arial" w:cs="Arial"/>
        </w:rPr>
        <w:t xml:space="preserve">E Bham SC </w:t>
      </w:r>
      <w:r w:rsidR="00197B9B" w:rsidRPr="00520958">
        <w:rPr>
          <w:rFonts w:ascii="Arial" w:hAnsi="Arial" w:cs="Arial"/>
        </w:rPr>
        <w:t>(</w:t>
      </w:r>
      <w:r w:rsidR="00E53951" w:rsidRPr="00816BE2">
        <w:rPr>
          <w:rFonts w:ascii="Arial" w:hAnsi="Arial" w:cs="Arial"/>
        </w:rPr>
        <w:t>with</w:t>
      </w:r>
      <w:r w:rsidR="00197B9B">
        <w:rPr>
          <w:rFonts w:ascii="Arial" w:hAnsi="Arial" w:cs="Arial"/>
        </w:rPr>
        <w:t xml:space="preserve"> T Scott</w:t>
      </w:r>
      <w:r w:rsidR="00197B9B" w:rsidRPr="00520958">
        <w:rPr>
          <w:rFonts w:ascii="Arial" w:hAnsi="Arial" w:cs="Arial"/>
        </w:rPr>
        <w:t>)</w:t>
      </w:r>
    </w:p>
    <w:p w14:paraId="2B6A8C97" w14:textId="5DA2B80D" w:rsidR="009B7AE0" w:rsidRPr="00816BE2" w:rsidRDefault="009B7AE0" w:rsidP="009B7AE0">
      <w:pPr>
        <w:spacing w:line="360" w:lineRule="auto"/>
        <w:jc w:val="both"/>
        <w:rPr>
          <w:rFonts w:ascii="Arial" w:hAnsi="Arial" w:cs="Arial"/>
          <w:bCs/>
        </w:rPr>
      </w:pPr>
      <w:r w:rsidRPr="00816BE2">
        <w:rPr>
          <w:rFonts w:ascii="Arial" w:hAnsi="Arial" w:cs="Arial"/>
          <w:bCs/>
        </w:rPr>
        <w:t xml:space="preserve">Instructed by: </w:t>
      </w:r>
      <w:r w:rsidRPr="00816BE2">
        <w:rPr>
          <w:rFonts w:ascii="Arial" w:hAnsi="Arial" w:cs="Arial"/>
          <w:bCs/>
        </w:rPr>
        <w:tab/>
      </w:r>
      <w:r w:rsidRPr="00816BE2">
        <w:rPr>
          <w:rFonts w:ascii="Arial" w:hAnsi="Arial" w:cs="Arial"/>
          <w:bCs/>
        </w:rPr>
        <w:tab/>
      </w:r>
      <w:r w:rsidRPr="00816BE2">
        <w:rPr>
          <w:rFonts w:ascii="Arial" w:hAnsi="Arial" w:cs="Arial"/>
          <w:bCs/>
        </w:rPr>
        <w:tab/>
      </w:r>
      <w:r w:rsidR="00B86113" w:rsidRPr="00816BE2">
        <w:rPr>
          <w:rFonts w:ascii="Arial" w:hAnsi="Arial" w:cs="Arial"/>
          <w:bCs/>
        </w:rPr>
        <w:tab/>
      </w:r>
      <w:r w:rsidRPr="00816BE2">
        <w:rPr>
          <w:rFonts w:ascii="Arial" w:hAnsi="Arial" w:cs="Arial"/>
          <w:bCs/>
        </w:rPr>
        <w:t xml:space="preserve">Faber </w:t>
      </w:r>
      <w:proofErr w:type="spellStart"/>
      <w:r w:rsidRPr="00816BE2">
        <w:rPr>
          <w:rFonts w:ascii="Arial" w:hAnsi="Arial" w:cs="Arial"/>
          <w:bCs/>
        </w:rPr>
        <w:t>Goërtz</w:t>
      </w:r>
      <w:proofErr w:type="spellEnd"/>
      <w:r w:rsidRPr="00816BE2">
        <w:rPr>
          <w:rFonts w:ascii="Arial" w:hAnsi="Arial" w:cs="Arial"/>
          <w:bCs/>
        </w:rPr>
        <w:t xml:space="preserve"> Ellis Austen Inc, Pretoria</w:t>
      </w:r>
    </w:p>
    <w:p w14:paraId="31A0550C" w14:textId="467BA2D7" w:rsidR="009B7AE0" w:rsidRPr="00816BE2" w:rsidRDefault="009B7AE0" w:rsidP="009B7AE0">
      <w:pPr>
        <w:spacing w:line="360" w:lineRule="auto"/>
        <w:jc w:val="both"/>
        <w:rPr>
          <w:rFonts w:ascii="Arial" w:hAnsi="Arial" w:cs="Arial"/>
          <w:bCs/>
        </w:rPr>
      </w:pPr>
      <w:r w:rsidRPr="00816BE2">
        <w:rPr>
          <w:rFonts w:ascii="Arial" w:hAnsi="Arial" w:cs="Arial"/>
          <w:bCs/>
        </w:rPr>
        <w:tab/>
      </w:r>
      <w:r w:rsidRPr="00816BE2">
        <w:rPr>
          <w:rFonts w:ascii="Arial" w:hAnsi="Arial" w:cs="Arial"/>
          <w:bCs/>
        </w:rPr>
        <w:tab/>
      </w:r>
      <w:r w:rsidRPr="00816BE2">
        <w:rPr>
          <w:rFonts w:ascii="Arial" w:hAnsi="Arial" w:cs="Arial"/>
          <w:bCs/>
        </w:rPr>
        <w:tab/>
      </w:r>
      <w:r w:rsidRPr="00816BE2">
        <w:rPr>
          <w:rFonts w:ascii="Arial" w:hAnsi="Arial" w:cs="Arial"/>
          <w:bCs/>
        </w:rPr>
        <w:tab/>
      </w:r>
      <w:r w:rsidRPr="00816BE2">
        <w:rPr>
          <w:rFonts w:ascii="Arial" w:hAnsi="Arial" w:cs="Arial"/>
          <w:bCs/>
        </w:rPr>
        <w:tab/>
      </w:r>
      <w:r w:rsidR="00B86113" w:rsidRPr="00816BE2">
        <w:rPr>
          <w:rFonts w:ascii="Arial" w:hAnsi="Arial" w:cs="Arial"/>
          <w:bCs/>
        </w:rPr>
        <w:tab/>
      </w:r>
      <w:r w:rsidRPr="00816BE2">
        <w:rPr>
          <w:rFonts w:ascii="Arial" w:hAnsi="Arial" w:cs="Arial"/>
          <w:bCs/>
        </w:rPr>
        <w:t>McIntyre Van der Post, Bloemfontein</w:t>
      </w:r>
    </w:p>
    <w:p w14:paraId="6EEB7F2E" w14:textId="77777777" w:rsidR="009B7AE0" w:rsidRPr="00816BE2" w:rsidRDefault="009B7AE0" w:rsidP="009B7AE0">
      <w:pPr>
        <w:spacing w:line="360" w:lineRule="auto"/>
        <w:jc w:val="both"/>
        <w:rPr>
          <w:rFonts w:ascii="Arial" w:hAnsi="Arial" w:cs="Arial"/>
          <w:bCs/>
        </w:rPr>
      </w:pPr>
    </w:p>
    <w:p w14:paraId="5B7AEF09" w14:textId="64E954D0" w:rsidR="009B7AE0" w:rsidRPr="00816BE2" w:rsidRDefault="009B7AE0" w:rsidP="009B7AE0">
      <w:pPr>
        <w:spacing w:line="360" w:lineRule="auto"/>
        <w:jc w:val="both"/>
        <w:rPr>
          <w:rFonts w:ascii="Arial" w:hAnsi="Arial" w:cs="Arial"/>
        </w:rPr>
      </w:pPr>
      <w:r w:rsidRPr="00816BE2">
        <w:rPr>
          <w:rFonts w:ascii="Arial" w:hAnsi="Arial" w:cs="Arial"/>
        </w:rPr>
        <w:t>For the</w:t>
      </w:r>
      <w:r w:rsidR="00B86113" w:rsidRPr="00816BE2">
        <w:rPr>
          <w:rFonts w:ascii="Arial" w:hAnsi="Arial" w:cs="Arial"/>
        </w:rPr>
        <w:t xml:space="preserve"> first to fourth</w:t>
      </w:r>
      <w:r w:rsidRPr="00816BE2">
        <w:rPr>
          <w:rFonts w:ascii="Arial" w:hAnsi="Arial" w:cs="Arial"/>
        </w:rPr>
        <w:t xml:space="preserve"> respondents:</w:t>
      </w:r>
      <w:r w:rsidRPr="00816BE2">
        <w:rPr>
          <w:rFonts w:ascii="Arial" w:hAnsi="Arial" w:cs="Arial"/>
        </w:rPr>
        <w:tab/>
        <w:t>B</w:t>
      </w:r>
      <w:r w:rsidR="00E53951" w:rsidRPr="00816BE2">
        <w:rPr>
          <w:rFonts w:ascii="Arial" w:hAnsi="Arial" w:cs="Arial"/>
        </w:rPr>
        <w:t xml:space="preserve"> </w:t>
      </w:r>
      <w:r w:rsidRPr="00816BE2">
        <w:rPr>
          <w:rFonts w:ascii="Arial" w:hAnsi="Arial" w:cs="Arial"/>
        </w:rPr>
        <w:t xml:space="preserve">H Swart SC </w:t>
      </w:r>
      <w:r w:rsidR="00197B9B" w:rsidRPr="00520958">
        <w:rPr>
          <w:rFonts w:ascii="Arial" w:hAnsi="Arial" w:cs="Arial"/>
        </w:rPr>
        <w:t>(</w:t>
      </w:r>
      <w:r w:rsidR="00E53951" w:rsidRPr="00816BE2">
        <w:rPr>
          <w:rFonts w:ascii="Arial" w:hAnsi="Arial" w:cs="Arial"/>
        </w:rPr>
        <w:t>with</w:t>
      </w:r>
      <w:r w:rsidRPr="00816BE2">
        <w:rPr>
          <w:rFonts w:ascii="Arial" w:hAnsi="Arial" w:cs="Arial"/>
        </w:rPr>
        <w:t xml:space="preserve"> S Maritz</w:t>
      </w:r>
      <w:r w:rsidR="00197B9B" w:rsidRPr="00520958">
        <w:rPr>
          <w:rFonts w:ascii="Arial" w:hAnsi="Arial" w:cs="Arial"/>
        </w:rPr>
        <w:t>)</w:t>
      </w:r>
    </w:p>
    <w:p w14:paraId="3D3E7E0D" w14:textId="251954B6" w:rsidR="00E53951" w:rsidRPr="00816BE2" w:rsidRDefault="009B7AE0" w:rsidP="009B7AE0">
      <w:pPr>
        <w:spacing w:line="360" w:lineRule="auto"/>
        <w:jc w:val="both"/>
        <w:rPr>
          <w:rFonts w:ascii="Arial" w:hAnsi="Arial" w:cs="Arial"/>
          <w:bCs/>
        </w:rPr>
      </w:pPr>
      <w:r w:rsidRPr="00816BE2">
        <w:rPr>
          <w:rFonts w:ascii="Arial" w:hAnsi="Arial" w:cs="Arial"/>
          <w:bCs/>
        </w:rPr>
        <w:t>Instructed by:</w:t>
      </w:r>
      <w:r w:rsidRPr="00816BE2">
        <w:rPr>
          <w:rFonts w:ascii="Arial" w:hAnsi="Arial" w:cs="Arial"/>
          <w:bCs/>
        </w:rPr>
        <w:tab/>
      </w:r>
      <w:r w:rsidRPr="00816BE2">
        <w:rPr>
          <w:rFonts w:ascii="Arial" w:hAnsi="Arial" w:cs="Arial"/>
          <w:bCs/>
        </w:rPr>
        <w:tab/>
      </w:r>
      <w:r w:rsidRPr="00816BE2">
        <w:rPr>
          <w:rFonts w:ascii="Arial" w:hAnsi="Arial" w:cs="Arial"/>
          <w:bCs/>
        </w:rPr>
        <w:tab/>
      </w:r>
      <w:r w:rsidR="00B86113" w:rsidRPr="00816BE2">
        <w:rPr>
          <w:rFonts w:ascii="Arial" w:hAnsi="Arial" w:cs="Arial"/>
          <w:bCs/>
        </w:rPr>
        <w:tab/>
      </w:r>
      <w:r w:rsidRPr="00816BE2">
        <w:rPr>
          <w:rFonts w:ascii="Arial" w:hAnsi="Arial" w:cs="Arial"/>
          <w:bCs/>
        </w:rPr>
        <w:t>VZLR Inc, Pretoria</w:t>
      </w:r>
    </w:p>
    <w:p w14:paraId="62EF99BE" w14:textId="2F146ED0" w:rsidR="001069E8" w:rsidRPr="00197B9B" w:rsidRDefault="00E53951" w:rsidP="00197B9B">
      <w:pPr>
        <w:spacing w:line="360" w:lineRule="auto"/>
        <w:jc w:val="both"/>
        <w:rPr>
          <w:rFonts w:ascii="Arial" w:hAnsi="Arial" w:cs="Arial"/>
          <w:bCs/>
        </w:rPr>
      </w:pPr>
      <w:r w:rsidRPr="00816BE2">
        <w:rPr>
          <w:rFonts w:ascii="Arial" w:hAnsi="Arial" w:cs="Arial"/>
          <w:bCs/>
        </w:rPr>
        <w:tab/>
      </w:r>
      <w:r w:rsidRPr="00816BE2">
        <w:rPr>
          <w:rFonts w:ascii="Arial" w:hAnsi="Arial" w:cs="Arial"/>
          <w:bCs/>
        </w:rPr>
        <w:tab/>
      </w:r>
      <w:r w:rsidRPr="00816BE2">
        <w:rPr>
          <w:rFonts w:ascii="Arial" w:hAnsi="Arial" w:cs="Arial"/>
          <w:bCs/>
        </w:rPr>
        <w:tab/>
      </w:r>
      <w:r w:rsidRPr="00816BE2">
        <w:rPr>
          <w:rFonts w:ascii="Arial" w:hAnsi="Arial" w:cs="Arial"/>
          <w:bCs/>
        </w:rPr>
        <w:tab/>
      </w:r>
      <w:r w:rsidRPr="00816BE2">
        <w:rPr>
          <w:rFonts w:ascii="Arial" w:hAnsi="Arial" w:cs="Arial"/>
          <w:bCs/>
        </w:rPr>
        <w:tab/>
      </w:r>
      <w:r w:rsidR="00B86113" w:rsidRPr="00816BE2">
        <w:rPr>
          <w:rFonts w:ascii="Arial" w:hAnsi="Arial" w:cs="Arial"/>
          <w:bCs/>
        </w:rPr>
        <w:tab/>
      </w:r>
      <w:r w:rsidR="009B7AE0" w:rsidRPr="00816BE2">
        <w:rPr>
          <w:rFonts w:ascii="Arial" w:hAnsi="Arial" w:cs="Arial"/>
          <w:bCs/>
        </w:rPr>
        <w:t>Webbers Attorneys, Bloemfontein</w:t>
      </w:r>
    </w:p>
    <w:sectPr w:rsidR="001069E8" w:rsidRPr="00197B9B" w:rsidSect="006B744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0FFC" w14:textId="77777777" w:rsidR="002C296A" w:rsidRDefault="002C296A" w:rsidP="009B7AE0">
      <w:r>
        <w:separator/>
      </w:r>
    </w:p>
  </w:endnote>
  <w:endnote w:type="continuationSeparator" w:id="0">
    <w:p w14:paraId="377E1425" w14:textId="77777777" w:rsidR="002C296A" w:rsidRDefault="002C296A" w:rsidP="009B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7798" w14:textId="77777777" w:rsidR="002C296A" w:rsidRDefault="002C296A" w:rsidP="009B7AE0">
      <w:r>
        <w:separator/>
      </w:r>
    </w:p>
  </w:footnote>
  <w:footnote w:type="continuationSeparator" w:id="0">
    <w:p w14:paraId="64425A4A" w14:textId="77777777" w:rsidR="002C296A" w:rsidRDefault="002C296A" w:rsidP="009B7AE0">
      <w:r>
        <w:continuationSeparator/>
      </w:r>
    </w:p>
  </w:footnote>
  <w:footnote w:id="1">
    <w:p w14:paraId="3D39162B" w14:textId="73D266BB" w:rsidR="009B7AE0" w:rsidRPr="003F6AC6" w:rsidRDefault="009B7AE0" w:rsidP="009B7AE0">
      <w:pPr>
        <w:pStyle w:val="FootnoteText"/>
        <w:jc w:val="both"/>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The first and second appellant</w:t>
      </w:r>
      <w:r w:rsidR="0093396C" w:rsidRPr="003F6AC6">
        <w:rPr>
          <w:rFonts w:ascii="Arial" w:hAnsi="Arial" w:cs="Arial"/>
          <w:lang w:val="en-US"/>
        </w:rPr>
        <w:t>s</w:t>
      </w:r>
      <w:r w:rsidRPr="003F6AC6">
        <w:rPr>
          <w:rFonts w:ascii="Arial" w:hAnsi="Arial" w:cs="Arial"/>
          <w:lang w:val="en-US"/>
        </w:rPr>
        <w:t xml:space="preserve"> </w:t>
      </w:r>
      <w:r w:rsidR="00A34974" w:rsidRPr="003F6AC6">
        <w:rPr>
          <w:rFonts w:ascii="Arial" w:hAnsi="Arial" w:cs="Arial"/>
          <w:lang w:val="en-US"/>
        </w:rPr>
        <w:t>are</w:t>
      </w:r>
      <w:r w:rsidRPr="003F6AC6">
        <w:rPr>
          <w:rFonts w:ascii="Arial" w:hAnsi="Arial" w:cs="Arial"/>
          <w:lang w:val="en-US"/>
        </w:rPr>
        <w:t xml:space="preserve"> referred to collectively as ‘the appellants’</w:t>
      </w:r>
      <w:r w:rsidR="00A34974" w:rsidRPr="003F6AC6">
        <w:rPr>
          <w:rFonts w:ascii="Arial" w:hAnsi="Arial" w:cs="Arial"/>
          <w:lang w:val="en-US"/>
        </w:rPr>
        <w:t xml:space="preserve"> in the judgment</w:t>
      </w:r>
      <w:r w:rsidRPr="003F6AC6">
        <w:rPr>
          <w:rFonts w:ascii="Arial" w:hAnsi="Arial" w:cs="Arial"/>
          <w:lang w:val="en-US"/>
        </w:rPr>
        <w:t>.</w:t>
      </w:r>
    </w:p>
  </w:footnote>
  <w:footnote w:id="2">
    <w:p w14:paraId="15CC24EA" w14:textId="40CB8B20" w:rsidR="00566745" w:rsidRPr="003F6AC6" w:rsidRDefault="00566745" w:rsidP="00566745">
      <w:pPr>
        <w:pStyle w:val="FootnoteText"/>
        <w:jc w:val="both"/>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The appellants cited SARS Customs Investigations Unit, SARS Tactical Investigations Unit, Tanya Potgieter (SARS Illicit Economy Unit) and Lindiwe </w:t>
      </w:r>
      <w:proofErr w:type="spellStart"/>
      <w:r w:rsidRPr="003F6AC6">
        <w:rPr>
          <w:rFonts w:ascii="Arial" w:hAnsi="Arial" w:cs="Arial"/>
          <w:lang w:val="en-US"/>
        </w:rPr>
        <w:t>Shibindi</w:t>
      </w:r>
      <w:proofErr w:type="spellEnd"/>
      <w:r w:rsidRPr="003F6AC6">
        <w:rPr>
          <w:rFonts w:ascii="Arial" w:hAnsi="Arial" w:cs="Arial"/>
          <w:lang w:val="en-US"/>
        </w:rPr>
        <w:t xml:space="preserve"> (SARS Tactical Investigations Unit) as the first to fourth respondents, respectively. The warrant was, however, executed at the behest of the Commissioner for </w:t>
      </w:r>
      <w:r w:rsidR="00A34974" w:rsidRPr="003F6AC6">
        <w:rPr>
          <w:rFonts w:ascii="Arial" w:hAnsi="Arial" w:cs="Arial"/>
          <w:lang w:val="en-US"/>
        </w:rPr>
        <w:t xml:space="preserve">SARS </w:t>
      </w:r>
      <w:r w:rsidRPr="003F6AC6">
        <w:rPr>
          <w:rFonts w:ascii="Arial" w:hAnsi="Arial" w:cs="Arial"/>
          <w:lang w:val="en-US"/>
        </w:rPr>
        <w:t>(the Commissioner)</w:t>
      </w:r>
      <w:r w:rsidR="00A00C6C">
        <w:rPr>
          <w:rFonts w:ascii="Arial" w:hAnsi="Arial" w:cs="Arial"/>
          <w:lang w:val="en-US"/>
        </w:rPr>
        <w:t>.</w:t>
      </w:r>
      <w:r w:rsidR="00A34974" w:rsidRPr="003F6AC6">
        <w:rPr>
          <w:rFonts w:ascii="Arial" w:hAnsi="Arial" w:cs="Arial"/>
          <w:lang w:val="en-US"/>
        </w:rPr>
        <w:t xml:space="preserve"> </w:t>
      </w:r>
      <w:r w:rsidRPr="003F6AC6">
        <w:rPr>
          <w:rFonts w:ascii="Arial" w:hAnsi="Arial" w:cs="Arial"/>
          <w:lang w:val="en-US"/>
        </w:rPr>
        <w:t>Thus, the Commissioner ought to have been cited in the application. However,</w:t>
      </w:r>
      <w:r w:rsidR="00A34974" w:rsidRPr="003F6AC6">
        <w:rPr>
          <w:rFonts w:ascii="Arial" w:hAnsi="Arial" w:cs="Arial"/>
          <w:lang w:val="en-US"/>
        </w:rPr>
        <w:t xml:space="preserve"> the first to fourth respondents did not </w:t>
      </w:r>
      <w:r w:rsidRPr="003F6AC6">
        <w:rPr>
          <w:rFonts w:ascii="Arial" w:hAnsi="Arial" w:cs="Arial"/>
          <w:lang w:val="en-US"/>
        </w:rPr>
        <w:t xml:space="preserve">take issue with the incorrect citation of the </w:t>
      </w:r>
      <w:r w:rsidR="003D6CCE" w:rsidRPr="003F6AC6">
        <w:rPr>
          <w:rFonts w:ascii="Arial" w:hAnsi="Arial" w:cs="Arial"/>
          <w:lang w:val="en-US"/>
        </w:rPr>
        <w:t>Commissioner and</w:t>
      </w:r>
      <w:r w:rsidRPr="003F6AC6">
        <w:rPr>
          <w:rFonts w:ascii="Arial" w:hAnsi="Arial" w:cs="Arial"/>
          <w:lang w:val="en-US"/>
        </w:rPr>
        <w:t xml:space="preserve"> regard</w:t>
      </w:r>
      <w:r w:rsidR="00B41634" w:rsidRPr="003F6AC6">
        <w:rPr>
          <w:rFonts w:ascii="Arial" w:hAnsi="Arial" w:cs="Arial"/>
          <w:lang w:val="en-US"/>
        </w:rPr>
        <w:t>ed</w:t>
      </w:r>
      <w:r w:rsidRPr="003F6AC6">
        <w:rPr>
          <w:rFonts w:ascii="Arial" w:hAnsi="Arial" w:cs="Arial"/>
          <w:lang w:val="en-US"/>
        </w:rPr>
        <w:t xml:space="preserve"> </w:t>
      </w:r>
      <w:r w:rsidR="00A34974" w:rsidRPr="003F6AC6">
        <w:rPr>
          <w:rFonts w:ascii="Arial" w:hAnsi="Arial" w:cs="Arial"/>
          <w:lang w:val="en-US"/>
        </w:rPr>
        <w:t xml:space="preserve">him </w:t>
      </w:r>
      <w:r w:rsidRPr="003F6AC6">
        <w:rPr>
          <w:rFonts w:ascii="Arial" w:hAnsi="Arial" w:cs="Arial"/>
          <w:lang w:val="en-US"/>
        </w:rPr>
        <w:t xml:space="preserve">as properly cited. The first to the fourth respondents are referred to collectively as ‘SARS’ in the judgment.  </w:t>
      </w:r>
    </w:p>
  </w:footnote>
  <w:footnote w:id="3">
    <w:p w14:paraId="7B5F1A18" w14:textId="54D797E1" w:rsidR="00295D3D" w:rsidRPr="003F6AC6" w:rsidRDefault="00295D3D" w:rsidP="00295D3D">
      <w:pPr>
        <w:pStyle w:val="FootnoteText"/>
        <w:jc w:val="both"/>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Section 59 </w:t>
      </w:r>
      <w:r w:rsidR="00D331E6" w:rsidRPr="003F6AC6">
        <w:rPr>
          <w:rFonts w:ascii="Arial" w:hAnsi="Arial" w:cs="Arial"/>
          <w:lang w:val="en-US"/>
        </w:rPr>
        <w:t>of the T</w:t>
      </w:r>
      <w:r w:rsidR="0093396C" w:rsidRPr="003F6AC6">
        <w:rPr>
          <w:rFonts w:ascii="Arial" w:hAnsi="Arial" w:cs="Arial"/>
          <w:lang w:val="en-US"/>
        </w:rPr>
        <w:t>AA</w:t>
      </w:r>
      <w:r w:rsidR="00D331E6" w:rsidRPr="003F6AC6">
        <w:rPr>
          <w:rFonts w:ascii="Arial" w:hAnsi="Arial" w:cs="Arial"/>
          <w:lang w:val="en-US"/>
        </w:rPr>
        <w:t xml:space="preserve"> </w:t>
      </w:r>
      <w:r w:rsidRPr="003F6AC6">
        <w:rPr>
          <w:rFonts w:ascii="Arial" w:hAnsi="Arial" w:cs="Arial"/>
          <w:lang w:val="en-US"/>
        </w:rPr>
        <w:t>provides</w:t>
      </w:r>
      <w:r w:rsidR="00A34974" w:rsidRPr="003F6AC6">
        <w:rPr>
          <w:rFonts w:ascii="Arial" w:hAnsi="Arial" w:cs="Arial"/>
          <w:lang w:val="en-US"/>
        </w:rPr>
        <w:t>:</w:t>
      </w:r>
    </w:p>
    <w:p w14:paraId="0A790335" w14:textId="5E647E1E" w:rsidR="00295D3D" w:rsidRPr="003F6AC6" w:rsidRDefault="00295D3D" w:rsidP="00295D3D">
      <w:pPr>
        <w:pStyle w:val="FootnoteText"/>
        <w:jc w:val="both"/>
        <w:rPr>
          <w:rFonts w:ascii="Arial" w:hAnsi="Arial" w:cs="Arial"/>
          <w:lang w:val="en-US"/>
        </w:rPr>
      </w:pPr>
      <w:r w:rsidRPr="003F6AC6">
        <w:rPr>
          <w:rFonts w:ascii="Arial" w:hAnsi="Arial" w:cs="Arial"/>
          <w:lang w:val="en-US"/>
        </w:rPr>
        <w:t xml:space="preserve">‘(1) A senior SARS official may, if necessary or relevant to administer a Tax act, </w:t>
      </w:r>
      <w:proofErr w:type="spellStart"/>
      <w:r w:rsidRPr="003F6AC6">
        <w:rPr>
          <w:rFonts w:ascii="Arial" w:hAnsi="Arial" w:cs="Arial"/>
          <w:lang w:val="en-US"/>
        </w:rPr>
        <w:t>authori</w:t>
      </w:r>
      <w:r w:rsidR="00A34974" w:rsidRPr="003F6AC6">
        <w:rPr>
          <w:rFonts w:ascii="Arial" w:hAnsi="Arial" w:cs="Arial"/>
          <w:lang w:val="en-US"/>
        </w:rPr>
        <w:t>s</w:t>
      </w:r>
      <w:r w:rsidRPr="003F6AC6">
        <w:rPr>
          <w:rFonts w:ascii="Arial" w:hAnsi="Arial" w:cs="Arial"/>
          <w:lang w:val="en-US"/>
        </w:rPr>
        <w:t>e</w:t>
      </w:r>
      <w:proofErr w:type="spellEnd"/>
      <w:r w:rsidRPr="003F6AC6">
        <w:rPr>
          <w:rFonts w:ascii="Arial" w:hAnsi="Arial" w:cs="Arial"/>
          <w:lang w:val="en-US"/>
        </w:rPr>
        <w:t xml:space="preserve"> an application for a warrant under which SARS may enter a premises where relevant material is kept to search the premises and any person present on the premises and seize relevant material.</w:t>
      </w:r>
    </w:p>
    <w:p w14:paraId="4FADC16F" w14:textId="60B3A114" w:rsidR="00295D3D" w:rsidRPr="003F6AC6" w:rsidRDefault="00295D3D" w:rsidP="00295D3D">
      <w:pPr>
        <w:jc w:val="both"/>
        <w:rPr>
          <w:rFonts w:ascii="Arial" w:hAnsi="Arial" w:cs="Arial"/>
          <w:sz w:val="20"/>
          <w:szCs w:val="20"/>
          <w:lang w:val="en-US"/>
        </w:rPr>
      </w:pPr>
      <w:r w:rsidRPr="003F6AC6">
        <w:rPr>
          <w:rFonts w:ascii="Arial" w:hAnsi="Arial" w:cs="Arial"/>
          <w:sz w:val="20"/>
          <w:szCs w:val="20"/>
          <w:lang w:val="en-US"/>
        </w:rPr>
        <w:t xml:space="preserve">(2) SARS must apply </w:t>
      </w:r>
      <w:r w:rsidRPr="003F6AC6">
        <w:rPr>
          <w:rFonts w:ascii="Arial" w:hAnsi="Arial" w:cs="Arial"/>
          <w:i/>
          <w:iCs/>
          <w:sz w:val="20"/>
          <w:szCs w:val="20"/>
          <w:lang w:val="en-US"/>
        </w:rPr>
        <w:t xml:space="preserve">ex </w:t>
      </w:r>
      <w:proofErr w:type="spellStart"/>
      <w:r w:rsidRPr="003F6AC6">
        <w:rPr>
          <w:rFonts w:ascii="Arial" w:hAnsi="Arial" w:cs="Arial"/>
          <w:i/>
          <w:iCs/>
          <w:sz w:val="20"/>
          <w:szCs w:val="20"/>
          <w:lang w:val="en-US"/>
        </w:rPr>
        <w:t>parte</w:t>
      </w:r>
      <w:proofErr w:type="spellEnd"/>
      <w:r w:rsidRPr="003F6AC6">
        <w:rPr>
          <w:rFonts w:ascii="Arial" w:hAnsi="Arial" w:cs="Arial"/>
          <w:sz w:val="20"/>
          <w:szCs w:val="20"/>
          <w:lang w:val="en-US"/>
        </w:rPr>
        <w:t xml:space="preserve"> to a judge for the warrant, which application must be supported by information supplied under oath or solemn declaration, establishing the facts on which the application is based.’</w:t>
      </w:r>
    </w:p>
  </w:footnote>
  <w:footnote w:id="4">
    <w:p w14:paraId="7043B8E2" w14:textId="4F9DD729" w:rsidR="00312FD4" w:rsidRPr="003F6AC6" w:rsidRDefault="00312FD4" w:rsidP="00312FD4">
      <w:pPr>
        <w:pStyle w:val="FootnoteText"/>
        <w:jc w:val="both"/>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Section 60 </w:t>
      </w:r>
      <w:r w:rsidR="00151DCE" w:rsidRPr="003F6AC6">
        <w:rPr>
          <w:rFonts w:ascii="Arial" w:hAnsi="Arial" w:cs="Arial"/>
          <w:lang w:val="en-US"/>
        </w:rPr>
        <w:t xml:space="preserve">of the TAA </w:t>
      </w:r>
      <w:r w:rsidRPr="003F6AC6">
        <w:rPr>
          <w:rFonts w:ascii="Arial" w:hAnsi="Arial" w:cs="Arial"/>
          <w:lang w:val="en-US"/>
        </w:rPr>
        <w:t>provides</w:t>
      </w:r>
      <w:r w:rsidR="00A34974" w:rsidRPr="003F6AC6">
        <w:rPr>
          <w:rFonts w:ascii="Arial" w:hAnsi="Arial" w:cs="Arial"/>
          <w:lang w:val="en-US"/>
        </w:rPr>
        <w:t>:</w:t>
      </w:r>
    </w:p>
    <w:p w14:paraId="7118ACB6" w14:textId="1498F9D9" w:rsidR="00312FD4" w:rsidRPr="003F6AC6" w:rsidRDefault="00312FD4" w:rsidP="00312FD4">
      <w:pPr>
        <w:jc w:val="both"/>
        <w:rPr>
          <w:rFonts w:ascii="Arial" w:hAnsi="Arial" w:cs="Arial"/>
          <w:sz w:val="20"/>
          <w:szCs w:val="20"/>
          <w:lang w:val="en-US"/>
        </w:rPr>
      </w:pPr>
      <w:r w:rsidRPr="003F6AC6">
        <w:rPr>
          <w:rFonts w:ascii="Arial" w:hAnsi="Arial" w:cs="Arial"/>
          <w:sz w:val="20"/>
          <w:szCs w:val="20"/>
        </w:rPr>
        <w:t xml:space="preserve">‘(1) A judge or magistrate may </w:t>
      </w:r>
      <w:r w:rsidRPr="003F6AC6">
        <w:rPr>
          <w:rFonts w:ascii="Arial" w:hAnsi="Arial" w:cs="Arial"/>
          <w:sz w:val="20"/>
          <w:szCs w:val="20"/>
          <w:lang w:val="en-US"/>
        </w:rPr>
        <w:t>issue the wa</w:t>
      </w:r>
      <w:r w:rsidR="00BE0075" w:rsidRPr="003F6AC6">
        <w:rPr>
          <w:rFonts w:ascii="Arial" w:hAnsi="Arial" w:cs="Arial"/>
          <w:sz w:val="20"/>
          <w:szCs w:val="20"/>
          <w:lang w:val="en-US"/>
        </w:rPr>
        <w:t>rrant referred to in section 59</w:t>
      </w:r>
      <w:r w:rsidRPr="003F6AC6">
        <w:rPr>
          <w:rFonts w:ascii="Arial" w:hAnsi="Arial" w:cs="Arial"/>
          <w:sz w:val="20"/>
          <w:szCs w:val="20"/>
          <w:lang w:val="en-US"/>
        </w:rPr>
        <w:t>(1) if satisfied that there are rea</w:t>
      </w:r>
      <w:r w:rsidR="00BE0075" w:rsidRPr="003F6AC6">
        <w:rPr>
          <w:rFonts w:ascii="Arial" w:hAnsi="Arial" w:cs="Arial"/>
          <w:sz w:val="20"/>
          <w:szCs w:val="20"/>
          <w:lang w:val="en-US"/>
        </w:rPr>
        <w:t xml:space="preserve">sonable grounds to believe that – </w:t>
      </w:r>
    </w:p>
    <w:p w14:paraId="5AA6B0A3" w14:textId="0D6A2DBA" w:rsidR="00312FD4" w:rsidRPr="003F6AC6" w:rsidRDefault="00BE0075" w:rsidP="00312FD4">
      <w:pPr>
        <w:jc w:val="both"/>
        <w:rPr>
          <w:rFonts w:ascii="Arial" w:hAnsi="Arial" w:cs="Arial"/>
          <w:sz w:val="20"/>
          <w:szCs w:val="20"/>
        </w:rPr>
      </w:pPr>
      <w:r w:rsidRPr="003F6AC6">
        <w:rPr>
          <w:rFonts w:ascii="Arial" w:hAnsi="Arial" w:cs="Arial"/>
          <w:sz w:val="20"/>
          <w:szCs w:val="20"/>
          <w:lang w:val="en-US"/>
        </w:rPr>
        <w:t>(a) a</w:t>
      </w:r>
      <w:r w:rsidR="00312FD4" w:rsidRPr="003F6AC6">
        <w:rPr>
          <w:rFonts w:ascii="Arial" w:hAnsi="Arial" w:cs="Arial"/>
          <w:sz w:val="20"/>
          <w:szCs w:val="20"/>
          <w:lang w:val="en-US"/>
        </w:rPr>
        <w:t xml:space="preserve"> person failed to comply with an </w:t>
      </w:r>
      <w:r w:rsidRPr="003F6AC6">
        <w:rPr>
          <w:rFonts w:ascii="Arial" w:hAnsi="Arial" w:cs="Arial"/>
          <w:sz w:val="20"/>
          <w:szCs w:val="20"/>
          <w:lang w:val="en-US"/>
        </w:rPr>
        <w:t>obligation imposed under a t</w:t>
      </w:r>
      <w:r w:rsidR="00312FD4" w:rsidRPr="003F6AC6">
        <w:rPr>
          <w:rFonts w:ascii="Arial" w:hAnsi="Arial" w:cs="Arial"/>
          <w:sz w:val="20"/>
          <w:szCs w:val="20"/>
          <w:lang w:val="en-US"/>
        </w:rPr>
        <w:t>ax Act, or committed a tax offence; and</w:t>
      </w:r>
    </w:p>
    <w:p w14:paraId="47D3340E" w14:textId="5BF053EE" w:rsidR="00312FD4" w:rsidRPr="003F6AC6" w:rsidRDefault="00BE0075" w:rsidP="00312FD4">
      <w:pPr>
        <w:jc w:val="both"/>
        <w:rPr>
          <w:rFonts w:ascii="Arial" w:hAnsi="Arial" w:cs="Arial"/>
          <w:sz w:val="20"/>
          <w:szCs w:val="20"/>
        </w:rPr>
      </w:pPr>
      <w:r w:rsidRPr="003F6AC6">
        <w:rPr>
          <w:rFonts w:ascii="Arial" w:hAnsi="Arial" w:cs="Arial"/>
          <w:sz w:val="20"/>
          <w:szCs w:val="20"/>
          <w:lang w:val="en-US"/>
        </w:rPr>
        <w:t xml:space="preserve">(b) </w:t>
      </w:r>
      <w:r w:rsidR="00312FD4" w:rsidRPr="003F6AC6">
        <w:rPr>
          <w:rFonts w:ascii="Arial" w:hAnsi="Arial" w:cs="Arial"/>
          <w:sz w:val="20"/>
          <w:szCs w:val="20"/>
          <w:lang w:val="en-US"/>
        </w:rPr>
        <w:t>relevant material likely to be found on the premises specified in the application may provide evidence of the failure to comply or commission of the offence.</w:t>
      </w:r>
    </w:p>
    <w:p w14:paraId="0C80EAEF" w14:textId="7B989E72" w:rsidR="00312FD4" w:rsidRPr="003F6AC6" w:rsidRDefault="00312FD4" w:rsidP="00312FD4">
      <w:pPr>
        <w:jc w:val="both"/>
        <w:rPr>
          <w:rFonts w:ascii="Arial" w:hAnsi="Arial" w:cs="Arial"/>
          <w:sz w:val="20"/>
          <w:szCs w:val="20"/>
          <w:lang w:val="en-US"/>
        </w:rPr>
      </w:pPr>
      <w:r w:rsidRPr="003F6AC6">
        <w:rPr>
          <w:rFonts w:ascii="Arial" w:hAnsi="Arial" w:cs="Arial"/>
          <w:sz w:val="20"/>
          <w:szCs w:val="20"/>
          <w:lang w:val="en-US"/>
        </w:rPr>
        <w:t>(2) A warrant issued under subsection</w:t>
      </w:r>
      <w:r w:rsidR="009B33E7" w:rsidRPr="003F6AC6">
        <w:rPr>
          <w:rFonts w:ascii="Arial" w:hAnsi="Arial" w:cs="Arial"/>
          <w:sz w:val="20"/>
          <w:szCs w:val="20"/>
          <w:lang w:val="en-US"/>
        </w:rPr>
        <w:t xml:space="preserve"> 1</w:t>
      </w:r>
      <w:r w:rsidR="00BE0075" w:rsidRPr="003F6AC6">
        <w:rPr>
          <w:rFonts w:ascii="Arial" w:hAnsi="Arial" w:cs="Arial"/>
          <w:sz w:val="20"/>
          <w:szCs w:val="20"/>
          <w:lang w:val="en-US"/>
        </w:rPr>
        <w:t xml:space="preserve"> must contain the following – </w:t>
      </w:r>
    </w:p>
    <w:p w14:paraId="48C1913D" w14:textId="6E58E83F" w:rsidR="00312FD4" w:rsidRPr="003F6AC6" w:rsidRDefault="00BE0075" w:rsidP="00312FD4">
      <w:pPr>
        <w:jc w:val="both"/>
        <w:rPr>
          <w:rFonts w:ascii="Arial" w:hAnsi="Arial" w:cs="Arial"/>
          <w:sz w:val="20"/>
          <w:szCs w:val="20"/>
          <w:lang w:val="en-US"/>
        </w:rPr>
      </w:pPr>
      <w:r w:rsidRPr="003F6AC6">
        <w:rPr>
          <w:rFonts w:ascii="Arial" w:hAnsi="Arial" w:cs="Arial"/>
          <w:sz w:val="20"/>
          <w:szCs w:val="20"/>
          <w:lang w:val="en-US"/>
        </w:rPr>
        <w:t xml:space="preserve">(a) </w:t>
      </w:r>
      <w:r w:rsidR="00312FD4" w:rsidRPr="003F6AC6">
        <w:rPr>
          <w:rFonts w:ascii="Arial" w:hAnsi="Arial" w:cs="Arial"/>
          <w:sz w:val="20"/>
          <w:szCs w:val="20"/>
          <w:lang w:val="en-US"/>
        </w:rPr>
        <w:t xml:space="preserve">the alleged failure to comply </w:t>
      </w:r>
      <w:r w:rsidR="00CE53A5" w:rsidRPr="003F6AC6">
        <w:rPr>
          <w:rFonts w:ascii="Arial" w:hAnsi="Arial" w:cs="Arial"/>
          <w:sz w:val="20"/>
          <w:szCs w:val="20"/>
          <w:lang w:val="en-US"/>
        </w:rPr>
        <w:t xml:space="preserve">or </w:t>
      </w:r>
      <w:r w:rsidR="00312FD4" w:rsidRPr="003F6AC6">
        <w:rPr>
          <w:rFonts w:ascii="Arial" w:hAnsi="Arial" w:cs="Arial"/>
          <w:sz w:val="20"/>
          <w:szCs w:val="20"/>
          <w:lang w:val="en-US"/>
        </w:rPr>
        <w:t>offence that is the basis for the application;</w:t>
      </w:r>
    </w:p>
    <w:p w14:paraId="44EDB6C3" w14:textId="1355DD45" w:rsidR="00312FD4" w:rsidRPr="003F6AC6" w:rsidRDefault="00BE0075" w:rsidP="00312FD4">
      <w:pPr>
        <w:jc w:val="both"/>
        <w:rPr>
          <w:rFonts w:ascii="Arial" w:hAnsi="Arial" w:cs="Arial"/>
          <w:sz w:val="20"/>
          <w:szCs w:val="20"/>
          <w:lang w:val="en-US"/>
        </w:rPr>
      </w:pPr>
      <w:r w:rsidRPr="003F6AC6">
        <w:rPr>
          <w:rFonts w:ascii="Arial" w:hAnsi="Arial" w:cs="Arial"/>
          <w:sz w:val="20"/>
          <w:szCs w:val="20"/>
          <w:lang w:val="en-US"/>
        </w:rPr>
        <w:t xml:space="preserve">(b) </w:t>
      </w:r>
      <w:r w:rsidR="00312FD4" w:rsidRPr="003F6AC6">
        <w:rPr>
          <w:rFonts w:ascii="Arial" w:hAnsi="Arial" w:cs="Arial"/>
          <w:sz w:val="20"/>
          <w:szCs w:val="20"/>
          <w:lang w:val="en-US"/>
        </w:rPr>
        <w:t>the person alleged to have failed to comply or to have committed the offence;</w:t>
      </w:r>
    </w:p>
    <w:p w14:paraId="6E893C5D" w14:textId="44210923" w:rsidR="00312FD4" w:rsidRPr="003F6AC6" w:rsidRDefault="00BE0075" w:rsidP="00312FD4">
      <w:pPr>
        <w:jc w:val="both"/>
        <w:rPr>
          <w:rFonts w:ascii="Arial" w:hAnsi="Arial" w:cs="Arial"/>
          <w:sz w:val="20"/>
          <w:szCs w:val="20"/>
          <w:lang w:val="en-US"/>
        </w:rPr>
      </w:pPr>
      <w:r w:rsidRPr="003F6AC6">
        <w:rPr>
          <w:rFonts w:ascii="Arial" w:hAnsi="Arial" w:cs="Arial"/>
          <w:sz w:val="20"/>
          <w:szCs w:val="20"/>
          <w:lang w:val="en-US"/>
        </w:rPr>
        <w:t xml:space="preserve">(c) </w:t>
      </w:r>
      <w:r w:rsidR="00312FD4" w:rsidRPr="003F6AC6">
        <w:rPr>
          <w:rFonts w:ascii="Arial" w:hAnsi="Arial" w:cs="Arial"/>
          <w:sz w:val="20"/>
          <w:szCs w:val="20"/>
          <w:lang w:val="en-US"/>
        </w:rPr>
        <w:t>the premises to be searched;</w:t>
      </w:r>
      <w:r w:rsidR="00CE53A5" w:rsidRPr="003F6AC6">
        <w:rPr>
          <w:rFonts w:ascii="Arial" w:hAnsi="Arial" w:cs="Arial"/>
          <w:sz w:val="20"/>
          <w:szCs w:val="20"/>
          <w:lang w:val="en-US"/>
        </w:rPr>
        <w:t xml:space="preserve"> and</w:t>
      </w:r>
    </w:p>
    <w:p w14:paraId="5B28EA7B" w14:textId="04963A90" w:rsidR="00CE53A5" w:rsidRPr="003F6AC6" w:rsidRDefault="00BE0075" w:rsidP="00312FD4">
      <w:pPr>
        <w:jc w:val="both"/>
        <w:rPr>
          <w:rFonts w:ascii="Arial" w:hAnsi="Arial" w:cs="Arial"/>
          <w:sz w:val="20"/>
          <w:szCs w:val="20"/>
          <w:lang w:val="en-US"/>
        </w:rPr>
      </w:pPr>
      <w:r w:rsidRPr="003F6AC6">
        <w:rPr>
          <w:rFonts w:ascii="Arial" w:hAnsi="Arial" w:cs="Arial"/>
          <w:sz w:val="20"/>
          <w:szCs w:val="20"/>
          <w:lang w:val="en-US"/>
        </w:rPr>
        <w:t xml:space="preserve">(d) </w:t>
      </w:r>
      <w:r w:rsidR="00312FD4" w:rsidRPr="003F6AC6">
        <w:rPr>
          <w:rFonts w:ascii="Arial" w:hAnsi="Arial" w:cs="Arial"/>
          <w:sz w:val="20"/>
          <w:szCs w:val="20"/>
          <w:lang w:val="en-US"/>
        </w:rPr>
        <w:t xml:space="preserve">the fact that relevant material as defined in </w:t>
      </w:r>
      <w:r w:rsidR="00CE53A5" w:rsidRPr="003F6AC6">
        <w:rPr>
          <w:rFonts w:ascii="Arial" w:hAnsi="Arial" w:cs="Arial"/>
          <w:sz w:val="20"/>
          <w:szCs w:val="20"/>
          <w:lang w:val="en-US"/>
        </w:rPr>
        <w:t>s</w:t>
      </w:r>
      <w:r w:rsidR="00312FD4" w:rsidRPr="003F6AC6">
        <w:rPr>
          <w:rFonts w:ascii="Arial" w:hAnsi="Arial" w:cs="Arial"/>
          <w:sz w:val="20"/>
          <w:szCs w:val="20"/>
          <w:lang w:val="en-US"/>
        </w:rPr>
        <w:t>ection 1 is likely to be found on the premises.</w:t>
      </w:r>
    </w:p>
    <w:p w14:paraId="5336C295" w14:textId="27E457C9" w:rsidR="00312FD4" w:rsidRPr="003F6AC6" w:rsidRDefault="00CE53A5" w:rsidP="00312FD4">
      <w:pPr>
        <w:jc w:val="both"/>
        <w:rPr>
          <w:rFonts w:ascii="Arial" w:hAnsi="Arial" w:cs="Arial"/>
          <w:sz w:val="20"/>
          <w:szCs w:val="20"/>
          <w:lang w:val="en-US"/>
        </w:rPr>
      </w:pPr>
      <w:r w:rsidRPr="003F6AC6">
        <w:rPr>
          <w:rFonts w:ascii="Arial" w:hAnsi="Arial" w:cs="Arial"/>
          <w:sz w:val="20"/>
          <w:szCs w:val="20"/>
          <w:lang w:val="en-US"/>
        </w:rPr>
        <w:t>(3) The warrant must be exercised within 45 business days or such further</w:t>
      </w:r>
      <w:r w:rsidR="00313BE1">
        <w:rPr>
          <w:rFonts w:ascii="Arial" w:hAnsi="Arial" w:cs="Arial"/>
          <w:sz w:val="20"/>
          <w:szCs w:val="20"/>
          <w:lang w:val="en-US"/>
        </w:rPr>
        <w:t xml:space="preserve"> period a</w:t>
      </w:r>
      <w:r w:rsidRPr="003F6AC6">
        <w:rPr>
          <w:rFonts w:ascii="Arial" w:hAnsi="Arial" w:cs="Arial"/>
          <w:sz w:val="20"/>
          <w:szCs w:val="20"/>
          <w:lang w:val="en-US"/>
        </w:rPr>
        <w:t xml:space="preserve">s a judge or magistrate deems appropriate on good </w:t>
      </w:r>
      <w:r w:rsidR="002A2198">
        <w:rPr>
          <w:rFonts w:ascii="Arial" w:hAnsi="Arial" w:cs="Arial"/>
          <w:sz w:val="20"/>
          <w:szCs w:val="20"/>
          <w:lang w:val="en-US"/>
        </w:rPr>
        <w:t>cause</w:t>
      </w:r>
      <w:r w:rsidRPr="003F6AC6">
        <w:rPr>
          <w:rFonts w:ascii="Arial" w:hAnsi="Arial" w:cs="Arial"/>
          <w:sz w:val="20"/>
          <w:szCs w:val="20"/>
          <w:lang w:val="en-US"/>
        </w:rPr>
        <w:t xml:space="preserve"> shown.</w:t>
      </w:r>
      <w:r w:rsidR="00312FD4" w:rsidRPr="003F6AC6">
        <w:rPr>
          <w:rFonts w:ascii="Arial" w:hAnsi="Arial" w:cs="Arial"/>
          <w:sz w:val="20"/>
          <w:szCs w:val="20"/>
          <w:lang w:val="en-US"/>
        </w:rPr>
        <w:t>’</w:t>
      </w:r>
    </w:p>
  </w:footnote>
  <w:footnote w:id="5">
    <w:p w14:paraId="06494CDF" w14:textId="1D4484C8" w:rsidR="009B7AE0" w:rsidRPr="003F6AC6" w:rsidRDefault="009B7AE0">
      <w:pPr>
        <w:pStyle w:val="FootnoteText"/>
        <w:jc w:val="both"/>
        <w:rPr>
          <w:rFonts w:ascii="Arial" w:hAnsi="Arial" w:cs="Arial"/>
          <w:lang w:val="en-US"/>
        </w:rPr>
      </w:pPr>
      <w:r w:rsidRPr="003F6AC6">
        <w:rPr>
          <w:rStyle w:val="FootnoteReference"/>
          <w:rFonts w:ascii="Arial" w:hAnsi="Arial" w:cs="Arial"/>
        </w:rPr>
        <w:footnoteRef/>
      </w:r>
      <w:r w:rsidR="00D331E6" w:rsidRPr="003F6AC6">
        <w:rPr>
          <w:rFonts w:ascii="Arial" w:hAnsi="Arial" w:cs="Arial"/>
        </w:rPr>
        <w:t xml:space="preserve"> </w:t>
      </w:r>
      <w:r w:rsidRPr="003F6AC6">
        <w:rPr>
          <w:rFonts w:ascii="Arial" w:hAnsi="Arial" w:cs="Arial"/>
        </w:rPr>
        <w:t>‘</w:t>
      </w:r>
      <w:r w:rsidRPr="003F6AC6">
        <w:rPr>
          <w:rFonts w:ascii="Arial" w:hAnsi="Arial" w:cs="Arial"/>
          <w:lang w:val="en-US"/>
        </w:rPr>
        <w:t>Relevant material’ as defined in s 1 of the TAA ‘means any information, document or thing that is foreseeably relevant for tax risk assessment, assessing tax, collecting tax, showing non-compliance with an obligation under a tax Act or showing that a tax offence was committed’.</w:t>
      </w:r>
    </w:p>
  </w:footnote>
  <w:footnote w:id="6">
    <w:p w14:paraId="706A092A" w14:textId="1C6387C4" w:rsidR="009001B1" w:rsidRPr="003F6AC6" w:rsidRDefault="009001B1" w:rsidP="0069716F">
      <w:pPr>
        <w:pStyle w:val="FootnoteText"/>
        <w:jc w:val="both"/>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proofErr w:type="spellStart"/>
      <w:r w:rsidRPr="003F6AC6">
        <w:rPr>
          <w:rFonts w:ascii="Arial" w:hAnsi="Arial" w:cs="Arial"/>
          <w:i/>
          <w:iCs/>
          <w:lang w:val="en-US"/>
        </w:rPr>
        <w:t>Plascon</w:t>
      </w:r>
      <w:proofErr w:type="spellEnd"/>
      <w:r w:rsidRPr="003F6AC6">
        <w:rPr>
          <w:rFonts w:ascii="Arial" w:hAnsi="Arial" w:cs="Arial"/>
          <w:i/>
          <w:iCs/>
          <w:lang w:val="en-US"/>
        </w:rPr>
        <w:t xml:space="preserve">-Evans Paints Ltd v Van </w:t>
      </w:r>
      <w:proofErr w:type="spellStart"/>
      <w:r w:rsidRPr="003F6AC6">
        <w:rPr>
          <w:rFonts w:ascii="Arial" w:hAnsi="Arial" w:cs="Arial"/>
          <w:i/>
          <w:iCs/>
          <w:lang w:val="en-US"/>
        </w:rPr>
        <w:t>Riebeeck</w:t>
      </w:r>
      <w:proofErr w:type="spellEnd"/>
      <w:r w:rsidRPr="003F6AC6">
        <w:rPr>
          <w:rFonts w:ascii="Arial" w:hAnsi="Arial" w:cs="Arial"/>
          <w:i/>
          <w:iCs/>
          <w:lang w:val="en-US"/>
        </w:rPr>
        <w:t xml:space="preserve"> Paints (Pty) Ltd</w:t>
      </w:r>
      <w:r w:rsidRPr="003F6AC6">
        <w:rPr>
          <w:rFonts w:ascii="Arial" w:hAnsi="Arial" w:cs="Arial"/>
          <w:lang w:val="en-US"/>
        </w:rPr>
        <w:t xml:space="preserve"> 1984 (3) SA 623 (A)</w:t>
      </w:r>
      <w:r w:rsidR="00351683" w:rsidRPr="003F6AC6">
        <w:rPr>
          <w:rFonts w:ascii="Arial" w:hAnsi="Arial" w:cs="Arial"/>
          <w:lang w:val="en-US"/>
        </w:rPr>
        <w:t xml:space="preserve"> </w:t>
      </w:r>
      <w:r w:rsidR="00351683" w:rsidRPr="00C22D73">
        <w:rPr>
          <w:rFonts w:ascii="Arial" w:hAnsi="Arial" w:cs="Arial"/>
          <w:lang w:val="en-US"/>
        </w:rPr>
        <w:t>at 634E-635C</w:t>
      </w:r>
      <w:r w:rsidRPr="00C22D73">
        <w:rPr>
          <w:rFonts w:ascii="Arial" w:hAnsi="Arial" w:cs="Arial"/>
          <w:lang w:val="en-US"/>
        </w:rPr>
        <w:t>.</w:t>
      </w:r>
    </w:p>
  </w:footnote>
  <w:footnote w:id="7">
    <w:p w14:paraId="4516C92C" w14:textId="6AB50C5E" w:rsidR="009B7AE0" w:rsidRPr="003F6AC6" w:rsidRDefault="009B7AE0">
      <w:pPr>
        <w:pStyle w:val="FootnoteText"/>
        <w:jc w:val="both"/>
        <w:rPr>
          <w:rFonts w:ascii="Arial" w:hAnsi="Arial" w:cs="Arial"/>
          <w:lang w:val="en-ZA"/>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i/>
          <w:lang w:val="en-ZA"/>
        </w:rPr>
        <w:t>Thint (Pty) Ltd v National Director of Public Prosecutions, Zuma v National Director of Public Prosecutions</w:t>
      </w:r>
      <w:r w:rsidR="00BE0075" w:rsidRPr="003F6AC6">
        <w:rPr>
          <w:rFonts w:ascii="Arial" w:hAnsi="Arial" w:cs="Arial"/>
          <w:i/>
          <w:lang w:val="en-ZA"/>
        </w:rPr>
        <w:t xml:space="preserve"> and Others</w:t>
      </w:r>
      <w:r w:rsidR="008F0777" w:rsidRPr="003F6AC6">
        <w:rPr>
          <w:rFonts w:ascii="Arial" w:hAnsi="Arial" w:cs="Arial"/>
          <w:lang w:val="en-ZA"/>
        </w:rPr>
        <w:t xml:space="preserve"> </w:t>
      </w:r>
      <w:r w:rsidR="00BE0075" w:rsidRPr="003F6AC6">
        <w:rPr>
          <w:rFonts w:ascii="Arial" w:hAnsi="Arial" w:cs="Arial"/>
          <w:lang w:val="en-ZA"/>
        </w:rPr>
        <w:t xml:space="preserve">[2008] ZACC 13; 2008 (2) SACR 421 (CC); </w:t>
      </w:r>
      <w:r w:rsidR="008F0777" w:rsidRPr="003F6AC6">
        <w:rPr>
          <w:rFonts w:ascii="Arial" w:hAnsi="Arial" w:cs="Arial"/>
          <w:lang w:val="en-ZA"/>
        </w:rPr>
        <w:t>2009 (1) SA 1 (CC)</w:t>
      </w:r>
      <w:r w:rsidR="00BE0075" w:rsidRPr="003F6AC6">
        <w:rPr>
          <w:rFonts w:ascii="Arial" w:hAnsi="Arial" w:cs="Arial"/>
          <w:lang w:val="en-ZA"/>
        </w:rPr>
        <w:t xml:space="preserve">; 2008 (12) BCLR 1197 (CC) </w:t>
      </w:r>
      <w:r w:rsidRPr="003F6AC6">
        <w:rPr>
          <w:rFonts w:ascii="Arial" w:hAnsi="Arial" w:cs="Arial"/>
          <w:lang w:val="en-ZA"/>
        </w:rPr>
        <w:t>para 10.</w:t>
      </w:r>
    </w:p>
  </w:footnote>
  <w:footnote w:id="8">
    <w:p w14:paraId="67F03680" w14:textId="68630719" w:rsidR="007A152C" w:rsidRPr="003F6AC6" w:rsidRDefault="007A152C">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proofErr w:type="spellStart"/>
      <w:r w:rsidR="003F6AC6" w:rsidRPr="00F93A16">
        <w:rPr>
          <w:rFonts w:ascii="Arial" w:hAnsi="Arial" w:cs="Arial"/>
          <w:i/>
          <w:iCs/>
        </w:rPr>
        <w:t>Setlogelo</w:t>
      </w:r>
      <w:proofErr w:type="spellEnd"/>
      <w:r w:rsidR="003F6AC6" w:rsidRPr="00F93A16">
        <w:rPr>
          <w:rFonts w:ascii="Arial" w:hAnsi="Arial" w:cs="Arial"/>
          <w:i/>
          <w:iCs/>
        </w:rPr>
        <w:t xml:space="preserve"> v </w:t>
      </w:r>
      <w:proofErr w:type="spellStart"/>
      <w:r w:rsidR="003F6AC6" w:rsidRPr="00F93A16">
        <w:rPr>
          <w:rFonts w:ascii="Arial" w:hAnsi="Arial" w:cs="Arial"/>
          <w:i/>
          <w:iCs/>
        </w:rPr>
        <w:t>Setlogelo</w:t>
      </w:r>
      <w:proofErr w:type="spellEnd"/>
      <w:r w:rsidR="003F6AC6" w:rsidRPr="00F93A16">
        <w:rPr>
          <w:rFonts w:ascii="Arial" w:hAnsi="Arial" w:cs="Arial"/>
          <w:i/>
          <w:iCs/>
        </w:rPr>
        <w:t xml:space="preserve"> </w:t>
      </w:r>
      <w:r w:rsidR="003F6AC6" w:rsidRPr="00F93A16">
        <w:rPr>
          <w:rFonts w:ascii="Arial" w:hAnsi="Arial" w:cs="Arial"/>
        </w:rPr>
        <w:t>1914 AD 221;</w:t>
      </w:r>
      <w:r w:rsidR="003F6AC6">
        <w:rPr>
          <w:rFonts w:ascii="Arial" w:hAnsi="Arial" w:cs="Arial"/>
        </w:rPr>
        <w:t xml:space="preserve"> </w:t>
      </w:r>
      <w:r w:rsidRPr="003F6AC6">
        <w:rPr>
          <w:rFonts w:ascii="Arial" w:hAnsi="Arial" w:cs="Arial"/>
          <w:i/>
          <w:iCs/>
          <w:lang w:val="en-US"/>
        </w:rPr>
        <w:t xml:space="preserve">Yeko v </w:t>
      </w:r>
      <w:proofErr w:type="spellStart"/>
      <w:r w:rsidRPr="003F6AC6">
        <w:rPr>
          <w:rFonts w:ascii="Arial" w:hAnsi="Arial" w:cs="Arial"/>
          <w:i/>
          <w:iCs/>
          <w:lang w:val="en-US"/>
        </w:rPr>
        <w:t>Qana</w:t>
      </w:r>
      <w:proofErr w:type="spellEnd"/>
      <w:r w:rsidRPr="003F6AC6">
        <w:rPr>
          <w:rFonts w:ascii="Arial" w:hAnsi="Arial" w:cs="Arial"/>
          <w:lang w:val="en-US"/>
        </w:rPr>
        <w:t xml:space="preserve"> 1973 (4) SA 735 (A).</w:t>
      </w:r>
    </w:p>
  </w:footnote>
  <w:footnote w:id="9">
    <w:p w14:paraId="3B6A348A" w14:textId="381609B1" w:rsidR="00C0023B" w:rsidRPr="003F6AC6" w:rsidRDefault="00C0023B">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Section 61(7) of the TAA provides that ‘[n]o person may obstruct a SARS official or a police officer from executing the warrant or without reasonable excuse refuse to give assistance as may be reasonably required for the execution of the warrant’.</w:t>
      </w:r>
    </w:p>
  </w:footnote>
  <w:footnote w:id="10">
    <w:p w14:paraId="4315FB7B" w14:textId="3F47946E" w:rsidR="006E6534" w:rsidRPr="003F6AC6" w:rsidRDefault="006E6534">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009D0448" w:rsidRPr="003F6AC6">
        <w:rPr>
          <w:rFonts w:ascii="Arial" w:hAnsi="Arial" w:cs="Arial"/>
          <w:lang w:val="en-US"/>
        </w:rPr>
        <w:t>Section 61(3)</w:t>
      </w:r>
      <w:r w:rsidR="009D0448" w:rsidRPr="00B2123E">
        <w:rPr>
          <w:rFonts w:ascii="Arial" w:hAnsi="Arial" w:cs="Arial"/>
          <w:i/>
          <w:iCs/>
          <w:lang w:val="en-US"/>
        </w:rPr>
        <w:t>(c)</w:t>
      </w:r>
      <w:r w:rsidR="009D0448" w:rsidRPr="003F6AC6">
        <w:rPr>
          <w:rFonts w:ascii="Arial" w:hAnsi="Arial" w:cs="Arial"/>
          <w:lang w:val="en-US"/>
        </w:rPr>
        <w:t xml:space="preserve"> enables a SARS official to ‘seize and retain a computer or storage device in which relevant material is stored for as long as is necessary to copy the material required’.</w:t>
      </w:r>
      <w:r w:rsidRPr="003F6AC6">
        <w:rPr>
          <w:rFonts w:ascii="Arial" w:hAnsi="Arial" w:cs="Arial"/>
          <w:lang w:val="en-US"/>
        </w:rPr>
        <w:t xml:space="preserve">  </w:t>
      </w:r>
    </w:p>
  </w:footnote>
  <w:footnote w:id="11">
    <w:p w14:paraId="2A53499C" w14:textId="77777777" w:rsidR="002D3002" w:rsidRPr="003F6AC6" w:rsidRDefault="002D3002" w:rsidP="002D3002">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This contention was raised in the appellants’ replying affidavit but not in their heads of argument. </w:t>
      </w:r>
    </w:p>
  </w:footnote>
  <w:footnote w:id="12">
    <w:p w14:paraId="0EFCF08A" w14:textId="72AA19D3" w:rsidR="00762C25" w:rsidRPr="003F6AC6" w:rsidRDefault="00762C25">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The rules </w:t>
      </w:r>
      <w:r w:rsidR="00B3344C" w:rsidRPr="003F6AC6">
        <w:rPr>
          <w:rFonts w:ascii="Arial" w:hAnsi="Arial" w:cs="Arial"/>
          <w:lang w:val="en-US"/>
        </w:rPr>
        <w:t xml:space="preserve">of interpretation </w:t>
      </w:r>
      <w:r w:rsidRPr="003F6AC6">
        <w:rPr>
          <w:rFonts w:ascii="Arial" w:hAnsi="Arial" w:cs="Arial"/>
          <w:lang w:val="en-US"/>
        </w:rPr>
        <w:t xml:space="preserve">articulated in </w:t>
      </w:r>
      <w:r w:rsidRPr="003F6AC6">
        <w:rPr>
          <w:rFonts w:ascii="Arial" w:hAnsi="Arial" w:cs="Arial"/>
          <w:i/>
          <w:iCs/>
          <w:lang w:val="en-US"/>
        </w:rPr>
        <w:t xml:space="preserve">Natal Joint Municipal Pension v </w:t>
      </w:r>
      <w:proofErr w:type="spellStart"/>
      <w:r w:rsidRPr="003F6AC6">
        <w:rPr>
          <w:rFonts w:ascii="Arial" w:hAnsi="Arial" w:cs="Arial"/>
          <w:i/>
          <w:iCs/>
          <w:lang w:val="en-US"/>
        </w:rPr>
        <w:t>Endumeni</w:t>
      </w:r>
      <w:proofErr w:type="spellEnd"/>
      <w:r w:rsidRPr="003F6AC6">
        <w:rPr>
          <w:rFonts w:ascii="Arial" w:hAnsi="Arial" w:cs="Arial"/>
          <w:i/>
          <w:iCs/>
          <w:lang w:val="en-US"/>
        </w:rPr>
        <w:t xml:space="preserve"> Municipality</w:t>
      </w:r>
      <w:r w:rsidRPr="003F6AC6">
        <w:rPr>
          <w:rFonts w:ascii="Arial" w:hAnsi="Arial" w:cs="Arial"/>
          <w:lang w:val="en-US"/>
        </w:rPr>
        <w:t xml:space="preserve"> 2012 (4) SA 593 (SCA) para 18 apply to the interpretation of the</w:t>
      </w:r>
      <w:r w:rsidR="006B27C2" w:rsidRPr="003F6AC6">
        <w:rPr>
          <w:rFonts w:ascii="Arial" w:hAnsi="Arial" w:cs="Arial"/>
          <w:lang w:val="en-US"/>
        </w:rPr>
        <w:t xml:space="preserve"> search and seizure </w:t>
      </w:r>
      <w:r w:rsidRPr="003F6AC6">
        <w:rPr>
          <w:rFonts w:ascii="Arial" w:hAnsi="Arial" w:cs="Arial"/>
          <w:lang w:val="en-US"/>
        </w:rPr>
        <w:t>provisions</w:t>
      </w:r>
      <w:r w:rsidR="006B27C2" w:rsidRPr="003F6AC6">
        <w:rPr>
          <w:rFonts w:ascii="Arial" w:hAnsi="Arial" w:cs="Arial"/>
          <w:lang w:val="en-US"/>
        </w:rPr>
        <w:t xml:space="preserve"> of the TAA. </w:t>
      </w:r>
      <w:r w:rsidRPr="003F6AC6">
        <w:rPr>
          <w:rFonts w:ascii="Arial" w:hAnsi="Arial" w:cs="Arial"/>
          <w:lang w:val="en-US"/>
        </w:rPr>
        <w:t>In interpreting</w:t>
      </w:r>
      <w:r w:rsidR="006B27C2" w:rsidRPr="003F6AC6">
        <w:rPr>
          <w:rFonts w:ascii="Arial" w:hAnsi="Arial" w:cs="Arial"/>
          <w:lang w:val="en-US"/>
        </w:rPr>
        <w:t xml:space="preserve"> them</w:t>
      </w:r>
      <w:r w:rsidRPr="003F6AC6">
        <w:rPr>
          <w:rFonts w:ascii="Arial" w:hAnsi="Arial" w:cs="Arial"/>
          <w:lang w:val="en-US"/>
        </w:rPr>
        <w:t xml:space="preserve">, this Court must consider the ordinary grammatical meaning of the words used in the provision, the context in which the provision occurs and the apparent purpose of the provision. </w:t>
      </w:r>
    </w:p>
  </w:footnote>
  <w:footnote w:id="13">
    <w:p w14:paraId="28C5E4EE" w14:textId="18045AC0" w:rsidR="005A3C8E" w:rsidRPr="003F6AC6" w:rsidRDefault="005A3C8E">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See </w:t>
      </w:r>
      <w:proofErr w:type="spellStart"/>
      <w:r w:rsidRPr="003F6AC6">
        <w:rPr>
          <w:rFonts w:ascii="Arial" w:hAnsi="Arial" w:cs="Arial"/>
          <w:lang w:val="en-US"/>
        </w:rPr>
        <w:t>fn</w:t>
      </w:r>
      <w:proofErr w:type="spellEnd"/>
      <w:r w:rsidRPr="003F6AC6">
        <w:rPr>
          <w:rFonts w:ascii="Arial" w:hAnsi="Arial" w:cs="Arial"/>
          <w:lang w:val="en-US"/>
        </w:rPr>
        <w:t xml:space="preserve"> 5 above for the definition of ‘relevant material’.</w:t>
      </w:r>
    </w:p>
  </w:footnote>
  <w:footnote w:id="14">
    <w:p w14:paraId="7EBCC0CC" w14:textId="5754A03F" w:rsidR="00681328" w:rsidRPr="003F6AC6" w:rsidRDefault="00681328" w:rsidP="00931682">
      <w:pPr>
        <w:pStyle w:val="FootnoteText"/>
        <w:jc w:val="both"/>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According to the Oxford English Dictionary, the word ‘anything’ is ‘used to refer to a thing, no matter what’. </w:t>
      </w:r>
    </w:p>
  </w:footnote>
  <w:footnote w:id="15">
    <w:p w14:paraId="7A9BD5B7" w14:textId="65F29952" w:rsidR="00AE67B6" w:rsidRPr="003F6AC6" w:rsidRDefault="00AE67B6">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See paragraphs </w:t>
      </w:r>
      <w:r w:rsidR="004958C9" w:rsidRPr="003F6AC6">
        <w:rPr>
          <w:rFonts w:ascii="Arial" w:hAnsi="Arial" w:cs="Arial"/>
          <w:lang w:val="en-US"/>
        </w:rPr>
        <w:t xml:space="preserve">4 and 5 of the </w:t>
      </w:r>
      <w:r w:rsidRPr="003F6AC6">
        <w:rPr>
          <w:rFonts w:ascii="Arial" w:hAnsi="Arial" w:cs="Arial"/>
          <w:lang w:val="en-US"/>
        </w:rPr>
        <w:t>judgment</w:t>
      </w:r>
      <w:r w:rsidR="004958C9" w:rsidRPr="003F6AC6">
        <w:rPr>
          <w:rFonts w:ascii="Arial" w:hAnsi="Arial" w:cs="Arial"/>
          <w:lang w:val="en-US"/>
        </w:rPr>
        <w:t>.</w:t>
      </w:r>
      <w:r w:rsidRPr="003F6AC6">
        <w:rPr>
          <w:rFonts w:ascii="Arial" w:hAnsi="Arial" w:cs="Arial"/>
          <w:lang w:val="en-US"/>
        </w:rPr>
        <w:t xml:space="preserve"> </w:t>
      </w:r>
    </w:p>
  </w:footnote>
  <w:footnote w:id="16">
    <w:p w14:paraId="664174A7" w14:textId="79A999F6" w:rsidR="004C4C82" w:rsidRPr="003F6AC6" w:rsidRDefault="005C6FD8" w:rsidP="004C4C82">
      <w:pPr>
        <w:pStyle w:val="FootnoteText"/>
        <w:rPr>
          <w:rFonts w:ascii="Arial" w:hAnsi="Arial" w:cs="Arial"/>
          <w:lang w:val="en-US"/>
        </w:rPr>
      </w:pPr>
      <w:r w:rsidRPr="003F6AC6">
        <w:rPr>
          <w:rStyle w:val="FootnoteReference"/>
          <w:rFonts w:ascii="Arial" w:hAnsi="Arial" w:cs="Arial"/>
        </w:rPr>
        <w:footnoteRef/>
      </w:r>
      <w:r w:rsidRPr="003F6AC6">
        <w:rPr>
          <w:rFonts w:ascii="Arial" w:hAnsi="Arial" w:cs="Arial"/>
        </w:rPr>
        <w:t xml:space="preserve"> </w:t>
      </w:r>
      <w:r w:rsidRPr="003F6AC6">
        <w:rPr>
          <w:rFonts w:ascii="Arial" w:hAnsi="Arial" w:cs="Arial"/>
          <w:lang w:val="en-US"/>
        </w:rPr>
        <w:t xml:space="preserve">Section </w:t>
      </w:r>
      <w:r w:rsidR="004C4C82" w:rsidRPr="003F6AC6">
        <w:rPr>
          <w:rFonts w:ascii="Arial" w:hAnsi="Arial" w:cs="Arial"/>
          <w:lang w:val="en-US"/>
        </w:rPr>
        <w:t xml:space="preserve">2 of the TAA. </w:t>
      </w:r>
    </w:p>
  </w:footnote>
  <w:footnote w:id="17">
    <w:p w14:paraId="035D4F62" w14:textId="7C3335BD" w:rsidR="005554D2" w:rsidRPr="00E831B2" w:rsidRDefault="005554D2">
      <w:pPr>
        <w:pStyle w:val="FootnoteText"/>
        <w:rPr>
          <w:rFonts w:ascii="Arial" w:hAnsi="Arial" w:cs="Arial"/>
          <w:lang w:val="en-US"/>
        </w:rPr>
      </w:pPr>
      <w:r w:rsidRPr="00E831B2">
        <w:rPr>
          <w:rStyle w:val="FootnoteReference"/>
          <w:rFonts w:ascii="Arial" w:hAnsi="Arial" w:cs="Arial"/>
        </w:rPr>
        <w:footnoteRef/>
      </w:r>
      <w:r w:rsidRPr="00E831B2">
        <w:rPr>
          <w:rFonts w:ascii="Arial" w:hAnsi="Arial" w:cs="Arial"/>
          <w:i/>
          <w:iCs/>
        </w:rPr>
        <w:t xml:space="preserve"> </w:t>
      </w:r>
      <w:r w:rsidR="00E94711" w:rsidRPr="00E831B2">
        <w:rPr>
          <w:rFonts w:ascii="Arial" w:hAnsi="Arial" w:cs="Arial"/>
          <w:i/>
          <w:iCs/>
          <w:lang w:val="en-US"/>
        </w:rPr>
        <w:t>Bullion Star (Pty) Limited v The Commissioner for the South African Revenue Service</w:t>
      </w:r>
      <w:r w:rsidR="00CD6EA7" w:rsidRPr="00E831B2">
        <w:rPr>
          <w:rFonts w:ascii="Arial" w:hAnsi="Arial" w:cs="Arial"/>
          <w:lang w:val="en-US"/>
        </w:rPr>
        <w:t xml:space="preserve"> Case no. </w:t>
      </w:r>
      <w:r w:rsidR="00E10D20" w:rsidRPr="00E831B2">
        <w:rPr>
          <w:rFonts w:ascii="Arial" w:hAnsi="Arial" w:cs="Arial"/>
          <w:lang w:val="en-US"/>
        </w:rPr>
        <w:t xml:space="preserve"> </w:t>
      </w:r>
      <w:r w:rsidR="00CD6EA7" w:rsidRPr="00E831B2">
        <w:rPr>
          <w:rFonts w:ascii="Arial" w:hAnsi="Arial" w:cs="Arial"/>
          <w:lang w:val="en-US"/>
        </w:rPr>
        <w:t>18176/2022</w:t>
      </w:r>
      <w:r w:rsidR="00A671ED" w:rsidRPr="00E831B2">
        <w:rPr>
          <w:rFonts w:ascii="Arial" w:hAnsi="Arial" w:cs="Arial"/>
          <w:lang w:val="en-US"/>
        </w:rPr>
        <w:t xml:space="preserve">, </w:t>
      </w:r>
      <w:r w:rsidR="00E10D20" w:rsidRPr="00E831B2">
        <w:rPr>
          <w:rFonts w:ascii="Arial" w:hAnsi="Arial" w:cs="Arial"/>
          <w:lang w:val="en-US"/>
        </w:rPr>
        <w:t>unreported judgment of the Gauteng Division</w:t>
      </w:r>
      <w:r w:rsidR="00225CBE" w:rsidRPr="00E831B2">
        <w:rPr>
          <w:rFonts w:ascii="Arial" w:hAnsi="Arial" w:cs="Arial"/>
          <w:lang w:val="en-US"/>
        </w:rPr>
        <w:t xml:space="preserve"> of the High Court</w:t>
      </w:r>
      <w:r w:rsidR="00E10D20" w:rsidRPr="00E831B2">
        <w:rPr>
          <w:rFonts w:ascii="Arial" w:hAnsi="Arial" w:cs="Arial"/>
          <w:lang w:val="en-US"/>
        </w:rPr>
        <w:t>, Pretoria</w:t>
      </w:r>
      <w:r w:rsidR="00A85A49" w:rsidRPr="00E831B2">
        <w:rPr>
          <w:rFonts w:ascii="Arial" w:hAnsi="Arial" w:cs="Arial"/>
          <w:lang w:val="en-US"/>
        </w:rPr>
        <w:t xml:space="preserve">, </w:t>
      </w:r>
      <w:r w:rsidR="00225CBE" w:rsidRPr="00E831B2">
        <w:rPr>
          <w:rFonts w:ascii="Arial" w:hAnsi="Arial" w:cs="Arial"/>
          <w:lang w:val="en-US"/>
        </w:rPr>
        <w:t xml:space="preserve">dated </w:t>
      </w:r>
      <w:r w:rsidR="00A671ED" w:rsidRPr="00E831B2">
        <w:rPr>
          <w:rFonts w:ascii="Arial" w:hAnsi="Arial" w:cs="Arial"/>
          <w:lang w:val="en-US"/>
        </w:rPr>
        <w:t>2 February 2024.</w:t>
      </w:r>
    </w:p>
  </w:footnote>
  <w:footnote w:id="18">
    <w:p w14:paraId="035C4DF9" w14:textId="0ED41801" w:rsidR="00C806C4" w:rsidRPr="00C806C4" w:rsidRDefault="00C806C4">
      <w:pPr>
        <w:pStyle w:val="FootnoteText"/>
        <w:rPr>
          <w:rFonts w:ascii="Arial" w:hAnsi="Arial" w:cs="Arial"/>
          <w:lang w:val="en-US"/>
        </w:rPr>
      </w:pPr>
      <w:r w:rsidRPr="00E831B2">
        <w:rPr>
          <w:rStyle w:val="FootnoteReference"/>
          <w:rFonts w:ascii="Arial" w:hAnsi="Arial" w:cs="Arial"/>
        </w:rPr>
        <w:footnoteRef/>
      </w:r>
      <w:r w:rsidRPr="00E831B2">
        <w:rPr>
          <w:rFonts w:ascii="Arial" w:hAnsi="Arial" w:cs="Arial"/>
        </w:rPr>
        <w:t xml:space="preserve"> </w:t>
      </w:r>
      <w:r w:rsidRPr="00E831B2">
        <w:rPr>
          <w:rFonts w:ascii="Arial" w:hAnsi="Arial" w:cs="Arial"/>
          <w:i/>
          <w:iCs/>
          <w:lang w:val="en-US"/>
        </w:rPr>
        <w:t xml:space="preserve">Weber-Stephen Products Co v </w:t>
      </w:r>
      <w:proofErr w:type="spellStart"/>
      <w:r w:rsidRPr="00E831B2">
        <w:rPr>
          <w:rFonts w:ascii="Arial" w:hAnsi="Arial" w:cs="Arial"/>
          <w:i/>
          <w:iCs/>
          <w:lang w:val="en-US"/>
        </w:rPr>
        <w:t>Alrite</w:t>
      </w:r>
      <w:proofErr w:type="spellEnd"/>
      <w:r w:rsidRPr="00E831B2">
        <w:rPr>
          <w:rFonts w:ascii="Arial" w:hAnsi="Arial" w:cs="Arial"/>
          <w:i/>
          <w:iCs/>
          <w:lang w:val="en-US"/>
        </w:rPr>
        <w:t xml:space="preserve"> Engineering (Pty) Ltd</w:t>
      </w:r>
      <w:r w:rsidRPr="00E831B2">
        <w:rPr>
          <w:rFonts w:ascii="Arial" w:hAnsi="Arial" w:cs="Arial"/>
          <w:lang w:val="en-US"/>
        </w:rPr>
        <w:t xml:space="preserve"> 1992 (2) SA 469 (A) at 507C-D.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7204"/>
      <w:docPartObj>
        <w:docPartGallery w:val="Page Numbers (Top of Page)"/>
        <w:docPartUnique/>
      </w:docPartObj>
    </w:sdtPr>
    <w:sdtEndPr>
      <w:rPr>
        <w:rFonts w:ascii="Arial" w:hAnsi="Arial" w:cs="Arial"/>
        <w:noProof/>
      </w:rPr>
    </w:sdtEndPr>
    <w:sdtContent>
      <w:p w14:paraId="34ECBF72" w14:textId="7EB4E2DF" w:rsidR="00FF7B4A" w:rsidRPr="00FF7B4A" w:rsidRDefault="00FF7B4A">
        <w:pPr>
          <w:pStyle w:val="Header"/>
          <w:jc w:val="right"/>
          <w:rPr>
            <w:rFonts w:ascii="Arial" w:hAnsi="Arial" w:cs="Arial"/>
          </w:rPr>
        </w:pPr>
        <w:r w:rsidRPr="00FF7B4A">
          <w:rPr>
            <w:rFonts w:ascii="Arial" w:hAnsi="Arial" w:cs="Arial"/>
          </w:rPr>
          <w:fldChar w:fldCharType="begin"/>
        </w:r>
        <w:r w:rsidRPr="00FF7B4A">
          <w:rPr>
            <w:rFonts w:ascii="Arial" w:hAnsi="Arial" w:cs="Arial"/>
          </w:rPr>
          <w:instrText xml:space="preserve"> PAGE   \* MERGEFORMAT </w:instrText>
        </w:r>
        <w:r w:rsidRPr="00FF7B4A">
          <w:rPr>
            <w:rFonts w:ascii="Arial" w:hAnsi="Arial" w:cs="Arial"/>
          </w:rPr>
          <w:fldChar w:fldCharType="separate"/>
        </w:r>
        <w:r w:rsidR="00DA4B4E">
          <w:rPr>
            <w:rFonts w:ascii="Arial" w:hAnsi="Arial" w:cs="Arial"/>
            <w:noProof/>
          </w:rPr>
          <w:t>9</w:t>
        </w:r>
        <w:r w:rsidRPr="00FF7B4A">
          <w:rPr>
            <w:rFonts w:ascii="Arial" w:hAnsi="Arial" w:cs="Arial"/>
            <w:noProof/>
          </w:rPr>
          <w:fldChar w:fldCharType="end"/>
        </w:r>
      </w:p>
    </w:sdtContent>
  </w:sdt>
  <w:p w14:paraId="79793D58" w14:textId="77777777" w:rsidR="00FF7B4A" w:rsidRDefault="00F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3EC8"/>
    <w:multiLevelType w:val="hybridMultilevel"/>
    <w:tmpl w:val="17AA1DFA"/>
    <w:lvl w:ilvl="0" w:tplc="045A5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52AB6"/>
    <w:multiLevelType w:val="hybridMultilevel"/>
    <w:tmpl w:val="9B3E1D9E"/>
    <w:lvl w:ilvl="0" w:tplc="BB44C282">
      <w:start w:val="1"/>
      <w:numFmt w:val="decimal"/>
      <w:lvlText w:val="[%1]"/>
      <w:lvlJc w:val="left"/>
      <w:pPr>
        <w:ind w:left="720"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682900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17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E0"/>
    <w:rsid w:val="0000674E"/>
    <w:rsid w:val="00011180"/>
    <w:rsid w:val="00013C2E"/>
    <w:rsid w:val="00024A83"/>
    <w:rsid w:val="00027D23"/>
    <w:rsid w:val="00031BC5"/>
    <w:rsid w:val="00087FC5"/>
    <w:rsid w:val="000A549A"/>
    <w:rsid w:val="000D3555"/>
    <w:rsid w:val="000D6CB0"/>
    <w:rsid w:val="000F599A"/>
    <w:rsid w:val="001069E8"/>
    <w:rsid w:val="001130A6"/>
    <w:rsid w:val="001209C0"/>
    <w:rsid w:val="00130BBD"/>
    <w:rsid w:val="00130D6B"/>
    <w:rsid w:val="00134D8E"/>
    <w:rsid w:val="00151DCE"/>
    <w:rsid w:val="00153709"/>
    <w:rsid w:val="00161229"/>
    <w:rsid w:val="00197B9B"/>
    <w:rsid w:val="001B41C1"/>
    <w:rsid w:val="001B457D"/>
    <w:rsid w:val="001D7D45"/>
    <w:rsid w:val="001E2AA0"/>
    <w:rsid w:val="001F5AC2"/>
    <w:rsid w:val="00225CBE"/>
    <w:rsid w:val="0024472E"/>
    <w:rsid w:val="002452BA"/>
    <w:rsid w:val="00274D51"/>
    <w:rsid w:val="00274E8E"/>
    <w:rsid w:val="00285BCC"/>
    <w:rsid w:val="00295D3D"/>
    <w:rsid w:val="002A2198"/>
    <w:rsid w:val="002B066F"/>
    <w:rsid w:val="002C2202"/>
    <w:rsid w:val="002C296A"/>
    <w:rsid w:val="002C7A4D"/>
    <w:rsid w:val="002D3002"/>
    <w:rsid w:val="002E0C99"/>
    <w:rsid w:val="002F6767"/>
    <w:rsid w:val="003113A3"/>
    <w:rsid w:val="00312FD4"/>
    <w:rsid w:val="00313BE1"/>
    <w:rsid w:val="00317114"/>
    <w:rsid w:val="00320567"/>
    <w:rsid w:val="003220E9"/>
    <w:rsid w:val="003231CE"/>
    <w:rsid w:val="00351683"/>
    <w:rsid w:val="00361330"/>
    <w:rsid w:val="00364198"/>
    <w:rsid w:val="00364E4C"/>
    <w:rsid w:val="00371D33"/>
    <w:rsid w:val="00386AFF"/>
    <w:rsid w:val="003929CA"/>
    <w:rsid w:val="0039494D"/>
    <w:rsid w:val="00396ECE"/>
    <w:rsid w:val="003A39F1"/>
    <w:rsid w:val="003D6CCE"/>
    <w:rsid w:val="003F6447"/>
    <w:rsid w:val="003F6AC6"/>
    <w:rsid w:val="00410AB1"/>
    <w:rsid w:val="0042334E"/>
    <w:rsid w:val="00423B10"/>
    <w:rsid w:val="004244E1"/>
    <w:rsid w:val="00460229"/>
    <w:rsid w:val="00460C12"/>
    <w:rsid w:val="00465BFA"/>
    <w:rsid w:val="00470DD9"/>
    <w:rsid w:val="00491CCE"/>
    <w:rsid w:val="00493445"/>
    <w:rsid w:val="004958C9"/>
    <w:rsid w:val="00495BA6"/>
    <w:rsid w:val="004A1A0A"/>
    <w:rsid w:val="004B6D3C"/>
    <w:rsid w:val="004B7F0D"/>
    <w:rsid w:val="004C4C82"/>
    <w:rsid w:val="004C756D"/>
    <w:rsid w:val="004D1B78"/>
    <w:rsid w:val="004E7CF2"/>
    <w:rsid w:val="004F51AA"/>
    <w:rsid w:val="004F7D96"/>
    <w:rsid w:val="005048B4"/>
    <w:rsid w:val="00520958"/>
    <w:rsid w:val="00520BD8"/>
    <w:rsid w:val="00531999"/>
    <w:rsid w:val="00542B36"/>
    <w:rsid w:val="005441A1"/>
    <w:rsid w:val="005554D2"/>
    <w:rsid w:val="00566745"/>
    <w:rsid w:val="0057416F"/>
    <w:rsid w:val="005A3C8E"/>
    <w:rsid w:val="005B4F63"/>
    <w:rsid w:val="005C4CE3"/>
    <w:rsid w:val="005C5AF8"/>
    <w:rsid w:val="005C6FD8"/>
    <w:rsid w:val="005D015F"/>
    <w:rsid w:val="005E0B5D"/>
    <w:rsid w:val="006072F6"/>
    <w:rsid w:val="0061056A"/>
    <w:rsid w:val="00642E9D"/>
    <w:rsid w:val="00657433"/>
    <w:rsid w:val="00681328"/>
    <w:rsid w:val="00692E27"/>
    <w:rsid w:val="00696BD3"/>
    <w:rsid w:val="0069716F"/>
    <w:rsid w:val="0069781B"/>
    <w:rsid w:val="006A4662"/>
    <w:rsid w:val="006B27C2"/>
    <w:rsid w:val="006B535C"/>
    <w:rsid w:val="006B7447"/>
    <w:rsid w:val="006D25A4"/>
    <w:rsid w:val="006D4910"/>
    <w:rsid w:val="006E37EF"/>
    <w:rsid w:val="006E6534"/>
    <w:rsid w:val="00706472"/>
    <w:rsid w:val="00711B19"/>
    <w:rsid w:val="00723C6F"/>
    <w:rsid w:val="007474E8"/>
    <w:rsid w:val="007555F9"/>
    <w:rsid w:val="00762C25"/>
    <w:rsid w:val="007756A2"/>
    <w:rsid w:val="00792776"/>
    <w:rsid w:val="00797989"/>
    <w:rsid w:val="007A152C"/>
    <w:rsid w:val="007A704E"/>
    <w:rsid w:val="007B309A"/>
    <w:rsid w:val="007B7773"/>
    <w:rsid w:val="007C32E3"/>
    <w:rsid w:val="007C5B16"/>
    <w:rsid w:val="007D02E8"/>
    <w:rsid w:val="007D7309"/>
    <w:rsid w:val="007E0F07"/>
    <w:rsid w:val="007E5A62"/>
    <w:rsid w:val="007E7B1B"/>
    <w:rsid w:val="0081357D"/>
    <w:rsid w:val="00816BE2"/>
    <w:rsid w:val="00847DEB"/>
    <w:rsid w:val="00872701"/>
    <w:rsid w:val="00892AB4"/>
    <w:rsid w:val="008F0327"/>
    <w:rsid w:val="008F0777"/>
    <w:rsid w:val="009001B1"/>
    <w:rsid w:val="00904A5C"/>
    <w:rsid w:val="009113B6"/>
    <w:rsid w:val="00931682"/>
    <w:rsid w:val="009326CF"/>
    <w:rsid w:val="0093396C"/>
    <w:rsid w:val="009351BC"/>
    <w:rsid w:val="009559B7"/>
    <w:rsid w:val="009817F5"/>
    <w:rsid w:val="00990B0C"/>
    <w:rsid w:val="00996922"/>
    <w:rsid w:val="009A2532"/>
    <w:rsid w:val="009A71AF"/>
    <w:rsid w:val="009A7F3E"/>
    <w:rsid w:val="009B33E7"/>
    <w:rsid w:val="009B7AE0"/>
    <w:rsid w:val="009C04C6"/>
    <w:rsid w:val="009C4B75"/>
    <w:rsid w:val="009C7DCC"/>
    <w:rsid w:val="009D0448"/>
    <w:rsid w:val="009E082A"/>
    <w:rsid w:val="009E3967"/>
    <w:rsid w:val="009E5EF8"/>
    <w:rsid w:val="009E6A86"/>
    <w:rsid w:val="009E7031"/>
    <w:rsid w:val="009F1298"/>
    <w:rsid w:val="009F24D1"/>
    <w:rsid w:val="00A00C6C"/>
    <w:rsid w:val="00A22446"/>
    <w:rsid w:val="00A34974"/>
    <w:rsid w:val="00A353E5"/>
    <w:rsid w:val="00A412DE"/>
    <w:rsid w:val="00A523C5"/>
    <w:rsid w:val="00A671ED"/>
    <w:rsid w:val="00A7295E"/>
    <w:rsid w:val="00A81EDC"/>
    <w:rsid w:val="00A85A49"/>
    <w:rsid w:val="00A86675"/>
    <w:rsid w:val="00AC2D5A"/>
    <w:rsid w:val="00AD6463"/>
    <w:rsid w:val="00AE5C15"/>
    <w:rsid w:val="00AE67B6"/>
    <w:rsid w:val="00B06F7C"/>
    <w:rsid w:val="00B2123E"/>
    <w:rsid w:val="00B254A9"/>
    <w:rsid w:val="00B3344C"/>
    <w:rsid w:val="00B41634"/>
    <w:rsid w:val="00B60451"/>
    <w:rsid w:val="00B620ED"/>
    <w:rsid w:val="00B72E3C"/>
    <w:rsid w:val="00B86113"/>
    <w:rsid w:val="00BA5F02"/>
    <w:rsid w:val="00BA7D70"/>
    <w:rsid w:val="00BD2F22"/>
    <w:rsid w:val="00BD7C86"/>
    <w:rsid w:val="00BE0075"/>
    <w:rsid w:val="00BE6FE6"/>
    <w:rsid w:val="00BF35EA"/>
    <w:rsid w:val="00C0023B"/>
    <w:rsid w:val="00C213C6"/>
    <w:rsid w:val="00C22D73"/>
    <w:rsid w:val="00C318C9"/>
    <w:rsid w:val="00C35F08"/>
    <w:rsid w:val="00C55C4F"/>
    <w:rsid w:val="00C7076E"/>
    <w:rsid w:val="00C73A70"/>
    <w:rsid w:val="00C73E70"/>
    <w:rsid w:val="00C73F26"/>
    <w:rsid w:val="00C806C4"/>
    <w:rsid w:val="00C83694"/>
    <w:rsid w:val="00C94916"/>
    <w:rsid w:val="00CA2A84"/>
    <w:rsid w:val="00CC2D15"/>
    <w:rsid w:val="00CC4E4F"/>
    <w:rsid w:val="00CC59E0"/>
    <w:rsid w:val="00CD6EA7"/>
    <w:rsid w:val="00CE53A5"/>
    <w:rsid w:val="00D12226"/>
    <w:rsid w:val="00D331E6"/>
    <w:rsid w:val="00D41452"/>
    <w:rsid w:val="00D521DA"/>
    <w:rsid w:val="00D52744"/>
    <w:rsid w:val="00D6114F"/>
    <w:rsid w:val="00DA4B4E"/>
    <w:rsid w:val="00DD3FCF"/>
    <w:rsid w:val="00DE7EE5"/>
    <w:rsid w:val="00DF4C24"/>
    <w:rsid w:val="00E0325C"/>
    <w:rsid w:val="00E04588"/>
    <w:rsid w:val="00E04F85"/>
    <w:rsid w:val="00E10D20"/>
    <w:rsid w:val="00E17EA2"/>
    <w:rsid w:val="00E264D9"/>
    <w:rsid w:val="00E33273"/>
    <w:rsid w:val="00E36AAA"/>
    <w:rsid w:val="00E53951"/>
    <w:rsid w:val="00E67DC8"/>
    <w:rsid w:val="00E831B2"/>
    <w:rsid w:val="00E923D0"/>
    <w:rsid w:val="00E934FE"/>
    <w:rsid w:val="00E94711"/>
    <w:rsid w:val="00EC3D69"/>
    <w:rsid w:val="00EC52DD"/>
    <w:rsid w:val="00ED3F6C"/>
    <w:rsid w:val="00F0165D"/>
    <w:rsid w:val="00F0174A"/>
    <w:rsid w:val="00F077B1"/>
    <w:rsid w:val="00F112B1"/>
    <w:rsid w:val="00F159A4"/>
    <w:rsid w:val="00F45704"/>
    <w:rsid w:val="00F51260"/>
    <w:rsid w:val="00F66A82"/>
    <w:rsid w:val="00F818E9"/>
    <w:rsid w:val="00F93A16"/>
    <w:rsid w:val="00F978D4"/>
    <w:rsid w:val="00FA3C97"/>
    <w:rsid w:val="00FC67A4"/>
    <w:rsid w:val="00FF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EFCA"/>
  <w15:chartTrackingRefBased/>
  <w15:docId w15:val="{1D96150E-26E4-4A09-AE15-11C5A18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E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7AE0"/>
    <w:pPr>
      <w:keepNext/>
      <w:spacing w:line="360" w:lineRule="auto"/>
      <w:outlineLvl w:val="0"/>
    </w:pPr>
    <w:rPr>
      <w:rFonts w:ascii="Arial" w:hAnsi="Arial" w:cs="Arial"/>
      <w:b/>
      <w:bCs/>
      <w:sz w:val="28"/>
    </w:rPr>
  </w:style>
  <w:style w:type="paragraph" w:styleId="Heading3">
    <w:name w:val="heading 3"/>
    <w:basedOn w:val="Normal"/>
    <w:next w:val="Normal"/>
    <w:link w:val="Heading3Char"/>
    <w:semiHidden/>
    <w:unhideWhenUsed/>
    <w:qFormat/>
    <w:rsid w:val="009B7AE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AE0"/>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9B7AE0"/>
    <w:rPr>
      <w:rFonts w:ascii="Arial" w:eastAsia="Times New Roman" w:hAnsi="Arial" w:cs="Arial"/>
      <w:i/>
      <w:iCs/>
      <w:sz w:val="28"/>
      <w:szCs w:val="24"/>
      <w:lang w:val="en-GB"/>
    </w:rPr>
  </w:style>
  <w:style w:type="paragraph" w:styleId="NormalIndent">
    <w:name w:val="Normal Indent"/>
    <w:basedOn w:val="Normal"/>
    <w:uiPriority w:val="99"/>
    <w:semiHidden/>
    <w:unhideWhenUsed/>
    <w:rsid w:val="009B7AE0"/>
    <w:pPr>
      <w:spacing w:line="480" w:lineRule="auto"/>
      <w:ind w:left="720"/>
      <w:jc w:val="both"/>
    </w:pPr>
    <w:rPr>
      <w:sz w:val="28"/>
      <w:szCs w:val="28"/>
    </w:rPr>
  </w:style>
  <w:style w:type="paragraph" w:styleId="FootnoteText">
    <w:name w:val="footnote text"/>
    <w:basedOn w:val="Normal"/>
    <w:link w:val="FootnoteTextChar"/>
    <w:uiPriority w:val="99"/>
    <w:unhideWhenUsed/>
    <w:rsid w:val="009B7AE0"/>
    <w:rPr>
      <w:sz w:val="20"/>
      <w:szCs w:val="20"/>
    </w:rPr>
  </w:style>
  <w:style w:type="character" w:customStyle="1" w:styleId="FootnoteTextChar">
    <w:name w:val="Footnote Text Char"/>
    <w:basedOn w:val="DefaultParagraphFont"/>
    <w:link w:val="FootnoteText"/>
    <w:uiPriority w:val="99"/>
    <w:rsid w:val="009B7AE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B7AE0"/>
    <w:pPr>
      <w:ind w:left="720"/>
      <w:contextualSpacing/>
    </w:pPr>
  </w:style>
  <w:style w:type="character" w:styleId="FootnoteReference">
    <w:name w:val="footnote reference"/>
    <w:basedOn w:val="DefaultParagraphFont"/>
    <w:uiPriority w:val="99"/>
    <w:semiHidden/>
    <w:unhideWhenUsed/>
    <w:rsid w:val="009B7AE0"/>
    <w:rPr>
      <w:vertAlign w:val="superscript"/>
    </w:rPr>
  </w:style>
  <w:style w:type="paragraph" w:styleId="Header">
    <w:name w:val="header"/>
    <w:basedOn w:val="Normal"/>
    <w:link w:val="HeaderChar"/>
    <w:uiPriority w:val="99"/>
    <w:unhideWhenUsed/>
    <w:rsid w:val="00FF7B4A"/>
    <w:pPr>
      <w:tabs>
        <w:tab w:val="center" w:pos="4513"/>
        <w:tab w:val="right" w:pos="9026"/>
      </w:tabs>
    </w:pPr>
  </w:style>
  <w:style w:type="character" w:customStyle="1" w:styleId="HeaderChar">
    <w:name w:val="Header Char"/>
    <w:basedOn w:val="DefaultParagraphFont"/>
    <w:link w:val="Header"/>
    <w:uiPriority w:val="99"/>
    <w:rsid w:val="00FF7B4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7B4A"/>
    <w:pPr>
      <w:tabs>
        <w:tab w:val="center" w:pos="4513"/>
        <w:tab w:val="right" w:pos="9026"/>
      </w:tabs>
    </w:pPr>
  </w:style>
  <w:style w:type="character" w:customStyle="1" w:styleId="FooterChar">
    <w:name w:val="Footer Char"/>
    <w:basedOn w:val="DefaultParagraphFont"/>
    <w:link w:val="Footer"/>
    <w:uiPriority w:val="99"/>
    <w:rsid w:val="00FF7B4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8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91CCE"/>
    <w:rPr>
      <w:sz w:val="16"/>
      <w:szCs w:val="16"/>
    </w:rPr>
  </w:style>
  <w:style w:type="paragraph" w:styleId="CommentText">
    <w:name w:val="annotation text"/>
    <w:basedOn w:val="Normal"/>
    <w:link w:val="CommentTextChar"/>
    <w:uiPriority w:val="99"/>
    <w:semiHidden/>
    <w:unhideWhenUsed/>
    <w:rsid w:val="00491CCE"/>
    <w:rPr>
      <w:sz w:val="20"/>
      <w:szCs w:val="20"/>
    </w:rPr>
  </w:style>
  <w:style w:type="character" w:customStyle="1" w:styleId="CommentTextChar">
    <w:name w:val="Comment Text Char"/>
    <w:basedOn w:val="DefaultParagraphFont"/>
    <w:link w:val="CommentText"/>
    <w:uiPriority w:val="99"/>
    <w:semiHidden/>
    <w:rsid w:val="00491C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1CCE"/>
    <w:rPr>
      <w:b/>
      <w:bCs/>
    </w:rPr>
  </w:style>
  <w:style w:type="character" w:customStyle="1" w:styleId="CommentSubjectChar">
    <w:name w:val="Comment Subject Char"/>
    <w:basedOn w:val="CommentTextChar"/>
    <w:link w:val="CommentSubject"/>
    <w:uiPriority w:val="99"/>
    <w:semiHidden/>
    <w:rsid w:val="00491CCE"/>
    <w:rPr>
      <w:rFonts w:ascii="Times New Roman" w:eastAsia="Times New Roman" w:hAnsi="Times New Roman" w:cs="Times New Roman"/>
      <w:b/>
      <w:bCs/>
      <w:sz w:val="20"/>
      <w:szCs w:val="20"/>
      <w:lang w:val="en-GB"/>
    </w:rPr>
  </w:style>
  <w:style w:type="paragraph" w:styleId="Revision">
    <w:name w:val="Revision"/>
    <w:hidden/>
    <w:uiPriority w:val="99"/>
    <w:semiHidden/>
    <w:rsid w:val="007E0F0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EA1655-83FC-3D43-AF1B-49B8F6D13D6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3AC4-8D74-4987-B3A0-02E672EA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2443</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Mmakgotso Nganga</cp:lastModifiedBy>
  <cp:revision>2</cp:revision>
  <cp:lastPrinted>2023-12-12T07:26:00Z</cp:lastPrinted>
  <dcterms:created xsi:type="dcterms:W3CDTF">2024-03-04T13:15:00Z</dcterms:created>
  <dcterms:modified xsi:type="dcterms:W3CDTF">2024-03-04T13:15:00Z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documentId_8879</vt:lpwstr>
  </property>
  <property fmtid="{D5CDD505-2E9C-101B-9397-08002B2CF9AE}" pid="3" name="grammarly_documentContext">
    <vt:lpwstr>{"goals":[],"domain":"general","emotions":[],"dialect":"british"}</vt:lpwstr>
  </property>
</Properties>
</file>