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25" w:rsidRPr="00026BF4" w:rsidRDefault="00651D25" w:rsidP="00651D25">
      <w:pPr>
        <w:autoSpaceDE w:val="0"/>
        <w:autoSpaceDN w:val="0"/>
        <w:adjustRightInd w:val="0"/>
        <w:spacing w:after="0" w:line="360" w:lineRule="auto"/>
        <w:rPr>
          <w:rFonts w:ascii="Times New Roman" w:eastAsia="Times New Roman" w:hAnsi="Times New Roman" w:cs="Times New Roman"/>
          <w:color w:val="221E1F"/>
          <w:sz w:val="28"/>
          <w:szCs w:val="28"/>
          <w:lang w:val="en-US"/>
        </w:rPr>
      </w:pPr>
      <w:bookmarkStart w:id="0" w:name="_GoBack"/>
      <w:bookmarkEnd w:id="0"/>
      <w:r w:rsidRPr="00026BF4">
        <w:rPr>
          <w:noProof/>
          <w:lang w:eastAsia="en-ZA"/>
        </w:rPr>
        <w:drawing>
          <wp:anchor distT="0" distB="0" distL="114300" distR="114300" simplePos="0" relativeHeight="251659264" behindDoc="0" locked="0" layoutInCell="1" allowOverlap="1" wp14:anchorId="3F151990" wp14:editId="278272D2">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651D25" w:rsidRPr="00026BF4" w:rsidRDefault="00651D25" w:rsidP="00651D25">
      <w:pPr>
        <w:spacing w:after="0" w:line="360" w:lineRule="auto"/>
        <w:jc w:val="both"/>
        <w:rPr>
          <w:rFonts w:ascii="Times New Roman" w:eastAsia="Times New Roman" w:hAnsi="Times New Roman" w:cs="Times New Roman"/>
          <w:sz w:val="28"/>
          <w:szCs w:val="28"/>
          <w:lang w:val="en-US"/>
        </w:rPr>
      </w:pPr>
    </w:p>
    <w:p w:rsidR="00651D25" w:rsidRPr="00026BF4" w:rsidRDefault="00651D25" w:rsidP="00651D25">
      <w:pPr>
        <w:spacing w:after="0" w:line="360" w:lineRule="auto"/>
        <w:jc w:val="both"/>
        <w:rPr>
          <w:rFonts w:ascii="Times New Roman" w:eastAsia="Times New Roman" w:hAnsi="Times New Roman" w:cs="Times New Roman"/>
          <w:sz w:val="28"/>
          <w:szCs w:val="28"/>
          <w:lang w:val="en-US"/>
        </w:rPr>
      </w:pPr>
    </w:p>
    <w:p w:rsidR="00651D25" w:rsidRPr="00026BF4" w:rsidRDefault="00651D25" w:rsidP="00651D25">
      <w:pPr>
        <w:spacing w:after="0" w:line="240" w:lineRule="auto"/>
        <w:jc w:val="both"/>
        <w:rPr>
          <w:rFonts w:ascii="Times New Roman" w:eastAsia="Times New Roman" w:hAnsi="Times New Roman" w:cs="Times New Roman"/>
          <w:sz w:val="28"/>
          <w:szCs w:val="28"/>
          <w:lang w:val="en-US"/>
        </w:rPr>
      </w:pPr>
    </w:p>
    <w:p w:rsidR="00651D25" w:rsidRPr="00FA3A1A" w:rsidRDefault="00651D25" w:rsidP="00651D25">
      <w:pPr>
        <w:autoSpaceDE w:val="0"/>
        <w:autoSpaceDN w:val="0"/>
        <w:adjustRightInd w:val="0"/>
        <w:spacing w:after="0" w:line="360" w:lineRule="auto"/>
        <w:jc w:val="center"/>
        <w:rPr>
          <w:rFonts w:ascii="Times New Roman" w:eastAsia="Times New Roman" w:hAnsi="Times New Roman" w:cs="Times New Roman"/>
          <w:b/>
          <w:bCs/>
          <w:color w:val="000000"/>
          <w:sz w:val="28"/>
          <w:szCs w:val="28"/>
          <w:lang w:val="en-US"/>
        </w:rPr>
      </w:pPr>
      <w:r w:rsidRPr="00026BF4">
        <w:rPr>
          <w:rFonts w:ascii="Times New Roman" w:eastAsia="Times New Roman" w:hAnsi="Times New Roman" w:cs="Times New Roman"/>
          <w:b/>
          <w:bCs/>
          <w:sz w:val="28"/>
          <w:szCs w:val="28"/>
          <w:lang w:val="en-US"/>
        </w:rPr>
        <w:t xml:space="preserve">     </w:t>
      </w:r>
      <w:r w:rsidRPr="00FA3A1A">
        <w:rPr>
          <w:rFonts w:ascii="Times New Roman" w:eastAsia="Times New Roman" w:hAnsi="Times New Roman" w:cs="Times New Roman"/>
          <w:b/>
          <w:bCs/>
          <w:sz w:val="28"/>
          <w:szCs w:val="28"/>
          <w:lang w:val="en-US"/>
        </w:rPr>
        <w:t>THE SUPREME COURT OF APPEAL OF SOUTH AFRICA</w:t>
      </w:r>
    </w:p>
    <w:p w:rsidR="00651D25" w:rsidRPr="00FA3A1A" w:rsidRDefault="00651D25" w:rsidP="00651D25">
      <w:pPr>
        <w:spacing w:after="0" w:line="360" w:lineRule="auto"/>
        <w:jc w:val="center"/>
        <w:rPr>
          <w:rFonts w:ascii="Times New Roman" w:eastAsia="Times New Roman" w:hAnsi="Times New Roman" w:cs="Times New Roman"/>
          <w:b/>
          <w:bCs/>
          <w:sz w:val="28"/>
          <w:szCs w:val="28"/>
          <w:lang w:val="en-GB" w:eastAsia="en-GB"/>
        </w:rPr>
      </w:pPr>
      <w:r w:rsidRPr="00FA3A1A">
        <w:rPr>
          <w:rFonts w:ascii="Times New Roman" w:eastAsia="Times New Roman" w:hAnsi="Times New Roman" w:cs="Times New Roman"/>
          <w:b/>
          <w:bCs/>
          <w:sz w:val="28"/>
          <w:szCs w:val="28"/>
          <w:lang w:val="en-GB" w:eastAsia="en-GB"/>
        </w:rPr>
        <w:t>JUDGMENT</w:t>
      </w:r>
    </w:p>
    <w:p w:rsidR="00651D25" w:rsidRPr="00FA3A1A" w:rsidRDefault="00651D25" w:rsidP="00651D25">
      <w:pPr>
        <w:spacing w:after="120" w:line="240" w:lineRule="auto"/>
        <w:jc w:val="right"/>
        <w:rPr>
          <w:rFonts w:ascii="Times New Roman" w:eastAsia="Times New Roman" w:hAnsi="Times New Roman" w:cs="Times New Roman"/>
          <w:b/>
          <w:bCs/>
          <w:sz w:val="28"/>
          <w:szCs w:val="28"/>
        </w:rPr>
      </w:pPr>
      <w:r w:rsidRPr="00FA3A1A">
        <w:rPr>
          <w:rFonts w:ascii="Times New Roman" w:eastAsia="Times New Roman" w:hAnsi="Times New Roman" w:cs="Times New Roman"/>
          <w:b/>
          <w:sz w:val="28"/>
          <w:szCs w:val="28"/>
          <w:lang w:eastAsia="en-GB"/>
        </w:rPr>
        <w:t xml:space="preserve"> </w:t>
      </w:r>
      <w:r w:rsidRPr="00211FC4">
        <w:rPr>
          <w:rFonts w:ascii="Times New Roman" w:eastAsia="Times New Roman" w:hAnsi="Times New Roman" w:cs="Times New Roman"/>
          <w:b/>
          <w:sz w:val="28"/>
          <w:szCs w:val="28"/>
          <w:lang w:eastAsia="en-GB"/>
        </w:rPr>
        <w:t>Not Reportable</w:t>
      </w:r>
    </w:p>
    <w:p w:rsidR="00651D25" w:rsidRPr="00FA3A1A" w:rsidRDefault="007E2A2B" w:rsidP="00651D25">
      <w:pPr>
        <w:spacing w:after="0" w:line="240" w:lineRule="auto"/>
        <w:jc w:val="right"/>
        <w:rPr>
          <w:rFonts w:ascii="Times New Roman" w:eastAsia="Times New Roman" w:hAnsi="Times New Roman" w:cs="Times New Roman"/>
          <w:sz w:val="28"/>
          <w:szCs w:val="28"/>
          <w:lang w:eastAsia="en-GB"/>
        </w:rPr>
      </w:pPr>
      <w:r w:rsidRPr="00FA3A1A">
        <w:rPr>
          <w:rFonts w:ascii="Times New Roman" w:eastAsia="Times New Roman" w:hAnsi="Times New Roman" w:cs="Times New Roman"/>
          <w:sz w:val="28"/>
          <w:szCs w:val="28"/>
          <w:lang w:val="en-GB" w:eastAsia="en-GB"/>
        </w:rPr>
        <w:t xml:space="preserve">Case No: </w:t>
      </w:r>
      <w:r w:rsidR="00AC1F66">
        <w:rPr>
          <w:rFonts w:ascii="Times New Roman" w:eastAsia="Times New Roman" w:hAnsi="Times New Roman" w:cs="Times New Roman"/>
          <w:sz w:val="28"/>
          <w:szCs w:val="28"/>
          <w:lang w:val="en-GB" w:eastAsia="en-GB"/>
        </w:rPr>
        <w:t>1062</w:t>
      </w:r>
      <w:r w:rsidR="00552BA8" w:rsidRPr="00FA3A1A">
        <w:rPr>
          <w:rFonts w:ascii="Times New Roman" w:eastAsia="Times New Roman" w:hAnsi="Times New Roman" w:cs="Times New Roman"/>
          <w:sz w:val="28"/>
          <w:szCs w:val="28"/>
          <w:lang w:val="en-GB" w:eastAsia="en-GB"/>
        </w:rPr>
        <w:t>/202</w:t>
      </w:r>
      <w:r w:rsidR="00AC1F66">
        <w:rPr>
          <w:rFonts w:ascii="Times New Roman" w:eastAsia="Times New Roman" w:hAnsi="Times New Roman" w:cs="Times New Roman"/>
          <w:sz w:val="28"/>
          <w:szCs w:val="28"/>
          <w:lang w:val="en-GB" w:eastAsia="en-GB"/>
        </w:rPr>
        <w:t>2</w:t>
      </w:r>
    </w:p>
    <w:p w:rsidR="00651D25" w:rsidRPr="00FA3A1A" w:rsidRDefault="00651D25" w:rsidP="00651D25">
      <w:pPr>
        <w:spacing w:after="0" w:line="240" w:lineRule="auto"/>
        <w:jc w:val="right"/>
        <w:rPr>
          <w:rFonts w:ascii="Times New Roman" w:eastAsia="Times New Roman" w:hAnsi="Times New Roman" w:cs="Times New Roman"/>
          <w:sz w:val="28"/>
          <w:szCs w:val="28"/>
          <w:lang w:val="en-GB" w:eastAsia="en-GB"/>
        </w:rPr>
      </w:pPr>
    </w:p>
    <w:p w:rsidR="00651D25" w:rsidRPr="00FA3A1A" w:rsidRDefault="00651D25" w:rsidP="00651D25">
      <w:pPr>
        <w:spacing w:after="0" w:line="240" w:lineRule="auto"/>
        <w:jc w:val="both"/>
        <w:rPr>
          <w:rFonts w:ascii="Times New Roman" w:eastAsia="Times New Roman" w:hAnsi="Times New Roman" w:cs="Times New Roman"/>
          <w:sz w:val="16"/>
          <w:szCs w:val="16"/>
          <w:lang w:val="en-GB" w:eastAsia="en-GB"/>
        </w:rPr>
      </w:pPr>
    </w:p>
    <w:p w:rsidR="00CD2EB5" w:rsidRPr="00FA3A1A" w:rsidRDefault="00651D25" w:rsidP="001A70FC">
      <w:pPr>
        <w:spacing w:after="120" w:line="240" w:lineRule="auto"/>
        <w:jc w:val="both"/>
        <w:rPr>
          <w:rFonts w:ascii="Times New Roman" w:eastAsia="Times New Roman" w:hAnsi="Times New Roman" w:cs="Times New Roman"/>
          <w:sz w:val="28"/>
          <w:szCs w:val="28"/>
          <w:lang w:val="en-GB" w:eastAsia="en-GB"/>
        </w:rPr>
      </w:pPr>
      <w:r w:rsidRPr="00FA3A1A">
        <w:rPr>
          <w:rFonts w:ascii="Times New Roman" w:eastAsia="Times New Roman" w:hAnsi="Times New Roman" w:cs="Times New Roman"/>
          <w:sz w:val="28"/>
          <w:szCs w:val="28"/>
          <w:lang w:val="en-GB" w:eastAsia="en-GB"/>
        </w:rPr>
        <w:t>In the matter between:</w:t>
      </w:r>
    </w:p>
    <w:p w:rsidR="00BD390B" w:rsidRPr="00FA3A1A" w:rsidRDefault="00AC1F66" w:rsidP="008522D8">
      <w:pPr>
        <w:tabs>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eastAsia="en-GB"/>
        </w:rPr>
        <w:t>QUEEN SIBONGILE WINNIFRED ZULU</w:t>
      </w:r>
      <w:r w:rsidR="00651D25" w:rsidRPr="00FA3A1A">
        <w:rPr>
          <w:rFonts w:ascii="Times New Roman" w:eastAsia="Times New Roman" w:hAnsi="Times New Roman" w:cs="Times New Roman"/>
          <w:b/>
          <w:sz w:val="28"/>
          <w:szCs w:val="28"/>
          <w:lang w:eastAsia="en-GB"/>
        </w:rPr>
        <w:t xml:space="preserve"> </w:t>
      </w:r>
      <w:r w:rsidR="00552BA8" w:rsidRPr="00FA3A1A">
        <w:rPr>
          <w:rFonts w:ascii="Times New Roman" w:eastAsia="Times New Roman" w:hAnsi="Times New Roman" w:cs="Times New Roman"/>
          <w:b/>
          <w:sz w:val="28"/>
          <w:szCs w:val="28"/>
          <w:lang w:eastAsia="en-GB"/>
        </w:rPr>
        <w:t xml:space="preserve">  </w:t>
      </w:r>
      <w:r w:rsidR="00552BA8" w:rsidRPr="00FA3A1A">
        <w:rPr>
          <w:rFonts w:ascii="Times New Roman" w:eastAsia="Times New Roman" w:hAnsi="Times New Roman" w:cs="Times New Roman"/>
          <w:b/>
          <w:sz w:val="28"/>
          <w:szCs w:val="28"/>
          <w:lang w:eastAsia="en-GB"/>
        </w:rPr>
        <w:tab/>
      </w:r>
      <w:r w:rsidR="009C2A40" w:rsidRPr="00FA3A1A">
        <w:rPr>
          <w:rFonts w:ascii="Times New Roman" w:eastAsia="Times New Roman" w:hAnsi="Times New Roman" w:cs="Times New Roman"/>
          <w:b/>
          <w:sz w:val="28"/>
          <w:szCs w:val="28"/>
          <w:lang w:eastAsia="en-GB"/>
        </w:rPr>
        <w:t>AP</w:t>
      </w:r>
      <w:r w:rsidR="009C2A40">
        <w:rPr>
          <w:rFonts w:ascii="Times New Roman" w:eastAsia="Times New Roman" w:hAnsi="Times New Roman" w:cs="Times New Roman"/>
          <w:b/>
          <w:sz w:val="28"/>
          <w:szCs w:val="28"/>
          <w:lang w:eastAsia="en-GB"/>
        </w:rPr>
        <w:t>P</w:t>
      </w:r>
      <w:r w:rsidR="0042094B">
        <w:rPr>
          <w:rFonts w:ascii="Times New Roman" w:eastAsia="Times New Roman" w:hAnsi="Times New Roman" w:cs="Times New Roman"/>
          <w:b/>
          <w:sz w:val="28"/>
          <w:szCs w:val="28"/>
          <w:lang w:eastAsia="en-GB"/>
        </w:rPr>
        <w:t>ELLA</w:t>
      </w:r>
      <w:r w:rsidR="009C2A40" w:rsidRPr="00FA3A1A">
        <w:rPr>
          <w:rFonts w:ascii="Times New Roman" w:eastAsia="Times New Roman" w:hAnsi="Times New Roman" w:cs="Times New Roman"/>
          <w:b/>
          <w:sz w:val="28"/>
          <w:szCs w:val="28"/>
          <w:lang w:eastAsia="en-GB"/>
        </w:rPr>
        <w:t>NT</w:t>
      </w:r>
    </w:p>
    <w:p w:rsidR="00A940AD" w:rsidRDefault="002129F6" w:rsidP="001A70FC">
      <w:pPr>
        <w:tabs>
          <w:tab w:val="right" w:pos="9498"/>
        </w:tabs>
        <w:spacing w:before="160" w:line="240" w:lineRule="auto"/>
        <w:jc w:val="both"/>
        <w:rPr>
          <w:rFonts w:ascii="Times New Roman" w:eastAsia="Times New Roman" w:hAnsi="Times New Roman" w:cs="Times New Roman"/>
          <w:bCs/>
          <w:sz w:val="28"/>
          <w:szCs w:val="28"/>
          <w:lang w:val="en-GB" w:eastAsia="en-GB"/>
        </w:rPr>
      </w:pPr>
      <w:r w:rsidRPr="00FA3A1A">
        <w:rPr>
          <w:rFonts w:ascii="Times New Roman" w:eastAsia="Times New Roman" w:hAnsi="Times New Roman" w:cs="Times New Roman"/>
          <w:bCs/>
          <w:sz w:val="28"/>
          <w:szCs w:val="28"/>
          <w:lang w:val="en-GB" w:eastAsia="en-GB"/>
        </w:rPr>
        <w:t>a</w:t>
      </w:r>
      <w:r w:rsidR="00651D25" w:rsidRPr="00FA3A1A">
        <w:rPr>
          <w:rFonts w:ascii="Times New Roman" w:eastAsia="Times New Roman" w:hAnsi="Times New Roman" w:cs="Times New Roman"/>
          <w:bCs/>
          <w:sz w:val="28"/>
          <w:szCs w:val="28"/>
          <w:lang w:val="en-GB" w:eastAsia="en-GB"/>
        </w:rPr>
        <w:t>nd</w:t>
      </w:r>
    </w:p>
    <w:p w:rsidR="00211FC4" w:rsidRDefault="00AC1F66"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bookmarkStart w:id="1" w:name="_Hlk151375855"/>
      <w:r>
        <w:rPr>
          <w:rFonts w:ascii="Times New Roman" w:eastAsia="Times New Roman" w:hAnsi="Times New Roman" w:cs="Times New Roman"/>
          <w:b/>
          <w:bCs/>
          <w:sz w:val="28"/>
          <w:szCs w:val="28"/>
          <w:lang w:val="en-GB" w:eastAsia="en-GB"/>
        </w:rPr>
        <w:t>QUEEN BUHLE MATHE</w:t>
      </w:r>
      <w:r>
        <w:rPr>
          <w:rFonts w:ascii="Times New Roman" w:eastAsia="Times New Roman" w:hAnsi="Times New Roman" w:cs="Times New Roman"/>
          <w:b/>
          <w:bCs/>
          <w:sz w:val="28"/>
          <w:szCs w:val="28"/>
          <w:lang w:val="en-GB" w:eastAsia="en-GB"/>
        </w:rPr>
        <w:tab/>
      </w:r>
      <w:r w:rsidR="00A940AD">
        <w:rPr>
          <w:rFonts w:ascii="Times New Roman" w:eastAsia="Times New Roman" w:hAnsi="Times New Roman" w:cs="Times New Roman"/>
          <w:b/>
          <w:bCs/>
          <w:sz w:val="28"/>
          <w:szCs w:val="28"/>
          <w:lang w:val="en-GB" w:eastAsia="en-GB"/>
        </w:rPr>
        <w:t xml:space="preserve">                          </w:t>
      </w:r>
      <w:r w:rsidR="005C135E">
        <w:rPr>
          <w:rFonts w:ascii="Times New Roman" w:eastAsia="Times New Roman" w:hAnsi="Times New Roman" w:cs="Times New Roman"/>
          <w:b/>
          <w:bCs/>
          <w:sz w:val="28"/>
          <w:szCs w:val="28"/>
          <w:lang w:val="en-GB" w:eastAsia="en-GB"/>
        </w:rPr>
        <w:t xml:space="preserve"> </w:t>
      </w:r>
      <w:r w:rsidR="00A940AD" w:rsidRPr="00A940AD">
        <w:rPr>
          <w:rFonts w:ascii="Times New Roman" w:eastAsia="Times New Roman" w:hAnsi="Times New Roman" w:cs="Times New Roman"/>
          <w:b/>
          <w:bCs/>
          <w:sz w:val="28"/>
          <w:szCs w:val="28"/>
          <w:lang w:val="en-GB" w:eastAsia="en-GB"/>
        </w:rPr>
        <w:t>FIRST RESPONDENT</w:t>
      </w:r>
    </w:p>
    <w:p w:rsidR="00AC1F66" w:rsidRDefault="00AC1F66"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EXECUTOR OF THE ESTATE OF</w:t>
      </w:r>
      <w:r w:rsidR="00211FC4" w:rsidRPr="00211FC4">
        <w:rPr>
          <w:rFonts w:ascii="Times New Roman" w:eastAsia="Times New Roman" w:hAnsi="Times New Roman" w:cs="Times New Roman"/>
          <w:b/>
          <w:sz w:val="28"/>
          <w:szCs w:val="28"/>
          <w:lang w:val="en-GB" w:eastAsia="en-GB"/>
        </w:rPr>
        <w:t xml:space="preserve"> </w:t>
      </w:r>
      <w:r w:rsidR="00211FC4">
        <w:rPr>
          <w:rFonts w:ascii="Times New Roman" w:eastAsia="Times New Roman" w:hAnsi="Times New Roman" w:cs="Times New Roman"/>
          <w:b/>
          <w:sz w:val="28"/>
          <w:szCs w:val="28"/>
          <w:lang w:val="en-GB" w:eastAsia="en-GB"/>
        </w:rPr>
        <w:tab/>
      </w:r>
      <w:r w:rsidR="00211FC4" w:rsidRPr="00211FC4">
        <w:rPr>
          <w:rFonts w:ascii="Times New Roman" w:eastAsia="Times New Roman" w:hAnsi="Times New Roman" w:cs="Times New Roman"/>
          <w:b/>
          <w:sz w:val="28"/>
          <w:szCs w:val="28"/>
          <w:lang w:eastAsia="en-GB"/>
        </w:rPr>
        <w:t xml:space="preserve"> </w:t>
      </w:r>
    </w:p>
    <w:p w:rsidR="00AC1F66" w:rsidRDefault="00AC1F66"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LATE QUEEN SHIYIWE MANTFOMBI</w:t>
      </w:r>
    </w:p>
    <w:p w:rsidR="007E2A2B" w:rsidRPr="00983F0D" w:rsidRDefault="00AC1F66" w:rsidP="00D85FD2">
      <w:pPr>
        <w:tabs>
          <w:tab w:val="left" w:pos="720"/>
        </w:tabs>
        <w:spacing w:after="0" w:line="360" w:lineRule="auto"/>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val="en-GB" w:eastAsia="en-GB"/>
        </w:rPr>
        <w:t>D</w:t>
      </w:r>
      <w:r w:rsidR="006F02A6">
        <w:rPr>
          <w:rFonts w:ascii="Times New Roman" w:eastAsia="Times New Roman" w:hAnsi="Times New Roman" w:cs="Times New Roman"/>
          <w:b/>
          <w:sz w:val="28"/>
          <w:szCs w:val="28"/>
          <w:lang w:val="en-GB" w:eastAsia="en-GB"/>
        </w:rPr>
        <w:t>L</w:t>
      </w:r>
      <w:r>
        <w:rPr>
          <w:rFonts w:ascii="Times New Roman" w:eastAsia="Times New Roman" w:hAnsi="Times New Roman" w:cs="Times New Roman"/>
          <w:b/>
          <w:sz w:val="28"/>
          <w:szCs w:val="28"/>
          <w:lang w:val="en-GB" w:eastAsia="en-GB"/>
        </w:rPr>
        <w:t>AMINI</w:t>
      </w:r>
      <w:r w:rsidR="00276E22">
        <w:rPr>
          <w:rFonts w:ascii="Times New Roman" w:eastAsia="Times New Roman" w:hAnsi="Times New Roman" w:cs="Times New Roman"/>
          <w:b/>
          <w:sz w:val="28"/>
          <w:szCs w:val="28"/>
          <w:lang w:val="en-GB" w:eastAsia="en-GB"/>
        </w:rPr>
        <w:tab/>
      </w:r>
      <w:r w:rsidR="008522D8">
        <w:rPr>
          <w:rFonts w:ascii="Times New Roman" w:eastAsia="Times New Roman" w:hAnsi="Times New Roman" w:cs="Times New Roman"/>
          <w:b/>
          <w:sz w:val="28"/>
          <w:szCs w:val="28"/>
          <w:lang w:val="en-GB" w:eastAsia="en-GB"/>
        </w:rPr>
        <w:tab/>
      </w:r>
      <w:r w:rsidR="00983F0D">
        <w:rPr>
          <w:rFonts w:ascii="Times New Roman" w:eastAsia="Times New Roman" w:hAnsi="Times New Roman" w:cs="Times New Roman"/>
          <w:b/>
          <w:sz w:val="28"/>
          <w:szCs w:val="28"/>
          <w:lang w:val="en-GB" w:eastAsia="en-GB"/>
        </w:rPr>
        <w:tab/>
      </w:r>
      <w:r w:rsidR="00983F0D">
        <w:rPr>
          <w:rFonts w:ascii="Times New Roman" w:eastAsia="Times New Roman" w:hAnsi="Times New Roman" w:cs="Times New Roman"/>
          <w:b/>
          <w:sz w:val="28"/>
          <w:szCs w:val="28"/>
          <w:lang w:val="en-GB" w:eastAsia="en-GB"/>
        </w:rPr>
        <w:tab/>
      </w:r>
      <w:r w:rsidR="00983F0D">
        <w:rPr>
          <w:rFonts w:ascii="Times New Roman" w:eastAsia="Times New Roman" w:hAnsi="Times New Roman" w:cs="Times New Roman"/>
          <w:b/>
          <w:sz w:val="28"/>
          <w:szCs w:val="28"/>
          <w:lang w:val="en-GB" w:eastAsia="en-GB"/>
        </w:rPr>
        <w:tab/>
      </w:r>
      <w:r w:rsidR="00983F0D">
        <w:rPr>
          <w:rFonts w:ascii="Times New Roman" w:eastAsia="Times New Roman" w:hAnsi="Times New Roman" w:cs="Times New Roman"/>
          <w:b/>
          <w:sz w:val="28"/>
          <w:szCs w:val="28"/>
          <w:lang w:val="en-GB" w:eastAsia="en-GB"/>
        </w:rPr>
        <w:tab/>
      </w:r>
      <w:r w:rsidR="00983F0D">
        <w:rPr>
          <w:rFonts w:ascii="Times New Roman" w:eastAsia="Times New Roman" w:hAnsi="Times New Roman" w:cs="Times New Roman"/>
          <w:b/>
          <w:sz w:val="28"/>
          <w:szCs w:val="28"/>
          <w:lang w:val="en-GB" w:eastAsia="en-GB"/>
        </w:rPr>
        <w:tab/>
        <w:t xml:space="preserve">        </w:t>
      </w:r>
      <w:r w:rsidR="00983F0D" w:rsidRPr="00983F0D">
        <w:rPr>
          <w:rFonts w:ascii="Times New Roman" w:eastAsia="Times New Roman" w:hAnsi="Times New Roman" w:cs="Times New Roman"/>
          <w:b/>
          <w:sz w:val="28"/>
          <w:szCs w:val="28"/>
          <w:lang w:val="en-GB" w:eastAsia="en-GB"/>
        </w:rPr>
        <w:t xml:space="preserve">SECOND RESPONDENT </w:t>
      </w:r>
      <w:r w:rsidR="00983F0D" w:rsidRPr="00983F0D">
        <w:rPr>
          <w:rFonts w:ascii="Times New Roman" w:eastAsia="Times New Roman" w:hAnsi="Times New Roman" w:cs="Times New Roman"/>
          <w:b/>
          <w:sz w:val="28"/>
          <w:szCs w:val="28"/>
          <w:lang w:eastAsia="en-GB"/>
        </w:rPr>
        <w:t xml:space="preserve"> </w:t>
      </w:r>
    </w:p>
    <w:p w:rsidR="00A544CD" w:rsidRPr="00FA3A1A" w:rsidRDefault="00781D33"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QUEEN THANDEKILE JANE NDLOVU</w:t>
      </w:r>
      <w:r w:rsidR="002732C3">
        <w:rPr>
          <w:rFonts w:ascii="Times New Roman" w:eastAsia="Times New Roman" w:hAnsi="Times New Roman" w:cs="Times New Roman"/>
          <w:b/>
          <w:sz w:val="28"/>
          <w:szCs w:val="28"/>
          <w:lang w:val="en-GB" w:eastAsia="en-GB"/>
        </w:rPr>
        <w:tab/>
      </w:r>
      <w:r w:rsidR="007E2A2B" w:rsidRPr="00FA3A1A">
        <w:rPr>
          <w:rFonts w:ascii="Times New Roman" w:eastAsia="Times New Roman" w:hAnsi="Times New Roman" w:cs="Times New Roman"/>
          <w:b/>
          <w:sz w:val="28"/>
          <w:szCs w:val="28"/>
          <w:lang w:val="en-GB" w:eastAsia="en-GB"/>
        </w:rPr>
        <w:t>THIRD RESPONDENT</w:t>
      </w:r>
    </w:p>
    <w:p w:rsidR="00A544CD" w:rsidRDefault="00781D33"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QUEEN NOMPUMELELO MCHIZA</w:t>
      </w:r>
      <w:r w:rsidR="007E2A2B" w:rsidRPr="00FA3A1A">
        <w:rPr>
          <w:rFonts w:ascii="Times New Roman" w:eastAsia="Times New Roman" w:hAnsi="Times New Roman" w:cs="Times New Roman"/>
          <w:b/>
          <w:sz w:val="28"/>
          <w:szCs w:val="28"/>
          <w:lang w:val="en-GB" w:eastAsia="en-GB"/>
        </w:rPr>
        <w:t xml:space="preserve"> </w:t>
      </w:r>
      <w:r w:rsidR="002732C3">
        <w:rPr>
          <w:rFonts w:ascii="Times New Roman" w:eastAsia="Times New Roman" w:hAnsi="Times New Roman" w:cs="Times New Roman"/>
          <w:b/>
          <w:sz w:val="28"/>
          <w:szCs w:val="28"/>
          <w:lang w:val="en-GB" w:eastAsia="en-GB"/>
        </w:rPr>
        <w:tab/>
      </w:r>
      <w:r w:rsidR="007E2A2B" w:rsidRPr="00FA3A1A">
        <w:rPr>
          <w:rFonts w:ascii="Times New Roman" w:eastAsia="Times New Roman" w:hAnsi="Times New Roman" w:cs="Times New Roman"/>
          <w:b/>
          <w:sz w:val="28"/>
          <w:szCs w:val="28"/>
          <w:lang w:val="en-GB" w:eastAsia="en-GB"/>
        </w:rPr>
        <w:t xml:space="preserve">                FOURTH RESPONDENT</w:t>
      </w:r>
      <w:bookmarkEnd w:id="1"/>
    </w:p>
    <w:p w:rsidR="00A544CD" w:rsidRPr="00AC1F66" w:rsidRDefault="00781D33"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QUEEN ZOLA ZELUSIWE MAFU</w:t>
      </w:r>
      <w:r w:rsidR="00AC1F66" w:rsidRPr="00AC1F66">
        <w:rPr>
          <w:rFonts w:ascii="Times New Roman" w:eastAsia="Times New Roman" w:hAnsi="Times New Roman" w:cs="Times New Roman"/>
          <w:b/>
          <w:sz w:val="28"/>
          <w:szCs w:val="28"/>
          <w:lang w:val="en-GB" w:eastAsia="en-GB"/>
        </w:rPr>
        <w:tab/>
        <w:t xml:space="preserve">                          FI</w:t>
      </w:r>
      <w:r w:rsidR="00AC1F66">
        <w:rPr>
          <w:rFonts w:ascii="Times New Roman" w:eastAsia="Times New Roman" w:hAnsi="Times New Roman" w:cs="Times New Roman"/>
          <w:b/>
          <w:sz w:val="28"/>
          <w:szCs w:val="28"/>
          <w:lang w:val="en-GB" w:eastAsia="en-GB"/>
        </w:rPr>
        <w:t>FTH</w:t>
      </w:r>
      <w:r w:rsidR="00AC1F66" w:rsidRPr="00AC1F66">
        <w:rPr>
          <w:rFonts w:ascii="Times New Roman" w:eastAsia="Times New Roman" w:hAnsi="Times New Roman" w:cs="Times New Roman"/>
          <w:b/>
          <w:sz w:val="28"/>
          <w:szCs w:val="28"/>
          <w:lang w:val="en-GB" w:eastAsia="en-GB"/>
        </w:rPr>
        <w:t xml:space="preserve"> RESPONDENT</w:t>
      </w:r>
    </w:p>
    <w:p w:rsidR="00AC1F66" w:rsidRPr="00AC1F66" w:rsidRDefault="00781D33"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PRINCESS THEMBI NDLOVU</w:t>
      </w:r>
      <w:r w:rsidR="00AC1F66" w:rsidRPr="00AC1F66">
        <w:rPr>
          <w:rFonts w:ascii="Times New Roman" w:eastAsia="Times New Roman" w:hAnsi="Times New Roman" w:cs="Times New Roman"/>
          <w:b/>
          <w:sz w:val="28"/>
          <w:szCs w:val="28"/>
          <w:lang w:val="en-GB" w:eastAsia="en-GB"/>
        </w:rPr>
        <w:tab/>
      </w:r>
      <w:r w:rsidR="00276E22">
        <w:rPr>
          <w:rFonts w:ascii="Times New Roman" w:eastAsia="Times New Roman" w:hAnsi="Times New Roman" w:cs="Times New Roman"/>
          <w:b/>
          <w:sz w:val="28"/>
          <w:szCs w:val="28"/>
          <w:lang w:val="en-GB" w:eastAsia="en-GB"/>
        </w:rPr>
        <w:t xml:space="preserve"> </w:t>
      </w:r>
      <w:r w:rsidR="00AC1F66" w:rsidRPr="00AC1F66">
        <w:rPr>
          <w:rFonts w:ascii="Times New Roman" w:eastAsia="Times New Roman" w:hAnsi="Times New Roman" w:cs="Times New Roman"/>
          <w:b/>
          <w:sz w:val="28"/>
          <w:szCs w:val="28"/>
          <w:lang w:val="en-GB" w:eastAsia="en-GB"/>
        </w:rPr>
        <w:t>S</w:t>
      </w:r>
      <w:r w:rsidR="00AC1F66">
        <w:rPr>
          <w:rFonts w:ascii="Times New Roman" w:eastAsia="Times New Roman" w:hAnsi="Times New Roman" w:cs="Times New Roman"/>
          <w:b/>
          <w:sz w:val="28"/>
          <w:szCs w:val="28"/>
          <w:lang w:val="en-GB" w:eastAsia="en-GB"/>
        </w:rPr>
        <w:t>IXTH</w:t>
      </w:r>
      <w:r w:rsidR="00AC1F66" w:rsidRPr="00AC1F66">
        <w:rPr>
          <w:rFonts w:ascii="Times New Roman" w:eastAsia="Times New Roman" w:hAnsi="Times New Roman" w:cs="Times New Roman"/>
          <w:b/>
          <w:sz w:val="28"/>
          <w:szCs w:val="28"/>
          <w:lang w:val="en-GB" w:eastAsia="en-GB"/>
        </w:rPr>
        <w:t xml:space="preserve"> RESPONDENT </w:t>
      </w:r>
      <w:r w:rsidR="00983F0D">
        <w:rPr>
          <w:rFonts w:ascii="Times New Roman" w:eastAsia="Times New Roman" w:hAnsi="Times New Roman" w:cs="Times New Roman"/>
          <w:b/>
          <w:sz w:val="28"/>
          <w:szCs w:val="28"/>
          <w:lang w:val="en-GB" w:eastAsia="en-GB"/>
        </w:rPr>
        <w:t xml:space="preserve">    </w:t>
      </w:r>
      <w:r w:rsidR="00AC1F66" w:rsidRPr="00AC1F66">
        <w:rPr>
          <w:rFonts w:ascii="Times New Roman" w:eastAsia="Times New Roman" w:hAnsi="Times New Roman" w:cs="Times New Roman"/>
          <w:b/>
          <w:sz w:val="28"/>
          <w:szCs w:val="28"/>
          <w:lang w:val="en-GB" w:eastAsia="en-GB"/>
        </w:rPr>
        <w:t xml:space="preserve">                                        </w:t>
      </w:r>
    </w:p>
    <w:p w:rsidR="00A544CD" w:rsidRPr="00AC1F66" w:rsidRDefault="00781D33"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PRINCE MBONISI ZULU</w:t>
      </w:r>
      <w:r w:rsidR="00AC1F66" w:rsidRPr="00AC1F66">
        <w:rPr>
          <w:rFonts w:ascii="Times New Roman" w:eastAsia="Times New Roman" w:hAnsi="Times New Roman" w:cs="Times New Roman"/>
          <w:b/>
          <w:sz w:val="28"/>
          <w:szCs w:val="28"/>
          <w:lang w:val="en-GB" w:eastAsia="en-GB"/>
        </w:rPr>
        <w:tab/>
      </w:r>
      <w:r w:rsidR="00AC1F66">
        <w:rPr>
          <w:rFonts w:ascii="Times New Roman" w:eastAsia="Times New Roman" w:hAnsi="Times New Roman" w:cs="Times New Roman"/>
          <w:b/>
          <w:sz w:val="28"/>
          <w:szCs w:val="28"/>
          <w:lang w:val="en-GB" w:eastAsia="en-GB"/>
        </w:rPr>
        <w:t>SEVENTH</w:t>
      </w:r>
      <w:r w:rsidR="00AC1F66" w:rsidRPr="00AC1F66">
        <w:rPr>
          <w:rFonts w:ascii="Times New Roman" w:eastAsia="Times New Roman" w:hAnsi="Times New Roman" w:cs="Times New Roman"/>
          <w:b/>
          <w:sz w:val="28"/>
          <w:szCs w:val="28"/>
          <w:lang w:val="en-GB" w:eastAsia="en-GB"/>
        </w:rPr>
        <w:t xml:space="preserve"> RESPONDENT</w:t>
      </w:r>
    </w:p>
    <w:p w:rsidR="00A544CD" w:rsidRDefault="00781D33"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PRINCE THULANI ZULU</w:t>
      </w:r>
      <w:r w:rsidR="00AC1F66" w:rsidRPr="00AC1F66">
        <w:rPr>
          <w:rFonts w:ascii="Times New Roman" w:eastAsia="Times New Roman" w:hAnsi="Times New Roman" w:cs="Times New Roman"/>
          <w:b/>
          <w:sz w:val="28"/>
          <w:szCs w:val="28"/>
          <w:lang w:val="en-GB" w:eastAsia="en-GB"/>
        </w:rPr>
        <w:t xml:space="preserve">   </w:t>
      </w:r>
      <w:r w:rsidR="00AC1F66" w:rsidRPr="00AC1F66">
        <w:rPr>
          <w:rFonts w:ascii="Times New Roman" w:eastAsia="Times New Roman" w:hAnsi="Times New Roman" w:cs="Times New Roman"/>
          <w:b/>
          <w:sz w:val="28"/>
          <w:szCs w:val="28"/>
          <w:lang w:val="en-GB" w:eastAsia="en-GB"/>
        </w:rPr>
        <w:tab/>
        <w:t xml:space="preserve">                              </w:t>
      </w:r>
      <w:r w:rsidR="00AC1F66">
        <w:rPr>
          <w:rFonts w:ascii="Times New Roman" w:eastAsia="Times New Roman" w:hAnsi="Times New Roman" w:cs="Times New Roman"/>
          <w:b/>
          <w:sz w:val="28"/>
          <w:szCs w:val="28"/>
          <w:lang w:val="en-GB" w:eastAsia="en-GB"/>
        </w:rPr>
        <w:t>EIGHTH</w:t>
      </w:r>
      <w:r w:rsidR="00AC1F66" w:rsidRPr="00AC1F66">
        <w:rPr>
          <w:rFonts w:ascii="Times New Roman" w:eastAsia="Times New Roman" w:hAnsi="Times New Roman" w:cs="Times New Roman"/>
          <w:b/>
          <w:sz w:val="28"/>
          <w:szCs w:val="28"/>
          <w:lang w:val="en-GB" w:eastAsia="en-GB"/>
        </w:rPr>
        <w:t xml:space="preserve"> RESPONDENT</w:t>
      </w:r>
    </w:p>
    <w:p w:rsidR="00211FC4" w:rsidRDefault="00781D33"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PRINCESS LINDI ZULU</w:t>
      </w:r>
      <w:r w:rsidR="00AC1F66" w:rsidRPr="00AC1F66">
        <w:rPr>
          <w:rFonts w:ascii="Times New Roman" w:eastAsia="Times New Roman" w:hAnsi="Times New Roman" w:cs="Times New Roman"/>
          <w:b/>
          <w:sz w:val="28"/>
          <w:szCs w:val="28"/>
          <w:lang w:val="en-GB" w:eastAsia="en-GB"/>
        </w:rPr>
        <w:tab/>
        <w:t xml:space="preserve">                          </w:t>
      </w:r>
      <w:r w:rsidR="00AC1F66">
        <w:rPr>
          <w:rFonts w:ascii="Times New Roman" w:eastAsia="Times New Roman" w:hAnsi="Times New Roman" w:cs="Times New Roman"/>
          <w:b/>
          <w:sz w:val="28"/>
          <w:szCs w:val="28"/>
          <w:lang w:val="en-GB" w:eastAsia="en-GB"/>
        </w:rPr>
        <w:t>NINETH</w:t>
      </w:r>
      <w:r w:rsidR="00AC1F66" w:rsidRPr="00AC1F66">
        <w:rPr>
          <w:rFonts w:ascii="Times New Roman" w:eastAsia="Times New Roman" w:hAnsi="Times New Roman" w:cs="Times New Roman"/>
          <w:b/>
          <w:sz w:val="28"/>
          <w:szCs w:val="28"/>
          <w:lang w:val="en-GB" w:eastAsia="en-GB"/>
        </w:rPr>
        <w:t xml:space="preserve"> RESPONDENT</w:t>
      </w:r>
    </w:p>
    <w:p w:rsidR="00AC1F66" w:rsidRPr="00AC1F66" w:rsidRDefault="00781D33"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PRINCE VULINDLELA ZULU</w:t>
      </w:r>
      <w:r w:rsidR="00AC1F66" w:rsidRPr="00AC1F66">
        <w:rPr>
          <w:rFonts w:ascii="Times New Roman" w:eastAsia="Times New Roman" w:hAnsi="Times New Roman" w:cs="Times New Roman"/>
          <w:b/>
          <w:sz w:val="28"/>
          <w:szCs w:val="28"/>
          <w:lang w:val="en-GB" w:eastAsia="en-GB"/>
        </w:rPr>
        <w:tab/>
      </w:r>
      <w:r w:rsidR="00AC1F66">
        <w:rPr>
          <w:rFonts w:ascii="Times New Roman" w:eastAsia="Times New Roman" w:hAnsi="Times New Roman" w:cs="Times New Roman"/>
          <w:b/>
          <w:sz w:val="28"/>
          <w:szCs w:val="28"/>
          <w:lang w:val="en-GB" w:eastAsia="en-GB"/>
        </w:rPr>
        <w:t>TENTH</w:t>
      </w:r>
      <w:r w:rsidR="00983F0D">
        <w:rPr>
          <w:rFonts w:ascii="Times New Roman" w:eastAsia="Times New Roman" w:hAnsi="Times New Roman" w:cs="Times New Roman"/>
          <w:b/>
          <w:sz w:val="28"/>
          <w:szCs w:val="28"/>
          <w:lang w:val="en-GB" w:eastAsia="en-GB"/>
        </w:rPr>
        <w:t xml:space="preserve"> RESPONDENT</w:t>
      </w:r>
      <w:r w:rsidR="00AC1F66" w:rsidRPr="00AC1F66">
        <w:rPr>
          <w:rFonts w:ascii="Times New Roman" w:eastAsia="Times New Roman" w:hAnsi="Times New Roman" w:cs="Times New Roman"/>
          <w:b/>
          <w:sz w:val="28"/>
          <w:szCs w:val="28"/>
          <w:lang w:val="en-GB" w:eastAsia="en-GB"/>
        </w:rPr>
        <w:t xml:space="preserve">                                        </w:t>
      </w:r>
    </w:p>
    <w:p w:rsidR="00A544CD" w:rsidRPr="00AC1F66" w:rsidRDefault="00781D33"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PRINCE MXOLISI ZULU</w:t>
      </w:r>
      <w:r w:rsidR="00AC1F66" w:rsidRPr="00AC1F66">
        <w:rPr>
          <w:rFonts w:ascii="Times New Roman" w:eastAsia="Times New Roman" w:hAnsi="Times New Roman" w:cs="Times New Roman"/>
          <w:b/>
          <w:sz w:val="28"/>
          <w:szCs w:val="28"/>
          <w:lang w:val="en-GB" w:eastAsia="en-GB"/>
        </w:rPr>
        <w:tab/>
      </w:r>
      <w:r w:rsidR="00AC1F66">
        <w:rPr>
          <w:rFonts w:ascii="Times New Roman" w:eastAsia="Times New Roman" w:hAnsi="Times New Roman" w:cs="Times New Roman"/>
          <w:b/>
          <w:sz w:val="28"/>
          <w:szCs w:val="28"/>
          <w:lang w:val="en-GB" w:eastAsia="en-GB"/>
        </w:rPr>
        <w:t>ELEVENTH</w:t>
      </w:r>
      <w:r w:rsidR="00AC1F66" w:rsidRPr="00AC1F66">
        <w:rPr>
          <w:rFonts w:ascii="Times New Roman" w:eastAsia="Times New Roman" w:hAnsi="Times New Roman" w:cs="Times New Roman"/>
          <w:b/>
          <w:sz w:val="28"/>
          <w:szCs w:val="28"/>
          <w:lang w:val="en-GB" w:eastAsia="en-GB"/>
        </w:rPr>
        <w:t xml:space="preserve"> RESPONDENT</w:t>
      </w:r>
    </w:p>
    <w:p w:rsidR="00A544CD" w:rsidRDefault="00781D33"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PRINCE MATHUBA ZULU</w:t>
      </w:r>
      <w:r w:rsidR="00AC1F66" w:rsidRPr="00AC1F66">
        <w:rPr>
          <w:rFonts w:ascii="Times New Roman" w:eastAsia="Times New Roman" w:hAnsi="Times New Roman" w:cs="Times New Roman"/>
          <w:b/>
          <w:sz w:val="28"/>
          <w:szCs w:val="28"/>
          <w:lang w:val="en-GB" w:eastAsia="en-GB"/>
        </w:rPr>
        <w:t xml:space="preserve">   </w:t>
      </w:r>
      <w:r w:rsidR="00AC1F66" w:rsidRPr="00AC1F66">
        <w:rPr>
          <w:rFonts w:ascii="Times New Roman" w:eastAsia="Times New Roman" w:hAnsi="Times New Roman" w:cs="Times New Roman"/>
          <w:b/>
          <w:sz w:val="28"/>
          <w:szCs w:val="28"/>
          <w:lang w:val="en-GB" w:eastAsia="en-GB"/>
        </w:rPr>
        <w:tab/>
        <w:t xml:space="preserve">                           </w:t>
      </w:r>
      <w:r w:rsidR="00AC1F66">
        <w:rPr>
          <w:rFonts w:ascii="Times New Roman" w:eastAsia="Times New Roman" w:hAnsi="Times New Roman" w:cs="Times New Roman"/>
          <w:b/>
          <w:sz w:val="28"/>
          <w:szCs w:val="28"/>
          <w:lang w:val="en-GB" w:eastAsia="en-GB"/>
        </w:rPr>
        <w:t xml:space="preserve">TWELFTH </w:t>
      </w:r>
      <w:r w:rsidR="00AC1F66" w:rsidRPr="00AC1F66">
        <w:rPr>
          <w:rFonts w:ascii="Times New Roman" w:eastAsia="Times New Roman" w:hAnsi="Times New Roman" w:cs="Times New Roman"/>
          <w:b/>
          <w:sz w:val="28"/>
          <w:szCs w:val="28"/>
          <w:lang w:val="en-GB" w:eastAsia="en-GB"/>
        </w:rPr>
        <w:t>RESPONDENT</w:t>
      </w:r>
    </w:p>
    <w:p w:rsidR="00211FC4" w:rsidRDefault="00AC1F66"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AC1F66">
        <w:rPr>
          <w:rFonts w:ascii="Times New Roman" w:eastAsia="Times New Roman" w:hAnsi="Times New Roman" w:cs="Times New Roman"/>
          <w:b/>
          <w:sz w:val="28"/>
          <w:szCs w:val="28"/>
          <w:lang w:val="en-GB" w:eastAsia="en-GB"/>
        </w:rPr>
        <w:t xml:space="preserve">QUEEN </w:t>
      </w:r>
      <w:r w:rsidR="00781D33">
        <w:rPr>
          <w:rFonts w:ascii="Times New Roman" w:eastAsia="Times New Roman" w:hAnsi="Times New Roman" w:cs="Times New Roman"/>
          <w:b/>
          <w:sz w:val="28"/>
          <w:szCs w:val="28"/>
          <w:lang w:val="en-GB" w:eastAsia="en-GB"/>
        </w:rPr>
        <w:t>MAVIS ZUNGU</w:t>
      </w:r>
      <w:r w:rsidRPr="00AC1F66">
        <w:rPr>
          <w:rFonts w:ascii="Times New Roman" w:eastAsia="Times New Roman" w:hAnsi="Times New Roman" w:cs="Times New Roman"/>
          <w:b/>
          <w:sz w:val="28"/>
          <w:szCs w:val="28"/>
          <w:lang w:val="en-GB" w:eastAsia="en-GB"/>
        </w:rPr>
        <w:t xml:space="preserve">                        </w:t>
      </w:r>
      <w:r w:rsidR="00781D33">
        <w:rPr>
          <w:rFonts w:ascii="Times New Roman" w:eastAsia="Times New Roman" w:hAnsi="Times New Roman" w:cs="Times New Roman"/>
          <w:b/>
          <w:sz w:val="28"/>
          <w:szCs w:val="28"/>
          <w:lang w:val="en-GB" w:eastAsia="en-GB"/>
        </w:rPr>
        <w:t xml:space="preserve">    </w:t>
      </w:r>
      <w:r w:rsidRPr="00AC1F66">
        <w:rPr>
          <w:rFonts w:ascii="Times New Roman" w:eastAsia="Times New Roman" w:hAnsi="Times New Roman" w:cs="Times New Roman"/>
          <w:b/>
          <w:sz w:val="28"/>
          <w:szCs w:val="28"/>
          <w:lang w:val="en-GB" w:eastAsia="en-GB"/>
        </w:rPr>
        <w:t xml:space="preserve"> </w:t>
      </w:r>
      <w:r w:rsidR="00276E22">
        <w:rPr>
          <w:rFonts w:ascii="Times New Roman" w:eastAsia="Times New Roman" w:hAnsi="Times New Roman" w:cs="Times New Roman"/>
          <w:b/>
          <w:sz w:val="28"/>
          <w:szCs w:val="28"/>
          <w:lang w:val="en-GB" w:eastAsia="en-GB"/>
        </w:rPr>
        <w:t xml:space="preserve">       </w:t>
      </w:r>
      <w:r>
        <w:rPr>
          <w:rFonts w:ascii="Times New Roman" w:eastAsia="Times New Roman" w:hAnsi="Times New Roman" w:cs="Times New Roman"/>
          <w:b/>
          <w:sz w:val="28"/>
          <w:szCs w:val="28"/>
          <w:lang w:val="en-GB" w:eastAsia="en-GB"/>
        </w:rPr>
        <w:t>THIRTEENTH</w:t>
      </w:r>
      <w:r w:rsidRPr="00AC1F66">
        <w:rPr>
          <w:rFonts w:ascii="Times New Roman" w:eastAsia="Times New Roman" w:hAnsi="Times New Roman" w:cs="Times New Roman"/>
          <w:b/>
          <w:sz w:val="28"/>
          <w:szCs w:val="28"/>
          <w:lang w:val="en-GB" w:eastAsia="en-GB"/>
        </w:rPr>
        <w:t xml:space="preserve"> RESPONDEN</w:t>
      </w:r>
      <w:r w:rsidR="000F57EC">
        <w:rPr>
          <w:rFonts w:ascii="Times New Roman" w:eastAsia="Times New Roman" w:hAnsi="Times New Roman" w:cs="Times New Roman"/>
          <w:b/>
          <w:sz w:val="28"/>
          <w:szCs w:val="28"/>
          <w:lang w:val="en-GB" w:eastAsia="en-GB"/>
        </w:rPr>
        <w:t>T</w:t>
      </w:r>
    </w:p>
    <w:p w:rsidR="00781D33" w:rsidRPr="00211FC4" w:rsidRDefault="00781D33" w:rsidP="00211FC4">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OTHER </w:t>
      </w:r>
      <w:r w:rsidR="005C135E">
        <w:rPr>
          <w:rFonts w:ascii="Times New Roman" w:eastAsia="Times New Roman" w:hAnsi="Times New Roman" w:cs="Times New Roman"/>
          <w:b/>
          <w:sz w:val="28"/>
          <w:szCs w:val="28"/>
          <w:lang w:val="en-GB" w:eastAsia="en-GB"/>
        </w:rPr>
        <w:t>P</w:t>
      </w:r>
      <w:r>
        <w:rPr>
          <w:rFonts w:ascii="Times New Roman" w:eastAsia="Times New Roman" w:hAnsi="Times New Roman" w:cs="Times New Roman"/>
          <w:b/>
          <w:sz w:val="28"/>
          <w:szCs w:val="28"/>
          <w:lang w:val="en-GB" w:eastAsia="en-GB"/>
        </w:rPr>
        <w:t>ERSONS WHO MAY BE</w:t>
      </w:r>
      <w:r w:rsidR="00211FC4" w:rsidRPr="00211FC4">
        <w:rPr>
          <w:rFonts w:ascii="Times New Roman" w:eastAsia="Times New Roman" w:hAnsi="Times New Roman" w:cs="Times New Roman"/>
          <w:b/>
          <w:sz w:val="28"/>
          <w:szCs w:val="28"/>
          <w:lang w:val="en-GB" w:eastAsia="en-GB"/>
        </w:rPr>
        <w:t xml:space="preserve"> </w:t>
      </w:r>
      <w:r w:rsidR="00211FC4">
        <w:rPr>
          <w:rFonts w:ascii="Times New Roman" w:eastAsia="Times New Roman" w:hAnsi="Times New Roman" w:cs="Times New Roman"/>
          <w:b/>
          <w:sz w:val="28"/>
          <w:szCs w:val="28"/>
          <w:lang w:val="en-GB" w:eastAsia="en-GB"/>
        </w:rPr>
        <w:tab/>
      </w:r>
    </w:p>
    <w:p w:rsidR="00AC1F66" w:rsidRPr="00AC1F66" w:rsidRDefault="00781D33" w:rsidP="00C2757D">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MEMBERS OF </w:t>
      </w:r>
      <w:r w:rsidRPr="00781D33">
        <w:rPr>
          <w:rFonts w:ascii="Times New Roman" w:eastAsia="Times New Roman" w:hAnsi="Times New Roman" w:cs="Times New Roman"/>
          <w:b/>
          <w:i/>
          <w:iCs/>
          <w:sz w:val="28"/>
          <w:szCs w:val="28"/>
          <w:lang w:val="en-GB" w:eastAsia="en-GB"/>
        </w:rPr>
        <w:t>UM</w:t>
      </w:r>
      <w:r w:rsidR="00983F0D">
        <w:rPr>
          <w:rFonts w:ascii="Times New Roman" w:eastAsia="Times New Roman" w:hAnsi="Times New Roman" w:cs="Times New Roman"/>
          <w:b/>
          <w:i/>
          <w:iCs/>
          <w:sz w:val="28"/>
          <w:szCs w:val="28"/>
          <w:lang w:val="en-GB" w:eastAsia="en-GB"/>
        </w:rPr>
        <w:t>N</w:t>
      </w:r>
      <w:r w:rsidRPr="00781D33">
        <w:rPr>
          <w:rFonts w:ascii="Times New Roman" w:eastAsia="Times New Roman" w:hAnsi="Times New Roman" w:cs="Times New Roman"/>
          <w:b/>
          <w:i/>
          <w:iCs/>
          <w:sz w:val="28"/>
          <w:szCs w:val="28"/>
          <w:lang w:val="en-GB" w:eastAsia="en-GB"/>
        </w:rPr>
        <w:t>DENI WESILO</w:t>
      </w:r>
      <w:r w:rsidR="00983F0D" w:rsidRPr="00983F0D">
        <w:rPr>
          <w:rFonts w:ascii="Times New Roman" w:eastAsia="Times New Roman" w:hAnsi="Times New Roman" w:cs="Times New Roman"/>
          <w:b/>
          <w:sz w:val="28"/>
          <w:szCs w:val="28"/>
          <w:lang w:val="en-GB" w:eastAsia="en-GB"/>
        </w:rPr>
        <w:t xml:space="preserve"> </w:t>
      </w:r>
      <w:r w:rsidR="00C2757D">
        <w:rPr>
          <w:rFonts w:ascii="Times New Roman" w:eastAsia="Times New Roman" w:hAnsi="Times New Roman" w:cs="Times New Roman"/>
          <w:b/>
          <w:sz w:val="28"/>
          <w:szCs w:val="28"/>
          <w:lang w:val="en-GB" w:eastAsia="en-GB"/>
        </w:rPr>
        <w:t xml:space="preserve">              </w:t>
      </w:r>
      <w:r w:rsidR="00983F0D" w:rsidRPr="00983F0D">
        <w:rPr>
          <w:rFonts w:ascii="Times New Roman" w:eastAsia="Times New Roman" w:hAnsi="Times New Roman" w:cs="Times New Roman"/>
          <w:b/>
          <w:iCs/>
          <w:sz w:val="28"/>
          <w:szCs w:val="28"/>
          <w:lang w:val="en-GB" w:eastAsia="en-GB"/>
        </w:rPr>
        <w:t>FOURTEENTH</w:t>
      </w:r>
      <w:r w:rsidR="00983F0D" w:rsidRPr="00983F0D">
        <w:rPr>
          <w:rFonts w:ascii="Times New Roman" w:eastAsia="Times New Roman" w:hAnsi="Times New Roman" w:cs="Times New Roman"/>
          <w:b/>
          <w:i/>
          <w:iCs/>
          <w:sz w:val="28"/>
          <w:szCs w:val="28"/>
          <w:lang w:val="en-GB" w:eastAsia="en-GB"/>
        </w:rPr>
        <w:t xml:space="preserve"> </w:t>
      </w:r>
      <w:r w:rsidR="00C2757D">
        <w:rPr>
          <w:rFonts w:ascii="Times New Roman" w:eastAsia="Times New Roman" w:hAnsi="Times New Roman" w:cs="Times New Roman"/>
          <w:b/>
          <w:iCs/>
          <w:sz w:val="28"/>
          <w:szCs w:val="28"/>
          <w:lang w:val="en-GB" w:eastAsia="en-GB"/>
        </w:rPr>
        <w:t>RESPONDENT</w:t>
      </w:r>
      <w:r w:rsidR="00AC1F66" w:rsidRPr="00AC1F66">
        <w:rPr>
          <w:rFonts w:ascii="Times New Roman" w:eastAsia="Times New Roman" w:hAnsi="Times New Roman" w:cs="Times New Roman"/>
          <w:b/>
          <w:sz w:val="28"/>
          <w:szCs w:val="28"/>
          <w:lang w:val="en-GB" w:eastAsia="en-GB"/>
        </w:rPr>
        <w:t xml:space="preserve">                                         </w:t>
      </w:r>
    </w:p>
    <w:p w:rsidR="00A544CD" w:rsidRPr="00B02D50" w:rsidRDefault="00781D33"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B02D50">
        <w:rPr>
          <w:rFonts w:ascii="Times New Roman" w:eastAsia="Times New Roman" w:hAnsi="Times New Roman" w:cs="Times New Roman"/>
          <w:b/>
          <w:sz w:val="28"/>
          <w:szCs w:val="28"/>
          <w:lang w:val="en-GB" w:eastAsia="en-GB"/>
        </w:rPr>
        <w:t xml:space="preserve">MEMBERS OF THE ROYAL FAMILY       </w:t>
      </w:r>
      <w:r w:rsidR="00276E22" w:rsidRPr="00B02D50">
        <w:rPr>
          <w:rFonts w:ascii="Times New Roman" w:eastAsia="Times New Roman" w:hAnsi="Times New Roman" w:cs="Times New Roman"/>
          <w:b/>
          <w:sz w:val="28"/>
          <w:szCs w:val="28"/>
          <w:lang w:val="en-GB" w:eastAsia="en-GB"/>
        </w:rPr>
        <w:t xml:space="preserve">        </w:t>
      </w:r>
      <w:r w:rsidR="00AC1F66" w:rsidRPr="00B02D50">
        <w:rPr>
          <w:rFonts w:ascii="Times New Roman" w:eastAsia="Times New Roman" w:hAnsi="Times New Roman" w:cs="Times New Roman"/>
          <w:b/>
          <w:sz w:val="28"/>
          <w:szCs w:val="28"/>
          <w:lang w:val="en-GB" w:eastAsia="en-GB"/>
        </w:rPr>
        <w:t>FIFTEENTH RESPONDENT</w:t>
      </w:r>
    </w:p>
    <w:p w:rsidR="00A544CD" w:rsidRPr="00B02D50" w:rsidRDefault="00781D33"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B02D50">
        <w:rPr>
          <w:rFonts w:ascii="Times New Roman" w:eastAsia="Times New Roman" w:hAnsi="Times New Roman" w:cs="Times New Roman"/>
          <w:b/>
          <w:sz w:val="28"/>
          <w:szCs w:val="28"/>
          <w:lang w:val="en-GB" w:eastAsia="en-GB"/>
        </w:rPr>
        <w:lastRenderedPageBreak/>
        <w:t>SIPHO JEROME NGWENYA</w:t>
      </w:r>
      <w:r w:rsidR="00AC1F66" w:rsidRPr="00B02D50">
        <w:rPr>
          <w:rFonts w:ascii="Times New Roman" w:eastAsia="Times New Roman" w:hAnsi="Times New Roman" w:cs="Times New Roman"/>
          <w:b/>
          <w:sz w:val="28"/>
          <w:szCs w:val="28"/>
          <w:lang w:val="en-GB" w:eastAsia="en-GB"/>
        </w:rPr>
        <w:t xml:space="preserve">   </w:t>
      </w:r>
      <w:r w:rsidR="00AC1F66" w:rsidRPr="00B02D50">
        <w:rPr>
          <w:rFonts w:ascii="Times New Roman" w:eastAsia="Times New Roman" w:hAnsi="Times New Roman" w:cs="Times New Roman"/>
          <w:b/>
          <w:sz w:val="28"/>
          <w:szCs w:val="28"/>
          <w:lang w:val="en-GB" w:eastAsia="en-GB"/>
        </w:rPr>
        <w:tab/>
        <w:t xml:space="preserve">                SIXTEENTH RESPONDENT</w:t>
      </w:r>
    </w:p>
    <w:p w:rsidR="00A544CD" w:rsidRPr="00B02D50" w:rsidRDefault="00781D33"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B02D50">
        <w:rPr>
          <w:rFonts w:ascii="Times New Roman" w:eastAsia="Times New Roman" w:hAnsi="Times New Roman" w:cs="Times New Roman"/>
          <w:b/>
          <w:sz w:val="28"/>
          <w:szCs w:val="28"/>
          <w:lang w:val="en-GB" w:eastAsia="en-GB"/>
        </w:rPr>
        <w:t>PREMIER OF KWAZULU-NATAL</w:t>
      </w:r>
      <w:r w:rsidR="00AC1F66" w:rsidRPr="00B02D50">
        <w:rPr>
          <w:rFonts w:ascii="Times New Roman" w:eastAsia="Times New Roman" w:hAnsi="Times New Roman" w:cs="Times New Roman"/>
          <w:b/>
          <w:sz w:val="28"/>
          <w:szCs w:val="28"/>
          <w:lang w:val="en-GB" w:eastAsia="en-GB"/>
        </w:rPr>
        <w:t xml:space="preserve"> </w:t>
      </w:r>
      <w:r w:rsidRPr="00B02D50">
        <w:rPr>
          <w:rFonts w:ascii="Times New Roman" w:eastAsia="Times New Roman" w:hAnsi="Times New Roman" w:cs="Times New Roman"/>
          <w:b/>
          <w:sz w:val="28"/>
          <w:szCs w:val="28"/>
          <w:lang w:val="en-GB" w:eastAsia="en-GB"/>
        </w:rPr>
        <w:tab/>
        <w:t>SEVENTEENTH RESPONDENT</w:t>
      </w:r>
    </w:p>
    <w:p w:rsidR="00211FC4" w:rsidRPr="00211FC4" w:rsidRDefault="005C135E" w:rsidP="00211FC4">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B02D50">
        <w:rPr>
          <w:rFonts w:ascii="Times New Roman" w:eastAsia="Times New Roman" w:hAnsi="Times New Roman" w:cs="Times New Roman"/>
          <w:b/>
          <w:sz w:val="28"/>
          <w:szCs w:val="28"/>
          <w:lang w:val="en-GB" w:eastAsia="en-GB"/>
        </w:rPr>
        <w:t>PRESIDENT OF THE REPUBLIC</w:t>
      </w:r>
      <w:r w:rsidR="00211FC4" w:rsidRPr="00211FC4">
        <w:rPr>
          <w:rFonts w:ascii="Times New Roman" w:eastAsia="Times New Roman" w:hAnsi="Times New Roman" w:cs="Times New Roman"/>
          <w:b/>
          <w:sz w:val="28"/>
          <w:szCs w:val="28"/>
          <w:lang w:val="en-GB" w:eastAsia="en-GB"/>
        </w:rPr>
        <w:t xml:space="preserve"> </w:t>
      </w:r>
      <w:r w:rsidR="00211FC4">
        <w:rPr>
          <w:rFonts w:ascii="Times New Roman" w:eastAsia="Times New Roman" w:hAnsi="Times New Roman" w:cs="Times New Roman"/>
          <w:b/>
          <w:sz w:val="28"/>
          <w:szCs w:val="28"/>
          <w:lang w:val="en-GB" w:eastAsia="en-GB"/>
        </w:rPr>
        <w:tab/>
      </w:r>
      <w:r w:rsidR="00211FC4" w:rsidRPr="00211FC4">
        <w:rPr>
          <w:rFonts w:ascii="Times New Roman" w:eastAsia="Times New Roman" w:hAnsi="Times New Roman" w:cs="Times New Roman"/>
          <w:b/>
          <w:sz w:val="28"/>
          <w:szCs w:val="28"/>
          <w:lang w:val="en-GB" w:eastAsia="en-GB"/>
        </w:rPr>
        <w:t xml:space="preserve"> </w:t>
      </w:r>
    </w:p>
    <w:p w:rsidR="00211FC4" w:rsidRDefault="005C135E"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B02D50">
        <w:rPr>
          <w:rFonts w:ascii="Times New Roman" w:eastAsia="Times New Roman" w:hAnsi="Times New Roman" w:cs="Times New Roman"/>
          <w:b/>
          <w:sz w:val="28"/>
          <w:szCs w:val="28"/>
          <w:lang w:val="en-GB" w:eastAsia="en-GB"/>
        </w:rPr>
        <w:t>OF SOUTH AFRICA</w:t>
      </w:r>
      <w:r w:rsidR="00983F0D" w:rsidRPr="00983F0D">
        <w:rPr>
          <w:rFonts w:ascii="Times New Roman" w:eastAsia="Times New Roman" w:hAnsi="Times New Roman" w:cs="Times New Roman"/>
          <w:b/>
          <w:sz w:val="28"/>
          <w:szCs w:val="28"/>
          <w:lang w:val="en-GB" w:eastAsia="en-GB"/>
        </w:rPr>
        <w:t xml:space="preserve"> </w:t>
      </w:r>
      <w:r w:rsidR="00983F0D">
        <w:rPr>
          <w:rFonts w:ascii="Times New Roman" w:eastAsia="Times New Roman" w:hAnsi="Times New Roman" w:cs="Times New Roman"/>
          <w:b/>
          <w:sz w:val="28"/>
          <w:szCs w:val="28"/>
          <w:lang w:val="en-GB" w:eastAsia="en-GB"/>
        </w:rPr>
        <w:tab/>
        <w:t>EIGHTEENTH</w:t>
      </w:r>
      <w:r w:rsidR="00983F0D" w:rsidRPr="00983F0D">
        <w:rPr>
          <w:rFonts w:ascii="Times New Roman" w:eastAsia="Times New Roman" w:hAnsi="Times New Roman" w:cs="Times New Roman"/>
          <w:b/>
          <w:sz w:val="28"/>
          <w:szCs w:val="28"/>
          <w:lang w:val="en-GB" w:eastAsia="en-GB"/>
        </w:rPr>
        <w:t>RESPONDENT</w:t>
      </w:r>
      <w:r w:rsidR="008522D8" w:rsidRPr="00B02D50">
        <w:rPr>
          <w:rFonts w:ascii="Times New Roman" w:eastAsia="Times New Roman" w:hAnsi="Times New Roman" w:cs="Times New Roman"/>
          <w:b/>
          <w:sz w:val="28"/>
          <w:szCs w:val="28"/>
          <w:lang w:val="en-GB" w:eastAsia="en-GB"/>
        </w:rPr>
        <w:t xml:space="preserve">        </w:t>
      </w:r>
      <w:r w:rsidR="00AC1F66" w:rsidRPr="00B02D50">
        <w:rPr>
          <w:rFonts w:ascii="Times New Roman" w:eastAsia="Times New Roman" w:hAnsi="Times New Roman" w:cs="Times New Roman"/>
          <w:b/>
          <w:sz w:val="28"/>
          <w:szCs w:val="28"/>
          <w:lang w:val="en-GB" w:eastAsia="en-GB"/>
        </w:rPr>
        <w:t xml:space="preserve">                                             </w:t>
      </w:r>
    </w:p>
    <w:p w:rsidR="00A544CD" w:rsidRPr="00B02D50" w:rsidRDefault="009F1C2C" w:rsidP="00C2757D">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B02D50">
        <w:rPr>
          <w:rFonts w:ascii="Times New Roman" w:eastAsia="Times New Roman" w:hAnsi="Times New Roman" w:cs="Times New Roman"/>
          <w:b/>
          <w:sz w:val="28"/>
          <w:szCs w:val="28"/>
          <w:lang w:val="en-GB" w:eastAsia="en-GB"/>
        </w:rPr>
        <w:t xml:space="preserve">THE </w:t>
      </w:r>
      <w:r w:rsidR="005C135E" w:rsidRPr="00B02D50">
        <w:rPr>
          <w:rFonts w:ascii="Times New Roman" w:eastAsia="Times New Roman" w:hAnsi="Times New Roman" w:cs="Times New Roman"/>
          <w:b/>
          <w:sz w:val="28"/>
          <w:szCs w:val="28"/>
          <w:lang w:val="en-GB" w:eastAsia="en-GB"/>
        </w:rPr>
        <w:t>MASTER OF THE HIGH COURT</w:t>
      </w:r>
      <w:r w:rsidR="00AC1F66" w:rsidRPr="00B02D50">
        <w:rPr>
          <w:rFonts w:ascii="Times New Roman" w:eastAsia="Times New Roman" w:hAnsi="Times New Roman" w:cs="Times New Roman"/>
          <w:b/>
          <w:sz w:val="28"/>
          <w:szCs w:val="28"/>
          <w:lang w:val="en-GB" w:eastAsia="en-GB"/>
        </w:rPr>
        <w:tab/>
        <w:t>NINETEENTH RESPONDENT</w:t>
      </w:r>
    </w:p>
    <w:p w:rsidR="00AC1F66" w:rsidRPr="00B02D50" w:rsidRDefault="005C135E" w:rsidP="00D85FD2">
      <w:pPr>
        <w:tabs>
          <w:tab w:val="left" w:pos="720"/>
          <w:tab w:val="right" w:pos="9498"/>
        </w:tabs>
        <w:spacing w:after="0" w:line="360" w:lineRule="auto"/>
        <w:jc w:val="both"/>
        <w:rPr>
          <w:rFonts w:ascii="Times New Roman" w:eastAsia="Times New Roman" w:hAnsi="Times New Roman" w:cs="Times New Roman"/>
          <w:b/>
          <w:sz w:val="28"/>
          <w:szCs w:val="28"/>
          <w:lang w:val="en-GB" w:eastAsia="en-GB"/>
        </w:rPr>
      </w:pPr>
      <w:r w:rsidRPr="00B02D50">
        <w:rPr>
          <w:rFonts w:ascii="Times New Roman" w:eastAsia="Times New Roman" w:hAnsi="Times New Roman" w:cs="Times New Roman"/>
          <w:b/>
          <w:sz w:val="28"/>
          <w:szCs w:val="28"/>
          <w:lang w:val="en-GB" w:eastAsia="en-GB"/>
        </w:rPr>
        <w:t>SANLAM TRUST</w:t>
      </w:r>
      <w:r w:rsidR="0017499F" w:rsidRPr="00B02D50">
        <w:rPr>
          <w:rFonts w:ascii="Times New Roman" w:eastAsia="Times New Roman" w:hAnsi="Times New Roman" w:cs="Times New Roman"/>
          <w:b/>
          <w:sz w:val="28"/>
          <w:szCs w:val="28"/>
          <w:lang w:val="en-GB" w:eastAsia="en-GB"/>
        </w:rPr>
        <w:t xml:space="preserve"> </w:t>
      </w:r>
      <w:r w:rsidRPr="00B02D50">
        <w:rPr>
          <w:rFonts w:ascii="Times New Roman" w:eastAsia="Times New Roman" w:hAnsi="Times New Roman" w:cs="Times New Roman"/>
          <w:b/>
          <w:sz w:val="28"/>
          <w:szCs w:val="28"/>
          <w:lang w:val="en-GB" w:eastAsia="en-GB"/>
        </w:rPr>
        <w:t>(PTY)</w:t>
      </w:r>
      <w:r w:rsidR="0017499F" w:rsidRPr="00B02D50">
        <w:rPr>
          <w:rFonts w:ascii="Times New Roman" w:eastAsia="Times New Roman" w:hAnsi="Times New Roman" w:cs="Times New Roman"/>
          <w:b/>
          <w:sz w:val="28"/>
          <w:szCs w:val="28"/>
          <w:lang w:val="en-GB" w:eastAsia="en-GB"/>
        </w:rPr>
        <w:t xml:space="preserve"> </w:t>
      </w:r>
      <w:r w:rsidRPr="00B02D50">
        <w:rPr>
          <w:rFonts w:ascii="Times New Roman" w:eastAsia="Times New Roman" w:hAnsi="Times New Roman" w:cs="Times New Roman"/>
          <w:b/>
          <w:sz w:val="28"/>
          <w:szCs w:val="28"/>
          <w:lang w:val="en-GB" w:eastAsia="en-GB"/>
        </w:rPr>
        <w:t>LIMITED</w:t>
      </w:r>
      <w:r w:rsidR="00AC1F66" w:rsidRPr="00B02D50">
        <w:rPr>
          <w:rFonts w:ascii="Times New Roman" w:eastAsia="Times New Roman" w:hAnsi="Times New Roman" w:cs="Times New Roman"/>
          <w:b/>
          <w:sz w:val="28"/>
          <w:szCs w:val="28"/>
          <w:lang w:val="en-GB" w:eastAsia="en-GB"/>
        </w:rPr>
        <w:t xml:space="preserve">              </w:t>
      </w:r>
      <w:r w:rsidR="00276E22" w:rsidRPr="00B02D50">
        <w:rPr>
          <w:rFonts w:ascii="Times New Roman" w:eastAsia="Times New Roman" w:hAnsi="Times New Roman" w:cs="Times New Roman"/>
          <w:b/>
          <w:sz w:val="28"/>
          <w:szCs w:val="28"/>
          <w:lang w:val="en-GB" w:eastAsia="en-GB"/>
        </w:rPr>
        <w:t xml:space="preserve">       </w:t>
      </w:r>
      <w:r w:rsidR="00AC1F66" w:rsidRPr="00B02D50">
        <w:rPr>
          <w:rFonts w:ascii="Times New Roman" w:eastAsia="Times New Roman" w:hAnsi="Times New Roman" w:cs="Times New Roman"/>
          <w:b/>
          <w:sz w:val="28"/>
          <w:szCs w:val="28"/>
          <w:lang w:val="en-GB" w:eastAsia="en-GB"/>
        </w:rPr>
        <w:t xml:space="preserve"> TWENTIETH RESPONDENT</w:t>
      </w:r>
    </w:p>
    <w:p w:rsidR="00A544CD" w:rsidRPr="00B02D50" w:rsidRDefault="00A544CD" w:rsidP="00983F0D">
      <w:pPr>
        <w:spacing w:after="0" w:line="360" w:lineRule="auto"/>
        <w:jc w:val="both"/>
        <w:rPr>
          <w:rFonts w:ascii="Times New Roman" w:eastAsia="Times New Roman" w:hAnsi="Times New Roman" w:cs="Times New Roman"/>
          <w:b/>
          <w:bCs/>
          <w:sz w:val="28"/>
          <w:szCs w:val="28"/>
          <w:lang w:val="en-GB" w:eastAsia="en-GB"/>
        </w:rPr>
      </w:pPr>
    </w:p>
    <w:p w:rsidR="00651D25" w:rsidRPr="00B02D50" w:rsidRDefault="00651D25" w:rsidP="00651D25">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B02D50">
        <w:rPr>
          <w:rFonts w:ascii="Times New Roman" w:eastAsia="Times New Roman" w:hAnsi="Times New Roman" w:cs="Times New Roman"/>
          <w:b/>
          <w:bCs/>
          <w:sz w:val="28"/>
          <w:szCs w:val="28"/>
          <w:lang w:val="en-GB" w:eastAsia="en-GB"/>
        </w:rPr>
        <w:t>Neutral citation:</w:t>
      </w:r>
      <w:r w:rsidRPr="00B02D50">
        <w:rPr>
          <w:rFonts w:ascii="Times New Roman" w:eastAsia="Times New Roman" w:hAnsi="Times New Roman" w:cs="Times New Roman"/>
          <w:b/>
          <w:bCs/>
          <w:sz w:val="28"/>
          <w:szCs w:val="28"/>
          <w:lang w:val="en-GB" w:eastAsia="en-GB"/>
        </w:rPr>
        <w:tab/>
      </w:r>
      <w:r w:rsidR="005C4930" w:rsidRPr="00B02D50">
        <w:rPr>
          <w:rFonts w:ascii="Times New Roman" w:eastAsia="Times New Roman" w:hAnsi="Times New Roman" w:cs="Times New Roman"/>
          <w:bCs/>
          <w:i/>
          <w:sz w:val="28"/>
          <w:szCs w:val="28"/>
          <w:lang w:val="en-GB" w:eastAsia="en-GB"/>
        </w:rPr>
        <w:t>Queen Sibongile Winnifred</w:t>
      </w:r>
      <w:r w:rsidR="005C4930" w:rsidRPr="00B02D50">
        <w:rPr>
          <w:rFonts w:ascii="Times New Roman" w:eastAsia="Times New Roman" w:hAnsi="Times New Roman" w:cs="Times New Roman"/>
          <w:b/>
          <w:bCs/>
          <w:sz w:val="28"/>
          <w:szCs w:val="28"/>
          <w:lang w:val="en-GB" w:eastAsia="en-GB"/>
        </w:rPr>
        <w:t xml:space="preserve"> </w:t>
      </w:r>
      <w:r w:rsidR="005C135E" w:rsidRPr="00B02D50">
        <w:rPr>
          <w:rFonts w:ascii="Times New Roman" w:eastAsia="Times New Roman" w:hAnsi="Times New Roman" w:cs="Times New Roman"/>
          <w:i/>
          <w:iCs/>
          <w:sz w:val="28"/>
          <w:szCs w:val="28"/>
          <w:lang w:eastAsia="en-GB"/>
        </w:rPr>
        <w:t>Zulu</w:t>
      </w:r>
      <w:r w:rsidR="00BD390B" w:rsidRPr="00B02D50">
        <w:rPr>
          <w:rFonts w:ascii="Times New Roman" w:eastAsia="Times New Roman" w:hAnsi="Times New Roman" w:cs="Times New Roman"/>
          <w:i/>
          <w:iCs/>
          <w:sz w:val="28"/>
          <w:szCs w:val="28"/>
          <w:lang w:eastAsia="en-GB"/>
        </w:rPr>
        <w:t xml:space="preserve"> v </w:t>
      </w:r>
      <w:r w:rsidR="005C4930" w:rsidRPr="00B02D50">
        <w:rPr>
          <w:rFonts w:ascii="Times New Roman" w:eastAsia="Times New Roman" w:hAnsi="Times New Roman" w:cs="Times New Roman"/>
          <w:i/>
          <w:iCs/>
          <w:sz w:val="28"/>
          <w:szCs w:val="28"/>
          <w:lang w:eastAsia="en-GB"/>
        </w:rPr>
        <w:t xml:space="preserve">Queen Buhle </w:t>
      </w:r>
      <w:r w:rsidR="005C135E" w:rsidRPr="00B02D50">
        <w:rPr>
          <w:rFonts w:ascii="Times New Roman" w:eastAsia="Times New Roman" w:hAnsi="Times New Roman" w:cs="Times New Roman"/>
          <w:i/>
          <w:iCs/>
          <w:sz w:val="28"/>
          <w:szCs w:val="28"/>
          <w:lang w:eastAsia="en-GB"/>
        </w:rPr>
        <w:t>Mathe</w:t>
      </w:r>
      <w:r w:rsidR="00BD390B" w:rsidRPr="00B02D50">
        <w:rPr>
          <w:rFonts w:ascii="Times New Roman" w:eastAsia="Times New Roman" w:hAnsi="Times New Roman" w:cs="Times New Roman"/>
          <w:i/>
          <w:iCs/>
          <w:sz w:val="28"/>
          <w:szCs w:val="28"/>
          <w:lang w:eastAsia="en-GB"/>
        </w:rPr>
        <w:t xml:space="preserve"> and Others</w:t>
      </w:r>
      <w:r w:rsidRPr="00B02D50">
        <w:rPr>
          <w:rFonts w:ascii="Times New Roman" w:eastAsia="Times New Roman" w:hAnsi="Times New Roman" w:cs="Times New Roman"/>
          <w:bCs/>
          <w:i/>
          <w:sz w:val="28"/>
          <w:szCs w:val="28"/>
          <w:lang w:val="en-GB" w:eastAsia="en-GB"/>
        </w:rPr>
        <w:t xml:space="preserve"> </w:t>
      </w:r>
      <w:r w:rsidR="00BD390B" w:rsidRPr="00B02D50">
        <w:rPr>
          <w:rFonts w:ascii="Times New Roman" w:eastAsia="Times New Roman" w:hAnsi="Times New Roman" w:cs="Times New Roman"/>
          <w:bCs/>
          <w:sz w:val="28"/>
          <w:szCs w:val="28"/>
          <w:lang w:val="en-GB" w:eastAsia="en-GB"/>
        </w:rPr>
        <w:t>(</w:t>
      </w:r>
      <w:r w:rsidR="005C135E" w:rsidRPr="00B02D50">
        <w:rPr>
          <w:rFonts w:ascii="Times New Roman" w:eastAsia="Times New Roman" w:hAnsi="Times New Roman" w:cs="Times New Roman"/>
          <w:bCs/>
          <w:sz w:val="28"/>
          <w:szCs w:val="28"/>
          <w:lang w:val="en-GB" w:eastAsia="en-GB"/>
        </w:rPr>
        <w:t>1062</w:t>
      </w:r>
      <w:r w:rsidR="00552BA8" w:rsidRPr="00B02D50">
        <w:rPr>
          <w:rFonts w:ascii="Times New Roman" w:eastAsia="Times New Roman" w:hAnsi="Times New Roman" w:cs="Times New Roman"/>
          <w:bCs/>
          <w:sz w:val="28"/>
          <w:szCs w:val="28"/>
          <w:lang w:val="en-GB" w:eastAsia="en-GB"/>
        </w:rPr>
        <w:t>/202</w:t>
      </w:r>
      <w:r w:rsidR="005C135E" w:rsidRPr="00B02D50">
        <w:rPr>
          <w:rFonts w:ascii="Times New Roman" w:eastAsia="Times New Roman" w:hAnsi="Times New Roman" w:cs="Times New Roman"/>
          <w:bCs/>
          <w:sz w:val="28"/>
          <w:szCs w:val="28"/>
          <w:lang w:val="en-GB" w:eastAsia="en-GB"/>
        </w:rPr>
        <w:t>2</w:t>
      </w:r>
      <w:r w:rsidRPr="00B02D50">
        <w:rPr>
          <w:rFonts w:ascii="Times New Roman" w:eastAsia="Times New Roman" w:hAnsi="Times New Roman" w:cs="Times New Roman"/>
          <w:bCs/>
          <w:sz w:val="28"/>
          <w:szCs w:val="28"/>
          <w:lang w:val="en-GB" w:eastAsia="en-GB"/>
        </w:rPr>
        <w:t>)</w:t>
      </w:r>
      <w:r w:rsidRPr="00B02D50">
        <w:rPr>
          <w:rFonts w:ascii="Times New Roman" w:eastAsia="Times New Roman" w:hAnsi="Times New Roman" w:cs="Times New Roman"/>
          <w:bCs/>
          <w:i/>
          <w:sz w:val="28"/>
          <w:szCs w:val="28"/>
          <w:lang w:val="en-GB" w:eastAsia="en-GB"/>
        </w:rPr>
        <w:t xml:space="preserve"> </w:t>
      </w:r>
      <w:r w:rsidR="00EA6FED" w:rsidRPr="00B02D50">
        <w:rPr>
          <w:rFonts w:ascii="Times New Roman" w:eastAsia="Times New Roman" w:hAnsi="Times New Roman" w:cs="Times New Roman"/>
          <w:bCs/>
          <w:sz w:val="28"/>
          <w:szCs w:val="28"/>
          <w:lang w:val="en-GB" w:eastAsia="en-GB"/>
        </w:rPr>
        <w:t>[202</w:t>
      </w:r>
      <w:r w:rsidR="00173777" w:rsidRPr="00B02D50">
        <w:rPr>
          <w:rFonts w:ascii="Times New Roman" w:eastAsia="Times New Roman" w:hAnsi="Times New Roman" w:cs="Times New Roman"/>
          <w:bCs/>
          <w:sz w:val="28"/>
          <w:szCs w:val="28"/>
          <w:lang w:val="en-GB" w:eastAsia="en-GB"/>
        </w:rPr>
        <w:t>4</w:t>
      </w:r>
      <w:r w:rsidRPr="00B02D50">
        <w:rPr>
          <w:rFonts w:ascii="Times New Roman" w:eastAsia="Times New Roman" w:hAnsi="Times New Roman" w:cs="Times New Roman"/>
          <w:bCs/>
          <w:sz w:val="28"/>
          <w:szCs w:val="28"/>
          <w:lang w:val="en-GB" w:eastAsia="en-GB"/>
        </w:rPr>
        <w:t>] ZASCA</w:t>
      </w:r>
      <w:r w:rsidR="00EB5D35">
        <w:rPr>
          <w:rFonts w:ascii="Times New Roman" w:eastAsia="Times New Roman" w:hAnsi="Times New Roman" w:cs="Times New Roman"/>
          <w:bCs/>
          <w:sz w:val="28"/>
          <w:szCs w:val="28"/>
          <w:lang w:val="en-GB" w:eastAsia="en-GB"/>
        </w:rPr>
        <w:t xml:space="preserve"> 22</w:t>
      </w:r>
      <w:r w:rsidRPr="00B02D50">
        <w:rPr>
          <w:rFonts w:ascii="Times New Roman" w:eastAsia="Times New Roman" w:hAnsi="Times New Roman" w:cs="Times New Roman"/>
          <w:bCs/>
          <w:i/>
          <w:sz w:val="28"/>
          <w:szCs w:val="28"/>
          <w:lang w:val="en-GB" w:eastAsia="en-GB"/>
        </w:rPr>
        <w:t xml:space="preserve"> </w:t>
      </w:r>
      <w:r w:rsidRPr="00B02D50">
        <w:rPr>
          <w:rFonts w:ascii="Times New Roman" w:eastAsia="Times New Roman" w:hAnsi="Times New Roman" w:cs="Times New Roman"/>
          <w:bCs/>
          <w:sz w:val="28"/>
          <w:szCs w:val="28"/>
          <w:lang w:val="en-GB" w:eastAsia="en-GB"/>
        </w:rPr>
        <w:t>(</w:t>
      </w:r>
      <w:r w:rsidR="00EB5D35">
        <w:rPr>
          <w:rFonts w:ascii="Times New Roman" w:eastAsia="Times New Roman" w:hAnsi="Times New Roman" w:cs="Times New Roman"/>
          <w:bCs/>
          <w:sz w:val="28"/>
          <w:szCs w:val="28"/>
          <w:lang w:val="en-GB" w:eastAsia="en-GB"/>
        </w:rPr>
        <w:t xml:space="preserve">08 </w:t>
      </w:r>
      <w:r w:rsidR="00A544CD" w:rsidRPr="00B02D50">
        <w:rPr>
          <w:rFonts w:ascii="Times New Roman" w:eastAsia="Times New Roman" w:hAnsi="Times New Roman" w:cs="Times New Roman"/>
          <w:bCs/>
          <w:sz w:val="28"/>
          <w:szCs w:val="28"/>
          <w:lang w:val="en-GB" w:eastAsia="en-GB"/>
        </w:rPr>
        <w:t xml:space="preserve">March </w:t>
      </w:r>
      <w:r w:rsidR="00340C4F" w:rsidRPr="00B02D50">
        <w:rPr>
          <w:rFonts w:ascii="Times New Roman" w:eastAsia="Times New Roman" w:hAnsi="Times New Roman" w:cs="Times New Roman"/>
          <w:bCs/>
          <w:sz w:val="28"/>
          <w:szCs w:val="28"/>
          <w:lang w:val="en-GB" w:eastAsia="en-GB"/>
        </w:rPr>
        <w:t>202</w:t>
      </w:r>
      <w:r w:rsidR="00173777" w:rsidRPr="00B02D50">
        <w:rPr>
          <w:rFonts w:ascii="Times New Roman" w:eastAsia="Times New Roman" w:hAnsi="Times New Roman" w:cs="Times New Roman"/>
          <w:bCs/>
          <w:sz w:val="28"/>
          <w:szCs w:val="28"/>
          <w:lang w:val="en-GB" w:eastAsia="en-GB"/>
        </w:rPr>
        <w:t>4</w:t>
      </w:r>
      <w:r w:rsidRPr="00B02D50">
        <w:rPr>
          <w:rFonts w:ascii="Times New Roman" w:eastAsia="Times New Roman" w:hAnsi="Times New Roman" w:cs="Times New Roman"/>
          <w:bCs/>
          <w:sz w:val="28"/>
          <w:szCs w:val="28"/>
          <w:lang w:val="en-GB" w:eastAsia="en-GB"/>
        </w:rPr>
        <w:t>)</w:t>
      </w:r>
    </w:p>
    <w:p w:rsidR="00651D25" w:rsidRPr="00B02D50" w:rsidRDefault="00651D25" w:rsidP="009957FF">
      <w:pPr>
        <w:spacing w:after="0" w:line="360" w:lineRule="auto"/>
        <w:ind w:left="1418" w:hanging="1418"/>
        <w:jc w:val="both"/>
        <w:rPr>
          <w:rFonts w:ascii="Times New Roman" w:eastAsia="Times New Roman" w:hAnsi="Times New Roman" w:cs="Times New Roman"/>
          <w:b/>
          <w:bCs/>
          <w:sz w:val="28"/>
          <w:szCs w:val="28"/>
          <w:u w:val="single"/>
          <w:lang w:val="en-GB" w:eastAsia="en-GB"/>
        </w:rPr>
      </w:pPr>
      <w:r w:rsidRPr="00B02D50">
        <w:rPr>
          <w:rFonts w:ascii="Times New Roman" w:eastAsia="Times New Roman" w:hAnsi="Times New Roman" w:cs="Times New Roman"/>
          <w:b/>
          <w:bCs/>
          <w:sz w:val="28"/>
          <w:szCs w:val="28"/>
          <w:lang w:val="en-GB" w:eastAsia="en-GB"/>
        </w:rPr>
        <w:t>Coram:</w:t>
      </w:r>
      <w:r w:rsidRPr="00B02D50">
        <w:rPr>
          <w:rFonts w:ascii="Times New Roman" w:eastAsia="Times New Roman" w:hAnsi="Times New Roman" w:cs="Times New Roman"/>
          <w:b/>
          <w:bCs/>
          <w:sz w:val="28"/>
          <w:szCs w:val="28"/>
          <w:lang w:val="en-GB" w:eastAsia="en-GB"/>
        </w:rPr>
        <w:tab/>
      </w:r>
      <w:r w:rsidR="005C135E" w:rsidRPr="00B02D50">
        <w:rPr>
          <w:rFonts w:ascii="Times New Roman" w:eastAsia="Times New Roman" w:hAnsi="Times New Roman" w:cs="Times New Roman"/>
          <w:bCs/>
          <w:sz w:val="28"/>
          <w:szCs w:val="28"/>
          <w:lang w:val="en-GB" w:eastAsia="en-GB"/>
        </w:rPr>
        <w:t>MAKGOKA</w:t>
      </w:r>
      <w:r w:rsidR="00417F3B" w:rsidRPr="00B02D50">
        <w:rPr>
          <w:rFonts w:ascii="Times New Roman" w:eastAsia="Times New Roman" w:hAnsi="Times New Roman" w:cs="Times New Roman"/>
          <w:bCs/>
          <w:sz w:val="28"/>
          <w:szCs w:val="28"/>
          <w:lang w:val="en-GB" w:eastAsia="en-GB"/>
        </w:rPr>
        <w:t xml:space="preserve"> and </w:t>
      </w:r>
      <w:r w:rsidR="005C135E" w:rsidRPr="00B02D50">
        <w:rPr>
          <w:rFonts w:ascii="Times New Roman" w:eastAsia="Times New Roman" w:hAnsi="Times New Roman" w:cs="Times New Roman"/>
          <w:bCs/>
          <w:sz w:val="28"/>
          <w:szCs w:val="28"/>
          <w:lang w:val="en-GB" w:eastAsia="en-GB"/>
        </w:rPr>
        <w:t>MBATHA</w:t>
      </w:r>
      <w:r w:rsidR="00CD2EB5" w:rsidRPr="00B02D50">
        <w:rPr>
          <w:rFonts w:ascii="Times New Roman" w:eastAsia="Times New Roman" w:hAnsi="Times New Roman" w:cs="Times New Roman"/>
          <w:bCs/>
          <w:sz w:val="28"/>
          <w:szCs w:val="28"/>
          <w:lang w:val="en-GB" w:eastAsia="en-GB"/>
        </w:rPr>
        <w:t xml:space="preserve"> JJA</w:t>
      </w:r>
      <w:r w:rsidRPr="00B02D50">
        <w:rPr>
          <w:rFonts w:ascii="Times New Roman" w:eastAsia="Times New Roman" w:hAnsi="Times New Roman" w:cs="Times New Roman"/>
          <w:bCs/>
          <w:sz w:val="28"/>
          <w:szCs w:val="28"/>
          <w:lang w:val="en-GB" w:eastAsia="en-GB"/>
        </w:rPr>
        <w:t>,</w:t>
      </w:r>
      <w:r w:rsidR="00A22DA2" w:rsidRPr="00B02D50">
        <w:rPr>
          <w:rFonts w:ascii="Times New Roman" w:eastAsia="Times New Roman" w:hAnsi="Times New Roman" w:cs="Times New Roman"/>
          <w:bCs/>
          <w:sz w:val="28"/>
          <w:szCs w:val="28"/>
          <w:lang w:val="en-GB" w:eastAsia="en-GB"/>
        </w:rPr>
        <w:t xml:space="preserve"> and </w:t>
      </w:r>
      <w:r w:rsidR="005C135E" w:rsidRPr="00B02D50">
        <w:rPr>
          <w:rFonts w:ascii="Times New Roman" w:eastAsia="Times New Roman" w:hAnsi="Times New Roman" w:cs="Times New Roman"/>
          <w:bCs/>
          <w:sz w:val="28"/>
          <w:szCs w:val="28"/>
          <w:lang w:val="en-GB" w:eastAsia="en-GB"/>
        </w:rPr>
        <w:t>MUSI</w:t>
      </w:r>
      <w:r w:rsidR="000A0188" w:rsidRPr="00B02D50">
        <w:rPr>
          <w:rFonts w:ascii="Times New Roman" w:eastAsia="Times New Roman" w:hAnsi="Times New Roman" w:cs="Times New Roman"/>
          <w:bCs/>
          <w:sz w:val="28"/>
          <w:szCs w:val="28"/>
          <w:lang w:val="en-GB" w:eastAsia="en-GB"/>
        </w:rPr>
        <w:t xml:space="preserve"> </w:t>
      </w:r>
      <w:r w:rsidR="00CD2EB5" w:rsidRPr="00B02D50">
        <w:rPr>
          <w:rFonts w:ascii="Times New Roman" w:eastAsia="Times New Roman" w:hAnsi="Times New Roman" w:cs="Times New Roman"/>
          <w:bCs/>
          <w:sz w:val="28"/>
          <w:szCs w:val="28"/>
          <w:lang w:val="en-GB" w:eastAsia="en-GB"/>
        </w:rPr>
        <w:t>A</w:t>
      </w:r>
      <w:r w:rsidRPr="00B02D50">
        <w:rPr>
          <w:rFonts w:ascii="Times New Roman" w:eastAsia="Times New Roman" w:hAnsi="Times New Roman" w:cs="Times New Roman"/>
          <w:bCs/>
          <w:sz w:val="28"/>
          <w:szCs w:val="28"/>
          <w:lang w:val="en-GB" w:eastAsia="en-GB"/>
        </w:rPr>
        <w:t>JA</w:t>
      </w:r>
    </w:p>
    <w:p w:rsidR="00651D25" w:rsidRPr="00B02D50" w:rsidRDefault="00651D25" w:rsidP="00651D25">
      <w:pPr>
        <w:spacing w:after="0" w:line="360" w:lineRule="auto"/>
        <w:jc w:val="both"/>
        <w:rPr>
          <w:rFonts w:ascii="Times New Roman" w:eastAsia="Times New Roman" w:hAnsi="Times New Roman" w:cs="Times New Roman"/>
          <w:b/>
          <w:bCs/>
          <w:sz w:val="28"/>
          <w:szCs w:val="28"/>
          <w:lang w:val="en-GB" w:eastAsia="en-GB"/>
        </w:rPr>
      </w:pPr>
      <w:r w:rsidRPr="00B02D50">
        <w:rPr>
          <w:rFonts w:ascii="Times New Roman" w:eastAsia="Times New Roman" w:hAnsi="Times New Roman" w:cs="Times New Roman"/>
          <w:b/>
          <w:bCs/>
          <w:sz w:val="28"/>
          <w:szCs w:val="28"/>
          <w:lang w:val="en-GB" w:eastAsia="en-GB"/>
        </w:rPr>
        <w:t>Heard:</w:t>
      </w:r>
      <w:r w:rsidRPr="00B02D50">
        <w:rPr>
          <w:rFonts w:ascii="Times New Roman" w:eastAsia="Times New Roman" w:hAnsi="Times New Roman" w:cs="Times New Roman"/>
          <w:b/>
          <w:bCs/>
          <w:sz w:val="28"/>
          <w:szCs w:val="28"/>
          <w:lang w:val="en-GB" w:eastAsia="en-GB"/>
        </w:rPr>
        <w:tab/>
      </w:r>
      <w:r w:rsidR="005C135E" w:rsidRPr="00B02D50">
        <w:rPr>
          <w:rFonts w:ascii="Times New Roman" w:eastAsia="Times New Roman" w:hAnsi="Times New Roman" w:cs="Times New Roman"/>
          <w:bCs/>
          <w:sz w:val="28"/>
          <w:szCs w:val="28"/>
          <w:lang w:val="en-GB" w:eastAsia="en-GB"/>
        </w:rPr>
        <w:t>13 November</w:t>
      </w:r>
      <w:r w:rsidR="00CD2EB5" w:rsidRPr="00B02D50">
        <w:rPr>
          <w:rFonts w:ascii="Times New Roman" w:eastAsia="Times New Roman" w:hAnsi="Times New Roman" w:cs="Times New Roman"/>
          <w:bCs/>
          <w:sz w:val="28"/>
          <w:szCs w:val="28"/>
          <w:lang w:val="en-GB" w:eastAsia="en-GB"/>
        </w:rPr>
        <w:t xml:space="preserve"> 202</w:t>
      </w:r>
      <w:r w:rsidR="005C135E" w:rsidRPr="00B02D50">
        <w:rPr>
          <w:rFonts w:ascii="Times New Roman" w:eastAsia="Times New Roman" w:hAnsi="Times New Roman" w:cs="Times New Roman"/>
          <w:bCs/>
          <w:sz w:val="28"/>
          <w:szCs w:val="28"/>
          <w:lang w:val="en-GB" w:eastAsia="en-GB"/>
        </w:rPr>
        <w:t>3</w:t>
      </w:r>
    </w:p>
    <w:p w:rsidR="00651D25" w:rsidRPr="00B02D50" w:rsidRDefault="00651D25" w:rsidP="009957FF">
      <w:pPr>
        <w:spacing w:after="0" w:line="360" w:lineRule="auto"/>
        <w:ind w:left="1418" w:hanging="1418"/>
        <w:jc w:val="both"/>
        <w:outlineLvl w:val="0"/>
        <w:rPr>
          <w:rFonts w:ascii="Times New Roman" w:eastAsia="Times New Roman" w:hAnsi="Times New Roman" w:cs="Times New Roman"/>
          <w:sz w:val="28"/>
          <w:szCs w:val="28"/>
          <w:lang w:val="en-US" w:eastAsia="en-ZA"/>
        </w:rPr>
      </w:pPr>
      <w:r w:rsidRPr="00B02D50">
        <w:rPr>
          <w:rFonts w:ascii="Times New Roman" w:eastAsia="Times New Roman" w:hAnsi="Times New Roman" w:cs="Times New Roman"/>
          <w:b/>
          <w:bCs/>
          <w:sz w:val="28"/>
          <w:szCs w:val="28"/>
          <w:lang w:val="en-GB" w:eastAsia="en-GB"/>
        </w:rPr>
        <w:t>Delivered:</w:t>
      </w:r>
      <w:r w:rsidR="009957FF" w:rsidRPr="00B02D50">
        <w:rPr>
          <w:rFonts w:ascii="Times New Roman" w:eastAsia="Times New Roman" w:hAnsi="Times New Roman" w:cs="Times New Roman"/>
          <w:b/>
          <w:bCs/>
          <w:sz w:val="28"/>
          <w:szCs w:val="28"/>
          <w:lang w:val="en-GB" w:eastAsia="en-GB"/>
        </w:rPr>
        <w:tab/>
      </w:r>
      <w:r w:rsidR="00EB5D35">
        <w:rPr>
          <w:rFonts w:ascii="Times New Roman" w:eastAsia="Times New Roman" w:hAnsi="Times New Roman" w:cs="Times New Roman"/>
          <w:bCs/>
          <w:sz w:val="28"/>
          <w:szCs w:val="28"/>
          <w:lang w:val="en-GB" w:eastAsia="en-GB"/>
        </w:rPr>
        <w:t>08</w:t>
      </w:r>
      <w:r w:rsidR="00EE359A" w:rsidRPr="00B02D50">
        <w:rPr>
          <w:rFonts w:ascii="Times New Roman" w:eastAsia="Times New Roman" w:hAnsi="Times New Roman" w:cs="Times New Roman"/>
          <w:bCs/>
          <w:sz w:val="28"/>
          <w:szCs w:val="28"/>
          <w:lang w:val="en-GB" w:eastAsia="en-GB"/>
        </w:rPr>
        <w:t xml:space="preserve"> March</w:t>
      </w:r>
      <w:r w:rsidR="00A544CD" w:rsidRPr="00B02D50">
        <w:rPr>
          <w:rFonts w:ascii="Times New Roman" w:eastAsia="Times New Roman" w:hAnsi="Times New Roman" w:cs="Times New Roman"/>
          <w:bCs/>
          <w:sz w:val="28"/>
          <w:szCs w:val="28"/>
          <w:lang w:val="en-GB" w:eastAsia="en-GB"/>
        </w:rPr>
        <w:t xml:space="preserve"> </w:t>
      </w:r>
      <w:r w:rsidR="00BF3B3F" w:rsidRPr="00B02D50">
        <w:rPr>
          <w:rFonts w:ascii="Times New Roman" w:eastAsia="Times New Roman" w:hAnsi="Times New Roman" w:cs="Times New Roman"/>
          <w:bCs/>
          <w:sz w:val="28"/>
          <w:szCs w:val="28"/>
          <w:lang w:val="en-GB" w:eastAsia="en-GB"/>
        </w:rPr>
        <w:t>202</w:t>
      </w:r>
      <w:r w:rsidR="00173777" w:rsidRPr="00B02D50">
        <w:rPr>
          <w:rFonts w:ascii="Times New Roman" w:eastAsia="Times New Roman" w:hAnsi="Times New Roman" w:cs="Times New Roman"/>
          <w:bCs/>
          <w:sz w:val="28"/>
          <w:szCs w:val="28"/>
          <w:lang w:val="en-GB" w:eastAsia="en-GB"/>
        </w:rPr>
        <w:t>4</w:t>
      </w:r>
    </w:p>
    <w:p w:rsidR="005E31A2" w:rsidRPr="00B02D50" w:rsidRDefault="00651D25" w:rsidP="001A70FC">
      <w:pPr>
        <w:spacing w:after="0" w:line="360" w:lineRule="auto"/>
        <w:jc w:val="both"/>
        <w:rPr>
          <w:rFonts w:ascii="Times New Roman" w:eastAsia="Times New Roman" w:hAnsi="Times New Roman" w:cs="Times New Roman"/>
          <w:sz w:val="28"/>
          <w:szCs w:val="28"/>
          <w:lang w:eastAsia="en-GB"/>
        </w:rPr>
      </w:pPr>
      <w:r w:rsidRPr="00B02D50">
        <w:rPr>
          <w:rFonts w:ascii="Times New Roman" w:eastAsia="Times New Roman" w:hAnsi="Times New Roman" w:cs="Times New Roman"/>
          <w:b/>
          <w:sz w:val="28"/>
          <w:szCs w:val="28"/>
          <w:lang w:eastAsia="en-GB"/>
        </w:rPr>
        <w:t>Summary:</w:t>
      </w:r>
      <w:r w:rsidR="004859B1" w:rsidRPr="00B02D50">
        <w:rPr>
          <w:rFonts w:ascii="Times New Roman" w:eastAsia="Times New Roman" w:hAnsi="Times New Roman" w:cs="Times New Roman"/>
          <w:b/>
          <w:sz w:val="28"/>
          <w:szCs w:val="28"/>
          <w:lang w:eastAsia="en-GB"/>
        </w:rPr>
        <w:tab/>
      </w:r>
      <w:r w:rsidR="00967C60" w:rsidRPr="00B02D50">
        <w:rPr>
          <w:rFonts w:ascii="Times New Roman" w:eastAsia="Times New Roman" w:hAnsi="Times New Roman" w:cs="Times New Roman"/>
          <w:sz w:val="28"/>
          <w:szCs w:val="28"/>
          <w:lang w:eastAsia="en-GB"/>
        </w:rPr>
        <w:t>Family law – administration of deceased estate – Marriage Act 25 of 1961 – whether consequences of</w:t>
      </w:r>
      <w:r w:rsidR="005E31A2" w:rsidRPr="00B02D50">
        <w:rPr>
          <w:rFonts w:ascii="Times New Roman" w:eastAsia="Times New Roman" w:hAnsi="Times New Roman" w:cs="Times New Roman"/>
          <w:sz w:val="28"/>
          <w:szCs w:val="28"/>
          <w:lang w:eastAsia="en-GB"/>
        </w:rPr>
        <w:t xml:space="preserve"> civil</w:t>
      </w:r>
      <w:r w:rsidR="00967C60" w:rsidRPr="00B02D50">
        <w:rPr>
          <w:rFonts w:ascii="Times New Roman" w:eastAsia="Times New Roman" w:hAnsi="Times New Roman" w:cs="Times New Roman"/>
          <w:sz w:val="28"/>
          <w:szCs w:val="28"/>
          <w:lang w:eastAsia="en-GB"/>
        </w:rPr>
        <w:t xml:space="preserve"> marriage precluded </w:t>
      </w:r>
      <w:r w:rsidR="005E31A2" w:rsidRPr="00B02D50">
        <w:rPr>
          <w:rFonts w:ascii="Times New Roman" w:eastAsia="Times New Roman" w:hAnsi="Times New Roman" w:cs="Times New Roman"/>
          <w:sz w:val="28"/>
          <w:szCs w:val="28"/>
          <w:lang w:eastAsia="en-GB"/>
        </w:rPr>
        <w:t xml:space="preserve">husband </w:t>
      </w:r>
      <w:r w:rsidR="00967C60" w:rsidRPr="00B02D50">
        <w:rPr>
          <w:rFonts w:ascii="Times New Roman" w:eastAsia="Times New Roman" w:hAnsi="Times New Roman" w:cs="Times New Roman"/>
          <w:sz w:val="28"/>
          <w:szCs w:val="28"/>
          <w:lang w:eastAsia="en-GB"/>
        </w:rPr>
        <w:t>from concluding further marriages with other persons</w:t>
      </w:r>
      <w:r w:rsidR="00D351D3" w:rsidRPr="00B02D50">
        <w:rPr>
          <w:rFonts w:ascii="Times New Roman" w:eastAsia="Times New Roman" w:hAnsi="Times New Roman" w:cs="Times New Roman"/>
          <w:sz w:val="28"/>
          <w:szCs w:val="28"/>
          <w:lang w:eastAsia="en-GB"/>
        </w:rPr>
        <w:t>.</w:t>
      </w:r>
      <w:r w:rsidR="00967C60" w:rsidRPr="00B02D50">
        <w:rPr>
          <w:rFonts w:ascii="Times New Roman" w:eastAsia="Times New Roman" w:hAnsi="Times New Roman" w:cs="Times New Roman"/>
          <w:sz w:val="28"/>
          <w:szCs w:val="28"/>
          <w:lang w:eastAsia="en-GB"/>
        </w:rPr>
        <w:t xml:space="preserve"> </w:t>
      </w:r>
    </w:p>
    <w:p w:rsidR="004859B1" w:rsidRPr="00B02D50" w:rsidRDefault="005E31A2" w:rsidP="001A70FC">
      <w:pPr>
        <w:spacing w:after="0" w:line="360" w:lineRule="auto"/>
        <w:jc w:val="both"/>
        <w:rPr>
          <w:rFonts w:ascii="Times New Roman" w:eastAsia="Times New Roman" w:hAnsi="Times New Roman" w:cs="Times New Roman"/>
          <w:sz w:val="28"/>
          <w:szCs w:val="28"/>
          <w:lang w:eastAsia="en-GB"/>
        </w:rPr>
      </w:pPr>
      <w:r w:rsidRPr="00B02D50">
        <w:rPr>
          <w:rFonts w:ascii="Times New Roman" w:eastAsia="Times New Roman" w:hAnsi="Times New Roman" w:cs="Times New Roman"/>
          <w:sz w:val="28"/>
          <w:szCs w:val="28"/>
          <w:lang w:eastAsia="en-GB"/>
        </w:rPr>
        <w:t xml:space="preserve">Declaratory relief – refusal by high court – </w:t>
      </w:r>
      <w:r w:rsidR="00967C60" w:rsidRPr="00B02D50">
        <w:rPr>
          <w:rFonts w:ascii="Times New Roman" w:eastAsia="Times New Roman" w:hAnsi="Times New Roman" w:cs="Times New Roman"/>
          <w:sz w:val="28"/>
          <w:szCs w:val="28"/>
          <w:lang w:eastAsia="en-GB"/>
        </w:rPr>
        <w:t xml:space="preserve">whether </w:t>
      </w:r>
      <w:r w:rsidRPr="00B02D50">
        <w:rPr>
          <w:rFonts w:ascii="Times New Roman" w:eastAsia="Times New Roman" w:hAnsi="Times New Roman" w:cs="Times New Roman"/>
          <w:sz w:val="28"/>
          <w:szCs w:val="28"/>
          <w:lang w:eastAsia="en-GB"/>
        </w:rPr>
        <w:t xml:space="preserve">desirable to </w:t>
      </w:r>
      <w:r w:rsidR="00967C60" w:rsidRPr="00B02D50">
        <w:rPr>
          <w:rFonts w:ascii="Times New Roman" w:eastAsia="Times New Roman" w:hAnsi="Times New Roman" w:cs="Times New Roman"/>
          <w:sz w:val="28"/>
          <w:szCs w:val="28"/>
          <w:lang w:eastAsia="en-GB"/>
        </w:rPr>
        <w:t xml:space="preserve">interfere with </w:t>
      </w:r>
      <w:r w:rsidR="0017499F" w:rsidRPr="00B02D50">
        <w:rPr>
          <w:rFonts w:ascii="Times New Roman" w:eastAsia="Times New Roman" w:hAnsi="Times New Roman" w:cs="Times New Roman"/>
          <w:sz w:val="28"/>
          <w:szCs w:val="28"/>
          <w:lang w:eastAsia="en-GB"/>
        </w:rPr>
        <w:t>h</w:t>
      </w:r>
      <w:r w:rsidR="00967C60" w:rsidRPr="00B02D50">
        <w:rPr>
          <w:rFonts w:ascii="Times New Roman" w:eastAsia="Times New Roman" w:hAnsi="Times New Roman" w:cs="Times New Roman"/>
          <w:sz w:val="28"/>
          <w:szCs w:val="28"/>
          <w:lang w:eastAsia="en-GB"/>
        </w:rPr>
        <w:t xml:space="preserve">igh </w:t>
      </w:r>
      <w:r w:rsidR="0017499F" w:rsidRPr="00B02D50">
        <w:rPr>
          <w:rFonts w:ascii="Times New Roman" w:eastAsia="Times New Roman" w:hAnsi="Times New Roman" w:cs="Times New Roman"/>
          <w:sz w:val="28"/>
          <w:szCs w:val="28"/>
          <w:lang w:eastAsia="en-GB"/>
        </w:rPr>
        <w:t>c</w:t>
      </w:r>
      <w:r w:rsidR="00967C60" w:rsidRPr="00B02D50">
        <w:rPr>
          <w:rFonts w:ascii="Times New Roman" w:eastAsia="Times New Roman" w:hAnsi="Times New Roman" w:cs="Times New Roman"/>
          <w:sz w:val="28"/>
          <w:szCs w:val="28"/>
          <w:lang w:eastAsia="en-GB"/>
        </w:rPr>
        <w:t>ourt’s discretion</w:t>
      </w:r>
      <w:r w:rsidRPr="00B02D50">
        <w:rPr>
          <w:rFonts w:ascii="Times New Roman" w:eastAsia="Times New Roman" w:hAnsi="Times New Roman" w:cs="Times New Roman"/>
          <w:sz w:val="28"/>
          <w:szCs w:val="28"/>
          <w:lang w:eastAsia="en-GB"/>
        </w:rPr>
        <w:t xml:space="preserve">. </w:t>
      </w:r>
    </w:p>
    <w:p w:rsidR="004859B1" w:rsidRPr="00B02D50" w:rsidRDefault="004859B1" w:rsidP="004859B1">
      <w:pPr>
        <w:rPr>
          <w:rFonts w:ascii="Times New Roman" w:eastAsia="Times New Roman" w:hAnsi="Times New Roman" w:cs="Times New Roman"/>
          <w:sz w:val="28"/>
          <w:szCs w:val="28"/>
          <w:lang w:eastAsia="en-GB"/>
        </w:rPr>
      </w:pPr>
      <w:r w:rsidRPr="00B02D50">
        <w:rPr>
          <w:rFonts w:ascii="Times New Roman" w:eastAsia="Times New Roman" w:hAnsi="Times New Roman" w:cs="Times New Roman"/>
          <w:sz w:val="28"/>
          <w:szCs w:val="28"/>
          <w:lang w:eastAsia="en-GB"/>
        </w:rPr>
        <w:br w:type="page"/>
      </w:r>
    </w:p>
    <w:p w:rsidR="00651D25" w:rsidRPr="00B02D50" w:rsidRDefault="00343AF2"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lastRenderedPageBreak/>
        <w:pict w14:anchorId="527B9D08">
          <v:rect id="_x0000_i1025" style="width:451.3pt;height:1.5pt" o:hralign="center" o:hrstd="t" o:hrnoshade="t" o:hr="t" fillcolor="black [3213]" stroked="f"/>
        </w:pict>
      </w:r>
    </w:p>
    <w:p w:rsidR="00651D25" w:rsidRPr="00B02D50"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sidRPr="00B02D50">
        <w:rPr>
          <w:rFonts w:ascii="Times New Roman" w:eastAsia="Times New Roman" w:hAnsi="Times New Roman" w:cs="Times New Roman"/>
          <w:b/>
          <w:bCs/>
          <w:sz w:val="28"/>
          <w:szCs w:val="28"/>
          <w:lang w:val="en-US"/>
        </w:rPr>
        <w:t>ORDER</w:t>
      </w:r>
    </w:p>
    <w:p w:rsidR="00651D25" w:rsidRPr="00B02D50" w:rsidRDefault="00343AF2"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6B442554">
          <v:rect id="_x0000_i1026" style="width:451.3pt;height:1.5pt" o:hralign="center" o:hrstd="t" o:hrnoshade="t" o:hr="t" fillcolor="black [3213]" stroked="f"/>
        </w:pict>
      </w:r>
    </w:p>
    <w:p w:rsidR="006642E1" w:rsidRPr="00B02D50" w:rsidRDefault="006642E1" w:rsidP="00D85FD2">
      <w:pPr>
        <w:spacing w:after="0" w:line="360" w:lineRule="auto"/>
        <w:jc w:val="both"/>
        <w:rPr>
          <w:rFonts w:ascii="Times New Roman" w:eastAsia="Times New Roman" w:hAnsi="Times New Roman" w:cs="Times New Roman"/>
          <w:bCs/>
          <w:sz w:val="28"/>
          <w:szCs w:val="28"/>
          <w:lang w:val="en-US"/>
        </w:rPr>
      </w:pPr>
      <w:r w:rsidRPr="00B02D50">
        <w:rPr>
          <w:rFonts w:ascii="Times New Roman" w:eastAsia="Times New Roman" w:hAnsi="Times New Roman" w:cs="Times New Roman"/>
          <w:b/>
          <w:bCs/>
          <w:sz w:val="28"/>
          <w:szCs w:val="28"/>
          <w:lang w:val="en-US"/>
        </w:rPr>
        <w:t>On appeal from:</w:t>
      </w:r>
      <w:r w:rsidRPr="00B02D50">
        <w:rPr>
          <w:rFonts w:ascii="Times New Roman" w:eastAsia="Times New Roman" w:hAnsi="Times New Roman" w:cs="Times New Roman"/>
          <w:bCs/>
          <w:sz w:val="28"/>
          <w:szCs w:val="28"/>
          <w:lang w:val="en-US"/>
        </w:rPr>
        <w:t xml:space="preserve"> KwaZulu-Nata</w:t>
      </w:r>
      <w:r w:rsidR="00AD7433" w:rsidRPr="00B02D50">
        <w:rPr>
          <w:rFonts w:ascii="Times New Roman" w:eastAsia="Times New Roman" w:hAnsi="Times New Roman" w:cs="Times New Roman"/>
          <w:bCs/>
          <w:sz w:val="28"/>
          <w:szCs w:val="28"/>
          <w:lang w:val="en-US"/>
        </w:rPr>
        <w:t>l</w:t>
      </w:r>
      <w:r w:rsidRPr="00B02D50">
        <w:rPr>
          <w:rFonts w:ascii="Times New Roman" w:eastAsia="Times New Roman" w:hAnsi="Times New Roman" w:cs="Times New Roman"/>
          <w:bCs/>
          <w:sz w:val="28"/>
          <w:szCs w:val="28"/>
          <w:lang w:val="en-US"/>
        </w:rPr>
        <w:t xml:space="preserve"> Division of the High Court, Pietermaritzburg (Madondo AJP, sitting as court of first instance): </w:t>
      </w:r>
    </w:p>
    <w:p w:rsidR="00651D25" w:rsidRPr="00B02D50" w:rsidRDefault="00CB0ED2"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sidRPr="00B02D50">
        <w:rPr>
          <w:rFonts w:ascii="Times New Roman" w:hAnsi="Times New Roman" w:cs="Times New Roman"/>
          <w:sz w:val="28"/>
          <w:szCs w:val="28"/>
        </w:rPr>
        <w:t>The appeal is dismissed with costs, including the costs of two counsel where so e</w:t>
      </w:r>
      <w:r w:rsidR="005E31A2" w:rsidRPr="00B02D50">
        <w:rPr>
          <w:rFonts w:ascii="Times New Roman" w:hAnsi="Times New Roman" w:cs="Times New Roman"/>
          <w:sz w:val="28"/>
          <w:szCs w:val="28"/>
        </w:rPr>
        <w:t>mployed</w:t>
      </w:r>
      <w:r w:rsidRPr="00B02D50">
        <w:rPr>
          <w:rFonts w:ascii="Times New Roman" w:hAnsi="Times New Roman" w:cs="Times New Roman"/>
          <w:sz w:val="28"/>
          <w:szCs w:val="28"/>
        </w:rPr>
        <w:t>.</w:t>
      </w:r>
      <w:r w:rsidR="00343AF2">
        <w:rPr>
          <w:rFonts w:ascii="Times New Roman" w:eastAsia="Times New Roman" w:hAnsi="Times New Roman" w:cs="Times New Roman"/>
          <w:b/>
          <w:bCs/>
          <w:noProof/>
          <w:sz w:val="28"/>
          <w:szCs w:val="28"/>
          <w:lang w:val="en-US"/>
        </w:rPr>
        <w:pict w14:anchorId="3058F729">
          <v:rect id="_x0000_i1027" style="width:451.3pt;height:1.5pt" o:hralign="center" o:hrstd="t" o:hrnoshade="t" o:hr="t" fillcolor="black [3213]" stroked="f"/>
        </w:pict>
      </w:r>
    </w:p>
    <w:p w:rsidR="00651D25" w:rsidRPr="00B02D50"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sidRPr="00B02D50">
        <w:rPr>
          <w:rFonts w:ascii="Times New Roman" w:eastAsia="Times New Roman" w:hAnsi="Times New Roman" w:cs="Times New Roman"/>
          <w:b/>
          <w:bCs/>
          <w:sz w:val="28"/>
          <w:szCs w:val="28"/>
          <w:lang w:val="en-US"/>
        </w:rPr>
        <w:t>JUDGMENT</w:t>
      </w:r>
    </w:p>
    <w:p w:rsidR="00651D25" w:rsidRDefault="00343AF2" w:rsidP="00651D25">
      <w:pPr>
        <w:spacing w:after="0" w:line="360" w:lineRule="auto"/>
        <w:rPr>
          <w:rFonts w:ascii="Times New Roman" w:eastAsia="Times New Roman" w:hAnsi="Times New Roman" w:cs="Times New Roman"/>
          <w:b/>
          <w:bCs/>
          <w:noProof/>
          <w:sz w:val="28"/>
          <w:szCs w:val="28"/>
          <w:lang w:val="en-US"/>
        </w:rPr>
      </w:pPr>
      <w:r>
        <w:rPr>
          <w:rFonts w:ascii="Times New Roman" w:eastAsia="Times New Roman" w:hAnsi="Times New Roman" w:cs="Times New Roman"/>
          <w:b/>
          <w:bCs/>
          <w:noProof/>
          <w:sz w:val="28"/>
          <w:szCs w:val="28"/>
          <w:lang w:val="en-US"/>
        </w:rPr>
        <w:pict w14:anchorId="600EAC3F">
          <v:rect id="_x0000_i1028" style="width:451.3pt;height:1.5pt" o:hralign="center" o:hrstd="t" o:hrnoshade="t" o:hr="t" fillcolor="black [3213]" stroked="f"/>
        </w:pict>
      </w:r>
    </w:p>
    <w:p w:rsidR="00D746BB" w:rsidRPr="00B02D50" w:rsidRDefault="00D746BB" w:rsidP="00651D25">
      <w:pPr>
        <w:spacing w:after="0" w:line="360" w:lineRule="auto"/>
        <w:rPr>
          <w:rFonts w:ascii="Times New Roman" w:eastAsia="Times New Roman" w:hAnsi="Times New Roman" w:cs="Times New Roman"/>
          <w:sz w:val="16"/>
          <w:szCs w:val="16"/>
          <w:lang w:val="en-GB" w:eastAsia="en-GB"/>
        </w:rPr>
      </w:pPr>
    </w:p>
    <w:p w:rsidR="00651D25" w:rsidRPr="00B02D50" w:rsidRDefault="001A70FC" w:rsidP="00D746BB">
      <w:pPr>
        <w:spacing w:after="240" w:line="360" w:lineRule="auto"/>
        <w:jc w:val="both"/>
        <w:rPr>
          <w:rFonts w:ascii="Times New Roman" w:eastAsia="Times New Roman" w:hAnsi="Times New Roman" w:cs="Times New Roman"/>
          <w:b/>
          <w:sz w:val="28"/>
          <w:szCs w:val="28"/>
          <w:lang w:val="en-GB"/>
        </w:rPr>
      </w:pPr>
      <w:r w:rsidRPr="00B02D50">
        <w:rPr>
          <w:rFonts w:ascii="Times New Roman" w:eastAsia="Times New Roman" w:hAnsi="Times New Roman" w:cs="Times New Roman"/>
          <w:b/>
          <w:sz w:val="28"/>
          <w:szCs w:val="28"/>
          <w:lang w:val="en-GB"/>
        </w:rPr>
        <w:t xml:space="preserve">Mbatha JA and </w:t>
      </w:r>
      <w:r w:rsidR="00CD637A" w:rsidRPr="00B02D50">
        <w:rPr>
          <w:rFonts w:ascii="Times New Roman" w:eastAsia="Times New Roman" w:hAnsi="Times New Roman" w:cs="Times New Roman"/>
          <w:b/>
          <w:sz w:val="28"/>
          <w:szCs w:val="28"/>
          <w:lang w:val="en-GB"/>
        </w:rPr>
        <w:t>Musi A</w:t>
      </w:r>
      <w:r w:rsidR="00433AAF" w:rsidRPr="00B02D50">
        <w:rPr>
          <w:rFonts w:ascii="Times New Roman" w:eastAsia="Times New Roman" w:hAnsi="Times New Roman" w:cs="Times New Roman"/>
          <w:b/>
          <w:sz w:val="28"/>
          <w:szCs w:val="28"/>
          <w:lang w:val="en-GB"/>
        </w:rPr>
        <w:t>JA (</w:t>
      </w:r>
      <w:r w:rsidR="004D37DB" w:rsidRPr="00B02D50">
        <w:rPr>
          <w:rFonts w:ascii="Times New Roman" w:eastAsia="Times New Roman" w:hAnsi="Times New Roman" w:cs="Times New Roman"/>
          <w:b/>
          <w:bCs/>
          <w:sz w:val="28"/>
          <w:szCs w:val="28"/>
          <w:lang w:val="en-GB"/>
        </w:rPr>
        <w:t>Makgoka</w:t>
      </w:r>
      <w:r w:rsidR="004D37DB" w:rsidRPr="00B02D50">
        <w:rPr>
          <w:rFonts w:ascii="Times New Roman" w:eastAsia="Times New Roman" w:hAnsi="Times New Roman" w:cs="Times New Roman"/>
          <w:b/>
          <w:sz w:val="28"/>
          <w:szCs w:val="28"/>
          <w:lang w:val="en-GB"/>
        </w:rPr>
        <w:t xml:space="preserve"> </w:t>
      </w:r>
      <w:r w:rsidR="00845997" w:rsidRPr="00B02D50">
        <w:rPr>
          <w:rFonts w:ascii="Times New Roman" w:eastAsia="Times New Roman" w:hAnsi="Times New Roman" w:cs="Times New Roman"/>
          <w:b/>
          <w:sz w:val="28"/>
          <w:szCs w:val="28"/>
          <w:lang w:val="en-GB"/>
        </w:rPr>
        <w:t>JA</w:t>
      </w:r>
      <w:r w:rsidR="000A0188" w:rsidRPr="00B02D50">
        <w:rPr>
          <w:rFonts w:ascii="Times New Roman" w:eastAsia="Times New Roman" w:hAnsi="Times New Roman" w:cs="Times New Roman"/>
          <w:b/>
          <w:sz w:val="28"/>
          <w:szCs w:val="28"/>
          <w:lang w:val="en-GB"/>
        </w:rPr>
        <w:t xml:space="preserve"> </w:t>
      </w:r>
      <w:r w:rsidR="00651D25" w:rsidRPr="00B02D50">
        <w:rPr>
          <w:rFonts w:ascii="Times New Roman" w:eastAsia="Times New Roman" w:hAnsi="Times New Roman" w:cs="Times New Roman"/>
          <w:b/>
          <w:sz w:val="28"/>
          <w:szCs w:val="28"/>
          <w:lang w:val="en-GB"/>
        </w:rPr>
        <w:t>concurring)</w:t>
      </w:r>
      <w:r w:rsidR="005E31A2" w:rsidRPr="00B02D50">
        <w:rPr>
          <w:rFonts w:ascii="Times New Roman" w:eastAsia="Times New Roman" w:hAnsi="Times New Roman" w:cs="Times New Roman"/>
          <w:b/>
          <w:sz w:val="28"/>
          <w:szCs w:val="28"/>
          <w:lang w:val="en-GB"/>
        </w:rPr>
        <w:t>:</w:t>
      </w:r>
    </w:p>
    <w:p w:rsidR="008D0D09"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[1]</w:t>
      </w:r>
      <w:r w:rsidRPr="00B02D50">
        <w:rPr>
          <w:rFonts w:ascii="Times New Roman" w:hAnsi="Times New Roman" w:cs="Times New Roman"/>
          <w:bCs/>
          <w:sz w:val="28"/>
          <w:szCs w:val="28"/>
        </w:rPr>
        <w:tab/>
      </w:r>
      <w:r w:rsidR="009B7D43" w:rsidRPr="005F3E98">
        <w:rPr>
          <w:rFonts w:ascii="Times New Roman" w:hAnsi="Times New Roman" w:cs="Times New Roman"/>
          <w:bCs/>
          <w:sz w:val="28"/>
          <w:szCs w:val="28"/>
        </w:rPr>
        <w:t xml:space="preserve">The aftermath of the </w:t>
      </w:r>
      <w:r w:rsidR="005C20E5" w:rsidRPr="005F3E98">
        <w:rPr>
          <w:rFonts w:ascii="Times New Roman" w:hAnsi="Times New Roman" w:cs="Times New Roman"/>
          <w:bCs/>
          <w:sz w:val="28"/>
          <w:szCs w:val="28"/>
        </w:rPr>
        <w:t xml:space="preserve">death </w:t>
      </w:r>
      <w:r w:rsidR="008D0D09" w:rsidRPr="005F3E98">
        <w:rPr>
          <w:rFonts w:ascii="Times New Roman" w:hAnsi="Times New Roman" w:cs="Times New Roman"/>
          <w:bCs/>
          <w:sz w:val="28"/>
          <w:szCs w:val="28"/>
        </w:rPr>
        <w:t xml:space="preserve">of </w:t>
      </w:r>
      <w:r w:rsidR="000D0B8D" w:rsidRPr="005F3E98">
        <w:rPr>
          <w:rFonts w:ascii="Times New Roman" w:hAnsi="Times New Roman" w:cs="Times New Roman"/>
          <w:bCs/>
          <w:sz w:val="28"/>
          <w:szCs w:val="28"/>
        </w:rPr>
        <w:t xml:space="preserve"> </w:t>
      </w:r>
      <w:r w:rsidR="008D0D09" w:rsidRPr="005F3E98">
        <w:rPr>
          <w:rFonts w:ascii="Times New Roman" w:hAnsi="Times New Roman" w:cs="Times New Roman"/>
          <w:bCs/>
          <w:sz w:val="28"/>
          <w:szCs w:val="28"/>
        </w:rPr>
        <w:t>King Goodwill Zwelith</w:t>
      </w:r>
      <w:r w:rsidR="009B7D43" w:rsidRPr="005F3E98">
        <w:rPr>
          <w:rFonts w:ascii="Times New Roman" w:hAnsi="Times New Roman" w:cs="Times New Roman"/>
          <w:bCs/>
          <w:sz w:val="28"/>
          <w:szCs w:val="28"/>
        </w:rPr>
        <w:t>ini kaBhekuzulu Zulu (</w:t>
      </w:r>
      <w:r w:rsidR="00C1505C" w:rsidRPr="005F3E98">
        <w:rPr>
          <w:rFonts w:ascii="Times New Roman" w:hAnsi="Times New Roman" w:cs="Times New Roman"/>
          <w:bCs/>
          <w:sz w:val="28"/>
          <w:szCs w:val="28"/>
        </w:rPr>
        <w:t xml:space="preserve">the late </w:t>
      </w:r>
      <w:r w:rsidR="009B7D43" w:rsidRPr="005F3E98">
        <w:rPr>
          <w:rFonts w:ascii="Times New Roman" w:hAnsi="Times New Roman" w:cs="Times New Roman"/>
          <w:bCs/>
          <w:sz w:val="28"/>
          <w:szCs w:val="28"/>
        </w:rPr>
        <w:t>Isilo)</w:t>
      </w:r>
      <w:r w:rsidR="006F3772" w:rsidRPr="00B02D50">
        <w:rPr>
          <w:rStyle w:val="FootnoteReference"/>
          <w:rFonts w:ascii="Times New Roman" w:hAnsi="Times New Roman" w:cs="Times New Roman"/>
          <w:bCs/>
          <w:sz w:val="28"/>
          <w:szCs w:val="28"/>
        </w:rPr>
        <w:footnoteReference w:id="1"/>
      </w:r>
      <w:r w:rsidR="009B7D43" w:rsidRPr="005F3E98">
        <w:rPr>
          <w:rFonts w:ascii="Times New Roman" w:hAnsi="Times New Roman" w:cs="Times New Roman"/>
          <w:bCs/>
          <w:sz w:val="28"/>
          <w:szCs w:val="28"/>
        </w:rPr>
        <w:t xml:space="preserve"> was</w:t>
      </w:r>
      <w:r w:rsidR="008D0D09" w:rsidRPr="005F3E98">
        <w:rPr>
          <w:rFonts w:ascii="Times New Roman" w:hAnsi="Times New Roman" w:cs="Times New Roman"/>
          <w:bCs/>
          <w:sz w:val="28"/>
          <w:szCs w:val="28"/>
        </w:rPr>
        <w:t xml:space="preserve"> unfortunately marred by litigation between members of the </w:t>
      </w:r>
      <w:r w:rsidR="007349FE" w:rsidRPr="005F3E98">
        <w:rPr>
          <w:rFonts w:ascii="Times New Roman" w:hAnsi="Times New Roman" w:cs="Times New Roman"/>
          <w:bCs/>
          <w:sz w:val="28"/>
          <w:szCs w:val="28"/>
        </w:rPr>
        <w:t xml:space="preserve">Zulu </w:t>
      </w:r>
      <w:r w:rsidR="008D0D09" w:rsidRPr="005F3E98">
        <w:rPr>
          <w:rFonts w:ascii="Times New Roman" w:hAnsi="Times New Roman" w:cs="Times New Roman"/>
          <w:bCs/>
          <w:sz w:val="28"/>
          <w:szCs w:val="28"/>
        </w:rPr>
        <w:t xml:space="preserve">Royal Family. This appeal is a sequel </w:t>
      </w:r>
      <w:r w:rsidR="005C20E5" w:rsidRPr="005F3E98">
        <w:rPr>
          <w:rFonts w:ascii="Times New Roman" w:hAnsi="Times New Roman" w:cs="Times New Roman"/>
          <w:bCs/>
          <w:sz w:val="28"/>
          <w:szCs w:val="28"/>
        </w:rPr>
        <w:t xml:space="preserve">to one of the legal disputes. </w:t>
      </w:r>
    </w:p>
    <w:p w:rsidR="005C20E5" w:rsidRPr="00B02D50" w:rsidRDefault="005C20E5" w:rsidP="008D3F8D">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[2]</w:t>
      </w:r>
      <w:r w:rsidRPr="00B02D50">
        <w:rPr>
          <w:rFonts w:ascii="Times New Roman" w:hAnsi="Times New Roman" w:cs="Times New Roman"/>
          <w:bCs/>
          <w:sz w:val="28"/>
          <w:szCs w:val="28"/>
        </w:rPr>
        <w:tab/>
      </w:r>
      <w:r w:rsidR="009B7D43" w:rsidRPr="005F3E98">
        <w:rPr>
          <w:rFonts w:ascii="Times New Roman" w:hAnsi="Times New Roman" w:cs="Times New Roman"/>
          <w:bCs/>
          <w:sz w:val="28"/>
          <w:szCs w:val="28"/>
        </w:rPr>
        <w:t>Queen</w:t>
      </w:r>
      <w:r w:rsidR="000D0B8D" w:rsidRPr="005F3E98">
        <w:rPr>
          <w:rFonts w:ascii="Times New Roman" w:hAnsi="Times New Roman" w:cs="Times New Roman"/>
          <w:bCs/>
          <w:sz w:val="28"/>
          <w:szCs w:val="28"/>
        </w:rPr>
        <w:t xml:space="preserve"> (Indlovukazi)</w:t>
      </w:r>
      <w:r w:rsidR="00BD3A2C" w:rsidRPr="00B02D50">
        <w:rPr>
          <w:rStyle w:val="FootnoteReference"/>
          <w:rFonts w:ascii="Times New Roman" w:hAnsi="Times New Roman" w:cs="Times New Roman"/>
          <w:bCs/>
          <w:sz w:val="28"/>
          <w:szCs w:val="28"/>
        </w:rPr>
        <w:footnoteReference w:id="2"/>
      </w:r>
      <w:r w:rsidR="009B7D43" w:rsidRPr="005F3E98">
        <w:rPr>
          <w:rFonts w:ascii="Times New Roman" w:hAnsi="Times New Roman" w:cs="Times New Roman"/>
          <w:bCs/>
          <w:sz w:val="28"/>
          <w:szCs w:val="28"/>
        </w:rPr>
        <w:t xml:space="preserve"> Sibongile Winnifred Zulu (the appellant Queen)</w:t>
      </w:r>
      <w:r w:rsidR="008D0D09" w:rsidRPr="005F3E98">
        <w:rPr>
          <w:rFonts w:ascii="Times New Roman" w:hAnsi="Times New Roman" w:cs="Times New Roman"/>
          <w:bCs/>
          <w:sz w:val="28"/>
          <w:szCs w:val="28"/>
        </w:rPr>
        <w:t xml:space="preserve"> appeals against </w:t>
      </w:r>
      <w:r w:rsidR="009B7D43" w:rsidRPr="005F3E98">
        <w:rPr>
          <w:rFonts w:ascii="Times New Roman" w:hAnsi="Times New Roman" w:cs="Times New Roman"/>
          <w:bCs/>
          <w:sz w:val="28"/>
          <w:szCs w:val="28"/>
        </w:rPr>
        <w:t xml:space="preserve">the judgment </w:t>
      </w:r>
      <w:r w:rsidR="008D0D09" w:rsidRPr="005F3E98">
        <w:rPr>
          <w:rFonts w:ascii="Times New Roman" w:hAnsi="Times New Roman" w:cs="Times New Roman"/>
          <w:bCs/>
          <w:sz w:val="28"/>
          <w:szCs w:val="28"/>
        </w:rPr>
        <w:t>an</w:t>
      </w:r>
      <w:r w:rsidR="00D5651F" w:rsidRPr="005F3E98">
        <w:rPr>
          <w:rFonts w:ascii="Times New Roman" w:hAnsi="Times New Roman" w:cs="Times New Roman"/>
          <w:bCs/>
          <w:sz w:val="28"/>
          <w:szCs w:val="28"/>
        </w:rPr>
        <w:t>d</w:t>
      </w:r>
      <w:r w:rsidR="008D0D09" w:rsidRPr="005F3E98">
        <w:rPr>
          <w:rFonts w:ascii="Times New Roman" w:hAnsi="Times New Roman" w:cs="Times New Roman"/>
          <w:bCs/>
          <w:sz w:val="28"/>
          <w:szCs w:val="28"/>
        </w:rPr>
        <w:t xml:space="preserve"> order of the </w:t>
      </w:r>
      <w:r w:rsidR="00813760" w:rsidRPr="005F3E98">
        <w:rPr>
          <w:rFonts w:ascii="Times New Roman" w:hAnsi="Times New Roman" w:cs="Times New Roman"/>
          <w:bCs/>
          <w:sz w:val="28"/>
          <w:szCs w:val="28"/>
        </w:rPr>
        <w:t>Kwa</w:t>
      </w:r>
      <w:r w:rsidR="007C3F2A" w:rsidRPr="005F3E98">
        <w:rPr>
          <w:rFonts w:ascii="Times New Roman" w:hAnsi="Times New Roman" w:cs="Times New Roman"/>
          <w:bCs/>
          <w:sz w:val="28"/>
          <w:szCs w:val="28"/>
        </w:rPr>
        <w:t>Z</w:t>
      </w:r>
      <w:r w:rsidR="00813760" w:rsidRPr="005F3E98">
        <w:rPr>
          <w:rFonts w:ascii="Times New Roman" w:hAnsi="Times New Roman" w:cs="Times New Roman"/>
          <w:bCs/>
          <w:sz w:val="28"/>
          <w:szCs w:val="28"/>
        </w:rPr>
        <w:t xml:space="preserve">ulu-Natal </w:t>
      </w:r>
      <w:r w:rsidR="009B7D43" w:rsidRPr="005F3E98">
        <w:rPr>
          <w:rFonts w:ascii="Times New Roman" w:hAnsi="Times New Roman" w:cs="Times New Roman"/>
          <w:bCs/>
          <w:sz w:val="28"/>
          <w:szCs w:val="28"/>
        </w:rPr>
        <w:t xml:space="preserve">Division of the </w:t>
      </w:r>
      <w:r w:rsidR="00813760" w:rsidRPr="005F3E98">
        <w:rPr>
          <w:rFonts w:ascii="Times New Roman" w:hAnsi="Times New Roman" w:cs="Times New Roman"/>
          <w:bCs/>
          <w:sz w:val="28"/>
          <w:szCs w:val="28"/>
        </w:rPr>
        <w:t>High Court</w:t>
      </w:r>
      <w:r w:rsidR="007C3F2A" w:rsidRPr="005F3E98">
        <w:rPr>
          <w:rFonts w:ascii="Times New Roman" w:hAnsi="Times New Roman" w:cs="Times New Roman"/>
          <w:bCs/>
          <w:sz w:val="28"/>
          <w:szCs w:val="28"/>
        </w:rPr>
        <w:t>, Pietermaritzburg</w:t>
      </w:r>
      <w:r w:rsidR="00813760" w:rsidRPr="005F3E98">
        <w:rPr>
          <w:rFonts w:ascii="Times New Roman" w:hAnsi="Times New Roman" w:cs="Times New Roman"/>
          <w:bCs/>
          <w:sz w:val="28"/>
          <w:szCs w:val="28"/>
        </w:rPr>
        <w:t xml:space="preserve"> (</w:t>
      </w:r>
      <w:r w:rsidR="009B7D43" w:rsidRPr="005F3E98">
        <w:rPr>
          <w:rFonts w:ascii="Times New Roman" w:hAnsi="Times New Roman" w:cs="Times New Roman"/>
          <w:bCs/>
          <w:sz w:val="28"/>
          <w:szCs w:val="28"/>
        </w:rPr>
        <w:t xml:space="preserve">the </w:t>
      </w:r>
      <w:r w:rsidR="00813760" w:rsidRPr="005F3E98">
        <w:rPr>
          <w:rFonts w:ascii="Times New Roman" w:hAnsi="Times New Roman" w:cs="Times New Roman"/>
          <w:bCs/>
          <w:sz w:val="28"/>
          <w:szCs w:val="28"/>
        </w:rPr>
        <w:t>high c</w:t>
      </w:r>
      <w:r w:rsidR="008D0D09" w:rsidRPr="005F3E98">
        <w:rPr>
          <w:rFonts w:ascii="Times New Roman" w:hAnsi="Times New Roman" w:cs="Times New Roman"/>
          <w:bCs/>
          <w:sz w:val="28"/>
          <w:szCs w:val="28"/>
        </w:rPr>
        <w:t>ourt)</w:t>
      </w:r>
      <w:r w:rsidR="006418CC" w:rsidRPr="005F3E98">
        <w:rPr>
          <w:rFonts w:ascii="Times New Roman" w:hAnsi="Times New Roman" w:cs="Times New Roman"/>
          <w:bCs/>
          <w:sz w:val="28"/>
          <w:szCs w:val="28"/>
        </w:rPr>
        <w:t>.</w:t>
      </w:r>
      <w:r w:rsidR="008D0D09" w:rsidRPr="005F3E98">
        <w:rPr>
          <w:rFonts w:ascii="Times New Roman" w:hAnsi="Times New Roman" w:cs="Times New Roman"/>
          <w:bCs/>
          <w:sz w:val="28"/>
          <w:szCs w:val="28"/>
        </w:rPr>
        <w:t xml:space="preserve"> </w:t>
      </w:r>
      <w:r w:rsidR="006418CC" w:rsidRPr="005F3E98">
        <w:rPr>
          <w:rFonts w:ascii="Times New Roman" w:hAnsi="Times New Roman" w:cs="Times New Roman"/>
          <w:bCs/>
          <w:sz w:val="28"/>
          <w:szCs w:val="28"/>
        </w:rPr>
        <w:t>The appellant Queen had sought a declaratory order</w:t>
      </w:r>
      <w:r w:rsidR="00C1505C" w:rsidRPr="005F3E98">
        <w:rPr>
          <w:rFonts w:ascii="Times New Roman" w:hAnsi="Times New Roman" w:cs="Times New Roman"/>
          <w:bCs/>
          <w:sz w:val="28"/>
          <w:szCs w:val="28"/>
        </w:rPr>
        <w:t xml:space="preserve"> stating</w:t>
      </w:r>
      <w:r w:rsidR="006418CC" w:rsidRPr="005F3E98">
        <w:rPr>
          <w:rFonts w:ascii="Times New Roman" w:hAnsi="Times New Roman" w:cs="Times New Roman"/>
          <w:bCs/>
          <w:sz w:val="28"/>
          <w:szCs w:val="28"/>
        </w:rPr>
        <w:t xml:space="preserve"> that</w:t>
      </w:r>
      <w:r w:rsidR="006F3772" w:rsidRPr="005F3E98">
        <w:rPr>
          <w:rFonts w:ascii="Times New Roman" w:hAnsi="Times New Roman" w:cs="Times New Roman"/>
          <w:bCs/>
          <w:sz w:val="28"/>
          <w:szCs w:val="28"/>
        </w:rPr>
        <w:t xml:space="preserve"> she was married to the late Isilo </w:t>
      </w:r>
      <w:r w:rsidR="006418CC" w:rsidRPr="005F3E98">
        <w:rPr>
          <w:rFonts w:ascii="Times New Roman" w:hAnsi="Times New Roman" w:cs="Times New Roman"/>
          <w:bCs/>
          <w:sz w:val="28"/>
          <w:szCs w:val="28"/>
        </w:rPr>
        <w:t xml:space="preserve">in terms of civil law, in community </w:t>
      </w:r>
      <w:r w:rsidR="00DE521F" w:rsidRPr="005F3E98">
        <w:rPr>
          <w:rFonts w:ascii="Times New Roman" w:hAnsi="Times New Roman" w:cs="Times New Roman"/>
          <w:bCs/>
          <w:sz w:val="28"/>
          <w:szCs w:val="28"/>
        </w:rPr>
        <w:t>of property and profit and loss</w:t>
      </w:r>
      <w:r w:rsidR="006418CC" w:rsidRPr="005F3E98">
        <w:rPr>
          <w:rFonts w:ascii="Times New Roman" w:hAnsi="Times New Roman" w:cs="Times New Roman"/>
          <w:bCs/>
          <w:sz w:val="28"/>
          <w:szCs w:val="28"/>
        </w:rPr>
        <w:t xml:space="preserve"> and that the late Isilo was precluded from entering into customary marriages with other persons while the marriage between them subsisted. The high court </w:t>
      </w:r>
      <w:r w:rsidR="008D0D09" w:rsidRPr="005F3E98">
        <w:rPr>
          <w:rFonts w:ascii="Times New Roman" w:hAnsi="Times New Roman" w:cs="Times New Roman"/>
          <w:bCs/>
          <w:sz w:val="28"/>
          <w:szCs w:val="28"/>
        </w:rPr>
        <w:t>dismiss</w:t>
      </w:r>
      <w:r w:rsidR="006418CC" w:rsidRPr="005F3E98">
        <w:rPr>
          <w:rFonts w:ascii="Times New Roman" w:hAnsi="Times New Roman" w:cs="Times New Roman"/>
          <w:bCs/>
          <w:sz w:val="28"/>
          <w:szCs w:val="28"/>
        </w:rPr>
        <w:t>ed</w:t>
      </w:r>
      <w:r w:rsidR="008D0D09" w:rsidRPr="005F3E98">
        <w:rPr>
          <w:rFonts w:ascii="Times New Roman" w:hAnsi="Times New Roman" w:cs="Times New Roman"/>
          <w:bCs/>
          <w:sz w:val="28"/>
          <w:szCs w:val="28"/>
        </w:rPr>
        <w:t xml:space="preserve"> </w:t>
      </w:r>
      <w:r w:rsidR="006418CC" w:rsidRPr="005F3E98">
        <w:rPr>
          <w:rFonts w:ascii="Times New Roman" w:hAnsi="Times New Roman" w:cs="Times New Roman"/>
          <w:bCs/>
          <w:sz w:val="28"/>
          <w:szCs w:val="28"/>
        </w:rPr>
        <w:t xml:space="preserve">the application. </w:t>
      </w:r>
      <w:r w:rsidR="00055E01" w:rsidRPr="005F3E98">
        <w:rPr>
          <w:rFonts w:ascii="Times New Roman" w:hAnsi="Times New Roman" w:cs="Times New Roman"/>
          <w:bCs/>
          <w:sz w:val="28"/>
          <w:szCs w:val="28"/>
        </w:rPr>
        <w:t xml:space="preserve">The </w:t>
      </w:r>
      <w:r w:rsidR="006418CC" w:rsidRPr="005F3E98">
        <w:rPr>
          <w:rFonts w:ascii="Times New Roman" w:hAnsi="Times New Roman" w:cs="Times New Roman"/>
          <w:bCs/>
          <w:sz w:val="28"/>
          <w:szCs w:val="28"/>
        </w:rPr>
        <w:t xml:space="preserve">appellant Queen now </w:t>
      </w:r>
      <w:r w:rsidR="00055E01" w:rsidRPr="005F3E98">
        <w:rPr>
          <w:rFonts w:ascii="Times New Roman" w:hAnsi="Times New Roman" w:cs="Times New Roman"/>
          <w:bCs/>
          <w:sz w:val="28"/>
          <w:szCs w:val="28"/>
        </w:rPr>
        <w:t>appeal</w:t>
      </w:r>
      <w:r w:rsidR="006418CC" w:rsidRPr="005F3E98">
        <w:rPr>
          <w:rFonts w:ascii="Times New Roman" w:hAnsi="Times New Roman" w:cs="Times New Roman"/>
          <w:bCs/>
          <w:sz w:val="28"/>
          <w:szCs w:val="28"/>
        </w:rPr>
        <w:t>s</w:t>
      </w:r>
      <w:r w:rsidR="00055E01" w:rsidRPr="005F3E98">
        <w:rPr>
          <w:rFonts w:ascii="Times New Roman" w:hAnsi="Times New Roman" w:cs="Times New Roman"/>
          <w:bCs/>
          <w:sz w:val="28"/>
          <w:szCs w:val="28"/>
        </w:rPr>
        <w:t xml:space="preserve"> with the leave of this Court.</w:t>
      </w:r>
    </w:p>
    <w:p w:rsidR="006D58D2" w:rsidRPr="00B02D50" w:rsidRDefault="006D58D2" w:rsidP="00D85FD2">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lastRenderedPageBreak/>
        <w:t>[3]</w:t>
      </w:r>
      <w:r w:rsidRPr="00B02D50">
        <w:rPr>
          <w:rFonts w:ascii="Times New Roman" w:hAnsi="Times New Roman" w:cs="Times New Roman"/>
          <w:bCs/>
          <w:sz w:val="28"/>
          <w:szCs w:val="28"/>
        </w:rPr>
        <w:tab/>
      </w:r>
      <w:r w:rsidR="006418CC" w:rsidRPr="005F3E98">
        <w:rPr>
          <w:rFonts w:ascii="Times New Roman" w:hAnsi="Times New Roman" w:cs="Times New Roman"/>
          <w:bCs/>
          <w:sz w:val="28"/>
          <w:szCs w:val="28"/>
        </w:rPr>
        <w:t xml:space="preserve">The background is briefly this. </w:t>
      </w:r>
      <w:r w:rsidR="0005400E" w:rsidRPr="005F3E98">
        <w:rPr>
          <w:rFonts w:ascii="Times New Roman" w:hAnsi="Times New Roman" w:cs="Times New Roman"/>
          <w:bCs/>
          <w:sz w:val="28"/>
          <w:szCs w:val="28"/>
        </w:rPr>
        <w:t>The appellant</w:t>
      </w:r>
      <w:r w:rsidR="00E30638" w:rsidRPr="005F3E98">
        <w:rPr>
          <w:rFonts w:ascii="Times New Roman" w:hAnsi="Times New Roman" w:cs="Times New Roman"/>
          <w:bCs/>
          <w:sz w:val="28"/>
          <w:szCs w:val="28"/>
        </w:rPr>
        <w:t xml:space="preserve"> Qu</w:t>
      </w:r>
      <w:r w:rsidR="0005400E" w:rsidRPr="005F3E98">
        <w:rPr>
          <w:rFonts w:ascii="Times New Roman" w:hAnsi="Times New Roman" w:cs="Times New Roman"/>
          <w:bCs/>
          <w:sz w:val="28"/>
          <w:szCs w:val="28"/>
        </w:rPr>
        <w:t>een</w:t>
      </w:r>
      <w:r w:rsidR="00E30638" w:rsidRPr="005F3E98">
        <w:rPr>
          <w:rFonts w:ascii="Times New Roman" w:hAnsi="Times New Roman" w:cs="Times New Roman"/>
          <w:bCs/>
          <w:sz w:val="28"/>
          <w:szCs w:val="28"/>
        </w:rPr>
        <w:t xml:space="preserve"> </w:t>
      </w:r>
      <w:r w:rsidR="008D0D09" w:rsidRPr="005F3E98">
        <w:rPr>
          <w:rFonts w:ascii="Times New Roman" w:hAnsi="Times New Roman" w:cs="Times New Roman"/>
          <w:bCs/>
          <w:sz w:val="28"/>
          <w:szCs w:val="28"/>
        </w:rPr>
        <w:t xml:space="preserve">and the late Isilo entered into a marriage in community of property and profit and loss on 27 December 1969, in </w:t>
      </w:r>
      <w:r w:rsidR="002D60DB" w:rsidRPr="005F3E98">
        <w:rPr>
          <w:rFonts w:ascii="Times New Roman" w:hAnsi="Times New Roman" w:cs="Times New Roman"/>
          <w:bCs/>
          <w:sz w:val="28"/>
          <w:szCs w:val="28"/>
        </w:rPr>
        <w:t>accordance with s 22 of the Black Admini</w:t>
      </w:r>
      <w:r w:rsidR="00E30638" w:rsidRPr="005F3E98">
        <w:rPr>
          <w:rFonts w:ascii="Times New Roman" w:hAnsi="Times New Roman" w:cs="Times New Roman"/>
          <w:bCs/>
          <w:sz w:val="28"/>
          <w:szCs w:val="28"/>
        </w:rPr>
        <w:t>s</w:t>
      </w:r>
      <w:r w:rsidR="002D60DB" w:rsidRPr="005F3E98">
        <w:rPr>
          <w:rFonts w:ascii="Times New Roman" w:hAnsi="Times New Roman" w:cs="Times New Roman"/>
          <w:bCs/>
          <w:sz w:val="28"/>
          <w:szCs w:val="28"/>
        </w:rPr>
        <w:t>tration Act</w:t>
      </w:r>
      <w:r w:rsidR="00E30638" w:rsidRPr="005F3E98">
        <w:rPr>
          <w:rFonts w:ascii="Times New Roman" w:hAnsi="Times New Roman" w:cs="Times New Roman"/>
          <w:bCs/>
          <w:sz w:val="28"/>
          <w:szCs w:val="28"/>
        </w:rPr>
        <w:t xml:space="preserve"> 38 of 1927 read with </w:t>
      </w:r>
      <w:r w:rsidR="008D0D09" w:rsidRPr="005F3E98">
        <w:rPr>
          <w:rFonts w:ascii="Times New Roman" w:hAnsi="Times New Roman" w:cs="Times New Roman"/>
          <w:bCs/>
          <w:sz w:val="28"/>
          <w:szCs w:val="28"/>
        </w:rPr>
        <w:t>the Marriage Act 25 of 1961</w:t>
      </w:r>
      <w:r w:rsidR="007F6744" w:rsidRPr="005F3E98">
        <w:rPr>
          <w:rFonts w:ascii="Times New Roman" w:hAnsi="Times New Roman" w:cs="Times New Roman"/>
          <w:bCs/>
          <w:sz w:val="28"/>
          <w:szCs w:val="28"/>
        </w:rPr>
        <w:t xml:space="preserve"> (the Marriage Act)</w:t>
      </w:r>
      <w:r w:rsidR="008D0D09" w:rsidRPr="005F3E98">
        <w:rPr>
          <w:rFonts w:ascii="Times New Roman" w:hAnsi="Times New Roman" w:cs="Times New Roman"/>
          <w:bCs/>
          <w:sz w:val="28"/>
          <w:szCs w:val="28"/>
        </w:rPr>
        <w:t xml:space="preserve">. The marriage </w:t>
      </w:r>
      <w:r w:rsidR="0005400E" w:rsidRPr="005F3E98">
        <w:rPr>
          <w:rFonts w:ascii="Times New Roman" w:hAnsi="Times New Roman" w:cs="Times New Roman"/>
          <w:bCs/>
          <w:sz w:val="28"/>
          <w:szCs w:val="28"/>
        </w:rPr>
        <w:t xml:space="preserve">still </w:t>
      </w:r>
      <w:r w:rsidR="008D0D09" w:rsidRPr="005F3E98">
        <w:rPr>
          <w:rFonts w:ascii="Times New Roman" w:hAnsi="Times New Roman" w:cs="Times New Roman"/>
          <w:bCs/>
          <w:sz w:val="28"/>
          <w:szCs w:val="28"/>
        </w:rPr>
        <w:t>subsisted at the t</w:t>
      </w:r>
      <w:r w:rsidR="00D5651F" w:rsidRPr="005F3E98">
        <w:rPr>
          <w:rFonts w:ascii="Times New Roman" w:hAnsi="Times New Roman" w:cs="Times New Roman"/>
          <w:bCs/>
          <w:sz w:val="28"/>
          <w:szCs w:val="28"/>
        </w:rPr>
        <w:t xml:space="preserve">ime </w:t>
      </w:r>
      <w:r w:rsidR="006F3772" w:rsidRPr="005F3E98">
        <w:rPr>
          <w:rFonts w:ascii="Times New Roman" w:hAnsi="Times New Roman" w:cs="Times New Roman"/>
          <w:bCs/>
          <w:sz w:val="28"/>
          <w:szCs w:val="28"/>
        </w:rPr>
        <w:t xml:space="preserve">of the Isilo’s </w:t>
      </w:r>
      <w:r w:rsidR="005C20E5" w:rsidRPr="005F3E98">
        <w:rPr>
          <w:rFonts w:ascii="Times New Roman" w:hAnsi="Times New Roman" w:cs="Times New Roman"/>
          <w:bCs/>
          <w:sz w:val="28"/>
          <w:szCs w:val="28"/>
        </w:rPr>
        <w:t>death.</w:t>
      </w:r>
    </w:p>
    <w:p w:rsidR="006D58D2" w:rsidRPr="00B02D50" w:rsidRDefault="006D58D2" w:rsidP="006D58D2">
      <w:pPr>
        <w:pStyle w:val="ListParagrap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[4]</w:t>
      </w:r>
      <w:r w:rsidRPr="00B02D50">
        <w:rPr>
          <w:rFonts w:ascii="Times New Roman" w:hAnsi="Times New Roman" w:cs="Times New Roman"/>
          <w:bCs/>
          <w:sz w:val="28"/>
          <w:szCs w:val="28"/>
        </w:rPr>
        <w:tab/>
      </w:r>
      <w:r w:rsidR="008D0D09" w:rsidRPr="005F3E98">
        <w:rPr>
          <w:rFonts w:ascii="Times New Roman" w:hAnsi="Times New Roman" w:cs="Times New Roman"/>
          <w:bCs/>
          <w:sz w:val="28"/>
          <w:szCs w:val="28"/>
        </w:rPr>
        <w:t>During the subsistence of the</w:t>
      </w:r>
      <w:r w:rsidR="00D5651F" w:rsidRPr="005F3E98">
        <w:rPr>
          <w:rFonts w:ascii="Times New Roman" w:hAnsi="Times New Roman" w:cs="Times New Roman"/>
          <w:bCs/>
          <w:sz w:val="28"/>
          <w:szCs w:val="28"/>
        </w:rPr>
        <w:t xml:space="preserve"> civil</w:t>
      </w:r>
      <w:r w:rsidR="008D0D09" w:rsidRPr="005F3E98">
        <w:rPr>
          <w:rFonts w:ascii="Times New Roman" w:hAnsi="Times New Roman" w:cs="Times New Roman"/>
          <w:bCs/>
          <w:sz w:val="28"/>
          <w:szCs w:val="28"/>
        </w:rPr>
        <w:t xml:space="preserve"> marriage</w:t>
      </w:r>
      <w:r w:rsidR="00D5651F" w:rsidRPr="005F3E98">
        <w:rPr>
          <w:rFonts w:ascii="Times New Roman" w:hAnsi="Times New Roman" w:cs="Times New Roman"/>
          <w:bCs/>
          <w:sz w:val="28"/>
          <w:szCs w:val="28"/>
        </w:rPr>
        <w:t>,</w:t>
      </w:r>
      <w:r w:rsidR="008D0D09" w:rsidRPr="005F3E98">
        <w:rPr>
          <w:rFonts w:ascii="Times New Roman" w:hAnsi="Times New Roman" w:cs="Times New Roman"/>
          <w:bCs/>
          <w:sz w:val="28"/>
          <w:szCs w:val="28"/>
        </w:rPr>
        <w:t xml:space="preserve"> the late Isilo entered into c</w:t>
      </w:r>
      <w:r w:rsidR="00E30638" w:rsidRPr="005F3E98">
        <w:rPr>
          <w:rFonts w:ascii="Times New Roman" w:hAnsi="Times New Roman" w:cs="Times New Roman"/>
          <w:bCs/>
          <w:sz w:val="28"/>
          <w:szCs w:val="28"/>
        </w:rPr>
        <w:t>ustomary marr</w:t>
      </w:r>
      <w:r w:rsidR="009126E0" w:rsidRPr="005F3E98">
        <w:rPr>
          <w:rFonts w:ascii="Times New Roman" w:hAnsi="Times New Roman" w:cs="Times New Roman"/>
          <w:bCs/>
          <w:sz w:val="28"/>
          <w:szCs w:val="28"/>
        </w:rPr>
        <w:t>i</w:t>
      </w:r>
      <w:r w:rsidR="00E30638" w:rsidRPr="005F3E98">
        <w:rPr>
          <w:rFonts w:ascii="Times New Roman" w:hAnsi="Times New Roman" w:cs="Times New Roman"/>
          <w:bCs/>
          <w:sz w:val="28"/>
          <w:szCs w:val="28"/>
        </w:rPr>
        <w:t>a</w:t>
      </w:r>
      <w:r w:rsidR="009126E0" w:rsidRPr="005F3E98">
        <w:rPr>
          <w:rFonts w:ascii="Times New Roman" w:hAnsi="Times New Roman" w:cs="Times New Roman"/>
          <w:bCs/>
          <w:sz w:val="28"/>
          <w:szCs w:val="28"/>
        </w:rPr>
        <w:t>ges</w:t>
      </w:r>
      <w:r w:rsidR="008D0D09" w:rsidRPr="005F3E98">
        <w:rPr>
          <w:rFonts w:ascii="Times New Roman" w:hAnsi="Times New Roman" w:cs="Times New Roman"/>
          <w:bCs/>
          <w:sz w:val="28"/>
          <w:szCs w:val="28"/>
        </w:rPr>
        <w:t xml:space="preserve"> with the</w:t>
      </w:r>
      <w:r w:rsidR="00CA4C2F" w:rsidRPr="005F3E98">
        <w:rPr>
          <w:rFonts w:ascii="Times New Roman" w:hAnsi="Times New Roman" w:cs="Times New Roman"/>
          <w:bCs/>
          <w:sz w:val="28"/>
          <w:szCs w:val="28"/>
        </w:rPr>
        <w:t xml:space="preserve"> second respondent, the</w:t>
      </w:r>
      <w:r w:rsidR="00413AC8" w:rsidRPr="005F3E98">
        <w:rPr>
          <w:rFonts w:ascii="Times New Roman" w:hAnsi="Times New Roman" w:cs="Times New Roman"/>
          <w:bCs/>
          <w:sz w:val="28"/>
          <w:szCs w:val="28"/>
        </w:rPr>
        <w:t xml:space="preserve"> </w:t>
      </w:r>
      <w:r w:rsidR="00413AC8" w:rsidRPr="005F3E98">
        <w:rPr>
          <w:rFonts w:ascii="Times New Roman" w:eastAsia="Times New Roman" w:hAnsi="Times New Roman" w:cs="Times New Roman"/>
          <w:sz w:val="28"/>
          <w:szCs w:val="28"/>
          <w:lang w:val="en-GB" w:eastAsia="en-GB"/>
        </w:rPr>
        <w:t>late Queen Shiyiwe Mantfombi Dlamini</w:t>
      </w:r>
      <w:r w:rsidR="001F464F" w:rsidRPr="005F3E98">
        <w:rPr>
          <w:rFonts w:ascii="Times New Roman" w:eastAsia="Times New Roman" w:hAnsi="Times New Roman" w:cs="Times New Roman"/>
          <w:sz w:val="28"/>
          <w:szCs w:val="28"/>
          <w:lang w:val="en-GB" w:eastAsia="en-GB"/>
        </w:rPr>
        <w:t xml:space="preserve"> (the late Que</w:t>
      </w:r>
      <w:r w:rsidR="00413AC8" w:rsidRPr="005F3E98">
        <w:rPr>
          <w:rFonts w:ascii="Times New Roman" w:eastAsia="Times New Roman" w:hAnsi="Times New Roman" w:cs="Times New Roman"/>
          <w:sz w:val="28"/>
          <w:szCs w:val="28"/>
          <w:lang w:val="en-GB" w:eastAsia="en-GB"/>
        </w:rPr>
        <w:t>en), and the</w:t>
      </w:r>
      <w:r w:rsidR="008D0D09" w:rsidRPr="005F3E98">
        <w:rPr>
          <w:rFonts w:ascii="Times New Roman" w:hAnsi="Times New Roman" w:cs="Times New Roman"/>
          <w:bCs/>
          <w:sz w:val="28"/>
          <w:szCs w:val="28"/>
        </w:rPr>
        <w:t xml:space="preserve"> first</w:t>
      </w:r>
      <w:r w:rsidR="00413AC8" w:rsidRPr="005F3E98">
        <w:rPr>
          <w:rFonts w:ascii="Times New Roman" w:hAnsi="Times New Roman" w:cs="Times New Roman"/>
          <w:bCs/>
          <w:sz w:val="28"/>
          <w:szCs w:val="28"/>
        </w:rPr>
        <w:t xml:space="preserve">, third, fourth and </w:t>
      </w:r>
      <w:r w:rsidR="008D0D09" w:rsidRPr="005F3E98">
        <w:rPr>
          <w:rFonts w:ascii="Times New Roman" w:hAnsi="Times New Roman" w:cs="Times New Roman"/>
          <w:bCs/>
          <w:sz w:val="28"/>
          <w:szCs w:val="28"/>
        </w:rPr>
        <w:t xml:space="preserve">fifth respondent Queens. The </w:t>
      </w:r>
      <w:r w:rsidR="00413AC8" w:rsidRPr="005F3E98">
        <w:rPr>
          <w:rFonts w:ascii="Times New Roman" w:hAnsi="Times New Roman" w:cs="Times New Roman"/>
          <w:bCs/>
          <w:sz w:val="28"/>
          <w:szCs w:val="28"/>
        </w:rPr>
        <w:t xml:space="preserve">late </w:t>
      </w:r>
      <w:r w:rsidR="008D0D09" w:rsidRPr="005F3E98">
        <w:rPr>
          <w:rFonts w:ascii="Times New Roman" w:hAnsi="Times New Roman" w:cs="Times New Roman"/>
          <w:bCs/>
          <w:sz w:val="28"/>
          <w:szCs w:val="28"/>
        </w:rPr>
        <w:t>Queen</w:t>
      </w:r>
      <w:r w:rsidR="00E30638" w:rsidRPr="005F3E98">
        <w:rPr>
          <w:rFonts w:ascii="Times New Roman" w:hAnsi="Times New Roman" w:cs="Times New Roman"/>
          <w:bCs/>
          <w:sz w:val="28"/>
          <w:szCs w:val="28"/>
        </w:rPr>
        <w:t xml:space="preserve"> </w:t>
      </w:r>
      <w:r w:rsidR="008D0D09" w:rsidRPr="005F3E98">
        <w:rPr>
          <w:rFonts w:ascii="Times New Roman" w:hAnsi="Times New Roman" w:cs="Times New Roman"/>
          <w:bCs/>
          <w:sz w:val="28"/>
          <w:szCs w:val="28"/>
        </w:rPr>
        <w:t>passed on shortly after the late Isilo</w:t>
      </w:r>
      <w:r w:rsidR="00413AC8" w:rsidRPr="005F3E98">
        <w:rPr>
          <w:rFonts w:ascii="Times New Roman" w:hAnsi="Times New Roman" w:cs="Times New Roman"/>
          <w:bCs/>
          <w:sz w:val="28"/>
          <w:szCs w:val="28"/>
        </w:rPr>
        <w:t>, and her estate is represented in these proceedings by its appointed</w:t>
      </w:r>
      <w:r w:rsidR="008D0D09" w:rsidRPr="005F3E98">
        <w:rPr>
          <w:rFonts w:ascii="Times New Roman" w:hAnsi="Times New Roman" w:cs="Times New Roman"/>
          <w:bCs/>
          <w:sz w:val="28"/>
          <w:szCs w:val="28"/>
        </w:rPr>
        <w:t xml:space="preserve"> </w:t>
      </w:r>
      <w:r w:rsidR="00C1505C" w:rsidRPr="005F3E98">
        <w:rPr>
          <w:rFonts w:ascii="Times New Roman" w:hAnsi="Times New Roman" w:cs="Times New Roman"/>
          <w:bCs/>
          <w:sz w:val="28"/>
          <w:szCs w:val="28"/>
        </w:rPr>
        <w:t>e</w:t>
      </w:r>
      <w:r w:rsidR="008D0D09" w:rsidRPr="005F3E98">
        <w:rPr>
          <w:rFonts w:ascii="Times New Roman" w:hAnsi="Times New Roman" w:cs="Times New Roman"/>
          <w:bCs/>
          <w:sz w:val="28"/>
          <w:szCs w:val="28"/>
        </w:rPr>
        <w:t>xecutor</w:t>
      </w:r>
      <w:r w:rsidR="00413AC8" w:rsidRPr="005F3E98">
        <w:rPr>
          <w:rFonts w:ascii="Times New Roman" w:hAnsi="Times New Roman" w:cs="Times New Roman"/>
          <w:bCs/>
          <w:sz w:val="28"/>
          <w:szCs w:val="28"/>
        </w:rPr>
        <w:t>.</w:t>
      </w:r>
      <w:r w:rsidR="008D0D09" w:rsidRPr="005F3E98">
        <w:rPr>
          <w:rFonts w:ascii="Times New Roman" w:hAnsi="Times New Roman" w:cs="Times New Roman"/>
          <w:bCs/>
          <w:sz w:val="28"/>
          <w:szCs w:val="28"/>
        </w:rPr>
        <w:t xml:space="preserve"> </w:t>
      </w:r>
      <w:r w:rsidR="00CE2E36" w:rsidRPr="005F3E98">
        <w:rPr>
          <w:rFonts w:ascii="Times New Roman" w:hAnsi="Times New Roman" w:cs="Times New Roman"/>
          <w:bCs/>
          <w:sz w:val="28"/>
          <w:szCs w:val="28"/>
        </w:rPr>
        <w:t>The s</w:t>
      </w:r>
      <w:r w:rsidR="000402EC" w:rsidRPr="005F3E98">
        <w:rPr>
          <w:rFonts w:ascii="Times New Roman" w:hAnsi="Times New Roman" w:cs="Times New Roman"/>
          <w:bCs/>
          <w:sz w:val="28"/>
          <w:szCs w:val="28"/>
        </w:rPr>
        <w:t>ixth to f</w:t>
      </w:r>
      <w:r w:rsidR="00706485" w:rsidRPr="005F3E98">
        <w:rPr>
          <w:rFonts w:ascii="Times New Roman" w:hAnsi="Times New Roman" w:cs="Times New Roman"/>
          <w:bCs/>
          <w:sz w:val="28"/>
          <w:szCs w:val="28"/>
        </w:rPr>
        <w:t>ifteenth</w:t>
      </w:r>
      <w:r w:rsidR="000402EC" w:rsidRPr="005F3E98">
        <w:rPr>
          <w:rFonts w:ascii="Times New Roman" w:hAnsi="Times New Roman" w:cs="Times New Roman"/>
          <w:bCs/>
          <w:sz w:val="28"/>
          <w:szCs w:val="28"/>
        </w:rPr>
        <w:t xml:space="preserve"> respondents are members of the </w:t>
      </w:r>
      <w:r w:rsidR="007349FE" w:rsidRPr="005F3E98">
        <w:rPr>
          <w:rFonts w:ascii="Times New Roman" w:hAnsi="Times New Roman" w:cs="Times New Roman"/>
          <w:bCs/>
          <w:sz w:val="28"/>
          <w:szCs w:val="28"/>
        </w:rPr>
        <w:t xml:space="preserve">Zulu </w:t>
      </w:r>
      <w:r w:rsidR="000402EC" w:rsidRPr="005F3E98">
        <w:rPr>
          <w:rFonts w:ascii="Times New Roman" w:hAnsi="Times New Roman" w:cs="Times New Roman"/>
          <w:bCs/>
          <w:sz w:val="28"/>
          <w:szCs w:val="28"/>
        </w:rPr>
        <w:t xml:space="preserve">Royal Family. Their </w:t>
      </w:r>
      <w:r w:rsidR="00CE2E36" w:rsidRPr="005F3E98">
        <w:rPr>
          <w:rFonts w:ascii="Times New Roman" w:hAnsi="Times New Roman" w:cs="Times New Roman"/>
          <w:bCs/>
          <w:sz w:val="28"/>
          <w:szCs w:val="28"/>
        </w:rPr>
        <w:t xml:space="preserve">citations related only to the interdictory relief </w:t>
      </w:r>
      <w:r w:rsidR="00CA4C2F" w:rsidRPr="005F3E98">
        <w:rPr>
          <w:rFonts w:ascii="Times New Roman" w:hAnsi="Times New Roman" w:cs="Times New Roman"/>
          <w:bCs/>
          <w:sz w:val="28"/>
          <w:szCs w:val="28"/>
        </w:rPr>
        <w:t>of</w:t>
      </w:r>
      <w:r w:rsidR="00CE2E36" w:rsidRPr="005F3E98">
        <w:rPr>
          <w:rFonts w:ascii="Times New Roman" w:hAnsi="Times New Roman" w:cs="Times New Roman"/>
          <w:bCs/>
          <w:sz w:val="28"/>
          <w:szCs w:val="28"/>
        </w:rPr>
        <w:t xml:space="preserve"> the declaration, endorsement, proclamation and appointment of the late Queen or any of the other</w:t>
      </w:r>
      <w:r w:rsidR="00CA4C2F" w:rsidRPr="005F3E98">
        <w:rPr>
          <w:rFonts w:ascii="Times New Roman" w:hAnsi="Times New Roman" w:cs="Times New Roman"/>
          <w:bCs/>
          <w:sz w:val="28"/>
          <w:szCs w:val="28"/>
        </w:rPr>
        <w:t xml:space="preserve"> respondent</w:t>
      </w:r>
      <w:r w:rsidR="00CE2E36" w:rsidRPr="005F3E98">
        <w:rPr>
          <w:rFonts w:ascii="Times New Roman" w:hAnsi="Times New Roman" w:cs="Times New Roman"/>
          <w:bCs/>
          <w:sz w:val="28"/>
          <w:szCs w:val="28"/>
        </w:rPr>
        <w:t xml:space="preserve"> Queens as Ibambabukhosi</w:t>
      </w:r>
      <w:r w:rsidR="005072CC" w:rsidRPr="005F3E98">
        <w:rPr>
          <w:rFonts w:ascii="Times New Roman" w:hAnsi="Times New Roman" w:cs="Times New Roman"/>
          <w:bCs/>
          <w:sz w:val="28"/>
          <w:szCs w:val="28"/>
        </w:rPr>
        <w:t xml:space="preserve"> (Regent)</w:t>
      </w:r>
      <w:r w:rsidR="00CE2E36" w:rsidRPr="005F3E98">
        <w:rPr>
          <w:rFonts w:ascii="Times New Roman" w:hAnsi="Times New Roman" w:cs="Times New Roman"/>
          <w:bCs/>
          <w:sz w:val="28"/>
          <w:szCs w:val="28"/>
        </w:rPr>
        <w:t xml:space="preserve"> or successor to the throne as Isilo samaZulu</w:t>
      </w:r>
      <w:r w:rsidR="00C1505C" w:rsidRPr="005F3E98">
        <w:rPr>
          <w:rFonts w:ascii="Times New Roman" w:hAnsi="Times New Roman" w:cs="Times New Roman"/>
          <w:bCs/>
          <w:sz w:val="28"/>
          <w:szCs w:val="28"/>
        </w:rPr>
        <w:t>,</w:t>
      </w:r>
      <w:r w:rsidR="00CE2E36" w:rsidRPr="005F3E98">
        <w:rPr>
          <w:rFonts w:ascii="Times New Roman" w:hAnsi="Times New Roman" w:cs="Times New Roman"/>
          <w:bCs/>
          <w:sz w:val="28"/>
          <w:szCs w:val="28"/>
        </w:rPr>
        <w:t xml:space="preserve"> pending the final relief sought in the application. </w:t>
      </w:r>
      <w:r w:rsidR="005072CC" w:rsidRPr="005F3E98">
        <w:rPr>
          <w:rFonts w:ascii="Times New Roman" w:hAnsi="Times New Roman" w:cs="Times New Roman"/>
          <w:bCs/>
          <w:sz w:val="28"/>
          <w:szCs w:val="28"/>
        </w:rPr>
        <w:t>No relief was sought against them in this application.</w:t>
      </w:r>
    </w:p>
    <w:p w:rsidR="006D58D2" w:rsidRPr="00B02D50" w:rsidRDefault="006D58D2" w:rsidP="00D85FD2">
      <w:pPr>
        <w:spacing w:after="0" w:line="360" w:lineRule="auto"/>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[5]</w:t>
      </w:r>
      <w:r w:rsidRPr="00B02D50">
        <w:rPr>
          <w:rFonts w:ascii="Times New Roman" w:hAnsi="Times New Roman" w:cs="Times New Roman"/>
          <w:bCs/>
          <w:sz w:val="28"/>
          <w:szCs w:val="28"/>
        </w:rPr>
        <w:tab/>
      </w:r>
      <w:r w:rsidR="00173777" w:rsidRPr="005F3E98">
        <w:rPr>
          <w:rFonts w:ascii="Times New Roman" w:hAnsi="Times New Roman" w:cs="Times New Roman"/>
          <w:bCs/>
          <w:sz w:val="28"/>
          <w:szCs w:val="28"/>
        </w:rPr>
        <w:t>The sixteenth respondent</w:t>
      </w:r>
      <w:r w:rsidR="000636BB" w:rsidRPr="005F3E98">
        <w:rPr>
          <w:rFonts w:ascii="Times New Roman" w:hAnsi="Times New Roman" w:cs="Times New Roman"/>
          <w:bCs/>
          <w:sz w:val="28"/>
          <w:szCs w:val="28"/>
        </w:rPr>
        <w:t>,</w:t>
      </w:r>
      <w:r w:rsidR="00173777" w:rsidRPr="005F3E98">
        <w:rPr>
          <w:rFonts w:ascii="Times New Roman" w:hAnsi="Times New Roman" w:cs="Times New Roman"/>
          <w:bCs/>
          <w:sz w:val="28"/>
          <w:szCs w:val="28"/>
        </w:rPr>
        <w:t xml:space="preserve"> </w:t>
      </w:r>
      <w:r w:rsidR="00706485" w:rsidRPr="005F3E98">
        <w:rPr>
          <w:rFonts w:ascii="Times New Roman" w:hAnsi="Times New Roman" w:cs="Times New Roman"/>
          <w:bCs/>
          <w:sz w:val="28"/>
          <w:szCs w:val="28"/>
        </w:rPr>
        <w:t xml:space="preserve">Mr Jerome Ngwenya, </w:t>
      </w:r>
      <w:r w:rsidR="000636BB" w:rsidRPr="005F3E98">
        <w:rPr>
          <w:rFonts w:ascii="Times New Roman" w:hAnsi="Times New Roman" w:cs="Times New Roman"/>
          <w:bCs/>
          <w:sz w:val="28"/>
          <w:szCs w:val="28"/>
        </w:rPr>
        <w:t xml:space="preserve">is </w:t>
      </w:r>
      <w:r w:rsidR="00706485" w:rsidRPr="005F3E98">
        <w:rPr>
          <w:rFonts w:ascii="Times New Roman" w:hAnsi="Times New Roman" w:cs="Times New Roman"/>
          <w:bCs/>
          <w:sz w:val="28"/>
          <w:szCs w:val="28"/>
        </w:rPr>
        <w:t xml:space="preserve">the former Chairperson of the Ingonyama Trust, </w:t>
      </w:r>
      <w:r w:rsidR="000636BB" w:rsidRPr="005F3E98">
        <w:rPr>
          <w:rFonts w:ascii="Times New Roman" w:hAnsi="Times New Roman" w:cs="Times New Roman"/>
          <w:bCs/>
          <w:sz w:val="28"/>
          <w:szCs w:val="28"/>
        </w:rPr>
        <w:t xml:space="preserve">and </w:t>
      </w:r>
      <w:r w:rsidR="00706485" w:rsidRPr="005F3E98">
        <w:rPr>
          <w:rFonts w:ascii="Times New Roman" w:hAnsi="Times New Roman" w:cs="Times New Roman"/>
          <w:bCs/>
          <w:sz w:val="28"/>
          <w:szCs w:val="28"/>
        </w:rPr>
        <w:t>was cited</w:t>
      </w:r>
      <w:r w:rsidR="00181BBA" w:rsidRPr="005F3E98">
        <w:rPr>
          <w:rFonts w:ascii="Times New Roman" w:hAnsi="Times New Roman" w:cs="Times New Roman"/>
          <w:bCs/>
          <w:sz w:val="28"/>
          <w:szCs w:val="28"/>
        </w:rPr>
        <w:t xml:space="preserve"> </w:t>
      </w:r>
      <w:r w:rsidR="00033F98" w:rsidRPr="005F3E98">
        <w:rPr>
          <w:rFonts w:ascii="Times New Roman" w:hAnsi="Times New Roman" w:cs="Times New Roman"/>
          <w:bCs/>
          <w:sz w:val="28"/>
          <w:szCs w:val="28"/>
        </w:rPr>
        <w:t>on the basis that</w:t>
      </w:r>
      <w:r w:rsidR="00706485" w:rsidRPr="005F3E98">
        <w:rPr>
          <w:rFonts w:ascii="Times New Roman" w:hAnsi="Times New Roman" w:cs="Times New Roman"/>
          <w:bCs/>
          <w:sz w:val="28"/>
          <w:szCs w:val="28"/>
        </w:rPr>
        <w:t xml:space="preserve"> he was assigned specific duties in terms of the provisions of the </w:t>
      </w:r>
      <w:r w:rsidR="00024F63" w:rsidRPr="005F3E98">
        <w:rPr>
          <w:rFonts w:ascii="Times New Roman" w:hAnsi="Times New Roman" w:cs="Times New Roman"/>
          <w:bCs/>
          <w:sz w:val="28"/>
          <w:szCs w:val="28"/>
        </w:rPr>
        <w:t>L</w:t>
      </w:r>
      <w:r w:rsidR="00706485" w:rsidRPr="005F3E98">
        <w:rPr>
          <w:rFonts w:ascii="Times New Roman" w:hAnsi="Times New Roman" w:cs="Times New Roman"/>
          <w:bCs/>
          <w:sz w:val="28"/>
          <w:szCs w:val="28"/>
        </w:rPr>
        <w:t xml:space="preserve">ast </w:t>
      </w:r>
      <w:r w:rsidR="00024F63" w:rsidRPr="005F3E98">
        <w:rPr>
          <w:rFonts w:ascii="Times New Roman" w:hAnsi="Times New Roman" w:cs="Times New Roman"/>
          <w:bCs/>
          <w:sz w:val="28"/>
          <w:szCs w:val="28"/>
        </w:rPr>
        <w:t>W</w:t>
      </w:r>
      <w:r w:rsidR="00706485" w:rsidRPr="005F3E98">
        <w:rPr>
          <w:rFonts w:ascii="Times New Roman" w:hAnsi="Times New Roman" w:cs="Times New Roman"/>
          <w:bCs/>
          <w:sz w:val="28"/>
          <w:szCs w:val="28"/>
        </w:rPr>
        <w:t>ill</w:t>
      </w:r>
      <w:r w:rsidR="00B24B60" w:rsidRPr="005F3E98">
        <w:rPr>
          <w:rFonts w:ascii="Times New Roman" w:hAnsi="Times New Roman" w:cs="Times New Roman"/>
          <w:bCs/>
          <w:sz w:val="28"/>
          <w:szCs w:val="28"/>
        </w:rPr>
        <w:t xml:space="preserve"> and Testament (Will)</w:t>
      </w:r>
      <w:r w:rsidR="00706485" w:rsidRPr="005F3E98">
        <w:rPr>
          <w:rFonts w:ascii="Times New Roman" w:hAnsi="Times New Roman" w:cs="Times New Roman"/>
          <w:bCs/>
          <w:sz w:val="28"/>
          <w:szCs w:val="28"/>
        </w:rPr>
        <w:t xml:space="preserve"> of the late Isilo.</w:t>
      </w:r>
      <w:r w:rsidR="00181BBA" w:rsidRPr="005F3E98">
        <w:rPr>
          <w:rFonts w:ascii="Times New Roman" w:hAnsi="Times New Roman" w:cs="Times New Roman"/>
          <w:bCs/>
          <w:sz w:val="28"/>
          <w:szCs w:val="28"/>
        </w:rPr>
        <w:t xml:space="preserve"> </w:t>
      </w:r>
      <w:r w:rsidR="00CE2E36" w:rsidRPr="005F3E98">
        <w:rPr>
          <w:rFonts w:ascii="Times New Roman" w:hAnsi="Times New Roman" w:cs="Times New Roman"/>
          <w:bCs/>
          <w:sz w:val="28"/>
          <w:szCs w:val="28"/>
        </w:rPr>
        <w:t xml:space="preserve">The seventeenth and </w:t>
      </w:r>
      <w:r w:rsidR="00181BBA" w:rsidRPr="005F3E98">
        <w:rPr>
          <w:rFonts w:ascii="Times New Roman" w:hAnsi="Times New Roman" w:cs="Times New Roman"/>
          <w:bCs/>
          <w:sz w:val="28"/>
          <w:szCs w:val="28"/>
        </w:rPr>
        <w:t>e</w:t>
      </w:r>
      <w:r w:rsidR="00CE2E36" w:rsidRPr="005F3E98">
        <w:rPr>
          <w:rFonts w:ascii="Times New Roman" w:hAnsi="Times New Roman" w:cs="Times New Roman"/>
          <w:bCs/>
          <w:sz w:val="28"/>
          <w:szCs w:val="28"/>
        </w:rPr>
        <w:t>ighteenth re</w:t>
      </w:r>
      <w:r w:rsidR="000402EC" w:rsidRPr="005F3E98">
        <w:rPr>
          <w:rFonts w:ascii="Times New Roman" w:hAnsi="Times New Roman" w:cs="Times New Roman"/>
          <w:bCs/>
          <w:sz w:val="28"/>
          <w:szCs w:val="28"/>
        </w:rPr>
        <w:t>s</w:t>
      </w:r>
      <w:r w:rsidR="00CE2E36" w:rsidRPr="005F3E98">
        <w:rPr>
          <w:rFonts w:ascii="Times New Roman" w:hAnsi="Times New Roman" w:cs="Times New Roman"/>
          <w:bCs/>
          <w:sz w:val="28"/>
          <w:szCs w:val="28"/>
        </w:rPr>
        <w:t>pondents</w:t>
      </w:r>
      <w:r w:rsidR="00181BBA" w:rsidRPr="005F3E98">
        <w:rPr>
          <w:rFonts w:ascii="Times New Roman" w:hAnsi="Times New Roman" w:cs="Times New Roman"/>
          <w:bCs/>
          <w:sz w:val="28"/>
          <w:szCs w:val="28"/>
        </w:rPr>
        <w:t>, namely, the Premier of KwaZulu-Natal</w:t>
      </w:r>
      <w:r w:rsidR="000636BB" w:rsidRPr="005F3E98">
        <w:rPr>
          <w:rFonts w:ascii="Times New Roman" w:hAnsi="Times New Roman" w:cs="Times New Roman"/>
          <w:bCs/>
          <w:sz w:val="28"/>
          <w:szCs w:val="28"/>
        </w:rPr>
        <w:t xml:space="preserve"> (the Premier)</w:t>
      </w:r>
      <w:r w:rsidR="00181BBA" w:rsidRPr="005F3E98">
        <w:rPr>
          <w:rFonts w:ascii="Times New Roman" w:hAnsi="Times New Roman" w:cs="Times New Roman"/>
          <w:bCs/>
          <w:sz w:val="28"/>
          <w:szCs w:val="28"/>
        </w:rPr>
        <w:t xml:space="preserve"> and the President of the Republic of South Africa,</w:t>
      </w:r>
      <w:r w:rsidR="00CE2E36" w:rsidRPr="005F3E98">
        <w:rPr>
          <w:rFonts w:ascii="Times New Roman" w:hAnsi="Times New Roman" w:cs="Times New Roman"/>
          <w:bCs/>
          <w:sz w:val="28"/>
          <w:szCs w:val="28"/>
        </w:rPr>
        <w:t xml:space="preserve"> </w:t>
      </w:r>
      <w:r w:rsidR="000636BB" w:rsidRPr="005F3E98">
        <w:rPr>
          <w:rFonts w:ascii="Times New Roman" w:hAnsi="Times New Roman" w:cs="Times New Roman"/>
          <w:bCs/>
          <w:sz w:val="28"/>
          <w:szCs w:val="28"/>
        </w:rPr>
        <w:t xml:space="preserve">respectively, </w:t>
      </w:r>
      <w:r w:rsidR="00CE2E36" w:rsidRPr="005F3E98">
        <w:rPr>
          <w:rFonts w:ascii="Times New Roman" w:hAnsi="Times New Roman" w:cs="Times New Roman"/>
          <w:bCs/>
          <w:sz w:val="28"/>
          <w:szCs w:val="28"/>
        </w:rPr>
        <w:t xml:space="preserve">were cited for purposes of interdicting and restraining them from enforcing </w:t>
      </w:r>
      <w:r w:rsidR="00181BBA" w:rsidRPr="005F3E98">
        <w:rPr>
          <w:rFonts w:ascii="Times New Roman" w:hAnsi="Times New Roman" w:cs="Times New Roman"/>
          <w:bCs/>
          <w:sz w:val="28"/>
          <w:szCs w:val="28"/>
        </w:rPr>
        <w:t>any</w:t>
      </w:r>
      <w:r w:rsidR="00CE2E36" w:rsidRPr="005F3E98">
        <w:rPr>
          <w:rFonts w:ascii="Times New Roman" w:hAnsi="Times New Roman" w:cs="Times New Roman"/>
          <w:bCs/>
          <w:sz w:val="28"/>
          <w:szCs w:val="28"/>
        </w:rPr>
        <w:t xml:space="preserve"> decisions and taking any steps following the decisions taken by the sixth to twelfth respondents.</w:t>
      </w:r>
      <w:r w:rsidR="000402EC" w:rsidRPr="005F3E98">
        <w:rPr>
          <w:rFonts w:ascii="Times New Roman" w:hAnsi="Times New Roman" w:cs="Times New Roman"/>
          <w:bCs/>
          <w:sz w:val="28"/>
          <w:szCs w:val="28"/>
        </w:rPr>
        <w:t xml:space="preserve"> </w:t>
      </w:r>
      <w:r w:rsidR="006D58D2" w:rsidRPr="005F3E98">
        <w:rPr>
          <w:rFonts w:ascii="Times New Roman" w:hAnsi="Times New Roman" w:cs="Times New Roman"/>
          <w:bCs/>
          <w:sz w:val="28"/>
          <w:szCs w:val="28"/>
        </w:rPr>
        <w:t>Further ancillary</w:t>
      </w:r>
      <w:r w:rsidR="000402EC" w:rsidRPr="005F3E98">
        <w:rPr>
          <w:rFonts w:ascii="Times New Roman" w:hAnsi="Times New Roman" w:cs="Times New Roman"/>
          <w:bCs/>
          <w:sz w:val="28"/>
          <w:szCs w:val="28"/>
        </w:rPr>
        <w:t xml:space="preserve"> relief was sought against the Premier, </w:t>
      </w:r>
      <w:r w:rsidR="00433EAE" w:rsidRPr="005F3E98">
        <w:rPr>
          <w:rFonts w:ascii="Times New Roman" w:hAnsi="Times New Roman" w:cs="Times New Roman"/>
          <w:bCs/>
          <w:sz w:val="28"/>
          <w:szCs w:val="28"/>
        </w:rPr>
        <w:t xml:space="preserve">which relief is </w:t>
      </w:r>
      <w:r w:rsidR="00D260D7" w:rsidRPr="005F3E98">
        <w:rPr>
          <w:rFonts w:ascii="Times New Roman" w:hAnsi="Times New Roman" w:cs="Times New Roman"/>
          <w:bCs/>
          <w:sz w:val="28"/>
          <w:szCs w:val="28"/>
        </w:rPr>
        <w:t xml:space="preserve">not germane </w:t>
      </w:r>
      <w:r w:rsidR="00433EAE" w:rsidRPr="005F3E98">
        <w:rPr>
          <w:rFonts w:ascii="Times New Roman" w:hAnsi="Times New Roman" w:cs="Times New Roman"/>
          <w:bCs/>
          <w:sz w:val="28"/>
          <w:szCs w:val="28"/>
        </w:rPr>
        <w:t>to the subject matter of this appeal.</w:t>
      </w:r>
    </w:p>
    <w:p w:rsidR="006D58D2" w:rsidRPr="00B02D50" w:rsidRDefault="006D58D2" w:rsidP="00D85FD2">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[6]</w:t>
      </w:r>
      <w:r w:rsidRPr="00B02D50">
        <w:rPr>
          <w:rFonts w:ascii="Times New Roman" w:hAnsi="Times New Roman" w:cs="Times New Roman"/>
          <w:bCs/>
          <w:sz w:val="28"/>
          <w:szCs w:val="28"/>
        </w:rPr>
        <w:tab/>
      </w:r>
      <w:r w:rsidR="00181BBA" w:rsidRPr="005F3E98">
        <w:rPr>
          <w:rFonts w:ascii="Times New Roman" w:hAnsi="Times New Roman" w:cs="Times New Roman"/>
          <w:bCs/>
          <w:sz w:val="28"/>
          <w:szCs w:val="28"/>
        </w:rPr>
        <w:t xml:space="preserve">The nineteenth respondent, the Master of the High Court, KwaZulu-Natal was cited in her capacity as the person who oversees the winding up of deceased estates in </w:t>
      </w:r>
      <w:r w:rsidR="00181BBA" w:rsidRPr="005F3E98">
        <w:rPr>
          <w:rFonts w:ascii="Times New Roman" w:hAnsi="Times New Roman" w:cs="Times New Roman"/>
          <w:bCs/>
          <w:sz w:val="28"/>
          <w:szCs w:val="28"/>
        </w:rPr>
        <w:lastRenderedPageBreak/>
        <w:t>the province. The twentieth respondent, Sanlam Trust (Pty) L</w:t>
      </w:r>
      <w:r w:rsidR="00112BC9" w:rsidRPr="005F3E98">
        <w:rPr>
          <w:rFonts w:ascii="Times New Roman" w:hAnsi="Times New Roman" w:cs="Times New Roman"/>
          <w:bCs/>
          <w:sz w:val="28"/>
          <w:szCs w:val="28"/>
        </w:rPr>
        <w:t>imited, was cited in its capacity as the executors and administrators</w:t>
      </w:r>
      <w:r w:rsidR="00033F98" w:rsidRPr="005F3E98">
        <w:rPr>
          <w:rFonts w:ascii="Times New Roman" w:hAnsi="Times New Roman" w:cs="Times New Roman"/>
          <w:bCs/>
          <w:sz w:val="28"/>
          <w:szCs w:val="28"/>
        </w:rPr>
        <w:t xml:space="preserve"> of the estate</w:t>
      </w:r>
      <w:r w:rsidR="00112BC9" w:rsidRPr="005F3E98">
        <w:rPr>
          <w:rFonts w:ascii="Times New Roman" w:hAnsi="Times New Roman" w:cs="Times New Roman"/>
          <w:bCs/>
          <w:sz w:val="28"/>
          <w:szCs w:val="28"/>
        </w:rPr>
        <w:t xml:space="preserve"> nominated in the last will and testament of the late Isilo.</w:t>
      </w:r>
      <w:r w:rsidR="00181BBA" w:rsidRPr="005F3E98">
        <w:rPr>
          <w:rFonts w:ascii="Times New Roman" w:hAnsi="Times New Roman" w:cs="Times New Roman"/>
          <w:bCs/>
          <w:sz w:val="28"/>
          <w:szCs w:val="28"/>
        </w:rPr>
        <w:t xml:space="preserve"> </w:t>
      </w:r>
      <w:r w:rsidR="00112BC9" w:rsidRPr="005F3E98">
        <w:rPr>
          <w:rFonts w:ascii="Times New Roman" w:hAnsi="Times New Roman" w:cs="Times New Roman"/>
          <w:bCs/>
          <w:sz w:val="28"/>
          <w:szCs w:val="28"/>
        </w:rPr>
        <w:t xml:space="preserve">The application by the appellant Queen was opposed </w:t>
      </w:r>
      <w:r w:rsidR="00D260D7" w:rsidRPr="005F3E98">
        <w:rPr>
          <w:rFonts w:ascii="Times New Roman" w:hAnsi="Times New Roman" w:cs="Times New Roman"/>
          <w:bCs/>
          <w:sz w:val="28"/>
          <w:szCs w:val="28"/>
        </w:rPr>
        <w:t xml:space="preserve">only </w:t>
      </w:r>
      <w:r w:rsidR="00112BC9" w:rsidRPr="005F3E98">
        <w:rPr>
          <w:rFonts w:ascii="Times New Roman" w:hAnsi="Times New Roman" w:cs="Times New Roman"/>
          <w:bCs/>
          <w:sz w:val="28"/>
          <w:szCs w:val="28"/>
        </w:rPr>
        <w:t>by the</w:t>
      </w:r>
      <w:r w:rsidR="00706485" w:rsidRPr="005F3E98">
        <w:rPr>
          <w:rFonts w:ascii="Times New Roman" w:hAnsi="Times New Roman" w:cs="Times New Roman"/>
          <w:bCs/>
          <w:sz w:val="28"/>
          <w:szCs w:val="28"/>
        </w:rPr>
        <w:t xml:space="preserve"> </w:t>
      </w:r>
      <w:r w:rsidR="00112BC9" w:rsidRPr="005F3E98">
        <w:rPr>
          <w:rFonts w:ascii="Times New Roman" w:hAnsi="Times New Roman" w:cs="Times New Roman"/>
          <w:bCs/>
          <w:sz w:val="28"/>
          <w:szCs w:val="28"/>
        </w:rPr>
        <w:t>fir</w:t>
      </w:r>
      <w:r w:rsidR="00706485" w:rsidRPr="005F3E98">
        <w:rPr>
          <w:rFonts w:ascii="Times New Roman" w:hAnsi="Times New Roman" w:cs="Times New Roman"/>
          <w:bCs/>
          <w:sz w:val="28"/>
          <w:szCs w:val="28"/>
        </w:rPr>
        <w:t>s</w:t>
      </w:r>
      <w:r w:rsidR="00112BC9" w:rsidRPr="005F3E98">
        <w:rPr>
          <w:rFonts w:ascii="Times New Roman" w:hAnsi="Times New Roman" w:cs="Times New Roman"/>
          <w:bCs/>
          <w:sz w:val="28"/>
          <w:szCs w:val="28"/>
        </w:rPr>
        <w:t>t to the fifth</w:t>
      </w:r>
      <w:r w:rsidR="00706485" w:rsidRPr="005F3E98">
        <w:rPr>
          <w:rFonts w:ascii="Times New Roman" w:hAnsi="Times New Roman" w:cs="Times New Roman"/>
          <w:bCs/>
          <w:sz w:val="28"/>
          <w:szCs w:val="28"/>
        </w:rPr>
        <w:t xml:space="preserve"> respondents</w:t>
      </w:r>
      <w:r w:rsidR="00D260D7" w:rsidRPr="005F3E98">
        <w:rPr>
          <w:rFonts w:ascii="Times New Roman" w:hAnsi="Times New Roman" w:cs="Times New Roman"/>
          <w:bCs/>
          <w:sz w:val="28"/>
          <w:szCs w:val="28"/>
        </w:rPr>
        <w:t xml:space="preserve"> (the respondent Queens)</w:t>
      </w:r>
      <w:r w:rsidR="00706485" w:rsidRPr="005F3E98">
        <w:rPr>
          <w:rFonts w:ascii="Times New Roman" w:hAnsi="Times New Roman" w:cs="Times New Roman"/>
          <w:bCs/>
          <w:sz w:val="28"/>
          <w:szCs w:val="28"/>
        </w:rPr>
        <w:t>.</w:t>
      </w:r>
    </w:p>
    <w:p w:rsidR="006D58D2" w:rsidRPr="00B02D50" w:rsidRDefault="006D58D2" w:rsidP="00D85FD2">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[7]</w:t>
      </w:r>
      <w:r w:rsidRPr="00B02D50">
        <w:rPr>
          <w:rFonts w:ascii="Times New Roman" w:hAnsi="Times New Roman" w:cs="Times New Roman"/>
          <w:bCs/>
          <w:sz w:val="28"/>
          <w:szCs w:val="28"/>
        </w:rPr>
        <w:tab/>
      </w:r>
      <w:r w:rsidR="00CA510A" w:rsidRPr="005F3E98">
        <w:rPr>
          <w:rFonts w:ascii="Times New Roman" w:hAnsi="Times New Roman" w:cs="Times New Roman"/>
          <w:bCs/>
          <w:sz w:val="28"/>
          <w:szCs w:val="28"/>
        </w:rPr>
        <w:t>I</w:t>
      </w:r>
      <w:r w:rsidR="00D5651F" w:rsidRPr="005F3E98">
        <w:rPr>
          <w:rFonts w:ascii="Times New Roman" w:hAnsi="Times New Roman" w:cs="Times New Roman"/>
          <w:bCs/>
          <w:sz w:val="28"/>
          <w:szCs w:val="28"/>
        </w:rPr>
        <w:t xml:space="preserve">n his </w:t>
      </w:r>
      <w:r w:rsidR="00B24B60" w:rsidRPr="005F3E98">
        <w:rPr>
          <w:rFonts w:ascii="Times New Roman" w:hAnsi="Times New Roman" w:cs="Times New Roman"/>
          <w:bCs/>
          <w:sz w:val="28"/>
          <w:szCs w:val="28"/>
        </w:rPr>
        <w:t>W</w:t>
      </w:r>
      <w:r w:rsidR="00D5651F" w:rsidRPr="005F3E98">
        <w:rPr>
          <w:rFonts w:ascii="Times New Roman" w:hAnsi="Times New Roman" w:cs="Times New Roman"/>
          <w:bCs/>
          <w:sz w:val="28"/>
          <w:szCs w:val="28"/>
        </w:rPr>
        <w:t xml:space="preserve">ill </w:t>
      </w:r>
      <w:r w:rsidR="006E1142" w:rsidRPr="005F3E98">
        <w:rPr>
          <w:rFonts w:ascii="Times New Roman" w:hAnsi="Times New Roman" w:cs="Times New Roman"/>
          <w:bCs/>
          <w:sz w:val="28"/>
          <w:szCs w:val="28"/>
        </w:rPr>
        <w:t>(the validity of which is the subject of another dispute)</w:t>
      </w:r>
      <w:r w:rsidR="005348CE" w:rsidRPr="005F3E98">
        <w:rPr>
          <w:rFonts w:ascii="Times New Roman" w:hAnsi="Times New Roman" w:cs="Times New Roman"/>
          <w:bCs/>
          <w:sz w:val="28"/>
          <w:szCs w:val="28"/>
        </w:rPr>
        <w:t>,</w:t>
      </w:r>
      <w:r w:rsidR="006E1142" w:rsidRPr="005F3E98">
        <w:rPr>
          <w:rFonts w:ascii="Times New Roman" w:hAnsi="Times New Roman" w:cs="Times New Roman"/>
          <w:bCs/>
          <w:sz w:val="28"/>
          <w:szCs w:val="28"/>
        </w:rPr>
        <w:t xml:space="preserve"> </w:t>
      </w:r>
      <w:r w:rsidR="00433EAE" w:rsidRPr="005F3E98">
        <w:rPr>
          <w:rFonts w:ascii="Times New Roman" w:hAnsi="Times New Roman" w:cs="Times New Roman"/>
          <w:bCs/>
          <w:sz w:val="28"/>
          <w:szCs w:val="28"/>
        </w:rPr>
        <w:t>the late Isilo</w:t>
      </w:r>
      <w:r w:rsidR="00CA510A" w:rsidRPr="005F3E98">
        <w:rPr>
          <w:rFonts w:ascii="Times New Roman" w:hAnsi="Times New Roman" w:cs="Times New Roman"/>
          <w:bCs/>
          <w:sz w:val="28"/>
          <w:szCs w:val="28"/>
        </w:rPr>
        <w:t xml:space="preserve"> </w:t>
      </w:r>
      <w:r w:rsidR="006E1142" w:rsidRPr="005F3E98">
        <w:rPr>
          <w:rFonts w:ascii="Times New Roman" w:hAnsi="Times New Roman" w:cs="Times New Roman"/>
          <w:bCs/>
          <w:sz w:val="28"/>
          <w:szCs w:val="28"/>
        </w:rPr>
        <w:t xml:space="preserve">prefaced the devolution of his estate by making an introductory statement. He stated that the notion of marriage in community of property and profit and </w:t>
      </w:r>
      <w:r w:rsidR="00D5651F" w:rsidRPr="005F3E98">
        <w:rPr>
          <w:rFonts w:ascii="Times New Roman" w:hAnsi="Times New Roman" w:cs="Times New Roman"/>
          <w:bCs/>
          <w:sz w:val="28"/>
          <w:szCs w:val="28"/>
        </w:rPr>
        <w:t xml:space="preserve">loss </w:t>
      </w:r>
      <w:r w:rsidR="006E1142" w:rsidRPr="005F3E98">
        <w:rPr>
          <w:rFonts w:ascii="Times New Roman" w:hAnsi="Times New Roman" w:cs="Times New Roman"/>
          <w:bCs/>
          <w:sz w:val="28"/>
          <w:szCs w:val="28"/>
        </w:rPr>
        <w:t>was foreign to the Zulu people</w:t>
      </w:r>
      <w:r w:rsidR="005348CE" w:rsidRPr="005F3E98">
        <w:rPr>
          <w:rFonts w:ascii="Times New Roman" w:hAnsi="Times New Roman" w:cs="Times New Roman"/>
          <w:bCs/>
          <w:sz w:val="28"/>
          <w:szCs w:val="28"/>
        </w:rPr>
        <w:t>,</w:t>
      </w:r>
      <w:r w:rsidR="006E1142" w:rsidRPr="005F3E98">
        <w:rPr>
          <w:rFonts w:ascii="Times New Roman" w:hAnsi="Times New Roman" w:cs="Times New Roman"/>
          <w:bCs/>
          <w:sz w:val="28"/>
          <w:szCs w:val="28"/>
        </w:rPr>
        <w:t xml:space="preserve"> regardless of their social</w:t>
      </w:r>
      <w:r w:rsidR="00614593" w:rsidRPr="005F3E98">
        <w:rPr>
          <w:rFonts w:ascii="Times New Roman" w:hAnsi="Times New Roman" w:cs="Times New Roman"/>
          <w:bCs/>
          <w:sz w:val="28"/>
          <w:szCs w:val="28"/>
        </w:rPr>
        <w:t xml:space="preserve"> and </w:t>
      </w:r>
      <w:r w:rsidR="00D91413" w:rsidRPr="005F3E98">
        <w:rPr>
          <w:rFonts w:ascii="Times New Roman" w:hAnsi="Times New Roman" w:cs="Times New Roman"/>
          <w:bCs/>
          <w:sz w:val="28"/>
          <w:szCs w:val="28"/>
        </w:rPr>
        <w:t xml:space="preserve">economic </w:t>
      </w:r>
      <w:r w:rsidR="006E1142" w:rsidRPr="005F3E98">
        <w:rPr>
          <w:rFonts w:ascii="Times New Roman" w:hAnsi="Times New Roman" w:cs="Times New Roman"/>
          <w:bCs/>
          <w:sz w:val="28"/>
          <w:szCs w:val="28"/>
        </w:rPr>
        <w:t xml:space="preserve">standing. He went on to say </w:t>
      </w:r>
      <w:r w:rsidR="00D5651F" w:rsidRPr="005F3E98">
        <w:rPr>
          <w:rFonts w:ascii="Times New Roman" w:hAnsi="Times New Roman" w:cs="Times New Roman"/>
          <w:bCs/>
          <w:sz w:val="28"/>
          <w:szCs w:val="28"/>
        </w:rPr>
        <w:t>that</w:t>
      </w:r>
      <w:r w:rsidR="006E1142" w:rsidRPr="005F3E98">
        <w:rPr>
          <w:rFonts w:ascii="Times New Roman" w:hAnsi="Times New Roman" w:cs="Times New Roman"/>
          <w:bCs/>
          <w:sz w:val="28"/>
          <w:szCs w:val="28"/>
        </w:rPr>
        <w:t xml:space="preserve"> no Zulu king</w:t>
      </w:r>
      <w:r w:rsidR="00D5651F" w:rsidRPr="005F3E98">
        <w:rPr>
          <w:rFonts w:ascii="Times New Roman" w:hAnsi="Times New Roman" w:cs="Times New Roman"/>
          <w:bCs/>
          <w:sz w:val="28"/>
          <w:szCs w:val="28"/>
        </w:rPr>
        <w:t xml:space="preserve"> </w:t>
      </w:r>
      <w:r w:rsidR="00B17D6D" w:rsidRPr="005F3E98">
        <w:rPr>
          <w:rFonts w:ascii="Times New Roman" w:hAnsi="Times New Roman" w:cs="Times New Roman"/>
          <w:bCs/>
          <w:sz w:val="28"/>
          <w:szCs w:val="28"/>
        </w:rPr>
        <w:t xml:space="preserve">had </w:t>
      </w:r>
      <w:r w:rsidR="00D5651F" w:rsidRPr="005F3E98">
        <w:rPr>
          <w:rFonts w:ascii="Times New Roman" w:hAnsi="Times New Roman" w:cs="Times New Roman"/>
          <w:bCs/>
          <w:sz w:val="28"/>
          <w:szCs w:val="28"/>
        </w:rPr>
        <w:t>ever got married to one wife</w:t>
      </w:r>
      <w:r w:rsidR="006E1142" w:rsidRPr="005F3E98">
        <w:rPr>
          <w:rFonts w:ascii="Times New Roman" w:hAnsi="Times New Roman" w:cs="Times New Roman"/>
          <w:bCs/>
          <w:sz w:val="28"/>
          <w:szCs w:val="28"/>
        </w:rPr>
        <w:t xml:space="preserve"> by civil right</w:t>
      </w:r>
      <w:r w:rsidR="004A7821" w:rsidRPr="005F3E98">
        <w:rPr>
          <w:rFonts w:ascii="Times New Roman" w:hAnsi="Times New Roman" w:cs="Times New Roman"/>
          <w:bCs/>
          <w:sz w:val="28"/>
          <w:szCs w:val="28"/>
        </w:rPr>
        <w:t>s</w:t>
      </w:r>
      <w:r w:rsidR="005348CE" w:rsidRPr="005F3E98">
        <w:rPr>
          <w:rFonts w:ascii="Times New Roman" w:hAnsi="Times New Roman" w:cs="Times New Roman"/>
          <w:bCs/>
          <w:sz w:val="28"/>
          <w:szCs w:val="28"/>
        </w:rPr>
        <w:t>,</w:t>
      </w:r>
      <w:r w:rsidR="006E1142" w:rsidRPr="005F3E98">
        <w:rPr>
          <w:rFonts w:ascii="Times New Roman" w:hAnsi="Times New Roman" w:cs="Times New Roman"/>
          <w:bCs/>
          <w:sz w:val="28"/>
          <w:szCs w:val="28"/>
        </w:rPr>
        <w:t xml:space="preserve"> in community of property, because of the very nature of the Zulu laws and culture. He </w:t>
      </w:r>
      <w:r w:rsidR="004A7821" w:rsidRPr="005F3E98">
        <w:rPr>
          <w:rFonts w:ascii="Times New Roman" w:hAnsi="Times New Roman" w:cs="Times New Roman"/>
          <w:bCs/>
          <w:sz w:val="28"/>
          <w:szCs w:val="28"/>
        </w:rPr>
        <w:t xml:space="preserve">stated that </w:t>
      </w:r>
      <w:r w:rsidR="00D5651F" w:rsidRPr="005F3E98">
        <w:rPr>
          <w:rFonts w:ascii="Times New Roman" w:hAnsi="Times New Roman" w:cs="Times New Roman"/>
          <w:bCs/>
          <w:sz w:val="28"/>
          <w:szCs w:val="28"/>
        </w:rPr>
        <w:t xml:space="preserve">a </w:t>
      </w:r>
      <w:r w:rsidR="006E1142" w:rsidRPr="005F3E98">
        <w:rPr>
          <w:rFonts w:ascii="Times New Roman" w:hAnsi="Times New Roman" w:cs="Times New Roman"/>
          <w:bCs/>
          <w:sz w:val="28"/>
          <w:szCs w:val="28"/>
        </w:rPr>
        <w:t>traditional marriage denotes</w:t>
      </w:r>
      <w:r w:rsidR="00D5651F" w:rsidRPr="005F3E98">
        <w:rPr>
          <w:rFonts w:ascii="Times New Roman" w:hAnsi="Times New Roman" w:cs="Times New Roman"/>
          <w:bCs/>
          <w:sz w:val="28"/>
          <w:szCs w:val="28"/>
        </w:rPr>
        <w:t xml:space="preserve"> a</w:t>
      </w:r>
      <w:r w:rsidR="006E1142" w:rsidRPr="005F3E98">
        <w:rPr>
          <w:rFonts w:ascii="Times New Roman" w:hAnsi="Times New Roman" w:cs="Times New Roman"/>
          <w:bCs/>
          <w:sz w:val="28"/>
          <w:szCs w:val="28"/>
        </w:rPr>
        <w:t xml:space="preserve"> marriag</w:t>
      </w:r>
      <w:r w:rsidR="00D5651F" w:rsidRPr="005F3E98">
        <w:rPr>
          <w:rFonts w:ascii="Times New Roman" w:hAnsi="Times New Roman" w:cs="Times New Roman"/>
          <w:bCs/>
          <w:sz w:val="28"/>
          <w:szCs w:val="28"/>
        </w:rPr>
        <w:t>e</w:t>
      </w:r>
      <w:r w:rsidR="006E1142" w:rsidRPr="005F3E98">
        <w:rPr>
          <w:rFonts w:ascii="Times New Roman" w:hAnsi="Times New Roman" w:cs="Times New Roman"/>
          <w:bCs/>
          <w:sz w:val="28"/>
          <w:szCs w:val="28"/>
        </w:rPr>
        <w:t xml:space="preserve"> according to custom. He </w:t>
      </w:r>
      <w:r w:rsidR="00D5651F" w:rsidRPr="005F3E98">
        <w:rPr>
          <w:rFonts w:ascii="Times New Roman" w:hAnsi="Times New Roman" w:cs="Times New Roman"/>
          <w:bCs/>
          <w:sz w:val="28"/>
          <w:szCs w:val="28"/>
        </w:rPr>
        <w:t>acknowledged</w:t>
      </w:r>
      <w:r w:rsidR="006E1142" w:rsidRPr="005F3E98">
        <w:rPr>
          <w:rFonts w:ascii="Times New Roman" w:hAnsi="Times New Roman" w:cs="Times New Roman"/>
          <w:bCs/>
          <w:sz w:val="28"/>
          <w:szCs w:val="28"/>
        </w:rPr>
        <w:t xml:space="preserve"> that he was no </w:t>
      </w:r>
      <w:r w:rsidR="004A7821" w:rsidRPr="005F3E98">
        <w:rPr>
          <w:rFonts w:ascii="Times New Roman" w:hAnsi="Times New Roman" w:cs="Times New Roman"/>
          <w:bCs/>
          <w:sz w:val="28"/>
          <w:szCs w:val="28"/>
        </w:rPr>
        <w:t>exception</w:t>
      </w:r>
      <w:r w:rsidR="006E1142" w:rsidRPr="005F3E98">
        <w:rPr>
          <w:rFonts w:ascii="Times New Roman" w:hAnsi="Times New Roman" w:cs="Times New Roman"/>
          <w:bCs/>
          <w:sz w:val="28"/>
          <w:szCs w:val="28"/>
        </w:rPr>
        <w:t xml:space="preserve"> to this, </w:t>
      </w:r>
      <w:r w:rsidR="005348CE" w:rsidRPr="005F3E98">
        <w:rPr>
          <w:rFonts w:ascii="Times New Roman" w:hAnsi="Times New Roman" w:cs="Times New Roman"/>
          <w:bCs/>
          <w:sz w:val="28"/>
          <w:szCs w:val="28"/>
        </w:rPr>
        <w:t xml:space="preserve">and </w:t>
      </w:r>
      <w:r w:rsidR="006E1142" w:rsidRPr="005F3E98">
        <w:rPr>
          <w:rFonts w:ascii="Times New Roman" w:hAnsi="Times New Roman" w:cs="Times New Roman"/>
          <w:bCs/>
          <w:sz w:val="28"/>
          <w:szCs w:val="28"/>
        </w:rPr>
        <w:t xml:space="preserve">as a result, he was married to </w:t>
      </w:r>
      <w:r w:rsidR="004A7821" w:rsidRPr="005F3E98">
        <w:rPr>
          <w:rFonts w:ascii="Times New Roman" w:hAnsi="Times New Roman" w:cs="Times New Roman"/>
          <w:bCs/>
          <w:sz w:val="28"/>
          <w:szCs w:val="28"/>
        </w:rPr>
        <w:t>six Queens</w:t>
      </w:r>
      <w:r w:rsidR="005348CE" w:rsidRPr="005F3E98">
        <w:rPr>
          <w:rFonts w:ascii="Times New Roman" w:hAnsi="Times New Roman" w:cs="Times New Roman"/>
          <w:bCs/>
          <w:sz w:val="28"/>
          <w:szCs w:val="28"/>
        </w:rPr>
        <w:t xml:space="preserve"> during his lifetime</w:t>
      </w:r>
      <w:r w:rsidR="004A7821" w:rsidRPr="005F3E98">
        <w:rPr>
          <w:rFonts w:ascii="Times New Roman" w:hAnsi="Times New Roman" w:cs="Times New Roman"/>
          <w:bCs/>
          <w:sz w:val="28"/>
          <w:szCs w:val="28"/>
        </w:rPr>
        <w:t xml:space="preserve">. </w:t>
      </w:r>
    </w:p>
    <w:p w:rsidR="006D58D2" w:rsidRPr="00B02D50" w:rsidRDefault="006D58D2" w:rsidP="00D85FD2">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DE521F">
        <w:rPr>
          <w:rFonts w:ascii="Times New Roman" w:hAnsi="Times New Roman" w:cs="Times New Roman"/>
          <w:bCs/>
          <w:sz w:val="28"/>
          <w:szCs w:val="28"/>
        </w:rPr>
        <w:t>[8]</w:t>
      </w:r>
      <w:r w:rsidRPr="00DE521F">
        <w:rPr>
          <w:rFonts w:ascii="Times New Roman" w:hAnsi="Times New Roman" w:cs="Times New Roman"/>
          <w:bCs/>
          <w:sz w:val="28"/>
          <w:szCs w:val="28"/>
        </w:rPr>
        <w:tab/>
      </w:r>
      <w:r w:rsidR="00CA510A" w:rsidRPr="005F3E98">
        <w:rPr>
          <w:rFonts w:ascii="Times New Roman" w:hAnsi="Times New Roman" w:cs="Times New Roman"/>
          <w:bCs/>
          <w:sz w:val="28"/>
          <w:szCs w:val="28"/>
        </w:rPr>
        <w:t>A</w:t>
      </w:r>
      <w:r w:rsidR="008D0D09" w:rsidRPr="005F3E98">
        <w:rPr>
          <w:rFonts w:ascii="Times New Roman" w:hAnsi="Times New Roman" w:cs="Times New Roman"/>
          <w:bCs/>
          <w:sz w:val="28"/>
          <w:szCs w:val="28"/>
        </w:rPr>
        <w:t xml:space="preserve">lthough the nature </w:t>
      </w:r>
      <w:r w:rsidR="009126E0" w:rsidRPr="005F3E98">
        <w:rPr>
          <w:rFonts w:ascii="Times New Roman" w:hAnsi="Times New Roman" w:cs="Times New Roman"/>
          <w:bCs/>
          <w:sz w:val="28"/>
          <w:szCs w:val="28"/>
        </w:rPr>
        <w:t xml:space="preserve">and proprietary consequences </w:t>
      </w:r>
      <w:r w:rsidR="008D0D09" w:rsidRPr="005F3E98">
        <w:rPr>
          <w:rFonts w:ascii="Times New Roman" w:hAnsi="Times New Roman" w:cs="Times New Roman"/>
          <w:bCs/>
          <w:sz w:val="28"/>
          <w:szCs w:val="28"/>
        </w:rPr>
        <w:t>of the marriage between the late Isilo and th</w:t>
      </w:r>
      <w:r w:rsidR="009126E0" w:rsidRPr="005F3E98">
        <w:rPr>
          <w:rFonts w:ascii="Times New Roman" w:hAnsi="Times New Roman" w:cs="Times New Roman"/>
          <w:bCs/>
          <w:sz w:val="28"/>
          <w:szCs w:val="28"/>
        </w:rPr>
        <w:t xml:space="preserve">e </w:t>
      </w:r>
      <w:r w:rsidR="00E30638" w:rsidRPr="005F3E98">
        <w:rPr>
          <w:rFonts w:ascii="Times New Roman" w:hAnsi="Times New Roman" w:cs="Times New Roman"/>
          <w:bCs/>
          <w:sz w:val="28"/>
          <w:szCs w:val="28"/>
        </w:rPr>
        <w:t xml:space="preserve">appellant </w:t>
      </w:r>
      <w:r w:rsidR="00802DFE" w:rsidRPr="005F3E98">
        <w:rPr>
          <w:rFonts w:ascii="Times New Roman" w:hAnsi="Times New Roman" w:cs="Times New Roman"/>
          <w:bCs/>
          <w:sz w:val="28"/>
          <w:szCs w:val="28"/>
        </w:rPr>
        <w:t xml:space="preserve">Queen </w:t>
      </w:r>
      <w:r w:rsidR="009126E0" w:rsidRPr="005F3E98">
        <w:rPr>
          <w:rFonts w:ascii="Times New Roman" w:hAnsi="Times New Roman" w:cs="Times New Roman"/>
          <w:bCs/>
          <w:sz w:val="28"/>
          <w:szCs w:val="28"/>
        </w:rPr>
        <w:t>were ini</w:t>
      </w:r>
      <w:r w:rsidR="00802DFE" w:rsidRPr="005F3E98">
        <w:rPr>
          <w:rFonts w:ascii="Times New Roman" w:hAnsi="Times New Roman" w:cs="Times New Roman"/>
          <w:bCs/>
          <w:sz w:val="28"/>
          <w:szCs w:val="28"/>
        </w:rPr>
        <w:t>tially disputed, all the respondents</w:t>
      </w:r>
      <w:r w:rsidR="00617957" w:rsidRPr="005F3E98">
        <w:rPr>
          <w:rFonts w:ascii="Times New Roman" w:hAnsi="Times New Roman" w:cs="Times New Roman"/>
          <w:bCs/>
          <w:sz w:val="28"/>
          <w:szCs w:val="28"/>
        </w:rPr>
        <w:t xml:space="preserve"> Queens</w:t>
      </w:r>
      <w:r w:rsidR="008D0D09" w:rsidRPr="005F3E98">
        <w:rPr>
          <w:rFonts w:ascii="Times New Roman" w:hAnsi="Times New Roman" w:cs="Times New Roman"/>
          <w:bCs/>
          <w:sz w:val="28"/>
          <w:szCs w:val="28"/>
        </w:rPr>
        <w:t xml:space="preserve"> </w:t>
      </w:r>
      <w:r w:rsidR="009126E0" w:rsidRPr="005F3E98">
        <w:rPr>
          <w:rFonts w:ascii="Times New Roman" w:hAnsi="Times New Roman" w:cs="Times New Roman"/>
          <w:bCs/>
          <w:sz w:val="28"/>
          <w:szCs w:val="28"/>
        </w:rPr>
        <w:t xml:space="preserve">before the </w:t>
      </w:r>
      <w:r w:rsidR="00813760" w:rsidRPr="005F3E98">
        <w:rPr>
          <w:rFonts w:ascii="Times New Roman" w:hAnsi="Times New Roman" w:cs="Times New Roman"/>
          <w:bCs/>
          <w:sz w:val="28"/>
          <w:szCs w:val="28"/>
        </w:rPr>
        <w:t>high c</w:t>
      </w:r>
      <w:r w:rsidR="002D60DB" w:rsidRPr="005F3E98">
        <w:rPr>
          <w:rFonts w:ascii="Times New Roman" w:hAnsi="Times New Roman" w:cs="Times New Roman"/>
          <w:bCs/>
          <w:sz w:val="28"/>
          <w:szCs w:val="28"/>
        </w:rPr>
        <w:t xml:space="preserve">ourt </w:t>
      </w:r>
      <w:r w:rsidR="008D0D09" w:rsidRPr="005F3E98">
        <w:rPr>
          <w:rFonts w:ascii="Times New Roman" w:hAnsi="Times New Roman" w:cs="Times New Roman"/>
          <w:bCs/>
          <w:sz w:val="28"/>
          <w:szCs w:val="28"/>
        </w:rPr>
        <w:t xml:space="preserve">admitted </w:t>
      </w:r>
      <w:r w:rsidR="00CA510A" w:rsidRPr="005F3E98">
        <w:rPr>
          <w:rFonts w:ascii="Times New Roman" w:hAnsi="Times New Roman" w:cs="Times New Roman"/>
          <w:bCs/>
          <w:sz w:val="28"/>
          <w:szCs w:val="28"/>
        </w:rPr>
        <w:t xml:space="preserve">the </w:t>
      </w:r>
      <w:r w:rsidR="00D5651F" w:rsidRPr="005F3E98">
        <w:rPr>
          <w:rFonts w:ascii="Times New Roman" w:hAnsi="Times New Roman" w:cs="Times New Roman"/>
          <w:bCs/>
          <w:sz w:val="28"/>
          <w:szCs w:val="28"/>
        </w:rPr>
        <w:t xml:space="preserve">validity </w:t>
      </w:r>
      <w:r w:rsidR="00CA510A" w:rsidRPr="005F3E98">
        <w:rPr>
          <w:rFonts w:ascii="Times New Roman" w:hAnsi="Times New Roman" w:cs="Times New Roman"/>
          <w:bCs/>
          <w:sz w:val="28"/>
          <w:szCs w:val="28"/>
        </w:rPr>
        <w:t xml:space="preserve">of the marriage </w:t>
      </w:r>
      <w:r w:rsidR="00D5651F" w:rsidRPr="005F3E98">
        <w:rPr>
          <w:rFonts w:ascii="Times New Roman" w:hAnsi="Times New Roman" w:cs="Times New Roman"/>
          <w:bCs/>
          <w:sz w:val="28"/>
          <w:szCs w:val="28"/>
        </w:rPr>
        <w:t>and</w:t>
      </w:r>
      <w:r w:rsidR="002D60DB" w:rsidRPr="005F3E98">
        <w:rPr>
          <w:rFonts w:ascii="Times New Roman" w:hAnsi="Times New Roman" w:cs="Times New Roman"/>
          <w:bCs/>
          <w:sz w:val="28"/>
          <w:szCs w:val="28"/>
        </w:rPr>
        <w:t xml:space="preserve"> </w:t>
      </w:r>
      <w:r w:rsidR="00802DFE" w:rsidRPr="005F3E98">
        <w:rPr>
          <w:rFonts w:ascii="Times New Roman" w:hAnsi="Times New Roman" w:cs="Times New Roman"/>
          <w:bCs/>
          <w:sz w:val="28"/>
          <w:szCs w:val="28"/>
        </w:rPr>
        <w:t xml:space="preserve">that it </w:t>
      </w:r>
      <w:r w:rsidR="00CA510A" w:rsidRPr="005F3E98">
        <w:rPr>
          <w:rFonts w:ascii="Times New Roman" w:hAnsi="Times New Roman" w:cs="Times New Roman"/>
          <w:bCs/>
          <w:sz w:val="28"/>
          <w:szCs w:val="28"/>
        </w:rPr>
        <w:t>was in community of property</w:t>
      </w:r>
      <w:r w:rsidR="00EF04F0" w:rsidRPr="005F3E98">
        <w:rPr>
          <w:rFonts w:ascii="Times New Roman" w:hAnsi="Times New Roman" w:cs="Times New Roman"/>
          <w:bCs/>
          <w:sz w:val="28"/>
          <w:szCs w:val="28"/>
        </w:rPr>
        <w:t xml:space="preserve">, and consequently, with profit and loss. </w:t>
      </w:r>
      <w:r w:rsidR="00802DFE" w:rsidRPr="005F3E98">
        <w:rPr>
          <w:rFonts w:ascii="Times New Roman" w:hAnsi="Times New Roman" w:cs="Times New Roman"/>
          <w:bCs/>
          <w:sz w:val="28"/>
          <w:szCs w:val="28"/>
        </w:rPr>
        <w:t>However, t</w:t>
      </w:r>
      <w:r w:rsidR="00E30638" w:rsidRPr="005F3E98">
        <w:rPr>
          <w:rFonts w:ascii="Times New Roman" w:hAnsi="Times New Roman" w:cs="Times New Roman"/>
          <w:bCs/>
          <w:sz w:val="28"/>
          <w:szCs w:val="28"/>
        </w:rPr>
        <w:t>he respondent</w:t>
      </w:r>
      <w:r w:rsidR="00E65157" w:rsidRPr="005F3E98">
        <w:rPr>
          <w:rFonts w:ascii="Times New Roman" w:hAnsi="Times New Roman" w:cs="Times New Roman"/>
          <w:bCs/>
          <w:sz w:val="28"/>
          <w:szCs w:val="28"/>
        </w:rPr>
        <w:t xml:space="preserve"> Queens</w:t>
      </w:r>
      <w:r w:rsidR="00E30638" w:rsidRPr="005F3E98">
        <w:rPr>
          <w:rFonts w:ascii="Times New Roman" w:hAnsi="Times New Roman" w:cs="Times New Roman"/>
          <w:bCs/>
          <w:sz w:val="28"/>
          <w:szCs w:val="28"/>
        </w:rPr>
        <w:t xml:space="preserve"> d</w:t>
      </w:r>
      <w:r w:rsidR="00B24B60" w:rsidRPr="005F3E98">
        <w:rPr>
          <w:rFonts w:ascii="Times New Roman" w:hAnsi="Times New Roman" w:cs="Times New Roman"/>
          <w:bCs/>
          <w:sz w:val="28"/>
          <w:szCs w:val="28"/>
        </w:rPr>
        <w:t>isputed</w:t>
      </w:r>
      <w:r w:rsidR="00E30638" w:rsidRPr="005F3E98">
        <w:rPr>
          <w:rFonts w:ascii="Times New Roman" w:hAnsi="Times New Roman" w:cs="Times New Roman"/>
          <w:bCs/>
          <w:sz w:val="28"/>
          <w:szCs w:val="28"/>
        </w:rPr>
        <w:t xml:space="preserve"> that the </w:t>
      </w:r>
      <w:r w:rsidR="00B24B60" w:rsidRPr="005F3E98">
        <w:rPr>
          <w:rFonts w:ascii="Times New Roman" w:hAnsi="Times New Roman" w:cs="Times New Roman"/>
          <w:bCs/>
          <w:sz w:val="28"/>
          <w:szCs w:val="28"/>
        </w:rPr>
        <w:t xml:space="preserve">subsistence </w:t>
      </w:r>
      <w:r w:rsidR="00E30638" w:rsidRPr="005F3E98">
        <w:rPr>
          <w:rFonts w:ascii="Times New Roman" w:hAnsi="Times New Roman" w:cs="Times New Roman"/>
          <w:bCs/>
          <w:sz w:val="28"/>
          <w:szCs w:val="28"/>
        </w:rPr>
        <w:t>of the civil marriage between the appellant</w:t>
      </w:r>
      <w:r w:rsidR="00D30D04" w:rsidRPr="005F3E98">
        <w:rPr>
          <w:rFonts w:ascii="Times New Roman" w:hAnsi="Times New Roman" w:cs="Times New Roman"/>
          <w:bCs/>
          <w:sz w:val="28"/>
          <w:szCs w:val="28"/>
        </w:rPr>
        <w:t xml:space="preserve"> Queen</w:t>
      </w:r>
      <w:r w:rsidR="00E30638" w:rsidRPr="005F3E98">
        <w:rPr>
          <w:rFonts w:ascii="Times New Roman" w:hAnsi="Times New Roman" w:cs="Times New Roman"/>
          <w:bCs/>
          <w:sz w:val="28"/>
          <w:szCs w:val="28"/>
        </w:rPr>
        <w:t xml:space="preserve"> and the late Isilo</w:t>
      </w:r>
      <w:r w:rsidR="00D5651F" w:rsidRPr="005F3E98">
        <w:rPr>
          <w:rFonts w:ascii="Times New Roman" w:hAnsi="Times New Roman" w:cs="Times New Roman"/>
          <w:bCs/>
          <w:sz w:val="28"/>
          <w:szCs w:val="28"/>
        </w:rPr>
        <w:t xml:space="preserve"> precluded the late Isilo</w:t>
      </w:r>
      <w:r w:rsidR="00E30638" w:rsidRPr="005F3E98">
        <w:rPr>
          <w:rFonts w:ascii="Times New Roman" w:hAnsi="Times New Roman" w:cs="Times New Roman"/>
          <w:bCs/>
          <w:sz w:val="28"/>
          <w:szCs w:val="28"/>
        </w:rPr>
        <w:t xml:space="preserve"> from </w:t>
      </w:r>
      <w:r w:rsidR="00F963AB" w:rsidRPr="005F3E98">
        <w:rPr>
          <w:rFonts w:ascii="Times New Roman" w:hAnsi="Times New Roman" w:cs="Times New Roman"/>
          <w:bCs/>
          <w:sz w:val="28"/>
          <w:szCs w:val="28"/>
        </w:rPr>
        <w:t xml:space="preserve">validly </w:t>
      </w:r>
      <w:r w:rsidR="00E30638" w:rsidRPr="005F3E98">
        <w:rPr>
          <w:rFonts w:ascii="Times New Roman" w:hAnsi="Times New Roman" w:cs="Times New Roman"/>
          <w:bCs/>
          <w:sz w:val="28"/>
          <w:szCs w:val="28"/>
        </w:rPr>
        <w:t>entering into customary marriages with</w:t>
      </w:r>
      <w:r w:rsidR="00D5651F" w:rsidRPr="005F3E98">
        <w:rPr>
          <w:rFonts w:ascii="Times New Roman" w:hAnsi="Times New Roman" w:cs="Times New Roman"/>
          <w:bCs/>
          <w:sz w:val="28"/>
          <w:szCs w:val="28"/>
        </w:rPr>
        <w:t xml:space="preserve"> the</w:t>
      </w:r>
      <w:r w:rsidR="00F963AB" w:rsidRPr="005F3E98">
        <w:rPr>
          <w:rFonts w:ascii="Times New Roman" w:hAnsi="Times New Roman" w:cs="Times New Roman"/>
          <w:bCs/>
          <w:sz w:val="28"/>
          <w:szCs w:val="28"/>
        </w:rPr>
        <w:t>m.</w:t>
      </w:r>
    </w:p>
    <w:p w:rsidR="006D58D2" w:rsidRPr="00B02D50" w:rsidRDefault="006D58D2" w:rsidP="00D85FD2">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[9]</w:t>
      </w:r>
      <w:r w:rsidRPr="00B02D50">
        <w:rPr>
          <w:rFonts w:ascii="Times New Roman" w:hAnsi="Times New Roman" w:cs="Times New Roman"/>
          <w:bCs/>
          <w:sz w:val="28"/>
          <w:szCs w:val="28"/>
        </w:rPr>
        <w:tab/>
      </w:r>
      <w:r w:rsidR="00055E01" w:rsidRPr="005F3E98">
        <w:rPr>
          <w:rFonts w:ascii="Times New Roman" w:hAnsi="Times New Roman" w:cs="Times New Roman"/>
          <w:bCs/>
          <w:sz w:val="28"/>
          <w:szCs w:val="28"/>
        </w:rPr>
        <w:t xml:space="preserve">The issue </w:t>
      </w:r>
      <w:r w:rsidR="00EF04F0" w:rsidRPr="005F3E98">
        <w:rPr>
          <w:rFonts w:ascii="Times New Roman" w:hAnsi="Times New Roman" w:cs="Times New Roman"/>
          <w:bCs/>
          <w:sz w:val="28"/>
          <w:szCs w:val="28"/>
        </w:rPr>
        <w:t xml:space="preserve">in the appeal </w:t>
      </w:r>
      <w:r w:rsidR="00055E01" w:rsidRPr="005F3E98">
        <w:rPr>
          <w:rFonts w:ascii="Times New Roman" w:hAnsi="Times New Roman" w:cs="Times New Roman"/>
          <w:bCs/>
          <w:sz w:val="28"/>
          <w:szCs w:val="28"/>
        </w:rPr>
        <w:t xml:space="preserve">is </w:t>
      </w:r>
      <w:r w:rsidR="00813760" w:rsidRPr="005F3E98">
        <w:rPr>
          <w:rFonts w:ascii="Times New Roman" w:hAnsi="Times New Roman" w:cs="Times New Roman"/>
          <w:bCs/>
          <w:sz w:val="28"/>
          <w:szCs w:val="28"/>
        </w:rPr>
        <w:t>whether the high c</w:t>
      </w:r>
      <w:r w:rsidR="002D60DB" w:rsidRPr="005F3E98">
        <w:rPr>
          <w:rFonts w:ascii="Times New Roman" w:hAnsi="Times New Roman" w:cs="Times New Roman"/>
          <w:bCs/>
          <w:sz w:val="28"/>
          <w:szCs w:val="28"/>
        </w:rPr>
        <w:t>ourt exercise</w:t>
      </w:r>
      <w:r w:rsidR="001713D9" w:rsidRPr="005F3E98">
        <w:rPr>
          <w:rFonts w:ascii="Times New Roman" w:hAnsi="Times New Roman" w:cs="Times New Roman"/>
          <w:bCs/>
          <w:sz w:val="28"/>
          <w:szCs w:val="28"/>
        </w:rPr>
        <w:t>d</w:t>
      </w:r>
      <w:r w:rsidR="002D60DB" w:rsidRPr="005F3E98">
        <w:rPr>
          <w:rFonts w:ascii="Times New Roman" w:hAnsi="Times New Roman" w:cs="Times New Roman"/>
          <w:bCs/>
          <w:sz w:val="28"/>
          <w:szCs w:val="28"/>
        </w:rPr>
        <w:t xml:space="preserve"> its discretion properly in dismissing the application. T</w:t>
      </w:r>
      <w:r w:rsidR="00491E41" w:rsidRPr="005F3E98">
        <w:rPr>
          <w:rFonts w:ascii="Times New Roman" w:hAnsi="Times New Roman" w:cs="Times New Roman"/>
          <w:bCs/>
          <w:sz w:val="28"/>
          <w:szCs w:val="28"/>
        </w:rPr>
        <w:t>he appellant</w:t>
      </w:r>
      <w:r w:rsidR="00D30D04" w:rsidRPr="005F3E98">
        <w:rPr>
          <w:rFonts w:ascii="Times New Roman" w:hAnsi="Times New Roman" w:cs="Times New Roman"/>
          <w:bCs/>
          <w:sz w:val="28"/>
          <w:szCs w:val="28"/>
        </w:rPr>
        <w:t xml:space="preserve"> Queen</w:t>
      </w:r>
      <w:r w:rsidR="00491E41" w:rsidRPr="005F3E98">
        <w:rPr>
          <w:rFonts w:ascii="Times New Roman" w:hAnsi="Times New Roman" w:cs="Times New Roman"/>
          <w:bCs/>
          <w:sz w:val="28"/>
          <w:szCs w:val="28"/>
        </w:rPr>
        <w:t xml:space="preserve"> argued that </w:t>
      </w:r>
      <w:r w:rsidR="002D60DB" w:rsidRPr="005F3E98">
        <w:rPr>
          <w:rFonts w:ascii="Times New Roman" w:hAnsi="Times New Roman" w:cs="Times New Roman"/>
          <w:bCs/>
          <w:sz w:val="28"/>
          <w:szCs w:val="28"/>
        </w:rPr>
        <w:t xml:space="preserve">the </w:t>
      </w:r>
      <w:r w:rsidR="00491E41" w:rsidRPr="005F3E98">
        <w:rPr>
          <w:rFonts w:ascii="Times New Roman" w:hAnsi="Times New Roman" w:cs="Times New Roman"/>
          <w:bCs/>
          <w:sz w:val="28"/>
          <w:szCs w:val="28"/>
        </w:rPr>
        <w:t xml:space="preserve">concession by the </w:t>
      </w:r>
      <w:r w:rsidR="006F3772" w:rsidRPr="005F3E98">
        <w:rPr>
          <w:rFonts w:ascii="Times New Roman" w:hAnsi="Times New Roman" w:cs="Times New Roman"/>
          <w:bCs/>
          <w:sz w:val="28"/>
          <w:szCs w:val="28"/>
        </w:rPr>
        <w:t xml:space="preserve">Queen </w:t>
      </w:r>
      <w:r w:rsidR="00491E41" w:rsidRPr="005F3E98">
        <w:rPr>
          <w:rFonts w:ascii="Times New Roman" w:hAnsi="Times New Roman" w:cs="Times New Roman"/>
          <w:bCs/>
          <w:sz w:val="28"/>
          <w:szCs w:val="28"/>
        </w:rPr>
        <w:t>respondents that the late Isilo and the appellant</w:t>
      </w:r>
      <w:r w:rsidR="00D30D04" w:rsidRPr="005F3E98">
        <w:rPr>
          <w:rFonts w:ascii="Times New Roman" w:hAnsi="Times New Roman" w:cs="Times New Roman"/>
          <w:bCs/>
          <w:sz w:val="28"/>
          <w:szCs w:val="28"/>
        </w:rPr>
        <w:t xml:space="preserve"> Queen</w:t>
      </w:r>
      <w:r w:rsidR="00491E41" w:rsidRPr="005F3E98">
        <w:rPr>
          <w:rFonts w:ascii="Times New Roman" w:hAnsi="Times New Roman" w:cs="Times New Roman"/>
          <w:bCs/>
          <w:sz w:val="28"/>
          <w:szCs w:val="28"/>
        </w:rPr>
        <w:t xml:space="preserve"> were married in community of property was sufficient reason for the </w:t>
      </w:r>
      <w:r w:rsidR="00813760" w:rsidRPr="005F3E98">
        <w:rPr>
          <w:rFonts w:ascii="Times New Roman" w:hAnsi="Times New Roman" w:cs="Times New Roman"/>
          <w:bCs/>
          <w:sz w:val="28"/>
          <w:szCs w:val="28"/>
        </w:rPr>
        <w:t>high c</w:t>
      </w:r>
      <w:r w:rsidR="002D60DB" w:rsidRPr="005F3E98">
        <w:rPr>
          <w:rFonts w:ascii="Times New Roman" w:hAnsi="Times New Roman" w:cs="Times New Roman"/>
          <w:bCs/>
          <w:sz w:val="28"/>
          <w:szCs w:val="28"/>
        </w:rPr>
        <w:t>ourt</w:t>
      </w:r>
      <w:r w:rsidR="00491E41" w:rsidRPr="005F3E98">
        <w:rPr>
          <w:rFonts w:ascii="Times New Roman" w:hAnsi="Times New Roman" w:cs="Times New Roman"/>
          <w:bCs/>
          <w:sz w:val="28"/>
          <w:szCs w:val="28"/>
        </w:rPr>
        <w:t xml:space="preserve"> to issue a declaratory order. The appellant</w:t>
      </w:r>
      <w:r w:rsidR="00D30D04" w:rsidRPr="005F3E98">
        <w:rPr>
          <w:rFonts w:ascii="Times New Roman" w:hAnsi="Times New Roman" w:cs="Times New Roman"/>
          <w:bCs/>
          <w:sz w:val="28"/>
          <w:szCs w:val="28"/>
        </w:rPr>
        <w:t xml:space="preserve"> Queen</w:t>
      </w:r>
      <w:r w:rsidR="00491E41" w:rsidRPr="005F3E98">
        <w:rPr>
          <w:rFonts w:ascii="Times New Roman" w:hAnsi="Times New Roman" w:cs="Times New Roman"/>
          <w:bCs/>
          <w:sz w:val="28"/>
          <w:szCs w:val="28"/>
        </w:rPr>
        <w:t xml:space="preserve"> further contended that the civil marriage between her and the late Isilo precluded him from entering into further valid marriages </w:t>
      </w:r>
      <w:r w:rsidR="00491E41" w:rsidRPr="005F3E98">
        <w:rPr>
          <w:rFonts w:ascii="Times New Roman" w:hAnsi="Times New Roman" w:cs="Times New Roman"/>
          <w:bCs/>
          <w:sz w:val="28"/>
          <w:szCs w:val="28"/>
        </w:rPr>
        <w:lastRenderedPageBreak/>
        <w:t>with other persons whether by civil or customary law.</w:t>
      </w:r>
      <w:r w:rsidR="00802DFE" w:rsidRPr="005F3E98">
        <w:rPr>
          <w:rFonts w:ascii="Times New Roman" w:hAnsi="Times New Roman" w:cs="Times New Roman"/>
          <w:bCs/>
          <w:sz w:val="28"/>
          <w:szCs w:val="28"/>
        </w:rPr>
        <w:t xml:space="preserve"> As a result, a declaratory order</w:t>
      </w:r>
      <w:r w:rsidR="00AE09B8" w:rsidRPr="005F3E98">
        <w:rPr>
          <w:rFonts w:ascii="Times New Roman" w:hAnsi="Times New Roman" w:cs="Times New Roman"/>
          <w:bCs/>
          <w:sz w:val="28"/>
          <w:szCs w:val="28"/>
        </w:rPr>
        <w:t xml:space="preserve"> to that effect should have been granted in her favour. </w:t>
      </w:r>
    </w:p>
    <w:p w:rsidR="006D58D2" w:rsidRPr="00B02D50" w:rsidRDefault="006D58D2" w:rsidP="00D85FD2">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[10]</w:t>
      </w:r>
      <w:r>
        <w:rPr>
          <w:rFonts w:ascii="Times New Roman" w:hAnsi="Times New Roman" w:cs="Times New Roman"/>
          <w:bCs/>
          <w:sz w:val="28"/>
          <w:szCs w:val="28"/>
        </w:rPr>
        <w:tab/>
      </w:r>
      <w:r w:rsidR="005F27B6" w:rsidRPr="005F3E98">
        <w:rPr>
          <w:rFonts w:ascii="Times New Roman" w:hAnsi="Times New Roman" w:cs="Times New Roman"/>
          <w:bCs/>
          <w:sz w:val="28"/>
          <w:szCs w:val="28"/>
        </w:rPr>
        <w:t>The respondent</w:t>
      </w:r>
      <w:r w:rsidR="00617957" w:rsidRPr="005F3E98">
        <w:rPr>
          <w:rFonts w:ascii="Times New Roman" w:hAnsi="Times New Roman" w:cs="Times New Roman"/>
          <w:bCs/>
          <w:sz w:val="28"/>
          <w:szCs w:val="28"/>
        </w:rPr>
        <w:t xml:space="preserve"> Queens</w:t>
      </w:r>
      <w:r w:rsidR="00751C78" w:rsidRPr="005F3E98">
        <w:rPr>
          <w:rFonts w:ascii="Times New Roman" w:hAnsi="Times New Roman" w:cs="Times New Roman"/>
          <w:bCs/>
          <w:sz w:val="28"/>
          <w:szCs w:val="28"/>
        </w:rPr>
        <w:t xml:space="preserve"> contended that the dispute </w:t>
      </w:r>
      <w:r w:rsidR="005F27B6" w:rsidRPr="005F3E98">
        <w:rPr>
          <w:rFonts w:ascii="Times New Roman" w:hAnsi="Times New Roman" w:cs="Times New Roman"/>
          <w:bCs/>
          <w:sz w:val="28"/>
          <w:szCs w:val="28"/>
        </w:rPr>
        <w:t xml:space="preserve">relating to the </w:t>
      </w:r>
      <w:r w:rsidR="00EF04F0" w:rsidRPr="005F3E98">
        <w:rPr>
          <w:rFonts w:ascii="Times New Roman" w:hAnsi="Times New Roman" w:cs="Times New Roman"/>
          <w:bCs/>
          <w:sz w:val="28"/>
          <w:szCs w:val="28"/>
        </w:rPr>
        <w:t xml:space="preserve">validity of the </w:t>
      </w:r>
      <w:r w:rsidR="005F27B6" w:rsidRPr="005F3E98">
        <w:rPr>
          <w:rFonts w:ascii="Times New Roman" w:hAnsi="Times New Roman" w:cs="Times New Roman"/>
          <w:bCs/>
          <w:sz w:val="28"/>
          <w:szCs w:val="28"/>
        </w:rPr>
        <w:t>marriage between the appellant</w:t>
      </w:r>
      <w:r w:rsidR="00587376" w:rsidRPr="005F3E98">
        <w:rPr>
          <w:rFonts w:ascii="Times New Roman" w:hAnsi="Times New Roman" w:cs="Times New Roman"/>
          <w:bCs/>
          <w:sz w:val="28"/>
          <w:szCs w:val="28"/>
        </w:rPr>
        <w:t xml:space="preserve"> Queen</w:t>
      </w:r>
      <w:r w:rsidR="005F27B6" w:rsidRPr="005F3E98">
        <w:rPr>
          <w:rFonts w:ascii="Times New Roman" w:hAnsi="Times New Roman" w:cs="Times New Roman"/>
          <w:bCs/>
          <w:sz w:val="28"/>
          <w:szCs w:val="28"/>
        </w:rPr>
        <w:t xml:space="preserve"> and the late Isilo</w:t>
      </w:r>
      <w:r w:rsidR="007F6D46" w:rsidRPr="005F3E98">
        <w:rPr>
          <w:rFonts w:ascii="Times New Roman" w:hAnsi="Times New Roman" w:cs="Times New Roman"/>
          <w:bCs/>
          <w:sz w:val="28"/>
          <w:szCs w:val="28"/>
        </w:rPr>
        <w:t xml:space="preserve"> fell away immediately prior to the hearing.</w:t>
      </w:r>
      <w:r w:rsidR="004405E8" w:rsidRPr="005F3E98">
        <w:rPr>
          <w:rFonts w:ascii="Times New Roman" w:hAnsi="Times New Roman" w:cs="Times New Roman"/>
          <w:bCs/>
          <w:sz w:val="28"/>
          <w:szCs w:val="28"/>
        </w:rPr>
        <w:t xml:space="preserve"> This rendered the issue moot. Consequently, there is no dispute as to the nature, status and propriety consequences of the marriage between the late Isilo and the appellant Queen. No practical effect would be achieved by the determination of the questions posed in this matter. There is no dispute that the appellant Queen’s marriage was in community of property and of profit and loss.</w:t>
      </w:r>
      <w:r w:rsidR="005D12DC" w:rsidRPr="005F3E98">
        <w:rPr>
          <w:rFonts w:ascii="Times New Roman" w:hAnsi="Times New Roman" w:cs="Times New Roman"/>
          <w:bCs/>
          <w:sz w:val="28"/>
          <w:szCs w:val="28"/>
        </w:rPr>
        <w:t xml:space="preserve"> On the question of whether the late Isilo was precluded from marrying any o</w:t>
      </w:r>
      <w:r w:rsidR="00DE521F" w:rsidRPr="005F3E98">
        <w:rPr>
          <w:rFonts w:ascii="Times New Roman" w:hAnsi="Times New Roman" w:cs="Times New Roman"/>
          <w:bCs/>
          <w:sz w:val="28"/>
          <w:szCs w:val="28"/>
        </w:rPr>
        <w:t>ther person during the subsistence of</w:t>
      </w:r>
      <w:r w:rsidR="005D12DC" w:rsidRPr="005F3E98">
        <w:rPr>
          <w:rFonts w:ascii="Times New Roman" w:hAnsi="Times New Roman" w:cs="Times New Roman"/>
          <w:bCs/>
          <w:sz w:val="28"/>
          <w:szCs w:val="28"/>
        </w:rPr>
        <w:t xml:space="preserve"> </w:t>
      </w:r>
      <w:r w:rsidR="00EF04F0" w:rsidRPr="005F3E98">
        <w:rPr>
          <w:rFonts w:ascii="Times New Roman" w:hAnsi="Times New Roman" w:cs="Times New Roman"/>
          <w:bCs/>
          <w:sz w:val="28"/>
          <w:szCs w:val="28"/>
        </w:rPr>
        <w:t xml:space="preserve">his </w:t>
      </w:r>
      <w:r w:rsidR="005D12DC" w:rsidRPr="005F3E98">
        <w:rPr>
          <w:rFonts w:ascii="Times New Roman" w:hAnsi="Times New Roman" w:cs="Times New Roman"/>
          <w:bCs/>
          <w:sz w:val="28"/>
          <w:szCs w:val="28"/>
        </w:rPr>
        <w:t>marriage with the appellant Queen, the respondent</w:t>
      </w:r>
      <w:r w:rsidR="00617957" w:rsidRPr="005F3E98">
        <w:rPr>
          <w:rFonts w:ascii="Times New Roman" w:hAnsi="Times New Roman" w:cs="Times New Roman"/>
          <w:bCs/>
          <w:sz w:val="28"/>
          <w:szCs w:val="28"/>
        </w:rPr>
        <w:t xml:space="preserve"> Queens </w:t>
      </w:r>
      <w:r w:rsidR="005D12DC" w:rsidRPr="005F3E98">
        <w:rPr>
          <w:rFonts w:ascii="Times New Roman" w:hAnsi="Times New Roman" w:cs="Times New Roman"/>
          <w:bCs/>
          <w:sz w:val="28"/>
          <w:szCs w:val="28"/>
        </w:rPr>
        <w:t xml:space="preserve">opposed that relief too. They submitted that the relief is legally </w:t>
      </w:r>
      <w:r w:rsidR="00C735E2" w:rsidRPr="005F3E98">
        <w:rPr>
          <w:rFonts w:ascii="Times New Roman" w:hAnsi="Times New Roman" w:cs="Times New Roman"/>
          <w:bCs/>
          <w:sz w:val="28"/>
          <w:szCs w:val="28"/>
        </w:rPr>
        <w:t>incompetent,</w:t>
      </w:r>
      <w:r w:rsidR="005D12DC" w:rsidRPr="005F3E98">
        <w:rPr>
          <w:rFonts w:ascii="Times New Roman" w:hAnsi="Times New Roman" w:cs="Times New Roman"/>
          <w:bCs/>
          <w:sz w:val="28"/>
          <w:szCs w:val="28"/>
        </w:rPr>
        <w:t xml:space="preserve"> as </w:t>
      </w:r>
      <w:r w:rsidR="00EF04F0" w:rsidRPr="005F3E98">
        <w:rPr>
          <w:rFonts w:ascii="Times New Roman" w:hAnsi="Times New Roman" w:cs="Times New Roman"/>
          <w:bCs/>
          <w:sz w:val="28"/>
          <w:szCs w:val="28"/>
        </w:rPr>
        <w:t xml:space="preserve">the appellant Queen </w:t>
      </w:r>
      <w:r w:rsidR="005D12DC" w:rsidRPr="005F3E98">
        <w:rPr>
          <w:rFonts w:ascii="Times New Roman" w:hAnsi="Times New Roman" w:cs="Times New Roman"/>
          <w:bCs/>
          <w:sz w:val="28"/>
          <w:szCs w:val="28"/>
        </w:rPr>
        <w:t xml:space="preserve">had not sought </w:t>
      </w:r>
      <w:r w:rsidR="00751C78" w:rsidRPr="005F3E98">
        <w:rPr>
          <w:rFonts w:ascii="Times New Roman" w:hAnsi="Times New Roman" w:cs="Times New Roman"/>
          <w:bCs/>
          <w:sz w:val="28"/>
          <w:szCs w:val="28"/>
        </w:rPr>
        <w:t xml:space="preserve">an order </w:t>
      </w:r>
      <w:r w:rsidR="005D12DC" w:rsidRPr="005F3E98">
        <w:rPr>
          <w:rFonts w:ascii="Times New Roman" w:hAnsi="Times New Roman" w:cs="Times New Roman"/>
          <w:bCs/>
          <w:sz w:val="28"/>
          <w:szCs w:val="28"/>
        </w:rPr>
        <w:t>declaring the late Isilo’s customary marriage</w:t>
      </w:r>
      <w:r w:rsidR="00751C78" w:rsidRPr="005F3E98">
        <w:rPr>
          <w:rFonts w:ascii="Times New Roman" w:hAnsi="Times New Roman" w:cs="Times New Roman"/>
          <w:bCs/>
          <w:sz w:val="28"/>
          <w:szCs w:val="28"/>
        </w:rPr>
        <w:t>s</w:t>
      </w:r>
      <w:r w:rsidR="005D12DC" w:rsidRPr="005F3E98">
        <w:rPr>
          <w:rFonts w:ascii="Times New Roman" w:hAnsi="Times New Roman" w:cs="Times New Roman"/>
          <w:bCs/>
          <w:sz w:val="28"/>
          <w:szCs w:val="28"/>
        </w:rPr>
        <w:t xml:space="preserve"> </w:t>
      </w:r>
      <w:r w:rsidR="00EF04F0" w:rsidRPr="005F3E98">
        <w:rPr>
          <w:rFonts w:ascii="Times New Roman" w:hAnsi="Times New Roman" w:cs="Times New Roman"/>
          <w:bCs/>
          <w:sz w:val="28"/>
          <w:szCs w:val="28"/>
        </w:rPr>
        <w:t xml:space="preserve">to them </w:t>
      </w:r>
      <w:r w:rsidR="005D12DC" w:rsidRPr="005F3E98">
        <w:rPr>
          <w:rFonts w:ascii="Times New Roman" w:hAnsi="Times New Roman" w:cs="Times New Roman"/>
          <w:bCs/>
          <w:sz w:val="28"/>
          <w:szCs w:val="28"/>
        </w:rPr>
        <w:t>invalid. They submitted that the said customary marriage</w:t>
      </w:r>
      <w:r w:rsidR="001C587B" w:rsidRPr="005F3E98">
        <w:rPr>
          <w:rFonts w:ascii="Times New Roman" w:hAnsi="Times New Roman" w:cs="Times New Roman"/>
          <w:bCs/>
          <w:sz w:val="28"/>
          <w:szCs w:val="28"/>
        </w:rPr>
        <w:t>s remain extant</w:t>
      </w:r>
      <w:r w:rsidR="005D12DC" w:rsidRPr="005F3E98">
        <w:rPr>
          <w:rFonts w:ascii="Times New Roman" w:hAnsi="Times New Roman" w:cs="Times New Roman"/>
          <w:bCs/>
          <w:sz w:val="28"/>
          <w:szCs w:val="28"/>
        </w:rPr>
        <w:t xml:space="preserve"> as they are deemed to be valid in terms of s</w:t>
      </w:r>
      <w:r w:rsidR="00E26F0C" w:rsidRPr="005F3E98">
        <w:rPr>
          <w:rFonts w:ascii="Times New Roman" w:hAnsi="Times New Roman" w:cs="Times New Roman"/>
          <w:bCs/>
          <w:sz w:val="28"/>
          <w:szCs w:val="28"/>
        </w:rPr>
        <w:t xml:space="preserve"> </w:t>
      </w:r>
      <w:r w:rsidR="005D12DC" w:rsidRPr="005F3E98">
        <w:rPr>
          <w:rFonts w:ascii="Times New Roman" w:hAnsi="Times New Roman" w:cs="Times New Roman"/>
          <w:bCs/>
          <w:sz w:val="28"/>
          <w:szCs w:val="28"/>
        </w:rPr>
        <w:t>2 of the Recognition of Customary Marriages Act 120 of 1998 (</w:t>
      </w:r>
      <w:r w:rsidR="007E0543" w:rsidRPr="005F3E98">
        <w:rPr>
          <w:rFonts w:ascii="Times New Roman" w:hAnsi="Times New Roman" w:cs="Times New Roman"/>
          <w:bCs/>
          <w:sz w:val="28"/>
          <w:szCs w:val="28"/>
        </w:rPr>
        <w:t xml:space="preserve">the </w:t>
      </w:r>
      <w:r w:rsidR="000955D6" w:rsidRPr="005F3E98">
        <w:rPr>
          <w:rFonts w:ascii="Times New Roman" w:hAnsi="Times New Roman" w:cs="Times New Roman"/>
          <w:bCs/>
          <w:sz w:val="28"/>
          <w:szCs w:val="28"/>
        </w:rPr>
        <w:t>Recognition Act</w:t>
      </w:r>
      <w:r w:rsidR="005D12DC" w:rsidRPr="005F3E98">
        <w:rPr>
          <w:rFonts w:ascii="Times New Roman" w:hAnsi="Times New Roman" w:cs="Times New Roman"/>
          <w:bCs/>
          <w:sz w:val="28"/>
          <w:szCs w:val="28"/>
        </w:rPr>
        <w:t>).</w:t>
      </w:r>
      <w:r w:rsidR="00037D7B" w:rsidRPr="00B02D50">
        <w:rPr>
          <w:rStyle w:val="FootnoteReference"/>
          <w:rFonts w:ascii="Times New Roman" w:hAnsi="Times New Roman" w:cs="Times New Roman"/>
          <w:bCs/>
          <w:sz w:val="28"/>
          <w:szCs w:val="28"/>
        </w:rPr>
        <w:footnoteReference w:id="3"/>
      </w:r>
    </w:p>
    <w:p w:rsidR="00D746BB" w:rsidRPr="00B02D50" w:rsidRDefault="00D746BB" w:rsidP="00D746BB">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[11]</w:t>
      </w:r>
      <w:r w:rsidRPr="00B02D50">
        <w:rPr>
          <w:rFonts w:ascii="Times New Roman" w:hAnsi="Times New Roman" w:cs="Times New Roman"/>
          <w:bCs/>
          <w:sz w:val="28"/>
          <w:szCs w:val="28"/>
        </w:rPr>
        <w:tab/>
      </w:r>
      <w:r w:rsidR="00224A36" w:rsidRPr="005F3E98">
        <w:rPr>
          <w:rFonts w:ascii="Times New Roman" w:hAnsi="Times New Roman" w:cs="Times New Roman"/>
          <w:bCs/>
          <w:sz w:val="28"/>
          <w:szCs w:val="28"/>
        </w:rPr>
        <w:t xml:space="preserve">In </w:t>
      </w:r>
      <w:r w:rsidR="00037D7B" w:rsidRPr="005F3E98">
        <w:rPr>
          <w:rFonts w:ascii="Times New Roman" w:hAnsi="Times New Roman" w:cs="Times New Roman"/>
          <w:bCs/>
          <w:i/>
          <w:iCs/>
          <w:sz w:val="28"/>
          <w:szCs w:val="28"/>
        </w:rPr>
        <w:t>L</w:t>
      </w:r>
      <w:r w:rsidR="00224A36" w:rsidRPr="005F3E98">
        <w:rPr>
          <w:rFonts w:ascii="Times New Roman" w:hAnsi="Times New Roman" w:cs="Times New Roman"/>
          <w:bCs/>
          <w:i/>
          <w:iCs/>
          <w:sz w:val="28"/>
          <w:szCs w:val="28"/>
        </w:rPr>
        <w:t>ueven Metals v Commissioner for SARS</w:t>
      </w:r>
      <w:r w:rsidR="00466B0B" w:rsidRPr="005F3E98">
        <w:rPr>
          <w:rFonts w:ascii="Times New Roman" w:hAnsi="Times New Roman" w:cs="Times New Roman"/>
          <w:bCs/>
          <w:iCs/>
          <w:sz w:val="28"/>
          <w:szCs w:val="28"/>
        </w:rPr>
        <w:t>,</w:t>
      </w:r>
      <w:r w:rsidR="00EF04F0" w:rsidRPr="00B02D50">
        <w:rPr>
          <w:rStyle w:val="FootnoteReference"/>
          <w:rFonts w:ascii="Times New Roman" w:hAnsi="Times New Roman" w:cs="Times New Roman"/>
          <w:bCs/>
          <w:iCs/>
          <w:sz w:val="28"/>
          <w:szCs w:val="28"/>
        </w:rPr>
        <w:footnoteReference w:id="4"/>
      </w:r>
      <w:r w:rsidR="00037D7B" w:rsidRPr="005F3E98">
        <w:rPr>
          <w:rFonts w:ascii="Times New Roman" w:hAnsi="Times New Roman" w:cs="Times New Roman"/>
          <w:bCs/>
          <w:i/>
          <w:iCs/>
          <w:sz w:val="28"/>
          <w:szCs w:val="28"/>
        </w:rPr>
        <w:t xml:space="preserve"> </w:t>
      </w:r>
      <w:r w:rsidR="00224A36" w:rsidRPr="005F3E98">
        <w:rPr>
          <w:rFonts w:ascii="Times New Roman" w:hAnsi="Times New Roman" w:cs="Times New Roman"/>
          <w:bCs/>
          <w:sz w:val="28"/>
          <w:szCs w:val="28"/>
        </w:rPr>
        <w:t>this Court</w:t>
      </w:r>
      <w:r w:rsidR="00466B0B" w:rsidRPr="005F3E98">
        <w:rPr>
          <w:rFonts w:ascii="Times New Roman" w:hAnsi="Times New Roman" w:cs="Times New Roman"/>
          <w:bCs/>
          <w:sz w:val="28"/>
          <w:szCs w:val="28"/>
        </w:rPr>
        <w:t>,</w:t>
      </w:r>
      <w:r w:rsidR="00224A36" w:rsidRPr="005F3E98">
        <w:rPr>
          <w:rFonts w:ascii="Times New Roman" w:hAnsi="Times New Roman" w:cs="Times New Roman"/>
          <w:bCs/>
          <w:sz w:val="28"/>
          <w:szCs w:val="28"/>
        </w:rPr>
        <w:t xml:space="preserve"> </w:t>
      </w:r>
      <w:r w:rsidR="00037D7B" w:rsidRPr="005F3E98">
        <w:rPr>
          <w:rFonts w:ascii="Times New Roman" w:hAnsi="Times New Roman" w:cs="Times New Roman"/>
          <w:bCs/>
          <w:sz w:val="28"/>
          <w:szCs w:val="28"/>
        </w:rPr>
        <w:t>with regard to declaratory orders</w:t>
      </w:r>
      <w:r w:rsidR="00466B0B" w:rsidRPr="005F3E98">
        <w:rPr>
          <w:rFonts w:ascii="Times New Roman" w:hAnsi="Times New Roman" w:cs="Times New Roman"/>
          <w:bCs/>
          <w:sz w:val="28"/>
          <w:szCs w:val="28"/>
        </w:rPr>
        <w:t>,</w:t>
      </w:r>
      <w:r w:rsidR="00037D7B" w:rsidRPr="005F3E98">
        <w:rPr>
          <w:rFonts w:ascii="Times New Roman" w:hAnsi="Times New Roman" w:cs="Times New Roman"/>
          <w:bCs/>
          <w:sz w:val="28"/>
          <w:szCs w:val="28"/>
        </w:rPr>
        <w:t xml:space="preserve"> succinctly</w:t>
      </w:r>
      <w:r w:rsidR="004405E8" w:rsidRPr="005F3E98">
        <w:rPr>
          <w:rFonts w:ascii="Times New Roman" w:hAnsi="Times New Roman" w:cs="Times New Roman"/>
          <w:bCs/>
          <w:sz w:val="28"/>
          <w:szCs w:val="28"/>
        </w:rPr>
        <w:t xml:space="preserve"> recognised that</w:t>
      </w:r>
      <w:r w:rsidR="00C970F4" w:rsidRPr="005F3E98">
        <w:rPr>
          <w:rFonts w:ascii="Times New Roman" w:hAnsi="Times New Roman" w:cs="Times New Roman"/>
          <w:bCs/>
          <w:sz w:val="28"/>
          <w:szCs w:val="28"/>
        </w:rPr>
        <w:t>:</w:t>
      </w:r>
      <w:r w:rsidR="00224A36" w:rsidRPr="005F3E98">
        <w:rPr>
          <w:rFonts w:ascii="Times New Roman" w:hAnsi="Times New Roman" w:cs="Times New Roman"/>
          <w:bCs/>
          <w:sz w:val="28"/>
          <w:szCs w:val="28"/>
        </w:rPr>
        <w:t xml:space="preserve"> </w:t>
      </w:r>
    </w:p>
    <w:p w:rsidR="006D58D2" w:rsidRPr="00B02D50" w:rsidRDefault="00037D7B" w:rsidP="006D58D2">
      <w:pPr>
        <w:pStyle w:val="ListParagraph"/>
        <w:spacing w:after="0" w:line="360" w:lineRule="auto"/>
        <w:ind w:left="0"/>
        <w:jc w:val="both"/>
        <w:rPr>
          <w:rFonts w:ascii="Times New Roman" w:hAnsi="Times New Roman" w:cs="Times New Roman"/>
          <w:bCs/>
          <w:sz w:val="28"/>
          <w:szCs w:val="28"/>
        </w:rPr>
      </w:pPr>
      <w:r w:rsidRPr="00B02D50">
        <w:rPr>
          <w:rFonts w:ascii="Times New Roman" w:hAnsi="Times New Roman" w:cs="Times New Roman"/>
          <w:bCs/>
          <w:sz w:val="24"/>
          <w:szCs w:val="24"/>
        </w:rPr>
        <w:t>‘S</w:t>
      </w:r>
      <w:r w:rsidR="00224A36" w:rsidRPr="00B02D50">
        <w:rPr>
          <w:rFonts w:ascii="Times New Roman" w:hAnsi="Times New Roman" w:cs="Times New Roman"/>
          <w:bCs/>
          <w:sz w:val="24"/>
          <w:szCs w:val="24"/>
        </w:rPr>
        <w:t>ection 21(1)(</w:t>
      </w:r>
      <w:r w:rsidR="001922AF" w:rsidRPr="00B02D50">
        <w:rPr>
          <w:rFonts w:ascii="Times New Roman" w:hAnsi="Times New Roman" w:cs="Times New Roman"/>
          <w:bCs/>
          <w:i/>
          <w:iCs/>
          <w:sz w:val="24"/>
          <w:szCs w:val="24"/>
        </w:rPr>
        <w:t>c</w:t>
      </w:r>
      <w:r w:rsidR="00224A36" w:rsidRPr="00B02D50">
        <w:rPr>
          <w:rFonts w:ascii="Times New Roman" w:hAnsi="Times New Roman" w:cs="Times New Roman"/>
          <w:bCs/>
          <w:sz w:val="24"/>
          <w:szCs w:val="24"/>
        </w:rPr>
        <w:t>) of the Superior Courts Act 10 of 2013</w:t>
      </w:r>
      <w:r w:rsidR="00AD7433" w:rsidRPr="00B02D50">
        <w:rPr>
          <w:rFonts w:ascii="Times New Roman" w:hAnsi="Times New Roman" w:cs="Times New Roman"/>
          <w:bCs/>
          <w:sz w:val="24"/>
          <w:szCs w:val="24"/>
        </w:rPr>
        <w:t xml:space="preserve"> </w:t>
      </w:r>
      <w:r w:rsidR="00224A36" w:rsidRPr="00B02D50">
        <w:rPr>
          <w:rFonts w:ascii="Times New Roman" w:hAnsi="Times New Roman" w:cs="Times New Roman"/>
          <w:bCs/>
          <w:sz w:val="24"/>
          <w:szCs w:val="24"/>
        </w:rPr>
        <w:t>provides a statutory basis for the grant of declaratory orders w</w:t>
      </w:r>
      <w:r w:rsidR="00C970F4" w:rsidRPr="00B02D50">
        <w:rPr>
          <w:rFonts w:ascii="Times New Roman" w:hAnsi="Times New Roman" w:cs="Times New Roman"/>
          <w:bCs/>
          <w:sz w:val="24"/>
          <w:szCs w:val="24"/>
        </w:rPr>
        <w:t xml:space="preserve">ithout removing the common law </w:t>
      </w:r>
      <w:r w:rsidR="00224A36" w:rsidRPr="00B02D50">
        <w:rPr>
          <w:rFonts w:ascii="Times New Roman" w:hAnsi="Times New Roman" w:cs="Times New Roman"/>
          <w:bCs/>
          <w:sz w:val="24"/>
          <w:szCs w:val="24"/>
        </w:rPr>
        <w:t xml:space="preserve">jurisdiction to do so. It is a discretionary remedy. The question whether or not relief should be granted under the section has to be examined </w:t>
      </w:r>
      <w:r w:rsidR="00224A36" w:rsidRPr="00B02D50">
        <w:rPr>
          <w:rFonts w:ascii="Times New Roman" w:hAnsi="Times New Roman" w:cs="Times New Roman"/>
          <w:bCs/>
          <w:sz w:val="24"/>
          <w:szCs w:val="24"/>
        </w:rPr>
        <w:lastRenderedPageBreak/>
        <w:t>in two stages</w:t>
      </w:r>
      <w:r w:rsidR="00C970F4" w:rsidRPr="00B02D50">
        <w:rPr>
          <w:rFonts w:ascii="Times New Roman" w:hAnsi="Times New Roman" w:cs="Times New Roman"/>
          <w:bCs/>
          <w:sz w:val="24"/>
          <w:szCs w:val="24"/>
        </w:rPr>
        <w:t>, in the first place, the jurisdictional facts have to be established. When this has been done, the court must decide whether the case is a proper one for the exercise of its discretion. Thus, even if the jurisdictional requirements are met, an applicant does not have an entitlement to an order. It is for such applicant to show that the circumstances justify the grant of an order.’</w:t>
      </w:r>
    </w:p>
    <w:p w:rsidR="006D58D2" w:rsidRPr="00B02D50" w:rsidRDefault="006D58D2" w:rsidP="006D58D2">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[12]</w:t>
      </w:r>
      <w:r>
        <w:rPr>
          <w:rFonts w:ascii="Times New Roman" w:hAnsi="Times New Roman" w:cs="Times New Roman"/>
          <w:bCs/>
          <w:sz w:val="28"/>
          <w:szCs w:val="28"/>
        </w:rPr>
        <w:tab/>
      </w:r>
      <w:r w:rsidR="00C970F4" w:rsidRPr="005F3E98">
        <w:rPr>
          <w:rFonts w:ascii="Times New Roman" w:hAnsi="Times New Roman" w:cs="Times New Roman"/>
          <w:bCs/>
          <w:sz w:val="28"/>
          <w:szCs w:val="28"/>
        </w:rPr>
        <w:t xml:space="preserve">The jurisdictional facts that have to be established </w:t>
      </w:r>
      <w:r w:rsidR="00466B0B" w:rsidRPr="005F3E98">
        <w:rPr>
          <w:rFonts w:ascii="Times New Roman" w:hAnsi="Times New Roman" w:cs="Times New Roman"/>
          <w:bCs/>
          <w:sz w:val="28"/>
          <w:szCs w:val="28"/>
        </w:rPr>
        <w:t>are</w:t>
      </w:r>
      <w:r w:rsidR="00C970F4" w:rsidRPr="005F3E98">
        <w:rPr>
          <w:rFonts w:ascii="Times New Roman" w:hAnsi="Times New Roman" w:cs="Times New Roman"/>
          <w:bCs/>
          <w:sz w:val="28"/>
          <w:szCs w:val="28"/>
        </w:rPr>
        <w:t xml:space="preserve"> whether the applicant has an interest in an existing, future </w:t>
      </w:r>
      <w:r w:rsidR="00587376" w:rsidRPr="005F3E98">
        <w:rPr>
          <w:rFonts w:ascii="Times New Roman" w:hAnsi="Times New Roman" w:cs="Times New Roman"/>
          <w:bCs/>
          <w:sz w:val="28"/>
          <w:szCs w:val="28"/>
        </w:rPr>
        <w:t>or contingent</w:t>
      </w:r>
      <w:r w:rsidR="00C970F4" w:rsidRPr="005F3E98">
        <w:rPr>
          <w:rFonts w:ascii="Times New Roman" w:hAnsi="Times New Roman" w:cs="Times New Roman"/>
          <w:bCs/>
          <w:sz w:val="28"/>
          <w:szCs w:val="28"/>
        </w:rPr>
        <w:t xml:space="preserve"> right or obligation.</w:t>
      </w:r>
      <w:r w:rsidR="00C970F4" w:rsidRPr="00B02D50">
        <w:rPr>
          <w:rStyle w:val="FootnoteReference"/>
          <w:rFonts w:ascii="Times New Roman" w:hAnsi="Times New Roman" w:cs="Times New Roman"/>
          <w:bCs/>
          <w:sz w:val="28"/>
          <w:szCs w:val="28"/>
        </w:rPr>
        <w:footnoteReference w:id="5"/>
      </w:r>
      <w:r w:rsidR="00466B0B" w:rsidRPr="005F3E98">
        <w:rPr>
          <w:rFonts w:ascii="Times New Roman" w:hAnsi="Times New Roman" w:cs="Times New Roman"/>
          <w:bCs/>
          <w:sz w:val="28"/>
          <w:szCs w:val="28"/>
        </w:rPr>
        <w:t xml:space="preserve"> </w:t>
      </w:r>
      <w:r w:rsidR="00811530" w:rsidRPr="005F3E98">
        <w:rPr>
          <w:rFonts w:ascii="Times New Roman" w:hAnsi="Times New Roman" w:cs="Times New Roman"/>
          <w:bCs/>
          <w:sz w:val="28"/>
          <w:szCs w:val="28"/>
        </w:rPr>
        <w:t>If the court is so satisfied that such interest exist</w:t>
      </w:r>
      <w:r w:rsidR="001609F8" w:rsidRPr="005F3E98">
        <w:rPr>
          <w:rFonts w:ascii="Times New Roman" w:hAnsi="Times New Roman" w:cs="Times New Roman"/>
          <w:bCs/>
          <w:sz w:val="28"/>
          <w:szCs w:val="28"/>
        </w:rPr>
        <w:t>s</w:t>
      </w:r>
      <w:r w:rsidR="00811530" w:rsidRPr="005F3E98">
        <w:rPr>
          <w:rFonts w:ascii="Times New Roman" w:hAnsi="Times New Roman" w:cs="Times New Roman"/>
          <w:bCs/>
          <w:sz w:val="28"/>
          <w:szCs w:val="28"/>
        </w:rPr>
        <w:t xml:space="preserve">, it is required to consider whether the order for a declaratory relief should be granted. The court considers whether </w:t>
      </w:r>
      <w:r w:rsidR="001609F8" w:rsidRPr="005F3E98">
        <w:rPr>
          <w:rFonts w:ascii="Times New Roman" w:hAnsi="Times New Roman" w:cs="Times New Roman"/>
          <w:bCs/>
          <w:sz w:val="28"/>
          <w:szCs w:val="28"/>
        </w:rPr>
        <w:t xml:space="preserve">an </w:t>
      </w:r>
      <w:r w:rsidR="00811530" w:rsidRPr="005F3E98">
        <w:rPr>
          <w:rFonts w:ascii="Times New Roman" w:hAnsi="Times New Roman" w:cs="Times New Roman"/>
          <w:bCs/>
          <w:sz w:val="28"/>
          <w:szCs w:val="28"/>
        </w:rPr>
        <w:t>applicant in seeking such an order has a standing in terms of s 38 of the Constitution. In addition, the doctrine of ripeness is at issue, as consideration is given to whether prejudice has already resulted or is inevitable, irrespective of whether the action is complete or not. The doctrine of ripeness may also require an enquiry as to whether alternative remedies have been exhausted. This</w:t>
      </w:r>
      <w:r w:rsidR="00033F98" w:rsidRPr="005F3E98">
        <w:rPr>
          <w:rFonts w:ascii="Times New Roman" w:hAnsi="Times New Roman" w:cs="Times New Roman"/>
          <w:bCs/>
          <w:sz w:val="28"/>
          <w:szCs w:val="28"/>
        </w:rPr>
        <w:t xml:space="preserve"> is</w:t>
      </w:r>
      <w:r w:rsidR="00811530" w:rsidRPr="005F3E98">
        <w:rPr>
          <w:rFonts w:ascii="Times New Roman" w:hAnsi="Times New Roman" w:cs="Times New Roman"/>
          <w:bCs/>
          <w:sz w:val="28"/>
          <w:szCs w:val="28"/>
        </w:rPr>
        <w:t xml:space="preserve"> termed a premature action. </w:t>
      </w:r>
      <w:r w:rsidR="00033F98" w:rsidRPr="005F3E98">
        <w:rPr>
          <w:rFonts w:ascii="Times New Roman" w:hAnsi="Times New Roman" w:cs="Times New Roman"/>
          <w:bCs/>
          <w:sz w:val="28"/>
          <w:szCs w:val="28"/>
        </w:rPr>
        <w:t xml:space="preserve">As </w:t>
      </w:r>
      <w:r w:rsidR="0084350F" w:rsidRPr="005F3E98">
        <w:rPr>
          <w:rFonts w:ascii="Times New Roman" w:hAnsi="Times New Roman" w:cs="Times New Roman"/>
          <w:bCs/>
          <w:sz w:val="28"/>
          <w:szCs w:val="28"/>
        </w:rPr>
        <w:t xml:space="preserve">aforesaid, </w:t>
      </w:r>
      <w:r w:rsidR="00033F98" w:rsidRPr="005F3E98">
        <w:rPr>
          <w:rFonts w:ascii="Times New Roman" w:hAnsi="Times New Roman" w:cs="Times New Roman"/>
          <w:bCs/>
          <w:sz w:val="28"/>
          <w:szCs w:val="28"/>
        </w:rPr>
        <w:t>s</w:t>
      </w:r>
      <w:r w:rsidR="00811530" w:rsidRPr="005F3E98">
        <w:rPr>
          <w:rFonts w:ascii="Times New Roman" w:hAnsi="Times New Roman" w:cs="Times New Roman"/>
          <w:bCs/>
          <w:sz w:val="28"/>
          <w:szCs w:val="28"/>
        </w:rPr>
        <w:t xml:space="preserve"> 21(1)</w:t>
      </w:r>
      <w:r w:rsidR="00811530" w:rsidRPr="005F3E98">
        <w:rPr>
          <w:rFonts w:ascii="Times New Roman" w:hAnsi="Times New Roman" w:cs="Times New Roman"/>
          <w:bCs/>
          <w:i/>
          <w:sz w:val="28"/>
          <w:szCs w:val="28"/>
        </w:rPr>
        <w:t>(c)</w:t>
      </w:r>
      <w:r w:rsidR="00811530" w:rsidRPr="005F3E98">
        <w:rPr>
          <w:rFonts w:ascii="Times New Roman" w:hAnsi="Times New Roman" w:cs="Times New Roman"/>
          <w:bCs/>
          <w:sz w:val="28"/>
          <w:szCs w:val="28"/>
        </w:rPr>
        <w:t xml:space="preserve"> of the Superior Courts Act 10 of 2013 enjoins the high court </w:t>
      </w:r>
      <w:r w:rsidR="00FC26F1" w:rsidRPr="005F3E98">
        <w:rPr>
          <w:rFonts w:ascii="Times New Roman" w:hAnsi="Times New Roman" w:cs="Times New Roman"/>
          <w:bCs/>
          <w:sz w:val="28"/>
          <w:szCs w:val="28"/>
        </w:rPr>
        <w:t>‘</w:t>
      </w:r>
      <w:r w:rsidR="00811530" w:rsidRPr="005F3E98">
        <w:rPr>
          <w:rFonts w:ascii="Times New Roman" w:hAnsi="Times New Roman" w:cs="Times New Roman"/>
          <w:bCs/>
          <w:sz w:val="28"/>
          <w:szCs w:val="28"/>
        </w:rPr>
        <w:t>in its discretion and at the instance of any interested person to enquire into and determine any existing, future or contingent right or obligation, notwithstanding that such person cannot claim any relief consequential upon the determination</w:t>
      </w:r>
      <w:r w:rsidR="00FC26F1" w:rsidRPr="005F3E98">
        <w:rPr>
          <w:rFonts w:ascii="Times New Roman" w:hAnsi="Times New Roman" w:cs="Times New Roman"/>
          <w:bCs/>
          <w:sz w:val="28"/>
          <w:szCs w:val="28"/>
        </w:rPr>
        <w:t>’</w:t>
      </w:r>
      <w:r w:rsidR="00811530" w:rsidRPr="005F3E98">
        <w:rPr>
          <w:rFonts w:ascii="Times New Roman" w:hAnsi="Times New Roman" w:cs="Times New Roman"/>
          <w:bCs/>
          <w:sz w:val="28"/>
          <w:szCs w:val="28"/>
        </w:rPr>
        <w:t xml:space="preserve">. In addition, a court will not grant a declaratory order on moot or academic issues, as this would conflict with the doctrine of </w:t>
      </w:r>
      <w:r w:rsidR="003212A8" w:rsidRPr="005F3E98">
        <w:rPr>
          <w:rFonts w:ascii="Times New Roman" w:hAnsi="Times New Roman" w:cs="Times New Roman"/>
          <w:bCs/>
          <w:sz w:val="28"/>
          <w:szCs w:val="28"/>
        </w:rPr>
        <w:t>effectiveness.</w:t>
      </w:r>
    </w:p>
    <w:p w:rsidR="00D746BB" w:rsidRPr="00B02D50" w:rsidRDefault="00D746BB" w:rsidP="00D746BB">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[13]</w:t>
      </w:r>
      <w:r w:rsidRPr="00B02D50">
        <w:rPr>
          <w:rFonts w:ascii="Times New Roman" w:hAnsi="Times New Roman" w:cs="Times New Roman"/>
          <w:bCs/>
          <w:sz w:val="28"/>
          <w:szCs w:val="28"/>
        </w:rPr>
        <w:tab/>
      </w:r>
      <w:r w:rsidR="003C7ACB" w:rsidRPr="005F3E98">
        <w:rPr>
          <w:rFonts w:ascii="Times New Roman" w:hAnsi="Times New Roman" w:cs="Times New Roman"/>
          <w:bCs/>
          <w:sz w:val="28"/>
          <w:szCs w:val="28"/>
        </w:rPr>
        <w:t xml:space="preserve">When deciding whether it is appropriate to grant declaratory relief in a particular case, the court </w:t>
      </w:r>
      <w:r w:rsidR="00855385" w:rsidRPr="005F3E98">
        <w:rPr>
          <w:rFonts w:ascii="Times New Roman" w:hAnsi="Times New Roman" w:cs="Times New Roman"/>
          <w:bCs/>
          <w:sz w:val="28"/>
          <w:szCs w:val="28"/>
        </w:rPr>
        <w:t xml:space="preserve">exercises a wide or loose discretion. </w:t>
      </w:r>
      <w:r w:rsidR="0095525D" w:rsidRPr="005F3E98">
        <w:rPr>
          <w:rFonts w:ascii="Times New Roman" w:hAnsi="Times New Roman" w:cs="Times New Roman"/>
          <w:bCs/>
          <w:sz w:val="28"/>
          <w:szCs w:val="28"/>
        </w:rPr>
        <w:t xml:space="preserve">It does not follow that the </w:t>
      </w:r>
      <w:r w:rsidR="00466B0B" w:rsidRPr="005F3E98">
        <w:rPr>
          <w:rFonts w:ascii="Times New Roman" w:hAnsi="Times New Roman" w:cs="Times New Roman"/>
          <w:bCs/>
          <w:sz w:val="28"/>
          <w:szCs w:val="28"/>
        </w:rPr>
        <w:t>c</w:t>
      </w:r>
      <w:r w:rsidR="0095525D" w:rsidRPr="005F3E98">
        <w:rPr>
          <w:rFonts w:ascii="Times New Roman" w:hAnsi="Times New Roman" w:cs="Times New Roman"/>
          <w:bCs/>
          <w:sz w:val="28"/>
          <w:szCs w:val="28"/>
        </w:rPr>
        <w:t xml:space="preserve">ourt must exercise its discretion in favour of an applicant that has established the jurisdictional facts. </w:t>
      </w:r>
      <w:r w:rsidR="00855385" w:rsidRPr="005F3E98">
        <w:rPr>
          <w:rFonts w:ascii="Times New Roman" w:hAnsi="Times New Roman" w:cs="Times New Roman"/>
          <w:bCs/>
          <w:sz w:val="28"/>
          <w:szCs w:val="28"/>
        </w:rPr>
        <w:t>The discretion is exercised in the light of all relevant considerations</w:t>
      </w:r>
      <w:r w:rsidR="003C7ACB" w:rsidRPr="005F3E98">
        <w:rPr>
          <w:rFonts w:ascii="Times New Roman" w:hAnsi="Times New Roman" w:cs="Times New Roman"/>
          <w:bCs/>
          <w:sz w:val="28"/>
          <w:szCs w:val="28"/>
        </w:rPr>
        <w:t>.</w:t>
      </w:r>
      <w:r w:rsidR="00855385" w:rsidRPr="005F3E98">
        <w:rPr>
          <w:rFonts w:ascii="Times New Roman" w:hAnsi="Times New Roman" w:cs="Times New Roman"/>
          <w:bCs/>
          <w:sz w:val="28"/>
          <w:szCs w:val="28"/>
        </w:rPr>
        <w:t xml:space="preserve"> </w:t>
      </w:r>
      <w:r w:rsidR="003212A8" w:rsidRPr="005F3E98">
        <w:rPr>
          <w:rFonts w:ascii="Times New Roman" w:hAnsi="Times New Roman" w:cs="Times New Roman"/>
          <w:bCs/>
          <w:sz w:val="28"/>
          <w:szCs w:val="28"/>
        </w:rPr>
        <w:t xml:space="preserve">In </w:t>
      </w:r>
      <w:r w:rsidR="003212A8" w:rsidRPr="005F3E98">
        <w:rPr>
          <w:rFonts w:ascii="Times New Roman" w:hAnsi="Times New Roman" w:cs="Times New Roman"/>
          <w:bCs/>
          <w:i/>
          <w:sz w:val="28"/>
          <w:szCs w:val="28"/>
        </w:rPr>
        <w:t>Cordiant</w:t>
      </w:r>
      <w:r w:rsidR="00987B9A" w:rsidRPr="005F3E98">
        <w:rPr>
          <w:rFonts w:ascii="Times New Roman" w:hAnsi="Times New Roman" w:cs="Times New Roman"/>
          <w:i/>
        </w:rPr>
        <w:t xml:space="preserve"> </w:t>
      </w:r>
      <w:r w:rsidR="00987B9A" w:rsidRPr="005F3E98">
        <w:rPr>
          <w:rFonts w:ascii="Times New Roman" w:hAnsi="Times New Roman" w:cs="Times New Roman"/>
          <w:i/>
          <w:sz w:val="28"/>
          <w:szCs w:val="28"/>
        </w:rPr>
        <w:t>v Daimler-Chrysler</w:t>
      </w:r>
      <w:r w:rsidR="00D61D7C" w:rsidRPr="005F3E98">
        <w:rPr>
          <w:rFonts w:ascii="Times New Roman" w:hAnsi="Times New Roman" w:cs="Times New Roman"/>
          <w:i/>
          <w:sz w:val="28"/>
          <w:szCs w:val="28"/>
        </w:rPr>
        <w:t xml:space="preserve"> </w:t>
      </w:r>
      <w:r w:rsidR="00D61D7C" w:rsidRPr="005F3E98">
        <w:rPr>
          <w:rFonts w:ascii="Times New Roman" w:hAnsi="Times New Roman" w:cs="Times New Roman"/>
          <w:sz w:val="28"/>
          <w:szCs w:val="28"/>
        </w:rPr>
        <w:t>(</w:t>
      </w:r>
      <w:r w:rsidR="00D61D7C" w:rsidRPr="005F3E98">
        <w:rPr>
          <w:rFonts w:ascii="Times New Roman" w:hAnsi="Times New Roman" w:cs="Times New Roman"/>
          <w:i/>
          <w:sz w:val="28"/>
          <w:szCs w:val="28"/>
        </w:rPr>
        <w:t>Cordiant</w:t>
      </w:r>
      <w:r w:rsidR="00D61D7C" w:rsidRPr="005F3E98">
        <w:rPr>
          <w:rFonts w:ascii="Times New Roman" w:hAnsi="Times New Roman" w:cs="Times New Roman"/>
          <w:sz w:val="28"/>
          <w:szCs w:val="28"/>
        </w:rPr>
        <w:t>)</w:t>
      </w:r>
      <w:r w:rsidR="00BF23A9" w:rsidRPr="005F3E98">
        <w:rPr>
          <w:rFonts w:ascii="Times New Roman" w:hAnsi="Times New Roman" w:cs="Times New Roman"/>
          <w:sz w:val="28"/>
          <w:szCs w:val="28"/>
        </w:rPr>
        <w:t>,</w:t>
      </w:r>
      <w:r w:rsidR="003212A8" w:rsidRPr="00B02D50">
        <w:rPr>
          <w:rStyle w:val="FootnoteReference"/>
          <w:rFonts w:ascii="Times New Roman" w:hAnsi="Times New Roman" w:cs="Times New Roman"/>
          <w:bCs/>
          <w:sz w:val="28"/>
          <w:szCs w:val="28"/>
        </w:rPr>
        <w:footnoteReference w:id="6"/>
      </w:r>
      <w:r w:rsidR="003212A8" w:rsidRPr="005F3E98">
        <w:rPr>
          <w:rFonts w:ascii="Times New Roman" w:hAnsi="Times New Roman" w:cs="Times New Roman"/>
          <w:bCs/>
          <w:sz w:val="28"/>
          <w:szCs w:val="28"/>
        </w:rPr>
        <w:t xml:space="preserve"> this Court emphasised that it does not mean that</w:t>
      </w:r>
      <w:r w:rsidR="00BF23A9" w:rsidRPr="005F3E98">
        <w:rPr>
          <w:rFonts w:ascii="Times New Roman" w:hAnsi="Times New Roman" w:cs="Times New Roman"/>
          <w:bCs/>
          <w:sz w:val="28"/>
          <w:szCs w:val="28"/>
        </w:rPr>
        <w:t>,</w:t>
      </w:r>
      <w:r w:rsidR="003212A8" w:rsidRPr="005F3E98">
        <w:rPr>
          <w:rFonts w:ascii="Times New Roman" w:hAnsi="Times New Roman" w:cs="Times New Roman"/>
          <w:bCs/>
          <w:sz w:val="28"/>
          <w:szCs w:val="28"/>
        </w:rPr>
        <w:t xml:space="preserve"> once the party has satisfied the requirement of an existing, </w:t>
      </w:r>
      <w:r w:rsidR="003212A8" w:rsidRPr="005F3E98">
        <w:rPr>
          <w:rFonts w:ascii="Times New Roman" w:hAnsi="Times New Roman" w:cs="Times New Roman"/>
          <w:bCs/>
          <w:sz w:val="28"/>
          <w:szCs w:val="28"/>
        </w:rPr>
        <w:lastRenderedPageBreak/>
        <w:t>future, or contingent right or obligation</w:t>
      </w:r>
      <w:r w:rsidR="00033F98" w:rsidRPr="005F3E98">
        <w:rPr>
          <w:rFonts w:ascii="Times New Roman" w:hAnsi="Times New Roman" w:cs="Times New Roman"/>
          <w:bCs/>
          <w:sz w:val="28"/>
          <w:szCs w:val="28"/>
        </w:rPr>
        <w:t>, that is the end of the enquiry.</w:t>
      </w:r>
      <w:r w:rsidR="003212A8" w:rsidRPr="005F3E98">
        <w:rPr>
          <w:rFonts w:ascii="Times New Roman" w:hAnsi="Times New Roman" w:cs="Times New Roman"/>
          <w:bCs/>
          <w:sz w:val="28"/>
          <w:szCs w:val="28"/>
        </w:rPr>
        <w:t xml:space="preserve"> </w:t>
      </w:r>
      <w:r w:rsidR="00033F98" w:rsidRPr="005F3E98">
        <w:rPr>
          <w:rFonts w:ascii="Times New Roman" w:hAnsi="Times New Roman" w:cs="Times New Roman"/>
          <w:bCs/>
          <w:sz w:val="28"/>
          <w:szCs w:val="28"/>
        </w:rPr>
        <w:t>T</w:t>
      </w:r>
      <w:r w:rsidR="003212A8" w:rsidRPr="005F3E98">
        <w:rPr>
          <w:rFonts w:ascii="Times New Roman" w:hAnsi="Times New Roman" w:cs="Times New Roman"/>
          <w:bCs/>
          <w:sz w:val="28"/>
          <w:szCs w:val="28"/>
        </w:rPr>
        <w:t>he court must still decide whether it should refuse or grant the order</w:t>
      </w:r>
      <w:r w:rsidR="00BF23A9" w:rsidRPr="005F3E98">
        <w:rPr>
          <w:rFonts w:ascii="Times New Roman" w:hAnsi="Times New Roman" w:cs="Times New Roman"/>
          <w:bCs/>
          <w:sz w:val="28"/>
          <w:szCs w:val="28"/>
        </w:rPr>
        <w:t>,</w:t>
      </w:r>
      <w:r w:rsidR="003212A8" w:rsidRPr="005F3E98">
        <w:rPr>
          <w:rFonts w:ascii="Times New Roman" w:hAnsi="Times New Roman" w:cs="Times New Roman"/>
          <w:bCs/>
          <w:sz w:val="28"/>
          <w:szCs w:val="28"/>
        </w:rPr>
        <w:t xml:space="preserve"> and whether it is a proper one for the exercise of </w:t>
      </w:r>
      <w:r w:rsidR="00BF23A9" w:rsidRPr="005F3E98">
        <w:rPr>
          <w:rFonts w:ascii="Times New Roman" w:hAnsi="Times New Roman" w:cs="Times New Roman"/>
          <w:bCs/>
          <w:sz w:val="28"/>
          <w:szCs w:val="28"/>
        </w:rPr>
        <w:t xml:space="preserve">that court’s </w:t>
      </w:r>
      <w:r w:rsidR="003212A8" w:rsidRPr="005F3E98">
        <w:rPr>
          <w:rFonts w:ascii="Times New Roman" w:hAnsi="Times New Roman" w:cs="Times New Roman"/>
          <w:bCs/>
          <w:sz w:val="28"/>
          <w:szCs w:val="28"/>
        </w:rPr>
        <w:t>discretion. This does not mean that the court is obliged to grant the declaratory order, but it must consider whether it should grant or refuse the order sought</w:t>
      </w:r>
      <w:r w:rsidR="009F5CB3" w:rsidRPr="005F3E98">
        <w:rPr>
          <w:rFonts w:ascii="Times New Roman" w:hAnsi="Times New Roman" w:cs="Times New Roman"/>
          <w:bCs/>
          <w:sz w:val="28"/>
          <w:szCs w:val="28"/>
        </w:rPr>
        <w:t>.</w:t>
      </w:r>
      <w:r w:rsidR="003212A8" w:rsidRPr="005F3E98">
        <w:rPr>
          <w:rFonts w:ascii="Times New Roman" w:hAnsi="Times New Roman" w:cs="Times New Roman"/>
          <w:bCs/>
          <w:sz w:val="28"/>
          <w:szCs w:val="28"/>
        </w:rPr>
        <w:t xml:space="preserve"> The test </w:t>
      </w:r>
      <w:r w:rsidR="00987B9A" w:rsidRPr="005F3E98">
        <w:rPr>
          <w:rFonts w:ascii="Times New Roman" w:hAnsi="Times New Roman" w:cs="Times New Roman"/>
          <w:bCs/>
          <w:sz w:val="28"/>
          <w:szCs w:val="28"/>
        </w:rPr>
        <w:t xml:space="preserve">whether a court of appeal is entitled to </w:t>
      </w:r>
      <w:r w:rsidR="003212A8" w:rsidRPr="005F3E98">
        <w:rPr>
          <w:rFonts w:ascii="Times New Roman" w:hAnsi="Times New Roman" w:cs="Times New Roman"/>
          <w:bCs/>
          <w:sz w:val="28"/>
          <w:szCs w:val="28"/>
        </w:rPr>
        <w:t xml:space="preserve">interfere with the exercise of </w:t>
      </w:r>
      <w:r w:rsidR="00987B9A" w:rsidRPr="005F3E98">
        <w:rPr>
          <w:rFonts w:ascii="Times New Roman" w:hAnsi="Times New Roman" w:cs="Times New Roman"/>
          <w:bCs/>
          <w:sz w:val="28"/>
          <w:szCs w:val="28"/>
        </w:rPr>
        <w:t xml:space="preserve">a wide </w:t>
      </w:r>
      <w:r w:rsidR="003212A8" w:rsidRPr="005F3E98">
        <w:rPr>
          <w:rFonts w:ascii="Times New Roman" w:hAnsi="Times New Roman" w:cs="Times New Roman"/>
          <w:bCs/>
          <w:sz w:val="28"/>
          <w:szCs w:val="28"/>
        </w:rPr>
        <w:t xml:space="preserve">discretion </w:t>
      </w:r>
      <w:r w:rsidR="005E6CFE" w:rsidRPr="005F3E98">
        <w:rPr>
          <w:rFonts w:ascii="Times New Roman" w:hAnsi="Times New Roman" w:cs="Times New Roman"/>
          <w:bCs/>
          <w:sz w:val="28"/>
          <w:szCs w:val="28"/>
        </w:rPr>
        <w:t xml:space="preserve">is now settled. It is that, </w:t>
      </w:r>
      <w:r w:rsidR="00BF23A9" w:rsidRPr="005F3E98">
        <w:rPr>
          <w:rFonts w:ascii="Times New Roman" w:hAnsi="Times New Roman" w:cs="Times New Roman"/>
          <w:iCs/>
          <w:color w:val="242121"/>
          <w:sz w:val="28"/>
          <w:szCs w:val="28"/>
          <w:lang w:val="en-GB"/>
        </w:rPr>
        <w:t>in</w:t>
      </w:r>
      <w:r w:rsidR="005E6CFE" w:rsidRPr="005F3E98">
        <w:rPr>
          <w:rFonts w:ascii="Times New Roman" w:hAnsi="Times New Roman" w:cs="Times New Roman"/>
          <w:iCs/>
          <w:color w:val="242121"/>
          <w:sz w:val="28"/>
          <w:szCs w:val="28"/>
          <w:lang w:val="en-GB"/>
        </w:rPr>
        <w:t xml:space="preserve"> the absence of misdirection or irregularity, a court of appeal would ordinarily not be entitled to substitute its discretion for that of a lower Court.</w:t>
      </w:r>
      <w:r w:rsidR="005E6CFE" w:rsidRPr="00B02D50">
        <w:rPr>
          <w:rStyle w:val="FootnoteReference"/>
          <w:rFonts w:ascii="Times New Roman" w:hAnsi="Times New Roman" w:cs="Times New Roman"/>
          <w:iCs/>
          <w:color w:val="242121"/>
          <w:sz w:val="28"/>
          <w:szCs w:val="28"/>
          <w:lang w:val="en-GB"/>
        </w:rPr>
        <w:footnoteReference w:id="7"/>
      </w:r>
      <w:r w:rsidR="005E6CFE" w:rsidRPr="005F3E98">
        <w:rPr>
          <w:rFonts w:ascii="Times New Roman" w:hAnsi="Times New Roman" w:cs="Times New Roman"/>
          <w:bCs/>
          <w:sz w:val="28"/>
          <w:szCs w:val="28"/>
        </w:rPr>
        <w:t xml:space="preserve"> </w:t>
      </w:r>
    </w:p>
    <w:p w:rsidR="006D58D2" w:rsidRPr="00B02D50" w:rsidRDefault="006D58D2" w:rsidP="006D58D2">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[14]</w:t>
      </w:r>
      <w:r w:rsidRPr="00B02D50">
        <w:rPr>
          <w:rFonts w:ascii="Times New Roman" w:hAnsi="Times New Roman" w:cs="Times New Roman"/>
          <w:bCs/>
          <w:sz w:val="28"/>
          <w:szCs w:val="28"/>
        </w:rPr>
        <w:tab/>
      </w:r>
      <w:r w:rsidR="00945075" w:rsidRPr="005F3E98">
        <w:rPr>
          <w:rFonts w:ascii="Times New Roman" w:hAnsi="Times New Roman" w:cs="Times New Roman"/>
          <w:bCs/>
          <w:sz w:val="28"/>
          <w:szCs w:val="28"/>
        </w:rPr>
        <w:t>It is trite that, d</w:t>
      </w:r>
      <w:r w:rsidR="00D4388B" w:rsidRPr="005F3E98">
        <w:rPr>
          <w:rFonts w:ascii="Times New Roman" w:hAnsi="Times New Roman" w:cs="Times New Roman"/>
          <w:bCs/>
          <w:sz w:val="28"/>
          <w:szCs w:val="28"/>
        </w:rPr>
        <w:t>espite the jurisdictional factors being prove</w:t>
      </w:r>
      <w:r w:rsidR="00BF23A9" w:rsidRPr="005F3E98">
        <w:rPr>
          <w:rFonts w:ascii="Times New Roman" w:hAnsi="Times New Roman" w:cs="Times New Roman"/>
          <w:bCs/>
          <w:sz w:val="28"/>
          <w:szCs w:val="28"/>
        </w:rPr>
        <w:t>d</w:t>
      </w:r>
      <w:r w:rsidR="00D4388B" w:rsidRPr="005F3E98">
        <w:rPr>
          <w:rFonts w:ascii="Times New Roman" w:hAnsi="Times New Roman" w:cs="Times New Roman"/>
          <w:bCs/>
          <w:sz w:val="28"/>
          <w:szCs w:val="28"/>
        </w:rPr>
        <w:t xml:space="preserve">, the Court may exercise its discretion against an applicant if the declaratory relief would be abstract, academic or hypothetical. The </w:t>
      </w:r>
      <w:r w:rsidR="00BF23A9" w:rsidRPr="005F3E98">
        <w:rPr>
          <w:rFonts w:ascii="Times New Roman" w:hAnsi="Times New Roman" w:cs="Times New Roman"/>
          <w:bCs/>
          <w:sz w:val="28"/>
          <w:szCs w:val="28"/>
        </w:rPr>
        <w:t>c</w:t>
      </w:r>
      <w:r w:rsidR="00D4388B" w:rsidRPr="005F3E98">
        <w:rPr>
          <w:rFonts w:ascii="Times New Roman" w:hAnsi="Times New Roman" w:cs="Times New Roman"/>
          <w:bCs/>
          <w:sz w:val="28"/>
          <w:szCs w:val="28"/>
        </w:rPr>
        <w:t xml:space="preserve">ourt may also refuse to grant a declaratory order if it would not present a </w:t>
      </w:r>
      <w:r w:rsidR="003F5327" w:rsidRPr="005F3E98">
        <w:rPr>
          <w:rFonts w:ascii="Times New Roman" w:hAnsi="Times New Roman" w:cs="Times New Roman"/>
          <w:bCs/>
          <w:sz w:val="28"/>
          <w:szCs w:val="28"/>
        </w:rPr>
        <w:t xml:space="preserve">tangible advantage to </w:t>
      </w:r>
      <w:r w:rsidR="000A257F" w:rsidRPr="005F3E98">
        <w:rPr>
          <w:rFonts w:ascii="Times New Roman" w:hAnsi="Times New Roman" w:cs="Times New Roman"/>
          <w:bCs/>
          <w:sz w:val="28"/>
          <w:szCs w:val="28"/>
        </w:rPr>
        <w:t xml:space="preserve">an </w:t>
      </w:r>
      <w:r w:rsidR="003F5327" w:rsidRPr="005F3E98">
        <w:rPr>
          <w:rFonts w:ascii="Times New Roman" w:hAnsi="Times New Roman" w:cs="Times New Roman"/>
          <w:bCs/>
          <w:sz w:val="28"/>
          <w:szCs w:val="28"/>
        </w:rPr>
        <w:t xml:space="preserve">applicant. </w:t>
      </w:r>
      <w:r w:rsidR="00236837" w:rsidRPr="005F3E98">
        <w:rPr>
          <w:rFonts w:ascii="Times New Roman" w:hAnsi="Times New Roman" w:cs="Times New Roman"/>
          <w:bCs/>
          <w:sz w:val="28"/>
          <w:szCs w:val="28"/>
        </w:rPr>
        <w:t xml:space="preserve">Additionally, the </w:t>
      </w:r>
      <w:r w:rsidR="00BF23A9" w:rsidRPr="005F3E98">
        <w:rPr>
          <w:rFonts w:ascii="Times New Roman" w:hAnsi="Times New Roman" w:cs="Times New Roman"/>
          <w:bCs/>
          <w:sz w:val="28"/>
          <w:szCs w:val="28"/>
        </w:rPr>
        <w:t>c</w:t>
      </w:r>
      <w:r w:rsidR="00236837" w:rsidRPr="005F3E98">
        <w:rPr>
          <w:rFonts w:ascii="Times New Roman" w:hAnsi="Times New Roman" w:cs="Times New Roman"/>
          <w:bCs/>
          <w:sz w:val="28"/>
          <w:szCs w:val="28"/>
        </w:rPr>
        <w:t xml:space="preserve">ourt may refuse to grant a declaratory order when the subject matter of the order sought had been definitively determined by a court or the </w:t>
      </w:r>
      <w:r w:rsidR="00BF23A9" w:rsidRPr="005F3E98">
        <w:rPr>
          <w:rFonts w:ascii="Times New Roman" w:hAnsi="Times New Roman" w:cs="Times New Roman"/>
          <w:bCs/>
          <w:sz w:val="28"/>
          <w:szCs w:val="28"/>
        </w:rPr>
        <w:t>l</w:t>
      </w:r>
      <w:r w:rsidR="00236837" w:rsidRPr="005F3E98">
        <w:rPr>
          <w:rFonts w:ascii="Times New Roman" w:hAnsi="Times New Roman" w:cs="Times New Roman"/>
          <w:bCs/>
          <w:sz w:val="28"/>
          <w:szCs w:val="28"/>
        </w:rPr>
        <w:t>egislature.</w:t>
      </w:r>
    </w:p>
    <w:p w:rsidR="006D58D2" w:rsidRPr="00B02D50" w:rsidRDefault="006D58D2" w:rsidP="00D85FD2">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[15]</w:t>
      </w:r>
      <w:r w:rsidRPr="00B02D50">
        <w:rPr>
          <w:rFonts w:ascii="Times New Roman" w:hAnsi="Times New Roman" w:cs="Times New Roman"/>
          <w:bCs/>
          <w:sz w:val="28"/>
          <w:szCs w:val="28"/>
        </w:rPr>
        <w:tab/>
      </w:r>
      <w:r w:rsidR="00855385" w:rsidRPr="005F3E98">
        <w:rPr>
          <w:rFonts w:ascii="Times New Roman" w:hAnsi="Times New Roman" w:cs="Times New Roman"/>
          <w:bCs/>
          <w:sz w:val="28"/>
          <w:szCs w:val="28"/>
        </w:rPr>
        <w:t xml:space="preserve">In </w:t>
      </w:r>
      <w:r w:rsidR="00855385" w:rsidRPr="005F3E98">
        <w:rPr>
          <w:rFonts w:ascii="Times New Roman" w:hAnsi="Times New Roman" w:cs="Times New Roman"/>
          <w:bCs/>
          <w:i/>
          <w:sz w:val="28"/>
          <w:szCs w:val="28"/>
        </w:rPr>
        <w:t>Knox</w:t>
      </w:r>
      <w:r w:rsidR="00A65937" w:rsidRPr="005F3E98">
        <w:rPr>
          <w:rFonts w:ascii="Times New Roman" w:hAnsi="Times New Roman" w:cs="Times New Roman"/>
          <w:bCs/>
          <w:i/>
          <w:sz w:val="28"/>
          <w:szCs w:val="28"/>
        </w:rPr>
        <w:t xml:space="preserve"> D’Arcy v Jameson</w:t>
      </w:r>
      <w:r w:rsidR="000A257F" w:rsidRPr="005F3E98">
        <w:rPr>
          <w:rFonts w:ascii="Times New Roman" w:hAnsi="Times New Roman" w:cs="Times New Roman"/>
          <w:bCs/>
          <w:i/>
          <w:sz w:val="28"/>
          <w:szCs w:val="28"/>
        </w:rPr>
        <w:t>,</w:t>
      </w:r>
      <w:r w:rsidR="003F5327" w:rsidRPr="00B02D50">
        <w:rPr>
          <w:rStyle w:val="FootnoteReference"/>
          <w:rFonts w:ascii="Times New Roman" w:hAnsi="Times New Roman" w:cs="Times New Roman"/>
          <w:bCs/>
          <w:sz w:val="28"/>
          <w:szCs w:val="28"/>
        </w:rPr>
        <w:footnoteReference w:id="8"/>
      </w:r>
      <w:r w:rsidR="00FC2E1F" w:rsidRPr="005F3E98">
        <w:rPr>
          <w:rFonts w:ascii="Times New Roman" w:hAnsi="Times New Roman" w:cs="Times New Roman"/>
          <w:bCs/>
          <w:sz w:val="28"/>
          <w:szCs w:val="28"/>
        </w:rPr>
        <w:t xml:space="preserve"> it was </w:t>
      </w:r>
      <w:r w:rsidR="007A21CF" w:rsidRPr="005F3E98">
        <w:rPr>
          <w:rFonts w:ascii="Times New Roman" w:hAnsi="Times New Roman" w:cs="Times New Roman"/>
          <w:bCs/>
          <w:sz w:val="28"/>
          <w:szCs w:val="28"/>
        </w:rPr>
        <w:t xml:space="preserve">pointed out </w:t>
      </w:r>
      <w:r w:rsidR="00A65937" w:rsidRPr="005F3E98">
        <w:rPr>
          <w:rFonts w:ascii="Times New Roman" w:hAnsi="Times New Roman" w:cs="Times New Roman"/>
          <w:bCs/>
          <w:sz w:val="28"/>
          <w:szCs w:val="28"/>
        </w:rPr>
        <w:t>t</w:t>
      </w:r>
      <w:r w:rsidR="006F3772" w:rsidRPr="005F3E98">
        <w:rPr>
          <w:rFonts w:ascii="Times New Roman" w:hAnsi="Times New Roman" w:cs="Times New Roman"/>
          <w:bCs/>
          <w:sz w:val="28"/>
          <w:szCs w:val="28"/>
        </w:rPr>
        <w:t>hat</w:t>
      </w:r>
      <w:r w:rsidR="00FC2E1F" w:rsidRPr="005F3E98">
        <w:rPr>
          <w:rFonts w:ascii="Times New Roman" w:hAnsi="Times New Roman" w:cs="Times New Roman"/>
          <w:bCs/>
          <w:sz w:val="28"/>
          <w:szCs w:val="28"/>
        </w:rPr>
        <w:t xml:space="preserve"> a </w:t>
      </w:r>
      <w:r w:rsidR="00466B0B" w:rsidRPr="005F3E98">
        <w:rPr>
          <w:rFonts w:ascii="Times New Roman" w:hAnsi="Times New Roman" w:cs="Times New Roman"/>
          <w:bCs/>
          <w:sz w:val="28"/>
          <w:szCs w:val="28"/>
        </w:rPr>
        <w:t>c</w:t>
      </w:r>
      <w:r w:rsidR="00FC2E1F" w:rsidRPr="005F3E98">
        <w:rPr>
          <w:rFonts w:ascii="Times New Roman" w:hAnsi="Times New Roman" w:cs="Times New Roman"/>
          <w:bCs/>
          <w:sz w:val="28"/>
          <w:szCs w:val="28"/>
        </w:rPr>
        <w:t xml:space="preserve">ourt has a wide discretion </w:t>
      </w:r>
      <w:r w:rsidR="00DE521F" w:rsidRPr="005F3E98">
        <w:rPr>
          <w:rFonts w:ascii="Times New Roman" w:hAnsi="Times New Roman" w:cs="Times New Roman"/>
          <w:bCs/>
          <w:sz w:val="28"/>
          <w:szCs w:val="28"/>
        </w:rPr>
        <w:t xml:space="preserve">at which </w:t>
      </w:r>
      <w:r w:rsidR="00FC2E1F" w:rsidRPr="005F3E98">
        <w:rPr>
          <w:rFonts w:ascii="Times New Roman" w:hAnsi="Times New Roman" w:cs="Times New Roman"/>
          <w:bCs/>
          <w:sz w:val="28"/>
          <w:szCs w:val="28"/>
        </w:rPr>
        <w:t>‘seems to mean no more than that the Court is entitled to have regard to a number of disparate and incommensurate features in coming to a decision’</w:t>
      </w:r>
      <w:r w:rsidR="009523D3" w:rsidRPr="005F3E98">
        <w:rPr>
          <w:rFonts w:ascii="Times New Roman" w:hAnsi="Times New Roman" w:cs="Times New Roman"/>
          <w:bCs/>
          <w:sz w:val="28"/>
          <w:szCs w:val="28"/>
        </w:rPr>
        <w:t>.</w:t>
      </w:r>
      <w:r w:rsidR="00FC2E1F" w:rsidRPr="005F3E98">
        <w:rPr>
          <w:rFonts w:ascii="Times New Roman" w:hAnsi="Times New Roman" w:cs="Times New Roman"/>
          <w:bCs/>
          <w:sz w:val="28"/>
          <w:szCs w:val="28"/>
        </w:rPr>
        <w:t xml:space="preserve"> </w:t>
      </w:r>
      <w:r w:rsidR="00B63A09" w:rsidRPr="005F3E98">
        <w:rPr>
          <w:rFonts w:ascii="Times New Roman" w:hAnsi="Times New Roman" w:cs="Times New Roman"/>
          <w:bCs/>
          <w:sz w:val="28"/>
          <w:szCs w:val="28"/>
        </w:rPr>
        <w:t>In</w:t>
      </w:r>
      <w:r w:rsidR="009F0798" w:rsidRPr="005F3E98">
        <w:rPr>
          <w:rFonts w:ascii="Times New Roman" w:hAnsi="Times New Roman" w:cs="Times New Roman"/>
          <w:bCs/>
          <w:sz w:val="28"/>
          <w:szCs w:val="28"/>
        </w:rPr>
        <w:t xml:space="preserve"> </w:t>
      </w:r>
      <w:r w:rsidR="009F0798" w:rsidRPr="005F3E98">
        <w:rPr>
          <w:rFonts w:ascii="Times New Roman" w:hAnsi="Times New Roman" w:cs="Times New Roman"/>
          <w:bCs/>
          <w:i/>
          <w:sz w:val="28"/>
          <w:szCs w:val="28"/>
        </w:rPr>
        <w:t>Media Workers Association of South Africa v Press Corporation of South Africa Ltd</w:t>
      </w:r>
      <w:r w:rsidR="00AC63EB" w:rsidRPr="005F3E98">
        <w:rPr>
          <w:rFonts w:ascii="Times New Roman" w:hAnsi="Times New Roman" w:cs="Times New Roman"/>
          <w:bCs/>
          <w:sz w:val="28"/>
          <w:szCs w:val="28"/>
        </w:rPr>
        <w:t>,</w:t>
      </w:r>
      <w:r w:rsidR="003F5327" w:rsidRPr="00B02D50">
        <w:rPr>
          <w:rStyle w:val="FootnoteReference"/>
          <w:rFonts w:ascii="Times New Roman" w:hAnsi="Times New Roman" w:cs="Times New Roman"/>
          <w:bCs/>
          <w:sz w:val="28"/>
          <w:szCs w:val="28"/>
        </w:rPr>
        <w:footnoteReference w:id="9"/>
      </w:r>
      <w:r w:rsidR="00B63A09" w:rsidRPr="005F3E98">
        <w:rPr>
          <w:rFonts w:ascii="Times New Roman" w:hAnsi="Times New Roman" w:cs="Times New Roman"/>
          <w:bCs/>
          <w:i/>
          <w:sz w:val="28"/>
          <w:szCs w:val="28"/>
        </w:rPr>
        <w:t xml:space="preserve"> </w:t>
      </w:r>
      <w:r w:rsidR="00B63A09" w:rsidRPr="005F3E98">
        <w:rPr>
          <w:rFonts w:ascii="Times New Roman" w:hAnsi="Times New Roman" w:cs="Times New Roman"/>
          <w:bCs/>
          <w:sz w:val="28"/>
          <w:szCs w:val="28"/>
        </w:rPr>
        <w:t xml:space="preserve">this Court </w:t>
      </w:r>
      <w:r w:rsidR="00AC63EB" w:rsidRPr="005F3E98">
        <w:rPr>
          <w:rFonts w:ascii="Times New Roman" w:hAnsi="Times New Roman" w:cs="Times New Roman"/>
          <w:bCs/>
          <w:sz w:val="28"/>
          <w:szCs w:val="28"/>
        </w:rPr>
        <w:t xml:space="preserve">said </w:t>
      </w:r>
      <w:r w:rsidR="00B63A09" w:rsidRPr="005F3E98">
        <w:rPr>
          <w:rFonts w:ascii="Times New Roman" w:hAnsi="Times New Roman" w:cs="Times New Roman"/>
          <w:bCs/>
          <w:sz w:val="28"/>
          <w:szCs w:val="28"/>
        </w:rPr>
        <w:t>the following about a wide discretion:</w:t>
      </w:r>
    </w:p>
    <w:p w:rsidR="006D58D2" w:rsidRPr="00B02D50" w:rsidRDefault="00B63A09" w:rsidP="006D58D2">
      <w:pPr>
        <w:pStyle w:val="ListParagraph"/>
        <w:spacing w:after="0" w:line="360" w:lineRule="auto"/>
        <w:ind w:left="0"/>
        <w:jc w:val="both"/>
        <w:rPr>
          <w:rFonts w:ascii="Times New Roman" w:hAnsi="Times New Roman" w:cs="Times New Roman"/>
          <w:bCs/>
          <w:sz w:val="28"/>
          <w:szCs w:val="28"/>
        </w:rPr>
      </w:pPr>
      <w:r w:rsidRPr="00B02D50">
        <w:rPr>
          <w:rFonts w:ascii="Times New Roman" w:hAnsi="Times New Roman" w:cs="Times New Roman"/>
          <w:bCs/>
          <w:sz w:val="24"/>
          <w:szCs w:val="24"/>
        </w:rPr>
        <w:t>‘It does not involve a choice between permissible alternatives. In respect of such a judgment a Court of appeal may, in principle, well come to a different conclusion from that reached by the Court a quo on the merits of the matter.’</w:t>
      </w:r>
    </w:p>
    <w:p w:rsidR="006D58D2" w:rsidRPr="00B02D50" w:rsidRDefault="006D58D2" w:rsidP="00D85FD2">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lastRenderedPageBreak/>
        <w:t>[16]</w:t>
      </w:r>
      <w:r w:rsidRPr="00B02D50">
        <w:rPr>
          <w:rFonts w:ascii="Times New Roman" w:hAnsi="Times New Roman" w:cs="Times New Roman"/>
          <w:bCs/>
          <w:sz w:val="28"/>
          <w:szCs w:val="28"/>
        </w:rPr>
        <w:tab/>
      </w:r>
      <w:r w:rsidR="003C7ACB" w:rsidRPr="005F3E98">
        <w:rPr>
          <w:rFonts w:ascii="Times New Roman" w:hAnsi="Times New Roman" w:cs="Times New Roman"/>
          <w:bCs/>
          <w:sz w:val="28"/>
          <w:szCs w:val="28"/>
        </w:rPr>
        <w:t>A declaratory order is a flexible remedy that need not be accompanied by consequential relief.</w:t>
      </w:r>
      <w:r w:rsidR="003C7ACB" w:rsidRPr="00B02D50">
        <w:rPr>
          <w:rStyle w:val="FootnoteReference"/>
          <w:rFonts w:ascii="Times New Roman" w:hAnsi="Times New Roman" w:cs="Times New Roman"/>
          <w:bCs/>
          <w:sz w:val="28"/>
          <w:szCs w:val="28"/>
        </w:rPr>
        <w:footnoteReference w:id="10"/>
      </w:r>
      <w:r w:rsidR="003C7ACB" w:rsidRPr="005F3E98">
        <w:rPr>
          <w:rFonts w:ascii="Times New Roman" w:hAnsi="Times New Roman" w:cs="Times New Roman"/>
          <w:bCs/>
          <w:sz w:val="28"/>
          <w:szCs w:val="28"/>
        </w:rPr>
        <w:t xml:space="preserve"> H</w:t>
      </w:r>
      <w:r w:rsidR="008E7D6C" w:rsidRPr="005F3E98">
        <w:rPr>
          <w:rFonts w:ascii="Times New Roman" w:hAnsi="Times New Roman" w:cs="Times New Roman"/>
          <w:bCs/>
          <w:sz w:val="28"/>
          <w:szCs w:val="28"/>
        </w:rPr>
        <w:t>owever,</w:t>
      </w:r>
      <w:r w:rsidR="00E0680E" w:rsidRPr="005F3E98">
        <w:rPr>
          <w:rFonts w:ascii="Times New Roman" w:hAnsi="Times New Roman" w:cs="Times New Roman"/>
          <w:bCs/>
          <w:sz w:val="28"/>
          <w:szCs w:val="28"/>
        </w:rPr>
        <w:t xml:space="preserve"> in </w:t>
      </w:r>
      <w:r w:rsidR="00E0680E" w:rsidRPr="005F3E98">
        <w:rPr>
          <w:rFonts w:ascii="Times New Roman" w:hAnsi="Times New Roman" w:cs="Times New Roman"/>
          <w:bCs/>
          <w:i/>
          <w:sz w:val="28"/>
          <w:szCs w:val="28"/>
        </w:rPr>
        <w:t>Adbro Investment Co. Ltd v Minister of the Interior</w:t>
      </w:r>
      <w:r w:rsidR="00E0680E" w:rsidRPr="005F3E98">
        <w:rPr>
          <w:rFonts w:ascii="Times New Roman" w:hAnsi="Times New Roman" w:cs="Times New Roman"/>
          <w:bCs/>
          <w:sz w:val="28"/>
          <w:szCs w:val="28"/>
        </w:rPr>
        <w:t>,</w:t>
      </w:r>
      <w:r w:rsidR="00E0680E" w:rsidRPr="00B02D50">
        <w:rPr>
          <w:rStyle w:val="FootnoteReference"/>
          <w:rFonts w:ascii="Times New Roman" w:hAnsi="Times New Roman" w:cs="Times New Roman"/>
          <w:bCs/>
          <w:sz w:val="24"/>
          <w:szCs w:val="24"/>
        </w:rPr>
        <w:footnoteReference w:id="11"/>
      </w:r>
      <w:r w:rsidR="00E0680E" w:rsidRPr="005F3E98">
        <w:rPr>
          <w:rFonts w:ascii="Times New Roman" w:hAnsi="Times New Roman" w:cs="Times New Roman"/>
          <w:bCs/>
          <w:sz w:val="24"/>
          <w:szCs w:val="24"/>
        </w:rPr>
        <w:t xml:space="preserve"> </w:t>
      </w:r>
      <w:r w:rsidR="008E7D6C" w:rsidRPr="005F3E98">
        <w:rPr>
          <w:rFonts w:ascii="Times New Roman" w:hAnsi="Times New Roman" w:cs="Times New Roman"/>
          <w:bCs/>
          <w:sz w:val="28"/>
          <w:szCs w:val="28"/>
        </w:rPr>
        <w:t xml:space="preserve"> </w:t>
      </w:r>
      <w:r w:rsidR="003F5327" w:rsidRPr="005F3E98">
        <w:rPr>
          <w:rFonts w:ascii="Times New Roman" w:hAnsi="Times New Roman" w:cs="Times New Roman"/>
          <w:bCs/>
          <w:sz w:val="28"/>
          <w:szCs w:val="28"/>
        </w:rPr>
        <w:t>it was found that:</w:t>
      </w:r>
    </w:p>
    <w:p w:rsidR="006D58D2" w:rsidRPr="00B02D50" w:rsidRDefault="003C7ACB" w:rsidP="006D58D2">
      <w:pPr>
        <w:pStyle w:val="ListParagraph"/>
        <w:spacing w:after="0" w:line="360" w:lineRule="auto"/>
        <w:ind w:left="0"/>
        <w:jc w:val="both"/>
        <w:rPr>
          <w:rFonts w:ascii="Times New Roman" w:hAnsi="Times New Roman" w:cs="Times New Roman"/>
          <w:bCs/>
          <w:sz w:val="28"/>
          <w:szCs w:val="28"/>
        </w:rPr>
      </w:pPr>
      <w:r w:rsidRPr="00B02D50">
        <w:rPr>
          <w:rFonts w:ascii="Times New Roman" w:hAnsi="Times New Roman" w:cs="Times New Roman"/>
          <w:bCs/>
          <w:sz w:val="24"/>
          <w:szCs w:val="24"/>
        </w:rPr>
        <w:t>‘</w:t>
      </w:r>
      <w:r w:rsidR="00A2593F" w:rsidRPr="00B02D50">
        <w:rPr>
          <w:rFonts w:ascii="Times New Roman" w:hAnsi="Times New Roman" w:cs="Times New Roman"/>
          <w:bCs/>
          <w:sz w:val="24"/>
          <w:szCs w:val="24"/>
        </w:rPr>
        <w:t xml:space="preserve">. . . </w:t>
      </w:r>
      <w:r w:rsidRPr="00B02D50">
        <w:rPr>
          <w:rFonts w:ascii="Times New Roman" w:hAnsi="Times New Roman" w:cs="Times New Roman"/>
          <w:bCs/>
          <w:sz w:val="24"/>
          <w:szCs w:val="24"/>
        </w:rPr>
        <w:t xml:space="preserve">a proper case for a purely declaratory order is not made out if the result is merely a decision on a matter which </w:t>
      </w:r>
      <w:r w:rsidR="008E7D6C" w:rsidRPr="00B02D50">
        <w:rPr>
          <w:rFonts w:ascii="Times New Roman" w:hAnsi="Times New Roman" w:cs="Times New Roman"/>
          <w:bCs/>
          <w:sz w:val="24"/>
          <w:szCs w:val="24"/>
        </w:rPr>
        <w:t>is really of academic interest to the ap</w:t>
      </w:r>
      <w:r w:rsidR="00961066" w:rsidRPr="00B02D50">
        <w:rPr>
          <w:rFonts w:ascii="Times New Roman" w:hAnsi="Times New Roman" w:cs="Times New Roman"/>
          <w:bCs/>
          <w:sz w:val="24"/>
          <w:szCs w:val="24"/>
        </w:rPr>
        <w:t>plicant. …some tangible and justifiable advantage in relation to the applicant’s position with reference to an existing future or contingent legal right or obligation must appear to flow from the grant of the declaratory order sought.</w:t>
      </w:r>
      <w:r w:rsidR="008E7D6C" w:rsidRPr="00B02D50">
        <w:rPr>
          <w:rFonts w:ascii="Times New Roman" w:hAnsi="Times New Roman" w:cs="Times New Roman"/>
          <w:bCs/>
          <w:sz w:val="24"/>
          <w:szCs w:val="24"/>
        </w:rPr>
        <w:t>’</w:t>
      </w:r>
      <w:r w:rsidR="006D58D2" w:rsidRPr="00B02D50">
        <w:rPr>
          <w:rFonts w:ascii="Times New Roman" w:hAnsi="Times New Roman" w:cs="Times New Roman"/>
          <w:bCs/>
          <w:sz w:val="24"/>
          <w:szCs w:val="24"/>
        </w:rPr>
        <w:t xml:space="preserve"> </w:t>
      </w:r>
      <w:r w:rsidR="00033F98" w:rsidRPr="00B02D50">
        <w:rPr>
          <w:rFonts w:ascii="Times New Roman" w:hAnsi="Times New Roman" w:cs="Times New Roman"/>
          <w:bCs/>
          <w:sz w:val="28"/>
          <w:szCs w:val="28"/>
        </w:rPr>
        <w:t>Furthermore,</w:t>
      </w:r>
      <w:r w:rsidR="008B0D86" w:rsidRPr="00B02D50">
        <w:rPr>
          <w:rFonts w:ascii="Times New Roman" w:hAnsi="Times New Roman" w:cs="Times New Roman"/>
          <w:bCs/>
          <w:sz w:val="28"/>
          <w:szCs w:val="28"/>
        </w:rPr>
        <w:t xml:space="preserve"> </w:t>
      </w:r>
      <w:r w:rsidR="00033F98" w:rsidRPr="00B02D50">
        <w:rPr>
          <w:rFonts w:ascii="Times New Roman" w:hAnsi="Times New Roman" w:cs="Times New Roman"/>
          <w:bCs/>
          <w:sz w:val="28"/>
          <w:szCs w:val="28"/>
        </w:rPr>
        <w:t>i</w:t>
      </w:r>
      <w:r w:rsidR="00265A30" w:rsidRPr="00B02D50">
        <w:rPr>
          <w:rFonts w:ascii="Times New Roman" w:hAnsi="Times New Roman" w:cs="Times New Roman"/>
          <w:bCs/>
          <w:sz w:val="28"/>
          <w:szCs w:val="28"/>
        </w:rPr>
        <w:t xml:space="preserve">n </w:t>
      </w:r>
      <w:r w:rsidR="00265A30" w:rsidRPr="00B02D50">
        <w:rPr>
          <w:rFonts w:ascii="Times New Roman" w:hAnsi="Times New Roman" w:cs="Times New Roman"/>
          <w:bCs/>
          <w:i/>
          <w:sz w:val="28"/>
          <w:szCs w:val="28"/>
        </w:rPr>
        <w:t>J T Publishing (Pty) L</w:t>
      </w:r>
      <w:r w:rsidR="00D72BB4" w:rsidRPr="00B02D50">
        <w:rPr>
          <w:rFonts w:ascii="Times New Roman" w:hAnsi="Times New Roman" w:cs="Times New Roman"/>
          <w:bCs/>
          <w:i/>
          <w:sz w:val="28"/>
          <w:szCs w:val="28"/>
        </w:rPr>
        <w:t>td</w:t>
      </w:r>
      <w:r w:rsidR="00265A30" w:rsidRPr="00B02D50">
        <w:rPr>
          <w:rFonts w:ascii="Times New Roman" w:hAnsi="Times New Roman" w:cs="Times New Roman"/>
          <w:bCs/>
          <w:i/>
          <w:sz w:val="28"/>
          <w:szCs w:val="28"/>
        </w:rPr>
        <w:t xml:space="preserve"> v Minister of Safety and Security</w:t>
      </w:r>
      <w:r w:rsidR="00D61D7C" w:rsidRPr="00B02D50">
        <w:rPr>
          <w:rFonts w:ascii="Times New Roman" w:hAnsi="Times New Roman" w:cs="Times New Roman"/>
          <w:bCs/>
          <w:i/>
          <w:sz w:val="28"/>
          <w:szCs w:val="28"/>
        </w:rPr>
        <w:t xml:space="preserve"> </w:t>
      </w:r>
      <w:r w:rsidR="00D61D7C" w:rsidRPr="00B02D50">
        <w:rPr>
          <w:rFonts w:ascii="Times New Roman" w:hAnsi="Times New Roman" w:cs="Times New Roman"/>
          <w:bCs/>
          <w:sz w:val="28"/>
          <w:szCs w:val="28"/>
        </w:rPr>
        <w:t>(</w:t>
      </w:r>
      <w:r w:rsidR="00D61D7C" w:rsidRPr="00B02D50">
        <w:rPr>
          <w:rFonts w:ascii="Times New Roman" w:hAnsi="Times New Roman" w:cs="Times New Roman"/>
          <w:bCs/>
          <w:i/>
          <w:sz w:val="28"/>
          <w:szCs w:val="28"/>
        </w:rPr>
        <w:t>J T Publishing</w:t>
      </w:r>
      <w:r w:rsidR="00D61D7C" w:rsidRPr="00B02D50">
        <w:rPr>
          <w:rFonts w:ascii="Times New Roman" w:hAnsi="Times New Roman" w:cs="Times New Roman"/>
          <w:bCs/>
          <w:sz w:val="28"/>
          <w:szCs w:val="28"/>
        </w:rPr>
        <w:t>)</w:t>
      </w:r>
      <w:r w:rsidR="000D7EFA" w:rsidRPr="00B02D50">
        <w:rPr>
          <w:rFonts w:ascii="Times New Roman" w:hAnsi="Times New Roman" w:cs="Times New Roman"/>
          <w:bCs/>
          <w:sz w:val="28"/>
          <w:szCs w:val="28"/>
        </w:rPr>
        <w:t>,</w:t>
      </w:r>
      <w:r w:rsidR="00E0680E" w:rsidRPr="00B02D50">
        <w:rPr>
          <w:rStyle w:val="FootnoteReference"/>
          <w:rFonts w:ascii="Times New Roman" w:hAnsi="Times New Roman" w:cs="Times New Roman"/>
          <w:bCs/>
          <w:sz w:val="24"/>
          <w:szCs w:val="24"/>
        </w:rPr>
        <w:t xml:space="preserve"> </w:t>
      </w:r>
      <w:r w:rsidR="00E0680E" w:rsidRPr="00B02D50">
        <w:rPr>
          <w:rStyle w:val="FootnoteReference"/>
          <w:rFonts w:ascii="Times New Roman" w:hAnsi="Times New Roman" w:cs="Times New Roman"/>
          <w:bCs/>
          <w:sz w:val="24"/>
          <w:szCs w:val="24"/>
        </w:rPr>
        <w:footnoteReference w:id="12"/>
      </w:r>
      <w:r w:rsidR="00945075" w:rsidRPr="00B02D50">
        <w:rPr>
          <w:rFonts w:ascii="Times New Roman" w:hAnsi="Times New Roman" w:cs="Times New Roman"/>
          <w:bCs/>
          <w:sz w:val="28"/>
          <w:szCs w:val="28"/>
        </w:rPr>
        <w:t xml:space="preserve"> the </w:t>
      </w:r>
      <w:r w:rsidR="00E0680E" w:rsidRPr="00B02D50">
        <w:rPr>
          <w:rFonts w:ascii="Times New Roman" w:hAnsi="Times New Roman" w:cs="Times New Roman"/>
          <w:bCs/>
          <w:sz w:val="28"/>
          <w:szCs w:val="28"/>
        </w:rPr>
        <w:t xml:space="preserve">Constitutional </w:t>
      </w:r>
      <w:r w:rsidR="00945075" w:rsidRPr="00B02D50">
        <w:rPr>
          <w:rFonts w:ascii="Times New Roman" w:hAnsi="Times New Roman" w:cs="Times New Roman"/>
          <w:bCs/>
          <w:sz w:val="28"/>
          <w:szCs w:val="28"/>
        </w:rPr>
        <w:t>Court said:</w:t>
      </w:r>
    </w:p>
    <w:p w:rsidR="006D58D2" w:rsidRPr="00B02D50" w:rsidRDefault="00265A30" w:rsidP="006D58D2">
      <w:pPr>
        <w:pStyle w:val="ListParagraph"/>
        <w:spacing w:after="0" w:line="360" w:lineRule="auto"/>
        <w:ind w:left="0"/>
        <w:jc w:val="both"/>
        <w:rPr>
          <w:rFonts w:ascii="Times New Roman" w:hAnsi="Times New Roman" w:cs="Times New Roman"/>
          <w:bCs/>
          <w:sz w:val="24"/>
          <w:szCs w:val="24"/>
        </w:rPr>
      </w:pPr>
      <w:r w:rsidRPr="00B02D50">
        <w:rPr>
          <w:rFonts w:ascii="Times New Roman" w:hAnsi="Times New Roman" w:cs="Times New Roman"/>
          <w:bCs/>
          <w:sz w:val="24"/>
          <w:szCs w:val="24"/>
        </w:rPr>
        <w:t xml:space="preserve">‘I interpose that </w:t>
      </w:r>
      <w:r w:rsidR="00B06C74" w:rsidRPr="00B02D50">
        <w:rPr>
          <w:rFonts w:ascii="Times New Roman" w:hAnsi="Times New Roman" w:cs="Times New Roman"/>
          <w:bCs/>
          <w:sz w:val="24"/>
          <w:szCs w:val="24"/>
        </w:rPr>
        <w:t>enquiry because a declaratory order is a discretionary remedy, in the sense that the claim lodged by an interested party for suc</w:t>
      </w:r>
      <w:r w:rsidR="00961066" w:rsidRPr="00B02D50">
        <w:rPr>
          <w:rFonts w:ascii="Times New Roman" w:hAnsi="Times New Roman" w:cs="Times New Roman"/>
          <w:bCs/>
          <w:sz w:val="24"/>
          <w:szCs w:val="24"/>
        </w:rPr>
        <w:t>h order does not in itself obli</w:t>
      </w:r>
      <w:r w:rsidR="00B06C74" w:rsidRPr="00B02D50">
        <w:rPr>
          <w:rFonts w:ascii="Times New Roman" w:hAnsi="Times New Roman" w:cs="Times New Roman"/>
          <w:bCs/>
          <w:sz w:val="24"/>
          <w:szCs w:val="24"/>
        </w:rPr>
        <w:t xml:space="preserve">ge the Court handling the matter to respond to the question which it poses, even when that looks like being capable of a ready answer. A corollary is the judicial policy governing the discretion thus vested in the Courts, a well-established and uniformly observed policy </w:t>
      </w:r>
      <w:r w:rsidR="00587376" w:rsidRPr="00B02D50">
        <w:rPr>
          <w:rFonts w:ascii="Times New Roman" w:hAnsi="Times New Roman" w:cs="Times New Roman"/>
          <w:bCs/>
          <w:sz w:val="24"/>
          <w:szCs w:val="24"/>
        </w:rPr>
        <w:t>that</w:t>
      </w:r>
      <w:r w:rsidR="00B06C74" w:rsidRPr="00B02D50">
        <w:rPr>
          <w:rFonts w:ascii="Times New Roman" w:hAnsi="Times New Roman" w:cs="Times New Roman"/>
          <w:bCs/>
          <w:sz w:val="24"/>
          <w:szCs w:val="24"/>
        </w:rPr>
        <w:t xml:space="preserve"> directs them not to exercise it in favour of deciding points that are merely abstract, academic or hypothetical ones</w:t>
      </w:r>
      <w:r w:rsidR="000D7EFA" w:rsidRPr="00B02D50">
        <w:rPr>
          <w:rFonts w:ascii="Times New Roman" w:hAnsi="Times New Roman" w:cs="Times New Roman"/>
          <w:bCs/>
          <w:sz w:val="24"/>
          <w:szCs w:val="24"/>
        </w:rPr>
        <w:t>.</w:t>
      </w:r>
      <w:r w:rsidR="00B06C74" w:rsidRPr="00B02D50">
        <w:rPr>
          <w:rFonts w:ascii="Times New Roman" w:hAnsi="Times New Roman" w:cs="Times New Roman"/>
          <w:bCs/>
          <w:sz w:val="24"/>
          <w:szCs w:val="24"/>
        </w:rPr>
        <w:t>’</w:t>
      </w:r>
    </w:p>
    <w:p w:rsidR="006D58D2" w:rsidRPr="00B02D50" w:rsidRDefault="006D58D2" w:rsidP="006D58D2">
      <w:pPr>
        <w:pStyle w:val="ListParagraph"/>
        <w:spacing w:after="0" w:line="360" w:lineRule="auto"/>
        <w:ind w:left="0"/>
        <w:jc w:val="both"/>
        <w:rPr>
          <w:rFonts w:ascii="Times New Roman" w:hAnsi="Times New Roman" w:cs="Times New Roman"/>
          <w:bCs/>
          <w:sz w:val="28"/>
          <w:szCs w:val="28"/>
        </w:rPr>
      </w:pPr>
    </w:p>
    <w:p w:rsidR="006D58D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[17]</w:t>
      </w:r>
      <w:r w:rsidRPr="00B02D50">
        <w:rPr>
          <w:rFonts w:ascii="Times New Roman" w:hAnsi="Times New Roman" w:cs="Times New Roman"/>
          <w:bCs/>
          <w:sz w:val="28"/>
          <w:szCs w:val="28"/>
        </w:rPr>
        <w:tab/>
      </w:r>
      <w:r w:rsidR="00EC2F58" w:rsidRPr="005F3E98">
        <w:rPr>
          <w:rFonts w:ascii="Times New Roman" w:hAnsi="Times New Roman" w:cs="Times New Roman"/>
          <w:bCs/>
          <w:sz w:val="28"/>
          <w:szCs w:val="28"/>
        </w:rPr>
        <w:t xml:space="preserve">The </w:t>
      </w:r>
      <w:r w:rsidR="00813760" w:rsidRPr="005F3E98">
        <w:rPr>
          <w:rFonts w:ascii="Times New Roman" w:hAnsi="Times New Roman" w:cs="Times New Roman"/>
          <w:bCs/>
          <w:sz w:val="28"/>
          <w:szCs w:val="28"/>
        </w:rPr>
        <w:t>high c</w:t>
      </w:r>
      <w:r w:rsidR="005D12DC" w:rsidRPr="005F3E98">
        <w:rPr>
          <w:rFonts w:ascii="Times New Roman" w:hAnsi="Times New Roman" w:cs="Times New Roman"/>
          <w:bCs/>
          <w:sz w:val="28"/>
          <w:szCs w:val="28"/>
        </w:rPr>
        <w:t>ourt found</w:t>
      </w:r>
      <w:r w:rsidR="007A594B" w:rsidRPr="005F3E98">
        <w:rPr>
          <w:rFonts w:ascii="Times New Roman" w:hAnsi="Times New Roman" w:cs="Times New Roman"/>
          <w:bCs/>
          <w:sz w:val="28"/>
          <w:szCs w:val="28"/>
        </w:rPr>
        <w:t xml:space="preserve"> that there was incontro</w:t>
      </w:r>
      <w:r w:rsidR="00D10461" w:rsidRPr="005F3E98">
        <w:rPr>
          <w:rFonts w:ascii="Times New Roman" w:hAnsi="Times New Roman" w:cs="Times New Roman"/>
          <w:bCs/>
          <w:sz w:val="28"/>
          <w:szCs w:val="28"/>
        </w:rPr>
        <w:t>vertible</w:t>
      </w:r>
      <w:r w:rsidR="00F06BC6" w:rsidRPr="005F3E98">
        <w:rPr>
          <w:rFonts w:ascii="Times New Roman" w:hAnsi="Times New Roman" w:cs="Times New Roman"/>
          <w:bCs/>
          <w:sz w:val="28"/>
          <w:szCs w:val="28"/>
        </w:rPr>
        <w:t xml:space="preserve"> evidence that the</w:t>
      </w:r>
      <w:r w:rsidR="000D7EFA" w:rsidRPr="005F3E98">
        <w:rPr>
          <w:rFonts w:ascii="Times New Roman" w:hAnsi="Times New Roman" w:cs="Times New Roman"/>
          <w:bCs/>
          <w:sz w:val="28"/>
          <w:szCs w:val="28"/>
        </w:rPr>
        <w:t xml:space="preserve"> late</w:t>
      </w:r>
      <w:r w:rsidR="00F06BC6" w:rsidRPr="005F3E98">
        <w:rPr>
          <w:rFonts w:ascii="Times New Roman" w:hAnsi="Times New Roman" w:cs="Times New Roman"/>
          <w:bCs/>
          <w:sz w:val="28"/>
          <w:szCs w:val="28"/>
        </w:rPr>
        <w:t xml:space="preserve"> Isilo and the appellant </w:t>
      </w:r>
      <w:r w:rsidR="000D7EFA" w:rsidRPr="005F3E98">
        <w:rPr>
          <w:rFonts w:ascii="Times New Roman" w:hAnsi="Times New Roman" w:cs="Times New Roman"/>
          <w:bCs/>
          <w:sz w:val="28"/>
          <w:szCs w:val="28"/>
        </w:rPr>
        <w:t xml:space="preserve">Queen </w:t>
      </w:r>
      <w:r w:rsidR="00F06BC6" w:rsidRPr="005F3E98">
        <w:rPr>
          <w:rFonts w:ascii="Times New Roman" w:hAnsi="Times New Roman" w:cs="Times New Roman"/>
          <w:bCs/>
          <w:sz w:val="28"/>
          <w:szCs w:val="28"/>
        </w:rPr>
        <w:t>were married in community of property and profit and loss. Additionally, it found that the late Isilo conceded</w:t>
      </w:r>
      <w:r w:rsidR="000D7EFA" w:rsidRPr="005F3E98">
        <w:rPr>
          <w:rFonts w:ascii="Times New Roman" w:hAnsi="Times New Roman" w:cs="Times New Roman"/>
          <w:bCs/>
          <w:sz w:val="28"/>
          <w:szCs w:val="28"/>
        </w:rPr>
        <w:t>,</w:t>
      </w:r>
      <w:r w:rsidR="00F06BC6" w:rsidRPr="005F3E98">
        <w:rPr>
          <w:rFonts w:ascii="Times New Roman" w:hAnsi="Times New Roman" w:cs="Times New Roman"/>
          <w:bCs/>
          <w:sz w:val="28"/>
          <w:szCs w:val="28"/>
        </w:rPr>
        <w:t xml:space="preserve"> in an affidavi</w:t>
      </w:r>
      <w:r w:rsidR="00225C1E" w:rsidRPr="005F3E98">
        <w:rPr>
          <w:rFonts w:ascii="Times New Roman" w:hAnsi="Times New Roman" w:cs="Times New Roman"/>
          <w:bCs/>
          <w:sz w:val="28"/>
          <w:szCs w:val="28"/>
        </w:rPr>
        <w:t xml:space="preserve">t deposed to before making his </w:t>
      </w:r>
      <w:r w:rsidR="00E82C25" w:rsidRPr="005F3E98">
        <w:rPr>
          <w:rFonts w:ascii="Times New Roman" w:hAnsi="Times New Roman" w:cs="Times New Roman"/>
          <w:bCs/>
          <w:sz w:val="28"/>
          <w:szCs w:val="28"/>
        </w:rPr>
        <w:t>W</w:t>
      </w:r>
      <w:r w:rsidR="00F06BC6" w:rsidRPr="005F3E98">
        <w:rPr>
          <w:rFonts w:ascii="Times New Roman" w:hAnsi="Times New Roman" w:cs="Times New Roman"/>
          <w:bCs/>
          <w:sz w:val="28"/>
          <w:szCs w:val="28"/>
        </w:rPr>
        <w:t>ill</w:t>
      </w:r>
      <w:r w:rsidR="00225C1E" w:rsidRPr="005F3E98">
        <w:rPr>
          <w:rFonts w:ascii="Times New Roman" w:hAnsi="Times New Roman" w:cs="Times New Roman"/>
          <w:bCs/>
          <w:sz w:val="28"/>
          <w:szCs w:val="28"/>
        </w:rPr>
        <w:t xml:space="preserve"> </w:t>
      </w:r>
      <w:r w:rsidR="00F06BC6" w:rsidRPr="005F3E98">
        <w:rPr>
          <w:rFonts w:ascii="Times New Roman" w:hAnsi="Times New Roman" w:cs="Times New Roman"/>
          <w:bCs/>
          <w:sz w:val="28"/>
          <w:szCs w:val="28"/>
        </w:rPr>
        <w:t>that he and the appellant</w:t>
      </w:r>
      <w:r w:rsidR="00D30D04" w:rsidRPr="005F3E98">
        <w:rPr>
          <w:rFonts w:ascii="Times New Roman" w:hAnsi="Times New Roman" w:cs="Times New Roman"/>
          <w:bCs/>
          <w:sz w:val="28"/>
          <w:szCs w:val="28"/>
        </w:rPr>
        <w:t xml:space="preserve"> Queen</w:t>
      </w:r>
      <w:r w:rsidR="00F06BC6" w:rsidRPr="005F3E98">
        <w:rPr>
          <w:rFonts w:ascii="Times New Roman" w:hAnsi="Times New Roman" w:cs="Times New Roman"/>
          <w:bCs/>
          <w:sz w:val="28"/>
          <w:szCs w:val="28"/>
        </w:rPr>
        <w:t xml:space="preserve"> were married in community of property. It therefore found that no practical effect would be achieved by declaring that the late Isilo was married to the appellant</w:t>
      </w:r>
      <w:r w:rsidR="00D30D04" w:rsidRPr="005F3E98">
        <w:rPr>
          <w:rFonts w:ascii="Times New Roman" w:hAnsi="Times New Roman" w:cs="Times New Roman"/>
          <w:bCs/>
          <w:sz w:val="28"/>
          <w:szCs w:val="28"/>
        </w:rPr>
        <w:t xml:space="preserve"> Queen</w:t>
      </w:r>
      <w:r w:rsidR="000D7EFA" w:rsidRPr="005F3E98">
        <w:rPr>
          <w:rFonts w:ascii="Times New Roman" w:hAnsi="Times New Roman" w:cs="Times New Roman"/>
          <w:bCs/>
          <w:sz w:val="28"/>
          <w:szCs w:val="28"/>
        </w:rPr>
        <w:t xml:space="preserve"> in community of property and of profit and loss</w:t>
      </w:r>
      <w:r w:rsidR="00225C1E" w:rsidRPr="005F3E98">
        <w:rPr>
          <w:rFonts w:ascii="Times New Roman" w:hAnsi="Times New Roman" w:cs="Times New Roman"/>
          <w:bCs/>
          <w:sz w:val="28"/>
          <w:szCs w:val="28"/>
        </w:rPr>
        <w:t>.</w:t>
      </w:r>
      <w:r w:rsidR="000C5E49" w:rsidRPr="005F3E98">
        <w:rPr>
          <w:rFonts w:ascii="Times New Roman" w:hAnsi="Times New Roman" w:cs="Times New Roman"/>
          <w:bCs/>
          <w:sz w:val="28"/>
          <w:szCs w:val="28"/>
        </w:rPr>
        <w:t xml:space="preserve"> </w:t>
      </w:r>
      <w:r w:rsidR="00DE521F" w:rsidRPr="005F3E98">
        <w:rPr>
          <w:rFonts w:ascii="Times New Roman" w:hAnsi="Times New Roman" w:cs="Times New Roman"/>
          <w:bCs/>
          <w:sz w:val="28"/>
          <w:szCs w:val="28"/>
        </w:rPr>
        <w:t xml:space="preserve"> Accordingly, the high court dismissed the application with costs.</w:t>
      </w:r>
    </w:p>
    <w:p w:rsidR="006D58D2" w:rsidRPr="00B02D50" w:rsidRDefault="006D58D2" w:rsidP="006D58D2">
      <w:pPr>
        <w:pStyle w:val="ListParagraph"/>
        <w:spacing w:after="0" w:line="360" w:lineRule="auto"/>
        <w:ind w:left="0"/>
        <w:jc w:val="both"/>
        <w:rPr>
          <w:rFonts w:ascii="Times New Roman" w:hAnsi="Times New Roman" w:cs="Times New Roman"/>
          <w:bCs/>
          <w:sz w:val="28"/>
          <w:szCs w:val="28"/>
        </w:rPr>
      </w:pPr>
    </w:p>
    <w:p w:rsidR="00BD3A2C"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[18]</w:t>
      </w:r>
      <w:r w:rsidRPr="00B02D50">
        <w:rPr>
          <w:rFonts w:ascii="Times New Roman" w:hAnsi="Times New Roman" w:cs="Times New Roman"/>
          <w:bCs/>
          <w:sz w:val="28"/>
          <w:szCs w:val="28"/>
        </w:rPr>
        <w:tab/>
      </w:r>
      <w:r w:rsidR="00033F98" w:rsidRPr="005F3E98">
        <w:rPr>
          <w:rFonts w:ascii="Times New Roman" w:hAnsi="Times New Roman" w:cs="Times New Roman"/>
          <w:bCs/>
          <w:sz w:val="28"/>
          <w:szCs w:val="28"/>
        </w:rPr>
        <w:t xml:space="preserve">The appellant Queen submitted that the high court erred in finding that, before it could grant declaratory relief, there must be a live dispute between the parties about the marriage and it consequences. In amplification, the appellant </w:t>
      </w:r>
      <w:r w:rsidR="00E0680E" w:rsidRPr="005F3E98">
        <w:rPr>
          <w:rFonts w:ascii="Times New Roman" w:hAnsi="Times New Roman" w:cs="Times New Roman"/>
          <w:bCs/>
          <w:sz w:val="28"/>
          <w:szCs w:val="28"/>
        </w:rPr>
        <w:t xml:space="preserve">Queen </w:t>
      </w:r>
      <w:r w:rsidR="00033F98" w:rsidRPr="005F3E98">
        <w:rPr>
          <w:rFonts w:ascii="Times New Roman" w:hAnsi="Times New Roman" w:cs="Times New Roman"/>
          <w:bCs/>
          <w:sz w:val="28"/>
          <w:szCs w:val="28"/>
        </w:rPr>
        <w:t xml:space="preserve">argued that </w:t>
      </w:r>
      <w:r w:rsidR="00033F98" w:rsidRPr="005F3E98">
        <w:rPr>
          <w:rFonts w:ascii="Times New Roman" w:hAnsi="Times New Roman" w:cs="Times New Roman"/>
          <w:bCs/>
          <w:sz w:val="28"/>
          <w:szCs w:val="28"/>
        </w:rPr>
        <w:lastRenderedPageBreak/>
        <w:t xml:space="preserve">the high court overlooked the fact that the absence of an existing or concrete dispute was no longer a prerequisite for the granting of a declaratory order. On the question whether there should be a live dispute between the parties for the court to grant a declaratory order, the high court did not regard a live dispute between the parties as a prerequisite but as one of the factors, together with others, that it should consider for the exercise of its discretion. It clearly stated that if there </w:t>
      </w:r>
      <w:r w:rsidR="00E0680E" w:rsidRPr="005F3E98">
        <w:rPr>
          <w:rFonts w:ascii="Times New Roman" w:hAnsi="Times New Roman" w:cs="Times New Roman"/>
          <w:bCs/>
          <w:sz w:val="28"/>
          <w:szCs w:val="28"/>
        </w:rPr>
        <w:t>wa</w:t>
      </w:r>
      <w:r w:rsidR="00033F98" w:rsidRPr="005F3E98">
        <w:rPr>
          <w:rFonts w:ascii="Times New Roman" w:hAnsi="Times New Roman" w:cs="Times New Roman"/>
          <w:bCs/>
          <w:sz w:val="28"/>
          <w:szCs w:val="28"/>
        </w:rPr>
        <w:t>s a dispute between the parties</w:t>
      </w:r>
      <w:r w:rsidR="00E0680E" w:rsidRPr="005F3E98">
        <w:rPr>
          <w:rFonts w:ascii="Times New Roman" w:hAnsi="Times New Roman" w:cs="Times New Roman"/>
          <w:bCs/>
          <w:sz w:val="28"/>
          <w:szCs w:val="28"/>
        </w:rPr>
        <w:t>,</w:t>
      </w:r>
      <w:r w:rsidR="00033F98" w:rsidRPr="005F3E98">
        <w:rPr>
          <w:rFonts w:ascii="Times New Roman" w:hAnsi="Times New Roman" w:cs="Times New Roman"/>
          <w:bCs/>
          <w:sz w:val="28"/>
          <w:szCs w:val="28"/>
        </w:rPr>
        <w:t xml:space="preserve"> it must be alleged as one of the factors which the court will take into account in considering whether to exercise its discretion in the favour of the applicant. This approach cannot be faulted.</w:t>
      </w:r>
      <w:r w:rsidR="00033F98" w:rsidRPr="00B02D50">
        <w:rPr>
          <w:rStyle w:val="FootnoteReference"/>
          <w:rFonts w:ascii="Times New Roman" w:hAnsi="Times New Roman" w:cs="Times New Roman"/>
          <w:bCs/>
          <w:sz w:val="28"/>
          <w:szCs w:val="28"/>
        </w:rPr>
        <w:footnoteReference w:id="13"/>
      </w:r>
    </w:p>
    <w:p w:rsidR="00BD3A2C" w:rsidRPr="00B02D50" w:rsidRDefault="00BD3A2C" w:rsidP="00BD3A2C">
      <w:pPr>
        <w:pStyle w:val="ListParagraph"/>
        <w:rPr>
          <w:rFonts w:ascii="Times New Roman" w:hAnsi="Times New Roman" w:cs="Times New Roman"/>
          <w:bCs/>
          <w:sz w:val="28"/>
          <w:szCs w:val="28"/>
        </w:rPr>
      </w:pPr>
    </w:p>
    <w:p w:rsidR="000A2751"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[19]</w:t>
      </w:r>
      <w:r w:rsidRPr="00B02D50">
        <w:rPr>
          <w:rFonts w:ascii="Times New Roman" w:hAnsi="Times New Roman" w:cs="Times New Roman"/>
          <w:bCs/>
          <w:sz w:val="28"/>
          <w:szCs w:val="28"/>
        </w:rPr>
        <w:tab/>
      </w:r>
      <w:r w:rsidR="000A2751" w:rsidRPr="005F3E98">
        <w:rPr>
          <w:rFonts w:ascii="Times New Roman" w:hAnsi="Times New Roman" w:cs="Times New Roman"/>
          <w:bCs/>
          <w:sz w:val="28"/>
          <w:szCs w:val="28"/>
        </w:rPr>
        <w:t xml:space="preserve">The appellant Queen submitted that the high court erred in finding that before granting a declaratory order, it was necessary for her to show that she had a right that was actually infringed. We agree. The actual infringement of a right is not a jurisdictional fact that must be established to trigger the exercise of the discretion to grant or refuse declaratory relief. The threshold is much lower than an actual infringement of a right. As explained in </w:t>
      </w:r>
      <w:r w:rsidR="000A2751" w:rsidRPr="005F3E98">
        <w:rPr>
          <w:rFonts w:ascii="Times New Roman" w:hAnsi="Times New Roman" w:cs="Times New Roman"/>
          <w:bCs/>
          <w:i/>
          <w:sz w:val="28"/>
          <w:szCs w:val="28"/>
        </w:rPr>
        <w:t>Cordiant</w:t>
      </w:r>
      <w:r w:rsidR="000A2751" w:rsidRPr="005F3E98">
        <w:rPr>
          <w:rFonts w:ascii="Times New Roman" w:hAnsi="Times New Roman" w:cs="Times New Roman"/>
          <w:bCs/>
          <w:sz w:val="28"/>
          <w:szCs w:val="28"/>
        </w:rPr>
        <w:t>:</w:t>
      </w:r>
      <w:r w:rsidR="000A2751" w:rsidRPr="005F3E98">
        <w:rPr>
          <w:rStyle w:val="FootnoteReference"/>
          <w:rFonts w:ascii="Times New Roman" w:hAnsi="Times New Roman" w:cs="Times New Roman"/>
          <w:bCs/>
          <w:sz w:val="28"/>
          <w:szCs w:val="28"/>
        </w:rPr>
        <w:t xml:space="preserve"> </w:t>
      </w:r>
      <w:r w:rsidR="000A2751" w:rsidRPr="00B02D50">
        <w:rPr>
          <w:rStyle w:val="FootnoteReference"/>
          <w:rFonts w:ascii="Times New Roman" w:hAnsi="Times New Roman" w:cs="Times New Roman"/>
          <w:bCs/>
          <w:sz w:val="28"/>
          <w:szCs w:val="28"/>
        </w:rPr>
        <w:footnoteReference w:id="14"/>
      </w:r>
    </w:p>
    <w:p w:rsidR="000A2751" w:rsidRPr="00B02D50" w:rsidRDefault="000A2751" w:rsidP="000A2751">
      <w:pPr>
        <w:pStyle w:val="ListParagraph"/>
        <w:spacing w:after="0" w:line="360" w:lineRule="auto"/>
        <w:ind w:left="284"/>
        <w:jc w:val="both"/>
        <w:rPr>
          <w:rFonts w:ascii="Times New Roman" w:hAnsi="Times New Roman" w:cs="Times New Roman"/>
          <w:bCs/>
          <w:sz w:val="28"/>
          <w:szCs w:val="28"/>
        </w:rPr>
      </w:pPr>
      <w:r w:rsidRPr="00B02D50">
        <w:rPr>
          <w:rFonts w:ascii="Times New Roman" w:hAnsi="Times New Roman" w:cs="Times New Roman"/>
          <w:bCs/>
          <w:sz w:val="24"/>
          <w:szCs w:val="24"/>
        </w:rPr>
        <w:t>‘[O]nce the applicant has satisfied the court that he/she is interested in an “existing, future or contingent right or obligation”, the court is obliged by the subsection to exercise its discretion.’</w:t>
      </w:r>
    </w:p>
    <w:p w:rsidR="000A2751" w:rsidRPr="00B02D50" w:rsidRDefault="000A2751" w:rsidP="000A2751">
      <w:pPr>
        <w:pStyle w:val="ListParagraph"/>
        <w:spacing w:after="0" w:line="360" w:lineRule="auto"/>
        <w:ind w:left="284"/>
        <w:jc w:val="both"/>
        <w:rPr>
          <w:rFonts w:ascii="Times New Roman" w:hAnsi="Times New Roman" w:cs="Times New Roman"/>
          <w:bCs/>
          <w:sz w:val="28"/>
          <w:szCs w:val="28"/>
        </w:rPr>
      </w:pPr>
    </w:p>
    <w:p w:rsidR="000A2751"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[20]</w:t>
      </w:r>
      <w:r w:rsidRPr="00B02D50">
        <w:rPr>
          <w:rFonts w:ascii="Times New Roman" w:hAnsi="Times New Roman" w:cs="Times New Roman"/>
          <w:bCs/>
          <w:sz w:val="28"/>
          <w:szCs w:val="28"/>
        </w:rPr>
        <w:tab/>
      </w:r>
      <w:r w:rsidR="000A2751" w:rsidRPr="005F3E98">
        <w:rPr>
          <w:rFonts w:ascii="Times New Roman" w:hAnsi="Times New Roman" w:cs="Times New Roman"/>
          <w:bCs/>
          <w:sz w:val="28"/>
          <w:szCs w:val="28"/>
        </w:rPr>
        <w:t xml:space="preserve">A misdirection occurred in relation to the first leg of the enquiry: the jurisdictional fact. This is not fatal to the second leg, which is the actual exercise of the discretion. The question still remains whether the high court exercised its discretion properly. The misdirection did not impact negatively or taint the exercise of the discretion. In </w:t>
      </w:r>
      <w:r w:rsidR="000A2751" w:rsidRPr="005F3E98">
        <w:rPr>
          <w:rFonts w:ascii="Times New Roman" w:hAnsi="Times New Roman" w:cs="Times New Roman"/>
          <w:bCs/>
          <w:i/>
          <w:sz w:val="28"/>
          <w:szCs w:val="28"/>
        </w:rPr>
        <w:t>Reinecke v Incorporated General Insurance Ltd</w:t>
      </w:r>
      <w:r w:rsidR="000A2751" w:rsidRPr="005F3E98">
        <w:rPr>
          <w:rFonts w:ascii="Times New Roman" w:hAnsi="Times New Roman" w:cs="Times New Roman"/>
          <w:bCs/>
          <w:sz w:val="28"/>
          <w:szCs w:val="28"/>
        </w:rPr>
        <w:t>,</w:t>
      </w:r>
      <w:r w:rsidR="000A2751" w:rsidRPr="00B02D50">
        <w:rPr>
          <w:rStyle w:val="FootnoteReference"/>
          <w:rFonts w:ascii="Times New Roman" w:hAnsi="Times New Roman" w:cs="Times New Roman"/>
          <w:bCs/>
          <w:sz w:val="28"/>
          <w:szCs w:val="28"/>
        </w:rPr>
        <w:footnoteReference w:id="15"/>
      </w:r>
      <w:r w:rsidR="000A2751" w:rsidRPr="005F3E98">
        <w:rPr>
          <w:rFonts w:ascii="Times New Roman" w:hAnsi="Times New Roman" w:cs="Times New Roman"/>
          <w:bCs/>
          <w:sz w:val="28"/>
          <w:szCs w:val="28"/>
        </w:rPr>
        <w:t xml:space="preserve"> this Court accepted that ‘even if it appeared that the learned Judge had misdirected himself in the exercise of his discretion, this Court would not allow the appeal if the order appealed from is, notwithstanding the misdirection, clearly consistent with the proper </w:t>
      </w:r>
      <w:r w:rsidR="000A2751" w:rsidRPr="005F3E98">
        <w:rPr>
          <w:rFonts w:ascii="Times New Roman" w:hAnsi="Times New Roman" w:cs="Times New Roman"/>
          <w:bCs/>
          <w:sz w:val="28"/>
          <w:szCs w:val="28"/>
        </w:rPr>
        <w:lastRenderedPageBreak/>
        <w:t>exercise of a judicial discretion’. This Court should then examine the merits and ‘[b]ring a judicial discretion to bear upon the question whether or not the case is a proper one for the granting of a declaratory order’.</w:t>
      </w:r>
      <w:r w:rsidR="000A2751" w:rsidRPr="00B02D50">
        <w:rPr>
          <w:rStyle w:val="FootnoteReference"/>
          <w:rFonts w:ascii="Times New Roman" w:hAnsi="Times New Roman" w:cs="Times New Roman"/>
          <w:bCs/>
          <w:sz w:val="28"/>
          <w:szCs w:val="28"/>
        </w:rPr>
        <w:footnoteReference w:id="16"/>
      </w:r>
    </w:p>
    <w:p w:rsidR="006D58D2" w:rsidRPr="00B02D50" w:rsidRDefault="006D58D2" w:rsidP="00D85FD2">
      <w:pPr>
        <w:pStyle w:val="ListParagraph"/>
        <w:spacing w:after="0" w:line="360" w:lineRule="auto"/>
        <w:ind w:left="0"/>
        <w:jc w:val="both"/>
        <w:rPr>
          <w:rFonts w:ascii="Times New Roman" w:hAnsi="Times New Roman" w:cs="Times New Roman"/>
          <w:bCs/>
          <w:sz w:val="28"/>
          <w:szCs w:val="28"/>
        </w:rPr>
      </w:pPr>
    </w:p>
    <w:p w:rsidR="00AF5DB2"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[21]</w:t>
      </w:r>
      <w:r w:rsidRPr="00B02D50">
        <w:rPr>
          <w:rFonts w:ascii="Times New Roman" w:hAnsi="Times New Roman" w:cs="Times New Roman"/>
          <w:bCs/>
          <w:sz w:val="28"/>
          <w:szCs w:val="28"/>
        </w:rPr>
        <w:tab/>
      </w:r>
      <w:r w:rsidR="00B835EA" w:rsidRPr="005F3E98">
        <w:rPr>
          <w:rFonts w:ascii="Times New Roman" w:hAnsi="Times New Roman" w:cs="Times New Roman"/>
          <w:bCs/>
          <w:sz w:val="28"/>
          <w:szCs w:val="28"/>
        </w:rPr>
        <w:t>T</w:t>
      </w:r>
      <w:r w:rsidR="00C01480" w:rsidRPr="005F3E98">
        <w:rPr>
          <w:rFonts w:ascii="Times New Roman" w:hAnsi="Times New Roman" w:cs="Times New Roman"/>
          <w:bCs/>
          <w:sz w:val="28"/>
          <w:szCs w:val="28"/>
        </w:rPr>
        <w:t xml:space="preserve">here is </w:t>
      </w:r>
      <w:r w:rsidR="00945075" w:rsidRPr="005F3E98">
        <w:rPr>
          <w:rFonts w:ascii="Times New Roman" w:hAnsi="Times New Roman" w:cs="Times New Roman"/>
          <w:bCs/>
          <w:sz w:val="28"/>
          <w:szCs w:val="28"/>
        </w:rPr>
        <w:t xml:space="preserve">no </w:t>
      </w:r>
      <w:r w:rsidR="003305CB" w:rsidRPr="005F3E98">
        <w:rPr>
          <w:rFonts w:ascii="Times New Roman" w:hAnsi="Times New Roman" w:cs="Times New Roman"/>
          <w:bCs/>
          <w:sz w:val="28"/>
          <w:szCs w:val="28"/>
        </w:rPr>
        <w:t xml:space="preserve">challenge </w:t>
      </w:r>
      <w:r w:rsidR="00B835EA" w:rsidRPr="005F3E98">
        <w:rPr>
          <w:rFonts w:ascii="Times New Roman" w:hAnsi="Times New Roman" w:cs="Times New Roman"/>
          <w:bCs/>
          <w:sz w:val="28"/>
          <w:szCs w:val="28"/>
        </w:rPr>
        <w:t xml:space="preserve">to </w:t>
      </w:r>
      <w:r w:rsidR="003305CB" w:rsidRPr="005F3E98">
        <w:rPr>
          <w:rFonts w:ascii="Times New Roman" w:hAnsi="Times New Roman" w:cs="Times New Roman"/>
          <w:bCs/>
          <w:sz w:val="28"/>
          <w:szCs w:val="28"/>
        </w:rPr>
        <w:t xml:space="preserve">the validity of the </w:t>
      </w:r>
      <w:r w:rsidR="000D7EFA" w:rsidRPr="005F3E98">
        <w:rPr>
          <w:rFonts w:ascii="Times New Roman" w:hAnsi="Times New Roman" w:cs="Times New Roman"/>
          <w:bCs/>
          <w:sz w:val="28"/>
          <w:szCs w:val="28"/>
        </w:rPr>
        <w:t>respondent</w:t>
      </w:r>
      <w:r w:rsidR="003305CB" w:rsidRPr="005F3E98">
        <w:rPr>
          <w:rFonts w:ascii="Times New Roman" w:hAnsi="Times New Roman" w:cs="Times New Roman"/>
          <w:bCs/>
          <w:sz w:val="28"/>
          <w:szCs w:val="28"/>
        </w:rPr>
        <w:t xml:space="preserve"> Queens’ marriages to the late Isilo. </w:t>
      </w:r>
      <w:r w:rsidR="00B835EA" w:rsidRPr="005F3E98">
        <w:rPr>
          <w:rFonts w:ascii="Times New Roman" w:hAnsi="Times New Roman" w:cs="Times New Roman"/>
          <w:bCs/>
          <w:sz w:val="28"/>
          <w:szCs w:val="28"/>
        </w:rPr>
        <w:t xml:space="preserve">The appellant Queen </w:t>
      </w:r>
      <w:r w:rsidR="00C01480" w:rsidRPr="005F3E98">
        <w:rPr>
          <w:rFonts w:ascii="Times New Roman" w:hAnsi="Times New Roman" w:cs="Times New Roman"/>
          <w:bCs/>
          <w:sz w:val="28"/>
          <w:szCs w:val="28"/>
        </w:rPr>
        <w:t>stated that she did</w:t>
      </w:r>
      <w:r w:rsidR="00D341D6" w:rsidRPr="005F3E98">
        <w:rPr>
          <w:rFonts w:ascii="Times New Roman" w:hAnsi="Times New Roman" w:cs="Times New Roman"/>
          <w:bCs/>
          <w:sz w:val="28"/>
          <w:szCs w:val="28"/>
        </w:rPr>
        <w:t xml:space="preserve"> not want to cause friction or ructions</w:t>
      </w:r>
      <w:r w:rsidR="00E0680E" w:rsidRPr="005F3E98">
        <w:rPr>
          <w:rFonts w:ascii="Times New Roman" w:hAnsi="Times New Roman" w:cs="Times New Roman"/>
          <w:bCs/>
          <w:sz w:val="28"/>
          <w:szCs w:val="28"/>
        </w:rPr>
        <w:t>,</w:t>
      </w:r>
      <w:r w:rsidR="00C01480" w:rsidRPr="005F3E98">
        <w:rPr>
          <w:rFonts w:ascii="Times New Roman" w:hAnsi="Times New Roman" w:cs="Times New Roman"/>
          <w:bCs/>
          <w:sz w:val="28"/>
          <w:szCs w:val="28"/>
        </w:rPr>
        <w:t xml:space="preserve"> nor deny the </w:t>
      </w:r>
      <w:r w:rsidR="00E0680E" w:rsidRPr="005F3E98">
        <w:rPr>
          <w:rFonts w:ascii="Times New Roman" w:hAnsi="Times New Roman" w:cs="Times New Roman"/>
          <w:bCs/>
          <w:sz w:val="28"/>
          <w:szCs w:val="28"/>
        </w:rPr>
        <w:t xml:space="preserve">late </w:t>
      </w:r>
      <w:r w:rsidR="00C01480" w:rsidRPr="005F3E98">
        <w:rPr>
          <w:rFonts w:ascii="Times New Roman" w:hAnsi="Times New Roman" w:cs="Times New Roman"/>
          <w:bCs/>
          <w:sz w:val="28"/>
          <w:szCs w:val="28"/>
        </w:rPr>
        <w:t>Isilo</w:t>
      </w:r>
      <w:r w:rsidR="00751C78" w:rsidRPr="005F3E98">
        <w:rPr>
          <w:rFonts w:ascii="Times New Roman" w:hAnsi="Times New Roman" w:cs="Times New Roman"/>
          <w:bCs/>
          <w:sz w:val="28"/>
          <w:szCs w:val="28"/>
        </w:rPr>
        <w:t>’s</w:t>
      </w:r>
      <w:r w:rsidR="00C01480" w:rsidRPr="005F3E98">
        <w:rPr>
          <w:rFonts w:ascii="Times New Roman" w:hAnsi="Times New Roman" w:cs="Times New Roman"/>
          <w:bCs/>
          <w:sz w:val="28"/>
          <w:szCs w:val="28"/>
        </w:rPr>
        <w:t xml:space="preserve"> children their </w:t>
      </w:r>
      <w:r w:rsidR="00C70D4E" w:rsidRPr="005F3E98">
        <w:rPr>
          <w:rFonts w:ascii="Times New Roman" w:hAnsi="Times New Roman" w:cs="Times New Roman"/>
          <w:bCs/>
          <w:sz w:val="28"/>
          <w:szCs w:val="28"/>
        </w:rPr>
        <w:t>birthright</w:t>
      </w:r>
      <w:r w:rsidR="00D341D6" w:rsidRPr="005F3E98">
        <w:rPr>
          <w:rFonts w:ascii="Times New Roman" w:hAnsi="Times New Roman" w:cs="Times New Roman"/>
          <w:bCs/>
          <w:sz w:val="28"/>
          <w:szCs w:val="28"/>
        </w:rPr>
        <w:t xml:space="preserve"> in the </w:t>
      </w:r>
      <w:r w:rsidR="00225C1E" w:rsidRPr="005F3E98">
        <w:rPr>
          <w:rFonts w:ascii="Times New Roman" w:hAnsi="Times New Roman" w:cs="Times New Roman"/>
          <w:bCs/>
          <w:sz w:val="28"/>
          <w:szCs w:val="28"/>
        </w:rPr>
        <w:t xml:space="preserve">Zulu </w:t>
      </w:r>
      <w:r w:rsidR="00D341D6" w:rsidRPr="005F3E98">
        <w:rPr>
          <w:rFonts w:ascii="Times New Roman" w:hAnsi="Times New Roman" w:cs="Times New Roman"/>
          <w:bCs/>
          <w:sz w:val="28"/>
          <w:szCs w:val="28"/>
        </w:rPr>
        <w:t>Royal Family. Her case was that the customary marriages between the late Isilo are only recognised to the extent of the R</w:t>
      </w:r>
      <w:r w:rsidR="000D505A" w:rsidRPr="005F3E98">
        <w:rPr>
          <w:rFonts w:ascii="Times New Roman" w:hAnsi="Times New Roman" w:cs="Times New Roman"/>
          <w:bCs/>
          <w:sz w:val="28"/>
          <w:szCs w:val="28"/>
        </w:rPr>
        <w:t>ecognition Act</w:t>
      </w:r>
      <w:r w:rsidR="00D341D6" w:rsidRPr="005F3E98">
        <w:rPr>
          <w:rFonts w:ascii="Times New Roman" w:hAnsi="Times New Roman" w:cs="Times New Roman"/>
          <w:bCs/>
          <w:sz w:val="28"/>
          <w:szCs w:val="28"/>
        </w:rPr>
        <w:t>.</w:t>
      </w:r>
      <w:r w:rsidR="00C01480" w:rsidRPr="005F3E98">
        <w:rPr>
          <w:rFonts w:ascii="Times New Roman" w:hAnsi="Times New Roman" w:cs="Times New Roman"/>
          <w:bCs/>
          <w:sz w:val="28"/>
          <w:szCs w:val="28"/>
        </w:rPr>
        <w:t xml:space="preserve"> </w:t>
      </w:r>
    </w:p>
    <w:p w:rsidR="00F4627A" w:rsidRPr="00B02D50" w:rsidRDefault="00F4627A" w:rsidP="0043068F">
      <w:pPr>
        <w:rPr>
          <w:rFonts w:ascii="Times New Roman" w:hAnsi="Times New Roman" w:cs="Times New Roman"/>
          <w:bCs/>
          <w:sz w:val="28"/>
          <w:szCs w:val="28"/>
        </w:rPr>
      </w:pPr>
    </w:p>
    <w:p w:rsidR="007A433F" w:rsidRPr="005F3E98" w:rsidRDefault="005F3E98" w:rsidP="005F3E9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[22]</w:t>
      </w:r>
      <w:r>
        <w:rPr>
          <w:rFonts w:ascii="Times New Roman" w:hAnsi="Times New Roman" w:cs="Times New Roman"/>
          <w:bCs/>
          <w:sz w:val="28"/>
          <w:szCs w:val="28"/>
        </w:rPr>
        <w:tab/>
      </w:r>
      <w:r w:rsidR="00F4627A" w:rsidRPr="005F3E98">
        <w:rPr>
          <w:rFonts w:ascii="Times New Roman" w:hAnsi="Times New Roman" w:cs="Times New Roman"/>
          <w:bCs/>
          <w:sz w:val="28"/>
          <w:szCs w:val="28"/>
        </w:rPr>
        <w:t>We reiterate what the respondent Queens stated in their composite answering affidavit:</w:t>
      </w:r>
    </w:p>
    <w:p w:rsidR="007A433F" w:rsidRPr="007A433F" w:rsidRDefault="007A433F" w:rsidP="007A433F">
      <w:pPr>
        <w:pStyle w:val="ListParagraph"/>
        <w:rPr>
          <w:rFonts w:ascii="Times New Roman" w:hAnsi="Times New Roman" w:cs="Times New Roman"/>
          <w:bCs/>
          <w:sz w:val="24"/>
          <w:szCs w:val="24"/>
        </w:rPr>
      </w:pPr>
    </w:p>
    <w:p w:rsidR="00F4627A" w:rsidRDefault="00F4627A" w:rsidP="007A433F">
      <w:pPr>
        <w:pStyle w:val="ListParagraph"/>
        <w:spacing w:after="0" w:line="360" w:lineRule="auto"/>
        <w:ind w:left="0"/>
        <w:jc w:val="both"/>
        <w:rPr>
          <w:rFonts w:ascii="Times New Roman" w:hAnsi="Times New Roman" w:cs="Times New Roman"/>
          <w:bCs/>
          <w:sz w:val="28"/>
          <w:szCs w:val="28"/>
        </w:rPr>
      </w:pPr>
      <w:r w:rsidRPr="007A433F">
        <w:rPr>
          <w:rFonts w:ascii="Times New Roman" w:hAnsi="Times New Roman" w:cs="Times New Roman"/>
          <w:bCs/>
          <w:sz w:val="24"/>
          <w:szCs w:val="24"/>
        </w:rPr>
        <w:t>‘I note that the applicant Queen does not seek any order declaring the King’s customary marriages as invalid. The implications of this is that the customary marriages remain valid, as they are deemed to be valid by the Recognition of Customary Marriages Act, in s 2 and have legal consequences.</w:t>
      </w:r>
      <w:r w:rsidRPr="007A433F">
        <w:rPr>
          <w:rFonts w:ascii="Times New Roman" w:hAnsi="Times New Roman" w:cs="Times New Roman"/>
          <w:bCs/>
          <w:sz w:val="28"/>
          <w:szCs w:val="28"/>
        </w:rPr>
        <w:t>’</w:t>
      </w:r>
    </w:p>
    <w:p w:rsidR="007A433F" w:rsidRPr="007A433F" w:rsidRDefault="007A433F" w:rsidP="007A433F">
      <w:pPr>
        <w:pStyle w:val="ListParagraph"/>
        <w:rPr>
          <w:rFonts w:ascii="Times New Roman" w:hAnsi="Times New Roman" w:cs="Times New Roman"/>
          <w:bCs/>
          <w:sz w:val="28"/>
          <w:szCs w:val="28"/>
        </w:rPr>
      </w:pPr>
    </w:p>
    <w:p w:rsidR="00F4627A" w:rsidRPr="005F3E98" w:rsidRDefault="005F3E98" w:rsidP="005F3E98">
      <w:pPr>
        <w:spacing w:after="0" w:line="360" w:lineRule="auto"/>
        <w:jc w:val="both"/>
        <w:rPr>
          <w:rFonts w:ascii="Times New Roman" w:hAnsi="Times New Roman" w:cs="Times New Roman"/>
          <w:bCs/>
          <w:sz w:val="28"/>
          <w:szCs w:val="28"/>
        </w:rPr>
      </w:pPr>
      <w:r w:rsidRPr="007A433F">
        <w:rPr>
          <w:rFonts w:ascii="Times New Roman" w:hAnsi="Times New Roman" w:cs="Times New Roman"/>
          <w:bCs/>
          <w:sz w:val="28"/>
          <w:szCs w:val="28"/>
        </w:rPr>
        <w:t>[23]</w:t>
      </w:r>
      <w:r w:rsidRPr="007A433F">
        <w:rPr>
          <w:rFonts w:ascii="Times New Roman" w:hAnsi="Times New Roman" w:cs="Times New Roman"/>
          <w:bCs/>
          <w:sz w:val="28"/>
          <w:szCs w:val="28"/>
        </w:rPr>
        <w:tab/>
      </w:r>
      <w:r w:rsidR="00F4627A" w:rsidRPr="005F3E98">
        <w:rPr>
          <w:rFonts w:ascii="Times New Roman" w:hAnsi="Times New Roman" w:cs="Times New Roman"/>
          <w:bCs/>
          <w:sz w:val="28"/>
          <w:szCs w:val="28"/>
        </w:rPr>
        <w:t>The appellant Queen did not dispute this in reply. She however, unsuccessfully attempted to amend her relief, at the high court, to include the challenge to the validity of the aforesaid marriages. This was not her pleaded case. Had she changed her mind she should have timeously amended her papers. This, in fact, had the effect of seeking relief not sought in the founding papers.</w:t>
      </w:r>
    </w:p>
    <w:p w:rsidR="00F4627A" w:rsidRPr="00B02D50" w:rsidRDefault="00F4627A" w:rsidP="0043068F">
      <w:pPr>
        <w:pStyle w:val="ListParagraph"/>
        <w:rPr>
          <w:rFonts w:ascii="Times New Roman" w:hAnsi="Times New Roman" w:cs="Times New Roman"/>
          <w:bCs/>
          <w:sz w:val="28"/>
          <w:szCs w:val="28"/>
        </w:rPr>
      </w:pPr>
    </w:p>
    <w:p w:rsidR="000A2751"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t>[24]</w:t>
      </w:r>
      <w:r w:rsidRPr="00B02D50">
        <w:rPr>
          <w:rFonts w:ascii="Times New Roman" w:hAnsi="Times New Roman" w:cs="Times New Roman"/>
          <w:bCs/>
          <w:sz w:val="28"/>
          <w:szCs w:val="28"/>
        </w:rPr>
        <w:tab/>
      </w:r>
      <w:r w:rsidR="00225C1E" w:rsidRPr="005F3E98">
        <w:rPr>
          <w:rFonts w:ascii="Times New Roman" w:hAnsi="Times New Roman" w:cs="Times New Roman"/>
          <w:bCs/>
          <w:sz w:val="28"/>
          <w:szCs w:val="28"/>
        </w:rPr>
        <w:t xml:space="preserve">Taking </w:t>
      </w:r>
      <w:r w:rsidR="00BA284F" w:rsidRPr="005F3E98">
        <w:rPr>
          <w:rFonts w:ascii="Times New Roman" w:hAnsi="Times New Roman" w:cs="Times New Roman"/>
          <w:bCs/>
          <w:sz w:val="28"/>
          <w:szCs w:val="28"/>
        </w:rPr>
        <w:t>cogniz</w:t>
      </w:r>
      <w:r w:rsidR="00225C1E" w:rsidRPr="005F3E98">
        <w:rPr>
          <w:rFonts w:ascii="Times New Roman" w:hAnsi="Times New Roman" w:cs="Times New Roman"/>
          <w:bCs/>
          <w:sz w:val="28"/>
          <w:szCs w:val="28"/>
        </w:rPr>
        <w:t xml:space="preserve">ance of the aforementioned </w:t>
      </w:r>
      <w:r w:rsidR="00BA284F" w:rsidRPr="005F3E98">
        <w:rPr>
          <w:rFonts w:ascii="Times New Roman" w:hAnsi="Times New Roman" w:cs="Times New Roman"/>
          <w:bCs/>
          <w:sz w:val="28"/>
          <w:szCs w:val="28"/>
        </w:rPr>
        <w:t>averments,</w:t>
      </w:r>
      <w:r w:rsidR="00225C1E" w:rsidRPr="005F3E98">
        <w:rPr>
          <w:rFonts w:ascii="Times New Roman" w:hAnsi="Times New Roman" w:cs="Times New Roman"/>
          <w:bCs/>
          <w:sz w:val="28"/>
          <w:szCs w:val="28"/>
        </w:rPr>
        <w:t xml:space="preserve"> </w:t>
      </w:r>
      <w:r w:rsidR="00BA284F" w:rsidRPr="005F3E98">
        <w:rPr>
          <w:rFonts w:ascii="Times New Roman" w:hAnsi="Times New Roman" w:cs="Times New Roman"/>
          <w:bCs/>
          <w:sz w:val="28"/>
          <w:szCs w:val="28"/>
        </w:rPr>
        <w:t>t</w:t>
      </w:r>
      <w:r w:rsidR="00C01480" w:rsidRPr="005F3E98">
        <w:rPr>
          <w:rFonts w:ascii="Times New Roman" w:hAnsi="Times New Roman" w:cs="Times New Roman"/>
          <w:bCs/>
          <w:sz w:val="28"/>
          <w:szCs w:val="28"/>
        </w:rPr>
        <w:t xml:space="preserve">he high court correctly found that the </w:t>
      </w:r>
      <w:r w:rsidR="00B835EA" w:rsidRPr="005F3E98">
        <w:rPr>
          <w:rFonts w:ascii="Times New Roman" w:hAnsi="Times New Roman" w:cs="Times New Roman"/>
          <w:bCs/>
          <w:sz w:val="28"/>
          <w:szCs w:val="28"/>
        </w:rPr>
        <w:t xml:space="preserve">failure </w:t>
      </w:r>
      <w:r w:rsidR="00C01480" w:rsidRPr="005F3E98">
        <w:rPr>
          <w:rFonts w:ascii="Times New Roman" w:hAnsi="Times New Roman" w:cs="Times New Roman"/>
          <w:bCs/>
          <w:sz w:val="28"/>
          <w:szCs w:val="28"/>
        </w:rPr>
        <w:t>to challenge the validity of the marriage</w:t>
      </w:r>
      <w:r w:rsidR="00B835EA" w:rsidRPr="005F3E98">
        <w:rPr>
          <w:rFonts w:ascii="Times New Roman" w:hAnsi="Times New Roman" w:cs="Times New Roman"/>
          <w:bCs/>
          <w:sz w:val="28"/>
          <w:szCs w:val="28"/>
        </w:rPr>
        <w:t>s</w:t>
      </w:r>
      <w:r w:rsidR="00C01480" w:rsidRPr="005F3E98">
        <w:rPr>
          <w:rFonts w:ascii="Times New Roman" w:hAnsi="Times New Roman" w:cs="Times New Roman"/>
          <w:bCs/>
          <w:sz w:val="28"/>
          <w:szCs w:val="28"/>
        </w:rPr>
        <w:t xml:space="preserve"> was consciously made by the appellant Queen. As a result, </w:t>
      </w:r>
      <w:r w:rsidR="00225C1E" w:rsidRPr="005F3E98">
        <w:rPr>
          <w:rFonts w:ascii="Times New Roman" w:hAnsi="Times New Roman" w:cs="Times New Roman"/>
          <w:bCs/>
          <w:sz w:val="28"/>
          <w:szCs w:val="28"/>
        </w:rPr>
        <w:t xml:space="preserve">she </w:t>
      </w:r>
      <w:r w:rsidR="00C01480" w:rsidRPr="005F3E98">
        <w:rPr>
          <w:rFonts w:ascii="Times New Roman" w:hAnsi="Times New Roman" w:cs="Times New Roman"/>
          <w:bCs/>
          <w:sz w:val="28"/>
          <w:szCs w:val="28"/>
        </w:rPr>
        <w:t>could not</w:t>
      </w:r>
      <w:r w:rsidR="00F638B0" w:rsidRPr="005F3E98">
        <w:rPr>
          <w:rFonts w:ascii="Times New Roman" w:hAnsi="Times New Roman" w:cs="Times New Roman"/>
          <w:bCs/>
          <w:sz w:val="28"/>
          <w:szCs w:val="28"/>
        </w:rPr>
        <w:t>,</w:t>
      </w:r>
      <w:r w:rsidR="00C01480" w:rsidRPr="005F3E98">
        <w:rPr>
          <w:rFonts w:ascii="Times New Roman" w:hAnsi="Times New Roman" w:cs="Times New Roman"/>
          <w:bCs/>
          <w:sz w:val="28"/>
          <w:szCs w:val="28"/>
        </w:rPr>
        <w:t xml:space="preserve"> </w:t>
      </w:r>
      <w:r w:rsidR="00225C1E" w:rsidRPr="005F3E98">
        <w:rPr>
          <w:rFonts w:ascii="Times New Roman" w:hAnsi="Times New Roman" w:cs="Times New Roman"/>
          <w:bCs/>
          <w:sz w:val="28"/>
          <w:szCs w:val="28"/>
        </w:rPr>
        <w:t>at the last minute</w:t>
      </w:r>
      <w:r w:rsidR="00F638B0" w:rsidRPr="005F3E98">
        <w:rPr>
          <w:rFonts w:ascii="Times New Roman" w:hAnsi="Times New Roman" w:cs="Times New Roman"/>
          <w:bCs/>
          <w:sz w:val="28"/>
          <w:szCs w:val="28"/>
        </w:rPr>
        <w:t>,</w:t>
      </w:r>
      <w:r w:rsidR="00225C1E" w:rsidRPr="005F3E98">
        <w:rPr>
          <w:rFonts w:ascii="Times New Roman" w:hAnsi="Times New Roman" w:cs="Times New Roman"/>
          <w:bCs/>
          <w:sz w:val="28"/>
          <w:szCs w:val="28"/>
        </w:rPr>
        <w:t xml:space="preserve"> </w:t>
      </w:r>
      <w:r w:rsidR="00C01480" w:rsidRPr="005F3E98">
        <w:rPr>
          <w:rFonts w:ascii="Times New Roman" w:hAnsi="Times New Roman" w:cs="Times New Roman"/>
          <w:bCs/>
          <w:sz w:val="28"/>
          <w:szCs w:val="28"/>
        </w:rPr>
        <w:t>raise something not in her papers.</w:t>
      </w:r>
      <w:r w:rsidR="000C5E49" w:rsidRPr="005F3E98">
        <w:rPr>
          <w:rFonts w:ascii="Times New Roman" w:hAnsi="Times New Roman" w:cs="Times New Roman"/>
          <w:bCs/>
          <w:sz w:val="28"/>
          <w:szCs w:val="28"/>
        </w:rPr>
        <w:t xml:space="preserve"> </w:t>
      </w:r>
    </w:p>
    <w:p w:rsidR="000A2751" w:rsidRPr="00B02D50" w:rsidRDefault="000A2751" w:rsidP="000A2751">
      <w:pPr>
        <w:pStyle w:val="ListParagraph"/>
        <w:spacing w:after="0" w:line="360" w:lineRule="auto"/>
        <w:ind w:left="0"/>
        <w:jc w:val="both"/>
        <w:rPr>
          <w:rFonts w:ascii="Times New Roman" w:hAnsi="Times New Roman" w:cs="Times New Roman"/>
          <w:bCs/>
          <w:sz w:val="28"/>
          <w:szCs w:val="28"/>
        </w:rPr>
      </w:pPr>
    </w:p>
    <w:p w:rsidR="000A2751" w:rsidRPr="005F3E98" w:rsidRDefault="005F3E98" w:rsidP="005F3E98">
      <w:pPr>
        <w:spacing w:after="0" w:line="360" w:lineRule="auto"/>
        <w:jc w:val="both"/>
        <w:rPr>
          <w:rFonts w:ascii="Times New Roman" w:hAnsi="Times New Roman" w:cs="Times New Roman"/>
          <w:bCs/>
          <w:sz w:val="28"/>
          <w:szCs w:val="28"/>
        </w:rPr>
      </w:pPr>
      <w:r w:rsidRPr="00B02D50">
        <w:rPr>
          <w:rFonts w:ascii="Times New Roman" w:hAnsi="Times New Roman" w:cs="Times New Roman"/>
          <w:bCs/>
          <w:sz w:val="28"/>
          <w:szCs w:val="28"/>
        </w:rPr>
        <w:lastRenderedPageBreak/>
        <w:t>[25]</w:t>
      </w:r>
      <w:r w:rsidRPr="00B02D50">
        <w:rPr>
          <w:rFonts w:ascii="Times New Roman" w:hAnsi="Times New Roman" w:cs="Times New Roman"/>
          <w:bCs/>
          <w:sz w:val="28"/>
          <w:szCs w:val="28"/>
        </w:rPr>
        <w:tab/>
      </w:r>
      <w:r w:rsidR="000D505A" w:rsidRPr="005F3E98">
        <w:rPr>
          <w:rFonts w:ascii="Times New Roman" w:hAnsi="Times New Roman" w:cs="Times New Roman"/>
          <w:bCs/>
          <w:sz w:val="28"/>
          <w:szCs w:val="28"/>
        </w:rPr>
        <w:t xml:space="preserve">The winding up of the estate and the distribution thereof was no longer a live issue before the </w:t>
      </w:r>
      <w:r w:rsidR="00F4627A" w:rsidRPr="005F3E98">
        <w:rPr>
          <w:rFonts w:ascii="Times New Roman" w:hAnsi="Times New Roman" w:cs="Times New Roman"/>
          <w:bCs/>
          <w:sz w:val="28"/>
          <w:szCs w:val="28"/>
        </w:rPr>
        <w:t xml:space="preserve">high </w:t>
      </w:r>
      <w:r w:rsidR="000D505A" w:rsidRPr="005F3E98">
        <w:rPr>
          <w:rFonts w:ascii="Times New Roman" w:hAnsi="Times New Roman" w:cs="Times New Roman"/>
          <w:bCs/>
          <w:sz w:val="28"/>
          <w:szCs w:val="28"/>
        </w:rPr>
        <w:t>court with the unfortunate passing away of</w:t>
      </w:r>
      <w:r w:rsidR="00E56700" w:rsidRPr="005F3E98">
        <w:rPr>
          <w:rFonts w:ascii="Times New Roman" w:hAnsi="Times New Roman" w:cs="Times New Roman"/>
          <w:bCs/>
          <w:sz w:val="28"/>
          <w:szCs w:val="28"/>
        </w:rPr>
        <w:t xml:space="preserve"> the late</w:t>
      </w:r>
      <w:r w:rsidR="000D505A" w:rsidRPr="005F3E98">
        <w:rPr>
          <w:rFonts w:ascii="Times New Roman" w:hAnsi="Times New Roman" w:cs="Times New Roman"/>
          <w:bCs/>
          <w:sz w:val="28"/>
          <w:szCs w:val="28"/>
        </w:rPr>
        <w:t xml:space="preserve"> </w:t>
      </w:r>
      <w:r w:rsidR="000A2751" w:rsidRPr="005F3E98">
        <w:rPr>
          <w:rFonts w:ascii="Times New Roman" w:hAnsi="Times New Roman" w:cs="Times New Roman"/>
          <w:bCs/>
          <w:sz w:val="28"/>
          <w:szCs w:val="28"/>
        </w:rPr>
        <w:t>Queen. The high court correctly found that the appellant Queen should not have sought interdictory relief as she had not established a clear right that was infringed and needed protection, nor had she sought the declaration of invalidity of the other customary marriages to the late Isilo. There was also no contention that those marriages were not legally concluded in terms of the Recognition</w:t>
      </w:r>
      <w:r w:rsidR="000D0B8D" w:rsidRPr="005F3E98">
        <w:rPr>
          <w:rFonts w:ascii="Times New Roman" w:hAnsi="Times New Roman" w:cs="Times New Roman"/>
          <w:bCs/>
          <w:sz w:val="28"/>
          <w:szCs w:val="28"/>
        </w:rPr>
        <w:t xml:space="preserve"> Act</w:t>
      </w:r>
      <w:r w:rsidR="000A2751" w:rsidRPr="005F3E98">
        <w:rPr>
          <w:rFonts w:ascii="Times New Roman" w:hAnsi="Times New Roman" w:cs="Times New Roman"/>
          <w:bCs/>
          <w:sz w:val="28"/>
          <w:szCs w:val="28"/>
        </w:rPr>
        <w:t xml:space="preserve">. </w:t>
      </w:r>
    </w:p>
    <w:p w:rsidR="000A2751" w:rsidRPr="00EE359A" w:rsidRDefault="000A2751" w:rsidP="000A2751">
      <w:pPr>
        <w:pStyle w:val="ListParagraph"/>
        <w:rPr>
          <w:rFonts w:ascii="Times New Roman" w:hAnsi="Times New Roman" w:cs="Times New Roman"/>
          <w:bCs/>
          <w:sz w:val="28"/>
          <w:szCs w:val="28"/>
        </w:rPr>
      </w:pPr>
    </w:p>
    <w:p w:rsidR="009A1FD3" w:rsidRPr="005F3E98" w:rsidRDefault="005F3E98" w:rsidP="005F3E9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[26]</w:t>
      </w:r>
      <w:r>
        <w:rPr>
          <w:rFonts w:ascii="Times New Roman" w:hAnsi="Times New Roman" w:cs="Times New Roman"/>
          <w:bCs/>
          <w:sz w:val="28"/>
          <w:szCs w:val="28"/>
        </w:rPr>
        <w:tab/>
      </w:r>
      <w:r w:rsidR="000A2751" w:rsidRPr="005F3E98">
        <w:rPr>
          <w:rFonts w:ascii="Times New Roman" w:hAnsi="Times New Roman" w:cs="Times New Roman"/>
          <w:bCs/>
          <w:sz w:val="28"/>
          <w:szCs w:val="28"/>
        </w:rPr>
        <w:t>Furthermore</w:t>
      </w:r>
      <w:r w:rsidR="00C973A8" w:rsidRPr="005F3E98">
        <w:rPr>
          <w:rFonts w:ascii="Times New Roman" w:hAnsi="Times New Roman" w:cs="Times New Roman"/>
          <w:bCs/>
          <w:sz w:val="28"/>
          <w:szCs w:val="28"/>
        </w:rPr>
        <w:t>, the winding up of the late Isilo’s estate has not even yet commenced. There was no suggestion that the executor of the estate would distribute the estate in any manner prejudicial to her.  In any event, the estate would be wound up under the supervision of the Master of the High Court. The process of winding up of an estate also has safeguards in terms of the Administration of Estates Act 66 of 1965 for the protection of persons who have claims against any deceased estate. Should this not be adhered to, the appellant Queen is not without remedy.</w:t>
      </w:r>
    </w:p>
    <w:p w:rsidR="00C2757D" w:rsidRPr="00E02BC3" w:rsidRDefault="00C2757D" w:rsidP="00C2757D">
      <w:pPr>
        <w:pStyle w:val="ListParagraph"/>
        <w:spacing w:after="0" w:line="360" w:lineRule="auto"/>
        <w:ind w:left="0"/>
        <w:jc w:val="both"/>
        <w:rPr>
          <w:rFonts w:ascii="Times New Roman" w:hAnsi="Times New Roman" w:cs="Times New Roman"/>
          <w:bCs/>
          <w:sz w:val="28"/>
          <w:szCs w:val="28"/>
        </w:rPr>
      </w:pPr>
    </w:p>
    <w:p w:rsidR="009A1FD3" w:rsidRPr="005F3E98" w:rsidRDefault="005F3E98" w:rsidP="005F3E98">
      <w:pPr>
        <w:spacing w:after="0" w:line="360" w:lineRule="auto"/>
        <w:jc w:val="both"/>
        <w:rPr>
          <w:rFonts w:ascii="Times New Roman" w:hAnsi="Times New Roman" w:cs="Times New Roman"/>
          <w:bCs/>
          <w:sz w:val="28"/>
          <w:szCs w:val="28"/>
        </w:rPr>
      </w:pPr>
      <w:r w:rsidRPr="00EE359A">
        <w:rPr>
          <w:rFonts w:ascii="Times New Roman" w:hAnsi="Times New Roman" w:cs="Times New Roman"/>
          <w:bCs/>
          <w:sz w:val="28"/>
          <w:szCs w:val="28"/>
        </w:rPr>
        <w:t>[27]</w:t>
      </w:r>
      <w:r w:rsidRPr="00EE359A">
        <w:rPr>
          <w:rFonts w:ascii="Times New Roman" w:hAnsi="Times New Roman" w:cs="Times New Roman"/>
          <w:bCs/>
          <w:sz w:val="28"/>
          <w:szCs w:val="28"/>
        </w:rPr>
        <w:tab/>
      </w:r>
      <w:r w:rsidR="007A21CF" w:rsidRPr="005F3E98">
        <w:rPr>
          <w:rFonts w:ascii="Times New Roman" w:hAnsi="Times New Roman" w:cs="Times New Roman"/>
          <w:bCs/>
          <w:sz w:val="28"/>
          <w:szCs w:val="28"/>
        </w:rPr>
        <w:t>I</w:t>
      </w:r>
      <w:r w:rsidR="00C973A8" w:rsidRPr="005F3E98">
        <w:rPr>
          <w:rFonts w:ascii="Times New Roman" w:hAnsi="Times New Roman" w:cs="Times New Roman"/>
          <w:bCs/>
          <w:sz w:val="28"/>
          <w:szCs w:val="28"/>
        </w:rPr>
        <w:t xml:space="preserve">t </w:t>
      </w:r>
      <w:r w:rsidR="009A1FD3" w:rsidRPr="005F3E98">
        <w:rPr>
          <w:rFonts w:ascii="Times New Roman" w:hAnsi="Times New Roman" w:cs="Times New Roman"/>
          <w:bCs/>
          <w:sz w:val="28"/>
          <w:szCs w:val="28"/>
        </w:rPr>
        <w:t xml:space="preserve">is common ground that the late Isilo was married to the appellant Queen in community of property and profit and loss. The proprietary consequences of the marriage were also admitted. The law on the subject matter is clear. The high court correctly did not deem it necessary and equitable to grant a declaratory </w:t>
      </w:r>
      <w:r w:rsidR="00D61D7C" w:rsidRPr="005F3E98">
        <w:rPr>
          <w:rFonts w:ascii="Times New Roman" w:hAnsi="Times New Roman" w:cs="Times New Roman"/>
          <w:bCs/>
          <w:sz w:val="28"/>
          <w:szCs w:val="28"/>
        </w:rPr>
        <w:t xml:space="preserve">order </w:t>
      </w:r>
      <w:r w:rsidR="009A1FD3" w:rsidRPr="005F3E98">
        <w:rPr>
          <w:rFonts w:ascii="Times New Roman" w:hAnsi="Times New Roman" w:cs="Times New Roman"/>
          <w:bCs/>
          <w:sz w:val="28"/>
          <w:szCs w:val="28"/>
        </w:rPr>
        <w:t xml:space="preserve">under such circumstances. It is for this reason that it concluded that no practical effect would be achieved by a determination that the late Isilo was married to the appellant Queen as she claimed. The ‘purpose envisaged’ by the appellant Queen had been achieved. The dependants and beneficiaries of the late Isilo’s estate, by virtue of the concession and overwhelming proof, know exactly what their rights are in relation to the late Isilo’s estate. There was nothing to determine or clarify by way of a declaratory order. In essence, the appellant Queen wants a declaratory order that is merely abstract, academic or hypothetical. </w:t>
      </w:r>
    </w:p>
    <w:p w:rsidR="00BD6E99" w:rsidRPr="00EE359A" w:rsidRDefault="00BD6E99" w:rsidP="00D85FD2">
      <w:pPr>
        <w:pStyle w:val="ListParagraph"/>
        <w:spacing w:after="0" w:line="360" w:lineRule="auto"/>
        <w:ind w:left="0"/>
        <w:jc w:val="both"/>
        <w:rPr>
          <w:rFonts w:ascii="Times New Roman" w:hAnsi="Times New Roman" w:cs="Times New Roman"/>
          <w:bCs/>
          <w:sz w:val="28"/>
          <w:szCs w:val="28"/>
        </w:rPr>
      </w:pPr>
    </w:p>
    <w:p w:rsidR="00BD6E99" w:rsidRPr="005F3E98" w:rsidRDefault="005F3E98" w:rsidP="005F3E98">
      <w:pPr>
        <w:spacing w:after="0" w:line="360" w:lineRule="auto"/>
        <w:jc w:val="both"/>
        <w:rPr>
          <w:rFonts w:ascii="Times New Roman" w:hAnsi="Times New Roman" w:cs="Times New Roman"/>
          <w:bCs/>
          <w:sz w:val="28"/>
          <w:szCs w:val="28"/>
        </w:rPr>
      </w:pPr>
      <w:r w:rsidRPr="00EE359A">
        <w:rPr>
          <w:rFonts w:ascii="Times New Roman" w:hAnsi="Times New Roman" w:cs="Times New Roman"/>
          <w:bCs/>
          <w:sz w:val="28"/>
          <w:szCs w:val="28"/>
        </w:rPr>
        <w:lastRenderedPageBreak/>
        <w:t>[28]</w:t>
      </w:r>
      <w:r w:rsidRPr="00EE359A">
        <w:rPr>
          <w:rFonts w:ascii="Times New Roman" w:hAnsi="Times New Roman" w:cs="Times New Roman"/>
          <w:bCs/>
          <w:sz w:val="28"/>
          <w:szCs w:val="28"/>
        </w:rPr>
        <w:tab/>
      </w:r>
      <w:r w:rsidR="00AB67F2" w:rsidRPr="005F3E98">
        <w:rPr>
          <w:rFonts w:ascii="Times New Roman" w:hAnsi="Times New Roman" w:cs="Times New Roman"/>
          <w:bCs/>
          <w:sz w:val="28"/>
          <w:szCs w:val="28"/>
        </w:rPr>
        <w:t>The appellant Queen’</w:t>
      </w:r>
      <w:r w:rsidR="00C973A8" w:rsidRPr="005F3E98">
        <w:rPr>
          <w:rFonts w:ascii="Times New Roman" w:hAnsi="Times New Roman" w:cs="Times New Roman"/>
          <w:bCs/>
          <w:sz w:val="28"/>
          <w:szCs w:val="28"/>
        </w:rPr>
        <w:t xml:space="preserve">s </w:t>
      </w:r>
      <w:r w:rsidR="00AB67F2" w:rsidRPr="005F3E98">
        <w:rPr>
          <w:rFonts w:ascii="Times New Roman" w:hAnsi="Times New Roman" w:cs="Times New Roman"/>
          <w:bCs/>
          <w:sz w:val="28"/>
          <w:szCs w:val="28"/>
        </w:rPr>
        <w:t xml:space="preserve">main ground of complaint was that the late Isilo, having concluded a civil marriage with her, was precluded </w:t>
      </w:r>
      <w:r w:rsidR="00491801" w:rsidRPr="005F3E98">
        <w:rPr>
          <w:rFonts w:ascii="Times New Roman" w:hAnsi="Times New Roman" w:cs="Times New Roman"/>
          <w:bCs/>
          <w:sz w:val="28"/>
          <w:szCs w:val="28"/>
        </w:rPr>
        <w:t>in terms of the Marriage Act, from marrying any other person during the subsistence of that marriage</w:t>
      </w:r>
      <w:r w:rsidR="00847146" w:rsidRPr="005F3E98">
        <w:rPr>
          <w:rFonts w:ascii="Times New Roman" w:hAnsi="Times New Roman" w:cs="Times New Roman"/>
          <w:bCs/>
          <w:sz w:val="28"/>
          <w:szCs w:val="28"/>
        </w:rPr>
        <w:t xml:space="preserve">. But </w:t>
      </w:r>
      <w:r w:rsidR="00C973A8" w:rsidRPr="005F3E98">
        <w:rPr>
          <w:rFonts w:ascii="Times New Roman" w:hAnsi="Times New Roman" w:cs="Times New Roman"/>
          <w:bCs/>
          <w:sz w:val="28"/>
          <w:szCs w:val="28"/>
        </w:rPr>
        <w:t xml:space="preserve">if this is so, and we make no finding in this regard, </w:t>
      </w:r>
      <w:r w:rsidR="007A21CF" w:rsidRPr="005F3E98">
        <w:rPr>
          <w:rFonts w:ascii="Times New Roman" w:hAnsi="Times New Roman" w:cs="Times New Roman"/>
          <w:bCs/>
          <w:sz w:val="28"/>
          <w:szCs w:val="28"/>
        </w:rPr>
        <w:t xml:space="preserve">it </w:t>
      </w:r>
      <w:r w:rsidR="00491801" w:rsidRPr="005F3E98">
        <w:rPr>
          <w:rFonts w:ascii="Times New Roman" w:hAnsi="Times New Roman" w:cs="Times New Roman"/>
          <w:bCs/>
          <w:sz w:val="28"/>
          <w:szCs w:val="28"/>
        </w:rPr>
        <w:t>is a consequence of the marriage regime between the late Isilo and the appellant</w:t>
      </w:r>
      <w:r w:rsidR="00D30D04" w:rsidRPr="005F3E98">
        <w:rPr>
          <w:rFonts w:ascii="Times New Roman" w:hAnsi="Times New Roman" w:cs="Times New Roman"/>
          <w:bCs/>
          <w:sz w:val="28"/>
          <w:szCs w:val="28"/>
        </w:rPr>
        <w:t xml:space="preserve"> Queen</w:t>
      </w:r>
      <w:r w:rsidR="00491801" w:rsidRPr="005F3E98">
        <w:rPr>
          <w:rFonts w:ascii="Times New Roman" w:hAnsi="Times New Roman" w:cs="Times New Roman"/>
          <w:bCs/>
          <w:sz w:val="28"/>
          <w:szCs w:val="28"/>
        </w:rPr>
        <w:t>.</w:t>
      </w:r>
      <w:r w:rsidR="008C0A4B" w:rsidRPr="005F3E98">
        <w:rPr>
          <w:rFonts w:ascii="Times New Roman" w:hAnsi="Times New Roman" w:cs="Times New Roman"/>
          <w:bCs/>
          <w:sz w:val="28"/>
          <w:szCs w:val="28"/>
        </w:rPr>
        <w:t xml:space="preserve"> The effect of </w:t>
      </w:r>
      <w:r w:rsidR="00914D2C" w:rsidRPr="005F3E98">
        <w:rPr>
          <w:rFonts w:ascii="Times New Roman" w:hAnsi="Times New Roman" w:cs="Times New Roman"/>
          <w:bCs/>
          <w:sz w:val="28"/>
          <w:szCs w:val="28"/>
        </w:rPr>
        <w:t xml:space="preserve">a </w:t>
      </w:r>
      <w:r w:rsidR="008C0A4B" w:rsidRPr="005F3E98">
        <w:rPr>
          <w:rFonts w:ascii="Times New Roman" w:hAnsi="Times New Roman" w:cs="Times New Roman"/>
          <w:bCs/>
          <w:sz w:val="28"/>
          <w:szCs w:val="28"/>
        </w:rPr>
        <w:t>civil marriage on customary marriages flows</w:t>
      </w:r>
      <w:r w:rsidR="00C973A8" w:rsidRPr="005F3E98">
        <w:rPr>
          <w:rFonts w:ascii="Times New Roman" w:hAnsi="Times New Roman" w:cs="Times New Roman"/>
          <w:bCs/>
          <w:sz w:val="28"/>
          <w:szCs w:val="28"/>
        </w:rPr>
        <w:t xml:space="preserve"> by operation of law.</w:t>
      </w:r>
      <w:r w:rsidR="008C0A4B" w:rsidRPr="005F3E98">
        <w:rPr>
          <w:rFonts w:ascii="Times New Roman" w:hAnsi="Times New Roman" w:cs="Times New Roman"/>
          <w:bCs/>
          <w:sz w:val="28"/>
          <w:szCs w:val="28"/>
        </w:rPr>
        <w:t xml:space="preserve"> </w:t>
      </w:r>
      <w:r w:rsidR="00847146" w:rsidRPr="005F3E98">
        <w:rPr>
          <w:rFonts w:ascii="Times New Roman" w:hAnsi="Times New Roman" w:cs="Times New Roman"/>
          <w:bCs/>
          <w:sz w:val="28"/>
          <w:szCs w:val="28"/>
        </w:rPr>
        <w:t xml:space="preserve">It is not something a court needs to give a declaratory order on. </w:t>
      </w:r>
      <w:r w:rsidR="008C0A4B" w:rsidRPr="005F3E98">
        <w:rPr>
          <w:rFonts w:ascii="Times New Roman" w:hAnsi="Times New Roman" w:cs="Times New Roman"/>
          <w:bCs/>
          <w:sz w:val="28"/>
          <w:szCs w:val="28"/>
        </w:rPr>
        <w:t>Policy considerations</w:t>
      </w:r>
      <w:r w:rsidR="00813760" w:rsidRPr="005F3E98">
        <w:rPr>
          <w:rFonts w:ascii="Times New Roman" w:hAnsi="Times New Roman" w:cs="Times New Roman"/>
          <w:bCs/>
          <w:sz w:val="28"/>
          <w:szCs w:val="28"/>
        </w:rPr>
        <w:t xml:space="preserve">, as mentioned in </w:t>
      </w:r>
      <w:r w:rsidR="00813760" w:rsidRPr="005F3E98">
        <w:rPr>
          <w:rFonts w:ascii="Times New Roman" w:hAnsi="Times New Roman" w:cs="Times New Roman"/>
          <w:bCs/>
          <w:i/>
          <w:sz w:val="28"/>
          <w:szCs w:val="28"/>
        </w:rPr>
        <w:t>J</w:t>
      </w:r>
      <w:r w:rsidR="007F6744" w:rsidRPr="005F3E98">
        <w:rPr>
          <w:rFonts w:ascii="Times New Roman" w:hAnsi="Times New Roman" w:cs="Times New Roman"/>
          <w:bCs/>
          <w:i/>
          <w:sz w:val="28"/>
          <w:szCs w:val="28"/>
        </w:rPr>
        <w:t xml:space="preserve"> </w:t>
      </w:r>
      <w:r w:rsidR="00813760" w:rsidRPr="005F3E98">
        <w:rPr>
          <w:rFonts w:ascii="Times New Roman" w:hAnsi="Times New Roman" w:cs="Times New Roman"/>
          <w:bCs/>
          <w:i/>
          <w:sz w:val="28"/>
          <w:szCs w:val="28"/>
        </w:rPr>
        <w:t>T Publish</w:t>
      </w:r>
      <w:r w:rsidR="007F6744" w:rsidRPr="005F3E98">
        <w:rPr>
          <w:rFonts w:ascii="Times New Roman" w:hAnsi="Times New Roman" w:cs="Times New Roman"/>
          <w:bCs/>
          <w:i/>
          <w:sz w:val="28"/>
          <w:szCs w:val="28"/>
        </w:rPr>
        <w:t>ing</w:t>
      </w:r>
      <w:r w:rsidR="00813760" w:rsidRPr="005F3E98">
        <w:rPr>
          <w:rFonts w:ascii="Times New Roman" w:hAnsi="Times New Roman" w:cs="Times New Roman"/>
          <w:bCs/>
          <w:i/>
          <w:sz w:val="28"/>
          <w:szCs w:val="28"/>
        </w:rPr>
        <w:t xml:space="preserve"> </w:t>
      </w:r>
      <w:r w:rsidR="00813760" w:rsidRPr="005F3E98">
        <w:rPr>
          <w:rFonts w:ascii="Times New Roman" w:hAnsi="Times New Roman" w:cs="Times New Roman"/>
          <w:bCs/>
          <w:sz w:val="28"/>
          <w:szCs w:val="28"/>
        </w:rPr>
        <w:t>above,</w:t>
      </w:r>
      <w:r w:rsidR="008C0A4B" w:rsidRPr="005F3E98">
        <w:rPr>
          <w:rFonts w:ascii="Times New Roman" w:hAnsi="Times New Roman" w:cs="Times New Roman"/>
          <w:bCs/>
          <w:sz w:val="28"/>
          <w:szCs w:val="28"/>
        </w:rPr>
        <w:t xml:space="preserve"> militate against court</w:t>
      </w:r>
      <w:r w:rsidR="00544D77" w:rsidRPr="005F3E98">
        <w:rPr>
          <w:rFonts w:ascii="Times New Roman" w:hAnsi="Times New Roman" w:cs="Times New Roman"/>
          <w:bCs/>
          <w:sz w:val="28"/>
          <w:szCs w:val="28"/>
        </w:rPr>
        <w:t>s</w:t>
      </w:r>
      <w:r w:rsidR="008C0A4B" w:rsidRPr="005F3E98">
        <w:rPr>
          <w:rFonts w:ascii="Times New Roman" w:hAnsi="Times New Roman" w:cs="Times New Roman"/>
          <w:bCs/>
          <w:sz w:val="28"/>
          <w:szCs w:val="28"/>
        </w:rPr>
        <w:t xml:space="preserve"> giving advisory opinions to litigants. The appellant </w:t>
      </w:r>
      <w:r w:rsidR="00D30D04" w:rsidRPr="005F3E98">
        <w:rPr>
          <w:rFonts w:ascii="Times New Roman" w:hAnsi="Times New Roman" w:cs="Times New Roman"/>
          <w:bCs/>
          <w:sz w:val="28"/>
          <w:szCs w:val="28"/>
        </w:rPr>
        <w:t xml:space="preserve">Queen </w:t>
      </w:r>
      <w:r w:rsidR="008C0A4B" w:rsidRPr="005F3E98">
        <w:rPr>
          <w:rFonts w:ascii="Times New Roman" w:hAnsi="Times New Roman" w:cs="Times New Roman"/>
          <w:bCs/>
          <w:sz w:val="28"/>
          <w:szCs w:val="28"/>
        </w:rPr>
        <w:t xml:space="preserve">has not </w:t>
      </w:r>
      <w:r w:rsidR="00C973A8" w:rsidRPr="005F3E98">
        <w:rPr>
          <w:rFonts w:ascii="Times New Roman" w:hAnsi="Times New Roman" w:cs="Times New Roman"/>
          <w:bCs/>
          <w:sz w:val="28"/>
          <w:szCs w:val="28"/>
        </w:rPr>
        <w:t xml:space="preserve">demonstrated </w:t>
      </w:r>
      <w:r w:rsidR="008C0A4B" w:rsidRPr="005F3E98">
        <w:rPr>
          <w:rFonts w:ascii="Times New Roman" w:hAnsi="Times New Roman" w:cs="Times New Roman"/>
          <w:bCs/>
          <w:sz w:val="28"/>
          <w:szCs w:val="28"/>
        </w:rPr>
        <w:t>a</w:t>
      </w:r>
      <w:r w:rsidR="00C973A8" w:rsidRPr="005F3E98">
        <w:rPr>
          <w:rFonts w:ascii="Times New Roman" w:hAnsi="Times New Roman" w:cs="Times New Roman"/>
          <w:bCs/>
          <w:sz w:val="28"/>
          <w:szCs w:val="28"/>
        </w:rPr>
        <w:t>ny</w:t>
      </w:r>
      <w:r w:rsidR="000D0B8D" w:rsidRPr="005F3E98">
        <w:rPr>
          <w:rFonts w:ascii="Times New Roman" w:hAnsi="Times New Roman" w:cs="Times New Roman"/>
          <w:bCs/>
          <w:sz w:val="28"/>
          <w:szCs w:val="28"/>
        </w:rPr>
        <w:t xml:space="preserve"> tangible</w:t>
      </w:r>
      <w:r w:rsidR="008C0A4B" w:rsidRPr="005F3E98">
        <w:rPr>
          <w:rFonts w:ascii="Times New Roman" w:hAnsi="Times New Roman" w:cs="Times New Roman"/>
          <w:bCs/>
          <w:sz w:val="28"/>
          <w:szCs w:val="28"/>
        </w:rPr>
        <w:t xml:space="preserve"> and justifiable advantage</w:t>
      </w:r>
      <w:r w:rsidR="00384F70" w:rsidRPr="005F3E98">
        <w:rPr>
          <w:rFonts w:ascii="Times New Roman" w:hAnsi="Times New Roman" w:cs="Times New Roman"/>
          <w:bCs/>
          <w:sz w:val="28"/>
          <w:szCs w:val="28"/>
        </w:rPr>
        <w:t xml:space="preserve"> in relation to her </w:t>
      </w:r>
      <w:r w:rsidR="008C0A4B" w:rsidRPr="005F3E98">
        <w:rPr>
          <w:rFonts w:ascii="Times New Roman" w:hAnsi="Times New Roman" w:cs="Times New Roman"/>
          <w:bCs/>
          <w:sz w:val="28"/>
          <w:szCs w:val="28"/>
        </w:rPr>
        <w:t>position</w:t>
      </w:r>
      <w:r w:rsidR="00384F70" w:rsidRPr="005F3E98">
        <w:rPr>
          <w:rFonts w:ascii="Times New Roman" w:hAnsi="Times New Roman" w:cs="Times New Roman"/>
          <w:bCs/>
          <w:sz w:val="28"/>
          <w:szCs w:val="28"/>
        </w:rPr>
        <w:t>,</w:t>
      </w:r>
      <w:r w:rsidR="008C0A4B" w:rsidRPr="005F3E98">
        <w:rPr>
          <w:rFonts w:ascii="Times New Roman" w:hAnsi="Times New Roman" w:cs="Times New Roman"/>
          <w:bCs/>
          <w:sz w:val="28"/>
          <w:szCs w:val="28"/>
        </w:rPr>
        <w:t xml:space="preserve"> with reference to an existing future or contingent legal right or obligation</w:t>
      </w:r>
      <w:r w:rsidR="00384F70" w:rsidRPr="005F3E98">
        <w:rPr>
          <w:rFonts w:ascii="Times New Roman" w:hAnsi="Times New Roman" w:cs="Times New Roman"/>
          <w:bCs/>
          <w:sz w:val="28"/>
          <w:szCs w:val="28"/>
        </w:rPr>
        <w:t>,</w:t>
      </w:r>
      <w:r w:rsidR="00BF5DFC" w:rsidRPr="005F3E98">
        <w:rPr>
          <w:rFonts w:ascii="Times New Roman" w:hAnsi="Times New Roman" w:cs="Times New Roman"/>
          <w:bCs/>
          <w:sz w:val="28"/>
          <w:szCs w:val="28"/>
        </w:rPr>
        <w:t xml:space="preserve"> which</w:t>
      </w:r>
      <w:r w:rsidR="008C0A4B" w:rsidRPr="005F3E98">
        <w:rPr>
          <w:rFonts w:ascii="Times New Roman" w:hAnsi="Times New Roman" w:cs="Times New Roman"/>
          <w:bCs/>
          <w:sz w:val="28"/>
          <w:szCs w:val="28"/>
        </w:rPr>
        <w:t xml:space="preserve"> would flow from the grant of the declaratory order sought. </w:t>
      </w:r>
    </w:p>
    <w:p w:rsidR="00BD6E99" w:rsidRPr="00EE359A" w:rsidRDefault="00BD6E99" w:rsidP="00D85FD2">
      <w:pPr>
        <w:pStyle w:val="ListParagraph"/>
        <w:spacing w:after="0" w:line="360" w:lineRule="auto"/>
        <w:ind w:left="0"/>
        <w:jc w:val="both"/>
        <w:rPr>
          <w:rFonts w:ascii="Times New Roman" w:hAnsi="Times New Roman" w:cs="Times New Roman"/>
          <w:bCs/>
          <w:sz w:val="28"/>
          <w:szCs w:val="28"/>
        </w:rPr>
      </w:pPr>
    </w:p>
    <w:p w:rsidR="00EE359A" w:rsidRPr="005F3E98" w:rsidRDefault="005F3E98" w:rsidP="005F3E9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[29]</w:t>
      </w:r>
      <w:r>
        <w:rPr>
          <w:rFonts w:ascii="Times New Roman" w:hAnsi="Times New Roman" w:cs="Times New Roman"/>
          <w:bCs/>
          <w:sz w:val="28"/>
          <w:szCs w:val="28"/>
        </w:rPr>
        <w:tab/>
      </w:r>
      <w:r w:rsidR="00385E12" w:rsidRPr="005F3E98">
        <w:rPr>
          <w:rFonts w:ascii="Times New Roman" w:hAnsi="Times New Roman" w:cs="Times New Roman"/>
          <w:bCs/>
          <w:sz w:val="28"/>
          <w:szCs w:val="28"/>
        </w:rPr>
        <w:t xml:space="preserve">In all the circumstances, </w:t>
      </w:r>
      <w:r w:rsidR="00BD3A2C" w:rsidRPr="005F3E98">
        <w:rPr>
          <w:rFonts w:ascii="Times New Roman" w:hAnsi="Times New Roman" w:cs="Times New Roman"/>
          <w:bCs/>
          <w:sz w:val="28"/>
          <w:szCs w:val="28"/>
        </w:rPr>
        <w:t>despite the</w:t>
      </w:r>
      <w:r w:rsidR="00385E12" w:rsidRPr="005F3E98">
        <w:rPr>
          <w:rFonts w:ascii="Times New Roman" w:hAnsi="Times New Roman" w:cs="Times New Roman"/>
          <w:bCs/>
          <w:sz w:val="28"/>
          <w:szCs w:val="28"/>
        </w:rPr>
        <w:t xml:space="preserve"> misdirection we pointed out earlier, the </w:t>
      </w:r>
      <w:r w:rsidR="007F6744" w:rsidRPr="005F3E98">
        <w:rPr>
          <w:rFonts w:ascii="Times New Roman" w:hAnsi="Times New Roman" w:cs="Times New Roman"/>
          <w:bCs/>
          <w:sz w:val="28"/>
          <w:szCs w:val="28"/>
        </w:rPr>
        <w:t>high court</w:t>
      </w:r>
      <w:r w:rsidR="00384F70" w:rsidRPr="005F3E98">
        <w:rPr>
          <w:rFonts w:ascii="Times New Roman" w:hAnsi="Times New Roman" w:cs="Times New Roman"/>
          <w:bCs/>
          <w:sz w:val="28"/>
          <w:szCs w:val="28"/>
        </w:rPr>
        <w:t xml:space="preserve"> </w:t>
      </w:r>
      <w:r w:rsidR="007E2189" w:rsidRPr="005F3E98">
        <w:rPr>
          <w:rFonts w:ascii="Times New Roman" w:hAnsi="Times New Roman" w:cs="Times New Roman"/>
          <w:bCs/>
          <w:sz w:val="28"/>
          <w:szCs w:val="28"/>
        </w:rPr>
        <w:t xml:space="preserve">properly </w:t>
      </w:r>
      <w:r w:rsidR="00384F70" w:rsidRPr="005F3E98">
        <w:rPr>
          <w:rFonts w:ascii="Times New Roman" w:hAnsi="Times New Roman" w:cs="Times New Roman"/>
          <w:bCs/>
          <w:sz w:val="28"/>
          <w:szCs w:val="28"/>
        </w:rPr>
        <w:t xml:space="preserve">exercised its discretion by refusing to grant the declaratory relief. </w:t>
      </w:r>
      <w:r w:rsidR="00B70E0B" w:rsidRPr="005F3E98">
        <w:rPr>
          <w:rFonts w:ascii="Times New Roman" w:hAnsi="Times New Roman" w:cs="Times New Roman"/>
          <w:bCs/>
          <w:sz w:val="28"/>
          <w:szCs w:val="28"/>
        </w:rPr>
        <w:t xml:space="preserve"> </w:t>
      </w:r>
      <w:r w:rsidR="00384F70" w:rsidRPr="005F3E98">
        <w:rPr>
          <w:rFonts w:ascii="Times New Roman" w:hAnsi="Times New Roman" w:cs="Times New Roman"/>
          <w:bCs/>
          <w:sz w:val="28"/>
          <w:szCs w:val="28"/>
        </w:rPr>
        <w:t>The appeal ought to be dismissed</w:t>
      </w:r>
      <w:r w:rsidR="007F6744" w:rsidRPr="005F3E98">
        <w:rPr>
          <w:rFonts w:ascii="Times New Roman" w:hAnsi="Times New Roman" w:cs="Times New Roman"/>
          <w:bCs/>
          <w:sz w:val="28"/>
          <w:szCs w:val="28"/>
        </w:rPr>
        <w:t xml:space="preserve"> and t</w:t>
      </w:r>
      <w:r w:rsidR="00384F70" w:rsidRPr="005F3E98">
        <w:rPr>
          <w:rFonts w:ascii="Times New Roman" w:hAnsi="Times New Roman" w:cs="Times New Roman"/>
          <w:bCs/>
          <w:sz w:val="28"/>
          <w:szCs w:val="28"/>
        </w:rPr>
        <w:t>here is no reason why costs should not follow the</w:t>
      </w:r>
      <w:r w:rsidR="001E3316" w:rsidRPr="005F3E98">
        <w:rPr>
          <w:rFonts w:ascii="Times New Roman" w:hAnsi="Times New Roman" w:cs="Times New Roman"/>
          <w:bCs/>
          <w:sz w:val="28"/>
          <w:szCs w:val="28"/>
        </w:rPr>
        <w:t xml:space="preserve"> </w:t>
      </w:r>
      <w:r w:rsidR="007E2189" w:rsidRPr="005F3E98">
        <w:rPr>
          <w:rFonts w:ascii="Times New Roman" w:hAnsi="Times New Roman" w:cs="Times New Roman"/>
          <w:bCs/>
          <w:sz w:val="28"/>
          <w:szCs w:val="28"/>
        </w:rPr>
        <w:t>result</w:t>
      </w:r>
      <w:r w:rsidR="00384F70" w:rsidRPr="005F3E98">
        <w:rPr>
          <w:rFonts w:ascii="Times New Roman" w:hAnsi="Times New Roman" w:cs="Times New Roman"/>
          <w:bCs/>
          <w:sz w:val="28"/>
          <w:szCs w:val="28"/>
        </w:rPr>
        <w:t>. A</w:t>
      </w:r>
      <w:r w:rsidR="00323ABE" w:rsidRPr="005F3E98">
        <w:rPr>
          <w:rFonts w:ascii="Times New Roman" w:hAnsi="Times New Roman" w:cs="Times New Roman"/>
          <w:bCs/>
          <w:sz w:val="28"/>
          <w:szCs w:val="28"/>
        </w:rPr>
        <w:t xml:space="preserve">ll the </w:t>
      </w:r>
      <w:r w:rsidR="001E3316" w:rsidRPr="005F3E98">
        <w:rPr>
          <w:rFonts w:ascii="Times New Roman" w:hAnsi="Times New Roman" w:cs="Times New Roman"/>
          <w:bCs/>
          <w:sz w:val="28"/>
          <w:szCs w:val="28"/>
        </w:rPr>
        <w:t xml:space="preserve">opposing </w:t>
      </w:r>
      <w:r w:rsidR="00323ABE" w:rsidRPr="005F3E98">
        <w:rPr>
          <w:rFonts w:ascii="Times New Roman" w:hAnsi="Times New Roman" w:cs="Times New Roman"/>
          <w:bCs/>
          <w:sz w:val="28"/>
          <w:szCs w:val="28"/>
        </w:rPr>
        <w:t xml:space="preserve">parties, except the first respondent, </w:t>
      </w:r>
      <w:r w:rsidR="00384F70" w:rsidRPr="005F3E98">
        <w:rPr>
          <w:rFonts w:ascii="Times New Roman" w:hAnsi="Times New Roman" w:cs="Times New Roman"/>
          <w:bCs/>
          <w:sz w:val="28"/>
          <w:szCs w:val="28"/>
        </w:rPr>
        <w:t xml:space="preserve">employed at least two counsel. </w:t>
      </w:r>
      <w:r w:rsidR="001E3316" w:rsidRPr="005F3E98">
        <w:rPr>
          <w:rFonts w:ascii="Times New Roman" w:hAnsi="Times New Roman" w:cs="Times New Roman"/>
          <w:bCs/>
          <w:sz w:val="28"/>
          <w:szCs w:val="28"/>
        </w:rPr>
        <w:t>We are of the view that the employment of two counsel was warranted, given the issues in dispute. T</w:t>
      </w:r>
      <w:r w:rsidR="00384F70" w:rsidRPr="005F3E98">
        <w:rPr>
          <w:rFonts w:ascii="Times New Roman" w:hAnsi="Times New Roman" w:cs="Times New Roman"/>
          <w:bCs/>
          <w:sz w:val="28"/>
          <w:szCs w:val="28"/>
        </w:rPr>
        <w:t>he costs order should reflect this.</w:t>
      </w:r>
    </w:p>
    <w:p w:rsidR="00EE359A" w:rsidRPr="00EE359A" w:rsidRDefault="00EE359A" w:rsidP="00EE359A">
      <w:pPr>
        <w:spacing w:after="0" w:line="360" w:lineRule="auto"/>
        <w:jc w:val="both"/>
        <w:rPr>
          <w:rFonts w:ascii="Times New Roman" w:hAnsi="Times New Roman" w:cs="Times New Roman"/>
          <w:bCs/>
          <w:sz w:val="28"/>
          <w:szCs w:val="28"/>
        </w:rPr>
      </w:pPr>
    </w:p>
    <w:p w:rsidR="00961066" w:rsidRPr="005F3E98" w:rsidRDefault="005F3E98" w:rsidP="005F3E98">
      <w:pPr>
        <w:spacing w:after="0" w:line="360" w:lineRule="auto"/>
        <w:jc w:val="both"/>
        <w:rPr>
          <w:rFonts w:ascii="Times New Roman" w:hAnsi="Times New Roman" w:cs="Times New Roman"/>
          <w:bCs/>
          <w:sz w:val="28"/>
          <w:szCs w:val="28"/>
        </w:rPr>
      </w:pPr>
      <w:r w:rsidRPr="00EE359A">
        <w:rPr>
          <w:rFonts w:ascii="Times New Roman" w:hAnsi="Times New Roman" w:cs="Times New Roman"/>
          <w:bCs/>
          <w:sz w:val="28"/>
          <w:szCs w:val="28"/>
        </w:rPr>
        <w:t>[30]</w:t>
      </w:r>
      <w:r w:rsidRPr="00EE359A">
        <w:rPr>
          <w:rFonts w:ascii="Times New Roman" w:hAnsi="Times New Roman" w:cs="Times New Roman"/>
          <w:bCs/>
          <w:sz w:val="28"/>
          <w:szCs w:val="28"/>
        </w:rPr>
        <w:tab/>
      </w:r>
      <w:r w:rsidR="00323ABE" w:rsidRPr="005F3E98">
        <w:rPr>
          <w:rFonts w:ascii="Times New Roman" w:hAnsi="Times New Roman" w:cs="Times New Roman"/>
          <w:bCs/>
          <w:sz w:val="28"/>
          <w:szCs w:val="28"/>
        </w:rPr>
        <w:t>Accordingly, t</w:t>
      </w:r>
      <w:r w:rsidR="00961066" w:rsidRPr="005F3E98">
        <w:rPr>
          <w:rFonts w:ascii="Times New Roman" w:hAnsi="Times New Roman" w:cs="Times New Roman"/>
          <w:bCs/>
          <w:sz w:val="28"/>
          <w:szCs w:val="28"/>
        </w:rPr>
        <w:t>he following order</w:t>
      </w:r>
      <w:r w:rsidR="00264C8F" w:rsidRPr="005F3E98">
        <w:rPr>
          <w:rFonts w:ascii="Times New Roman" w:hAnsi="Times New Roman" w:cs="Times New Roman"/>
          <w:bCs/>
          <w:sz w:val="28"/>
          <w:szCs w:val="28"/>
        </w:rPr>
        <w:t xml:space="preserve"> is made</w:t>
      </w:r>
      <w:r w:rsidR="00961066" w:rsidRPr="005F3E98">
        <w:rPr>
          <w:rFonts w:ascii="Times New Roman" w:hAnsi="Times New Roman" w:cs="Times New Roman"/>
          <w:bCs/>
          <w:sz w:val="28"/>
          <w:szCs w:val="28"/>
        </w:rPr>
        <w:t>:</w:t>
      </w:r>
    </w:p>
    <w:p w:rsidR="00961066" w:rsidRDefault="00961066" w:rsidP="008522D8">
      <w:pPr>
        <w:spacing w:after="0" w:line="360" w:lineRule="auto"/>
        <w:jc w:val="both"/>
        <w:rPr>
          <w:rFonts w:ascii="Times New Roman" w:hAnsi="Times New Roman" w:cs="Times New Roman"/>
          <w:bCs/>
          <w:sz w:val="28"/>
          <w:szCs w:val="28"/>
        </w:rPr>
      </w:pPr>
      <w:r w:rsidRPr="00EE359A">
        <w:rPr>
          <w:rFonts w:ascii="Times New Roman" w:hAnsi="Times New Roman" w:cs="Times New Roman"/>
          <w:bCs/>
          <w:sz w:val="28"/>
          <w:szCs w:val="28"/>
        </w:rPr>
        <w:t>The appeal is dismissed with costs, including the costs of two counsel where so</w:t>
      </w:r>
      <w:r w:rsidR="00264C8F" w:rsidRPr="00EE359A">
        <w:rPr>
          <w:rFonts w:ascii="Times New Roman" w:hAnsi="Times New Roman" w:cs="Times New Roman"/>
          <w:bCs/>
          <w:sz w:val="28"/>
          <w:szCs w:val="28"/>
        </w:rPr>
        <w:t xml:space="preserve"> employed</w:t>
      </w:r>
      <w:r w:rsidR="00CE238A" w:rsidRPr="00EE359A">
        <w:rPr>
          <w:rFonts w:ascii="Times New Roman" w:hAnsi="Times New Roman" w:cs="Times New Roman"/>
          <w:bCs/>
          <w:sz w:val="28"/>
          <w:szCs w:val="28"/>
        </w:rPr>
        <w:t>.</w:t>
      </w:r>
    </w:p>
    <w:p w:rsidR="007A21CF" w:rsidRPr="00265A30" w:rsidRDefault="007A21CF" w:rsidP="008522D8">
      <w:pPr>
        <w:spacing w:after="0" w:line="360" w:lineRule="auto"/>
        <w:jc w:val="both"/>
        <w:rPr>
          <w:rFonts w:ascii="Times New Roman" w:hAnsi="Times New Roman" w:cs="Times New Roman"/>
          <w:bCs/>
          <w:sz w:val="28"/>
          <w:szCs w:val="28"/>
        </w:rPr>
      </w:pPr>
    </w:p>
    <w:p w:rsidR="001E3316" w:rsidRPr="00C970F4" w:rsidRDefault="001E3316" w:rsidP="008522D8">
      <w:pPr>
        <w:spacing w:line="360" w:lineRule="auto"/>
        <w:jc w:val="both"/>
        <w:rPr>
          <w:sz w:val="24"/>
          <w:szCs w:val="24"/>
        </w:rPr>
      </w:pPr>
    </w:p>
    <w:p w:rsidR="00AA3DD3" w:rsidRPr="00FA3A1A" w:rsidRDefault="0098207B" w:rsidP="006D58D2">
      <w:pPr>
        <w:tabs>
          <w:tab w:val="left" w:pos="6810"/>
        </w:tabs>
        <w:spacing w:after="0" w:line="360" w:lineRule="auto"/>
        <w:jc w:val="right"/>
        <w:rPr>
          <w:rFonts w:ascii="Times New Roman" w:hAnsi="Times New Roman" w:cs="Times New Roman"/>
          <w:sz w:val="32"/>
          <w:szCs w:val="32"/>
        </w:rPr>
      </w:pPr>
      <w:r w:rsidRPr="00FA3A1A">
        <w:rPr>
          <w:rFonts w:ascii="Times New Roman" w:hAnsi="Times New Roman" w:cs="Times New Roman"/>
          <w:sz w:val="32"/>
          <w:szCs w:val="32"/>
        </w:rPr>
        <w:t xml:space="preserve">                                                              </w:t>
      </w:r>
      <w:r w:rsidR="00CD637A">
        <w:rPr>
          <w:rFonts w:ascii="Times New Roman" w:hAnsi="Times New Roman" w:cs="Times New Roman"/>
          <w:sz w:val="32"/>
          <w:szCs w:val="32"/>
        </w:rPr>
        <w:t xml:space="preserve">      </w:t>
      </w:r>
      <w:r w:rsidRPr="00FA3A1A">
        <w:rPr>
          <w:rFonts w:ascii="Times New Roman" w:hAnsi="Times New Roman" w:cs="Times New Roman"/>
          <w:sz w:val="32"/>
          <w:szCs w:val="32"/>
        </w:rPr>
        <w:t xml:space="preserve"> </w:t>
      </w:r>
      <w:r w:rsidR="00AA3DD3" w:rsidRPr="00FA3A1A">
        <w:rPr>
          <w:rFonts w:ascii="Times New Roman" w:hAnsi="Times New Roman" w:cs="Times New Roman"/>
          <w:sz w:val="32"/>
          <w:szCs w:val="32"/>
        </w:rPr>
        <w:t>___________________</w:t>
      </w:r>
      <w:r w:rsidR="00E26F0C">
        <w:rPr>
          <w:rFonts w:ascii="Times New Roman" w:hAnsi="Times New Roman" w:cs="Times New Roman"/>
          <w:sz w:val="32"/>
          <w:szCs w:val="32"/>
        </w:rPr>
        <w:t>__</w:t>
      </w:r>
    </w:p>
    <w:p w:rsidR="001E3316" w:rsidRPr="00D85FD2" w:rsidRDefault="00AA3DD3" w:rsidP="000A67EA">
      <w:pPr>
        <w:spacing w:after="0" w:line="240" w:lineRule="auto"/>
        <w:jc w:val="right"/>
        <w:rPr>
          <w:rFonts w:ascii="Times New Roman" w:hAnsi="Times New Roman" w:cs="Times New Roman"/>
          <w:sz w:val="28"/>
          <w:szCs w:val="28"/>
        </w:rPr>
      </w:pPr>
      <w:r w:rsidRPr="00FA3A1A">
        <w:rPr>
          <w:rFonts w:ascii="Times New Roman" w:hAnsi="Times New Roman" w:cs="Times New Roman"/>
          <w:sz w:val="32"/>
          <w:szCs w:val="32"/>
        </w:rPr>
        <w:t xml:space="preserve">     </w:t>
      </w:r>
      <w:r w:rsidRPr="00FA3A1A">
        <w:rPr>
          <w:rFonts w:ascii="Times New Roman" w:hAnsi="Times New Roman" w:cs="Times New Roman"/>
          <w:sz w:val="32"/>
          <w:szCs w:val="32"/>
        </w:rPr>
        <w:tab/>
      </w:r>
      <w:r w:rsidRPr="00FA3A1A">
        <w:rPr>
          <w:rFonts w:ascii="Times New Roman" w:hAnsi="Times New Roman" w:cs="Times New Roman"/>
          <w:sz w:val="32"/>
          <w:szCs w:val="32"/>
        </w:rPr>
        <w:tab/>
      </w:r>
      <w:r w:rsidR="00651D25" w:rsidRPr="00FA3A1A">
        <w:rPr>
          <w:rFonts w:ascii="Times New Roman" w:hAnsi="Times New Roman" w:cs="Times New Roman"/>
          <w:sz w:val="32"/>
          <w:szCs w:val="32"/>
        </w:rPr>
        <w:tab/>
      </w:r>
      <w:r w:rsidR="001E3316" w:rsidRPr="00D85FD2">
        <w:rPr>
          <w:rFonts w:ascii="Times New Roman" w:hAnsi="Times New Roman" w:cs="Times New Roman"/>
          <w:sz w:val="28"/>
          <w:szCs w:val="28"/>
        </w:rPr>
        <w:t xml:space="preserve">YT </w:t>
      </w:r>
      <w:r w:rsidR="007349FE" w:rsidRPr="00D85FD2">
        <w:rPr>
          <w:rFonts w:ascii="Times New Roman" w:hAnsi="Times New Roman" w:cs="Times New Roman"/>
          <w:sz w:val="28"/>
          <w:szCs w:val="28"/>
        </w:rPr>
        <w:t>MBATHA</w:t>
      </w:r>
    </w:p>
    <w:p w:rsidR="001E3316" w:rsidRPr="00D85FD2" w:rsidRDefault="001E3316" w:rsidP="000A67EA">
      <w:pPr>
        <w:spacing w:after="0" w:line="240" w:lineRule="auto"/>
        <w:jc w:val="right"/>
        <w:rPr>
          <w:rFonts w:ascii="Times New Roman" w:hAnsi="Times New Roman" w:cs="Times New Roman"/>
          <w:sz w:val="28"/>
          <w:szCs w:val="28"/>
        </w:rPr>
      </w:pPr>
      <w:r w:rsidRPr="00D85FD2">
        <w:rPr>
          <w:rFonts w:ascii="Times New Roman" w:hAnsi="Times New Roman" w:cs="Times New Roman"/>
          <w:sz w:val="28"/>
          <w:szCs w:val="28"/>
        </w:rPr>
        <w:t>J</w:t>
      </w:r>
      <w:r w:rsidR="00B17D6D">
        <w:rPr>
          <w:rFonts w:ascii="Times New Roman" w:hAnsi="Times New Roman" w:cs="Times New Roman"/>
          <w:sz w:val="28"/>
          <w:szCs w:val="28"/>
        </w:rPr>
        <w:t>UDGE</w:t>
      </w:r>
      <w:r w:rsidRPr="00D85FD2">
        <w:rPr>
          <w:rFonts w:ascii="Times New Roman" w:hAnsi="Times New Roman" w:cs="Times New Roman"/>
          <w:sz w:val="28"/>
          <w:szCs w:val="28"/>
        </w:rPr>
        <w:t xml:space="preserve"> </w:t>
      </w:r>
      <w:r w:rsidR="00B17D6D">
        <w:rPr>
          <w:rFonts w:ascii="Times New Roman" w:hAnsi="Times New Roman" w:cs="Times New Roman"/>
          <w:sz w:val="28"/>
          <w:szCs w:val="28"/>
        </w:rPr>
        <w:t>OF</w:t>
      </w:r>
      <w:r w:rsidRPr="00D85FD2">
        <w:rPr>
          <w:rFonts w:ascii="Times New Roman" w:hAnsi="Times New Roman" w:cs="Times New Roman"/>
          <w:sz w:val="28"/>
          <w:szCs w:val="28"/>
        </w:rPr>
        <w:t xml:space="preserve"> A</w:t>
      </w:r>
      <w:r w:rsidR="00B17D6D">
        <w:rPr>
          <w:rFonts w:ascii="Times New Roman" w:hAnsi="Times New Roman" w:cs="Times New Roman"/>
          <w:sz w:val="28"/>
          <w:szCs w:val="28"/>
        </w:rPr>
        <w:t>PPEAL</w:t>
      </w:r>
    </w:p>
    <w:p w:rsidR="001E3316" w:rsidRDefault="001E3316" w:rsidP="000A67EA">
      <w:pPr>
        <w:spacing w:after="0" w:line="240" w:lineRule="auto"/>
        <w:jc w:val="right"/>
        <w:rPr>
          <w:rFonts w:ascii="Times New Roman" w:hAnsi="Times New Roman" w:cs="Times New Roman"/>
          <w:sz w:val="32"/>
          <w:szCs w:val="32"/>
        </w:rPr>
      </w:pPr>
    </w:p>
    <w:p w:rsidR="007A21CF" w:rsidRDefault="007A21CF" w:rsidP="006D58D2">
      <w:pPr>
        <w:spacing w:after="0" w:line="240" w:lineRule="auto"/>
        <w:rPr>
          <w:rFonts w:ascii="Times New Roman" w:hAnsi="Times New Roman" w:cs="Times New Roman"/>
          <w:sz w:val="32"/>
          <w:szCs w:val="32"/>
        </w:rPr>
      </w:pPr>
    </w:p>
    <w:p w:rsidR="00C2757D" w:rsidRDefault="00C2757D" w:rsidP="006D58D2">
      <w:pPr>
        <w:spacing w:after="0" w:line="240" w:lineRule="auto"/>
        <w:rPr>
          <w:rFonts w:ascii="Times New Roman" w:hAnsi="Times New Roman" w:cs="Times New Roman"/>
          <w:sz w:val="28"/>
          <w:szCs w:val="28"/>
        </w:rPr>
      </w:pPr>
    </w:p>
    <w:p w:rsidR="007A21CF" w:rsidRPr="00FA3A1A" w:rsidRDefault="007A21CF" w:rsidP="006D58D2">
      <w:pPr>
        <w:spacing w:after="0" w:line="240" w:lineRule="auto"/>
        <w:rPr>
          <w:rFonts w:ascii="Times New Roman" w:hAnsi="Times New Roman" w:cs="Times New Roman"/>
          <w:sz w:val="28"/>
          <w:szCs w:val="28"/>
        </w:rPr>
      </w:pPr>
    </w:p>
    <w:p w:rsidR="001E3316" w:rsidRPr="00FA3A1A" w:rsidRDefault="001E3316" w:rsidP="006D58D2">
      <w:pPr>
        <w:tabs>
          <w:tab w:val="left" w:pos="6810"/>
        </w:tabs>
        <w:spacing w:after="0" w:line="360" w:lineRule="auto"/>
        <w:jc w:val="right"/>
        <w:rPr>
          <w:rFonts w:ascii="Times New Roman" w:hAnsi="Times New Roman" w:cs="Times New Roman"/>
          <w:sz w:val="32"/>
          <w:szCs w:val="32"/>
        </w:rPr>
      </w:pPr>
      <w:r w:rsidRPr="00FA3A1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FA3A1A">
        <w:rPr>
          <w:rFonts w:ascii="Times New Roman" w:hAnsi="Times New Roman" w:cs="Times New Roman"/>
          <w:sz w:val="32"/>
          <w:szCs w:val="32"/>
        </w:rPr>
        <w:t xml:space="preserve"> </w:t>
      </w:r>
      <w:r w:rsidR="00B17D6D">
        <w:rPr>
          <w:rFonts w:ascii="Times New Roman" w:hAnsi="Times New Roman" w:cs="Times New Roman"/>
          <w:sz w:val="32"/>
          <w:szCs w:val="32"/>
        </w:rPr>
        <w:t>__</w:t>
      </w:r>
      <w:r w:rsidRPr="00FA3A1A">
        <w:rPr>
          <w:rFonts w:ascii="Times New Roman" w:hAnsi="Times New Roman" w:cs="Times New Roman"/>
          <w:sz w:val="32"/>
          <w:szCs w:val="32"/>
        </w:rPr>
        <w:t>___________________</w:t>
      </w:r>
      <w:r>
        <w:rPr>
          <w:rFonts w:ascii="Times New Roman" w:hAnsi="Times New Roman" w:cs="Times New Roman"/>
          <w:sz w:val="32"/>
          <w:szCs w:val="32"/>
        </w:rPr>
        <w:t>__</w:t>
      </w:r>
    </w:p>
    <w:p w:rsidR="001E3316" w:rsidRPr="00D85FD2" w:rsidRDefault="001E3316" w:rsidP="001E3316">
      <w:pPr>
        <w:spacing w:after="0" w:line="240" w:lineRule="auto"/>
        <w:jc w:val="right"/>
        <w:rPr>
          <w:rFonts w:ascii="Times New Roman" w:hAnsi="Times New Roman" w:cs="Times New Roman"/>
          <w:sz w:val="28"/>
          <w:szCs w:val="28"/>
        </w:rPr>
      </w:pPr>
      <w:r w:rsidRPr="00FA3A1A">
        <w:rPr>
          <w:rFonts w:ascii="Times New Roman" w:hAnsi="Times New Roman" w:cs="Times New Roman"/>
          <w:sz w:val="32"/>
          <w:szCs w:val="32"/>
        </w:rPr>
        <w:t xml:space="preserve">     </w:t>
      </w:r>
      <w:r w:rsidRPr="00FA3A1A">
        <w:rPr>
          <w:rFonts w:ascii="Times New Roman" w:hAnsi="Times New Roman" w:cs="Times New Roman"/>
          <w:sz w:val="32"/>
          <w:szCs w:val="32"/>
        </w:rPr>
        <w:tab/>
      </w:r>
      <w:r w:rsidRPr="00FA3A1A">
        <w:rPr>
          <w:rFonts w:ascii="Times New Roman" w:hAnsi="Times New Roman" w:cs="Times New Roman"/>
          <w:sz w:val="32"/>
          <w:szCs w:val="32"/>
        </w:rPr>
        <w:tab/>
      </w:r>
      <w:r w:rsidRPr="00FA3A1A">
        <w:rPr>
          <w:rFonts w:ascii="Times New Roman" w:hAnsi="Times New Roman" w:cs="Times New Roman"/>
          <w:sz w:val="32"/>
          <w:szCs w:val="32"/>
        </w:rPr>
        <w:tab/>
      </w:r>
      <w:r w:rsidRPr="00D85FD2">
        <w:rPr>
          <w:rFonts w:ascii="Times New Roman" w:hAnsi="Times New Roman" w:cs="Times New Roman"/>
          <w:sz w:val="28"/>
          <w:szCs w:val="28"/>
        </w:rPr>
        <w:t>C MUSI</w:t>
      </w:r>
    </w:p>
    <w:p w:rsidR="001E3316" w:rsidRPr="00924776" w:rsidRDefault="001E3316" w:rsidP="001E3316">
      <w:pPr>
        <w:spacing w:after="0" w:line="240" w:lineRule="auto"/>
        <w:jc w:val="right"/>
        <w:rPr>
          <w:rFonts w:ascii="Times New Roman" w:hAnsi="Times New Roman" w:cs="Times New Roman"/>
          <w:sz w:val="28"/>
          <w:szCs w:val="28"/>
        </w:rPr>
      </w:pPr>
      <w:r w:rsidRPr="00D85FD2">
        <w:rPr>
          <w:rFonts w:ascii="Times New Roman" w:hAnsi="Times New Roman" w:cs="Times New Roman"/>
          <w:sz w:val="28"/>
          <w:szCs w:val="28"/>
        </w:rPr>
        <w:t>A</w:t>
      </w:r>
      <w:r w:rsidR="00B17D6D">
        <w:rPr>
          <w:rFonts w:ascii="Times New Roman" w:hAnsi="Times New Roman" w:cs="Times New Roman"/>
          <w:sz w:val="28"/>
          <w:szCs w:val="28"/>
        </w:rPr>
        <w:t>CTING</w:t>
      </w:r>
      <w:r w:rsidRPr="00D85FD2">
        <w:rPr>
          <w:rFonts w:ascii="Times New Roman" w:hAnsi="Times New Roman" w:cs="Times New Roman"/>
          <w:sz w:val="28"/>
          <w:szCs w:val="28"/>
        </w:rPr>
        <w:t xml:space="preserve"> J</w:t>
      </w:r>
      <w:r w:rsidR="00B17D6D">
        <w:rPr>
          <w:rFonts w:ascii="Times New Roman" w:hAnsi="Times New Roman" w:cs="Times New Roman"/>
          <w:sz w:val="28"/>
          <w:szCs w:val="28"/>
        </w:rPr>
        <w:t>UDGE</w:t>
      </w:r>
      <w:r w:rsidRPr="00D85FD2">
        <w:rPr>
          <w:rFonts w:ascii="Times New Roman" w:hAnsi="Times New Roman" w:cs="Times New Roman"/>
          <w:sz w:val="28"/>
          <w:szCs w:val="28"/>
        </w:rPr>
        <w:t xml:space="preserve"> </w:t>
      </w:r>
      <w:r w:rsidR="00B17D6D">
        <w:rPr>
          <w:rFonts w:ascii="Times New Roman" w:hAnsi="Times New Roman" w:cs="Times New Roman"/>
          <w:sz w:val="28"/>
          <w:szCs w:val="28"/>
        </w:rPr>
        <w:t>OF</w:t>
      </w:r>
      <w:r w:rsidRPr="00D85FD2">
        <w:rPr>
          <w:rFonts w:ascii="Times New Roman" w:hAnsi="Times New Roman" w:cs="Times New Roman"/>
          <w:sz w:val="28"/>
          <w:szCs w:val="28"/>
        </w:rPr>
        <w:t xml:space="preserve"> A</w:t>
      </w:r>
      <w:r w:rsidR="00B17D6D">
        <w:rPr>
          <w:rFonts w:ascii="Times New Roman" w:hAnsi="Times New Roman" w:cs="Times New Roman"/>
          <w:sz w:val="28"/>
          <w:szCs w:val="28"/>
        </w:rPr>
        <w:t>PPEAL</w:t>
      </w:r>
      <w:r w:rsidRPr="00D85FD2">
        <w:rPr>
          <w:rFonts w:ascii="Times New Roman" w:hAnsi="Times New Roman" w:cs="Times New Roman"/>
          <w:sz w:val="28"/>
          <w:szCs w:val="28"/>
        </w:rPr>
        <w:t xml:space="preserve"> </w:t>
      </w:r>
    </w:p>
    <w:p w:rsidR="000A19A4" w:rsidRPr="006D58D2" w:rsidRDefault="000A19A4" w:rsidP="00924776">
      <w:pPr>
        <w:spacing w:after="0" w:line="240" w:lineRule="auto"/>
        <w:jc w:val="right"/>
        <w:rPr>
          <w:rFonts w:ascii="Times New Roman" w:hAnsi="Times New Roman" w:cs="Times New Roman"/>
          <w:sz w:val="28"/>
          <w:szCs w:val="28"/>
        </w:rPr>
      </w:pPr>
    </w:p>
    <w:p w:rsidR="00CB25E2" w:rsidRDefault="00CB25E2" w:rsidP="005858A5">
      <w:pPr>
        <w:spacing w:after="0" w:line="360" w:lineRule="auto"/>
        <w:jc w:val="both"/>
        <w:rPr>
          <w:rFonts w:ascii="Times New Roman" w:eastAsia="Times New Roman" w:hAnsi="Times New Roman" w:cs="Times New Roman"/>
          <w:sz w:val="28"/>
          <w:szCs w:val="28"/>
          <w:lang w:val="en-GB" w:eastAsia="en-GB"/>
        </w:rPr>
      </w:pPr>
    </w:p>
    <w:p w:rsidR="00CB25E2" w:rsidRDefault="00CB25E2" w:rsidP="005858A5">
      <w:pPr>
        <w:spacing w:after="0" w:line="360" w:lineRule="auto"/>
        <w:jc w:val="both"/>
        <w:rPr>
          <w:rFonts w:ascii="Times New Roman" w:eastAsia="Times New Roman" w:hAnsi="Times New Roman" w:cs="Times New Roman"/>
          <w:sz w:val="28"/>
          <w:szCs w:val="28"/>
          <w:lang w:val="en-GB" w:eastAsia="en-GB"/>
        </w:rPr>
      </w:pPr>
    </w:p>
    <w:p w:rsidR="0043068F" w:rsidRDefault="0043068F" w:rsidP="005858A5">
      <w:pPr>
        <w:spacing w:after="0" w:line="360" w:lineRule="auto"/>
        <w:jc w:val="both"/>
        <w:rPr>
          <w:rFonts w:ascii="Times New Roman" w:eastAsia="Times New Roman" w:hAnsi="Times New Roman" w:cs="Times New Roman"/>
          <w:sz w:val="28"/>
          <w:szCs w:val="28"/>
          <w:lang w:val="en-GB" w:eastAsia="en-GB"/>
        </w:rPr>
      </w:pPr>
    </w:p>
    <w:p w:rsidR="0043068F" w:rsidRDefault="0043068F" w:rsidP="005858A5">
      <w:pPr>
        <w:spacing w:after="0" w:line="360" w:lineRule="auto"/>
        <w:jc w:val="both"/>
        <w:rPr>
          <w:rFonts w:ascii="Times New Roman" w:eastAsia="Times New Roman" w:hAnsi="Times New Roman" w:cs="Times New Roman"/>
          <w:sz w:val="28"/>
          <w:szCs w:val="28"/>
          <w:lang w:val="en-GB" w:eastAsia="en-GB"/>
        </w:rPr>
      </w:pPr>
    </w:p>
    <w:p w:rsidR="0043068F" w:rsidRDefault="0043068F" w:rsidP="005858A5">
      <w:pPr>
        <w:spacing w:after="0" w:line="360" w:lineRule="auto"/>
        <w:jc w:val="both"/>
        <w:rPr>
          <w:rFonts w:ascii="Times New Roman" w:eastAsia="Times New Roman" w:hAnsi="Times New Roman" w:cs="Times New Roman"/>
          <w:sz w:val="28"/>
          <w:szCs w:val="28"/>
          <w:lang w:val="en-GB" w:eastAsia="en-GB"/>
        </w:rPr>
      </w:pPr>
    </w:p>
    <w:p w:rsidR="0043068F" w:rsidRDefault="0043068F" w:rsidP="005858A5">
      <w:pPr>
        <w:spacing w:after="0" w:line="360" w:lineRule="auto"/>
        <w:jc w:val="both"/>
        <w:rPr>
          <w:rFonts w:ascii="Times New Roman" w:eastAsia="Times New Roman" w:hAnsi="Times New Roman" w:cs="Times New Roman"/>
          <w:sz w:val="28"/>
          <w:szCs w:val="28"/>
          <w:lang w:val="en-GB" w:eastAsia="en-GB"/>
        </w:rPr>
      </w:pPr>
    </w:p>
    <w:p w:rsidR="0043068F" w:rsidRDefault="0043068F" w:rsidP="005858A5">
      <w:pPr>
        <w:spacing w:after="0" w:line="360" w:lineRule="auto"/>
        <w:jc w:val="both"/>
        <w:rPr>
          <w:rFonts w:ascii="Times New Roman" w:eastAsia="Times New Roman" w:hAnsi="Times New Roman" w:cs="Times New Roman"/>
          <w:sz w:val="28"/>
          <w:szCs w:val="28"/>
          <w:lang w:val="en-GB" w:eastAsia="en-GB"/>
        </w:rPr>
      </w:pPr>
    </w:p>
    <w:p w:rsidR="0043068F" w:rsidRDefault="0043068F" w:rsidP="005858A5">
      <w:pPr>
        <w:spacing w:after="0" w:line="360" w:lineRule="auto"/>
        <w:jc w:val="both"/>
        <w:rPr>
          <w:rFonts w:ascii="Times New Roman" w:eastAsia="Times New Roman" w:hAnsi="Times New Roman" w:cs="Times New Roman"/>
          <w:sz w:val="28"/>
          <w:szCs w:val="28"/>
          <w:lang w:val="en-GB" w:eastAsia="en-GB"/>
        </w:rPr>
      </w:pPr>
    </w:p>
    <w:p w:rsidR="0043068F" w:rsidRDefault="0043068F" w:rsidP="005858A5">
      <w:pPr>
        <w:spacing w:after="0" w:line="360" w:lineRule="auto"/>
        <w:jc w:val="both"/>
        <w:rPr>
          <w:rFonts w:ascii="Times New Roman" w:eastAsia="Times New Roman" w:hAnsi="Times New Roman" w:cs="Times New Roman"/>
          <w:sz w:val="28"/>
          <w:szCs w:val="28"/>
          <w:lang w:val="en-GB" w:eastAsia="en-GB"/>
        </w:rPr>
      </w:pPr>
    </w:p>
    <w:p w:rsidR="0043068F" w:rsidRDefault="0043068F"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C2757D" w:rsidRDefault="00C2757D" w:rsidP="005858A5">
      <w:pPr>
        <w:spacing w:after="0" w:line="360" w:lineRule="auto"/>
        <w:jc w:val="both"/>
        <w:rPr>
          <w:rFonts w:ascii="Times New Roman" w:eastAsia="Times New Roman" w:hAnsi="Times New Roman" w:cs="Times New Roman"/>
          <w:sz w:val="28"/>
          <w:szCs w:val="28"/>
          <w:lang w:val="en-GB" w:eastAsia="en-GB"/>
        </w:rPr>
      </w:pPr>
    </w:p>
    <w:p w:rsidR="005858A5" w:rsidRDefault="005858A5" w:rsidP="005858A5">
      <w:pPr>
        <w:spacing w:after="0" w:line="360" w:lineRule="auto"/>
        <w:jc w:val="both"/>
        <w:rPr>
          <w:rFonts w:ascii="Times New Roman" w:eastAsia="Times New Roman" w:hAnsi="Times New Roman" w:cs="Times New Roman"/>
          <w:sz w:val="28"/>
          <w:szCs w:val="28"/>
          <w:lang w:val="en-GB" w:eastAsia="en-GB"/>
        </w:rPr>
      </w:pPr>
      <w:r w:rsidRPr="005858A5">
        <w:rPr>
          <w:rFonts w:ascii="Times New Roman" w:eastAsia="Times New Roman" w:hAnsi="Times New Roman" w:cs="Times New Roman"/>
          <w:sz w:val="28"/>
          <w:szCs w:val="28"/>
          <w:lang w:val="en-GB" w:eastAsia="en-GB"/>
        </w:rPr>
        <w:lastRenderedPageBreak/>
        <w:t>Appearances</w:t>
      </w:r>
      <w:r w:rsidR="007A21CF">
        <w:rPr>
          <w:rFonts w:ascii="Times New Roman" w:eastAsia="Times New Roman" w:hAnsi="Times New Roman" w:cs="Times New Roman"/>
          <w:sz w:val="28"/>
          <w:szCs w:val="28"/>
          <w:lang w:val="en-GB" w:eastAsia="en-GB"/>
        </w:rPr>
        <w:t>:</w:t>
      </w:r>
    </w:p>
    <w:p w:rsidR="005858A5" w:rsidRDefault="005858A5" w:rsidP="005858A5">
      <w:pPr>
        <w:spacing w:after="0" w:line="360" w:lineRule="auto"/>
        <w:jc w:val="both"/>
        <w:rPr>
          <w:rFonts w:ascii="Times New Roman" w:eastAsia="Times New Roman" w:hAnsi="Times New Roman" w:cs="Times New Roman"/>
          <w:sz w:val="28"/>
          <w:szCs w:val="28"/>
          <w:lang w:val="en-GB" w:eastAsia="en-GB"/>
        </w:rPr>
      </w:pPr>
    </w:p>
    <w:p w:rsidR="005858A5" w:rsidRPr="005858A5" w:rsidRDefault="00914D2C" w:rsidP="005C4930">
      <w:pPr>
        <w:spacing w:after="0" w:line="36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F</w:t>
      </w:r>
      <w:r w:rsidR="005858A5" w:rsidRPr="005858A5">
        <w:rPr>
          <w:rFonts w:ascii="Times New Roman" w:eastAsia="Times New Roman" w:hAnsi="Times New Roman" w:cs="Times New Roman"/>
          <w:sz w:val="28"/>
          <w:szCs w:val="28"/>
          <w:lang w:val="en-GB" w:eastAsia="en-GB"/>
        </w:rPr>
        <w:t>or</w:t>
      </w:r>
      <w:r w:rsidR="00B17D6D">
        <w:rPr>
          <w:rFonts w:ascii="Times New Roman" w:eastAsia="Times New Roman" w:hAnsi="Times New Roman" w:cs="Times New Roman"/>
          <w:sz w:val="28"/>
          <w:szCs w:val="28"/>
          <w:lang w:val="en-GB" w:eastAsia="en-GB"/>
        </w:rPr>
        <w:t xml:space="preserve"> the</w:t>
      </w:r>
      <w:r w:rsidR="005858A5" w:rsidRPr="005858A5">
        <w:rPr>
          <w:rFonts w:ascii="Times New Roman" w:eastAsia="Times New Roman" w:hAnsi="Times New Roman" w:cs="Times New Roman"/>
          <w:sz w:val="28"/>
          <w:szCs w:val="28"/>
          <w:lang w:val="en-GB" w:eastAsia="en-GB"/>
        </w:rPr>
        <w:t xml:space="preserve"> appellant:</w:t>
      </w:r>
      <w:r w:rsidR="005858A5" w:rsidRPr="005858A5">
        <w:rPr>
          <w:rFonts w:ascii="Times New Roman" w:eastAsia="Times New Roman" w:hAnsi="Times New Roman" w:cs="Times New Roman"/>
          <w:sz w:val="28"/>
          <w:szCs w:val="28"/>
          <w:lang w:val="en-GB" w:eastAsia="en-GB"/>
        </w:rPr>
        <w:tab/>
      </w:r>
      <w:r w:rsidR="00B17D6D">
        <w:rPr>
          <w:rFonts w:ascii="Times New Roman" w:eastAsia="Times New Roman" w:hAnsi="Times New Roman" w:cs="Times New Roman"/>
          <w:sz w:val="28"/>
          <w:szCs w:val="28"/>
          <w:lang w:val="en-GB" w:eastAsia="en-GB"/>
        </w:rPr>
        <w:tab/>
      </w:r>
      <w:r w:rsidR="007A21CF">
        <w:rPr>
          <w:rFonts w:ascii="Times New Roman" w:eastAsia="Times New Roman" w:hAnsi="Times New Roman" w:cs="Times New Roman"/>
          <w:sz w:val="28"/>
          <w:szCs w:val="28"/>
          <w:lang w:val="en-GB" w:eastAsia="en-GB"/>
        </w:rPr>
        <w:t xml:space="preserve">                    </w:t>
      </w:r>
      <w:r w:rsidR="005858A5">
        <w:rPr>
          <w:rFonts w:ascii="Times New Roman" w:eastAsia="Times New Roman" w:hAnsi="Times New Roman" w:cs="Times New Roman"/>
          <w:sz w:val="28"/>
          <w:szCs w:val="28"/>
          <w:lang w:val="en-GB" w:eastAsia="en-GB"/>
        </w:rPr>
        <w:t>J Pammenter SC with N Xulu</w:t>
      </w:r>
      <w:r w:rsidR="00264C8F">
        <w:rPr>
          <w:rFonts w:ascii="Times New Roman" w:eastAsia="Times New Roman" w:hAnsi="Times New Roman" w:cs="Times New Roman"/>
          <w:sz w:val="28"/>
          <w:szCs w:val="28"/>
          <w:lang w:val="en-GB" w:eastAsia="en-GB"/>
        </w:rPr>
        <w:t xml:space="preserve"> </w:t>
      </w:r>
    </w:p>
    <w:p w:rsidR="005858A5" w:rsidRPr="005858A5" w:rsidRDefault="005858A5" w:rsidP="005858A5">
      <w:pPr>
        <w:spacing w:after="0" w:line="360" w:lineRule="auto"/>
        <w:jc w:val="both"/>
        <w:rPr>
          <w:rFonts w:ascii="Times New Roman" w:eastAsia="Times New Roman" w:hAnsi="Times New Roman" w:cs="Times New Roman"/>
          <w:sz w:val="28"/>
          <w:szCs w:val="28"/>
          <w:lang w:val="en-GB" w:eastAsia="en-GB"/>
        </w:rPr>
      </w:pPr>
      <w:r w:rsidRPr="005858A5">
        <w:rPr>
          <w:rFonts w:ascii="Times New Roman" w:eastAsia="Times New Roman" w:hAnsi="Times New Roman" w:cs="Times New Roman"/>
          <w:sz w:val="28"/>
          <w:szCs w:val="28"/>
          <w:lang w:val="en-GB" w:eastAsia="en-GB"/>
        </w:rPr>
        <w:t>Instructed by:</w:t>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006D58D2" w:rsidRPr="005858A5">
        <w:rPr>
          <w:rFonts w:ascii="Times New Roman" w:eastAsia="Times New Roman" w:hAnsi="Times New Roman" w:cs="Times New Roman"/>
          <w:sz w:val="28"/>
          <w:szCs w:val="28"/>
          <w:lang w:val="en-GB" w:eastAsia="en-GB"/>
        </w:rPr>
        <w:tab/>
      </w:r>
      <w:r w:rsidR="00B17D6D">
        <w:rPr>
          <w:rFonts w:ascii="Times New Roman" w:eastAsia="Times New Roman" w:hAnsi="Times New Roman" w:cs="Times New Roman"/>
          <w:sz w:val="28"/>
          <w:szCs w:val="28"/>
          <w:lang w:val="en-GB" w:eastAsia="en-GB"/>
        </w:rPr>
        <w:tab/>
      </w:r>
      <w:r w:rsidR="006D58D2">
        <w:rPr>
          <w:rFonts w:ascii="Times New Roman" w:eastAsia="Times New Roman" w:hAnsi="Times New Roman" w:cs="Times New Roman"/>
          <w:sz w:val="28"/>
          <w:szCs w:val="28"/>
          <w:lang w:val="en-GB" w:eastAsia="en-GB"/>
        </w:rPr>
        <w:t>BM</w:t>
      </w:r>
      <w:r>
        <w:rPr>
          <w:rFonts w:ascii="Times New Roman" w:eastAsia="Times New Roman" w:hAnsi="Times New Roman" w:cs="Times New Roman"/>
          <w:sz w:val="28"/>
          <w:szCs w:val="28"/>
          <w:lang w:val="en-GB" w:eastAsia="en-GB"/>
        </w:rPr>
        <w:t xml:space="preserve"> Thusini</w:t>
      </w:r>
      <w:r w:rsidRPr="005858A5">
        <w:rPr>
          <w:rFonts w:ascii="Times New Roman" w:eastAsia="Times New Roman" w:hAnsi="Times New Roman" w:cs="Times New Roman"/>
          <w:sz w:val="28"/>
          <w:szCs w:val="28"/>
          <w:lang w:val="en-GB" w:eastAsia="en-GB"/>
        </w:rPr>
        <w:t xml:space="preserve"> Inc</w:t>
      </w:r>
      <w:r w:rsidR="00914D2C">
        <w:rPr>
          <w:rFonts w:ascii="Times New Roman" w:eastAsia="Times New Roman" w:hAnsi="Times New Roman" w:cs="Times New Roman"/>
          <w:sz w:val="28"/>
          <w:szCs w:val="28"/>
          <w:lang w:val="en-GB" w:eastAsia="en-GB"/>
        </w:rPr>
        <w:t>.</w:t>
      </w:r>
      <w:r w:rsidRPr="005858A5">
        <w:rPr>
          <w:rFonts w:ascii="Times New Roman" w:eastAsia="Times New Roman" w:hAnsi="Times New Roman" w:cs="Times New Roman"/>
          <w:sz w:val="28"/>
          <w:szCs w:val="28"/>
          <w:lang w:val="en-GB" w:eastAsia="en-GB"/>
        </w:rPr>
        <w:t>,</w:t>
      </w:r>
      <w:r w:rsidR="006923A9">
        <w:rPr>
          <w:rFonts w:ascii="Times New Roman" w:eastAsia="Times New Roman" w:hAnsi="Times New Roman" w:cs="Times New Roman"/>
          <w:sz w:val="28"/>
          <w:szCs w:val="28"/>
          <w:lang w:val="en-GB" w:eastAsia="en-GB"/>
        </w:rPr>
        <w:t xml:space="preserve"> </w:t>
      </w:r>
      <w:r>
        <w:rPr>
          <w:rFonts w:ascii="Times New Roman" w:eastAsia="Times New Roman" w:hAnsi="Times New Roman" w:cs="Times New Roman"/>
          <w:sz w:val="28"/>
          <w:szCs w:val="28"/>
          <w:lang w:val="en-GB" w:eastAsia="en-GB"/>
        </w:rPr>
        <w:t>Vryheid</w:t>
      </w:r>
    </w:p>
    <w:p w:rsidR="005858A5" w:rsidRDefault="005858A5" w:rsidP="005858A5">
      <w:pPr>
        <w:spacing w:after="0" w:line="360" w:lineRule="auto"/>
        <w:jc w:val="both"/>
        <w:rPr>
          <w:rFonts w:ascii="Times New Roman" w:eastAsia="Times New Roman" w:hAnsi="Times New Roman" w:cs="Times New Roman"/>
          <w:sz w:val="28"/>
          <w:szCs w:val="28"/>
          <w:lang w:val="en-GB" w:eastAsia="en-GB"/>
        </w:rPr>
      </w:pP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00B17D6D">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Peyper &amp; Botha</w:t>
      </w:r>
      <w:r w:rsidRPr="005858A5">
        <w:rPr>
          <w:rFonts w:ascii="Times New Roman" w:eastAsia="Times New Roman" w:hAnsi="Times New Roman" w:cs="Times New Roman"/>
          <w:sz w:val="28"/>
          <w:szCs w:val="28"/>
          <w:lang w:val="en-GB" w:eastAsia="en-GB"/>
        </w:rPr>
        <w:t xml:space="preserve"> </w:t>
      </w:r>
      <w:r w:rsidR="00264C8F">
        <w:rPr>
          <w:rFonts w:ascii="Times New Roman" w:eastAsia="Times New Roman" w:hAnsi="Times New Roman" w:cs="Times New Roman"/>
          <w:sz w:val="28"/>
          <w:szCs w:val="28"/>
          <w:lang w:val="en-GB" w:eastAsia="en-GB"/>
        </w:rPr>
        <w:t>A</w:t>
      </w:r>
      <w:r w:rsidRPr="005858A5">
        <w:rPr>
          <w:rFonts w:ascii="Times New Roman" w:eastAsia="Times New Roman" w:hAnsi="Times New Roman" w:cs="Times New Roman"/>
          <w:sz w:val="28"/>
          <w:szCs w:val="28"/>
          <w:lang w:val="en-GB" w:eastAsia="en-GB"/>
        </w:rPr>
        <w:t>ttorneys,</w:t>
      </w:r>
      <w:r w:rsidR="007F6744">
        <w:rPr>
          <w:rFonts w:ascii="Times New Roman" w:eastAsia="Times New Roman" w:hAnsi="Times New Roman" w:cs="Times New Roman"/>
          <w:sz w:val="28"/>
          <w:szCs w:val="28"/>
          <w:lang w:val="en-GB" w:eastAsia="en-GB"/>
        </w:rPr>
        <w:t xml:space="preserve"> </w:t>
      </w:r>
      <w:r w:rsidRPr="005858A5">
        <w:rPr>
          <w:rFonts w:ascii="Times New Roman" w:eastAsia="Times New Roman" w:hAnsi="Times New Roman" w:cs="Times New Roman"/>
          <w:sz w:val="28"/>
          <w:szCs w:val="28"/>
          <w:lang w:val="en-GB" w:eastAsia="en-GB"/>
        </w:rPr>
        <w:t>Bloemfontein</w:t>
      </w:r>
    </w:p>
    <w:p w:rsidR="00995380" w:rsidRPr="005858A5" w:rsidRDefault="00995380" w:rsidP="005858A5">
      <w:pPr>
        <w:spacing w:after="0" w:line="360" w:lineRule="auto"/>
        <w:jc w:val="both"/>
        <w:rPr>
          <w:rFonts w:ascii="Times New Roman" w:eastAsia="Times New Roman" w:hAnsi="Times New Roman" w:cs="Times New Roman"/>
          <w:sz w:val="28"/>
          <w:szCs w:val="28"/>
          <w:lang w:val="en-GB" w:eastAsia="en-GB"/>
        </w:rPr>
      </w:pPr>
    </w:p>
    <w:p w:rsidR="00995380" w:rsidRPr="005858A5" w:rsidRDefault="00914D2C" w:rsidP="00995380">
      <w:pPr>
        <w:spacing w:after="0" w:line="36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F</w:t>
      </w:r>
      <w:r w:rsidR="00995380" w:rsidRPr="005858A5">
        <w:rPr>
          <w:rFonts w:ascii="Times New Roman" w:eastAsia="Times New Roman" w:hAnsi="Times New Roman" w:cs="Times New Roman"/>
          <w:sz w:val="28"/>
          <w:szCs w:val="28"/>
          <w:lang w:val="en-GB" w:eastAsia="en-GB"/>
        </w:rPr>
        <w:t xml:space="preserve">or </w:t>
      </w:r>
      <w:r w:rsidR="00995380">
        <w:rPr>
          <w:rFonts w:ascii="Times New Roman" w:eastAsia="Times New Roman" w:hAnsi="Times New Roman" w:cs="Times New Roman"/>
          <w:sz w:val="28"/>
          <w:szCs w:val="28"/>
          <w:lang w:val="en-GB" w:eastAsia="en-GB"/>
        </w:rPr>
        <w:t>second r</w:t>
      </w:r>
      <w:r w:rsidR="00995380" w:rsidRPr="005858A5">
        <w:rPr>
          <w:rFonts w:ascii="Times New Roman" w:eastAsia="Times New Roman" w:hAnsi="Times New Roman" w:cs="Times New Roman"/>
          <w:sz w:val="28"/>
          <w:szCs w:val="28"/>
          <w:lang w:val="en-GB" w:eastAsia="en-GB"/>
        </w:rPr>
        <w:t>espondent</w:t>
      </w:r>
      <w:r w:rsidR="00995380">
        <w:rPr>
          <w:rFonts w:ascii="Times New Roman" w:eastAsia="Times New Roman" w:hAnsi="Times New Roman" w:cs="Times New Roman"/>
          <w:sz w:val="28"/>
          <w:szCs w:val="28"/>
          <w:lang w:val="en-GB" w:eastAsia="en-GB"/>
        </w:rPr>
        <w:t>:</w:t>
      </w:r>
      <w:r w:rsidR="00995380">
        <w:rPr>
          <w:rFonts w:ascii="Times New Roman" w:eastAsia="Times New Roman" w:hAnsi="Times New Roman" w:cs="Times New Roman"/>
          <w:sz w:val="28"/>
          <w:szCs w:val="28"/>
          <w:lang w:val="en-GB" w:eastAsia="en-GB"/>
        </w:rPr>
        <w:tab/>
      </w:r>
      <w:r w:rsidR="007A21CF">
        <w:rPr>
          <w:rFonts w:ascii="Times New Roman" w:eastAsia="Times New Roman" w:hAnsi="Times New Roman" w:cs="Times New Roman"/>
          <w:sz w:val="28"/>
          <w:szCs w:val="28"/>
          <w:lang w:val="en-GB" w:eastAsia="en-GB"/>
        </w:rPr>
        <w:t xml:space="preserve">                    </w:t>
      </w:r>
      <w:r w:rsidR="00995380">
        <w:rPr>
          <w:rFonts w:ascii="Times New Roman" w:eastAsia="Times New Roman" w:hAnsi="Times New Roman" w:cs="Times New Roman"/>
          <w:sz w:val="28"/>
          <w:szCs w:val="28"/>
          <w:lang w:val="en-GB" w:eastAsia="en-GB"/>
        </w:rPr>
        <w:t>TG</w:t>
      </w:r>
      <w:r w:rsidR="00995380" w:rsidRPr="005858A5">
        <w:rPr>
          <w:rFonts w:ascii="Times New Roman" w:eastAsia="Times New Roman" w:hAnsi="Times New Roman" w:cs="Times New Roman"/>
          <w:sz w:val="28"/>
          <w:szCs w:val="28"/>
          <w:lang w:val="en-GB" w:eastAsia="en-GB"/>
        </w:rPr>
        <w:t xml:space="preserve"> Madonsela</w:t>
      </w:r>
      <w:r w:rsidR="00995380">
        <w:rPr>
          <w:rFonts w:ascii="Times New Roman" w:eastAsia="Times New Roman" w:hAnsi="Times New Roman" w:cs="Times New Roman"/>
          <w:sz w:val="28"/>
          <w:szCs w:val="28"/>
          <w:lang w:val="en-GB" w:eastAsia="en-GB"/>
        </w:rPr>
        <w:t xml:space="preserve"> SC</w:t>
      </w:r>
      <w:r w:rsidR="00995380" w:rsidRPr="005858A5">
        <w:rPr>
          <w:rFonts w:ascii="Times New Roman" w:eastAsia="Times New Roman" w:hAnsi="Times New Roman" w:cs="Times New Roman"/>
          <w:sz w:val="28"/>
          <w:szCs w:val="28"/>
          <w:lang w:val="en-GB" w:eastAsia="en-GB"/>
        </w:rPr>
        <w:t xml:space="preserve"> </w:t>
      </w:r>
      <w:r w:rsidR="00995380">
        <w:rPr>
          <w:rFonts w:ascii="Times New Roman" w:eastAsia="Times New Roman" w:hAnsi="Times New Roman" w:cs="Times New Roman"/>
          <w:sz w:val="28"/>
          <w:szCs w:val="28"/>
          <w:lang w:val="en-GB" w:eastAsia="en-GB"/>
        </w:rPr>
        <w:t xml:space="preserve">with </w:t>
      </w:r>
      <w:r w:rsidR="00995380" w:rsidRPr="005858A5">
        <w:rPr>
          <w:rFonts w:ascii="Times New Roman" w:eastAsia="Times New Roman" w:hAnsi="Times New Roman" w:cs="Times New Roman"/>
          <w:sz w:val="28"/>
          <w:szCs w:val="28"/>
          <w:lang w:val="en-GB" w:eastAsia="en-GB"/>
        </w:rPr>
        <w:t>T Palmer</w:t>
      </w:r>
    </w:p>
    <w:p w:rsidR="00995380" w:rsidRPr="005858A5" w:rsidRDefault="00995380" w:rsidP="00995380">
      <w:pPr>
        <w:spacing w:after="0" w:line="360" w:lineRule="auto"/>
        <w:jc w:val="both"/>
        <w:rPr>
          <w:rFonts w:ascii="Times New Roman" w:eastAsia="Times New Roman" w:hAnsi="Times New Roman" w:cs="Times New Roman"/>
          <w:sz w:val="28"/>
          <w:szCs w:val="28"/>
          <w:lang w:val="en-GB" w:eastAsia="en-GB"/>
        </w:rPr>
      </w:pPr>
      <w:r w:rsidRPr="005858A5">
        <w:rPr>
          <w:rFonts w:ascii="Times New Roman" w:eastAsia="Times New Roman" w:hAnsi="Times New Roman" w:cs="Times New Roman"/>
          <w:sz w:val="28"/>
          <w:szCs w:val="28"/>
          <w:lang w:val="en-GB" w:eastAsia="en-GB"/>
        </w:rPr>
        <w:t>Instructed by:</w:t>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 xml:space="preserve">   </w:t>
      </w:r>
      <w:r>
        <w:rPr>
          <w:rFonts w:ascii="Times New Roman" w:eastAsia="Times New Roman" w:hAnsi="Times New Roman" w:cs="Times New Roman"/>
          <w:sz w:val="28"/>
          <w:szCs w:val="28"/>
          <w:lang w:val="en-GB" w:eastAsia="en-GB"/>
        </w:rPr>
        <w:tab/>
        <w:t>Strauss Daly Inc</w:t>
      </w:r>
      <w:r w:rsidR="00914D2C">
        <w:rPr>
          <w:rFonts w:ascii="Times New Roman" w:eastAsia="Times New Roman" w:hAnsi="Times New Roman" w:cs="Times New Roman"/>
          <w:sz w:val="28"/>
          <w:szCs w:val="28"/>
          <w:lang w:val="en-GB" w:eastAsia="en-GB"/>
        </w:rPr>
        <w:t>.</w:t>
      </w:r>
      <w:r>
        <w:rPr>
          <w:rFonts w:ascii="Times New Roman" w:eastAsia="Times New Roman" w:hAnsi="Times New Roman" w:cs="Times New Roman"/>
          <w:sz w:val="28"/>
          <w:szCs w:val="28"/>
          <w:lang w:val="en-GB" w:eastAsia="en-GB"/>
        </w:rPr>
        <w:t>, Durban</w:t>
      </w:r>
    </w:p>
    <w:p w:rsidR="00995380" w:rsidRDefault="00995380" w:rsidP="00995380">
      <w:pPr>
        <w:spacing w:after="0" w:line="360" w:lineRule="auto"/>
        <w:jc w:val="both"/>
        <w:rPr>
          <w:rFonts w:ascii="Times New Roman" w:eastAsia="Times New Roman" w:hAnsi="Times New Roman" w:cs="Times New Roman"/>
          <w:sz w:val="28"/>
          <w:szCs w:val="28"/>
          <w:lang w:val="en-GB" w:eastAsia="en-GB"/>
        </w:rPr>
      </w:pP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 xml:space="preserve">   </w:t>
      </w:r>
      <w:r>
        <w:rPr>
          <w:rFonts w:ascii="Times New Roman" w:eastAsia="Times New Roman" w:hAnsi="Times New Roman" w:cs="Times New Roman"/>
          <w:sz w:val="28"/>
          <w:szCs w:val="28"/>
          <w:lang w:val="en-GB" w:eastAsia="en-GB"/>
        </w:rPr>
        <w:tab/>
        <w:t>Bezuidenhouts</w:t>
      </w:r>
      <w:r w:rsidRPr="005858A5">
        <w:rPr>
          <w:rFonts w:ascii="Times New Roman" w:eastAsia="Times New Roman" w:hAnsi="Times New Roman" w:cs="Times New Roman"/>
          <w:sz w:val="28"/>
          <w:szCs w:val="28"/>
          <w:lang w:val="en-GB" w:eastAsia="en-GB"/>
        </w:rPr>
        <w:t xml:space="preserve"> </w:t>
      </w:r>
      <w:r>
        <w:rPr>
          <w:rFonts w:ascii="Times New Roman" w:eastAsia="Times New Roman" w:hAnsi="Times New Roman" w:cs="Times New Roman"/>
          <w:sz w:val="28"/>
          <w:szCs w:val="28"/>
          <w:lang w:val="en-GB" w:eastAsia="en-GB"/>
        </w:rPr>
        <w:t>Inc</w:t>
      </w:r>
      <w:r w:rsidRPr="005858A5">
        <w:rPr>
          <w:rFonts w:ascii="Times New Roman" w:eastAsia="Times New Roman" w:hAnsi="Times New Roman" w:cs="Times New Roman"/>
          <w:sz w:val="28"/>
          <w:szCs w:val="28"/>
          <w:lang w:val="en-GB" w:eastAsia="en-GB"/>
        </w:rPr>
        <w:t>,</w:t>
      </w:r>
      <w:r>
        <w:rPr>
          <w:rFonts w:ascii="Times New Roman" w:eastAsia="Times New Roman" w:hAnsi="Times New Roman" w:cs="Times New Roman"/>
          <w:sz w:val="28"/>
          <w:szCs w:val="28"/>
          <w:lang w:val="en-GB" w:eastAsia="en-GB"/>
        </w:rPr>
        <w:t xml:space="preserve"> </w:t>
      </w:r>
      <w:r w:rsidRPr="005858A5">
        <w:rPr>
          <w:rFonts w:ascii="Times New Roman" w:eastAsia="Times New Roman" w:hAnsi="Times New Roman" w:cs="Times New Roman"/>
          <w:sz w:val="28"/>
          <w:szCs w:val="28"/>
          <w:lang w:val="en-GB" w:eastAsia="en-GB"/>
        </w:rPr>
        <w:t>Bloemfontein</w:t>
      </w:r>
    </w:p>
    <w:p w:rsidR="005858A5" w:rsidRPr="005858A5" w:rsidRDefault="005858A5" w:rsidP="005858A5">
      <w:pPr>
        <w:spacing w:after="0" w:line="360" w:lineRule="auto"/>
        <w:jc w:val="both"/>
        <w:rPr>
          <w:rFonts w:ascii="Times New Roman" w:eastAsia="Times New Roman" w:hAnsi="Times New Roman" w:cs="Times New Roman"/>
          <w:sz w:val="28"/>
          <w:szCs w:val="28"/>
          <w:lang w:val="en-GB" w:eastAsia="en-GB"/>
        </w:rPr>
      </w:pPr>
    </w:p>
    <w:p w:rsidR="00995380" w:rsidRDefault="00914D2C" w:rsidP="005858A5">
      <w:pPr>
        <w:spacing w:after="0" w:line="360" w:lineRule="auto"/>
        <w:ind w:left="3600" w:hanging="3600"/>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F</w:t>
      </w:r>
      <w:r w:rsidR="005858A5" w:rsidRPr="005858A5">
        <w:rPr>
          <w:rFonts w:ascii="Times New Roman" w:eastAsia="Times New Roman" w:hAnsi="Times New Roman" w:cs="Times New Roman"/>
          <w:sz w:val="28"/>
          <w:szCs w:val="28"/>
          <w:lang w:val="en-GB" w:eastAsia="en-GB"/>
        </w:rPr>
        <w:t>or</w:t>
      </w:r>
      <w:r w:rsidR="007F6744">
        <w:rPr>
          <w:rFonts w:ascii="Times New Roman" w:eastAsia="Times New Roman" w:hAnsi="Times New Roman" w:cs="Times New Roman"/>
          <w:sz w:val="28"/>
          <w:szCs w:val="28"/>
          <w:lang w:val="en-GB" w:eastAsia="en-GB"/>
        </w:rPr>
        <w:t xml:space="preserve"> </w:t>
      </w:r>
      <w:r w:rsidR="00995380">
        <w:rPr>
          <w:rFonts w:ascii="Times New Roman" w:eastAsia="Times New Roman" w:hAnsi="Times New Roman" w:cs="Times New Roman"/>
          <w:sz w:val="28"/>
          <w:szCs w:val="28"/>
          <w:lang w:val="en-GB" w:eastAsia="en-GB"/>
        </w:rPr>
        <w:t xml:space="preserve">third, fourth, fifth, </w:t>
      </w:r>
    </w:p>
    <w:p w:rsidR="005858A5" w:rsidRPr="005858A5" w:rsidRDefault="00995380" w:rsidP="005858A5">
      <w:pPr>
        <w:spacing w:after="0" w:line="360" w:lineRule="auto"/>
        <w:ind w:left="3600" w:hanging="3600"/>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thirteenth and sixteenth </w:t>
      </w:r>
      <w:r w:rsidR="005858A5" w:rsidRPr="005858A5">
        <w:rPr>
          <w:rFonts w:ascii="Times New Roman" w:eastAsia="Times New Roman" w:hAnsi="Times New Roman" w:cs="Times New Roman"/>
          <w:sz w:val="28"/>
          <w:szCs w:val="28"/>
          <w:lang w:val="en-GB" w:eastAsia="en-GB"/>
        </w:rPr>
        <w:t>respondent</w:t>
      </w:r>
      <w:r w:rsidR="00914D2C">
        <w:rPr>
          <w:rFonts w:ascii="Times New Roman" w:eastAsia="Times New Roman" w:hAnsi="Times New Roman" w:cs="Times New Roman"/>
          <w:sz w:val="28"/>
          <w:szCs w:val="28"/>
          <w:lang w:val="en-GB" w:eastAsia="en-GB"/>
        </w:rPr>
        <w:t>s</w:t>
      </w:r>
      <w:r w:rsidR="005858A5" w:rsidRPr="005858A5">
        <w:rPr>
          <w:rFonts w:ascii="Times New Roman" w:eastAsia="Times New Roman" w:hAnsi="Times New Roman" w:cs="Times New Roman"/>
          <w:sz w:val="28"/>
          <w:szCs w:val="28"/>
          <w:lang w:val="en-GB" w:eastAsia="en-GB"/>
        </w:rPr>
        <w:t>:</w:t>
      </w:r>
      <w:r w:rsidR="00B17D6D">
        <w:rPr>
          <w:rFonts w:ascii="Times New Roman" w:eastAsia="Times New Roman" w:hAnsi="Times New Roman" w:cs="Times New Roman"/>
          <w:sz w:val="28"/>
          <w:szCs w:val="28"/>
          <w:lang w:val="en-GB" w:eastAsia="en-GB"/>
        </w:rPr>
        <w:tab/>
      </w:r>
      <w:r w:rsidR="005858A5">
        <w:rPr>
          <w:rFonts w:ascii="Times New Roman" w:eastAsia="Times New Roman" w:hAnsi="Times New Roman" w:cs="Times New Roman"/>
          <w:sz w:val="28"/>
          <w:szCs w:val="28"/>
          <w:lang w:val="en-GB" w:eastAsia="en-GB"/>
        </w:rPr>
        <w:t>I</w:t>
      </w:r>
      <w:r w:rsidR="007F6744">
        <w:rPr>
          <w:rFonts w:ascii="Times New Roman" w:eastAsia="Times New Roman" w:hAnsi="Times New Roman" w:cs="Times New Roman"/>
          <w:sz w:val="28"/>
          <w:szCs w:val="28"/>
          <w:lang w:val="en-GB" w:eastAsia="en-GB"/>
        </w:rPr>
        <w:t xml:space="preserve"> </w:t>
      </w:r>
      <w:r w:rsidR="005858A5">
        <w:rPr>
          <w:rFonts w:ascii="Times New Roman" w:eastAsia="Times New Roman" w:hAnsi="Times New Roman" w:cs="Times New Roman"/>
          <w:sz w:val="28"/>
          <w:szCs w:val="28"/>
          <w:lang w:val="en-GB" w:eastAsia="en-GB"/>
        </w:rPr>
        <w:t>L Topping SC</w:t>
      </w:r>
      <w:r w:rsidR="00D85FD2">
        <w:rPr>
          <w:rFonts w:ascii="Times New Roman" w:eastAsia="Times New Roman" w:hAnsi="Times New Roman" w:cs="Times New Roman"/>
          <w:sz w:val="28"/>
          <w:szCs w:val="28"/>
          <w:lang w:val="en-GB" w:eastAsia="en-GB"/>
        </w:rPr>
        <w:t xml:space="preserve"> </w:t>
      </w:r>
    </w:p>
    <w:p w:rsidR="005858A5" w:rsidRPr="005858A5" w:rsidRDefault="005858A5" w:rsidP="005858A5">
      <w:pPr>
        <w:spacing w:after="0" w:line="360" w:lineRule="auto"/>
        <w:jc w:val="both"/>
        <w:rPr>
          <w:rFonts w:ascii="Times New Roman" w:eastAsia="Times New Roman" w:hAnsi="Times New Roman" w:cs="Times New Roman"/>
          <w:sz w:val="28"/>
          <w:szCs w:val="28"/>
          <w:lang w:val="en-GB" w:eastAsia="en-GB"/>
        </w:rPr>
      </w:pPr>
      <w:r w:rsidRPr="005858A5">
        <w:rPr>
          <w:rFonts w:ascii="Times New Roman" w:eastAsia="Times New Roman" w:hAnsi="Times New Roman" w:cs="Times New Roman"/>
          <w:sz w:val="28"/>
          <w:szCs w:val="28"/>
          <w:lang w:val="en-GB" w:eastAsia="en-GB"/>
        </w:rPr>
        <w:t>Instructed by:</w:t>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00B17D6D">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Ngcamu Inc</w:t>
      </w:r>
      <w:r w:rsidR="00914D2C">
        <w:rPr>
          <w:rFonts w:ascii="Times New Roman" w:eastAsia="Times New Roman" w:hAnsi="Times New Roman" w:cs="Times New Roman"/>
          <w:sz w:val="28"/>
          <w:szCs w:val="28"/>
          <w:lang w:val="en-GB" w:eastAsia="en-GB"/>
        </w:rPr>
        <w:t>.</w:t>
      </w:r>
      <w:r>
        <w:rPr>
          <w:rFonts w:ascii="Times New Roman" w:eastAsia="Times New Roman" w:hAnsi="Times New Roman" w:cs="Times New Roman"/>
          <w:sz w:val="28"/>
          <w:szCs w:val="28"/>
          <w:lang w:val="en-GB" w:eastAsia="en-GB"/>
        </w:rPr>
        <w:t>,</w:t>
      </w:r>
      <w:r w:rsidR="007F6744">
        <w:rPr>
          <w:rFonts w:ascii="Times New Roman" w:eastAsia="Times New Roman" w:hAnsi="Times New Roman" w:cs="Times New Roman"/>
          <w:sz w:val="28"/>
          <w:szCs w:val="28"/>
          <w:lang w:val="en-GB" w:eastAsia="en-GB"/>
        </w:rPr>
        <w:t xml:space="preserve"> </w:t>
      </w:r>
      <w:r>
        <w:rPr>
          <w:rFonts w:ascii="Times New Roman" w:eastAsia="Times New Roman" w:hAnsi="Times New Roman" w:cs="Times New Roman"/>
          <w:sz w:val="28"/>
          <w:szCs w:val="28"/>
          <w:lang w:val="en-GB" w:eastAsia="en-GB"/>
        </w:rPr>
        <w:t>Pietermaritzburg</w:t>
      </w:r>
    </w:p>
    <w:p w:rsidR="005858A5" w:rsidRDefault="005858A5" w:rsidP="005858A5">
      <w:pPr>
        <w:spacing w:after="0" w:line="360" w:lineRule="auto"/>
        <w:jc w:val="both"/>
        <w:rPr>
          <w:rFonts w:ascii="Times New Roman" w:eastAsia="Times New Roman" w:hAnsi="Times New Roman" w:cs="Times New Roman"/>
          <w:sz w:val="28"/>
          <w:szCs w:val="28"/>
          <w:lang w:val="en-GB" w:eastAsia="en-GB"/>
        </w:rPr>
      </w:pP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Pr="005858A5">
        <w:rPr>
          <w:rFonts w:ascii="Times New Roman" w:eastAsia="Times New Roman" w:hAnsi="Times New Roman" w:cs="Times New Roman"/>
          <w:sz w:val="28"/>
          <w:szCs w:val="28"/>
          <w:lang w:val="en-GB" w:eastAsia="en-GB"/>
        </w:rPr>
        <w:tab/>
      </w:r>
      <w:r w:rsidR="00B17D6D">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Webbers attorneys,</w:t>
      </w:r>
      <w:r w:rsidR="007F6744">
        <w:rPr>
          <w:rFonts w:ascii="Times New Roman" w:eastAsia="Times New Roman" w:hAnsi="Times New Roman" w:cs="Times New Roman"/>
          <w:sz w:val="28"/>
          <w:szCs w:val="28"/>
          <w:lang w:val="en-GB" w:eastAsia="en-GB"/>
        </w:rPr>
        <w:t xml:space="preserve"> </w:t>
      </w:r>
      <w:r w:rsidRPr="005858A5">
        <w:rPr>
          <w:rFonts w:ascii="Times New Roman" w:eastAsia="Times New Roman" w:hAnsi="Times New Roman" w:cs="Times New Roman"/>
          <w:sz w:val="28"/>
          <w:szCs w:val="28"/>
          <w:lang w:val="en-GB" w:eastAsia="en-GB"/>
        </w:rPr>
        <w:t>Bloemfontein</w:t>
      </w:r>
      <w:r w:rsidR="00914D2C">
        <w:rPr>
          <w:rFonts w:ascii="Times New Roman" w:eastAsia="Times New Roman" w:hAnsi="Times New Roman" w:cs="Times New Roman"/>
          <w:sz w:val="28"/>
          <w:szCs w:val="28"/>
          <w:lang w:val="en-GB" w:eastAsia="en-GB"/>
        </w:rPr>
        <w:t>.</w:t>
      </w:r>
    </w:p>
    <w:p w:rsidR="005858A5" w:rsidRDefault="005858A5" w:rsidP="005858A5">
      <w:pPr>
        <w:spacing w:after="0" w:line="360" w:lineRule="auto"/>
        <w:jc w:val="both"/>
        <w:rPr>
          <w:rFonts w:ascii="Times New Roman" w:eastAsia="Times New Roman" w:hAnsi="Times New Roman" w:cs="Times New Roman"/>
          <w:sz w:val="28"/>
          <w:szCs w:val="28"/>
          <w:lang w:val="en-GB" w:eastAsia="en-GB"/>
        </w:rPr>
      </w:pPr>
    </w:p>
    <w:p w:rsidR="005858A5" w:rsidRPr="005858A5" w:rsidRDefault="005858A5" w:rsidP="005858A5">
      <w:pPr>
        <w:spacing w:after="0" w:line="360" w:lineRule="auto"/>
        <w:jc w:val="both"/>
        <w:rPr>
          <w:rFonts w:ascii="Times New Roman" w:eastAsia="Times New Roman" w:hAnsi="Times New Roman" w:cs="Times New Roman"/>
          <w:sz w:val="28"/>
          <w:szCs w:val="28"/>
          <w:lang w:val="en-GB" w:eastAsia="en-GB"/>
        </w:rPr>
      </w:pPr>
    </w:p>
    <w:p w:rsidR="006B57A9" w:rsidRDefault="006B57A9" w:rsidP="00756141">
      <w:pPr>
        <w:spacing w:after="0" w:line="360" w:lineRule="auto"/>
        <w:jc w:val="both"/>
        <w:rPr>
          <w:rFonts w:ascii="Times New Roman" w:eastAsia="Times New Roman" w:hAnsi="Times New Roman" w:cs="Times New Roman"/>
          <w:sz w:val="28"/>
          <w:szCs w:val="28"/>
          <w:lang w:eastAsia="en-GB"/>
        </w:rPr>
      </w:pPr>
      <w:r w:rsidRPr="00FA3A1A">
        <w:rPr>
          <w:rFonts w:ascii="Times New Roman" w:eastAsia="Times New Roman" w:hAnsi="Times New Roman" w:cs="Times New Roman"/>
          <w:sz w:val="28"/>
          <w:szCs w:val="28"/>
          <w:lang w:val="en-GB" w:eastAsia="en-GB"/>
        </w:rPr>
        <w:tab/>
      </w:r>
    </w:p>
    <w:p w:rsidR="00651D25" w:rsidRDefault="00C04831" w:rsidP="00756141">
      <w:pPr>
        <w:spacing w:after="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sidR="00552BA8">
        <w:rPr>
          <w:rFonts w:ascii="Times New Roman" w:eastAsia="Times New Roman" w:hAnsi="Times New Roman" w:cs="Times New Roman"/>
          <w:sz w:val="28"/>
          <w:szCs w:val="28"/>
          <w:lang w:eastAsia="en-GB"/>
        </w:rPr>
        <w:t xml:space="preserve">                               </w:t>
      </w:r>
    </w:p>
    <w:p w:rsidR="00C04831" w:rsidRDefault="00C04831" w:rsidP="00756141">
      <w:pPr>
        <w:spacing w:after="0" w:line="360" w:lineRule="auto"/>
        <w:jc w:val="both"/>
        <w:rPr>
          <w:rFonts w:ascii="Times New Roman" w:eastAsia="Times New Roman" w:hAnsi="Times New Roman" w:cs="Times New Roman"/>
          <w:sz w:val="28"/>
          <w:szCs w:val="28"/>
          <w:lang w:eastAsia="en-GB"/>
        </w:rPr>
      </w:pPr>
    </w:p>
    <w:p w:rsidR="00C04831" w:rsidRDefault="00C04831" w:rsidP="00756141">
      <w:pPr>
        <w:spacing w:after="0" w:line="360" w:lineRule="auto"/>
        <w:jc w:val="both"/>
        <w:rPr>
          <w:rFonts w:ascii="Times New Roman" w:eastAsia="Times New Roman" w:hAnsi="Times New Roman" w:cs="Times New Roman"/>
          <w:sz w:val="28"/>
          <w:szCs w:val="28"/>
          <w:lang w:eastAsia="en-GB"/>
        </w:rPr>
      </w:pPr>
    </w:p>
    <w:p w:rsidR="005150D1" w:rsidRDefault="005150D1" w:rsidP="00756141">
      <w:pPr>
        <w:spacing w:after="0" w:line="360" w:lineRule="auto"/>
        <w:jc w:val="both"/>
        <w:rPr>
          <w:rFonts w:ascii="Times New Roman" w:eastAsia="Times New Roman" w:hAnsi="Times New Roman" w:cs="Times New Roman"/>
          <w:sz w:val="28"/>
          <w:szCs w:val="28"/>
          <w:lang w:eastAsia="en-GB"/>
        </w:rPr>
      </w:pPr>
    </w:p>
    <w:p w:rsidR="00651D25" w:rsidRPr="000D32B1" w:rsidRDefault="00651D25" w:rsidP="006642E1">
      <w:pPr>
        <w:spacing w:after="0" w:line="360" w:lineRule="auto"/>
        <w:jc w:val="both"/>
        <w:rPr>
          <w:rFonts w:ascii="Times New Roman" w:hAnsi="Times New Roman" w:cs="Times New Roman"/>
          <w:sz w:val="32"/>
          <w:szCs w:val="32"/>
        </w:rPr>
      </w:pPr>
    </w:p>
    <w:p w:rsidR="00651D25" w:rsidRPr="000D32B1" w:rsidRDefault="00651D25" w:rsidP="00756141">
      <w:pPr>
        <w:spacing w:after="0" w:line="360" w:lineRule="auto"/>
        <w:jc w:val="both"/>
        <w:rPr>
          <w:rFonts w:ascii="Times New Roman" w:hAnsi="Times New Roman" w:cs="Times New Roman"/>
          <w:sz w:val="24"/>
          <w:szCs w:val="24"/>
        </w:rPr>
      </w:pPr>
    </w:p>
    <w:p w:rsidR="00651D25" w:rsidRPr="000D32B1" w:rsidRDefault="00651D25" w:rsidP="00756141">
      <w:pPr>
        <w:spacing w:after="0" w:line="360" w:lineRule="auto"/>
        <w:jc w:val="both"/>
        <w:rPr>
          <w:rFonts w:ascii="Times New Roman" w:hAnsi="Times New Roman" w:cs="Times New Roman"/>
          <w:sz w:val="32"/>
          <w:szCs w:val="32"/>
        </w:rPr>
      </w:pPr>
    </w:p>
    <w:sectPr w:rsidR="00651D25" w:rsidRPr="000D32B1" w:rsidSect="00C573BA">
      <w:headerReference w:type="default" r:id="rId9"/>
      <w:pgSz w:w="11906" w:h="16838"/>
      <w:pgMar w:top="1440"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AF2" w:rsidRDefault="00343AF2" w:rsidP="00C14B02">
      <w:pPr>
        <w:spacing w:after="0" w:line="240" w:lineRule="auto"/>
      </w:pPr>
      <w:r>
        <w:separator/>
      </w:r>
    </w:p>
  </w:endnote>
  <w:endnote w:type="continuationSeparator" w:id="0">
    <w:p w:rsidR="00343AF2" w:rsidRDefault="00343AF2" w:rsidP="00C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AF2" w:rsidRDefault="00343AF2" w:rsidP="00C14B02">
      <w:pPr>
        <w:spacing w:after="0" w:line="240" w:lineRule="auto"/>
      </w:pPr>
      <w:r>
        <w:separator/>
      </w:r>
    </w:p>
  </w:footnote>
  <w:footnote w:type="continuationSeparator" w:id="0">
    <w:p w:rsidR="00343AF2" w:rsidRDefault="00343AF2" w:rsidP="00C14B02">
      <w:pPr>
        <w:spacing w:after="0" w:line="240" w:lineRule="auto"/>
      </w:pPr>
      <w:r>
        <w:continuationSeparator/>
      </w:r>
    </w:p>
  </w:footnote>
  <w:footnote w:id="1">
    <w:p w:rsidR="006F3772" w:rsidRPr="00DC1726" w:rsidRDefault="006F3772">
      <w:pPr>
        <w:pStyle w:val="FootnoteText"/>
        <w:rPr>
          <w:rFonts w:ascii="Times New Roman" w:hAnsi="Times New Roman" w:cs="Times New Roman"/>
          <w:highlight w:val="yellow"/>
        </w:rPr>
      </w:pPr>
      <w:r w:rsidRPr="00B02D50">
        <w:rPr>
          <w:rStyle w:val="FootnoteReference"/>
        </w:rPr>
        <w:footnoteRef/>
      </w:r>
      <w:r w:rsidRPr="00B02D50">
        <w:t xml:space="preserve"> </w:t>
      </w:r>
      <w:r w:rsidRPr="00B02D50">
        <w:rPr>
          <w:rFonts w:ascii="Times New Roman" w:hAnsi="Times New Roman" w:cs="Times New Roman"/>
        </w:rPr>
        <w:t>Isilo is a Zulu word for king. The Zulu kings are respectfully known as Isilo Samabandla Onke.</w:t>
      </w:r>
    </w:p>
  </w:footnote>
  <w:footnote w:id="2">
    <w:p w:rsidR="00BD3A2C" w:rsidRPr="008C7791" w:rsidRDefault="00BD3A2C">
      <w:pPr>
        <w:pStyle w:val="FootnoteText"/>
        <w:rPr>
          <w:rFonts w:ascii="Times New Roman" w:hAnsi="Times New Roman" w:cs="Times New Roman"/>
        </w:rPr>
      </w:pPr>
      <w:r w:rsidRPr="00B02D50">
        <w:rPr>
          <w:rStyle w:val="FootnoteReference"/>
          <w:rFonts w:ascii="Times New Roman" w:hAnsi="Times New Roman" w:cs="Times New Roman"/>
        </w:rPr>
        <w:footnoteRef/>
      </w:r>
      <w:r w:rsidR="000D0B8D" w:rsidRPr="00B02D50">
        <w:rPr>
          <w:rFonts w:ascii="Times New Roman" w:hAnsi="Times New Roman" w:cs="Times New Roman"/>
        </w:rPr>
        <w:t xml:space="preserve"> Indlovukazi is a Zulu word for the Queen of the Zulu nation.</w:t>
      </w:r>
      <w:r w:rsidR="000D0B8D">
        <w:rPr>
          <w:rFonts w:ascii="Times New Roman" w:hAnsi="Times New Roman" w:cs="Times New Roman"/>
        </w:rPr>
        <w:t xml:space="preserve"> </w:t>
      </w:r>
      <w:r w:rsidRPr="008C7791">
        <w:rPr>
          <w:rFonts w:ascii="Times New Roman" w:hAnsi="Times New Roman" w:cs="Times New Roman"/>
        </w:rPr>
        <w:t xml:space="preserve"> </w:t>
      </w:r>
    </w:p>
  </w:footnote>
  <w:footnote w:id="3">
    <w:p w:rsidR="00914D2C" w:rsidRDefault="00914D2C" w:rsidP="006519E8">
      <w:pPr>
        <w:pStyle w:val="FootnoteText"/>
        <w:jc w:val="both"/>
        <w:rPr>
          <w:rFonts w:ascii="Times New Roman" w:hAnsi="Times New Roman" w:cs="Times New Roman"/>
          <w:bCs/>
        </w:rPr>
      </w:pPr>
      <w:r w:rsidRPr="008522D8">
        <w:rPr>
          <w:rStyle w:val="FootnoteReference"/>
          <w:rFonts w:ascii="Times New Roman" w:hAnsi="Times New Roman" w:cs="Times New Roman"/>
        </w:rPr>
        <w:footnoteRef/>
      </w:r>
      <w:r>
        <w:rPr>
          <w:rFonts w:ascii="Times New Roman" w:hAnsi="Times New Roman" w:cs="Times New Roman"/>
          <w:bCs/>
        </w:rPr>
        <w:t xml:space="preserve"> Section 2 of this Act reads as follows:</w:t>
      </w:r>
    </w:p>
    <w:p w:rsidR="00914D2C" w:rsidRDefault="00914D2C" w:rsidP="006519E8">
      <w:pPr>
        <w:pStyle w:val="FootnoteText"/>
        <w:jc w:val="both"/>
        <w:rPr>
          <w:rFonts w:ascii="Times New Roman" w:hAnsi="Times New Roman" w:cs="Times New Roman"/>
        </w:rPr>
      </w:pPr>
      <w:r>
        <w:rPr>
          <w:rFonts w:ascii="Times New Roman" w:hAnsi="Times New Roman" w:cs="Times New Roman"/>
          <w:bCs/>
        </w:rPr>
        <w:t>‘</w:t>
      </w:r>
      <w:r w:rsidRPr="008522D8">
        <w:rPr>
          <w:rFonts w:ascii="Times New Roman" w:hAnsi="Times New Roman" w:cs="Times New Roman"/>
          <w:bCs/>
        </w:rPr>
        <w:t>Recognition of customary marriages</w:t>
      </w:r>
      <w:r>
        <w:rPr>
          <w:rFonts w:ascii="Times New Roman" w:hAnsi="Times New Roman" w:cs="Times New Roman"/>
          <w:bCs/>
        </w:rPr>
        <w:t>.</w:t>
      </w:r>
      <w:r w:rsidRPr="008522D8">
        <w:rPr>
          <w:rFonts w:ascii="Times New Roman" w:hAnsi="Times New Roman" w:cs="Times New Roman"/>
          <w:bCs/>
        </w:rPr>
        <w:t xml:space="preserve"> </w:t>
      </w:r>
      <w:r w:rsidRPr="008522D8">
        <w:rPr>
          <w:rFonts w:ascii="Times New Roman" w:hAnsi="Times New Roman" w:cs="Times New Roman"/>
        </w:rPr>
        <w:t xml:space="preserve">— </w:t>
      </w:r>
    </w:p>
    <w:p w:rsidR="00914D2C" w:rsidRPr="008522D8" w:rsidRDefault="00914D2C" w:rsidP="006519E8">
      <w:pPr>
        <w:pStyle w:val="FootnoteText"/>
        <w:jc w:val="both"/>
        <w:rPr>
          <w:rFonts w:ascii="Times New Roman" w:hAnsi="Times New Roman" w:cs="Times New Roman"/>
        </w:rPr>
      </w:pPr>
      <w:r w:rsidRPr="008522D8">
        <w:rPr>
          <w:rFonts w:ascii="Times New Roman" w:hAnsi="Times New Roman" w:cs="Times New Roman"/>
        </w:rPr>
        <w:t>(1) A marriage which is a valid marriage at customary law and existing at the commencement of this Act is for all purposes recognised as a marriage.</w:t>
      </w:r>
    </w:p>
    <w:p w:rsidR="00914D2C" w:rsidRPr="008522D8" w:rsidRDefault="00914D2C" w:rsidP="00924776">
      <w:pPr>
        <w:pStyle w:val="FootnoteText"/>
        <w:jc w:val="both"/>
        <w:rPr>
          <w:rFonts w:ascii="Times New Roman" w:hAnsi="Times New Roman" w:cs="Times New Roman"/>
        </w:rPr>
      </w:pPr>
      <w:r w:rsidRPr="008522D8">
        <w:rPr>
          <w:rFonts w:ascii="Times New Roman" w:hAnsi="Times New Roman" w:cs="Times New Roman"/>
        </w:rPr>
        <w:t>(2) A customary marriage entered into after the commencement of this Act, which complies with the requirements of this Act, is for all purposes recognised as a marriage.</w:t>
      </w:r>
    </w:p>
    <w:p w:rsidR="00914D2C" w:rsidRPr="008522D8" w:rsidRDefault="00914D2C" w:rsidP="005C4930">
      <w:pPr>
        <w:pStyle w:val="FootnoteText"/>
        <w:jc w:val="both"/>
        <w:rPr>
          <w:rFonts w:ascii="Times New Roman" w:hAnsi="Times New Roman" w:cs="Times New Roman"/>
        </w:rPr>
      </w:pPr>
      <w:r w:rsidRPr="008522D8">
        <w:rPr>
          <w:rFonts w:ascii="Times New Roman" w:hAnsi="Times New Roman" w:cs="Times New Roman"/>
        </w:rPr>
        <w:t>(3) If a person is a spouse in more than one customary marriage, all valid customary marriages entered into before the commencement of this Act are for all purposes recognised as marriages.</w:t>
      </w:r>
    </w:p>
    <w:p w:rsidR="00914D2C" w:rsidRPr="008522D8" w:rsidRDefault="00914D2C">
      <w:pPr>
        <w:pStyle w:val="FootnoteText"/>
        <w:jc w:val="both"/>
        <w:rPr>
          <w:rFonts w:ascii="Times New Roman" w:hAnsi="Times New Roman" w:cs="Times New Roman"/>
        </w:rPr>
      </w:pPr>
      <w:r w:rsidRPr="008522D8">
        <w:rPr>
          <w:rFonts w:ascii="Times New Roman" w:hAnsi="Times New Roman" w:cs="Times New Roman"/>
        </w:rPr>
        <w:t>(4) If a person is a spouse in more than one customary marriage, all such marriages entered into after the commencement of this Act, which comply with the provisions of this Act, are for all purposes recognised as marriages.’</w:t>
      </w:r>
    </w:p>
  </w:footnote>
  <w:footnote w:id="4">
    <w:p w:rsidR="00914D2C" w:rsidRDefault="00914D2C" w:rsidP="00D85FD2">
      <w:pPr>
        <w:pStyle w:val="FootnoteText"/>
        <w:jc w:val="both"/>
      </w:pPr>
      <w:r w:rsidRPr="00C1423D">
        <w:rPr>
          <w:rStyle w:val="FootnoteReference"/>
          <w:rFonts w:ascii="Times New Roman" w:hAnsi="Times New Roman" w:cs="Times New Roman"/>
        </w:rPr>
        <w:footnoteRef/>
      </w:r>
      <w:r w:rsidRPr="00C1423D">
        <w:rPr>
          <w:rFonts w:ascii="Times New Roman" w:hAnsi="Times New Roman" w:cs="Times New Roman"/>
        </w:rPr>
        <w:t xml:space="preserve"> </w:t>
      </w:r>
      <w:r w:rsidRPr="008522D8">
        <w:rPr>
          <w:rFonts w:ascii="Times New Roman" w:hAnsi="Times New Roman" w:cs="Times New Roman"/>
          <w:i/>
        </w:rPr>
        <w:t>Lueven Metals (Pty) Ltd v Commissioner for the South African Revenue Service</w:t>
      </w:r>
      <w:r w:rsidRPr="008522D8">
        <w:rPr>
          <w:rFonts w:ascii="Times New Roman" w:hAnsi="Times New Roman" w:cs="Times New Roman"/>
        </w:rPr>
        <w:t xml:space="preserve"> [2023] ZASCA 144</w:t>
      </w:r>
      <w:r>
        <w:rPr>
          <w:rFonts w:ascii="Times New Roman" w:hAnsi="Times New Roman" w:cs="Times New Roman"/>
        </w:rPr>
        <w:t xml:space="preserve"> para 12.</w:t>
      </w:r>
    </w:p>
  </w:footnote>
  <w:footnote w:id="5">
    <w:p w:rsidR="00914D2C" w:rsidRPr="008522D8" w:rsidRDefault="00914D2C" w:rsidP="00D85FD2">
      <w:pPr>
        <w:pStyle w:val="FootnoteText"/>
        <w:jc w:val="both"/>
        <w:rPr>
          <w:rFonts w:ascii="Times New Roman" w:hAnsi="Times New Roman" w:cs="Times New Roman"/>
        </w:rPr>
      </w:pPr>
      <w:r w:rsidRPr="008522D8">
        <w:rPr>
          <w:rStyle w:val="FootnoteReference"/>
          <w:rFonts w:ascii="Times New Roman" w:hAnsi="Times New Roman" w:cs="Times New Roman"/>
        </w:rPr>
        <w:footnoteRef/>
      </w:r>
      <w:r w:rsidRPr="008522D8">
        <w:rPr>
          <w:rFonts w:ascii="Times New Roman" w:hAnsi="Times New Roman" w:cs="Times New Roman"/>
        </w:rPr>
        <w:t xml:space="preserve"> </w:t>
      </w:r>
      <w:r w:rsidRPr="008522D8">
        <w:rPr>
          <w:rFonts w:ascii="Times New Roman" w:hAnsi="Times New Roman" w:cs="Times New Roman"/>
          <w:i/>
        </w:rPr>
        <w:t xml:space="preserve">Cordiant Trading CC v Daimler-Chrysler Financial Services (Pty) Limited </w:t>
      </w:r>
      <w:r w:rsidRPr="001A70FC">
        <w:rPr>
          <w:rFonts w:ascii="Times New Roman" w:hAnsi="Times New Roman" w:cs="Times New Roman"/>
        </w:rPr>
        <w:t>[2005] ZASCA 50; [2006] 1 All SA 103 (SCA);</w:t>
      </w:r>
      <w:r>
        <w:rPr>
          <w:rFonts w:ascii="Times New Roman" w:hAnsi="Times New Roman" w:cs="Times New Roman"/>
          <w:i/>
        </w:rPr>
        <w:t xml:space="preserve"> </w:t>
      </w:r>
      <w:r w:rsidRPr="008522D8">
        <w:rPr>
          <w:rFonts w:ascii="Times New Roman" w:hAnsi="Times New Roman" w:cs="Times New Roman"/>
        </w:rPr>
        <w:t>2005 (6) SA 205 (SCA) para 18.</w:t>
      </w:r>
    </w:p>
  </w:footnote>
  <w:footnote w:id="6">
    <w:p w:rsidR="00914D2C" w:rsidRPr="00BD6E99" w:rsidRDefault="00914D2C" w:rsidP="00D85FD2">
      <w:pPr>
        <w:pStyle w:val="FootnoteText"/>
        <w:jc w:val="both"/>
        <w:rPr>
          <w:rFonts w:ascii="Times New Roman" w:hAnsi="Times New Roman" w:cs="Times New Roman"/>
          <w:lang w:val="en-GB"/>
        </w:rPr>
      </w:pPr>
      <w:r w:rsidRPr="00BD6E99">
        <w:rPr>
          <w:rStyle w:val="FootnoteReference"/>
          <w:rFonts w:ascii="Times New Roman" w:hAnsi="Times New Roman" w:cs="Times New Roman"/>
        </w:rPr>
        <w:footnoteRef/>
      </w:r>
      <w:r w:rsidRPr="00BD6E99">
        <w:rPr>
          <w:rFonts w:ascii="Times New Roman" w:hAnsi="Times New Roman" w:cs="Times New Roman"/>
        </w:rPr>
        <w:t xml:space="preserve"> </w:t>
      </w:r>
      <w:r>
        <w:rPr>
          <w:rFonts w:ascii="Times New Roman" w:hAnsi="Times New Roman" w:cs="Times New Roman"/>
          <w:lang w:val="en-GB"/>
        </w:rPr>
        <w:t>Ibid para 16</w:t>
      </w:r>
    </w:p>
  </w:footnote>
  <w:footnote w:id="7">
    <w:p w:rsidR="00914D2C" w:rsidRPr="00BD6E99" w:rsidRDefault="00914D2C" w:rsidP="00D85FD2">
      <w:pPr>
        <w:shd w:val="clear" w:color="auto" w:fill="FFFFFF"/>
        <w:spacing w:after="0" w:line="240" w:lineRule="auto"/>
        <w:jc w:val="both"/>
        <w:outlineLvl w:val="1"/>
        <w:rPr>
          <w:rFonts w:ascii="Times New Roman" w:eastAsia="Times New Roman" w:hAnsi="Times New Roman" w:cs="Times New Roman"/>
          <w:color w:val="64473A"/>
          <w:sz w:val="20"/>
          <w:szCs w:val="20"/>
          <w:lang w:eastAsia="en-ZA"/>
        </w:rPr>
      </w:pPr>
      <w:r w:rsidRPr="00BD6E9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C1505C">
        <w:rPr>
          <w:rFonts w:ascii="Times New Roman" w:hAnsi="Times New Roman" w:cs="Times New Roman"/>
          <w:sz w:val="20"/>
          <w:szCs w:val="20"/>
        </w:rPr>
        <w:t xml:space="preserve">See </w:t>
      </w:r>
      <w:r w:rsidRPr="00D85FD2">
        <w:rPr>
          <w:rFonts w:ascii="Times New Roman" w:eastAsia="Times New Roman" w:hAnsi="Times New Roman" w:cs="Times New Roman"/>
          <w:i/>
          <w:sz w:val="20"/>
          <w:szCs w:val="20"/>
          <w:lang w:eastAsia="en-ZA"/>
        </w:rPr>
        <w:t>Trencon Construction (Pty) Limited v Industrial Development Corporation of South Africa Limited and Another</w:t>
      </w:r>
      <w:r w:rsidRPr="00D85FD2">
        <w:rPr>
          <w:rFonts w:ascii="Times New Roman" w:eastAsia="Times New Roman" w:hAnsi="Times New Roman" w:cs="Times New Roman"/>
          <w:sz w:val="20"/>
          <w:szCs w:val="20"/>
          <w:lang w:eastAsia="en-ZA"/>
        </w:rPr>
        <w:t xml:space="preserve"> ZACC 22; 2015 (5) SA 245 (CC); 2015 (10) BCLR 1199 (CC) para 88. </w:t>
      </w:r>
    </w:p>
  </w:footnote>
  <w:footnote w:id="8">
    <w:p w:rsidR="00914D2C" w:rsidRDefault="00914D2C" w:rsidP="00D85FD2">
      <w:pPr>
        <w:pStyle w:val="FootnoteText"/>
        <w:jc w:val="both"/>
      </w:pPr>
      <w:r w:rsidRPr="00BD6E99">
        <w:rPr>
          <w:rStyle w:val="FootnoteReference"/>
          <w:rFonts w:ascii="Times New Roman" w:hAnsi="Times New Roman" w:cs="Times New Roman"/>
        </w:rPr>
        <w:footnoteRef/>
      </w:r>
      <w:r w:rsidRPr="00BD6E99">
        <w:rPr>
          <w:rFonts w:ascii="Times New Roman" w:hAnsi="Times New Roman" w:cs="Times New Roman"/>
        </w:rPr>
        <w:t xml:space="preserve"> </w:t>
      </w:r>
      <w:r w:rsidRPr="00BD6E99">
        <w:rPr>
          <w:rFonts w:ascii="Times New Roman" w:hAnsi="Times New Roman" w:cs="Times New Roman"/>
          <w:i/>
        </w:rPr>
        <w:t>Knox D’Arcy Ltd and Others v Jameson and Others</w:t>
      </w:r>
      <w:r w:rsidRPr="00BD6E99">
        <w:rPr>
          <w:rFonts w:ascii="Times New Roman" w:hAnsi="Times New Roman" w:cs="Times New Roman"/>
        </w:rPr>
        <w:t xml:space="preserve"> [1996] ZASCA 58; [1996] 3 All SA 669 (A); 1996 (4) SA 348 (A)</w:t>
      </w:r>
      <w:r>
        <w:rPr>
          <w:rFonts w:ascii="Times New Roman" w:hAnsi="Times New Roman" w:cs="Times New Roman"/>
        </w:rPr>
        <w:t xml:space="preserve"> at 361H-I</w:t>
      </w:r>
      <w:r w:rsidRPr="00BD6E99">
        <w:rPr>
          <w:rFonts w:ascii="Times New Roman" w:hAnsi="Times New Roman" w:cs="Times New Roman"/>
        </w:rPr>
        <w:t>.</w:t>
      </w:r>
    </w:p>
  </w:footnote>
  <w:footnote w:id="9">
    <w:p w:rsidR="00914D2C" w:rsidRDefault="00914D2C">
      <w:pPr>
        <w:pStyle w:val="FootnoteText"/>
      </w:pPr>
      <w:r>
        <w:rPr>
          <w:rStyle w:val="FootnoteReference"/>
        </w:rPr>
        <w:footnoteRef/>
      </w:r>
      <w:r>
        <w:t xml:space="preserve"> </w:t>
      </w:r>
      <w:r w:rsidRPr="008522D8">
        <w:rPr>
          <w:rFonts w:ascii="Times New Roman" w:hAnsi="Times New Roman" w:cs="Times New Roman"/>
          <w:i/>
        </w:rPr>
        <w:t>Media Workers Association of South Africa and Others v Press Corporation of South Africa Ltd</w:t>
      </w:r>
      <w:r>
        <w:rPr>
          <w:rFonts w:ascii="Times New Roman" w:hAnsi="Times New Roman" w:cs="Times New Roman"/>
          <w:i/>
        </w:rPr>
        <w:t xml:space="preserve"> </w:t>
      </w:r>
      <w:r w:rsidRPr="00D85FD2">
        <w:rPr>
          <w:rFonts w:ascii="Times New Roman" w:hAnsi="Times New Roman" w:cs="Times New Roman"/>
        </w:rPr>
        <w:t>[1992] ZASCA 149; [1992] 2 All SA 453 (A);</w:t>
      </w:r>
      <w:r>
        <w:rPr>
          <w:rFonts w:ascii="Times New Roman" w:hAnsi="Times New Roman" w:cs="Times New Roman"/>
          <w:i/>
        </w:rPr>
        <w:t xml:space="preserve"> </w:t>
      </w:r>
      <w:r>
        <w:rPr>
          <w:rFonts w:ascii="Times New Roman" w:hAnsi="Times New Roman" w:cs="Times New Roman"/>
        </w:rPr>
        <w:t>1992 (4) SA 791 (A) at 800F</w:t>
      </w:r>
      <w:r w:rsidRPr="008522D8">
        <w:rPr>
          <w:rFonts w:ascii="Times New Roman" w:hAnsi="Times New Roman" w:cs="Times New Roman"/>
        </w:rPr>
        <w:t>.</w:t>
      </w:r>
    </w:p>
  </w:footnote>
  <w:footnote w:id="10">
    <w:p w:rsidR="00914D2C" w:rsidRPr="008522D8" w:rsidRDefault="00914D2C">
      <w:pPr>
        <w:pStyle w:val="FootnoteText"/>
        <w:rPr>
          <w:rFonts w:ascii="Times New Roman" w:hAnsi="Times New Roman" w:cs="Times New Roman"/>
        </w:rPr>
      </w:pPr>
      <w:r w:rsidRPr="008522D8">
        <w:rPr>
          <w:rStyle w:val="FootnoteReference"/>
          <w:rFonts w:ascii="Times New Roman" w:hAnsi="Times New Roman" w:cs="Times New Roman"/>
        </w:rPr>
        <w:footnoteRef/>
      </w:r>
      <w:r w:rsidRPr="008522D8">
        <w:rPr>
          <w:rFonts w:ascii="Times New Roman" w:hAnsi="Times New Roman" w:cs="Times New Roman"/>
        </w:rPr>
        <w:t xml:space="preserve"> </w:t>
      </w:r>
      <w:r w:rsidRPr="008522D8">
        <w:rPr>
          <w:rFonts w:ascii="Times New Roman" w:hAnsi="Times New Roman" w:cs="Times New Roman"/>
          <w:i/>
        </w:rPr>
        <w:t>Rail Commuters Action Group v Transnet LTD t/a Metrorail</w:t>
      </w:r>
      <w:r w:rsidRPr="008522D8">
        <w:rPr>
          <w:rFonts w:ascii="Times New Roman" w:hAnsi="Times New Roman" w:cs="Times New Roman"/>
        </w:rPr>
        <w:t xml:space="preserve"> </w:t>
      </w:r>
      <w:r w:rsidRPr="00A2593F">
        <w:rPr>
          <w:rFonts w:ascii="Times New Roman" w:hAnsi="Times New Roman" w:cs="Times New Roman"/>
        </w:rPr>
        <w:t>[2004] ZACC 20; 2005 (2) SA 359 (CC); 2005 (4) BCLR 301 (CC)</w:t>
      </w:r>
      <w:r>
        <w:rPr>
          <w:rFonts w:ascii="Times New Roman" w:hAnsi="Times New Roman" w:cs="Times New Roman"/>
        </w:rPr>
        <w:t xml:space="preserve"> </w:t>
      </w:r>
      <w:r w:rsidRPr="008522D8">
        <w:rPr>
          <w:rFonts w:ascii="Times New Roman" w:hAnsi="Times New Roman" w:cs="Times New Roman"/>
        </w:rPr>
        <w:t>para 107.</w:t>
      </w:r>
    </w:p>
  </w:footnote>
  <w:footnote w:id="11">
    <w:p w:rsidR="00914D2C" w:rsidRPr="008522D8" w:rsidRDefault="00914D2C" w:rsidP="00E0680E">
      <w:pPr>
        <w:pStyle w:val="FootnoteText"/>
        <w:rPr>
          <w:rFonts w:ascii="Times New Roman" w:hAnsi="Times New Roman" w:cs="Times New Roman"/>
        </w:rPr>
      </w:pPr>
      <w:r w:rsidRPr="008522D8">
        <w:rPr>
          <w:rStyle w:val="FootnoteReference"/>
          <w:rFonts w:ascii="Times New Roman" w:hAnsi="Times New Roman" w:cs="Times New Roman"/>
        </w:rPr>
        <w:footnoteRef/>
      </w:r>
      <w:r w:rsidRPr="008522D8">
        <w:rPr>
          <w:rFonts w:ascii="Times New Roman" w:hAnsi="Times New Roman" w:cs="Times New Roman"/>
        </w:rPr>
        <w:t xml:space="preserve"> </w:t>
      </w:r>
      <w:r w:rsidRPr="008522D8">
        <w:rPr>
          <w:rFonts w:ascii="Times New Roman" w:hAnsi="Times New Roman" w:cs="Times New Roman"/>
          <w:i/>
        </w:rPr>
        <w:t>Adbro Investment Co. Ltd v Minister of the Interior</w:t>
      </w:r>
      <w:r w:rsidRPr="008522D8">
        <w:rPr>
          <w:rFonts w:ascii="Times New Roman" w:hAnsi="Times New Roman" w:cs="Times New Roman"/>
        </w:rPr>
        <w:t xml:space="preserve"> </w:t>
      </w:r>
      <w:r w:rsidRPr="00724724">
        <w:rPr>
          <w:rFonts w:ascii="Times New Roman" w:hAnsi="Times New Roman" w:cs="Times New Roman"/>
          <w:i/>
        </w:rPr>
        <w:t>and Others</w:t>
      </w:r>
      <w:r>
        <w:rPr>
          <w:rFonts w:ascii="Times New Roman" w:hAnsi="Times New Roman" w:cs="Times New Roman"/>
        </w:rPr>
        <w:t xml:space="preserve"> </w:t>
      </w:r>
      <w:r w:rsidRPr="008522D8">
        <w:rPr>
          <w:rFonts w:ascii="Times New Roman" w:hAnsi="Times New Roman" w:cs="Times New Roman"/>
        </w:rPr>
        <w:t xml:space="preserve">1961 (3) SA 283 (T) at 285C-D. </w:t>
      </w:r>
    </w:p>
  </w:footnote>
  <w:footnote w:id="12">
    <w:p w:rsidR="00914D2C" w:rsidRPr="008522D8" w:rsidRDefault="00914D2C" w:rsidP="00E0680E">
      <w:pPr>
        <w:pStyle w:val="FootnoteText"/>
        <w:jc w:val="both"/>
        <w:rPr>
          <w:rFonts w:ascii="Times New Roman" w:hAnsi="Times New Roman" w:cs="Times New Roman"/>
        </w:rPr>
      </w:pPr>
      <w:r w:rsidRPr="008522D8">
        <w:rPr>
          <w:rStyle w:val="FootnoteReference"/>
          <w:rFonts w:ascii="Times New Roman" w:hAnsi="Times New Roman" w:cs="Times New Roman"/>
        </w:rPr>
        <w:footnoteRef/>
      </w:r>
      <w:r w:rsidRPr="008522D8">
        <w:rPr>
          <w:rFonts w:ascii="Times New Roman" w:hAnsi="Times New Roman" w:cs="Times New Roman"/>
        </w:rPr>
        <w:t xml:space="preserve"> </w:t>
      </w:r>
      <w:r w:rsidRPr="008522D8">
        <w:rPr>
          <w:rFonts w:ascii="Times New Roman" w:hAnsi="Times New Roman" w:cs="Times New Roman"/>
          <w:i/>
        </w:rPr>
        <w:t>JT Publishing (Pty) Ltd v Minister of Safety and Security</w:t>
      </w:r>
      <w:r w:rsidRPr="008522D8">
        <w:rPr>
          <w:rFonts w:ascii="Times New Roman" w:hAnsi="Times New Roman" w:cs="Times New Roman"/>
        </w:rPr>
        <w:t xml:space="preserve"> </w:t>
      </w:r>
      <w:r w:rsidRPr="000D7EFA">
        <w:rPr>
          <w:rFonts w:ascii="Times New Roman" w:hAnsi="Times New Roman" w:cs="Times New Roman"/>
        </w:rPr>
        <w:t xml:space="preserve">[1996] ZACC 23; 1996 (12) BCLR 1599; </w:t>
      </w:r>
      <w:r w:rsidRPr="008522D8">
        <w:rPr>
          <w:rFonts w:ascii="Times New Roman" w:hAnsi="Times New Roman" w:cs="Times New Roman"/>
        </w:rPr>
        <w:t>1997 (3) SA 514</w:t>
      </w:r>
      <w:r>
        <w:rPr>
          <w:rFonts w:ascii="Times New Roman" w:hAnsi="Times New Roman" w:cs="Times New Roman"/>
        </w:rPr>
        <w:t xml:space="preserve"> (CC) </w:t>
      </w:r>
      <w:r w:rsidRPr="008522D8">
        <w:rPr>
          <w:rFonts w:ascii="Times New Roman" w:hAnsi="Times New Roman" w:cs="Times New Roman"/>
        </w:rPr>
        <w:t>para 15.</w:t>
      </w:r>
    </w:p>
  </w:footnote>
  <w:footnote w:id="13">
    <w:p w:rsidR="00914D2C" w:rsidRPr="008522D8" w:rsidRDefault="00914D2C" w:rsidP="00033F98">
      <w:pPr>
        <w:pStyle w:val="FootnoteText"/>
        <w:jc w:val="both"/>
        <w:rPr>
          <w:rFonts w:ascii="Times New Roman" w:hAnsi="Times New Roman" w:cs="Times New Roman"/>
        </w:rPr>
      </w:pPr>
      <w:r w:rsidRPr="008522D8">
        <w:rPr>
          <w:rStyle w:val="FootnoteReference"/>
          <w:rFonts w:ascii="Times New Roman" w:hAnsi="Times New Roman" w:cs="Times New Roman"/>
        </w:rPr>
        <w:footnoteRef/>
      </w:r>
      <w:r w:rsidRPr="008522D8">
        <w:rPr>
          <w:rFonts w:ascii="Times New Roman" w:hAnsi="Times New Roman" w:cs="Times New Roman"/>
        </w:rPr>
        <w:t xml:space="preserve"> </w:t>
      </w:r>
      <w:r w:rsidRPr="008522D8">
        <w:rPr>
          <w:rFonts w:ascii="Times New Roman" w:hAnsi="Times New Roman" w:cs="Times New Roman"/>
          <w:i/>
        </w:rPr>
        <w:t>Ex Parte Nell</w:t>
      </w:r>
      <w:r w:rsidRPr="008522D8">
        <w:rPr>
          <w:rFonts w:ascii="Times New Roman" w:hAnsi="Times New Roman" w:cs="Times New Roman"/>
        </w:rPr>
        <w:t xml:space="preserve"> 1963 (1) SA 754 (A) at 760A-C.</w:t>
      </w:r>
    </w:p>
  </w:footnote>
  <w:footnote w:id="14">
    <w:p w:rsidR="000A2751" w:rsidRPr="006076BB" w:rsidRDefault="000A2751" w:rsidP="000A2751">
      <w:pPr>
        <w:pStyle w:val="FootnoteText"/>
        <w:jc w:val="both"/>
        <w:rPr>
          <w:rFonts w:ascii="Times New Roman" w:hAnsi="Times New Roman" w:cs="Times New Roman"/>
          <w:i/>
        </w:rPr>
      </w:pPr>
      <w:r w:rsidRPr="00924776">
        <w:rPr>
          <w:rStyle w:val="FootnoteReference"/>
          <w:rFonts w:ascii="Times New Roman" w:hAnsi="Times New Roman" w:cs="Times New Roman"/>
        </w:rPr>
        <w:footnoteRef/>
      </w:r>
      <w:r w:rsidRPr="00924776">
        <w:rPr>
          <w:rFonts w:ascii="Times New Roman" w:hAnsi="Times New Roman" w:cs="Times New Roman"/>
        </w:rPr>
        <w:t xml:space="preserve"> </w:t>
      </w:r>
      <w:r w:rsidRPr="00924776">
        <w:rPr>
          <w:rFonts w:ascii="Times New Roman" w:hAnsi="Times New Roman" w:cs="Times New Roman"/>
          <w:i/>
        </w:rPr>
        <w:t>Cordiant Trading CC v Daimler Chrysler Financial Services (Pty) Ltd</w:t>
      </w:r>
      <w:r w:rsidRPr="005C4930">
        <w:rPr>
          <w:rFonts w:ascii="Times New Roman" w:hAnsi="Times New Roman" w:cs="Times New Roman"/>
        </w:rPr>
        <w:t xml:space="preserve"> [2005] ZASCA 50; [2006] 1 All SA 103 (SCA); 2005 (6) SA 205 (SCA) para 17.</w:t>
      </w:r>
    </w:p>
  </w:footnote>
  <w:footnote w:id="15">
    <w:p w:rsidR="000A2751" w:rsidRPr="006076BB" w:rsidRDefault="000A2751" w:rsidP="000A2751">
      <w:pPr>
        <w:pStyle w:val="FootnoteText"/>
        <w:jc w:val="both"/>
        <w:rPr>
          <w:rFonts w:ascii="Times New Roman" w:hAnsi="Times New Roman" w:cs="Times New Roman"/>
        </w:rPr>
      </w:pPr>
      <w:r w:rsidRPr="00924776">
        <w:rPr>
          <w:rStyle w:val="FootnoteReference"/>
          <w:rFonts w:ascii="Times New Roman" w:hAnsi="Times New Roman" w:cs="Times New Roman"/>
        </w:rPr>
        <w:footnoteRef/>
      </w:r>
      <w:r w:rsidRPr="00924776">
        <w:rPr>
          <w:rFonts w:ascii="Times New Roman" w:hAnsi="Times New Roman" w:cs="Times New Roman"/>
        </w:rPr>
        <w:t xml:space="preserve"> </w:t>
      </w:r>
      <w:r w:rsidRPr="00924776">
        <w:rPr>
          <w:rFonts w:ascii="Times New Roman" w:hAnsi="Times New Roman" w:cs="Times New Roman"/>
          <w:i/>
        </w:rPr>
        <w:t>Reinecke v Incorporated General Insurance Ltd</w:t>
      </w:r>
      <w:r w:rsidRPr="005C4930">
        <w:rPr>
          <w:rFonts w:ascii="Times New Roman" w:hAnsi="Times New Roman" w:cs="Times New Roman"/>
        </w:rPr>
        <w:t xml:space="preserve"> 1974 (2) SA 84 (A)</w:t>
      </w:r>
      <w:r w:rsidRPr="006076BB">
        <w:rPr>
          <w:rFonts w:ascii="Times New Roman" w:hAnsi="Times New Roman" w:cs="Times New Roman"/>
        </w:rPr>
        <w:t xml:space="preserve"> at 99C-E.</w:t>
      </w:r>
    </w:p>
  </w:footnote>
  <w:footnote w:id="16">
    <w:p w:rsidR="000A2751" w:rsidRDefault="000A2751" w:rsidP="000A2751">
      <w:pPr>
        <w:pStyle w:val="FootnoteText"/>
        <w:jc w:val="both"/>
      </w:pPr>
      <w:r w:rsidRPr="00D85FD2">
        <w:rPr>
          <w:rStyle w:val="FootnoteReference"/>
          <w:rFonts w:ascii="Times New Roman" w:hAnsi="Times New Roman" w:cs="Times New Roman"/>
        </w:rPr>
        <w:footnoteRef/>
      </w:r>
      <w:r w:rsidRPr="00D85FD2">
        <w:rPr>
          <w:rFonts w:ascii="Times New Roman" w:hAnsi="Times New Roman" w:cs="Times New Roman"/>
          <w:i/>
        </w:rPr>
        <w:t xml:space="preserve"> Association for Voluntary Sterilization of South Africa v Standard Trust Limited and Others </w:t>
      </w:r>
      <w:r w:rsidRPr="00D85FD2">
        <w:rPr>
          <w:rFonts w:ascii="Times New Roman" w:hAnsi="Times New Roman" w:cs="Times New Roman"/>
        </w:rPr>
        <w:t>[2023] ZASCA 87 para 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821625172"/>
      <w:docPartObj>
        <w:docPartGallery w:val="Page Numbers (Top of Page)"/>
        <w:docPartUnique/>
      </w:docPartObj>
    </w:sdtPr>
    <w:sdtEndPr>
      <w:rPr>
        <w:noProof/>
      </w:rPr>
    </w:sdtEndPr>
    <w:sdtContent>
      <w:p w:rsidR="00914D2C" w:rsidRPr="00D85FD2" w:rsidRDefault="00914D2C">
        <w:pPr>
          <w:pStyle w:val="Header"/>
          <w:jc w:val="right"/>
          <w:rPr>
            <w:rFonts w:ascii="Times New Roman" w:hAnsi="Times New Roman" w:cs="Times New Roman"/>
            <w:sz w:val="28"/>
            <w:szCs w:val="28"/>
          </w:rPr>
        </w:pPr>
        <w:r w:rsidRPr="00D85FD2">
          <w:rPr>
            <w:rFonts w:ascii="Times New Roman" w:hAnsi="Times New Roman" w:cs="Times New Roman"/>
            <w:sz w:val="28"/>
            <w:szCs w:val="28"/>
          </w:rPr>
          <w:fldChar w:fldCharType="begin"/>
        </w:r>
        <w:r w:rsidRPr="00D85FD2">
          <w:rPr>
            <w:rFonts w:ascii="Times New Roman" w:hAnsi="Times New Roman" w:cs="Times New Roman"/>
            <w:sz w:val="28"/>
            <w:szCs w:val="28"/>
          </w:rPr>
          <w:instrText xml:space="preserve"> PAGE   \* MERGEFORMAT </w:instrText>
        </w:r>
        <w:r w:rsidRPr="00D85FD2">
          <w:rPr>
            <w:rFonts w:ascii="Times New Roman" w:hAnsi="Times New Roman" w:cs="Times New Roman"/>
            <w:sz w:val="28"/>
            <w:szCs w:val="28"/>
          </w:rPr>
          <w:fldChar w:fldCharType="separate"/>
        </w:r>
        <w:r w:rsidR="005F3E98">
          <w:rPr>
            <w:rFonts w:ascii="Times New Roman" w:hAnsi="Times New Roman" w:cs="Times New Roman"/>
            <w:noProof/>
            <w:sz w:val="28"/>
            <w:szCs w:val="28"/>
          </w:rPr>
          <w:t>15</w:t>
        </w:r>
        <w:r w:rsidRPr="00D85FD2">
          <w:rPr>
            <w:rFonts w:ascii="Times New Roman" w:hAnsi="Times New Roman" w:cs="Times New Roman"/>
            <w:noProof/>
            <w:sz w:val="28"/>
            <w:szCs w:val="28"/>
          </w:rPr>
          <w:fldChar w:fldCharType="end"/>
        </w:r>
      </w:p>
    </w:sdtContent>
  </w:sdt>
  <w:p w:rsidR="00914D2C" w:rsidRDefault="00914D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E92"/>
    <w:multiLevelType w:val="hybridMultilevel"/>
    <w:tmpl w:val="AC2E08E6"/>
    <w:lvl w:ilvl="0" w:tplc="8E8E79CA">
      <w:start w:val="1"/>
      <w:numFmt w:val="lowerLetter"/>
      <w:lvlText w:val="(%1)"/>
      <w:lvlJc w:val="left"/>
      <w:pPr>
        <w:ind w:left="502" w:hanging="360"/>
      </w:pPr>
      <w:rPr>
        <w:rFonts w:hint="default"/>
        <w:i/>
        <w:sz w:val="24"/>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36117B82"/>
    <w:multiLevelType w:val="hybridMultilevel"/>
    <w:tmpl w:val="D57ECCE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02E1316"/>
    <w:multiLevelType w:val="hybridMultilevel"/>
    <w:tmpl w:val="C60062D0"/>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04B9A"/>
    <w:multiLevelType w:val="hybridMultilevel"/>
    <w:tmpl w:val="D388A13E"/>
    <w:lvl w:ilvl="0" w:tplc="B5FAEACC">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GB" w:vendorID="64" w:dllVersion="6" w:nlCheck="1" w:checkStyle="0"/>
  <w:activeWritingStyle w:appName="MSWord" w:lang="en-ZA"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25"/>
    <w:rsid w:val="00002916"/>
    <w:rsid w:val="00011160"/>
    <w:rsid w:val="00011BBE"/>
    <w:rsid w:val="00012AC0"/>
    <w:rsid w:val="00024F63"/>
    <w:rsid w:val="00033368"/>
    <w:rsid w:val="00033F98"/>
    <w:rsid w:val="00037D7B"/>
    <w:rsid w:val="000402EC"/>
    <w:rsid w:val="00043AEF"/>
    <w:rsid w:val="00043FF3"/>
    <w:rsid w:val="00053C3D"/>
    <w:rsid w:val="0005400E"/>
    <w:rsid w:val="00055E01"/>
    <w:rsid w:val="000636BB"/>
    <w:rsid w:val="00064FC4"/>
    <w:rsid w:val="0007464E"/>
    <w:rsid w:val="0007700C"/>
    <w:rsid w:val="00090F59"/>
    <w:rsid w:val="00094C5D"/>
    <w:rsid w:val="000955D6"/>
    <w:rsid w:val="00096AB2"/>
    <w:rsid w:val="000A0188"/>
    <w:rsid w:val="000A04C5"/>
    <w:rsid w:val="000A0641"/>
    <w:rsid w:val="000A067D"/>
    <w:rsid w:val="000A17DD"/>
    <w:rsid w:val="000A19A4"/>
    <w:rsid w:val="000A257F"/>
    <w:rsid w:val="000A2751"/>
    <w:rsid w:val="000A67EA"/>
    <w:rsid w:val="000A6CEE"/>
    <w:rsid w:val="000A7414"/>
    <w:rsid w:val="000B5F2F"/>
    <w:rsid w:val="000B76B3"/>
    <w:rsid w:val="000C4905"/>
    <w:rsid w:val="000C51A8"/>
    <w:rsid w:val="000C5E49"/>
    <w:rsid w:val="000D0B8D"/>
    <w:rsid w:val="000D1560"/>
    <w:rsid w:val="000D505A"/>
    <w:rsid w:val="000D7EFA"/>
    <w:rsid w:val="000E2807"/>
    <w:rsid w:val="000F058C"/>
    <w:rsid w:val="000F3290"/>
    <w:rsid w:val="000F57EC"/>
    <w:rsid w:val="001041DF"/>
    <w:rsid w:val="0010499B"/>
    <w:rsid w:val="00112BC9"/>
    <w:rsid w:val="0011597A"/>
    <w:rsid w:val="00116BDE"/>
    <w:rsid w:val="00125736"/>
    <w:rsid w:val="001264B3"/>
    <w:rsid w:val="00130201"/>
    <w:rsid w:val="00133408"/>
    <w:rsid w:val="00140EE3"/>
    <w:rsid w:val="001424FD"/>
    <w:rsid w:val="00146FAC"/>
    <w:rsid w:val="001609F8"/>
    <w:rsid w:val="00162AED"/>
    <w:rsid w:val="001634AE"/>
    <w:rsid w:val="001713D9"/>
    <w:rsid w:val="0017211A"/>
    <w:rsid w:val="00173777"/>
    <w:rsid w:val="0017499F"/>
    <w:rsid w:val="001774E2"/>
    <w:rsid w:val="00181BBA"/>
    <w:rsid w:val="00183C80"/>
    <w:rsid w:val="0019117B"/>
    <w:rsid w:val="001922AF"/>
    <w:rsid w:val="00194333"/>
    <w:rsid w:val="001A70FC"/>
    <w:rsid w:val="001C587B"/>
    <w:rsid w:val="001D5983"/>
    <w:rsid w:val="001E3316"/>
    <w:rsid w:val="001F464F"/>
    <w:rsid w:val="001F4EEB"/>
    <w:rsid w:val="001F5214"/>
    <w:rsid w:val="00205C33"/>
    <w:rsid w:val="0020736E"/>
    <w:rsid w:val="00207927"/>
    <w:rsid w:val="00211FC4"/>
    <w:rsid w:val="002129F6"/>
    <w:rsid w:val="00214692"/>
    <w:rsid w:val="00222CFE"/>
    <w:rsid w:val="00223F75"/>
    <w:rsid w:val="00224A36"/>
    <w:rsid w:val="00225C1E"/>
    <w:rsid w:val="00230A4B"/>
    <w:rsid w:val="00233403"/>
    <w:rsid w:val="00236837"/>
    <w:rsid w:val="00241A0F"/>
    <w:rsid w:val="00243B58"/>
    <w:rsid w:val="0024631A"/>
    <w:rsid w:val="002472BF"/>
    <w:rsid w:val="00251AD9"/>
    <w:rsid w:val="00261FBB"/>
    <w:rsid w:val="00263C95"/>
    <w:rsid w:val="00264C8F"/>
    <w:rsid w:val="00265A30"/>
    <w:rsid w:val="00270D3C"/>
    <w:rsid w:val="002732C3"/>
    <w:rsid w:val="00276E22"/>
    <w:rsid w:val="00291C8C"/>
    <w:rsid w:val="002A059E"/>
    <w:rsid w:val="002B2C70"/>
    <w:rsid w:val="002C4939"/>
    <w:rsid w:val="002C4E60"/>
    <w:rsid w:val="002D395C"/>
    <w:rsid w:val="002D60DB"/>
    <w:rsid w:val="002D69CD"/>
    <w:rsid w:val="002E02A1"/>
    <w:rsid w:val="002E060E"/>
    <w:rsid w:val="002E6151"/>
    <w:rsid w:val="002E6F77"/>
    <w:rsid w:val="002F325D"/>
    <w:rsid w:val="00304FC8"/>
    <w:rsid w:val="0030524E"/>
    <w:rsid w:val="00306E64"/>
    <w:rsid w:val="00317B4F"/>
    <w:rsid w:val="003212A8"/>
    <w:rsid w:val="00323822"/>
    <w:rsid w:val="00323ABE"/>
    <w:rsid w:val="00327ABD"/>
    <w:rsid w:val="003305CB"/>
    <w:rsid w:val="0033447A"/>
    <w:rsid w:val="00334BBE"/>
    <w:rsid w:val="00340C4F"/>
    <w:rsid w:val="00340F22"/>
    <w:rsid w:val="00343AF2"/>
    <w:rsid w:val="003455A3"/>
    <w:rsid w:val="00346F24"/>
    <w:rsid w:val="003518FE"/>
    <w:rsid w:val="00356DCF"/>
    <w:rsid w:val="00356F8D"/>
    <w:rsid w:val="00361976"/>
    <w:rsid w:val="0037331C"/>
    <w:rsid w:val="00384F70"/>
    <w:rsid w:val="00385E12"/>
    <w:rsid w:val="00392214"/>
    <w:rsid w:val="00393573"/>
    <w:rsid w:val="00397475"/>
    <w:rsid w:val="003979D8"/>
    <w:rsid w:val="00397D38"/>
    <w:rsid w:val="003A7AC1"/>
    <w:rsid w:val="003B04F9"/>
    <w:rsid w:val="003B74AE"/>
    <w:rsid w:val="003C33CD"/>
    <w:rsid w:val="003C658B"/>
    <w:rsid w:val="003C7ACB"/>
    <w:rsid w:val="003D1A46"/>
    <w:rsid w:val="003D6645"/>
    <w:rsid w:val="003E273A"/>
    <w:rsid w:val="003E2E18"/>
    <w:rsid w:val="003E69A3"/>
    <w:rsid w:val="003F1947"/>
    <w:rsid w:val="003F5327"/>
    <w:rsid w:val="003F71E4"/>
    <w:rsid w:val="004017DA"/>
    <w:rsid w:val="00401F6F"/>
    <w:rsid w:val="00403345"/>
    <w:rsid w:val="00413AC8"/>
    <w:rsid w:val="00417F3B"/>
    <w:rsid w:val="004200EF"/>
    <w:rsid w:val="0042094B"/>
    <w:rsid w:val="0043068F"/>
    <w:rsid w:val="00433AAF"/>
    <w:rsid w:val="00433EAE"/>
    <w:rsid w:val="004405E8"/>
    <w:rsid w:val="00450A20"/>
    <w:rsid w:val="004571D5"/>
    <w:rsid w:val="0046335A"/>
    <w:rsid w:val="00465000"/>
    <w:rsid w:val="00466B0B"/>
    <w:rsid w:val="00470F14"/>
    <w:rsid w:val="00476B4B"/>
    <w:rsid w:val="0048402D"/>
    <w:rsid w:val="004859B1"/>
    <w:rsid w:val="00487330"/>
    <w:rsid w:val="00487A86"/>
    <w:rsid w:val="00491801"/>
    <w:rsid w:val="00491E41"/>
    <w:rsid w:val="00493EFE"/>
    <w:rsid w:val="00497470"/>
    <w:rsid w:val="004A1F12"/>
    <w:rsid w:val="004A5348"/>
    <w:rsid w:val="004A5C2D"/>
    <w:rsid w:val="004A7821"/>
    <w:rsid w:val="004B130D"/>
    <w:rsid w:val="004B1522"/>
    <w:rsid w:val="004B43F5"/>
    <w:rsid w:val="004C259F"/>
    <w:rsid w:val="004C35BC"/>
    <w:rsid w:val="004C5D53"/>
    <w:rsid w:val="004D044A"/>
    <w:rsid w:val="004D37DB"/>
    <w:rsid w:val="004E70FF"/>
    <w:rsid w:val="004F2CA4"/>
    <w:rsid w:val="004F770C"/>
    <w:rsid w:val="004F7720"/>
    <w:rsid w:val="005072CC"/>
    <w:rsid w:val="005122E7"/>
    <w:rsid w:val="005150D1"/>
    <w:rsid w:val="00516261"/>
    <w:rsid w:val="00527666"/>
    <w:rsid w:val="00530BB9"/>
    <w:rsid w:val="00533DDE"/>
    <w:rsid w:val="005348CE"/>
    <w:rsid w:val="0053564D"/>
    <w:rsid w:val="00544D77"/>
    <w:rsid w:val="00552BA8"/>
    <w:rsid w:val="00566C4C"/>
    <w:rsid w:val="005675D5"/>
    <w:rsid w:val="00571A7B"/>
    <w:rsid w:val="0057549E"/>
    <w:rsid w:val="0058151F"/>
    <w:rsid w:val="005858A5"/>
    <w:rsid w:val="00586244"/>
    <w:rsid w:val="00587376"/>
    <w:rsid w:val="0059153D"/>
    <w:rsid w:val="005A1B59"/>
    <w:rsid w:val="005A2804"/>
    <w:rsid w:val="005C04B4"/>
    <w:rsid w:val="005C0658"/>
    <w:rsid w:val="005C135E"/>
    <w:rsid w:val="005C1930"/>
    <w:rsid w:val="005C20E5"/>
    <w:rsid w:val="005C2AD4"/>
    <w:rsid w:val="005C3749"/>
    <w:rsid w:val="005C4930"/>
    <w:rsid w:val="005D12DC"/>
    <w:rsid w:val="005D250E"/>
    <w:rsid w:val="005E18AF"/>
    <w:rsid w:val="005E31A2"/>
    <w:rsid w:val="005E6CFE"/>
    <w:rsid w:val="005F27B6"/>
    <w:rsid w:val="005F3E98"/>
    <w:rsid w:val="00601CC1"/>
    <w:rsid w:val="006074C7"/>
    <w:rsid w:val="006076BB"/>
    <w:rsid w:val="00612550"/>
    <w:rsid w:val="00614593"/>
    <w:rsid w:val="006159E7"/>
    <w:rsid w:val="00617610"/>
    <w:rsid w:val="00617957"/>
    <w:rsid w:val="00623794"/>
    <w:rsid w:val="00626358"/>
    <w:rsid w:val="006418CC"/>
    <w:rsid w:val="00642E4B"/>
    <w:rsid w:val="006519E8"/>
    <w:rsid w:val="00651CFF"/>
    <w:rsid w:val="00651D25"/>
    <w:rsid w:val="0065661D"/>
    <w:rsid w:val="00660A00"/>
    <w:rsid w:val="006642E1"/>
    <w:rsid w:val="00670D21"/>
    <w:rsid w:val="00671ACC"/>
    <w:rsid w:val="006753C3"/>
    <w:rsid w:val="0067607C"/>
    <w:rsid w:val="00680DDB"/>
    <w:rsid w:val="006877AE"/>
    <w:rsid w:val="00690028"/>
    <w:rsid w:val="006923A9"/>
    <w:rsid w:val="00693B3F"/>
    <w:rsid w:val="00694432"/>
    <w:rsid w:val="006A5954"/>
    <w:rsid w:val="006A7EAD"/>
    <w:rsid w:val="006B04E1"/>
    <w:rsid w:val="006B57A9"/>
    <w:rsid w:val="006C73C6"/>
    <w:rsid w:val="006D3FF4"/>
    <w:rsid w:val="006D58D2"/>
    <w:rsid w:val="006D5AC7"/>
    <w:rsid w:val="006E1142"/>
    <w:rsid w:val="006E3085"/>
    <w:rsid w:val="006E7F1C"/>
    <w:rsid w:val="006F02A6"/>
    <w:rsid w:val="006F3772"/>
    <w:rsid w:val="006F3AD2"/>
    <w:rsid w:val="0070579B"/>
    <w:rsid w:val="00706485"/>
    <w:rsid w:val="007208DF"/>
    <w:rsid w:val="00733B1E"/>
    <w:rsid w:val="007349FE"/>
    <w:rsid w:val="00740167"/>
    <w:rsid w:val="00751C78"/>
    <w:rsid w:val="00752C75"/>
    <w:rsid w:val="00756141"/>
    <w:rsid w:val="00772E28"/>
    <w:rsid w:val="00773CDE"/>
    <w:rsid w:val="0077408B"/>
    <w:rsid w:val="00774838"/>
    <w:rsid w:val="00774D6E"/>
    <w:rsid w:val="0077529F"/>
    <w:rsid w:val="00781738"/>
    <w:rsid w:val="00781D33"/>
    <w:rsid w:val="007838C8"/>
    <w:rsid w:val="00787906"/>
    <w:rsid w:val="007A21CF"/>
    <w:rsid w:val="007A433F"/>
    <w:rsid w:val="007A594B"/>
    <w:rsid w:val="007B23A1"/>
    <w:rsid w:val="007B287B"/>
    <w:rsid w:val="007B49DB"/>
    <w:rsid w:val="007C09E6"/>
    <w:rsid w:val="007C2336"/>
    <w:rsid w:val="007C3F2A"/>
    <w:rsid w:val="007E0543"/>
    <w:rsid w:val="007E2189"/>
    <w:rsid w:val="007E2A2B"/>
    <w:rsid w:val="007E5806"/>
    <w:rsid w:val="007E640A"/>
    <w:rsid w:val="007E70DD"/>
    <w:rsid w:val="007F6744"/>
    <w:rsid w:val="007F6D46"/>
    <w:rsid w:val="00802468"/>
    <w:rsid w:val="00802DFE"/>
    <w:rsid w:val="008037AD"/>
    <w:rsid w:val="008065BD"/>
    <w:rsid w:val="00810B67"/>
    <w:rsid w:val="00811530"/>
    <w:rsid w:val="0081164B"/>
    <w:rsid w:val="00813760"/>
    <w:rsid w:val="0082066E"/>
    <w:rsid w:val="00823808"/>
    <w:rsid w:val="008322EC"/>
    <w:rsid w:val="0084350F"/>
    <w:rsid w:val="00845997"/>
    <w:rsid w:val="00847146"/>
    <w:rsid w:val="008522D8"/>
    <w:rsid w:val="008535C1"/>
    <w:rsid w:val="00855385"/>
    <w:rsid w:val="00855BFB"/>
    <w:rsid w:val="00861EB9"/>
    <w:rsid w:val="00862309"/>
    <w:rsid w:val="00863222"/>
    <w:rsid w:val="00865591"/>
    <w:rsid w:val="00875B7B"/>
    <w:rsid w:val="0087798B"/>
    <w:rsid w:val="00880412"/>
    <w:rsid w:val="008814A7"/>
    <w:rsid w:val="008915BC"/>
    <w:rsid w:val="008A0287"/>
    <w:rsid w:val="008A58C7"/>
    <w:rsid w:val="008A63EB"/>
    <w:rsid w:val="008B07C8"/>
    <w:rsid w:val="008B0D86"/>
    <w:rsid w:val="008B1306"/>
    <w:rsid w:val="008C0A4B"/>
    <w:rsid w:val="008C1198"/>
    <w:rsid w:val="008C7791"/>
    <w:rsid w:val="008D0D09"/>
    <w:rsid w:val="008D3F8D"/>
    <w:rsid w:val="008D785E"/>
    <w:rsid w:val="008E2D0B"/>
    <w:rsid w:val="008E5996"/>
    <w:rsid w:val="008E7D6C"/>
    <w:rsid w:val="008F610D"/>
    <w:rsid w:val="008F6617"/>
    <w:rsid w:val="009109CB"/>
    <w:rsid w:val="009109EE"/>
    <w:rsid w:val="009126E0"/>
    <w:rsid w:val="00914D2C"/>
    <w:rsid w:val="00917EF1"/>
    <w:rsid w:val="00924776"/>
    <w:rsid w:val="00924FDB"/>
    <w:rsid w:val="0092699A"/>
    <w:rsid w:val="009278ED"/>
    <w:rsid w:val="009358CC"/>
    <w:rsid w:val="00944775"/>
    <w:rsid w:val="00945075"/>
    <w:rsid w:val="009523D3"/>
    <w:rsid w:val="00953073"/>
    <w:rsid w:val="0095525D"/>
    <w:rsid w:val="00956FC5"/>
    <w:rsid w:val="00961066"/>
    <w:rsid w:val="009625C7"/>
    <w:rsid w:val="0096474A"/>
    <w:rsid w:val="00965D9B"/>
    <w:rsid w:val="00967C60"/>
    <w:rsid w:val="00972D7A"/>
    <w:rsid w:val="0097412D"/>
    <w:rsid w:val="009744EB"/>
    <w:rsid w:val="0098207B"/>
    <w:rsid w:val="009838F4"/>
    <w:rsid w:val="00983F0D"/>
    <w:rsid w:val="009851EC"/>
    <w:rsid w:val="009879D8"/>
    <w:rsid w:val="00987B9A"/>
    <w:rsid w:val="00995380"/>
    <w:rsid w:val="009957FF"/>
    <w:rsid w:val="009965FF"/>
    <w:rsid w:val="009A1FD3"/>
    <w:rsid w:val="009B7D43"/>
    <w:rsid w:val="009C1C1C"/>
    <w:rsid w:val="009C2A40"/>
    <w:rsid w:val="009D46FE"/>
    <w:rsid w:val="009E43F4"/>
    <w:rsid w:val="009E7A47"/>
    <w:rsid w:val="009F0798"/>
    <w:rsid w:val="009F1C2C"/>
    <w:rsid w:val="009F1D2B"/>
    <w:rsid w:val="009F3E18"/>
    <w:rsid w:val="009F5CB3"/>
    <w:rsid w:val="009F7810"/>
    <w:rsid w:val="00A110FA"/>
    <w:rsid w:val="00A12B8A"/>
    <w:rsid w:val="00A21057"/>
    <w:rsid w:val="00A22DA2"/>
    <w:rsid w:val="00A23265"/>
    <w:rsid w:val="00A2593F"/>
    <w:rsid w:val="00A3412A"/>
    <w:rsid w:val="00A36BE3"/>
    <w:rsid w:val="00A469CC"/>
    <w:rsid w:val="00A544CD"/>
    <w:rsid w:val="00A653AE"/>
    <w:rsid w:val="00A65937"/>
    <w:rsid w:val="00A669ED"/>
    <w:rsid w:val="00A732E7"/>
    <w:rsid w:val="00A839F2"/>
    <w:rsid w:val="00A867D6"/>
    <w:rsid w:val="00A87572"/>
    <w:rsid w:val="00A940AD"/>
    <w:rsid w:val="00AA3DD3"/>
    <w:rsid w:val="00AA729E"/>
    <w:rsid w:val="00AA7DA3"/>
    <w:rsid w:val="00AB67F2"/>
    <w:rsid w:val="00AC1F66"/>
    <w:rsid w:val="00AC63EB"/>
    <w:rsid w:val="00AC67DF"/>
    <w:rsid w:val="00AD2AC4"/>
    <w:rsid w:val="00AD3E28"/>
    <w:rsid w:val="00AD5257"/>
    <w:rsid w:val="00AD6D58"/>
    <w:rsid w:val="00AD7433"/>
    <w:rsid w:val="00AE0260"/>
    <w:rsid w:val="00AE09B8"/>
    <w:rsid w:val="00AE3126"/>
    <w:rsid w:val="00AE3793"/>
    <w:rsid w:val="00AE392F"/>
    <w:rsid w:val="00AE5663"/>
    <w:rsid w:val="00AF5DB2"/>
    <w:rsid w:val="00AF5F51"/>
    <w:rsid w:val="00B02D50"/>
    <w:rsid w:val="00B0405A"/>
    <w:rsid w:val="00B044FB"/>
    <w:rsid w:val="00B05134"/>
    <w:rsid w:val="00B06C74"/>
    <w:rsid w:val="00B17D6D"/>
    <w:rsid w:val="00B17D9B"/>
    <w:rsid w:val="00B22DE8"/>
    <w:rsid w:val="00B23646"/>
    <w:rsid w:val="00B24587"/>
    <w:rsid w:val="00B24B60"/>
    <w:rsid w:val="00B35D9C"/>
    <w:rsid w:val="00B405A8"/>
    <w:rsid w:val="00B450A4"/>
    <w:rsid w:val="00B45232"/>
    <w:rsid w:val="00B46D26"/>
    <w:rsid w:val="00B50758"/>
    <w:rsid w:val="00B63A09"/>
    <w:rsid w:val="00B659D3"/>
    <w:rsid w:val="00B70E0B"/>
    <w:rsid w:val="00B71766"/>
    <w:rsid w:val="00B758B2"/>
    <w:rsid w:val="00B7739E"/>
    <w:rsid w:val="00B81989"/>
    <w:rsid w:val="00B835EA"/>
    <w:rsid w:val="00B876AE"/>
    <w:rsid w:val="00B91732"/>
    <w:rsid w:val="00B91C84"/>
    <w:rsid w:val="00B95594"/>
    <w:rsid w:val="00BA284F"/>
    <w:rsid w:val="00BA5D79"/>
    <w:rsid w:val="00BB1A68"/>
    <w:rsid w:val="00BB1AB9"/>
    <w:rsid w:val="00BC081C"/>
    <w:rsid w:val="00BC1B43"/>
    <w:rsid w:val="00BC20D1"/>
    <w:rsid w:val="00BC779F"/>
    <w:rsid w:val="00BD0407"/>
    <w:rsid w:val="00BD0C45"/>
    <w:rsid w:val="00BD0E32"/>
    <w:rsid w:val="00BD390B"/>
    <w:rsid w:val="00BD3A2C"/>
    <w:rsid w:val="00BD6E99"/>
    <w:rsid w:val="00BE38DB"/>
    <w:rsid w:val="00BE73B6"/>
    <w:rsid w:val="00BF23A9"/>
    <w:rsid w:val="00BF3B3F"/>
    <w:rsid w:val="00BF5DFC"/>
    <w:rsid w:val="00C01480"/>
    <w:rsid w:val="00C02A1F"/>
    <w:rsid w:val="00C02F83"/>
    <w:rsid w:val="00C04831"/>
    <w:rsid w:val="00C07DD0"/>
    <w:rsid w:val="00C129C1"/>
    <w:rsid w:val="00C1423D"/>
    <w:rsid w:val="00C142DA"/>
    <w:rsid w:val="00C14B02"/>
    <w:rsid w:val="00C1505C"/>
    <w:rsid w:val="00C15BC1"/>
    <w:rsid w:val="00C2757D"/>
    <w:rsid w:val="00C30865"/>
    <w:rsid w:val="00C573BA"/>
    <w:rsid w:val="00C628E5"/>
    <w:rsid w:val="00C70D4E"/>
    <w:rsid w:val="00C71B9E"/>
    <w:rsid w:val="00C735E2"/>
    <w:rsid w:val="00C77797"/>
    <w:rsid w:val="00C83E81"/>
    <w:rsid w:val="00C84D56"/>
    <w:rsid w:val="00C970F4"/>
    <w:rsid w:val="00C973A8"/>
    <w:rsid w:val="00CA4C2F"/>
    <w:rsid w:val="00CA510A"/>
    <w:rsid w:val="00CA635A"/>
    <w:rsid w:val="00CB0ED2"/>
    <w:rsid w:val="00CB1F30"/>
    <w:rsid w:val="00CB215B"/>
    <w:rsid w:val="00CB25E2"/>
    <w:rsid w:val="00CB4188"/>
    <w:rsid w:val="00CB58C1"/>
    <w:rsid w:val="00CB6560"/>
    <w:rsid w:val="00CB70B6"/>
    <w:rsid w:val="00CB76E4"/>
    <w:rsid w:val="00CC5AB3"/>
    <w:rsid w:val="00CD0E72"/>
    <w:rsid w:val="00CD189D"/>
    <w:rsid w:val="00CD216F"/>
    <w:rsid w:val="00CD2EB5"/>
    <w:rsid w:val="00CD3860"/>
    <w:rsid w:val="00CD637A"/>
    <w:rsid w:val="00CE238A"/>
    <w:rsid w:val="00CE2E36"/>
    <w:rsid w:val="00CE51FE"/>
    <w:rsid w:val="00CE6E26"/>
    <w:rsid w:val="00CF0CA7"/>
    <w:rsid w:val="00CF5990"/>
    <w:rsid w:val="00D10461"/>
    <w:rsid w:val="00D13393"/>
    <w:rsid w:val="00D168B1"/>
    <w:rsid w:val="00D206A5"/>
    <w:rsid w:val="00D20B30"/>
    <w:rsid w:val="00D20E81"/>
    <w:rsid w:val="00D24E3C"/>
    <w:rsid w:val="00D260D7"/>
    <w:rsid w:val="00D30D04"/>
    <w:rsid w:val="00D341D6"/>
    <w:rsid w:val="00D351D3"/>
    <w:rsid w:val="00D4388B"/>
    <w:rsid w:val="00D461A0"/>
    <w:rsid w:val="00D47FF6"/>
    <w:rsid w:val="00D53226"/>
    <w:rsid w:val="00D5651F"/>
    <w:rsid w:val="00D57F12"/>
    <w:rsid w:val="00D61D7C"/>
    <w:rsid w:val="00D712E3"/>
    <w:rsid w:val="00D71B24"/>
    <w:rsid w:val="00D72BB4"/>
    <w:rsid w:val="00D746BB"/>
    <w:rsid w:val="00D85FD2"/>
    <w:rsid w:val="00D91413"/>
    <w:rsid w:val="00D926E1"/>
    <w:rsid w:val="00D94EDC"/>
    <w:rsid w:val="00D9628D"/>
    <w:rsid w:val="00D96619"/>
    <w:rsid w:val="00D97A70"/>
    <w:rsid w:val="00D97EE7"/>
    <w:rsid w:val="00DA3371"/>
    <w:rsid w:val="00DA6A86"/>
    <w:rsid w:val="00DB492E"/>
    <w:rsid w:val="00DB4B1A"/>
    <w:rsid w:val="00DB6A48"/>
    <w:rsid w:val="00DC0105"/>
    <w:rsid w:val="00DC1726"/>
    <w:rsid w:val="00DC1BEC"/>
    <w:rsid w:val="00DD1AF9"/>
    <w:rsid w:val="00DD2A66"/>
    <w:rsid w:val="00DD6584"/>
    <w:rsid w:val="00DE521F"/>
    <w:rsid w:val="00E02BC3"/>
    <w:rsid w:val="00E0680E"/>
    <w:rsid w:val="00E135D7"/>
    <w:rsid w:val="00E20BD3"/>
    <w:rsid w:val="00E2574C"/>
    <w:rsid w:val="00E26F0C"/>
    <w:rsid w:val="00E30638"/>
    <w:rsid w:val="00E32C92"/>
    <w:rsid w:val="00E35037"/>
    <w:rsid w:val="00E41D3C"/>
    <w:rsid w:val="00E43E86"/>
    <w:rsid w:val="00E47963"/>
    <w:rsid w:val="00E56700"/>
    <w:rsid w:val="00E644C1"/>
    <w:rsid w:val="00E65157"/>
    <w:rsid w:val="00E70047"/>
    <w:rsid w:val="00E70633"/>
    <w:rsid w:val="00E82C25"/>
    <w:rsid w:val="00E86B18"/>
    <w:rsid w:val="00E95F14"/>
    <w:rsid w:val="00EA57FF"/>
    <w:rsid w:val="00EA6FED"/>
    <w:rsid w:val="00EB5743"/>
    <w:rsid w:val="00EB5D35"/>
    <w:rsid w:val="00EC2F58"/>
    <w:rsid w:val="00EC36CD"/>
    <w:rsid w:val="00EC694A"/>
    <w:rsid w:val="00EC6986"/>
    <w:rsid w:val="00ED0650"/>
    <w:rsid w:val="00EE359A"/>
    <w:rsid w:val="00EF04F0"/>
    <w:rsid w:val="00EF7E49"/>
    <w:rsid w:val="00F06BC6"/>
    <w:rsid w:val="00F11D47"/>
    <w:rsid w:val="00F12DA8"/>
    <w:rsid w:val="00F143A9"/>
    <w:rsid w:val="00F15439"/>
    <w:rsid w:val="00F31169"/>
    <w:rsid w:val="00F353CD"/>
    <w:rsid w:val="00F37197"/>
    <w:rsid w:val="00F40FF2"/>
    <w:rsid w:val="00F42F1B"/>
    <w:rsid w:val="00F45080"/>
    <w:rsid w:val="00F4596E"/>
    <w:rsid w:val="00F45FC2"/>
    <w:rsid w:val="00F4627A"/>
    <w:rsid w:val="00F470FB"/>
    <w:rsid w:val="00F60CCB"/>
    <w:rsid w:val="00F61FCA"/>
    <w:rsid w:val="00F638B0"/>
    <w:rsid w:val="00F64185"/>
    <w:rsid w:val="00F849EA"/>
    <w:rsid w:val="00F84F55"/>
    <w:rsid w:val="00F94CA3"/>
    <w:rsid w:val="00F963AB"/>
    <w:rsid w:val="00FA3A1A"/>
    <w:rsid w:val="00FA480F"/>
    <w:rsid w:val="00FA59B6"/>
    <w:rsid w:val="00FA5FEA"/>
    <w:rsid w:val="00FB1934"/>
    <w:rsid w:val="00FB69B9"/>
    <w:rsid w:val="00FC26F1"/>
    <w:rsid w:val="00FC2E1F"/>
    <w:rsid w:val="00FC495D"/>
    <w:rsid w:val="00FE091A"/>
    <w:rsid w:val="00FF66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5DF465-F0D1-4AE1-BC9F-BAB7127A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25"/>
  </w:style>
  <w:style w:type="paragraph" w:styleId="Heading2">
    <w:name w:val="heading 2"/>
    <w:basedOn w:val="Normal"/>
    <w:next w:val="Normal"/>
    <w:link w:val="Heading2Char"/>
    <w:uiPriority w:val="9"/>
    <w:semiHidden/>
    <w:unhideWhenUsed/>
    <w:qFormat/>
    <w:rsid w:val="009523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Header">
    <w:name w:val="header"/>
    <w:basedOn w:val="Normal"/>
    <w:link w:val="HeaderChar"/>
    <w:uiPriority w:val="99"/>
    <w:unhideWhenUsed/>
    <w:rsid w:val="00C1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02"/>
  </w:style>
  <w:style w:type="paragraph" w:styleId="Footer">
    <w:name w:val="footer"/>
    <w:basedOn w:val="Normal"/>
    <w:link w:val="FooterChar"/>
    <w:uiPriority w:val="99"/>
    <w:unhideWhenUsed/>
    <w:rsid w:val="00C1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02"/>
  </w:style>
  <w:style w:type="paragraph" w:styleId="FootnoteText">
    <w:name w:val="footnote text"/>
    <w:basedOn w:val="Normal"/>
    <w:link w:val="FootnoteTextChar"/>
    <w:uiPriority w:val="99"/>
    <w:semiHidden/>
    <w:unhideWhenUsed/>
    <w:rsid w:val="004A5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348"/>
    <w:rPr>
      <w:sz w:val="20"/>
      <w:szCs w:val="20"/>
    </w:rPr>
  </w:style>
  <w:style w:type="character" w:styleId="FootnoteReference">
    <w:name w:val="footnote reference"/>
    <w:basedOn w:val="DefaultParagraphFont"/>
    <w:uiPriority w:val="99"/>
    <w:semiHidden/>
    <w:unhideWhenUsed/>
    <w:rsid w:val="004A5348"/>
    <w:rPr>
      <w:vertAlign w:val="superscript"/>
    </w:rPr>
  </w:style>
  <w:style w:type="character" w:styleId="CommentReference">
    <w:name w:val="annotation reference"/>
    <w:basedOn w:val="DefaultParagraphFont"/>
    <w:uiPriority w:val="99"/>
    <w:semiHidden/>
    <w:unhideWhenUsed/>
    <w:rsid w:val="003B74AE"/>
    <w:rPr>
      <w:sz w:val="16"/>
      <w:szCs w:val="16"/>
    </w:rPr>
  </w:style>
  <w:style w:type="paragraph" w:styleId="CommentText">
    <w:name w:val="annotation text"/>
    <w:basedOn w:val="Normal"/>
    <w:link w:val="CommentTextChar"/>
    <w:uiPriority w:val="99"/>
    <w:semiHidden/>
    <w:unhideWhenUsed/>
    <w:rsid w:val="003B74AE"/>
    <w:pPr>
      <w:spacing w:line="240" w:lineRule="auto"/>
    </w:pPr>
    <w:rPr>
      <w:sz w:val="20"/>
      <w:szCs w:val="20"/>
    </w:rPr>
  </w:style>
  <w:style w:type="character" w:customStyle="1" w:styleId="CommentTextChar">
    <w:name w:val="Comment Text Char"/>
    <w:basedOn w:val="DefaultParagraphFont"/>
    <w:link w:val="CommentText"/>
    <w:uiPriority w:val="99"/>
    <w:semiHidden/>
    <w:rsid w:val="003B74AE"/>
    <w:rPr>
      <w:sz w:val="20"/>
      <w:szCs w:val="20"/>
    </w:rPr>
  </w:style>
  <w:style w:type="paragraph" w:styleId="CommentSubject">
    <w:name w:val="annotation subject"/>
    <w:basedOn w:val="CommentText"/>
    <w:next w:val="CommentText"/>
    <w:link w:val="CommentSubjectChar"/>
    <w:uiPriority w:val="99"/>
    <w:semiHidden/>
    <w:unhideWhenUsed/>
    <w:rsid w:val="003B74AE"/>
    <w:rPr>
      <w:b/>
      <w:bCs/>
    </w:rPr>
  </w:style>
  <w:style w:type="character" w:customStyle="1" w:styleId="CommentSubjectChar">
    <w:name w:val="Comment Subject Char"/>
    <w:basedOn w:val="CommentTextChar"/>
    <w:link w:val="CommentSubject"/>
    <w:uiPriority w:val="99"/>
    <w:semiHidden/>
    <w:rsid w:val="003B74AE"/>
    <w:rPr>
      <w:b/>
      <w:bCs/>
      <w:sz w:val="20"/>
      <w:szCs w:val="20"/>
    </w:rPr>
  </w:style>
  <w:style w:type="paragraph" w:styleId="BalloonText">
    <w:name w:val="Balloon Text"/>
    <w:basedOn w:val="Normal"/>
    <w:link w:val="BalloonTextChar"/>
    <w:uiPriority w:val="99"/>
    <w:semiHidden/>
    <w:unhideWhenUsed/>
    <w:rsid w:val="003B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AE"/>
    <w:rPr>
      <w:rFonts w:ascii="Segoe UI" w:hAnsi="Segoe UI" w:cs="Segoe UI"/>
      <w:sz w:val="18"/>
      <w:szCs w:val="18"/>
    </w:rPr>
  </w:style>
  <w:style w:type="character" w:customStyle="1" w:styleId="Heading2Char">
    <w:name w:val="Heading 2 Char"/>
    <w:basedOn w:val="DefaultParagraphFont"/>
    <w:link w:val="Heading2"/>
    <w:uiPriority w:val="9"/>
    <w:semiHidden/>
    <w:rsid w:val="009523D3"/>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E31A2"/>
    <w:pPr>
      <w:spacing w:after="0" w:line="240" w:lineRule="auto"/>
    </w:pPr>
  </w:style>
  <w:style w:type="paragraph" w:customStyle="1" w:styleId="western">
    <w:name w:val="western"/>
    <w:basedOn w:val="Normal"/>
    <w:rsid w:val="00571A7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9031">
      <w:bodyDiv w:val="1"/>
      <w:marLeft w:val="0"/>
      <w:marRight w:val="0"/>
      <w:marTop w:val="0"/>
      <w:marBottom w:val="0"/>
      <w:divBdr>
        <w:top w:val="none" w:sz="0" w:space="0" w:color="auto"/>
        <w:left w:val="none" w:sz="0" w:space="0" w:color="auto"/>
        <w:bottom w:val="none" w:sz="0" w:space="0" w:color="auto"/>
        <w:right w:val="none" w:sz="0" w:space="0" w:color="auto"/>
      </w:divBdr>
    </w:div>
    <w:div w:id="1566332005">
      <w:bodyDiv w:val="1"/>
      <w:marLeft w:val="0"/>
      <w:marRight w:val="0"/>
      <w:marTop w:val="0"/>
      <w:marBottom w:val="0"/>
      <w:divBdr>
        <w:top w:val="none" w:sz="0" w:space="0" w:color="auto"/>
        <w:left w:val="none" w:sz="0" w:space="0" w:color="auto"/>
        <w:bottom w:val="none" w:sz="0" w:space="0" w:color="auto"/>
        <w:right w:val="none" w:sz="0" w:space="0" w:color="auto"/>
      </w:divBdr>
    </w:div>
    <w:div w:id="20639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3AA7-D82D-4952-A1E1-FA8AB1EA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Yamkela Dleke</dc:creator>
  <cp:keywords/>
  <dc:description/>
  <cp:lastModifiedBy>Mary Bruce</cp:lastModifiedBy>
  <cp:revision>3</cp:revision>
  <cp:lastPrinted>2024-03-08T08:30:00Z</cp:lastPrinted>
  <dcterms:created xsi:type="dcterms:W3CDTF">2024-03-08T08:31:00Z</dcterms:created>
  <dcterms:modified xsi:type="dcterms:W3CDTF">2024-03-08T10:49:00Z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89638e2ad99bd6e75cb53f0a061607ca843c79fe754a8a6e85a761243462d8f2</vt:lpwstr>
  </property>
</Properties>
</file>