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FC0" w14:textId="77777777" w:rsidR="00681133" w:rsidRPr="00F3707A" w:rsidRDefault="00681133" w:rsidP="00681133">
      <w:pPr>
        <w:rPr>
          <w:rFonts w:ascii="Times New Roman" w:hAnsi="Times New Roman" w:cs="Times New Roman"/>
          <w:sz w:val="28"/>
          <w:szCs w:val="28"/>
          <w:highlight w:val="yellow"/>
        </w:rPr>
      </w:pPr>
      <w:bookmarkStart w:id="0" w:name="_GoBack"/>
      <w:bookmarkEnd w:id="0"/>
      <w:r w:rsidRPr="00F3707A">
        <w:rPr>
          <w:rFonts w:ascii="Times New Roman" w:eastAsiaTheme="minorEastAsia" w:hAnsi="Times New Roman" w:cs="Times New Roman"/>
          <w:noProof/>
          <w:sz w:val="28"/>
          <w:szCs w:val="28"/>
          <w:highlight w:val="yellow"/>
          <w:lang w:eastAsia="en-ZA"/>
        </w:rPr>
        <w:drawing>
          <wp:anchor distT="0" distB="0" distL="114300" distR="114300" simplePos="0" relativeHeight="251659264" behindDoc="0" locked="0" layoutInCell="1" allowOverlap="1" wp14:anchorId="79FEB5B2" wp14:editId="2BF056F7">
            <wp:simplePos x="0" y="0"/>
            <wp:positionH relativeFrom="margin">
              <wp:align>center</wp:align>
            </wp:positionH>
            <wp:positionV relativeFrom="paragraph">
              <wp:posOffset>0</wp:posOffset>
            </wp:positionV>
            <wp:extent cx="798830" cy="914400"/>
            <wp:effectExtent l="0" t="0" r="1270" b="0"/>
            <wp:wrapSquare wrapText="bothSides"/>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C98FF" w14:textId="77777777" w:rsidR="00681133" w:rsidRPr="00F3707A" w:rsidRDefault="00681133" w:rsidP="00681133">
      <w:pPr>
        <w:widowControl w:val="0"/>
        <w:autoSpaceDE w:val="0"/>
        <w:autoSpaceDN w:val="0"/>
        <w:adjustRightInd w:val="0"/>
        <w:spacing w:after="0"/>
        <w:rPr>
          <w:rFonts w:ascii="Times New Roman" w:hAnsi="Times New Roman" w:cs="Times New Roman"/>
          <w:sz w:val="28"/>
          <w:szCs w:val="28"/>
          <w:highlight w:val="yellow"/>
        </w:rPr>
      </w:pPr>
    </w:p>
    <w:p w14:paraId="25465D15" w14:textId="77777777" w:rsidR="00681133" w:rsidRPr="00F3707A" w:rsidRDefault="00681133" w:rsidP="00681133">
      <w:pPr>
        <w:widowControl w:val="0"/>
        <w:autoSpaceDE w:val="0"/>
        <w:autoSpaceDN w:val="0"/>
        <w:adjustRightInd w:val="0"/>
        <w:spacing w:after="0"/>
        <w:rPr>
          <w:rFonts w:ascii="Times New Roman" w:eastAsiaTheme="minorEastAsia" w:hAnsi="Times New Roman" w:cs="Times New Roman"/>
          <w:b/>
          <w:bCs/>
          <w:sz w:val="28"/>
          <w:szCs w:val="28"/>
          <w:highlight w:val="yellow"/>
          <w:lang w:eastAsia="en-ZA"/>
        </w:rPr>
      </w:pPr>
    </w:p>
    <w:p w14:paraId="68350656" w14:textId="77777777" w:rsidR="00681133" w:rsidRPr="00F3707A" w:rsidRDefault="00681133" w:rsidP="00F3707A">
      <w:pPr>
        <w:widowControl w:val="0"/>
        <w:autoSpaceDE w:val="0"/>
        <w:autoSpaceDN w:val="0"/>
        <w:adjustRightInd w:val="0"/>
        <w:spacing w:before="120" w:after="0" w:line="240" w:lineRule="auto"/>
        <w:jc w:val="center"/>
        <w:rPr>
          <w:rFonts w:ascii="Arial" w:eastAsiaTheme="minorEastAsia" w:hAnsi="Arial" w:cs="Arial"/>
          <w:b/>
          <w:bCs/>
          <w:sz w:val="24"/>
          <w:szCs w:val="24"/>
          <w:highlight w:val="yellow"/>
          <w:lang w:eastAsia="en-ZA"/>
        </w:rPr>
      </w:pPr>
    </w:p>
    <w:p w14:paraId="5540F186" w14:textId="77777777" w:rsidR="00681133" w:rsidRPr="006738B3" w:rsidRDefault="00681133" w:rsidP="00681133">
      <w:pPr>
        <w:widowControl w:val="0"/>
        <w:autoSpaceDE w:val="0"/>
        <w:autoSpaceDN w:val="0"/>
        <w:adjustRightInd w:val="0"/>
        <w:spacing w:after="120"/>
        <w:jc w:val="center"/>
        <w:rPr>
          <w:rFonts w:ascii="Arial" w:eastAsiaTheme="minorEastAsia" w:hAnsi="Arial" w:cs="Arial"/>
          <w:b/>
          <w:bCs/>
          <w:sz w:val="24"/>
          <w:szCs w:val="24"/>
          <w:lang w:eastAsia="en-ZA"/>
        </w:rPr>
      </w:pPr>
      <w:r w:rsidRPr="006738B3">
        <w:rPr>
          <w:rFonts w:ascii="Arial" w:eastAsiaTheme="minorEastAsia" w:hAnsi="Arial" w:cs="Arial"/>
          <w:b/>
          <w:bCs/>
          <w:sz w:val="24"/>
          <w:szCs w:val="24"/>
          <w:lang w:eastAsia="en-ZA"/>
        </w:rPr>
        <w:t>THE SUPREME COURT OF APPEAL OF SOUTH AFRICA</w:t>
      </w:r>
    </w:p>
    <w:p w14:paraId="377E8B2E" w14:textId="77777777" w:rsidR="00681133" w:rsidRPr="006738B3" w:rsidRDefault="00681133" w:rsidP="00681133">
      <w:pPr>
        <w:widowControl w:val="0"/>
        <w:tabs>
          <w:tab w:val="left" w:pos="623"/>
          <w:tab w:val="left" w:pos="1920"/>
          <w:tab w:val="center" w:pos="4513"/>
        </w:tabs>
        <w:autoSpaceDE w:val="0"/>
        <w:autoSpaceDN w:val="0"/>
        <w:adjustRightInd w:val="0"/>
        <w:spacing w:after="0"/>
        <w:outlineLvl w:val="0"/>
        <w:rPr>
          <w:rFonts w:ascii="Arial" w:eastAsiaTheme="minorEastAsia" w:hAnsi="Arial" w:cs="Arial"/>
          <w:b/>
          <w:bCs/>
          <w:sz w:val="24"/>
          <w:szCs w:val="24"/>
          <w:lang w:eastAsia="en-ZA"/>
        </w:rPr>
      </w:pPr>
      <w:r w:rsidRPr="006738B3">
        <w:rPr>
          <w:rFonts w:ascii="Arial" w:eastAsiaTheme="minorEastAsia" w:hAnsi="Arial" w:cs="Arial"/>
          <w:b/>
          <w:bCs/>
          <w:sz w:val="24"/>
          <w:szCs w:val="24"/>
          <w:lang w:eastAsia="en-ZA"/>
        </w:rPr>
        <w:tab/>
      </w:r>
      <w:r w:rsidRPr="006738B3">
        <w:rPr>
          <w:rFonts w:ascii="Arial" w:eastAsiaTheme="minorEastAsia" w:hAnsi="Arial" w:cs="Arial"/>
          <w:b/>
          <w:bCs/>
          <w:sz w:val="24"/>
          <w:szCs w:val="24"/>
          <w:lang w:eastAsia="en-ZA"/>
        </w:rPr>
        <w:tab/>
      </w:r>
      <w:r w:rsidRPr="006738B3">
        <w:rPr>
          <w:rFonts w:ascii="Arial" w:eastAsiaTheme="minorEastAsia" w:hAnsi="Arial" w:cs="Arial"/>
          <w:b/>
          <w:bCs/>
          <w:sz w:val="24"/>
          <w:szCs w:val="24"/>
          <w:lang w:eastAsia="en-ZA"/>
        </w:rPr>
        <w:tab/>
        <w:t>JUDGMENT</w:t>
      </w:r>
    </w:p>
    <w:p w14:paraId="67B13E2B" w14:textId="35DD172F" w:rsidR="00E605B4" w:rsidRDefault="00E605B4" w:rsidP="00681133">
      <w:pPr>
        <w:widowControl w:val="0"/>
        <w:autoSpaceDE w:val="0"/>
        <w:autoSpaceDN w:val="0"/>
        <w:adjustRightInd w:val="0"/>
        <w:spacing w:after="0"/>
        <w:ind w:left="1440" w:firstLine="720"/>
        <w:jc w:val="right"/>
        <w:outlineLvl w:val="0"/>
        <w:rPr>
          <w:rFonts w:ascii="Arial" w:eastAsiaTheme="minorEastAsia" w:hAnsi="Arial" w:cs="Arial"/>
          <w:b/>
          <w:bCs/>
          <w:sz w:val="24"/>
          <w:szCs w:val="24"/>
          <w:lang w:eastAsia="en-ZA"/>
        </w:rPr>
      </w:pPr>
      <w:bookmarkStart w:id="1" w:name="_Hlk107737895"/>
    </w:p>
    <w:p w14:paraId="0CAE33F6" w14:textId="15AAF74D" w:rsidR="00681133" w:rsidRPr="006738B3" w:rsidRDefault="00681133" w:rsidP="00681133">
      <w:pPr>
        <w:widowControl w:val="0"/>
        <w:autoSpaceDE w:val="0"/>
        <w:autoSpaceDN w:val="0"/>
        <w:adjustRightInd w:val="0"/>
        <w:spacing w:after="0"/>
        <w:ind w:left="1440" w:firstLine="720"/>
        <w:jc w:val="right"/>
        <w:outlineLvl w:val="0"/>
        <w:rPr>
          <w:rFonts w:ascii="Arial" w:eastAsiaTheme="minorEastAsia" w:hAnsi="Arial" w:cs="Arial"/>
          <w:b/>
          <w:bCs/>
          <w:sz w:val="24"/>
          <w:szCs w:val="24"/>
          <w:lang w:eastAsia="en-ZA"/>
        </w:rPr>
      </w:pPr>
      <w:r w:rsidRPr="006738B3">
        <w:rPr>
          <w:rFonts w:ascii="Arial" w:eastAsiaTheme="minorEastAsia" w:hAnsi="Arial" w:cs="Arial"/>
          <w:b/>
          <w:bCs/>
          <w:sz w:val="24"/>
          <w:szCs w:val="24"/>
          <w:lang w:eastAsia="en-ZA"/>
        </w:rPr>
        <w:t>Not Reportable</w:t>
      </w:r>
      <w:bookmarkEnd w:id="1"/>
    </w:p>
    <w:p w14:paraId="120C2C74" w14:textId="77777777" w:rsidR="00681133" w:rsidRPr="006738B3" w:rsidRDefault="00681133" w:rsidP="00681133">
      <w:pPr>
        <w:widowControl w:val="0"/>
        <w:autoSpaceDE w:val="0"/>
        <w:autoSpaceDN w:val="0"/>
        <w:adjustRightInd w:val="0"/>
        <w:spacing w:after="0"/>
        <w:ind w:left="1440" w:firstLine="720"/>
        <w:jc w:val="right"/>
        <w:outlineLvl w:val="0"/>
        <w:rPr>
          <w:rFonts w:ascii="Arial" w:eastAsiaTheme="minorEastAsia" w:hAnsi="Arial" w:cs="Arial"/>
          <w:b/>
          <w:bCs/>
          <w:sz w:val="24"/>
          <w:szCs w:val="24"/>
          <w:lang w:eastAsia="en-ZA"/>
        </w:rPr>
      </w:pPr>
    </w:p>
    <w:p w14:paraId="78120793" w14:textId="1BF4166C" w:rsidR="00681133" w:rsidRPr="006738B3" w:rsidRDefault="00681133" w:rsidP="00681133">
      <w:pPr>
        <w:autoSpaceDE w:val="0"/>
        <w:autoSpaceDN w:val="0"/>
        <w:adjustRightInd w:val="0"/>
        <w:spacing w:after="0"/>
        <w:ind w:firstLine="720"/>
        <w:jc w:val="right"/>
        <w:rPr>
          <w:rFonts w:ascii="Arial" w:hAnsi="Arial" w:cs="Arial"/>
          <w:b/>
          <w:bCs/>
          <w:color w:val="0D0D0D"/>
          <w:sz w:val="24"/>
          <w:szCs w:val="24"/>
        </w:rPr>
      </w:pPr>
      <w:r w:rsidRPr="006738B3">
        <w:rPr>
          <w:rFonts w:ascii="Arial" w:hAnsi="Arial" w:cs="Arial"/>
          <w:color w:val="0D0D0D"/>
          <w:sz w:val="24"/>
          <w:szCs w:val="24"/>
        </w:rPr>
        <w:t xml:space="preserve">Case no: </w:t>
      </w:r>
      <w:r w:rsidRPr="006738B3">
        <w:rPr>
          <w:rFonts w:ascii="Arial" w:eastAsiaTheme="minorEastAsia" w:hAnsi="Arial" w:cs="Arial"/>
          <w:bCs/>
          <w:sz w:val="24"/>
          <w:szCs w:val="24"/>
          <w:lang w:eastAsia="en-ZA"/>
        </w:rPr>
        <w:t>1106/2022</w:t>
      </w:r>
    </w:p>
    <w:p w14:paraId="66B97D66" w14:textId="77777777" w:rsidR="00681133" w:rsidRPr="006738B3" w:rsidRDefault="00681133" w:rsidP="00681133">
      <w:pPr>
        <w:widowControl w:val="0"/>
        <w:autoSpaceDE w:val="0"/>
        <w:autoSpaceDN w:val="0"/>
        <w:adjustRightInd w:val="0"/>
        <w:ind w:left="1440" w:hanging="1440"/>
        <w:rPr>
          <w:rFonts w:ascii="Arial" w:eastAsiaTheme="minorEastAsia" w:hAnsi="Arial" w:cs="Arial"/>
          <w:b/>
          <w:sz w:val="24"/>
          <w:szCs w:val="24"/>
          <w:lang w:eastAsia="en-ZA"/>
        </w:rPr>
      </w:pPr>
    </w:p>
    <w:p w14:paraId="750C9A94" w14:textId="7AFA6071" w:rsidR="00A42BAF" w:rsidRPr="006738B3" w:rsidRDefault="00E1425F" w:rsidP="008C70E3">
      <w:pPr>
        <w:tabs>
          <w:tab w:val="left" w:pos="720"/>
          <w:tab w:val="left" w:pos="1440"/>
          <w:tab w:val="left" w:pos="2160"/>
          <w:tab w:val="left" w:pos="2880"/>
          <w:tab w:val="left" w:pos="3600"/>
          <w:tab w:val="left" w:pos="4320"/>
          <w:tab w:val="left" w:pos="5040"/>
          <w:tab w:val="left" w:pos="5760"/>
          <w:tab w:val="left" w:pos="6480"/>
          <w:tab w:val="right" w:pos="9000"/>
        </w:tabs>
        <w:spacing w:after="0" w:line="276" w:lineRule="auto"/>
        <w:jc w:val="both"/>
        <w:rPr>
          <w:rFonts w:ascii="Arial" w:hAnsi="Arial" w:cs="Arial"/>
          <w:b/>
          <w:sz w:val="24"/>
          <w:szCs w:val="24"/>
        </w:rPr>
      </w:pPr>
      <w:r w:rsidRPr="006738B3">
        <w:rPr>
          <w:rFonts w:ascii="Arial" w:hAnsi="Arial" w:cs="Arial"/>
          <w:b/>
          <w:sz w:val="24"/>
          <w:szCs w:val="24"/>
        </w:rPr>
        <w:t>FEATHERBROOKE HOMEOWNERS</w:t>
      </w:r>
      <w:r w:rsidR="00A42BAF" w:rsidRPr="006738B3">
        <w:rPr>
          <w:rFonts w:ascii="Arial" w:hAnsi="Arial" w:cs="Arial"/>
          <w:b/>
          <w:sz w:val="24"/>
          <w:szCs w:val="24"/>
        </w:rPr>
        <w:t xml:space="preserve">’ </w:t>
      </w:r>
    </w:p>
    <w:p w14:paraId="7F930883" w14:textId="77777777" w:rsidR="00A42BAF" w:rsidRPr="006738B3" w:rsidRDefault="00A42BAF" w:rsidP="00A42BAF">
      <w:pPr>
        <w:tabs>
          <w:tab w:val="left" w:pos="720"/>
          <w:tab w:val="left" w:pos="1440"/>
          <w:tab w:val="left" w:pos="2160"/>
          <w:tab w:val="left" w:pos="2880"/>
          <w:tab w:val="left" w:pos="3600"/>
          <w:tab w:val="left" w:pos="4320"/>
          <w:tab w:val="left" w:pos="5040"/>
          <w:tab w:val="left" w:pos="5760"/>
          <w:tab w:val="left" w:pos="6480"/>
          <w:tab w:val="right" w:pos="9000"/>
        </w:tabs>
        <w:spacing w:after="0" w:line="276" w:lineRule="auto"/>
        <w:jc w:val="both"/>
        <w:rPr>
          <w:rFonts w:ascii="Arial" w:hAnsi="Arial" w:cs="Arial"/>
          <w:b/>
          <w:sz w:val="24"/>
          <w:szCs w:val="24"/>
        </w:rPr>
      </w:pPr>
      <w:r w:rsidRPr="006738B3">
        <w:rPr>
          <w:rFonts w:ascii="Arial" w:hAnsi="Arial" w:cs="Arial"/>
          <w:b/>
          <w:sz w:val="24"/>
          <w:szCs w:val="24"/>
        </w:rPr>
        <w:t xml:space="preserve">ASSOCIATION NPC </w:t>
      </w:r>
    </w:p>
    <w:p w14:paraId="46BA8765" w14:textId="54112D53" w:rsidR="00681133" w:rsidRPr="006738B3" w:rsidRDefault="00A42BAF" w:rsidP="00A42BAF">
      <w:pPr>
        <w:tabs>
          <w:tab w:val="left" w:pos="720"/>
          <w:tab w:val="left" w:pos="1440"/>
          <w:tab w:val="left" w:pos="2160"/>
          <w:tab w:val="left" w:pos="2880"/>
          <w:tab w:val="left" w:pos="3600"/>
          <w:tab w:val="left" w:pos="4320"/>
          <w:tab w:val="left" w:pos="5040"/>
          <w:tab w:val="left" w:pos="5760"/>
          <w:tab w:val="left" w:pos="6480"/>
          <w:tab w:val="right" w:pos="9000"/>
        </w:tabs>
        <w:spacing w:after="0" w:line="276" w:lineRule="auto"/>
        <w:jc w:val="both"/>
        <w:rPr>
          <w:rFonts w:ascii="Arial" w:hAnsi="Arial" w:cs="Arial"/>
          <w:b/>
          <w:sz w:val="24"/>
          <w:szCs w:val="24"/>
        </w:rPr>
      </w:pPr>
      <w:r w:rsidRPr="006738B3">
        <w:rPr>
          <w:rFonts w:ascii="Arial" w:hAnsi="Arial" w:cs="Arial"/>
          <w:b/>
          <w:sz w:val="24"/>
          <w:szCs w:val="24"/>
        </w:rPr>
        <w:t>(Registration Number 2000/0067229/08)</w:t>
      </w:r>
      <w:r w:rsidR="00F3707A">
        <w:rPr>
          <w:rFonts w:ascii="Arial" w:hAnsi="Arial" w:cs="Arial"/>
          <w:b/>
          <w:sz w:val="24"/>
          <w:szCs w:val="24"/>
        </w:rPr>
        <w:tab/>
      </w:r>
      <w:r w:rsidR="00F3707A">
        <w:rPr>
          <w:rFonts w:ascii="Arial" w:hAnsi="Arial" w:cs="Arial"/>
          <w:b/>
          <w:sz w:val="24"/>
          <w:szCs w:val="24"/>
        </w:rPr>
        <w:tab/>
      </w:r>
      <w:r w:rsidR="00F3707A">
        <w:rPr>
          <w:rFonts w:ascii="Arial" w:hAnsi="Arial" w:cs="Arial"/>
          <w:b/>
          <w:sz w:val="24"/>
          <w:szCs w:val="24"/>
        </w:rPr>
        <w:tab/>
      </w:r>
      <w:r w:rsidR="00F3707A">
        <w:rPr>
          <w:rFonts w:ascii="Arial" w:hAnsi="Arial" w:cs="Arial"/>
          <w:b/>
          <w:sz w:val="24"/>
          <w:szCs w:val="24"/>
        </w:rPr>
        <w:tab/>
      </w:r>
      <w:r w:rsidRPr="006738B3">
        <w:rPr>
          <w:rFonts w:ascii="Arial" w:eastAsia="Arial Unicode MS" w:hAnsi="Arial" w:cs="Arial"/>
          <w:b/>
          <w:color w:val="000000"/>
          <w:sz w:val="24"/>
          <w:szCs w:val="24"/>
          <w:u w:color="000000"/>
          <w:lang w:val="en-US" w:eastAsia="en-ZA"/>
        </w:rPr>
        <w:t>APPELLANT</w:t>
      </w:r>
    </w:p>
    <w:p w14:paraId="7CE906A1" w14:textId="77777777" w:rsidR="00681133" w:rsidRPr="006738B3" w:rsidRDefault="00681133" w:rsidP="00681133">
      <w:pPr>
        <w:tabs>
          <w:tab w:val="right" w:pos="9000"/>
        </w:tabs>
        <w:spacing w:after="0" w:line="360" w:lineRule="auto"/>
        <w:jc w:val="both"/>
        <w:rPr>
          <w:rFonts w:ascii="Arial" w:eastAsia="Arial Unicode MS" w:hAnsi="Arial" w:cs="Arial"/>
          <w:b/>
          <w:bCs/>
          <w:color w:val="000000"/>
          <w:sz w:val="24"/>
          <w:szCs w:val="24"/>
          <w:u w:color="000000"/>
          <w:lang w:val="en-US" w:eastAsia="en-ZA"/>
        </w:rPr>
      </w:pPr>
    </w:p>
    <w:p w14:paraId="12B03FA2" w14:textId="77777777" w:rsidR="00681133" w:rsidRPr="006738B3" w:rsidRDefault="00A42BAF" w:rsidP="00681133">
      <w:pPr>
        <w:tabs>
          <w:tab w:val="right" w:pos="9000"/>
        </w:tabs>
        <w:spacing w:after="0" w:line="360" w:lineRule="auto"/>
        <w:jc w:val="both"/>
        <w:rPr>
          <w:rFonts w:ascii="Arial" w:eastAsia="Arial Unicode MS" w:hAnsi="Arial" w:cs="Arial"/>
          <w:b/>
          <w:color w:val="000000"/>
          <w:sz w:val="24"/>
          <w:szCs w:val="24"/>
          <w:u w:color="000000"/>
          <w:lang w:val="en-US" w:eastAsia="en-ZA"/>
        </w:rPr>
      </w:pPr>
      <w:r w:rsidRPr="006738B3">
        <w:rPr>
          <w:rFonts w:ascii="Arial" w:eastAsia="Arial Unicode MS" w:hAnsi="Arial" w:cs="Arial"/>
          <w:b/>
          <w:color w:val="000000"/>
          <w:sz w:val="24"/>
          <w:szCs w:val="24"/>
          <w:u w:color="000000"/>
          <w:lang w:val="en-US" w:eastAsia="en-ZA"/>
        </w:rPr>
        <w:t>and</w:t>
      </w:r>
    </w:p>
    <w:p w14:paraId="0E85E81F" w14:textId="77777777" w:rsidR="00A42BAF" w:rsidRPr="006738B3" w:rsidRDefault="00A42BAF" w:rsidP="00681133">
      <w:pPr>
        <w:tabs>
          <w:tab w:val="right" w:pos="9000"/>
        </w:tabs>
        <w:spacing w:after="0" w:line="360" w:lineRule="auto"/>
        <w:jc w:val="both"/>
        <w:rPr>
          <w:rFonts w:ascii="Arial" w:eastAsia="Arial Unicode MS" w:hAnsi="Arial" w:cs="Arial"/>
          <w:b/>
          <w:color w:val="000000"/>
          <w:sz w:val="24"/>
          <w:szCs w:val="24"/>
          <w:u w:color="000000"/>
          <w:lang w:val="en-US" w:eastAsia="en-ZA"/>
        </w:rPr>
      </w:pPr>
    </w:p>
    <w:p w14:paraId="42269E91" w14:textId="53FD84C5" w:rsidR="00681133" w:rsidRPr="006738B3" w:rsidRDefault="00A42BAF" w:rsidP="00681133">
      <w:pPr>
        <w:rPr>
          <w:rFonts w:ascii="Arial" w:hAnsi="Arial" w:cs="Arial"/>
          <w:sz w:val="24"/>
          <w:szCs w:val="24"/>
        </w:rPr>
      </w:pPr>
      <w:r w:rsidRPr="006738B3">
        <w:rPr>
          <w:rFonts w:ascii="Arial" w:hAnsi="Arial" w:cs="Arial"/>
          <w:b/>
          <w:sz w:val="24"/>
          <w:szCs w:val="24"/>
        </w:rPr>
        <w:t>MOGALE CITY LOCAL MUNICIPALITY</w:t>
      </w:r>
      <w:r w:rsidR="00F3707A">
        <w:rPr>
          <w:rFonts w:ascii="Arial" w:hAnsi="Arial" w:cs="Arial"/>
          <w:b/>
          <w:sz w:val="24"/>
          <w:szCs w:val="24"/>
        </w:rPr>
        <w:tab/>
      </w:r>
      <w:r w:rsidR="00F3707A">
        <w:rPr>
          <w:rFonts w:ascii="Arial" w:hAnsi="Arial" w:cs="Arial"/>
          <w:b/>
          <w:sz w:val="24"/>
          <w:szCs w:val="24"/>
        </w:rPr>
        <w:tab/>
      </w:r>
      <w:r w:rsidR="00F3707A">
        <w:rPr>
          <w:rFonts w:ascii="Arial" w:hAnsi="Arial" w:cs="Arial"/>
          <w:b/>
          <w:sz w:val="24"/>
          <w:szCs w:val="24"/>
        </w:rPr>
        <w:tab/>
      </w:r>
      <w:r w:rsidR="00F3707A">
        <w:rPr>
          <w:rFonts w:ascii="Arial" w:hAnsi="Arial" w:cs="Arial"/>
          <w:b/>
          <w:sz w:val="24"/>
          <w:szCs w:val="24"/>
        </w:rPr>
        <w:tab/>
        <w:t xml:space="preserve">  </w:t>
      </w:r>
      <w:r w:rsidR="00681133" w:rsidRPr="006738B3">
        <w:rPr>
          <w:rFonts w:ascii="Arial" w:eastAsia="Arial Unicode MS" w:hAnsi="Arial" w:cs="Arial"/>
          <w:b/>
          <w:color w:val="000000"/>
          <w:sz w:val="24"/>
          <w:szCs w:val="24"/>
          <w:u w:color="000000"/>
          <w:lang w:val="en-US" w:eastAsia="en-ZA"/>
        </w:rPr>
        <w:t>RESPONDENT</w:t>
      </w:r>
    </w:p>
    <w:p w14:paraId="5E9DE815" w14:textId="77777777" w:rsidR="00681133" w:rsidRPr="006738B3" w:rsidRDefault="00681133" w:rsidP="00681133">
      <w:pPr>
        <w:tabs>
          <w:tab w:val="left" w:pos="720"/>
          <w:tab w:val="left" w:pos="1440"/>
          <w:tab w:val="left" w:pos="2160"/>
          <w:tab w:val="left" w:pos="2880"/>
          <w:tab w:val="left" w:pos="3600"/>
          <w:tab w:val="left" w:pos="4320"/>
          <w:tab w:val="left" w:pos="5040"/>
          <w:tab w:val="left" w:pos="5760"/>
          <w:tab w:val="right" w:pos="9000"/>
        </w:tabs>
        <w:spacing w:after="0" w:line="240" w:lineRule="auto"/>
        <w:jc w:val="both"/>
        <w:rPr>
          <w:rFonts w:ascii="Arial" w:eastAsia="Arial Unicode MS" w:hAnsi="Arial" w:cs="Arial"/>
          <w:b/>
          <w:bCs/>
          <w:color w:val="000000"/>
          <w:sz w:val="24"/>
          <w:szCs w:val="24"/>
          <w:u w:color="000000"/>
          <w:lang w:val="en-US" w:eastAsia="en-ZA"/>
        </w:rPr>
      </w:pPr>
    </w:p>
    <w:p w14:paraId="6ADD4B70" w14:textId="6D0F8CD0" w:rsidR="00681133" w:rsidRPr="0034748A" w:rsidRDefault="00E224B9" w:rsidP="000E47E1">
      <w:pPr>
        <w:spacing w:line="360" w:lineRule="auto"/>
        <w:ind w:left="2160" w:right="-46" w:hanging="2160"/>
        <w:jc w:val="both"/>
        <w:rPr>
          <w:rFonts w:ascii="Arial" w:hAnsi="Arial" w:cs="Arial"/>
          <w:sz w:val="24"/>
          <w:szCs w:val="24"/>
        </w:rPr>
      </w:pPr>
      <w:r w:rsidRPr="00D252C0">
        <w:rPr>
          <w:rFonts w:ascii="Arial" w:hAnsi="Arial" w:cs="Arial"/>
          <w:b/>
          <w:bCs/>
          <w:sz w:val="24"/>
          <w:szCs w:val="24"/>
        </w:rPr>
        <w:t>Neutral citation:</w:t>
      </w:r>
      <w:r w:rsidRPr="00D252C0">
        <w:rPr>
          <w:rFonts w:ascii="Arial" w:hAnsi="Arial" w:cs="Arial"/>
          <w:bCs/>
          <w:sz w:val="24"/>
          <w:szCs w:val="24"/>
        </w:rPr>
        <w:tab/>
      </w:r>
      <w:r w:rsidR="0034748A" w:rsidRPr="0034748A">
        <w:rPr>
          <w:rFonts w:ascii="Arial" w:hAnsi="Arial" w:cs="Arial"/>
          <w:i/>
          <w:sz w:val="24"/>
          <w:szCs w:val="24"/>
        </w:rPr>
        <w:t>Featherbrooke Homeowners’ Association NPC v Mogale City Local Municipality</w:t>
      </w:r>
      <w:r w:rsidR="0034748A" w:rsidRPr="00E224B9">
        <w:rPr>
          <w:rFonts w:ascii="Arial" w:hAnsi="Arial" w:cs="Arial"/>
          <w:sz w:val="24"/>
          <w:szCs w:val="24"/>
        </w:rPr>
        <w:t xml:space="preserve"> </w:t>
      </w:r>
      <w:r>
        <w:rPr>
          <w:rFonts w:ascii="Arial" w:hAnsi="Arial" w:cs="Arial"/>
          <w:bCs/>
          <w:sz w:val="24"/>
          <w:szCs w:val="24"/>
        </w:rPr>
        <w:t>(</w:t>
      </w:r>
      <w:r w:rsidR="0034748A">
        <w:rPr>
          <w:rFonts w:ascii="Arial" w:hAnsi="Arial" w:cs="Arial"/>
          <w:bCs/>
          <w:sz w:val="24"/>
          <w:szCs w:val="24"/>
        </w:rPr>
        <w:t>1106</w:t>
      </w:r>
      <w:r>
        <w:rPr>
          <w:rFonts w:ascii="Arial" w:hAnsi="Arial" w:cs="Arial"/>
          <w:bCs/>
          <w:sz w:val="24"/>
          <w:szCs w:val="24"/>
        </w:rPr>
        <w:t xml:space="preserve">/2022) </w:t>
      </w:r>
      <w:r w:rsidRPr="00D252C0">
        <w:rPr>
          <w:rFonts w:ascii="Arial" w:hAnsi="Arial" w:cs="Arial"/>
          <w:bCs/>
          <w:sz w:val="24"/>
          <w:szCs w:val="24"/>
        </w:rPr>
        <w:t>[202</w:t>
      </w:r>
      <w:r w:rsidR="0034748A">
        <w:rPr>
          <w:rFonts w:ascii="Arial" w:hAnsi="Arial" w:cs="Arial"/>
          <w:bCs/>
          <w:sz w:val="24"/>
          <w:szCs w:val="24"/>
        </w:rPr>
        <w:t>4</w:t>
      </w:r>
      <w:r w:rsidRPr="00D252C0">
        <w:rPr>
          <w:rFonts w:ascii="Arial" w:hAnsi="Arial" w:cs="Arial"/>
          <w:bCs/>
          <w:sz w:val="24"/>
          <w:szCs w:val="24"/>
        </w:rPr>
        <w:t xml:space="preserve">] ZASCA </w:t>
      </w:r>
      <w:r w:rsidR="000E47E1">
        <w:rPr>
          <w:rFonts w:ascii="Arial" w:hAnsi="Arial" w:cs="Arial"/>
          <w:bCs/>
          <w:sz w:val="24"/>
          <w:szCs w:val="24"/>
        </w:rPr>
        <w:t>27</w:t>
      </w:r>
      <w:r>
        <w:rPr>
          <w:rFonts w:ascii="Arial" w:hAnsi="Arial" w:cs="Arial"/>
          <w:bCs/>
          <w:sz w:val="24"/>
          <w:szCs w:val="24"/>
        </w:rPr>
        <w:t xml:space="preserve"> (</w:t>
      </w:r>
      <w:r w:rsidR="000E47E1">
        <w:rPr>
          <w:rFonts w:ascii="Arial" w:hAnsi="Arial" w:cs="Arial"/>
          <w:bCs/>
          <w:sz w:val="24"/>
          <w:szCs w:val="24"/>
        </w:rPr>
        <w:t>22 March 2024)</w:t>
      </w:r>
    </w:p>
    <w:p w14:paraId="46A3F169" w14:textId="4CFAC4E5" w:rsidR="00681133" w:rsidRPr="006738B3" w:rsidRDefault="00681133" w:rsidP="0034748A">
      <w:pPr>
        <w:widowControl w:val="0"/>
        <w:autoSpaceDE w:val="0"/>
        <w:autoSpaceDN w:val="0"/>
        <w:adjustRightInd w:val="0"/>
        <w:spacing w:after="360"/>
        <w:ind w:left="1440" w:hanging="1440"/>
        <w:rPr>
          <w:rFonts w:ascii="Arial" w:eastAsiaTheme="minorEastAsia" w:hAnsi="Arial" w:cs="Arial"/>
          <w:sz w:val="24"/>
          <w:szCs w:val="24"/>
          <w:lang w:eastAsia="en-ZA"/>
        </w:rPr>
      </w:pPr>
      <w:r w:rsidRPr="006738B3">
        <w:rPr>
          <w:rFonts w:ascii="Arial" w:eastAsiaTheme="minorEastAsia" w:hAnsi="Arial" w:cs="Arial"/>
          <w:b/>
          <w:sz w:val="24"/>
          <w:szCs w:val="24"/>
          <w:lang w:eastAsia="en-ZA"/>
        </w:rPr>
        <w:t>Bench:</w:t>
      </w:r>
      <w:r w:rsidRPr="006738B3">
        <w:rPr>
          <w:rFonts w:ascii="Arial" w:eastAsiaTheme="minorEastAsia" w:hAnsi="Arial" w:cs="Arial"/>
          <w:b/>
          <w:sz w:val="24"/>
          <w:szCs w:val="24"/>
          <w:lang w:eastAsia="en-ZA"/>
        </w:rPr>
        <w:tab/>
      </w:r>
      <w:bookmarkStart w:id="2" w:name="_Hlk106661950"/>
      <w:bookmarkStart w:id="3" w:name="_Hlk64406736"/>
      <w:r w:rsidRPr="006738B3">
        <w:rPr>
          <w:rFonts w:ascii="Arial" w:eastAsiaTheme="minorEastAsia" w:hAnsi="Arial" w:cs="Arial"/>
          <w:sz w:val="24"/>
          <w:szCs w:val="24"/>
          <w:lang w:eastAsia="en-ZA"/>
        </w:rPr>
        <w:t xml:space="preserve">MAKGOKA, </w:t>
      </w:r>
      <w:bookmarkEnd w:id="2"/>
      <w:r w:rsidRPr="006738B3">
        <w:rPr>
          <w:rFonts w:ascii="Arial" w:hAnsi="Arial" w:cs="Arial"/>
          <w:sz w:val="24"/>
          <w:szCs w:val="24"/>
        </w:rPr>
        <w:t>MOTHLE, and</w:t>
      </w:r>
      <w:r w:rsidRPr="006738B3">
        <w:rPr>
          <w:rFonts w:ascii="Arial" w:eastAsiaTheme="minorEastAsia" w:hAnsi="Arial" w:cs="Arial"/>
          <w:sz w:val="24"/>
          <w:szCs w:val="24"/>
          <w:lang w:eastAsia="en-ZA"/>
        </w:rPr>
        <w:t xml:space="preserve"> MEYER</w:t>
      </w:r>
      <w:r w:rsidRPr="006738B3">
        <w:rPr>
          <w:rFonts w:ascii="Arial" w:hAnsi="Arial" w:cs="Arial"/>
          <w:sz w:val="24"/>
          <w:szCs w:val="24"/>
        </w:rPr>
        <w:t xml:space="preserve"> JJA, and KATHREE-SETILOANE </w:t>
      </w:r>
      <w:r w:rsidRPr="006738B3">
        <w:rPr>
          <w:rFonts w:ascii="Arial" w:eastAsiaTheme="minorEastAsia" w:hAnsi="Arial" w:cs="Arial"/>
          <w:sz w:val="24"/>
          <w:szCs w:val="24"/>
          <w:lang w:eastAsia="en-ZA"/>
        </w:rPr>
        <w:t>AND MASIPA AJJ</w:t>
      </w:r>
      <w:bookmarkEnd w:id="3"/>
      <w:r w:rsidRPr="006738B3">
        <w:rPr>
          <w:rFonts w:ascii="Arial" w:eastAsiaTheme="minorEastAsia" w:hAnsi="Arial" w:cs="Arial"/>
          <w:sz w:val="24"/>
          <w:szCs w:val="24"/>
          <w:lang w:eastAsia="en-ZA"/>
        </w:rPr>
        <w:t>A</w:t>
      </w:r>
    </w:p>
    <w:p w14:paraId="1A712E60" w14:textId="367E59C9" w:rsidR="00681133" w:rsidRPr="006738B3" w:rsidRDefault="00681133" w:rsidP="0034748A">
      <w:pPr>
        <w:widowControl w:val="0"/>
        <w:autoSpaceDE w:val="0"/>
        <w:autoSpaceDN w:val="0"/>
        <w:adjustRightInd w:val="0"/>
        <w:spacing w:after="360"/>
        <w:ind w:left="1440" w:hanging="1440"/>
        <w:rPr>
          <w:rFonts w:ascii="Arial" w:eastAsiaTheme="minorEastAsia" w:hAnsi="Arial" w:cs="Arial"/>
          <w:sz w:val="24"/>
          <w:szCs w:val="24"/>
          <w:lang w:eastAsia="en-ZA"/>
        </w:rPr>
      </w:pPr>
      <w:r w:rsidRPr="006738B3">
        <w:rPr>
          <w:rFonts w:ascii="Arial" w:eastAsiaTheme="minorEastAsia" w:hAnsi="Arial" w:cs="Arial"/>
          <w:b/>
          <w:sz w:val="24"/>
          <w:szCs w:val="24"/>
          <w:lang w:eastAsia="en-ZA"/>
        </w:rPr>
        <w:t>Heard:</w:t>
      </w:r>
      <w:r w:rsidR="00F3707A">
        <w:rPr>
          <w:rFonts w:ascii="Arial" w:eastAsiaTheme="minorEastAsia" w:hAnsi="Arial" w:cs="Arial"/>
          <w:sz w:val="24"/>
          <w:szCs w:val="24"/>
          <w:lang w:eastAsia="en-ZA"/>
        </w:rPr>
        <w:tab/>
      </w:r>
      <w:r w:rsidRPr="006738B3">
        <w:rPr>
          <w:rFonts w:ascii="Arial" w:eastAsiaTheme="minorEastAsia" w:hAnsi="Arial" w:cs="Arial"/>
          <w:sz w:val="24"/>
          <w:szCs w:val="24"/>
          <w:lang w:eastAsia="en-ZA"/>
        </w:rPr>
        <w:t xml:space="preserve">15 </w:t>
      </w:r>
      <w:r w:rsidRPr="006738B3">
        <w:rPr>
          <w:rFonts w:ascii="Arial" w:hAnsi="Arial" w:cs="Arial"/>
          <w:sz w:val="24"/>
          <w:szCs w:val="24"/>
        </w:rPr>
        <w:t>November</w:t>
      </w:r>
      <w:r w:rsidRPr="006738B3">
        <w:rPr>
          <w:rFonts w:ascii="Arial" w:eastAsiaTheme="minorEastAsia" w:hAnsi="Arial" w:cs="Arial"/>
          <w:sz w:val="24"/>
          <w:szCs w:val="24"/>
          <w:lang w:eastAsia="en-ZA"/>
        </w:rPr>
        <w:t xml:space="preserve"> 2023</w:t>
      </w:r>
    </w:p>
    <w:p w14:paraId="030CDB91" w14:textId="2C8523C0" w:rsidR="00681133" w:rsidRPr="006738B3" w:rsidRDefault="00681133" w:rsidP="0034748A">
      <w:pPr>
        <w:widowControl w:val="0"/>
        <w:autoSpaceDE w:val="0"/>
        <w:autoSpaceDN w:val="0"/>
        <w:adjustRightInd w:val="0"/>
        <w:spacing w:after="360"/>
        <w:outlineLvl w:val="0"/>
        <w:rPr>
          <w:rFonts w:ascii="Arial" w:eastAsiaTheme="minorEastAsia" w:hAnsi="Arial" w:cs="Arial"/>
          <w:sz w:val="24"/>
          <w:szCs w:val="24"/>
          <w:lang w:eastAsia="en-ZA"/>
        </w:rPr>
      </w:pPr>
      <w:r w:rsidRPr="006738B3">
        <w:rPr>
          <w:rFonts w:ascii="Arial" w:eastAsiaTheme="minorEastAsia" w:hAnsi="Arial" w:cs="Arial"/>
          <w:b/>
          <w:sz w:val="24"/>
          <w:szCs w:val="24"/>
          <w:lang w:eastAsia="en-ZA"/>
        </w:rPr>
        <w:t>Delivered:</w:t>
      </w:r>
      <w:r w:rsidRPr="006738B3">
        <w:rPr>
          <w:rFonts w:ascii="Arial" w:eastAsiaTheme="minorEastAsia" w:hAnsi="Arial" w:cs="Arial"/>
          <w:b/>
          <w:sz w:val="24"/>
          <w:szCs w:val="24"/>
          <w:lang w:eastAsia="en-ZA"/>
        </w:rPr>
        <w:tab/>
      </w:r>
      <w:r w:rsidR="00230438">
        <w:rPr>
          <w:rFonts w:ascii="Arial" w:eastAsiaTheme="minorEastAsia" w:hAnsi="Arial" w:cs="Arial"/>
          <w:sz w:val="24"/>
          <w:szCs w:val="24"/>
          <w:lang w:eastAsia="en-ZA"/>
        </w:rPr>
        <w:t>22</w:t>
      </w:r>
      <w:r w:rsidRPr="006738B3">
        <w:rPr>
          <w:rFonts w:ascii="Arial" w:eastAsiaTheme="minorEastAsia" w:hAnsi="Arial" w:cs="Arial"/>
          <w:sz w:val="24"/>
          <w:szCs w:val="24"/>
          <w:lang w:eastAsia="en-ZA"/>
        </w:rPr>
        <w:t xml:space="preserve"> March 2024</w:t>
      </w:r>
    </w:p>
    <w:p w14:paraId="21258DD9" w14:textId="3761BFBF" w:rsidR="00466FEA" w:rsidRPr="0034748A" w:rsidRDefault="00F3707A" w:rsidP="0034748A">
      <w:pPr>
        <w:spacing w:line="360" w:lineRule="auto"/>
        <w:contextualSpacing/>
        <w:jc w:val="both"/>
        <w:rPr>
          <w:rFonts w:ascii="Arial" w:eastAsiaTheme="minorEastAsia" w:hAnsi="Arial" w:cs="Arial"/>
          <w:sz w:val="24"/>
          <w:szCs w:val="24"/>
          <w:lang w:eastAsia="en-ZA"/>
        </w:rPr>
      </w:pPr>
      <w:r>
        <w:rPr>
          <w:rFonts w:ascii="Arial" w:eastAsiaTheme="minorEastAsia" w:hAnsi="Arial" w:cs="Arial"/>
          <w:b/>
          <w:sz w:val="24"/>
          <w:szCs w:val="24"/>
          <w:lang w:eastAsia="en-ZA"/>
        </w:rPr>
        <w:t>Summary:</w:t>
      </w:r>
      <w:r w:rsidR="00681133" w:rsidRPr="0034748A">
        <w:rPr>
          <w:rFonts w:ascii="Arial" w:eastAsiaTheme="minorEastAsia" w:hAnsi="Arial" w:cs="Arial"/>
          <w:sz w:val="24"/>
          <w:szCs w:val="24"/>
          <w:lang w:eastAsia="en-ZA"/>
        </w:rPr>
        <w:tab/>
      </w:r>
      <w:r w:rsidR="00230438">
        <w:rPr>
          <w:rFonts w:ascii="Arial" w:eastAsiaTheme="minorEastAsia" w:hAnsi="Arial" w:cs="Arial"/>
          <w:sz w:val="24"/>
          <w:szCs w:val="24"/>
          <w:lang w:eastAsia="en-ZA"/>
        </w:rPr>
        <w:t xml:space="preserve">Court orders </w:t>
      </w:r>
      <w:r w:rsidR="00744D09" w:rsidRPr="0034748A">
        <w:rPr>
          <w:rFonts w:ascii="Arial" w:eastAsiaTheme="minorEastAsia" w:hAnsi="Arial" w:cs="Arial"/>
          <w:sz w:val="24"/>
          <w:szCs w:val="24"/>
          <w:lang w:eastAsia="en-ZA"/>
        </w:rPr>
        <w:t>– need for clarity</w:t>
      </w:r>
      <w:r w:rsidR="00230438">
        <w:rPr>
          <w:rFonts w:ascii="Arial" w:eastAsiaTheme="minorEastAsia" w:hAnsi="Arial" w:cs="Arial"/>
          <w:sz w:val="24"/>
          <w:szCs w:val="24"/>
          <w:lang w:eastAsia="en-ZA"/>
        </w:rPr>
        <w:t xml:space="preserve"> </w:t>
      </w:r>
      <w:r w:rsidR="0034748A">
        <w:rPr>
          <w:rFonts w:ascii="Arial" w:eastAsiaTheme="minorEastAsia" w:hAnsi="Arial" w:cs="Arial"/>
          <w:sz w:val="24"/>
          <w:szCs w:val="24"/>
          <w:lang w:eastAsia="en-ZA"/>
        </w:rPr>
        <w:t>– court failing to make orders on</w:t>
      </w:r>
      <w:r w:rsidR="00744D09" w:rsidRPr="0034748A">
        <w:rPr>
          <w:rFonts w:ascii="Arial" w:eastAsiaTheme="minorEastAsia" w:hAnsi="Arial" w:cs="Arial"/>
          <w:sz w:val="24"/>
          <w:szCs w:val="24"/>
          <w:lang w:eastAsia="en-ZA"/>
        </w:rPr>
        <w:t xml:space="preserve"> disputes between parties </w:t>
      </w:r>
      <w:r w:rsidR="00230438">
        <w:rPr>
          <w:rFonts w:ascii="Arial" w:eastAsiaTheme="minorEastAsia" w:hAnsi="Arial" w:cs="Arial"/>
          <w:sz w:val="24"/>
          <w:szCs w:val="24"/>
          <w:lang w:eastAsia="en-ZA"/>
        </w:rPr>
        <w:t xml:space="preserve">in granting interdict </w:t>
      </w:r>
      <w:r w:rsidR="00744D09" w:rsidRPr="0034748A">
        <w:rPr>
          <w:rFonts w:ascii="Arial" w:eastAsiaTheme="minorEastAsia" w:hAnsi="Arial" w:cs="Arial"/>
          <w:sz w:val="24"/>
          <w:szCs w:val="24"/>
          <w:lang w:eastAsia="en-ZA"/>
        </w:rPr>
        <w:t xml:space="preserve">– </w:t>
      </w:r>
      <w:r w:rsidR="00466FEA" w:rsidRPr="0034748A">
        <w:rPr>
          <w:rFonts w:ascii="Arial" w:eastAsiaTheme="minorEastAsia" w:hAnsi="Arial" w:cs="Arial"/>
          <w:sz w:val="24"/>
          <w:szCs w:val="24"/>
          <w:lang w:eastAsia="en-ZA"/>
        </w:rPr>
        <w:t>proper discretion not exercised</w:t>
      </w:r>
      <w:r w:rsidR="0034748A">
        <w:rPr>
          <w:rFonts w:ascii="Arial" w:eastAsiaTheme="minorEastAsia" w:hAnsi="Arial" w:cs="Arial"/>
          <w:sz w:val="24"/>
          <w:szCs w:val="24"/>
          <w:lang w:eastAsia="en-ZA"/>
        </w:rPr>
        <w:t xml:space="preserve"> – court order inchoate.</w:t>
      </w:r>
    </w:p>
    <w:p w14:paraId="7CFB0519" w14:textId="7DF499E0" w:rsidR="00720091" w:rsidRDefault="00720091" w:rsidP="0034748A">
      <w:pPr>
        <w:spacing w:line="360" w:lineRule="auto"/>
        <w:contextualSpacing/>
        <w:jc w:val="both"/>
        <w:rPr>
          <w:rFonts w:ascii="Arial" w:eastAsiaTheme="minorEastAsia" w:hAnsi="Arial" w:cs="Arial"/>
          <w:sz w:val="24"/>
          <w:szCs w:val="24"/>
          <w:lang w:eastAsia="en-ZA"/>
        </w:rPr>
      </w:pPr>
    </w:p>
    <w:p w14:paraId="1F4FF01E" w14:textId="19358A61" w:rsidR="00681133" w:rsidRPr="006738B3" w:rsidRDefault="00681133" w:rsidP="0034748A">
      <w:pPr>
        <w:spacing w:line="360" w:lineRule="auto"/>
        <w:contextualSpacing/>
        <w:jc w:val="both"/>
        <w:rPr>
          <w:rFonts w:ascii="Arial" w:eastAsiaTheme="minorEastAsia" w:hAnsi="Arial" w:cs="Arial"/>
          <w:b/>
          <w:sz w:val="24"/>
          <w:szCs w:val="24"/>
          <w:lang w:eastAsia="en-ZA"/>
        </w:rPr>
      </w:pPr>
      <w:r w:rsidRPr="006738B3">
        <w:rPr>
          <w:rFonts w:ascii="Arial" w:eastAsiaTheme="minorEastAsia" w:hAnsi="Arial" w:cs="Arial"/>
          <w:b/>
          <w:sz w:val="24"/>
          <w:szCs w:val="24"/>
          <w:lang w:eastAsia="en-ZA"/>
        </w:rPr>
        <w:br w:type="page"/>
      </w:r>
    </w:p>
    <w:p w14:paraId="08FF62D1" w14:textId="77777777" w:rsidR="005C43C6" w:rsidRDefault="005C43C6" w:rsidP="005C43C6">
      <w:pPr>
        <w:spacing w:before="240" w:after="0" w:line="360" w:lineRule="auto"/>
        <w:ind w:right="-46"/>
        <w:rPr>
          <w:rFonts w:ascii="Arial" w:hAnsi="Arial" w:cs="Arial"/>
          <w:b/>
          <w:sz w:val="24"/>
          <w:szCs w:val="24"/>
        </w:rPr>
      </w:pPr>
      <w:r>
        <w:rPr>
          <w:rFonts w:ascii="Arial" w:hAnsi="Arial" w:cs="Arial"/>
          <w:b/>
          <w:sz w:val="24"/>
          <w:szCs w:val="24"/>
        </w:rPr>
        <w:lastRenderedPageBreak/>
        <w:t>___________________________________________________________________</w:t>
      </w:r>
    </w:p>
    <w:p w14:paraId="487EB278" w14:textId="5C63D54E" w:rsidR="005C43C6" w:rsidRDefault="00720091" w:rsidP="00F3707A">
      <w:pPr>
        <w:spacing w:before="120" w:after="120" w:line="240" w:lineRule="auto"/>
        <w:ind w:right="-45"/>
        <w:jc w:val="center"/>
        <w:rPr>
          <w:rFonts w:ascii="Arial" w:hAnsi="Arial" w:cs="Arial"/>
          <w:b/>
          <w:sz w:val="24"/>
          <w:szCs w:val="24"/>
        </w:rPr>
      </w:pPr>
      <w:r>
        <w:rPr>
          <w:rFonts w:ascii="Arial" w:hAnsi="Arial" w:cs="Arial"/>
          <w:b/>
          <w:sz w:val="24"/>
          <w:szCs w:val="24"/>
        </w:rPr>
        <w:t>ORDER</w:t>
      </w:r>
    </w:p>
    <w:p w14:paraId="0000D01E" w14:textId="4EC804F5" w:rsidR="005C43C6" w:rsidRPr="005C43C6" w:rsidRDefault="005C43C6" w:rsidP="00720091">
      <w:pPr>
        <w:spacing w:after="120" w:line="360" w:lineRule="auto"/>
        <w:ind w:right="-45"/>
        <w:rPr>
          <w:rFonts w:ascii="Arial" w:hAnsi="Arial" w:cs="Arial"/>
          <w:b/>
          <w:sz w:val="24"/>
          <w:szCs w:val="24"/>
        </w:rPr>
      </w:pPr>
      <w:r>
        <w:rPr>
          <w:rFonts w:ascii="Arial" w:hAnsi="Arial" w:cs="Arial"/>
          <w:b/>
          <w:sz w:val="24"/>
          <w:szCs w:val="24"/>
        </w:rPr>
        <w:t>___________________________________________________________________</w:t>
      </w:r>
    </w:p>
    <w:p w14:paraId="7CFB46C3" w14:textId="6F160472" w:rsidR="00681133" w:rsidRPr="006738B3" w:rsidRDefault="00681133" w:rsidP="00720091">
      <w:pPr>
        <w:keepNext/>
        <w:keepLines/>
        <w:shd w:val="clear" w:color="auto" w:fill="FFFFFF"/>
        <w:spacing w:after="0" w:line="360" w:lineRule="auto"/>
        <w:jc w:val="both"/>
        <w:outlineLvl w:val="1"/>
        <w:rPr>
          <w:rFonts w:ascii="Arial" w:eastAsiaTheme="minorEastAsia" w:hAnsi="Arial" w:cs="Arial"/>
          <w:sz w:val="24"/>
          <w:szCs w:val="24"/>
          <w:lang w:eastAsia="en-ZA"/>
        </w:rPr>
      </w:pPr>
      <w:r w:rsidRPr="006738B3">
        <w:rPr>
          <w:rFonts w:ascii="Arial" w:eastAsiaTheme="minorEastAsia" w:hAnsi="Arial" w:cs="Arial"/>
          <w:b/>
          <w:sz w:val="24"/>
          <w:szCs w:val="24"/>
          <w:lang w:eastAsia="en-ZA"/>
        </w:rPr>
        <w:t>On appeal from:</w:t>
      </w:r>
      <w:r w:rsidRPr="006738B3">
        <w:rPr>
          <w:rFonts w:ascii="Arial" w:eastAsiaTheme="minorEastAsia" w:hAnsi="Arial" w:cs="Arial"/>
          <w:sz w:val="24"/>
          <w:szCs w:val="24"/>
          <w:lang w:eastAsia="en-ZA"/>
        </w:rPr>
        <w:t xml:space="preserve"> </w:t>
      </w:r>
      <w:bookmarkStart w:id="4" w:name="_Hlk92393248"/>
      <w:r w:rsidRPr="006738B3">
        <w:rPr>
          <w:rFonts w:ascii="Arial" w:eastAsiaTheme="minorEastAsia" w:hAnsi="Arial" w:cs="Arial"/>
          <w:sz w:val="24"/>
          <w:szCs w:val="24"/>
          <w:lang w:eastAsia="en-ZA"/>
        </w:rPr>
        <w:t xml:space="preserve"> </w:t>
      </w:r>
      <w:r w:rsidRPr="006738B3">
        <w:rPr>
          <w:rFonts w:ascii="Arial" w:hAnsi="Arial" w:cs="Arial"/>
          <w:color w:val="111111"/>
          <w:sz w:val="24"/>
          <w:szCs w:val="24"/>
          <w:shd w:val="clear" w:color="auto" w:fill="FFFFFF"/>
        </w:rPr>
        <w:t xml:space="preserve">Gauteng Division of the High Court, </w:t>
      </w:r>
      <w:bookmarkEnd w:id="4"/>
      <w:r w:rsidR="00A42BAF" w:rsidRPr="006738B3">
        <w:rPr>
          <w:rFonts w:ascii="Arial" w:hAnsi="Arial" w:cs="Arial"/>
          <w:color w:val="111111"/>
          <w:sz w:val="24"/>
          <w:szCs w:val="24"/>
          <w:shd w:val="clear" w:color="auto" w:fill="FFFFFF"/>
        </w:rPr>
        <w:t>Johannesburg</w:t>
      </w:r>
      <w:r w:rsidRPr="006738B3">
        <w:rPr>
          <w:rFonts w:ascii="Arial" w:hAnsi="Arial" w:cs="Arial"/>
          <w:sz w:val="24"/>
          <w:szCs w:val="24"/>
        </w:rPr>
        <w:t xml:space="preserve"> </w:t>
      </w:r>
      <w:r w:rsidR="00A42BAF" w:rsidRPr="006738B3">
        <w:rPr>
          <w:rFonts w:ascii="Arial" w:eastAsiaTheme="minorEastAsia" w:hAnsi="Arial" w:cs="Arial"/>
          <w:sz w:val="24"/>
          <w:szCs w:val="24"/>
          <w:lang w:eastAsia="en-ZA"/>
        </w:rPr>
        <w:t>(Makume, Thwala and Adams</w:t>
      </w:r>
      <w:r w:rsidRPr="006738B3">
        <w:rPr>
          <w:rFonts w:ascii="Arial" w:eastAsiaTheme="minorEastAsia" w:hAnsi="Arial" w:cs="Arial"/>
          <w:sz w:val="24"/>
          <w:szCs w:val="24"/>
          <w:lang w:eastAsia="en-ZA"/>
        </w:rPr>
        <w:t xml:space="preserve"> JJ sitting as a court of appeal):</w:t>
      </w:r>
    </w:p>
    <w:p w14:paraId="32330CFE" w14:textId="3CFBD56D" w:rsidR="00E225EB" w:rsidRPr="00186070" w:rsidRDefault="00186070" w:rsidP="00186070">
      <w:pPr>
        <w:shd w:val="clear" w:color="auto" w:fill="FFFFFF"/>
        <w:spacing w:before="144" w:after="120"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225EB" w:rsidRPr="00186070">
        <w:rPr>
          <w:rFonts w:ascii="Arial" w:hAnsi="Arial" w:cs="Arial"/>
          <w:sz w:val="24"/>
          <w:szCs w:val="24"/>
        </w:rPr>
        <w:t>The appeal is upheld with no orders as to costs.</w:t>
      </w:r>
    </w:p>
    <w:p w14:paraId="6B8645E3" w14:textId="13773203" w:rsidR="00E225EB" w:rsidRPr="00E224B9" w:rsidRDefault="003F32F7" w:rsidP="001E6E8A">
      <w:pPr>
        <w:pStyle w:val="ListParagraph"/>
        <w:shd w:val="clear" w:color="auto" w:fill="FFFFFF"/>
        <w:spacing w:before="144" w:after="120" w:line="360" w:lineRule="auto"/>
        <w:ind w:left="0"/>
        <w:rPr>
          <w:rFonts w:ascii="Arial" w:hAnsi="Arial" w:cs="Arial"/>
          <w:sz w:val="24"/>
          <w:szCs w:val="24"/>
        </w:rPr>
      </w:pPr>
      <w:r w:rsidRPr="00431626">
        <w:rPr>
          <w:rFonts w:ascii="Arial" w:hAnsi="Arial" w:cs="Arial"/>
          <w:sz w:val="24"/>
          <w:szCs w:val="24"/>
        </w:rPr>
        <w:t>2</w:t>
      </w:r>
      <w:r>
        <w:rPr>
          <w:rFonts w:ascii="Arial" w:hAnsi="Arial" w:cs="Arial"/>
          <w:sz w:val="24"/>
          <w:szCs w:val="24"/>
        </w:rPr>
        <w:t xml:space="preserve">   </w:t>
      </w:r>
      <w:r w:rsidR="000E47E1">
        <w:rPr>
          <w:rFonts w:ascii="Arial" w:hAnsi="Arial" w:cs="Arial"/>
          <w:sz w:val="24"/>
          <w:szCs w:val="24"/>
        </w:rPr>
        <w:t xml:space="preserve"> </w:t>
      </w:r>
      <w:r w:rsidR="00E225EB" w:rsidRPr="00E224B9">
        <w:rPr>
          <w:rFonts w:ascii="Arial" w:hAnsi="Arial" w:cs="Arial"/>
          <w:sz w:val="24"/>
          <w:szCs w:val="24"/>
        </w:rPr>
        <w:t>The order of the Full Court of Gauteng Division, Johannesburg is set aside and replaced with the following:</w:t>
      </w:r>
    </w:p>
    <w:p w14:paraId="098F6EB1" w14:textId="77777777" w:rsidR="000E47E1" w:rsidRPr="00E224B9" w:rsidRDefault="000E47E1" w:rsidP="000E47E1">
      <w:pPr>
        <w:pStyle w:val="ListParagraph"/>
        <w:shd w:val="clear" w:color="auto" w:fill="FFFFFF"/>
        <w:spacing w:before="144" w:after="120" w:line="360" w:lineRule="auto"/>
        <w:ind w:left="0"/>
        <w:jc w:val="both"/>
        <w:rPr>
          <w:rFonts w:ascii="Arial" w:hAnsi="Arial" w:cs="Arial"/>
          <w:sz w:val="24"/>
          <w:szCs w:val="24"/>
        </w:rPr>
      </w:pPr>
      <w:r>
        <w:rPr>
          <w:rFonts w:ascii="Arial" w:hAnsi="Arial" w:cs="Arial"/>
          <w:sz w:val="24"/>
          <w:szCs w:val="24"/>
        </w:rPr>
        <w:t xml:space="preserve">‘1 </w:t>
      </w:r>
      <w:r w:rsidRPr="00E224B9">
        <w:rPr>
          <w:rFonts w:ascii="Arial" w:hAnsi="Arial" w:cs="Arial"/>
          <w:sz w:val="24"/>
          <w:szCs w:val="24"/>
        </w:rPr>
        <w:t>The appeal is upheld, with no order as to costs;</w:t>
      </w:r>
    </w:p>
    <w:p w14:paraId="5E963CBD" w14:textId="77777777" w:rsidR="000E47E1" w:rsidRPr="00E224B9" w:rsidRDefault="000E47E1" w:rsidP="000E47E1">
      <w:pPr>
        <w:pStyle w:val="ListParagraph"/>
        <w:shd w:val="clear" w:color="auto" w:fill="FFFFFF"/>
        <w:spacing w:before="144" w:after="120" w:line="360" w:lineRule="auto"/>
        <w:ind w:left="0"/>
        <w:jc w:val="both"/>
        <w:rPr>
          <w:rFonts w:ascii="Arial" w:hAnsi="Arial" w:cs="Arial"/>
          <w:sz w:val="24"/>
          <w:szCs w:val="24"/>
        </w:rPr>
      </w:pPr>
      <w:r>
        <w:rPr>
          <w:rFonts w:ascii="Arial" w:hAnsi="Arial" w:cs="Arial"/>
          <w:sz w:val="24"/>
          <w:szCs w:val="24"/>
        </w:rPr>
        <w:t xml:space="preserve"> 2 The order of the H</w:t>
      </w:r>
      <w:r w:rsidRPr="00E224B9">
        <w:rPr>
          <w:rFonts w:ascii="Arial" w:hAnsi="Arial" w:cs="Arial"/>
          <w:sz w:val="24"/>
          <w:szCs w:val="24"/>
        </w:rPr>
        <w:t xml:space="preserve">igh </w:t>
      </w:r>
      <w:r>
        <w:rPr>
          <w:rFonts w:ascii="Arial" w:hAnsi="Arial" w:cs="Arial"/>
          <w:sz w:val="24"/>
          <w:szCs w:val="24"/>
        </w:rPr>
        <w:t>C</w:t>
      </w:r>
      <w:r w:rsidRPr="00E224B9">
        <w:rPr>
          <w:rFonts w:ascii="Arial" w:hAnsi="Arial" w:cs="Arial"/>
          <w:sz w:val="24"/>
          <w:szCs w:val="24"/>
        </w:rPr>
        <w:t>ourt is set aside and replaced with the following:</w:t>
      </w:r>
    </w:p>
    <w:p w14:paraId="44A50097" w14:textId="77777777" w:rsidR="000E47E1" w:rsidRPr="00E224B9" w:rsidRDefault="000E47E1" w:rsidP="000E47E1">
      <w:pPr>
        <w:pStyle w:val="ListParagraph"/>
        <w:shd w:val="clear" w:color="auto" w:fill="FFFFFF"/>
        <w:spacing w:after="0" w:line="360" w:lineRule="auto"/>
        <w:ind w:left="0"/>
        <w:jc w:val="both"/>
        <w:rPr>
          <w:rFonts w:ascii="Arial" w:hAnsi="Arial" w:cs="Arial"/>
          <w:sz w:val="24"/>
          <w:szCs w:val="24"/>
        </w:rPr>
      </w:pPr>
      <w:r>
        <w:rPr>
          <w:rFonts w:ascii="Arial" w:hAnsi="Arial" w:cs="Arial"/>
          <w:sz w:val="24"/>
          <w:szCs w:val="24"/>
        </w:rPr>
        <w:t xml:space="preserve">‘1 </w:t>
      </w:r>
      <w:r w:rsidRPr="00E224B9">
        <w:rPr>
          <w:rFonts w:ascii="Arial" w:hAnsi="Arial" w:cs="Arial"/>
          <w:sz w:val="24"/>
          <w:szCs w:val="24"/>
        </w:rPr>
        <w:t>The matter is remitted to the High Court to determine:</w:t>
      </w:r>
    </w:p>
    <w:p w14:paraId="09148A35" w14:textId="77777777" w:rsidR="000E47E1" w:rsidRPr="009B6116" w:rsidRDefault="000E47E1" w:rsidP="000E47E1">
      <w:pPr>
        <w:shd w:val="clear" w:color="auto" w:fill="FFFFFF"/>
        <w:spacing w:after="0" w:line="360" w:lineRule="auto"/>
        <w:jc w:val="both"/>
        <w:rPr>
          <w:rFonts w:ascii="Arial" w:hAnsi="Arial" w:cs="Arial"/>
          <w:sz w:val="24"/>
          <w:szCs w:val="24"/>
        </w:rPr>
      </w:pPr>
      <w:r>
        <w:rPr>
          <w:rFonts w:ascii="Arial" w:hAnsi="Arial" w:cs="Arial"/>
          <w:sz w:val="24"/>
          <w:szCs w:val="24"/>
        </w:rPr>
        <w:t xml:space="preserve">(a) </w:t>
      </w:r>
      <w:r w:rsidRPr="009B6116">
        <w:rPr>
          <w:rFonts w:ascii="Arial" w:hAnsi="Arial" w:cs="Arial"/>
          <w:sz w:val="24"/>
          <w:szCs w:val="24"/>
        </w:rPr>
        <w:t>whether, in addition to Mogale City, any of the ori</w:t>
      </w:r>
      <w:r>
        <w:rPr>
          <w:rFonts w:ascii="Arial" w:hAnsi="Arial" w:cs="Arial"/>
          <w:sz w:val="24"/>
          <w:szCs w:val="24"/>
        </w:rPr>
        <w:t xml:space="preserve">ginally cited State entities is </w:t>
      </w:r>
      <w:r w:rsidRPr="009B6116">
        <w:rPr>
          <w:rFonts w:ascii="Arial" w:hAnsi="Arial" w:cs="Arial"/>
          <w:sz w:val="24"/>
          <w:szCs w:val="24"/>
        </w:rPr>
        <w:t>responsible for the remedial work at the Estate, and</w:t>
      </w:r>
    </w:p>
    <w:p w14:paraId="7406D590" w14:textId="77777777" w:rsidR="000E47E1" w:rsidRPr="00E224B9" w:rsidRDefault="000E47E1" w:rsidP="000E47E1">
      <w:pPr>
        <w:shd w:val="clear" w:color="auto" w:fill="FFFFFF"/>
        <w:spacing w:after="0" w:line="360" w:lineRule="auto"/>
        <w:jc w:val="both"/>
        <w:rPr>
          <w:rFonts w:ascii="Arial" w:hAnsi="Arial" w:cs="Arial"/>
          <w:sz w:val="24"/>
          <w:szCs w:val="24"/>
        </w:rPr>
      </w:pPr>
      <w:r>
        <w:rPr>
          <w:rFonts w:ascii="Arial" w:hAnsi="Arial" w:cs="Arial"/>
          <w:sz w:val="24"/>
          <w:szCs w:val="24"/>
        </w:rPr>
        <w:t xml:space="preserve">(b) </w:t>
      </w:r>
      <w:r w:rsidRPr="009B6116">
        <w:rPr>
          <w:rFonts w:ascii="Arial" w:hAnsi="Arial" w:cs="Arial"/>
          <w:sz w:val="24"/>
          <w:szCs w:val="24"/>
        </w:rPr>
        <w:t>an appropriate order in respect of each of the said State entities.’</w:t>
      </w:r>
    </w:p>
    <w:p w14:paraId="407300B0" w14:textId="77777777" w:rsidR="00E225EB" w:rsidRPr="00E1425F" w:rsidRDefault="00E225EB" w:rsidP="00E225EB">
      <w:pPr>
        <w:widowControl w:val="0"/>
        <w:autoSpaceDE w:val="0"/>
        <w:autoSpaceDN w:val="0"/>
        <w:adjustRightInd w:val="0"/>
        <w:spacing w:after="0" w:line="240" w:lineRule="auto"/>
        <w:jc w:val="both"/>
        <w:rPr>
          <w:rFonts w:ascii="Arial" w:eastAsiaTheme="minorEastAsia" w:hAnsi="Arial" w:cs="Arial"/>
          <w:sz w:val="24"/>
          <w:szCs w:val="24"/>
          <w:lang w:eastAsia="en-ZA"/>
        </w:rPr>
      </w:pPr>
    </w:p>
    <w:p w14:paraId="66255D44" w14:textId="56BDBCCC" w:rsidR="005C43C6" w:rsidRDefault="005C43C6" w:rsidP="00720091">
      <w:pPr>
        <w:spacing w:after="0" w:line="360" w:lineRule="auto"/>
        <w:ind w:right="-45"/>
        <w:rPr>
          <w:rFonts w:ascii="Arial" w:hAnsi="Arial" w:cs="Arial"/>
          <w:b/>
          <w:sz w:val="24"/>
          <w:szCs w:val="24"/>
        </w:rPr>
      </w:pPr>
      <w:r>
        <w:rPr>
          <w:rFonts w:ascii="Arial" w:hAnsi="Arial" w:cs="Arial"/>
          <w:b/>
          <w:sz w:val="24"/>
          <w:szCs w:val="24"/>
        </w:rPr>
        <w:t>___________________________________________________________________</w:t>
      </w:r>
    </w:p>
    <w:p w14:paraId="18C68A95" w14:textId="01ADB4E1" w:rsidR="005C43C6" w:rsidRDefault="005C43C6" w:rsidP="00F3707A">
      <w:pPr>
        <w:spacing w:before="120" w:after="0" w:line="240" w:lineRule="auto"/>
        <w:ind w:right="-45"/>
        <w:jc w:val="center"/>
        <w:rPr>
          <w:rFonts w:ascii="Arial" w:hAnsi="Arial" w:cs="Arial"/>
          <w:b/>
          <w:sz w:val="24"/>
          <w:szCs w:val="24"/>
        </w:rPr>
      </w:pPr>
      <w:r>
        <w:rPr>
          <w:rFonts w:ascii="Arial" w:hAnsi="Arial" w:cs="Arial"/>
          <w:b/>
          <w:sz w:val="24"/>
          <w:szCs w:val="24"/>
        </w:rPr>
        <w:t>JUDGMENT</w:t>
      </w:r>
    </w:p>
    <w:p w14:paraId="4800D10D" w14:textId="7CC4EA5D" w:rsidR="005C43C6" w:rsidRDefault="005C43C6" w:rsidP="009D43F4">
      <w:pPr>
        <w:spacing w:before="120" w:after="600" w:line="240" w:lineRule="auto"/>
        <w:ind w:right="-45"/>
        <w:rPr>
          <w:rFonts w:ascii="Arial" w:hAnsi="Arial" w:cs="Arial"/>
          <w:b/>
          <w:sz w:val="24"/>
          <w:szCs w:val="24"/>
        </w:rPr>
      </w:pPr>
      <w:r>
        <w:rPr>
          <w:rFonts w:ascii="Arial" w:hAnsi="Arial" w:cs="Arial"/>
          <w:b/>
          <w:sz w:val="24"/>
          <w:szCs w:val="24"/>
        </w:rPr>
        <w:t>___________________________________________________________________</w:t>
      </w:r>
    </w:p>
    <w:p w14:paraId="7B60FEC5" w14:textId="4E3B6C2B" w:rsidR="009D43F4" w:rsidRPr="009D43F4" w:rsidRDefault="009D43F4" w:rsidP="009D43F4">
      <w:pPr>
        <w:widowControl w:val="0"/>
        <w:autoSpaceDE w:val="0"/>
        <w:autoSpaceDN w:val="0"/>
        <w:adjustRightInd w:val="0"/>
        <w:spacing w:after="120" w:line="240" w:lineRule="auto"/>
        <w:ind w:left="1440" w:hanging="1440"/>
        <w:rPr>
          <w:rFonts w:ascii="Arial" w:eastAsiaTheme="minorEastAsia" w:hAnsi="Arial" w:cs="Arial"/>
          <w:b/>
          <w:sz w:val="24"/>
          <w:szCs w:val="24"/>
          <w:lang w:eastAsia="en-ZA"/>
        </w:rPr>
      </w:pPr>
      <w:r>
        <w:rPr>
          <w:rFonts w:ascii="Arial" w:hAnsi="Arial" w:cs="Arial"/>
          <w:b/>
          <w:sz w:val="24"/>
          <w:szCs w:val="24"/>
        </w:rPr>
        <w:t xml:space="preserve">Makgoka </w:t>
      </w:r>
      <w:r w:rsidRPr="009D43F4">
        <w:rPr>
          <w:rFonts w:ascii="Arial" w:hAnsi="Arial" w:cs="Arial"/>
          <w:b/>
          <w:sz w:val="24"/>
          <w:szCs w:val="24"/>
        </w:rPr>
        <w:t>JA</w:t>
      </w:r>
      <w:r w:rsidRPr="009D43F4">
        <w:rPr>
          <w:rFonts w:ascii="Arial" w:hAnsi="Arial" w:cs="Arial"/>
          <w:sz w:val="24"/>
          <w:szCs w:val="24"/>
        </w:rPr>
        <w:t xml:space="preserve"> </w:t>
      </w:r>
      <w:r w:rsidRPr="009D43F4">
        <w:rPr>
          <w:rFonts w:ascii="Arial" w:hAnsi="Arial" w:cs="Arial"/>
          <w:b/>
          <w:sz w:val="24"/>
          <w:szCs w:val="24"/>
        </w:rPr>
        <w:t>(Mothle and</w:t>
      </w:r>
      <w:r w:rsidRPr="009D43F4">
        <w:rPr>
          <w:rFonts w:ascii="Arial" w:eastAsiaTheme="minorEastAsia" w:hAnsi="Arial" w:cs="Arial"/>
          <w:b/>
          <w:sz w:val="24"/>
          <w:szCs w:val="24"/>
          <w:lang w:eastAsia="en-ZA"/>
        </w:rPr>
        <w:t xml:space="preserve"> Meyer</w:t>
      </w:r>
      <w:r w:rsidRPr="009D43F4">
        <w:rPr>
          <w:rFonts w:ascii="Arial" w:hAnsi="Arial" w:cs="Arial"/>
          <w:b/>
          <w:sz w:val="24"/>
          <w:szCs w:val="24"/>
        </w:rPr>
        <w:t xml:space="preserve"> JJA, and Kathree-Setiloane </w:t>
      </w:r>
      <w:r w:rsidRPr="009D43F4">
        <w:rPr>
          <w:rFonts w:ascii="Arial" w:eastAsiaTheme="minorEastAsia" w:hAnsi="Arial" w:cs="Arial"/>
          <w:b/>
          <w:sz w:val="24"/>
          <w:szCs w:val="24"/>
          <w:lang w:eastAsia="en-ZA"/>
        </w:rPr>
        <w:t xml:space="preserve">and Masipa AJJA </w:t>
      </w:r>
    </w:p>
    <w:p w14:paraId="659D72EB" w14:textId="01C4CD92" w:rsidR="00681133" w:rsidRPr="009D43F4" w:rsidRDefault="00681133" w:rsidP="009D43F4">
      <w:pPr>
        <w:widowControl w:val="0"/>
        <w:autoSpaceDE w:val="0"/>
        <w:autoSpaceDN w:val="0"/>
        <w:adjustRightInd w:val="0"/>
        <w:spacing w:after="0" w:line="240" w:lineRule="auto"/>
        <w:rPr>
          <w:rFonts w:ascii="Arial" w:hAnsi="Arial" w:cs="Arial"/>
          <w:b/>
          <w:sz w:val="24"/>
          <w:szCs w:val="24"/>
        </w:rPr>
      </w:pPr>
      <w:r w:rsidRPr="009D43F4">
        <w:rPr>
          <w:rFonts w:ascii="Arial" w:hAnsi="Arial" w:cs="Arial"/>
          <w:b/>
          <w:sz w:val="24"/>
          <w:szCs w:val="24"/>
        </w:rPr>
        <w:t>concurring):</w:t>
      </w:r>
    </w:p>
    <w:p w14:paraId="760EFF6D" w14:textId="77777777" w:rsidR="009D43F4" w:rsidRPr="009D43F4" w:rsidRDefault="009D43F4" w:rsidP="009D43F4">
      <w:pPr>
        <w:widowControl w:val="0"/>
        <w:autoSpaceDE w:val="0"/>
        <w:autoSpaceDN w:val="0"/>
        <w:adjustRightInd w:val="0"/>
        <w:spacing w:after="120" w:line="240" w:lineRule="auto"/>
        <w:rPr>
          <w:rFonts w:ascii="Arial" w:eastAsiaTheme="minorEastAsia" w:hAnsi="Arial" w:cs="Arial"/>
          <w:sz w:val="24"/>
          <w:szCs w:val="24"/>
          <w:lang w:eastAsia="en-ZA"/>
        </w:rPr>
      </w:pPr>
    </w:p>
    <w:p w14:paraId="7CFE3BF6" w14:textId="1E80E3A8" w:rsidR="00E500D2" w:rsidRPr="00351DC7" w:rsidRDefault="00186070" w:rsidP="00186070">
      <w:pPr>
        <w:pStyle w:val="JUDGMENTNUMBERED"/>
        <w:numPr>
          <w:ilvl w:val="0"/>
          <w:numId w:val="0"/>
        </w:numPr>
        <w:rPr>
          <w:rFonts w:ascii="Arial" w:hAnsi="Arial" w:cs="Arial"/>
          <w:sz w:val="24"/>
          <w:szCs w:val="24"/>
        </w:rPr>
      </w:pPr>
      <w:r w:rsidRPr="00351DC7">
        <w:rPr>
          <w:rFonts w:ascii="Arial" w:hAnsi="Arial" w:cs="Arial"/>
          <w:color w:val="000000"/>
          <w:sz w:val="24"/>
          <w:szCs w:val="24"/>
        </w:rPr>
        <w:t>[1]</w:t>
      </w:r>
      <w:r w:rsidRPr="00351DC7">
        <w:rPr>
          <w:rFonts w:ascii="Arial" w:hAnsi="Arial" w:cs="Arial"/>
          <w:color w:val="000000"/>
          <w:sz w:val="24"/>
          <w:szCs w:val="24"/>
        </w:rPr>
        <w:tab/>
      </w:r>
      <w:r w:rsidR="00434565" w:rsidRPr="00351DC7">
        <w:rPr>
          <w:rFonts w:ascii="Arial" w:hAnsi="Arial" w:cs="Arial"/>
          <w:sz w:val="24"/>
          <w:szCs w:val="24"/>
        </w:rPr>
        <w:t xml:space="preserve">This </w:t>
      </w:r>
      <w:r w:rsidR="00E500D2" w:rsidRPr="00351DC7">
        <w:rPr>
          <w:rFonts w:ascii="Arial" w:hAnsi="Arial" w:cs="Arial"/>
          <w:sz w:val="24"/>
          <w:szCs w:val="24"/>
        </w:rPr>
        <w:t>appeal</w:t>
      </w:r>
      <w:r w:rsidR="00434565" w:rsidRPr="00351DC7">
        <w:rPr>
          <w:rFonts w:ascii="Arial" w:hAnsi="Arial" w:cs="Arial"/>
          <w:sz w:val="24"/>
          <w:szCs w:val="24"/>
        </w:rPr>
        <w:t xml:space="preserve"> is about a misstep by the </w:t>
      </w:r>
      <w:r w:rsidR="00936038" w:rsidRPr="00351DC7">
        <w:rPr>
          <w:rFonts w:ascii="Arial" w:hAnsi="Arial" w:cs="Arial"/>
          <w:sz w:val="24"/>
          <w:szCs w:val="24"/>
        </w:rPr>
        <w:t xml:space="preserve">Gauteng Division of the High Court, </w:t>
      </w:r>
      <w:r w:rsidR="00720091" w:rsidRPr="00351DC7">
        <w:rPr>
          <w:rFonts w:ascii="Arial" w:hAnsi="Arial" w:cs="Arial"/>
          <w:sz w:val="24"/>
          <w:szCs w:val="24"/>
        </w:rPr>
        <w:t xml:space="preserve">Johannesburg (the </w:t>
      </w:r>
      <w:r w:rsidR="00603162" w:rsidRPr="00351DC7">
        <w:rPr>
          <w:rFonts w:ascii="Arial" w:hAnsi="Arial" w:cs="Arial"/>
          <w:sz w:val="24"/>
          <w:szCs w:val="24"/>
        </w:rPr>
        <w:t>H</w:t>
      </w:r>
      <w:r w:rsidR="00720091" w:rsidRPr="00351DC7">
        <w:rPr>
          <w:rFonts w:ascii="Arial" w:hAnsi="Arial" w:cs="Arial"/>
          <w:sz w:val="24"/>
          <w:szCs w:val="24"/>
        </w:rPr>
        <w:t xml:space="preserve">igh </w:t>
      </w:r>
      <w:r w:rsidR="00603162" w:rsidRPr="00351DC7">
        <w:rPr>
          <w:rFonts w:ascii="Arial" w:hAnsi="Arial" w:cs="Arial"/>
          <w:sz w:val="24"/>
          <w:szCs w:val="24"/>
        </w:rPr>
        <w:t>C</w:t>
      </w:r>
      <w:r w:rsidR="00720091" w:rsidRPr="00351DC7">
        <w:rPr>
          <w:rFonts w:ascii="Arial" w:hAnsi="Arial" w:cs="Arial"/>
          <w:sz w:val="24"/>
          <w:szCs w:val="24"/>
        </w:rPr>
        <w:t>ourt) per Mahalelo J. That court failed to resolve the</w:t>
      </w:r>
      <w:r w:rsidR="00720091" w:rsidRPr="00351DC7">
        <w:rPr>
          <w:rFonts w:ascii="Arial" w:hAnsi="Arial" w:cs="Arial"/>
          <w:i/>
          <w:sz w:val="24"/>
          <w:szCs w:val="24"/>
        </w:rPr>
        <w:t xml:space="preserve"> lis</w:t>
      </w:r>
      <w:r w:rsidR="00720091" w:rsidRPr="00351DC7">
        <w:rPr>
          <w:rFonts w:ascii="Arial" w:hAnsi="Arial" w:cs="Arial"/>
          <w:sz w:val="24"/>
          <w:szCs w:val="24"/>
        </w:rPr>
        <w:t xml:space="preserve"> between the appellant, Featherbrooke Homeowners’ Association NPC (Featherbrooke), and each of the five originally</w:t>
      </w:r>
      <w:r w:rsidR="00FB714E" w:rsidRPr="00351DC7">
        <w:rPr>
          <w:rFonts w:ascii="Arial" w:hAnsi="Arial" w:cs="Arial"/>
          <w:sz w:val="24"/>
          <w:szCs w:val="24"/>
        </w:rPr>
        <w:t xml:space="preserve"> </w:t>
      </w:r>
      <w:r w:rsidR="00720091" w:rsidRPr="00351DC7">
        <w:rPr>
          <w:rFonts w:ascii="Arial" w:hAnsi="Arial" w:cs="Arial"/>
          <w:sz w:val="24"/>
          <w:szCs w:val="24"/>
        </w:rPr>
        <w:t xml:space="preserve">cited respondents. Instead, it inexplicably made an order against only the respondent, Mogale City Local Municipality (Mogale City) in the form of a structural interdict. </w:t>
      </w:r>
    </w:p>
    <w:p w14:paraId="6ABF2E66" w14:textId="77777777" w:rsidR="0013213E" w:rsidRPr="00351DC7" w:rsidRDefault="0013213E"/>
    <w:p w14:paraId="25459FE7" w14:textId="5FD8E2C7" w:rsidR="006738B3" w:rsidRPr="00351DC7" w:rsidRDefault="00186070" w:rsidP="00186070">
      <w:pPr>
        <w:shd w:val="clear" w:color="auto" w:fill="FFFFFF"/>
        <w:spacing w:before="144" w:after="120" w:line="360" w:lineRule="auto"/>
        <w:contextualSpacing/>
        <w:jc w:val="both"/>
        <w:rPr>
          <w:rFonts w:ascii="Arial" w:eastAsia="Times New Roman" w:hAnsi="Arial" w:cs="Arial"/>
          <w:sz w:val="24"/>
          <w:szCs w:val="24"/>
        </w:rPr>
      </w:pPr>
      <w:r w:rsidRPr="00351DC7">
        <w:rPr>
          <w:rFonts w:ascii="Arial" w:eastAsia="Times New Roman" w:hAnsi="Arial" w:cs="Arial"/>
          <w:color w:val="000000"/>
          <w:sz w:val="24"/>
          <w:szCs w:val="24"/>
        </w:rPr>
        <w:t>[2]</w:t>
      </w:r>
      <w:r w:rsidRPr="00351DC7">
        <w:rPr>
          <w:rFonts w:ascii="Arial" w:eastAsia="Times New Roman" w:hAnsi="Arial" w:cs="Arial"/>
          <w:color w:val="000000"/>
          <w:sz w:val="24"/>
          <w:szCs w:val="24"/>
        </w:rPr>
        <w:tab/>
      </w:r>
      <w:r w:rsidR="00BF130A" w:rsidRPr="00351DC7">
        <w:rPr>
          <w:rFonts w:ascii="Arial" w:hAnsi="Arial" w:cs="Arial"/>
          <w:sz w:val="24"/>
          <w:szCs w:val="24"/>
        </w:rPr>
        <w:t xml:space="preserve">On appeal to it by Mogale City, the Full Court </w:t>
      </w:r>
      <w:r w:rsidR="00CC452D" w:rsidRPr="00351DC7">
        <w:rPr>
          <w:rFonts w:ascii="Arial" w:hAnsi="Arial" w:cs="Arial"/>
          <w:sz w:val="24"/>
          <w:szCs w:val="24"/>
        </w:rPr>
        <w:t>saw nothing wrong w</w:t>
      </w:r>
      <w:r w:rsidR="009D43F4" w:rsidRPr="00351DC7">
        <w:rPr>
          <w:rFonts w:ascii="Arial" w:hAnsi="Arial" w:cs="Arial"/>
          <w:sz w:val="24"/>
          <w:szCs w:val="24"/>
        </w:rPr>
        <w:t>ith this inchoate order of the High C</w:t>
      </w:r>
      <w:r w:rsidR="00CC452D" w:rsidRPr="00351DC7">
        <w:rPr>
          <w:rFonts w:ascii="Arial" w:hAnsi="Arial" w:cs="Arial"/>
          <w:sz w:val="24"/>
          <w:szCs w:val="24"/>
        </w:rPr>
        <w:t xml:space="preserve">ourt. It simply </w:t>
      </w:r>
      <w:r w:rsidR="00BF130A" w:rsidRPr="00351DC7">
        <w:rPr>
          <w:rFonts w:ascii="Arial" w:hAnsi="Arial" w:cs="Arial"/>
          <w:sz w:val="24"/>
          <w:szCs w:val="24"/>
        </w:rPr>
        <w:t xml:space="preserve">upheld the appeal and set aside the order of the </w:t>
      </w:r>
      <w:r w:rsidR="00603162" w:rsidRPr="00351DC7">
        <w:rPr>
          <w:rFonts w:ascii="Arial" w:hAnsi="Arial" w:cs="Arial"/>
          <w:sz w:val="24"/>
          <w:szCs w:val="24"/>
        </w:rPr>
        <w:t>H</w:t>
      </w:r>
      <w:r w:rsidR="00BF130A" w:rsidRPr="00351DC7">
        <w:rPr>
          <w:rFonts w:ascii="Arial" w:hAnsi="Arial" w:cs="Arial"/>
          <w:sz w:val="24"/>
          <w:szCs w:val="24"/>
        </w:rPr>
        <w:t xml:space="preserve">igh </w:t>
      </w:r>
      <w:r w:rsidR="00603162" w:rsidRPr="00351DC7">
        <w:rPr>
          <w:rFonts w:ascii="Arial" w:hAnsi="Arial" w:cs="Arial"/>
          <w:sz w:val="24"/>
          <w:szCs w:val="24"/>
        </w:rPr>
        <w:t>C</w:t>
      </w:r>
      <w:r w:rsidR="00BF130A" w:rsidRPr="00351DC7">
        <w:rPr>
          <w:rFonts w:ascii="Arial" w:hAnsi="Arial" w:cs="Arial"/>
          <w:sz w:val="24"/>
          <w:szCs w:val="24"/>
        </w:rPr>
        <w:t xml:space="preserve">ourt and replaced it with an order dismissing Featherbrooke’s application with costs. Featherbrooke now appeals to us with </w:t>
      </w:r>
      <w:r w:rsidR="006738B3" w:rsidRPr="00351DC7">
        <w:rPr>
          <w:rFonts w:ascii="Arial" w:hAnsi="Arial" w:cs="Arial"/>
          <w:sz w:val="24"/>
          <w:szCs w:val="24"/>
        </w:rPr>
        <w:t xml:space="preserve">the special leave of </w:t>
      </w:r>
      <w:r w:rsidR="00BF130A" w:rsidRPr="00351DC7">
        <w:rPr>
          <w:rFonts w:ascii="Arial" w:hAnsi="Arial" w:cs="Arial"/>
          <w:sz w:val="24"/>
          <w:szCs w:val="24"/>
        </w:rPr>
        <w:t xml:space="preserve">this Court. </w:t>
      </w:r>
    </w:p>
    <w:p w14:paraId="3E57852F" w14:textId="3D54233E" w:rsidR="00BF130A" w:rsidRPr="00351DC7" w:rsidRDefault="00186070" w:rsidP="00186070">
      <w:pPr>
        <w:shd w:val="clear" w:color="auto" w:fill="FFFFFF"/>
        <w:spacing w:before="144" w:after="120" w:line="360" w:lineRule="auto"/>
        <w:contextualSpacing/>
        <w:jc w:val="both"/>
        <w:rPr>
          <w:rFonts w:ascii="Arial" w:eastAsia="Times New Roman" w:hAnsi="Arial" w:cs="Arial"/>
          <w:sz w:val="24"/>
          <w:szCs w:val="24"/>
        </w:rPr>
      </w:pPr>
      <w:r w:rsidRPr="00351DC7">
        <w:rPr>
          <w:rFonts w:ascii="Arial" w:eastAsia="Times New Roman" w:hAnsi="Arial" w:cs="Arial"/>
          <w:color w:val="000000"/>
          <w:sz w:val="24"/>
          <w:szCs w:val="24"/>
        </w:rPr>
        <w:lastRenderedPageBreak/>
        <w:t>[3]</w:t>
      </w:r>
      <w:r w:rsidRPr="00351DC7">
        <w:rPr>
          <w:rFonts w:ascii="Arial" w:eastAsia="Times New Roman" w:hAnsi="Arial" w:cs="Arial"/>
          <w:color w:val="000000"/>
          <w:sz w:val="24"/>
          <w:szCs w:val="24"/>
        </w:rPr>
        <w:tab/>
      </w:r>
      <w:r w:rsidR="00BF130A" w:rsidRPr="00351DC7">
        <w:rPr>
          <w:rFonts w:ascii="Arial" w:hAnsi="Arial" w:cs="Arial"/>
          <w:sz w:val="24"/>
          <w:szCs w:val="24"/>
        </w:rPr>
        <w:t xml:space="preserve">The </w:t>
      </w:r>
      <w:r w:rsidR="004A1FAE" w:rsidRPr="00351DC7">
        <w:rPr>
          <w:rFonts w:ascii="Arial" w:hAnsi="Arial" w:cs="Arial"/>
          <w:sz w:val="24"/>
          <w:szCs w:val="24"/>
        </w:rPr>
        <w:t>errors made</w:t>
      </w:r>
      <w:r w:rsidR="005C28FD" w:rsidRPr="00351DC7">
        <w:rPr>
          <w:rFonts w:ascii="Arial" w:hAnsi="Arial" w:cs="Arial"/>
          <w:sz w:val="24"/>
          <w:szCs w:val="24"/>
        </w:rPr>
        <w:t xml:space="preserve"> </w:t>
      </w:r>
      <w:r w:rsidR="00BF130A" w:rsidRPr="00351DC7">
        <w:rPr>
          <w:rFonts w:ascii="Arial" w:hAnsi="Arial" w:cs="Arial"/>
          <w:sz w:val="24"/>
          <w:szCs w:val="24"/>
        </w:rPr>
        <w:t>by the two courts below have resulted in an unnecessary appeal to this Court, with attendant wasted costs and a delay in resolving the issues between the parties.</w:t>
      </w:r>
      <w:r w:rsidR="0034748A" w:rsidRPr="00351DC7">
        <w:rPr>
          <w:rFonts w:ascii="Arial" w:hAnsi="Arial" w:cs="Arial"/>
          <w:sz w:val="24"/>
          <w:szCs w:val="24"/>
        </w:rPr>
        <w:t xml:space="preserve"> This is regrettable.</w:t>
      </w:r>
      <w:r w:rsidR="00BF130A" w:rsidRPr="00351DC7">
        <w:rPr>
          <w:rFonts w:ascii="Arial" w:hAnsi="Arial" w:cs="Arial"/>
          <w:sz w:val="24"/>
          <w:szCs w:val="24"/>
        </w:rPr>
        <w:t xml:space="preserve"> </w:t>
      </w:r>
    </w:p>
    <w:p w14:paraId="00F4D65B" w14:textId="77777777" w:rsidR="00466FEA" w:rsidRPr="00351DC7" w:rsidRDefault="00466FEA" w:rsidP="006738B3">
      <w:pPr>
        <w:shd w:val="clear" w:color="auto" w:fill="FFFFFF"/>
        <w:spacing w:before="144" w:after="120" w:line="360" w:lineRule="auto"/>
        <w:contextualSpacing/>
        <w:jc w:val="both"/>
        <w:rPr>
          <w:rFonts w:ascii="Arial" w:eastAsia="Times New Roman" w:hAnsi="Arial" w:cs="Arial"/>
          <w:sz w:val="24"/>
          <w:szCs w:val="24"/>
        </w:rPr>
      </w:pPr>
    </w:p>
    <w:p w14:paraId="719868AD" w14:textId="77777777" w:rsidR="00354CD9" w:rsidRPr="00351DC7" w:rsidRDefault="00354CD9" w:rsidP="00354CD9">
      <w:pPr>
        <w:shd w:val="clear" w:color="auto" w:fill="FFFFFF"/>
        <w:spacing w:before="144" w:after="120" w:line="360" w:lineRule="auto"/>
        <w:contextualSpacing/>
        <w:jc w:val="both"/>
        <w:rPr>
          <w:rFonts w:ascii="Arial" w:hAnsi="Arial" w:cs="Arial"/>
          <w:b/>
          <w:sz w:val="24"/>
          <w:szCs w:val="24"/>
        </w:rPr>
      </w:pPr>
      <w:r w:rsidRPr="00351DC7">
        <w:rPr>
          <w:rFonts w:ascii="Arial" w:hAnsi="Arial" w:cs="Arial"/>
          <w:b/>
          <w:sz w:val="24"/>
          <w:szCs w:val="24"/>
        </w:rPr>
        <w:t>Background facts</w:t>
      </w:r>
    </w:p>
    <w:p w14:paraId="7EF4AF6D" w14:textId="5331ECBE" w:rsidR="000D6233"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[4]</w:t>
      </w:r>
      <w:r w:rsidRPr="00351DC7">
        <w:rPr>
          <w:rFonts w:ascii="Arial" w:hAnsi="Arial" w:cs="Arial"/>
          <w:color w:val="000000"/>
          <w:sz w:val="24"/>
          <w:szCs w:val="24"/>
        </w:rPr>
        <w:tab/>
      </w:r>
      <w:r w:rsidR="00247B5E" w:rsidRPr="00351DC7">
        <w:rPr>
          <w:rFonts w:ascii="Arial" w:hAnsi="Arial" w:cs="Arial"/>
          <w:sz w:val="24"/>
          <w:szCs w:val="24"/>
        </w:rPr>
        <w:t xml:space="preserve">Featherbrooke </w:t>
      </w:r>
      <w:r w:rsidR="003C29EC" w:rsidRPr="00351DC7">
        <w:rPr>
          <w:rFonts w:ascii="Arial" w:hAnsi="Arial" w:cs="Arial"/>
          <w:sz w:val="24"/>
          <w:szCs w:val="24"/>
        </w:rPr>
        <w:t xml:space="preserve">Country Estate (the Estate) is a residential complex situated in Mogale City Local Municipality </w:t>
      </w:r>
      <w:r w:rsidR="002E43F0" w:rsidRPr="00351DC7">
        <w:rPr>
          <w:rFonts w:ascii="Arial" w:hAnsi="Arial" w:cs="Arial"/>
          <w:sz w:val="24"/>
          <w:szCs w:val="24"/>
        </w:rPr>
        <w:t xml:space="preserve">(Mogale City) </w:t>
      </w:r>
      <w:r w:rsidR="003C29EC" w:rsidRPr="00351DC7">
        <w:rPr>
          <w:rFonts w:ascii="Arial" w:hAnsi="Arial" w:cs="Arial"/>
          <w:sz w:val="24"/>
          <w:szCs w:val="24"/>
        </w:rPr>
        <w:t xml:space="preserve">in </w:t>
      </w:r>
      <w:r w:rsidR="002E43F0" w:rsidRPr="00351DC7">
        <w:rPr>
          <w:rFonts w:ascii="Arial" w:hAnsi="Arial" w:cs="Arial"/>
          <w:sz w:val="24"/>
          <w:szCs w:val="24"/>
        </w:rPr>
        <w:t xml:space="preserve">the </w:t>
      </w:r>
      <w:r w:rsidR="00900418" w:rsidRPr="00351DC7">
        <w:rPr>
          <w:rFonts w:ascii="Arial" w:hAnsi="Arial" w:cs="Arial"/>
          <w:sz w:val="24"/>
          <w:szCs w:val="24"/>
        </w:rPr>
        <w:t xml:space="preserve">rural </w:t>
      </w:r>
      <w:r w:rsidR="002E43F0" w:rsidRPr="00351DC7">
        <w:rPr>
          <w:rFonts w:ascii="Arial" w:hAnsi="Arial" w:cs="Arial"/>
          <w:sz w:val="24"/>
          <w:szCs w:val="24"/>
        </w:rPr>
        <w:t xml:space="preserve">western part of </w:t>
      </w:r>
      <w:r w:rsidR="003C29EC" w:rsidRPr="00351DC7">
        <w:rPr>
          <w:rFonts w:ascii="Arial" w:hAnsi="Arial" w:cs="Arial"/>
          <w:sz w:val="24"/>
          <w:szCs w:val="24"/>
        </w:rPr>
        <w:t xml:space="preserve">Gauteng Province. </w:t>
      </w:r>
      <w:r w:rsidR="000D6233" w:rsidRPr="00351DC7">
        <w:rPr>
          <w:rFonts w:ascii="Arial" w:hAnsi="Arial" w:cs="Arial"/>
          <w:sz w:val="24"/>
          <w:szCs w:val="24"/>
        </w:rPr>
        <w:t>Mogale City is a local municipality established in terms of s 12(1) read with ss 14(2) and 90(2) of the Local Government: Municipal Structures Act.</w:t>
      </w:r>
      <w:r w:rsidR="000D6233" w:rsidRPr="00351DC7">
        <w:rPr>
          <w:rStyle w:val="FootnoteReference"/>
          <w:rFonts w:ascii="Arial" w:hAnsi="Arial" w:cs="Arial"/>
          <w:sz w:val="24"/>
          <w:szCs w:val="24"/>
        </w:rPr>
        <w:footnoteReference w:id="1"/>
      </w:r>
      <w:r w:rsidR="000D6233" w:rsidRPr="00351DC7">
        <w:rPr>
          <w:rFonts w:ascii="Arial" w:hAnsi="Arial" w:cs="Arial"/>
          <w:sz w:val="24"/>
          <w:szCs w:val="24"/>
        </w:rPr>
        <w:t xml:space="preserve"> </w:t>
      </w:r>
      <w:r w:rsidR="003C29EC" w:rsidRPr="00351DC7">
        <w:rPr>
          <w:rFonts w:ascii="Arial" w:hAnsi="Arial" w:cs="Arial"/>
          <w:sz w:val="24"/>
          <w:szCs w:val="24"/>
        </w:rPr>
        <w:t xml:space="preserve">The Estate was declared an approved township in 1996. </w:t>
      </w:r>
      <w:r w:rsidR="000D6233" w:rsidRPr="00351DC7">
        <w:rPr>
          <w:rFonts w:ascii="Arial" w:hAnsi="Arial" w:cs="Arial"/>
          <w:sz w:val="24"/>
          <w:szCs w:val="24"/>
        </w:rPr>
        <w:t xml:space="preserve">Its </w:t>
      </w:r>
      <w:r w:rsidR="003C29EC" w:rsidRPr="00351DC7">
        <w:rPr>
          <w:rFonts w:ascii="Arial" w:hAnsi="Arial" w:cs="Arial"/>
          <w:sz w:val="24"/>
          <w:szCs w:val="24"/>
        </w:rPr>
        <w:t xml:space="preserve">affairs are managed by </w:t>
      </w:r>
      <w:r w:rsidR="00247B5E" w:rsidRPr="00351DC7">
        <w:rPr>
          <w:rFonts w:ascii="Arial" w:hAnsi="Arial" w:cs="Arial"/>
          <w:sz w:val="24"/>
          <w:szCs w:val="24"/>
        </w:rPr>
        <w:t>Featherbrooke</w:t>
      </w:r>
      <w:r w:rsidR="00BF130A" w:rsidRPr="00351DC7">
        <w:rPr>
          <w:rFonts w:ascii="Arial" w:hAnsi="Arial" w:cs="Arial"/>
          <w:sz w:val="24"/>
          <w:szCs w:val="24"/>
        </w:rPr>
        <w:t>,</w:t>
      </w:r>
      <w:r w:rsidR="00247B5E" w:rsidRPr="00351DC7">
        <w:rPr>
          <w:rFonts w:ascii="Arial" w:hAnsi="Arial" w:cs="Arial"/>
          <w:sz w:val="24"/>
          <w:szCs w:val="24"/>
        </w:rPr>
        <w:t xml:space="preserve"> </w:t>
      </w:r>
      <w:r w:rsidR="000D6233" w:rsidRPr="00351DC7">
        <w:rPr>
          <w:rFonts w:ascii="Arial" w:hAnsi="Arial" w:cs="Arial"/>
          <w:sz w:val="24"/>
          <w:szCs w:val="24"/>
        </w:rPr>
        <w:t>a registered non-profit company.</w:t>
      </w:r>
    </w:p>
    <w:p w14:paraId="0826A3A7" w14:textId="77777777"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5506707D" w14:textId="711524CE" w:rsidR="00BF130A"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[5]</w:t>
      </w:r>
      <w:r w:rsidRPr="00351DC7">
        <w:rPr>
          <w:rFonts w:ascii="Arial" w:hAnsi="Arial" w:cs="Arial"/>
          <w:color w:val="000000"/>
          <w:sz w:val="24"/>
          <w:szCs w:val="24"/>
        </w:rPr>
        <w:tab/>
      </w:r>
      <w:r w:rsidR="002E43F0" w:rsidRPr="00351DC7">
        <w:rPr>
          <w:rFonts w:ascii="Arial" w:hAnsi="Arial" w:cs="Arial"/>
          <w:sz w:val="24"/>
          <w:szCs w:val="24"/>
        </w:rPr>
        <w:t xml:space="preserve">The Muldersdrift se Loop River (the </w:t>
      </w:r>
      <w:r w:rsidR="00BF130A" w:rsidRPr="00351DC7">
        <w:rPr>
          <w:rFonts w:ascii="Arial" w:hAnsi="Arial" w:cs="Arial"/>
          <w:sz w:val="24"/>
          <w:szCs w:val="24"/>
        </w:rPr>
        <w:t>r</w:t>
      </w:r>
      <w:r w:rsidR="002E43F0" w:rsidRPr="00351DC7">
        <w:rPr>
          <w:rFonts w:ascii="Arial" w:hAnsi="Arial" w:cs="Arial"/>
          <w:sz w:val="24"/>
          <w:szCs w:val="24"/>
        </w:rPr>
        <w:t xml:space="preserve">iver) traverses the </w:t>
      </w:r>
      <w:r w:rsidR="006738B3" w:rsidRPr="00351DC7">
        <w:rPr>
          <w:rFonts w:ascii="Arial" w:hAnsi="Arial" w:cs="Arial"/>
          <w:sz w:val="24"/>
          <w:szCs w:val="24"/>
        </w:rPr>
        <w:t>area of jurisdiction of the City of Johannesburg, right through the Estate</w:t>
      </w:r>
      <w:r w:rsidR="002E43F0" w:rsidRPr="00351DC7">
        <w:rPr>
          <w:rFonts w:ascii="Arial" w:hAnsi="Arial" w:cs="Arial"/>
          <w:sz w:val="24"/>
          <w:szCs w:val="24"/>
        </w:rPr>
        <w:t xml:space="preserve"> in the</w:t>
      </w:r>
      <w:r w:rsidR="006738B3" w:rsidRPr="00351DC7">
        <w:rPr>
          <w:rFonts w:ascii="Arial" w:hAnsi="Arial" w:cs="Arial"/>
          <w:sz w:val="24"/>
          <w:szCs w:val="24"/>
        </w:rPr>
        <w:t xml:space="preserve"> area of</w:t>
      </w:r>
      <w:r w:rsidR="002E43F0" w:rsidRPr="00351DC7">
        <w:rPr>
          <w:rFonts w:ascii="Arial" w:hAnsi="Arial" w:cs="Arial"/>
          <w:sz w:val="24"/>
          <w:szCs w:val="24"/>
        </w:rPr>
        <w:t xml:space="preserve"> jurisdiction of Mogale City, and ends in the Hartbeespoort Dam in the North West Province. According to </w:t>
      </w:r>
      <w:r w:rsidR="00E1425F" w:rsidRPr="00351DC7">
        <w:rPr>
          <w:rFonts w:ascii="Arial" w:hAnsi="Arial" w:cs="Arial"/>
          <w:sz w:val="24"/>
          <w:szCs w:val="24"/>
        </w:rPr>
        <w:t>Featherbrooke</w:t>
      </w:r>
      <w:r w:rsidR="002E43F0" w:rsidRPr="00351DC7">
        <w:rPr>
          <w:rFonts w:ascii="Arial" w:hAnsi="Arial" w:cs="Arial"/>
          <w:sz w:val="24"/>
          <w:szCs w:val="24"/>
        </w:rPr>
        <w:t xml:space="preserve">, </w:t>
      </w:r>
      <w:r w:rsidR="00A06174" w:rsidRPr="00351DC7">
        <w:rPr>
          <w:rFonts w:ascii="Arial" w:hAnsi="Arial" w:cs="Arial"/>
          <w:sz w:val="24"/>
          <w:szCs w:val="24"/>
        </w:rPr>
        <w:t xml:space="preserve">historically, the river came down into the Estate as a manageable stream which was far smaller in volume and velocity. However, </w:t>
      </w:r>
      <w:r w:rsidR="00EE7432" w:rsidRPr="00351DC7">
        <w:rPr>
          <w:rFonts w:ascii="Arial" w:hAnsi="Arial" w:cs="Arial"/>
          <w:sz w:val="24"/>
          <w:szCs w:val="24"/>
        </w:rPr>
        <w:t xml:space="preserve">over the years, </w:t>
      </w:r>
      <w:r w:rsidR="00A06174" w:rsidRPr="00351DC7">
        <w:rPr>
          <w:rFonts w:ascii="Arial" w:hAnsi="Arial" w:cs="Arial"/>
          <w:sz w:val="24"/>
          <w:szCs w:val="24"/>
        </w:rPr>
        <w:t xml:space="preserve">due to </w:t>
      </w:r>
      <w:r w:rsidR="00EE7432" w:rsidRPr="00351DC7">
        <w:rPr>
          <w:rFonts w:ascii="Arial" w:hAnsi="Arial" w:cs="Arial"/>
          <w:sz w:val="24"/>
          <w:szCs w:val="24"/>
        </w:rPr>
        <w:t>an increase in urban development and climate change</w:t>
      </w:r>
      <w:r w:rsidR="00A06174" w:rsidRPr="00351DC7">
        <w:rPr>
          <w:rFonts w:ascii="Arial" w:hAnsi="Arial" w:cs="Arial"/>
          <w:sz w:val="24"/>
          <w:szCs w:val="24"/>
        </w:rPr>
        <w:t>,</w:t>
      </w:r>
      <w:r w:rsidR="00EE7432" w:rsidRPr="00351DC7">
        <w:rPr>
          <w:rFonts w:ascii="Arial" w:hAnsi="Arial" w:cs="Arial"/>
          <w:sz w:val="24"/>
          <w:szCs w:val="24"/>
        </w:rPr>
        <w:t xml:space="preserve"> the volume and quantity of storm water into the river</w:t>
      </w:r>
      <w:r w:rsidR="00A06174" w:rsidRPr="00351DC7">
        <w:rPr>
          <w:rFonts w:ascii="Arial" w:hAnsi="Arial" w:cs="Arial"/>
          <w:sz w:val="24"/>
          <w:szCs w:val="24"/>
        </w:rPr>
        <w:t xml:space="preserve"> changed</w:t>
      </w:r>
      <w:r w:rsidR="00EE7432" w:rsidRPr="00351DC7">
        <w:rPr>
          <w:rFonts w:ascii="Arial" w:hAnsi="Arial" w:cs="Arial"/>
          <w:sz w:val="24"/>
          <w:szCs w:val="24"/>
        </w:rPr>
        <w:t>.</w:t>
      </w:r>
    </w:p>
    <w:p w14:paraId="1298C439" w14:textId="649D4A85"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0BFAEF19" w14:textId="73647CD0" w:rsidR="00A06174"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[6]</w:t>
      </w:r>
      <w:r w:rsidRPr="00351DC7">
        <w:rPr>
          <w:rFonts w:ascii="Arial" w:hAnsi="Arial" w:cs="Arial"/>
          <w:color w:val="000000"/>
          <w:sz w:val="24"/>
          <w:szCs w:val="24"/>
        </w:rPr>
        <w:tab/>
      </w:r>
      <w:r w:rsidR="000C25B5" w:rsidRPr="00351DC7">
        <w:rPr>
          <w:rFonts w:ascii="Arial" w:hAnsi="Arial" w:cs="Arial"/>
          <w:sz w:val="24"/>
          <w:szCs w:val="24"/>
        </w:rPr>
        <w:t xml:space="preserve">During annual rainfalls, the velocity of </w:t>
      </w:r>
      <w:r w:rsidR="00A06174" w:rsidRPr="00351DC7">
        <w:rPr>
          <w:rFonts w:ascii="Arial" w:hAnsi="Arial" w:cs="Arial"/>
          <w:sz w:val="24"/>
          <w:szCs w:val="24"/>
        </w:rPr>
        <w:t xml:space="preserve">stormwater </w:t>
      </w:r>
      <w:r w:rsidR="000C25B5" w:rsidRPr="00351DC7">
        <w:rPr>
          <w:rFonts w:ascii="Arial" w:hAnsi="Arial" w:cs="Arial"/>
          <w:sz w:val="24"/>
          <w:szCs w:val="24"/>
        </w:rPr>
        <w:t xml:space="preserve">flowing </w:t>
      </w:r>
      <w:r w:rsidR="00A06174" w:rsidRPr="00351DC7">
        <w:rPr>
          <w:rFonts w:ascii="Arial" w:hAnsi="Arial" w:cs="Arial"/>
          <w:sz w:val="24"/>
          <w:szCs w:val="24"/>
        </w:rPr>
        <w:t>through</w:t>
      </w:r>
      <w:r w:rsidR="002E43F0" w:rsidRPr="00351DC7">
        <w:rPr>
          <w:rFonts w:ascii="Arial" w:hAnsi="Arial" w:cs="Arial"/>
          <w:sz w:val="24"/>
          <w:szCs w:val="24"/>
        </w:rPr>
        <w:t xml:space="preserve"> the </w:t>
      </w:r>
      <w:r w:rsidR="000C25B5" w:rsidRPr="00351DC7">
        <w:rPr>
          <w:rFonts w:ascii="Arial" w:hAnsi="Arial" w:cs="Arial"/>
          <w:sz w:val="24"/>
          <w:szCs w:val="24"/>
        </w:rPr>
        <w:t>Estate caused</w:t>
      </w:r>
      <w:r w:rsidR="002E43F0" w:rsidRPr="00351DC7">
        <w:rPr>
          <w:rFonts w:ascii="Arial" w:hAnsi="Arial" w:cs="Arial"/>
          <w:sz w:val="24"/>
          <w:szCs w:val="24"/>
        </w:rPr>
        <w:t xml:space="preserve"> an increase in riverbank flooding. Flooding and stormwater placed pressure on the river embankments and beds, corroded them, and made them highly unstable and dangerous, resulting in flooding.</w:t>
      </w:r>
      <w:r w:rsidR="00A06174" w:rsidRPr="00351DC7">
        <w:rPr>
          <w:rFonts w:ascii="Arial" w:hAnsi="Arial" w:cs="Arial"/>
          <w:sz w:val="24"/>
          <w:szCs w:val="24"/>
        </w:rPr>
        <w:t xml:space="preserve"> This, </w:t>
      </w:r>
      <w:r w:rsidR="00247B5E" w:rsidRPr="00351DC7">
        <w:rPr>
          <w:rFonts w:ascii="Arial" w:hAnsi="Arial" w:cs="Arial"/>
          <w:sz w:val="24"/>
          <w:szCs w:val="24"/>
        </w:rPr>
        <w:t xml:space="preserve">Featherbrooke </w:t>
      </w:r>
      <w:r w:rsidR="00A06174" w:rsidRPr="00351DC7">
        <w:rPr>
          <w:rFonts w:ascii="Arial" w:hAnsi="Arial" w:cs="Arial"/>
          <w:sz w:val="24"/>
          <w:szCs w:val="24"/>
        </w:rPr>
        <w:t xml:space="preserve">said, placed the Estate at risk of electrocution, exposure to sewage waste and damage to property. </w:t>
      </w:r>
      <w:r w:rsidR="006738B3" w:rsidRPr="00351DC7">
        <w:rPr>
          <w:rFonts w:ascii="Arial" w:hAnsi="Arial" w:cs="Arial"/>
          <w:sz w:val="24"/>
          <w:szCs w:val="24"/>
        </w:rPr>
        <w:t>As a result, Featherbrooke said that</w:t>
      </w:r>
      <w:r w:rsidR="00A06174" w:rsidRPr="00351DC7">
        <w:rPr>
          <w:rFonts w:ascii="Arial" w:hAnsi="Arial" w:cs="Arial"/>
          <w:sz w:val="24"/>
          <w:szCs w:val="24"/>
        </w:rPr>
        <w:t xml:space="preserve"> since approximately 2010, </w:t>
      </w:r>
      <w:r w:rsidR="002512D1" w:rsidRPr="00351DC7">
        <w:rPr>
          <w:rFonts w:ascii="Arial" w:hAnsi="Arial" w:cs="Arial"/>
          <w:sz w:val="24"/>
          <w:szCs w:val="24"/>
        </w:rPr>
        <w:t xml:space="preserve">it </w:t>
      </w:r>
      <w:r w:rsidR="00A06174" w:rsidRPr="00351DC7">
        <w:rPr>
          <w:rFonts w:ascii="Arial" w:hAnsi="Arial" w:cs="Arial"/>
          <w:sz w:val="24"/>
          <w:szCs w:val="24"/>
        </w:rPr>
        <w:t>ha</w:t>
      </w:r>
      <w:r w:rsidR="00AE0789" w:rsidRPr="00351DC7">
        <w:rPr>
          <w:rFonts w:ascii="Arial" w:hAnsi="Arial" w:cs="Arial"/>
          <w:sz w:val="24"/>
          <w:szCs w:val="24"/>
        </w:rPr>
        <w:t>d</w:t>
      </w:r>
      <w:r w:rsidR="000C25B5" w:rsidRPr="00351DC7">
        <w:rPr>
          <w:rFonts w:ascii="Arial" w:hAnsi="Arial" w:cs="Arial"/>
          <w:sz w:val="24"/>
          <w:szCs w:val="24"/>
        </w:rPr>
        <w:t xml:space="preserve"> </w:t>
      </w:r>
      <w:r w:rsidR="00A06174" w:rsidRPr="00351DC7">
        <w:rPr>
          <w:rFonts w:ascii="Arial" w:hAnsi="Arial" w:cs="Arial"/>
          <w:sz w:val="24"/>
          <w:szCs w:val="24"/>
        </w:rPr>
        <w:t xml:space="preserve">sought the assistance of the </w:t>
      </w:r>
      <w:r w:rsidR="004C45AD" w:rsidRPr="00351DC7">
        <w:rPr>
          <w:rFonts w:ascii="Arial" w:hAnsi="Arial" w:cs="Arial"/>
          <w:sz w:val="24"/>
          <w:szCs w:val="24"/>
        </w:rPr>
        <w:t>Department of Water and Sanitation (the Department)</w:t>
      </w:r>
      <w:r w:rsidR="00A06174" w:rsidRPr="00351DC7">
        <w:rPr>
          <w:rFonts w:ascii="Arial" w:hAnsi="Arial" w:cs="Arial"/>
          <w:sz w:val="24"/>
          <w:szCs w:val="24"/>
        </w:rPr>
        <w:t xml:space="preserve">, Mogale City and City of Johannesburg. </w:t>
      </w:r>
      <w:r w:rsidR="000C25B5" w:rsidRPr="00351DC7">
        <w:rPr>
          <w:rFonts w:ascii="Arial" w:hAnsi="Arial" w:cs="Arial"/>
          <w:sz w:val="24"/>
          <w:szCs w:val="24"/>
        </w:rPr>
        <w:t>This was all in vain.</w:t>
      </w:r>
    </w:p>
    <w:p w14:paraId="0923C4F1" w14:textId="5464E33F" w:rsidR="00D634D8" w:rsidRPr="00351DC7" w:rsidRDefault="00D634D8" w:rsidP="006738B3">
      <w:pPr>
        <w:shd w:val="clear" w:color="auto" w:fill="FFFFFF"/>
        <w:spacing w:before="144" w:after="120" w:line="360" w:lineRule="auto"/>
        <w:contextualSpacing/>
        <w:jc w:val="both"/>
        <w:rPr>
          <w:rFonts w:ascii="Arial" w:hAnsi="Arial" w:cs="Arial"/>
          <w:sz w:val="24"/>
          <w:szCs w:val="24"/>
        </w:rPr>
      </w:pPr>
    </w:p>
    <w:p w14:paraId="34B3475B" w14:textId="09933F28" w:rsidR="00DE2270" w:rsidRPr="00351DC7" w:rsidRDefault="00DE2270" w:rsidP="00DE2270">
      <w:pPr>
        <w:shd w:val="clear" w:color="auto" w:fill="FFFFFF"/>
        <w:spacing w:before="144" w:after="120" w:line="360" w:lineRule="auto"/>
        <w:contextualSpacing/>
        <w:jc w:val="both"/>
        <w:rPr>
          <w:rFonts w:ascii="Arial" w:hAnsi="Arial" w:cs="Arial"/>
          <w:b/>
          <w:sz w:val="24"/>
          <w:szCs w:val="24"/>
        </w:rPr>
      </w:pPr>
      <w:r w:rsidRPr="00351DC7">
        <w:rPr>
          <w:rFonts w:ascii="Arial" w:hAnsi="Arial" w:cs="Arial"/>
          <w:b/>
          <w:sz w:val="24"/>
          <w:szCs w:val="24"/>
        </w:rPr>
        <w:t xml:space="preserve">In the </w:t>
      </w:r>
      <w:r w:rsidR="0007624E" w:rsidRPr="00351DC7">
        <w:rPr>
          <w:rFonts w:ascii="Arial" w:hAnsi="Arial" w:cs="Arial"/>
          <w:b/>
          <w:sz w:val="24"/>
          <w:szCs w:val="24"/>
        </w:rPr>
        <w:t>H</w:t>
      </w:r>
      <w:r w:rsidRPr="00351DC7">
        <w:rPr>
          <w:rFonts w:ascii="Arial" w:hAnsi="Arial" w:cs="Arial"/>
          <w:b/>
          <w:sz w:val="24"/>
          <w:szCs w:val="24"/>
        </w:rPr>
        <w:t xml:space="preserve">igh </w:t>
      </w:r>
      <w:r w:rsidR="0007624E" w:rsidRPr="00351DC7">
        <w:rPr>
          <w:rFonts w:ascii="Arial" w:hAnsi="Arial" w:cs="Arial"/>
          <w:b/>
          <w:sz w:val="24"/>
          <w:szCs w:val="24"/>
        </w:rPr>
        <w:t>C</w:t>
      </w:r>
      <w:r w:rsidRPr="00351DC7">
        <w:rPr>
          <w:rFonts w:ascii="Arial" w:hAnsi="Arial" w:cs="Arial"/>
          <w:b/>
          <w:sz w:val="24"/>
          <w:szCs w:val="24"/>
        </w:rPr>
        <w:t>ourt</w:t>
      </w:r>
    </w:p>
    <w:p w14:paraId="5CC54D84" w14:textId="37B344D5" w:rsidR="006E36D8"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[7]</w:t>
      </w:r>
      <w:r w:rsidRPr="00351DC7">
        <w:rPr>
          <w:rFonts w:ascii="Arial" w:hAnsi="Arial" w:cs="Arial"/>
          <w:color w:val="000000"/>
          <w:sz w:val="24"/>
          <w:szCs w:val="24"/>
        </w:rPr>
        <w:tab/>
      </w:r>
      <w:r w:rsidR="006738B3" w:rsidRPr="00351DC7">
        <w:rPr>
          <w:rFonts w:ascii="Arial" w:hAnsi="Arial" w:cs="Arial"/>
          <w:sz w:val="24"/>
          <w:szCs w:val="24"/>
        </w:rPr>
        <w:t>I</w:t>
      </w:r>
      <w:r w:rsidR="000C25B5" w:rsidRPr="00351DC7">
        <w:rPr>
          <w:rFonts w:ascii="Arial" w:hAnsi="Arial" w:cs="Arial"/>
          <w:sz w:val="24"/>
          <w:szCs w:val="24"/>
        </w:rPr>
        <w:t xml:space="preserve">n May 2020, </w:t>
      </w:r>
      <w:r w:rsidR="00247B5E" w:rsidRPr="00351DC7">
        <w:rPr>
          <w:rFonts w:ascii="Arial" w:hAnsi="Arial" w:cs="Arial"/>
          <w:sz w:val="24"/>
          <w:szCs w:val="24"/>
        </w:rPr>
        <w:t>Featherbrooke</w:t>
      </w:r>
      <w:r w:rsidR="006738B3" w:rsidRPr="00351DC7">
        <w:rPr>
          <w:rFonts w:ascii="Arial" w:hAnsi="Arial" w:cs="Arial"/>
          <w:sz w:val="24"/>
          <w:szCs w:val="24"/>
        </w:rPr>
        <w:t xml:space="preserve"> </w:t>
      </w:r>
      <w:r w:rsidR="000C25B5" w:rsidRPr="00351DC7">
        <w:rPr>
          <w:rFonts w:ascii="Arial" w:hAnsi="Arial" w:cs="Arial"/>
          <w:sz w:val="24"/>
          <w:szCs w:val="24"/>
        </w:rPr>
        <w:t xml:space="preserve">launched a two-part application in the </w:t>
      </w:r>
      <w:r w:rsidR="00E24A09" w:rsidRPr="00351DC7">
        <w:rPr>
          <w:rFonts w:ascii="Arial" w:hAnsi="Arial" w:cs="Arial"/>
          <w:sz w:val="24"/>
          <w:szCs w:val="24"/>
        </w:rPr>
        <w:t>H</w:t>
      </w:r>
      <w:r w:rsidR="000C25B5" w:rsidRPr="00351DC7">
        <w:rPr>
          <w:rFonts w:ascii="Arial" w:hAnsi="Arial" w:cs="Arial"/>
          <w:sz w:val="24"/>
          <w:szCs w:val="24"/>
        </w:rPr>
        <w:t>igh Court</w:t>
      </w:r>
      <w:r w:rsidR="006E36D8" w:rsidRPr="00351DC7">
        <w:rPr>
          <w:rFonts w:ascii="Arial" w:hAnsi="Arial" w:cs="Arial"/>
          <w:sz w:val="24"/>
          <w:szCs w:val="24"/>
        </w:rPr>
        <w:t xml:space="preserve"> against the following entities as first to sixth respondents, respectively</w:t>
      </w:r>
      <w:r w:rsidR="000C25B5" w:rsidRPr="00351DC7">
        <w:rPr>
          <w:rFonts w:ascii="Arial" w:hAnsi="Arial" w:cs="Arial"/>
          <w:sz w:val="24"/>
          <w:szCs w:val="24"/>
        </w:rPr>
        <w:t xml:space="preserve">: Mogale City; </w:t>
      </w:r>
      <w:r w:rsidR="000C25B5" w:rsidRPr="00351DC7">
        <w:rPr>
          <w:rFonts w:ascii="Arial" w:hAnsi="Arial" w:cs="Arial"/>
          <w:sz w:val="24"/>
          <w:szCs w:val="24"/>
        </w:rPr>
        <w:lastRenderedPageBreak/>
        <w:t>City of Johannesburg; Minister of Water</w:t>
      </w:r>
      <w:r w:rsidR="004C45AD" w:rsidRPr="00351DC7">
        <w:rPr>
          <w:rFonts w:ascii="Arial" w:hAnsi="Arial" w:cs="Arial"/>
          <w:sz w:val="24"/>
          <w:szCs w:val="24"/>
        </w:rPr>
        <w:t xml:space="preserve"> and Sanitation (the Minister)</w:t>
      </w:r>
      <w:r w:rsidR="000C25B5" w:rsidRPr="00351DC7">
        <w:rPr>
          <w:rFonts w:ascii="Arial" w:hAnsi="Arial" w:cs="Arial"/>
          <w:sz w:val="24"/>
          <w:szCs w:val="24"/>
        </w:rPr>
        <w:t xml:space="preserve">; </w:t>
      </w:r>
      <w:r w:rsidR="006738B3" w:rsidRPr="00351DC7">
        <w:rPr>
          <w:rFonts w:ascii="Arial" w:hAnsi="Arial" w:cs="Arial"/>
          <w:sz w:val="24"/>
          <w:szCs w:val="24"/>
        </w:rPr>
        <w:t xml:space="preserve">the </w:t>
      </w:r>
      <w:r w:rsidR="000C25B5" w:rsidRPr="00351DC7">
        <w:rPr>
          <w:rFonts w:ascii="Arial" w:hAnsi="Arial" w:cs="Arial"/>
          <w:sz w:val="24"/>
          <w:szCs w:val="24"/>
        </w:rPr>
        <w:t>Member of the Executive Council of the Gauteng Provincial Government for Agriculture and Rural Development (the MEC); Johannesburg Roads Agency</w:t>
      </w:r>
      <w:r w:rsidR="006E36D8" w:rsidRPr="00351DC7">
        <w:rPr>
          <w:rFonts w:ascii="Arial" w:hAnsi="Arial" w:cs="Arial"/>
          <w:sz w:val="24"/>
          <w:szCs w:val="24"/>
        </w:rPr>
        <w:t xml:space="preserve"> (Pty) Ltd; and West Rand District Municipality. </w:t>
      </w:r>
    </w:p>
    <w:p w14:paraId="5E2A414F" w14:textId="77777777"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183BAA88" w14:textId="09986DA7" w:rsidR="009F022C"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[8]</w:t>
      </w:r>
      <w:r w:rsidRPr="00351DC7">
        <w:rPr>
          <w:rFonts w:ascii="Arial" w:hAnsi="Arial" w:cs="Arial"/>
          <w:color w:val="000000"/>
          <w:sz w:val="24"/>
          <w:szCs w:val="24"/>
        </w:rPr>
        <w:tab/>
      </w:r>
      <w:r w:rsidR="006E36D8" w:rsidRPr="00351DC7">
        <w:rPr>
          <w:rFonts w:ascii="Arial" w:hAnsi="Arial" w:cs="Arial"/>
          <w:sz w:val="24"/>
          <w:szCs w:val="24"/>
        </w:rPr>
        <w:t xml:space="preserve">In part A, </w:t>
      </w:r>
      <w:r w:rsidR="00554592" w:rsidRPr="00351DC7">
        <w:rPr>
          <w:rFonts w:ascii="Arial" w:hAnsi="Arial" w:cs="Arial"/>
          <w:sz w:val="24"/>
          <w:szCs w:val="24"/>
        </w:rPr>
        <w:t xml:space="preserve">which was brought on an urgent basis, </w:t>
      </w:r>
      <w:r w:rsidR="00247B5E" w:rsidRPr="00351DC7">
        <w:rPr>
          <w:rFonts w:ascii="Arial" w:hAnsi="Arial" w:cs="Arial"/>
          <w:sz w:val="24"/>
          <w:szCs w:val="24"/>
        </w:rPr>
        <w:t xml:space="preserve">Featherbrooke </w:t>
      </w:r>
      <w:r w:rsidR="006C10C1" w:rsidRPr="00351DC7">
        <w:rPr>
          <w:rFonts w:ascii="Arial" w:hAnsi="Arial" w:cs="Arial"/>
          <w:sz w:val="24"/>
          <w:szCs w:val="24"/>
        </w:rPr>
        <w:t>sou</w:t>
      </w:r>
      <w:r w:rsidR="00CA5D9B" w:rsidRPr="00351DC7">
        <w:rPr>
          <w:rFonts w:ascii="Arial" w:hAnsi="Arial" w:cs="Arial"/>
          <w:sz w:val="24"/>
          <w:szCs w:val="24"/>
        </w:rPr>
        <w:t>ght a</w:t>
      </w:r>
      <w:r w:rsidR="00900418" w:rsidRPr="00351DC7">
        <w:rPr>
          <w:rFonts w:ascii="Arial" w:hAnsi="Arial" w:cs="Arial"/>
          <w:sz w:val="24"/>
          <w:szCs w:val="24"/>
        </w:rPr>
        <w:t>n interim</w:t>
      </w:r>
      <w:r w:rsidR="006C10C1" w:rsidRPr="00351DC7">
        <w:rPr>
          <w:rFonts w:ascii="Arial" w:hAnsi="Arial" w:cs="Arial"/>
          <w:sz w:val="24"/>
          <w:szCs w:val="24"/>
        </w:rPr>
        <w:t xml:space="preserve"> </w:t>
      </w:r>
      <w:r w:rsidR="00E1425F" w:rsidRPr="00351DC7">
        <w:rPr>
          <w:rFonts w:ascii="Arial" w:hAnsi="Arial" w:cs="Arial"/>
          <w:sz w:val="24"/>
          <w:szCs w:val="24"/>
        </w:rPr>
        <w:t xml:space="preserve">structural interdict jointly, severally and in the alternative, </w:t>
      </w:r>
      <w:r w:rsidR="006C10C1" w:rsidRPr="00351DC7">
        <w:rPr>
          <w:rFonts w:ascii="Arial" w:hAnsi="Arial" w:cs="Arial"/>
          <w:sz w:val="24"/>
          <w:szCs w:val="24"/>
        </w:rPr>
        <w:t xml:space="preserve">against </w:t>
      </w:r>
      <w:r w:rsidR="00E1425F" w:rsidRPr="00351DC7">
        <w:rPr>
          <w:rFonts w:ascii="Arial" w:hAnsi="Arial" w:cs="Arial"/>
          <w:sz w:val="24"/>
          <w:szCs w:val="24"/>
        </w:rPr>
        <w:t>the</w:t>
      </w:r>
      <w:r w:rsidR="00D93012" w:rsidRPr="00351DC7">
        <w:rPr>
          <w:rFonts w:ascii="Arial" w:hAnsi="Arial" w:cs="Arial"/>
          <w:sz w:val="24"/>
          <w:szCs w:val="24"/>
        </w:rPr>
        <w:t>se respondents.</w:t>
      </w:r>
      <w:r w:rsidR="00E1425F" w:rsidRPr="00351DC7">
        <w:rPr>
          <w:rFonts w:ascii="Arial" w:hAnsi="Arial" w:cs="Arial"/>
          <w:sz w:val="24"/>
          <w:szCs w:val="24"/>
        </w:rPr>
        <w:t xml:space="preserve"> </w:t>
      </w:r>
      <w:r w:rsidR="009F022C" w:rsidRPr="00351DC7">
        <w:rPr>
          <w:rFonts w:ascii="Arial" w:hAnsi="Arial" w:cs="Arial"/>
          <w:sz w:val="24"/>
          <w:szCs w:val="24"/>
        </w:rPr>
        <w:t>The following relief was sought</w:t>
      </w:r>
      <w:r w:rsidR="00A6040D" w:rsidRPr="00351DC7">
        <w:rPr>
          <w:rFonts w:ascii="Arial" w:hAnsi="Arial" w:cs="Arial"/>
          <w:sz w:val="24"/>
          <w:szCs w:val="24"/>
        </w:rPr>
        <w:t>:</w:t>
      </w:r>
      <w:r w:rsidR="009F022C" w:rsidRPr="00351DC7">
        <w:rPr>
          <w:rFonts w:ascii="Arial" w:hAnsi="Arial" w:cs="Arial"/>
          <w:sz w:val="24"/>
          <w:szCs w:val="24"/>
        </w:rPr>
        <w:t xml:space="preserve"> </w:t>
      </w:r>
      <w:r w:rsidR="00A6040D" w:rsidRPr="00351DC7">
        <w:rPr>
          <w:rFonts w:ascii="Arial" w:hAnsi="Arial" w:cs="Arial"/>
          <w:sz w:val="24"/>
          <w:szCs w:val="24"/>
        </w:rPr>
        <w:t>f</w:t>
      </w:r>
      <w:r w:rsidR="009F022C" w:rsidRPr="00351DC7">
        <w:rPr>
          <w:rFonts w:ascii="Arial" w:hAnsi="Arial" w:cs="Arial"/>
          <w:sz w:val="24"/>
          <w:szCs w:val="24"/>
        </w:rPr>
        <w:t>irst, as against Mogale City, City of Johannesburg and the Johannesburg Road Agency, in the alternative, to ‘immediately and in future do all things necessary to repair, underpin, remediate and manage the stream beds adjacent to [</w:t>
      </w:r>
      <w:r w:rsidR="00720091" w:rsidRPr="00351DC7">
        <w:rPr>
          <w:rFonts w:ascii="Arial" w:hAnsi="Arial" w:cs="Arial"/>
          <w:sz w:val="24"/>
          <w:szCs w:val="24"/>
        </w:rPr>
        <w:t>Featherbrooke</w:t>
      </w:r>
      <w:r w:rsidR="009F022C" w:rsidRPr="00351DC7">
        <w:rPr>
          <w:rFonts w:ascii="Arial" w:hAnsi="Arial" w:cs="Arial"/>
          <w:sz w:val="24"/>
          <w:szCs w:val="24"/>
        </w:rPr>
        <w:t>’s] security fencing . . .’</w:t>
      </w:r>
      <w:r w:rsidR="009F35A0" w:rsidRPr="00351DC7">
        <w:rPr>
          <w:rFonts w:ascii="Arial" w:hAnsi="Arial" w:cs="Arial"/>
          <w:sz w:val="24"/>
          <w:szCs w:val="24"/>
        </w:rPr>
        <w:t>.</w:t>
      </w:r>
      <w:r w:rsidR="009F022C" w:rsidRPr="00351DC7">
        <w:rPr>
          <w:rFonts w:ascii="Arial" w:hAnsi="Arial" w:cs="Arial"/>
          <w:sz w:val="24"/>
          <w:szCs w:val="24"/>
        </w:rPr>
        <w:t xml:space="preserve"> The remedial work sought by </w:t>
      </w:r>
      <w:r w:rsidR="00247B5E" w:rsidRPr="00351DC7">
        <w:rPr>
          <w:rFonts w:ascii="Arial" w:hAnsi="Arial" w:cs="Arial"/>
          <w:sz w:val="24"/>
          <w:szCs w:val="24"/>
        </w:rPr>
        <w:t>Featherbrooke</w:t>
      </w:r>
      <w:r w:rsidR="005551CF" w:rsidRPr="00351DC7">
        <w:rPr>
          <w:rFonts w:ascii="Arial" w:hAnsi="Arial" w:cs="Arial"/>
          <w:sz w:val="24"/>
          <w:szCs w:val="24"/>
        </w:rPr>
        <w:t xml:space="preserve"> </w:t>
      </w:r>
      <w:r w:rsidR="009F022C" w:rsidRPr="00351DC7">
        <w:rPr>
          <w:rFonts w:ascii="Arial" w:hAnsi="Arial" w:cs="Arial"/>
          <w:sz w:val="24"/>
          <w:szCs w:val="24"/>
        </w:rPr>
        <w:t>included the insertion of gabions into the riverbed and embankments, and the moderation of the quantity, volume and flow of the Loop river through attenuation</w:t>
      </w:r>
      <w:r w:rsidR="00567908" w:rsidRPr="00351DC7">
        <w:rPr>
          <w:rFonts w:ascii="Arial" w:hAnsi="Arial" w:cs="Arial"/>
          <w:sz w:val="24"/>
          <w:szCs w:val="24"/>
        </w:rPr>
        <w:t xml:space="preserve"> dams</w:t>
      </w:r>
      <w:r w:rsidR="009F022C" w:rsidRPr="00351DC7">
        <w:rPr>
          <w:rFonts w:ascii="Arial" w:hAnsi="Arial" w:cs="Arial"/>
          <w:sz w:val="24"/>
          <w:szCs w:val="24"/>
        </w:rPr>
        <w:t xml:space="preserve"> and culverts. </w:t>
      </w:r>
    </w:p>
    <w:p w14:paraId="3ECDA883" w14:textId="418808D8"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4409D442" w14:textId="0CADFB90" w:rsidR="00567908"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[9]</w:t>
      </w:r>
      <w:r w:rsidRPr="00351DC7">
        <w:rPr>
          <w:rFonts w:ascii="Arial" w:hAnsi="Arial" w:cs="Arial"/>
          <w:color w:val="000000"/>
          <w:sz w:val="24"/>
          <w:szCs w:val="24"/>
        </w:rPr>
        <w:tab/>
      </w:r>
      <w:r w:rsidR="001769D1" w:rsidRPr="00351DC7">
        <w:rPr>
          <w:rFonts w:ascii="Arial" w:hAnsi="Arial" w:cs="Arial"/>
          <w:sz w:val="24"/>
          <w:szCs w:val="24"/>
        </w:rPr>
        <w:t xml:space="preserve">Second, </w:t>
      </w:r>
      <w:r w:rsidR="00247B5E" w:rsidRPr="00351DC7">
        <w:rPr>
          <w:rFonts w:ascii="Arial" w:hAnsi="Arial" w:cs="Arial"/>
          <w:sz w:val="24"/>
          <w:szCs w:val="24"/>
        </w:rPr>
        <w:t xml:space="preserve">Featherbrooke </w:t>
      </w:r>
      <w:r w:rsidR="004A3800" w:rsidRPr="00351DC7">
        <w:rPr>
          <w:rFonts w:ascii="Arial" w:hAnsi="Arial" w:cs="Arial"/>
          <w:sz w:val="24"/>
          <w:szCs w:val="24"/>
        </w:rPr>
        <w:t xml:space="preserve">also sought an order for </w:t>
      </w:r>
      <w:r w:rsidR="001769D1" w:rsidRPr="00351DC7">
        <w:rPr>
          <w:rFonts w:ascii="Arial" w:hAnsi="Arial" w:cs="Arial"/>
          <w:sz w:val="24"/>
          <w:szCs w:val="24"/>
        </w:rPr>
        <w:t xml:space="preserve">Mogale City, </w:t>
      </w:r>
      <w:r w:rsidR="00E24A09" w:rsidRPr="00351DC7">
        <w:rPr>
          <w:rFonts w:ascii="Arial" w:hAnsi="Arial" w:cs="Arial"/>
          <w:sz w:val="24"/>
          <w:szCs w:val="24"/>
        </w:rPr>
        <w:t xml:space="preserve">City of </w:t>
      </w:r>
      <w:r w:rsidR="001769D1" w:rsidRPr="00351DC7">
        <w:rPr>
          <w:rFonts w:ascii="Arial" w:hAnsi="Arial" w:cs="Arial"/>
          <w:sz w:val="24"/>
          <w:szCs w:val="24"/>
        </w:rPr>
        <w:t>Johannesburg</w:t>
      </w:r>
      <w:r w:rsidR="00E24A09" w:rsidRPr="00351DC7">
        <w:rPr>
          <w:rFonts w:ascii="Arial" w:hAnsi="Arial" w:cs="Arial"/>
          <w:sz w:val="24"/>
          <w:szCs w:val="24"/>
        </w:rPr>
        <w:t xml:space="preserve"> </w:t>
      </w:r>
      <w:r w:rsidR="001769D1" w:rsidRPr="00351DC7">
        <w:rPr>
          <w:rFonts w:ascii="Arial" w:hAnsi="Arial" w:cs="Arial"/>
          <w:sz w:val="24"/>
          <w:szCs w:val="24"/>
        </w:rPr>
        <w:t>and the Johannesburg</w:t>
      </w:r>
      <w:r w:rsidR="00E24A09" w:rsidRPr="00351DC7">
        <w:rPr>
          <w:rFonts w:ascii="Arial" w:hAnsi="Arial" w:cs="Arial"/>
          <w:sz w:val="24"/>
          <w:szCs w:val="24"/>
        </w:rPr>
        <w:t xml:space="preserve"> Road Agency</w:t>
      </w:r>
      <w:r w:rsidR="004A3800" w:rsidRPr="00351DC7">
        <w:rPr>
          <w:rFonts w:ascii="Arial" w:hAnsi="Arial" w:cs="Arial"/>
          <w:sz w:val="24"/>
          <w:szCs w:val="24"/>
        </w:rPr>
        <w:t>, in the alternative, to repair State-owned infrastructure near the Estate</w:t>
      </w:r>
      <w:r w:rsidR="00D92A1F" w:rsidRPr="00351DC7">
        <w:rPr>
          <w:rFonts w:ascii="Arial" w:hAnsi="Arial" w:cs="Arial"/>
          <w:sz w:val="24"/>
          <w:szCs w:val="24"/>
        </w:rPr>
        <w:t xml:space="preserve">, which is exposed due to chronic flooding of the river, including sewer and power-related infrastructure. </w:t>
      </w:r>
    </w:p>
    <w:p w14:paraId="0AF3C3B8" w14:textId="012BDC72"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2E30A426" w14:textId="5AE7E0F5" w:rsidR="00A43866"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[10]</w:t>
      </w:r>
      <w:r w:rsidRPr="00351DC7">
        <w:rPr>
          <w:rFonts w:ascii="Arial" w:hAnsi="Arial" w:cs="Arial"/>
          <w:color w:val="000000"/>
          <w:sz w:val="24"/>
          <w:szCs w:val="24"/>
        </w:rPr>
        <w:tab/>
      </w:r>
      <w:r w:rsidR="00D92A1F" w:rsidRPr="00351DC7">
        <w:rPr>
          <w:rFonts w:ascii="Arial" w:hAnsi="Arial" w:cs="Arial"/>
          <w:sz w:val="24"/>
          <w:szCs w:val="24"/>
        </w:rPr>
        <w:t>Third</w:t>
      </w:r>
      <w:r w:rsidR="009F022C" w:rsidRPr="00351DC7">
        <w:rPr>
          <w:rFonts w:ascii="Arial" w:hAnsi="Arial" w:cs="Arial"/>
          <w:sz w:val="24"/>
          <w:szCs w:val="24"/>
        </w:rPr>
        <w:t xml:space="preserve">, as against the Minister, </w:t>
      </w:r>
      <w:r w:rsidR="00F21291" w:rsidRPr="00351DC7">
        <w:rPr>
          <w:rFonts w:ascii="Arial" w:hAnsi="Arial" w:cs="Arial"/>
          <w:sz w:val="24"/>
          <w:szCs w:val="24"/>
        </w:rPr>
        <w:t xml:space="preserve">Featherbrooke sought </w:t>
      </w:r>
      <w:r w:rsidR="00A43866" w:rsidRPr="00351DC7">
        <w:rPr>
          <w:rFonts w:ascii="Arial" w:hAnsi="Arial" w:cs="Arial"/>
          <w:sz w:val="24"/>
          <w:szCs w:val="24"/>
        </w:rPr>
        <w:t xml:space="preserve">an order </w:t>
      </w:r>
      <w:r w:rsidR="004B3C4F" w:rsidRPr="00351DC7">
        <w:rPr>
          <w:rFonts w:ascii="Arial" w:hAnsi="Arial" w:cs="Arial"/>
          <w:sz w:val="24"/>
          <w:szCs w:val="24"/>
        </w:rPr>
        <w:t>in similar terms to the one sought against</w:t>
      </w:r>
      <w:r w:rsidR="009F022C" w:rsidRPr="00351DC7">
        <w:rPr>
          <w:rFonts w:ascii="Arial" w:hAnsi="Arial" w:cs="Arial"/>
          <w:sz w:val="24"/>
          <w:szCs w:val="24"/>
        </w:rPr>
        <w:t xml:space="preserve"> Mogale City</w:t>
      </w:r>
      <w:r w:rsidR="004B3C4F" w:rsidRPr="00351DC7">
        <w:rPr>
          <w:rFonts w:ascii="Arial" w:hAnsi="Arial" w:cs="Arial"/>
          <w:sz w:val="24"/>
          <w:szCs w:val="24"/>
        </w:rPr>
        <w:t xml:space="preserve">, </w:t>
      </w:r>
      <w:r w:rsidR="009F022C" w:rsidRPr="00351DC7">
        <w:rPr>
          <w:rFonts w:ascii="Arial" w:hAnsi="Arial" w:cs="Arial"/>
          <w:sz w:val="24"/>
          <w:szCs w:val="24"/>
        </w:rPr>
        <w:t xml:space="preserve">City of Johannesburg and Johannesburg Road Agency. In addition, </w:t>
      </w:r>
      <w:r w:rsidR="00F21291" w:rsidRPr="00351DC7">
        <w:rPr>
          <w:rFonts w:ascii="Arial" w:hAnsi="Arial" w:cs="Arial"/>
          <w:sz w:val="24"/>
          <w:szCs w:val="24"/>
        </w:rPr>
        <w:t xml:space="preserve">Featherbrooke sought an order requiring </w:t>
      </w:r>
      <w:r w:rsidR="009F022C" w:rsidRPr="00351DC7">
        <w:rPr>
          <w:rFonts w:ascii="Arial" w:hAnsi="Arial" w:cs="Arial"/>
          <w:sz w:val="24"/>
          <w:szCs w:val="24"/>
        </w:rPr>
        <w:t xml:space="preserve">the Minister </w:t>
      </w:r>
      <w:r w:rsidR="004B3C4F" w:rsidRPr="00351DC7">
        <w:rPr>
          <w:rFonts w:ascii="Arial" w:hAnsi="Arial" w:cs="Arial"/>
          <w:sz w:val="24"/>
          <w:szCs w:val="24"/>
        </w:rPr>
        <w:t>to moderate ‘the quantity, volume and flow of the water in the [Loop River] flowing from the Walter Sisulu Botanical Gardens and into the river’; and to ‘do all that is necessary to prevent the erosion of the riverbank and to protect the integrity of [</w:t>
      </w:r>
      <w:r w:rsidR="00247B5E" w:rsidRPr="00351DC7">
        <w:rPr>
          <w:rFonts w:ascii="Arial" w:hAnsi="Arial" w:cs="Arial"/>
          <w:sz w:val="24"/>
          <w:szCs w:val="24"/>
        </w:rPr>
        <w:t>Featherbrooke</w:t>
      </w:r>
      <w:r w:rsidR="004B3C4F" w:rsidRPr="00351DC7">
        <w:rPr>
          <w:rFonts w:ascii="Arial" w:hAnsi="Arial" w:cs="Arial"/>
          <w:sz w:val="24"/>
          <w:szCs w:val="24"/>
        </w:rPr>
        <w:t>’s] boundary security fence along the riverbank’</w:t>
      </w:r>
      <w:r w:rsidR="009F35A0" w:rsidRPr="00351DC7">
        <w:rPr>
          <w:rFonts w:ascii="Arial" w:hAnsi="Arial" w:cs="Arial"/>
          <w:sz w:val="24"/>
          <w:szCs w:val="24"/>
        </w:rPr>
        <w:t>.</w:t>
      </w:r>
      <w:r w:rsidR="004B3C4F" w:rsidRPr="00351DC7">
        <w:rPr>
          <w:rFonts w:ascii="Arial" w:hAnsi="Arial" w:cs="Arial"/>
          <w:sz w:val="24"/>
          <w:szCs w:val="24"/>
        </w:rPr>
        <w:t xml:space="preserve"> </w:t>
      </w:r>
      <w:r w:rsidR="00E24A09" w:rsidRPr="00351DC7">
        <w:rPr>
          <w:rFonts w:ascii="Arial" w:hAnsi="Arial" w:cs="Arial"/>
          <w:sz w:val="24"/>
          <w:szCs w:val="24"/>
        </w:rPr>
        <w:t>Also, to</w:t>
      </w:r>
      <w:r w:rsidR="009F35A0" w:rsidRPr="00351DC7">
        <w:rPr>
          <w:rFonts w:ascii="Arial" w:hAnsi="Arial" w:cs="Arial"/>
          <w:sz w:val="24"/>
          <w:szCs w:val="24"/>
        </w:rPr>
        <w:t xml:space="preserve"> </w:t>
      </w:r>
      <w:r w:rsidR="00A43866" w:rsidRPr="00351DC7">
        <w:rPr>
          <w:rFonts w:ascii="Arial" w:hAnsi="Arial" w:cs="Arial"/>
          <w:sz w:val="24"/>
          <w:szCs w:val="24"/>
        </w:rPr>
        <w:t>‘</w:t>
      </w:r>
      <w:r w:rsidR="009F35A0" w:rsidRPr="00351DC7">
        <w:rPr>
          <w:rFonts w:ascii="Arial" w:hAnsi="Arial" w:cs="Arial"/>
          <w:sz w:val="24"/>
          <w:szCs w:val="24"/>
        </w:rPr>
        <w:t>i</w:t>
      </w:r>
      <w:r w:rsidR="00A43866" w:rsidRPr="00351DC7">
        <w:rPr>
          <w:rFonts w:ascii="Arial" w:hAnsi="Arial" w:cs="Arial"/>
          <w:sz w:val="24"/>
          <w:szCs w:val="24"/>
        </w:rPr>
        <w:t xml:space="preserve">mmediately and in future do all things necessary to mitigate, </w:t>
      </w:r>
      <w:r w:rsidR="009F022C" w:rsidRPr="00351DC7">
        <w:rPr>
          <w:rFonts w:ascii="Arial" w:hAnsi="Arial" w:cs="Arial"/>
          <w:sz w:val="24"/>
          <w:szCs w:val="24"/>
        </w:rPr>
        <w:t>remediate</w:t>
      </w:r>
      <w:r w:rsidR="00A43866" w:rsidRPr="00351DC7">
        <w:rPr>
          <w:rFonts w:ascii="Arial" w:hAnsi="Arial" w:cs="Arial"/>
          <w:sz w:val="24"/>
          <w:szCs w:val="24"/>
        </w:rPr>
        <w:t xml:space="preserve"> and prevent </w:t>
      </w:r>
      <w:r w:rsidR="004B3C4F" w:rsidRPr="00351DC7">
        <w:rPr>
          <w:rFonts w:ascii="Arial" w:hAnsi="Arial" w:cs="Arial"/>
          <w:sz w:val="24"/>
          <w:szCs w:val="24"/>
        </w:rPr>
        <w:t xml:space="preserve">flooding of </w:t>
      </w:r>
      <w:r w:rsidR="009F022C" w:rsidRPr="00351DC7">
        <w:rPr>
          <w:rFonts w:ascii="Arial" w:hAnsi="Arial" w:cs="Arial"/>
          <w:sz w:val="24"/>
          <w:szCs w:val="24"/>
        </w:rPr>
        <w:t>[</w:t>
      </w:r>
      <w:r w:rsidR="00247B5E" w:rsidRPr="00351DC7">
        <w:rPr>
          <w:rFonts w:ascii="Arial" w:hAnsi="Arial" w:cs="Arial"/>
          <w:sz w:val="24"/>
          <w:szCs w:val="24"/>
        </w:rPr>
        <w:t>Featherbrooke</w:t>
      </w:r>
      <w:r w:rsidR="009F022C" w:rsidRPr="00351DC7">
        <w:rPr>
          <w:rFonts w:ascii="Arial" w:hAnsi="Arial" w:cs="Arial"/>
          <w:sz w:val="24"/>
          <w:szCs w:val="24"/>
        </w:rPr>
        <w:t xml:space="preserve">’s] housing Estate by the [Loop River] and or </w:t>
      </w:r>
      <w:r w:rsidR="00720091" w:rsidRPr="00351DC7">
        <w:rPr>
          <w:rFonts w:ascii="Arial" w:hAnsi="Arial" w:cs="Arial"/>
          <w:sz w:val="24"/>
          <w:szCs w:val="24"/>
        </w:rPr>
        <w:t>Featherbrooke</w:t>
      </w:r>
      <w:r w:rsidR="009F022C" w:rsidRPr="00351DC7">
        <w:rPr>
          <w:rFonts w:ascii="Arial" w:hAnsi="Arial" w:cs="Arial"/>
          <w:sz w:val="24"/>
          <w:szCs w:val="24"/>
        </w:rPr>
        <w:t>’s boundary security fence</w:t>
      </w:r>
      <w:r w:rsidR="00567908" w:rsidRPr="00351DC7">
        <w:rPr>
          <w:rFonts w:ascii="Arial" w:hAnsi="Arial" w:cs="Arial"/>
          <w:sz w:val="24"/>
          <w:szCs w:val="24"/>
        </w:rPr>
        <w:t>’ by doing certain remedial work, including: (a) insertion of gabions into the riverbed and embankments; (b) moderation of the quantity, volume and flow of the Loop river through attenuation dams and culverts; (c) moderating the quantity, volume and flow of the water in the river from ‘the Walter Sisulu Botanical Gardens into the river;</w:t>
      </w:r>
      <w:r w:rsidR="00D92A1F" w:rsidRPr="00351DC7">
        <w:rPr>
          <w:rFonts w:ascii="Arial" w:hAnsi="Arial" w:cs="Arial"/>
          <w:sz w:val="24"/>
          <w:szCs w:val="24"/>
        </w:rPr>
        <w:t xml:space="preserve"> (d) </w:t>
      </w:r>
      <w:r w:rsidR="00567908" w:rsidRPr="00351DC7">
        <w:rPr>
          <w:rFonts w:ascii="Arial" w:hAnsi="Arial" w:cs="Arial"/>
          <w:sz w:val="24"/>
          <w:szCs w:val="24"/>
        </w:rPr>
        <w:lastRenderedPageBreak/>
        <w:t>prevention of the erosion of the riverbank and to protect the integrity of Estate’s boundary security fence along the riverbank.</w:t>
      </w:r>
    </w:p>
    <w:p w14:paraId="1B1606EC" w14:textId="77777777" w:rsidR="00567908" w:rsidRPr="00351DC7" w:rsidRDefault="00567908" w:rsidP="00567908">
      <w:pPr>
        <w:shd w:val="clear" w:color="auto" w:fill="FFFFFF"/>
        <w:spacing w:before="144" w:after="120" w:line="360" w:lineRule="auto"/>
        <w:contextualSpacing/>
        <w:jc w:val="both"/>
        <w:rPr>
          <w:rFonts w:ascii="Arial" w:hAnsi="Arial" w:cs="Arial"/>
          <w:sz w:val="24"/>
          <w:szCs w:val="24"/>
        </w:rPr>
      </w:pPr>
    </w:p>
    <w:p w14:paraId="1DE6B682" w14:textId="4A69E0F5" w:rsidR="00D92A1F"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[11]</w:t>
      </w:r>
      <w:r w:rsidRPr="00351DC7">
        <w:rPr>
          <w:rFonts w:ascii="Arial" w:hAnsi="Arial" w:cs="Arial"/>
          <w:color w:val="000000"/>
          <w:sz w:val="24"/>
          <w:szCs w:val="24"/>
        </w:rPr>
        <w:tab/>
      </w:r>
      <w:r w:rsidR="00D92A1F" w:rsidRPr="00351DC7">
        <w:rPr>
          <w:rFonts w:ascii="Arial" w:hAnsi="Arial" w:cs="Arial"/>
          <w:sz w:val="24"/>
          <w:szCs w:val="24"/>
        </w:rPr>
        <w:t xml:space="preserve">Fourth, </w:t>
      </w:r>
      <w:r w:rsidR="00F21291" w:rsidRPr="00351DC7">
        <w:rPr>
          <w:rFonts w:ascii="Arial" w:hAnsi="Arial" w:cs="Arial"/>
          <w:sz w:val="24"/>
          <w:szCs w:val="24"/>
        </w:rPr>
        <w:t xml:space="preserve">Featherbrooke sought an order </w:t>
      </w:r>
      <w:r w:rsidR="00D92A1F" w:rsidRPr="00351DC7">
        <w:rPr>
          <w:rFonts w:ascii="Arial" w:hAnsi="Arial" w:cs="Arial"/>
          <w:sz w:val="24"/>
          <w:szCs w:val="24"/>
        </w:rPr>
        <w:t xml:space="preserve">that Mogale City, Johannesburg City, the Minister, the MEC and the Johannesburg Roads Agency, be directed to provide </w:t>
      </w:r>
      <w:r w:rsidR="00F21291" w:rsidRPr="00351DC7">
        <w:rPr>
          <w:rFonts w:ascii="Arial" w:hAnsi="Arial" w:cs="Arial"/>
          <w:sz w:val="24"/>
          <w:szCs w:val="24"/>
        </w:rPr>
        <w:t xml:space="preserve">it </w:t>
      </w:r>
      <w:r w:rsidR="00D92A1F" w:rsidRPr="00351DC7">
        <w:rPr>
          <w:rFonts w:ascii="Arial" w:hAnsi="Arial" w:cs="Arial"/>
          <w:sz w:val="24"/>
          <w:szCs w:val="24"/>
        </w:rPr>
        <w:t xml:space="preserve">with a report back on the </w:t>
      </w:r>
      <w:r w:rsidR="00E1425F" w:rsidRPr="00351DC7">
        <w:rPr>
          <w:rFonts w:ascii="Arial" w:hAnsi="Arial" w:cs="Arial"/>
          <w:sz w:val="24"/>
          <w:szCs w:val="24"/>
        </w:rPr>
        <w:t>implementation of the structural</w:t>
      </w:r>
      <w:r w:rsidR="00D92A1F" w:rsidRPr="00351DC7">
        <w:rPr>
          <w:rFonts w:ascii="Arial" w:hAnsi="Arial" w:cs="Arial"/>
          <w:sz w:val="24"/>
          <w:szCs w:val="24"/>
        </w:rPr>
        <w:t xml:space="preserve"> interdict</w:t>
      </w:r>
      <w:r w:rsidR="004675E4" w:rsidRPr="00351DC7">
        <w:rPr>
          <w:rFonts w:ascii="Arial" w:hAnsi="Arial" w:cs="Arial"/>
          <w:sz w:val="24"/>
          <w:szCs w:val="24"/>
        </w:rPr>
        <w:t xml:space="preserve">. Fifth, </w:t>
      </w:r>
      <w:r w:rsidR="00247B5E" w:rsidRPr="00351DC7">
        <w:rPr>
          <w:rFonts w:ascii="Arial" w:hAnsi="Arial" w:cs="Arial"/>
          <w:sz w:val="24"/>
          <w:szCs w:val="24"/>
        </w:rPr>
        <w:t>Featherbrooke</w:t>
      </w:r>
      <w:r w:rsidR="005551CF" w:rsidRPr="00351DC7">
        <w:rPr>
          <w:rFonts w:ascii="Arial" w:hAnsi="Arial" w:cs="Arial"/>
          <w:sz w:val="24"/>
          <w:szCs w:val="24"/>
        </w:rPr>
        <w:t xml:space="preserve"> </w:t>
      </w:r>
      <w:r w:rsidR="004675E4" w:rsidRPr="00351DC7">
        <w:rPr>
          <w:rFonts w:ascii="Arial" w:hAnsi="Arial" w:cs="Arial"/>
          <w:sz w:val="24"/>
          <w:szCs w:val="24"/>
        </w:rPr>
        <w:t xml:space="preserve">sought an order containing </w:t>
      </w:r>
      <w:r w:rsidR="00D92A1F" w:rsidRPr="00351DC7">
        <w:rPr>
          <w:rFonts w:ascii="Arial" w:hAnsi="Arial" w:cs="Arial"/>
          <w:sz w:val="24"/>
          <w:szCs w:val="24"/>
        </w:rPr>
        <w:t xml:space="preserve">measures </w:t>
      </w:r>
      <w:r w:rsidR="004675E4" w:rsidRPr="00351DC7">
        <w:rPr>
          <w:rFonts w:ascii="Arial" w:hAnsi="Arial" w:cs="Arial"/>
          <w:sz w:val="24"/>
          <w:szCs w:val="24"/>
        </w:rPr>
        <w:t xml:space="preserve">it </w:t>
      </w:r>
      <w:r w:rsidR="00D92A1F" w:rsidRPr="00351DC7">
        <w:rPr>
          <w:rFonts w:ascii="Arial" w:hAnsi="Arial" w:cs="Arial"/>
          <w:sz w:val="24"/>
          <w:szCs w:val="24"/>
        </w:rPr>
        <w:t xml:space="preserve">would be entitled to embark upon in the event of non-compliance with the interdict.  </w:t>
      </w:r>
    </w:p>
    <w:p w14:paraId="536F4AC6" w14:textId="77777777"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36F45EE9" w14:textId="78AAC58E" w:rsidR="006E36D8"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[12]</w:t>
      </w:r>
      <w:r w:rsidRPr="00351DC7">
        <w:rPr>
          <w:rFonts w:ascii="Arial" w:hAnsi="Arial" w:cs="Arial"/>
          <w:color w:val="000000"/>
          <w:sz w:val="24"/>
          <w:szCs w:val="24"/>
        </w:rPr>
        <w:tab/>
      </w:r>
      <w:r w:rsidR="00CA5D9B" w:rsidRPr="00351DC7">
        <w:rPr>
          <w:rFonts w:ascii="Arial" w:hAnsi="Arial" w:cs="Arial"/>
          <w:sz w:val="24"/>
          <w:szCs w:val="24"/>
        </w:rPr>
        <w:t xml:space="preserve">In part B, </w:t>
      </w:r>
      <w:r w:rsidR="00247B5E" w:rsidRPr="00351DC7">
        <w:rPr>
          <w:rFonts w:ascii="Arial" w:hAnsi="Arial" w:cs="Arial"/>
          <w:sz w:val="24"/>
          <w:szCs w:val="24"/>
        </w:rPr>
        <w:t xml:space="preserve">Featherbrooke </w:t>
      </w:r>
      <w:r w:rsidR="00F32A5B" w:rsidRPr="00351DC7">
        <w:rPr>
          <w:rFonts w:ascii="Arial" w:hAnsi="Arial" w:cs="Arial"/>
          <w:sz w:val="24"/>
          <w:szCs w:val="24"/>
        </w:rPr>
        <w:t xml:space="preserve">sought </w:t>
      </w:r>
      <w:r w:rsidR="00CA5D9B" w:rsidRPr="00351DC7">
        <w:rPr>
          <w:rFonts w:ascii="Arial" w:hAnsi="Arial" w:cs="Arial"/>
          <w:sz w:val="24"/>
          <w:szCs w:val="24"/>
        </w:rPr>
        <w:t>a</w:t>
      </w:r>
      <w:r w:rsidR="00312053" w:rsidRPr="00351DC7">
        <w:rPr>
          <w:rFonts w:ascii="Arial" w:hAnsi="Arial" w:cs="Arial"/>
          <w:sz w:val="24"/>
          <w:szCs w:val="24"/>
        </w:rPr>
        <w:t>n order</w:t>
      </w:r>
      <w:r w:rsidR="00CA5D9B" w:rsidRPr="00351DC7">
        <w:rPr>
          <w:rFonts w:ascii="Arial" w:hAnsi="Arial" w:cs="Arial"/>
          <w:sz w:val="24"/>
          <w:szCs w:val="24"/>
        </w:rPr>
        <w:t xml:space="preserve"> in terms of which any of the respondents would show cause why the relief sought in part A should not be </w:t>
      </w:r>
      <w:r w:rsidR="00312053" w:rsidRPr="00351DC7">
        <w:rPr>
          <w:rFonts w:ascii="Arial" w:hAnsi="Arial" w:cs="Arial"/>
          <w:sz w:val="24"/>
          <w:szCs w:val="24"/>
        </w:rPr>
        <w:t>made final.</w:t>
      </w:r>
      <w:r w:rsidR="006C10C1" w:rsidRPr="00351DC7">
        <w:rPr>
          <w:rFonts w:ascii="Arial" w:hAnsi="Arial" w:cs="Arial"/>
          <w:sz w:val="24"/>
          <w:szCs w:val="24"/>
        </w:rPr>
        <w:t xml:space="preserve"> </w:t>
      </w:r>
    </w:p>
    <w:p w14:paraId="2CC0C24E" w14:textId="46F8106F"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0B689A0A" w14:textId="330F9A9A" w:rsidR="005551CF"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[13]</w:t>
      </w:r>
      <w:r w:rsidRPr="00351DC7">
        <w:rPr>
          <w:rFonts w:ascii="Arial" w:hAnsi="Arial" w:cs="Arial"/>
          <w:color w:val="000000"/>
          <w:sz w:val="24"/>
          <w:szCs w:val="24"/>
        </w:rPr>
        <w:tab/>
      </w:r>
      <w:r w:rsidR="005551CF" w:rsidRPr="00351DC7">
        <w:rPr>
          <w:rFonts w:ascii="Arial" w:hAnsi="Arial" w:cs="Arial"/>
          <w:sz w:val="24"/>
          <w:szCs w:val="24"/>
        </w:rPr>
        <w:t xml:space="preserve">In its founding affidavit, Featherbrooke alleged that an increase of the volume of stormwater into the river </w:t>
      </w:r>
      <w:r w:rsidR="00F21291" w:rsidRPr="00351DC7">
        <w:rPr>
          <w:rFonts w:ascii="Arial" w:hAnsi="Arial" w:cs="Arial"/>
          <w:sz w:val="24"/>
          <w:szCs w:val="24"/>
        </w:rPr>
        <w:t>was</w:t>
      </w:r>
      <w:r w:rsidR="005551CF" w:rsidRPr="00351DC7">
        <w:rPr>
          <w:rFonts w:ascii="Arial" w:hAnsi="Arial" w:cs="Arial"/>
          <w:sz w:val="24"/>
          <w:szCs w:val="24"/>
        </w:rPr>
        <w:t xml:space="preserve"> due to an increase in urban development and hard surfaces, climate change and changing weather patterns. This had led to the following: (a) exposure of State infrastructure such as sewer lines and underground cables; (b) a collapse of the riverbeds and embankments; (c) a loss of riparian forest leading to accelerated erosion and bed collapse;</w:t>
      </w:r>
      <w:r w:rsidR="009F35A0" w:rsidRPr="00351DC7">
        <w:rPr>
          <w:rFonts w:ascii="Arial" w:hAnsi="Arial" w:cs="Arial"/>
          <w:sz w:val="24"/>
          <w:szCs w:val="24"/>
        </w:rPr>
        <w:t xml:space="preserve"> and</w:t>
      </w:r>
      <w:r w:rsidR="005551CF" w:rsidRPr="00351DC7">
        <w:rPr>
          <w:rFonts w:ascii="Arial" w:hAnsi="Arial" w:cs="Arial"/>
          <w:sz w:val="24"/>
          <w:szCs w:val="24"/>
        </w:rPr>
        <w:t xml:space="preserve"> (d) damage to the Estate’s infrastructure.</w:t>
      </w:r>
    </w:p>
    <w:p w14:paraId="72D1ACCE" w14:textId="63BE24C3" w:rsidR="005551CF" w:rsidRPr="00351DC7" w:rsidRDefault="005551CF" w:rsidP="005551CF">
      <w:pPr>
        <w:shd w:val="clear" w:color="auto" w:fill="FFFFFF"/>
        <w:spacing w:before="144" w:after="240" w:line="360" w:lineRule="auto"/>
        <w:contextualSpacing/>
        <w:jc w:val="both"/>
        <w:rPr>
          <w:rFonts w:ascii="Arial" w:hAnsi="Arial" w:cs="Arial"/>
          <w:sz w:val="24"/>
          <w:szCs w:val="24"/>
        </w:rPr>
      </w:pPr>
    </w:p>
    <w:p w14:paraId="238624C2" w14:textId="64F200A5" w:rsidR="00466FEA" w:rsidRPr="00351DC7" w:rsidRDefault="00186070" w:rsidP="00186070">
      <w:pPr>
        <w:shd w:val="clear" w:color="auto" w:fill="FFFFFF"/>
        <w:spacing w:before="144" w:after="240" w:line="360" w:lineRule="auto"/>
        <w:contextualSpacing/>
        <w:jc w:val="both"/>
        <w:rPr>
          <w:rFonts w:ascii="Arial" w:hAnsi="Arial" w:cs="Arial"/>
          <w:sz w:val="24"/>
          <w:szCs w:val="24"/>
        </w:rPr>
      </w:pPr>
      <w:r w:rsidRPr="00351DC7">
        <w:rPr>
          <w:rFonts w:ascii="Arial" w:hAnsi="Arial" w:cs="Arial"/>
          <w:color w:val="000000"/>
          <w:sz w:val="24"/>
          <w:szCs w:val="24"/>
        </w:rPr>
        <w:t>[14]</w:t>
      </w:r>
      <w:r w:rsidRPr="00351DC7">
        <w:rPr>
          <w:rFonts w:ascii="Arial" w:hAnsi="Arial" w:cs="Arial"/>
          <w:color w:val="000000"/>
          <w:sz w:val="24"/>
          <w:szCs w:val="24"/>
        </w:rPr>
        <w:tab/>
      </w:r>
      <w:r w:rsidR="00F21291" w:rsidRPr="00351DC7">
        <w:rPr>
          <w:rFonts w:ascii="Arial" w:hAnsi="Arial" w:cs="Arial"/>
          <w:sz w:val="24"/>
          <w:szCs w:val="24"/>
        </w:rPr>
        <w:t>T</w:t>
      </w:r>
      <w:r w:rsidR="001D219B" w:rsidRPr="00351DC7">
        <w:rPr>
          <w:rFonts w:ascii="Arial" w:hAnsi="Arial" w:cs="Arial"/>
          <w:sz w:val="24"/>
          <w:szCs w:val="24"/>
        </w:rPr>
        <w:t>he MEC and West Rand District Municipality did not oppose the application</w:t>
      </w:r>
      <w:r w:rsidR="00981D55" w:rsidRPr="00351DC7">
        <w:rPr>
          <w:rFonts w:ascii="Arial" w:hAnsi="Arial" w:cs="Arial"/>
          <w:sz w:val="24"/>
          <w:szCs w:val="24"/>
        </w:rPr>
        <w:t xml:space="preserve"> </w:t>
      </w:r>
      <w:r w:rsidR="00C430F8" w:rsidRPr="00351DC7">
        <w:rPr>
          <w:rFonts w:ascii="Arial" w:hAnsi="Arial" w:cs="Arial"/>
          <w:sz w:val="24"/>
          <w:szCs w:val="24"/>
        </w:rPr>
        <w:t xml:space="preserve">while </w:t>
      </w:r>
      <w:r w:rsidR="006E36D8" w:rsidRPr="00351DC7">
        <w:rPr>
          <w:rFonts w:ascii="Arial" w:hAnsi="Arial" w:cs="Arial"/>
          <w:sz w:val="24"/>
          <w:szCs w:val="24"/>
        </w:rPr>
        <w:t>Mogale City, City of Johannesburg</w:t>
      </w:r>
      <w:r w:rsidR="00E24A09" w:rsidRPr="00351DC7">
        <w:rPr>
          <w:rFonts w:ascii="Arial" w:hAnsi="Arial" w:cs="Arial"/>
          <w:sz w:val="24"/>
          <w:szCs w:val="24"/>
        </w:rPr>
        <w:t xml:space="preserve">, the Minister, </w:t>
      </w:r>
      <w:r w:rsidR="006E36D8" w:rsidRPr="00351DC7">
        <w:rPr>
          <w:rFonts w:ascii="Arial" w:hAnsi="Arial" w:cs="Arial"/>
          <w:sz w:val="24"/>
          <w:szCs w:val="24"/>
        </w:rPr>
        <w:t>and Johannesburg Roads Agency</w:t>
      </w:r>
      <w:r w:rsidR="00907E20" w:rsidRPr="00351DC7">
        <w:rPr>
          <w:rFonts w:ascii="Arial" w:hAnsi="Arial" w:cs="Arial"/>
          <w:sz w:val="24"/>
          <w:szCs w:val="24"/>
        </w:rPr>
        <w:t>,</w:t>
      </w:r>
      <w:r w:rsidR="004C45AD" w:rsidRPr="00351DC7">
        <w:rPr>
          <w:rFonts w:ascii="Arial" w:hAnsi="Arial" w:cs="Arial"/>
          <w:sz w:val="24"/>
          <w:szCs w:val="24"/>
        </w:rPr>
        <w:t xml:space="preserve"> </w:t>
      </w:r>
      <w:r w:rsidR="006E36D8" w:rsidRPr="00351DC7">
        <w:rPr>
          <w:rFonts w:ascii="Arial" w:hAnsi="Arial" w:cs="Arial"/>
          <w:sz w:val="24"/>
          <w:szCs w:val="24"/>
        </w:rPr>
        <w:t>opposed the application.</w:t>
      </w:r>
      <w:r w:rsidR="00312053" w:rsidRPr="00351DC7">
        <w:rPr>
          <w:rFonts w:ascii="Arial" w:hAnsi="Arial" w:cs="Arial"/>
          <w:sz w:val="24"/>
          <w:szCs w:val="24"/>
        </w:rPr>
        <w:t xml:space="preserve"> </w:t>
      </w:r>
      <w:r w:rsidR="00E24A09" w:rsidRPr="00351DC7">
        <w:rPr>
          <w:rFonts w:ascii="Arial" w:hAnsi="Arial" w:cs="Arial"/>
          <w:sz w:val="24"/>
          <w:szCs w:val="24"/>
        </w:rPr>
        <w:t xml:space="preserve">City of Johannesburg and Johannesburg Roads Agency </w:t>
      </w:r>
      <w:r w:rsidR="00312053" w:rsidRPr="00351DC7">
        <w:rPr>
          <w:rFonts w:ascii="Arial" w:hAnsi="Arial" w:cs="Arial"/>
          <w:sz w:val="24"/>
          <w:szCs w:val="24"/>
        </w:rPr>
        <w:t xml:space="preserve">filed a joint answering affidavit. </w:t>
      </w:r>
      <w:r w:rsidR="00615866" w:rsidRPr="00351DC7">
        <w:rPr>
          <w:rFonts w:ascii="Arial" w:hAnsi="Arial" w:cs="Arial"/>
          <w:sz w:val="24"/>
          <w:szCs w:val="24"/>
        </w:rPr>
        <w:t>Each of</w:t>
      </w:r>
      <w:r w:rsidR="00A107E5" w:rsidRPr="00351DC7">
        <w:rPr>
          <w:rFonts w:ascii="Arial" w:hAnsi="Arial" w:cs="Arial"/>
          <w:sz w:val="24"/>
          <w:szCs w:val="24"/>
        </w:rPr>
        <w:t xml:space="preserve"> the opposing respondents took a preliminary point that the matter was not urgent.</w:t>
      </w:r>
      <w:r w:rsidR="00354CD9" w:rsidRPr="00351DC7">
        <w:rPr>
          <w:rFonts w:ascii="Arial" w:hAnsi="Arial" w:cs="Arial"/>
          <w:sz w:val="24"/>
          <w:szCs w:val="24"/>
        </w:rPr>
        <w:t xml:space="preserve"> Substantively, they all denied responsibility and relied on </w:t>
      </w:r>
      <w:r w:rsidR="00615866" w:rsidRPr="00351DC7">
        <w:rPr>
          <w:rFonts w:ascii="Arial" w:hAnsi="Arial" w:cs="Arial"/>
          <w:sz w:val="24"/>
          <w:szCs w:val="24"/>
        </w:rPr>
        <w:t xml:space="preserve">several bases, to which fuller reference will be made later. </w:t>
      </w:r>
    </w:p>
    <w:p w14:paraId="43682DA2" w14:textId="069492E8" w:rsidR="00DE2270" w:rsidRPr="00351DC7" w:rsidRDefault="00DE2270" w:rsidP="00DE2270">
      <w:pPr>
        <w:shd w:val="clear" w:color="auto" w:fill="FFFFFF"/>
        <w:spacing w:before="144" w:after="120" w:line="360" w:lineRule="auto"/>
        <w:contextualSpacing/>
        <w:jc w:val="both"/>
        <w:rPr>
          <w:rFonts w:ascii="Arial" w:hAnsi="Arial" w:cs="Arial"/>
          <w:sz w:val="24"/>
          <w:szCs w:val="24"/>
        </w:rPr>
      </w:pPr>
    </w:p>
    <w:p w14:paraId="0EAB7C64" w14:textId="68A033D9" w:rsidR="00EA5C47"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[15]</w:t>
      </w:r>
      <w:r w:rsidRPr="00351DC7">
        <w:rPr>
          <w:rFonts w:ascii="Arial" w:hAnsi="Arial" w:cs="Arial"/>
          <w:color w:val="000000"/>
          <w:sz w:val="24"/>
          <w:szCs w:val="24"/>
        </w:rPr>
        <w:tab/>
      </w:r>
      <w:r w:rsidR="000102A1" w:rsidRPr="00351DC7">
        <w:rPr>
          <w:rFonts w:ascii="Arial" w:hAnsi="Arial" w:cs="Arial"/>
          <w:sz w:val="24"/>
          <w:szCs w:val="24"/>
        </w:rPr>
        <w:t>Part A (t</w:t>
      </w:r>
      <w:r w:rsidR="00EA5C47" w:rsidRPr="00351DC7">
        <w:rPr>
          <w:rFonts w:ascii="Arial" w:hAnsi="Arial" w:cs="Arial"/>
          <w:sz w:val="24"/>
          <w:szCs w:val="24"/>
        </w:rPr>
        <w:t>he urgent application</w:t>
      </w:r>
      <w:r w:rsidR="000102A1" w:rsidRPr="00351DC7">
        <w:rPr>
          <w:rFonts w:ascii="Arial" w:hAnsi="Arial" w:cs="Arial"/>
          <w:sz w:val="24"/>
          <w:szCs w:val="24"/>
        </w:rPr>
        <w:t>)</w:t>
      </w:r>
      <w:r w:rsidR="00EA5C47" w:rsidRPr="00351DC7">
        <w:rPr>
          <w:rFonts w:ascii="Arial" w:hAnsi="Arial" w:cs="Arial"/>
          <w:sz w:val="24"/>
          <w:szCs w:val="24"/>
        </w:rPr>
        <w:t xml:space="preserve"> was heard on 9 June 2020</w:t>
      </w:r>
      <w:r w:rsidR="00981D55" w:rsidRPr="00351DC7">
        <w:rPr>
          <w:rFonts w:ascii="Arial" w:hAnsi="Arial" w:cs="Arial"/>
          <w:sz w:val="24"/>
          <w:szCs w:val="24"/>
        </w:rPr>
        <w:t>.</w:t>
      </w:r>
      <w:r w:rsidR="00EA5C47" w:rsidRPr="00351DC7">
        <w:rPr>
          <w:rFonts w:ascii="Arial" w:hAnsi="Arial" w:cs="Arial"/>
          <w:sz w:val="24"/>
          <w:szCs w:val="24"/>
        </w:rPr>
        <w:t xml:space="preserve"> </w:t>
      </w:r>
      <w:r w:rsidR="00981D55" w:rsidRPr="00351DC7">
        <w:rPr>
          <w:rFonts w:ascii="Arial" w:hAnsi="Arial" w:cs="Arial"/>
          <w:sz w:val="24"/>
          <w:szCs w:val="24"/>
        </w:rPr>
        <w:t>O</w:t>
      </w:r>
      <w:r w:rsidR="00EA5C47" w:rsidRPr="00351DC7">
        <w:rPr>
          <w:rFonts w:ascii="Arial" w:hAnsi="Arial" w:cs="Arial"/>
          <w:sz w:val="24"/>
          <w:szCs w:val="24"/>
        </w:rPr>
        <w:t>n 10 June 2020 it was struck from the roll</w:t>
      </w:r>
      <w:r w:rsidR="00A42BAF" w:rsidRPr="00351DC7">
        <w:rPr>
          <w:rFonts w:ascii="Arial" w:hAnsi="Arial" w:cs="Arial"/>
          <w:sz w:val="24"/>
          <w:szCs w:val="24"/>
        </w:rPr>
        <w:t xml:space="preserve"> for lack of urgency,</w:t>
      </w:r>
      <w:r w:rsidR="00EA5C47" w:rsidRPr="00351DC7">
        <w:rPr>
          <w:rFonts w:ascii="Arial" w:hAnsi="Arial" w:cs="Arial"/>
          <w:sz w:val="24"/>
          <w:szCs w:val="24"/>
        </w:rPr>
        <w:t xml:space="preserve"> with costs. However, the court</w:t>
      </w:r>
      <w:r w:rsidR="000102A1" w:rsidRPr="00351DC7">
        <w:rPr>
          <w:rFonts w:ascii="Arial" w:hAnsi="Arial" w:cs="Arial"/>
          <w:sz w:val="24"/>
          <w:szCs w:val="24"/>
        </w:rPr>
        <w:t xml:space="preserve"> gave the following directions in respect of the future hearing of the matter</w:t>
      </w:r>
      <w:r w:rsidR="00EA5C47" w:rsidRPr="00351DC7">
        <w:rPr>
          <w:rFonts w:ascii="Arial" w:hAnsi="Arial" w:cs="Arial"/>
          <w:sz w:val="24"/>
          <w:szCs w:val="24"/>
        </w:rPr>
        <w:t>:</w:t>
      </w:r>
    </w:p>
    <w:p w14:paraId="63CFC851" w14:textId="105003EE" w:rsidR="00EA5C47" w:rsidRPr="00351DC7" w:rsidRDefault="00EA5C47" w:rsidP="00EA5C47">
      <w:pPr>
        <w:shd w:val="clear" w:color="auto" w:fill="FFFFFF"/>
        <w:spacing w:before="144" w:after="120" w:line="360" w:lineRule="auto"/>
        <w:contextualSpacing/>
        <w:jc w:val="both"/>
        <w:rPr>
          <w:rFonts w:ascii="Arial" w:hAnsi="Arial" w:cs="Arial"/>
        </w:rPr>
      </w:pPr>
      <w:r w:rsidRPr="00351DC7">
        <w:rPr>
          <w:rFonts w:ascii="Arial" w:hAnsi="Arial" w:cs="Arial"/>
        </w:rPr>
        <w:t>‘2</w:t>
      </w:r>
      <w:r w:rsidR="00C468CE" w:rsidRPr="00351DC7">
        <w:rPr>
          <w:rFonts w:ascii="Arial" w:hAnsi="Arial" w:cs="Arial"/>
        </w:rPr>
        <w:tab/>
      </w:r>
      <w:r w:rsidRPr="00351DC7">
        <w:rPr>
          <w:rFonts w:ascii="Arial" w:hAnsi="Arial" w:cs="Arial"/>
        </w:rPr>
        <w:t>The respondents are authorised to supplement their answering papers by Monday 13 July 2020 at 16h00;</w:t>
      </w:r>
    </w:p>
    <w:p w14:paraId="3544A9E9" w14:textId="4ABEC8A6" w:rsidR="000102A1" w:rsidRPr="00351DC7" w:rsidRDefault="00EA5C47" w:rsidP="00EA5C47">
      <w:pPr>
        <w:shd w:val="clear" w:color="auto" w:fill="FFFFFF"/>
        <w:spacing w:before="144" w:after="120" w:line="360" w:lineRule="auto"/>
        <w:contextualSpacing/>
        <w:jc w:val="both"/>
        <w:rPr>
          <w:rFonts w:ascii="Arial" w:hAnsi="Arial" w:cs="Arial"/>
        </w:rPr>
      </w:pPr>
      <w:r w:rsidRPr="00351DC7">
        <w:rPr>
          <w:rFonts w:ascii="Arial" w:hAnsi="Arial" w:cs="Arial"/>
        </w:rPr>
        <w:t>3</w:t>
      </w:r>
      <w:r w:rsidR="00C468CE" w:rsidRPr="00351DC7">
        <w:rPr>
          <w:rFonts w:ascii="Arial" w:hAnsi="Arial" w:cs="Arial"/>
        </w:rPr>
        <w:tab/>
      </w:r>
      <w:r w:rsidRPr="00351DC7">
        <w:rPr>
          <w:rFonts w:ascii="Arial" w:hAnsi="Arial" w:cs="Arial"/>
        </w:rPr>
        <w:t xml:space="preserve">The </w:t>
      </w:r>
      <w:r w:rsidR="000102A1" w:rsidRPr="00351DC7">
        <w:rPr>
          <w:rFonts w:ascii="Arial" w:hAnsi="Arial" w:cs="Arial"/>
        </w:rPr>
        <w:t>applicant is authorised to supplement its replying papers by Monday 27 July 2020 at 16h00;</w:t>
      </w:r>
    </w:p>
    <w:p w14:paraId="26372B5C" w14:textId="5251BD10" w:rsidR="000102A1" w:rsidRPr="00351DC7" w:rsidRDefault="000102A1" w:rsidP="00EA5C47">
      <w:pPr>
        <w:shd w:val="clear" w:color="auto" w:fill="FFFFFF"/>
        <w:spacing w:before="144" w:after="120" w:line="360" w:lineRule="auto"/>
        <w:contextualSpacing/>
        <w:jc w:val="both"/>
        <w:rPr>
          <w:rFonts w:ascii="Arial" w:hAnsi="Arial" w:cs="Arial"/>
        </w:rPr>
      </w:pPr>
      <w:r w:rsidRPr="00351DC7">
        <w:rPr>
          <w:rFonts w:ascii="Arial" w:hAnsi="Arial" w:cs="Arial"/>
        </w:rPr>
        <w:lastRenderedPageBreak/>
        <w:t>4</w:t>
      </w:r>
      <w:r w:rsidR="00C468CE" w:rsidRPr="00351DC7">
        <w:rPr>
          <w:rFonts w:ascii="Arial" w:hAnsi="Arial" w:cs="Arial"/>
        </w:rPr>
        <w:tab/>
      </w:r>
      <w:r w:rsidRPr="00351DC7">
        <w:rPr>
          <w:rFonts w:ascii="Arial" w:hAnsi="Arial" w:cs="Arial"/>
        </w:rPr>
        <w:t>The parties are to deliver supplementary heads of argument and practice notes by Monday 10 August 2020 at 16h00;</w:t>
      </w:r>
    </w:p>
    <w:p w14:paraId="2D87287D" w14:textId="625E8480" w:rsidR="000102A1" w:rsidRPr="00351DC7" w:rsidRDefault="000102A1" w:rsidP="00EA5C47">
      <w:pPr>
        <w:shd w:val="clear" w:color="auto" w:fill="FFFFFF"/>
        <w:spacing w:before="144" w:after="120" w:line="360" w:lineRule="auto"/>
        <w:contextualSpacing/>
        <w:jc w:val="both"/>
        <w:rPr>
          <w:rFonts w:ascii="Arial" w:hAnsi="Arial" w:cs="Arial"/>
        </w:rPr>
      </w:pPr>
      <w:r w:rsidRPr="00351DC7">
        <w:rPr>
          <w:rFonts w:ascii="Arial" w:hAnsi="Arial" w:cs="Arial"/>
        </w:rPr>
        <w:t>5</w:t>
      </w:r>
      <w:r w:rsidR="00C468CE" w:rsidRPr="00351DC7">
        <w:rPr>
          <w:rFonts w:ascii="Arial" w:hAnsi="Arial" w:cs="Arial"/>
        </w:rPr>
        <w:tab/>
      </w:r>
      <w:r w:rsidRPr="00351DC7">
        <w:rPr>
          <w:rFonts w:ascii="Arial" w:hAnsi="Arial" w:cs="Arial"/>
        </w:rPr>
        <w:t xml:space="preserve">The registrar is directed to enrol the matter on the opposed motion roll as a matter of urgency, alternatively the parties may approach the Deputy </w:t>
      </w:r>
      <w:r w:rsidR="00981D55" w:rsidRPr="00351DC7">
        <w:rPr>
          <w:rFonts w:ascii="Arial" w:hAnsi="Arial" w:cs="Arial"/>
        </w:rPr>
        <w:t xml:space="preserve">Judge </w:t>
      </w:r>
      <w:r w:rsidRPr="00351DC7">
        <w:rPr>
          <w:rFonts w:ascii="Arial" w:hAnsi="Arial" w:cs="Arial"/>
        </w:rPr>
        <w:t>President for allocation of the matter as a special motion of long duration . . .’</w:t>
      </w:r>
    </w:p>
    <w:p w14:paraId="49CA49DF" w14:textId="14B073A7" w:rsidR="001B4F12" w:rsidRPr="00351DC7" w:rsidRDefault="001B4F12" w:rsidP="006738B3">
      <w:pPr>
        <w:shd w:val="clear" w:color="auto" w:fill="FFFFFF"/>
        <w:spacing w:before="144" w:after="120" w:line="360" w:lineRule="auto"/>
        <w:contextualSpacing/>
        <w:jc w:val="both"/>
        <w:rPr>
          <w:rFonts w:ascii="Arial" w:hAnsi="Arial" w:cs="Arial"/>
          <w:sz w:val="24"/>
          <w:szCs w:val="24"/>
        </w:rPr>
      </w:pPr>
    </w:p>
    <w:p w14:paraId="5D008DA1" w14:textId="7D2752CB" w:rsidR="00BC1ACF"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[16]</w:t>
      </w:r>
      <w:r w:rsidRPr="00351DC7">
        <w:rPr>
          <w:rFonts w:ascii="Arial" w:hAnsi="Arial" w:cs="Arial"/>
          <w:color w:val="000000"/>
          <w:sz w:val="24"/>
          <w:szCs w:val="24"/>
        </w:rPr>
        <w:tab/>
      </w:r>
      <w:r w:rsidR="00BC1ACF" w:rsidRPr="00351DC7">
        <w:rPr>
          <w:rFonts w:ascii="Arial" w:hAnsi="Arial" w:cs="Arial"/>
          <w:sz w:val="24"/>
          <w:szCs w:val="24"/>
        </w:rPr>
        <w:t>The directions envisaged in the above order were complied with. After the filing of the supplementary affidavits, the positions adopted by the respective opposing parties crystallized as follows.</w:t>
      </w:r>
    </w:p>
    <w:p w14:paraId="62A6546A" w14:textId="77777777" w:rsidR="001B4F12" w:rsidRPr="00351DC7" w:rsidRDefault="001B4F12" w:rsidP="006738B3">
      <w:pPr>
        <w:rPr>
          <w:rFonts w:ascii="Arial" w:hAnsi="Arial" w:cs="Arial"/>
          <w:i/>
          <w:sz w:val="24"/>
          <w:szCs w:val="24"/>
        </w:rPr>
      </w:pPr>
    </w:p>
    <w:p w14:paraId="38431928" w14:textId="46437CE8" w:rsidR="00615866" w:rsidRPr="00351DC7" w:rsidRDefault="008C70E3" w:rsidP="00C468CE">
      <w:pPr>
        <w:shd w:val="clear" w:color="auto" w:fill="FFFFFF"/>
        <w:spacing w:before="144" w:after="120" w:line="360" w:lineRule="auto"/>
        <w:contextualSpacing/>
        <w:jc w:val="both"/>
        <w:rPr>
          <w:rFonts w:ascii="Arial" w:hAnsi="Arial" w:cs="Arial"/>
          <w:i/>
          <w:sz w:val="24"/>
          <w:szCs w:val="24"/>
        </w:rPr>
      </w:pPr>
      <w:r w:rsidRPr="00351DC7">
        <w:rPr>
          <w:rFonts w:ascii="Arial" w:hAnsi="Arial" w:cs="Arial"/>
          <w:i/>
          <w:sz w:val="24"/>
          <w:szCs w:val="24"/>
        </w:rPr>
        <w:t xml:space="preserve">Mogale City </w:t>
      </w:r>
    </w:p>
    <w:p w14:paraId="71769C1D" w14:textId="1C5B7F17" w:rsidR="00466FEA"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[17]</w:t>
      </w:r>
      <w:r w:rsidRPr="00351DC7">
        <w:rPr>
          <w:rFonts w:ascii="Arial" w:hAnsi="Arial" w:cs="Arial"/>
          <w:color w:val="000000"/>
          <w:sz w:val="24"/>
          <w:szCs w:val="24"/>
        </w:rPr>
        <w:tab/>
      </w:r>
      <w:r w:rsidR="00BC1ACF" w:rsidRPr="00351DC7">
        <w:rPr>
          <w:rFonts w:ascii="Arial" w:hAnsi="Arial" w:cs="Arial"/>
          <w:sz w:val="24"/>
          <w:szCs w:val="24"/>
        </w:rPr>
        <w:t>Management of the</w:t>
      </w:r>
      <w:r w:rsidR="00615866" w:rsidRPr="00351DC7">
        <w:rPr>
          <w:rFonts w:ascii="Arial" w:hAnsi="Arial" w:cs="Arial"/>
          <w:sz w:val="24"/>
          <w:szCs w:val="24"/>
        </w:rPr>
        <w:t xml:space="preserve"> environment is a national and provincial competence</w:t>
      </w:r>
      <w:r w:rsidR="00526F27" w:rsidRPr="00351DC7">
        <w:rPr>
          <w:rFonts w:ascii="Arial" w:hAnsi="Arial" w:cs="Arial"/>
          <w:sz w:val="24"/>
          <w:szCs w:val="24"/>
        </w:rPr>
        <w:t xml:space="preserve">. Hence, </w:t>
      </w:r>
      <w:r w:rsidR="00615866" w:rsidRPr="00351DC7">
        <w:rPr>
          <w:rFonts w:ascii="Arial" w:hAnsi="Arial" w:cs="Arial"/>
          <w:sz w:val="24"/>
          <w:szCs w:val="24"/>
        </w:rPr>
        <w:t>the remediation measures sought against it were constitutionally not w</w:t>
      </w:r>
      <w:r w:rsidR="006A5426" w:rsidRPr="00351DC7">
        <w:rPr>
          <w:rFonts w:ascii="Arial" w:hAnsi="Arial" w:cs="Arial"/>
          <w:sz w:val="24"/>
          <w:szCs w:val="24"/>
        </w:rPr>
        <w:t>ithin its powers. Specifically, the management of</w:t>
      </w:r>
      <w:r w:rsidR="00615866" w:rsidRPr="00351DC7">
        <w:rPr>
          <w:rFonts w:ascii="Arial" w:hAnsi="Arial" w:cs="Arial"/>
          <w:sz w:val="24"/>
          <w:szCs w:val="24"/>
        </w:rPr>
        <w:t xml:space="preserve"> floods does not fall within the competence of a sphere of local government. As such, Mogale City</w:t>
      </w:r>
      <w:r w:rsidR="00526F27" w:rsidRPr="00351DC7">
        <w:rPr>
          <w:rFonts w:ascii="Arial" w:hAnsi="Arial" w:cs="Arial"/>
          <w:sz w:val="24"/>
          <w:szCs w:val="24"/>
        </w:rPr>
        <w:t xml:space="preserve"> argued that </w:t>
      </w:r>
      <w:r w:rsidR="00615866" w:rsidRPr="00351DC7">
        <w:rPr>
          <w:rFonts w:ascii="Arial" w:hAnsi="Arial" w:cs="Arial"/>
          <w:sz w:val="24"/>
          <w:szCs w:val="24"/>
        </w:rPr>
        <w:t xml:space="preserve">it would be constitutionally incompetent for it to be ordered to do the things that </w:t>
      </w:r>
      <w:r w:rsidR="00247B5E" w:rsidRPr="00351DC7">
        <w:rPr>
          <w:rFonts w:ascii="Arial" w:hAnsi="Arial" w:cs="Arial"/>
          <w:sz w:val="24"/>
          <w:szCs w:val="24"/>
        </w:rPr>
        <w:t>Featherbrooke</w:t>
      </w:r>
      <w:r w:rsidR="00BC1ACF" w:rsidRPr="00351DC7">
        <w:rPr>
          <w:rFonts w:ascii="Arial" w:hAnsi="Arial" w:cs="Arial"/>
          <w:sz w:val="24"/>
          <w:szCs w:val="24"/>
        </w:rPr>
        <w:t xml:space="preserve"> </w:t>
      </w:r>
      <w:r w:rsidR="00615866" w:rsidRPr="00351DC7">
        <w:rPr>
          <w:rFonts w:ascii="Arial" w:hAnsi="Arial" w:cs="Arial"/>
          <w:sz w:val="24"/>
          <w:szCs w:val="24"/>
        </w:rPr>
        <w:t>required it to do in respect of the flooding, as these fall</w:t>
      </w:r>
      <w:r w:rsidR="008C70E3" w:rsidRPr="00351DC7">
        <w:rPr>
          <w:rFonts w:ascii="Arial" w:hAnsi="Arial" w:cs="Arial"/>
          <w:sz w:val="24"/>
          <w:szCs w:val="24"/>
        </w:rPr>
        <w:t xml:space="preserve"> outside its legal competence. </w:t>
      </w:r>
      <w:r w:rsidR="006A5426" w:rsidRPr="00351DC7">
        <w:rPr>
          <w:rFonts w:ascii="Arial" w:hAnsi="Arial" w:cs="Arial"/>
          <w:sz w:val="24"/>
          <w:szCs w:val="24"/>
        </w:rPr>
        <w:t xml:space="preserve">Thus, Mogale City disavowed any statutory responsibility to take remedial measures caused by the flooding. It said that </w:t>
      </w:r>
      <w:r w:rsidR="00247B5E" w:rsidRPr="00351DC7">
        <w:rPr>
          <w:rFonts w:ascii="Arial" w:hAnsi="Arial" w:cs="Arial"/>
          <w:sz w:val="24"/>
          <w:szCs w:val="24"/>
        </w:rPr>
        <w:t>Featherbrooke</w:t>
      </w:r>
      <w:r w:rsidR="00BC1ACF" w:rsidRPr="00351DC7">
        <w:rPr>
          <w:rFonts w:ascii="Arial" w:hAnsi="Arial" w:cs="Arial"/>
          <w:sz w:val="24"/>
          <w:szCs w:val="24"/>
        </w:rPr>
        <w:t xml:space="preserve"> </w:t>
      </w:r>
      <w:r w:rsidR="006A5426" w:rsidRPr="00351DC7">
        <w:rPr>
          <w:rFonts w:ascii="Arial" w:hAnsi="Arial" w:cs="Arial"/>
          <w:sz w:val="24"/>
          <w:szCs w:val="24"/>
        </w:rPr>
        <w:t xml:space="preserve">should look to the Minister in terms of </w:t>
      </w:r>
      <w:r w:rsidR="00BC1ACF" w:rsidRPr="00351DC7">
        <w:rPr>
          <w:rFonts w:ascii="Arial" w:hAnsi="Arial" w:cs="Arial"/>
          <w:sz w:val="24"/>
          <w:szCs w:val="24"/>
        </w:rPr>
        <w:t xml:space="preserve">the provisions of the </w:t>
      </w:r>
      <w:r w:rsidR="00491271" w:rsidRPr="00351DC7">
        <w:rPr>
          <w:rFonts w:ascii="Arial" w:hAnsi="Arial" w:cs="Arial"/>
          <w:sz w:val="24"/>
          <w:szCs w:val="24"/>
        </w:rPr>
        <w:t xml:space="preserve">National </w:t>
      </w:r>
      <w:r w:rsidR="006A5426" w:rsidRPr="00351DC7">
        <w:rPr>
          <w:rFonts w:ascii="Arial" w:hAnsi="Arial" w:cs="Arial"/>
          <w:sz w:val="24"/>
          <w:szCs w:val="24"/>
        </w:rPr>
        <w:t>Water Act</w:t>
      </w:r>
      <w:r w:rsidR="0007624E" w:rsidRPr="00351DC7">
        <w:rPr>
          <w:rStyle w:val="FootnoteReference"/>
          <w:rFonts w:ascii="Arial" w:hAnsi="Arial" w:cs="Arial"/>
          <w:sz w:val="24"/>
          <w:szCs w:val="24"/>
        </w:rPr>
        <w:footnoteReference w:id="2"/>
      </w:r>
      <w:r w:rsidR="00491271" w:rsidRPr="00351DC7">
        <w:rPr>
          <w:rFonts w:ascii="Arial" w:hAnsi="Arial" w:cs="Arial"/>
          <w:sz w:val="24"/>
          <w:szCs w:val="24"/>
        </w:rPr>
        <w:t xml:space="preserve"> (</w:t>
      </w:r>
      <w:r w:rsidR="0007624E" w:rsidRPr="00351DC7">
        <w:rPr>
          <w:rFonts w:ascii="Arial" w:hAnsi="Arial" w:cs="Arial"/>
          <w:sz w:val="24"/>
          <w:szCs w:val="24"/>
        </w:rPr>
        <w:t xml:space="preserve">the </w:t>
      </w:r>
      <w:r w:rsidR="00491271" w:rsidRPr="00351DC7">
        <w:rPr>
          <w:rFonts w:ascii="Arial" w:hAnsi="Arial" w:cs="Arial"/>
          <w:sz w:val="24"/>
          <w:szCs w:val="24"/>
        </w:rPr>
        <w:t>Water Act)</w:t>
      </w:r>
      <w:r w:rsidR="00D86588" w:rsidRPr="00351DC7">
        <w:rPr>
          <w:rFonts w:ascii="Arial" w:hAnsi="Arial" w:cs="Arial"/>
          <w:sz w:val="24"/>
          <w:szCs w:val="24"/>
        </w:rPr>
        <w:t xml:space="preserve">. </w:t>
      </w:r>
    </w:p>
    <w:p w14:paraId="10706CD5" w14:textId="163EC9B1" w:rsidR="00D86588" w:rsidRPr="00351DC7" w:rsidRDefault="00D86588" w:rsidP="006738B3">
      <w:pPr>
        <w:shd w:val="clear" w:color="auto" w:fill="FFFFFF"/>
        <w:spacing w:before="144" w:after="120" w:line="360" w:lineRule="auto"/>
        <w:contextualSpacing/>
        <w:jc w:val="both"/>
        <w:rPr>
          <w:rFonts w:ascii="Arial" w:hAnsi="Arial" w:cs="Arial"/>
          <w:sz w:val="24"/>
          <w:szCs w:val="24"/>
        </w:rPr>
      </w:pPr>
    </w:p>
    <w:p w14:paraId="1B5DA4AF" w14:textId="0BF04A35" w:rsidR="00615866"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[18]</w:t>
      </w:r>
      <w:r w:rsidRPr="00351DC7">
        <w:rPr>
          <w:rFonts w:ascii="Arial" w:hAnsi="Arial" w:cs="Arial"/>
          <w:color w:val="000000"/>
          <w:sz w:val="24"/>
          <w:szCs w:val="24"/>
        </w:rPr>
        <w:tab/>
      </w:r>
      <w:r w:rsidR="005551CF" w:rsidRPr="00351DC7">
        <w:rPr>
          <w:rFonts w:ascii="Arial" w:hAnsi="Arial" w:cs="Arial"/>
          <w:sz w:val="24"/>
          <w:szCs w:val="24"/>
        </w:rPr>
        <w:t>Regarding</w:t>
      </w:r>
      <w:r w:rsidR="00615866" w:rsidRPr="00351DC7">
        <w:rPr>
          <w:rFonts w:ascii="Arial" w:hAnsi="Arial" w:cs="Arial"/>
          <w:sz w:val="24"/>
          <w:szCs w:val="24"/>
        </w:rPr>
        <w:t xml:space="preserve"> the relief sought by </w:t>
      </w:r>
      <w:r w:rsidR="00247B5E" w:rsidRPr="00351DC7">
        <w:rPr>
          <w:rFonts w:ascii="Arial" w:hAnsi="Arial" w:cs="Arial"/>
          <w:sz w:val="24"/>
          <w:szCs w:val="24"/>
        </w:rPr>
        <w:t>Featherbrooke</w:t>
      </w:r>
      <w:r w:rsidR="005551CF" w:rsidRPr="00351DC7">
        <w:rPr>
          <w:rFonts w:ascii="Arial" w:hAnsi="Arial" w:cs="Arial"/>
          <w:sz w:val="24"/>
          <w:szCs w:val="24"/>
        </w:rPr>
        <w:t xml:space="preserve"> </w:t>
      </w:r>
      <w:r w:rsidR="00615866" w:rsidRPr="00351DC7">
        <w:rPr>
          <w:rFonts w:ascii="Arial" w:hAnsi="Arial" w:cs="Arial"/>
          <w:sz w:val="24"/>
          <w:szCs w:val="24"/>
        </w:rPr>
        <w:t>to repair</w:t>
      </w:r>
      <w:r w:rsidR="00907E20" w:rsidRPr="00351DC7">
        <w:rPr>
          <w:rFonts w:ascii="Arial" w:hAnsi="Arial" w:cs="Arial"/>
          <w:sz w:val="24"/>
          <w:szCs w:val="24"/>
        </w:rPr>
        <w:t xml:space="preserve">, </w:t>
      </w:r>
      <w:r w:rsidR="00615866" w:rsidRPr="00351DC7">
        <w:rPr>
          <w:rFonts w:ascii="Arial" w:hAnsi="Arial" w:cs="Arial"/>
          <w:sz w:val="24"/>
          <w:szCs w:val="24"/>
        </w:rPr>
        <w:t>remediate and manage the State-owned infrastructure in and near the Estate which is exposed due to the chronic flooding, Mogale City raised budgetary considerations. It averred that it had a maintenance plan which was supported by a process-approved budget. It thus could not simply be ordere</w:t>
      </w:r>
      <w:r w:rsidR="00F7327F">
        <w:rPr>
          <w:rFonts w:ascii="Arial" w:hAnsi="Arial" w:cs="Arial"/>
          <w:sz w:val="24"/>
          <w:szCs w:val="24"/>
        </w:rPr>
        <w:t xml:space="preserve">d to repair the infrastructure </w:t>
      </w:r>
      <w:r w:rsidR="00615866" w:rsidRPr="00351DC7">
        <w:rPr>
          <w:rFonts w:ascii="Arial" w:hAnsi="Arial" w:cs="Arial"/>
          <w:sz w:val="24"/>
          <w:szCs w:val="24"/>
        </w:rPr>
        <w:t xml:space="preserve">which </w:t>
      </w:r>
      <w:r w:rsidR="00526F27" w:rsidRPr="00351DC7">
        <w:rPr>
          <w:rFonts w:ascii="Arial" w:hAnsi="Arial" w:cs="Arial"/>
          <w:sz w:val="24"/>
          <w:szCs w:val="24"/>
        </w:rPr>
        <w:t xml:space="preserve">was not </w:t>
      </w:r>
      <w:r w:rsidR="00615866" w:rsidRPr="00351DC7">
        <w:rPr>
          <w:rFonts w:ascii="Arial" w:hAnsi="Arial" w:cs="Arial"/>
          <w:sz w:val="24"/>
          <w:szCs w:val="24"/>
        </w:rPr>
        <w:t>budgeted</w:t>
      </w:r>
      <w:r w:rsidR="00907E20" w:rsidRPr="00351DC7">
        <w:rPr>
          <w:rFonts w:ascii="Arial" w:hAnsi="Arial" w:cs="Arial"/>
          <w:sz w:val="24"/>
          <w:szCs w:val="24"/>
        </w:rPr>
        <w:t xml:space="preserve"> for</w:t>
      </w:r>
      <w:r w:rsidR="00615866" w:rsidRPr="00351DC7">
        <w:rPr>
          <w:rFonts w:ascii="Arial" w:hAnsi="Arial" w:cs="Arial"/>
          <w:sz w:val="24"/>
          <w:szCs w:val="24"/>
        </w:rPr>
        <w:t>.</w:t>
      </w:r>
    </w:p>
    <w:p w14:paraId="0BCAC5D4" w14:textId="4C0B3B9D" w:rsidR="001E6E8A" w:rsidRPr="00351DC7" w:rsidRDefault="001E6E8A" w:rsidP="00C468CE">
      <w:pPr>
        <w:shd w:val="clear" w:color="auto" w:fill="FFFFFF"/>
        <w:spacing w:before="144" w:after="120" w:line="360" w:lineRule="auto"/>
        <w:contextualSpacing/>
        <w:rPr>
          <w:rFonts w:ascii="Arial" w:hAnsi="Arial" w:cs="Arial"/>
          <w:i/>
          <w:sz w:val="24"/>
          <w:szCs w:val="24"/>
        </w:rPr>
      </w:pPr>
    </w:p>
    <w:p w14:paraId="728387DE" w14:textId="1A33FF6F" w:rsidR="00615866" w:rsidRPr="00351DC7" w:rsidRDefault="00615866" w:rsidP="00C468CE">
      <w:pPr>
        <w:shd w:val="clear" w:color="auto" w:fill="FFFFFF"/>
        <w:spacing w:before="144" w:after="120" w:line="360" w:lineRule="auto"/>
        <w:contextualSpacing/>
        <w:rPr>
          <w:rFonts w:ascii="Arial" w:hAnsi="Arial" w:cs="Arial"/>
          <w:i/>
          <w:sz w:val="24"/>
          <w:szCs w:val="24"/>
        </w:rPr>
      </w:pPr>
      <w:r w:rsidRPr="00351DC7">
        <w:rPr>
          <w:rFonts w:ascii="Arial" w:hAnsi="Arial" w:cs="Arial"/>
          <w:i/>
          <w:sz w:val="24"/>
          <w:szCs w:val="24"/>
        </w:rPr>
        <w:t>City of Johannesburg and the Johannesburg Road Agency</w:t>
      </w:r>
    </w:p>
    <w:p w14:paraId="3B004121" w14:textId="408D688A" w:rsidR="00615866"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[19]</w:t>
      </w:r>
      <w:r w:rsidRPr="00351DC7">
        <w:rPr>
          <w:rFonts w:ascii="Arial" w:hAnsi="Arial" w:cs="Arial"/>
          <w:color w:val="000000"/>
          <w:sz w:val="24"/>
          <w:szCs w:val="24"/>
        </w:rPr>
        <w:tab/>
      </w:r>
      <w:r w:rsidR="00615866" w:rsidRPr="00351DC7">
        <w:rPr>
          <w:rFonts w:ascii="Arial" w:hAnsi="Arial" w:cs="Arial"/>
          <w:sz w:val="24"/>
          <w:szCs w:val="24"/>
        </w:rPr>
        <w:t xml:space="preserve">In addition to the lack of urgency defence, the City of Johannesburg and the Johannesburg Road Agency </w:t>
      </w:r>
      <w:r w:rsidR="00526F27" w:rsidRPr="00351DC7">
        <w:rPr>
          <w:rFonts w:ascii="Arial" w:hAnsi="Arial" w:cs="Arial"/>
          <w:sz w:val="24"/>
          <w:szCs w:val="24"/>
        </w:rPr>
        <w:t xml:space="preserve">raised </w:t>
      </w:r>
      <w:r w:rsidR="00615866" w:rsidRPr="00351DC7">
        <w:rPr>
          <w:rFonts w:ascii="Arial" w:hAnsi="Arial" w:cs="Arial"/>
          <w:sz w:val="24"/>
          <w:szCs w:val="24"/>
        </w:rPr>
        <w:t xml:space="preserve">a misjoinder defence. They asserted that since the Estate is situated in the area of jurisdiction of Mogale City, and </w:t>
      </w:r>
      <w:r w:rsidR="005551CF" w:rsidRPr="00351DC7">
        <w:rPr>
          <w:rFonts w:ascii="Arial" w:hAnsi="Arial" w:cs="Arial"/>
          <w:sz w:val="24"/>
          <w:szCs w:val="24"/>
        </w:rPr>
        <w:t xml:space="preserve">that </w:t>
      </w:r>
      <w:r w:rsidR="00615866" w:rsidRPr="00351DC7">
        <w:rPr>
          <w:rFonts w:ascii="Arial" w:hAnsi="Arial" w:cs="Arial"/>
          <w:sz w:val="24"/>
          <w:szCs w:val="24"/>
        </w:rPr>
        <w:t xml:space="preserve">the </w:t>
      </w:r>
      <w:r w:rsidR="005551CF" w:rsidRPr="00351DC7">
        <w:rPr>
          <w:rFonts w:ascii="Arial" w:hAnsi="Arial" w:cs="Arial"/>
          <w:sz w:val="24"/>
          <w:szCs w:val="24"/>
        </w:rPr>
        <w:t>r</w:t>
      </w:r>
      <w:r w:rsidR="00615866" w:rsidRPr="00351DC7">
        <w:rPr>
          <w:rFonts w:ascii="Arial" w:hAnsi="Arial" w:cs="Arial"/>
          <w:sz w:val="24"/>
          <w:szCs w:val="24"/>
        </w:rPr>
        <w:t xml:space="preserve">iver </w:t>
      </w:r>
      <w:r w:rsidR="005551CF" w:rsidRPr="00351DC7">
        <w:rPr>
          <w:rFonts w:ascii="Arial" w:hAnsi="Arial" w:cs="Arial"/>
          <w:sz w:val="24"/>
          <w:szCs w:val="24"/>
        </w:rPr>
        <w:t>is</w:t>
      </w:r>
      <w:r w:rsidR="00615866" w:rsidRPr="00351DC7">
        <w:rPr>
          <w:rFonts w:ascii="Arial" w:hAnsi="Arial" w:cs="Arial"/>
          <w:sz w:val="24"/>
          <w:szCs w:val="24"/>
        </w:rPr>
        <w:t xml:space="preserve"> owned by the Department, they have no role to play in the matter. They accordingly </w:t>
      </w:r>
      <w:r w:rsidR="00615866" w:rsidRPr="00351DC7">
        <w:rPr>
          <w:rFonts w:ascii="Arial" w:hAnsi="Arial" w:cs="Arial"/>
          <w:sz w:val="24"/>
          <w:szCs w:val="24"/>
        </w:rPr>
        <w:lastRenderedPageBreak/>
        <w:t xml:space="preserve">requested </w:t>
      </w:r>
      <w:r w:rsidR="00FA7112" w:rsidRPr="00351DC7">
        <w:rPr>
          <w:rFonts w:ascii="Arial" w:hAnsi="Arial" w:cs="Arial"/>
          <w:sz w:val="24"/>
          <w:szCs w:val="24"/>
        </w:rPr>
        <w:t xml:space="preserve">that </w:t>
      </w:r>
      <w:r w:rsidR="00615866" w:rsidRPr="00351DC7">
        <w:rPr>
          <w:rFonts w:ascii="Arial" w:hAnsi="Arial" w:cs="Arial"/>
          <w:sz w:val="24"/>
          <w:szCs w:val="24"/>
        </w:rPr>
        <w:t>the</w:t>
      </w:r>
      <w:r w:rsidR="00FA7112" w:rsidRPr="00351DC7">
        <w:rPr>
          <w:rFonts w:ascii="Arial" w:hAnsi="Arial" w:cs="Arial"/>
          <w:sz w:val="24"/>
          <w:szCs w:val="24"/>
        </w:rPr>
        <w:t xml:space="preserve"> interim and final </w:t>
      </w:r>
      <w:r w:rsidR="00615866" w:rsidRPr="00351DC7">
        <w:rPr>
          <w:rFonts w:ascii="Arial" w:hAnsi="Arial" w:cs="Arial"/>
          <w:sz w:val="24"/>
          <w:szCs w:val="24"/>
        </w:rPr>
        <w:t>interdict</w:t>
      </w:r>
      <w:r w:rsidR="00FA7112" w:rsidRPr="00351DC7">
        <w:rPr>
          <w:rFonts w:ascii="Arial" w:hAnsi="Arial" w:cs="Arial"/>
          <w:sz w:val="24"/>
          <w:szCs w:val="24"/>
        </w:rPr>
        <w:t>ory relief</w:t>
      </w:r>
      <w:r w:rsidR="00615866" w:rsidRPr="00351DC7">
        <w:rPr>
          <w:rFonts w:ascii="Arial" w:hAnsi="Arial" w:cs="Arial"/>
          <w:sz w:val="24"/>
          <w:szCs w:val="24"/>
        </w:rPr>
        <w:t xml:space="preserve"> sought against them by </w:t>
      </w:r>
      <w:r w:rsidR="00247B5E" w:rsidRPr="00351DC7">
        <w:rPr>
          <w:rFonts w:ascii="Arial" w:hAnsi="Arial" w:cs="Arial"/>
          <w:sz w:val="24"/>
          <w:szCs w:val="24"/>
        </w:rPr>
        <w:t>Featherbrooke</w:t>
      </w:r>
      <w:r w:rsidR="00615866" w:rsidRPr="00351DC7">
        <w:rPr>
          <w:rFonts w:ascii="Arial" w:hAnsi="Arial" w:cs="Arial"/>
          <w:sz w:val="24"/>
          <w:szCs w:val="24"/>
        </w:rPr>
        <w:t xml:space="preserve"> be dismissed. They further denied that they owed any obligation to </w:t>
      </w:r>
      <w:r w:rsidR="00247B5E" w:rsidRPr="00351DC7">
        <w:rPr>
          <w:rFonts w:ascii="Arial" w:hAnsi="Arial" w:cs="Arial"/>
          <w:sz w:val="24"/>
          <w:szCs w:val="24"/>
        </w:rPr>
        <w:t>Featherbrooke</w:t>
      </w:r>
      <w:r w:rsidR="005551CF" w:rsidRPr="00351DC7">
        <w:rPr>
          <w:rFonts w:ascii="Arial" w:hAnsi="Arial" w:cs="Arial"/>
          <w:sz w:val="24"/>
          <w:szCs w:val="24"/>
        </w:rPr>
        <w:t xml:space="preserve"> </w:t>
      </w:r>
      <w:r w:rsidR="00615866" w:rsidRPr="00351DC7">
        <w:rPr>
          <w:rFonts w:ascii="Arial" w:hAnsi="Arial" w:cs="Arial"/>
          <w:sz w:val="24"/>
          <w:szCs w:val="24"/>
        </w:rPr>
        <w:t xml:space="preserve">as they are constitutionally only responsible </w:t>
      </w:r>
      <w:r w:rsidR="005551CF" w:rsidRPr="00351DC7">
        <w:rPr>
          <w:rFonts w:ascii="Arial" w:hAnsi="Arial" w:cs="Arial"/>
          <w:sz w:val="24"/>
          <w:szCs w:val="24"/>
        </w:rPr>
        <w:t>for providing</w:t>
      </w:r>
      <w:r w:rsidR="00615866" w:rsidRPr="00351DC7">
        <w:rPr>
          <w:rFonts w:ascii="Arial" w:hAnsi="Arial" w:cs="Arial"/>
          <w:sz w:val="24"/>
          <w:szCs w:val="24"/>
        </w:rPr>
        <w:t xml:space="preserve"> services to the residents </w:t>
      </w:r>
      <w:r w:rsidR="00981D55" w:rsidRPr="00351DC7">
        <w:rPr>
          <w:rFonts w:ascii="Arial" w:hAnsi="Arial" w:cs="Arial"/>
          <w:sz w:val="24"/>
          <w:szCs w:val="24"/>
        </w:rPr>
        <w:t xml:space="preserve">within </w:t>
      </w:r>
      <w:r w:rsidR="00D86588" w:rsidRPr="00351DC7">
        <w:rPr>
          <w:rFonts w:ascii="Arial" w:hAnsi="Arial" w:cs="Arial"/>
          <w:sz w:val="24"/>
          <w:szCs w:val="24"/>
        </w:rPr>
        <w:t>their</w:t>
      </w:r>
      <w:r w:rsidR="00615866" w:rsidRPr="00351DC7">
        <w:rPr>
          <w:rFonts w:ascii="Arial" w:hAnsi="Arial" w:cs="Arial"/>
          <w:sz w:val="24"/>
          <w:szCs w:val="24"/>
        </w:rPr>
        <w:t xml:space="preserve"> area of jurisdiction, the Johannesburg Metropolitan area. </w:t>
      </w:r>
    </w:p>
    <w:p w14:paraId="13CF5965" w14:textId="6FCBF1D1" w:rsidR="004A41A1" w:rsidRPr="00351DC7" w:rsidRDefault="004A41A1" w:rsidP="00615866">
      <w:pPr>
        <w:shd w:val="clear" w:color="auto" w:fill="FFFFFF"/>
        <w:spacing w:before="144" w:after="120" w:line="360" w:lineRule="auto"/>
        <w:contextualSpacing/>
        <w:jc w:val="both"/>
        <w:rPr>
          <w:rFonts w:ascii="Arial" w:hAnsi="Arial" w:cs="Arial"/>
          <w:i/>
          <w:sz w:val="24"/>
          <w:szCs w:val="24"/>
        </w:rPr>
      </w:pPr>
    </w:p>
    <w:p w14:paraId="14A53955" w14:textId="43899452" w:rsidR="00DB65AA" w:rsidRPr="00351DC7" w:rsidRDefault="00615866" w:rsidP="003512B4">
      <w:pPr>
        <w:shd w:val="clear" w:color="auto" w:fill="FFFFFF"/>
        <w:spacing w:before="144" w:after="120" w:line="360" w:lineRule="auto"/>
        <w:contextualSpacing/>
        <w:jc w:val="both"/>
        <w:rPr>
          <w:rFonts w:ascii="Arial" w:hAnsi="Arial" w:cs="Arial"/>
          <w:i/>
          <w:sz w:val="24"/>
          <w:szCs w:val="24"/>
        </w:rPr>
      </w:pPr>
      <w:r w:rsidRPr="00351DC7">
        <w:rPr>
          <w:rFonts w:ascii="Arial" w:hAnsi="Arial" w:cs="Arial"/>
          <w:i/>
          <w:sz w:val="24"/>
          <w:szCs w:val="24"/>
        </w:rPr>
        <w:t>The Minister</w:t>
      </w:r>
    </w:p>
    <w:p w14:paraId="7208E65C" w14:textId="38CA362F" w:rsidR="00D86588"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[20]</w:t>
      </w:r>
      <w:r w:rsidRPr="00351DC7">
        <w:rPr>
          <w:rFonts w:ascii="Arial" w:hAnsi="Arial" w:cs="Arial"/>
          <w:color w:val="000000"/>
          <w:sz w:val="24"/>
          <w:szCs w:val="24"/>
        </w:rPr>
        <w:tab/>
      </w:r>
      <w:r w:rsidR="00DB65AA" w:rsidRPr="00351DC7">
        <w:rPr>
          <w:rFonts w:ascii="Arial" w:hAnsi="Arial" w:cs="Arial"/>
          <w:sz w:val="24"/>
          <w:szCs w:val="24"/>
        </w:rPr>
        <w:t>The Minister</w:t>
      </w:r>
      <w:r w:rsidR="00D82F3F" w:rsidRPr="00351DC7">
        <w:rPr>
          <w:rFonts w:ascii="Arial" w:hAnsi="Arial" w:cs="Arial"/>
          <w:sz w:val="24"/>
          <w:szCs w:val="24"/>
        </w:rPr>
        <w:t xml:space="preserve"> contended </w:t>
      </w:r>
      <w:r w:rsidR="003512B4" w:rsidRPr="00351DC7">
        <w:rPr>
          <w:rFonts w:ascii="Arial" w:hAnsi="Arial" w:cs="Arial"/>
          <w:sz w:val="24"/>
          <w:szCs w:val="24"/>
        </w:rPr>
        <w:t xml:space="preserve">that the Department did not have any legislated </w:t>
      </w:r>
      <w:r w:rsidR="004A41A1" w:rsidRPr="00351DC7">
        <w:rPr>
          <w:rFonts w:ascii="Arial" w:hAnsi="Arial" w:cs="Arial"/>
          <w:sz w:val="24"/>
          <w:szCs w:val="24"/>
        </w:rPr>
        <w:t xml:space="preserve">obligation to take the remedial steps sought by </w:t>
      </w:r>
      <w:r w:rsidR="005551CF" w:rsidRPr="00351DC7">
        <w:rPr>
          <w:rFonts w:ascii="Arial" w:hAnsi="Arial" w:cs="Arial"/>
          <w:sz w:val="24"/>
          <w:szCs w:val="24"/>
        </w:rPr>
        <w:t>Featherbrooke</w:t>
      </w:r>
      <w:r w:rsidR="004A41A1" w:rsidRPr="00351DC7">
        <w:rPr>
          <w:rFonts w:ascii="Arial" w:hAnsi="Arial" w:cs="Arial"/>
          <w:sz w:val="24"/>
          <w:szCs w:val="24"/>
        </w:rPr>
        <w:t xml:space="preserve">. In support of this contention, the Minister asserted that: </w:t>
      </w:r>
    </w:p>
    <w:p w14:paraId="71110E62" w14:textId="74765719" w:rsidR="00D86588" w:rsidRPr="00351DC7" w:rsidRDefault="004A41A1" w:rsidP="006738B3">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 xml:space="preserve">(a) </w:t>
      </w:r>
      <w:r w:rsidR="00DB65AA" w:rsidRPr="00351DC7">
        <w:rPr>
          <w:rFonts w:ascii="Arial" w:hAnsi="Arial" w:cs="Arial"/>
          <w:sz w:val="24"/>
          <w:szCs w:val="24"/>
        </w:rPr>
        <w:t xml:space="preserve">there was no link between the harm suffered by the Estate and any conduct or omission of the </w:t>
      </w:r>
      <w:r w:rsidR="003512B4" w:rsidRPr="00351DC7">
        <w:rPr>
          <w:rFonts w:ascii="Arial" w:hAnsi="Arial" w:cs="Arial"/>
          <w:sz w:val="24"/>
          <w:szCs w:val="24"/>
        </w:rPr>
        <w:t xml:space="preserve">Department </w:t>
      </w:r>
      <w:r w:rsidR="00DB65AA" w:rsidRPr="00351DC7">
        <w:rPr>
          <w:rFonts w:ascii="Arial" w:hAnsi="Arial" w:cs="Arial"/>
          <w:sz w:val="24"/>
          <w:szCs w:val="24"/>
        </w:rPr>
        <w:t>a</w:t>
      </w:r>
      <w:r w:rsidR="003512B4" w:rsidRPr="00351DC7">
        <w:rPr>
          <w:rFonts w:ascii="Arial" w:hAnsi="Arial" w:cs="Arial"/>
          <w:sz w:val="24"/>
          <w:szCs w:val="24"/>
        </w:rPr>
        <w:t xml:space="preserve">s the custodian of the river. Instead, </w:t>
      </w:r>
      <w:r w:rsidR="00247B5E" w:rsidRPr="00351DC7">
        <w:rPr>
          <w:rFonts w:ascii="Arial" w:hAnsi="Arial" w:cs="Arial"/>
          <w:sz w:val="24"/>
          <w:szCs w:val="24"/>
        </w:rPr>
        <w:t>Featherbrooke</w:t>
      </w:r>
      <w:r w:rsidR="005551CF" w:rsidRPr="00351DC7">
        <w:rPr>
          <w:rFonts w:ascii="Arial" w:hAnsi="Arial" w:cs="Arial"/>
          <w:sz w:val="24"/>
          <w:szCs w:val="24"/>
        </w:rPr>
        <w:t xml:space="preserve"> </w:t>
      </w:r>
      <w:r w:rsidR="003512B4" w:rsidRPr="00351DC7">
        <w:rPr>
          <w:rFonts w:ascii="Arial" w:hAnsi="Arial" w:cs="Arial"/>
          <w:sz w:val="24"/>
          <w:szCs w:val="24"/>
        </w:rPr>
        <w:t>had attributed the increase in the volume of stormwater into the river to an increase in urban development, clim</w:t>
      </w:r>
      <w:r w:rsidRPr="00351DC7">
        <w:rPr>
          <w:rFonts w:ascii="Arial" w:hAnsi="Arial" w:cs="Arial"/>
          <w:sz w:val="24"/>
          <w:szCs w:val="24"/>
        </w:rPr>
        <w:t>ate change and weather patterns</w:t>
      </w:r>
      <w:r w:rsidR="00D82F3F" w:rsidRPr="00351DC7">
        <w:rPr>
          <w:rFonts w:ascii="Arial" w:hAnsi="Arial" w:cs="Arial"/>
          <w:sz w:val="24"/>
          <w:szCs w:val="24"/>
        </w:rPr>
        <w:t>.</w:t>
      </w:r>
    </w:p>
    <w:p w14:paraId="47C5078C" w14:textId="77777777" w:rsidR="007E34D0" w:rsidRPr="00351DC7" w:rsidRDefault="004A41A1" w:rsidP="006738B3">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(b) t</w:t>
      </w:r>
      <w:r w:rsidR="003512B4" w:rsidRPr="00351DC7">
        <w:rPr>
          <w:rFonts w:ascii="Arial" w:hAnsi="Arial" w:cs="Arial"/>
          <w:sz w:val="24"/>
          <w:szCs w:val="24"/>
        </w:rPr>
        <w:t>he</w:t>
      </w:r>
      <w:r w:rsidRPr="00351DC7">
        <w:rPr>
          <w:rFonts w:ascii="Arial" w:hAnsi="Arial" w:cs="Arial"/>
          <w:sz w:val="24"/>
          <w:szCs w:val="24"/>
        </w:rPr>
        <w:t xml:space="preserve"> damage to the Estate was due to poor planning on the part of the developers of the Estate, and the </w:t>
      </w:r>
      <w:r w:rsidR="003512B4" w:rsidRPr="00351DC7">
        <w:rPr>
          <w:rFonts w:ascii="Arial" w:hAnsi="Arial" w:cs="Arial"/>
          <w:sz w:val="24"/>
          <w:szCs w:val="24"/>
        </w:rPr>
        <w:t>Department was not involved in the grant of the approval for t</w:t>
      </w:r>
      <w:r w:rsidRPr="00351DC7">
        <w:rPr>
          <w:rFonts w:ascii="Arial" w:hAnsi="Arial" w:cs="Arial"/>
          <w:sz w:val="24"/>
          <w:szCs w:val="24"/>
        </w:rPr>
        <w:t>he establishment of the Estate</w:t>
      </w:r>
      <w:r w:rsidR="00D82F3F" w:rsidRPr="00351DC7">
        <w:rPr>
          <w:rFonts w:ascii="Arial" w:hAnsi="Arial" w:cs="Arial"/>
          <w:sz w:val="24"/>
          <w:szCs w:val="24"/>
        </w:rPr>
        <w:t>.</w:t>
      </w:r>
      <w:r w:rsidRPr="00351DC7">
        <w:rPr>
          <w:rFonts w:ascii="Arial" w:hAnsi="Arial" w:cs="Arial"/>
          <w:sz w:val="24"/>
          <w:szCs w:val="24"/>
        </w:rPr>
        <w:t xml:space="preserve"> </w:t>
      </w:r>
    </w:p>
    <w:p w14:paraId="219529DA" w14:textId="6CBF5BA6" w:rsidR="003512B4" w:rsidRPr="00351DC7" w:rsidRDefault="004A41A1" w:rsidP="006738B3">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 xml:space="preserve">(c) </w:t>
      </w:r>
      <w:r w:rsidR="003512B4" w:rsidRPr="00351DC7">
        <w:rPr>
          <w:rFonts w:ascii="Arial" w:hAnsi="Arial" w:cs="Arial"/>
          <w:sz w:val="24"/>
          <w:szCs w:val="24"/>
        </w:rPr>
        <w:t xml:space="preserve">in previous communications between the parties, </w:t>
      </w:r>
      <w:r w:rsidR="00247B5E" w:rsidRPr="00351DC7">
        <w:rPr>
          <w:rFonts w:ascii="Arial" w:hAnsi="Arial" w:cs="Arial"/>
          <w:sz w:val="24"/>
          <w:szCs w:val="24"/>
        </w:rPr>
        <w:t xml:space="preserve">Featherbrooke </w:t>
      </w:r>
      <w:r w:rsidR="003512B4" w:rsidRPr="00351DC7">
        <w:rPr>
          <w:rFonts w:ascii="Arial" w:hAnsi="Arial" w:cs="Arial"/>
          <w:sz w:val="24"/>
          <w:szCs w:val="24"/>
        </w:rPr>
        <w:t>had accepted that it, and not the Minister, bore the responsibility to protect its boundary fence.</w:t>
      </w:r>
    </w:p>
    <w:p w14:paraId="4ED1057B" w14:textId="77777777" w:rsidR="00D82F3F" w:rsidRPr="00351DC7" w:rsidRDefault="00D82F3F" w:rsidP="006738B3">
      <w:pPr>
        <w:shd w:val="clear" w:color="auto" w:fill="FFFFFF"/>
        <w:spacing w:before="144" w:after="120" w:line="360" w:lineRule="auto"/>
        <w:contextualSpacing/>
        <w:jc w:val="both"/>
        <w:rPr>
          <w:rFonts w:ascii="Arial" w:hAnsi="Arial" w:cs="Arial"/>
          <w:sz w:val="24"/>
          <w:szCs w:val="24"/>
        </w:rPr>
      </w:pPr>
    </w:p>
    <w:p w14:paraId="72735DF8" w14:textId="7925C381" w:rsidR="00DB65AA"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[21]</w:t>
      </w:r>
      <w:r w:rsidRPr="00351DC7">
        <w:rPr>
          <w:rFonts w:ascii="Arial" w:hAnsi="Arial" w:cs="Arial"/>
          <w:color w:val="000000"/>
          <w:sz w:val="24"/>
          <w:szCs w:val="24"/>
        </w:rPr>
        <w:tab/>
      </w:r>
      <w:r w:rsidR="003512B4" w:rsidRPr="00351DC7">
        <w:rPr>
          <w:rFonts w:ascii="Arial" w:hAnsi="Arial" w:cs="Arial"/>
          <w:sz w:val="24"/>
          <w:szCs w:val="24"/>
        </w:rPr>
        <w:t xml:space="preserve">On these grounds, the Minister asserted that it was </w:t>
      </w:r>
      <w:r w:rsidR="005551CF" w:rsidRPr="00351DC7">
        <w:rPr>
          <w:rFonts w:ascii="Arial" w:hAnsi="Arial" w:cs="Arial"/>
          <w:sz w:val="24"/>
          <w:szCs w:val="24"/>
        </w:rPr>
        <w:t>Featherbrooke</w:t>
      </w:r>
      <w:r w:rsidR="00DB65AA" w:rsidRPr="00351DC7">
        <w:rPr>
          <w:rFonts w:ascii="Arial" w:hAnsi="Arial" w:cs="Arial"/>
          <w:sz w:val="24"/>
          <w:szCs w:val="24"/>
        </w:rPr>
        <w:t xml:space="preserve">’s obligation to undertake the requisite remedial measures, at its expense, to prevent harm to the Estate. To do so, </w:t>
      </w:r>
      <w:r w:rsidR="00247B5E" w:rsidRPr="00351DC7">
        <w:rPr>
          <w:rFonts w:ascii="Arial" w:hAnsi="Arial" w:cs="Arial"/>
          <w:sz w:val="24"/>
          <w:szCs w:val="24"/>
        </w:rPr>
        <w:t>Featherbrooke</w:t>
      </w:r>
      <w:r w:rsidR="005551CF" w:rsidRPr="00351DC7">
        <w:rPr>
          <w:rFonts w:ascii="Arial" w:hAnsi="Arial" w:cs="Arial"/>
          <w:sz w:val="24"/>
          <w:szCs w:val="24"/>
        </w:rPr>
        <w:t xml:space="preserve"> </w:t>
      </w:r>
      <w:r w:rsidR="00DB65AA" w:rsidRPr="00351DC7">
        <w:rPr>
          <w:rFonts w:ascii="Arial" w:hAnsi="Arial" w:cs="Arial"/>
          <w:sz w:val="24"/>
          <w:szCs w:val="24"/>
        </w:rPr>
        <w:t xml:space="preserve">was required to apply for and obtain a water licence in terms of the Water Act. </w:t>
      </w:r>
      <w:r w:rsidR="00FA7112" w:rsidRPr="00351DC7">
        <w:rPr>
          <w:rFonts w:ascii="Arial" w:hAnsi="Arial" w:cs="Arial"/>
          <w:sz w:val="24"/>
          <w:szCs w:val="24"/>
        </w:rPr>
        <w:t xml:space="preserve">Its </w:t>
      </w:r>
      <w:r w:rsidR="00DB65AA" w:rsidRPr="00351DC7">
        <w:rPr>
          <w:rFonts w:ascii="Arial" w:hAnsi="Arial" w:cs="Arial"/>
          <w:sz w:val="24"/>
          <w:szCs w:val="24"/>
        </w:rPr>
        <w:t>elect</w:t>
      </w:r>
      <w:r w:rsidR="00FA7112" w:rsidRPr="00351DC7">
        <w:rPr>
          <w:rFonts w:ascii="Arial" w:hAnsi="Arial" w:cs="Arial"/>
          <w:sz w:val="24"/>
          <w:szCs w:val="24"/>
        </w:rPr>
        <w:t>ion</w:t>
      </w:r>
      <w:r w:rsidR="00DB65AA" w:rsidRPr="00351DC7">
        <w:rPr>
          <w:rFonts w:ascii="Arial" w:hAnsi="Arial" w:cs="Arial"/>
          <w:sz w:val="24"/>
          <w:szCs w:val="24"/>
        </w:rPr>
        <w:t xml:space="preserve"> not to apply for such a licence after being advised to do so, was fatal to </w:t>
      </w:r>
      <w:r w:rsidR="00247B5E" w:rsidRPr="00351DC7">
        <w:rPr>
          <w:rFonts w:ascii="Arial" w:hAnsi="Arial" w:cs="Arial"/>
          <w:sz w:val="24"/>
          <w:szCs w:val="24"/>
        </w:rPr>
        <w:t>Featherbrooke</w:t>
      </w:r>
      <w:r w:rsidR="00DB65AA" w:rsidRPr="00351DC7">
        <w:rPr>
          <w:rFonts w:ascii="Arial" w:hAnsi="Arial" w:cs="Arial"/>
          <w:sz w:val="24"/>
          <w:szCs w:val="24"/>
        </w:rPr>
        <w:t xml:space="preserve">’s application. </w:t>
      </w:r>
    </w:p>
    <w:p w14:paraId="4EE8E1C3" w14:textId="77777777" w:rsidR="00DB65AA" w:rsidRPr="00351DC7" w:rsidRDefault="00DB65AA" w:rsidP="00DB65AA">
      <w:pPr>
        <w:shd w:val="clear" w:color="auto" w:fill="FFFFFF"/>
        <w:spacing w:before="144" w:after="120" w:line="360" w:lineRule="auto"/>
        <w:contextualSpacing/>
        <w:jc w:val="both"/>
        <w:rPr>
          <w:rFonts w:ascii="Arial" w:hAnsi="Arial" w:cs="Arial"/>
          <w:sz w:val="24"/>
          <w:szCs w:val="24"/>
        </w:rPr>
      </w:pPr>
    </w:p>
    <w:p w14:paraId="78C71547" w14:textId="63D4E36D" w:rsidR="00327354" w:rsidRPr="00D3599D" w:rsidRDefault="00186070" w:rsidP="00186070">
      <w:pPr>
        <w:shd w:val="clear" w:color="auto" w:fill="FFFFFF"/>
        <w:spacing w:before="144" w:after="240" w:line="360" w:lineRule="auto"/>
        <w:contextualSpacing/>
        <w:jc w:val="both"/>
        <w:rPr>
          <w:rFonts w:ascii="Arial" w:hAnsi="Arial" w:cs="Arial"/>
          <w:sz w:val="24"/>
          <w:szCs w:val="24"/>
        </w:rPr>
      </w:pPr>
      <w:r w:rsidRPr="00D3599D">
        <w:rPr>
          <w:rFonts w:ascii="Arial" w:hAnsi="Arial" w:cs="Arial"/>
          <w:color w:val="000000"/>
          <w:sz w:val="24"/>
          <w:szCs w:val="24"/>
        </w:rPr>
        <w:t>[22]</w:t>
      </w:r>
      <w:r w:rsidRPr="00D3599D">
        <w:rPr>
          <w:rFonts w:ascii="Arial" w:hAnsi="Arial" w:cs="Arial"/>
          <w:color w:val="000000"/>
          <w:sz w:val="24"/>
          <w:szCs w:val="24"/>
        </w:rPr>
        <w:tab/>
      </w:r>
      <w:r w:rsidR="00D82F3F" w:rsidRPr="00351DC7">
        <w:rPr>
          <w:rFonts w:ascii="Arial" w:hAnsi="Arial" w:cs="Arial"/>
          <w:sz w:val="24"/>
          <w:szCs w:val="24"/>
        </w:rPr>
        <w:t>T</w:t>
      </w:r>
      <w:r w:rsidR="00615866" w:rsidRPr="00351DC7">
        <w:rPr>
          <w:rFonts w:ascii="Arial" w:hAnsi="Arial" w:cs="Arial"/>
          <w:sz w:val="24"/>
          <w:szCs w:val="24"/>
        </w:rPr>
        <w:t xml:space="preserve">he </w:t>
      </w:r>
      <w:r w:rsidR="004A41A1" w:rsidRPr="00351DC7">
        <w:rPr>
          <w:rFonts w:ascii="Arial" w:hAnsi="Arial" w:cs="Arial"/>
          <w:sz w:val="24"/>
          <w:szCs w:val="24"/>
        </w:rPr>
        <w:t xml:space="preserve">Minister </w:t>
      </w:r>
      <w:r w:rsidR="00FA7112" w:rsidRPr="00351DC7">
        <w:rPr>
          <w:rFonts w:ascii="Arial" w:hAnsi="Arial" w:cs="Arial"/>
          <w:sz w:val="24"/>
          <w:szCs w:val="24"/>
        </w:rPr>
        <w:t>also</w:t>
      </w:r>
      <w:r w:rsidR="00D82F3F" w:rsidRPr="00351DC7">
        <w:rPr>
          <w:rFonts w:ascii="Arial" w:hAnsi="Arial" w:cs="Arial"/>
          <w:sz w:val="24"/>
          <w:szCs w:val="24"/>
        </w:rPr>
        <w:t xml:space="preserve"> </w:t>
      </w:r>
      <w:r w:rsidR="00FA7112" w:rsidRPr="00351DC7">
        <w:rPr>
          <w:rFonts w:ascii="Arial" w:hAnsi="Arial" w:cs="Arial"/>
          <w:sz w:val="24"/>
          <w:szCs w:val="24"/>
        </w:rPr>
        <w:t xml:space="preserve">contended </w:t>
      </w:r>
      <w:r w:rsidR="004A41A1" w:rsidRPr="00351DC7">
        <w:rPr>
          <w:rFonts w:ascii="Arial" w:hAnsi="Arial" w:cs="Arial"/>
          <w:sz w:val="24"/>
          <w:szCs w:val="24"/>
        </w:rPr>
        <w:t xml:space="preserve">that </w:t>
      </w:r>
      <w:r w:rsidR="00247B5E" w:rsidRPr="00351DC7">
        <w:rPr>
          <w:rFonts w:ascii="Arial" w:hAnsi="Arial" w:cs="Arial"/>
          <w:sz w:val="24"/>
          <w:szCs w:val="24"/>
        </w:rPr>
        <w:t xml:space="preserve">Featherbrooke </w:t>
      </w:r>
      <w:r w:rsidR="004A41A1" w:rsidRPr="00351DC7">
        <w:rPr>
          <w:rFonts w:ascii="Arial" w:hAnsi="Arial" w:cs="Arial"/>
          <w:sz w:val="24"/>
          <w:szCs w:val="24"/>
        </w:rPr>
        <w:t xml:space="preserve">had </w:t>
      </w:r>
      <w:r w:rsidR="00615866" w:rsidRPr="00351DC7">
        <w:rPr>
          <w:rFonts w:ascii="Arial" w:hAnsi="Arial" w:cs="Arial"/>
          <w:sz w:val="24"/>
          <w:szCs w:val="24"/>
        </w:rPr>
        <w:t>impermissibly sought direct relia</w:t>
      </w:r>
      <w:r w:rsidR="004A41A1" w:rsidRPr="00351DC7">
        <w:rPr>
          <w:rFonts w:ascii="Arial" w:hAnsi="Arial" w:cs="Arial"/>
          <w:sz w:val="24"/>
          <w:szCs w:val="24"/>
        </w:rPr>
        <w:t>nce on</w:t>
      </w:r>
      <w:r w:rsidR="00466FEA" w:rsidRPr="00351DC7">
        <w:rPr>
          <w:rFonts w:ascii="Arial" w:hAnsi="Arial" w:cs="Arial"/>
          <w:sz w:val="24"/>
          <w:szCs w:val="24"/>
        </w:rPr>
        <w:t xml:space="preserve"> </w:t>
      </w:r>
      <w:r w:rsidR="004A41A1" w:rsidRPr="00351DC7">
        <w:rPr>
          <w:rFonts w:ascii="Arial" w:hAnsi="Arial" w:cs="Arial"/>
          <w:sz w:val="24"/>
          <w:szCs w:val="24"/>
        </w:rPr>
        <w:t>s 24 of the Constitution in breach of</w:t>
      </w:r>
      <w:r w:rsidR="00615866" w:rsidRPr="00351DC7">
        <w:rPr>
          <w:rFonts w:ascii="Arial" w:hAnsi="Arial" w:cs="Arial"/>
          <w:sz w:val="24"/>
          <w:szCs w:val="24"/>
        </w:rPr>
        <w:t xml:space="preserve"> the trite principle of subsidiarity</w:t>
      </w:r>
      <w:r w:rsidR="004A41A1" w:rsidRPr="00351DC7">
        <w:rPr>
          <w:rFonts w:ascii="Arial" w:hAnsi="Arial" w:cs="Arial"/>
          <w:sz w:val="24"/>
          <w:szCs w:val="24"/>
        </w:rPr>
        <w:t>.</w:t>
      </w:r>
      <w:r w:rsidR="00615866" w:rsidRPr="00351DC7">
        <w:rPr>
          <w:rStyle w:val="FootnoteReference"/>
          <w:rFonts w:ascii="Arial" w:hAnsi="Arial" w:cs="Arial"/>
          <w:sz w:val="24"/>
          <w:szCs w:val="24"/>
        </w:rPr>
        <w:footnoteReference w:id="3"/>
      </w:r>
      <w:r w:rsidR="00615866" w:rsidRPr="00351DC7">
        <w:rPr>
          <w:rFonts w:ascii="Arial" w:hAnsi="Arial" w:cs="Arial"/>
          <w:sz w:val="24"/>
          <w:szCs w:val="24"/>
        </w:rPr>
        <w:t xml:space="preserve"> The </w:t>
      </w:r>
      <w:r w:rsidR="004A41A1" w:rsidRPr="00351DC7">
        <w:rPr>
          <w:rFonts w:ascii="Arial" w:hAnsi="Arial" w:cs="Arial"/>
          <w:sz w:val="24"/>
          <w:szCs w:val="24"/>
        </w:rPr>
        <w:t xml:space="preserve">Minister pointed out that the </w:t>
      </w:r>
      <w:r w:rsidR="00615866" w:rsidRPr="00351DC7">
        <w:rPr>
          <w:rFonts w:ascii="Arial" w:hAnsi="Arial" w:cs="Arial"/>
          <w:sz w:val="24"/>
          <w:szCs w:val="24"/>
        </w:rPr>
        <w:t xml:space="preserve">legislation envisaged in s 24 of the Constitution is the </w:t>
      </w:r>
      <w:r w:rsidR="00615866" w:rsidRPr="00D3599D">
        <w:rPr>
          <w:rFonts w:ascii="Arial" w:hAnsi="Arial" w:cs="Arial"/>
          <w:sz w:val="24"/>
          <w:szCs w:val="24"/>
        </w:rPr>
        <w:lastRenderedPageBreak/>
        <w:t>National Environmental Management Act</w:t>
      </w:r>
      <w:r w:rsidR="005551CF" w:rsidRPr="00D3599D">
        <w:rPr>
          <w:rFonts w:ascii="Arial" w:hAnsi="Arial" w:cs="Arial"/>
          <w:sz w:val="24"/>
          <w:szCs w:val="24"/>
        </w:rPr>
        <w:t>.</w:t>
      </w:r>
      <w:r w:rsidR="00615866" w:rsidRPr="00D3599D">
        <w:rPr>
          <w:rStyle w:val="FootnoteReference"/>
          <w:rFonts w:ascii="Arial" w:hAnsi="Arial" w:cs="Arial"/>
          <w:sz w:val="24"/>
          <w:szCs w:val="24"/>
        </w:rPr>
        <w:footnoteReference w:id="4"/>
      </w:r>
      <w:r w:rsidR="005551CF" w:rsidRPr="00D3599D">
        <w:rPr>
          <w:rFonts w:ascii="Arial" w:hAnsi="Arial" w:cs="Arial"/>
          <w:sz w:val="24"/>
          <w:szCs w:val="24"/>
        </w:rPr>
        <w:t xml:space="preserve"> </w:t>
      </w:r>
      <w:r w:rsidR="00247B5E" w:rsidRPr="00D3599D">
        <w:rPr>
          <w:rFonts w:ascii="Arial" w:hAnsi="Arial" w:cs="Arial"/>
          <w:sz w:val="24"/>
          <w:szCs w:val="24"/>
        </w:rPr>
        <w:t>Featherbrooke</w:t>
      </w:r>
      <w:r w:rsidR="00FA7112" w:rsidRPr="00D3599D">
        <w:rPr>
          <w:rFonts w:ascii="Arial" w:hAnsi="Arial" w:cs="Arial"/>
          <w:sz w:val="24"/>
          <w:szCs w:val="24"/>
        </w:rPr>
        <w:t>’s failure</w:t>
      </w:r>
      <w:r w:rsidR="00247B5E" w:rsidRPr="00D3599D">
        <w:rPr>
          <w:rFonts w:ascii="Arial" w:hAnsi="Arial" w:cs="Arial"/>
          <w:sz w:val="24"/>
          <w:szCs w:val="24"/>
        </w:rPr>
        <w:t xml:space="preserve"> </w:t>
      </w:r>
      <w:r w:rsidR="00615866" w:rsidRPr="00D3599D">
        <w:rPr>
          <w:rFonts w:ascii="Arial" w:hAnsi="Arial" w:cs="Arial"/>
          <w:sz w:val="24"/>
          <w:szCs w:val="24"/>
        </w:rPr>
        <w:t>to rely on NEMA</w:t>
      </w:r>
      <w:r w:rsidR="004A41A1" w:rsidRPr="00D3599D">
        <w:rPr>
          <w:rFonts w:ascii="Arial" w:hAnsi="Arial" w:cs="Arial"/>
          <w:sz w:val="24"/>
          <w:szCs w:val="24"/>
        </w:rPr>
        <w:t>, according to the Minister,</w:t>
      </w:r>
      <w:r w:rsidR="00615866" w:rsidRPr="00D3599D">
        <w:rPr>
          <w:rFonts w:ascii="Arial" w:hAnsi="Arial" w:cs="Arial"/>
          <w:sz w:val="24"/>
          <w:szCs w:val="24"/>
        </w:rPr>
        <w:t xml:space="preserve"> was fatal to its case. </w:t>
      </w:r>
    </w:p>
    <w:p w14:paraId="13740E0C" w14:textId="7B785327" w:rsidR="00466FEA" w:rsidRPr="00D3599D" w:rsidRDefault="00466FEA" w:rsidP="006738B3">
      <w:pPr>
        <w:shd w:val="clear" w:color="auto" w:fill="FFFFFF"/>
        <w:spacing w:before="144" w:after="240" w:line="360" w:lineRule="auto"/>
        <w:contextualSpacing/>
        <w:jc w:val="both"/>
        <w:rPr>
          <w:rFonts w:ascii="Arial" w:hAnsi="Arial" w:cs="Arial"/>
          <w:sz w:val="24"/>
          <w:szCs w:val="24"/>
        </w:rPr>
      </w:pPr>
    </w:p>
    <w:p w14:paraId="31E55BD5" w14:textId="2AFA6A83" w:rsidR="00A63822" w:rsidRPr="00D3599D" w:rsidRDefault="00186070" w:rsidP="00186070">
      <w:pPr>
        <w:shd w:val="clear" w:color="auto" w:fill="FFFFFF"/>
        <w:spacing w:before="144" w:after="120" w:line="360" w:lineRule="auto"/>
        <w:contextualSpacing/>
        <w:jc w:val="both"/>
        <w:rPr>
          <w:rFonts w:ascii="Arial" w:hAnsi="Arial" w:cs="Arial"/>
          <w:sz w:val="24"/>
          <w:szCs w:val="24"/>
        </w:rPr>
      </w:pPr>
      <w:r w:rsidRPr="00D3599D">
        <w:rPr>
          <w:rFonts w:ascii="Arial" w:hAnsi="Arial" w:cs="Arial"/>
          <w:color w:val="000000"/>
          <w:sz w:val="24"/>
          <w:szCs w:val="24"/>
        </w:rPr>
        <w:t>[23]</w:t>
      </w:r>
      <w:r w:rsidRPr="00D3599D">
        <w:rPr>
          <w:rFonts w:ascii="Arial" w:hAnsi="Arial" w:cs="Arial"/>
          <w:color w:val="000000"/>
          <w:sz w:val="24"/>
          <w:szCs w:val="24"/>
        </w:rPr>
        <w:tab/>
      </w:r>
      <w:r w:rsidR="006225F4" w:rsidRPr="00D3599D">
        <w:rPr>
          <w:rFonts w:ascii="Arial" w:hAnsi="Arial" w:cs="Arial"/>
          <w:sz w:val="24"/>
          <w:szCs w:val="24"/>
        </w:rPr>
        <w:t>The</w:t>
      </w:r>
      <w:r w:rsidR="00D82F3F" w:rsidRPr="00D3599D">
        <w:rPr>
          <w:rFonts w:ascii="Arial" w:hAnsi="Arial" w:cs="Arial"/>
          <w:sz w:val="24"/>
          <w:szCs w:val="24"/>
        </w:rPr>
        <w:t xml:space="preserve"> matter came before the</w:t>
      </w:r>
      <w:r w:rsidR="006225F4" w:rsidRPr="00D3599D">
        <w:rPr>
          <w:rFonts w:ascii="Arial" w:hAnsi="Arial" w:cs="Arial"/>
          <w:sz w:val="24"/>
          <w:szCs w:val="24"/>
        </w:rPr>
        <w:t xml:space="preserve"> </w:t>
      </w:r>
      <w:r w:rsidR="005C28FD" w:rsidRPr="00D3599D">
        <w:rPr>
          <w:rFonts w:ascii="Arial" w:hAnsi="Arial" w:cs="Arial"/>
          <w:sz w:val="24"/>
          <w:szCs w:val="24"/>
        </w:rPr>
        <w:t>H</w:t>
      </w:r>
      <w:r w:rsidR="006225F4" w:rsidRPr="00D3599D">
        <w:rPr>
          <w:rFonts w:ascii="Arial" w:hAnsi="Arial" w:cs="Arial"/>
          <w:sz w:val="24"/>
          <w:szCs w:val="24"/>
        </w:rPr>
        <w:t xml:space="preserve">igh </w:t>
      </w:r>
      <w:r w:rsidR="005C28FD" w:rsidRPr="00D3599D">
        <w:rPr>
          <w:rFonts w:ascii="Arial" w:hAnsi="Arial" w:cs="Arial"/>
          <w:sz w:val="24"/>
          <w:szCs w:val="24"/>
        </w:rPr>
        <w:t>C</w:t>
      </w:r>
      <w:r w:rsidR="006225F4" w:rsidRPr="00D3599D">
        <w:rPr>
          <w:rFonts w:ascii="Arial" w:hAnsi="Arial" w:cs="Arial"/>
          <w:sz w:val="24"/>
          <w:szCs w:val="24"/>
        </w:rPr>
        <w:t xml:space="preserve">ourt </w:t>
      </w:r>
      <w:r w:rsidR="00D82F3F" w:rsidRPr="00D3599D">
        <w:rPr>
          <w:rFonts w:ascii="Arial" w:hAnsi="Arial" w:cs="Arial"/>
          <w:sz w:val="24"/>
          <w:szCs w:val="24"/>
        </w:rPr>
        <w:t xml:space="preserve">on </w:t>
      </w:r>
      <w:r w:rsidR="006738B3" w:rsidRPr="00D3599D">
        <w:rPr>
          <w:rFonts w:ascii="Arial" w:hAnsi="Arial" w:cs="Arial"/>
          <w:sz w:val="24"/>
          <w:szCs w:val="24"/>
        </w:rPr>
        <w:t>15 August 2020</w:t>
      </w:r>
      <w:r w:rsidR="00327354" w:rsidRPr="00D3599D">
        <w:rPr>
          <w:rFonts w:ascii="Arial" w:hAnsi="Arial" w:cs="Arial"/>
          <w:sz w:val="24"/>
          <w:szCs w:val="24"/>
        </w:rPr>
        <w:t>. I</w:t>
      </w:r>
      <w:r w:rsidR="00D82F3F" w:rsidRPr="00D3599D">
        <w:rPr>
          <w:rFonts w:ascii="Arial" w:hAnsi="Arial" w:cs="Arial"/>
          <w:sz w:val="24"/>
          <w:szCs w:val="24"/>
        </w:rPr>
        <w:t>ts judgment was de</w:t>
      </w:r>
      <w:r w:rsidR="006738B3" w:rsidRPr="00D3599D">
        <w:rPr>
          <w:rFonts w:ascii="Arial" w:hAnsi="Arial" w:cs="Arial"/>
          <w:sz w:val="24"/>
          <w:szCs w:val="24"/>
        </w:rPr>
        <w:t>livered on 25 January 2021</w:t>
      </w:r>
      <w:r w:rsidR="008C70E3" w:rsidRPr="00D3599D">
        <w:rPr>
          <w:rFonts w:ascii="Arial" w:hAnsi="Arial" w:cs="Arial"/>
          <w:sz w:val="24"/>
          <w:szCs w:val="24"/>
        </w:rPr>
        <w:t xml:space="preserve">. </w:t>
      </w:r>
      <w:r w:rsidR="00211825" w:rsidRPr="00D3599D">
        <w:rPr>
          <w:rFonts w:ascii="Arial" w:hAnsi="Arial" w:cs="Arial"/>
          <w:sz w:val="24"/>
          <w:szCs w:val="24"/>
        </w:rPr>
        <w:t xml:space="preserve">The pivot of </w:t>
      </w:r>
      <w:r w:rsidR="00327354" w:rsidRPr="00D3599D">
        <w:rPr>
          <w:rFonts w:ascii="Arial" w:hAnsi="Arial" w:cs="Arial"/>
          <w:sz w:val="24"/>
          <w:szCs w:val="24"/>
        </w:rPr>
        <w:t xml:space="preserve">the judgment </w:t>
      </w:r>
      <w:r w:rsidR="00C468CE" w:rsidRPr="00D3599D">
        <w:rPr>
          <w:rFonts w:ascii="Arial" w:hAnsi="Arial" w:cs="Arial"/>
          <w:sz w:val="24"/>
          <w:szCs w:val="24"/>
        </w:rPr>
        <w:t>was that</w:t>
      </w:r>
      <w:r w:rsidR="00211825" w:rsidRPr="00D3599D">
        <w:rPr>
          <w:rFonts w:ascii="Arial" w:hAnsi="Arial" w:cs="Arial"/>
          <w:sz w:val="24"/>
          <w:szCs w:val="24"/>
        </w:rPr>
        <w:t xml:space="preserve"> </w:t>
      </w:r>
      <w:r w:rsidR="00F92EE6" w:rsidRPr="00D3599D">
        <w:rPr>
          <w:rFonts w:ascii="Arial" w:hAnsi="Arial" w:cs="Arial"/>
          <w:sz w:val="24"/>
          <w:szCs w:val="24"/>
        </w:rPr>
        <w:t>‘</w:t>
      </w:r>
      <w:r w:rsidR="00211825" w:rsidRPr="00D3599D">
        <w:rPr>
          <w:rFonts w:ascii="Arial" w:hAnsi="Arial" w:cs="Arial"/>
          <w:sz w:val="24"/>
          <w:szCs w:val="24"/>
        </w:rPr>
        <w:t xml:space="preserve">there is a legislated and constitutional duty on </w:t>
      </w:r>
      <w:r w:rsidR="00211825" w:rsidRPr="00D3599D">
        <w:rPr>
          <w:rFonts w:ascii="Arial" w:hAnsi="Arial" w:cs="Arial"/>
          <w:i/>
          <w:sz w:val="24"/>
          <w:szCs w:val="24"/>
        </w:rPr>
        <w:t xml:space="preserve">all </w:t>
      </w:r>
      <w:r w:rsidR="00211825" w:rsidRPr="00D3599D">
        <w:rPr>
          <w:rFonts w:ascii="Arial" w:hAnsi="Arial" w:cs="Arial"/>
          <w:sz w:val="24"/>
          <w:szCs w:val="24"/>
        </w:rPr>
        <w:t>spheres of government to mitigate and prevent future disaster type situations’</w:t>
      </w:r>
      <w:r w:rsidR="00F92EE6" w:rsidRPr="00D3599D">
        <w:rPr>
          <w:rFonts w:ascii="Arial" w:hAnsi="Arial" w:cs="Arial"/>
          <w:sz w:val="24"/>
          <w:szCs w:val="24"/>
        </w:rPr>
        <w:t>.</w:t>
      </w:r>
      <w:r w:rsidR="00211825" w:rsidRPr="00D3599D">
        <w:rPr>
          <w:rFonts w:ascii="Arial" w:hAnsi="Arial" w:cs="Arial"/>
          <w:sz w:val="24"/>
          <w:szCs w:val="24"/>
        </w:rPr>
        <w:t xml:space="preserve"> </w:t>
      </w:r>
      <w:r w:rsidR="004650AF" w:rsidRPr="00D3599D">
        <w:rPr>
          <w:rFonts w:ascii="Arial" w:hAnsi="Arial" w:cs="Arial"/>
          <w:sz w:val="24"/>
          <w:szCs w:val="24"/>
        </w:rPr>
        <w:t xml:space="preserve">Having satisfied itself that such an interdict was warranted, the </w:t>
      </w:r>
      <w:r w:rsidR="00603162" w:rsidRPr="00D3599D">
        <w:rPr>
          <w:rFonts w:ascii="Arial" w:hAnsi="Arial" w:cs="Arial"/>
          <w:sz w:val="24"/>
          <w:szCs w:val="24"/>
        </w:rPr>
        <w:t>H</w:t>
      </w:r>
      <w:r w:rsidR="004650AF" w:rsidRPr="00D3599D">
        <w:rPr>
          <w:rFonts w:ascii="Arial" w:hAnsi="Arial" w:cs="Arial"/>
          <w:sz w:val="24"/>
          <w:szCs w:val="24"/>
        </w:rPr>
        <w:t xml:space="preserve">igh </w:t>
      </w:r>
      <w:r w:rsidR="00603162" w:rsidRPr="00D3599D">
        <w:rPr>
          <w:rFonts w:ascii="Arial" w:hAnsi="Arial" w:cs="Arial"/>
          <w:sz w:val="24"/>
          <w:szCs w:val="24"/>
        </w:rPr>
        <w:t>C</w:t>
      </w:r>
      <w:r w:rsidR="004650AF" w:rsidRPr="00D3599D">
        <w:rPr>
          <w:rFonts w:ascii="Arial" w:hAnsi="Arial" w:cs="Arial"/>
          <w:sz w:val="24"/>
          <w:szCs w:val="24"/>
        </w:rPr>
        <w:t xml:space="preserve">ourt </w:t>
      </w:r>
      <w:r w:rsidR="00570873" w:rsidRPr="00D3599D">
        <w:rPr>
          <w:rFonts w:ascii="Arial" w:hAnsi="Arial" w:cs="Arial"/>
          <w:sz w:val="24"/>
          <w:szCs w:val="24"/>
        </w:rPr>
        <w:t xml:space="preserve">ordered </w:t>
      </w:r>
      <w:r w:rsidR="004650AF" w:rsidRPr="00D3599D">
        <w:rPr>
          <w:rFonts w:ascii="Arial" w:hAnsi="Arial" w:cs="Arial"/>
          <w:sz w:val="24"/>
          <w:szCs w:val="24"/>
        </w:rPr>
        <w:t>Mogale City to effect the remedial work sought</w:t>
      </w:r>
      <w:r w:rsidR="00230438" w:rsidRPr="00D3599D">
        <w:rPr>
          <w:rFonts w:ascii="Arial" w:hAnsi="Arial" w:cs="Arial"/>
          <w:sz w:val="24"/>
          <w:szCs w:val="24"/>
        </w:rPr>
        <w:t>, together</w:t>
      </w:r>
      <w:r w:rsidR="00570873" w:rsidRPr="00D3599D">
        <w:rPr>
          <w:rFonts w:ascii="Arial" w:hAnsi="Arial" w:cs="Arial"/>
          <w:sz w:val="24"/>
          <w:szCs w:val="24"/>
        </w:rPr>
        <w:t xml:space="preserve"> </w:t>
      </w:r>
      <w:r w:rsidR="00230438" w:rsidRPr="00D3599D">
        <w:rPr>
          <w:rFonts w:ascii="Arial" w:hAnsi="Arial" w:cs="Arial"/>
          <w:sz w:val="24"/>
          <w:szCs w:val="24"/>
        </w:rPr>
        <w:t xml:space="preserve">with </w:t>
      </w:r>
      <w:r w:rsidR="004650AF" w:rsidRPr="00D3599D">
        <w:rPr>
          <w:rFonts w:ascii="Arial" w:hAnsi="Arial" w:cs="Arial"/>
          <w:sz w:val="24"/>
          <w:szCs w:val="24"/>
        </w:rPr>
        <w:t xml:space="preserve">the ancillary relief sought </w:t>
      </w:r>
      <w:r w:rsidR="00230438" w:rsidRPr="00D3599D">
        <w:rPr>
          <w:rFonts w:ascii="Arial" w:hAnsi="Arial" w:cs="Arial"/>
          <w:sz w:val="24"/>
          <w:szCs w:val="24"/>
        </w:rPr>
        <w:t>by Featherbrooke with regard to regular reports by Mogale City to Featherbrooke on the implementation of the order, ‘within 30 days of the order obtained in Part A’ and thereafter, ‘every three months’. The High Court further granted the parties ‘leave to supplement the papers in Part B.’ Costs were ordered ‘to be determined at the determination of Part B.’</w:t>
      </w:r>
      <w:r w:rsidR="00412A89" w:rsidRPr="00D3599D">
        <w:rPr>
          <w:rFonts w:ascii="Arial" w:hAnsi="Arial" w:cs="Arial"/>
          <w:sz w:val="24"/>
          <w:szCs w:val="24"/>
        </w:rPr>
        <w:t xml:space="preserve"> </w:t>
      </w:r>
      <w:r w:rsidR="00A63822" w:rsidRPr="00D3599D">
        <w:rPr>
          <w:rFonts w:ascii="Arial" w:hAnsi="Arial" w:cs="Arial"/>
          <w:sz w:val="24"/>
          <w:szCs w:val="24"/>
        </w:rPr>
        <w:t xml:space="preserve">The </w:t>
      </w:r>
      <w:r w:rsidR="005C28FD" w:rsidRPr="00D3599D">
        <w:rPr>
          <w:rFonts w:ascii="Arial" w:hAnsi="Arial" w:cs="Arial"/>
          <w:sz w:val="24"/>
          <w:szCs w:val="24"/>
        </w:rPr>
        <w:t>H</w:t>
      </w:r>
      <w:r w:rsidR="00A63822" w:rsidRPr="00D3599D">
        <w:rPr>
          <w:rFonts w:ascii="Arial" w:hAnsi="Arial" w:cs="Arial"/>
          <w:sz w:val="24"/>
          <w:szCs w:val="24"/>
        </w:rPr>
        <w:t xml:space="preserve">igh </w:t>
      </w:r>
      <w:r w:rsidR="00981D55" w:rsidRPr="00D3599D">
        <w:rPr>
          <w:rFonts w:ascii="Arial" w:hAnsi="Arial" w:cs="Arial"/>
          <w:sz w:val="24"/>
          <w:szCs w:val="24"/>
        </w:rPr>
        <w:t>C</w:t>
      </w:r>
      <w:r w:rsidR="00A63822" w:rsidRPr="00D3599D">
        <w:rPr>
          <w:rFonts w:ascii="Arial" w:hAnsi="Arial" w:cs="Arial"/>
          <w:sz w:val="24"/>
          <w:szCs w:val="24"/>
        </w:rPr>
        <w:t>ourt subsequently granted Mogale City</w:t>
      </w:r>
      <w:r w:rsidR="00570873" w:rsidRPr="00D3599D">
        <w:rPr>
          <w:rFonts w:ascii="Arial" w:hAnsi="Arial" w:cs="Arial"/>
          <w:sz w:val="24"/>
          <w:szCs w:val="24"/>
        </w:rPr>
        <w:t xml:space="preserve"> leave</w:t>
      </w:r>
      <w:r w:rsidR="00A63822" w:rsidRPr="00D3599D">
        <w:rPr>
          <w:rFonts w:ascii="Arial" w:hAnsi="Arial" w:cs="Arial"/>
          <w:sz w:val="24"/>
          <w:szCs w:val="24"/>
        </w:rPr>
        <w:t xml:space="preserve"> to appeal</w:t>
      </w:r>
      <w:r w:rsidR="0007624E" w:rsidRPr="00D3599D">
        <w:rPr>
          <w:rFonts w:ascii="Arial" w:hAnsi="Arial" w:cs="Arial"/>
          <w:sz w:val="24"/>
          <w:szCs w:val="24"/>
        </w:rPr>
        <w:t xml:space="preserve"> </w:t>
      </w:r>
      <w:r w:rsidR="00A63822" w:rsidRPr="00D3599D">
        <w:rPr>
          <w:rFonts w:ascii="Arial" w:hAnsi="Arial" w:cs="Arial"/>
          <w:sz w:val="24"/>
          <w:szCs w:val="24"/>
        </w:rPr>
        <w:t>its order to the Full Court, with the proviso that ‘[t]he operation of [its order] is suspended pending [the] appeal</w:t>
      </w:r>
      <w:r w:rsidR="00A42BAF" w:rsidRPr="00D3599D">
        <w:rPr>
          <w:rFonts w:ascii="Arial" w:hAnsi="Arial" w:cs="Arial"/>
          <w:sz w:val="24"/>
          <w:szCs w:val="24"/>
        </w:rPr>
        <w:t>’</w:t>
      </w:r>
      <w:r w:rsidR="00114538" w:rsidRPr="00D3599D">
        <w:rPr>
          <w:rFonts w:ascii="Arial" w:hAnsi="Arial" w:cs="Arial"/>
          <w:sz w:val="24"/>
          <w:szCs w:val="24"/>
        </w:rPr>
        <w:t>.</w:t>
      </w:r>
    </w:p>
    <w:p w14:paraId="47B43F02" w14:textId="77777777" w:rsidR="00412A89" w:rsidRPr="00D3599D" w:rsidRDefault="00412A89" w:rsidP="00412A89">
      <w:pPr>
        <w:pStyle w:val="ListParagraph"/>
        <w:rPr>
          <w:rFonts w:ascii="Arial" w:hAnsi="Arial" w:cs="Arial"/>
          <w:sz w:val="24"/>
          <w:szCs w:val="24"/>
        </w:rPr>
      </w:pPr>
    </w:p>
    <w:p w14:paraId="15142407" w14:textId="0E6DF270" w:rsidR="00412A89" w:rsidRPr="00D3599D" w:rsidRDefault="00186070" w:rsidP="00186070">
      <w:pPr>
        <w:shd w:val="clear" w:color="auto" w:fill="FFFFFF"/>
        <w:spacing w:before="144" w:after="120" w:line="360" w:lineRule="auto"/>
        <w:contextualSpacing/>
        <w:jc w:val="both"/>
        <w:rPr>
          <w:rFonts w:ascii="Arial" w:hAnsi="Arial" w:cs="Arial"/>
          <w:b/>
          <w:sz w:val="24"/>
          <w:szCs w:val="24"/>
        </w:rPr>
      </w:pPr>
      <w:r w:rsidRPr="00D3599D">
        <w:rPr>
          <w:rFonts w:ascii="Arial" w:hAnsi="Arial" w:cs="Arial"/>
          <w:color w:val="000000"/>
          <w:sz w:val="24"/>
          <w:szCs w:val="24"/>
        </w:rPr>
        <w:t>[24]</w:t>
      </w:r>
      <w:r w:rsidRPr="00D3599D">
        <w:rPr>
          <w:rFonts w:ascii="Arial" w:hAnsi="Arial" w:cs="Arial"/>
          <w:color w:val="000000"/>
          <w:sz w:val="24"/>
          <w:szCs w:val="24"/>
        </w:rPr>
        <w:tab/>
      </w:r>
      <w:r w:rsidR="00412A89" w:rsidRPr="00D3599D">
        <w:rPr>
          <w:rFonts w:ascii="Arial" w:hAnsi="Arial" w:cs="Arial"/>
          <w:sz w:val="24"/>
          <w:szCs w:val="24"/>
        </w:rPr>
        <w:t>It is perhaps opportune at this stage to comment on the nature of the order granted by the High Court against Mogale City. It is based on the relief sought by Featherbrooke, which was framed as an application for an interim interdict. But in substance, it was for a final interdict. This is borne out by the nature of the order it granted against Mogale City. Almost everything that Mogale City has been ordered to do is permanent, and imposes on-going obligations on it. No court would be able to reverse any of those in a subsequent hearing. The High Court failed to grasp this rudimentary conceptualisation, and erred by applying the test for an interim interdict, instead of one for a final order.</w:t>
      </w:r>
      <w:r w:rsidR="00412A89" w:rsidRPr="00D3599D">
        <w:rPr>
          <w:rStyle w:val="FootnoteReference"/>
          <w:rFonts w:ascii="Arial" w:hAnsi="Arial" w:cs="Arial"/>
          <w:sz w:val="24"/>
          <w:szCs w:val="24"/>
        </w:rPr>
        <w:footnoteReference w:id="5"/>
      </w:r>
      <w:r w:rsidR="00412A89" w:rsidRPr="00D3599D">
        <w:rPr>
          <w:rFonts w:ascii="Arial" w:hAnsi="Arial" w:cs="Arial"/>
          <w:sz w:val="24"/>
          <w:szCs w:val="24"/>
        </w:rPr>
        <w:t xml:space="preserve"> The order is, in substance, final. This rendered nugatory, the envisaged hearing in part B. </w:t>
      </w:r>
    </w:p>
    <w:p w14:paraId="4AE070F8" w14:textId="65C9B195" w:rsidR="00412A89" w:rsidRPr="00412A89" w:rsidRDefault="00412A89" w:rsidP="00412A89">
      <w:pPr>
        <w:shd w:val="clear" w:color="auto" w:fill="FFFFFF"/>
        <w:spacing w:before="144" w:after="120" w:line="360" w:lineRule="auto"/>
        <w:contextualSpacing/>
        <w:jc w:val="both"/>
        <w:rPr>
          <w:rFonts w:ascii="Arial" w:hAnsi="Arial" w:cs="Arial"/>
          <w:sz w:val="24"/>
          <w:szCs w:val="24"/>
          <w:highlight w:val="yellow"/>
        </w:rPr>
      </w:pPr>
    </w:p>
    <w:p w14:paraId="4700C1DC" w14:textId="03BDC63A" w:rsidR="004650AF" w:rsidRPr="00351DC7" w:rsidRDefault="004650AF" w:rsidP="004650AF">
      <w:pPr>
        <w:shd w:val="clear" w:color="auto" w:fill="FFFFFF"/>
        <w:spacing w:before="144" w:after="120" w:line="360" w:lineRule="auto"/>
        <w:contextualSpacing/>
        <w:jc w:val="both"/>
        <w:rPr>
          <w:rFonts w:ascii="Arial" w:hAnsi="Arial" w:cs="Arial"/>
          <w:b/>
          <w:sz w:val="24"/>
          <w:szCs w:val="24"/>
        </w:rPr>
      </w:pPr>
      <w:r w:rsidRPr="00351DC7">
        <w:rPr>
          <w:rFonts w:ascii="Arial" w:hAnsi="Arial" w:cs="Arial"/>
          <w:b/>
          <w:sz w:val="24"/>
          <w:szCs w:val="24"/>
        </w:rPr>
        <w:lastRenderedPageBreak/>
        <w:t>In the Full Court</w:t>
      </w:r>
    </w:p>
    <w:p w14:paraId="21028E17" w14:textId="70F1FC6E" w:rsidR="00104194"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[25]</w:t>
      </w:r>
      <w:r w:rsidRPr="00351DC7">
        <w:rPr>
          <w:rFonts w:ascii="Arial" w:hAnsi="Arial" w:cs="Arial"/>
          <w:color w:val="000000"/>
          <w:sz w:val="24"/>
          <w:szCs w:val="24"/>
        </w:rPr>
        <w:tab/>
      </w:r>
      <w:r w:rsidR="00327354" w:rsidRPr="00351DC7">
        <w:rPr>
          <w:rFonts w:ascii="Arial" w:hAnsi="Arial" w:cs="Arial"/>
          <w:sz w:val="24"/>
          <w:szCs w:val="24"/>
        </w:rPr>
        <w:t xml:space="preserve">With no order having been made against any of the </w:t>
      </w:r>
      <w:r w:rsidR="00D93012" w:rsidRPr="00351DC7">
        <w:rPr>
          <w:rFonts w:ascii="Arial" w:hAnsi="Arial" w:cs="Arial"/>
          <w:sz w:val="24"/>
          <w:szCs w:val="24"/>
        </w:rPr>
        <w:t>originally-</w:t>
      </w:r>
      <w:r w:rsidR="00FF1874" w:rsidRPr="00351DC7">
        <w:rPr>
          <w:rFonts w:ascii="Arial" w:hAnsi="Arial" w:cs="Arial"/>
          <w:sz w:val="24"/>
          <w:szCs w:val="24"/>
        </w:rPr>
        <w:t>cited</w:t>
      </w:r>
      <w:r w:rsidR="00327354" w:rsidRPr="00351DC7">
        <w:rPr>
          <w:rFonts w:ascii="Arial" w:hAnsi="Arial" w:cs="Arial"/>
          <w:sz w:val="24"/>
          <w:szCs w:val="24"/>
        </w:rPr>
        <w:t xml:space="preserve"> State respondents, </w:t>
      </w:r>
      <w:r w:rsidR="00375524" w:rsidRPr="00351DC7">
        <w:rPr>
          <w:rFonts w:ascii="Arial" w:hAnsi="Arial" w:cs="Arial"/>
          <w:sz w:val="24"/>
          <w:szCs w:val="24"/>
        </w:rPr>
        <w:t xml:space="preserve">Mogale City was </w:t>
      </w:r>
      <w:r w:rsidR="00161B15" w:rsidRPr="00351DC7">
        <w:rPr>
          <w:rFonts w:ascii="Arial" w:hAnsi="Arial" w:cs="Arial"/>
          <w:sz w:val="24"/>
          <w:szCs w:val="24"/>
        </w:rPr>
        <w:t>the only</w:t>
      </w:r>
      <w:r w:rsidR="00327354" w:rsidRPr="00351DC7">
        <w:rPr>
          <w:rFonts w:ascii="Arial" w:hAnsi="Arial" w:cs="Arial"/>
          <w:sz w:val="24"/>
          <w:szCs w:val="24"/>
        </w:rPr>
        <w:t xml:space="preserve"> appellant before</w:t>
      </w:r>
      <w:r w:rsidR="00712EF6" w:rsidRPr="00351DC7">
        <w:rPr>
          <w:rFonts w:ascii="Arial" w:hAnsi="Arial" w:cs="Arial"/>
          <w:sz w:val="24"/>
          <w:szCs w:val="24"/>
        </w:rPr>
        <w:t xml:space="preserve"> </w:t>
      </w:r>
      <w:r w:rsidR="00FF1874" w:rsidRPr="00351DC7">
        <w:rPr>
          <w:rFonts w:ascii="Arial" w:hAnsi="Arial" w:cs="Arial"/>
          <w:sz w:val="24"/>
          <w:szCs w:val="24"/>
        </w:rPr>
        <w:t>the</w:t>
      </w:r>
      <w:r w:rsidR="00327354" w:rsidRPr="00351DC7">
        <w:rPr>
          <w:rFonts w:ascii="Arial" w:hAnsi="Arial" w:cs="Arial"/>
          <w:sz w:val="24"/>
          <w:szCs w:val="24"/>
        </w:rPr>
        <w:t xml:space="preserve"> Full Court</w:t>
      </w:r>
      <w:r w:rsidR="00375524" w:rsidRPr="00351DC7">
        <w:rPr>
          <w:rFonts w:ascii="Arial" w:hAnsi="Arial" w:cs="Arial"/>
          <w:sz w:val="24"/>
          <w:szCs w:val="24"/>
        </w:rPr>
        <w:t>.</w:t>
      </w:r>
      <w:r w:rsidR="00161B15" w:rsidRPr="00351DC7">
        <w:rPr>
          <w:rFonts w:ascii="Arial" w:hAnsi="Arial" w:cs="Arial"/>
          <w:sz w:val="24"/>
          <w:szCs w:val="24"/>
        </w:rPr>
        <w:t xml:space="preserve"> </w:t>
      </w:r>
      <w:r w:rsidR="005551CF" w:rsidRPr="00351DC7">
        <w:rPr>
          <w:rFonts w:ascii="Arial" w:hAnsi="Arial" w:cs="Arial"/>
          <w:sz w:val="24"/>
          <w:szCs w:val="24"/>
        </w:rPr>
        <w:t>T</w:t>
      </w:r>
      <w:r w:rsidR="00FF1874" w:rsidRPr="00351DC7">
        <w:rPr>
          <w:rFonts w:ascii="Arial" w:hAnsi="Arial" w:cs="Arial"/>
          <w:sz w:val="24"/>
          <w:szCs w:val="24"/>
        </w:rPr>
        <w:t>hat</w:t>
      </w:r>
      <w:r w:rsidR="00104194" w:rsidRPr="00351DC7">
        <w:rPr>
          <w:rFonts w:ascii="Arial" w:hAnsi="Arial" w:cs="Arial"/>
          <w:sz w:val="24"/>
          <w:szCs w:val="24"/>
        </w:rPr>
        <w:t xml:space="preserve"> court upheld Mogale City’s appeal </w:t>
      </w:r>
      <w:r w:rsidR="006A2194" w:rsidRPr="00351DC7">
        <w:rPr>
          <w:rFonts w:ascii="Arial" w:hAnsi="Arial" w:cs="Arial"/>
          <w:sz w:val="24"/>
          <w:szCs w:val="24"/>
        </w:rPr>
        <w:t xml:space="preserve">with costs </w:t>
      </w:r>
      <w:r w:rsidR="00104194" w:rsidRPr="00351DC7">
        <w:rPr>
          <w:rFonts w:ascii="Arial" w:hAnsi="Arial" w:cs="Arial"/>
          <w:sz w:val="24"/>
          <w:szCs w:val="24"/>
        </w:rPr>
        <w:t>and set asid</w:t>
      </w:r>
      <w:r w:rsidR="00C468CE" w:rsidRPr="00351DC7">
        <w:rPr>
          <w:rFonts w:ascii="Arial" w:hAnsi="Arial" w:cs="Arial"/>
          <w:sz w:val="24"/>
          <w:szCs w:val="24"/>
        </w:rPr>
        <w:t xml:space="preserve">e the order of the high court. </w:t>
      </w:r>
      <w:r w:rsidR="005551CF" w:rsidRPr="00351DC7">
        <w:rPr>
          <w:rFonts w:ascii="Arial" w:hAnsi="Arial" w:cs="Arial"/>
          <w:sz w:val="24"/>
          <w:szCs w:val="24"/>
        </w:rPr>
        <w:t>It reasoned that to remedy the situation at the Estate, Featherbrooke was obliged to obtain a water licence from the Department. Since it failed to apply for such a licence, its case had to fail. The Full Court also stated that the developer of the Estate had not complied with s 144 of the Water</w:t>
      </w:r>
      <w:r w:rsidR="00491271" w:rsidRPr="00351DC7">
        <w:rPr>
          <w:rFonts w:ascii="Arial" w:hAnsi="Arial" w:cs="Arial"/>
          <w:sz w:val="24"/>
          <w:szCs w:val="24"/>
        </w:rPr>
        <w:t xml:space="preserve"> Act</w:t>
      </w:r>
      <w:r w:rsidR="005551CF" w:rsidRPr="00351DC7">
        <w:rPr>
          <w:rFonts w:ascii="Arial" w:hAnsi="Arial" w:cs="Arial"/>
          <w:sz w:val="24"/>
          <w:szCs w:val="24"/>
        </w:rPr>
        <w:t xml:space="preserve"> by failing to clearly determine the flood lines.</w:t>
      </w:r>
      <w:r w:rsidR="00FF1874" w:rsidRPr="00351DC7">
        <w:rPr>
          <w:rFonts w:ascii="Arial" w:hAnsi="Arial" w:cs="Arial"/>
          <w:sz w:val="24"/>
          <w:szCs w:val="24"/>
        </w:rPr>
        <w:t xml:space="preserve"> Thus, the court </w:t>
      </w:r>
      <w:r w:rsidR="005551CF" w:rsidRPr="00351DC7">
        <w:rPr>
          <w:rFonts w:ascii="Arial" w:hAnsi="Arial" w:cs="Arial"/>
          <w:sz w:val="24"/>
          <w:szCs w:val="24"/>
        </w:rPr>
        <w:t xml:space="preserve">exonerated Mogale City of any responsibility and held that it was a matter between Featherbrooke and the Department. </w:t>
      </w:r>
    </w:p>
    <w:p w14:paraId="2352AD80" w14:textId="0CF4B649" w:rsidR="00466FEA" w:rsidRPr="00351DC7" w:rsidRDefault="00466FEA" w:rsidP="006738B3">
      <w:pPr>
        <w:shd w:val="clear" w:color="auto" w:fill="FFFFFF"/>
        <w:spacing w:before="144" w:after="120" w:line="360" w:lineRule="auto"/>
        <w:contextualSpacing/>
        <w:jc w:val="both"/>
        <w:rPr>
          <w:rFonts w:ascii="Arial" w:hAnsi="Arial" w:cs="Arial"/>
          <w:sz w:val="24"/>
          <w:szCs w:val="24"/>
        </w:rPr>
      </w:pPr>
    </w:p>
    <w:p w14:paraId="7A11D574" w14:textId="005B0262" w:rsidR="00B90964" w:rsidRPr="00351DC7" w:rsidRDefault="00D634D8" w:rsidP="00104194">
      <w:pPr>
        <w:shd w:val="clear" w:color="auto" w:fill="FFFFFF"/>
        <w:spacing w:before="144" w:after="120" w:line="360" w:lineRule="auto"/>
        <w:contextualSpacing/>
        <w:jc w:val="both"/>
        <w:rPr>
          <w:rFonts w:ascii="Arial" w:hAnsi="Arial" w:cs="Arial"/>
          <w:b/>
          <w:sz w:val="24"/>
          <w:szCs w:val="24"/>
        </w:rPr>
      </w:pPr>
      <w:r w:rsidRPr="00351DC7">
        <w:rPr>
          <w:rFonts w:ascii="Arial" w:hAnsi="Arial" w:cs="Arial"/>
          <w:b/>
          <w:sz w:val="24"/>
          <w:szCs w:val="24"/>
        </w:rPr>
        <w:t>I</w:t>
      </w:r>
      <w:r w:rsidR="00104194" w:rsidRPr="00351DC7">
        <w:rPr>
          <w:rFonts w:ascii="Arial" w:hAnsi="Arial" w:cs="Arial"/>
          <w:b/>
          <w:sz w:val="24"/>
          <w:szCs w:val="24"/>
        </w:rPr>
        <w:t>n this Court</w:t>
      </w:r>
    </w:p>
    <w:p w14:paraId="263BD441" w14:textId="5617FA81" w:rsidR="00466FEA"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[26]</w:t>
      </w:r>
      <w:r w:rsidRPr="00351DC7">
        <w:rPr>
          <w:rFonts w:ascii="Arial" w:hAnsi="Arial" w:cs="Arial"/>
          <w:color w:val="000000"/>
          <w:sz w:val="24"/>
          <w:szCs w:val="24"/>
        </w:rPr>
        <w:tab/>
      </w:r>
      <w:r w:rsidR="00D634D8" w:rsidRPr="00351DC7">
        <w:rPr>
          <w:rFonts w:ascii="Arial" w:hAnsi="Arial" w:cs="Arial"/>
          <w:sz w:val="24"/>
          <w:szCs w:val="24"/>
        </w:rPr>
        <w:t>The parties adopted the</w:t>
      </w:r>
      <w:r w:rsidR="00570873" w:rsidRPr="00351DC7">
        <w:rPr>
          <w:rFonts w:ascii="Arial" w:hAnsi="Arial" w:cs="Arial"/>
          <w:sz w:val="24"/>
          <w:szCs w:val="24"/>
        </w:rPr>
        <w:t xml:space="preserve"> same </w:t>
      </w:r>
      <w:r w:rsidR="00D634D8" w:rsidRPr="00351DC7">
        <w:rPr>
          <w:rFonts w:ascii="Arial" w:hAnsi="Arial" w:cs="Arial"/>
          <w:sz w:val="24"/>
          <w:szCs w:val="24"/>
        </w:rPr>
        <w:t xml:space="preserve">stances as they did in the High Court and the Full Court. </w:t>
      </w:r>
      <w:r w:rsidR="00FF1874" w:rsidRPr="00351DC7">
        <w:rPr>
          <w:rFonts w:ascii="Arial" w:hAnsi="Arial" w:cs="Arial"/>
          <w:sz w:val="24"/>
          <w:szCs w:val="24"/>
        </w:rPr>
        <w:t xml:space="preserve">The starting point is to identify the source of the flooding into the Estate. </w:t>
      </w:r>
      <w:r w:rsidR="00475247" w:rsidRPr="00351DC7">
        <w:rPr>
          <w:rFonts w:ascii="Arial" w:hAnsi="Arial" w:cs="Arial"/>
          <w:sz w:val="24"/>
          <w:szCs w:val="24"/>
        </w:rPr>
        <w:t>A major</w:t>
      </w:r>
      <w:r w:rsidR="005907AC" w:rsidRPr="00351DC7">
        <w:rPr>
          <w:rFonts w:ascii="Arial" w:hAnsi="Arial" w:cs="Arial"/>
          <w:sz w:val="24"/>
          <w:szCs w:val="24"/>
        </w:rPr>
        <w:t xml:space="preserve"> contributing factor </w:t>
      </w:r>
      <w:r w:rsidR="00475247" w:rsidRPr="00351DC7">
        <w:rPr>
          <w:rFonts w:ascii="Arial" w:hAnsi="Arial" w:cs="Arial"/>
          <w:sz w:val="24"/>
          <w:szCs w:val="24"/>
        </w:rPr>
        <w:t xml:space="preserve">to the damage caused to the Estate </w:t>
      </w:r>
      <w:r w:rsidR="005907AC" w:rsidRPr="00351DC7">
        <w:rPr>
          <w:rFonts w:ascii="Arial" w:hAnsi="Arial" w:cs="Arial"/>
          <w:sz w:val="24"/>
          <w:szCs w:val="24"/>
        </w:rPr>
        <w:t xml:space="preserve">seems to be the velocity and pace of water </w:t>
      </w:r>
      <w:r w:rsidR="009D5648" w:rsidRPr="00351DC7">
        <w:rPr>
          <w:rFonts w:ascii="Arial" w:hAnsi="Arial" w:cs="Arial"/>
          <w:sz w:val="24"/>
          <w:szCs w:val="24"/>
        </w:rPr>
        <w:t>which places pressure on the river’s embankments and beds, resulting in corrosion and instability. Thus, the</w:t>
      </w:r>
      <w:r w:rsidR="00063FB1" w:rsidRPr="00351DC7">
        <w:rPr>
          <w:rFonts w:ascii="Arial" w:hAnsi="Arial" w:cs="Arial"/>
          <w:sz w:val="24"/>
          <w:szCs w:val="24"/>
        </w:rPr>
        <w:t xml:space="preserve"> source of the problem is</w:t>
      </w:r>
      <w:r w:rsidR="00DF302A" w:rsidRPr="00351DC7">
        <w:rPr>
          <w:rFonts w:ascii="Arial" w:hAnsi="Arial" w:cs="Arial"/>
          <w:sz w:val="24"/>
          <w:szCs w:val="24"/>
        </w:rPr>
        <w:t xml:space="preserve"> the st</w:t>
      </w:r>
      <w:r w:rsidR="00D634D8" w:rsidRPr="00351DC7">
        <w:rPr>
          <w:rFonts w:ascii="Arial" w:hAnsi="Arial" w:cs="Arial"/>
          <w:sz w:val="24"/>
          <w:szCs w:val="24"/>
        </w:rPr>
        <w:t>r</w:t>
      </w:r>
      <w:r w:rsidR="00DF302A" w:rsidRPr="00351DC7">
        <w:rPr>
          <w:rFonts w:ascii="Arial" w:hAnsi="Arial" w:cs="Arial"/>
          <w:sz w:val="24"/>
          <w:szCs w:val="24"/>
        </w:rPr>
        <w:t>eam of</w:t>
      </w:r>
      <w:r w:rsidR="00063FB1" w:rsidRPr="00351DC7">
        <w:rPr>
          <w:rFonts w:ascii="Arial" w:hAnsi="Arial" w:cs="Arial"/>
          <w:sz w:val="24"/>
          <w:szCs w:val="24"/>
        </w:rPr>
        <w:t xml:space="preserve"> water, </w:t>
      </w:r>
      <w:r w:rsidR="00DF302A" w:rsidRPr="00351DC7">
        <w:rPr>
          <w:rFonts w:ascii="Arial" w:hAnsi="Arial" w:cs="Arial"/>
          <w:sz w:val="24"/>
          <w:szCs w:val="24"/>
        </w:rPr>
        <w:t xml:space="preserve">which leads to the </w:t>
      </w:r>
      <w:r w:rsidR="00063FB1" w:rsidRPr="00351DC7">
        <w:rPr>
          <w:rFonts w:ascii="Arial" w:hAnsi="Arial" w:cs="Arial"/>
          <w:sz w:val="24"/>
          <w:szCs w:val="24"/>
        </w:rPr>
        <w:t>collapse</w:t>
      </w:r>
      <w:r w:rsidR="00DF302A" w:rsidRPr="00351DC7">
        <w:rPr>
          <w:rFonts w:ascii="Arial" w:hAnsi="Arial" w:cs="Arial"/>
          <w:sz w:val="24"/>
          <w:szCs w:val="24"/>
        </w:rPr>
        <w:t xml:space="preserve"> of the</w:t>
      </w:r>
      <w:r w:rsidR="00063FB1" w:rsidRPr="00351DC7">
        <w:rPr>
          <w:rFonts w:ascii="Arial" w:hAnsi="Arial" w:cs="Arial"/>
          <w:sz w:val="24"/>
          <w:szCs w:val="24"/>
        </w:rPr>
        <w:t xml:space="preserve"> riverbeds and embankments</w:t>
      </w:r>
      <w:r w:rsidR="00DF302A" w:rsidRPr="00351DC7">
        <w:rPr>
          <w:rFonts w:ascii="Arial" w:hAnsi="Arial" w:cs="Arial"/>
          <w:sz w:val="24"/>
          <w:szCs w:val="24"/>
        </w:rPr>
        <w:t>, which in turn, results</w:t>
      </w:r>
      <w:r w:rsidR="00063FB1" w:rsidRPr="00351DC7">
        <w:rPr>
          <w:rFonts w:ascii="Arial" w:hAnsi="Arial" w:cs="Arial"/>
          <w:sz w:val="24"/>
          <w:szCs w:val="24"/>
        </w:rPr>
        <w:t xml:space="preserve"> </w:t>
      </w:r>
      <w:r w:rsidR="00DF302A" w:rsidRPr="00351DC7">
        <w:rPr>
          <w:rFonts w:ascii="Arial" w:hAnsi="Arial" w:cs="Arial"/>
          <w:sz w:val="24"/>
          <w:szCs w:val="24"/>
        </w:rPr>
        <w:t xml:space="preserve">in </w:t>
      </w:r>
      <w:r w:rsidR="00063FB1" w:rsidRPr="00351DC7">
        <w:rPr>
          <w:rFonts w:ascii="Arial" w:hAnsi="Arial" w:cs="Arial"/>
          <w:sz w:val="24"/>
          <w:szCs w:val="24"/>
        </w:rPr>
        <w:t xml:space="preserve">flooding into the Estate. </w:t>
      </w:r>
      <w:r w:rsidR="00DF302A" w:rsidRPr="00351DC7">
        <w:rPr>
          <w:rFonts w:ascii="Arial" w:hAnsi="Arial" w:cs="Arial"/>
          <w:sz w:val="24"/>
          <w:szCs w:val="24"/>
        </w:rPr>
        <w:t xml:space="preserve">To remedy the situation, </w:t>
      </w:r>
      <w:r w:rsidR="00FF1874" w:rsidRPr="00351DC7">
        <w:rPr>
          <w:rFonts w:ascii="Arial" w:hAnsi="Arial" w:cs="Arial"/>
          <w:sz w:val="24"/>
          <w:szCs w:val="24"/>
        </w:rPr>
        <w:t xml:space="preserve">among other things, </w:t>
      </w:r>
      <w:r w:rsidR="00DF302A" w:rsidRPr="00351DC7">
        <w:rPr>
          <w:rFonts w:ascii="Arial" w:hAnsi="Arial" w:cs="Arial"/>
          <w:sz w:val="24"/>
          <w:szCs w:val="24"/>
        </w:rPr>
        <w:t xml:space="preserve">the water stream must be regulated or diverted. This is an activity which is regulated by the Water Act. </w:t>
      </w:r>
    </w:p>
    <w:p w14:paraId="577E6E5D" w14:textId="77777777" w:rsidR="00E224B9" w:rsidRPr="00351DC7" w:rsidRDefault="00E224B9" w:rsidP="00E224B9">
      <w:pPr>
        <w:shd w:val="clear" w:color="auto" w:fill="FFFFFF"/>
        <w:spacing w:before="144" w:after="120" w:line="360" w:lineRule="auto"/>
        <w:contextualSpacing/>
        <w:jc w:val="both"/>
        <w:rPr>
          <w:rFonts w:ascii="Arial" w:hAnsi="Arial" w:cs="Arial"/>
          <w:sz w:val="24"/>
          <w:szCs w:val="24"/>
        </w:rPr>
      </w:pPr>
    </w:p>
    <w:p w14:paraId="7808BCEB" w14:textId="14C7F53E" w:rsidR="00AB133F"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[27]</w:t>
      </w:r>
      <w:r w:rsidRPr="00351DC7">
        <w:rPr>
          <w:rFonts w:ascii="Arial" w:hAnsi="Arial" w:cs="Arial"/>
          <w:color w:val="000000"/>
          <w:sz w:val="24"/>
          <w:szCs w:val="24"/>
        </w:rPr>
        <w:tab/>
      </w:r>
      <w:r w:rsidR="00497416" w:rsidRPr="00351DC7">
        <w:rPr>
          <w:rFonts w:ascii="Arial" w:hAnsi="Arial" w:cs="Arial"/>
          <w:sz w:val="24"/>
          <w:szCs w:val="24"/>
        </w:rPr>
        <w:t xml:space="preserve">In terms of </w:t>
      </w:r>
      <w:r w:rsidR="00FF1874" w:rsidRPr="00351DC7">
        <w:rPr>
          <w:rFonts w:ascii="Arial" w:hAnsi="Arial" w:cs="Arial"/>
          <w:sz w:val="24"/>
          <w:szCs w:val="24"/>
        </w:rPr>
        <w:t xml:space="preserve">the Water Act, </w:t>
      </w:r>
      <w:r w:rsidR="00497416" w:rsidRPr="00351DC7">
        <w:rPr>
          <w:rFonts w:ascii="Arial" w:hAnsi="Arial" w:cs="Arial"/>
          <w:sz w:val="24"/>
          <w:szCs w:val="24"/>
        </w:rPr>
        <w:t>all rivers in the country</w:t>
      </w:r>
      <w:r w:rsidR="00FF1874" w:rsidRPr="00351DC7">
        <w:rPr>
          <w:rStyle w:val="FootnoteReference"/>
          <w:rFonts w:ascii="Arial" w:hAnsi="Arial" w:cs="Arial"/>
          <w:sz w:val="24"/>
          <w:szCs w:val="24"/>
        </w:rPr>
        <w:t xml:space="preserve"> </w:t>
      </w:r>
      <w:r w:rsidR="00497416" w:rsidRPr="00351DC7">
        <w:rPr>
          <w:rFonts w:ascii="Arial" w:hAnsi="Arial" w:cs="Arial"/>
          <w:sz w:val="24"/>
          <w:szCs w:val="24"/>
        </w:rPr>
        <w:t xml:space="preserve">belong to the government, under the trusteeship of the Minister. </w:t>
      </w:r>
      <w:r w:rsidR="0069452D" w:rsidRPr="00351DC7">
        <w:rPr>
          <w:rFonts w:ascii="Arial" w:hAnsi="Arial" w:cs="Arial"/>
          <w:sz w:val="24"/>
          <w:szCs w:val="24"/>
        </w:rPr>
        <w:t xml:space="preserve">The purpose of the Water Act </w:t>
      </w:r>
      <w:r w:rsidR="00491271" w:rsidRPr="00351DC7">
        <w:rPr>
          <w:rFonts w:ascii="Arial" w:hAnsi="Arial" w:cs="Arial"/>
          <w:sz w:val="24"/>
          <w:szCs w:val="24"/>
        </w:rPr>
        <w:t>as</w:t>
      </w:r>
      <w:r w:rsidR="0069452D" w:rsidRPr="00351DC7">
        <w:rPr>
          <w:rFonts w:ascii="Arial" w:hAnsi="Arial" w:cs="Arial"/>
          <w:sz w:val="24"/>
          <w:szCs w:val="24"/>
        </w:rPr>
        <w:t xml:space="preserve"> set out in s 2, is to ‘ensure that the nation’s water resources are protected, used, developed, conserved, managed and controlled’ in ways which take into account amongst other factors, </w:t>
      </w:r>
      <w:r w:rsidR="00906294" w:rsidRPr="00351DC7">
        <w:rPr>
          <w:rFonts w:ascii="Arial" w:hAnsi="Arial" w:cs="Arial"/>
          <w:sz w:val="24"/>
          <w:szCs w:val="24"/>
        </w:rPr>
        <w:t>‘managing floods and droughts’</w:t>
      </w:r>
      <w:r w:rsidR="00491271" w:rsidRPr="00351DC7">
        <w:rPr>
          <w:rFonts w:ascii="Arial" w:hAnsi="Arial" w:cs="Arial"/>
          <w:sz w:val="24"/>
          <w:szCs w:val="24"/>
        </w:rPr>
        <w:t>.</w:t>
      </w:r>
      <w:r w:rsidR="00906294" w:rsidRPr="00351DC7">
        <w:rPr>
          <w:rStyle w:val="FootnoteReference"/>
          <w:rFonts w:ascii="Arial" w:hAnsi="Arial" w:cs="Arial"/>
          <w:sz w:val="24"/>
          <w:szCs w:val="24"/>
        </w:rPr>
        <w:footnoteReference w:id="6"/>
      </w:r>
      <w:r w:rsidR="00AB133F" w:rsidRPr="00351DC7">
        <w:rPr>
          <w:rFonts w:ascii="Arial" w:hAnsi="Arial" w:cs="Arial"/>
          <w:sz w:val="24"/>
          <w:szCs w:val="24"/>
        </w:rPr>
        <w:t xml:space="preserve"> Below I briefly </w:t>
      </w:r>
      <w:r w:rsidR="009D5648" w:rsidRPr="00351DC7">
        <w:rPr>
          <w:rFonts w:ascii="Arial" w:hAnsi="Arial" w:cs="Arial"/>
          <w:sz w:val="24"/>
          <w:szCs w:val="24"/>
        </w:rPr>
        <w:t>outline</w:t>
      </w:r>
      <w:r w:rsidR="00AB133F" w:rsidRPr="00351DC7">
        <w:rPr>
          <w:rFonts w:ascii="Arial" w:hAnsi="Arial" w:cs="Arial"/>
          <w:sz w:val="24"/>
          <w:szCs w:val="24"/>
        </w:rPr>
        <w:t xml:space="preserve"> it</w:t>
      </w:r>
      <w:r w:rsidR="009D5648" w:rsidRPr="00351DC7">
        <w:rPr>
          <w:rFonts w:ascii="Arial" w:hAnsi="Arial" w:cs="Arial"/>
          <w:sz w:val="24"/>
          <w:szCs w:val="24"/>
        </w:rPr>
        <w:t>s</w:t>
      </w:r>
      <w:r w:rsidR="00AB133F" w:rsidRPr="00351DC7">
        <w:rPr>
          <w:rFonts w:ascii="Arial" w:hAnsi="Arial" w:cs="Arial"/>
          <w:sz w:val="24"/>
          <w:szCs w:val="24"/>
        </w:rPr>
        <w:t xml:space="preserve"> relevant </w:t>
      </w:r>
      <w:r w:rsidR="00217661" w:rsidRPr="00351DC7">
        <w:rPr>
          <w:rFonts w:ascii="Arial" w:hAnsi="Arial" w:cs="Arial"/>
          <w:sz w:val="24"/>
          <w:szCs w:val="24"/>
        </w:rPr>
        <w:t>provisions</w:t>
      </w:r>
      <w:r w:rsidR="00AB133F" w:rsidRPr="00351DC7">
        <w:rPr>
          <w:rFonts w:ascii="Arial" w:hAnsi="Arial" w:cs="Arial"/>
          <w:sz w:val="24"/>
          <w:szCs w:val="24"/>
        </w:rPr>
        <w:t xml:space="preserve">. These are </w:t>
      </w:r>
      <w:r w:rsidR="007D65CA" w:rsidRPr="00351DC7">
        <w:rPr>
          <w:rFonts w:ascii="Arial" w:hAnsi="Arial" w:cs="Arial"/>
          <w:sz w:val="24"/>
          <w:szCs w:val="24"/>
        </w:rPr>
        <w:t>ss 21</w:t>
      </w:r>
      <w:r w:rsidR="00AB133F" w:rsidRPr="00351DC7">
        <w:rPr>
          <w:rFonts w:ascii="Arial" w:hAnsi="Arial" w:cs="Arial"/>
          <w:sz w:val="24"/>
          <w:szCs w:val="24"/>
        </w:rPr>
        <w:t xml:space="preserve">, 22, 36 and 37 of the </w:t>
      </w:r>
      <w:r w:rsidR="00491271" w:rsidRPr="00351DC7">
        <w:rPr>
          <w:rFonts w:ascii="Arial" w:hAnsi="Arial" w:cs="Arial"/>
          <w:sz w:val="24"/>
          <w:szCs w:val="24"/>
        </w:rPr>
        <w:t xml:space="preserve">Water </w:t>
      </w:r>
      <w:r w:rsidR="00AB133F" w:rsidRPr="00351DC7">
        <w:rPr>
          <w:rFonts w:ascii="Arial" w:hAnsi="Arial" w:cs="Arial"/>
          <w:sz w:val="24"/>
          <w:szCs w:val="24"/>
        </w:rPr>
        <w:t>Act.</w:t>
      </w:r>
    </w:p>
    <w:p w14:paraId="178166B6" w14:textId="77777777" w:rsidR="00AB133F" w:rsidRPr="00351DC7" w:rsidRDefault="00AB133F" w:rsidP="000B5407">
      <w:pPr>
        <w:shd w:val="clear" w:color="auto" w:fill="FFFFFF"/>
        <w:spacing w:before="144" w:after="120" w:line="360" w:lineRule="auto"/>
        <w:contextualSpacing/>
        <w:jc w:val="both"/>
        <w:rPr>
          <w:rFonts w:ascii="Arial" w:hAnsi="Arial" w:cs="Arial"/>
          <w:sz w:val="24"/>
          <w:szCs w:val="24"/>
        </w:rPr>
      </w:pPr>
    </w:p>
    <w:p w14:paraId="11A23695" w14:textId="6865645B" w:rsidR="00906294"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[28]</w:t>
      </w:r>
      <w:r w:rsidRPr="00351DC7">
        <w:rPr>
          <w:rFonts w:ascii="Arial" w:hAnsi="Arial" w:cs="Arial"/>
          <w:color w:val="000000"/>
          <w:sz w:val="24"/>
          <w:szCs w:val="24"/>
        </w:rPr>
        <w:tab/>
      </w:r>
      <w:r w:rsidR="00AB133F" w:rsidRPr="00351DC7">
        <w:rPr>
          <w:rFonts w:ascii="Arial" w:hAnsi="Arial" w:cs="Arial"/>
          <w:sz w:val="24"/>
          <w:szCs w:val="24"/>
        </w:rPr>
        <w:t>Sections 21 and 22</w:t>
      </w:r>
      <w:r w:rsidR="007D65CA" w:rsidRPr="00351DC7">
        <w:rPr>
          <w:rFonts w:ascii="Arial" w:hAnsi="Arial" w:cs="Arial"/>
          <w:sz w:val="24"/>
          <w:szCs w:val="24"/>
        </w:rPr>
        <w:t xml:space="preserve"> fall under chapter 4 of the Water Act, which is titled </w:t>
      </w:r>
      <w:r w:rsidR="00FF1874" w:rsidRPr="00351DC7">
        <w:rPr>
          <w:rFonts w:ascii="Arial" w:hAnsi="Arial" w:cs="Arial"/>
          <w:sz w:val="24"/>
          <w:szCs w:val="24"/>
        </w:rPr>
        <w:t>‘Use of Water’</w:t>
      </w:r>
      <w:r w:rsidR="00491271" w:rsidRPr="00351DC7">
        <w:rPr>
          <w:rFonts w:ascii="Arial" w:hAnsi="Arial" w:cs="Arial"/>
          <w:b/>
          <w:sz w:val="24"/>
          <w:szCs w:val="24"/>
        </w:rPr>
        <w:t>.</w:t>
      </w:r>
      <w:r w:rsidR="007D65CA" w:rsidRPr="00351DC7">
        <w:rPr>
          <w:rFonts w:ascii="Arial" w:hAnsi="Arial" w:cs="Arial"/>
          <w:sz w:val="24"/>
          <w:szCs w:val="24"/>
        </w:rPr>
        <w:t xml:space="preserve"> Part 1 of Chapter 4 sets out the general principles for regulating water use. It provides that ‘[w]ater use is defined broadly, and includes taking and storing water, </w:t>
      </w:r>
      <w:r w:rsidR="007D65CA" w:rsidRPr="00351DC7">
        <w:rPr>
          <w:rFonts w:ascii="Arial" w:hAnsi="Arial" w:cs="Arial"/>
          <w:i/>
          <w:sz w:val="24"/>
          <w:szCs w:val="24"/>
        </w:rPr>
        <w:lastRenderedPageBreak/>
        <w:t>activities which reduce stream flow</w:t>
      </w:r>
      <w:r w:rsidR="0069452D" w:rsidRPr="00351DC7">
        <w:rPr>
          <w:rFonts w:ascii="Arial" w:hAnsi="Arial" w:cs="Arial"/>
          <w:sz w:val="24"/>
          <w:szCs w:val="24"/>
        </w:rPr>
        <w:t xml:space="preserve"> . . .’</w:t>
      </w:r>
      <w:r w:rsidR="00F74C9D" w:rsidRPr="00351DC7">
        <w:rPr>
          <w:rFonts w:ascii="Arial" w:hAnsi="Arial" w:cs="Arial"/>
          <w:sz w:val="24"/>
          <w:szCs w:val="24"/>
        </w:rPr>
        <w:t>.</w:t>
      </w:r>
      <w:r w:rsidR="0069452D" w:rsidRPr="00351DC7">
        <w:rPr>
          <w:rFonts w:ascii="Arial" w:hAnsi="Arial" w:cs="Arial"/>
          <w:sz w:val="24"/>
          <w:szCs w:val="24"/>
        </w:rPr>
        <w:t xml:space="preserve"> (</w:t>
      </w:r>
      <w:r w:rsidR="00F74C9D" w:rsidRPr="00351DC7">
        <w:rPr>
          <w:rFonts w:ascii="Arial" w:hAnsi="Arial" w:cs="Arial"/>
          <w:sz w:val="24"/>
          <w:szCs w:val="24"/>
        </w:rPr>
        <w:t>E</w:t>
      </w:r>
      <w:r w:rsidR="0069452D" w:rsidRPr="00351DC7">
        <w:rPr>
          <w:rFonts w:ascii="Arial" w:hAnsi="Arial" w:cs="Arial"/>
          <w:sz w:val="24"/>
          <w:szCs w:val="24"/>
        </w:rPr>
        <w:t>mphasis added.)</w:t>
      </w:r>
      <w:r w:rsidR="00F74C9D" w:rsidRPr="00351DC7">
        <w:rPr>
          <w:rFonts w:ascii="Arial" w:hAnsi="Arial" w:cs="Arial"/>
          <w:sz w:val="24"/>
          <w:szCs w:val="24"/>
        </w:rPr>
        <w:t>.</w:t>
      </w:r>
      <w:r w:rsidR="00AB133F" w:rsidRPr="00351DC7">
        <w:rPr>
          <w:rFonts w:ascii="Arial" w:hAnsi="Arial" w:cs="Arial"/>
          <w:sz w:val="24"/>
          <w:szCs w:val="24"/>
        </w:rPr>
        <w:t xml:space="preserve"> </w:t>
      </w:r>
      <w:r w:rsidR="007D65CA" w:rsidRPr="00351DC7">
        <w:rPr>
          <w:rFonts w:ascii="Arial" w:hAnsi="Arial" w:cs="Arial"/>
          <w:sz w:val="24"/>
          <w:szCs w:val="24"/>
        </w:rPr>
        <w:t xml:space="preserve">Section 21 sets out what constitutes ‘Water use’ for purposes of the Water Act. </w:t>
      </w:r>
      <w:r w:rsidR="0069452D" w:rsidRPr="00351DC7">
        <w:rPr>
          <w:rFonts w:ascii="Arial" w:hAnsi="Arial" w:cs="Arial"/>
          <w:sz w:val="24"/>
          <w:szCs w:val="24"/>
        </w:rPr>
        <w:t>This includes, among other things, the following: (a) impeding or diverting the flow of water in a watercourse</w:t>
      </w:r>
      <w:r w:rsidR="00771C6E" w:rsidRPr="00351DC7">
        <w:rPr>
          <w:rFonts w:ascii="Arial" w:hAnsi="Arial" w:cs="Arial"/>
          <w:sz w:val="24"/>
          <w:szCs w:val="24"/>
        </w:rPr>
        <w:t>;</w:t>
      </w:r>
      <w:r w:rsidR="00771C6E" w:rsidRPr="00351DC7">
        <w:rPr>
          <w:rStyle w:val="FootnoteReference"/>
          <w:rFonts w:ascii="Arial" w:hAnsi="Arial" w:cs="Arial"/>
          <w:sz w:val="24"/>
          <w:szCs w:val="24"/>
        </w:rPr>
        <w:footnoteReference w:id="7"/>
      </w:r>
      <w:r w:rsidR="0069452D" w:rsidRPr="00351DC7">
        <w:rPr>
          <w:rFonts w:ascii="Arial" w:hAnsi="Arial" w:cs="Arial"/>
          <w:sz w:val="24"/>
          <w:szCs w:val="24"/>
        </w:rPr>
        <w:t xml:space="preserve"> (b) engaging in a stream flow reduction </w:t>
      </w:r>
      <w:r w:rsidR="00906294" w:rsidRPr="00351DC7">
        <w:rPr>
          <w:rFonts w:ascii="Arial" w:hAnsi="Arial" w:cs="Arial"/>
          <w:sz w:val="24"/>
          <w:szCs w:val="24"/>
        </w:rPr>
        <w:t>activity</w:t>
      </w:r>
      <w:r w:rsidR="00906294" w:rsidRPr="00351DC7">
        <w:rPr>
          <w:rStyle w:val="FootnoteReference"/>
          <w:rFonts w:ascii="Arial" w:hAnsi="Arial" w:cs="Arial"/>
          <w:sz w:val="24"/>
          <w:szCs w:val="24"/>
        </w:rPr>
        <w:footnoteReference w:id="8"/>
      </w:r>
      <w:r w:rsidR="00C468CE" w:rsidRPr="00351DC7">
        <w:rPr>
          <w:rFonts w:ascii="Arial" w:hAnsi="Arial" w:cs="Arial"/>
          <w:sz w:val="24"/>
          <w:szCs w:val="24"/>
        </w:rPr>
        <w:t xml:space="preserve"> and (c) </w:t>
      </w:r>
      <w:r w:rsidR="00906294" w:rsidRPr="00351DC7">
        <w:rPr>
          <w:rFonts w:ascii="Arial" w:hAnsi="Arial" w:cs="Arial"/>
          <w:sz w:val="24"/>
          <w:szCs w:val="24"/>
        </w:rPr>
        <w:t>altering the bed, banks, course or c</w:t>
      </w:r>
      <w:r w:rsidR="00A62E51" w:rsidRPr="00351DC7">
        <w:rPr>
          <w:rFonts w:ascii="Arial" w:hAnsi="Arial" w:cs="Arial"/>
          <w:sz w:val="24"/>
          <w:szCs w:val="24"/>
        </w:rPr>
        <w:t>haracteristics of a watercourse.</w:t>
      </w:r>
      <w:r w:rsidR="00A62E51" w:rsidRPr="00351DC7">
        <w:rPr>
          <w:rStyle w:val="FootnoteReference"/>
          <w:rFonts w:ascii="Arial" w:hAnsi="Arial" w:cs="Arial"/>
          <w:sz w:val="24"/>
          <w:szCs w:val="24"/>
        </w:rPr>
        <w:footnoteReference w:id="9"/>
      </w:r>
      <w:r w:rsidR="00906294" w:rsidRPr="00351DC7">
        <w:rPr>
          <w:rFonts w:ascii="Arial" w:hAnsi="Arial" w:cs="Arial"/>
          <w:sz w:val="24"/>
          <w:szCs w:val="24"/>
        </w:rPr>
        <w:t xml:space="preserve"> </w:t>
      </w:r>
    </w:p>
    <w:p w14:paraId="7FB19F27" w14:textId="5EEA632D" w:rsidR="00FF1874" w:rsidRPr="00351DC7" w:rsidRDefault="00FF1874" w:rsidP="00FF1874">
      <w:pPr>
        <w:shd w:val="clear" w:color="auto" w:fill="FFFFFF"/>
        <w:spacing w:before="144" w:after="120" w:line="360" w:lineRule="auto"/>
        <w:contextualSpacing/>
        <w:jc w:val="both"/>
        <w:rPr>
          <w:rFonts w:ascii="Arial" w:hAnsi="Arial" w:cs="Arial"/>
          <w:sz w:val="24"/>
          <w:szCs w:val="24"/>
        </w:rPr>
      </w:pPr>
    </w:p>
    <w:p w14:paraId="47DC4B64" w14:textId="16A58ED6" w:rsidR="00C97F8C"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[29]</w:t>
      </w:r>
      <w:r w:rsidRPr="00351DC7">
        <w:rPr>
          <w:rFonts w:ascii="Arial" w:hAnsi="Arial" w:cs="Arial"/>
          <w:color w:val="000000"/>
          <w:sz w:val="24"/>
          <w:szCs w:val="24"/>
        </w:rPr>
        <w:tab/>
      </w:r>
      <w:r w:rsidR="00A62E51" w:rsidRPr="00351DC7">
        <w:rPr>
          <w:rFonts w:ascii="Arial" w:hAnsi="Arial" w:cs="Arial"/>
          <w:sz w:val="24"/>
          <w:szCs w:val="24"/>
        </w:rPr>
        <w:t>Part 4</w:t>
      </w:r>
      <w:r w:rsidR="0031154F" w:rsidRPr="00351DC7">
        <w:rPr>
          <w:rFonts w:ascii="Arial" w:hAnsi="Arial" w:cs="Arial"/>
          <w:sz w:val="24"/>
          <w:szCs w:val="24"/>
        </w:rPr>
        <w:t xml:space="preserve"> concerns</w:t>
      </w:r>
      <w:r w:rsidR="00A62E51" w:rsidRPr="00351DC7">
        <w:rPr>
          <w:rFonts w:ascii="Arial" w:hAnsi="Arial" w:cs="Arial"/>
          <w:sz w:val="24"/>
          <w:szCs w:val="24"/>
        </w:rPr>
        <w:t xml:space="preserve"> ‘Stream flow reduction activities’</w:t>
      </w:r>
      <w:r w:rsidR="00F74C9D" w:rsidRPr="00351DC7">
        <w:rPr>
          <w:rFonts w:ascii="Arial" w:hAnsi="Arial" w:cs="Arial"/>
          <w:sz w:val="24"/>
          <w:szCs w:val="24"/>
        </w:rPr>
        <w:t>.</w:t>
      </w:r>
      <w:r w:rsidR="00A62E51" w:rsidRPr="00351DC7">
        <w:rPr>
          <w:rFonts w:ascii="Arial" w:hAnsi="Arial" w:cs="Arial"/>
          <w:sz w:val="24"/>
          <w:szCs w:val="24"/>
        </w:rPr>
        <w:t xml:space="preserve"> It allows the Minister, to regulate land-based activities which reduce stream flow, by declaring such activities to be stream flow reduction activities. Whether or not an activity is declared to be a stream flow activity, depends on factors such as the extent of stream flow reduction, its duration, and its impact on any relevant water resource and on other water users. </w:t>
      </w:r>
      <w:r w:rsidR="00C97F8C" w:rsidRPr="00351DC7">
        <w:rPr>
          <w:rFonts w:ascii="Arial" w:hAnsi="Arial" w:cs="Arial"/>
          <w:sz w:val="24"/>
          <w:szCs w:val="24"/>
        </w:rPr>
        <w:t>Part 5 deals with ‘</w:t>
      </w:r>
      <w:r w:rsidR="00771C6E" w:rsidRPr="00351DC7">
        <w:rPr>
          <w:rFonts w:ascii="Arial" w:hAnsi="Arial" w:cs="Arial"/>
          <w:sz w:val="24"/>
          <w:szCs w:val="24"/>
        </w:rPr>
        <w:t>Contro</w:t>
      </w:r>
      <w:r w:rsidR="00C97F8C" w:rsidRPr="00351DC7">
        <w:rPr>
          <w:rFonts w:ascii="Arial" w:hAnsi="Arial" w:cs="Arial"/>
          <w:sz w:val="24"/>
          <w:szCs w:val="24"/>
        </w:rPr>
        <w:t>lled activities’</w:t>
      </w:r>
      <w:r w:rsidR="00F74C9D" w:rsidRPr="00351DC7">
        <w:rPr>
          <w:rFonts w:ascii="Arial" w:hAnsi="Arial" w:cs="Arial"/>
          <w:sz w:val="24"/>
          <w:szCs w:val="24"/>
        </w:rPr>
        <w:t>.</w:t>
      </w:r>
      <w:r w:rsidR="00C97F8C" w:rsidRPr="00351DC7">
        <w:rPr>
          <w:rFonts w:ascii="Arial" w:hAnsi="Arial" w:cs="Arial"/>
          <w:sz w:val="24"/>
          <w:szCs w:val="24"/>
        </w:rPr>
        <w:t xml:space="preserve"> </w:t>
      </w:r>
      <w:r w:rsidR="00620F19" w:rsidRPr="00351DC7">
        <w:rPr>
          <w:rFonts w:ascii="Arial" w:hAnsi="Arial" w:cs="Arial"/>
          <w:sz w:val="24"/>
          <w:szCs w:val="24"/>
        </w:rPr>
        <w:t>Section 37</w:t>
      </w:r>
      <w:r w:rsidR="00842DBC" w:rsidRPr="00351DC7">
        <w:rPr>
          <w:rFonts w:ascii="Arial" w:hAnsi="Arial" w:cs="Arial"/>
          <w:sz w:val="24"/>
          <w:szCs w:val="24"/>
        </w:rPr>
        <w:t xml:space="preserve"> </w:t>
      </w:r>
      <w:r w:rsidR="00620F19" w:rsidRPr="00351DC7">
        <w:rPr>
          <w:rFonts w:ascii="Arial" w:hAnsi="Arial" w:cs="Arial"/>
          <w:sz w:val="24"/>
          <w:szCs w:val="24"/>
        </w:rPr>
        <w:t xml:space="preserve">identifies </w:t>
      </w:r>
      <w:r w:rsidR="00842DBC" w:rsidRPr="00351DC7">
        <w:rPr>
          <w:rFonts w:ascii="Arial" w:hAnsi="Arial" w:cs="Arial"/>
          <w:sz w:val="24"/>
          <w:szCs w:val="24"/>
        </w:rPr>
        <w:t xml:space="preserve">what constitutes a controlled activity. Among such activities, is </w:t>
      </w:r>
      <w:r w:rsidR="00C97F8C" w:rsidRPr="00351DC7">
        <w:rPr>
          <w:rFonts w:ascii="Arial" w:hAnsi="Arial" w:cs="Arial"/>
          <w:sz w:val="24"/>
          <w:szCs w:val="24"/>
        </w:rPr>
        <w:t>‘a power generation activity which alters the flow regime of a water resource’</w:t>
      </w:r>
      <w:r w:rsidR="00F74C9D" w:rsidRPr="00351DC7">
        <w:rPr>
          <w:rFonts w:ascii="Arial" w:hAnsi="Arial" w:cs="Arial"/>
          <w:sz w:val="24"/>
          <w:szCs w:val="24"/>
        </w:rPr>
        <w:t>.</w:t>
      </w:r>
      <w:r w:rsidR="00C97F8C" w:rsidRPr="00351DC7">
        <w:rPr>
          <w:rStyle w:val="FootnoteReference"/>
          <w:rFonts w:ascii="Arial" w:hAnsi="Arial" w:cs="Arial"/>
          <w:sz w:val="24"/>
          <w:szCs w:val="24"/>
        </w:rPr>
        <w:footnoteReference w:id="10"/>
      </w:r>
    </w:p>
    <w:p w14:paraId="1DA1B5DD" w14:textId="7BDFB851" w:rsidR="00466FEA" w:rsidRPr="00351DC7" w:rsidRDefault="00466FEA">
      <w:pPr>
        <w:shd w:val="clear" w:color="auto" w:fill="FFFFFF"/>
        <w:spacing w:before="144" w:after="120" w:line="360" w:lineRule="auto"/>
        <w:contextualSpacing/>
        <w:jc w:val="both"/>
        <w:rPr>
          <w:rFonts w:ascii="Arial" w:hAnsi="Arial" w:cs="Arial"/>
          <w:sz w:val="24"/>
          <w:szCs w:val="24"/>
        </w:rPr>
      </w:pPr>
    </w:p>
    <w:p w14:paraId="6F93B9F7" w14:textId="457AE4BA" w:rsidR="00AE2EE2"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[30]</w:t>
      </w:r>
      <w:r w:rsidRPr="00351DC7">
        <w:rPr>
          <w:rFonts w:ascii="Arial" w:hAnsi="Arial" w:cs="Arial"/>
          <w:color w:val="000000"/>
          <w:sz w:val="24"/>
          <w:szCs w:val="24"/>
        </w:rPr>
        <w:tab/>
      </w:r>
      <w:r w:rsidR="00820C9D" w:rsidRPr="00351DC7">
        <w:rPr>
          <w:rFonts w:ascii="Arial" w:hAnsi="Arial" w:cs="Arial"/>
          <w:sz w:val="24"/>
          <w:szCs w:val="24"/>
        </w:rPr>
        <w:t xml:space="preserve">To recap, </w:t>
      </w:r>
      <w:r w:rsidR="0031154F" w:rsidRPr="00351DC7">
        <w:rPr>
          <w:rFonts w:ascii="Arial" w:hAnsi="Arial" w:cs="Arial"/>
          <w:sz w:val="24"/>
          <w:szCs w:val="24"/>
        </w:rPr>
        <w:t>Mogale City</w:t>
      </w:r>
      <w:r w:rsidR="00820C9D" w:rsidRPr="00351DC7">
        <w:rPr>
          <w:rFonts w:ascii="Arial" w:hAnsi="Arial" w:cs="Arial"/>
          <w:sz w:val="24"/>
          <w:szCs w:val="24"/>
        </w:rPr>
        <w:t xml:space="preserve"> was ordered</w:t>
      </w:r>
      <w:r w:rsidR="000B3B80" w:rsidRPr="00351DC7">
        <w:rPr>
          <w:rFonts w:ascii="Arial" w:hAnsi="Arial" w:cs="Arial"/>
          <w:sz w:val="24"/>
          <w:szCs w:val="24"/>
        </w:rPr>
        <w:t xml:space="preserve"> by the High Court</w:t>
      </w:r>
      <w:r w:rsidR="0031154F" w:rsidRPr="00351DC7">
        <w:rPr>
          <w:rFonts w:ascii="Arial" w:hAnsi="Arial" w:cs="Arial"/>
          <w:sz w:val="24"/>
          <w:szCs w:val="24"/>
        </w:rPr>
        <w:t xml:space="preserve"> </w:t>
      </w:r>
      <w:r w:rsidR="007D079E" w:rsidRPr="00351DC7">
        <w:rPr>
          <w:rFonts w:ascii="Arial" w:hAnsi="Arial" w:cs="Arial"/>
          <w:sz w:val="24"/>
          <w:szCs w:val="24"/>
        </w:rPr>
        <w:t xml:space="preserve">to: (a) insert gabions into the riverbed and embankment, and (b) moderate the quantity, volume and flow of the water in the river through attenuation dams and culverts. To implement </w:t>
      </w:r>
      <w:r w:rsidR="00FF630F" w:rsidRPr="00351DC7">
        <w:rPr>
          <w:rFonts w:ascii="Arial" w:hAnsi="Arial" w:cs="Arial"/>
          <w:sz w:val="24"/>
          <w:szCs w:val="24"/>
        </w:rPr>
        <w:t>the</w:t>
      </w:r>
      <w:r w:rsidR="007D079E" w:rsidRPr="00351DC7">
        <w:rPr>
          <w:rFonts w:ascii="Arial" w:hAnsi="Arial" w:cs="Arial"/>
          <w:sz w:val="24"/>
          <w:szCs w:val="24"/>
        </w:rPr>
        <w:t>s</w:t>
      </w:r>
      <w:r w:rsidR="00FF630F" w:rsidRPr="00351DC7">
        <w:rPr>
          <w:rFonts w:ascii="Arial" w:hAnsi="Arial" w:cs="Arial"/>
          <w:sz w:val="24"/>
          <w:szCs w:val="24"/>
        </w:rPr>
        <w:t>e</w:t>
      </w:r>
      <w:r w:rsidR="007D079E" w:rsidRPr="00351DC7">
        <w:rPr>
          <w:rFonts w:ascii="Arial" w:hAnsi="Arial" w:cs="Arial"/>
          <w:sz w:val="24"/>
          <w:szCs w:val="24"/>
        </w:rPr>
        <w:t xml:space="preserve">, </w:t>
      </w:r>
      <w:r w:rsidR="00AE2EE2" w:rsidRPr="00351DC7">
        <w:rPr>
          <w:rFonts w:ascii="Arial" w:hAnsi="Arial" w:cs="Arial"/>
          <w:sz w:val="24"/>
          <w:szCs w:val="24"/>
        </w:rPr>
        <w:t xml:space="preserve">Mogale City </w:t>
      </w:r>
      <w:r w:rsidR="007D079E" w:rsidRPr="00351DC7">
        <w:rPr>
          <w:rFonts w:ascii="Arial" w:hAnsi="Arial" w:cs="Arial"/>
          <w:sz w:val="24"/>
          <w:szCs w:val="24"/>
        </w:rPr>
        <w:t xml:space="preserve">would be required, </w:t>
      </w:r>
      <w:r w:rsidR="00AE2EE2" w:rsidRPr="00351DC7">
        <w:rPr>
          <w:rFonts w:ascii="Arial" w:hAnsi="Arial" w:cs="Arial"/>
          <w:sz w:val="24"/>
          <w:szCs w:val="24"/>
        </w:rPr>
        <w:t>among others, to: (a) impede or divert the flow of water in a watercourse; (b) engage in a stream flow reduction activity; (c) alter the bed, banks, course or characteristics of a watercourse; (d) engage in a stream flow reduction activity and (e) en</w:t>
      </w:r>
      <w:r w:rsidR="00111C30" w:rsidRPr="00351DC7">
        <w:rPr>
          <w:rFonts w:ascii="Arial" w:hAnsi="Arial" w:cs="Arial"/>
          <w:sz w:val="24"/>
          <w:szCs w:val="24"/>
        </w:rPr>
        <w:t xml:space="preserve">gage in an </w:t>
      </w:r>
      <w:r w:rsidR="00AE2EE2" w:rsidRPr="00351DC7">
        <w:rPr>
          <w:rFonts w:ascii="Arial" w:hAnsi="Arial" w:cs="Arial"/>
          <w:sz w:val="24"/>
          <w:szCs w:val="24"/>
        </w:rPr>
        <w:t>activity which alters the flow regime of a water resource’</w:t>
      </w:r>
      <w:r w:rsidR="00F74C9D" w:rsidRPr="00351DC7">
        <w:rPr>
          <w:rFonts w:ascii="Arial" w:hAnsi="Arial" w:cs="Arial"/>
          <w:sz w:val="24"/>
          <w:szCs w:val="24"/>
        </w:rPr>
        <w:t>.</w:t>
      </w:r>
      <w:r w:rsidR="00111C30" w:rsidRPr="00351DC7">
        <w:rPr>
          <w:rFonts w:ascii="Arial" w:hAnsi="Arial" w:cs="Arial"/>
          <w:sz w:val="24"/>
          <w:szCs w:val="24"/>
        </w:rPr>
        <w:t xml:space="preserve"> This would violate each of the relevant </w:t>
      </w:r>
      <w:r w:rsidR="00217661" w:rsidRPr="00351DC7">
        <w:rPr>
          <w:rFonts w:ascii="Arial" w:hAnsi="Arial" w:cs="Arial"/>
          <w:sz w:val="24"/>
          <w:szCs w:val="24"/>
        </w:rPr>
        <w:t>provisions</w:t>
      </w:r>
      <w:r w:rsidR="00111C30" w:rsidRPr="00351DC7">
        <w:rPr>
          <w:rFonts w:ascii="Arial" w:hAnsi="Arial" w:cs="Arial"/>
          <w:sz w:val="24"/>
          <w:szCs w:val="24"/>
        </w:rPr>
        <w:t xml:space="preserve"> of</w:t>
      </w:r>
      <w:r w:rsidR="00820C9D" w:rsidRPr="00351DC7">
        <w:rPr>
          <w:rFonts w:ascii="Arial" w:hAnsi="Arial" w:cs="Arial"/>
          <w:sz w:val="24"/>
          <w:szCs w:val="24"/>
        </w:rPr>
        <w:t xml:space="preserve"> the Water Act referred to earlier</w:t>
      </w:r>
      <w:r w:rsidR="00FF1874" w:rsidRPr="00351DC7">
        <w:rPr>
          <w:rFonts w:ascii="Arial" w:hAnsi="Arial" w:cs="Arial"/>
          <w:sz w:val="24"/>
          <w:szCs w:val="24"/>
        </w:rPr>
        <w:t>, if done without the permission of the Minister. It is evident from a cursory survey of the relevant provisions of the Water Act that the involvement of the Department is, on the face of it, implicated.</w:t>
      </w:r>
    </w:p>
    <w:p w14:paraId="3B071909" w14:textId="77777777" w:rsidR="00AE2EE2" w:rsidRPr="00351DC7" w:rsidRDefault="00AE2EE2">
      <w:pPr>
        <w:shd w:val="clear" w:color="auto" w:fill="FFFFFF"/>
        <w:spacing w:before="144" w:after="120" w:line="360" w:lineRule="auto"/>
        <w:contextualSpacing/>
        <w:jc w:val="both"/>
        <w:rPr>
          <w:rFonts w:ascii="Arial" w:hAnsi="Arial" w:cs="Arial"/>
          <w:sz w:val="24"/>
          <w:szCs w:val="24"/>
        </w:rPr>
      </w:pPr>
    </w:p>
    <w:p w14:paraId="5CE9E226" w14:textId="5620DAE8" w:rsidR="00820C9D" w:rsidRPr="00351DC7" w:rsidRDefault="00186070" w:rsidP="00186070">
      <w:pPr>
        <w:shd w:val="clear" w:color="auto" w:fill="FFFFFF"/>
        <w:spacing w:before="144" w:after="120" w:line="360" w:lineRule="auto"/>
        <w:contextualSpacing/>
        <w:jc w:val="both"/>
        <w:rPr>
          <w:rFonts w:ascii="Arial" w:hAnsi="Arial" w:cs="Arial"/>
          <w:b/>
          <w:sz w:val="24"/>
          <w:szCs w:val="24"/>
        </w:rPr>
      </w:pPr>
      <w:r w:rsidRPr="00351DC7">
        <w:rPr>
          <w:rFonts w:ascii="Arial" w:hAnsi="Arial" w:cs="Arial"/>
          <w:color w:val="000000"/>
          <w:sz w:val="24"/>
          <w:szCs w:val="24"/>
        </w:rPr>
        <w:t>[31]</w:t>
      </w:r>
      <w:r w:rsidRPr="00351DC7">
        <w:rPr>
          <w:rFonts w:ascii="Arial" w:hAnsi="Arial" w:cs="Arial"/>
          <w:color w:val="000000"/>
          <w:sz w:val="24"/>
          <w:szCs w:val="24"/>
        </w:rPr>
        <w:tab/>
      </w:r>
      <w:r w:rsidR="00820C9D" w:rsidRPr="00351DC7">
        <w:rPr>
          <w:rFonts w:ascii="Arial" w:hAnsi="Arial" w:cs="Arial"/>
          <w:sz w:val="24"/>
          <w:szCs w:val="24"/>
        </w:rPr>
        <w:t xml:space="preserve">Because the </w:t>
      </w:r>
      <w:r w:rsidR="000B3B80" w:rsidRPr="00351DC7">
        <w:rPr>
          <w:rFonts w:ascii="Arial" w:hAnsi="Arial" w:cs="Arial"/>
          <w:sz w:val="24"/>
          <w:szCs w:val="24"/>
        </w:rPr>
        <w:t>H</w:t>
      </w:r>
      <w:r w:rsidR="00820C9D" w:rsidRPr="00351DC7">
        <w:rPr>
          <w:rFonts w:ascii="Arial" w:hAnsi="Arial" w:cs="Arial"/>
          <w:sz w:val="24"/>
          <w:szCs w:val="24"/>
        </w:rPr>
        <w:t xml:space="preserve">igh </w:t>
      </w:r>
      <w:r w:rsidR="000B3B80" w:rsidRPr="00351DC7">
        <w:rPr>
          <w:rFonts w:ascii="Arial" w:hAnsi="Arial" w:cs="Arial"/>
          <w:sz w:val="24"/>
          <w:szCs w:val="24"/>
        </w:rPr>
        <w:t>C</w:t>
      </w:r>
      <w:r w:rsidR="00820C9D" w:rsidRPr="00351DC7">
        <w:rPr>
          <w:rFonts w:ascii="Arial" w:hAnsi="Arial" w:cs="Arial"/>
          <w:sz w:val="24"/>
          <w:szCs w:val="24"/>
        </w:rPr>
        <w:t xml:space="preserve">ourt did not </w:t>
      </w:r>
      <w:r w:rsidR="00217661" w:rsidRPr="00351DC7">
        <w:rPr>
          <w:rFonts w:ascii="Arial" w:hAnsi="Arial" w:cs="Arial"/>
          <w:sz w:val="24"/>
          <w:szCs w:val="24"/>
        </w:rPr>
        <w:t>provide</w:t>
      </w:r>
      <w:r w:rsidR="00820C9D" w:rsidRPr="00351DC7">
        <w:rPr>
          <w:rFonts w:ascii="Arial" w:hAnsi="Arial" w:cs="Arial"/>
          <w:sz w:val="24"/>
          <w:szCs w:val="24"/>
        </w:rPr>
        <w:t xml:space="preserve"> any reasons for holding only Mogale City liable, to the exclusion of all other originally-cited respondents, we</w:t>
      </w:r>
      <w:r w:rsidR="00403657" w:rsidRPr="00351DC7">
        <w:rPr>
          <w:rFonts w:ascii="Arial" w:hAnsi="Arial" w:cs="Arial"/>
          <w:sz w:val="24"/>
          <w:szCs w:val="24"/>
        </w:rPr>
        <w:t xml:space="preserve"> do not have</w:t>
      </w:r>
      <w:r w:rsidR="00820C9D" w:rsidRPr="00351DC7">
        <w:rPr>
          <w:rFonts w:ascii="Arial" w:hAnsi="Arial" w:cs="Arial"/>
          <w:sz w:val="24"/>
          <w:szCs w:val="24"/>
        </w:rPr>
        <w:t xml:space="preserve"> the benefit of </w:t>
      </w:r>
      <w:r w:rsidR="00FF1874" w:rsidRPr="00351DC7">
        <w:rPr>
          <w:rFonts w:ascii="Arial" w:hAnsi="Arial" w:cs="Arial"/>
          <w:sz w:val="24"/>
          <w:szCs w:val="24"/>
        </w:rPr>
        <w:t xml:space="preserve">its </w:t>
      </w:r>
      <w:r w:rsidR="00820C9D" w:rsidRPr="00351DC7">
        <w:rPr>
          <w:rFonts w:ascii="Arial" w:hAnsi="Arial" w:cs="Arial"/>
          <w:sz w:val="24"/>
          <w:szCs w:val="24"/>
        </w:rPr>
        <w:t>reasons for</w:t>
      </w:r>
      <w:r w:rsidR="00FF1874" w:rsidRPr="00351DC7">
        <w:rPr>
          <w:rFonts w:ascii="Arial" w:hAnsi="Arial" w:cs="Arial"/>
          <w:sz w:val="24"/>
          <w:szCs w:val="24"/>
        </w:rPr>
        <w:t xml:space="preserve"> that decision, and crucially, whether any of the originally-</w:t>
      </w:r>
      <w:r w:rsidR="00FF1874" w:rsidRPr="00351DC7">
        <w:rPr>
          <w:rFonts w:ascii="Arial" w:hAnsi="Arial" w:cs="Arial"/>
          <w:sz w:val="24"/>
          <w:szCs w:val="24"/>
        </w:rPr>
        <w:lastRenderedPageBreak/>
        <w:t xml:space="preserve">cited </w:t>
      </w:r>
      <w:r w:rsidR="00403657" w:rsidRPr="00351DC7">
        <w:rPr>
          <w:rFonts w:ascii="Arial" w:hAnsi="Arial" w:cs="Arial"/>
          <w:sz w:val="24"/>
          <w:szCs w:val="24"/>
        </w:rPr>
        <w:t xml:space="preserve">State entities had been </w:t>
      </w:r>
      <w:r w:rsidR="000B3B80" w:rsidRPr="00351DC7">
        <w:rPr>
          <w:rFonts w:ascii="Arial" w:hAnsi="Arial" w:cs="Arial"/>
          <w:sz w:val="24"/>
          <w:szCs w:val="24"/>
        </w:rPr>
        <w:t xml:space="preserve">formally </w:t>
      </w:r>
      <w:r w:rsidR="00403657" w:rsidRPr="00351DC7">
        <w:rPr>
          <w:rFonts w:ascii="Arial" w:hAnsi="Arial" w:cs="Arial"/>
          <w:sz w:val="24"/>
          <w:szCs w:val="24"/>
        </w:rPr>
        <w:t>absolved from liability. H</w:t>
      </w:r>
      <w:r w:rsidR="00FF1874" w:rsidRPr="00351DC7">
        <w:rPr>
          <w:rFonts w:ascii="Arial" w:hAnsi="Arial" w:cs="Arial"/>
          <w:sz w:val="24"/>
          <w:szCs w:val="24"/>
        </w:rPr>
        <w:t>owever</w:t>
      </w:r>
      <w:r w:rsidR="00403657" w:rsidRPr="00351DC7">
        <w:rPr>
          <w:rFonts w:ascii="Arial" w:hAnsi="Arial" w:cs="Arial"/>
          <w:sz w:val="24"/>
          <w:szCs w:val="24"/>
        </w:rPr>
        <w:t xml:space="preserve">, on </w:t>
      </w:r>
      <w:r w:rsidR="00217661" w:rsidRPr="00351DC7">
        <w:rPr>
          <w:rFonts w:ascii="Arial" w:hAnsi="Arial" w:cs="Arial"/>
          <w:sz w:val="24"/>
          <w:szCs w:val="24"/>
        </w:rPr>
        <w:t>a</w:t>
      </w:r>
      <w:r w:rsidR="00403657" w:rsidRPr="00351DC7">
        <w:rPr>
          <w:rFonts w:ascii="Arial" w:hAnsi="Arial" w:cs="Arial"/>
          <w:sz w:val="24"/>
          <w:szCs w:val="24"/>
        </w:rPr>
        <w:t xml:space="preserve"> reading of the judgment as a whole, </w:t>
      </w:r>
      <w:r w:rsidR="00987E0B" w:rsidRPr="00351DC7">
        <w:rPr>
          <w:rFonts w:ascii="Arial" w:hAnsi="Arial" w:cs="Arial"/>
          <w:sz w:val="24"/>
          <w:szCs w:val="24"/>
        </w:rPr>
        <w:t xml:space="preserve">the </w:t>
      </w:r>
      <w:r w:rsidR="00D0084F" w:rsidRPr="00351DC7">
        <w:rPr>
          <w:rFonts w:ascii="Arial" w:hAnsi="Arial" w:cs="Arial"/>
          <w:sz w:val="24"/>
          <w:szCs w:val="24"/>
        </w:rPr>
        <w:t>H</w:t>
      </w:r>
      <w:r w:rsidR="00987E0B" w:rsidRPr="00351DC7">
        <w:rPr>
          <w:rFonts w:ascii="Arial" w:hAnsi="Arial" w:cs="Arial"/>
          <w:sz w:val="24"/>
          <w:szCs w:val="24"/>
        </w:rPr>
        <w:t>igh</w:t>
      </w:r>
      <w:r w:rsidR="00745EEC" w:rsidRPr="00351DC7">
        <w:rPr>
          <w:rFonts w:ascii="Arial" w:hAnsi="Arial" w:cs="Arial"/>
          <w:sz w:val="24"/>
          <w:szCs w:val="24"/>
        </w:rPr>
        <w:t xml:space="preserve"> </w:t>
      </w:r>
      <w:r w:rsidR="00D0084F" w:rsidRPr="00351DC7">
        <w:rPr>
          <w:rFonts w:ascii="Arial" w:hAnsi="Arial" w:cs="Arial"/>
          <w:sz w:val="24"/>
          <w:szCs w:val="24"/>
        </w:rPr>
        <w:t>C</w:t>
      </w:r>
      <w:r w:rsidR="00987E0B" w:rsidRPr="00351DC7">
        <w:rPr>
          <w:rFonts w:ascii="Arial" w:hAnsi="Arial" w:cs="Arial"/>
          <w:sz w:val="24"/>
          <w:szCs w:val="24"/>
        </w:rPr>
        <w:t xml:space="preserve">ourt </w:t>
      </w:r>
      <w:r w:rsidR="00745EEC" w:rsidRPr="00351DC7">
        <w:rPr>
          <w:rFonts w:ascii="Arial" w:hAnsi="Arial" w:cs="Arial"/>
          <w:sz w:val="24"/>
          <w:szCs w:val="24"/>
        </w:rPr>
        <w:t xml:space="preserve">appears to have adopted the view </w:t>
      </w:r>
      <w:r w:rsidR="00DA574F" w:rsidRPr="00351DC7">
        <w:rPr>
          <w:rFonts w:ascii="Arial" w:hAnsi="Arial" w:cs="Arial"/>
          <w:sz w:val="24"/>
          <w:szCs w:val="24"/>
        </w:rPr>
        <w:t xml:space="preserve">that all spheres of government were responsible </w:t>
      </w:r>
      <w:r w:rsidR="00987E0B" w:rsidRPr="00351DC7">
        <w:rPr>
          <w:rFonts w:ascii="Arial" w:hAnsi="Arial" w:cs="Arial"/>
          <w:sz w:val="24"/>
          <w:szCs w:val="24"/>
        </w:rPr>
        <w:t>for ensuring</w:t>
      </w:r>
      <w:r w:rsidR="00DA574F" w:rsidRPr="00351DC7">
        <w:rPr>
          <w:rFonts w:ascii="Arial" w:hAnsi="Arial" w:cs="Arial"/>
          <w:sz w:val="24"/>
          <w:szCs w:val="24"/>
        </w:rPr>
        <w:t xml:space="preserve"> that damage to the Estate is arrested, and that remedial steps had to be undertaken by the relevant entities.</w:t>
      </w:r>
      <w:r w:rsidR="00DA574F" w:rsidRPr="00351DC7">
        <w:rPr>
          <w:rStyle w:val="FootnoteReference"/>
          <w:rFonts w:ascii="Arial" w:hAnsi="Arial" w:cs="Arial"/>
          <w:sz w:val="24"/>
          <w:szCs w:val="24"/>
        </w:rPr>
        <w:t xml:space="preserve"> </w:t>
      </w:r>
    </w:p>
    <w:p w14:paraId="617FBDAF" w14:textId="28926B07" w:rsidR="00466FEA" w:rsidRPr="00351DC7" w:rsidRDefault="00466FEA" w:rsidP="006738B3">
      <w:pPr>
        <w:shd w:val="clear" w:color="auto" w:fill="FFFFFF"/>
        <w:spacing w:before="144" w:after="120" w:line="360" w:lineRule="auto"/>
        <w:contextualSpacing/>
        <w:jc w:val="both"/>
        <w:rPr>
          <w:rFonts w:ascii="Arial" w:hAnsi="Arial" w:cs="Arial"/>
          <w:b/>
          <w:sz w:val="24"/>
          <w:szCs w:val="24"/>
        </w:rPr>
      </w:pPr>
    </w:p>
    <w:p w14:paraId="0B8E0B7E" w14:textId="00EB18BE" w:rsidR="00820C9D" w:rsidRPr="00351DC7" w:rsidRDefault="00186070" w:rsidP="00186070">
      <w:pPr>
        <w:shd w:val="clear" w:color="auto" w:fill="FFFFFF"/>
        <w:spacing w:before="144" w:after="120" w:line="360" w:lineRule="auto"/>
        <w:contextualSpacing/>
        <w:jc w:val="both"/>
        <w:rPr>
          <w:rFonts w:ascii="Arial" w:hAnsi="Arial" w:cs="Arial"/>
          <w:b/>
          <w:sz w:val="24"/>
          <w:szCs w:val="24"/>
        </w:rPr>
      </w:pPr>
      <w:r w:rsidRPr="00351DC7">
        <w:rPr>
          <w:rFonts w:ascii="Arial" w:hAnsi="Arial" w:cs="Arial"/>
          <w:color w:val="000000"/>
          <w:sz w:val="24"/>
          <w:szCs w:val="24"/>
        </w:rPr>
        <w:t>[32]</w:t>
      </w:r>
      <w:r w:rsidRPr="00351DC7">
        <w:rPr>
          <w:rFonts w:ascii="Arial" w:hAnsi="Arial" w:cs="Arial"/>
          <w:color w:val="000000"/>
          <w:sz w:val="24"/>
          <w:szCs w:val="24"/>
        </w:rPr>
        <w:tab/>
      </w:r>
      <w:r w:rsidR="00987E0B" w:rsidRPr="00351DC7">
        <w:rPr>
          <w:rFonts w:ascii="Arial" w:hAnsi="Arial" w:cs="Arial"/>
          <w:sz w:val="24"/>
          <w:szCs w:val="24"/>
        </w:rPr>
        <w:t>This is evident from the high court’s</w:t>
      </w:r>
      <w:r w:rsidR="00CE2131" w:rsidRPr="00351DC7">
        <w:rPr>
          <w:rFonts w:ascii="Arial" w:hAnsi="Arial" w:cs="Arial"/>
          <w:sz w:val="24"/>
          <w:szCs w:val="24"/>
        </w:rPr>
        <w:t xml:space="preserve"> findings that:</w:t>
      </w:r>
    </w:p>
    <w:p w14:paraId="3CDF0126" w14:textId="3066E972" w:rsidR="00CE2131" w:rsidRPr="00351DC7" w:rsidRDefault="00CE2131" w:rsidP="00CE2131">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 xml:space="preserve">(a) </w:t>
      </w:r>
      <w:r w:rsidR="00987E0B" w:rsidRPr="00351DC7">
        <w:rPr>
          <w:rFonts w:ascii="Arial" w:hAnsi="Arial" w:cs="Arial"/>
          <w:sz w:val="24"/>
          <w:szCs w:val="24"/>
        </w:rPr>
        <w:t>over</w:t>
      </w:r>
      <w:r w:rsidRPr="00351DC7">
        <w:rPr>
          <w:rFonts w:ascii="Arial" w:hAnsi="Arial" w:cs="Arial"/>
          <w:sz w:val="24"/>
          <w:szCs w:val="24"/>
        </w:rPr>
        <w:t xml:space="preserve"> t</w:t>
      </w:r>
      <w:r w:rsidR="00C468CE" w:rsidRPr="00351DC7">
        <w:rPr>
          <w:rFonts w:ascii="Arial" w:hAnsi="Arial" w:cs="Arial"/>
          <w:sz w:val="24"/>
          <w:szCs w:val="24"/>
        </w:rPr>
        <w:t>en years Featherbrooke</w:t>
      </w:r>
      <w:r w:rsidRPr="00351DC7">
        <w:rPr>
          <w:rFonts w:ascii="Arial" w:hAnsi="Arial" w:cs="Arial"/>
          <w:sz w:val="24"/>
          <w:szCs w:val="24"/>
        </w:rPr>
        <w:t xml:space="preserve"> had sought assistance from ‘state departments’ to remediate, mitigate and rehabilitate the river and protect state infrastructure alongside the river which causes threat to life and limb. </w:t>
      </w:r>
    </w:p>
    <w:p w14:paraId="523BD0E4" w14:textId="37569DE4" w:rsidR="00CE2131" w:rsidRPr="00351DC7" w:rsidRDefault="00CE2131" w:rsidP="00CE2131">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(b) No steps have been taken by any of the ‘relevant departments’ to remedy the situation, ‘except for the state departments to shift the blame from one department to one another’</w:t>
      </w:r>
      <w:r w:rsidR="00F74C9D" w:rsidRPr="00351DC7">
        <w:rPr>
          <w:rFonts w:ascii="Arial" w:hAnsi="Arial" w:cs="Arial"/>
          <w:sz w:val="24"/>
          <w:szCs w:val="24"/>
        </w:rPr>
        <w:t>.</w:t>
      </w:r>
      <w:r w:rsidRPr="00351DC7">
        <w:rPr>
          <w:rFonts w:ascii="Arial" w:hAnsi="Arial" w:cs="Arial"/>
          <w:sz w:val="24"/>
          <w:szCs w:val="24"/>
        </w:rPr>
        <w:t xml:space="preserve"> </w:t>
      </w:r>
    </w:p>
    <w:p w14:paraId="5BC99C9C" w14:textId="4D6C42BC" w:rsidR="00CE2131" w:rsidRPr="00351DC7" w:rsidRDefault="00CE2131" w:rsidP="00CE2131">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 xml:space="preserve">(c) Neither Mogale City, City of Johannesburg </w:t>
      </w:r>
      <w:r w:rsidR="00745EEC" w:rsidRPr="00351DC7">
        <w:rPr>
          <w:rFonts w:ascii="Arial" w:hAnsi="Arial" w:cs="Arial"/>
          <w:sz w:val="24"/>
          <w:szCs w:val="24"/>
        </w:rPr>
        <w:t>n</w:t>
      </w:r>
      <w:r w:rsidRPr="00351DC7">
        <w:rPr>
          <w:rFonts w:ascii="Arial" w:hAnsi="Arial" w:cs="Arial"/>
          <w:sz w:val="24"/>
          <w:szCs w:val="24"/>
        </w:rPr>
        <w:t xml:space="preserve">or the Minister have indicated if they had ‘acted in the discharge of </w:t>
      </w:r>
      <w:r w:rsidRPr="00351DC7">
        <w:rPr>
          <w:rFonts w:ascii="Arial" w:hAnsi="Arial" w:cs="Arial"/>
          <w:i/>
          <w:sz w:val="24"/>
          <w:szCs w:val="24"/>
        </w:rPr>
        <w:t xml:space="preserve">their </w:t>
      </w:r>
      <w:r w:rsidRPr="00351DC7">
        <w:rPr>
          <w:rFonts w:ascii="Arial" w:hAnsi="Arial" w:cs="Arial"/>
          <w:sz w:val="24"/>
          <w:szCs w:val="24"/>
        </w:rPr>
        <w:t>constitutional obligations or statutory obligations imposed on them; despite ‘the departments describing the s</w:t>
      </w:r>
      <w:r w:rsidR="00E225EB" w:rsidRPr="00351DC7">
        <w:rPr>
          <w:rFonts w:ascii="Arial" w:hAnsi="Arial" w:cs="Arial"/>
          <w:sz w:val="24"/>
          <w:szCs w:val="24"/>
        </w:rPr>
        <w:t>ituation faced by Featherbrooke</w:t>
      </w:r>
      <w:r w:rsidRPr="00351DC7">
        <w:rPr>
          <w:rFonts w:ascii="Arial" w:hAnsi="Arial" w:cs="Arial"/>
          <w:sz w:val="24"/>
          <w:szCs w:val="24"/>
        </w:rPr>
        <w:t xml:space="preserve"> as a “disaster” and “urgent”; </w:t>
      </w:r>
    </w:p>
    <w:p w14:paraId="6089E815" w14:textId="10848283" w:rsidR="00CE2131" w:rsidRPr="00351DC7" w:rsidRDefault="00CE2131" w:rsidP="00CE2131">
      <w:pPr>
        <w:shd w:val="clear" w:color="auto" w:fill="FFFFFF"/>
        <w:spacing w:before="144" w:after="120" w:line="360" w:lineRule="auto"/>
        <w:contextualSpacing/>
        <w:jc w:val="both"/>
        <w:rPr>
          <w:rFonts w:ascii="Arial" w:hAnsi="Arial" w:cs="Arial"/>
          <w:sz w:val="24"/>
          <w:szCs w:val="24"/>
        </w:rPr>
      </w:pPr>
      <w:r w:rsidRPr="00351DC7">
        <w:rPr>
          <w:rFonts w:ascii="Arial" w:hAnsi="Arial" w:cs="Arial"/>
          <w:sz w:val="24"/>
          <w:szCs w:val="24"/>
        </w:rPr>
        <w:t>(d) there seems to have been no cooperative management between Mogale City and City of Johannesburg to remedy the situation.</w:t>
      </w:r>
    </w:p>
    <w:p w14:paraId="25995E8C" w14:textId="77777777" w:rsidR="00CE2131" w:rsidRPr="00351DC7" w:rsidRDefault="00CE2131" w:rsidP="00CE2131">
      <w:pPr>
        <w:shd w:val="clear" w:color="auto" w:fill="FFFFFF"/>
        <w:spacing w:before="144" w:after="120" w:line="360" w:lineRule="auto"/>
        <w:contextualSpacing/>
        <w:jc w:val="both"/>
        <w:rPr>
          <w:rFonts w:ascii="Arial" w:hAnsi="Arial" w:cs="Arial"/>
          <w:sz w:val="24"/>
          <w:szCs w:val="24"/>
        </w:rPr>
      </w:pPr>
    </w:p>
    <w:p w14:paraId="4BE572D0" w14:textId="1807DE62" w:rsidR="00CE2131"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[33]</w:t>
      </w:r>
      <w:r w:rsidRPr="00351DC7">
        <w:rPr>
          <w:rFonts w:ascii="Arial" w:hAnsi="Arial" w:cs="Arial"/>
          <w:color w:val="000000"/>
          <w:sz w:val="24"/>
          <w:szCs w:val="24"/>
        </w:rPr>
        <w:tab/>
      </w:r>
      <w:r w:rsidR="00CE2131" w:rsidRPr="00351DC7">
        <w:rPr>
          <w:rFonts w:ascii="Arial" w:hAnsi="Arial" w:cs="Arial"/>
          <w:sz w:val="24"/>
          <w:szCs w:val="24"/>
        </w:rPr>
        <w:t xml:space="preserve">Finally, when it considered the requisites of an interim order, the </w:t>
      </w:r>
      <w:r w:rsidR="006C6A1D" w:rsidRPr="00351DC7">
        <w:rPr>
          <w:rFonts w:ascii="Arial" w:hAnsi="Arial" w:cs="Arial"/>
          <w:sz w:val="24"/>
          <w:szCs w:val="24"/>
        </w:rPr>
        <w:t>H</w:t>
      </w:r>
      <w:r w:rsidR="00CE2131" w:rsidRPr="00351DC7">
        <w:rPr>
          <w:rFonts w:ascii="Arial" w:hAnsi="Arial" w:cs="Arial"/>
          <w:sz w:val="24"/>
          <w:szCs w:val="24"/>
        </w:rPr>
        <w:t xml:space="preserve">igh </w:t>
      </w:r>
      <w:r w:rsidR="006C6A1D" w:rsidRPr="00351DC7">
        <w:rPr>
          <w:rFonts w:ascii="Arial" w:hAnsi="Arial" w:cs="Arial"/>
          <w:sz w:val="24"/>
          <w:szCs w:val="24"/>
        </w:rPr>
        <w:t>C</w:t>
      </w:r>
      <w:r w:rsidR="00CE2131" w:rsidRPr="00351DC7">
        <w:rPr>
          <w:rFonts w:ascii="Arial" w:hAnsi="Arial" w:cs="Arial"/>
          <w:sz w:val="24"/>
          <w:szCs w:val="24"/>
        </w:rPr>
        <w:t xml:space="preserve">ourt said the following: </w:t>
      </w:r>
    </w:p>
    <w:p w14:paraId="07CCF070" w14:textId="468F82ED" w:rsidR="00CE2131" w:rsidRPr="00351DC7" w:rsidRDefault="00EB379F" w:rsidP="006738B3">
      <w:pPr>
        <w:shd w:val="clear" w:color="auto" w:fill="FFFFFF"/>
        <w:spacing w:before="144" w:after="120" w:line="360" w:lineRule="auto"/>
        <w:contextualSpacing/>
        <w:jc w:val="both"/>
        <w:rPr>
          <w:rFonts w:ascii="Arial" w:hAnsi="Arial" w:cs="Arial"/>
          <w:sz w:val="24"/>
          <w:szCs w:val="24"/>
        </w:rPr>
      </w:pPr>
      <w:r w:rsidRPr="00351DC7">
        <w:rPr>
          <w:rFonts w:ascii="Arial" w:hAnsi="Arial" w:cs="Arial"/>
        </w:rPr>
        <w:t>‘[Featherbrooke</w:t>
      </w:r>
      <w:r w:rsidR="00CE2131" w:rsidRPr="00351DC7">
        <w:rPr>
          <w:rFonts w:ascii="Arial" w:hAnsi="Arial" w:cs="Arial"/>
        </w:rPr>
        <w:t xml:space="preserve">] has no other satisfactory remedy and the balance of convenience favours [it] to the extent that its constitutional rights should be protected which protection outweighs any inconvenience for </w:t>
      </w:r>
      <w:r w:rsidR="00CE2131" w:rsidRPr="00351DC7">
        <w:rPr>
          <w:rFonts w:ascii="Arial" w:hAnsi="Arial" w:cs="Arial"/>
          <w:i/>
        </w:rPr>
        <w:t>the respondents</w:t>
      </w:r>
      <w:r w:rsidR="00CE2131" w:rsidRPr="00351DC7">
        <w:rPr>
          <w:rFonts w:ascii="Arial" w:hAnsi="Arial" w:cs="Arial"/>
        </w:rPr>
        <w:t xml:space="preserve"> to find funds internally or externally to try and mitigate the risky condition of the river in question.’</w:t>
      </w:r>
      <w:r w:rsidR="00C468CE" w:rsidRPr="00351DC7">
        <w:rPr>
          <w:rFonts w:ascii="Arial" w:hAnsi="Arial" w:cs="Arial"/>
        </w:rPr>
        <w:t xml:space="preserve"> </w:t>
      </w:r>
      <w:r w:rsidR="00694BA3" w:rsidRPr="00351DC7">
        <w:rPr>
          <w:rFonts w:ascii="Arial" w:hAnsi="Arial" w:cs="Arial"/>
        </w:rPr>
        <w:t>(</w:t>
      </w:r>
      <w:r w:rsidR="004B407E" w:rsidRPr="00351DC7">
        <w:rPr>
          <w:rFonts w:ascii="Arial" w:hAnsi="Arial" w:cs="Arial"/>
        </w:rPr>
        <w:t>E</w:t>
      </w:r>
      <w:r w:rsidR="00694BA3" w:rsidRPr="00351DC7">
        <w:rPr>
          <w:rFonts w:ascii="Arial" w:hAnsi="Arial" w:cs="Arial"/>
        </w:rPr>
        <w:t xml:space="preserve">mphasis </w:t>
      </w:r>
      <w:r w:rsidR="00CE2131" w:rsidRPr="00351DC7">
        <w:rPr>
          <w:rFonts w:ascii="Arial" w:hAnsi="Arial" w:cs="Arial"/>
        </w:rPr>
        <w:t>added.)</w:t>
      </w:r>
      <w:r w:rsidR="004B407E" w:rsidRPr="00351DC7">
        <w:rPr>
          <w:rFonts w:ascii="Arial" w:hAnsi="Arial" w:cs="Arial"/>
        </w:rPr>
        <w:t>.</w:t>
      </w:r>
    </w:p>
    <w:p w14:paraId="6236CFDE" w14:textId="77777777" w:rsidR="00010674" w:rsidRPr="00351DC7" w:rsidRDefault="00010674" w:rsidP="006738B3">
      <w:pPr>
        <w:shd w:val="clear" w:color="auto" w:fill="FFFFFF"/>
        <w:spacing w:before="144" w:after="120" w:line="360" w:lineRule="auto"/>
        <w:contextualSpacing/>
        <w:jc w:val="both"/>
        <w:rPr>
          <w:rFonts w:ascii="Arial" w:hAnsi="Arial" w:cs="Arial"/>
          <w:sz w:val="24"/>
          <w:szCs w:val="24"/>
        </w:rPr>
      </w:pPr>
    </w:p>
    <w:p w14:paraId="10E865A0" w14:textId="3889C2ED" w:rsidR="006C6A1D" w:rsidRPr="00351DC7" w:rsidRDefault="00186070" w:rsidP="00186070">
      <w:pPr>
        <w:shd w:val="clear" w:color="auto" w:fill="FFFFFF"/>
        <w:spacing w:before="144" w:after="120" w:line="360" w:lineRule="auto"/>
        <w:contextualSpacing/>
        <w:jc w:val="both"/>
        <w:rPr>
          <w:sz w:val="24"/>
          <w:szCs w:val="24"/>
        </w:rPr>
      </w:pPr>
      <w:r w:rsidRPr="00351DC7">
        <w:rPr>
          <w:rFonts w:ascii="Arial" w:hAnsi="Arial" w:cs="Arial"/>
          <w:color w:val="000000"/>
          <w:sz w:val="24"/>
          <w:szCs w:val="24"/>
        </w:rPr>
        <w:t>[34]</w:t>
      </w:r>
      <w:r w:rsidRPr="00351DC7">
        <w:rPr>
          <w:rFonts w:ascii="Arial" w:hAnsi="Arial" w:cs="Arial"/>
          <w:color w:val="000000"/>
          <w:sz w:val="24"/>
          <w:szCs w:val="24"/>
        </w:rPr>
        <w:tab/>
      </w:r>
      <w:r w:rsidR="00CE2131" w:rsidRPr="00351DC7">
        <w:rPr>
          <w:rFonts w:ascii="Arial" w:hAnsi="Arial" w:cs="Arial"/>
          <w:sz w:val="24"/>
          <w:szCs w:val="24"/>
        </w:rPr>
        <w:t xml:space="preserve">Given these findings, the </w:t>
      </w:r>
      <w:r w:rsidR="000B3B80" w:rsidRPr="00351DC7">
        <w:rPr>
          <w:rFonts w:ascii="Arial" w:hAnsi="Arial" w:cs="Arial"/>
          <w:sz w:val="24"/>
          <w:szCs w:val="24"/>
        </w:rPr>
        <w:t>H</w:t>
      </w:r>
      <w:r w:rsidR="00CE2131" w:rsidRPr="00351DC7">
        <w:rPr>
          <w:rFonts w:ascii="Arial" w:hAnsi="Arial" w:cs="Arial"/>
          <w:sz w:val="24"/>
          <w:szCs w:val="24"/>
        </w:rPr>
        <w:t xml:space="preserve">igh </w:t>
      </w:r>
      <w:r w:rsidR="000B3B80" w:rsidRPr="00351DC7">
        <w:rPr>
          <w:rFonts w:ascii="Arial" w:hAnsi="Arial" w:cs="Arial"/>
          <w:sz w:val="24"/>
          <w:szCs w:val="24"/>
        </w:rPr>
        <w:t>C</w:t>
      </w:r>
      <w:r w:rsidR="00CE2131" w:rsidRPr="00351DC7">
        <w:rPr>
          <w:rFonts w:ascii="Arial" w:hAnsi="Arial" w:cs="Arial"/>
          <w:sz w:val="24"/>
          <w:szCs w:val="24"/>
        </w:rPr>
        <w:t>ourt’s decision to order only Mogale City to effect remedial work,</w:t>
      </w:r>
      <w:r w:rsidR="000B3B80" w:rsidRPr="00351DC7">
        <w:rPr>
          <w:rFonts w:ascii="Arial" w:hAnsi="Arial" w:cs="Arial"/>
          <w:sz w:val="24"/>
          <w:szCs w:val="24"/>
        </w:rPr>
        <w:t xml:space="preserve"> despite the court’s above-mentioned findings that the State-entities were all liable, </w:t>
      </w:r>
      <w:r w:rsidR="00CE2131" w:rsidRPr="00351DC7">
        <w:rPr>
          <w:rFonts w:ascii="Arial" w:hAnsi="Arial" w:cs="Arial"/>
          <w:sz w:val="24"/>
          <w:szCs w:val="24"/>
        </w:rPr>
        <w:t>is baffling</w:t>
      </w:r>
      <w:r w:rsidR="006C6A1D" w:rsidRPr="00351DC7">
        <w:rPr>
          <w:rFonts w:ascii="Arial" w:hAnsi="Arial" w:cs="Arial"/>
          <w:sz w:val="24"/>
          <w:szCs w:val="24"/>
        </w:rPr>
        <w:t>ly inchoate, to say the least.</w:t>
      </w:r>
      <w:r w:rsidR="00CE2131" w:rsidRPr="00351DC7">
        <w:rPr>
          <w:rFonts w:ascii="Arial" w:hAnsi="Arial" w:cs="Arial"/>
          <w:sz w:val="24"/>
          <w:szCs w:val="24"/>
        </w:rPr>
        <w:t xml:space="preserve"> </w:t>
      </w:r>
    </w:p>
    <w:p w14:paraId="324C1C15" w14:textId="77777777" w:rsidR="006C6A1D" w:rsidRPr="00351DC7" w:rsidRDefault="006C6A1D" w:rsidP="006C6A1D">
      <w:pPr>
        <w:shd w:val="clear" w:color="auto" w:fill="FFFFFF"/>
        <w:spacing w:before="144" w:after="120" w:line="360" w:lineRule="auto"/>
        <w:contextualSpacing/>
        <w:jc w:val="both"/>
        <w:rPr>
          <w:sz w:val="24"/>
          <w:szCs w:val="24"/>
        </w:rPr>
      </w:pPr>
    </w:p>
    <w:p w14:paraId="24679811" w14:textId="550B9617" w:rsidR="00431626" w:rsidRPr="00351DC7" w:rsidRDefault="00186070" w:rsidP="00186070">
      <w:pPr>
        <w:shd w:val="clear" w:color="auto" w:fill="FFFFFF"/>
        <w:spacing w:before="144" w:after="120" w:line="360" w:lineRule="auto"/>
        <w:contextualSpacing/>
        <w:jc w:val="both"/>
        <w:rPr>
          <w:sz w:val="24"/>
          <w:szCs w:val="24"/>
        </w:rPr>
      </w:pPr>
      <w:r w:rsidRPr="00351DC7">
        <w:rPr>
          <w:rFonts w:ascii="Arial" w:hAnsi="Arial" w:cs="Arial"/>
          <w:color w:val="000000"/>
          <w:sz w:val="24"/>
          <w:szCs w:val="24"/>
        </w:rPr>
        <w:t>[35]</w:t>
      </w:r>
      <w:r w:rsidRPr="00351DC7">
        <w:rPr>
          <w:rFonts w:ascii="Arial" w:hAnsi="Arial" w:cs="Arial"/>
          <w:color w:val="000000"/>
          <w:sz w:val="24"/>
          <w:szCs w:val="24"/>
        </w:rPr>
        <w:tab/>
      </w:r>
      <w:r w:rsidR="006C6A1D" w:rsidRPr="00351DC7">
        <w:rPr>
          <w:rFonts w:ascii="Arial" w:hAnsi="Arial" w:cs="Arial"/>
          <w:sz w:val="24"/>
          <w:szCs w:val="24"/>
        </w:rPr>
        <w:t>Besides</w:t>
      </w:r>
      <w:r w:rsidR="00A3107A" w:rsidRPr="00351DC7">
        <w:rPr>
          <w:rFonts w:ascii="Arial" w:hAnsi="Arial" w:cs="Arial"/>
          <w:sz w:val="24"/>
          <w:szCs w:val="24"/>
        </w:rPr>
        <w:t>,</w:t>
      </w:r>
      <w:r w:rsidR="00987E0B" w:rsidRPr="00351DC7">
        <w:rPr>
          <w:rFonts w:ascii="Arial" w:hAnsi="Arial" w:cs="Arial"/>
          <w:sz w:val="24"/>
          <w:szCs w:val="24"/>
        </w:rPr>
        <w:t xml:space="preserve"> this has had a</w:t>
      </w:r>
      <w:r w:rsidR="006C6A1D" w:rsidRPr="00351DC7">
        <w:rPr>
          <w:rFonts w:ascii="Arial" w:hAnsi="Arial" w:cs="Arial"/>
          <w:sz w:val="24"/>
          <w:szCs w:val="24"/>
        </w:rPr>
        <w:t xml:space="preserve"> negative</w:t>
      </w:r>
      <w:r w:rsidR="001939B5" w:rsidRPr="00351DC7">
        <w:rPr>
          <w:rFonts w:ascii="Arial" w:hAnsi="Arial" w:cs="Arial"/>
          <w:sz w:val="24"/>
          <w:szCs w:val="24"/>
        </w:rPr>
        <w:t xml:space="preserve"> practical</w:t>
      </w:r>
      <w:r w:rsidR="00987E0B" w:rsidRPr="00351DC7">
        <w:rPr>
          <w:rFonts w:ascii="Arial" w:hAnsi="Arial" w:cs="Arial"/>
          <w:sz w:val="24"/>
          <w:szCs w:val="24"/>
        </w:rPr>
        <w:t xml:space="preserve"> impact</w:t>
      </w:r>
      <w:r w:rsidR="00C468CE" w:rsidRPr="00351DC7">
        <w:rPr>
          <w:rFonts w:ascii="Arial" w:hAnsi="Arial" w:cs="Arial"/>
          <w:sz w:val="24"/>
          <w:szCs w:val="24"/>
        </w:rPr>
        <w:t>,</w:t>
      </w:r>
      <w:r w:rsidR="001939B5" w:rsidRPr="00351DC7">
        <w:rPr>
          <w:rFonts w:ascii="Arial" w:hAnsi="Arial" w:cs="Arial"/>
          <w:sz w:val="24"/>
          <w:szCs w:val="24"/>
        </w:rPr>
        <w:t xml:space="preserve"> which is</w:t>
      </w:r>
      <w:r w:rsidR="00987E0B" w:rsidRPr="00351DC7">
        <w:rPr>
          <w:rFonts w:ascii="Arial" w:hAnsi="Arial" w:cs="Arial"/>
          <w:sz w:val="24"/>
          <w:szCs w:val="24"/>
        </w:rPr>
        <w:t xml:space="preserve"> two-fold. The first is </w:t>
      </w:r>
      <w:r w:rsidR="006C6A1D" w:rsidRPr="00351DC7">
        <w:rPr>
          <w:rFonts w:ascii="Arial" w:hAnsi="Arial" w:cs="Arial"/>
          <w:sz w:val="24"/>
          <w:szCs w:val="24"/>
        </w:rPr>
        <w:t xml:space="preserve">this. During the pre-litigation stage, there was no clarity as to which State entity, if any, was responsible for the much-needed remedial work. Featherbrooke had, as a result, carefully cast its net wide to include the relevant State entities. It asserted a case </w:t>
      </w:r>
      <w:r w:rsidR="006C6A1D" w:rsidRPr="00351DC7">
        <w:rPr>
          <w:rFonts w:ascii="Arial" w:hAnsi="Arial" w:cs="Arial"/>
          <w:sz w:val="24"/>
          <w:szCs w:val="24"/>
        </w:rPr>
        <w:lastRenderedPageBreak/>
        <w:t xml:space="preserve">against each one of them in the alternative. Thus, </w:t>
      </w:r>
      <w:r w:rsidR="00276A07" w:rsidRPr="00351DC7">
        <w:rPr>
          <w:rFonts w:ascii="Arial" w:hAnsi="Arial" w:cs="Arial"/>
          <w:sz w:val="24"/>
          <w:szCs w:val="24"/>
        </w:rPr>
        <w:t xml:space="preserve">Featherbrooke had delineated </w:t>
      </w:r>
      <w:r w:rsidR="006C6A1D" w:rsidRPr="00351DC7">
        <w:rPr>
          <w:rFonts w:ascii="Arial" w:hAnsi="Arial" w:cs="Arial"/>
          <w:sz w:val="24"/>
          <w:szCs w:val="24"/>
        </w:rPr>
        <w:t xml:space="preserve">a </w:t>
      </w:r>
      <w:r w:rsidR="006C6A1D" w:rsidRPr="00351DC7">
        <w:rPr>
          <w:rFonts w:ascii="Arial" w:hAnsi="Arial" w:cs="Arial"/>
          <w:i/>
          <w:sz w:val="24"/>
          <w:szCs w:val="24"/>
        </w:rPr>
        <w:t>lis</w:t>
      </w:r>
      <w:r w:rsidR="006C6A1D" w:rsidRPr="00351DC7">
        <w:rPr>
          <w:rFonts w:ascii="Arial" w:hAnsi="Arial" w:cs="Arial"/>
          <w:sz w:val="24"/>
          <w:szCs w:val="24"/>
        </w:rPr>
        <w:t xml:space="preserve"> between it and each of the originally</w:t>
      </w:r>
      <w:r w:rsidR="00603162" w:rsidRPr="00351DC7">
        <w:rPr>
          <w:rFonts w:ascii="Arial" w:hAnsi="Arial" w:cs="Arial"/>
          <w:sz w:val="24"/>
          <w:szCs w:val="24"/>
        </w:rPr>
        <w:t xml:space="preserve"> </w:t>
      </w:r>
      <w:r w:rsidR="006C6A1D" w:rsidRPr="00351DC7">
        <w:rPr>
          <w:rFonts w:ascii="Arial" w:hAnsi="Arial" w:cs="Arial"/>
          <w:sz w:val="24"/>
          <w:szCs w:val="24"/>
        </w:rPr>
        <w:t xml:space="preserve">cited State entities. The High Court was therefore obliged to resolve </w:t>
      </w:r>
      <w:r w:rsidR="00276A07" w:rsidRPr="00351DC7">
        <w:rPr>
          <w:rFonts w:ascii="Arial" w:hAnsi="Arial" w:cs="Arial"/>
          <w:sz w:val="24"/>
          <w:szCs w:val="24"/>
        </w:rPr>
        <w:t xml:space="preserve">it </w:t>
      </w:r>
      <w:r w:rsidR="006C6A1D" w:rsidRPr="00351DC7">
        <w:rPr>
          <w:rFonts w:ascii="Arial" w:hAnsi="Arial" w:cs="Arial"/>
          <w:sz w:val="24"/>
          <w:szCs w:val="24"/>
        </w:rPr>
        <w:t xml:space="preserve">in respect of each of the State entities. </w:t>
      </w:r>
    </w:p>
    <w:p w14:paraId="1E16B688" w14:textId="77777777" w:rsidR="00431626" w:rsidRPr="00351DC7" w:rsidRDefault="00431626" w:rsidP="00431626">
      <w:pPr>
        <w:pStyle w:val="ListParagraph"/>
        <w:rPr>
          <w:rFonts w:ascii="Arial" w:hAnsi="Arial" w:cs="Arial"/>
          <w:sz w:val="24"/>
          <w:szCs w:val="24"/>
        </w:rPr>
      </w:pPr>
    </w:p>
    <w:p w14:paraId="663A3395" w14:textId="3F73B5A0" w:rsidR="00987E0B" w:rsidRPr="00351DC7" w:rsidRDefault="00186070" w:rsidP="00186070">
      <w:pPr>
        <w:shd w:val="clear" w:color="auto" w:fill="FFFFFF"/>
        <w:spacing w:before="144" w:after="120" w:line="360" w:lineRule="auto"/>
        <w:contextualSpacing/>
        <w:jc w:val="both"/>
        <w:rPr>
          <w:sz w:val="24"/>
          <w:szCs w:val="24"/>
        </w:rPr>
      </w:pPr>
      <w:r w:rsidRPr="00351DC7">
        <w:rPr>
          <w:rFonts w:ascii="Arial" w:hAnsi="Arial" w:cs="Arial"/>
          <w:color w:val="000000"/>
          <w:sz w:val="24"/>
          <w:szCs w:val="24"/>
        </w:rPr>
        <w:t>[36]</w:t>
      </w:r>
      <w:r w:rsidRPr="00351DC7">
        <w:rPr>
          <w:rFonts w:ascii="Arial" w:hAnsi="Arial" w:cs="Arial"/>
          <w:color w:val="000000"/>
          <w:sz w:val="24"/>
          <w:szCs w:val="24"/>
        </w:rPr>
        <w:tab/>
      </w:r>
      <w:r w:rsidR="006C6A1D" w:rsidRPr="00351DC7">
        <w:rPr>
          <w:rFonts w:ascii="Arial" w:hAnsi="Arial" w:cs="Arial"/>
          <w:sz w:val="24"/>
          <w:szCs w:val="24"/>
        </w:rPr>
        <w:t xml:space="preserve">Its failure </w:t>
      </w:r>
      <w:r w:rsidR="00276A07" w:rsidRPr="00351DC7">
        <w:rPr>
          <w:rFonts w:ascii="Arial" w:hAnsi="Arial" w:cs="Arial"/>
          <w:sz w:val="24"/>
          <w:szCs w:val="24"/>
        </w:rPr>
        <w:t xml:space="preserve">to do so </w:t>
      </w:r>
      <w:r w:rsidR="006C6A1D" w:rsidRPr="00351DC7">
        <w:rPr>
          <w:rFonts w:ascii="Arial" w:hAnsi="Arial" w:cs="Arial"/>
          <w:sz w:val="24"/>
          <w:szCs w:val="24"/>
        </w:rPr>
        <w:t xml:space="preserve">impacted </w:t>
      </w:r>
      <w:r w:rsidR="00C430F8" w:rsidRPr="00351DC7">
        <w:rPr>
          <w:rFonts w:ascii="Arial" w:hAnsi="Arial" w:cs="Arial"/>
          <w:sz w:val="24"/>
          <w:szCs w:val="24"/>
        </w:rPr>
        <w:t xml:space="preserve">on </w:t>
      </w:r>
      <w:r w:rsidR="006C6A1D" w:rsidRPr="00351DC7">
        <w:rPr>
          <w:rFonts w:ascii="Arial" w:hAnsi="Arial" w:cs="Arial"/>
          <w:sz w:val="24"/>
          <w:szCs w:val="24"/>
        </w:rPr>
        <w:t>how Featherbrooke prosecuted and argued the appeal, both before the Full Court and in this Court. In the High Court it attributed liability to do remedial work on the originally</w:t>
      </w:r>
      <w:r w:rsidR="00603162" w:rsidRPr="00351DC7">
        <w:rPr>
          <w:rFonts w:ascii="Arial" w:hAnsi="Arial" w:cs="Arial"/>
          <w:sz w:val="24"/>
          <w:szCs w:val="24"/>
        </w:rPr>
        <w:t xml:space="preserve"> </w:t>
      </w:r>
      <w:r w:rsidR="006C6A1D" w:rsidRPr="00351DC7">
        <w:rPr>
          <w:rFonts w:ascii="Arial" w:hAnsi="Arial" w:cs="Arial"/>
          <w:sz w:val="24"/>
          <w:szCs w:val="24"/>
        </w:rPr>
        <w:t>cited State entities jointly and severally,</w:t>
      </w:r>
      <w:r w:rsidR="00C430F8" w:rsidRPr="00351DC7">
        <w:rPr>
          <w:rFonts w:ascii="Arial" w:hAnsi="Arial" w:cs="Arial"/>
          <w:sz w:val="24"/>
          <w:szCs w:val="24"/>
        </w:rPr>
        <w:t xml:space="preserve"> and</w:t>
      </w:r>
      <w:r w:rsidR="006C6A1D" w:rsidRPr="00351DC7">
        <w:rPr>
          <w:rFonts w:ascii="Arial" w:hAnsi="Arial" w:cs="Arial"/>
          <w:sz w:val="24"/>
          <w:szCs w:val="24"/>
        </w:rPr>
        <w:t xml:space="preserve"> in the alternative. In this Court, because of the order of the High Court, it was constrained to look only to Mogale City. By limiting the remedial work only to Mogale City, the </w:t>
      </w:r>
      <w:r w:rsidR="00603162" w:rsidRPr="00351DC7">
        <w:rPr>
          <w:rFonts w:ascii="Arial" w:hAnsi="Arial" w:cs="Arial"/>
          <w:sz w:val="24"/>
          <w:szCs w:val="24"/>
        </w:rPr>
        <w:t>H</w:t>
      </w:r>
      <w:r w:rsidR="006C6A1D" w:rsidRPr="00351DC7">
        <w:rPr>
          <w:rFonts w:ascii="Arial" w:hAnsi="Arial" w:cs="Arial"/>
          <w:sz w:val="24"/>
          <w:szCs w:val="24"/>
        </w:rPr>
        <w:t xml:space="preserve">igh </w:t>
      </w:r>
      <w:r w:rsidR="00603162" w:rsidRPr="00351DC7">
        <w:rPr>
          <w:rFonts w:ascii="Arial" w:hAnsi="Arial" w:cs="Arial"/>
          <w:sz w:val="24"/>
          <w:szCs w:val="24"/>
        </w:rPr>
        <w:t>C</w:t>
      </w:r>
      <w:r w:rsidR="006C6A1D" w:rsidRPr="00351DC7">
        <w:rPr>
          <w:rFonts w:ascii="Arial" w:hAnsi="Arial" w:cs="Arial"/>
          <w:sz w:val="24"/>
          <w:szCs w:val="24"/>
        </w:rPr>
        <w:t xml:space="preserve">ourt had, without any explanation, denuded </w:t>
      </w:r>
      <w:r w:rsidR="00D0084F" w:rsidRPr="00351DC7">
        <w:rPr>
          <w:rFonts w:ascii="Arial" w:hAnsi="Arial" w:cs="Arial"/>
          <w:sz w:val="24"/>
          <w:szCs w:val="24"/>
        </w:rPr>
        <w:t xml:space="preserve">and emasculated </w:t>
      </w:r>
      <w:r w:rsidR="006C6A1D" w:rsidRPr="00351DC7">
        <w:rPr>
          <w:rFonts w:ascii="Arial" w:hAnsi="Arial" w:cs="Arial"/>
          <w:sz w:val="24"/>
          <w:szCs w:val="24"/>
        </w:rPr>
        <w:t>the remedy sought by Featherbrooke from it.</w:t>
      </w:r>
    </w:p>
    <w:p w14:paraId="3003FDA0" w14:textId="77777777" w:rsidR="00745EEC" w:rsidRPr="00351DC7" w:rsidRDefault="00745EEC" w:rsidP="00431626">
      <w:pPr>
        <w:shd w:val="clear" w:color="auto" w:fill="FFFFFF"/>
        <w:spacing w:before="144" w:after="120" w:line="360" w:lineRule="auto"/>
        <w:contextualSpacing/>
        <w:jc w:val="both"/>
        <w:rPr>
          <w:sz w:val="24"/>
          <w:szCs w:val="24"/>
        </w:rPr>
      </w:pPr>
    </w:p>
    <w:p w14:paraId="1322EE51" w14:textId="0126901F" w:rsidR="00010674"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[37]</w:t>
      </w:r>
      <w:r w:rsidRPr="00351DC7">
        <w:rPr>
          <w:rFonts w:ascii="Arial" w:hAnsi="Arial" w:cs="Arial"/>
          <w:color w:val="000000"/>
          <w:sz w:val="24"/>
          <w:szCs w:val="24"/>
        </w:rPr>
        <w:tab/>
      </w:r>
      <w:r w:rsidR="001939B5" w:rsidRPr="00351DC7">
        <w:rPr>
          <w:rFonts w:ascii="Arial" w:hAnsi="Arial" w:cs="Arial"/>
          <w:sz w:val="24"/>
          <w:szCs w:val="24"/>
        </w:rPr>
        <w:t>Second, the order lacks clarity</w:t>
      </w:r>
      <w:r w:rsidR="00EB379F" w:rsidRPr="00351DC7">
        <w:rPr>
          <w:rFonts w:ascii="Arial" w:hAnsi="Arial" w:cs="Arial"/>
          <w:sz w:val="24"/>
          <w:szCs w:val="24"/>
        </w:rPr>
        <w:t xml:space="preserve"> to the extent that Mogale City is expected to do things that only the Department can authorise </w:t>
      </w:r>
      <w:r w:rsidR="00276A07" w:rsidRPr="00351DC7">
        <w:rPr>
          <w:rFonts w:ascii="Arial" w:hAnsi="Arial" w:cs="Arial"/>
          <w:sz w:val="24"/>
          <w:szCs w:val="24"/>
        </w:rPr>
        <w:t xml:space="preserve">it </w:t>
      </w:r>
      <w:r w:rsidR="00EB379F" w:rsidRPr="00351DC7">
        <w:rPr>
          <w:rFonts w:ascii="Arial" w:hAnsi="Arial" w:cs="Arial"/>
          <w:sz w:val="24"/>
          <w:szCs w:val="24"/>
        </w:rPr>
        <w:t>to do.</w:t>
      </w:r>
      <w:r w:rsidR="001939B5" w:rsidRPr="00351DC7">
        <w:rPr>
          <w:rFonts w:ascii="Arial" w:hAnsi="Arial" w:cs="Arial"/>
          <w:sz w:val="24"/>
          <w:szCs w:val="24"/>
        </w:rPr>
        <w:t xml:space="preserve"> </w:t>
      </w:r>
      <w:r w:rsidR="00EB379F" w:rsidRPr="00351DC7">
        <w:rPr>
          <w:rFonts w:ascii="Arial" w:hAnsi="Arial" w:cs="Arial"/>
          <w:sz w:val="24"/>
          <w:szCs w:val="24"/>
        </w:rPr>
        <w:t xml:space="preserve">The </w:t>
      </w:r>
      <w:r w:rsidR="00276A07" w:rsidRPr="00351DC7">
        <w:rPr>
          <w:rFonts w:ascii="Arial" w:hAnsi="Arial" w:cs="Arial"/>
          <w:sz w:val="24"/>
          <w:szCs w:val="24"/>
        </w:rPr>
        <w:t>H</w:t>
      </w:r>
      <w:r w:rsidR="00EB379F" w:rsidRPr="00351DC7">
        <w:rPr>
          <w:rFonts w:ascii="Arial" w:hAnsi="Arial" w:cs="Arial"/>
          <w:sz w:val="24"/>
          <w:szCs w:val="24"/>
        </w:rPr>
        <w:t xml:space="preserve">igh </w:t>
      </w:r>
      <w:r w:rsidR="00276A07" w:rsidRPr="00351DC7">
        <w:rPr>
          <w:rFonts w:ascii="Arial" w:hAnsi="Arial" w:cs="Arial"/>
          <w:sz w:val="24"/>
          <w:szCs w:val="24"/>
        </w:rPr>
        <w:t>C</w:t>
      </w:r>
      <w:r w:rsidR="00EB379F" w:rsidRPr="00351DC7">
        <w:rPr>
          <w:rFonts w:ascii="Arial" w:hAnsi="Arial" w:cs="Arial"/>
          <w:sz w:val="24"/>
          <w:szCs w:val="24"/>
        </w:rPr>
        <w:t>ourt failed to give effect to the salutary injunction by t</w:t>
      </w:r>
      <w:r w:rsidR="001939B5" w:rsidRPr="00351DC7">
        <w:rPr>
          <w:rFonts w:ascii="Arial" w:hAnsi="Arial" w:cs="Arial"/>
          <w:sz w:val="24"/>
          <w:szCs w:val="24"/>
        </w:rPr>
        <w:t>he Co</w:t>
      </w:r>
      <w:r w:rsidR="00CE2131" w:rsidRPr="00351DC7">
        <w:rPr>
          <w:rFonts w:ascii="Arial" w:hAnsi="Arial" w:cs="Arial"/>
          <w:sz w:val="24"/>
          <w:szCs w:val="24"/>
        </w:rPr>
        <w:t xml:space="preserve">nstitutional Court </w:t>
      </w:r>
      <w:r w:rsidR="00EB379F" w:rsidRPr="00351DC7">
        <w:rPr>
          <w:rFonts w:ascii="Arial" w:hAnsi="Arial" w:cs="Arial"/>
          <w:sz w:val="24"/>
          <w:szCs w:val="24"/>
        </w:rPr>
        <w:t xml:space="preserve">in </w:t>
      </w:r>
      <w:r w:rsidR="00EB379F" w:rsidRPr="00351DC7">
        <w:rPr>
          <w:rFonts w:ascii="Arial" w:hAnsi="Arial" w:cs="Arial"/>
          <w:i/>
          <w:sz w:val="24"/>
          <w:szCs w:val="24"/>
        </w:rPr>
        <w:t>Eke v Parsons</w:t>
      </w:r>
      <w:r w:rsidR="00EB379F" w:rsidRPr="00351DC7">
        <w:rPr>
          <w:rStyle w:val="FootnoteReference"/>
          <w:rFonts w:ascii="Arial" w:hAnsi="Arial" w:cs="Arial"/>
          <w:b/>
          <w:bCs/>
          <w:sz w:val="24"/>
          <w:szCs w:val="24"/>
        </w:rPr>
        <w:footnoteReference w:id="11"/>
      </w:r>
      <w:r w:rsidR="00EB379F" w:rsidRPr="00351DC7">
        <w:rPr>
          <w:rFonts w:ascii="Arial" w:hAnsi="Arial" w:cs="Arial"/>
          <w:i/>
          <w:sz w:val="24"/>
          <w:szCs w:val="24"/>
        </w:rPr>
        <w:t xml:space="preserve"> </w:t>
      </w:r>
      <w:r w:rsidR="00CE2131" w:rsidRPr="00351DC7">
        <w:rPr>
          <w:rFonts w:ascii="Arial" w:hAnsi="Arial" w:cs="Arial"/>
          <w:sz w:val="24"/>
          <w:szCs w:val="24"/>
        </w:rPr>
        <w:t xml:space="preserve">that court orders must be framed in unambiguous terms and must be practical and enforceable. It must leave no doubt as to what the order requires to be done. </w:t>
      </w:r>
      <w:r w:rsidR="00010674" w:rsidRPr="00351DC7">
        <w:rPr>
          <w:rFonts w:ascii="Arial" w:hAnsi="Arial" w:cs="Arial"/>
          <w:sz w:val="24"/>
          <w:szCs w:val="24"/>
        </w:rPr>
        <w:t xml:space="preserve">That </w:t>
      </w:r>
      <w:r w:rsidR="00A3107A" w:rsidRPr="00351DC7">
        <w:rPr>
          <w:rFonts w:ascii="Arial" w:hAnsi="Arial" w:cs="Arial"/>
          <w:sz w:val="24"/>
          <w:szCs w:val="24"/>
        </w:rPr>
        <w:t>C</w:t>
      </w:r>
      <w:r w:rsidR="00010674" w:rsidRPr="00351DC7">
        <w:rPr>
          <w:rFonts w:ascii="Arial" w:hAnsi="Arial" w:cs="Arial"/>
          <w:sz w:val="24"/>
          <w:szCs w:val="24"/>
        </w:rPr>
        <w:t>ourt explained i</w:t>
      </w:r>
      <w:r w:rsidR="00A3107A" w:rsidRPr="00351DC7">
        <w:rPr>
          <w:rFonts w:ascii="Arial" w:hAnsi="Arial" w:cs="Arial"/>
          <w:sz w:val="24"/>
          <w:szCs w:val="24"/>
        </w:rPr>
        <w:t>t</w:t>
      </w:r>
      <w:r w:rsidR="00CE2131" w:rsidRPr="00351DC7">
        <w:rPr>
          <w:rFonts w:ascii="Arial" w:hAnsi="Arial" w:cs="Arial"/>
          <w:sz w:val="24"/>
          <w:szCs w:val="24"/>
        </w:rPr>
        <w:t xml:space="preserve"> </w:t>
      </w:r>
      <w:r w:rsidR="00010674" w:rsidRPr="00351DC7">
        <w:rPr>
          <w:rFonts w:ascii="Arial" w:hAnsi="Arial" w:cs="Arial"/>
          <w:sz w:val="24"/>
          <w:szCs w:val="24"/>
        </w:rPr>
        <w:t xml:space="preserve">as follows: </w:t>
      </w:r>
      <w:r w:rsidR="00CE2131" w:rsidRPr="00351DC7">
        <w:rPr>
          <w:rFonts w:ascii="Arial" w:hAnsi="Arial" w:cs="Arial"/>
          <w:sz w:val="24"/>
          <w:szCs w:val="24"/>
        </w:rPr>
        <w:t xml:space="preserve"> </w:t>
      </w:r>
    </w:p>
    <w:p w14:paraId="61134CDB" w14:textId="48FFBD7D" w:rsidR="00CE2131" w:rsidRPr="00351DC7" w:rsidRDefault="00CE2131" w:rsidP="006738B3">
      <w:pPr>
        <w:shd w:val="clear" w:color="auto" w:fill="FFFFFF"/>
        <w:spacing w:before="144" w:after="120" w:line="360" w:lineRule="auto"/>
        <w:contextualSpacing/>
        <w:jc w:val="both"/>
      </w:pPr>
      <w:r w:rsidRPr="00351DC7">
        <w:rPr>
          <w:rFonts w:ascii="Arial" w:hAnsi="Arial" w:cs="Arial"/>
        </w:rPr>
        <w:t xml:space="preserve">‘If an order is ambiguous, unenforceable, ineffective, inappropriate, or lacks the element of bringing finality to a matter or at least part of the case, </w:t>
      </w:r>
      <w:r w:rsidRPr="00351DC7">
        <w:rPr>
          <w:rFonts w:ascii="Arial" w:hAnsi="Arial" w:cs="Arial"/>
          <w:i/>
        </w:rPr>
        <w:t>it cannot be said that the court that granted it exercised its discretion properly.</w:t>
      </w:r>
      <w:r w:rsidRPr="00351DC7">
        <w:rPr>
          <w:rFonts w:ascii="Arial" w:hAnsi="Arial" w:cs="Arial"/>
        </w:rPr>
        <w:t xml:space="preserve"> It is a fundamental principle of our law that a court order must be effective and enforceable, and it must be formulated in language that leaves no doubt as to what the order requires to be done. The order may not be framed in a manner that affords the person to whom it applies, the discretion to comply or disregard it.’</w:t>
      </w:r>
      <w:r w:rsidRPr="00351DC7">
        <w:rPr>
          <w:rStyle w:val="FootnoteReference"/>
          <w:rFonts w:ascii="Arial" w:hAnsi="Arial" w:cs="Arial"/>
        </w:rPr>
        <w:footnoteReference w:id="12"/>
      </w:r>
      <w:r w:rsidRPr="00351DC7">
        <w:rPr>
          <w:rFonts w:ascii="Arial" w:hAnsi="Arial" w:cs="Arial"/>
        </w:rPr>
        <w:t xml:space="preserve"> (</w:t>
      </w:r>
      <w:r w:rsidR="000626B5" w:rsidRPr="00351DC7">
        <w:rPr>
          <w:rFonts w:ascii="Arial" w:hAnsi="Arial" w:cs="Arial"/>
        </w:rPr>
        <w:t>E</w:t>
      </w:r>
      <w:r w:rsidRPr="00351DC7">
        <w:rPr>
          <w:rFonts w:ascii="Arial" w:hAnsi="Arial" w:cs="Arial"/>
        </w:rPr>
        <w:t>mphasis added.)</w:t>
      </w:r>
    </w:p>
    <w:p w14:paraId="5637059F" w14:textId="5C30A86A" w:rsidR="00C3454F" w:rsidRPr="00351DC7" w:rsidRDefault="00C3454F" w:rsidP="006738B3">
      <w:pPr>
        <w:shd w:val="clear" w:color="auto" w:fill="FFFFFF"/>
        <w:spacing w:before="144" w:after="120" w:line="360" w:lineRule="auto"/>
        <w:contextualSpacing/>
        <w:jc w:val="both"/>
        <w:rPr>
          <w:rFonts w:ascii="Arial" w:hAnsi="Arial" w:cs="Arial"/>
          <w:b/>
          <w:sz w:val="24"/>
          <w:szCs w:val="24"/>
        </w:rPr>
      </w:pPr>
    </w:p>
    <w:p w14:paraId="3B9D1228" w14:textId="1BB61C4F" w:rsidR="00733DCF" w:rsidRPr="00351DC7" w:rsidRDefault="00186070" w:rsidP="00186070">
      <w:pPr>
        <w:shd w:val="clear" w:color="auto" w:fill="FFFFFF"/>
        <w:spacing w:before="144" w:after="120" w:line="360" w:lineRule="auto"/>
        <w:contextualSpacing/>
        <w:jc w:val="both"/>
        <w:rPr>
          <w:rFonts w:ascii="Arial" w:hAnsi="Arial" w:cs="Arial"/>
          <w:b/>
          <w:sz w:val="24"/>
          <w:szCs w:val="24"/>
        </w:rPr>
      </w:pPr>
      <w:r w:rsidRPr="00351DC7">
        <w:rPr>
          <w:rFonts w:ascii="Arial" w:hAnsi="Arial" w:cs="Arial"/>
          <w:color w:val="000000"/>
          <w:sz w:val="24"/>
          <w:szCs w:val="24"/>
        </w:rPr>
        <w:t>[38]</w:t>
      </w:r>
      <w:r w:rsidRPr="00351DC7">
        <w:rPr>
          <w:rFonts w:ascii="Arial" w:hAnsi="Arial" w:cs="Arial"/>
          <w:color w:val="000000"/>
          <w:sz w:val="24"/>
          <w:szCs w:val="24"/>
        </w:rPr>
        <w:tab/>
      </w:r>
      <w:r w:rsidR="00F502BE" w:rsidRPr="00351DC7">
        <w:rPr>
          <w:rFonts w:ascii="Arial" w:hAnsi="Arial" w:cs="Arial"/>
          <w:sz w:val="24"/>
          <w:szCs w:val="24"/>
        </w:rPr>
        <w:t xml:space="preserve">During the hearing of this appeal, we invited counsel for the parties to embark with us on a fair and objective analysis of the order of the </w:t>
      </w:r>
      <w:r w:rsidR="00276A07" w:rsidRPr="00351DC7">
        <w:rPr>
          <w:rFonts w:ascii="Arial" w:hAnsi="Arial" w:cs="Arial"/>
          <w:sz w:val="24"/>
          <w:szCs w:val="24"/>
        </w:rPr>
        <w:t>H</w:t>
      </w:r>
      <w:r w:rsidR="00F502BE" w:rsidRPr="00351DC7">
        <w:rPr>
          <w:rFonts w:ascii="Arial" w:hAnsi="Arial" w:cs="Arial"/>
          <w:sz w:val="24"/>
          <w:szCs w:val="24"/>
        </w:rPr>
        <w:t xml:space="preserve">igh </w:t>
      </w:r>
      <w:r w:rsidR="00276A07" w:rsidRPr="00351DC7">
        <w:rPr>
          <w:rFonts w:ascii="Arial" w:hAnsi="Arial" w:cs="Arial"/>
          <w:sz w:val="24"/>
          <w:szCs w:val="24"/>
        </w:rPr>
        <w:t>C</w:t>
      </w:r>
      <w:r w:rsidR="00F502BE" w:rsidRPr="00351DC7">
        <w:rPr>
          <w:rFonts w:ascii="Arial" w:hAnsi="Arial" w:cs="Arial"/>
          <w:sz w:val="24"/>
          <w:szCs w:val="24"/>
        </w:rPr>
        <w:t xml:space="preserve">ourt. </w:t>
      </w:r>
      <w:r w:rsidR="0054297A" w:rsidRPr="00351DC7">
        <w:rPr>
          <w:rFonts w:ascii="Arial" w:hAnsi="Arial" w:cs="Arial"/>
          <w:sz w:val="24"/>
          <w:szCs w:val="24"/>
        </w:rPr>
        <w:t>C</w:t>
      </w:r>
      <w:r w:rsidR="00F502BE" w:rsidRPr="00351DC7">
        <w:rPr>
          <w:rFonts w:ascii="Arial" w:hAnsi="Arial" w:cs="Arial"/>
          <w:sz w:val="24"/>
          <w:szCs w:val="24"/>
        </w:rPr>
        <w:t xml:space="preserve">ounsel obliged, and we are grateful to them in this regard. At the end of that exercise, it became clear that some of the things Mogale City has been ordered to do, would need the involvement of the Department </w:t>
      </w:r>
      <w:r w:rsidR="00394E1E" w:rsidRPr="00351DC7">
        <w:rPr>
          <w:rFonts w:ascii="Arial" w:hAnsi="Arial" w:cs="Arial"/>
          <w:sz w:val="24"/>
          <w:szCs w:val="24"/>
        </w:rPr>
        <w:t xml:space="preserve">in terms of </w:t>
      </w:r>
      <w:r w:rsidR="00F502BE" w:rsidRPr="00351DC7">
        <w:rPr>
          <w:rFonts w:ascii="Arial" w:hAnsi="Arial" w:cs="Arial"/>
          <w:sz w:val="24"/>
          <w:szCs w:val="24"/>
        </w:rPr>
        <w:t xml:space="preserve">the relevant provisions of </w:t>
      </w:r>
      <w:r w:rsidR="00394E1E" w:rsidRPr="00351DC7">
        <w:rPr>
          <w:rFonts w:ascii="Arial" w:hAnsi="Arial" w:cs="Arial"/>
          <w:sz w:val="24"/>
          <w:szCs w:val="24"/>
        </w:rPr>
        <w:t>the Water Act</w:t>
      </w:r>
      <w:r w:rsidR="00F502BE" w:rsidRPr="00351DC7">
        <w:rPr>
          <w:rFonts w:ascii="Arial" w:hAnsi="Arial" w:cs="Arial"/>
          <w:sz w:val="24"/>
          <w:szCs w:val="24"/>
        </w:rPr>
        <w:t xml:space="preserve"> which </w:t>
      </w:r>
      <w:r w:rsidR="00134C67" w:rsidRPr="00351DC7">
        <w:rPr>
          <w:rFonts w:ascii="Arial" w:hAnsi="Arial" w:cs="Arial"/>
          <w:sz w:val="24"/>
          <w:szCs w:val="24"/>
        </w:rPr>
        <w:t xml:space="preserve">are referenced </w:t>
      </w:r>
      <w:r w:rsidR="00F502BE" w:rsidRPr="00351DC7">
        <w:rPr>
          <w:rFonts w:ascii="Arial" w:hAnsi="Arial" w:cs="Arial"/>
          <w:sz w:val="24"/>
          <w:szCs w:val="24"/>
        </w:rPr>
        <w:t>earlier</w:t>
      </w:r>
      <w:r w:rsidR="00134C67" w:rsidRPr="00351DC7">
        <w:rPr>
          <w:rFonts w:ascii="Arial" w:hAnsi="Arial" w:cs="Arial"/>
          <w:sz w:val="24"/>
          <w:szCs w:val="24"/>
        </w:rPr>
        <w:t xml:space="preserve"> in the judgment</w:t>
      </w:r>
      <w:r w:rsidR="00F502BE" w:rsidRPr="00351DC7">
        <w:rPr>
          <w:rFonts w:ascii="Arial" w:hAnsi="Arial" w:cs="Arial"/>
          <w:sz w:val="24"/>
          <w:szCs w:val="24"/>
        </w:rPr>
        <w:t xml:space="preserve">. </w:t>
      </w:r>
      <w:r w:rsidR="0027609B" w:rsidRPr="00351DC7">
        <w:rPr>
          <w:rFonts w:ascii="Arial" w:hAnsi="Arial" w:cs="Arial"/>
          <w:sz w:val="24"/>
          <w:szCs w:val="24"/>
        </w:rPr>
        <w:t xml:space="preserve"> </w:t>
      </w:r>
    </w:p>
    <w:p w14:paraId="28FA0CB3" w14:textId="34A792C3" w:rsidR="00D0084F" w:rsidRPr="00351DC7" w:rsidRDefault="00186070" w:rsidP="00186070">
      <w:pPr>
        <w:shd w:val="clear" w:color="auto" w:fill="FFFFFF"/>
        <w:spacing w:before="144" w:after="120" w:line="360" w:lineRule="auto"/>
        <w:contextualSpacing/>
        <w:jc w:val="both"/>
        <w:rPr>
          <w:rFonts w:ascii="Arial" w:hAnsi="Arial" w:cs="Arial"/>
          <w:b/>
          <w:sz w:val="24"/>
          <w:szCs w:val="24"/>
        </w:rPr>
      </w:pPr>
      <w:r w:rsidRPr="00351DC7">
        <w:rPr>
          <w:rFonts w:ascii="Arial" w:hAnsi="Arial" w:cs="Arial"/>
          <w:color w:val="000000"/>
          <w:sz w:val="24"/>
          <w:szCs w:val="24"/>
        </w:rPr>
        <w:lastRenderedPageBreak/>
        <w:t>[39]</w:t>
      </w:r>
      <w:r w:rsidRPr="00351DC7">
        <w:rPr>
          <w:rFonts w:ascii="Arial" w:hAnsi="Arial" w:cs="Arial"/>
          <w:color w:val="000000"/>
          <w:sz w:val="24"/>
          <w:szCs w:val="24"/>
        </w:rPr>
        <w:tab/>
      </w:r>
      <w:r w:rsidR="00C3454F" w:rsidRPr="00351DC7">
        <w:rPr>
          <w:rFonts w:ascii="Arial" w:hAnsi="Arial" w:cs="Arial"/>
          <w:sz w:val="24"/>
          <w:szCs w:val="24"/>
        </w:rPr>
        <w:t xml:space="preserve">The conclusion is </w:t>
      </w:r>
      <w:r w:rsidR="00EB379F" w:rsidRPr="00351DC7">
        <w:rPr>
          <w:rFonts w:ascii="Arial" w:hAnsi="Arial" w:cs="Arial"/>
          <w:sz w:val="24"/>
          <w:szCs w:val="24"/>
        </w:rPr>
        <w:t xml:space="preserve">therefore </w:t>
      </w:r>
      <w:r w:rsidR="00C3454F" w:rsidRPr="00351DC7">
        <w:rPr>
          <w:rFonts w:ascii="Arial" w:hAnsi="Arial" w:cs="Arial"/>
          <w:sz w:val="24"/>
          <w:szCs w:val="24"/>
        </w:rPr>
        <w:t xml:space="preserve">inescapable that the </w:t>
      </w:r>
      <w:r w:rsidR="00276A07" w:rsidRPr="00351DC7">
        <w:rPr>
          <w:rFonts w:ascii="Arial" w:hAnsi="Arial" w:cs="Arial"/>
          <w:sz w:val="24"/>
          <w:szCs w:val="24"/>
        </w:rPr>
        <w:t>H</w:t>
      </w:r>
      <w:r w:rsidR="00C3454F" w:rsidRPr="00351DC7">
        <w:rPr>
          <w:rFonts w:ascii="Arial" w:hAnsi="Arial" w:cs="Arial"/>
          <w:sz w:val="24"/>
          <w:szCs w:val="24"/>
        </w:rPr>
        <w:t xml:space="preserve">igh </w:t>
      </w:r>
      <w:r w:rsidR="00276A07" w:rsidRPr="00351DC7">
        <w:rPr>
          <w:rFonts w:ascii="Arial" w:hAnsi="Arial" w:cs="Arial"/>
          <w:sz w:val="24"/>
          <w:szCs w:val="24"/>
        </w:rPr>
        <w:t>C</w:t>
      </w:r>
      <w:r w:rsidR="00C3454F" w:rsidRPr="00351DC7">
        <w:rPr>
          <w:rFonts w:ascii="Arial" w:hAnsi="Arial" w:cs="Arial"/>
          <w:sz w:val="24"/>
          <w:szCs w:val="24"/>
        </w:rPr>
        <w:t xml:space="preserve">ourt did not exercise its discretion properly.  </w:t>
      </w:r>
      <w:r w:rsidR="00EB379F" w:rsidRPr="00351DC7">
        <w:rPr>
          <w:rFonts w:ascii="Arial" w:hAnsi="Arial" w:cs="Arial"/>
          <w:sz w:val="24"/>
          <w:szCs w:val="24"/>
        </w:rPr>
        <w:t xml:space="preserve">Although the Full Court </w:t>
      </w:r>
      <w:r w:rsidR="00276A07" w:rsidRPr="00351DC7">
        <w:rPr>
          <w:rFonts w:ascii="Arial" w:hAnsi="Arial" w:cs="Arial"/>
          <w:sz w:val="24"/>
          <w:szCs w:val="24"/>
        </w:rPr>
        <w:t xml:space="preserve">correctly </w:t>
      </w:r>
      <w:r w:rsidR="00EB379F" w:rsidRPr="00351DC7">
        <w:rPr>
          <w:rFonts w:ascii="Arial" w:hAnsi="Arial" w:cs="Arial"/>
          <w:sz w:val="24"/>
          <w:szCs w:val="24"/>
        </w:rPr>
        <w:t xml:space="preserve">set </w:t>
      </w:r>
      <w:r w:rsidR="00134C67" w:rsidRPr="00351DC7">
        <w:rPr>
          <w:rFonts w:ascii="Arial" w:hAnsi="Arial" w:cs="Arial"/>
          <w:sz w:val="24"/>
          <w:szCs w:val="24"/>
        </w:rPr>
        <w:t>aside order</w:t>
      </w:r>
      <w:r w:rsidR="00C430F8" w:rsidRPr="00351DC7">
        <w:rPr>
          <w:rFonts w:ascii="Arial" w:hAnsi="Arial" w:cs="Arial"/>
          <w:sz w:val="24"/>
          <w:szCs w:val="24"/>
        </w:rPr>
        <w:t xml:space="preserve"> of the High Court</w:t>
      </w:r>
      <w:r w:rsidR="00D0084F" w:rsidRPr="00351DC7">
        <w:rPr>
          <w:rFonts w:ascii="Arial" w:hAnsi="Arial" w:cs="Arial"/>
          <w:sz w:val="24"/>
          <w:szCs w:val="24"/>
        </w:rPr>
        <w:t xml:space="preserve">, </w:t>
      </w:r>
      <w:r w:rsidR="00C430F8" w:rsidRPr="00351DC7">
        <w:rPr>
          <w:rFonts w:ascii="Arial" w:hAnsi="Arial" w:cs="Arial"/>
          <w:sz w:val="24"/>
          <w:szCs w:val="24"/>
        </w:rPr>
        <w:t xml:space="preserve">this </w:t>
      </w:r>
      <w:r w:rsidR="00D0084F" w:rsidRPr="00351DC7">
        <w:rPr>
          <w:rFonts w:ascii="Arial" w:hAnsi="Arial" w:cs="Arial"/>
          <w:sz w:val="24"/>
          <w:szCs w:val="24"/>
        </w:rPr>
        <w:t xml:space="preserve">does not help address the </w:t>
      </w:r>
      <w:r w:rsidR="00603162" w:rsidRPr="00351DC7">
        <w:rPr>
          <w:rFonts w:ascii="Arial" w:hAnsi="Arial" w:cs="Arial"/>
          <w:sz w:val="24"/>
          <w:szCs w:val="24"/>
        </w:rPr>
        <w:t xml:space="preserve">failure by the High Court to decide the </w:t>
      </w:r>
      <w:r w:rsidR="00603162" w:rsidRPr="00F7327F">
        <w:rPr>
          <w:rFonts w:ascii="Arial" w:hAnsi="Arial" w:cs="Arial"/>
          <w:i/>
          <w:sz w:val="24"/>
          <w:szCs w:val="24"/>
        </w:rPr>
        <w:t>lis</w:t>
      </w:r>
      <w:r w:rsidR="00603162" w:rsidRPr="00351DC7">
        <w:rPr>
          <w:rFonts w:ascii="Arial" w:hAnsi="Arial" w:cs="Arial"/>
          <w:sz w:val="24"/>
          <w:szCs w:val="24"/>
        </w:rPr>
        <w:t xml:space="preserve"> in respect of each of the originally cited State entities.</w:t>
      </w:r>
    </w:p>
    <w:p w14:paraId="2963669A" w14:textId="77777777" w:rsidR="00B67C12" w:rsidRPr="00351DC7" w:rsidRDefault="00B67C12" w:rsidP="00431626">
      <w:pPr>
        <w:jc w:val="both"/>
      </w:pPr>
    </w:p>
    <w:p w14:paraId="465DFBAC" w14:textId="672C96F1" w:rsidR="00F7327F" w:rsidRPr="00F7327F" w:rsidRDefault="00186070" w:rsidP="00186070">
      <w:pPr>
        <w:shd w:val="clear" w:color="auto" w:fill="FFFFFF"/>
        <w:spacing w:before="144" w:after="120" w:line="360" w:lineRule="auto"/>
        <w:contextualSpacing/>
        <w:jc w:val="both"/>
        <w:rPr>
          <w:rFonts w:ascii="Arial" w:hAnsi="Arial" w:cs="Arial"/>
          <w:b/>
          <w:sz w:val="24"/>
          <w:szCs w:val="24"/>
        </w:rPr>
      </w:pPr>
      <w:r w:rsidRPr="00F7327F">
        <w:rPr>
          <w:rFonts w:ascii="Arial" w:hAnsi="Arial" w:cs="Arial"/>
          <w:color w:val="000000"/>
          <w:sz w:val="24"/>
          <w:szCs w:val="24"/>
        </w:rPr>
        <w:t>[40]</w:t>
      </w:r>
      <w:r w:rsidRPr="00F7327F">
        <w:rPr>
          <w:rFonts w:ascii="Arial" w:hAnsi="Arial" w:cs="Arial"/>
          <w:color w:val="000000"/>
          <w:sz w:val="24"/>
          <w:szCs w:val="24"/>
        </w:rPr>
        <w:tab/>
      </w:r>
      <w:r w:rsidR="00C3454F" w:rsidRPr="00351DC7">
        <w:rPr>
          <w:rFonts w:ascii="Arial" w:hAnsi="Arial" w:cs="Arial"/>
          <w:sz w:val="24"/>
          <w:szCs w:val="24"/>
        </w:rPr>
        <w:t xml:space="preserve">What do we do? The answer is not easy. </w:t>
      </w:r>
      <w:r w:rsidR="00DA574F" w:rsidRPr="00351DC7">
        <w:rPr>
          <w:rFonts w:ascii="Arial" w:hAnsi="Arial" w:cs="Arial"/>
          <w:sz w:val="24"/>
          <w:szCs w:val="24"/>
        </w:rPr>
        <w:t xml:space="preserve">The </w:t>
      </w:r>
      <w:r w:rsidR="0054297A" w:rsidRPr="00351DC7">
        <w:rPr>
          <w:rFonts w:ascii="Arial" w:hAnsi="Arial" w:cs="Arial"/>
          <w:sz w:val="24"/>
          <w:szCs w:val="24"/>
        </w:rPr>
        <w:t>originally</w:t>
      </w:r>
      <w:r w:rsidR="00603162" w:rsidRPr="00351DC7">
        <w:rPr>
          <w:rFonts w:ascii="Arial" w:hAnsi="Arial" w:cs="Arial"/>
          <w:sz w:val="24"/>
          <w:szCs w:val="24"/>
        </w:rPr>
        <w:t xml:space="preserve"> </w:t>
      </w:r>
      <w:r w:rsidR="0054297A" w:rsidRPr="00351DC7">
        <w:rPr>
          <w:rFonts w:ascii="Arial" w:hAnsi="Arial" w:cs="Arial"/>
          <w:sz w:val="24"/>
          <w:szCs w:val="24"/>
        </w:rPr>
        <w:t xml:space="preserve">cited </w:t>
      </w:r>
      <w:r w:rsidR="00DA574F" w:rsidRPr="00351DC7">
        <w:rPr>
          <w:rFonts w:ascii="Arial" w:hAnsi="Arial" w:cs="Arial"/>
          <w:sz w:val="24"/>
          <w:szCs w:val="24"/>
        </w:rPr>
        <w:t>State parties are not before us, as there</w:t>
      </w:r>
      <w:r w:rsidR="00C3454F" w:rsidRPr="00351DC7">
        <w:rPr>
          <w:rFonts w:ascii="Arial" w:hAnsi="Arial" w:cs="Arial"/>
          <w:sz w:val="24"/>
          <w:szCs w:val="24"/>
        </w:rPr>
        <w:t xml:space="preserve"> is no cross-appeal by Featherbrooke a</w:t>
      </w:r>
      <w:r w:rsidR="0054297A" w:rsidRPr="00351DC7">
        <w:rPr>
          <w:rFonts w:ascii="Arial" w:hAnsi="Arial" w:cs="Arial"/>
          <w:sz w:val="24"/>
          <w:szCs w:val="24"/>
        </w:rPr>
        <w:t xml:space="preserve">gainst the order of the </w:t>
      </w:r>
      <w:r w:rsidR="00603162" w:rsidRPr="00351DC7">
        <w:rPr>
          <w:rFonts w:ascii="Arial" w:hAnsi="Arial" w:cs="Arial"/>
          <w:sz w:val="24"/>
          <w:szCs w:val="24"/>
        </w:rPr>
        <w:t>H</w:t>
      </w:r>
      <w:r w:rsidR="0054297A" w:rsidRPr="00351DC7">
        <w:rPr>
          <w:rFonts w:ascii="Arial" w:hAnsi="Arial" w:cs="Arial"/>
          <w:sz w:val="24"/>
          <w:szCs w:val="24"/>
        </w:rPr>
        <w:t xml:space="preserve">igh </w:t>
      </w:r>
      <w:r w:rsidR="00603162" w:rsidRPr="00351DC7">
        <w:rPr>
          <w:rFonts w:ascii="Arial" w:hAnsi="Arial" w:cs="Arial"/>
          <w:sz w:val="24"/>
          <w:szCs w:val="24"/>
        </w:rPr>
        <w:t>C</w:t>
      </w:r>
      <w:r w:rsidR="0054297A" w:rsidRPr="00351DC7">
        <w:rPr>
          <w:rFonts w:ascii="Arial" w:hAnsi="Arial" w:cs="Arial"/>
          <w:sz w:val="24"/>
          <w:szCs w:val="24"/>
        </w:rPr>
        <w:t xml:space="preserve">ourt excluding </w:t>
      </w:r>
      <w:r w:rsidR="00DA574F" w:rsidRPr="00351DC7">
        <w:rPr>
          <w:rFonts w:ascii="Arial" w:hAnsi="Arial" w:cs="Arial"/>
          <w:sz w:val="24"/>
          <w:szCs w:val="24"/>
        </w:rPr>
        <w:t>them.</w:t>
      </w:r>
      <w:r w:rsidR="00C3454F" w:rsidRPr="00351DC7">
        <w:rPr>
          <w:rFonts w:ascii="Arial" w:hAnsi="Arial" w:cs="Arial"/>
          <w:sz w:val="24"/>
          <w:szCs w:val="24"/>
        </w:rPr>
        <w:t xml:space="preserve"> As a result, this Court does not have the power to make any order against any of them. </w:t>
      </w:r>
      <w:r w:rsidR="0093473C" w:rsidRPr="00351DC7">
        <w:rPr>
          <w:rFonts w:ascii="Arial" w:hAnsi="Arial" w:cs="Arial"/>
          <w:sz w:val="24"/>
          <w:szCs w:val="24"/>
        </w:rPr>
        <w:t xml:space="preserve">The appropriate order, in my view, would be </w:t>
      </w:r>
      <w:r w:rsidR="00FB38F8" w:rsidRPr="00351DC7">
        <w:rPr>
          <w:rFonts w:ascii="Arial" w:hAnsi="Arial" w:cs="Arial"/>
          <w:sz w:val="24"/>
          <w:szCs w:val="24"/>
        </w:rPr>
        <w:t xml:space="preserve">to </w:t>
      </w:r>
      <w:r w:rsidR="0093473C" w:rsidRPr="00351DC7">
        <w:rPr>
          <w:rFonts w:ascii="Arial" w:hAnsi="Arial" w:cs="Arial"/>
          <w:sz w:val="24"/>
          <w:szCs w:val="24"/>
        </w:rPr>
        <w:t xml:space="preserve">set aside the order of the Full Court and remit the matter to the </w:t>
      </w:r>
      <w:r w:rsidR="00B67C12" w:rsidRPr="00351DC7">
        <w:rPr>
          <w:rFonts w:ascii="Arial" w:hAnsi="Arial" w:cs="Arial"/>
          <w:sz w:val="24"/>
          <w:szCs w:val="24"/>
        </w:rPr>
        <w:t>H</w:t>
      </w:r>
      <w:r w:rsidR="0093473C" w:rsidRPr="00351DC7">
        <w:rPr>
          <w:rFonts w:ascii="Arial" w:hAnsi="Arial" w:cs="Arial"/>
          <w:sz w:val="24"/>
          <w:szCs w:val="24"/>
        </w:rPr>
        <w:t xml:space="preserve">igh </w:t>
      </w:r>
      <w:r w:rsidR="00B67C12" w:rsidRPr="00351DC7">
        <w:rPr>
          <w:rFonts w:ascii="Arial" w:hAnsi="Arial" w:cs="Arial"/>
          <w:sz w:val="24"/>
          <w:szCs w:val="24"/>
        </w:rPr>
        <w:t>C</w:t>
      </w:r>
      <w:r w:rsidR="0093473C" w:rsidRPr="00351DC7">
        <w:rPr>
          <w:rFonts w:ascii="Arial" w:hAnsi="Arial" w:cs="Arial"/>
          <w:sz w:val="24"/>
          <w:szCs w:val="24"/>
        </w:rPr>
        <w:t>ourt</w:t>
      </w:r>
      <w:r w:rsidR="00B67C12" w:rsidRPr="00351DC7">
        <w:rPr>
          <w:rFonts w:ascii="Arial" w:hAnsi="Arial" w:cs="Arial"/>
          <w:sz w:val="24"/>
          <w:szCs w:val="24"/>
        </w:rPr>
        <w:t>, which must</w:t>
      </w:r>
      <w:r w:rsidR="0054297A" w:rsidRPr="00351DC7">
        <w:rPr>
          <w:rFonts w:ascii="Arial" w:hAnsi="Arial" w:cs="Arial"/>
          <w:sz w:val="24"/>
          <w:szCs w:val="24"/>
        </w:rPr>
        <w:t xml:space="preserve"> </w:t>
      </w:r>
      <w:r w:rsidR="00FB714E" w:rsidRPr="00351DC7">
        <w:rPr>
          <w:rFonts w:ascii="Arial" w:hAnsi="Arial" w:cs="Arial"/>
          <w:sz w:val="24"/>
          <w:szCs w:val="24"/>
        </w:rPr>
        <w:t xml:space="preserve">decide </w:t>
      </w:r>
      <w:r w:rsidR="0054297A" w:rsidRPr="00351DC7">
        <w:rPr>
          <w:rFonts w:ascii="Arial" w:hAnsi="Arial" w:cs="Arial"/>
          <w:sz w:val="24"/>
          <w:szCs w:val="24"/>
        </w:rPr>
        <w:t>whether</w:t>
      </w:r>
      <w:r w:rsidR="0093473C" w:rsidRPr="00351DC7">
        <w:rPr>
          <w:rFonts w:ascii="Arial" w:hAnsi="Arial" w:cs="Arial"/>
          <w:sz w:val="24"/>
          <w:szCs w:val="24"/>
        </w:rPr>
        <w:t>,</w:t>
      </w:r>
      <w:r w:rsidR="0054297A" w:rsidRPr="00351DC7">
        <w:rPr>
          <w:rFonts w:ascii="Arial" w:hAnsi="Arial" w:cs="Arial"/>
          <w:sz w:val="24"/>
          <w:szCs w:val="24"/>
        </w:rPr>
        <w:t xml:space="preserve"> in addition to Mogale City, any</w:t>
      </w:r>
      <w:r w:rsidR="0093473C" w:rsidRPr="00351DC7">
        <w:rPr>
          <w:rFonts w:ascii="Arial" w:hAnsi="Arial" w:cs="Arial"/>
          <w:sz w:val="24"/>
          <w:szCs w:val="24"/>
        </w:rPr>
        <w:t xml:space="preserve"> of the originally</w:t>
      </w:r>
      <w:r w:rsidR="001830C6" w:rsidRPr="00351DC7">
        <w:rPr>
          <w:rFonts w:ascii="Arial" w:hAnsi="Arial" w:cs="Arial"/>
          <w:sz w:val="24"/>
          <w:szCs w:val="24"/>
        </w:rPr>
        <w:t xml:space="preserve"> </w:t>
      </w:r>
      <w:r w:rsidR="0093473C" w:rsidRPr="00351DC7">
        <w:rPr>
          <w:rFonts w:ascii="Arial" w:hAnsi="Arial" w:cs="Arial"/>
          <w:sz w:val="24"/>
          <w:szCs w:val="24"/>
        </w:rPr>
        <w:t>cited State entities</w:t>
      </w:r>
      <w:r w:rsidR="0054297A" w:rsidRPr="00351DC7">
        <w:rPr>
          <w:rFonts w:ascii="Arial" w:hAnsi="Arial" w:cs="Arial"/>
          <w:sz w:val="24"/>
          <w:szCs w:val="24"/>
        </w:rPr>
        <w:t xml:space="preserve"> </w:t>
      </w:r>
      <w:r w:rsidR="00694BA3" w:rsidRPr="00351DC7">
        <w:rPr>
          <w:rFonts w:ascii="Arial" w:hAnsi="Arial" w:cs="Arial"/>
          <w:sz w:val="24"/>
          <w:szCs w:val="24"/>
        </w:rPr>
        <w:t>is obliged</w:t>
      </w:r>
      <w:r w:rsidR="0054297A" w:rsidRPr="00351DC7">
        <w:rPr>
          <w:rFonts w:ascii="Arial" w:hAnsi="Arial" w:cs="Arial"/>
          <w:sz w:val="24"/>
          <w:szCs w:val="24"/>
        </w:rPr>
        <w:t xml:space="preserve"> to effect remedial work</w:t>
      </w:r>
      <w:r w:rsidR="00714B38" w:rsidRPr="00351DC7">
        <w:rPr>
          <w:rFonts w:ascii="Arial" w:hAnsi="Arial" w:cs="Arial"/>
          <w:sz w:val="24"/>
          <w:szCs w:val="24"/>
        </w:rPr>
        <w:t xml:space="preserve"> at</w:t>
      </w:r>
      <w:r w:rsidR="0054297A" w:rsidRPr="00351DC7">
        <w:rPr>
          <w:rFonts w:ascii="Arial" w:hAnsi="Arial" w:cs="Arial"/>
          <w:sz w:val="24"/>
          <w:szCs w:val="24"/>
        </w:rPr>
        <w:t xml:space="preserve"> the Estate</w:t>
      </w:r>
      <w:r w:rsidR="001830C6" w:rsidRPr="00351DC7">
        <w:rPr>
          <w:rFonts w:ascii="Arial" w:hAnsi="Arial" w:cs="Arial"/>
          <w:sz w:val="24"/>
          <w:szCs w:val="24"/>
        </w:rPr>
        <w:t>, and the basis of such obligation.</w:t>
      </w:r>
      <w:r w:rsidR="0093473C" w:rsidRPr="00351DC7">
        <w:rPr>
          <w:rFonts w:ascii="Arial" w:hAnsi="Arial" w:cs="Arial"/>
          <w:sz w:val="24"/>
          <w:szCs w:val="24"/>
        </w:rPr>
        <w:t xml:space="preserve"> </w:t>
      </w:r>
    </w:p>
    <w:p w14:paraId="3D780D57" w14:textId="77777777" w:rsidR="00F7327F" w:rsidRDefault="00F7327F" w:rsidP="00F7327F">
      <w:pPr>
        <w:pStyle w:val="ListParagraph"/>
        <w:rPr>
          <w:rFonts w:ascii="Arial" w:hAnsi="Arial" w:cs="Arial"/>
          <w:sz w:val="24"/>
          <w:szCs w:val="24"/>
        </w:rPr>
      </w:pPr>
    </w:p>
    <w:p w14:paraId="1B754688" w14:textId="338DEF93" w:rsidR="00C3454F" w:rsidRPr="00EB4CFE" w:rsidRDefault="00186070" w:rsidP="00186070">
      <w:pPr>
        <w:shd w:val="clear" w:color="auto" w:fill="FFFFFF"/>
        <w:spacing w:before="144" w:after="120" w:line="360" w:lineRule="auto"/>
        <w:contextualSpacing/>
        <w:jc w:val="both"/>
        <w:rPr>
          <w:rFonts w:ascii="Arial" w:hAnsi="Arial" w:cs="Arial"/>
          <w:b/>
          <w:sz w:val="24"/>
          <w:szCs w:val="24"/>
        </w:rPr>
      </w:pPr>
      <w:r w:rsidRPr="00EB4CFE">
        <w:rPr>
          <w:rFonts w:ascii="Arial" w:hAnsi="Arial" w:cs="Arial"/>
          <w:color w:val="000000"/>
          <w:sz w:val="24"/>
          <w:szCs w:val="24"/>
        </w:rPr>
        <w:t>[41]</w:t>
      </w:r>
      <w:r w:rsidRPr="00EB4CFE">
        <w:rPr>
          <w:rFonts w:ascii="Arial" w:hAnsi="Arial" w:cs="Arial"/>
          <w:color w:val="000000"/>
          <w:sz w:val="24"/>
          <w:szCs w:val="24"/>
        </w:rPr>
        <w:tab/>
      </w:r>
      <w:r w:rsidR="00144E0A" w:rsidRPr="00351DC7">
        <w:rPr>
          <w:rFonts w:ascii="Arial" w:hAnsi="Arial" w:cs="Arial"/>
          <w:sz w:val="24"/>
          <w:szCs w:val="24"/>
        </w:rPr>
        <w:t>The court must make an order in respect of each of those entities</w:t>
      </w:r>
      <w:r w:rsidR="001830C6" w:rsidRPr="00351DC7">
        <w:rPr>
          <w:rFonts w:ascii="Arial" w:hAnsi="Arial" w:cs="Arial"/>
          <w:sz w:val="24"/>
          <w:szCs w:val="24"/>
        </w:rPr>
        <w:t xml:space="preserve"> it finds to bear the obligation</w:t>
      </w:r>
      <w:r w:rsidR="00144E0A" w:rsidRPr="00351DC7">
        <w:rPr>
          <w:rFonts w:ascii="Arial" w:hAnsi="Arial" w:cs="Arial"/>
          <w:sz w:val="24"/>
          <w:szCs w:val="24"/>
        </w:rPr>
        <w:t xml:space="preserve">. This could conveniently be done without </w:t>
      </w:r>
      <w:r w:rsidR="00744D09" w:rsidRPr="00351DC7">
        <w:rPr>
          <w:rFonts w:ascii="Arial" w:hAnsi="Arial" w:cs="Arial"/>
          <w:sz w:val="24"/>
          <w:szCs w:val="24"/>
        </w:rPr>
        <w:t xml:space="preserve">a need for filing </w:t>
      </w:r>
      <w:r w:rsidR="00FB714E" w:rsidRPr="00351DC7">
        <w:rPr>
          <w:rFonts w:ascii="Arial" w:hAnsi="Arial" w:cs="Arial"/>
          <w:sz w:val="24"/>
          <w:szCs w:val="24"/>
        </w:rPr>
        <w:t xml:space="preserve">of </w:t>
      </w:r>
      <w:r w:rsidR="00744D09" w:rsidRPr="00351DC7">
        <w:rPr>
          <w:rFonts w:ascii="Arial" w:hAnsi="Arial" w:cs="Arial"/>
          <w:sz w:val="24"/>
          <w:szCs w:val="24"/>
        </w:rPr>
        <w:t xml:space="preserve">further affidavits, or </w:t>
      </w:r>
      <w:r w:rsidR="00144E0A" w:rsidRPr="00351DC7">
        <w:rPr>
          <w:rFonts w:ascii="Arial" w:hAnsi="Arial" w:cs="Arial"/>
          <w:sz w:val="24"/>
          <w:szCs w:val="24"/>
        </w:rPr>
        <w:t xml:space="preserve">another hearing. The matter was fully ventilated in the </w:t>
      </w:r>
      <w:r w:rsidR="00FB714E" w:rsidRPr="00351DC7">
        <w:rPr>
          <w:rFonts w:ascii="Arial" w:hAnsi="Arial" w:cs="Arial"/>
          <w:sz w:val="24"/>
          <w:szCs w:val="24"/>
        </w:rPr>
        <w:t>H</w:t>
      </w:r>
      <w:r w:rsidR="00144E0A" w:rsidRPr="00351DC7">
        <w:rPr>
          <w:rFonts w:ascii="Arial" w:hAnsi="Arial" w:cs="Arial"/>
          <w:sz w:val="24"/>
          <w:szCs w:val="24"/>
        </w:rPr>
        <w:t xml:space="preserve">igh </w:t>
      </w:r>
      <w:r w:rsidR="00FB714E" w:rsidRPr="00351DC7">
        <w:rPr>
          <w:rFonts w:ascii="Arial" w:hAnsi="Arial" w:cs="Arial"/>
          <w:sz w:val="24"/>
          <w:szCs w:val="24"/>
        </w:rPr>
        <w:t>C</w:t>
      </w:r>
      <w:r w:rsidR="00144E0A" w:rsidRPr="00351DC7">
        <w:rPr>
          <w:rFonts w:ascii="Arial" w:hAnsi="Arial" w:cs="Arial"/>
          <w:sz w:val="24"/>
          <w:szCs w:val="24"/>
        </w:rPr>
        <w:t>ourt a</w:t>
      </w:r>
      <w:r w:rsidR="0093473C" w:rsidRPr="00351DC7">
        <w:rPr>
          <w:rFonts w:ascii="Arial" w:hAnsi="Arial" w:cs="Arial"/>
          <w:sz w:val="24"/>
          <w:szCs w:val="24"/>
        </w:rPr>
        <w:t xml:space="preserve">fter </w:t>
      </w:r>
      <w:r w:rsidR="00144E0A" w:rsidRPr="00351DC7">
        <w:rPr>
          <w:rFonts w:ascii="Arial" w:hAnsi="Arial" w:cs="Arial"/>
          <w:sz w:val="24"/>
          <w:szCs w:val="24"/>
        </w:rPr>
        <w:t xml:space="preserve">the filing </w:t>
      </w:r>
      <w:r w:rsidR="0093473C" w:rsidRPr="00351DC7">
        <w:rPr>
          <w:rFonts w:ascii="Arial" w:hAnsi="Arial" w:cs="Arial"/>
          <w:sz w:val="24"/>
          <w:szCs w:val="24"/>
        </w:rPr>
        <w:t>of affidavits (both original and supplementary), and before the Full Court.</w:t>
      </w:r>
      <w:r w:rsidR="00F3707A" w:rsidRPr="00351DC7">
        <w:rPr>
          <w:rFonts w:ascii="Arial" w:hAnsi="Arial" w:cs="Arial"/>
          <w:sz w:val="24"/>
          <w:szCs w:val="24"/>
        </w:rPr>
        <w:t xml:space="preserve"> </w:t>
      </w:r>
      <w:r w:rsidR="0093473C" w:rsidRPr="00351DC7">
        <w:rPr>
          <w:rFonts w:ascii="Arial" w:hAnsi="Arial" w:cs="Arial"/>
          <w:sz w:val="24"/>
          <w:szCs w:val="24"/>
        </w:rPr>
        <w:t xml:space="preserve">The only missing aspect in the judgment of the </w:t>
      </w:r>
      <w:r w:rsidR="00FB714E" w:rsidRPr="00351DC7">
        <w:rPr>
          <w:rFonts w:ascii="Arial" w:hAnsi="Arial" w:cs="Arial"/>
          <w:sz w:val="24"/>
          <w:szCs w:val="24"/>
        </w:rPr>
        <w:t>H</w:t>
      </w:r>
      <w:r w:rsidR="0093473C" w:rsidRPr="00351DC7">
        <w:rPr>
          <w:rFonts w:ascii="Arial" w:hAnsi="Arial" w:cs="Arial"/>
          <w:sz w:val="24"/>
          <w:szCs w:val="24"/>
        </w:rPr>
        <w:t xml:space="preserve">igh </w:t>
      </w:r>
      <w:r w:rsidR="00FB714E" w:rsidRPr="00351DC7">
        <w:rPr>
          <w:rFonts w:ascii="Arial" w:hAnsi="Arial" w:cs="Arial"/>
          <w:sz w:val="24"/>
          <w:szCs w:val="24"/>
        </w:rPr>
        <w:t>C</w:t>
      </w:r>
      <w:r w:rsidR="0093473C" w:rsidRPr="00351DC7">
        <w:rPr>
          <w:rFonts w:ascii="Arial" w:hAnsi="Arial" w:cs="Arial"/>
          <w:sz w:val="24"/>
          <w:szCs w:val="24"/>
        </w:rPr>
        <w:t xml:space="preserve">ourt is </w:t>
      </w:r>
      <w:r w:rsidR="00144E0A" w:rsidRPr="00351DC7">
        <w:rPr>
          <w:rFonts w:ascii="Arial" w:hAnsi="Arial" w:cs="Arial"/>
          <w:sz w:val="24"/>
          <w:szCs w:val="24"/>
        </w:rPr>
        <w:t xml:space="preserve">the issue referred to above. </w:t>
      </w:r>
      <w:r w:rsidR="001830C6" w:rsidRPr="00351DC7">
        <w:rPr>
          <w:rFonts w:ascii="Arial" w:hAnsi="Arial" w:cs="Arial"/>
          <w:sz w:val="24"/>
          <w:szCs w:val="24"/>
        </w:rPr>
        <w:t>But we are not prescriptive in this regard. Should the High Court require a further hearing, or supplementary heads of argument on any issue, it is at large to give the necessary direction.</w:t>
      </w:r>
    </w:p>
    <w:p w14:paraId="3E9B2B25" w14:textId="2BF4AFCB" w:rsidR="00DD47BD" w:rsidRPr="00DD47BD" w:rsidRDefault="00DD47BD" w:rsidP="00DD47BD">
      <w:pPr>
        <w:shd w:val="clear" w:color="auto" w:fill="FFFFFF"/>
        <w:spacing w:before="144" w:after="120" w:line="360" w:lineRule="auto"/>
        <w:contextualSpacing/>
        <w:jc w:val="both"/>
        <w:rPr>
          <w:rFonts w:ascii="Arial" w:hAnsi="Arial" w:cs="Arial"/>
          <w:b/>
          <w:sz w:val="24"/>
          <w:szCs w:val="24"/>
        </w:rPr>
      </w:pPr>
    </w:p>
    <w:p w14:paraId="43167E97" w14:textId="3555B1AC" w:rsidR="0064532B" w:rsidRPr="00351DC7" w:rsidRDefault="00186070" w:rsidP="00186070">
      <w:pPr>
        <w:shd w:val="clear" w:color="auto" w:fill="FFFFFF"/>
        <w:spacing w:before="144" w:after="120" w:line="360" w:lineRule="auto"/>
        <w:contextualSpacing/>
        <w:jc w:val="both"/>
        <w:rPr>
          <w:rFonts w:ascii="Arial" w:hAnsi="Arial" w:cs="Arial"/>
          <w:sz w:val="24"/>
          <w:szCs w:val="24"/>
        </w:rPr>
      </w:pPr>
      <w:r w:rsidRPr="00351DC7">
        <w:rPr>
          <w:rFonts w:ascii="Arial" w:hAnsi="Arial" w:cs="Arial"/>
          <w:color w:val="000000"/>
          <w:sz w:val="24"/>
          <w:szCs w:val="24"/>
        </w:rPr>
        <w:t>[42]</w:t>
      </w:r>
      <w:r w:rsidRPr="00351DC7">
        <w:rPr>
          <w:rFonts w:ascii="Arial" w:hAnsi="Arial" w:cs="Arial"/>
          <w:color w:val="000000"/>
          <w:sz w:val="24"/>
          <w:szCs w:val="24"/>
        </w:rPr>
        <w:tab/>
      </w:r>
      <w:r w:rsidR="001C3A20" w:rsidRPr="00351DC7">
        <w:rPr>
          <w:rFonts w:ascii="Arial" w:hAnsi="Arial" w:cs="Arial"/>
          <w:sz w:val="24"/>
          <w:szCs w:val="24"/>
        </w:rPr>
        <w:t>Lest there be any uncertainty, the effect of what is set out in the preceding paragraph</w:t>
      </w:r>
      <w:r w:rsidR="00EB4CFE">
        <w:rPr>
          <w:rFonts w:ascii="Arial" w:hAnsi="Arial" w:cs="Arial"/>
          <w:sz w:val="24"/>
          <w:szCs w:val="24"/>
        </w:rPr>
        <w:t>s</w:t>
      </w:r>
      <w:r w:rsidR="001C3A20" w:rsidRPr="00351DC7">
        <w:rPr>
          <w:rFonts w:ascii="Arial" w:hAnsi="Arial" w:cs="Arial"/>
          <w:sz w:val="24"/>
          <w:szCs w:val="24"/>
        </w:rPr>
        <w:t>, and the order we make, is that we have not determined the merits of the appeal by Featherbrooke against Mogale City.</w:t>
      </w:r>
      <w:r w:rsidR="003200D6" w:rsidRPr="00351DC7">
        <w:rPr>
          <w:rFonts w:ascii="Arial" w:hAnsi="Arial" w:cs="Arial"/>
          <w:sz w:val="24"/>
          <w:szCs w:val="24"/>
        </w:rPr>
        <w:t xml:space="preserve"> We simply restore the parties to the point when the High Court reserved judgment. As such, we </w:t>
      </w:r>
      <w:r w:rsidR="001C3A20" w:rsidRPr="00351DC7">
        <w:rPr>
          <w:rFonts w:ascii="Arial" w:hAnsi="Arial" w:cs="Arial"/>
          <w:sz w:val="24"/>
          <w:szCs w:val="24"/>
        </w:rPr>
        <w:t xml:space="preserve">neither accept nor reject </w:t>
      </w:r>
      <w:r w:rsidR="003200D6" w:rsidRPr="00351DC7">
        <w:rPr>
          <w:rFonts w:ascii="Arial" w:hAnsi="Arial" w:cs="Arial"/>
          <w:sz w:val="24"/>
          <w:szCs w:val="24"/>
        </w:rPr>
        <w:t xml:space="preserve">the High Court’s </w:t>
      </w:r>
      <w:r w:rsidR="001C3A20" w:rsidRPr="00351DC7">
        <w:rPr>
          <w:rFonts w:ascii="Arial" w:hAnsi="Arial" w:cs="Arial"/>
          <w:sz w:val="24"/>
          <w:szCs w:val="24"/>
        </w:rPr>
        <w:t>finding</w:t>
      </w:r>
      <w:r w:rsidR="003200D6" w:rsidRPr="00351DC7">
        <w:rPr>
          <w:rFonts w:ascii="Arial" w:hAnsi="Arial" w:cs="Arial"/>
          <w:sz w:val="24"/>
          <w:szCs w:val="24"/>
        </w:rPr>
        <w:t xml:space="preserve">s and order that Mogale City is </w:t>
      </w:r>
      <w:r w:rsidR="001C3A20" w:rsidRPr="00351DC7">
        <w:rPr>
          <w:rFonts w:ascii="Arial" w:hAnsi="Arial" w:cs="Arial"/>
          <w:sz w:val="24"/>
          <w:szCs w:val="24"/>
        </w:rPr>
        <w:t xml:space="preserve">liable to effect remedial work at the Estate. </w:t>
      </w:r>
      <w:r w:rsidR="0064532B" w:rsidRPr="00351DC7">
        <w:rPr>
          <w:rFonts w:ascii="Arial" w:hAnsi="Arial" w:cs="Arial"/>
          <w:sz w:val="24"/>
          <w:szCs w:val="24"/>
        </w:rPr>
        <w:t>The same goes for the Full Court’s order. We neither accept nor reject the reasoning which underpins its order, which is two-fold, namely: (a) Featherbrooke was solely responsible for the remedial work at its expense, once it obtained a water licence from the Department; (b) neither Mogale City, the Department, nor any other Stat</w:t>
      </w:r>
      <w:r w:rsidR="00603162" w:rsidRPr="00351DC7">
        <w:rPr>
          <w:rFonts w:ascii="Arial" w:hAnsi="Arial" w:cs="Arial"/>
          <w:sz w:val="24"/>
          <w:szCs w:val="24"/>
        </w:rPr>
        <w:t>e entity, bears any obligations to effect the remedial works.</w:t>
      </w:r>
      <w:r w:rsidR="0064532B" w:rsidRPr="00351DC7">
        <w:rPr>
          <w:rFonts w:ascii="Arial" w:hAnsi="Arial" w:cs="Arial"/>
          <w:sz w:val="24"/>
          <w:szCs w:val="24"/>
        </w:rPr>
        <w:t xml:space="preserve"> </w:t>
      </w:r>
    </w:p>
    <w:p w14:paraId="2BF1D04F" w14:textId="4EB304F4" w:rsidR="0064532B" w:rsidRPr="00351DC7" w:rsidRDefault="0064532B" w:rsidP="00431626">
      <w:pPr>
        <w:rPr>
          <w:rFonts w:ascii="Arial" w:hAnsi="Arial" w:cs="Arial"/>
          <w:sz w:val="24"/>
          <w:szCs w:val="24"/>
        </w:rPr>
      </w:pPr>
    </w:p>
    <w:p w14:paraId="342855DA" w14:textId="6304419B" w:rsidR="001C3A20" w:rsidRDefault="00186070" w:rsidP="00186070">
      <w:pPr>
        <w:shd w:val="clear" w:color="auto" w:fill="FFFFFF"/>
        <w:spacing w:before="144" w:after="120" w:line="360" w:lineRule="auto"/>
        <w:contextualSpacing/>
        <w:jc w:val="both"/>
        <w:rPr>
          <w:rFonts w:ascii="Arial" w:hAnsi="Arial" w:cs="Arial"/>
          <w:sz w:val="24"/>
          <w:szCs w:val="24"/>
        </w:rPr>
      </w:pPr>
      <w:r>
        <w:rPr>
          <w:rFonts w:ascii="Arial" w:hAnsi="Arial" w:cs="Arial"/>
          <w:color w:val="000000"/>
          <w:sz w:val="24"/>
          <w:szCs w:val="24"/>
        </w:rPr>
        <w:lastRenderedPageBreak/>
        <w:t>[43]</w:t>
      </w:r>
      <w:r>
        <w:rPr>
          <w:rFonts w:ascii="Arial" w:hAnsi="Arial" w:cs="Arial"/>
          <w:color w:val="000000"/>
          <w:sz w:val="24"/>
          <w:szCs w:val="24"/>
        </w:rPr>
        <w:tab/>
      </w:r>
      <w:r w:rsidR="003200D6" w:rsidRPr="00351DC7">
        <w:rPr>
          <w:rFonts w:ascii="Arial" w:hAnsi="Arial" w:cs="Arial"/>
          <w:sz w:val="24"/>
          <w:szCs w:val="24"/>
        </w:rPr>
        <w:t>I make this point because there is likelihood that once the High Court had complied with</w:t>
      </w:r>
      <w:r w:rsidR="00351DC7">
        <w:rPr>
          <w:rFonts w:ascii="Arial" w:hAnsi="Arial" w:cs="Arial"/>
          <w:sz w:val="24"/>
          <w:szCs w:val="24"/>
        </w:rPr>
        <w:t xml:space="preserve"> the order we are about to make,</w:t>
      </w:r>
      <w:r w:rsidR="003200D6" w:rsidRPr="00351DC7">
        <w:rPr>
          <w:rFonts w:ascii="Arial" w:hAnsi="Arial" w:cs="Arial"/>
          <w:sz w:val="24"/>
          <w:szCs w:val="24"/>
        </w:rPr>
        <w:t xml:space="preserve"> the matter might find its way </w:t>
      </w:r>
      <w:r w:rsidR="00603162" w:rsidRPr="00351DC7">
        <w:rPr>
          <w:rFonts w:ascii="Arial" w:hAnsi="Arial" w:cs="Arial"/>
          <w:sz w:val="24"/>
          <w:szCs w:val="24"/>
        </w:rPr>
        <w:t xml:space="preserve">back </w:t>
      </w:r>
      <w:r w:rsidR="003200D6" w:rsidRPr="00351DC7">
        <w:rPr>
          <w:rFonts w:ascii="Arial" w:hAnsi="Arial" w:cs="Arial"/>
          <w:sz w:val="24"/>
          <w:szCs w:val="24"/>
        </w:rPr>
        <w:t xml:space="preserve">to this Court. None of the parties should assert that the merits as between Featherbrooke and </w:t>
      </w:r>
      <w:r w:rsidR="00603162" w:rsidRPr="00351DC7">
        <w:rPr>
          <w:rFonts w:ascii="Arial" w:hAnsi="Arial" w:cs="Arial"/>
          <w:sz w:val="24"/>
          <w:szCs w:val="24"/>
        </w:rPr>
        <w:t xml:space="preserve">any of the parties </w:t>
      </w:r>
      <w:r w:rsidR="003200D6" w:rsidRPr="00351DC7">
        <w:rPr>
          <w:rFonts w:ascii="Arial" w:hAnsi="Arial" w:cs="Arial"/>
          <w:sz w:val="24"/>
          <w:szCs w:val="24"/>
        </w:rPr>
        <w:t>had already been disposed of by this Court</w:t>
      </w:r>
      <w:r w:rsidR="00AE3ABA" w:rsidRPr="00351DC7">
        <w:rPr>
          <w:rFonts w:ascii="Arial" w:hAnsi="Arial" w:cs="Arial"/>
          <w:sz w:val="24"/>
          <w:szCs w:val="24"/>
        </w:rPr>
        <w:t xml:space="preserve"> in this appeal</w:t>
      </w:r>
      <w:r w:rsidR="003200D6" w:rsidRPr="00351DC7">
        <w:rPr>
          <w:rFonts w:ascii="Arial" w:hAnsi="Arial" w:cs="Arial"/>
          <w:sz w:val="24"/>
          <w:szCs w:val="24"/>
        </w:rPr>
        <w:t>.</w:t>
      </w:r>
    </w:p>
    <w:p w14:paraId="795B71BA" w14:textId="77777777" w:rsidR="00F7327F" w:rsidRDefault="00F7327F" w:rsidP="00F7327F">
      <w:pPr>
        <w:pStyle w:val="ListParagraph"/>
        <w:rPr>
          <w:rFonts w:ascii="Arial" w:hAnsi="Arial" w:cs="Arial"/>
          <w:sz w:val="24"/>
          <w:szCs w:val="24"/>
        </w:rPr>
      </w:pPr>
    </w:p>
    <w:p w14:paraId="20555893" w14:textId="229FAEDE" w:rsidR="00711B72" w:rsidRPr="00351DC7" w:rsidRDefault="00186070" w:rsidP="00186070">
      <w:pPr>
        <w:shd w:val="clear" w:color="auto" w:fill="FFFFFF"/>
        <w:spacing w:before="144" w:after="120" w:line="360" w:lineRule="auto"/>
        <w:contextualSpacing/>
        <w:jc w:val="both"/>
        <w:rPr>
          <w:rFonts w:ascii="Arial" w:hAnsi="Arial" w:cs="Arial"/>
          <w:b/>
          <w:sz w:val="24"/>
          <w:szCs w:val="24"/>
        </w:rPr>
      </w:pPr>
      <w:r w:rsidRPr="00351DC7">
        <w:rPr>
          <w:rFonts w:ascii="Arial" w:hAnsi="Arial" w:cs="Arial"/>
          <w:color w:val="000000"/>
          <w:sz w:val="24"/>
          <w:szCs w:val="24"/>
        </w:rPr>
        <w:t>[44]</w:t>
      </w:r>
      <w:r w:rsidRPr="00351DC7">
        <w:rPr>
          <w:rFonts w:ascii="Arial" w:hAnsi="Arial" w:cs="Arial"/>
          <w:color w:val="000000"/>
          <w:sz w:val="24"/>
          <w:szCs w:val="24"/>
        </w:rPr>
        <w:tab/>
      </w:r>
      <w:r w:rsidR="00711B72" w:rsidRPr="00351DC7">
        <w:rPr>
          <w:rFonts w:ascii="Arial" w:hAnsi="Arial" w:cs="Arial"/>
          <w:sz w:val="24"/>
          <w:szCs w:val="24"/>
        </w:rPr>
        <w:t xml:space="preserve">There remains the issue of costs. This case presents uniquely unusual circumstances, brought about by the </w:t>
      </w:r>
      <w:r w:rsidR="00134C67" w:rsidRPr="00351DC7">
        <w:rPr>
          <w:rFonts w:ascii="Arial" w:hAnsi="Arial" w:cs="Arial"/>
          <w:sz w:val="24"/>
          <w:szCs w:val="24"/>
        </w:rPr>
        <w:t>errors of the</w:t>
      </w:r>
      <w:r w:rsidR="00134C67">
        <w:rPr>
          <w:rFonts w:ascii="Arial" w:hAnsi="Arial" w:cs="Arial"/>
          <w:sz w:val="24"/>
          <w:szCs w:val="24"/>
        </w:rPr>
        <w:t xml:space="preserve"> </w:t>
      </w:r>
      <w:r w:rsidR="003200D6">
        <w:rPr>
          <w:rFonts w:ascii="Arial" w:hAnsi="Arial" w:cs="Arial"/>
          <w:sz w:val="24"/>
          <w:szCs w:val="24"/>
        </w:rPr>
        <w:t>H</w:t>
      </w:r>
      <w:r w:rsidR="00711B72" w:rsidRPr="00E224B9">
        <w:rPr>
          <w:rFonts w:ascii="Arial" w:hAnsi="Arial" w:cs="Arial"/>
          <w:sz w:val="24"/>
          <w:szCs w:val="24"/>
        </w:rPr>
        <w:t xml:space="preserve">igh </w:t>
      </w:r>
      <w:r w:rsidR="003200D6">
        <w:rPr>
          <w:rFonts w:ascii="Arial" w:hAnsi="Arial" w:cs="Arial"/>
          <w:sz w:val="24"/>
          <w:szCs w:val="24"/>
        </w:rPr>
        <w:t>C</w:t>
      </w:r>
      <w:r w:rsidR="00711B72" w:rsidRPr="00E224B9">
        <w:rPr>
          <w:rFonts w:ascii="Arial" w:hAnsi="Arial" w:cs="Arial"/>
          <w:sz w:val="24"/>
          <w:szCs w:val="24"/>
        </w:rPr>
        <w:t xml:space="preserve">ourt as set out above. For </w:t>
      </w:r>
      <w:r w:rsidR="00954685" w:rsidRPr="00E224B9">
        <w:rPr>
          <w:rFonts w:ascii="Arial" w:hAnsi="Arial" w:cs="Arial"/>
          <w:sz w:val="24"/>
          <w:szCs w:val="24"/>
        </w:rPr>
        <w:t>this reason,</w:t>
      </w:r>
      <w:r w:rsidR="00711B72" w:rsidRPr="00E224B9">
        <w:rPr>
          <w:rFonts w:ascii="Arial" w:hAnsi="Arial" w:cs="Arial"/>
          <w:sz w:val="24"/>
          <w:szCs w:val="24"/>
        </w:rPr>
        <w:t xml:space="preserve"> </w:t>
      </w:r>
      <w:r w:rsidR="00954685" w:rsidRPr="00E224B9">
        <w:rPr>
          <w:rFonts w:ascii="Arial" w:hAnsi="Arial" w:cs="Arial"/>
          <w:sz w:val="24"/>
          <w:szCs w:val="24"/>
        </w:rPr>
        <w:t xml:space="preserve">it would not be appropriate to mulct any of the parties with a costs order. Besides, </w:t>
      </w:r>
      <w:r w:rsidR="00711B72" w:rsidRPr="00E224B9">
        <w:rPr>
          <w:rFonts w:ascii="Arial" w:hAnsi="Arial" w:cs="Arial"/>
          <w:sz w:val="24"/>
          <w:szCs w:val="24"/>
        </w:rPr>
        <w:t>none of the parties achieved substantial succe</w:t>
      </w:r>
      <w:r w:rsidR="00954685" w:rsidRPr="00E224B9">
        <w:rPr>
          <w:rFonts w:ascii="Arial" w:hAnsi="Arial" w:cs="Arial"/>
          <w:sz w:val="24"/>
          <w:szCs w:val="24"/>
        </w:rPr>
        <w:t>ss on</w:t>
      </w:r>
      <w:r w:rsidR="00711B72" w:rsidRPr="00E224B9">
        <w:rPr>
          <w:rFonts w:ascii="Arial" w:hAnsi="Arial" w:cs="Arial"/>
          <w:sz w:val="24"/>
          <w:szCs w:val="24"/>
        </w:rPr>
        <w:t xml:space="preserve"> appeal. In the result, the appropriate order would </w:t>
      </w:r>
      <w:r w:rsidR="00FB38F8" w:rsidRPr="00431626">
        <w:rPr>
          <w:rFonts w:ascii="Arial" w:hAnsi="Arial" w:cs="Arial"/>
          <w:sz w:val="24"/>
          <w:szCs w:val="24"/>
        </w:rPr>
        <w:t>be</w:t>
      </w:r>
      <w:r w:rsidR="00FB38F8">
        <w:rPr>
          <w:rFonts w:ascii="Arial" w:hAnsi="Arial" w:cs="Arial"/>
          <w:sz w:val="24"/>
          <w:szCs w:val="24"/>
        </w:rPr>
        <w:t xml:space="preserve"> </w:t>
      </w:r>
      <w:r w:rsidR="00711B72" w:rsidRPr="00E224B9">
        <w:rPr>
          <w:rFonts w:ascii="Arial" w:hAnsi="Arial" w:cs="Arial"/>
          <w:sz w:val="24"/>
          <w:szCs w:val="24"/>
        </w:rPr>
        <w:t>that each party should pay its own costs.</w:t>
      </w:r>
    </w:p>
    <w:p w14:paraId="32536880" w14:textId="77777777" w:rsidR="00351DC7" w:rsidRDefault="00351DC7" w:rsidP="00351DC7">
      <w:pPr>
        <w:pStyle w:val="ListParagraph"/>
        <w:rPr>
          <w:rFonts w:ascii="Arial" w:hAnsi="Arial" w:cs="Arial"/>
          <w:b/>
          <w:sz w:val="24"/>
          <w:szCs w:val="24"/>
        </w:rPr>
      </w:pPr>
    </w:p>
    <w:p w14:paraId="42230778" w14:textId="5D265535" w:rsidR="002C5426" w:rsidRPr="00E224B9" w:rsidRDefault="00186070" w:rsidP="00186070">
      <w:pPr>
        <w:shd w:val="clear" w:color="auto" w:fill="FFFFFF"/>
        <w:spacing w:after="0" w:line="360" w:lineRule="auto"/>
        <w:contextualSpacing/>
        <w:rPr>
          <w:rFonts w:ascii="Arial" w:hAnsi="Arial" w:cs="Arial"/>
          <w:sz w:val="24"/>
          <w:szCs w:val="24"/>
        </w:rPr>
      </w:pPr>
      <w:r w:rsidRPr="00E224B9">
        <w:rPr>
          <w:rFonts w:ascii="Arial" w:hAnsi="Arial" w:cs="Arial"/>
          <w:color w:val="000000"/>
          <w:sz w:val="24"/>
          <w:szCs w:val="24"/>
        </w:rPr>
        <w:t>[45]</w:t>
      </w:r>
      <w:r w:rsidRPr="00E224B9">
        <w:rPr>
          <w:rFonts w:ascii="Arial" w:hAnsi="Arial" w:cs="Arial"/>
          <w:color w:val="000000"/>
          <w:sz w:val="24"/>
          <w:szCs w:val="24"/>
        </w:rPr>
        <w:tab/>
      </w:r>
      <w:r w:rsidR="00B044B2" w:rsidRPr="00E224B9">
        <w:rPr>
          <w:rFonts w:ascii="Arial" w:hAnsi="Arial" w:cs="Arial"/>
          <w:sz w:val="24"/>
          <w:szCs w:val="24"/>
        </w:rPr>
        <w:t>T</w:t>
      </w:r>
      <w:r w:rsidR="0093473C" w:rsidRPr="00E224B9">
        <w:rPr>
          <w:rFonts w:ascii="Arial" w:hAnsi="Arial" w:cs="Arial"/>
          <w:sz w:val="24"/>
          <w:szCs w:val="24"/>
        </w:rPr>
        <w:t>he following order</w:t>
      </w:r>
      <w:r w:rsidR="00B044B2" w:rsidRPr="00E224B9">
        <w:rPr>
          <w:rFonts w:ascii="Arial" w:hAnsi="Arial" w:cs="Arial"/>
          <w:sz w:val="24"/>
          <w:szCs w:val="24"/>
        </w:rPr>
        <w:t xml:space="preserve"> is made</w:t>
      </w:r>
      <w:r w:rsidR="0093473C" w:rsidRPr="00E224B9">
        <w:rPr>
          <w:rFonts w:ascii="Arial" w:hAnsi="Arial" w:cs="Arial"/>
          <w:sz w:val="24"/>
          <w:szCs w:val="24"/>
        </w:rPr>
        <w:t>:</w:t>
      </w:r>
      <w:r w:rsidR="00CE2131" w:rsidRPr="00E224B9">
        <w:rPr>
          <w:rFonts w:ascii="Arial" w:hAnsi="Arial" w:cs="Arial"/>
          <w:sz w:val="24"/>
          <w:szCs w:val="24"/>
        </w:rPr>
        <w:t xml:space="preserve"> </w:t>
      </w:r>
    </w:p>
    <w:p w14:paraId="25FA3D21" w14:textId="376C9F41" w:rsidR="00B044B2" w:rsidRPr="00186070" w:rsidRDefault="00186070" w:rsidP="00186070">
      <w:pPr>
        <w:shd w:val="clear" w:color="auto" w:fill="FFFFFF"/>
        <w:spacing w:after="0" w:line="360" w:lineRule="auto"/>
        <w:ind w:left="357" w:hanging="357"/>
        <w:jc w:val="both"/>
        <w:rPr>
          <w:rFonts w:ascii="Arial" w:hAnsi="Arial" w:cs="Arial"/>
          <w:sz w:val="24"/>
          <w:szCs w:val="24"/>
        </w:rPr>
      </w:pPr>
      <w:r w:rsidRPr="00E224B9">
        <w:rPr>
          <w:rFonts w:ascii="Arial" w:hAnsi="Arial" w:cs="Arial"/>
          <w:sz w:val="24"/>
          <w:szCs w:val="24"/>
        </w:rPr>
        <w:t>1</w:t>
      </w:r>
      <w:r w:rsidRPr="00E224B9">
        <w:rPr>
          <w:rFonts w:ascii="Arial" w:hAnsi="Arial" w:cs="Arial"/>
          <w:sz w:val="24"/>
          <w:szCs w:val="24"/>
        </w:rPr>
        <w:tab/>
      </w:r>
      <w:r w:rsidR="00B044B2" w:rsidRPr="00186070">
        <w:rPr>
          <w:rFonts w:ascii="Arial" w:hAnsi="Arial" w:cs="Arial"/>
          <w:sz w:val="24"/>
          <w:szCs w:val="24"/>
        </w:rPr>
        <w:t>The appeal is upheld with no orders as to costs.</w:t>
      </w:r>
    </w:p>
    <w:p w14:paraId="0C07EFF6" w14:textId="17AF5EF3" w:rsidR="00B044B2" w:rsidRPr="00E224B9" w:rsidRDefault="00FB38F8" w:rsidP="001E6E8A">
      <w:pPr>
        <w:pStyle w:val="ListParagraph"/>
        <w:shd w:val="clear" w:color="auto" w:fill="FFFFFF"/>
        <w:spacing w:before="144" w:after="120" w:line="360" w:lineRule="auto"/>
        <w:ind w:left="0"/>
        <w:rPr>
          <w:rFonts w:ascii="Arial" w:hAnsi="Arial" w:cs="Arial"/>
          <w:sz w:val="24"/>
          <w:szCs w:val="24"/>
        </w:rPr>
      </w:pPr>
      <w:r w:rsidRPr="00431626">
        <w:rPr>
          <w:rFonts w:ascii="Arial" w:hAnsi="Arial" w:cs="Arial"/>
          <w:sz w:val="24"/>
          <w:szCs w:val="24"/>
        </w:rPr>
        <w:t>2</w:t>
      </w:r>
      <w:r>
        <w:rPr>
          <w:rFonts w:ascii="Arial" w:hAnsi="Arial" w:cs="Arial"/>
          <w:sz w:val="24"/>
          <w:szCs w:val="24"/>
        </w:rPr>
        <w:t xml:space="preserve">    </w:t>
      </w:r>
      <w:r w:rsidR="00B044B2" w:rsidRPr="00E224B9">
        <w:rPr>
          <w:rFonts w:ascii="Arial" w:hAnsi="Arial" w:cs="Arial"/>
          <w:sz w:val="24"/>
          <w:szCs w:val="24"/>
        </w:rPr>
        <w:t>The order of the Full Court of Gauteng Division, Johannesburg is set aside and replaced with the following:</w:t>
      </w:r>
    </w:p>
    <w:p w14:paraId="278D6318" w14:textId="71C47C4B" w:rsidR="00B044B2" w:rsidRPr="00E224B9" w:rsidRDefault="00E225EB" w:rsidP="00FB38F8">
      <w:pPr>
        <w:pStyle w:val="ListParagraph"/>
        <w:shd w:val="clear" w:color="auto" w:fill="FFFFFF"/>
        <w:spacing w:before="144" w:after="120" w:line="360" w:lineRule="auto"/>
        <w:ind w:left="0"/>
        <w:jc w:val="both"/>
        <w:rPr>
          <w:rFonts w:ascii="Arial" w:hAnsi="Arial" w:cs="Arial"/>
          <w:sz w:val="24"/>
          <w:szCs w:val="24"/>
        </w:rPr>
      </w:pPr>
      <w:r>
        <w:rPr>
          <w:rFonts w:ascii="Arial" w:hAnsi="Arial" w:cs="Arial"/>
          <w:sz w:val="24"/>
          <w:szCs w:val="24"/>
        </w:rPr>
        <w:t xml:space="preserve">‘1 </w:t>
      </w:r>
      <w:r w:rsidR="00B044B2" w:rsidRPr="00E224B9">
        <w:rPr>
          <w:rFonts w:ascii="Arial" w:hAnsi="Arial" w:cs="Arial"/>
          <w:sz w:val="24"/>
          <w:szCs w:val="24"/>
        </w:rPr>
        <w:t>The appeal is upheld, with no order as to costs;</w:t>
      </w:r>
    </w:p>
    <w:p w14:paraId="761F686E" w14:textId="753AED78" w:rsidR="00B044B2" w:rsidRPr="00E224B9" w:rsidRDefault="00FB38F8" w:rsidP="00FB38F8">
      <w:pPr>
        <w:pStyle w:val="ListParagraph"/>
        <w:shd w:val="clear" w:color="auto" w:fill="FFFFFF"/>
        <w:spacing w:before="144" w:after="120" w:line="360" w:lineRule="auto"/>
        <w:ind w:left="0"/>
        <w:jc w:val="both"/>
        <w:rPr>
          <w:rFonts w:ascii="Arial" w:hAnsi="Arial" w:cs="Arial"/>
          <w:sz w:val="24"/>
          <w:szCs w:val="24"/>
        </w:rPr>
      </w:pPr>
      <w:r>
        <w:rPr>
          <w:rFonts w:ascii="Arial" w:hAnsi="Arial" w:cs="Arial"/>
          <w:sz w:val="24"/>
          <w:szCs w:val="24"/>
        </w:rPr>
        <w:t xml:space="preserve"> </w:t>
      </w:r>
      <w:r w:rsidR="00E225EB">
        <w:rPr>
          <w:rFonts w:ascii="Arial" w:hAnsi="Arial" w:cs="Arial"/>
          <w:sz w:val="24"/>
          <w:szCs w:val="24"/>
        </w:rPr>
        <w:t>2</w:t>
      </w:r>
      <w:r w:rsidR="00351DC7">
        <w:rPr>
          <w:rFonts w:ascii="Arial" w:hAnsi="Arial" w:cs="Arial"/>
          <w:sz w:val="24"/>
          <w:szCs w:val="24"/>
        </w:rPr>
        <w:t xml:space="preserve"> The order of the H</w:t>
      </w:r>
      <w:r w:rsidR="00B044B2" w:rsidRPr="00E224B9">
        <w:rPr>
          <w:rFonts w:ascii="Arial" w:hAnsi="Arial" w:cs="Arial"/>
          <w:sz w:val="24"/>
          <w:szCs w:val="24"/>
        </w:rPr>
        <w:t xml:space="preserve">igh </w:t>
      </w:r>
      <w:r w:rsidR="00351DC7">
        <w:rPr>
          <w:rFonts w:ascii="Arial" w:hAnsi="Arial" w:cs="Arial"/>
          <w:sz w:val="24"/>
          <w:szCs w:val="24"/>
        </w:rPr>
        <w:t>C</w:t>
      </w:r>
      <w:r w:rsidR="00B044B2" w:rsidRPr="00E224B9">
        <w:rPr>
          <w:rFonts w:ascii="Arial" w:hAnsi="Arial" w:cs="Arial"/>
          <w:sz w:val="24"/>
          <w:szCs w:val="24"/>
        </w:rPr>
        <w:t>ourt is set aside and replaced with the following:</w:t>
      </w:r>
    </w:p>
    <w:p w14:paraId="2DF64690" w14:textId="35BE5BB9" w:rsidR="00B044B2" w:rsidRPr="00E224B9" w:rsidRDefault="009B6116" w:rsidP="00FB38F8">
      <w:pPr>
        <w:pStyle w:val="ListParagraph"/>
        <w:shd w:val="clear" w:color="auto" w:fill="FFFFFF"/>
        <w:spacing w:after="0" w:line="360" w:lineRule="auto"/>
        <w:ind w:left="0"/>
        <w:jc w:val="both"/>
        <w:rPr>
          <w:rFonts w:ascii="Arial" w:hAnsi="Arial" w:cs="Arial"/>
          <w:sz w:val="24"/>
          <w:szCs w:val="24"/>
        </w:rPr>
      </w:pPr>
      <w:r>
        <w:rPr>
          <w:rFonts w:ascii="Arial" w:hAnsi="Arial" w:cs="Arial"/>
          <w:sz w:val="24"/>
          <w:szCs w:val="24"/>
        </w:rPr>
        <w:t xml:space="preserve">‘1 </w:t>
      </w:r>
      <w:r w:rsidR="00B044B2" w:rsidRPr="00E224B9">
        <w:rPr>
          <w:rFonts w:ascii="Arial" w:hAnsi="Arial" w:cs="Arial"/>
          <w:sz w:val="24"/>
          <w:szCs w:val="24"/>
        </w:rPr>
        <w:t>The matter is remitted to the High Court to determine:</w:t>
      </w:r>
    </w:p>
    <w:p w14:paraId="5BFDCCDD" w14:textId="7222513C" w:rsidR="00B044B2" w:rsidRPr="009B6116" w:rsidRDefault="009B6116" w:rsidP="00FB38F8">
      <w:pPr>
        <w:shd w:val="clear" w:color="auto" w:fill="FFFFFF"/>
        <w:spacing w:after="0" w:line="360" w:lineRule="auto"/>
        <w:jc w:val="both"/>
        <w:rPr>
          <w:rFonts w:ascii="Arial" w:hAnsi="Arial" w:cs="Arial"/>
          <w:sz w:val="24"/>
          <w:szCs w:val="24"/>
        </w:rPr>
      </w:pPr>
      <w:r>
        <w:rPr>
          <w:rFonts w:ascii="Arial" w:hAnsi="Arial" w:cs="Arial"/>
          <w:sz w:val="24"/>
          <w:szCs w:val="24"/>
        </w:rPr>
        <w:t xml:space="preserve">(a) </w:t>
      </w:r>
      <w:r w:rsidR="00B044B2" w:rsidRPr="009B6116">
        <w:rPr>
          <w:rFonts w:ascii="Arial" w:hAnsi="Arial" w:cs="Arial"/>
          <w:sz w:val="24"/>
          <w:szCs w:val="24"/>
        </w:rPr>
        <w:t>whether, in addition to Mogale City, any of the ori</w:t>
      </w:r>
      <w:r w:rsidR="00987FEE">
        <w:rPr>
          <w:rFonts w:ascii="Arial" w:hAnsi="Arial" w:cs="Arial"/>
          <w:sz w:val="24"/>
          <w:szCs w:val="24"/>
        </w:rPr>
        <w:t xml:space="preserve">ginally </w:t>
      </w:r>
      <w:r w:rsidR="00E225EB">
        <w:rPr>
          <w:rFonts w:ascii="Arial" w:hAnsi="Arial" w:cs="Arial"/>
          <w:sz w:val="24"/>
          <w:szCs w:val="24"/>
        </w:rPr>
        <w:t xml:space="preserve">cited State entities is </w:t>
      </w:r>
      <w:r w:rsidR="00B044B2" w:rsidRPr="009B6116">
        <w:rPr>
          <w:rFonts w:ascii="Arial" w:hAnsi="Arial" w:cs="Arial"/>
          <w:sz w:val="24"/>
          <w:szCs w:val="24"/>
        </w:rPr>
        <w:t>responsible for the remedial work at the Estate, and</w:t>
      </w:r>
    </w:p>
    <w:p w14:paraId="139F111F" w14:textId="029EC5C3" w:rsidR="00E1425F" w:rsidRPr="00E224B9" w:rsidRDefault="009B6116" w:rsidP="003F14A8">
      <w:pPr>
        <w:shd w:val="clear" w:color="auto" w:fill="FFFFFF"/>
        <w:spacing w:after="0" w:line="360" w:lineRule="auto"/>
        <w:ind w:left="-142" w:firstLine="142"/>
        <w:jc w:val="both"/>
        <w:rPr>
          <w:rFonts w:ascii="Arial" w:hAnsi="Arial" w:cs="Arial"/>
          <w:sz w:val="24"/>
          <w:szCs w:val="24"/>
        </w:rPr>
      </w:pPr>
      <w:r>
        <w:rPr>
          <w:rFonts w:ascii="Arial" w:hAnsi="Arial" w:cs="Arial"/>
          <w:sz w:val="24"/>
          <w:szCs w:val="24"/>
        </w:rPr>
        <w:t xml:space="preserve">(b) </w:t>
      </w:r>
      <w:r w:rsidR="00B044B2" w:rsidRPr="009B6116">
        <w:rPr>
          <w:rFonts w:ascii="Arial" w:hAnsi="Arial" w:cs="Arial"/>
          <w:sz w:val="24"/>
          <w:szCs w:val="24"/>
        </w:rPr>
        <w:t>an appropriate order in respect of each of the said State entities.’</w:t>
      </w:r>
    </w:p>
    <w:p w14:paraId="3B48ABFD" w14:textId="245D20ED" w:rsidR="00E1425F" w:rsidRPr="00E224B9" w:rsidRDefault="00E1425F" w:rsidP="00E1425F"/>
    <w:p w14:paraId="23C4F625" w14:textId="77777777" w:rsidR="00E1425F" w:rsidRPr="00E224B9" w:rsidRDefault="00E1425F" w:rsidP="00E1425F"/>
    <w:p w14:paraId="1FABD0CD" w14:textId="77777777" w:rsidR="00B044B2" w:rsidRPr="00E224B9" w:rsidRDefault="00B044B2" w:rsidP="00B044B2">
      <w:pPr>
        <w:keepNext/>
        <w:keepLines/>
        <w:shd w:val="clear" w:color="auto" w:fill="FFFFFF"/>
        <w:spacing w:before="240" w:after="120" w:line="360" w:lineRule="auto"/>
        <w:jc w:val="both"/>
        <w:outlineLvl w:val="1"/>
        <w:rPr>
          <w:rFonts w:ascii="Arial" w:eastAsiaTheme="minorEastAsia" w:hAnsi="Arial" w:cs="Arial"/>
          <w:sz w:val="24"/>
          <w:szCs w:val="24"/>
          <w:lang w:eastAsia="en-ZA"/>
        </w:rPr>
      </w:pPr>
    </w:p>
    <w:p w14:paraId="278B44C1" w14:textId="4ED3CF87" w:rsidR="0013213E" w:rsidRPr="00E224B9" w:rsidRDefault="0013213E" w:rsidP="009B6116">
      <w:pPr>
        <w:spacing w:after="0" w:line="360" w:lineRule="auto"/>
        <w:jc w:val="right"/>
        <w:rPr>
          <w:rFonts w:ascii="Arial" w:hAnsi="Arial" w:cs="Arial"/>
          <w:sz w:val="24"/>
          <w:szCs w:val="24"/>
        </w:rPr>
      </w:pPr>
      <w:r w:rsidRPr="00E224B9">
        <w:rPr>
          <w:rFonts w:ascii="Arial" w:hAnsi="Arial" w:cs="Arial"/>
          <w:sz w:val="24"/>
          <w:szCs w:val="24"/>
        </w:rPr>
        <w:t>_________________________</w:t>
      </w:r>
    </w:p>
    <w:p w14:paraId="24D974DC" w14:textId="2ECD5CF0" w:rsidR="0013213E" w:rsidRPr="001E6E8A" w:rsidRDefault="0013213E" w:rsidP="009B6116">
      <w:pPr>
        <w:spacing w:after="0" w:line="360" w:lineRule="auto"/>
        <w:jc w:val="right"/>
        <w:rPr>
          <w:rFonts w:ascii="Arial" w:hAnsi="Arial" w:cs="Arial"/>
          <w:b/>
          <w:sz w:val="24"/>
          <w:szCs w:val="24"/>
        </w:rPr>
      </w:pPr>
      <w:r w:rsidRPr="00E224B9">
        <w:rPr>
          <w:rFonts w:ascii="Arial" w:hAnsi="Arial" w:cs="Arial"/>
          <w:b/>
          <w:sz w:val="24"/>
          <w:szCs w:val="24"/>
        </w:rPr>
        <w:t xml:space="preserve">TM </w:t>
      </w:r>
      <w:r w:rsidRPr="001E6E8A">
        <w:rPr>
          <w:rFonts w:ascii="Arial" w:hAnsi="Arial" w:cs="Arial"/>
          <w:b/>
          <w:sz w:val="24"/>
          <w:szCs w:val="24"/>
        </w:rPr>
        <w:t>MAKGOKA</w:t>
      </w:r>
    </w:p>
    <w:p w14:paraId="6CA7F7A4" w14:textId="77777777" w:rsidR="000E47E1" w:rsidRDefault="0013213E" w:rsidP="001E6E8A">
      <w:pPr>
        <w:shd w:val="clear" w:color="auto" w:fill="FFFFFF"/>
        <w:spacing w:before="144" w:after="120" w:line="360" w:lineRule="auto"/>
        <w:contextualSpacing/>
        <w:jc w:val="right"/>
        <w:rPr>
          <w:rFonts w:ascii="Arial" w:hAnsi="Arial" w:cs="Arial"/>
          <w:b/>
          <w:sz w:val="24"/>
          <w:szCs w:val="24"/>
        </w:rPr>
      </w:pPr>
      <w:r w:rsidRPr="001E6E8A">
        <w:rPr>
          <w:rFonts w:ascii="Arial" w:hAnsi="Arial" w:cs="Arial"/>
          <w:b/>
          <w:sz w:val="24"/>
          <w:szCs w:val="24"/>
        </w:rPr>
        <w:t>JUDGE OF APPEA</w:t>
      </w:r>
      <w:r w:rsidR="001E6E8A" w:rsidRPr="001E6E8A">
        <w:rPr>
          <w:rFonts w:ascii="Arial" w:hAnsi="Arial" w:cs="Arial"/>
          <w:b/>
          <w:sz w:val="24"/>
          <w:szCs w:val="24"/>
        </w:rPr>
        <w:t>L</w:t>
      </w:r>
    </w:p>
    <w:p w14:paraId="359407B4" w14:textId="02D438D5" w:rsidR="0013213E" w:rsidRPr="00E224B9" w:rsidRDefault="0013213E" w:rsidP="000E47E1">
      <w:pPr>
        <w:shd w:val="clear" w:color="auto" w:fill="FFFFFF"/>
        <w:spacing w:before="144" w:after="120" w:line="360" w:lineRule="auto"/>
        <w:contextualSpacing/>
        <w:rPr>
          <w:rFonts w:ascii="Arial" w:hAnsi="Arial" w:cs="Arial"/>
          <w:sz w:val="24"/>
          <w:szCs w:val="24"/>
        </w:rPr>
      </w:pPr>
      <w:r w:rsidRPr="00E224B9">
        <w:rPr>
          <w:rFonts w:ascii="Arial" w:hAnsi="Arial" w:cs="Arial"/>
          <w:sz w:val="24"/>
          <w:szCs w:val="24"/>
        </w:rPr>
        <w:br w:type="page"/>
      </w:r>
    </w:p>
    <w:p w14:paraId="444D4FD9" w14:textId="1DB8607C" w:rsidR="00711B72" w:rsidRPr="00E224B9" w:rsidRDefault="00711B72" w:rsidP="00711B72">
      <w:pPr>
        <w:spacing w:after="0" w:line="360" w:lineRule="auto"/>
        <w:jc w:val="both"/>
        <w:rPr>
          <w:rFonts w:ascii="Arial" w:hAnsi="Arial" w:cs="Arial"/>
          <w:sz w:val="24"/>
          <w:szCs w:val="24"/>
        </w:rPr>
      </w:pPr>
      <w:r w:rsidRPr="00E224B9">
        <w:rPr>
          <w:rFonts w:ascii="Arial" w:hAnsi="Arial" w:cs="Arial"/>
          <w:sz w:val="24"/>
          <w:szCs w:val="24"/>
        </w:rPr>
        <w:lastRenderedPageBreak/>
        <w:t>APPEARANCES:</w:t>
      </w:r>
    </w:p>
    <w:p w14:paraId="64FD1F02" w14:textId="579FB8E3" w:rsidR="00711B72" w:rsidRPr="00E224B9" w:rsidRDefault="00711B72" w:rsidP="00711B72">
      <w:pPr>
        <w:tabs>
          <w:tab w:val="left" w:pos="3402"/>
        </w:tabs>
        <w:spacing w:after="0" w:line="360" w:lineRule="auto"/>
        <w:jc w:val="both"/>
        <w:rPr>
          <w:rFonts w:ascii="Arial" w:hAnsi="Arial" w:cs="Arial"/>
          <w:sz w:val="24"/>
          <w:szCs w:val="24"/>
        </w:rPr>
      </w:pPr>
      <w:r w:rsidRPr="00E224B9">
        <w:rPr>
          <w:rFonts w:ascii="Arial" w:hAnsi="Arial" w:cs="Arial"/>
          <w:sz w:val="24"/>
          <w:szCs w:val="24"/>
        </w:rPr>
        <w:t>For appellant:</w:t>
      </w:r>
      <w:r w:rsidRPr="00E224B9">
        <w:rPr>
          <w:rFonts w:ascii="Arial" w:hAnsi="Arial" w:cs="Arial"/>
          <w:sz w:val="24"/>
          <w:szCs w:val="24"/>
        </w:rPr>
        <w:tab/>
      </w:r>
      <w:r w:rsidR="00954685" w:rsidRPr="00E224B9">
        <w:rPr>
          <w:rFonts w:ascii="Arial" w:hAnsi="Arial" w:cs="Arial"/>
          <w:sz w:val="24"/>
          <w:szCs w:val="24"/>
        </w:rPr>
        <w:t>J C Uys</w:t>
      </w:r>
      <w:r w:rsidR="00F3707A">
        <w:rPr>
          <w:rFonts w:ascii="Arial" w:hAnsi="Arial" w:cs="Arial"/>
          <w:sz w:val="24"/>
          <w:szCs w:val="24"/>
        </w:rPr>
        <w:t xml:space="preserve"> SC</w:t>
      </w:r>
      <w:r w:rsidR="00954685" w:rsidRPr="00E224B9">
        <w:rPr>
          <w:rFonts w:ascii="Arial" w:hAnsi="Arial" w:cs="Arial"/>
          <w:sz w:val="24"/>
          <w:szCs w:val="24"/>
        </w:rPr>
        <w:t xml:space="preserve"> (with him S J Martin</w:t>
      </w:r>
      <w:r w:rsidRPr="00E224B9">
        <w:rPr>
          <w:rFonts w:ascii="Arial" w:hAnsi="Arial" w:cs="Arial"/>
          <w:sz w:val="24"/>
          <w:szCs w:val="24"/>
        </w:rPr>
        <w:t>)</w:t>
      </w:r>
    </w:p>
    <w:p w14:paraId="5D9B6E22" w14:textId="4C4FB191" w:rsidR="00711B72" w:rsidRPr="00E224B9" w:rsidRDefault="00711B72" w:rsidP="00711B72">
      <w:pPr>
        <w:tabs>
          <w:tab w:val="left" w:pos="3402"/>
        </w:tabs>
        <w:spacing w:after="0" w:line="360" w:lineRule="auto"/>
        <w:jc w:val="both"/>
        <w:rPr>
          <w:rFonts w:ascii="Arial" w:hAnsi="Arial" w:cs="Arial"/>
          <w:sz w:val="24"/>
          <w:szCs w:val="24"/>
        </w:rPr>
      </w:pPr>
      <w:r w:rsidRPr="00E224B9">
        <w:rPr>
          <w:rFonts w:ascii="Arial" w:hAnsi="Arial" w:cs="Arial"/>
          <w:sz w:val="24"/>
          <w:szCs w:val="24"/>
        </w:rPr>
        <w:t>Instructed by:</w:t>
      </w:r>
      <w:r w:rsidRPr="00E224B9">
        <w:rPr>
          <w:rFonts w:ascii="Arial" w:hAnsi="Arial" w:cs="Arial"/>
          <w:bCs/>
          <w:sz w:val="24"/>
          <w:szCs w:val="24"/>
        </w:rPr>
        <w:tab/>
      </w:r>
      <w:r w:rsidR="000E47E1">
        <w:rPr>
          <w:rFonts w:ascii="Arial" w:hAnsi="Arial" w:cs="Arial"/>
          <w:sz w:val="24"/>
          <w:szCs w:val="24"/>
        </w:rPr>
        <w:t>J J</w:t>
      </w:r>
      <w:r w:rsidR="00954685" w:rsidRPr="00E224B9">
        <w:rPr>
          <w:rFonts w:ascii="Arial" w:hAnsi="Arial" w:cs="Arial"/>
          <w:sz w:val="24"/>
          <w:szCs w:val="24"/>
        </w:rPr>
        <w:t xml:space="preserve"> Badenhorst &amp; Associates Inc.</w:t>
      </w:r>
      <w:r w:rsidRPr="00E224B9">
        <w:rPr>
          <w:rFonts w:ascii="Arial" w:hAnsi="Arial" w:cs="Arial"/>
          <w:bCs/>
          <w:sz w:val="24"/>
          <w:szCs w:val="24"/>
        </w:rPr>
        <w:t>,</w:t>
      </w:r>
      <w:r w:rsidR="00954685" w:rsidRPr="00E224B9">
        <w:rPr>
          <w:rFonts w:ascii="Arial" w:hAnsi="Arial" w:cs="Arial"/>
          <w:bCs/>
          <w:sz w:val="24"/>
          <w:szCs w:val="24"/>
        </w:rPr>
        <w:t xml:space="preserve"> Roodepoort</w:t>
      </w:r>
      <w:r w:rsidRPr="00E224B9">
        <w:rPr>
          <w:rFonts w:ascii="Arial" w:hAnsi="Arial" w:cs="Arial"/>
          <w:bCs/>
          <w:sz w:val="24"/>
          <w:szCs w:val="24"/>
        </w:rPr>
        <w:t xml:space="preserve"> </w:t>
      </w:r>
      <w:r w:rsidRPr="00E224B9">
        <w:rPr>
          <w:rFonts w:ascii="Arial" w:hAnsi="Arial" w:cs="Arial"/>
          <w:sz w:val="24"/>
          <w:szCs w:val="24"/>
        </w:rPr>
        <w:t xml:space="preserve"> </w:t>
      </w:r>
    </w:p>
    <w:p w14:paraId="2EDD0976" w14:textId="32555122" w:rsidR="00711B72" w:rsidRPr="00E224B9" w:rsidRDefault="00954685" w:rsidP="00711B72">
      <w:pPr>
        <w:tabs>
          <w:tab w:val="left" w:pos="3402"/>
        </w:tabs>
        <w:spacing w:after="0" w:line="360" w:lineRule="auto"/>
        <w:ind w:left="3402"/>
        <w:jc w:val="both"/>
        <w:rPr>
          <w:rFonts w:ascii="Arial" w:hAnsi="Arial" w:cs="Arial"/>
          <w:sz w:val="24"/>
          <w:szCs w:val="24"/>
        </w:rPr>
      </w:pPr>
      <w:r w:rsidRPr="00E224B9">
        <w:rPr>
          <w:rFonts w:ascii="Arial" w:hAnsi="Arial" w:cs="Arial"/>
          <w:sz w:val="24"/>
          <w:szCs w:val="24"/>
        </w:rPr>
        <w:t>Lovius Block Inc., Bloemfontein</w:t>
      </w:r>
    </w:p>
    <w:p w14:paraId="70C0B80D" w14:textId="77777777" w:rsidR="00711B72" w:rsidRPr="00E224B9" w:rsidRDefault="00711B72" w:rsidP="00711B72">
      <w:pPr>
        <w:tabs>
          <w:tab w:val="left" w:pos="3402"/>
        </w:tabs>
        <w:spacing w:after="0" w:line="360" w:lineRule="auto"/>
        <w:jc w:val="both"/>
        <w:rPr>
          <w:rFonts w:ascii="Arial" w:hAnsi="Arial" w:cs="Arial"/>
          <w:sz w:val="24"/>
          <w:szCs w:val="24"/>
          <w:highlight w:val="green"/>
        </w:rPr>
      </w:pPr>
      <w:r w:rsidRPr="00E224B9">
        <w:rPr>
          <w:rFonts w:ascii="Arial" w:hAnsi="Arial" w:cs="Arial"/>
          <w:sz w:val="24"/>
          <w:szCs w:val="24"/>
        </w:rPr>
        <w:t xml:space="preserve"> </w:t>
      </w:r>
    </w:p>
    <w:p w14:paraId="2C61AFCD" w14:textId="47E4ECF8" w:rsidR="00711B72" w:rsidRPr="00E224B9" w:rsidRDefault="00711B72" w:rsidP="00711B72">
      <w:pPr>
        <w:tabs>
          <w:tab w:val="left" w:pos="3402"/>
        </w:tabs>
        <w:spacing w:after="0" w:line="360" w:lineRule="auto"/>
        <w:ind w:left="3402" w:hanging="3402"/>
        <w:jc w:val="both"/>
        <w:rPr>
          <w:rFonts w:ascii="Arial" w:hAnsi="Arial" w:cs="Arial"/>
          <w:sz w:val="24"/>
          <w:szCs w:val="24"/>
        </w:rPr>
      </w:pPr>
      <w:r w:rsidRPr="00E224B9">
        <w:rPr>
          <w:rFonts w:ascii="Arial" w:hAnsi="Arial" w:cs="Arial"/>
          <w:sz w:val="24"/>
          <w:szCs w:val="24"/>
        </w:rPr>
        <w:t>For respondent:</w:t>
      </w:r>
      <w:r w:rsidRPr="00E224B9">
        <w:rPr>
          <w:rFonts w:ascii="Arial" w:hAnsi="Arial" w:cs="Arial"/>
          <w:sz w:val="24"/>
          <w:szCs w:val="24"/>
        </w:rPr>
        <w:tab/>
      </w:r>
      <w:r w:rsidR="00954685" w:rsidRPr="00E224B9">
        <w:rPr>
          <w:rFonts w:ascii="Arial" w:hAnsi="Arial" w:cs="Arial"/>
          <w:sz w:val="24"/>
          <w:szCs w:val="24"/>
        </w:rPr>
        <w:t>F J Nalane SC (with him S Qagana)</w:t>
      </w:r>
      <w:r w:rsidRPr="00E224B9">
        <w:rPr>
          <w:rFonts w:ascii="Arial" w:hAnsi="Arial" w:cs="Arial"/>
          <w:sz w:val="24"/>
          <w:szCs w:val="24"/>
        </w:rPr>
        <w:t xml:space="preserve"> </w:t>
      </w:r>
    </w:p>
    <w:p w14:paraId="3AA226A9" w14:textId="66ECC207" w:rsidR="00711B72" w:rsidRPr="00E224B9" w:rsidRDefault="00711B72" w:rsidP="00711B72">
      <w:pPr>
        <w:widowControl w:val="0"/>
        <w:tabs>
          <w:tab w:val="left" w:pos="3402"/>
        </w:tabs>
        <w:autoSpaceDE w:val="0"/>
        <w:autoSpaceDN w:val="0"/>
        <w:adjustRightInd w:val="0"/>
        <w:spacing w:after="0" w:line="360" w:lineRule="auto"/>
        <w:jc w:val="both"/>
        <w:rPr>
          <w:rFonts w:ascii="Arial" w:hAnsi="Arial" w:cs="Arial"/>
          <w:bCs/>
          <w:sz w:val="24"/>
          <w:szCs w:val="24"/>
        </w:rPr>
      </w:pPr>
      <w:bookmarkStart w:id="5" w:name="_Hlk103591020"/>
      <w:r w:rsidRPr="00E224B9">
        <w:rPr>
          <w:rFonts w:ascii="Arial" w:hAnsi="Arial" w:cs="Arial"/>
          <w:sz w:val="24"/>
          <w:szCs w:val="24"/>
        </w:rPr>
        <w:t>Instructed by:</w:t>
      </w:r>
      <w:r w:rsidRPr="00E224B9">
        <w:rPr>
          <w:rFonts w:ascii="Arial" w:hAnsi="Arial" w:cs="Arial"/>
          <w:sz w:val="24"/>
          <w:szCs w:val="24"/>
        </w:rPr>
        <w:tab/>
      </w:r>
      <w:r w:rsidR="00954685" w:rsidRPr="00E224B9">
        <w:rPr>
          <w:rFonts w:ascii="Arial" w:hAnsi="Arial" w:cs="Arial"/>
          <w:bCs/>
          <w:sz w:val="24"/>
          <w:szCs w:val="24"/>
        </w:rPr>
        <w:t>Mogaswa Inc.</w:t>
      </w:r>
      <w:r w:rsidRPr="00E224B9">
        <w:rPr>
          <w:rFonts w:ascii="Arial" w:hAnsi="Arial" w:cs="Arial"/>
          <w:bCs/>
          <w:sz w:val="24"/>
          <w:szCs w:val="24"/>
        </w:rPr>
        <w:t xml:space="preserve">, </w:t>
      </w:r>
      <w:r w:rsidR="00954685" w:rsidRPr="00E224B9">
        <w:rPr>
          <w:rFonts w:ascii="Arial" w:hAnsi="Arial" w:cs="Arial"/>
          <w:bCs/>
          <w:sz w:val="24"/>
          <w:szCs w:val="24"/>
        </w:rPr>
        <w:t>Roodepoort</w:t>
      </w:r>
    </w:p>
    <w:p w14:paraId="79B1FD67" w14:textId="6C626378" w:rsidR="00711B72" w:rsidRPr="00E224B9" w:rsidRDefault="00954685" w:rsidP="00711B72">
      <w:pPr>
        <w:widowControl w:val="0"/>
        <w:tabs>
          <w:tab w:val="left" w:pos="3402"/>
        </w:tabs>
        <w:autoSpaceDE w:val="0"/>
        <w:autoSpaceDN w:val="0"/>
        <w:adjustRightInd w:val="0"/>
        <w:spacing w:after="0" w:line="360" w:lineRule="auto"/>
        <w:ind w:left="3402"/>
        <w:jc w:val="both"/>
        <w:rPr>
          <w:rFonts w:ascii="Arial" w:hAnsi="Arial" w:cs="Arial"/>
          <w:bCs/>
          <w:sz w:val="24"/>
          <w:szCs w:val="24"/>
        </w:rPr>
      </w:pPr>
      <w:r w:rsidRPr="00E224B9">
        <w:rPr>
          <w:rFonts w:ascii="Arial" w:hAnsi="Arial" w:cs="Arial"/>
          <w:bCs/>
          <w:sz w:val="24"/>
          <w:szCs w:val="24"/>
        </w:rPr>
        <w:t xml:space="preserve">Van der Berg Van Vuuren </w:t>
      </w:r>
      <w:r w:rsidR="00711B72" w:rsidRPr="00E224B9">
        <w:rPr>
          <w:rFonts w:ascii="Arial" w:hAnsi="Arial" w:cs="Arial"/>
          <w:bCs/>
          <w:sz w:val="24"/>
          <w:szCs w:val="24"/>
        </w:rPr>
        <w:t>Attorneys, Bloemfontein.</w:t>
      </w:r>
      <w:bookmarkEnd w:id="5"/>
    </w:p>
    <w:p w14:paraId="158EF319" w14:textId="4506C1D1" w:rsidR="00954685" w:rsidRPr="006738B3" w:rsidRDefault="00954685" w:rsidP="00E1425F">
      <w:pPr>
        <w:widowControl w:val="0"/>
        <w:tabs>
          <w:tab w:val="left" w:pos="3402"/>
        </w:tabs>
        <w:autoSpaceDE w:val="0"/>
        <w:autoSpaceDN w:val="0"/>
        <w:adjustRightInd w:val="0"/>
        <w:spacing w:after="0" w:line="360" w:lineRule="auto"/>
        <w:jc w:val="both"/>
        <w:rPr>
          <w:rFonts w:ascii="Arial" w:hAnsi="Arial" w:cs="Arial"/>
          <w:bCs/>
          <w:sz w:val="24"/>
          <w:szCs w:val="24"/>
        </w:rPr>
      </w:pPr>
    </w:p>
    <w:sectPr w:rsidR="00954685" w:rsidRPr="006738B3" w:rsidSect="00E7004D">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A037C9" w16cex:dateUtc="2024-03-15T08:25:00Z"/>
  <w16cex:commentExtensible w16cex:durableId="17E9F8A8" w16cex:dateUtc="2024-03-15T08:41:00Z"/>
  <w16cex:commentExtensible w16cex:durableId="1FDFC7E3" w16cex:dateUtc="2024-03-15T09:15:00Z"/>
  <w16cex:commentExtensible w16cex:durableId="482752E6" w16cex:dateUtc="2024-03-15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2A288" w16cid:durableId="41A037C9"/>
  <w16cid:commentId w16cid:paraId="5CDE082C" w16cid:durableId="17E9F8A8"/>
  <w16cid:commentId w16cid:paraId="6EDD7764" w16cid:durableId="1FDFC7E3"/>
  <w16cid:commentId w16cid:paraId="43387D84" w16cid:durableId="482752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7B50" w14:textId="77777777" w:rsidR="00F557F3" w:rsidRDefault="00F557F3" w:rsidP="000D6233">
      <w:pPr>
        <w:spacing w:after="0" w:line="240" w:lineRule="auto"/>
      </w:pPr>
      <w:r>
        <w:separator/>
      </w:r>
    </w:p>
  </w:endnote>
  <w:endnote w:type="continuationSeparator" w:id="0">
    <w:p w14:paraId="1158AED6" w14:textId="77777777" w:rsidR="00F557F3" w:rsidRDefault="00F557F3" w:rsidP="000D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7E73" w14:textId="77777777" w:rsidR="00F557F3" w:rsidRDefault="00F557F3" w:rsidP="000D6233">
      <w:pPr>
        <w:spacing w:after="0" w:line="240" w:lineRule="auto"/>
      </w:pPr>
      <w:r>
        <w:separator/>
      </w:r>
    </w:p>
  </w:footnote>
  <w:footnote w:type="continuationSeparator" w:id="0">
    <w:p w14:paraId="05FF491A" w14:textId="77777777" w:rsidR="00F557F3" w:rsidRDefault="00F557F3" w:rsidP="000D6233">
      <w:pPr>
        <w:spacing w:after="0" w:line="240" w:lineRule="auto"/>
      </w:pPr>
      <w:r>
        <w:continuationSeparator/>
      </w:r>
    </w:p>
  </w:footnote>
  <w:footnote w:id="1">
    <w:p w14:paraId="1190F85A" w14:textId="07BD89EA" w:rsidR="00EB379F" w:rsidRPr="00E224B9" w:rsidRDefault="00EB379F" w:rsidP="000E47E1">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117 of 1998.</w:t>
      </w:r>
    </w:p>
  </w:footnote>
  <w:footnote w:id="2">
    <w:p w14:paraId="0DC0BFF5" w14:textId="06C20A30" w:rsidR="0007624E" w:rsidRPr="001E6E8A" w:rsidRDefault="0007624E" w:rsidP="0007624E">
      <w:pPr>
        <w:pStyle w:val="FootnoteText"/>
        <w:rPr>
          <w:rFonts w:ascii="Arial" w:hAnsi="Arial" w:cs="Arial"/>
        </w:rPr>
      </w:pPr>
      <w:r w:rsidRPr="001E6E8A">
        <w:rPr>
          <w:rStyle w:val="FootnoteReference"/>
          <w:rFonts w:ascii="Arial" w:hAnsi="Arial" w:cs="Arial"/>
        </w:rPr>
        <w:footnoteRef/>
      </w:r>
      <w:r w:rsidRPr="001E6E8A">
        <w:rPr>
          <w:rFonts w:ascii="Arial" w:hAnsi="Arial" w:cs="Arial"/>
        </w:rPr>
        <w:t xml:space="preserve"> 36 of 1998</w:t>
      </w:r>
      <w:r w:rsidR="008F4533" w:rsidRPr="001E6E8A">
        <w:rPr>
          <w:rFonts w:ascii="Arial" w:hAnsi="Arial" w:cs="Arial"/>
        </w:rPr>
        <w:t>.</w:t>
      </w:r>
    </w:p>
  </w:footnote>
  <w:footnote w:id="3">
    <w:p w14:paraId="0F672E00" w14:textId="41E8E184" w:rsidR="00EB379F" w:rsidRPr="00E224B9" w:rsidRDefault="00EB379F" w:rsidP="00E224B9">
      <w:pPr>
        <w:jc w:val="both"/>
        <w:rPr>
          <w:rFonts w:ascii="Arial" w:hAnsi="Arial" w:cs="Arial"/>
          <w:sz w:val="20"/>
          <w:szCs w:val="20"/>
        </w:rPr>
      </w:pPr>
      <w:r w:rsidRPr="00E224B9">
        <w:rPr>
          <w:rStyle w:val="FootnoteReference"/>
          <w:rFonts w:ascii="Arial" w:hAnsi="Arial" w:cs="Arial"/>
          <w:sz w:val="20"/>
          <w:szCs w:val="20"/>
        </w:rPr>
        <w:footnoteRef/>
      </w:r>
      <w:r w:rsidRPr="00E224B9">
        <w:rPr>
          <w:rFonts w:ascii="Arial" w:hAnsi="Arial" w:cs="Arial"/>
          <w:sz w:val="20"/>
          <w:szCs w:val="20"/>
        </w:rPr>
        <w:t xml:space="preserve"> That principle is to the effect that where legislation has been enacted to give effect to a constitutional right, a litigant must either rely on that legislation or challenge its constitutionality.</w:t>
      </w:r>
      <w:r w:rsidR="001D219B" w:rsidRPr="00E224B9">
        <w:rPr>
          <w:rFonts w:ascii="Arial" w:hAnsi="Arial" w:cs="Arial"/>
          <w:sz w:val="20"/>
          <w:szCs w:val="20"/>
        </w:rPr>
        <w:t xml:space="preserve"> See </w:t>
      </w:r>
      <w:r w:rsidR="00E224B9" w:rsidRPr="00E224B9">
        <w:rPr>
          <w:rFonts w:ascii="Arial" w:hAnsi="Arial" w:cs="Arial"/>
          <w:i/>
          <w:iCs/>
          <w:color w:val="242121"/>
          <w:sz w:val="20"/>
          <w:szCs w:val="20"/>
          <w:shd w:val="clear" w:color="auto" w:fill="FFFFFF"/>
        </w:rPr>
        <w:t>Nokotyana and Others v Ekurhuleni Metropolitan Municipality and Others</w:t>
      </w:r>
      <w:r w:rsidR="00E224B9" w:rsidRPr="00E224B9">
        <w:rPr>
          <w:rFonts w:ascii="Arial" w:hAnsi="Arial" w:cs="Arial"/>
          <w:color w:val="242121"/>
          <w:sz w:val="20"/>
          <w:szCs w:val="20"/>
          <w:shd w:val="clear" w:color="auto" w:fill="FFFFFF"/>
        </w:rPr>
        <w:t> [2009] ZACC 33; 2010 (4) BCLR</w:t>
      </w:r>
      <w:r w:rsidR="00F92EE6">
        <w:rPr>
          <w:rFonts w:ascii="Arial" w:hAnsi="Arial" w:cs="Arial"/>
          <w:color w:val="242121"/>
          <w:sz w:val="20"/>
          <w:szCs w:val="20"/>
          <w:shd w:val="clear" w:color="auto" w:fill="FFFFFF"/>
        </w:rPr>
        <w:t xml:space="preserve"> </w:t>
      </w:r>
      <w:r w:rsidR="00F92EE6" w:rsidRPr="00431626">
        <w:rPr>
          <w:rFonts w:ascii="Arial" w:hAnsi="Arial" w:cs="Arial"/>
          <w:color w:val="242121"/>
          <w:sz w:val="20"/>
          <w:szCs w:val="20"/>
          <w:shd w:val="clear" w:color="auto" w:fill="FFFFFF"/>
        </w:rPr>
        <w:t>312</w:t>
      </w:r>
      <w:r w:rsidR="00E224B9" w:rsidRPr="00E224B9">
        <w:rPr>
          <w:rFonts w:ascii="Arial" w:hAnsi="Arial" w:cs="Arial"/>
          <w:color w:val="242121"/>
          <w:sz w:val="20"/>
          <w:szCs w:val="20"/>
          <w:shd w:val="clear" w:color="auto" w:fill="FFFFFF"/>
        </w:rPr>
        <w:t xml:space="preserve"> (CC) para 50; </w:t>
      </w:r>
      <w:r w:rsidR="001D219B" w:rsidRPr="00E224B9">
        <w:rPr>
          <w:rFonts w:ascii="Arial" w:hAnsi="Arial" w:cs="Arial"/>
          <w:i/>
          <w:sz w:val="20"/>
          <w:szCs w:val="20"/>
        </w:rPr>
        <w:t>My Vote Counts NPC v Speaker of the National Assembly</w:t>
      </w:r>
      <w:r w:rsidR="001D219B" w:rsidRPr="00E224B9">
        <w:rPr>
          <w:rFonts w:ascii="Arial" w:hAnsi="Arial" w:cs="Arial"/>
          <w:sz w:val="20"/>
          <w:szCs w:val="20"/>
        </w:rPr>
        <w:t xml:space="preserve"> </w:t>
      </w:r>
      <w:r w:rsidR="00F92EE6" w:rsidRPr="00431626">
        <w:rPr>
          <w:rFonts w:ascii="Arial" w:hAnsi="Arial" w:cs="Arial"/>
          <w:i/>
          <w:sz w:val="20"/>
          <w:szCs w:val="20"/>
        </w:rPr>
        <w:t>and Others</w:t>
      </w:r>
      <w:r w:rsidR="00F92EE6">
        <w:rPr>
          <w:rFonts w:ascii="Arial" w:hAnsi="Arial" w:cs="Arial"/>
          <w:sz w:val="20"/>
          <w:szCs w:val="20"/>
        </w:rPr>
        <w:t xml:space="preserve"> </w:t>
      </w:r>
      <w:r w:rsidR="001D219B" w:rsidRPr="00E224B9">
        <w:rPr>
          <w:rFonts w:ascii="Arial" w:hAnsi="Arial" w:cs="Arial"/>
          <w:sz w:val="20"/>
          <w:szCs w:val="20"/>
        </w:rPr>
        <w:t>[2015] ZACC 31; 2016 (1) SA 132 (CC</w:t>
      </w:r>
      <w:r w:rsidR="001D219B" w:rsidRPr="00431626">
        <w:rPr>
          <w:rFonts w:ascii="Arial" w:hAnsi="Arial" w:cs="Arial"/>
          <w:sz w:val="20"/>
          <w:szCs w:val="20"/>
        </w:rPr>
        <w:t>)</w:t>
      </w:r>
      <w:r w:rsidR="00F92EE6" w:rsidRPr="00431626">
        <w:rPr>
          <w:rFonts w:ascii="Arial" w:hAnsi="Arial" w:cs="Arial"/>
          <w:sz w:val="20"/>
          <w:szCs w:val="20"/>
        </w:rPr>
        <w:t xml:space="preserve"> paras</w:t>
      </w:r>
      <w:r w:rsidR="001D219B" w:rsidRPr="00E224B9">
        <w:rPr>
          <w:rFonts w:ascii="Arial" w:hAnsi="Arial" w:cs="Arial"/>
          <w:sz w:val="20"/>
          <w:szCs w:val="20"/>
        </w:rPr>
        <w:t xml:space="preserve"> 44-66</w:t>
      </w:r>
      <w:r w:rsidR="00E224B9" w:rsidRPr="00E224B9">
        <w:rPr>
          <w:rFonts w:ascii="Arial" w:hAnsi="Arial" w:cs="Arial"/>
          <w:sz w:val="20"/>
          <w:szCs w:val="20"/>
        </w:rPr>
        <w:t xml:space="preserve"> and 160-161.</w:t>
      </w:r>
    </w:p>
  </w:footnote>
  <w:footnote w:id="4">
    <w:p w14:paraId="045C7BB0" w14:textId="591BBAEF" w:rsidR="00EB379F" w:rsidRPr="00E224B9" w:rsidRDefault="00EB379F" w:rsidP="00C468CE">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w:t>
      </w:r>
      <w:r w:rsidR="00D93012" w:rsidRPr="00E224B9">
        <w:rPr>
          <w:rFonts w:ascii="Arial" w:hAnsi="Arial" w:cs="Arial"/>
        </w:rPr>
        <w:t>107 of 1998.</w:t>
      </w:r>
    </w:p>
  </w:footnote>
  <w:footnote w:id="5">
    <w:p w14:paraId="40B6E687" w14:textId="77777777" w:rsidR="00412A89" w:rsidRPr="00163964" w:rsidRDefault="00412A89" w:rsidP="00412A89">
      <w:pPr>
        <w:pStyle w:val="FootnoteText"/>
        <w:jc w:val="both"/>
        <w:rPr>
          <w:rFonts w:ascii="Arial" w:hAnsi="Arial" w:cs="Arial"/>
        </w:rPr>
      </w:pPr>
      <w:r w:rsidRPr="00163964">
        <w:rPr>
          <w:rStyle w:val="FootnoteReference"/>
          <w:rFonts w:ascii="Arial" w:hAnsi="Arial" w:cs="Arial"/>
        </w:rPr>
        <w:footnoteRef/>
      </w:r>
      <w:r w:rsidRPr="00163964">
        <w:rPr>
          <w:rFonts w:ascii="Arial" w:hAnsi="Arial" w:cs="Arial"/>
        </w:rPr>
        <w:t xml:space="preserve"> An applicant for such an order must show a clear right; an injury actually committed or reasonably apprehended; and the absence of similar protection by any other ordinary remedy. </w:t>
      </w:r>
      <w:r w:rsidRPr="00163964">
        <w:rPr>
          <w:rFonts w:ascii="Arial" w:hAnsi="Arial" w:cs="Arial"/>
          <w:i/>
          <w:lang w:val="en-US"/>
        </w:rPr>
        <w:t xml:space="preserve">Setlogelo v Setlogelo </w:t>
      </w:r>
      <w:r w:rsidRPr="00163964">
        <w:rPr>
          <w:rFonts w:ascii="Arial" w:hAnsi="Arial" w:cs="Arial"/>
          <w:lang w:val="en-US"/>
        </w:rPr>
        <w:t>1914 AD 221 at 227.</w:t>
      </w:r>
      <w:r w:rsidRPr="00163964">
        <w:rPr>
          <w:rFonts w:ascii="Arial" w:hAnsi="Arial" w:cs="Arial"/>
          <w:i/>
          <w:lang w:val="en-US"/>
        </w:rPr>
        <w:t xml:space="preserve"> </w:t>
      </w:r>
      <w:r w:rsidRPr="00163964">
        <w:rPr>
          <w:rFonts w:ascii="Arial" w:hAnsi="Arial" w:cs="Arial"/>
          <w:lang w:val="en-US"/>
        </w:rPr>
        <w:t xml:space="preserve">These requisites have been restated by this Court in a plethora of cases, most recently in </w:t>
      </w:r>
      <w:r w:rsidRPr="00163964">
        <w:rPr>
          <w:rFonts w:ascii="Arial" w:eastAsia="Times New Roman" w:hAnsi="Arial" w:cs="Arial"/>
          <w:i/>
          <w:lang w:eastAsia="en-ZA"/>
        </w:rPr>
        <w:t>Hotz and Others v University of Cape Town</w:t>
      </w:r>
      <w:r w:rsidRPr="00163964">
        <w:rPr>
          <w:rFonts w:ascii="Arial" w:eastAsia="Times New Roman" w:hAnsi="Arial" w:cs="Arial"/>
          <w:lang w:eastAsia="en-ZA"/>
        </w:rPr>
        <w:t xml:space="preserve"> [2016] ZASCA 159; [2016] 4 All SA 723 (SCA); 2017 (2) SA 485 (SCA) para 29; </w:t>
      </w:r>
      <w:r w:rsidRPr="00163964">
        <w:rPr>
          <w:rFonts w:ascii="Arial" w:hAnsi="Arial" w:cs="Arial"/>
          <w:i/>
          <w:lang w:val="en-US"/>
        </w:rPr>
        <w:t xml:space="preserve">Van Deventer v Ivory Sun Trading 77 (Pty) Ltd </w:t>
      </w:r>
      <w:r w:rsidRPr="00163964">
        <w:rPr>
          <w:rFonts w:ascii="Arial" w:hAnsi="Arial" w:cs="Arial"/>
          <w:lang w:val="en-US"/>
        </w:rPr>
        <w:t xml:space="preserve">2015 (3) SA 532 (SCA) [2014] ZASCA 169 para 26; and </w:t>
      </w:r>
      <w:r w:rsidRPr="00163964">
        <w:rPr>
          <w:rFonts w:ascii="Arial" w:hAnsi="Arial" w:cs="Arial"/>
          <w:i/>
          <w:lang w:val="en-US"/>
        </w:rPr>
        <w:t>Red Dunes of Africa v Masingita Property Investment Holdings</w:t>
      </w:r>
      <w:r w:rsidRPr="00163964">
        <w:rPr>
          <w:rFonts w:ascii="Arial" w:hAnsi="Arial" w:cs="Arial"/>
          <w:lang w:val="en-US"/>
        </w:rPr>
        <w:t xml:space="preserve"> [2015] ZASCA 99 para 19. They were affirmed by the Constitutional Court in </w:t>
      </w:r>
      <w:r w:rsidRPr="00163964">
        <w:rPr>
          <w:rFonts w:ascii="Arial" w:hAnsi="Arial" w:cs="Arial"/>
          <w:i/>
          <w:lang w:val="en-US"/>
        </w:rPr>
        <w:t xml:space="preserve">Pilane and Another v Pilane and Another </w:t>
      </w:r>
      <w:r w:rsidRPr="00163964">
        <w:rPr>
          <w:rFonts w:ascii="Arial" w:hAnsi="Arial" w:cs="Arial"/>
          <w:lang w:val="en-US"/>
        </w:rPr>
        <w:t>[2013] ZACC 3;</w:t>
      </w:r>
      <w:r w:rsidRPr="00163964">
        <w:rPr>
          <w:rFonts w:ascii="Arial" w:hAnsi="Arial" w:cs="Arial"/>
          <w:i/>
          <w:lang w:val="en-US"/>
        </w:rPr>
        <w:t xml:space="preserve"> </w:t>
      </w:r>
      <w:r w:rsidRPr="00163964">
        <w:rPr>
          <w:rFonts w:ascii="Arial" w:hAnsi="Arial" w:cs="Arial"/>
          <w:lang w:val="en-US"/>
        </w:rPr>
        <w:t>2013 (4) BCLR 431 (CC) para 38.</w:t>
      </w:r>
    </w:p>
  </w:footnote>
  <w:footnote w:id="6">
    <w:p w14:paraId="008CD78B" w14:textId="385C08C1" w:rsidR="00EB379F" w:rsidRPr="00E224B9" w:rsidRDefault="00EB379F" w:rsidP="00C468CE">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Section 2(</w:t>
      </w:r>
      <w:r w:rsidRPr="00E224B9">
        <w:rPr>
          <w:rFonts w:ascii="Arial" w:hAnsi="Arial" w:cs="Arial"/>
          <w:i/>
        </w:rPr>
        <w:t>k</w:t>
      </w:r>
      <w:r w:rsidRPr="00E224B9">
        <w:rPr>
          <w:rFonts w:ascii="Arial" w:hAnsi="Arial" w:cs="Arial"/>
        </w:rPr>
        <w:t>).</w:t>
      </w:r>
    </w:p>
  </w:footnote>
  <w:footnote w:id="7">
    <w:p w14:paraId="159E277E" w14:textId="48BFEA2C" w:rsidR="00EB379F" w:rsidRPr="00E224B9" w:rsidRDefault="00EB379F" w:rsidP="00C468CE">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Section 21(</w:t>
      </w:r>
      <w:r w:rsidRPr="00E224B9">
        <w:rPr>
          <w:rFonts w:ascii="Arial" w:hAnsi="Arial" w:cs="Arial"/>
          <w:i/>
        </w:rPr>
        <w:t>c</w:t>
      </w:r>
      <w:r w:rsidRPr="00E224B9">
        <w:rPr>
          <w:rFonts w:ascii="Arial" w:hAnsi="Arial" w:cs="Arial"/>
        </w:rPr>
        <w:t>).</w:t>
      </w:r>
    </w:p>
  </w:footnote>
  <w:footnote w:id="8">
    <w:p w14:paraId="2D95B223" w14:textId="67C472E4" w:rsidR="00EB379F" w:rsidRPr="00E224B9" w:rsidRDefault="00EB379F" w:rsidP="00C468CE">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Section 21(</w:t>
      </w:r>
      <w:r w:rsidRPr="00E224B9">
        <w:rPr>
          <w:rFonts w:ascii="Arial" w:hAnsi="Arial" w:cs="Arial"/>
          <w:i/>
        </w:rPr>
        <w:t>d</w:t>
      </w:r>
      <w:r w:rsidRPr="00E224B9">
        <w:rPr>
          <w:rFonts w:ascii="Arial" w:hAnsi="Arial" w:cs="Arial"/>
        </w:rPr>
        <w:t xml:space="preserve">). </w:t>
      </w:r>
    </w:p>
  </w:footnote>
  <w:footnote w:id="9">
    <w:p w14:paraId="6175DAF4" w14:textId="29EA9369" w:rsidR="00EB379F" w:rsidRPr="00E224B9" w:rsidRDefault="00EB379F" w:rsidP="00C468CE">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w:t>
      </w:r>
      <w:r w:rsidR="00D93012" w:rsidRPr="00E224B9">
        <w:rPr>
          <w:rFonts w:ascii="Arial" w:hAnsi="Arial" w:cs="Arial"/>
        </w:rPr>
        <w:t>Section 21(</w:t>
      </w:r>
      <w:r w:rsidR="00D93012" w:rsidRPr="00E224B9">
        <w:rPr>
          <w:rFonts w:ascii="Arial" w:hAnsi="Arial" w:cs="Arial"/>
          <w:i/>
        </w:rPr>
        <w:t>i</w:t>
      </w:r>
      <w:r w:rsidR="00D93012" w:rsidRPr="00E224B9">
        <w:rPr>
          <w:rFonts w:ascii="Arial" w:hAnsi="Arial" w:cs="Arial"/>
        </w:rPr>
        <w:t>).</w:t>
      </w:r>
    </w:p>
  </w:footnote>
  <w:footnote w:id="10">
    <w:p w14:paraId="54781964" w14:textId="27BED641" w:rsidR="00EB379F" w:rsidRPr="00E224B9" w:rsidRDefault="00EB379F" w:rsidP="00C468CE">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Section 37(</w:t>
      </w:r>
      <w:r w:rsidRPr="00E224B9">
        <w:rPr>
          <w:rFonts w:ascii="Arial" w:hAnsi="Arial" w:cs="Arial"/>
          <w:i/>
        </w:rPr>
        <w:t>c</w:t>
      </w:r>
      <w:r w:rsidRPr="00E224B9">
        <w:rPr>
          <w:rFonts w:ascii="Arial" w:hAnsi="Arial" w:cs="Arial"/>
        </w:rPr>
        <w:t>).</w:t>
      </w:r>
    </w:p>
  </w:footnote>
  <w:footnote w:id="11">
    <w:p w14:paraId="4A78A5B1" w14:textId="5B687D57" w:rsidR="00EB379F" w:rsidRPr="00E224B9" w:rsidRDefault="00EB379F" w:rsidP="000E47E1">
      <w:pPr>
        <w:pStyle w:val="FootnoteText"/>
        <w:jc w:val="both"/>
        <w:rPr>
          <w:rFonts w:ascii="Arial" w:hAnsi="Arial" w:cs="Arial"/>
        </w:rPr>
      </w:pPr>
      <w:r w:rsidRPr="00E224B9">
        <w:rPr>
          <w:rStyle w:val="FootnoteReference"/>
          <w:rFonts w:ascii="Arial" w:hAnsi="Arial" w:cs="Arial"/>
        </w:rPr>
        <w:footnoteRef/>
      </w:r>
      <w:r w:rsidRPr="00E224B9">
        <w:rPr>
          <w:rFonts w:ascii="Arial" w:hAnsi="Arial" w:cs="Arial"/>
        </w:rPr>
        <w:t xml:space="preserve"> </w:t>
      </w:r>
      <w:r w:rsidRPr="00E224B9">
        <w:rPr>
          <w:rFonts w:ascii="Arial" w:hAnsi="Arial" w:cs="Arial"/>
          <w:i/>
        </w:rPr>
        <w:t>Eke v Parsons</w:t>
      </w:r>
      <w:r w:rsidRPr="00E224B9">
        <w:rPr>
          <w:rFonts w:ascii="Arial" w:hAnsi="Arial" w:cs="Arial"/>
        </w:rPr>
        <w:t xml:space="preserve"> </w:t>
      </w:r>
      <w:r w:rsidR="00A3107A" w:rsidRPr="00431626">
        <w:rPr>
          <w:rFonts w:ascii="Arial" w:hAnsi="Arial" w:cs="Arial"/>
        </w:rPr>
        <w:t xml:space="preserve">[2015] ZACC 30; </w:t>
      </w:r>
      <w:r w:rsidR="000626B5" w:rsidRPr="00431626">
        <w:rPr>
          <w:rFonts w:ascii="Arial" w:hAnsi="Arial" w:cs="Arial"/>
        </w:rPr>
        <w:t>2015 (11) BCLR 1319 (CC);</w:t>
      </w:r>
      <w:r w:rsidR="000626B5">
        <w:rPr>
          <w:rFonts w:ascii="Arial" w:hAnsi="Arial" w:cs="Arial"/>
        </w:rPr>
        <w:t xml:space="preserve"> </w:t>
      </w:r>
      <w:r w:rsidRPr="00E224B9">
        <w:rPr>
          <w:rFonts w:ascii="Arial" w:hAnsi="Arial" w:cs="Arial"/>
        </w:rPr>
        <w:t>2016 (3) SA 37 (CC</w:t>
      </w:r>
      <w:r w:rsidR="000626B5" w:rsidRPr="000E47E1">
        <w:rPr>
          <w:rFonts w:ascii="Arial" w:hAnsi="Arial" w:cs="Arial"/>
        </w:rPr>
        <w:t>)</w:t>
      </w:r>
      <w:r w:rsidR="00A3107A">
        <w:rPr>
          <w:rFonts w:ascii="Arial" w:hAnsi="Arial" w:cs="Arial"/>
        </w:rPr>
        <w:t xml:space="preserve"> </w:t>
      </w:r>
      <w:r w:rsidRPr="00E224B9">
        <w:rPr>
          <w:rFonts w:ascii="Arial" w:hAnsi="Arial" w:cs="Arial"/>
        </w:rPr>
        <w:t xml:space="preserve">para 64. </w:t>
      </w:r>
    </w:p>
  </w:footnote>
  <w:footnote w:id="12">
    <w:p w14:paraId="6FE4685E" w14:textId="1BD4D5DB" w:rsidR="00EB379F" w:rsidRPr="00E224B9" w:rsidRDefault="00EB379F" w:rsidP="000E47E1">
      <w:pPr>
        <w:pStyle w:val="FootnoteText"/>
        <w:jc w:val="both"/>
        <w:rPr>
          <w:rFonts w:ascii="Times New Roman" w:hAnsi="Times New Roman" w:cs="Times New Roman"/>
        </w:rPr>
      </w:pPr>
      <w:r w:rsidRPr="00E224B9">
        <w:rPr>
          <w:rStyle w:val="FootnoteReference"/>
          <w:rFonts w:ascii="Arial" w:hAnsi="Arial" w:cs="Arial"/>
        </w:rPr>
        <w:footnoteRef/>
      </w:r>
      <w:r w:rsidRPr="00E224B9">
        <w:rPr>
          <w:rFonts w:ascii="Arial" w:hAnsi="Arial" w:cs="Arial"/>
        </w:rPr>
        <w:t xml:space="preserve"> </w:t>
      </w:r>
      <w:r w:rsidR="00D93012" w:rsidRPr="00E224B9">
        <w:rPr>
          <w:rFonts w:ascii="Arial" w:hAnsi="Arial" w:cs="Arial"/>
        </w:rPr>
        <w:t xml:space="preserve">Ibid </w:t>
      </w:r>
      <w:r w:rsidRPr="00E224B9">
        <w:rPr>
          <w:rFonts w:ascii="Arial" w:hAnsi="Arial" w:cs="Arial"/>
        </w:rPr>
        <w:t>para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42702"/>
      <w:docPartObj>
        <w:docPartGallery w:val="Page Numbers (Top of Page)"/>
        <w:docPartUnique/>
      </w:docPartObj>
    </w:sdtPr>
    <w:sdtEndPr>
      <w:rPr>
        <w:rFonts w:ascii="Arial" w:hAnsi="Arial" w:cs="Arial"/>
        <w:noProof/>
      </w:rPr>
    </w:sdtEndPr>
    <w:sdtContent>
      <w:p w14:paraId="0BF3888F" w14:textId="0170B897" w:rsidR="00EB379F" w:rsidRPr="00720091" w:rsidRDefault="00EB379F">
        <w:pPr>
          <w:pStyle w:val="Header"/>
          <w:jc w:val="right"/>
          <w:rPr>
            <w:rFonts w:ascii="Arial" w:hAnsi="Arial" w:cs="Arial"/>
          </w:rPr>
        </w:pPr>
        <w:r w:rsidRPr="00720091">
          <w:rPr>
            <w:rFonts w:ascii="Arial" w:hAnsi="Arial" w:cs="Arial"/>
          </w:rPr>
          <w:fldChar w:fldCharType="begin"/>
        </w:r>
        <w:r w:rsidRPr="00720091">
          <w:rPr>
            <w:rFonts w:ascii="Arial" w:hAnsi="Arial" w:cs="Arial"/>
          </w:rPr>
          <w:instrText xml:space="preserve"> PAGE   \* MERGEFORMAT </w:instrText>
        </w:r>
        <w:r w:rsidRPr="00720091">
          <w:rPr>
            <w:rFonts w:ascii="Arial" w:hAnsi="Arial" w:cs="Arial"/>
          </w:rPr>
          <w:fldChar w:fldCharType="separate"/>
        </w:r>
        <w:r w:rsidR="00186070">
          <w:rPr>
            <w:rFonts w:ascii="Arial" w:hAnsi="Arial" w:cs="Arial"/>
            <w:noProof/>
          </w:rPr>
          <w:t>2</w:t>
        </w:r>
        <w:r w:rsidRPr="00720091">
          <w:rPr>
            <w:rFonts w:ascii="Arial" w:hAnsi="Arial" w:cs="Arial"/>
            <w:noProof/>
          </w:rPr>
          <w:fldChar w:fldCharType="end"/>
        </w:r>
      </w:p>
    </w:sdtContent>
  </w:sdt>
  <w:p w14:paraId="72612D5D" w14:textId="77777777" w:rsidR="00EB379F" w:rsidRDefault="00EB37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start w:val="49"/>
      <w:numFmt w:val="decimal"/>
      <w:lvlText w:val="[%1]"/>
      <w:lvlJc w:val="left"/>
      <w:pPr>
        <w:ind w:left="120" w:hanging="710"/>
      </w:pPr>
      <w:rPr>
        <w:rFonts w:cs="Times New Roman"/>
        <w:b w:val="0"/>
        <w:bCs w:val="0"/>
        <w:w w:val="105"/>
      </w:rPr>
    </w:lvl>
    <w:lvl w:ilvl="1">
      <w:numFmt w:val="bullet"/>
      <w:lvlText w:val="•"/>
      <w:lvlJc w:val="left"/>
      <w:pPr>
        <w:ind w:left="958" w:hanging="710"/>
      </w:pPr>
    </w:lvl>
    <w:lvl w:ilvl="2">
      <w:numFmt w:val="bullet"/>
      <w:lvlText w:val="•"/>
      <w:lvlJc w:val="left"/>
      <w:pPr>
        <w:ind w:left="1796" w:hanging="710"/>
      </w:pPr>
    </w:lvl>
    <w:lvl w:ilvl="3">
      <w:numFmt w:val="bullet"/>
      <w:lvlText w:val="•"/>
      <w:lvlJc w:val="left"/>
      <w:pPr>
        <w:ind w:left="2634" w:hanging="710"/>
      </w:pPr>
    </w:lvl>
    <w:lvl w:ilvl="4">
      <w:numFmt w:val="bullet"/>
      <w:lvlText w:val="•"/>
      <w:lvlJc w:val="left"/>
      <w:pPr>
        <w:ind w:left="3473" w:hanging="710"/>
      </w:pPr>
    </w:lvl>
    <w:lvl w:ilvl="5">
      <w:numFmt w:val="bullet"/>
      <w:lvlText w:val="•"/>
      <w:lvlJc w:val="left"/>
      <w:pPr>
        <w:ind w:left="4311" w:hanging="710"/>
      </w:pPr>
    </w:lvl>
    <w:lvl w:ilvl="6">
      <w:numFmt w:val="bullet"/>
      <w:lvlText w:val="•"/>
      <w:lvlJc w:val="left"/>
      <w:pPr>
        <w:ind w:left="5149" w:hanging="710"/>
      </w:pPr>
    </w:lvl>
    <w:lvl w:ilvl="7">
      <w:numFmt w:val="bullet"/>
      <w:lvlText w:val="•"/>
      <w:lvlJc w:val="left"/>
      <w:pPr>
        <w:ind w:left="5988" w:hanging="710"/>
      </w:pPr>
    </w:lvl>
    <w:lvl w:ilvl="8">
      <w:numFmt w:val="bullet"/>
      <w:lvlText w:val="•"/>
      <w:lvlJc w:val="left"/>
      <w:pPr>
        <w:ind w:left="6826" w:hanging="710"/>
      </w:pPr>
    </w:lvl>
  </w:abstractNum>
  <w:abstractNum w:abstractNumId="1" w15:restartNumberingAfterBreak="0">
    <w:nsid w:val="068F45FE"/>
    <w:multiLevelType w:val="hybridMultilevel"/>
    <w:tmpl w:val="9D288E1A"/>
    <w:lvl w:ilvl="0" w:tplc="4446B4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5A7A26"/>
    <w:multiLevelType w:val="hybridMultilevel"/>
    <w:tmpl w:val="070803E8"/>
    <w:lvl w:ilvl="0" w:tplc="258E2F84">
      <w:numFmt w:val="decimal"/>
      <w:pStyle w:val="JUDGMENTNUMBERED"/>
      <w:lvlText w:val="[%1]"/>
      <w:lvlJc w:val="left"/>
      <w:pPr>
        <w:ind w:left="2345" w:hanging="360"/>
      </w:pPr>
      <w:rPr>
        <w:rFonts w:ascii="Arial" w:hAnsi="Arial" w:cs="Arial"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tplc="04090019">
      <w:start w:val="1"/>
      <w:numFmt w:val="lowerLetter"/>
      <w:lvlText w:val="%2."/>
      <w:lvlJc w:val="left"/>
      <w:pPr>
        <w:ind w:left="-3521" w:hanging="360"/>
      </w:pPr>
      <w:rPr>
        <w:rFonts w:cs="Times New Roman"/>
      </w:rPr>
    </w:lvl>
    <w:lvl w:ilvl="2" w:tplc="1F6A855A">
      <w:start w:val="1"/>
      <w:numFmt w:val="lowerLetter"/>
      <w:lvlText w:val="(%3)"/>
      <w:lvlJc w:val="left"/>
      <w:pPr>
        <w:ind w:left="-2621" w:hanging="360"/>
      </w:pPr>
      <w:rPr>
        <w:rFonts w:cs="Times New Roman"/>
      </w:rPr>
    </w:lvl>
    <w:lvl w:ilvl="3" w:tplc="257A1692">
      <w:start w:val="1"/>
      <w:numFmt w:val="decimal"/>
      <w:lvlText w:val="%4"/>
      <w:lvlJc w:val="left"/>
      <w:pPr>
        <w:ind w:left="-2081" w:hanging="360"/>
      </w:pPr>
      <w:rPr>
        <w:rFonts w:ascii="Arial" w:eastAsiaTheme="minorHAnsi" w:hAnsi="Arial" w:cs="Arial" w:hint="default"/>
      </w:rPr>
    </w:lvl>
    <w:lvl w:ilvl="4" w:tplc="04090019">
      <w:start w:val="1"/>
      <w:numFmt w:val="lowerLetter"/>
      <w:lvlText w:val="%5."/>
      <w:lvlJc w:val="left"/>
      <w:pPr>
        <w:ind w:left="-1361" w:hanging="360"/>
      </w:pPr>
      <w:rPr>
        <w:rFonts w:cs="Times New Roman"/>
      </w:rPr>
    </w:lvl>
    <w:lvl w:ilvl="5" w:tplc="0409001B">
      <w:start w:val="1"/>
      <w:numFmt w:val="lowerRoman"/>
      <w:lvlText w:val="%6."/>
      <w:lvlJc w:val="right"/>
      <w:pPr>
        <w:ind w:left="-641" w:hanging="180"/>
      </w:pPr>
      <w:rPr>
        <w:rFonts w:cs="Times New Roman"/>
      </w:rPr>
    </w:lvl>
    <w:lvl w:ilvl="6" w:tplc="0409000F">
      <w:start w:val="1"/>
      <w:numFmt w:val="decimal"/>
      <w:lvlText w:val="%7."/>
      <w:lvlJc w:val="left"/>
      <w:pPr>
        <w:ind w:left="79" w:hanging="360"/>
      </w:pPr>
      <w:rPr>
        <w:rFonts w:cs="Times New Roman"/>
      </w:rPr>
    </w:lvl>
    <w:lvl w:ilvl="7" w:tplc="04090019">
      <w:start w:val="1"/>
      <w:numFmt w:val="lowerLetter"/>
      <w:lvlText w:val="%8."/>
      <w:lvlJc w:val="left"/>
      <w:pPr>
        <w:ind w:left="799" w:hanging="360"/>
      </w:pPr>
      <w:rPr>
        <w:rFonts w:cs="Times New Roman"/>
      </w:rPr>
    </w:lvl>
    <w:lvl w:ilvl="8" w:tplc="0409001B">
      <w:start w:val="1"/>
      <w:numFmt w:val="lowerRoman"/>
      <w:lvlText w:val="%9."/>
      <w:lvlJc w:val="right"/>
      <w:pPr>
        <w:ind w:left="1519" w:hanging="180"/>
      </w:pPr>
      <w:rPr>
        <w:rFonts w:cs="Times New Roman"/>
      </w:rPr>
    </w:lvl>
  </w:abstractNum>
  <w:abstractNum w:abstractNumId="3" w15:restartNumberingAfterBreak="0">
    <w:nsid w:val="10E965D0"/>
    <w:multiLevelType w:val="multilevel"/>
    <w:tmpl w:val="B29228DA"/>
    <w:lvl w:ilvl="0">
      <w:start w:val="1"/>
      <w:numFmt w:val="decimal"/>
      <w:lvlText w:val="[%1]"/>
      <w:lvlJc w:val="left"/>
      <w:pPr>
        <w:ind w:left="2345"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3521" w:hanging="360"/>
      </w:pPr>
      <w:rPr>
        <w:rFonts w:cs="Times New Roman"/>
      </w:rPr>
    </w:lvl>
    <w:lvl w:ilvl="2">
      <w:start w:val="1"/>
      <w:numFmt w:val="lowerLetter"/>
      <w:lvlText w:val="(%3)"/>
      <w:lvlJc w:val="left"/>
      <w:pPr>
        <w:ind w:left="-2621" w:hanging="360"/>
      </w:pPr>
      <w:rPr>
        <w:rFonts w:cs="Times New Roman"/>
      </w:rPr>
    </w:lvl>
    <w:lvl w:ilvl="3">
      <w:start w:val="1"/>
      <w:numFmt w:val="decimal"/>
      <w:lvlText w:val="%4."/>
      <w:lvlJc w:val="left"/>
      <w:pPr>
        <w:ind w:left="-2081" w:hanging="360"/>
      </w:pPr>
      <w:rPr>
        <w:rFonts w:cs="Times New Roman"/>
      </w:rPr>
    </w:lvl>
    <w:lvl w:ilvl="4">
      <w:start w:val="1"/>
      <w:numFmt w:val="lowerLetter"/>
      <w:lvlText w:val="%5."/>
      <w:lvlJc w:val="left"/>
      <w:pPr>
        <w:ind w:left="-1361" w:hanging="360"/>
      </w:pPr>
      <w:rPr>
        <w:rFonts w:cs="Times New Roman"/>
      </w:rPr>
    </w:lvl>
    <w:lvl w:ilvl="5">
      <w:start w:val="1"/>
      <w:numFmt w:val="lowerRoman"/>
      <w:lvlText w:val="%6."/>
      <w:lvlJc w:val="right"/>
      <w:pPr>
        <w:ind w:left="-641" w:hanging="180"/>
      </w:pPr>
      <w:rPr>
        <w:rFonts w:cs="Times New Roman"/>
      </w:rPr>
    </w:lvl>
    <w:lvl w:ilvl="6">
      <w:start w:val="1"/>
      <w:numFmt w:val="decimal"/>
      <w:lvlText w:val="%7."/>
      <w:lvlJc w:val="left"/>
      <w:pPr>
        <w:ind w:left="79" w:hanging="360"/>
      </w:pPr>
      <w:rPr>
        <w:rFonts w:cs="Times New Roman"/>
      </w:rPr>
    </w:lvl>
    <w:lvl w:ilvl="7">
      <w:start w:val="1"/>
      <w:numFmt w:val="lowerLetter"/>
      <w:lvlText w:val="%8."/>
      <w:lvlJc w:val="left"/>
      <w:pPr>
        <w:ind w:left="799" w:hanging="360"/>
      </w:pPr>
      <w:rPr>
        <w:rFonts w:cs="Times New Roman"/>
      </w:rPr>
    </w:lvl>
    <w:lvl w:ilvl="8">
      <w:start w:val="1"/>
      <w:numFmt w:val="lowerRoman"/>
      <w:lvlText w:val="%9."/>
      <w:lvlJc w:val="right"/>
      <w:pPr>
        <w:ind w:left="1519" w:hanging="180"/>
      </w:pPr>
      <w:rPr>
        <w:rFonts w:cs="Times New Roman"/>
      </w:rPr>
    </w:lvl>
  </w:abstractNum>
  <w:abstractNum w:abstractNumId="4" w15:restartNumberingAfterBreak="0">
    <w:nsid w:val="17CD5091"/>
    <w:multiLevelType w:val="hybridMultilevel"/>
    <w:tmpl w:val="91FCDD60"/>
    <w:lvl w:ilvl="0" w:tplc="EC8EA724">
      <w:start w:val="1"/>
      <w:numFmt w:val="decimal"/>
      <w:lvlText w:val="%1"/>
      <w:lvlJc w:val="left"/>
      <w:pPr>
        <w:ind w:left="757" w:hanging="360"/>
      </w:pPr>
      <w:rPr>
        <w:rFonts w:hint="default"/>
      </w:rPr>
    </w:lvl>
    <w:lvl w:ilvl="1" w:tplc="1C090019" w:tentative="1">
      <w:start w:val="1"/>
      <w:numFmt w:val="lowerLetter"/>
      <w:lvlText w:val="%2."/>
      <w:lvlJc w:val="left"/>
      <w:pPr>
        <w:ind w:left="1477" w:hanging="360"/>
      </w:pPr>
    </w:lvl>
    <w:lvl w:ilvl="2" w:tplc="1C09001B" w:tentative="1">
      <w:start w:val="1"/>
      <w:numFmt w:val="lowerRoman"/>
      <w:lvlText w:val="%3."/>
      <w:lvlJc w:val="right"/>
      <w:pPr>
        <w:ind w:left="2197" w:hanging="180"/>
      </w:pPr>
    </w:lvl>
    <w:lvl w:ilvl="3" w:tplc="1C09000F" w:tentative="1">
      <w:start w:val="1"/>
      <w:numFmt w:val="decimal"/>
      <w:lvlText w:val="%4."/>
      <w:lvlJc w:val="left"/>
      <w:pPr>
        <w:ind w:left="2917" w:hanging="360"/>
      </w:pPr>
    </w:lvl>
    <w:lvl w:ilvl="4" w:tplc="1C090019" w:tentative="1">
      <w:start w:val="1"/>
      <w:numFmt w:val="lowerLetter"/>
      <w:lvlText w:val="%5."/>
      <w:lvlJc w:val="left"/>
      <w:pPr>
        <w:ind w:left="3637" w:hanging="360"/>
      </w:pPr>
    </w:lvl>
    <w:lvl w:ilvl="5" w:tplc="1C09001B" w:tentative="1">
      <w:start w:val="1"/>
      <w:numFmt w:val="lowerRoman"/>
      <w:lvlText w:val="%6."/>
      <w:lvlJc w:val="right"/>
      <w:pPr>
        <w:ind w:left="4357" w:hanging="180"/>
      </w:pPr>
    </w:lvl>
    <w:lvl w:ilvl="6" w:tplc="1C09000F" w:tentative="1">
      <w:start w:val="1"/>
      <w:numFmt w:val="decimal"/>
      <w:lvlText w:val="%7."/>
      <w:lvlJc w:val="left"/>
      <w:pPr>
        <w:ind w:left="5077" w:hanging="360"/>
      </w:pPr>
    </w:lvl>
    <w:lvl w:ilvl="7" w:tplc="1C090019" w:tentative="1">
      <w:start w:val="1"/>
      <w:numFmt w:val="lowerLetter"/>
      <w:lvlText w:val="%8."/>
      <w:lvlJc w:val="left"/>
      <w:pPr>
        <w:ind w:left="5797" w:hanging="360"/>
      </w:pPr>
    </w:lvl>
    <w:lvl w:ilvl="8" w:tplc="1C09001B" w:tentative="1">
      <w:start w:val="1"/>
      <w:numFmt w:val="lowerRoman"/>
      <w:lvlText w:val="%9."/>
      <w:lvlJc w:val="right"/>
      <w:pPr>
        <w:ind w:left="6517" w:hanging="180"/>
      </w:pPr>
    </w:lvl>
  </w:abstractNum>
  <w:abstractNum w:abstractNumId="5" w15:restartNumberingAfterBreak="0">
    <w:nsid w:val="5BCB3CDA"/>
    <w:multiLevelType w:val="hybridMultilevel"/>
    <w:tmpl w:val="561C033A"/>
    <w:lvl w:ilvl="0" w:tplc="467C8470">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ED3714"/>
    <w:multiLevelType w:val="hybridMultilevel"/>
    <w:tmpl w:val="A3C2E492"/>
    <w:lvl w:ilvl="0" w:tplc="EA32376C">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num>
  <w:num w:numId="5">
    <w:abstractNumId w:val="3"/>
  </w:num>
  <w:num w:numId="6">
    <w:abstractNumId w:val="1"/>
  </w:num>
  <w:num w:numId="7">
    <w:abstractNumId w:val="2"/>
    <w:lvlOverride w:ilvl="0">
      <w:startOverride w:val="1"/>
    </w:lvlOverride>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8A"/>
    <w:rsid w:val="000102A1"/>
    <w:rsid w:val="00010674"/>
    <w:rsid w:val="00024F9C"/>
    <w:rsid w:val="00050845"/>
    <w:rsid w:val="00051333"/>
    <w:rsid w:val="00054202"/>
    <w:rsid w:val="000626B5"/>
    <w:rsid w:val="00063FB1"/>
    <w:rsid w:val="0007624E"/>
    <w:rsid w:val="00080B8E"/>
    <w:rsid w:val="00085FE1"/>
    <w:rsid w:val="00090800"/>
    <w:rsid w:val="000A6130"/>
    <w:rsid w:val="000B3B80"/>
    <w:rsid w:val="000B5407"/>
    <w:rsid w:val="000C25B5"/>
    <w:rsid w:val="000D6233"/>
    <w:rsid w:val="000E1B97"/>
    <w:rsid w:val="000E47E1"/>
    <w:rsid w:val="000E6EA8"/>
    <w:rsid w:val="000F4F7F"/>
    <w:rsid w:val="00104194"/>
    <w:rsid w:val="00104700"/>
    <w:rsid w:val="00111C30"/>
    <w:rsid w:val="00114538"/>
    <w:rsid w:val="0013213E"/>
    <w:rsid w:val="00134C67"/>
    <w:rsid w:val="00144E0A"/>
    <w:rsid w:val="00161B15"/>
    <w:rsid w:val="00163964"/>
    <w:rsid w:val="001727BF"/>
    <w:rsid w:val="001769D1"/>
    <w:rsid w:val="001830C6"/>
    <w:rsid w:val="00186070"/>
    <w:rsid w:val="001939B5"/>
    <w:rsid w:val="001B025C"/>
    <w:rsid w:val="001B4F12"/>
    <w:rsid w:val="001C3A20"/>
    <w:rsid w:val="001C6AB5"/>
    <w:rsid w:val="001D219B"/>
    <w:rsid w:val="001E6E8A"/>
    <w:rsid w:val="00211825"/>
    <w:rsid w:val="00217661"/>
    <w:rsid w:val="00230438"/>
    <w:rsid w:val="00247B5E"/>
    <w:rsid w:val="002512D1"/>
    <w:rsid w:val="00262C5B"/>
    <w:rsid w:val="0027609B"/>
    <w:rsid w:val="00276A07"/>
    <w:rsid w:val="00285C12"/>
    <w:rsid w:val="002C276E"/>
    <w:rsid w:val="002C5426"/>
    <w:rsid w:val="002D091C"/>
    <w:rsid w:val="002E43F0"/>
    <w:rsid w:val="00306C9C"/>
    <w:rsid w:val="0031154F"/>
    <w:rsid w:val="00312053"/>
    <w:rsid w:val="003200D6"/>
    <w:rsid w:val="00327354"/>
    <w:rsid w:val="00343450"/>
    <w:rsid w:val="0034405F"/>
    <w:rsid w:val="0034748A"/>
    <w:rsid w:val="003512B4"/>
    <w:rsid w:val="00351DC7"/>
    <w:rsid w:val="00354CD9"/>
    <w:rsid w:val="00370C9A"/>
    <w:rsid w:val="00375524"/>
    <w:rsid w:val="003903B4"/>
    <w:rsid w:val="00393616"/>
    <w:rsid w:val="00394E1E"/>
    <w:rsid w:val="003C29EC"/>
    <w:rsid w:val="003E693F"/>
    <w:rsid w:val="003F14A8"/>
    <w:rsid w:val="003F32F7"/>
    <w:rsid w:val="00403657"/>
    <w:rsid w:val="00412A89"/>
    <w:rsid w:val="00431626"/>
    <w:rsid w:val="00434565"/>
    <w:rsid w:val="00447A0D"/>
    <w:rsid w:val="004650AF"/>
    <w:rsid w:val="00466FEA"/>
    <w:rsid w:val="004675E4"/>
    <w:rsid w:val="00475247"/>
    <w:rsid w:val="00486BDA"/>
    <w:rsid w:val="00491271"/>
    <w:rsid w:val="00491A52"/>
    <w:rsid w:val="00497416"/>
    <w:rsid w:val="004A1FAE"/>
    <w:rsid w:val="004A3800"/>
    <w:rsid w:val="004A41A1"/>
    <w:rsid w:val="004B3C4F"/>
    <w:rsid w:val="004B3D81"/>
    <w:rsid w:val="004B407E"/>
    <w:rsid w:val="004C45AD"/>
    <w:rsid w:val="004D101F"/>
    <w:rsid w:val="004E4D18"/>
    <w:rsid w:val="004F526E"/>
    <w:rsid w:val="005221F2"/>
    <w:rsid w:val="00526EB8"/>
    <w:rsid w:val="00526F27"/>
    <w:rsid w:val="0052785B"/>
    <w:rsid w:val="00531437"/>
    <w:rsid w:val="0054297A"/>
    <w:rsid w:val="00543D9E"/>
    <w:rsid w:val="00550676"/>
    <w:rsid w:val="00553283"/>
    <w:rsid w:val="00553B0A"/>
    <w:rsid w:val="00554592"/>
    <w:rsid w:val="005551CF"/>
    <w:rsid w:val="00567908"/>
    <w:rsid w:val="00570873"/>
    <w:rsid w:val="00572F62"/>
    <w:rsid w:val="005907AC"/>
    <w:rsid w:val="00596733"/>
    <w:rsid w:val="005C28FD"/>
    <w:rsid w:val="005C43C6"/>
    <w:rsid w:val="005C67B4"/>
    <w:rsid w:val="005D4DDF"/>
    <w:rsid w:val="00603162"/>
    <w:rsid w:val="006138C4"/>
    <w:rsid w:val="00615866"/>
    <w:rsid w:val="00620F19"/>
    <w:rsid w:val="006225F4"/>
    <w:rsid w:val="00631D21"/>
    <w:rsid w:val="00635AFE"/>
    <w:rsid w:val="0064532B"/>
    <w:rsid w:val="00650049"/>
    <w:rsid w:val="00653352"/>
    <w:rsid w:val="00667AB2"/>
    <w:rsid w:val="006738B3"/>
    <w:rsid w:val="00681133"/>
    <w:rsid w:val="0069452D"/>
    <w:rsid w:val="00694BA3"/>
    <w:rsid w:val="006A2194"/>
    <w:rsid w:val="006A24E9"/>
    <w:rsid w:val="006A5426"/>
    <w:rsid w:val="006C10C1"/>
    <w:rsid w:val="006C6A1D"/>
    <w:rsid w:val="006D24D8"/>
    <w:rsid w:val="006E36D8"/>
    <w:rsid w:val="006E3856"/>
    <w:rsid w:val="006E76FB"/>
    <w:rsid w:val="0070478B"/>
    <w:rsid w:val="00711B72"/>
    <w:rsid w:val="00712EF6"/>
    <w:rsid w:val="00714B38"/>
    <w:rsid w:val="00720091"/>
    <w:rsid w:val="00720333"/>
    <w:rsid w:val="00733DCF"/>
    <w:rsid w:val="00737BAA"/>
    <w:rsid w:val="00742C79"/>
    <w:rsid w:val="00744D09"/>
    <w:rsid w:val="00745EEC"/>
    <w:rsid w:val="007470B9"/>
    <w:rsid w:val="00771C6E"/>
    <w:rsid w:val="007831C3"/>
    <w:rsid w:val="007846FB"/>
    <w:rsid w:val="007A4C5C"/>
    <w:rsid w:val="007D079E"/>
    <w:rsid w:val="007D65CA"/>
    <w:rsid w:val="007D78F2"/>
    <w:rsid w:val="007E34D0"/>
    <w:rsid w:val="00820C9D"/>
    <w:rsid w:val="00820CB3"/>
    <w:rsid w:val="008212CD"/>
    <w:rsid w:val="0084089D"/>
    <w:rsid w:val="00842DBC"/>
    <w:rsid w:val="00847490"/>
    <w:rsid w:val="00864CA1"/>
    <w:rsid w:val="0089752A"/>
    <w:rsid w:val="008B35FF"/>
    <w:rsid w:val="008C3BCD"/>
    <w:rsid w:val="008C70E3"/>
    <w:rsid w:val="008F4533"/>
    <w:rsid w:val="00900418"/>
    <w:rsid w:val="00906294"/>
    <w:rsid w:val="00907E20"/>
    <w:rsid w:val="0093473C"/>
    <w:rsid w:val="00936038"/>
    <w:rsid w:val="009426B9"/>
    <w:rsid w:val="009442A7"/>
    <w:rsid w:val="009447AC"/>
    <w:rsid w:val="009473F4"/>
    <w:rsid w:val="00952E7C"/>
    <w:rsid w:val="00954685"/>
    <w:rsid w:val="00956A4F"/>
    <w:rsid w:val="00961FBC"/>
    <w:rsid w:val="00963130"/>
    <w:rsid w:val="00976888"/>
    <w:rsid w:val="00981D55"/>
    <w:rsid w:val="00985D67"/>
    <w:rsid w:val="00987E0B"/>
    <w:rsid w:val="00987FEE"/>
    <w:rsid w:val="009A799C"/>
    <w:rsid w:val="009B4A06"/>
    <w:rsid w:val="009B6116"/>
    <w:rsid w:val="009D097D"/>
    <w:rsid w:val="009D124C"/>
    <w:rsid w:val="009D43F4"/>
    <w:rsid w:val="009D5648"/>
    <w:rsid w:val="009F022C"/>
    <w:rsid w:val="009F21A0"/>
    <w:rsid w:val="009F35A0"/>
    <w:rsid w:val="00A06174"/>
    <w:rsid w:val="00A107E5"/>
    <w:rsid w:val="00A15E8A"/>
    <w:rsid w:val="00A3107A"/>
    <w:rsid w:val="00A357BD"/>
    <w:rsid w:val="00A37516"/>
    <w:rsid w:val="00A42BAF"/>
    <w:rsid w:val="00A43866"/>
    <w:rsid w:val="00A6040D"/>
    <w:rsid w:val="00A62E51"/>
    <w:rsid w:val="00A63822"/>
    <w:rsid w:val="00A8557A"/>
    <w:rsid w:val="00AB133F"/>
    <w:rsid w:val="00AB45ED"/>
    <w:rsid w:val="00AE0789"/>
    <w:rsid w:val="00AE2EE2"/>
    <w:rsid w:val="00AE3ABA"/>
    <w:rsid w:val="00AF6629"/>
    <w:rsid w:val="00B044B2"/>
    <w:rsid w:val="00B11A68"/>
    <w:rsid w:val="00B40355"/>
    <w:rsid w:val="00B479B9"/>
    <w:rsid w:val="00B67C12"/>
    <w:rsid w:val="00B86A9C"/>
    <w:rsid w:val="00B90964"/>
    <w:rsid w:val="00B943C8"/>
    <w:rsid w:val="00BB303F"/>
    <w:rsid w:val="00BC1ACF"/>
    <w:rsid w:val="00BF130A"/>
    <w:rsid w:val="00C15A2C"/>
    <w:rsid w:val="00C3454F"/>
    <w:rsid w:val="00C358A0"/>
    <w:rsid w:val="00C40239"/>
    <w:rsid w:val="00C430F8"/>
    <w:rsid w:val="00C468CE"/>
    <w:rsid w:val="00C537EB"/>
    <w:rsid w:val="00C66C4A"/>
    <w:rsid w:val="00C97F8C"/>
    <w:rsid w:val="00CA5D9B"/>
    <w:rsid w:val="00CA6999"/>
    <w:rsid w:val="00CC2808"/>
    <w:rsid w:val="00CC452D"/>
    <w:rsid w:val="00CE2131"/>
    <w:rsid w:val="00CE6A30"/>
    <w:rsid w:val="00CF3931"/>
    <w:rsid w:val="00D0084F"/>
    <w:rsid w:val="00D31A09"/>
    <w:rsid w:val="00D3599D"/>
    <w:rsid w:val="00D634D8"/>
    <w:rsid w:val="00D82F3F"/>
    <w:rsid w:val="00D86588"/>
    <w:rsid w:val="00D87B14"/>
    <w:rsid w:val="00D92A1F"/>
    <w:rsid w:val="00D93012"/>
    <w:rsid w:val="00DA574F"/>
    <w:rsid w:val="00DA7BD3"/>
    <w:rsid w:val="00DB5B67"/>
    <w:rsid w:val="00DB65AA"/>
    <w:rsid w:val="00DD1BE0"/>
    <w:rsid w:val="00DD47BD"/>
    <w:rsid w:val="00DE2270"/>
    <w:rsid w:val="00DF1241"/>
    <w:rsid w:val="00DF302A"/>
    <w:rsid w:val="00DF59E3"/>
    <w:rsid w:val="00E1425F"/>
    <w:rsid w:val="00E224B9"/>
    <w:rsid w:val="00E225E0"/>
    <w:rsid w:val="00E225EB"/>
    <w:rsid w:val="00E24A09"/>
    <w:rsid w:val="00E3371C"/>
    <w:rsid w:val="00E500D2"/>
    <w:rsid w:val="00E605B4"/>
    <w:rsid w:val="00E6679A"/>
    <w:rsid w:val="00E7004D"/>
    <w:rsid w:val="00EA5C47"/>
    <w:rsid w:val="00EB379F"/>
    <w:rsid w:val="00EB4CFE"/>
    <w:rsid w:val="00EE7432"/>
    <w:rsid w:val="00F21291"/>
    <w:rsid w:val="00F279AD"/>
    <w:rsid w:val="00F32A5B"/>
    <w:rsid w:val="00F36A8E"/>
    <w:rsid w:val="00F3707A"/>
    <w:rsid w:val="00F44550"/>
    <w:rsid w:val="00F502BE"/>
    <w:rsid w:val="00F55050"/>
    <w:rsid w:val="00F557F3"/>
    <w:rsid w:val="00F60686"/>
    <w:rsid w:val="00F7327F"/>
    <w:rsid w:val="00F74C9D"/>
    <w:rsid w:val="00F92EE6"/>
    <w:rsid w:val="00F93BCA"/>
    <w:rsid w:val="00FA12FE"/>
    <w:rsid w:val="00FA7112"/>
    <w:rsid w:val="00FB38F8"/>
    <w:rsid w:val="00FB714E"/>
    <w:rsid w:val="00FC0456"/>
    <w:rsid w:val="00FD6461"/>
    <w:rsid w:val="00FD68CF"/>
    <w:rsid w:val="00FE0C59"/>
    <w:rsid w:val="00FF1874"/>
    <w:rsid w:val="00FF63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4102"/>
  <w15:chartTrackingRefBased/>
  <w15:docId w15:val="{E20B4B92-4DDF-40BA-990C-69BD2756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Normal"/>
    <w:qFormat/>
    <w:rsid w:val="00A15E8A"/>
    <w:pPr>
      <w:numPr>
        <w:numId w:val="1"/>
      </w:numPr>
      <w:shd w:val="clear" w:color="auto" w:fill="FFFFFF"/>
      <w:spacing w:after="0" w:line="360" w:lineRule="auto"/>
      <w:jc w:val="both"/>
    </w:pPr>
    <w:rPr>
      <w:rFonts w:ascii="Times New Roman" w:eastAsia="Times New Roman" w:hAnsi="Times New Roman" w:cs="Times New Roman"/>
      <w:sz w:val="26"/>
    </w:rPr>
  </w:style>
  <w:style w:type="paragraph" w:styleId="FootnoteText">
    <w:name w:val="footnote text"/>
    <w:basedOn w:val="Normal"/>
    <w:link w:val="FootnoteTextChar"/>
    <w:uiPriority w:val="99"/>
    <w:semiHidden/>
    <w:unhideWhenUsed/>
    <w:rsid w:val="000D6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233"/>
    <w:rPr>
      <w:sz w:val="20"/>
      <w:szCs w:val="20"/>
    </w:rPr>
  </w:style>
  <w:style w:type="character" w:styleId="FootnoteReference">
    <w:name w:val="footnote reference"/>
    <w:basedOn w:val="DefaultParagraphFont"/>
    <w:uiPriority w:val="99"/>
    <w:semiHidden/>
    <w:unhideWhenUsed/>
    <w:rsid w:val="000D6233"/>
    <w:rPr>
      <w:vertAlign w:val="superscript"/>
    </w:rPr>
  </w:style>
  <w:style w:type="paragraph" w:styleId="ListParagraph">
    <w:name w:val="List Paragraph"/>
    <w:basedOn w:val="Normal"/>
    <w:uiPriority w:val="1"/>
    <w:qFormat/>
    <w:rsid w:val="00343450"/>
    <w:pPr>
      <w:ind w:left="720"/>
      <w:contextualSpacing/>
    </w:pPr>
  </w:style>
  <w:style w:type="character" w:styleId="CommentReference">
    <w:name w:val="annotation reference"/>
    <w:basedOn w:val="DefaultParagraphFont"/>
    <w:uiPriority w:val="99"/>
    <w:semiHidden/>
    <w:unhideWhenUsed/>
    <w:rsid w:val="00247B5E"/>
    <w:rPr>
      <w:sz w:val="16"/>
      <w:szCs w:val="16"/>
    </w:rPr>
  </w:style>
  <w:style w:type="paragraph" w:styleId="CommentText">
    <w:name w:val="annotation text"/>
    <w:basedOn w:val="Normal"/>
    <w:link w:val="CommentTextChar"/>
    <w:uiPriority w:val="99"/>
    <w:semiHidden/>
    <w:unhideWhenUsed/>
    <w:rsid w:val="00247B5E"/>
    <w:pPr>
      <w:spacing w:line="240" w:lineRule="auto"/>
    </w:pPr>
    <w:rPr>
      <w:sz w:val="20"/>
      <w:szCs w:val="20"/>
    </w:rPr>
  </w:style>
  <w:style w:type="character" w:customStyle="1" w:styleId="CommentTextChar">
    <w:name w:val="Comment Text Char"/>
    <w:basedOn w:val="DefaultParagraphFont"/>
    <w:link w:val="CommentText"/>
    <w:uiPriority w:val="99"/>
    <w:semiHidden/>
    <w:rsid w:val="00247B5E"/>
    <w:rPr>
      <w:sz w:val="20"/>
      <w:szCs w:val="20"/>
    </w:rPr>
  </w:style>
  <w:style w:type="paragraph" w:styleId="CommentSubject">
    <w:name w:val="annotation subject"/>
    <w:basedOn w:val="CommentText"/>
    <w:next w:val="CommentText"/>
    <w:link w:val="CommentSubjectChar"/>
    <w:uiPriority w:val="99"/>
    <w:semiHidden/>
    <w:unhideWhenUsed/>
    <w:rsid w:val="00247B5E"/>
    <w:rPr>
      <w:b/>
      <w:bCs/>
    </w:rPr>
  </w:style>
  <w:style w:type="character" w:customStyle="1" w:styleId="CommentSubjectChar">
    <w:name w:val="Comment Subject Char"/>
    <w:basedOn w:val="CommentTextChar"/>
    <w:link w:val="CommentSubject"/>
    <w:uiPriority w:val="99"/>
    <w:semiHidden/>
    <w:rsid w:val="00247B5E"/>
    <w:rPr>
      <w:b/>
      <w:bCs/>
      <w:sz w:val="20"/>
      <w:szCs w:val="20"/>
    </w:rPr>
  </w:style>
  <w:style w:type="paragraph" w:styleId="BalloonText">
    <w:name w:val="Balloon Text"/>
    <w:basedOn w:val="Normal"/>
    <w:link w:val="BalloonTextChar"/>
    <w:uiPriority w:val="99"/>
    <w:semiHidden/>
    <w:unhideWhenUsed/>
    <w:rsid w:val="00247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5E"/>
    <w:rPr>
      <w:rFonts w:ascii="Segoe UI" w:hAnsi="Segoe UI" w:cs="Segoe UI"/>
      <w:sz w:val="18"/>
      <w:szCs w:val="18"/>
    </w:rPr>
  </w:style>
  <w:style w:type="paragraph" w:styleId="BodyText">
    <w:name w:val="Body Text"/>
    <w:basedOn w:val="Normal"/>
    <w:link w:val="BodyTextChar"/>
    <w:uiPriority w:val="1"/>
    <w:qFormat/>
    <w:rsid w:val="00FE0C59"/>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FE0C59"/>
    <w:rPr>
      <w:rFonts w:ascii="Arial" w:eastAsiaTheme="minorEastAsia" w:hAnsi="Arial" w:cs="Arial"/>
      <w:sz w:val="23"/>
      <w:szCs w:val="23"/>
      <w:lang w:eastAsia="en-ZA"/>
    </w:rPr>
  </w:style>
  <w:style w:type="paragraph" w:styleId="NormalWeb">
    <w:name w:val="Normal (Web)"/>
    <w:basedOn w:val="Normal"/>
    <w:uiPriority w:val="99"/>
    <w:semiHidden/>
    <w:unhideWhenUsed/>
    <w:rsid w:val="002C54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32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13E"/>
  </w:style>
  <w:style w:type="paragraph" w:styleId="Footer">
    <w:name w:val="footer"/>
    <w:basedOn w:val="Normal"/>
    <w:link w:val="FooterChar"/>
    <w:uiPriority w:val="99"/>
    <w:unhideWhenUsed/>
    <w:rsid w:val="00132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13E"/>
  </w:style>
  <w:style w:type="paragraph" w:styleId="Revision">
    <w:name w:val="Revision"/>
    <w:hidden/>
    <w:uiPriority w:val="99"/>
    <w:semiHidden/>
    <w:rsid w:val="004A1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83887">
      <w:bodyDiv w:val="1"/>
      <w:marLeft w:val="0"/>
      <w:marRight w:val="0"/>
      <w:marTop w:val="0"/>
      <w:marBottom w:val="0"/>
      <w:divBdr>
        <w:top w:val="none" w:sz="0" w:space="0" w:color="auto"/>
        <w:left w:val="none" w:sz="0" w:space="0" w:color="auto"/>
        <w:bottom w:val="none" w:sz="0" w:space="0" w:color="auto"/>
        <w:right w:val="none" w:sz="0" w:space="0" w:color="auto"/>
      </w:divBdr>
      <w:divsChild>
        <w:div w:id="1459448952">
          <w:marLeft w:val="0"/>
          <w:marRight w:val="0"/>
          <w:marTop w:val="0"/>
          <w:marBottom w:val="0"/>
          <w:divBdr>
            <w:top w:val="single" w:sz="2" w:space="0" w:color="E5E7EB"/>
            <w:left w:val="single" w:sz="2" w:space="0" w:color="E5E7EB"/>
            <w:bottom w:val="single" w:sz="2" w:space="0" w:color="E5E7EB"/>
            <w:right w:val="single" w:sz="2" w:space="0" w:color="E5E7EB"/>
          </w:divBdr>
          <w:divsChild>
            <w:div w:id="423499419">
              <w:marLeft w:val="0"/>
              <w:marRight w:val="0"/>
              <w:marTop w:val="0"/>
              <w:marBottom w:val="0"/>
              <w:divBdr>
                <w:top w:val="single" w:sz="2" w:space="0" w:color="E5E7EB"/>
                <w:left w:val="single" w:sz="2" w:space="0" w:color="E5E7EB"/>
                <w:bottom w:val="single" w:sz="2" w:space="0" w:color="E5E7EB"/>
                <w:right w:val="single" w:sz="2" w:space="0" w:color="E5E7EB"/>
              </w:divBdr>
              <w:divsChild>
                <w:div w:id="144976419">
                  <w:marLeft w:val="0"/>
                  <w:marRight w:val="0"/>
                  <w:marTop w:val="0"/>
                  <w:marBottom w:val="0"/>
                  <w:divBdr>
                    <w:top w:val="single" w:sz="2" w:space="0" w:color="E5E7EB"/>
                    <w:left w:val="single" w:sz="2" w:space="0" w:color="E5E7EB"/>
                    <w:bottom w:val="single" w:sz="2" w:space="0" w:color="E5E7EB"/>
                    <w:right w:val="single" w:sz="2" w:space="0" w:color="E5E7EB"/>
                  </w:divBdr>
                  <w:divsChild>
                    <w:div w:id="2128233807">
                      <w:marLeft w:val="0"/>
                      <w:marRight w:val="0"/>
                      <w:marTop w:val="0"/>
                      <w:marBottom w:val="0"/>
                      <w:divBdr>
                        <w:top w:val="single" w:sz="2" w:space="0" w:color="E5E7EB"/>
                        <w:left w:val="single" w:sz="2" w:space="0" w:color="E5E7EB"/>
                        <w:bottom w:val="single" w:sz="2" w:space="11" w:color="E5E7EB"/>
                        <w:right w:val="single" w:sz="2" w:space="0" w:color="E5E7EB"/>
                      </w:divBdr>
                    </w:div>
                  </w:divsChild>
                </w:div>
              </w:divsChild>
            </w:div>
          </w:divsChild>
        </w:div>
        <w:div w:id="1598756117">
          <w:marLeft w:val="0"/>
          <w:marRight w:val="0"/>
          <w:marTop w:val="0"/>
          <w:marBottom w:val="0"/>
          <w:divBdr>
            <w:top w:val="single" w:sz="2" w:space="0" w:color="E5E7EB"/>
            <w:left w:val="single" w:sz="2" w:space="0" w:color="E5E7EB"/>
            <w:bottom w:val="single" w:sz="2" w:space="0" w:color="E5E7EB"/>
            <w:right w:val="single" w:sz="2" w:space="0" w:color="E5E7EB"/>
          </w:divBdr>
          <w:divsChild>
            <w:div w:id="12821085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1285-E7C7-43D5-86E0-94BEC7E8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Tati Makgoka</dc:creator>
  <cp:keywords/>
  <dc:description/>
  <cp:lastModifiedBy>Mary Bruce</cp:lastModifiedBy>
  <cp:revision>4</cp:revision>
  <cp:lastPrinted>2024-03-20T06:56:00Z</cp:lastPrinted>
  <dcterms:created xsi:type="dcterms:W3CDTF">2024-03-20T10:22:00Z</dcterms:created>
  <dcterms:modified xsi:type="dcterms:W3CDTF">2024-03-23T11:30:00Z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5d8197ba-d657-4291-9a9e-2b49a1a3e242</vt:lpwstr>
  </property>
</Properties>
</file>