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A9141" w14:textId="77777777" w:rsidR="00FE3762" w:rsidRPr="0031085B" w:rsidRDefault="006B27C8" w:rsidP="004D2880">
      <w:pPr>
        <w:rPr>
          <w:b/>
          <w:bCs/>
          <w:sz w:val="28"/>
          <w:szCs w:val="28"/>
        </w:rPr>
      </w:pPr>
      <w:bookmarkStart w:id="0" w:name="_GoBack"/>
      <w:bookmarkEnd w:id="0"/>
      <w:r w:rsidRPr="0031085B">
        <w:rPr>
          <w:noProof/>
          <w:sz w:val="28"/>
          <w:szCs w:val="28"/>
          <w:lang w:eastAsia="en-ZA"/>
        </w:rPr>
        <w:drawing>
          <wp:anchor distT="0" distB="0" distL="114300" distR="114300" simplePos="0" relativeHeight="251659264" behindDoc="0" locked="0" layoutInCell="1" allowOverlap="1" wp14:anchorId="2666097D" wp14:editId="32BD254F">
            <wp:simplePos x="0" y="0"/>
            <wp:positionH relativeFrom="page">
              <wp:align>center</wp:align>
            </wp:positionH>
            <wp:positionV relativeFrom="paragraph">
              <wp:posOffset>57734</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5A832CEC" w14:textId="77777777" w:rsidR="004D2880" w:rsidRPr="0031085B" w:rsidRDefault="004D2880" w:rsidP="004D2880">
      <w:pPr>
        <w:rPr>
          <w:b/>
          <w:bCs/>
          <w:sz w:val="28"/>
          <w:szCs w:val="28"/>
        </w:rPr>
      </w:pPr>
    </w:p>
    <w:p w14:paraId="755F506B" w14:textId="77777777" w:rsidR="006B27C8" w:rsidRPr="0031085B" w:rsidRDefault="006B27C8" w:rsidP="004D2880">
      <w:pPr>
        <w:rPr>
          <w:b/>
          <w:bCs/>
          <w:sz w:val="28"/>
          <w:szCs w:val="28"/>
        </w:rPr>
      </w:pPr>
    </w:p>
    <w:p w14:paraId="649D0E48" w14:textId="77777777" w:rsidR="004D2880" w:rsidRPr="00846352" w:rsidRDefault="004D2880" w:rsidP="004D2880">
      <w:pPr>
        <w:rPr>
          <w:b/>
          <w:bCs/>
          <w:sz w:val="16"/>
          <w:szCs w:val="16"/>
        </w:rPr>
      </w:pPr>
    </w:p>
    <w:p w14:paraId="7839D245" w14:textId="77777777" w:rsidR="00EA529D" w:rsidRPr="0031085B" w:rsidRDefault="00EA529D" w:rsidP="004D2880">
      <w:pPr>
        <w:jc w:val="center"/>
        <w:rPr>
          <w:b/>
          <w:bCs/>
          <w:sz w:val="28"/>
          <w:szCs w:val="28"/>
        </w:rPr>
      </w:pPr>
      <w:r w:rsidRPr="0031085B">
        <w:rPr>
          <w:b/>
          <w:bCs/>
          <w:sz w:val="28"/>
          <w:szCs w:val="28"/>
        </w:rPr>
        <w:t>THE SUPREME COURT OF APPEAL OF SOUTH AFRICA</w:t>
      </w:r>
    </w:p>
    <w:p w14:paraId="5D449368" w14:textId="77777777" w:rsidR="00EA529D" w:rsidRPr="0031085B" w:rsidRDefault="00EA529D" w:rsidP="004D2880">
      <w:pPr>
        <w:pStyle w:val="Heading3"/>
        <w:jc w:val="center"/>
        <w:rPr>
          <w:rFonts w:ascii="Times New Roman" w:hAnsi="Times New Roman" w:cs="Times New Roman"/>
          <w:b/>
          <w:i w:val="0"/>
          <w:szCs w:val="28"/>
        </w:rPr>
      </w:pPr>
      <w:r w:rsidRPr="0031085B">
        <w:rPr>
          <w:rFonts w:ascii="Times New Roman" w:hAnsi="Times New Roman" w:cs="Times New Roman"/>
          <w:b/>
          <w:i w:val="0"/>
          <w:szCs w:val="28"/>
        </w:rPr>
        <w:t>JUDGMENT</w:t>
      </w:r>
    </w:p>
    <w:p w14:paraId="5C4D9455" w14:textId="77777777" w:rsidR="006B2912" w:rsidRDefault="006B2912" w:rsidP="004D2880">
      <w:pPr>
        <w:jc w:val="right"/>
        <w:rPr>
          <w:b/>
          <w:sz w:val="28"/>
          <w:szCs w:val="28"/>
        </w:rPr>
      </w:pPr>
    </w:p>
    <w:p w14:paraId="2AD7DDD1" w14:textId="18A6AECE" w:rsidR="00EA529D" w:rsidRPr="0031085B" w:rsidRDefault="006B2912" w:rsidP="004D2880">
      <w:pPr>
        <w:jc w:val="right"/>
        <w:rPr>
          <w:b/>
          <w:sz w:val="28"/>
          <w:szCs w:val="28"/>
        </w:rPr>
      </w:pPr>
      <w:r>
        <w:rPr>
          <w:b/>
          <w:sz w:val="28"/>
          <w:szCs w:val="28"/>
        </w:rPr>
        <w:t>Not Reportable</w:t>
      </w:r>
    </w:p>
    <w:p w14:paraId="36655705" w14:textId="02C15C6C" w:rsidR="00EA529D" w:rsidRPr="0031085B" w:rsidRDefault="00EA529D" w:rsidP="004D2880">
      <w:pPr>
        <w:jc w:val="right"/>
        <w:rPr>
          <w:sz w:val="28"/>
          <w:szCs w:val="28"/>
        </w:rPr>
      </w:pPr>
      <w:r w:rsidRPr="0031085B">
        <w:rPr>
          <w:sz w:val="28"/>
          <w:szCs w:val="28"/>
        </w:rPr>
        <w:t xml:space="preserve">Case no: </w:t>
      </w:r>
      <w:r w:rsidR="00D67F07">
        <w:rPr>
          <w:sz w:val="28"/>
          <w:szCs w:val="28"/>
        </w:rPr>
        <w:t>468</w:t>
      </w:r>
      <w:r w:rsidR="00266C47" w:rsidRPr="0031085B">
        <w:rPr>
          <w:sz w:val="28"/>
          <w:szCs w:val="28"/>
        </w:rPr>
        <w:t>/20</w:t>
      </w:r>
      <w:r w:rsidR="00D67F07">
        <w:rPr>
          <w:sz w:val="28"/>
          <w:szCs w:val="28"/>
        </w:rPr>
        <w:t>23</w:t>
      </w:r>
    </w:p>
    <w:p w14:paraId="68C82837" w14:textId="77777777" w:rsidR="00BF09AC" w:rsidRDefault="00BF09AC" w:rsidP="00BF09AC">
      <w:pPr>
        <w:tabs>
          <w:tab w:val="left" w:pos="5954"/>
        </w:tabs>
        <w:contextualSpacing/>
        <w:rPr>
          <w:sz w:val="28"/>
          <w:szCs w:val="28"/>
        </w:rPr>
      </w:pPr>
      <w:r w:rsidRPr="00BF09AC">
        <w:rPr>
          <w:sz w:val="28"/>
          <w:szCs w:val="28"/>
        </w:rPr>
        <w:t>In the matter between:</w:t>
      </w:r>
    </w:p>
    <w:p w14:paraId="2120F522" w14:textId="77777777" w:rsidR="00CF04C8" w:rsidRPr="00BF09AC" w:rsidRDefault="00CF04C8" w:rsidP="00BF09AC">
      <w:pPr>
        <w:tabs>
          <w:tab w:val="left" w:pos="5954"/>
        </w:tabs>
        <w:contextualSpacing/>
        <w:rPr>
          <w:sz w:val="28"/>
          <w:szCs w:val="28"/>
        </w:rPr>
      </w:pPr>
    </w:p>
    <w:p w14:paraId="61BBB82B" w14:textId="26A79124" w:rsidR="00BF09AC" w:rsidRDefault="00D67F07" w:rsidP="00846352">
      <w:pPr>
        <w:tabs>
          <w:tab w:val="right" w:pos="9356"/>
        </w:tabs>
        <w:contextualSpacing/>
        <w:jc w:val="left"/>
        <w:rPr>
          <w:b/>
          <w:sz w:val="28"/>
          <w:szCs w:val="28"/>
        </w:rPr>
      </w:pPr>
      <w:r>
        <w:rPr>
          <w:b/>
          <w:sz w:val="28"/>
          <w:szCs w:val="28"/>
        </w:rPr>
        <w:t>GLOWING ROOMS (PTY) LTD</w:t>
      </w:r>
      <w:r w:rsidR="00BF09AC">
        <w:rPr>
          <w:b/>
          <w:sz w:val="28"/>
          <w:szCs w:val="28"/>
        </w:rPr>
        <w:tab/>
      </w:r>
      <w:r w:rsidR="00BF09AC" w:rsidRPr="00BF09AC">
        <w:rPr>
          <w:b/>
          <w:sz w:val="28"/>
          <w:szCs w:val="28"/>
        </w:rPr>
        <w:t>APPELLANT</w:t>
      </w:r>
    </w:p>
    <w:p w14:paraId="0D7A4D6A" w14:textId="77777777" w:rsidR="001B29EC" w:rsidRPr="000D0A48" w:rsidRDefault="001B29EC" w:rsidP="00846352">
      <w:pPr>
        <w:tabs>
          <w:tab w:val="right" w:pos="9356"/>
        </w:tabs>
        <w:contextualSpacing/>
        <w:jc w:val="left"/>
        <w:rPr>
          <w:b/>
          <w:sz w:val="16"/>
          <w:szCs w:val="16"/>
        </w:rPr>
      </w:pPr>
    </w:p>
    <w:p w14:paraId="6E358138" w14:textId="77777777" w:rsidR="00BF09AC" w:rsidRDefault="00BF09AC" w:rsidP="00BF09AC">
      <w:pPr>
        <w:tabs>
          <w:tab w:val="left" w:pos="5954"/>
        </w:tabs>
        <w:contextualSpacing/>
        <w:jc w:val="left"/>
        <w:rPr>
          <w:sz w:val="28"/>
          <w:szCs w:val="28"/>
        </w:rPr>
      </w:pPr>
      <w:r w:rsidRPr="00BF09AC">
        <w:rPr>
          <w:sz w:val="28"/>
          <w:szCs w:val="28"/>
        </w:rPr>
        <w:t>and</w:t>
      </w:r>
    </w:p>
    <w:p w14:paraId="334FF10C" w14:textId="77777777" w:rsidR="001025FE" w:rsidRPr="001025FE" w:rsidRDefault="001025FE" w:rsidP="001025FE">
      <w:pPr>
        <w:tabs>
          <w:tab w:val="left" w:pos="5954"/>
        </w:tabs>
        <w:spacing w:line="240" w:lineRule="auto"/>
        <w:contextualSpacing/>
        <w:jc w:val="left"/>
        <w:rPr>
          <w:sz w:val="16"/>
          <w:szCs w:val="16"/>
        </w:rPr>
      </w:pPr>
    </w:p>
    <w:p w14:paraId="07116BB9" w14:textId="425E3F05" w:rsidR="00B23E3A" w:rsidRDefault="00D67F07" w:rsidP="001B5ED4">
      <w:pPr>
        <w:tabs>
          <w:tab w:val="left" w:pos="5954"/>
          <w:tab w:val="right" w:pos="9356"/>
        </w:tabs>
        <w:contextualSpacing/>
        <w:jc w:val="left"/>
        <w:rPr>
          <w:b/>
          <w:sz w:val="28"/>
          <w:szCs w:val="28"/>
        </w:rPr>
      </w:pPr>
      <w:r>
        <w:rPr>
          <w:b/>
          <w:sz w:val="28"/>
          <w:szCs w:val="28"/>
        </w:rPr>
        <w:t>ARTHUR LEVIN N O</w:t>
      </w:r>
      <w:r w:rsidR="00BF09AC">
        <w:rPr>
          <w:b/>
          <w:sz w:val="28"/>
          <w:szCs w:val="28"/>
        </w:rPr>
        <w:tab/>
      </w:r>
      <w:r w:rsidR="00BF09AC">
        <w:rPr>
          <w:b/>
          <w:sz w:val="28"/>
          <w:szCs w:val="28"/>
        </w:rPr>
        <w:tab/>
      </w:r>
      <w:r>
        <w:rPr>
          <w:b/>
          <w:sz w:val="28"/>
          <w:szCs w:val="28"/>
        </w:rPr>
        <w:t xml:space="preserve">FIRST </w:t>
      </w:r>
      <w:r w:rsidR="00BF09AC" w:rsidRPr="00BF09AC">
        <w:rPr>
          <w:b/>
          <w:sz w:val="28"/>
          <w:szCs w:val="28"/>
        </w:rPr>
        <w:t>RESPONDENT</w:t>
      </w:r>
    </w:p>
    <w:p w14:paraId="4C97E795" w14:textId="77777777" w:rsidR="00713959" w:rsidRDefault="00713959" w:rsidP="000F3F4B">
      <w:pPr>
        <w:tabs>
          <w:tab w:val="left" w:pos="5954"/>
          <w:tab w:val="right" w:pos="9356"/>
        </w:tabs>
        <w:contextualSpacing/>
        <w:jc w:val="left"/>
        <w:rPr>
          <w:b/>
          <w:sz w:val="16"/>
          <w:szCs w:val="16"/>
        </w:rPr>
      </w:pPr>
    </w:p>
    <w:p w14:paraId="34A4801A" w14:textId="61C434C7" w:rsidR="00B23E3A" w:rsidRDefault="00B23E3A" w:rsidP="000F3F4B">
      <w:pPr>
        <w:tabs>
          <w:tab w:val="left" w:pos="5954"/>
          <w:tab w:val="right" w:pos="9356"/>
        </w:tabs>
        <w:contextualSpacing/>
        <w:jc w:val="left"/>
        <w:rPr>
          <w:b/>
          <w:sz w:val="28"/>
          <w:szCs w:val="28"/>
        </w:rPr>
      </w:pPr>
      <w:r>
        <w:rPr>
          <w:b/>
          <w:sz w:val="28"/>
          <w:szCs w:val="28"/>
        </w:rPr>
        <w:t>ALAN MARK LOCKETZ N O</w:t>
      </w:r>
      <w:r>
        <w:rPr>
          <w:b/>
          <w:sz w:val="28"/>
          <w:szCs w:val="28"/>
        </w:rPr>
        <w:tab/>
      </w:r>
      <w:r>
        <w:rPr>
          <w:b/>
          <w:sz w:val="28"/>
          <w:szCs w:val="28"/>
        </w:rPr>
        <w:tab/>
        <w:t>SECOND RESPONDENT</w:t>
      </w:r>
    </w:p>
    <w:p w14:paraId="468A3797" w14:textId="77777777" w:rsidR="00E61B43" w:rsidRDefault="00E61B43" w:rsidP="000F3F4B">
      <w:pPr>
        <w:tabs>
          <w:tab w:val="left" w:pos="5954"/>
          <w:tab w:val="right" w:pos="9356"/>
        </w:tabs>
        <w:contextualSpacing/>
        <w:jc w:val="left"/>
        <w:rPr>
          <w:b/>
          <w:sz w:val="16"/>
          <w:szCs w:val="16"/>
        </w:rPr>
      </w:pPr>
    </w:p>
    <w:p w14:paraId="548C3575" w14:textId="3364713E" w:rsidR="00E61B43" w:rsidRPr="00E61B43" w:rsidRDefault="004E4124" w:rsidP="000F3F4B">
      <w:pPr>
        <w:tabs>
          <w:tab w:val="left" w:pos="5954"/>
          <w:tab w:val="right" w:pos="9356"/>
        </w:tabs>
        <w:contextualSpacing/>
        <w:jc w:val="left"/>
        <w:rPr>
          <w:b/>
          <w:sz w:val="28"/>
          <w:szCs w:val="28"/>
        </w:rPr>
      </w:pPr>
      <w:r>
        <w:rPr>
          <w:b/>
          <w:sz w:val="28"/>
          <w:szCs w:val="28"/>
        </w:rPr>
        <w:t>MICHAEL LARRY NOVOS N O</w:t>
      </w:r>
      <w:r>
        <w:rPr>
          <w:b/>
          <w:sz w:val="28"/>
          <w:szCs w:val="28"/>
        </w:rPr>
        <w:tab/>
      </w:r>
      <w:r>
        <w:rPr>
          <w:b/>
          <w:sz w:val="28"/>
          <w:szCs w:val="28"/>
        </w:rPr>
        <w:tab/>
        <w:t>THIRD RESPONDENT</w:t>
      </w:r>
    </w:p>
    <w:p w14:paraId="3F29B094" w14:textId="77777777" w:rsidR="00B23E3A" w:rsidRDefault="00B23E3A" w:rsidP="000F3F4B">
      <w:pPr>
        <w:tabs>
          <w:tab w:val="left" w:pos="5954"/>
          <w:tab w:val="right" w:pos="9356"/>
        </w:tabs>
        <w:contextualSpacing/>
        <w:jc w:val="left"/>
        <w:rPr>
          <w:b/>
          <w:sz w:val="16"/>
          <w:szCs w:val="16"/>
        </w:rPr>
      </w:pPr>
    </w:p>
    <w:p w14:paraId="6AC286F8" w14:textId="273F681F" w:rsidR="00B23E3A" w:rsidRDefault="000E2EFA" w:rsidP="000F3F4B">
      <w:pPr>
        <w:tabs>
          <w:tab w:val="left" w:pos="5954"/>
          <w:tab w:val="right" w:pos="9356"/>
        </w:tabs>
        <w:contextualSpacing/>
        <w:jc w:val="left"/>
        <w:rPr>
          <w:b/>
          <w:sz w:val="28"/>
          <w:szCs w:val="28"/>
        </w:rPr>
      </w:pPr>
      <w:r>
        <w:rPr>
          <w:b/>
          <w:sz w:val="28"/>
          <w:szCs w:val="28"/>
        </w:rPr>
        <w:t>SEYMOUR MICHAEL ABRAHAMS</w:t>
      </w:r>
      <w:r w:rsidR="00E61B43">
        <w:rPr>
          <w:b/>
          <w:sz w:val="28"/>
          <w:szCs w:val="28"/>
        </w:rPr>
        <w:t xml:space="preserve"> N O</w:t>
      </w:r>
      <w:r>
        <w:rPr>
          <w:b/>
          <w:sz w:val="28"/>
          <w:szCs w:val="28"/>
        </w:rPr>
        <w:tab/>
      </w:r>
      <w:r>
        <w:rPr>
          <w:b/>
          <w:sz w:val="28"/>
          <w:szCs w:val="28"/>
        </w:rPr>
        <w:tab/>
      </w:r>
      <w:r w:rsidR="00E61B43">
        <w:rPr>
          <w:b/>
          <w:sz w:val="28"/>
          <w:szCs w:val="28"/>
        </w:rPr>
        <w:t>FOURTH</w:t>
      </w:r>
      <w:r>
        <w:rPr>
          <w:b/>
          <w:sz w:val="28"/>
          <w:szCs w:val="28"/>
        </w:rPr>
        <w:t xml:space="preserve"> RESPONDENT</w:t>
      </w:r>
    </w:p>
    <w:p w14:paraId="4271DC70" w14:textId="77777777" w:rsidR="00FD38DC" w:rsidRPr="009D4D93" w:rsidRDefault="00234FB3" w:rsidP="00FD38DC">
      <w:pPr>
        <w:spacing w:before="240"/>
        <w:ind w:left="2160" w:hanging="2160"/>
        <w:rPr>
          <w:b/>
          <w:bCs/>
          <w:sz w:val="28"/>
          <w:szCs w:val="28"/>
        </w:rPr>
      </w:pPr>
      <w:r w:rsidRPr="009D4D93">
        <w:rPr>
          <w:b/>
          <w:bCs/>
          <w:sz w:val="28"/>
          <w:szCs w:val="28"/>
        </w:rPr>
        <w:t>(Respondents cited in their capacities as</w:t>
      </w:r>
      <w:r w:rsidR="00FD38DC" w:rsidRPr="009D4D93">
        <w:rPr>
          <w:b/>
          <w:bCs/>
          <w:sz w:val="28"/>
          <w:szCs w:val="28"/>
        </w:rPr>
        <w:t xml:space="preserve"> trustees</w:t>
      </w:r>
    </w:p>
    <w:p w14:paraId="5FCAFDAB" w14:textId="25228DB4" w:rsidR="00234FB3" w:rsidRPr="009D4D93" w:rsidRDefault="00234FB3" w:rsidP="00FD38DC">
      <w:pPr>
        <w:spacing w:before="240"/>
        <w:ind w:left="2160" w:hanging="2160"/>
        <w:rPr>
          <w:b/>
          <w:bCs/>
          <w:sz w:val="28"/>
          <w:szCs w:val="28"/>
        </w:rPr>
      </w:pPr>
      <w:r w:rsidRPr="009D4D93">
        <w:rPr>
          <w:b/>
          <w:bCs/>
          <w:sz w:val="28"/>
          <w:szCs w:val="28"/>
        </w:rPr>
        <w:t xml:space="preserve">for the time being </w:t>
      </w:r>
      <w:r w:rsidR="000245E6" w:rsidRPr="009D4D93">
        <w:rPr>
          <w:b/>
          <w:bCs/>
          <w:sz w:val="28"/>
          <w:szCs w:val="28"/>
        </w:rPr>
        <w:t>of The</w:t>
      </w:r>
      <w:r w:rsidR="00FD38DC" w:rsidRPr="009D4D93">
        <w:rPr>
          <w:b/>
          <w:bCs/>
          <w:sz w:val="28"/>
          <w:szCs w:val="28"/>
        </w:rPr>
        <w:t xml:space="preserve"> </w:t>
      </w:r>
      <w:r w:rsidR="000245E6" w:rsidRPr="009D4D93">
        <w:rPr>
          <w:b/>
          <w:bCs/>
          <w:sz w:val="28"/>
          <w:szCs w:val="28"/>
        </w:rPr>
        <w:t>Woodlands Trust</w:t>
      </w:r>
      <w:r w:rsidRPr="009D4D93">
        <w:rPr>
          <w:b/>
          <w:bCs/>
          <w:sz w:val="28"/>
          <w:szCs w:val="28"/>
        </w:rPr>
        <w:t>)</w:t>
      </w:r>
    </w:p>
    <w:p w14:paraId="3FCF50E0" w14:textId="2D79ED94" w:rsidR="00B31FF4" w:rsidRPr="0031085B" w:rsidRDefault="00EA529D" w:rsidP="00EF2AA7">
      <w:pPr>
        <w:spacing w:before="240"/>
        <w:ind w:left="2160" w:hanging="2160"/>
        <w:rPr>
          <w:bCs/>
          <w:sz w:val="28"/>
          <w:szCs w:val="28"/>
        </w:rPr>
      </w:pPr>
      <w:r w:rsidRPr="009D4D93">
        <w:rPr>
          <w:b/>
          <w:bCs/>
          <w:sz w:val="28"/>
          <w:szCs w:val="28"/>
        </w:rPr>
        <w:t>Neutral citat</w:t>
      </w:r>
      <w:r w:rsidRPr="0031085B">
        <w:rPr>
          <w:b/>
          <w:bCs/>
          <w:sz w:val="28"/>
          <w:szCs w:val="28"/>
        </w:rPr>
        <w:t>ion:</w:t>
      </w:r>
      <w:r w:rsidRPr="0031085B">
        <w:rPr>
          <w:b/>
          <w:bCs/>
          <w:sz w:val="28"/>
          <w:szCs w:val="28"/>
        </w:rPr>
        <w:tab/>
      </w:r>
      <w:r w:rsidR="006E53FB">
        <w:rPr>
          <w:bCs/>
          <w:i/>
          <w:sz w:val="28"/>
          <w:szCs w:val="28"/>
          <w:lang w:val="en-GB"/>
        </w:rPr>
        <w:t xml:space="preserve">Glowing Rooms (Pty) Ltd v Levin N O &amp; Others </w:t>
      </w:r>
      <w:r w:rsidR="00BF09AC" w:rsidRPr="00BF09AC">
        <w:rPr>
          <w:bCs/>
          <w:sz w:val="28"/>
          <w:szCs w:val="28"/>
          <w:lang w:val="en-GB"/>
        </w:rPr>
        <w:t>(</w:t>
      </w:r>
      <w:r w:rsidR="006E53FB">
        <w:rPr>
          <w:bCs/>
          <w:sz w:val="28"/>
          <w:szCs w:val="28"/>
          <w:lang w:val="en-GB"/>
        </w:rPr>
        <w:t>468</w:t>
      </w:r>
      <w:r w:rsidR="00BF09AC" w:rsidRPr="00BF09AC">
        <w:rPr>
          <w:bCs/>
          <w:sz w:val="28"/>
          <w:szCs w:val="28"/>
          <w:lang w:val="en-GB"/>
        </w:rPr>
        <w:t>/202</w:t>
      </w:r>
      <w:r w:rsidR="006E53FB">
        <w:rPr>
          <w:bCs/>
          <w:sz w:val="28"/>
          <w:szCs w:val="28"/>
          <w:lang w:val="en-GB"/>
        </w:rPr>
        <w:t>3</w:t>
      </w:r>
      <w:r w:rsidR="00BF09AC" w:rsidRPr="00BF09AC">
        <w:rPr>
          <w:bCs/>
          <w:sz w:val="28"/>
          <w:szCs w:val="28"/>
          <w:lang w:val="en-GB"/>
        </w:rPr>
        <w:t>)</w:t>
      </w:r>
      <w:r w:rsidR="00270C43">
        <w:rPr>
          <w:bCs/>
          <w:sz w:val="28"/>
          <w:szCs w:val="28"/>
          <w:lang w:val="en-GB"/>
        </w:rPr>
        <w:t xml:space="preserve"> </w:t>
      </w:r>
      <w:r w:rsidRPr="0031085B">
        <w:rPr>
          <w:bCs/>
          <w:sz w:val="28"/>
          <w:szCs w:val="28"/>
        </w:rPr>
        <w:t>[202</w:t>
      </w:r>
      <w:r w:rsidR="006E53FB">
        <w:rPr>
          <w:bCs/>
          <w:sz w:val="28"/>
          <w:szCs w:val="28"/>
        </w:rPr>
        <w:t>4</w:t>
      </w:r>
      <w:r w:rsidRPr="0031085B">
        <w:rPr>
          <w:bCs/>
          <w:sz w:val="28"/>
          <w:szCs w:val="28"/>
        </w:rPr>
        <w:t xml:space="preserve">] ZASCA </w:t>
      </w:r>
      <w:r w:rsidR="001E215A">
        <w:rPr>
          <w:bCs/>
          <w:sz w:val="28"/>
          <w:szCs w:val="28"/>
        </w:rPr>
        <w:t>33</w:t>
      </w:r>
      <w:r w:rsidRPr="0031085B">
        <w:rPr>
          <w:bCs/>
          <w:sz w:val="28"/>
          <w:szCs w:val="28"/>
        </w:rPr>
        <w:t xml:space="preserve"> (</w:t>
      </w:r>
      <w:r w:rsidR="00FC7349">
        <w:rPr>
          <w:bCs/>
          <w:sz w:val="28"/>
          <w:szCs w:val="28"/>
        </w:rPr>
        <w:t>28</w:t>
      </w:r>
      <w:r w:rsidR="00784918">
        <w:rPr>
          <w:bCs/>
          <w:sz w:val="28"/>
          <w:szCs w:val="28"/>
        </w:rPr>
        <w:t xml:space="preserve"> </w:t>
      </w:r>
      <w:r w:rsidR="002512F4">
        <w:rPr>
          <w:bCs/>
          <w:sz w:val="28"/>
          <w:szCs w:val="28"/>
        </w:rPr>
        <w:t xml:space="preserve">March </w:t>
      </w:r>
      <w:r w:rsidR="00884663" w:rsidRPr="0031085B">
        <w:rPr>
          <w:bCs/>
          <w:sz w:val="28"/>
          <w:szCs w:val="28"/>
        </w:rPr>
        <w:t>202</w:t>
      </w:r>
      <w:r w:rsidR="00D861FC">
        <w:rPr>
          <w:bCs/>
          <w:sz w:val="28"/>
          <w:szCs w:val="28"/>
        </w:rPr>
        <w:t>4</w:t>
      </w:r>
      <w:r w:rsidRPr="0031085B">
        <w:rPr>
          <w:bCs/>
          <w:sz w:val="28"/>
          <w:szCs w:val="28"/>
        </w:rPr>
        <w:t>)</w:t>
      </w:r>
    </w:p>
    <w:p w14:paraId="0F5E7AEB" w14:textId="018E8675" w:rsidR="009D7C7C" w:rsidRPr="00BF09AC" w:rsidRDefault="00EA529D" w:rsidP="00C369B9">
      <w:pPr>
        <w:spacing w:before="240"/>
        <w:ind w:left="2160" w:hanging="2160"/>
        <w:rPr>
          <w:bCs/>
          <w:sz w:val="28"/>
          <w:szCs w:val="28"/>
        </w:rPr>
      </w:pPr>
      <w:r w:rsidRPr="0031085B">
        <w:rPr>
          <w:b/>
          <w:bCs/>
          <w:sz w:val="28"/>
          <w:szCs w:val="28"/>
        </w:rPr>
        <w:lastRenderedPageBreak/>
        <w:t>Coram:</w:t>
      </w:r>
      <w:r w:rsidRPr="0031085B">
        <w:rPr>
          <w:sz w:val="28"/>
          <w:szCs w:val="28"/>
        </w:rPr>
        <w:tab/>
      </w:r>
      <w:r w:rsidR="006E2D5C">
        <w:rPr>
          <w:bCs/>
          <w:sz w:val="28"/>
          <w:szCs w:val="28"/>
        </w:rPr>
        <w:t>NICHOLLS,</w:t>
      </w:r>
      <w:r w:rsidR="009E75DF">
        <w:rPr>
          <w:bCs/>
          <w:sz w:val="28"/>
          <w:szCs w:val="28"/>
        </w:rPr>
        <w:t xml:space="preserve"> </w:t>
      </w:r>
      <w:r w:rsidR="00C6333C">
        <w:rPr>
          <w:bCs/>
          <w:sz w:val="28"/>
          <w:szCs w:val="28"/>
        </w:rPr>
        <w:t>M</w:t>
      </w:r>
      <w:r w:rsidR="002512F4">
        <w:rPr>
          <w:bCs/>
          <w:sz w:val="28"/>
          <w:szCs w:val="28"/>
        </w:rPr>
        <w:t>BA</w:t>
      </w:r>
      <w:r w:rsidR="00C6333C">
        <w:rPr>
          <w:bCs/>
          <w:sz w:val="28"/>
          <w:szCs w:val="28"/>
        </w:rPr>
        <w:t>TH</w:t>
      </w:r>
      <w:r w:rsidR="002512F4">
        <w:rPr>
          <w:bCs/>
          <w:sz w:val="28"/>
          <w:szCs w:val="28"/>
        </w:rPr>
        <w:t>A</w:t>
      </w:r>
      <w:r w:rsidR="00C6333C">
        <w:rPr>
          <w:bCs/>
          <w:sz w:val="28"/>
          <w:szCs w:val="28"/>
        </w:rPr>
        <w:t xml:space="preserve">, </w:t>
      </w:r>
      <w:r w:rsidR="006E2D5C">
        <w:rPr>
          <w:bCs/>
          <w:sz w:val="28"/>
          <w:szCs w:val="28"/>
        </w:rPr>
        <w:t>MABINDLA-BOQWANA</w:t>
      </w:r>
      <w:r w:rsidR="002512F4">
        <w:rPr>
          <w:bCs/>
          <w:sz w:val="28"/>
          <w:szCs w:val="28"/>
        </w:rPr>
        <w:t>, WEINER</w:t>
      </w:r>
      <w:r w:rsidR="009E75DF">
        <w:rPr>
          <w:bCs/>
          <w:sz w:val="28"/>
          <w:szCs w:val="28"/>
        </w:rPr>
        <w:t xml:space="preserve"> and</w:t>
      </w:r>
      <w:r w:rsidR="007957A8">
        <w:rPr>
          <w:bCs/>
          <w:sz w:val="28"/>
          <w:szCs w:val="28"/>
        </w:rPr>
        <w:t xml:space="preserve"> </w:t>
      </w:r>
      <w:r w:rsidR="002512F4">
        <w:rPr>
          <w:bCs/>
          <w:sz w:val="28"/>
          <w:szCs w:val="28"/>
        </w:rPr>
        <w:t>KGOELE</w:t>
      </w:r>
      <w:r w:rsidR="00BF09AC" w:rsidRPr="00BF09AC">
        <w:rPr>
          <w:bCs/>
          <w:sz w:val="28"/>
          <w:szCs w:val="28"/>
        </w:rPr>
        <w:t xml:space="preserve"> </w:t>
      </w:r>
      <w:r w:rsidR="009E75DF">
        <w:rPr>
          <w:bCs/>
          <w:sz w:val="28"/>
          <w:szCs w:val="28"/>
        </w:rPr>
        <w:t>JJA</w:t>
      </w:r>
    </w:p>
    <w:p w14:paraId="369E3F2C" w14:textId="178F6251" w:rsidR="004D2880" w:rsidRPr="0031085B" w:rsidRDefault="00EA529D" w:rsidP="00A61240">
      <w:pPr>
        <w:spacing w:before="240"/>
        <w:ind w:left="2160" w:hanging="2160"/>
        <w:rPr>
          <w:sz w:val="28"/>
          <w:szCs w:val="28"/>
        </w:rPr>
      </w:pPr>
      <w:r w:rsidRPr="0031085B">
        <w:rPr>
          <w:b/>
          <w:bCs/>
          <w:sz w:val="28"/>
          <w:szCs w:val="28"/>
        </w:rPr>
        <w:t>Heard</w:t>
      </w:r>
      <w:r w:rsidRPr="0031085B">
        <w:rPr>
          <w:b/>
          <w:sz w:val="28"/>
          <w:szCs w:val="28"/>
        </w:rPr>
        <w:t>:</w:t>
      </w:r>
      <w:r w:rsidR="009627EF" w:rsidRPr="0031085B">
        <w:rPr>
          <w:sz w:val="28"/>
          <w:szCs w:val="28"/>
        </w:rPr>
        <w:tab/>
      </w:r>
      <w:r w:rsidR="00CF2F33">
        <w:rPr>
          <w:sz w:val="28"/>
          <w:szCs w:val="28"/>
        </w:rPr>
        <w:t>2</w:t>
      </w:r>
      <w:r w:rsidR="00BC7A58">
        <w:rPr>
          <w:sz w:val="28"/>
          <w:szCs w:val="28"/>
        </w:rPr>
        <w:t>0</w:t>
      </w:r>
      <w:r w:rsidR="00B40DA5">
        <w:rPr>
          <w:sz w:val="28"/>
          <w:szCs w:val="28"/>
        </w:rPr>
        <w:t xml:space="preserve"> </w:t>
      </w:r>
      <w:r w:rsidR="00CF2F33">
        <w:rPr>
          <w:sz w:val="28"/>
          <w:szCs w:val="28"/>
        </w:rPr>
        <w:t>February</w:t>
      </w:r>
      <w:r w:rsidR="00B40DA5">
        <w:rPr>
          <w:sz w:val="28"/>
          <w:szCs w:val="28"/>
        </w:rPr>
        <w:t xml:space="preserve"> 202</w:t>
      </w:r>
      <w:r w:rsidR="00CF2F33">
        <w:rPr>
          <w:sz w:val="28"/>
          <w:szCs w:val="28"/>
        </w:rPr>
        <w:t>4</w:t>
      </w:r>
    </w:p>
    <w:p w14:paraId="6FEA3E7E" w14:textId="312444B9" w:rsidR="006B27C8" w:rsidRPr="0031085B" w:rsidRDefault="00EA529D" w:rsidP="004E6964">
      <w:pPr>
        <w:spacing w:before="240"/>
        <w:ind w:left="2127" w:hanging="2160"/>
        <w:rPr>
          <w:sz w:val="28"/>
          <w:szCs w:val="28"/>
        </w:rPr>
      </w:pPr>
      <w:r w:rsidRPr="0031085B">
        <w:rPr>
          <w:b/>
          <w:bCs/>
          <w:sz w:val="28"/>
          <w:szCs w:val="28"/>
        </w:rPr>
        <w:t>Delivered</w:t>
      </w:r>
      <w:r w:rsidRPr="0031085B">
        <w:rPr>
          <w:b/>
          <w:sz w:val="28"/>
          <w:szCs w:val="28"/>
        </w:rPr>
        <w:t>:</w:t>
      </w:r>
      <w:r w:rsidRPr="0031085B">
        <w:rPr>
          <w:sz w:val="28"/>
          <w:szCs w:val="28"/>
        </w:rPr>
        <w:tab/>
      </w:r>
      <w:r w:rsidR="00FC7349">
        <w:rPr>
          <w:sz w:val="28"/>
          <w:szCs w:val="28"/>
        </w:rPr>
        <w:t>28</w:t>
      </w:r>
      <w:r w:rsidR="00664067">
        <w:rPr>
          <w:sz w:val="28"/>
          <w:szCs w:val="28"/>
        </w:rPr>
        <w:t xml:space="preserve"> </w:t>
      </w:r>
      <w:r w:rsidR="00CF2F33">
        <w:rPr>
          <w:sz w:val="28"/>
          <w:szCs w:val="28"/>
        </w:rPr>
        <w:t>March</w:t>
      </w:r>
      <w:r w:rsidR="00664067">
        <w:rPr>
          <w:sz w:val="28"/>
          <w:szCs w:val="28"/>
        </w:rPr>
        <w:t xml:space="preserve"> 2024</w:t>
      </w:r>
    </w:p>
    <w:p w14:paraId="1380CE9A" w14:textId="2F32DD0D" w:rsidR="007501CC" w:rsidRPr="00D07F55" w:rsidRDefault="00750305" w:rsidP="00664067">
      <w:pPr>
        <w:rPr>
          <w:sz w:val="28"/>
          <w:szCs w:val="28"/>
          <w:lang w:val="en-GB"/>
        </w:rPr>
      </w:pPr>
      <w:r w:rsidRPr="0031085B">
        <w:rPr>
          <w:b/>
          <w:bCs/>
          <w:sz w:val="28"/>
          <w:szCs w:val="28"/>
        </w:rPr>
        <w:t>Summary:</w:t>
      </w:r>
      <w:r w:rsidRPr="0031085B">
        <w:rPr>
          <w:sz w:val="28"/>
          <w:szCs w:val="28"/>
        </w:rPr>
        <w:tab/>
      </w:r>
      <w:r w:rsidR="006B27C8" w:rsidRPr="0031085B">
        <w:rPr>
          <w:sz w:val="28"/>
          <w:szCs w:val="28"/>
        </w:rPr>
        <w:tab/>
      </w:r>
      <w:r w:rsidR="00F05430" w:rsidRPr="007C51E3">
        <w:rPr>
          <w:sz w:val="28"/>
          <w:szCs w:val="28"/>
        </w:rPr>
        <w:t>Contract law –</w:t>
      </w:r>
      <w:r w:rsidR="007C51E3" w:rsidRPr="007C51E3">
        <w:rPr>
          <w:sz w:val="28"/>
          <w:szCs w:val="28"/>
        </w:rPr>
        <w:t xml:space="preserve"> </w:t>
      </w:r>
      <w:r w:rsidR="007C51E3" w:rsidRPr="007C51E3">
        <w:rPr>
          <w:sz w:val="28"/>
          <w:szCs w:val="28"/>
          <w:lang w:val="en-GB"/>
        </w:rPr>
        <w:t xml:space="preserve">whether the eviction order was properly granted – </w:t>
      </w:r>
      <w:r w:rsidR="007C51E3" w:rsidRPr="00D07F55">
        <w:rPr>
          <w:sz w:val="28"/>
          <w:szCs w:val="28"/>
          <w:lang w:val="en-GB"/>
        </w:rPr>
        <w:t>whether the</w:t>
      </w:r>
      <w:r w:rsidR="00F1600C" w:rsidRPr="00D07F55">
        <w:rPr>
          <w:sz w:val="28"/>
          <w:szCs w:val="28"/>
          <w:lang w:val="en-GB"/>
        </w:rPr>
        <w:t xml:space="preserve"> respondent</w:t>
      </w:r>
      <w:r w:rsidR="00CF04C8" w:rsidRPr="00D07F55">
        <w:rPr>
          <w:sz w:val="28"/>
          <w:szCs w:val="28"/>
          <w:lang w:val="en-GB"/>
        </w:rPr>
        <w:t>s</w:t>
      </w:r>
      <w:r w:rsidR="00F1600C" w:rsidRPr="00D07F55">
        <w:rPr>
          <w:sz w:val="28"/>
          <w:szCs w:val="28"/>
          <w:lang w:val="en-GB"/>
        </w:rPr>
        <w:t xml:space="preserve"> had a right to cancel the lease agreement</w:t>
      </w:r>
      <w:r w:rsidR="002D6E9B">
        <w:rPr>
          <w:sz w:val="28"/>
          <w:szCs w:val="28"/>
          <w:lang w:val="en-GB"/>
        </w:rPr>
        <w:t xml:space="preserve"> – </w:t>
      </w:r>
      <w:r w:rsidR="001D4475" w:rsidRPr="00D07F55">
        <w:rPr>
          <w:sz w:val="28"/>
          <w:szCs w:val="28"/>
          <w:lang w:val="en-GB"/>
        </w:rPr>
        <w:t xml:space="preserve">whether </w:t>
      </w:r>
      <w:r w:rsidR="00CF04C8" w:rsidRPr="00D07F55">
        <w:rPr>
          <w:sz w:val="28"/>
          <w:szCs w:val="28"/>
          <w:lang w:val="en-GB"/>
        </w:rPr>
        <w:t>their</w:t>
      </w:r>
      <w:r w:rsidR="00F1600C" w:rsidRPr="00D07F55">
        <w:rPr>
          <w:sz w:val="28"/>
          <w:szCs w:val="28"/>
          <w:lang w:val="en-GB"/>
        </w:rPr>
        <w:t xml:space="preserve"> conduct amounted to repudiation of the agreement</w:t>
      </w:r>
      <w:r w:rsidR="001D4475" w:rsidRPr="00D07F55">
        <w:rPr>
          <w:sz w:val="28"/>
          <w:szCs w:val="28"/>
          <w:lang w:val="en-GB"/>
        </w:rPr>
        <w:t xml:space="preserve"> </w:t>
      </w:r>
      <w:r w:rsidR="007D6A56" w:rsidRPr="00D07F55">
        <w:rPr>
          <w:sz w:val="28"/>
          <w:szCs w:val="28"/>
          <w:lang w:val="en-GB"/>
        </w:rPr>
        <w:t xml:space="preserve">– whether </w:t>
      </w:r>
      <w:r w:rsidR="007C51E3" w:rsidRPr="00D07F55">
        <w:rPr>
          <w:sz w:val="28"/>
          <w:szCs w:val="28"/>
          <w:lang w:val="en-GB"/>
        </w:rPr>
        <w:t>court should have developed the common law in accordance with constitutional norms and values to refuse the eviction</w:t>
      </w:r>
      <w:r w:rsidR="00CA1980" w:rsidRPr="00D07F55">
        <w:rPr>
          <w:sz w:val="28"/>
          <w:szCs w:val="28"/>
          <w:lang w:val="en-GB"/>
        </w:rPr>
        <w:t>.</w:t>
      </w:r>
    </w:p>
    <w:p w14:paraId="3FE6AA20" w14:textId="6C1AD6E5" w:rsidR="00BF09AC" w:rsidRPr="00D07F55" w:rsidRDefault="00750305" w:rsidP="00664067">
      <w:pPr>
        <w:rPr>
          <w:sz w:val="28"/>
          <w:szCs w:val="28"/>
          <w:lang w:val="en-US"/>
        </w:rPr>
      </w:pPr>
      <w:r w:rsidRPr="00D07F55">
        <w:rPr>
          <w:sz w:val="28"/>
          <w:szCs w:val="28"/>
          <w:lang w:val="en-US"/>
        </w:rPr>
        <w:br w:type="page"/>
      </w:r>
    </w:p>
    <w:p w14:paraId="5B69BFFF" w14:textId="77777777" w:rsidR="00BF09AC" w:rsidRPr="00D07F55" w:rsidRDefault="00BF09AC" w:rsidP="00BF09AC">
      <w:pPr>
        <w:rPr>
          <w:sz w:val="28"/>
          <w:szCs w:val="28"/>
          <w:lang w:val="en-GB"/>
        </w:rPr>
      </w:pPr>
      <w:r w:rsidRPr="00D07F55">
        <w:rPr>
          <w:noProof/>
          <w:sz w:val="28"/>
          <w:szCs w:val="28"/>
          <w:lang w:eastAsia="en-ZA"/>
        </w:rPr>
        <w:lastRenderedPageBreak/>
        <mc:AlternateContent>
          <mc:Choice Requires="wps">
            <w:drawing>
              <wp:anchor distT="4294967291" distB="4294967291" distL="114300" distR="114300" simplePos="0" relativeHeight="251667456" behindDoc="0" locked="0" layoutInCell="1" allowOverlap="1" wp14:anchorId="55F14C1F" wp14:editId="250225AB">
                <wp:simplePos x="0" y="0"/>
                <wp:positionH relativeFrom="column">
                  <wp:posOffset>0</wp:posOffset>
                </wp:positionH>
                <wp:positionV relativeFrom="paragraph">
                  <wp:posOffset>36829</wp:posOffset>
                </wp:positionV>
                <wp:extent cx="5925185" cy="0"/>
                <wp:effectExtent l="0" t="0" r="374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064114" id="Straight Connector 6"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">
                <o:lock v:ext="edit" shapetype="f"/>
              </v:line>
            </w:pict>
          </mc:Fallback>
        </mc:AlternateContent>
      </w:r>
      <w:r w:rsidRPr="00D07F55">
        <w:rPr>
          <w:noProof/>
          <w:sz w:val="28"/>
          <w:szCs w:val="28"/>
          <w:lang w:eastAsia="en-ZA"/>
        </w:rPr>
        <mc:AlternateContent>
          <mc:Choice Requires="wps">
            <w:drawing>
              <wp:anchor distT="4294967291" distB="4294967291" distL="114295" distR="114295" simplePos="0" relativeHeight="251665408" behindDoc="0" locked="0" layoutInCell="1" allowOverlap="1" wp14:anchorId="5E6BD3E1" wp14:editId="69AC58DF">
                <wp:simplePos x="0" y="0"/>
                <wp:positionH relativeFrom="column">
                  <wp:posOffset>-1</wp:posOffset>
                </wp:positionH>
                <wp:positionV relativeFrom="paragraph">
                  <wp:posOffset>114299</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464069" id="Straight Connector 5" o:spid="_x0000_s1026" style="position:absolute;z-index:25166540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">
                <o:lock v:ext="edit" shapetype="f"/>
              </v:line>
            </w:pict>
          </mc:Fallback>
        </mc:AlternateContent>
      </w:r>
    </w:p>
    <w:p w14:paraId="02F78E3B" w14:textId="77777777" w:rsidR="00BF09AC" w:rsidRPr="00D07F55" w:rsidRDefault="00BF09AC" w:rsidP="00BF09AC">
      <w:pPr>
        <w:jc w:val="center"/>
        <w:rPr>
          <w:b/>
          <w:iCs/>
          <w:sz w:val="28"/>
          <w:szCs w:val="28"/>
          <w:lang w:val="en-GB"/>
        </w:rPr>
      </w:pPr>
      <w:r w:rsidRPr="00D07F55">
        <w:rPr>
          <w:b/>
          <w:iCs/>
          <w:sz w:val="28"/>
          <w:szCs w:val="28"/>
          <w:lang w:val="en-GB"/>
        </w:rPr>
        <w:t>ORDER</w:t>
      </w:r>
    </w:p>
    <w:p w14:paraId="6E1812D2" w14:textId="77777777" w:rsidR="00BF09AC" w:rsidRPr="00D07F55" w:rsidRDefault="00BF09AC" w:rsidP="00BF09AC">
      <w:pPr>
        <w:rPr>
          <w:b/>
          <w:bCs/>
          <w:sz w:val="28"/>
          <w:szCs w:val="28"/>
          <w:lang w:val="en-GB"/>
        </w:rPr>
      </w:pPr>
      <w:r w:rsidRPr="00D07F55">
        <w:rPr>
          <w:noProof/>
          <w:sz w:val="28"/>
          <w:szCs w:val="28"/>
          <w:lang w:eastAsia="en-ZA"/>
        </w:rPr>
        <mc:AlternateContent>
          <mc:Choice Requires="wps">
            <w:drawing>
              <wp:anchor distT="4294967291" distB="4294967291" distL="114300" distR="114300" simplePos="0" relativeHeight="251666432" behindDoc="0" locked="0" layoutInCell="1" allowOverlap="1" wp14:anchorId="13DA3FB3" wp14:editId="36CA83F4">
                <wp:simplePos x="0" y="0"/>
                <wp:positionH relativeFrom="column">
                  <wp:posOffset>0</wp:posOffset>
                </wp:positionH>
                <wp:positionV relativeFrom="paragraph">
                  <wp:posOffset>89534</wp:posOffset>
                </wp:positionV>
                <wp:extent cx="5925185" cy="0"/>
                <wp:effectExtent l="0" t="0" r="374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E292DE" id="Straight Connector 4"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">
                <o:lock v:ext="edit" shapetype="f"/>
              </v:line>
            </w:pict>
          </mc:Fallback>
        </mc:AlternateContent>
      </w:r>
    </w:p>
    <w:p w14:paraId="4E6A7466" w14:textId="2FF65814" w:rsidR="00EB4858" w:rsidRPr="00D07F55" w:rsidRDefault="00BF09AC" w:rsidP="00EB4858">
      <w:pPr>
        <w:spacing w:before="240"/>
        <w:rPr>
          <w:sz w:val="28"/>
          <w:szCs w:val="28"/>
        </w:rPr>
      </w:pPr>
      <w:r w:rsidRPr="00D07F55">
        <w:rPr>
          <w:b/>
          <w:sz w:val="28"/>
          <w:szCs w:val="28"/>
        </w:rPr>
        <w:t>On appeal from:</w:t>
      </w:r>
      <w:r w:rsidRPr="00D07F55">
        <w:rPr>
          <w:sz w:val="28"/>
          <w:szCs w:val="28"/>
        </w:rPr>
        <w:t xml:space="preserve"> </w:t>
      </w:r>
      <w:r w:rsidR="00F50A2C" w:rsidRPr="00D07F55">
        <w:rPr>
          <w:sz w:val="28"/>
          <w:szCs w:val="28"/>
        </w:rPr>
        <w:t>Western</w:t>
      </w:r>
      <w:r w:rsidR="007B54E9" w:rsidRPr="00D07F55">
        <w:rPr>
          <w:sz w:val="28"/>
          <w:szCs w:val="28"/>
        </w:rPr>
        <w:t xml:space="preserve"> </w:t>
      </w:r>
      <w:r w:rsidR="00FC7349">
        <w:rPr>
          <w:sz w:val="28"/>
          <w:szCs w:val="28"/>
        </w:rPr>
        <w:t xml:space="preserve">Cape </w:t>
      </w:r>
      <w:r w:rsidR="007B54E9" w:rsidRPr="00D07F55">
        <w:rPr>
          <w:sz w:val="28"/>
          <w:szCs w:val="28"/>
        </w:rPr>
        <w:t xml:space="preserve">Division of the High Court, </w:t>
      </w:r>
      <w:r w:rsidR="00F50A2C" w:rsidRPr="00D07F55">
        <w:rPr>
          <w:sz w:val="28"/>
          <w:szCs w:val="28"/>
        </w:rPr>
        <w:t>Cape Town</w:t>
      </w:r>
      <w:r w:rsidRPr="00D07F55">
        <w:rPr>
          <w:sz w:val="28"/>
          <w:szCs w:val="28"/>
        </w:rPr>
        <w:t xml:space="preserve"> (</w:t>
      </w:r>
      <w:r w:rsidR="00FC5A90" w:rsidRPr="00D07F55">
        <w:rPr>
          <w:sz w:val="28"/>
          <w:szCs w:val="28"/>
        </w:rPr>
        <w:t xml:space="preserve">Savage </w:t>
      </w:r>
      <w:r w:rsidR="00300257" w:rsidRPr="00D07F55">
        <w:rPr>
          <w:sz w:val="28"/>
          <w:szCs w:val="28"/>
        </w:rPr>
        <w:t>J</w:t>
      </w:r>
      <w:r w:rsidRPr="00D07F55">
        <w:rPr>
          <w:sz w:val="28"/>
          <w:szCs w:val="28"/>
        </w:rPr>
        <w:t xml:space="preserve">, sitting as court of </w:t>
      </w:r>
      <w:r w:rsidR="00FC5A90" w:rsidRPr="00D07F55">
        <w:rPr>
          <w:sz w:val="28"/>
          <w:szCs w:val="28"/>
        </w:rPr>
        <w:t>first instance</w:t>
      </w:r>
      <w:r w:rsidRPr="00D07F55">
        <w:rPr>
          <w:sz w:val="28"/>
          <w:szCs w:val="28"/>
        </w:rPr>
        <w:t xml:space="preserve">): </w:t>
      </w:r>
    </w:p>
    <w:p w14:paraId="650050C8" w14:textId="306E6FEF" w:rsidR="00EB4858" w:rsidRPr="003C4D8B" w:rsidRDefault="00555746" w:rsidP="00555746">
      <w:pPr>
        <w:spacing w:line="480" w:lineRule="auto"/>
        <w:rPr>
          <w:sz w:val="28"/>
          <w:szCs w:val="28"/>
          <w:lang w:val="en-GB"/>
        </w:rPr>
      </w:pPr>
      <w:r w:rsidRPr="003C4D8B">
        <w:rPr>
          <w:sz w:val="28"/>
          <w:szCs w:val="28"/>
          <w:lang w:val="en-GB"/>
        </w:rPr>
        <w:t>1</w:t>
      </w:r>
      <w:r w:rsidRPr="003C4D8B">
        <w:rPr>
          <w:sz w:val="28"/>
          <w:szCs w:val="28"/>
          <w:lang w:val="en-GB"/>
        </w:rPr>
        <w:tab/>
      </w:r>
      <w:r w:rsidR="00EB4858" w:rsidRPr="00D07F55">
        <w:rPr>
          <w:sz w:val="28"/>
          <w:szCs w:val="28"/>
          <w:lang w:val="en-GB"/>
        </w:rPr>
        <w:t xml:space="preserve">The appeal is dismissed with costs, save for the </w:t>
      </w:r>
      <w:r w:rsidR="00F1600C" w:rsidRPr="00D07F55">
        <w:rPr>
          <w:sz w:val="28"/>
          <w:szCs w:val="28"/>
          <w:lang w:val="en-GB"/>
        </w:rPr>
        <w:t xml:space="preserve">variation of the </w:t>
      </w:r>
      <w:r w:rsidR="00EB4858" w:rsidRPr="00D07F55">
        <w:rPr>
          <w:sz w:val="28"/>
          <w:szCs w:val="28"/>
          <w:lang w:val="en-GB"/>
        </w:rPr>
        <w:t xml:space="preserve">date of </w:t>
      </w:r>
      <w:r w:rsidR="00EB4858" w:rsidRPr="003C4D8B">
        <w:rPr>
          <w:sz w:val="28"/>
          <w:szCs w:val="28"/>
          <w:lang w:val="en-GB"/>
        </w:rPr>
        <w:t>eviction.</w:t>
      </w:r>
    </w:p>
    <w:p w14:paraId="5827FFCB" w14:textId="2899D433" w:rsidR="00EB4858" w:rsidRPr="00D07F55" w:rsidRDefault="00555746" w:rsidP="00555746">
      <w:pPr>
        <w:spacing w:line="480" w:lineRule="auto"/>
        <w:rPr>
          <w:sz w:val="28"/>
          <w:szCs w:val="28"/>
          <w:lang w:val="en-GB"/>
        </w:rPr>
      </w:pPr>
      <w:r w:rsidRPr="00D07F55">
        <w:rPr>
          <w:sz w:val="28"/>
          <w:szCs w:val="28"/>
          <w:lang w:val="en-GB"/>
        </w:rPr>
        <w:t>2</w:t>
      </w:r>
      <w:r w:rsidRPr="00D07F55">
        <w:rPr>
          <w:sz w:val="28"/>
          <w:szCs w:val="28"/>
          <w:lang w:val="en-GB"/>
        </w:rPr>
        <w:tab/>
      </w:r>
      <w:r w:rsidR="00EB4858" w:rsidRPr="00D07F55">
        <w:rPr>
          <w:sz w:val="28"/>
          <w:szCs w:val="28"/>
          <w:lang w:val="en-GB"/>
        </w:rPr>
        <w:t>The order of the high court is substituted with the following:</w:t>
      </w:r>
    </w:p>
    <w:p w14:paraId="118CE13F" w14:textId="2E186B5C" w:rsidR="00EB4858" w:rsidRPr="00D07F55" w:rsidRDefault="00EB4858" w:rsidP="003C4D8B">
      <w:pPr>
        <w:spacing w:line="480" w:lineRule="auto"/>
        <w:rPr>
          <w:sz w:val="28"/>
          <w:szCs w:val="28"/>
          <w:lang w:val="en-GB"/>
        </w:rPr>
      </w:pPr>
      <w:r w:rsidRPr="00D07F55">
        <w:rPr>
          <w:sz w:val="28"/>
          <w:szCs w:val="28"/>
          <w:lang w:val="en-GB"/>
        </w:rPr>
        <w:t>‘1.</w:t>
      </w:r>
      <w:r w:rsidRPr="00D07F55">
        <w:rPr>
          <w:sz w:val="28"/>
          <w:szCs w:val="28"/>
          <w:lang w:val="en-GB"/>
        </w:rPr>
        <w:tab/>
        <w:t xml:space="preserve">The </w:t>
      </w:r>
      <w:r w:rsidR="00D07F55">
        <w:rPr>
          <w:sz w:val="28"/>
          <w:szCs w:val="28"/>
          <w:lang w:val="en-GB"/>
        </w:rPr>
        <w:t>respondent</w:t>
      </w:r>
      <w:r w:rsidRPr="00D07F55">
        <w:rPr>
          <w:sz w:val="28"/>
          <w:szCs w:val="28"/>
          <w:lang w:val="en-GB"/>
        </w:rPr>
        <w:t>, Glowing Rooms (Pty) Ltd, as well as its employees, agents, assigns and any other person/s that may occupy Unit 16 Gallery, Turf Club Drive, Milnerton, Western Cape (“the premises”) are to vac</w:t>
      </w:r>
      <w:r w:rsidR="002E62FA" w:rsidRPr="00D07F55">
        <w:rPr>
          <w:sz w:val="28"/>
          <w:szCs w:val="28"/>
          <w:lang w:val="en-GB"/>
        </w:rPr>
        <w:t>ate the premises on or before 30</w:t>
      </w:r>
      <w:r w:rsidRPr="00D07F55">
        <w:rPr>
          <w:sz w:val="28"/>
          <w:szCs w:val="28"/>
          <w:lang w:val="en-GB"/>
        </w:rPr>
        <w:t xml:space="preserve"> June 2024.</w:t>
      </w:r>
    </w:p>
    <w:p w14:paraId="64A9E0D6" w14:textId="4C102B48" w:rsidR="00EB4858" w:rsidRPr="00D07F55" w:rsidRDefault="00EB4858" w:rsidP="003C4D8B">
      <w:pPr>
        <w:spacing w:line="480" w:lineRule="auto"/>
        <w:rPr>
          <w:sz w:val="28"/>
          <w:szCs w:val="28"/>
          <w:lang w:val="en-GB"/>
        </w:rPr>
      </w:pPr>
      <w:r w:rsidRPr="00D07F55">
        <w:rPr>
          <w:sz w:val="28"/>
          <w:szCs w:val="28"/>
          <w:lang w:val="en-GB"/>
        </w:rPr>
        <w:t>2.</w:t>
      </w:r>
      <w:r w:rsidRPr="00D07F55">
        <w:rPr>
          <w:sz w:val="28"/>
          <w:szCs w:val="28"/>
          <w:lang w:val="en-GB"/>
        </w:rPr>
        <w:tab/>
      </w:r>
      <w:r w:rsidR="002203A3" w:rsidRPr="00D07F55">
        <w:rPr>
          <w:sz w:val="28"/>
          <w:szCs w:val="28"/>
          <w:lang w:val="en-GB"/>
        </w:rPr>
        <w:t xml:space="preserve">Should the </w:t>
      </w:r>
      <w:r w:rsidR="00D07F55">
        <w:rPr>
          <w:sz w:val="28"/>
          <w:szCs w:val="28"/>
          <w:lang w:val="en-GB"/>
        </w:rPr>
        <w:t>respondent</w:t>
      </w:r>
      <w:r w:rsidR="002203A3" w:rsidRPr="00D07F55">
        <w:rPr>
          <w:sz w:val="28"/>
          <w:szCs w:val="28"/>
          <w:lang w:val="en-GB"/>
        </w:rPr>
        <w:t>, as well as its employe</w:t>
      </w:r>
      <w:r w:rsidR="0007716A" w:rsidRPr="00D07F55">
        <w:rPr>
          <w:sz w:val="28"/>
          <w:szCs w:val="28"/>
          <w:lang w:val="en-GB"/>
        </w:rPr>
        <w:t>e</w:t>
      </w:r>
      <w:r w:rsidR="002203A3" w:rsidRPr="00D07F55">
        <w:rPr>
          <w:sz w:val="28"/>
          <w:szCs w:val="28"/>
          <w:lang w:val="en-GB"/>
        </w:rPr>
        <w:t xml:space="preserve">s, agents, assigns and </w:t>
      </w:r>
      <w:r w:rsidR="0007716A" w:rsidRPr="00D07F55">
        <w:rPr>
          <w:sz w:val="28"/>
          <w:szCs w:val="28"/>
          <w:lang w:val="en-GB"/>
        </w:rPr>
        <w:t xml:space="preserve">any other person/s that occupy the premises </w:t>
      </w:r>
      <w:r w:rsidR="0007716A" w:rsidRPr="00D07F55">
        <w:rPr>
          <w:i/>
          <w:sz w:val="28"/>
          <w:szCs w:val="28"/>
          <w:lang w:val="en-GB"/>
        </w:rPr>
        <w:t>vis-á-vis</w:t>
      </w:r>
      <w:r w:rsidR="002F4E59" w:rsidRPr="00D07F55">
        <w:rPr>
          <w:sz w:val="28"/>
          <w:szCs w:val="28"/>
          <w:lang w:val="en-GB"/>
        </w:rPr>
        <w:t xml:space="preserve"> the </w:t>
      </w:r>
      <w:r w:rsidR="00D07F55">
        <w:rPr>
          <w:sz w:val="28"/>
          <w:szCs w:val="28"/>
          <w:lang w:val="en-GB"/>
        </w:rPr>
        <w:t>respondent</w:t>
      </w:r>
      <w:r w:rsidR="002F4E59" w:rsidRPr="00D07F55">
        <w:rPr>
          <w:sz w:val="28"/>
          <w:szCs w:val="28"/>
          <w:lang w:val="en-GB"/>
        </w:rPr>
        <w:t xml:space="preserve">, fail to vacate the premises voluntarily as set out in </w:t>
      </w:r>
      <w:r w:rsidR="005F15A7" w:rsidRPr="00D07F55">
        <w:rPr>
          <w:sz w:val="28"/>
          <w:szCs w:val="28"/>
          <w:lang w:val="en-GB"/>
        </w:rPr>
        <w:t xml:space="preserve">paragraph </w:t>
      </w:r>
      <w:r w:rsidR="002F4E59" w:rsidRPr="00D07F55">
        <w:rPr>
          <w:sz w:val="28"/>
          <w:szCs w:val="28"/>
          <w:lang w:val="en-GB"/>
        </w:rPr>
        <w:t xml:space="preserve">1 above, the sheriff is authorised to evict the </w:t>
      </w:r>
      <w:r w:rsidR="00D07F55">
        <w:rPr>
          <w:sz w:val="28"/>
          <w:szCs w:val="28"/>
          <w:lang w:val="en-GB"/>
        </w:rPr>
        <w:t>respondent</w:t>
      </w:r>
      <w:r w:rsidR="002F4E59" w:rsidRPr="00D07F55">
        <w:rPr>
          <w:sz w:val="28"/>
          <w:szCs w:val="28"/>
          <w:lang w:val="en-GB"/>
        </w:rPr>
        <w:t xml:space="preserve">, its employees, agents, assigns and any other person/s that may occupy the premises </w:t>
      </w:r>
      <w:r w:rsidR="002F4E59" w:rsidRPr="00D07F55">
        <w:rPr>
          <w:i/>
          <w:sz w:val="28"/>
          <w:szCs w:val="28"/>
          <w:lang w:val="en-GB"/>
        </w:rPr>
        <w:t>vis-á-vis</w:t>
      </w:r>
      <w:r w:rsidR="002F4E59" w:rsidRPr="00D07F55">
        <w:rPr>
          <w:sz w:val="28"/>
          <w:szCs w:val="28"/>
          <w:lang w:val="en-GB"/>
        </w:rPr>
        <w:t xml:space="preserve"> </w:t>
      </w:r>
      <w:r w:rsidR="002E62FA" w:rsidRPr="00D07F55">
        <w:rPr>
          <w:sz w:val="28"/>
          <w:szCs w:val="28"/>
          <w:lang w:val="en-GB"/>
        </w:rPr>
        <w:t xml:space="preserve">the </w:t>
      </w:r>
      <w:r w:rsidR="00374FCA">
        <w:rPr>
          <w:sz w:val="28"/>
          <w:szCs w:val="28"/>
          <w:lang w:val="en-GB"/>
        </w:rPr>
        <w:t>respondent</w:t>
      </w:r>
      <w:r w:rsidR="002E62FA" w:rsidRPr="00D07F55">
        <w:rPr>
          <w:sz w:val="28"/>
          <w:szCs w:val="28"/>
          <w:lang w:val="en-GB"/>
        </w:rPr>
        <w:t xml:space="preserve"> on 1 July</w:t>
      </w:r>
      <w:r w:rsidR="00A2429B" w:rsidRPr="00D07F55">
        <w:rPr>
          <w:sz w:val="28"/>
          <w:szCs w:val="28"/>
          <w:lang w:val="en-GB"/>
        </w:rPr>
        <w:t xml:space="preserve"> 2024, or as soon thereafter as possible. </w:t>
      </w:r>
    </w:p>
    <w:p w14:paraId="64235F5C" w14:textId="1B3578FC" w:rsidR="00A2429B" w:rsidRDefault="00EB4858" w:rsidP="003C4D8B">
      <w:pPr>
        <w:spacing w:line="480" w:lineRule="auto"/>
        <w:rPr>
          <w:sz w:val="28"/>
          <w:szCs w:val="28"/>
          <w:lang w:val="en-GB"/>
        </w:rPr>
      </w:pPr>
      <w:r w:rsidRPr="00D07F55">
        <w:rPr>
          <w:sz w:val="28"/>
          <w:szCs w:val="28"/>
          <w:lang w:val="en-GB"/>
        </w:rPr>
        <w:t>3.</w:t>
      </w:r>
      <w:r w:rsidRPr="00D07F55">
        <w:rPr>
          <w:sz w:val="28"/>
          <w:szCs w:val="28"/>
          <w:lang w:val="en-GB"/>
        </w:rPr>
        <w:tab/>
        <w:t xml:space="preserve">The </w:t>
      </w:r>
      <w:r w:rsidR="00D07F55">
        <w:rPr>
          <w:sz w:val="28"/>
          <w:szCs w:val="28"/>
          <w:lang w:val="en-GB"/>
        </w:rPr>
        <w:t>respondent</w:t>
      </w:r>
      <w:r w:rsidRPr="00D07F55">
        <w:rPr>
          <w:sz w:val="28"/>
          <w:szCs w:val="28"/>
          <w:lang w:val="en-GB"/>
        </w:rPr>
        <w:t xml:space="preserve"> is to pay the costs of this application on the scale as between attorney and client.’</w:t>
      </w:r>
    </w:p>
    <w:p w14:paraId="76340BE3" w14:textId="77777777" w:rsidR="00821FA8" w:rsidRPr="00D07F55" w:rsidRDefault="00821FA8" w:rsidP="00EB4858">
      <w:pPr>
        <w:spacing w:line="480" w:lineRule="auto"/>
        <w:rPr>
          <w:sz w:val="28"/>
          <w:szCs w:val="28"/>
          <w:lang w:val="en-GB"/>
        </w:rPr>
      </w:pPr>
    </w:p>
    <w:p w14:paraId="6F7E28DF" w14:textId="77777777" w:rsidR="00BF09AC" w:rsidRPr="00D07F55" w:rsidRDefault="00BF09AC" w:rsidP="00BF09AC">
      <w:pPr>
        <w:rPr>
          <w:sz w:val="28"/>
          <w:szCs w:val="28"/>
          <w:lang w:val="en-GB"/>
        </w:rPr>
      </w:pPr>
      <w:r w:rsidRPr="00D07F55">
        <w:rPr>
          <w:noProof/>
          <w:sz w:val="28"/>
          <w:szCs w:val="28"/>
          <w:lang w:eastAsia="en-ZA"/>
        </w:rPr>
        <w:lastRenderedPageBreak/>
        <mc:AlternateContent>
          <mc:Choice Requires="wps">
            <w:drawing>
              <wp:anchor distT="4294967291" distB="4294967291" distL="114300" distR="114300" simplePos="0" relativeHeight="251663360" behindDoc="0" locked="0" layoutInCell="1" allowOverlap="1" wp14:anchorId="1234FDE3" wp14:editId="15FCA391">
                <wp:simplePos x="0" y="0"/>
                <wp:positionH relativeFrom="column">
                  <wp:posOffset>0</wp:posOffset>
                </wp:positionH>
                <wp:positionV relativeFrom="paragraph">
                  <wp:posOffset>36829</wp:posOffset>
                </wp:positionV>
                <wp:extent cx="59251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CDAEE2" id="Straight Connector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">
                <o:lock v:ext="edit" shapetype="f"/>
              </v:line>
            </w:pict>
          </mc:Fallback>
        </mc:AlternateContent>
      </w:r>
      <w:r w:rsidRPr="00D07F55">
        <w:rPr>
          <w:noProof/>
          <w:sz w:val="28"/>
          <w:szCs w:val="28"/>
          <w:lang w:eastAsia="en-ZA"/>
        </w:rPr>
        <mc:AlternateContent>
          <mc:Choice Requires="wps">
            <w:drawing>
              <wp:anchor distT="4294967291" distB="4294967291" distL="114295" distR="114295" simplePos="0" relativeHeight="251661312" behindDoc="0" locked="0" layoutInCell="1" allowOverlap="1" wp14:anchorId="181BAAB3" wp14:editId="78705144">
                <wp:simplePos x="0" y="0"/>
                <wp:positionH relativeFrom="column">
                  <wp:posOffset>-1</wp:posOffset>
                </wp:positionH>
                <wp:positionV relativeFrom="paragraph">
                  <wp:posOffset>114299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9B168B" id="Straight Connector 2" o:spid="_x0000_s1026" style="position:absolute;z-index:25166131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">
                <o:lock v:ext="edit" shapetype="f"/>
              </v:line>
            </w:pict>
          </mc:Fallback>
        </mc:AlternateContent>
      </w:r>
    </w:p>
    <w:p w14:paraId="55F2E4D4" w14:textId="77777777" w:rsidR="00BF09AC" w:rsidRPr="00D07F55" w:rsidRDefault="00BF09AC" w:rsidP="00BF09AC">
      <w:pPr>
        <w:jc w:val="center"/>
        <w:rPr>
          <w:b/>
          <w:iCs/>
          <w:sz w:val="28"/>
          <w:szCs w:val="28"/>
          <w:lang w:val="en-GB"/>
        </w:rPr>
      </w:pPr>
      <w:r w:rsidRPr="00D07F55">
        <w:rPr>
          <w:b/>
          <w:iCs/>
          <w:sz w:val="28"/>
          <w:szCs w:val="28"/>
          <w:lang w:val="en-GB"/>
        </w:rPr>
        <w:t>JUDGMENT</w:t>
      </w:r>
    </w:p>
    <w:p w14:paraId="62416F8E" w14:textId="77777777" w:rsidR="00BF09AC" w:rsidRPr="00D07F55" w:rsidRDefault="00BF09AC" w:rsidP="00BF09AC">
      <w:pPr>
        <w:rPr>
          <w:b/>
          <w:bCs/>
          <w:sz w:val="28"/>
          <w:szCs w:val="28"/>
          <w:lang w:val="en-GB"/>
        </w:rPr>
      </w:pPr>
      <w:r w:rsidRPr="00D07F55">
        <w:rPr>
          <w:noProof/>
          <w:sz w:val="28"/>
          <w:szCs w:val="28"/>
          <w:lang w:eastAsia="en-ZA"/>
        </w:rPr>
        <mc:AlternateContent>
          <mc:Choice Requires="wps">
            <w:drawing>
              <wp:anchor distT="4294967291" distB="4294967291" distL="114300" distR="114300" simplePos="0" relativeHeight="251662336" behindDoc="0" locked="0" layoutInCell="1" allowOverlap="1" wp14:anchorId="07EA9F68" wp14:editId="4EF21C71">
                <wp:simplePos x="0" y="0"/>
                <wp:positionH relativeFrom="column">
                  <wp:posOffset>0</wp:posOffset>
                </wp:positionH>
                <wp:positionV relativeFrom="paragraph">
                  <wp:posOffset>89534</wp:posOffset>
                </wp:positionV>
                <wp:extent cx="5925185" cy="0"/>
                <wp:effectExtent l="0" t="0" r="374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B1AD02" id="Straight Connector 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">
                <o:lock v:ext="edit" shapetype="f"/>
              </v:line>
            </w:pict>
          </mc:Fallback>
        </mc:AlternateContent>
      </w:r>
    </w:p>
    <w:p w14:paraId="036192ED" w14:textId="513D8473" w:rsidR="0031085B" w:rsidRPr="00D07F55" w:rsidRDefault="00D95827" w:rsidP="0031085B">
      <w:pPr>
        <w:rPr>
          <w:b/>
          <w:sz w:val="28"/>
          <w:szCs w:val="28"/>
          <w:lang w:val="en-GB"/>
        </w:rPr>
      </w:pPr>
      <w:r w:rsidRPr="00D07F55">
        <w:rPr>
          <w:b/>
          <w:sz w:val="28"/>
          <w:szCs w:val="28"/>
          <w:lang w:val="en-GB"/>
        </w:rPr>
        <w:t xml:space="preserve">Nicholls </w:t>
      </w:r>
      <w:r w:rsidR="0031085B" w:rsidRPr="00D07F55">
        <w:rPr>
          <w:b/>
          <w:sz w:val="28"/>
          <w:szCs w:val="28"/>
          <w:lang w:val="en-GB"/>
        </w:rPr>
        <w:t>JA (</w:t>
      </w:r>
      <w:r w:rsidR="00D56B81">
        <w:rPr>
          <w:b/>
          <w:sz w:val="28"/>
          <w:szCs w:val="28"/>
          <w:lang w:val="en-GB"/>
        </w:rPr>
        <w:t>Mbatha, Mabindla-Boqwana, Weiner &amp; Kgoele JJA</w:t>
      </w:r>
      <w:r w:rsidR="005542C0" w:rsidRPr="00D07F55">
        <w:rPr>
          <w:b/>
          <w:sz w:val="28"/>
          <w:szCs w:val="28"/>
          <w:lang w:val="en-GB"/>
        </w:rPr>
        <w:t xml:space="preserve"> </w:t>
      </w:r>
      <w:r w:rsidR="0031085B" w:rsidRPr="00D07F55">
        <w:rPr>
          <w:b/>
          <w:sz w:val="28"/>
          <w:szCs w:val="28"/>
          <w:lang w:val="en-GB"/>
        </w:rPr>
        <w:t>concurring):</w:t>
      </w:r>
    </w:p>
    <w:p w14:paraId="4526362F" w14:textId="39771628" w:rsidR="008C3920" w:rsidRPr="00555746" w:rsidRDefault="00555746" w:rsidP="00555746">
      <w:pPr>
        <w:rPr>
          <w:rFonts w:eastAsia="Calibri"/>
          <w:kern w:val="2"/>
          <w:sz w:val="28"/>
          <w:szCs w:val="28"/>
          <w:lang w:val="en-GB"/>
          <w14:ligatures w14:val="standardContextual"/>
        </w:rPr>
      </w:pPr>
      <w:r w:rsidRPr="00D07F55">
        <w:rPr>
          <w:rFonts w:eastAsia="Calibri"/>
          <w:kern w:val="2"/>
          <w:sz w:val="28"/>
          <w:szCs w:val="28"/>
          <w:lang w:val="en-GB"/>
          <w14:ligatures w14:val="standardContextual"/>
        </w:rPr>
        <w:t>[1]</w:t>
      </w:r>
      <w:r w:rsidRPr="00D07F55">
        <w:rPr>
          <w:rFonts w:eastAsia="Calibri"/>
          <w:kern w:val="2"/>
          <w:sz w:val="28"/>
          <w:szCs w:val="28"/>
          <w:lang w:val="en-GB"/>
          <w14:ligatures w14:val="standardContextual"/>
        </w:rPr>
        <w:tab/>
      </w:r>
      <w:r w:rsidR="00B87617" w:rsidRPr="00555746">
        <w:rPr>
          <w:rFonts w:eastAsia="Calibri"/>
          <w:kern w:val="2"/>
          <w:sz w:val="28"/>
          <w:szCs w:val="28"/>
          <w:lang w:val="en-GB"/>
          <w14:ligatures w14:val="standardContextual"/>
        </w:rPr>
        <w:t>This is an appeal against a judgment of the Western Cape Division</w:t>
      </w:r>
      <w:r w:rsidR="002412FA" w:rsidRPr="00555746">
        <w:rPr>
          <w:rFonts w:eastAsia="Calibri"/>
          <w:kern w:val="2"/>
          <w:sz w:val="28"/>
          <w:szCs w:val="28"/>
          <w:lang w:val="en-GB"/>
          <w14:ligatures w14:val="standardContextual"/>
        </w:rPr>
        <w:t xml:space="preserve"> of the High Court</w:t>
      </w:r>
      <w:r w:rsidR="00B87617" w:rsidRPr="00555746">
        <w:rPr>
          <w:rFonts w:eastAsia="Calibri"/>
          <w:kern w:val="2"/>
          <w:sz w:val="28"/>
          <w:szCs w:val="28"/>
          <w:lang w:val="en-GB"/>
          <w14:ligatures w14:val="standardContextual"/>
        </w:rPr>
        <w:t>, Cape Town</w:t>
      </w:r>
      <w:r w:rsidR="00EF596F" w:rsidRPr="00555746">
        <w:rPr>
          <w:rFonts w:eastAsia="Calibri"/>
          <w:kern w:val="2"/>
          <w:sz w:val="28"/>
          <w:szCs w:val="28"/>
          <w:lang w:val="en-GB"/>
          <w14:ligatures w14:val="standardContextual"/>
        </w:rPr>
        <w:t xml:space="preserve"> (the high court)</w:t>
      </w:r>
      <w:r w:rsidR="002412FA" w:rsidRPr="00555746">
        <w:rPr>
          <w:rFonts w:eastAsia="Calibri"/>
          <w:kern w:val="2"/>
          <w:sz w:val="28"/>
          <w:szCs w:val="28"/>
          <w:lang w:val="en-GB"/>
          <w14:ligatures w14:val="standardContextual"/>
        </w:rPr>
        <w:t>,</w:t>
      </w:r>
      <w:r w:rsidR="00B87617" w:rsidRPr="00555746">
        <w:rPr>
          <w:rFonts w:eastAsia="Calibri"/>
          <w:kern w:val="2"/>
          <w:sz w:val="28"/>
          <w:szCs w:val="28"/>
          <w:lang w:val="en-GB"/>
          <w14:ligatures w14:val="standardContextual"/>
        </w:rPr>
        <w:t xml:space="preserve"> which granted an eviction </w:t>
      </w:r>
      <w:r w:rsidR="00FC7060" w:rsidRPr="00555746">
        <w:rPr>
          <w:rFonts w:eastAsia="Calibri"/>
          <w:kern w:val="2"/>
          <w:sz w:val="28"/>
          <w:szCs w:val="28"/>
          <w:lang w:val="en-GB"/>
          <w14:ligatures w14:val="standardContextual"/>
        </w:rPr>
        <w:t xml:space="preserve">order against the appellant </w:t>
      </w:r>
      <w:r w:rsidR="00B87617" w:rsidRPr="00555746">
        <w:rPr>
          <w:rFonts w:eastAsia="Calibri"/>
          <w:kern w:val="2"/>
          <w:sz w:val="28"/>
          <w:szCs w:val="28"/>
          <w:lang w:val="en-GB"/>
          <w14:ligatures w14:val="standardContextual"/>
        </w:rPr>
        <w:t>from a commercial property</w:t>
      </w:r>
      <w:r w:rsidR="005336EF" w:rsidRPr="00555746">
        <w:rPr>
          <w:rFonts w:eastAsia="Calibri"/>
          <w:kern w:val="2"/>
          <w:sz w:val="28"/>
          <w:szCs w:val="28"/>
          <w:lang w:val="en-GB"/>
          <w14:ligatures w14:val="standardContextual"/>
        </w:rPr>
        <w:t>,</w:t>
      </w:r>
      <w:r w:rsidR="00B87617" w:rsidRPr="00555746">
        <w:rPr>
          <w:rFonts w:eastAsia="Calibri"/>
          <w:kern w:val="2"/>
          <w:sz w:val="28"/>
          <w:szCs w:val="28"/>
          <w:lang w:val="en-GB"/>
          <w14:ligatures w14:val="standardContextual"/>
        </w:rPr>
        <w:t xml:space="preserve"> pursuant to a notice of termination in terms of a lease. The central issue in this appeal is whether the eviction order was properly granted or whether</w:t>
      </w:r>
      <w:r w:rsidR="00457C31" w:rsidRPr="00555746">
        <w:rPr>
          <w:rFonts w:eastAsia="Calibri"/>
          <w:kern w:val="2"/>
          <w:sz w:val="28"/>
          <w:szCs w:val="28"/>
          <w:lang w:val="en-GB"/>
          <w14:ligatures w14:val="standardContextual"/>
        </w:rPr>
        <w:t xml:space="preserve"> the respondent</w:t>
      </w:r>
      <w:r w:rsidR="00CF04C8" w:rsidRPr="00555746">
        <w:rPr>
          <w:rFonts w:eastAsia="Calibri"/>
          <w:kern w:val="2"/>
          <w:sz w:val="28"/>
          <w:szCs w:val="28"/>
          <w:lang w:val="en-GB"/>
          <w14:ligatures w14:val="standardContextual"/>
        </w:rPr>
        <w:t>s</w:t>
      </w:r>
      <w:r w:rsidR="00457C31" w:rsidRPr="00555746">
        <w:rPr>
          <w:rFonts w:eastAsia="Calibri"/>
          <w:kern w:val="2"/>
          <w:sz w:val="28"/>
          <w:szCs w:val="28"/>
          <w:lang w:val="en-GB"/>
          <w14:ligatures w14:val="standardContextual"/>
        </w:rPr>
        <w:t xml:space="preserve"> repudiated the lease agreement</w:t>
      </w:r>
      <w:r w:rsidR="00D07F55" w:rsidRPr="00555746">
        <w:rPr>
          <w:rFonts w:eastAsia="Calibri"/>
          <w:kern w:val="2"/>
          <w:sz w:val="28"/>
          <w:szCs w:val="28"/>
          <w:lang w:val="en-GB"/>
          <w14:ligatures w14:val="standardContextual"/>
        </w:rPr>
        <w:t>,</w:t>
      </w:r>
      <w:r w:rsidR="00457C31" w:rsidRPr="00555746">
        <w:rPr>
          <w:rFonts w:eastAsia="Calibri"/>
          <w:kern w:val="2"/>
          <w:sz w:val="28"/>
          <w:szCs w:val="28"/>
          <w:lang w:val="en-GB"/>
          <w14:ligatures w14:val="standardContextual"/>
        </w:rPr>
        <w:t xml:space="preserve"> and whether</w:t>
      </w:r>
      <w:r w:rsidR="00B87617" w:rsidRPr="00555746">
        <w:rPr>
          <w:rFonts w:eastAsia="Calibri"/>
          <w:kern w:val="2"/>
          <w:sz w:val="28"/>
          <w:szCs w:val="28"/>
          <w:lang w:val="en-GB"/>
          <w14:ligatures w14:val="standardContextual"/>
        </w:rPr>
        <w:t xml:space="preserve"> </w:t>
      </w:r>
      <w:r w:rsidR="007D6A56" w:rsidRPr="00555746">
        <w:rPr>
          <w:rFonts w:eastAsia="Calibri"/>
          <w:kern w:val="2"/>
          <w:sz w:val="28"/>
          <w:szCs w:val="28"/>
          <w:lang w:val="en-GB"/>
          <w14:ligatures w14:val="standardContextual"/>
        </w:rPr>
        <w:t>on proper interpretation of the agreement as a whole, the respondent</w:t>
      </w:r>
      <w:r w:rsidR="00CF04C8" w:rsidRPr="00555746">
        <w:rPr>
          <w:rFonts w:eastAsia="Calibri"/>
          <w:kern w:val="2"/>
          <w:sz w:val="28"/>
          <w:szCs w:val="28"/>
          <w:lang w:val="en-GB"/>
          <w14:ligatures w14:val="standardContextual"/>
        </w:rPr>
        <w:t>s</w:t>
      </w:r>
      <w:r w:rsidR="007D6A56" w:rsidRPr="00555746">
        <w:rPr>
          <w:rFonts w:eastAsia="Calibri"/>
          <w:kern w:val="2"/>
          <w:sz w:val="28"/>
          <w:szCs w:val="28"/>
          <w:lang w:val="en-GB"/>
          <w14:ligatures w14:val="standardContextual"/>
        </w:rPr>
        <w:t xml:space="preserve"> had </w:t>
      </w:r>
      <w:r w:rsidR="001D4475" w:rsidRPr="00555746">
        <w:rPr>
          <w:rFonts w:eastAsia="Calibri"/>
          <w:kern w:val="2"/>
          <w:sz w:val="28"/>
          <w:szCs w:val="28"/>
          <w:lang w:val="en-GB"/>
          <w14:ligatures w14:val="standardContextual"/>
        </w:rPr>
        <w:t>a</w:t>
      </w:r>
      <w:r w:rsidR="007D6A56" w:rsidRPr="00555746">
        <w:rPr>
          <w:rFonts w:eastAsia="Calibri"/>
          <w:kern w:val="2"/>
          <w:sz w:val="28"/>
          <w:szCs w:val="28"/>
          <w:lang w:val="en-GB"/>
          <w14:ligatures w14:val="standardContextual"/>
        </w:rPr>
        <w:t xml:space="preserve"> right to </w:t>
      </w:r>
      <w:r w:rsidR="00457C31" w:rsidRPr="00555746">
        <w:rPr>
          <w:rFonts w:eastAsia="Calibri"/>
          <w:kern w:val="2"/>
          <w:sz w:val="28"/>
          <w:szCs w:val="28"/>
          <w:lang w:val="en-GB"/>
          <w14:ligatures w14:val="standardContextual"/>
        </w:rPr>
        <w:t xml:space="preserve">‘unilaterally’ </w:t>
      </w:r>
      <w:r w:rsidR="007D6A56" w:rsidRPr="00555746">
        <w:rPr>
          <w:rFonts w:eastAsia="Calibri"/>
          <w:kern w:val="2"/>
          <w:sz w:val="28"/>
          <w:szCs w:val="28"/>
          <w:lang w:val="en-GB"/>
          <w14:ligatures w14:val="standardContextual"/>
        </w:rPr>
        <w:t xml:space="preserve">cancel the </w:t>
      </w:r>
      <w:r w:rsidR="00457C31" w:rsidRPr="00555746">
        <w:rPr>
          <w:rFonts w:eastAsia="Calibri"/>
          <w:kern w:val="2"/>
          <w:sz w:val="28"/>
          <w:szCs w:val="28"/>
          <w:lang w:val="en-GB"/>
          <w14:ligatures w14:val="standardContextual"/>
        </w:rPr>
        <w:t>agreement</w:t>
      </w:r>
      <w:r w:rsidR="007D6A56" w:rsidRPr="00555746">
        <w:rPr>
          <w:rFonts w:eastAsia="Calibri"/>
          <w:kern w:val="2"/>
          <w:sz w:val="28"/>
          <w:szCs w:val="28"/>
          <w:lang w:val="en-GB"/>
          <w14:ligatures w14:val="standardContextual"/>
        </w:rPr>
        <w:t>.</w:t>
      </w:r>
      <w:r w:rsidR="00457C31" w:rsidRPr="00555746">
        <w:rPr>
          <w:rFonts w:eastAsia="Calibri"/>
          <w:kern w:val="2"/>
          <w:sz w:val="28"/>
          <w:szCs w:val="28"/>
          <w:lang w:val="en-GB"/>
          <w14:ligatures w14:val="standardContextual"/>
        </w:rPr>
        <w:t xml:space="preserve"> </w:t>
      </w:r>
      <w:r w:rsidR="00D07F55" w:rsidRPr="00555746">
        <w:rPr>
          <w:rFonts w:eastAsia="Calibri"/>
          <w:kern w:val="2"/>
          <w:sz w:val="28"/>
          <w:szCs w:val="28"/>
          <w:lang w:val="en-GB"/>
          <w14:ligatures w14:val="standardContextual"/>
        </w:rPr>
        <w:t>In addition,</w:t>
      </w:r>
      <w:r w:rsidR="007D6A56" w:rsidRPr="00555746">
        <w:rPr>
          <w:rFonts w:eastAsia="Calibri"/>
          <w:kern w:val="2"/>
          <w:sz w:val="28"/>
          <w:szCs w:val="28"/>
          <w:lang w:val="en-GB"/>
          <w14:ligatures w14:val="standardContextual"/>
        </w:rPr>
        <w:t xml:space="preserve"> whether</w:t>
      </w:r>
      <w:r w:rsidR="00D07F55" w:rsidRPr="00555746">
        <w:rPr>
          <w:rFonts w:eastAsia="Calibri"/>
          <w:kern w:val="2"/>
          <w:sz w:val="28"/>
          <w:szCs w:val="28"/>
          <w:lang w:val="en-GB"/>
          <w14:ligatures w14:val="standardContextual"/>
        </w:rPr>
        <w:t xml:space="preserve"> </w:t>
      </w:r>
      <w:r w:rsidR="00B87617" w:rsidRPr="00555746">
        <w:rPr>
          <w:rFonts w:eastAsia="Calibri"/>
          <w:kern w:val="2"/>
          <w:sz w:val="28"/>
          <w:szCs w:val="28"/>
          <w:lang w:val="en-GB"/>
          <w14:ligatures w14:val="standardContextual"/>
        </w:rPr>
        <w:t>the court should have developed the common law in accordance with constitutional norms and values</w:t>
      </w:r>
      <w:r w:rsidR="003307F2" w:rsidRPr="00555746">
        <w:rPr>
          <w:rFonts w:eastAsia="Calibri"/>
          <w:kern w:val="2"/>
          <w:sz w:val="28"/>
          <w:szCs w:val="28"/>
          <w:lang w:val="en-GB"/>
          <w14:ligatures w14:val="standardContextual"/>
        </w:rPr>
        <w:t>,</w:t>
      </w:r>
      <w:r w:rsidR="00B87617" w:rsidRPr="00555746">
        <w:rPr>
          <w:rFonts w:eastAsia="Calibri"/>
          <w:kern w:val="2"/>
          <w:sz w:val="28"/>
          <w:szCs w:val="28"/>
          <w:lang w:val="en-GB"/>
          <w14:ligatures w14:val="standardContextual"/>
        </w:rPr>
        <w:t xml:space="preserve"> to refuse the eviction.</w:t>
      </w:r>
    </w:p>
    <w:p w14:paraId="2E050BDE" w14:textId="77777777" w:rsidR="007D3084" w:rsidRPr="00D07F55" w:rsidRDefault="007D3084" w:rsidP="007D3084">
      <w:pPr>
        <w:pStyle w:val="ListParagraph"/>
        <w:ind w:left="0"/>
        <w:rPr>
          <w:rFonts w:eastAsia="Calibri"/>
          <w:kern w:val="2"/>
          <w:sz w:val="28"/>
          <w:szCs w:val="28"/>
          <w:lang w:val="en-GB"/>
          <w14:ligatures w14:val="standardContextual"/>
        </w:rPr>
      </w:pPr>
    </w:p>
    <w:p w14:paraId="27DCDF2C" w14:textId="77E503F1" w:rsidR="006A05DB" w:rsidRPr="00555746" w:rsidRDefault="00555746" w:rsidP="00555746">
      <w:pPr>
        <w:rPr>
          <w:rFonts w:eastAsia="Calibri"/>
          <w:kern w:val="2"/>
          <w:sz w:val="28"/>
          <w:szCs w:val="28"/>
          <w:lang w:val="en-GB"/>
          <w14:ligatures w14:val="standardContextual"/>
        </w:rPr>
      </w:pPr>
      <w:r w:rsidRPr="00D07F55">
        <w:rPr>
          <w:rFonts w:eastAsia="Calibri"/>
          <w:kern w:val="2"/>
          <w:sz w:val="28"/>
          <w:szCs w:val="28"/>
          <w:lang w:val="en-GB"/>
          <w14:ligatures w14:val="standardContextual"/>
        </w:rPr>
        <w:t>[2]</w:t>
      </w:r>
      <w:r w:rsidRPr="00D07F55">
        <w:rPr>
          <w:rFonts w:eastAsia="Calibri"/>
          <w:kern w:val="2"/>
          <w:sz w:val="28"/>
          <w:szCs w:val="28"/>
          <w:lang w:val="en-GB"/>
          <w14:ligatures w14:val="standardContextual"/>
        </w:rPr>
        <w:tab/>
      </w:r>
      <w:r w:rsidR="00B87617" w:rsidRPr="00555746">
        <w:rPr>
          <w:sz w:val="28"/>
          <w:szCs w:val="28"/>
          <w:lang w:val="en-GB"/>
        </w:rPr>
        <w:t>The appellant is Glowing Rooms (Pty) Ltd (Glowing Rooms). On 2 July 2016</w:t>
      </w:r>
      <w:r w:rsidR="00C97321" w:rsidRPr="00555746">
        <w:rPr>
          <w:sz w:val="28"/>
          <w:szCs w:val="28"/>
          <w:lang w:val="en-GB"/>
        </w:rPr>
        <w:t>,</w:t>
      </w:r>
      <w:r w:rsidR="00B87617" w:rsidRPr="00555746">
        <w:rPr>
          <w:sz w:val="28"/>
          <w:szCs w:val="28"/>
          <w:lang w:val="en-GB"/>
        </w:rPr>
        <w:t xml:space="preserve"> Glowing Rooms entered into a lease agreement with the Woodlands Trust (the Trust) </w:t>
      </w:r>
      <w:r w:rsidR="002E62FA" w:rsidRPr="00555746">
        <w:rPr>
          <w:sz w:val="28"/>
          <w:szCs w:val="28"/>
          <w:lang w:val="en-GB"/>
        </w:rPr>
        <w:t xml:space="preserve">(the first agreement) </w:t>
      </w:r>
      <w:r w:rsidR="00B87617" w:rsidRPr="00555746">
        <w:rPr>
          <w:sz w:val="28"/>
          <w:szCs w:val="28"/>
          <w:lang w:val="en-GB"/>
        </w:rPr>
        <w:t>in terms of which it leased a unit in a retail development, the Gallery, located in an industrial area near the Milnerton Race Course in Cape Town (the</w:t>
      </w:r>
      <w:r w:rsidR="0005711E" w:rsidRPr="00555746">
        <w:rPr>
          <w:sz w:val="28"/>
          <w:szCs w:val="28"/>
          <w:lang w:val="en-GB"/>
        </w:rPr>
        <w:t> </w:t>
      </w:r>
      <w:r w:rsidR="00B87617" w:rsidRPr="00555746">
        <w:rPr>
          <w:sz w:val="28"/>
          <w:szCs w:val="28"/>
          <w:lang w:val="en-GB"/>
        </w:rPr>
        <w:t xml:space="preserve">premises). The premises </w:t>
      </w:r>
      <w:r w:rsidR="00C55C10" w:rsidRPr="00555746">
        <w:rPr>
          <w:sz w:val="28"/>
          <w:szCs w:val="28"/>
          <w:lang w:val="en-GB"/>
        </w:rPr>
        <w:t xml:space="preserve">were </w:t>
      </w:r>
      <w:r w:rsidR="00B87617" w:rsidRPr="00555746">
        <w:rPr>
          <w:sz w:val="28"/>
          <w:szCs w:val="28"/>
          <w:lang w:val="en-GB"/>
        </w:rPr>
        <w:t xml:space="preserve">utilised as an indoor 3D </w:t>
      </w:r>
      <w:r w:rsidR="00736A05" w:rsidRPr="00555746">
        <w:rPr>
          <w:sz w:val="28"/>
          <w:szCs w:val="28"/>
          <w:lang w:val="en-GB"/>
        </w:rPr>
        <w:t xml:space="preserve">mini </w:t>
      </w:r>
      <w:r w:rsidR="00B87617" w:rsidRPr="00555746">
        <w:rPr>
          <w:sz w:val="28"/>
          <w:szCs w:val="28"/>
          <w:lang w:val="en-GB"/>
        </w:rPr>
        <w:t>golf course</w:t>
      </w:r>
      <w:r w:rsidR="00964C48" w:rsidRPr="00555746">
        <w:rPr>
          <w:sz w:val="28"/>
          <w:szCs w:val="28"/>
          <w:lang w:val="en-GB"/>
        </w:rPr>
        <w:t>,</w:t>
      </w:r>
      <w:r w:rsidR="00B87617" w:rsidRPr="00555746">
        <w:rPr>
          <w:sz w:val="28"/>
          <w:szCs w:val="28"/>
          <w:lang w:val="en-GB"/>
        </w:rPr>
        <w:t xml:space="preserve"> which operated only on Saturdays and Sundays. The </w:t>
      </w:r>
      <w:r w:rsidR="007308E7" w:rsidRPr="00555746">
        <w:rPr>
          <w:sz w:val="28"/>
          <w:szCs w:val="28"/>
          <w:lang w:val="en-GB"/>
        </w:rPr>
        <w:t>tr</w:t>
      </w:r>
      <w:r w:rsidR="00B87617" w:rsidRPr="00555746">
        <w:rPr>
          <w:sz w:val="28"/>
          <w:szCs w:val="28"/>
          <w:lang w:val="en-GB"/>
        </w:rPr>
        <w:t>ustees of the Woodlands Trust are the respondents herein. The first agreement of lease was for a period of three years</w:t>
      </w:r>
      <w:r w:rsidR="000F0DAC" w:rsidRPr="00555746">
        <w:rPr>
          <w:sz w:val="28"/>
          <w:szCs w:val="28"/>
          <w:lang w:val="en-GB"/>
        </w:rPr>
        <w:t>,</w:t>
      </w:r>
      <w:r w:rsidR="00B87617" w:rsidRPr="00555746">
        <w:rPr>
          <w:sz w:val="28"/>
          <w:szCs w:val="28"/>
          <w:lang w:val="en-GB"/>
        </w:rPr>
        <w:t xml:space="preserve"> commencing on 1 September 2016 and t</w:t>
      </w:r>
      <w:r w:rsidR="00CA1980" w:rsidRPr="00555746">
        <w:rPr>
          <w:sz w:val="28"/>
          <w:szCs w:val="28"/>
          <w:lang w:val="en-GB"/>
        </w:rPr>
        <w:t>erminating on 31 August 2019. A </w:t>
      </w:r>
      <w:r w:rsidR="00B87617" w:rsidRPr="00555746">
        <w:rPr>
          <w:sz w:val="28"/>
          <w:szCs w:val="28"/>
          <w:lang w:val="en-GB"/>
        </w:rPr>
        <w:t xml:space="preserve">second lease agreement was entered into on 27 February 2020 for another </w:t>
      </w:r>
      <w:r w:rsidR="00964C48" w:rsidRPr="00555746">
        <w:rPr>
          <w:sz w:val="28"/>
          <w:szCs w:val="28"/>
          <w:lang w:val="en-GB"/>
        </w:rPr>
        <w:t>three</w:t>
      </w:r>
      <w:r w:rsidR="00B87617" w:rsidRPr="00555746">
        <w:rPr>
          <w:sz w:val="28"/>
          <w:szCs w:val="28"/>
          <w:lang w:val="en-GB"/>
        </w:rPr>
        <w:t xml:space="preserve"> years</w:t>
      </w:r>
      <w:r w:rsidR="000F0DAC" w:rsidRPr="00555746">
        <w:rPr>
          <w:sz w:val="28"/>
          <w:szCs w:val="28"/>
          <w:lang w:val="en-GB"/>
        </w:rPr>
        <w:t>,</w:t>
      </w:r>
      <w:r w:rsidR="00B87617" w:rsidRPr="00555746">
        <w:rPr>
          <w:sz w:val="28"/>
          <w:szCs w:val="28"/>
          <w:lang w:val="en-GB"/>
        </w:rPr>
        <w:t xml:space="preserve"> commencing on 1</w:t>
      </w:r>
      <w:r w:rsidR="00C55C10" w:rsidRPr="00555746">
        <w:rPr>
          <w:sz w:val="28"/>
          <w:szCs w:val="28"/>
          <w:lang w:val="en-GB"/>
        </w:rPr>
        <w:t> </w:t>
      </w:r>
      <w:r w:rsidR="00B87617" w:rsidRPr="00555746">
        <w:rPr>
          <w:sz w:val="28"/>
          <w:szCs w:val="28"/>
          <w:lang w:val="en-GB"/>
        </w:rPr>
        <w:t>September 2019 and terminating on 31 August 2022. In July and August 2022</w:t>
      </w:r>
      <w:r w:rsidR="000F0DAC" w:rsidRPr="00555746">
        <w:rPr>
          <w:sz w:val="28"/>
          <w:szCs w:val="28"/>
          <w:lang w:val="en-GB"/>
        </w:rPr>
        <w:t>,</w:t>
      </w:r>
      <w:r w:rsidR="00B87617" w:rsidRPr="00555746">
        <w:rPr>
          <w:sz w:val="28"/>
          <w:szCs w:val="28"/>
          <w:lang w:val="en-GB"/>
        </w:rPr>
        <w:t xml:space="preserve"> the parties attempted to negotiate a new lease agreement.</w:t>
      </w:r>
    </w:p>
    <w:p w14:paraId="12103C78" w14:textId="77777777" w:rsidR="00D276EC" w:rsidRPr="00D07F55" w:rsidRDefault="00D276EC" w:rsidP="00D276EC">
      <w:pPr>
        <w:pStyle w:val="ListParagraph"/>
        <w:ind w:left="0"/>
        <w:rPr>
          <w:rFonts w:eastAsia="Calibri"/>
          <w:kern w:val="2"/>
          <w:sz w:val="28"/>
          <w:szCs w:val="28"/>
          <w:lang w:val="en-GB"/>
          <w14:ligatures w14:val="standardContextual"/>
        </w:rPr>
      </w:pPr>
    </w:p>
    <w:p w14:paraId="7397979E" w14:textId="14156BB5" w:rsidR="00191E63" w:rsidRPr="00555746" w:rsidRDefault="00555746" w:rsidP="00555746">
      <w:pPr>
        <w:rPr>
          <w:rFonts w:eastAsia="Calibri"/>
          <w:kern w:val="2"/>
          <w:sz w:val="28"/>
          <w:szCs w:val="28"/>
          <w:lang w:val="en-GB"/>
          <w14:ligatures w14:val="standardContextual"/>
        </w:rPr>
      </w:pPr>
      <w:r w:rsidRPr="00D07F55">
        <w:rPr>
          <w:rFonts w:eastAsia="Calibri"/>
          <w:kern w:val="2"/>
          <w:sz w:val="28"/>
          <w:szCs w:val="28"/>
          <w:lang w:val="en-GB"/>
          <w14:ligatures w14:val="standardContextual"/>
        </w:rPr>
        <w:lastRenderedPageBreak/>
        <w:t>[3]</w:t>
      </w:r>
      <w:r w:rsidRPr="00D07F55">
        <w:rPr>
          <w:rFonts w:eastAsia="Calibri"/>
          <w:kern w:val="2"/>
          <w:sz w:val="28"/>
          <w:szCs w:val="28"/>
          <w:lang w:val="en-GB"/>
          <w14:ligatures w14:val="standardContextual"/>
        </w:rPr>
        <w:tab/>
      </w:r>
      <w:r w:rsidR="00E71023" w:rsidRPr="00555746">
        <w:rPr>
          <w:rFonts w:eastAsia="Calibri"/>
          <w:kern w:val="2"/>
          <w:sz w:val="28"/>
          <w:szCs w:val="28"/>
          <w:lang w:val="en-GB"/>
          <w14:ligatures w14:val="standardContextual"/>
        </w:rPr>
        <w:t xml:space="preserve">It was disputed </w:t>
      </w:r>
      <w:r w:rsidR="00FC7060" w:rsidRPr="00555746">
        <w:rPr>
          <w:rFonts w:eastAsia="Calibri"/>
          <w:kern w:val="2"/>
          <w:sz w:val="28"/>
          <w:szCs w:val="28"/>
          <w:lang w:val="en-GB"/>
          <w14:ligatures w14:val="standardContextual"/>
        </w:rPr>
        <w:t xml:space="preserve">between the parties </w:t>
      </w:r>
      <w:r w:rsidR="00E71023" w:rsidRPr="00555746">
        <w:rPr>
          <w:rFonts w:eastAsia="Calibri"/>
          <w:kern w:val="2"/>
          <w:sz w:val="28"/>
          <w:szCs w:val="28"/>
          <w:lang w:val="en-GB"/>
          <w14:ligatures w14:val="standardContextual"/>
        </w:rPr>
        <w:t>whether pursuant to these negotiations, a new lease came into existence. Glowing Rooms insisted that the parties had entered into a new lease agreement on the same terms as the previous one. That a new lease agreement had been concluded was disputed by the Trust</w:t>
      </w:r>
      <w:r w:rsidR="00964C48" w:rsidRPr="00555746">
        <w:rPr>
          <w:rFonts w:eastAsia="Calibri"/>
          <w:kern w:val="2"/>
          <w:sz w:val="28"/>
          <w:szCs w:val="28"/>
          <w:lang w:val="en-GB"/>
          <w14:ligatures w14:val="standardContextual"/>
        </w:rPr>
        <w:t>,</w:t>
      </w:r>
      <w:r w:rsidR="00E71023" w:rsidRPr="00555746">
        <w:rPr>
          <w:rFonts w:eastAsia="Calibri"/>
          <w:kern w:val="2"/>
          <w:sz w:val="28"/>
          <w:szCs w:val="28"/>
          <w:lang w:val="en-GB"/>
          <w14:ligatures w14:val="standardContextual"/>
        </w:rPr>
        <w:t xml:space="preserve"> </w:t>
      </w:r>
      <w:r w:rsidR="00964C48" w:rsidRPr="00555746">
        <w:rPr>
          <w:rFonts w:eastAsia="Calibri"/>
          <w:kern w:val="2"/>
          <w:sz w:val="28"/>
          <w:szCs w:val="28"/>
          <w:lang w:val="en-GB"/>
          <w14:ligatures w14:val="standardContextual"/>
        </w:rPr>
        <w:t xml:space="preserve">which </w:t>
      </w:r>
      <w:r w:rsidR="00E71023" w:rsidRPr="00555746">
        <w:rPr>
          <w:rFonts w:eastAsia="Calibri"/>
          <w:kern w:val="2"/>
          <w:sz w:val="28"/>
          <w:szCs w:val="28"/>
          <w:lang w:val="en-GB"/>
          <w14:ligatures w14:val="standardContextual"/>
        </w:rPr>
        <w:t xml:space="preserve">alleged that once the second lease </w:t>
      </w:r>
      <w:r w:rsidR="002E62FA" w:rsidRPr="00555746">
        <w:rPr>
          <w:rFonts w:eastAsia="Calibri"/>
          <w:kern w:val="2"/>
          <w:sz w:val="28"/>
          <w:szCs w:val="28"/>
          <w:lang w:val="en-GB"/>
          <w14:ligatures w14:val="standardContextual"/>
        </w:rPr>
        <w:t xml:space="preserve">agreement </w:t>
      </w:r>
      <w:r w:rsidR="00964C48" w:rsidRPr="00555746">
        <w:rPr>
          <w:rFonts w:eastAsia="Calibri"/>
          <w:kern w:val="2"/>
          <w:sz w:val="28"/>
          <w:szCs w:val="28"/>
          <w:lang w:val="en-GB"/>
          <w14:ligatures w14:val="standardContextual"/>
        </w:rPr>
        <w:t xml:space="preserve">was </w:t>
      </w:r>
      <w:r w:rsidR="00E71023" w:rsidRPr="00555746">
        <w:rPr>
          <w:rFonts w:eastAsia="Calibri"/>
          <w:kern w:val="2"/>
          <w:sz w:val="28"/>
          <w:szCs w:val="28"/>
          <w:lang w:val="en-GB"/>
          <w14:ligatures w14:val="standardContextual"/>
        </w:rPr>
        <w:t>terminated by the effluxion of time, the negotiations for a new lease agreement during July and August 2022 had been unsuccessful.</w:t>
      </w:r>
    </w:p>
    <w:p w14:paraId="3DFE9532" w14:textId="77777777" w:rsidR="00191E63" w:rsidRPr="00D07F55" w:rsidRDefault="00191E63" w:rsidP="00191E63">
      <w:pPr>
        <w:pStyle w:val="ListParagraph"/>
        <w:ind w:left="0"/>
        <w:rPr>
          <w:rFonts w:eastAsia="Calibri"/>
          <w:kern w:val="2"/>
          <w:sz w:val="28"/>
          <w:szCs w:val="28"/>
          <w:lang w:val="en-GB"/>
          <w14:ligatures w14:val="standardContextual"/>
        </w:rPr>
      </w:pPr>
    </w:p>
    <w:p w14:paraId="2739ABE9" w14:textId="002E656B" w:rsidR="00191E63" w:rsidRPr="00555746" w:rsidRDefault="00555746" w:rsidP="00555746">
      <w:pPr>
        <w:rPr>
          <w:rFonts w:eastAsia="Calibri"/>
          <w:kern w:val="2"/>
          <w:sz w:val="28"/>
          <w:szCs w:val="28"/>
          <w:lang w:val="en-GB"/>
          <w14:ligatures w14:val="standardContextual"/>
        </w:rPr>
      </w:pPr>
      <w:r w:rsidRPr="00D07F55">
        <w:rPr>
          <w:rFonts w:eastAsia="Calibri"/>
          <w:kern w:val="2"/>
          <w:sz w:val="28"/>
          <w:szCs w:val="28"/>
          <w:lang w:val="en-GB"/>
          <w14:ligatures w14:val="standardContextual"/>
        </w:rPr>
        <w:t>[4]</w:t>
      </w:r>
      <w:r w:rsidRPr="00D07F55">
        <w:rPr>
          <w:rFonts w:eastAsia="Calibri"/>
          <w:kern w:val="2"/>
          <w:sz w:val="28"/>
          <w:szCs w:val="28"/>
          <w:lang w:val="en-GB"/>
          <w14:ligatures w14:val="standardContextual"/>
        </w:rPr>
        <w:tab/>
      </w:r>
      <w:r w:rsidR="00AE7F6B" w:rsidRPr="00555746">
        <w:rPr>
          <w:rFonts w:eastAsia="Calibri"/>
          <w:kern w:val="2"/>
          <w:sz w:val="28"/>
          <w:szCs w:val="28"/>
          <w:lang w:val="en-GB"/>
          <w14:ligatures w14:val="standardContextual"/>
        </w:rPr>
        <w:t>Because, at least on the Trust’s version, no agreement had been reached, it entered into a lease agreement with</w:t>
      </w:r>
      <w:r w:rsidR="007D6A56" w:rsidRPr="00555746">
        <w:rPr>
          <w:rFonts w:eastAsia="Calibri"/>
          <w:kern w:val="2"/>
          <w:sz w:val="28"/>
          <w:szCs w:val="28"/>
          <w:lang w:val="en-GB"/>
          <w14:ligatures w14:val="standardContextual"/>
        </w:rPr>
        <w:t xml:space="preserve"> a third party,</w:t>
      </w:r>
      <w:r w:rsidR="00AE7F6B" w:rsidRPr="00555746">
        <w:rPr>
          <w:rFonts w:eastAsia="Calibri"/>
          <w:kern w:val="2"/>
          <w:sz w:val="28"/>
          <w:szCs w:val="28"/>
          <w:lang w:val="en-GB"/>
          <w14:ligatures w14:val="standardContextual"/>
        </w:rPr>
        <w:t xml:space="preserve"> Tambudz</w:t>
      </w:r>
      <w:r w:rsidR="000E059C" w:rsidRPr="00555746">
        <w:rPr>
          <w:rFonts w:eastAsia="Calibri"/>
          <w:kern w:val="2"/>
          <w:sz w:val="28"/>
          <w:szCs w:val="28"/>
          <w:lang w:val="en-GB"/>
          <w14:ligatures w14:val="standardContextual"/>
        </w:rPr>
        <w:t>a</w:t>
      </w:r>
      <w:r w:rsidR="00AE7F6B" w:rsidRPr="00555746">
        <w:rPr>
          <w:rFonts w:eastAsia="Calibri"/>
          <w:kern w:val="2"/>
          <w:sz w:val="28"/>
          <w:szCs w:val="28"/>
          <w:lang w:val="en-GB"/>
          <w14:ligatures w14:val="standardContextual"/>
        </w:rPr>
        <w:t>i Perky Umer</w:t>
      </w:r>
      <w:r w:rsidR="00D07F55" w:rsidRPr="00555746">
        <w:rPr>
          <w:rFonts w:eastAsia="Calibri"/>
          <w:kern w:val="2"/>
          <w:sz w:val="28"/>
          <w:szCs w:val="28"/>
          <w:lang w:val="en-GB"/>
          <w14:ligatures w14:val="standardContextual"/>
        </w:rPr>
        <w:t>a</w:t>
      </w:r>
      <w:r w:rsidR="00964C48" w:rsidRPr="00555746">
        <w:rPr>
          <w:rFonts w:eastAsia="Calibri"/>
          <w:kern w:val="2"/>
          <w:sz w:val="28"/>
          <w:szCs w:val="28"/>
          <w:lang w:val="en-GB"/>
          <w14:ligatures w14:val="standardContextual"/>
        </w:rPr>
        <w:t>,</w:t>
      </w:r>
      <w:r w:rsidR="006858F3" w:rsidRPr="00555746">
        <w:rPr>
          <w:rFonts w:eastAsia="Calibri"/>
          <w:kern w:val="2"/>
          <w:sz w:val="28"/>
          <w:szCs w:val="28"/>
          <w:lang w:val="en-GB"/>
          <w14:ligatures w14:val="standardContextual"/>
        </w:rPr>
        <w:t xml:space="preserve"> </w:t>
      </w:r>
      <w:r w:rsidR="00473973" w:rsidRPr="00555746">
        <w:rPr>
          <w:rFonts w:eastAsia="Calibri"/>
          <w:kern w:val="2"/>
          <w:sz w:val="28"/>
          <w:szCs w:val="28"/>
          <w:lang w:val="en-GB"/>
          <w14:ligatures w14:val="standardContextual"/>
        </w:rPr>
        <w:t xml:space="preserve">commencing </w:t>
      </w:r>
      <w:r w:rsidR="00AE7F6B" w:rsidRPr="00555746">
        <w:rPr>
          <w:rFonts w:eastAsia="Calibri"/>
          <w:kern w:val="2"/>
          <w:sz w:val="28"/>
          <w:szCs w:val="28"/>
          <w:lang w:val="en-GB"/>
          <w14:ligatures w14:val="standardContextual"/>
        </w:rPr>
        <w:t>on 1</w:t>
      </w:r>
      <w:r w:rsidR="00FC511E" w:rsidRPr="00555746">
        <w:rPr>
          <w:rFonts w:eastAsia="Calibri"/>
          <w:kern w:val="2"/>
          <w:sz w:val="28"/>
          <w:szCs w:val="28"/>
          <w:lang w:val="en-GB"/>
          <w14:ligatures w14:val="standardContextual"/>
        </w:rPr>
        <w:t> </w:t>
      </w:r>
      <w:r w:rsidR="00AE7F6B" w:rsidRPr="00555746">
        <w:rPr>
          <w:rFonts w:eastAsia="Calibri"/>
          <w:kern w:val="2"/>
          <w:sz w:val="28"/>
          <w:szCs w:val="28"/>
          <w:lang w:val="en-GB"/>
          <w14:ligatures w14:val="standardContextual"/>
        </w:rPr>
        <w:t>September 2022. Ms Umera leased not only the premises in question</w:t>
      </w:r>
      <w:r w:rsidR="006858F3" w:rsidRPr="00555746">
        <w:rPr>
          <w:rFonts w:eastAsia="Calibri"/>
          <w:kern w:val="2"/>
          <w:sz w:val="28"/>
          <w:szCs w:val="28"/>
          <w:lang w:val="en-GB"/>
          <w14:ligatures w14:val="standardContextual"/>
        </w:rPr>
        <w:t>,</w:t>
      </w:r>
      <w:r w:rsidR="00AE7F6B" w:rsidRPr="00555746">
        <w:rPr>
          <w:rFonts w:eastAsia="Calibri"/>
          <w:kern w:val="2"/>
          <w:sz w:val="28"/>
          <w:szCs w:val="28"/>
          <w:lang w:val="en-GB"/>
          <w14:ligatures w14:val="standardContextual"/>
        </w:rPr>
        <w:t xml:space="preserve"> but also two other units in the Gallery. As a director of a non-profit educational institution</w:t>
      </w:r>
      <w:r w:rsidR="00ED25F5" w:rsidRPr="00555746">
        <w:rPr>
          <w:rFonts w:eastAsia="Calibri"/>
          <w:kern w:val="2"/>
          <w:sz w:val="28"/>
          <w:szCs w:val="28"/>
          <w:lang w:val="en-GB"/>
          <w14:ligatures w14:val="standardContextual"/>
        </w:rPr>
        <w:t>,</w:t>
      </w:r>
      <w:r w:rsidR="00AE7F6B" w:rsidRPr="00555746">
        <w:rPr>
          <w:rFonts w:eastAsia="Calibri"/>
          <w:kern w:val="2"/>
          <w:sz w:val="28"/>
          <w:szCs w:val="28"/>
          <w:lang w:val="en-GB"/>
          <w14:ligatures w14:val="standardContextual"/>
        </w:rPr>
        <w:t xml:space="preserve"> she intended to set up a school. To this end</w:t>
      </w:r>
      <w:r w:rsidR="006858F3" w:rsidRPr="00555746">
        <w:rPr>
          <w:rFonts w:eastAsia="Calibri"/>
          <w:kern w:val="2"/>
          <w:sz w:val="28"/>
          <w:szCs w:val="28"/>
          <w:lang w:val="en-GB"/>
          <w14:ligatures w14:val="standardContextual"/>
        </w:rPr>
        <w:t>,</w:t>
      </w:r>
      <w:r w:rsidR="00AE7F6B" w:rsidRPr="00555746">
        <w:rPr>
          <w:rFonts w:eastAsia="Calibri"/>
          <w:kern w:val="2"/>
          <w:sz w:val="28"/>
          <w:szCs w:val="28"/>
          <w:lang w:val="en-GB"/>
          <w14:ligatures w14:val="standardContextual"/>
        </w:rPr>
        <w:t xml:space="preserve"> the Trust agreed to undertake renovations and to give Ms Umera vacant occupation of the premises on 1 January 2023.</w:t>
      </w:r>
    </w:p>
    <w:p w14:paraId="4B9D5BFC" w14:textId="66E2EB2F" w:rsidR="00300257" w:rsidRPr="00D07F55" w:rsidRDefault="00300257" w:rsidP="00544215">
      <w:pPr>
        <w:pStyle w:val="ListParagraph"/>
        <w:ind w:left="0"/>
        <w:rPr>
          <w:rFonts w:eastAsia="Calibri"/>
          <w:kern w:val="2"/>
          <w:sz w:val="28"/>
          <w:szCs w:val="28"/>
          <w:lang w:val="en-GB"/>
          <w14:ligatures w14:val="standardContextual"/>
        </w:rPr>
      </w:pPr>
    </w:p>
    <w:p w14:paraId="35BA60FC" w14:textId="43E388B8" w:rsidR="005157B4" w:rsidRPr="00555746" w:rsidRDefault="00555746" w:rsidP="00555746">
      <w:pPr>
        <w:rPr>
          <w:rFonts w:eastAsia="Calibri"/>
          <w:kern w:val="2"/>
          <w:sz w:val="28"/>
          <w:szCs w:val="28"/>
          <w:lang w:val="en-GB"/>
          <w14:ligatures w14:val="standardContextual"/>
        </w:rPr>
      </w:pPr>
      <w:r w:rsidRPr="00D07F55">
        <w:rPr>
          <w:rFonts w:eastAsia="Calibri"/>
          <w:kern w:val="2"/>
          <w:sz w:val="28"/>
          <w:szCs w:val="28"/>
          <w:lang w:val="en-GB"/>
          <w14:ligatures w14:val="standardContextual"/>
        </w:rPr>
        <w:t>[5]</w:t>
      </w:r>
      <w:r w:rsidRPr="00D07F55">
        <w:rPr>
          <w:rFonts w:eastAsia="Calibri"/>
          <w:kern w:val="2"/>
          <w:sz w:val="28"/>
          <w:szCs w:val="28"/>
          <w:lang w:val="en-GB"/>
          <w14:ligatures w14:val="standardContextual"/>
        </w:rPr>
        <w:tab/>
      </w:r>
      <w:r w:rsidR="00AE7F6B" w:rsidRPr="00555746">
        <w:rPr>
          <w:rFonts w:eastAsia="Calibri"/>
          <w:kern w:val="2"/>
          <w:sz w:val="28"/>
          <w:szCs w:val="28"/>
          <w:lang w:val="en-GB"/>
          <w14:ligatures w14:val="standardContextual"/>
        </w:rPr>
        <w:t xml:space="preserve">Glowing Rooms refused to vacate the premises and denied that it had any legal obligation to do so. It claimed that a lease </w:t>
      </w:r>
      <w:r w:rsidR="00D553B2" w:rsidRPr="00555746">
        <w:rPr>
          <w:rFonts w:eastAsia="Calibri"/>
          <w:kern w:val="2"/>
          <w:sz w:val="28"/>
          <w:szCs w:val="28"/>
          <w:lang w:val="en-GB"/>
          <w14:ligatures w14:val="standardContextual"/>
        </w:rPr>
        <w:t xml:space="preserve">agreement </w:t>
      </w:r>
      <w:r w:rsidR="00AE7F6B" w:rsidRPr="00555746">
        <w:rPr>
          <w:rFonts w:eastAsia="Calibri"/>
          <w:kern w:val="2"/>
          <w:sz w:val="28"/>
          <w:szCs w:val="28"/>
          <w:lang w:val="en-GB"/>
          <w14:ligatures w14:val="standardContextual"/>
        </w:rPr>
        <w:t>had been concluded on 26 August 2022</w:t>
      </w:r>
      <w:r w:rsidR="000E5D31" w:rsidRPr="00555746">
        <w:rPr>
          <w:rFonts w:eastAsia="Calibri"/>
          <w:kern w:val="2"/>
          <w:sz w:val="28"/>
          <w:szCs w:val="28"/>
          <w:lang w:val="en-GB"/>
          <w14:ligatures w14:val="standardContextual"/>
        </w:rPr>
        <w:t>,</w:t>
      </w:r>
      <w:r w:rsidR="00AE7F6B" w:rsidRPr="00555746">
        <w:rPr>
          <w:rFonts w:eastAsia="Calibri"/>
          <w:kern w:val="2"/>
          <w:sz w:val="28"/>
          <w:szCs w:val="28"/>
          <w:lang w:val="en-GB"/>
          <w14:ligatures w14:val="standardContextual"/>
        </w:rPr>
        <w:t xml:space="preserve"> pursuant to the acceptance of an offer made by the Trust. As a result, on 6</w:t>
      </w:r>
      <w:r w:rsidR="000E5D31" w:rsidRPr="00555746">
        <w:rPr>
          <w:rFonts w:eastAsia="Calibri"/>
          <w:kern w:val="2"/>
          <w:sz w:val="28"/>
          <w:szCs w:val="28"/>
          <w:lang w:val="en-GB"/>
          <w14:ligatures w14:val="standardContextual"/>
        </w:rPr>
        <w:t> </w:t>
      </w:r>
      <w:r w:rsidR="00AE7F6B" w:rsidRPr="00555746">
        <w:rPr>
          <w:rFonts w:eastAsia="Calibri"/>
          <w:kern w:val="2"/>
          <w:sz w:val="28"/>
          <w:szCs w:val="28"/>
          <w:lang w:val="en-GB"/>
          <w14:ligatures w14:val="standardContextual"/>
        </w:rPr>
        <w:t>October 2022</w:t>
      </w:r>
      <w:r w:rsidR="00964C48" w:rsidRPr="00555746">
        <w:rPr>
          <w:rFonts w:eastAsia="Calibri"/>
          <w:kern w:val="2"/>
          <w:sz w:val="28"/>
          <w:szCs w:val="28"/>
          <w:lang w:val="en-GB"/>
          <w14:ligatures w14:val="standardContextual"/>
        </w:rPr>
        <w:t>,</w:t>
      </w:r>
      <w:r w:rsidR="00AE7F6B" w:rsidRPr="00555746">
        <w:rPr>
          <w:rFonts w:eastAsia="Calibri"/>
          <w:kern w:val="2"/>
          <w:sz w:val="28"/>
          <w:szCs w:val="28"/>
          <w:lang w:val="en-GB"/>
          <w14:ligatures w14:val="standardContextual"/>
        </w:rPr>
        <w:t xml:space="preserve"> the Trust instituted an urgent application to evict G</w:t>
      </w:r>
      <w:r w:rsidR="00CA76A1" w:rsidRPr="00555746">
        <w:rPr>
          <w:rFonts w:eastAsia="Calibri"/>
          <w:kern w:val="2"/>
          <w:sz w:val="28"/>
          <w:szCs w:val="28"/>
          <w:lang w:val="en-GB"/>
          <w14:ligatures w14:val="standardContextual"/>
        </w:rPr>
        <w:t xml:space="preserve">lowing </w:t>
      </w:r>
      <w:r w:rsidR="00AE7F6B" w:rsidRPr="00555746">
        <w:rPr>
          <w:rFonts w:eastAsia="Calibri"/>
          <w:kern w:val="2"/>
          <w:sz w:val="28"/>
          <w:szCs w:val="28"/>
          <w:lang w:val="en-GB"/>
          <w14:ligatures w14:val="standardContextual"/>
        </w:rPr>
        <w:t>R</w:t>
      </w:r>
      <w:r w:rsidR="00CA76A1" w:rsidRPr="00555746">
        <w:rPr>
          <w:rFonts w:eastAsia="Calibri"/>
          <w:kern w:val="2"/>
          <w:sz w:val="28"/>
          <w:szCs w:val="28"/>
          <w:lang w:val="en-GB"/>
          <w14:ligatures w14:val="standardContextual"/>
        </w:rPr>
        <w:t>ooms</w:t>
      </w:r>
      <w:r w:rsidR="00AE7F6B" w:rsidRPr="00555746">
        <w:rPr>
          <w:rFonts w:eastAsia="Calibri"/>
          <w:kern w:val="2"/>
          <w:sz w:val="28"/>
          <w:szCs w:val="28"/>
          <w:lang w:val="en-GB"/>
          <w14:ligatures w14:val="standardContextual"/>
        </w:rPr>
        <w:t xml:space="preserve"> from the premises on the basis that the </w:t>
      </w:r>
      <w:r w:rsidR="00D553B2" w:rsidRPr="00555746">
        <w:rPr>
          <w:rFonts w:eastAsia="Calibri"/>
          <w:kern w:val="2"/>
          <w:sz w:val="28"/>
          <w:szCs w:val="28"/>
          <w:lang w:val="en-GB"/>
          <w14:ligatures w14:val="standardContextual"/>
        </w:rPr>
        <w:t xml:space="preserve">second </w:t>
      </w:r>
      <w:r w:rsidR="00AE7F6B" w:rsidRPr="00555746">
        <w:rPr>
          <w:rFonts w:eastAsia="Calibri"/>
          <w:kern w:val="2"/>
          <w:sz w:val="28"/>
          <w:szCs w:val="28"/>
          <w:lang w:val="en-GB"/>
          <w14:ligatures w14:val="standardContextual"/>
        </w:rPr>
        <w:t>lease agreement had been terminated by the effluxion of time and that G</w:t>
      </w:r>
      <w:r w:rsidR="00CA76A1" w:rsidRPr="00555746">
        <w:rPr>
          <w:rFonts w:eastAsia="Calibri"/>
          <w:kern w:val="2"/>
          <w:sz w:val="28"/>
          <w:szCs w:val="28"/>
          <w:lang w:val="en-GB"/>
          <w14:ligatures w14:val="standardContextual"/>
        </w:rPr>
        <w:t xml:space="preserve">lowing </w:t>
      </w:r>
      <w:r w:rsidR="00AE7F6B" w:rsidRPr="00555746">
        <w:rPr>
          <w:rFonts w:eastAsia="Calibri"/>
          <w:kern w:val="2"/>
          <w:sz w:val="28"/>
          <w:szCs w:val="28"/>
          <w:lang w:val="en-GB"/>
          <w14:ligatures w14:val="standardContextual"/>
        </w:rPr>
        <w:t>R</w:t>
      </w:r>
      <w:r w:rsidR="00CA76A1" w:rsidRPr="00555746">
        <w:rPr>
          <w:rFonts w:eastAsia="Calibri"/>
          <w:kern w:val="2"/>
          <w:sz w:val="28"/>
          <w:szCs w:val="28"/>
          <w:lang w:val="en-GB"/>
          <w14:ligatures w14:val="standardContextual"/>
        </w:rPr>
        <w:t>ooms</w:t>
      </w:r>
      <w:r w:rsidR="00AE7F6B" w:rsidRPr="00555746">
        <w:rPr>
          <w:rFonts w:eastAsia="Calibri"/>
          <w:kern w:val="2"/>
          <w:sz w:val="28"/>
          <w:szCs w:val="28"/>
          <w:lang w:val="en-GB"/>
          <w14:ligatures w14:val="standardContextual"/>
        </w:rPr>
        <w:t xml:space="preserve"> was accordingly in unlawful occupation of the premises. G</w:t>
      </w:r>
      <w:r w:rsidR="00CA76A1" w:rsidRPr="00555746">
        <w:rPr>
          <w:rFonts w:eastAsia="Calibri"/>
          <w:kern w:val="2"/>
          <w:sz w:val="28"/>
          <w:szCs w:val="28"/>
          <w:lang w:val="en-GB"/>
          <w14:ligatures w14:val="standardContextual"/>
        </w:rPr>
        <w:t xml:space="preserve">lowing </w:t>
      </w:r>
      <w:r w:rsidR="00AE7F6B" w:rsidRPr="00555746">
        <w:rPr>
          <w:rFonts w:eastAsia="Calibri"/>
          <w:kern w:val="2"/>
          <w:sz w:val="28"/>
          <w:szCs w:val="28"/>
          <w:lang w:val="en-GB"/>
          <w14:ligatures w14:val="standardContextual"/>
        </w:rPr>
        <w:t>R</w:t>
      </w:r>
      <w:r w:rsidR="00CA76A1" w:rsidRPr="00555746">
        <w:rPr>
          <w:rFonts w:eastAsia="Calibri"/>
          <w:kern w:val="2"/>
          <w:sz w:val="28"/>
          <w:szCs w:val="28"/>
          <w:lang w:val="en-GB"/>
          <w14:ligatures w14:val="standardContextual"/>
        </w:rPr>
        <w:t>ooms</w:t>
      </w:r>
      <w:r w:rsidR="00AE7F6B" w:rsidRPr="00555746">
        <w:rPr>
          <w:rFonts w:eastAsia="Calibri"/>
          <w:kern w:val="2"/>
          <w:sz w:val="28"/>
          <w:szCs w:val="28"/>
          <w:lang w:val="en-GB"/>
          <w14:ligatures w14:val="standardContextual"/>
        </w:rPr>
        <w:t xml:space="preserve"> pleaded that a further lease </w:t>
      </w:r>
      <w:r w:rsidR="00D553B2" w:rsidRPr="00555746">
        <w:rPr>
          <w:rFonts w:eastAsia="Calibri"/>
          <w:kern w:val="2"/>
          <w:sz w:val="28"/>
          <w:szCs w:val="28"/>
          <w:lang w:val="en-GB"/>
          <w14:ligatures w14:val="standardContextual"/>
        </w:rPr>
        <w:t xml:space="preserve">agreement </w:t>
      </w:r>
      <w:r w:rsidR="00AE7F6B" w:rsidRPr="00555746">
        <w:rPr>
          <w:rFonts w:eastAsia="Calibri"/>
          <w:kern w:val="2"/>
          <w:sz w:val="28"/>
          <w:szCs w:val="28"/>
          <w:lang w:val="en-GB"/>
          <w14:ligatures w14:val="standardContextual"/>
        </w:rPr>
        <w:t>had been entered into on the same ter</w:t>
      </w:r>
      <w:r w:rsidR="002E62FA" w:rsidRPr="00555746">
        <w:rPr>
          <w:rFonts w:eastAsia="Calibri"/>
          <w:kern w:val="2"/>
          <w:sz w:val="28"/>
          <w:szCs w:val="28"/>
          <w:lang w:val="en-GB"/>
          <w14:ligatures w14:val="standardContextual"/>
        </w:rPr>
        <w:t xml:space="preserve">ms and conditions as the </w:t>
      </w:r>
      <w:r w:rsidR="00AE7F6B" w:rsidRPr="00555746">
        <w:rPr>
          <w:rFonts w:eastAsia="Calibri"/>
          <w:kern w:val="2"/>
          <w:sz w:val="28"/>
          <w:szCs w:val="28"/>
          <w:lang w:val="en-GB"/>
          <w14:ligatures w14:val="standardContextual"/>
        </w:rPr>
        <w:t>s</w:t>
      </w:r>
      <w:r w:rsidR="002E62FA" w:rsidRPr="00555746">
        <w:rPr>
          <w:rFonts w:eastAsia="Calibri"/>
          <w:kern w:val="2"/>
          <w:sz w:val="28"/>
          <w:szCs w:val="28"/>
          <w:lang w:val="en-GB"/>
          <w14:ligatures w14:val="standardContextual"/>
        </w:rPr>
        <w:t>econd</w:t>
      </w:r>
      <w:r w:rsidR="00AE7F6B" w:rsidRPr="00555746">
        <w:rPr>
          <w:rFonts w:eastAsia="Calibri"/>
          <w:kern w:val="2"/>
          <w:sz w:val="28"/>
          <w:szCs w:val="28"/>
          <w:lang w:val="en-GB"/>
          <w14:ligatures w14:val="standardContextual"/>
        </w:rPr>
        <w:t xml:space="preserve"> </w:t>
      </w:r>
      <w:r w:rsidR="00964C48" w:rsidRPr="00555746">
        <w:rPr>
          <w:rFonts w:eastAsia="Calibri"/>
          <w:kern w:val="2"/>
          <w:sz w:val="28"/>
          <w:szCs w:val="28"/>
          <w:lang w:val="en-GB"/>
          <w14:ligatures w14:val="standardContextual"/>
        </w:rPr>
        <w:t>lease agreement</w:t>
      </w:r>
      <w:r w:rsidR="00D553B2" w:rsidRPr="00555746">
        <w:rPr>
          <w:rFonts w:eastAsia="Calibri"/>
          <w:kern w:val="2"/>
          <w:sz w:val="28"/>
          <w:szCs w:val="28"/>
          <w:lang w:val="en-GB"/>
          <w14:ligatures w14:val="standardContextual"/>
        </w:rPr>
        <w:t>, which had</w:t>
      </w:r>
      <w:r w:rsidR="00964C48" w:rsidRPr="00555746">
        <w:rPr>
          <w:rFonts w:eastAsia="Calibri"/>
          <w:kern w:val="2"/>
          <w:sz w:val="28"/>
          <w:szCs w:val="28"/>
          <w:lang w:val="en-GB"/>
          <w14:ligatures w14:val="standardContextual"/>
        </w:rPr>
        <w:t xml:space="preserve"> commenc</w:t>
      </w:r>
      <w:r w:rsidR="00D553B2" w:rsidRPr="00555746">
        <w:rPr>
          <w:rFonts w:eastAsia="Calibri"/>
          <w:kern w:val="2"/>
          <w:sz w:val="28"/>
          <w:szCs w:val="28"/>
          <w:lang w:val="en-GB"/>
          <w14:ligatures w14:val="standardContextual"/>
        </w:rPr>
        <w:t>ed</w:t>
      </w:r>
      <w:r w:rsidR="00964C48" w:rsidRPr="00555746">
        <w:rPr>
          <w:rFonts w:eastAsia="Calibri"/>
          <w:kern w:val="2"/>
          <w:sz w:val="28"/>
          <w:szCs w:val="28"/>
          <w:lang w:val="en-GB"/>
          <w14:ligatures w14:val="standardContextual"/>
        </w:rPr>
        <w:t xml:space="preserve"> on 1 </w:t>
      </w:r>
      <w:r w:rsidR="00AE7F6B" w:rsidRPr="00555746">
        <w:rPr>
          <w:rFonts w:eastAsia="Calibri"/>
          <w:kern w:val="2"/>
          <w:sz w:val="28"/>
          <w:szCs w:val="28"/>
          <w:lang w:val="en-GB"/>
          <w14:ligatures w14:val="standardContextual"/>
        </w:rPr>
        <w:t>September 2019.</w:t>
      </w:r>
    </w:p>
    <w:p w14:paraId="53CF4B23" w14:textId="77777777" w:rsidR="00CF5AA9" w:rsidRPr="00D07F55" w:rsidRDefault="00CF5AA9" w:rsidP="00CF5AA9">
      <w:pPr>
        <w:pStyle w:val="ListParagraph"/>
        <w:ind w:left="0"/>
        <w:rPr>
          <w:rFonts w:eastAsia="Calibri"/>
          <w:kern w:val="2"/>
          <w:sz w:val="28"/>
          <w:szCs w:val="28"/>
          <w:lang w:val="en-GB"/>
          <w14:ligatures w14:val="standardContextual"/>
        </w:rPr>
      </w:pPr>
    </w:p>
    <w:p w14:paraId="2A65499C" w14:textId="2A876123" w:rsidR="00300257" w:rsidRPr="00555746" w:rsidRDefault="00555746" w:rsidP="00555746">
      <w:pPr>
        <w:rPr>
          <w:rFonts w:eastAsia="Calibri"/>
          <w:kern w:val="2"/>
          <w:sz w:val="28"/>
          <w:szCs w:val="28"/>
          <w:lang w:val="en-GB"/>
          <w14:ligatures w14:val="standardContextual"/>
        </w:rPr>
      </w:pPr>
      <w:r w:rsidRPr="00D07F55">
        <w:rPr>
          <w:rFonts w:eastAsia="Calibri"/>
          <w:kern w:val="2"/>
          <w:sz w:val="28"/>
          <w:szCs w:val="28"/>
          <w:lang w:val="en-GB"/>
          <w14:ligatures w14:val="standardContextual"/>
        </w:rPr>
        <w:t>[6]</w:t>
      </w:r>
      <w:r w:rsidRPr="00D07F55">
        <w:rPr>
          <w:rFonts w:eastAsia="Calibri"/>
          <w:kern w:val="2"/>
          <w:sz w:val="28"/>
          <w:szCs w:val="28"/>
          <w:lang w:val="en-GB"/>
          <w14:ligatures w14:val="standardContextual"/>
        </w:rPr>
        <w:tab/>
      </w:r>
      <w:r w:rsidR="00AE7F6B" w:rsidRPr="00555746">
        <w:rPr>
          <w:sz w:val="28"/>
          <w:szCs w:val="28"/>
          <w:lang w:val="en-GB"/>
        </w:rPr>
        <w:t>On 28 October 2022</w:t>
      </w:r>
      <w:r w:rsidR="00CA76A1" w:rsidRPr="00555746">
        <w:rPr>
          <w:sz w:val="28"/>
          <w:szCs w:val="28"/>
          <w:lang w:val="en-GB"/>
        </w:rPr>
        <w:t>,</w:t>
      </w:r>
      <w:r w:rsidR="00AE7F6B" w:rsidRPr="00555746">
        <w:rPr>
          <w:sz w:val="28"/>
          <w:szCs w:val="28"/>
          <w:lang w:val="en-GB"/>
        </w:rPr>
        <w:t xml:space="preserve"> the </w:t>
      </w:r>
      <w:r w:rsidR="00CD0EA3" w:rsidRPr="00555746">
        <w:rPr>
          <w:sz w:val="28"/>
          <w:szCs w:val="28"/>
          <w:lang w:val="en-GB"/>
        </w:rPr>
        <w:t>high court</w:t>
      </w:r>
      <w:r w:rsidR="00AE7F6B" w:rsidRPr="00555746">
        <w:rPr>
          <w:sz w:val="28"/>
          <w:szCs w:val="28"/>
          <w:lang w:val="en-GB"/>
        </w:rPr>
        <w:t xml:space="preserve"> (per </w:t>
      </w:r>
      <w:r w:rsidR="00DF1D42" w:rsidRPr="00555746">
        <w:rPr>
          <w:sz w:val="28"/>
          <w:szCs w:val="28"/>
          <w:lang w:val="en-GB"/>
        </w:rPr>
        <w:t xml:space="preserve">Kusevitsky </w:t>
      </w:r>
      <w:r w:rsidR="00AE7F6B" w:rsidRPr="00555746">
        <w:rPr>
          <w:sz w:val="28"/>
          <w:szCs w:val="28"/>
          <w:lang w:val="en-GB"/>
        </w:rPr>
        <w:t>J)</w:t>
      </w:r>
      <w:r w:rsidR="00D07F55" w:rsidRPr="00555746">
        <w:rPr>
          <w:sz w:val="28"/>
          <w:szCs w:val="28"/>
          <w:lang w:val="en-GB"/>
        </w:rPr>
        <w:t>,</w:t>
      </w:r>
      <w:r w:rsidR="00AE7F6B" w:rsidRPr="00555746">
        <w:rPr>
          <w:sz w:val="28"/>
          <w:szCs w:val="28"/>
          <w:lang w:val="en-GB"/>
        </w:rPr>
        <w:t xml:space="preserve"> dismissed the eviction application (the first eviction application). No reasons were provided for the order</w:t>
      </w:r>
      <w:r w:rsidR="00964C48" w:rsidRPr="00555746">
        <w:rPr>
          <w:sz w:val="28"/>
          <w:szCs w:val="28"/>
          <w:lang w:val="en-GB"/>
        </w:rPr>
        <w:t>,</w:t>
      </w:r>
      <w:r w:rsidR="00AE7F6B" w:rsidRPr="00555746">
        <w:rPr>
          <w:sz w:val="28"/>
          <w:szCs w:val="28"/>
          <w:lang w:val="en-GB"/>
        </w:rPr>
        <w:t xml:space="preserve"> </w:t>
      </w:r>
      <w:r w:rsidR="00AE7F6B" w:rsidRPr="00555746">
        <w:rPr>
          <w:sz w:val="28"/>
          <w:szCs w:val="28"/>
          <w:lang w:val="en-GB"/>
        </w:rPr>
        <w:lastRenderedPageBreak/>
        <w:t>but it is common cause between the parties that the basis for the dismissal of the eviction application was that the high court found that the parties had entered into a new lease agreement pursuant to the negotiations in July and August 2022</w:t>
      </w:r>
      <w:r w:rsidR="00BB3920" w:rsidRPr="00555746">
        <w:rPr>
          <w:sz w:val="28"/>
          <w:szCs w:val="28"/>
          <w:lang w:val="en-GB"/>
        </w:rPr>
        <w:t>,</w:t>
      </w:r>
      <w:r w:rsidR="00AE7F6B" w:rsidRPr="00555746">
        <w:rPr>
          <w:sz w:val="28"/>
          <w:szCs w:val="28"/>
          <w:lang w:val="en-GB"/>
        </w:rPr>
        <w:t xml:space="preserve"> despite it not having been reduced to writing.</w:t>
      </w:r>
    </w:p>
    <w:p w14:paraId="09E97BCC" w14:textId="77777777" w:rsidR="00D07F55" w:rsidRPr="00D07F55" w:rsidRDefault="00D07F55" w:rsidP="00D07F55">
      <w:pPr>
        <w:pStyle w:val="ListParagraph"/>
        <w:ind w:left="0"/>
        <w:rPr>
          <w:rFonts w:eastAsia="Calibri"/>
          <w:kern w:val="2"/>
          <w:sz w:val="28"/>
          <w:szCs w:val="28"/>
          <w:lang w:val="en-GB"/>
          <w14:ligatures w14:val="standardContextual"/>
        </w:rPr>
      </w:pPr>
    </w:p>
    <w:p w14:paraId="1A08A47C" w14:textId="25A78B98" w:rsidR="005C478D" w:rsidRPr="00555746" w:rsidRDefault="00555746" w:rsidP="00555746">
      <w:pPr>
        <w:rPr>
          <w:rFonts w:eastAsia="Calibri"/>
          <w:kern w:val="2"/>
          <w:sz w:val="28"/>
          <w:szCs w:val="28"/>
          <w:lang w:val="en-GB"/>
          <w14:ligatures w14:val="standardContextual"/>
        </w:rPr>
      </w:pPr>
      <w:r w:rsidRPr="00D07F55">
        <w:rPr>
          <w:rFonts w:eastAsia="Calibri"/>
          <w:kern w:val="2"/>
          <w:sz w:val="28"/>
          <w:szCs w:val="28"/>
          <w:lang w:val="en-GB"/>
          <w14:ligatures w14:val="standardContextual"/>
        </w:rPr>
        <w:t>[7]</w:t>
      </w:r>
      <w:r w:rsidRPr="00D07F55">
        <w:rPr>
          <w:rFonts w:eastAsia="Calibri"/>
          <w:kern w:val="2"/>
          <w:sz w:val="28"/>
          <w:szCs w:val="28"/>
          <w:lang w:val="en-GB"/>
          <w14:ligatures w14:val="standardContextual"/>
        </w:rPr>
        <w:tab/>
      </w:r>
      <w:r w:rsidR="00AE7F6B" w:rsidRPr="00555746">
        <w:rPr>
          <w:rFonts w:eastAsia="Calibri"/>
          <w:kern w:val="2"/>
          <w:sz w:val="28"/>
          <w:szCs w:val="28"/>
          <w:lang w:val="en-GB"/>
          <w14:ligatures w14:val="standardContextual"/>
        </w:rPr>
        <w:t>The trustees, apparently having accepted the court’s ruling, as indeed they were obliged to,</w:t>
      </w:r>
      <w:r w:rsidR="00AE7F6B" w:rsidRPr="00555746">
        <w:rPr>
          <w:rFonts w:eastAsia="Calibri"/>
          <w:i/>
          <w:iCs/>
          <w:kern w:val="2"/>
          <w:sz w:val="28"/>
          <w:szCs w:val="28"/>
          <w:lang w:val="en-GB"/>
          <w14:ligatures w14:val="standardContextual"/>
        </w:rPr>
        <w:t xml:space="preserve"> </w:t>
      </w:r>
      <w:r w:rsidR="00AE7F6B" w:rsidRPr="00555746">
        <w:rPr>
          <w:rFonts w:eastAsia="Calibri"/>
          <w:kern w:val="2"/>
          <w:sz w:val="28"/>
          <w:szCs w:val="28"/>
          <w:lang w:val="en-GB"/>
          <w14:ligatures w14:val="standardContextual"/>
        </w:rPr>
        <w:t>then proceeded on the basis that there was an extant lease agreement on the same terms an</w:t>
      </w:r>
      <w:r w:rsidR="002E62FA" w:rsidRPr="00555746">
        <w:rPr>
          <w:rFonts w:eastAsia="Calibri"/>
          <w:kern w:val="2"/>
          <w:sz w:val="28"/>
          <w:szCs w:val="28"/>
          <w:lang w:val="en-GB"/>
          <w14:ligatures w14:val="standardContextual"/>
        </w:rPr>
        <w:t>d conditions as the second lease agreement</w:t>
      </w:r>
      <w:r w:rsidR="00AE7F6B" w:rsidRPr="00555746">
        <w:rPr>
          <w:rFonts w:eastAsia="Calibri"/>
          <w:kern w:val="2"/>
          <w:sz w:val="28"/>
          <w:szCs w:val="28"/>
          <w:lang w:val="en-GB"/>
          <w14:ligatures w14:val="standardContextual"/>
        </w:rPr>
        <w:t>, as contended for by G</w:t>
      </w:r>
      <w:r w:rsidR="00C67FBC" w:rsidRPr="00555746">
        <w:rPr>
          <w:rFonts w:eastAsia="Calibri"/>
          <w:kern w:val="2"/>
          <w:sz w:val="28"/>
          <w:szCs w:val="28"/>
          <w:lang w:val="en-GB"/>
          <w14:ligatures w14:val="standardContextual"/>
        </w:rPr>
        <w:t xml:space="preserve">lowing </w:t>
      </w:r>
      <w:r w:rsidR="00AE7F6B" w:rsidRPr="00555746">
        <w:rPr>
          <w:rFonts w:eastAsia="Calibri"/>
          <w:kern w:val="2"/>
          <w:sz w:val="28"/>
          <w:szCs w:val="28"/>
          <w:lang w:val="en-GB"/>
          <w14:ligatures w14:val="standardContextual"/>
        </w:rPr>
        <w:t>R</w:t>
      </w:r>
      <w:r w:rsidR="00C67FBC" w:rsidRPr="00555746">
        <w:rPr>
          <w:rFonts w:eastAsia="Calibri"/>
          <w:kern w:val="2"/>
          <w:sz w:val="28"/>
          <w:szCs w:val="28"/>
          <w:lang w:val="en-GB"/>
          <w14:ligatures w14:val="standardContextual"/>
        </w:rPr>
        <w:t>ooms</w:t>
      </w:r>
      <w:r w:rsidR="00AE7F6B" w:rsidRPr="00555746">
        <w:rPr>
          <w:rFonts w:eastAsia="Calibri"/>
          <w:kern w:val="2"/>
          <w:sz w:val="28"/>
          <w:szCs w:val="28"/>
          <w:lang w:val="en-GB"/>
          <w14:ligatures w14:val="standardContextual"/>
        </w:rPr>
        <w:t>. Of particular significance is clause 2.1 of the lease agreement</w:t>
      </w:r>
      <w:r w:rsidR="00C67FBC" w:rsidRPr="00555746">
        <w:rPr>
          <w:rFonts w:eastAsia="Calibri"/>
          <w:kern w:val="2"/>
          <w:sz w:val="28"/>
          <w:szCs w:val="28"/>
          <w:lang w:val="en-GB"/>
          <w14:ligatures w14:val="standardContextual"/>
        </w:rPr>
        <w:t>,</w:t>
      </w:r>
      <w:r w:rsidR="00AE7F6B" w:rsidRPr="00555746">
        <w:rPr>
          <w:rFonts w:eastAsia="Calibri"/>
          <w:kern w:val="2"/>
          <w:sz w:val="28"/>
          <w:szCs w:val="28"/>
          <w:lang w:val="en-GB"/>
          <w14:ligatures w14:val="standardContextual"/>
        </w:rPr>
        <w:t xml:space="preserve"> which provides that the duration of the lease will be three years ‘subject to the Lessor’s right to cancel this agreement on one month’s notice’. Clause 2.2 provides that the lessee shall have an option to renew the lease on two months</w:t>
      </w:r>
      <w:r w:rsidR="006670B7" w:rsidRPr="00555746">
        <w:rPr>
          <w:rFonts w:eastAsia="Calibri"/>
          <w:kern w:val="2"/>
          <w:sz w:val="28"/>
          <w:szCs w:val="28"/>
          <w:lang w:val="en-GB"/>
          <w14:ligatures w14:val="standardContextual"/>
        </w:rPr>
        <w:t>’</w:t>
      </w:r>
      <w:r w:rsidR="00AE7F6B" w:rsidRPr="00555746">
        <w:rPr>
          <w:rFonts w:eastAsia="Calibri"/>
          <w:kern w:val="2"/>
          <w:sz w:val="28"/>
          <w:szCs w:val="28"/>
          <w:lang w:val="en-GB"/>
          <w14:ligatures w14:val="standardContextual"/>
        </w:rPr>
        <w:t xml:space="preserve"> written notice. It is common cause that G</w:t>
      </w:r>
      <w:r w:rsidR="00C67FBC" w:rsidRPr="00555746">
        <w:rPr>
          <w:rFonts w:eastAsia="Calibri"/>
          <w:kern w:val="2"/>
          <w:sz w:val="28"/>
          <w:szCs w:val="28"/>
          <w:lang w:val="en-GB"/>
          <w14:ligatures w14:val="standardContextual"/>
        </w:rPr>
        <w:t xml:space="preserve">lowing </w:t>
      </w:r>
      <w:r w:rsidR="00AE7F6B" w:rsidRPr="00555746">
        <w:rPr>
          <w:rFonts w:eastAsia="Calibri"/>
          <w:kern w:val="2"/>
          <w:sz w:val="28"/>
          <w:szCs w:val="28"/>
          <w:lang w:val="en-GB"/>
          <w14:ligatures w14:val="standardContextual"/>
        </w:rPr>
        <w:t>R</w:t>
      </w:r>
      <w:r w:rsidR="00C67FBC" w:rsidRPr="00555746">
        <w:rPr>
          <w:rFonts w:eastAsia="Calibri"/>
          <w:kern w:val="2"/>
          <w:sz w:val="28"/>
          <w:szCs w:val="28"/>
          <w:lang w:val="en-GB"/>
          <w14:ligatures w14:val="standardContextual"/>
        </w:rPr>
        <w:t>ooms</w:t>
      </w:r>
      <w:r w:rsidR="00AE7F6B" w:rsidRPr="00555746">
        <w:rPr>
          <w:rFonts w:eastAsia="Calibri"/>
          <w:kern w:val="2"/>
          <w:sz w:val="28"/>
          <w:szCs w:val="28"/>
          <w:lang w:val="en-GB"/>
          <w14:ligatures w14:val="standardContextual"/>
        </w:rPr>
        <w:t xml:space="preserve"> did not give </w:t>
      </w:r>
      <w:r w:rsidR="00964C48" w:rsidRPr="00555746">
        <w:rPr>
          <w:rFonts w:eastAsia="Calibri"/>
          <w:kern w:val="2"/>
          <w:sz w:val="28"/>
          <w:szCs w:val="28"/>
          <w:lang w:val="en-GB"/>
          <w14:ligatures w14:val="standardContextual"/>
        </w:rPr>
        <w:t>two</w:t>
      </w:r>
      <w:r w:rsidR="00AE7F6B" w:rsidRPr="00555746">
        <w:rPr>
          <w:rFonts w:eastAsia="Calibri"/>
          <w:kern w:val="2"/>
          <w:sz w:val="28"/>
          <w:szCs w:val="28"/>
          <w:lang w:val="en-GB"/>
          <w14:ligatures w14:val="standardContextual"/>
        </w:rPr>
        <w:t xml:space="preserve"> months</w:t>
      </w:r>
      <w:r w:rsidR="006670B7" w:rsidRPr="00555746">
        <w:rPr>
          <w:rFonts w:eastAsia="Calibri"/>
          <w:kern w:val="2"/>
          <w:sz w:val="28"/>
          <w:szCs w:val="28"/>
          <w:lang w:val="en-GB"/>
          <w14:ligatures w14:val="standardContextual"/>
        </w:rPr>
        <w:t>’</w:t>
      </w:r>
      <w:r w:rsidR="00AE7F6B" w:rsidRPr="00555746">
        <w:rPr>
          <w:rFonts w:eastAsia="Calibri"/>
          <w:kern w:val="2"/>
          <w:sz w:val="28"/>
          <w:szCs w:val="28"/>
          <w:lang w:val="en-GB"/>
          <w14:ligatures w14:val="standardContextual"/>
        </w:rPr>
        <w:t xml:space="preserve"> written notice</w:t>
      </w:r>
      <w:r w:rsidR="002E62FA" w:rsidRPr="00555746">
        <w:rPr>
          <w:rFonts w:eastAsia="Calibri"/>
          <w:kern w:val="2"/>
          <w:sz w:val="28"/>
          <w:szCs w:val="28"/>
          <w:lang w:val="en-GB"/>
          <w14:ligatures w14:val="standardContextual"/>
        </w:rPr>
        <w:t xml:space="preserve"> to renew the second lease agreement</w:t>
      </w:r>
      <w:r w:rsidR="00AE7F6B" w:rsidRPr="00555746">
        <w:rPr>
          <w:rFonts w:eastAsia="Calibri"/>
          <w:kern w:val="2"/>
          <w:sz w:val="28"/>
          <w:szCs w:val="28"/>
          <w:lang w:val="en-GB"/>
          <w14:ligatures w14:val="standardContextual"/>
        </w:rPr>
        <w:t>.</w:t>
      </w:r>
    </w:p>
    <w:p w14:paraId="0CF20B96" w14:textId="77777777" w:rsidR="009549E7" w:rsidRPr="00D07F55" w:rsidRDefault="009549E7" w:rsidP="009549E7">
      <w:pPr>
        <w:pStyle w:val="ListParagraph"/>
        <w:ind w:left="0"/>
        <w:rPr>
          <w:rFonts w:eastAsia="Calibri"/>
          <w:kern w:val="2"/>
          <w:sz w:val="28"/>
          <w:szCs w:val="28"/>
          <w:lang w:val="en-GB"/>
          <w14:ligatures w14:val="standardContextual"/>
        </w:rPr>
      </w:pPr>
    </w:p>
    <w:p w14:paraId="54A41632" w14:textId="6F22EE75" w:rsidR="00AE7F6B" w:rsidRPr="00555746" w:rsidRDefault="00555746" w:rsidP="00555746">
      <w:pPr>
        <w:rPr>
          <w:rFonts w:eastAsia="Calibri"/>
          <w:b/>
          <w:bCs/>
          <w:kern w:val="2"/>
          <w:sz w:val="28"/>
          <w:szCs w:val="28"/>
          <w:u w:val="single"/>
          <w:lang w:val="en-GB"/>
          <w14:ligatures w14:val="standardContextual"/>
        </w:rPr>
      </w:pPr>
      <w:r w:rsidRPr="00D07F55">
        <w:rPr>
          <w:rFonts w:eastAsia="Calibri"/>
          <w:kern w:val="2"/>
          <w:sz w:val="28"/>
          <w:szCs w:val="28"/>
          <w:lang w:val="en-GB"/>
          <w14:ligatures w14:val="standardContextual"/>
        </w:rPr>
        <w:t>[8]</w:t>
      </w:r>
      <w:r w:rsidRPr="00D07F55">
        <w:rPr>
          <w:rFonts w:eastAsia="Calibri"/>
          <w:kern w:val="2"/>
          <w:sz w:val="28"/>
          <w:szCs w:val="28"/>
          <w:lang w:val="en-GB"/>
          <w14:ligatures w14:val="standardContextual"/>
        </w:rPr>
        <w:tab/>
      </w:r>
      <w:r w:rsidR="00AE7F6B" w:rsidRPr="00555746">
        <w:rPr>
          <w:rFonts w:eastAsia="Calibri"/>
          <w:kern w:val="2"/>
          <w:sz w:val="28"/>
          <w:szCs w:val="28"/>
          <w:lang w:val="en-GB"/>
          <w14:ligatures w14:val="standardContextual"/>
        </w:rPr>
        <w:t>On the same day</w:t>
      </w:r>
      <w:r w:rsidR="00473973" w:rsidRPr="00555746">
        <w:rPr>
          <w:rFonts w:eastAsia="Calibri"/>
          <w:kern w:val="2"/>
          <w:sz w:val="28"/>
          <w:szCs w:val="28"/>
          <w:lang w:val="en-GB"/>
          <w14:ligatures w14:val="standardContextual"/>
        </w:rPr>
        <w:t xml:space="preserve">, and immediately after </w:t>
      </w:r>
      <w:r w:rsidR="00497D25" w:rsidRPr="00555746">
        <w:rPr>
          <w:rFonts w:eastAsia="Calibri"/>
          <w:kern w:val="2"/>
          <w:sz w:val="28"/>
          <w:szCs w:val="28"/>
          <w:lang w:val="en-GB"/>
          <w14:ligatures w14:val="standardContextual"/>
        </w:rPr>
        <w:t xml:space="preserve">Kusevitsky </w:t>
      </w:r>
      <w:r w:rsidR="00AE7F6B" w:rsidRPr="00555746">
        <w:rPr>
          <w:rFonts w:eastAsia="Calibri"/>
          <w:kern w:val="2"/>
          <w:sz w:val="28"/>
          <w:szCs w:val="28"/>
          <w:lang w:val="en-GB"/>
          <w14:ligatures w14:val="standardContextual"/>
        </w:rPr>
        <w:t xml:space="preserve">J’s ruling in the first eviction application, </w:t>
      </w:r>
      <w:r w:rsidR="003307F2" w:rsidRPr="00555746">
        <w:rPr>
          <w:rFonts w:eastAsia="Calibri"/>
          <w:kern w:val="2"/>
          <w:sz w:val="28"/>
          <w:szCs w:val="28"/>
          <w:lang w:val="en-GB"/>
          <w14:ligatures w14:val="standardContextual"/>
        </w:rPr>
        <w:t>on</w:t>
      </w:r>
      <w:r w:rsidR="00AE7F6B" w:rsidRPr="00555746">
        <w:rPr>
          <w:rFonts w:eastAsia="Calibri"/>
          <w:kern w:val="2"/>
          <w:sz w:val="28"/>
          <w:szCs w:val="28"/>
          <w:lang w:val="en-GB"/>
          <w14:ligatures w14:val="standardContextual"/>
        </w:rPr>
        <w:t xml:space="preserve"> 28 October 2022, the Trust sent a notice to Glowing Rooms terminating the</w:t>
      </w:r>
      <w:r w:rsidR="00E4557C" w:rsidRPr="00555746">
        <w:rPr>
          <w:rFonts w:eastAsia="Calibri"/>
          <w:kern w:val="2"/>
          <w:sz w:val="28"/>
          <w:szCs w:val="28"/>
          <w:lang w:val="en-GB"/>
          <w14:ligatures w14:val="standardContextual"/>
        </w:rPr>
        <w:t xml:space="preserve"> </w:t>
      </w:r>
      <w:r w:rsidR="00AE7F6B" w:rsidRPr="00555746">
        <w:rPr>
          <w:rFonts w:eastAsia="Calibri"/>
          <w:kern w:val="2"/>
          <w:sz w:val="28"/>
          <w:szCs w:val="28"/>
          <w:lang w:val="en-GB"/>
          <w14:ligatures w14:val="standardContextual"/>
        </w:rPr>
        <w:t xml:space="preserve">lease </w:t>
      </w:r>
      <w:r w:rsidR="00E4557C" w:rsidRPr="00555746">
        <w:rPr>
          <w:rFonts w:eastAsia="Calibri"/>
          <w:kern w:val="2"/>
          <w:sz w:val="28"/>
          <w:szCs w:val="28"/>
          <w:lang w:val="en-GB"/>
          <w14:ligatures w14:val="standardContextual"/>
        </w:rPr>
        <w:t xml:space="preserve">agreement </w:t>
      </w:r>
      <w:r w:rsidR="00AE7F6B" w:rsidRPr="00555746">
        <w:rPr>
          <w:rFonts w:eastAsia="Calibri"/>
          <w:kern w:val="2"/>
          <w:sz w:val="28"/>
          <w:szCs w:val="28"/>
          <w:lang w:val="en-GB"/>
          <w14:ligatures w14:val="standardContextual"/>
        </w:rPr>
        <w:t>in terms of clause 2.1</w:t>
      </w:r>
      <w:r w:rsidR="005F2C3B" w:rsidRPr="00555746">
        <w:rPr>
          <w:rFonts w:eastAsia="Calibri"/>
          <w:kern w:val="2"/>
          <w:sz w:val="28"/>
          <w:szCs w:val="28"/>
          <w:lang w:val="en-GB"/>
          <w14:ligatures w14:val="standardContextual"/>
        </w:rPr>
        <w:t>,</w:t>
      </w:r>
      <w:r w:rsidR="00AE7F6B" w:rsidRPr="00555746">
        <w:rPr>
          <w:rFonts w:eastAsia="Calibri"/>
          <w:kern w:val="2"/>
          <w:sz w:val="28"/>
          <w:szCs w:val="28"/>
          <w:lang w:val="en-GB"/>
          <w14:ligatures w14:val="standardContextual"/>
        </w:rPr>
        <w:t xml:space="preserve"> on one month’s notice</w:t>
      </w:r>
      <w:r w:rsidR="005F2C3B" w:rsidRPr="00555746">
        <w:rPr>
          <w:rFonts w:eastAsia="Calibri"/>
          <w:kern w:val="2"/>
          <w:sz w:val="28"/>
          <w:szCs w:val="28"/>
          <w:lang w:val="en-GB"/>
          <w14:ligatures w14:val="standardContextual"/>
        </w:rPr>
        <w:t>,</w:t>
      </w:r>
      <w:r w:rsidR="00AE7F6B" w:rsidRPr="00555746">
        <w:rPr>
          <w:rFonts w:eastAsia="Calibri"/>
          <w:kern w:val="2"/>
          <w:sz w:val="28"/>
          <w:szCs w:val="28"/>
          <w:lang w:val="en-GB"/>
          <w14:ligatures w14:val="standardContextual"/>
        </w:rPr>
        <w:t xml:space="preserve"> and requiring G</w:t>
      </w:r>
      <w:r w:rsidR="005F2C3B" w:rsidRPr="00555746">
        <w:rPr>
          <w:rFonts w:eastAsia="Calibri"/>
          <w:kern w:val="2"/>
          <w:sz w:val="28"/>
          <w:szCs w:val="28"/>
          <w:lang w:val="en-GB"/>
          <w14:ligatures w14:val="standardContextual"/>
        </w:rPr>
        <w:t xml:space="preserve">lowing </w:t>
      </w:r>
      <w:r w:rsidR="00AE7F6B" w:rsidRPr="00555746">
        <w:rPr>
          <w:rFonts w:eastAsia="Calibri"/>
          <w:kern w:val="2"/>
          <w:sz w:val="28"/>
          <w:szCs w:val="28"/>
          <w:lang w:val="en-GB"/>
          <w14:ligatures w14:val="standardContextual"/>
        </w:rPr>
        <w:t>R</w:t>
      </w:r>
      <w:r w:rsidR="005F2C3B" w:rsidRPr="00555746">
        <w:rPr>
          <w:rFonts w:eastAsia="Calibri"/>
          <w:kern w:val="2"/>
          <w:sz w:val="28"/>
          <w:szCs w:val="28"/>
          <w:lang w:val="en-GB"/>
          <w14:ligatures w14:val="standardContextual"/>
        </w:rPr>
        <w:t>ooms</w:t>
      </w:r>
      <w:r w:rsidR="00AE7F6B" w:rsidRPr="00555746">
        <w:rPr>
          <w:rFonts w:eastAsia="Calibri"/>
          <w:kern w:val="2"/>
          <w:sz w:val="28"/>
          <w:szCs w:val="28"/>
          <w:lang w:val="en-GB"/>
          <w14:ligatures w14:val="standardContextual"/>
        </w:rPr>
        <w:t xml:space="preserve"> to vacate by not later than 30 November 2022. </w:t>
      </w:r>
      <w:r w:rsidR="006625F9" w:rsidRPr="00555746">
        <w:rPr>
          <w:rFonts w:eastAsia="Calibri"/>
          <w:kern w:val="2"/>
          <w:sz w:val="28"/>
          <w:szCs w:val="28"/>
          <w:lang w:val="en-GB"/>
          <w14:ligatures w14:val="standardContextual"/>
        </w:rPr>
        <w:t>The third p</w:t>
      </w:r>
      <w:r w:rsidR="00002F12" w:rsidRPr="00555746">
        <w:rPr>
          <w:rFonts w:eastAsia="Calibri"/>
          <w:kern w:val="2"/>
          <w:sz w:val="28"/>
          <w:szCs w:val="28"/>
          <w:lang w:val="en-GB"/>
          <w14:ligatures w14:val="standardContextual"/>
        </w:rPr>
        <w:t>aragraph of t</w:t>
      </w:r>
      <w:r w:rsidR="00AE7F6B" w:rsidRPr="00555746">
        <w:rPr>
          <w:rFonts w:eastAsia="Calibri"/>
          <w:kern w:val="2"/>
          <w:sz w:val="28"/>
          <w:szCs w:val="28"/>
          <w:lang w:val="en-GB"/>
          <w14:ligatures w14:val="standardContextual"/>
        </w:rPr>
        <w:t xml:space="preserve">he notice </w:t>
      </w:r>
      <w:r w:rsidR="00473973" w:rsidRPr="00555746">
        <w:rPr>
          <w:rFonts w:eastAsia="Calibri"/>
          <w:kern w:val="2"/>
          <w:sz w:val="28"/>
          <w:szCs w:val="28"/>
          <w:lang w:val="en-GB"/>
          <w14:ligatures w14:val="standardContextual"/>
        </w:rPr>
        <w:t>reads as follows</w:t>
      </w:r>
      <w:r w:rsidR="00AE7F6B" w:rsidRPr="00555746">
        <w:rPr>
          <w:rFonts w:eastAsia="Calibri"/>
          <w:kern w:val="2"/>
          <w:sz w:val="28"/>
          <w:szCs w:val="28"/>
          <w:lang w:val="en-GB"/>
          <w14:ligatures w14:val="standardContextual"/>
        </w:rPr>
        <w:t>:</w:t>
      </w:r>
    </w:p>
    <w:p w14:paraId="35F45CBF" w14:textId="7C1351CE" w:rsidR="00AE7F6B" w:rsidRPr="00D07F55" w:rsidRDefault="00AE7F6B" w:rsidP="00AE7F6B">
      <w:pPr>
        <w:pStyle w:val="ListParagraph"/>
        <w:ind w:left="0"/>
        <w:rPr>
          <w:rFonts w:eastAsia="Calibri"/>
          <w:kern w:val="2"/>
          <w:sz w:val="28"/>
          <w:szCs w:val="28"/>
          <w:lang w:val="en-GB"/>
          <w14:ligatures w14:val="standardContextual"/>
        </w:rPr>
      </w:pPr>
      <w:r w:rsidRPr="00D07F55">
        <w:rPr>
          <w:rFonts w:eastAsia="Calibri"/>
          <w:kern w:val="2"/>
          <w:lang w:val="en-GB"/>
          <w14:ligatures w14:val="standardContextual"/>
        </w:rPr>
        <w:t>‘Insofar as G</w:t>
      </w:r>
      <w:r w:rsidR="005F2C3B" w:rsidRPr="00D07F55">
        <w:rPr>
          <w:rFonts w:eastAsia="Calibri"/>
          <w:kern w:val="2"/>
          <w:lang w:val="en-GB"/>
          <w14:ligatures w14:val="standardContextual"/>
        </w:rPr>
        <w:t xml:space="preserve">lowing </w:t>
      </w:r>
      <w:r w:rsidRPr="00D07F55">
        <w:rPr>
          <w:rFonts w:eastAsia="Calibri"/>
          <w:kern w:val="2"/>
          <w:lang w:val="en-GB"/>
          <w14:ligatures w14:val="standardContextual"/>
        </w:rPr>
        <w:t>R</w:t>
      </w:r>
      <w:r w:rsidR="005F2C3B" w:rsidRPr="00D07F55">
        <w:rPr>
          <w:rFonts w:eastAsia="Calibri"/>
          <w:kern w:val="2"/>
          <w:lang w:val="en-GB"/>
          <w14:ligatures w14:val="standardContextual"/>
        </w:rPr>
        <w:t>ooms</w:t>
      </w:r>
      <w:r w:rsidR="00967BD6" w:rsidRPr="00D07F55">
        <w:rPr>
          <w:rFonts w:eastAsia="Calibri"/>
          <w:kern w:val="2"/>
          <w:lang w:val="en-GB"/>
          <w14:ligatures w14:val="standardContextual"/>
        </w:rPr>
        <w:t xml:space="preserve"> (Pty) Ltd (“Glowing Rooms”)</w:t>
      </w:r>
      <w:r w:rsidRPr="00D07F55">
        <w:rPr>
          <w:rFonts w:eastAsia="Calibri"/>
          <w:kern w:val="2"/>
          <w:lang w:val="en-GB"/>
          <w14:ligatures w14:val="standardContextual"/>
        </w:rPr>
        <w:t xml:space="preserve"> allege t</w:t>
      </w:r>
      <w:r w:rsidR="00964C48" w:rsidRPr="00D07F55">
        <w:rPr>
          <w:rFonts w:eastAsia="Calibri"/>
          <w:kern w:val="2"/>
          <w:lang w:val="en-GB"/>
          <w14:ligatures w14:val="standardContextual"/>
        </w:rPr>
        <w:t>hat the parties have entered in</w:t>
      </w:r>
      <w:r w:rsidRPr="00D07F55">
        <w:rPr>
          <w:rFonts w:eastAsia="Calibri"/>
          <w:kern w:val="2"/>
          <w:lang w:val="en-GB"/>
          <w14:ligatures w14:val="standardContextual"/>
        </w:rPr>
        <w:t>to a new lease agreement, on the same terms and conditions as the previous lease agreement dated 27 February 2020, save for the change in G</w:t>
      </w:r>
      <w:r w:rsidR="00967BD6" w:rsidRPr="00D07F55">
        <w:rPr>
          <w:rFonts w:eastAsia="Calibri"/>
          <w:kern w:val="2"/>
          <w:lang w:val="en-GB"/>
          <w14:ligatures w14:val="standardContextual"/>
        </w:rPr>
        <w:t xml:space="preserve">lowing </w:t>
      </w:r>
      <w:r w:rsidRPr="00D07F55">
        <w:rPr>
          <w:rFonts w:eastAsia="Calibri"/>
          <w:kern w:val="2"/>
          <w:lang w:val="en-GB"/>
          <w14:ligatures w14:val="standardContextual"/>
        </w:rPr>
        <w:t>R</w:t>
      </w:r>
      <w:r w:rsidR="00967BD6" w:rsidRPr="00D07F55">
        <w:rPr>
          <w:rFonts w:eastAsia="Calibri"/>
          <w:kern w:val="2"/>
          <w:lang w:val="en-GB"/>
          <w14:ligatures w14:val="standardContextual"/>
        </w:rPr>
        <w:t>oom</w:t>
      </w:r>
      <w:r w:rsidRPr="00D07F55">
        <w:rPr>
          <w:rFonts w:eastAsia="Calibri"/>
          <w:kern w:val="2"/>
          <w:lang w:val="en-GB"/>
          <w14:ligatures w14:val="standardContextual"/>
        </w:rPr>
        <w:t>s</w:t>
      </w:r>
      <w:r w:rsidR="00964C48" w:rsidRPr="00D07F55">
        <w:rPr>
          <w:rFonts w:eastAsia="Calibri"/>
          <w:kern w:val="2"/>
          <w:lang w:val="en-GB"/>
          <w14:ligatures w14:val="standardContextual"/>
        </w:rPr>
        <w:t>’</w:t>
      </w:r>
      <w:r w:rsidRPr="00D07F55">
        <w:rPr>
          <w:rFonts w:eastAsia="Calibri"/>
          <w:kern w:val="2"/>
          <w:lang w:val="en-GB"/>
          <w14:ligatures w14:val="standardContextual"/>
        </w:rPr>
        <w:t xml:space="preserve"> rental obligation [the Trust] </w:t>
      </w:r>
      <w:r w:rsidR="0089253F" w:rsidRPr="00D07F55">
        <w:rPr>
          <w:rFonts w:eastAsia="Calibri"/>
          <w:kern w:val="2"/>
          <w:lang w:val="en-GB"/>
          <w14:ligatures w14:val="standardContextual"/>
        </w:rPr>
        <w:t xml:space="preserve">hereby </w:t>
      </w:r>
      <w:r w:rsidRPr="00D07F55">
        <w:rPr>
          <w:rFonts w:eastAsia="Calibri"/>
          <w:kern w:val="2"/>
          <w:lang w:val="en-GB"/>
          <w14:ligatures w14:val="standardContextual"/>
        </w:rPr>
        <w:t>gives G</w:t>
      </w:r>
      <w:r w:rsidR="0089253F" w:rsidRPr="00D07F55">
        <w:rPr>
          <w:rFonts w:eastAsia="Calibri"/>
          <w:kern w:val="2"/>
          <w:lang w:val="en-GB"/>
          <w14:ligatures w14:val="standardContextual"/>
        </w:rPr>
        <w:t xml:space="preserve">lowing </w:t>
      </w:r>
      <w:r w:rsidRPr="00D07F55">
        <w:rPr>
          <w:rFonts w:eastAsia="Calibri"/>
          <w:kern w:val="2"/>
          <w:lang w:val="en-GB"/>
          <w14:ligatures w14:val="standardContextual"/>
        </w:rPr>
        <w:t>R</w:t>
      </w:r>
      <w:r w:rsidR="0089253F" w:rsidRPr="00D07F55">
        <w:rPr>
          <w:rFonts w:eastAsia="Calibri"/>
          <w:kern w:val="2"/>
          <w:lang w:val="en-GB"/>
          <w14:ligatures w14:val="standardContextual"/>
        </w:rPr>
        <w:t>ooms</w:t>
      </w:r>
      <w:r w:rsidRPr="00D07F55">
        <w:rPr>
          <w:rFonts w:eastAsia="Calibri"/>
          <w:kern w:val="2"/>
          <w:lang w:val="en-GB"/>
          <w14:ligatures w14:val="standardContextual"/>
        </w:rPr>
        <w:t xml:space="preserve"> notice</w:t>
      </w:r>
      <w:r w:rsidR="00EB1AD1" w:rsidRPr="00D07F55">
        <w:rPr>
          <w:rFonts w:eastAsia="Calibri"/>
          <w:kern w:val="2"/>
          <w:lang w:val="en-GB"/>
          <w14:ligatures w14:val="standardContextual"/>
        </w:rPr>
        <w:t>,</w:t>
      </w:r>
      <w:r w:rsidRPr="00D07F55">
        <w:rPr>
          <w:rFonts w:eastAsia="Calibri"/>
          <w:kern w:val="2"/>
          <w:lang w:val="en-GB"/>
          <w14:ligatures w14:val="standardContextual"/>
        </w:rPr>
        <w:t xml:space="preserve"> in terms of clause 2.1</w:t>
      </w:r>
      <w:r w:rsidR="00964C48" w:rsidRPr="00D07F55">
        <w:rPr>
          <w:rFonts w:eastAsia="Calibri"/>
          <w:kern w:val="2"/>
          <w:lang w:val="en-GB"/>
          <w14:ligatures w14:val="standardContextual"/>
        </w:rPr>
        <w:t>.</w:t>
      </w:r>
      <w:r w:rsidRPr="00D07F55">
        <w:rPr>
          <w:rFonts w:eastAsia="Calibri"/>
          <w:kern w:val="2"/>
          <w:lang w:val="en-GB"/>
          <w14:ligatures w14:val="standardContextual"/>
        </w:rPr>
        <w:t xml:space="preserve"> of the alleged agreement, that it has elected to </w:t>
      </w:r>
      <w:r w:rsidR="00EB1AD1" w:rsidRPr="00D07F55">
        <w:rPr>
          <w:rFonts w:eastAsia="Calibri"/>
          <w:b/>
          <w:kern w:val="2"/>
          <w:lang w:val="en-GB"/>
          <w14:ligatures w14:val="standardContextual"/>
        </w:rPr>
        <w:t>CANCEL</w:t>
      </w:r>
      <w:r w:rsidRPr="00D07F55">
        <w:rPr>
          <w:rFonts w:eastAsia="Calibri"/>
          <w:kern w:val="2"/>
          <w:lang w:val="en-GB"/>
          <w14:ligatures w14:val="standardContextual"/>
        </w:rPr>
        <w:t xml:space="preserve"> the alleged agreement, and this let</w:t>
      </w:r>
      <w:r w:rsidR="004B5B30" w:rsidRPr="00D07F55">
        <w:rPr>
          <w:rFonts w:eastAsia="Calibri"/>
          <w:kern w:val="2"/>
          <w:lang w:val="en-GB"/>
          <w14:ligatures w14:val="standardContextual"/>
        </w:rPr>
        <w:t>ter serves as notice thereof.’</w:t>
      </w:r>
      <w:r w:rsidR="00F1600C" w:rsidRPr="00D07F55">
        <w:rPr>
          <w:rFonts w:eastAsia="Calibri"/>
          <w:kern w:val="2"/>
          <w:lang w:val="en-GB"/>
          <w14:ligatures w14:val="standardContextual"/>
        </w:rPr>
        <w:t xml:space="preserve"> </w:t>
      </w:r>
      <w:r w:rsidR="00F1600C" w:rsidRPr="00D07F55">
        <w:rPr>
          <w:rFonts w:eastAsia="Calibri"/>
          <w:kern w:val="2"/>
          <w:sz w:val="28"/>
          <w:szCs w:val="28"/>
          <w:lang w:val="en-GB"/>
          <w14:ligatures w14:val="standardContextual"/>
        </w:rPr>
        <w:t>(Emphasis added.)</w:t>
      </w:r>
    </w:p>
    <w:p w14:paraId="34A37B2C" w14:textId="4357F07B" w:rsidR="00980054" w:rsidRPr="00D07F55" w:rsidRDefault="00980054" w:rsidP="009549E7">
      <w:pPr>
        <w:pStyle w:val="ListParagraph"/>
        <w:ind w:left="0"/>
        <w:rPr>
          <w:rFonts w:eastAsia="Calibri"/>
          <w:kern w:val="2"/>
          <w:sz w:val="28"/>
          <w:szCs w:val="28"/>
          <w:lang w:val="en-GB"/>
          <w14:ligatures w14:val="standardContextual"/>
        </w:rPr>
      </w:pPr>
    </w:p>
    <w:p w14:paraId="4D547BE0" w14:textId="2D1F5FF3" w:rsidR="009549E7" w:rsidRPr="00555746" w:rsidRDefault="00555746" w:rsidP="00555746">
      <w:pPr>
        <w:rPr>
          <w:rFonts w:eastAsia="Calibri"/>
          <w:kern w:val="2"/>
          <w:sz w:val="28"/>
          <w:szCs w:val="28"/>
          <w:lang w:val="en-GB"/>
          <w14:ligatures w14:val="standardContextual"/>
        </w:rPr>
      </w:pPr>
      <w:r>
        <w:rPr>
          <w:rFonts w:eastAsia="Calibri"/>
          <w:kern w:val="2"/>
          <w:sz w:val="28"/>
          <w:szCs w:val="28"/>
          <w:lang w:val="en-GB"/>
          <w14:ligatures w14:val="standardContextual"/>
        </w:rPr>
        <w:lastRenderedPageBreak/>
        <w:t>[9]</w:t>
      </w:r>
      <w:r>
        <w:rPr>
          <w:rFonts w:eastAsia="Calibri"/>
          <w:kern w:val="2"/>
          <w:sz w:val="28"/>
          <w:szCs w:val="28"/>
          <w:lang w:val="en-GB"/>
          <w14:ligatures w14:val="standardContextual"/>
        </w:rPr>
        <w:tab/>
      </w:r>
      <w:r w:rsidR="004B5B30" w:rsidRPr="00555746">
        <w:rPr>
          <w:rFonts w:eastAsia="Calibri"/>
          <w:kern w:val="2"/>
          <w:sz w:val="28"/>
          <w:szCs w:val="28"/>
          <w:lang w:val="en-GB"/>
          <w14:ligatures w14:val="standardContextual"/>
        </w:rPr>
        <w:t>Again, G</w:t>
      </w:r>
      <w:r w:rsidR="0087637F" w:rsidRPr="00555746">
        <w:rPr>
          <w:rFonts w:eastAsia="Calibri"/>
          <w:kern w:val="2"/>
          <w:sz w:val="28"/>
          <w:szCs w:val="28"/>
          <w:lang w:val="en-GB"/>
          <w14:ligatures w14:val="standardContextual"/>
        </w:rPr>
        <w:t xml:space="preserve">lowing </w:t>
      </w:r>
      <w:r w:rsidR="004B5B30" w:rsidRPr="00555746">
        <w:rPr>
          <w:rFonts w:eastAsia="Calibri"/>
          <w:kern w:val="2"/>
          <w:sz w:val="28"/>
          <w:szCs w:val="28"/>
          <w:lang w:val="en-GB"/>
          <w14:ligatures w14:val="standardContextual"/>
        </w:rPr>
        <w:t>R</w:t>
      </w:r>
      <w:r w:rsidR="0087637F" w:rsidRPr="00555746">
        <w:rPr>
          <w:rFonts w:eastAsia="Calibri"/>
          <w:kern w:val="2"/>
          <w:sz w:val="28"/>
          <w:szCs w:val="28"/>
          <w:lang w:val="en-GB"/>
          <w14:ligatures w14:val="standardContextual"/>
        </w:rPr>
        <w:t>ooms</w:t>
      </w:r>
      <w:r w:rsidR="004B5B30" w:rsidRPr="00555746">
        <w:rPr>
          <w:rFonts w:eastAsia="Calibri"/>
          <w:kern w:val="2"/>
          <w:sz w:val="28"/>
          <w:szCs w:val="28"/>
          <w:lang w:val="en-GB"/>
          <w14:ligatures w14:val="standardContextual"/>
        </w:rPr>
        <w:t xml:space="preserve"> refused to vacate in terms of the notice</w:t>
      </w:r>
      <w:r w:rsidR="0087637F" w:rsidRPr="00555746">
        <w:rPr>
          <w:rFonts w:eastAsia="Calibri"/>
          <w:kern w:val="2"/>
          <w:sz w:val="28"/>
          <w:szCs w:val="28"/>
          <w:lang w:val="en-GB"/>
          <w14:ligatures w14:val="standardContextual"/>
        </w:rPr>
        <w:t>,</w:t>
      </w:r>
      <w:r w:rsidR="004B5B30" w:rsidRPr="00555746">
        <w:rPr>
          <w:rFonts w:eastAsia="Calibri"/>
          <w:kern w:val="2"/>
          <w:sz w:val="28"/>
          <w:szCs w:val="28"/>
          <w:lang w:val="en-GB"/>
          <w14:ligatures w14:val="standardContextual"/>
        </w:rPr>
        <w:t xml:space="preserve"> which resulted in the Trust instituting the present proceedings, seeking eviction for the second time. In th</w:t>
      </w:r>
      <w:r w:rsidR="003307F2" w:rsidRPr="00555746">
        <w:rPr>
          <w:rFonts w:eastAsia="Calibri"/>
          <w:kern w:val="2"/>
          <w:sz w:val="28"/>
          <w:szCs w:val="28"/>
          <w:lang w:val="en-GB"/>
          <w14:ligatures w14:val="standardContextual"/>
        </w:rPr>
        <w:t>e</w:t>
      </w:r>
      <w:r w:rsidR="004B5B30" w:rsidRPr="00555746">
        <w:rPr>
          <w:rFonts w:eastAsia="Calibri"/>
          <w:kern w:val="2"/>
          <w:sz w:val="28"/>
          <w:szCs w:val="28"/>
          <w:lang w:val="en-GB"/>
          <w14:ligatures w14:val="standardContextual"/>
        </w:rPr>
        <w:t xml:space="preserve"> second eviction application, which is the subject matter of this appeal, the Trust based its case on its contractual right to evict in terms of clause 2.1 of the lease agreement.</w:t>
      </w:r>
    </w:p>
    <w:p w14:paraId="7CA725D8" w14:textId="77777777" w:rsidR="00402ADB" w:rsidRPr="00D07F55" w:rsidRDefault="00402ADB" w:rsidP="00402ADB">
      <w:pPr>
        <w:pStyle w:val="ListParagraph"/>
        <w:ind w:left="0"/>
        <w:rPr>
          <w:rFonts w:eastAsia="Calibri"/>
          <w:kern w:val="2"/>
          <w:sz w:val="28"/>
          <w:szCs w:val="28"/>
          <w:lang w:val="en-GB"/>
          <w14:ligatures w14:val="standardContextual"/>
        </w:rPr>
      </w:pPr>
    </w:p>
    <w:p w14:paraId="619FD5D6" w14:textId="0DEFFA86" w:rsidR="00300257" w:rsidRPr="00555746" w:rsidRDefault="00555746" w:rsidP="00555746">
      <w:pPr>
        <w:rPr>
          <w:rFonts w:eastAsia="Calibri"/>
          <w:kern w:val="2"/>
          <w:sz w:val="28"/>
          <w:szCs w:val="28"/>
          <w:lang w:val="en-GB"/>
          <w14:ligatures w14:val="standardContextual"/>
        </w:rPr>
      </w:pPr>
      <w:r w:rsidRPr="00D07F55">
        <w:rPr>
          <w:rFonts w:eastAsia="Calibri"/>
          <w:kern w:val="2"/>
          <w:sz w:val="28"/>
          <w:szCs w:val="28"/>
          <w:lang w:val="en-GB"/>
          <w14:ligatures w14:val="standardContextual"/>
        </w:rPr>
        <w:t>[10]</w:t>
      </w:r>
      <w:r w:rsidRPr="00D07F55">
        <w:rPr>
          <w:rFonts w:eastAsia="Calibri"/>
          <w:kern w:val="2"/>
          <w:sz w:val="28"/>
          <w:szCs w:val="28"/>
          <w:lang w:val="en-GB"/>
          <w14:ligatures w14:val="standardContextual"/>
        </w:rPr>
        <w:tab/>
      </w:r>
      <w:r w:rsidR="004B5B30" w:rsidRPr="00555746">
        <w:rPr>
          <w:rFonts w:eastAsia="Calibri"/>
          <w:kern w:val="2"/>
          <w:sz w:val="28"/>
          <w:szCs w:val="28"/>
          <w:lang w:val="en-GB"/>
          <w14:ligatures w14:val="standardContextual"/>
        </w:rPr>
        <w:t>The high court</w:t>
      </w:r>
      <w:r w:rsidR="0087637F" w:rsidRPr="00555746">
        <w:rPr>
          <w:rFonts w:eastAsia="Calibri"/>
          <w:kern w:val="2"/>
          <w:sz w:val="28"/>
          <w:szCs w:val="28"/>
          <w:lang w:val="en-GB"/>
          <w14:ligatures w14:val="standardContextual"/>
        </w:rPr>
        <w:t>,</w:t>
      </w:r>
      <w:r w:rsidR="004B5B30" w:rsidRPr="00555746">
        <w:rPr>
          <w:rFonts w:eastAsia="Calibri"/>
          <w:kern w:val="2"/>
          <w:sz w:val="28"/>
          <w:szCs w:val="28"/>
          <w:lang w:val="en-GB"/>
          <w14:ligatures w14:val="standardContextual"/>
        </w:rPr>
        <w:t xml:space="preserve"> per Savage J</w:t>
      </w:r>
      <w:r w:rsidR="0087637F" w:rsidRPr="00555746">
        <w:rPr>
          <w:rFonts w:eastAsia="Calibri"/>
          <w:kern w:val="2"/>
          <w:sz w:val="28"/>
          <w:szCs w:val="28"/>
          <w:lang w:val="en-GB"/>
          <w14:ligatures w14:val="standardContextual"/>
        </w:rPr>
        <w:t>,</w:t>
      </w:r>
      <w:r w:rsidR="004B5B30" w:rsidRPr="00555746">
        <w:rPr>
          <w:rFonts w:eastAsia="Calibri"/>
          <w:kern w:val="2"/>
          <w:sz w:val="28"/>
          <w:szCs w:val="28"/>
          <w:lang w:val="en-GB"/>
          <w14:ligatures w14:val="standardContextual"/>
        </w:rPr>
        <w:t xml:space="preserve"> granted the eviction application but determined that the eviction should take place on or before 31 December 2022</w:t>
      </w:r>
      <w:r w:rsidR="00425220" w:rsidRPr="00555746">
        <w:rPr>
          <w:rFonts w:eastAsia="Calibri"/>
          <w:kern w:val="2"/>
          <w:sz w:val="28"/>
          <w:szCs w:val="28"/>
          <w:lang w:val="en-GB"/>
          <w14:ligatures w14:val="standardContextual"/>
        </w:rPr>
        <w:t>,</w:t>
      </w:r>
      <w:r w:rsidR="004B5B30" w:rsidRPr="00555746">
        <w:rPr>
          <w:rFonts w:eastAsia="Calibri"/>
          <w:kern w:val="2"/>
          <w:sz w:val="28"/>
          <w:szCs w:val="28"/>
          <w:lang w:val="en-GB"/>
          <w14:ligatures w14:val="standardContextual"/>
        </w:rPr>
        <w:t xml:space="preserve"> instead of 30</w:t>
      </w:r>
      <w:r w:rsidR="0087637F" w:rsidRPr="00555746">
        <w:rPr>
          <w:rFonts w:eastAsia="Calibri"/>
          <w:kern w:val="2"/>
          <w:sz w:val="28"/>
          <w:szCs w:val="28"/>
          <w:lang w:val="en-GB"/>
          <w14:ligatures w14:val="standardContextual"/>
        </w:rPr>
        <w:t> </w:t>
      </w:r>
      <w:r w:rsidR="004B5B30" w:rsidRPr="00555746">
        <w:rPr>
          <w:rFonts w:eastAsia="Calibri"/>
          <w:kern w:val="2"/>
          <w:sz w:val="28"/>
          <w:szCs w:val="28"/>
          <w:lang w:val="en-GB"/>
          <w14:ligatures w14:val="standardContextual"/>
        </w:rPr>
        <w:t xml:space="preserve">November 2022. In the exercise of its discretion to </w:t>
      </w:r>
      <w:r w:rsidR="00402ADB" w:rsidRPr="00555746">
        <w:rPr>
          <w:rFonts w:eastAsia="Calibri"/>
          <w:kern w:val="2"/>
          <w:sz w:val="28"/>
          <w:szCs w:val="28"/>
          <w:lang w:val="en-GB"/>
          <w14:ligatures w14:val="standardContextual"/>
        </w:rPr>
        <w:t xml:space="preserve">determine a reasonable date for the </w:t>
      </w:r>
      <w:r w:rsidR="004B5B30" w:rsidRPr="00555746">
        <w:rPr>
          <w:rFonts w:eastAsia="Calibri"/>
          <w:kern w:val="2"/>
          <w:sz w:val="28"/>
          <w:szCs w:val="28"/>
          <w:lang w:val="en-GB"/>
          <w14:ligatures w14:val="standardContextual"/>
        </w:rPr>
        <w:t>eviction, the high court took into consideration that G</w:t>
      </w:r>
      <w:r w:rsidR="00A37693" w:rsidRPr="00555746">
        <w:rPr>
          <w:rFonts w:eastAsia="Calibri"/>
          <w:kern w:val="2"/>
          <w:sz w:val="28"/>
          <w:szCs w:val="28"/>
          <w:lang w:val="en-GB"/>
          <w14:ligatures w14:val="standardContextual"/>
        </w:rPr>
        <w:t xml:space="preserve">lowing </w:t>
      </w:r>
      <w:r w:rsidR="004B5B30" w:rsidRPr="00555746">
        <w:rPr>
          <w:rFonts w:eastAsia="Calibri"/>
          <w:kern w:val="2"/>
          <w:sz w:val="28"/>
          <w:szCs w:val="28"/>
          <w:lang w:val="en-GB"/>
          <w14:ligatures w14:val="standardContextual"/>
        </w:rPr>
        <w:t>R</w:t>
      </w:r>
      <w:r w:rsidR="00A37693" w:rsidRPr="00555746">
        <w:rPr>
          <w:rFonts w:eastAsia="Calibri"/>
          <w:kern w:val="2"/>
          <w:sz w:val="28"/>
          <w:szCs w:val="28"/>
          <w:lang w:val="en-GB"/>
          <w14:ligatures w14:val="standardContextual"/>
        </w:rPr>
        <w:t>ooms</w:t>
      </w:r>
      <w:r w:rsidR="004B5B30" w:rsidRPr="00555746">
        <w:rPr>
          <w:rFonts w:eastAsia="Calibri"/>
          <w:kern w:val="2"/>
          <w:sz w:val="28"/>
          <w:szCs w:val="28"/>
          <w:lang w:val="en-GB"/>
          <w14:ligatures w14:val="standardContextual"/>
        </w:rPr>
        <w:t xml:space="preserve"> had been a tenant for many years</w:t>
      </w:r>
      <w:r w:rsidR="00D553B2" w:rsidRPr="00555746">
        <w:rPr>
          <w:rFonts w:eastAsia="Calibri"/>
          <w:kern w:val="2"/>
          <w:sz w:val="28"/>
          <w:szCs w:val="28"/>
          <w:lang w:val="en-GB"/>
          <w14:ligatures w14:val="standardContextual"/>
        </w:rPr>
        <w:t xml:space="preserve"> and would require some time to relocate.</w:t>
      </w:r>
      <w:r w:rsidR="004B5B30" w:rsidRPr="00555746">
        <w:rPr>
          <w:rFonts w:eastAsia="Calibri"/>
          <w:kern w:val="2"/>
          <w:sz w:val="28"/>
          <w:szCs w:val="28"/>
          <w:lang w:val="en-GB"/>
          <w14:ligatures w14:val="standardContextual"/>
        </w:rPr>
        <w:t xml:space="preserve"> The high court refused an application for leave to appeal by G</w:t>
      </w:r>
      <w:r w:rsidR="00A37693" w:rsidRPr="00555746">
        <w:rPr>
          <w:rFonts w:eastAsia="Calibri"/>
          <w:kern w:val="2"/>
          <w:sz w:val="28"/>
          <w:szCs w:val="28"/>
          <w:lang w:val="en-GB"/>
          <w14:ligatures w14:val="standardContextual"/>
        </w:rPr>
        <w:t xml:space="preserve">lowing </w:t>
      </w:r>
      <w:r w:rsidR="004B5B30" w:rsidRPr="00555746">
        <w:rPr>
          <w:rFonts w:eastAsia="Calibri"/>
          <w:kern w:val="2"/>
          <w:sz w:val="28"/>
          <w:szCs w:val="28"/>
          <w:lang w:val="en-GB"/>
          <w14:ligatures w14:val="standardContextual"/>
        </w:rPr>
        <w:t>R</w:t>
      </w:r>
      <w:r w:rsidR="00A37693" w:rsidRPr="00555746">
        <w:rPr>
          <w:rFonts w:eastAsia="Calibri"/>
          <w:kern w:val="2"/>
          <w:sz w:val="28"/>
          <w:szCs w:val="28"/>
          <w:lang w:val="en-GB"/>
          <w14:ligatures w14:val="standardContextual"/>
        </w:rPr>
        <w:t>ooms</w:t>
      </w:r>
      <w:r w:rsidR="004B5B30" w:rsidRPr="00555746">
        <w:rPr>
          <w:rFonts w:eastAsia="Calibri"/>
          <w:kern w:val="2"/>
          <w:sz w:val="28"/>
          <w:szCs w:val="28"/>
          <w:lang w:val="en-GB"/>
          <w14:ligatures w14:val="standardContextual"/>
        </w:rPr>
        <w:t>. Leave to appeal was granted by this Court.</w:t>
      </w:r>
    </w:p>
    <w:p w14:paraId="5797F76D" w14:textId="77777777" w:rsidR="007C7CC6" w:rsidRPr="00D07F55" w:rsidRDefault="007C7CC6" w:rsidP="007C7CC6">
      <w:pPr>
        <w:rPr>
          <w:rFonts w:eastAsia="Calibri"/>
          <w:kern w:val="2"/>
          <w:sz w:val="28"/>
          <w:szCs w:val="28"/>
          <w:lang w:val="en-GB"/>
          <w14:ligatures w14:val="standardContextual"/>
        </w:rPr>
      </w:pPr>
    </w:p>
    <w:p w14:paraId="26FAE028" w14:textId="097E9ACB" w:rsidR="00EE622C" w:rsidRPr="00555746" w:rsidRDefault="00555746" w:rsidP="00555746">
      <w:pPr>
        <w:rPr>
          <w:rFonts w:eastAsia="Calibri"/>
          <w:kern w:val="2"/>
          <w:sz w:val="28"/>
          <w:szCs w:val="28"/>
          <w:lang w:val="en-GB"/>
          <w14:ligatures w14:val="standardContextual"/>
        </w:rPr>
      </w:pPr>
      <w:r w:rsidRPr="00D07F55">
        <w:rPr>
          <w:rFonts w:eastAsia="Calibri"/>
          <w:kern w:val="2"/>
          <w:sz w:val="28"/>
          <w:szCs w:val="28"/>
          <w:lang w:val="en-GB"/>
          <w14:ligatures w14:val="standardContextual"/>
        </w:rPr>
        <w:t>[11]</w:t>
      </w:r>
      <w:r w:rsidRPr="00D07F55">
        <w:rPr>
          <w:rFonts w:eastAsia="Calibri"/>
          <w:kern w:val="2"/>
          <w:sz w:val="28"/>
          <w:szCs w:val="28"/>
          <w:lang w:val="en-GB"/>
          <w14:ligatures w14:val="standardContextual"/>
        </w:rPr>
        <w:tab/>
      </w:r>
      <w:r w:rsidR="004B5B30" w:rsidRPr="00555746">
        <w:rPr>
          <w:rFonts w:eastAsia="Calibri"/>
          <w:kern w:val="2"/>
          <w:sz w:val="28"/>
          <w:szCs w:val="28"/>
          <w:lang w:val="en-GB"/>
          <w14:ligatures w14:val="standardContextual"/>
        </w:rPr>
        <w:t>G</w:t>
      </w:r>
      <w:r w:rsidR="00A37693" w:rsidRPr="00555746">
        <w:rPr>
          <w:rFonts w:eastAsia="Calibri"/>
          <w:kern w:val="2"/>
          <w:sz w:val="28"/>
          <w:szCs w:val="28"/>
          <w:lang w:val="en-GB"/>
          <w14:ligatures w14:val="standardContextual"/>
        </w:rPr>
        <w:t xml:space="preserve">lowing </w:t>
      </w:r>
      <w:r w:rsidR="004B5B30" w:rsidRPr="00555746">
        <w:rPr>
          <w:rFonts w:eastAsia="Calibri"/>
          <w:kern w:val="2"/>
          <w:sz w:val="28"/>
          <w:szCs w:val="28"/>
          <w:lang w:val="en-GB"/>
          <w14:ligatures w14:val="standardContextual"/>
        </w:rPr>
        <w:t>R</w:t>
      </w:r>
      <w:r w:rsidR="00A37693" w:rsidRPr="00555746">
        <w:rPr>
          <w:rFonts w:eastAsia="Calibri"/>
          <w:kern w:val="2"/>
          <w:sz w:val="28"/>
          <w:szCs w:val="28"/>
          <w:lang w:val="en-GB"/>
          <w14:ligatures w14:val="standardContextual"/>
        </w:rPr>
        <w:t>oom</w:t>
      </w:r>
      <w:r w:rsidR="004B5B30" w:rsidRPr="00555746">
        <w:rPr>
          <w:rFonts w:eastAsia="Calibri"/>
          <w:kern w:val="2"/>
          <w:sz w:val="28"/>
          <w:szCs w:val="28"/>
          <w:lang w:val="en-GB"/>
          <w14:ligatures w14:val="standardContextual"/>
        </w:rPr>
        <w:t>s</w:t>
      </w:r>
      <w:r w:rsidR="00A37693" w:rsidRPr="00555746">
        <w:rPr>
          <w:rFonts w:eastAsia="Calibri"/>
          <w:kern w:val="2"/>
          <w:sz w:val="28"/>
          <w:szCs w:val="28"/>
          <w:lang w:val="en-GB"/>
          <w14:ligatures w14:val="standardContextual"/>
        </w:rPr>
        <w:t>’</w:t>
      </w:r>
      <w:r w:rsidR="004B5B30" w:rsidRPr="00555746">
        <w:rPr>
          <w:rFonts w:eastAsia="Calibri"/>
          <w:kern w:val="2"/>
          <w:sz w:val="28"/>
          <w:szCs w:val="28"/>
          <w:lang w:val="en-GB"/>
          <w14:ligatures w14:val="standardContextual"/>
        </w:rPr>
        <w:t xml:space="preserve"> appeal is based on four </w:t>
      </w:r>
      <w:r w:rsidR="00402ADB" w:rsidRPr="00555746">
        <w:rPr>
          <w:rFonts w:eastAsia="Calibri"/>
          <w:kern w:val="2"/>
          <w:sz w:val="28"/>
          <w:szCs w:val="28"/>
          <w:lang w:val="en-GB"/>
          <w14:ligatures w14:val="standardContextual"/>
        </w:rPr>
        <w:t>grounds</w:t>
      </w:r>
      <w:r w:rsidR="004B5B30" w:rsidRPr="00555746">
        <w:rPr>
          <w:rFonts w:eastAsia="Calibri"/>
          <w:kern w:val="2"/>
          <w:sz w:val="28"/>
          <w:szCs w:val="28"/>
          <w:lang w:val="en-GB"/>
          <w14:ligatures w14:val="standardContextual"/>
        </w:rPr>
        <w:t>. In this appeal, as in the high court, Glowing Rooms</w:t>
      </w:r>
      <w:r w:rsidR="00A37693" w:rsidRPr="00555746">
        <w:rPr>
          <w:rFonts w:eastAsia="Calibri"/>
          <w:kern w:val="2"/>
          <w:sz w:val="28"/>
          <w:szCs w:val="28"/>
          <w:lang w:val="en-GB"/>
          <w14:ligatures w14:val="standardContextual"/>
        </w:rPr>
        <w:t>’</w:t>
      </w:r>
      <w:r w:rsidR="004B5B30" w:rsidRPr="00555746">
        <w:rPr>
          <w:rFonts w:eastAsia="Calibri"/>
          <w:kern w:val="2"/>
          <w:sz w:val="28"/>
          <w:szCs w:val="28"/>
          <w:lang w:val="en-GB"/>
          <w14:ligatures w14:val="standardContextual"/>
        </w:rPr>
        <w:t xml:space="preserve"> primary defence is that public policy considerations mitigate against the enforcement of clause 2.1. Aligned to this</w:t>
      </w:r>
      <w:r w:rsidR="0005711E" w:rsidRPr="00555746">
        <w:rPr>
          <w:rFonts w:eastAsia="Calibri"/>
          <w:kern w:val="2"/>
          <w:sz w:val="28"/>
          <w:szCs w:val="28"/>
          <w:lang w:val="en-GB"/>
          <w14:ligatures w14:val="standardContextual"/>
        </w:rPr>
        <w:t>,</w:t>
      </w:r>
      <w:r w:rsidR="004B5B30" w:rsidRPr="00555746">
        <w:rPr>
          <w:rFonts w:eastAsia="Calibri"/>
          <w:kern w:val="2"/>
          <w:sz w:val="28"/>
          <w:szCs w:val="28"/>
          <w:lang w:val="en-GB"/>
          <w14:ligatures w14:val="standardContextual"/>
        </w:rPr>
        <w:t xml:space="preserve"> is the duty to negotiate in good faith. The </w:t>
      </w:r>
      <w:r w:rsidR="00737ECA" w:rsidRPr="00555746">
        <w:rPr>
          <w:rFonts w:eastAsia="Calibri"/>
          <w:kern w:val="2"/>
          <w:sz w:val="28"/>
          <w:szCs w:val="28"/>
          <w:lang w:val="en-GB"/>
          <w14:ligatures w14:val="standardContextual"/>
        </w:rPr>
        <w:t>next</w:t>
      </w:r>
      <w:r w:rsidR="004B5B30" w:rsidRPr="00555746">
        <w:rPr>
          <w:rFonts w:eastAsia="Calibri"/>
          <w:kern w:val="2"/>
          <w:sz w:val="28"/>
          <w:szCs w:val="28"/>
          <w:lang w:val="en-GB"/>
          <w14:ligatures w14:val="standardContextual"/>
        </w:rPr>
        <w:t xml:space="preserve"> aspect of G</w:t>
      </w:r>
      <w:r w:rsidR="0005711E" w:rsidRPr="00555746">
        <w:rPr>
          <w:rFonts w:eastAsia="Calibri"/>
          <w:kern w:val="2"/>
          <w:sz w:val="28"/>
          <w:szCs w:val="28"/>
          <w:lang w:val="en-GB"/>
          <w14:ligatures w14:val="standardContextual"/>
        </w:rPr>
        <w:t xml:space="preserve">lowing </w:t>
      </w:r>
      <w:r w:rsidR="004B5B30" w:rsidRPr="00555746">
        <w:rPr>
          <w:rFonts w:eastAsia="Calibri"/>
          <w:kern w:val="2"/>
          <w:sz w:val="28"/>
          <w:szCs w:val="28"/>
          <w:lang w:val="en-GB"/>
          <w14:ligatures w14:val="standardContextual"/>
        </w:rPr>
        <w:t>R</w:t>
      </w:r>
      <w:r w:rsidR="0005711E" w:rsidRPr="00555746">
        <w:rPr>
          <w:rFonts w:eastAsia="Calibri"/>
          <w:kern w:val="2"/>
          <w:sz w:val="28"/>
          <w:szCs w:val="28"/>
          <w:lang w:val="en-GB"/>
          <w14:ligatures w14:val="standardContextual"/>
        </w:rPr>
        <w:t>ooms</w:t>
      </w:r>
      <w:r w:rsidR="004B5B30" w:rsidRPr="00555746">
        <w:rPr>
          <w:rFonts w:eastAsia="Calibri"/>
          <w:kern w:val="2"/>
          <w:sz w:val="28"/>
          <w:szCs w:val="28"/>
          <w:lang w:val="en-GB"/>
          <w14:ligatures w14:val="standardContextual"/>
        </w:rPr>
        <w:t>’ argument</w:t>
      </w:r>
      <w:r w:rsidR="00F8280B" w:rsidRPr="00555746">
        <w:rPr>
          <w:rFonts w:eastAsia="Calibri"/>
          <w:kern w:val="2"/>
          <w:sz w:val="28"/>
          <w:szCs w:val="28"/>
          <w:lang w:val="en-GB"/>
          <w14:ligatures w14:val="standardContextual"/>
        </w:rPr>
        <w:t xml:space="preserve"> is</w:t>
      </w:r>
      <w:r w:rsidR="004B5B30" w:rsidRPr="00555746">
        <w:rPr>
          <w:rFonts w:eastAsia="Calibri"/>
          <w:kern w:val="2"/>
          <w:sz w:val="28"/>
          <w:szCs w:val="28"/>
          <w:lang w:val="en-GB"/>
          <w14:ligatures w14:val="standardContextual"/>
        </w:rPr>
        <w:t xml:space="preserve"> that the Trust repudiated the lease agreement and was therefore not in a position to assert a contractual right in terms thereof. The third point related to the validity of the notice to terminate. Finally, G</w:t>
      </w:r>
      <w:r w:rsidR="00E65D72" w:rsidRPr="00555746">
        <w:rPr>
          <w:rFonts w:eastAsia="Calibri"/>
          <w:kern w:val="2"/>
          <w:sz w:val="28"/>
          <w:szCs w:val="28"/>
          <w:lang w:val="en-GB"/>
          <w14:ligatures w14:val="standardContextual"/>
        </w:rPr>
        <w:t xml:space="preserve">lowing </w:t>
      </w:r>
      <w:r w:rsidR="004B5B30" w:rsidRPr="00555746">
        <w:rPr>
          <w:rFonts w:eastAsia="Calibri"/>
          <w:kern w:val="2"/>
          <w:sz w:val="28"/>
          <w:szCs w:val="28"/>
          <w:lang w:val="en-GB"/>
          <w14:ligatures w14:val="standardContextual"/>
        </w:rPr>
        <w:t>R</w:t>
      </w:r>
      <w:r w:rsidR="00E65D72" w:rsidRPr="00555746">
        <w:rPr>
          <w:rFonts w:eastAsia="Calibri"/>
          <w:kern w:val="2"/>
          <w:sz w:val="28"/>
          <w:szCs w:val="28"/>
          <w:lang w:val="en-GB"/>
          <w14:ligatures w14:val="standardContextual"/>
        </w:rPr>
        <w:t>ooms</w:t>
      </w:r>
      <w:r w:rsidR="004B5B30" w:rsidRPr="00555746">
        <w:rPr>
          <w:rFonts w:eastAsia="Calibri"/>
          <w:kern w:val="2"/>
          <w:sz w:val="28"/>
          <w:szCs w:val="28"/>
          <w:lang w:val="en-GB"/>
          <w14:ligatures w14:val="standardContextual"/>
        </w:rPr>
        <w:t xml:space="preserve"> contended that on </w:t>
      </w:r>
      <w:r w:rsidR="00E65D72" w:rsidRPr="00555746">
        <w:rPr>
          <w:rFonts w:eastAsia="Calibri"/>
          <w:kern w:val="2"/>
          <w:sz w:val="28"/>
          <w:szCs w:val="28"/>
          <w:lang w:val="en-GB"/>
          <w14:ligatures w14:val="standardContextual"/>
        </w:rPr>
        <w:t xml:space="preserve">a </w:t>
      </w:r>
      <w:r w:rsidR="004B5B30" w:rsidRPr="00555746">
        <w:rPr>
          <w:rFonts w:eastAsia="Calibri"/>
          <w:kern w:val="2"/>
          <w:sz w:val="28"/>
          <w:szCs w:val="28"/>
          <w:lang w:val="en-GB"/>
          <w14:ligatures w14:val="standardContextual"/>
        </w:rPr>
        <w:t>proper interpretation of the lease</w:t>
      </w:r>
      <w:r w:rsidR="00D553B2" w:rsidRPr="00555746">
        <w:rPr>
          <w:rFonts w:eastAsia="Calibri"/>
          <w:kern w:val="2"/>
          <w:sz w:val="28"/>
          <w:szCs w:val="28"/>
          <w:lang w:val="en-GB"/>
          <w14:ligatures w14:val="standardContextual"/>
        </w:rPr>
        <w:t xml:space="preserve"> agreement</w:t>
      </w:r>
      <w:r w:rsidR="004B5B30" w:rsidRPr="00555746">
        <w:rPr>
          <w:rFonts w:eastAsia="Calibri"/>
          <w:kern w:val="2"/>
          <w:sz w:val="28"/>
          <w:szCs w:val="28"/>
          <w:lang w:val="en-GB"/>
          <w14:ligatures w14:val="standardContextual"/>
        </w:rPr>
        <w:t>, clause 2.1 should be seen as part of the whole agreement</w:t>
      </w:r>
      <w:r w:rsidR="00D553B2" w:rsidRPr="00555746">
        <w:rPr>
          <w:rFonts w:eastAsia="Calibri"/>
          <w:kern w:val="2"/>
          <w:sz w:val="28"/>
          <w:szCs w:val="28"/>
          <w:lang w:val="en-GB"/>
          <w14:ligatures w14:val="standardContextual"/>
        </w:rPr>
        <w:t>, which incorporated several other clauses providing for termination on notice, in defined circumstances.</w:t>
      </w:r>
      <w:r w:rsidR="004B5B30" w:rsidRPr="00555746">
        <w:rPr>
          <w:rFonts w:eastAsia="Calibri"/>
          <w:kern w:val="2"/>
          <w:sz w:val="28"/>
          <w:szCs w:val="28"/>
          <w:lang w:val="en-GB"/>
          <w14:ligatures w14:val="standardContextual"/>
        </w:rPr>
        <w:t xml:space="preserve"> By </w:t>
      </w:r>
      <w:r w:rsidR="00E35A35" w:rsidRPr="00555746">
        <w:rPr>
          <w:rFonts w:eastAsia="Calibri"/>
          <w:kern w:val="2"/>
          <w:sz w:val="28"/>
          <w:szCs w:val="28"/>
          <w:lang w:val="en-GB"/>
          <w14:ligatures w14:val="standardContextual"/>
        </w:rPr>
        <w:t xml:space="preserve">relying on </w:t>
      </w:r>
      <w:r w:rsidR="004B5B30" w:rsidRPr="00555746">
        <w:rPr>
          <w:rFonts w:eastAsia="Calibri"/>
          <w:kern w:val="2"/>
          <w:sz w:val="28"/>
          <w:szCs w:val="28"/>
          <w:lang w:val="en-GB"/>
          <w14:ligatures w14:val="standardContextual"/>
        </w:rPr>
        <w:t xml:space="preserve">it in isolation, </w:t>
      </w:r>
      <w:r w:rsidR="00E65D72" w:rsidRPr="00555746">
        <w:rPr>
          <w:rFonts w:eastAsia="Calibri"/>
          <w:kern w:val="2"/>
          <w:sz w:val="28"/>
          <w:szCs w:val="28"/>
          <w:lang w:val="en-GB"/>
          <w14:ligatures w14:val="standardContextual"/>
        </w:rPr>
        <w:t xml:space="preserve">the </w:t>
      </w:r>
      <w:r w:rsidR="004B5B30" w:rsidRPr="00555746">
        <w:rPr>
          <w:rFonts w:eastAsia="Calibri"/>
          <w:kern w:val="2"/>
          <w:sz w:val="28"/>
          <w:szCs w:val="28"/>
          <w:lang w:val="en-GB"/>
          <w14:ligatures w14:val="standardContextual"/>
        </w:rPr>
        <w:t xml:space="preserve">Trust impermissibly abrogated to itself an unfettered discretion to terminate the lease on </w:t>
      </w:r>
      <w:r w:rsidR="008F5212" w:rsidRPr="00555746">
        <w:rPr>
          <w:rFonts w:eastAsia="Calibri"/>
          <w:kern w:val="2"/>
          <w:sz w:val="28"/>
          <w:szCs w:val="28"/>
          <w:lang w:val="en-GB"/>
          <w14:ligatures w14:val="standardContextual"/>
        </w:rPr>
        <w:t>one month</w:t>
      </w:r>
      <w:r w:rsidR="004B5B30" w:rsidRPr="00555746">
        <w:rPr>
          <w:rFonts w:eastAsia="Calibri"/>
          <w:kern w:val="2"/>
          <w:sz w:val="28"/>
          <w:szCs w:val="28"/>
          <w:lang w:val="en-GB"/>
          <w14:ligatures w14:val="standardContextual"/>
        </w:rPr>
        <w:t>’</w:t>
      </w:r>
      <w:r w:rsidR="008F5212" w:rsidRPr="00555746">
        <w:rPr>
          <w:rFonts w:eastAsia="Calibri"/>
          <w:kern w:val="2"/>
          <w:sz w:val="28"/>
          <w:szCs w:val="28"/>
          <w:lang w:val="en-GB"/>
          <w14:ligatures w14:val="standardContextual"/>
        </w:rPr>
        <w:t>s</w:t>
      </w:r>
      <w:r w:rsidR="004B5B30" w:rsidRPr="00555746">
        <w:rPr>
          <w:rFonts w:eastAsia="Calibri"/>
          <w:kern w:val="2"/>
          <w:sz w:val="28"/>
          <w:szCs w:val="28"/>
          <w:lang w:val="en-GB"/>
          <w14:ligatures w14:val="standardContextual"/>
        </w:rPr>
        <w:t xml:space="preserve"> notice.</w:t>
      </w:r>
    </w:p>
    <w:p w14:paraId="4B3DD816" w14:textId="77777777" w:rsidR="00C95223" w:rsidRPr="00D07F55" w:rsidRDefault="00C95223" w:rsidP="00C95223">
      <w:pPr>
        <w:pStyle w:val="ListParagraph"/>
        <w:ind w:left="0"/>
        <w:rPr>
          <w:rFonts w:eastAsia="Calibri"/>
          <w:kern w:val="2"/>
          <w:sz w:val="28"/>
          <w:szCs w:val="28"/>
          <w:lang w:val="en-GB"/>
          <w14:ligatures w14:val="standardContextual"/>
        </w:rPr>
      </w:pPr>
    </w:p>
    <w:p w14:paraId="1BD1B048" w14:textId="73A155C2" w:rsidR="00300257" w:rsidRPr="00555746" w:rsidRDefault="00555746" w:rsidP="00555746">
      <w:pPr>
        <w:rPr>
          <w:rFonts w:eastAsia="Calibri"/>
          <w:kern w:val="2"/>
          <w:sz w:val="28"/>
          <w:szCs w:val="28"/>
          <w:lang w:val="en-GB"/>
          <w14:ligatures w14:val="standardContextual"/>
        </w:rPr>
      </w:pPr>
      <w:r w:rsidRPr="00D07F55">
        <w:rPr>
          <w:rFonts w:eastAsia="Calibri"/>
          <w:kern w:val="2"/>
          <w:sz w:val="28"/>
          <w:szCs w:val="28"/>
          <w:lang w:val="en-GB"/>
          <w14:ligatures w14:val="standardContextual"/>
        </w:rPr>
        <w:lastRenderedPageBreak/>
        <w:t>[12]</w:t>
      </w:r>
      <w:r w:rsidRPr="00D07F55">
        <w:rPr>
          <w:rFonts w:eastAsia="Calibri"/>
          <w:kern w:val="2"/>
          <w:sz w:val="28"/>
          <w:szCs w:val="28"/>
          <w:lang w:val="en-GB"/>
          <w14:ligatures w14:val="standardContextual"/>
        </w:rPr>
        <w:tab/>
      </w:r>
      <w:r w:rsidR="00863FFD" w:rsidRPr="00555746">
        <w:rPr>
          <w:rFonts w:eastAsia="Calibri"/>
          <w:kern w:val="2"/>
          <w:sz w:val="28"/>
          <w:szCs w:val="28"/>
          <w:lang w:val="en-GB"/>
          <w14:ligatures w14:val="standardContextual"/>
        </w:rPr>
        <w:t>The starting point should be whether the Trust repudiated the lease agreement</w:t>
      </w:r>
      <w:r w:rsidR="00E65D72" w:rsidRPr="00555746">
        <w:rPr>
          <w:rFonts w:eastAsia="Calibri"/>
          <w:kern w:val="2"/>
          <w:sz w:val="28"/>
          <w:szCs w:val="28"/>
          <w:lang w:val="en-GB"/>
          <w14:ligatures w14:val="standardContextual"/>
        </w:rPr>
        <w:t>,</w:t>
      </w:r>
      <w:r w:rsidR="00863FFD" w:rsidRPr="00555746">
        <w:rPr>
          <w:rFonts w:eastAsia="Calibri"/>
          <w:kern w:val="2"/>
          <w:sz w:val="28"/>
          <w:szCs w:val="28"/>
          <w:lang w:val="en-GB"/>
          <w14:ligatures w14:val="standardContextual"/>
        </w:rPr>
        <w:t xml:space="preserve"> as this would be dispositive of its claim for eviction. The basis for G</w:t>
      </w:r>
      <w:r w:rsidR="00775288" w:rsidRPr="00555746">
        <w:rPr>
          <w:rFonts w:eastAsia="Calibri"/>
          <w:kern w:val="2"/>
          <w:sz w:val="28"/>
          <w:szCs w:val="28"/>
          <w:lang w:val="en-GB"/>
          <w14:ligatures w14:val="standardContextual"/>
        </w:rPr>
        <w:t xml:space="preserve">lowing </w:t>
      </w:r>
      <w:r w:rsidR="00863FFD" w:rsidRPr="00555746">
        <w:rPr>
          <w:rFonts w:eastAsia="Calibri"/>
          <w:kern w:val="2"/>
          <w:sz w:val="28"/>
          <w:szCs w:val="28"/>
          <w:lang w:val="en-GB"/>
          <w14:ligatures w14:val="standardContextual"/>
        </w:rPr>
        <w:t>R</w:t>
      </w:r>
      <w:r w:rsidR="00775288" w:rsidRPr="00555746">
        <w:rPr>
          <w:rFonts w:eastAsia="Calibri"/>
          <w:kern w:val="2"/>
          <w:sz w:val="28"/>
          <w:szCs w:val="28"/>
          <w:lang w:val="en-GB"/>
          <w14:ligatures w14:val="standardContextual"/>
        </w:rPr>
        <w:t>ooms</w:t>
      </w:r>
      <w:r w:rsidR="00863FFD" w:rsidRPr="00555746">
        <w:rPr>
          <w:rFonts w:eastAsia="Calibri"/>
          <w:kern w:val="2"/>
          <w:sz w:val="28"/>
          <w:szCs w:val="28"/>
          <w:lang w:val="en-GB"/>
          <w14:ligatures w14:val="standardContextual"/>
        </w:rPr>
        <w:t>’ argument is that in the first eviction application</w:t>
      </w:r>
      <w:r w:rsidR="00A16E89" w:rsidRPr="00555746">
        <w:rPr>
          <w:rFonts w:eastAsia="Calibri"/>
          <w:kern w:val="2"/>
          <w:sz w:val="28"/>
          <w:szCs w:val="28"/>
          <w:lang w:val="en-GB"/>
          <w14:ligatures w14:val="standardContextual"/>
        </w:rPr>
        <w:t>,</w:t>
      </w:r>
      <w:r w:rsidR="00863FFD" w:rsidRPr="00555746">
        <w:rPr>
          <w:rFonts w:eastAsia="Calibri"/>
          <w:kern w:val="2"/>
          <w:sz w:val="28"/>
          <w:szCs w:val="28"/>
          <w:lang w:val="en-GB"/>
          <w14:ligatures w14:val="standardContextual"/>
        </w:rPr>
        <w:t xml:space="preserve"> the Trust contended that no lease was concluded after the second lease agreement expired</w:t>
      </w:r>
      <w:r w:rsidR="00964C48" w:rsidRPr="00555746">
        <w:rPr>
          <w:rFonts w:eastAsia="Calibri"/>
          <w:kern w:val="2"/>
          <w:sz w:val="28"/>
          <w:szCs w:val="28"/>
          <w:lang w:val="en-GB"/>
          <w14:ligatures w14:val="standardContextual"/>
        </w:rPr>
        <w:t>,</w:t>
      </w:r>
      <w:r w:rsidR="00863FFD" w:rsidRPr="00555746">
        <w:rPr>
          <w:rFonts w:eastAsia="Calibri"/>
          <w:kern w:val="2"/>
          <w:sz w:val="28"/>
          <w:szCs w:val="28"/>
          <w:lang w:val="en-GB"/>
          <w14:ligatures w14:val="standardContextual"/>
        </w:rPr>
        <w:t xml:space="preserve"> </w:t>
      </w:r>
      <w:r w:rsidR="00964C48" w:rsidRPr="00555746">
        <w:rPr>
          <w:rFonts w:eastAsia="Calibri"/>
          <w:kern w:val="2"/>
          <w:sz w:val="28"/>
          <w:szCs w:val="28"/>
          <w:lang w:val="en-GB"/>
          <w14:ligatures w14:val="standardContextual"/>
        </w:rPr>
        <w:t xml:space="preserve">on 31 August 2022, </w:t>
      </w:r>
      <w:r w:rsidR="00863FFD" w:rsidRPr="00555746">
        <w:rPr>
          <w:rFonts w:eastAsia="Calibri"/>
          <w:kern w:val="2"/>
          <w:sz w:val="28"/>
          <w:szCs w:val="28"/>
          <w:lang w:val="en-GB"/>
          <w14:ligatures w14:val="standardContextual"/>
        </w:rPr>
        <w:t>through the effluxion of time. It could not</w:t>
      </w:r>
      <w:r w:rsidR="00A16E89" w:rsidRPr="00555746">
        <w:rPr>
          <w:rFonts w:eastAsia="Calibri"/>
          <w:kern w:val="2"/>
          <w:sz w:val="28"/>
          <w:szCs w:val="28"/>
          <w:lang w:val="en-GB"/>
          <w14:ligatures w14:val="standardContextual"/>
        </w:rPr>
        <w:t>,</w:t>
      </w:r>
      <w:r w:rsidR="00863FFD" w:rsidRPr="00555746">
        <w:rPr>
          <w:rFonts w:eastAsia="Calibri"/>
          <w:kern w:val="2"/>
          <w:sz w:val="28"/>
          <w:szCs w:val="28"/>
          <w:lang w:val="en-GB"/>
          <w14:ligatures w14:val="standardContextual"/>
        </w:rPr>
        <w:t xml:space="preserve"> therefore</w:t>
      </w:r>
      <w:r w:rsidR="00A16E89" w:rsidRPr="00555746">
        <w:rPr>
          <w:rFonts w:eastAsia="Calibri"/>
          <w:kern w:val="2"/>
          <w:sz w:val="28"/>
          <w:szCs w:val="28"/>
          <w:lang w:val="en-GB"/>
          <w14:ligatures w14:val="standardContextual"/>
        </w:rPr>
        <w:t>,</w:t>
      </w:r>
      <w:r w:rsidR="00863FFD" w:rsidRPr="00555746">
        <w:rPr>
          <w:rFonts w:eastAsia="Calibri"/>
          <w:kern w:val="2"/>
          <w:sz w:val="28"/>
          <w:szCs w:val="28"/>
          <w:lang w:val="en-GB"/>
          <w14:ligatures w14:val="standardContextual"/>
        </w:rPr>
        <w:t xml:space="preserve"> rely on a term of an agreement, which it alleged did not exist, to evict G</w:t>
      </w:r>
      <w:r w:rsidR="006B7548" w:rsidRPr="00555746">
        <w:rPr>
          <w:rFonts w:eastAsia="Calibri"/>
          <w:kern w:val="2"/>
          <w:sz w:val="28"/>
          <w:szCs w:val="28"/>
          <w:lang w:val="en-GB"/>
          <w14:ligatures w14:val="standardContextual"/>
        </w:rPr>
        <w:t xml:space="preserve">lowing </w:t>
      </w:r>
      <w:r w:rsidR="00863FFD" w:rsidRPr="00555746">
        <w:rPr>
          <w:rFonts w:eastAsia="Calibri"/>
          <w:kern w:val="2"/>
          <w:sz w:val="28"/>
          <w:szCs w:val="28"/>
          <w:lang w:val="en-GB"/>
          <w14:ligatures w14:val="standardContextual"/>
        </w:rPr>
        <w:t>R</w:t>
      </w:r>
      <w:r w:rsidR="006B7548" w:rsidRPr="00555746">
        <w:rPr>
          <w:rFonts w:eastAsia="Calibri"/>
          <w:kern w:val="2"/>
          <w:sz w:val="28"/>
          <w:szCs w:val="28"/>
          <w:lang w:val="en-GB"/>
          <w14:ligatures w14:val="standardContextual"/>
        </w:rPr>
        <w:t>ooms</w:t>
      </w:r>
      <w:r w:rsidR="00F1600C" w:rsidRPr="00555746">
        <w:rPr>
          <w:rFonts w:eastAsia="Calibri"/>
          <w:kern w:val="2"/>
          <w:sz w:val="28"/>
          <w:szCs w:val="28"/>
          <w:lang w:val="en-GB"/>
          <w14:ligatures w14:val="standardContextual"/>
        </w:rPr>
        <w:t xml:space="preserve"> without expressly disavowing its initial stance</w:t>
      </w:r>
      <w:r w:rsidR="00863FFD" w:rsidRPr="00555746">
        <w:rPr>
          <w:rFonts w:eastAsia="Calibri"/>
          <w:kern w:val="2"/>
          <w:sz w:val="28"/>
          <w:szCs w:val="28"/>
          <w:lang w:val="en-GB"/>
          <w14:ligatures w14:val="standardContextual"/>
        </w:rPr>
        <w:t>. The notice in terms of clause 2.1 also referred to an ‘alleged agreement’ indicating, according to G</w:t>
      </w:r>
      <w:r w:rsidR="006B7548" w:rsidRPr="00555746">
        <w:rPr>
          <w:rFonts w:eastAsia="Calibri"/>
          <w:kern w:val="2"/>
          <w:sz w:val="28"/>
          <w:szCs w:val="28"/>
          <w:lang w:val="en-GB"/>
          <w14:ligatures w14:val="standardContextual"/>
        </w:rPr>
        <w:t xml:space="preserve">lowing </w:t>
      </w:r>
      <w:r w:rsidR="00863FFD" w:rsidRPr="00555746">
        <w:rPr>
          <w:rFonts w:eastAsia="Calibri"/>
          <w:kern w:val="2"/>
          <w:sz w:val="28"/>
          <w:szCs w:val="28"/>
          <w:lang w:val="en-GB"/>
          <w14:ligatures w14:val="standardContextual"/>
        </w:rPr>
        <w:t>R</w:t>
      </w:r>
      <w:r w:rsidR="006B7548" w:rsidRPr="00555746">
        <w:rPr>
          <w:rFonts w:eastAsia="Calibri"/>
          <w:kern w:val="2"/>
          <w:sz w:val="28"/>
          <w:szCs w:val="28"/>
          <w:lang w:val="en-GB"/>
          <w14:ligatures w14:val="standardContextual"/>
        </w:rPr>
        <w:t>ooms</w:t>
      </w:r>
      <w:r w:rsidR="00863FFD" w:rsidRPr="00555746">
        <w:rPr>
          <w:rFonts w:eastAsia="Calibri"/>
          <w:kern w:val="2"/>
          <w:sz w:val="28"/>
          <w:szCs w:val="28"/>
          <w:lang w:val="en-GB"/>
          <w14:ligatures w14:val="standardContextual"/>
        </w:rPr>
        <w:t>, that the Trust had not accepted that there was an extant lease agreement, thereby repudiating the lease</w:t>
      </w:r>
      <w:r w:rsidR="00D553B2" w:rsidRPr="00555746">
        <w:rPr>
          <w:rFonts w:eastAsia="Calibri"/>
          <w:kern w:val="2"/>
          <w:sz w:val="28"/>
          <w:szCs w:val="28"/>
          <w:lang w:val="en-GB"/>
          <w14:ligatures w14:val="standardContextual"/>
        </w:rPr>
        <w:t xml:space="preserve"> agreement</w:t>
      </w:r>
      <w:r w:rsidR="00863FFD" w:rsidRPr="00555746">
        <w:rPr>
          <w:rFonts w:eastAsia="Calibri"/>
          <w:kern w:val="2"/>
          <w:sz w:val="28"/>
          <w:szCs w:val="28"/>
          <w:lang w:val="en-GB"/>
          <w14:ligatures w14:val="standardContextual"/>
        </w:rPr>
        <w:t>. In fact, argued G</w:t>
      </w:r>
      <w:r w:rsidR="006B7548" w:rsidRPr="00555746">
        <w:rPr>
          <w:rFonts w:eastAsia="Calibri"/>
          <w:kern w:val="2"/>
          <w:sz w:val="28"/>
          <w:szCs w:val="28"/>
          <w:lang w:val="en-GB"/>
          <w14:ligatures w14:val="standardContextual"/>
        </w:rPr>
        <w:t xml:space="preserve">lowing </w:t>
      </w:r>
      <w:r w:rsidR="00863FFD" w:rsidRPr="00555746">
        <w:rPr>
          <w:rFonts w:eastAsia="Calibri"/>
          <w:kern w:val="2"/>
          <w:sz w:val="28"/>
          <w:szCs w:val="28"/>
          <w:lang w:val="en-GB"/>
          <w14:ligatures w14:val="standardContextual"/>
        </w:rPr>
        <w:t>R</w:t>
      </w:r>
      <w:r w:rsidR="006B7548" w:rsidRPr="00555746">
        <w:rPr>
          <w:rFonts w:eastAsia="Calibri"/>
          <w:kern w:val="2"/>
          <w:sz w:val="28"/>
          <w:szCs w:val="28"/>
          <w:lang w:val="en-GB"/>
          <w14:ligatures w14:val="standardContextual"/>
        </w:rPr>
        <w:t>ooms</w:t>
      </w:r>
      <w:r w:rsidR="00863FFD" w:rsidRPr="00555746">
        <w:rPr>
          <w:rFonts w:eastAsia="Calibri"/>
          <w:kern w:val="2"/>
          <w:sz w:val="28"/>
          <w:szCs w:val="28"/>
          <w:lang w:val="en-GB"/>
          <w14:ligatures w14:val="standardContextual"/>
        </w:rPr>
        <w:t xml:space="preserve">, nothing short of a written acceptance of </w:t>
      </w:r>
      <w:r w:rsidR="00402ADB" w:rsidRPr="00555746">
        <w:rPr>
          <w:rFonts w:eastAsia="Calibri"/>
          <w:kern w:val="2"/>
          <w:sz w:val="28"/>
          <w:szCs w:val="28"/>
          <w:lang w:val="en-GB"/>
          <w14:ligatures w14:val="standardContextual"/>
        </w:rPr>
        <w:t>an extant</w:t>
      </w:r>
      <w:r w:rsidR="00863FFD" w:rsidRPr="00555746">
        <w:rPr>
          <w:rFonts w:eastAsia="Calibri"/>
          <w:kern w:val="2"/>
          <w:sz w:val="28"/>
          <w:szCs w:val="28"/>
          <w:lang w:val="en-GB"/>
          <w14:ligatures w14:val="standardContextual"/>
        </w:rPr>
        <w:t xml:space="preserve"> lease agreement would suffice, absent </w:t>
      </w:r>
      <w:r w:rsidR="003307F2" w:rsidRPr="00555746">
        <w:rPr>
          <w:rFonts w:eastAsia="Calibri"/>
          <w:kern w:val="2"/>
          <w:sz w:val="28"/>
          <w:szCs w:val="28"/>
          <w:lang w:val="en-GB"/>
          <w14:ligatures w14:val="standardContextual"/>
        </w:rPr>
        <w:t>which</w:t>
      </w:r>
      <w:r w:rsidR="00863FFD" w:rsidRPr="00555746">
        <w:rPr>
          <w:rFonts w:eastAsia="Calibri"/>
          <w:kern w:val="2"/>
          <w:sz w:val="28"/>
          <w:szCs w:val="28"/>
          <w:lang w:val="en-GB"/>
          <w14:ligatures w14:val="standardContextual"/>
        </w:rPr>
        <w:t xml:space="preserve"> this Court should find that the Trust had repudiated the lease agreement.</w:t>
      </w:r>
    </w:p>
    <w:p w14:paraId="717CD230" w14:textId="77777777" w:rsidR="00C55034" w:rsidRPr="00D07F55" w:rsidRDefault="00C55034" w:rsidP="000D14F5">
      <w:pPr>
        <w:rPr>
          <w:rFonts w:eastAsia="Calibri"/>
          <w:kern w:val="2"/>
          <w:sz w:val="28"/>
          <w:szCs w:val="28"/>
          <w:lang w:val="en-GB"/>
          <w14:ligatures w14:val="standardContextual"/>
        </w:rPr>
      </w:pPr>
    </w:p>
    <w:p w14:paraId="05F05F18" w14:textId="7A20501C" w:rsidR="00C55034" w:rsidRPr="00555746" w:rsidRDefault="00555746" w:rsidP="00555746">
      <w:pPr>
        <w:rPr>
          <w:rFonts w:eastAsia="Calibri"/>
          <w:kern w:val="2"/>
          <w:sz w:val="28"/>
          <w:szCs w:val="28"/>
          <w:lang w:val="en-GB"/>
          <w14:ligatures w14:val="standardContextual"/>
        </w:rPr>
      </w:pPr>
      <w:r w:rsidRPr="00D07F55">
        <w:rPr>
          <w:rFonts w:eastAsia="Calibri"/>
          <w:kern w:val="2"/>
          <w:sz w:val="28"/>
          <w:szCs w:val="28"/>
          <w:lang w:val="en-GB"/>
          <w14:ligatures w14:val="standardContextual"/>
        </w:rPr>
        <w:t>[13]</w:t>
      </w:r>
      <w:r w:rsidRPr="00D07F55">
        <w:rPr>
          <w:rFonts w:eastAsia="Calibri"/>
          <w:kern w:val="2"/>
          <w:sz w:val="28"/>
          <w:szCs w:val="28"/>
          <w:lang w:val="en-GB"/>
          <w14:ligatures w14:val="standardContextual"/>
        </w:rPr>
        <w:tab/>
      </w:r>
      <w:r w:rsidR="00863FFD" w:rsidRPr="00555746">
        <w:rPr>
          <w:rFonts w:eastAsia="Calibri"/>
          <w:kern w:val="2"/>
          <w:sz w:val="28"/>
          <w:szCs w:val="28"/>
          <w:lang w:val="en-GB"/>
          <w14:ligatures w14:val="standardContextual"/>
        </w:rPr>
        <w:t xml:space="preserve">What this </w:t>
      </w:r>
      <w:r w:rsidR="00F1600C" w:rsidRPr="00555746">
        <w:rPr>
          <w:rFonts w:eastAsia="Calibri"/>
          <w:kern w:val="2"/>
          <w:sz w:val="28"/>
          <w:szCs w:val="28"/>
          <w:lang w:val="en-GB"/>
          <w14:ligatures w14:val="standardContextual"/>
        </w:rPr>
        <w:t xml:space="preserve">contention </w:t>
      </w:r>
      <w:r w:rsidR="00863FFD" w:rsidRPr="00555746">
        <w:rPr>
          <w:rFonts w:eastAsia="Calibri"/>
          <w:kern w:val="2"/>
          <w:sz w:val="28"/>
          <w:szCs w:val="28"/>
          <w:lang w:val="en-GB"/>
          <w14:ligatures w14:val="standardContextual"/>
        </w:rPr>
        <w:t xml:space="preserve">overlooks is that the Trust’s first application for eviction had been dismissed by </w:t>
      </w:r>
      <w:r w:rsidR="00DF1D42" w:rsidRPr="00555746">
        <w:rPr>
          <w:rFonts w:eastAsia="Calibri"/>
          <w:kern w:val="2"/>
          <w:sz w:val="28"/>
          <w:szCs w:val="28"/>
          <w:lang w:val="en-GB"/>
          <w14:ligatures w14:val="standardContextual"/>
        </w:rPr>
        <w:t xml:space="preserve">Kusevitsky </w:t>
      </w:r>
      <w:r w:rsidR="00863FFD" w:rsidRPr="00555746">
        <w:rPr>
          <w:rFonts w:eastAsia="Calibri"/>
          <w:kern w:val="2"/>
          <w:sz w:val="28"/>
          <w:szCs w:val="28"/>
          <w:lang w:val="en-GB"/>
          <w14:ligatures w14:val="standardContextual"/>
        </w:rPr>
        <w:t>J</w:t>
      </w:r>
      <w:r w:rsidR="008971E8" w:rsidRPr="00555746">
        <w:rPr>
          <w:rFonts w:eastAsia="Calibri"/>
          <w:kern w:val="2"/>
          <w:sz w:val="28"/>
          <w:szCs w:val="28"/>
          <w:lang w:val="en-GB"/>
          <w14:ligatures w14:val="standardContextual"/>
        </w:rPr>
        <w:t>,</w:t>
      </w:r>
      <w:r w:rsidR="00863FFD" w:rsidRPr="00555746">
        <w:rPr>
          <w:rFonts w:eastAsia="Calibri"/>
          <w:kern w:val="2"/>
          <w:sz w:val="28"/>
          <w:szCs w:val="28"/>
          <w:lang w:val="en-GB"/>
          <w14:ligatures w14:val="standardContextual"/>
        </w:rPr>
        <w:t xml:space="preserve"> on the basis that there was an extant lease agreement. </w:t>
      </w:r>
      <w:r w:rsidR="003307F2" w:rsidRPr="00555746">
        <w:rPr>
          <w:rFonts w:eastAsia="Calibri"/>
          <w:kern w:val="2"/>
          <w:sz w:val="28"/>
          <w:szCs w:val="28"/>
          <w:lang w:val="en-GB"/>
          <w14:ligatures w14:val="standardContextual"/>
        </w:rPr>
        <w:t>That th</w:t>
      </w:r>
      <w:r w:rsidR="00F1600C" w:rsidRPr="00555746">
        <w:rPr>
          <w:rFonts w:eastAsia="Calibri"/>
          <w:kern w:val="2"/>
          <w:sz w:val="28"/>
          <w:szCs w:val="28"/>
          <w:lang w:val="en-GB"/>
          <w14:ligatures w14:val="standardContextual"/>
        </w:rPr>
        <w:t>ese</w:t>
      </w:r>
      <w:r w:rsidR="003307F2" w:rsidRPr="00555746">
        <w:rPr>
          <w:rFonts w:eastAsia="Calibri"/>
          <w:kern w:val="2"/>
          <w:sz w:val="28"/>
          <w:szCs w:val="28"/>
          <w:lang w:val="en-GB"/>
          <w14:ligatures w14:val="standardContextual"/>
        </w:rPr>
        <w:t xml:space="preserve"> </w:t>
      </w:r>
      <w:r w:rsidR="00F1600C" w:rsidRPr="00555746">
        <w:rPr>
          <w:rFonts w:eastAsia="Calibri"/>
          <w:kern w:val="2"/>
          <w:sz w:val="28"/>
          <w:szCs w:val="28"/>
          <w:lang w:val="en-GB"/>
          <w14:ligatures w14:val="standardContextual"/>
        </w:rPr>
        <w:t>were</w:t>
      </w:r>
      <w:r w:rsidR="003307F2" w:rsidRPr="00555746">
        <w:rPr>
          <w:rFonts w:eastAsia="Calibri"/>
          <w:kern w:val="2"/>
          <w:sz w:val="28"/>
          <w:szCs w:val="28"/>
          <w:lang w:val="en-GB"/>
          <w14:ligatures w14:val="standardContextual"/>
        </w:rPr>
        <w:t xml:space="preserve"> the grounds for the high court’s dismissal of the eviction application, was emphasised repeatedly by Glowing Rooms. </w:t>
      </w:r>
      <w:r w:rsidR="00863FFD" w:rsidRPr="00555746">
        <w:rPr>
          <w:rFonts w:eastAsia="Calibri"/>
          <w:kern w:val="2"/>
          <w:sz w:val="28"/>
          <w:szCs w:val="28"/>
          <w:lang w:val="en-GB"/>
          <w14:ligatures w14:val="standardContextual"/>
        </w:rPr>
        <w:t>Once the trustees accepted the decision of the high court, as they were compelled to do, the</w:t>
      </w:r>
      <w:r w:rsidR="00473973" w:rsidRPr="00555746">
        <w:rPr>
          <w:rFonts w:eastAsia="Calibri"/>
          <w:kern w:val="2"/>
          <w:sz w:val="28"/>
          <w:szCs w:val="28"/>
          <w:lang w:val="en-GB"/>
          <w14:ligatures w14:val="standardContextual"/>
        </w:rPr>
        <w:t>ir</w:t>
      </w:r>
      <w:r w:rsidR="00863FFD" w:rsidRPr="00555746">
        <w:rPr>
          <w:rFonts w:eastAsia="Calibri"/>
          <w:kern w:val="2"/>
          <w:sz w:val="28"/>
          <w:szCs w:val="28"/>
          <w:lang w:val="en-GB"/>
          <w14:ligatures w14:val="standardContextual"/>
        </w:rPr>
        <w:t xml:space="preserve"> deni</w:t>
      </w:r>
      <w:r w:rsidR="00473973" w:rsidRPr="00555746">
        <w:rPr>
          <w:rFonts w:eastAsia="Calibri"/>
          <w:kern w:val="2"/>
          <w:sz w:val="28"/>
          <w:szCs w:val="28"/>
          <w:lang w:val="en-GB"/>
          <w14:ligatures w14:val="standardContextual"/>
        </w:rPr>
        <w:t>al of</w:t>
      </w:r>
      <w:r w:rsidR="00863FFD" w:rsidRPr="00555746">
        <w:rPr>
          <w:rFonts w:eastAsia="Calibri"/>
          <w:kern w:val="2"/>
          <w:sz w:val="28"/>
          <w:szCs w:val="28"/>
          <w:lang w:val="en-GB"/>
          <w14:ligatures w14:val="standardContextual"/>
        </w:rPr>
        <w:t xml:space="preserve"> the existence of the lease in the first eviction application </w:t>
      </w:r>
      <w:r w:rsidR="00D553B2" w:rsidRPr="00555746">
        <w:rPr>
          <w:rFonts w:eastAsia="Calibri"/>
          <w:kern w:val="2"/>
          <w:sz w:val="28"/>
          <w:szCs w:val="28"/>
          <w:lang w:val="en-GB"/>
          <w14:ligatures w14:val="standardContextual"/>
        </w:rPr>
        <w:t xml:space="preserve">could </w:t>
      </w:r>
      <w:r w:rsidR="00863FFD" w:rsidRPr="00555746">
        <w:rPr>
          <w:rFonts w:eastAsia="Calibri"/>
          <w:kern w:val="2"/>
          <w:sz w:val="28"/>
          <w:szCs w:val="28"/>
          <w:lang w:val="en-GB"/>
          <w14:ligatures w14:val="standardContextual"/>
        </w:rPr>
        <w:t>have no bearing on their subsequent conduct in utilising the terms of the lease to procure an eviction in this application. After the decision of the high court</w:t>
      </w:r>
      <w:r w:rsidR="00473973" w:rsidRPr="00555746">
        <w:rPr>
          <w:rFonts w:eastAsia="Calibri"/>
          <w:kern w:val="2"/>
          <w:sz w:val="28"/>
          <w:szCs w:val="28"/>
          <w:lang w:val="en-GB"/>
          <w14:ligatures w14:val="standardContextual"/>
        </w:rPr>
        <w:t xml:space="preserve"> </w:t>
      </w:r>
      <w:r w:rsidR="00737ECA" w:rsidRPr="00555746">
        <w:rPr>
          <w:rFonts w:eastAsia="Calibri"/>
          <w:kern w:val="2"/>
          <w:sz w:val="28"/>
          <w:szCs w:val="28"/>
          <w:lang w:val="en-GB"/>
          <w14:ligatures w14:val="standardContextual"/>
        </w:rPr>
        <w:t>apparently based on</w:t>
      </w:r>
      <w:r w:rsidR="00473973" w:rsidRPr="00555746">
        <w:rPr>
          <w:rFonts w:eastAsia="Calibri"/>
          <w:kern w:val="2"/>
          <w:sz w:val="28"/>
          <w:szCs w:val="28"/>
          <w:lang w:val="en-GB"/>
          <w14:ligatures w14:val="standardContextual"/>
        </w:rPr>
        <w:t xml:space="preserve"> an </w:t>
      </w:r>
      <w:r w:rsidR="00863FFD" w:rsidRPr="00555746">
        <w:rPr>
          <w:rFonts w:eastAsia="Calibri"/>
          <w:kern w:val="2"/>
          <w:sz w:val="28"/>
          <w:szCs w:val="28"/>
          <w:lang w:val="en-GB"/>
          <w14:ligatures w14:val="standardContextual"/>
        </w:rPr>
        <w:t>ex</w:t>
      </w:r>
      <w:r w:rsidR="00473973" w:rsidRPr="00555746">
        <w:rPr>
          <w:rFonts w:eastAsia="Calibri"/>
          <w:kern w:val="2"/>
          <w:sz w:val="28"/>
          <w:szCs w:val="28"/>
          <w:lang w:val="en-GB"/>
          <w14:ligatures w14:val="standardContextual"/>
        </w:rPr>
        <w:t>tant</w:t>
      </w:r>
      <w:r w:rsidR="00863FFD" w:rsidRPr="00555746">
        <w:rPr>
          <w:rFonts w:eastAsia="Calibri"/>
          <w:kern w:val="2"/>
          <w:sz w:val="28"/>
          <w:szCs w:val="28"/>
          <w:lang w:val="en-GB"/>
          <w14:ligatures w14:val="standardContextual"/>
        </w:rPr>
        <w:t xml:space="preserve"> lease agreement, the only avenue open to the Trust</w:t>
      </w:r>
      <w:r w:rsidR="0035257E" w:rsidRPr="00555746">
        <w:rPr>
          <w:rFonts w:eastAsia="Calibri"/>
          <w:kern w:val="2"/>
          <w:sz w:val="28"/>
          <w:szCs w:val="28"/>
          <w:lang w:val="en-GB"/>
          <w14:ligatures w14:val="standardContextual"/>
        </w:rPr>
        <w:t>,</w:t>
      </w:r>
      <w:r w:rsidR="00863FFD" w:rsidRPr="00555746">
        <w:rPr>
          <w:rFonts w:eastAsia="Calibri"/>
          <w:kern w:val="2"/>
          <w:sz w:val="28"/>
          <w:szCs w:val="28"/>
          <w:lang w:val="en-GB"/>
          <w14:ligatures w14:val="standardContextual"/>
        </w:rPr>
        <w:t xml:space="preserve"> in order to evict G</w:t>
      </w:r>
      <w:r w:rsidR="00AE77D9" w:rsidRPr="00555746">
        <w:rPr>
          <w:rFonts w:eastAsia="Calibri"/>
          <w:kern w:val="2"/>
          <w:sz w:val="28"/>
          <w:szCs w:val="28"/>
          <w:lang w:val="en-GB"/>
          <w14:ligatures w14:val="standardContextual"/>
        </w:rPr>
        <w:t xml:space="preserve">lowing </w:t>
      </w:r>
      <w:r w:rsidR="00863FFD" w:rsidRPr="00555746">
        <w:rPr>
          <w:rFonts w:eastAsia="Calibri"/>
          <w:kern w:val="2"/>
          <w:sz w:val="28"/>
          <w:szCs w:val="28"/>
          <w:lang w:val="en-GB"/>
          <w14:ligatures w14:val="standardContextual"/>
        </w:rPr>
        <w:t>R</w:t>
      </w:r>
      <w:r w:rsidR="00AE77D9" w:rsidRPr="00555746">
        <w:rPr>
          <w:rFonts w:eastAsia="Calibri"/>
          <w:kern w:val="2"/>
          <w:sz w:val="28"/>
          <w:szCs w:val="28"/>
          <w:lang w:val="en-GB"/>
          <w14:ligatures w14:val="standardContextual"/>
        </w:rPr>
        <w:t>ooms</w:t>
      </w:r>
      <w:r w:rsidR="00473973" w:rsidRPr="00555746">
        <w:rPr>
          <w:rFonts w:eastAsia="Calibri"/>
          <w:kern w:val="2"/>
          <w:sz w:val="28"/>
          <w:szCs w:val="28"/>
          <w:lang w:val="en-GB"/>
          <w14:ligatures w14:val="standardContextual"/>
        </w:rPr>
        <w:t>,</w:t>
      </w:r>
      <w:r w:rsidR="00863FFD" w:rsidRPr="00555746">
        <w:rPr>
          <w:rFonts w:eastAsia="Calibri"/>
          <w:kern w:val="2"/>
          <w:sz w:val="28"/>
          <w:szCs w:val="28"/>
          <w:lang w:val="en-GB"/>
          <w14:ligatures w14:val="standardContextual"/>
        </w:rPr>
        <w:t xml:space="preserve"> was </w:t>
      </w:r>
      <w:r w:rsidR="003307F2" w:rsidRPr="00555746">
        <w:rPr>
          <w:rFonts w:eastAsia="Calibri"/>
          <w:kern w:val="2"/>
          <w:sz w:val="28"/>
          <w:szCs w:val="28"/>
          <w:lang w:val="en-GB"/>
          <w14:ligatures w14:val="standardContextual"/>
        </w:rPr>
        <w:t xml:space="preserve">to do so </w:t>
      </w:r>
      <w:r w:rsidR="00863FFD" w:rsidRPr="00555746">
        <w:rPr>
          <w:rFonts w:eastAsia="Calibri"/>
          <w:kern w:val="2"/>
          <w:sz w:val="28"/>
          <w:szCs w:val="28"/>
          <w:lang w:val="en-GB"/>
          <w14:ligatures w14:val="standardContextual"/>
        </w:rPr>
        <w:t>in terms of the lease</w:t>
      </w:r>
      <w:r w:rsidR="00D553B2" w:rsidRPr="00555746">
        <w:rPr>
          <w:rFonts w:eastAsia="Calibri"/>
          <w:kern w:val="2"/>
          <w:sz w:val="28"/>
          <w:szCs w:val="28"/>
          <w:lang w:val="en-GB"/>
          <w14:ligatures w14:val="standardContextual"/>
        </w:rPr>
        <w:t xml:space="preserve"> agreement</w:t>
      </w:r>
      <w:r w:rsidR="00863FFD" w:rsidRPr="00555746">
        <w:rPr>
          <w:rFonts w:eastAsia="Calibri"/>
          <w:kern w:val="2"/>
          <w:sz w:val="28"/>
          <w:szCs w:val="28"/>
          <w:lang w:val="en-GB"/>
          <w14:ligatures w14:val="standardContextual"/>
        </w:rPr>
        <w:t xml:space="preserve">. There </w:t>
      </w:r>
      <w:r w:rsidR="00473973" w:rsidRPr="00555746">
        <w:rPr>
          <w:rFonts w:eastAsia="Calibri"/>
          <w:kern w:val="2"/>
          <w:sz w:val="28"/>
          <w:szCs w:val="28"/>
          <w:lang w:val="en-GB"/>
          <w14:ligatures w14:val="standardContextual"/>
        </w:rPr>
        <w:t>i</w:t>
      </w:r>
      <w:r w:rsidR="00863FFD" w:rsidRPr="00555746">
        <w:rPr>
          <w:rFonts w:eastAsia="Calibri"/>
          <w:kern w:val="2"/>
          <w:sz w:val="28"/>
          <w:szCs w:val="28"/>
          <w:lang w:val="en-GB"/>
          <w14:ligatures w14:val="standardContextual"/>
        </w:rPr>
        <w:t>s</w:t>
      </w:r>
      <w:r w:rsidR="00473973" w:rsidRPr="00555746">
        <w:rPr>
          <w:rFonts w:eastAsia="Calibri"/>
          <w:kern w:val="2"/>
          <w:sz w:val="28"/>
          <w:szCs w:val="28"/>
          <w:lang w:val="en-GB"/>
          <w14:ligatures w14:val="standardContextual"/>
        </w:rPr>
        <w:t>,</w:t>
      </w:r>
      <w:r w:rsidR="00863FFD" w:rsidRPr="00555746">
        <w:rPr>
          <w:rFonts w:eastAsia="Calibri"/>
          <w:kern w:val="2"/>
          <w:sz w:val="28"/>
          <w:szCs w:val="28"/>
          <w:lang w:val="en-GB"/>
          <w14:ligatures w14:val="standardContextual"/>
        </w:rPr>
        <w:t xml:space="preserve"> </w:t>
      </w:r>
      <w:r w:rsidR="00473973" w:rsidRPr="00555746">
        <w:rPr>
          <w:rFonts w:eastAsia="Calibri"/>
          <w:kern w:val="2"/>
          <w:sz w:val="28"/>
          <w:szCs w:val="28"/>
          <w:lang w:val="en-GB"/>
          <w14:ligatures w14:val="standardContextual"/>
        </w:rPr>
        <w:t xml:space="preserve">therefore, </w:t>
      </w:r>
      <w:r w:rsidR="00863FFD" w:rsidRPr="00555746">
        <w:rPr>
          <w:rFonts w:eastAsia="Calibri"/>
          <w:kern w:val="2"/>
          <w:sz w:val="28"/>
          <w:szCs w:val="28"/>
          <w:lang w:val="en-GB"/>
          <w14:ligatures w14:val="standardContextual"/>
        </w:rPr>
        <w:t>nothing to prevent the Trust from relying on a contractual right to cancel the lease agreement.</w:t>
      </w:r>
    </w:p>
    <w:p w14:paraId="698066F9" w14:textId="77777777" w:rsidR="00300257" w:rsidRPr="00D07F55" w:rsidRDefault="00300257" w:rsidP="00FD7131">
      <w:pPr>
        <w:pStyle w:val="ListParagraph"/>
        <w:ind w:left="0"/>
        <w:rPr>
          <w:rFonts w:eastAsia="Calibri"/>
          <w:kern w:val="2"/>
          <w:sz w:val="28"/>
          <w:szCs w:val="28"/>
          <w:lang w:val="en-GB"/>
          <w14:ligatures w14:val="standardContextual"/>
        </w:rPr>
      </w:pPr>
    </w:p>
    <w:p w14:paraId="654289B7" w14:textId="7351162F" w:rsidR="00345FF5" w:rsidRPr="00555746" w:rsidRDefault="00555746" w:rsidP="00555746">
      <w:pPr>
        <w:widowControl w:val="0"/>
        <w:rPr>
          <w:sz w:val="28"/>
          <w:szCs w:val="28"/>
          <w:lang w:val="en-GB"/>
        </w:rPr>
      </w:pPr>
      <w:r w:rsidRPr="00D07F55">
        <w:rPr>
          <w:sz w:val="28"/>
          <w:szCs w:val="28"/>
          <w:lang w:val="en-GB"/>
        </w:rPr>
        <w:lastRenderedPageBreak/>
        <w:t>[14]</w:t>
      </w:r>
      <w:r w:rsidRPr="00D07F55">
        <w:rPr>
          <w:sz w:val="28"/>
          <w:szCs w:val="28"/>
          <w:lang w:val="en-GB"/>
        </w:rPr>
        <w:tab/>
      </w:r>
      <w:r w:rsidR="00863FFD" w:rsidRPr="00555746">
        <w:rPr>
          <w:sz w:val="28"/>
          <w:szCs w:val="28"/>
          <w:lang w:val="en-GB"/>
        </w:rPr>
        <w:t>This Court</w:t>
      </w:r>
      <w:r w:rsidR="0015142D" w:rsidRPr="00555746">
        <w:rPr>
          <w:sz w:val="28"/>
          <w:szCs w:val="28"/>
          <w:lang w:val="en-GB"/>
        </w:rPr>
        <w:t>,</w:t>
      </w:r>
      <w:r w:rsidR="00863FFD" w:rsidRPr="00555746">
        <w:rPr>
          <w:sz w:val="28"/>
          <w:szCs w:val="28"/>
          <w:lang w:val="en-GB"/>
        </w:rPr>
        <w:t xml:space="preserve"> in </w:t>
      </w:r>
      <w:r w:rsidR="00863FFD" w:rsidRPr="00555746">
        <w:rPr>
          <w:i/>
          <w:iCs/>
          <w:sz w:val="28"/>
          <w:szCs w:val="28"/>
          <w:lang w:val="en-GB"/>
        </w:rPr>
        <w:t>Datacolour International (Pty) Ltd v Intamarket</w:t>
      </w:r>
      <w:r w:rsidR="0015142D" w:rsidRPr="00555746">
        <w:rPr>
          <w:iCs/>
          <w:sz w:val="28"/>
          <w:szCs w:val="28"/>
          <w:lang w:val="en-GB"/>
        </w:rPr>
        <w:t>,</w:t>
      </w:r>
      <w:r w:rsidR="00863FFD" w:rsidRPr="00D07F55">
        <w:rPr>
          <w:vertAlign w:val="superscript"/>
          <w:lang w:val="en-GB"/>
        </w:rPr>
        <w:footnoteReference w:id="1"/>
      </w:r>
      <w:r w:rsidR="00863FFD" w:rsidRPr="00555746">
        <w:rPr>
          <w:i/>
          <w:iCs/>
          <w:sz w:val="28"/>
          <w:szCs w:val="28"/>
          <w:lang w:val="en-GB"/>
        </w:rPr>
        <w:t xml:space="preserve"> </w:t>
      </w:r>
      <w:r w:rsidR="00863FFD" w:rsidRPr="00555746">
        <w:rPr>
          <w:sz w:val="28"/>
          <w:szCs w:val="28"/>
          <w:lang w:val="en-GB"/>
        </w:rPr>
        <w:t>held that repudiatory conduct must be objective</w:t>
      </w:r>
      <w:r w:rsidR="0026000E" w:rsidRPr="00555746">
        <w:rPr>
          <w:sz w:val="28"/>
          <w:szCs w:val="28"/>
          <w:lang w:val="en-GB"/>
        </w:rPr>
        <w:t>.</w:t>
      </w:r>
      <w:r w:rsidR="00863FFD" w:rsidRPr="00555746">
        <w:rPr>
          <w:sz w:val="28"/>
          <w:szCs w:val="28"/>
          <w:lang w:val="en-GB"/>
        </w:rPr>
        <w:t xml:space="preserve"> </w:t>
      </w:r>
      <w:r w:rsidR="001E0DF7" w:rsidRPr="00555746">
        <w:rPr>
          <w:sz w:val="28"/>
          <w:szCs w:val="28"/>
          <w:lang w:val="en-GB"/>
        </w:rPr>
        <w:t>T</w:t>
      </w:r>
      <w:r w:rsidR="00863FFD" w:rsidRPr="00555746">
        <w:rPr>
          <w:sz w:val="28"/>
          <w:szCs w:val="28"/>
          <w:lang w:val="en-GB"/>
        </w:rPr>
        <w:t>he proper test is whether a notional reasonable person would conclude that proper performance (in accordance with a true interpretation of the agreement) will not be forthcoming. The conduct must be clear cut and unequivocal</w:t>
      </w:r>
      <w:r w:rsidR="001B7205" w:rsidRPr="00555746">
        <w:rPr>
          <w:sz w:val="28"/>
          <w:szCs w:val="28"/>
          <w:lang w:val="en-GB"/>
        </w:rPr>
        <w:t>,</w:t>
      </w:r>
      <w:r w:rsidR="00863FFD" w:rsidRPr="00555746">
        <w:rPr>
          <w:sz w:val="28"/>
          <w:szCs w:val="28"/>
          <w:lang w:val="en-GB"/>
        </w:rPr>
        <w:t xml:space="preserve"> as repudiation is not lightly presumed. The Court </w:t>
      </w:r>
      <w:r w:rsidR="001E0DF7" w:rsidRPr="00555746">
        <w:rPr>
          <w:sz w:val="28"/>
          <w:szCs w:val="28"/>
          <w:lang w:val="en-GB"/>
        </w:rPr>
        <w:t xml:space="preserve">further held </w:t>
      </w:r>
      <w:r w:rsidR="002E5F0B" w:rsidRPr="00555746">
        <w:rPr>
          <w:sz w:val="28"/>
          <w:szCs w:val="28"/>
          <w:lang w:val="en-GB"/>
        </w:rPr>
        <w:t xml:space="preserve">that </w:t>
      </w:r>
      <w:r w:rsidR="00863FFD" w:rsidRPr="00555746">
        <w:rPr>
          <w:sz w:val="28"/>
          <w:szCs w:val="28"/>
          <w:lang w:val="en-GB"/>
        </w:rPr>
        <w:t xml:space="preserve">repudiation occurs ‘where one party to a contract, without lawful grounds, indicates to the other party in words or </w:t>
      </w:r>
      <w:r w:rsidR="00303FD4" w:rsidRPr="00555746">
        <w:rPr>
          <w:sz w:val="28"/>
          <w:szCs w:val="28"/>
          <w:lang w:val="en-GB"/>
        </w:rPr>
        <w:t xml:space="preserve">by conduct </w:t>
      </w:r>
      <w:r w:rsidR="00863FFD" w:rsidRPr="00555746">
        <w:rPr>
          <w:sz w:val="28"/>
          <w:szCs w:val="28"/>
          <w:lang w:val="en-GB"/>
        </w:rPr>
        <w:t xml:space="preserve">a deliberate and unequivocal intention no longer </w:t>
      </w:r>
      <w:r w:rsidR="00136594" w:rsidRPr="00555746">
        <w:rPr>
          <w:sz w:val="28"/>
          <w:szCs w:val="28"/>
          <w:lang w:val="en-GB"/>
        </w:rPr>
        <w:t xml:space="preserve">to </w:t>
      </w:r>
      <w:r w:rsidR="00863FFD" w:rsidRPr="00555746">
        <w:rPr>
          <w:sz w:val="28"/>
          <w:szCs w:val="28"/>
          <w:lang w:val="en-GB"/>
        </w:rPr>
        <w:t>be bound by the contract.’</w:t>
      </w:r>
      <w:r w:rsidR="00863FFD" w:rsidRPr="00D07F55">
        <w:rPr>
          <w:vertAlign w:val="superscript"/>
          <w:lang w:val="en-GB"/>
        </w:rPr>
        <w:footnoteReference w:id="2"/>
      </w:r>
      <w:r w:rsidR="00863FFD" w:rsidRPr="00555746">
        <w:rPr>
          <w:sz w:val="28"/>
          <w:szCs w:val="28"/>
          <w:lang w:val="en-GB"/>
        </w:rPr>
        <w:t xml:space="preserve"> Repudiation is not a matter of intention, but rather of perception and the perception being that of the reasonable person. </w:t>
      </w:r>
    </w:p>
    <w:p w14:paraId="2DF5FA4C" w14:textId="77777777" w:rsidR="00345FF5" w:rsidRPr="00D07F55" w:rsidRDefault="00345FF5" w:rsidP="00345FF5">
      <w:pPr>
        <w:pStyle w:val="ListParagraph"/>
        <w:ind w:left="0"/>
        <w:rPr>
          <w:sz w:val="28"/>
          <w:szCs w:val="28"/>
        </w:rPr>
      </w:pPr>
    </w:p>
    <w:p w14:paraId="44DDBFB3" w14:textId="7E805AEE" w:rsidR="00063755" w:rsidRPr="00555746" w:rsidRDefault="00555746" w:rsidP="00555746">
      <w:pPr>
        <w:rPr>
          <w:sz w:val="28"/>
          <w:szCs w:val="28"/>
        </w:rPr>
      </w:pPr>
      <w:r w:rsidRPr="00D07F55">
        <w:rPr>
          <w:sz w:val="28"/>
          <w:szCs w:val="28"/>
        </w:rPr>
        <w:t>[15]</w:t>
      </w:r>
      <w:r w:rsidRPr="00D07F55">
        <w:rPr>
          <w:sz w:val="28"/>
          <w:szCs w:val="28"/>
        </w:rPr>
        <w:tab/>
      </w:r>
      <w:r w:rsidR="00863FFD" w:rsidRPr="00555746">
        <w:rPr>
          <w:sz w:val="28"/>
          <w:szCs w:val="28"/>
          <w:lang w:val="en-GB"/>
        </w:rPr>
        <w:t>The use of the words ‘insofar as G</w:t>
      </w:r>
      <w:r w:rsidR="001B7205" w:rsidRPr="00555746">
        <w:rPr>
          <w:sz w:val="28"/>
          <w:szCs w:val="28"/>
          <w:lang w:val="en-GB"/>
        </w:rPr>
        <w:t xml:space="preserve">lowing </w:t>
      </w:r>
      <w:r w:rsidR="00863FFD" w:rsidRPr="00555746">
        <w:rPr>
          <w:sz w:val="28"/>
          <w:szCs w:val="28"/>
          <w:lang w:val="en-GB"/>
        </w:rPr>
        <w:t>R</w:t>
      </w:r>
      <w:r w:rsidR="001B7205" w:rsidRPr="00555746">
        <w:rPr>
          <w:sz w:val="28"/>
          <w:szCs w:val="28"/>
          <w:lang w:val="en-GB"/>
        </w:rPr>
        <w:t>ooms</w:t>
      </w:r>
      <w:r w:rsidR="00863FFD" w:rsidRPr="00555746">
        <w:rPr>
          <w:sz w:val="28"/>
          <w:szCs w:val="28"/>
          <w:lang w:val="en-GB"/>
        </w:rPr>
        <w:t xml:space="preserve"> allege that the parties have entered in to a new lease agreement</w:t>
      </w:r>
      <w:r w:rsidR="001B7205" w:rsidRPr="00555746">
        <w:rPr>
          <w:sz w:val="28"/>
          <w:szCs w:val="28"/>
          <w:lang w:val="en-GB"/>
        </w:rPr>
        <w:t xml:space="preserve"> . . .</w:t>
      </w:r>
      <w:r w:rsidR="00863FFD" w:rsidRPr="00555746">
        <w:rPr>
          <w:sz w:val="28"/>
          <w:szCs w:val="28"/>
          <w:lang w:val="en-GB"/>
        </w:rPr>
        <w:t xml:space="preserve">’ cannot amount to an unequivocal intention not to be bound by the lease agreement, particularly once a court had for all intents and purposes held that there was an existing lease agreement, to which the Trust was bound. While the Trust might have </w:t>
      </w:r>
      <w:r w:rsidR="00675449" w:rsidRPr="00555746">
        <w:rPr>
          <w:sz w:val="28"/>
          <w:szCs w:val="28"/>
          <w:lang w:val="en-GB"/>
        </w:rPr>
        <w:t xml:space="preserve">initially </w:t>
      </w:r>
      <w:r w:rsidR="00863FFD" w:rsidRPr="00555746">
        <w:rPr>
          <w:sz w:val="28"/>
          <w:szCs w:val="28"/>
          <w:lang w:val="en-GB"/>
        </w:rPr>
        <w:t xml:space="preserve">denied the existence of the agreement, the very fact that it brought its </w:t>
      </w:r>
      <w:r w:rsidR="00473973" w:rsidRPr="00555746">
        <w:rPr>
          <w:sz w:val="28"/>
          <w:szCs w:val="28"/>
          <w:lang w:val="en-GB"/>
        </w:rPr>
        <w:t xml:space="preserve">second </w:t>
      </w:r>
      <w:r w:rsidR="00863FFD" w:rsidRPr="00555746">
        <w:rPr>
          <w:sz w:val="28"/>
          <w:szCs w:val="28"/>
          <w:lang w:val="en-GB"/>
        </w:rPr>
        <w:t xml:space="preserve">eviction application in terms of the </w:t>
      </w:r>
      <w:r w:rsidR="00402ADB" w:rsidRPr="00555746">
        <w:rPr>
          <w:sz w:val="28"/>
          <w:szCs w:val="28"/>
          <w:lang w:val="en-GB"/>
        </w:rPr>
        <w:t>lease agreement</w:t>
      </w:r>
      <w:r w:rsidR="00863FFD" w:rsidRPr="00555746">
        <w:rPr>
          <w:sz w:val="28"/>
          <w:szCs w:val="28"/>
          <w:lang w:val="en-GB"/>
        </w:rPr>
        <w:t xml:space="preserve"> after the first eviction application was dismissed, points to conduct which is the exact opposite of a party refusing to perform in terms of a contract. </w:t>
      </w:r>
      <w:r w:rsidR="00675449" w:rsidRPr="00555746">
        <w:rPr>
          <w:sz w:val="28"/>
          <w:szCs w:val="28"/>
          <w:lang w:val="en-GB"/>
        </w:rPr>
        <w:t>As such, t</w:t>
      </w:r>
      <w:r w:rsidR="00863FFD" w:rsidRPr="00555746">
        <w:rPr>
          <w:sz w:val="28"/>
          <w:szCs w:val="28"/>
          <w:lang w:val="en-GB"/>
        </w:rPr>
        <w:t>he defence of repudiation</w:t>
      </w:r>
      <w:r w:rsidR="00F1600C" w:rsidRPr="00555746">
        <w:rPr>
          <w:sz w:val="28"/>
          <w:szCs w:val="28"/>
          <w:lang w:val="en-GB"/>
        </w:rPr>
        <w:t xml:space="preserve"> is unsustainable</w:t>
      </w:r>
      <w:r w:rsidR="00863FFD" w:rsidRPr="00555746">
        <w:rPr>
          <w:sz w:val="28"/>
          <w:szCs w:val="28"/>
          <w:lang w:val="en-GB"/>
        </w:rPr>
        <w:t>.</w:t>
      </w:r>
    </w:p>
    <w:p w14:paraId="0A100D66" w14:textId="77777777" w:rsidR="00063755" w:rsidRPr="00D07F55" w:rsidRDefault="00063755" w:rsidP="005404FB">
      <w:pPr>
        <w:rPr>
          <w:sz w:val="28"/>
          <w:szCs w:val="28"/>
        </w:rPr>
      </w:pPr>
    </w:p>
    <w:p w14:paraId="41CEA4A1" w14:textId="6422E707" w:rsidR="00AF5C1D" w:rsidRPr="00555746" w:rsidRDefault="00555746" w:rsidP="00555746">
      <w:pPr>
        <w:rPr>
          <w:sz w:val="28"/>
          <w:szCs w:val="28"/>
          <w:lang w:val="en-GB"/>
        </w:rPr>
      </w:pPr>
      <w:r w:rsidRPr="00D07F55">
        <w:rPr>
          <w:sz w:val="28"/>
          <w:szCs w:val="28"/>
          <w:lang w:val="en-GB"/>
        </w:rPr>
        <w:t>[16]</w:t>
      </w:r>
      <w:r w:rsidRPr="00D07F55">
        <w:rPr>
          <w:sz w:val="28"/>
          <w:szCs w:val="28"/>
          <w:lang w:val="en-GB"/>
        </w:rPr>
        <w:tab/>
      </w:r>
      <w:r w:rsidR="00B02719" w:rsidRPr="00555746">
        <w:rPr>
          <w:sz w:val="28"/>
          <w:szCs w:val="28"/>
          <w:lang w:val="en-GB"/>
        </w:rPr>
        <w:t>The next question is whether the notice of termination was valid. G</w:t>
      </w:r>
      <w:r w:rsidR="00400144" w:rsidRPr="00555746">
        <w:rPr>
          <w:sz w:val="28"/>
          <w:szCs w:val="28"/>
          <w:lang w:val="en-GB"/>
        </w:rPr>
        <w:t xml:space="preserve">lowing </w:t>
      </w:r>
      <w:r w:rsidR="00B02719" w:rsidRPr="00555746">
        <w:rPr>
          <w:sz w:val="28"/>
          <w:szCs w:val="28"/>
          <w:lang w:val="en-GB"/>
        </w:rPr>
        <w:t>R</w:t>
      </w:r>
      <w:r w:rsidR="00400144" w:rsidRPr="00555746">
        <w:rPr>
          <w:sz w:val="28"/>
          <w:szCs w:val="28"/>
          <w:lang w:val="en-GB"/>
        </w:rPr>
        <w:t>ooms</w:t>
      </w:r>
      <w:r w:rsidR="00B02719" w:rsidRPr="00555746">
        <w:rPr>
          <w:sz w:val="28"/>
          <w:szCs w:val="28"/>
          <w:lang w:val="en-GB"/>
        </w:rPr>
        <w:t>’ contention</w:t>
      </w:r>
      <w:r w:rsidR="00D05178" w:rsidRPr="00555746">
        <w:rPr>
          <w:sz w:val="28"/>
          <w:szCs w:val="28"/>
          <w:lang w:val="en-GB"/>
        </w:rPr>
        <w:t>,</w:t>
      </w:r>
      <w:r w:rsidR="00B02719" w:rsidRPr="00555746">
        <w:rPr>
          <w:sz w:val="28"/>
          <w:szCs w:val="28"/>
          <w:lang w:val="en-GB"/>
        </w:rPr>
        <w:t xml:space="preserve"> in this regard</w:t>
      </w:r>
      <w:r w:rsidR="00D05178" w:rsidRPr="00555746">
        <w:rPr>
          <w:sz w:val="28"/>
          <w:szCs w:val="28"/>
          <w:lang w:val="en-GB"/>
        </w:rPr>
        <w:t>,</w:t>
      </w:r>
      <w:r w:rsidR="00B02719" w:rsidRPr="00555746">
        <w:rPr>
          <w:sz w:val="28"/>
          <w:szCs w:val="28"/>
          <w:lang w:val="en-GB"/>
        </w:rPr>
        <w:t xml:space="preserve"> is that the notice</w:t>
      </w:r>
      <w:r w:rsidR="001136EA" w:rsidRPr="00555746">
        <w:rPr>
          <w:sz w:val="28"/>
          <w:szCs w:val="28"/>
          <w:lang w:val="en-GB"/>
        </w:rPr>
        <w:t>,</w:t>
      </w:r>
      <w:r w:rsidR="00B02719" w:rsidRPr="00555746">
        <w:rPr>
          <w:sz w:val="28"/>
          <w:szCs w:val="28"/>
          <w:lang w:val="en-GB"/>
        </w:rPr>
        <w:t xml:space="preserve"> b</w:t>
      </w:r>
      <w:r w:rsidR="00E4557C" w:rsidRPr="00555746">
        <w:rPr>
          <w:sz w:val="28"/>
          <w:szCs w:val="28"/>
          <w:lang w:val="en-GB"/>
        </w:rPr>
        <w:t>y the use of the words ‘insofar</w:t>
      </w:r>
      <w:r w:rsidR="00B02719" w:rsidRPr="00555746">
        <w:rPr>
          <w:sz w:val="28"/>
          <w:szCs w:val="28"/>
          <w:lang w:val="en-GB"/>
        </w:rPr>
        <w:t xml:space="preserve"> </w:t>
      </w:r>
      <w:r w:rsidR="00E4557C" w:rsidRPr="00555746">
        <w:rPr>
          <w:sz w:val="28"/>
          <w:szCs w:val="28"/>
          <w:lang w:val="en-GB"/>
        </w:rPr>
        <w:t>as’ and the reference to an</w:t>
      </w:r>
      <w:r w:rsidR="00B02719" w:rsidRPr="00555746">
        <w:rPr>
          <w:sz w:val="28"/>
          <w:szCs w:val="28"/>
          <w:lang w:val="en-GB"/>
        </w:rPr>
        <w:t xml:space="preserve"> ‘alleged’ agreement</w:t>
      </w:r>
      <w:r w:rsidR="001136EA" w:rsidRPr="00555746">
        <w:rPr>
          <w:sz w:val="28"/>
          <w:szCs w:val="28"/>
          <w:lang w:val="en-GB"/>
        </w:rPr>
        <w:t xml:space="preserve"> being concluded,</w:t>
      </w:r>
      <w:r w:rsidR="00B02719" w:rsidRPr="00555746">
        <w:rPr>
          <w:sz w:val="28"/>
          <w:szCs w:val="28"/>
          <w:lang w:val="en-GB"/>
        </w:rPr>
        <w:t xml:space="preserve"> implied that it</w:t>
      </w:r>
      <w:r w:rsidR="001136EA" w:rsidRPr="00555746">
        <w:rPr>
          <w:sz w:val="28"/>
          <w:szCs w:val="28"/>
          <w:lang w:val="en-GB"/>
        </w:rPr>
        <w:t xml:space="preserve"> did </w:t>
      </w:r>
      <w:r w:rsidR="001136EA" w:rsidRPr="00555746">
        <w:rPr>
          <w:sz w:val="28"/>
          <w:szCs w:val="28"/>
          <w:lang w:val="en-GB"/>
        </w:rPr>
        <w:lastRenderedPageBreak/>
        <w:t>not consider</w:t>
      </w:r>
      <w:r w:rsidR="00F1600C" w:rsidRPr="00555746">
        <w:rPr>
          <w:sz w:val="28"/>
          <w:szCs w:val="28"/>
          <w:lang w:val="en-GB"/>
        </w:rPr>
        <w:t xml:space="preserve"> itself to be</w:t>
      </w:r>
      <w:r w:rsidR="00B02719" w:rsidRPr="00555746">
        <w:rPr>
          <w:sz w:val="28"/>
          <w:szCs w:val="28"/>
          <w:lang w:val="en-GB"/>
        </w:rPr>
        <w:t xml:space="preserve"> bound by the agreement. It was submitted that where there is no clear and unequivocal intention to be bound by the agreement, a notice of termination is invalid. For this contention</w:t>
      </w:r>
      <w:r w:rsidR="00D05178" w:rsidRPr="00555746">
        <w:rPr>
          <w:sz w:val="28"/>
          <w:szCs w:val="28"/>
          <w:lang w:val="en-GB"/>
        </w:rPr>
        <w:t>,</w:t>
      </w:r>
      <w:r w:rsidR="00B02719" w:rsidRPr="00555746">
        <w:rPr>
          <w:sz w:val="28"/>
          <w:szCs w:val="28"/>
          <w:lang w:val="en-GB"/>
        </w:rPr>
        <w:t xml:space="preserve"> reliance was placed on </w:t>
      </w:r>
      <w:r w:rsidR="00B02719" w:rsidRPr="00555746">
        <w:rPr>
          <w:i/>
          <w:iCs/>
          <w:sz w:val="28"/>
          <w:szCs w:val="28"/>
          <w:lang w:val="en-GB"/>
        </w:rPr>
        <w:t xml:space="preserve">Kragga Kamma Estates </w:t>
      </w:r>
      <w:r w:rsidR="003144E2" w:rsidRPr="00555746">
        <w:rPr>
          <w:i/>
          <w:iCs/>
          <w:sz w:val="28"/>
          <w:szCs w:val="28"/>
          <w:lang w:val="en-GB"/>
        </w:rPr>
        <w:t xml:space="preserve">CC and Another </w:t>
      </w:r>
      <w:r w:rsidR="00B02719" w:rsidRPr="00555746">
        <w:rPr>
          <w:i/>
          <w:iCs/>
          <w:sz w:val="28"/>
          <w:szCs w:val="28"/>
          <w:lang w:val="en-GB"/>
        </w:rPr>
        <w:t>v Flan</w:t>
      </w:r>
      <w:r w:rsidR="007C61A7" w:rsidRPr="00555746">
        <w:rPr>
          <w:i/>
          <w:iCs/>
          <w:sz w:val="28"/>
          <w:szCs w:val="28"/>
          <w:lang w:val="en-GB"/>
        </w:rPr>
        <w:t>a</w:t>
      </w:r>
      <w:r w:rsidR="00B02719" w:rsidRPr="00555746">
        <w:rPr>
          <w:i/>
          <w:iCs/>
          <w:sz w:val="28"/>
          <w:szCs w:val="28"/>
          <w:lang w:val="en-GB"/>
        </w:rPr>
        <w:t>gan</w:t>
      </w:r>
      <w:r w:rsidR="00242E0C" w:rsidRPr="00555746">
        <w:rPr>
          <w:iCs/>
          <w:sz w:val="28"/>
          <w:szCs w:val="28"/>
          <w:lang w:val="en-GB"/>
        </w:rPr>
        <w:t xml:space="preserve"> (</w:t>
      </w:r>
      <w:r w:rsidR="00242E0C" w:rsidRPr="00555746">
        <w:rPr>
          <w:i/>
          <w:iCs/>
          <w:sz w:val="28"/>
          <w:szCs w:val="28"/>
          <w:lang w:val="en-GB"/>
        </w:rPr>
        <w:t>Kragga Kamma</w:t>
      </w:r>
      <w:r w:rsidR="00242E0C" w:rsidRPr="00555746">
        <w:rPr>
          <w:iCs/>
          <w:sz w:val="28"/>
          <w:szCs w:val="28"/>
          <w:lang w:val="en-GB"/>
        </w:rPr>
        <w:t>)</w:t>
      </w:r>
      <w:r w:rsidR="00B02719" w:rsidRPr="00D07F55">
        <w:rPr>
          <w:vertAlign w:val="superscript"/>
          <w:lang w:val="en-GB"/>
        </w:rPr>
        <w:footnoteReference w:id="3"/>
      </w:r>
      <w:r w:rsidR="00B02719" w:rsidRPr="00555746">
        <w:rPr>
          <w:i/>
          <w:iCs/>
          <w:sz w:val="28"/>
          <w:szCs w:val="28"/>
          <w:lang w:val="en-GB"/>
        </w:rPr>
        <w:t xml:space="preserve"> </w:t>
      </w:r>
      <w:r w:rsidR="00B02719" w:rsidRPr="00555746">
        <w:rPr>
          <w:sz w:val="28"/>
          <w:szCs w:val="28"/>
          <w:lang w:val="en-GB"/>
        </w:rPr>
        <w:t xml:space="preserve">and </w:t>
      </w:r>
      <w:r w:rsidR="00B02719" w:rsidRPr="00555746">
        <w:rPr>
          <w:i/>
          <w:iCs/>
          <w:sz w:val="28"/>
          <w:szCs w:val="28"/>
          <w:lang w:val="en-GB"/>
        </w:rPr>
        <w:t>Sweet v Ragerguhara NO and Others</w:t>
      </w:r>
      <w:r w:rsidR="006A6860" w:rsidRPr="00555746">
        <w:rPr>
          <w:iCs/>
          <w:sz w:val="28"/>
          <w:szCs w:val="28"/>
          <w:lang w:val="en-GB"/>
        </w:rPr>
        <w:t xml:space="preserve"> (</w:t>
      </w:r>
      <w:r w:rsidR="006A6860" w:rsidRPr="00555746">
        <w:rPr>
          <w:i/>
          <w:iCs/>
          <w:sz w:val="28"/>
          <w:szCs w:val="28"/>
          <w:lang w:val="en-GB"/>
        </w:rPr>
        <w:t>Sweet</w:t>
      </w:r>
      <w:r w:rsidR="006A6860" w:rsidRPr="00555746">
        <w:rPr>
          <w:iCs/>
          <w:sz w:val="28"/>
          <w:szCs w:val="28"/>
          <w:lang w:val="en-GB"/>
        </w:rPr>
        <w:t>)</w:t>
      </w:r>
      <w:r w:rsidR="00C17D88" w:rsidRPr="00555746">
        <w:rPr>
          <w:iCs/>
          <w:sz w:val="28"/>
          <w:szCs w:val="28"/>
          <w:lang w:val="en-GB"/>
        </w:rPr>
        <w:t>,</w:t>
      </w:r>
      <w:r w:rsidR="00B02719" w:rsidRPr="00D07F55">
        <w:rPr>
          <w:vertAlign w:val="superscript"/>
          <w:lang w:val="en-GB"/>
        </w:rPr>
        <w:footnoteReference w:id="4"/>
      </w:r>
      <w:r w:rsidR="00B02719" w:rsidRPr="00555746">
        <w:rPr>
          <w:sz w:val="28"/>
          <w:szCs w:val="28"/>
          <w:lang w:val="en-GB"/>
        </w:rPr>
        <w:t xml:space="preserve"> both</w:t>
      </w:r>
      <w:r w:rsidR="0023747D" w:rsidRPr="00555746">
        <w:rPr>
          <w:sz w:val="28"/>
          <w:szCs w:val="28"/>
          <w:lang w:val="en-GB"/>
        </w:rPr>
        <w:t xml:space="preserve"> dealing with the sale of immov</w:t>
      </w:r>
      <w:r w:rsidR="00B02719" w:rsidRPr="00555746">
        <w:rPr>
          <w:sz w:val="28"/>
          <w:szCs w:val="28"/>
          <w:lang w:val="en-GB"/>
        </w:rPr>
        <w:t xml:space="preserve">able property. In </w:t>
      </w:r>
      <w:r w:rsidR="00B02719" w:rsidRPr="00555746">
        <w:rPr>
          <w:i/>
          <w:iCs/>
          <w:sz w:val="28"/>
          <w:szCs w:val="28"/>
          <w:lang w:val="en-GB"/>
        </w:rPr>
        <w:t>Kragga Kamma</w:t>
      </w:r>
      <w:r w:rsidR="00304349" w:rsidRPr="00555746">
        <w:rPr>
          <w:iCs/>
          <w:sz w:val="28"/>
          <w:szCs w:val="28"/>
          <w:lang w:val="en-GB"/>
        </w:rPr>
        <w:t>,</w:t>
      </w:r>
      <w:r w:rsidR="00B02719" w:rsidRPr="00555746">
        <w:rPr>
          <w:sz w:val="28"/>
          <w:szCs w:val="28"/>
          <w:lang w:val="en-GB"/>
        </w:rPr>
        <w:t xml:space="preserve"> the plaintiff claimed that non-payment of a portion of the purchase price constituted a repudiation of the sale agreement, which repudiation the seller accepted. This Court held that the notice of demand was a conditional demand </w:t>
      </w:r>
      <w:r w:rsidR="00EC1B6D" w:rsidRPr="00555746">
        <w:rPr>
          <w:sz w:val="28"/>
          <w:szCs w:val="28"/>
          <w:lang w:val="en-GB"/>
        </w:rPr>
        <w:t xml:space="preserve">and </w:t>
      </w:r>
      <w:r w:rsidR="003307F2" w:rsidRPr="00555746">
        <w:rPr>
          <w:sz w:val="28"/>
          <w:szCs w:val="28"/>
          <w:lang w:val="en-GB"/>
        </w:rPr>
        <w:t xml:space="preserve">was </w:t>
      </w:r>
      <w:r w:rsidR="00B02719" w:rsidRPr="00555746">
        <w:rPr>
          <w:sz w:val="28"/>
          <w:szCs w:val="28"/>
          <w:lang w:val="en-GB"/>
        </w:rPr>
        <w:t xml:space="preserve">incapable of placing the defendant </w:t>
      </w:r>
      <w:r w:rsidR="00B02719" w:rsidRPr="00555746">
        <w:rPr>
          <w:i/>
          <w:iCs/>
          <w:sz w:val="28"/>
          <w:szCs w:val="28"/>
          <w:lang w:val="en-GB"/>
        </w:rPr>
        <w:t>in</w:t>
      </w:r>
      <w:r w:rsidR="00B02719" w:rsidRPr="00555746">
        <w:rPr>
          <w:sz w:val="28"/>
          <w:szCs w:val="28"/>
          <w:lang w:val="en-GB"/>
        </w:rPr>
        <w:t xml:space="preserve"> </w:t>
      </w:r>
      <w:r w:rsidR="00B02719" w:rsidRPr="00555746">
        <w:rPr>
          <w:i/>
          <w:sz w:val="28"/>
          <w:szCs w:val="28"/>
          <w:lang w:val="en-GB"/>
        </w:rPr>
        <w:t>mora</w:t>
      </w:r>
      <w:r w:rsidR="00B02719" w:rsidRPr="00555746">
        <w:rPr>
          <w:sz w:val="28"/>
          <w:szCs w:val="28"/>
          <w:lang w:val="en-GB"/>
        </w:rPr>
        <w:t xml:space="preserve"> as it was subject to some uncertain future event. But even if it</w:t>
      </w:r>
      <w:r w:rsidR="001D4475" w:rsidRPr="00555746">
        <w:rPr>
          <w:sz w:val="28"/>
          <w:szCs w:val="28"/>
          <w:lang w:val="en-GB"/>
        </w:rPr>
        <w:t xml:space="preserve"> were</w:t>
      </w:r>
      <w:r w:rsidR="00B02719" w:rsidRPr="00555746">
        <w:rPr>
          <w:sz w:val="28"/>
          <w:szCs w:val="28"/>
          <w:lang w:val="en-GB"/>
        </w:rPr>
        <w:t>, the plaintiff had, for other reasons, not validly cancelled the sale. The notice was framed in the alternative. It was not clear and unambiguous. In the present matter</w:t>
      </w:r>
      <w:r w:rsidR="0066593F" w:rsidRPr="00555746">
        <w:rPr>
          <w:sz w:val="28"/>
          <w:szCs w:val="28"/>
          <w:lang w:val="en-GB"/>
        </w:rPr>
        <w:t>,</w:t>
      </w:r>
      <w:r w:rsidR="00B02719" w:rsidRPr="00555746">
        <w:rPr>
          <w:sz w:val="28"/>
          <w:szCs w:val="28"/>
          <w:lang w:val="en-GB"/>
        </w:rPr>
        <w:t xml:space="preserve"> the written notice is clear and unambiguous, it is not conditional or contradictory. </w:t>
      </w:r>
    </w:p>
    <w:p w14:paraId="0FB5D350" w14:textId="77777777" w:rsidR="00345FF5" w:rsidRPr="00D07F55" w:rsidRDefault="00345FF5" w:rsidP="000126B8">
      <w:pPr>
        <w:rPr>
          <w:sz w:val="28"/>
          <w:szCs w:val="28"/>
        </w:rPr>
      </w:pPr>
    </w:p>
    <w:p w14:paraId="1B74AAB4" w14:textId="390C21C3" w:rsidR="00870DD8" w:rsidRPr="00555746" w:rsidRDefault="00555746" w:rsidP="00555746">
      <w:pPr>
        <w:rPr>
          <w:sz w:val="28"/>
          <w:szCs w:val="28"/>
        </w:rPr>
      </w:pPr>
      <w:r w:rsidRPr="00D07F55">
        <w:rPr>
          <w:sz w:val="28"/>
          <w:szCs w:val="28"/>
        </w:rPr>
        <w:t>[17]</w:t>
      </w:r>
      <w:r w:rsidRPr="00D07F55">
        <w:rPr>
          <w:sz w:val="28"/>
          <w:szCs w:val="28"/>
        </w:rPr>
        <w:tab/>
      </w:r>
      <w:r w:rsidR="00B02719" w:rsidRPr="00555746">
        <w:rPr>
          <w:sz w:val="28"/>
          <w:szCs w:val="28"/>
          <w:lang w:val="en-GB"/>
        </w:rPr>
        <w:t>Similarly</w:t>
      </w:r>
      <w:r w:rsidR="006A6860" w:rsidRPr="00555746">
        <w:rPr>
          <w:sz w:val="28"/>
          <w:szCs w:val="28"/>
          <w:lang w:val="en-GB"/>
        </w:rPr>
        <w:t>,</w:t>
      </w:r>
      <w:r w:rsidR="00B02719" w:rsidRPr="00555746">
        <w:rPr>
          <w:sz w:val="28"/>
          <w:szCs w:val="28"/>
          <w:lang w:val="en-GB"/>
        </w:rPr>
        <w:t xml:space="preserve"> </w:t>
      </w:r>
      <w:r w:rsidR="00AA4391" w:rsidRPr="00555746">
        <w:rPr>
          <w:sz w:val="28"/>
          <w:szCs w:val="28"/>
          <w:lang w:val="en-GB"/>
        </w:rPr>
        <w:t xml:space="preserve">the facts </w:t>
      </w:r>
      <w:r w:rsidR="001D4475" w:rsidRPr="00555746">
        <w:rPr>
          <w:sz w:val="28"/>
          <w:szCs w:val="28"/>
          <w:lang w:val="en-GB"/>
        </w:rPr>
        <w:t xml:space="preserve">in </w:t>
      </w:r>
      <w:r w:rsidR="00B02719" w:rsidRPr="00555746">
        <w:rPr>
          <w:i/>
          <w:iCs/>
          <w:sz w:val="28"/>
          <w:szCs w:val="28"/>
          <w:lang w:val="en-GB"/>
        </w:rPr>
        <w:t>Sweet</w:t>
      </w:r>
      <w:r w:rsidR="00B02719" w:rsidRPr="00555746">
        <w:rPr>
          <w:sz w:val="28"/>
          <w:szCs w:val="28"/>
          <w:lang w:val="en-GB"/>
        </w:rPr>
        <w:t xml:space="preserve"> are distinguishable. There</w:t>
      </w:r>
      <w:r w:rsidR="00EC1B6D" w:rsidRPr="00555746">
        <w:rPr>
          <w:sz w:val="28"/>
          <w:szCs w:val="28"/>
          <w:lang w:val="en-GB"/>
        </w:rPr>
        <w:t>,</w:t>
      </w:r>
      <w:r w:rsidR="00B02719" w:rsidRPr="00555746">
        <w:rPr>
          <w:sz w:val="28"/>
          <w:szCs w:val="28"/>
          <w:lang w:val="en-GB"/>
        </w:rPr>
        <w:t xml:space="preserve"> the applicant sought an order that an agreement of sale had been lawfully cancelled on the basis that the respondent had not given vacant possession of the property in question. A notice was sent to remedy the defective performance by giving vacant possession. The court found that the defaulting party was entitled to know how to respond to the notice</w:t>
      </w:r>
      <w:r w:rsidR="006A6860" w:rsidRPr="00555746">
        <w:rPr>
          <w:sz w:val="28"/>
          <w:szCs w:val="28"/>
          <w:lang w:val="en-GB"/>
        </w:rPr>
        <w:t>,</w:t>
      </w:r>
      <w:r w:rsidR="00B02719" w:rsidRPr="00555746">
        <w:rPr>
          <w:sz w:val="28"/>
          <w:szCs w:val="28"/>
          <w:lang w:val="en-GB"/>
        </w:rPr>
        <w:t xml:space="preserve"> but in that instance</w:t>
      </w:r>
      <w:r w:rsidR="00457C31" w:rsidRPr="00555746">
        <w:rPr>
          <w:sz w:val="28"/>
          <w:szCs w:val="28"/>
          <w:lang w:val="en-GB"/>
        </w:rPr>
        <w:t>,</w:t>
      </w:r>
      <w:r w:rsidR="00B02719" w:rsidRPr="00555746">
        <w:rPr>
          <w:sz w:val="28"/>
          <w:szCs w:val="28"/>
          <w:lang w:val="en-GB"/>
        </w:rPr>
        <w:t xml:space="preserve"> it was equivocal and inconsistent. Here</w:t>
      </w:r>
      <w:r w:rsidR="006A6860" w:rsidRPr="00555746">
        <w:rPr>
          <w:sz w:val="28"/>
          <w:szCs w:val="28"/>
          <w:lang w:val="en-GB"/>
        </w:rPr>
        <w:t>,</w:t>
      </w:r>
      <w:r w:rsidR="00B02719" w:rsidRPr="00555746">
        <w:rPr>
          <w:sz w:val="28"/>
          <w:szCs w:val="28"/>
          <w:lang w:val="en-GB"/>
        </w:rPr>
        <w:t xml:space="preserve"> there is no </w:t>
      </w:r>
      <w:r w:rsidR="00737ECA" w:rsidRPr="00555746">
        <w:rPr>
          <w:sz w:val="28"/>
          <w:szCs w:val="28"/>
          <w:lang w:val="en-GB"/>
        </w:rPr>
        <w:t>demand</w:t>
      </w:r>
      <w:r w:rsidR="00B02719" w:rsidRPr="00555746">
        <w:rPr>
          <w:sz w:val="28"/>
          <w:szCs w:val="28"/>
          <w:lang w:val="en-GB"/>
        </w:rPr>
        <w:t xml:space="preserve"> </w:t>
      </w:r>
      <w:r w:rsidR="00737ECA" w:rsidRPr="00555746">
        <w:rPr>
          <w:sz w:val="28"/>
          <w:szCs w:val="28"/>
          <w:lang w:val="en-GB"/>
        </w:rPr>
        <w:t xml:space="preserve">that </w:t>
      </w:r>
      <w:r w:rsidR="00B02719" w:rsidRPr="00555746">
        <w:rPr>
          <w:sz w:val="28"/>
          <w:szCs w:val="28"/>
          <w:lang w:val="en-GB"/>
        </w:rPr>
        <w:t>G</w:t>
      </w:r>
      <w:r w:rsidR="00883C11" w:rsidRPr="00555746">
        <w:rPr>
          <w:sz w:val="28"/>
          <w:szCs w:val="28"/>
          <w:lang w:val="en-GB"/>
        </w:rPr>
        <w:t xml:space="preserve">lowing </w:t>
      </w:r>
      <w:r w:rsidR="00B02719" w:rsidRPr="00555746">
        <w:rPr>
          <w:sz w:val="28"/>
          <w:szCs w:val="28"/>
          <w:lang w:val="en-GB"/>
        </w:rPr>
        <w:t>R</w:t>
      </w:r>
      <w:r w:rsidR="00883C11" w:rsidRPr="00555746">
        <w:rPr>
          <w:sz w:val="28"/>
          <w:szCs w:val="28"/>
          <w:lang w:val="en-GB"/>
        </w:rPr>
        <w:t>ooms</w:t>
      </w:r>
      <w:r w:rsidR="00D823BD" w:rsidRPr="00555746">
        <w:rPr>
          <w:sz w:val="28"/>
          <w:szCs w:val="28"/>
          <w:lang w:val="en-GB"/>
        </w:rPr>
        <w:t xml:space="preserve"> remedy its breach</w:t>
      </w:r>
      <w:r w:rsidR="00E35A35" w:rsidRPr="00555746">
        <w:rPr>
          <w:sz w:val="28"/>
          <w:szCs w:val="28"/>
          <w:lang w:val="en-GB"/>
        </w:rPr>
        <w:t>,</w:t>
      </w:r>
      <w:r w:rsidR="00D823BD" w:rsidRPr="00555746">
        <w:rPr>
          <w:sz w:val="28"/>
          <w:szCs w:val="28"/>
          <w:lang w:val="en-GB"/>
        </w:rPr>
        <w:t xml:space="preserve"> as clause 2.1 is not dependent upon a breach of the agreement.</w:t>
      </w:r>
    </w:p>
    <w:p w14:paraId="13298973" w14:textId="77777777" w:rsidR="00D2463E" w:rsidRPr="00D07F55" w:rsidRDefault="00D2463E" w:rsidP="002D66EC">
      <w:pPr>
        <w:rPr>
          <w:sz w:val="28"/>
          <w:szCs w:val="28"/>
        </w:rPr>
      </w:pPr>
    </w:p>
    <w:p w14:paraId="1D08182E" w14:textId="5571717F" w:rsidR="00D67E7B" w:rsidRPr="00555746" w:rsidRDefault="00555746" w:rsidP="00555746">
      <w:pPr>
        <w:rPr>
          <w:sz w:val="28"/>
          <w:szCs w:val="28"/>
        </w:rPr>
      </w:pPr>
      <w:r w:rsidRPr="00D07F55">
        <w:rPr>
          <w:sz w:val="28"/>
          <w:szCs w:val="28"/>
        </w:rPr>
        <w:lastRenderedPageBreak/>
        <w:t>[18]</w:t>
      </w:r>
      <w:r w:rsidRPr="00D07F55">
        <w:rPr>
          <w:sz w:val="28"/>
          <w:szCs w:val="28"/>
        </w:rPr>
        <w:tab/>
      </w:r>
      <w:r w:rsidR="00E56CC0" w:rsidRPr="00555746">
        <w:rPr>
          <w:sz w:val="28"/>
          <w:szCs w:val="28"/>
          <w:lang w:val="en-GB"/>
        </w:rPr>
        <w:t>There can be no suggestion that the notice sent to G</w:t>
      </w:r>
      <w:r w:rsidR="00883C11" w:rsidRPr="00555746">
        <w:rPr>
          <w:sz w:val="28"/>
          <w:szCs w:val="28"/>
          <w:lang w:val="en-GB"/>
        </w:rPr>
        <w:t xml:space="preserve">lowing </w:t>
      </w:r>
      <w:r w:rsidR="00E56CC0" w:rsidRPr="00555746">
        <w:rPr>
          <w:sz w:val="28"/>
          <w:szCs w:val="28"/>
          <w:lang w:val="en-GB"/>
        </w:rPr>
        <w:t>R</w:t>
      </w:r>
      <w:r w:rsidR="00883C11" w:rsidRPr="00555746">
        <w:rPr>
          <w:sz w:val="28"/>
          <w:szCs w:val="28"/>
          <w:lang w:val="en-GB"/>
        </w:rPr>
        <w:t>ooms</w:t>
      </w:r>
      <w:r w:rsidR="00E56CC0" w:rsidRPr="00555746">
        <w:rPr>
          <w:sz w:val="28"/>
          <w:szCs w:val="28"/>
          <w:lang w:val="en-GB"/>
        </w:rPr>
        <w:t xml:space="preserve"> is in any manner contradictory or confusing. The notice clearly and unambiguously states that the Trust is exercising a contractual right in terms of </w:t>
      </w:r>
      <w:r w:rsidR="00C008EB" w:rsidRPr="00555746">
        <w:rPr>
          <w:sz w:val="28"/>
          <w:szCs w:val="28"/>
          <w:lang w:val="en-GB"/>
        </w:rPr>
        <w:t>c</w:t>
      </w:r>
      <w:r w:rsidR="00E56CC0" w:rsidRPr="00555746">
        <w:rPr>
          <w:sz w:val="28"/>
          <w:szCs w:val="28"/>
          <w:lang w:val="en-GB"/>
        </w:rPr>
        <w:t xml:space="preserve">lause 2.1 to terminate the lease agreement on </w:t>
      </w:r>
      <w:r w:rsidR="004916DB" w:rsidRPr="00555746">
        <w:rPr>
          <w:sz w:val="28"/>
          <w:szCs w:val="28"/>
          <w:lang w:val="en-GB"/>
        </w:rPr>
        <w:t>one month’s</w:t>
      </w:r>
      <w:r w:rsidR="00E56CC0" w:rsidRPr="00555746">
        <w:rPr>
          <w:sz w:val="28"/>
          <w:szCs w:val="28"/>
          <w:lang w:val="en-GB"/>
        </w:rPr>
        <w:t xml:space="preserve"> notice.</w:t>
      </w:r>
      <w:r w:rsidR="00711AD7" w:rsidRPr="00555746">
        <w:rPr>
          <w:sz w:val="28"/>
          <w:szCs w:val="28"/>
          <w:lang w:val="en-GB"/>
        </w:rPr>
        <w:t xml:space="preserve"> The reference to an ‘alleged’ agreement does not detract from that. </w:t>
      </w:r>
    </w:p>
    <w:p w14:paraId="160B6D4F" w14:textId="77777777" w:rsidR="00FD135F" w:rsidRPr="00D07F55" w:rsidRDefault="00FD135F" w:rsidP="00427F6C">
      <w:pPr>
        <w:rPr>
          <w:sz w:val="28"/>
          <w:szCs w:val="28"/>
        </w:rPr>
      </w:pPr>
    </w:p>
    <w:p w14:paraId="66F8DEA3" w14:textId="1D846E9D" w:rsidR="00D12E10" w:rsidRPr="00555746" w:rsidRDefault="00555746" w:rsidP="00555746">
      <w:pPr>
        <w:rPr>
          <w:sz w:val="28"/>
          <w:szCs w:val="28"/>
          <w:lang w:val="en-GB"/>
        </w:rPr>
      </w:pPr>
      <w:r w:rsidRPr="00D07F55">
        <w:rPr>
          <w:sz w:val="28"/>
          <w:szCs w:val="28"/>
          <w:lang w:val="en-GB"/>
        </w:rPr>
        <w:t>[19]</w:t>
      </w:r>
      <w:r w:rsidRPr="00D07F55">
        <w:rPr>
          <w:sz w:val="28"/>
          <w:szCs w:val="28"/>
          <w:lang w:val="en-GB"/>
        </w:rPr>
        <w:tab/>
      </w:r>
      <w:r w:rsidR="00E56CC0" w:rsidRPr="00555746">
        <w:rPr>
          <w:sz w:val="28"/>
          <w:szCs w:val="28"/>
          <w:lang w:val="en-GB"/>
        </w:rPr>
        <w:t>I now deal with G</w:t>
      </w:r>
      <w:r w:rsidR="00883C11" w:rsidRPr="00555746">
        <w:rPr>
          <w:sz w:val="28"/>
          <w:szCs w:val="28"/>
          <w:lang w:val="en-GB"/>
        </w:rPr>
        <w:t xml:space="preserve">lowing </w:t>
      </w:r>
      <w:r w:rsidR="00E56CC0" w:rsidRPr="00555746">
        <w:rPr>
          <w:sz w:val="28"/>
          <w:szCs w:val="28"/>
          <w:lang w:val="en-GB"/>
        </w:rPr>
        <w:t>R</w:t>
      </w:r>
      <w:r w:rsidR="00883C11" w:rsidRPr="00555746">
        <w:rPr>
          <w:sz w:val="28"/>
          <w:szCs w:val="28"/>
          <w:lang w:val="en-GB"/>
        </w:rPr>
        <w:t>ooms</w:t>
      </w:r>
      <w:r w:rsidR="00E56CC0" w:rsidRPr="00555746">
        <w:rPr>
          <w:sz w:val="28"/>
          <w:szCs w:val="28"/>
          <w:lang w:val="en-GB"/>
        </w:rPr>
        <w:t>’ argument relating to the interpretation of the lease agreement. It proceeds along the following lines. By relying on clause 2.1</w:t>
      </w:r>
      <w:r w:rsidR="00883C11" w:rsidRPr="00555746">
        <w:rPr>
          <w:sz w:val="28"/>
          <w:szCs w:val="28"/>
          <w:lang w:val="en-GB"/>
        </w:rPr>
        <w:t>,</w:t>
      </w:r>
      <w:r w:rsidR="00E56CC0" w:rsidRPr="00555746">
        <w:rPr>
          <w:sz w:val="28"/>
          <w:szCs w:val="28"/>
          <w:lang w:val="en-GB"/>
        </w:rPr>
        <w:t xml:space="preserve"> the Trust impermissibly utilised its unfettered discretion to terminate the lease</w:t>
      </w:r>
      <w:r w:rsidR="00EC456B" w:rsidRPr="00555746">
        <w:rPr>
          <w:sz w:val="28"/>
          <w:szCs w:val="28"/>
          <w:lang w:val="en-GB"/>
        </w:rPr>
        <w:t>,</w:t>
      </w:r>
      <w:r w:rsidR="00E56CC0" w:rsidRPr="00555746">
        <w:rPr>
          <w:sz w:val="28"/>
          <w:szCs w:val="28"/>
          <w:lang w:val="en-GB"/>
        </w:rPr>
        <w:t xml:space="preserve"> when clause 2.1 should have been interpreted in light of the contract as a whole. This was in circumstances where there are other clauses in the lease agreement which provide for longer notice periods</w:t>
      </w:r>
      <w:r w:rsidR="00D823BD" w:rsidRPr="00555746">
        <w:rPr>
          <w:sz w:val="28"/>
          <w:szCs w:val="28"/>
          <w:lang w:val="en-GB"/>
        </w:rPr>
        <w:t xml:space="preserve"> in different scenarios</w:t>
      </w:r>
      <w:r w:rsidR="00E56CC0" w:rsidRPr="00555746">
        <w:rPr>
          <w:sz w:val="28"/>
          <w:szCs w:val="28"/>
          <w:lang w:val="en-GB"/>
        </w:rPr>
        <w:t>. For example</w:t>
      </w:r>
      <w:r w:rsidR="00EC456B" w:rsidRPr="00555746">
        <w:rPr>
          <w:sz w:val="28"/>
          <w:szCs w:val="28"/>
          <w:lang w:val="en-GB"/>
        </w:rPr>
        <w:t>,</w:t>
      </w:r>
      <w:r w:rsidR="00E56CC0" w:rsidRPr="00555746">
        <w:rPr>
          <w:sz w:val="28"/>
          <w:szCs w:val="28"/>
          <w:lang w:val="en-GB"/>
        </w:rPr>
        <w:t xml:space="preserve"> in terms of clause 18.1</w:t>
      </w:r>
      <w:r w:rsidR="00EC456B" w:rsidRPr="00555746">
        <w:rPr>
          <w:sz w:val="28"/>
          <w:szCs w:val="28"/>
          <w:lang w:val="en-GB"/>
        </w:rPr>
        <w:t>,</w:t>
      </w:r>
      <w:r w:rsidR="00E56CC0" w:rsidRPr="00555746">
        <w:rPr>
          <w:sz w:val="28"/>
          <w:szCs w:val="28"/>
          <w:lang w:val="en-GB"/>
        </w:rPr>
        <w:t xml:space="preserve"> the Trust can terminate on </w:t>
      </w:r>
      <w:r w:rsidR="00EC456B" w:rsidRPr="00555746">
        <w:rPr>
          <w:sz w:val="28"/>
          <w:szCs w:val="28"/>
          <w:lang w:val="en-GB"/>
        </w:rPr>
        <w:t>three</w:t>
      </w:r>
      <w:r w:rsidR="00E56CC0" w:rsidRPr="00555746">
        <w:rPr>
          <w:sz w:val="28"/>
          <w:szCs w:val="28"/>
          <w:lang w:val="en-GB"/>
        </w:rPr>
        <w:t xml:space="preserve"> months</w:t>
      </w:r>
      <w:r w:rsidR="001473EE" w:rsidRPr="00555746">
        <w:rPr>
          <w:sz w:val="28"/>
          <w:szCs w:val="28"/>
          <w:lang w:val="en-GB"/>
        </w:rPr>
        <w:t>’</w:t>
      </w:r>
      <w:r w:rsidR="00E56CC0" w:rsidRPr="00555746">
        <w:rPr>
          <w:sz w:val="28"/>
          <w:szCs w:val="28"/>
          <w:lang w:val="en-GB"/>
        </w:rPr>
        <w:t xml:space="preserve"> written notice in the case of the building being sold; clause 18.2 provides for </w:t>
      </w:r>
      <w:r w:rsidR="00EC456B" w:rsidRPr="00555746">
        <w:rPr>
          <w:sz w:val="28"/>
          <w:szCs w:val="28"/>
          <w:lang w:val="en-GB"/>
        </w:rPr>
        <w:t>three</w:t>
      </w:r>
      <w:r w:rsidR="00E56CC0" w:rsidRPr="00555746">
        <w:rPr>
          <w:sz w:val="28"/>
          <w:szCs w:val="28"/>
          <w:lang w:val="en-GB"/>
        </w:rPr>
        <w:t xml:space="preserve"> months’ </w:t>
      </w:r>
      <w:r w:rsidR="001473EE" w:rsidRPr="00555746">
        <w:rPr>
          <w:sz w:val="28"/>
          <w:szCs w:val="28"/>
          <w:lang w:val="en-GB"/>
        </w:rPr>
        <w:t xml:space="preserve">written </w:t>
      </w:r>
      <w:r w:rsidR="00E56CC0" w:rsidRPr="00555746">
        <w:rPr>
          <w:sz w:val="28"/>
          <w:szCs w:val="28"/>
          <w:lang w:val="en-GB"/>
        </w:rPr>
        <w:t>notice in the case of substantial renovations, reconstruction or redevelopment of the building; clauses 18.3 and 18.4 provide 60</w:t>
      </w:r>
      <w:r w:rsidR="00C62907" w:rsidRPr="00555746">
        <w:rPr>
          <w:sz w:val="28"/>
          <w:szCs w:val="28"/>
          <w:lang w:val="en-GB"/>
        </w:rPr>
        <w:t> </w:t>
      </w:r>
      <w:r w:rsidR="00E56CC0" w:rsidRPr="00555746">
        <w:rPr>
          <w:sz w:val="28"/>
          <w:szCs w:val="28"/>
          <w:lang w:val="en-GB"/>
        </w:rPr>
        <w:t>days</w:t>
      </w:r>
      <w:r w:rsidR="00C62907" w:rsidRPr="00555746">
        <w:rPr>
          <w:sz w:val="28"/>
          <w:szCs w:val="28"/>
          <w:lang w:val="en-GB"/>
        </w:rPr>
        <w:t>’</w:t>
      </w:r>
      <w:r w:rsidR="00E56CC0" w:rsidRPr="00555746">
        <w:rPr>
          <w:sz w:val="28"/>
          <w:szCs w:val="28"/>
          <w:lang w:val="en-GB"/>
        </w:rPr>
        <w:t xml:space="preserve"> written notice</w:t>
      </w:r>
      <w:r w:rsidR="00C62907" w:rsidRPr="00555746">
        <w:rPr>
          <w:sz w:val="28"/>
          <w:szCs w:val="28"/>
          <w:lang w:val="en-GB"/>
        </w:rPr>
        <w:t>,</w:t>
      </w:r>
      <w:r w:rsidR="00E56CC0" w:rsidRPr="00555746">
        <w:rPr>
          <w:sz w:val="28"/>
          <w:szCs w:val="28"/>
          <w:lang w:val="en-GB"/>
        </w:rPr>
        <w:t xml:space="preserve"> where the lessee is to be moved to alternative premises in consequence of renovations being carried out; </w:t>
      </w:r>
      <w:r w:rsidR="00E35A35" w:rsidRPr="00555746">
        <w:rPr>
          <w:sz w:val="28"/>
          <w:szCs w:val="28"/>
          <w:lang w:val="en-GB"/>
        </w:rPr>
        <w:t xml:space="preserve">and </w:t>
      </w:r>
      <w:r w:rsidR="00E56CC0" w:rsidRPr="00555746">
        <w:rPr>
          <w:sz w:val="28"/>
          <w:szCs w:val="28"/>
          <w:lang w:val="en-GB"/>
        </w:rPr>
        <w:t xml:space="preserve">clause 18.7 provides for </w:t>
      </w:r>
      <w:r w:rsidR="00EE073A" w:rsidRPr="00555746">
        <w:rPr>
          <w:sz w:val="28"/>
          <w:szCs w:val="28"/>
          <w:lang w:val="en-GB"/>
        </w:rPr>
        <w:t>three</w:t>
      </w:r>
      <w:r w:rsidR="00E56CC0" w:rsidRPr="00555746">
        <w:rPr>
          <w:sz w:val="28"/>
          <w:szCs w:val="28"/>
          <w:lang w:val="en-GB"/>
        </w:rPr>
        <w:t xml:space="preserve"> months</w:t>
      </w:r>
      <w:r w:rsidR="00EE073A" w:rsidRPr="00555746">
        <w:rPr>
          <w:sz w:val="28"/>
          <w:szCs w:val="28"/>
          <w:lang w:val="en-GB"/>
        </w:rPr>
        <w:t>’</w:t>
      </w:r>
      <w:r w:rsidR="00E56CC0" w:rsidRPr="00555746">
        <w:rPr>
          <w:sz w:val="28"/>
          <w:szCs w:val="28"/>
          <w:lang w:val="en-GB"/>
        </w:rPr>
        <w:t xml:space="preserve"> written notice</w:t>
      </w:r>
      <w:r w:rsidR="004504FF" w:rsidRPr="00555746">
        <w:rPr>
          <w:sz w:val="28"/>
          <w:szCs w:val="28"/>
          <w:lang w:val="en-GB"/>
        </w:rPr>
        <w:t>,</w:t>
      </w:r>
      <w:r w:rsidR="00E56CC0" w:rsidRPr="00555746">
        <w:rPr>
          <w:sz w:val="28"/>
          <w:szCs w:val="28"/>
          <w:lang w:val="en-GB"/>
        </w:rPr>
        <w:t xml:space="preserve"> if </w:t>
      </w:r>
      <w:r w:rsidR="004504FF" w:rsidRPr="00555746">
        <w:rPr>
          <w:sz w:val="28"/>
          <w:szCs w:val="28"/>
          <w:lang w:val="en-GB"/>
        </w:rPr>
        <w:t xml:space="preserve">the </w:t>
      </w:r>
      <w:r w:rsidR="00E56CC0" w:rsidRPr="00555746">
        <w:rPr>
          <w:sz w:val="28"/>
          <w:szCs w:val="28"/>
          <w:lang w:val="en-GB"/>
        </w:rPr>
        <w:t xml:space="preserve">parties fail to reach agreement within 30 days on an alternative lease providing for relocation of the business of the lessee. Clause </w:t>
      </w:r>
      <w:r w:rsidR="003F4DBC" w:rsidRPr="00555746">
        <w:rPr>
          <w:sz w:val="28"/>
          <w:szCs w:val="28"/>
          <w:lang w:val="en-GB"/>
        </w:rPr>
        <w:t xml:space="preserve">22 </w:t>
      </w:r>
      <w:r w:rsidR="00E56CC0" w:rsidRPr="00555746">
        <w:rPr>
          <w:sz w:val="28"/>
          <w:szCs w:val="28"/>
          <w:lang w:val="en-GB"/>
        </w:rPr>
        <w:t xml:space="preserve">affords the Trust the right to terminate in the case of destruction of property or damage which renders it unlettable, upon 60 days’ notice. </w:t>
      </w:r>
    </w:p>
    <w:p w14:paraId="1646D284" w14:textId="77777777" w:rsidR="00B82742" w:rsidRPr="00D07F55" w:rsidRDefault="00B82742" w:rsidP="004F0FF2">
      <w:pPr>
        <w:rPr>
          <w:sz w:val="28"/>
          <w:szCs w:val="28"/>
        </w:rPr>
      </w:pPr>
    </w:p>
    <w:p w14:paraId="34FAA2ED" w14:textId="4364453A" w:rsidR="00B82742" w:rsidRPr="00555746" w:rsidRDefault="00555746" w:rsidP="00555746">
      <w:pPr>
        <w:rPr>
          <w:sz w:val="28"/>
          <w:szCs w:val="28"/>
        </w:rPr>
      </w:pPr>
      <w:r w:rsidRPr="00D60E49">
        <w:rPr>
          <w:sz w:val="28"/>
          <w:szCs w:val="28"/>
        </w:rPr>
        <w:t>[20]</w:t>
      </w:r>
      <w:r w:rsidRPr="00D60E49">
        <w:rPr>
          <w:sz w:val="28"/>
          <w:szCs w:val="28"/>
        </w:rPr>
        <w:tab/>
      </w:r>
      <w:r w:rsidR="00E56CC0" w:rsidRPr="00555746">
        <w:rPr>
          <w:sz w:val="28"/>
          <w:szCs w:val="28"/>
          <w:lang w:val="en-GB"/>
        </w:rPr>
        <w:t>In its answering affidavit</w:t>
      </w:r>
      <w:r w:rsidR="003F4DBC" w:rsidRPr="00555746">
        <w:rPr>
          <w:sz w:val="28"/>
          <w:szCs w:val="28"/>
          <w:lang w:val="en-GB"/>
        </w:rPr>
        <w:t>,</w:t>
      </w:r>
      <w:r w:rsidR="00E56CC0" w:rsidRPr="00555746">
        <w:rPr>
          <w:sz w:val="28"/>
          <w:szCs w:val="28"/>
          <w:lang w:val="en-GB"/>
        </w:rPr>
        <w:t xml:space="preserve"> G</w:t>
      </w:r>
      <w:r w:rsidR="00D124BD" w:rsidRPr="00555746">
        <w:rPr>
          <w:sz w:val="28"/>
          <w:szCs w:val="28"/>
          <w:lang w:val="en-GB"/>
        </w:rPr>
        <w:t xml:space="preserve">lowing </w:t>
      </w:r>
      <w:r w:rsidR="00E56CC0" w:rsidRPr="00555746">
        <w:rPr>
          <w:sz w:val="28"/>
          <w:szCs w:val="28"/>
          <w:lang w:val="en-GB"/>
        </w:rPr>
        <w:t>R</w:t>
      </w:r>
      <w:r w:rsidR="00D124BD" w:rsidRPr="00555746">
        <w:rPr>
          <w:sz w:val="28"/>
          <w:szCs w:val="28"/>
          <w:lang w:val="en-GB"/>
        </w:rPr>
        <w:t>ooms</w:t>
      </w:r>
      <w:r w:rsidR="00E56CC0" w:rsidRPr="00555746">
        <w:rPr>
          <w:sz w:val="28"/>
          <w:szCs w:val="28"/>
          <w:lang w:val="en-GB"/>
        </w:rPr>
        <w:t xml:space="preserve"> stated that the lease agreement grants the Trust an array of unilateral contractual powers as set out in clauses 18 and 22, without any qualification that they be exercised in accordance </w:t>
      </w:r>
      <w:r w:rsidR="00000309" w:rsidRPr="00555746">
        <w:rPr>
          <w:sz w:val="28"/>
          <w:szCs w:val="28"/>
          <w:lang w:val="en-GB"/>
        </w:rPr>
        <w:t xml:space="preserve">with </w:t>
      </w:r>
      <w:r w:rsidR="00E56CC0" w:rsidRPr="00555746">
        <w:rPr>
          <w:sz w:val="28"/>
          <w:szCs w:val="28"/>
          <w:lang w:val="en-GB"/>
        </w:rPr>
        <w:t>the judgment of a reasonable person</w:t>
      </w:r>
      <w:r w:rsidR="00473973" w:rsidRPr="00555746">
        <w:rPr>
          <w:sz w:val="28"/>
          <w:szCs w:val="28"/>
          <w:lang w:val="en-GB"/>
        </w:rPr>
        <w:t>. As such</w:t>
      </w:r>
      <w:r w:rsidR="00C35362" w:rsidRPr="00555746">
        <w:rPr>
          <w:sz w:val="28"/>
          <w:szCs w:val="28"/>
          <w:lang w:val="en-GB"/>
        </w:rPr>
        <w:t>,</w:t>
      </w:r>
      <w:r w:rsidR="00E56CC0" w:rsidRPr="00555746">
        <w:rPr>
          <w:sz w:val="28"/>
          <w:szCs w:val="28"/>
          <w:lang w:val="en-GB"/>
        </w:rPr>
        <w:t xml:space="preserve"> all these clauses were contrary to public policy and invalid</w:t>
      </w:r>
      <w:r w:rsidR="003307F2" w:rsidRPr="00555746">
        <w:rPr>
          <w:sz w:val="28"/>
          <w:szCs w:val="28"/>
          <w:lang w:val="en-GB"/>
        </w:rPr>
        <w:t>, not only clause 2.1</w:t>
      </w:r>
      <w:r w:rsidR="00E56CC0" w:rsidRPr="00555746">
        <w:rPr>
          <w:sz w:val="28"/>
          <w:szCs w:val="28"/>
          <w:lang w:val="en-GB"/>
        </w:rPr>
        <w:t xml:space="preserve">. </w:t>
      </w:r>
      <w:r w:rsidR="00473973" w:rsidRPr="00555746">
        <w:rPr>
          <w:sz w:val="28"/>
          <w:szCs w:val="28"/>
          <w:lang w:val="en-GB"/>
        </w:rPr>
        <w:t>F</w:t>
      </w:r>
      <w:r w:rsidR="00E56CC0" w:rsidRPr="00555746">
        <w:rPr>
          <w:sz w:val="28"/>
          <w:szCs w:val="28"/>
          <w:lang w:val="en-GB"/>
        </w:rPr>
        <w:t>urther</w:t>
      </w:r>
      <w:r w:rsidR="00595753" w:rsidRPr="00555746">
        <w:rPr>
          <w:sz w:val="28"/>
          <w:szCs w:val="28"/>
          <w:lang w:val="en-GB"/>
        </w:rPr>
        <w:t>, Glowing Rooms</w:t>
      </w:r>
      <w:r w:rsidR="00E56CC0" w:rsidRPr="00555746">
        <w:rPr>
          <w:sz w:val="28"/>
          <w:szCs w:val="28"/>
          <w:lang w:val="en-GB"/>
        </w:rPr>
        <w:t xml:space="preserve"> contended </w:t>
      </w:r>
      <w:r w:rsidR="00422813" w:rsidRPr="00555746">
        <w:rPr>
          <w:sz w:val="28"/>
          <w:szCs w:val="28"/>
          <w:lang w:val="en-GB"/>
        </w:rPr>
        <w:t xml:space="preserve">that </w:t>
      </w:r>
      <w:r w:rsidR="00E56CC0" w:rsidRPr="00555746">
        <w:rPr>
          <w:sz w:val="28"/>
          <w:szCs w:val="28"/>
          <w:lang w:val="en-GB"/>
        </w:rPr>
        <w:t xml:space="preserve">this is </w:t>
      </w:r>
      <w:r w:rsidR="00E56CC0" w:rsidRPr="00555746">
        <w:rPr>
          <w:sz w:val="28"/>
          <w:szCs w:val="28"/>
          <w:lang w:val="en-GB"/>
        </w:rPr>
        <w:lastRenderedPageBreak/>
        <w:t>disproportionate and does not take into account the rights and interests of both parties.</w:t>
      </w:r>
    </w:p>
    <w:p w14:paraId="2C825F5D" w14:textId="77777777" w:rsidR="00D60E49" w:rsidRPr="00D07F55" w:rsidRDefault="00D60E49" w:rsidP="00D60E49">
      <w:pPr>
        <w:pStyle w:val="ListParagraph"/>
        <w:ind w:left="0"/>
        <w:rPr>
          <w:sz w:val="28"/>
          <w:szCs w:val="28"/>
        </w:rPr>
      </w:pPr>
    </w:p>
    <w:p w14:paraId="31A5D5BA" w14:textId="7BAB06D2" w:rsidR="000E7E80" w:rsidRPr="00555746" w:rsidRDefault="00555746" w:rsidP="00555746">
      <w:pPr>
        <w:rPr>
          <w:sz w:val="28"/>
          <w:szCs w:val="28"/>
        </w:rPr>
      </w:pPr>
      <w:r w:rsidRPr="00D07F55">
        <w:rPr>
          <w:sz w:val="28"/>
          <w:szCs w:val="28"/>
        </w:rPr>
        <w:t>[21]</w:t>
      </w:r>
      <w:r w:rsidRPr="00D07F55">
        <w:rPr>
          <w:sz w:val="28"/>
          <w:szCs w:val="28"/>
        </w:rPr>
        <w:tab/>
      </w:r>
      <w:r w:rsidR="00095217" w:rsidRPr="00555746">
        <w:rPr>
          <w:sz w:val="28"/>
          <w:szCs w:val="28"/>
          <w:lang w:val="en-GB"/>
        </w:rPr>
        <w:t>Significantly, it was not Glowing Room</w:t>
      </w:r>
      <w:r w:rsidR="00374FCA" w:rsidRPr="00555746">
        <w:rPr>
          <w:sz w:val="28"/>
          <w:szCs w:val="28"/>
          <w:lang w:val="en-GB"/>
        </w:rPr>
        <w:t>s’</w:t>
      </w:r>
      <w:r w:rsidR="00095217" w:rsidRPr="00555746">
        <w:rPr>
          <w:sz w:val="28"/>
          <w:szCs w:val="28"/>
          <w:lang w:val="en-GB"/>
        </w:rPr>
        <w:t xml:space="preserve"> case in the high court that it ought to have been given a longer notice period, in line with the other clauses. Nor did it contend on</w:t>
      </w:r>
      <w:r w:rsidR="00E56CC0" w:rsidRPr="00555746">
        <w:rPr>
          <w:sz w:val="28"/>
          <w:szCs w:val="28"/>
          <w:lang w:val="en-GB"/>
        </w:rPr>
        <w:t xml:space="preserve"> appeal before this Court</w:t>
      </w:r>
      <w:r w:rsidR="00000309" w:rsidRPr="00555746">
        <w:rPr>
          <w:sz w:val="28"/>
          <w:szCs w:val="28"/>
          <w:lang w:val="en-GB"/>
        </w:rPr>
        <w:t>,</w:t>
      </w:r>
      <w:r w:rsidR="00E56CC0" w:rsidRPr="00555746">
        <w:rPr>
          <w:sz w:val="28"/>
          <w:szCs w:val="28"/>
          <w:lang w:val="en-GB"/>
        </w:rPr>
        <w:t xml:space="preserve"> that these</w:t>
      </w:r>
      <w:r w:rsidR="00095217" w:rsidRPr="00555746">
        <w:rPr>
          <w:sz w:val="28"/>
          <w:szCs w:val="28"/>
          <w:lang w:val="en-GB"/>
        </w:rPr>
        <w:t xml:space="preserve"> other</w:t>
      </w:r>
      <w:r w:rsidR="00E56CC0" w:rsidRPr="00555746">
        <w:rPr>
          <w:sz w:val="28"/>
          <w:szCs w:val="28"/>
          <w:lang w:val="en-GB"/>
        </w:rPr>
        <w:t xml:space="preserve"> clauses were </w:t>
      </w:r>
      <w:r w:rsidR="00095217" w:rsidRPr="00555746">
        <w:rPr>
          <w:sz w:val="28"/>
          <w:szCs w:val="28"/>
          <w:lang w:val="en-GB"/>
        </w:rPr>
        <w:t xml:space="preserve">themselves, </w:t>
      </w:r>
      <w:r w:rsidR="00E56CC0" w:rsidRPr="00555746">
        <w:rPr>
          <w:sz w:val="28"/>
          <w:szCs w:val="28"/>
          <w:lang w:val="en-GB"/>
        </w:rPr>
        <w:t xml:space="preserve">contrary to public policy. </w:t>
      </w:r>
      <w:r w:rsidR="00E35A35" w:rsidRPr="00555746">
        <w:rPr>
          <w:sz w:val="28"/>
          <w:szCs w:val="28"/>
          <w:lang w:val="en-GB"/>
        </w:rPr>
        <w:t xml:space="preserve">In this </w:t>
      </w:r>
      <w:r w:rsidR="00095217" w:rsidRPr="00555746">
        <w:rPr>
          <w:sz w:val="28"/>
          <w:szCs w:val="28"/>
          <w:lang w:val="en-GB"/>
        </w:rPr>
        <w:t>C</w:t>
      </w:r>
      <w:r w:rsidR="00E35A35" w:rsidRPr="00555746">
        <w:rPr>
          <w:sz w:val="28"/>
          <w:szCs w:val="28"/>
          <w:lang w:val="en-GB"/>
        </w:rPr>
        <w:t>ourt</w:t>
      </w:r>
      <w:r w:rsidR="006126BE" w:rsidRPr="00555746">
        <w:rPr>
          <w:sz w:val="28"/>
          <w:szCs w:val="28"/>
          <w:lang w:val="en-GB"/>
        </w:rPr>
        <w:t>,</w:t>
      </w:r>
      <w:r w:rsidR="00E35A35" w:rsidRPr="00555746">
        <w:rPr>
          <w:sz w:val="28"/>
          <w:szCs w:val="28"/>
          <w:lang w:val="en-GB"/>
        </w:rPr>
        <w:t xml:space="preserve"> c</w:t>
      </w:r>
      <w:r w:rsidR="00E56CC0" w:rsidRPr="00555746">
        <w:rPr>
          <w:sz w:val="28"/>
          <w:szCs w:val="28"/>
          <w:lang w:val="en-GB"/>
        </w:rPr>
        <w:t>ounsel for G</w:t>
      </w:r>
      <w:r w:rsidR="00000309" w:rsidRPr="00555746">
        <w:rPr>
          <w:sz w:val="28"/>
          <w:szCs w:val="28"/>
          <w:lang w:val="en-GB"/>
        </w:rPr>
        <w:t xml:space="preserve">lowing </w:t>
      </w:r>
      <w:r w:rsidR="00E56CC0" w:rsidRPr="00555746">
        <w:rPr>
          <w:sz w:val="28"/>
          <w:szCs w:val="28"/>
          <w:lang w:val="en-GB"/>
        </w:rPr>
        <w:t>R</w:t>
      </w:r>
      <w:r w:rsidR="00000309" w:rsidRPr="00555746">
        <w:rPr>
          <w:sz w:val="28"/>
          <w:szCs w:val="28"/>
          <w:lang w:val="en-GB"/>
        </w:rPr>
        <w:t>ooms</w:t>
      </w:r>
      <w:r w:rsidR="003A02FC" w:rsidRPr="00555746">
        <w:rPr>
          <w:sz w:val="28"/>
          <w:szCs w:val="28"/>
          <w:lang w:val="en-GB"/>
        </w:rPr>
        <w:t xml:space="preserve"> </w:t>
      </w:r>
      <w:r w:rsidR="003307F2" w:rsidRPr="00555746">
        <w:rPr>
          <w:sz w:val="28"/>
          <w:szCs w:val="28"/>
          <w:lang w:val="en-GB"/>
        </w:rPr>
        <w:t xml:space="preserve">specifically stated </w:t>
      </w:r>
      <w:r w:rsidR="003A02FC" w:rsidRPr="00555746">
        <w:rPr>
          <w:sz w:val="28"/>
          <w:szCs w:val="28"/>
          <w:lang w:val="en-GB"/>
        </w:rPr>
        <w:t>that</w:t>
      </w:r>
      <w:r w:rsidR="00E56CC0" w:rsidRPr="00555746">
        <w:rPr>
          <w:sz w:val="28"/>
          <w:szCs w:val="28"/>
          <w:lang w:val="en-GB"/>
        </w:rPr>
        <w:t xml:space="preserve"> clause 2.1 </w:t>
      </w:r>
      <w:r w:rsidR="00E56CC0" w:rsidRPr="00555746">
        <w:rPr>
          <w:i/>
          <w:sz w:val="28"/>
          <w:szCs w:val="28"/>
          <w:lang w:val="en-GB"/>
        </w:rPr>
        <w:t>per se</w:t>
      </w:r>
      <w:r w:rsidR="00E56CC0" w:rsidRPr="00555746">
        <w:rPr>
          <w:sz w:val="28"/>
          <w:szCs w:val="28"/>
          <w:lang w:val="en-GB"/>
        </w:rPr>
        <w:t xml:space="preserve"> is </w:t>
      </w:r>
      <w:r w:rsidR="00473973" w:rsidRPr="00555746">
        <w:rPr>
          <w:sz w:val="28"/>
          <w:szCs w:val="28"/>
          <w:lang w:val="en-GB"/>
        </w:rPr>
        <w:t xml:space="preserve">not </w:t>
      </w:r>
      <w:r w:rsidR="00E56CC0" w:rsidRPr="00555746">
        <w:rPr>
          <w:sz w:val="28"/>
          <w:szCs w:val="28"/>
          <w:lang w:val="en-GB"/>
        </w:rPr>
        <w:t>unlawful and contrary to public policy</w:t>
      </w:r>
      <w:r w:rsidR="006B1FD6" w:rsidRPr="00555746">
        <w:rPr>
          <w:sz w:val="28"/>
          <w:szCs w:val="28"/>
          <w:lang w:val="en-GB"/>
        </w:rPr>
        <w:t>.</w:t>
      </w:r>
      <w:r w:rsidR="003B49BC" w:rsidRPr="00555746">
        <w:rPr>
          <w:sz w:val="28"/>
          <w:szCs w:val="28"/>
          <w:lang w:val="en-GB"/>
        </w:rPr>
        <w:t xml:space="preserve"> </w:t>
      </w:r>
      <w:r w:rsidR="003A02FC" w:rsidRPr="00555746">
        <w:rPr>
          <w:sz w:val="28"/>
          <w:szCs w:val="28"/>
          <w:lang w:val="en-GB"/>
        </w:rPr>
        <w:t>Rather</w:t>
      </w:r>
      <w:r w:rsidR="003B49BC" w:rsidRPr="00555746">
        <w:rPr>
          <w:sz w:val="28"/>
          <w:szCs w:val="28"/>
          <w:lang w:val="en-GB"/>
        </w:rPr>
        <w:t xml:space="preserve">, it </w:t>
      </w:r>
      <w:r w:rsidR="00E35A35" w:rsidRPr="00555746">
        <w:rPr>
          <w:sz w:val="28"/>
          <w:szCs w:val="28"/>
          <w:lang w:val="en-GB"/>
        </w:rPr>
        <w:t>wa</w:t>
      </w:r>
      <w:r w:rsidR="003B49BC" w:rsidRPr="00555746">
        <w:rPr>
          <w:sz w:val="28"/>
          <w:szCs w:val="28"/>
          <w:lang w:val="en-GB"/>
        </w:rPr>
        <w:t>s</w:t>
      </w:r>
      <w:r w:rsidR="00473973" w:rsidRPr="00555746">
        <w:rPr>
          <w:sz w:val="28"/>
          <w:szCs w:val="28"/>
          <w:lang w:val="en-GB"/>
        </w:rPr>
        <w:t xml:space="preserve"> </w:t>
      </w:r>
      <w:r w:rsidR="00E56CC0" w:rsidRPr="00555746">
        <w:rPr>
          <w:sz w:val="28"/>
          <w:szCs w:val="28"/>
          <w:lang w:val="en-GB"/>
        </w:rPr>
        <w:t xml:space="preserve">the interpretation and implementation thereof </w:t>
      </w:r>
      <w:r w:rsidR="00473973" w:rsidRPr="00555746">
        <w:rPr>
          <w:sz w:val="28"/>
          <w:szCs w:val="28"/>
          <w:lang w:val="en-GB"/>
        </w:rPr>
        <w:t xml:space="preserve">that </w:t>
      </w:r>
      <w:r w:rsidR="00E35A35" w:rsidRPr="00555746">
        <w:rPr>
          <w:sz w:val="28"/>
          <w:szCs w:val="28"/>
          <w:lang w:val="en-GB"/>
        </w:rPr>
        <w:t>was</w:t>
      </w:r>
      <w:r w:rsidR="00E56CC0" w:rsidRPr="00555746">
        <w:rPr>
          <w:sz w:val="28"/>
          <w:szCs w:val="28"/>
          <w:lang w:val="en-GB"/>
        </w:rPr>
        <w:t xml:space="preserve"> the fundamental problem</w:t>
      </w:r>
      <w:r w:rsidR="003307F2" w:rsidRPr="00555746">
        <w:rPr>
          <w:sz w:val="28"/>
          <w:szCs w:val="28"/>
          <w:lang w:val="en-GB"/>
        </w:rPr>
        <w:t xml:space="preserve">, thus linking the interpretation of the contract to whether it was contrary to public policy. Glowing Rooms </w:t>
      </w:r>
      <w:r w:rsidR="00E56CC0" w:rsidRPr="00555746">
        <w:rPr>
          <w:sz w:val="28"/>
          <w:szCs w:val="28"/>
          <w:lang w:val="en-GB"/>
        </w:rPr>
        <w:t>argued that a contract which provides for a unilateral right to terminate by written notice and ‘to implement a contracting party’s act of repudiation’</w:t>
      </w:r>
      <w:r w:rsidR="00D178BE" w:rsidRPr="00555746">
        <w:rPr>
          <w:sz w:val="28"/>
          <w:szCs w:val="28"/>
          <w:lang w:val="en-GB"/>
        </w:rPr>
        <w:t>,</w:t>
      </w:r>
      <w:r w:rsidR="00E56CC0" w:rsidRPr="00555746">
        <w:rPr>
          <w:sz w:val="28"/>
          <w:szCs w:val="28"/>
          <w:lang w:val="en-GB"/>
        </w:rPr>
        <w:t xml:space="preserve"> amounts to ‘abuse of a contractual right’. </w:t>
      </w:r>
      <w:r w:rsidR="00581BFF" w:rsidRPr="00555746">
        <w:rPr>
          <w:sz w:val="28"/>
          <w:szCs w:val="28"/>
          <w:lang w:val="en-GB"/>
        </w:rPr>
        <w:t>It was further argued that t</w:t>
      </w:r>
      <w:r w:rsidR="00E56CC0" w:rsidRPr="00555746">
        <w:rPr>
          <w:sz w:val="28"/>
          <w:szCs w:val="28"/>
          <w:lang w:val="en-GB"/>
        </w:rPr>
        <w:t>he Trust</w:t>
      </w:r>
      <w:r w:rsidR="00D3419D" w:rsidRPr="00555746">
        <w:rPr>
          <w:sz w:val="28"/>
          <w:szCs w:val="28"/>
          <w:lang w:val="en-GB"/>
        </w:rPr>
        <w:t>’s</w:t>
      </w:r>
      <w:r w:rsidR="00E56CC0" w:rsidRPr="00555746">
        <w:rPr>
          <w:sz w:val="28"/>
          <w:szCs w:val="28"/>
          <w:lang w:val="en-GB"/>
        </w:rPr>
        <w:t xml:space="preserve"> abuse</w:t>
      </w:r>
      <w:r w:rsidR="00D3419D" w:rsidRPr="00555746">
        <w:rPr>
          <w:sz w:val="28"/>
          <w:szCs w:val="28"/>
          <w:lang w:val="en-GB"/>
        </w:rPr>
        <w:t xml:space="preserve"> of</w:t>
      </w:r>
      <w:r w:rsidR="00E56CC0" w:rsidRPr="00555746">
        <w:rPr>
          <w:sz w:val="28"/>
          <w:szCs w:val="28"/>
          <w:lang w:val="en-GB"/>
        </w:rPr>
        <w:t xml:space="preserve"> the contractual right to further an act of repudiation or breach</w:t>
      </w:r>
      <w:r w:rsidR="00095217" w:rsidRPr="00555746">
        <w:rPr>
          <w:sz w:val="28"/>
          <w:szCs w:val="28"/>
          <w:lang w:val="en-GB"/>
        </w:rPr>
        <w:t>,</w:t>
      </w:r>
      <w:r w:rsidR="00E56CC0" w:rsidRPr="00555746">
        <w:rPr>
          <w:sz w:val="28"/>
          <w:szCs w:val="28"/>
          <w:lang w:val="en-GB"/>
        </w:rPr>
        <w:t xml:space="preserve"> is contrary to public policy.</w:t>
      </w:r>
    </w:p>
    <w:p w14:paraId="56E5EDF0" w14:textId="77777777" w:rsidR="000D3CBE" w:rsidRPr="00D07F55" w:rsidRDefault="000D3CBE" w:rsidP="006328E7">
      <w:pPr>
        <w:pStyle w:val="ListParagraph"/>
        <w:ind w:left="0"/>
        <w:rPr>
          <w:sz w:val="28"/>
          <w:szCs w:val="28"/>
        </w:rPr>
      </w:pPr>
    </w:p>
    <w:p w14:paraId="76AD2B0D" w14:textId="5539367F" w:rsidR="00F450D7" w:rsidRPr="00555746" w:rsidRDefault="00555746" w:rsidP="00555746">
      <w:pPr>
        <w:rPr>
          <w:sz w:val="28"/>
          <w:szCs w:val="28"/>
        </w:rPr>
      </w:pPr>
      <w:r w:rsidRPr="00D07F55">
        <w:rPr>
          <w:sz w:val="28"/>
          <w:szCs w:val="28"/>
        </w:rPr>
        <w:t>[22]</w:t>
      </w:r>
      <w:r w:rsidRPr="00D07F55">
        <w:rPr>
          <w:sz w:val="28"/>
          <w:szCs w:val="28"/>
        </w:rPr>
        <w:tab/>
      </w:r>
      <w:r w:rsidR="00E56CC0" w:rsidRPr="00555746">
        <w:rPr>
          <w:sz w:val="28"/>
          <w:szCs w:val="28"/>
          <w:lang w:val="en-GB"/>
        </w:rPr>
        <w:t xml:space="preserve">This argument is difficult to understand. </w:t>
      </w:r>
      <w:r w:rsidR="003307F2" w:rsidRPr="00555746">
        <w:rPr>
          <w:sz w:val="28"/>
          <w:szCs w:val="28"/>
          <w:lang w:val="en-GB"/>
        </w:rPr>
        <w:t>Our</w:t>
      </w:r>
      <w:r w:rsidR="00E56CC0" w:rsidRPr="00555746">
        <w:rPr>
          <w:sz w:val="28"/>
          <w:szCs w:val="28"/>
          <w:lang w:val="en-GB"/>
        </w:rPr>
        <w:t xml:space="preserve"> </w:t>
      </w:r>
      <w:r w:rsidR="003307F2" w:rsidRPr="00555746">
        <w:rPr>
          <w:sz w:val="28"/>
          <w:szCs w:val="28"/>
          <w:lang w:val="en-GB"/>
        </w:rPr>
        <w:t>c</w:t>
      </w:r>
      <w:r w:rsidR="00E56CC0" w:rsidRPr="00555746">
        <w:rPr>
          <w:sz w:val="28"/>
          <w:szCs w:val="28"/>
          <w:lang w:val="en-GB"/>
        </w:rPr>
        <w:t>ourt</w:t>
      </w:r>
      <w:r w:rsidR="003307F2" w:rsidRPr="00555746">
        <w:rPr>
          <w:sz w:val="28"/>
          <w:szCs w:val="28"/>
          <w:lang w:val="en-GB"/>
        </w:rPr>
        <w:t>s</w:t>
      </w:r>
      <w:r w:rsidR="00E56CC0" w:rsidRPr="00555746">
        <w:rPr>
          <w:sz w:val="28"/>
          <w:szCs w:val="28"/>
          <w:lang w:val="en-GB"/>
        </w:rPr>
        <w:t xml:space="preserve"> ha</w:t>
      </w:r>
      <w:r w:rsidR="003307F2" w:rsidRPr="00555746">
        <w:rPr>
          <w:sz w:val="28"/>
          <w:szCs w:val="28"/>
          <w:lang w:val="en-GB"/>
        </w:rPr>
        <w:t>ve</w:t>
      </w:r>
      <w:r w:rsidR="00E56CC0" w:rsidRPr="00555746">
        <w:rPr>
          <w:sz w:val="28"/>
          <w:szCs w:val="28"/>
          <w:lang w:val="en-GB"/>
        </w:rPr>
        <w:t xml:space="preserve"> repeatedly </w:t>
      </w:r>
      <w:r w:rsidR="003307F2" w:rsidRPr="00555746">
        <w:rPr>
          <w:sz w:val="28"/>
          <w:szCs w:val="28"/>
          <w:lang w:val="en-GB"/>
        </w:rPr>
        <w:t>confirmed</w:t>
      </w:r>
      <w:r w:rsidR="00E56CC0" w:rsidRPr="00555746">
        <w:rPr>
          <w:sz w:val="28"/>
          <w:szCs w:val="28"/>
          <w:lang w:val="en-GB"/>
        </w:rPr>
        <w:t xml:space="preserve"> that public policy demands that contracts freely and consciously entered </w:t>
      </w:r>
      <w:r w:rsidR="00EC1B6D" w:rsidRPr="00555746">
        <w:rPr>
          <w:sz w:val="28"/>
          <w:szCs w:val="28"/>
          <w:lang w:val="en-GB"/>
        </w:rPr>
        <w:t xml:space="preserve">into </w:t>
      </w:r>
      <w:r w:rsidR="00E56CC0" w:rsidRPr="00555746">
        <w:rPr>
          <w:sz w:val="28"/>
          <w:szCs w:val="28"/>
          <w:lang w:val="en-GB"/>
        </w:rPr>
        <w:t>must be honoured.</w:t>
      </w:r>
      <w:r w:rsidR="00E56CC0" w:rsidRPr="00D07F55">
        <w:rPr>
          <w:vertAlign w:val="superscript"/>
          <w:lang w:val="en-GB"/>
        </w:rPr>
        <w:footnoteReference w:id="5"/>
      </w:r>
      <w:r w:rsidR="00E56CC0" w:rsidRPr="00555746">
        <w:rPr>
          <w:sz w:val="28"/>
          <w:szCs w:val="28"/>
          <w:lang w:val="en-GB"/>
        </w:rPr>
        <w:t xml:space="preserve"> The principle of </w:t>
      </w:r>
      <w:r w:rsidR="00E56CC0" w:rsidRPr="00555746">
        <w:rPr>
          <w:i/>
          <w:iCs/>
          <w:sz w:val="28"/>
          <w:szCs w:val="28"/>
          <w:lang w:val="en-GB"/>
        </w:rPr>
        <w:t>pacta sunt servanda</w:t>
      </w:r>
      <w:r w:rsidR="00E56CC0" w:rsidRPr="00555746">
        <w:rPr>
          <w:sz w:val="28"/>
          <w:szCs w:val="28"/>
          <w:lang w:val="en-GB"/>
        </w:rPr>
        <w:t xml:space="preserve"> (agreements must be kept) gives effect to ‘central constitutional values of freedom and dignity’. The qualification is that</w:t>
      </w:r>
      <w:r w:rsidR="00EC1B6D" w:rsidRPr="00555746">
        <w:rPr>
          <w:sz w:val="28"/>
          <w:szCs w:val="28"/>
          <w:lang w:val="en-GB"/>
        </w:rPr>
        <w:t>,</w:t>
      </w:r>
      <w:r w:rsidR="00E56CC0" w:rsidRPr="00555746">
        <w:rPr>
          <w:sz w:val="28"/>
          <w:szCs w:val="28"/>
          <w:lang w:val="en-GB"/>
        </w:rPr>
        <w:t xml:space="preserve"> in our constitutional dispensation</w:t>
      </w:r>
      <w:r w:rsidR="00EC1B6D" w:rsidRPr="00555746">
        <w:rPr>
          <w:sz w:val="28"/>
          <w:szCs w:val="28"/>
          <w:lang w:val="en-GB"/>
        </w:rPr>
        <w:t>,</w:t>
      </w:r>
      <w:r w:rsidR="00E56CC0" w:rsidRPr="00555746">
        <w:rPr>
          <w:sz w:val="28"/>
          <w:szCs w:val="28"/>
          <w:lang w:val="en-GB"/>
        </w:rPr>
        <w:t xml:space="preserve"> it is not the only principle to be applied</w:t>
      </w:r>
      <w:r w:rsidR="00F640FC" w:rsidRPr="00555746">
        <w:rPr>
          <w:sz w:val="28"/>
          <w:szCs w:val="28"/>
          <w:lang w:val="en-GB"/>
        </w:rPr>
        <w:t>.</w:t>
      </w:r>
      <w:r w:rsidR="00E56CC0" w:rsidRPr="00555746">
        <w:rPr>
          <w:sz w:val="28"/>
          <w:szCs w:val="28"/>
          <w:lang w:val="en-GB"/>
        </w:rPr>
        <w:t xml:space="preserve"> </w:t>
      </w:r>
      <w:r w:rsidR="00F640FC" w:rsidRPr="00555746">
        <w:rPr>
          <w:sz w:val="28"/>
          <w:szCs w:val="28"/>
          <w:lang w:val="en-GB"/>
        </w:rPr>
        <w:t>Fu</w:t>
      </w:r>
      <w:r w:rsidR="006C0908" w:rsidRPr="00555746">
        <w:rPr>
          <w:sz w:val="28"/>
          <w:szCs w:val="28"/>
          <w:lang w:val="en-GB"/>
        </w:rPr>
        <w:t>r</w:t>
      </w:r>
      <w:r w:rsidR="00F640FC" w:rsidRPr="00555746">
        <w:rPr>
          <w:sz w:val="28"/>
          <w:szCs w:val="28"/>
          <w:lang w:val="en-GB"/>
        </w:rPr>
        <w:t>thermore,</w:t>
      </w:r>
      <w:r w:rsidR="00E56CC0" w:rsidRPr="00555746">
        <w:rPr>
          <w:sz w:val="28"/>
          <w:szCs w:val="28"/>
          <w:lang w:val="en-GB"/>
        </w:rPr>
        <w:t xml:space="preserve"> where constitutional rights and values are implicated</w:t>
      </w:r>
      <w:r w:rsidR="006C0908" w:rsidRPr="00555746">
        <w:rPr>
          <w:sz w:val="28"/>
          <w:szCs w:val="28"/>
          <w:lang w:val="en-GB"/>
        </w:rPr>
        <w:t>,</w:t>
      </w:r>
      <w:r w:rsidR="00E56CC0" w:rsidRPr="00555746">
        <w:rPr>
          <w:sz w:val="28"/>
          <w:szCs w:val="28"/>
          <w:lang w:val="en-GB"/>
        </w:rPr>
        <w:t xml:space="preserve"> there </w:t>
      </w:r>
      <w:r w:rsidR="00E56CC0" w:rsidRPr="00555746">
        <w:rPr>
          <w:sz w:val="28"/>
          <w:szCs w:val="28"/>
          <w:lang w:val="en-GB"/>
        </w:rPr>
        <w:lastRenderedPageBreak/>
        <w:t xml:space="preserve">must be </w:t>
      </w:r>
      <w:r w:rsidR="00006FDD" w:rsidRPr="00555746">
        <w:rPr>
          <w:sz w:val="28"/>
          <w:szCs w:val="28"/>
          <w:lang w:val="en-GB"/>
        </w:rPr>
        <w:t xml:space="preserve">a </w:t>
      </w:r>
      <w:r w:rsidR="00E56CC0" w:rsidRPr="00555746">
        <w:rPr>
          <w:sz w:val="28"/>
          <w:szCs w:val="28"/>
          <w:lang w:val="en-GB"/>
        </w:rPr>
        <w:t>careful balancing act</w:t>
      </w:r>
      <w:r w:rsidR="00006FDD" w:rsidRPr="00555746">
        <w:rPr>
          <w:sz w:val="28"/>
          <w:szCs w:val="28"/>
          <w:lang w:val="en-GB"/>
        </w:rPr>
        <w:t>.</w:t>
      </w:r>
      <w:r w:rsidR="00E56CC0" w:rsidRPr="00D07F55">
        <w:rPr>
          <w:vertAlign w:val="superscript"/>
          <w:lang w:val="en-GB"/>
        </w:rPr>
        <w:footnoteReference w:id="6"/>
      </w:r>
      <w:r w:rsidR="00E56CC0" w:rsidRPr="00555746">
        <w:rPr>
          <w:sz w:val="28"/>
          <w:szCs w:val="28"/>
          <w:lang w:val="en-GB"/>
        </w:rPr>
        <w:t xml:space="preserve"> While there is recognition of the role of equity (encompassing the notions of good faith, fairness and reasonableness)</w:t>
      </w:r>
      <w:r w:rsidR="00557032" w:rsidRPr="00555746">
        <w:rPr>
          <w:sz w:val="28"/>
          <w:szCs w:val="28"/>
          <w:lang w:val="en-GB"/>
        </w:rPr>
        <w:t>,</w:t>
      </w:r>
      <w:r w:rsidR="00E56CC0" w:rsidRPr="00555746">
        <w:rPr>
          <w:sz w:val="28"/>
          <w:szCs w:val="28"/>
          <w:lang w:val="en-GB"/>
        </w:rPr>
        <w:t xml:space="preserve"> as a factor in assessing the terms and enforcement of a contract, it has been emphasised that a court cannot refuse to enforce contractual provisions </w:t>
      </w:r>
      <w:r w:rsidR="00923928" w:rsidRPr="00555746">
        <w:rPr>
          <w:sz w:val="28"/>
          <w:szCs w:val="28"/>
          <w:lang w:val="en-GB"/>
        </w:rPr>
        <w:t xml:space="preserve">on the basis that </w:t>
      </w:r>
      <w:r w:rsidR="00E56CC0" w:rsidRPr="00555746">
        <w:rPr>
          <w:sz w:val="28"/>
          <w:szCs w:val="28"/>
          <w:lang w:val="en-GB"/>
        </w:rPr>
        <w:t>to do so would be unfair, unreasonable or unduly harsh.</w:t>
      </w:r>
      <w:r w:rsidR="00E56CC0" w:rsidRPr="00D07F55">
        <w:rPr>
          <w:vertAlign w:val="superscript"/>
          <w:lang w:val="en-GB"/>
        </w:rPr>
        <w:footnoteReference w:id="7"/>
      </w:r>
      <w:r w:rsidR="003307F2" w:rsidRPr="00555746">
        <w:rPr>
          <w:sz w:val="28"/>
          <w:szCs w:val="28"/>
          <w:lang w:val="en-GB"/>
        </w:rPr>
        <w:t xml:space="preserve"> </w:t>
      </w:r>
    </w:p>
    <w:p w14:paraId="45C3736C" w14:textId="77777777" w:rsidR="003307F2" w:rsidRPr="00D07F55" w:rsidRDefault="003307F2" w:rsidP="003307F2">
      <w:pPr>
        <w:pStyle w:val="ListParagraph"/>
        <w:ind w:left="0"/>
        <w:rPr>
          <w:sz w:val="28"/>
          <w:szCs w:val="28"/>
        </w:rPr>
      </w:pPr>
    </w:p>
    <w:p w14:paraId="28E88DD2" w14:textId="484D190C" w:rsidR="001505BE" w:rsidRPr="00555746" w:rsidRDefault="00555746" w:rsidP="00555746">
      <w:pPr>
        <w:rPr>
          <w:sz w:val="28"/>
          <w:szCs w:val="28"/>
        </w:rPr>
      </w:pPr>
      <w:r w:rsidRPr="00D07F55">
        <w:rPr>
          <w:sz w:val="28"/>
          <w:szCs w:val="28"/>
        </w:rPr>
        <w:t>[23]</w:t>
      </w:r>
      <w:r w:rsidRPr="00D07F55">
        <w:rPr>
          <w:sz w:val="28"/>
          <w:szCs w:val="28"/>
        </w:rPr>
        <w:tab/>
      </w:r>
      <w:r w:rsidR="00F3015E" w:rsidRPr="00555746">
        <w:rPr>
          <w:sz w:val="28"/>
          <w:szCs w:val="28"/>
          <w:lang w:val="en-GB"/>
        </w:rPr>
        <w:t>In our present contractual regime</w:t>
      </w:r>
      <w:r w:rsidR="00835A63" w:rsidRPr="00555746">
        <w:rPr>
          <w:sz w:val="28"/>
          <w:szCs w:val="28"/>
          <w:lang w:val="en-GB"/>
        </w:rPr>
        <w:t>,</w:t>
      </w:r>
      <w:r w:rsidR="00F3015E" w:rsidRPr="00555746">
        <w:rPr>
          <w:sz w:val="28"/>
          <w:szCs w:val="28"/>
          <w:lang w:val="en-GB"/>
        </w:rPr>
        <w:t xml:space="preserve"> the starting point is that a contracting party is entitled </w:t>
      </w:r>
      <w:r w:rsidR="00557032" w:rsidRPr="00555746">
        <w:rPr>
          <w:sz w:val="28"/>
          <w:szCs w:val="28"/>
          <w:lang w:val="en-GB"/>
        </w:rPr>
        <w:t xml:space="preserve">to </w:t>
      </w:r>
      <w:r w:rsidR="00F3015E" w:rsidRPr="00555746">
        <w:rPr>
          <w:sz w:val="28"/>
          <w:szCs w:val="28"/>
          <w:lang w:val="en-GB"/>
        </w:rPr>
        <w:t>specific performance o</w:t>
      </w:r>
      <w:r w:rsidR="00737ECA" w:rsidRPr="00555746">
        <w:rPr>
          <w:sz w:val="28"/>
          <w:szCs w:val="28"/>
          <w:lang w:val="en-GB"/>
        </w:rPr>
        <w:t>f</w:t>
      </w:r>
      <w:r w:rsidR="00F3015E" w:rsidRPr="00555746">
        <w:rPr>
          <w:sz w:val="28"/>
          <w:szCs w:val="28"/>
          <w:lang w:val="en-GB"/>
        </w:rPr>
        <w:t xml:space="preserve"> any contractual right. Notions of good faith and fairness have not been elevated to substantive rules of contract. While </w:t>
      </w:r>
      <w:r w:rsidR="00D823BD" w:rsidRPr="00555746">
        <w:rPr>
          <w:sz w:val="28"/>
          <w:szCs w:val="28"/>
          <w:lang w:val="en-GB"/>
        </w:rPr>
        <w:t xml:space="preserve">these </w:t>
      </w:r>
      <w:r w:rsidR="00F3015E" w:rsidRPr="00555746">
        <w:rPr>
          <w:sz w:val="28"/>
          <w:szCs w:val="28"/>
          <w:lang w:val="en-GB"/>
        </w:rPr>
        <w:t>values play an important role in our law of contract, they do not provide a free-standing basis on which a court may interfere in contractual relationships. It is only where a term is so unfair, unreasonable or unjust that it is contrary to public policy that a court may refuse to enforce it.</w:t>
      </w:r>
      <w:r w:rsidR="00F3015E" w:rsidRPr="00D07F55">
        <w:rPr>
          <w:vertAlign w:val="superscript"/>
          <w:lang w:val="en-GB"/>
        </w:rPr>
        <w:footnoteReference w:id="8"/>
      </w:r>
      <w:r w:rsidR="003307F2" w:rsidRPr="00555746">
        <w:rPr>
          <w:sz w:val="28"/>
          <w:szCs w:val="28"/>
          <w:vertAlign w:val="superscript"/>
          <w:lang w:val="en-GB"/>
        </w:rPr>
        <w:t xml:space="preserve"> </w:t>
      </w:r>
      <w:r w:rsidR="003307F2" w:rsidRPr="00555746">
        <w:rPr>
          <w:sz w:val="28"/>
          <w:szCs w:val="28"/>
          <w:lang w:val="en-GB"/>
        </w:rPr>
        <w:t>This Court has held that to coerce a lessor to conclude a lease agreement with a party it no longer wants as a tenant would be contrary to public policy.</w:t>
      </w:r>
      <w:r w:rsidR="003307F2" w:rsidRPr="00D07F55">
        <w:rPr>
          <w:rStyle w:val="FootnoteReference"/>
          <w:sz w:val="28"/>
          <w:szCs w:val="28"/>
          <w:lang w:val="en-GB"/>
        </w:rPr>
        <w:footnoteReference w:id="9"/>
      </w:r>
      <w:r w:rsidR="006139F5" w:rsidRPr="00555746">
        <w:rPr>
          <w:sz w:val="28"/>
          <w:szCs w:val="28"/>
          <w:lang w:val="en-GB"/>
        </w:rPr>
        <w:t xml:space="preserve"> </w:t>
      </w:r>
    </w:p>
    <w:p w14:paraId="7C956DC1" w14:textId="77777777" w:rsidR="001505BE" w:rsidRPr="00D07F55" w:rsidRDefault="001505BE" w:rsidP="007D3619">
      <w:pPr>
        <w:rPr>
          <w:sz w:val="28"/>
          <w:szCs w:val="28"/>
        </w:rPr>
      </w:pPr>
    </w:p>
    <w:p w14:paraId="10B17EE5" w14:textId="45D01529" w:rsidR="00F450D7" w:rsidRPr="00555746" w:rsidRDefault="00555746" w:rsidP="00555746">
      <w:pPr>
        <w:rPr>
          <w:sz w:val="28"/>
          <w:szCs w:val="28"/>
        </w:rPr>
      </w:pPr>
      <w:r w:rsidRPr="00D07F55">
        <w:rPr>
          <w:sz w:val="28"/>
          <w:szCs w:val="28"/>
        </w:rPr>
        <w:t>[24]</w:t>
      </w:r>
      <w:r w:rsidRPr="00D07F55">
        <w:rPr>
          <w:sz w:val="28"/>
          <w:szCs w:val="28"/>
        </w:rPr>
        <w:tab/>
      </w:r>
      <w:r w:rsidR="00F3015E" w:rsidRPr="00555746">
        <w:rPr>
          <w:sz w:val="28"/>
          <w:szCs w:val="28"/>
          <w:lang w:val="en-GB"/>
        </w:rPr>
        <w:t xml:space="preserve">Applying the above principles to </w:t>
      </w:r>
      <w:r w:rsidR="003307F2" w:rsidRPr="00555746">
        <w:rPr>
          <w:sz w:val="28"/>
          <w:szCs w:val="28"/>
          <w:lang w:val="en-GB"/>
        </w:rPr>
        <w:t xml:space="preserve">the facts of </w:t>
      </w:r>
      <w:r w:rsidR="00F3015E" w:rsidRPr="00555746">
        <w:rPr>
          <w:sz w:val="28"/>
          <w:szCs w:val="28"/>
          <w:lang w:val="en-GB"/>
        </w:rPr>
        <w:t>this case, G</w:t>
      </w:r>
      <w:r w:rsidR="000A0790" w:rsidRPr="00555746">
        <w:rPr>
          <w:sz w:val="28"/>
          <w:szCs w:val="28"/>
          <w:lang w:val="en-GB"/>
        </w:rPr>
        <w:t xml:space="preserve">lowing </w:t>
      </w:r>
      <w:r w:rsidR="00F3015E" w:rsidRPr="00555746">
        <w:rPr>
          <w:sz w:val="28"/>
          <w:szCs w:val="28"/>
          <w:lang w:val="en-GB"/>
        </w:rPr>
        <w:t>R</w:t>
      </w:r>
      <w:r w:rsidR="000A0790" w:rsidRPr="00555746">
        <w:rPr>
          <w:sz w:val="28"/>
          <w:szCs w:val="28"/>
          <w:lang w:val="en-GB"/>
        </w:rPr>
        <w:t>ooms</w:t>
      </w:r>
      <w:r w:rsidR="00F3015E" w:rsidRPr="00555746">
        <w:rPr>
          <w:sz w:val="28"/>
          <w:szCs w:val="28"/>
          <w:lang w:val="en-GB"/>
        </w:rPr>
        <w:t xml:space="preserve"> voluntarily entered into a commercial lease in 2016. It was renewed in 2019 and, as was</w:t>
      </w:r>
      <w:r w:rsidR="00473973" w:rsidRPr="00555746">
        <w:rPr>
          <w:sz w:val="28"/>
          <w:szCs w:val="28"/>
          <w:lang w:val="en-GB"/>
        </w:rPr>
        <w:t xml:space="preserve"> successfully argued by Glowing Rooms </w:t>
      </w:r>
      <w:r w:rsidR="00F3015E" w:rsidRPr="00555746">
        <w:rPr>
          <w:sz w:val="28"/>
          <w:szCs w:val="28"/>
          <w:lang w:val="en-GB"/>
        </w:rPr>
        <w:t xml:space="preserve">in the first </w:t>
      </w:r>
      <w:r w:rsidR="00473973" w:rsidRPr="00555746">
        <w:rPr>
          <w:sz w:val="28"/>
          <w:szCs w:val="28"/>
          <w:lang w:val="en-GB"/>
        </w:rPr>
        <w:t xml:space="preserve">eviction </w:t>
      </w:r>
      <w:r w:rsidR="00F3015E" w:rsidRPr="00555746">
        <w:rPr>
          <w:sz w:val="28"/>
          <w:szCs w:val="28"/>
          <w:lang w:val="en-GB"/>
        </w:rPr>
        <w:t xml:space="preserve">application, it was renewed yet again. </w:t>
      </w:r>
      <w:r w:rsidR="006139F5" w:rsidRPr="00555746">
        <w:rPr>
          <w:sz w:val="28"/>
          <w:szCs w:val="28"/>
          <w:lang w:val="en-GB"/>
        </w:rPr>
        <w:t xml:space="preserve">Clause 2.1 featured in all the agreements. </w:t>
      </w:r>
      <w:r w:rsidR="00F3015E" w:rsidRPr="00555746">
        <w:rPr>
          <w:sz w:val="28"/>
          <w:szCs w:val="28"/>
          <w:lang w:val="en-GB"/>
        </w:rPr>
        <w:t>At no point did G</w:t>
      </w:r>
      <w:r w:rsidR="000A0790" w:rsidRPr="00555746">
        <w:rPr>
          <w:sz w:val="28"/>
          <w:szCs w:val="28"/>
          <w:lang w:val="en-GB"/>
        </w:rPr>
        <w:t xml:space="preserve">lowing </w:t>
      </w:r>
      <w:r w:rsidR="00F3015E" w:rsidRPr="00555746">
        <w:rPr>
          <w:sz w:val="28"/>
          <w:szCs w:val="28"/>
          <w:lang w:val="en-GB"/>
        </w:rPr>
        <w:t>R</w:t>
      </w:r>
      <w:r w:rsidR="000A0790" w:rsidRPr="00555746">
        <w:rPr>
          <w:sz w:val="28"/>
          <w:szCs w:val="28"/>
          <w:lang w:val="en-GB"/>
        </w:rPr>
        <w:t>ooms</w:t>
      </w:r>
      <w:r w:rsidR="00F3015E" w:rsidRPr="00555746">
        <w:rPr>
          <w:sz w:val="28"/>
          <w:szCs w:val="28"/>
          <w:lang w:val="en-GB"/>
        </w:rPr>
        <w:t xml:space="preserve"> object to </w:t>
      </w:r>
      <w:r w:rsidR="006139F5" w:rsidRPr="00555746">
        <w:rPr>
          <w:sz w:val="28"/>
          <w:szCs w:val="28"/>
          <w:lang w:val="en-GB"/>
        </w:rPr>
        <w:t xml:space="preserve">the inclusion of the </w:t>
      </w:r>
      <w:r w:rsidR="00F3015E" w:rsidRPr="00555746">
        <w:rPr>
          <w:sz w:val="28"/>
          <w:szCs w:val="28"/>
          <w:lang w:val="en-GB"/>
        </w:rPr>
        <w:t>clause</w:t>
      </w:r>
      <w:r w:rsidR="006139F5" w:rsidRPr="00555746">
        <w:rPr>
          <w:sz w:val="28"/>
          <w:szCs w:val="28"/>
          <w:lang w:val="en-GB"/>
        </w:rPr>
        <w:t>,</w:t>
      </w:r>
      <w:r w:rsidR="00F3015E" w:rsidRPr="00555746">
        <w:rPr>
          <w:sz w:val="28"/>
          <w:szCs w:val="28"/>
          <w:lang w:val="en-GB"/>
        </w:rPr>
        <w:t xml:space="preserve"> on the grounds that it was too onerous or in any manner unfair. It accepted all the clauses of </w:t>
      </w:r>
      <w:r w:rsidR="000A0790" w:rsidRPr="00555746">
        <w:rPr>
          <w:sz w:val="28"/>
          <w:szCs w:val="28"/>
          <w:lang w:val="en-GB"/>
        </w:rPr>
        <w:t xml:space="preserve">the </w:t>
      </w:r>
      <w:r w:rsidR="00F3015E" w:rsidRPr="00555746">
        <w:rPr>
          <w:sz w:val="28"/>
          <w:szCs w:val="28"/>
          <w:lang w:val="en-GB"/>
        </w:rPr>
        <w:t xml:space="preserve">lease agreement </w:t>
      </w:r>
      <w:r w:rsidR="00F3015E" w:rsidRPr="00555746">
        <w:rPr>
          <w:sz w:val="28"/>
          <w:szCs w:val="28"/>
          <w:lang w:val="en-GB"/>
        </w:rPr>
        <w:lastRenderedPageBreak/>
        <w:t xml:space="preserve">without demur. </w:t>
      </w:r>
      <w:r w:rsidR="00252D87" w:rsidRPr="00555746">
        <w:rPr>
          <w:sz w:val="28"/>
          <w:szCs w:val="28"/>
          <w:lang w:val="en-GB"/>
        </w:rPr>
        <w:t>It was not disputed that t</w:t>
      </w:r>
      <w:r w:rsidR="002C7213" w:rsidRPr="00555746">
        <w:rPr>
          <w:sz w:val="28"/>
          <w:szCs w:val="28"/>
          <w:lang w:val="en-GB"/>
        </w:rPr>
        <w:t xml:space="preserve">he case it advanced in the first eviction application was that the lease agreement should be accepted in all its terms. </w:t>
      </w:r>
      <w:r w:rsidR="00F3015E" w:rsidRPr="00555746">
        <w:rPr>
          <w:sz w:val="28"/>
          <w:szCs w:val="28"/>
          <w:lang w:val="en-GB"/>
        </w:rPr>
        <w:t>It is not open to G</w:t>
      </w:r>
      <w:r w:rsidR="000A0790" w:rsidRPr="00555746">
        <w:rPr>
          <w:sz w:val="28"/>
          <w:szCs w:val="28"/>
          <w:lang w:val="en-GB"/>
        </w:rPr>
        <w:t xml:space="preserve">lowing </w:t>
      </w:r>
      <w:r w:rsidR="00F3015E" w:rsidRPr="00555746">
        <w:rPr>
          <w:sz w:val="28"/>
          <w:szCs w:val="28"/>
          <w:lang w:val="en-GB"/>
        </w:rPr>
        <w:t>R</w:t>
      </w:r>
      <w:r w:rsidR="000A0790" w:rsidRPr="00555746">
        <w:rPr>
          <w:sz w:val="28"/>
          <w:szCs w:val="28"/>
          <w:lang w:val="en-GB"/>
        </w:rPr>
        <w:t>ooms</w:t>
      </w:r>
      <w:r w:rsidR="00F3015E" w:rsidRPr="00555746">
        <w:rPr>
          <w:sz w:val="28"/>
          <w:szCs w:val="28"/>
          <w:lang w:val="en-GB"/>
        </w:rPr>
        <w:t xml:space="preserve"> now to a</w:t>
      </w:r>
      <w:r w:rsidR="00473973" w:rsidRPr="00555746">
        <w:rPr>
          <w:sz w:val="28"/>
          <w:szCs w:val="28"/>
          <w:lang w:val="en-GB"/>
        </w:rPr>
        <w:t>ssert</w:t>
      </w:r>
      <w:r w:rsidR="00F3015E" w:rsidRPr="00555746">
        <w:rPr>
          <w:sz w:val="28"/>
          <w:szCs w:val="28"/>
          <w:lang w:val="en-GB"/>
        </w:rPr>
        <w:t xml:space="preserve"> that the exercise of the terms of the </w:t>
      </w:r>
      <w:r w:rsidR="002C7213" w:rsidRPr="00555746">
        <w:rPr>
          <w:sz w:val="28"/>
          <w:szCs w:val="28"/>
          <w:lang w:val="en-GB"/>
        </w:rPr>
        <w:t>lease agreement</w:t>
      </w:r>
      <w:r w:rsidR="00F3015E" w:rsidRPr="00555746">
        <w:rPr>
          <w:sz w:val="28"/>
          <w:szCs w:val="28"/>
          <w:lang w:val="en-GB"/>
        </w:rPr>
        <w:t xml:space="preserve"> </w:t>
      </w:r>
      <w:r w:rsidR="00906865" w:rsidRPr="00555746">
        <w:rPr>
          <w:sz w:val="28"/>
          <w:szCs w:val="28"/>
          <w:lang w:val="en-GB"/>
        </w:rPr>
        <w:t>is</w:t>
      </w:r>
      <w:r w:rsidR="00F3015E" w:rsidRPr="00555746">
        <w:rPr>
          <w:sz w:val="28"/>
          <w:szCs w:val="28"/>
          <w:lang w:val="en-GB"/>
        </w:rPr>
        <w:t xml:space="preserve"> contrary to public policy and therefore of no force and effect. </w:t>
      </w:r>
      <w:r w:rsidR="00711AD7" w:rsidRPr="00555746">
        <w:rPr>
          <w:sz w:val="28"/>
          <w:szCs w:val="28"/>
          <w:lang w:val="en-GB"/>
        </w:rPr>
        <w:t>Despite Glowing Rooms’ averment that the eviction constitutes an unlawful infringement of their constitutional right to ‘practice [their] trade and occupation as business persons’, t</w:t>
      </w:r>
      <w:r w:rsidR="00F3015E" w:rsidRPr="00555746">
        <w:rPr>
          <w:sz w:val="28"/>
          <w:szCs w:val="28"/>
          <w:lang w:val="en-GB"/>
        </w:rPr>
        <w:t>his is a purely commercial lease</w:t>
      </w:r>
      <w:r w:rsidR="00711AD7" w:rsidRPr="00555746">
        <w:rPr>
          <w:sz w:val="28"/>
          <w:szCs w:val="28"/>
          <w:lang w:val="en-GB"/>
        </w:rPr>
        <w:t>. T</w:t>
      </w:r>
      <w:r w:rsidR="00F3015E" w:rsidRPr="00555746">
        <w:rPr>
          <w:sz w:val="28"/>
          <w:szCs w:val="28"/>
          <w:lang w:val="en-GB"/>
        </w:rPr>
        <w:t>here is no element of contractual oppression or disproportionate bargaining power</w:t>
      </w:r>
      <w:r w:rsidR="002C7213" w:rsidRPr="00555746">
        <w:rPr>
          <w:sz w:val="28"/>
          <w:szCs w:val="28"/>
          <w:lang w:val="en-GB"/>
        </w:rPr>
        <w:t>. There are</w:t>
      </w:r>
      <w:r w:rsidR="00711AD7" w:rsidRPr="00555746">
        <w:rPr>
          <w:sz w:val="28"/>
          <w:szCs w:val="28"/>
          <w:lang w:val="en-GB"/>
        </w:rPr>
        <w:t xml:space="preserve"> no grounds for finding that clause 2.1 is contrary to public policy.</w:t>
      </w:r>
      <w:r w:rsidR="00473973" w:rsidRPr="00555746">
        <w:rPr>
          <w:sz w:val="28"/>
          <w:szCs w:val="28"/>
          <w:lang w:val="en-GB"/>
        </w:rPr>
        <w:t xml:space="preserve"> </w:t>
      </w:r>
    </w:p>
    <w:p w14:paraId="4197A4F4" w14:textId="77777777" w:rsidR="00870DD8" w:rsidRPr="00D07F55" w:rsidRDefault="00870DD8" w:rsidP="00AF7C78">
      <w:pPr>
        <w:rPr>
          <w:sz w:val="28"/>
          <w:szCs w:val="28"/>
        </w:rPr>
      </w:pPr>
    </w:p>
    <w:p w14:paraId="044C15B8" w14:textId="4A1F4FF3" w:rsidR="00FF5350" w:rsidRPr="00555746" w:rsidRDefault="00555746" w:rsidP="00555746">
      <w:pPr>
        <w:rPr>
          <w:sz w:val="28"/>
          <w:szCs w:val="28"/>
          <w:lang w:val="en-GB"/>
        </w:rPr>
      </w:pPr>
      <w:r w:rsidRPr="00D07F55">
        <w:rPr>
          <w:sz w:val="28"/>
          <w:szCs w:val="28"/>
          <w:lang w:val="en-GB"/>
        </w:rPr>
        <w:t>[25]</w:t>
      </w:r>
      <w:r w:rsidRPr="00D07F55">
        <w:rPr>
          <w:sz w:val="28"/>
          <w:szCs w:val="28"/>
          <w:lang w:val="en-GB"/>
        </w:rPr>
        <w:tab/>
      </w:r>
      <w:r w:rsidR="00AA0A0F" w:rsidRPr="00555746">
        <w:rPr>
          <w:sz w:val="28"/>
          <w:szCs w:val="28"/>
          <w:lang w:val="en-GB"/>
        </w:rPr>
        <w:t>On the aspect of good faith, G</w:t>
      </w:r>
      <w:r w:rsidR="00D74D6A" w:rsidRPr="00555746">
        <w:rPr>
          <w:sz w:val="28"/>
          <w:szCs w:val="28"/>
          <w:lang w:val="en-GB"/>
        </w:rPr>
        <w:t xml:space="preserve">lowing </w:t>
      </w:r>
      <w:r w:rsidR="00AA0A0F" w:rsidRPr="00555746">
        <w:rPr>
          <w:sz w:val="28"/>
          <w:szCs w:val="28"/>
          <w:lang w:val="en-GB"/>
        </w:rPr>
        <w:t>R</w:t>
      </w:r>
      <w:r w:rsidR="00D74D6A" w:rsidRPr="00555746">
        <w:rPr>
          <w:sz w:val="28"/>
          <w:szCs w:val="28"/>
          <w:lang w:val="en-GB"/>
        </w:rPr>
        <w:t>ooms</w:t>
      </w:r>
      <w:r w:rsidR="00AA0A0F" w:rsidRPr="00555746">
        <w:rPr>
          <w:sz w:val="28"/>
          <w:szCs w:val="28"/>
          <w:lang w:val="en-GB"/>
        </w:rPr>
        <w:t xml:space="preserve"> contends that where a lease agreement provides that the lessor has the unilateral right to terminate the lease</w:t>
      </w:r>
      <w:r w:rsidR="00D74D6A" w:rsidRPr="00555746">
        <w:rPr>
          <w:sz w:val="28"/>
          <w:szCs w:val="28"/>
          <w:lang w:val="en-GB"/>
        </w:rPr>
        <w:t>,</w:t>
      </w:r>
      <w:r w:rsidR="00AA0A0F" w:rsidRPr="00555746">
        <w:rPr>
          <w:sz w:val="28"/>
          <w:szCs w:val="28"/>
          <w:lang w:val="en-GB"/>
        </w:rPr>
        <w:t xml:space="preserve"> this should give rise to a duty to negotiate in good faith. Such </w:t>
      </w:r>
      <w:r w:rsidR="002C7213" w:rsidRPr="00555746">
        <w:rPr>
          <w:sz w:val="28"/>
          <w:szCs w:val="28"/>
          <w:lang w:val="en-GB"/>
        </w:rPr>
        <w:t xml:space="preserve">a </w:t>
      </w:r>
      <w:r w:rsidR="00AA0A0F" w:rsidRPr="00555746">
        <w:rPr>
          <w:sz w:val="28"/>
          <w:szCs w:val="28"/>
          <w:lang w:val="en-GB"/>
        </w:rPr>
        <w:t>duty</w:t>
      </w:r>
      <w:r w:rsidR="007A303F" w:rsidRPr="00555746">
        <w:rPr>
          <w:sz w:val="28"/>
          <w:szCs w:val="28"/>
          <w:lang w:val="en-GB"/>
        </w:rPr>
        <w:t>,</w:t>
      </w:r>
      <w:r w:rsidR="00AA0A0F" w:rsidRPr="00555746">
        <w:rPr>
          <w:sz w:val="28"/>
          <w:szCs w:val="28"/>
          <w:lang w:val="en-GB"/>
        </w:rPr>
        <w:t xml:space="preserve"> as a bare minimum</w:t>
      </w:r>
      <w:r w:rsidR="007A303F" w:rsidRPr="00555746">
        <w:rPr>
          <w:sz w:val="28"/>
          <w:szCs w:val="28"/>
          <w:lang w:val="en-GB"/>
        </w:rPr>
        <w:t>,</w:t>
      </w:r>
      <w:r w:rsidR="00AA0A0F" w:rsidRPr="00555746">
        <w:rPr>
          <w:sz w:val="28"/>
          <w:szCs w:val="28"/>
          <w:lang w:val="en-GB"/>
        </w:rPr>
        <w:t xml:space="preserve"> should preclude a party from purporting to unilaterally cancel without first presenting a formal written lease agreement for acceptance. G</w:t>
      </w:r>
      <w:r w:rsidR="007A303F" w:rsidRPr="00555746">
        <w:rPr>
          <w:sz w:val="28"/>
          <w:szCs w:val="28"/>
          <w:lang w:val="en-GB"/>
        </w:rPr>
        <w:t xml:space="preserve">lowing </w:t>
      </w:r>
      <w:r w:rsidR="00AA0A0F" w:rsidRPr="00555746">
        <w:rPr>
          <w:sz w:val="28"/>
          <w:szCs w:val="28"/>
          <w:lang w:val="en-GB"/>
        </w:rPr>
        <w:t>R</w:t>
      </w:r>
      <w:r w:rsidR="007A303F" w:rsidRPr="00555746">
        <w:rPr>
          <w:sz w:val="28"/>
          <w:szCs w:val="28"/>
          <w:lang w:val="en-GB"/>
        </w:rPr>
        <w:t>ooms</w:t>
      </w:r>
      <w:r w:rsidR="00AA0A0F" w:rsidRPr="00555746">
        <w:rPr>
          <w:sz w:val="28"/>
          <w:szCs w:val="28"/>
          <w:lang w:val="en-GB"/>
        </w:rPr>
        <w:t xml:space="preserve"> calls on this Court to develop the common law in this regard. </w:t>
      </w:r>
    </w:p>
    <w:p w14:paraId="5043E433" w14:textId="77777777" w:rsidR="002C7213" w:rsidRPr="00D07F55" w:rsidRDefault="002C7213" w:rsidP="002C7213">
      <w:pPr>
        <w:pStyle w:val="ListParagraph"/>
        <w:ind w:left="0"/>
        <w:rPr>
          <w:sz w:val="28"/>
          <w:szCs w:val="28"/>
          <w:lang w:val="en-GB"/>
        </w:rPr>
      </w:pPr>
    </w:p>
    <w:p w14:paraId="6A16985F" w14:textId="4F6FDCEE" w:rsidR="001C34CA" w:rsidRPr="00555746" w:rsidRDefault="00555746" w:rsidP="00555746">
      <w:pPr>
        <w:rPr>
          <w:sz w:val="28"/>
          <w:szCs w:val="28"/>
        </w:rPr>
      </w:pPr>
      <w:r w:rsidRPr="00D07F55">
        <w:rPr>
          <w:sz w:val="28"/>
          <w:szCs w:val="28"/>
        </w:rPr>
        <w:t>[26]</w:t>
      </w:r>
      <w:r w:rsidRPr="00D07F55">
        <w:rPr>
          <w:sz w:val="28"/>
          <w:szCs w:val="28"/>
        </w:rPr>
        <w:tab/>
      </w:r>
      <w:r w:rsidR="00AA0A0F" w:rsidRPr="00555746">
        <w:rPr>
          <w:sz w:val="28"/>
          <w:szCs w:val="28"/>
          <w:lang w:val="en-GB"/>
        </w:rPr>
        <w:t>This, too, is premised on a misconception of the Court’s right to develop the common law.</w:t>
      </w:r>
      <w:r w:rsidR="00AA0A0F" w:rsidRPr="00555746">
        <w:rPr>
          <w:i/>
          <w:iCs/>
          <w:sz w:val="28"/>
          <w:szCs w:val="28"/>
          <w:lang w:val="en-GB"/>
        </w:rPr>
        <w:t xml:space="preserve"> </w:t>
      </w:r>
      <w:r w:rsidR="00AA0A0F" w:rsidRPr="00555746">
        <w:rPr>
          <w:sz w:val="28"/>
          <w:szCs w:val="28"/>
          <w:lang w:val="en-GB"/>
        </w:rPr>
        <w:t xml:space="preserve">In </w:t>
      </w:r>
      <w:r w:rsidR="00AA0A0F" w:rsidRPr="00555746">
        <w:rPr>
          <w:i/>
          <w:iCs/>
          <w:sz w:val="28"/>
          <w:szCs w:val="28"/>
          <w:lang w:val="en-GB"/>
        </w:rPr>
        <w:t xml:space="preserve">Everfresh </w:t>
      </w:r>
      <w:r w:rsidR="001318EA" w:rsidRPr="00555746">
        <w:rPr>
          <w:i/>
          <w:iCs/>
          <w:sz w:val="28"/>
          <w:szCs w:val="28"/>
          <w:lang w:val="en-GB"/>
        </w:rPr>
        <w:t xml:space="preserve">Market Virginia (Pty) Ltd </w:t>
      </w:r>
      <w:r w:rsidR="00AA0A0F" w:rsidRPr="00555746">
        <w:rPr>
          <w:i/>
          <w:iCs/>
          <w:sz w:val="28"/>
          <w:szCs w:val="28"/>
          <w:lang w:val="en-GB"/>
        </w:rPr>
        <w:t>v Shoprite Checkers</w:t>
      </w:r>
      <w:r w:rsidR="001318EA" w:rsidRPr="00555746">
        <w:rPr>
          <w:i/>
          <w:iCs/>
          <w:sz w:val="28"/>
          <w:szCs w:val="28"/>
          <w:lang w:val="en-GB"/>
        </w:rPr>
        <w:t xml:space="preserve"> (Pty) Ltd</w:t>
      </w:r>
      <w:r w:rsidR="0073235B" w:rsidRPr="00555746">
        <w:rPr>
          <w:iCs/>
          <w:sz w:val="28"/>
          <w:szCs w:val="28"/>
          <w:lang w:val="en-GB"/>
        </w:rPr>
        <w:t xml:space="preserve"> (</w:t>
      </w:r>
      <w:r w:rsidR="00437598" w:rsidRPr="00555746">
        <w:rPr>
          <w:i/>
          <w:iCs/>
          <w:sz w:val="28"/>
          <w:szCs w:val="28"/>
          <w:lang w:val="en-GB"/>
        </w:rPr>
        <w:t>Everfresh</w:t>
      </w:r>
      <w:r w:rsidR="0073235B" w:rsidRPr="00555746">
        <w:rPr>
          <w:iCs/>
          <w:sz w:val="28"/>
          <w:szCs w:val="28"/>
          <w:lang w:val="en-GB"/>
        </w:rPr>
        <w:t>)</w:t>
      </w:r>
      <w:r w:rsidR="00856A63" w:rsidRPr="00555746">
        <w:rPr>
          <w:iCs/>
          <w:sz w:val="28"/>
          <w:szCs w:val="28"/>
          <w:lang w:val="en-GB"/>
        </w:rPr>
        <w:t>,</w:t>
      </w:r>
      <w:r w:rsidR="00AA0A0F" w:rsidRPr="00D07F55">
        <w:rPr>
          <w:vertAlign w:val="superscript"/>
          <w:lang w:val="en-GB"/>
        </w:rPr>
        <w:footnoteReference w:id="10"/>
      </w:r>
      <w:r w:rsidR="00AA0A0F" w:rsidRPr="00555746">
        <w:rPr>
          <w:sz w:val="28"/>
          <w:szCs w:val="28"/>
          <w:lang w:val="en-GB"/>
        </w:rPr>
        <w:t xml:space="preserve"> the applicant sought to develop the law of contract in light </w:t>
      </w:r>
      <w:r w:rsidR="00D06259" w:rsidRPr="00555746">
        <w:rPr>
          <w:sz w:val="28"/>
          <w:szCs w:val="28"/>
          <w:lang w:val="en-GB"/>
        </w:rPr>
        <w:t>of s </w:t>
      </w:r>
      <w:r w:rsidR="00AA0A0F" w:rsidRPr="00555746">
        <w:rPr>
          <w:sz w:val="28"/>
          <w:szCs w:val="28"/>
          <w:lang w:val="en-GB"/>
        </w:rPr>
        <w:t>39(2) of the Constitution</w:t>
      </w:r>
      <w:r w:rsidR="006139F5" w:rsidRPr="00555746">
        <w:rPr>
          <w:sz w:val="28"/>
          <w:szCs w:val="28"/>
          <w:lang w:val="en-GB"/>
        </w:rPr>
        <w:t>,</w:t>
      </w:r>
      <w:r w:rsidR="00AA0A0F" w:rsidRPr="00555746">
        <w:rPr>
          <w:sz w:val="28"/>
          <w:szCs w:val="28"/>
          <w:lang w:val="en-GB"/>
        </w:rPr>
        <w:t xml:space="preserve"> so that the common law would require parties who undertake to negotiate a new rental for a renewed term of the lease to do so in good faith. The majority refused the invitation. It </w:t>
      </w:r>
      <w:r w:rsidR="00473973" w:rsidRPr="00555746">
        <w:rPr>
          <w:sz w:val="28"/>
          <w:szCs w:val="28"/>
          <w:lang w:val="en-GB"/>
        </w:rPr>
        <w:t>held that only</w:t>
      </w:r>
      <w:r w:rsidR="00AA0A0F" w:rsidRPr="00555746">
        <w:rPr>
          <w:sz w:val="28"/>
          <w:szCs w:val="28"/>
          <w:lang w:val="en-GB"/>
        </w:rPr>
        <w:t xml:space="preserve"> where the common law is deficient </w:t>
      </w:r>
      <w:r w:rsidR="00473973" w:rsidRPr="00555746">
        <w:rPr>
          <w:sz w:val="28"/>
          <w:szCs w:val="28"/>
          <w:lang w:val="en-GB"/>
        </w:rPr>
        <w:t xml:space="preserve">are </w:t>
      </w:r>
      <w:r w:rsidR="00AA0A0F" w:rsidRPr="00555746">
        <w:rPr>
          <w:sz w:val="28"/>
          <w:szCs w:val="28"/>
          <w:lang w:val="en-GB"/>
        </w:rPr>
        <w:t>the courts under a general obligation to develop i</w:t>
      </w:r>
      <w:r w:rsidR="00473973" w:rsidRPr="00555746">
        <w:rPr>
          <w:sz w:val="28"/>
          <w:szCs w:val="28"/>
          <w:lang w:val="en-GB"/>
        </w:rPr>
        <w:t>t</w:t>
      </w:r>
      <w:r w:rsidR="00AA0A0F" w:rsidRPr="00555746">
        <w:rPr>
          <w:sz w:val="28"/>
          <w:szCs w:val="28"/>
          <w:lang w:val="en-GB"/>
        </w:rPr>
        <w:t xml:space="preserve">. The first inquiry is whether the common law viewed in the light of </w:t>
      </w:r>
      <w:r w:rsidR="00D06259" w:rsidRPr="00555746">
        <w:rPr>
          <w:sz w:val="28"/>
          <w:szCs w:val="28"/>
          <w:lang w:val="en-GB"/>
        </w:rPr>
        <w:t>s </w:t>
      </w:r>
      <w:r w:rsidR="00AA0A0F" w:rsidRPr="00555746">
        <w:rPr>
          <w:sz w:val="28"/>
          <w:szCs w:val="28"/>
          <w:lang w:val="en-GB"/>
        </w:rPr>
        <w:t xml:space="preserve">39(2) requires development, and if so, the </w:t>
      </w:r>
      <w:r w:rsidR="00AA0A0F" w:rsidRPr="00555746">
        <w:rPr>
          <w:sz w:val="28"/>
          <w:szCs w:val="28"/>
          <w:lang w:val="en-GB"/>
        </w:rPr>
        <w:lastRenderedPageBreak/>
        <w:t>second inquiry is how.</w:t>
      </w:r>
      <w:r w:rsidR="005F23A6">
        <w:rPr>
          <w:rStyle w:val="FootnoteReference"/>
          <w:sz w:val="28"/>
          <w:szCs w:val="28"/>
          <w:lang w:val="en-GB"/>
        </w:rPr>
        <w:footnoteReference w:id="11"/>
      </w:r>
      <w:r w:rsidR="00AA0A0F" w:rsidRPr="00555746">
        <w:rPr>
          <w:sz w:val="28"/>
          <w:szCs w:val="28"/>
          <w:lang w:val="en-GB"/>
        </w:rPr>
        <w:t xml:space="preserve"> Litigants who seek to invoke provisions of </w:t>
      </w:r>
      <w:r w:rsidR="00D06259" w:rsidRPr="00555746">
        <w:rPr>
          <w:sz w:val="28"/>
          <w:szCs w:val="28"/>
          <w:lang w:val="en-GB"/>
        </w:rPr>
        <w:t>s </w:t>
      </w:r>
      <w:r w:rsidR="00AA0A0F" w:rsidRPr="00555746">
        <w:rPr>
          <w:sz w:val="28"/>
          <w:szCs w:val="28"/>
          <w:lang w:val="en-GB"/>
        </w:rPr>
        <w:t xml:space="preserve">39(2) must plead their case in the court of first instance. The applicant in </w:t>
      </w:r>
      <w:r w:rsidR="00252D87" w:rsidRPr="00555746">
        <w:rPr>
          <w:i/>
          <w:iCs/>
          <w:sz w:val="28"/>
          <w:szCs w:val="28"/>
          <w:lang w:val="en-GB"/>
        </w:rPr>
        <w:t>Everfresh</w:t>
      </w:r>
      <w:r w:rsidR="00EC4596" w:rsidRPr="00555746">
        <w:rPr>
          <w:sz w:val="28"/>
          <w:szCs w:val="28"/>
          <w:lang w:val="en-GB"/>
        </w:rPr>
        <w:t xml:space="preserve"> </w:t>
      </w:r>
      <w:r w:rsidR="00C3134E" w:rsidRPr="00555746">
        <w:rPr>
          <w:sz w:val="28"/>
          <w:szCs w:val="28"/>
          <w:lang w:val="en-GB"/>
        </w:rPr>
        <w:t xml:space="preserve">did </w:t>
      </w:r>
      <w:r w:rsidR="00EC4596" w:rsidRPr="00555746">
        <w:rPr>
          <w:sz w:val="28"/>
          <w:szCs w:val="28"/>
          <w:lang w:val="en-GB"/>
        </w:rPr>
        <w:t>not</w:t>
      </w:r>
      <w:r w:rsidR="00391CF2" w:rsidRPr="00555746">
        <w:rPr>
          <w:sz w:val="28"/>
          <w:szCs w:val="28"/>
          <w:lang w:val="en-GB"/>
        </w:rPr>
        <w:t xml:space="preserve"> </w:t>
      </w:r>
      <w:r w:rsidR="00AA0A0F" w:rsidRPr="00555746">
        <w:rPr>
          <w:sz w:val="28"/>
          <w:szCs w:val="28"/>
          <w:lang w:val="en-GB"/>
        </w:rPr>
        <w:t>plead dire consequences, commercial or otherwise</w:t>
      </w:r>
      <w:r w:rsidR="00EC4596" w:rsidRPr="00555746">
        <w:rPr>
          <w:sz w:val="28"/>
          <w:szCs w:val="28"/>
          <w:lang w:val="en-GB"/>
        </w:rPr>
        <w:t>,</w:t>
      </w:r>
      <w:r w:rsidR="00AA0A0F" w:rsidRPr="00555746">
        <w:rPr>
          <w:sz w:val="28"/>
          <w:szCs w:val="28"/>
          <w:lang w:val="en-GB"/>
        </w:rPr>
        <w:t xml:space="preserve"> that might ensue if the lease were not renewed. Nor </w:t>
      </w:r>
      <w:r w:rsidR="001A244C" w:rsidRPr="00555746">
        <w:rPr>
          <w:sz w:val="28"/>
          <w:szCs w:val="28"/>
          <w:lang w:val="en-GB"/>
        </w:rPr>
        <w:t>did</w:t>
      </w:r>
      <w:r w:rsidR="00AA0A0F" w:rsidRPr="00555746">
        <w:rPr>
          <w:sz w:val="28"/>
          <w:szCs w:val="28"/>
          <w:lang w:val="en-GB"/>
        </w:rPr>
        <w:t xml:space="preserve"> it suggest that it </w:t>
      </w:r>
      <w:r w:rsidR="001A244C" w:rsidRPr="00555746">
        <w:rPr>
          <w:sz w:val="28"/>
          <w:szCs w:val="28"/>
          <w:lang w:val="en-GB"/>
        </w:rPr>
        <w:t xml:space="preserve">had </w:t>
      </w:r>
      <w:r w:rsidR="00AA0A0F" w:rsidRPr="00555746">
        <w:rPr>
          <w:sz w:val="28"/>
          <w:szCs w:val="28"/>
          <w:lang w:val="en-GB"/>
        </w:rPr>
        <w:t xml:space="preserve">lacked proper legal representation or that it was poorly advised or indeed suffered from any form of vulnerability springing from unequal bargaining power. The Constitutional Court, while acknowledging that where there is a contractual obligation to negotiate, it would be unimaginable that constitutional values would not require that the negotiations be in good faith, </w:t>
      </w:r>
      <w:r w:rsidR="003307F2" w:rsidRPr="00555746">
        <w:rPr>
          <w:sz w:val="28"/>
          <w:szCs w:val="28"/>
          <w:lang w:val="en-GB"/>
        </w:rPr>
        <w:t xml:space="preserve">drew a distinction where </w:t>
      </w:r>
      <w:r w:rsidR="00AA0A0F" w:rsidRPr="00555746">
        <w:rPr>
          <w:sz w:val="28"/>
          <w:szCs w:val="28"/>
          <w:lang w:val="en-GB"/>
        </w:rPr>
        <w:t>th</w:t>
      </w:r>
      <w:r w:rsidR="003307F2" w:rsidRPr="00555746">
        <w:rPr>
          <w:sz w:val="28"/>
          <w:szCs w:val="28"/>
          <w:lang w:val="en-GB"/>
        </w:rPr>
        <w:t>e</w:t>
      </w:r>
      <w:r w:rsidR="00AA0A0F" w:rsidRPr="00555746">
        <w:rPr>
          <w:sz w:val="28"/>
          <w:szCs w:val="28"/>
          <w:lang w:val="en-GB"/>
        </w:rPr>
        <w:t xml:space="preserve"> dispute </w:t>
      </w:r>
      <w:r w:rsidR="00D32043" w:rsidRPr="00555746">
        <w:rPr>
          <w:sz w:val="28"/>
          <w:szCs w:val="28"/>
          <w:lang w:val="en-GB"/>
        </w:rPr>
        <w:t xml:space="preserve">was </w:t>
      </w:r>
      <w:r w:rsidR="00AA0A0F" w:rsidRPr="00555746">
        <w:rPr>
          <w:sz w:val="28"/>
          <w:szCs w:val="28"/>
          <w:lang w:val="en-GB"/>
        </w:rPr>
        <w:t>of a purely commercial nature</w:t>
      </w:r>
      <w:r w:rsidR="00737ECA" w:rsidRPr="00555746">
        <w:rPr>
          <w:sz w:val="28"/>
          <w:szCs w:val="28"/>
          <w:lang w:val="en-GB"/>
        </w:rPr>
        <w:t>. This is to be distinguished from</w:t>
      </w:r>
      <w:r w:rsidR="00AA0A0F" w:rsidRPr="00555746">
        <w:rPr>
          <w:sz w:val="28"/>
          <w:szCs w:val="28"/>
          <w:lang w:val="en-GB"/>
        </w:rPr>
        <w:t xml:space="preserve"> </w:t>
      </w:r>
      <w:r w:rsidR="00AA0A0F" w:rsidRPr="00555746">
        <w:rPr>
          <w:i/>
          <w:sz w:val="28"/>
          <w:szCs w:val="28"/>
          <w:lang w:val="en-GB"/>
        </w:rPr>
        <w:t>Carmichele</w:t>
      </w:r>
      <w:r w:rsidR="00FA5DF8" w:rsidRPr="00555746">
        <w:rPr>
          <w:i/>
          <w:sz w:val="28"/>
          <w:szCs w:val="28"/>
          <w:lang w:val="en-GB"/>
        </w:rPr>
        <w:t xml:space="preserve"> v Minister of Safety and Security</w:t>
      </w:r>
      <w:r w:rsidR="00BD66FA" w:rsidRPr="00555746">
        <w:rPr>
          <w:sz w:val="28"/>
          <w:szCs w:val="28"/>
          <w:lang w:val="en-GB"/>
        </w:rPr>
        <w:t xml:space="preserve"> (</w:t>
      </w:r>
      <w:r w:rsidR="00BD66FA" w:rsidRPr="00555746">
        <w:rPr>
          <w:i/>
          <w:sz w:val="28"/>
          <w:szCs w:val="28"/>
          <w:lang w:val="en-GB"/>
        </w:rPr>
        <w:t>Carmichele</w:t>
      </w:r>
      <w:r w:rsidR="00BD66FA" w:rsidRPr="00555746">
        <w:rPr>
          <w:sz w:val="28"/>
          <w:szCs w:val="28"/>
          <w:lang w:val="en-GB"/>
        </w:rPr>
        <w:t>)</w:t>
      </w:r>
      <w:r w:rsidR="00633EB0" w:rsidRPr="00555746">
        <w:rPr>
          <w:sz w:val="28"/>
          <w:szCs w:val="28"/>
          <w:lang w:val="en-GB"/>
        </w:rPr>
        <w:t>,</w:t>
      </w:r>
      <w:r w:rsidR="00AA0A0F" w:rsidRPr="00D07F55">
        <w:rPr>
          <w:vertAlign w:val="superscript"/>
          <w:lang w:val="en-GB"/>
        </w:rPr>
        <w:footnoteReference w:id="12"/>
      </w:r>
      <w:r w:rsidR="00AA0A0F" w:rsidRPr="00555746">
        <w:rPr>
          <w:sz w:val="28"/>
          <w:szCs w:val="28"/>
          <w:lang w:val="en-GB"/>
        </w:rPr>
        <w:t xml:space="preserve"> where fundamental rights </w:t>
      </w:r>
      <w:r w:rsidR="0049125C" w:rsidRPr="00555746">
        <w:rPr>
          <w:sz w:val="28"/>
          <w:szCs w:val="28"/>
          <w:lang w:val="en-GB"/>
        </w:rPr>
        <w:t xml:space="preserve">were </w:t>
      </w:r>
      <w:r w:rsidR="00AA0A0F" w:rsidRPr="00555746">
        <w:rPr>
          <w:sz w:val="28"/>
          <w:szCs w:val="28"/>
          <w:lang w:val="en-GB"/>
        </w:rPr>
        <w:t>at stake.</w:t>
      </w:r>
    </w:p>
    <w:p w14:paraId="400FC8E5" w14:textId="77777777" w:rsidR="001505BE" w:rsidRPr="00D07F55" w:rsidRDefault="001505BE" w:rsidP="001505BE">
      <w:pPr>
        <w:pStyle w:val="ListParagraph"/>
        <w:ind w:left="0"/>
        <w:rPr>
          <w:sz w:val="28"/>
          <w:szCs w:val="28"/>
        </w:rPr>
      </w:pPr>
    </w:p>
    <w:p w14:paraId="584B65C2" w14:textId="3732D801" w:rsidR="000C12E1" w:rsidRPr="00555746" w:rsidRDefault="00555746" w:rsidP="00555746">
      <w:pPr>
        <w:rPr>
          <w:sz w:val="28"/>
          <w:szCs w:val="28"/>
        </w:rPr>
      </w:pPr>
      <w:r w:rsidRPr="00D07F55">
        <w:rPr>
          <w:sz w:val="28"/>
          <w:szCs w:val="28"/>
        </w:rPr>
        <w:t>[27]</w:t>
      </w:r>
      <w:r w:rsidRPr="00D07F55">
        <w:rPr>
          <w:sz w:val="28"/>
          <w:szCs w:val="28"/>
        </w:rPr>
        <w:tab/>
      </w:r>
      <w:r w:rsidR="00051709" w:rsidRPr="00555746">
        <w:rPr>
          <w:sz w:val="28"/>
          <w:szCs w:val="28"/>
          <w:lang w:val="en-GB"/>
        </w:rPr>
        <w:t>So, too, this matter, is purely a commercial dispute about commercial premises. No fundamental rights are implicated.</w:t>
      </w:r>
      <w:r w:rsidR="00316847" w:rsidRPr="00555746">
        <w:rPr>
          <w:sz w:val="28"/>
          <w:szCs w:val="28"/>
          <w:lang w:val="en-GB"/>
        </w:rPr>
        <w:t xml:space="preserve"> </w:t>
      </w:r>
      <w:r w:rsidR="00D06259" w:rsidRPr="00555746">
        <w:rPr>
          <w:sz w:val="28"/>
          <w:szCs w:val="28"/>
          <w:lang w:val="en-GB"/>
        </w:rPr>
        <w:t>G</w:t>
      </w:r>
      <w:r w:rsidR="0049125C" w:rsidRPr="00555746">
        <w:rPr>
          <w:sz w:val="28"/>
          <w:szCs w:val="28"/>
          <w:lang w:val="en-GB"/>
        </w:rPr>
        <w:t xml:space="preserve">lowing </w:t>
      </w:r>
      <w:r w:rsidR="00D06259" w:rsidRPr="00555746">
        <w:rPr>
          <w:sz w:val="28"/>
          <w:szCs w:val="28"/>
          <w:lang w:val="en-GB"/>
        </w:rPr>
        <w:t>R</w:t>
      </w:r>
      <w:r w:rsidR="0049125C" w:rsidRPr="00555746">
        <w:rPr>
          <w:sz w:val="28"/>
          <w:szCs w:val="28"/>
          <w:lang w:val="en-GB"/>
        </w:rPr>
        <w:t>ooms</w:t>
      </w:r>
      <w:r w:rsidR="00D06259" w:rsidRPr="00555746">
        <w:rPr>
          <w:sz w:val="28"/>
          <w:szCs w:val="28"/>
          <w:lang w:val="en-GB"/>
        </w:rPr>
        <w:t xml:space="preserve"> makes no case that if it loses these premises</w:t>
      </w:r>
      <w:r w:rsidR="00391CF2" w:rsidRPr="00555746">
        <w:rPr>
          <w:sz w:val="28"/>
          <w:szCs w:val="28"/>
          <w:lang w:val="en-GB"/>
        </w:rPr>
        <w:t>,</w:t>
      </w:r>
      <w:r w:rsidR="00D06259" w:rsidRPr="00555746">
        <w:rPr>
          <w:sz w:val="28"/>
          <w:szCs w:val="28"/>
          <w:lang w:val="en-GB"/>
        </w:rPr>
        <w:t xml:space="preserve"> it will be unable to find any other, or that these premises are of any special value or importance. Quite the contrary, during negotiations in July 2022, G</w:t>
      </w:r>
      <w:r w:rsidR="00695617" w:rsidRPr="00555746">
        <w:rPr>
          <w:sz w:val="28"/>
          <w:szCs w:val="28"/>
          <w:lang w:val="en-GB"/>
        </w:rPr>
        <w:t xml:space="preserve">lowing </w:t>
      </w:r>
      <w:r w:rsidR="00D06259" w:rsidRPr="00555746">
        <w:rPr>
          <w:sz w:val="28"/>
          <w:szCs w:val="28"/>
          <w:lang w:val="en-GB"/>
        </w:rPr>
        <w:t>R</w:t>
      </w:r>
      <w:r w:rsidR="00695617" w:rsidRPr="00555746">
        <w:rPr>
          <w:sz w:val="28"/>
          <w:szCs w:val="28"/>
          <w:lang w:val="en-GB"/>
        </w:rPr>
        <w:t>ooms</w:t>
      </w:r>
      <w:r w:rsidR="00D06259" w:rsidRPr="00555746">
        <w:rPr>
          <w:sz w:val="28"/>
          <w:szCs w:val="28"/>
          <w:lang w:val="en-GB"/>
        </w:rPr>
        <w:t>’ director wrote to the Trust saying: ‘</w:t>
      </w:r>
      <w:r w:rsidR="00000D38" w:rsidRPr="00555746">
        <w:rPr>
          <w:sz w:val="28"/>
          <w:szCs w:val="28"/>
          <w:lang w:val="en-GB"/>
        </w:rPr>
        <w:t>[w]</w:t>
      </w:r>
      <w:r w:rsidR="00D06259" w:rsidRPr="00555746">
        <w:rPr>
          <w:sz w:val="28"/>
          <w:szCs w:val="28"/>
          <w:lang w:val="en-GB"/>
        </w:rPr>
        <w:t xml:space="preserve">e are </w:t>
      </w:r>
      <w:r w:rsidR="00140188" w:rsidRPr="00555746">
        <w:rPr>
          <w:sz w:val="28"/>
          <w:szCs w:val="28"/>
          <w:lang w:val="en-GB"/>
        </w:rPr>
        <w:t>[</w:t>
      </w:r>
      <w:r w:rsidR="00D06259" w:rsidRPr="00555746">
        <w:rPr>
          <w:sz w:val="28"/>
          <w:szCs w:val="28"/>
          <w:lang w:val="en-GB"/>
        </w:rPr>
        <w:t>al</w:t>
      </w:r>
      <w:r w:rsidR="00140188" w:rsidRPr="00555746">
        <w:rPr>
          <w:sz w:val="28"/>
          <w:szCs w:val="28"/>
          <w:lang w:val="en-GB"/>
        </w:rPr>
        <w:t>]</w:t>
      </w:r>
      <w:r w:rsidR="00D06259" w:rsidRPr="00555746">
        <w:rPr>
          <w:sz w:val="28"/>
          <w:szCs w:val="28"/>
          <w:lang w:val="en-GB"/>
        </w:rPr>
        <w:t>ready in negotiations with various agents/landlords and there is a lot of free space available for a much lower rate at very good locations.’</w:t>
      </w:r>
      <w:r w:rsidR="00B70FFA" w:rsidRPr="00D07F55">
        <w:rPr>
          <w:rStyle w:val="FootnoteReference"/>
          <w:sz w:val="28"/>
          <w:szCs w:val="28"/>
          <w:lang w:val="en-GB"/>
        </w:rPr>
        <w:footnoteReference w:id="13"/>
      </w:r>
      <w:r w:rsidR="00D06259" w:rsidRPr="00555746">
        <w:rPr>
          <w:sz w:val="28"/>
          <w:szCs w:val="28"/>
          <w:lang w:val="en-GB"/>
        </w:rPr>
        <w:t xml:space="preserve"> </w:t>
      </w:r>
      <w:r w:rsidR="00C6370B" w:rsidRPr="00555746">
        <w:rPr>
          <w:sz w:val="28"/>
          <w:szCs w:val="28"/>
          <w:lang w:val="en-GB"/>
        </w:rPr>
        <w:t xml:space="preserve">Furthermore, </w:t>
      </w:r>
      <w:r w:rsidR="00D06259" w:rsidRPr="00555746">
        <w:rPr>
          <w:sz w:val="28"/>
          <w:szCs w:val="28"/>
          <w:lang w:val="en-GB"/>
        </w:rPr>
        <w:t>because G</w:t>
      </w:r>
      <w:r w:rsidR="00137E19" w:rsidRPr="00555746">
        <w:rPr>
          <w:sz w:val="28"/>
          <w:szCs w:val="28"/>
          <w:lang w:val="en-GB"/>
        </w:rPr>
        <w:t xml:space="preserve">lowing </w:t>
      </w:r>
      <w:r w:rsidR="00D06259" w:rsidRPr="00555746">
        <w:rPr>
          <w:sz w:val="28"/>
          <w:szCs w:val="28"/>
          <w:lang w:val="en-GB"/>
        </w:rPr>
        <w:t>R</w:t>
      </w:r>
      <w:r w:rsidR="00137E19" w:rsidRPr="00555746">
        <w:rPr>
          <w:sz w:val="28"/>
          <w:szCs w:val="28"/>
          <w:lang w:val="en-GB"/>
        </w:rPr>
        <w:t>ooms</w:t>
      </w:r>
      <w:r w:rsidR="00D06259" w:rsidRPr="00555746">
        <w:rPr>
          <w:sz w:val="28"/>
          <w:szCs w:val="28"/>
          <w:lang w:val="en-GB"/>
        </w:rPr>
        <w:t xml:space="preserve"> was obliged to </w:t>
      </w:r>
      <w:r w:rsidR="00137E19" w:rsidRPr="00555746">
        <w:rPr>
          <w:sz w:val="28"/>
          <w:szCs w:val="28"/>
          <w:lang w:val="en-GB"/>
        </w:rPr>
        <w:t>‘</w:t>
      </w:r>
      <w:r w:rsidR="00D06259" w:rsidRPr="00555746">
        <w:rPr>
          <w:sz w:val="28"/>
          <w:szCs w:val="28"/>
          <w:lang w:val="en-GB"/>
        </w:rPr>
        <w:t>redo/freshen-up’ the mini golf course, ‘a move to another premises would solve that problem as well.</w:t>
      </w:r>
      <w:r w:rsidR="00137E19" w:rsidRPr="00555746">
        <w:rPr>
          <w:sz w:val="28"/>
          <w:szCs w:val="28"/>
          <w:lang w:val="en-GB"/>
        </w:rPr>
        <w:t>’</w:t>
      </w:r>
      <w:r w:rsidR="00D06259" w:rsidRPr="00555746">
        <w:rPr>
          <w:sz w:val="28"/>
          <w:szCs w:val="28"/>
          <w:lang w:val="en-GB"/>
        </w:rPr>
        <w:t xml:space="preserve"> </w:t>
      </w:r>
      <w:r w:rsidR="00737ECA" w:rsidRPr="00555746">
        <w:rPr>
          <w:sz w:val="28"/>
          <w:szCs w:val="28"/>
          <w:lang w:val="en-GB"/>
        </w:rPr>
        <w:t xml:space="preserve">This suggests a willingness to relocate. </w:t>
      </w:r>
      <w:r w:rsidR="00D06259" w:rsidRPr="00555746">
        <w:rPr>
          <w:sz w:val="28"/>
          <w:szCs w:val="28"/>
          <w:lang w:val="en-GB"/>
        </w:rPr>
        <w:t>Nothing on the facts of this matter indicate</w:t>
      </w:r>
      <w:r w:rsidR="00FC01C2" w:rsidRPr="00555746">
        <w:rPr>
          <w:sz w:val="28"/>
          <w:szCs w:val="28"/>
          <w:lang w:val="en-GB"/>
        </w:rPr>
        <w:t>s</w:t>
      </w:r>
      <w:r w:rsidR="00D06259" w:rsidRPr="00555746">
        <w:rPr>
          <w:sz w:val="28"/>
          <w:szCs w:val="28"/>
          <w:lang w:val="en-GB"/>
        </w:rPr>
        <w:t xml:space="preserve"> that there is a need to develop the common law.</w:t>
      </w:r>
      <w:r w:rsidR="003307F2" w:rsidRPr="00555746">
        <w:rPr>
          <w:sz w:val="28"/>
          <w:szCs w:val="28"/>
          <w:lang w:val="en-GB"/>
        </w:rPr>
        <w:t xml:space="preserve"> There is no contractual duty to negotiate and any reliance on a general duty to negotiate in good faith is misplaced.</w:t>
      </w:r>
    </w:p>
    <w:p w14:paraId="0D7B2709" w14:textId="430B4094" w:rsidR="00404E67" w:rsidRPr="00555746" w:rsidRDefault="00555746" w:rsidP="00555746">
      <w:pPr>
        <w:rPr>
          <w:sz w:val="28"/>
          <w:szCs w:val="28"/>
        </w:rPr>
      </w:pPr>
      <w:r w:rsidRPr="00D07F55">
        <w:rPr>
          <w:sz w:val="28"/>
          <w:szCs w:val="28"/>
        </w:rPr>
        <w:lastRenderedPageBreak/>
        <w:t>[28]</w:t>
      </w:r>
      <w:r w:rsidRPr="00D07F55">
        <w:rPr>
          <w:sz w:val="28"/>
          <w:szCs w:val="28"/>
        </w:rPr>
        <w:tab/>
      </w:r>
      <w:r w:rsidR="00391CF2" w:rsidRPr="00555746">
        <w:rPr>
          <w:sz w:val="28"/>
          <w:szCs w:val="28"/>
          <w:lang w:val="en-GB"/>
        </w:rPr>
        <w:t xml:space="preserve">For </w:t>
      </w:r>
      <w:r w:rsidR="00070837" w:rsidRPr="00555746">
        <w:rPr>
          <w:sz w:val="28"/>
          <w:szCs w:val="28"/>
          <w:lang w:val="en-GB"/>
        </w:rPr>
        <w:t>the above</w:t>
      </w:r>
      <w:r w:rsidR="00391CF2" w:rsidRPr="00555746">
        <w:rPr>
          <w:sz w:val="28"/>
          <w:szCs w:val="28"/>
          <w:lang w:val="en-GB"/>
        </w:rPr>
        <w:t xml:space="preserve"> reasons, t</w:t>
      </w:r>
      <w:r w:rsidR="00404E67" w:rsidRPr="00555746">
        <w:rPr>
          <w:sz w:val="28"/>
          <w:szCs w:val="28"/>
          <w:lang w:val="en-GB"/>
        </w:rPr>
        <w:t xml:space="preserve">he appeal must fail. All that remains is whether this Court should use its discretion to </w:t>
      </w:r>
      <w:r w:rsidR="00137E19" w:rsidRPr="00555746">
        <w:rPr>
          <w:sz w:val="28"/>
          <w:szCs w:val="28"/>
          <w:lang w:val="en-GB"/>
        </w:rPr>
        <w:t xml:space="preserve">extend </w:t>
      </w:r>
      <w:r w:rsidR="00404E67" w:rsidRPr="00555746">
        <w:rPr>
          <w:sz w:val="28"/>
          <w:szCs w:val="28"/>
          <w:lang w:val="en-GB"/>
        </w:rPr>
        <w:t>the date of eviction</w:t>
      </w:r>
      <w:r w:rsidR="00252D87" w:rsidRPr="00555746">
        <w:rPr>
          <w:sz w:val="28"/>
          <w:szCs w:val="28"/>
          <w:lang w:val="en-GB"/>
        </w:rPr>
        <w:t xml:space="preserve"> to enable Glowing Rooms to relocate to new premises. </w:t>
      </w:r>
      <w:r w:rsidR="00404E67" w:rsidRPr="00555746">
        <w:rPr>
          <w:sz w:val="28"/>
          <w:szCs w:val="28"/>
          <w:lang w:val="en-GB"/>
        </w:rPr>
        <w:t xml:space="preserve">Counsel for the </w:t>
      </w:r>
      <w:r w:rsidR="00252D87" w:rsidRPr="00555746">
        <w:rPr>
          <w:sz w:val="28"/>
          <w:szCs w:val="28"/>
          <w:lang w:val="en-GB"/>
        </w:rPr>
        <w:t>t</w:t>
      </w:r>
      <w:r w:rsidR="00404E67" w:rsidRPr="00555746">
        <w:rPr>
          <w:sz w:val="28"/>
          <w:szCs w:val="28"/>
          <w:lang w:val="en-GB"/>
        </w:rPr>
        <w:t>rustees</w:t>
      </w:r>
      <w:r w:rsidR="00473973" w:rsidRPr="00555746">
        <w:rPr>
          <w:sz w:val="28"/>
          <w:szCs w:val="28"/>
          <w:lang w:val="en-GB"/>
        </w:rPr>
        <w:t>, without conceding, accepted</w:t>
      </w:r>
      <w:r w:rsidR="00404E67" w:rsidRPr="00555746">
        <w:rPr>
          <w:sz w:val="28"/>
          <w:szCs w:val="28"/>
          <w:lang w:val="en-GB"/>
        </w:rPr>
        <w:t xml:space="preserve"> that it would not be unreasonable to grant G</w:t>
      </w:r>
      <w:r w:rsidR="00137E19" w:rsidRPr="00555746">
        <w:rPr>
          <w:sz w:val="28"/>
          <w:szCs w:val="28"/>
          <w:lang w:val="en-GB"/>
        </w:rPr>
        <w:t xml:space="preserve">lowing </w:t>
      </w:r>
      <w:r w:rsidR="00404E67" w:rsidRPr="00555746">
        <w:rPr>
          <w:sz w:val="28"/>
          <w:szCs w:val="28"/>
          <w:lang w:val="en-GB"/>
        </w:rPr>
        <w:t>R</w:t>
      </w:r>
      <w:r w:rsidR="00137E19" w:rsidRPr="00555746">
        <w:rPr>
          <w:sz w:val="28"/>
          <w:szCs w:val="28"/>
          <w:lang w:val="en-GB"/>
        </w:rPr>
        <w:t>ooms</w:t>
      </w:r>
      <w:r w:rsidR="00404E67" w:rsidRPr="00555746">
        <w:rPr>
          <w:sz w:val="28"/>
          <w:szCs w:val="28"/>
          <w:lang w:val="en-GB"/>
        </w:rPr>
        <w:t xml:space="preserve"> </w:t>
      </w:r>
      <w:r w:rsidR="00473973" w:rsidRPr="00555746">
        <w:rPr>
          <w:sz w:val="28"/>
          <w:szCs w:val="28"/>
          <w:lang w:val="en-GB"/>
        </w:rPr>
        <w:t xml:space="preserve">a </w:t>
      </w:r>
      <w:r w:rsidR="00137E19" w:rsidRPr="00555746">
        <w:rPr>
          <w:sz w:val="28"/>
          <w:szCs w:val="28"/>
          <w:lang w:val="en-GB"/>
        </w:rPr>
        <w:t>three</w:t>
      </w:r>
      <w:r w:rsidR="00404E67" w:rsidRPr="00555746">
        <w:rPr>
          <w:sz w:val="28"/>
          <w:szCs w:val="28"/>
          <w:lang w:val="en-GB"/>
        </w:rPr>
        <w:t xml:space="preserve"> month</w:t>
      </w:r>
      <w:r w:rsidR="00391CF2" w:rsidRPr="00555746">
        <w:rPr>
          <w:sz w:val="28"/>
          <w:szCs w:val="28"/>
          <w:lang w:val="en-GB"/>
        </w:rPr>
        <w:t>s’</w:t>
      </w:r>
      <w:r w:rsidR="00473973" w:rsidRPr="00555746">
        <w:rPr>
          <w:sz w:val="28"/>
          <w:szCs w:val="28"/>
          <w:lang w:val="en-GB"/>
        </w:rPr>
        <w:t xml:space="preserve"> </w:t>
      </w:r>
      <w:r w:rsidR="00391CF2" w:rsidRPr="00555746">
        <w:rPr>
          <w:sz w:val="28"/>
          <w:szCs w:val="28"/>
          <w:lang w:val="en-GB"/>
        </w:rPr>
        <w:t>notice</w:t>
      </w:r>
      <w:r w:rsidR="00473973" w:rsidRPr="00555746">
        <w:rPr>
          <w:sz w:val="28"/>
          <w:szCs w:val="28"/>
          <w:lang w:val="en-GB"/>
        </w:rPr>
        <w:t xml:space="preserve"> of eviction</w:t>
      </w:r>
      <w:r w:rsidR="00404E67" w:rsidRPr="00555746">
        <w:rPr>
          <w:sz w:val="28"/>
          <w:szCs w:val="28"/>
          <w:lang w:val="en-GB"/>
        </w:rPr>
        <w:t>. Insofar as costs are concerned</w:t>
      </w:r>
      <w:r w:rsidR="00137E19" w:rsidRPr="00555746">
        <w:rPr>
          <w:sz w:val="28"/>
          <w:szCs w:val="28"/>
          <w:lang w:val="en-GB"/>
        </w:rPr>
        <w:t>,</w:t>
      </w:r>
      <w:r w:rsidR="00404E67" w:rsidRPr="00555746">
        <w:rPr>
          <w:sz w:val="28"/>
          <w:szCs w:val="28"/>
          <w:lang w:val="en-GB"/>
        </w:rPr>
        <w:t xml:space="preserve"> the scale of costs in the high court was </w:t>
      </w:r>
      <w:r w:rsidR="00D823BD" w:rsidRPr="00555746">
        <w:rPr>
          <w:sz w:val="28"/>
          <w:szCs w:val="28"/>
          <w:lang w:val="en-GB"/>
        </w:rPr>
        <w:t xml:space="preserve">on the </w:t>
      </w:r>
      <w:r w:rsidR="00404E67" w:rsidRPr="00555746">
        <w:rPr>
          <w:sz w:val="28"/>
          <w:szCs w:val="28"/>
          <w:lang w:val="en-GB"/>
        </w:rPr>
        <w:t xml:space="preserve">attorney </w:t>
      </w:r>
      <w:r w:rsidR="00391CF2" w:rsidRPr="00555746">
        <w:rPr>
          <w:sz w:val="28"/>
          <w:szCs w:val="28"/>
          <w:lang w:val="en-GB"/>
        </w:rPr>
        <w:t xml:space="preserve">and </w:t>
      </w:r>
      <w:r w:rsidR="00404E67" w:rsidRPr="00555746">
        <w:rPr>
          <w:sz w:val="28"/>
          <w:szCs w:val="28"/>
          <w:lang w:val="en-GB"/>
        </w:rPr>
        <w:t xml:space="preserve">client </w:t>
      </w:r>
      <w:r w:rsidR="00D823BD" w:rsidRPr="00555746">
        <w:rPr>
          <w:sz w:val="28"/>
          <w:szCs w:val="28"/>
          <w:lang w:val="en-GB"/>
        </w:rPr>
        <w:t xml:space="preserve">scale </w:t>
      </w:r>
      <w:r w:rsidR="00404E67" w:rsidRPr="00555746">
        <w:rPr>
          <w:sz w:val="28"/>
          <w:szCs w:val="28"/>
          <w:lang w:val="en-GB"/>
        </w:rPr>
        <w:t xml:space="preserve">as governed by the lease agreement. There is no reason to grant attorney </w:t>
      </w:r>
      <w:r w:rsidR="00391CF2" w:rsidRPr="00555746">
        <w:rPr>
          <w:sz w:val="28"/>
          <w:szCs w:val="28"/>
          <w:lang w:val="en-GB"/>
        </w:rPr>
        <w:t xml:space="preserve">and </w:t>
      </w:r>
      <w:r w:rsidR="00404E67" w:rsidRPr="00555746">
        <w:rPr>
          <w:sz w:val="28"/>
          <w:szCs w:val="28"/>
          <w:lang w:val="en-GB"/>
        </w:rPr>
        <w:t>client costs in this appeal.</w:t>
      </w:r>
    </w:p>
    <w:p w14:paraId="06B8C7B8" w14:textId="77777777" w:rsidR="00404E67" w:rsidRPr="00D07F55" w:rsidRDefault="00404E67" w:rsidP="00404E67">
      <w:pPr>
        <w:rPr>
          <w:sz w:val="28"/>
          <w:szCs w:val="28"/>
        </w:rPr>
      </w:pPr>
    </w:p>
    <w:p w14:paraId="2C58D499" w14:textId="26DFAFE0" w:rsidR="00F82B0C" w:rsidRPr="00555746" w:rsidRDefault="00555746" w:rsidP="00555746">
      <w:pPr>
        <w:rPr>
          <w:sz w:val="28"/>
          <w:szCs w:val="28"/>
        </w:rPr>
      </w:pPr>
      <w:r w:rsidRPr="00F82B0C">
        <w:rPr>
          <w:sz w:val="28"/>
          <w:szCs w:val="28"/>
        </w:rPr>
        <w:t>[29]</w:t>
      </w:r>
      <w:r w:rsidRPr="00F82B0C">
        <w:rPr>
          <w:sz w:val="28"/>
          <w:szCs w:val="28"/>
        </w:rPr>
        <w:tab/>
      </w:r>
      <w:r w:rsidR="00404E67" w:rsidRPr="00555746">
        <w:rPr>
          <w:sz w:val="28"/>
          <w:szCs w:val="28"/>
          <w:lang w:val="en-GB"/>
        </w:rPr>
        <w:t>In the result</w:t>
      </w:r>
      <w:r w:rsidR="006452EC" w:rsidRPr="00555746">
        <w:rPr>
          <w:sz w:val="28"/>
          <w:szCs w:val="28"/>
          <w:lang w:val="en-GB"/>
        </w:rPr>
        <w:t>,</w:t>
      </w:r>
      <w:r w:rsidR="00404E67" w:rsidRPr="00555746">
        <w:rPr>
          <w:sz w:val="28"/>
          <w:szCs w:val="28"/>
          <w:lang w:val="en-GB"/>
        </w:rPr>
        <w:t xml:space="preserve"> the following order is made:</w:t>
      </w:r>
    </w:p>
    <w:p w14:paraId="38FBAA01" w14:textId="34A90043" w:rsidR="00F82B0C" w:rsidRPr="00E05828" w:rsidRDefault="00F82B0C" w:rsidP="003C4D8B">
      <w:pPr>
        <w:rPr>
          <w:sz w:val="28"/>
          <w:szCs w:val="28"/>
        </w:rPr>
      </w:pPr>
      <w:r w:rsidRPr="00E05828">
        <w:rPr>
          <w:sz w:val="28"/>
          <w:szCs w:val="28"/>
        </w:rPr>
        <w:t>1</w:t>
      </w:r>
      <w:r w:rsidRPr="00E05828">
        <w:rPr>
          <w:sz w:val="28"/>
          <w:szCs w:val="28"/>
        </w:rPr>
        <w:tab/>
        <w:t>The appeal is dismissed with costs, save f</w:t>
      </w:r>
      <w:r w:rsidR="003C4D8B">
        <w:rPr>
          <w:sz w:val="28"/>
          <w:szCs w:val="28"/>
        </w:rPr>
        <w:t xml:space="preserve">or the variation of the date of </w:t>
      </w:r>
      <w:r w:rsidRPr="00E05828">
        <w:rPr>
          <w:sz w:val="28"/>
          <w:szCs w:val="28"/>
        </w:rPr>
        <w:t>eviction.</w:t>
      </w:r>
    </w:p>
    <w:p w14:paraId="29B5AA9A" w14:textId="77777777" w:rsidR="00F82B0C" w:rsidRPr="00E05828" w:rsidRDefault="00F82B0C" w:rsidP="00E05828">
      <w:pPr>
        <w:rPr>
          <w:sz w:val="28"/>
          <w:szCs w:val="28"/>
        </w:rPr>
      </w:pPr>
      <w:r w:rsidRPr="00E05828">
        <w:rPr>
          <w:sz w:val="28"/>
          <w:szCs w:val="28"/>
        </w:rPr>
        <w:t>2</w:t>
      </w:r>
      <w:r w:rsidRPr="00E05828">
        <w:rPr>
          <w:sz w:val="28"/>
          <w:szCs w:val="28"/>
        </w:rPr>
        <w:tab/>
        <w:t>The order of the high court is substituted with the following:</w:t>
      </w:r>
    </w:p>
    <w:p w14:paraId="395E9F4D" w14:textId="77777777" w:rsidR="00F82B0C" w:rsidRPr="00E05828" w:rsidRDefault="00F82B0C" w:rsidP="003C4D8B">
      <w:pPr>
        <w:rPr>
          <w:sz w:val="28"/>
          <w:szCs w:val="28"/>
        </w:rPr>
      </w:pPr>
      <w:r w:rsidRPr="00E05828">
        <w:rPr>
          <w:sz w:val="28"/>
          <w:szCs w:val="28"/>
        </w:rPr>
        <w:t>‘1.</w:t>
      </w:r>
      <w:r w:rsidRPr="00E05828">
        <w:rPr>
          <w:sz w:val="28"/>
          <w:szCs w:val="28"/>
        </w:rPr>
        <w:tab/>
        <w:t>The respondent, Glowing Rooms (Pty) Ltd, as well as its employees, agents, assigns and any other person/s that may occupy Unit 16 Gallery, Turf Club Drive, Milnerton, Western Cape (“the premises”) are to vacate the premises on or before 30 June 2024.</w:t>
      </w:r>
    </w:p>
    <w:p w14:paraId="7E122024" w14:textId="490B0BA5" w:rsidR="00F82B0C" w:rsidRPr="00415EB3" w:rsidRDefault="00F82B0C" w:rsidP="003C4D8B">
      <w:pPr>
        <w:rPr>
          <w:sz w:val="28"/>
          <w:szCs w:val="28"/>
        </w:rPr>
      </w:pPr>
      <w:r w:rsidRPr="00415EB3">
        <w:rPr>
          <w:sz w:val="28"/>
          <w:szCs w:val="28"/>
        </w:rPr>
        <w:t>2.</w:t>
      </w:r>
      <w:r w:rsidRPr="00415EB3">
        <w:rPr>
          <w:sz w:val="28"/>
          <w:szCs w:val="28"/>
        </w:rPr>
        <w:tab/>
        <w:t xml:space="preserve">Should the respondent, as well as its employees, agents, assigns and any other person/s that occupy the premises vis-á-vis the respondent, fail to vacate the premises voluntarily as set out in paragraph 1 above, the sheriff is authorised to evict the respondent, its employees, agents, assigns and any other person/s that may occupy the premises vis-á-vis the </w:t>
      </w:r>
      <w:r w:rsidR="00374FCA">
        <w:rPr>
          <w:sz w:val="28"/>
          <w:szCs w:val="28"/>
        </w:rPr>
        <w:t>respondent</w:t>
      </w:r>
      <w:r w:rsidRPr="00415EB3">
        <w:rPr>
          <w:sz w:val="28"/>
          <w:szCs w:val="28"/>
        </w:rPr>
        <w:t xml:space="preserve">, on 1 July 2024, or </w:t>
      </w:r>
      <w:r w:rsidR="00415EB3">
        <w:rPr>
          <w:sz w:val="28"/>
          <w:szCs w:val="28"/>
        </w:rPr>
        <w:t>as soon thereafter as possible.</w:t>
      </w:r>
    </w:p>
    <w:p w14:paraId="083EF72A" w14:textId="1867F6BF" w:rsidR="00A553BE" w:rsidRPr="003C4D8B" w:rsidRDefault="00F82B0C" w:rsidP="003C4D8B">
      <w:pPr>
        <w:rPr>
          <w:sz w:val="28"/>
          <w:szCs w:val="28"/>
        </w:rPr>
      </w:pPr>
      <w:r w:rsidRPr="003C4D8B">
        <w:rPr>
          <w:sz w:val="28"/>
          <w:szCs w:val="28"/>
        </w:rPr>
        <w:t>3.</w:t>
      </w:r>
      <w:r w:rsidRPr="003C4D8B">
        <w:rPr>
          <w:sz w:val="28"/>
          <w:szCs w:val="28"/>
        </w:rPr>
        <w:tab/>
        <w:t>The respondent is to pay the costs of this application on the scale as between attorney and client.’</w:t>
      </w:r>
    </w:p>
    <w:p w14:paraId="72997F64" w14:textId="77777777" w:rsidR="00415EB3" w:rsidRDefault="00415EB3" w:rsidP="00F82B0C">
      <w:pPr>
        <w:pStyle w:val="ListParagraph"/>
        <w:ind w:left="0"/>
        <w:rPr>
          <w:sz w:val="28"/>
          <w:szCs w:val="28"/>
        </w:rPr>
      </w:pPr>
    </w:p>
    <w:p w14:paraId="05B90BFA" w14:textId="77777777" w:rsidR="00415EB3" w:rsidRDefault="00415EB3" w:rsidP="00F82B0C">
      <w:pPr>
        <w:pStyle w:val="ListParagraph"/>
        <w:ind w:left="0"/>
        <w:rPr>
          <w:sz w:val="28"/>
          <w:szCs w:val="28"/>
        </w:rPr>
      </w:pPr>
    </w:p>
    <w:p w14:paraId="6B99D87C" w14:textId="77777777" w:rsidR="001C7311" w:rsidRDefault="001C7311" w:rsidP="00F82B0C">
      <w:pPr>
        <w:pStyle w:val="ListParagraph"/>
        <w:ind w:left="0"/>
        <w:rPr>
          <w:sz w:val="28"/>
          <w:szCs w:val="28"/>
        </w:rPr>
      </w:pPr>
    </w:p>
    <w:p w14:paraId="187BFC70" w14:textId="6610F80C" w:rsidR="00D8757E" w:rsidRDefault="00D8757E" w:rsidP="00F82B0C">
      <w:pPr>
        <w:pStyle w:val="ListParagraph"/>
        <w:ind w:left="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1356F09" w14:textId="77777777" w:rsidR="00BF09AC" w:rsidRPr="00D07F55" w:rsidRDefault="00BF09AC" w:rsidP="006F609A">
      <w:pPr>
        <w:pStyle w:val="ListParagraph"/>
        <w:ind w:left="0"/>
        <w:jc w:val="right"/>
        <w:rPr>
          <w:sz w:val="28"/>
          <w:szCs w:val="28"/>
        </w:rPr>
      </w:pPr>
      <w:r w:rsidRPr="00D07F55">
        <w:rPr>
          <w:sz w:val="28"/>
          <w:szCs w:val="28"/>
        </w:rPr>
        <w:t>___________________</w:t>
      </w:r>
      <w:r w:rsidR="006F609A" w:rsidRPr="00D07F55">
        <w:rPr>
          <w:sz w:val="28"/>
          <w:szCs w:val="28"/>
        </w:rPr>
        <w:t>______</w:t>
      </w:r>
      <w:r w:rsidRPr="00D07F55">
        <w:rPr>
          <w:sz w:val="28"/>
          <w:szCs w:val="28"/>
        </w:rPr>
        <w:t>_</w:t>
      </w:r>
    </w:p>
    <w:p w14:paraId="79F16E21" w14:textId="4A50FCEE" w:rsidR="00BF09AC" w:rsidRPr="00D07F55" w:rsidRDefault="009448F6" w:rsidP="006F609A">
      <w:pPr>
        <w:pStyle w:val="ListParagraph"/>
        <w:ind w:left="0"/>
        <w:jc w:val="right"/>
        <w:rPr>
          <w:sz w:val="28"/>
          <w:szCs w:val="28"/>
        </w:rPr>
      </w:pPr>
      <w:r w:rsidRPr="00D07F55">
        <w:rPr>
          <w:sz w:val="28"/>
          <w:szCs w:val="28"/>
        </w:rPr>
        <w:t>C E HEATON NICHOLLS</w:t>
      </w:r>
    </w:p>
    <w:p w14:paraId="3E1ADB3B" w14:textId="2004250F" w:rsidR="0031085B" w:rsidRPr="00D07F55" w:rsidRDefault="006F609A" w:rsidP="006F609A">
      <w:pPr>
        <w:pStyle w:val="ListParagraph"/>
        <w:ind w:left="0"/>
        <w:jc w:val="right"/>
        <w:rPr>
          <w:sz w:val="28"/>
          <w:szCs w:val="28"/>
        </w:rPr>
      </w:pPr>
      <w:r w:rsidRPr="00D07F55">
        <w:rPr>
          <w:sz w:val="28"/>
          <w:szCs w:val="28"/>
        </w:rPr>
        <w:t>JUDGE OF APPEAL</w:t>
      </w:r>
    </w:p>
    <w:p w14:paraId="023014AB" w14:textId="77777777" w:rsidR="006F609A" w:rsidRPr="00D07F55" w:rsidRDefault="006F609A">
      <w:pPr>
        <w:spacing w:after="160" w:line="259" w:lineRule="auto"/>
        <w:jc w:val="left"/>
        <w:rPr>
          <w:sz w:val="28"/>
          <w:szCs w:val="28"/>
        </w:rPr>
      </w:pPr>
      <w:r w:rsidRPr="00D07F55">
        <w:rPr>
          <w:sz w:val="28"/>
          <w:szCs w:val="28"/>
        </w:rPr>
        <w:br w:type="page"/>
      </w:r>
    </w:p>
    <w:p w14:paraId="09959E1F" w14:textId="77777777" w:rsidR="0031085B" w:rsidRPr="00D07F55" w:rsidRDefault="0031085B" w:rsidP="0031085B">
      <w:pPr>
        <w:pStyle w:val="ListParagraph"/>
        <w:ind w:left="0"/>
        <w:rPr>
          <w:sz w:val="28"/>
          <w:szCs w:val="28"/>
        </w:rPr>
      </w:pPr>
      <w:r w:rsidRPr="00D07F55">
        <w:rPr>
          <w:sz w:val="28"/>
          <w:szCs w:val="28"/>
        </w:rPr>
        <w:lastRenderedPageBreak/>
        <w:t>Appearances</w:t>
      </w:r>
    </w:p>
    <w:p w14:paraId="4BDFAF01" w14:textId="77777777" w:rsidR="0031085B" w:rsidRPr="00D07F55" w:rsidRDefault="0031085B" w:rsidP="0031085B">
      <w:pPr>
        <w:pStyle w:val="ListParagraph"/>
        <w:ind w:left="0"/>
        <w:rPr>
          <w:sz w:val="28"/>
          <w:szCs w:val="28"/>
        </w:rPr>
      </w:pPr>
    </w:p>
    <w:p w14:paraId="1E607B6A" w14:textId="08FF0861" w:rsidR="00876C5D" w:rsidRDefault="0031085B" w:rsidP="0031085B">
      <w:pPr>
        <w:pStyle w:val="ListParagraph"/>
        <w:ind w:left="0"/>
        <w:rPr>
          <w:sz w:val="28"/>
          <w:szCs w:val="28"/>
        </w:rPr>
      </w:pPr>
      <w:r w:rsidRPr="00D07F55">
        <w:rPr>
          <w:sz w:val="28"/>
          <w:szCs w:val="28"/>
        </w:rPr>
        <w:t>For the a</w:t>
      </w:r>
      <w:r w:rsidRPr="0031085B">
        <w:rPr>
          <w:sz w:val="28"/>
          <w:szCs w:val="28"/>
        </w:rPr>
        <w:t>ppellant:</w:t>
      </w:r>
      <w:r w:rsidR="00E36D11">
        <w:rPr>
          <w:sz w:val="28"/>
          <w:szCs w:val="28"/>
        </w:rPr>
        <w:tab/>
      </w:r>
      <w:r w:rsidR="00E36D11">
        <w:rPr>
          <w:sz w:val="28"/>
          <w:szCs w:val="28"/>
        </w:rPr>
        <w:tab/>
      </w:r>
      <w:r w:rsidR="00E21BFB" w:rsidRPr="00E21BFB">
        <w:rPr>
          <w:sz w:val="28"/>
          <w:szCs w:val="28"/>
        </w:rPr>
        <w:t>H J O (Wallis) Roux</w:t>
      </w:r>
    </w:p>
    <w:p w14:paraId="3DD14A48" w14:textId="745E4BCC" w:rsidR="00E36D11" w:rsidRDefault="0031085B" w:rsidP="00C31F74">
      <w:pPr>
        <w:pStyle w:val="ListParagraph"/>
        <w:ind w:left="0"/>
        <w:rPr>
          <w:sz w:val="28"/>
          <w:szCs w:val="28"/>
        </w:rPr>
      </w:pPr>
      <w:r w:rsidRPr="0031085B">
        <w:rPr>
          <w:sz w:val="28"/>
          <w:szCs w:val="28"/>
        </w:rPr>
        <w:t xml:space="preserve">Instructed by: </w:t>
      </w:r>
      <w:r w:rsidRPr="0031085B">
        <w:rPr>
          <w:sz w:val="28"/>
          <w:szCs w:val="28"/>
        </w:rPr>
        <w:tab/>
      </w:r>
      <w:r w:rsidRPr="0031085B">
        <w:rPr>
          <w:sz w:val="28"/>
          <w:szCs w:val="28"/>
        </w:rPr>
        <w:tab/>
      </w:r>
      <w:r w:rsidR="009C3DB3">
        <w:rPr>
          <w:sz w:val="28"/>
          <w:szCs w:val="28"/>
        </w:rPr>
        <w:t>Brits &amp; Matthee Attorneys, Somerset West</w:t>
      </w:r>
    </w:p>
    <w:p w14:paraId="4A4C9171" w14:textId="0881348F" w:rsidR="00F60CE6" w:rsidRPr="0031085B" w:rsidRDefault="009C3DB3" w:rsidP="00E36D11">
      <w:pPr>
        <w:pStyle w:val="ListParagraph"/>
        <w:ind w:left="2160" w:firstLine="720"/>
        <w:rPr>
          <w:sz w:val="28"/>
          <w:szCs w:val="28"/>
        </w:rPr>
      </w:pPr>
      <w:r w:rsidRPr="009C3DB3">
        <w:rPr>
          <w:sz w:val="28"/>
          <w:szCs w:val="28"/>
        </w:rPr>
        <w:t>Brits &amp; Matthee</w:t>
      </w:r>
      <w:r>
        <w:rPr>
          <w:sz w:val="28"/>
          <w:szCs w:val="28"/>
        </w:rPr>
        <w:t xml:space="preserve"> Inc</w:t>
      </w:r>
      <w:r w:rsidR="00F60CE6">
        <w:rPr>
          <w:sz w:val="28"/>
          <w:szCs w:val="28"/>
        </w:rPr>
        <w:t>, Bloemfontein</w:t>
      </w:r>
    </w:p>
    <w:p w14:paraId="10ACA307" w14:textId="77777777" w:rsidR="0031085B" w:rsidRPr="0031085B" w:rsidRDefault="0031085B" w:rsidP="0031085B">
      <w:pPr>
        <w:pStyle w:val="ListParagraph"/>
        <w:ind w:left="0"/>
        <w:rPr>
          <w:sz w:val="28"/>
          <w:szCs w:val="28"/>
        </w:rPr>
      </w:pPr>
    </w:p>
    <w:p w14:paraId="49F700E9" w14:textId="1386E0DC" w:rsidR="0031085B" w:rsidRPr="00DF7647" w:rsidRDefault="00092448" w:rsidP="0031085B">
      <w:pPr>
        <w:pStyle w:val="ListParagraph"/>
        <w:ind w:left="0"/>
        <w:rPr>
          <w:sz w:val="28"/>
          <w:szCs w:val="28"/>
        </w:rPr>
      </w:pPr>
      <w:r w:rsidRPr="00DF7647">
        <w:rPr>
          <w:sz w:val="28"/>
          <w:szCs w:val="28"/>
        </w:rPr>
        <w:t>For the</w:t>
      </w:r>
      <w:r w:rsidR="00F13A41" w:rsidRPr="00DF7647">
        <w:rPr>
          <w:sz w:val="28"/>
          <w:szCs w:val="28"/>
        </w:rPr>
        <w:t xml:space="preserve"> </w:t>
      </w:r>
      <w:r w:rsidRPr="00DF7647">
        <w:rPr>
          <w:sz w:val="28"/>
          <w:szCs w:val="28"/>
        </w:rPr>
        <w:t>respondent</w:t>
      </w:r>
      <w:r w:rsidR="00E36D11">
        <w:rPr>
          <w:sz w:val="28"/>
          <w:szCs w:val="28"/>
        </w:rPr>
        <w:t>:</w:t>
      </w:r>
      <w:r w:rsidR="00E36D11">
        <w:rPr>
          <w:sz w:val="28"/>
          <w:szCs w:val="28"/>
        </w:rPr>
        <w:tab/>
      </w:r>
      <w:r w:rsidR="00E21BFB" w:rsidRPr="00E21BFB">
        <w:rPr>
          <w:sz w:val="28"/>
          <w:szCs w:val="28"/>
        </w:rPr>
        <w:t>F S G Sievers SC</w:t>
      </w:r>
    </w:p>
    <w:p w14:paraId="5950262C" w14:textId="2A1F8F02" w:rsidR="00E36D11" w:rsidRDefault="00E36D11" w:rsidP="00B55BB5">
      <w:pPr>
        <w:pStyle w:val="ListParagraph"/>
        <w:ind w:left="0"/>
        <w:rPr>
          <w:sz w:val="28"/>
          <w:szCs w:val="28"/>
        </w:rPr>
      </w:pPr>
      <w:r>
        <w:rPr>
          <w:sz w:val="28"/>
          <w:szCs w:val="28"/>
        </w:rPr>
        <w:t>Instructed by:</w:t>
      </w:r>
      <w:r>
        <w:rPr>
          <w:sz w:val="28"/>
          <w:szCs w:val="28"/>
        </w:rPr>
        <w:tab/>
      </w:r>
      <w:r>
        <w:rPr>
          <w:sz w:val="28"/>
          <w:szCs w:val="28"/>
        </w:rPr>
        <w:tab/>
      </w:r>
      <w:r w:rsidR="009C2519">
        <w:rPr>
          <w:sz w:val="28"/>
          <w:szCs w:val="28"/>
        </w:rPr>
        <w:t>Smith Tabata Buchanan Boyes, Cape Town</w:t>
      </w:r>
    </w:p>
    <w:p w14:paraId="4C55A2FE" w14:textId="5DFBEDE9" w:rsidR="00E164E6" w:rsidRDefault="009C2519" w:rsidP="009C3DB3">
      <w:pPr>
        <w:pStyle w:val="ListParagraph"/>
        <w:ind w:left="2160" w:firstLine="720"/>
        <w:rPr>
          <w:sz w:val="28"/>
          <w:szCs w:val="28"/>
          <w:lang w:eastAsia="en-ZA"/>
        </w:rPr>
      </w:pPr>
      <w:r>
        <w:rPr>
          <w:sz w:val="28"/>
          <w:szCs w:val="28"/>
        </w:rPr>
        <w:t>Webber Attorneys Inc</w:t>
      </w:r>
      <w:r w:rsidR="00DF3E84" w:rsidRPr="00DF7647">
        <w:rPr>
          <w:sz w:val="28"/>
          <w:szCs w:val="28"/>
          <w:lang w:eastAsia="en-ZA"/>
        </w:rPr>
        <w:t>, Bloemfontein</w:t>
      </w:r>
      <w:r w:rsidR="008F56A9">
        <w:rPr>
          <w:sz w:val="28"/>
          <w:szCs w:val="28"/>
          <w:lang w:eastAsia="en-ZA"/>
        </w:rPr>
        <w:t>.</w:t>
      </w:r>
    </w:p>
    <w:p w14:paraId="4DB48FA2" w14:textId="77777777" w:rsidR="00063755" w:rsidRDefault="00063755" w:rsidP="00B55BB5">
      <w:pPr>
        <w:pStyle w:val="ListParagraph"/>
        <w:ind w:left="0"/>
        <w:rPr>
          <w:sz w:val="28"/>
          <w:szCs w:val="28"/>
          <w:lang w:eastAsia="en-ZA"/>
        </w:rPr>
      </w:pPr>
    </w:p>
    <w:p w14:paraId="7E4D815B" w14:textId="77777777" w:rsidR="00063755" w:rsidRDefault="00063755" w:rsidP="00B55BB5">
      <w:pPr>
        <w:pStyle w:val="ListParagraph"/>
        <w:ind w:left="0"/>
        <w:rPr>
          <w:sz w:val="28"/>
          <w:szCs w:val="28"/>
          <w:lang w:eastAsia="en-ZA"/>
        </w:rPr>
      </w:pPr>
    </w:p>
    <w:p w14:paraId="0689A47F" w14:textId="77777777" w:rsidR="00063755" w:rsidRDefault="00063755" w:rsidP="00B55BB5">
      <w:pPr>
        <w:pStyle w:val="ListParagraph"/>
        <w:ind w:left="0"/>
        <w:rPr>
          <w:sz w:val="28"/>
          <w:szCs w:val="28"/>
          <w:lang w:eastAsia="en-ZA"/>
        </w:rPr>
      </w:pPr>
    </w:p>
    <w:p w14:paraId="4559E550" w14:textId="77777777" w:rsidR="00063755" w:rsidRDefault="00063755" w:rsidP="00B55BB5">
      <w:pPr>
        <w:pStyle w:val="ListParagraph"/>
        <w:ind w:left="0"/>
        <w:rPr>
          <w:sz w:val="28"/>
          <w:szCs w:val="28"/>
          <w:lang w:eastAsia="en-ZA"/>
        </w:rPr>
      </w:pPr>
    </w:p>
    <w:p w14:paraId="511A6985" w14:textId="77777777" w:rsidR="00063755" w:rsidRDefault="00063755" w:rsidP="00B55BB5">
      <w:pPr>
        <w:pStyle w:val="ListParagraph"/>
        <w:ind w:left="0"/>
        <w:rPr>
          <w:sz w:val="28"/>
          <w:szCs w:val="28"/>
          <w:lang w:eastAsia="en-ZA"/>
        </w:rPr>
      </w:pPr>
    </w:p>
    <w:p w14:paraId="56D335E0" w14:textId="77777777" w:rsidR="00063755" w:rsidRDefault="00063755" w:rsidP="00B55BB5">
      <w:pPr>
        <w:pStyle w:val="ListParagraph"/>
        <w:ind w:left="0"/>
        <w:rPr>
          <w:sz w:val="28"/>
          <w:szCs w:val="28"/>
          <w:lang w:eastAsia="en-ZA"/>
        </w:rPr>
      </w:pPr>
    </w:p>
    <w:p w14:paraId="06C06984" w14:textId="77777777" w:rsidR="00063755" w:rsidRDefault="00063755" w:rsidP="00B55BB5">
      <w:pPr>
        <w:pStyle w:val="ListParagraph"/>
        <w:ind w:left="0"/>
        <w:rPr>
          <w:sz w:val="28"/>
          <w:szCs w:val="28"/>
          <w:lang w:eastAsia="en-ZA"/>
        </w:rPr>
      </w:pPr>
    </w:p>
    <w:p w14:paraId="77A14634" w14:textId="77777777" w:rsidR="00063755" w:rsidRDefault="00063755" w:rsidP="00B55BB5">
      <w:pPr>
        <w:pStyle w:val="ListParagraph"/>
        <w:ind w:left="0"/>
        <w:rPr>
          <w:sz w:val="28"/>
          <w:szCs w:val="28"/>
          <w:lang w:eastAsia="en-ZA"/>
        </w:rPr>
      </w:pPr>
    </w:p>
    <w:p w14:paraId="3C98C74C" w14:textId="77777777" w:rsidR="00063755" w:rsidRDefault="00063755" w:rsidP="00B55BB5">
      <w:pPr>
        <w:pStyle w:val="ListParagraph"/>
        <w:ind w:left="0"/>
        <w:rPr>
          <w:sz w:val="28"/>
          <w:szCs w:val="28"/>
          <w:lang w:eastAsia="en-ZA"/>
        </w:rPr>
      </w:pPr>
    </w:p>
    <w:p w14:paraId="7395479D" w14:textId="7EB04BB7" w:rsidR="009F4951" w:rsidRPr="0031085B" w:rsidRDefault="009F4951" w:rsidP="001D6531">
      <w:pPr>
        <w:spacing w:line="240" w:lineRule="auto"/>
        <w:rPr>
          <w:sz w:val="28"/>
          <w:szCs w:val="28"/>
          <w:lang w:eastAsia="en-ZA"/>
        </w:rPr>
      </w:pPr>
    </w:p>
    <w:sectPr w:rsidR="009F4951" w:rsidRPr="0031085B" w:rsidSect="00A70E6B">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D20E4" w14:textId="77777777" w:rsidR="00060D6F" w:rsidRDefault="00060D6F" w:rsidP="001F6B30">
      <w:pPr>
        <w:spacing w:line="240" w:lineRule="auto"/>
      </w:pPr>
      <w:r>
        <w:separator/>
      </w:r>
    </w:p>
  </w:endnote>
  <w:endnote w:type="continuationSeparator" w:id="0">
    <w:p w14:paraId="58246831" w14:textId="77777777" w:rsidR="00060D6F" w:rsidRDefault="00060D6F" w:rsidP="001F6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BB609" w14:textId="77777777" w:rsidR="00060D6F" w:rsidRDefault="00060D6F" w:rsidP="001F6B30">
      <w:pPr>
        <w:spacing w:line="240" w:lineRule="auto"/>
      </w:pPr>
      <w:r>
        <w:separator/>
      </w:r>
    </w:p>
  </w:footnote>
  <w:footnote w:type="continuationSeparator" w:id="0">
    <w:p w14:paraId="4ACF4F9F" w14:textId="77777777" w:rsidR="00060D6F" w:rsidRDefault="00060D6F" w:rsidP="001F6B30">
      <w:pPr>
        <w:spacing w:line="240" w:lineRule="auto"/>
      </w:pPr>
      <w:r>
        <w:continuationSeparator/>
      </w:r>
    </w:p>
  </w:footnote>
  <w:footnote w:id="1">
    <w:p w14:paraId="6788F4F3" w14:textId="7F945944" w:rsidR="00964C48" w:rsidRPr="005F23A6" w:rsidRDefault="00964C48" w:rsidP="005F23A6">
      <w:pPr>
        <w:pStyle w:val="FootnoteText"/>
        <w:jc w:val="both"/>
        <w:rPr>
          <w:rFonts w:ascii="Times New Roman" w:hAnsi="Times New Roman" w:cs="Times New Roman"/>
        </w:rPr>
      </w:pPr>
      <w:r w:rsidRPr="005F23A6">
        <w:rPr>
          <w:rStyle w:val="FootnoteReference"/>
          <w:rFonts w:ascii="Times New Roman" w:hAnsi="Times New Roman" w:cs="Times New Roman"/>
        </w:rPr>
        <w:footnoteRef/>
      </w:r>
      <w:r w:rsidRPr="005F23A6">
        <w:rPr>
          <w:rFonts w:ascii="Times New Roman" w:hAnsi="Times New Roman" w:cs="Times New Roman"/>
        </w:rPr>
        <w:t xml:space="preserve"> </w:t>
      </w:r>
      <w:r w:rsidRPr="005F23A6">
        <w:rPr>
          <w:rFonts w:ascii="Times New Roman" w:hAnsi="Times New Roman" w:cs="Times New Roman"/>
          <w:i/>
          <w:iCs/>
          <w:lang w:val="en-GB"/>
        </w:rPr>
        <w:t>Datacolour International (Pty) Ltd v Intamarket</w:t>
      </w:r>
      <w:r w:rsidRPr="005F23A6">
        <w:rPr>
          <w:rFonts w:ascii="Times New Roman" w:hAnsi="Times New Roman" w:cs="Times New Roman"/>
        </w:rPr>
        <w:t xml:space="preserve"> 2001 (2) SA 284 (SCA)</w:t>
      </w:r>
      <w:r w:rsidR="009D6503" w:rsidRPr="005F23A6">
        <w:rPr>
          <w:rFonts w:ascii="Times New Roman" w:hAnsi="Times New Roman" w:cs="Times New Roman"/>
        </w:rPr>
        <w:t>;</w:t>
      </w:r>
      <w:r w:rsidRPr="005F23A6">
        <w:rPr>
          <w:rFonts w:ascii="Times New Roman" w:hAnsi="Times New Roman" w:cs="Times New Roman"/>
        </w:rPr>
        <w:t xml:space="preserve"> [2001] 1 All SA 581 (A) paras 16, 17 and 18.</w:t>
      </w:r>
    </w:p>
  </w:footnote>
  <w:footnote w:id="2">
    <w:p w14:paraId="0C2A09D6" w14:textId="2ABDEDB4" w:rsidR="00964C48" w:rsidRPr="005F23A6" w:rsidRDefault="00964C48" w:rsidP="005F23A6">
      <w:pPr>
        <w:pStyle w:val="FootnoteText"/>
        <w:jc w:val="both"/>
        <w:rPr>
          <w:rFonts w:ascii="Times New Roman" w:hAnsi="Times New Roman" w:cs="Times New Roman"/>
        </w:rPr>
      </w:pPr>
      <w:r w:rsidRPr="005F23A6">
        <w:rPr>
          <w:rStyle w:val="FootnoteReference"/>
          <w:rFonts w:ascii="Times New Roman" w:hAnsi="Times New Roman" w:cs="Times New Roman"/>
        </w:rPr>
        <w:footnoteRef/>
      </w:r>
      <w:r w:rsidRPr="005F23A6">
        <w:rPr>
          <w:rFonts w:ascii="Times New Roman" w:hAnsi="Times New Roman" w:cs="Times New Roman"/>
        </w:rPr>
        <w:t xml:space="preserve"> Ibid para 16, quoting Corbett JA in </w:t>
      </w:r>
      <w:r w:rsidRPr="005F23A6">
        <w:rPr>
          <w:rFonts w:ascii="Times New Roman" w:hAnsi="Times New Roman" w:cs="Times New Roman"/>
          <w:i/>
        </w:rPr>
        <w:t>Nash v Golden Dumps</w:t>
      </w:r>
      <w:r w:rsidRPr="005F23A6">
        <w:rPr>
          <w:rFonts w:ascii="Times New Roman" w:hAnsi="Times New Roman" w:cs="Times New Roman"/>
        </w:rPr>
        <w:t xml:space="preserve"> 1985</w:t>
      </w:r>
      <w:r w:rsidR="004E7AEF" w:rsidRPr="005F23A6">
        <w:rPr>
          <w:rFonts w:ascii="Times New Roman" w:hAnsi="Times New Roman" w:cs="Times New Roman"/>
        </w:rPr>
        <w:t xml:space="preserve"> </w:t>
      </w:r>
      <w:r w:rsidRPr="005F23A6">
        <w:rPr>
          <w:rFonts w:ascii="Times New Roman" w:hAnsi="Times New Roman" w:cs="Times New Roman"/>
        </w:rPr>
        <w:t>(3) SA 1 (A) at 22</w:t>
      </w:r>
      <w:r w:rsidR="004E7AEF" w:rsidRPr="005F23A6">
        <w:rPr>
          <w:rFonts w:ascii="Times New Roman" w:hAnsi="Times New Roman" w:cs="Times New Roman"/>
        </w:rPr>
        <w:t xml:space="preserve"> </w:t>
      </w:r>
      <w:r w:rsidRPr="005F23A6">
        <w:rPr>
          <w:rFonts w:ascii="Times New Roman" w:hAnsi="Times New Roman" w:cs="Times New Roman"/>
        </w:rPr>
        <w:t>D-F.</w:t>
      </w:r>
    </w:p>
  </w:footnote>
  <w:footnote w:id="3">
    <w:p w14:paraId="5016A959" w14:textId="75F2EE25" w:rsidR="00964C48" w:rsidRPr="005F23A6" w:rsidRDefault="00964C48" w:rsidP="005F23A6">
      <w:pPr>
        <w:pStyle w:val="FootnoteText"/>
        <w:jc w:val="both"/>
        <w:rPr>
          <w:rFonts w:ascii="Times New Roman" w:hAnsi="Times New Roman" w:cs="Times New Roman"/>
        </w:rPr>
      </w:pPr>
      <w:r w:rsidRPr="005F23A6">
        <w:rPr>
          <w:rStyle w:val="FootnoteReference"/>
          <w:rFonts w:ascii="Times New Roman" w:hAnsi="Times New Roman" w:cs="Times New Roman"/>
        </w:rPr>
        <w:footnoteRef/>
      </w:r>
      <w:r w:rsidRPr="005F23A6">
        <w:rPr>
          <w:rFonts w:ascii="Times New Roman" w:hAnsi="Times New Roman" w:cs="Times New Roman"/>
        </w:rPr>
        <w:t xml:space="preserve"> </w:t>
      </w:r>
      <w:r w:rsidRPr="005F23A6">
        <w:rPr>
          <w:rFonts w:ascii="Times New Roman" w:hAnsi="Times New Roman" w:cs="Times New Roman"/>
          <w:i/>
          <w:iCs/>
          <w:lang w:val="en-GB"/>
        </w:rPr>
        <w:t>Kragga Kamma Estates CC and Another v Flanagan</w:t>
      </w:r>
      <w:r w:rsidRPr="005F23A6">
        <w:rPr>
          <w:rFonts w:ascii="Times New Roman" w:hAnsi="Times New Roman" w:cs="Times New Roman"/>
        </w:rPr>
        <w:t xml:space="preserve"> 1995 (2) SA 367 (A); [1995] 1 All SA 486 (A) at</w:t>
      </w:r>
      <w:r w:rsidR="00345BC7" w:rsidRPr="005F23A6">
        <w:rPr>
          <w:rFonts w:ascii="Times New Roman" w:hAnsi="Times New Roman" w:cs="Times New Roman"/>
        </w:rPr>
        <w:t xml:space="preserve"> 374 H-J – 375 A-E</w:t>
      </w:r>
      <w:r w:rsidRPr="005F23A6">
        <w:rPr>
          <w:rFonts w:ascii="Times New Roman" w:hAnsi="Times New Roman" w:cs="Times New Roman"/>
        </w:rPr>
        <w:t>.</w:t>
      </w:r>
    </w:p>
  </w:footnote>
  <w:footnote w:id="4">
    <w:p w14:paraId="106BA55C" w14:textId="09D7F174" w:rsidR="00964C48" w:rsidRPr="005F23A6" w:rsidRDefault="00964C48" w:rsidP="005F23A6">
      <w:pPr>
        <w:pStyle w:val="FootnoteText"/>
        <w:jc w:val="both"/>
        <w:rPr>
          <w:rFonts w:ascii="Times New Roman" w:hAnsi="Times New Roman" w:cs="Times New Roman"/>
        </w:rPr>
      </w:pPr>
      <w:r w:rsidRPr="005F23A6">
        <w:rPr>
          <w:rStyle w:val="FootnoteReference"/>
          <w:rFonts w:ascii="Times New Roman" w:hAnsi="Times New Roman" w:cs="Times New Roman"/>
        </w:rPr>
        <w:footnoteRef/>
      </w:r>
      <w:r w:rsidRPr="005F23A6">
        <w:rPr>
          <w:rFonts w:ascii="Times New Roman" w:hAnsi="Times New Roman" w:cs="Times New Roman"/>
          <w:i/>
          <w:iCs/>
          <w:lang w:val="en-GB"/>
        </w:rPr>
        <w:t>Sweet v Ragerguhara NO and Others</w:t>
      </w:r>
      <w:r w:rsidRPr="005F23A6">
        <w:rPr>
          <w:rFonts w:ascii="Times New Roman" w:hAnsi="Times New Roman" w:cs="Times New Roman"/>
        </w:rPr>
        <w:t xml:space="preserve"> 1978</w:t>
      </w:r>
      <w:r w:rsidR="00017F68" w:rsidRPr="005F23A6">
        <w:rPr>
          <w:rFonts w:ascii="Times New Roman" w:hAnsi="Times New Roman" w:cs="Times New Roman"/>
        </w:rPr>
        <w:t xml:space="preserve"> </w:t>
      </w:r>
      <w:r w:rsidRPr="005F23A6">
        <w:rPr>
          <w:rFonts w:ascii="Times New Roman" w:hAnsi="Times New Roman" w:cs="Times New Roman"/>
        </w:rPr>
        <w:t>(1) SA 131 (D)</w:t>
      </w:r>
      <w:r w:rsidR="008E5A97" w:rsidRPr="005F23A6">
        <w:rPr>
          <w:rFonts w:ascii="Times New Roman" w:hAnsi="Times New Roman" w:cs="Times New Roman"/>
        </w:rPr>
        <w:t xml:space="preserve"> </w:t>
      </w:r>
      <w:r w:rsidRPr="005F23A6">
        <w:rPr>
          <w:rFonts w:ascii="Times New Roman" w:hAnsi="Times New Roman" w:cs="Times New Roman"/>
        </w:rPr>
        <w:t xml:space="preserve">at 139 </w:t>
      </w:r>
      <w:r w:rsidR="00946786" w:rsidRPr="005F23A6">
        <w:rPr>
          <w:rFonts w:ascii="Times New Roman" w:hAnsi="Times New Roman" w:cs="Times New Roman"/>
        </w:rPr>
        <w:t>E-G</w:t>
      </w:r>
      <w:r w:rsidRPr="005F23A6">
        <w:rPr>
          <w:rFonts w:ascii="Times New Roman" w:hAnsi="Times New Roman" w:cs="Times New Roman"/>
        </w:rPr>
        <w:t>.</w:t>
      </w:r>
    </w:p>
  </w:footnote>
  <w:footnote w:id="5">
    <w:p w14:paraId="5B982C4E" w14:textId="0B7C7C39" w:rsidR="00964C48" w:rsidRPr="005F23A6" w:rsidRDefault="00964C48" w:rsidP="005F23A6">
      <w:pPr>
        <w:pStyle w:val="FootnoteText"/>
        <w:jc w:val="both"/>
        <w:rPr>
          <w:rFonts w:ascii="Times New Roman" w:hAnsi="Times New Roman" w:cs="Times New Roman"/>
        </w:rPr>
      </w:pPr>
      <w:r w:rsidRPr="005F23A6">
        <w:rPr>
          <w:rStyle w:val="FootnoteReference"/>
          <w:rFonts w:ascii="Times New Roman" w:hAnsi="Times New Roman" w:cs="Times New Roman"/>
        </w:rPr>
        <w:footnoteRef/>
      </w:r>
      <w:r w:rsidRPr="005F23A6">
        <w:rPr>
          <w:rFonts w:ascii="Times New Roman" w:hAnsi="Times New Roman" w:cs="Times New Roman"/>
        </w:rPr>
        <w:t xml:space="preserve"> </w:t>
      </w:r>
      <w:r w:rsidRPr="005F23A6">
        <w:rPr>
          <w:rFonts w:ascii="Times New Roman" w:hAnsi="Times New Roman" w:cs="Times New Roman"/>
          <w:i/>
        </w:rPr>
        <w:t>Barkhuizen v Napier</w:t>
      </w:r>
      <w:r w:rsidRPr="005F23A6">
        <w:rPr>
          <w:rFonts w:ascii="Times New Roman" w:hAnsi="Times New Roman" w:cs="Times New Roman"/>
        </w:rPr>
        <w:t xml:space="preserve"> [2007] ZACC 5; 2007 (5) SA 323 (CC); 2007 (7) BCLR 691 (CC); </w:t>
      </w:r>
      <w:r w:rsidRPr="005F23A6">
        <w:rPr>
          <w:rFonts w:ascii="Times New Roman" w:hAnsi="Times New Roman" w:cs="Times New Roman"/>
          <w:i/>
        </w:rPr>
        <w:t xml:space="preserve">Beadica 231 CC and Others v Trustees for the time being of the Oregon Trust and Others </w:t>
      </w:r>
      <w:r w:rsidRPr="005F23A6">
        <w:rPr>
          <w:rFonts w:ascii="Times New Roman" w:hAnsi="Times New Roman" w:cs="Times New Roman"/>
        </w:rPr>
        <w:t xml:space="preserve">[2020] ZACC 13; 2020 (5) SA 247 (CC); 2020 (9) BCLR 1098 (CC); </w:t>
      </w:r>
      <w:r w:rsidRPr="005F23A6">
        <w:rPr>
          <w:rFonts w:ascii="Times New Roman" w:hAnsi="Times New Roman" w:cs="Times New Roman"/>
          <w:i/>
        </w:rPr>
        <w:t>Botha v Rich N.O.</w:t>
      </w:r>
      <w:r w:rsidRPr="005F23A6">
        <w:rPr>
          <w:rFonts w:ascii="Times New Roman" w:hAnsi="Times New Roman" w:cs="Times New Roman"/>
        </w:rPr>
        <w:t xml:space="preserve"> [2014] ZACC 11; 2014 (4) SA 124 (CC); 2014 (7) BCLR 741 (CC); </w:t>
      </w:r>
      <w:r w:rsidRPr="005F23A6">
        <w:rPr>
          <w:rFonts w:ascii="Times New Roman" w:hAnsi="Times New Roman" w:cs="Times New Roman"/>
          <w:i/>
        </w:rPr>
        <w:t>AB v Pridwin Preparatory School</w:t>
      </w:r>
      <w:r w:rsidRPr="005F23A6">
        <w:rPr>
          <w:rFonts w:ascii="Times New Roman" w:hAnsi="Times New Roman" w:cs="Times New Roman"/>
        </w:rPr>
        <w:t xml:space="preserve"> [2018] ZASCA 150; 2019 (1) SA 327 (SCA). </w:t>
      </w:r>
    </w:p>
  </w:footnote>
  <w:footnote w:id="6">
    <w:p w14:paraId="77E8A185" w14:textId="40168984" w:rsidR="00964C48" w:rsidRPr="005F23A6" w:rsidRDefault="00964C48" w:rsidP="005F23A6">
      <w:pPr>
        <w:pStyle w:val="FootnoteText"/>
        <w:jc w:val="both"/>
        <w:rPr>
          <w:rFonts w:ascii="Times New Roman" w:hAnsi="Times New Roman" w:cs="Times New Roman"/>
        </w:rPr>
      </w:pPr>
      <w:r w:rsidRPr="005F23A6">
        <w:rPr>
          <w:rStyle w:val="FootnoteReference"/>
          <w:rFonts w:ascii="Times New Roman" w:hAnsi="Times New Roman" w:cs="Times New Roman"/>
        </w:rPr>
        <w:footnoteRef/>
      </w:r>
      <w:r w:rsidRPr="005F23A6">
        <w:rPr>
          <w:rFonts w:ascii="Times New Roman" w:hAnsi="Times New Roman" w:cs="Times New Roman"/>
        </w:rPr>
        <w:t xml:space="preserve"> </w:t>
      </w:r>
      <w:r w:rsidRPr="005F23A6">
        <w:rPr>
          <w:rFonts w:ascii="Times New Roman" w:hAnsi="Times New Roman" w:cs="Times New Roman"/>
          <w:i/>
        </w:rPr>
        <w:t>Beadica 231 CC and Others v Trustees for the time being of the Oregon Trust and Others</w:t>
      </w:r>
      <w:r w:rsidRPr="005F23A6">
        <w:rPr>
          <w:rFonts w:ascii="Times New Roman" w:hAnsi="Times New Roman" w:cs="Times New Roman"/>
        </w:rPr>
        <w:t xml:space="preserve"> [2020] ZACC 13; 2020 (5) SA 247 (CC); 2020 (9) BCLR 1098 (CC) </w:t>
      </w:r>
      <w:r w:rsidR="006E01BD" w:rsidRPr="005F23A6">
        <w:rPr>
          <w:rFonts w:ascii="Times New Roman" w:hAnsi="Times New Roman" w:cs="Times New Roman"/>
        </w:rPr>
        <w:t>(</w:t>
      </w:r>
      <w:r w:rsidR="006E01BD" w:rsidRPr="005F23A6">
        <w:rPr>
          <w:rFonts w:ascii="Times New Roman" w:hAnsi="Times New Roman" w:cs="Times New Roman"/>
          <w:i/>
        </w:rPr>
        <w:t>Beadica</w:t>
      </w:r>
      <w:r w:rsidR="006E01BD" w:rsidRPr="005F23A6">
        <w:rPr>
          <w:rFonts w:ascii="Times New Roman" w:hAnsi="Times New Roman" w:cs="Times New Roman"/>
        </w:rPr>
        <w:t xml:space="preserve">) </w:t>
      </w:r>
      <w:r w:rsidRPr="005F23A6">
        <w:rPr>
          <w:rFonts w:ascii="Times New Roman" w:hAnsi="Times New Roman" w:cs="Times New Roman"/>
        </w:rPr>
        <w:t xml:space="preserve">para 83, quoting </w:t>
      </w:r>
      <w:r w:rsidRPr="005F23A6">
        <w:rPr>
          <w:rFonts w:ascii="Times New Roman" w:hAnsi="Times New Roman" w:cs="Times New Roman"/>
          <w:i/>
        </w:rPr>
        <w:t>Barkhuhizen v Napier</w:t>
      </w:r>
      <w:r w:rsidRPr="005F23A6">
        <w:rPr>
          <w:rFonts w:ascii="Times New Roman" w:hAnsi="Times New Roman" w:cs="Times New Roman"/>
        </w:rPr>
        <w:t xml:space="preserve"> [2007] ZACC 5; 2007 (5) SA 323 (CC); 2007 (7) BCLR 691 (CC) para 57.</w:t>
      </w:r>
    </w:p>
  </w:footnote>
  <w:footnote w:id="7">
    <w:p w14:paraId="32896ED1" w14:textId="7271BF0D" w:rsidR="00964C48" w:rsidRPr="005F23A6" w:rsidRDefault="00964C48" w:rsidP="005F23A6">
      <w:pPr>
        <w:pStyle w:val="FootnoteText"/>
        <w:jc w:val="both"/>
        <w:rPr>
          <w:rFonts w:ascii="Times New Roman" w:hAnsi="Times New Roman" w:cs="Times New Roman"/>
        </w:rPr>
      </w:pPr>
      <w:r w:rsidRPr="005F23A6">
        <w:rPr>
          <w:rStyle w:val="FootnoteReference"/>
          <w:rFonts w:ascii="Times New Roman" w:hAnsi="Times New Roman" w:cs="Times New Roman"/>
        </w:rPr>
        <w:footnoteRef/>
      </w:r>
      <w:r w:rsidRPr="005F23A6">
        <w:rPr>
          <w:rFonts w:ascii="Times New Roman" w:hAnsi="Times New Roman" w:cs="Times New Roman"/>
        </w:rPr>
        <w:t xml:space="preserve"> </w:t>
      </w:r>
      <w:r w:rsidR="00687D0A" w:rsidRPr="005F23A6">
        <w:rPr>
          <w:rFonts w:ascii="Times New Roman" w:hAnsi="Times New Roman" w:cs="Times New Roman"/>
          <w:i/>
          <w:iCs/>
        </w:rPr>
        <w:t>Beadica</w:t>
      </w:r>
      <w:r w:rsidR="00687D0A" w:rsidRPr="005F23A6">
        <w:rPr>
          <w:rFonts w:ascii="Times New Roman" w:hAnsi="Times New Roman" w:cs="Times New Roman"/>
        </w:rPr>
        <w:t xml:space="preserve"> para 80</w:t>
      </w:r>
      <w:r w:rsidRPr="005F23A6">
        <w:rPr>
          <w:rFonts w:ascii="Times New Roman" w:hAnsi="Times New Roman" w:cs="Times New Roman"/>
        </w:rPr>
        <w:t>.</w:t>
      </w:r>
    </w:p>
  </w:footnote>
  <w:footnote w:id="8">
    <w:p w14:paraId="5EA2A373" w14:textId="7ADCB94C" w:rsidR="00964C48" w:rsidRPr="005F23A6" w:rsidRDefault="00964C48" w:rsidP="005F23A6">
      <w:pPr>
        <w:pStyle w:val="FootnoteText"/>
        <w:jc w:val="both"/>
        <w:rPr>
          <w:rFonts w:ascii="Times New Roman" w:hAnsi="Times New Roman" w:cs="Times New Roman"/>
        </w:rPr>
      </w:pPr>
      <w:r w:rsidRPr="005F23A6">
        <w:rPr>
          <w:rStyle w:val="FootnoteReference"/>
          <w:rFonts w:ascii="Times New Roman" w:hAnsi="Times New Roman" w:cs="Times New Roman"/>
        </w:rPr>
        <w:footnoteRef/>
      </w:r>
      <w:r w:rsidRPr="005F23A6">
        <w:rPr>
          <w:rFonts w:ascii="Times New Roman" w:hAnsi="Times New Roman" w:cs="Times New Roman"/>
        </w:rPr>
        <w:t xml:space="preserve"> </w:t>
      </w:r>
      <w:r w:rsidR="00F8762E" w:rsidRPr="005F23A6">
        <w:rPr>
          <w:rFonts w:ascii="Times New Roman" w:hAnsi="Times New Roman" w:cs="Times New Roman"/>
          <w:i/>
        </w:rPr>
        <w:t xml:space="preserve">Ibid </w:t>
      </w:r>
      <w:r w:rsidRPr="005F23A6">
        <w:rPr>
          <w:rFonts w:ascii="Times New Roman" w:hAnsi="Times New Roman" w:cs="Times New Roman"/>
        </w:rPr>
        <w:t>para 79 and 80.</w:t>
      </w:r>
    </w:p>
  </w:footnote>
  <w:footnote w:id="9">
    <w:p w14:paraId="50D6877F" w14:textId="37FD68A4" w:rsidR="003307F2" w:rsidRPr="005F23A6" w:rsidRDefault="003307F2" w:rsidP="005F23A6">
      <w:pPr>
        <w:pStyle w:val="FootnoteText"/>
        <w:jc w:val="both"/>
        <w:rPr>
          <w:rFonts w:ascii="Times New Roman" w:hAnsi="Times New Roman" w:cs="Times New Roman"/>
          <w:lang w:val="en-GB"/>
        </w:rPr>
      </w:pPr>
      <w:r w:rsidRPr="005F23A6">
        <w:rPr>
          <w:rStyle w:val="FootnoteReference"/>
          <w:rFonts w:ascii="Times New Roman" w:hAnsi="Times New Roman" w:cs="Times New Roman"/>
        </w:rPr>
        <w:footnoteRef/>
      </w:r>
      <w:r w:rsidRPr="005F23A6">
        <w:rPr>
          <w:rFonts w:ascii="Times New Roman" w:hAnsi="Times New Roman" w:cs="Times New Roman"/>
        </w:rPr>
        <w:t xml:space="preserve"> </w:t>
      </w:r>
      <w:r w:rsidRPr="005F23A6">
        <w:rPr>
          <w:rFonts w:ascii="Times New Roman" w:hAnsi="Times New Roman" w:cs="Times New Roman"/>
          <w:i/>
          <w:iCs/>
          <w:lang w:val="en-GB"/>
        </w:rPr>
        <w:t xml:space="preserve">Rozaar CC v Falls Supermarket CC </w:t>
      </w:r>
      <w:r w:rsidR="00747FF9" w:rsidRPr="005F23A6">
        <w:rPr>
          <w:rFonts w:ascii="Times New Roman" w:hAnsi="Times New Roman" w:cs="Times New Roman"/>
          <w:iCs/>
          <w:lang w:val="en-GB"/>
        </w:rPr>
        <w:t>[2017] ZASCA 166; [2018] 1 All SA 438 (SCA);</w:t>
      </w:r>
      <w:r w:rsidR="00747FF9" w:rsidRPr="005F23A6">
        <w:rPr>
          <w:rFonts w:ascii="Times New Roman" w:hAnsi="Times New Roman" w:cs="Times New Roman"/>
          <w:i/>
          <w:iCs/>
          <w:lang w:val="en-GB"/>
        </w:rPr>
        <w:t xml:space="preserve"> </w:t>
      </w:r>
      <w:r w:rsidRPr="005F23A6">
        <w:rPr>
          <w:rFonts w:ascii="Times New Roman" w:hAnsi="Times New Roman" w:cs="Times New Roman"/>
          <w:lang w:val="en-GB"/>
        </w:rPr>
        <w:t>2018 (3) SA 76 (SCA) para 24</w:t>
      </w:r>
      <w:r w:rsidR="00747FF9" w:rsidRPr="005F23A6">
        <w:rPr>
          <w:rFonts w:ascii="Times New Roman" w:hAnsi="Times New Roman" w:cs="Times New Roman"/>
          <w:lang w:val="en-GB"/>
        </w:rPr>
        <w:t>.</w:t>
      </w:r>
    </w:p>
  </w:footnote>
  <w:footnote w:id="10">
    <w:p w14:paraId="36512316" w14:textId="42A81EFE" w:rsidR="00964C48" w:rsidRPr="005F23A6" w:rsidRDefault="00964C48" w:rsidP="005F23A6">
      <w:pPr>
        <w:pStyle w:val="FootnoteText"/>
        <w:jc w:val="both"/>
        <w:rPr>
          <w:rFonts w:ascii="Times New Roman" w:hAnsi="Times New Roman" w:cs="Times New Roman"/>
        </w:rPr>
      </w:pPr>
      <w:r w:rsidRPr="005F23A6">
        <w:rPr>
          <w:rStyle w:val="FootnoteReference"/>
          <w:rFonts w:ascii="Times New Roman" w:hAnsi="Times New Roman" w:cs="Times New Roman"/>
        </w:rPr>
        <w:footnoteRef/>
      </w:r>
      <w:r w:rsidRPr="005F23A6">
        <w:rPr>
          <w:rFonts w:ascii="Times New Roman" w:hAnsi="Times New Roman" w:cs="Times New Roman"/>
        </w:rPr>
        <w:t xml:space="preserve"> </w:t>
      </w:r>
      <w:r w:rsidRPr="005F23A6">
        <w:rPr>
          <w:rFonts w:ascii="Times New Roman" w:hAnsi="Times New Roman" w:cs="Times New Roman"/>
          <w:i/>
          <w:iCs/>
          <w:lang w:val="en-GB"/>
        </w:rPr>
        <w:t>Everfresh Market Virginia (Pty) Ltd v Shoprite Checkers (Pty) Ltd</w:t>
      </w:r>
      <w:r w:rsidRPr="005F23A6">
        <w:rPr>
          <w:rFonts w:ascii="Times New Roman" w:hAnsi="Times New Roman" w:cs="Times New Roman"/>
        </w:rPr>
        <w:t xml:space="preserve"> [2011] ZACC 30; 2012</w:t>
      </w:r>
      <w:r w:rsidR="00212A3B" w:rsidRPr="005F23A6">
        <w:rPr>
          <w:rFonts w:ascii="Times New Roman" w:hAnsi="Times New Roman" w:cs="Times New Roman"/>
        </w:rPr>
        <w:t xml:space="preserve"> </w:t>
      </w:r>
      <w:r w:rsidRPr="005F23A6">
        <w:rPr>
          <w:rFonts w:ascii="Times New Roman" w:hAnsi="Times New Roman" w:cs="Times New Roman"/>
        </w:rPr>
        <w:t xml:space="preserve">(1) SA 256 (CC); 2012 (3) BCLR 219 (CC). </w:t>
      </w:r>
    </w:p>
  </w:footnote>
  <w:footnote w:id="11">
    <w:p w14:paraId="401897D4" w14:textId="0841F114" w:rsidR="005F23A6" w:rsidRPr="005F23A6" w:rsidRDefault="005F23A6" w:rsidP="005F23A6">
      <w:pPr>
        <w:pStyle w:val="FootnoteText"/>
        <w:jc w:val="both"/>
        <w:rPr>
          <w:rFonts w:ascii="Times New Roman" w:hAnsi="Times New Roman" w:cs="Times New Roman"/>
        </w:rPr>
      </w:pPr>
      <w:r w:rsidRPr="005F23A6">
        <w:rPr>
          <w:rStyle w:val="FootnoteReference"/>
          <w:rFonts w:ascii="Times New Roman" w:hAnsi="Times New Roman" w:cs="Times New Roman"/>
        </w:rPr>
        <w:footnoteRef/>
      </w:r>
      <w:r w:rsidRPr="005F23A6">
        <w:rPr>
          <w:rFonts w:ascii="Times New Roman" w:hAnsi="Times New Roman" w:cs="Times New Roman"/>
        </w:rPr>
        <w:t xml:space="preserve"> Ibid </w:t>
      </w:r>
      <w:r>
        <w:rPr>
          <w:rFonts w:ascii="Times New Roman" w:hAnsi="Times New Roman" w:cs="Times New Roman"/>
        </w:rPr>
        <w:t xml:space="preserve">para 30 quoting </w:t>
      </w:r>
      <w:r w:rsidRPr="005F23A6">
        <w:rPr>
          <w:rFonts w:ascii="Times New Roman" w:hAnsi="Times New Roman" w:cs="Times New Roman"/>
          <w:i/>
        </w:rPr>
        <w:t xml:space="preserve">Carmichele v Minister of Safety and Security </w:t>
      </w:r>
      <w:r w:rsidRPr="005F23A6">
        <w:rPr>
          <w:rFonts w:ascii="Times New Roman" w:hAnsi="Times New Roman" w:cs="Times New Roman"/>
        </w:rPr>
        <w:t>[2001] ZACC 22; 2001 (4) SA 938 (CC); 2001 (10) BCLR 995 (CC)</w:t>
      </w:r>
      <w:r w:rsidR="00BD66FA">
        <w:rPr>
          <w:rFonts w:ascii="Times New Roman" w:hAnsi="Times New Roman" w:cs="Times New Roman"/>
        </w:rPr>
        <w:t xml:space="preserve"> (</w:t>
      </w:r>
      <w:r w:rsidR="00BD66FA">
        <w:rPr>
          <w:rFonts w:ascii="Times New Roman" w:hAnsi="Times New Roman" w:cs="Times New Roman"/>
          <w:i/>
        </w:rPr>
        <w:t>Carmichele</w:t>
      </w:r>
      <w:r w:rsidR="00BD66FA">
        <w:rPr>
          <w:rFonts w:ascii="Times New Roman" w:hAnsi="Times New Roman" w:cs="Times New Roman"/>
        </w:rPr>
        <w:t>)</w:t>
      </w:r>
      <w:r>
        <w:rPr>
          <w:rFonts w:ascii="Times New Roman" w:hAnsi="Times New Roman" w:cs="Times New Roman"/>
        </w:rPr>
        <w:t xml:space="preserve"> </w:t>
      </w:r>
      <w:r w:rsidR="0067677E">
        <w:rPr>
          <w:rFonts w:ascii="Times New Roman" w:hAnsi="Times New Roman" w:cs="Times New Roman"/>
        </w:rPr>
        <w:t>paras 39-40.</w:t>
      </w:r>
    </w:p>
  </w:footnote>
  <w:footnote w:id="12">
    <w:p w14:paraId="61BBDC88" w14:textId="52F56342" w:rsidR="00964C48" w:rsidRPr="005F23A6" w:rsidRDefault="00964C48" w:rsidP="005F23A6">
      <w:pPr>
        <w:pStyle w:val="FootnoteText"/>
        <w:jc w:val="both"/>
        <w:rPr>
          <w:rFonts w:ascii="Times New Roman" w:hAnsi="Times New Roman" w:cs="Times New Roman"/>
        </w:rPr>
      </w:pPr>
      <w:r w:rsidRPr="005F23A6">
        <w:rPr>
          <w:rStyle w:val="FootnoteReference"/>
          <w:rFonts w:ascii="Times New Roman" w:hAnsi="Times New Roman" w:cs="Times New Roman"/>
        </w:rPr>
        <w:footnoteRef/>
      </w:r>
      <w:r w:rsidRPr="005F23A6">
        <w:rPr>
          <w:rFonts w:ascii="Times New Roman" w:hAnsi="Times New Roman" w:cs="Times New Roman"/>
        </w:rPr>
        <w:t xml:space="preserve"> </w:t>
      </w:r>
      <w:r w:rsidRPr="005F23A6">
        <w:rPr>
          <w:rFonts w:ascii="Times New Roman" w:hAnsi="Times New Roman" w:cs="Times New Roman"/>
          <w:i/>
        </w:rPr>
        <w:t>Carmichele</w:t>
      </w:r>
      <w:r w:rsidR="00633EB0" w:rsidRPr="005F23A6">
        <w:rPr>
          <w:rFonts w:ascii="Times New Roman" w:hAnsi="Times New Roman" w:cs="Times New Roman"/>
        </w:rPr>
        <w:t>.</w:t>
      </w:r>
    </w:p>
  </w:footnote>
  <w:footnote w:id="13">
    <w:p w14:paraId="08EB0CB2" w14:textId="59772D9D" w:rsidR="00B70FFA" w:rsidRPr="005F23A6" w:rsidRDefault="00B70FFA" w:rsidP="005F23A6">
      <w:pPr>
        <w:pStyle w:val="FootnoteText"/>
        <w:jc w:val="both"/>
        <w:rPr>
          <w:rFonts w:ascii="Times New Roman" w:hAnsi="Times New Roman" w:cs="Times New Roman"/>
        </w:rPr>
      </w:pPr>
      <w:r w:rsidRPr="005F23A6">
        <w:rPr>
          <w:rStyle w:val="FootnoteReference"/>
          <w:rFonts w:ascii="Times New Roman" w:hAnsi="Times New Roman" w:cs="Times New Roman"/>
        </w:rPr>
        <w:footnoteRef/>
      </w:r>
      <w:r w:rsidRPr="005F23A6">
        <w:rPr>
          <w:rFonts w:ascii="Times New Roman" w:hAnsi="Times New Roman" w:cs="Times New Roman"/>
        </w:rPr>
        <w:t xml:space="preserve"> </w:t>
      </w:r>
      <w:r w:rsidRPr="005F23A6">
        <w:rPr>
          <w:rFonts w:ascii="Times New Roman" w:hAnsi="Times New Roman" w:cs="Times New Roman"/>
          <w:lang w:val="en-GB"/>
        </w:rPr>
        <w:t>See respondent’s heads of argument para 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3B723" w14:textId="77777777" w:rsidR="00964C48" w:rsidRDefault="00964C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B59C66" w14:textId="77777777" w:rsidR="00964C48" w:rsidRDefault="00964C4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C0C77" w14:textId="167BC12D" w:rsidR="00964C48" w:rsidRPr="0031085B" w:rsidRDefault="00964C48">
    <w:pPr>
      <w:pStyle w:val="Header"/>
      <w:framePr w:wrap="around" w:vAnchor="text" w:hAnchor="margin" w:xAlign="right" w:y="1"/>
      <w:rPr>
        <w:rStyle w:val="PageNumber"/>
        <w:sz w:val="28"/>
        <w:szCs w:val="28"/>
      </w:rPr>
    </w:pPr>
    <w:r w:rsidRPr="0031085B">
      <w:rPr>
        <w:rStyle w:val="PageNumber"/>
        <w:sz w:val="28"/>
        <w:szCs w:val="28"/>
      </w:rPr>
      <w:fldChar w:fldCharType="begin"/>
    </w:r>
    <w:r w:rsidRPr="0031085B">
      <w:rPr>
        <w:rStyle w:val="PageNumber"/>
        <w:sz w:val="28"/>
        <w:szCs w:val="28"/>
      </w:rPr>
      <w:instrText xml:space="preserve">PAGE  </w:instrText>
    </w:r>
    <w:r w:rsidRPr="0031085B">
      <w:rPr>
        <w:rStyle w:val="PageNumber"/>
        <w:sz w:val="28"/>
        <w:szCs w:val="28"/>
      </w:rPr>
      <w:fldChar w:fldCharType="separate"/>
    </w:r>
    <w:r w:rsidR="00555746">
      <w:rPr>
        <w:rStyle w:val="PageNumber"/>
        <w:noProof/>
        <w:sz w:val="28"/>
        <w:szCs w:val="28"/>
      </w:rPr>
      <w:t>18</w:t>
    </w:r>
    <w:r w:rsidRPr="0031085B">
      <w:rPr>
        <w:rStyle w:val="PageNumber"/>
        <w:sz w:val="28"/>
        <w:szCs w:val="28"/>
      </w:rPr>
      <w:fldChar w:fldCharType="end"/>
    </w:r>
  </w:p>
  <w:p w14:paraId="4637054D" w14:textId="77777777" w:rsidR="00964C48" w:rsidRPr="0031085B" w:rsidRDefault="00964C48">
    <w:pPr>
      <w:pStyle w:val="Header"/>
      <w:ind w:right="360"/>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E24"/>
    <w:multiLevelType w:val="hybridMultilevel"/>
    <w:tmpl w:val="C0D2D152"/>
    <w:lvl w:ilvl="0" w:tplc="9468CD4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8763A63"/>
    <w:multiLevelType w:val="hybridMultilevel"/>
    <w:tmpl w:val="895E5730"/>
    <w:lvl w:ilvl="0" w:tplc="4E94E1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5A7A26"/>
    <w:multiLevelType w:val="hybridMultilevel"/>
    <w:tmpl w:val="71A6687C"/>
    <w:lvl w:ilvl="0" w:tplc="EA986A58">
      <w:start w:val="1"/>
      <w:numFmt w:val="decimal"/>
      <w:pStyle w:val="JUDGMENTNUMBERED"/>
      <w:lvlText w:val="[%1]"/>
      <w:lvlJc w:val="left"/>
      <w:pPr>
        <w:ind w:left="3200"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42A3BA">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9FE7929"/>
    <w:multiLevelType w:val="hybridMultilevel"/>
    <w:tmpl w:val="3FE0FA20"/>
    <w:lvl w:ilvl="0" w:tplc="5F8AAFC2">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54CEA"/>
    <w:multiLevelType w:val="hybridMultilevel"/>
    <w:tmpl w:val="071E6CEE"/>
    <w:lvl w:ilvl="0" w:tplc="ECFC0D0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F654814"/>
    <w:multiLevelType w:val="hybridMultilevel"/>
    <w:tmpl w:val="ECF050A6"/>
    <w:lvl w:ilvl="0" w:tplc="ABC671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17600C"/>
    <w:multiLevelType w:val="hybridMultilevel"/>
    <w:tmpl w:val="CC101DEC"/>
    <w:lvl w:ilvl="0" w:tplc="E020BFAE">
      <w:start w:val="1"/>
      <w:numFmt w:val="decimal"/>
      <w:lvlText w:val="[%1]"/>
      <w:lvlJc w:val="left"/>
      <w:pPr>
        <w:ind w:left="67" w:firstLine="67"/>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0799B"/>
    <w:multiLevelType w:val="hybridMultilevel"/>
    <w:tmpl w:val="602868E4"/>
    <w:lvl w:ilvl="0" w:tplc="2D7E889C">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1279AD"/>
    <w:multiLevelType w:val="hybridMultilevel"/>
    <w:tmpl w:val="8C4CE2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30A63B7"/>
    <w:multiLevelType w:val="hybridMultilevel"/>
    <w:tmpl w:val="55D68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34349C"/>
    <w:multiLevelType w:val="hybridMultilevel"/>
    <w:tmpl w:val="C6343ACE"/>
    <w:lvl w:ilvl="0" w:tplc="F56A66DE">
      <w:start w:val="1"/>
      <w:numFmt w:val="lowerLetter"/>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7A9493F"/>
    <w:multiLevelType w:val="hybridMultilevel"/>
    <w:tmpl w:val="727C9D68"/>
    <w:lvl w:ilvl="0" w:tplc="509625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61DFA"/>
    <w:multiLevelType w:val="hybridMultilevel"/>
    <w:tmpl w:val="629EB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F1A45"/>
    <w:multiLevelType w:val="hybridMultilevel"/>
    <w:tmpl w:val="5DB42BA4"/>
    <w:lvl w:ilvl="0" w:tplc="3404C70A">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4" w15:restartNumberingAfterBreak="0">
    <w:nsid w:val="45116539"/>
    <w:multiLevelType w:val="multilevel"/>
    <w:tmpl w:val="26EC764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7DE60E3"/>
    <w:multiLevelType w:val="hybridMultilevel"/>
    <w:tmpl w:val="452647C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88D7D6A"/>
    <w:multiLevelType w:val="hybridMultilevel"/>
    <w:tmpl w:val="166A3918"/>
    <w:lvl w:ilvl="0" w:tplc="B764EB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A253783"/>
    <w:multiLevelType w:val="hybridMultilevel"/>
    <w:tmpl w:val="A25E8C44"/>
    <w:lvl w:ilvl="0" w:tplc="6002816C">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4A9868BA"/>
    <w:multiLevelType w:val="hybridMultilevel"/>
    <w:tmpl w:val="01C2E1F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67459B8"/>
    <w:multiLevelType w:val="hybridMultilevel"/>
    <w:tmpl w:val="6D76E7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DA37C83"/>
    <w:multiLevelType w:val="hybridMultilevel"/>
    <w:tmpl w:val="4732A338"/>
    <w:lvl w:ilvl="0" w:tplc="14181932">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53A3221"/>
    <w:multiLevelType w:val="hybridMultilevel"/>
    <w:tmpl w:val="D488F05E"/>
    <w:lvl w:ilvl="0" w:tplc="3AB6D550">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FDE5771"/>
    <w:multiLevelType w:val="hybridMultilevel"/>
    <w:tmpl w:val="6D001DB0"/>
    <w:lvl w:ilvl="0" w:tplc="594669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E270D1"/>
    <w:multiLevelType w:val="hybridMultilevel"/>
    <w:tmpl w:val="663213CC"/>
    <w:lvl w:ilvl="0" w:tplc="9DA8DE3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719A6900"/>
    <w:multiLevelType w:val="hybridMultilevel"/>
    <w:tmpl w:val="F5F2E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3069E7"/>
    <w:multiLevelType w:val="multilevel"/>
    <w:tmpl w:val="5FC699A4"/>
    <w:lvl w:ilvl="0">
      <w:start w:val="49"/>
      <w:numFmt w:val="decimal"/>
      <w:lvlText w:val="%1"/>
      <w:lvlJc w:val="left"/>
      <w:pPr>
        <w:ind w:left="490" w:hanging="490"/>
      </w:pPr>
      <w:rPr>
        <w:rFonts w:hint="default"/>
      </w:rPr>
    </w:lvl>
    <w:lvl w:ilvl="1">
      <w:start w:val="1"/>
      <w:numFmt w:val="decimal"/>
      <w:lvlText w:val="%1.%2"/>
      <w:lvlJc w:val="left"/>
      <w:pPr>
        <w:ind w:left="850" w:hanging="4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72A43F3E"/>
    <w:multiLevelType w:val="multilevel"/>
    <w:tmpl w:val="F5A418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D327B1"/>
    <w:multiLevelType w:val="hybridMultilevel"/>
    <w:tmpl w:val="EA7C1BEA"/>
    <w:lvl w:ilvl="0" w:tplc="B896F5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C1451E2"/>
    <w:multiLevelType w:val="hybridMultilevel"/>
    <w:tmpl w:val="B224A7BA"/>
    <w:lvl w:ilvl="0" w:tplc="E350FF30">
      <w:start w:val="1"/>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551FFA"/>
    <w:multiLevelType w:val="hybridMultilevel"/>
    <w:tmpl w:val="63AC2AFA"/>
    <w:lvl w:ilvl="0" w:tplc="1A047824">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4F7B30"/>
    <w:multiLevelType w:val="hybridMultilevel"/>
    <w:tmpl w:val="2BAE2094"/>
    <w:lvl w:ilvl="0" w:tplc="11509542">
      <w:start w:val="1"/>
      <w:numFmt w:val="decimal"/>
      <w:lvlText w:val="[%1]"/>
      <w:lvlJc w:val="left"/>
      <w:pPr>
        <w:ind w:left="644" w:hanging="360"/>
      </w:pPr>
      <w:rPr>
        <w:rFonts w:ascii="Times New Roman" w:hAnsi="Times New Roman" w:cs="Times New Roman" w:hint="default"/>
        <w:b w:val="0"/>
        <w:i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3"/>
  </w:num>
  <w:num w:numId="3">
    <w:abstractNumId w:val="14"/>
  </w:num>
  <w:num w:numId="4">
    <w:abstractNumId w:val="2"/>
  </w:num>
  <w:num w:numId="5">
    <w:abstractNumId w:val="18"/>
  </w:num>
  <w:num w:numId="6">
    <w:abstractNumId w:val="25"/>
  </w:num>
  <w:num w:numId="7">
    <w:abstractNumId w:val="2"/>
    <w:lvlOverride w:ilvl="0">
      <w:startOverride w:val="1"/>
    </w:lvlOverride>
  </w:num>
  <w:num w:numId="8">
    <w:abstractNumId w:val="20"/>
  </w:num>
  <w:num w:numId="9">
    <w:abstractNumId w:val="7"/>
  </w:num>
  <w:num w:numId="10">
    <w:abstractNumId w:val="26"/>
  </w:num>
  <w:num w:numId="11">
    <w:abstractNumId w:val="10"/>
  </w:num>
  <w:num w:numId="12">
    <w:abstractNumId w:val="13"/>
  </w:num>
  <w:num w:numId="13">
    <w:abstractNumId w:val="27"/>
  </w:num>
  <w:num w:numId="14">
    <w:abstractNumId w:val="30"/>
  </w:num>
  <w:num w:numId="15">
    <w:abstractNumId w:val="19"/>
  </w:num>
  <w:num w:numId="16">
    <w:abstractNumId w:val="11"/>
  </w:num>
  <w:num w:numId="17">
    <w:abstractNumId w:val="15"/>
  </w:num>
  <w:num w:numId="18">
    <w:abstractNumId w:val="8"/>
  </w:num>
  <w:num w:numId="19">
    <w:abstractNumId w:val="22"/>
  </w:num>
  <w:num w:numId="20">
    <w:abstractNumId w:val="6"/>
  </w:num>
  <w:num w:numId="21">
    <w:abstractNumId w:val="16"/>
  </w:num>
  <w:num w:numId="22">
    <w:abstractNumId w:val="1"/>
  </w:num>
  <w:num w:numId="23">
    <w:abstractNumId w:val="12"/>
  </w:num>
  <w:num w:numId="24">
    <w:abstractNumId w:val="28"/>
  </w:num>
  <w:num w:numId="25">
    <w:abstractNumId w:val="4"/>
  </w:num>
  <w:num w:numId="26">
    <w:abstractNumId w:val="21"/>
  </w:num>
  <w:num w:numId="27">
    <w:abstractNumId w:val="5"/>
  </w:num>
  <w:num w:numId="28">
    <w:abstractNumId w:val="24"/>
  </w:num>
  <w:num w:numId="29">
    <w:abstractNumId w:val="9"/>
  </w:num>
  <w:num w:numId="30">
    <w:abstractNumId w:val="29"/>
  </w:num>
  <w:num w:numId="31">
    <w:abstractNumId w:val="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2B76B80-59EF-44D8-9712-1627339568A8}"/>
    <w:docVar w:name="dgnword-eventsink" w:val="2101757077616"/>
  </w:docVars>
  <w:rsids>
    <w:rsidRoot w:val="004212DC"/>
    <w:rsid w:val="00000309"/>
    <w:rsid w:val="00000D38"/>
    <w:rsid w:val="00001BBE"/>
    <w:rsid w:val="00002ED1"/>
    <w:rsid w:val="00002F12"/>
    <w:rsid w:val="000031BC"/>
    <w:rsid w:val="0000407E"/>
    <w:rsid w:val="000046E7"/>
    <w:rsid w:val="00004E01"/>
    <w:rsid w:val="00004E24"/>
    <w:rsid w:val="00006B54"/>
    <w:rsid w:val="00006FDD"/>
    <w:rsid w:val="00007E42"/>
    <w:rsid w:val="000123F7"/>
    <w:rsid w:val="000126B8"/>
    <w:rsid w:val="00016737"/>
    <w:rsid w:val="0001729C"/>
    <w:rsid w:val="00017688"/>
    <w:rsid w:val="00017F10"/>
    <w:rsid w:val="00017F68"/>
    <w:rsid w:val="0002006C"/>
    <w:rsid w:val="000245E6"/>
    <w:rsid w:val="00025101"/>
    <w:rsid w:val="000301AB"/>
    <w:rsid w:val="000309F3"/>
    <w:rsid w:val="00035C2C"/>
    <w:rsid w:val="00043B45"/>
    <w:rsid w:val="00051709"/>
    <w:rsid w:val="00052C79"/>
    <w:rsid w:val="0005367A"/>
    <w:rsid w:val="00054B69"/>
    <w:rsid w:val="00055D63"/>
    <w:rsid w:val="00056778"/>
    <w:rsid w:val="0005711E"/>
    <w:rsid w:val="00060155"/>
    <w:rsid w:val="00060D6F"/>
    <w:rsid w:val="00061826"/>
    <w:rsid w:val="0006208A"/>
    <w:rsid w:val="00063755"/>
    <w:rsid w:val="00065721"/>
    <w:rsid w:val="00070837"/>
    <w:rsid w:val="000726AB"/>
    <w:rsid w:val="00074B9B"/>
    <w:rsid w:val="0007519F"/>
    <w:rsid w:val="0007716A"/>
    <w:rsid w:val="00077ADF"/>
    <w:rsid w:val="00080D34"/>
    <w:rsid w:val="000812A5"/>
    <w:rsid w:val="00081E78"/>
    <w:rsid w:val="00083709"/>
    <w:rsid w:val="00084ED3"/>
    <w:rsid w:val="00085FAF"/>
    <w:rsid w:val="0009102E"/>
    <w:rsid w:val="00092448"/>
    <w:rsid w:val="000943CB"/>
    <w:rsid w:val="00095217"/>
    <w:rsid w:val="000972B8"/>
    <w:rsid w:val="00097747"/>
    <w:rsid w:val="000A0790"/>
    <w:rsid w:val="000A3DDE"/>
    <w:rsid w:val="000A5743"/>
    <w:rsid w:val="000A5D31"/>
    <w:rsid w:val="000B0654"/>
    <w:rsid w:val="000B3785"/>
    <w:rsid w:val="000B513F"/>
    <w:rsid w:val="000B5825"/>
    <w:rsid w:val="000B5882"/>
    <w:rsid w:val="000B5EF9"/>
    <w:rsid w:val="000B6BF6"/>
    <w:rsid w:val="000B726A"/>
    <w:rsid w:val="000C12E1"/>
    <w:rsid w:val="000C15E2"/>
    <w:rsid w:val="000C4362"/>
    <w:rsid w:val="000C5137"/>
    <w:rsid w:val="000C59A7"/>
    <w:rsid w:val="000C5FAA"/>
    <w:rsid w:val="000D0A48"/>
    <w:rsid w:val="000D14F5"/>
    <w:rsid w:val="000D3CBE"/>
    <w:rsid w:val="000D6414"/>
    <w:rsid w:val="000D6C54"/>
    <w:rsid w:val="000D7A61"/>
    <w:rsid w:val="000D7A79"/>
    <w:rsid w:val="000E0536"/>
    <w:rsid w:val="000E059C"/>
    <w:rsid w:val="000E2EFA"/>
    <w:rsid w:val="000E45AA"/>
    <w:rsid w:val="000E46D7"/>
    <w:rsid w:val="000E5D31"/>
    <w:rsid w:val="000E6FDF"/>
    <w:rsid w:val="000E7E80"/>
    <w:rsid w:val="000F0DAC"/>
    <w:rsid w:val="000F2213"/>
    <w:rsid w:val="000F3F4B"/>
    <w:rsid w:val="000F720D"/>
    <w:rsid w:val="000F72A5"/>
    <w:rsid w:val="000F7C55"/>
    <w:rsid w:val="0010045B"/>
    <w:rsid w:val="00101432"/>
    <w:rsid w:val="0010179D"/>
    <w:rsid w:val="001025FE"/>
    <w:rsid w:val="00102833"/>
    <w:rsid w:val="001032B0"/>
    <w:rsid w:val="00103DD8"/>
    <w:rsid w:val="001064A1"/>
    <w:rsid w:val="0011051A"/>
    <w:rsid w:val="00112CB9"/>
    <w:rsid w:val="001136EA"/>
    <w:rsid w:val="001146B4"/>
    <w:rsid w:val="001152CE"/>
    <w:rsid w:val="00116E62"/>
    <w:rsid w:val="001205B3"/>
    <w:rsid w:val="00120FD6"/>
    <w:rsid w:val="00123674"/>
    <w:rsid w:val="0012486E"/>
    <w:rsid w:val="00126137"/>
    <w:rsid w:val="00130006"/>
    <w:rsid w:val="00130165"/>
    <w:rsid w:val="00131209"/>
    <w:rsid w:val="001318EA"/>
    <w:rsid w:val="001332BE"/>
    <w:rsid w:val="00136426"/>
    <w:rsid w:val="00136594"/>
    <w:rsid w:val="00137C0C"/>
    <w:rsid w:val="00137E19"/>
    <w:rsid w:val="00140188"/>
    <w:rsid w:val="00140713"/>
    <w:rsid w:val="00142412"/>
    <w:rsid w:val="00145B4C"/>
    <w:rsid w:val="001473EE"/>
    <w:rsid w:val="001505BE"/>
    <w:rsid w:val="00150FE6"/>
    <w:rsid w:val="00151148"/>
    <w:rsid w:val="0015140B"/>
    <w:rsid w:val="0015142D"/>
    <w:rsid w:val="001522B4"/>
    <w:rsid w:val="00152B21"/>
    <w:rsid w:val="00154C26"/>
    <w:rsid w:val="00155599"/>
    <w:rsid w:val="001555F6"/>
    <w:rsid w:val="00157C87"/>
    <w:rsid w:val="001614C3"/>
    <w:rsid w:val="001627A2"/>
    <w:rsid w:val="00162C3F"/>
    <w:rsid w:val="00165554"/>
    <w:rsid w:val="00165EE5"/>
    <w:rsid w:val="00171891"/>
    <w:rsid w:val="00171CCC"/>
    <w:rsid w:val="00171FE7"/>
    <w:rsid w:val="0017291B"/>
    <w:rsid w:val="001736D2"/>
    <w:rsid w:val="00173B9F"/>
    <w:rsid w:val="001760FC"/>
    <w:rsid w:val="001767EA"/>
    <w:rsid w:val="00181E4E"/>
    <w:rsid w:val="00183298"/>
    <w:rsid w:val="0018340B"/>
    <w:rsid w:val="00183C61"/>
    <w:rsid w:val="00186711"/>
    <w:rsid w:val="00191E63"/>
    <w:rsid w:val="001930BF"/>
    <w:rsid w:val="0019487C"/>
    <w:rsid w:val="001955A9"/>
    <w:rsid w:val="001A244C"/>
    <w:rsid w:val="001A31FF"/>
    <w:rsid w:val="001A421F"/>
    <w:rsid w:val="001B29EC"/>
    <w:rsid w:val="001B40C3"/>
    <w:rsid w:val="001B4A75"/>
    <w:rsid w:val="001B5ED4"/>
    <w:rsid w:val="001B7205"/>
    <w:rsid w:val="001C02D7"/>
    <w:rsid w:val="001C043C"/>
    <w:rsid w:val="001C0705"/>
    <w:rsid w:val="001C0956"/>
    <w:rsid w:val="001C34CA"/>
    <w:rsid w:val="001C35E9"/>
    <w:rsid w:val="001C4732"/>
    <w:rsid w:val="001C6EBA"/>
    <w:rsid w:val="001C7311"/>
    <w:rsid w:val="001D1290"/>
    <w:rsid w:val="001D285E"/>
    <w:rsid w:val="001D4475"/>
    <w:rsid w:val="001D4606"/>
    <w:rsid w:val="001D6531"/>
    <w:rsid w:val="001D6A34"/>
    <w:rsid w:val="001E0749"/>
    <w:rsid w:val="001E0DF7"/>
    <w:rsid w:val="001E1846"/>
    <w:rsid w:val="001E1D1A"/>
    <w:rsid w:val="001E215A"/>
    <w:rsid w:val="001E2FD9"/>
    <w:rsid w:val="001E3165"/>
    <w:rsid w:val="001E3912"/>
    <w:rsid w:val="001E3E03"/>
    <w:rsid w:val="001E721D"/>
    <w:rsid w:val="001F200C"/>
    <w:rsid w:val="001F33FC"/>
    <w:rsid w:val="001F37D9"/>
    <w:rsid w:val="001F41C4"/>
    <w:rsid w:val="001F44BE"/>
    <w:rsid w:val="001F55FF"/>
    <w:rsid w:val="001F6746"/>
    <w:rsid w:val="001F6B30"/>
    <w:rsid w:val="00205461"/>
    <w:rsid w:val="002102DF"/>
    <w:rsid w:val="00210C75"/>
    <w:rsid w:val="002116F4"/>
    <w:rsid w:val="00212A3B"/>
    <w:rsid w:val="00212A42"/>
    <w:rsid w:val="00212D84"/>
    <w:rsid w:val="002136BE"/>
    <w:rsid w:val="00217CE3"/>
    <w:rsid w:val="002203A3"/>
    <w:rsid w:val="002218D9"/>
    <w:rsid w:val="002223B3"/>
    <w:rsid w:val="00225094"/>
    <w:rsid w:val="00225AB5"/>
    <w:rsid w:val="00230F12"/>
    <w:rsid w:val="0023384D"/>
    <w:rsid w:val="00234C6E"/>
    <w:rsid w:val="00234FB3"/>
    <w:rsid w:val="0023747D"/>
    <w:rsid w:val="002412FA"/>
    <w:rsid w:val="00241641"/>
    <w:rsid w:val="00241A85"/>
    <w:rsid w:val="00242E0C"/>
    <w:rsid w:val="00245343"/>
    <w:rsid w:val="002512F4"/>
    <w:rsid w:val="00251C2F"/>
    <w:rsid w:val="00252A93"/>
    <w:rsid w:val="00252D87"/>
    <w:rsid w:val="00253513"/>
    <w:rsid w:val="002540DE"/>
    <w:rsid w:val="00255E3E"/>
    <w:rsid w:val="0026000E"/>
    <w:rsid w:val="0026063E"/>
    <w:rsid w:val="00261B2C"/>
    <w:rsid w:val="00265960"/>
    <w:rsid w:val="00266129"/>
    <w:rsid w:val="00266C47"/>
    <w:rsid w:val="00267C7A"/>
    <w:rsid w:val="0027055E"/>
    <w:rsid w:val="002708D2"/>
    <w:rsid w:val="00270C43"/>
    <w:rsid w:val="00271E14"/>
    <w:rsid w:val="00272967"/>
    <w:rsid w:val="00274BE2"/>
    <w:rsid w:val="00282435"/>
    <w:rsid w:val="00282D9A"/>
    <w:rsid w:val="002870DF"/>
    <w:rsid w:val="00287BFD"/>
    <w:rsid w:val="002907A5"/>
    <w:rsid w:val="0029091C"/>
    <w:rsid w:val="00292E17"/>
    <w:rsid w:val="00295018"/>
    <w:rsid w:val="00295986"/>
    <w:rsid w:val="002A149F"/>
    <w:rsid w:val="002A473A"/>
    <w:rsid w:val="002A546F"/>
    <w:rsid w:val="002B0CB7"/>
    <w:rsid w:val="002B2864"/>
    <w:rsid w:val="002B333C"/>
    <w:rsid w:val="002B50E5"/>
    <w:rsid w:val="002B6463"/>
    <w:rsid w:val="002B67D0"/>
    <w:rsid w:val="002C144F"/>
    <w:rsid w:val="002C3424"/>
    <w:rsid w:val="002C6454"/>
    <w:rsid w:val="002C7213"/>
    <w:rsid w:val="002C7919"/>
    <w:rsid w:val="002D1969"/>
    <w:rsid w:val="002D3E16"/>
    <w:rsid w:val="002D52B1"/>
    <w:rsid w:val="002D66EC"/>
    <w:rsid w:val="002D67CE"/>
    <w:rsid w:val="002D6E9B"/>
    <w:rsid w:val="002E3A6A"/>
    <w:rsid w:val="002E5F0B"/>
    <w:rsid w:val="002E62FA"/>
    <w:rsid w:val="002F093D"/>
    <w:rsid w:val="002F0A0C"/>
    <w:rsid w:val="002F2487"/>
    <w:rsid w:val="002F3813"/>
    <w:rsid w:val="002F38A5"/>
    <w:rsid w:val="002F3ACD"/>
    <w:rsid w:val="002F4E59"/>
    <w:rsid w:val="002F6C45"/>
    <w:rsid w:val="002F7017"/>
    <w:rsid w:val="002F7404"/>
    <w:rsid w:val="00300257"/>
    <w:rsid w:val="0030261A"/>
    <w:rsid w:val="00303FD4"/>
    <w:rsid w:val="00304349"/>
    <w:rsid w:val="0030443F"/>
    <w:rsid w:val="0030453A"/>
    <w:rsid w:val="00305762"/>
    <w:rsid w:val="00305BFE"/>
    <w:rsid w:val="00306388"/>
    <w:rsid w:val="003065CF"/>
    <w:rsid w:val="00306EFF"/>
    <w:rsid w:val="00307878"/>
    <w:rsid w:val="0031085B"/>
    <w:rsid w:val="00310C48"/>
    <w:rsid w:val="00313CC7"/>
    <w:rsid w:val="003144E2"/>
    <w:rsid w:val="0031496D"/>
    <w:rsid w:val="00315C7E"/>
    <w:rsid w:val="00316847"/>
    <w:rsid w:val="00317590"/>
    <w:rsid w:val="003178A0"/>
    <w:rsid w:val="00324471"/>
    <w:rsid w:val="0032538C"/>
    <w:rsid w:val="00327502"/>
    <w:rsid w:val="003307F2"/>
    <w:rsid w:val="00330BA9"/>
    <w:rsid w:val="003310B5"/>
    <w:rsid w:val="0033289C"/>
    <w:rsid w:val="00335440"/>
    <w:rsid w:val="00336F5E"/>
    <w:rsid w:val="00340531"/>
    <w:rsid w:val="00341640"/>
    <w:rsid w:val="003416BF"/>
    <w:rsid w:val="0034234D"/>
    <w:rsid w:val="0034324E"/>
    <w:rsid w:val="00345BC7"/>
    <w:rsid w:val="00345FF5"/>
    <w:rsid w:val="00350334"/>
    <w:rsid w:val="0035257E"/>
    <w:rsid w:val="00352A4A"/>
    <w:rsid w:val="00352ED4"/>
    <w:rsid w:val="00353837"/>
    <w:rsid w:val="00355F4D"/>
    <w:rsid w:val="003565C0"/>
    <w:rsid w:val="00361306"/>
    <w:rsid w:val="00367421"/>
    <w:rsid w:val="00367B9C"/>
    <w:rsid w:val="0037180F"/>
    <w:rsid w:val="00371D6D"/>
    <w:rsid w:val="00373C11"/>
    <w:rsid w:val="00374E53"/>
    <w:rsid w:val="00374FCA"/>
    <w:rsid w:val="00377FD0"/>
    <w:rsid w:val="00380B58"/>
    <w:rsid w:val="00380FE8"/>
    <w:rsid w:val="00381F89"/>
    <w:rsid w:val="003833C9"/>
    <w:rsid w:val="00383900"/>
    <w:rsid w:val="00386F74"/>
    <w:rsid w:val="00391CF2"/>
    <w:rsid w:val="00392A24"/>
    <w:rsid w:val="00393085"/>
    <w:rsid w:val="003930FB"/>
    <w:rsid w:val="003957BF"/>
    <w:rsid w:val="003967B1"/>
    <w:rsid w:val="00397168"/>
    <w:rsid w:val="003972C0"/>
    <w:rsid w:val="00397525"/>
    <w:rsid w:val="003A02FC"/>
    <w:rsid w:val="003A1119"/>
    <w:rsid w:val="003A35D6"/>
    <w:rsid w:val="003B1F76"/>
    <w:rsid w:val="003B33C8"/>
    <w:rsid w:val="003B3A29"/>
    <w:rsid w:val="003B4568"/>
    <w:rsid w:val="003B49BC"/>
    <w:rsid w:val="003B662F"/>
    <w:rsid w:val="003C0570"/>
    <w:rsid w:val="003C0B3B"/>
    <w:rsid w:val="003C0FA7"/>
    <w:rsid w:val="003C30EB"/>
    <w:rsid w:val="003C3D9F"/>
    <w:rsid w:val="003C4D8B"/>
    <w:rsid w:val="003C6A24"/>
    <w:rsid w:val="003C6C8E"/>
    <w:rsid w:val="003D06E0"/>
    <w:rsid w:val="003D3511"/>
    <w:rsid w:val="003D5CBD"/>
    <w:rsid w:val="003D6187"/>
    <w:rsid w:val="003D7155"/>
    <w:rsid w:val="003D79FA"/>
    <w:rsid w:val="003E18BB"/>
    <w:rsid w:val="003E2783"/>
    <w:rsid w:val="003E3AC6"/>
    <w:rsid w:val="003E3AFA"/>
    <w:rsid w:val="003E7C5A"/>
    <w:rsid w:val="003E7F6F"/>
    <w:rsid w:val="003F1D40"/>
    <w:rsid w:val="003F20C9"/>
    <w:rsid w:val="003F38A4"/>
    <w:rsid w:val="003F482F"/>
    <w:rsid w:val="003F48ED"/>
    <w:rsid w:val="003F4DBC"/>
    <w:rsid w:val="003F68F5"/>
    <w:rsid w:val="003F74F0"/>
    <w:rsid w:val="00400144"/>
    <w:rsid w:val="00402ADB"/>
    <w:rsid w:val="00404E67"/>
    <w:rsid w:val="00410589"/>
    <w:rsid w:val="004124C8"/>
    <w:rsid w:val="00415EB3"/>
    <w:rsid w:val="00420273"/>
    <w:rsid w:val="004212DC"/>
    <w:rsid w:val="00422813"/>
    <w:rsid w:val="00422D55"/>
    <w:rsid w:val="00423AA8"/>
    <w:rsid w:val="0042494F"/>
    <w:rsid w:val="00425220"/>
    <w:rsid w:val="00427F6C"/>
    <w:rsid w:val="004334F2"/>
    <w:rsid w:val="004340B0"/>
    <w:rsid w:val="00434A6D"/>
    <w:rsid w:val="00437598"/>
    <w:rsid w:val="004377C4"/>
    <w:rsid w:val="00443805"/>
    <w:rsid w:val="0044414B"/>
    <w:rsid w:val="004458E8"/>
    <w:rsid w:val="004479D1"/>
    <w:rsid w:val="0045020D"/>
    <w:rsid w:val="004504FF"/>
    <w:rsid w:val="004532A5"/>
    <w:rsid w:val="00456081"/>
    <w:rsid w:val="00457C31"/>
    <w:rsid w:val="0046040D"/>
    <w:rsid w:val="004628E4"/>
    <w:rsid w:val="00464A6C"/>
    <w:rsid w:val="00466054"/>
    <w:rsid w:val="00467FFC"/>
    <w:rsid w:val="004708CC"/>
    <w:rsid w:val="00473652"/>
    <w:rsid w:val="00473883"/>
    <w:rsid w:val="00473973"/>
    <w:rsid w:val="00473E12"/>
    <w:rsid w:val="00476B17"/>
    <w:rsid w:val="004812DA"/>
    <w:rsid w:val="00483410"/>
    <w:rsid w:val="0048438D"/>
    <w:rsid w:val="004861DF"/>
    <w:rsid w:val="0048636E"/>
    <w:rsid w:val="00486481"/>
    <w:rsid w:val="004900F4"/>
    <w:rsid w:val="00490CE3"/>
    <w:rsid w:val="0049125C"/>
    <w:rsid w:val="004916DB"/>
    <w:rsid w:val="00496E31"/>
    <w:rsid w:val="00497D25"/>
    <w:rsid w:val="004A0E45"/>
    <w:rsid w:val="004A168B"/>
    <w:rsid w:val="004A3C65"/>
    <w:rsid w:val="004A43EB"/>
    <w:rsid w:val="004A4EB6"/>
    <w:rsid w:val="004A595D"/>
    <w:rsid w:val="004B2365"/>
    <w:rsid w:val="004B36DD"/>
    <w:rsid w:val="004B3E24"/>
    <w:rsid w:val="004B5B30"/>
    <w:rsid w:val="004B6636"/>
    <w:rsid w:val="004C2DE9"/>
    <w:rsid w:val="004C3E83"/>
    <w:rsid w:val="004C6805"/>
    <w:rsid w:val="004D085A"/>
    <w:rsid w:val="004D2880"/>
    <w:rsid w:val="004D368B"/>
    <w:rsid w:val="004D3D7C"/>
    <w:rsid w:val="004D5359"/>
    <w:rsid w:val="004E1BAF"/>
    <w:rsid w:val="004E1D4C"/>
    <w:rsid w:val="004E34A4"/>
    <w:rsid w:val="004E4124"/>
    <w:rsid w:val="004E48FF"/>
    <w:rsid w:val="004E4CD3"/>
    <w:rsid w:val="004E6964"/>
    <w:rsid w:val="004E72AD"/>
    <w:rsid w:val="004E7424"/>
    <w:rsid w:val="004E7486"/>
    <w:rsid w:val="004E7AEF"/>
    <w:rsid w:val="004F0FF2"/>
    <w:rsid w:val="004F27D3"/>
    <w:rsid w:val="004F4872"/>
    <w:rsid w:val="004F4F81"/>
    <w:rsid w:val="004F5960"/>
    <w:rsid w:val="004F789F"/>
    <w:rsid w:val="0050508B"/>
    <w:rsid w:val="00513AE7"/>
    <w:rsid w:val="005157B4"/>
    <w:rsid w:val="005166C4"/>
    <w:rsid w:val="0052013B"/>
    <w:rsid w:val="00520FDC"/>
    <w:rsid w:val="0052109F"/>
    <w:rsid w:val="00522518"/>
    <w:rsid w:val="00523181"/>
    <w:rsid w:val="00523728"/>
    <w:rsid w:val="00524624"/>
    <w:rsid w:val="00524848"/>
    <w:rsid w:val="00527A44"/>
    <w:rsid w:val="005336EF"/>
    <w:rsid w:val="0053459B"/>
    <w:rsid w:val="00537E64"/>
    <w:rsid w:val="005404FB"/>
    <w:rsid w:val="00540E7B"/>
    <w:rsid w:val="00541CAF"/>
    <w:rsid w:val="00544215"/>
    <w:rsid w:val="00544B3E"/>
    <w:rsid w:val="00546416"/>
    <w:rsid w:val="005509C5"/>
    <w:rsid w:val="005515F1"/>
    <w:rsid w:val="005517C4"/>
    <w:rsid w:val="00551848"/>
    <w:rsid w:val="00552783"/>
    <w:rsid w:val="00553036"/>
    <w:rsid w:val="00553FA7"/>
    <w:rsid w:val="005542C0"/>
    <w:rsid w:val="00554402"/>
    <w:rsid w:val="0055468B"/>
    <w:rsid w:val="00554ACD"/>
    <w:rsid w:val="00555746"/>
    <w:rsid w:val="00555E9F"/>
    <w:rsid w:val="00557032"/>
    <w:rsid w:val="00557432"/>
    <w:rsid w:val="005575FA"/>
    <w:rsid w:val="00561AEB"/>
    <w:rsid w:val="00561CE5"/>
    <w:rsid w:val="0056533B"/>
    <w:rsid w:val="00571BC5"/>
    <w:rsid w:val="00574506"/>
    <w:rsid w:val="00574D13"/>
    <w:rsid w:val="00580DFA"/>
    <w:rsid w:val="00581BFF"/>
    <w:rsid w:val="00584799"/>
    <w:rsid w:val="00584A9D"/>
    <w:rsid w:val="00585EF2"/>
    <w:rsid w:val="005865FC"/>
    <w:rsid w:val="0059014E"/>
    <w:rsid w:val="00593011"/>
    <w:rsid w:val="00594E1B"/>
    <w:rsid w:val="00595753"/>
    <w:rsid w:val="00596DB4"/>
    <w:rsid w:val="005A0553"/>
    <w:rsid w:val="005A0622"/>
    <w:rsid w:val="005A1C2C"/>
    <w:rsid w:val="005A3B7A"/>
    <w:rsid w:val="005A442C"/>
    <w:rsid w:val="005A65B8"/>
    <w:rsid w:val="005B0C96"/>
    <w:rsid w:val="005B23CB"/>
    <w:rsid w:val="005B2B4C"/>
    <w:rsid w:val="005B4B79"/>
    <w:rsid w:val="005B51A5"/>
    <w:rsid w:val="005B5B72"/>
    <w:rsid w:val="005B736B"/>
    <w:rsid w:val="005C3085"/>
    <w:rsid w:val="005C351B"/>
    <w:rsid w:val="005C42F6"/>
    <w:rsid w:val="005C44C0"/>
    <w:rsid w:val="005C478D"/>
    <w:rsid w:val="005C7F89"/>
    <w:rsid w:val="005D1D8C"/>
    <w:rsid w:val="005D25F1"/>
    <w:rsid w:val="005D5A9B"/>
    <w:rsid w:val="005D63CC"/>
    <w:rsid w:val="005D6930"/>
    <w:rsid w:val="005D7F0E"/>
    <w:rsid w:val="005E04A3"/>
    <w:rsid w:val="005E100A"/>
    <w:rsid w:val="005E1980"/>
    <w:rsid w:val="005E2468"/>
    <w:rsid w:val="005E4A32"/>
    <w:rsid w:val="005E59EF"/>
    <w:rsid w:val="005E5C31"/>
    <w:rsid w:val="005E6285"/>
    <w:rsid w:val="005E7668"/>
    <w:rsid w:val="005E7909"/>
    <w:rsid w:val="005E7940"/>
    <w:rsid w:val="005F15A7"/>
    <w:rsid w:val="005F23A6"/>
    <w:rsid w:val="005F2C3B"/>
    <w:rsid w:val="005F30F0"/>
    <w:rsid w:val="005F3E05"/>
    <w:rsid w:val="005F5384"/>
    <w:rsid w:val="00600297"/>
    <w:rsid w:val="00600AA3"/>
    <w:rsid w:val="00603EAF"/>
    <w:rsid w:val="00605286"/>
    <w:rsid w:val="0060587A"/>
    <w:rsid w:val="0060676F"/>
    <w:rsid w:val="0060760E"/>
    <w:rsid w:val="006126BE"/>
    <w:rsid w:val="00612836"/>
    <w:rsid w:val="006129CD"/>
    <w:rsid w:val="006139F5"/>
    <w:rsid w:val="00615F18"/>
    <w:rsid w:val="0062010F"/>
    <w:rsid w:val="006259B3"/>
    <w:rsid w:val="00625C72"/>
    <w:rsid w:val="006275ED"/>
    <w:rsid w:val="00627AA6"/>
    <w:rsid w:val="006328E7"/>
    <w:rsid w:val="006336D2"/>
    <w:rsid w:val="006339A0"/>
    <w:rsid w:val="00633EB0"/>
    <w:rsid w:val="0063488B"/>
    <w:rsid w:val="0063506A"/>
    <w:rsid w:val="006356E1"/>
    <w:rsid w:val="0064147E"/>
    <w:rsid w:val="00642C8F"/>
    <w:rsid w:val="0064475B"/>
    <w:rsid w:val="00644DB9"/>
    <w:rsid w:val="006452EC"/>
    <w:rsid w:val="00646550"/>
    <w:rsid w:val="00646B2F"/>
    <w:rsid w:val="00647676"/>
    <w:rsid w:val="00651733"/>
    <w:rsid w:val="0065220E"/>
    <w:rsid w:val="00652DB4"/>
    <w:rsid w:val="006535AB"/>
    <w:rsid w:val="00653C57"/>
    <w:rsid w:val="006549BC"/>
    <w:rsid w:val="006565CC"/>
    <w:rsid w:val="006572D1"/>
    <w:rsid w:val="00661677"/>
    <w:rsid w:val="006625F9"/>
    <w:rsid w:val="00663862"/>
    <w:rsid w:val="00663FB0"/>
    <w:rsid w:val="00664067"/>
    <w:rsid w:val="00664205"/>
    <w:rsid w:val="00664639"/>
    <w:rsid w:val="00665131"/>
    <w:rsid w:val="006655D3"/>
    <w:rsid w:val="0066593F"/>
    <w:rsid w:val="006670B7"/>
    <w:rsid w:val="00670172"/>
    <w:rsid w:val="00672B5E"/>
    <w:rsid w:val="00672FCE"/>
    <w:rsid w:val="006732AC"/>
    <w:rsid w:val="00675449"/>
    <w:rsid w:val="006763D1"/>
    <w:rsid w:val="0067677E"/>
    <w:rsid w:val="00676D8D"/>
    <w:rsid w:val="00677702"/>
    <w:rsid w:val="00681140"/>
    <w:rsid w:val="006858F3"/>
    <w:rsid w:val="00686F60"/>
    <w:rsid w:val="006877F6"/>
    <w:rsid w:val="00687958"/>
    <w:rsid w:val="00687D0A"/>
    <w:rsid w:val="00690C7D"/>
    <w:rsid w:val="00693160"/>
    <w:rsid w:val="00693E83"/>
    <w:rsid w:val="00695617"/>
    <w:rsid w:val="00695CC9"/>
    <w:rsid w:val="006961BA"/>
    <w:rsid w:val="00697039"/>
    <w:rsid w:val="00697464"/>
    <w:rsid w:val="00697528"/>
    <w:rsid w:val="00697928"/>
    <w:rsid w:val="006A00F9"/>
    <w:rsid w:val="006A05DB"/>
    <w:rsid w:val="006A4BF9"/>
    <w:rsid w:val="006A5A1F"/>
    <w:rsid w:val="006A6860"/>
    <w:rsid w:val="006A6A41"/>
    <w:rsid w:val="006A7011"/>
    <w:rsid w:val="006A70A0"/>
    <w:rsid w:val="006B0AF6"/>
    <w:rsid w:val="006B1FD6"/>
    <w:rsid w:val="006B27C8"/>
    <w:rsid w:val="006B2912"/>
    <w:rsid w:val="006B2C2C"/>
    <w:rsid w:val="006B2E1E"/>
    <w:rsid w:val="006B2F4F"/>
    <w:rsid w:val="006B5BEA"/>
    <w:rsid w:val="006B74B4"/>
    <w:rsid w:val="006B7548"/>
    <w:rsid w:val="006B7C9F"/>
    <w:rsid w:val="006C01C4"/>
    <w:rsid w:val="006C0893"/>
    <w:rsid w:val="006C0908"/>
    <w:rsid w:val="006C39D4"/>
    <w:rsid w:val="006C3A53"/>
    <w:rsid w:val="006C3C99"/>
    <w:rsid w:val="006C4024"/>
    <w:rsid w:val="006C76A0"/>
    <w:rsid w:val="006C7EBE"/>
    <w:rsid w:val="006D18AF"/>
    <w:rsid w:val="006D2F92"/>
    <w:rsid w:val="006D3919"/>
    <w:rsid w:val="006D6AAA"/>
    <w:rsid w:val="006D7C08"/>
    <w:rsid w:val="006E01BD"/>
    <w:rsid w:val="006E0898"/>
    <w:rsid w:val="006E1941"/>
    <w:rsid w:val="006E2D5C"/>
    <w:rsid w:val="006E4BB7"/>
    <w:rsid w:val="006E53FB"/>
    <w:rsid w:val="006E61FE"/>
    <w:rsid w:val="006F159A"/>
    <w:rsid w:val="006F1900"/>
    <w:rsid w:val="006F1BA0"/>
    <w:rsid w:val="006F2F5F"/>
    <w:rsid w:val="006F4078"/>
    <w:rsid w:val="006F609A"/>
    <w:rsid w:val="0070058D"/>
    <w:rsid w:val="00702BEF"/>
    <w:rsid w:val="0070324B"/>
    <w:rsid w:val="00703A42"/>
    <w:rsid w:val="0070485D"/>
    <w:rsid w:val="007071C7"/>
    <w:rsid w:val="007105ED"/>
    <w:rsid w:val="00711AD7"/>
    <w:rsid w:val="00712AC6"/>
    <w:rsid w:val="00713353"/>
    <w:rsid w:val="00713959"/>
    <w:rsid w:val="0071397E"/>
    <w:rsid w:val="007141FE"/>
    <w:rsid w:val="0071440A"/>
    <w:rsid w:val="00715F2F"/>
    <w:rsid w:val="00723C91"/>
    <w:rsid w:val="00723C9D"/>
    <w:rsid w:val="00724262"/>
    <w:rsid w:val="00726194"/>
    <w:rsid w:val="007263C5"/>
    <w:rsid w:val="007308E7"/>
    <w:rsid w:val="00731228"/>
    <w:rsid w:val="00731800"/>
    <w:rsid w:val="0073235B"/>
    <w:rsid w:val="00733256"/>
    <w:rsid w:val="007335E5"/>
    <w:rsid w:val="00733DE6"/>
    <w:rsid w:val="00736A05"/>
    <w:rsid w:val="00737D83"/>
    <w:rsid w:val="00737ECA"/>
    <w:rsid w:val="00737F95"/>
    <w:rsid w:val="0074237F"/>
    <w:rsid w:val="007458F0"/>
    <w:rsid w:val="00746118"/>
    <w:rsid w:val="00746BAA"/>
    <w:rsid w:val="00747FF9"/>
    <w:rsid w:val="007501CC"/>
    <w:rsid w:val="00750305"/>
    <w:rsid w:val="007503D5"/>
    <w:rsid w:val="00750D68"/>
    <w:rsid w:val="00754D96"/>
    <w:rsid w:val="00755577"/>
    <w:rsid w:val="00755AB9"/>
    <w:rsid w:val="00756519"/>
    <w:rsid w:val="0076359F"/>
    <w:rsid w:val="00765789"/>
    <w:rsid w:val="00765BD0"/>
    <w:rsid w:val="00765D99"/>
    <w:rsid w:val="0076769E"/>
    <w:rsid w:val="00772922"/>
    <w:rsid w:val="00773975"/>
    <w:rsid w:val="0077461C"/>
    <w:rsid w:val="00775288"/>
    <w:rsid w:val="00775667"/>
    <w:rsid w:val="00775723"/>
    <w:rsid w:val="00776F05"/>
    <w:rsid w:val="00780952"/>
    <w:rsid w:val="00781F5C"/>
    <w:rsid w:val="0078206C"/>
    <w:rsid w:val="00784918"/>
    <w:rsid w:val="0078500F"/>
    <w:rsid w:val="00785AB6"/>
    <w:rsid w:val="00791666"/>
    <w:rsid w:val="007917DF"/>
    <w:rsid w:val="007941F5"/>
    <w:rsid w:val="007957A8"/>
    <w:rsid w:val="00796E04"/>
    <w:rsid w:val="00796FF4"/>
    <w:rsid w:val="007A0E1B"/>
    <w:rsid w:val="007A303F"/>
    <w:rsid w:val="007A5908"/>
    <w:rsid w:val="007B18EA"/>
    <w:rsid w:val="007B2ADD"/>
    <w:rsid w:val="007B30B2"/>
    <w:rsid w:val="007B36EA"/>
    <w:rsid w:val="007B3A7A"/>
    <w:rsid w:val="007B3BBA"/>
    <w:rsid w:val="007B50AA"/>
    <w:rsid w:val="007B54E9"/>
    <w:rsid w:val="007B5A04"/>
    <w:rsid w:val="007B6B29"/>
    <w:rsid w:val="007C243B"/>
    <w:rsid w:val="007C2656"/>
    <w:rsid w:val="007C359D"/>
    <w:rsid w:val="007C51E3"/>
    <w:rsid w:val="007C61A7"/>
    <w:rsid w:val="007C6BE8"/>
    <w:rsid w:val="007C7CC6"/>
    <w:rsid w:val="007D02AE"/>
    <w:rsid w:val="007D0811"/>
    <w:rsid w:val="007D0ABA"/>
    <w:rsid w:val="007D3084"/>
    <w:rsid w:val="007D3619"/>
    <w:rsid w:val="007D4737"/>
    <w:rsid w:val="007D5A90"/>
    <w:rsid w:val="007D6621"/>
    <w:rsid w:val="007D6A56"/>
    <w:rsid w:val="007D6A9F"/>
    <w:rsid w:val="007D6C3F"/>
    <w:rsid w:val="007E1CC6"/>
    <w:rsid w:val="007E5F65"/>
    <w:rsid w:val="007E7BBF"/>
    <w:rsid w:val="007F287C"/>
    <w:rsid w:val="007F2A0E"/>
    <w:rsid w:val="007F354C"/>
    <w:rsid w:val="00800426"/>
    <w:rsid w:val="00800E6C"/>
    <w:rsid w:val="00800FC8"/>
    <w:rsid w:val="0080110F"/>
    <w:rsid w:val="00802FD9"/>
    <w:rsid w:val="008046F9"/>
    <w:rsid w:val="008059B9"/>
    <w:rsid w:val="008108E9"/>
    <w:rsid w:val="00812464"/>
    <w:rsid w:val="008126F4"/>
    <w:rsid w:val="008133EF"/>
    <w:rsid w:val="0081398C"/>
    <w:rsid w:val="00816AE7"/>
    <w:rsid w:val="00821FA8"/>
    <w:rsid w:val="00822035"/>
    <w:rsid w:val="00822DBE"/>
    <w:rsid w:val="00824075"/>
    <w:rsid w:val="00825F44"/>
    <w:rsid w:val="008275D3"/>
    <w:rsid w:val="00830E81"/>
    <w:rsid w:val="00831574"/>
    <w:rsid w:val="0083369F"/>
    <w:rsid w:val="00834884"/>
    <w:rsid w:val="00835A63"/>
    <w:rsid w:val="008360C3"/>
    <w:rsid w:val="00836B14"/>
    <w:rsid w:val="008424E2"/>
    <w:rsid w:val="00843225"/>
    <w:rsid w:val="00845261"/>
    <w:rsid w:val="00846352"/>
    <w:rsid w:val="00851A73"/>
    <w:rsid w:val="00851BB7"/>
    <w:rsid w:val="00851F40"/>
    <w:rsid w:val="00853F25"/>
    <w:rsid w:val="00854B2C"/>
    <w:rsid w:val="008557DD"/>
    <w:rsid w:val="00856A63"/>
    <w:rsid w:val="00857F82"/>
    <w:rsid w:val="00862686"/>
    <w:rsid w:val="008627F2"/>
    <w:rsid w:val="00863146"/>
    <w:rsid w:val="00863FFD"/>
    <w:rsid w:val="00864C58"/>
    <w:rsid w:val="00867F4C"/>
    <w:rsid w:val="008705E1"/>
    <w:rsid w:val="00870CC6"/>
    <w:rsid w:val="00870DD8"/>
    <w:rsid w:val="00870E1D"/>
    <w:rsid w:val="008718F2"/>
    <w:rsid w:val="00872699"/>
    <w:rsid w:val="00874AE0"/>
    <w:rsid w:val="0087637F"/>
    <w:rsid w:val="00876C5D"/>
    <w:rsid w:val="00877CE9"/>
    <w:rsid w:val="0088220B"/>
    <w:rsid w:val="008825DD"/>
    <w:rsid w:val="008834A8"/>
    <w:rsid w:val="00883606"/>
    <w:rsid w:val="00883C11"/>
    <w:rsid w:val="00883FDF"/>
    <w:rsid w:val="00884663"/>
    <w:rsid w:val="00884972"/>
    <w:rsid w:val="0089253F"/>
    <w:rsid w:val="008926A9"/>
    <w:rsid w:val="00892B22"/>
    <w:rsid w:val="0089388F"/>
    <w:rsid w:val="00895BB0"/>
    <w:rsid w:val="00895F2B"/>
    <w:rsid w:val="008966E7"/>
    <w:rsid w:val="0089678D"/>
    <w:rsid w:val="008971E8"/>
    <w:rsid w:val="008A1394"/>
    <w:rsid w:val="008A3DB4"/>
    <w:rsid w:val="008A583B"/>
    <w:rsid w:val="008B056E"/>
    <w:rsid w:val="008B0608"/>
    <w:rsid w:val="008B07AB"/>
    <w:rsid w:val="008B4AE4"/>
    <w:rsid w:val="008B5018"/>
    <w:rsid w:val="008B56BA"/>
    <w:rsid w:val="008B5944"/>
    <w:rsid w:val="008C3920"/>
    <w:rsid w:val="008C574C"/>
    <w:rsid w:val="008C5BA1"/>
    <w:rsid w:val="008C7845"/>
    <w:rsid w:val="008D0ACD"/>
    <w:rsid w:val="008D49A5"/>
    <w:rsid w:val="008D4ACA"/>
    <w:rsid w:val="008D61EA"/>
    <w:rsid w:val="008D6338"/>
    <w:rsid w:val="008E0DE5"/>
    <w:rsid w:val="008E16F4"/>
    <w:rsid w:val="008E2906"/>
    <w:rsid w:val="008E50DA"/>
    <w:rsid w:val="008E5A97"/>
    <w:rsid w:val="008E6B00"/>
    <w:rsid w:val="008E76AD"/>
    <w:rsid w:val="008F11FB"/>
    <w:rsid w:val="008F1828"/>
    <w:rsid w:val="008F1F1D"/>
    <w:rsid w:val="008F5212"/>
    <w:rsid w:val="008F53B4"/>
    <w:rsid w:val="008F56A9"/>
    <w:rsid w:val="008F60D8"/>
    <w:rsid w:val="009025FA"/>
    <w:rsid w:val="00906865"/>
    <w:rsid w:val="009101DA"/>
    <w:rsid w:val="00910592"/>
    <w:rsid w:val="00910D22"/>
    <w:rsid w:val="009124DB"/>
    <w:rsid w:val="009131D8"/>
    <w:rsid w:val="0091453E"/>
    <w:rsid w:val="00915ACB"/>
    <w:rsid w:val="0091627E"/>
    <w:rsid w:val="00921B84"/>
    <w:rsid w:val="009222CA"/>
    <w:rsid w:val="00922410"/>
    <w:rsid w:val="00923928"/>
    <w:rsid w:val="0092771C"/>
    <w:rsid w:val="00931708"/>
    <w:rsid w:val="009416C8"/>
    <w:rsid w:val="009424B3"/>
    <w:rsid w:val="00943C9C"/>
    <w:rsid w:val="009445DB"/>
    <w:rsid w:val="009448F6"/>
    <w:rsid w:val="00946786"/>
    <w:rsid w:val="00947773"/>
    <w:rsid w:val="00950258"/>
    <w:rsid w:val="00951E07"/>
    <w:rsid w:val="00952912"/>
    <w:rsid w:val="009549E7"/>
    <w:rsid w:val="00955113"/>
    <w:rsid w:val="009564E6"/>
    <w:rsid w:val="00956C95"/>
    <w:rsid w:val="0095728C"/>
    <w:rsid w:val="009577C5"/>
    <w:rsid w:val="00957E1D"/>
    <w:rsid w:val="00960768"/>
    <w:rsid w:val="009614B1"/>
    <w:rsid w:val="009627EF"/>
    <w:rsid w:val="009631DD"/>
    <w:rsid w:val="00963F98"/>
    <w:rsid w:val="00964905"/>
    <w:rsid w:val="00964C48"/>
    <w:rsid w:val="00967BD6"/>
    <w:rsid w:val="00970499"/>
    <w:rsid w:val="00972FAA"/>
    <w:rsid w:val="009733B0"/>
    <w:rsid w:val="00973499"/>
    <w:rsid w:val="00973917"/>
    <w:rsid w:val="009752A0"/>
    <w:rsid w:val="009771A1"/>
    <w:rsid w:val="00980054"/>
    <w:rsid w:val="00981442"/>
    <w:rsid w:val="009841F9"/>
    <w:rsid w:val="00987F9E"/>
    <w:rsid w:val="00992307"/>
    <w:rsid w:val="00992A03"/>
    <w:rsid w:val="00993FBA"/>
    <w:rsid w:val="00996859"/>
    <w:rsid w:val="009A035B"/>
    <w:rsid w:val="009A1FA6"/>
    <w:rsid w:val="009A415D"/>
    <w:rsid w:val="009A47D5"/>
    <w:rsid w:val="009A6A6A"/>
    <w:rsid w:val="009A6E43"/>
    <w:rsid w:val="009A7F43"/>
    <w:rsid w:val="009B1AF7"/>
    <w:rsid w:val="009B2BF1"/>
    <w:rsid w:val="009B551E"/>
    <w:rsid w:val="009B6C64"/>
    <w:rsid w:val="009C140E"/>
    <w:rsid w:val="009C1611"/>
    <w:rsid w:val="009C2519"/>
    <w:rsid w:val="009C32E9"/>
    <w:rsid w:val="009C3DB3"/>
    <w:rsid w:val="009C7A96"/>
    <w:rsid w:val="009D0227"/>
    <w:rsid w:val="009D1434"/>
    <w:rsid w:val="009D3A58"/>
    <w:rsid w:val="009D45D6"/>
    <w:rsid w:val="009D4D93"/>
    <w:rsid w:val="009D6503"/>
    <w:rsid w:val="009D7C7C"/>
    <w:rsid w:val="009E0595"/>
    <w:rsid w:val="009E07DF"/>
    <w:rsid w:val="009E2B62"/>
    <w:rsid w:val="009E3EBB"/>
    <w:rsid w:val="009E4937"/>
    <w:rsid w:val="009E499B"/>
    <w:rsid w:val="009E647D"/>
    <w:rsid w:val="009E729C"/>
    <w:rsid w:val="009E75DF"/>
    <w:rsid w:val="009F257D"/>
    <w:rsid w:val="009F3C57"/>
    <w:rsid w:val="009F4951"/>
    <w:rsid w:val="009F4C56"/>
    <w:rsid w:val="00A03106"/>
    <w:rsid w:val="00A06AA1"/>
    <w:rsid w:val="00A07B2A"/>
    <w:rsid w:val="00A10679"/>
    <w:rsid w:val="00A126AD"/>
    <w:rsid w:val="00A16C46"/>
    <w:rsid w:val="00A16E89"/>
    <w:rsid w:val="00A2429B"/>
    <w:rsid w:val="00A31A05"/>
    <w:rsid w:val="00A3393B"/>
    <w:rsid w:val="00A364FE"/>
    <w:rsid w:val="00A36651"/>
    <w:rsid w:val="00A36793"/>
    <w:rsid w:val="00A3765F"/>
    <w:rsid w:val="00A37693"/>
    <w:rsid w:val="00A410D5"/>
    <w:rsid w:val="00A411F9"/>
    <w:rsid w:val="00A45C51"/>
    <w:rsid w:val="00A50C31"/>
    <w:rsid w:val="00A54C08"/>
    <w:rsid w:val="00A553BE"/>
    <w:rsid w:val="00A5625F"/>
    <w:rsid w:val="00A60DE5"/>
    <w:rsid w:val="00A61240"/>
    <w:rsid w:val="00A6159C"/>
    <w:rsid w:val="00A62CEA"/>
    <w:rsid w:val="00A63FAE"/>
    <w:rsid w:val="00A6565D"/>
    <w:rsid w:val="00A70E6B"/>
    <w:rsid w:val="00A74C75"/>
    <w:rsid w:val="00A8003D"/>
    <w:rsid w:val="00A80277"/>
    <w:rsid w:val="00A82AEA"/>
    <w:rsid w:val="00A83B99"/>
    <w:rsid w:val="00A83C0D"/>
    <w:rsid w:val="00A84727"/>
    <w:rsid w:val="00A859CE"/>
    <w:rsid w:val="00A874D1"/>
    <w:rsid w:val="00A911D0"/>
    <w:rsid w:val="00A913A2"/>
    <w:rsid w:val="00A923FE"/>
    <w:rsid w:val="00A93332"/>
    <w:rsid w:val="00A9481A"/>
    <w:rsid w:val="00A94BBE"/>
    <w:rsid w:val="00A94EB3"/>
    <w:rsid w:val="00A97202"/>
    <w:rsid w:val="00AA0A0F"/>
    <w:rsid w:val="00AA2A74"/>
    <w:rsid w:val="00AA434D"/>
    <w:rsid w:val="00AA4391"/>
    <w:rsid w:val="00AA7E29"/>
    <w:rsid w:val="00AB0FB9"/>
    <w:rsid w:val="00AB1CFF"/>
    <w:rsid w:val="00AB1E18"/>
    <w:rsid w:val="00AB31E8"/>
    <w:rsid w:val="00AC06C0"/>
    <w:rsid w:val="00AC3358"/>
    <w:rsid w:val="00AC3A81"/>
    <w:rsid w:val="00AC4D16"/>
    <w:rsid w:val="00AC69C2"/>
    <w:rsid w:val="00AC7D6D"/>
    <w:rsid w:val="00AD0739"/>
    <w:rsid w:val="00AD1F4E"/>
    <w:rsid w:val="00AD31C7"/>
    <w:rsid w:val="00AD3CFB"/>
    <w:rsid w:val="00AD4C5B"/>
    <w:rsid w:val="00AD5DE1"/>
    <w:rsid w:val="00AE0224"/>
    <w:rsid w:val="00AE0E49"/>
    <w:rsid w:val="00AE1845"/>
    <w:rsid w:val="00AE2673"/>
    <w:rsid w:val="00AE493E"/>
    <w:rsid w:val="00AE732E"/>
    <w:rsid w:val="00AE77D9"/>
    <w:rsid w:val="00AE7F6B"/>
    <w:rsid w:val="00AF263E"/>
    <w:rsid w:val="00AF28F8"/>
    <w:rsid w:val="00AF3256"/>
    <w:rsid w:val="00AF380C"/>
    <w:rsid w:val="00AF40BA"/>
    <w:rsid w:val="00AF4FB9"/>
    <w:rsid w:val="00AF5C1D"/>
    <w:rsid w:val="00AF77EC"/>
    <w:rsid w:val="00AF7C78"/>
    <w:rsid w:val="00B02719"/>
    <w:rsid w:val="00B02A93"/>
    <w:rsid w:val="00B02F5B"/>
    <w:rsid w:val="00B057F4"/>
    <w:rsid w:val="00B06C36"/>
    <w:rsid w:val="00B10B10"/>
    <w:rsid w:val="00B1121A"/>
    <w:rsid w:val="00B12097"/>
    <w:rsid w:val="00B145E1"/>
    <w:rsid w:val="00B1614A"/>
    <w:rsid w:val="00B200A2"/>
    <w:rsid w:val="00B21B2B"/>
    <w:rsid w:val="00B21D4E"/>
    <w:rsid w:val="00B22160"/>
    <w:rsid w:val="00B23E3A"/>
    <w:rsid w:val="00B244F6"/>
    <w:rsid w:val="00B2700B"/>
    <w:rsid w:val="00B31802"/>
    <w:rsid w:val="00B31FF4"/>
    <w:rsid w:val="00B37047"/>
    <w:rsid w:val="00B40DA5"/>
    <w:rsid w:val="00B41E5F"/>
    <w:rsid w:val="00B46281"/>
    <w:rsid w:val="00B46695"/>
    <w:rsid w:val="00B46DED"/>
    <w:rsid w:val="00B47757"/>
    <w:rsid w:val="00B51394"/>
    <w:rsid w:val="00B51A1E"/>
    <w:rsid w:val="00B539CA"/>
    <w:rsid w:val="00B53CFE"/>
    <w:rsid w:val="00B53F3E"/>
    <w:rsid w:val="00B54912"/>
    <w:rsid w:val="00B55BB5"/>
    <w:rsid w:val="00B563CC"/>
    <w:rsid w:val="00B56A86"/>
    <w:rsid w:val="00B57A6D"/>
    <w:rsid w:val="00B614BA"/>
    <w:rsid w:val="00B67B22"/>
    <w:rsid w:val="00B67BB8"/>
    <w:rsid w:val="00B70986"/>
    <w:rsid w:val="00B70BD1"/>
    <w:rsid w:val="00B70FFA"/>
    <w:rsid w:val="00B72E76"/>
    <w:rsid w:val="00B73E8D"/>
    <w:rsid w:val="00B75AEE"/>
    <w:rsid w:val="00B75D19"/>
    <w:rsid w:val="00B76493"/>
    <w:rsid w:val="00B76803"/>
    <w:rsid w:val="00B806E4"/>
    <w:rsid w:val="00B80FB7"/>
    <w:rsid w:val="00B8223A"/>
    <w:rsid w:val="00B82742"/>
    <w:rsid w:val="00B82F41"/>
    <w:rsid w:val="00B846DD"/>
    <w:rsid w:val="00B85A27"/>
    <w:rsid w:val="00B87617"/>
    <w:rsid w:val="00B90421"/>
    <w:rsid w:val="00B9048C"/>
    <w:rsid w:val="00B918C8"/>
    <w:rsid w:val="00B91D0D"/>
    <w:rsid w:val="00B92F3C"/>
    <w:rsid w:val="00B9451E"/>
    <w:rsid w:val="00B95FB0"/>
    <w:rsid w:val="00B96383"/>
    <w:rsid w:val="00BA1CB4"/>
    <w:rsid w:val="00BA448D"/>
    <w:rsid w:val="00BA58BA"/>
    <w:rsid w:val="00BB22EC"/>
    <w:rsid w:val="00BB2702"/>
    <w:rsid w:val="00BB2947"/>
    <w:rsid w:val="00BB33C6"/>
    <w:rsid w:val="00BB3920"/>
    <w:rsid w:val="00BB4025"/>
    <w:rsid w:val="00BB585C"/>
    <w:rsid w:val="00BC002D"/>
    <w:rsid w:val="00BC4D2F"/>
    <w:rsid w:val="00BC54B9"/>
    <w:rsid w:val="00BC7A58"/>
    <w:rsid w:val="00BD3A00"/>
    <w:rsid w:val="00BD43AD"/>
    <w:rsid w:val="00BD66FA"/>
    <w:rsid w:val="00BD7B9C"/>
    <w:rsid w:val="00BE0851"/>
    <w:rsid w:val="00BE345F"/>
    <w:rsid w:val="00BE45B1"/>
    <w:rsid w:val="00BF09AC"/>
    <w:rsid w:val="00BF2896"/>
    <w:rsid w:val="00BF5B2D"/>
    <w:rsid w:val="00BF5C78"/>
    <w:rsid w:val="00BF6F7D"/>
    <w:rsid w:val="00C008EB"/>
    <w:rsid w:val="00C00A14"/>
    <w:rsid w:val="00C015F4"/>
    <w:rsid w:val="00C02F05"/>
    <w:rsid w:val="00C040F8"/>
    <w:rsid w:val="00C0542F"/>
    <w:rsid w:val="00C0701A"/>
    <w:rsid w:val="00C16266"/>
    <w:rsid w:val="00C16DFD"/>
    <w:rsid w:val="00C17D88"/>
    <w:rsid w:val="00C22DCA"/>
    <w:rsid w:val="00C238CE"/>
    <w:rsid w:val="00C244BE"/>
    <w:rsid w:val="00C259AF"/>
    <w:rsid w:val="00C2722D"/>
    <w:rsid w:val="00C3134E"/>
    <w:rsid w:val="00C31F74"/>
    <w:rsid w:val="00C32C0C"/>
    <w:rsid w:val="00C336EE"/>
    <w:rsid w:val="00C33968"/>
    <w:rsid w:val="00C33CE6"/>
    <w:rsid w:val="00C35362"/>
    <w:rsid w:val="00C35ED6"/>
    <w:rsid w:val="00C369B9"/>
    <w:rsid w:val="00C36DB1"/>
    <w:rsid w:val="00C41E89"/>
    <w:rsid w:val="00C43F6C"/>
    <w:rsid w:val="00C442E8"/>
    <w:rsid w:val="00C4697E"/>
    <w:rsid w:val="00C47B1D"/>
    <w:rsid w:val="00C51FEB"/>
    <w:rsid w:val="00C55034"/>
    <w:rsid w:val="00C55C10"/>
    <w:rsid w:val="00C564D5"/>
    <w:rsid w:val="00C565C7"/>
    <w:rsid w:val="00C61A66"/>
    <w:rsid w:val="00C62907"/>
    <w:rsid w:val="00C6333C"/>
    <w:rsid w:val="00C6370B"/>
    <w:rsid w:val="00C64240"/>
    <w:rsid w:val="00C6481E"/>
    <w:rsid w:val="00C64F7C"/>
    <w:rsid w:val="00C669CE"/>
    <w:rsid w:val="00C67122"/>
    <w:rsid w:val="00C67FBC"/>
    <w:rsid w:val="00C703B7"/>
    <w:rsid w:val="00C71DAC"/>
    <w:rsid w:val="00C72F04"/>
    <w:rsid w:val="00C734CD"/>
    <w:rsid w:val="00C747A2"/>
    <w:rsid w:val="00C75E49"/>
    <w:rsid w:val="00C82819"/>
    <w:rsid w:val="00C82C6D"/>
    <w:rsid w:val="00C8350F"/>
    <w:rsid w:val="00C85214"/>
    <w:rsid w:val="00C85224"/>
    <w:rsid w:val="00C85377"/>
    <w:rsid w:val="00C85B64"/>
    <w:rsid w:val="00C85C2C"/>
    <w:rsid w:val="00C8757A"/>
    <w:rsid w:val="00C87D53"/>
    <w:rsid w:val="00C87E44"/>
    <w:rsid w:val="00C93F26"/>
    <w:rsid w:val="00C95223"/>
    <w:rsid w:val="00C95CC6"/>
    <w:rsid w:val="00C95F8C"/>
    <w:rsid w:val="00C96DDD"/>
    <w:rsid w:val="00C97321"/>
    <w:rsid w:val="00CA1030"/>
    <w:rsid w:val="00CA1980"/>
    <w:rsid w:val="00CA2110"/>
    <w:rsid w:val="00CA31EF"/>
    <w:rsid w:val="00CA4865"/>
    <w:rsid w:val="00CA4D8A"/>
    <w:rsid w:val="00CA76A1"/>
    <w:rsid w:val="00CB08D3"/>
    <w:rsid w:val="00CB450A"/>
    <w:rsid w:val="00CB4D9F"/>
    <w:rsid w:val="00CB5A7F"/>
    <w:rsid w:val="00CB795E"/>
    <w:rsid w:val="00CC15FA"/>
    <w:rsid w:val="00CC244C"/>
    <w:rsid w:val="00CC5599"/>
    <w:rsid w:val="00CC6E05"/>
    <w:rsid w:val="00CD0EA3"/>
    <w:rsid w:val="00CD1585"/>
    <w:rsid w:val="00CD1BCD"/>
    <w:rsid w:val="00CD2649"/>
    <w:rsid w:val="00CD49B6"/>
    <w:rsid w:val="00CD52CD"/>
    <w:rsid w:val="00CD58F0"/>
    <w:rsid w:val="00CE2B8A"/>
    <w:rsid w:val="00CE4F63"/>
    <w:rsid w:val="00CE7234"/>
    <w:rsid w:val="00CF04C8"/>
    <w:rsid w:val="00CF0610"/>
    <w:rsid w:val="00CF0FC0"/>
    <w:rsid w:val="00CF2F33"/>
    <w:rsid w:val="00CF5AA9"/>
    <w:rsid w:val="00CF7C22"/>
    <w:rsid w:val="00D020EE"/>
    <w:rsid w:val="00D032F4"/>
    <w:rsid w:val="00D05178"/>
    <w:rsid w:val="00D06259"/>
    <w:rsid w:val="00D0704E"/>
    <w:rsid w:val="00D07D89"/>
    <w:rsid w:val="00D07F55"/>
    <w:rsid w:val="00D116D3"/>
    <w:rsid w:val="00D124BD"/>
    <w:rsid w:val="00D12E10"/>
    <w:rsid w:val="00D1402B"/>
    <w:rsid w:val="00D14AA8"/>
    <w:rsid w:val="00D16365"/>
    <w:rsid w:val="00D16514"/>
    <w:rsid w:val="00D178BE"/>
    <w:rsid w:val="00D2463E"/>
    <w:rsid w:val="00D26071"/>
    <w:rsid w:val="00D273CF"/>
    <w:rsid w:val="00D276EC"/>
    <w:rsid w:val="00D30DFD"/>
    <w:rsid w:val="00D3186A"/>
    <w:rsid w:val="00D32043"/>
    <w:rsid w:val="00D32295"/>
    <w:rsid w:val="00D329AD"/>
    <w:rsid w:val="00D3419D"/>
    <w:rsid w:val="00D36233"/>
    <w:rsid w:val="00D40AC4"/>
    <w:rsid w:val="00D41A02"/>
    <w:rsid w:val="00D41B76"/>
    <w:rsid w:val="00D42D03"/>
    <w:rsid w:val="00D436CC"/>
    <w:rsid w:val="00D4714F"/>
    <w:rsid w:val="00D50F4E"/>
    <w:rsid w:val="00D543AC"/>
    <w:rsid w:val="00D5533A"/>
    <w:rsid w:val="00D553B2"/>
    <w:rsid w:val="00D56B25"/>
    <w:rsid w:val="00D56B3A"/>
    <w:rsid w:val="00D56B81"/>
    <w:rsid w:val="00D56EF9"/>
    <w:rsid w:val="00D60A28"/>
    <w:rsid w:val="00D60E49"/>
    <w:rsid w:val="00D63AE7"/>
    <w:rsid w:val="00D63E8F"/>
    <w:rsid w:val="00D666C7"/>
    <w:rsid w:val="00D66AAB"/>
    <w:rsid w:val="00D67238"/>
    <w:rsid w:val="00D67E7B"/>
    <w:rsid w:val="00D67F07"/>
    <w:rsid w:val="00D67F1C"/>
    <w:rsid w:val="00D70693"/>
    <w:rsid w:val="00D70738"/>
    <w:rsid w:val="00D7265D"/>
    <w:rsid w:val="00D72D58"/>
    <w:rsid w:val="00D74901"/>
    <w:rsid w:val="00D74D6A"/>
    <w:rsid w:val="00D823BD"/>
    <w:rsid w:val="00D82C38"/>
    <w:rsid w:val="00D8466D"/>
    <w:rsid w:val="00D861FC"/>
    <w:rsid w:val="00D8661D"/>
    <w:rsid w:val="00D8757E"/>
    <w:rsid w:val="00D90322"/>
    <w:rsid w:val="00D95827"/>
    <w:rsid w:val="00D95B86"/>
    <w:rsid w:val="00D964D2"/>
    <w:rsid w:val="00DA3A97"/>
    <w:rsid w:val="00DA43AB"/>
    <w:rsid w:val="00DA4442"/>
    <w:rsid w:val="00DA52DD"/>
    <w:rsid w:val="00DA5DF6"/>
    <w:rsid w:val="00DA668B"/>
    <w:rsid w:val="00DA6EA2"/>
    <w:rsid w:val="00DB113E"/>
    <w:rsid w:val="00DB262A"/>
    <w:rsid w:val="00DB3BAA"/>
    <w:rsid w:val="00DB488A"/>
    <w:rsid w:val="00DB660C"/>
    <w:rsid w:val="00DC0245"/>
    <w:rsid w:val="00DC17BE"/>
    <w:rsid w:val="00DC2B85"/>
    <w:rsid w:val="00DD1143"/>
    <w:rsid w:val="00DD2E6D"/>
    <w:rsid w:val="00DD3138"/>
    <w:rsid w:val="00DD3641"/>
    <w:rsid w:val="00DD5089"/>
    <w:rsid w:val="00DE646B"/>
    <w:rsid w:val="00DE77BC"/>
    <w:rsid w:val="00DF1D42"/>
    <w:rsid w:val="00DF3E84"/>
    <w:rsid w:val="00DF7647"/>
    <w:rsid w:val="00DF7FB7"/>
    <w:rsid w:val="00E012AD"/>
    <w:rsid w:val="00E01AE9"/>
    <w:rsid w:val="00E02B4A"/>
    <w:rsid w:val="00E036C3"/>
    <w:rsid w:val="00E04C2E"/>
    <w:rsid w:val="00E05828"/>
    <w:rsid w:val="00E05CB3"/>
    <w:rsid w:val="00E069CC"/>
    <w:rsid w:val="00E13347"/>
    <w:rsid w:val="00E14219"/>
    <w:rsid w:val="00E14DFE"/>
    <w:rsid w:val="00E14FB5"/>
    <w:rsid w:val="00E16368"/>
    <w:rsid w:val="00E164E6"/>
    <w:rsid w:val="00E17C3C"/>
    <w:rsid w:val="00E17EA0"/>
    <w:rsid w:val="00E21BFB"/>
    <w:rsid w:val="00E23209"/>
    <w:rsid w:val="00E24D95"/>
    <w:rsid w:val="00E26251"/>
    <w:rsid w:val="00E265A2"/>
    <w:rsid w:val="00E31F4B"/>
    <w:rsid w:val="00E3248C"/>
    <w:rsid w:val="00E3311D"/>
    <w:rsid w:val="00E35A35"/>
    <w:rsid w:val="00E36D11"/>
    <w:rsid w:val="00E37ACF"/>
    <w:rsid w:val="00E41BFD"/>
    <w:rsid w:val="00E429B2"/>
    <w:rsid w:val="00E44EC8"/>
    <w:rsid w:val="00E44FA4"/>
    <w:rsid w:val="00E45487"/>
    <w:rsid w:val="00E4557C"/>
    <w:rsid w:val="00E467E8"/>
    <w:rsid w:val="00E52575"/>
    <w:rsid w:val="00E5356C"/>
    <w:rsid w:val="00E53E6E"/>
    <w:rsid w:val="00E54305"/>
    <w:rsid w:val="00E56CC0"/>
    <w:rsid w:val="00E57216"/>
    <w:rsid w:val="00E61B43"/>
    <w:rsid w:val="00E630B0"/>
    <w:rsid w:val="00E64426"/>
    <w:rsid w:val="00E654F2"/>
    <w:rsid w:val="00E657AA"/>
    <w:rsid w:val="00E657B1"/>
    <w:rsid w:val="00E65D72"/>
    <w:rsid w:val="00E673A7"/>
    <w:rsid w:val="00E705B4"/>
    <w:rsid w:val="00E71023"/>
    <w:rsid w:val="00E72F35"/>
    <w:rsid w:val="00E75F11"/>
    <w:rsid w:val="00E82FCC"/>
    <w:rsid w:val="00E84781"/>
    <w:rsid w:val="00E84992"/>
    <w:rsid w:val="00E84C63"/>
    <w:rsid w:val="00E933B7"/>
    <w:rsid w:val="00E93F0A"/>
    <w:rsid w:val="00E95969"/>
    <w:rsid w:val="00E96942"/>
    <w:rsid w:val="00E976EE"/>
    <w:rsid w:val="00E977AF"/>
    <w:rsid w:val="00EA0A02"/>
    <w:rsid w:val="00EA0B7B"/>
    <w:rsid w:val="00EA0C41"/>
    <w:rsid w:val="00EA17B5"/>
    <w:rsid w:val="00EA1D18"/>
    <w:rsid w:val="00EA529D"/>
    <w:rsid w:val="00EA78E6"/>
    <w:rsid w:val="00EB03F2"/>
    <w:rsid w:val="00EB1AD1"/>
    <w:rsid w:val="00EB4858"/>
    <w:rsid w:val="00EB5AEB"/>
    <w:rsid w:val="00EB656F"/>
    <w:rsid w:val="00EC1B6D"/>
    <w:rsid w:val="00EC1D48"/>
    <w:rsid w:val="00EC2091"/>
    <w:rsid w:val="00EC456B"/>
    <w:rsid w:val="00EC4596"/>
    <w:rsid w:val="00EC5718"/>
    <w:rsid w:val="00EC5A4F"/>
    <w:rsid w:val="00EC5C67"/>
    <w:rsid w:val="00EC5DE0"/>
    <w:rsid w:val="00EC6825"/>
    <w:rsid w:val="00ED0661"/>
    <w:rsid w:val="00ED25F5"/>
    <w:rsid w:val="00ED3C0A"/>
    <w:rsid w:val="00ED4551"/>
    <w:rsid w:val="00ED5AF8"/>
    <w:rsid w:val="00ED5E72"/>
    <w:rsid w:val="00ED6A33"/>
    <w:rsid w:val="00ED6A86"/>
    <w:rsid w:val="00EE073A"/>
    <w:rsid w:val="00EE094E"/>
    <w:rsid w:val="00EE52E8"/>
    <w:rsid w:val="00EE622C"/>
    <w:rsid w:val="00EE7ACF"/>
    <w:rsid w:val="00EE7F99"/>
    <w:rsid w:val="00EF26CD"/>
    <w:rsid w:val="00EF28DE"/>
    <w:rsid w:val="00EF2AA7"/>
    <w:rsid w:val="00EF411E"/>
    <w:rsid w:val="00EF56CA"/>
    <w:rsid w:val="00EF596F"/>
    <w:rsid w:val="00EF6C89"/>
    <w:rsid w:val="00F005B3"/>
    <w:rsid w:val="00F009B0"/>
    <w:rsid w:val="00F02A1B"/>
    <w:rsid w:val="00F03EDA"/>
    <w:rsid w:val="00F05162"/>
    <w:rsid w:val="00F05430"/>
    <w:rsid w:val="00F06B41"/>
    <w:rsid w:val="00F10102"/>
    <w:rsid w:val="00F10963"/>
    <w:rsid w:val="00F113A2"/>
    <w:rsid w:val="00F12B16"/>
    <w:rsid w:val="00F13A41"/>
    <w:rsid w:val="00F13BEA"/>
    <w:rsid w:val="00F1444C"/>
    <w:rsid w:val="00F1600C"/>
    <w:rsid w:val="00F179BF"/>
    <w:rsid w:val="00F20D2D"/>
    <w:rsid w:val="00F213BD"/>
    <w:rsid w:val="00F249FA"/>
    <w:rsid w:val="00F251EE"/>
    <w:rsid w:val="00F3015E"/>
    <w:rsid w:val="00F311D3"/>
    <w:rsid w:val="00F33505"/>
    <w:rsid w:val="00F342B0"/>
    <w:rsid w:val="00F3504C"/>
    <w:rsid w:val="00F3733B"/>
    <w:rsid w:val="00F41DD4"/>
    <w:rsid w:val="00F420D5"/>
    <w:rsid w:val="00F44EC6"/>
    <w:rsid w:val="00F450D7"/>
    <w:rsid w:val="00F45B86"/>
    <w:rsid w:val="00F466AD"/>
    <w:rsid w:val="00F4703D"/>
    <w:rsid w:val="00F50A2C"/>
    <w:rsid w:val="00F51679"/>
    <w:rsid w:val="00F55457"/>
    <w:rsid w:val="00F60CE6"/>
    <w:rsid w:val="00F640FC"/>
    <w:rsid w:val="00F6472A"/>
    <w:rsid w:val="00F70076"/>
    <w:rsid w:val="00F71DA2"/>
    <w:rsid w:val="00F73496"/>
    <w:rsid w:val="00F7484F"/>
    <w:rsid w:val="00F76001"/>
    <w:rsid w:val="00F812B5"/>
    <w:rsid w:val="00F8280B"/>
    <w:rsid w:val="00F82B0C"/>
    <w:rsid w:val="00F82B97"/>
    <w:rsid w:val="00F8762E"/>
    <w:rsid w:val="00F9253C"/>
    <w:rsid w:val="00F93FD6"/>
    <w:rsid w:val="00F95833"/>
    <w:rsid w:val="00FA0BD3"/>
    <w:rsid w:val="00FA3CE7"/>
    <w:rsid w:val="00FA4189"/>
    <w:rsid w:val="00FA5622"/>
    <w:rsid w:val="00FA5CA8"/>
    <w:rsid w:val="00FA5DF8"/>
    <w:rsid w:val="00FA76CE"/>
    <w:rsid w:val="00FB145C"/>
    <w:rsid w:val="00FB213C"/>
    <w:rsid w:val="00FB228D"/>
    <w:rsid w:val="00FB4902"/>
    <w:rsid w:val="00FB60EA"/>
    <w:rsid w:val="00FB62AE"/>
    <w:rsid w:val="00FB73AF"/>
    <w:rsid w:val="00FB79BF"/>
    <w:rsid w:val="00FC01C2"/>
    <w:rsid w:val="00FC15BB"/>
    <w:rsid w:val="00FC4B65"/>
    <w:rsid w:val="00FC4DCC"/>
    <w:rsid w:val="00FC511E"/>
    <w:rsid w:val="00FC5A90"/>
    <w:rsid w:val="00FC7060"/>
    <w:rsid w:val="00FC7349"/>
    <w:rsid w:val="00FD05B4"/>
    <w:rsid w:val="00FD1111"/>
    <w:rsid w:val="00FD135F"/>
    <w:rsid w:val="00FD3286"/>
    <w:rsid w:val="00FD38DC"/>
    <w:rsid w:val="00FD450C"/>
    <w:rsid w:val="00FD58B8"/>
    <w:rsid w:val="00FD5C57"/>
    <w:rsid w:val="00FD5E26"/>
    <w:rsid w:val="00FD6740"/>
    <w:rsid w:val="00FD7131"/>
    <w:rsid w:val="00FE1781"/>
    <w:rsid w:val="00FE2BB6"/>
    <w:rsid w:val="00FE2DB7"/>
    <w:rsid w:val="00FE3762"/>
    <w:rsid w:val="00FE450A"/>
    <w:rsid w:val="00FF3A06"/>
    <w:rsid w:val="00FF3E54"/>
    <w:rsid w:val="00FF53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262D"/>
  <w15:chartTrackingRefBased/>
  <w15:docId w15:val="{7154DD0B-DE10-4E2F-9BA8-B506CF5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858"/>
    <w:pPr>
      <w:spacing w:after="0" w:line="36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12DC"/>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1930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212DC"/>
    <w:pPr>
      <w:keepNext/>
      <w:outlineLvl w:val="2"/>
    </w:pPr>
    <w:rPr>
      <w:rFonts w:ascii="Arial" w:hAnsi="Arial" w:cs="Arial"/>
      <w:i/>
      <w:iCs/>
      <w:sz w:val="28"/>
    </w:rPr>
  </w:style>
  <w:style w:type="paragraph" w:styleId="Heading4">
    <w:name w:val="heading 4"/>
    <w:basedOn w:val="Normal"/>
    <w:next w:val="Normal"/>
    <w:link w:val="Heading4Char"/>
    <w:qFormat/>
    <w:rsid w:val="0031085B"/>
    <w:pPr>
      <w:keepNext/>
      <w:autoSpaceDE w:val="0"/>
      <w:autoSpaceDN w:val="0"/>
      <w:adjustRightInd w:val="0"/>
      <w:spacing w:line="480" w:lineRule="auto"/>
      <w:outlineLvl w:val="3"/>
    </w:pPr>
    <w:rPr>
      <w:sz w:val="28"/>
      <w:szCs w:val="18"/>
      <w:u w:val="single"/>
      <w:lang w:val="en-US"/>
    </w:rPr>
  </w:style>
  <w:style w:type="paragraph" w:styleId="Heading6">
    <w:name w:val="heading 6"/>
    <w:basedOn w:val="Normal"/>
    <w:next w:val="Normal"/>
    <w:link w:val="Heading6Char"/>
    <w:qFormat/>
    <w:rsid w:val="0031085B"/>
    <w:pPr>
      <w:keepNext/>
      <w:spacing w:line="480" w:lineRule="auto"/>
      <w:jc w:val="right"/>
      <w:outlineLvl w:val="5"/>
    </w:pPr>
    <w:rPr>
      <w:sz w:val="28"/>
      <w:szCs w:val="28"/>
    </w:rPr>
  </w:style>
  <w:style w:type="paragraph" w:styleId="Heading7">
    <w:name w:val="heading 7"/>
    <w:basedOn w:val="Normal"/>
    <w:next w:val="Normal"/>
    <w:link w:val="Heading7Char"/>
    <w:qFormat/>
    <w:rsid w:val="0031085B"/>
    <w:pPr>
      <w:keepNext/>
      <w:outlineLvl w:val="6"/>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2DC"/>
    <w:rPr>
      <w:rFonts w:ascii="Arial" w:eastAsia="Times New Roman" w:hAnsi="Arial" w:cs="Arial"/>
      <w:b/>
      <w:bCs/>
      <w:sz w:val="28"/>
      <w:szCs w:val="24"/>
    </w:rPr>
  </w:style>
  <w:style w:type="character" w:customStyle="1" w:styleId="Heading3Char">
    <w:name w:val="Heading 3 Char"/>
    <w:basedOn w:val="DefaultParagraphFont"/>
    <w:link w:val="Heading3"/>
    <w:rsid w:val="004212DC"/>
    <w:rPr>
      <w:rFonts w:ascii="Arial" w:eastAsia="Times New Roman" w:hAnsi="Arial" w:cs="Arial"/>
      <w:i/>
      <w:iCs/>
      <w:sz w:val="28"/>
      <w:szCs w:val="24"/>
    </w:rPr>
  </w:style>
  <w:style w:type="paragraph" w:styleId="Header">
    <w:name w:val="header"/>
    <w:basedOn w:val="Normal"/>
    <w:link w:val="HeaderChar"/>
    <w:rsid w:val="004212DC"/>
    <w:pPr>
      <w:tabs>
        <w:tab w:val="center" w:pos="4153"/>
        <w:tab w:val="right" w:pos="8306"/>
      </w:tabs>
    </w:pPr>
  </w:style>
  <w:style w:type="character" w:customStyle="1" w:styleId="HeaderChar">
    <w:name w:val="Header Char"/>
    <w:basedOn w:val="DefaultParagraphFont"/>
    <w:link w:val="Header"/>
    <w:rsid w:val="004212DC"/>
    <w:rPr>
      <w:rFonts w:ascii="Times New Roman" w:eastAsia="Times New Roman" w:hAnsi="Times New Roman" w:cs="Times New Roman"/>
      <w:sz w:val="24"/>
      <w:szCs w:val="24"/>
    </w:rPr>
  </w:style>
  <w:style w:type="character" w:styleId="PageNumber">
    <w:name w:val="page number"/>
    <w:basedOn w:val="DefaultParagraphFont"/>
    <w:rsid w:val="004212DC"/>
    <w:rPr>
      <w:rFonts w:cs="Times New Roman"/>
    </w:rPr>
  </w:style>
  <w:style w:type="paragraph" w:styleId="ListParagraph">
    <w:name w:val="List Paragraph"/>
    <w:basedOn w:val="Normal"/>
    <w:uiPriority w:val="72"/>
    <w:qFormat/>
    <w:rsid w:val="004212DC"/>
    <w:pPr>
      <w:ind w:left="720"/>
      <w:contextualSpacing/>
    </w:pPr>
  </w:style>
  <w:style w:type="paragraph" w:styleId="NormalWeb">
    <w:name w:val="Normal (Web)"/>
    <w:basedOn w:val="Normal"/>
    <w:uiPriority w:val="99"/>
    <w:semiHidden/>
    <w:unhideWhenUsed/>
    <w:rsid w:val="004212DC"/>
    <w:pPr>
      <w:spacing w:before="100" w:beforeAutospacing="1" w:after="100" w:afterAutospacing="1" w:line="240" w:lineRule="auto"/>
      <w:jc w:val="left"/>
    </w:pPr>
    <w:rPr>
      <w:lang w:eastAsia="en-ZA"/>
    </w:rPr>
  </w:style>
  <w:style w:type="character" w:styleId="Strong">
    <w:name w:val="Strong"/>
    <w:basedOn w:val="DefaultParagraphFont"/>
    <w:uiPriority w:val="22"/>
    <w:qFormat/>
    <w:rsid w:val="004212DC"/>
    <w:rPr>
      <w:b/>
      <w:bCs/>
    </w:rPr>
  </w:style>
  <w:style w:type="paragraph" w:customStyle="1" w:styleId="JUDGMENTNUMBERED">
    <w:name w:val="JUDGMENT NUMBERED"/>
    <w:basedOn w:val="Normal"/>
    <w:next w:val="Normal"/>
    <w:qFormat/>
    <w:rsid w:val="004212DC"/>
    <w:pPr>
      <w:numPr>
        <w:numId w:val="4"/>
      </w:numPr>
      <w:ind w:left="0" w:firstLine="0"/>
    </w:pPr>
    <w:rPr>
      <w:rFonts w:ascii="Arial" w:eastAsia="Calibri" w:hAnsi="Arial"/>
      <w:color w:val="000000"/>
      <w:szCs w:val="22"/>
      <w14:scene3d>
        <w14:camera w14:prst="orthographicFront"/>
        <w14:lightRig w14:rig="threePt" w14:dir="t">
          <w14:rot w14:lat="0" w14:lon="0" w14:rev="0"/>
        </w14:lightRig>
      </w14:scene3d>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unhideWhenUsed/>
    <w:qFormat/>
    <w:rsid w:val="001F6B30"/>
    <w:pPr>
      <w:spacing w:line="240" w:lineRule="auto"/>
      <w:jc w:val="left"/>
    </w:pPr>
    <w:rPr>
      <w:rFonts w:asciiTheme="minorHAnsi" w:eastAsiaTheme="minorHAnsi" w:hAnsiTheme="minorHAnsi" w:cstheme="minorBid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1F6B30"/>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1F6B30"/>
    <w:rPr>
      <w:vertAlign w:val="superscript"/>
    </w:rPr>
  </w:style>
  <w:style w:type="character" w:customStyle="1" w:styleId="Heading2Char">
    <w:name w:val="Heading 2 Char"/>
    <w:basedOn w:val="DefaultParagraphFont"/>
    <w:link w:val="Heading2"/>
    <w:uiPriority w:val="9"/>
    <w:semiHidden/>
    <w:rsid w:val="001930B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13B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4078"/>
    <w:rPr>
      <w:sz w:val="16"/>
      <w:szCs w:val="16"/>
    </w:rPr>
  </w:style>
  <w:style w:type="paragraph" w:styleId="CommentText">
    <w:name w:val="annotation text"/>
    <w:basedOn w:val="Normal"/>
    <w:link w:val="CommentTextChar"/>
    <w:uiPriority w:val="99"/>
    <w:unhideWhenUsed/>
    <w:rsid w:val="006F4078"/>
    <w:pPr>
      <w:spacing w:line="240" w:lineRule="auto"/>
    </w:pPr>
    <w:rPr>
      <w:sz w:val="20"/>
      <w:szCs w:val="20"/>
    </w:rPr>
  </w:style>
  <w:style w:type="character" w:customStyle="1" w:styleId="CommentTextChar">
    <w:name w:val="Comment Text Char"/>
    <w:basedOn w:val="DefaultParagraphFont"/>
    <w:link w:val="CommentText"/>
    <w:uiPriority w:val="99"/>
    <w:rsid w:val="006F40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078"/>
    <w:rPr>
      <w:b/>
      <w:bCs/>
    </w:rPr>
  </w:style>
  <w:style w:type="character" w:customStyle="1" w:styleId="CommentSubjectChar">
    <w:name w:val="Comment Subject Char"/>
    <w:basedOn w:val="CommentTextChar"/>
    <w:link w:val="CommentSubject"/>
    <w:uiPriority w:val="99"/>
    <w:semiHidden/>
    <w:rsid w:val="006F4078"/>
    <w:rPr>
      <w:rFonts w:ascii="Times New Roman" w:eastAsia="Times New Roman" w:hAnsi="Times New Roman" w:cs="Times New Roman"/>
      <w:b/>
      <w:bCs/>
      <w:sz w:val="20"/>
      <w:szCs w:val="20"/>
    </w:rPr>
  </w:style>
  <w:style w:type="paragraph" w:styleId="Revision">
    <w:name w:val="Revision"/>
    <w:hidden/>
    <w:uiPriority w:val="71"/>
    <w:rsid w:val="00D3623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D2F"/>
    <w:pPr>
      <w:tabs>
        <w:tab w:val="center" w:pos="4513"/>
        <w:tab w:val="right" w:pos="9026"/>
      </w:tabs>
      <w:spacing w:line="240" w:lineRule="auto"/>
    </w:pPr>
  </w:style>
  <w:style w:type="character" w:customStyle="1" w:styleId="FooterChar">
    <w:name w:val="Footer Char"/>
    <w:basedOn w:val="DefaultParagraphFont"/>
    <w:link w:val="Footer"/>
    <w:uiPriority w:val="99"/>
    <w:rsid w:val="00BC4D2F"/>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31085B"/>
    <w:rPr>
      <w:rFonts w:ascii="Times New Roman" w:eastAsia="Times New Roman" w:hAnsi="Times New Roman" w:cs="Times New Roman"/>
      <w:sz w:val="28"/>
      <w:szCs w:val="18"/>
      <w:u w:val="single"/>
      <w:lang w:val="en-US"/>
    </w:rPr>
  </w:style>
  <w:style w:type="character" w:customStyle="1" w:styleId="Heading6Char">
    <w:name w:val="Heading 6 Char"/>
    <w:basedOn w:val="DefaultParagraphFont"/>
    <w:link w:val="Heading6"/>
    <w:rsid w:val="0031085B"/>
    <w:rPr>
      <w:rFonts w:ascii="Times New Roman" w:eastAsia="Times New Roman" w:hAnsi="Times New Roman" w:cs="Times New Roman"/>
      <w:sz w:val="28"/>
      <w:szCs w:val="28"/>
    </w:rPr>
  </w:style>
  <w:style w:type="character" w:customStyle="1" w:styleId="Heading7Char">
    <w:name w:val="Heading 7 Char"/>
    <w:basedOn w:val="DefaultParagraphFont"/>
    <w:link w:val="Heading7"/>
    <w:rsid w:val="0031085B"/>
    <w:rPr>
      <w:rFonts w:ascii="Times New Roman" w:eastAsia="Times New Roman" w:hAnsi="Times New Roman" w:cs="Times New Roman"/>
      <w:bCs/>
      <w:sz w:val="28"/>
      <w:szCs w:val="28"/>
    </w:rPr>
  </w:style>
  <w:style w:type="paragraph" w:styleId="BodyText3">
    <w:name w:val="Body Text 3"/>
    <w:basedOn w:val="Normal"/>
    <w:link w:val="BodyText3Char"/>
    <w:semiHidden/>
    <w:rsid w:val="0031085B"/>
    <w:pPr>
      <w:spacing w:line="480" w:lineRule="auto"/>
    </w:pPr>
    <w:rPr>
      <w:sz w:val="28"/>
      <w:szCs w:val="28"/>
    </w:rPr>
  </w:style>
  <w:style w:type="character" w:customStyle="1" w:styleId="BodyText3Char">
    <w:name w:val="Body Text 3 Char"/>
    <w:basedOn w:val="DefaultParagraphFont"/>
    <w:link w:val="BodyText3"/>
    <w:semiHidden/>
    <w:rsid w:val="0031085B"/>
    <w:rPr>
      <w:rFonts w:ascii="Times New Roman" w:eastAsia="Times New Roman" w:hAnsi="Times New Roman" w:cs="Times New Roman"/>
      <w:sz w:val="28"/>
      <w:szCs w:val="28"/>
    </w:rPr>
  </w:style>
  <w:style w:type="paragraph" w:styleId="BodyTextIndent">
    <w:name w:val="Body Text Indent"/>
    <w:basedOn w:val="Normal"/>
    <w:link w:val="BodyTextIndentChar"/>
    <w:semiHidden/>
    <w:rsid w:val="0031085B"/>
    <w:pPr>
      <w:tabs>
        <w:tab w:val="left" w:pos="0"/>
        <w:tab w:val="left" w:pos="1440"/>
        <w:tab w:val="left" w:pos="1530"/>
      </w:tabs>
      <w:spacing w:after="200"/>
    </w:pPr>
    <w:rPr>
      <w:sz w:val="28"/>
      <w:szCs w:val="28"/>
      <w:lang w:val="en-GB"/>
    </w:rPr>
  </w:style>
  <w:style w:type="character" w:customStyle="1" w:styleId="BodyTextIndentChar">
    <w:name w:val="Body Text Indent Char"/>
    <w:basedOn w:val="DefaultParagraphFont"/>
    <w:link w:val="BodyTextIndent"/>
    <w:semiHidden/>
    <w:rsid w:val="0031085B"/>
    <w:rPr>
      <w:rFonts w:ascii="Times New Roman" w:eastAsia="Times New Roman" w:hAnsi="Times New Roman" w:cs="Times New Roman"/>
      <w:sz w:val="28"/>
      <w:szCs w:val="28"/>
      <w:lang w:val="en-GB"/>
    </w:rPr>
  </w:style>
  <w:style w:type="paragraph" w:customStyle="1" w:styleId="q-1-1">
    <w:name w:val="q-1-1"/>
    <w:basedOn w:val="Normal"/>
    <w:rsid w:val="0031085B"/>
    <w:pPr>
      <w:spacing w:before="100" w:beforeAutospacing="1" w:after="100" w:afterAutospacing="1" w:line="240" w:lineRule="auto"/>
      <w:jc w:val="left"/>
    </w:pPr>
    <w:rPr>
      <w:lang w:eastAsia="en-GB"/>
    </w:rPr>
  </w:style>
  <w:style w:type="paragraph" w:styleId="NormalIndent">
    <w:name w:val="Normal Indent"/>
    <w:basedOn w:val="Normal"/>
    <w:uiPriority w:val="99"/>
    <w:semiHidden/>
    <w:unhideWhenUsed/>
    <w:rsid w:val="0031085B"/>
    <w:pPr>
      <w:spacing w:line="480" w:lineRule="auto"/>
      <w:ind w:left="720"/>
    </w:pPr>
    <w:rPr>
      <w:sz w:val="28"/>
      <w:szCs w:val="28"/>
      <w:lang w:val="en-GB"/>
    </w:rPr>
  </w:style>
  <w:style w:type="paragraph" w:customStyle="1" w:styleId="para-10">
    <w:name w:val="para-10"/>
    <w:basedOn w:val="Normal"/>
    <w:rsid w:val="0031085B"/>
    <w:pPr>
      <w:spacing w:before="100" w:beforeAutospacing="1" w:after="100" w:afterAutospacing="1" w:line="240" w:lineRule="auto"/>
      <w:jc w:val="left"/>
    </w:pPr>
    <w:rPr>
      <w:lang w:eastAsia="en-GB"/>
    </w:rPr>
  </w:style>
  <w:style w:type="paragraph" w:customStyle="1" w:styleId="western">
    <w:name w:val="western"/>
    <w:basedOn w:val="Normal"/>
    <w:rsid w:val="0064147E"/>
    <w:pPr>
      <w:spacing w:before="100" w:beforeAutospacing="1" w:after="100" w:afterAutospacing="1" w:line="240" w:lineRule="auto"/>
      <w:jc w:val="left"/>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327">
      <w:bodyDiv w:val="1"/>
      <w:marLeft w:val="0"/>
      <w:marRight w:val="0"/>
      <w:marTop w:val="0"/>
      <w:marBottom w:val="0"/>
      <w:divBdr>
        <w:top w:val="none" w:sz="0" w:space="0" w:color="auto"/>
        <w:left w:val="none" w:sz="0" w:space="0" w:color="auto"/>
        <w:bottom w:val="none" w:sz="0" w:space="0" w:color="auto"/>
        <w:right w:val="none" w:sz="0" w:space="0" w:color="auto"/>
      </w:divBdr>
      <w:divsChild>
        <w:div w:id="721440896">
          <w:marLeft w:val="0"/>
          <w:marRight w:val="0"/>
          <w:marTop w:val="120"/>
          <w:marBottom w:val="0"/>
          <w:divBdr>
            <w:top w:val="none" w:sz="0" w:space="0" w:color="auto"/>
            <w:left w:val="none" w:sz="0" w:space="0" w:color="auto"/>
            <w:bottom w:val="none" w:sz="0" w:space="0" w:color="auto"/>
            <w:right w:val="none" w:sz="0" w:space="0" w:color="auto"/>
          </w:divBdr>
        </w:div>
        <w:div w:id="1344437810">
          <w:marLeft w:val="0"/>
          <w:marRight w:val="0"/>
          <w:marTop w:val="120"/>
          <w:marBottom w:val="0"/>
          <w:divBdr>
            <w:top w:val="none" w:sz="0" w:space="0" w:color="auto"/>
            <w:left w:val="none" w:sz="0" w:space="0" w:color="auto"/>
            <w:bottom w:val="none" w:sz="0" w:space="0" w:color="auto"/>
            <w:right w:val="none" w:sz="0" w:space="0" w:color="auto"/>
          </w:divBdr>
        </w:div>
        <w:div w:id="1639649430">
          <w:marLeft w:val="0"/>
          <w:marRight w:val="0"/>
          <w:marTop w:val="120"/>
          <w:marBottom w:val="0"/>
          <w:divBdr>
            <w:top w:val="none" w:sz="0" w:space="0" w:color="auto"/>
            <w:left w:val="none" w:sz="0" w:space="0" w:color="auto"/>
            <w:bottom w:val="none" w:sz="0" w:space="0" w:color="auto"/>
            <w:right w:val="none" w:sz="0" w:space="0" w:color="auto"/>
          </w:divBdr>
        </w:div>
        <w:div w:id="1773088952">
          <w:marLeft w:val="0"/>
          <w:marRight w:val="0"/>
          <w:marTop w:val="240"/>
          <w:marBottom w:val="24"/>
          <w:divBdr>
            <w:top w:val="single" w:sz="8" w:space="2" w:color="808080"/>
            <w:left w:val="none" w:sz="0" w:space="0" w:color="auto"/>
            <w:bottom w:val="none" w:sz="0" w:space="0" w:color="auto"/>
            <w:right w:val="none" w:sz="0" w:space="0" w:color="auto"/>
          </w:divBdr>
        </w:div>
        <w:div w:id="1832866371">
          <w:marLeft w:val="0"/>
          <w:marRight w:val="0"/>
          <w:marTop w:val="120"/>
          <w:marBottom w:val="0"/>
          <w:divBdr>
            <w:top w:val="none" w:sz="0" w:space="0" w:color="auto"/>
            <w:left w:val="none" w:sz="0" w:space="0" w:color="auto"/>
            <w:bottom w:val="none" w:sz="0" w:space="0" w:color="auto"/>
            <w:right w:val="none" w:sz="0" w:space="0" w:color="auto"/>
          </w:divBdr>
        </w:div>
      </w:divsChild>
    </w:div>
    <w:div w:id="180358211">
      <w:bodyDiv w:val="1"/>
      <w:marLeft w:val="0"/>
      <w:marRight w:val="0"/>
      <w:marTop w:val="0"/>
      <w:marBottom w:val="0"/>
      <w:divBdr>
        <w:top w:val="none" w:sz="0" w:space="0" w:color="auto"/>
        <w:left w:val="none" w:sz="0" w:space="0" w:color="auto"/>
        <w:bottom w:val="none" w:sz="0" w:space="0" w:color="auto"/>
        <w:right w:val="none" w:sz="0" w:space="0" w:color="auto"/>
      </w:divBdr>
    </w:div>
    <w:div w:id="197202508">
      <w:bodyDiv w:val="1"/>
      <w:marLeft w:val="0"/>
      <w:marRight w:val="0"/>
      <w:marTop w:val="0"/>
      <w:marBottom w:val="0"/>
      <w:divBdr>
        <w:top w:val="none" w:sz="0" w:space="0" w:color="auto"/>
        <w:left w:val="none" w:sz="0" w:space="0" w:color="auto"/>
        <w:bottom w:val="none" w:sz="0" w:space="0" w:color="auto"/>
        <w:right w:val="none" w:sz="0" w:space="0" w:color="auto"/>
      </w:divBdr>
    </w:div>
    <w:div w:id="365721086">
      <w:bodyDiv w:val="1"/>
      <w:marLeft w:val="0"/>
      <w:marRight w:val="0"/>
      <w:marTop w:val="0"/>
      <w:marBottom w:val="0"/>
      <w:divBdr>
        <w:top w:val="none" w:sz="0" w:space="0" w:color="auto"/>
        <w:left w:val="none" w:sz="0" w:space="0" w:color="auto"/>
        <w:bottom w:val="none" w:sz="0" w:space="0" w:color="auto"/>
        <w:right w:val="none" w:sz="0" w:space="0" w:color="auto"/>
      </w:divBdr>
    </w:div>
    <w:div w:id="519440793">
      <w:bodyDiv w:val="1"/>
      <w:marLeft w:val="0"/>
      <w:marRight w:val="0"/>
      <w:marTop w:val="0"/>
      <w:marBottom w:val="0"/>
      <w:divBdr>
        <w:top w:val="none" w:sz="0" w:space="0" w:color="auto"/>
        <w:left w:val="none" w:sz="0" w:space="0" w:color="auto"/>
        <w:bottom w:val="none" w:sz="0" w:space="0" w:color="auto"/>
        <w:right w:val="none" w:sz="0" w:space="0" w:color="auto"/>
      </w:divBdr>
    </w:div>
    <w:div w:id="566115047">
      <w:bodyDiv w:val="1"/>
      <w:marLeft w:val="0"/>
      <w:marRight w:val="0"/>
      <w:marTop w:val="0"/>
      <w:marBottom w:val="0"/>
      <w:divBdr>
        <w:top w:val="none" w:sz="0" w:space="0" w:color="auto"/>
        <w:left w:val="none" w:sz="0" w:space="0" w:color="auto"/>
        <w:bottom w:val="none" w:sz="0" w:space="0" w:color="auto"/>
        <w:right w:val="none" w:sz="0" w:space="0" w:color="auto"/>
      </w:divBdr>
    </w:div>
    <w:div w:id="860977808">
      <w:bodyDiv w:val="1"/>
      <w:marLeft w:val="0"/>
      <w:marRight w:val="0"/>
      <w:marTop w:val="0"/>
      <w:marBottom w:val="0"/>
      <w:divBdr>
        <w:top w:val="none" w:sz="0" w:space="0" w:color="auto"/>
        <w:left w:val="none" w:sz="0" w:space="0" w:color="auto"/>
        <w:bottom w:val="none" w:sz="0" w:space="0" w:color="auto"/>
        <w:right w:val="none" w:sz="0" w:space="0" w:color="auto"/>
      </w:divBdr>
    </w:div>
    <w:div w:id="1129981532">
      <w:bodyDiv w:val="1"/>
      <w:marLeft w:val="0"/>
      <w:marRight w:val="0"/>
      <w:marTop w:val="0"/>
      <w:marBottom w:val="0"/>
      <w:divBdr>
        <w:top w:val="none" w:sz="0" w:space="0" w:color="auto"/>
        <w:left w:val="none" w:sz="0" w:space="0" w:color="auto"/>
        <w:bottom w:val="none" w:sz="0" w:space="0" w:color="auto"/>
        <w:right w:val="none" w:sz="0" w:space="0" w:color="auto"/>
      </w:divBdr>
    </w:div>
    <w:div w:id="1168984918">
      <w:bodyDiv w:val="1"/>
      <w:marLeft w:val="0"/>
      <w:marRight w:val="0"/>
      <w:marTop w:val="0"/>
      <w:marBottom w:val="0"/>
      <w:divBdr>
        <w:top w:val="none" w:sz="0" w:space="0" w:color="auto"/>
        <w:left w:val="none" w:sz="0" w:space="0" w:color="auto"/>
        <w:bottom w:val="none" w:sz="0" w:space="0" w:color="auto"/>
        <w:right w:val="none" w:sz="0" w:space="0" w:color="auto"/>
      </w:divBdr>
    </w:div>
    <w:div w:id="1215463317">
      <w:bodyDiv w:val="1"/>
      <w:marLeft w:val="0"/>
      <w:marRight w:val="0"/>
      <w:marTop w:val="0"/>
      <w:marBottom w:val="0"/>
      <w:divBdr>
        <w:top w:val="none" w:sz="0" w:space="0" w:color="auto"/>
        <w:left w:val="none" w:sz="0" w:space="0" w:color="auto"/>
        <w:bottom w:val="none" w:sz="0" w:space="0" w:color="auto"/>
        <w:right w:val="none" w:sz="0" w:space="0" w:color="auto"/>
      </w:divBdr>
    </w:div>
    <w:div w:id="1309746868">
      <w:bodyDiv w:val="1"/>
      <w:marLeft w:val="0"/>
      <w:marRight w:val="0"/>
      <w:marTop w:val="0"/>
      <w:marBottom w:val="0"/>
      <w:divBdr>
        <w:top w:val="none" w:sz="0" w:space="0" w:color="auto"/>
        <w:left w:val="none" w:sz="0" w:space="0" w:color="auto"/>
        <w:bottom w:val="none" w:sz="0" w:space="0" w:color="auto"/>
        <w:right w:val="none" w:sz="0" w:space="0" w:color="auto"/>
      </w:divBdr>
    </w:div>
    <w:div w:id="1367561705">
      <w:bodyDiv w:val="1"/>
      <w:marLeft w:val="0"/>
      <w:marRight w:val="0"/>
      <w:marTop w:val="0"/>
      <w:marBottom w:val="0"/>
      <w:divBdr>
        <w:top w:val="none" w:sz="0" w:space="0" w:color="auto"/>
        <w:left w:val="none" w:sz="0" w:space="0" w:color="auto"/>
        <w:bottom w:val="none" w:sz="0" w:space="0" w:color="auto"/>
        <w:right w:val="none" w:sz="0" w:space="0" w:color="auto"/>
      </w:divBdr>
    </w:div>
    <w:div w:id="1410427349">
      <w:bodyDiv w:val="1"/>
      <w:marLeft w:val="0"/>
      <w:marRight w:val="0"/>
      <w:marTop w:val="0"/>
      <w:marBottom w:val="0"/>
      <w:divBdr>
        <w:top w:val="none" w:sz="0" w:space="0" w:color="auto"/>
        <w:left w:val="none" w:sz="0" w:space="0" w:color="auto"/>
        <w:bottom w:val="none" w:sz="0" w:space="0" w:color="auto"/>
        <w:right w:val="none" w:sz="0" w:space="0" w:color="auto"/>
      </w:divBdr>
    </w:div>
    <w:div w:id="1601792073">
      <w:bodyDiv w:val="1"/>
      <w:marLeft w:val="0"/>
      <w:marRight w:val="0"/>
      <w:marTop w:val="0"/>
      <w:marBottom w:val="0"/>
      <w:divBdr>
        <w:top w:val="none" w:sz="0" w:space="0" w:color="auto"/>
        <w:left w:val="none" w:sz="0" w:space="0" w:color="auto"/>
        <w:bottom w:val="none" w:sz="0" w:space="0" w:color="auto"/>
        <w:right w:val="none" w:sz="0" w:space="0" w:color="auto"/>
      </w:divBdr>
    </w:div>
    <w:div w:id="2086106636">
      <w:bodyDiv w:val="1"/>
      <w:marLeft w:val="0"/>
      <w:marRight w:val="0"/>
      <w:marTop w:val="0"/>
      <w:marBottom w:val="0"/>
      <w:divBdr>
        <w:top w:val="none" w:sz="0" w:space="0" w:color="auto"/>
        <w:left w:val="none" w:sz="0" w:space="0" w:color="auto"/>
        <w:bottom w:val="none" w:sz="0" w:space="0" w:color="auto"/>
        <w:right w:val="none" w:sz="0" w:space="0" w:color="auto"/>
      </w:divBdr>
    </w:div>
    <w:div w:id="21132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A73A5-1B27-4209-AEA8-CB8636D5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3744</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Mary Bruce</cp:lastModifiedBy>
  <cp:revision>3</cp:revision>
  <cp:lastPrinted>2024-03-28T07:49:00Z</cp:lastPrinted>
  <dcterms:created xsi:type="dcterms:W3CDTF">2024-03-28T07:49:00Z</dcterms:created>
  <dcterms:modified xsi:type="dcterms:W3CDTF">2024-03-28T12:26:00Z</dcterms:modified>
</cp:coreProperties>
</file>