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60B8D" w14:textId="77777777" w:rsidR="001F18BD" w:rsidRPr="006546A0" w:rsidRDefault="001F18BD" w:rsidP="001F18BD">
      <w:pPr>
        <w:spacing w:after="0"/>
        <w:jc w:val="center"/>
        <w:rPr>
          <w:rFonts w:ascii="Arial" w:eastAsia="Arial" w:hAnsi="Arial" w:cs="Arial"/>
          <w:b/>
          <w:color w:val="221E1F"/>
          <w:sz w:val="24"/>
          <w:szCs w:val="24"/>
          <w:lang w:eastAsia="en-ZA"/>
        </w:rPr>
      </w:pPr>
      <w:bookmarkStart w:id="0" w:name="_GoBack"/>
      <w:bookmarkEnd w:id="0"/>
      <w:r w:rsidRPr="006546A0">
        <w:rPr>
          <w:rFonts w:ascii="Calibri" w:eastAsia="Calibri" w:hAnsi="Calibri" w:cs="Calibri"/>
          <w:noProof/>
          <w:lang w:eastAsia="en-ZA"/>
        </w:rPr>
        <w:drawing>
          <wp:anchor distT="0" distB="0" distL="114300" distR="114300" simplePos="0" relativeHeight="251666432" behindDoc="0" locked="0" layoutInCell="1" hidden="0" allowOverlap="1" wp14:anchorId="01A66457" wp14:editId="58441AF8">
            <wp:simplePos x="0" y="0"/>
            <wp:positionH relativeFrom="page">
              <wp:align>center</wp:align>
            </wp:positionH>
            <wp:positionV relativeFrom="paragraph">
              <wp:posOffset>76200</wp:posOffset>
            </wp:positionV>
            <wp:extent cx="741600" cy="925200"/>
            <wp:effectExtent l="0" t="0" r="1905" b="8255"/>
            <wp:wrapTopAndBottom distT="0" distB="0"/>
            <wp:docPr id="1881119342" name="Picture 1881119342" descr="coatarms2"/>
            <wp:cNvGraphicFramePr/>
            <a:graphic xmlns:a="http://schemas.openxmlformats.org/drawingml/2006/main">
              <a:graphicData uri="http://schemas.openxmlformats.org/drawingml/2006/picture">
                <pic:pic xmlns:pic="http://schemas.openxmlformats.org/drawingml/2006/picture">
                  <pic:nvPicPr>
                    <pic:cNvPr id="0" name="image1.png" descr="coatarms2"/>
                    <pic:cNvPicPr preferRelativeResize="0"/>
                  </pic:nvPicPr>
                  <pic:blipFill>
                    <a:blip r:embed="rId8"/>
                    <a:srcRect/>
                    <a:stretch>
                      <a:fillRect/>
                    </a:stretch>
                  </pic:blipFill>
                  <pic:spPr>
                    <a:xfrm>
                      <a:off x="0" y="0"/>
                      <a:ext cx="741600" cy="925200"/>
                    </a:xfrm>
                    <a:prstGeom prst="rect">
                      <a:avLst/>
                    </a:prstGeom>
                    <a:ln/>
                  </pic:spPr>
                </pic:pic>
              </a:graphicData>
            </a:graphic>
            <wp14:sizeRelH relativeFrom="margin">
              <wp14:pctWidth>0</wp14:pctWidth>
            </wp14:sizeRelH>
            <wp14:sizeRelV relativeFrom="margin">
              <wp14:pctHeight>0</wp14:pctHeight>
            </wp14:sizeRelV>
          </wp:anchor>
        </w:drawing>
      </w:r>
    </w:p>
    <w:p w14:paraId="3856297E" w14:textId="77777777" w:rsidR="001F18BD" w:rsidRPr="006546A0" w:rsidRDefault="001F18BD" w:rsidP="001F18BD">
      <w:pPr>
        <w:spacing w:after="120"/>
        <w:jc w:val="center"/>
        <w:rPr>
          <w:rFonts w:ascii="Times New Roman" w:eastAsia="Arial" w:hAnsi="Times New Roman" w:cs="Times New Roman"/>
          <w:b/>
          <w:color w:val="221E1F"/>
          <w:sz w:val="28"/>
          <w:szCs w:val="28"/>
          <w:lang w:eastAsia="en-ZA"/>
        </w:rPr>
      </w:pPr>
      <w:r w:rsidRPr="006546A0">
        <w:rPr>
          <w:rFonts w:ascii="Times New Roman" w:eastAsia="Arial" w:hAnsi="Times New Roman" w:cs="Times New Roman"/>
          <w:b/>
          <w:color w:val="221E1F"/>
          <w:sz w:val="28"/>
          <w:szCs w:val="28"/>
          <w:lang w:eastAsia="en-ZA"/>
        </w:rPr>
        <w:t>THE SUPREME COURT OF APPEAL OF SOUTH AFRICA</w:t>
      </w:r>
    </w:p>
    <w:p w14:paraId="5C82979F" w14:textId="77777777" w:rsidR="001F18BD" w:rsidRPr="006546A0" w:rsidRDefault="001F18BD" w:rsidP="001F18BD">
      <w:pPr>
        <w:spacing w:after="120"/>
        <w:jc w:val="center"/>
        <w:rPr>
          <w:rFonts w:ascii="Times New Roman" w:eastAsia="Arial" w:hAnsi="Times New Roman" w:cs="Times New Roman"/>
          <w:b/>
          <w:sz w:val="28"/>
          <w:szCs w:val="28"/>
          <w:lang w:eastAsia="en-ZA"/>
        </w:rPr>
      </w:pPr>
      <w:r w:rsidRPr="006546A0">
        <w:rPr>
          <w:rFonts w:ascii="Times New Roman" w:eastAsia="Arial" w:hAnsi="Times New Roman" w:cs="Times New Roman"/>
          <w:b/>
          <w:sz w:val="28"/>
          <w:szCs w:val="28"/>
          <w:lang w:eastAsia="en-ZA"/>
        </w:rPr>
        <w:t>JUDGMENT</w:t>
      </w:r>
    </w:p>
    <w:p w14:paraId="7ADCBBD2" w14:textId="77777777" w:rsidR="00540755" w:rsidRPr="006546A0" w:rsidRDefault="00540755" w:rsidP="001F18BD">
      <w:pPr>
        <w:spacing w:after="120"/>
        <w:jc w:val="center"/>
        <w:rPr>
          <w:rFonts w:ascii="Times New Roman" w:eastAsia="Arial" w:hAnsi="Times New Roman" w:cs="Times New Roman"/>
          <w:b/>
          <w:sz w:val="28"/>
          <w:szCs w:val="28"/>
          <w:lang w:eastAsia="en-ZA"/>
        </w:rPr>
      </w:pPr>
    </w:p>
    <w:p w14:paraId="18FF883B" w14:textId="6130B793" w:rsidR="001F18BD" w:rsidRPr="006546A0" w:rsidRDefault="001F18BD" w:rsidP="009D1832">
      <w:pPr>
        <w:spacing w:after="0" w:line="360" w:lineRule="auto"/>
        <w:ind w:right="4"/>
        <w:jc w:val="right"/>
        <w:rPr>
          <w:rFonts w:ascii="Times New Roman" w:eastAsia="Arial" w:hAnsi="Times New Roman" w:cs="Times New Roman"/>
          <w:b/>
          <w:sz w:val="28"/>
          <w:szCs w:val="28"/>
          <w:lang w:eastAsia="en-ZA"/>
        </w:rPr>
      </w:pPr>
      <w:r w:rsidRPr="006546A0">
        <w:rPr>
          <w:rFonts w:ascii="Times New Roman" w:eastAsia="Arial" w:hAnsi="Times New Roman" w:cs="Times New Roman"/>
          <w:b/>
          <w:sz w:val="24"/>
          <w:szCs w:val="24"/>
          <w:lang w:eastAsia="en-ZA"/>
        </w:rPr>
        <w:t xml:space="preserve">                  </w:t>
      </w:r>
      <w:r w:rsidRPr="006546A0">
        <w:rPr>
          <w:rFonts w:ascii="Times New Roman" w:eastAsia="Arial" w:hAnsi="Times New Roman" w:cs="Times New Roman"/>
          <w:b/>
          <w:sz w:val="24"/>
          <w:szCs w:val="24"/>
          <w:lang w:eastAsia="en-ZA"/>
        </w:rPr>
        <w:tab/>
        <w:t xml:space="preserve">      </w:t>
      </w:r>
      <w:r w:rsidRPr="006546A0">
        <w:rPr>
          <w:rFonts w:ascii="Times New Roman" w:eastAsia="Arial" w:hAnsi="Times New Roman" w:cs="Times New Roman"/>
          <w:b/>
          <w:sz w:val="24"/>
          <w:szCs w:val="24"/>
          <w:lang w:eastAsia="en-ZA"/>
        </w:rPr>
        <w:tab/>
      </w:r>
      <w:r w:rsidRPr="006546A0">
        <w:rPr>
          <w:rFonts w:ascii="Times New Roman" w:eastAsia="Arial" w:hAnsi="Times New Roman" w:cs="Times New Roman"/>
          <w:b/>
          <w:sz w:val="24"/>
          <w:szCs w:val="24"/>
          <w:lang w:eastAsia="en-ZA"/>
        </w:rPr>
        <w:tab/>
      </w:r>
      <w:r w:rsidRPr="006546A0">
        <w:rPr>
          <w:rFonts w:ascii="Times New Roman" w:eastAsia="Arial" w:hAnsi="Times New Roman" w:cs="Times New Roman"/>
          <w:b/>
          <w:sz w:val="24"/>
          <w:szCs w:val="24"/>
          <w:lang w:eastAsia="en-ZA"/>
        </w:rPr>
        <w:tab/>
        <w:t xml:space="preserve">   </w:t>
      </w:r>
      <w:r w:rsidRPr="006546A0">
        <w:rPr>
          <w:rFonts w:ascii="Times New Roman" w:eastAsia="Arial" w:hAnsi="Times New Roman" w:cs="Times New Roman"/>
          <w:b/>
          <w:sz w:val="28"/>
          <w:szCs w:val="28"/>
          <w:lang w:eastAsia="en-ZA"/>
        </w:rPr>
        <w:t>Not reportable</w:t>
      </w:r>
    </w:p>
    <w:p w14:paraId="1E19EE44" w14:textId="41B5E208" w:rsidR="001F18BD" w:rsidRPr="006546A0" w:rsidRDefault="00377AA1" w:rsidP="009D1832">
      <w:pPr>
        <w:spacing w:after="0" w:line="360" w:lineRule="auto"/>
        <w:ind w:right="4"/>
        <w:jc w:val="right"/>
        <w:rPr>
          <w:rFonts w:ascii="Times New Roman" w:eastAsia="Arial" w:hAnsi="Times New Roman" w:cs="Times New Roman"/>
          <w:sz w:val="28"/>
          <w:szCs w:val="28"/>
          <w:lang w:eastAsia="en-ZA"/>
        </w:rPr>
      </w:pPr>
      <w:r w:rsidRPr="006546A0">
        <w:rPr>
          <w:rFonts w:ascii="Times New Roman" w:eastAsia="Arial" w:hAnsi="Times New Roman" w:cs="Times New Roman"/>
          <w:sz w:val="28"/>
          <w:szCs w:val="28"/>
          <w:lang w:eastAsia="en-ZA"/>
        </w:rPr>
        <w:t>Case n</w:t>
      </w:r>
      <w:r w:rsidR="001F18BD" w:rsidRPr="006546A0">
        <w:rPr>
          <w:rFonts w:ascii="Times New Roman" w:eastAsia="Arial" w:hAnsi="Times New Roman" w:cs="Times New Roman"/>
          <w:sz w:val="28"/>
          <w:szCs w:val="28"/>
          <w:lang w:eastAsia="en-ZA"/>
        </w:rPr>
        <w:t xml:space="preserve">o: </w:t>
      </w:r>
      <w:r w:rsidR="00F31768" w:rsidRPr="006546A0">
        <w:rPr>
          <w:rFonts w:ascii="Times New Roman" w:eastAsia="Arial" w:hAnsi="Times New Roman" w:cs="Times New Roman"/>
          <w:sz w:val="28"/>
          <w:szCs w:val="28"/>
          <w:lang w:eastAsia="en-ZA"/>
        </w:rPr>
        <w:t>38</w:t>
      </w:r>
      <w:r w:rsidR="009C7071">
        <w:rPr>
          <w:rFonts w:ascii="Times New Roman" w:eastAsia="Arial" w:hAnsi="Times New Roman" w:cs="Times New Roman"/>
          <w:sz w:val="28"/>
          <w:szCs w:val="28"/>
          <w:lang w:eastAsia="en-ZA"/>
        </w:rPr>
        <w:t>4</w:t>
      </w:r>
      <w:r w:rsidR="00F31768" w:rsidRPr="006546A0">
        <w:rPr>
          <w:rFonts w:ascii="Times New Roman" w:eastAsia="Arial" w:hAnsi="Times New Roman" w:cs="Times New Roman"/>
          <w:sz w:val="28"/>
          <w:szCs w:val="28"/>
          <w:lang w:eastAsia="en-ZA"/>
        </w:rPr>
        <w:t>/2023</w:t>
      </w:r>
    </w:p>
    <w:p w14:paraId="63D66E55" w14:textId="77777777" w:rsidR="001F18BD" w:rsidRPr="006546A0" w:rsidRDefault="001F18BD" w:rsidP="00FB0FE3">
      <w:pPr>
        <w:spacing w:after="0" w:line="360" w:lineRule="auto"/>
        <w:jc w:val="both"/>
        <w:rPr>
          <w:rFonts w:ascii="Times New Roman" w:eastAsia="Arial" w:hAnsi="Times New Roman" w:cs="Times New Roman"/>
          <w:sz w:val="28"/>
          <w:szCs w:val="28"/>
          <w:lang w:eastAsia="en-ZA"/>
        </w:rPr>
      </w:pPr>
      <w:r w:rsidRPr="006546A0">
        <w:rPr>
          <w:rFonts w:ascii="Times New Roman" w:eastAsia="Arial" w:hAnsi="Times New Roman" w:cs="Times New Roman"/>
          <w:sz w:val="28"/>
          <w:szCs w:val="28"/>
          <w:lang w:eastAsia="en-ZA"/>
        </w:rPr>
        <w:t>In the matter between:</w:t>
      </w:r>
    </w:p>
    <w:p w14:paraId="06EC6E3A" w14:textId="77777777" w:rsidR="00CF3B0E" w:rsidRPr="006546A0" w:rsidRDefault="006B2CB9" w:rsidP="00FB0FE3">
      <w:pPr>
        <w:tabs>
          <w:tab w:val="right" w:pos="9356"/>
        </w:tabs>
        <w:spacing w:after="0" w:line="360" w:lineRule="auto"/>
        <w:ind w:right="4"/>
        <w:jc w:val="both"/>
        <w:rPr>
          <w:rFonts w:ascii="Times New Roman" w:eastAsia="Arial" w:hAnsi="Times New Roman" w:cs="Times New Roman"/>
          <w:b/>
          <w:sz w:val="28"/>
          <w:szCs w:val="28"/>
          <w:lang w:eastAsia="en-ZA"/>
        </w:rPr>
      </w:pPr>
      <w:r w:rsidRPr="006546A0">
        <w:rPr>
          <w:rFonts w:ascii="Times New Roman" w:eastAsia="Arial" w:hAnsi="Times New Roman" w:cs="Times New Roman"/>
          <w:b/>
          <w:sz w:val="28"/>
          <w:szCs w:val="28"/>
          <w:lang w:eastAsia="en-ZA"/>
        </w:rPr>
        <w:t xml:space="preserve">PRASA CORPORATE REAL ESTATE </w:t>
      </w:r>
    </w:p>
    <w:p w14:paraId="32EB350B" w14:textId="796F6BF7" w:rsidR="001F18BD" w:rsidRPr="006546A0" w:rsidRDefault="006B2CB9" w:rsidP="00C14AF4">
      <w:pPr>
        <w:tabs>
          <w:tab w:val="right" w:pos="9356"/>
        </w:tabs>
        <w:spacing w:after="0" w:line="360" w:lineRule="auto"/>
        <w:ind w:right="4"/>
        <w:jc w:val="both"/>
        <w:rPr>
          <w:rFonts w:ascii="Times New Roman" w:eastAsia="Arial" w:hAnsi="Times New Roman" w:cs="Times New Roman"/>
          <w:sz w:val="28"/>
          <w:szCs w:val="28"/>
          <w:lang w:eastAsia="en-ZA"/>
        </w:rPr>
      </w:pPr>
      <w:r w:rsidRPr="006546A0">
        <w:rPr>
          <w:rFonts w:ascii="Times New Roman" w:eastAsia="Arial" w:hAnsi="Times New Roman" w:cs="Times New Roman"/>
          <w:b/>
          <w:sz w:val="28"/>
          <w:szCs w:val="28"/>
          <w:lang w:eastAsia="en-ZA"/>
        </w:rPr>
        <w:t>SOLUTIONS (CRES)</w:t>
      </w:r>
      <w:r w:rsidR="00C14AF4" w:rsidRPr="006546A0">
        <w:rPr>
          <w:rFonts w:ascii="Times New Roman" w:eastAsia="Arial" w:hAnsi="Times New Roman" w:cs="Times New Roman"/>
          <w:b/>
          <w:sz w:val="28"/>
          <w:szCs w:val="28"/>
          <w:lang w:eastAsia="en-ZA"/>
        </w:rPr>
        <w:tab/>
        <w:t>APPELLANT</w:t>
      </w:r>
      <w:r w:rsidR="00CF3B0E" w:rsidRPr="006546A0">
        <w:rPr>
          <w:rFonts w:ascii="Times New Roman" w:eastAsia="Arial" w:hAnsi="Times New Roman" w:cs="Times New Roman"/>
          <w:b/>
          <w:sz w:val="28"/>
          <w:szCs w:val="28"/>
          <w:lang w:eastAsia="en-ZA"/>
        </w:rPr>
        <w:tab/>
      </w:r>
      <w:r w:rsidR="001F18BD" w:rsidRPr="006546A0">
        <w:rPr>
          <w:rFonts w:ascii="Times New Roman" w:eastAsia="Arial" w:hAnsi="Times New Roman" w:cs="Times New Roman"/>
          <w:b/>
          <w:sz w:val="28"/>
          <w:szCs w:val="28"/>
          <w:lang w:eastAsia="en-ZA"/>
        </w:rPr>
        <w:t xml:space="preserve">                                                            </w:t>
      </w:r>
      <w:r w:rsidR="00456CD0" w:rsidRPr="006546A0">
        <w:rPr>
          <w:rFonts w:ascii="Times New Roman" w:eastAsia="Arial" w:hAnsi="Times New Roman" w:cs="Times New Roman"/>
          <w:b/>
          <w:sz w:val="28"/>
          <w:szCs w:val="28"/>
          <w:lang w:eastAsia="en-ZA"/>
        </w:rPr>
        <w:t xml:space="preserve">     </w:t>
      </w:r>
      <w:r w:rsidR="001F18BD" w:rsidRPr="006546A0">
        <w:rPr>
          <w:rFonts w:ascii="Times New Roman" w:eastAsia="Arial" w:hAnsi="Times New Roman" w:cs="Times New Roman"/>
          <w:b/>
          <w:sz w:val="28"/>
          <w:szCs w:val="28"/>
          <w:lang w:eastAsia="en-ZA"/>
        </w:rPr>
        <w:t xml:space="preserve"> </w:t>
      </w:r>
      <w:r w:rsidR="00540755" w:rsidRPr="006546A0">
        <w:rPr>
          <w:rFonts w:ascii="Times New Roman" w:eastAsia="Arial" w:hAnsi="Times New Roman" w:cs="Times New Roman"/>
          <w:b/>
          <w:sz w:val="28"/>
          <w:szCs w:val="28"/>
          <w:lang w:eastAsia="en-ZA"/>
        </w:rPr>
        <w:t xml:space="preserve"> </w:t>
      </w:r>
      <w:r w:rsidR="009D1832" w:rsidRPr="006546A0">
        <w:rPr>
          <w:rFonts w:ascii="Times New Roman" w:eastAsia="Arial" w:hAnsi="Times New Roman" w:cs="Times New Roman"/>
          <w:b/>
          <w:sz w:val="28"/>
          <w:szCs w:val="28"/>
          <w:lang w:eastAsia="en-ZA"/>
        </w:rPr>
        <w:tab/>
      </w:r>
    </w:p>
    <w:p w14:paraId="41BF876C" w14:textId="5F85FC27" w:rsidR="001F18BD" w:rsidRPr="006546A0" w:rsidRDefault="001F18BD" w:rsidP="009D1832">
      <w:pPr>
        <w:spacing w:after="0" w:line="360" w:lineRule="auto"/>
        <w:ind w:right="72"/>
        <w:jc w:val="both"/>
        <w:rPr>
          <w:rFonts w:ascii="Times New Roman" w:eastAsia="Arial" w:hAnsi="Times New Roman" w:cs="Times New Roman"/>
          <w:b/>
          <w:sz w:val="28"/>
          <w:szCs w:val="28"/>
          <w:lang w:eastAsia="en-ZA"/>
        </w:rPr>
      </w:pPr>
      <w:r w:rsidRPr="006546A0">
        <w:rPr>
          <w:rFonts w:ascii="Times New Roman" w:eastAsia="Arial" w:hAnsi="Times New Roman" w:cs="Times New Roman"/>
          <w:sz w:val="28"/>
          <w:szCs w:val="28"/>
          <w:lang w:eastAsia="en-ZA"/>
        </w:rPr>
        <w:t>and</w:t>
      </w:r>
    </w:p>
    <w:p w14:paraId="348FA56F" w14:textId="6AB461F4" w:rsidR="006B5089" w:rsidRPr="006546A0" w:rsidRDefault="00C14AF4" w:rsidP="00FB0FE3">
      <w:pPr>
        <w:tabs>
          <w:tab w:val="right" w:pos="9356"/>
        </w:tabs>
        <w:spacing w:after="0" w:line="360" w:lineRule="auto"/>
        <w:jc w:val="both"/>
        <w:rPr>
          <w:rFonts w:ascii="Times New Roman" w:eastAsia="Arial" w:hAnsi="Times New Roman" w:cs="Times New Roman"/>
          <w:b/>
          <w:sz w:val="28"/>
          <w:szCs w:val="28"/>
          <w:lang w:eastAsia="en-ZA"/>
        </w:rPr>
      </w:pPr>
      <w:r w:rsidRPr="006546A0">
        <w:rPr>
          <w:rFonts w:ascii="Times New Roman" w:eastAsia="Arial" w:hAnsi="Times New Roman" w:cs="Times New Roman"/>
          <w:b/>
          <w:sz w:val="28"/>
          <w:szCs w:val="28"/>
          <w:lang w:eastAsia="en-ZA"/>
        </w:rPr>
        <w:t>COMMUNITY PROPERTY COMPA</w:t>
      </w:r>
      <w:r w:rsidR="006B5089" w:rsidRPr="006546A0">
        <w:rPr>
          <w:rFonts w:ascii="Times New Roman" w:eastAsia="Arial" w:hAnsi="Times New Roman" w:cs="Times New Roman"/>
          <w:b/>
          <w:sz w:val="28"/>
          <w:szCs w:val="28"/>
          <w:lang w:eastAsia="en-ZA"/>
        </w:rPr>
        <w:t>N</w:t>
      </w:r>
      <w:r w:rsidRPr="006546A0">
        <w:rPr>
          <w:rFonts w:ascii="Times New Roman" w:eastAsia="Arial" w:hAnsi="Times New Roman" w:cs="Times New Roman"/>
          <w:b/>
          <w:sz w:val="28"/>
          <w:szCs w:val="28"/>
          <w:lang w:eastAsia="en-ZA"/>
        </w:rPr>
        <w:t xml:space="preserve">Y </w:t>
      </w:r>
    </w:p>
    <w:p w14:paraId="2302C473" w14:textId="77777777" w:rsidR="00DD770B" w:rsidRPr="006546A0" w:rsidRDefault="00C14AF4" w:rsidP="00FB0FE3">
      <w:pPr>
        <w:tabs>
          <w:tab w:val="right" w:pos="9356"/>
        </w:tabs>
        <w:spacing w:after="0" w:line="360" w:lineRule="auto"/>
        <w:jc w:val="both"/>
        <w:rPr>
          <w:rFonts w:ascii="Times New Roman" w:eastAsia="Arial" w:hAnsi="Times New Roman" w:cs="Times New Roman"/>
          <w:b/>
          <w:sz w:val="28"/>
          <w:szCs w:val="28"/>
          <w:lang w:eastAsia="en-ZA"/>
        </w:rPr>
      </w:pPr>
      <w:r w:rsidRPr="006546A0">
        <w:rPr>
          <w:rFonts w:ascii="Times New Roman" w:eastAsia="Arial" w:hAnsi="Times New Roman" w:cs="Times New Roman"/>
          <w:b/>
          <w:sz w:val="28"/>
          <w:szCs w:val="28"/>
          <w:lang w:eastAsia="en-ZA"/>
        </w:rPr>
        <w:t xml:space="preserve">(PTY) </w:t>
      </w:r>
      <w:r w:rsidR="003D00EC" w:rsidRPr="006546A0">
        <w:rPr>
          <w:rFonts w:ascii="Times New Roman" w:eastAsia="Arial" w:hAnsi="Times New Roman" w:cs="Times New Roman"/>
          <w:b/>
          <w:sz w:val="28"/>
          <w:szCs w:val="28"/>
          <w:lang w:eastAsia="en-ZA"/>
        </w:rPr>
        <w:t>LTD</w:t>
      </w:r>
      <w:r w:rsidR="003D00EC" w:rsidRPr="006546A0">
        <w:rPr>
          <w:rFonts w:ascii="Times New Roman" w:eastAsia="Arial" w:hAnsi="Times New Roman" w:cs="Times New Roman"/>
          <w:b/>
          <w:sz w:val="28"/>
          <w:szCs w:val="28"/>
          <w:lang w:eastAsia="en-ZA"/>
        </w:rPr>
        <w:tab/>
      </w:r>
      <w:r w:rsidR="006B5089" w:rsidRPr="006546A0">
        <w:rPr>
          <w:rFonts w:ascii="Times New Roman" w:eastAsia="Arial" w:hAnsi="Times New Roman" w:cs="Times New Roman"/>
          <w:b/>
          <w:sz w:val="28"/>
          <w:szCs w:val="28"/>
          <w:lang w:eastAsia="en-ZA"/>
        </w:rPr>
        <w:t>FIRST RESPONDENT</w:t>
      </w:r>
    </w:p>
    <w:p w14:paraId="42971226" w14:textId="77777777" w:rsidR="006E6A45" w:rsidRPr="006546A0" w:rsidRDefault="00DD770B" w:rsidP="00FB0FE3">
      <w:pPr>
        <w:tabs>
          <w:tab w:val="right" w:pos="9356"/>
        </w:tabs>
        <w:spacing w:after="0" w:line="360" w:lineRule="auto"/>
        <w:jc w:val="both"/>
        <w:rPr>
          <w:rFonts w:ascii="Times New Roman" w:eastAsia="Arial" w:hAnsi="Times New Roman" w:cs="Times New Roman"/>
          <w:b/>
          <w:sz w:val="28"/>
          <w:szCs w:val="28"/>
          <w:lang w:eastAsia="en-ZA"/>
        </w:rPr>
      </w:pPr>
      <w:r w:rsidRPr="006546A0">
        <w:rPr>
          <w:rFonts w:ascii="Times New Roman" w:eastAsia="Arial" w:hAnsi="Times New Roman" w:cs="Times New Roman"/>
          <w:b/>
          <w:sz w:val="28"/>
          <w:szCs w:val="28"/>
          <w:lang w:eastAsia="en-ZA"/>
        </w:rPr>
        <w:t>ETHEKWINI MUNICIPALITY</w:t>
      </w:r>
      <w:r w:rsidRPr="006546A0">
        <w:rPr>
          <w:rFonts w:ascii="Times New Roman" w:eastAsia="Arial" w:hAnsi="Times New Roman" w:cs="Times New Roman"/>
          <w:b/>
          <w:sz w:val="28"/>
          <w:szCs w:val="28"/>
          <w:lang w:eastAsia="en-ZA"/>
        </w:rPr>
        <w:tab/>
        <w:t>SECOND RES</w:t>
      </w:r>
      <w:r w:rsidR="006E6A45" w:rsidRPr="006546A0">
        <w:rPr>
          <w:rFonts w:ascii="Times New Roman" w:eastAsia="Arial" w:hAnsi="Times New Roman" w:cs="Times New Roman"/>
          <w:b/>
          <w:sz w:val="28"/>
          <w:szCs w:val="28"/>
          <w:lang w:eastAsia="en-ZA"/>
        </w:rPr>
        <w:t>PONDENT</w:t>
      </w:r>
    </w:p>
    <w:p w14:paraId="6BBB2049" w14:textId="38A00875" w:rsidR="001F18BD" w:rsidRPr="006546A0" w:rsidRDefault="001F18BD" w:rsidP="00FB0FE3">
      <w:pPr>
        <w:tabs>
          <w:tab w:val="right" w:pos="9356"/>
        </w:tabs>
        <w:spacing w:after="0" w:line="360" w:lineRule="auto"/>
        <w:jc w:val="both"/>
        <w:rPr>
          <w:rFonts w:ascii="Times New Roman" w:eastAsia="Arial" w:hAnsi="Times New Roman" w:cs="Times New Roman"/>
          <w:b/>
          <w:sz w:val="28"/>
          <w:szCs w:val="28"/>
          <w:lang w:eastAsia="en-ZA"/>
        </w:rPr>
      </w:pPr>
      <w:r w:rsidRPr="006546A0">
        <w:rPr>
          <w:rFonts w:ascii="Times New Roman" w:eastAsia="Arial" w:hAnsi="Times New Roman" w:cs="Times New Roman"/>
          <w:b/>
          <w:sz w:val="28"/>
          <w:szCs w:val="28"/>
          <w:lang w:eastAsia="en-ZA"/>
        </w:rPr>
        <w:t xml:space="preserve">                                      </w:t>
      </w:r>
      <w:r w:rsidR="002F5230" w:rsidRPr="006546A0">
        <w:rPr>
          <w:rFonts w:ascii="Times New Roman" w:eastAsia="Arial" w:hAnsi="Times New Roman" w:cs="Times New Roman"/>
          <w:b/>
          <w:sz w:val="28"/>
          <w:szCs w:val="28"/>
          <w:lang w:eastAsia="en-ZA"/>
        </w:rPr>
        <w:t xml:space="preserve">      </w:t>
      </w:r>
      <w:r w:rsidR="009D1832" w:rsidRPr="006546A0">
        <w:rPr>
          <w:rFonts w:ascii="Times New Roman" w:eastAsia="Arial" w:hAnsi="Times New Roman" w:cs="Times New Roman"/>
          <w:b/>
          <w:sz w:val="28"/>
          <w:szCs w:val="28"/>
          <w:lang w:eastAsia="en-ZA"/>
        </w:rPr>
        <w:tab/>
      </w:r>
    </w:p>
    <w:p w14:paraId="04D2797F" w14:textId="77777777" w:rsidR="001F18BD" w:rsidRPr="006546A0" w:rsidRDefault="001F18BD" w:rsidP="00FB0FE3">
      <w:pPr>
        <w:spacing w:after="0" w:line="360" w:lineRule="auto"/>
        <w:rPr>
          <w:rFonts w:ascii="Times New Roman" w:eastAsia="Arial" w:hAnsi="Times New Roman" w:cs="Times New Roman"/>
          <w:b/>
          <w:sz w:val="28"/>
          <w:szCs w:val="28"/>
          <w:lang w:eastAsia="en-ZA"/>
        </w:rPr>
      </w:pPr>
    </w:p>
    <w:p w14:paraId="198BC30C" w14:textId="4B1A2075" w:rsidR="001F18BD" w:rsidRPr="006546A0" w:rsidRDefault="001F18BD" w:rsidP="00FB0FE3">
      <w:pPr>
        <w:spacing w:after="0" w:line="360" w:lineRule="auto"/>
        <w:ind w:left="2155" w:hanging="2155"/>
        <w:jc w:val="both"/>
        <w:rPr>
          <w:rFonts w:ascii="Times New Roman" w:eastAsia="Arial" w:hAnsi="Times New Roman" w:cs="Times New Roman"/>
          <w:sz w:val="28"/>
          <w:szCs w:val="28"/>
          <w:lang w:eastAsia="en-ZA"/>
        </w:rPr>
      </w:pPr>
      <w:r w:rsidRPr="006546A0">
        <w:rPr>
          <w:rFonts w:ascii="Times New Roman" w:eastAsia="Arial" w:hAnsi="Times New Roman" w:cs="Times New Roman"/>
          <w:b/>
          <w:sz w:val="28"/>
          <w:szCs w:val="28"/>
          <w:lang w:eastAsia="en-ZA"/>
        </w:rPr>
        <w:t>Neutral citation:</w:t>
      </w:r>
      <w:r w:rsidRPr="006546A0">
        <w:rPr>
          <w:rFonts w:ascii="Times New Roman" w:eastAsia="Arial" w:hAnsi="Times New Roman" w:cs="Times New Roman"/>
          <w:b/>
          <w:sz w:val="28"/>
          <w:szCs w:val="28"/>
          <w:lang w:eastAsia="en-ZA"/>
        </w:rPr>
        <w:tab/>
      </w:r>
      <w:r w:rsidR="006E6A45" w:rsidRPr="006546A0">
        <w:rPr>
          <w:rFonts w:ascii="Times New Roman" w:eastAsia="Arial" w:hAnsi="Times New Roman" w:cs="Times New Roman"/>
          <w:i/>
          <w:sz w:val="28"/>
          <w:szCs w:val="28"/>
          <w:lang w:eastAsia="en-ZA"/>
        </w:rPr>
        <w:t>PRASA</w:t>
      </w:r>
      <w:r w:rsidRPr="006546A0">
        <w:rPr>
          <w:rFonts w:ascii="Times New Roman" w:eastAsia="Arial" w:hAnsi="Times New Roman" w:cs="Times New Roman"/>
          <w:i/>
          <w:sz w:val="28"/>
          <w:szCs w:val="28"/>
          <w:lang w:eastAsia="en-ZA"/>
        </w:rPr>
        <w:t xml:space="preserve"> v </w:t>
      </w:r>
      <w:r w:rsidR="00945D16" w:rsidRPr="006546A0">
        <w:rPr>
          <w:rFonts w:ascii="Times New Roman" w:eastAsia="Arial" w:hAnsi="Times New Roman" w:cs="Times New Roman"/>
          <w:i/>
          <w:sz w:val="28"/>
          <w:szCs w:val="28"/>
          <w:lang w:eastAsia="en-ZA"/>
        </w:rPr>
        <w:t>Community Property Company (Pty) Ltd and Another</w:t>
      </w:r>
      <w:r w:rsidR="00B42ECE" w:rsidRPr="006546A0">
        <w:rPr>
          <w:rFonts w:ascii="Times New Roman" w:eastAsia="Arial" w:hAnsi="Times New Roman" w:cs="Times New Roman"/>
          <w:i/>
          <w:sz w:val="28"/>
          <w:szCs w:val="28"/>
          <w:lang w:eastAsia="en-ZA"/>
        </w:rPr>
        <w:t xml:space="preserve"> </w:t>
      </w:r>
      <w:r w:rsidR="00B42ECE" w:rsidRPr="006546A0">
        <w:rPr>
          <w:rFonts w:ascii="Times New Roman" w:eastAsia="Arial" w:hAnsi="Times New Roman" w:cs="Times New Roman"/>
          <w:sz w:val="28"/>
          <w:szCs w:val="28"/>
          <w:lang w:eastAsia="en-ZA"/>
        </w:rPr>
        <w:t>(</w:t>
      </w:r>
      <w:r w:rsidR="00945D16" w:rsidRPr="006546A0">
        <w:rPr>
          <w:rFonts w:ascii="Times New Roman" w:eastAsia="Arial" w:hAnsi="Times New Roman" w:cs="Times New Roman"/>
          <w:sz w:val="28"/>
          <w:szCs w:val="28"/>
          <w:lang w:eastAsia="en-ZA"/>
        </w:rPr>
        <w:t>3</w:t>
      </w:r>
      <w:r w:rsidR="00FB556A">
        <w:rPr>
          <w:rFonts w:ascii="Times New Roman" w:eastAsia="Arial" w:hAnsi="Times New Roman" w:cs="Times New Roman"/>
          <w:sz w:val="28"/>
          <w:szCs w:val="28"/>
          <w:lang w:eastAsia="en-ZA"/>
        </w:rPr>
        <w:t>84</w:t>
      </w:r>
      <w:r w:rsidR="00945D16" w:rsidRPr="006546A0">
        <w:rPr>
          <w:rFonts w:ascii="Times New Roman" w:eastAsia="Arial" w:hAnsi="Times New Roman" w:cs="Times New Roman"/>
          <w:sz w:val="28"/>
          <w:szCs w:val="28"/>
          <w:lang w:eastAsia="en-ZA"/>
        </w:rPr>
        <w:t>/202</w:t>
      </w:r>
      <w:r w:rsidR="004F51D0" w:rsidRPr="006546A0">
        <w:rPr>
          <w:rFonts w:ascii="Times New Roman" w:eastAsia="Arial" w:hAnsi="Times New Roman" w:cs="Times New Roman"/>
          <w:sz w:val="28"/>
          <w:szCs w:val="28"/>
          <w:lang w:eastAsia="en-ZA"/>
        </w:rPr>
        <w:t>3</w:t>
      </w:r>
      <w:r w:rsidR="00B42ECE" w:rsidRPr="006546A0">
        <w:rPr>
          <w:rFonts w:ascii="Times New Roman" w:eastAsia="Arial" w:hAnsi="Times New Roman" w:cs="Times New Roman"/>
          <w:sz w:val="28"/>
          <w:szCs w:val="28"/>
          <w:lang w:eastAsia="en-ZA"/>
        </w:rPr>
        <w:t>)</w:t>
      </w:r>
      <w:r w:rsidRPr="006546A0">
        <w:rPr>
          <w:rFonts w:ascii="Times New Roman" w:eastAsia="Arial" w:hAnsi="Times New Roman" w:cs="Times New Roman"/>
          <w:i/>
          <w:sz w:val="28"/>
          <w:szCs w:val="28"/>
          <w:lang w:eastAsia="en-ZA"/>
        </w:rPr>
        <w:t xml:space="preserve"> </w:t>
      </w:r>
      <w:r w:rsidRPr="006546A0">
        <w:rPr>
          <w:rFonts w:ascii="Times New Roman" w:eastAsia="Arial" w:hAnsi="Times New Roman" w:cs="Times New Roman"/>
          <w:sz w:val="28"/>
          <w:szCs w:val="28"/>
          <w:lang w:eastAsia="en-ZA"/>
        </w:rPr>
        <w:t>[202</w:t>
      </w:r>
      <w:r w:rsidR="003F46F3" w:rsidRPr="006546A0">
        <w:rPr>
          <w:rFonts w:ascii="Times New Roman" w:eastAsia="Arial" w:hAnsi="Times New Roman" w:cs="Times New Roman"/>
          <w:sz w:val="28"/>
          <w:szCs w:val="28"/>
          <w:lang w:eastAsia="en-ZA"/>
        </w:rPr>
        <w:t>4</w:t>
      </w:r>
      <w:r w:rsidRPr="006546A0">
        <w:rPr>
          <w:rFonts w:ascii="Times New Roman" w:eastAsia="Arial" w:hAnsi="Times New Roman" w:cs="Times New Roman"/>
          <w:sz w:val="28"/>
          <w:szCs w:val="28"/>
          <w:lang w:eastAsia="en-ZA"/>
        </w:rPr>
        <w:t xml:space="preserve">] ZASCA </w:t>
      </w:r>
      <w:r w:rsidR="006546A0" w:rsidRPr="006546A0">
        <w:rPr>
          <w:rFonts w:ascii="Times New Roman" w:eastAsia="Arial" w:hAnsi="Times New Roman" w:cs="Times New Roman"/>
          <w:sz w:val="28"/>
          <w:szCs w:val="28"/>
          <w:lang w:eastAsia="en-ZA"/>
        </w:rPr>
        <w:t>3</w:t>
      </w:r>
      <w:r w:rsidR="00934237">
        <w:rPr>
          <w:rFonts w:ascii="Times New Roman" w:eastAsia="Arial" w:hAnsi="Times New Roman" w:cs="Times New Roman"/>
          <w:sz w:val="28"/>
          <w:szCs w:val="28"/>
          <w:lang w:eastAsia="en-ZA"/>
        </w:rPr>
        <w:t>5</w:t>
      </w:r>
      <w:r w:rsidR="006546A0" w:rsidRPr="006546A0">
        <w:rPr>
          <w:rFonts w:ascii="Times New Roman" w:eastAsia="Arial" w:hAnsi="Times New Roman" w:cs="Times New Roman"/>
          <w:sz w:val="28"/>
          <w:szCs w:val="28"/>
          <w:lang w:eastAsia="en-ZA"/>
        </w:rPr>
        <w:t xml:space="preserve"> (28 </w:t>
      </w:r>
      <w:r w:rsidR="00AB0018" w:rsidRPr="006546A0">
        <w:rPr>
          <w:rFonts w:ascii="Times New Roman" w:eastAsia="Arial" w:hAnsi="Times New Roman" w:cs="Times New Roman"/>
          <w:sz w:val="28"/>
          <w:szCs w:val="28"/>
          <w:lang w:eastAsia="en-ZA"/>
        </w:rPr>
        <w:t xml:space="preserve">March </w:t>
      </w:r>
      <w:r w:rsidRPr="006546A0">
        <w:rPr>
          <w:rFonts w:ascii="Times New Roman" w:eastAsia="Arial" w:hAnsi="Times New Roman" w:cs="Times New Roman"/>
          <w:sz w:val="28"/>
          <w:szCs w:val="28"/>
          <w:lang w:eastAsia="en-ZA"/>
        </w:rPr>
        <w:t>202</w:t>
      </w:r>
      <w:r w:rsidR="003F46F3" w:rsidRPr="006546A0">
        <w:rPr>
          <w:rFonts w:ascii="Times New Roman" w:eastAsia="Arial" w:hAnsi="Times New Roman" w:cs="Times New Roman"/>
          <w:sz w:val="28"/>
          <w:szCs w:val="28"/>
          <w:lang w:eastAsia="en-ZA"/>
        </w:rPr>
        <w:t>4</w:t>
      </w:r>
      <w:r w:rsidRPr="006546A0">
        <w:rPr>
          <w:rFonts w:ascii="Times New Roman" w:eastAsia="Arial" w:hAnsi="Times New Roman" w:cs="Times New Roman"/>
          <w:sz w:val="28"/>
          <w:szCs w:val="28"/>
          <w:lang w:eastAsia="en-ZA"/>
        </w:rPr>
        <w:t>)</w:t>
      </w:r>
    </w:p>
    <w:p w14:paraId="21C668E5" w14:textId="2E115157" w:rsidR="001F18BD" w:rsidRPr="006546A0" w:rsidRDefault="001F18BD" w:rsidP="00FB0FE3">
      <w:pPr>
        <w:spacing w:after="0" w:line="360" w:lineRule="auto"/>
        <w:ind w:left="1418" w:right="74" w:hanging="1418"/>
        <w:jc w:val="both"/>
        <w:rPr>
          <w:rFonts w:ascii="Times New Roman" w:eastAsia="Arial" w:hAnsi="Times New Roman" w:cs="Times New Roman"/>
          <w:sz w:val="28"/>
          <w:szCs w:val="28"/>
          <w:lang w:eastAsia="en-ZA"/>
        </w:rPr>
      </w:pPr>
      <w:r w:rsidRPr="006546A0">
        <w:rPr>
          <w:rFonts w:ascii="Times New Roman" w:eastAsia="Arial" w:hAnsi="Times New Roman" w:cs="Times New Roman"/>
          <w:b/>
          <w:sz w:val="28"/>
          <w:szCs w:val="28"/>
          <w:lang w:eastAsia="en-ZA"/>
        </w:rPr>
        <w:t>Coram:</w:t>
      </w:r>
      <w:r w:rsidRPr="006546A0">
        <w:rPr>
          <w:rFonts w:ascii="Times New Roman" w:eastAsia="Arial" w:hAnsi="Times New Roman" w:cs="Times New Roman"/>
          <w:b/>
          <w:sz w:val="28"/>
          <w:szCs w:val="28"/>
          <w:lang w:eastAsia="en-ZA"/>
        </w:rPr>
        <w:tab/>
      </w:r>
      <w:r w:rsidR="004F51D0" w:rsidRPr="006546A0">
        <w:rPr>
          <w:rFonts w:ascii="Times New Roman" w:eastAsia="Arial" w:hAnsi="Times New Roman" w:cs="Times New Roman"/>
          <w:sz w:val="28"/>
          <w:szCs w:val="28"/>
          <w:lang w:eastAsia="en-ZA"/>
        </w:rPr>
        <w:t>GORVEN, MATOJANE</w:t>
      </w:r>
      <w:r w:rsidR="00456CD0" w:rsidRPr="006546A0">
        <w:rPr>
          <w:rFonts w:ascii="Times New Roman" w:eastAsia="Arial" w:hAnsi="Times New Roman" w:cs="Times New Roman"/>
          <w:sz w:val="28"/>
          <w:szCs w:val="28"/>
          <w:lang w:eastAsia="en-ZA"/>
        </w:rPr>
        <w:t xml:space="preserve"> </w:t>
      </w:r>
      <w:r w:rsidR="00860170" w:rsidRPr="006546A0">
        <w:rPr>
          <w:rFonts w:ascii="Times New Roman" w:eastAsia="Arial" w:hAnsi="Times New Roman" w:cs="Times New Roman"/>
          <w:sz w:val="28"/>
          <w:szCs w:val="28"/>
          <w:lang w:eastAsia="en-ZA"/>
        </w:rPr>
        <w:t xml:space="preserve">and GOOSEN JJA </w:t>
      </w:r>
    </w:p>
    <w:p w14:paraId="109E688D" w14:textId="774FE9DE" w:rsidR="001F18BD" w:rsidRPr="006546A0" w:rsidRDefault="001F18BD" w:rsidP="00FB0FE3">
      <w:pPr>
        <w:spacing w:after="0" w:line="360" w:lineRule="auto"/>
        <w:ind w:left="1418" w:right="74" w:hanging="1418"/>
        <w:jc w:val="both"/>
        <w:rPr>
          <w:rFonts w:ascii="Times New Roman" w:eastAsia="Arial" w:hAnsi="Times New Roman" w:cs="Times New Roman"/>
          <w:sz w:val="28"/>
          <w:szCs w:val="28"/>
          <w:lang w:eastAsia="en-ZA"/>
        </w:rPr>
      </w:pPr>
      <w:r w:rsidRPr="006546A0">
        <w:rPr>
          <w:rFonts w:ascii="Times New Roman" w:eastAsia="Arial" w:hAnsi="Times New Roman" w:cs="Times New Roman"/>
          <w:b/>
          <w:sz w:val="28"/>
          <w:szCs w:val="28"/>
          <w:lang w:eastAsia="en-ZA"/>
        </w:rPr>
        <w:t xml:space="preserve">Heard: </w:t>
      </w:r>
      <w:r w:rsidRPr="006546A0">
        <w:rPr>
          <w:rFonts w:ascii="Times New Roman" w:eastAsia="Arial" w:hAnsi="Times New Roman" w:cs="Times New Roman"/>
          <w:b/>
          <w:sz w:val="28"/>
          <w:szCs w:val="28"/>
          <w:lang w:eastAsia="en-ZA"/>
        </w:rPr>
        <w:tab/>
      </w:r>
      <w:r w:rsidR="005949BF" w:rsidRPr="006546A0">
        <w:rPr>
          <w:rFonts w:ascii="Times New Roman" w:eastAsia="Arial" w:hAnsi="Times New Roman" w:cs="Times New Roman"/>
          <w:sz w:val="28"/>
          <w:szCs w:val="28"/>
          <w:lang w:eastAsia="en-ZA"/>
        </w:rPr>
        <w:t>7 March 2024</w:t>
      </w:r>
    </w:p>
    <w:p w14:paraId="4677F052" w14:textId="57BABAD1" w:rsidR="004611B6" w:rsidRPr="006546A0" w:rsidRDefault="001F18BD" w:rsidP="00FB0FE3">
      <w:pPr>
        <w:spacing w:after="0" w:line="360" w:lineRule="auto"/>
        <w:ind w:right="74"/>
        <w:jc w:val="both"/>
        <w:rPr>
          <w:rFonts w:ascii="Times New Roman" w:eastAsia="Times New Roman" w:hAnsi="Times New Roman"/>
          <w:bCs/>
          <w:kern w:val="0"/>
          <w:sz w:val="28"/>
          <w:szCs w:val="28"/>
          <w:lang w:val="en-GB"/>
          <w14:ligatures w14:val="none"/>
        </w:rPr>
      </w:pPr>
      <w:r w:rsidRPr="006546A0">
        <w:rPr>
          <w:rFonts w:ascii="Times New Roman" w:eastAsia="Arial" w:hAnsi="Times New Roman" w:cs="Times New Roman"/>
          <w:b/>
          <w:sz w:val="28"/>
          <w:szCs w:val="28"/>
          <w:lang w:eastAsia="en-ZA"/>
        </w:rPr>
        <w:t>Delivered:</w:t>
      </w:r>
      <w:bookmarkStart w:id="1" w:name="_gjdgxs" w:colFirst="0" w:colLast="0"/>
      <w:bookmarkEnd w:id="1"/>
      <w:r w:rsidR="00462EE9" w:rsidRPr="006546A0">
        <w:rPr>
          <w:rFonts w:ascii="Times New Roman" w:eastAsia="Arial" w:hAnsi="Times New Roman" w:cs="Times New Roman"/>
          <w:b/>
          <w:sz w:val="28"/>
          <w:szCs w:val="28"/>
          <w:lang w:eastAsia="en-ZA"/>
        </w:rPr>
        <w:tab/>
      </w:r>
      <w:r w:rsidR="006546A0" w:rsidRPr="006546A0">
        <w:rPr>
          <w:rFonts w:ascii="Times New Roman" w:eastAsia="Arial" w:hAnsi="Times New Roman" w:cs="Times New Roman"/>
          <w:bCs/>
          <w:sz w:val="28"/>
          <w:szCs w:val="28"/>
          <w:lang w:eastAsia="en-ZA"/>
        </w:rPr>
        <w:t>28</w:t>
      </w:r>
      <w:r w:rsidR="006546A0" w:rsidRPr="006546A0">
        <w:rPr>
          <w:rFonts w:ascii="Times New Roman" w:eastAsia="Arial" w:hAnsi="Times New Roman" w:cs="Times New Roman"/>
          <w:b/>
          <w:sz w:val="28"/>
          <w:szCs w:val="28"/>
          <w:lang w:eastAsia="en-ZA"/>
        </w:rPr>
        <w:t xml:space="preserve"> </w:t>
      </w:r>
      <w:r w:rsidR="00AB0018" w:rsidRPr="006546A0">
        <w:rPr>
          <w:rFonts w:ascii="Times New Roman" w:eastAsia="Arial" w:hAnsi="Times New Roman" w:cs="Times New Roman"/>
          <w:bCs/>
          <w:sz w:val="28"/>
          <w:szCs w:val="28"/>
          <w:lang w:eastAsia="en-ZA"/>
        </w:rPr>
        <w:t>March</w:t>
      </w:r>
      <w:r w:rsidR="00EB39DA" w:rsidRPr="006546A0">
        <w:rPr>
          <w:rFonts w:ascii="Times New Roman" w:eastAsia="Arial" w:hAnsi="Times New Roman" w:cs="Times New Roman"/>
          <w:bCs/>
          <w:sz w:val="28"/>
          <w:szCs w:val="28"/>
          <w:lang w:eastAsia="en-ZA"/>
        </w:rPr>
        <w:t xml:space="preserve"> </w:t>
      </w:r>
      <w:r w:rsidR="007702DB" w:rsidRPr="006546A0">
        <w:rPr>
          <w:rFonts w:ascii="Times New Roman" w:eastAsia="Arial" w:hAnsi="Times New Roman" w:cs="Times New Roman"/>
          <w:bCs/>
          <w:sz w:val="28"/>
          <w:szCs w:val="28"/>
          <w:lang w:eastAsia="en-ZA"/>
        </w:rPr>
        <w:t>2024</w:t>
      </w:r>
    </w:p>
    <w:p w14:paraId="4D787D93" w14:textId="6B127620" w:rsidR="001F18BD" w:rsidRPr="006546A0" w:rsidRDefault="001F18BD" w:rsidP="003F46F3">
      <w:pPr>
        <w:spacing w:line="360" w:lineRule="auto"/>
        <w:ind w:right="72"/>
        <w:jc w:val="both"/>
        <w:rPr>
          <w:rFonts w:ascii="Times New Roman" w:eastAsia="Arial" w:hAnsi="Times New Roman" w:cs="Times New Roman"/>
          <w:sz w:val="28"/>
          <w:szCs w:val="28"/>
          <w:lang w:eastAsia="en-ZA"/>
        </w:rPr>
      </w:pPr>
      <w:r w:rsidRPr="006546A0">
        <w:rPr>
          <w:rFonts w:ascii="Times New Roman" w:eastAsia="Arial" w:hAnsi="Times New Roman" w:cs="Times New Roman"/>
          <w:b/>
          <w:sz w:val="28"/>
          <w:szCs w:val="28"/>
          <w:lang w:eastAsia="en-ZA"/>
        </w:rPr>
        <w:t>Summary:</w:t>
      </w:r>
      <w:r w:rsidR="00540755" w:rsidRPr="006546A0">
        <w:rPr>
          <w:rFonts w:ascii="Times New Roman" w:eastAsia="Arial" w:hAnsi="Times New Roman" w:cs="Times New Roman"/>
          <w:b/>
          <w:sz w:val="28"/>
          <w:szCs w:val="28"/>
          <w:lang w:eastAsia="en-ZA"/>
        </w:rPr>
        <w:tab/>
      </w:r>
      <w:r w:rsidR="00CD214C" w:rsidRPr="006546A0">
        <w:rPr>
          <w:rFonts w:ascii="Times New Roman" w:eastAsia="Arial" w:hAnsi="Times New Roman" w:cs="Times New Roman"/>
          <w:bCs/>
          <w:sz w:val="28"/>
          <w:szCs w:val="28"/>
          <w:lang w:eastAsia="en-ZA"/>
        </w:rPr>
        <w:t xml:space="preserve">Contractual claim for </w:t>
      </w:r>
      <w:r w:rsidR="00840F38" w:rsidRPr="006546A0">
        <w:rPr>
          <w:rFonts w:ascii="Times New Roman" w:eastAsia="Arial" w:hAnsi="Times New Roman" w:cs="Times New Roman"/>
          <w:bCs/>
          <w:sz w:val="28"/>
          <w:szCs w:val="28"/>
          <w:lang w:eastAsia="en-ZA"/>
        </w:rPr>
        <w:t xml:space="preserve">payment of </w:t>
      </w:r>
      <w:r w:rsidR="00B03809" w:rsidRPr="006546A0">
        <w:rPr>
          <w:rFonts w:ascii="Times New Roman" w:eastAsia="Arial" w:hAnsi="Times New Roman" w:cs="Times New Roman"/>
          <w:bCs/>
          <w:sz w:val="28"/>
          <w:szCs w:val="28"/>
          <w:lang w:eastAsia="en-ZA"/>
        </w:rPr>
        <w:t xml:space="preserve">amount </w:t>
      </w:r>
      <w:r w:rsidR="00267F78" w:rsidRPr="006546A0">
        <w:rPr>
          <w:rFonts w:ascii="Times New Roman" w:eastAsia="Arial" w:hAnsi="Times New Roman" w:cs="Times New Roman"/>
          <w:bCs/>
          <w:sz w:val="28"/>
          <w:szCs w:val="28"/>
          <w:lang w:eastAsia="en-ZA"/>
        </w:rPr>
        <w:t xml:space="preserve">paid to settle outstanding </w:t>
      </w:r>
      <w:r w:rsidR="00840F38" w:rsidRPr="006546A0">
        <w:rPr>
          <w:rFonts w:ascii="Times New Roman" w:eastAsia="Arial" w:hAnsi="Times New Roman" w:cs="Times New Roman"/>
          <w:bCs/>
          <w:sz w:val="28"/>
          <w:szCs w:val="28"/>
          <w:lang w:eastAsia="en-ZA"/>
        </w:rPr>
        <w:t>electricity consumption charges</w:t>
      </w:r>
      <w:r w:rsidR="00267F78" w:rsidRPr="006546A0">
        <w:rPr>
          <w:rFonts w:ascii="Times New Roman" w:eastAsia="Arial" w:hAnsi="Times New Roman" w:cs="Times New Roman"/>
          <w:bCs/>
          <w:sz w:val="28"/>
          <w:szCs w:val="28"/>
          <w:lang w:eastAsia="en-ZA"/>
        </w:rPr>
        <w:t xml:space="preserve"> levied by </w:t>
      </w:r>
      <w:r w:rsidR="00E60DAF" w:rsidRPr="006546A0">
        <w:rPr>
          <w:rFonts w:ascii="Times New Roman" w:eastAsia="Arial" w:hAnsi="Times New Roman" w:cs="Times New Roman"/>
          <w:bCs/>
          <w:sz w:val="28"/>
          <w:szCs w:val="28"/>
          <w:lang w:eastAsia="en-ZA"/>
        </w:rPr>
        <w:t xml:space="preserve">municipality </w:t>
      </w:r>
      <w:r w:rsidR="005905CC" w:rsidRPr="006546A0">
        <w:rPr>
          <w:rFonts w:ascii="Times New Roman" w:eastAsia="Arial" w:hAnsi="Times New Roman" w:cs="Times New Roman"/>
          <w:bCs/>
          <w:sz w:val="28"/>
          <w:szCs w:val="28"/>
          <w:lang w:eastAsia="en-ZA"/>
        </w:rPr>
        <w:t>–</w:t>
      </w:r>
      <w:r w:rsidR="00E60DAF" w:rsidRPr="006546A0">
        <w:rPr>
          <w:rFonts w:ascii="Times New Roman" w:eastAsia="Arial" w:hAnsi="Times New Roman" w:cs="Times New Roman"/>
          <w:bCs/>
          <w:sz w:val="28"/>
          <w:szCs w:val="28"/>
          <w:lang w:eastAsia="en-ZA"/>
        </w:rPr>
        <w:t xml:space="preserve"> </w:t>
      </w:r>
      <w:r w:rsidR="005905CC" w:rsidRPr="006546A0">
        <w:rPr>
          <w:rFonts w:ascii="Times New Roman" w:eastAsia="Arial" w:hAnsi="Times New Roman" w:cs="Times New Roman"/>
          <w:bCs/>
          <w:sz w:val="28"/>
          <w:szCs w:val="28"/>
          <w:lang w:eastAsia="en-ZA"/>
        </w:rPr>
        <w:t xml:space="preserve">no contractual relationship </w:t>
      </w:r>
      <w:r w:rsidR="005905CC" w:rsidRPr="006546A0">
        <w:rPr>
          <w:rFonts w:ascii="Times New Roman" w:eastAsia="Arial" w:hAnsi="Times New Roman" w:cs="Times New Roman"/>
          <w:bCs/>
          <w:sz w:val="28"/>
          <w:szCs w:val="28"/>
          <w:lang w:eastAsia="en-ZA"/>
        </w:rPr>
        <w:lastRenderedPageBreak/>
        <w:t>established</w:t>
      </w:r>
      <w:r w:rsidR="002442B1" w:rsidRPr="006546A0">
        <w:rPr>
          <w:rFonts w:ascii="Times New Roman" w:eastAsia="Arial" w:hAnsi="Times New Roman" w:cs="Times New Roman"/>
          <w:bCs/>
          <w:sz w:val="28"/>
          <w:szCs w:val="28"/>
          <w:lang w:eastAsia="en-ZA"/>
        </w:rPr>
        <w:t xml:space="preserve"> – alternative claim based </w:t>
      </w:r>
      <w:r w:rsidR="002D4FF3" w:rsidRPr="006546A0">
        <w:rPr>
          <w:rFonts w:ascii="Times New Roman" w:eastAsia="Arial" w:hAnsi="Times New Roman" w:cs="Times New Roman"/>
          <w:bCs/>
          <w:sz w:val="28"/>
          <w:szCs w:val="28"/>
          <w:lang w:eastAsia="en-ZA"/>
        </w:rPr>
        <w:t>on unjustified</w:t>
      </w:r>
      <w:r w:rsidR="002442B1" w:rsidRPr="006546A0">
        <w:rPr>
          <w:rFonts w:ascii="Times New Roman" w:eastAsia="Arial" w:hAnsi="Times New Roman" w:cs="Times New Roman"/>
          <w:bCs/>
          <w:sz w:val="28"/>
          <w:szCs w:val="28"/>
          <w:lang w:eastAsia="en-ZA"/>
        </w:rPr>
        <w:t xml:space="preserve"> enrichment </w:t>
      </w:r>
      <w:r w:rsidR="00AD4D0C" w:rsidRPr="006546A0">
        <w:rPr>
          <w:rFonts w:ascii="Times New Roman" w:eastAsia="Arial" w:hAnsi="Times New Roman" w:cs="Times New Roman"/>
          <w:bCs/>
          <w:sz w:val="28"/>
          <w:szCs w:val="28"/>
          <w:lang w:eastAsia="en-ZA"/>
        </w:rPr>
        <w:t>–</w:t>
      </w:r>
      <w:r w:rsidR="002442B1" w:rsidRPr="006546A0">
        <w:rPr>
          <w:rFonts w:ascii="Times New Roman" w:eastAsia="Arial" w:hAnsi="Times New Roman" w:cs="Times New Roman"/>
          <w:bCs/>
          <w:sz w:val="28"/>
          <w:szCs w:val="28"/>
          <w:lang w:eastAsia="en-ZA"/>
        </w:rPr>
        <w:t xml:space="preserve"> </w:t>
      </w:r>
      <w:r w:rsidR="00AD4D0C" w:rsidRPr="006546A0">
        <w:rPr>
          <w:rFonts w:ascii="Times New Roman" w:eastAsia="Arial" w:hAnsi="Times New Roman" w:cs="Times New Roman"/>
          <w:bCs/>
          <w:sz w:val="28"/>
          <w:szCs w:val="28"/>
          <w:lang w:eastAsia="en-ZA"/>
        </w:rPr>
        <w:t>essential elements of enrichment claim not established – appeal upheld.</w:t>
      </w:r>
    </w:p>
    <w:p w14:paraId="0939EA52" w14:textId="77777777" w:rsidR="001B6355" w:rsidRPr="006546A0" w:rsidRDefault="001B6355" w:rsidP="001F18BD">
      <w:pPr>
        <w:spacing w:after="0" w:line="360" w:lineRule="auto"/>
        <w:ind w:left="2160" w:right="72" w:hanging="2160"/>
        <w:jc w:val="both"/>
        <w:rPr>
          <w:rFonts w:ascii="Times New Roman" w:eastAsia="Arial" w:hAnsi="Times New Roman" w:cs="Times New Roman"/>
          <w:sz w:val="28"/>
          <w:szCs w:val="28"/>
          <w:lang w:eastAsia="en-ZA"/>
        </w:rPr>
      </w:pPr>
    </w:p>
    <w:p w14:paraId="4C31B37E" w14:textId="24BC3B03" w:rsidR="009A0703" w:rsidRPr="006546A0" w:rsidRDefault="001F18BD" w:rsidP="00FB0FE3">
      <w:pPr>
        <w:spacing w:after="0" w:line="360" w:lineRule="auto"/>
        <w:rPr>
          <w:rFonts w:ascii="Times New Roman" w:eastAsia="Calibri" w:hAnsi="Times New Roman" w:cs="Times New Roman"/>
          <w:bCs/>
          <w:kern w:val="0"/>
          <w:sz w:val="28"/>
          <w:szCs w:val="28"/>
          <w:lang w:val="en-GB"/>
          <w14:ligatures w14:val="none"/>
        </w:rPr>
      </w:pPr>
      <w:r w:rsidRPr="006546A0">
        <w:rPr>
          <w:rFonts w:ascii="Times New Roman" w:eastAsia="Arial" w:hAnsi="Times New Roman" w:cs="Times New Roman"/>
          <w:sz w:val="28"/>
          <w:szCs w:val="28"/>
          <w:lang w:eastAsia="en-ZA"/>
        </w:rPr>
        <w:br w:type="page"/>
      </w:r>
    </w:p>
    <w:p w14:paraId="29BFBF05" w14:textId="77777777" w:rsidR="009A0703" w:rsidRPr="006546A0" w:rsidRDefault="009A0703" w:rsidP="009A0703">
      <w:pPr>
        <w:tabs>
          <w:tab w:val="center" w:pos="4513"/>
        </w:tabs>
        <w:spacing w:after="0" w:line="240" w:lineRule="auto"/>
        <w:contextualSpacing/>
        <w:jc w:val="both"/>
        <w:rPr>
          <w:rFonts w:ascii="Times New Roman" w:eastAsia="Calibri" w:hAnsi="Times New Roman" w:cs="Times New Roman"/>
          <w:kern w:val="0"/>
          <w:sz w:val="28"/>
          <w:szCs w:val="28"/>
          <w:lang w:val="en-GB"/>
          <w14:ligatures w14:val="none"/>
        </w:rPr>
      </w:pPr>
      <w:r w:rsidRPr="006546A0">
        <w:rPr>
          <w:rFonts w:ascii="Times New Roman" w:eastAsia="Calibri" w:hAnsi="Times New Roman" w:cs="Times New Roman"/>
          <w:noProof/>
          <w:kern w:val="0"/>
          <w:sz w:val="28"/>
          <w:szCs w:val="28"/>
          <w:lang w:eastAsia="en-ZA"/>
          <w14:ligatures w14:val="none"/>
        </w:rPr>
        <w:lastRenderedPageBreak/>
        <mc:AlternateContent>
          <mc:Choice Requires="wps">
            <w:drawing>
              <wp:anchor distT="0" distB="0" distL="114300" distR="114300" simplePos="0" relativeHeight="251677696" behindDoc="0" locked="0" layoutInCell="1" allowOverlap="1" wp14:anchorId="6757E0D7" wp14:editId="25C10AB4">
                <wp:simplePos x="0" y="0"/>
                <wp:positionH relativeFrom="column">
                  <wp:posOffset>55659</wp:posOffset>
                </wp:positionH>
                <wp:positionV relativeFrom="paragraph">
                  <wp:posOffset>103339</wp:posOffset>
                </wp:positionV>
                <wp:extent cx="5868035" cy="0"/>
                <wp:effectExtent l="0" t="0" r="374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9525">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08530B0" id="Straight Connector 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8.15pt" to="466.4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"/>
            </w:pict>
          </mc:Fallback>
        </mc:AlternateContent>
      </w:r>
      <w:r w:rsidRPr="006546A0">
        <w:rPr>
          <w:rFonts w:ascii="Times New Roman" w:eastAsia="Calibri" w:hAnsi="Times New Roman" w:cs="Times New Roman"/>
          <w:kern w:val="0"/>
          <w:sz w:val="28"/>
          <w:szCs w:val="28"/>
          <w:lang w:val="en-GB"/>
          <w14:ligatures w14:val="none"/>
        </w:rPr>
        <w:tab/>
      </w:r>
      <w:r w:rsidRPr="006546A0">
        <w:rPr>
          <w:rFonts w:ascii="Times New Roman" w:eastAsia="Calibri" w:hAnsi="Times New Roman" w:cs="Times New Roman"/>
          <w:noProof/>
          <w:kern w:val="0"/>
          <w:sz w:val="28"/>
          <w:szCs w:val="28"/>
          <w:lang w:eastAsia="en-ZA"/>
          <w14:ligatures w14:val="none"/>
        </w:rPr>
        <mc:AlternateContent>
          <mc:Choice Requires="wps">
            <w:drawing>
              <wp:anchor distT="0" distB="0" distL="114300" distR="114300" simplePos="0" relativeHeight="251676672" behindDoc="0" locked="0" layoutInCell="1" allowOverlap="1" wp14:anchorId="544EEAB7" wp14:editId="728F5EA5">
                <wp:simplePos x="0" y="0"/>
                <wp:positionH relativeFrom="column">
                  <wp:posOffset>0</wp:posOffset>
                </wp:positionH>
                <wp:positionV relativeFrom="paragraph">
                  <wp:posOffset>101600</wp:posOffset>
                </wp:positionV>
                <wp:extent cx="57150" cy="0"/>
                <wp:effectExtent l="5715" t="5715" r="1333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0"/>
                        </a:xfrm>
                        <a:prstGeom prst="line">
                          <a:avLst/>
                        </a:prstGeom>
                        <a:noFill/>
                        <a:ln w="9525">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5A55672" id="Straight Connector 2"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"/>
            </w:pict>
          </mc:Fallback>
        </mc:AlternateContent>
      </w:r>
    </w:p>
    <w:p w14:paraId="3C0FD8EA" w14:textId="77777777" w:rsidR="009A0703" w:rsidRPr="006546A0" w:rsidRDefault="009A0703" w:rsidP="009A0703">
      <w:pPr>
        <w:spacing w:after="0" w:line="240" w:lineRule="auto"/>
        <w:contextualSpacing/>
        <w:jc w:val="both"/>
        <w:rPr>
          <w:rFonts w:ascii="Times New Roman" w:eastAsia="Calibri" w:hAnsi="Times New Roman" w:cs="Times New Roman"/>
          <w:b/>
          <w:bCs/>
          <w:kern w:val="0"/>
          <w:sz w:val="28"/>
          <w:szCs w:val="28"/>
          <w:lang w:val="en-GB"/>
          <w14:ligatures w14:val="none"/>
        </w:rPr>
      </w:pPr>
    </w:p>
    <w:p w14:paraId="47016864" w14:textId="10B06153" w:rsidR="009A0703" w:rsidRPr="006546A0" w:rsidRDefault="009A0703" w:rsidP="009A0703">
      <w:pPr>
        <w:spacing w:after="0" w:line="240" w:lineRule="auto"/>
        <w:contextualSpacing/>
        <w:jc w:val="center"/>
        <w:rPr>
          <w:rFonts w:ascii="Times New Roman" w:eastAsia="Calibri" w:hAnsi="Times New Roman" w:cs="Times New Roman"/>
          <w:b/>
          <w:bCs/>
          <w:kern w:val="0"/>
          <w:sz w:val="28"/>
          <w:szCs w:val="28"/>
          <w:lang w:val="en-GB"/>
          <w14:ligatures w14:val="none"/>
        </w:rPr>
      </w:pPr>
      <w:r w:rsidRPr="006546A0">
        <w:rPr>
          <w:rFonts w:ascii="Times New Roman" w:eastAsia="Calibri" w:hAnsi="Times New Roman" w:cs="Times New Roman"/>
          <w:b/>
          <w:bCs/>
          <w:kern w:val="0"/>
          <w:sz w:val="28"/>
          <w:szCs w:val="28"/>
          <w:lang w:val="en-GB"/>
          <w14:ligatures w14:val="none"/>
        </w:rPr>
        <w:t>ORDER</w:t>
      </w:r>
    </w:p>
    <w:p w14:paraId="1C0EA6F0" w14:textId="77777777" w:rsidR="009A0703" w:rsidRPr="006546A0" w:rsidRDefault="009A0703" w:rsidP="009A0703">
      <w:pPr>
        <w:spacing w:after="0" w:line="240" w:lineRule="auto"/>
        <w:ind w:right="4"/>
        <w:contextualSpacing/>
        <w:jc w:val="both"/>
        <w:rPr>
          <w:rFonts w:ascii="Times New Roman" w:eastAsia="Calibri" w:hAnsi="Times New Roman" w:cs="Times New Roman"/>
          <w:b/>
          <w:bCs/>
          <w:kern w:val="0"/>
          <w:sz w:val="28"/>
          <w:szCs w:val="28"/>
          <w:lang w:val="en-GB"/>
          <w14:ligatures w14:val="none"/>
        </w:rPr>
      </w:pPr>
    </w:p>
    <w:p w14:paraId="7926FA29" w14:textId="77777777" w:rsidR="009A0703" w:rsidRPr="006546A0" w:rsidRDefault="009A0703" w:rsidP="009A0703">
      <w:pPr>
        <w:spacing w:after="0" w:line="240" w:lineRule="auto"/>
        <w:contextualSpacing/>
        <w:jc w:val="both"/>
        <w:rPr>
          <w:rFonts w:ascii="Times New Roman" w:eastAsia="Calibri" w:hAnsi="Times New Roman" w:cs="Times New Roman"/>
          <w:kern w:val="0"/>
          <w:sz w:val="28"/>
          <w:szCs w:val="28"/>
          <w:lang w:val="en-GB"/>
          <w14:ligatures w14:val="none"/>
        </w:rPr>
      </w:pPr>
      <w:r w:rsidRPr="006546A0">
        <w:rPr>
          <w:rFonts w:ascii="Times New Roman" w:eastAsia="Calibri" w:hAnsi="Times New Roman" w:cs="Times New Roman"/>
          <w:noProof/>
          <w:kern w:val="0"/>
          <w:sz w:val="28"/>
          <w:szCs w:val="28"/>
          <w:lang w:eastAsia="en-ZA"/>
          <w14:ligatures w14:val="none"/>
        </w:rPr>
        <mc:AlternateContent>
          <mc:Choice Requires="wps">
            <w:drawing>
              <wp:anchor distT="0" distB="0" distL="114300" distR="114300" simplePos="0" relativeHeight="251678720" behindDoc="0" locked="0" layoutInCell="1" allowOverlap="1" wp14:anchorId="012EDCED" wp14:editId="0ABB6218">
                <wp:simplePos x="0" y="0"/>
                <wp:positionH relativeFrom="column">
                  <wp:posOffset>0</wp:posOffset>
                </wp:positionH>
                <wp:positionV relativeFrom="paragraph">
                  <wp:posOffset>96492</wp:posOffset>
                </wp:positionV>
                <wp:extent cx="5923280" cy="0"/>
                <wp:effectExtent l="0" t="0" r="203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280" cy="0"/>
                        </a:xfrm>
                        <a:prstGeom prst="line">
                          <a:avLst/>
                        </a:prstGeom>
                        <a:noFill/>
                        <a:ln w="9525">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FBEA59E" id="Straight Connector 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pt" to="466.4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"/>
            </w:pict>
          </mc:Fallback>
        </mc:AlternateContent>
      </w:r>
    </w:p>
    <w:p w14:paraId="4A015A99" w14:textId="77777777" w:rsidR="000548F9" w:rsidRPr="006546A0" w:rsidRDefault="000548F9" w:rsidP="005C1AEF">
      <w:pPr>
        <w:spacing w:after="0" w:line="360" w:lineRule="auto"/>
        <w:jc w:val="both"/>
        <w:rPr>
          <w:rFonts w:ascii="Times New Roman" w:eastAsia="Arial" w:hAnsi="Times New Roman" w:cs="Times New Roman"/>
          <w:b/>
          <w:sz w:val="28"/>
          <w:szCs w:val="28"/>
          <w:lang w:eastAsia="en-ZA"/>
        </w:rPr>
      </w:pPr>
    </w:p>
    <w:p w14:paraId="5CAD02E3" w14:textId="13C8E3BE" w:rsidR="002B7B52" w:rsidRPr="006546A0" w:rsidRDefault="001F18BD" w:rsidP="00265030">
      <w:pPr>
        <w:spacing w:after="0" w:line="360" w:lineRule="auto"/>
        <w:jc w:val="both"/>
        <w:rPr>
          <w:rFonts w:ascii="Times New Roman" w:eastAsia="Arial" w:hAnsi="Times New Roman" w:cs="Times New Roman"/>
          <w:bCs/>
          <w:sz w:val="28"/>
          <w:szCs w:val="28"/>
          <w:lang w:eastAsia="en-ZA"/>
        </w:rPr>
      </w:pPr>
      <w:r w:rsidRPr="006546A0">
        <w:rPr>
          <w:rFonts w:ascii="Times New Roman" w:eastAsia="Arial" w:hAnsi="Times New Roman" w:cs="Times New Roman"/>
          <w:b/>
          <w:sz w:val="28"/>
          <w:szCs w:val="28"/>
          <w:lang w:eastAsia="en-ZA"/>
        </w:rPr>
        <w:t xml:space="preserve">On appeal from: </w:t>
      </w:r>
      <w:bookmarkStart w:id="2" w:name="_Hlk159952768"/>
      <w:r w:rsidR="00AD4D0C" w:rsidRPr="006546A0">
        <w:rPr>
          <w:rFonts w:ascii="Times New Roman" w:eastAsia="Arial" w:hAnsi="Times New Roman" w:cs="Times New Roman"/>
          <w:bCs/>
          <w:sz w:val="28"/>
          <w:szCs w:val="28"/>
          <w:lang w:eastAsia="en-ZA"/>
        </w:rPr>
        <w:t>The KwaZulu-Natal Division of the High Court, Durban (Sibiya J</w:t>
      </w:r>
      <w:r w:rsidR="00110035" w:rsidRPr="006546A0">
        <w:rPr>
          <w:rFonts w:ascii="Times New Roman" w:eastAsia="Arial" w:hAnsi="Times New Roman" w:cs="Times New Roman"/>
          <w:bCs/>
          <w:sz w:val="28"/>
          <w:szCs w:val="28"/>
          <w:lang w:eastAsia="en-ZA"/>
        </w:rPr>
        <w:t>,</w:t>
      </w:r>
      <w:r w:rsidR="00AD4D0C" w:rsidRPr="006546A0">
        <w:rPr>
          <w:rFonts w:ascii="Times New Roman" w:eastAsia="Arial" w:hAnsi="Times New Roman" w:cs="Times New Roman"/>
          <w:bCs/>
          <w:sz w:val="28"/>
          <w:szCs w:val="28"/>
          <w:lang w:eastAsia="en-ZA"/>
        </w:rPr>
        <w:t xml:space="preserve"> sitting as </w:t>
      </w:r>
      <w:r w:rsidR="002F41EC" w:rsidRPr="006546A0">
        <w:rPr>
          <w:rFonts w:ascii="Times New Roman" w:eastAsia="Arial" w:hAnsi="Times New Roman" w:cs="Times New Roman"/>
          <w:bCs/>
          <w:sz w:val="28"/>
          <w:szCs w:val="28"/>
          <w:lang w:eastAsia="en-ZA"/>
        </w:rPr>
        <w:t xml:space="preserve">a </w:t>
      </w:r>
      <w:r w:rsidR="00AD4D0C" w:rsidRPr="006546A0">
        <w:rPr>
          <w:rFonts w:ascii="Times New Roman" w:eastAsia="Arial" w:hAnsi="Times New Roman" w:cs="Times New Roman"/>
          <w:bCs/>
          <w:sz w:val="28"/>
          <w:szCs w:val="28"/>
          <w:lang w:eastAsia="en-ZA"/>
        </w:rPr>
        <w:t>court of first instance):</w:t>
      </w:r>
    </w:p>
    <w:p w14:paraId="2296EE64" w14:textId="4B0DAA18" w:rsidR="00AD4D0C" w:rsidRPr="00876F97" w:rsidRDefault="00876F97" w:rsidP="00876F97">
      <w:pPr>
        <w:spacing w:after="0" w:line="360" w:lineRule="auto"/>
        <w:ind w:left="720" w:hanging="720"/>
        <w:jc w:val="both"/>
        <w:rPr>
          <w:rFonts w:ascii="Times New Roman" w:eastAsia="Arial" w:hAnsi="Times New Roman" w:cs="Times New Roman"/>
          <w:bCs/>
          <w:sz w:val="28"/>
          <w:szCs w:val="28"/>
          <w:lang w:eastAsia="en-ZA"/>
        </w:rPr>
      </w:pPr>
      <w:bookmarkStart w:id="3" w:name="_Hlk161491152"/>
      <w:r w:rsidRPr="006546A0">
        <w:rPr>
          <w:rFonts w:ascii="Times New Roman" w:eastAsia="Arial" w:hAnsi="Times New Roman" w:cs="Times New Roman"/>
          <w:bCs/>
          <w:sz w:val="28"/>
          <w:szCs w:val="28"/>
          <w:lang w:eastAsia="en-ZA"/>
        </w:rPr>
        <w:t>1</w:t>
      </w:r>
      <w:r w:rsidRPr="006546A0">
        <w:rPr>
          <w:rFonts w:ascii="Times New Roman" w:eastAsia="Arial" w:hAnsi="Times New Roman" w:cs="Times New Roman"/>
          <w:bCs/>
          <w:sz w:val="28"/>
          <w:szCs w:val="28"/>
          <w:lang w:eastAsia="en-ZA"/>
        </w:rPr>
        <w:tab/>
      </w:r>
      <w:r w:rsidR="00AD4D0C" w:rsidRPr="00876F97">
        <w:rPr>
          <w:rFonts w:ascii="Times New Roman" w:eastAsia="Arial" w:hAnsi="Times New Roman" w:cs="Times New Roman"/>
          <w:bCs/>
          <w:sz w:val="28"/>
          <w:szCs w:val="28"/>
          <w:lang w:eastAsia="en-ZA"/>
        </w:rPr>
        <w:t>The appeal is upheld with costs.</w:t>
      </w:r>
    </w:p>
    <w:p w14:paraId="10435661" w14:textId="6F8A5E0F" w:rsidR="00AD4D0C" w:rsidRPr="00876F97" w:rsidRDefault="00876F97" w:rsidP="00876F97">
      <w:pPr>
        <w:spacing w:after="0" w:line="360" w:lineRule="auto"/>
        <w:ind w:left="720" w:hanging="720"/>
        <w:jc w:val="both"/>
        <w:rPr>
          <w:rFonts w:ascii="Times New Roman" w:eastAsia="Arial" w:hAnsi="Times New Roman" w:cs="Times New Roman"/>
          <w:bCs/>
          <w:sz w:val="28"/>
          <w:szCs w:val="28"/>
          <w:lang w:eastAsia="en-ZA"/>
        </w:rPr>
      </w:pPr>
      <w:r w:rsidRPr="006546A0">
        <w:rPr>
          <w:rFonts w:ascii="Times New Roman" w:eastAsia="Arial" w:hAnsi="Times New Roman" w:cs="Times New Roman"/>
          <w:bCs/>
          <w:sz w:val="28"/>
          <w:szCs w:val="28"/>
          <w:lang w:eastAsia="en-ZA"/>
        </w:rPr>
        <w:t>2</w:t>
      </w:r>
      <w:r w:rsidRPr="006546A0">
        <w:rPr>
          <w:rFonts w:ascii="Times New Roman" w:eastAsia="Arial" w:hAnsi="Times New Roman" w:cs="Times New Roman"/>
          <w:bCs/>
          <w:sz w:val="28"/>
          <w:szCs w:val="28"/>
          <w:lang w:eastAsia="en-ZA"/>
        </w:rPr>
        <w:tab/>
      </w:r>
      <w:r w:rsidR="00AD4D0C" w:rsidRPr="00876F97">
        <w:rPr>
          <w:rFonts w:ascii="Times New Roman" w:eastAsia="Arial" w:hAnsi="Times New Roman" w:cs="Times New Roman"/>
          <w:bCs/>
          <w:sz w:val="28"/>
          <w:szCs w:val="28"/>
          <w:lang w:eastAsia="en-ZA"/>
        </w:rPr>
        <w:t>The order of the high court is set aside and replaced with the following order:</w:t>
      </w:r>
    </w:p>
    <w:p w14:paraId="2F5E7D66" w14:textId="3A40B60C" w:rsidR="00AD4D0C" w:rsidRPr="006546A0" w:rsidRDefault="00AD4D0C" w:rsidP="00370A0A">
      <w:pPr>
        <w:spacing w:after="0" w:line="360" w:lineRule="auto"/>
        <w:ind w:firstLine="720"/>
        <w:jc w:val="both"/>
        <w:rPr>
          <w:rFonts w:ascii="Times New Roman" w:eastAsia="Arial" w:hAnsi="Times New Roman" w:cs="Times New Roman"/>
          <w:bCs/>
          <w:sz w:val="28"/>
          <w:szCs w:val="28"/>
          <w:lang w:eastAsia="en-ZA"/>
        </w:rPr>
      </w:pPr>
      <w:r w:rsidRPr="006546A0">
        <w:rPr>
          <w:rFonts w:ascii="Times New Roman" w:eastAsia="Arial" w:hAnsi="Times New Roman" w:cs="Times New Roman"/>
          <w:bCs/>
          <w:sz w:val="28"/>
          <w:szCs w:val="28"/>
          <w:lang w:eastAsia="en-ZA"/>
        </w:rPr>
        <w:t>‘The application is dismissed with costs.’</w:t>
      </w:r>
    </w:p>
    <w:bookmarkEnd w:id="2"/>
    <w:bookmarkEnd w:id="3"/>
    <w:p w14:paraId="7454AD5B" w14:textId="77777777" w:rsidR="009A0703" w:rsidRPr="006546A0" w:rsidRDefault="009A0703" w:rsidP="009A0703">
      <w:pPr>
        <w:tabs>
          <w:tab w:val="center" w:pos="4513"/>
        </w:tabs>
        <w:spacing w:after="0" w:line="240" w:lineRule="auto"/>
        <w:contextualSpacing/>
        <w:jc w:val="both"/>
        <w:rPr>
          <w:rFonts w:ascii="Times New Roman" w:eastAsia="Calibri" w:hAnsi="Times New Roman" w:cs="Times New Roman"/>
          <w:kern w:val="0"/>
          <w:sz w:val="28"/>
          <w:szCs w:val="28"/>
          <w:lang w:val="en-GB"/>
          <w14:ligatures w14:val="none"/>
        </w:rPr>
      </w:pPr>
      <w:r w:rsidRPr="006546A0">
        <w:rPr>
          <w:rFonts w:ascii="Times New Roman" w:eastAsia="Calibri" w:hAnsi="Times New Roman" w:cs="Times New Roman"/>
          <w:noProof/>
          <w:kern w:val="0"/>
          <w:sz w:val="28"/>
          <w:szCs w:val="28"/>
          <w:lang w:eastAsia="en-ZA"/>
          <w14:ligatures w14:val="none"/>
        </w:rPr>
        <mc:AlternateContent>
          <mc:Choice Requires="wps">
            <w:drawing>
              <wp:anchor distT="0" distB="0" distL="114300" distR="114300" simplePos="0" relativeHeight="251673600" behindDoc="0" locked="0" layoutInCell="1" allowOverlap="1" wp14:anchorId="6C5C6805" wp14:editId="3F3ACCBE">
                <wp:simplePos x="0" y="0"/>
                <wp:positionH relativeFrom="column">
                  <wp:posOffset>55659</wp:posOffset>
                </wp:positionH>
                <wp:positionV relativeFrom="paragraph">
                  <wp:posOffset>103643</wp:posOffset>
                </wp:positionV>
                <wp:extent cx="5868063" cy="0"/>
                <wp:effectExtent l="0" t="0" r="3746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63" cy="0"/>
                        </a:xfrm>
                        <a:prstGeom prst="line">
                          <a:avLst/>
                        </a:prstGeom>
                        <a:noFill/>
                        <a:ln w="9525">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BE2A3BC" id="Straight Connector 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8.15pt" to="466.4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"/>
            </w:pict>
          </mc:Fallback>
        </mc:AlternateContent>
      </w:r>
      <w:r w:rsidRPr="006546A0">
        <w:rPr>
          <w:rFonts w:ascii="Times New Roman" w:eastAsia="Calibri" w:hAnsi="Times New Roman" w:cs="Times New Roman"/>
          <w:kern w:val="0"/>
          <w:sz w:val="28"/>
          <w:szCs w:val="28"/>
          <w:lang w:val="en-GB"/>
          <w14:ligatures w14:val="none"/>
        </w:rPr>
        <w:tab/>
      </w:r>
      <w:r w:rsidRPr="006546A0">
        <w:rPr>
          <w:rFonts w:ascii="Times New Roman" w:eastAsia="Calibri" w:hAnsi="Times New Roman" w:cs="Times New Roman"/>
          <w:noProof/>
          <w:kern w:val="0"/>
          <w:sz w:val="28"/>
          <w:szCs w:val="28"/>
          <w:lang w:eastAsia="en-ZA"/>
          <w14:ligatures w14:val="none"/>
        </w:rPr>
        <mc:AlternateContent>
          <mc:Choice Requires="wps">
            <w:drawing>
              <wp:anchor distT="0" distB="0" distL="114300" distR="114300" simplePos="0" relativeHeight="251672576" behindDoc="0" locked="0" layoutInCell="1" allowOverlap="1" wp14:anchorId="5B8F1FD8" wp14:editId="1CC57A09">
                <wp:simplePos x="0" y="0"/>
                <wp:positionH relativeFrom="column">
                  <wp:posOffset>0</wp:posOffset>
                </wp:positionH>
                <wp:positionV relativeFrom="paragraph">
                  <wp:posOffset>101600</wp:posOffset>
                </wp:positionV>
                <wp:extent cx="57150" cy="0"/>
                <wp:effectExtent l="5715" t="5715" r="13335"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0"/>
                        </a:xfrm>
                        <a:prstGeom prst="line">
                          <a:avLst/>
                        </a:prstGeom>
                        <a:noFill/>
                        <a:ln w="9525">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428C98C" id="Straight Connector 5"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"/>
            </w:pict>
          </mc:Fallback>
        </mc:AlternateContent>
      </w:r>
    </w:p>
    <w:p w14:paraId="6F8B75AA" w14:textId="77777777" w:rsidR="009A0703" w:rsidRPr="006546A0" w:rsidRDefault="009A0703" w:rsidP="009A0703">
      <w:pPr>
        <w:spacing w:after="0" w:line="240" w:lineRule="auto"/>
        <w:ind w:right="4"/>
        <w:contextualSpacing/>
        <w:jc w:val="both"/>
        <w:rPr>
          <w:rFonts w:ascii="Times New Roman" w:eastAsia="Calibri" w:hAnsi="Times New Roman" w:cs="Times New Roman"/>
          <w:b/>
          <w:bCs/>
          <w:kern w:val="0"/>
          <w:sz w:val="28"/>
          <w:szCs w:val="28"/>
          <w:lang w:val="en-GB"/>
          <w14:ligatures w14:val="none"/>
        </w:rPr>
      </w:pPr>
    </w:p>
    <w:p w14:paraId="542DF377" w14:textId="77777777" w:rsidR="009A0703" w:rsidRPr="006546A0" w:rsidRDefault="009A0703" w:rsidP="009A0703">
      <w:pPr>
        <w:spacing w:after="0" w:line="240" w:lineRule="auto"/>
        <w:contextualSpacing/>
        <w:jc w:val="center"/>
        <w:rPr>
          <w:rFonts w:ascii="Times New Roman" w:eastAsia="Calibri" w:hAnsi="Times New Roman" w:cs="Times New Roman"/>
          <w:b/>
          <w:bCs/>
          <w:kern w:val="0"/>
          <w:sz w:val="28"/>
          <w:szCs w:val="28"/>
          <w:lang w:val="en-GB"/>
          <w14:ligatures w14:val="none"/>
        </w:rPr>
      </w:pPr>
      <w:r w:rsidRPr="006546A0">
        <w:rPr>
          <w:rFonts w:ascii="Times New Roman" w:eastAsia="Calibri" w:hAnsi="Times New Roman" w:cs="Times New Roman"/>
          <w:b/>
          <w:bCs/>
          <w:kern w:val="0"/>
          <w:sz w:val="28"/>
          <w:szCs w:val="28"/>
          <w:lang w:val="en-GB"/>
          <w14:ligatures w14:val="none"/>
        </w:rPr>
        <w:t>JUDGMENT</w:t>
      </w:r>
    </w:p>
    <w:p w14:paraId="01E20E0D" w14:textId="77777777" w:rsidR="009A0703" w:rsidRPr="006546A0" w:rsidRDefault="009A0703" w:rsidP="009A0703">
      <w:pPr>
        <w:spacing w:after="0" w:line="240" w:lineRule="auto"/>
        <w:contextualSpacing/>
        <w:jc w:val="both"/>
        <w:rPr>
          <w:rFonts w:ascii="Times New Roman" w:eastAsia="Calibri" w:hAnsi="Times New Roman" w:cs="Times New Roman"/>
          <w:b/>
          <w:bCs/>
          <w:kern w:val="0"/>
          <w:sz w:val="28"/>
          <w:szCs w:val="28"/>
          <w:lang w:val="en-GB"/>
          <w14:ligatures w14:val="none"/>
        </w:rPr>
      </w:pPr>
    </w:p>
    <w:p w14:paraId="5841B8D3" w14:textId="77777777" w:rsidR="009A0703" w:rsidRPr="006546A0" w:rsidRDefault="009A0703" w:rsidP="00DD571F">
      <w:pPr>
        <w:spacing w:after="100" w:afterAutospacing="1" w:line="240" w:lineRule="auto"/>
        <w:ind w:right="113"/>
        <w:contextualSpacing/>
        <w:jc w:val="both"/>
        <w:rPr>
          <w:rFonts w:ascii="Times New Roman" w:eastAsia="Calibri" w:hAnsi="Times New Roman" w:cs="Times New Roman"/>
          <w:kern w:val="0"/>
          <w:sz w:val="28"/>
          <w:szCs w:val="28"/>
          <w:lang w:val="en-GB"/>
          <w14:ligatures w14:val="none"/>
        </w:rPr>
      </w:pPr>
      <w:r w:rsidRPr="006546A0">
        <w:rPr>
          <w:rFonts w:ascii="Times New Roman" w:eastAsia="Calibri" w:hAnsi="Times New Roman" w:cs="Times New Roman"/>
          <w:noProof/>
          <w:kern w:val="0"/>
          <w:sz w:val="28"/>
          <w:szCs w:val="28"/>
          <w:lang w:eastAsia="en-ZA"/>
          <w14:ligatures w14:val="none"/>
        </w:rPr>
        <mc:AlternateContent>
          <mc:Choice Requires="wps">
            <w:drawing>
              <wp:anchor distT="0" distB="0" distL="114300" distR="114300" simplePos="0" relativeHeight="251674624" behindDoc="0" locked="0" layoutInCell="1" allowOverlap="1" wp14:anchorId="5EE77991" wp14:editId="21AB16BE">
                <wp:simplePos x="0" y="0"/>
                <wp:positionH relativeFrom="column">
                  <wp:posOffset>0</wp:posOffset>
                </wp:positionH>
                <wp:positionV relativeFrom="paragraph">
                  <wp:posOffset>96796</wp:posOffset>
                </wp:positionV>
                <wp:extent cx="5923694" cy="0"/>
                <wp:effectExtent l="0" t="0" r="2032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694" cy="0"/>
                        </a:xfrm>
                        <a:prstGeom prst="line">
                          <a:avLst/>
                        </a:prstGeom>
                        <a:noFill/>
                        <a:ln w="9525">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CDED2B2" id="Straight Connector 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pt" to="466.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"/>
            </w:pict>
          </mc:Fallback>
        </mc:AlternateContent>
      </w:r>
    </w:p>
    <w:p w14:paraId="1C4ED77E" w14:textId="77777777" w:rsidR="00C718D4" w:rsidRPr="006546A0" w:rsidRDefault="00C718D4" w:rsidP="00FB0FE3">
      <w:pPr>
        <w:spacing w:after="0" w:line="360" w:lineRule="auto"/>
        <w:jc w:val="both"/>
        <w:rPr>
          <w:rFonts w:ascii="Times New Roman" w:eastAsia="Arial" w:hAnsi="Times New Roman" w:cs="Times New Roman"/>
          <w:b/>
          <w:sz w:val="28"/>
          <w:szCs w:val="28"/>
          <w:lang w:eastAsia="en-ZA"/>
        </w:rPr>
      </w:pPr>
    </w:p>
    <w:p w14:paraId="47A6F406" w14:textId="64A977B6" w:rsidR="00A94668" w:rsidRPr="006546A0" w:rsidRDefault="001F18BD" w:rsidP="00DD571F">
      <w:pPr>
        <w:spacing w:after="240" w:line="360" w:lineRule="auto"/>
        <w:jc w:val="both"/>
        <w:rPr>
          <w:rFonts w:ascii="Times New Roman" w:eastAsia="Arial" w:hAnsi="Times New Roman" w:cs="Times New Roman"/>
          <w:b/>
          <w:sz w:val="28"/>
          <w:szCs w:val="28"/>
          <w:lang w:eastAsia="en-ZA"/>
        </w:rPr>
      </w:pPr>
      <w:r w:rsidRPr="006546A0">
        <w:rPr>
          <w:rFonts w:ascii="Times New Roman" w:eastAsia="Arial" w:hAnsi="Times New Roman" w:cs="Times New Roman"/>
          <w:b/>
          <w:sz w:val="28"/>
          <w:szCs w:val="28"/>
          <w:lang w:eastAsia="en-ZA"/>
        </w:rPr>
        <w:t xml:space="preserve">Goosen </w:t>
      </w:r>
      <w:r w:rsidR="00265030" w:rsidRPr="006546A0">
        <w:rPr>
          <w:rFonts w:ascii="Times New Roman" w:eastAsia="Arial" w:hAnsi="Times New Roman" w:cs="Times New Roman"/>
          <w:b/>
          <w:sz w:val="28"/>
          <w:szCs w:val="28"/>
          <w:lang w:eastAsia="en-ZA"/>
        </w:rPr>
        <w:t>JA (</w:t>
      </w:r>
      <w:r w:rsidR="00105A13" w:rsidRPr="006546A0">
        <w:rPr>
          <w:rFonts w:ascii="Times New Roman" w:eastAsia="Arial" w:hAnsi="Times New Roman" w:cs="Times New Roman"/>
          <w:b/>
          <w:sz w:val="28"/>
          <w:szCs w:val="28"/>
          <w:lang w:eastAsia="en-ZA"/>
        </w:rPr>
        <w:t>Gorven and Matojane JJA</w:t>
      </w:r>
      <w:r w:rsidR="003A09BD" w:rsidRPr="006546A0">
        <w:rPr>
          <w:rFonts w:ascii="Times New Roman" w:eastAsia="Arial" w:hAnsi="Times New Roman" w:cs="Times New Roman"/>
          <w:b/>
          <w:sz w:val="28"/>
          <w:szCs w:val="28"/>
          <w:lang w:eastAsia="en-ZA"/>
        </w:rPr>
        <w:t xml:space="preserve"> </w:t>
      </w:r>
      <w:r w:rsidR="002B7B52" w:rsidRPr="006546A0">
        <w:rPr>
          <w:rFonts w:ascii="Times New Roman" w:eastAsia="Arial" w:hAnsi="Times New Roman" w:cs="Times New Roman"/>
          <w:b/>
          <w:sz w:val="28"/>
          <w:szCs w:val="28"/>
          <w:lang w:eastAsia="en-ZA"/>
        </w:rPr>
        <w:t>concurring</w:t>
      </w:r>
      <w:r w:rsidRPr="006546A0">
        <w:rPr>
          <w:rFonts w:ascii="Times New Roman" w:eastAsia="Arial" w:hAnsi="Times New Roman" w:cs="Times New Roman"/>
          <w:b/>
          <w:sz w:val="28"/>
          <w:szCs w:val="28"/>
          <w:lang w:eastAsia="en-ZA"/>
        </w:rPr>
        <w:t>)</w:t>
      </w:r>
      <w:r w:rsidR="0049294A" w:rsidRPr="006546A0">
        <w:rPr>
          <w:rFonts w:ascii="Times New Roman" w:eastAsia="Arial" w:hAnsi="Times New Roman" w:cs="Times New Roman"/>
          <w:b/>
          <w:sz w:val="28"/>
          <w:szCs w:val="28"/>
          <w:lang w:eastAsia="en-ZA"/>
        </w:rPr>
        <w:t>:</w:t>
      </w:r>
    </w:p>
    <w:p w14:paraId="61479B47" w14:textId="1DFEAE3E" w:rsidR="00C9555B" w:rsidRPr="00876F97" w:rsidRDefault="00876F97" w:rsidP="00876F97">
      <w:pPr>
        <w:spacing w:after="0" w:line="360" w:lineRule="auto"/>
        <w:jc w:val="both"/>
        <w:rPr>
          <w:rFonts w:ascii="Times New Roman" w:eastAsia="Arial" w:hAnsi="Times New Roman" w:cs="Times New Roman"/>
          <w:sz w:val="28"/>
          <w:szCs w:val="28"/>
          <w:lang w:eastAsia="en-ZA"/>
        </w:rPr>
      </w:pPr>
      <w:r w:rsidRPr="006546A0">
        <w:rPr>
          <w:rFonts w:ascii="Times New Roman" w:eastAsia="Arial" w:hAnsi="Times New Roman" w:cs="Times New Roman"/>
          <w:sz w:val="28"/>
          <w:szCs w:val="28"/>
          <w:lang w:eastAsia="en-ZA"/>
        </w:rPr>
        <w:t>[1]</w:t>
      </w:r>
      <w:r w:rsidRPr="006546A0">
        <w:rPr>
          <w:rFonts w:ascii="Times New Roman" w:eastAsia="Arial" w:hAnsi="Times New Roman" w:cs="Times New Roman"/>
          <w:sz w:val="28"/>
          <w:szCs w:val="28"/>
          <w:lang w:eastAsia="en-ZA"/>
        </w:rPr>
        <w:tab/>
      </w:r>
      <w:r w:rsidR="001F18BD" w:rsidRPr="00876F97">
        <w:rPr>
          <w:rFonts w:ascii="Times New Roman" w:hAnsi="Times New Roman" w:cs="Times New Roman"/>
          <w:sz w:val="28"/>
          <w:szCs w:val="28"/>
          <w:lang w:val="en-GB"/>
        </w:rPr>
        <w:t>Th</w:t>
      </w:r>
      <w:r w:rsidR="005065AA" w:rsidRPr="00876F97">
        <w:rPr>
          <w:rFonts w:ascii="Times New Roman" w:hAnsi="Times New Roman" w:cs="Times New Roman"/>
          <w:sz w:val="28"/>
          <w:szCs w:val="28"/>
          <w:lang w:val="en-GB"/>
        </w:rPr>
        <w:t>e Community Property Company (Pty) Ltd (CPC)</w:t>
      </w:r>
      <w:r w:rsidR="00370A0A" w:rsidRPr="00876F97">
        <w:rPr>
          <w:rFonts w:ascii="Times New Roman" w:hAnsi="Times New Roman" w:cs="Times New Roman"/>
          <w:sz w:val="28"/>
          <w:szCs w:val="28"/>
          <w:lang w:val="en-GB"/>
        </w:rPr>
        <w:t xml:space="preserve">, </w:t>
      </w:r>
      <w:r w:rsidR="005065AA" w:rsidRPr="00876F97">
        <w:rPr>
          <w:rFonts w:ascii="Times New Roman" w:hAnsi="Times New Roman" w:cs="Times New Roman"/>
          <w:sz w:val="28"/>
          <w:szCs w:val="28"/>
          <w:lang w:val="en-GB"/>
        </w:rPr>
        <w:t xml:space="preserve">brought an application in the KwaZulu-Natal Division of the High Court, Durban (the high court) in which it claimed </w:t>
      </w:r>
      <w:r w:rsidR="00370A0A" w:rsidRPr="00876F97">
        <w:rPr>
          <w:rFonts w:ascii="Times New Roman" w:hAnsi="Times New Roman" w:cs="Times New Roman"/>
          <w:sz w:val="28"/>
          <w:szCs w:val="28"/>
          <w:lang w:val="en-GB"/>
        </w:rPr>
        <w:t xml:space="preserve">re-imbursement </w:t>
      </w:r>
      <w:r w:rsidR="005065AA" w:rsidRPr="00876F97">
        <w:rPr>
          <w:rFonts w:ascii="Times New Roman" w:hAnsi="Times New Roman" w:cs="Times New Roman"/>
          <w:sz w:val="28"/>
          <w:szCs w:val="28"/>
          <w:lang w:val="en-GB"/>
        </w:rPr>
        <w:t xml:space="preserve">by the Passenger Rail Agency of South Africa (PRASA), </w:t>
      </w:r>
      <w:r w:rsidR="00370A0A" w:rsidRPr="00876F97">
        <w:rPr>
          <w:rFonts w:ascii="Times New Roman" w:hAnsi="Times New Roman" w:cs="Times New Roman"/>
          <w:sz w:val="28"/>
          <w:szCs w:val="28"/>
          <w:lang w:val="en-GB"/>
        </w:rPr>
        <w:t xml:space="preserve">of approximately R3,2 million CPC had paid to settle amounts due to the </w:t>
      </w:r>
      <w:r w:rsidR="00C16C08" w:rsidRPr="00876F97">
        <w:rPr>
          <w:rFonts w:ascii="Times New Roman" w:hAnsi="Times New Roman" w:cs="Times New Roman"/>
          <w:sz w:val="28"/>
          <w:szCs w:val="28"/>
          <w:lang w:val="en-GB"/>
        </w:rPr>
        <w:t>eT</w:t>
      </w:r>
      <w:r w:rsidR="00370A0A" w:rsidRPr="00876F97">
        <w:rPr>
          <w:rFonts w:ascii="Times New Roman" w:hAnsi="Times New Roman" w:cs="Times New Roman"/>
          <w:sz w:val="28"/>
          <w:szCs w:val="28"/>
          <w:lang w:val="en-GB"/>
        </w:rPr>
        <w:t>hekwini Municipality (</w:t>
      </w:r>
      <w:r w:rsidR="00C16C08" w:rsidRPr="00876F97">
        <w:rPr>
          <w:rFonts w:ascii="Times New Roman" w:hAnsi="Times New Roman" w:cs="Times New Roman"/>
          <w:sz w:val="28"/>
          <w:szCs w:val="28"/>
          <w:lang w:val="en-GB"/>
        </w:rPr>
        <w:t>eT</w:t>
      </w:r>
      <w:r w:rsidR="00370A0A" w:rsidRPr="00876F97">
        <w:rPr>
          <w:rFonts w:ascii="Times New Roman" w:hAnsi="Times New Roman" w:cs="Times New Roman"/>
          <w:sz w:val="28"/>
          <w:szCs w:val="28"/>
          <w:lang w:val="en-GB"/>
        </w:rPr>
        <w:t>hekwini) for electricity consumed by PRASA</w:t>
      </w:r>
      <w:r w:rsidR="005065AA" w:rsidRPr="00876F97">
        <w:rPr>
          <w:rFonts w:ascii="Times New Roman" w:hAnsi="Times New Roman" w:cs="Times New Roman"/>
          <w:sz w:val="28"/>
          <w:szCs w:val="28"/>
          <w:lang w:val="en-GB"/>
        </w:rPr>
        <w:t>.</w:t>
      </w:r>
      <w:r w:rsidR="00F0756D" w:rsidRPr="006546A0">
        <w:rPr>
          <w:rStyle w:val="FootnoteReference"/>
          <w:rFonts w:ascii="Times New Roman" w:hAnsi="Times New Roman" w:cs="Times New Roman"/>
          <w:sz w:val="28"/>
          <w:szCs w:val="28"/>
          <w:lang w:val="en-GB"/>
        </w:rPr>
        <w:footnoteReference w:id="1"/>
      </w:r>
      <w:r w:rsidR="005065AA" w:rsidRPr="00876F97">
        <w:rPr>
          <w:rFonts w:ascii="Times New Roman" w:hAnsi="Times New Roman" w:cs="Times New Roman"/>
          <w:sz w:val="28"/>
          <w:szCs w:val="28"/>
          <w:lang w:val="en-GB"/>
        </w:rPr>
        <w:t xml:space="preserve"> The claim</w:t>
      </w:r>
      <w:r w:rsidR="00CC56CE" w:rsidRPr="00876F97">
        <w:rPr>
          <w:rFonts w:ascii="Times New Roman" w:hAnsi="Times New Roman" w:cs="Times New Roman"/>
          <w:sz w:val="28"/>
          <w:szCs w:val="28"/>
          <w:lang w:val="en-GB"/>
        </w:rPr>
        <w:t xml:space="preserve"> was</w:t>
      </w:r>
      <w:r w:rsidR="00751259" w:rsidRPr="00876F97">
        <w:rPr>
          <w:rFonts w:ascii="Times New Roman" w:hAnsi="Times New Roman" w:cs="Times New Roman"/>
          <w:sz w:val="28"/>
          <w:szCs w:val="28"/>
          <w:lang w:val="en-GB"/>
        </w:rPr>
        <w:t xml:space="preserve"> based on </w:t>
      </w:r>
      <w:r w:rsidR="00CC56CE" w:rsidRPr="00876F97">
        <w:rPr>
          <w:rFonts w:ascii="Times New Roman" w:hAnsi="Times New Roman" w:cs="Times New Roman"/>
          <w:sz w:val="28"/>
          <w:szCs w:val="28"/>
          <w:lang w:val="en-GB"/>
        </w:rPr>
        <w:t xml:space="preserve">an alleged </w:t>
      </w:r>
      <w:r w:rsidR="00751259" w:rsidRPr="00876F97">
        <w:rPr>
          <w:rFonts w:ascii="Times New Roman" w:hAnsi="Times New Roman" w:cs="Times New Roman"/>
          <w:sz w:val="28"/>
          <w:szCs w:val="28"/>
          <w:lang w:val="en-GB"/>
        </w:rPr>
        <w:t>contract</w:t>
      </w:r>
      <w:r w:rsidR="00CC56CE" w:rsidRPr="00876F97">
        <w:rPr>
          <w:rFonts w:ascii="Times New Roman" w:hAnsi="Times New Roman" w:cs="Times New Roman"/>
          <w:sz w:val="28"/>
          <w:szCs w:val="28"/>
          <w:lang w:val="en-GB"/>
        </w:rPr>
        <w:t xml:space="preserve"> between CPC and PRASA.</w:t>
      </w:r>
      <w:r w:rsidR="00751259" w:rsidRPr="00876F97">
        <w:rPr>
          <w:rFonts w:ascii="Times New Roman" w:hAnsi="Times New Roman" w:cs="Times New Roman"/>
          <w:sz w:val="28"/>
          <w:szCs w:val="28"/>
          <w:lang w:val="en-GB"/>
        </w:rPr>
        <w:t xml:space="preserve"> </w:t>
      </w:r>
      <w:r w:rsidR="00CC56CE" w:rsidRPr="00876F97">
        <w:rPr>
          <w:rFonts w:ascii="Times New Roman" w:hAnsi="Times New Roman" w:cs="Times New Roman"/>
          <w:sz w:val="28"/>
          <w:szCs w:val="28"/>
          <w:lang w:val="en-GB"/>
        </w:rPr>
        <w:t xml:space="preserve">In an alternative claim, </w:t>
      </w:r>
      <w:r w:rsidR="00751259" w:rsidRPr="00876F97">
        <w:rPr>
          <w:rFonts w:ascii="Times New Roman" w:hAnsi="Times New Roman" w:cs="Times New Roman"/>
          <w:sz w:val="28"/>
          <w:szCs w:val="28"/>
          <w:lang w:val="en-GB"/>
        </w:rPr>
        <w:t xml:space="preserve">CPC </w:t>
      </w:r>
      <w:r w:rsidR="00CC56CE" w:rsidRPr="00876F97">
        <w:rPr>
          <w:rFonts w:ascii="Times New Roman" w:hAnsi="Times New Roman" w:cs="Times New Roman"/>
          <w:sz w:val="28"/>
          <w:szCs w:val="28"/>
          <w:lang w:val="en-GB"/>
        </w:rPr>
        <w:t>relied</w:t>
      </w:r>
      <w:r w:rsidR="00751259" w:rsidRPr="00876F97">
        <w:rPr>
          <w:rFonts w:ascii="Times New Roman" w:hAnsi="Times New Roman" w:cs="Times New Roman"/>
          <w:sz w:val="28"/>
          <w:szCs w:val="28"/>
          <w:lang w:val="en-GB"/>
        </w:rPr>
        <w:t xml:space="preserve"> upon </w:t>
      </w:r>
      <w:r w:rsidR="00CC56CE" w:rsidRPr="00876F97">
        <w:rPr>
          <w:rFonts w:ascii="Times New Roman" w:hAnsi="Times New Roman" w:cs="Times New Roman"/>
          <w:sz w:val="28"/>
          <w:szCs w:val="28"/>
          <w:lang w:val="en-GB"/>
        </w:rPr>
        <w:t xml:space="preserve">the </w:t>
      </w:r>
      <w:r w:rsidR="00751259" w:rsidRPr="00876F97">
        <w:rPr>
          <w:rFonts w:ascii="Times New Roman" w:hAnsi="Times New Roman" w:cs="Times New Roman"/>
          <w:sz w:val="28"/>
          <w:szCs w:val="28"/>
          <w:lang w:val="en-GB"/>
        </w:rPr>
        <w:t>unjustified enrichment</w:t>
      </w:r>
      <w:r w:rsidR="00CC56CE" w:rsidRPr="00876F97">
        <w:rPr>
          <w:rFonts w:ascii="Times New Roman" w:hAnsi="Times New Roman" w:cs="Times New Roman"/>
          <w:sz w:val="28"/>
          <w:szCs w:val="28"/>
          <w:lang w:val="en-GB"/>
        </w:rPr>
        <w:t xml:space="preserve"> of PRASA at CPC’s expense.</w:t>
      </w:r>
    </w:p>
    <w:p w14:paraId="32784D9F" w14:textId="77777777" w:rsidR="008A4E5F" w:rsidRPr="006546A0" w:rsidRDefault="008A4E5F" w:rsidP="008A4E5F">
      <w:pPr>
        <w:pStyle w:val="ListParagraph"/>
        <w:spacing w:after="0" w:line="360" w:lineRule="auto"/>
        <w:ind w:left="0"/>
        <w:jc w:val="both"/>
        <w:rPr>
          <w:rFonts w:ascii="Times New Roman" w:eastAsia="Arial" w:hAnsi="Times New Roman" w:cs="Times New Roman"/>
          <w:sz w:val="28"/>
          <w:szCs w:val="28"/>
          <w:lang w:eastAsia="en-ZA"/>
        </w:rPr>
      </w:pPr>
    </w:p>
    <w:p w14:paraId="46185C62" w14:textId="4832E50D" w:rsidR="008A4E5F" w:rsidRPr="00876F97" w:rsidRDefault="00876F97" w:rsidP="00876F97">
      <w:pPr>
        <w:spacing w:after="0" w:line="360" w:lineRule="auto"/>
        <w:jc w:val="both"/>
        <w:rPr>
          <w:rFonts w:ascii="Times New Roman" w:eastAsia="Arial" w:hAnsi="Times New Roman" w:cs="Times New Roman"/>
          <w:sz w:val="28"/>
          <w:szCs w:val="28"/>
          <w:lang w:eastAsia="en-ZA"/>
        </w:rPr>
      </w:pPr>
      <w:r w:rsidRPr="006546A0">
        <w:rPr>
          <w:rFonts w:ascii="Times New Roman" w:eastAsia="Arial" w:hAnsi="Times New Roman" w:cs="Times New Roman"/>
          <w:sz w:val="28"/>
          <w:szCs w:val="28"/>
          <w:lang w:eastAsia="en-ZA"/>
        </w:rPr>
        <w:lastRenderedPageBreak/>
        <w:t>[2]</w:t>
      </w:r>
      <w:r w:rsidRPr="006546A0">
        <w:rPr>
          <w:rFonts w:ascii="Times New Roman" w:eastAsia="Arial" w:hAnsi="Times New Roman" w:cs="Times New Roman"/>
          <w:sz w:val="28"/>
          <w:szCs w:val="28"/>
          <w:lang w:eastAsia="en-ZA"/>
        </w:rPr>
        <w:tab/>
      </w:r>
      <w:r w:rsidR="008A4E5F" w:rsidRPr="00876F97">
        <w:rPr>
          <w:rFonts w:ascii="Times New Roman" w:hAnsi="Times New Roman" w:cs="Times New Roman"/>
          <w:sz w:val="28"/>
          <w:szCs w:val="28"/>
          <w:lang w:val="en-GB"/>
        </w:rPr>
        <w:t>The high court</w:t>
      </w:r>
      <w:r w:rsidR="004A1E9E" w:rsidRPr="00876F97">
        <w:rPr>
          <w:rFonts w:ascii="Times New Roman" w:hAnsi="Times New Roman" w:cs="Times New Roman"/>
          <w:sz w:val="28"/>
          <w:szCs w:val="28"/>
          <w:lang w:val="en-GB"/>
        </w:rPr>
        <w:t>, per Sibiya J,</w:t>
      </w:r>
      <w:r w:rsidR="008A4E5F" w:rsidRPr="00876F97">
        <w:rPr>
          <w:rFonts w:ascii="Times New Roman" w:hAnsi="Times New Roman" w:cs="Times New Roman"/>
          <w:sz w:val="28"/>
          <w:szCs w:val="28"/>
          <w:lang w:val="en-GB"/>
        </w:rPr>
        <w:t xml:space="preserve"> found in favour of CPC on its contractual claim. It found, however, that </w:t>
      </w:r>
      <w:r w:rsidR="00CC56CE" w:rsidRPr="00876F97">
        <w:rPr>
          <w:rFonts w:ascii="Times New Roman" w:hAnsi="Times New Roman" w:cs="Times New Roman"/>
          <w:sz w:val="28"/>
          <w:szCs w:val="28"/>
          <w:lang w:val="en-GB"/>
        </w:rPr>
        <w:t xml:space="preserve">the </w:t>
      </w:r>
      <w:r w:rsidR="008A4E5F" w:rsidRPr="00876F97">
        <w:rPr>
          <w:rFonts w:ascii="Times New Roman" w:hAnsi="Times New Roman" w:cs="Times New Roman"/>
          <w:sz w:val="28"/>
          <w:szCs w:val="28"/>
          <w:lang w:val="en-GB"/>
        </w:rPr>
        <w:t>claim for</w:t>
      </w:r>
      <w:r w:rsidR="00CC56CE" w:rsidRPr="00876F97">
        <w:rPr>
          <w:rFonts w:ascii="Times New Roman" w:hAnsi="Times New Roman" w:cs="Times New Roman"/>
          <w:sz w:val="28"/>
          <w:szCs w:val="28"/>
          <w:lang w:val="en-GB"/>
        </w:rPr>
        <w:t xml:space="preserve"> the amounts accrued between </w:t>
      </w:r>
      <w:r w:rsidR="008A4E5F" w:rsidRPr="00876F97">
        <w:rPr>
          <w:rFonts w:ascii="Times New Roman" w:hAnsi="Times New Roman" w:cs="Times New Roman"/>
          <w:sz w:val="28"/>
          <w:szCs w:val="28"/>
          <w:lang w:val="en-GB"/>
        </w:rPr>
        <w:t xml:space="preserve">October 2013 </w:t>
      </w:r>
      <w:r w:rsidR="00CC56CE" w:rsidRPr="00876F97">
        <w:rPr>
          <w:rFonts w:ascii="Times New Roman" w:hAnsi="Times New Roman" w:cs="Times New Roman"/>
          <w:sz w:val="28"/>
          <w:szCs w:val="28"/>
          <w:lang w:val="en-GB"/>
        </w:rPr>
        <w:t xml:space="preserve">and </w:t>
      </w:r>
      <w:r w:rsidR="008A4E5F" w:rsidRPr="00876F97">
        <w:rPr>
          <w:rFonts w:ascii="Times New Roman" w:hAnsi="Times New Roman" w:cs="Times New Roman"/>
          <w:sz w:val="28"/>
          <w:szCs w:val="28"/>
          <w:lang w:val="en-GB"/>
        </w:rPr>
        <w:t xml:space="preserve">June 2014 had prescribed. It ordered PRASA to pay an amount of R2 607 472.05, together with interest and 75% of CPC’s costs. The appeal is with the leave of the high court. </w:t>
      </w:r>
    </w:p>
    <w:p w14:paraId="0B9CBA2E" w14:textId="77777777" w:rsidR="0027339F" w:rsidRPr="006546A0" w:rsidRDefault="0027339F" w:rsidP="0027339F">
      <w:pPr>
        <w:pStyle w:val="ListParagraph"/>
        <w:spacing w:after="0" w:line="360" w:lineRule="auto"/>
        <w:ind w:left="0"/>
        <w:jc w:val="both"/>
        <w:rPr>
          <w:rFonts w:ascii="Times New Roman" w:eastAsia="Arial" w:hAnsi="Times New Roman" w:cs="Times New Roman"/>
          <w:sz w:val="28"/>
          <w:szCs w:val="28"/>
          <w:lang w:eastAsia="en-ZA"/>
        </w:rPr>
      </w:pPr>
    </w:p>
    <w:p w14:paraId="40D97ED2" w14:textId="1C168C0F" w:rsidR="008A4E5F" w:rsidRPr="006546A0" w:rsidRDefault="008A4E5F" w:rsidP="008A4E5F">
      <w:pPr>
        <w:rPr>
          <w:rFonts w:ascii="Times New Roman" w:eastAsia="Arial" w:hAnsi="Times New Roman" w:cs="Times New Roman"/>
          <w:b/>
          <w:bCs/>
          <w:sz w:val="28"/>
          <w:szCs w:val="28"/>
          <w:lang w:eastAsia="en-ZA"/>
        </w:rPr>
      </w:pPr>
      <w:r w:rsidRPr="006546A0">
        <w:rPr>
          <w:rFonts w:ascii="Times New Roman" w:eastAsia="Arial" w:hAnsi="Times New Roman" w:cs="Times New Roman"/>
          <w:b/>
          <w:bCs/>
          <w:sz w:val="28"/>
          <w:szCs w:val="28"/>
          <w:lang w:eastAsia="en-ZA"/>
        </w:rPr>
        <w:t>Background</w:t>
      </w:r>
    </w:p>
    <w:p w14:paraId="0B21A3D5" w14:textId="498DD464" w:rsidR="00035E39" w:rsidRPr="00876F97" w:rsidRDefault="00876F97" w:rsidP="00876F97">
      <w:pPr>
        <w:spacing w:after="0" w:line="360" w:lineRule="auto"/>
        <w:jc w:val="both"/>
        <w:rPr>
          <w:rFonts w:ascii="Times New Roman" w:eastAsia="Arial" w:hAnsi="Times New Roman" w:cs="Times New Roman"/>
          <w:sz w:val="28"/>
          <w:szCs w:val="28"/>
          <w:lang w:eastAsia="en-ZA"/>
        </w:rPr>
      </w:pPr>
      <w:r w:rsidRPr="006546A0">
        <w:rPr>
          <w:rFonts w:ascii="Times New Roman" w:eastAsia="Arial" w:hAnsi="Times New Roman" w:cs="Times New Roman"/>
          <w:sz w:val="28"/>
          <w:szCs w:val="28"/>
          <w:lang w:eastAsia="en-ZA"/>
        </w:rPr>
        <w:t>[3]</w:t>
      </w:r>
      <w:r w:rsidRPr="006546A0">
        <w:rPr>
          <w:rFonts w:ascii="Times New Roman" w:eastAsia="Arial" w:hAnsi="Times New Roman" w:cs="Times New Roman"/>
          <w:sz w:val="28"/>
          <w:szCs w:val="28"/>
          <w:lang w:eastAsia="en-ZA"/>
        </w:rPr>
        <w:tab/>
      </w:r>
      <w:r w:rsidR="00C34287" w:rsidRPr="00876F97">
        <w:rPr>
          <w:rFonts w:ascii="Times New Roman" w:eastAsia="Arial" w:hAnsi="Times New Roman" w:cs="Times New Roman"/>
          <w:sz w:val="28"/>
          <w:szCs w:val="28"/>
          <w:lang w:eastAsia="en-ZA"/>
        </w:rPr>
        <w:t xml:space="preserve">During 2007, </w:t>
      </w:r>
      <w:r w:rsidR="00272529" w:rsidRPr="00876F97">
        <w:rPr>
          <w:rFonts w:ascii="Times New Roman" w:eastAsia="Arial" w:hAnsi="Times New Roman" w:cs="Times New Roman"/>
          <w:sz w:val="28"/>
          <w:szCs w:val="28"/>
          <w:lang w:eastAsia="en-ZA"/>
        </w:rPr>
        <w:t>Crowie</w:t>
      </w:r>
      <w:r w:rsidR="00185576" w:rsidRPr="00876F97">
        <w:rPr>
          <w:rFonts w:ascii="Times New Roman" w:eastAsia="Arial" w:hAnsi="Times New Roman" w:cs="Times New Roman"/>
          <w:sz w:val="28"/>
          <w:szCs w:val="28"/>
          <w:lang w:eastAsia="en-ZA"/>
        </w:rPr>
        <w:t xml:space="preserve"> Projects</w:t>
      </w:r>
      <w:r w:rsidR="00CC56CE" w:rsidRPr="00876F97">
        <w:rPr>
          <w:rFonts w:ascii="Times New Roman" w:eastAsia="Arial" w:hAnsi="Times New Roman" w:cs="Times New Roman"/>
          <w:sz w:val="28"/>
          <w:szCs w:val="28"/>
          <w:lang w:eastAsia="en-ZA"/>
        </w:rPr>
        <w:t xml:space="preserve"> (Pty) Ltd (Crowie Projects)</w:t>
      </w:r>
      <w:r w:rsidR="00C34287" w:rsidRPr="00876F97">
        <w:rPr>
          <w:rFonts w:ascii="Times New Roman" w:eastAsia="Arial" w:hAnsi="Times New Roman" w:cs="Times New Roman"/>
          <w:sz w:val="28"/>
          <w:szCs w:val="28"/>
          <w:lang w:eastAsia="en-ZA"/>
        </w:rPr>
        <w:t xml:space="preserve">, </w:t>
      </w:r>
      <w:r w:rsidR="00CC56CE" w:rsidRPr="00876F97">
        <w:rPr>
          <w:rFonts w:ascii="Times New Roman" w:eastAsia="Arial" w:hAnsi="Times New Roman" w:cs="Times New Roman"/>
          <w:sz w:val="28"/>
          <w:szCs w:val="28"/>
          <w:lang w:eastAsia="en-ZA"/>
        </w:rPr>
        <w:t>a</w:t>
      </w:r>
      <w:r w:rsidR="00C34287" w:rsidRPr="00876F97">
        <w:rPr>
          <w:rFonts w:ascii="Times New Roman" w:eastAsia="Arial" w:hAnsi="Times New Roman" w:cs="Times New Roman"/>
          <w:sz w:val="28"/>
          <w:szCs w:val="28"/>
          <w:lang w:eastAsia="en-ZA"/>
        </w:rPr>
        <w:t xml:space="preserve"> property development company</w:t>
      </w:r>
      <w:r w:rsidR="00CC56CE" w:rsidRPr="00876F97">
        <w:rPr>
          <w:rFonts w:ascii="Times New Roman" w:eastAsia="Arial" w:hAnsi="Times New Roman" w:cs="Times New Roman"/>
          <w:sz w:val="28"/>
          <w:szCs w:val="28"/>
          <w:lang w:eastAsia="en-ZA"/>
        </w:rPr>
        <w:t>,</w:t>
      </w:r>
      <w:r w:rsidR="00C34287" w:rsidRPr="00876F97">
        <w:rPr>
          <w:rFonts w:ascii="Times New Roman" w:eastAsia="Arial" w:hAnsi="Times New Roman" w:cs="Times New Roman"/>
          <w:sz w:val="28"/>
          <w:szCs w:val="28"/>
          <w:lang w:eastAsia="en-ZA"/>
        </w:rPr>
        <w:t xml:space="preserve"> entered into a joint venture agreement with </w:t>
      </w:r>
      <w:r w:rsidR="00C16C08" w:rsidRPr="00876F97">
        <w:rPr>
          <w:rFonts w:ascii="Times New Roman" w:eastAsia="Arial" w:hAnsi="Times New Roman" w:cs="Times New Roman"/>
          <w:sz w:val="28"/>
          <w:szCs w:val="28"/>
          <w:lang w:eastAsia="en-ZA"/>
        </w:rPr>
        <w:t>eThekwini</w:t>
      </w:r>
      <w:r w:rsidR="00C34287" w:rsidRPr="00876F97">
        <w:rPr>
          <w:rFonts w:ascii="Times New Roman" w:eastAsia="Arial" w:hAnsi="Times New Roman" w:cs="Times New Roman"/>
          <w:sz w:val="28"/>
          <w:szCs w:val="28"/>
          <w:lang w:eastAsia="en-ZA"/>
        </w:rPr>
        <w:t xml:space="preserve"> to develop </w:t>
      </w:r>
      <w:r w:rsidR="00A66772" w:rsidRPr="00876F97">
        <w:rPr>
          <w:rFonts w:ascii="Times New Roman" w:eastAsia="Arial" w:hAnsi="Times New Roman" w:cs="Times New Roman"/>
          <w:sz w:val="28"/>
          <w:szCs w:val="28"/>
          <w:lang w:eastAsia="en-ZA"/>
        </w:rPr>
        <w:t xml:space="preserve">a tract of land, owned by </w:t>
      </w:r>
      <w:r w:rsidR="00C16C08" w:rsidRPr="00876F97">
        <w:rPr>
          <w:rFonts w:ascii="Times New Roman" w:eastAsia="Arial" w:hAnsi="Times New Roman" w:cs="Times New Roman"/>
          <w:sz w:val="28"/>
          <w:szCs w:val="28"/>
          <w:lang w:eastAsia="en-ZA"/>
        </w:rPr>
        <w:t>eThekwini</w:t>
      </w:r>
      <w:r w:rsidR="00A66772" w:rsidRPr="00876F97">
        <w:rPr>
          <w:rFonts w:ascii="Times New Roman" w:eastAsia="Arial" w:hAnsi="Times New Roman" w:cs="Times New Roman"/>
          <w:sz w:val="28"/>
          <w:szCs w:val="28"/>
          <w:lang w:eastAsia="en-ZA"/>
        </w:rPr>
        <w:t xml:space="preserve">, in the northern part of Durban. The land </w:t>
      </w:r>
      <w:r w:rsidR="00035E39" w:rsidRPr="00876F97">
        <w:rPr>
          <w:rFonts w:ascii="Times New Roman" w:eastAsia="Arial" w:hAnsi="Times New Roman" w:cs="Times New Roman"/>
          <w:sz w:val="28"/>
          <w:szCs w:val="28"/>
          <w:lang w:eastAsia="en-ZA"/>
        </w:rPr>
        <w:t>was</w:t>
      </w:r>
      <w:r w:rsidR="00A66772" w:rsidRPr="00876F97">
        <w:rPr>
          <w:rFonts w:ascii="Times New Roman" w:eastAsia="Arial" w:hAnsi="Times New Roman" w:cs="Times New Roman"/>
          <w:sz w:val="28"/>
          <w:szCs w:val="28"/>
          <w:lang w:eastAsia="en-ZA"/>
        </w:rPr>
        <w:t xml:space="preserve"> situated approximately 17 </w:t>
      </w:r>
      <w:r w:rsidR="00754851" w:rsidRPr="00876F97">
        <w:rPr>
          <w:rFonts w:ascii="Times New Roman" w:eastAsia="Arial" w:hAnsi="Times New Roman" w:cs="Times New Roman"/>
          <w:sz w:val="28"/>
          <w:szCs w:val="28"/>
          <w:lang w:eastAsia="en-ZA"/>
        </w:rPr>
        <w:t>kilometres</w:t>
      </w:r>
      <w:r w:rsidR="00A66772" w:rsidRPr="00876F97">
        <w:rPr>
          <w:rFonts w:ascii="Times New Roman" w:eastAsia="Arial" w:hAnsi="Times New Roman" w:cs="Times New Roman"/>
          <w:sz w:val="28"/>
          <w:szCs w:val="28"/>
          <w:lang w:eastAsia="en-ZA"/>
        </w:rPr>
        <w:t xml:space="preserve"> from the Durban City Centre, opposite an industrial area and adjacent to the KwaMashu Highway.</w:t>
      </w:r>
    </w:p>
    <w:p w14:paraId="3BCC9D79" w14:textId="72E9B715" w:rsidR="00CC56CE" w:rsidRPr="006546A0" w:rsidRDefault="00A66772" w:rsidP="00035E39">
      <w:pPr>
        <w:pStyle w:val="ListParagraph"/>
        <w:spacing w:after="0" w:line="360" w:lineRule="auto"/>
        <w:ind w:left="0"/>
        <w:jc w:val="both"/>
        <w:rPr>
          <w:rFonts w:ascii="Times New Roman" w:eastAsia="Arial" w:hAnsi="Times New Roman" w:cs="Times New Roman"/>
          <w:sz w:val="28"/>
          <w:szCs w:val="28"/>
          <w:lang w:eastAsia="en-ZA"/>
        </w:rPr>
      </w:pPr>
      <w:r w:rsidRPr="006546A0">
        <w:rPr>
          <w:rFonts w:ascii="Times New Roman" w:eastAsia="Arial" w:hAnsi="Times New Roman" w:cs="Times New Roman"/>
          <w:sz w:val="28"/>
          <w:szCs w:val="28"/>
          <w:lang w:eastAsia="en-ZA"/>
        </w:rPr>
        <w:t xml:space="preserve"> </w:t>
      </w:r>
    </w:p>
    <w:p w14:paraId="358C744A" w14:textId="18697E2E" w:rsidR="00CC56CE" w:rsidRPr="00876F97" w:rsidRDefault="00876F97" w:rsidP="00876F97">
      <w:pPr>
        <w:spacing w:after="0" w:line="360" w:lineRule="auto"/>
        <w:jc w:val="both"/>
        <w:rPr>
          <w:rFonts w:ascii="Times New Roman" w:eastAsia="Arial" w:hAnsi="Times New Roman" w:cs="Times New Roman"/>
          <w:sz w:val="28"/>
          <w:szCs w:val="28"/>
          <w:lang w:eastAsia="en-ZA"/>
        </w:rPr>
      </w:pPr>
      <w:r w:rsidRPr="006546A0">
        <w:rPr>
          <w:rFonts w:ascii="Times New Roman" w:eastAsia="Arial" w:hAnsi="Times New Roman" w:cs="Times New Roman"/>
          <w:sz w:val="28"/>
          <w:szCs w:val="28"/>
          <w:lang w:eastAsia="en-ZA"/>
        </w:rPr>
        <w:t>[4]</w:t>
      </w:r>
      <w:r w:rsidRPr="006546A0">
        <w:rPr>
          <w:rFonts w:ascii="Times New Roman" w:eastAsia="Arial" w:hAnsi="Times New Roman" w:cs="Times New Roman"/>
          <w:sz w:val="28"/>
          <w:szCs w:val="28"/>
          <w:lang w:eastAsia="en-ZA"/>
        </w:rPr>
        <w:tab/>
      </w:r>
      <w:r w:rsidR="00035E39" w:rsidRPr="00876F97">
        <w:rPr>
          <w:rFonts w:ascii="Times New Roman" w:eastAsia="Arial" w:hAnsi="Times New Roman" w:cs="Times New Roman"/>
          <w:sz w:val="28"/>
          <w:szCs w:val="28"/>
          <w:lang w:eastAsia="en-ZA"/>
        </w:rPr>
        <w:t>The development envisaged the construction of an underground railway station, a retail shopping centre, residential apartments and a bus and taxi rank, in what was to be known as the Bridge City precinct. The shopping centre was to be constructed above the underground railway station and the residential apartments above the shopping centre. It was envisaged that the bus and taxi rank would be constructed adjacent to the shopping centre. The development was to take place in phases as a sectional title scheme registered under the Sectional Ti</w:t>
      </w:r>
      <w:r w:rsidR="0035502F" w:rsidRPr="00876F97">
        <w:rPr>
          <w:rFonts w:ascii="Times New Roman" w:eastAsia="Arial" w:hAnsi="Times New Roman" w:cs="Times New Roman"/>
          <w:sz w:val="28"/>
          <w:szCs w:val="28"/>
          <w:lang w:eastAsia="en-ZA"/>
        </w:rPr>
        <w:t>t</w:t>
      </w:r>
      <w:r w:rsidR="00035E39" w:rsidRPr="00876F97">
        <w:rPr>
          <w:rFonts w:ascii="Times New Roman" w:eastAsia="Arial" w:hAnsi="Times New Roman" w:cs="Times New Roman"/>
          <w:sz w:val="28"/>
          <w:szCs w:val="28"/>
          <w:lang w:eastAsia="en-ZA"/>
        </w:rPr>
        <w:t>les Act, 95 of 1996.</w:t>
      </w:r>
    </w:p>
    <w:p w14:paraId="49E7809C" w14:textId="77777777" w:rsidR="00035E39" w:rsidRPr="006546A0" w:rsidRDefault="00035E39" w:rsidP="00035E39">
      <w:pPr>
        <w:pStyle w:val="ListParagraph"/>
        <w:spacing w:after="0" w:line="360" w:lineRule="auto"/>
        <w:ind w:left="0"/>
        <w:jc w:val="both"/>
        <w:rPr>
          <w:rFonts w:ascii="Times New Roman" w:eastAsia="Arial" w:hAnsi="Times New Roman" w:cs="Times New Roman"/>
          <w:sz w:val="28"/>
          <w:szCs w:val="28"/>
          <w:lang w:eastAsia="en-ZA"/>
        </w:rPr>
      </w:pPr>
    </w:p>
    <w:p w14:paraId="0448230B" w14:textId="11A10190" w:rsidR="00F65ED7" w:rsidRPr="00876F97" w:rsidRDefault="00876F97" w:rsidP="00876F97">
      <w:pPr>
        <w:spacing w:after="0" w:line="360" w:lineRule="auto"/>
        <w:jc w:val="both"/>
        <w:rPr>
          <w:rFonts w:ascii="Times New Roman" w:eastAsia="Arial" w:hAnsi="Times New Roman" w:cs="Times New Roman"/>
          <w:sz w:val="28"/>
          <w:szCs w:val="28"/>
          <w:lang w:eastAsia="en-ZA"/>
        </w:rPr>
      </w:pPr>
      <w:r w:rsidRPr="006546A0">
        <w:rPr>
          <w:rFonts w:ascii="Times New Roman" w:eastAsia="Arial" w:hAnsi="Times New Roman" w:cs="Times New Roman"/>
          <w:sz w:val="28"/>
          <w:szCs w:val="28"/>
          <w:lang w:eastAsia="en-ZA"/>
        </w:rPr>
        <w:t>[5]</w:t>
      </w:r>
      <w:r w:rsidRPr="006546A0">
        <w:rPr>
          <w:rFonts w:ascii="Times New Roman" w:eastAsia="Arial" w:hAnsi="Times New Roman" w:cs="Times New Roman"/>
          <w:sz w:val="28"/>
          <w:szCs w:val="28"/>
          <w:lang w:eastAsia="en-ZA"/>
        </w:rPr>
        <w:tab/>
      </w:r>
      <w:r w:rsidR="00272529" w:rsidRPr="00876F97">
        <w:rPr>
          <w:rFonts w:ascii="Times New Roman" w:eastAsia="Arial" w:hAnsi="Times New Roman" w:cs="Times New Roman"/>
          <w:sz w:val="28"/>
          <w:szCs w:val="28"/>
          <w:lang w:eastAsia="en-ZA"/>
        </w:rPr>
        <w:t>Crowie</w:t>
      </w:r>
      <w:r w:rsidR="00185576" w:rsidRPr="00876F97">
        <w:rPr>
          <w:rFonts w:ascii="Times New Roman" w:eastAsia="Arial" w:hAnsi="Times New Roman" w:cs="Times New Roman"/>
          <w:sz w:val="28"/>
          <w:szCs w:val="28"/>
          <w:lang w:eastAsia="en-ZA"/>
        </w:rPr>
        <w:t xml:space="preserve"> Projects</w:t>
      </w:r>
      <w:r w:rsidR="00A66772" w:rsidRPr="00876F97">
        <w:rPr>
          <w:rFonts w:ascii="Times New Roman" w:eastAsia="Arial" w:hAnsi="Times New Roman" w:cs="Times New Roman"/>
          <w:sz w:val="28"/>
          <w:szCs w:val="28"/>
          <w:lang w:eastAsia="en-ZA"/>
        </w:rPr>
        <w:t xml:space="preserve"> </w:t>
      </w:r>
      <w:r w:rsidR="00035E39" w:rsidRPr="00876F97">
        <w:rPr>
          <w:rFonts w:ascii="Times New Roman" w:eastAsia="Arial" w:hAnsi="Times New Roman" w:cs="Times New Roman"/>
          <w:sz w:val="28"/>
          <w:szCs w:val="28"/>
          <w:lang w:eastAsia="en-ZA"/>
        </w:rPr>
        <w:t>purchase</w:t>
      </w:r>
      <w:r w:rsidR="00EC59B8" w:rsidRPr="00876F97">
        <w:rPr>
          <w:rFonts w:ascii="Times New Roman" w:eastAsia="Arial" w:hAnsi="Times New Roman" w:cs="Times New Roman"/>
          <w:sz w:val="28"/>
          <w:szCs w:val="28"/>
          <w:lang w:eastAsia="en-ZA"/>
        </w:rPr>
        <w:t>d</w:t>
      </w:r>
      <w:r w:rsidR="00035E39" w:rsidRPr="00876F97">
        <w:rPr>
          <w:rFonts w:ascii="Times New Roman" w:eastAsia="Arial" w:hAnsi="Times New Roman" w:cs="Times New Roman"/>
          <w:sz w:val="28"/>
          <w:szCs w:val="28"/>
          <w:lang w:eastAsia="en-ZA"/>
        </w:rPr>
        <w:t xml:space="preserve"> two portions of the land from </w:t>
      </w:r>
      <w:r w:rsidR="00C16C08" w:rsidRPr="00876F97">
        <w:rPr>
          <w:rFonts w:ascii="Times New Roman" w:eastAsia="Arial" w:hAnsi="Times New Roman" w:cs="Times New Roman"/>
          <w:sz w:val="28"/>
          <w:szCs w:val="28"/>
          <w:lang w:eastAsia="en-ZA"/>
        </w:rPr>
        <w:t>eT</w:t>
      </w:r>
      <w:r w:rsidR="00A66772" w:rsidRPr="00876F97">
        <w:rPr>
          <w:rFonts w:ascii="Times New Roman" w:eastAsia="Arial" w:hAnsi="Times New Roman" w:cs="Times New Roman"/>
          <w:sz w:val="28"/>
          <w:szCs w:val="28"/>
          <w:lang w:eastAsia="en-ZA"/>
        </w:rPr>
        <w:t>hekwini. The</w:t>
      </w:r>
      <w:r w:rsidR="00035E39" w:rsidRPr="00876F97">
        <w:rPr>
          <w:rFonts w:ascii="Times New Roman" w:eastAsia="Arial" w:hAnsi="Times New Roman" w:cs="Times New Roman"/>
          <w:sz w:val="28"/>
          <w:szCs w:val="28"/>
          <w:lang w:eastAsia="en-ZA"/>
        </w:rPr>
        <w:t>se</w:t>
      </w:r>
      <w:r w:rsidR="00A66772" w:rsidRPr="00876F97">
        <w:rPr>
          <w:rFonts w:ascii="Times New Roman" w:eastAsia="Arial" w:hAnsi="Times New Roman" w:cs="Times New Roman"/>
          <w:sz w:val="28"/>
          <w:szCs w:val="28"/>
          <w:lang w:eastAsia="en-ZA"/>
        </w:rPr>
        <w:t xml:space="preserve"> portions were consolidated as Portion 121 of Erf 8, Bridge City and </w:t>
      </w:r>
      <w:r w:rsidR="00272529" w:rsidRPr="00876F97">
        <w:rPr>
          <w:rFonts w:ascii="Times New Roman" w:eastAsia="Arial" w:hAnsi="Times New Roman" w:cs="Times New Roman"/>
          <w:sz w:val="28"/>
          <w:szCs w:val="28"/>
          <w:lang w:eastAsia="en-ZA"/>
        </w:rPr>
        <w:t>Crowie</w:t>
      </w:r>
      <w:r w:rsidR="00185576" w:rsidRPr="00876F97">
        <w:rPr>
          <w:rFonts w:ascii="Times New Roman" w:eastAsia="Arial" w:hAnsi="Times New Roman" w:cs="Times New Roman"/>
          <w:sz w:val="28"/>
          <w:szCs w:val="28"/>
          <w:lang w:eastAsia="en-ZA"/>
        </w:rPr>
        <w:t xml:space="preserve"> Projects</w:t>
      </w:r>
      <w:r w:rsidR="00A66772" w:rsidRPr="00876F97">
        <w:rPr>
          <w:rFonts w:ascii="Times New Roman" w:eastAsia="Arial" w:hAnsi="Times New Roman" w:cs="Times New Roman"/>
          <w:sz w:val="28"/>
          <w:szCs w:val="28"/>
          <w:lang w:eastAsia="en-ZA"/>
        </w:rPr>
        <w:t xml:space="preserve"> took transfer of the property on 1 November 2007.</w:t>
      </w:r>
      <w:r w:rsidR="00EC59B8" w:rsidRPr="00876F97">
        <w:rPr>
          <w:rFonts w:ascii="Times New Roman" w:eastAsia="Arial" w:hAnsi="Times New Roman" w:cs="Times New Roman"/>
          <w:sz w:val="28"/>
          <w:szCs w:val="28"/>
          <w:lang w:eastAsia="en-ZA"/>
        </w:rPr>
        <w:t xml:space="preserve"> </w:t>
      </w:r>
      <w:r w:rsidR="00F65ED7" w:rsidRPr="00876F97">
        <w:rPr>
          <w:rFonts w:ascii="Times New Roman" w:eastAsia="Arial" w:hAnsi="Times New Roman" w:cs="Times New Roman"/>
          <w:sz w:val="28"/>
          <w:szCs w:val="28"/>
          <w:lang w:eastAsia="en-ZA"/>
        </w:rPr>
        <w:t xml:space="preserve">On 14 December 2007, </w:t>
      </w:r>
      <w:r w:rsidR="00272529" w:rsidRPr="00876F97">
        <w:rPr>
          <w:rFonts w:ascii="Times New Roman" w:eastAsia="Arial" w:hAnsi="Times New Roman" w:cs="Times New Roman"/>
          <w:sz w:val="28"/>
          <w:szCs w:val="28"/>
          <w:lang w:eastAsia="en-ZA"/>
        </w:rPr>
        <w:t>Crowie</w:t>
      </w:r>
      <w:r w:rsidR="00185576" w:rsidRPr="00876F97">
        <w:rPr>
          <w:rFonts w:ascii="Times New Roman" w:eastAsia="Arial" w:hAnsi="Times New Roman" w:cs="Times New Roman"/>
          <w:sz w:val="28"/>
          <w:szCs w:val="28"/>
          <w:lang w:eastAsia="en-ZA"/>
        </w:rPr>
        <w:t xml:space="preserve"> Projects</w:t>
      </w:r>
      <w:r w:rsidR="00F65ED7" w:rsidRPr="00876F97">
        <w:rPr>
          <w:rFonts w:ascii="Times New Roman" w:eastAsia="Arial" w:hAnsi="Times New Roman" w:cs="Times New Roman"/>
          <w:sz w:val="28"/>
          <w:szCs w:val="28"/>
          <w:lang w:eastAsia="en-ZA"/>
        </w:rPr>
        <w:t xml:space="preserve"> entered into the Railway Co-ordination and Operation Agreement (the </w:t>
      </w:r>
      <w:r w:rsidR="00601743" w:rsidRPr="00876F97">
        <w:rPr>
          <w:rFonts w:ascii="Times New Roman" w:eastAsia="Arial" w:hAnsi="Times New Roman" w:cs="Times New Roman"/>
          <w:sz w:val="28"/>
          <w:szCs w:val="28"/>
          <w:lang w:eastAsia="en-ZA"/>
        </w:rPr>
        <w:t>Co</w:t>
      </w:r>
      <w:r w:rsidR="00934237" w:rsidRPr="00876F97">
        <w:rPr>
          <w:rFonts w:ascii="Times New Roman" w:eastAsia="Arial" w:hAnsi="Times New Roman" w:cs="Times New Roman"/>
          <w:sz w:val="28"/>
          <w:szCs w:val="28"/>
          <w:lang w:eastAsia="en-ZA"/>
        </w:rPr>
        <w:t>-</w:t>
      </w:r>
      <w:r w:rsidR="00601743" w:rsidRPr="00876F97">
        <w:rPr>
          <w:rFonts w:ascii="Times New Roman" w:eastAsia="Arial" w:hAnsi="Times New Roman" w:cs="Times New Roman"/>
          <w:sz w:val="28"/>
          <w:szCs w:val="28"/>
          <w:lang w:eastAsia="en-ZA"/>
        </w:rPr>
        <w:t>ordination</w:t>
      </w:r>
      <w:r w:rsidR="00F65ED7" w:rsidRPr="00876F97">
        <w:rPr>
          <w:rFonts w:ascii="Times New Roman" w:eastAsia="Arial" w:hAnsi="Times New Roman" w:cs="Times New Roman"/>
          <w:sz w:val="28"/>
          <w:szCs w:val="28"/>
          <w:lang w:eastAsia="en-ZA"/>
        </w:rPr>
        <w:t xml:space="preserve"> Agreement) with the </w:t>
      </w:r>
      <w:r w:rsidR="00DF6396" w:rsidRPr="00876F97">
        <w:rPr>
          <w:rFonts w:ascii="Times New Roman" w:eastAsia="Arial" w:hAnsi="Times New Roman" w:cs="Times New Roman"/>
          <w:sz w:val="28"/>
          <w:szCs w:val="28"/>
          <w:lang w:eastAsia="en-ZA"/>
        </w:rPr>
        <w:t xml:space="preserve">erstwhile South African Rail Commuter </w:t>
      </w:r>
      <w:r w:rsidR="00DF6396" w:rsidRPr="00876F97">
        <w:rPr>
          <w:rFonts w:ascii="Times New Roman" w:eastAsia="Arial" w:hAnsi="Times New Roman" w:cs="Times New Roman"/>
          <w:sz w:val="28"/>
          <w:szCs w:val="28"/>
          <w:lang w:eastAsia="en-ZA"/>
        </w:rPr>
        <w:lastRenderedPageBreak/>
        <w:t xml:space="preserve">Corporation, to which PRASA is the successor. The agreement </w:t>
      </w:r>
      <w:r w:rsidR="00C00633" w:rsidRPr="00876F97">
        <w:rPr>
          <w:rFonts w:ascii="Times New Roman" w:eastAsia="Arial" w:hAnsi="Times New Roman" w:cs="Times New Roman"/>
          <w:sz w:val="28"/>
          <w:szCs w:val="28"/>
          <w:lang w:eastAsia="en-ZA"/>
        </w:rPr>
        <w:t>regulated</w:t>
      </w:r>
      <w:r w:rsidR="00DF6396" w:rsidRPr="00876F97">
        <w:rPr>
          <w:rFonts w:ascii="Times New Roman" w:eastAsia="Arial" w:hAnsi="Times New Roman" w:cs="Times New Roman"/>
          <w:sz w:val="28"/>
          <w:szCs w:val="28"/>
          <w:lang w:eastAsia="en-ZA"/>
        </w:rPr>
        <w:t xml:space="preserve"> the construction and operation of an underground railway station </w:t>
      </w:r>
      <w:r w:rsidR="00C00633" w:rsidRPr="00876F97">
        <w:rPr>
          <w:rFonts w:ascii="Times New Roman" w:eastAsia="Arial" w:hAnsi="Times New Roman" w:cs="Times New Roman"/>
          <w:sz w:val="28"/>
          <w:szCs w:val="28"/>
          <w:lang w:eastAsia="en-ZA"/>
        </w:rPr>
        <w:t xml:space="preserve">and the business of the shopping centre </w:t>
      </w:r>
      <w:r w:rsidR="00DF6396" w:rsidRPr="00876F97">
        <w:rPr>
          <w:rFonts w:ascii="Times New Roman" w:eastAsia="Arial" w:hAnsi="Times New Roman" w:cs="Times New Roman"/>
          <w:sz w:val="28"/>
          <w:szCs w:val="28"/>
          <w:lang w:eastAsia="en-ZA"/>
        </w:rPr>
        <w:t xml:space="preserve">at Bridge City. </w:t>
      </w:r>
      <w:r w:rsidR="00272529" w:rsidRPr="00876F97">
        <w:rPr>
          <w:rFonts w:ascii="Times New Roman" w:eastAsia="Arial" w:hAnsi="Times New Roman" w:cs="Times New Roman"/>
          <w:sz w:val="28"/>
          <w:szCs w:val="28"/>
          <w:lang w:eastAsia="en-ZA"/>
        </w:rPr>
        <w:t>Crowie</w:t>
      </w:r>
      <w:r w:rsidR="00185576" w:rsidRPr="00876F97">
        <w:rPr>
          <w:rFonts w:ascii="Times New Roman" w:eastAsia="Arial" w:hAnsi="Times New Roman" w:cs="Times New Roman"/>
          <w:sz w:val="28"/>
          <w:szCs w:val="28"/>
          <w:lang w:eastAsia="en-ZA"/>
        </w:rPr>
        <w:t xml:space="preserve"> Projects</w:t>
      </w:r>
      <w:r w:rsidR="00DF6396" w:rsidRPr="00876F97">
        <w:rPr>
          <w:rFonts w:ascii="Times New Roman" w:eastAsia="Arial" w:hAnsi="Times New Roman" w:cs="Times New Roman"/>
          <w:sz w:val="28"/>
          <w:szCs w:val="28"/>
          <w:lang w:eastAsia="en-ZA"/>
        </w:rPr>
        <w:t xml:space="preserve"> undertook to construct a ‘void’</w:t>
      </w:r>
      <w:r w:rsidR="00C00633" w:rsidRPr="00876F97">
        <w:rPr>
          <w:rFonts w:ascii="Times New Roman" w:eastAsia="Arial" w:hAnsi="Times New Roman" w:cs="Times New Roman"/>
          <w:sz w:val="28"/>
          <w:szCs w:val="28"/>
          <w:lang w:eastAsia="en-ZA"/>
        </w:rPr>
        <w:t xml:space="preserve"> (essentially an underground chamber) beneath the shopping centre.</w:t>
      </w:r>
      <w:r w:rsidR="00A7203F" w:rsidRPr="00876F97">
        <w:rPr>
          <w:rFonts w:ascii="Times New Roman" w:eastAsia="Arial" w:hAnsi="Times New Roman" w:cs="Times New Roman"/>
          <w:sz w:val="28"/>
          <w:szCs w:val="28"/>
          <w:lang w:eastAsia="en-ZA"/>
        </w:rPr>
        <w:t xml:space="preserve"> Upon completion of the void and concourse area, PRASA would </w:t>
      </w:r>
      <w:r w:rsidR="00C00633" w:rsidRPr="00876F97">
        <w:rPr>
          <w:rFonts w:ascii="Times New Roman" w:eastAsia="Arial" w:hAnsi="Times New Roman" w:cs="Times New Roman"/>
          <w:sz w:val="28"/>
          <w:szCs w:val="28"/>
          <w:lang w:eastAsia="en-ZA"/>
        </w:rPr>
        <w:t xml:space="preserve">take transfer of the railway component, </w:t>
      </w:r>
      <w:r w:rsidR="00A7203F" w:rsidRPr="00876F97">
        <w:rPr>
          <w:rFonts w:ascii="Times New Roman" w:eastAsia="Arial" w:hAnsi="Times New Roman" w:cs="Times New Roman"/>
          <w:sz w:val="28"/>
          <w:szCs w:val="28"/>
          <w:lang w:eastAsia="en-ZA"/>
        </w:rPr>
        <w:t>construct the railway station within the void and fit out the concourse for its purposes.</w:t>
      </w:r>
    </w:p>
    <w:p w14:paraId="2F83ED2D" w14:textId="77777777" w:rsidR="00A7203F" w:rsidRPr="006546A0" w:rsidRDefault="00A7203F" w:rsidP="00A7203F">
      <w:pPr>
        <w:pStyle w:val="ListParagraph"/>
        <w:rPr>
          <w:rFonts w:ascii="Times New Roman" w:eastAsia="Arial" w:hAnsi="Times New Roman" w:cs="Times New Roman"/>
          <w:sz w:val="28"/>
          <w:szCs w:val="28"/>
          <w:lang w:eastAsia="en-ZA"/>
        </w:rPr>
      </w:pPr>
    </w:p>
    <w:p w14:paraId="73C476B6" w14:textId="3DD5E4B8" w:rsidR="008D57B4" w:rsidRPr="00876F97" w:rsidRDefault="00876F97" w:rsidP="00876F97">
      <w:pPr>
        <w:spacing w:after="0" w:line="360" w:lineRule="auto"/>
        <w:jc w:val="both"/>
        <w:rPr>
          <w:rFonts w:ascii="Times New Roman" w:eastAsia="Arial" w:hAnsi="Times New Roman" w:cs="Times New Roman"/>
          <w:sz w:val="28"/>
          <w:szCs w:val="28"/>
          <w:lang w:eastAsia="en-ZA"/>
        </w:rPr>
      </w:pPr>
      <w:r w:rsidRPr="006546A0">
        <w:rPr>
          <w:rFonts w:ascii="Times New Roman" w:eastAsia="Arial" w:hAnsi="Times New Roman" w:cs="Times New Roman"/>
          <w:sz w:val="28"/>
          <w:szCs w:val="28"/>
          <w:lang w:eastAsia="en-ZA"/>
        </w:rPr>
        <w:t>[6]</w:t>
      </w:r>
      <w:r w:rsidRPr="006546A0">
        <w:rPr>
          <w:rFonts w:ascii="Times New Roman" w:eastAsia="Arial" w:hAnsi="Times New Roman" w:cs="Times New Roman"/>
          <w:sz w:val="28"/>
          <w:szCs w:val="28"/>
          <w:lang w:eastAsia="en-ZA"/>
        </w:rPr>
        <w:tab/>
      </w:r>
      <w:r w:rsidR="00587B0C" w:rsidRPr="00876F97">
        <w:rPr>
          <w:rFonts w:ascii="Times New Roman" w:eastAsia="Arial" w:hAnsi="Times New Roman" w:cs="Times New Roman"/>
          <w:sz w:val="28"/>
          <w:szCs w:val="28"/>
          <w:lang w:eastAsia="en-ZA"/>
        </w:rPr>
        <w:t xml:space="preserve">A key element of the </w:t>
      </w:r>
      <w:r w:rsidR="00601743" w:rsidRPr="00876F97">
        <w:rPr>
          <w:rFonts w:ascii="Times New Roman" w:eastAsia="Arial" w:hAnsi="Times New Roman" w:cs="Times New Roman"/>
          <w:sz w:val="28"/>
          <w:szCs w:val="28"/>
          <w:lang w:eastAsia="en-ZA"/>
        </w:rPr>
        <w:t>Co</w:t>
      </w:r>
      <w:r w:rsidR="00934237" w:rsidRPr="00876F97">
        <w:rPr>
          <w:rFonts w:ascii="Times New Roman" w:eastAsia="Arial" w:hAnsi="Times New Roman" w:cs="Times New Roman"/>
          <w:sz w:val="28"/>
          <w:szCs w:val="28"/>
          <w:lang w:eastAsia="en-ZA"/>
        </w:rPr>
        <w:t>-</w:t>
      </w:r>
      <w:r w:rsidR="00601743" w:rsidRPr="00876F97">
        <w:rPr>
          <w:rFonts w:ascii="Times New Roman" w:eastAsia="Arial" w:hAnsi="Times New Roman" w:cs="Times New Roman"/>
          <w:sz w:val="28"/>
          <w:szCs w:val="28"/>
          <w:lang w:eastAsia="en-ZA"/>
        </w:rPr>
        <w:t>ordination</w:t>
      </w:r>
      <w:r w:rsidR="00587B0C" w:rsidRPr="00876F97">
        <w:rPr>
          <w:rFonts w:ascii="Times New Roman" w:eastAsia="Arial" w:hAnsi="Times New Roman" w:cs="Times New Roman"/>
          <w:sz w:val="28"/>
          <w:szCs w:val="28"/>
          <w:lang w:eastAsia="en-ZA"/>
        </w:rPr>
        <w:t xml:space="preserve"> </w:t>
      </w:r>
      <w:r w:rsidR="00664831" w:rsidRPr="00876F97">
        <w:rPr>
          <w:rFonts w:ascii="Times New Roman" w:eastAsia="Arial" w:hAnsi="Times New Roman" w:cs="Times New Roman"/>
          <w:sz w:val="28"/>
          <w:szCs w:val="28"/>
          <w:lang w:eastAsia="en-ZA"/>
        </w:rPr>
        <w:t>A</w:t>
      </w:r>
      <w:r w:rsidR="00587B0C" w:rsidRPr="00876F97">
        <w:rPr>
          <w:rFonts w:ascii="Times New Roman" w:eastAsia="Arial" w:hAnsi="Times New Roman" w:cs="Times New Roman"/>
          <w:sz w:val="28"/>
          <w:szCs w:val="28"/>
          <w:lang w:eastAsia="en-ZA"/>
        </w:rPr>
        <w:t xml:space="preserve">greement concerned the interrelationship between the different </w:t>
      </w:r>
      <w:r w:rsidR="008D57B4" w:rsidRPr="00876F97">
        <w:rPr>
          <w:rFonts w:ascii="Times New Roman" w:eastAsia="Arial" w:hAnsi="Times New Roman" w:cs="Times New Roman"/>
          <w:sz w:val="28"/>
          <w:szCs w:val="28"/>
          <w:lang w:eastAsia="en-ZA"/>
        </w:rPr>
        <w:t>components</w:t>
      </w:r>
      <w:r w:rsidR="00587B0C" w:rsidRPr="00876F97">
        <w:rPr>
          <w:rFonts w:ascii="Times New Roman" w:eastAsia="Arial" w:hAnsi="Times New Roman" w:cs="Times New Roman"/>
          <w:sz w:val="28"/>
          <w:szCs w:val="28"/>
          <w:lang w:eastAsia="en-ZA"/>
        </w:rPr>
        <w:t xml:space="preserve"> of the development scheme. </w:t>
      </w:r>
      <w:r w:rsidR="00272529" w:rsidRPr="00876F97">
        <w:rPr>
          <w:rFonts w:ascii="Times New Roman" w:eastAsia="Arial" w:hAnsi="Times New Roman" w:cs="Times New Roman"/>
          <w:sz w:val="28"/>
          <w:szCs w:val="28"/>
          <w:lang w:eastAsia="en-ZA"/>
        </w:rPr>
        <w:t>Crowie</w:t>
      </w:r>
      <w:r w:rsidR="00587B0C" w:rsidRPr="00876F97">
        <w:rPr>
          <w:rFonts w:ascii="Times New Roman" w:eastAsia="Arial" w:hAnsi="Times New Roman" w:cs="Times New Roman"/>
          <w:sz w:val="28"/>
          <w:szCs w:val="28"/>
          <w:lang w:eastAsia="en-ZA"/>
        </w:rPr>
        <w:t xml:space="preserve"> Projects and PRASA recognised that </w:t>
      </w:r>
      <w:r w:rsidR="00664831" w:rsidRPr="00876F97">
        <w:rPr>
          <w:rFonts w:ascii="Times New Roman" w:eastAsia="Arial" w:hAnsi="Times New Roman" w:cs="Times New Roman"/>
          <w:sz w:val="28"/>
          <w:szCs w:val="28"/>
          <w:lang w:eastAsia="en-ZA"/>
        </w:rPr>
        <w:t xml:space="preserve">the </w:t>
      </w:r>
      <w:r w:rsidR="00587B0C" w:rsidRPr="00876F97">
        <w:rPr>
          <w:rFonts w:ascii="Times New Roman" w:eastAsia="Arial" w:hAnsi="Times New Roman" w:cs="Times New Roman"/>
          <w:sz w:val="28"/>
          <w:szCs w:val="28"/>
          <w:lang w:eastAsia="en-ZA"/>
        </w:rPr>
        <w:t xml:space="preserve">operation of a railway station with ready access to the shopping centre via the concourse, would positively enhance </w:t>
      </w:r>
      <w:r w:rsidR="008D57B4" w:rsidRPr="00876F97">
        <w:rPr>
          <w:rFonts w:ascii="Times New Roman" w:eastAsia="Arial" w:hAnsi="Times New Roman" w:cs="Times New Roman"/>
          <w:sz w:val="28"/>
          <w:szCs w:val="28"/>
          <w:lang w:eastAsia="en-ZA"/>
        </w:rPr>
        <w:t xml:space="preserve">trade in the shopping centre. It was therefore agreed that PRASA would be entitled to share in potential </w:t>
      </w:r>
      <w:r w:rsidR="00C00633" w:rsidRPr="00876F97">
        <w:rPr>
          <w:rFonts w:ascii="Times New Roman" w:eastAsia="Arial" w:hAnsi="Times New Roman" w:cs="Times New Roman"/>
          <w:sz w:val="28"/>
          <w:szCs w:val="28"/>
          <w:lang w:eastAsia="en-ZA"/>
        </w:rPr>
        <w:t>‘</w:t>
      </w:r>
      <w:r w:rsidR="008D57B4" w:rsidRPr="00876F97">
        <w:rPr>
          <w:rFonts w:ascii="Times New Roman" w:eastAsia="Arial" w:hAnsi="Times New Roman" w:cs="Times New Roman"/>
          <w:sz w:val="28"/>
          <w:szCs w:val="28"/>
          <w:lang w:eastAsia="en-ZA"/>
        </w:rPr>
        <w:t>upside income</w:t>
      </w:r>
      <w:r w:rsidR="00C00633" w:rsidRPr="00876F97">
        <w:rPr>
          <w:rFonts w:ascii="Times New Roman" w:eastAsia="Arial" w:hAnsi="Times New Roman" w:cs="Times New Roman"/>
          <w:sz w:val="28"/>
          <w:szCs w:val="28"/>
          <w:lang w:eastAsia="en-ZA"/>
        </w:rPr>
        <w:t>’</w:t>
      </w:r>
      <w:r w:rsidR="008D57B4" w:rsidRPr="00876F97">
        <w:rPr>
          <w:rFonts w:ascii="Times New Roman" w:eastAsia="Arial" w:hAnsi="Times New Roman" w:cs="Times New Roman"/>
          <w:sz w:val="28"/>
          <w:szCs w:val="28"/>
          <w:lang w:eastAsia="en-ZA"/>
        </w:rPr>
        <w:t xml:space="preserve">, namely the additional income generated from the shopping centre because of the development of the railway station. </w:t>
      </w:r>
      <w:r w:rsidR="00C00633" w:rsidRPr="00876F97">
        <w:rPr>
          <w:rFonts w:ascii="Times New Roman" w:eastAsia="Arial" w:hAnsi="Times New Roman" w:cs="Times New Roman"/>
          <w:sz w:val="28"/>
          <w:szCs w:val="28"/>
          <w:lang w:eastAsia="en-ZA"/>
        </w:rPr>
        <w:t>A</w:t>
      </w:r>
      <w:r w:rsidR="008D57B4" w:rsidRPr="00876F97">
        <w:rPr>
          <w:rFonts w:ascii="Times New Roman" w:eastAsia="Arial" w:hAnsi="Times New Roman" w:cs="Times New Roman"/>
          <w:sz w:val="28"/>
          <w:szCs w:val="28"/>
          <w:lang w:eastAsia="en-ZA"/>
        </w:rPr>
        <w:t xml:space="preserve"> formula by which this additional income would be calculated</w:t>
      </w:r>
      <w:r w:rsidR="00C00633" w:rsidRPr="00876F97">
        <w:rPr>
          <w:rFonts w:ascii="Times New Roman" w:eastAsia="Arial" w:hAnsi="Times New Roman" w:cs="Times New Roman"/>
          <w:sz w:val="28"/>
          <w:szCs w:val="28"/>
          <w:lang w:eastAsia="en-ZA"/>
        </w:rPr>
        <w:t xml:space="preserve"> was agreed.</w:t>
      </w:r>
      <w:r w:rsidR="008D57B4" w:rsidRPr="00876F97">
        <w:rPr>
          <w:rFonts w:ascii="Times New Roman" w:eastAsia="Arial" w:hAnsi="Times New Roman" w:cs="Times New Roman"/>
          <w:sz w:val="28"/>
          <w:szCs w:val="28"/>
          <w:lang w:eastAsia="en-ZA"/>
        </w:rPr>
        <w:t xml:space="preserve"> </w:t>
      </w:r>
    </w:p>
    <w:p w14:paraId="045FF571" w14:textId="77777777" w:rsidR="00A7203F" w:rsidRPr="006546A0" w:rsidRDefault="00A7203F" w:rsidP="00A7203F">
      <w:pPr>
        <w:pStyle w:val="ListParagraph"/>
        <w:rPr>
          <w:rFonts w:ascii="Times New Roman" w:eastAsia="Arial" w:hAnsi="Times New Roman" w:cs="Times New Roman"/>
          <w:sz w:val="28"/>
          <w:szCs w:val="28"/>
          <w:lang w:eastAsia="en-ZA"/>
        </w:rPr>
      </w:pPr>
    </w:p>
    <w:p w14:paraId="700C06F4" w14:textId="543AAF32" w:rsidR="00664831" w:rsidRPr="00876F97" w:rsidRDefault="00876F97" w:rsidP="00876F97">
      <w:pPr>
        <w:spacing w:after="0" w:line="360" w:lineRule="auto"/>
        <w:jc w:val="both"/>
        <w:rPr>
          <w:rFonts w:ascii="Times New Roman" w:eastAsia="Arial" w:hAnsi="Times New Roman" w:cs="Times New Roman"/>
          <w:sz w:val="28"/>
          <w:szCs w:val="28"/>
          <w:lang w:eastAsia="en-ZA"/>
        </w:rPr>
      </w:pPr>
      <w:r w:rsidRPr="006546A0">
        <w:rPr>
          <w:rFonts w:ascii="Times New Roman" w:eastAsia="Arial" w:hAnsi="Times New Roman" w:cs="Times New Roman"/>
          <w:sz w:val="28"/>
          <w:szCs w:val="28"/>
          <w:lang w:eastAsia="en-ZA"/>
        </w:rPr>
        <w:t>[7]</w:t>
      </w:r>
      <w:r w:rsidRPr="006546A0">
        <w:rPr>
          <w:rFonts w:ascii="Times New Roman" w:eastAsia="Arial" w:hAnsi="Times New Roman" w:cs="Times New Roman"/>
          <w:sz w:val="28"/>
          <w:szCs w:val="28"/>
          <w:lang w:eastAsia="en-ZA"/>
        </w:rPr>
        <w:tab/>
      </w:r>
      <w:r w:rsidR="00A7203F" w:rsidRPr="00876F97">
        <w:rPr>
          <w:rFonts w:ascii="Times New Roman" w:eastAsia="Arial" w:hAnsi="Times New Roman" w:cs="Times New Roman"/>
          <w:sz w:val="28"/>
          <w:szCs w:val="28"/>
          <w:lang w:eastAsia="en-ZA"/>
        </w:rPr>
        <w:t xml:space="preserve">On 12 September 2008, </w:t>
      </w:r>
      <w:r w:rsidR="00272529" w:rsidRPr="00876F97">
        <w:rPr>
          <w:rFonts w:ascii="Times New Roman" w:eastAsia="Arial" w:hAnsi="Times New Roman" w:cs="Times New Roman"/>
          <w:sz w:val="28"/>
          <w:szCs w:val="28"/>
          <w:lang w:eastAsia="en-ZA"/>
        </w:rPr>
        <w:t>Crowie</w:t>
      </w:r>
      <w:r w:rsidR="00185576" w:rsidRPr="00876F97">
        <w:rPr>
          <w:rFonts w:ascii="Times New Roman" w:eastAsia="Arial" w:hAnsi="Times New Roman" w:cs="Times New Roman"/>
          <w:sz w:val="28"/>
          <w:szCs w:val="28"/>
          <w:lang w:eastAsia="en-ZA"/>
        </w:rPr>
        <w:t xml:space="preserve"> Projects</w:t>
      </w:r>
      <w:r w:rsidR="004F7DAC" w:rsidRPr="00876F97">
        <w:rPr>
          <w:rFonts w:ascii="Times New Roman" w:eastAsia="Arial" w:hAnsi="Times New Roman" w:cs="Times New Roman"/>
          <w:sz w:val="28"/>
          <w:szCs w:val="28"/>
          <w:lang w:eastAsia="en-ZA"/>
        </w:rPr>
        <w:t>,</w:t>
      </w:r>
      <w:r w:rsidR="00C00633" w:rsidRPr="00876F97">
        <w:rPr>
          <w:rFonts w:ascii="Times New Roman" w:eastAsia="Arial" w:hAnsi="Times New Roman" w:cs="Times New Roman"/>
          <w:sz w:val="28"/>
          <w:szCs w:val="28"/>
          <w:lang w:eastAsia="en-ZA"/>
        </w:rPr>
        <w:t xml:space="preserve"> and </w:t>
      </w:r>
      <w:r w:rsidR="004F7DAC" w:rsidRPr="00876F97">
        <w:rPr>
          <w:rFonts w:ascii="Times New Roman" w:eastAsia="Arial" w:hAnsi="Times New Roman" w:cs="Times New Roman"/>
          <w:sz w:val="28"/>
          <w:szCs w:val="28"/>
          <w:lang w:eastAsia="en-ZA"/>
        </w:rPr>
        <w:t xml:space="preserve">CPC </w:t>
      </w:r>
      <w:r w:rsidR="00185576" w:rsidRPr="00876F97">
        <w:rPr>
          <w:rFonts w:ascii="Times New Roman" w:eastAsia="Arial" w:hAnsi="Times New Roman" w:cs="Times New Roman"/>
          <w:sz w:val="28"/>
          <w:szCs w:val="28"/>
          <w:lang w:eastAsia="en-ZA"/>
        </w:rPr>
        <w:t>entered into a sale of business agreement</w:t>
      </w:r>
      <w:r w:rsidR="000F3520" w:rsidRPr="00876F97">
        <w:rPr>
          <w:rFonts w:ascii="Times New Roman" w:eastAsia="Arial" w:hAnsi="Times New Roman" w:cs="Times New Roman"/>
          <w:sz w:val="28"/>
          <w:szCs w:val="28"/>
          <w:lang w:eastAsia="en-ZA"/>
        </w:rPr>
        <w:t xml:space="preserve"> (the SOB)</w:t>
      </w:r>
      <w:r w:rsidR="00C00633" w:rsidRPr="00876F97">
        <w:rPr>
          <w:rFonts w:ascii="Times New Roman" w:eastAsia="Arial" w:hAnsi="Times New Roman" w:cs="Times New Roman"/>
          <w:sz w:val="28"/>
          <w:szCs w:val="28"/>
          <w:lang w:eastAsia="en-ZA"/>
        </w:rPr>
        <w:t>,</w:t>
      </w:r>
      <w:r w:rsidR="00907AE5" w:rsidRPr="006546A0">
        <w:rPr>
          <w:rStyle w:val="FootnoteReference"/>
          <w:rFonts w:ascii="Times New Roman" w:eastAsia="Arial" w:hAnsi="Times New Roman" w:cs="Times New Roman"/>
          <w:sz w:val="28"/>
          <w:szCs w:val="28"/>
          <w:lang w:eastAsia="en-ZA"/>
        </w:rPr>
        <w:footnoteReference w:id="2"/>
      </w:r>
      <w:r w:rsidR="00185576" w:rsidRPr="00876F97">
        <w:rPr>
          <w:rFonts w:ascii="Times New Roman" w:eastAsia="Arial" w:hAnsi="Times New Roman" w:cs="Times New Roman"/>
          <w:sz w:val="28"/>
          <w:szCs w:val="28"/>
          <w:lang w:eastAsia="en-ZA"/>
        </w:rPr>
        <w:t xml:space="preserve"> </w:t>
      </w:r>
      <w:r w:rsidR="00C00633" w:rsidRPr="00876F97">
        <w:rPr>
          <w:rFonts w:ascii="Times New Roman" w:eastAsia="Arial" w:hAnsi="Times New Roman" w:cs="Times New Roman"/>
          <w:sz w:val="28"/>
          <w:szCs w:val="28"/>
          <w:lang w:eastAsia="en-ZA"/>
        </w:rPr>
        <w:t>i</w:t>
      </w:r>
      <w:r w:rsidR="00185576" w:rsidRPr="00876F97">
        <w:rPr>
          <w:rFonts w:ascii="Times New Roman" w:eastAsia="Arial" w:hAnsi="Times New Roman" w:cs="Times New Roman"/>
          <w:sz w:val="28"/>
          <w:szCs w:val="28"/>
          <w:lang w:eastAsia="en-ZA"/>
        </w:rPr>
        <w:t xml:space="preserve">n </w:t>
      </w:r>
      <w:r w:rsidR="000F3520" w:rsidRPr="00876F97">
        <w:rPr>
          <w:rFonts w:ascii="Times New Roman" w:eastAsia="Arial" w:hAnsi="Times New Roman" w:cs="Times New Roman"/>
          <w:sz w:val="28"/>
          <w:szCs w:val="28"/>
          <w:lang w:eastAsia="en-ZA"/>
        </w:rPr>
        <w:t>which</w:t>
      </w:r>
      <w:r w:rsidR="00185576" w:rsidRPr="00876F97">
        <w:rPr>
          <w:rFonts w:ascii="Times New Roman" w:eastAsia="Arial" w:hAnsi="Times New Roman" w:cs="Times New Roman"/>
          <w:sz w:val="28"/>
          <w:szCs w:val="28"/>
          <w:lang w:eastAsia="en-ZA"/>
        </w:rPr>
        <w:t xml:space="preserve"> </w:t>
      </w:r>
      <w:r w:rsidR="00272529" w:rsidRPr="00876F97">
        <w:rPr>
          <w:rFonts w:ascii="Times New Roman" w:eastAsia="Arial" w:hAnsi="Times New Roman" w:cs="Times New Roman"/>
          <w:sz w:val="28"/>
          <w:szCs w:val="28"/>
          <w:lang w:eastAsia="en-ZA"/>
        </w:rPr>
        <w:t>Crowie</w:t>
      </w:r>
      <w:r w:rsidR="00185576" w:rsidRPr="00876F97">
        <w:rPr>
          <w:rFonts w:ascii="Times New Roman" w:eastAsia="Arial" w:hAnsi="Times New Roman" w:cs="Times New Roman"/>
          <w:sz w:val="28"/>
          <w:szCs w:val="28"/>
          <w:lang w:eastAsia="en-ZA"/>
        </w:rPr>
        <w:t xml:space="preserve"> Projects sold </w:t>
      </w:r>
      <w:r w:rsidR="0062336F" w:rsidRPr="00876F97">
        <w:rPr>
          <w:rFonts w:ascii="Times New Roman" w:eastAsia="Arial" w:hAnsi="Times New Roman" w:cs="Times New Roman"/>
          <w:sz w:val="28"/>
          <w:szCs w:val="28"/>
          <w:lang w:eastAsia="en-ZA"/>
        </w:rPr>
        <w:t xml:space="preserve">the Bridge City </w:t>
      </w:r>
      <w:r w:rsidR="000F3520" w:rsidRPr="00876F97">
        <w:rPr>
          <w:rFonts w:ascii="Times New Roman" w:eastAsia="Arial" w:hAnsi="Times New Roman" w:cs="Times New Roman"/>
          <w:sz w:val="28"/>
          <w:szCs w:val="28"/>
          <w:lang w:eastAsia="en-ZA"/>
        </w:rPr>
        <w:t xml:space="preserve">shopping centre </w:t>
      </w:r>
      <w:r w:rsidR="0062336F" w:rsidRPr="00876F97">
        <w:rPr>
          <w:rFonts w:ascii="Times New Roman" w:eastAsia="Arial" w:hAnsi="Times New Roman" w:cs="Times New Roman"/>
          <w:sz w:val="28"/>
          <w:szCs w:val="28"/>
          <w:lang w:eastAsia="en-ZA"/>
        </w:rPr>
        <w:t xml:space="preserve">business </w:t>
      </w:r>
      <w:r w:rsidR="00185576" w:rsidRPr="00876F97">
        <w:rPr>
          <w:rFonts w:ascii="Times New Roman" w:eastAsia="Arial" w:hAnsi="Times New Roman" w:cs="Times New Roman"/>
          <w:sz w:val="28"/>
          <w:szCs w:val="28"/>
          <w:lang w:eastAsia="en-ZA"/>
        </w:rPr>
        <w:t xml:space="preserve">to CPC for a purchase consideration of </w:t>
      </w:r>
      <w:r w:rsidR="00BE6842" w:rsidRPr="00876F97">
        <w:rPr>
          <w:rFonts w:ascii="Times New Roman" w:eastAsia="Arial" w:hAnsi="Times New Roman" w:cs="Times New Roman"/>
          <w:sz w:val="28"/>
          <w:szCs w:val="28"/>
          <w:lang w:eastAsia="en-ZA"/>
        </w:rPr>
        <w:t>approximately R7</w:t>
      </w:r>
      <w:r w:rsidR="0062336F" w:rsidRPr="00876F97">
        <w:rPr>
          <w:rFonts w:ascii="Times New Roman" w:eastAsia="Arial" w:hAnsi="Times New Roman" w:cs="Times New Roman"/>
          <w:sz w:val="28"/>
          <w:szCs w:val="28"/>
          <w:lang w:eastAsia="en-ZA"/>
        </w:rPr>
        <w:t>3</w:t>
      </w:r>
      <w:r w:rsidR="00BE6842" w:rsidRPr="00876F97">
        <w:rPr>
          <w:rFonts w:ascii="Times New Roman" w:eastAsia="Arial" w:hAnsi="Times New Roman" w:cs="Times New Roman"/>
          <w:sz w:val="28"/>
          <w:szCs w:val="28"/>
          <w:lang w:eastAsia="en-ZA"/>
        </w:rPr>
        <w:t>8 million.</w:t>
      </w:r>
      <w:r w:rsidR="00A7203F" w:rsidRPr="00876F97">
        <w:rPr>
          <w:rFonts w:ascii="Times New Roman" w:eastAsia="Arial" w:hAnsi="Times New Roman" w:cs="Times New Roman"/>
          <w:sz w:val="28"/>
          <w:szCs w:val="28"/>
          <w:lang w:eastAsia="en-ZA"/>
        </w:rPr>
        <w:t xml:space="preserve"> </w:t>
      </w:r>
      <w:r w:rsidR="00F8380A" w:rsidRPr="00876F97">
        <w:rPr>
          <w:rFonts w:ascii="Times New Roman" w:eastAsia="Arial" w:hAnsi="Times New Roman" w:cs="Times New Roman"/>
          <w:sz w:val="28"/>
          <w:szCs w:val="28"/>
          <w:lang w:eastAsia="en-ZA"/>
        </w:rPr>
        <w:t xml:space="preserve">The Bridge City </w:t>
      </w:r>
      <w:r w:rsidR="006E3D8A" w:rsidRPr="00876F97">
        <w:rPr>
          <w:rFonts w:ascii="Times New Roman" w:eastAsia="Arial" w:hAnsi="Times New Roman" w:cs="Times New Roman"/>
          <w:sz w:val="28"/>
          <w:szCs w:val="28"/>
          <w:lang w:eastAsia="en-ZA"/>
        </w:rPr>
        <w:t>shopping centre business consisted of</w:t>
      </w:r>
      <w:r w:rsidR="00F8380A" w:rsidRPr="00876F97">
        <w:rPr>
          <w:rFonts w:ascii="Times New Roman" w:eastAsia="Arial" w:hAnsi="Times New Roman" w:cs="Times New Roman"/>
          <w:sz w:val="28"/>
          <w:szCs w:val="28"/>
          <w:lang w:eastAsia="en-ZA"/>
        </w:rPr>
        <w:t xml:space="preserve"> the rental </w:t>
      </w:r>
      <w:r w:rsidR="000D39C2" w:rsidRPr="00876F97">
        <w:rPr>
          <w:rFonts w:ascii="Times New Roman" w:eastAsia="Arial" w:hAnsi="Times New Roman" w:cs="Times New Roman"/>
          <w:sz w:val="28"/>
          <w:szCs w:val="28"/>
          <w:lang w:eastAsia="en-ZA"/>
        </w:rPr>
        <w:t>income</w:t>
      </w:r>
      <w:r w:rsidR="00F8380A" w:rsidRPr="00876F97">
        <w:rPr>
          <w:rFonts w:ascii="Times New Roman" w:eastAsia="Arial" w:hAnsi="Times New Roman" w:cs="Times New Roman"/>
          <w:sz w:val="28"/>
          <w:szCs w:val="28"/>
          <w:lang w:eastAsia="en-ZA"/>
        </w:rPr>
        <w:t xml:space="preserve"> to be derived from </w:t>
      </w:r>
      <w:r w:rsidR="000D39C2" w:rsidRPr="00876F97">
        <w:rPr>
          <w:rFonts w:ascii="Times New Roman" w:eastAsia="Arial" w:hAnsi="Times New Roman" w:cs="Times New Roman"/>
          <w:sz w:val="28"/>
          <w:szCs w:val="28"/>
          <w:lang w:eastAsia="en-ZA"/>
        </w:rPr>
        <w:t>tenants</w:t>
      </w:r>
      <w:r w:rsidR="00F8380A" w:rsidRPr="00876F97">
        <w:rPr>
          <w:rFonts w:ascii="Times New Roman" w:eastAsia="Arial" w:hAnsi="Times New Roman" w:cs="Times New Roman"/>
          <w:sz w:val="28"/>
          <w:szCs w:val="28"/>
          <w:lang w:eastAsia="en-ZA"/>
        </w:rPr>
        <w:t xml:space="preserve"> occupying units within the shopping centre</w:t>
      </w:r>
      <w:r w:rsidR="006E3D8A" w:rsidRPr="00876F97">
        <w:rPr>
          <w:rFonts w:ascii="Times New Roman" w:eastAsia="Arial" w:hAnsi="Times New Roman" w:cs="Times New Roman"/>
          <w:sz w:val="28"/>
          <w:szCs w:val="28"/>
          <w:lang w:eastAsia="en-ZA"/>
        </w:rPr>
        <w:t>.</w:t>
      </w:r>
      <w:r w:rsidR="00F8380A" w:rsidRPr="00876F97">
        <w:rPr>
          <w:rFonts w:ascii="Times New Roman" w:eastAsia="Arial" w:hAnsi="Times New Roman" w:cs="Times New Roman"/>
          <w:sz w:val="28"/>
          <w:szCs w:val="28"/>
          <w:lang w:eastAsia="en-ZA"/>
        </w:rPr>
        <w:t xml:space="preserve"> At the time of the conclusion of the SOB, the shopping centre had not yet been </w:t>
      </w:r>
      <w:r w:rsidR="00F8380A" w:rsidRPr="00876F97">
        <w:rPr>
          <w:rFonts w:ascii="Times New Roman" w:eastAsia="Arial" w:hAnsi="Times New Roman" w:cs="Times New Roman"/>
          <w:sz w:val="28"/>
          <w:szCs w:val="28"/>
          <w:lang w:eastAsia="en-ZA"/>
        </w:rPr>
        <w:lastRenderedPageBreak/>
        <w:t xml:space="preserve">constructed. It was anticipated that construction would be </w:t>
      </w:r>
      <w:r w:rsidR="00664831" w:rsidRPr="00876F97">
        <w:rPr>
          <w:rFonts w:ascii="Times New Roman" w:eastAsia="Arial" w:hAnsi="Times New Roman" w:cs="Times New Roman"/>
          <w:sz w:val="28"/>
          <w:szCs w:val="28"/>
          <w:lang w:eastAsia="en-ZA"/>
        </w:rPr>
        <w:t>completed,</w:t>
      </w:r>
      <w:r w:rsidR="00F8380A" w:rsidRPr="00876F97">
        <w:rPr>
          <w:rFonts w:ascii="Times New Roman" w:eastAsia="Arial" w:hAnsi="Times New Roman" w:cs="Times New Roman"/>
          <w:sz w:val="28"/>
          <w:szCs w:val="28"/>
          <w:lang w:eastAsia="en-ZA"/>
        </w:rPr>
        <w:t xml:space="preserve"> </w:t>
      </w:r>
      <w:r w:rsidR="00EA34E7" w:rsidRPr="00876F97">
        <w:rPr>
          <w:rFonts w:ascii="Times New Roman" w:eastAsia="Arial" w:hAnsi="Times New Roman" w:cs="Times New Roman"/>
          <w:sz w:val="28"/>
          <w:szCs w:val="28"/>
          <w:lang w:eastAsia="en-ZA"/>
        </w:rPr>
        <w:t xml:space="preserve">and transfer given </w:t>
      </w:r>
      <w:r w:rsidR="00F8380A" w:rsidRPr="00876F97">
        <w:rPr>
          <w:rFonts w:ascii="Times New Roman" w:eastAsia="Arial" w:hAnsi="Times New Roman" w:cs="Times New Roman"/>
          <w:sz w:val="28"/>
          <w:szCs w:val="28"/>
          <w:lang w:eastAsia="en-ZA"/>
        </w:rPr>
        <w:t xml:space="preserve">by </w:t>
      </w:r>
      <w:r w:rsidR="0062336F" w:rsidRPr="00876F97">
        <w:rPr>
          <w:rFonts w:ascii="Times New Roman" w:eastAsia="Arial" w:hAnsi="Times New Roman" w:cs="Times New Roman"/>
          <w:sz w:val="28"/>
          <w:szCs w:val="28"/>
          <w:lang w:eastAsia="en-ZA"/>
        </w:rPr>
        <w:t xml:space="preserve">2 November </w:t>
      </w:r>
      <w:r w:rsidR="00F8380A" w:rsidRPr="00876F97">
        <w:rPr>
          <w:rFonts w:ascii="Times New Roman" w:eastAsia="Arial" w:hAnsi="Times New Roman" w:cs="Times New Roman"/>
          <w:sz w:val="28"/>
          <w:szCs w:val="28"/>
          <w:lang w:eastAsia="en-ZA"/>
        </w:rPr>
        <w:t xml:space="preserve">2009.  </w:t>
      </w:r>
      <w:r w:rsidR="00EA34E7" w:rsidRPr="00876F97">
        <w:rPr>
          <w:rFonts w:ascii="Times New Roman" w:eastAsia="Arial" w:hAnsi="Times New Roman" w:cs="Times New Roman"/>
          <w:sz w:val="28"/>
          <w:szCs w:val="28"/>
          <w:lang w:eastAsia="en-ZA"/>
        </w:rPr>
        <w:t xml:space="preserve">Provision was, however, made for potential delays </w:t>
      </w:r>
      <w:r w:rsidR="00DF3563" w:rsidRPr="00876F97">
        <w:rPr>
          <w:rFonts w:ascii="Times New Roman" w:eastAsia="Arial" w:hAnsi="Times New Roman" w:cs="Times New Roman"/>
          <w:sz w:val="28"/>
          <w:szCs w:val="28"/>
          <w:lang w:eastAsia="en-ZA"/>
        </w:rPr>
        <w:t>in which event</w:t>
      </w:r>
      <w:r w:rsidR="00EA34E7" w:rsidRPr="00876F97">
        <w:rPr>
          <w:rFonts w:ascii="Times New Roman" w:eastAsia="Arial" w:hAnsi="Times New Roman" w:cs="Times New Roman"/>
          <w:sz w:val="28"/>
          <w:szCs w:val="28"/>
          <w:lang w:eastAsia="en-ZA"/>
        </w:rPr>
        <w:t xml:space="preserve"> the last trading commencement date would</w:t>
      </w:r>
      <w:r w:rsidR="007834EA" w:rsidRPr="00876F97">
        <w:rPr>
          <w:rFonts w:ascii="Times New Roman" w:eastAsia="Arial" w:hAnsi="Times New Roman" w:cs="Times New Roman"/>
          <w:sz w:val="28"/>
          <w:szCs w:val="28"/>
          <w:lang w:eastAsia="en-ZA"/>
        </w:rPr>
        <w:t xml:space="preserve"> be </w:t>
      </w:r>
      <w:r w:rsidR="00EA34E7" w:rsidRPr="00876F97">
        <w:rPr>
          <w:rFonts w:ascii="Times New Roman" w:eastAsia="Arial" w:hAnsi="Times New Roman" w:cs="Times New Roman"/>
          <w:sz w:val="28"/>
          <w:szCs w:val="28"/>
          <w:lang w:eastAsia="en-ZA"/>
        </w:rPr>
        <w:t xml:space="preserve">30 April 2010. </w:t>
      </w:r>
      <w:r w:rsidR="006E3D8A" w:rsidRPr="00876F97">
        <w:rPr>
          <w:rFonts w:ascii="Times New Roman" w:eastAsia="Arial" w:hAnsi="Times New Roman" w:cs="Times New Roman"/>
          <w:sz w:val="28"/>
          <w:szCs w:val="28"/>
          <w:lang w:eastAsia="en-ZA"/>
        </w:rPr>
        <w:t xml:space="preserve">Registration of transfer </w:t>
      </w:r>
      <w:r w:rsidR="00597D63" w:rsidRPr="00876F97">
        <w:rPr>
          <w:rFonts w:ascii="Times New Roman" w:eastAsia="Arial" w:hAnsi="Times New Roman" w:cs="Times New Roman"/>
          <w:sz w:val="28"/>
          <w:szCs w:val="28"/>
          <w:lang w:eastAsia="en-ZA"/>
        </w:rPr>
        <w:t xml:space="preserve">of </w:t>
      </w:r>
      <w:r w:rsidR="006E3D8A" w:rsidRPr="00876F97">
        <w:rPr>
          <w:rFonts w:ascii="Times New Roman" w:eastAsia="Arial" w:hAnsi="Times New Roman" w:cs="Times New Roman"/>
          <w:sz w:val="28"/>
          <w:szCs w:val="28"/>
          <w:lang w:eastAsia="en-ZA"/>
        </w:rPr>
        <w:t>sections 2, 3, 4 and 5 (which comprised the shopping centre unit) of the Terminus</w:t>
      </w:r>
      <w:r w:rsidR="006E3D8A" w:rsidRPr="006546A0">
        <w:rPr>
          <w:rStyle w:val="FootnoteReference"/>
          <w:rFonts w:ascii="Times New Roman" w:eastAsia="Arial" w:hAnsi="Times New Roman" w:cs="Times New Roman"/>
          <w:sz w:val="28"/>
          <w:szCs w:val="28"/>
          <w:lang w:eastAsia="en-ZA"/>
        </w:rPr>
        <w:footnoteReference w:id="3"/>
      </w:r>
      <w:r w:rsidR="006E3D8A" w:rsidRPr="00876F97">
        <w:rPr>
          <w:rFonts w:ascii="Times New Roman" w:eastAsia="Arial" w:hAnsi="Times New Roman" w:cs="Times New Roman"/>
          <w:sz w:val="28"/>
          <w:szCs w:val="28"/>
          <w:lang w:eastAsia="en-ZA"/>
        </w:rPr>
        <w:t xml:space="preserve"> sectional title scheme occurred o</w:t>
      </w:r>
      <w:r w:rsidR="00F8380A" w:rsidRPr="00876F97">
        <w:rPr>
          <w:rFonts w:ascii="Times New Roman" w:eastAsia="Arial" w:hAnsi="Times New Roman" w:cs="Times New Roman"/>
          <w:sz w:val="28"/>
          <w:szCs w:val="28"/>
          <w:lang w:eastAsia="en-ZA"/>
        </w:rPr>
        <w:t>n 31 March 2010</w:t>
      </w:r>
      <w:r w:rsidR="009A7FA6" w:rsidRPr="00876F97">
        <w:rPr>
          <w:rFonts w:ascii="Times New Roman" w:eastAsia="Arial" w:hAnsi="Times New Roman" w:cs="Times New Roman"/>
          <w:sz w:val="28"/>
          <w:szCs w:val="28"/>
          <w:lang w:eastAsia="en-ZA"/>
        </w:rPr>
        <w:t xml:space="preserve">. </w:t>
      </w:r>
      <w:r w:rsidR="00664831" w:rsidRPr="00876F97">
        <w:rPr>
          <w:rFonts w:ascii="Times New Roman" w:eastAsia="Arial" w:hAnsi="Times New Roman" w:cs="Times New Roman"/>
          <w:sz w:val="28"/>
          <w:szCs w:val="28"/>
          <w:lang w:eastAsia="en-ZA"/>
        </w:rPr>
        <w:t xml:space="preserve">The circumstances giving rise to the claim made by CPC against PRASA, suggest that </w:t>
      </w:r>
      <w:r w:rsidR="009A7FA6" w:rsidRPr="00876F97">
        <w:rPr>
          <w:rFonts w:ascii="Times New Roman" w:eastAsia="Arial" w:hAnsi="Times New Roman" w:cs="Times New Roman"/>
          <w:sz w:val="28"/>
          <w:szCs w:val="28"/>
          <w:lang w:eastAsia="en-ZA"/>
        </w:rPr>
        <w:t xml:space="preserve">PRASA operations </w:t>
      </w:r>
      <w:r w:rsidR="00664831" w:rsidRPr="00876F97">
        <w:rPr>
          <w:rFonts w:ascii="Times New Roman" w:eastAsia="Arial" w:hAnsi="Times New Roman" w:cs="Times New Roman"/>
          <w:sz w:val="28"/>
          <w:szCs w:val="28"/>
          <w:lang w:eastAsia="en-ZA"/>
        </w:rPr>
        <w:t>commenced in 2013.</w:t>
      </w:r>
    </w:p>
    <w:p w14:paraId="209C8415" w14:textId="1873A18C" w:rsidR="00A7203F" w:rsidRPr="006546A0" w:rsidRDefault="00A7203F" w:rsidP="00DF3563">
      <w:pPr>
        <w:pStyle w:val="ListParagraph"/>
        <w:spacing w:after="0" w:line="360" w:lineRule="auto"/>
        <w:ind w:left="0"/>
        <w:jc w:val="both"/>
        <w:rPr>
          <w:rFonts w:ascii="Times New Roman" w:eastAsia="Arial" w:hAnsi="Times New Roman" w:cs="Times New Roman"/>
          <w:sz w:val="28"/>
          <w:szCs w:val="28"/>
          <w:lang w:eastAsia="en-ZA"/>
        </w:rPr>
      </w:pPr>
    </w:p>
    <w:p w14:paraId="52E15A7F" w14:textId="3EAC0246" w:rsidR="008A4E5F" w:rsidRPr="006546A0" w:rsidRDefault="008A4E5F" w:rsidP="00DF3563">
      <w:pPr>
        <w:pStyle w:val="ListParagraph"/>
        <w:spacing w:after="0" w:line="360" w:lineRule="auto"/>
        <w:ind w:left="0"/>
        <w:jc w:val="both"/>
        <w:rPr>
          <w:rFonts w:ascii="Times New Roman" w:eastAsia="Arial" w:hAnsi="Times New Roman" w:cs="Times New Roman"/>
          <w:b/>
          <w:bCs/>
          <w:sz w:val="28"/>
          <w:szCs w:val="28"/>
          <w:lang w:eastAsia="en-ZA"/>
        </w:rPr>
      </w:pPr>
      <w:r w:rsidRPr="006546A0">
        <w:rPr>
          <w:rFonts w:ascii="Times New Roman" w:eastAsia="Arial" w:hAnsi="Times New Roman" w:cs="Times New Roman"/>
          <w:b/>
          <w:bCs/>
          <w:sz w:val="28"/>
          <w:szCs w:val="28"/>
          <w:lang w:eastAsia="en-ZA"/>
        </w:rPr>
        <w:t>The claim</w:t>
      </w:r>
    </w:p>
    <w:p w14:paraId="1F9E7EB0" w14:textId="0D169988" w:rsidR="009A7FA6" w:rsidRPr="00876F97" w:rsidRDefault="00876F97" w:rsidP="00876F97">
      <w:pPr>
        <w:spacing w:after="0" w:line="360" w:lineRule="auto"/>
        <w:jc w:val="both"/>
        <w:rPr>
          <w:rFonts w:ascii="Times New Roman" w:eastAsia="Arial" w:hAnsi="Times New Roman" w:cs="Times New Roman"/>
          <w:sz w:val="28"/>
          <w:szCs w:val="28"/>
          <w:lang w:eastAsia="en-ZA"/>
        </w:rPr>
      </w:pPr>
      <w:r w:rsidRPr="006546A0">
        <w:rPr>
          <w:rFonts w:ascii="Times New Roman" w:eastAsia="Arial" w:hAnsi="Times New Roman" w:cs="Times New Roman"/>
          <w:sz w:val="28"/>
          <w:szCs w:val="28"/>
          <w:lang w:eastAsia="en-ZA"/>
        </w:rPr>
        <w:t>[8]</w:t>
      </w:r>
      <w:r w:rsidRPr="006546A0">
        <w:rPr>
          <w:rFonts w:ascii="Times New Roman" w:eastAsia="Arial" w:hAnsi="Times New Roman" w:cs="Times New Roman"/>
          <w:sz w:val="28"/>
          <w:szCs w:val="28"/>
          <w:lang w:eastAsia="en-ZA"/>
        </w:rPr>
        <w:tab/>
      </w:r>
      <w:r w:rsidR="009A7FA6" w:rsidRPr="00876F97">
        <w:rPr>
          <w:rFonts w:ascii="Times New Roman" w:eastAsia="Arial" w:hAnsi="Times New Roman" w:cs="Times New Roman"/>
          <w:sz w:val="28"/>
          <w:szCs w:val="28"/>
          <w:lang w:eastAsia="en-ZA"/>
        </w:rPr>
        <w:t xml:space="preserve">The dispute arose in July 2017 when CPC presented an invoice to PRASA for payment of R3 413 539.53 for consumption charges for electricity from October 2013. This was met by the suggestion that the amount should be set-off against the ‘upside income’ due to PRASA, which was then the subject of negotiations. CPC objected to this on the basis that the agreement made no provision for set-off. Extensive email correspondence followed until, on 28 February 2018, a meeting was held to attempt to resolve the dispute. An agreement was reached. The agreement was, however, subsequently cancelled. </w:t>
      </w:r>
    </w:p>
    <w:p w14:paraId="1F74A073" w14:textId="77777777" w:rsidR="0035789D" w:rsidRPr="006546A0" w:rsidRDefault="0035789D" w:rsidP="0035789D">
      <w:pPr>
        <w:pStyle w:val="ListParagraph"/>
        <w:spacing w:after="0" w:line="360" w:lineRule="auto"/>
        <w:ind w:left="0"/>
        <w:jc w:val="both"/>
        <w:rPr>
          <w:rFonts w:ascii="Times New Roman" w:eastAsia="Arial" w:hAnsi="Times New Roman" w:cs="Times New Roman"/>
          <w:sz w:val="28"/>
          <w:szCs w:val="28"/>
          <w:lang w:eastAsia="en-ZA"/>
        </w:rPr>
      </w:pPr>
    </w:p>
    <w:p w14:paraId="0B355E89" w14:textId="3AD53886" w:rsidR="00587B0C" w:rsidRPr="00876F97" w:rsidRDefault="00876F97" w:rsidP="00876F97">
      <w:pPr>
        <w:spacing w:after="0" w:line="360" w:lineRule="auto"/>
        <w:jc w:val="both"/>
        <w:rPr>
          <w:rFonts w:ascii="Times New Roman" w:eastAsia="Arial" w:hAnsi="Times New Roman" w:cs="Times New Roman"/>
          <w:sz w:val="28"/>
          <w:szCs w:val="28"/>
          <w:lang w:eastAsia="en-ZA"/>
        </w:rPr>
      </w:pPr>
      <w:r w:rsidRPr="006546A0">
        <w:rPr>
          <w:rFonts w:ascii="Times New Roman" w:eastAsia="Arial" w:hAnsi="Times New Roman" w:cs="Times New Roman"/>
          <w:sz w:val="28"/>
          <w:szCs w:val="28"/>
          <w:lang w:eastAsia="en-ZA"/>
        </w:rPr>
        <w:t>[9]</w:t>
      </w:r>
      <w:r w:rsidRPr="006546A0">
        <w:rPr>
          <w:rFonts w:ascii="Times New Roman" w:eastAsia="Arial" w:hAnsi="Times New Roman" w:cs="Times New Roman"/>
          <w:sz w:val="28"/>
          <w:szCs w:val="28"/>
          <w:lang w:eastAsia="en-ZA"/>
        </w:rPr>
        <w:tab/>
      </w:r>
      <w:r w:rsidR="00DF3563" w:rsidRPr="00876F97">
        <w:rPr>
          <w:rFonts w:ascii="Times New Roman" w:eastAsia="Arial" w:hAnsi="Times New Roman" w:cs="Times New Roman"/>
          <w:sz w:val="28"/>
          <w:szCs w:val="28"/>
          <w:lang w:eastAsia="en-ZA"/>
        </w:rPr>
        <w:t xml:space="preserve">CPC initiated its claim against PRASA by notice of motion on 1 April </w:t>
      </w:r>
      <w:r w:rsidR="00071BB6" w:rsidRPr="00876F97">
        <w:rPr>
          <w:rFonts w:ascii="Times New Roman" w:eastAsia="Arial" w:hAnsi="Times New Roman" w:cs="Times New Roman"/>
          <w:sz w:val="28"/>
          <w:szCs w:val="28"/>
          <w:lang w:eastAsia="en-ZA"/>
        </w:rPr>
        <w:t>2019. I</w:t>
      </w:r>
      <w:r w:rsidR="00373139" w:rsidRPr="00876F97">
        <w:rPr>
          <w:rFonts w:ascii="Times New Roman" w:eastAsia="Arial" w:hAnsi="Times New Roman" w:cs="Times New Roman"/>
          <w:sz w:val="28"/>
          <w:szCs w:val="28"/>
          <w:lang w:eastAsia="en-ZA"/>
        </w:rPr>
        <w:t>t</w:t>
      </w:r>
      <w:r w:rsidR="009A7FA6" w:rsidRPr="00876F97">
        <w:rPr>
          <w:rFonts w:ascii="Times New Roman" w:eastAsia="Arial" w:hAnsi="Times New Roman" w:cs="Times New Roman"/>
          <w:sz w:val="28"/>
          <w:szCs w:val="28"/>
          <w:lang w:eastAsia="en-ZA"/>
        </w:rPr>
        <w:t xml:space="preserve"> </w:t>
      </w:r>
      <w:r w:rsidR="00071BB6" w:rsidRPr="00876F97">
        <w:rPr>
          <w:rFonts w:ascii="Times New Roman" w:eastAsia="Arial" w:hAnsi="Times New Roman" w:cs="Times New Roman"/>
          <w:sz w:val="28"/>
          <w:szCs w:val="28"/>
          <w:lang w:eastAsia="en-ZA"/>
        </w:rPr>
        <w:t xml:space="preserve">claimed payment of the </w:t>
      </w:r>
      <w:r w:rsidR="009A7FA6" w:rsidRPr="00876F97">
        <w:rPr>
          <w:rFonts w:ascii="Times New Roman" w:eastAsia="Arial" w:hAnsi="Times New Roman" w:cs="Times New Roman"/>
          <w:sz w:val="28"/>
          <w:szCs w:val="28"/>
          <w:lang w:eastAsia="en-ZA"/>
        </w:rPr>
        <w:t>amount</w:t>
      </w:r>
      <w:r w:rsidR="00071BB6" w:rsidRPr="00876F97">
        <w:rPr>
          <w:rFonts w:ascii="Times New Roman" w:eastAsia="Arial" w:hAnsi="Times New Roman" w:cs="Times New Roman"/>
          <w:sz w:val="28"/>
          <w:szCs w:val="28"/>
          <w:lang w:eastAsia="en-ZA"/>
        </w:rPr>
        <w:t xml:space="preserve"> it alleged was due and, </w:t>
      </w:r>
      <w:r w:rsidR="008B27E8" w:rsidRPr="00876F97">
        <w:rPr>
          <w:rFonts w:ascii="Times New Roman" w:eastAsia="Arial" w:hAnsi="Times New Roman" w:cs="Times New Roman"/>
          <w:sz w:val="28"/>
          <w:szCs w:val="28"/>
          <w:lang w:eastAsia="en-ZA"/>
        </w:rPr>
        <w:t>if</w:t>
      </w:r>
      <w:r w:rsidR="00071BB6" w:rsidRPr="00876F97">
        <w:rPr>
          <w:rFonts w:ascii="Times New Roman" w:eastAsia="Arial" w:hAnsi="Times New Roman" w:cs="Times New Roman"/>
          <w:sz w:val="28"/>
          <w:szCs w:val="28"/>
          <w:lang w:eastAsia="en-ZA"/>
        </w:rPr>
        <w:t xml:space="preserve"> payment was not made, an order entitling it to disconnect the electricity supply to the PRASA section ‘situated within the…shopping centre’. This latter claim was not pursued.  CPC </w:t>
      </w:r>
      <w:r w:rsidR="009A7FA6" w:rsidRPr="00876F97">
        <w:rPr>
          <w:rFonts w:ascii="Times New Roman" w:eastAsia="Arial" w:hAnsi="Times New Roman" w:cs="Times New Roman"/>
          <w:sz w:val="28"/>
          <w:szCs w:val="28"/>
          <w:lang w:eastAsia="en-ZA"/>
        </w:rPr>
        <w:t>founded</w:t>
      </w:r>
      <w:r w:rsidR="00071BB6" w:rsidRPr="00876F97">
        <w:rPr>
          <w:rFonts w:ascii="Times New Roman" w:eastAsia="Arial" w:hAnsi="Times New Roman" w:cs="Times New Roman"/>
          <w:sz w:val="28"/>
          <w:szCs w:val="28"/>
          <w:lang w:eastAsia="en-ZA"/>
        </w:rPr>
        <w:t xml:space="preserve"> its claim upon the </w:t>
      </w:r>
      <w:r w:rsidR="008B27E8" w:rsidRPr="00876F97">
        <w:rPr>
          <w:rFonts w:ascii="Times New Roman" w:eastAsia="Arial" w:hAnsi="Times New Roman" w:cs="Times New Roman"/>
          <w:sz w:val="28"/>
          <w:szCs w:val="28"/>
          <w:lang w:eastAsia="en-ZA"/>
        </w:rPr>
        <w:t xml:space="preserve">SOB agreement and clause 17 of the </w:t>
      </w:r>
      <w:r w:rsidR="00917ADB" w:rsidRPr="00876F97">
        <w:rPr>
          <w:rFonts w:ascii="Times New Roman" w:eastAsia="Arial" w:hAnsi="Times New Roman" w:cs="Times New Roman"/>
          <w:sz w:val="28"/>
          <w:szCs w:val="28"/>
          <w:lang w:eastAsia="en-ZA"/>
        </w:rPr>
        <w:t>Co-ordination</w:t>
      </w:r>
      <w:r w:rsidR="008B27E8" w:rsidRPr="00876F97">
        <w:rPr>
          <w:rFonts w:ascii="Times New Roman" w:eastAsia="Arial" w:hAnsi="Times New Roman" w:cs="Times New Roman"/>
          <w:sz w:val="28"/>
          <w:szCs w:val="28"/>
          <w:lang w:eastAsia="en-ZA"/>
        </w:rPr>
        <w:t xml:space="preserve"> Agreement. It averred it had concluded a service agreement with </w:t>
      </w:r>
      <w:r w:rsidR="00997489" w:rsidRPr="00876F97">
        <w:rPr>
          <w:rFonts w:ascii="Times New Roman" w:eastAsia="Arial" w:hAnsi="Times New Roman" w:cs="Times New Roman"/>
          <w:sz w:val="28"/>
          <w:szCs w:val="28"/>
          <w:lang w:eastAsia="en-ZA"/>
        </w:rPr>
        <w:t>eTh</w:t>
      </w:r>
      <w:r w:rsidR="008B27E8" w:rsidRPr="00876F97">
        <w:rPr>
          <w:rFonts w:ascii="Times New Roman" w:eastAsia="Arial" w:hAnsi="Times New Roman" w:cs="Times New Roman"/>
          <w:sz w:val="28"/>
          <w:szCs w:val="28"/>
          <w:lang w:eastAsia="en-ZA"/>
        </w:rPr>
        <w:t xml:space="preserve">ekwini to </w:t>
      </w:r>
      <w:r w:rsidR="008B27E8" w:rsidRPr="00876F97">
        <w:rPr>
          <w:rFonts w:ascii="Times New Roman" w:eastAsia="Arial" w:hAnsi="Times New Roman" w:cs="Times New Roman"/>
          <w:sz w:val="28"/>
          <w:szCs w:val="28"/>
          <w:lang w:eastAsia="en-ZA"/>
        </w:rPr>
        <w:lastRenderedPageBreak/>
        <w:t xml:space="preserve">supply electricity to the shopping centre. Electricity was supplied to the portion </w:t>
      </w:r>
      <w:r w:rsidR="00601743" w:rsidRPr="00876F97">
        <w:rPr>
          <w:rFonts w:ascii="Times New Roman" w:eastAsia="Arial" w:hAnsi="Times New Roman" w:cs="Times New Roman"/>
          <w:sz w:val="28"/>
          <w:szCs w:val="28"/>
          <w:lang w:eastAsia="en-ZA"/>
        </w:rPr>
        <w:t>occupied</w:t>
      </w:r>
      <w:r w:rsidR="008B27E8" w:rsidRPr="00876F97">
        <w:rPr>
          <w:rFonts w:ascii="Times New Roman" w:eastAsia="Arial" w:hAnsi="Times New Roman" w:cs="Times New Roman"/>
          <w:sz w:val="28"/>
          <w:szCs w:val="28"/>
          <w:lang w:eastAsia="en-ZA"/>
        </w:rPr>
        <w:t xml:space="preserve"> by PRASA via a sub-meter. PRASA was obl</w:t>
      </w:r>
      <w:r w:rsidR="00A309CE" w:rsidRPr="00876F97">
        <w:rPr>
          <w:rFonts w:ascii="Times New Roman" w:eastAsia="Arial" w:hAnsi="Times New Roman" w:cs="Times New Roman"/>
          <w:sz w:val="28"/>
          <w:szCs w:val="28"/>
          <w:lang w:eastAsia="en-ZA"/>
        </w:rPr>
        <w:t>iged, in terms of clause 17, to pay for service consumption charges</w:t>
      </w:r>
      <w:r w:rsidR="00CD3741" w:rsidRPr="00876F97">
        <w:rPr>
          <w:rFonts w:ascii="Times New Roman" w:eastAsia="Arial" w:hAnsi="Times New Roman" w:cs="Times New Roman"/>
          <w:sz w:val="28"/>
          <w:szCs w:val="28"/>
          <w:lang w:eastAsia="en-ZA"/>
        </w:rPr>
        <w:t xml:space="preserve"> </w:t>
      </w:r>
      <w:r w:rsidR="009A7FA6" w:rsidRPr="00876F97">
        <w:rPr>
          <w:rFonts w:ascii="Times New Roman" w:eastAsia="Arial" w:hAnsi="Times New Roman" w:cs="Times New Roman"/>
          <w:sz w:val="28"/>
          <w:szCs w:val="28"/>
          <w:lang w:eastAsia="en-ZA"/>
        </w:rPr>
        <w:t>and since those had been paid by CPC</w:t>
      </w:r>
      <w:r w:rsidR="0035789D" w:rsidRPr="00876F97">
        <w:rPr>
          <w:rFonts w:ascii="Times New Roman" w:eastAsia="Arial" w:hAnsi="Times New Roman" w:cs="Times New Roman"/>
          <w:sz w:val="28"/>
          <w:szCs w:val="28"/>
          <w:lang w:eastAsia="en-ZA"/>
        </w:rPr>
        <w:t xml:space="preserve"> it was entitled to recover the amount from PRASA. In its founding affidavit, CPC expressly disavowed any reliance upon the </w:t>
      </w:r>
      <w:r w:rsidR="00F21B40" w:rsidRPr="00876F97">
        <w:rPr>
          <w:rFonts w:ascii="Times New Roman" w:eastAsia="Arial" w:hAnsi="Times New Roman" w:cs="Times New Roman"/>
          <w:sz w:val="28"/>
          <w:szCs w:val="28"/>
          <w:lang w:eastAsia="en-ZA"/>
        </w:rPr>
        <w:t xml:space="preserve">subsequently cancelled </w:t>
      </w:r>
      <w:r w:rsidR="0035789D" w:rsidRPr="00876F97">
        <w:rPr>
          <w:rFonts w:ascii="Times New Roman" w:eastAsia="Arial" w:hAnsi="Times New Roman" w:cs="Times New Roman"/>
          <w:sz w:val="28"/>
          <w:szCs w:val="28"/>
          <w:lang w:eastAsia="en-ZA"/>
        </w:rPr>
        <w:t>agreement to settle the dispute and an acknowledg</w:t>
      </w:r>
      <w:r w:rsidR="00934237" w:rsidRPr="00876F97">
        <w:rPr>
          <w:rFonts w:ascii="Times New Roman" w:eastAsia="Arial" w:hAnsi="Times New Roman" w:cs="Times New Roman"/>
          <w:sz w:val="28"/>
          <w:szCs w:val="28"/>
          <w:lang w:eastAsia="en-ZA"/>
        </w:rPr>
        <w:t>e</w:t>
      </w:r>
      <w:r w:rsidR="0035789D" w:rsidRPr="00876F97">
        <w:rPr>
          <w:rFonts w:ascii="Times New Roman" w:eastAsia="Arial" w:hAnsi="Times New Roman" w:cs="Times New Roman"/>
          <w:sz w:val="28"/>
          <w:szCs w:val="28"/>
          <w:lang w:eastAsia="en-ZA"/>
        </w:rPr>
        <w:t>ment of debt as cause</w:t>
      </w:r>
      <w:r w:rsidR="00F21B40" w:rsidRPr="00876F97">
        <w:rPr>
          <w:rFonts w:ascii="Times New Roman" w:eastAsia="Arial" w:hAnsi="Times New Roman" w:cs="Times New Roman"/>
          <w:sz w:val="28"/>
          <w:szCs w:val="28"/>
          <w:lang w:eastAsia="en-ZA"/>
        </w:rPr>
        <w:t>s</w:t>
      </w:r>
      <w:r w:rsidR="0035789D" w:rsidRPr="00876F97">
        <w:rPr>
          <w:rFonts w:ascii="Times New Roman" w:eastAsia="Arial" w:hAnsi="Times New Roman" w:cs="Times New Roman"/>
          <w:sz w:val="28"/>
          <w:szCs w:val="28"/>
          <w:lang w:eastAsia="en-ZA"/>
        </w:rPr>
        <w:t xml:space="preserve"> of action. </w:t>
      </w:r>
    </w:p>
    <w:p w14:paraId="35BF974D" w14:textId="77777777" w:rsidR="00751259" w:rsidRPr="006546A0" w:rsidRDefault="00751259" w:rsidP="00751259">
      <w:pPr>
        <w:pStyle w:val="ListParagraph"/>
        <w:spacing w:after="0" w:line="360" w:lineRule="auto"/>
        <w:ind w:left="0"/>
        <w:jc w:val="both"/>
        <w:rPr>
          <w:rFonts w:ascii="Times New Roman" w:eastAsia="Arial" w:hAnsi="Times New Roman" w:cs="Times New Roman"/>
          <w:sz w:val="28"/>
          <w:szCs w:val="28"/>
          <w:lang w:eastAsia="en-ZA"/>
        </w:rPr>
      </w:pPr>
    </w:p>
    <w:p w14:paraId="4CB47C27" w14:textId="528FA8DF" w:rsidR="008A4E5F" w:rsidRPr="00876F97" w:rsidRDefault="00876F97" w:rsidP="00876F97">
      <w:pPr>
        <w:spacing w:after="0" w:line="360" w:lineRule="auto"/>
        <w:jc w:val="both"/>
        <w:rPr>
          <w:rFonts w:ascii="Times New Roman" w:eastAsia="Arial" w:hAnsi="Times New Roman" w:cs="Times New Roman"/>
          <w:sz w:val="28"/>
          <w:szCs w:val="28"/>
          <w:lang w:eastAsia="en-ZA"/>
        </w:rPr>
      </w:pPr>
      <w:r w:rsidRPr="006546A0">
        <w:rPr>
          <w:rFonts w:ascii="Times New Roman" w:eastAsia="Arial" w:hAnsi="Times New Roman" w:cs="Times New Roman"/>
          <w:sz w:val="28"/>
          <w:szCs w:val="28"/>
          <w:lang w:eastAsia="en-ZA"/>
        </w:rPr>
        <w:t>[10]</w:t>
      </w:r>
      <w:r w:rsidRPr="006546A0">
        <w:rPr>
          <w:rFonts w:ascii="Times New Roman" w:eastAsia="Arial" w:hAnsi="Times New Roman" w:cs="Times New Roman"/>
          <w:sz w:val="28"/>
          <w:szCs w:val="28"/>
          <w:lang w:eastAsia="en-ZA"/>
        </w:rPr>
        <w:tab/>
      </w:r>
      <w:r w:rsidR="001673C6" w:rsidRPr="00876F97">
        <w:rPr>
          <w:rFonts w:ascii="Times New Roman" w:eastAsia="Arial" w:hAnsi="Times New Roman" w:cs="Times New Roman"/>
          <w:sz w:val="28"/>
          <w:szCs w:val="28"/>
          <w:lang w:eastAsia="en-ZA"/>
        </w:rPr>
        <w:t>Its alternative claim was premised on the a</w:t>
      </w:r>
      <w:r w:rsidR="008A4E5F" w:rsidRPr="00876F97">
        <w:rPr>
          <w:rFonts w:ascii="Times New Roman" w:eastAsia="Arial" w:hAnsi="Times New Roman" w:cs="Times New Roman"/>
          <w:sz w:val="28"/>
          <w:szCs w:val="28"/>
          <w:lang w:eastAsia="en-ZA"/>
        </w:rPr>
        <w:t>lleg</w:t>
      </w:r>
      <w:r w:rsidR="001673C6" w:rsidRPr="00876F97">
        <w:rPr>
          <w:rFonts w:ascii="Times New Roman" w:eastAsia="Arial" w:hAnsi="Times New Roman" w:cs="Times New Roman"/>
          <w:sz w:val="28"/>
          <w:szCs w:val="28"/>
          <w:lang w:eastAsia="en-ZA"/>
        </w:rPr>
        <w:t>ation</w:t>
      </w:r>
      <w:r w:rsidR="008A4E5F" w:rsidRPr="00876F97">
        <w:rPr>
          <w:rFonts w:ascii="Times New Roman" w:eastAsia="Arial" w:hAnsi="Times New Roman" w:cs="Times New Roman"/>
          <w:sz w:val="28"/>
          <w:szCs w:val="28"/>
          <w:lang w:eastAsia="en-ZA"/>
        </w:rPr>
        <w:t xml:space="preserve"> that PRASA was unjustifiably enriched at the expense of CPC because of its consumption of electricity without payment. </w:t>
      </w:r>
      <w:r w:rsidR="00751259" w:rsidRPr="00876F97">
        <w:rPr>
          <w:rFonts w:ascii="Times New Roman" w:eastAsia="Arial" w:hAnsi="Times New Roman" w:cs="Times New Roman"/>
          <w:sz w:val="28"/>
          <w:szCs w:val="28"/>
          <w:lang w:eastAsia="en-ZA"/>
        </w:rPr>
        <w:t xml:space="preserve">CPC was impoverished to the extent that it had paid </w:t>
      </w:r>
      <w:r w:rsidR="00997489" w:rsidRPr="00876F97">
        <w:rPr>
          <w:rFonts w:ascii="Times New Roman" w:eastAsia="Arial" w:hAnsi="Times New Roman" w:cs="Times New Roman"/>
          <w:sz w:val="28"/>
          <w:szCs w:val="28"/>
          <w:lang w:eastAsia="en-ZA"/>
        </w:rPr>
        <w:t>eTh</w:t>
      </w:r>
      <w:r w:rsidR="00751259" w:rsidRPr="00876F97">
        <w:rPr>
          <w:rFonts w:ascii="Times New Roman" w:eastAsia="Arial" w:hAnsi="Times New Roman" w:cs="Times New Roman"/>
          <w:sz w:val="28"/>
          <w:szCs w:val="28"/>
          <w:lang w:eastAsia="en-ZA"/>
        </w:rPr>
        <w:t>ekwini. On this basis</w:t>
      </w:r>
      <w:r w:rsidR="002F3CCF" w:rsidRPr="00876F97">
        <w:rPr>
          <w:rFonts w:ascii="Times New Roman" w:eastAsia="Arial" w:hAnsi="Times New Roman" w:cs="Times New Roman"/>
          <w:sz w:val="28"/>
          <w:szCs w:val="28"/>
          <w:lang w:eastAsia="en-ZA"/>
        </w:rPr>
        <w:t>,</w:t>
      </w:r>
      <w:r w:rsidR="00751259" w:rsidRPr="00876F97">
        <w:rPr>
          <w:rFonts w:ascii="Times New Roman" w:eastAsia="Arial" w:hAnsi="Times New Roman" w:cs="Times New Roman"/>
          <w:sz w:val="28"/>
          <w:szCs w:val="28"/>
          <w:lang w:eastAsia="en-ZA"/>
        </w:rPr>
        <w:t xml:space="preserve"> CPC </w:t>
      </w:r>
      <w:r w:rsidR="002F3CCF" w:rsidRPr="00876F97">
        <w:rPr>
          <w:rFonts w:ascii="Times New Roman" w:eastAsia="Arial" w:hAnsi="Times New Roman" w:cs="Times New Roman"/>
          <w:sz w:val="28"/>
          <w:szCs w:val="28"/>
          <w:lang w:eastAsia="en-ZA"/>
        </w:rPr>
        <w:t>claimed that it was</w:t>
      </w:r>
      <w:r w:rsidR="00751259" w:rsidRPr="00876F97">
        <w:rPr>
          <w:rFonts w:ascii="Times New Roman" w:eastAsia="Arial" w:hAnsi="Times New Roman" w:cs="Times New Roman"/>
          <w:sz w:val="28"/>
          <w:szCs w:val="28"/>
          <w:lang w:eastAsia="en-ZA"/>
        </w:rPr>
        <w:t xml:space="preserve"> entitled to be compensated by PRASA for the cost of the electricity consumed by PRASA over the period.</w:t>
      </w:r>
    </w:p>
    <w:p w14:paraId="4D3716A8" w14:textId="77777777" w:rsidR="007F7E7F" w:rsidRPr="006546A0" w:rsidRDefault="007F7E7F" w:rsidP="007F7E7F">
      <w:pPr>
        <w:pStyle w:val="ListParagraph"/>
        <w:spacing w:after="0" w:line="360" w:lineRule="auto"/>
        <w:ind w:left="0"/>
        <w:jc w:val="both"/>
        <w:rPr>
          <w:rFonts w:ascii="Times New Roman" w:eastAsia="Arial" w:hAnsi="Times New Roman" w:cs="Times New Roman"/>
          <w:sz w:val="28"/>
          <w:szCs w:val="28"/>
          <w:lang w:eastAsia="en-ZA"/>
        </w:rPr>
      </w:pPr>
    </w:p>
    <w:p w14:paraId="7675A8A9" w14:textId="2D19B3A8" w:rsidR="003819BB" w:rsidRPr="00876F97" w:rsidRDefault="00876F97" w:rsidP="00876F97">
      <w:pPr>
        <w:spacing w:after="0" w:line="360" w:lineRule="auto"/>
        <w:jc w:val="both"/>
        <w:rPr>
          <w:rFonts w:ascii="Times New Roman" w:eastAsia="Arial" w:hAnsi="Times New Roman" w:cs="Times New Roman"/>
          <w:sz w:val="28"/>
          <w:szCs w:val="28"/>
          <w:lang w:eastAsia="en-ZA"/>
        </w:rPr>
      </w:pPr>
      <w:r w:rsidRPr="006546A0">
        <w:rPr>
          <w:rFonts w:ascii="Times New Roman" w:eastAsia="Arial" w:hAnsi="Times New Roman" w:cs="Times New Roman"/>
          <w:sz w:val="28"/>
          <w:szCs w:val="28"/>
          <w:lang w:eastAsia="en-ZA"/>
        </w:rPr>
        <w:t>[11]</w:t>
      </w:r>
      <w:r w:rsidRPr="006546A0">
        <w:rPr>
          <w:rFonts w:ascii="Times New Roman" w:eastAsia="Arial" w:hAnsi="Times New Roman" w:cs="Times New Roman"/>
          <w:sz w:val="28"/>
          <w:szCs w:val="28"/>
          <w:lang w:eastAsia="en-ZA"/>
        </w:rPr>
        <w:tab/>
      </w:r>
      <w:r w:rsidR="003819BB" w:rsidRPr="00876F97">
        <w:rPr>
          <w:rFonts w:ascii="Times New Roman" w:eastAsia="Arial" w:hAnsi="Times New Roman" w:cs="Times New Roman"/>
          <w:sz w:val="28"/>
          <w:szCs w:val="28"/>
          <w:lang w:eastAsia="en-ZA"/>
        </w:rPr>
        <w:t xml:space="preserve">PRASA raised </w:t>
      </w:r>
      <w:r w:rsidR="00F0756D" w:rsidRPr="00876F97">
        <w:rPr>
          <w:rFonts w:ascii="Times New Roman" w:eastAsia="Arial" w:hAnsi="Times New Roman" w:cs="Times New Roman"/>
          <w:sz w:val="28"/>
          <w:szCs w:val="28"/>
          <w:lang w:eastAsia="en-ZA"/>
        </w:rPr>
        <w:t>the following</w:t>
      </w:r>
      <w:r w:rsidR="003819BB" w:rsidRPr="00876F97">
        <w:rPr>
          <w:rFonts w:ascii="Times New Roman" w:eastAsia="Arial" w:hAnsi="Times New Roman" w:cs="Times New Roman"/>
          <w:sz w:val="28"/>
          <w:szCs w:val="28"/>
          <w:lang w:eastAsia="en-ZA"/>
        </w:rPr>
        <w:t xml:space="preserve"> defences.</w:t>
      </w:r>
      <w:r w:rsidR="003819BB" w:rsidRPr="006546A0">
        <w:rPr>
          <w:rStyle w:val="FootnoteReference"/>
          <w:rFonts w:ascii="Times New Roman" w:eastAsia="Arial" w:hAnsi="Times New Roman" w:cs="Times New Roman"/>
          <w:sz w:val="28"/>
          <w:szCs w:val="28"/>
          <w:lang w:eastAsia="en-ZA"/>
        </w:rPr>
        <w:footnoteReference w:id="4"/>
      </w:r>
      <w:r w:rsidR="00A05226" w:rsidRPr="00876F97">
        <w:rPr>
          <w:rFonts w:ascii="Times New Roman" w:eastAsia="Arial" w:hAnsi="Times New Roman" w:cs="Times New Roman"/>
          <w:sz w:val="28"/>
          <w:szCs w:val="28"/>
          <w:lang w:eastAsia="en-ZA"/>
        </w:rPr>
        <w:t xml:space="preserve"> The</w:t>
      </w:r>
      <w:r w:rsidR="00887A86" w:rsidRPr="00876F97">
        <w:rPr>
          <w:rFonts w:ascii="Times New Roman" w:eastAsia="Arial" w:hAnsi="Times New Roman" w:cs="Times New Roman"/>
          <w:sz w:val="28"/>
          <w:szCs w:val="28"/>
          <w:lang w:eastAsia="en-ZA"/>
        </w:rPr>
        <w:t xml:space="preserve"> first was </w:t>
      </w:r>
      <w:r w:rsidR="00A05226" w:rsidRPr="00876F97">
        <w:rPr>
          <w:rFonts w:ascii="Times New Roman" w:eastAsia="Arial" w:hAnsi="Times New Roman" w:cs="Times New Roman"/>
          <w:sz w:val="28"/>
          <w:szCs w:val="28"/>
          <w:lang w:eastAsia="en-ZA"/>
        </w:rPr>
        <w:t>that clause 17 of the Co</w:t>
      </w:r>
      <w:r w:rsidR="00934237" w:rsidRPr="00876F97">
        <w:rPr>
          <w:rFonts w:ascii="Times New Roman" w:eastAsia="Arial" w:hAnsi="Times New Roman" w:cs="Times New Roman"/>
          <w:sz w:val="28"/>
          <w:szCs w:val="28"/>
          <w:lang w:eastAsia="en-ZA"/>
        </w:rPr>
        <w:t>-</w:t>
      </w:r>
      <w:r w:rsidR="00A05226" w:rsidRPr="00876F97">
        <w:rPr>
          <w:rFonts w:ascii="Times New Roman" w:eastAsia="Arial" w:hAnsi="Times New Roman" w:cs="Times New Roman"/>
          <w:sz w:val="28"/>
          <w:szCs w:val="28"/>
          <w:lang w:eastAsia="en-ZA"/>
        </w:rPr>
        <w:t xml:space="preserve">ordination Agreement </w:t>
      </w:r>
      <w:r w:rsidR="0035789D" w:rsidRPr="00876F97">
        <w:rPr>
          <w:rFonts w:ascii="Times New Roman" w:eastAsia="Arial" w:hAnsi="Times New Roman" w:cs="Times New Roman"/>
          <w:sz w:val="28"/>
          <w:szCs w:val="28"/>
          <w:lang w:eastAsia="en-ZA"/>
        </w:rPr>
        <w:t>was a term of agreement</w:t>
      </w:r>
      <w:r w:rsidR="00A05226" w:rsidRPr="00876F97">
        <w:rPr>
          <w:rFonts w:ascii="Times New Roman" w:eastAsia="Arial" w:hAnsi="Times New Roman" w:cs="Times New Roman"/>
          <w:sz w:val="28"/>
          <w:szCs w:val="28"/>
          <w:lang w:eastAsia="en-ZA"/>
        </w:rPr>
        <w:t xml:space="preserve"> between </w:t>
      </w:r>
      <w:r w:rsidR="00272529" w:rsidRPr="00876F97">
        <w:rPr>
          <w:rFonts w:ascii="Times New Roman" w:eastAsia="Arial" w:hAnsi="Times New Roman" w:cs="Times New Roman"/>
          <w:sz w:val="28"/>
          <w:szCs w:val="28"/>
          <w:lang w:eastAsia="en-ZA"/>
        </w:rPr>
        <w:t>Crowie</w:t>
      </w:r>
      <w:r w:rsidR="00A05226" w:rsidRPr="00876F97">
        <w:rPr>
          <w:rFonts w:ascii="Times New Roman" w:eastAsia="Arial" w:hAnsi="Times New Roman" w:cs="Times New Roman"/>
          <w:sz w:val="28"/>
          <w:szCs w:val="28"/>
          <w:lang w:eastAsia="en-ZA"/>
        </w:rPr>
        <w:t xml:space="preserve"> Projects and PRASA. CPC therefore did not, in the absence of a cession, have any contractual right to claim the money from PRASA. It alleged that, </w:t>
      </w:r>
      <w:r w:rsidR="0035789D" w:rsidRPr="00876F97">
        <w:rPr>
          <w:rFonts w:ascii="Times New Roman" w:eastAsia="Arial" w:hAnsi="Times New Roman" w:cs="Times New Roman"/>
          <w:sz w:val="28"/>
          <w:szCs w:val="28"/>
          <w:lang w:eastAsia="en-ZA"/>
        </w:rPr>
        <w:t>in any event, since the</w:t>
      </w:r>
      <w:r w:rsidR="00A05226" w:rsidRPr="00876F97">
        <w:rPr>
          <w:rFonts w:ascii="Times New Roman" w:eastAsia="Arial" w:hAnsi="Times New Roman" w:cs="Times New Roman"/>
          <w:sz w:val="28"/>
          <w:szCs w:val="28"/>
          <w:lang w:eastAsia="en-ZA"/>
        </w:rPr>
        <w:t xml:space="preserve"> claim related to charges raised since October 2013</w:t>
      </w:r>
      <w:r w:rsidR="0035789D" w:rsidRPr="00876F97">
        <w:rPr>
          <w:rFonts w:ascii="Times New Roman" w:eastAsia="Arial" w:hAnsi="Times New Roman" w:cs="Times New Roman"/>
          <w:sz w:val="28"/>
          <w:szCs w:val="28"/>
          <w:lang w:eastAsia="en-ZA"/>
        </w:rPr>
        <w:t xml:space="preserve">, a </w:t>
      </w:r>
      <w:r w:rsidR="007F7E7F" w:rsidRPr="00876F97">
        <w:rPr>
          <w:rFonts w:ascii="Times New Roman" w:eastAsia="Arial" w:hAnsi="Times New Roman" w:cs="Times New Roman"/>
          <w:sz w:val="28"/>
          <w:szCs w:val="28"/>
          <w:lang w:eastAsia="en-ZA"/>
        </w:rPr>
        <w:t>substantial</w:t>
      </w:r>
      <w:r w:rsidR="00A05226" w:rsidRPr="00876F97">
        <w:rPr>
          <w:rFonts w:ascii="Times New Roman" w:eastAsia="Arial" w:hAnsi="Times New Roman" w:cs="Times New Roman"/>
          <w:sz w:val="28"/>
          <w:szCs w:val="28"/>
          <w:lang w:eastAsia="en-ZA"/>
        </w:rPr>
        <w:t xml:space="preserve"> portion of it had become prescribed.  </w:t>
      </w:r>
      <w:r w:rsidR="007A0BDF" w:rsidRPr="00876F97">
        <w:rPr>
          <w:rFonts w:ascii="Times New Roman" w:eastAsia="Arial" w:hAnsi="Times New Roman" w:cs="Times New Roman"/>
          <w:sz w:val="28"/>
          <w:szCs w:val="28"/>
          <w:lang w:eastAsia="en-ZA"/>
        </w:rPr>
        <w:t>Secondly, o</w:t>
      </w:r>
      <w:r w:rsidR="0035789D" w:rsidRPr="00876F97">
        <w:rPr>
          <w:rFonts w:ascii="Times New Roman" w:eastAsia="Arial" w:hAnsi="Times New Roman" w:cs="Times New Roman"/>
          <w:sz w:val="28"/>
          <w:szCs w:val="28"/>
          <w:lang w:eastAsia="en-ZA"/>
        </w:rPr>
        <w:t xml:space="preserve">n the merits of the claim, </w:t>
      </w:r>
      <w:r w:rsidR="00A05226" w:rsidRPr="00876F97">
        <w:rPr>
          <w:rFonts w:ascii="Times New Roman" w:eastAsia="Arial" w:hAnsi="Times New Roman" w:cs="Times New Roman"/>
          <w:sz w:val="28"/>
          <w:szCs w:val="28"/>
          <w:lang w:eastAsia="en-ZA"/>
        </w:rPr>
        <w:t xml:space="preserve">PRASA </w:t>
      </w:r>
      <w:r w:rsidR="0035789D" w:rsidRPr="00876F97">
        <w:rPr>
          <w:rFonts w:ascii="Times New Roman" w:eastAsia="Arial" w:hAnsi="Times New Roman" w:cs="Times New Roman"/>
          <w:sz w:val="28"/>
          <w:szCs w:val="28"/>
          <w:lang w:eastAsia="en-ZA"/>
        </w:rPr>
        <w:t xml:space="preserve">asserted that </w:t>
      </w:r>
      <w:r w:rsidR="00A05226" w:rsidRPr="00876F97">
        <w:rPr>
          <w:rFonts w:ascii="Times New Roman" w:eastAsia="Arial" w:hAnsi="Times New Roman" w:cs="Times New Roman"/>
          <w:sz w:val="28"/>
          <w:szCs w:val="28"/>
          <w:lang w:eastAsia="en-ZA"/>
        </w:rPr>
        <w:t xml:space="preserve">it had paid all amounts due to </w:t>
      </w:r>
      <w:r w:rsidR="003B401F" w:rsidRPr="00876F97">
        <w:rPr>
          <w:rFonts w:ascii="Times New Roman" w:eastAsia="Arial" w:hAnsi="Times New Roman" w:cs="Times New Roman"/>
          <w:sz w:val="28"/>
          <w:szCs w:val="28"/>
          <w:lang w:eastAsia="en-ZA"/>
        </w:rPr>
        <w:t>eT</w:t>
      </w:r>
      <w:r w:rsidR="00A05226" w:rsidRPr="00876F97">
        <w:rPr>
          <w:rFonts w:ascii="Times New Roman" w:eastAsia="Arial" w:hAnsi="Times New Roman" w:cs="Times New Roman"/>
          <w:sz w:val="28"/>
          <w:szCs w:val="28"/>
          <w:lang w:eastAsia="en-ZA"/>
        </w:rPr>
        <w:t>hekwini and that it was not in arrears</w:t>
      </w:r>
      <w:r w:rsidR="007F7E7F" w:rsidRPr="00876F97">
        <w:rPr>
          <w:rFonts w:ascii="Times New Roman" w:eastAsia="Arial" w:hAnsi="Times New Roman" w:cs="Times New Roman"/>
          <w:sz w:val="28"/>
          <w:szCs w:val="28"/>
          <w:lang w:eastAsia="en-ZA"/>
        </w:rPr>
        <w:t>.</w:t>
      </w:r>
      <w:r w:rsidR="00751259" w:rsidRPr="00876F97">
        <w:rPr>
          <w:rFonts w:ascii="Times New Roman" w:eastAsia="Arial" w:hAnsi="Times New Roman" w:cs="Times New Roman"/>
          <w:sz w:val="28"/>
          <w:szCs w:val="28"/>
          <w:lang w:eastAsia="en-ZA"/>
        </w:rPr>
        <w:t xml:space="preserve"> </w:t>
      </w:r>
      <w:r w:rsidR="00DF062E" w:rsidRPr="00876F97">
        <w:rPr>
          <w:rFonts w:ascii="Times New Roman" w:eastAsia="Arial" w:hAnsi="Times New Roman" w:cs="Times New Roman"/>
          <w:sz w:val="28"/>
          <w:szCs w:val="28"/>
          <w:lang w:eastAsia="en-ZA"/>
        </w:rPr>
        <w:t>Finally, i</w:t>
      </w:r>
      <w:r w:rsidR="00751259" w:rsidRPr="00876F97">
        <w:rPr>
          <w:rFonts w:ascii="Times New Roman" w:eastAsia="Arial" w:hAnsi="Times New Roman" w:cs="Times New Roman"/>
          <w:sz w:val="28"/>
          <w:szCs w:val="28"/>
          <w:lang w:eastAsia="en-ZA"/>
        </w:rPr>
        <w:t xml:space="preserve">n relation to the alleged enrichment claim, it averred that </w:t>
      </w:r>
      <w:r w:rsidR="00DF062E" w:rsidRPr="00876F97">
        <w:rPr>
          <w:rFonts w:ascii="Times New Roman" w:eastAsia="Arial" w:hAnsi="Times New Roman" w:cs="Times New Roman"/>
          <w:sz w:val="28"/>
          <w:szCs w:val="28"/>
          <w:lang w:eastAsia="en-ZA"/>
        </w:rPr>
        <w:t>any such</w:t>
      </w:r>
      <w:r w:rsidR="00751259" w:rsidRPr="00876F97">
        <w:rPr>
          <w:rFonts w:ascii="Times New Roman" w:eastAsia="Arial" w:hAnsi="Times New Roman" w:cs="Times New Roman"/>
          <w:sz w:val="28"/>
          <w:szCs w:val="28"/>
          <w:lang w:eastAsia="en-ZA"/>
        </w:rPr>
        <w:t xml:space="preserve"> claim lay against </w:t>
      </w:r>
      <w:r w:rsidR="00C16C08" w:rsidRPr="00876F97">
        <w:rPr>
          <w:rFonts w:ascii="Times New Roman" w:eastAsia="Arial" w:hAnsi="Times New Roman" w:cs="Times New Roman"/>
          <w:sz w:val="28"/>
          <w:szCs w:val="28"/>
          <w:lang w:eastAsia="en-ZA"/>
        </w:rPr>
        <w:t>eThekwini</w:t>
      </w:r>
      <w:r w:rsidR="00751259" w:rsidRPr="00876F97">
        <w:rPr>
          <w:rFonts w:ascii="Times New Roman" w:eastAsia="Arial" w:hAnsi="Times New Roman" w:cs="Times New Roman"/>
          <w:sz w:val="28"/>
          <w:szCs w:val="28"/>
          <w:lang w:eastAsia="en-ZA"/>
        </w:rPr>
        <w:t>.</w:t>
      </w:r>
      <w:r w:rsidR="0035789D" w:rsidRPr="00876F97">
        <w:rPr>
          <w:rFonts w:ascii="Times New Roman" w:eastAsia="Arial" w:hAnsi="Times New Roman" w:cs="Times New Roman"/>
          <w:sz w:val="28"/>
          <w:szCs w:val="28"/>
          <w:lang w:eastAsia="en-ZA"/>
        </w:rPr>
        <w:t xml:space="preserve"> </w:t>
      </w:r>
    </w:p>
    <w:p w14:paraId="45A40515" w14:textId="77777777" w:rsidR="00853E79" w:rsidRDefault="00853E79" w:rsidP="00853E79">
      <w:pPr>
        <w:pStyle w:val="ListParagraph"/>
        <w:rPr>
          <w:rFonts w:ascii="Times New Roman" w:eastAsia="Arial" w:hAnsi="Times New Roman" w:cs="Times New Roman"/>
          <w:sz w:val="28"/>
          <w:szCs w:val="28"/>
          <w:lang w:eastAsia="en-ZA"/>
        </w:rPr>
      </w:pPr>
    </w:p>
    <w:p w14:paraId="01993766" w14:textId="77777777" w:rsidR="00934237" w:rsidRDefault="00934237" w:rsidP="00853E79">
      <w:pPr>
        <w:pStyle w:val="ListParagraph"/>
        <w:rPr>
          <w:rFonts w:ascii="Times New Roman" w:eastAsia="Arial" w:hAnsi="Times New Roman" w:cs="Times New Roman"/>
          <w:sz w:val="28"/>
          <w:szCs w:val="28"/>
          <w:lang w:eastAsia="en-ZA"/>
        </w:rPr>
      </w:pPr>
    </w:p>
    <w:p w14:paraId="05C2D541" w14:textId="77777777" w:rsidR="00934237" w:rsidRPr="006546A0" w:rsidRDefault="00934237" w:rsidP="00853E79">
      <w:pPr>
        <w:pStyle w:val="ListParagraph"/>
        <w:rPr>
          <w:rFonts w:ascii="Times New Roman" w:eastAsia="Arial" w:hAnsi="Times New Roman" w:cs="Times New Roman"/>
          <w:sz w:val="28"/>
          <w:szCs w:val="28"/>
          <w:lang w:eastAsia="en-ZA"/>
        </w:rPr>
      </w:pPr>
    </w:p>
    <w:p w14:paraId="3B35C274" w14:textId="0107CDF2" w:rsidR="008A4E5F" w:rsidRPr="006546A0" w:rsidRDefault="008A4E5F" w:rsidP="008A4E5F">
      <w:pPr>
        <w:rPr>
          <w:rFonts w:ascii="Times New Roman" w:eastAsia="Arial" w:hAnsi="Times New Roman" w:cs="Times New Roman"/>
          <w:b/>
          <w:bCs/>
          <w:sz w:val="28"/>
          <w:szCs w:val="28"/>
          <w:lang w:eastAsia="en-ZA"/>
        </w:rPr>
      </w:pPr>
      <w:r w:rsidRPr="006546A0">
        <w:rPr>
          <w:rFonts w:ascii="Times New Roman" w:eastAsia="Arial" w:hAnsi="Times New Roman" w:cs="Times New Roman"/>
          <w:b/>
          <w:bCs/>
          <w:sz w:val="28"/>
          <w:szCs w:val="28"/>
          <w:lang w:eastAsia="en-ZA"/>
        </w:rPr>
        <w:lastRenderedPageBreak/>
        <w:t>The appeal</w:t>
      </w:r>
    </w:p>
    <w:p w14:paraId="2FCDF5C0" w14:textId="00970C50" w:rsidR="007F7E7F" w:rsidRPr="00876F97" w:rsidRDefault="00876F97" w:rsidP="00876F97">
      <w:pPr>
        <w:spacing w:after="0" w:line="360" w:lineRule="auto"/>
        <w:jc w:val="both"/>
        <w:rPr>
          <w:rFonts w:ascii="Times New Roman" w:eastAsia="Arial" w:hAnsi="Times New Roman" w:cs="Times New Roman"/>
          <w:sz w:val="28"/>
          <w:szCs w:val="28"/>
          <w:lang w:eastAsia="en-ZA"/>
        </w:rPr>
      </w:pPr>
      <w:r w:rsidRPr="006546A0">
        <w:rPr>
          <w:rFonts w:ascii="Times New Roman" w:eastAsia="Arial" w:hAnsi="Times New Roman" w:cs="Times New Roman"/>
          <w:sz w:val="28"/>
          <w:szCs w:val="28"/>
          <w:lang w:eastAsia="en-ZA"/>
        </w:rPr>
        <w:t>[12]</w:t>
      </w:r>
      <w:r w:rsidRPr="006546A0">
        <w:rPr>
          <w:rFonts w:ascii="Times New Roman" w:eastAsia="Arial" w:hAnsi="Times New Roman" w:cs="Times New Roman"/>
          <w:sz w:val="28"/>
          <w:szCs w:val="28"/>
          <w:lang w:eastAsia="en-ZA"/>
        </w:rPr>
        <w:tab/>
      </w:r>
      <w:r w:rsidR="007F7E7F" w:rsidRPr="00876F97">
        <w:rPr>
          <w:rFonts w:ascii="Times New Roman" w:eastAsia="Arial" w:hAnsi="Times New Roman" w:cs="Times New Roman"/>
          <w:sz w:val="28"/>
          <w:szCs w:val="28"/>
          <w:lang w:eastAsia="en-ZA"/>
        </w:rPr>
        <w:t xml:space="preserve">Only two issues arise for consideration in this appeal. The first is whether CPC has a claim in contract </w:t>
      </w:r>
      <w:r w:rsidR="0035789D" w:rsidRPr="00876F97">
        <w:rPr>
          <w:rFonts w:ascii="Times New Roman" w:eastAsia="Arial" w:hAnsi="Times New Roman" w:cs="Times New Roman"/>
          <w:sz w:val="28"/>
          <w:szCs w:val="28"/>
          <w:lang w:eastAsia="en-ZA"/>
        </w:rPr>
        <w:t xml:space="preserve">to recover the costs of </w:t>
      </w:r>
      <w:r w:rsidR="001673C6" w:rsidRPr="00876F97">
        <w:rPr>
          <w:rFonts w:ascii="Times New Roman" w:eastAsia="Arial" w:hAnsi="Times New Roman" w:cs="Times New Roman"/>
          <w:sz w:val="28"/>
          <w:szCs w:val="28"/>
          <w:lang w:eastAsia="en-ZA"/>
        </w:rPr>
        <w:t xml:space="preserve">electricity </w:t>
      </w:r>
      <w:r w:rsidR="0035789D" w:rsidRPr="00876F97">
        <w:rPr>
          <w:rFonts w:ascii="Times New Roman" w:eastAsia="Arial" w:hAnsi="Times New Roman" w:cs="Times New Roman"/>
          <w:sz w:val="28"/>
          <w:szCs w:val="28"/>
          <w:lang w:eastAsia="en-ZA"/>
        </w:rPr>
        <w:t>consumed by PRASA for which CPC had paid</w:t>
      </w:r>
      <w:r w:rsidR="004C418B" w:rsidRPr="00876F97">
        <w:rPr>
          <w:rFonts w:ascii="Times New Roman" w:eastAsia="Arial" w:hAnsi="Times New Roman" w:cs="Times New Roman"/>
          <w:sz w:val="28"/>
          <w:szCs w:val="28"/>
          <w:lang w:eastAsia="en-ZA"/>
        </w:rPr>
        <w:t xml:space="preserve">. The second, is whether </w:t>
      </w:r>
      <w:r w:rsidR="00F00CF1" w:rsidRPr="00876F97">
        <w:rPr>
          <w:rFonts w:ascii="Times New Roman" w:eastAsia="Arial" w:hAnsi="Times New Roman" w:cs="Times New Roman"/>
          <w:sz w:val="28"/>
          <w:szCs w:val="28"/>
          <w:lang w:eastAsia="en-ZA"/>
        </w:rPr>
        <w:t xml:space="preserve">CPC has an alternative </w:t>
      </w:r>
      <w:r w:rsidR="00A773B6" w:rsidRPr="00876F97">
        <w:rPr>
          <w:rFonts w:ascii="Times New Roman" w:eastAsia="Arial" w:hAnsi="Times New Roman" w:cs="Times New Roman"/>
          <w:sz w:val="28"/>
          <w:szCs w:val="28"/>
          <w:lang w:eastAsia="en-ZA"/>
        </w:rPr>
        <w:t xml:space="preserve">claim </w:t>
      </w:r>
      <w:r w:rsidR="004C418B" w:rsidRPr="00876F97">
        <w:rPr>
          <w:rFonts w:ascii="Times New Roman" w:eastAsia="Arial" w:hAnsi="Times New Roman" w:cs="Times New Roman"/>
          <w:sz w:val="28"/>
          <w:szCs w:val="28"/>
          <w:lang w:eastAsia="en-ZA"/>
        </w:rPr>
        <w:t xml:space="preserve">founded </w:t>
      </w:r>
      <w:r w:rsidR="00F00CF1" w:rsidRPr="00876F97">
        <w:rPr>
          <w:rFonts w:ascii="Times New Roman" w:eastAsia="Arial" w:hAnsi="Times New Roman" w:cs="Times New Roman"/>
          <w:sz w:val="28"/>
          <w:szCs w:val="28"/>
          <w:lang w:eastAsia="en-ZA"/>
        </w:rPr>
        <w:t>on unjustified</w:t>
      </w:r>
      <w:r w:rsidR="004C418B" w:rsidRPr="00876F97">
        <w:rPr>
          <w:rFonts w:ascii="Times New Roman" w:eastAsia="Arial" w:hAnsi="Times New Roman" w:cs="Times New Roman"/>
          <w:sz w:val="28"/>
          <w:szCs w:val="28"/>
          <w:lang w:eastAsia="en-ZA"/>
        </w:rPr>
        <w:t xml:space="preserve"> enrichment. </w:t>
      </w:r>
      <w:r w:rsidR="00F00CF1" w:rsidRPr="00876F97">
        <w:rPr>
          <w:rFonts w:ascii="Times New Roman" w:eastAsia="Arial" w:hAnsi="Times New Roman" w:cs="Times New Roman"/>
          <w:sz w:val="28"/>
          <w:szCs w:val="28"/>
          <w:lang w:eastAsia="en-ZA"/>
        </w:rPr>
        <w:t>PRASA’s pleaded reliance upon</w:t>
      </w:r>
      <w:r w:rsidR="004C418B" w:rsidRPr="00876F97">
        <w:rPr>
          <w:rFonts w:ascii="Times New Roman" w:eastAsia="Arial" w:hAnsi="Times New Roman" w:cs="Times New Roman"/>
          <w:sz w:val="28"/>
          <w:szCs w:val="28"/>
          <w:lang w:eastAsia="en-ZA"/>
        </w:rPr>
        <w:t xml:space="preserve"> prescription remained alive until the hearing</w:t>
      </w:r>
      <w:r w:rsidR="00F00CF1" w:rsidRPr="00876F97">
        <w:rPr>
          <w:rFonts w:ascii="Times New Roman" w:eastAsia="Arial" w:hAnsi="Times New Roman" w:cs="Times New Roman"/>
          <w:sz w:val="28"/>
          <w:szCs w:val="28"/>
          <w:lang w:eastAsia="en-ZA"/>
        </w:rPr>
        <w:t>. However,</w:t>
      </w:r>
      <w:r w:rsidR="004C418B" w:rsidRPr="00876F97">
        <w:rPr>
          <w:rFonts w:ascii="Times New Roman" w:eastAsia="Arial" w:hAnsi="Times New Roman" w:cs="Times New Roman"/>
          <w:sz w:val="28"/>
          <w:szCs w:val="28"/>
          <w:lang w:eastAsia="en-ZA"/>
        </w:rPr>
        <w:t xml:space="preserve"> counsel for PRASA correctly accepted that </w:t>
      </w:r>
      <w:r w:rsidR="00F00CF1" w:rsidRPr="00876F97">
        <w:rPr>
          <w:rFonts w:ascii="Times New Roman" w:eastAsia="Arial" w:hAnsi="Times New Roman" w:cs="Times New Roman"/>
          <w:sz w:val="28"/>
          <w:szCs w:val="28"/>
          <w:lang w:eastAsia="en-ZA"/>
        </w:rPr>
        <w:t>a</w:t>
      </w:r>
      <w:r w:rsidR="004C418B" w:rsidRPr="00876F97">
        <w:rPr>
          <w:rFonts w:ascii="Times New Roman" w:eastAsia="Arial" w:hAnsi="Times New Roman" w:cs="Times New Roman"/>
          <w:sz w:val="28"/>
          <w:szCs w:val="28"/>
          <w:lang w:eastAsia="en-ZA"/>
        </w:rPr>
        <w:t xml:space="preserve"> claim </w:t>
      </w:r>
      <w:r w:rsidR="00F00CF1" w:rsidRPr="00876F97">
        <w:rPr>
          <w:rFonts w:ascii="Times New Roman" w:eastAsia="Arial" w:hAnsi="Times New Roman" w:cs="Times New Roman"/>
          <w:sz w:val="28"/>
          <w:szCs w:val="28"/>
          <w:lang w:eastAsia="en-ZA"/>
        </w:rPr>
        <w:t xml:space="preserve">based on </w:t>
      </w:r>
      <w:r w:rsidR="004C418B" w:rsidRPr="00876F97">
        <w:rPr>
          <w:rFonts w:ascii="Times New Roman" w:eastAsia="Arial" w:hAnsi="Times New Roman" w:cs="Times New Roman"/>
          <w:sz w:val="28"/>
          <w:szCs w:val="28"/>
          <w:lang w:eastAsia="en-ZA"/>
        </w:rPr>
        <w:t>clause 17</w:t>
      </w:r>
      <w:r w:rsidR="00F00CF1" w:rsidRPr="00876F97">
        <w:rPr>
          <w:rFonts w:ascii="Times New Roman" w:eastAsia="Arial" w:hAnsi="Times New Roman" w:cs="Times New Roman"/>
          <w:sz w:val="28"/>
          <w:szCs w:val="28"/>
          <w:lang w:eastAsia="en-ZA"/>
        </w:rPr>
        <w:t xml:space="preserve"> of the Co</w:t>
      </w:r>
      <w:r w:rsidR="00934237" w:rsidRPr="00876F97">
        <w:rPr>
          <w:rFonts w:ascii="Times New Roman" w:eastAsia="Arial" w:hAnsi="Times New Roman" w:cs="Times New Roman"/>
          <w:sz w:val="28"/>
          <w:szCs w:val="28"/>
          <w:lang w:eastAsia="en-ZA"/>
        </w:rPr>
        <w:t>-</w:t>
      </w:r>
      <w:r w:rsidR="00F00CF1" w:rsidRPr="00876F97">
        <w:rPr>
          <w:rFonts w:ascii="Times New Roman" w:eastAsia="Arial" w:hAnsi="Times New Roman" w:cs="Times New Roman"/>
          <w:sz w:val="28"/>
          <w:szCs w:val="28"/>
          <w:lang w:eastAsia="en-ZA"/>
        </w:rPr>
        <w:t>ordination Agreement</w:t>
      </w:r>
      <w:r w:rsidR="004C418B" w:rsidRPr="00876F97">
        <w:rPr>
          <w:rFonts w:ascii="Times New Roman" w:eastAsia="Arial" w:hAnsi="Times New Roman" w:cs="Times New Roman"/>
          <w:sz w:val="28"/>
          <w:szCs w:val="28"/>
          <w:lang w:eastAsia="en-ZA"/>
        </w:rPr>
        <w:t xml:space="preserve">, </w:t>
      </w:r>
      <w:r w:rsidR="00F00CF1" w:rsidRPr="00876F97">
        <w:rPr>
          <w:rFonts w:ascii="Times New Roman" w:eastAsia="Arial" w:hAnsi="Times New Roman" w:cs="Times New Roman"/>
          <w:sz w:val="28"/>
          <w:szCs w:val="28"/>
          <w:lang w:eastAsia="en-ZA"/>
        </w:rPr>
        <w:t xml:space="preserve">could only have arisen when CPC paid </w:t>
      </w:r>
      <w:r w:rsidR="003B401F" w:rsidRPr="00876F97">
        <w:rPr>
          <w:rFonts w:ascii="Times New Roman" w:eastAsia="Arial" w:hAnsi="Times New Roman" w:cs="Times New Roman"/>
          <w:sz w:val="28"/>
          <w:szCs w:val="28"/>
          <w:lang w:eastAsia="en-ZA"/>
        </w:rPr>
        <w:t>eT</w:t>
      </w:r>
      <w:r w:rsidR="00F00CF1" w:rsidRPr="00876F97">
        <w:rPr>
          <w:rFonts w:ascii="Times New Roman" w:eastAsia="Arial" w:hAnsi="Times New Roman" w:cs="Times New Roman"/>
          <w:sz w:val="28"/>
          <w:szCs w:val="28"/>
          <w:lang w:eastAsia="en-ZA"/>
        </w:rPr>
        <w:t xml:space="preserve">hekwini and presented to PRASA its invoice for payment. The facts indicate that payment was made to </w:t>
      </w:r>
      <w:r w:rsidR="006546A0" w:rsidRPr="00876F97">
        <w:rPr>
          <w:rFonts w:ascii="Times New Roman" w:eastAsia="Arial" w:hAnsi="Times New Roman" w:cs="Times New Roman"/>
          <w:sz w:val="28"/>
          <w:szCs w:val="28"/>
          <w:lang w:eastAsia="en-ZA"/>
        </w:rPr>
        <w:t>eThekwini</w:t>
      </w:r>
      <w:r w:rsidR="00F00CF1" w:rsidRPr="00876F97">
        <w:rPr>
          <w:rFonts w:ascii="Times New Roman" w:eastAsia="Arial" w:hAnsi="Times New Roman" w:cs="Times New Roman"/>
          <w:sz w:val="28"/>
          <w:szCs w:val="28"/>
          <w:lang w:eastAsia="en-ZA"/>
        </w:rPr>
        <w:t xml:space="preserve"> in </w:t>
      </w:r>
      <w:r w:rsidR="004C418B" w:rsidRPr="00876F97">
        <w:rPr>
          <w:rFonts w:ascii="Times New Roman" w:eastAsia="Arial" w:hAnsi="Times New Roman" w:cs="Times New Roman"/>
          <w:sz w:val="28"/>
          <w:szCs w:val="28"/>
          <w:lang w:eastAsia="en-ZA"/>
        </w:rPr>
        <w:t>2018</w:t>
      </w:r>
      <w:r w:rsidR="00F00CF1" w:rsidRPr="00876F97">
        <w:rPr>
          <w:rFonts w:ascii="Times New Roman" w:eastAsia="Arial" w:hAnsi="Times New Roman" w:cs="Times New Roman"/>
          <w:sz w:val="28"/>
          <w:szCs w:val="28"/>
          <w:lang w:eastAsia="en-ZA"/>
        </w:rPr>
        <w:t xml:space="preserve">. </w:t>
      </w:r>
      <w:r w:rsidR="00853E79" w:rsidRPr="00876F97">
        <w:rPr>
          <w:rFonts w:ascii="Times New Roman" w:eastAsia="Arial" w:hAnsi="Times New Roman" w:cs="Times New Roman"/>
          <w:sz w:val="28"/>
          <w:szCs w:val="28"/>
          <w:lang w:eastAsia="en-ZA"/>
        </w:rPr>
        <w:t xml:space="preserve"> </w:t>
      </w:r>
      <w:r w:rsidR="00F00CF1" w:rsidRPr="00876F97">
        <w:rPr>
          <w:rFonts w:ascii="Times New Roman" w:eastAsia="Arial" w:hAnsi="Times New Roman" w:cs="Times New Roman"/>
          <w:sz w:val="28"/>
          <w:szCs w:val="28"/>
          <w:lang w:eastAsia="en-ZA"/>
        </w:rPr>
        <w:t>P</w:t>
      </w:r>
      <w:r w:rsidR="004C418B" w:rsidRPr="00876F97">
        <w:rPr>
          <w:rFonts w:ascii="Times New Roman" w:eastAsia="Arial" w:hAnsi="Times New Roman" w:cs="Times New Roman"/>
          <w:sz w:val="28"/>
          <w:szCs w:val="28"/>
          <w:lang w:eastAsia="en-ZA"/>
        </w:rPr>
        <w:t xml:space="preserve">rescription </w:t>
      </w:r>
      <w:r w:rsidR="00F00CF1" w:rsidRPr="00876F97">
        <w:rPr>
          <w:rFonts w:ascii="Times New Roman" w:eastAsia="Arial" w:hAnsi="Times New Roman" w:cs="Times New Roman"/>
          <w:sz w:val="28"/>
          <w:szCs w:val="28"/>
          <w:lang w:eastAsia="en-ZA"/>
        </w:rPr>
        <w:t xml:space="preserve">therefore </w:t>
      </w:r>
      <w:r w:rsidR="00853E79" w:rsidRPr="00876F97">
        <w:rPr>
          <w:rFonts w:ascii="Times New Roman" w:eastAsia="Arial" w:hAnsi="Times New Roman" w:cs="Times New Roman"/>
          <w:sz w:val="28"/>
          <w:szCs w:val="28"/>
          <w:lang w:eastAsia="en-ZA"/>
        </w:rPr>
        <w:t>simply did not arise. The same applied in relation to the alternative enrichment claim.</w:t>
      </w:r>
    </w:p>
    <w:p w14:paraId="5962689B" w14:textId="77777777" w:rsidR="00853E79" w:rsidRDefault="00853E79" w:rsidP="00853E79">
      <w:pPr>
        <w:pStyle w:val="ListParagraph"/>
        <w:rPr>
          <w:rFonts w:ascii="Times New Roman" w:eastAsia="Arial" w:hAnsi="Times New Roman" w:cs="Times New Roman"/>
          <w:sz w:val="28"/>
          <w:szCs w:val="28"/>
          <w:lang w:eastAsia="en-ZA"/>
        </w:rPr>
      </w:pPr>
    </w:p>
    <w:p w14:paraId="5EAA3BE1" w14:textId="77777777" w:rsidR="00917ADB" w:rsidRPr="006546A0" w:rsidRDefault="00917ADB" w:rsidP="00853E79">
      <w:pPr>
        <w:pStyle w:val="ListParagraph"/>
        <w:rPr>
          <w:rFonts w:ascii="Times New Roman" w:eastAsia="Arial" w:hAnsi="Times New Roman" w:cs="Times New Roman"/>
          <w:sz w:val="28"/>
          <w:szCs w:val="28"/>
          <w:lang w:eastAsia="en-ZA"/>
        </w:rPr>
      </w:pPr>
    </w:p>
    <w:p w14:paraId="19C29888" w14:textId="1CB62D94" w:rsidR="00853E79" w:rsidRPr="006546A0" w:rsidRDefault="00853E79" w:rsidP="00853E79">
      <w:pPr>
        <w:pStyle w:val="ListParagraph"/>
        <w:spacing w:after="0" w:line="360" w:lineRule="auto"/>
        <w:ind w:left="0"/>
        <w:jc w:val="both"/>
        <w:rPr>
          <w:rFonts w:ascii="Times New Roman" w:eastAsia="Arial" w:hAnsi="Times New Roman" w:cs="Times New Roman"/>
          <w:b/>
          <w:bCs/>
          <w:i/>
          <w:iCs/>
          <w:sz w:val="28"/>
          <w:szCs w:val="28"/>
          <w:lang w:eastAsia="en-ZA"/>
        </w:rPr>
      </w:pPr>
      <w:r w:rsidRPr="006546A0">
        <w:rPr>
          <w:rFonts w:ascii="Times New Roman" w:eastAsia="Arial" w:hAnsi="Times New Roman" w:cs="Times New Roman"/>
          <w:b/>
          <w:bCs/>
          <w:i/>
          <w:iCs/>
          <w:sz w:val="28"/>
          <w:szCs w:val="28"/>
          <w:lang w:eastAsia="en-ZA"/>
        </w:rPr>
        <w:t>The contractual claim</w:t>
      </w:r>
    </w:p>
    <w:p w14:paraId="4DA796EE" w14:textId="3C5F7F65" w:rsidR="00853E79" w:rsidRPr="00876F97" w:rsidRDefault="00876F97" w:rsidP="00876F97">
      <w:pPr>
        <w:spacing w:after="0" w:line="360" w:lineRule="auto"/>
        <w:jc w:val="both"/>
        <w:rPr>
          <w:rFonts w:ascii="Times New Roman" w:eastAsia="Arial" w:hAnsi="Times New Roman" w:cs="Times New Roman"/>
          <w:sz w:val="28"/>
          <w:szCs w:val="28"/>
          <w:lang w:eastAsia="en-ZA"/>
        </w:rPr>
      </w:pPr>
      <w:r w:rsidRPr="006546A0">
        <w:rPr>
          <w:rFonts w:ascii="Times New Roman" w:eastAsia="Arial" w:hAnsi="Times New Roman" w:cs="Times New Roman"/>
          <w:sz w:val="28"/>
          <w:szCs w:val="28"/>
          <w:lang w:eastAsia="en-ZA"/>
        </w:rPr>
        <w:t>[13]</w:t>
      </w:r>
      <w:r w:rsidRPr="006546A0">
        <w:rPr>
          <w:rFonts w:ascii="Times New Roman" w:eastAsia="Arial" w:hAnsi="Times New Roman" w:cs="Times New Roman"/>
          <w:sz w:val="28"/>
          <w:szCs w:val="28"/>
          <w:lang w:eastAsia="en-ZA"/>
        </w:rPr>
        <w:tab/>
      </w:r>
      <w:r w:rsidR="006E0C8B" w:rsidRPr="00876F97">
        <w:rPr>
          <w:rFonts w:ascii="Times New Roman" w:eastAsia="Arial" w:hAnsi="Times New Roman" w:cs="Times New Roman"/>
          <w:sz w:val="28"/>
          <w:szCs w:val="28"/>
          <w:lang w:eastAsia="en-ZA"/>
        </w:rPr>
        <w:t>Clause 17 of the Co</w:t>
      </w:r>
      <w:r w:rsidR="00934237" w:rsidRPr="00876F97">
        <w:rPr>
          <w:rFonts w:ascii="Times New Roman" w:eastAsia="Arial" w:hAnsi="Times New Roman" w:cs="Times New Roman"/>
          <w:sz w:val="28"/>
          <w:szCs w:val="28"/>
          <w:lang w:eastAsia="en-ZA"/>
        </w:rPr>
        <w:t>-</w:t>
      </w:r>
      <w:r w:rsidR="006E0C8B" w:rsidRPr="00876F97">
        <w:rPr>
          <w:rFonts w:ascii="Times New Roman" w:eastAsia="Arial" w:hAnsi="Times New Roman" w:cs="Times New Roman"/>
          <w:sz w:val="28"/>
          <w:szCs w:val="28"/>
          <w:lang w:eastAsia="en-ZA"/>
        </w:rPr>
        <w:t>ordination Agreement reads as follows:</w:t>
      </w:r>
    </w:p>
    <w:p w14:paraId="199BE382" w14:textId="23EFE123" w:rsidR="006E0C8B" w:rsidRPr="006546A0" w:rsidRDefault="006E0C8B" w:rsidP="006E0C8B">
      <w:pPr>
        <w:pStyle w:val="ListParagraph"/>
        <w:spacing w:after="0" w:line="360" w:lineRule="auto"/>
        <w:ind w:left="0"/>
        <w:jc w:val="both"/>
        <w:rPr>
          <w:rFonts w:ascii="Times New Roman" w:eastAsia="Arial" w:hAnsi="Times New Roman" w:cs="Times New Roman"/>
          <w:sz w:val="24"/>
          <w:szCs w:val="24"/>
          <w:lang w:eastAsia="en-ZA"/>
        </w:rPr>
      </w:pPr>
      <w:r w:rsidRPr="006546A0">
        <w:rPr>
          <w:rFonts w:ascii="Times New Roman" w:eastAsia="Arial" w:hAnsi="Times New Roman" w:cs="Times New Roman"/>
          <w:sz w:val="24"/>
          <w:szCs w:val="24"/>
          <w:lang w:eastAsia="en-ZA"/>
        </w:rPr>
        <w:t>‘17.1 [PRASA] shall pay for –</w:t>
      </w:r>
    </w:p>
    <w:p w14:paraId="4DF06ED2" w14:textId="31B6E30C" w:rsidR="006E0C8B" w:rsidRPr="006546A0" w:rsidRDefault="006E0C8B" w:rsidP="006E0C8B">
      <w:pPr>
        <w:pStyle w:val="ListParagraph"/>
        <w:spacing w:after="0" w:line="360" w:lineRule="auto"/>
        <w:ind w:left="0"/>
        <w:jc w:val="both"/>
        <w:rPr>
          <w:rFonts w:ascii="Times New Roman" w:eastAsia="Arial" w:hAnsi="Times New Roman" w:cs="Times New Roman"/>
          <w:sz w:val="24"/>
          <w:szCs w:val="24"/>
          <w:lang w:eastAsia="en-ZA"/>
        </w:rPr>
      </w:pPr>
      <w:r w:rsidRPr="006546A0">
        <w:rPr>
          <w:rFonts w:ascii="Times New Roman" w:eastAsia="Arial" w:hAnsi="Times New Roman" w:cs="Times New Roman"/>
          <w:sz w:val="24"/>
          <w:szCs w:val="24"/>
          <w:lang w:eastAsia="en-ZA"/>
        </w:rPr>
        <w:t>17.1.1 all electricity and water used by it in or on the [PRASA] component;</w:t>
      </w:r>
    </w:p>
    <w:p w14:paraId="576ED32C" w14:textId="157D2D0B" w:rsidR="006E0C8B" w:rsidRPr="006546A0" w:rsidRDefault="006E0C8B" w:rsidP="006E0C8B">
      <w:pPr>
        <w:pStyle w:val="ListParagraph"/>
        <w:spacing w:after="0" w:line="360" w:lineRule="auto"/>
        <w:ind w:left="0"/>
        <w:jc w:val="both"/>
        <w:rPr>
          <w:rFonts w:ascii="Times New Roman" w:eastAsia="Arial" w:hAnsi="Times New Roman" w:cs="Times New Roman"/>
          <w:sz w:val="24"/>
          <w:szCs w:val="24"/>
          <w:lang w:eastAsia="en-ZA"/>
        </w:rPr>
      </w:pPr>
      <w:r w:rsidRPr="006546A0">
        <w:rPr>
          <w:rFonts w:ascii="Times New Roman" w:eastAsia="Arial" w:hAnsi="Times New Roman" w:cs="Times New Roman"/>
          <w:sz w:val="24"/>
          <w:szCs w:val="24"/>
          <w:lang w:eastAsia="en-ZA"/>
        </w:rPr>
        <w:t>17.1.2 all refuse removal fees and special refuse removal fees relating to the [PRASA] component;</w:t>
      </w:r>
    </w:p>
    <w:p w14:paraId="6F3764AB" w14:textId="39059FE8" w:rsidR="006E0C8B" w:rsidRPr="006546A0" w:rsidRDefault="006E0C8B" w:rsidP="006E0C8B">
      <w:pPr>
        <w:pStyle w:val="ListParagraph"/>
        <w:spacing w:after="0" w:line="360" w:lineRule="auto"/>
        <w:ind w:left="0"/>
        <w:jc w:val="both"/>
        <w:rPr>
          <w:rFonts w:ascii="Times New Roman" w:eastAsia="Arial" w:hAnsi="Times New Roman" w:cs="Times New Roman"/>
          <w:sz w:val="24"/>
          <w:szCs w:val="24"/>
          <w:lang w:eastAsia="en-ZA"/>
        </w:rPr>
      </w:pPr>
      <w:r w:rsidRPr="006546A0">
        <w:rPr>
          <w:rFonts w:ascii="Times New Roman" w:eastAsia="Arial" w:hAnsi="Times New Roman" w:cs="Times New Roman"/>
          <w:sz w:val="24"/>
          <w:szCs w:val="24"/>
          <w:lang w:eastAsia="en-ZA"/>
        </w:rPr>
        <w:t>17.1.3 any other consumable item or service which [PRASA] may use.</w:t>
      </w:r>
    </w:p>
    <w:p w14:paraId="16EFB2D8" w14:textId="132C47B1" w:rsidR="006E0C8B" w:rsidRPr="006546A0" w:rsidRDefault="006E0C8B" w:rsidP="006E0C8B">
      <w:pPr>
        <w:pStyle w:val="ListParagraph"/>
        <w:spacing w:after="0" w:line="360" w:lineRule="auto"/>
        <w:ind w:left="0"/>
        <w:jc w:val="both"/>
        <w:rPr>
          <w:rFonts w:ascii="Times New Roman" w:eastAsia="Arial" w:hAnsi="Times New Roman" w:cs="Times New Roman"/>
          <w:sz w:val="24"/>
          <w:szCs w:val="24"/>
          <w:lang w:eastAsia="en-ZA"/>
        </w:rPr>
      </w:pPr>
      <w:r w:rsidRPr="006546A0">
        <w:rPr>
          <w:rFonts w:ascii="Times New Roman" w:eastAsia="Arial" w:hAnsi="Times New Roman" w:cs="Times New Roman"/>
          <w:sz w:val="24"/>
          <w:szCs w:val="24"/>
          <w:lang w:eastAsia="en-ZA"/>
        </w:rPr>
        <w:t>17.2 As the amounts payable in terms of clause 17.1 will be levied or assessed by a separate meter or a separate sub-meter in respect of the [PRASA] component only, the liability of [PRASA] shall be to pay the amount so levied or assessed.</w:t>
      </w:r>
    </w:p>
    <w:p w14:paraId="03C12471" w14:textId="266EFAC9" w:rsidR="006E0C8B" w:rsidRPr="006546A0" w:rsidRDefault="006E0C8B" w:rsidP="006E0C8B">
      <w:pPr>
        <w:pStyle w:val="ListParagraph"/>
        <w:spacing w:after="0" w:line="360" w:lineRule="auto"/>
        <w:ind w:left="0"/>
        <w:jc w:val="both"/>
        <w:rPr>
          <w:rFonts w:ascii="Times New Roman" w:eastAsia="Arial" w:hAnsi="Times New Roman" w:cs="Times New Roman"/>
          <w:sz w:val="24"/>
          <w:szCs w:val="24"/>
          <w:lang w:eastAsia="en-ZA"/>
        </w:rPr>
      </w:pPr>
      <w:r w:rsidRPr="006546A0">
        <w:rPr>
          <w:rFonts w:ascii="Times New Roman" w:eastAsia="Arial" w:hAnsi="Times New Roman" w:cs="Times New Roman"/>
          <w:sz w:val="24"/>
          <w:szCs w:val="24"/>
          <w:lang w:eastAsia="en-ZA"/>
        </w:rPr>
        <w:t>17.3 If [PRASA] fails to pay any costs referred to in clause 17.1 and 17.2 within 7 days of due date, then, without prejudice to any other rights Crowie may have, Crowie shall be entitled to pay such charges and recover them from [</w:t>
      </w:r>
      <w:r w:rsidR="00272529" w:rsidRPr="006546A0">
        <w:rPr>
          <w:rFonts w:ascii="Times New Roman" w:eastAsia="Arial" w:hAnsi="Times New Roman" w:cs="Times New Roman"/>
          <w:sz w:val="24"/>
          <w:szCs w:val="24"/>
          <w:lang w:eastAsia="en-ZA"/>
        </w:rPr>
        <w:t>PRASA] provide that Crowie’s claims will be supported by invoices (if available) in respect of the charges so paid.’</w:t>
      </w:r>
    </w:p>
    <w:p w14:paraId="0D08836B" w14:textId="77777777" w:rsidR="006E0C8B" w:rsidRPr="006546A0" w:rsidRDefault="006E0C8B" w:rsidP="006E0C8B">
      <w:pPr>
        <w:pStyle w:val="ListParagraph"/>
        <w:spacing w:after="0" w:line="360" w:lineRule="auto"/>
        <w:ind w:left="0"/>
        <w:jc w:val="both"/>
        <w:rPr>
          <w:rFonts w:ascii="Times New Roman" w:eastAsia="Arial" w:hAnsi="Times New Roman" w:cs="Times New Roman"/>
          <w:sz w:val="24"/>
          <w:szCs w:val="24"/>
          <w:lang w:eastAsia="en-ZA"/>
        </w:rPr>
      </w:pPr>
    </w:p>
    <w:p w14:paraId="4E5247AD" w14:textId="6884E1CE" w:rsidR="006E0C8B" w:rsidRPr="00876F97" w:rsidRDefault="00876F97" w:rsidP="00876F97">
      <w:pPr>
        <w:spacing w:after="0" w:line="360" w:lineRule="auto"/>
        <w:jc w:val="both"/>
        <w:rPr>
          <w:rFonts w:ascii="Times New Roman" w:eastAsia="Arial" w:hAnsi="Times New Roman" w:cs="Times New Roman"/>
          <w:sz w:val="28"/>
          <w:szCs w:val="28"/>
          <w:lang w:eastAsia="en-ZA"/>
        </w:rPr>
      </w:pPr>
      <w:r w:rsidRPr="006546A0">
        <w:rPr>
          <w:rFonts w:ascii="Times New Roman" w:eastAsia="Arial" w:hAnsi="Times New Roman" w:cs="Times New Roman"/>
          <w:sz w:val="28"/>
          <w:szCs w:val="28"/>
          <w:lang w:eastAsia="en-ZA"/>
        </w:rPr>
        <w:t>[14]</w:t>
      </w:r>
      <w:r w:rsidRPr="006546A0">
        <w:rPr>
          <w:rFonts w:ascii="Times New Roman" w:eastAsia="Arial" w:hAnsi="Times New Roman" w:cs="Times New Roman"/>
          <w:sz w:val="28"/>
          <w:szCs w:val="28"/>
          <w:lang w:eastAsia="en-ZA"/>
        </w:rPr>
        <w:tab/>
      </w:r>
      <w:r w:rsidR="00272529" w:rsidRPr="00876F97">
        <w:rPr>
          <w:rFonts w:ascii="Times New Roman" w:eastAsia="Arial" w:hAnsi="Times New Roman" w:cs="Times New Roman"/>
          <w:sz w:val="28"/>
          <w:szCs w:val="28"/>
          <w:lang w:eastAsia="en-ZA"/>
        </w:rPr>
        <w:t>CPC</w:t>
      </w:r>
      <w:r w:rsidR="001673C6" w:rsidRPr="00876F97">
        <w:rPr>
          <w:rFonts w:ascii="Times New Roman" w:eastAsia="Arial" w:hAnsi="Times New Roman" w:cs="Times New Roman"/>
          <w:sz w:val="28"/>
          <w:szCs w:val="28"/>
          <w:lang w:eastAsia="en-ZA"/>
        </w:rPr>
        <w:t xml:space="preserve"> relied upon</w:t>
      </w:r>
      <w:r w:rsidR="00272529" w:rsidRPr="00876F97">
        <w:rPr>
          <w:rFonts w:ascii="Times New Roman" w:eastAsia="Arial" w:hAnsi="Times New Roman" w:cs="Times New Roman"/>
          <w:sz w:val="28"/>
          <w:szCs w:val="28"/>
          <w:lang w:eastAsia="en-ZA"/>
        </w:rPr>
        <w:t xml:space="preserve"> clause 17.3. It contended that the SOB </w:t>
      </w:r>
      <w:r w:rsidR="001673C6" w:rsidRPr="00876F97">
        <w:rPr>
          <w:rFonts w:ascii="Times New Roman" w:eastAsia="Arial" w:hAnsi="Times New Roman" w:cs="Times New Roman"/>
          <w:sz w:val="28"/>
          <w:szCs w:val="28"/>
          <w:lang w:eastAsia="en-ZA"/>
        </w:rPr>
        <w:t>and Co</w:t>
      </w:r>
      <w:r w:rsidR="00934237" w:rsidRPr="00876F97">
        <w:rPr>
          <w:rFonts w:ascii="Times New Roman" w:eastAsia="Arial" w:hAnsi="Times New Roman" w:cs="Times New Roman"/>
          <w:sz w:val="28"/>
          <w:szCs w:val="28"/>
          <w:lang w:eastAsia="en-ZA"/>
        </w:rPr>
        <w:t>-</w:t>
      </w:r>
      <w:r w:rsidR="001673C6" w:rsidRPr="00876F97">
        <w:rPr>
          <w:rFonts w:ascii="Times New Roman" w:eastAsia="Arial" w:hAnsi="Times New Roman" w:cs="Times New Roman"/>
          <w:sz w:val="28"/>
          <w:szCs w:val="28"/>
          <w:lang w:eastAsia="en-ZA"/>
        </w:rPr>
        <w:t xml:space="preserve">ordination Agreement properly understood </w:t>
      </w:r>
      <w:r w:rsidR="00272529" w:rsidRPr="00876F97">
        <w:rPr>
          <w:rFonts w:ascii="Times New Roman" w:eastAsia="Arial" w:hAnsi="Times New Roman" w:cs="Times New Roman"/>
          <w:sz w:val="28"/>
          <w:szCs w:val="28"/>
          <w:lang w:eastAsia="en-ZA"/>
        </w:rPr>
        <w:t xml:space="preserve">conferred </w:t>
      </w:r>
      <w:r w:rsidR="001673C6" w:rsidRPr="00876F97">
        <w:rPr>
          <w:rFonts w:ascii="Times New Roman" w:eastAsia="Arial" w:hAnsi="Times New Roman" w:cs="Times New Roman"/>
          <w:sz w:val="28"/>
          <w:szCs w:val="28"/>
          <w:lang w:eastAsia="en-ZA"/>
        </w:rPr>
        <w:t xml:space="preserve">upon it the rights set out in </w:t>
      </w:r>
      <w:r w:rsidR="00272529" w:rsidRPr="00876F97">
        <w:rPr>
          <w:rFonts w:ascii="Times New Roman" w:eastAsia="Arial" w:hAnsi="Times New Roman" w:cs="Times New Roman"/>
          <w:sz w:val="28"/>
          <w:szCs w:val="28"/>
          <w:lang w:eastAsia="en-ZA"/>
        </w:rPr>
        <w:t>clause 17. Counsel for CPC accepted that there had been no cession</w:t>
      </w:r>
      <w:r w:rsidR="00B0619B" w:rsidRPr="00876F97">
        <w:rPr>
          <w:rFonts w:ascii="Times New Roman" w:eastAsia="Arial" w:hAnsi="Times New Roman" w:cs="Times New Roman"/>
          <w:sz w:val="28"/>
          <w:szCs w:val="28"/>
          <w:lang w:eastAsia="en-ZA"/>
        </w:rPr>
        <w:t>, assignment, or delegation</w:t>
      </w:r>
      <w:r w:rsidR="00272529" w:rsidRPr="00876F97">
        <w:rPr>
          <w:rFonts w:ascii="Times New Roman" w:eastAsia="Arial" w:hAnsi="Times New Roman" w:cs="Times New Roman"/>
          <w:sz w:val="28"/>
          <w:szCs w:val="28"/>
          <w:lang w:eastAsia="en-ZA"/>
        </w:rPr>
        <w:t xml:space="preserve"> </w:t>
      </w:r>
      <w:r w:rsidR="00272529" w:rsidRPr="00876F97">
        <w:rPr>
          <w:rFonts w:ascii="Times New Roman" w:eastAsia="Arial" w:hAnsi="Times New Roman" w:cs="Times New Roman"/>
          <w:sz w:val="28"/>
          <w:szCs w:val="28"/>
          <w:lang w:eastAsia="en-ZA"/>
        </w:rPr>
        <w:lastRenderedPageBreak/>
        <w:t xml:space="preserve">of rights </w:t>
      </w:r>
      <w:r w:rsidR="00B0619B" w:rsidRPr="00876F97">
        <w:rPr>
          <w:rFonts w:ascii="Times New Roman" w:eastAsia="Arial" w:hAnsi="Times New Roman" w:cs="Times New Roman"/>
          <w:sz w:val="28"/>
          <w:szCs w:val="28"/>
          <w:lang w:eastAsia="en-ZA"/>
        </w:rPr>
        <w:t>by</w:t>
      </w:r>
      <w:r w:rsidR="00272529" w:rsidRPr="00876F97">
        <w:rPr>
          <w:rFonts w:ascii="Times New Roman" w:eastAsia="Arial" w:hAnsi="Times New Roman" w:cs="Times New Roman"/>
          <w:sz w:val="28"/>
          <w:szCs w:val="28"/>
          <w:lang w:eastAsia="en-ZA"/>
        </w:rPr>
        <w:t xml:space="preserve"> Crowie Projects</w:t>
      </w:r>
      <w:r w:rsidR="00B0619B" w:rsidRPr="00876F97">
        <w:rPr>
          <w:rFonts w:ascii="Times New Roman" w:eastAsia="Arial" w:hAnsi="Times New Roman" w:cs="Times New Roman"/>
          <w:sz w:val="28"/>
          <w:szCs w:val="28"/>
          <w:lang w:eastAsia="en-ZA"/>
        </w:rPr>
        <w:t xml:space="preserve">, </w:t>
      </w:r>
      <w:r w:rsidR="00272529" w:rsidRPr="00876F97">
        <w:rPr>
          <w:rFonts w:ascii="Times New Roman" w:eastAsia="Arial" w:hAnsi="Times New Roman" w:cs="Times New Roman"/>
          <w:sz w:val="28"/>
          <w:szCs w:val="28"/>
          <w:lang w:eastAsia="en-ZA"/>
        </w:rPr>
        <w:t>save those rights and obligations which had specifically been ceded in terms of the SOB.</w:t>
      </w:r>
      <w:r w:rsidR="00B0619B" w:rsidRPr="00876F97">
        <w:rPr>
          <w:rFonts w:ascii="Times New Roman" w:eastAsia="Arial" w:hAnsi="Times New Roman" w:cs="Times New Roman"/>
          <w:sz w:val="28"/>
          <w:szCs w:val="28"/>
          <w:lang w:eastAsia="en-ZA"/>
        </w:rPr>
        <w:t xml:space="preserve"> Its case was, therefore, not based on any form of cession. It was, rather, that upon a construction of the SOB and Co</w:t>
      </w:r>
      <w:r w:rsidR="00934237" w:rsidRPr="00876F97">
        <w:rPr>
          <w:rFonts w:ascii="Times New Roman" w:eastAsia="Arial" w:hAnsi="Times New Roman" w:cs="Times New Roman"/>
          <w:sz w:val="28"/>
          <w:szCs w:val="28"/>
          <w:lang w:eastAsia="en-ZA"/>
        </w:rPr>
        <w:t>-</w:t>
      </w:r>
      <w:r w:rsidR="00B0619B" w:rsidRPr="00876F97">
        <w:rPr>
          <w:rFonts w:ascii="Times New Roman" w:eastAsia="Arial" w:hAnsi="Times New Roman" w:cs="Times New Roman"/>
          <w:sz w:val="28"/>
          <w:szCs w:val="28"/>
          <w:lang w:eastAsia="en-ZA"/>
        </w:rPr>
        <w:t>ordination Agreement, the rights conferred by clause 17 formed part of the business sold to it.</w:t>
      </w:r>
    </w:p>
    <w:p w14:paraId="0A8655B9" w14:textId="77777777" w:rsidR="00754851" w:rsidRPr="006546A0" w:rsidRDefault="00754851" w:rsidP="00754851">
      <w:pPr>
        <w:pStyle w:val="ListParagraph"/>
        <w:spacing w:after="0" w:line="360" w:lineRule="auto"/>
        <w:ind w:left="0"/>
        <w:jc w:val="both"/>
        <w:rPr>
          <w:rFonts w:ascii="Times New Roman" w:eastAsia="Arial" w:hAnsi="Times New Roman" w:cs="Times New Roman"/>
          <w:sz w:val="28"/>
          <w:szCs w:val="28"/>
          <w:lang w:eastAsia="en-ZA"/>
        </w:rPr>
      </w:pPr>
    </w:p>
    <w:p w14:paraId="0781F530" w14:textId="0781E42D" w:rsidR="005835ED" w:rsidRPr="00876F97" w:rsidRDefault="00876F97" w:rsidP="00876F97">
      <w:pPr>
        <w:spacing w:after="0" w:line="360" w:lineRule="auto"/>
        <w:jc w:val="both"/>
        <w:rPr>
          <w:rFonts w:ascii="Times New Roman" w:eastAsia="Arial" w:hAnsi="Times New Roman" w:cs="Times New Roman"/>
          <w:sz w:val="28"/>
          <w:szCs w:val="28"/>
          <w:lang w:eastAsia="en-ZA"/>
        </w:rPr>
      </w:pPr>
      <w:r w:rsidRPr="006546A0">
        <w:rPr>
          <w:rFonts w:ascii="Times New Roman" w:eastAsia="Arial" w:hAnsi="Times New Roman" w:cs="Times New Roman"/>
          <w:sz w:val="28"/>
          <w:szCs w:val="28"/>
          <w:lang w:eastAsia="en-ZA"/>
        </w:rPr>
        <w:t>[15]</w:t>
      </w:r>
      <w:r w:rsidRPr="006546A0">
        <w:rPr>
          <w:rFonts w:ascii="Times New Roman" w:eastAsia="Arial" w:hAnsi="Times New Roman" w:cs="Times New Roman"/>
          <w:sz w:val="28"/>
          <w:szCs w:val="28"/>
          <w:lang w:eastAsia="en-ZA"/>
        </w:rPr>
        <w:tab/>
      </w:r>
      <w:r w:rsidR="00B0619B" w:rsidRPr="00876F97">
        <w:rPr>
          <w:rFonts w:ascii="Times New Roman" w:eastAsia="Arial" w:hAnsi="Times New Roman" w:cs="Times New Roman"/>
          <w:sz w:val="28"/>
          <w:szCs w:val="28"/>
          <w:lang w:eastAsia="en-ZA"/>
        </w:rPr>
        <w:t>C</w:t>
      </w:r>
      <w:r w:rsidR="005835ED" w:rsidRPr="00876F97">
        <w:rPr>
          <w:rFonts w:ascii="Times New Roman" w:eastAsia="Arial" w:hAnsi="Times New Roman" w:cs="Times New Roman"/>
          <w:sz w:val="28"/>
          <w:szCs w:val="28"/>
          <w:lang w:eastAsia="en-ZA"/>
        </w:rPr>
        <w:t xml:space="preserve">lause 3.4 of the SOB </w:t>
      </w:r>
      <w:r w:rsidR="00B0619B" w:rsidRPr="00876F97">
        <w:rPr>
          <w:rFonts w:ascii="Times New Roman" w:eastAsia="Arial" w:hAnsi="Times New Roman" w:cs="Times New Roman"/>
          <w:sz w:val="28"/>
          <w:szCs w:val="28"/>
          <w:lang w:eastAsia="en-ZA"/>
        </w:rPr>
        <w:t>referred to the</w:t>
      </w:r>
      <w:r w:rsidR="005835ED" w:rsidRPr="00876F97">
        <w:rPr>
          <w:rFonts w:ascii="Times New Roman" w:eastAsia="Arial" w:hAnsi="Times New Roman" w:cs="Times New Roman"/>
          <w:sz w:val="28"/>
          <w:szCs w:val="28"/>
          <w:lang w:eastAsia="en-ZA"/>
        </w:rPr>
        <w:t xml:space="preserve"> development and operation of the railway station as provided in the Co</w:t>
      </w:r>
      <w:r w:rsidR="00934237" w:rsidRPr="00876F97">
        <w:rPr>
          <w:rFonts w:ascii="Times New Roman" w:eastAsia="Arial" w:hAnsi="Times New Roman" w:cs="Times New Roman"/>
          <w:sz w:val="28"/>
          <w:szCs w:val="28"/>
          <w:lang w:eastAsia="en-ZA"/>
        </w:rPr>
        <w:t>-</w:t>
      </w:r>
      <w:r w:rsidR="005835ED" w:rsidRPr="00876F97">
        <w:rPr>
          <w:rFonts w:ascii="Times New Roman" w:eastAsia="Arial" w:hAnsi="Times New Roman" w:cs="Times New Roman"/>
          <w:sz w:val="28"/>
          <w:szCs w:val="28"/>
          <w:lang w:eastAsia="en-ZA"/>
        </w:rPr>
        <w:t xml:space="preserve">ordination Agreement. </w:t>
      </w:r>
      <w:r w:rsidR="008310C1" w:rsidRPr="00876F97">
        <w:rPr>
          <w:rFonts w:ascii="Times New Roman" w:eastAsia="Arial" w:hAnsi="Times New Roman" w:cs="Times New Roman"/>
          <w:sz w:val="28"/>
          <w:szCs w:val="28"/>
          <w:lang w:eastAsia="en-ZA"/>
        </w:rPr>
        <w:t>It provided in relevant part that:</w:t>
      </w:r>
    </w:p>
    <w:p w14:paraId="3F930F3F" w14:textId="089F21EE" w:rsidR="00754851" w:rsidRPr="006546A0" w:rsidRDefault="005835ED" w:rsidP="005835ED">
      <w:pPr>
        <w:pStyle w:val="ListParagraph"/>
        <w:spacing w:after="0" w:line="360" w:lineRule="auto"/>
        <w:ind w:left="0"/>
        <w:jc w:val="both"/>
        <w:rPr>
          <w:rFonts w:ascii="Times New Roman" w:eastAsia="Arial" w:hAnsi="Times New Roman" w:cs="Times New Roman"/>
          <w:sz w:val="24"/>
          <w:szCs w:val="24"/>
          <w:lang w:eastAsia="en-ZA"/>
        </w:rPr>
      </w:pPr>
      <w:r w:rsidRPr="006546A0">
        <w:rPr>
          <w:rFonts w:ascii="Times New Roman" w:eastAsia="Arial" w:hAnsi="Times New Roman" w:cs="Times New Roman"/>
          <w:sz w:val="24"/>
          <w:szCs w:val="24"/>
          <w:lang w:eastAsia="en-ZA"/>
        </w:rPr>
        <w:t xml:space="preserve">‘3.4.2 </w:t>
      </w:r>
      <w:r w:rsidR="008310C1" w:rsidRPr="006546A0">
        <w:rPr>
          <w:rFonts w:ascii="Times New Roman" w:eastAsia="Arial" w:hAnsi="Times New Roman" w:cs="Times New Roman"/>
          <w:sz w:val="24"/>
          <w:szCs w:val="24"/>
          <w:lang w:eastAsia="en-ZA"/>
        </w:rPr>
        <w:t>Certain</w:t>
      </w:r>
      <w:r w:rsidRPr="006546A0">
        <w:rPr>
          <w:rFonts w:ascii="Times New Roman" w:eastAsia="Arial" w:hAnsi="Times New Roman" w:cs="Times New Roman"/>
          <w:sz w:val="24"/>
          <w:szCs w:val="24"/>
          <w:lang w:eastAsia="en-ZA"/>
        </w:rPr>
        <w:t xml:space="preserve"> of </w:t>
      </w:r>
      <w:r w:rsidR="008310C1" w:rsidRPr="006546A0">
        <w:rPr>
          <w:rFonts w:ascii="Times New Roman" w:eastAsia="Arial" w:hAnsi="Times New Roman" w:cs="Times New Roman"/>
          <w:sz w:val="24"/>
          <w:szCs w:val="24"/>
          <w:lang w:eastAsia="en-ZA"/>
        </w:rPr>
        <w:t>[Crowie Projects’]</w:t>
      </w:r>
      <w:r w:rsidRPr="006546A0">
        <w:rPr>
          <w:rFonts w:ascii="Times New Roman" w:eastAsia="Arial" w:hAnsi="Times New Roman" w:cs="Times New Roman"/>
          <w:sz w:val="24"/>
          <w:szCs w:val="24"/>
          <w:lang w:eastAsia="en-ZA"/>
        </w:rPr>
        <w:t xml:space="preserve"> rights and obligations contained in the </w:t>
      </w:r>
      <w:r w:rsidR="008310C1" w:rsidRPr="006546A0">
        <w:rPr>
          <w:rFonts w:ascii="Times New Roman" w:eastAsia="Arial" w:hAnsi="Times New Roman" w:cs="Times New Roman"/>
          <w:sz w:val="24"/>
          <w:szCs w:val="24"/>
          <w:lang w:eastAsia="en-ZA"/>
        </w:rPr>
        <w:t>[Co</w:t>
      </w:r>
      <w:r w:rsidR="00934237">
        <w:rPr>
          <w:rFonts w:ascii="Times New Roman" w:eastAsia="Arial" w:hAnsi="Times New Roman" w:cs="Times New Roman"/>
          <w:sz w:val="24"/>
          <w:szCs w:val="24"/>
          <w:lang w:eastAsia="en-ZA"/>
        </w:rPr>
        <w:t>-</w:t>
      </w:r>
      <w:r w:rsidR="008310C1" w:rsidRPr="006546A0">
        <w:rPr>
          <w:rFonts w:ascii="Times New Roman" w:eastAsia="Arial" w:hAnsi="Times New Roman" w:cs="Times New Roman"/>
          <w:sz w:val="24"/>
          <w:szCs w:val="24"/>
          <w:lang w:eastAsia="en-ZA"/>
        </w:rPr>
        <w:t>ordination Agreement] will be ceded (as an out-and-out cession), transferred and made over to [CPC], whilst [Crowie Projects] will retain certain other rights and obligations.’</w:t>
      </w:r>
    </w:p>
    <w:p w14:paraId="25CC5E07" w14:textId="77777777" w:rsidR="00754851" w:rsidRPr="006546A0" w:rsidRDefault="00754851" w:rsidP="005835ED">
      <w:pPr>
        <w:pStyle w:val="ListParagraph"/>
        <w:spacing w:after="0" w:line="360" w:lineRule="auto"/>
        <w:ind w:left="0"/>
        <w:jc w:val="both"/>
        <w:rPr>
          <w:rFonts w:ascii="Times New Roman" w:eastAsia="Arial" w:hAnsi="Times New Roman" w:cs="Times New Roman"/>
          <w:sz w:val="24"/>
          <w:szCs w:val="24"/>
          <w:lang w:eastAsia="en-ZA"/>
        </w:rPr>
      </w:pPr>
    </w:p>
    <w:p w14:paraId="4AE6627E" w14:textId="0EC26162" w:rsidR="00B0619B" w:rsidRPr="00876F97" w:rsidRDefault="00876F97" w:rsidP="00876F97">
      <w:pPr>
        <w:spacing w:after="0" w:line="360" w:lineRule="auto"/>
        <w:jc w:val="both"/>
        <w:rPr>
          <w:rFonts w:ascii="Times New Roman" w:eastAsia="Arial" w:hAnsi="Times New Roman" w:cs="Times New Roman"/>
          <w:sz w:val="28"/>
          <w:szCs w:val="28"/>
          <w:lang w:eastAsia="en-ZA"/>
        </w:rPr>
      </w:pPr>
      <w:r w:rsidRPr="006546A0">
        <w:rPr>
          <w:rFonts w:ascii="Times New Roman" w:eastAsia="Arial" w:hAnsi="Times New Roman" w:cs="Times New Roman"/>
          <w:sz w:val="28"/>
          <w:szCs w:val="28"/>
          <w:lang w:eastAsia="en-ZA"/>
        </w:rPr>
        <w:t>[16]</w:t>
      </w:r>
      <w:r w:rsidRPr="006546A0">
        <w:rPr>
          <w:rFonts w:ascii="Times New Roman" w:eastAsia="Arial" w:hAnsi="Times New Roman" w:cs="Times New Roman"/>
          <w:sz w:val="28"/>
          <w:szCs w:val="28"/>
          <w:lang w:eastAsia="en-ZA"/>
        </w:rPr>
        <w:tab/>
      </w:r>
      <w:r w:rsidR="008310C1" w:rsidRPr="00876F97">
        <w:rPr>
          <w:rFonts w:ascii="Times New Roman" w:eastAsia="Arial" w:hAnsi="Times New Roman" w:cs="Times New Roman"/>
          <w:sz w:val="28"/>
          <w:szCs w:val="28"/>
          <w:lang w:eastAsia="en-ZA"/>
        </w:rPr>
        <w:t xml:space="preserve">The only out and out cessions </w:t>
      </w:r>
      <w:r w:rsidR="00B0619B" w:rsidRPr="00876F97">
        <w:rPr>
          <w:rFonts w:ascii="Times New Roman" w:eastAsia="Arial" w:hAnsi="Times New Roman" w:cs="Times New Roman"/>
          <w:sz w:val="28"/>
          <w:szCs w:val="28"/>
          <w:lang w:eastAsia="en-ZA"/>
        </w:rPr>
        <w:t xml:space="preserve">contained in the SOB, </w:t>
      </w:r>
      <w:r w:rsidR="008310C1" w:rsidRPr="00876F97">
        <w:rPr>
          <w:rFonts w:ascii="Times New Roman" w:eastAsia="Arial" w:hAnsi="Times New Roman" w:cs="Times New Roman"/>
          <w:sz w:val="28"/>
          <w:szCs w:val="28"/>
          <w:lang w:eastAsia="en-ZA"/>
        </w:rPr>
        <w:t xml:space="preserve">were those </w:t>
      </w:r>
      <w:r w:rsidR="00B0619B" w:rsidRPr="00876F97">
        <w:rPr>
          <w:rFonts w:ascii="Times New Roman" w:eastAsia="Arial" w:hAnsi="Times New Roman" w:cs="Times New Roman"/>
          <w:sz w:val="28"/>
          <w:szCs w:val="28"/>
          <w:lang w:eastAsia="en-ZA"/>
        </w:rPr>
        <w:t>provided for in</w:t>
      </w:r>
      <w:r w:rsidR="008310C1" w:rsidRPr="00876F97">
        <w:rPr>
          <w:rFonts w:ascii="Times New Roman" w:eastAsia="Arial" w:hAnsi="Times New Roman" w:cs="Times New Roman"/>
          <w:sz w:val="28"/>
          <w:szCs w:val="28"/>
          <w:lang w:eastAsia="en-ZA"/>
        </w:rPr>
        <w:t xml:space="preserve"> clauses 30 and 31. </w:t>
      </w:r>
      <w:r w:rsidR="00B0619B" w:rsidRPr="00876F97">
        <w:rPr>
          <w:rFonts w:ascii="Times New Roman" w:eastAsia="Arial" w:hAnsi="Times New Roman" w:cs="Times New Roman"/>
          <w:sz w:val="28"/>
          <w:szCs w:val="28"/>
          <w:lang w:eastAsia="en-ZA"/>
        </w:rPr>
        <w:t>Clause 30 concerned the cession of Crowie Projects’ rights to all lease agreements and any other contracts of lease and tenancy in respect of the shopping centre. Clause 31 provided for the cession of rights to builder’s liens, guarantees and warranties and rights accrued in cleaning and security agreements concluded by Crowie Project</w:t>
      </w:r>
      <w:r w:rsidR="009B44F8" w:rsidRPr="00876F97">
        <w:rPr>
          <w:rFonts w:ascii="Times New Roman" w:eastAsia="Arial" w:hAnsi="Times New Roman" w:cs="Times New Roman"/>
          <w:sz w:val="28"/>
          <w:szCs w:val="28"/>
          <w:lang w:eastAsia="en-ZA"/>
        </w:rPr>
        <w:t>s.</w:t>
      </w:r>
      <w:r w:rsidR="00B0619B" w:rsidRPr="00876F97">
        <w:rPr>
          <w:rFonts w:ascii="Times New Roman" w:eastAsia="Arial" w:hAnsi="Times New Roman" w:cs="Times New Roman"/>
          <w:sz w:val="28"/>
          <w:szCs w:val="28"/>
          <w:lang w:eastAsia="en-ZA"/>
        </w:rPr>
        <w:t xml:space="preserve"> </w:t>
      </w:r>
    </w:p>
    <w:p w14:paraId="79CAD083" w14:textId="77777777" w:rsidR="009B44F8" w:rsidRPr="006546A0" w:rsidRDefault="009B44F8" w:rsidP="009B44F8">
      <w:pPr>
        <w:pStyle w:val="ListParagraph"/>
        <w:spacing w:after="0" w:line="360" w:lineRule="auto"/>
        <w:ind w:left="0"/>
        <w:jc w:val="both"/>
        <w:rPr>
          <w:rFonts w:ascii="Times New Roman" w:eastAsia="Arial" w:hAnsi="Times New Roman" w:cs="Times New Roman"/>
          <w:sz w:val="28"/>
          <w:szCs w:val="28"/>
          <w:lang w:eastAsia="en-ZA"/>
        </w:rPr>
      </w:pPr>
    </w:p>
    <w:p w14:paraId="13D9C866" w14:textId="25C4CD8E" w:rsidR="005835ED" w:rsidRPr="00876F97" w:rsidRDefault="00876F97" w:rsidP="00876F97">
      <w:pPr>
        <w:spacing w:after="0" w:line="360" w:lineRule="auto"/>
        <w:jc w:val="both"/>
        <w:rPr>
          <w:rFonts w:ascii="Times New Roman" w:eastAsia="Arial" w:hAnsi="Times New Roman" w:cs="Times New Roman"/>
          <w:sz w:val="28"/>
          <w:szCs w:val="28"/>
          <w:lang w:eastAsia="en-ZA"/>
        </w:rPr>
      </w:pPr>
      <w:r w:rsidRPr="006546A0">
        <w:rPr>
          <w:rFonts w:ascii="Times New Roman" w:eastAsia="Arial" w:hAnsi="Times New Roman" w:cs="Times New Roman"/>
          <w:sz w:val="28"/>
          <w:szCs w:val="28"/>
          <w:lang w:eastAsia="en-ZA"/>
        </w:rPr>
        <w:t>[17]</w:t>
      </w:r>
      <w:r w:rsidRPr="006546A0">
        <w:rPr>
          <w:rFonts w:ascii="Times New Roman" w:eastAsia="Arial" w:hAnsi="Times New Roman" w:cs="Times New Roman"/>
          <w:sz w:val="28"/>
          <w:szCs w:val="28"/>
          <w:lang w:eastAsia="en-ZA"/>
        </w:rPr>
        <w:tab/>
      </w:r>
      <w:r w:rsidR="009B44F8" w:rsidRPr="00876F97">
        <w:rPr>
          <w:rFonts w:ascii="Times New Roman" w:eastAsia="Arial" w:hAnsi="Times New Roman" w:cs="Times New Roman"/>
          <w:sz w:val="28"/>
          <w:szCs w:val="28"/>
          <w:lang w:eastAsia="en-ZA"/>
        </w:rPr>
        <w:t>C</w:t>
      </w:r>
      <w:r w:rsidR="008310C1" w:rsidRPr="00876F97">
        <w:rPr>
          <w:rFonts w:ascii="Times New Roman" w:eastAsia="Arial" w:hAnsi="Times New Roman" w:cs="Times New Roman"/>
          <w:sz w:val="28"/>
          <w:szCs w:val="28"/>
          <w:lang w:eastAsia="en-ZA"/>
        </w:rPr>
        <w:t xml:space="preserve">lause 3.4.3 </w:t>
      </w:r>
      <w:r w:rsidR="009B44F8" w:rsidRPr="00876F97">
        <w:rPr>
          <w:rFonts w:ascii="Times New Roman" w:eastAsia="Arial" w:hAnsi="Times New Roman" w:cs="Times New Roman"/>
          <w:sz w:val="28"/>
          <w:szCs w:val="28"/>
          <w:lang w:eastAsia="en-ZA"/>
        </w:rPr>
        <w:t xml:space="preserve">of the SOB </w:t>
      </w:r>
      <w:r w:rsidR="008310C1" w:rsidRPr="00876F97">
        <w:rPr>
          <w:rFonts w:ascii="Times New Roman" w:eastAsia="Arial" w:hAnsi="Times New Roman" w:cs="Times New Roman"/>
          <w:sz w:val="28"/>
          <w:szCs w:val="28"/>
          <w:lang w:eastAsia="en-ZA"/>
        </w:rPr>
        <w:t>envisaged that CPC, as the pending owner of the shopping centre</w:t>
      </w:r>
      <w:r w:rsidR="00A55858" w:rsidRPr="00876F97">
        <w:rPr>
          <w:rFonts w:ascii="Times New Roman" w:eastAsia="Arial" w:hAnsi="Times New Roman" w:cs="Times New Roman"/>
          <w:sz w:val="28"/>
          <w:szCs w:val="28"/>
          <w:lang w:eastAsia="en-ZA"/>
        </w:rPr>
        <w:t>,</w:t>
      </w:r>
      <w:r w:rsidR="008310C1" w:rsidRPr="00876F97">
        <w:rPr>
          <w:rFonts w:ascii="Times New Roman" w:eastAsia="Arial" w:hAnsi="Times New Roman" w:cs="Times New Roman"/>
          <w:sz w:val="28"/>
          <w:szCs w:val="28"/>
          <w:lang w:eastAsia="en-ZA"/>
        </w:rPr>
        <w:t xml:space="preserve"> and PRASA, as </w:t>
      </w:r>
      <w:r w:rsidR="00A55858" w:rsidRPr="00876F97">
        <w:rPr>
          <w:rFonts w:ascii="Times New Roman" w:eastAsia="Arial" w:hAnsi="Times New Roman" w:cs="Times New Roman"/>
          <w:sz w:val="28"/>
          <w:szCs w:val="28"/>
          <w:lang w:eastAsia="en-ZA"/>
        </w:rPr>
        <w:t xml:space="preserve">the </w:t>
      </w:r>
      <w:r w:rsidR="008310C1" w:rsidRPr="00876F97">
        <w:rPr>
          <w:rFonts w:ascii="Times New Roman" w:eastAsia="Arial" w:hAnsi="Times New Roman" w:cs="Times New Roman"/>
          <w:sz w:val="28"/>
          <w:szCs w:val="28"/>
          <w:lang w:eastAsia="en-ZA"/>
        </w:rPr>
        <w:t xml:space="preserve">pending owner of the void and railway </w:t>
      </w:r>
      <w:r w:rsidR="00754851" w:rsidRPr="00876F97">
        <w:rPr>
          <w:rFonts w:ascii="Times New Roman" w:eastAsia="Arial" w:hAnsi="Times New Roman" w:cs="Times New Roman"/>
          <w:sz w:val="28"/>
          <w:szCs w:val="28"/>
          <w:lang w:eastAsia="en-ZA"/>
        </w:rPr>
        <w:t>station, would</w:t>
      </w:r>
      <w:r w:rsidR="008310C1" w:rsidRPr="00876F97">
        <w:rPr>
          <w:rFonts w:ascii="Times New Roman" w:eastAsia="Arial" w:hAnsi="Times New Roman" w:cs="Times New Roman"/>
          <w:sz w:val="28"/>
          <w:szCs w:val="28"/>
          <w:lang w:eastAsia="en-ZA"/>
        </w:rPr>
        <w:t xml:space="preserve"> ‘</w:t>
      </w:r>
      <w:r w:rsidR="008310C1" w:rsidRPr="00876F97">
        <w:rPr>
          <w:rFonts w:ascii="Times New Roman" w:eastAsia="Arial" w:hAnsi="Times New Roman" w:cs="Times New Roman"/>
          <w:i/>
          <w:iCs/>
          <w:sz w:val="28"/>
          <w:szCs w:val="28"/>
          <w:lang w:eastAsia="en-ZA"/>
        </w:rPr>
        <w:t>need to enter into agreements to govern and regulate the development and operation of the Void and Railway Station’.</w:t>
      </w:r>
      <w:r w:rsidR="00A55858" w:rsidRPr="00876F97">
        <w:rPr>
          <w:rFonts w:ascii="Times New Roman" w:eastAsia="Arial" w:hAnsi="Times New Roman" w:cs="Times New Roman"/>
          <w:sz w:val="28"/>
          <w:szCs w:val="28"/>
          <w:lang w:eastAsia="en-ZA"/>
        </w:rPr>
        <w:t xml:space="preserve"> Clause 3.4.7, in turn</w:t>
      </w:r>
      <w:r w:rsidR="001673C6" w:rsidRPr="00876F97">
        <w:rPr>
          <w:rFonts w:ascii="Times New Roman" w:eastAsia="Arial" w:hAnsi="Times New Roman" w:cs="Times New Roman"/>
          <w:sz w:val="28"/>
          <w:szCs w:val="28"/>
          <w:lang w:eastAsia="en-ZA"/>
        </w:rPr>
        <w:t>,</w:t>
      </w:r>
      <w:r w:rsidR="00A55858" w:rsidRPr="00876F97">
        <w:rPr>
          <w:rFonts w:ascii="Times New Roman" w:eastAsia="Arial" w:hAnsi="Times New Roman" w:cs="Times New Roman"/>
          <w:sz w:val="28"/>
          <w:szCs w:val="28"/>
          <w:lang w:eastAsia="en-ZA"/>
        </w:rPr>
        <w:t xml:space="preserve"> envisaged a </w:t>
      </w:r>
      <w:r w:rsidR="00754851" w:rsidRPr="00876F97">
        <w:rPr>
          <w:rFonts w:ascii="Times New Roman" w:eastAsia="Arial" w:hAnsi="Times New Roman" w:cs="Times New Roman"/>
          <w:sz w:val="28"/>
          <w:szCs w:val="28"/>
          <w:lang w:eastAsia="en-ZA"/>
        </w:rPr>
        <w:t>tripartite</w:t>
      </w:r>
      <w:r w:rsidR="00A55858" w:rsidRPr="00876F97">
        <w:rPr>
          <w:rFonts w:ascii="Times New Roman" w:eastAsia="Arial" w:hAnsi="Times New Roman" w:cs="Times New Roman"/>
          <w:sz w:val="28"/>
          <w:szCs w:val="28"/>
          <w:lang w:eastAsia="en-ZA"/>
        </w:rPr>
        <w:t xml:space="preserve"> agreement between Crowie Projects, CPC and PRASA which would </w:t>
      </w:r>
      <w:r w:rsidR="00A55858" w:rsidRPr="00876F97">
        <w:rPr>
          <w:rFonts w:ascii="Times New Roman" w:eastAsia="Arial" w:hAnsi="Times New Roman" w:cs="Times New Roman"/>
          <w:sz w:val="28"/>
          <w:szCs w:val="28"/>
          <w:lang w:eastAsia="en-ZA"/>
        </w:rPr>
        <w:lastRenderedPageBreak/>
        <w:t>regulate the operation of the railway station and would cover the ‘costs and expenses relating thereto.’</w:t>
      </w:r>
      <w:r w:rsidR="00795E1B" w:rsidRPr="006546A0">
        <w:rPr>
          <w:rStyle w:val="FootnoteReference"/>
          <w:rFonts w:ascii="Times New Roman" w:eastAsia="Arial" w:hAnsi="Times New Roman" w:cs="Times New Roman"/>
          <w:sz w:val="28"/>
          <w:szCs w:val="28"/>
          <w:lang w:eastAsia="en-ZA"/>
        </w:rPr>
        <w:footnoteReference w:id="5"/>
      </w:r>
      <w:r w:rsidR="00A55858" w:rsidRPr="00876F97">
        <w:rPr>
          <w:rFonts w:ascii="Times New Roman" w:eastAsia="Arial" w:hAnsi="Times New Roman" w:cs="Times New Roman"/>
          <w:sz w:val="28"/>
          <w:szCs w:val="28"/>
          <w:lang w:eastAsia="en-ZA"/>
        </w:rPr>
        <w:t xml:space="preserve"> </w:t>
      </w:r>
    </w:p>
    <w:p w14:paraId="2FCBE16A" w14:textId="77777777" w:rsidR="00754851" w:rsidRPr="006546A0" w:rsidRDefault="00754851" w:rsidP="00754851">
      <w:pPr>
        <w:pStyle w:val="ListParagraph"/>
        <w:spacing w:after="0" w:line="360" w:lineRule="auto"/>
        <w:ind w:left="0"/>
        <w:jc w:val="both"/>
        <w:rPr>
          <w:rFonts w:ascii="Times New Roman" w:eastAsia="Arial" w:hAnsi="Times New Roman" w:cs="Times New Roman"/>
          <w:sz w:val="28"/>
          <w:szCs w:val="28"/>
          <w:lang w:eastAsia="en-ZA"/>
        </w:rPr>
      </w:pPr>
    </w:p>
    <w:p w14:paraId="2B4A6EBE" w14:textId="665803C2" w:rsidR="00795E1B" w:rsidRPr="00876F97" w:rsidRDefault="00876F97" w:rsidP="00876F97">
      <w:pPr>
        <w:spacing w:after="0" w:line="360" w:lineRule="auto"/>
        <w:jc w:val="both"/>
        <w:rPr>
          <w:rFonts w:ascii="Times New Roman" w:eastAsia="Arial" w:hAnsi="Times New Roman" w:cs="Times New Roman"/>
          <w:sz w:val="28"/>
          <w:szCs w:val="28"/>
          <w:lang w:eastAsia="en-ZA"/>
        </w:rPr>
      </w:pPr>
      <w:r w:rsidRPr="006546A0">
        <w:rPr>
          <w:rFonts w:ascii="Times New Roman" w:eastAsia="Arial" w:hAnsi="Times New Roman" w:cs="Times New Roman"/>
          <w:sz w:val="28"/>
          <w:szCs w:val="28"/>
          <w:lang w:eastAsia="en-ZA"/>
        </w:rPr>
        <w:t>[18]</w:t>
      </w:r>
      <w:r w:rsidRPr="006546A0">
        <w:rPr>
          <w:rFonts w:ascii="Times New Roman" w:eastAsia="Arial" w:hAnsi="Times New Roman" w:cs="Times New Roman"/>
          <w:sz w:val="28"/>
          <w:szCs w:val="28"/>
          <w:lang w:eastAsia="en-ZA"/>
        </w:rPr>
        <w:tab/>
      </w:r>
      <w:r w:rsidR="00795E1B" w:rsidRPr="00876F97">
        <w:rPr>
          <w:rFonts w:ascii="Times New Roman" w:eastAsia="Arial" w:hAnsi="Times New Roman" w:cs="Times New Roman"/>
          <w:sz w:val="28"/>
          <w:szCs w:val="28"/>
          <w:lang w:eastAsia="en-ZA"/>
        </w:rPr>
        <w:t>Clause 25.15 states:</w:t>
      </w:r>
    </w:p>
    <w:p w14:paraId="1CE684C3" w14:textId="5BE55385" w:rsidR="00795E1B" w:rsidRPr="006546A0" w:rsidRDefault="00795E1B" w:rsidP="00795E1B">
      <w:pPr>
        <w:pStyle w:val="ListParagraph"/>
        <w:spacing w:after="0" w:line="360" w:lineRule="auto"/>
        <w:ind w:left="0"/>
        <w:jc w:val="both"/>
        <w:rPr>
          <w:rFonts w:ascii="Times New Roman" w:eastAsia="Arial" w:hAnsi="Times New Roman" w:cs="Times New Roman"/>
          <w:sz w:val="24"/>
          <w:szCs w:val="24"/>
          <w:lang w:eastAsia="en-ZA"/>
        </w:rPr>
      </w:pPr>
      <w:r w:rsidRPr="006546A0">
        <w:rPr>
          <w:rFonts w:ascii="Times New Roman" w:eastAsia="Arial" w:hAnsi="Times New Roman" w:cs="Times New Roman"/>
          <w:sz w:val="24"/>
          <w:szCs w:val="24"/>
          <w:lang w:eastAsia="en-ZA"/>
        </w:rPr>
        <w:t>‘It is recorded that [CPC] and [PRASA] may agree to a cession (out-and-out), assignment, delegation and transfer to [CPC] of the rights and obligations of [Crowie Projects] and [PRASA</w:t>
      </w:r>
      <w:r w:rsidR="009B44F8" w:rsidRPr="006546A0">
        <w:rPr>
          <w:rFonts w:ascii="Times New Roman" w:eastAsia="Arial" w:hAnsi="Times New Roman" w:cs="Times New Roman"/>
          <w:sz w:val="24"/>
          <w:szCs w:val="24"/>
          <w:lang w:eastAsia="en-ZA"/>
        </w:rPr>
        <w:t>]</w:t>
      </w:r>
      <w:r w:rsidRPr="006546A0">
        <w:rPr>
          <w:rFonts w:ascii="Times New Roman" w:eastAsia="Arial" w:hAnsi="Times New Roman" w:cs="Times New Roman"/>
          <w:sz w:val="24"/>
          <w:szCs w:val="24"/>
          <w:lang w:eastAsia="en-ZA"/>
        </w:rPr>
        <w:t xml:space="preserve"> as contained in the [Co</w:t>
      </w:r>
      <w:r w:rsidR="00934237">
        <w:rPr>
          <w:rFonts w:ascii="Times New Roman" w:eastAsia="Arial" w:hAnsi="Times New Roman" w:cs="Times New Roman"/>
          <w:sz w:val="24"/>
          <w:szCs w:val="24"/>
          <w:lang w:eastAsia="en-ZA"/>
        </w:rPr>
        <w:t>-</w:t>
      </w:r>
      <w:r w:rsidRPr="006546A0">
        <w:rPr>
          <w:rFonts w:ascii="Times New Roman" w:eastAsia="Arial" w:hAnsi="Times New Roman" w:cs="Times New Roman"/>
          <w:sz w:val="24"/>
          <w:szCs w:val="24"/>
          <w:lang w:eastAsia="en-ZA"/>
        </w:rPr>
        <w:t xml:space="preserve">ordination Agreement]. In such event [CPC] hereby agrees and undertakes to consent to and to sign all such agreements and documents as may be necessary to give effect to the </w:t>
      </w:r>
      <w:r w:rsidR="00481BC1" w:rsidRPr="006546A0">
        <w:rPr>
          <w:rFonts w:ascii="Times New Roman" w:eastAsia="Arial" w:hAnsi="Times New Roman" w:cs="Times New Roman"/>
          <w:sz w:val="24"/>
          <w:szCs w:val="24"/>
          <w:lang w:eastAsia="en-ZA"/>
        </w:rPr>
        <w:t>c</w:t>
      </w:r>
      <w:r w:rsidRPr="006546A0">
        <w:rPr>
          <w:rFonts w:ascii="Times New Roman" w:eastAsia="Arial" w:hAnsi="Times New Roman" w:cs="Times New Roman"/>
          <w:sz w:val="24"/>
          <w:szCs w:val="24"/>
          <w:lang w:eastAsia="en-ZA"/>
        </w:rPr>
        <w:t>ession contemplated in this clause 25.15…</w:t>
      </w:r>
      <w:r w:rsidR="006317A6" w:rsidRPr="006546A0">
        <w:rPr>
          <w:rFonts w:ascii="Times New Roman" w:eastAsia="Arial" w:hAnsi="Times New Roman" w:cs="Times New Roman"/>
          <w:sz w:val="24"/>
          <w:szCs w:val="24"/>
          <w:lang w:eastAsia="en-ZA"/>
        </w:rPr>
        <w:t>’</w:t>
      </w:r>
    </w:p>
    <w:p w14:paraId="20560307" w14:textId="77777777" w:rsidR="00754851" w:rsidRPr="006546A0" w:rsidRDefault="00754851" w:rsidP="00795E1B">
      <w:pPr>
        <w:pStyle w:val="ListParagraph"/>
        <w:spacing w:after="0" w:line="360" w:lineRule="auto"/>
        <w:ind w:left="0"/>
        <w:jc w:val="both"/>
        <w:rPr>
          <w:rFonts w:ascii="Times New Roman" w:eastAsia="Arial" w:hAnsi="Times New Roman" w:cs="Times New Roman"/>
          <w:sz w:val="24"/>
          <w:szCs w:val="24"/>
          <w:lang w:eastAsia="en-ZA"/>
        </w:rPr>
      </w:pPr>
    </w:p>
    <w:p w14:paraId="3A0CFE40" w14:textId="3FF42485" w:rsidR="00A55858" w:rsidRPr="00876F97" w:rsidRDefault="00876F97" w:rsidP="00876F97">
      <w:pPr>
        <w:spacing w:after="0" w:line="360" w:lineRule="auto"/>
        <w:jc w:val="both"/>
        <w:rPr>
          <w:rFonts w:ascii="Times New Roman" w:eastAsia="Arial" w:hAnsi="Times New Roman" w:cs="Times New Roman"/>
          <w:sz w:val="28"/>
          <w:szCs w:val="28"/>
          <w:lang w:eastAsia="en-ZA"/>
        </w:rPr>
      </w:pPr>
      <w:r w:rsidRPr="006546A0">
        <w:rPr>
          <w:rFonts w:ascii="Times New Roman" w:eastAsia="Arial" w:hAnsi="Times New Roman" w:cs="Times New Roman"/>
          <w:sz w:val="28"/>
          <w:szCs w:val="28"/>
          <w:lang w:eastAsia="en-ZA"/>
        </w:rPr>
        <w:t>[19]</w:t>
      </w:r>
      <w:r w:rsidRPr="006546A0">
        <w:rPr>
          <w:rFonts w:ascii="Times New Roman" w:eastAsia="Arial" w:hAnsi="Times New Roman" w:cs="Times New Roman"/>
          <w:sz w:val="28"/>
          <w:szCs w:val="28"/>
          <w:lang w:eastAsia="en-ZA"/>
        </w:rPr>
        <w:tab/>
      </w:r>
      <w:r w:rsidR="00210959" w:rsidRPr="00876F97">
        <w:rPr>
          <w:rFonts w:ascii="Times New Roman" w:eastAsia="Arial" w:hAnsi="Times New Roman" w:cs="Times New Roman"/>
          <w:sz w:val="28"/>
          <w:szCs w:val="28"/>
          <w:lang w:eastAsia="en-ZA"/>
        </w:rPr>
        <w:t>Clause 25.16 stipulates that:</w:t>
      </w:r>
    </w:p>
    <w:p w14:paraId="3FA66F2C" w14:textId="4B3B0B02" w:rsidR="00210959" w:rsidRPr="006546A0" w:rsidRDefault="00210959" w:rsidP="00210959">
      <w:pPr>
        <w:pStyle w:val="ListParagraph"/>
        <w:spacing w:after="0" w:line="360" w:lineRule="auto"/>
        <w:ind w:left="0"/>
        <w:jc w:val="both"/>
        <w:rPr>
          <w:rFonts w:ascii="Times New Roman" w:eastAsia="Arial" w:hAnsi="Times New Roman" w:cs="Times New Roman"/>
          <w:sz w:val="24"/>
          <w:szCs w:val="24"/>
          <w:lang w:eastAsia="en-ZA"/>
        </w:rPr>
      </w:pPr>
      <w:r w:rsidRPr="006546A0">
        <w:rPr>
          <w:rFonts w:ascii="Times New Roman" w:eastAsia="Arial" w:hAnsi="Times New Roman" w:cs="Times New Roman"/>
          <w:sz w:val="24"/>
          <w:szCs w:val="24"/>
          <w:lang w:eastAsia="en-ZA"/>
        </w:rPr>
        <w:t>‘The agreement/s referred to in 25.13</w:t>
      </w:r>
      <w:r w:rsidR="001673C6" w:rsidRPr="006546A0">
        <w:rPr>
          <w:rStyle w:val="FootnoteReference"/>
          <w:rFonts w:ascii="Times New Roman" w:eastAsia="Arial" w:hAnsi="Times New Roman" w:cs="Times New Roman"/>
          <w:sz w:val="24"/>
          <w:szCs w:val="24"/>
          <w:lang w:eastAsia="en-ZA"/>
        </w:rPr>
        <w:footnoteReference w:id="6"/>
      </w:r>
      <w:r w:rsidRPr="006546A0">
        <w:rPr>
          <w:rFonts w:ascii="Times New Roman" w:eastAsia="Arial" w:hAnsi="Times New Roman" w:cs="Times New Roman"/>
          <w:sz w:val="24"/>
          <w:szCs w:val="24"/>
          <w:lang w:eastAsia="en-ZA"/>
        </w:rPr>
        <w:t xml:space="preserve"> above between [Crowie Projects], [CPC]</w:t>
      </w:r>
      <w:r w:rsidR="00795E1B" w:rsidRPr="006546A0">
        <w:rPr>
          <w:rFonts w:ascii="Times New Roman" w:eastAsia="Arial" w:hAnsi="Times New Roman" w:cs="Times New Roman"/>
          <w:sz w:val="24"/>
          <w:szCs w:val="24"/>
          <w:lang w:eastAsia="en-ZA"/>
        </w:rPr>
        <w:t xml:space="preserve"> and [PRASA] shall be tripartite agreement/s that</w:t>
      </w:r>
      <w:r w:rsidR="006317A6" w:rsidRPr="006546A0">
        <w:rPr>
          <w:rFonts w:ascii="Times New Roman" w:eastAsia="Arial" w:hAnsi="Times New Roman" w:cs="Times New Roman"/>
          <w:sz w:val="24"/>
          <w:szCs w:val="24"/>
          <w:lang w:eastAsia="en-ZA"/>
        </w:rPr>
        <w:t xml:space="preserve"> shall specify </w:t>
      </w:r>
      <w:r w:rsidR="006317A6" w:rsidRPr="006546A0">
        <w:rPr>
          <w:rFonts w:ascii="Times New Roman" w:eastAsia="Arial" w:hAnsi="Times New Roman" w:cs="Times New Roman"/>
          <w:i/>
          <w:iCs/>
          <w:sz w:val="24"/>
          <w:szCs w:val="24"/>
          <w:lang w:eastAsia="en-ZA"/>
        </w:rPr>
        <w:t>inter alia</w:t>
      </w:r>
      <w:r w:rsidR="006317A6" w:rsidRPr="006546A0">
        <w:rPr>
          <w:rFonts w:ascii="Times New Roman" w:eastAsia="Arial" w:hAnsi="Times New Roman" w:cs="Times New Roman"/>
          <w:sz w:val="24"/>
          <w:szCs w:val="24"/>
          <w:lang w:eastAsia="en-ZA"/>
        </w:rPr>
        <w:t xml:space="preserve"> –</w:t>
      </w:r>
    </w:p>
    <w:p w14:paraId="59D75447" w14:textId="2EB70F9F" w:rsidR="006317A6" w:rsidRPr="006546A0" w:rsidRDefault="006317A6" w:rsidP="00210959">
      <w:pPr>
        <w:pStyle w:val="ListParagraph"/>
        <w:spacing w:after="0" w:line="360" w:lineRule="auto"/>
        <w:ind w:left="0"/>
        <w:jc w:val="both"/>
        <w:rPr>
          <w:rFonts w:ascii="Times New Roman" w:eastAsia="Arial" w:hAnsi="Times New Roman" w:cs="Times New Roman"/>
          <w:sz w:val="24"/>
          <w:szCs w:val="24"/>
          <w:lang w:eastAsia="en-ZA"/>
        </w:rPr>
      </w:pPr>
      <w:r w:rsidRPr="006546A0">
        <w:rPr>
          <w:rFonts w:ascii="Times New Roman" w:eastAsia="Arial" w:hAnsi="Times New Roman" w:cs="Times New Roman"/>
          <w:sz w:val="24"/>
          <w:szCs w:val="24"/>
          <w:lang w:eastAsia="en-ZA"/>
        </w:rPr>
        <w:t xml:space="preserve">25.16.1 which rights and obligations [CPC] shall take cession, </w:t>
      </w:r>
      <w:r w:rsidR="00934237" w:rsidRPr="006546A0">
        <w:rPr>
          <w:rFonts w:ascii="Times New Roman" w:eastAsia="Arial" w:hAnsi="Times New Roman" w:cs="Times New Roman"/>
          <w:sz w:val="24"/>
          <w:szCs w:val="24"/>
          <w:lang w:eastAsia="en-ZA"/>
        </w:rPr>
        <w:t>assignment,</w:t>
      </w:r>
      <w:r w:rsidRPr="006546A0">
        <w:rPr>
          <w:rFonts w:ascii="Times New Roman" w:eastAsia="Arial" w:hAnsi="Times New Roman" w:cs="Times New Roman"/>
          <w:sz w:val="24"/>
          <w:szCs w:val="24"/>
          <w:lang w:eastAsia="en-ZA"/>
        </w:rPr>
        <w:t xml:space="preserve"> and delegation of;</w:t>
      </w:r>
    </w:p>
    <w:p w14:paraId="099B37CE" w14:textId="00B02DA7" w:rsidR="006317A6" w:rsidRPr="006546A0" w:rsidRDefault="006317A6" w:rsidP="00210959">
      <w:pPr>
        <w:pStyle w:val="ListParagraph"/>
        <w:spacing w:after="0" w:line="360" w:lineRule="auto"/>
        <w:ind w:left="0"/>
        <w:jc w:val="both"/>
        <w:rPr>
          <w:rFonts w:ascii="Times New Roman" w:eastAsia="Arial" w:hAnsi="Times New Roman" w:cs="Times New Roman"/>
          <w:sz w:val="24"/>
          <w:szCs w:val="24"/>
          <w:lang w:eastAsia="en-ZA"/>
        </w:rPr>
      </w:pPr>
      <w:r w:rsidRPr="006546A0">
        <w:rPr>
          <w:rFonts w:ascii="Times New Roman" w:eastAsia="Arial" w:hAnsi="Times New Roman" w:cs="Times New Roman"/>
          <w:sz w:val="24"/>
          <w:szCs w:val="24"/>
          <w:lang w:eastAsia="en-ZA"/>
        </w:rPr>
        <w:t>25.16.2 which rights and obligations [Crowie Projects] shall remain liable for, to [PRASA]; and</w:t>
      </w:r>
    </w:p>
    <w:p w14:paraId="3D0C855A" w14:textId="6E51645C" w:rsidR="006317A6" w:rsidRPr="006546A0" w:rsidRDefault="006317A6" w:rsidP="00210959">
      <w:pPr>
        <w:pStyle w:val="ListParagraph"/>
        <w:spacing w:after="0" w:line="360" w:lineRule="auto"/>
        <w:ind w:left="0"/>
        <w:jc w:val="both"/>
        <w:rPr>
          <w:rFonts w:ascii="Times New Roman" w:eastAsia="Arial" w:hAnsi="Times New Roman" w:cs="Times New Roman"/>
          <w:sz w:val="24"/>
          <w:szCs w:val="24"/>
          <w:lang w:eastAsia="en-ZA"/>
        </w:rPr>
      </w:pPr>
      <w:r w:rsidRPr="006546A0">
        <w:rPr>
          <w:rFonts w:ascii="Times New Roman" w:eastAsia="Arial" w:hAnsi="Times New Roman" w:cs="Times New Roman"/>
          <w:sz w:val="24"/>
          <w:szCs w:val="24"/>
          <w:lang w:eastAsia="en-ZA"/>
        </w:rPr>
        <w:t>25.16.3 the manner in which the rights and obligations referred to in 25.16.1 and 25.16.2 shall be executed.’</w:t>
      </w:r>
    </w:p>
    <w:p w14:paraId="1D9306BA" w14:textId="77777777" w:rsidR="00754851" w:rsidRPr="006546A0" w:rsidRDefault="00754851" w:rsidP="00210959">
      <w:pPr>
        <w:pStyle w:val="ListParagraph"/>
        <w:spacing w:after="0" w:line="360" w:lineRule="auto"/>
        <w:ind w:left="0"/>
        <w:jc w:val="both"/>
        <w:rPr>
          <w:rFonts w:ascii="Times New Roman" w:eastAsia="Arial" w:hAnsi="Times New Roman" w:cs="Times New Roman"/>
          <w:sz w:val="24"/>
          <w:szCs w:val="24"/>
          <w:lang w:eastAsia="en-ZA"/>
        </w:rPr>
      </w:pPr>
    </w:p>
    <w:p w14:paraId="4D5EB24E" w14:textId="37DD6415" w:rsidR="00C25D3E" w:rsidRPr="00876F97" w:rsidRDefault="00876F97" w:rsidP="00876F97">
      <w:pPr>
        <w:spacing w:after="0" w:line="360" w:lineRule="auto"/>
        <w:jc w:val="both"/>
        <w:rPr>
          <w:rFonts w:ascii="Times New Roman" w:eastAsia="Arial" w:hAnsi="Times New Roman" w:cs="Times New Roman"/>
          <w:sz w:val="28"/>
          <w:szCs w:val="28"/>
          <w:lang w:eastAsia="en-ZA"/>
        </w:rPr>
      </w:pPr>
      <w:r w:rsidRPr="006546A0">
        <w:rPr>
          <w:rFonts w:ascii="Times New Roman" w:eastAsia="Arial" w:hAnsi="Times New Roman" w:cs="Times New Roman"/>
          <w:sz w:val="28"/>
          <w:szCs w:val="28"/>
          <w:lang w:eastAsia="en-ZA"/>
        </w:rPr>
        <w:t>[20]</w:t>
      </w:r>
      <w:r w:rsidRPr="006546A0">
        <w:rPr>
          <w:rFonts w:ascii="Times New Roman" w:eastAsia="Arial" w:hAnsi="Times New Roman" w:cs="Times New Roman"/>
          <w:sz w:val="28"/>
          <w:szCs w:val="28"/>
          <w:lang w:eastAsia="en-ZA"/>
        </w:rPr>
        <w:tab/>
      </w:r>
      <w:r w:rsidR="00031F85" w:rsidRPr="00876F97">
        <w:rPr>
          <w:rFonts w:ascii="Times New Roman" w:eastAsia="Arial" w:hAnsi="Times New Roman" w:cs="Times New Roman"/>
          <w:sz w:val="28"/>
          <w:szCs w:val="28"/>
          <w:lang w:eastAsia="en-ZA"/>
        </w:rPr>
        <w:t xml:space="preserve">In light of these </w:t>
      </w:r>
      <w:r w:rsidR="009B44F8" w:rsidRPr="00876F97">
        <w:rPr>
          <w:rFonts w:ascii="Times New Roman" w:eastAsia="Arial" w:hAnsi="Times New Roman" w:cs="Times New Roman"/>
          <w:sz w:val="28"/>
          <w:szCs w:val="28"/>
          <w:lang w:eastAsia="en-ZA"/>
        </w:rPr>
        <w:t xml:space="preserve">clear and unequivocal </w:t>
      </w:r>
      <w:r w:rsidR="00031F85" w:rsidRPr="00876F97">
        <w:rPr>
          <w:rFonts w:ascii="Times New Roman" w:eastAsia="Arial" w:hAnsi="Times New Roman" w:cs="Times New Roman"/>
          <w:sz w:val="28"/>
          <w:szCs w:val="28"/>
          <w:lang w:eastAsia="en-ZA"/>
        </w:rPr>
        <w:t xml:space="preserve">provisions of the SOB, there is no scope for a construction of the agreement </w:t>
      </w:r>
      <w:r w:rsidR="009B44F8" w:rsidRPr="00876F97">
        <w:rPr>
          <w:rFonts w:ascii="Times New Roman" w:eastAsia="Arial" w:hAnsi="Times New Roman" w:cs="Times New Roman"/>
          <w:sz w:val="28"/>
          <w:szCs w:val="28"/>
          <w:lang w:eastAsia="en-ZA"/>
        </w:rPr>
        <w:t>as having necessarily encompassed the acquisition of the rights conferred by clause 17</w:t>
      </w:r>
      <w:r w:rsidR="00031F85" w:rsidRPr="00876F97">
        <w:rPr>
          <w:rFonts w:ascii="Times New Roman" w:eastAsia="Arial" w:hAnsi="Times New Roman" w:cs="Times New Roman"/>
          <w:sz w:val="28"/>
          <w:szCs w:val="28"/>
          <w:lang w:eastAsia="en-ZA"/>
        </w:rPr>
        <w:t xml:space="preserve">. </w:t>
      </w:r>
      <w:r w:rsidR="006317A6" w:rsidRPr="00876F97">
        <w:rPr>
          <w:rFonts w:ascii="Times New Roman" w:eastAsia="Arial" w:hAnsi="Times New Roman" w:cs="Times New Roman"/>
          <w:sz w:val="28"/>
          <w:szCs w:val="28"/>
          <w:lang w:eastAsia="en-ZA"/>
        </w:rPr>
        <w:t xml:space="preserve">It was common ground that none of the envisaged agreements and deeds of cession were executed. CPC did not </w:t>
      </w:r>
      <w:r w:rsidR="007547DF" w:rsidRPr="00876F97">
        <w:rPr>
          <w:rFonts w:ascii="Times New Roman" w:eastAsia="Arial" w:hAnsi="Times New Roman" w:cs="Times New Roman"/>
          <w:sz w:val="28"/>
          <w:szCs w:val="28"/>
          <w:lang w:eastAsia="en-ZA"/>
        </w:rPr>
        <w:t>seek to suggest that there existed an oral or</w:t>
      </w:r>
      <w:r w:rsidR="009B44F8" w:rsidRPr="00876F97">
        <w:rPr>
          <w:rFonts w:ascii="Times New Roman" w:eastAsia="Arial" w:hAnsi="Times New Roman" w:cs="Times New Roman"/>
          <w:sz w:val="28"/>
          <w:szCs w:val="28"/>
          <w:lang w:eastAsia="en-ZA"/>
        </w:rPr>
        <w:t xml:space="preserve">, despite its argument, a </w:t>
      </w:r>
      <w:r w:rsidR="007547DF" w:rsidRPr="00876F97">
        <w:rPr>
          <w:rFonts w:ascii="Times New Roman" w:eastAsia="Arial" w:hAnsi="Times New Roman" w:cs="Times New Roman"/>
          <w:sz w:val="28"/>
          <w:szCs w:val="28"/>
          <w:lang w:eastAsia="en-ZA"/>
        </w:rPr>
        <w:t>tacit cession of the rights conferred by clause 17 of the Co</w:t>
      </w:r>
      <w:r w:rsidR="00934237" w:rsidRPr="00876F97">
        <w:rPr>
          <w:rFonts w:ascii="Times New Roman" w:eastAsia="Arial" w:hAnsi="Times New Roman" w:cs="Times New Roman"/>
          <w:sz w:val="28"/>
          <w:szCs w:val="28"/>
          <w:lang w:eastAsia="en-ZA"/>
        </w:rPr>
        <w:t>-</w:t>
      </w:r>
      <w:r w:rsidR="007547DF" w:rsidRPr="00876F97">
        <w:rPr>
          <w:rFonts w:ascii="Times New Roman" w:eastAsia="Arial" w:hAnsi="Times New Roman" w:cs="Times New Roman"/>
          <w:sz w:val="28"/>
          <w:szCs w:val="28"/>
          <w:lang w:eastAsia="en-ZA"/>
        </w:rPr>
        <w:t>ordination Agreement. The non-variation clause</w:t>
      </w:r>
      <w:r w:rsidR="00427351" w:rsidRPr="00876F97">
        <w:rPr>
          <w:rFonts w:ascii="Times New Roman" w:eastAsia="Arial" w:hAnsi="Times New Roman" w:cs="Times New Roman"/>
          <w:sz w:val="28"/>
          <w:szCs w:val="28"/>
          <w:lang w:eastAsia="en-ZA"/>
        </w:rPr>
        <w:t xml:space="preserve">s </w:t>
      </w:r>
      <w:r w:rsidR="00427351" w:rsidRPr="00876F97">
        <w:rPr>
          <w:rFonts w:ascii="Times New Roman" w:eastAsia="Arial" w:hAnsi="Times New Roman" w:cs="Times New Roman"/>
          <w:sz w:val="28"/>
          <w:szCs w:val="28"/>
          <w:lang w:eastAsia="en-ZA"/>
        </w:rPr>
        <w:lastRenderedPageBreak/>
        <w:t xml:space="preserve">62 and 63 of </w:t>
      </w:r>
      <w:r w:rsidR="007547DF" w:rsidRPr="00876F97">
        <w:rPr>
          <w:rFonts w:ascii="Times New Roman" w:eastAsia="Arial" w:hAnsi="Times New Roman" w:cs="Times New Roman"/>
          <w:sz w:val="28"/>
          <w:szCs w:val="28"/>
          <w:lang w:eastAsia="en-ZA"/>
        </w:rPr>
        <w:t xml:space="preserve">the SOB would militate against </w:t>
      </w:r>
      <w:r w:rsidR="009B44F8" w:rsidRPr="00876F97">
        <w:rPr>
          <w:rFonts w:ascii="Times New Roman" w:eastAsia="Arial" w:hAnsi="Times New Roman" w:cs="Times New Roman"/>
          <w:sz w:val="28"/>
          <w:szCs w:val="28"/>
          <w:lang w:eastAsia="en-ZA"/>
        </w:rPr>
        <w:t>any oral agreement by which the terms were varied.</w:t>
      </w:r>
      <w:r w:rsidR="007547DF" w:rsidRPr="006546A0">
        <w:rPr>
          <w:rStyle w:val="FootnoteReference"/>
          <w:rFonts w:ascii="Times New Roman" w:eastAsia="Arial" w:hAnsi="Times New Roman" w:cs="Times New Roman"/>
          <w:sz w:val="28"/>
          <w:szCs w:val="28"/>
          <w:lang w:eastAsia="en-ZA"/>
        </w:rPr>
        <w:footnoteReference w:id="7"/>
      </w:r>
      <w:r w:rsidR="007547DF" w:rsidRPr="00876F97">
        <w:rPr>
          <w:rFonts w:ascii="Times New Roman" w:eastAsia="Arial" w:hAnsi="Times New Roman" w:cs="Times New Roman"/>
          <w:sz w:val="28"/>
          <w:szCs w:val="28"/>
          <w:lang w:eastAsia="en-ZA"/>
        </w:rPr>
        <w:t xml:space="preserve"> </w:t>
      </w:r>
    </w:p>
    <w:p w14:paraId="100F1F12" w14:textId="77777777" w:rsidR="00C25D3E" w:rsidRPr="006546A0" w:rsidRDefault="00C25D3E" w:rsidP="00C25D3E">
      <w:pPr>
        <w:pStyle w:val="ListParagraph"/>
        <w:spacing w:after="0" w:line="360" w:lineRule="auto"/>
        <w:ind w:left="0"/>
        <w:jc w:val="both"/>
        <w:rPr>
          <w:rFonts w:ascii="Times New Roman" w:eastAsia="Arial" w:hAnsi="Times New Roman" w:cs="Times New Roman"/>
          <w:sz w:val="28"/>
          <w:szCs w:val="28"/>
          <w:lang w:eastAsia="en-ZA"/>
        </w:rPr>
      </w:pPr>
    </w:p>
    <w:p w14:paraId="6A2EA164" w14:textId="0FB6FFAC" w:rsidR="00DF2D05" w:rsidRPr="00876F97" w:rsidRDefault="00876F97" w:rsidP="00876F97">
      <w:pPr>
        <w:spacing w:after="0" w:line="360" w:lineRule="auto"/>
        <w:jc w:val="both"/>
        <w:rPr>
          <w:rFonts w:ascii="Times New Roman" w:eastAsia="Arial" w:hAnsi="Times New Roman" w:cs="Times New Roman"/>
          <w:sz w:val="28"/>
          <w:szCs w:val="28"/>
          <w:lang w:eastAsia="en-ZA"/>
        </w:rPr>
      </w:pPr>
      <w:r w:rsidRPr="006546A0">
        <w:rPr>
          <w:rFonts w:ascii="Times New Roman" w:eastAsia="Arial" w:hAnsi="Times New Roman" w:cs="Times New Roman"/>
          <w:sz w:val="28"/>
          <w:szCs w:val="28"/>
          <w:lang w:eastAsia="en-ZA"/>
        </w:rPr>
        <w:t>[21]</w:t>
      </w:r>
      <w:r w:rsidRPr="006546A0">
        <w:rPr>
          <w:rFonts w:ascii="Times New Roman" w:eastAsia="Arial" w:hAnsi="Times New Roman" w:cs="Times New Roman"/>
          <w:sz w:val="28"/>
          <w:szCs w:val="28"/>
          <w:lang w:eastAsia="en-ZA"/>
        </w:rPr>
        <w:tab/>
      </w:r>
      <w:r w:rsidR="00427351" w:rsidRPr="00876F97">
        <w:rPr>
          <w:rFonts w:ascii="Times New Roman" w:eastAsia="Arial" w:hAnsi="Times New Roman" w:cs="Times New Roman"/>
          <w:sz w:val="28"/>
          <w:szCs w:val="28"/>
          <w:lang w:eastAsia="en-ZA"/>
        </w:rPr>
        <w:t xml:space="preserve">The clauses of the SOB dealing with </w:t>
      </w:r>
      <w:r w:rsidR="001F5207" w:rsidRPr="00876F97">
        <w:rPr>
          <w:rFonts w:ascii="Times New Roman" w:eastAsia="Arial" w:hAnsi="Times New Roman" w:cs="Times New Roman"/>
          <w:sz w:val="28"/>
          <w:szCs w:val="28"/>
          <w:lang w:eastAsia="en-ZA"/>
        </w:rPr>
        <w:t xml:space="preserve">the envisaged cession of rights </w:t>
      </w:r>
      <w:r w:rsidR="00C25D3E" w:rsidRPr="00876F97">
        <w:rPr>
          <w:rFonts w:ascii="Times New Roman" w:eastAsia="Arial" w:hAnsi="Times New Roman" w:cs="Times New Roman"/>
          <w:sz w:val="28"/>
          <w:szCs w:val="28"/>
          <w:lang w:eastAsia="en-ZA"/>
        </w:rPr>
        <w:t xml:space="preserve">make it clear that the parties contemplated </w:t>
      </w:r>
      <w:r w:rsidR="001F5207" w:rsidRPr="00876F97">
        <w:rPr>
          <w:rFonts w:ascii="Times New Roman" w:eastAsia="Arial" w:hAnsi="Times New Roman" w:cs="Times New Roman"/>
          <w:sz w:val="28"/>
          <w:szCs w:val="28"/>
          <w:lang w:eastAsia="en-ZA"/>
        </w:rPr>
        <w:t xml:space="preserve">one or </w:t>
      </w:r>
      <w:r w:rsidR="00031F85" w:rsidRPr="00876F97">
        <w:rPr>
          <w:rFonts w:ascii="Times New Roman" w:eastAsia="Arial" w:hAnsi="Times New Roman" w:cs="Times New Roman"/>
          <w:sz w:val="28"/>
          <w:szCs w:val="28"/>
          <w:lang w:eastAsia="en-ZA"/>
        </w:rPr>
        <w:t xml:space="preserve">more </w:t>
      </w:r>
      <w:r w:rsidR="001F5207" w:rsidRPr="00876F97">
        <w:rPr>
          <w:rFonts w:ascii="Times New Roman" w:eastAsia="Arial" w:hAnsi="Times New Roman" w:cs="Times New Roman"/>
          <w:sz w:val="28"/>
          <w:szCs w:val="28"/>
          <w:lang w:eastAsia="en-ZA"/>
        </w:rPr>
        <w:t>cessions</w:t>
      </w:r>
      <w:r w:rsidR="00C25D3E" w:rsidRPr="00876F97">
        <w:rPr>
          <w:rFonts w:ascii="Times New Roman" w:eastAsia="Arial" w:hAnsi="Times New Roman" w:cs="Times New Roman"/>
          <w:sz w:val="28"/>
          <w:szCs w:val="28"/>
          <w:lang w:eastAsia="en-ZA"/>
        </w:rPr>
        <w:t>, to facilitate the effective implementation of the agreement.</w:t>
      </w:r>
      <w:r w:rsidR="001F5207" w:rsidRPr="00876F97">
        <w:rPr>
          <w:rFonts w:ascii="Times New Roman" w:eastAsia="Arial" w:hAnsi="Times New Roman" w:cs="Times New Roman"/>
          <w:sz w:val="28"/>
          <w:szCs w:val="28"/>
          <w:lang w:eastAsia="en-ZA"/>
        </w:rPr>
        <w:t xml:space="preserve"> </w:t>
      </w:r>
      <w:r w:rsidR="00C25D3E" w:rsidRPr="00876F97">
        <w:rPr>
          <w:rFonts w:ascii="Times New Roman" w:eastAsia="Arial" w:hAnsi="Times New Roman" w:cs="Times New Roman"/>
          <w:sz w:val="28"/>
          <w:szCs w:val="28"/>
          <w:lang w:eastAsia="en-ZA"/>
        </w:rPr>
        <w:t>T</w:t>
      </w:r>
      <w:r w:rsidR="001F5207" w:rsidRPr="00876F97">
        <w:rPr>
          <w:rFonts w:ascii="Times New Roman" w:eastAsia="Arial" w:hAnsi="Times New Roman" w:cs="Times New Roman"/>
          <w:sz w:val="28"/>
          <w:szCs w:val="28"/>
          <w:lang w:eastAsia="en-ZA"/>
        </w:rPr>
        <w:t xml:space="preserve">he existence of such intention is not sufficient. </w:t>
      </w:r>
      <w:r w:rsidR="00C25D3E" w:rsidRPr="00876F97">
        <w:rPr>
          <w:rFonts w:ascii="Times New Roman" w:eastAsia="Arial" w:hAnsi="Times New Roman" w:cs="Times New Roman"/>
          <w:sz w:val="28"/>
          <w:szCs w:val="28"/>
          <w:lang w:eastAsia="en-ZA"/>
        </w:rPr>
        <w:t>The</w:t>
      </w:r>
      <w:r w:rsidR="00CE3491" w:rsidRPr="00876F97">
        <w:rPr>
          <w:rFonts w:ascii="Times New Roman" w:eastAsia="Arial" w:hAnsi="Times New Roman" w:cs="Times New Roman"/>
          <w:sz w:val="28"/>
          <w:szCs w:val="28"/>
          <w:lang w:eastAsia="en-ZA"/>
        </w:rPr>
        <w:t xml:space="preserve"> parties</w:t>
      </w:r>
      <w:r w:rsidR="001F5207" w:rsidRPr="00876F97">
        <w:rPr>
          <w:rFonts w:ascii="Times New Roman" w:eastAsia="Arial" w:hAnsi="Times New Roman" w:cs="Times New Roman"/>
          <w:sz w:val="28"/>
          <w:szCs w:val="28"/>
          <w:lang w:eastAsia="en-ZA"/>
        </w:rPr>
        <w:t xml:space="preserve"> agreed that the cession/s would take place in </w:t>
      </w:r>
      <w:r w:rsidR="00C25D3E" w:rsidRPr="00876F97">
        <w:rPr>
          <w:rFonts w:ascii="Times New Roman" w:eastAsia="Arial" w:hAnsi="Times New Roman" w:cs="Times New Roman"/>
          <w:sz w:val="28"/>
          <w:szCs w:val="28"/>
          <w:lang w:eastAsia="en-ZA"/>
        </w:rPr>
        <w:t xml:space="preserve">a </w:t>
      </w:r>
      <w:r w:rsidR="001F5207" w:rsidRPr="00876F97">
        <w:rPr>
          <w:rFonts w:ascii="Times New Roman" w:eastAsia="Arial" w:hAnsi="Times New Roman" w:cs="Times New Roman"/>
          <w:sz w:val="28"/>
          <w:szCs w:val="28"/>
          <w:lang w:eastAsia="en-ZA"/>
        </w:rPr>
        <w:t xml:space="preserve">specified form to ensure that the subject of the cession was properly </w:t>
      </w:r>
      <w:r w:rsidR="00DF2D05" w:rsidRPr="00876F97">
        <w:rPr>
          <w:rFonts w:ascii="Times New Roman" w:eastAsia="Arial" w:hAnsi="Times New Roman" w:cs="Times New Roman"/>
          <w:sz w:val="28"/>
          <w:szCs w:val="28"/>
          <w:lang w:eastAsia="en-ZA"/>
        </w:rPr>
        <w:t>identified,</w:t>
      </w:r>
      <w:r w:rsidR="001F5207" w:rsidRPr="00876F97">
        <w:rPr>
          <w:rFonts w:ascii="Times New Roman" w:eastAsia="Arial" w:hAnsi="Times New Roman" w:cs="Times New Roman"/>
          <w:sz w:val="28"/>
          <w:szCs w:val="28"/>
          <w:lang w:eastAsia="en-ZA"/>
        </w:rPr>
        <w:t xml:space="preserve"> and its effect clarified.</w:t>
      </w:r>
      <w:r w:rsidR="001F5207" w:rsidRPr="006546A0">
        <w:rPr>
          <w:rStyle w:val="FootnoteReference"/>
          <w:rFonts w:ascii="Times New Roman" w:eastAsia="Arial" w:hAnsi="Times New Roman" w:cs="Times New Roman"/>
          <w:sz w:val="28"/>
          <w:szCs w:val="28"/>
          <w:lang w:eastAsia="en-ZA"/>
        </w:rPr>
        <w:footnoteReference w:id="8"/>
      </w:r>
      <w:r w:rsidR="00DF2D05" w:rsidRPr="00876F97">
        <w:rPr>
          <w:rFonts w:ascii="Times New Roman" w:eastAsia="Arial" w:hAnsi="Times New Roman" w:cs="Times New Roman"/>
          <w:sz w:val="28"/>
          <w:szCs w:val="28"/>
          <w:lang w:eastAsia="en-ZA"/>
        </w:rPr>
        <w:t xml:space="preserve"> </w:t>
      </w:r>
      <w:r w:rsidR="00C25D3E" w:rsidRPr="00876F97">
        <w:rPr>
          <w:rFonts w:ascii="Times New Roman" w:eastAsia="Arial" w:hAnsi="Times New Roman" w:cs="Times New Roman"/>
          <w:sz w:val="28"/>
          <w:szCs w:val="28"/>
          <w:lang w:eastAsia="en-ZA"/>
        </w:rPr>
        <w:t xml:space="preserve">They were bound to act in accordance with that agreement. </w:t>
      </w:r>
      <w:r w:rsidR="00DF2D05" w:rsidRPr="00876F97">
        <w:rPr>
          <w:rFonts w:ascii="Times New Roman" w:eastAsia="Arial" w:hAnsi="Times New Roman" w:cs="Times New Roman"/>
          <w:sz w:val="28"/>
          <w:szCs w:val="28"/>
          <w:lang w:eastAsia="en-ZA"/>
        </w:rPr>
        <w:t xml:space="preserve">There is therefore no scope for </w:t>
      </w:r>
      <w:r w:rsidR="00C25D3E" w:rsidRPr="00876F97">
        <w:rPr>
          <w:rFonts w:ascii="Times New Roman" w:eastAsia="Arial" w:hAnsi="Times New Roman" w:cs="Times New Roman"/>
          <w:sz w:val="28"/>
          <w:szCs w:val="28"/>
          <w:lang w:eastAsia="en-ZA"/>
        </w:rPr>
        <w:t xml:space="preserve">reliance upon </w:t>
      </w:r>
      <w:r w:rsidR="00DF2D05" w:rsidRPr="00876F97">
        <w:rPr>
          <w:rFonts w:ascii="Times New Roman" w:eastAsia="Arial" w:hAnsi="Times New Roman" w:cs="Times New Roman"/>
          <w:sz w:val="28"/>
          <w:szCs w:val="28"/>
          <w:lang w:eastAsia="en-ZA"/>
        </w:rPr>
        <w:t>any tacit cession.</w:t>
      </w:r>
      <w:r w:rsidR="001F5207" w:rsidRPr="00876F97">
        <w:rPr>
          <w:rFonts w:ascii="Times New Roman" w:eastAsia="Arial" w:hAnsi="Times New Roman" w:cs="Times New Roman"/>
          <w:sz w:val="28"/>
          <w:szCs w:val="28"/>
          <w:lang w:eastAsia="en-ZA"/>
        </w:rPr>
        <w:t xml:space="preserve"> </w:t>
      </w:r>
    </w:p>
    <w:p w14:paraId="400DD1E8" w14:textId="77777777" w:rsidR="00754851" w:rsidRPr="006546A0" w:rsidRDefault="00754851" w:rsidP="00754851">
      <w:pPr>
        <w:pStyle w:val="ListParagraph"/>
        <w:spacing w:after="0" w:line="360" w:lineRule="auto"/>
        <w:ind w:left="0"/>
        <w:jc w:val="both"/>
        <w:rPr>
          <w:rFonts w:ascii="Times New Roman" w:eastAsia="Arial" w:hAnsi="Times New Roman" w:cs="Times New Roman"/>
          <w:sz w:val="28"/>
          <w:szCs w:val="28"/>
          <w:lang w:eastAsia="en-ZA"/>
        </w:rPr>
      </w:pPr>
    </w:p>
    <w:p w14:paraId="1DC6DC79" w14:textId="6068424D" w:rsidR="003826CC" w:rsidRPr="00876F97" w:rsidRDefault="00876F97" w:rsidP="00876F97">
      <w:pPr>
        <w:spacing w:after="0" w:line="360" w:lineRule="auto"/>
        <w:jc w:val="both"/>
        <w:rPr>
          <w:rFonts w:ascii="Times New Roman" w:eastAsia="Arial" w:hAnsi="Times New Roman" w:cs="Times New Roman"/>
          <w:sz w:val="28"/>
          <w:szCs w:val="28"/>
          <w:lang w:eastAsia="en-ZA"/>
        </w:rPr>
      </w:pPr>
      <w:r w:rsidRPr="006546A0">
        <w:rPr>
          <w:rFonts w:ascii="Times New Roman" w:eastAsia="Arial" w:hAnsi="Times New Roman" w:cs="Times New Roman"/>
          <w:sz w:val="28"/>
          <w:szCs w:val="28"/>
          <w:lang w:eastAsia="en-ZA"/>
        </w:rPr>
        <w:t>[22]</w:t>
      </w:r>
      <w:r w:rsidRPr="006546A0">
        <w:rPr>
          <w:rFonts w:ascii="Times New Roman" w:eastAsia="Arial" w:hAnsi="Times New Roman" w:cs="Times New Roman"/>
          <w:sz w:val="28"/>
          <w:szCs w:val="28"/>
          <w:lang w:eastAsia="en-ZA"/>
        </w:rPr>
        <w:tab/>
      </w:r>
      <w:r w:rsidR="00C25D3E" w:rsidRPr="00876F97">
        <w:rPr>
          <w:rFonts w:ascii="Times New Roman" w:eastAsia="Arial" w:hAnsi="Times New Roman" w:cs="Times New Roman"/>
          <w:sz w:val="28"/>
          <w:szCs w:val="28"/>
          <w:lang w:eastAsia="en-ZA"/>
        </w:rPr>
        <w:t xml:space="preserve">Clause 17 was a term of agreement between Crowie Projects and PRASA. </w:t>
      </w:r>
      <w:r w:rsidR="00DF2D05" w:rsidRPr="00876F97">
        <w:rPr>
          <w:rFonts w:ascii="Times New Roman" w:eastAsia="Arial" w:hAnsi="Times New Roman" w:cs="Times New Roman"/>
          <w:sz w:val="28"/>
          <w:szCs w:val="28"/>
          <w:lang w:eastAsia="en-ZA"/>
        </w:rPr>
        <w:t xml:space="preserve">It follows that CPC was not entitled to </w:t>
      </w:r>
      <w:r w:rsidR="00C25D3E" w:rsidRPr="00876F97">
        <w:rPr>
          <w:rFonts w:ascii="Times New Roman" w:eastAsia="Arial" w:hAnsi="Times New Roman" w:cs="Times New Roman"/>
          <w:sz w:val="28"/>
          <w:szCs w:val="28"/>
          <w:lang w:eastAsia="en-ZA"/>
        </w:rPr>
        <w:t>rely on</w:t>
      </w:r>
      <w:r w:rsidR="00DF2D05" w:rsidRPr="00876F97">
        <w:rPr>
          <w:rFonts w:ascii="Times New Roman" w:eastAsia="Arial" w:hAnsi="Times New Roman" w:cs="Times New Roman"/>
          <w:sz w:val="28"/>
          <w:szCs w:val="28"/>
          <w:lang w:eastAsia="en-ZA"/>
        </w:rPr>
        <w:t xml:space="preserve"> </w:t>
      </w:r>
      <w:r w:rsidR="00C25D3E" w:rsidRPr="00876F97">
        <w:rPr>
          <w:rFonts w:ascii="Times New Roman" w:eastAsia="Arial" w:hAnsi="Times New Roman" w:cs="Times New Roman"/>
          <w:sz w:val="28"/>
          <w:szCs w:val="28"/>
          <w:lang w:eastAsia="en-ZA"/>
        </w:rPr>
        <w:t>it</w:t>
      </w:r>
      <w:r w:rsidR="00DF2D05" w:rsidRPr="00876F97">
        <w:rPr>
          <w:rFonts w:ascii="Times New Roman" w:eastAsia="Arial" w:hAnsi="Times New Roman" w:cs="Times New Roman"/>
          <w:sz w:val="28"/>
          <w:szCs w:val="28"/>
          <w:lang w:eastAsia="en-ZA"/>
        </w:rPr>
        <w:t xml:space="preserve"> to claim any amount from PRASA. </w:t>
      </w:r>
      <w:r w:rsidR="003826CC" w:rsidRPr="00876F97">
        <w:rPr>
          <w:rFonts w:ascii="Times New Roman" w:eastAsia="Arial" w:hAnsi="Times New Roman" w:cs="Times New Roman"/>
          <w:sz w:val="28"/>
          <w:szCs w:val="28"/>
          <w:lang w:eastAsia="en-ZA"/>
        </w:rPr>
        <w:t xml:space="preserve">The high court’s finding to the contrary cannot stand. </w:t>
      </w:r>
    </w:p>
    <w:p w14:paraId="48A16B35" w14:textId="77777777" w:rsidR="00C25D3E" w:rsidRDefault="00C25D3E" w:rsidP="00C25D3E">
      <w:pPr>
        <w:pStyle w:val="ListParagraph"/>
        <w:spacing w:after="0" w:line="360" w:lineRule="auto"/>
        <w:ind w:left="0"/>
        <w:jc w:val="both"/>
        <w:rPr>
          <w:rFonts w:ascii="Times New Roman" w:eastAsia="Arial" w:hAnsi="Times New Roman" w:cs="Times New Roman"/>
          <w:sz w:val="28"/>
          <w:szCs w:val="28"/>
          <w:lang w:eastAsia="en-ZA"/>
        </w:rPr>
      </w:pPr>
    </w:p>
    <w:p w14:paraId="61E489CF" w14:textId="1939457E" w:rsidR="003826CC" w:rsidRPr="006546A0" w:rsidRDefault="003826CC" w:rsidP="003826CC">
      <w:pPr>
        <w:pStyle w:val="ListParagraph"/>
        <w:spacing w:after="0" w:line="360" w:lineRule="auto"/>
        <w:ind w:left="0"/>
        <w:jc w:val="both"/>
        <w:rPr>
          <w:rFonts w:ascii="Times New Roman" w:eastAsia="Arial" w:hAnsi="Times New Roman" w:cs="Times New Roman"/>
          <w:b/>
          <w:bCs/>
          <w:i/>
          <w:iCs/>
          <w:sz w:val="28"/>
          <w:szCs w:val="28"/>
          <w:lang w:eastAsia="en-ZA"/>
        </w:rPr>
      </w:pPr>
      <w:r w:rsidRPr="006546A0">
        <w:rPr>
          <w:rFonts w:ascii="Times New Roman" w:eastAsia="Arial" w:hAnsi="Times New Roman" w:cs="Times New Roman"/>
          <w:b/>
          <w:bCs/>
          <w:i/>
          <w:iCs/>
          <w:sz w:val="28"/>
          <w:szCs w:val="28"/>
          <w:lang w:eastAsia="en-ZA"/>
        </w:rPr>
        <w:t xml:space="preserve">The enrichment </w:t>
      </w:r>
      <w:r w:rsidR="00754851" w:rsidRPr="006546A0">
        <w:rPr>
          <w:rFonts w:ascii="Times New Roman" w:eastAsia="Arial" w:hAnsi="Times New Roman" w:cs="Times New Roman"/>
          <w:b/>
          <w:bCs/>
          <w:i/>
          <w:iCs/>
          <w:sz w:val="28"/>
          <w:szCs w:val="28"/>
          <w:lang w:eastAsia="en-ZA"/>
        </w:rPr>
        <w:t>claim</w:t>
      </w:r>
    </w:p>
    <w:p w14:paraId="5BA37672" w14:textId="67EF1AE8" w:rsidR="00197071" w:rsidRPr="00876F97" w:rsidRDefault="00876F97" w:rsidP="00876F97">
      <w:pPr>
        <w:spacing w:after="0" w:line="360" w:lineRule="auto"/>
        <w:jc w:val="both"/>
        <w:rPr>
          <w:rFonts w:ascii="Times New Roman" w:eastAsia="Arial" w:hAnsi="Times New Roman" w:cs="Times New Roman"/>
          <w:sz w:val="28"/>
          <w:szCs w:val="28"/>
          <w:lang w:eastAsia="en-ZA"/>
        </w:rPr>
      </w:pPr>
      <w:r w:rsidRPr="006546A0">
        <w:rPr>
          <w:rFonts w:ascii="Times New Roman" w:eastAsia="Arial" w:hAnsi="Times New Roman" w:cs="Times New Roman"/>
          <w:sz w:val="28"/>
          <w:szCs w:val="28"/>
          <w:lang w:eastAsia="en-ZA"/>
        </w:rPr>
        <w:t>[23]</w:t>
      </w:r>
      <w:r w:rsidRPr="006546A0">
        <w:rPr>
          <w:rFonts w:ascii="Times New Roman" w:eastAsia="Arial" w:hAnsi="Times New Roman" w:cs="Times New Roman"/>
          <w:sz w:val="28"/>
          <w:szCs w:val="28"/>
          <w:lang w:eastAsia="en-ZA"/>
        </w:rPr>
        <w:tab/>
      </w:r>
      <w:r w:rsidR="00DF2D05" w:rsidRPr="00876F97">
        <w:rPr>
          <w:rFonts w:ascii="Times New Roman" w:eastAsia="Arial" w:hAnsi="Times New Roman" w:cs="Times New Roman"/>
          <w:sz w:val="28"/>
          <w:szCs w:val="28"/>
          <w:lang w:eastAsia="en-ZA"/>
        </w:rPr>
        <w:t xml:space="preserve"> </w:t>
      </w:r>
      <w:r w:rsidR="003826CC" w:rsidRPr="00876F97">
        <w:rPr>
          <w:rFonts w:ascii="Times New Roman" w:eastAsia="Arial" w:hAnsi="Times New Roman" w:cs="Times New Roman"/>
          <w:sz w:val="28"/>
          <w:szCs w:val="28"/>
          <w:lang w:eastAsia="en-ZA"/>
        </w:rPr>
        <w:t xml:space="preserve">The enrichment claim was framed </w:t>
      </w:r>
      <w:r w:rsidR="00C25D3E" w:rsidRPr="00876F97">
        <w:rPr>
          <w:rFonts w:ascii="Times New Roman" w:eastAsia="Arial" w:hAnsi="Times New Roman" w:cs="Times New Roman"/>
          <w:sz w:val="28"/>
          <w:szCs w:val="28"/>
          <w:lang w:eastAsia="en-ZA"/>
        </w:rPr>
        <w:t xml:space="preserve">in the broadest of terms. Apart from the assertion that </w:t>
      </w:r>
      <w:r w:rsidR="003826CC" w:rsidRPr="00876F97">
        <w:rPr>
          <w:rFonts w:ascii="Times New Roman" w:eastAsia="Arial" w:hAnsi="Times New Roman" w:cs="Times New Roman"/>
          <w:sz w:val="28"/>
          <w:szCs w:val="28"/>
          <w:lang w:eastAsia="en-ZA"/>
        </w:rPr>
        <w:t>PRASA had been enrich</w:t>
      </w:r>
      <w:r w:rsidR="00E06CD3" w:rsidRPr="00876F97">
        <w:rPr>
          <w:rFonts w:ascii="Times New Roman" w:eastAsia="Arial" w:hAnsi="Times New Roman" w:cs="Times New Roman"/>
          <w:sz w:val="28"/>
          <w:szCs w:val="28"/>
          <w:lang w:eastAsia="en-ZA"/>
        </w:rPr>
        <w:t>ed</w:t>
      </w:r>
      <w:r w:rsidR="003826CC" w:rsidRPr="00876F97">
        <w:rPr>
          <w:rFonts w:ascii="Times New Roman" w:eastAsia="Arial" w:hAnsi="Times New Roman" w:cs="Times New Roman"/>
          <w:sz w:val="28"/>
          <w:szCs w:val="28"/>
          <w:lang w:eastAsia="en-ZA"/>
        </w:rPr>
        <w:t xml:space="preserve"> by </w:t>
      </w:r>
      <w:r w:rsidR="00754851" w:rsidRPr="00876F97">
        <w:rPr>
          <w:rFonts w:ascii="Times New Roman" w:eastAsia="Arial" w:hAnsi="Times New Roman" w:cs="Times New Roman"/>
          <w:sz w:val="28"/>
          <w:szCs w:val="28"/>
          <w:lang w:eastAsia="en-ZA"/>
        </w:rPr>
        <w:t>its</w:t>
      </w:r>
      <w:r w:rsidR="003826CC" w:rsidRPr="00876F97">
        <w:rPr>
          <w:rFonts w:ascii="Times New Roman" w:eastAsia="Arial" w:hAnsi="Times New Roman" w:cs="Times New Roman"/>
          <w:sz w:val="28"/>
          <w:szCs w:val="28"/>
          <w:lang w:eastAsia="en-ZA"/>
        </w:rPr>
        <w:t xml:space="preserve"> consumption </w:t>
      </w:r>
      <w:r w:rsidR="00754851" w:rsidRPr="00876F97">
        <w:rPr>
          <w:rFonts w:ascii="Times New Roman" w:eastAsia="Arial" w:hAnsi="Times New Roman" w:cs="Times New Roman"/>
          <w:sz w:val="28"/>
          <w:szCs w:val="28"/>
          <w:lang w:eastAsia="en-ZA"/>
        </w:rPr>
        <w:t>of electricity</w:t>
      </w:r>
      <w:r w:rsidR="003826CC" w:rsidRPr="00876F97">
        <w:rPr>
          <w:rFonts w:ascii="Times New Roman" w:eastAsia="Arial" w:hAnsi="Times New Roman" w:cs="Times New Roman"/>
          <w:sz w:val="28"/>
          <w:szCs w:val="28"/>
          <w:lang w:eastAsia="en-ZA"/>
        </w:rPr>
        <w:t xml:space="preserve"> without payment from 2013 to 2017</w:t>
      </w:r>
      <w:r w:rsidR="00C25D3E" w:rsidRPr="00876F97">
        <w:rPr>
          <w:rFonts w:ascii="Times New Roman" w:eastAsia="Arial" w:hAnsi="Times New Roman" w:cs="Times New Roman"/>
          <w:sz w:val="28"/>
          <w:szCs w:val="28"/>
          <w:lang w:eastAsia="en-ZA"/>
        </w:rPr>
        <w:t xml:space="preserve">, and that </w:t>
      </w:r>
      <w:r w:rsidR="003826CC" w:rsidRPr="00876F97">
        <w:rPr>
          <w:rFonts w:ascii="Times New Roman" w:eastAsia="Arial" w:hAnsi="Times New Roman" w:cs="Times New Roman"/>
          <w:sz w:val="28"/>
          <w:szCs w:val="28"/>
          <w:lang w:eastAsia="en-ZA"/>
        </w:rPr>
        <w:t xml:space="preserve">CPC in turn had been impoverished to the extent of its payment of the costs of such consumption to </w:t>
      </w:r>
      <w:r w:rsidR="003B401F" w:rsidRPr="00876F97">
        <w:rPr>
          <w:rFonts w:ascii="Times New Roman" w:eastAsia="Arial" w:hAnsi="Times New Roman" w:cs="Times New Roman"/>
          <w:sz w:val="28"/>
          <w:szCs w:val="28"/>
          <w:lang w:eastAsia="en-ZA"/>
        </w:rPr>
        <w:t>eT</w:t>
      </w:r>
      <w:r w:rsidR="003826CC" w:rsidRPr="00876F97">
        <w:rPr>
          <w:rFonts w:ascii="Times New Roman" w:eastAsia="Arial" w:hAnsi="Times New Roman" w:cs="Times New Roman"/>
          <w:sz w:val="28"/>
          <w:szCs w:val="28"/>
          <w:lang w:eastAsia="en-ZA"/>
        </w:rPr>
        <w:t>hekwini</w:t>
      </w:r>
      <w:r w:rsidR="00C25D3E" w:rsidRPr="00876F97">
        <w:rPr>
          <w:rFonts w:ascii="Times New Roman" w:eastAsia="Arial" w:hAnsi="Times New Roman" w:cs="Times New Roman"/>
          <w:sz w:val="28"/>
          <w:szCs w:val="28"/>
          <w:lang w:eastAsia="en-ZA"/>
        </w:rPr>
        <w:t>, the founding affidavit made no attempt to address the elements of enrichment liability.</w:t>
      </w:r>
      <w:r w:rsidR="003826CC" w:rsidRPr="00876F97">
        <w:rPr>
          <w:rFonts w:ascii="Times New Roman" w:eastAsia="Arial" w:hAnsi="Times New Roman" w:cs="Times New Roman"/>
          <w:sz w:val="28"/>
          <w:szCs w:val="28"/>
          <w:lang w:eastAsia="en-ZA"/>
        </w:rPr>
        <w:t xml:space="preserve"> </w:t>
      </w:r>
      <w:r w:rsidR="00CE3491" w:rsidRPr="00876F97">
        <w:rPr>
          <w:rFonts w:ascii="Times New Roman" w:eastAsia="Arial" w:hAnsi="Times New Roman" w:cs="Times New Roman"/>
          <w:sz w:val="28"/>
          <w:szCs w:val="28"/>
          <w:lang w:eastAsia="en-ZA"/>
        </w:rPr>
        <w:t xml:space="preserve">Counsel for CPC </w:t>
      </w:r>
      <w:r w:rsidR="003826CC" w:rsidRPr="00876F97">
        <w:rPr>
          <w:rFonts w:ascii="Times New Roman" w:eastAsia="Arial" w:hAnsi="Times New Roman" w:cs="Times New Roman"/>
          <w:sz w:val="28"/>
          <w:szCs w:val="28"/>
          <w:lang w:eastAsia="en-ZA"/>
        </w:rPr>
        <w:t>submitted that it was unnecessary to formulate the claim</w:t>
      </w:r>
      <w:r w:rsidR="001E4DD8" w:rsidRPr="00876F97">
        <w:rPr>
          <w:rFonts w:ascii="Times New Roman" w:eastAsia="Arial" w:hAnsi="Times New Roman" w:cs="Times New Roman"/>
          <w:sz w:val="28"/>
          <w:szCs w:val="28"/>
          <w:lang w:eastAsia="en-ZA"/>
        </w:rPr>
        <w:t xml:space="preserve"> within the </w:t>
      </w:r>
      <w:r w:rsidR="00C25D3E" w:rsidRPr="00876F97">
        <w:rPr>
          <w:rFonts w:ascii="Times New Roman" w:eastAsia="Arial" w:hAnsi="Times New Roman" w:cs="Times New Roman"/>
          <w:sz w:val="28"/>
          <w:szCs w:val="28"/>
          <w:lang w:eastAsia="en-ZA"/>
        </w:rPr>
        <w:lastRenderedPageBreak/>
        <w:t xml:space="preserve">framework </w:t>
      </w:r>
      <w:r w:rsidR="001E4DD8" w:rsidRPr="00876F97">
        <w:rPr>
          <w:rFonts w:ascii="Times New Roman" w:eastAsia="Arial" w:hAnsi="Times New Roman" w:cs="Times New Roman"/>
          <w:sz w:val="28"/>
          <w:szCs w:val="28"/>
          <w:lang w:eastAsia="en-ZA"/>
        </w:rPr>
        <w:t xml:space="preserve">of the recognised </w:t>
      </w:r>
      <w:r w:rsidR="001E4DD8" w:rsidRPr="00876F97">
        <w:rPr>
          <w:rFonts w:ascii="Times New Roman" w:eastAsia="Arial" w:hAnsi="Times New Roman" w:cs="Times New Roman"/>
          <w:i/>
          <w:iCs/>
          <w:sz w:val="28"/>
          <w:szCs w:val="28"/>
          <w:lang w:eastAsia="en-ZA"/>
        </w:rPr>
        <w:t>condictiones</w:t>
      </w:r>
      <w:r w:rsidR="00C25D3E" w:rsidRPr="00876F97">
        <w:rPr>
          <w:rFonts w:ascii="Times New Roman" w:eastAsia="Arial" w:hAnsi="Times New Roman" w:cs="Times New Roman"/>
          <w:sz w:val="28"/>
          <w:szCs w:val="28"/>
          <w:lang w:eastAsia="en-ZA"/>
        </w:rPr>
        <w:t xml:space="preserve">, since </w:t>
      </w:r>
      <w:r w:rsidR="001E4DD8" w:rsidRPr="00876F97">
        <w:rPr>
          <w:rFonts w:ascii="Times New Roman" w:eastAsia="Arial" w:hAnsi="Times New Roman" w:cs="Times New Roman"/>
          <w:sz w:val="28"/>
          <w:szCs w:val="28"/>
          <w:lang w:eastAsia="en-ZA"/>
        </w:rPr>
        <w:t xml:space="preserve">this Court had recognised </w:t>
      </w:r>
      <w:r w:rsidR="00CE3491" w:rsidRPr="00876F97">
        <w:rPr>
          <w:rFonts w:ascii="Times New Roman" w:eastAsia="Arial" w:hAnsi="Times New Roman" w:cs="Times New Roman"/>
          <w:sz w:val="28"/>
          <w:szCs w:val="28"/>
          <w:lang w:eastAsia="en-ZA"/>
        </w:rPr>
        <w:t>‘a general enrichment claim’</w:t>
      </w:r>
      <w:r w:rsidR="001E4DD8" w:rsidRPr="00876F97">
        <w:rPr>
          <w:rFonts w:ascii="Times New Roman" w:eastAsia="Arial" w:hAnsi="Times New Roman" w:cs="Times New Roman"/>
          <w:sz w:val="28"/>
          <w:szCs w:val="28"/>
          <w:lang w:eastAsia="en-ZA"/>
        </w:rPr>
        <w:t>.</w:t>
      </w:r>
    </w:p>
    <w:p w14:paraId="2FDC3DD5" w14:textId="77777777" w:rsidR="005D04B4" w:rsidRPr="006546A0" w:rsidRDefault="005D04B4" w:rsidP="005D04B4">
      <w:pPr>
        <w:pStyle w:val="ListParagraph"/>
        <w:spacing w:after="0" w:line="360" w:lineRule="auto"/>
        <w:ind w:left="0"/>
        <w:jc w:val="both"/>
        <w:rPr>
          <w:rFonts w:ascii="Times New Roman" w:eastAsia="Arial" w:hAnsi="Times New Roman" w:cs="Times New Roman"/>
          <w:sz w:val="28"/>
          <w:szCs w:val="28"/>
          <w:lang w:eastAsia="en-ZA"/>
        </w:rPr>
      </w:pPr>
    </w:p>
    <w:p w14:paraId="1C6D5D60" w14:textId="3CB47357" w:rsidR="00CE3491" w:rsidRPr="00876F97" w:rsidRDefault="00876F97" w:rsidP="00876F97">
      <w:pPr>
        <w:spacing w:after="0" w:line="360" w:lineRule="auto"/>
        <w:jc w:val="both"/>
        <w:rPr>
          <w:rFonts w:ascii="Times New Roman" w:eastAsia="Arial" w:hAnsi="Times New Roman" w:cs="Times New Roman"/>
          <w:sz w:val="28"/>
          <w:szCs w:val="28"/>
          <w:lang w:eastAsia="en-ZA"/>
        </w:rPr>
      </w:pPr>
      <w:r w:rsidRPr="006546A0">
        <w:rPr>
          <w:rFonts w:ascii="Times New Roman" w:eastAsia="Arial" w:hAnsi="Times New Roman" w:cs="Times New Roman"/>
          <w:sz w:val="28"/>
          <w:szCs w:val="28"/>
          <w:lang w:eastAsia="en-ZA"/>
        </w:rPr>
        <w:t>[24]</w:t>
      </w:r>
      <w:r w:rsidRPr="006546A0">
        <w:rPr>
          <w:rFonts w:ascii="Times New Roman" w:eastAsia="Arial" w:hAnsi="Times New Roman" w:cs="Times New Roman"/>
          <w:sz w:val="28"/>
          <w:szCs w:val="28"/>
          <w:lang w:eastAsia="en-ZA"/>
        </w:rPr>
        <w:tab/>
      </w:r>
      <w:r w:rsidR="00CE3491" w:rsidRPr="00876F97">
        <w:rPr>
          <w:rFonts w:ascii="Times New Roman" w:eastAsia="Arial" w:hAnsi="Times New Roman" w:cs="Times New Roman"/>
          <w:sz w:val="28"/>
          <w:szCs w:val="28"/>
          <w:lang w:eastAsia="en-ZA"/>
        </w:rPr>
        <w:t>This Court has accepted</w:t>
      </w:r>
      <w:r w:rsidR="00036B06" w:rsidRPr="00876F97">
        <w:rPr>
          <w:rFonts w:ascii="Times New Roman" w:eastAsia="Arial" w:hAnsi="Times New Roman" w:cs="Times New Roman"/>
          <w:sz w:val="28"/>
          <w:szCs w:val="28"/>
          <w:lang w:eastAsia="en-ZA"/>
        </w:rPr>
        <w:t xml:space="preserve">, in principle, </w:t>
      </w:r>
      <w:r w:rsidR="00CE3491" w:rsidRPr="00876F97">
        <w:rPr>
          <w:rFonts w:ascii="Times New Roman" w:eastAsia="Arial" w:hAnsi="Times New Roman" w:cs="Times New Roman"/>
          <w:sz w:val="28"/>
          <w:szCs w:val="28"/>
          <w:lang w:eastAsia="en-ZA"/>
        </w:rPr>
        <w:t xml:space="preserve">that there </w:t>
      </w:r>
      <w:r w:rsidR="00E7525E" w:rsidRPr="00876F97">
        <w:rPr>
          <w:rFonts w:ascii="Times New Roman" w:eastAsia="Arial" w:hAnsi="Times New Roman" w:cs="Times New Roman"/>
          <w:sz w:val="28"/>
          <w:szCs w:val="28"/>
          <w:lang w:eastAsia="en-ZA"/>
        </w:rPr>
        <w:t>may be</w:t>
      </w:r>
      <w:r w:rsidR="00CE3491" w:rsidRPr="00876F97">
        <w:rPr>
          <w:rFonts w:ascii="Times New Roman" w:eastAsia="Arial" w:hAnsi="Times New Roman" w:cs="Times New Roman"/>
          <w:sz w:val="28"/>
          <w:szCs w:val="28"/>
          <w:lang w:eastAsia="en-ZA"/>
        </w:rPr>
        <w:t xml:space="preserve"> scope for the recognition of enrichment liability which may not fall within the strict ambit of specific condiction actions. This much is clear from the judgments in </w:t>
      </w:r>
      <w:r w:rsidR="00CE3491" w:rsidRPr="00876F97">
        <w:rPr>
          <w:rFonts w:ascii="Times New Roman" w:eastAsia="Arial" w:hAnsi="Times New Roman" w:cs="Times New Roman"/>
          <w:i/>
          <w:iCs/>
          <w:sz w:val="28"/>
          <w:szCs w:val="28"/>
          <w:lang w:eastAsia="en-ZA"/>
        </w:rPr>
        <w:t xml:space="preserve">McCarthy Retail Ltd v </w:t>
      </w:r>
      <w:r w:rsidR="00036B06" w:rsidRPr="00876F97">
        <w:rPr>
          <w:rFonts w:ascii="Times New Roman" w:eastAsia="Arial" w:hAnsi="Times New Roman" w:cs="Times New Roman"/>
          <w:i/>
          <w:iCs/>
          <w:sz w:val="28"/>
          <w:szCs w:val="28"/>
          <w:lang w:eastAsia="en-ZA"/>
        </w:rPr>
        <w:t>Shortdistance Carriers CC (McCarthy),</w:t>
      </w:r>
      <w:r w:rsidR="00036B06" w:rsidRPr="006546A0">
        <w:rPr>
          <w:rStyle w:val="FootnoteReference"/>
          <w:rFonts w:ascii="Times New Roman" w:eastAsia="Arial" w:hAnsi="Times New Roman" w:cs="Times New Roman"/>
          <w:sz w:val="28"/>
          <w:szCs w:val="28"/>
          <w:lang w:eastAsia="en-ZA"/>
        </w:rPr>
        <w:footnoteReference w:id="9"/>
      </w:r>
      <w:r w:rsidR="00036B06" w:rsidRPr="00876F97">
        <w:rPr>
          <w:rFonts w:ascii="Times New Roman" w:eastAsia="Arial" w:hAnsi="Times New Roman" w:cs="Times New Roman"/>
          <w:sz w:val="28"/>
          <w:szCs w:val="28"/>
          <w:lang w:eastAsia="en-ZA"/>
        </w:rPr>
        <w:t xml:space="preserve"> and </w:t>
      </w:r>
      <w:r w:rsidR="00036B06" w:rsidRPr="00876F97">
        <w:rPr>
          <w:rFonts w:ascii="Times New Roman" w:eastAsia="Arial" w:hAnsi="Times New Roman" w:cs="Times New Roman"/>
          <w:i/>
          <w:iCs/>
          <w:sz w:val="28"/>
          <w:szCs w:val="28"/>
          <w:lang w:eastAsia="en-ZA"/>
        </w:rPr>
        <w:t>First National Bank of Southern Africa Ltd v Perry NO and Others (Perry)</w:t>
      </w:r>
      <w:r w:rsidR="00036B06" w:rsidRPr="00876F97">
        <w:rPr>
          <w:rFonts w:ascii="Times New Roman" w:eastAsia="Arial" w:hAnsi="Times New Roman" w:cs="Times New Roman"/>
          <w:sz w:val="28"/>
          <w:szCs w:val="28"/>
          <w:lang w:eastAsia="en-ZA"/>
        </w:rPr>
        <w:t>.</w:t>
      </w:r>
      <w:r w:rsidR="00036B06" w:rsidRPr="006546A0">
        <w:rPr>
          <w:rStyle w:val="FootnoteReference"/>
          <w:rFonts w:ascii="Times New Roman" w:eastAsia="Arial" w:hAnsi="Times New Roman" w:cs="Times New Roman"/>
          <w:sz w:val="28"/>
          <w:szCs w:val="28"/>
          <w:lang w:eastAsia="en-ZA"/>
        </w:rPr>
        <w:footnoteReference w:id="10"/>
      </w:r>
      <w:r w:rsidR="00E274F4" w:rsidRPr="00876F97">
        <w:rPr>
          <w:rFonts w:ascii="Times New Roman" w:eastAsia="Arial" w:hAnsi="Times New Roman" w:cs="Times New Roman"/>
          <w:sz w:val="28"/>
          <w:szCs w:val="28"/>
          <w:lang w:eastAsia="en-ZA"/>
        </w:rPr>
        <w:t xml:space="preserve"> It is, however, appropriate to </w:t>
      </w:r>
      <w:r w:rsidR="00696C0E" w:rsidRPr="00876F97">
        <w:rPr>
          <w:rFonts w:ascii="Times New Roman" w:eastAsia="Arial" w:hAnsi="Times New Roman" w:cs="Times New Roman"/>
          <w:sz w:val="28"/>
          <w:szCs w:val="28"/>
          <w:lang w:eastAsia="en-ZA"/>
        </w:rPr>
        <w:t xml:space="preserve">highlight </w:t>
      </w:r>
      <w:r w:rsidR="00E274F4" w:rsidRPr="00876F97">
        <w:rPr>
          <w:rFonts w:ascii="Times New Roman" w:eastAsia="Arial" w:hAnsi="Times New Roman" w:cs="Times New Roman"/>
          <w:sz w:val="28"/>
          <w:szCs w:val="28"/>
          <w:lang w:eastAsia="en-ZA"/>
        </w:rPr>
        <w:t xml:space="preserve">what was said in these cases. Schutz JA, who authored both judgments, observed in </w:t>
      </w:r>
      <w:r w:rsidR="007167FB" w:rsidRPr="00876F97">
        <w:rPr>
          <w:rFonts w:ascii="Times New Roman" w:eastAsia="Arial" w:hAnsi="Times New Roman" w:cs="Times New Roman"/>
          <w:i/>
          <w:iCs/>
          <w:sz w:val="28"/>
          <w:szCs w:val="28"/>
          <w:lang w:eastAsia="en-ZA"/>
        </w:rPr>
        <w:t>Mc</w:t>
      </w:r>
      <w:r w:rsidR="002C4643" w:rsidRPr="00876F97">
        <w:rPr>
          <w:rFonts w:ascii="Times New Roman" w:eastAsia="Arial" w:hAnsi="Times New Roman" w:cs="Times New Roman"/>
          <w:i/>
          <w:iCs/>
          <w:sz w:val="28"/>
          <w:szCs w:val="28"/>
          <w:lang w:eastAsia="en-ZA"/>
        </w:rPr>
        <w:t>C</w:t>
      </w:r>
      <w:r w:rsidR="007167FB" w:rsidRPr="00876F97">
        <w:rPr>
          <w:rFonts w:ascii="Times New Roman" w:eastAsia="Arial" w:hAnsi="Times New Roman" w:cs="Times New Roman"/>
          <w:i/>
          <w:iCs/>
          <w:sz w:val="28"/>
          <w:szCs w:val="28"/>
          <w:lang w:eastAsia="en-ZA"/>
        </w:rPr>
        <w:t>arthy</w:t>
      </w:r>
      <w:r w:rsidR="007167FB" w:rsidRPr="00876F97">
        <w:rPr>
          <w:rFonts w:ascii="Times New Roman" w:eastAsia="Arial" w:hAnsi="Times New Roman" w:cs="Times New Roman"/>
          <w:sz w:val="28"/>
          <w:szCs w:val="28"/>
          <w:lang w:eastAsia="en-ZA"/>
        </w:rPr>
        <w:t>:</w:t>
      </w:r>
    </w:p>
    <w:p w14:paraId="1EAC155A" w14:textId="6DA6D6BC" w:rsidR="00E274F4" w:rsidRPr="006546A0" w:rsidRDefault="00E274F4" w:rsidP="00E274F4">
      <w:pPr>
        <w:pStyle w:val="ListParagraph"/>
        <w:spacing w:after="0" w:line="360" w:lineRule="auto"/>
        <w:ind w:left="0"/>
        <w:jc w:val="both"/>
        <w:rPr>
          <w:rFonts w:ascii="Times New Roman" w:eastAsia="Arial" w:hAnsi="Times New Roman" w:cs="Times New Roman"/>
          <w:sz w:val="24"/>
          <w:szCs w:val="24"/>
          <w:lang w:eastAsia="en-ZA"/>
        </w:rPr>
      </w:pPr>
      <w:r w:rsidRPr="006546A0">
        <w:rPr>
          <w:rFonts w:ascii="Times New Roman" w:eastAsia="Arial" w:hAnsi="Times New Roman" w:cs="Times New Roman"/>
          <w:sz w:val="24"/>
          <w:szCs w:val="24"/>
          <w:lang w:eastAsia="en-ZA"/>
        </w:rPr>
        <w:t>‘However, if this Court is ever to adopt a general action into modern law, it would be wiser, in my opi</w:t>
      </w:r>
      <w:r w:rsidR="00696C0E" w:rsidRPr="006546A0">
        <w:rPr>
          <w:rFonts w:ascii="Times New Roman" w:eastAsia="Arial" w:hAnsi="Times New Roman" w:cs="Times New Roman"/>
          <w:sz w:val="24"/>
          <w:szCs w:val="24"/>
          <w:lang w:eastAsia="en-ZA"/>
        </w:rPr>
        <w:t xml:space="preserve">nion, to wait for that rare case to arise which cannot be accommodated within the existing framework and which compels such recognition. If once a general action is accepted much less energy, hopefully, will be devoted to the correct identification of a </w:t>
      </w:r>
      <w:r w:rsidR="00696C0E" w:rsidRPr="006546A0">
        <w:rPr>
          <w:rFonts w:ascii="Times New Roman" w:eastAsia="Arial" w:hAnsi="Times New Roman" w:cs="Times New Roman"/>
          <w:i/>
          <w:iCs/>
          <w:sz w:val="24"/>
          <w:szCs w:val="24"/>
          <w:lang w:eastAsia="en-ZA"/>
        </w:rPr>
        <w:t>condictio</w:t>
      </w:r>
      <w:r w:rsidR="00696C0E" w:rsidRPr="006546A0">
        <w:rPr>
          <w:rFonts w:ascii="Times New Roman" w:eastAsia="Arial" w:hAnsi="Times New Roman" w:cs="Times New Roman"/>
          <w:sz w:val="24"/>
          <w:szCs w:val="24"/>
          <w:lang w:eastAsia="en-ZA"/>
        </w:rPr>
        <w:t xml:space="preserve"> or an </w:t>
      </w:r>
      <w:r w:rsidR="00696C0E" w:rsidRPr="006546A0">
        <w:rPr>
          <w:rFonts w:ascii="Times New Roman" w:eastAsia="Arial" w:hAnsi="Times New Roman" w:cs="Times New Roman"/>
          <w:i/>
          <w:iCs/>
          <w:sz w:val="24"/>
          <w:szCs w:val="24"/>
          <w:lang w:eastAsia="en-ZA"/>
        </w:rPr>
        <w:t>action</w:t>
      </w:r>
      <w:r w:rsidR="00696C0E" w:rsidRPr="006546A0">
        <w:rPr>
          <w:rFonts w:ascii="Times New Roman" w:eastAsia="Arial" w:hAnsi="Times New Roman" w:cs="Times New Roman"/>
          <w:sz w:val="24"/>
          <w:szCs w:val="24"/>
          <w:lang w:eastAsia="en-ZA"/>
        </w:rPr>
        <w:t xml:space="preserve"> than at present and more time to the identification of the elements of enrichment. This does not mean, however, that the old structure’s relatively few distinctive rules applying only to particular forms of action, such as the requirement in the </w:t>
      </w:r>
      <w:r w:rsidR="00696C0E" w:rsidRPr="006546A0">
        <w:rPr>
          <w:rFonts w:ascii="Times New Roman" w:eastAsia="Arial" w:hAnsi="Times New Roman" w:cs="Times New Roman"/>
          <w:i/>
          <w:iCs/>
          <w:sz w:val="24"/>
          <w:szCs w:val="24"/>
          <w:lang w:eastAsia="en-ZA"/>
        </w:rPr>
        <w:t>condictio indebiti</w:t>
      </w:r>
      <w:r w:rsidR="00696C0E" w:rsidRPr="006546A0">
        <w:rPr>
          <w:rFonts w:ascii="Times New Roman" w:eastAsia="Arial" w:hAnsi="Times New Roman" w:cs="Times New Roman"/>
          <w:sz w:val="24"/>
          <w:szCs w:val="24"/>
          <w:lang w:eastAsia="en-ZA"/>
        </w:rPr>
        <w:t xml:space="preserve"> that the mistake should be reasonable, will disappear.’</w:t>
      </w:r>
      <w:r w:rsidR="00696C0E" w:rsidRPr="006546A0">
        <w:rPr>
          <w:rStyle w:val="FootnoteReference"/>
          <w:rFonts w:ascii="Times New Roman" w:eastAsia="Arial" w:hAnsi="Times New Roman" w:cs="Times New Roman"/>
          <w:sz w:val="24"/>
          <w:szCs w:val="24"/>
          <w:lang w:eastAsia="en-ZA"/>
        </w:rPr>
        <w:footnoteReference w:id="11"/>
      </w:r>
    </w:p>
    <w:p w14:paraId="3BDEE07D" w14:textId="77777777" w:rsidR="00845AEE" w:rsidRPr="006546A0" w:rsidRDefault="00845AEE" w:rsidP="00E274F4">
      <w:pPr>
        <w:pStyle w:val="ListParagraph"/>
        <w:spacing w:after="0" w:line="360" w:lineRule="auto"/>
        <w:ind w:left="0"/>
        <w:jc w:val="both"/>
        <w:rPr>
          <w:rFonts w:ascii="Times New Roman" w:eastAsia="Arial" w:hAnsi="Times New Roman" w:cs="Times New Roman"/>
          <w:sz w:val="24"/>
          <w:szCs w:val="24"/>
          <w:lang w:eastAsia="en-ZA"/>
        </w:rPr>
      </w:pPr>
    </w:p>
    <w:p w14:paraId="2AB5C224" w14:textId="082D5378" w:rsidR="00197071" w:rsidRPr="00876F97" w:rsidRDefault="00876F97" w:rsidP="00876F97">
      <w:pPr>
        <w:spacing w:after="0" w:line="360" w:lineRule="auto"/>
        <w:jc w:val="both"/>
        <w:rPr>
          <w:rFonts w:ascii="Times New Roman" w:eastAsia="Arial" w:hAnsi="Times New Roman" w:cs="Times New Roman"/>
          <w:sz w:val="28"/>
          <w:szCs w:val="28"/>
          <w:lang w:eastAsia="en-ZA"/>
        </w:rPr>
      </w:pPr>
      <w:r w:rsidRPr="006546A0">
        <w:rPr>
          <w:rFonts w:ascii="Times New Roman" w:eastAsia="Arial" w:hAnsi="Times New Roman" w:cs="Times New Roman"/>
          <w:sz w:val="28"/>
          <w:szCs w:val="28"/>
          <w:lang w:eastAsia="en-ZA"/>
        </w:rPr>
        <w:t>[25]</w:t>
      </w:r>
      <w:r w:rsidRPr="006546A0">
        <w:rPr>
          <w:rFonts w:ascii="Times New Roman" w:eastAsia="Arial" w:hAnsi="Times New Roman" w:cs="Times New Roman"/>
          <w:sz w:val="28"/>
          <w:szCs w:val="28"/>
          <w:lang w:eastAsia="en-ZA"/>
        </w:rPr>
        <w:tab/>
      </w:r>
      <w:r w:rsidR="00494F34" w:rsidRPr="00876F97">
        <w:rPr>
          <w:rFonts w:ascii="Times New Roman" w:eastAsia="Arial" w:hAnsi="Times New Roman" w:cs="Times New Roman"/>
          <w:i/>
          <w:iCs/>
          <w:sz w:val="28"/>
          <w:szCs w:val="28"/>
          <w:lang w:eastAsia="en-ZA"/>
        </w:rPr>
        <w:t>Perry</w:t>
      </w:r>
      <w:r w:rsidR="00494F34" w:rsidRPr="00876F97">
        <w:rPr>
          <w:rFonts w:ascii="Times New Roman" w:eastAsia="Arial" w:hAnsi="Times New Roman" w:cs="Times New Roman"/>
          <w:sz w:val="28"/>
          <w:szCs w:val="28"/>
          <w:lang w:eastAsia="en-ZA"/>
        </w:rPr>
        <w:t xml:space="preserve"> was decided upon exception. First National </w:t>
      </w:r>
      <w:r w:rsidR="00845AEE" w:rsidRPr="00876F97">
        <w:rPr>
          <w:rFonts w:ascii="Times New Roman" w:eastAsia="Arial" w:hAnsi="Times New Roman" w:cs="Times New Roman"/>
          <w:sz w:val="28"/>
          <w:szCs w:val="28"/>
          <w:lang w:eastAsia="en-ZA"/>
        </w:rPr>
        <w:t>B</w:t>
      </w:r>
      <w:r w:rsidR="00494F34" w:rsidRPr="00876F97">
        <w:rPr>
          <w:rFonts w:ascii="Times New Roman" w:eastAsia="Arial" w:hAnsi="Times New Roman" w:cs="Times New Roman"/>
          <w:sz w:val="28"/>
          <w:szCs w:val="28"/>
          <w:lang w:eastAsia="en-ZA"/>
        </w:rPr>
        <w:t xml:space="preserve">ank had paid out on a forged cheque. It sought to recover from several </w:t>
      </w:r>
      <w:r w:rsidR="00AF1D9F" w:rsidRPr="00876F97">
        <w:rPr>
          <w:rFonts w:ascii="Times New Roman" w:eastAsia="Arial" w:hAnsi="Times New Roman" w:cs="Times New Roman"/>
          <w:sz w:val="28"/>
          <w:szCs w:val="28"/>
          <w:lang w:eastAsia="en-ZA"/>
        </w:rPr>
        <w:t xml:space="preserve">parties on various causes of action. As against Nedbank, the receiving bank, it relied upon an enrichment-based claim. </w:t>
      </w:r>
      <w:r w:rsidR="00494F34" w:rsidRPr="00876F97">
        <w:rPr>
          <w:rFonts w:ascii="Times New Roman" w:eastAsia="Arial" w:hAnsi="Times New Roman" w:cs="Times New Roman"/>
          <w:sz w:val="28"/>
          <w:szCs w:val="28"/>
          <w:lang w:eastAsia="en-ZA"/>
        </w:rPr>
        <w:t>The central question</w:t>
      </w:r>
      <w:r w:rsidR="00AF1D9F" w:rsidRPr="00876F97">
        <w:rPr>
          <w:rFonts w:ascii="Times New Roman" w:eastAsia="Arial" w:hAnsi="Times New Roman" w:cs="Times New Roman"/>
          <w:sz w:val="28"/>
          <w:szCs w:val="28"/>
          <w:lang w:eastAsia="en-ZA"/>
        </w:rPr>
        <w:t xml:space="preserve"> on </w:t>
      </w:r>
      <w:r w:rsidR="00845AEE" w:rsidRPr="00876F97">
        <w:rPr>
          <w:rFonts w:ascii="Times New Roman" w:eastAsia="Arial" w:hAnsi="Times New Roman" w:cs="Times New Roman"/>
          <w:sz w:val="28"/>
          <w:szCs w:val="28"/>
          <w:lang w:eastAsia="en-ZA"/>
        </w:rPr>
        <w:t xml:space="preserve">appeal </w:t>
      </w:r>
      <w:r w:rsidR="00494F34" w:rsidRPr="00876F97">
        <w:rPr>
          <w:rFonts w:ascii="Times New Roman" w:eastAsia="Arial" w:hAnsi="Times New Roman" w:cs="Times New Roman"/>
          <w:sz w:val="28"/>
          <w:szCs w:val="28"/>
          <w:lang w:eastAsia="en-ZA"/>
        </w:rPr>
        <w:t xml:space="preserve">was whether </w:t>
      </w:r>
      <w:r w:rsidR="00AF1D9F" w:rsidRPr="00876F97">
        <w:rPr>
          <w:rFonts w:ascii="Times New Roman" w:eastAsia="Arial" w:hAnsi="Times New Roman" w:cs="Times New Roman"/>
          <w:sz w:val="28"/>
          <w:szCs w:val="28"/>
          <w:lang w:eastAsia="en-ZA"/>
        </w:rPr>
        <w:t xml:space="preserve">the turpitude of a defendant in a claim based on the </w:t>
      </w:r>
      <w:r w:rsidR="00AF1D9F" w:rsidRPr="00876F97">
        <w:rPr>
          <w:rFonts w:ascii="Times New Roman" w:eastAsia="Arial" w:hAnsi="Times New Roman" w:cs="Times New Roman"/>
          <w:i/>
          <w:iCs/>
          <w:sz w:val="28"/>
          <w:szCs w:val="28"/>
          <w:lang w:eastAsia="en-ZA"/>
        </w:rPr>
        <w:t>condictio ob turpem vel iniustam causa</w:t>
      </w:r>
      <w:r w:rsidR="00AF1D9F" w:rsidRPr="00876F97">
        <w:rPr>
          <w:rFonts w:ascii="Times New Roman" w:eastAsia="Arial" w:hAnsi="Times New Roman" w:cs="Times New Roman"/>
          <w:sz w:val="28"/>
          <w:szCs w:val="28"/>
          <w:lang w:eastAsia="en-ZA"/>
        </w:rPr>
        <w:t xml:space="preserve"> was to be established at the time of transfer. Schutz JA referred to the desirability of a more general focus upon </w:t>
      </w:r>
      <w:r w:rsidR="00AF1D9F" w:rsidRPr="00876F97">
        <w:rPr>
          <w:rFonts w:ascii="Times New Roman" w:eastAsia="Arial" w:hAnsi="Times New Roman" w:cs="Times New Roman"/>
          <w:sz w:val="28"/>
          <w:szCs w:val="28"/>
          <w:lang w:eastAsia="en-ZA"/>
        </w:rPr>
        <w:lastRenderedPageBreak/>
        <w:t>the elements of enrichment.</w:t>
      </w:r>
      <w:r w:rsidR="00AF1D9F" w:rsidRPr="006546A0">
        <w:rPr>
          <w:rStyle w:val="FootnoteReference"/>
          <w:rFonts w:ascii="Times New Roman" w:eastAsia="Arial" w:hAnsi="Times New Roman" w:cs="Times New Roman"/>
          <w:sz w:val="28"/>
          <w:szCs w:val="28"/>
          <w:lang w:eastAsia="en-ZA"/>
        </w:rPr>
        <w:footnoteReference w:id="12"/>
      </w:r>
      <w:r w:rsidR="00AF1D9F" w:rsidRPr="00876F97">
        <w:rPr>
          <w:rFonts w:ascii="Times New Roman" w:eastAsia="Arial" w:hAnsi="Times New Roman" w:cs="Times New Roman"/>
          <w:sz w:val="28"/>
          <w:szCs w:val="28"/>
          <w:lang w:eastAsia="en-ZA"/>
        </w:rPr>
        <w:t xml:space="preserve"> However, </w:t>
      </w:r>
      <w:r w:rsidR="00D071EC" w:rsidRPr="00876F97">
        <w:rPr>
          <w:rFonts w:ascii="Times New Roman" w:eastAsia="Arial" w:hAnsi="Times New Roman" w:cs="Times New Roman"/>
          <w:sz w:val="28"/>
          <w:szCs w:val="28"/>
          <w:lang w:eastAsia="en-ZA"/>
        </w:rPr>
        <w:t xml:space="preserve">Schutz JA found support in </w:t>
      </w:r>
      <w:r w:rsidR="00AF1D9F" w:rsidRPr="00876F97">
        <w:rPr>
          <w:rFonts w:ascii="Times New Roman" w:eastAsia="Arial" w:hAnsi="Times New Roman" w:cs="Times New Roman"/>
          <w:sz w:val="28"/>
          <w:szCs w:val="28"/>
          <w:lang w:eastAsia="en-ZA"/>
        </w:rPr>
        <w:t>several old authorities</w:t>
      </w:r>
      <w:r w:rsidR="00D071EC" w:rsidRPr="00876F97">
        <w:rPr>
          <w:rFonts w:ascii="Times New Roman" w:eastAsia="Arial" w:hAnsi="Times New Roman" w:cs="Times New Roman"/>
          <w:sz w:val="28"/>
          <w:szCs w:val="28"/>
          <w:lang w:eastAsia="en-ZA"/>
        </w:rPr>
        <w:t xml:space="preserve"> for the conclusion </w:t>
      </w:r>
      <w:r w:rsidR="00AF1D9F" w:rsidRPr="00876F97">
        <w:rPr>
          <w:rFonts w:ascii="Times New Roman" w:eastAsia="Arial" w:hAnsi="Times New Roman" w:cs="Times New Roman"/>
          <w:sz w:val="28"/>
          <w:szCs w:val="28"/>
          <w:lang w:eastAsia="en-ZA"/>
        </w:rPr>
        <w:t xml:space="preserve">that knowledge </w:t>
      </w:r>
      <w:r w:rsidR="00B866D0" w:rsidRPr="00876F97">
        <w:rPr>
          <w:rFonts w:ascii="Times New Roman" w:eastAsia="Arial" w:hAnsi="Times New Roman" w:cs="Times New Roman"/>
          <w:sz w:val="28"/>
          <w:szCs w:val="28"/>
          <w:lang w:eastAsia="en-ZA"/>
        </w:rPr>
        <w:t xml:space="preserve">of the illegality of the </w:t>
      </w:r>
      <w:r w:rsidR="00D071EC" w:rsidRPr="00876F97">
        <w:rPr>
          <w:rFonts w:ascii="Times New Roman" w:eastAsia="Arial" w:hAnsi="Times New Roman" w:cs="Times New Roman"/>
          <w:sz w:val="28"/>
          <w:szCs w:val="28"/>
          <w:lang w:eastAsia="en-ZA"/>
        </w:rPr>
        <w:t>transaction,</w:t>
      </w:r>
      <w:r w:rsidR="00B866D0" w:rsidRPr="00876F97">
        <w:rPr>
          <w:rFonts w:ascii="Times New Roman" w:eastAsia="Arial" w:hAnsi="Times New Roman" w:cs="Times New Roman"/>
          <w:sz w:val="28"/>
          <w:szCs w:val="28"/>
          <w:lang w:eastAsia="en-ZA"/>
        </w:rPr>
        <w:t xml:space="preserve"> </w:t>
      </w:r>
      <w:r w:rsidR="00D071EC" w:rsidRPr="00876F97">
        <w:rPr>
          <w:rFonts w:ascii="Times New Roman" w:eastAsia="Arial" w:hAnsi="Times New Roman" w:cs="Times New Roman"/>
          <w:sz w:val="28"/>
          <w:szCs w:val="28"/>
          <w:lang w:eastAsia="en-ZA"/>
        </w:rPr>
        <w:t xml:space="preserve">which is </w:t>
      </w:r>
      <w:r w:rsidR="00AF1D9F" w:rsidRPr="00876F97">
        <w:rPr>
          <w:rFonts w:ascii="Times New Roman" w:eastAsia="Arial" w:hAnsi="Times New Roman" w:cs="Times New Roman"/>
          <w:sz w:val="28"/>
          <w:szCs w:val="28"/>
          <w:lang w:eastAsia="en-ZA"/>
        </w:rPr>
        <w:t xml:space="preserve">acquired </w:t>
      </w:r>
      <w:r w:rsidR="00B866D0" w:rsidRPr="00876F97">
        <w:rPr>
          <w:rFonts w:ascii="Times New Roman" w:eastAsia="Arial" w:hAnsi="Times New Roman" w:cs="Times New Roman"/>
          <w:sz w:val="28"/>
          <w:szCs w:val="28"/>
          <w:lang w:eastAsia="en-ZA"/>
        </w:rPr>
        <w:t xml:space="preserve">after the transfer, may found the </w:t>
      </w:r>
      <w:r w:rsidR="00B866D0" w:rsidRPr="00876F97">
        <w:rPr>
          <w:rFonts w:ascii="Times New Roman" w:eastAsia="Arial" w:hAnsi="Times New Roman" w:cs="Times New Roman"/>
          <w:i/>
          <w:iCs/>
          <w:sz w:val="28"/>
          <w:szCs w:val="28"/>
          <w:lang w:eastAsia="en-ZA"/>
        </w:rPr>
        <w:t>condictio</w:t>
      </w:r>
      <w:r w:rsidR="00D071EC" w:rsidRPr="00876F97">
        <w:rPr>
          <w:rFonts w:ascii="Times New Roman" w:eastAsia="Arial" w:hAnsi="Times New Roman" w:cs="Times New Roman"/>
          <w:i/>
          <w:iCs/>
          <w:sz w:val="28"/>
          <w:szCs w:val="28"/>
          <w:lang w:eastAsia="en-ZA"/>
        </w:rPr>
        <w:t xml:space="preserve">. </w:t>
      </w:r>
      <w:r w:rsidR="00D071EC" w:rsidRPr="00876F97">
        <w:rPr>
          <w:rFonts w:ascii="Times New Roman" w:eastAsia="Arial" w:hAnsi="Times New Roman" w:cs="Times New Roman"/>
          <w:sz w:val="28"/>
          <w:szCs w:val="28"/>
          <w:lang w:eastAsia="en-ZA"/>
        </w:rPr>
        <w:t>The learned judge held that</w:t>
      </w:r>
      <w:r w:rsidR="008C2B50" w:rsidRPr="00876F97">
        <w:rPr>
          <w:rFonts w:ascii="Times New Roman" w:eastAsia="Arial" w:hAnsi="Times New Roman" w:cs="Times New Roman"/>
          <w:sz w:val="28"/>
          <w:szCs w:val="28"/>
          <w:lang w:eastAsia="en-ZA"/>
        </w:rPr>
        <w:t xml:space="preserve"> to the extent that </w:t>
      </w:r>
      <w:r w:rsidR="00D071EC" w:rsidRPr="00876F97">
        <w:rPr>
          <w:rFonts w:ascii="Times New Roman" w:eastAsia="Arial" w:hAnsi="Times New Roman" w:cs="Times New Roman"/>
          <w:sz w:val="28"/>
          <w:szCs w:val="28"/>
          <w:lang w:eastAsia="en-ZA"/>
        </w:rPr>
        <w:t>these authorities did</w:t>
      </w:r>
      <w:r w:rsidR="008C2B50" w:rsidRPr="00876F97">
        <w:rPr>
          <w:rFonts w:ascii="Times New Roman" w:eastAsia="Arial" w:hAnsi="Times New Roman" w:cs="Times New Roman"/>
          <w:sz w:val="28"/>
          <w:szCs w:val="28"/>
          <w:lang w:eastAsia="en-ZA"/>
        </w:rPr>
        <w:t xml:space="preserve"> not go far enough, an extension of the </w:t>
      </w:r>
      <w:r w:rsidR="008C2B50" w:rsidRPr="00876F97">
        <w:rPr>
          <w:rFonts w:ascii="Times New Roman" w:eastAsia="Arial" w:hAnsi="Times New Roman" w:cs="Times New Roman"/>
          <w:i/>
          <w:iCs/>
          <w:sz w:val="28"/>
          <w:szCs w:val="28"/>
          <w:lang w:eastAsia="en-ZA"/>
        </w:rPr>
        <w:t>condictio</w:t>
      </w:r>
      <w:r w:rsidR="008C2B50" w:rsidRPr="00876F97">
        <w:rPr>
          <w:rFonts w:ascii="Times New Roman" w:eastAsia="Arial" w:hAnsi="Times New Roman" w:cs="Times New Roman"/>
          <w:sz w:val="28"/>
          <w:szCs w:val="28"/>
          <w:lang w:eastAsia="en-ZA"/>
        </w:rPr>
        <w:t xml:space="preserve"> </w:t>
      </w:r>
      <w:r w:rsidR="00845AEE" w:rsidRPr="00876F97">
        <w:rPr>
          <w:rFonts w:ascii="Times New Roman" w:eastAsia="Arial" w:hAnsi="Times New Roman" w:cs="Times New Roman"/>
          <w:sz w:val="28"/>
          <w:szCs w:val="28"/>
          <w:lang w:eastAsia="en-ZA"/>
        </w:rPr>
        <w:t>to cover such situation would be a</w:t>
      </w:r>
      <w:r w:rsidR="008C2B50" w:rsidRPr="00876F97">
        <w:rPr>
          <w:rFonts w:ascii="Times New Roman" w:eastAsia="Arial" w:hAnsi="Times New Roman" w:cs="Times New Roman"/>
          <w:sz w:val="28"/>
          <w:szCs w:val="28"/>
          <w:lang w:eastAsia="en-ZA"/>
        </w:rPr>
        <w:t>ppropriate.</w:t>
      </w:r>
      <w:r w:rsidR="00B866D0" w:rsidRPr="006546A0">
        <w:rPr>
          <w:rStyle w:val="FootnoteReference"/>
          <w:rFonts w:ascii="Times New Roman" w:eastAsia="Arial" w:hAnsi="Times New Roman" w:cs="Times New Roman"/>
          <w:sz w:val="28"/>
          <w:szCs w:val="28"/>
          <w:lang w:eastAsia="en-ZA"/>
        </w:rPr>
        <w:footnoteReference w:id="13"/>
      </w:r>
      <w:r w:rsidR="00B866D0" w:rsidRPr="00876F97">
        <w:rPr>
          <w:rFonts w:ascii="Times New Roman" w:eastAsia="Arial" w:hAnsi="Times New Roman" w:cs="Times New Roman"/>
          <w:sz w:val="28"/>
          <w:szCs w:val="28"/>
          <w:lang w:eastAsia="en-ZA"/>
        </w:rPr>
        <w:t xml:space="preserve"> Since the excipient bore the onus to establish</w:t>
      </w:r>
      <w:r w:rsidR="00845AEE" w:rsidRPr="00876F97">
        <w:rPr>
          <w:rFonts w:ascii="Times New Roman" w:eastAsia="Arial" w:hAnsi="Times New Roman" w:cs="Times New Roman"/>
          <w:sz w:val="28"/>
          <w:szCs w:val="28"/>
          <w:lang w:eastAsia="en-ZA"/>
        </w:rPr>
        <w:t xml:space="preserve"> that</w:t>
      </w:r>
      <w:r w:rsidR="00B866D0" w:rsidRPr="00876F97">
        <w:rPr>
          <w:rFonts w:ascii="Times New Roman" w:eastAsia="Arial" w:hAnsi="Times New Roman" w:cs="Times New Roman"/>
          <w:sz w:val="28"/>
          <w:szCs w:val="28"/>
          <w:lang w:eastAsia="en-ZA"/>
        </w:rPr>
        <w:t xml:space="preserve"> the particulars did not disclose a cause of action upon any interpretation, the exception ought to have been dismissed.</w:t>
      </w:r>
      <w:r w:rsidR="008C2B50" w:rsidRPr="006546A0">
        <w:rPr>
          <w:rStyle w:val="FootnoteReference"/>
          <w:rFonts w:ascii="Times New Roman" w:eastAsia="Arial" w:hAnsi="Times New Roman" w:cs="Times New Roman"/>
          <w:sz w:val="28"/>
          <w:szCs w:val="28"/>
          <w:lang w:eastAsia="en-ZA"/>
        </w:rPr>
        <w:footnoteReference w:id="14"/>
      </w:r>
    </w:p>
    <w:p w14:paraId="06CB75B6" w14:textId="77777777" w:rsidR="00845AEE" w:rsidRPr="006546A0" w:rsidRDefault="00845AEE" w:rsidP="00845AEE">
      <w:pPr>
        <w:pStyle w:val="ListParagraph"/>
        <w:spacing w:after="0" w:line="360" w:lineRule="auto"/>
        <w:ind w:left="0"/>
        <w:jc w:val="both"/>
        <w:rPr>
          <w:rFonts w:ascii="Times New Roman" w:eastAsia="Arial" w:hAnsi="Times New Roman" w:cs="Times New Roman"/>
          <w:sz w:val="28"/>
          <w:szCs w:val="28"/>
          <w:lang w:eastAsia="en-ZA"/>
        </w:rPr>
      </w:pPr>
    </w:p>
    <w:p w14:paraId="66A4A547" w14:textId="2BD3F120" w:rsidR="00197071" w:rsidRPr="00876F97" w:rsidRDefault="00876F97" w:rsidP="00876F97">
      <w:pPr>
        <w:spacing w:after="0" w:line="360" w:lineRule="auto"/>
        <w:jc w:val="both"/>
        <w:rPr>
          <w:rFonts w:ascii="Times New Roman" w:eastAsia="Arial" w:hAnsi="Times New Roman" w:cs="Times New Roman"/>
          <w:sz w:val="28"/>
          <w:szCs w:val="28"/>
          <w:lang w:eastAsia="en-ZA"/>
        </w:rPr>
      </w:pPr>
      <w:r w:rsidRPr="006546A0">
        <w:rPr>
          <w:rFonts w:ascii="Times New Roman" w:eastAsia="Arial" w:hAnsi="Times New Roman" w:cs="Times New Roman"/>
          <w:sz w:val="28"/>
          <w:szCs w:val="28"/>
          <w:lang w:eastAsia="en-ZA"/>
        </w:rPr>
        <w:t>[26]</w:t>
      </w:r>
      <w:r w:rsidRPr="006546A0">
        <w:rPr>
          <w:rFonts w:ascii="Times New Roman" w:eastAsia="Arial" w:hAnsi="Times New Roman" w:cs="Times New Roman"/>
          <w:sz w:val="28"/>
          <w:szCs w:val="28"/>
          <w:lang w:eastAsia="en-ZA"/>
        </w:rPr>
        <w:tab/>
      </w:r>
      <w:r w:rsidR="00D071EC" w:rsidRPr="00876F97">
        <w:rPr>
          <w:rFonts w:ascii="Times New Roman" w:eastAsia="Arial" w:hAnsi="Times New Roman" w:cs="Times New Roman"/>
          <w:sz w:val="28"/>
          <w:szCs w:val="28"/>
          <w:lang w:eastAsia="en-ZA"/>
        </w:rPr>
        <w:t>These judgments are therefore not authority for the proposition that a plaintiff is now entitled to rely upon general assertions to</w:t>
      </w:r>
      <w:r w:rsidR="00BA55D0" w:rsidRPr="00876F97">
        <w:rPr>
          <w:rFonts w:ascii="Times New Roman" w:eastAsia="Arial" w:hAnsi="Times New Roman" w:cs="Times New Roman"/>
          <w:sz w:val="28"/>
          <w:szCs w:val="28"/>
          <w:lang w:eastAsia="en-ZA"/>
        </w:rPr>
        <w:t xml:space="preserve"> support </w:t>
      </w:r>
      <w:r w:rsidR="00D071EC" w:rsidRPr="00876F97">
        <w:rPr>
          <w:rFonts w:ascii="Times New Roman" w:eastAsia="Arial" w:hAnsi="Times New Roman" w:cs="Times New Roman"/>
          <w:sz w:val="28"/>
          <w:szCs w:val="28"/>
          <w:lang w:eastAsia="en-ZA"/>
        </w:rPr>
        <w:t xml:space="preserve">a claim for unjustified enrichment. They recognise the need, where necessary, to focus attention on the </w:t>
      </w:r>
      <w:r w:rsidR="00BA55D0" w:rsidRPr="00876F97">
        <w:rPr>
          <w:rFonts w:ascii="Times New Roman" w:eastAsia="Arial" w:hAnsi="Times New Roman" w:cs="Times New Roman"/>
          <w:sz w:val="28"/>
          <w:szCs w:val="28"/>
          <w:lang w:eastAsia="en-ZA"/>
        </w:rPr>
        <w:t>essential elements</w:t>
      </w:r>
      <w:r w:rsidR="00D071EC" w:rsidRPr="00876F97">
        <w:rPr>
          <w:rFonts w:ascii="Times New Roman" w:eastAsia="Arial" w:hAnsi="Times New Roman" w:cs="Times New Roman"/>
          <w:sz w:val="28"/>
          <w:szCs w:val="28"/>
          <w:lang w:eastAsia="en-ZA"/>
        </w:rPr>
        <w:t xml:space="preserve"> which may give rise to </w:t>
      </w:r>
      <w:r w:rsidR="00BA55D0" w:rsidRPr="00876F97">
        <w:rPr>
          <w:rFonts w:ascii="Times New Roman" w:eastAsia="Arial" w:hAnsi="Times New Roman" w:cs="Times New Roman"/>
          <w:sz w:val="28"/>
          <w:szCs w:val="28"/>
          <w:lang w:eastAsia="en-ZA"/>
        </w:rPr>
        <w:t>liability</w:t>
      </w:r>
      <w:r w:rsidR="00D071EC" w:rsidRPr="00876F97">
        <w:rPr>
          <w:rFonts w:ascii="Times New Roman" w:eastAsia="Arial" w:hAnsi="Times New Roman" w:cs="Times New Roman"/>
          <w:sz w:val="28"/>
          <w:szCs w:val="28"/>
          <w:lang w:eastAsia="en-ZA"/>
        </w:rPr>
        <w:t>. They by no means</w:t>
      </w:r>
      <w:r w:rsidR="00BA55D0" w:rsidRPr="00876F97">
        <w:rPr>
          <w:rFonts w:ascii="Times New Roman" w:eastAsia="Arial" w:hAnsi="Times New Roman" w:cs="Times New Roman"/>
          <w:sz w:val="28"/>
          <w:szCs w:val="28"/>
          <w:lang w:eastAsia="en-ZA"/>
        </w:rPr>
        <w:t xml:space="preserve"> excuse a plaintiff from pleading and establishing a proper basis upon which enrichment liability made be found</w:t>
      </w:r>
      <w:r w:rsidR="00F0756D" w:rsidRPr="00876F97">
        <w:rPr>
          <w:rFonts w:ascii="Times New Roman" w:eastAsia="Arial" w:hAnsi="Times New Roman" w:cs="Times New Roman"/>
          <w:sz w:val="28"/>
          <w:szCs w:val="28"/>
          <w:lang w:eastAsia="en-ZA"/>
        </w:rPr>
        <w:t>ed</w:t>
      </w:r>
      <w:r w:rsidR="00BA55D0" w:rsidRPr="00876F97">
        <w:rPr>
          <w:rFonts w:ascii="Times New Roman" w:eastAsia="Arial" w:hAnsi="Times New Roman" w:cs="Times New Roman"/>
          <w:sz w:val="28"/>
          <w:szCs w:val="28"/>
          <w:lang w:eastAsia="en-ZA"/>
        </w:rPr>
        <w:t>. That is the approach adopted in several</w:t>
      </w:r>
      <w:r w:rsidR="008C2B50" w:rsidRPr="00876F97">
        <w:rPr>
          <w:rFonts w:ascii="Times New Roman" w:eastAsia="Arial" w:hAnsi="Times New Roman" w:cs="Times New Roman"/>
          <w:sz w:val="28"/>
          <w:szCs w:val="28"/>
          <w:lang w:eastAsia="en-ZA"/>
        </w:rPr>
        <w:t xml:space="preserve"> cases which have come before this Court</w:t>
      </w:r>
      <w:r w:rsidR="00BA55D0" w:rsidRPr="00876F97">
        <w:rPr>
          <w:rFonts w:ascii="Times New Roman" w:eastAsia="Arial" w:hAnsi="Times New Roman" w:cs="Times New Roman"/>
          <w:sz w:val="28"/>
          <w:szCs w:val="28"/>
          <w:lang w:eastAsia="en-ZA"/>
        </w:rPr>
        <w:t>.</w:t>
      </w:r>
      <w:r w:rsidR="008C2B50" w:rsidRPr="00876F97">
        <w:rPr>
          <w:rFonts w:ascii="Times New Roman" w:eastAsia="Arial" w:hAnsi="Times New Roman" w:cs="Times New Roman"/>
          <w:sz w:val="28"/>
          <w:szCs w:val="28"/>
          <w:lang w:eastAsia="en-ZA"/>
        </w:rPr>
        <w:t xml:space="preserve"> </w:t>
      </w:r>
      <w:r w:rsidR="00BA55D0" w:rsidRPr="00876F97">
        <w:rPr>
          <w:rFonts w:ascii="Times New Roman" w:eastAsia="Arial" w:hAnsi="Times New Roman" w:cs="Times New Roman"/>
          <w:sz w:val="28"/>
          <w:szCs w:val="28"/>
          <w:lang w:eastAsia="en-ZA"/>
        </w:rPr>
        <w:t>In each instance i</w:t>
      </w:r>
      <w:r w:rsidR="008C2B50" w:rsidRPr="00876F97">
        <w:rPr>
          <w:rFonts w:ascii="Times New Roman" w:eastAsia="Arial" w:hAnsi="Times New Roman" w:cs="Times New Roman"/>
          <w:sz w:val="28"/>
          <w:szCs w:val="28"/>
          <w:lang w:eastAsia="en-ZA"/>
        </w:rPr>
        <w:t>t has considered whether</w:t>
      </w:r>
      <w:r w:rsidR="00BA55D0" w:rsidRPr="00876F97">
        <w:rPr>
          <w:rFonts w:ascii="Times New Roman" w:eastAsia="Arial" w:hAnsi="Times New Roman" w:cs="Times New Roman"/>
          <w:sz w:val="28"/>
          <w:szCs w:val="28"/>
          <w:lang w:eastAsia="en-ZA"/>
        </w:rPr>
        <w:t xml:space="preserve"> the requirements of one or other of the established </w:t>
      </w:r>
      <w:r w:rsidR="00BA55D0" w:rsidRPr="00876F97">
        <w:rPr>
          <w:rFonts w:ascii="Times New Roman" w:eastAsia="Arial" w:hAnsi="Times New Roman" w:cs="Times New Roman"/>
          <w:i/>
          <w:iCs/>
          <w:sz w:val="28"/>
          <w:szCs w:val="28"/>
          <w:lang w:eastAsia="en-ZA"/>
        </w:rPr>
        <w:t>condictiones</w:t>
      </w:r>
      <w:r w:rsidR="008C2B50" w:rsidRPr="00876F97">
        <w:rPr>
          <w:rFonts w:ascii="Times New Roman" w:eastAsia="Arial" w:hAnsi="Times New Roman" w:cs="Times New Roman"/>
          <w:sz w:val="28"/>
          <w:szCs w:val="28"/>
          <w:lang w:eastAsia="en-ZA"/>
        </w:rPr>
        <w:t xml:space="preserve">, upon </w:t>
      </w:r>
      <w:r w:rsidR="00BA55D0" w:rsidRPr="00876F97">
        <w:rPr>
          <w:rFonts w:ascii="Times New Roman" w:eastAsia="Arial" w:hAnsi="Times New Roman" w:cs="Times New Roman"/>
          <w:sz w:val="28"/>
          <w:szCs w:val="28"/>
          <w:lang w:eastAsia="en-ZA"/>
        </w:rPr>
        <w:t xml:space="preserve">which reliance was placed, were </w:t>
      </w:r>
      <w:r w:rsidR="003D0AB0" w:rsidRPr="00876F97">
        <w:rPr>
          <w:rFonts w:ascii="Times New Roman" w:eastAsia="Arial" w:hAnsi="Times New Roman" w:cs="Times New Roman"/>
          <w:sz w:val="28"/>
          <w:szCs w:val="28"/>
          <w:lang w:eastAsia="en-ZA"/>
        </w:rPr>
        <w:t>met,</w:t>
      </w:r>
      <w:r w:rsidR="00BA55D0" w:rsidRPr="00876F97">
        <w:rPr>
          <w:rFonts w:ascii="Times New Roman" w:eastAsia="Arial" w:hAnsi="Times New Roman" w:cs="Times New Roman"/>
          <w:sz w:val="28"/>
          <w:szCs w:val="28"/>
          <w:lang w:eastAsia="en-ZA"/>
        </w:rPr>
        <w:t xml:space="preserve"> or could be met by </w:t>
      </w:r>
      <w:r w:rsidR="008C726A" w:rsidRPr="00876F97">
        <w:rPr>
          <w:rFonts w:ascii="Times New Roman" w:eastAsia="Arial" w:hAnsi="Times New Roman" w:cs="Times New Roman"/>
          <w:sz w:val="28"/>
          <w:szCs w:val="28"/>
          <w:lang w:eastAsia="en-ZA"/>
        </w:rPr>
        <w:t>exten</w:t>
      </w:r>
      <w:r w:rsidR="00845AEE" w:rsidRPr="00876F97">
        <w:rPr>
          <w:rFonts w:ascii="Times New Roman" w:eastAsia="Arial" w:hAnsi="Times New Roman" w:cs="Times New Roman"/>
          <w:sz w:val="28"/>
          <w:szCs w:val="28"/>
          <w:lang w:eastAsia="en-ZA"/>
        </w:rPr>
        <w:t>sion</w:t>
      </w:r>
      <w:r w:rsidR="00BA55D0" w:rsidRPr="00876F97">
        <w:rPr>
          <w:rFonts w:ascii="Times New Roman" w:eastAsia="Arial" w:hAnsi="Times New Roman" w:cs="Times New Roman"/>
          <w:sz w:val="28"/>
          <w:szCs w:val="28"/>
          <w:lang w:eastAsia="en-ZA"/>
        </w:rPr>
        <w:t>.</w:t>
      </w:r>
      <w:r w:rsidR="008C726A" w:rsidRPr="006546A0">
        <w:rPr>
          <w:rStyle w:val="FootnoteReference"/>
          <w:rFonts w:ascii="Times New Roman" w:eastAsia="Arial" w:hAnsi="Times New Roman" w:cs="Times New Roman"/>
          <w:sz w:val="28"/>
          <w:szCs w:val="28"/>
          <w:lang w:eastAsia="en-ZA"/>
        </w:rPr>
        <w:footnoteReference w:id="15"/>
      </w:r>
    </w:p>
    <w:p w14:paraId="6723BCFA" w14:textId="77777777" w:rsidR="00197071" w:rsidRPr="006546A0" w:rsidRDefault="00197071" w:rsidP="00197071">
      <w:pPr>
        <w:spacing w:after="0" w:line="240" w:lineRule="auto"/>
        <w:rPr>
          <w:rFonts w:ascii="Verdana" w:eastAsia="Times New Roman" w:hAnsi="Verdana" w:cs="Times New Roman"/>
          <w:b/>
          <w:bCs/>
          <w:color w:val="000000"/>
          <w:kern w:val="0"/>
          <w:sz w:val="20"/>
          <w:szCs w:val="20"/>
          <w:lang w:eastAsia="en-ZA"/>
          <w14:ligatures w14:val="none"/>
        </w:rPr>
      </w:pPr>
    </w:p>
    <w:p w14:paraId="4F69F881" w14:textId="77777777" w:rsidR="00FA731D" w:rsidRPr="006546A0" w:rsidRDefault="00FA731D" w:rsidP="00197071">
      <w:pPr>
        <w:spacing w:after="0" w:line="240" w:lineRule="auto"/>
        <w:rPr>
          <w:rFonts w:ascii="Verdana" w:eastAsia="Times New Roman" w:hAnsi="Verdana" w:cs="Times New Roman"/>
          <w:b/>
          <w:bCs/>
          <w:color w:val="000000"/>
          <w:kern w:val="0"/>
          <w:sz w:val="20"/>
          <w:szCs w:val="20"/>
          <w:lang w:eastAsia="en-ZA"/>
          <w14:ligatures w14:val="none"/>
        </w:rPr>
      </w:pPr>
    </w:p>
    <w:p w14:paraId="5D737C7B" w14:textId="77777777" w:rsidR="00FA731D" w:rsidRPr="006546A0" w:rsidRDefault="00FA731D" w:rsidP="00197071">
      <w:pPr>
        <w:spacing w:after="0" w:line="240" w:lineRule="auto"/>
        <w:rPr>
          <w:rFonts w:ascii="Verdana" w:eastAsia="Times New Roman" w:hAnsi="Verdana" w:cs="Times New Roman"/>
          <w:b/>
          <w:bCs/>
          <w:color w:val="000000"/>
          <w:kern w:val="0"/>
          <w:sz w:val="20"/>
          <w:szCs w:val="20"/>
          <w:lang w:eastAsia="en-ZA"/>
          <w14:ligatures w14:val="none"/>
        </w:rPr>
      </w:pPr>
    </w:p>
    <w:p w14:paraId="427EDDCB" w14:textId="36011DC9" w:rsidR="00107BCC" w:rsidRPr="00876F97" w:rsidRDefault="00876F97" w:rsidP="00876F97">
      <w:pPr>
        <w:spacing w:after="0" w:line="360" w:lineRule="auto"/>
        <w:jc w:val="both"/>
        <w:rPr>
          <w:rFonts w:ascii="Times New Roman" w:eastAsia="Arial" w:hAnsi="Times New Roman" w:cs="Times New Roman"/>
          <w:sz w:val="28"/>
          <w:szCs w:val="28"/>
          <w:lang w:eastAsia="en-ZA"/>
        </w:rPr>
      </w:pPr>
      <w:r w:rsidRPr="006546A0">
        <w:rPr>
          <w:rFonts w:ascii="Times New Roman" w:eastAsia="Arial" w:hAnsi="Times New Roman" w:cs="Times New Roman"/>
          <w:sz w:val="28"/>
          <w:szCs w:val="28"/>
          <w:lang w:eastAsia="en-ZA"/>
        </w:rPr>
        <w:t>[27]</w:t>
      </w:r>
      <w:r w:rsidRPr="006546A0">
        <w:rPr>
          <w:rFonts w:ascii="Times New Roman" w:eastAsia="Arial" w:hAnsi="Times New Roman" w:cs="Times New Roman"/>
          <w:sz w:val="28"/>
          <w:szCs w:val="28"/>
          <w:lang w:eastAsia="en-ZA"/>
        </w:rPr>
        <w:tab/>
      </w:r>
      <w:r w:rsidR="00D0395A" w:rsidRPr="00876F97">
        <w:rPr>
          <w:rFonts w:ascii="Times New Roman" w:eastAsia="Arial" w:hAnsi="Times New Roman" w:cs="Times New Roman"/>
          <w:sz w:val="28"/>
          <w:szCs w:val="28"/>
          <w:lang w:eastAsia="en-ZA"/>
        </w:rPr>
        <w:t>Enrichment liability is premised upon four essential elements: the defendant must be enriched; the plaintiff must be impoverished; the defendant’s enrichment must be at the expense of the plaintiff; and the enrichment must be without cause (</w:t>
      </w:r>
      <w:r w:rsidR="00D0395A" w:rsidRPr="00876F97">
        <w:rPr>
          <w:rFonts w:ascii="Times New Roman" w:eastAsia="Arial" w:hAnsi="Times New Roman" w:cs="Times New Roman"/>
          <w:i/>
          <w:iCs/>
          <w:sz w:val="28"/>
          <w:szCs w:val="28"/>
          <w:lang w:eastAsia="en-ZA"/>
        </w:rPr>
        <w:t>sine causa</w:t>
      </w:r>
      <w:r w:rsidR="00D0395A" w:rsidRPr="00876F97">
        <w:rPr>
          <w:rFonts w:ascii="Times New Roman" w:eastAsia="Arial" w:hAnsi="Times New Roman" w:cs="Times New Roman"/>
          <w:sz w:val="28"/>
          <w:szCs w:val="28"/>
          <w:lang w:eastAsia="en-ZA"/>
        </w:rPr>
        <w:t>).</w:t>
      </w:r>
      <w:r w:rsidR="00D0395A" w:rsidRPr="006546A0">
        <w:rPr>
          <w:rStyle w:val="FootnoteReference"/>
          <w:rFonts w:ascii="Times New Roman" w:eastAsia="Arial" w:hAnsi="Times New Roman" w:cs="Times New Roman"/>
          <w:sz w:val="28"/>
          <w:szCs w:val="28"/>
          <w:lang w:eastAsia="en-ZA"/>
        </w:rPr>
        <w:footnoteReference w:id="16"/>
      </w:r>
      <w:r w:rsidR="00A07600" w:rsidRPr="00876F97">
        <w:rPr>
          <w:rFonts w:ascii="Times New Roman" w:eastAsia="Arial" w:hAnsi="Times New Roman" w:cs="Times New Roman"/>
          <w:sz w:val="28"/>
          <w:szCs w:val="28"/>
          <w:lang w:eastAsia="en-ZA"/>
        </w:rPr>
        <w:t xml:space="preserve"> W</w:t>
      </w:r>
      <w:r w:rsidR="005D04B4" w:rsidRPr="00876F97">
        <w:rPr>
          <w:rFonts w:ascii="Times New Roman" w:eastAsia="Arial" w:hAnsi="Times New Roman" w:cs="Times New Roman"/>
          <w:sz w:val="28"/>
          <w:szCs w:val="28"/>
          <w:lang w:eastAsia="en-ZA"/>
        </w:rPr>
        <w:t xml:space="preserve">hat is the </w:t>
      </w:r>
      <w:r w:rsidR="001170B5" w:rsidRPr="00876F97">
        <w:rPr>
          <w:rFonts w:ascii="Times New Roman" w:eastAsia="Arial" w:hAnsi="Times New Roman" w:cs="Times New Roman"/>
          <w:sz w:val="28"/>
          <w:szCs w:val="28"/>
          <w:lang w:eastAsia="en-ZA"/>
        </w:rPr>
        <w:t>essence</w:t>
      </w:r>
      <w:r w:rsidR="005D04B4" w:rsidRPr="00876F97">
        <w:rPr>
          <w:rFonts w:ascii="Times New Roman" w:eastAsia="Arial" w:hAnsi="Times New Roman" w:cs="Times New Roman"/>
          <w:sz w:val="28"/>
          <w:szCs w:val="28"/>
          <w:lang w:eastAsia="en-ZA"/>
        </w:rPr>
        <w:t xml:space="preserve"> of </w:t>
      </w:r>
      <w:r w:rsidR="001170B5" w:rsidRPr="00876F97">
        <w:rPr>
          <w:rFonts w:ascii="Times New Roman" w:eastAsia="Arial" w:hAnsi="Times New Roman" w:cs="Times New Roman"/>
          <w:sz w:val="28"/>
          <w:szCs w:val="28"/>
          <w:lang w:eastAsia="en-ZA"/>
        </w:rPr>
        <w:t xml:space="preserve">the </w:t>
      </w:r>
      <w:r w:rsidR="005D04B4" w:rsidRPr="00876F97">
        <w:rPr>
          <w:rFonts w:ascii="Times New Roman" w:eastAsia="Arial" w:hAnsi="Times New Roman" w:cs="Times New Roman"/>
          <w:sz w:val="28"/>
          <w:szCs w:val="28"/>
          <w:lang w:eastAsia="en-ZA"/>
        </w:rPr>
        <w:t>claim advanced by CPC</w:t>
      </w:r>
      <w:r w:rsidR="001170B5" w:rsidRPr="00876F97">
        <w:rPr>
          <w:rFonts w:ascii="Times New Roman" w:eastAsia="Arial" w:hAnsi="Times New Roman" w:cs="Times New Roman"/>
          <w:sz w:val="28"/>
          <w:szCs w:val="28"/>
          <w:lang w:eastAsia="en-ZA"/>
        </w:rPr>
        <w:t xml:space="preserve"> against PRASA? </w:t>
      </w:r>
      <w:r w:rsidR="001170B5" w:rsidRPr="00876F97">
        <w:rPr>
          <w:rFonts w:ascii="Times New Roman" w:eastAsia="Arial" w:hAnsi="Times New Roman" w:cs="Times New Roman"/>
          <w:sz w:val="28"/>
          <w:szCs w:val="28"/>
          <w:lang w:eastAsia="en-ZA"/>
        </w:rPr>
        <w:lastRenderedPageBreak/>
        <w:t xml:space="preserve">It is this: CPC </w:t>
      </w:r>
      <w:r w:rsidR="00A07600" w:rsidRPr="00876F97">
        <w:rPr>
          <w:rFonts w:ascii="Times New Roman" w:eastAsia="Arial" w:hAnsi="Times New Roman" w:cs="Times New Roman"/>
          <w:sz w:val="28"/>
          <w:szCs w:val="28"/>
          <w:lang w:eastAsia="en-ZA"/>
        </w:rPr>
        <w:t xml:space="preserve">supplied PRASA with electricity for which CPC was obliged </w:t>
      </w:r>
      <w:r w:rsidR="00830F92" w:rsidRPr="00876F97">
        <w:rPr>
          <w:rFonts w:ascii="Times New Roman" w:eastAsia="Arial" w:hAnsi="Times New Roman" w:cs="Times New Roman"/>
          <w:sz w:val="28"/>
          <w:szCs w:val="28"/>
          <w:lang w:eastAsia="en-ZA"/>
        </w:rPr>
        <w:t>to</w:t>
      </w:r>
      <w:r w:rsidR="00A07600" w:rsidRPr="00876F97">
        <w:rPr>
          <w:rFonts w:ascii="Times New Roman" w:eastAsia="Arial" w:hAnsi="Times New Roman" w:cs="Times New Roman"/>
          <w:sz w:val="28"/>
          <w:szCs w:val="28"/>
          <w:lang w:eastAsia="en-ZA"/>
        </w:rPr>
        <w:t xml:space="preserve"> pay in terms of a service agreement it had concluded with </w:t>
      </w:r>
      <w:r w:rsidR="00997489" w:rsidRPr="00876F97">
        <w:rPr>
          <w:rFonts w:ascii="Times New Roman" w:eastAsia="Arial" w:hAnsi="Times New Roman" w:cs="Times New Roman"/>
          <w:sz w:val="28"/>
          <w:szCs w:val="28"/>
          <w:lang w:eastAsia="en-ZA"/>
        </w:rPr>
        <w:t>eTh</w:t>
      </w:r>
      <w:r w:rsidR="00A07600" w:rsidRPr="00876F97">
        <w:rPr>
          <w:rFonts w:ascii="Times New Roman" w:eastAsia="Arial" w:hAnsi="Times New Roman" w:cs="Times New Roman"/>
          <w:sz w:val="28"/>
          <w:szCs w:val="28"/>
          <w:lang w:eastAsia="en-ZA"/>
        </w:rPr>
        <w:t xml:space="preserve">ekwini. PRASA’s failure to pay </w:t>
      </w:r>
      <w:r w:rsidR="003D0AB0" w:rsidRPr="00876F97">
        <w:rPr>
          <w:rFonts w:ascii="Times New Roman" w:eastAsia="Arial" w:hAnsi="Times New Roman" w:cs="Times New Roman"/>
          <w:sz w:val="28"/>
          <w:szCs w:val="28"/>
          <w:lang w:eastAsia="en-ZA"/>
        </w:rPr>
        <w:t xml:space="preserve">what CPC for the electricity it consumed, </w:t>
      </w:r>
      <w:r w:rsidR="00A07600" w:rsidRPr="00876F97">
        <w:rPr>
          <w:rFonts w:ascii="Times New Roman" w:eastAsia="Arial" w:hAnsi="Times New Roman" w:cs="Times New Roman"/>
          <w:sz w:val="28"/>
          <w:szCs w:val="28"/>
          <w:lang w:eastAsia="en-ZA"/>
        </w:rPr>
        <w:t xml:space="preserve">caused it to be enriched at the </w:t>
      </w:r>
      <w:r w:rsidR="00CB1C67" w:rsidRPr="00876F97">
        <w:rPr>
          <w:rFonts w:ascii="Times New Roman" w:eastAsia="Arial" w:hAnsi="Times New Roman" w:cs="Times New Roman"/>
          <w:sz w:val="28"/>
          <w:szCs w:val="28"/>
          <w:lang w:eastAsia="en-ZA"/>
        </w:rPr>
        <w:t>expense</w:t>
      </w:r>
      <w:r w:rsidR="00A07600" w:rsidRPr="00876F97">
        <w:rPr>
          <w:rFonts w:ascii="Times New Roman" w:eastAsia="Arial" w:hAnsi="Times New Roman" w:cs="Times New Roman"/>
          <w:sz w:val="28"/>
          <w:szCs w:val="28"/>
          <w:lang w:eastAsia="en-ZA"/>
        </w:rPr>
        <w:t xml:space="preserve"> of CPC </w:t>
      </w:r>
      <w:r w:rsidR="003D0AB0" w:rsidRPr="00876F97">
        <w:rPr>
          <w:rFonts w:ascii="Times New Roman" w:eastAsia="Arial" w:hAnsi="Times New Roman" w:cs="Times New Roman"/>
          <w:sz w:val="28"/>
          <w:szCs w:val="28"/>
          <w:lang w:eastAsia="en-ZA"/>
        </w:rPr>
        <w:t xml:space="preserve">when CPC paid what it was obliged to pay to </w:t>
      </w:r>
      <w:r w:rsidR="00997489" w:rsidRPr="00876F97">
        <w:rPr>
          <w:rFonts w:ascii="Times New Roman" w:eastAsia="Arial" w:hAnsi="Times New Roman" w:cs="Times New Roman"/>
          <w:sz w:val="28"/>
          <w:szCs w:val="28"/>
          <w:lang w:eastAsia="en-ZA"/>
        </w:rPr>
        <w:t>eT</w:t>
      </w:r>
      <w:r w:rsidR="003D0AB0" w:rsidRPr="00876F97">
        <w:rPr>
          <w:rFonts w:ascii="Times New Roman" w:eastAsia="Arial" w:hAnsi="Times New Roman" w:cs="Times New Roman"/>
          <w:sz w:val="28"/>
          <w:szCs w:val="28"/>
          <w:lang w:eastAsia="en-ZA"/>
        </w:rPr>
        <w:t>hekwini.</w:t>
      </w:r>
    </w:p>
    <w:p w14:paraId="6DC1DEF1" w14:textId="77777777" w:rsidR="00E94327" w:rsidRPr="006546A0" w:rsidRDefault="00E94327" w:rsidP="00E94327">
      <w:pPr>
        <w:pStyle w:val="ListParagraph"/>
        <w:spacing w:after="0" w:line="360" w:lineRule="auto"/>
        <w:ind w:left="0"/>
        <w:jc w:val="both"/>
        <w:rPr>
          <w:rFonts w:ascii="Times New Roman" w:eastAsia="Arial" w:hAnsi="Times New Roman" w:cs="Times New Roman"/>
          <w:sz w:val="28"/>
          <w:szCs w:val="28"/>
          <w:lang w:eastAsia="en-ZA"/>
        </w:rPr>
      </w:pPr>
    </w:p>
    <w:p w14:paraId="25851D32" w14:textId="18D9E65B" w:rsidR="00107BCC" w:rsidRPr="00876F97" w:rsidRDefault="00876F97" w:rsidP="00876F97">
      <w:pPr>
        <w:spacing w:after="0" w:line="360" w:lineRule="auto"/>
        <w:jc w:val="both"/>
        <w:rPr>
          <w:rFonts w:ascii="Times New Roman" w:eastAsia="Arial" w:hAnsi="Times New Roman" w:cs="Times New Roman"/>
          <w:sz w:val="28"/>
          <w:szCs w:val="28"/>
          <w:lang w:eastAsia="en-ZA"/>
        </w:rPr>
      </w:pPr>
      <w:r w:rsidRPr="006546A0">
        <w:rPr>
          <w:rFonts w:ascii="Times New Roman" w:eastAsia="Arial" w:hAnsi="Times New Roman" w:cs="Times New Roman"/>
          <w:sz w:val="28"/>
          <w:szCs w:val="28"/>
          <w:lang w:eastAsia="en-ZA"/>
        </w:rPr>
        <w:t>[28]</w:t>
      </w:r>
      <w:r w:rsidRPr="006546A0">
        <w:rPr>
          <w:rFonts w:ascii="Times New Roman" w:eastAsia="Arial" w:hAnsi="Times New Roman" w:cs="Times New Roman"/>
          <w:sz w:val="28"/>
          <w:szCs w:val="28"/>
          <w:lang w:eastAsia="en-ZA"/>
        </w:rPr>
        <w:tab/>
      </w:r>
      <w:r w:rsidR="003D0AB0" w:rsidRPr="00876F97">
        <w:rPr>
          <w:rFonts w:ascii="Times New Roman" w:eastAsia="Arial" w:hAnsi="Times New Roman" w:cs="Times New Roman"/>
          <w:sz w:val="28"/>
          <w:szCs w:val="28"/>
          <w:lang w:eastAsia="en-ZA"/>
        </w:rPr>
        <w:t xml:space="preserve">Nothing is known about the basis upon which CPC supplied electricity to PRASA.  That conduct is inconsistent with clause 17, to the extent that clause 17 envisaged that PRASA would contract with </w:t>
      </w:r>
      <w:r w:rsidR="00997489" w:rsidRPr="00876F97">
        <w:rPr>
          <w:rFonts w:ascii="Times New Roman" w:eastAsia="Arial" w:hAnsi="Times New Roman" w:cs="Times New Roman"/>
          <w:sz w:val="28"/>
          <w:szCs w:val="28"/>
          <w:lang w:eastAsia="en-ZA"/>
        </w:rPr>
        <w:t>eT</w:t>
      </w:r>
      <w:r w:rsidR="003D0AB0" w:rsidRPr="00876F97">
        <w:rPr>
          <w:rFonts w:ascii="Times New Roman" w:eastAsia="Arial" w:hAnsi="Times New Roman" w:cs="Times New Roman"/>
          <w:sz w:val="28"/>
          <w:szCs w:val="28"/>
          <w:lang w:eastAsia="en-ZA"/>
        </w:rPr>
        <w:t xml:space="preserve">hekwini directly. </w:t>
      </w:r>
      <w:r w:rsidR="00260802" w:rsidRPr="00876F97">
        <w:rPr>
          <w:rFonts w:ascii="Times New Roman" w:eastAsia="Arial" w:hAnsi="Times New Roman" w:cs="Times New Roman"/>
          <w:sz w:val="28"/>
          <w:szCs w:val="28"/>
          <w:lang w:eastAsia="en-ZA"/>
        </w:rPr>
        <w:t xml:space="preserve">What is known is that it was anticipated that agreements would be concluded between CPC and PRASA to address the situation which has now arisen. For reasons which are unknown, those agreements were not concluded despite the lapse of more than a decade since the factual necessity arose in 2013. </w:t>
      </w:r>
      <w:r w:rsidR="00420207" w:rsidRPr="00876F97">
        <w:rPr>
          <w:rFonts w:ascii="Times New Roman" w:eastAsia="Arial" w:hAnsi="Times New Roman" w:cs="Times New Roman"/>
          <w:sz w:val="28"/>
          <w:szCs w:val="28"/>
          <w:lang w:eastAsia="en-ZA"/>
        </w:rPr>
        <w:t xml:space="preserve">Facts which explain the circumstances in which and the </w:t>
      </w:r>
      <w:r w:rsidR="00260802" w:rsidRPr="00876F97">
        <w:rPr>
          <w:rFonts w:ascii="Times New Roman" w:eastAsia="Arial" w:hAnsi="Times New Roman" w:cs="Times New Roman"/>
          <w:sz w:val="28"/>
          <w:szCs w:val="28"/>
          <w:lang w:eastAsia="en-ZA"/>
        </w:rPr>
        <w:t xml:space="preserve">reasons for the underlying transfer </w:t>
      </w:r>
      <w:r w:rsidR="00260802" w:rsidRPr="00876F97">
        <w:rPr>
          <w:rFonts w:ascii="Times New Roman" w:eastAsia="Arial" w:hAnsi="Times New Roman" w:cs="Times New Roman"/>
          <w:i/>
          <w:iCs/>
          <w:sz w:val="28"/>
          <w:szCs w:val="28"/>
          <w:lang w:eastAsia="en-ZA"/>
        </w:rPr>
        <w:t>sine causa,</w:t>
      </w:r>
      <w:r w:rsidR="00260802" w:rsidRPr="00876F97">
        <w:rPr>
          <w:rFonts w:ascii="Times New Roman" w:eastAsia="Arial" w:hAnsi="Times New Roman" w:cs="Times New Roman"/>
          <w:sz w:val="28"/>
          <w:szCs w:val="28"/>
          <w:lang w:eastAsia="en-ZA"/>
        </w:rPr>
        <w:t xml:space="preserve"> </w:t>
      </w:r>
      <w:r w:rsidR="00420207" w:rsidRPr="00876F97">
        <w:rPr>
          <w:rFonts w:ascii="Times New Roman" w:eastAsia="Arial" w:hAnsi="Times New Roman" w:cs="Times New Roman"/>
          <w:sz w:val="28"/>
          <w:szCs w:val="28"/>
          <w:lang w:eastAsia="en-ZA"/>
        </w:rPr>
        <w:t>would, in my view,</w:t>
      </w:r>
      <w:r w:rsidR="00260802" w:rsidRPr="00876F97">
        <w:rPr>
          <w:rFonts w:ascii="Times New Roman" w:eastAsia="Arial" w:hAnsi="Times New Roman" w:cs="Times New Roman"/>
          <w:sz w:val="28"/>
          <w:szCs w:val="28"/>
          <w:lang w:eastAsia="en-ZA"/>
        </w:rPr>
        <w:t xml:space="preserve"> need to be considered</w:t>
      </w:r>
      <w:r w:rsidR="00420207" w:rsidRPr="00876F97">
        <w:rPr>
          <w:rFonts w:ascii="Times New Roman" w:eastAsia="Arial" w:hAnsi="Times New Roman" w:cs="Times New Roman"/>
          <w:sz w:val="28"/>
          <w:szCs w:val="28"/>
          <w:lang w:eastAsia="en-ZA"/>
        </w:rPr>
        <w:t xml:space="preserve"> in order to determine whether enrichment liability is established</w:t>
      </w:r>
      <w:r w:rsidR="00260802" w:rsidRPr="00876F97">
        <w:rPr>
          <w:rFonts w:ascii="Times New Roman" w:eastAsia="Arial" w:hAnsi="Times New Roman" w:cs="Times New Roman"/>
          <w:sz w:val="28"/>
          <w:szCs w:val="28"/>
          <w:lang w:eastAsia="en-ZA"/>
        </w:rPr>
        <w:t xml:space="preserve">. </w:t>
      </w:r>
      <w:r w:rsidR="00420207" w:rsidRPr="00876F97">
        <w:rPr>
          <w:rFonts w:ascii="Times New Roman" w:eastAsia="Arial" w:hAnsi="Times New Roman" w:cs="Times New Roman"/>
          <w:sz w:val="28"/>
          <w:szCs w:val="28"/>
          <w:lang w:eastAsia="en-ZA"/>
        </w:rPr>
        <w:t xml:space="preserve">In this case there are none. </w:t>
      </w:r>
      <w:r w:rsidR="00654E72" w:rsidRPr="00876F97">
        <w:rPr>
          <w:rFonts w:ascii="Times New Roman" w:eastAsia="Arial" w:hAnsi="Times New Roman" w:cs="Times New Roman"/>
          <w:sz w:val="28"/>
          <w:szCs w:val="28"/>
          <w:lang w:eastAsia="en-ZA"/>
        </w:rPr>
        <w:t xml:space="preserve">But even if it was accepted that, notionally, a case has been made out that </w:t>
      </w:r>
      <w:r w:rsidR="00B3072E" w:rsidRPr="00876F97">
        <w:rPr>
          <w:rFonts w:ascii="Times New Roman" w:eastAsia="Arial" w:hAnsi="Times New Roman" w:cs="Times New Roman"/>
          <w:sz w:val="28"/>
          <w:szCs w:val="28"/>
          <w:lang w:eastAsia="en-ZA"/>
        </w:rPr>
        <w:t>PRASA</w:t>
      </w:r>
      <w:r w:rsidR="00654E72" w:rsidRPr="00876F97">
        <w:rPr>
          <w:rFonts w:ascii="Times New Roman" w:eastAsia="Arial" w:hAnsi="Times New Roman" w:cs="Times New Roman"/>
          <w:sz w:val="28"/>
          <w:szCs w:val="28"/>
          <w:lang w:eastAsia="en-ZA"/>
        </w:rPr>
        <w:t xml:space="preserve">’s retention of the benefit of the supply of electricity without payment means that it </w:t>
      </w:r>
      <w:r w:rsidR="00B3072E" w:rsidRPr="00876F97">
        <w:rPr>
          <w:rFonts w:ascii="Times New Roman" w:eastAsia="Arial" w:hAnsi="Times New Roman" w:cs="Times New Roman"/>
          <w:sz w:val="28"/>
          <w:szCs w:val="28"/>
          <w:lang w:eastAsia="en-ZA"/>
        </w:rPr>
        <w:t xml:space="preserve">was enriched </w:t>
      </w:r>
      <w:r w:rsidR="00B3072E" w:rsidRPr="00876F97">
        <w:rPr>
          <w:rFonts w:ascii="Times New Roman" w:eastAsia="Arial" w:hAnsi="Times New Roman" w:cs="Times New Roman"/>
          <w:i/>
          <w:iCs/>
          <w:sz w:val="28"/>
          <w:szCs w:val="28"/>
          <w:lang w:eastAsia="en-ZA"/>
        </w:rPr>
        <w:t>sine causa</w:t>
      </w:r>
      <w:r w:rsidR="007167FB" w:rsidRPr="00876F97">
        <w:rPr>
          <w:rFonts w:ascii="Times New Roman" w:eastAsia="Arial" w:hAnsi="Times New Roman" w:cs="Times New Roman"/>
          <w:i/>
          <w:iCs/>
          <w:sz w:val="28"/>
          <w:szCs w:val="28"/>
          <w:lang w:eastAsia="en-ZA"/>
        </w:rPr>
        <w:t>,</w:t>
      </w:r>
      <w:r w:rsidR="00654E72" w:rsidRPr="00876F97">
        <w:rPr>
          <w:rFonts w:ascii="Times New Roman" w:eastAsia="Arial" w:hAnsi="Times New Roman" w:cs="Times New Roman"/>
          <w:i/>
          <w:iCs/>
          <w:sz w:val="28"/>
          <w:szCs w:val="28"/>
          <w:lang w:eastAsia="en-ZA"/>
        </w:rPr>
        <w:t xml:space="preserve"> </w:t>
      </w:r>
      <w:r w:rsidR="00654E72" w:rsidRPr="00876F97">
        <w:rPr>
          <w:rFonts w:ascii="Times New Roman" w:eastAsia="Arial" w:hAnsi="Times New Roman" w:cs="Times New Roman"/>
          <w:sz w:val="28"/>
          <w:szCs w:val="28"/>
          <w:lang w:eastAsia="en-ZA"/>
        </w:rPr>
        <w:t xml:space="preserve">CPC’s </w:t>
      </w:r>
      <w:r w:rsidR="00B3072E" w:rsidRPr="00876F97">
        <w:rPr>
          <w:rFonts w:ascii="Times New Roman" w:eastAsia="Arial" w:hAnsi="Times New Roman" w:cs="Times New Roman"/>
          <w:sz w:val="28"/>
          <w:szCs w:val="28"/>
          <w:lang w:eastAsia="en-ZA"/>
        </w:rPr>
        <w:t xml:space="preserve">reliance upon a species of enrichment must fail at the level of the failure to prove </w:t>
      </w:r>
      <w:r w:rsidR="00654E72" w:rsidRPr="00876F97">
        <w:rPr>
          <w:rFonts w:ascii="Times New Roman" w:eastAsia="Arial" w:hAnsi="Times New Roman" w:cs="Times New Roman"/>
          <w:sz w:val="28"/>
          <w:szCs w:val="28"/>
          <w:lang w:eastAsia="en-ZA"/>
        </w:rPr>
        <w:t xml:space="preserve">that it was </w:t>
      </w:r>
      <w:r w:rsidR="00B3072E" w:rsidRPr="00876F97">
        <w:rPr>
          <w:rFonts w:ascii="Times New Roman" w:eastAsia="Arial" w:hAnsi="Times New Roman" w:cs="Times New Roman"/>
          <w:sz w:val="28"/>
          <w:szCs w:val="28"/>
          <w:lang w:eastAsia="en-ZA"/>
        </w:rPr>
        <w:t>impoverish</w:t>
      </w:r>
      <w:r w:rsidR="00654E72" w:rsidRPr="00876F97">
        <w:rPr>
          <w:rFonts w:ascii="Times New Roman" w:eastAsia="Arial" w:hAnsi="Times New Roman" w:cs="Times New Roman"/>
          <w:sz w:val="28"/>
          <w:szCs w:val="28"/>
          <w:lang w:eastAsia="en-ZA"/>
        </w:rPr>
        <w:t>ed</w:t>
      </w:r>
      <w:r w:rsidR="00B3072E" w:rsidRPr="00876F97">
        <w:rPr>
          <w:rFonts w:ascii="Times New Roman" w:eastAsia="Arial" w:hAnsi="Times New Roman" w:cs="Times New Roman"/>
          <w:sz w:val="28"/>
          <w:szCs w:val="28"/>
          <w:lang w:eastAsia="en-ZA"/>
        </w:rPr>
        <w:t>.</w:t>
      </w:r>
    </w:p>
    <w:p w14:paraId="7EBDCB7F" w14:textId="77777777" w:rsidR="00107BCC" w:rsidRPr="006546A0" w:rsidRDefault="00107BCC" w:rsidP="00107BCC">
      <w:pPr>
        <w:pStyle w:val="ListParagraph"/>
        <w:rPr>
          <w:rFonts w:ascii="Times New Roman" w:eastAsia="Arial" w:hAnsi="Times New Roman" w:cs="Times New Roman"/>
          <w:sz w:val="28"/>
          <w:szCs w:val="28"/>
          <w:lang w:eastAsia="en-ZA"/>
        </w:rPr>
      </w:pPr>
    </w:p>
    <w:p w14:paraId="3C87D169" w14:textId="673B61EF" w:rsidR="00107BCC" w:rsidRPr="00876F97" w:rsidRDefault="00876F97" w:rsidP="00876F97">
      <w:pPr>
        <w:spacing w:after="0" w:line="360" w:lineRule="auto"/>
        <w:jc w:val="both"/>
        <w:rPr>
          <w:rFonts w:ascii="Times New Roman" w:eastAsia="Arial" w:hAnsi="Times New Roman" w:cs="Times New Roman"/>
          <w:sz w:val="28"/>
          <w:szCs w:val="28"/>
          <w:lang w:eastAsia="en-ZA"/>
        </w:rPr>
      </w:pPr>
      <w:r w:rsidRPr="006546A0">
        <w:rPr>
          <w:rFonts w:ascii="Times New Roman" w:eastAsia="Arial" w:hAnsi="Times New Roman" w:cs="Times New Roman"/>
          <w:sz w:val="28"/>
          <w:szCs w:val="28"/>
          <w:lang w:eastAsia="en-ZA"/>
        </w:rPr>
        <w:t>[29]</w:t>
      </w:r>
      <w:r w:rsidRPr="006546A0">
        <w:rPr>
          <w:rFonts w:ascii="Times New Roman" w:eastAsia="Arial" w:hAnsi="Times New Roman" w:cs="Times New Roman"/>
          <w:sz w:val="28"/>
          <w:szCs w:val="28"/>
          <w:lang w:eastAsia="en-ZA"/>
        </w:rPr>
        <w:tab/>
      </w:r>
      <w:r w:rsidR="00B3072E" w:rsidRPr="00876F97">
        <w:rPr>
          <w:rFonts w:ascii="Times New Roman" w:eastAsia="Arial" w:hAnsi="Times New Roman" w:cs="Times New Roman"/>
          <w:sz w:val="28"/>
          <w:szCs w:val="28"/>
          <w:lang w:eastAsia="en-ZA"/>
        </w:rPr>
        <w:t xml:space="preserve">The SOB included an indemnity provided by Crowie Projects to CPC in relation to costs or expenses incurred by CPC in consequence of the operation of the railway station by PRASA. </w:t>
      </w:r>
      <w:r w:rsidR="00793B37" w:rsidRPr="00876F97">
        <w:rPr>
          <w:rFonts w:ascii="Times New Roman" w:eastAsia="Arial" w:hAnsi="Times New Roman" w:cs="Times New Roman"/>
          <w:sz w:val="28"/>
          <w:szCs w:val="28"/>
          <w:lang w:eastAsia="en-ZA"/>
        </w:rPr>
        <w:t>I have referred to clause</w:t>
      </w:r>
      <w:r w:rsidR="00DC1845" w:rsidRPr="00876F97">
        <w:rPr>
          <w:rFonts w:ascii="Times New Roman" w:eastAsia="Arial" w:hAnsi="Times New Roman" w:cs="Times New Roman"/>
          <w:sz w:val="28"/>
          <w:szCs w:val="28"/>
          <w:lang w:eastAsia="en-ZA"/>
        </w:rPr>
        <w:t>s</w:t>
      </w:r>
      <w:r w:rsidR="00793B37" w:rsidRPr="00876F97">
        <w:rPr>
          <w:rFonts w:ascii="Times New Roman" w:eastAsia="Arial" w:hAnsi="Times New Roman" w:cs="Times New Roman"/>
          <w:sz w:val="28"/>
          <w:szCs w:val="28"/>
          <w:lang w:eastAsia="en-ZA"/>
        </w:rPr>
        <w:t xml:space="preserve"> 3.4.3 </w:t>
      </w:r>
      <w:r w:rsidR="00DC1845" w:rsidRPr="00876F97">
        <w:rPr>
          <w:rFonts w:ascii="Times New Roman" w:eastAsia="Arial" w:hAnsi="Times New Roman" w:cs="Times New Roman"/>
          <w:sz w:val="28"/>
          <w:szCs w:val="28"/>
          <w:lang w:eastAsia="en-ZA"/>
        </w:rPr>
        <w:t xml:space="preserve">and 3.4.7 </w:t>
      </w:r>
      <w:r w:rsidR="00793B37" w:rsidRPr="00876F97">
        <w:rPr>
          <w:rFonts w:ascii="Times New Roman" w:eastAsia="Arial" w:hAnsi="Times New Roman" w:cs="Times New Roman"/>
          <w:sz w:val="28"/>
          <w:szCs w:val="28"/>
          <w:lang w:eastAsia="en-ZA"/>
        </w:rPr>
        <w:t>of the Co</w:t>
      </w:r>
      <w:r w:rsidR="00934237" w:rsidRPr="00876F97">
        <w:rPr>
          <w:rFonts w:ascii="Times New Roman" w:eastAsia="Arial" w:hAnsi="Times New Roman" w:cs="Times New Roman"/>
          <w:sz w:val="28"/>
          <w:szCs w:val="28"/>
          <w:lang w:eastAsia="en-ZA"/>
        </w:rPr>
        <w:t>-</w:t>
      </w:r>
      <w:r w:rsidR="00793B37" w:rsidRPr="00876F97">
        <w:rPr>
          <w:rFonts w:ascii="Times New Roman" w:eastAsia="Arial" w:hAnsi="Times New Roman" w:cs="Times New Roman"/>
          <w:sz w:val="28"/>
          <w:szCs w:val="28"/>
          <w:lang w:eastAsia="en-ZA"/>
        </w:rPr>
        <w:t xml:space="preserve">ordination Agreement which envisaged the conclusion of agreements between CPC and PRASA to regulate the operation </w:t>
      </w:r>
      <w:r w:rsidR="00DC1845" w:rsidRPr="00876F97">
        <w:rPr>
          <w:rFonts w:ascii="Times New Roman" w:eastAsia="Arial" w:hAnsi="Times New Roman" w:cs="Times New Roman"/>
          <w:sz w:val="28"/>
          <w:szCs w:val="28"/>
          <w:lang w:eastAsia="en-ZA"/>
        </w:rPr>
        <w:t xml:space="preserve">of the </w:t>
      </w:r>
      <w:r w:rsidR="00830F92" w:rsidRPr="00876F97">
        <w:rPr>
          <w:rFonts w:ascii="Times New Roman" w:eastAsia="Arial" w:hAnsi="Times New Roman" w:cs="Times New Roman"/>
          <w:sz w:val="28"/>
          <w:szCs w:val="28"/>
          <w:lang w:eastAsia="en-ZA"/>
        </w:rPr>
        <w:t>r</w:t>
      </w:r>
      <w:r w:rsidR="00DC1845" w:rsidRPr="00876F97">
        <w:rPr>
          <w:rFonts w:ascii="Times New Roman" w:eastAsia="Arial" w:hAnsi="Times New Roman" w:cs="Times New Roman"/>
          <w:sz w:val="28"/>
          <w:szCs w:val="28"/>
          <w:lang w:eastAsia="en-ZA"/>
        </w:rPr>
        <w:t>ailway station, including costs and expenses. The SOB records that it was initially intended that these agreements be concluded before the SOB took effect</w:t>
      </w:r>
      <w:r w:rsidR="00654E72" w:rsidRPr="00876F97">
        <w:rPr>
          <w:rFonts w:ascii="Times New Roman" w:eastAsia="Arial" w:hAnsi="Times New Roman" w:cs="Times New Roman"/>
          <w:sz w:val="28"/>
          <w:szCs w:val="28"/>
          <w:lang w:eastAsia="en-ZA"/>
        </w:rPr>
        <w:t xml:space="preserve"> and that they would serve as suspensive </w:t>
      </w:r>
      <w:r w:rsidR="00654E72" w:rsidRPr="00876F97">
        <w:rPr>
          <w:rFonts w:ascii="Times New Roman" w:eastAsia="Arial" w:hAnsi="Times New Roman" w:cs="Times New Roman"/>
          <w:sz w:val="28"/>
          <w:szCs w:val="28"/>
          <w:lang w:eastAsia="en-ZA"/>
        </w:rPr>
        <w:lastRenderedPageBreak/>
        <w:t>conditions</w:t>
      </w:r>
      <w:r w:rsidR="00DC1845" w:rsidRPr="00876F97">
        <w:rPr>
          <w:rFonts w:ascii="Times New Roman" w:eastAsia="Arial" w:hAnsi="Times New Roman" w:cs="Times New Roman"/>
          <w:sz w:val="28"/>
          <w:szCs w:val="28"/>
          <w:lang w:eastAsia="en-ZA"/>
        </w:rPr>
        <w:t xml:space="preserve">. </w:t>
      </w:r>
      <w:r w:rsidR="00654E72" w:rsidRPr="00876F97">
        <w:rPr>
          <w:rFonts w:ascii="Times New Roman" w:eastAsia="Arial" w:hAnsi="Times New Roman" w:cs="Times New Roman"/>
          <w:sz w:val="28"/>
          <w:szCs w:val="28"/>
          <w:lang w:eastAsia="en-ZA"/>
        </w:rPr>
        <w:t xml:space="preserve">The agreement records, however, that </w:t>
      </w:r>
      <w:r w:rsidR="00DC1845" w:rsidRPr="00876F97">
        <w:rPr>
          <w:rFonts w:ascii="Times New Roman" w:eastAsia="Arial" w:hAnsi="Times New Roman" w:cs="Times New Roman"/>
          <w:sz w:val="28"/>
          <w:szCs w:val="28"/>
          <w:lang w:eastAsia="en-ZA"/>
        </w:rPr>
        <w:t>CPC</w:t>
      </w:r>
      <w:r w:rsidR="00654E72" w:rsidRPr="00876F97">
        <w:rPr>
          <w:rFonts w:ascii="Times New Roman" w:eastAsia="Arial" w:hAnsi="Times New Roman" w:cs="Times New Roman"/>
          <w:sz w:val="28"/>
          <w:szCs w:val="28"/>
          <w:lang w:eastAsia="en-ZA"/>
        </w:rPr>
        <w:t xml:space="preserve"> </w:t>
      </w:r>
      <w:r w:rsidR="00DC1845" w:rsidRPr="00876F97">
        <w:rPr>
          <w:rFonts w:ascii="Times New Roman" w:eastAsia="Arial" w:hAnsi="Times New Roman" w:cs="Times New Roman"/>
          <w:sz w:val="28"/>
          <w:szCs w:val="28"/>
          <w:lang w:eastAsia="en-ZA"/>
        </w:rPr>
        <w:t>waived th</w:t>
      </w:r>
      <w:r w:rsidR="00654E72" w:rsidRPr="00876F97">
        <w:rPr>
          <w:rFonts w:ascii="Times New Roman" w:eastAsia="Arial" w:hAnsi="Times New Roman" w:cs="Times New Roman"/>
          <w:sz w:val="28"/>
          <w:szCs w:val="28"/>
          <w:lang w:eastAsia="en-ZA"/>
        </w:rPr>
        <w:t>e</w:t>
      </w:r>
      <w:r w:rsidR="00DC1845" w:rsidRPr="00876F97">
        <w:rPr>
          <w:rFonts w:ascii="Times New Roman" w:eastAsia="Arial" w:hAnsi="Times New Roman" w:cs="Times New Roman"/>
          <w:sz w:val="28"/>
          <w:szCs w:val="28"/>
          <w:lang w:eastAsia="en-ZA"/>
        </w:rPr>
        <w:t xml:space="preserve"> require</w:t>
      </w:r>
      <w:r w:rsidR="00107BCC" w:rsidRPr="00876F97">
        <w:rPr>
          <w:rFonts w:ascii="Times New Roman" w:eastAsia="Arial" w:hAnsi="Times New Roman" w:cs="Times New Roman"/>
          <w:sz w:val="28"/>
          <w:szCs w:val="28"/>
          <w:lang w:eastAsia="en-ZA"/>
        </w:rPr>
        <w:t xml:space="preserve">ment. In recognition that by so doing, CPC had exposed itself to risk if agreement was not reached with PRASA, clause 3.4.6 </w:t>
      </w:r>
      <w:r w:rsidR="00654E72" w:rsidRPr="00876F97">
        <w:rPr>
          <w:rFonts w:ascii="Times New Roman" w:eastAsia="Arial" w:hAnsi="Times New Roman" w:cs="Times New Roman"/>
          <w:sz w:val="28"/>
          <w:szCs w:val="28"/>
          <w:lang w:eastAsia="en-ZA"/>
        </w:rPr>
        <w:t xml:space="preserve">provided </w:t>
      </w:r>
      <w:r w:rsidR="00107BCC" w:rsidRPr="00876F97">
        <w:rPr>
          <w:rFonts w:ascii="Times New Roman" w:eastAsia="Arial" w:hAnsi="Times New Roman" w:cs="Times New Roman"/>
          <w:sz w:val="28"/>
          <w:szCs w:val="28"/>
          <w:lang w:eastAsia="en-ZA"/>
        </w:rPr>
        <w:t>that:</w:t>
      </w:r>
    </w:p>
    <w:p w14:paraId="41798023" w14:textId="747B6D90" w:rsidR="00107BCC" w:rsidRPr="006546A0" w:rsidRDefault="00107BCC" w:rsidP="00675A93">
      <w:pPr>
        <w:spacing w:line="360" w:lineRule="auto"/>
        <w:rPr>
          <w:rFonts w:ascii="Times New Roman" w:eastAsia="Arial" w:hAnsi="Times New Roman" w:cs="Times New Roman"/>
          <w:sz w:val="24"/>
          <w:szCs w:val="24"/>
          <w:lang w:eastAsia="en-ZA"/>
        </w:rPr>
      </w:pPr>
      <w:r w:rsidRPr="006546A0">
        <w:rPr>
          <w:rFonts w:ascii="Times New Roman" w:eastAsia="Arial" w:hAnsi="Times New Roman" w:cs="Times New Roman"/>
          <w:sz w:val="24"/>
          <w:szCs w:val="24"/>
          <w:lang w:eastAsia="en-ZA"/>
        </w:rPr>
        <w:t>‘[Crowie Projects] has agreed to be liable to [CPC] for certain agreed expenses</w:t>
      </w:r>
      <w:r w:rsidR="00675A93" w:rsidRPr="006546A0">
        <w:rPr>
          <w:rFonts w:ascii="Times New Roman" w:eastAsia="Arial" w:hAnsi="Times New Roman" w:cs="Times New Roman"/>
          <w:sz w:val="24"/>
          <w:szCs w:val="24"/>
          <w:lang w:eastAsia="en-ZA"/>
        </w:rPr>
        <w:t xml:space="preserve"> (such as those in clause 3.4.8), that may have to be incurred in respect of matters upon which [CPC] and [PRASA] are unable to agree on, in the manner contemplated in this Agreement.’</w:t>
      </w:r>
    </w:p>
    <w:p w14:paraId="77091BAC" w14:textId="068BC490" w:rsidR="000C6431" w:rsidRPr="006546A0" w:rsidRDefault="00793F6B" w:rsidP="00675A93">
      <w:pPr>
        <w:pStyle w:val="ListParagraph"/>
        <w:spacing w:after="0" w:line="360" w:lineRule="auto"/>
        <w:ind w:left="0"/>
        <w:jc w:val="both"/>
        <w:rPr>
          <w:rFonts w:ascii="Times New Roman" w:eastAsia="Arial" w:hAnsi="Times New Roman" w:cs="Times New Roman"/>
          <w:sz w:val="28"/>
          <w:szCs w:val="28"/>
          <w:lang w:eastAsia="en-ZA"/>
        </w:rPr>
      </w:pPr>
      <w:r w:rsidRPr="006546A0">
        <w:rPr>
          <w:rFonts w:ascii="Times New Roman" w:eastAsia="Arial" w:hAnsi="Times New Roman" w:cs="Times New Roman"/>
          <w:sz w:val="28"/>
          <w:szCs w:val="28"/>
          <w:lang w:eastAsia="en-ZA"/>
        </w:rPr>
        <w:t xml:space="preserve"> </w:t>
      </w:r>
      <w:r w:rsidR="00845AEE" w:rsidRPr="006546A0">
        <w:rPr>
          <w:rFonts w:ascii="Times New Roman" w:eastAsia="Arial" w:hAnsi="Times New Roman" w:cs="Times New Roman"/>
          <w:sz w:val="28"/>
          <w:szCs w:val="28"/>
          <w:lang w:eastAsia="en-ZA"/>
        </w:rPr>
        <w:t xml:space="preserve"> </w:t>
      </w:r>
    </w:p>
    <w:p w14:paraId="60413C40" w14:textId="6077D509" w:rsidR="006E0C8B" w:rsidRPr="00876F97" w:rsidRDefault="00876F97" w:rsidP="00876F97">
      <w:pPr>
        <w:spacing w:after="0" w:line="360" w:lineRule="auto"/>
        <w:jc w:val="both"/>
        <w:rPr>
          <w:rFonts w:ascii="Times New Roman" w:eastAsia="Arial" w:hAnsi="Times New Roman" w:cs="Times New Roman"/>
          <w:sz w:val="28"/>
          <w:szCs w:val="28"/>
          <w:lang w:eastAsia="en-ZA"/>
        </w:rPr>
      </w:pPr>
      <w:r w:rsidRPr="006546A0">
        <w:rPr>
          <w:rFonts w:ascii="Times New Roman" w:eastAsia="Arial" w:hAnsi="Times New Roman" w:cs="Times New Roman"/>
          <w:sz w:val="28"/>
          <w:szCs w:val="28"/>
          <w:lang w:eastAsia="en-ZA"/>
        </w:rPr>
        <w:t>[30]</w:t>
      </w:r>
      <w:r w:rsidRPr="006546A0">
        <w:rPr>
          <w:rFonts w:ascii="Times New Roman" w:eastAsia="Arial" w:hAnsi="Times New Roman" w:cs="Times New Roman"/>
          <w:sz w:val="28"/>
          <w:szCs w:val="28"/>
          <w:lang w:eastAsia="en-ZA"/>
        </w:rPr>
        <w:tab/>
      </w:r>
      <w:r w:rsidR="00675A93" w:rsidRPr="00876F97">
        <w:rPr>
          <w:rFonts w:ascii="Times New Roman" w:eastAsia="Arial" w:hAnsi="Times New Roman" w:cs="Times New Roman"/>
          <w:sz w:val="28"/>
          <w:szCs w:val="28"/>
          <w:lang w:eastAsia="en-ZA"/>
        </w:rPr>
        <w:t xml:space="preserve">The matters referred to in clause 3.4.8 are ‘all cleaning, </w:t>
      </w:r>
      <w:r w:rsidR="00675A93" w:rsidRPr="00876F97">
        <w:rPr>
          <w:rFonts w:ascii="Times New Roman" w:eastAsia="Arial" w:hAnsi="Times New Roman" w:cs="Times New Roman"/>
          <w:i/>
          <w:iCs/>
          <w:sz w:val="28"/>
          <w:szCs w:val="28"/>
          <w:lang w:eastAsia="en-ZA"/>
        </w:rPr>
        <w:t xml:space="preserve">operational </w:t>
      </w:r>
      <w:r w:rsidR="00675A93" w:rsidRPr="00876F97">
        <w:rPr>
          <w:rFonts w:ascii="Times New Roman" w:eastAsia="Arial" w:hAnsi="Times New Roman" w:cs="Times New Roman"/>
          <w:sz w:val="28"/>
          <w:szCs w:val="28"/>
          <w:lang w:eastAsia="en-ZA"/>
        </w:rPr>
        <w:t>and security expenses that are incurred and which are directly or indirectly attributable to the Void’.</w:t>
      </w:r>
      <w:r w:rsidR="00A15944" w:rsidRPr="006546A0">
        <w:rPr>
          <w:rStyle w:val="FootnoteReference"/>
          <w:rFonts w:ascii="Times New Roman" w:eastAsia="Arial" w:hAnsi="Times New Roman" w:cs="Times New Roman"/>
          <w:sz w:val="28"/>
          <w:szCs w:val="28"/>
          <w:lang w:eastAsia="en-ZA"/>
        </w:rPr>
        <w:footnoteReference w:id="17"/>
      </w:r>
      <w:r w:rsidR="00675A93" w:rsidRPr="00876F97">
        <w:rPr>
          <w:rFonts w:ascii="Times New Roman" w:eastAsia="Arial" w:hAnsi="Times New Roman" w:cs="Times New Roman"/>
          <w:sz w:val="28"/>
          <w:szCs w:val="28"/>
          <w:lang w:eastAsia="en-ZA"/>
        </w:rPr>
        <w:t xml:space="preserve"> It is not necessary to conclude definitively that </w:t>
      </w:r>
      <w:r w:rsidR="00654E72" w:rsidRPr="00876F97">
        <w:rPr>
          <w:rFonts w:ascii="Times New Roman" w:eastAsia="Arial" w:hAnsi="Times New Roman" w:cs="Times New Roman"/>
          <w:sz w:val="28"/>
          <w:szCs w:val="28"/>
          <w:lang w:eastAsia="en-ZA"/>
        </w:rPr>
        <w:t xml:space="preserve">the </w:t>
      </w:r>
      <w:r w:rsidR="00675A93" w:rsidRPr="00876F97">
        <w:rPr>
          <w:rFonts w:ascii="Times New Roman" w:eastAsia="Arial" w:hAnsi="Times New Roman" w:cs="Times New Roman"/>
          <w:sz w:val="28"/>
          <w:szCs w:val="28"/>
          <w:lang w:eastAsia="en-ZA"/>
        </w:rPr>
        <w:t xml:space="preserve">expenses incurred by CPC in defraying the costs of electricity consumed by PRASA, would fall within the ambit of the liability undertaken by Crowie Projects.  </w:t>
      </w:r>
      <w:r w:rsidR="00E94327" w:rsidRPr="00876F97">
        <w:rPr>
          <w:rFonts w:ascii="Times New Roman" w:eastAsia="Arial" w:hAnsi="Times New Roman" w:cs="Times New Roman"/>
          <w:sz w:val="28"/>
          <w:szCs w:val="28"/>
          <w:lang w:eastAsia="en-ZA"/>
        </w:rPr>
        <w:t>No</w:t>
      </w:r>
      <w:r w:rsidR="00675A93" w:rsidRPr="00876F97">
        <w:rPr>
          <w:rFonts w:ascii="Times New Roman" w:eastAsia="Arial" w:hAnsi="Times New Roman" w:cs="Times New Roman"/>
          <w:sz w:val="28"/>
          <w:szCs w:val="28"/>
          <w:lang w:eastAsia="en-ZA"/>
        </w:rPr>
        <w:t xml:space="preserve"> obvious impediment </w:t>
      </w:r>
      <w:r w:rsidR="00E94327" w:rsidRPr="00876F97">
        <w:rPr>
          <w:rFonts w:ascii="Times New Roman" w:eastAsia="Arial" w:hAnsi="Times New Roman" w:cs="Times New Roman"/>
          <w:sz w:val="28"/>
          <w:szCs w:val="28"/>
          <w:lang w:eastAsia="en-ZA"/>
        </w:rPr>
        <w:t>suggests</w:t>
      </w:r>
      <w:r w:rsidR="00675A93" w:rsidRPr="00876F97">
        <w:rPr>
          <w:rFonts w:ascii="Times New Roman" w:eastAsia="Arial" w:hAnsi="Times New Roman" w:cs="Times New Roman"/>
          <w:sz w:val="28"/>
          <w:szCs w:val="28"/>
          <w:lang w:eastAsia="en-ZA"/>
        </w:rPr>
        <w:t xml:space="preserve"> itself. That, however, is not the point.</w:t>
      </w:r>
      <w:r w:rsidR="00102D7C" w:rsidRPr="00876F97">
        <w:rPr>
          <w:rFonts w:ascii="Times New Roman" w:eastAsia="Arial" w:hAnsi="Times New Roman" w:cs="Times New Roman"/>
          <w:sz w:val="28"/>
          <w:szCs w:val="28"/>
          <w:lang w:eastAsia="en-ZA"/>
        </w:rPr>
        <w:t xml:space="preserve"> In the context of seeking to establish a claim based upon enrichment, the onus to establish the elements of liability rested upon CPC.  In the light of the contractual indemnity provided by Crowie Projects, CPC was required to establish that such claim was not available to it. In the absence of such </w:t>
      </w:r>
      <w:r w:rsidR="00D26A7C" w:rsidRPr="00876F97">
        <w:rPr>
          <w:rFonts w:ascii="Times New Roman" w:eastAsia="Arial" w:hAnsi="Times New Roman" w:cs="Times New Roman"/>
          <w:sz w:val="28"/>
          <w:szCs w:val="28"/>
          <w:lang w:eastAsia="en-ZA"/>
        </w:rPr>
        <w:t xml:space="preserve">averment or </w:t>
      </w:r>
      <w:r w:rsidR="00102D7C" w:rsidRPr="00876F97">
        <w:rPr>
          <w:rFonts w:ascii="Times New Roman" w:eastAsia="Arial" w:hAnsi="Times New Roman" w:cs="Times New Roman"/>
          <w:sz w:val="28"/>
          <w:szCs w:val="28"/>
          <w:lang w:eastAsia="en-ZA"/>
        </w:rPr>
        <w:t xml:space="preserve">proof, </w:t>
      </w:r>
      <w:r w:rsidR="00E94327" w:rsidRPr="00876F97">
        <w:rPr>
          <w:rFonts w:ascii="Times New Roman" w:eastAsia="Arial" w:hAnsi="Times New Roman" w:cs="Times New Roman"/>
          <w:sz w:val="28"/>
          <w:szCs w:val="28"/>
          <w:lang w:eastAsia="en-ZA"/>
        </w:rPr>
        <w:t>it cannot be found that CPC</w:t>
      </w:r>
      <w:r w:rsidR="00102D7C" w:rsidRPr="00876F97">
        <w:rPr>
          <w:rFonts w:ascii="Times New Roman" w:eastAsia="Arial" w:hAnsi="Times New Roman" w:cs="Times New Roman"/>
          <w:sz w:val="28"/>
          <w:szCs w:val="28"/>
          <w:lang w:eastAsia="en-ZA"/>
        </w:rPr>
        <w:t xml:space="preserve"> has been impoverished</w:t>
      </w:r>
      <w:r w:rsidR="00E94327" w:rsidRPr="00876F97">
        <w:rPr>
          <w:rFonts w:ascii="Times New Roman" w:eastAsia="Arial" w:hAnsi="Times New Roman" w:cs="Times New Roman"/>
          <w:sz w:val="28"/>
          <w:szCs w:val="28"/>
          <w:lang w:eastAsia="en-ZA"/>
        </w:rPr>
        <w:t>.</w:t>
      </w:r>
    </w:p>
    <w:p w14:paraId="50512B60" w14:textId="77777777" w:rsidR="00102D7C" w:rsidRPr="006546A0" w:rsidRDefault="00102D7C" w:rsidP="00102D7C">
      <w:pPr>
        <w:pStyle w:val="ListParagraph"/>
        <w:spacing w:after="0" w:line="360" w:lineRule="auto"/>
        <w:ind w:left="0"/>
        <w:jc w:val="both"/>
        <w:rPr>
          <w:rFonts w:ascii="Times New Roman" w:eastAsia="Arial" w:hAnsi="Times New Roman" w:cs="Times New Roman"/>
          <w:sz w:val="28"/>
          <w:szCs w:val="28"/>
          <w:lang w:eastAsia="en-ZA"/>
        </w:rPr>
      </w:pPr>
    </w:p>
    <w:p w14:paraId="5063FEEC" w14:textId="2019DF6B" w:rsidR="00102D7C" w:rsidRPr="00876F97" w:rsidRDefault="00876F97" w:rsidP="00876F97">
      <w:pPr>
        <w:spacing w:after="0" w:line="360" w:lineRule="auto"/>
        <w:jc w:val="both"/>
        <w:rPr>
          <w:rFonts w:ascii="Times New Roman" w:eastAsia="Arial" w:hAnsi="Times New Roman" w:cs="Times New Roman"/>
          <w:sz w:val="28"/>
          <w:szCs w:val="28"/>
          <w:lang w:eastAsia="en-ZA"/>
        </w:rPr>
      </w:pPr>
      <w:r w:rsidRPr="006546A0">
        <w:rPr>
          <w:rFonts w:ascii="Times New Roman" w:eastAsia="Arial" w:hAnsi="Times New Roman" w:cs="Times New Roman"/>
          <w:sz w:val="28"/>
          <w:szCs w:val="28"/>
          <w:lang w:eastAsia="en-ZA"/>
        </w:rPr>
        <w:t>[31]</w:t>
      </w:r>
      <w:r w:rsidRPr="006546A0">
        <w:rPr>
          <w:rFonts w:ascii="Times New Roman" w:eastAsia="Arial" w:hAnsi="Times New Roman" w:cs="Times New Roman"/>
          <w:sz w:val="28"/>
          <w:szCs w:val="28"/>
          <w:lang w:eastAsia="en-ZA"/>
        </w:rPr>
        <w:tab/>
      </w:r>
      <w:r w:rsidR="00102D7C" w:rsidRPr="00876F97">
        <w:rPr>
          <w:rFonts w:ascii="Times New Roman" w:eastAsia="Arial" w:hAnsi="Times New Roman" w:cs="Times New Roman"/>
          <w:sz w:val="28"/>
          <w:szCs w:val="28"/>
          <w:lang w:eastAsia="en-ZA"/>
        </w:rPr>
        <w:t xml:space="preserve">It follows that even if this Court was inclined to countenance CPC’s claim as one of enrichment (which we do not hold), it could not succeed. In the circumstances the appeal must </w:t>
      </w:r>
      <w:r w:rsidR="00E94327" w:rsidRPr="00876F97">
        <w:rPr>
          <w:rFonts w:ascii="Times New Roman" w:eastAsia="Arial" w:hAnsi="Times New Roman" w:cs="Times New Roman"/>
          <w:sz w:val="28"/>
          <w:szCs w:val="28"/>
          <w:lang w:eastAsia="en-ZA"/>
        </w:rPr>
        <w:t>be upheld.</w:t>
      </w:r>
    </w:p>
    <w:p w14:paraId="12715602" w14:textId="77777777" w:rsidR="00102D7C" w:rsidRDefault="00102D7C" w:rsidP="00102D7C">
      <w:pPr>
        <w:pStyle w:val="ListParagraph"/>
        <w:spacing w:after="0" w:line="360" w:lineRule="auto"/>
        <w:ind w:left="0"/>
        <w:jc w:val="both"/>
        <w:rPr>
          <w:rFonts w:ascii="Times New Roman" w:eastAsia="Arial" w:hAnsi="Times New Roman" w:cs="Times New Roman"/>
          <w:sz w:val="28"/>
          <w:szCs w:val="28"/>
          <w:lang w:eastAsia="en-ZA"/>
        </w:rPr>
      </w:pPr>
    </w:p>
    <w:p w14:paraId="2581BF13" w14:textId="3DD3F019" w:rsidR="00102D7C" w:rsidRPr="00876F97" w:rsidRDefault="00876F97" w:rsidP="00876F97">
      <w:pPr>
        <w:spacing w:after="0" w:line="360" w:lineRule="auto"/>
        <w:jc w:val="both"/>
        <w:rPr>
          <w:rFonts w:ascii="Times New Roman" w:eastAsia="Arial" w:hAnsi="Times New Roman" w:cs="Times New Roman"/>
          <w:sz w:val="28"/>
          <w:szCs w:val="28"/>
          <w:lang w:eastAsia="en-ZA"/>
        </w:rPr>
      </w:pPr>
      <w:r w:rsidRPr="006546A0">
        <w:rPr>
          <w:rFonts w:ascii="Times New Roman" w:eastAsia="Arial" w:hAnsi="Times New Roman" w:cs="Times New Roman"/>
          <w:sz w:val="28"/>
          <w:szCs w:val="28"/>
          <w:lang w:eastAsia="en-ZA"/>
        </w:rPr>
        <w:t>[32]</w:t>
      </w:r>
      <w:r w:rsidRPr="006546A0">
        <w:rPr>
          <w:rFonts w:ascii="Times New Roman" w:eastAsia="Arial" w:hAnsi="Times New Roman" w:cs="Times New Roman"/>
          <w:sz w:val="28"/>
          <w:szCs w:val="28"/>
          <w:lang w:eastAsia="en-ZA"/>
        </w:rPr>
        <w:tab/>
      </w:r>
      <w:r w:rsidR="00102D7C" w:rsidRPr="00876F97">
        <w:rPr>
          <w:rFonts w:ascii="Times New Roman" w:eastAsia="Arial" w:hAnsi="Times New Roman" w:cs="Times New Roman"/>
          <w:sz w:val="28"/>
          <w:szCs w:val="28"/>
          <w:lang w:eastAsia="en-ZA"/>
        </w:rPr>
        <w:t>The following order will issue:</w:t>
      </w:r>
    </w:p>
    <w:p w14:paraId="3BF5D8AC" w14:textId="77777777" w:rsidR="00102D7C" w:rsidRPr="001D5501" w:rsidRDefault="00102D7C" w:rsidP="001D5501">
      <w:pPr>
        <w:spacing w:line="360" w:lineRule="auto"/>
        <w:rPr>
          <w:rFonts w:ascii="Times New Roman" w:eastAsia="Arial" w:hAnsi="Times New Roman" w:cs="Times New Roman"/>
          <w:sz w:val="28"/>
          <w:szCs w:val="28"/>
          <w:lang w:eastAsia="en-ZA"/>
        </w:rPr>
      </w:pPr>
      <w:r w:rsidRPr="001D5501">
        <w:rPr>
          <w:rFonts w:ascii="Times New Roman" w:eastAsia="Arial" w:hAnsi="Times New Roman" w:cs="Times New Roman"/>
          <w:sz w:val="28"/>
          <w:szCs w:val="28"/>
          <w:lang w:eastAsia="en-ZA"/>
        </w:rPr>
        <w:t>1</w:t>
      </w:r>
      <w:r w:rsidRPr="001D5501">
        <w:rPr>
          <w:rFonts w:ascii="Times New Roman" w:eastAsia="Arial" w:hAnsi="Times New Roman" w:cs="Times New Roman"/>
          <w:sz w:val="28"/>
          <w:szCs w:val="28"/>
          <w:lang w:eastAsia="en-ZA"/>
        </w:rPr>
        <w:tab/>
        <w:t>The appeal is upheld with costs.</w:t>
      </w:r>
    </w:p>
    <w:p w14:paraId="2ADEDCE7" w14:textId="23BBED80" w:rsidR="001D5501" w:rsidRDefault="00102D7C" w:rsidP="001D5501">
      <w:pPr>
        <w:spacing w:line="360" w:lineRule="auto"/>
        <w:rPr>
          <w:rFonts w:ascii="Times New Roman" w:eastAsia="Arial" w:hAnsi="Times New Roman" w:cs="Times New Roman"/>
          <w:sz w:val="28"/>
          <w:szCs w:val="28"/>
          <w:lang w:eastAsia="en-ZA"/>
        </w:rPr>
      </w:pPr>
      <w:r w:rsidRPr="001D5501">
        <w:rPr>
          <w:rFonts w:ascii="Times New Roman" w:eastAsia="Arial" w:hAnsi="Times New Roman" w:cs="Times New Roman"/>
          <w:sz w:val="28"/>
          <w:szCs w:val="28"/>
          <w:lang w:eastAsia="en-ZA"/>
        </w:rPr>
        <w:lastRenderedPageBreak/>
        <w:t>2</w:t>
      </w:r>
      <w:r w:rsidRPr="001D5501">
        <w:rPr>
          <w:rFonts w:ascii="Times New Roman" w:eastAsia="Arial" w:hAnsi="Times New Roman" w:cs="Times New Roman"/>
          <w:sz w:val="28"/>
          <w:szCs w:val="28"/>
          <w:lang w:eastAsia="en-ZA"/>
        </w:rPr>
        <w:tab/>
        <w:t>The order of the high court is set aside and replaced with the following</w:t>
      </w:r>
      <w:r w:rsidR="001D5501">
        <w:rPr>
          <w:rFonts w:ascii="Times New Roman" w:eastAsia="Arial" w:hAnsi="Times New Roman" w:cs="Times New Roman"/>
          <w:sz w:val="28"/>
          <w:szCs w:val="28"/>
          <w:lang w:eastAsia="en-ZA"/>
        </w:rPr>
        <w:t xml:space="preserve"> </w:t>
      </w:r>
      <w:r w:rsidRPr="001D5501">
        <w:rPr>
          <w:rFonts w:ascii="Times New Roman" w:eastAsia="Arial" w:hAnsi="Times New Roman" w:cs="Times New Roman"/>
          <w:sz w:val="28"/>
          <w:szCs w:val="28"/>
          <w:lang w:eastAsia="en-ZA"/>
        </w:rPr>
        <w:t>order:</w:t>
      </w:r>
    </w:p>
    <w:p w14:paraId="2691C030" w14:textId="42CD4EED" w:rsidR="00853E79" w:rsidRPr="006546A0" w:rsidRDefault="00102D7C" w:rsidP="001D5501">
      <w:pPr>
        <w:spacing w:line="360" w:lineRule="auto"/>
        <w:rPr>
          <w:rFonts w:ascii="Times New Roman" w:eastAsia="Arial" w:hAnsi="Times New Roman" w:cs="Times New Roman"/>
          <w:sz w:val="28"/>
          <w:szCs w:val="28"/>
          <w:lang w:eastAsia="en-ZA"/>
        </w:rPr>
      </w:pPr>
      <w:r w:rsidRPr="006546A0">
        <w:rPr>
          <w:rFonts w:ascii="Times New Roman" w:eastAsia="Arial" w:hAnsi="Times New Roman" w:cs="Times New Roman"/>
          <w:sz w:val="28"/>
          <w:szCs w:val="28"/>
          <w:lang w:eastAsia="en-ZA"/>
        </w:rPr>
        <w:t>‘The application is dismissed with costs.’</w:t>
      </w:r>
    </w:p>
    <w:p w14:paraId="78C3746F" w14:textId="77777777" w:rsidR="003819BB" w:rsidRPr="006546A0" w:rsidRDefault="003819BB" w:rsidP="003819BB">
      <w:pPr>
        <w:spacing w:after="0" w:line="360" w:lineRule="auto"/>
        <w:jc w:val="both"/>
        <w:rPr>
          <w:rFonts w:ascii="Times New Roman" w:eastAsia="Arial" w:hAnsi="Times New Roman" w:cs="Times New Roman"/>
          <w:sz w:val="28"/>
          <w:szCs w:val="28"/>
          <w:lang w:eastAsia="en-ZA"/>
        </w:rPr>
      </w:pPr>
    </w:p>
    <w:p w14:paraId="010E88A1" w14:textId="77777777" w:rsidR="003819BB" w:rsidRDefault="003819BB" w:rsidP="003819BB">
      <w:pPr>
        <w:spacing w:after="0" w:line="360" w:lineRule="auto"/>
        <w:jc w:val="both"/>
        <w:rPr>
          <w:rFonts w:ascii="Times New Roman" w:eastAsia="Arial" w:hAnsi="Times New Roman" w:cs="Times New Roman"/>
          <w:sz w:val="28"/>
          <w:szCs w:val="28"/>
          <w:lang w:eastAsia="en-ZA"/>
        </w:rPr>
      </w:pPr>
    </w:p>
    <w:p w14:paraId="7B60A474" w14:textId="77777777" w:rsidR="00917ADB" w:rsidRPr="006546A0" w:rsidRDefault="00917ADB" w:rsidP="003819BB">
      <w:pPr>
        <w:spacing w:after="0" w:line="360" w:lineRule="auto"/>
        <w:jc w:val="both"/>
        <w:rPr>
          <w:rFonts w:ascii="Times New Roman" w:eastAsia="Arial" w:hAnsi="Times New Roman" w:cs="Times New Roman"/>
          <w:sz w:val="28"/>
          <w:szCs w:val="28"/>
          <w:lang w:eastAsia="en-ZA"/>
        </w:rPr>
      </w:pPr>
    </w:p>
    <w:p w14:paraId="766D3C20" w14:textId="77777777" w:rsidR="003819BB" w:rsidRPr="006546A0" w:rsidRDefault="003819BB" w:rsidP="003819BB">
      <w:pPr>
        <w:spacing w:after="0" w:line="360" w:lineRule="auto"/>
        <w:jc w:val="both"/>
        <w:rPr>
          <w:rFonts w:ascii="Times New Roman" w:eastAsia="Arial" w:hAnsi="Times New Roman" w:cs="Times New Roman"/>
          <w:sz w:val="28"/>
          <w:szCs w:val="28"/>
          <w:lang w:eastAsia="en-ZA"/>
        </w:rPr>
      </w:pPr>
    </w:p>
    <w:p w14:paraId="143D4A98" w14:textId="77777777" w:rsidR="00C9555B" w:rsidRPr="006546A0" w:rsidRDefault="00C9555B" w:rsidP="00C9555B">
      <w:pPr>
        <w:spacing w:after="0" w:line="360" w:lineRule="auto"/>
        <w:jc w:val="right"/>
        <w:rPr>
          <w:rFonts w:ascii="Times New Roman" w:eastAsia="Times New Roman" w:hAnsi="Times New Roman" w:cs="Times New Roman"/>
          <w:sz w:val="28"/>
          <w:szCs w:val="28"/>
          <w:lang w:val="en-GB"/>
        </w:rPr>
      </w:pPr>
      <w:r w:rsidRPr="006546A0">
        <w:rPr>
          <w:rFonts w:ascii="Times New Roman" w:eastAsia="Times New Roman" w:hAnsi="Times New Roman" w:cs="Times New Roman"/>
          <w:sz w:val="28"/>
          <w:szCs w:val="28"/>
          <w:lang w:val="en-GB"/>
        </w:rPr>
        <w:t>__________________</w:t>
      </w:r>
    </w:p>
    <w:p w14:paraId="0E635787" w14:textId="77777777" w:rsidR="00C9555B" w:rsidRPr="006546A0" w:rsidRDefault="00C9555B" w:rsidP="00C9555B">
      <w:pPr>
        <w:spacing w:after="0" w:line="360" w:lineRule="auto"/>
        <w:jc w:val="right"/>
        <w:rPr>
          <w:rFonts w:ascii="Times New Roman" w:eastAsia="Times New Roman" w:hAnsi="Times New Roman" w:cs="Times New Roman"/>
          <w:sz w:val="28"/>
          <w:szCs w:val="28"/>
          <w:lang w:val="en-GB"/>
        </w:rPr>
      </w:pPr>
      <w:r w:rsidRPr="006546A0">
        <w:rPr>
          <w:rFonts w:ascii="Times New Roman" w:eastAsia="Times New Roman" w:hAnsi="Times New Roman" w:cs="Times New Roman"/>
          <w:sz w:val="28"/>
          <w:szCs w:val="28"/>
          <w:lang w:val="en-GB"/>
        </w:rPr>
        <w:t>G GOOSEN</w:t>
      </w:r>
    </w:p>
    <w:p w14:paraId="3E016D8E" w14:textId="4743B0FE" w:rsidR="00F0692A" w:rsidRPr="006546A0" w:rsidRDefault="00C9555B" w:rsidP="006D333D">
      <w:pPr>
        <w:spacing w:after="0" w:line="360" w:lineRule="auto"/>
        <w:jc w:val="right"/>
        <w:rPr>
          <w:rFonts w:ascii="Times New Roman" w:eastAsia="Times New Roman" w:hAnsi="Times New Roman" w:cs="Times New Roman"/>
          <w:sz w:val="28"/>
          <w:szCs w:val="28"/>
          <w:lang w:val="en-GB"/>
        </w:rPr>
      </w:pPr>
      <w:r w:rsidRPr="006546A0">
        <w:rPr>
          <w:rFonts w:ascii="Times New Roman" w:eastAsia="Times New Roman" w:hAnsi="Times New Roman" w:cs="Times New Roman"/>
          <w:sz w:val="28"/>
          <w:szCs w:val="28"/>
          <w:lang w:val="en-GB"/>
        </w:rPr>
        <w:t>JUDGE OF APPEA</w:t>
      </w:r>
      <w:r w:rsidR="006D333D" w:rsidRPr="006546A0">
        <w:rPr>
          <w:rFonts w:ascii="Times New Roman" w:eastAsia="Times New Roman" w:hAnsi="Times New Roman" w:cs="Times New Roman"/>
          <w:sz w:val="28"/>
          <w:szCs w:val="28"/>
          <w:lang w:val="en-GB"/>
        </w:rPr>
        <w:t>L</w:t>
      </w:r>
    </w:p>
    <w:p w14:paraId="7E391922" w14:textId="77777777" w:rsidR="002E5191" w:rsidRPr="006546A0" w:rsidRDefault="002E5191" w:rsidP="006D333D">
      <w:pPr>
        <w:spacing w:after="0" w:line="360" w:lineRule="auto"/>
        <w:jc w:val="right"/>
        <w:rPr>
          <w:rFonts w:ascii="Times New Roman" w:eastAsia="Times New Roman" w:hAnsi="Times New Roman" w:cs="Times New Roman"/>
          <w:sz w:val="28"/>
          <w:szCs w:val="28"/>
          <w:lang w:val="en-GB"/>
        </w:rPr>
      </w:pPr>
    </w:p>
    <w:p w14:paraId="671A7303" w14:textId="77777777" w:rsidR="00612FC0" w:rsidRPr="006546A0" w:rsidRDefault="00612FC0" w:rsidP="00B37899">
      <w:pPr>
        <w:spacing w:after="0" w:line="360" w:lineRule="auto"/>
        <w:ind w:right="72"/>
        <w:jc w:val="both"/>
        <w:rPr>
          <w:rFonts w:ascii="Times New Roman" w:eastAsia="Arial" w:hAnsi="Times New Roman" w:cs="Times New Roman"/>
          <w:sz w:val="28"/>
          <w:szCs w:val="28"/>
          <w:lang w:eastAsia="en-ZA"/>
        </w:rPr>
      </w:pPr>
    </w:p>
    <w:p w14:paraId="630AC884" w14:textId="09D5F614" w:rsidR="006546A0" w:rsidRPr="006546A0" w:rsidRDefault="006546A0">
      <w:pPr>
        <w:rPr>
          <w:rFonts w:ascii="Times New Roman" w:eastAsia="Times New Roman" w:hAnsi="Times New Roman" w:cs="Times New Roman"/>
          <w:sz w:val="28"/>
          <w:szCs w:val="28"/>
          <w:lang w:val="en-US"/>
        </w:rPr>
      </w:pPr>
      <w:r w:rsidRPr="006546A0">
        <w:rPr>
          <w:rFonts w:ascii="Times New Roman" w:eastAsia="Times New Roman" w:hAnsi="Times New Roman" w:cs="Times New Roman"/>
          <w:sz w:val="28"/>
          <w:szCs w:val="28"/>
          <w:lang w:val="en-US"/>
        </w:rPr>
        <w:br w:type="page"/>
      </w:r>
    </w:p>
    <w:p w14:paraId="704E0846" w14:textId="77777777" w:rsidR="004F1AF8" w:rsidRPr="006546A0" w:rsidRDefault="004F1AF8">
      <w:pPr>
        <w:rPr>
          <w:rFonts w:ascii="Times New Roman" w:eastAsia="Times New Roman" w:hAnsi="Times New Roman" w:cs="Times New Roman"/>
          <w:sz w:val="28"/>
          <w:szCs w:val="28"/>
          <w:lang w:val="en-US"/>
        </w:rPr>
      </w:pPr>
    </w:p>
    <w:p w14:paraId="1B8810E9" w14:textId="3AA83BCC" w:rsidR="001F18BD" w:rsidRPr="006546A0" w:rsidRDefault="001F18BD" w:rsidP="00B37899">
      <w:pPr>
        <w:widowControl w:val="0"/>
        <w:autoSpaceDE w:val="0"/>
        <w:autoSpaceDN w:val="0"/>
        <w:adjustRightInd w:val="0"/>
        <w:spacing w:after="0" w:line="360" w:lineRule="auto"/>
        <w:jc w:val="both"/>
        <w:rPr>
          <w:rFonts w:ascii="Times New Roman" w:eastAsia="Times New Roman" w:hAnsi="Times New Roman" w:cs="Times New Roman"/>
          <w:sz w:val="28"/>
          <w:szCs w:val="28"/>
          <w:lang w:val="en-US"/>
        </w:rPr>
      </w:pPr>
      <w:r w:rsidRPr="006546A0">
        <w:rPr>
          <w:rFonts w:ascii="Times New Roman" w:eastAsia="Times New Roman" w:hAnsi="Times New Roman" w:cs="Times New Roman"/>
          <w:sz w:val="28"/>
          <w:szCs w:val="28"/>
          <w:lang w:val="en-US"/>
        </w:rPr>
        <w:t>Appearances</w:t>
      </w:r>
    </w:p>
    <w:p w14:paraId="6857ADC0" w14:textId="77777777" w:rsidR="00B37899" w:rsidRPr="006546A0" w:rsidRDefault="00B37899" w:rsidP="00B37899">
      <w:pPr>
        <w:widowControl w:val="0"/>
        <w:autoSpaceDE w:val="0"/>
        <w:autoSpaceDN w:val="0"/>
        <w:adjustRightInd w:val="0"/>
        <w:spacing w:after="0" w:line="360" w:lineRule="auto"/>
        <w:jc w:val="both"/>
        <w:rPr>
          <w:rFonts w:ascii="Times New Roman" w:eastAsia="Times New Roman" w:hAnsi="Times New Roman" w:cs="Times New Roman"/>
          <w:sz w:val="28"/>
          <w:szCs w:val="28"/>
          <w:lang w:val="en-US"/>
        </w:rPr>
      </w:pPr>
    </w:p>
    <w:p w14:paraId="4DFD7191" w14:textId="345D079E" w:rsidR="001F18BD" w:rsidRPr="006546A0" w:rsidRDefault="001F18BD" w:rsidP="00B37899">
      <w:pPr>
        <w:widowControl w:val="0"/>
        <w:autoSpaceDE w:val="0"/>
        <w:autoSpaceDN w:val="0"/>
        <w:adjustRightInd w:val="0"/>
        <w:spacing w:after="0" w:line="360" w:lineRule="auto"/>
        <w:ind w:right="-283"/>
        <w:jc w:val="both"/>
        <w:rPr>
          <w:rFonts w:ascii="Times New Roman" w:eastAsia="Times New Roman" w:hAnsi="Times New Roman" w:cs="Times New Roman"/>
          <w:sz w:val="28"/>
          <w:szCs w:val="28"/>
          <w:lang w:val="en-US"/>
        </w:rPr>
      </w:pPr>
      <w:r w:rsidRPr="006546A0">
        <w:rPr>
          <w:rFonts w:ascii="Times New Roman" w:eastAsia="Times New Roman" w:hAnsi="Times New Roman" w:cs="Times New Roman"/>
          <w:sz w:val="28"/>
          <w:szCs w:val="28"/>
          <w:lang w:val="en-US"/>
        </w:rPr>
        <w:t>For the appellants:</w:t>
      </w:r>
      <w:r w:rsidRPr="006546A0">
        <w:rPr>
          <w:rFonts w:ascii="Times New Roman" w:eastAsia="Times New Roman" w:hAnsi="Times New Roman" w:cs="Times New Roman"/>
          <w:sz w:val="28"/>
          <w:szCs w:val="28"/>
          <w:lang w:val="en-US"/>
        </w:rPr>
        <w:tab/>
      </w:r>
      <w:r w:rsidR="00463040" w:rsidRPr="006546A0">
        <w:rPr>
          <w:rFonts w:ascii="Times New Roman" w:eastAsia="Times New Roman" w:hAnsi="Times New Roman" w:cs="Times New Roman"/>
          <w:sz w:val="28"/>
          <w:szCs w:val="28"/>
          <w:lang w:val="en-US"/>
        </w:rPr>
        <w:tab/>
      </w:r>
      <w:r w:rsidR="00AD4D0C" w:rsidRPr="006546A0">
        <w:rPr>
          <w:rFonts w:ascii="Times New Roman" w:eastAsia="Times New Roman" w:hAnsi="Times New Roman" w:cs="Times New Roman"/>
          <w:sz w:val="28"/>
          <w:szCs w:val="28"/>
          <w:lang w:val="en-US"/>
        </w:rPr>
        <w:t xml:space="preserve">D </w:t>
      </w:r>
      <w:r w:rsidR="004C552C" w:rsidRPr="006546A0">
        <w:rPr>
          <w:rFonts w:ascii="Times New Roman" w:eastAsia="Times New Roman" w:hAnsi="Times New Roman" w:cs="Times New Roman"/>
          <w:sz w:val="28"/>
          <w:szCs w:val="28"/>
          <w:lang w:val="en-US"/>
        </w:rPr>
        <w:t>J</w:t>
      </w:r>
      <w:r w:rsidR="00AD4D0C" w:rsidRPr="006546A0">
        <w:rPr>
          <w:rFonts w:ascii="Times New Roman" w:eastAsia="Times New Roman" w:hAnsi="Times New Roman" w:cs="Times New Roman"/>
          <w:sz w:val="28"/>
          <w:szCs w:val="28"/>
          <w:lang w:val="en-US"/>
        </w:rPr>
        <w:t xml:space="preserve"> Saks</w:t>
      </w:r>
      <w:r w:rsidRPr="006546A0">
        <w:rPr>
          <w:rFonts w:ascii="Times New Roman" w:eastAsia="Times New Roman" w:hAnsi="Times New Roman" w:cs="Times New Roman"/>
          <w:sz w:val="28"/>
          <w:szCs w:val="28"/>
          <w:lang w:val="en-US"/>
        </w:rPr>
        <w:t xml:space="preserve">    </w:t>
      </w:r>
    </w:p>
    <w:p w14:paraId="0EFAA6FD" w14:textId="2F3E7268" w:rsidR="001F18BD" w:rsidRPr="006546A0" w:rsidRDefault="001F18BD" w:rsidP="00B37899">
      <w:pPr>
        <w:widowControl w:val="0"/>
        <w:autoSpaceDE w:val="0"/>
        <w:autoSpaceDN w:val="0"/>
        <w:adjustRightInd w:val="0"/>
        <w:spacing w:after="0" w:line="360" w:lineRule="auto"/>
        <w:jc w:val="both"/>
        <w:rPr>
          <w:rFonts w:ascii="Times New Roman" w:eastAsia="Times New Roman" w:hAnsi="Times New Roman" w:cs="Times New Roman"/>
          <w:sz w:val="28"/>
          <w:szCs w:val="28"/>
          <w:lang w:val="en-US"/>
        </w:rPr>
      </w:pPr>
      <w:r w:rsidRPr="006546A0">
        <w:rPr>
          <w:rFonts w:ascii="Times New Roman" w:eastAsia="Times New Roman" w:hAnsi="Times New Roman" w:cs="Times New Roman"/>
          <w:sz w:val="28"/>
          <w:szCs w:val="28"/>
          <w:lang w:val="en-US"/>
        </w:rPr>
        <w:t>Instructed by:</w:t>
      </w:r>
      <w:r w:rsidRPr="006546A0">
        <w:rPr>
          <w:rFonts w:ascii="Times New Roman" w:eastAsia="Times New Roman" w:hAnsi="Times New Roman" w:cs="Times New Roman"/>
          <w:sz w:val="28"/>
          <w:szCs w:val="28"/>
          <w:lang w:val="en-US"/>
        </w:rPr>
        <w:tab/>
      </w:r>
      <w:r w:rsidRPr="006546A0">
        <w:rPr>
          <w:rFonts w:ascii="Times New Roman" w:eastAsia="Times New Roman" w:hAnsi="Times New Roman" w:cs="Times New Roman"/>
          <w:sz w:val="28"/>
          <w:szCs w:val="28"/>
          <w:lang w:val="en-US"/>
        </w:rPr>
        <w:tab/>
      </w:r>
      <w:r w:rsidR="00AD4D0C" w:rsidRPr="006546A0">
        <w:rPr>
          <w:rFonts w:ascii="Times New Roman" w:eastAsia="Times New Roman" w:hAnsi="Times New Roman" w:cs="Times New Roman"/>
          <w:sz w:val="28"/>
          <w:szCs w:val="28"/>
          <w:lang w:val="en-US"/>
        </w:rPr>
        <w:t>Woodhead Bigby Attorneys Incorporated, La Lucia</w:t>
      </w:r>
    </w:p>
    <w:p w14:paraId="40E4ED2F" w14:textId="77777777" w:rsidR="001F18BD" w:rsidRPr="006546A0" w:rsidRDefault="001F18BD" w:rsidP="00B37899">
      <w:pPr>
        <w:widowControl w:val="0"/>
        <w:autoSpaceDE w:val="0"/>
        <w:autoSpaceDN w:val="0"/>
        <w:adjustRightInd w:val="0"/>
        <w:spacing w:after="0" w:line="360" w:lineRule="auto"/>
        <w:ind w:left="2160" w:firstLine="720"/>
        <w:jc w:val="both"/>
        <w:rPr>
          <w:rFonts w:ascii="Times New Roman" w:eastAsia="Times New Roman" w:hAnsi="Times New Roman" w:cs="Times New Roman"/>
          <w:sz w:val="28"/>
          <w:szCs w:val="28"/>
          <w:lang w:val="en-US" w:eastAsia="en-GB"/>
        </w:rPr>
      </w:pPr>
      <w:r w:rsidRPr="006546A0">
        <w:rPr>
          <w:rFonts w:ascii="Times New Roman" w:eastAsia="Times New Roman" w:hAnsi="Times New Roman" w:cs="Times New Roman"/>
          <w:sz w:val="28"/>
          <w:szCs w:val="28"/>
          <w:lang w:val="en-US" w:eastAsia="en-GB"/>
        </w:rPr>
        <w:t>Lovius Block Inc, Bloemfontein</w:t>
      </w:r>
    </w:p>
    <w:p w14:paraId="296C0389" w14:textId="77777777" w:rsidR="001F18BD" w:rsidRPr="006546A0" w:rsidRDefault="001F18BD" w:rsidP="00B37899">
      <w:pPr>
        <w:widowControl w:val="0"/>
        <w:autoSpaceDE w:val="0"/>
        <w:autoSpaceDN w:val="0"/>
        <w:adjustRightInd w:val="0"/>
        <w:spacing w:after="0" w:line="360" w:lineRule="auto"/>
        <w:jc w:val="both"/>
        <w:rPr>
          <w:rFonts w:ascii="Times New Roman" w:eastAsia="Times New Roman" w:hAnsi="Times New Roman" w:cs="Times New Roman"/>
          <w:sz w:val="28"/>
          <w:szCs w:val="28"/>
          <w:lang w:val="en-US" w:eastAsia="en-GB"/>
        </w:rPr>
      </w:pPr>
    </w:p>
    <w:p w14:paraId="2FD061FB" w14:textId="7F664122" w:rsidR="001F18BD" w:rsidRPr="006546A0" w:rsidRDefault="001F18BD" w:rsidP="00B37899">
      <w:pPr>
        <w:widowControl w:val="0"/>
        <w:autoSpaceDE w:val="0"/>
        <w:autoSpaceDN w:val="0"/>
        <w:adjustRightInd w:val="0"/>
        <w:spacing w:after="0" w:line="360" w:lineRule="auto"/>
        <w:jc w:val="both"/>
        <w:rPr>
          <w:rFonts w:ascii="Times New Roman" w:eastAsia="Times New Roman" w:hAnsi="Times New Roman" w:cs="Times New Roman"/>
          <w:sz w:val="28"/>
          <w:szCs w:val="28"/>
          <w:lang w:val="en-US" w:eastAsia="en-GB"/>
        </w:rPr>
      </w:pPr>
      <w:r w:rsidRPr="006546A0">
        <w:rPr>
          <w:rFonts w:ascii="Times New Roman" w:eastAsia="Times New Roman" w:hAnsi="Times New Roman" w:cs="Times New Roman"/>
          <w:sz w:val="28"/>
          <w:szCs w:val="28"/>
          <w:lang w:val="en-US" w:eastAsia="en-GB"/>
        </w:rPr>
        <w:t xml:space="preserve">For the </w:t>
      </w:r>
      <w:r w:rsidR="004C552C" w:rsidRPr="006546A0">
        <w:rPr>
          <w:rFonts w:ascii="Times New Roman" w:eastAsia="Times New Roman" w:hAnsi="Times New Roman" w:cs="Times New Roman"/>
          <w:sz w:val="28"/>
          <w:szCs w:val="28"/>
          <w:lang w:val="en-US" w:eastAsia="en-GB"/>
        </w:rPr>
        <w:t xml:space="preserve">first </w:t>
      </w:r>
      <w:r w:rsidRPr="006546A0">
        <w:rPr>
          <w:rFonts w:ascii="Times New Roman" w:eastAsia="Times New Roman" w:hAnsi="Times New Roman" w:cs="Times New Roman"/>
          <w:sz w:val="28"/>
          <w:szCs w:val="28"/>
          <w:lang w:val="en-US" w:eastAsia="en-GB"/>
        </w:rPr>
        <w:t>respondent:</w:t>
      </w:r>
      <w:r w:rsidRPr="006546A0">
        <w:rPr>
          <w:rFonts w:ascii="Times New Roman" w:eastAsia="Times New Roman" w:hAnsi="Times New Roman" w:cs="Times New Roman"/>
          <w:sz w:val="28"/>
          <w:szCs w:val="28"/>
          <w:lang w:val="en-US" w:eastAsia="en-GB"/>
        </w:rPr>
        <w:tab/>
      </w:r>
      <w:r w:rsidR="00AD4D0C" w:rsidRPr="006546A0">
        <w:rPr>
          <w:rFonts w:ascii="Times New Roman" w:eastAsia="Times New Roman" w:hAnsi="Times New Roman" w:cs="Times New Roman"/>
          <w:sz w:val="28"/>
          <w:szCs w:val="28"/>
          <w:lang w:val="en-US" w:eastAsia="en-GB"/>
        </w:rPr>
        <w:t>M C Erasmus SC</w:t>
      </w:r>
      <w:r w:rsidR="004C552C" w:rsidRPr="006546A0">
        <w:rPr>
          <w:rFonts w:ascii="Times New Roman" w:eastAsia="Times New Roman" w:hAnsi="Times New Roman" w:cs="Times New Roman"/>
          <w:sz w:val="28"/>
          <w:szCs w:val="28"/>
          <w:lang w:val="en-US" w:eastAsia="en-GB"/>
        </w:rPr>
        <w:t>, N J Khooe and A Efstratiou-Jooste</w:t>
      </w:r>
    </w:p>
    <w:p w14:paraId="684BB166" w14:textId="10338F54" w:rsidR="001F18BD" w:rsidRPr="006546A0" w:rsidRDefault="001F18BD" w:rsidP="00B37899">
      <w:pPr>
        <w:widowControl w:val="0"/>
        <w:autoSpaceDE w:val="0"/>
        <w:autoSpaceDN w:val="0"/>
        <w:adjustRightInd w:val="0"/>
        <w:spacing w:after="0" w:line="360" w:lineRule="auto"/>
        <w:jc w:val="both"/>
        <w:rPr>
          <w:rFonts w:ascii="Times New Roman" w:eastAsia="Times New Roman" w:hAnsi="Times New Roman" w:cs="Times New Roman"/>
          <w:sz w:val="28"/>
          <w:szCs w:val="28"/>
          <w:lang w:val="en-US" w:eastAsia="en-GB"/>
        </w:rPr>
      </w:pPr>
      <w:r w:rsidRPr="006546A0">
        <w:rPr>
          <w:rFonts w:ascii="Times New Roman" w:eastAsia="Times New Roman" w:hAnsi="Times New Roman" w:cs="Times New Roman"/>
          <w:sz w:val="28"/>
          <w:szCs w:val="28"/>
          <w:lang w:val="en-US" w:eastAsia="en-GB"/>
        </w:rPr>
        <w:t>Instructed by:</w:t>
      </w:r>
      <w:r w:rsidRPr="006546A0">
        <w:rPr>
          <w:rFonts w:ascii="Times New Roman" w:eastAsia="Times New Roman" w:hAnsi="Times New Roman" w:cs="Times New Roman"/>
          <w:sz w:val="28"/>
          <w:szCs w:val="28"/>
          <w:lang w:val="en-US" w:eastAsia="en-GB"/>
        </w:rPr>
        <w:tab/>
      </w:r>
      <w:r w:rsidRPr="006546A0">
        <w:rPr>
          <w:rFonts w:ascii="Times New Roman" w:eastAsia="Times New Roman" w:hAnsi="Times New Roman" w:cs="Times New Roman"/>
          <w:sz w:val="28"/>
          <w:szCs w:val="28"/>
          <w:lang w:val="en-US" w:eastAsia="en-GB"/>
        </w:rPr>
        <w:tab/>
      </w:r>
      <w:r w:rsidR="00AD4D0C" w:rsidRPr="006546A0">
        <w:rPr>
          <w:rFonts w:ascii="Times New Roman" w:eastAsia="Times New Roman" w:hAnsi="Times New Roman" w:cs="Times New Roman"/>
          <w:sz w:val="28"/>
          <w:szCs w:val="28"/>
          <w:lang w:val="en-US" w:eastAsia="en-GB"/>
        </w:rPr>
        <w:t>Mark Efstrat</w:t>
      </w:r>
      <w:r w:rsidR="005065AA" w:rsidRPr="006546A0">
        <w:rPr>
          <w:rFonts w:ascii="Times New Roman" w:eastAsia="Times New Roman" w:hAnsi="Times New Roman" w:cs="Times New Roman"/>
          <w:sz w:val="28"/>
          <w:szCs w:val="28"/>
          <w:lang w:val="en-US" w:eastAsia="en-GB"/>
        </w:rPr>
        <w:t>iou Incorporated, Pretoria</w:t>
      </w:r>
    </w:p>
    <w:p w14:paraId="3AE18061" w14:textId="47982A3A" w:rsidR="001F18BD" w:rsidRPr="00463040" w:rsidRDefault="001F18BD" w:rsidP="00B37899">
      <w:pPr>
        <w:widowControl w:val="0"/>
        <w:autoSpaceDE w:val="0"/>
        <w:autoSpaceDN w:val="0"/>
        <w:adjustRightInd w:val="0"/>
        <w:spacing w:after="0" w:line="360" w:lineRule="auto"/>
        <w:jc w:val="both"/>
        <w:rPr>
          <w:rFonts w:ascii="Times New Roman" w:eastAsia="Times New Roman" w:hAnsi="Times New Roman" w:cs="Times New Roman"/>
          <w:sz w:val="28"/>
          <w:szCs w:val="28"/>
          <w:lang w:val="en-US" w:eastAsia="en-GB"/>
        </w:rPr>
      </w:pPr>
      <w:r w:rsidRPr="006546A0">
        <w:rPr>
          <w:rFonts w:ascii="Times New Roman" w:eastAsia="Times New Roman" w:hAnsi="Times New Roman" w:cs="Times New Roman"/>
          <w:sz w:val="28"/>
          <w:szCs w:val="28"/>
          <w:lang w:val="en-US" w:eastAsia="en-GB"/>
        </w:rPr>
        <w:tab/>
      </w:r>
      <w:r w:rsidRPr="006546A0">
        <w:rPr>
          <w:rFonts w:ascii="Times New Roman" w:eastAsia="Times New Roman" w:hAnsi="Times New Roman" w:cs="Times New Roman"/>
          <w:sz w:val="28"/>
          <w:szCs w:val="28"/>
          <w:lang w:val="en-US" w:eastAsia="en-GB"/>
        </w:rPr>
        <w:tab/>
      </w:r>
      <w:r w:rsidRPr="006546A0">
        <w:rPr>
          <w:rFonts w:ascii="Times New Roman" w:eastAsia="Times New Roman" w:hAnsi="Times New Roman" w:cs="Times New Roman"/>
          <w:sz w:val="28"/>
          <w:szCs w:val="28"/>
          <w:lang w:val="en-US" w:eastAsia="en-GB"/>
        </w:rPr>
        <w:tab/>
      </w:r>
      <w:r w:rsidRPr="006546A0">
        <w:rPr>
          <w:rFonts w:ascii="Times New Roman" w:eastAsia="Times New Roman" w:hAnsi="Times New Roman" w:cs="Times New Roman"/>
          <w:sz w:val="28"/>
          <w:szCs w:val="28"/>
          <w:lang w:val="en-US" w:eastAsia="en-GB"/>
        </w:rPr>
        <w:tab/>
      </w:r>
      <w:r w:rsidR="005065AA" w:rsidRPr="006546A0">
        <w:rPr>
          <w:rFonts w:ascii="Times New Roman" w:eastAsia="Times New Roman" w:hAnsi="Times New Roman" w:cs="Times New Roman"/>
          <w:sz w:val="28"/>
          <w:szCs w:val="28"/>
          <w:lang w:val="en-US" w:eastAsia="en-GB"/>
        </w:rPr>
        <w:t>Phatshoane Henney Attorneys</w:t>
      </w:r>
      <w:r w:rsidRPr="006546A0">
        <w:rPr>
          <w:rFonts w:ascii="Times New Roman" w:eastAsia="Times New Roman" w:hAnsi="Times New Roman" w:cs="Times New Roman"/>
          <w:sz w:val="28"/>
          <w:szCs w:val="28"/>
          <w:lang w:val="en-US" w:eastAsia="en-GB"/>
        </w:rPr>
        <w:t>, Bloemfontein</w:t>
      </w:r>
      <w:r w:rsidR="001609D8" w:rsidRPr="006546A0">
        <w:rPr>
          <w:rFonts w:ascii="Times New Roman" w:eastAsia="Times New Roman" w:hAnsi="Times New Roman" w:cs="Times New Roman"/>
          <w:sz w:val="28"/>
          <w:szCs w:val="28"/>
          <w:lang w:val="en-US" w:eastAsia="en-GB"/>
        </w:rPr>
        <w:t>.</w:t>
      </w:r>
    </w:p>
    <w:p w14:paraId="7806D969" w14:textId="77777777" w:rsidR="001F18BD" w:rsidRPr="00463040" w:rsidRDefault="001F18BD" w:rsidP="00B37899">
      <w:pPr>
        <w:widowControl w:val="0"/>
        <w:autoSpaceDE w:val="0"/>
        <w:autoSpaceDN w:val="0"/>
        <w:adjustRightInd w:val="0"/>
        <w:spacing w:after="0" w:line="360" w:lineRule="auto"/>
        <w:jc w:val="both"/>
        <w:rPr>
          <w:rFonts w:ascii="Times New Roman" w:eastAsia="Times New Roman" w:hAnsi="Times New Roman" w:cs="Times New Roman"/>
          <w:sz w:val="28"/>
          <w:szCs w:val="28"/>
          <w:lang w:val="en-US" w:eastAsia="en-GB"/>
        </w:rPr>
      </w:pPr>
    </w:p>
    <w:p w14:paraId="39CF789F" w14:textId="77777777" w:rsidR="001F18BD" w:rsidRPr="00463040" w:rsidRDefault="001F18BD" w:rsidP="00B37899">
      <w:pPr>
        <w:widowControl w:val="0"/>
        <w:autoSpaceDE w:val="0"/>
        <w:autoSpaceDN w:val="0"/>
        <w:adjustRightInd w:val="0"/>
        <w:spacing w:after="0" w:line="360" w:lineRule="auto"/>
        <w:jc w:val="both"/>
        <w:rPr>
          <w:rFonts w:ascii="Times New Roman" w:eastAsia="Times New Roman" w:hAnsi="Times New Roman" w:cs="Times New Roman"/>
          <w:b/>
          <w:sz w:val="28"/>
          <w:szCs w:val="28"/>
          <w:lang w:val="en-US"/>
        </w:rPr>
      </w:pPr>
    </w:p>
    <w:p w14:paraId="67533FC1" w14:textId="77777777" w:rsidR="001F18BD" w:rsidRPr="00463040" w:rsidRDefault="001F18BD" w:rsidP="00B37899">
      <w:pPr>
        <w:widowControl w:val="0"/>
        <w:autoSpaceDE w:val="0"/>
        <w:autoSpaceDN w:val="0"/>
        <w:adjustRightInd w:val="0"/>
        <w:spacing w:after="0" w:line="360" w:lineRule="auto"/>
        <w:jc w:val="both"/>
        <w:rPr>
          <w:rFonts w:ascii="Times New Roman" w:eastAsia="Times New Roman" w:hAnsi="Times New Roman" w:cs="Times New Roman"/>
          <w:lang w:val="en-US"/>
        </w:rPr>
      </w:pPr>
    </w:p>
    <w:p w14:paraId="7FC1C0B3" w14:textId="77777777" w:rsidR="001F18BD" w:rsidRPr="00463040" w:rsidRDefault="001F18BD" w:rsidP="00B37899">
      <w:pPr>
        <w:spacing w:after="0" w:line="360" w:lineRule="auto"/>
        <w:jc w:val="both"/>
        <w:rPr>
          <w:rFonts w:ascii="Times New Roman" w:hAnsi="Times New Roman" w:cs="Times New Roman"/>
          <w:sz w:val="28"/>
          <w:szCs w:val="28"/>
          <w:lang w:val="en-US"/>
        </w:rPr>
      </w:pPr>
    </w:p>
    <w:p w14:paraId="470AA151" w14:textId="77777777" w:rsidR="001F18BD" w:rsidRPr="00A32D58" w:rsidRDefault="001F18BD" w:rsidP="001F18BD">
      <w:pPr>
        <w:spacing w:after="0" w:line="360" w:lineRule="auto"/>
        <w:jc w:val="both"/>
        <w:rPr>
          <w:rFonts w:ascii="Times New Roman" w:hAnsi="Times New Roman" w:cs="Times New Roman"/>
          <w:sz w:val="28"/>
          <w:szCs w:val="28"/>
          <w:lang w:val="en-US"/>
        </w:rPr>
      </w:pPr>
    </w:p>
    <w:p w14:paraId="7DDB77DD" w14:textId="77777777" w:rsidR="001F18BD" w:rsidRPr="002A540A" w:rsidRDefault="001F18BD" w:rsidP="001F18BD">
      <w:pPr>
        <w:spacing w:after="0" w:line="360" w:lineRule="auto"/>
        <w:jc w:val="both"/>
        <w:rPr>
          <w:rFonts w:ascii="Times New Roman" w:hAnsi="Times New Roman" w:cs="Times New Roman"/>
          <w:sz w:val="28"/>
          <w:szCs w:val="28"/>
          <w:lang w:val="en-US"/>
        </w:rPr>
      </w:pPr>
    </w:p>
    <w:p w14:paraId="67925883" w14:textId="77777777" w:rsidR="001F18BD" w:rsidRPr="002A540A" w:rsidRDefault="001F18BD" w:rsidP="001F18BD">
      <w:pPr>
        <w:spacing w:after="0" w:line="360" w:lineRule="auto"/>
        <w:jc w:val="both"/>
        <w:rPr>
          <w:rFonts w:ascii="Times New Roman" w:hAnsi="Times New Roman" w:cs="Times New Roman"/>
          <w:sz w:val="28"/>
          <w:szCs w:val="28"/>
        </w:rPr>
      </w:pPr>
    </w:p>
    <w:p w14:paraId="745A83E9" w14:textId="77777777" w:rsidR="001F18BD" w:rsidRPr="0047180F" w:rsidRDefault="001F18BD" w:rsidP="001F18BD">
      <w:pPr>
        <w:spacing w:after="0" w:line="360" w:lineRule="auto"/>
        <w:jc w:val="both"/>
        <w:rPr>
          <w:rFonts w:ascii="Times New Roman" w:hAnsi="Times New Roman" w:cs="Times New Roman"/>
          <w:sz w:val="28"/>
          <w:szCs w:val="28"/>
          <w:lang w:val="en-US"/>
        </w:rPr>
      </w:pPr>
    </w:p>
    <w:p w14:paraId="4F83782E" w14:textId="77777777" w:rsidR="001F18BD" w:rsidRPr="00292B9D" w:rsidRDefault="001F18BD" w:rsidP="001F18BD">
      <w:pPr>
        <w:spacing w:after="0" w:line="360" w:lineRule="auto"/>
        <w:jc w:val="both"/>
        <w:rPr>
          <w:rFonts w:ascii="Times New Roman" w:hAnsi="Times New Roman" w:cs="Times New Roman"/>
          <w:sz w:val="28"/>
          <w:szCs w:val="28"/>
        </w:rPr>
      </w:pPr>
    </w:p>
    <w:p w14:paraId="0C05BBC5" w14:textId="77777777" w:rsidR="00666C8C" w:rsidRDefault="00666C8C"/>
    <w:sectPr w:rsidR="00666C8C" w:rsidSect="001B23C5">
      <w:headerReference w:type="even" r:id="rId9"/>
      <w:head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0C6BA" w14:textId="77777777" w:rsidR="00E21DDB" w:rsidRDefault="00E21DDB">
      <w:pPr>
        <w:spacing w:after="0" w:line="240" w:lineRule="auto"/>
      </w:pPr>
      <w:r>
        <w:separator/>
      </w:r>
    </w:p>
  </w:endnote>
  <w:endnote w:type="continuationSeparator" w:id="0">
    <w:p w14:paraId="06EC92E3" w14:textId="77777777" w:rsidR="00E21DDB" w:rsidRDefault="00E21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E5998" w14:textId="77777777" w:rsidR="00E21DDB" w:rsidRDefault="00E21DDB">
      <w:pPr>
        <w:spacing w:after="0" w:line="240" w:lineRule="auto"/>
      </w:pPr>
      <w:r>
        <w:separator/>
      </w:r>
    </w:p>
  </w:footnote>
  <w:footnote w:type="continuationSeparator" w:id="0">
    <w:p w14:paraId="76B1E951" w14:textId="77777777" w:rsidR="00E21DDB" w:rsidRDefault="00E21DDB">
      <w:pPr>
        <w:spacing w:after="0" w:line="240" w:lineRule="auto"/>
      </w:pPr>
      <w:r>
        <w:continuationSeparator/>
      </w:r>
    </w:p>
  </w:footnote>
  <w:footnote w:id="1">
    <w:p w14:paraId="580B1830" w14:textId="64511D8B" w:rsidR="00F0756D" w:rsidRPr="00917ADB" w:rsidRDefault="00F0756D" w:rsidP="00C16C08">
      <w:pPr>
        <w:pStyle w:val="FootnoteText"/>
        <w:jc w:val="both"/>
        <w:rPr>
          <w:rFonts w:ascii="Times New Roman" w:hAnsi="Times New Roman" w:cs="Times New Roman"/>
        </w:rPr>
      </w:pPr>
      <w:r w:rsidRPr="00917ADB">
        <w:rPr>
          <w:rStyle w:val="FootnoteReference"/>
          <w:rFonts w:ascii="Times New Roman" w:hAnsi="Times New Roman" w:cs="Times New Roman"/>
        </w:rPr>
        <w:footnoteRef/>
      </w:r>
      <w:r w:rsidRPr="00917ADB">
        <w:rPr>
          <w:rFonts w:ascii="Times New Roman" w:hAnsi="Times New Roman" w:cs="Times New Roman"/>
        </w:rPr>
        <w:t xml:space="preserve"> The claim was brought against the PRASA Corporate Real Estate Solutions </w:t>
      </w:r>
      <w:r w:rsidR="00C16C08" w:rsidRPr="00917ADB">
        <w:rPr>
          <w:rFonts w:ascii="Times New Roman" w:hAnsi="Times New Roman" w:cs="Times New Roman"/>
        </w:rPr>
        <w:t xml:space="preserve">(PRASA Cres), which was described as a division of PRASA. The case was, however, conducted on the basis that the contractual relationships were with PRASA and that PRASA had consumed the electricity for which payment was sought. The difference in corporate identity was not raised by PRASA Cres as a defence. In the circumstances, nothing turns upon any distinction that there may be between PRASA Cres and PRASA. </w:t>
      </w:r>
    </w:p>
  </w:footnote>
  <w:footnote w:id="2">
    <w:p w14:paraId="0A8948BF" w14:textId="3588ABE7" w:rsidR="00907AE5" w:rsidRPr="00917ADB" w:rsidRDefault="00907AE5" w:rsidP="007834EA">
      <w:pPr>
        <w:pStyle w:val="FootnoteText"/>
        <w:jc w:val="both"/>
        <w:rPr>
          <w:rFonts w:ascii="Times New Roman" w:hAnsi="Times New Roman" w:cs="Times New Roman"/>
          <w:lang w:val="en-GB"/>
        </w:rPr>
      </w:pPr>
      <w:r w:rsidRPr="00917ADB">
        <w:rPr>
          <w:rStyle w:val="FootnoteReference"/>
          <w:rFonts w:ascii="Times New Roman" w:hAnsi="Times New Roman" w:cs="Times New Roman"/>
        </w:rPr>
        <w:footnoteRef/>
      </w:r>
      <w:r w:rsidRPr="00917ADB">
        <w:rPr>
          <w:rFonts w:ascii="Times New Roman" w:hAnsi="Times New Roman" w:cs="Times New Roman"/>
        </w:rPr>
        <w:t xml:space="preserve"> </w:t>
      </w:r>
      <w:r w:rsidR="000F3520" w:rsidRPr="00917ADB">
        <w:rPr>
          <w:rFonts w:ascii="Times New Roman" w:hAnsi="Times New Roman" w:cs="Times New Roman"/>
        </w:rPr>
        <w:t xml:space="preserve">The agreement included a third party, namely Azarin Properties 9 (Pty) Ltd (Azarin), a wholly owned subsidiary of Crowie Projects. </w:t>
      </w:r>
      <w:r w:rsidRPr="00917ADB">
        <w:rPr>
          <w:rFonts w:ascii="Times New Roman" w:hAnsi="Times New Roman" w:cs="Times New Roman"/>
          <w:lang w:val="en-GB"/>
        </w:rPr>
        <w:t xml:space="preserve">Azarin’s participation in the agreement related to </w:t>
      </w:r>
      <w:r w:rsidR="004C0B8C" w:rsidRPr="00917ADB">
        <w:rPr>
          <w:rFonts w:ascii="Times New Roman" w:hAnsi="Times New Roman" w:cs="Times New Roman"/>
          <w:lang w:val="en-GB"/>
        </w:rPr>
        <w:t>the potential acquisition of a minority share in the shopping centre business</w:t>
      </w:r>
      <w:r w:rsidR="006E3D8A" w:rsidRPr="00917ADB">
        <w:rPr>
          <w:rFonts w:ascii="Times New Roman" w:hAnsi="Times New Roman" w:cs="Times New Roman"/>
          <w:lang w:val="en-GB"/>
        </w:rPr>
        <w:t>,</w:t>
      </w:r>
      <w:r w:rsidR="004C0B8C" w:rsidRPr="00917ADB">
        <w:rPr>
          <w:rFonts w:ascii="Times New Roman" w:hAnsi="Times New Roman" w:cs="Times New Roman"/>
          <w:lang w:val="en-GB"/>
        </w:rPr>
        <w:t xml:space="preserve"> </w:t>
      </w:r>
      <w:r w:rsidRPr="00917ADB">
        <w:rPr>
          <w:rFonts w:ascii="Times New Roman" w:hAnsi="Times New Roman" w:cs="Times New Roman"/>
          <w:lang w:val="en-GB"/>
        </w:rPr>
        <w:t>CPC agreed to sell 20% of the shopping centre business to Azarin</w:t>
      </w:r>
      <w:r w:rsidR="004C0B8C" w:rsidRPr="00917ADB">
        <w:rPr>
          <w:rFonts w:ascii="Times New Roman" w:hAnsi="Times New Roman" w:cs="Times New Roman"/>
          <w:lang w:val="en-GB"/>
        </w:rPr>
        <w:t xml:space="preserve">, which sale would take effect </w:t>
      </w:r>
      <w:r w:rsidR="0062336F" w:rsidRPr="00917ADB">
        <w:rPr>
          <w:rFonts w:ascii="Times New Roman" w:hAnsi="Times New Roman" w:cs="Times New Roman"/>
          <w:lang w:val="en-GB"/>
        </w:rPr>
        <w:t>on the date of transfer of the sections. The s</w:t>
      </w:r>
      <w:r w:rsidR="00664831" w:rsidRPr="00917ADB">
        <w:rPr>
          <w:rFonts w:ascii="Times New Roman" w:hAnsi="Times New Roman" w:cs="Times New Roman"/>
          <w:lang w:val="en-GB"/>
        </w:rPr>
        <w:t xml:space="preserve">ale </w:t>
      </w:r>
      <w:r w:rsidR="0062336F" w:rsidRPr="00917ADB">
        <w:rPr>
          <w:rFonts w:ascii="Times New Roman" w:hAnsi="Times New Roman" w:cs="Times New Roman"/>
          <w:lang w:val="en-GB"/>
        </w:rPr>
        <w:t xml:space="preserve">of 20% of the business to Azarin was subject to a suspensive condition requiring the provision of an irrevocable bank guarantee 30 days before the date of transfer. </w:t>
      </w:r>
      <w:r w:rsidR="00664831" w:rsidRPr="00917ADB">
        <w:rPr>
          <w:rFonts w:ascii="Times New Roman" w:hAnsi="Times New Roman" w:cs="Times New Roman"/>
          <w:lang w:val="en-GB"/>
        </w:rPr>
        <w:t>I</w:t>
      </w:r>
      <w:r w:rsidR="0062336F" w:rsidRPr="00917ADB">
        <w:rPr>
          <w:rFonts w:ascii="Times New Roman" w:hAnsi="Times New Roman" w:cs="Times New Roman"/>
          <w:lang w:val="en-GB"/>
        </w:rPr>
        <w:t>n the event of a failure to deliver the guarantee</w:t>
      </w:r>
      <w:r w:rsidR="00664831" w:rsidRPr="00917ADB">
        <w:rPr>
          <w:rFonts w:ascii="Times New Roman" w:hAnsi="Times New Roman" w:cs="Times New Roman"/>
          <w:lang w:val="en-GB"/>
        </w:rPr>
        <w:t>,</w:t>
      </w:r>
      <w:r w:rsidR="0062336F" w:rsidRPr="00917ADB">
        <w:rPr>
          <w:rFonts w:ascii="Times New Roman" w:hAnsi="Times New Roman" w:cs="Times New Roman"/>
          <w:lang w:val="en-GB"/>
        </w:rPr>
        <w:t xml:space="preserve"> the sale of the share would lapse and the purchase price for the shopping centre business would reduce by R20 million. </w:t>
      </w:r>
      <w:r w:rsidR="006E3D8A" w:rsidRPr="00917ADB">
        <w:rPr>
          <w:rFonts w:ascii="Times New Roman" w:hAnsi="Times New Roman" w:cs="Times New Roman"/>
          <w:lang w:val="en-GB"/>
        </w:rPr>
        <w:t xml:space="preserve">It appears from the deed of transfer that the purchase price was in fact reduced. Azarin therefore did not acquire a share of the business. </w:t>
      </w:r>
    </w:p>
  </w:footnote>
  <w:footnote w:id="3">
    <w:p w14:paraId="4D04601B" w14:textId="398FC502" w:rsidR="006E3D8A" w:rsidRPr="00917ADB" w:rsidRDefault="006E3D8A" w:rsidP="006E3D8A">
      <w:pPr>
        <w:pStyle w:val="FootnoteText"/>
        <w:jc w:val="both"/>
        <w:rPr>
          <w:rFonts w:ascii="Times New Roman" w:hAnsi="Times New Roman" w:cs="Times New Roman"/>
          <w:lang w:val="en-GB"/>
        </w:rPr>
      </w:pPr>
      <w:r w:rsidRPr="00917ADB">
        <w:rPr>
          <w:rStyle w:val="FootnoteReference"/>
          <w:rFonts w:ascii="Times New Roman" w:hAnsi="Times New Roman" w:cs="Times New Roman"/>
        </w:rPr>
        <w:footnoteRef/>
      </w:r>
      <w:r w:rsidRPr="00917ADB">
        <w:rPr>
          <w:rFonts w:ascii="Times New Roman" w:hAnsi="Times New Roman" w:cs="Times New Roman"/>
        </w:rPr>
        <w:t xml:space="preserve"> Whereas the </w:t>
      </w:r>
      <w:r w:rsidR="00917ADB" w:rsidRPr="00917ADB">
        <w:rPr>
          <w:rFonts w:ascii="Times New Roman" w:hAnsi="Times New Roman" w:cs="Times New Roman"/>
        </w:rPr>
        <w:t>Co-ordination</w:t>
      </w:r>
      <w:r w:rsidRPr="00917ADB">
        <w:rPr>
          <w:rFonts w:ascii="Times New Roman" w:hAnsi="Times New Roman" w:cs="Times New Roman"/>
        </w:rPr>
        <w:t xml:space="preserve"> Agreement referred to the envisaged sectional title scheme as the Bridge City scheme, the scheme was in fact registered as The Terminus.  The deed of transfer indicates that the purchase price was R718 million, indicating that the purchase of a share of the business by Azarin did not proceed.</w:t>
      </w:r>
    </w:p>
  </w:footnote>
  <w:footnote w:id="4">
    <w:p w14:paraId="167D20D2" w14:textId="4C877034" w:rsidR="003819BB" w:rsidRPr="00917ADB" w:rsidRDefault="003819BB" w:rsidP="007834EA">
      <w:pPr>
        <w:pStyle w:val="FootnoteText"/>
        <w:jc w:val="both"/>
        <w:rPr>
          <w:rFonts w:ascii="Times New Roman" w:hAnsi="Times New Roman" w:cs="Times New Roman"/>
        </w:rPr>
      </w:pPr>
      <w:r w:rsidRPr="00917ADB">
        <w:rPr>
          <w:rStyle w:val="FootnoteReference"/>
          <w:rFonts w:ascii="Times New Roman" w:hAnsi="Times New Roman" w:cs="Times New Roman"/>
        </w:rPr>
        <w:footnoteRef/>
      </w:r>
      <w:r w:rsidRPr="00917ADB">
        <w:rPr>
          <w:rFonts w:ascii="Times New Roman" w:hAnsi="Times New Roman" w:cs="Times New Roman"/>
        </w:rPr>
        <w:t xml:space="preserve"> One other defence pleaded </w:t>
      </w:r>
      <w:r w:rsidRPr="00917ADB">
        <w:rPr>
          <w:rFonts w:ascii="Times New Roman" w:hAnsi="Times New Roman" w:cs="Times New Roman"/>
          <w:i/>
          <w:iCs/>
        </w:rPr>
        <w:t>in limine</w:t>
      </w:r>
      <w:r w:rsidRPr="00917ADB">
        <w:rPr>
          <w:rFonts w:ascii="Times New Roman" w:hAnsi="Times New Roman" w:cs="Times New Roman"/>
        </w:rPr>
        <w:t xml:space="preserve"> was based upon an obvious error in the founding a</w:t>
      </w:r>
      <w:r w:rsidR="00A05226" w:rsidRPr="00917ADB">
        <w:rPr>
          <w:rFonts w:ascii="Times New Roman" w:hAnsi="Times New Roman" w:cs="Times New Roman"/>
        </w:rPr>
        <w:t>ffid</w:t>
      </w:r>
      <w:r w:rsidRPr="00917ADB">
        <w:rPr>
          <w:rFonts w:ascii="Times New Roman" w:hAnsi="Times New Roman" w:cs="Times New Roman"/>
        </w:rPr>
        <w:t>a</w:t>
      </w:r>
      <w:r w:rsidR="00A05226" w:rsidRPr="00917ADB">
        <w:rPr>
          <w:rFonts w:ascii="Times New Roman" w:hAnsi="Times New Roman" w:cs="Times New Roman"/>
        </w:rPr>
        <w:t>v</w:t>
      </w:r>
      <w:r w:rsidRPr="00917ADB">
        <w:rPr>
          <w:rFonts w:ascii="Times New Roman" w:hAnsi="Times New Roman" w:cs="Times New Roman"/>
        </w:rPr>
        <w:t xml:space="preserve">it. CPC had stated </w:t>
      </w:r>
      <w:r w:rsidR="00A05226" w:rsidRPr="00917ADB">
        <w:rPr>
          <w:rFonts w:ascii="Times New Roman" w:hAnsi="Times New Roman" w:cs="Times New Roman"/>
        </w:rPr>
        <w:t>that</w:t>
      </w:r>
      <w:r w:rsidRPr="00917ADB">
        <w:rPr>
          <w:rFonts w:ascii="Times New Roman" w:hAnsi="Times New Roman" w:cs="Times New Roman"/>
        </w:rPr>
        <w:t xml:space="preserve"> the SOB was concluded on 12 September 2018, whereas it was plainly concluded</w:t>
      </w:r>
      <w:r w:rsidR="00A05226" w:rsidRPr="00917ADB">
        <w:rPr>
          <w:rFonts w:ascii="Times New Roman" w:hAnsi="Times New Roman" w:cs="Times New Roman"/>
        </w:rPr>
        <w:t xml:space="preserve"> on 12 September 2008. PRASA nevertheless framed a challenge to CPC’s </w:t>
      </w:r>
      <w:r w:rsidR="00A05226" w:rsidRPr="00917ADB">
        <w:rPr>
          <w:rFonts w:ascii="Times New Roman" w:hAnsi="Times New Roman" w:cs="Times New Roman"/>
          <w:i/>
          <w:iCs/>
        </w:rPr>
        <w:t>locus standi</w:t>
      </w:r>
      <w:r w:rsidR="00A05226" w:rsidRPr="00917ADB">
        <w:rPr>
          <w:rFonts w:ascii="Times New Roman" w:hAnsi="Times New Roman" w:cs="Times New Roman"/>
        </w:rPr>
        <w:t xml:space="preserve"> to institute a claim which had arisen prior to 2018. </w:t>
      </w:r>
      <w:r w:rsidR="0035789D" w:rsidRPr="00917ADB">
        <w:rPr>
          <w:rFonts w:ascii="Times New Roman" w:hAnsi="Times New Roman" w:cs="Times New Roman"/>
        </w:rPr>
        <w:t>It was not pursued before t</w:t>
      </w:r>
      <w:r w:rsidR="00A05226" w:rsidRPr="00917ADB">
        <w:rPr>
          <w:rFonts w:ascii="Times New Roman" w:hAnsi="Times New Roman" w:cs="Times New Roman"/>
        </w:rPr>
        <w:t>he high court</w:t>
      </w:r>
      <w:r w:rsidR="0035789D" w:rsidRPr="00917ADB">
        <w:rPr>
          <w:rFonts w:ascii="Times New Roman" w:hAnsi="Times New Roman" w:cs="Times New Roman"/>
        </w:rPr>
        <w:t>.</w:t>
      </w:r>
    </w:p>
  </w:footnote>
  <w:footnote w:id="5">
    <w:p w14:paraId="7D8FC64D" w14:textId="5BA7076C" w:rsidR="00795E1B" w:rsidRPr="00917ADB" w:rsidRDefault="00795E1B" w:rsidP="007834EA">
      <w:pPr>
        <w:pStyle w:val="FootnoteText"/>
        <w:jc w:val="both"/>
        <w:rPr>
          <w:rFonts w:ascii="Times New Roman" w:hAnsi="Times New Roman" w:cs="Times New Roman"/>
        </w:rPr>
      </w:pPr>
      <w:r w:rsidRPr="00917ADB">
        <w:rPr>
          <w:rStyle w:val="FootnoteReference"/>
          <w:rFonts w:ascii="Times New Roman" w:hAnsi="Times New Roman" w:cs="Times New Roman"/>
        </w:rPr>
        <w:footnoteRef/>
      </w:r>
      <w:r w:rsidR="00730131" w:rsidRPr="00917ADB">
        <w:rPr>
          <w:rFonts w:ascii="Times New Roman" w:hAnsi="Times New Roman" w:cs="Times New Roman"/>
        </w:rPr>
        <w:t xml:space="preserve"> </w:t>
      </w:r>
      <w:r w:rsidRPr="00917ADB">
        <w:rPr>
          <w:rFonts w:ascii="Times New Roman" w:hAnsi="Times New Roman" w:cs="Times New Roman"/>
        </w:rPr>
        <w:t xml:space="preserve">Clause 25.13 of the SOB specified the matters to be dealt with in the envisaged tripartite agreement/s. These included an agreement on the operational aspects that affect or impact both the shopping centre and the railway station, and agreement on the financial aspects that affect both, including possible </w:t>
      </w:r>
      <w:r w:rsidRPr="00917ADB">
        <w:rPr>
          <w:rFonts w:ascii="Times New Roman" w:hAnsi="Times New Roman" w:cs="Times New Roman"/>
          <w:i/>
          <w:iCs/>
        </w:rPr>
        <w:t>pro rata</w:t>
      </w:r>
      <w:r w:rsidRPr="00917ADB">
        <w:rPr>
          <w:rFonts w:ascii="Times New Roman" w:hAnsi="Times New Roman" w:cs="Times New Roman"/>
        </w:rPr>
        <w:t xml:space="preserve"> cost sharing.  </w:t>
      </w:r>
    </w:p>
  </w:footnote>
  <w:footnote w:id="6">
    <w:p w14:paraId="33223633" w14:textId="190F4F5F" w:rsidR="001673C6" w:rsidRPr="00917ADB" w:rsidRDefault="001673C6" w:rsidP="007834EA">
      <w:pPr>
        <w:pStyle w:val="FootnoteText"/>
        <w:jc w:val="both"/>
        <w:rPr>
          <w:rFonts w:ascii="Times New Roman" w:hAnsi="Times New Roman" w:cs="Times New Roman"/>
        </w:rPr>
      </w:pPr>
      <w:r w:rsidRPr="00917ADB">
        <w:rPr>
          <w:rStyle w:val="FootnoteReference"/>
          <w:rFonts w:ascii="Times New Roman" w:hAnsi="Times New Roman" w:cs="Times New Roman"/>
        </w:rPr>
        <w:footnoteRef/>
      </w:r>
      <w:r w:rsidRPr="00917ADB">
        <w:rPr>
          <w:rFonts w:ascii="Times New Roman" w:hAnsi="Times New Roman" w:cs="Times New Roman"/>
        </w:rPr>
        <w:t xml:space="preserve"> The reference to clause 25.13 appears in context to be an error</w:t>
      </w:r>
      <w:r w:rsidR="00031F85" w:rsidRPr="00917ADB">
        <w:rPr>
          <w:rFonts w:ascii="Times New Roman" w:hAnsi="Times New Roman" w:cs="Times New Roman"/>
        </w:rPr>
        <w:t xml:space="preserve"> and may have been intended to be a reference to clause 25.15.</w:t>
      </w:r>
    </w:p>
  </w:footnote>
  <w:footnote w:id="7">
    <w:p w14:paraId="6D1F933A" w14:textId="53A55D8F" w:rsidR="007547DF" w:rsidRPr="00917ADB" w:rsidRDefault="007547DF" w:rsidP="007834EA">
      <w:pPr>
        <w:pStyle w:val="FootnoteText"/>
        <w:jc w:val="both"/>
        <w:rPr>
          <w:rFonts w:ascii="Times New Roman" w:hAnsi="Times New Roman" w:cs="Times New Roman"/>
        </w:rPr>
      </w:pPr>
      <w:r w:rsidRPr="00917ADB">
        <w:rPr>
          <w:rStyle w:val="FootnoteReference"/>
          <w:rFonts w:ascii="Times New Roman" w:hAnsi="Times New Roman" w:cs="Times New Roman"/>
        </w:rPr>
        <w:footnoteRef/>
      </w:r>
      <w:r w:rsidRPr="00917ADB">
        <w:rPr>
          <w:rFonts w:ascii="Times New Roman" w:hAnsi="Times New Roman" w:cs="Times New Roman"/>
        </w:rPr>
        <w:t xml:space="preserve"> See </w:t>
      </w:r>
      <w:r w:rsidRPr="00917ADB">
        <w:rPr>
          <w:rFonts w:ascii="Times New Roman" w:hAnsi="Times New Roman" w:cs="Times New Roman"/>
          <w:i/>
          <w:iCs/>
        </w:rPr>
        <w:t>Yarram Trading CC t/a Tijuana Spur v Absa Bank Limited</w:t>
      </w:r>
      <w:r w:rsidRPr="00917ADB">
        <w:rPr>
          <w:rFonts w:ascii="Times New Roman" w:hAnsi="Times New Roman" w:cs="Times New Roman"/>
        </w:rPr>
        <w:t xml:space="preserve"> </w:t>
      </w:r>
      <w:r w:rsidR="004C552C" w:rsidRPr="00917ADB">
        <w:rPr>
          <w:rFonts w:ascii="Times New Roman" w:hAnsi="Times New Roman" w:cs="Times New Roman"/>
        </w:rPr>
        <w:t xml:space="preserve">[2006] ZASCA 132; </w:t>
      </w:r>
      <w:r w:rsidRPr="00917ADB">
        <w:rPr>
          <w:rFonts w:ascii="Times New Roman" w:hAnsi="Times New Roman" w:cs="Times New Roman"/>
        </w:rPr>
        <w:t>2007 (2) SA</w:t>
      </w:r>
      <w:r w:rsidR="00427351" w:rsidRPr="00917ADB">
        <w:rPr>
          <w:rFonts w:ascii="Times New Roman" w:hAnsi="Times New Roman" w:cs="Times New Roman"/>
        </w:rPr>
        <w:t xml:space="preserve"> 570 (SCA) para 24.</w:t>
      </w:r>
    </w:p>
  </w:footnote>
  <w:footnote w:id="8">
    <w:p w14:paraId="4CFDB9CE" w14:textId="3FF4BB1D" w:rsidR="001F5207" w:rsidRPr="00917ADB" w:rsidRDefault="001F5207" w:rsidP="007834EA">
      <w:pPr>
        <w:pStyle w:val="FootnoteText"/>
        <w:jc w:val="both"/>
        <w:rPr>
          <w:rFonts w:ascii="Times New Roman" w:hAnsi="Times New Roman" w:cs="Times New Roman"/>
        </w:rPr>
      </w:pPr>
      <w:r w:rsidRPr="00917ADB">
        <w:rPr>
          <w:rStyle w:val="FootnoteReference"/>
          <w:rFonts w:ascii="Times New Roman" w:hAnsi="Times New Roman" w:cs="Times New Roman"/>
        </w:rPr>
        <w:footnoteRef/>
      </w:r>
      <w:r w:rsidRPr="00917ADB">
        <w:rPr>
          <w:rFonts w:ascii="Times New Roman" w:hAnsi="Times New Roman" w:cs="Times New Roman"/>
        </w:rPr>
        <w:t xml:space="preserve"> See </w:t>
      </w:r>
      <w:r w:rsidRPr="00917ADB">
        <w:rPr>
          <w:rFonts w:ascii="Times New Roman" w:hAnsi="Times New Roman" w:cs="Times New Roman"/>
          <w:i/>
          <w:iCs/>
        </w:rPr>
        <w:t>Lief NO v Dettman</w:t>
      </w:r>
      <w:r w:rsidRPr="00917ADB">
        <w:rPr>
          <w:rFonts w:ascii="Times New Roman" w:hAnsi="Times New Roman" w:cs="Times New Roman"/>
        </w:rPr>
        <w:t xml:space="preserve"> 1964 (2) SA 252 (A) at 275D-E where Wessels JA said:</w:t>
      </w:r>
    </w:p>
    <w:p w14:paraId="6969411F" w14:textId="28AFDDC7" w:rsidR="001F5207" w:rsidRPr="00917ADB" w:rsidRDefault="001F5207" w:rsidP="007834EA">
      <w:pPr>
        <w:pStyle w:val="FootnoteText"/>
        <w:jc w:val="both"/>
        <w:rPr>
          <w:rFonts w:ascii="Times New Roman" w:hAnsi="Times New Roman" w:cs="Times New Roman"/>
        </w:rPr>
      </w:pPr>
      <w:r w:rsidRPr="00917ADB">
        <w:rPr>
          <w:rFonts w:ascii="Times New Roman" w:hAnsi="Times New Roman" w:cs="Times New Roman"/>
        </w:rPr>
        <w:t>‘In my opinion, however, it is not sufficient to show</w:t>
      </w:r>
      <w:r w:rsidR="00DF2D05" w:rsidRPr="00917ADB">
        <w:rPr>
          <w:rFonts w:ascii="Times New Roman" w:hAnsi="Times New Roman" w:cs="Times New Roman"/>
        </w:rPr>
        <w:t xml:space="preserve"> that the parties contemplated a cession; it must be shown that they effected a cession. It must appear that the parties took legally effective steps, </w:t>
      </w:r>
      <w:r w:rsidR="00DF2D05" w:rsidRPr="00917ADB">
        <w:rPr>
          <w:rFonts w:ascii="Times New Roman" w:hAnsi="Times New Roman" w:cs="Times New Roman"/>
          <w:i/>
          <w:iCs/>
        </w:rPr>
        <w:t>where such are required</w:t>
      </w:r>
      <w:r w:rsidR="00DF2D05" w:rsidRPr="00917ADB">
        <w:rPr>
          <w:rFonts w:ascii="Times New Roman" w:hAnsi="Times New Roman" w:cs="Times New Roman"/>
        </w:rPr>
        <w:t>, to transfer the subject matter of the cession from the cedent to the cessionary, so that the former is divested of his rights, which thereafter vest exclusively in the cessionary.’ (Emphasis added).</w:t>
      </w:r>
    </w:p>
  </w:footnote>
  <w:footnote w:id="9">
    <w:p w14:paraId="08FE93B0" w14:textId="66DA3F84" w:rsidR="00036B06" w:rsidRPr="00917ADB" w:rsidRDefault="00036B06" w:rsidP="007834EA">
      <w:pPr>
        <w:pStyle w:val="FootnoteText"/>
        <w:jc w:val="both"/>
        <w:rPr>
          <w:rFonts w:ascii="Times New Roman" w:hAnsi="Times New Roman" w:cs="Times New Roman"/>
        </w:rPr>
      </w:pPr>
      <w:r w:rsidRPr="00917ADB">
        <w:rPr>
          <w:rStyle w:val="FootnoteReference"/>
          <w:rFonts w:ascii="Times New Roman" w:hAnsi="Times New Roman" w:cs="Times New Roman"/>
        </w:rPr>
        <w:footnoteRef/>
      </w:r>
      <w:r w:rsidRPr="00917ADB">
        <w:rPr>
          <w:rFonts w:ascii="Times New Roman" w:hAnsi="Times New Roman" w:cs="Times New Roman"/>
        </w:rPr>
        <w:t xml:space="preserve"> </w:t>
      </w:r>
      <w:r w:rsidRPr="00917ADB">
        <w:rPr>
          <w:rFonts w:ascii="Times New Roman" w:hAnsi="Times New Roman" w:cs="Times New Roman"/>
          <w:i/>
          <w:iCs/>
        </w:rPr>
        <w:t>McCarthy Retail Ltd v Shortdistance Carriers CC</w:t>
      </w:r>
      <w:r w:rsidRPr="00917ADB">
        <w:rPr>
          <w:rFonts w:ascii="Times New Roman" w:hAnsi="Times New Roman" w:cs="Times New Roman"/>
        </w:rPr>
        <w:t xml:space="preserve"> 2001 (3) SA 482 (SCA).</w:t>
      </w:r>
    </w:p>
  </w:footnote>
  <w:footnote w:id="10">
    <w:p w14:paraId="725E61AB" w14:textId="7EE01308" w:rsidR="00036B06" w:rsidRPr="00917ADB" w:rsidRDefault="00036B06" w:rsidP="007834EA">
      <w:pPr>
        <w:pStyle w:val="FootnoteText"/>
        <w:jc w:val="both"/>
        <w:rPr>
          <w:rFonts w:ascii="Times New Roman" w:hAnsi="Times New Roman" w:cs="Times New Roman"/>
        </w:rPr>
      </w:pPr>
      <w:r w:rsidRPr="00917ADB">
        <w:rPr>
          <w:rStyle w:val="FootnoteReference"/>
          <w:rFonts w:ascii="Times New Roman" w:hAnsi="Times New Roman" w:cs="Times New Roman"/>
        </w:rPr>
        <w:footnoteRef/>
      </w:r>
      <w:r w:rsidRPr="00917ADB">
        <w:rPr>
          <w:rFonts w:ascii="Times New Roman" w:hAnsi="Times New Roman" w:cs="Times New Roman"/>
        </w:rPr>
        <w:t xml:space="preserve"> </w:t>
      </w:r>
      <w:r w:rsidRPr="00917ADB">
        <w:rPr>
          <w:rFonts w:ascii="Times New Roman" w:hAnsi="Times New Roman" w:cs="Times New Roman"/>
          <w:i/>
          <w:iCs/>
        </w:rPr>
        <w:t>First National Bank of Southern Africa Ltd v Perry NO and Others</w:t>
      </w:r>
      <w:r w:rsidRPr="00917ADB">
        <w:rPr>
          <w:rFonts w:ascii="Times New Roman" w:hAnsi="Times New Roman" w:cs="Times New Roman"/>
        </w:rPr>
        <w:t xml:space="preserve"> </w:t>
      </w:r>
      <w:r w:rsidR="00E274F4" w:rsidRPr="00917ADB">
        <w:rPr>
          <w:rFonts w:ascii="Times New Roman" w:hAnsi="Times New Roman" w:cs="Times New Roman"/>
        </w:rPr>
        <w:t>2001 (3) SA 960 (SCA).</w:t>
      </w:r>
    </w:p>
  </w:footnote>
  <w:footnote w:id="11">
    <w:p w14:paraId="3488E1CF" w14:textId="2916BD5F" w:rsidR="00696C0E" w:rsidRPr="00917ADB" w:rsidRDefault="00696C0E" w:rsidP="007834EA">
      <w:pPr>
        <w:pStyle w:val="FootnoteText"/>
        <w:jc w:val="both"/>
        <w:rPr>
          <w:rFonts w:ascii="Times New Roman" w:hAnsi="Times New Roman" w:cs="Times New Roman"/>
        </w:rPr>
      </w:pPr>
      <w:r w:rsidRPr="00917ADB">
        <w:rPr>
          <w:rStyle w:val="FootnoteReference"/>
          <w:rFonts w:ascii="Times New Roman" w:hAnsi="Times New Roman" w:cs="Times New Roman"/>
        </w:rPr>
        <w:footnoteRef/>
      </w:r>
      <w:r w:rsidRPr="00917ADB">
        <w:rPr>
          <w:rFonts w:ascii="Times New Roman" w:hAnsi="Times New Roman" w:cs="Times New Roman"/>
        </w:rPr>
        <w:t xml:space="preserve"> </w:t>
      </w:r>
      <w:r w:rsidRPr="00917ADB">
        <w:rPr>
          <w:rFonts w:ascii="Times New Roman" w:hAnsi="Times New Roman" w:cs="Times New Roman"/>
          <w:i/>
          <w:iCs/>
        </w:rPr>
        <w:t>McCarthy</w:t>
      </w:r>
      <w:r w:rsidRPr="00917ADB">
        <w:rPr>
          <w:rFonts w:ascii="Times New Roman" w:hAnsi="Times New Roman" w:cs="Times New Roman"/>
        </w:rPr>
        <w:t xml:space="preserve"> para 10.</w:t>
      </w:r>
    </w:p>
  </w:footnote>
  <w:footnote w:id="12">
    <w:p w14:paraId="5E350965" w14:textId="07E2D3B5" w:rsidR="00AF1D9F" w:rsidRPr="00917ADB" w:rsidRDefault="00AF1D9F" w:rsidP="007834EA">
      <w:pPr>
        <w:pStyle w:val="FootnoteText"/>
        <w:jc w:val="both"/>
        <w:rPr>
          <w:rFonts w:ascii="Times New Roman" w:hAnsi="Times New Roman" w:cs="Times New Roman"/>
        </w:rPr>
      </w:pPr>
      <w:r w:rsidRPr="00917ADB">
        <w:rPr>
          <w:rStyle w:val="FootnoteReference"/>
          <w:rFonts w:ascii="Times New Roman" w:hAnsi="Times New Roman" w:cs="Times New Roman"/>
        </w:rPr>
        <w:footnoteRef/>
      </w:r>
      <w:r w:rsidRPr="00917ADB">
        <w:rPr>
          <w:rFonts w:ascii="Times New Roman" w:hAnsi="Times New Roman" w:cs="Times New Roman"/>
        </w:rPr>
        <w:t xml:space="preserve"> </w:t>
      </w:r>
      <w:r w:rsidRPr="00917ADB">
        <w:rPr>
          <w:rFonts w:ascii="Times New Roman" w:hAnsi="Times New Roman" w:cs="Times New Roman"/>
          <w:i/>
          <w:iCs/>
        </w:rPr>
        <w:t>Perry</w:t>
      </w:r>
      <w:r w:rsidRPr="00917ADB">
        <w:rPr>
          <w:rFonts w:ascii="Times New Roman" w:hAnsi="Times New Roman" w:cs="Times New Roman"/>
        </w:rPr>
        <w:t xml:space="preserve"> para 23.</w:t>
      </w:r>
    </w:p>
  </w:footnote>
  <w:footnote w:id="13">
    <w:p w14:paraId="2D78FB55" w14:textId="2E7E98CB" w:rsidR="00B866D0" w:rsidRPr="00917ADB" w:rsidRDefault="00B866D0" w:rsidP="007834EA">
      <w:pPr>
        <w:pStyle w:val="FootnoteText"/>
        <w:jc w:val="both"/>
        <w:rPr>
          <w:rFonts w:ascii="Times New Roman" w:hAnsi="Times New Roman" w:cs="Times New Roman"/>
        </w:rPr>
      </w:pPr>
      <w:r w:rsidRPr="00917ADB">
        <w:rPr>
          <w:rStyle w:val="FootnoteReference"/>
          <w:rFonts w:ascii="Times New Roman" w:hAnsi="Times New Roman" w:cs="Times New Roman"/>
        </w:rPr>
        <w:footnoteRef/>
      </w:r>
      <w:r w:rsidRPr="00917ADB">
        <w:rPr>
          <w:rFonts w:ascii="Times New Roman" w:hAnsi="Times New Roman" w:cs="Times New Roman"/>
        </w:rPr>
        <w:t xml:space="preserve"> </w:t>
      </w:r>
      <w:r w:rsidR="004C552C" w:rsidRPr="00917ADB">
        <w:rPr>
          <w:rFonts w:ascii="Times New Roman" w:hAnsi="Times New Roman" w:cs="Times New Roman"/>
        </w:rPr>
        <w:t xml:space="preserve">Ibid </w:t>
      </w:r>
      <w:r w:rsidR="008C2B50" w:rsidRPr="00917ADB">
        <w:rPr>
          <w:rFonts w:ascii="Times New Roman" w:hAnsi="Times New Roman" w:cs="Times New Roman"/>
        </w:rPr>
        <w:t>para 28.</w:t>
      </w:r>
    </w:p>
  </w:footnote>
  <w:footnote w:id="14">
    <w:p w14:paraId="0B874DC5" w14:textId="53002BC0" w:rsidR="008C2B50" w:rsidRPr="00917ADB" w:rsidRDefault="008C2B50" w:rsidP="007834EA">
      <w:pPr>
        <w:pStyle w:val="FootnoteText"/>
        <w:jc w:val="both"/>
        <w:rPr>
          <w:rFonts w:ascii="Times New Roman" w:hAnsi="Times New Roman" w:cs="Times New Roman"/>
        </w:rPr>
      </w:pPr>
      <w:r w:rsidRPr="00917ADB">
        <w:rPr>
          <w:rStyle w:val="FootnoteReference"/>
          <w:rFonts w:ascii="Times New Roman" w:hAnsi="Times New Roman" w:cs="Times New Roman"/>
        </w:rPr>
        <w:footnoteRef/>
      </w:r>
      <w:r w:rsidRPr="00917ADB">
        <w:rPr>
          <w:rFonts w:ascii="Times New Roman" w:hAnsi="Times New Roman" w:cs="Times New Roman"/>
        </w:rPr>
        <w:t xml:space="preserve"> </w:t>
      </w:r>
      <w:r w:rsidR="004C552C" w:rsidRPr="00917ADB">
        <w:rPr>
          <w:rFonts w:ascii="Times New Roman" w:hAnsi="Times New Roman" w:cs="Times New Roman"/>
        </w:rPr>
        <w:t>Ibid</w:t>
      </w:r>
      <w:r w:rsidRPr="00917ADB">
        <w:rPr>
          <w:rFonts w:ascii="Times New Roman" w:hAnsi="Times New Roman" w:cs="Times New Roman"/>
          <w:i/>
          <w:iCs/>
        </w:rPr>
        <w:t xml:space="preserve"> </w:t>
      </w:r>
      <w:r w:rsidRPr="00917ADB">
        <w:rPr>
          <w:rFonts w:ascii="Times New Roman" w:hAnsi="Times New Roman" w:cs="Times New Roman"/>
        </w:rPr>
        <w:t>paras 6 and 30.</w:t>
      </w:r>
    </w:p>
  </w:footnote>
  <w:footnote w:id="15">
    <w:p w14:paraId="68B53ED9" w14:textId="2E839866" w:rsidR="008C726A" w:rsidRPr="00917ADB" w:rsidRDefault="008C726A" w:rsidP="00F56202">
      <w:pPr>
        <w:pStyle w:val="FootnoteText"/>
        <w:jc w:val="both"/>
        <w:rPr>
          <w:rFonts w:ascii="Times New Roman" w:hAnsi="Times New Roman" w:cs="Times New Roman"/>
        </w:rPr>
      </w:pPr>
      <w:r w:rsidRPr="00917ADB">
        <w:rPr>
          <w:rStyle w:val="FootnoteReference"/>
          <w:rFonts w:ascii="Times New Roman" w:hAnsi="Times New Roman" w:cs="Times New Roman"/>
        </w:rPr>
        <w:footnoteRef/>
      </w:r>
      <w:r w:rsidRPr="00917ADB">
        <w:rPr>
          <w:rFonts w:ascii="Times New Roman" w:hAnsi="Times New Roman" w:cs="Times New Roman"/>
        </w:rPr>
        <w:t xml:space="preserve"> See </w:t>
      </w:r>
      <w:r w:rsidRPr="00917ADB">
        <w:rPr>
          <w:rFonts w:ascii="Times New Roman" w:hAnsi="Times New Roman" w:cs="Times New Roman"/>
          <w:i/>
          <w:iCs/>
        </w:rPr>
        <w:t>Afrisure CC and Another v Watson NO and Another</w:t>
      </w:r>
      <w:r w:rsidRPr="00917ADB">
        <w:rPr>
          <w:rFonts w:ascii="Times New Roman" w:hAnsi="Times New Roman" w:cs="Times New Roman"/>
        </w:rPr>
        <w:t xml:space="preserve"> </w:t>
      </w:r>
      <w:r w:rsidR="004C552C" w:rsidRPr="00917ADB">
        <w:rPr>
          <w:rFonts w:ascii="Times New Roman" w:hAnsi="Times New Roman" w:cs="Times New Roman"/>
        </w:rPr>
        <w:t xml:space="preserve">[2008] ZASCA 89; </w:t>
      </w:r>
      <w:r w:rsidRPr="00917ADB">
        <w:rPr>
          <w:rFonts w:ascii="Times New Roman" w:hAnsi="Times New Roman" w:cs="Times New Roman"/>
        </w:rPr>
        <w:t xml:space="preserve">2009 (2) SA 127 (SCA) para 4; </w:t>
      </w:r>
      <w:r w:rsidRPr="00917ADB">
        <w:rPr>
          <w:rFonts w:ascii="Times New Roman" w:hAnsi="Times New Roman" w:cs="Times New Roman"/>
          <w:i/>
          <w:iCs/>
        </w:rPr>
        <w:t xml:space="preserve">Capricorn Beach Home Owners Association v Potgieter t/a Nilands and Another </w:t>
      </w:r>
      <w:r w:rsidRPr="00917ADB">
        <w:rPr>
          <w:rFonts w:ascii="Times New Roman" w:hAnsi="Times New Roman" w:cs="Times New Roman"/>
        </w:rPr>
        <w:t>[2013] ZASCA 116;</w:t>
      </w:r>
      <w:r w:rsidRPr="00917ADB">
        <w:rPr>
          <w:rFonts w:ascii="Times New Roman" w:hAnsi="Times New Roman" w:cs="Times New Roman"/>
          <w:i/>
          <w:iCs/>
        </w:rPr>
        <w:t xml:space="preserve"> </w:t>
      </w:r>
      <w:r w:rsidRPr="00917ADB">
        <w:rPr>
          <w:rFonts w:ascii="Times New Roman" w:hAnsi="Times New Roman" w:cs="Times New Roman"/>
        </w:rPr>
        <w:t>2014 (1) SA 46 (SCA)</w:t>
      </w:r>
      <w:r w:rsidRPr="00917ADB">
        <w:rPr>
          <w:rFonts w:ascii="Times New Roman" w:hAnsi="Times New Roman" w:cs="Times New Roman"/>
          <w:b/>
          <w:bCs/>
        </w:rPr>
        <w:t> </w:t>
      </w:r>
      <w:r w:rsidRPr="00917ADB">
        <w:rPr>
          <w:rFonts w:ascii="Times New Roman" w:hAnsi="Times New Roman" w:cs="Times New Roman"/>
        </w:rPr>
        <w:t>para 20 – 21</w:t>
      </w:r>
      <w:r w:rsidR="00D0395A" w:rsidRPr="00917ADB">
        <w:rPr>
          <w:rFonts w:ascii="Times New Roman" w:hAnsi="Times New Roman" w:cs="Times New Roman"/>
        </w:rPr>
        <w:t xml:space="preserve"> (</w:t>
      </w:r>
      <w:r w:rsidR="00D0395A" w:rsidRPr="00917ADB">
        <w:rPr>
          <w:rFonts w:ascii="Times New Roman" w:hAnsi="Times New Roman" w:cs="Times New Roman"/>
          <w:i/>
          <w:iCs/>
        </w:rPr>
        <w:t>Capricorn Beach</w:t>
      </w:r>
      <w:r w:rsidR="00D0395A" w:rsidRPr="00917ADB">
        <w:rPr>
          <w:rFonts w:ascii="Times New Roman" w:hAnsi="Times New Roman" w:cs="Times New Roman"/>
        </w:rPr>
        <w:t>)</w:t>
      </w:r>
      <w:r w:rsidRPr="00917ADB">
        <w:rPr>
          <w:rFonts w:ascii="Times New Roman" w:hAnsi="Times New Roman" w:cs="Times New Roman"/>
        </w:rPr>
        <w:t>;</w:t>
      </w:r>
      <w:r w:rsidR="00845AEE" w:rsidRPr="00917ADB">
        <w:rPr>
          <w:rFonts w:ascii="Times New Roman" w:eastAsia="Times New Roman" w:hAnsi="Times New Roman" w:cs="Times New Roman"/>
          <w:color w:val="64473A"/>
          <w:kern w:val="0"/>
          <w:sz w:val="36"/>
          <w:szCs w:val="36"/>
          <w:lang w:eastAsia="en-ZA"/>
          <w14:ligatures w14:val="none"/>
        </w:rPr>
        <w:t xml:space="preserve"> </w:t>
      </w:r>
      <w:r w:rsidR="00845AEE" w:rsidRPr="00917ADB">
        <w:rPr>
          <w:rFonts w:ascii="Times New Roman" w:hAnsi="Times New Roman" w:cs="Times New Roman"/>
          <w:i/>
          <w:iCs/>
        </w:rPr>
        <w:t>Van Niekerk v Liberty Group Limited</w:t>
      </w:r>
      <w:r w:rsidR="00845AEE" w:rsidRPr="00917ADB">
        <w:rPr>
          <w:rFonts w:ascii="Times New Roman" w:hAnsi="Times New Roman" w:cs="Times New Roman"/>
        </w:rPr>
        <w:t xml:space="preserve"> [2020] ZASCA 65 para 28 – 31. </w:t>
      </w:r>
    </w:p>
  </w:footnote>
  <w:footnote w:id="16">
    <w:p w14:paraId="7C63B3E4" w14:textId="3FDF12D0" w:rsidR="00D0395A" w:rsidRPr="00917ADB" w:rsidRDefault="00D0395A" w:rsidP="00F56202">
      <w:pPr>
        <w:pStyle w:val="FootnoteText"/>
        <w:jc w:val="both"/>
        <w:rPr>
          <w:rFonts w:ascii="Times New Roman" w:hAnsi="Times New Roman" w:cs="Times New Roman"/>
        </w:rPr>
      </w:pPr>
      <w:r w:rsidRPr="00917ADB">
        <w:rPr>
          <w:rStyle w:val="FootnoteReference"/>
          <w:rFonts w:ascii="Times New Roman" w:hAnsi="Times New Roman" w:cs="Times New Roman"/>
        </w:rPr>
        <w:footnoteRef/>
      </w:r>
      <w:r w:rsidRPr="00917ADB">
        <w:rPr>
          <w:rFonts w:ascii="Times New Roman" w:hAnsi="Times New Roman" w:cs="Times New Roman"/>
        </w:rPr>
        <w:t xml:space="preserve"> </w:t>
      </w:r>
      <w:r w:rsidRPr="00917ADB">
        <w:rPr>
          <w:rFonts w:ascii="Times New Roman" w:hAnsi="Times New Roman" w:cs="Times New Roman"/>
          <w:i/>
          <w:iCs/>
        </w:rPr>
        <w:t xml:space="preserve">McCarthy </w:t>
      </w:r>
      <w:r w:rsidRPr="00917ADB">
        <w:rPr>
          <w:rFonts w:ascii="Times New Roman" w:hAnsi="Times New Roman" w:cs="Times New Roman"/>
        </w:rPr>
        <w:t>(per Harms JA para 2) at</w:t>
      </w:r>
      <w:r w:rsidR="00934237" w:rsidRPr="00917ADB">
        <w:rPr>
          <w:rFonts w:ascii="Times New Roman" w:hAnsi="Times New Roman" w:cs="Times New Roman"/>
        </w:rPr>
        <w:t xml:space="preserve"> </w:t>
      </w:r>
      <w:r w:rsidRPr="00917ADB">
        <w:rPr>
          <w:rFonts w:ascii="Times New Roman" w:hAnsi="Times New Roman" w:cs="Times New Roman"/>
        </w:rPr>
        <w:t xml:space="preserve">496E; </w:t>
      </w:r>
      <w:r w:rsidRPr="00917ADB">
        <w:rPr>
          <w:rFonts w:ascii="Times New Roman" w:hAnsi="Times New Roman" w:cs="Times New Roman"/>
          <w:i/>
          <w:iCs/>
        </w:rPr>
        <w:t xml:space="preserve">Capricorn Beach </w:t>
      </w:r>
      <w:r w:rsidRPr="00917ADB">
        <w:rPr>
          <w:rFonts w:ascii="Times New Roman" w:hAnsi="Times New Roman" w:cs="Times New Roman"/>
        </w:rPr>
        <w:t>para 20.</w:t>
      </w:r>
    </w:p>
  </w:footnote>
  <w:footnote w:id="17">
    <w:p w14:paraId="0BB35743" w14:textId="76B0E78C" w:rsidR="00A15944" w:rsidRPr="00917ADB" w:rsidRDefault="00A15944">
      <w:pPr>
        <w:pStyle w:val="FootnoteText"/>
        <w:rPr>
          <w:rFonts w:ascii="Times New Roman" w:hAnsi="Times New Roman" w:cs="Times New Roman"/>
        </w:rPr>
      </w:pPr>
      <w:r w:rsidRPr="00917ADB">
        <w:rPr>
          <w:rStyle w:val="FootnoteReference"/>
          <w:rFonts w:ascii="Times New Roman" w:hAnsi="Times New Roman" w:cs="Times New Roman"/>
        </w:rPr>
        <w:footnoteRef/>
      </w:r>
      <w:r w:rsidRPr="00917ADB">
        <w:rPr>
          <w:rFonts w:ascii="Times New Roman" w:hAnsi="Times New Roman" w:cs="Times New Roman"/>
        </w:rPr>
        <w:t xml:space="preserve"> My emphasis.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86477" w14:textId="77777777" w:rsidR="00DB756E" w:rsidRDefault="00DB756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32E866" w14:textId="77777777" w:rsidR="00DB756E" w:rsidRDefault="00DB756E">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8FEEF" w14:textId="5D45B7D1" w:rsidR="00DB756E" w:rsidRPr="00463040" w:rsidRDefault="00DB756E">
    <w:pPr>
      <w:pStyle w:val="Header"/>
      <w:framePr w:wrap="around" w:vAnchor="text" w:hAnchor="margin" w:xAlign="right" w:y="1"/>
      <w:rPr>
        <w:rStyle w:val="PageNumber"/>
        <w:rFonts w:ascii="Times New Roman" w:hAnsi="Times New Roman"/>
        <w:sz w:val="28"/>
        <w:szCs w:val="28"/>
      </w:rPr>
    </w:pPr>
    <w:r w:rsidRPr="00463040">
      <w:rPr>
        <w:rStyle w:val="PageNumber"/>
        <w:rFonts w:ascii="Times New Roman" w:hAnsi="Times New Roman"/>
        <w:sz w:val="28"/>
        <w:szCs w:val="28"/>
      </w:rPr>
      <w:fldChar w:fldCharType="begin"/>
    </w:r>
    <w:r w:rsidRPr="00463040">
      <w:rPr>
        <w:rStyle w:val="PageNumber"/>
        <w:rFonts w:ascii="Times New Roman" w:hAnsi="Times New Roman"/>
        <w:sz w:val="28"/>
        <w:szCs w:val="28"/>
      </w:rPr>
      <w:instrText xml:space="preserve">PAGE  </w:instrText>
    </w:r>
    <w:r w:rsidRPr="00463040">
      <w:rPr>
        <w:rStyle w:val="PageNumber"/>
        <w:rFonts w:ascii="Times New Roman" w:hAnsi="Times New Roman"/>
        <w:sz w:val="28"/>
        <w:szCs w:val="28"/>
      </w:rPr>
      <w:fldChar w:fldCharType="separate"/>
    </w:r>
    <w:r w:rsidR="00876F97">
      <w:rPr>
        <w:rStyle w:val="PageNumber"/>
        <w:rFonts w:ascii="Times New Roman" w:hAnsi="Times New Roman"/>
        <w:noProof/>
        <w:sz w:val="28"/>
        <w:szCs w:val="28"/>
      </w:rPr>
      <w:t>17</w:t>
    </w:r>
    <w:r w:rsidRPr="00463040">
      <w:rPr>
        <w:rStyle w:val="PageNumber"/>
        <w:rFonts w:ascii="Times New Roman" w:hAnsi="Times New Roman"/>
        <w:sz w:val="28"/>
        <w:szCs w:val="28"/>
      </w:rPr>
      <w:fldChar w:fldCharType="end"/>
    </w:r>
  </w:p>
  <w:p w14:paraId="6E48D2C4" w14:textId="77777777" w:rsidR="00DB756E" w:rsidRPr="00463040" w:rsidRDefault="00DB756E">
    <w:pPr>
      <w:pStyle w:val="Header"/>
      <w:ind w:right="360"/>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E7929"/>
    <w:multiLevelType w:val="hybridMultilevel"/>
    <w:tmpl w:val="CDACD8AE"/>
    <w:lvl w:ilvl="0" w:tplc="4A448992">
      <w:start w:val="1"/>
      <w:numFmt w:val="decimal"/>
      <w:lvlText w:val="[%1]"/>
      <w:lvlJc w:val="left"/>
      <w:pPr>
        <w:ind w:left="0" w:firstLine="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8281A"/>
    <w:multiLevelType w:val="hybridMultilevel"/>
    <w:tmpl w:val="FC6455D0"/>
    <w:lvl w:ilvl="0" w:tplc="CE205D48">
      <w:start w:val="1"/>
      <w:numFmt w:val="decimal"/>
      <w:lvlText w:val="[%1]"/>
      <w:lvlJc w:val="left"/>
      <w:pPr>
        <w:ind w:left="720" w:hanging="360"/>
      </w:pPr>
      <w:rPr>
        <w:rFonts w:ascii="Times New Roman" w:hAnsi="Times New Roman" w:cs="Times New Roman" w:hint="default"/>
        <w:b w:val="0"/>
        <w:i w:val="0"/>
        <w:color w:val="auto"/>
        <w:sz w:val="28"/>
        <w:szCs w:val="28"/>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93B1CC2"/>
    <w:multiLevelType w:val="hybridMultilevel"/>
    <w:tmpl w:val="B4968212"/>
    <w:lvl w:ilvl="0" w:tplc="87CC0C7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8CF3795"/>
    <w:multiLevelType w:val="hybridMultilevel"/>
    <w:tmpl w:val="3C4A652E"/>
    <w:lvl w:ilvl="0" w:tplc="8E52685E">
      <w:start w:val="69"/>
      <w:numFmt w:val="decimal"/>
      <w:lvlText w:val="[%1]"/>
      <w:lvlJc w:val="left"/>
      <w:pPr>
        <w:ind w:left="720" w:hanging="360"/>
      </w:pPr>
      <w:rPr>
        <w:rFonts w:ascii="Times New Roman" w:hAnsi="Times New Roman" w:cs="Times New Roman" w:hint="default"/>
        <w:b w:val="0"/>
        <w:i w:val="0"/>
        <w:color w:val="auto"/>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8F457F1"/>
    <w:multiLevelType w:val="hybridMultilevel"/>
    <w:tmpl w:val="5EAEBB4C"/>
    <w:lvl w:ilvl="0" w:tplc="4276FA5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1DB5578"/>
    <w:multiLevelType w:val="hybridMultilevel"/>
    <w:tmpl w:val="A116734C"/>
    <w:lvl w:ilvl="0" w:tplc="D40C7D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4A85FA1"/>
    <w:multiLevelType w:val="hybridMultilevel"/>
    <w:tmpl w:val="50E82E2C"/>
    <w:lvl w:ilvl="0" w:tplc="C3AE786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62A2D5E"/>
    <w:multiLevelType w:val="hybridMultilevel"/>
    <w:tmpl w:val="DF204E48"/>
    <w:lvl w:ilvl="0" w:tplc="2DFA5F00">
      <w:start w:val="66"/>
      <w:numFmt w:val="decimal"/>
      <w:lvlText w:val="[%1]"/>
      <w:lvlJc w:val="left"/>
      <w:pPr>
        <w:ind w:left="360" w:hanging="360"/>
      </w:pPr>
      <w:rPr>
        <w:rFonts w:ascii="Times New Roman" w:hAnsi="Times New Roman" w:cs="Times New Roman" w:hint="default"/>
        <w:b w:val="0"/>
        <w:i w:val="0"/>
        <w:color w:val="auto"/>
        <w:sz w:val="28"/>
        <w:szCs w:val="2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3C47393D"/>
    <w:multiLevelType w:val="hybridMultilevel"/>
    <w:tmpl w:val="4F4ECA24"/>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ED00286"/>
    <w:multiLevelType w:val="hybridMultilevel"/>
    <w:tmpl w:val="3A52E724"/>
    <w:lvl w:ilvl="0" w:tplc="16D68C78">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3F3F0D7E"/>
    <w:multiLevelType w:val="hybridMultilevel"/>
    <w:tmpl w:val="6526F988"/>
    <w:lvl w:ilvl="0" w:tplc="6B84384E">
      <w:start w:val="71"/>
      <w:numFmt w:val="decimal"/>
      <w:lvlText w:val="[%1]"/>
      <w:lvlJc w:val="left"/>
      <w:pPr>
        <w:ind w:left="360" w:hanging="360"/>
      </w:pPr>
      <w:rPr>
        <w:rFonts w:ascii="Times New Roman" w:hAnsi="Times New Roman" w:cs="Times New Roman" w:hint="default"/>
        <w:b w:val="0"/>
        <w:i w:val="0"/>
        <w:color w:val="auto"/>
        <w:sz w:val="28"/>
        <w:szCs w:val="28"/>
      </w:rPr>
    </w:lvl>
    <w:lvl w:ilvl="1" w:tplc="6ED44A90">
      <w:start w:val="1"/>
      <w:numFmt w:val="lowerLetter"/>
      <w:lvlText w:val="(%2)"/>
      <w:lvlJc w:val="left"/>
      <w:pPr>
        <w:ind w:left="1440" w:hanging="360"/>
      </w:pPr>
      <w:rPr>
        <w:rFonts w:hint="default"/>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D185D9A"/>
    <w:multiLevelType w:val="multilevel"/>
    <w:tmpl w:val="31260010"/>
    <w:lvl w:ilvl="0">
      <w:start w:val="1"/>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15:restartNumberingAfterBreak="0">
    <w:nsid w:val="5FB90A3A"/>
    <w:multiLevelType w:val="multilevel"/>
    <w:tmpl w:val="05A27F6C"/>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617807FD"/>
    <w:multiLevelType w:val="hybridMultilevel"/>
    <w:tmpl w:val="4F4ECA24"/>
    <w:lvl w:ilvl="0" w:tplc="4A0AF26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02761C1"/>
    <w:multiLevelType w:val="multilevel"/>
    <w:tmpl w:val="C792DD5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2E80BE6"/>
    <w:multiLevelType w:val="hybridMultilevel"/>
    <w:tmpl w:val="A116734C"/>
    <w:lvl w:ilvl="0" w:tplc="D40C7D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C8D7FD7"/>
    <w:multiLevelType w:val="hybridMultilevel"/>
    <w:tmpl w:val="570E42F2"/>
    <w:lvl w:ilvl="0" w:tplc="C986BBAC">
      <w:start w:val="1"/>
      <w:numFmt w:val="decimal"/>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C42934"/>
    <w:multiLevelType w:val="hybridMultilevel"/>
    <w:tmpl w:val="19C88CC8"/>
    <w:lvl w:ilvl="0" w:tplc="9C608A94">
      <w:start w:val="65"/>
      <w:numFmt w:val="decimal"/>
      <w:lvlText w:val="[%1]"/>
      <w:lvlJc w:val="left"/>
      <w:pPr>
        <w:ind w:left="720" w:hanging="360"/>
      </w:pPr>
      <w:rPr>
        <w:rFonts w:ascii="Times New Roman" w:hAnsi="Times New Roman" w:cs="Times New Roman" w:hint="default"/>
        <w:b w:val="0"/>
        <w:i w:val="0"/>
        <w:color w:val="auto"/>
        <w:sz w:val="28"/>
        <w:szCs w:val="28"/>
      </w:rPr>
    </w:lvl>
    <w:lvl w:ilvl="1" w:tplc="4A24DD06">
      <w:start w:val="1"/>
      <w:numFmt w:val="lowerLetter"/>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6"/>
  </w:num>
  <w:num w:numId="3">
    <w:abstractNumId w:val="13"/>
  </w:num>
  <w:num w:numId="4">
    <w:abstractNumId w:val="8"/>
  </w:num>
  <w:num w:numId="5">
    <w:abstractNumId w:val="2"/>
  </w:num>
  <w:num w:numId="6">
    <w:abstractNumId w:val="1"/>
  </w:num>
  <w:num w:numId="7">
    <w:abstractNumId w:val="6"/>
  </w:num>
  <w:num w:numId="8">
    <w:abstractNumId w:val="4"/>
  </w:num>
  <w:num w:numId="9">
    <w:abstractNumId w:val="5"/>
  </w:num>
  <w:num w:numId="10">
    <w:abstractNumId w:val="11"/>
  </w:num>
  <w:num w:numId="11">
    <w:abstractNumId w:val="14"/>
  </w:num>
  <w:num w:numId="12">
    <w:abstractNumId w:val="1"/>
    <w:lvlOverride w:ilvl="0">
      <w:startOverride w:val="6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6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6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3"/>
    <w:lvlOverride w:ilvl="0">
      <w:startOverride w:val="6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7"/>
  </w:num>
  <w:num w:numId="21">
    <w:abstractNumId w:val="15"/>
  </w:num>
  <w:num w:numId="22">
    <w:abstractNumId w:val="7"/>
  </w:num>
  <w:num w:numId="23">
    <w:abstractNumId w:val="12"/>
  </w:num>
  <w:num w:numId="24">
    <w:abstractNumId w:val="10"/>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8C"/>
    <w:rsid w:val="0000031B"/>
    <w:rsid w:val="00001250"/>
    <w:rsid w:val="00002723"/>
    <w:rsid w:val="00023B7B"/>
    <w:rsid w:val="00024ED2"/>
    <w:rsid w:val="00025ADC"/>
    <w:rsid w:val="00027261"/>
    <w:rsid w:val="00030A03"/>
    <w:rsid w:val="00031F85"/>
    <w:rsid w:val="00032F9F"/>
    <w:rsid w:val="00035E39"/>
    <w:rsid w:val="00036B06"/>
    <w:rsid w:val="00043589"/>
    <w:rsid w:val="00052B6D"/>
    <w:rsid w:val="000548F9"/>
    <w:rsid w:val="00054EED"/>
    <w:rsid w:val="00071BB6"/>
    <w:rsid w:val="00076891"/>
    <w:rsid w:val="000842FE"/>
    <w:rsid w:val="000862D7"/>
    <w:rsid w:val="00093433"/>
    <w:rsid w:val="0009789F"/>
    <w:rsid w:val="000B62DE"/>
    <w:rsid w:val="000B7F22"/>
    <w:rsid w:val="000C25FD"/>
    <w:rsid w:val="000C28AF"/>
    <w:rsid w:val="000C2BBD"/>
    <w:rsid w:val="000C3B39"/>
    <w:rsid w:val="000C4604"/>
    <w:rsid w:val="000C6431"/>
    <w:rsid w:val="000D07E9"/>
    <w:rsid w:val="000D1DDC"/>
    <w:rsid w:val="000D1F72"/>
    <w:rsid w:val="000D2C82"/>
    <w:rsid w:val="000D39C2"/>
    <w:rsid w:val="000E2745"/>
    <w:rsid w:val="000E4D12"/>
    <w:rsid w:val="000E60B9"/>
    <w:rsid w:val="000E68CB"/>
    <w:rsid w:val="000F3520"/>
    <w:rsid w:val="000F77B4"/>
    <w:rsid w:val="00102511"/>
    <w:rsid w:val="00102D7C"/>
    <w:rsid w:val="0010417E"/>
    <w:rsid w:val="001049D6"/>
    <w:rsid w:val="001057C5"/>
    <w:rsid w:val="00105A13"/>
    <w:rsid w:val="001071D2"/>
    <w:rsid w:val="00107BCC"/>
    <w:rsid w:val="00110035"/>
    <w:rsid w:val="0011696D"/>
    <w:rsid w:val="001170B5"/>
    <w:rsid w:val="00125F7C"/>
    <w:rsid w:val="00134002"/>
    <w:rsid w:val="00136F37"/>
    <w:rsid w:val="001440A2"/>
    <w:rsid w:val="0014714F"/>
    <w:rsid w:val="0015228E"/>
    <w:rsid w:val="00152D88"/>
    <w:rsid w:val="00152FE5"/>
    <w:rsid w:val="00153C82"/>
    <w:rsid w:val="00153D94"/>
    <w:rsid w:val="00160218"/>
    <w:rsid w:val="001602CD"/>
    <w:rsid w:val="001609D8"/>
    <w:rsid w:val="001673C6"/>
    <w:rsid w:val="00167B48"/>
    <w:rsid w:val="00181610"/>
    <w:rsid w:val="00185576"/>
    <w:rsid w:val="0018685F"/>
    <w:rsid w:val="001963CD"/>
    <w:rsid w:val="00196DE5"/>
    <w:rsid w:val="00197071"/>
    <w:rsid w:val="001A00F8"/>
    <w:rsid w:val="001A4E53"/>
    <w:rsid w:val="001A6199"/>
    <w:rsid w:val="001A76DB"/>
    <w:rsid w:val="001B23C5"/>
    <w:rsid w:val="001B6355"/>
    <w:rsid w:val="001B6F1A"/>
    <w:rsid w:val="001C1F53"/>
    <w:rsid w:val="001D5501"/>
    <w:rsid w:val="001E1DF8"/>
    <w:rsid w:val="001E4DD8"/>
    <w:rsid w:val="001F187F"/>
    <w:rsid w:val="001F18BD"/>
    <w:rsid w:val="001F3D0C"/>
    <w:rsid w:val="001F5207"/>
    <w:rsid w:val="002059FC"/>
    <w:rsid w:val="00206737"/>
    <w:rsid w:val="00210959"/>
    <w:rsid w:val="0021195B"/>
    <w:rsid w:val="00225853"/>
    <w:rsid w:val="00232A74"/>
    <w:rsid w:val="00236317"/>
    <w:rsid w:val="002442B1"/>
    <w:rsid w:val="002521FD"/>
    <w:rsid w:val="00254EF4"/>
    <w:rsid w:val="00260802"/>
    <w:rsid w:val="00265030"/>
    <w:rsid w:val="00265F64"/>
    <w:rsid w:val="00267F78"/>
    <w:rsid w:val="00270435"/>
    <w:rsid w:val="0027091C"/>
    <w:rsid w:val="00271652"/>
    <w:rsid w:val="00272529"/>
    <w:rsid w:val="0027339F"/>
    <w:rsid w:val="002740AC"/>
    <w:rsid w:val="00276A54"/>
    <w:rsid w:val="00283D9C"/>
    <w:rsid w:val="002845BA"/>
    <w:rsid w:val="00285CE8"/>
    <w:rsid w:val="0028784F"/>
    <w:rsid w:val="0029732E"/>
    <w:rsid w:val="002A672D"/>
    <w:rsid w:val="002A7114"/>
    <w:rsid w:val="002B377D"/>
    <w:rsid w:val="002B7B52"/>
    <w:rsid w:val="002C4643"/>
    <w:rsid w:val="002C7338"/>
    <w:rsid w:val="002D08FC"/>
    <w:rsid w:val="002D1296"/>
    <w:rsid w:val="002D2D40"/>
    <w:rsid w:val="002D4C7E"/>
    <w:rsid w:val="002D4FF3"/>
    <w:rsid w:val="002E5191"/>
    <w:rsid w:val="002E76CA"/>
    <w:rsid w:val="002E7CB7"/>
    <w:rsid w:val="002F1280"/>
    <w:rsid w:val="002F3CCF"/>
    <w:rsid w:val="002F41EC"/>
    <w:rsid w:val="002F5230"/>
    <w:rsid w:val="0030589D"/>
    <w:rsid w:val="00305CCA"/>
    <w:rsid w:val="0031196B"/>
    <w:rsid w:val="00311ED1"/>
    <w:rsid w:val="003213B7"/>
    <w:rsid w:val="00324C6A"/>
    <w:rsid w:val="003364AE"/>
    <w:rsid w:val="003412E0"/>
    <w:rsid w:val="0035502F"/>
    <w:rsid w:val="00355405"/>
    <w:rsid w:val="0035789D"/>
    <w:rsid w:val="00363F07"/>
    <w:rsid w:val="00370A0A"/>
    <w:rsid w:val="00370FB3"/>
    <w:rsid w:val="00373139"/>
    <w:rsid w:val="0037321E"/>
    <w:rsid w:val="00375EBE"/>
    <w:rsid w:val="00376C18"/>
    <w:rsid w:val="00377AA1"/>
    <w:rsid w:val="003807AB"/>
    <w:rsid w:val="003819BB"/>
    <w:rsid w:val="003826CC"/>
    <w:rsid w:val="0038522A"/>
    <w:rsid w:val="0039548F"/>
    <w:rsid w:val="003A09BD"/>
    <w:rsid w:val="003A0B93"/>
    <w:rsid w:val="003A6784"/>
    <w:rsid w:val="003B401F"/>
    <w:rsid w:val="003B7175"/>
    <w:rsid w:val="003C2190"/>
    <w:rsid w:val="003C6BA5"/>
    <w:rsid w:val="003C7977"/>
    <w:rsid w:val="003D00EC"/>
    <w:rsid w:val="003D0AB0"/>
    <w:rsid w:val="003D35A9"/>
    <w:rsid w:val="003D4FD0"/>
    <w:rsid w:val="003E0B62"/>
    <w:rsid w:val="003E4338"/>
    <w:rsid w:val="003F46F3"/>
    <w:rsid w:val="004064AA"/>
    <w:rsid w:val="00420207"/>
    <w:rsid w:val="00427351"/>
    <w:rsid w:val="0042793C"/>
    <w:rsid w:val="004342BB"/>
    <w:rsid w:val="00435282"/>
    <w:rsid w:val="00436C50"/>
    <w:rsid w:val="004445BF"/>
    <w:rsid w:val="00450824"/>
    <w:rsid w:val="004524F5"/>
    <w:rsid w:val="004527EC"/>
    <w:rsid w:val="00454633"/>
    <w:rsid w:val="004548D5"/>
    <w:rsid w:val="00455BDA"/>
    <w:rsid w:val="00456CD0"/>
    <w:rsid w:val="004611B6"/>
    <w:rsid w:val="00462776"/>
    <w:rsid w:val="00462EE9"/>
    <w:rsid w:val="00463040"/>
    <w:rsid w:val="0046445E"/>
    <w:rsid w:val="00465E19"/>
    <w:rsid w:val="00472225"/>
    <w:rsid w:val="004777DB"/>
    <w:rsid w:val="00481277"/>
    <w:rsid w:val="00481BC1"/>
    <w:rsid w:val="0048618B"/>
    <w:rsid w:val="0049294A"/>
    <w:rsid w:val="00494F34"/>
    <w:rsid w:val="004A0C79"/>
    <w:rsid w:val="004A1E9E"/>
    <w:rsid w:val="004A5E9E"/>
    <w:rsid w:val="004A720B"/>
    <w:rsid w:val="004C0023"/>
    <w:rsid w:val="004C0B8C"/>
    <w:rsid w:val="004C35B7"/>
    <w:rsid w:val="004C418B"/>
    <w:rsid w:val="004C552C"/>
    <w:rsid w:val="004D4BC3"/>
    <w:rsid w:val="004E4599"/>
    <w:rsid w:val="004E5654"/>
    <w:rsid w:val="004F076A"/>
    <w:rsid w:val="004F1AF8"/>
    <w:rsid w:val="004F4B3E"/>
    <w:rsid w:val="004F51D0"/>
    <w:rsid w:val="004F5583"/>
    <w:rsid w:val="004F7DAC"/>
    <w:rsid w:val="005027BE"/>
    <w:rsid w:val="0050326D"/>
    <w:rsid w:val="005038FB"/>
    <w:rsid w:val="005045F1"/>
    <w:rsid w:val="005065AA"/>
    <w:rsid w:val="00510CCF"/>
    <w:rsid w:val="00510D48"/>
    <w:rsid w:val="00520D05"/>
    <w:rsid w:val="005258E8"/>
    <w:rsid w:val="00526C29"/>
    <w:rsid w:val="00527A12"/>
    <w:rsid w:val="00527C95"/>
    <w:rsid w:val="0053002C"/>
    <w:rsid w:val="005357FE"/>
    <w:rsid w:val="00536B11"/>
    <w:rsid w:val="00540755"/>
    <w:rsid w:val="00545F15"/>
    <w:rsid w:val="005516C5"/>
    <w:rsid w:val="00552293"/>
    <w:rsid w:val="00565F6F"/>
    <w:rsid w:val="00566B27"/>
    <w:rsid w:val="00566D4C"/>
    <w:rsid w:val="0057294F"/>
    <w:rsid w:val="005731D4"/>
    <w:rsid w:val="005774CB"/>
    <w:rsid w:val="005813C9"/>
    <w:rsid w:val="005825AA"/>
    <w:rsid w:val="00582936"/>
    <w:rsid w:val="00582A79"/>
    <w:rsid w:val="005835ED"/>
    <w:rsid w:val="00587B0C"/>
    <w:rsid w:val="005905CC"/>
    <w:rsid w:val="00593B02"/>
    <w:rsid w:val="005949BF"/>
    <w:rsid w:val="00595502"/>
    <w:rsid w:val="00597D63"/>
    <w:rsid w:val="005B0C1E"/>
    <w:rsid w:val="005B785D"/>
    <w:rsid w:val="005B78CC"/>
    <w:rsid w:val="005C00AF"/>
    <w:rsid w:val="005C1AEF"/>
    <w:rsid w:val="005C59BA"/>
    <w:rsid w:val="005C5C9C"/>
    <w:rsid w:val="005C7A52"/>
    <w:rsid w:val="005D04B4"/>
    <w:rsid w:val="005D0C1E"/>
    <w:rsid w:val="005D20FC"/>
    <w:rsid w:val="005D3BE8"/>
    <w:rsid w:val="005D7B77"/>
    <w:rsid w:val="005E0080"/>
    <w:rsid w:val="005E5935"/>
    <w:rsid w:val="005F522B"/>
    <w:rsid w:val="005F6645"/>
    <w:rsid w:val="00601743"/>
    <w:rsid w:val="0060300C"/>
    <w:rsid w:val="00604FE9"/>
    <w:rsid w:val="0060784C"/>
    <w:rsid w:val="0061128B"/>
    <w:rsid w:val="00612FC0"/>
    <w:rsid w:val="006172CA"/>
    <w:rsid w:val="0062336F"/>
    <w:rsid w:val="00625EF4"/>
    <w:rsid w:val="006317A6"/>
    <w:rsid w:val="00637AD8"/>
    <w:rsid w:val="00637DD0"/>
    <w:rsid w:val="00637E2E"/>
    <w:rsid w:val="00643577"/>
    <w:rsid w:val="00646721"/>
    <w:rsid w:val="00653CDE"/>
    <w:rsid w:val="006546A0"/>
    <w:rsid w:val="00654E72"/>
    <w:rsid w:val="0065523B"/>
    <w:rsid w:val="006579E6"/>
    <w:rsid w:val="00657A98"/>
    <w:rsid w:val="00664831"/>
    <w:rsid w:val="00666C8C"/>
    <w:rsid w:val="00675A93"/>
    <w:rsid w:val="00692458"/>
    <w:rsid w:val="00696094"/>
    <w:rsid w:val="00696C0E"/>
    <w:rsid w:val="00697414"/>
    <w:rsid w:val="006A5F19"/>
    <w:rsid w:val="006B0BB6"/>
    <w:rsid w:val="006B1BF5"/>
    <w:rsid w:val="006B2CB9"/>
    <w:rsid w:val="006B5089"/>
    <w:rsid w:val="006C0A17"/>
    <w:rsid w:val="006C1EBF"/>
    <w:rsid w:val="006D16B0"/>
    <w:rsid w:val="006D333D"/>
    <w:rsid w:val="006D4305"/>
    <w:rsid w:val="006D49F9"/>
    <w:rsid w:val="006D4A40"/>
    <w:rsid w:val="006E0C8B"/>
    <w:rsid w:val="006E1CCF"/>
    <w:rsid w:val="006E3D8A"/>
    <w:rsid w:val="006E6A45"/>
    <w:rsid w:val="006E781E"/>
    <w:rsid w:val="006E7BC7"/>
    <w:rsid w:val="006F35B5"/>
    <w:rsid w:val="006F3AE5"/>
    <w:rsid w:val="007005E9"/>
    <w:rsid w:val="007037C1"/>
    <w:rsid w:val="00703E80"/>
    <w:rsid w:val="00707119"/>
    <w:rsid w:val="00707458"/>
    <w:rsid w:val="007167FB"/>
    <w:rsid w:val="00717049"/>
    <w:rsid w:val="00717B45"/>
    <w:rsid w:val="0072507A"/>
    <w:rsid w:val="00730131"/>
    <w:rsid w:val="00740E6F"/>
    <w:rsid w:val="00743031"/>
    <w:rsid w:val="00747D93"/>
    <w:rsid w:val="00751259"/>
    <w:rsid w:val="0075193E"/>
    <w:rsid w:val="007547DF"/>
    <w:rsid w:val="00754851"/>
    <w:rsid w:val="007702DB"/>
    <w:rsid w:val="00772020"/>
    <w:rsid w:val="007813D0"/>
    <w:rsid w:val="007816BB"/>
    <w:rsid w:val="00782591"/>
    <w:rsid w:val="007834EA"/>
    <w:rsid w:val="00786491"/>
    <w:rsid w:val="00786A3D"/>
    <w:rsid w:val="00787574"/>
    <w:rsid w:val="0079251A"/>
    <w:rsid w:val="00792741"/>
    <w:rsid w:val="00793B37"/>
    <w:rsid w:val="00793F52"/>
    <w:rsid w:val="00793F6B"/>
    <w:rsid w:val="00795E1B"/>
    <w:rsid w:val="007A0BDF"/>
    <w:rsid w:val="007B2458"/>
    <w:rsid w:val="007B2B14"/>
    <w:rsid w:val="007C0436"/>
    <w:rsid w:val="007C3766"/>
    <w:rsid w:val="007E0705"/>
    <w:rsid w:val="007E22D4"/>
    <w:rsid w:val="007E3CF4"/>
    <w:rsid w:val="007E4251"/>
    <w:rsid w:val="007E724C"/>
    <w:rsid w:val="007F0BFA"/>
    <w:rsid w:val="007F3283"/>
    <w:rsid w:val="007F7E7F"/>
    <w:rsid w:val="0080134D"/>
    <w:rsid w:val="00803DF9"/>
    <w:rsid w:val="008150B9"/>
    <w:rsid w:val="00817300"/>
    <w:rsid w:val="00830F92"/>
    <w:rsid w:val="008310C1"/>
    <w:rsid w:val="00834A34"/>
    <w:rsid w:val="00835944"/>
    <w:rsid w:val="00840F38"/>
    <w:rsid w:val="00844048"/>
    <w:rsid w:val="00845AEE"/>
    <w:rsid w:val="0084714C"/>
    <w:rsid w:val="00847E64"/>
    <w:rsid w:val="00853E79"/>
    <w:rsid w:val="00856A29"/>
    <w:rsid w:val="00860170"/>
    <w:rsid w:val="00860FC9"/>
    <w:rsid w:val="008727FB"/>
    <w:rsid w:val="00873E52"/>
    <w:rsid w:val="00874864"/>
    <w:rsid w:val="00876EA3"/>
    <w:rsid w:val="00876F97"/>
    <w:rsid w:val="00877A42"/>
    <w:rsid w:val="00883A0C"/>
    <w:rsid w:val="00884A94"/>
    <w:rsid w:val="00884BE0"/>
    <w:rsid w:val="00887A86"/>
    <w:rsid w:val="00897DC7"/>
    <w:rsid w:val="008A0FFD"/>
    <w:rsid w:val="008A4E5F"/>
    <w:rsid w:val="008B27E8"/>
    <w:rsid w:val="008C2B50"/>
    <w:rsid w:val="008C3E0C"/>
    <w:rsid w:val="008C5DA7"/>
    <w:rsid w:val="008C726A"/>
    <w:rsid w:val="008C7962"/>
    <w:rsid w:val="008D11D3"/>
    <w:rsid w:val="008D30BF"/>
    <w:rsid w:val="008D57B4"/>
    <w:rsid w:val="008E2093"/>
    <w:rsid w:val="008E31A6"/>
    <w:rsid w:val="008E5962"/>
    <w:rsid w:val="008F677F"/>
    <w:rsid w:val="009019EF"/>
    <w:rsid w:val="009055A5"/>
    <w:rsid w:val="00905A97"/>
    <w:rsid w:val="00907AE5"/>
    <w:rsid w:val="00917ADB"/>
    <w:rsid w:val="00921048"/>
    <w:rsid w:val="00923380"/>
    <w:rsid w:val="009235CD"/>
    <w:rsid w:val="009239B7"/>
    <w:rsid w:val="00934237"/>
    <w:rsid w:val="00935AEC"/>
    <w:rsid w:val="00945D16"/>
    <w:rsid w:val="00952311"/>
    <w:rsid w:val="00960B36"/>
    <w:rsid w:val="009652DC"/>
    <w:rsid w:val="00966CFC"/>
    <w:rsid w:val="00972B9D"/>
    <w:rsid w:val="00995B5D"/>
    <w:rsid w:val="00997489"/>
    <w:rsid w:val="009A01D8"/>
    <w:rsid w:val="009A0703"/>
    <w:rsid w:val="009A32E6"/>
    <w:rsid w:val="009A5C1B"/>
    <w:rsid w:val="009A7FA6"/>
    <w:rsid w:val="009B22F2"/>
    <w:rsid w:val="009B44F8"/>
    <w:rsid w:val="009B47D7"/>
    <w:rsid w:val="009B7031"/>
    <w:rsid w:val="009C28FF"/>
    <w:rsid w:val="009C5862"/>
    <w:rsid w:val="009C7071"/>
    <w:rsid w:val="009D1832"/>
    <w:rsid w:val="009D1C41"/>
    <w:rsid w:val="009D6CAD"/>
    <w:rsid w:val="009F0B72"/>
    <w:rsid w:val="009F2F04"/>
    <w:rsid w:val="009F68FE"/>
    <w:rsid w:val="009F7677"/>
    <w:rsid w:val="00A030FD"/>
    <w:rsid w:val="00A05226"/>
    <w:rsid w:val="00A06417"/>
    <w:rsid w:val="00A07600"/>
    <w:rsid w:val="00A14786"/>
    <w:rsid w:val="00A15944"/>
    <w:rsid w:val="00A15F85"/>
    <w:rsid w:val="00A2282D"/>
    <w:rsid w:val="00A24E91"/>
    <w:rsid w:val="00A2694F"/>
    <w:rsid w:val="00A26EFF"/>
    <w:rsid w:val="00A27C05"/>
    <w:rsid w:val="00A309CE"/>
    <w:rsid w:val="00A50D94"/>
    <w:rsid w:val="00A5391E"/>
    <w:rsid w:val="00A55858"/>
    <w:rsid w:val="00A5645A"/>
    <w:rsid w:val="00A60C91"/>
    <w:rsid w:val="00A60D98"/>
    <w:rsid w:val="00A653F0"/>
    <w:rsid w:val="00A66772"/>
    <w:rsid w:val="00A7203F"/>
    <w:rsid w:val="00A72751"/>
    <w:rsid w:val="00A72776"/>
    <w:rsid w:val="00A773B6"/>
    <w:rsid w:val="00A77953"/>
    <w:rsid w:val="00A836B6"/>
    <w:rsid w:val="00A876C0"/>
    <w:rsid w:val="00A9029A"/>
    <w:rsid w:val="00A9092A"/>
    <w:rsid w:val="00A90BFE"/>
    <w:rsid w:val="00A90C27"/>
    <w:rsid w:val="00A94668"/>
    <w:rsid w:val="00A9666B"/>
    <w:rsid w:val="00A977AA"/>
    <w:rsid w:val="00AA21C3"/>
    <w:rsid w:val="00AB0018"/>
    <w:rsid w:val="00AB0F2E"/>
    <w:rsid w:val="00AB6C16"/>
    <w:rsid w:val="00AC209C"/>
    <w:rsid w:val="00AC398B"/>
    <w:rsid w:val="00AC3DFC"/>
    <w:rsid w:val="00AC62DD"/>
    <w:rsid w:val="00AC689C"/>
    <w:rsid w:val="00AD4D0C"/>
    <w:rsid w:val="00AE76B3"/>
    <w:rsid w:val="00AF1D9F"/>
    <w:rsid w:val="00AF4631"/>
    <w:rsid w:val="00AF7EFC"/>
    <w:rsid w:val="00B02316"/>
    <w:rsid w:val="00B03809"/>
    <w:rsid w:val="00B058D0"/>
    <w:rsid w:val="00B0619B"/>
    <w:rsid w:val="00B06C43"/>
    <w:rsid w:val="00B06FE0"/>
    <w:rsid w:val="00B12DC9"/>
    <w:rsid w:val="00B3072E"/>
    <w:rsid w:val="00B37899"/>
    <w:rsid w:val="00B42ECE"/>
    <w:rsid w:val="00B44DC9"/>
    <w:rsid w:val="00B47217"/>
    <w:rsid w:val="00B50B54"/>
    <w:rsid w:val="00B52CAF"/>
    <w:rsid w:val="00B558A5"/>
    <w:rsid w:val="00B55FE8"/>
    <w:rsid w:val="00B66D06"/>
    <w:rsid w:val="00B72C35"/>
    <w:rsid w:val="00B734A3"/>
    <w:rsid w:val="00B74462"/>
    <w:rsid w:val="00B8010F"/>
    <w:rsid w:val="00B803E9"/>
    <w:rsid w:val="00B8316A"/>
    <w:rsid w:val="00B83B95"/>
    <w:rsid w:val="00B842D5"/>
    <w:rsid w:val="00B866D0"/>
    <w:rsid w:val="00B875C0"/>
    <w:rsid w:val="00B9188A"/>
    <w:rsid w:val="00B97D10"/>
    <w:rsid w:val="00BA2F9E"/>
    <w:rsid w:val="00BA54DF"/>
    <w:rsid w:val="00BA55BC"/>
    <w:rsid w:val="00BA55D0"/>
    <w:rsid w:val="00BA582C"/>
    <w:rsid w:val="00BA6DA0"/>
    <w:rsid w:val="00BB0000"/>
    <w:rsid w:val="00BC17A8"/>
    <w:rsid w:val="00BC5EA9"/>
    <w:rsid w:val="00BD7050"/>
    <w:rsid w:val="00BE1ACF"/>
    <w:rsid w:val="00BE6842"/>
    <w:rsid w:val="00BF5A1C"/>
    <w:rsid w:val="00BF69E2"/>
    <w:rsid w:val="00C00633"/>
    <w:rsid w:val="00C061B2"/>
    <w:rsid w:val="00C1202E"/>
    <w:rsid w:val="00C123E6"/>
    <w:rsid w:val="00C14AF4"/>
    <w:rsid w:val="00C15336"/>
    <w:rsid w:val="00C16C08"/>
    <w:rsid w:val="00C25D3E"/>
    <w:rsid w:val="00C34287"/>
    <w:rsid w:val="00C46F57"/>
    <w:rsid w:val="00C47EDA"/>
    <w:rsid w:val="00C54DBB"/>
    <w:rsid w:val="00C60239"/>
    <w:rsid w:val="00C61448"/>
    <w:rsid w:val="00C61DEF"/>
    <w:rsid w:val="00C66F08"/>
    <w:rsid w:val="00C718D4"/>
    <w:rsid w:val="00C728AC"/>
    <w:rsid w:val="00C803CB"/>
    <w:rsid w:val="00C8578F"/>
    <w:rsid w:val="00C9555B"/>
    <w:rsid w:val="00C96FB0"/>
    <w:rsid w:val="00CA056E"/>
    <w:rsid w:val="00CA4680"/>
    <w:rsid w:val="00CA53DF"/>
    <w:rsid w:val="00CB1C67"/>
    <w:rsid w:val="00CB39FE"/>
    <w:rsid w:val="00CC30A5"/>
    <w:rsid w:val="00CC56CE"/>
    <w:rsid w:val="00CC7361"/>
    <w:rsid w:val="00CC7992"/>
    <w:rsid w:val="00CD03CC"/>
    <w:rsid w:val="00CD214C"/>
    <w:rsid w:val="00CD3741"/>
    <w:rsid w:val="00CD5AEE"/>
    <w:rsid w:val="00CD5FDC"/>
    <w:rsid w:val="00CD6F9B"/>
    <w:rsid w:val="00CD77BF"/>
    <w:rsid w:val="00CE0044"/>
    <w:rsid w:val="00CE3491"/>
    <w:rsid w:val="00CE5858"/>
    <w:rsid w:val="00CF26D0"/>
    <w:rsid w:val="00CF3B0E"/>
    <w:rsid w:val="00CF3E6E"/>
    <w:rsid w:val="00D0395A"/>
    <w:rsid w:val="00D03AD7"/>
    <w:rsid w:val="00D03BE1"/>
    <w:rsid w:val="00D071EC"/>
    <w:rsid w:val="00D11807"/>
    <w:rsid w:val="00D2303D"/>
    <w:rsid w:val="00D26A7C"/>
    <w:rsid w:val="00D336FC"/>
    <w:rsid w:val="00D41787"/>
    <w:rsid w:val="00D442E9"/>
    <w:rsid w:val="00D4432A"/>
    <w:rsid w:val="00D53533"/>
    <w:rsid w:val="00D67961"/>
    <w:rsid w:val="00D7172C"/>
    <w:rsid w:val="00D76C2D"/>
    <w:rsid w:val="00D83A4C"/>
    <w:rsid w:val="00D8710E"/>
    <w:rsid w:val="00D9311B"/>
    <w:rsid w:val="00D93EBC"/>
    <w:rsid w:val="00DA13E6"/>
    <w:rsid w:val="00DB1737"/>
    <w:rsid w:val="00DB3805"/>
    <w:rsid w:val="00DB38B6"/>
    <w:rsid w:val="00DB3EA8"/>
    <w:rsid w:val="00DB756E"/>
    <w:rsid w:val="00DC1845"/>
    <w:rsid w:val="00DC767D"/>
    <w:rsid w:val="00DD0E6B"/>
    <w:rsid w:val="00DD43EE"/>
    <w:rsid w:val="00DD571F"/>
    <w:rsid w:val="00DD770B"/>
    <w:rsid w:val="00DE1882"/>
    <w:rsid w:val="00DE78EF"/>
    <w:rsid w:val="00DF062E"/>
    <w:rsid w:val="00DF2D05"/>
    <w:rsid w:val="00DF34AE"/>
    <w:rsid w:val="00DF3563"/>
    <w:rsid w:val="00DF6396"/>
    <w:rsid w:val="00E012CB"/>
    <w:rsid w:val="00E06B3A"/>
    <w:rsid w:val="00E06CD3"/>
    <w:rsid w:val="00E077CF"/>
    <w:rsid w:val="00E12739"/>
    <w:rsid w:val="00E15397"/>
    <w:rsid w:val="00E15423"/>
    <w:rsid w:val="00E21DDB"/>
    <w:rsid w:val="00E271A8"/>
    <w:rsid w:val="00E274F4"/>
    <w:rsid w:val="00E33B09"/>
    <w:rsid w:val="00E34D68"/>
    <w:rsid w:val="00E41968"/>
    <w:rsid w:val="00E46920"/>
    <w:rsid w:val="00E51617"/>
    <w:rsid w:val="00E5197C"/>
    <w:rsid w:val="00E53C3A"/>
    <w:rsid w:val="00E5437F"/>
    <w:rsid w:val="00E5668F"/>
    <w:rsid w:val="00E56F09"/>
    <w:rsid w:val="00E60394"/>
    <w:rsid w:val="00E60DAF"/>
    <w:rsid w:val="00E61FD1"/>
    <w:rsid w:val="00E62069"/>
    <w:rsid w:val="00E6433C"/>
    <w:rsid w:val="00E67A19"/>
    <w:rsid w:val="00E7525E"/>
    <w:rsid w:val="00E82623"/>
    <w:rsid w:val="00E857CC"/>
    <w:rsid w:val="00E94327"/>
    <w:rsid w:val="00E973EB"/>
    <w:rsid w:val="00E978D5"/>
    <w:rsid w:val="00EA34E7"/>
    <w:rsid w:val="00EA5BAD"/>
    <w:rsid w:val="00EA7578"/>
    <w:rsid w:val="00EB0303"/>
    <w:rsid w:val="00EB39DA"/>
    <w:rsid w:val="00EC01EA"/>
    <w:rsid w:val="00EC303F"/>
    <w:rsid w:val="00EC3477"/>
    <w:rsid w:val="00EC59B8"/>
    <w:rsid w:val="00ED055C"/>
    <w:rsid w:val="00ED555A"/>
    <w:rsid w:val="00EE48FD"/>
    <w:rsid w:val="00EF32B1"/>
    <w:rsid w:val="00F00CF1"/>
    <w:rsid w:val="00F0372B"/>
    <w:rsid w:val="00F0692A"/>
    <w:rsid w:val="00F0756D"/>
    <w:rsid w:val="00F12866"/>
    <w:rsid w:val="00F147B5"/>
    <w:rsid w:val="00F15907"/>
    <w:rsid w:val="00F15FD2"/>
    <w:rsid w:val="00F21B40"/>
    <w:rsid w:val="00F31768"/>
    <w:rsid w:val="00F37658"/>
    <w:rsid w:val="00F42C6A"/>
    <w:rsid w:val="00F459A0"/>
    <w:rsid w:val="00F4689E"/>
    <w:rsid w:val="00F47983"/>
    <w:rsid w:val="00F56202"/>
    <w:rsid w:val="00F60625"/>
    <w:rsid w:val="00F65ED7"/>
    <w:rsid w:val="00F67502"/>
    <w:rsid w:val="00F80E3B"/>
    <w:rsid w:val="00F81149"/>
    <w:rsid w:val="00F8317B"/>
    <w:rsid w:val="00F8380A"/>
    <w:rsid w:val="00F93CD4"/>
    <w:rsid w:val="00FA217D"/>
    <w:rsid w:val="00FA23A6"/>
    <w:rsid w:val="00FA461B"/>
    <w:rsid w:val="00FA731D"/>
    <w:rsid w:val="00FB0FE3"/>
    <w:rsid w:val="00FB358B"/>
    <w:rsid w:val="00FB48AE"/>
    <w:rsid w:val="00FB556A"/>
    <w:rsid w:val="00FB601F"/>
    <w:rsid w:val="00FC0065"/>
    <w:rsid w:val="00FC1172"/>
    <w:rsid w:val="00FC3EC8"/>
    <w:rsid w:val="00FC3F6D"/>
    <w:rsid w:val="00FD47EE"/>
    <w:rsid w:val="00FD5FBC"/>
    <w:rsid w:val="00FE4EFE"/>
    <w:rsid w:val="00FE7A35"/>
    <w:rsid w:val="00FF0E83"/>
    <w:rsid w:val="00FF7039"/>
    <w:rsid w:val="00FF763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BD3068"/>
  <w15:docId w15:val="{93CF6F0F-E535-4C10-B7BA-C79632B9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C9555B"/>
    <w:pPr>
      <w:spacing w:before="100" w:beforeAutospacing="1" w:after="100" w:afterAutospacing="1" w:line="240" w:lineRule="auto"/>
      <w:outlineLvl w:val="1"/>
    </w:pPr>
    <w:rPr>
      <w:rFonts w:ascii="Times New Roman" w:eastAsia="Times New Roman" w:hAnsi="Times New Roman" w:cs="Times New Roman"/>
      <w:b/>
      <w:bCs/>
      <w:kern w:val="0"/>
      <w:sz w:val="36"/>
      <w:szCs w:val="36"/>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C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C8C"/>
  </w:style>
  <w:style w:type="character" w:styleId="PageNumber">
    <w:name w:val="page number"/>
    <w:basedOn w:val="DefaultParagraphFont"/>
    <w:rsid w:val="00666C8C"/>
    <w:rPr>
      <w:rFonts w:cs="Times New Roman"/>
    </w:rPr>
  </w:style>
  <w:style w:type="paragraph" w:styleId="ListParagraph">
    <w:name w:val="List Paragraph"/>
    <w:basedOn w:val="Normal"/>
    <w:uiPriority w:val="34"/>
    <w:qFormat/>
    <w:rsid w:val="002F5230"/>
    <w:pPr>
      <w:ind w:left="720"/>
      <w:contextualSpacing/>
    </w:pPr>
  </w:style>
  <w:style w:type="character" w:styleId="Hyperlink">
    <w:name w:val="Hyperlink"/>
    <w:basedOn w:val="DefaultParagraphFont"/>
    <w:uiPriority w:val="99"/>
    <w:unhideWhenUsed/>
    <w:rsid w:val="007E4251"/>
    <w:rPr>
      <w:color w:val="0563C1" w:themeColor="hyperlink"/>
      <w:u w:val="single"/>
    </w:rPr>
  </w:style>
  <w:style w:type="character" w:customStyle="1" w:styleId="UnresolvedMention1">
    <w:name w:val="Unresolved Mention1"/>
    <w:basedOn w:val="DefaultParagraphFont"/>
    <w:uiPriority w:val="99"/>
    <w:semiHidden/>
    <w:unhideWhenUsed/>
    <w:rsid w:val="007E4251"/>
    <w:rPr>
      <w:color w:val="605E5C"/>
      <w:shd w:val="clear" w:color="auto" w:fill="E1DFDD"/>
    </w:rPr>
  </w:style>
  <w:style w:type="paragraph" w:styleId="FootnoteText">
    <w:name w:val="footnote text"/>
    <w:aliases w:val="Footnote Text Char1 Char,Footnote Text Char Char Char,Footnote Text Char1 Char Char Char,Footnote Text Char Char Char Char Char,Footnote Text Char1 Char Char Char Char Char,Footnote Char Char Char Char Char Char"/>
    <w:basedOn w:val="Normal"/>
    <w:link w:val="FootnoteTextChar"/>
    <w:uiPriority w:val="99"/>
    <w:unhideWhenUsed/>
    <w:rsid w:val="007E4251"/>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
    <w:basedOn w:val="DefaultParagraphFont"/>
    <w:link w:val="FootnoteText"/>
    <w:uiPriority w:val="99"/>
    <w:rsid w:val="007E4251"/>
    <w:rPr>
      <w:sz w:val="20"/>
      <w:szCs w:val="20"/>
    </w:rPr>
  </w:style>
  <w:style w:type="character" w:styleId="FootnoteReference">
    <w:name w:val="footnote reference"/>
    <w:aliases w:val="(NECG) Footnote Reference,Ref,de nota al pie,註腳內容,Footnotes refss,Footnote Reference + Superscript,fr,Appel note de bas de page,Footnote symbol,Style 12,Footnote Reference in text,Footnote Reference Superscript,Heading 6 Char1,ftref"/>
    <w:basedOn w:val="DefaultParagraphFont"/>
    <w:link w:val="4GCharCharChar"/>
    <w:uiPriority w:val="99"/>
    <w:unhideWhenUsed/>
    <w:qFormat/>
    <w:rsid w:val="007E4251"/>
    <w:rPr>
      <w:vertAlign w:val="superscript"/>
    </w:rPr>
  </w:style>
  <w:style w:type="paragraph" w:styleId="BalloonText">
    <w:name w:val="Balloon Text"/>
    <w:basedOn w:val="Normal"/>
    <w:link w:val="BalloonTextChar"/>
    <w:uiPriority w:val="99"/>
    <w:semiHidden/>
    <w:unhideWhenUsed/>
    <w:rsid w:val="00DC76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67D"/>
    <w:rPr>
      <w:rFonts w:ascii="Segoe UI" w:hAnsi="Segoe UI" w:cs="Segoe UI"/>
      <w:sz w:val="18"/>
      <w:szCs w:val="18"/>
    </w:rPr>
  </w:style>
  <w:style w:type="paragraph" w:styleId="Footer">
    <w:name w:val="footer"/>
    <w:basedOn w:val="Normal"/>
    <w:link w:val="FooterChar"/>
    <w:uiPriority w:val="99"/>
    <w:unhideWhenUsed/>
    <w:rsid w:val="00463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040"/>
  </w:style>
  <w:style w:type="paragraph" w:styleId="Revision">
    <w:name w:val="Revision"/>
    <w:hidden/>
    <w:uiPriority w:val="99"/>
    <w:semiHidden/>
    <w:rsid w:val="006D4305"/>
    <w:pPr>
      <w:spacing w:after="0" w:line="240" w:lineRule="auto"/>
    </w:pPr>
  </w:style>
  <w:style w:type="character" w:styleId="CommentReference">
    <w:name w:val="annotation reference"/>
    <w:basedOn w:val="DefaultParagraphFont"/>
    <w:uiPriority w:val="99"/>
    <w:semiHidden/>
    <w:unhideWhenUsed/>
    <w:rsid w:val="007B2458"/>
    <w:rPr>
      <w:sz w:val="16"/>
      <w:szCs w:val="16"/>
    </w:rPr>
  </w:style>
  <w:style w:type="paragraph" w:styleId="CommentText">
    <w:name w:val="annotation text"/>
    <w:basedOn w:val="Normal"/>
    <w:link w:val="CommentTextChar"/>
    <w:uiPriority w:val="99"/>
    <w:unhideWhenUsed/>
    <w:rsid w:val="007B2458"/>
    <w:pPr>
      <w:spacing w:line="240" w:lineRule="auto"/>
    </w:pPr>
    <w:rPr>
      <w:sz w:val="20"/>
      <w:szCs w:val="20"/>
    </w:rPr>
  </w:style>
  <w:style w:type="character" w:customStyle="1" w:styleId="CommentTextChar">
    <w:name w:val="Comment Text Char"/>
    <w:basedOn w:val="DefaultParagraphFont"/>
    <w:link w:val="CommentText"/>
    <w:uiPriority w:val="99"/>
    <w:rsid w:val="007B2458"/>
    <w:rPr>
      <w:sz w:val="20"/>
      <w:szCs w:val="20"/>
    </w:rPr>
  </w:style>
  <w:style w:type="paragraph" w:styleId="CommentSubject">
    <w:name w:val="annotation subject"/>
    <w:basedOn w:val="CommentText"/>
    <w:next w:val="CommentText"/>
    <w:link w:val="CommentSubjectChar"/>
    <w:uiPriority w:val="99"/>
    <w:semiHidden/>
    <w:unhideWhenUsed/>
    <w:rsid w:val="007B2458"/>
    <w:rPr>
      <w:b/>
      <w:bCs/>
    </w:rPr>
  </w:style>
  <w:style w:type="character" w:customStyle="1" w:styleId="CommentSubjectChar">
    <w:name w:val="Comment Subject Char"/>
    <w:basedOn w:val="CommentTextChar"/>
    <w:link w:val="CommentSubject"/>
    <w:uiPriority w:val="99"/>
    <w:semiHidden/>
    <w:rsid w:val="007B2458"/>
    <w:rPr>
      <w:b/>
      <w:bCs/>
      <w:sz w:val="20"/>
      <w:szCs w:val="20"/>
    </w:rPr>
  </w:style>
  <w:style w:type="character" w:customStyle="1" w:styleId="Heading2Char">
    <w:name w:val="Heading 2 Char"/>
    <w:basedOn w:val="DefaultParagraphFont"/>
    <w:link w:val="Heading2"/>
    <w:uiPriority w:val="9"/>
    <w:semiHidden/>
    <w:rsid w:val="00C9555B"/>
    <w:rPr>
      <w:rFonts w:ascii="Times New Roman" w:eastAsia="Times New Roman" w:hAnsi="Times New Roman" w:cs="Times New Roman"/>
      <w:b/>
      <w:bCs/>
      <w:kern w:val="0"/>
      <w:sz w:val="36"/>
      <w:szCs w:val="36"/>
      <w:lang w:val="en-US"/>
      <w14:ligatures w14:val="none"/>
    </w:rPr>
  </w:style>
  <w:style w:type="paragraph" w:styleId="NormalWeb">
    <w:name w:val="Normal (Web)"/>
    <w:basedOn w:val="Normal"/>
    <w:uiPriority w:val="99"/>
    <w:unhideWhenUsed/>
    <w:rsid w:val="00C9555B"/>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paragraph" w:customStyle="1" w:styleId="western">
    <w:name w:val="western"/>
    <w:basedOn w:val="Normal"/>
    <w:uiPriority w:val="99"/>
    <w:rsid w:val="00C9555B"/>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customStyle="1" w:styleId="UnresolvedMention2">
    <w:name w:val="Unresolved Mention2"/>
    <w:basedOn w:val="DefaultParagraphFont"/>
    <w:uiPriority w:val="99"/>
    <w:semiHidden/>
    <w:unhideWhenUsed/>
    <w:rsid w:val="00A90C27"/>
    <w:rPr>
      <w:color w:val="605E5C"/>
      <w:shd w:val="clear" w:color="auto" w:fill="E1DFDD"/>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637DD0"/>
    <w:pPr>
      <w:spacing w:line="240" w:lineRule="exact"/>
      <w:jc w:val="both"/>
    </w:pPr>
    <w:rPr>
      <w:vertAlign w:val="superscript"/>
    </w:rPr>
  </w:style>
  <w:style w:type="paragraph" w:customStyle="1" w:styleId="lg-section">
    <w:name w:val="lg-section"/>
    <w:basedOn w:val="Normal"/>
    <w:rsid w:val="00717049"/>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paragraph" w:customStyle="1" w:styleId="lg-para3">
    <w:name w:val="lg-para3"/>
    <w:basedOn w:val="Normal"/>
    <w:rsid w:val="00717049"/>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character" w:customStyle="1" w:styleId="mc">
    <w:name w:val="mc"/>
    <w:basedOn w:val="DefaultParagraphFont"/>
    <w:rsid w:val="00197071"/>
  </w:style>
  <w:style w:type="character" w:customStyle="1" w:styleId="field-normal-blue">
    <w:name w:val="field-normal-blue"/>
    <w:basedOn w:val="DefaultParagraphFont"/>
    <w:rsid w:val="00197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5323">
      <w:bodyDiv w:val="1"/>
      <w:marLeft w:val="0"/>
      <w:marRight w:val="0"/>
      <w:marTop w:val="0"/>
      <w:marBottom w:val="0"/>
      <w:divBdr>
        <w:top w:val="none" w:sz="0" w:space="0" w:color="auto"/>
        <w:left w:val="none" w:sz="0" w:space="0" w:color="auto"/>
        <w:bottom w:val="none" w:sz="0" w:space="0" w:color="auto"/>
        <w:right w:val="none" w:sz="0" w:space="0" w:color="auto"/>
      </w:divBdr>
    </w:div>
    <w:div w:id="74980106">
      <w:bodyDiv w:val="1"/>
      <w:marLeft w:val="0"/>
      <w:marRight w:val="0"/>
      <w:marTop w:val="0"/>
      <w:marBottom w:val="0"/>
      <w:divBdr>
        <w:top w:val="none" w:sz="0" w:space="0" w:color="auto"/>
        <w:left w:val="none" w:sz="0" w:space="0" w:color="auto"/>
        <w:bottom w:val="none" w:sz="0" w:space="0" w:color="auto"/>
        <w:right w:val="none" w:sz="0" w:space="0" w:color="auto"/>
      </w:divBdr>
      <w:divsChild>
        <w:div w:id="1112020121">
          <w:marLeft w:val="0"/>
          <w:marRight w:val="0"/>
          <w:marTop w:val="120"/>
          <w:marBottom w:val="0"/>
          <w:divBdr>
            <w:top w:val="none" w:sz="0" w:space="0" w:color="auto"/>
            <w:left w:val="none" w:sz="0" w:space="0" w:color="auto"/>
            <w:bottom w:val="none" w:sz="0" w:space="0" w:color="auto"/>
            <w:right w:val="none" w:sz="0" w:space="0" w:color="auto"/>
          </w:divBdr>
        </w:div>
        <w:div w:id="1088775495">
          <w:marLeft w:val="0"/>
          <w:marRight w:val="0"/>
          <w:marTop w:val="120"/>
          <w:marBottom w:val="0"/>
          <w:divBdr>
            <w:top w:val="none" w:sz="0" w:space="0" w:color="auto"/>
            <w:left w:val="none" w:sz="0" w:space="0" w:color="auto"/>
            <w:bottom w:val="none" w:sz="0" w:space="0" w:color="auto"/>
            <w:right w:val="none" w:sz="0" w:space="0" w:color="auto"/>
          </w:divBdr>
        </w:div>
      </w:divsChild>
    </w:div>
    <w:div w:id="368527264">
      <w:bodyDiv w:val="1"/>
      <w:marLeft w:val="0"/>
      <w:marRight w:val="0"/>
      <w:marTop w:val="0"/>
      <w:marBottom w:val="0"/>
      <w:divBdr>
        <w:top w:val="none" w:sz="0" w:space="0" w:color="auto"/>
        <w:left w:val="none" w:sz="0" w:space="0" w:color="auto"/>
        <w:bottom w:val="none" w:sz="0" w:space="0" w:color="auto"/>
        <w:right w:val="none" w:sz="0" w:space="0" w:color="auto"/>
      </w:divBdr>
      <w:divsChild>
        <w:div w:id="2012372827">
          <w:marLeft w:val="0"/>
          <w:marRight w:val="0"/>
          <w:marTop w:val="120"/>
          <w:marBottom w:val="0"/>
          <w:divBdr>
            <w:top w:val="none" w:sz="0" w:space="0" w:color="auto"/>
            <w:left w:val="none" w:sz="0" w:space="0" w:color="auto"/>
            <w:bottom w:val="none" w:sz="0" w:space="0" w:color="auto"/>
            <w:right w:val="none" w:sz="0" w:space="0" w:color="auto"/>
          </w:divBdr>
        </w:div>
        <w:div w:id="1533880776">
          <w:marLeft w:val="0"/>
          <w:marRight w:val="0"/>
          <w:marTop w:val="240"/>
          <w:marBottom w:val="24"/>
          <w:divBdr>
            <w:top w:val="none" w:sz="0" w:space="0" w:color="auto"/>
            <w:left w:val="none" w:sz="0" w:space="0" w:color="auto"/>
            <w:bottom w:val="none" w:sz="0" w:space="0" w:color="auto"/>
            <w:right w:val="none" w:sz="0" w:space="0" w:color="auto"/>
          </w:divBdr>
        </w:div>
        <w:div w:id="696270703">
          <w:marLeft w:val="0"/>
          <w:marRight w:val="0"/>
          <w:marTop w:val="120"/>
          <w:marBottom w:val="0"/>
          <w:divBdr>
            <w:top w:val="none" w:sz="0" w:space="0" w:color="auto"/>
            <w:left w:val="none" w:sz="0" w:space="0" w:color="auto"/>
            <w:bottom w:val="none" w:sz="0" w:space="0" w:color="auto"/>
            <w:right w:val="none" w:sz="0" w:space="0" w:color="auto"/>
          </w:divBdr>
          <w:divsChild>
            <w:div w:id="1662659639">
              <w:marLeft w:val="0"/>
              <w:marRight w:val="0"/>
              <w:marTop w:val="20"/>
              <w:marBottom w:val="0"/>
              <w:divBdr>
                <w:top w:val="none" w:sz="0" w:space="0" w:color="auto"/>
                <w:left w:val="none" w:sz="0" w:space="0" w:color="auto"/>
                <w:bottom w:val="none" w:sz="0" w:space="0" w:color="auto"/>
                <w:right w:val="none" w:sz="0" w:space="0" w:color="auto"/>
              </w:divBdr>
            </w:div>
            <w:div w:id="1568805390">
              <w:marLeft w:val="0"/>
              <w:marRight w:val="0"/>
              <w:marTop w:val="0"/>
              <w:marBottom w:val="0"/>
              <w:divBdr>
                <w:top w:val="none" w:sz="0" w:space="0" w:color="auto"/>
                <w:left w:val="none" w:sz="0" w:space="0" w:color="auto"/>
                <w:bottom w:val="none" w:sz="0" w:space="0" w:color="auto"/>
                <w:right w:val="none" w:sz="0" w:space="0" w:color="auto"/>
              </w:divBdr>
            </w:div>
            <w:div w:id="507406028">
              <w:marLeft w:val="0"/>
              <w:marRight w:val="0"/>
              <w:marTop w:val="20"/>
              <w:marBottom w:val="0"/>
              <w:divBdr>
                <w:top w:val="none" w:sz="0" w:space="0" w:color="auto"/>
                <w:left w:val="none" w:sz="0" w:space="0" w:color="auto"/>
                <w:bottom w:val="none" w:sz="0" w:space="0" w:color="auto"/>
                <w:right w:val="none" w:sz="0" w:space="0" w:color="auto"/>
              </w:divBdr>
            </w:div>
            <w:div w:id="10825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240657">
      <w:bodyDiv w:val="1"/>
      <w:marLeft w:val="0"/>
      <w:marRight w:val="0"/>
      <w:marTop w:val="0"/>
      <w:marBottom w:val="0"/>
      <w:divBdr>
        <w:top w:val="none" w:sz="0" w:space="0" w:color="auto"/>
        <w:left w:val="none" w:sz="0" w:space="0" w:color="auto"/>
        <w:bottom w:val="none" w:sz="0" w:space="0" w:color="auto"/>
        <w:right w:val="none" w:sz="0" w:space="0" w:color="auto"/>
      </w:divBdr>
      <w:divsChild>
        <w:div w:id="2073384395">
          <w:marLeft w:val="0"/>
          <w:marRight w:val="0"/>
          <w:marTop w:val="120"/>
          <w:marBottom w:val="0"/>
          <w:divBdr>
            <w:top w:val="none" w:sz="0" w:space="0" w:color="auto"/>
            <w:left w:val="none" w:sz="0" w:space="0" w:color="auto"/>
            <w:bottom w:val="none" w:sz="0" w:space="0" w:color="auto"/>
            <w:right w:val="none" w:sz="0" w:space="0" w:color="auto"/>
          </w:divBdr>
        </w:div>
        <w:div w:id="2038697848">
          <w:marLeft w:val="0"/>
          <w:marRight w:val="0"/>
          <w:marTop w:val="240"/>
          <w:marBottom w:val="24"/>
          <w:divBdr>
            <w:top w:val="none" w:sz="0" w:space="0" w:color="auto"/>
            <w:left w:val="none" w:sz="0" w:space="0" w:color="auto"/>
            <w:bottom w:val="none" w:sz="0" w:space="0" w:color="auto"/>
            <w:right w:val="none" w:sz="0" w:space="0" w:color="auto"/>
          </w:divBdr>
        </w:div>
        <w:div w:id="1240099284">
          <w:marLeft w:val="0"/>
          <w:marRight w:val="0"/>
          <w:marTop w:val="120"/>
          <w:marBottom w:val="0"/>
          <w:divBdr>
            <w:top w:val="none" w:sz="0" w:space="0" w:color="auto"/>
            <w:left w:val="none" w:sz="0" w:space="0" w:color="auto"/>
            <w:bottom w:val="none" w:sz="0" w:space="0" w:color="auto"/>
            <w:right w:val="none" w:sz="0" w:space="0" w:color="auto"/>
          </w:divBdr>
          <w:divsChild>
            <w:div w:id="1989239128">
              <w:marLeft w:val="0"/>
              <w:marRight w:val="0"/>
              <w:marTop w:val="20"/>
              <w:marBottom w:val="0"/>
              <w:divBdr>
                <w:top w:val="none" w:sz="0" w:space="0" w:color="auto"/>
                <w:left w:val="none" w:sz="0" w:space="0" w:color="auto"/>
                <w:bottom w:val="none" w:sz="0" w:space="0" w:color="auto"/>
                <w:right w:val="none" w:sz="0" w:space="0" w:color="auto"/>
              </w:divBdr>
            </w:div>
            <w:div w:id="34151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05343">
      <w:bodyDiv w:val="1"/>
      <w:marLeft w:val="0"/>
      <w:marRight w:val="0"/>
      <w:marTop w:val="0"/>
      <w:marBottom w:val="0"/>
      <w:divBdr>
        <w:top w:val="none" w:sz="0" w:space="0" w:color="auto"/>
        <w:left w:val="none" w:sz="0" w:space="0" w:color="auto"/>
        <w:bottom w:val="none" w:sz="0" w:space="0" w:color="auto"/>
        <w:right w:val="none" w:sz="0" w:space="0" w:color="auto"/>
      </w:divBdr>
    </w:div>
    <w:div w:id="753432892">
      <w:bodyDiv w:val="1"/>
      <w:marLeft w:val="0"/>
      <w:marRight w:val="0"/>
      <w:marTop w:val="0"/>
      <w:marBottom w:val="0"/>
      <w:divBdr>
        <w:top w:val="none" w:sz="0" w:space="0" w:color="auto"/>
        <w:left w:val="none" w:sz="0" w:space="0" w:color="auto"/>
        <w:bottom w:val="none" w:sz="0" w:space="0" w:color="auto"/>
        <w:right w:val="none" w:sz="0" w:space="0" w:color="auto"/>
      </w:divBdr>
    </w:div>
    <w:div w:id="952441477">
      <w:bodyDiv w:val="1"/>
      <w:marLeft w:val="0"/>
      <w:marRight w:val="0"/>
      <w:marTop w:val="0"/>
      <w:marBottom w:val="0"/>
      <w:divBdr>
        <w:top w:val="none" w:sz="0" w:space="0" w:color="auto"/>
        <w:left w:val="none" w:sz="0" w:space="0" w:color="auto"/>
        <w:bottom w:val="none" w:sz="0" w:space="0" w:color="auto"/>
        <w:right w:val="none" w:sz="0" w:space="0" w:color="auto"/>
      </w:divBdr>
    </w:div>
    <w:div w:id="1233200784">
      <w:bodyDiv w:val="1"/>
      <w:marLeft w:val="0"/>
      <w:marRight w:val="0"/>
      <w:marTop w:val="0"/>
      <w:marBottom w:val="0"/>
      <w:divBdr>
        <w:top w:val="none" w:sz="0" w:space="0" w:color="auto"/>
        <w:left w:val="none" w:sz="0" w:space="0" w:color="auto"/>
        <w:bottom w:val="none" w:sz="0" w:space="0" w:color="auto"/>
        <w:right w:val="none" w:sz="0" w:space="0" w:color="auto"/>
      </w:divBdr>
    </w:div>
    <w:div w:id="1247156325">
      <w:bodyDiv w:val="1"/>
      <w:marLeft w:val="0"/>
      <w:marRight w:val="0"/>
      <w:marTop w:val="0"/>
      <w:marBottom w:val="0"/>
      <w:divBdr>
        <w:top w:val="none" w:sz="0" w:space="0" w:color="auto"/>
        <w:left w:val="none" w:sz="0" w:space="0" w:color="auto"/>
        <w:bottom w:val="none" w:sz="0" w:space="0" w:color="auto"/>
        <w:right w:val="none" w:sz="0" w:space="0" w:color="auto"/>
      </w:divBdr>
    </w:div>
    <w:div w:id="1292782655">
      <w:bodyDiv w:val="1"/>
      <w:marLeft w:val="0"/>
      <w:marRight w:val="0"/>
      <w:marTop w:val="0"/>
      <w:marBottom w:val="0"/>
      <w:divBdr>
        <w:top w:val="none" w:sz="0" w:space="0" w:color="auto"/>
        <w:left w:val="none" w:sz="0" w:space="0" w:color="auto"/>
        <w:bottom w:val="none" w:sz="0" w:space="0" w:color="auto"/>
        <w:right w:val="none" w:sz="0" w:space="0" w:color="auto"/>
      </w:divBdr>
    </w:div>
    <w:div w:id="1585650834">
      <w:bodyDiv w:val="1"/>
      <w:marLeft w:val="0"/>
      <w:marRight w:val="0"/>
      <w:marTop w:val="0"/>
      <w:marBottom w:val="0"/>
      <w:divBdr>
        <w:top w:val="none" w:sz="0" w:space="0" w:color="auto"/>
        <w:left w:val="none" w:sz="0" w:space="0" w:color="auto"/>
        <w:bottom w:val="none" w:sz="0" w:space="0" w:color="auto"/>
        <w:right w:val="none" w:sz="0" w:space="0" w:color="auto"/>
      </w:divBdr>
    </w:div>
    <w:div w:id="1698965598">
      <w:bodyDiv w:val="1"/>
      <w:marLeft w:val="0"/>
      <w:marRight w:val="0"/>
      <w:marTop w:val="0"/>
      <w:marBottom w:val="0"/>
      <w:divBdr>
        <w:top w:val="none" w:sz="0" w:space="0" w:color="auto"/>
        <w:left w:val="none" w:sz="0" w:space="0" w:color="auto"/>
        <w:bottom w:val="none" w:sz="0" w:space="0" w:color="auto"/>
        <w:right w:val="none" w:sz="0" w:space="0" w:color="auto"/>
      </w:divBdr>
    </w:div>
    <w:div w:id="1862087924">
      <w:bodyDiv w:val="1"/>
      <w:marLeft w:val="0"/>
      <w:marRight w:val="0"/>
      <w:marTop w:val="0"/>
      <w:marBottom w:val="0"/>
      <w:divBdr>
        <w:top w:val="none" w:sz="0" w:space="0" w:color="auto"/>
        <w:left w:val="none" w:sz="0" w:space="0" w:color="auto"/>
        <w:bottom w:val="none" w:sz="0" w:space="0" w:color="auto"/>
        <w:right w:val="none" w:sz="0" w:space="0" w:color="auto"/>
      </w:divBdr>
    </w:div>
    <w:div w:id="1872985276">
      <w:bodyDiv w:val="1"/>
      <w:marLeft w:val="0"/>
      <w:marRight w:val="0"/>
      <w:marTop w:val="0"/>
      <w:marBottom w:val="0"/>
      <w:divBdr>
        <w:top w:val="none" w:sz="0" w:space="0" w:color="auto"/>
        <w:left w:val="none" w:sz="0" w:space="0" w:color="auto"/>
        <w:bottom w:val="none" w:sz="0" w:space="0" w:color="auto"/>
        <w:right w:val="none" w:sz="0" w:space="0" w:color="auto"/>
      </w:divBdr>
    </w:div>
    <w:div w:id="2085250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89D07-E6FD-4090-8D78-DBF89B0C3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3290</Words>
  <Characters>18758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Goosen</dc:creator>
  <cp:keywords/>
  <dc:description/>
  <cp:lastModifiedBy>Mary Bruce</cp:lastModifiedBy>
  <cp:revision>4</cp:revision>
  <cp:lastPrinted>2024-03-28T06:49:00Z</cp:lastPrinted>
  <dcterms:created xsi:type="dcterms:W3CDTF">2024-03-28T06:54:00Z</dcterms:created>
  <dcterms:modified xsi:type="dcterms:W3CDTF">2024-03-28T13:12:00Z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52119a46fd0fd7058acbcef03b6f283fa6739c5a5d129c359d5022f6715d0d30</vt:lpwstr>
  </property>
</Properties>
</file>