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3FEE19" w14:textId="77777777" w:rsidR="006A0BFB" w:rsidRPr="006A0BFB" w:rsidRDefault="006A0BFB" w:rsidP="006A0BFB">
      <w:pPr>
        <w:spacing w:before="0" w:after="160" w:line="259" w:lineRule="auto"/>
        <w:rPr>
          <w:rFonts w:ascii="Times New Roman" w:hAnsi="Times New Roman"/>
          <w:sz w:val="28"/>
          <w:szCs w:val="28"/>
          <w:highlight w:val="yellow"/>
        </w:rPr>
      </w:pPr>
      <w:r w:rsidRPr="006A0BFB">
        <w:rPr>
          <w:rFonts w:ascii="Times New Roman" w:eastAsia="Times New Roman" w:hAnsi="Times New Roman"/>
          <w:noProof/>
          <w:sz w:val="28"/>
          <w:szCs w:val="28"/>
          <w:highlight w:val="yellow"/>
          <w:lang w:eastAsia="en-ZA"/>
        </w:rPr>
        <w:drawing>
          <wp:anchor distT="0" distB="0" distL="114300" distR="114300" simplePos="0" relativeHeight="251659264" behindDoc="0" locked="0" layoutInCell="1" allowOverlap="1" wp14:anchorId="2CDDBA15" wp14:editId="5138724C">
            <wp:simplePos x="0" y="0"/>
            <wp:positionH relativeFrom="margin">
              <wp:align>center</wp:align>
            </wp:positionH>
            <wp:positionV relativeFrom="paragraph">
              <wp:posOffset>0</wp:posOffset>
            </wp:positionV>
            <wp:extent cx="914400" cy="914400"/>
            <wp:effectExtent l="0" t="0" r="0" b="0"/>
            <wp:wrapSquare wrapText="bothSides"/>
            <wp:docPr id="2"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9E0F86" w14:textId="77777777" w:rsidR="006A0BFB" w:rsidRPr="006A0BFB" w:rsidRDefault="006A0BFB" w:rsidP="006A0BFB">
      <w:pPr>
        <w:widowControl w:val="0"/>
        <w:autoSpaceDE w:val="0"/>
        <w:autoSpaceDN w:val="0"/>
        <w:adjustRightInd w:val="0"/>
        <w:spacing w:before="0" w:after="0" w:line="259" w:lineRule="auto"/>
        <w:rPr>
          <w:rFonts w:ascii="Times New Roman" w:hAnsi="Times New Roman"/>
          <w:sz w:val="28"/>
          <w:szCs w:val="28"/>
          <w:highlight w:val="yellow"/>
        </w:rPr>
      </w:pPr>
    </w:p>
    <w:p w14:paraId="4FC65B60" w14:textId="77777777" w:rsidR="006A0BFB" w:rsidRPr="006A0BFB" w:rsidRDefault="006A0BFB" w:rsidP="006A0BFB">
      <w:pPr>
        <w:widowControl w:val="0"/>
        <w:autoSpaceDE w:val="0"/>
        <w:autoSpaceDN w:val="0"/>
        <w:adjustRightInd w:val="0"/>
        <w:spacing w:before="0" w:after="0" w:line="259" w:lineRule="auto"/>
        <w:rPr>
          <w:rFonts w:ascii="Times New Roman" w:eastAsia="Times New Roman" w:hAnsi="Times New Roman"/>
          <w:b/>
          <w:bCs/>
          <w:sz w:val="28"/>
          <w:szCs w:val="28"/>
          <w:highlight w:val="yellow"/>
          <w:lang w:eastAsia="en-ZA"/>
        </w:rPr>
      </w:pPr>
    </w:p>
    <w:p w14:paraId="07AC4799" w14:textId="77777777" w:rsidR="006A0BFB" w:rsidRPr="006A0BFB" w:rsidRDefault="006A0BFB" w:rsidP="006A0BFB">
      <w:pPr>
        <w:widowControl w:val="0"/>
        <w:autoSpaceDE w:val="0"/>
        <w:autoSpaceDN w:val="0"/>
        <w:adjustRightInd w:val="0"/>
        <w:spacing w:before="120" w:after="0" w:line="240" w:lineRule="auto"/>
        <w:jc w:val="center"/>
        <w:rPr>
          <w:rFonts w:eastAsia="Times New Roman" w:cs="Arial"/>
          <w:b/>
          <w:bCs/>
          <w:szCs w:val="24"/>
          <w:highlight w:val="yellow"/>
          <w:lang w:eastAsia="en-ZA"/>
        </w:rPr>
      </w:pPr>
    </w:p>
    <w:p w14:paraId="77436443" w14:textId="77777777" w:rsidR="006A0BFB" w:rsidRPr="006A0BFB" w:rsidRDefault="006A0BFB" w:rsidP="006A0BFB">
      <w:pPr>
        <w:widowControl w:val="0"/>
        <w:autoSpaceDE w:val="0"/>
        <w:autoSpaceDN w:val="0"/>
        <w:adjustRightInd w:val="0"/>
        <w:spacing w:before="0" w:after="120" w:line="259" w:lineRule="auto"/>
        <w:jc w:val="center"/>
        <w:rPr>
          <w:rFonts w:eastAsia="Times New Roman" w:cs="Arial"/>
          <w:b/>
          <w:bCs/>
          <w:szCs w:val="24"/>
          <w:lang w:eastAsia="en-ZA"/>
        </w:rPr>
      </w:pPr>
      <w:r w:rsidRPr="006A0BFB">
        <w:rPr>
          <w:rFonts w:eastAsia="Times New Roman" w:cs="Arial"/>
          <w:b/>
          <w:bCs/>
          <w:szCs w:val="24"/>
          <w:lang w:eastAsia="en-ZA"/>
        </w:rPr>
        <w:t>THE SUPREME COURT OF APPEAL OF SOUTH AFRICA</w:t>
      </w:r>
    </w:p>
    <w:p w14:paraId="6F6A5A92" w14:textId="77777777" w:rsidR="006A0BFB" w:rsidRPr="006A0BFB" w:rsidRDefault="006A0BFB" w:rsidP="006F2928">
      <w:pPr>
        <w:widowControl w:val="0"/>
        <w:tabs>
          <w:tab w:val="left" w:pos="623"/>
          <w:tab w:val="left" w:pos="1920"/>
          <w:tab w:val="center" w:pos="4513"/>
        </w:tabs>
        <w:autoSpaceDE w:val="0"/>
        <w:autoSpaceDN w:val="0"/>
        <w:adjustRightInd w:val="0"/>
        <w:spacing w:before="0" w:after="0" w:line="240" w:lineRule="auto"/>
        <w:outlineLvl w:val="0"/>
        <w:rPr>
          <w:rFonts w:eastAsia="Times New Roman" w:cs="Arial"/>
          <w:b/>
          <w:bCs/>
          <w:szCs w:val="24"/>
          <w:lang w:eastAsia="en-ZA"/>
        </w:rPr>
      </w:pPr>
      <w:r w:rsidRPr="006A0BFB">
        <w:rPr>
          <w:rFonts w:eastAsia="Times New Roman" w:cs="Arial"/>
          <w:b/>
          <w:bCs/>
          <w:szCs w:val="24"/>
          <w:lang w:eastAsia="en-ZA"/>
        </w:rPr>
        <w:tab/>
      </w:r>
      <w:r w:rsidRPr="006A0BFB">
        <w:rPr>
          <w:rFonts w:eastAsia="Times New Roman" w:cs="Arial"/>
          <w:b/>
          <w:bCs/>
          <w:szCs w:val="24"/>
          <w:lang w:eastAsia="en-ZA"/>
        </w:rPr>
        <w:tab/>
      </w:r>
      <w:r w:rsidRPr="006A0BFB">
        <w:rPr>
          <w:rFonts w:eastAsia="Times New Roman" w:cs="Arial"/>
          <w:b/>
          <w:bCs/>
          <w:szCs w:val="24"/>
          <w:lang w:eastAsia="en-ZA"/>
        </w:rPr>
        <w:tab/>
        <w:t>JUDGMENT</w:t>
      </w:r>
    </w:p>
    <w:p w14:paraId="5E21732C" w14:textId="77777777" w:rsidR="006A0BFB" w:rsidRPr="006A0BFB" w:rsidRDefault="006A0BFB" w:rsidP="006A0BFB">
      <w:pPr>
        <w:widowControl w:val="0"/>
        <w:autoSpaceDE w:val="0"/>
        <w:autoSpaceDN w:val="0"/>
        <w:adjustRightInd w:val="0"/>
        <w:spacing w:before="0" w:after="0" w:line="259" w:lineRule="auto"/>
        <w:ind w:left="1440" w:firstLine="720"/>
        <w:jc w:val="right"/>
        <w:outlineLvl w:val="0"/>
        <w:rPr>
          <w:rFonts w:eastAsia="Times New Roman" w:cs="Arial"/>
          <w:b/>
          <w:bCs/>
          <w:szCs w:val="24"/>
          <w:lang w:eastAsia="en-ZA"/>
        </w:rPr>
      </w:pPr>
      <w:bookmarkStart w:id="0" w:name="_Hlk107737895"/>
    </w:p>
    <w:p w14:paraId="444C3A9F" w14:textId="366D17F1" w:rsidR="006A0BFB" w:rsidRPr="006A0BFB" w:rsidRDefault="006A0BFB" w:rsidP="005B2294">
      <w:pPr>
        <w:widowControl w:val="0"/>
        <w:autoSpaceDE w:val="0"/>
        <w:autoSpaceDN w:val="0"/>
        <w:adjustRightInd w:val="0"/>
        <w:spacing w:before="0" w:after="0"/>
        <w:ind w:left="1440" w:firstLine="720"/>
        <w:jc w:val="right"/>
        <w:outlineLvl w:val="0"/>
        <w:rPr>
          <w:rFonts w:eastAsia="Times New Roman" w:cs="Arial"/>
          <w:b/>
          <w:bCs/>
          <w:szCs w:val="24"/>
          <w:lang w:eastAsia="en-ZA"/>
        </w:rPr>
      </w:pPr>
      <w:r w:rsidRPr="006A0BFB">
        <w:rPr>
          <w:rFonts w:eastAsia="Times New Roman" w:cs="Arial"/>
          <w:b/>
          <w:bCs/>
          <w:szCs w:val="24"/>
          <w:lang w:eastAsia="en-ZA"/>
        </w:rPr>
        <w:t>Not Reportable</w:t>
      </w:r>
      <w:bookmarkEnd w:id="0"/>
    </w:p>
    <w:p w14:paraId="16A7DEEC" w14:textId="77777777" w:rsidR="006A0BFB" w:rsidRPr="006A0BFB" w:rsidRDefault="006A0BFB" w:rsidP="005B2294">
      <w:pPr>
        <w:autoSpaceDE w:val="0"/>
        <w:autoSpaceDN w:val="0"/>
        <w:adjustRightInd w:val="0"/>
        <w:spacing w:before="0" w:after="0"/>
        <w:ind w:firstLine="720"/>
        <w:jc w:val="right"/>
        <w:rPr>
          <w:rFonts w:eastAsia="Times New Roman" w:cs="Arial"/>
          <w:bCs/>
          <w:szCs w:val="24"/>
          <w:lang w:eastAsia="en-ZA"/>
        </w:rPr>
      </w:pPr>
      <w:r w:rsidRPr="006A0BFB">
        <w:rPr>
          <w:rFonts w:cs="Arial"/>
          <w:color w:val="0D0D0D"/>
          <w:szCs w:val="24"/>
        </w:rPr>
        <w:t>Case no: 0</w:t>
      </w:r>
      <w:r w:rsidRPr="006A0BFB">
        <w:rPr>
          <w:rFonts w:eastAsia="Times New Roman" w:cs="Arial"/>
          <w:bCs/>
          <w:szCs w:val="24"/>
          <w:lang w:eastAsia="en-ZA"/>
        </w:rPr>
        <w:t>90/2021</w:t>
      </w:r>
    </w:p>
    <w:p w14:paraId="411FB496" w14:textId="77777777" w:rsidR="006A0BFB" w:rsidRPr="006A0BFB" w:rsidRDefault="006A0BFB" w:rsidP="006F2928">
      <w:pPr>
        <w:autoSpaceDE w:val="0"/>
        <w:autoSpaceDN w:val="0"/>
        <w:adjustRightInd w:val="0"/>
        <w:spacing w:before="0" w:after="0" w:line="240" w:lineRule="auto"/>
        <w:ind w:firstLine="720"/>
        <w:jc w:val="right"/>
        <w:rPr>
          <w:rFonts w:eastAsia="Times New Roman" w:cs="Arial"/>
          <w:bCs/>
          <w:szCs w:val="24"/>
          <w:lang w:eastAsia="en-ZA"/>
        </w:rPr>
      </w:pPr>
    </w:p>
    <w:p w14:paraId="785FC8D0" w14:textId="77777777" w:rsidR="006A0BFB" w:rsidRPr="006A0BFB" w:rsidRDefault="006A0BFB" w:rsidP="006F2928">
      <w:pPr>
        <w:autoSpaceDE w:val="0"/>
        <w:autoSpaceDN w:val="0"/>
        <w:adjustRightInd w:val="0"/>
        <w:spacing w:before="0" w:after="120"/>
        <w:jc w:val="both"/>
        <w:rPr>
          <w:rFonts w:eastAsia="Times New Roman" w:cs="Arial"/>
          <w:szCs w:val="24"/>
          <w:lang w:eastAsia="en-ZA"/>
        </w:rPr>
      </w:pPr>
      <w:r w:rsidRPr="006A0BFB">
        <w:rPr>
          <w:rFonts w:eastAsia="Times New Roman" w:cs="Arial"/>
          <w:szCs w:val="24"/>
          <w:lang w:eastAsia="en-ZA"/>
        </w:rPr>
        <w:t>In the matter between:</w:t>
      </w:r>
    </w:p>
    <w:p w14:paraId="0DA7CA1A" w14:textId="77777777" w:rsidR="006A0BFB" w:rsidRPr="006A0BFB" w:rsidRDefault="006A0BFB" w:rsidP="006A0BFB">
      <w:pPr>
        <w:autoSpaceDE w:val="0"/>
        <w:autoSpaceDN w:val="0"/>
        <w:adjustRightInd w:val="0"/>
        <w:spacing w:before="0" w:after="0"/>
        <w:jc w:val="both"/>
        <w:rPr>
          <w:rFonts w:eastAsia="Times New Roman" w:cs="Arial"/>
          <w:b/>
          <w:szCs w:val="24"/>
          <w:lang w:eastAsia="en-ZA"/>
        </w:rPr>
      </w:pPr>
      <w:r w:rsidRPr="006A0BFB">
        <w:rPr>
          <w:rFonts w:eastAsia="Times New Roman" w:cs="Arial"/>
          <w:b/>
          <w:szCs w:val="24"/>
          <w:lang w:eastAsia="en-ZA"/>
        </w:rPr>
        <w:t>NATIONAL DEPARTMENT OF PUBLIC WORKS</w:t>
      </w:r>
      <w:r w:rsidRPr="006A0BFB">
        <w:rPr>
          <w:rFonts w:eastAsia="Times New Roman" w:cs="Arial"/>
          <w:b/>
          <w:szCs w:val="24"/>
          <w:lang w:eastAsia="en-ZA"/>
        </w:rPr>
        <w:tab/>
      </w:r>
      <w:r w:rsidRPr="006A0BFB">
        <w:rPr>
          <w:rFonts w:eastAsia="Times New Roman" w:cs="Arial"/>
          <w:b/>
          <w:szCs w:val="24"/>
          <w:lang w:eastAsia="en-ZA"/>
        </w:rPr>
        <w:tab/>
      </w:r>
      <w:r w:rsidRPr="006A0BFB">
        <w:rPr>
          <w:rFonts w:eastAsia="Times New Roman" w:cs="Arial"/>
          <w:b/>
          <w:szCs w:val="24"/>
          <w:lang w:eastAsia="en-ZA"/>
        </w:rPr>
        <w:tab/>
        <w:t xml:space="preserve">     APPELLANT</w:t>
      </w:r>
    </w:p>
    <w:p w14:paraId="790108B4" w14:textId="77777777" w:rsidR="006A0BFB" w:rsidRPr="006A0BFB" w:rsidRDefault="006A0BFB" w:rsidP="006F2928">
      <w:pPr>
        <w:autoSpaceDE w:val="0"/>
        <w:autoSpaceDN w:val="0"/>
        <w:adjustRightInd w:val="0"/>
        <w:spacing w:before="0" w:after="0" w:line="240" w:lineRule="auto"/>
        <w:jc w:val="both"/>
        <w:rPr>
          <w:rFonts w:eastAsia="Times New Roman" w:cs="Arial"/>
          <w:b/>
          <w:szCs w:val="24"/>
          <w:lang w:eastAsia="en-ZA"/>
        </w:rPr>
      </w:pPr>
    </w:p>
    <w:p w14:paraId="37B7E99C" w14:textId="77777777" w:rsidR="006A0BFB" w:rsidRPr="006A0BFB" w:rsidRDefault="006A0BFB" w:rsidP="006A0BFB">
      <w:pPr>
        <w:autoSpaceDE w:val="0"/>
        <w:autoSpaceDN w:val="0"/>
        <w:adjustRightInd w:val="0"/>
        <w:spacing w:before="0" w:after="0"/>
        <w:jc w:val="both"/>
        <w:rPr>
          <w:rFonts w:eastAsia="Times New Roman" w:cs="Arial"/>
          <w:b/>
          <w:szCs w:val="24"/>
          <w:lang w:eastAsia="en-ZA"/>
        </w:rPr>
      </w:pPr>
      <w:r w:rsidRPr="006A0BFB">
        <w:rPr>
          <w:rFonts w:eastAsia="Times New Roman" w:cs="Arial"/>
          <w:b/>
          <w:szCs w:val="24"/>
          <w:lang w:eastAsia="en-ZA"/>
        </w:rPr>
        <w:t xml:space="preserve">and </w:t>
      </w:r>
    </w:p>
    <w:p w14:paraId="2589E834" w14:textId="77777777" w:rsidR="006A0BFB" w:rsidRPr="006A0BFB" w:rsidRDefault="006A0BFB" w:rsidP="006F2928">
      <w:pPr>
        <w:autoSpaceDE w:val="0"/>
        <w:autoSpaceDN w:val="0"/>
        <w:adjustRightInd w:val="0"/>
        <w:spacing w:before="0" w:after="0" w:line="240" w:lineRule="auto"/>
        <w:jc w:val="both"/>
        <w:rPr>
          <w:rFonts w:eastAsia="Times New Roman" w:cs="Arial"/>
          <w:b/>
          <w:szCs w:val="24"/>
          <w:lang w:eastAsia="en-ZA"/>
        </w:rPr>
      </w:pPr>
    </w:p>
    <w:p w14:paraId="369DE743" w14:textId="77777777" w:rsidR="006A0BFB" w:rsidRPr="006A0BFB" w:rsidRDefault="006A0BFB" w:rsidP="006A0BFB">
      <w:pPr>
        <w:autoSpaceDE w:val="0"/>
        <w:autoSpaceDN w:val="0"/>
        <w:adjustRightInd w:val="0"/>
        <w:spacing w:before="0" w:after="0" w:line="240" w:lineRule="auto"/>
        <w:jc w:val="both"/>
        <w:rPr>
          <w:rFonts w:eastAsia="Times New Roman" w:cs="Arial"/>
          <w:b/>
          <w:szCs w:val="24"/>
          <w:lang w:eastAsia="en-ZA"/>
        </w:rPr>
      </w:pPr>
      <w:r w:rsidRPr="006A0BFB">
        <w:rPr>
          <w:rFonts w:eastAsia="Times New Roman" w:cs="Arial"/>
          <w:b/>
          <w:szCs w:val="24"/>
          <w:lang w:eastAsia="en-ZA"/>
        </w:rPr>
        <w:t xml:space="preserve">SIMPHIWE FANI &amp; 77 OTHERS </w:t>
      </w:r>
      <w:r w:rsidRPr="006A0BFB">
        <w:rPr>
          <w:rFonts w:eastAsia="Times New Roman" w:cs="Arial"/>
          <w:b/>
          <w:szCs w:val="24"/>
          <w:lang w:eastAsia="en-ZA"/>
        </w:rPr>
        <w:tab/>
      </w:r>
      <w:r w:rsidRPr="006A0BFB">
        <w:rPr>
          <w:rFonts w:eastAsia="Times New Roman" w:cs="Arial"/>
          <w:b/>
          <w:szCs w:val="24"/>
          <w:lang w:eastAsia="en-ZA"/>
        </w:rPr>
        <w:tab/>
      </w:r>
      <w:r w:rsidRPr="006A0BFB">
        <w:rPr>
          <w:rFonts w:eastAsia="Times New Roman" w:cs="Arial"/>
          <w:b/>
          <w:szCs w:val="24"/>
          <w:lang w:eastAsia="en-ZA"/>
        </w:rPr>
        <w:tab/>
      </w:r>
      <w:r w:rsidRPr="006A0BFB">
        <w:rPr>
          <w:rFonts w:eastAsia="Times New Roman" w:cs="Arial"/>
          <w:b/>
          <w:szCs w:val="24"/>
          <w:lang w:eastAsia="en-ZA"/>
        </w:rPr>
        <w:tab/>
      </w:r>
      <w:r w:rsidRPr="006A0BFB">
        <w:rPr>
          <w:rFonts w:eastAsia="Times New Roman" w:cs="Arial"/>
          <w:b/>
          <w:szCs w:val="24"/>
          <w:lang w:eastAsia="en-ZA"/>
        </w:rPr>
        <w:tab/>
        <w:t xml:space="preserve">  FIRST RESPONDENT</w:t>
      </w:r>
    </w:p>
    <w:p w14:paraId="62BDBD0B" w14:textId="77777777" w:rsidR="006A0BFB" w:rsidRPr="006A0BFB" w:rsidRDefault="006A0BFB" w:rsidP="006A0BFB">
      <w:pPr>
        <w:autoSpaceDE w:val="0"/>
        <w:autoSpaceDN w:val="0"/>
        <w:adjustRightInd w:val="0"/>
        <w:spacing w:before="0" w:after="0" w:line="240" w:lineRule="auto"/>
        <w:jc w:val="both"/>
        <w:rPr>
          <w:rFonts w:eastAsia="Times New Roman" w:cs="Arial"/>
          <w:b/>
          <w:szCs w:val="24"/>
          <w:lang w:eastAsia="en-ZA"/>
        </w:rPr>
      </w:pPr>
      <w:r w:rsidRPr="006A0BFB">
        <w:rPr>
          <w:rFonts w:eastAsia="Times New Roman" w:cs="Arial"/>
          <w:b/>
          <w:szCs w:val="24"/>
          <w:lang w:eastAsia="en-ZA"/>
        </w:rPr>
        <w:t xml:space="preserve">[COLLECTIVELY REFERRED TO AS “RESIDENTS </w:t>
      </w:r>
    </w:p>
    <w:p w14:paraId="240A48AF" w14:textId="77777777" w:rsidR="006A0BFB" w:rsidRPr="006A0BFB" w:rsidRDefault="006A0BFB" w:rsidP="006A0BFB">
      <w:pPr>
        <w:autoSpaceDE w:val="0"/>
        <w:autoSpaceDN w:val="0"/>
        <w:adjustRightInd w:val="0"/>
        <w:spacing w:before="0" w:after="0" w:line="240" w:lineRule="auto"/>
        <w:jc w:val="both"/>
        <w:rPr>
          <w:rFonts w:eastAsia="Times New Roman" w:cs="Arial"/>
          <w:b/>
          <w:szCs w:val="24"/>
          <w:lang w:eastAsia="en-ZA"/>
        </w:rPr>
      </w:pPr>
      <w:r w:rsidRPr="006A0BFB">
        <w:rPr>
          <w:rFonts w:eastAsia="Times New Roman" w:cs="Arial"/>
          <w:b/>
          <w:szCs w:val="24"/>
          <w:lang w:eastAsia="en-ZA"/>
        </w:rPr>
        <w:t>OF FARM GREYDEL (AIRPORT PARK)”]</w:t>
      </w:r>
    </w:p>
    <w:p w14:paraId="39931474" w14:textId="77777777" w:rsidR="006A0BFB" w:rsidRPr="006A0BFB" w:rsidRDefault="006A0BFB" w:rsidP="006A0BFB">
      <w:pPr>
        <w:autoSpaceDE w:val="0"/>
        <w:autoSpaceDN w:val="0"/>
        <w:adjustRightInd w:val="0"/>
        <w:spacing w:before="0" w:after="0" w:line="240" w:lineRule="auto"/>
        <w:jc w:val="both"/>
        <w:rPr>
          <w:rFonts w:eastAsia="Times New Roman" w:cs="Arial"/>
          <w:b/>
          <w:szCs w:val="24"/>
          <w:lang w:eastAsia="en-ZA"/>
        </w:rPr>
      </w:pPr>
    </w:p>
    <w:p w14:paraId="5A84666E" w14:textId="77777777" w:rsidR="006A0BFB" w:rsidRPr="006A0BFB" w:rsidRDefault="006A0BFB" w:rsidP="006A0BFB">
      <w:pPr>
        <w:autoSpaceDE w:val="0"/>
        <w:autoSpaceDN w:val="0"/>
        <w:adjustRightInd w:val="0"/>
        <w:spacing w:before="0" w:after="0"/>
        <w:jc w:val="both"/>
        <w:rPr>
          <w:rFonts w:eastAsia="Times New Roman" w:cs="Arial"/>
          <w:b/>
          <w:szCs w:val="24"/>
          <w:lang w:eastAsia="en-ZA"/>
        </w:rPr>
      </w:pPr>
      <w:r w:rsidRPr="006A0BFB">
        <w:rPr>
          <w:rFonts w:eastAsia="Times New Roman" w:cs="Arial"/>
          <w:b/>
          <w:szCs w:val="24"/>
          <w:lang w:eastAsia="en-ZA"/>
        </w:rPr>
        <w:t>VATHISWA JACK</w:t>
      </w:r>
      <w:r w:rsidRPr="006A0BFB">
        <w:rPr>
          <w:rFonts w:eastAsia="Times New Roman" w:cs="Arial"/>
          <w:b/>
          <w:szCs w:val="24"/>
          <w:lang w:eastAsia="en-ZA"/>
        </w:rPr>
        <w:tab/>
      </w:r>
      <w:r w:rsidRPr="006A0BFB">
        <w:rPr>
          <w:rFonts w:eastAsia="Times New Roman" w:cs="Arial"/>
          <w:b/>
          <w:szCs w:val="24"/>
          <w:lang w:eastAsia="en-ZA"/>
        </w:rPr>
        <w:tab/>
      </w:r>
      <w:r w:rsidRPr="006A0BFB">
        <w:rPr>
          <w:rFonts w:eastAsia="Times New Roman" w:cs="Arial"/>
          <w:b/>
          <w:szCs w:val="24"/>
          <w:lang w:eastAsia="en-ZA"/>
        </w:rPr>
        <w:tab/>
      </w:r>
      <w:r w:rsidRPr="006A0BFB">
        <w:rPr>
          <w:rFonts w:eastAsia="Times New Roman" w:cs="Arial"/>
          <w:b/>
          <w:szCs w:val="24"/>
          <w:lang w:eastAsia="en-ZA"/>
        </w:rPr>
        <w:tab/>
      </w:r>
      <w:r w:rsidRPr="006A0BFB">
        <w:rPr>
          <w:rFonts w:eastAsia="Times New Roman" w:cs="Arial"/>
          <w:b/>
          <w:szCs w:val="24"/>
          <w:lang w:eastAsia="en-ZA"/>
        </w:rPr>
        <w:tab/>
      </w:r>
      <w:r w:rsidRPr="006A0BFB">
        <w:rPr>
          <w:rFonts w:eastAsia="Times New Roman" w:cs="Arial"/>
          <w:b/>
          <w:szCs w:val="24"/>
          <w:lang w:eastAsia="en-ZA"/>
        </w:rPr>
        <w:tab/>
        <w:t xml:space="preserve">       SECOND RESPONDENT</w:t>
      </w:r>
    </w:p>
    <w:p w14:paraId="245A5DF5" w14:textId="77777777" w:rsidR="006A0BFB" w:rsidRPr="006A0BFB" w:rsidRDefault="006A0BFB" w:rsidP="006F2928">
      <w:pPr>
        <w:spacing w:before="0" w:after="0" w:line="240" w:lineRule="auto"/>
        <w:rPr>
          <w:rFonts w:eastAsia="Times New Roman" w:cs="Arial"/>
          <w:b/>
          <w:szCs w:val="24"/>
          <w:lang w:eastAsia="en-ZA"/>
        </w:rPr>
      </w:pPr>
    </w:p>
    <w:p w14:paraId="39D34B3C" w14:textId="48A303FD" w:rsidR="006A0BFB" w:rsidRPr="006A0BFB" w:rsidRDefault="006A0BFB" w:rsidP="006A0BFB">
      <w:pPr>
        <w:autoSpaceDE w:val="0"/>
        <w:autoSpaceDN w:val="0"/>
        <w:adjustRightInd w:val="0"/>
        <w:spacing w:before="0" w:after="0"/>
        <w:jc w:val="both"/>
        <w:rPr>
          <w:rFonts w:eastAsia="Times New Roman" w:cs="Arial"/>
          <w:szCs w:val="24"/>
          <w:lang w:eastAsia="en-ZA"/>
        </w:rPr>
      </w:pPr>
      <w:r w:rsidRPr="006A0BFB">
        <w:rPr>
          <w:rFonts w:eastAsia="Times New Roman" w:cs="Arial"/>
          <w:b/>
          <w:szCs w:val="24"/>
          <w:lang w:eastAsia="en-ZA"/>
        </w:rPr>
        <w:t>Neutral citation:</w:t>
      </w:r>
      <w:r w:rsidRPr="006A0BFB">
        <w:rPr>
          <w:rFonts w:eastAsia="Times New Roman" w:cs="Arial"/>
          <w:szCs w:val="24"/>
          <w:lang w:eastAsia="en-ZA"/>
        </w:rPr>
        <w:t xml:space="preserve"> </w:t>
      </w:r>
      <w:r w:rsidRPr="006A0BFB">
        <w:rPr>
          <w:rFonts w:eastAsia="Times New Roman" w:cs="Arial"/>
          <w:i/>
          <w:szCs w:val="24"/>
          <w:lang w:eastAsia="en-ZA"/>
        </w:rPr>
        <w:t>National Department of Public Works v Fani and 77 Others [Collec</w:t>
      </w:r>
      <w:r w:rsidR="00C47882">
        <w:rPr>
          <w:rFonts w:eastAsia="Times New Roman" w:cs="Arial"/>
          <w:i/>
          <w:szCs w:val="24"/>
          <w:lang w:eastAsia="en-ZA"/>
        </w:rPr>
        <w:softHyphen/>
      </w:r>
      <w:r w:rsidRPr="006A0BFB">
        <w:rPr>
          <w:rFonts w:eastAsia="Times New Roman" w:cs="Arial"/>
          <w:i/>
          <w:szCs w:val="24"/>
          <w:lang w:eastAsia="en-ZA"/>
        </w:rPr>
        <w:t xml:space="preserve">tively referred to as “Residents of Farm Greydel (Airport Park)”] and Another </w:t>
      </w:r>
      <w:r w:rsidRPr="006A0BFB">
        <w:rPr>
          <w:rFonts w:eastAsia="Times New Roman" w:cs="Arial"/>
          <w:szCs w:val="24"/>
          <w:lang w:eastAsia="en-ZA"/>
        </w:rPr>
        <w:t xml:space="preserve">(090/2021) [2024] ZASCA </w:t>
      </w:r>
      <w:r w:rsidR="006F2928">
        <w:rPr>
          <w:rFonts w:eastAsia="Times New Roman" w:cs="Arial"/>
          <w:szCs w:val="24"/>
          <w:lang w:eastAsia="en-ZA"/>
        </w:rPr>
        <w:t>43</w:t>
      </w:r>
      <w:r w:rsidRPr="006A0BFB">
        <w:rPr>
          <w:rFonts w:eastAsia="Times New Roman" w:cs="Arial"/>
          <w:szCs w:val="24"/>
          <w:lang w:eastAsia="en-ZA"/>
        </w:rPr>
        <w:t xml:space="preserve"> (</w:t>
      </w:r>
      <w:r w:rsidR="006F2928">
        <w:rPr>
          <w:rFonts w:eastAsia="Times New Roman" w:cs="Arial"/>
          <w:szCs w:val="24"/>
          <w:lang w:eastAsia="en-ZA"/>
        </w:rPr>
        <w:t>8</w:t>
      </w:r>
      <w:r w:rsidRPr="006A0BFB">
        <w:rPr>
          <w:rFonts w:eastAsia="Times New Roman" w:cs="Arial"/>
          <w:szCs w:val="24"/>
          <w:lang w:eastAsia="en-ZA"/>
        </w:rPr>
        <w:t xml:space="preserve"> </w:t>
      </w:r>
      <w:r w:rsidR="006F2928">
        <w:rPr>
          <w:rFonts w:eastAsia="Times New Roman" w:cs="Arial"/>
          <w:szCs w:val="24"/>
          <w:lang w:eastAsia="en-ZA"/>
        </w:rPr>
        <w:t>April</w:t>
      </w:r>
      <w:r w:rsidRPr="006A0BFB">
        <w:rPr>
          <w:rFonts w:eastAsia="Times New Roman" w:cs="Arial"/>
          <w:szCs w:val="24"/>
          <w:lang w:eastAsia="en-ZA"/>
        </w:rPr>
        <w:t xml:space="preserve"> 2024)</w:t>
      </w:r>
    </w:p>
    <w:p w14:paraId="79F9FE5B" w14:textId="77777777" w:rsidR="006A0BFB" w:rsidRPr="006A0BFB" w:rsidRDefault="006A0BFB" w:rsidP="006F2928">
      <w:pPr>
        <w:autoSpaceDE w:val="0"/>
        <w:autoSpaceDN w:val="0"/>
        <w:adjustRightInd w:val="0"/>
        <w:spacing w:before="0" w:after="0" w:line="240" w:lineRule="auto"/>
        <w:jc w:val="both"/>
        <w:rPr>
          <w:rFonts w:eastAsia="Times New Roman" w:cs="Arial"/>
          <w:szCs w:val="24"/>
          <w:lang w:eastAsia="en-ZA"/>
        </w:rPr>
      </w:pPr>
    </w:p>
    <w:p w14:paraId="069FE6CB" w14:textId="64F9DFC0" w:rsidR="006A0BFB" w:rsidRPr="006A0BFB" w:rsidRDefault="006A0BFB" w:rsidP="00467C77">
      <w:pPr>
        <w:autoSpaceDE w:val="0"/>
        <w:autoSpaceDN w:val="0"/>
        <w:adjustRightInd w:val="0"/>
        <w:spacing w:before="0" w:after="0"/>
        <w:ind w:left="1440" w:hanging="1440"/>
        <w:jc w:val="both"/>
        <w:rPr>
          <w:rFonts w:eastAsia="Times New Roman" w:cs="Arial"/>
          <w:szCs w:val="24"/>
          <w:lang w:eastAsia="en-ZA"/>
        </w:rPr>
      </w:pPr>
      <w:r w:rsidRPr="006A0BFB">
        <w:rPr>
          <w:rFonts w:eastAsia="Times New Roman" w:cs="Arial"/>
          <w:b/>
          <w:szCs w:val="24"/>
          <w:lang w:eastAsia="en-ZA"/>
        </w:rPr>
        <w:t>Coram:</w:t>
      </w:r>
      <w:r w:rsidRPr="006A0BFB">
        <w:rPr>
          <w:rFonts w:eastAsia="Times New Roman" w:cs="Arial"/>
          <w:szCs w:val="24"/>
          <w:lang w:eastAsia="en-ZA"/>
        </w:rPr>
        <w:tab/>
      </w:r>
      <w:r w:rsidR="00467C77">
        <w:rPr>
          <w:rFonts w:eastAsia="Times New Roman" w:cs="Arial"/>
          <w:szCs w:val="24"/>
          <w:lang w:eastAsia="en-ZA"/>
        </w:rPr>
        <w:t>SCHIPPERS</w:t>
      </w:r>
      <w:r w:rsidRPr="006A0BFB">
        <w:rPr>
          <w:rFonts w:eastAsia="Times New Roman" w:cs="Arial"/>
          <w:szCs w:val="24"/>
          <w:lang w:eastAsia="en-ZA"/>
        </w:rPr>
        <w:t xml:space="preserve">, </w:t>
      </w:r>
      <w:r w:rsidR="00467C77">
        <w:rPr>
          <w:rFonts w:eastAsia="Times New Roman" w:cs="Arial"/>
          <w:szCs w:val="24"/>
          <w:lang w:eastAsia="en-ZA"/>
        </w:rPr>
        <w:t>GOOSEN</w:t>
      </w:r>
      <w:r w:rsidRPr="006A0BFB">
        <w:rPr>
          <w:rFonts w:eastAsia="Times New Roman" w:cs="Arial"/>
          <w:szCs w:val="24"/>
          <w:lang w:eastAsia="en-ZA"/>
        </w:rPr>
        <w:t xml:space="preserve"> </w:t>
      </w:r>
      <w:r w:rsidR="00467C77">
        <w:rPr>
          <w:rFonts w:eastAsia="Times New Roman" w:cs="Arial"/>
          <w:szCs w:val="24"/>
          <w:lang w:eastAsia="en-ZA"/>
        </w:rPr>
        <w:t>and</w:t>
      </w:r>
      <w:r w:rsidRPr="006A0BFB">
        <w:rPr>
          <w:rFonts w:eastAsia="Times New Roman" w:cs="Arial"/>
          <w:szCs w:val="24"/>
          <w:lang w:eastAsia="en-ZA"/>
        </w:rPr>
        <w:t xml:space="preserve"> </w:t>
      </w:r>
      <w:r w:rsidR="00467C77">
        <w:rPr>
          <w:rFonts w:eastAsia="Times New Roman" w:cs="Arial"/>
          <w:szCs w:val="24"/>
          <w:lang w:eastAsia="en-ZA"/>
        </w:rPr>
        <w:t>KGOELE</w:t>
      </w:r>
      <w:r w:rsidRPr="006A0BFB">
        <w:rPr>
          <w:rFonts w:eastAsia="Times New Roman" w:cs="Arial"/>
          <w:szCs w:val="24"/>
          <w:lang w:eastAsia="en-ZA"/>
        </w:rPr>
        <w:t xml:space="preserve"> JJA </w:t>
      </w:r>
      <w:r w:rsidR="00467C77">
        <w:rPr>
          <w:rFonts w:eastAsia="Times New Roman" w:cs="Arial"/>
          <w:szCs w:val="24"/>
          <w:lang w:eastAsia="en-ZA"/>
        </w:rPr>
        <w:t>and</w:t>
      </w:r>
      <w:r w:rsidRPr="006A0BFB">
        <w:rPr>
          <w:rFonts w:eastAsia="Times New Roman" w:cs="Arial"/>
          <w:szCs w:val="24"/>
          <w:lang w:eastAsia="en-ZA"/>
        </w:rPr>
        <w:t xml:space="preserve"> </w:t>
      </w:r>
      <w:r w:rsidR="00467C77">
        <w:rPr>
          <w:rFonts w:eastAsia="Times New Roman" w:cs="Arial"/>
          <w:szCs w:val="24"/>
          <w:lang w:eastAsia="en-ZA"/>
        </w:rPr>
        <w:t>BAARTMAN</w:t>
      </w:r>
      <w:r w:rsidRPr="006A0BFB">
        <w:rPr>
          <w:rFonts w:eastAsia="Times New Roman" w:cs="Arial"/>
          <w:szCs w:val="24"/>
          <w:lang w:eastAsia="en-ZA"/>
        </w:rPr>
        <w:t xml:space="preserve"> </w:t>
      </w:r>
      <w:r w:rsidR="00467C77">
        <w:rPr>
          <w:rFonts w:eastAsia="Times New Roman" w:cs="Arial"/>
          <w:szCs w:val="24"/>
          <w:lang w:eastAsia="en-ZA"/>
        </w:rPr>
        <w:t>and</w:t>
      </w:r>
      <w:r w:rsidRPr="006A0BFB">
        <w:rPr>
          <w:rFonts w:eastAsia="Times New Roman" w:cs="Arial"/>
          <w:szCs w:val="24"/>
          <w:lang w:eastAsia="en-ZA"/>
        </w:rPr>
        <w:t xml:space="preserve"> </w:t>
      </w:r>
      <w:r w:rsidR="00467C77">
        <w:rPr>
          <w:rFonts w:eastAsia="Times New Roman" w:cs="Arial"/>
          <w:szCs w:val="24"/>
          <w:lang w:eastAsia="en-ZA"/>
        </w:rPr>
        <w:t>BLOEM</w:t>
      </w:r>
      <w:r w:rsidRPr="006A0BFB">
        <w:rPr>
          <w:rFonts w:eastAsia="Times New Roman" w:cs="Arial"/>
          <w:szCs w:val="24"/>
          <w:lang w:eastAsia="en-ZA"/>
        </w:rPr>
        <w:t xml:space="preserve"> AJJA</w:t>
      </w:r>
    </w:p>
    <w:p w14:paraId="3F65A56E" w14:textId="77777777" w:rsidR="006A0BFB" w:rsidRPr="006A0BFB" w:rsidRDefault="006A0BFB" w:rsidP="006A0BFB">
      <w:pPr>
        <w:autoSpaceDE w:val="0"/>
        <w:autoSpaceDN w:val="0"/>
        <w:adjustRightInd w:val="0"/>
        <w:spacing w:before="0" w:after="0" w:line="240" w:lineRule="auto"/>
        <w:jc w:val="both"/>
        <w:rPr>
          <w:rFonts w:eastAsia="Times New Roman" w:cs="Arial"/>
          <w:szCs w:val="24"/>
          <w:lang w:eastAsia="en-ZA"/>
        </w:rPr>
      </w:pPr>
    </w:p>
    <w:p w14:paraId="398842D4" w14:textId="77777777" w:rsidR="006A0BFB" w:rsidRPr="006A0BFB" w:rsidRDefault="006A0BFB" w:rsidP="006A0BFB">
      <w:pPr>
        <w:autoSpaceDE w:val="0"/>
        <w:autoSpaceDN w:val="0"/>
        <w:adjustRightInd w:val="0"/>
        <w:spacing w:before="0" w:after="0" w:line="240" w:lineRule="auto"/>
        <w:jc w:val="both"/>
        <w:rPr>
          <w:rFonts w:eastAsia="Times New Roman" w:cs="Arial"/>
          <w:szCs w:val="24"/>
          <w:lang w:eastAsia="en-ZA"/>
        </w:rPr>
      </w:pPr>
      <w:r w:rsidRPr="006A0BFB">
        <w:rPr>
          <w:rFonts w:eastAsia="Times New Roman" w:cs="Arial"/>
          <w:b/>
          <w:szCs w:val="24"/>
          <w:lang w:eastAsia="en-ZA"/>
        </w:rPr>
        <w:t>Heard:</w:t>
      </w:r>
      <w:r w:rsidRPr="006A0BFB">
        <w:rPr>
          <w:rFonts w:eastAsia="Times New Roman" w:cs="Arial"/>
          <w:szCs w:val="24"/>
          <w:lang w:eastAsia="en-ZA"/>
        </w:rPr>
        <w:tab/>
        <w:t>18 March 2024</w:t>
      </w:r>
    </w:p>
    <w:p w14:paraId="3B789F00" w14:textId="77777777" w:rsidR="006A0BFB" w:rsidRPr="006A0BFB" w:rsidRDefault="006A0BFB" w:rsidP="006A0BFB">
      <w:pPr>
        <w:autoSpaceDE w:val="0"/>
        <w:autoSpaceDN w:val="0"/>
        <w:adjustRightInd w:val="0"/>
        <w:spacing w:before="0" w:after="0" w:line="240" w:lineRule="auto"/>
        <w:jc w:val="both"/>
        <w:rPr>
          <w:rFonts w:eastAsia="Times New Roman" w:cs="Arial"/>
          <w:szCs w:val="24"/>
          <w:lang w:eastAsia="en-ZA"/>
        </w:rPr>
      </w:pPr>
    </w:p>
    <w:p w14:paraId="198399EF" w14:textId="547932E9" w:rsidR="006F2928" w:rsidRPr="00DD1C31" w:rsidRDefault="006A0BFB" w:rsidP="006F2928">
      <w:pPr>
        <w:widowControl w:val="0"/>
        <w:autoSpaceDE w:val="0"/>
        <w:autoSpaceDN w:val="0"/>
        <w:adjustRightInd w:val="0"/>
        <w:spacing w:before="0" w:after="0"/>
        <w:jc w:val="both"/>
        <w:outlineLvl w:val="0"/>
        <w:rPr>
          <w:rFonts w:eastAsiaTheme="minorEastAsia" w:cs="Arial"/>
          <w:szCs w:val="24"/>
          <w:lang w:eastAsia="en-ZA"/>
        </w:rPr>
      </w:pPr>
      <w:r w:rsidRPr="006A0BFB">
        <w:rPr>
          <w:rFonts w:eastAsia="Times New Roman" w:cs="Arial"/>
          <w:b/>
          <w:szCs w:val="24"/>
          <w:lang w:eastAsia="en-ZA"/>
        </w:rPr>
        <w:t>Delivered:</w:t>
      </w:r>
      <w:r w:rsidRPr="006A0BFB">
        <w:rPr>
          <w:rFonts w:eastAsia="Times New Roman" w:cs="Arial"/>
          <w:szCs w:val="24"/>
          <w:lang w:eastAsia="en-ZA"/>
        </w:rPr>
        <w:tab/>
      </w:r>
      <w:r w:rsidR="006F2928" w:rsidRPr="00DD1C31">
        <w:rPr>
          <w:rFonts w:eastAsiaTheme="minorEastAsia" w:cs="Arial"/>
          <w:szCs w:val="24"/>
          <w:lang w:eastAsia="en-ZA"/>
        </w:rPr>
        <w:t>This judgment was handed down electronically by circulation to the pa</w:t>
      </w:r>
      <w:r w:rsidR="006F2928">
        <w:rPr>
          <w:rFonts w:eastAsiaTheme="minorEastAsia" w:cs="Arial"/>
          <w:szCs w:val="24"/>
          <w:lang w:eastAsia="en-ZA"/>
        </w:rPr>
        <w:t>r</w:t>
      </w:r>
      <w:r w:rsidR="00C47882">
        <w:rPr>
          <w:rFonts w:eastAsiaTheme="minorEastAsia" w:cs="Arial"/>
          <w:szCs w:val="24"/>
          <w:lang w:eastAsia="en-ZA"/>
        </w:rPr>
        <w:softHyphen/>
      </w:r>
      <w:r w:rsidR="006F2928">
        <w:rPr>
          <w:rFonts w:eastAsiaTheme="minorEastAsia" w:cs="Arial"/>
          <w:szCs w:val="24"/>
          <w:lang w:eastAsia="en-ZA"/>
        </w:rPr>
        <w:t>ties’ representatives by email;</w:t>
      </w:r>
      <w:r w:rsidR="006F2928" w:rsidRPr="00DD1C31">
        <w:rPr>
          <w:rFonts w:eastAsiaTheme="minorEastAsia" w:cs="Arial"/>
          <w:szCs w:val="24"/>
          <w:lang w:eastAsia="en-ZA"/>
        </w:rPr>
        <w:t xml:space="preserve"> publication on the Supreme Court of Appeal website</w:t>
      </w:r>
      <w:r w:rsidR="006F2928">
        <w:rPr>
          <w:rFonts w:eastAsiaTheme="minorEastAsia" w:cs="Arial"/>
          <w:szCs w:val="24"/>
          <w:lang w:eastAsia="en-ZA"/>
        </w:rPr>
        <w:t>;</w:t>
      </w:r>
      <w:r w:rsidR="006F2928" w:rsidRPr="00DD1C31">
        <w:rPr>
          <w:rFonts w:eastAsiaTheme="minorEastAsia" w:cs="Arial"/>
          <w:szCs w:val="24"/>
          <w:lang w:eastAsia="en-ZA"/>
        </w:rPr>
        <w:t xml:space="preserve"> and release to SAF</w:t>
      </w:r>
      <w:r w:rsidR="006F2928">
        <w:rPr>
          <w:rFonts w:eastAsiaTheme="minorEastAsia" w:cs="Arial"/>
          <w:szCs w:val="24"/>
          <w:lang w:eastAsia="en-ZA"/>
        </w:rPr>
        <w:t>LII. The time and date for hand-</w:t>
      </w:r>
      <w:r w:rsidR="006F2928" w:rsidRPr="00DD1C31">
        <w:rPr>
          <w:rFonts w:eastAsiaTheme="minorEastAsia" w:cs="Arial"/>
          <w:szCs w:val="24"/>
          <w:lang w:eastAsia="en-ZA"/>
        </w:rPr>
        <w:t xml:space="preserve">down is deemed to be 11h00 on the </w:t>
      </w:r>
      <w:r w:rsidR="006F2928">
        <w:rPr>
          <w:rFonts w:eastAsiaTheme="minorEastAsia" w:cs="Arial"/>
          <w:szCs w:val="24"/>
          <w:lang w:eastAsia="en-ZA"/>
        </w:rPr>
        <w:t>8</w:t>
      </w:r>
      <w:r w:rsidR="006F2928" w:rsidRPr="00DD1C31">
        <w:rPr>
          <w:rFonts w:eastAsiaTheme="minorEastAsia" w:cs="Arial"/>
          <w:szCs w:val="24"/>
          <w:vertAlign w:val="superscript"/>
          <w:lang w:eastAsia="en-ZA"/>
        </w:rPr>
        <w:t>th</w:t>
      </w:r>
      <w:r w:rsidR="006F2928" w:rsidRPr="00DD1C31">
        <w:rPr>
          <w:rFonts w:eastAsiaTheme="minorEastAsia" w:cs="Arial"/>
          <w:szCs w:val="24"/>
          <w:lang w:eastAsia="en-ZA"/>
        </w:rPr>
        <w:t xml:space="preserve"> day of April 2024.</w:t>
      </w:r>
    </w:p>
    <w:p w14:paraId="35512ADC" w14:textId="77777777" w:rsidR="006A0BFB" w:rsidRPr="006A0BFB" w:rsidRDefault="006A0BFB" w:rsidP="006A0BFB">
      <w:pPr>
        <w:autoSpaceDE w:val="0"/>
        <w:autoSpaceDN w:val="0"/>
        <w:adjustRightInd w:val="0"/>
        <w:spacing w:before="0" w:after="0" w:line="240" w:lineRule="auto"/>
        <w:jc w:val="both"/>
        <w:rPr>
          <w:rFonts w:eastAsia="Times New Roman" w:cs="Arial"/>
          <w:szCs w:val="24"/>
          <w:lang w:eastAsia="en-ZA"/>
        </w:rPr>
      </w:pPr>
    </w:p>
    <w:p w14:paraId="63AE32BF" w14:textId="014879E7" w:rsidR="006A0BFB" w:rsidRPr="006A0BFB" w:rsidRDefault="006A0BFB" w:rsidP="00467C77">
      <w:pPr>
        <w:autoSpaceDE w:val="0"/>
        <w:autoSpaceDN w:val="0"/>
        <w:adjustRightInd w:val="0"/>
        <w:spacing w:before="0" w:after="0"/>
        <w:jc w:val="both"/>
        <w:rPr>
          <w:rFonts w:eastAsia="Times New Roman" w:cs="Arial"/>
          <w:szCs w:val="24"/>
          <w:lang w:eastAsia="en-ZA"/>
        </w:rPr>
      </w:pPr>
      <w:r w:rsidRPr="006A0BFB">
        <w:rPr>
          <w:rFonts w:eastAsia="Times New Roman" w:cs="Arial"/>
          <w:b/>
          <w:szCs w:val="24"/>
          <w:lang w:eastAsia="en-ZA"/>
        </w:rPr>
        <w:t>Summary:</w:t>
      </w:r>
      <w:r w:rsidRPr="006A0BFB">
        <w:rPr>
          <w:rFonts w:eastAsia="Times New Roman" w:cs="Arial"/>
          <w:szCs w:val="24"/>
          <w:lang w:eastAsia="en-ZA"/>
        </w:rPr>
        <w:tab/>
        <w:t xml:space="preserve">Condonation – </w:t>
      </w:r>
      <w:r w:rsidR="00665791">
        <w:rPr>
          <w:rFonts w:eastAsia="Times New Roman" w:cs="Arial"/>
          <w:szCs w:val="24"/>
          <w:lang w:eastAsia="en-ZA"/>
        </w:rPr>
        <w:t>lapsed appeal –</w:t>
      </w:r>
      <w:r w:rsidR="002C5645">
        <w:rPr>
          <w:rFonts w:eastAsia="Times New Roman" w:cs="Arial"/>
          <w:szCs w:val="24"/>
          <w:lang w:eastAsia="en-ZA"/>
        </w:rPr>
        <w:t xml:space="preserve"> </w:t>
      </w:r>
      <w:r w:rsidRPr="006A0BFB">
        <w:rPr>
          <w:rFonts w:eastAsia="Times New Roman" w:cs="Arial"/>
          <w:szCs w:val="24"/>
          <w:lang w:eastAsia="en-ZA"/>
        </w:rPr>
        <w:t>late filing of record and heads of argu</w:t>
      </w:r>
      <w:r w:rsidR="00C47882">
        <w:rPr>
          <w:rFonts w:eastAsia="Times New Roman" w:cs="Arial"/>
          <w:szCs w:val="24"/>
          <w:lang w:eastAsia="en-ZA"/>
        </w:rPr>
        <w:softHyphen/>
      </w:r>
      <w:r w:rsidRPr="006A0BFB">
        <w:rPr>
          <w:rFonts w:eastAsia="Times New Roman" w:cs="Arial"/>
          <w:szCs w:val="24"/>
          <w:lang w:eastAsia="en-ZA"/>
        </w:rPr>
        <w:t>ment</w:t>
      </w:r>
      <w:r w:rsidR="00665791">
        <w:rPr>
          <w:rFonts w:eastAsia="Times New Roman" w:cs="Arial"/>
          <w:szCs w:val="24"/>
          <w:lang w:eastAsia="en-ZA"/>
        </w:rPr>
        <w:t xml:space="preserve"> </w:t>
      </w:r>
      <w:r w:rsidR="00665791" w:rsidRPr="006A0BFB">
        <w:rPr>
          <w:rFonts w:eastAsia="Times New Roman" w:cs="Arial"/>
          <w:szCs w:val="24"/>
          <w:lang w:eastAsia="en-ZA"/>
        </w:rPr>
        <w:t>–</w:t>
      </w:r>
      <w:r w:rsidR="002C5645">
        <w:rPr>
          <w:rFonts w:eastAsia="Times New Roman" w:cs="Arial"/>
          <w:szCs w:val="24"/>
          <w:lang w:eastAsia="en-ZA"/>
        </w:rPr>
        <w:t xml:space="preserve"> </w:t>
      </w:r>
      <w:r w:rsidRPr="006A0BFB">
        <w:rPr>
          <w:rFonts w:eastAsia="Times New Roman" w:cs="Arial"/>
          <w:szCs w:val="24"/>
          <w:lang w:eastAsia="en-ZA"/>
        </w:rPr>
        <w:t xml:space="preserve">delay not fully explained and prospects of </w:t>
      </w:r>
      <w:r w:rsidR="00072C81" w:rsidRPr="006A0BFB">
        <w:rPr>
          <w:rFonts w:eastAsia="Times New Roman" w:cs="Arial"/>
          <w:szCs w:val="24"/>
          <w:lang w:eastAsia="en-ZA"/>
        </w:rPr>
        <w:t>success remote</w:t>
      </w:r>
      <w:r w:rsidRPr="006A0BFB">
        <w:rPr>
          <w:rFonts w:eastAsia="Times New Roman" w:cs="Arial"/>
          <w:szCs w:val="24"/>
          <w:lang w:eastAsia="en-ZA"/>
        </w:rPr>
        <w:t xml:space="preserve"> – </w:t>
      </w:r>
      <w:r w:rsidR="00665791">
        <w:rPr>
          <w:rFonts w:eastAsia="Times New Roman" w:cs="Arial"/>
          <w:szCs w:val="24"/>
          <w:lang w:eastAsia="en-ZA"/>
        </w:rPr>
        <w:t>condonation re</w:t>
      </w:r>
      <w:r w:rsidR="00C47882">
        <w:rPr>
          <w:rFonts w:eastAsia="Times New Roman" w:cs="Arial"/>
          <w:szCs w:val="24"/>
          <w:lang w:eastAsia="en-ZA"/>
        </w:rPr>
        <w:softHyphen/>
      </w:r>
      <w:r w:rsidR="00665791">
        <w:rPr>
          <w:rFonts w:eastAsia="Times New Roman" w:cs="Arial"/>
          <w:szCs w:val="24"/>
          <w:lang w:eastAsia="en-ZA"/>
        </w:rPr>
        <w:t>fused.</w:t>
      </w:r>
      <w:r w:rsidRPr="006A0BFB">
        <w:rPr>
          <w:rFonts w:eastAsia="Times New Roman" w:cs="Arial"/>
          <w:szCs w:val="24"/>
          <w:lang w:eastAsia="en-ZA"/>
        </w:rPr>
        <w:br w:type="page"/>
      </w:r>
    </w:p>
    <w:p w14:paraId="0343A905" w14:textId="77777777" w:rsidR="006A0BFB" w:rsidRDefault="006A0BFB" w:rsidP="00467C77">
      <w:pPr>
        <w:keepNext/>
        <w:keepLines/>
        <w:pBdr>
          <w:top w:val="single" w:sz="12" w:space="1" w:color="auto"/>
          <w:bottom w:val="single" w:sz="12" w:space="1" w:color="auto"/>
        </w:pBdr>
        <w:shd w:val="clear" w:color="auto" w:fill="FFFFFF"/>
        <w:spacing w:before="0" w:after="0" w:line="240" w:lineRule="auto"/>
        <w:jc w:val="both"/>
        <w:outlineLvl w:val="1"/>
        <w:rPr>
          <w:rFonts w:eastAsiaTheme="minorEastAsia" w:cs="Arial"/>
          <w:szCs w:val="24"/>
          <w:lang w:eastAsia="en-ZA"/>
        </w:rPr>
      </w:pPr>
    </w:p>
    <w:p w14:paraId="55B7CEB3" w14:textId="77777777" w:rsidR="006A0BFB" w:rsidRPr="000163B3" w:rsidRDefault="006A0BFB" w:rsidP="00467C77">
      <w:pPr>
        <w:keepNext/>
        <w:keepLines/>
        <w:pBdr>
          <w:top w:val="single" w:sz="12" w:space="1" w:color="auto"/>
          <w:bottom w:val="single" w:sz="12" w:space="1" w:color="auto"/>
        </w:pBdr>
        <w:shd w:val="clear" w:color="auto" w:fill="FFFFFF"/>
        <w:spacing w:before="0" w:after="0" w:line="240" w:lineRule="auto"/>
        <w:jc w:val="center"/>
        <w:outlineLvl w:val="1"/>
        <w:rPr>
          <w:rFonts w:eastAsiaTheme="minorEastAsia" w:cs="Arial"/>
          <w:b/>
          <w:szCs w:val="24"/>
          <w:lang w:eastAsia="en-ZA"/>
        </w:rPr>
      </w:pPr>
      <w:r w:rsidRPr="000163B3">
        <w:rPr>
          <w:rFonts w:eastAsiaTheme="minorEastAsia" w:cs="Arial"/>
          <w:b/>
          <w:szCs w:val="24"/>
          <w:lang w:eastAsia="en-ZA"/>
        </w:rPr>
        <w:t>ORDER</w:t>
      </w:r>
    </w:p>
    <w:p w14:paraId="0781977A" w14:textId="77777777" w:rsidR="006A0BFB" w:rsidRDefault="006A0BFB" w:rsidP="00467C77">
      <w:pPr>
        <w:keepNext/>
        <w:keepLines/>
        <w:pBdr>
          <w:top w:val="single" w:sz="12" w:space="1" w:color="auto"/>
          <w:bottom w:val="single" w:sz="12" w:space="1" w:color="auto"/>
        </w:pBdr>
        <w:shd w:val="clear" w:color="auto" w:fill="FFFFFF"/>
        <w:spacing w:before="0" w:after="0" w:line="240" w:lineRule="auto"/>
        <w:jc w:val="both"/>
        <w:outlineLvl w:val="1"/>
        <w:rPr>
          <w:rFonts w:eastAsiaTheme="minorEastAsia" w:cs="Arial"/>
          <w:szCs w:val="24"/>
          <w:lang w:eastAsia="en-ZA"/>
        </w:rPr>
      </w:pPr>
    </w:p>
    <w:p w14:paraId="119CE3C3" w14:textId="6E530C63" w:rsidR="006A0BFB" w:rsidRPr="00FD3AF5" w:rsidRDefault="006A0BFB" w:rsidP="006A0BFB">
      <w:pPr>
        <w:keepNext/>
        <w:keepLines/>
        <w:shd w:val="clear" w:color="auto" w:fill="FFFFFF"/>
        <w:spacing w:before="240" w:after="0"/>
        <w:jc w:val="both"/>
        <w:outlineLvl w:val="1"/>
        <w:rPr>
          <w:rFonts w:eastAsiaTheme="minorEastAsia" w:cs="Arial"/>
          <w:szCs w:val="24"/>
          <w:lang w:eastAsia="en-ZA"/>
        </w:rPr>
      </w:pPr>
      <w:r w:rsidRPr="000163B3">
        <w:rPr>
          <w:rFonts w:eastAsiaTheme="minorEastAsia" w:cs="Arial"/>
          <w:b/>
          <w:szCs w:val="24"/>
          <w:lang w:eastAsia="en-ZA"/>
        </w:rPr>
        <w:t>On appeal from</w:t>
      </w:r>
      <w:r>
        <w:rPr>
          <w:rFonts w:eastAsiaTheme="minorEastAsia" w:cs="Arial"/>
          <w:szCs w:val="24"/>
          <w:lang w:eastAsia="en-ZA"/>
        </w:rPr>
        <w:t>:</w:t>
      </w:r>
      <w:r w:rsidRPr="00FD3AF5">
        <w:rPr>
          <w:rFonts w:eastAsiaTheme="minorEastAsia" w:cs="Arial"/>
          <w:szCs w:val="24"/>
          <w:lang w:eastAsia="en-ZA"/>
        </w:rPr>
        <w:t xml:space="preserve"> </w:t>
      </w:r>
      <w:r w:rsidRPr="00381D67">
        <w:rPr>
          <w:rFonts w:eastAsiaTheme="minorEastAsia" w:cs="Arial"/>
          <w:szCs w:val="24"/>
          <w:lang w:eastAsia="en-ZA"/>
        </w:rPr>
        <w:t>Eastern Cape Division of the High Court, East London Circuit</w:t>
      </w:r>
      <w:r w:rsidR="004171AB">
        <w:rPr>
          <w:rFonts w:eastAsiaTheme="minorEastAsia" w:cs="Arial"/>
          <w:szCs w:val="24"/>
          <w:lang w:eastAsia="en-ZA"/>
        </w:rPr>
        <w:t xml:space="preserve"> Court</w:t>
      </w:r>
      <w:r>
        <w:rPr>
          <w:rFonts w:eastAsiaTheme="minorEastAsia" w:cs="Arial"/>
          <w:szCs w:val="24"/>
          <w:lang w:eastAsia="en-ZA"/>
        </w:rPr>
        <w:t xml:space="preserve">, </w:t>
      </w:r>
      <w:r w:rsidRPr="00FD3AF5">
        <w:rPr>
          <w:rFonts w:eastAsiaTheme="minorEastAsia" w:cs="Arial"/>
          <w:szCs w:val="24"/>
          <w:lang w:eastAsia="en-ZA"/>
        </w:rPr>
        <w:t>(Hartle J sitting as court of first instance)</w:t>
      </w:r>
      <w:r>
        <w:rPr>
          <w:rFonts w:eastAsiaTheme="minorEastAsia" w:cs="Arial"/>
          <w:szCs w:val="24"/>
          <w:lang w:eastAsia="en-ZA"/>
        </w:rPr>
        <w:t>:</w:t>
      </w:r>
    </w:p>
    <w:p w14:paraId="4ADA6B68" w14:textId="14BB8FAF" w:rsidR="006A0BFB" w:rsidRDefault="006A0BFB" w:rsidP="006A0BFB">
      <w:pPr>
        <w:keepNext/>
        <w:keepLines/>
        <w:shd w:val="clear" w:color="auto" w:fill="FFFFFF"/>
        <w:spacing w:before="120" w:after="0"/>
        <w:jc w:val="both"/>
        <w:outlineLvl w:val="1"/>
        <w:rPr>
          <w:rFonts w:eastAsiaTheme="minorEastAsia" w:cs="Arial"/>
          <w:szCs w:val="24"/>
          <w:lang w:eastAsia="en-ZA"/>
        </w:rPr>
      </w:pPr>
      <w:r w:rsidRPr="00FD3AF5">
        <w:rPr>
          <w:rFonts w:eastAsiaTheme="minorEastAsia" w:cs="Arial"/>
          <w:szCs w:val="24"/>
          <w:lang w:eastAsia="en-ZA"/>
        </w:rPr>
        <w:t>The application for condonation is refused with</w:t>
      </w:r>
      <w:r w:rsidR="000C1723">
        <w:rPr>
          <w:rFonts w:eastAsiaTheme="minorEastAsia" w:cs="Arial"/>
          <w:szCs w:val="24"/>
          <w:lang w:eastAsia="en-ZA"/>
        </w:rPr>
        <w:t xml:space="preserve"> costs</w:t>
      </w:r>
      <w:r w:rsidRPr="00FD3AF5">
        <w:rPr>
          <w:rFonts w:eastAsiaTheme="minorEastAsia" w:cs="Arial"/>
          <w:szCs w:val="24"/>
          <w:lang w:eastAsia="en-ZA"/>
        </w:rPr>
        <w:t xml:space="preserve">. </w:t>
      </w:r>
    </w:p>
    <w:p w14:paraId="38575E22" w14:textId="77777777" w:rsidR="006A0BFB" w:rsidRDefault="006A0BFB" w:rsidP="006A0BFB">
      <w:pPr>
        <w:keepNext/>
        <w:keepLines/>
        <w:pBdr>
          <w:bottom w:val="single" w:sz="12" w:space="1" w:color="auto"/>
        </w:pBdr>
        <w:shd w:val="clear" w:color="auto" w:fill="FFFFFF"/>
        <w:spacing w:before="0" w:after="0"/>
        <w:jc w:val="both"/>
        <w:outlineLvl w:val="1"/>
        <w:rPr>
          <w:rFonts w:eastAsiaTheme="minorEastAsia" w:cs="Arial"/>
          <w:szCs w:val="24"/>
          <w:lang w:eastAsia="en-ZA"/>
        </w:rPr>
      </w:pPr>
    </w:p>
    <w:p w14:paraId="0AC300AB" w14:textId="77777777" w:rsidR="006A0BFB" w:rsidRDefault="006A0BFB" w:rsidP="006A0BFB">
      <w:pPr>
        <w:keepNext/>
        <w:keepLines/>
        <w:shd w:val="clear" w:color="auto" w:fill="FFFFFF"/>
        <w:spacing w:before="0" w:after="0" w:line="240" w:lineRule="auto"/>
        <w:jc w:val="both"/>
        <w:outlineLvl w:val="1"/>
        <w:rPr>
          <w:rFonts w:eastAsiaTheme="minorEastAsia" w:cs="Arial"/>
          <w:szCs w:val="24"/>
          <w:lang w:eastAsia="en-ZA"/>
        </w:rPr>
      </w:pPr>
    </w:p>
    <w:p w14:paraId="75FD4A14" w14:textId="77777777" w:rsidR="006A0BFB" w:rsidRPr="000163B3" w:rsidRDefault="006A0BFB" w:rsidP="006A0BFB">
      <w:pPr>
        <w:keepNext/>
        <w:keepLines/>
        <w:pBdr>
          <w:bottom w:val="single" w:sz="12" w:space="1" w:color="auto"/>
        </w:pBdr>
        <w:shd w:val="clear" w:color="auto" w:fill="FFFFFF"/>
        <w:spacing w:before="0" w:after="0" w:line="240" w:lineRule="auto"/>
        <w:jc w:val="center"/>
        <w:outlineLvl w:val="1"/>
        <w:rPr>
          <w:rFonts w:eastAsiaTheme="minorEastAsia" w:cs="Arial"/>
          <w:b/>
          <w:szCs w:val="24"/>
          <w:lang w:eastAsia="en-ZA"/>
        </w:rPr>
      </w:pPr>
      <w:r w:rsidRPr="000163B3">
        <w:rPr>
          <w:rFonts w:eastAsiaTheme="minorEastAsia" w:cs="Arial"/>
          <w:b/>
          <w:szCs w:val="24"/>
          <w:lang w:eastAsia="en-ZA"/>
        </w:rPr>
        <w:t>JUDGMENT</w:t>
      </w:r>
    </w:p>
    <w:p w14:paraId="110FD6AE" w14:textId="77777777" w:rsidR="006A0BFB" w:rsidRPr="000163B3" w:rsidRDefault="006A0BFB" w:rsidP="006A0BFB">
      <w:pPr>
        <w:keepNext/>
        <w:keepLines/>
        <w:pBdr>
          <w:bottom w:val="single" w:sz="12" w:space="1" w:color="auto"/>
        </w:pBdr>
        <w:shd w:val="clear" w:color="auto" w:fill="FFFFFF"/>
        <w:spacing w:before="0" w:after="0" w:line="240" w:lineRule="auto"/>
        <w:jc w:val="both"/>
        <w:outlineLvl w:val="1"/>
        <w:rPr>
          <w:rFonts w:eastAsiaTheme="minorEastAsia" w:cs="Arial"/>
          <w:b/>
          <w:szCs w:val="24"/>
          <w:lang w:eastAsia="en-ZA"/>
        </w:rPr>
      </w:pPr>
    </w:p>
    <w:p w14:paraId="27AB9CF7" w14:textId="2F744CC2" w:rsidR="006A0BFB" w:rsidRDefault="006A0BFB" w:rsidP="00467C77">
      <w:pPr>
        <w:keepNext/>
        <w:keepLines/>
        <w:shd w:val="clear" w:color="auto" w:fill="FFFFFF"/>
        <w:spacing w:before="240" w:after="0"/>
        <w:jc w:val="both"/>
        <w:outlineLvl w:val="1"/>
        <w:rPr>
          <w:rFonts w:eastAsiaTheme="minorEastAsia" w:cs="Arial"/>
          <w:b/>
          <w:szCs w:val="24"/>
          <w:lang w:eastAsia="en-ZA"/>
        </w:rPr>
      </w:pPr>
      <w:r w:rsidRPr="000163B3">
        <w:rPr>
          <w:rFonts w:eastAsiaTheme="minorEastAsia" w:cs="Arial"/>
          <w:b/>
          <w:szCs w:val="24"/>
          <w:lang w:eastAsia="en-ZA"/>
        </w:rPr>
        <w:t>Baartman AJA</w:t>
      </w:r>
      <w:r w:rsidRPr="00FD3AF5">
        <w:rPr>
          <w:rFonts w:eastAsiaTheme="minorEastAsia" w:cs="Arial"/>
          <w:szCs w:val="24"/>
          <w:lang w:eastAsia="en-ZA"/>
        </w:rPr>
        <w:t xml:space="preserve"> </w:t>
      </w:r>
      <w:r w:rsidRPr="000163B3">
        <w:rPr>
          <w:rFonts w:eastAsiaTheme="minorEastAsia" w:cs="Arial"/>
          <w:b/>
          <w:szCs w:val="24"/>
          <w:lang w:eastAsia="en-ZA"/>
        </w:rPr>
        <w:t>(</w:t>
      </w:r>
      <w:r w:rsidR="00C27E11">
        <w:rPr>
          <w:rFonts w:eastAsiaTheme="minorEastAsia" w:cs="Arial"/>
          <w:b/>
          <w:szCs w:val="24"/>
          <w:lang w:eastAsia="en-ZA"/>
        </w:rPr>
        <w:t xml:space="preserve">Schippers, Goosen and Kgoele JJA and Bloem AJA </w:t>
      </w:r>
      <w:r w:rsidRPr="000163B3">
        <w:rPr>
          <w:rFonts w:eastAsiaTheme="minorEastAsia" w:cs="Arial"/>
          <w:b/>
          <w:szCs w:val="24"/>
          <w:lang w:eastAsia="en-ZA"/>
        </w:rPr>
        <w:t>concurring</w:t>
      </w:r>
      <w:r>
        <w:rPr>
          <w:rFonts w:eastAsiaTheme="minorEastAsia" w:cs="Arial"/>
          <w:b/>
          <w:szCs w:val="24"/>
          <w:lang w:eastAsia="en-ZA"/>
        </w:rPr>
        <w:t>):</w:t>
      </w:r>
    </w:p>
    <w:p w14:paraId="7DB17BB4" w14:textId="74B85AC5" w:rsidR="006A0BFB" w:rsidRDefault="00C47882" w:rsidP="00C47882">
      <w:pPr>
        <w:pStyle w:val="Sectionnumbering"/>
        <w:numPr>
          <w:ilvl w:val="0"/>
          <w:numId w:val="0"/>
        </w:numPr>
        <w:tabs>
          <w:tab w:val="left" w:pos="0"/>
        </w:tabs>
        <w:spacing w:before="240" w:after="0"/>
        <w:rPr>
          <w:rFonts w:eastAsiaTheme="minorEastAsia" w:cs="Arial"/>
          <w:szCs w:val="24"/>
          <w:lang w:eastAsia="en-ZA"/>
        </w:rPr>
      </w:pPr>
      <w:r>
        <w:rPr>
          <w:rFonts w:eastAsiaTheme="minorEastAsia" w:cs="Arial"/>
          <w:szCs w:val="24"/>
          <w:lang w:eastAsia="en-ZA"/>
        </w:rPr>
        <w:t>[1]</w:t>
      </w:r>
      <w:r>
        <w:rPr>
          <w:rFonts w:eastAsiaTheme="minorEastAsia" w:cs="Arial"/>
          <w:szCs w:val="24"/>
          <w:lang w:eastAsia="en-ZA"/>
        </w:rPr>
        <w:tab/>
      </w:r>
      <w:r w:rsidR="006A0BFB" w:rsidRPr="00FD3AF5">
        <w:rPr>
          <w:rFonts w:eastAsiaTheme="minorEastAsia" w:cs="Arial"/>
          <w:szCs w:val="24"/>
          <w:lang w:eastAsia="en-ZA"/>
        </w:rPr>
        <w:t xml:space="preserve">The appellant </w:t>
      </w:r>
      <w:r w:rsidR="00665791">
        <w:rPr>
          <w:rFonts w:eastAsiaTheme="minorEastAsia" w:cs="Arial"/>
          <w:szCs w:val="24"/>
          <w:lang w:eastAsia="en-ZA"/>
        </w:rPr>
        <w:t>was granted leave</w:t>
      </w:r>
      <w:r w:rsidR="00665791" w:rsidRPr="00FD3AF5">
        <w:rPr>
          <w:rFonts w:eastAsiaTheme="minorEastAsia" w:cs="Arial"/>
          <w:szCs w:val="24"/>
          <w:lang w:eastAsia="en-ZA"/>
        </w:rPr>
        <w:t xml:space="preserve"> </w:t>
      </w:r>
      <w:r w:rsidR="006A0BFB" w:rsidRPr="00FD3AF5">
        <w:rPr>
          <w:rFonts w:eastAsiaTheme="minorEastAsia" w:cs="Arial"/>
          <w:szCs w:val="24"/>
          <w:lang w:eastAsia="en-ZA"/>
        </w:rPr>
        <w:t xml:space="preserve">to appeal </w:t>
      </w:r>
      <w:r w:rsidR="00665791">
        <w:rPr>
          <w:rFonts w:eastAsiaTheme="minorEastAsia" w:cs="Arial"/>
          <w:szCs w:val="24"/>
          <w:lang w:eastAsia="en-ZA"/>
        </w:rPr>
        <w:t>an</w:t>
      </w:r>
      <w:r w:rsidR="00665791" w:rsidRPr="00FD3AF5">
        <w:rPr>
          <w:rFonts w:eastAsiaTheme="minorEastAsia" w:cs="Arial"/>
          <w:szCs w:val="24"/>
          <w:lang w:eastAsia="en-ZA"/>
        </w:rPr>
        <w:t xml:space="preserve"> </w:t>
      </w:r>
      <w:r w:rsidR="006A0BFB" w:rsidRPr="00FD3AF5">
        <w:rPr>
          <w:rFonts w:eastAsiaTheme="minorEastAsia" w:cs="Arial"/>
          <w:szCs w:val="24"/>
          <w:lang w:eastAsia="en-ZA"/>
        </w:rPr>
        <w:t xml:space="preserve">order of the </w:t>
      </w:r>
      <w:r w:rsidR="00665791" w:rsidRPr="00381D67">
        <w:rPr>
          <w:rFonts w:eastAsiaTheme="minorEastAsia" w:cs="Arial"/>
          <w:szCs w:val="24"/>
          <w:lang w:eastAsia="en-ZA"/>
        </w:rPr>
        <w:t>Eastern Cape  Divi</w:t>
      </w:r>
      <w:r>
        <w:rPr>
          <w:rFonts w:eastAsiaTheme="minorEastAsia" w:cs="Arial"/>
          <w:szCs w:val="24"/>
          <w:lang w:eastAsia="en-ZA"/>
        </w:rPr>
        <w:softHyphen/>
      </w:r>
      <w:r w:rsidR="00665791" w:rsidRPr="00381D67">
        <w:rPr>
          <w:rFonts w:eastAsiaTheme="minorEastAsia" w:cs="Arial"/>
          <w:szCs w:val="24"/>
          <w:lang w:eastAsia="en-ZA"/>
        </w:rPr>
        <w:t>sion of the High Court, East London Circuit</w:t>
      </w:r>
      <w:r w:rsidR="00443EB5">
        <w:rPr>
          <w:rFonts w:eastAsiaTheme="minorEastAsia" w:cs="Arial"/>
          <w:szCs w:val="24"/>
          <w:lang w:eastAsia="en-ZA"/>
        </w:rPr>
        <w:t xml:space="preserve"> (the high court)</w:t>
      </w:r>
      <w:r w:rsidR="006A0BFB" w:rsidRPr="00FD3AF5">
        <w:rPr>
          <w:rFonts w:eastAsiaTheme="minorEastAsia" w:cs="Arial"/>
          <w:szCs w:val="24"/>
          <w:lang w:eastAsia="en-ZA"/>
        </w:rPr>
        <w:t xml:space="preserve">, per Hartle J, </w:t>
      </w:r>
      <w:r w:rsidR="00EF7AB9">
        <w:rPr>
          <w:rFonts w:eastAsiaTheme="minorEastAsia" w:cs="Arial"/>
          <w:szCs w:val="24"/>
          <w:lang w:eastAsia="en-ZA"/>
        </w:rPr>
        <w:t>issued</w:t>
      </w:r>
      <w:r w:rsidR="00EF7AB9" w:rsidRPr="00FD3AF5">
        <w:rPr>
          <w:rFonts w:eastAsiaTheme="minorEastAsia" w:cs="Arial"/>
          <w:szCs w:val="24"/>
          <w:lang w:eastAsia="en-ZA"/>
        </w:rPr>
        <w:t xml:space="preserve"> </w:t>
      </w:r>
      <w:r w:rsidR="006A0BFB" w:rsidRPr="00FD3AF5">
        <w:rPr>
          <w:rFonts w:eastAsiaTheme="minorEastAsia" w:cs="Arial"/>
          <w:szCs w:val="24"/>
          <w:lang w:eastAsia="en-ZA"/>
        </w:rPr>
        <w:t xml:space="preserve">on 29 October 2020. </w:t>
      </w:r>
      <w:r w:rsidR="00443EB5">
        <w:rPr>
          <w:rFonts w:eastAsiaTheme="minorEastAsia" w:cs="Arial"/>
          <w:szCs w:val="24"/>
          <w:lang w:eastAsia="en-ZA"/>
        </w:rPr>
        <w:t>In terms of that order</w:t>
      </w:r>
      <w:r w:rsidR="00C27E11">
        <w:rPr>
          <w:rFonts w:eastAsiaTheme="minorEastAsia" w:cs="Arial"/>
          <w:szCs w:val="24"/>
          <w:lang w:eastAsia="en-ZA"/>
        </w:rPr>
        <w:t>,</w:t>
      </w:r>
      <w:r w:rsidR="00443EB5">
        <w:rPr>
          <w:rFonts w:eastAsiaTheme="minorEastAsia" w:cs="Arial"/>
          <w:szCs w:val="24"/>
          <w:lang w:eastAsia="en-ZA"/>
        </w:rPr>
        <w:t xml:space="preserve"> the high court declared unlawful the appellant’s demolition of the respondents’ homes on the Remainder of Portion 1 of the Farm Grey</w:t>
      </w:r>
      <w:r>
        <w:rPr>
          <w:rFonts w:eastAsiaTheme="minorEastAsia" w:cs="Arial"/>
          <w:szCs w:val="24"/>
          <w:lang w:eastAsia="en-ZA"/>
        </w:rPr>
        <w:softHyphen/>
      </w:r>
      <w:r w:rsidR="00443EB5">
        <w:rPr>
          <w:rFonts w:eastAsiaTheme="minorEastAsia" w:cs="Arial"/>
          <w:szCs w:val="24"/>
          <w:lang w:eastAsia="en-ZA"/>
        </w:rPr>
        <w:t>del 871, East London (the property)</w:t>
      </w:r>
      <w:r w:rsidR="00C27E11">
        <w:rPr>
          <w:rFonts w:eastAsiaTheme="minorEastAsia" w:cs="Arial"/>
          <w:szCs w:val="24"/>
          <w:lang w:eastAsia="en-ZA"/>
        </w:rPr>
        <w:t>,</w:t>
      </w:r>
      <w:r w:rsidR="0053369D">
        <w:rPr>
          <w:rFonts w:eastAsiaTheme="minorEastAsia" w:cs="Arial"/>
          <w:szCs w:val="24"/>
          <w:lang w:eastAsia="en-ZA"/>
        </w:rPr>
        <w:t xml:space="preserve"> and directed the appellant to restore their homes. </w:t>
      </w:r>
      <w:r w:rsidR="006A0BFB" w:rsidRPr="00FD3AF5">
        <w:rPr>
          <w:rFonts w:eastAsiaTheme="minorEastAsia" w:cs="Arial"/>
          <w:szCs w:val="24"/>
          <w:lang w:eastAsia="en-ZA"/>
        </w:rPr>
        <w:t>The appeal, however, has lapsed</w:t>
      </w:r>
      <w:r w:rsidR="0053369D">
        <w:rPr>
          <w:rFonts w:eastAsiaTheme="minorEastAsia" w:cs="Arial"/>
          <w:szCs w:val="24"/>
          <w:lang w:eastAsia="en-ZA"/>
        </w:rPr>
        <w:t xml:space="preserve"> due to the appellant’s failure to file the </w:t>
      </w:r>
      <w:r w:rsidR="004171AB">
        <w:rPr>
          <w:rFonts w:eastAsiaTheme="minorEastAsia" w:cs="Arial"/>
          <w:szCs w:val="24"/>
          <w:lang w:eastAsia="en-ZA"/>
        </w:rPr>
        <w:t xml:space="preserve">appeal </w:t>
      </w:r>
      <w:r w:rsidR="0053369D">
        <w:rPr>
          <w:rFonts w:eastAsiaTheme="minorEastAsia" w:cs="Arial"/>
          <w:szCs w:val="24"/>
          <w:lang w:eastAsia="en-ZA"/>
        </w:rPr>
        <w:t xml:space="preserve">record and heads of argument </w:t>
      </w:r>
      <w:r w:rsidR="00072C81">
        <w:rPr>
          <w:rFonts w:eastAsiaTheme="minorEastAsia" w:cs="Arial"/>
          <w:szCs w:val="24"/>
          <w:lang w:eastAsia="en-ZA"/>
        </w:rPr>
        <w:t>timeously. The</w:t>
      </w:r>
      <w:r w:rsidR="0053369D">
        <w:rPr>
          <w:rFonts w:eastAsiaTheme="minorEastAsia" w:cs="Arial"/>
          <w:szCs w:val="24"/>
          <w:lang w:eastAsia="en-ZA"/>
        </w:rPr>
        <w:t xml:space="preserve"> appellant seeks condonation of this failure </w:t>
      </w:r>
      <w:r w:rsidR="006A0BFB" w:rsidRPr="00FD3AF5">
        <w:rPr>
          <w:rFonts w:eastAsiaTheme="minorEastAsia" w:cs="Arial"/>
          <w:szCs w:val="24"/>
          <w:lang w:eastAsia="en-ZA"/>
        </w:rPr>
        <w:t>and</w:t>
      </w:r>
      <w:r w:rsidR="008E04F1">
        <w:rPr>
          <w:rFonts w:eastAsiaTheme="minorEastAsia" w:cs="Arial"/>
          <w:szCs w:val="24"/>
          <w:lang w:eastAsia="en-ZA"/>
        </w:rPr>
        <w:t xml:space="preserve"> </w:t>
      </w:r>
      <w:r w:rsidR="006A0BFB" w:rsidRPr="00FD3AF5">
        <w:rPr>
          <w:rFonts w:eastAsiaTheme="minorEastAsia" w:cs="Arial"/>
          <w:szCs w:val="24"/>
          <w:lang w:eastAsia="en-ZA"/>
        </w:rPr>
        <w:t xml:space="preserve">reinstatement of the appeal. </w:t>
      </w:r>
    </w:p>
    <w:p w14:paraId="1CE3AFA3" w14:textId="77777777" w:rsidR="006A0BFB" w:rsidRPr="00FD3AF5" w:rsidRDefault="006A0BFB" w:rsidP="00467C77">
      <w:pPr>
        <w:keepNext/>
        <w:keepLines/>
        <w:shd w:val="clear" w:color="auto" w:fill="FFFFFF"/>
        <w:spacing w:before="0" w:after="0"/>
        <w:jc w:val="both"/>
        <w:outlineLvl w:val="1"/>
        <w:rPr>
          <w:rFonts w:eastAsiaTheme="minorEastAsia" w:cs="Arial"/>
          <w:szCs w:val="24"/>
          <w:lang w:eastAsia="en-ZA"/>
        </w:rPr>
      </w:pPr>
    </w:p>
    <w:p w14:paraId="3B156905" w14:textId="6575D6A5" w:rsidR="00780808" w:rsidRDefault="00C47882" w:rsidP="00C47882">
      <w:pPr>
        <w:pStyle w:val="Sectionnumbering"/>
        <w:numPr>
          <w:ilvl w:val="0"/>
          <w:numId w:val="0"/>
        </w:numPr>
        <w:tabs>
          <w:tab w:val="left" w:pos="0"/>
        </w:tabs>
        <w:spacing w:before="0" w:after="0"/>
        <w:rPr>
          <w:rFonts w:eastAsiaTheme="minorEastAsia" w:cs="Arial"/>
          <w:szCs w:val="24"/>
          <w:lang w:eastAsia="en-ZA"/>
        </w:rPr>
      </w:pPr>
      <w:r>
        <w:rPr>
          <w:rFonts w:eastAsiaTheme="minorEastAsia" w:cs="Arial"/>
          <w:szCs w:val="24"/>
          <w:lang w:eastAsia="en-ZA"/>
        </w:rPr>
        <w:t>[2]</w:t>
      </w:r>
      <w:r>
        <w:rPr>
          <w:rFonts w:eastAsiaTheme="minorEastAsia" w:cs="Arial"/>
          <w:szCs w:val="24"/>
          <w:lang w:eastAsia="en-ZA"/>
        </w:rPr>
        <w:tab/>
      </w:r>
      <w:r w:rsidR="00FA424F">
        <w:rPr>
          <w:rFonts w:eastAsiaTheme="minorEastAsia" w:cs="Arial"/>
          <w:szCs w:val="24"/>
          <w:lang w:eastAsia="en-ZA"/>
        </w:rPr>
        <w:t>The m</w:t>
      </w:r>
      <w:bookmarkStart w:id="1" w:name="_GoBack"/>
      <w:r w:rsidR="00FA424F">
        <w:rPr>
          <w:rFonts w:eastAsiaTheme="minorEastAsia" w:cs="Arial"/>
          <w:szCs w:val="24"/>
          <w:lang w:eastAsia="en-ZA"/>
        </w:rPr>
        <w:t xml:space="preserve">atter arises from an </w:t>
      </w:r>
      <w:bookmarkEnd w:id="1"/>
      <w:r w:rsidR="00FA424F" w:rsidRPr="00072C81">
        <w:rPr>
          <w:rFonts w:eastAsiaTheme="minorEastAsia" w:cs="Arial"/>
          <w:i/>
          <w:szCs w:val="24"/>
          <w:lang w:eastAsia="en-ZA"/>
        </w:rPr>
        <w:t>ex parte</w:t>
      </w:r>
      <w:r w:rsidR="00FA424F">
        <w:rPr>
          <w:rFonts w:eastAsiaTheme="minorEastAsia" w:cs="Arial"/>
          <w:szCs w:val="24"/>
          <w:lang w:eastAsia="en-ZA"/>
        </w:rPr>
        <w:t xml:space="preserve"> order granted by the high court (Stretch J) on 14 March 2017</w:t>
      </w:r>
      <w:r w:rsidR="008F56C7">
        <w:rPr>
          <w:rFonts w:eastAsiaTheme="minorEastAsia" w:cs="Arial"/>
          <w:szCs w:val="24"/>
          <w:lang w:eastAsia="en-ZA"/>
        </w:rPr>
        <w:t>,</w:t>
      </w:r>
      <w:r w:rsidR="00FA424F">
        <w:rPr>
          <w:rFonts w:eastAsiaTheme="minorEastAsia" w:cs="Arial"/>
          <w:szCs w:val="24"/>
          <w:lang w:eastAsia="en-ZA"/>
        </w:rPr>
        <w:t xml:space="preserve"> against </w:t>
      </w:r>
      <w:r w:rsidR="00776CF1">
        <w:rPr>
          <w:rFonts w:eastAsiaTheme="minorEastAsia" w:cs="Arial"/>
          <w:szCs w:val="24"/>
          <w:lang w:eastAsia="en-ZA"/>
        </w:rPr>
        <w:t xml:space="preserve">unidentified </w:t>
      </w:r>
      <w:r w:rsidR="00FA424F">
        <w:rPr>
          <w:rFonts w:eastAsiaTheme="minorEastAsia" w:cs="Arial"/>
          <w:szCs w:val="24"/>
          <w:lang w:eastAsia="en-ZA"/>
        </w:rPr>
        <w:t>‘persons whose identities are . . .</w:t>
      </w:r>
      <w:r w:rsidR="005A69D8">
        <w:rPr>
          <w:rFonts w:eastAsiaTheme="minorEastAsia" w:cs="Arial"/>
          <w:szCs w:val="24"/>
          <w:lang w:eastAsia="en-ZA"/>
        </w:rPr>
        <w:t xml:space="preserve"> u</w:t>
      </w:r>
      <w:r w:rsidR="00FA424F">
        <w:rPr>
          <w:rFonts w:eastAsiaTheme="minorEastAsia" w:cs="Arial"/>
          <w:szCs w:val="24"/>
          <w:lang w:eastAsia="en-ZA"/>
        </w:rPr>
        <w:t>nknown and who have attempted, are threatening or may even try to occupy’ the property</w:t>
      </w:r>
      <w:r w:rsidR="005A69D8">
        <w:rPr>
          <w:rFonts w:eastAsiaTheme="minorEastAsia" w:cs="Arial"/>
          <w:szCs w:val="24"/>
          <w:lang w:eastAsia="en-ZA"/>
        </w:rPr>
        <w:t xml:space="preserve">. These unidentified persons </w:t>
      </w:r>
      <w:r w:rsidR="005143C3">
        <w:rPr>
          <w:rFonts w:eastAsiaTheme="minorEastAsia" w:cs="Arial"/>
          <w:szCs w:val="24"/>
          <w:lang w:eastAsia="en-ZA"/>
        </w:rPr>
        <w:t>were ‘interdicted and restrained</w:t>
      </w:r>
      <w:r w:rsidR="008279A9">
        <w:rPr>
          <w:rFonts w:eastAsiaTheme="minorEastAsia" w:cs="Arial"/>
          <w:szCs w:val="24"/>
          <w:lang w:eastAsia="en-ZA"/>
        </w:rPr>
        <w:t xml:space="preserve"> from demarcating any sites for whatever purpose and/or commencing or continuing to erect and/or occupy and/or permit to be occupied on their behalf any structure on the property</w:t>
      </w:r>
      <w:r w:rsidR="004171AB">
        <w:rPr>
          <w:rFonts w:eastAsiaTheme="minorEastAsia" w:cs="Arial"/>
          <w:szCs w:val="24"/>
          <w:lang w:eastAsia="en-ZA"/>
        </w:rPr>
        <w:t>’</w:t>
      </w:r>
      <w:r w:rsidR="008279A9">
        <w:rPr>
          <w:rFonts w:eastAsiaTheme="minorEastAsia" w:cs="Arial"/>
          <w:szCs w:val="24"/>
          <w:lang w:eastAsia="en-ZA"/>
        </w:rPr>
        <w:t>.</w:t>
      </w:r>
      <w:r w:rsidR="00FA424F">
        <w:rPr>
          <w:rFonts w:eastAsiaTheme="minorEastAsia" w:cs="Arial"/>
          <w:szCs w:val="24"/>
          <w:lang w:eastAsia="en-ZA"/>
        </w:rPr>
        <w:t xml:space="preserve"> </w:t>
      </w:r>
      <w:r w:rsidR="005715E6">
        <w:rPr>
          <w:rFonts w:eastAsiaTheme="minorEastAsia" w:cs="Arial"/>
          <w:szCs w:val="24"/>
          <w:lang w:eastAsia="en-ZA"/>
        </w:rPr>
        <w:t xml:space="preserve">In </w:t>
      </w:r>
      <w:r w:rsidR="00BA1C54">
        <w:rPr>
          <w:rFonts w:eastAsiaTheme="minorEastAsia" w:cs="Arial"/>
          <w:szCs w:val="24"/>
          <w:lang w:eastAsia="en-ZA"/>
        </w:rPr>
        <w:t>terms of this</w:t>
      </w:r>
      <w:r w:rsidR="005715E6">
        <w:rPr>
          <w:rFonts w:eastAsiaTheme="minorEastAsia" w:cs="Arial"/>
          <w:szCs w:val="24"/>
          <w:lang w:eastAsia="en-ZA"/>
        </w:rPr>
        <w:t xml:space="preserve"> order</w:t>
      </w:r>
      <w:r w:rsidR="00C27E11">
        <w:rPr>
          <w:rFonts w:eastAsiaTheme="minorEastAsia" w:cs="Arial"/>
          <w:szCs w:val="24"/>
          <w:lang w:eastAsia="en-ZA"/>
        </w:rPr>
        <w:t>,</w:t>
      </w:r>
      <w:r w:rsidR="005715E6">
        <w:rPr>
          <w:rFonts w:eastAsiaTheme="minorEastAsia" w:cs="Arial"/>
          <w:szCs w:val="24"/>
          <w:lang w:eastAsia="en-ZA"/>
        </w:rPr>
        <w:t xml:space="preserve"> the </w:t>
      </w:r>
      <w:r w:rsidR="004171AB">
        <w:rPr>
          <w:rFonts w:eastAsiaTheme="minorEastAsia" w:cs="Arial"/>
          <w:szCs w:val="24"/>
          <w:lang w:eastAsia="en-ZA"/>
        </w:rPr>
        <w:t>s</w:t>
      </w:r>
      <w:r w:rsidR="005715E6">
        <w:rPr>
          <w:rFonts w:eastAsiaTheme="minorEastAsia" w:cs="Arial"/>
          <w:szCs w:val="24"/>
          <w:lang w:eastAsia="en-ZA"/>
        </w:rPr>
        <w:t>heriff, with the assistance of the South African Police Service, was authorised to take any steps to dismantle or demolish any structure erected on the property in contravention of the order.</w:t>
      </w:r>
      <w:r w:rsidR="00BA1C54">
        <w:rPr>
          <w:rFonts w:eastAsiaTheme="minorEastAsia" w:cs="Arial"/>
          <w:szCs w:val="24"/>
          <w:lang w:eastAsia="en-ZA"/>
        </w:rPr>
        <w:t xml:space="preserve"> </w:t>
      </w:r>
    </w:p>
    <w:p w14:paraId="7F2F36F8" w14:textId="77777777" w:rsidR="00780808" w:rsidRDefault="00780808" w:rsidP="00072C81">
      <w:pPr>
        <w:pStyle w:val="ListParagraph"/>
        <w:rPr>
          <w:rFonts w:eastAsiaTheme="minorEastAsia"/>
          <w:lang w:eastAsia="en-ZA"/>
        </w:rPr>
      </w:pPr>
    </w:p>
    <w:p w14:paraId="65D5D4CF" w14:textId="484A4CEC" w:rsidR="006A0BFB" w:rsidRDefault="00C47882" w:rsidP="00C47882">
      <w:pPr>
        <w:pStyle w:val="Sectionnumbering"/>
        <w:numPr>
          <w:ilvl w:val="0"/>
          <w:numId w:val="0"/>
        </w:numPr>
        <w:tabs>
          <w:tab w:val="left" w:pos="0"/>
        </w:tabs>
        <w:spacing w:before="0" w:after="0"/>
        <w:rPr>
          <w:rFonts w:eastAsiaTheme="minorEastAsia" w:cs="Arial"/>
          <w:szCs w:val="24"/>
          <w:lang w:eastAsia="en-ZA"/>
        </w:rPr>
      </w:pPr>
      <w:r>
        <w:rPr>
          <w:rFonts w:eastAsiaTheme="minorEastAsia" w:cs="Arial"/>
          <w:szCs w:val="24"/>
          <w:lang w:eastAsia="en-ZA"/>
        </w:rPr>
        <w:t>[3]</w:t>
      </w:r>
      <w:r>
        <w:rPr>
          <w:rFonts w:eastAsiaTheme="minorEastAsia" w:cs="Arial"/>
          <w:szCs w:val="24"/>
          <w:lang w:eastAsia="en-ZA"/>
        </w:rPr>
        <w:tab/>
      </w:r>
      <w:r w:rsidR="00780808">
        <w:rPr>
          <w:rFonts w:eastAsiaTheme="minorEastAsia" w:cs="Arial"/>
          <w:szCs w:val="24"/>
          <w:lang w:eastAsia="en-ZA"/>
        </w:rPr>
        <w:t>On 27 July 20</w:t>
      </w:r>
      <w:r w:rsidR="004171AB">
        <w:rPr>
          <w:rFonts w:eastAsiaTheme="minorEastAsia" w:cs="Arial"/>
          <w:szCs w:val="24"/>
          <w:lang w:eastAsia="en-ZA"/>
        </w:rPr>
        <w:t>20</w:t>
      </w:r>
      <w:r w:rsidR="005331F0">
        <w:rPr>
          <w:rFonts w:eastAsiaTheme="minorEastAsia" w:cs="Arial"/>
          <w:szCs w:val="24"/>
          <w:lang w:eastAsia="en-ZA"/>
        </w:rPr>
        <w:t xml:space="preserve"> </w:t>
      </w:r>
      <w:r w:rsidR="00780808">
        <w:rPr>
          <w:rFonts w:eastAsiaTheme="minorEastAsia" w:cs="Arial"/>
          <w:szCs w:val="24"/>
          <w:lang w:eastAsia="en-ZA"/>
        </w:rPr>
        <w:t>t</w:t>
      </w:r>
      <w:r w:rsidR="00BA1C54">
        <w:rPr>
          <w:rFonts w:eastAsiaTheme="minorEastAsia" w:cs="Arial"/>
          <w:szCs w:val="24"/>
          <w:lang w:eastAsia="en-ZA"/>
        </w:rPr>
        <w:t>he appellant</w:t>
      </w:r>
      <w:r w:rsidR="00780808">
        <w:rPr>
          <w:rFonts w:eastAsiaTheme="minorEastAsia" w:cs="Arial"/>
          <w:szCs w:val="24"/>
          <w:lang w:eastAsia="en-ZA"/>
        </w:rPr>
        <w:t>, assisted by the sheriff and the police,</w:t>
      </w:r>
      <w:r w:rsidR="00BA1C54">
        <w:rPr>
          <w:rFonts w:eastAsiaTheme="minorEastAsia" w:cs="Arial"/>
          <w:szCs w:val="24"/>
          <w:lang w:eastAsia="en-ZA"/>
        </w:rPr>
        <w:t xml:space="preserve"> demol</w:t>
      </w:r>
      <w:r>
        <w:rPr>
          <w:rFonts w:eastAsiaTheme="minorEastAsia" w:cs="Arial"/>
          <w:szCs w:val="24"/>
          <w:lang w:eastAsia="en-ZA"/>
        </w:rPr>
        <w:softHyphen/>
      </w:r>
      <w:r w:rsidR="00BA1C54">
        <w:rPr>
          <w:rFonts w:eastAsiaTheme="minorEastAsia" w:cs="Arial"/>
          <w:szCs w:val="24"/>
          <w:lang w:eastAsia="en-ZA"/>
        </w:rPr>
        <w:t>ished the respondents’ homes pursuant to the order issued by Stretch J.</w:t>
      </w:r>
      <w:r w:rsidR="005715E6">
        <w:rPr>
          <w:rFonts w:eastAsiaTheme="minorEastAsia" w:cs="Arial"/>
          <w:szCs w:val="24"/>
          <w:lang w:eastAsia="en-ZA"/>
        </w:rPr>
        <w:t xml:space="preserve"> </w:t>
      </w:r>
      <w:r w:rsidR="00780808">
        <w:rPr>
          <w:rFonts w:eastAsiaTheme="minorEastAsia" w:cs="Arial"/>
          <w:szCs w:val="24"/>
          <w:lang w:eastAsia="en-ZA"/>
        </w:rPr>
        <w:t xml:space="preserve">It alleged that only unoccupied and incomplete structures </w:t>
      </w:r>
      <w:r w:rsidR="00C2143C">
        <w:rPr>
          <w:rFonts w:eastAsiaTheme="minorEastAsia" w:cs="Arial"/>
          <w:szCs w:val="24"/>
          <w:lang w:eastAsia="en-ZA"/>
        </w:rPr>
        <w:t xml:space="preserve">had been </w:t>
      </w:r>
      <w:r w:rsidR="00780808">
        <w:rPr>
          <w:rFonts w:eastAsiaTheme="minorEastAsia" w:cs="Arial"/>
          <w:szCs w:val="24"/>
          <w:lang w:eastAsia="en-ZA"/>
        </w:rPr>
        <w:t xml:space="preserve">demolished. </w:t>
      </w:r>
      <w:r w:rsidR="00780808">
        <w:t xml:space="preserve">The court </w:t>
      </w:r>
      <w:r w:rsidR="00780808" w:rsidRPr="00013A35">
        <w:rPr>
          <w:i/>
          <w:iCs/>
        </w:rPr>
        <w:t>a quo</w:t>
      </w:r>
      <w:r w:rsidR="00780808">
        <w:t xml:space="preserve"> </w:t>
      </w:r>
      <w:r w:rsidR="00780808">
        <w:lastRenderedPageBreak/>
        <w:t xml:space="preserve">found that the </w:t>
      </w:r>
      <w:r w:rsidR="00EF7AB9">
        <w:t xml:space="preserve">appellant’s </w:t>
      </w:r>
      <w:r w:rsidR="00780808">
        <w:t xml:space="preserve">reliance on the 14 March 2017 order was misplaced and that </w:t>
      </w:r>
      <w:r w:rsidR="00EF7AB9">
        <w:t>it</w:t>
      </w:r>
      <w:r w:rsidR="00780808">
        <w:t xml:space="preserve"> should have launched eviction proceedings in terms of the </w:t>
      </w:r>
      <w:r w:rsidR="00780808" w:rsidRPr="00FD3AF5">
        <w:rPr>
          <w:rFonts w:eastAsiaTheme="minorEastAsia" w:cs="Arial"/>
          <w:szCs w:val="24"/>
          <w:lang w:eastAsia="en-ZA"/>
        </w:rPr>
        <w:t>Prevention of Illegal Eviction from and Unlawful Occupation of Land Act 19 of 1998</w:t>
      </w:r>
      <w:r w:rsidR="00C2143C">
        <w:rPr>
          <w:rFonts w:eastAsiaTheme="minorEastAsia" w:cs="Arial"/>
          <w:szCs w:val="24"/>
          <w:lang w:eastAsia="en-ZA"/>
        </w:rPr>
        <w:t xml:space="preserve"> (PIE Act)</w:t>
      </w:r>
      <w:r w:rsidR="00780808">
        <w:rPr>
          <w:rFonts w:eastAsiaTheme="minorEastAsia" w:cs="Arial"/>
          <w:szCs w:val="24"/>
          <w:lang w:eastAsia="en-ZA"/>
        </w:rPr>
        <w:t>.</w:t>
      </w:r>
    </w:p>
    <w:p w14:paraId="5751E5CF" w14:textId="77777777" w:rsidR="006A0BFB" w:rsidRPr="00FD3AF5" w:rsidRDefault="006A0BFB" w:rsidP="006A0BFB">
      <w:pPr>
        <w:keepNext/>
        <w:keepLines/>
        <w:shd w:val="clear" w:color="auto" w:fill="FFFFFF"/>
        <w:spacing w:before="0" w:after="0"/>
        <w:jc w:val="both"/>
        <w:outlineLvl w:val="1"/>
        <w:rPr>
          <w:rFonts w:eastAsiaTheme="minorEastAsia" w:cs="Arial"/>
          <w:szCs w:val="24"/>
          <w:lang w:eastAsia="en-ZA"/>
        </w:rPr>
      </w:pPr>
    </w:p>
    <w:p w14:paraId="4FB46AE1" w14:textId="6730701F" w:rsidR="007659FE" w:rsidRDefault="00C47882" w:rsidP="00C47882">
      <w:pPr>
        <w:pStyle w:val="Sectionnumbering"/>
        <w:numPr>
          <w:ilvl w:val="0"/>
          <w:numId w:val="0"/>
        </w:numPr>
        <w:tabs>
          <w:tab w:val="left" w:pos="0"/>
        </w:tabs>
        <w:spacing w:before="0" w:after="0"/>
      </w:pPr>
      <w:r>
        <w:t>[4]</w:t>
      </w:r>
      <w:r>
        <w:tab/>
      </w:r>
      <w:r w:rsidR="00366105">
        <w:t xml:space="preserve">On 4 January 2021, </w:t>
      </w:r>
      <w:r w:rsidR="00EF7AB9">
        <w:t xml:space="preserve">the court </w:t>
      </w:r>
      <w:r w:rsidR="00EF7AB9" w:rsidRPr="008E04F1">
        <w:rPr>
          <w:i/>
        </w:rPr>
        <w:t>a quo</w:t>
      </w:r>
      <w:r w:rsidR="00EF7AB9">
        <w:t xml:space="preserve"> </w:t>
      </w:r>
      <w:r w:rsidR="00366105">
        <w:t xml:space="preserve">granted leave to appeal to this </w:t>
      </w:r>
      <w:r w:rsidR="004171AB">
        <w:t>C</w:t>
      </w:r>
      <w:r w:rsidR="00366105">
        <w:t xml:space="preserve">ourt </w:t>
      </w:r>
      <w:r w:rsidR="00872BE7">
        <w:t xml:space="preserve">against </w:t>
      </w:r>
      <w:r w:rsidR="00EF7AB9">
        <w:t xml:space="preserve">its order of </w:t>
      </w:r>
      <w:r w:rsidR="00172FD7">
        <w:t>29 October 2020</w:t>
      </w:r>
      <w:r w:rsidR="00EF7AB9">
        <w:t>.</w:t>
      </w:r>
      <w:r w:rsidR="00172FD7">
        <w:t xml:space="preserve"> </w:t>
      </w:r>
      <w:r w:rsidR="00EF7AB9">
        <w:t>The record had to be filed by 18 May 2021. It was even</w:t>
      </w:r>
      <w:r>
        <w:softHyphen/>
      </w:r>
      <w:r w:rsidR="00EF7AB9">
        <w:t xml:space="preserve">tually filed on </w:t>
      </w:r>
      <w:r w:rsidR="005A69D8">
        <w:t xml:space="preserve">1 </w:t>
      </w:r>
      <w:r w:rsidR="00EF7AB9">
        <w:t xml:space="preserve">November 2022 – some one and a half years </w:t>
      </w:r>
      <w:r w:rsidR="005A69D8">
        <w:t xml:space="preserve">later, together with the application for condonation of its late filing and reinstatement of the appeal. </w:t>
      </w:r>
    </w:p>
    <w:p w14:paraId="318F6809" w14:textId="77777777" w:rsidR="008E04F1" w:rsidRDefault="008E04F1" w:rsidP="008E04F1">
      <w:pPr>
        <w:pStyle w:val="ListParagraph"/>
      </w:pPr>
    </w:p>
    <w:p w14:paraId="1CBA2649" w14:textId="28232433" w:rsidR="002607EF" w:rsidRDefault="00C47882" w:rsidP="00C47882">
      <w:pPr>
        <w:pStyle w:val="Sectionnumbering"/>
        <w:numPr>
          <w:ilvl w:val="0"/>
          <w:numId w:val="0"/>
        </w:numPr>
        <w:tabs>
          <w:tab w:val="left" w:pos="0"/>
        </w:tabs>
        <w:spacing w:before="0" w:after="0"/>
      </w:pPr>
      <w:r>
        <w:t>[5]</w:t>
      </w:r>
      <w:r>
        <w:tab/>
      </w:r>
      <w:r w:rsidR="007659FE">
        <w:t>The explanation by Ms Tyani of the State Attorney’s office</w:t>
      </w:r>
      <w:r w:rsidR="00B85BA8">
        <w:t xml:space="preserve"> for this gross non-compliance with the </w:t>
      </w:r>
      <w:r w:rsidR="005331F0">
        <w:t>R</w:t>
      </w:r>
      <w:r w:rsidR="00B85BA8">
        <w:t>ules of this Court, in summary, is this</w:t>
      </w:r>
      <w:r w:rsidR="007659FE">
        <w:t>:</w:t>
      </w:r>
    </w:p>
    <w:p w14:paraId="392756E1" w14:textId="265F1130" w:rsidR="00074D37" w:rsidRDefault="00C47882" w:rsidP="00C47882">
      <w:pPr>
        <w:pStyle w:val="Sectionlevel2"/>
        <w:numPr>
          <w:ilvl w:val="0"/>
          <w:numId w:val="0"/>
        </w:numPr>
        <w:tabs>
          <w:tab w:val="left" w:pos="0"/>
        </w:tabs>
        <w:spacing w:before="0" w:after="0"/>
      </w:pPr>
      <w:r>
        <w:t>(a)</w:t>
      </w:r>
      <w:r>
        <w:tab/>
      </w:r>
      <w:r w:rsidR="00074D37">
        <w:t xml:space="preserve">On </w:t>
      </w:r>
      <w:r w:rsidR="004C67E5">
        <w:t>4 May 2021</w:t>
      </w:r>
      <w:r w:rsidR="00E31A6F">
        <w:t>,</w:t>
      </w:r>
      <w:r w:rsidR="004C67E5">
        <w:t xml:space="preserve"> </w:t>
      </w:r>
      <w:r w:rsidR="00245121">
        <w:t>the record was filed but was incomplete. The State Attorney, Bloemfontein</w:t>
      </w:r>
      <w:r w:rsidR="004171AB">
        <w:t>,</w:t>
      </w:r>
      <w:r w:rsidR="00245121">
        <w:t xml:space="preserve"> advised that photographs were not in colour and handwritten notes had not been typed. The registrar granted the appellant an extension until 18 May 2021 to correct and file the record.</w:t>
      </w:r>
      <w:r w:rsidR="00074D37">
        <w:t xml:space="preserve"> </w:t>
      </w:r>
    </w:p>
    <w:p w14:paraId="76CAFCFA" w14:textId="78A328BF" w:rsidR="00074D37" w:rsidRDefault="00C47882" w:rsidP="00C47882">
      <w:pPr>
        <w:pStyle w:val="Sectionlevel2"/>
        <w:numPr>
          <w:ilvl w:val="0"/>
          <w:numId w:val="0"/>
        </w:numPr>
        <w:tabs>
          <w:tab w:val="left" w:pos="0"/>
        </w:tabs>
        <w:spacing w:before="0" w:after="0"/>
      </w:pPr>
      <w:r>
        <w:t>(b)</w:t>
      </w:r>
      <w:r>
        <w:tab/>
      </w:r>
      <w:r w:rsidR="00245121">
        <w:t xml:space="preserve">The appellant did not file the record by 18 May 2021 because </w:t>
      </w:r>
      <w:r w:rsidR="005D69DE">
        <w:t>t</w:t>
      </w:r>
      <w:r w:rsidR="00245121">
        <w:t>he transcribers could not attend to its rectification timeously. On 19 May 2021, the appellant sought an extension from the respondents until 25 June 2021</w:t>
      </w:r>
      <w:r w:rsidR="006602F5">
        <w:t xml:space="preserve">. </w:t>
      </w:r>
      <w:r w:rsidR="00245121">
        <w:t>The</w:t>
      </w:r>
      <w:r w:rsidR="004171AB">
        <w:t xml:space="preserve"> repondents</w:t>
      </w:r>
      <w:r w:rsidR="00245121">
        <w:t xml:space="preserve"> refused on the basis that </w:t>
      </w:r>
      <w:r w:rsidR="006602F5">
        <w:t xml:space="preserve">any </w:t>
      </w:r>
      <w:r w:rsidR="00245121">
        <w:t>further delay was prejudicial to the</w:t>
      </w:r>
      <w:r w:rsidR="004171AB">
        <w:t>m</w:t>
      </w:r>
      <w:r w:rsidR="005331F0">
        <w:t xml:space="preserve"> </w:t>
      </w:r>
      <w:r w:rsidR="00245121">
        <w:t>as some of them had been ren</w:t>
      </w:r>
      <w:r>
        <w:softHyphen/>
      </w:r>
      <w:r w:rsidR="00245121">
        <w:t xml:space="preserve">dered homeless and the appellant had apparently refused to assist </w:t>
      </w:r>
      <w:r w:rsidR="006602F5">
        <w:t xml:space="preserve">them by </w:t>
      </w:r>
      <w:r w:rsidR="00245121">
        <w:t>providing temporary accommodation.</w:t>
      </w:r>
      <w:r w:rsidR="009942F4">
        <w:t xml:space="preserve"> </w:t>
      </w:r>
    </w:p>
    <w:p w14:paraId="053374D6" w14:textId="1FA0D8A0" w:rsidR="009942F4" w:rsidRDefault="00C47882" w:rsidP="00C47882">
      <w:pPr>
        <w:pStyle w:val="Sectionlevel2"/>
        <w:numPr>
          <w:ilvl w:val="0"/>
          <w:numId w:val="0"/>
        </w:numPr>
        <w:tabs>
          <w:tab w:val="left" w:pos="0"/>
        </w:tabs>
        <w:spacing w:before="0" w:after="0"/>
      </w:pPr>
      <w:r>
        <w:t>(c)</w:t>
      </w:r>
      <w:r>
        <w:tab/>
      </w:r>
      <w:r w:rsidR="006602F5">
        <w:t>On 20 May 2021, the appellant again filed the record but on 26 May 2021</w:t>
      </w:r>
      <w:r w:rsidR="00C2143C">
        <w:t>,</w:t>
      </w:r>
      <w:r w:rsidR="006602F5">
        <w:t xml:space="preserve"> the correspondent attorney informed Ms Tyani that the registrar had returned the record as the cross-referencing had not been done</w:t>
      </w:r>
      <w:r w:rsidR="00C2143C">
        <w:t xml:space="preserve"> properly</w:t>
      </w:r>
      <w:r w:rsidR="006602F5">
        <w:t>.</w:t>
      </w:r>
    </w:p>
    <w:p w14:paraId="7193377A" w14:textId="281A9A5E" w:rsidR="006602F5" w:rsidRDefault="00C47882" w:rsidP="00C47882">
      <w:pPr>
        <w:pStyle w:val="Sectionlevel2"/>
        <w:numPr>
          <w:ilvl w:val="0"/>
          <w:numId w:val="0"/>
        </w:numPr>
        <w:tabs>
          <w:tab w:val="left" w:pos="0"/>
        </w:tabs>
        <w:spacing w:before="0" w:after="0"/>
      </w:pPr>
      <w:r>
        <w:t>(d)</w:t>
      </w:r>
      <w:r>
        <w:tab/>
      </w:r>
      <w:r w:rsidR="006602F5">
        <w:t xml:space="preserve">On 28 May 2021, Ms Tyani sent the record to the transcribers to correct the cross-referencing. On 7 June 2021, she followed </w:t>
      </w:r>
      <w:r w:rsidR="00897786">
        <w:t xml:space="preserve">this </w:t>
      </w:r>
      <w:r w:rsidR="006602F5">
        <w:t>up with the transcribers</w:t>
      </w:r>
      <w:r w:rsidR="00C2143C">
        <w:t>; o</w:t>
      </w:r>
      <w:r w:rsidR="00897786">
        <w:t xml:space="preserve">n </w:t>
      </w:r>
      <w:r w:rsidR="00432D1F">
        <w:t xml:space="preserve">12 July  </w:t>
      </w:r>
      <w:r w:rsidR="00897786">
        <w:t>2021 and again on 21 July 2021</w:t>
      </w:r>
      <w:r w:rsidR="00E31A6F">
        <w:t>,</w:t>
      </w:r>
      <w:r w:rsidR="00897786">
        <w:t xml:space="preserve"> she </w:t>
      </w:r>
      <w:r w:rsidR="00C2143C">
        <w:t xml:space="preserve">further </w:t>
      </w:r>
      <w:r w:rsidR="00897786">
        <w:t xml:space="preserve">enquired of the transcribers when the record would be completed. </w:t>
      </w:r>
      <w:r w:rsidR="006602F5">
        <w:t xml:space="preserve"> </w:t>
      </w:r>
    </w:p>
    <w:p w14:paraId="164F09F2" w14:textId="2665BD44" w:rsidR="009942F4" w:rsidRDefault="00C47882" w:rsidP="00C47882">
      <w:pPr>
        <w:pStyle w:val="Sectionlevel2"/>
        <w:numPr>
          <w:ilvl w:val="0"/>
          <w:numId w:val="0"/>
        </w:numPr>
        <w:tabs>
          <w:tab w:val="left" w:pos="0"/>
        </w:tabs>
        <w:spacing w:before="0" w:after="0"/>
      </w:pPr>
      <w:r>
        <w:t>(e)</w:t>
      </w:r>
      <w:r>
        <w:tab/>
      </w:r>
      <w:r w:rsidR="006602F5">
        <w:t>The record was not forthcoming</w:t>
      </w:r>
      <w:r w:rsidR="004171AB">
        <w:t>.</w:t>
      </w:r>
      <w:r w:rsidR="00C2143C">
        <w:t xml:space="preserve"> </w:t>
      </w:r>
      <w:r w:rsidR="006602F5">
        <w:t>Ms Tyani directed enquiries to the transcrib</w:t>
      </w:r>
      <w:r>
        <w:softHyphen/>
      </w:r>
      <w:r w:rsidR="006602F5">
        <w:t xml:space="preserve">ers. The record was still outstanding at the end of July 2021 at which stage Ms Tyani again reminded the transcribers of </w:t>
      </w:r>
      <w:r w:rsidR="00250D4A">
        <w:t xml:space="preserve">her </w:t>
      </w:r>
      <w:r w:rsidR="006602F5">
        <w:t>previous correspondence</w:t>
      </w:r>
      <w:r w:rsidR="00250D4A">
        <w:t xml:space="preserve"> in that regard. </w:t>
      </w:r>
    </w:p>
    <w:p w14:paraId="5EEC5CE6" w14:textId="24031C69" w:rsidR="00246C93" w:rsidRDefault="00C47882" w:rsidP="00C47882">
      <w:pPr>
        <w:pStyle w:val="Sectionlevel2"/>
        <w:numPr>
          <w:ilvl w:val="0"/>
          <w:numId w:val="0"/>
        </w:numPr>
        <w:tabs>
          <w:tab w:val="left" w:pos="0"/>
        </w:tabs>
        <w:spacing w:before="0" w:after="0"/>
      </w:pPr>
      <w:r>
        <w:t>(f)</w:t>
      </w:r>
      <w:r>
        <w:tab/>
      </w:r>
      <w:r w:rsidR="00897786">
        <w:t>On 11 August 2021, Ms Tyani went into self-isolation as her husband and child had tested positive for Covid</w:t>
      </w:r>
      <w:r w:rsidR="00432D1F">
        <w:t xml:space="preserve"> </w:t>
      </w:r>
      <w:r w:rsidR="00897786">
        <w:t xml:space="preserve">-19. She </w:t>
      </w:r>
      <w:r w:rsidR="00C2143C">
        <w:t xml:space="preserve">only </w:t>
      </w:r>
      <w:r w:rsidR="00897786">
        <w:t>returned to work at the end of August 2021.</w:t>
      </w:r>
      <w:r w:rsidR="00246C93">
        <w:t xml:space="preserve"> </w:t>
      </w:r>
    </w:p>
    <w:p w14:paraId="7A52D3F8" w14:textId="55010AAB" w:rsidR="00172FD7" w:rsidRDefault="00C47882" w:rsidP="00C47882">
      <w:pPr>
        <w:pStyle w:val="Sectionlevel2"/>
        <w:numPr>
          <w:ilvl w:val="0"/>
          <w:numId w:val="0"/>
        </w:numPr>
        <w:tabs>
          <w:tab w:val="left" w:pos="0"/>
        </w:tabs>
        <w:spacing w:before="0" w:after="0"/>
      </w:pPr>
      <w:r>
        <w:lastRenderedPageBreak/>
        <w:t>(g)</w:t>
      </w:r>
      <w:r>
        <w:tab/>
      </w:r>
      <w:r w:rsidR="00897786">
        <w:t xml:space="preserve">On 8 September 2021, the transcribers furnished the corrected record. On </w:t>
      </w:r>
      <w:r w:rsidR="006F2928">
        <w:t>10 </w:t>
      </w:r>
      <w:r w:rsidR="00766BE9">
        <w:t xml:space="preserve">September 2021, </w:t>
      </w:r>
      <w:r w:rsidR="00897786">
        <w:t>Ms Tyani forwarded a copy of the corrected record to her corre</w:t>
      </w:r>
      <w:r>
        <w:softHyphen/>
      </w:r>
      <w:r w:rsidR="00897786">
        <w:t>spondent for filing.</w:t>
      </w:r>
      <w:r w:rsidR="00246C93">
        <w:t xml:space="preserve">  </w:t>
      </w:r>
    </w:p>
    <w:p w14:paraId="4525AEBB" w14:textId="3704FA3F" w:rsidR="005D10A9" w:rsidRDefault="00C47882" w:rsidP="00C47882">
      <w:pPr>
        <w:pStyle w:val="Sectionlevel2"/>
        <w:numPr>
          <w:ilvl w:val="0"/>
          <w:numId w:val="0"/>
        </w:numPr>
        <w:tabs>
          <w:tab w:val="left" w:pos="0"/>
        </w:tabs>
        <w:spacing w:before="0" w:after="0"/>
      </w:pPr>
      <w:r>
        <w:t>(h)</w:t>
      </w:r>
      <w:r>
        <w:tab/>
      </w:r>
      <w:r w:rsidR="008B40D9">
        <w:t>Ms Tyani, under the impression that she had to wait for the registrar to indicate that the latter was satisfied with the record, delayed preparing the application for con</w:t>
      </w:r>
      <w:r>
        <w:softHyphen/>
      </w:r>
      <w:r w:rsidR="008B40D9">
        <w:t>donation and reinstatement of the appeal. She was still waiting for her correspondent to indicate whether the registrar was satisfied with the record when, on 2 December 2021, the respondents served an urgent application on her in which they sought to hold the appellant in contempt of court for its failure to compl</w:t>
      </w:r>
      <w:r w:rsidR="006550C3">
        <w:t>y</w:t>
      </w:r>
      <w:r w:rsidR="008B40D9">
        <w:t xml:space="preserve"> with the </w:t>
      </w:r>
      <w:r w:rsidR="006F2928">
        <w:t>29</w:t>
      </w:r>
      <w:r w:rsidR="00766BE9">
        <w:t xml:space="preserve"> October </w:t>
      </w:r>
      <w:r w:rsidR="008B40D9">
        <w:t>2020 order.</w:t>
      </w:r>
    </w:p>
    <w:p w14:paraId="14EBFE15" w14:textId="0A389050" w:rsidR="00F171BA" w:rsidRDefault="00C47882" w:rsidP="00C47882">
      <w:pPr>
        <w:pStyle w:val="Sectionlevel2"/>
        <w:numPr>
          <w:ilvl w:val="0"/>
          <w:numId w:val="0"/>
        </w:numPr>
        <w:tabs>
          <w:tab w:val="left" w:pos="0"/>
        </w:tabs>
        <w:spacing w:before="0" w:after="0"/>
      </w:pPr>
      <w:r>
        <w:t>(i)</w:t>
      </w:r>
      <w:r>
        <w:tab/>
      </w:r>
      <w:r w:rsidR="008B40D9">
        <w:t xml:space="preserve">Ms Tyani </w:t>
      </w:r>
      <w:r w:rsidR="00766BE9">
        <w:t>claimed</w:t>
      </w:r>
      <w:r w:rsidR="008B40D9">
        <w:t xml:space="preserve"> that the contempt application </w:t>
      </w:r>
      <w:r w:rsidR="00766BE9">
        <w:t xml:space="preserve">had </w:t>
      </w:r>
      <w:r w:rsidR="008B40D9">
        <w:t>caused her to divert atten</w:t>
      </w:r>
      <w:r>
        <w:softHyphen/>
      </w:r>
      <w:r w:rsidR="008B40D9">
        <w:t>tion from this matter</w:t>
      </w:r>
      <w:r w:rsidR="00766BE9">
        <w:t xml:space="preserve">, so </w:t>
      </w:r>
      <w:r w:rsidR="008B40D9">
        <w:t>only on 8 December 2021 did she enquire from her corre</w:t>
      </w:r>
      <w:r>
        <w:softHyphen/>
      </w:r>
      <w:r w:rsidR="008B40D9">
        <w:t xml:space="preserve">spondent </w:t>
      </w:r>
      <w:r w:rsidR="00766BE9">
        <w:t xml:space="preserve">as to </w:t>
      </w:r>
      <w:r w:rsidR="008B40D9">
        <w:t>whether the registrar was satisfied with the record. The correspondent promised to revert.</w:t>
      </w:r>
    </w:p>
    <w:p w14:paraId="749174B1" w14:textId="57EBC02E" w:rsidR="00F171BA" w:rsidRDefault="00C47882" w:rsidP="00C47882">
      <w:pPr>
        <w:pStyle w:val="Sectionlevel2"/>
        <w:numPr>
          <w:ilvl w:val="0"/>
          <w:numId w:val="0"/>
        </w:numPr>
        <w:tabs>
          <w:tab w:val="left" w:pos="0"/>
        </w:tabs>
        <w:spacing w:before="0" w:after="0"/>
      </w:pPr>
      <w:r>
        <w:t>(j)</w:t>
      </w:r>
      <w:r>
        <w:tab/>
      </w:r>
      <w:r w:rsidR="00177F10">
        <w:t>On 15 December 2021, Ms Tyani went on annual leave and returned to work on 18 January 2022. On 10 February 2022, Ms Tyani learnt that her correspondent had on 17 December 2021 informed her that further corrections to the record were necessary.</w:t>
      </w:r>
    </w:p>
    <w:p w14:paraId="5A6AFE8B" w14:textId="5C522F41" w:rsidR="00F171BA" w:rsidRDefault="00C47882" w:rsidP="00C47882">
      <w:pPr>
        <w:pStyle w:val="Sectionlevel2"/>
        <w:numPr>
          <w:ilvl w:val="0"/>
          <w:numId w:val="0"/>
        </w:numPr>
        <w:tabs>
          <w:tab w:val="left" w:pos="0"/>
        </w:tabs>
        <w:spacing w:before="0" w:after="0"/>
      </w:pPr>
      <w:r>
        <w:t>(k)</w:t>
      </w:r>
      <w:r>
        <w:tab/>
      </w:r>
      <w:r w:rsidR="00177F10">
        <w:t>On 11 February 2022, the correspondent sent an email to Ms Tyani explaining what needed to be done to get the record compliant. She sa</w:t>
      </w:r>
      <w:r w:rsidR="00766BE9">
        <w:t xml:space="preserve">id </w:t>
      </w:r>
      <w:r w:rsidR="00177F10">
        <w:t>that she immediately consulted the transcribers and the registrar of the court</w:t>
      </w:r>
      <w:r w:rsidR="00177F10" w:rsidRPr="00BD0B50">
        <w:rPr>
          <w:i/>
          <w:iCs/>
        </w:rPr>
        <w:t xml:space="preserve"> a quo</w:t>
      </w:r>
      <w:r w:rsidR="00177F10">
        <w:t xml:space="preserve"> to attend to the queries.</w:t>
      </w:r>
    </w:p>
    <w:p w14:paraId="0D06B8C5" w14:textId="109FC4EB" w:rsidR="00B81529" w:rsidRDefault="00C47882" w:rsidP="00C47882">
      <w:pPr>
        <w:pStyle w:val="Sectionlevel2"/>
        <w:numPr>
          <w:ilvl w:val="0"/>
          <w:numId w:val="0"/>
        </w:numPr>
        <w:tabs>
          <w:tab w:val="left" w:pos="0"/>
        </w:tabs>
        <w:spacing w:before="0" w:after="260"/>
      </w:pPr>
      <w:r>
        <w:t>(l)</w:t>
      </w:r>
      <w:r>
        <w:tab/>
      </w:r>
      <w:r w:rsidR="00E95C3B">
        <w:t>The founding affidavit, deposed to on 12 July 2022, simply states that the record was not f</w:t>
      </w:r>
      <w:r w:rsidR="00250D4A">
        <w:t>iled</w:t>
      </w:r>
      <w:r w:rsidR="00E95C3B">
        <w:t xml:space="preserve"> timeously because of the ‘difficulty experienced with the transcribers’</w:t>
      </w:r>
      <w:r w:rsidR="00766BE9">
        <w:t xml:space="preserve">, with </w:t>
      </w:r>
      <w:r w:rsidR="00E95C3B">
        <w:t>is</w:t>
      </w:r>
      <w:r w:rsidR="00B76736">
        <w:t xml:space="preserve"> </w:t>
      </w:r>
      <w:r w:rsidR="00177F10">
        <w:t>no explanation of what</w:t>
      </w:r>
      <w:r w:rsidR="00766BE9">
        <w:t xml:space="preserve"> had</w:t>
      </w:r>
      <w:r w:rsidR="00177F10">
        <w:t xml:space="preserve"> happened between 11 February 2022 and </w:t>
      </w:r>
      <w:r w:rsidR="00DD39F3">
        <w:t>1</w:t>
      </w:r>
      <w:r w:rsidR="00766BE9">
        <w:t> No</w:t>
      </w:r>
      <w:r>
        <w:softHyphen/>
      </w:r>
      <w:r w:rsidR="00766BE9">
        <w:t xml:space="preserve">vember </w:t>
      </w:r>
      <w:r w:rsidR="00177F10">
        <w:t xml:space="preserve">2022 – some nine months </w:t>
      </w:r>
      <w:r w:rsidR="00B76736">
        <w:t>–</w:t>
      </w:r>
      <w:r w:rsidR="00177F10">
        <w:t xml:space="preserve"> </w:t>
      </w:r>
      <w:r w:rsidR="00B76736">
        <w:t xml:space="preserve">when the record was eventually filed. </w:t>
      </w:r>
    </w:p>
    <w:p w14:paraId="54CF258B" w14:textId="2CFA1260" w:rsidR="00226A47" w:rsidRDefault="00C47882" w:rsidP="00C47882">
      <w:pPr>
        <w:pStyle w:val="Sectionnumbering"/>
        <w:numPr>
          <w:ilvl w:val="0"/>
          <w:numId w:val="0"/>
        </w:numPr>
        <w:tabs>
          <w:tab w:val="left" w:pos="0"/>
        </w:tabs>
        <w:spacing w:before="0" w:after="0"/>
      </w:pPr>
      <w:r>
        <w:t>[6]</w:t>
      </w:r>
      <w:r>
        <w:tab/>
      </w:r>
      <w:r w:rsidR="00226A47">
        <w:t>It is a settled principle that the standard for considering an application for con</w:t>
      </w:r>
      <w:r>
        <w:softHyphen/>
      </w:r>
      <w:r w:rsidR="00226A47">
        <w:t xml:space="preserve">donation is the interests of justice, which, as the Constitutional Court explained in </w:t>
      </w:r>
      <w:r w:rsidR="00226A47" w:rsidRPr="00D136EB">
        <w:rPr>
          <w:i/>
        </w:rPr>
        <w:t>Van Wyk</w:t>
      </w:r>
      <w:r w:rsidR="00226A47">
        <w:t>,</w:t>
      </w:r>
      <w:bookmarkStart w:id="2" w:name="_Ref163205256"/>
      <w:r w:rsidR="00BD2454">
        <w:rPr>
          <w:rStyle w:val="FootnoteReference"/>
        </w:rPr>
        <w:footnoteReference w:id="1"/>
      </w:r>
      <w:bookmarkEnd w:id="2"/>
    </w:p>
    <w:p w14:paraId="663885FF" w14:textId="780589EB" w:rsidR="00BD2454" w:rsidRPr="00D136EB" w:rsidRDefault="00226A47" w:rsidP="00D136EB">
      <w:pPr>
        <w:pStyle w:val="Sectionnumbering"/>
        <w:numPr>
          <w:ilvl w:val="0"/>
          <w:numId w:val="0"/>
        </w:numPr>
        <w:spacing w:before="0" w:after="0"/>
        <w:rPr>
          <w:sz w:val="22"/>
        </w:rPr>
      </w:pPr>
      <w:r w:rsidRPr="00D136EB">
        <w:rPr>
          <w:sz w:val="22"/>
        </w:rPr>
        <w:t>‘</w:t>
      </w:r>
      <w:r w:rsidR="00BD2454" w:rsidRPr="00D136EB">
        <w:rPr>
          <w:sz w:val="22"/>
        </w:rPr>
        <w:t xml:space="preserve">. . . </w:t>
      </w:r>
      <w:r w:rsidRPr="00D136EB">
        <w:rPr>
          <w:sz w:val="22"/>
        </w:rPr>
        <w:t xml:space="preserve">depends on the facts and circumstances of each case. Factors that are relevant to this enquiry include but are not limited to the nature of the relief sought, the extent and cause of </w:t>
      </w:r>
      <w:r w:rsidRPr="00D136EB">
        <w:rPr>
          <w:sz w:val="22"/>
        </w:rPr>
        <w:lastRenderedPageBreak/>
        <w:t xml:space="preserve">the delay, </w:t>
      </w:r>
      <w:r w:rsidR="00BD2454" w:rsidRPr="00BD2454">
        <w:rPr>
          <w:sz w:val="22"/>
        </w:rPr>
        <w:t>the effect of the delay on the administration of j</w:t>
      </w:r>
      <w:r w:rsidRPr="00D136EB">
        <w:rPr>
          <w:sz w:val="22"/>
        </w:rPr>
        <w:t xml:space="preserve">ustice and other litigants, </w:t>
      </w:r>
      <w:r w:rsidR="00BD2454" w:rsidRPr="00D136EB">
        <w:rPr>
          <w:sz w:val="22"/>
        </w:rPr>
        <w:t>the rea</w:t>
      </w:r>
      <w:r w:rsidR="00C47882">
        <w:rPr>
          <w:sz w:val="22"/>
        </w:rPr>
        <w:softHyphen/>
      </w:r>
      <w:r w:rsidR="00BD2454" w:rsidRPr="00D136EB">
        <w:rPr>
          <w:sz w:val="22"/>
        </w:rPr>
        <w:t>sonableness of the explanation for the delay, the importance of the issue to be raised in the intended appeal and the prospects of success.’</w:t>
      </w:r>
    </w:p>
    <w:p w14:paraId="2261B307" w14:textId="65B9B197" w:rsidR="00226A47" w:rsidRDefault="00226A47" w:rsidP="00D136EB">
      <w:pPr>
        <w:pStyle w:val="Sectionnumbering"/>
        <w:numPr>
          <w:ilvl w:val="0"/>
          <w:numId w:val="0"/>
        </w:numPr>
        <w:spacing w:before="0" w:after="0"/>
      </w:pPr>
    </w:p>
    <w:p w14:paraId="10E10F4E" w14:textId="3A2B5F76" w:rsidR="00D74F4B" w:rsidRDefault="00C47882" w:rsidP="00C47882">
      <w:pPr>
        <w:pStyle w:val="Sectionnumbering"/>
        <w:numPr>
          <w:ilvl w:val="0"/>
          <w:numId w:val="0"/>
        </w:numPr>
        <w:tabs>
          <w:tab w:val="left" w:pos="0"/>
        </w:tabs>
        <w:spacing w:before="0" w:after="0"/>
      </w:pPr>
      <w:r>
        <w:t>[7]</w:t>
      </w:r>
      <w:r>
        <w:tab/>
      </w:r>
      <w:r w:rsidR="00D74F4B">
        <w:t>Condonation applications are not a matter of forma</w:t>
      </w:r>
      <w:r w:rsidR="00842F14">
        <w:t>lity</w:t>
      </w:r>
      <w:r w:rsidR="00250D4A">
        <w:t>. T</w:t>
      </w:r>
      <w:r w:rsidR="005331F0">
        <w:t xml:space="preserve">here </w:t>
      </w:r>
      <w:r w:rsidR="00D74F4B">
        <w:t xml:space="preserve">is an onus on the applicant to provide a full and satisfactory explanation </w:t>
      </w:r>
      <w:r w:rsidR="00D136EB">
        <w:t>for its</w:t>
      </w:r>
      <w:r w:rsidR="00D74F4B">
        <w:t xml:space="preserve"> failure to </w:t>
      </w:r>
      <w:r w:rsidR="00BD2454">
        <w:t>comply</w:t>
      </w:r>
      <w:r w:rsidR="00D74F4B">
        <w:t xml:space="preserve"> with the </w:t>
      </w:r>
      <w:r w:rsidR="005331F0">
        <w:t>R</w:t>
      </w:r>
      <w:r w:rsidR="00D74F4B">
        <w:t xml:space="preserve">ules of this </w:t>
      </w:r>
      <w:r w:rsidR="005331F0">
        <w:t>C</w:t>
      </w:r>
      <w:r w:rsidR="00D136EB">
        <w:t>ourt</w:t>
      </w:r>
      <w:r w:rsidR="00DD39F3">
        <w:t>.</w:t>
      </w:r>
      <w:r w:rsidR="00D74F4B">
        <w:rPr>
          <w:rStyle w:val="FootnoteReference"/>
        </w:rPr>
        <w:footnoteReference w:id="2"/>
      </w:r>
      <w:r w:rsidR="00D74F4B">
        <w:t xml:space="preserve"> This court has recentl</w:t>
      </w:r>
      <w:r w:rsidR="005331F0">
        <w:t>y</w:t>
      </w:r>
      <w:r w:rsidR="000E7107">
        <w:t xml:space="preserve"> confirmed the following requirement</w:t>
      </w:r>
      <w:r w:rsidR="006101BF">
        <w:t>s</w:t>
      </w:r>
      <w:r w:rsidR="000E7107">
        <w:t xml:space="preserve"> for reinstatement</w:t>
      </w:r>
      <w:r w:rsidR="00BD2454">
        <w:t xml:space="preserve"> of a lapsed appeal</w:t>
      </w:r>
      <w:r w:rsidR="000E7107">
        <w:t>:</w:t>
      </w:r>
      <w:r w:rsidR="00250D4A">
        <w:rPr>
          <w:rStyle w:val="FootnoteReference"/>
        </w:rPr>
        <w:footnoteReference w:id="3"/>
      </w:r>
    </w:p>
    <w:p w14:paraId="0E1D3611" w14:textId="358D5683" w:rsidR="000E7107" w:rsidRDefault="000E7107" w:rsidP="006A0BFB">
      <w:pPr>
        <w:pStyle w:val="Quote"/>
        <w:spacing w:before="0" w:after="0" w:line="360" w:lineRule="auto"/>
        <w:ind w:left="0"/>
        <w:jc w:val="both"/>
      </w:pPr>
      <w:r>
        <w:t>‘(a) The applicant must provide a proper explanation of the causes of the delay and explain each of the periods of delay</w:t>
      </w:r>
      <w:r w:rsidR="00842F14">
        <w:t>.</w:t>
      </w:r>
    </w:p>
    <w:p w14:paraId="0A6C7F42" w14:textId="73B16891" w:rsidR="000E7107" w:rsidRDefault="000E7107" w:rsidP="006A0BFB">
      <w:pPr>
        <w:pStyle w:val="Quote"/>
        <w:spacing w:before="0" w:after="0" w:line="360" w:lineRule="auto"/>
        <w:ind w:left="0"/>
        <w:jc w:val="both"/>
      </w:pPr>
      <w:r>
        <w:t>(b) It is not sufficient for an applicant to set out a number of generalised causes without an attempt to relate them to the time-frame of its default or to enlighten the court as to the mate</w:t>
      </w:r>
      <w:r w:rsidR="00C47882">
        <w:softHyphen/>
      </w:r>
      <w:r>
        <w:t xml:space="preserve">riality and effectiveness of any steps taken </w:t>
      </w:r>
      <w:r w:rsidR="00BD2454">
        <w:t xml:space="preserve">. . . </w:t>
      </w:r>
      <w:r>
        <w:t xml:space="preserve">to achieve compliance with the Rules at the earliest reasonable </w:t>
      </w:r>
      <w:r w:rsidR="0063246C">
        <w:t>opportunity.</w:t>
      </w:r>
    </w:p>
    <w:p w14:paraId="452AE006" w14:textId="03A93EB5" w:rsidR="0063246C" w:rsidRDefault="0063246C" w:rsidP="006A0BFB">
      <w:pPr>
        <w:pStyle w:val="Quote"/>
        <w:spacing w:before="0" w:after="0" w:line="360" w:lineRule="auto"/>
        <w:ind w:left="0"/>
        <w:jc w:val="both"/>
      </w:pPr>
      <w:r>
        <w:t xml:space="preserve">(c) The court has a discretion which the applicant must show should be exercised in its favour.’ (footnotes omitted) </w:t>
      </w:r>
    </w:p>
    <w:p w14:paraId="4D9C3F8E" w14:textId="77777777" w:rsidR="006A0BFB" w:rsidRDefault="006A0BFB" w:rsidP="006A0BFB">
      <w:pPr>
        <w:pStyle w:val="Quote"/>
        <w:spacing w:before="0" w:after="0" w:line="360" w:lineRule="auto"/>
        <w:ind w:left="0"/>
        <w:jc w:val="both"/>
      </w:pPr>
    </w:p>
    <w:p w14:paraId="4369D6EA" w14:textId="51BF7D01" w:rsidR="0047454A" w:rsidRDefault="00C47882" w:rsidP="00C47882">
      <w:pPr>
        <w:pStyle w:val="Sectionnumbering"/>
        <w:numPr>
          <w:ilvl w:val="0"/>
          <w:numId w:val="0"/>
        </w:numPr>
        <w:tabs>
          <w:tab w:val="left" w:pos="0"/>
        </w:tabs>
        <w:spacing w:before="0" w:after="0"/>
      </w:pPr>
      <w:r>
        <w:t>[8]</w:t>
      </w:r>
      <w:r>
        <w:tab/>
      </w:r>
      <w:r w:rsidR="00927B5A">
        <w:t xml:space="preserve">As stated, </w:t>
      </w:r>
      <w:r w:rsidR="00FC10D6">
        <w:t xml:space="preserve">the </w:t>
      </w:r>
      <w:r w:rsidR="00D136EB">
        <w:t>s</w:t>
      </w:r>
      <w:r w:rsidR="00FC10D6">
        <w:t xml:space="preserve">tate </w:t>
      </w:r>
      <w:r w:rsidR="00D136EB">
        <w:t>attorney’s</w:t>
      </w:r>
      <w:r w:rsidR="00927B5A">
        <w:t xml:space="preserve"> explanation does not cover the entire period of delay. What steps were taken, if any, between 11 February and 1 November 2022 to ensure that the record was filed is unexplained. This was not a difficult task – the record consists of affidavits and court orders</w:t>
      </w:r>
      <w:r w:rsidR="00BD67F4">
        <w:t>,</w:t>
      </w:r>
      <w:r w:rsidR="00927B5A">
        <w:t xml:space="preserve"> and comprises mere</w:t>
      </w:r>
      <w:r w:rsidR="00BD67F4">
        <w:t>ly</w:t>
      </w:r>
      <w:r w:rsidR="00927B5A">
        <w:t xml:space="preserve"> three volumes. </w:t>
      </w:r>
      <w:r w:rsidR="00DD39F3">
        <w:t>Despite this, it took</w:t>
      </w:r>
      <w:r w:rsidR="0047454A">
        <w:t xml:space="preserve"> </w:t>
      </w:r>
      <w:r w:rsidR="00E31A6F">
        <w:t>Ms Tyani</w:t>
      </w:r>
      <w:r w:rsidR="0047454A">
        <w:t xml:space="preserve"> one and a half years to file it.</w:t>
      </w:r>
    </w:p>
    <w:p w14:paraId="7A63E42E" w14:textId="77777777" w:rsidR="0047454A" w:rsidRDefault="0047454A" w:rsidP="00D136EB">
      <w:pPr>
        <w:pStyle w:val="Sectionnumbering"/>
        <w:numPr>
          <w:ilvl w:val="0"/>
          <w:numId w:val="0"/>
        </w:numPr>
        <w:spacing w:before="0" w:after="0"/>
      </w:pPr>
    </w:p>
    <w:p w14:paraId="48CD12A5" w14:textId="334AA598" w:rsidR="008858F6" w:rsidRDefault="00C47882" w:rsidP="00C47882">
      <w:pPr>
        <w:pStyle w:val="Sectionnumbering"/>
        <w:numPr>
          <w:ilvl w:val="0"/>
          <w:numId w:val="0"/>
        </w:numPr>
        <w:tabs>
          <w:tab w:val="left" w:pos="0"/>
        </w:tabs>
        <w:spacing w:before="0" w:after="0"/>
      </w:pPr>
      <w:r>
        <w:t>[9]</w:t>
      </w:r>
      <w:r>
        <w:tab/>
      </w:r>
      <w:r w:rsidR="00927B5A">
        <w:t>Moreover,</w:t>
      </w:r>
      <w:r w:rsidR="00E31A6F">
        <w:t xml:space="preserve"> Ms Tyani</w:t>
      </w:r>
      <w:r w:rsidR="00BF2EAB">
        <w:t>’</w:t>
      </w:r>
      <w:r w:rsidR="00927B5A">
        <w:t>s explanation is unreasonable.</w:t>
      </w:r>
      <w:r w:rsidR="00927B5A">
        <w:rPr>
          <w:rStyle w:val="FootnoteReference"/>
        </w:rPr>
        <w:footnoteReference w:id="4"/>
      </w:r>
      <w:r w:rsidR="00DD39F3">
        <w:t xml:space="preserve"> </w:t>
      </w:r>
      <w:r w:rsidR="0047454A">
        <w:t>She made no attempt to engage with her correspondent to establish precisely what needed to be done to com</w:t>
      </w:r>
      <w:r>
        <w:softHyphen/>
      </w:r>
      <w:r w:rsidR="0047454A">
        <w:t xml:space="preserve">plete the record. She simply handed it </w:t>
      </w:r>
      <w:r w:rsidR="00E31A6F">
        <w:t xml:space="preserve">to </w:t>
      </w:r>
      <w:r w:rsidR="0047454A">
        <w:t>the transcribers</w:t>
      </w:r>
      <w:r w:rsidR="00927B5A">
        <w:t xml:space="preserve"> </w:t>
      </w:r>
      <w:r w:rsidR="006414A6">
        <w:t xml:space="preserve">to attend to the deficiencies, and allowed months to go by without ensuring that it </w:t>
      </w:r>
      <w:r w:rsidR="00BD2C8A">
        <w:t xml:space="preserve">was </w:t>
      </w:r>
      <w:r w:rsidR="006414A6">
        <w:t xml:space="preserve">filed. </w:t>
      </w:r>
      <w:r w:rsidR="006550C3">
        <w:t xml:space="preserve">Her explanation that her attention </w:t>
      </w:r>
      <w:r w:rsidR="00BD2C8A">
        <w:t xml:space="preserve">was </w:t>
      </w:r>
      <w:r w:rsidR="006550C3">
        <w:t xml:space="preserve">diverted from this case and that she </w:t>
      </w:r>
      <w:r w:rsidR="00BD2C8A">
        <w:t xml:space="preserve">had taken </w:t>
      </w:r>
      <w:r w:rsidR="006550C3">
        <w:t xml:space="preserve">vacation leave in </w:t>
      </w:r>
      <w:r w:rsidR="006550C3">
        <w:lastRenderedPageBreak/>
        <w:t>December 2021 and then attended to this case only on 10 February 2022, is unac</w:t>
      </w:r>
      <w:r>
        <w:softHyphen/>
      </w:r>
      <w:r w:rsidR="006550C3">
        <w:t>ceptable.</w:t>
      </w:r>
      <w:r w:rsidR="008858F6">
        <w:t xml:space="preserve">  </w:t>
      </w:r>
    </w:p>
    <w:p w14:paraId="2E2A005B" w14:textId="77777777" w:rsidR="00735185" w:rsidRDefault="00735185" w:rsidP="00735185">
      <w:pPr>
        <w:pStyle w:val="ListParagraph"/>
      </w:pPr>
    </w:p>
    <w:p w14:paraId="61D6A568" w14:textId="137CBC25" w:rsidR="00467C77" w:rsidRDefault="00C47882" w:rsidP="00C47882">
      <w:pPr>
        <w:pStyle w:val="Sectionnumbering"/>
        <w:numPr>
          <w:ilvl w:val="0"/>
          <w:numId w:val="0"/>
        </w:numPr>
        <w:tabs>
          <w:tab w:val="left" w:pos="0"/>
        </w:tabs>
        <w:spacing w:before="0" w:after="0"/>
      </w:pPr>
      <w:r>
        <w:t>[10]</w:t>
      </w:r>
      <w:r>
        <w:tab/>
      </w:r>
      <w:r w:rsidR="008452DB">
        <w:t xml:space="preserve">The </w:t>
      </w:r>
      <w:r w:rsidR="006550C3">
        <w:t>effect</w:t>
      </w:r>
      <w:r w:rsidR="00F70F2B">
        <w:t>s</w:t>
      </w:r>
      <w:r w:rsidR="006550C3">
        <w:t xml:space="preserve"> of the delay in filing the record </w:t>
      </w:r>
      <w:r w:rsidR="00F70F2B">
        <w:t xml:space="preserve">on the administration of justice and the </w:t>
      </w:r>
      <w:r w:rsidR="008452DB">
        <w:t>respondents</w:t>
      </w:r>
      <w:r w:rsidR="00F70F2B">
        <w:t xml:space="preserve"> </w:t>
      </w:r>
      <w:r w:rsidR="00E31A6F">
        <w:t xml:space="preserve">are </w:t>
      </w:r>
      <w:r w:rsidR="00F70F2B">
        <w:t>self-evident.</w:t>
      </w:r>
      <w:r w:rsidR="00BF2EAB" w:rsidRPr="009C097F">
        <w:rPr>
          <w:bCs/>
        </w:rPr>
        <w:t xml:space="preserve"> </w:t>
      </w:r>
      <w:r w:rsidR="00E37BF6">
        <w:t xml:space="preserve">Worse, this </w:t>
      </w:r>
      <w:r w:rsidR="004D7314">
        <w:t>happened during the national lockdown</w:t>
      </w:r>
      <w:r w:rsidR="009A15D4">
        <w:t xml:space="preserve"> imposed </w:t>
      </w:r>
      <w:r w:rsidR="004D7314">
        <w:t xml:space="preserve">in response to </w:t>
      </w:r>
      <w:r w:rsidR="00D136EB">
        <w:t>the COVID</w:t>
      </w:r>
      <w:r w:rsidR="004D7314">
        <w:t xml:space="preserve">-19 </w:t>
      </w:r>
      <w:r w:rsidR="002D6431">
        <w:t>pandemic</w:t>
      </w:r>
      <w:r w:rsidR="004D7314">
        <w:t xml:space="preserve">. </w:t>
      </w:r>
      <w:r w:rsidR="00CE678C">
        <w:t>The</w:t>
      </w:r>
      <w:r w:rsidR="004D7314">
        <w:t xml:space="preserve"> respondents </w:t>
      </w:r>
      <w:r w:rsidR="00317BA3">
        <w:t xml:space="preserve">say </w:t>
      </w:r>
      <w:r w:rsidR="004D7314">
        <w:t xml:space="preserve">that most of them are </w:t>
      </w:r>
      <w:r w:rsidR="00CE678C">
        <w:t xml:space="preserve">in desperate </w:t>
      </w:r>
      <w:r w:rsidR="000A64DD">
        <w:t>need of</w:t>
      </w:r>
      <w:r w:rsidR="00CE678C">
        <w:t xml:space="preserve"> reconstruction of their homes</w:t>
      </w:r>
      <w:r w:rsidR="00317BA3">
        <w:t>.</w:t>
      </w:r>
      <w:r w:rsidR="00CE678C">
        <w:t xml:space="preserve"> </w:t>
      </w:r>
    </w:p>
    <w:p w14:paraId="59F08C0C" w14:textId="77777777" w:rsidR="00735185" w:rsidRDefault="00735185" w:rsidP="00735185">
      <w:pPr>
        <w:pStyle w:val="ListParagraph"/>
      </w:pPr>
    </w:p>
    <w:p w14:paraId="2C0DF7DD" w14:textId="154BAEC7" w:rsidR="00AE0D41" w:rsidRDefault="00C47882" w:rsidP="00C47882">
      <w:pPr>
        <w:pStyle w:val="Sectionnumbering"/>
        <w:numPr>
          <w:ilvl w:val="0"/>
          <w:numId w:val="0"/>
        </w:numPr>
        <w:tabs>
          <w:tab w:val="left" w:pos="0"/>
        </w:tabs>
        <w:spacing w:before="0" w:after="0"/>
      </w:pPr>
      <w:r>
        <w:t>[11]</w:t>
      </w:r>
      <w:r>
        <w:tab/>
      </w:r>
      <w:r w:rsidR="008C1AE5">
        <w:t>The appeal</w:t>
      </w:r>
      <w:r w:rsidR="00250D4A">
        <w:t>,</w:t>
      </w:r>
      <w:r w:rsidR="00DA5041">
        <w:t xml:space="preserve"> </w:t>
      </w:r>
      <w:r w:rsidR="00250D4A">
        <w:t>in any event</w:t>
      </w:r>
      <w:r w:rsidR="00BD2C8A">
        <w:t>,</w:t>
      </w:r>
      <w:r w:rsidR="00250D4A">
        <w:t xml:space="preserve"> </w:t>
      </w:r>
      <w:r w:rsidR="008C1AE5">
        <w:t xml:space="preserve"> has no prospects of success. It is founded on an </w:t>
      </w:r>
      <w:r w:rsidR="008C1AE5" w:rsidRPr="000A64DD">
        <w:rPr>
          <w:i/>
        </w:rPr>
        <w:t>ex parte</w:t>
      </w:r>
      <w:r w:rsidR="008C1AE5">
        <w:t xml:space="preserve"> order granted against nameless respondents. It is trite that any order issued by a court must be capable of enforcement</w:t>
      </w:r>
      <w:r w:rsidR="00AD1F5D">
        <w:t>, particularly because wilful non-compliance will result in an application for contempt of that order</w:t>
      </w:r>
      <w:r w:rsidR="008C1AE5">
        <w:t xml:space="preserve">. </w:t>
      </w:r>
      <w:r w:rsidR="00AE0D41">
        <w:t>In this case the order granted by Stretch J</w:t>
      </w:r>
      <w:r w:rsidR="00BF2EAB">
        <w:t xml:space="preserve"> was unenforceable</w:t>
      </w:r>
      <w:r w:rsidR="00AE0D41">
        <w:t xml:space="preserve"> at the time it was issued, let alone 2 years after it was issued. </w:t>
      </w:r>
    </w:p>
    <w:p w14:paraId="2EEAB67F" w14:textId="77777777" w:rsidR="00AE0D41" w:rsidRDefault="00AE0D41" w:rsidP="00BF2EAB">
      <w:pPr>
        <w:pStyle w:val="ListParagraph"/>
      </w:pPr>
    </w:p>
    <w:p w14:paraId="2E507BDA" w14:textId="07B06628" w:rsidR="00962D1A" w:rsidRDefault="00C47882" w:rsidP="00C47882">
      <w:pPr>
        <w:pStyle w:val="Sectionnumbering"/>
        <w:numPr>
          <w:ilvl w:val="0"/>
          <w:numId w:val="0"/>
        </w:numPr>
        <w:tabs>
          <w:tab w:val="left" w:pos="0"/>
        </w:tabs>
        <w:spacing w:before="0" w:after="0"/>
      </w:pPr>
      <w:r>
        <w:t>[12]</w:t>
      </w:r>
      <w:r>
        <w:tab/>
      </w:r>
      <w:r w:rsidR="006E3B4C">
        <w:t xml:space="preserve">The delay is inordinate and not </w:t>
      </w:r>
      <w:r w:rsidR="005C6A76">
        <w:t xml:space="preserve">properly </w:t>
      </w:r>
      <w:r w:rsidR="006E3B4C">
        <w:t xml:space="preserve">explained. </w:t>
      </w:r>
      <w:r w:rsidR="00E85A33">
        <w:t>The opposition to the appli</w:t>
      </w:r>
      <w:r>
        <w:softHyphen/>
      </w:r>
      <w:r w:rsidR="00E85A33">
        <w:t>cation for condonation is justified.</w:t>
      </w:r>
      <w:r w:rsidR="00AE0D41">
        <w:t xml:space="preserve"> </w:t>
      </w:r>
      <w:r w:rsidR="00E85A33">
        <w:t xml:space="preserve"> </w:t>
      </w:r>
      <w:r w:rsidR="00AA30B1">
        <w:t>I</w:t>
      </w:r>
      <w:r w:rsidR="00E85A33">
        <w:t xml:space="preserve">t </w:t>
      </w:r>
      <w:r w:rsidR="00AA30B1">
        <w:t>is</w:t>
      </w:r>
      <w:r w:rsidR="00E85A33">
        <w:t xml:space="preserve"> prejudicial to the administration of justice to condone the</w:t>
      </w:r>
      <w:r w:rsidR="009A15D4">
        <w:t xml:space="preserve"> appellant’s</w:t>
      </w:r>
      <w:r w:rsidR="00E85A33">
        <w:t xml:space="preserve"> inexplicable </w:t>
      </w:r>
      <w:r w:rsidR="00C116B3">
        <w:t xml:space="preserve">dilatory </w:t>
      </w:r>
      <w:r w:rsidR="00C474CA">
        <w:t xml:space="preserve">conduct, </w:t>
      </w:r>
      <w:r w:rsidR="00C116B3">
        <w:t>while the respondents ha</w:t>
      </w:r>
      <w:r w:rsidR="001A73A4">
        <w:t>ve</w:t>
      </w:r>
      <w:r w:rsidR="00C116B3">
        <w:t xml:space="preserve"> been rendered homeless since the demolition </w:t>
      </w:r>
      <w:r w:rsidR="00962D1A">
        <w:t>of their structure</w:t>
      </w:r>
      <w:r w:rsidR="008A283E">
        <w:t>s</w:t>
      </w:r>
      <w:r w:rsidR="00962D1A">
        <w:t xml:space="preserve"> in July 2020. </w:t>
      </w:r>
      <w:r w:rsidR="006E3B4C">
        <w:t xml:space="preserve">In the circumstances, it </w:t>
      </w:r>
      <w:r w:rsidR="00FB731A">
        <w:t xml:space="preserve">is </w:t>
      </w:r>
      <w:r w:rsidR="006E3B4C">
        <w:t>not in the interest</w:t>
      </w:r>
      <w:r w:rsidR="00FB731A">
        <w:t>s</w:t>
      </w:r>
      <w:r w:rsidR="006E3B4C">
        <w:t xml:space="preserve"> of justice to grant condonation. </w:t>
      </w:r>
    </w:p>
    <w:p w14:paraId="60DF5642" w14:textId="77777777" w:rsidR="002D1535" w:rsidRDefault="002D1535" w:rsidP="006A0BFB">
      <w:pPr>
        <w:pStyle w:val="Sectionnumbering"/>
        <w:numPr>
          <w:ilvl w:val="0"/>
          <w:numId w:val="0"/>
        </w:numPr>
        <w:spacing w:before="0" w:after="0"/>
      </w:pPr>
    </w:p>
    <w:p w14:paraId="16746323" w14:textId="7DAD9815" w:rsidR="000A64DD" w:rsidRDefault="00C47882" w:rsidP="00C47882">
      <w:pPr>
        <w:pStyle w:val="Sectionnumbering"/>
        <w:numPr>
          <w:ilvl w:val="0"/>
          <w:numId w:val="0"/>
        </w:numPr>
        <w:tabs>
          <w:tab w:val="left" w:pos="0"/>
        </w:tabs>
        <w:spacing w:before="0" w:after="0"/>
      </w:pPr>
      <w:r>
        <w:t>[13]</w:t>
      </w:r>
      <w:r>
        <w:tab/>
      </w:r>
      <w:r w:rsidR="00FC62EE">
        <w:t xml:space="preserve">The conduct of </w:t>
      </w:r>
      <w:r w:rsidR="001619B5">
        <w:t>Ms Tyani</w:t>
      </w:r>
      <w:r w:rsidR="006E3B4C">
        <w:t xml:space="preserve"> </w:t>
      </w:r>
      <w:r w:rsidR="007A5C72">
        <w:t>and the respondents</w:t>
      </w:r>
      <w:r w:rsidR="00093E6C">
        <w:t>’</w:t>
      </w:r>
      <w:r w:rsidR="007A5C72">
        <w:t xml:space="preserve"> counsel </w:t>
      </w:r>
      <w:r w:rsidR="00787435">
        <w:t xml:space="preserve">in this case is to be deprecated. </w:t>
      </w:r>
      <w:r w:rsidR="00230C22">
        <w:t xml:space="preserve">Concerning the conduct of </w:t>
      </w:r>
      <w:r w:rsidR="001619B5">
        <w:t>Ms Tyani</w:t>
      </w:r>
      <w:r w:rsidR="00230C22">
        <w:t>, r</w:t>
      </w:r>
      <w:r w:rsidR="00787435">
        <w:t xml:space="preserve">ecently this Court </w:t>
      </w:r>
      <w:r w:rsidR="00851552">
        <w:t>decried the fla</w:t>
      </w:r>
      <w:r>
        <w:softHyphen/>
      </w:r>
      <w:r w:rsidR="00851552">
        <w:t xml:space="preserve">grant disregard of its </w:t>
      </w:r>
      <w:r w:rsidR="00BF2EAB">
        <w:t>R</w:t>
      </w:r>
      <w:r w:rsidR="00851552">
        <w:t xml:space="preserve">ules and warned that punitive personal costs orders may be appropriate in </w:t>
      </w:r>
      <w:r w:rsidR="00787435">
        <w:t>conduct of this kind.</w:t>
      </w:r>
      <w:r w:rsidR="00787435">
        <w:rPr>
          <w:rStyle w:val="FootnoteReference"/>
        </w:rPr>
        <w:footnoteReference w:id="5"/>
      </w:r>
      <w:r w:rsidR="00DF4800">
        <w:t xml:space="preserve"> </w:t>
      </w:r>
      <w:r w:rsidR="00AE0D41">
        <w:t>In light of the warnings previous</w:t>
      </w:r>
      <w:r w:rsidR="00BD2C8A">
        <w:t>ly</w:t>
      </w:r>
      <w:r w:rsidR="00AE0D41">
        <w:t xml:space="preserve"> issued by this </w:t>
      </w:r>
      <w:r w:rsidR="00512C74">
        <w:t>C</w:t>
      </w:r>
      <w:r w:rsidR="00AE0D41">
        <w:t>ourt,</w:t>
      </w:r>
      <w:r w:rsidR="00BD2C8A">
        <w:t xml:space="preserve"> </w:t>
      </w:r>
      <w:r w:rsidR="006F2928">
        <w:t>it</w:t>
      </w:r>
      <w:r w:rsidR="00BF2EAB">
        <w:t xml:space="preserve"> is hoped that the S</w:t>
      </w:r>
      <w:r w:rsidR="00AE0D41">
        <w:t>o</w:t>
      </w:r>
      <w:r w:rsidR="00BD2C8A">
        <w:t xml:space="preserve">licitor </w:t>
      </w:r>
      <w:r w:rsidR="00BF2EAB">
        <w:t>G</w:t>
      </w:r>
      <w:r w:rsidR="00AE0D41">
        <w:t>eneral</w:t>
      </w:r>
      <w:r w:rsidR="00731711">
        <w:rPr>
          <w:rStyle w:val="FootnoteReference"/>
        </w:rPr>
        <w:footnoteReference w:id="6"/>
      </w:r>
      <w:r w:rsidR="00AE0D41">
        <w:t xml:space="preserve"> will take heed and address the problem. </w:t>
      </w:r>
    </w:p>
    <w:p w14:paraId="0A0BEC31" w14:textId="77777777" w:rsidR="000A64DD" w:rsidRDefault="000A64DD" w:rsidP="000A64DD">
      <w:pPr>
        <w:pStyle w:val="ListParagraph"/>
      </w:pPr>
    </w:p>
    <w:p w14:paraId="295F2492" w14:textId="41449B30" w:rsidR="003E7028" w:rsidRDefault="00C47882" w:rsidP="00C47882">
      <w:pPr>
        <w:pStyle w:val="Sectionnumbering"/>
        <w:numPr>
          <w:ilvl w:val="0"/>
          <w:numId w:val="0"/>
        </w:numPr>
        <w:tabs>
          <w:tab w:val="left" w:pos="0"/>
        </w:tabs>
        <w:spacing w:before="0" w:after="0"/>
      </w:pPr>
      <w:r>
        <w:t>[14]</w:t>
      </w:r>
      <w:r>
        <w:tab/>
      </w:r>
      <w:r w:rsidR="00883851">
        <w:t xml:space="preserve">Counsel for the respondents disregarded the </w:t>
      </w:r>
      <w:r w:rsidR="00F163DA">
        <w:t>R</w:t>
      </w:r>
      <w:r w:rsidR="00883851">
        <w:t xml:space="preserve">ules of </w:t>
      </w:r>
      <w:r w:rsidR="00F163DA">
        <w:t>C</w:t>
      </w:r>
      <w:r w:rsidR="00883851">
        <w:t>ourt</w:t>
      </w:r>
      <w:r w:rsidR="00DF4800">
        <w:t>.</w:t>
      </w:r>
      <w:r w:rsidR="00883851">
        <w:t xml:space="preserve"> </w:t>
      </w:r>
      <w:r w:rsidR="00DF4800">
        <w:t>There is no expla</w:t>
      </w:r>
      <w:r>
        <w:softHyphen/>
      </w:r>
      <w:r w:rsidR="00DF4800">
        <w:t>natio</w:t>
      </w:r>
      <w:r w:rsidR="00BF2EAB">
        <w:t>n w</w:t>
      </w:r>
      <w:r w:rsidR="00DF4800">
        <w:t>hy heads of argument were not filed</w:t>
      </w:r>
      <w:r w:rsidR="002144CC">
        <w:t xml:space="preserve"> at all. Counsel also </w:t>
      </w:r>
      <w:r w:rsidR="00883851">
        <w:t>arrived late for the hearing</w:t>
      </w:r>
      <w:r w:rsidR="005B11C6">
        <w:t xml:space="preserve">. He explained that he had to rely on public transport and that it was his first </w:t>
      </w:r>
      <w:r w:rsidR="005B11C6">
        <w:lastRenderedPageBreak/>
        <w:t>appearance in this Court</w:t>
      </w:r>
      <w:r w:rsidR="00883851">
        <w:t>.</w:t>
      </w:r>
      <w:r w:rsidR="005B11C6">
        <w:t xml:space="preserve"> </w:t>
      </w:r>
      <w:r w:rsidR="00BD2C8A">
        <w:t>T</w:t>
      </w:r>
      <w:r w:rsidR="004F7B65">
        <w:t>his conduct</w:t>
      </w:r>
      <w:r w:rsidR="009C097F">
        <w:t>, however,</w:t>
      </w:r>
      <w:r w:rsidR="005B11C6">
        <w:t xml:space="preserve"> </w:t>
      </w:r>
      <w:r w:rsidR="004F7B65">
        <w:t>was not</w:t>
      </w:r>
      <w:r w:rsidR="00883851">
        <w:t xml:space="preserve"> </w:t>
      </w:r>
      <w:r w:rsidR="004F7B65">
        <w:t>wilfully disruptive of the proceedings</w:t>
      </w:r>
      <w:r w:rsidR="00BD2C8A">
        <w:t xml:space="preserve"> so as </w:t>
      </w:r>
      <w:r w:rsidR="00431D2F">
        <w:t>to justify an order denying the respondents the costs of the</w:t>
      </w:r>
      <w:r w:rsidR="003C02DF">
        <w:t xml:space="preserve"> appli</w:t>
      </w:r>
      <w:r>
        <w:softHyphen/>
      </w:r>
      <w:r w:rsidR="003C02DF">
        <w:t>cation</w:t>
      </w:r>
      <w:r w:rsidR="00431D2F">
        <w:t>.</w:t>
      </w:r>
      <w:r w:rsidR="004F7B65">
        <w:t xml:space="preserve"> </w:t>
      </w:r>
    </w:p>
    <w:p w14:paraId="144366F1" w14:textId="77777777" w:rsidR="00F163DA" w:rsidRDefault="00F163DA" w:rsidP="000A64DD">
      <w:pPr>
        <w:pStyle w:val="Sectionnumbering"/>
        <w:numPr>
          <w:ilvl w:val="0"/>
          <w:numId w:val="0"/>
        </w:numPr>
        <w:spacing w:before="0" w:after="0"/>
      </w:pPr>
    </w:p>
    <w:p w14:paraId="6CF2DA70" w14:textId="7E3B3A9D" w:rsidR="00E31A6F" w:rsidRDefault="00C47882" w:rsidP="00C47882">
      <w:pPr>
        <w:pStyle w:val="Sectionnumbering"/>
        <w:numPr>
          <w:ilvl w:val="0"/>
          <w:numId w:val="0"/>
        </w:numPr>
        <w:tabs>
          <w:tab w:val="left" w:pos="0"/>
        </w:tabs>
        <w:spacing w:before="0" w:after="0"/>
      </w:pPr>
      <w:r>
        <w:t>[15]</w:t>
      </w:r>
      <w:r>
        <w:tab/>
      </w:r>
      <w:r w:rsidR="00887807">
        <w:t>For the</w:t>
      </w:r>
      <w:r w:rsidR="007D1F4F">
        <w:t xml:space="preserve"> above</w:t>
      </w:r>
      <w:r w:rsidR="00887807">
        <w:t xml:space="preserve"> reasons</w:t>
      </w:r>
      <w:r w:rsidR="007D1F4F">
        <w:t>,</w:t>
      </w:r>
      <w:r w:rsidR="00887807">
        <w:t xml:space="preserve"> </w:t>
      </w:r>
      <w:r w:rsidR="007D1F4F">
        <w:t xml:space="preserve">the </w:t>
      </w:r>
      <w:r w:rsidR="00887807">
        <w:t xml:space="preserve">application for condonation </w:t>
      </w:r>
      <w:r w:rsidR="00F278B4">
        <w:t>for the late filing of the record and the heads of argument</w:t>
      </w:r>
      <w:r w:rsidR="007D1F4F">
        <w:t>,</w:t>
      </w:r>
      <w:r w:rsidR="00F278B4">
        <w:t xml:space="preserve"> is dis</w:t>
      </w:r>
      <w:r w:rsidR="00887807">
        <w:t xml:space="preserve">missed with costs. </w:t>
      </w:r>
    </w:p>
    <w:p w14:paraId="1D638ADC" w14:textId="771CEA50" w:rsidR="00924BAA" w:rsidRDefault="00924BAA" w:rsidP="00924BAA">
      <w:pPr>
        <w:pStyle w:val="Sectionnumbering"/>
        <w:numPr>
          <w:ilvl w:val="0"/>
          <w:numId w:val="0"/>
        </w:numPr>
        <w:ind w:left="567"/>
      </w:pPr>
    </w:p>
    <w:p w14:paraId="33FEE26F" w14:textId="2FF92F6B" w:rsidR="00924BAA" w:rsidRDefault="00924BAA" w:rsidP="00924BAA">
      <w:pPr>
        <w:pStyle w:val="Sectionnumbering"/>
        <w:numPr>
          <w:ilvl w:val="0"/>
          <w:numId w:val="0"/>
        </w:numPr>
        <w:ind w:left="567"/>
      </w:pPr>
    </w:p>
    <w:p w14:paraId="2B894A6C" w14:textId="646DEF17" w:rsidR="00924BAA" w:rsidRDefault="00924BAA" w:rsidP="006F2928">
      <w:pPr>
        <w:pStyle w:val="Sectionnumbering"/>
        <w:numPr>
          <w:ilvl w:val="0"/>
          <w:numId w:val="0"/>
        </w:numPr>
        <w:spacing w:before="0" w:after="0"/>
        <w:ind w:left="567"/>
        <w:jc w:val="right"/>
        <w:rPr>
          <w:b/>
        </w:rPr>
      </w:pPr>
      <w:r>
        <w:tab/>
      </w:r>
      <w:r>
        <w:tab/>
      </w:r>
      <w:r>
        <w:tab/>
      </w:r>
      <w:r>
        <w:tab/>
      </w:r>
      <w:r>
        <w:tab/>
      </w:r>
      <w:r>
        <w:tab/>
      </w:r>
      <w:r>
        <w:tab/>
      </w:r>
      <w:r w:rsidR="00D9447A">
        <w:rPr>
          <w:b/>
        </w:rPr>
        <w:t>________________________</w:t>
      </w:r>
    </w:p>
    <w:p w14:paraId="6FFF3128" w14:textId="61CDB80C" w:rsidR="00D9447A" w:rsidRDefault="00D9447A" w:rsidP="006F2928">
      <w:pPr>
        <w:pStyle w:val="Sectionnumbering"/>
        <w:numPr>
          <w:ilvl w:val="0"/>
          <w:numId w:val="0"/>
        </w:numPr>
        <w:spacing w:before="0" w:after="0"/>
        <w:ind w:left="567"/>
        <w:jc w:val="right"/>
        <w:rPr>
          <w:b/>
        </w:rPr>
      </w:pPr>
      <w:r>
        <w:rPr>
          <w:b/>
        </w:rPr>
        <w:tab/>
        <w:t>ED BAARTMAN</w:t>
      </w:r>
    </w:p>
    <w:p w14:paraId="2C1A8ADD" w14:textId="79563170" w:rsidR="00D9447A" w:rsidRDefault="00D9447A" w:rsidP="006F2928">
      <w:pPr>
        <w:pStyle w:val="Sectionnumbering"/>
        <w:numPr>
          <w:ilvl w:val="0"/>
          <w:numId w:val="0"/>
        </w:numPr>
        <w:spacing w:before="0" w:after="0"/>
        <w:ind w:left="567"/>
        <w:jc w:val="right"/>
        <w:rPr>
          <w:b/>
        </w:rPr>
      </w:pPr>
      <w:r>
        <w:rPr>
          <w:b/>
        </w:rPr>
        <w:t>ACTING JUDGE OF APPEAL</w:t>
      </w:r>
    </w:p>
    <w:p w14:paraId="687A26AF" w14:textId="312B05E8" w:rsidR="00D9447A" w:rsidRDefault="00D9447A">
      <w:pPr>
        <w:spacing w:before="0" w:after="0" w:line="240" w:lineRule="auto"/>
        <w:rPr>
          <w:b/>
        </w:rPr>
      </w:pPr>
      <w:r>
        <w:rPr>
          <w:b/>
        </w:rPr>
        <w:br w:type="page"/>
      </w:r>
    </w:p>
    <w:p w14:paraId="5A8E5232" w14:textId="08B4B6E5" w:rsidR="00D9447A" w:rsidRDefault="00D9447A" w:rsidP="00D9447A">
      <w:pPr>
        <w:pStyle w:val="Sectionnumbering"/>
        <w:numPr>
          <w:ilvl w:val="0"/>
          <w:numId w:val="0"/>
        </w:numPr>
        <w:spacing w:before="0" w:after="0"/>
        <w:ind w:left="567"/>
      </w:pPr>
      <w:r>
        <w:lastRenderedPageBreak/>
        <w:t>APPEARANCES:</w:t>
      </w:r>
    </w:p>
    <w:p w14:paraId="17D93687" w14:textId="20BCA6DD" w:rsidR="00D9447A" w:rsidRDefault="00D9447A" w:rsidP="00D9447A">
      <w:pPr>
        <w:pStyle w:val="Sectionnumbering"/>
        <w:numPr>
          <w:ilvl w:val="0"/>
          <w:numId w:val="0"/>
        </w:numPr>
        <w:spacing w:before="0" w:after="0"/>
        <w:ind w:left="567"/>
      </w:pPr>
      <w:r>
        <w:t>For appellant:</w:t>
      </w:r>
      <w:r>
        <w:tab/>
      </w:r>
      <w:r>
        <w:tab/>
      </w:r>
      <w:r>
        <w:tab/>
      </w:r>
      <w:r>
        <w:tab/>
        <w:t>TM Ntsaluba SC (with him N Nabela)</w:t>
      </w:r>
    </w:p>
    <w:p w14:paraId="005A2E9A" w14:textId="141E355D" w:rsidR="00D9447A" w:rsidRDefault="00D9447A" w:rsidP="00D9447A">
      <w:pPr>
        <w:pStyle w:val="Sectionnumbering"/>
        <w:numPr>
          <w:ilvl w:val="0"/>
          <w:numId w:val="0"/>
        </w:numPr>
        <w:spacing w:before="0" w:after="0"/>
        <w:ind w:left="567"/>
      </w:pPr>
      <w:r>
        <w:t>Instructed by:</w:t>
      </w:r>
      <w:r>
        <w:tab/>
      </w:r>
      <w:r>
        <w:tab/>
      </w:r>
      <w:r>
        <w:tab/>
      </w:r>
      <w:r>
        <w:tab/>
      </w:r>
      <w:r w:rsidR="00467C77">
        <w:t>State Attorney, East London</w:t>
      </w:r>
    </w:p>
    <w:p w14:paraId="65F1F2CC" w14:textId="03CBE11D" w:rsidR="00467C77" w:rsidRDefault="00467C77" w:rsidP="00D9447A">
      <w:pPr>
        <w:pStyle w:val="Sectionnumbering"/>
        <w:numPr>
          <w:ilvl w:val="0"/>
          <w:numId w:val="0"/>
        </w:numPr>
        <w:spacing w:before="0" w:after="0"/>
        <w:ind w:left="567"/>
      </w:pPr>
      <w:r>
        <w:tab/>
      </w:r>
      <w:r>
        <w:tab/>
      </w:r>
      <w:r>
        <w:tab/>
      </w:r>
      <w:r>
        <w:tab/>
      </w:r>
      <w:r>
        <w:tab/>
      </w:r>
      <w:r>
        <w:tab/>
        <w:t>State Attorney, Bloemfontein</w:t>
      </w:r>
    </w:p>
    <w:p w14:paraId="3F87D287" w14:textId="77777777" w:rsidR="00467C77" w:rsidRDefault="00467C77" w:rsidP="00D9447A">
      <w:pPr>
        <w:pStyle w:val="Sectionnumbering"/>
        <w:numPr>
          <w:ilvl w:val="0"/>
          <w:numId w:val="0"/>
        </w:numPr>
        <w:spacing w:before="0" w:after="0"/>
        <w:ind w:left="567"/>
      </w:pPr>
    </w:p>
    <w:p w14:paraId="58A45956" w14:textId="3613288B" w:rsidR="00467C77" w:rsidRDefault="00467C77" w:rsidP="00D9447A">
      <w:pPr>
        <w:pStyle w:val="Sectionnumbering"/>
        <w:numPr>
          <w:ilvl w:val="0"/>
          <w:numId w:val="0"/>
        </w:numPr>
        <w:spacing w:before="0" w:after="0"/>
        <w:ind w:left="567"/>
      </w:pPr>
      <w:r>
        <w:t>For respondent:</w:t>
      </w:r>
      <w:r>
        <w:tab/>
      </w:r>
      <w:r>
        <w:tab/>
      </w:r>
      <w:r>
        <w:tab/>
        <w:t>Z Madukuda</w:t>
      </w:r>
    </w:p>
    <w:p w14:paraId="1807301E" w14:textId="7C4A8CE6" w:rsidR="00467C77" w:rsidRDefault="00467C77" w:rsidP="00D9447A">
      <w:pPr>
        <w:pStyle w:val="Sectionnumbering"/>
        <w:numPr>
          <w:ilvl w:val="0"/>
          <w:numId w:val="0"/>
        </w:numPr>
        <w:spacing w:before="0" w:after="0"/>
        <w:ind w:left="567"/>
      </w:pPr>
      <w:r>
        <w:t>Instructed by:</w:t>
      </w:r>
      <w:r>
        <w:tab/>
      </w:r>
      <w:r>
        <w:tab/>
      </w:r>
      <w:r>
        <w:tab/>
      </w:r>
      <w:r>
        <w:tab/>
        <w:t>Tshingana &amp; Associates, East London</w:t>
      </w:r>
    </w:p>
    <w:p w14:paraId="4A06A73C" w14:textId="278C56CE" w:rsidR="00467C77" w:rsidRPr="00D9447A" w:rsidRDefault="00467C77" w:rsidP="00D9447A">
      <w:pPr>
        <w:pStyle w:val="Sectionnumbering"/>
        <w:numPr>
          <w:ilvl w:val="0"/>
          <w:numId w:val="0"/>
        </w:numPr>
        <w:spacing w:before="0" w:after="0"/>
        <w:ind w:left="567"/>
      </w:pPr>
      <w:r>
        <w:tab/>
      </w:r>
      <w:r>
        <w:tab/>
      </w:r>
      <w:r>
        <w:tab/>
      </w:r>
      <w:r>
        <w:tab/>
      </w:r>
      <w:r>
        <w:tab/>
      </w:r>
      <w:r>
        <w:tab/>
        <w:t>Duba Attorneys, Bloemfontein</w:t>
      </w:r>
    </w:p>
    <w:sectPr w:rsidR="00467C77" w:rsidRPr="00D9447A" w:rsidSect="007378E5">
      <w:headerReference w:type="default" r:id="rId9"/>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ECBC8D" w14:textId="77777777" w:rsidR="008C308F" w:rsidRDefault="008C308F" w:rsidP="008447E1">
      <w:r>
        <w:separator/>
      </w:r>
    </w:p>
  </w:endnote>
  <w:endnote w:type="continuationSeparator" w:id="0">
    <w:p w14:paraId="26CA5ABB" w14:textId="77777777" w:rsidR="008C308F" w:rsidRDefault="008C308F" w:rsidP="00844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9324F2" w14:textId="77777777" w:rsidR="008C308F" w:rsidRDefault="008C308F" w:rsidP="008447E1">
      <w:r>
        <w:separator/>
      </w:r>
    </w:p>
  </w:footnote>
  <w:footnote w:type="continuationSeparator" w:id="0">
    <w:p w14:paraId="6600DD9C" w14:textId="77777777" w:rsidR="008C308F" w:rsidRDefault="008C308F" w:rsidP="008447E1">
      <w:r>
        <w:continuationSeparator/>
      </w:r>
    </w:p>
  </w:footnote>
  <w:footnote w:id="1">
    <w:p w14:paraId="4C421813" w14:textId="69A6D9C9" w:rsidR="00BD2454" w:rsidRDefault="00BD2454" w:rsidP="00BD2454">
      <w:pPr>
        <w:pStyle w:val="FootnoteText"/>
        <w:jc w:val="both"/>
      </w:pPr>
      <w:r>
        <w:rPr>
          <w:rStyle w:val="FootnoteReference"/>
        </w:rPr>
        <w:footnoteRef/>
      </w:r>
      <w:r>
        <w:t xml:space="preserve"> </w:t>
      </w:r>
      <w:r w:rsidRPr="0087418A">
        <w:rPr>
          <w:i/>
          <w:iCs/>
        </w:rPr>
        <w:t>Van Wyk v Unitas Hospital and Another (Open Democratic Advice Centre as Amicus Curiae)</w:t>
      </w:r>
      <w:r>
        <w:t xml:space="preserve"> 200</w:t>
      </w:r>
      <w:r w:rsidR="003C2CDA">
        <w:t>7 ZACC; 2008</w:t>
      </w:r>
      <w:r w:rsidR="00250D4A">
        <w:t xml:space="preserve"> </w:t>
      </w:r>
      <w:r w:rsidR="003C2CDA">
        <w:t>(2)</w:t>
      </w:r>
      <w:r>
        <w:t xml:space="preserve"> SA 472 para 20. </w:t>
      </w:r>
    </w:p>
  </w:footnote>
  <w:footnote w:id="2">
    <w:p w14:paraId="156F93CE" w14:textId="2C5F81EF" w:rsidR="00D74F4B" w:rsidRDefault="00D74F4B" w:rsidP="00DD39F3">
      <w:pPr>
        <w:pStyle w:val="FootnoteText"/>
        <w:jc w:val="both"/>
      </w:pPr>
      <w:r>
        <w:rPr>
          <w:rStyle w:val="FootnoteReference"/>
        </w:rPr>
        <w:footnoteRef/>
      </w:r>
      <w:r>
        <w:t xml:space="preserve"> Rule 12 provides the mechanism for condonation application in the event of non-compliance with the Rules. </w:t>
      </w:r>
    </w:p>
  </w:footnote>
  <w:footnote w:id="3">
    <w:p w14:paraId="5CCC5D64" w14:textId="77777777" w:rsidR="00250D4A" w:rsidRDefault="00250D4A" w:rsidP="00DD39F3">
      <w:pPr>
        <w:pStyle w:val="FootnoteText"/>
        <w:jc w:val="both"/>
      </w:pPr>
      <w:r>
        <w:rPr>
          <w:rStyle w:val="FootnoteReference"/>
        </w:rPr>
        <w:footnoteRef/>
      </w:r>
      <w:r>
        <w:t xml:space="preserve"> </w:t>
      </w:r>
      <w:r w:rsidRPr="000E7107">
        <w:rPr>
          <w:i/>
          <w:iCs/>
        </w:rPr>
        <w:t xml:space="preserve">The Chairperson of the North West Gambling Board and Another v Sun International (SA) Limited </w:t>
      </w:r>
      <w:r>
        <w:t>(1214/2019) [2021] ZASCA 176 (14 December 2021).</w:t>
      </w:r>
    </w:p>
  </w:footnote>
  <w:footnote w:id="4">
    <w:p w14:paraId="536020E6" w14:textId="5AA29AFD" w:rsidR="00927B5A" w:rsidRDefault="00927B5A" w:rsidP="00DD39F3">
      <w:pPr>
        <w:pStyle w:val="FootnoteText"/>
        <w:contextualSpacing/>
        <w:jc w:val="both"/>
      </w:pPr>
      <w:r>
        <w:rPr>
          <w:rStyle w:val="FootnoteReference"/>
        </w:rPr>
        <w:footnoteRef/>
      </w:r>
      <w:r>
        <w:t xml:space="preserve"> </w:t>
      </w:r>
      <w:r w:rsidRPr="000A64DD">
        <w:rPr>
          <w:i/>
          <w:iCs/>
        </w:rPr>
        <w:t>Van Wyk</w:t>
      </w:r>
      <w:r>
        <w:t xml:space="preserve"> </w:t>
      </w:r>
      <w:r w:rsidR="000A64DD">
        <w:t>p</w:t>
      </w:r>
      <w:r>
        <w:t>ara 22.</w:t>
      </w:r>
    </w:p>
  </w:footnote>
  <w:footnote w:id="5">
    <w:p w14:paraId="4693E2B9" w14:textId="77777777" w:rsidR="00787435" w:rsidRDefault="00787435" w:rsidP="00787435">
      <w:pPr>
        <w:pStyle w:val="FootnoteText"/>
        <w:jc w:val="both"/>
      </w:pPr>
      <w:r>
        <w:rPr>
          <w:rStyle w:val="FootnoteReference"/>
        </w:rPr>
        <w:footnoteRef/>
      </w:r>
      <w:r>
        <w:t xml:space="preserve"> </w:t>
      </w:r>
      <w:r w:rsidRPr="00851552">
        <w:rPr>
          <w:i/>
          <w:iCs/>
        </w:rPr>
        <w:t>The Member of the Executive Council for Health, Eastern Cape Province v Y N obo EN</w:t>
      </w:r>
      <w:r>
        <w:t xml:space="preserve"> (056/2021) [2023] ZASCA 32 (30 March 2023). </w:t>
      </w:r>
    </w:p>
  </w:footnote>
  <w:footnote w:id="6">
    <w:p w14:paraId="631C07A9" w14:textId="0011B422" w:rsidR="00731711" w:rsidRDefault="00731711" w:rsidP="00512C74">
      <w:pPr>
        <w:pStyle w:val="FootnoteText"/>
      </w:pPr>
      <w:r>
        <w:rPr>
          <w:rStyle w:val="FootnoteReference"/>
        </w:rPr>
        <w:footnoteRef/>
      </w:r>
      <w:r>
        <w:t xml:space="preserve"> </w:t>
      </w:r>
      <w:r w:rsidRPr="00731711">
        <w:rPr>
          <w:i/>
          <w:iCs/>
        </w:rPr>
        <w:t xml:space="preserve">Section 3A of the State Attorney Act, No.56 of 1957 </w:t>
      </w:r>
      <w:r>
        <w:t>‘(1) The Solicitor-General shall –</w:t>
      </w:r>
      <w:r w:rsidR="00512C74">
        <w:t xml:space="preserve"> (a) </w:t>
      </w:r>
      <w:r>
        <w:t>be the ex</w:t>
      </w:r>
      <w:r w:rsidR="00C47882">
        <w:softHyphen/>
      </w:r>
      <w:r>
        <w:t>ecutive officer of all offices of State Attoney;(b) exercise control, direction and supervision over all of</w:t>
      </w:r>
      <w:r w:rsidR="00C47882">
        <w:softHyphen/>
      </w:r>
      <w:r>
        <w:t xml:space="preserve">fices of State Attorney;…’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010615"/>
      <w:docPartObj>
        <w:docPartGallery w:val="Page Numbers (Top of Page)"/>
        <w:docPartUnique/>
      </w:docPartObj>
    </w:sdtPr>
    <w:sdtEndPr>
      <w:rPr>
        <w:noProof/>
      </w:rPr>
    </w:sdtEndPr>
    <w:sdtContent>
      <w:p w14:paraId="6CD9A5FC" w14:textId="6B3C7F8C" w:rsidR="00E35184" w:rsidRDefault="00E35184" w:rsidP="00E35184">
        <w:pPr>
          <w:pStyle w:val="Header"/>
          <w:jc w:val="right"/>
        </w:pPr>
        <w:r>
          <w:fldChar w:fldCharType="begin"/>
        </w:r>
        <w:r>
          <w:instrText xml:space="preserve"> PAGE   \* MERGEFORMAT </w:instrText>
        </w:r>
        <w:r>
          <w:fldChar w:fldCharType="separate"/>
        </w:r>
        <w:r w:rsidR="00C47882">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A5EE1248"/>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CE6800FC"/>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9B405596"/>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86ECA2A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9023F20"/>
    <w:multiLevelType w:val="hybridMultilevel"/>
    <w:tmpl w:val="0360D5F4"/>
    <w:lvl w:ilvl="0" w:tplc="691E1002">
      <w:start w:val="1"/>
      <w:numFmt w:val="bullet"/>
      <w:pStyle w:val="Bullets"/>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3332EE"/>
    <w:multiLevelType w:val="hybridMultilevel"/>
    <w:tmpl w:val="A066CFCE"/>
    <w:lvl w:ilvl="0" w:tplc="FC5848A2">
      <w:start w:val="1"/>
      <w:numFmt w:val="decimal"/>
      <w:lvlText w:val="%1."/>
      <w:lvlJc w:val="left"/>
      <w:pPr>
        <w:tabs>
          <w:tab w:val="num" w:pos="720"/>
        </w:tabs>
        <w:ind w:left="720" w:hanging="720"/>
      </w:pPr>
      <w:rPr>
        <w:rFonts w:cs="Times New Roman" w:hint="default"/>
      </w:rPr>
    </w:lvl>
    <w:lvl w:ilvl="1" w:tplc="8D489B74">
      <w:start w:val="1"/>
      <w:numFmt w:val="decimal"/>
      <w:lvlText w:val="%2."/>
      <w:lvlJc w:val="left"/>
      <w:pPr>
        <w:tabs>
          <w:tab w:val="num" w:pos="2882"/>
        </w:tabs>
        <w:ind w:left="2882" w:hanging="720"/>
      </w:pPr>
      <w:rPr>
        <w:rFonts w:cs="Times New Roman" w:hint="default"/>
      </w:rPr>
    </w:lvl>
    <w:lvl w:ilvl="2" w:tplc="0809001B" w:tentative="1">
      <w:start w:val="1"/>
      <w:numFmt w:val="lowerRoman"/>
      <w:lvlText w:val="%3."/>
      <w:lvlJc w:val="right"/>
      <w:pPr>
        <w:tabs>
          <w:tab w:val="num" w:pos="3242"/>
        </w:tabs>
        <w:ind w:left="3242" w:hanging="180"/>
      </w:pPr>
      <w:rPr>
        <w:rFonts w:cs="Times New Roman"/>
      </w:rPr>
    </w:lvl>
    <w:lvl w:ilvl="3" w:tplc="0809000F" w:tentative="1">
      <w:start w:val="1"/>
      <w:numFmt w:val="decimal"/>
      <w:lvlText w:val="%4."/>
      <w:lvlJc w:val="left"/>
      <w:pPr>
        <w:tabs>
          <w:tab w:val="num" w:pos="3962"/>
        </w:tabs>
        <w:ind w:left="3962" w:hanging="360"/>
      </w:pPr>
      <w:rPr>
        <w:rFonts w:cs="Times New Roman"/>
      </w:rPr>
    </w:lvl>
    <w:lvl w:ilvl="4" w:tplc="08090019" w:tentative="1">
      <w:start w:val="1"/>
      <w:numFmt w:val="lowerLetter"/>
      <w:lvlText w:val="%5."/>
      <w:lvlJc w:val="left"/>
      <w:pPr>
        <w:tabs>
          <w:tab w:val="num" w:pos="4682"/>
        </w:tabs>
        <w:ind w:left="4682" w:hanging="360"/>
      </w:pPr>
      <w:rPr>
        <w:rFonts w:cs="Times New Roman"/>
      </w:rPr>
    </w:lvl>
    <w:lvl w:ilvl="5" w:tplc="0809001B" w:tentative="1">
      <w:start w:val="1"/>
      <w:numFmt w:val="lowerRoman"/>
      <w:lvlText w:val="%6."/>
      <w:lvlJc w:val="right"/>
      <w:pPr>
        <w:tabs>
          <w:tab w:val="num" w:pos="5402"/>
        </w:tabs>
        <w:ind w:left="5402" w:hanging="180"/>
      </w:pPr>
      <w:rPr>
        <w:rFonts w:cs="Times New Roman"/>
      </w:rPr>
    </w:lvl>
    <w:lvl w:ilvl="6" w:tplc="0809000F" w:tentative="1">
      <w:start w:val="1"/>
      <w:numFmt w:val="decimal"/>
      <w:lvlText w:val="%7."/>
      <w:lvlJc w:val="left"/>
      <w:pPr>
        <w:tabs>
          <w:tab w:val="num" w:pos="6122"/>
        </w:tabs>
        <w:ind w:left="6122" w:hanging="360"/>
      </w:pPr>
      <w:rPr>
        <w:rFonts w:cs="Times New Roman"/>
      </w:rPr>
    </w:lvl>
    <w:lvl w:ilvl="7" w:tplc="08090019" w:tentative="1">
      <w:start w:val="1"/>
      <w:numFmt w:val="lowerLetter"/>
      <w:lvlText w:val="%8."/>
      <w:lvlJc w:val="left"/>
      <w:pPr>
        <w:tabs>
          <w:tab w:val="num" w:pos="6842"/>
        </w:tabs>
        <w:ind w:left="6842" w:hanging="360"/>
      </w:pPr>
      <w:rPr>
        <w:rFonts w:cs="Times New Roman"/>
      </w:rPr>
    </w:lvl>
    <w:lvl w:ilvl="8" w:tplc="0809001B" w:tentative="1">
      <w:start w:val="1"/>
      <w:numFmt w:val="lowerRoman"/>
      <w:lvlText w:val="%9."/>
      <w:lvlJc w:val="right"/>
      <w:pPr>
        <w:tabs>
          <w:tab w:val="num" w:pos="7562"/>
        </w:tabs>
        <w:ind w:left="7562" w:hanging="180"/>
      </w:pPr>
      <w:rPr>
        <w:rFonts w:cs="Times New Roman"/>
      </w:rPr>
    </w:lvl>
  </w:abstractNum>
  <w:abstractNum w:abstractNumId="6" w15:restartNumberingAfterBreak="0">
    <w:nsid w:val="18DD7D02"/>
    <w:multiLevelType w:val="multilevel"/>
    <w:tmpl w:val="7534B86C"/>
    <w:lvl w:ilvl="0">
      <w:start w:val="1"/>
      <w:numFmt w:val="decimal"/>
      <w:pStyle w:val="Affidavitnumbering"/>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7" w15:restartNumberingAfterBreak="0">
    <w:nsid w:val="37CB2B9B"/>
    <w:multiLevelType w:val="multilevel"/>
    <w:tmpl w:val="13E209B4"/>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3FEE40AF"/>
    <w:multiLevelType w:val="multilevel"/>
    <w:tmpl w:val="0809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9" w15:restartNumberingAfterBreak="0">
    <w:nsid w:val="459523CB"/>
    <w:multiLevelType w:val="multilevel"/>
    <w:tmpl w:val="56AC838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0" w15:restartNumberingAfterBreak="0">
    <w:nsid w:val="4C9B1E86"/>
    <w:multiLevelType w:val="multilevel"/>
    <w:tmpl w:val="4634980E"/>
    <w:lvl w:ilvl="0">
      <w:start w:val="1"/>
      <w:numFmt w:val="decimal"/>
      <w:isLgl/>
      <w:lvlText w:val="(%1)"/>
      <w:lvlJc w:val="left"/>
      <w:pPr>
        <w:tabs>
          <w:tab w:val="num" w:pos="0"/>
        </w:tabs>
        <w:ind w:left="567" w:hanging="567"/>
      </w:pPr>
      <w:rPr>
        <w:rFonts w:hint="default"/>
      </w:rPr>
    </w:lvl>
    <w:lvl w:ilvl="1">
      <w:start w:val="1"/>
      <w:numFmt w:val="lowerLetter"/>
      <w:lvlText w:val="(%2)"/>
      <w:lvlJc w:val="left"/>
      <w:pPr>
        <w:tabs>
          <w:tab w:val="num" w:pos="0"/>
        </w:tabs>
        <w:ind w:left="992" w:hanging="425"/>
      </w:pPr>
      <w:rPr>
        <w:rFonts w:hint="default"/>
        <w:b w:val="0"/>
        <w:i/>
      </w:rPr>
    </w:lvl>
    <w:lvl w:ilvl="2">
      <w:start w:val="1"/>
      <w:numFmt w:val="lowerRoman"/>
      <w:lvlText w:val="(%3)"/>
      <w:lvlJc w:val="left"/>
      <w:pPr>
        <w:tabs>
          <w:tab w:val="num" w:pos="0"/>
        </w:tabs>
        <w:ind w:left="1417" w:hanging="425"/>
      </w:pPr>
      <w:rPr>
        <w:rFonts w:hint="default"/>
      </w:rPr>
    </w:lvl>
    <w:lvl w:ilvl="3">
      <w:start w:val="1"/>
      <w:numFmt w:val="decimal"/>
      <w:lvlText w:val="(%4)"/>
      <w:lvlJc w:val="left"/>
      <w:pPr>
        <w:tabs>
          <w:tab w:val="num" w:pos="0"/>
        </w:tabs>
        <w:ind w:left="1842" w:hanging="567"/>
      </w:pPr>
      <w:rPr>
        <w:rFonts w:hint="default"/>
      </w:rPr>
    </w:lvl>
    <w:lvl w:ilvl="4">
      <w:start w:val="1"/>
      <w:numFmt w:val="lowerLetter"/>
      <w:lvlText w:val="(%5)"/>
      <w:lvlJc w:val="left"/>
      <w:pPr>
        <w:tabs>
          <w:tab w:val="num" w:pos="0"/>
        </w:tabs>
        <w:ind w:left="2267" w:hanging="567"/>
      </w:pPr>
      <w:rPr>
        <w:rFonts w:hint="default"/>
      </w:rPr>
    </w:lvl>
    <w:lvl w:ilvl="5">
      <w:start w:val="1"/>
      <w:numFmt w:val="lowerRoman"/>
      <w:lvlText w:val="(%6)"/>
      <w:lvlJc w:val="left"/>
      <w:pPr>
        <w:tabs>
          <w:tab w:val="num" w:pos="0"/>
        </w:tabs>
        <w:ind w:left="2692" w:hanging="567"/>
      </w:pPr>
      <w:rPr>
        <w:rFonts w:hint="default"/>
      </w:rPr>
    </w:lvl>
    <w:lvl w:ilvl="6">
      <w:start w:val="1"/>
      <w:numFmt w:val="decimal"/>
      <w:lvlText w:val="%7."/>
      <w:lvlJc w:val="left"/>
      <w:pPr>
        <w:tabs>
          <w:tab w:val="num" w:pos="0"/>
        </w:tabs>
        <w:ind w:left="3117" w:hanging="567"/>
      </w:pPr>
      <w:rPr>
        <w:rFonts w:hint="default"/>
      </w:rPr>
    </w:lvl>
    <w:lvl w:ilvl="7">
      <w:start w:val="1"/>
      <w:numFmt w:val="lowerLetter"/>
      <w:lvlText w:val="%8."/>
      <w:lvlJc w:val="left"/>
      <w:pPr>
        <w:tabs>
          <w:tab w:val="num" w:pos="0"/>
        </w:tabs>
        <w:ind w:left="3542" w:hanging="567"/>
      </w:pPr>
      <w:rPr>
        <w:rFonts w:hint="default"/>
      </w:rPr>
    </w:lvl>
    <w:lvl w:ilvl="8">
      <w:start w:val="1"/>
      <w:numFmt w:val="lowerRoman"/>
      <w:lvlText w:val="%9."/>
      <w:lvlJc w:val="left"/>
      <w:pPr>
        <w:tabs>
          <w:tab w:val="num" w:pos="0"/>
        </w:tabs>
        <w:ind w:left="3967" w:hanging="567"/>
      </w:pPr>
      <w:rPr>
        <w:rFonts w:hint="default"/>
      </w:rPr>
    </w:lvl>
  </w:abstractNum>
  <w:abstractNum w:abstractNumId="11" w15:restartNumberingAfterBreak="0">
    <w:nsid w:val="4D673B46"/>
    <w:multiLevelType w:val="hybridMultilevel"/>
    <w:tmpl w:val="40BE4902"/>
    <w:lvl w:ilvl="0" w:tplc="97A65332">
      <w:start w:val="1"/>
      <w:numFmt w:val="decimal"/>
      <w:lvlText w:val="%1."/>
      <w:lvlJc w:val="left"/>
      <w:pPr>
        <w:tabs>
          <w:tab w:val="num" w:pos="1802"/>
        </w:tabs>
        <w:ind w:left="1802" w:hanging="360"/>
      </w:pPr>
      <w:rPr>
        <w:rFonts w:cs="Times New Roman" w:hint="default"/>
      </w:rPr>
    </w:lvl>
    <w:lvl w:ilvl="1" w:tplc="08090019" w:tentative="1">
      <w:start w:val="1"/>
      <w:numFmt w:val="lowerLetter"/>
      <w:lvlText w:val="%2."/>
      <w:lvlJc w:val="left"/>
      <w:pPr>
        <w:tabs>
          <w:tab w:val="num" w:pos="2522"/>
        </w:tabs>
        <w:ind w:left="2522" w:hanging="360"/>
      </w:pPr>
      <w:rPr>
        <w:rFonts w:cs="Times New Roman"/>
      </w:rPr>
    </w:lvl>
    <w:lvl w:ilvl="2" w:tplc="0809001B" w:tentative="1">
      <w:start w:val="1"/>
      <w:numFmt w:val="lowerRoman"/>
      <w:lvlText w:val="%3."/>
      <w:lvlJc w:val="right"/>
      <w:pPr>
        <w:tabs>
          <w:tab w:val="num" w:pos="3242"/>
        </w:tabs>
        <w:ind w:left="3242" w:hanging="180"/>
      </w:pPr>
      <w:rPr>
        <w:rFonts w:cs="Times New Roman"/>
      </w:rPr>
    </w:lvl>
    <w:lvl w:ilvl="3" w:tplc="0809000F" w:tentative="1">
      <w:start w:val="1"/>
      <w:numFmt w:val="decimal"/>
      <w:lvlText w:val="%4."/>
      <w:lvlJc w:val="left"/>
      <w:pPr>
        <w:tabs>
          <w:tab w:val="num" w:pos="3962"/>
        </w:tabs>
        <w:ind w:left="3962" w:hanging="360"/>
      </w:pPr>
      <w:rPr>
        <w:rFonts w:cs="Times New Roman"/>
      </w:rPr>
    </w:lvl>
    <w:lvl w:ilvl="4" w:tplc="08090019" w:tentative="1">
      <w:start w:val="1"/>
      <w:numFmt w:val="lowerLetter"/>
      <w:lvlText w:val="%5."/>
      <w:lvlJc w:val="left"/>
      <w:pPr>
        <w:tabs>
          <w:tab w:val="num" w:pos="4682"/>
        </w:tabs>
        <w:ind w:left="4682" w:hanging="360"/>
      </w:pPr>
      <w:rPr>
        <w:rFonts w:cs="Times New Roman"/>
      </w:rPr>
    </w:lvl>
    <w:lvl w:ilvl="5" w:tplc="0809001B" w:tentative="1">
      <w:start w:val="1"/>
      <w:numFmt w:val="lowerRoman"/>
      <w:lvlText w:val="%6."/>
      <w:lvlJc w:val="right"/>
      <w:pPr>
        <w:tabs>
          <w:tab w:val="num" w:pos="5402"/>
        </w:tabs>
        <w:ind w:left="5402" w:hanging="180"/>
      </w:pPr>
      <w:rPr>
        <w:rFonts w:cs="Times New Roman"/>
      </w:rPr>
    </w:lvl>
    <w:lvl w:ilvl="6" w:tplc="0809000F" w:tentative="1">
      <w:start w:val="1"/>
      <w:numFmt w:val="decimal"/>
      <w:lvlText w:val="%7."/>
      <w:lvlJc w:val="left"/>
      <w:pPr>
        <w:tabs>
          <w:tab w:val="num" w:pos="6122"/>
        </w:tabs>
        <w:ind w:left="6122" w:hanging="360"/>
      </w:pPr>
      <w:rPr>
        <w:rFonts w:cs="Times New Roman"/>
      </w:rPr>
    </w:lvl>
    <w:lvl w:ilvl="7" w:tplc="08090019" w:tentative="1">
      <w:start w:val="1"/>
      <w:numFmt w:val="lowerLetter"/>
      <w:lvlText w:val="%8."/>
      <w:lvlJc w:val="left"/>
      <w:pPr>
        <w:tabs>
          <w:tab w:val="num" w:pos="6842"/>
        </w:tabs>
        <w:ind w:left="6842" w:hanging="360"/>
      </w:pPr>
      <w:rPr>
        <w:rFonts w:cs="Times New Roman"/>
      </w:rPr>
    </w:lvl>
    <w:lvl w:ilvl="8" w:tplc="0809001B" w:tentative="1">
      <w:start w:val="1"/>
      <w:numFmt w:val="lowerRoman"/>
      <w:lvlText w:val="%9."/>
      <w:lvlJc w:val="right"/>
      <w:pPr>
        <w:tabs>
          <w:tab w:val="num" w:pos="7562"/>
        </w:tabs>
        <w:ind w:left="7562" w:hanging="180"/>
      </w:pPr>
      <w:rPr>
        <w:rFonts w:cs="Times New Roman"/>
      </w:rPr>
    </w:lvl>
  </w:abstractNum>
  <w:abstractNum w:abstractNumId="12" w15:restartNumberingAfterBreak="0">
    <w:nsid w:val="4D8B23C4"/>
    <w:multiLevelType w:val="multilevel"/>
    <w:tmpl w:val="B9EE8D06"/>
    <w:lvl w:ilvl="0">
      <w:start w:val="2"/>
      <w:numFmt w:val="decimal"/>
      <w:lvlText w:val="(%1."/>
      <w:lvlJc w:val="left"/>
      <w:pPr>
        <w:ind w:left="480" w:hanging="480"/>
      </w:pPr>
      <w:rPr>
        <w:rFonts w:hint="default"/>
      </w:rPr>
    </w:lvl>
    <w:lvl w:ilvl="1">
      <w:start w:val="1"/>
      <w:numFmt w:val="decimal"/>
      <w:lvlText w:val="(%1.%2)"/>
      <w:lvlJc w:val="left"/>
      <w:pPr>
        <w:ind w:left="2420" w:hanging="720"/>
      </w:pPr>
      <w:rPr>
        <w:rFonts w:hint="default"/>
      </w:rPr>
    </w:lvl>
    <w:lvl w:ilvl="2">
      <w:start w:val="1"/>
      <w:numFmt w:val="decimal"/>
      <w:lvlText w:val="(%1.%2)%3."/>
      <w:lvlJc w:val="left"/>
      <w:pPr>
        <w:ind w:left="4120" w:hanging="720"/>
      </w:pPr>
      <w:rPr>
        <w:rFonts w:hint="default"/>
      </w:rPr>
    </w:lvl>
    <w:lvl w:ilvl="3">
      <w:start w:val="1"/>
      <w:numFmt w:val="decimal"/>
      <w:lvlText w:val="(%1.%2)%3.%4."/>
      <w:lvlJc w:val="left"/>
      <w:pPr>
        <w:ind w:left="6180" w:hanging="1080"/>
      </w:pPr>
      <w:rPr>
        <w:rFonts w:hint="default"/>
      </w:rPr>
    </w:lvl>
    <w:lvl w:ilvl="4">
      <w:start w:val="1"/>
      <w:numFmt w:val="decimal"/>
      <w:lvlText w:val="(%1.%2)%3.%4.%5."/>
      <w:lvlJc w:val="left"/>
      <w:pPr>
        <w:ind w:left="8240" w:hanging="1440"/>
      </w:pPr>
      <w:rPr>
        <w:rFonts w:hint="default"/>
      </w:rPr>
    </w:lvl>
    <w:lvl w:ilvl="5">
      <w:start w:val="1"/>
      <w:numFmt w:val="decimal"/>
      <w:lvlText w:val="(%1.%2)%3.%4.%5.%6."/>
      <w:lvlJc w:val="left"/>
      <w:pPr>
        <w:ind w:left="9940" w:hanging="1440"/>
      </w:pPr>
      <w:rPr>
        <w:rFonts w:hint="default"/>
      </w:rPr>
    </w:lvl>
    <w:lvl w:ilvl="6">
      <w:start w:val="1"/>
      <w:numFmt w:val="decimal"/>
      <w:lvlText w:val="(%1.%2)%3.%4.%5.%6.%7."/>
      <w:lvlJc w:val="left"/>
      <w:pPr>
        <w:ind w:left="12000" w:hanging="1800"/>
      </w:pPr>
      <w:rPr>
        <w:rFonts w:hint="default"/>
      </w:rPr>
    </w:lvl>
    <w:lvl w:ilvl="7">
      <w:start w:val="1"/>
      <w:numFmt w:val="decimal"/>
      <w:lvlText w:val="(%1.%2)%3.%4.%5.%6.%7.%8."/>
      <w:lvlJc w:val="left"/>
      <w:pPr>
        <w:ind w:left="13700" w:hanging="1800"/>
      </w:pPr>
      <w:rPr>
        <w:rFonts w:hint="default"/>
      </w:rPr>
    </w:lvl>
    <w:lvl w:ilvl="8">
      <w:start w:val="1"/>
      <w:numFmt w:val="decimal"/>
      <w:lvlText w:val="(%1.%2)%3.%4.%5.%6.%7.%8.%9."/>
      <w:lvlJc w:val="left"/>
      <w:pPr>
        <w:ind w:left="15760" w:hanging="2160"/>
      </w:pPr>
      <w:rPr>
        <w:rFonts w:hint="default"/>
      </w:rPr>
    </w:lvl>
  </w:abstractNum>
  <w:abstractNum w:abstractNumId="13" w15:restartNumberingAfterBreak="0">
    <w:nsid w:val="4DF03B5A"/>
    <w:multiLevelType w:val="multilevel"/>
    <w:tmpl w:val="A03ED63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4" w15:restartNumberingAfterBreak="0">
    <w:nsid w:val="5A7617CE"/>
    <w:multiLevelType w:val="multilevel"/>
    <w:tmpl w:val="C66A63A8"/>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5DCF2A19"/>
    <w:multiLevelType w:val="multilevel"/>
    <w:tmpl w:val="6FF0B8D6"/>
    <w:lvl w:ilvl="0">
      <w:start w:val="2"/>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68CE6716"/>
    <w:multiLevelType w:val="multilevel"/>
    <w:tmpl w:val="92AEBD38"/>
    <w:lvl w:ilvl="0">
      <w:start w:val="1"/>
      <w:numFmt w:val="decimal"/>
      <w:pStyle w:val="Sectionnumbering"/>
      <w:isLgl/>
      <w:lvlText w:val="[%1]"/>
      <w:lvlJc w:val="left"/>
      <w:pPr>
        <w:tabs>
          <w:tab w:val="num" w:pos="0"/>
        </w:tabs>
        <w:ind w:left="567" w:hanging="567"/>
      </w:pPr>
      <w:rPr>
        <w:rFonts w:hint="default"/>
      </w:rPr>
    </w:lvl>
    <w:lvl w:ilvl="1">
      <w:start w:val="1"/>
      <w:numFmt w:val="lowerLetter"/>
      <w:pStyle w:val="Sectionlevel2"/>
      <w:lvlText w:val="(%2)"/>
      <w:lvlJc w:val="left"/>
      <w:pPr>
        <w:tabs>
          <w:tab w:val="num" w:pos="0"/>
        </w:tabs>
        <w:ind w:left="992" w:hanging="425"/>
      </w:pPr>
      <w:rPr>
        <w:rFonts w:hint="default"/>
        <w:b w:val="0"/>
        <w:i w:val="0"/>
      </w:rPr>
    </w:lvl>
    <w:lvl w:ilvl="2">
      <w:start w:val="1"/>
      <w:numFmt w:val="lowerRoman"/>
      <w:pStyle w:val="Sectionlevel3"/>
      <w:lvlText w:val="(%3)"/>
      <w:lvlJc w:val="left"/>
      <w:pPr>
        <w:tabs>
          <w:tab w:val="num" w:pos="0"/>
        </w:tabs>
        <w:ind w:left="1417" w:hanging="425"/>
      </w:pPr>
      <w:rPr>
        <w:rFonts w:hint="default"/>
      </w:rPr>
    </w:lvl>
    <w:lvl w:ilvl="3">
      <w:start w:val="1"/>
      <w:numFmt w:val="decimal"/>
      <w:lvlText w:val="(%4)"/>
      <w:lvlJc w:val="left"/>
      <w:pPr>
        <w:tabs>
          <w:tab w:val="num" w:pos="0"/>
        </w:tabs>
        <w:ind w:left="1842" w:hanging="567"/>
      </w:pPr>
      <w:rPr>
        <w:rFonts w:hint="default"/>
      </w:rPr>
    </w:lvl>
    <w:lvl w:ilvl="4">
      <w:start w:val="1"/>
      <w:numFmt w:val="lowerLetter"/>
      <w:lvlText w:val="(%5)"/>
      <w:lvlJc w:val="left"/>
      <w:pPr>
        <w:tabs>
          <w:tab w:val="num" w:pos="0"/>
        </w:tabs>
        <w:ind w:left="2267" w:hanging="567"/>
      </w:pPr>
      <w:rPr>
        <w:rFonts w:hint="default"/>
      </w:rPr>
    </w:lvl>
    <w:lvl w:ilvl="5">
      <w:start w:val="1"/>
      <w:numFmt w:val="lowerRoman"/>
      <w:lvlText w:val="(%6)"/>
      <w:lvlJc w:val="left"/>
      <w:pPr>
        <w:tabs>
          <w:tab w:val="num" w:pos="0"/>
        </w:tabs>
        <w:ind w:left="2692" w:hanging="567"/>
      </w:pPr>
      <w:rPr>
        <w:rFonts w:hint="default"/>
      </w:rPr>
    </w:lvl>
    <w:lvl w:ilvl="6">
      <w:start w:val="1"/>
      <w:numFmt w:val="decimal"/>
      <w:lvlText w:val="%7."/>
      <w:lvlJc w:val="left"/>
      <w:pPr>
        <w:tabs>
          <w:tab w:val="num" w:pos="0"/>
        </w:tabs>
        <w:ind w:left="3117" w:hanging="567"/>
      </w:pPr>
      <w:rPr>
        <w:rFonts w:hint="default"/>
      </w:rPr>
    </w:lvl>
    <w:lvl w:ilvl="7">
      <w:start w:val="1"/>
      <w:numFmt w:val="lowerLetter"/>
      <w:lvlText w:val="%8."/>
      <w:lvlJc w:val="left"/>
      <w:pPr>
        <w:tabs>
          <w:tab w:val="num" w:pos="0"/>
        </w:tabs>
        <w:ind w:left="3542" w:hanging="567"/>
      </w:pPr>
      <w:rPr>
        <w:rFonts w:hint="default"/>
      </w:rPr>
    </w:lvl>
    <w:lvl w:ilvl="8">
      <w:start w:val="1"/>
      <w:numFmt w:val="lowerRoman"/>
      <w:lvlText w:val="%9."/>
      <w:lvlJc w:val="left"/>
      <w:pPr>
        <w:tabs>
          <w:tab w:val="num" w:pos="0"/>
        </w:tabs>
        <w:ind w:left="3967" w:hanging="567"/>
      </w:pPr>
      <w:rPr>
        <w:rFonts w:hint="default"/>
      </w:rPr>
    </w:lvl>
  </w:abstractNum>
  <w:abstractNum w:abstractNumId="17" w15:restartNumberingAfterBreak="0">
    <w:nsid w:val="71395D6F"/>
    <w:multiLevelType w:val="hybridMultilevel"/>
    <w:tmpl w:val="1ACC4E80"/>
    <w:lvl w:ilvl="0" w:tplc="F76EBB8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78907D98"/>
    <w:multiLevelType w:val="hybridMultilevel"/>
    <w:tmpl w:val="BF9EAA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A58649D"/>
    <w:multiLevelType w:val="multilevel"/>
    <w:tmpl w:val="71E858E4"/>
    <w:lvl w:ilvl="0">
      <w:start w:val="1"/>
      <w:numFmt w:val="decimal"/>
      <w:lvlText w:val="(%1."/>
      <w:lvlJc w:val="left"/>
      <w:pPr>
        <w:ind w:left="480" w:hanging="480"/>
      </w:pPr>
      <w:rPr>
        <w:rFonts w:hint="default"/>
      </w:rPr>
    </w:lvl>
    <w:lvl w:ilvl="1">
      <w:start w:val="1"/>
      <w:numFmt w:val="decimal"/>
      <w:lvlText w:val="(%1.%2)"/>
      <w:lvlJc w:val="left"/>
      <w:pPr>
        <w:ind w:left="2420" w:hanging="720"/>
      </w:pPr>
      <w:rPr>
        <w:rFonts w:hint="default"/>
      </w:rPr>
    </w:lvl>
    <w:lvl w:ilvl="2">
      <w:start w:val="1"/>
      <w:numFmt w:val="decimal"/>
      <w:lvlText w:val="(%1.%2)%3."/>
      <w:lvlJc w:val="left"/>
      <w:pPr>
        <w:ind w:left="4120" w:hanging="720"/>
      </w:pPr>
      <w:rPr>
        <w:rFonts w:hint="default"/>
      </w:rPr>
    </w:lvl>
    <w:lvl w:ilvl="3">
      <w:start w:val="1"/>
      <w:numFmt w:val="decimal"/>
      <w:lvlText w:val="(%1.%2)%3.%4."/>
      <w:lvlJc w:val="left"/>
      <w:pPr>
        <w:ind w:left="6180" w:hanging="1080"/>
      </w:pPr>
      <w:rPr>
        <w:rFonts w:hint="default"/>
      </w:rPr>
    </w:lvl>
    <w:lvl w:ilvl="4">
      <w:start w:val="1"/>
      <w:numFmt w:val="decimal"/>
      <w:lvlText w:val="(%1.%2)%3.%4.%5."/>
      <w:lvlJc w:val="left"/>
      <w:pPr>
        <w:ind w:left="8240" w:hanging="1440"/>
      </w:pPr>
      <w:rPr>
        <w:rFonts w:hint="default"/>
      </w:rPr>
    </w:lvl>
    <w:lvl w:ilvl="5">
      <w:start w:val="1"/>
      <w:numFmt w:val="decimal"/>
      <w:lvlText w:val="(%1.%2)%3.%4.%5.%6."/>
      <w:lvlJc w:val="left"/>
      <w:pPr>
        <w:ind w:left="9940" w:hanging="1440"/>
      </w:pPr>
      <w:rPr>
        <w:rFonts w:hint="default"/>
      </w:rPr>
    </w:lvl>
    <w:lvl w:ilvl="6">
      <w:start w:val="1"/>
      <w:numFmt w:val="decimal"/>
      <w:lvlText w:val="(%1.%2)%3.%4.%5.%6.%7."/>
      <w:lvlJc w:val="left"/>
      <w:pPr>
        <w:ind w:left="12000" w:hanging="1800"/>
      </w:pPr>
      <w:rPr>
        <w:rFonts w:hint="default"/>
      </w:rPr>
    </w:lvl>
    <w:lvl w:ilvl="7">
      <w:start w:val="1"/>
      <w:numFmt w:val="decimal"/>
      <w:lvlText w:val="(%1.%2)%3.%4.%5.%6.%7.%8."/>
      <w:lvlJc w:val="left"/>
      <w:pPr>
        <w:ind w:left="13700" w:hanging="1800"/>
      </w:pPr>
      <w:rPr>
        <w:rFonts w:hint="default"/>
      </w:rPr>
    </w:lvl>
    <w:lvl w:ilvl="8">
      <w:start w:val="1"/>
      <w:numFmt w:val="decimal"/>
      <w:lvlText w:val="(%1.%2)%3.%4.%5.%6.%7.%8.%9."/>
      <w:lvlJc w:val="left"/>
      <w:pPr>
        <w:ind w:left="15760" w:hanging="2160"/>
      </w:pPr>
      <w:rPr>
        <w:rFonts w:hint="default"/>
      </w:rPr>
    </w:lvl>
  </w:abstractNum>
  <w:num w:numId="1">
    <w:abstractNumId w:val="13"/>
  </w:num>
  <w:num w:numId="2">
    <w:abstractNumId w:val="6"/>
  </w:num>
  <w:num w:numId="3">
    <w:abstractNumId w:val="6"/>
    <w:lvlOverride w:ilvl="0">
      <w:lvl w:ilvl="0">
        <w:start w:val="1"/>
        <w:numFmt w:val="decimal"/>
        <w:pStyle w:val="Affidavitnumbering"/>
        <w:lvlText w:val="%1"/>
        <w:lvlJc w:val="left"/>
        <w:pPr>
          <w:ind w:left="567" w:hanging="567"/>
        </w:pPr>
        <w:rPr>
          <w:rFonts w:hint="default"/>
        </w:rPr>
      </w:lvl>
    </w:lvlOverride>
    <w:lvlOverride w:ilvl="1">
      <w:lvl w:ilvl="1">
        <w:start w:val="1"/>
        <w:numFmt w:val="decimal"/>
        <w:lvlText w:val="%1.%2"/>
        <w:lvlJc w:val="left"/>
        <w:pPr>
          <w:ind w:left="1134" w:hanging="567"/>
        </w:pPr>
        <w:rPr>
          <w:rFonts w:hint="default"/>
        </w:rPr>
      </w:lvl>
    </w:lvlOverride>
    <w:lvlOverride w:ilvl="2">
      <w:lvl w:ilvl="2">
        <w:start w:val="1"/>
        <w:numFmt w:val="decimal"/>
        <w:lvlText w:val="%1.%2.%3"/>
        <w:lvlJc w:val="left"/>
        <w:pPr>
          <w:ind w:left="1985" w:hanging="851"/>
        </w:pPr>
        <w:rPr>
          <w:rFonts w:hint="default"/>
        </w:rPr>
      </w:lvl>
    </w:lvlOverride>
    <w:lvlOverride w:ilvl="3">
      <w:lvl w:ilvl="3">
        <w:start w:val="1"/>
        <w:numFmt w:val="decimal"/>
        <w:lvlText w:val="%1.%2.%3.%4"/>
        <w:lvlJc w:val="left"/>
        <w:pPr>
          <w:ind w:left="2268" w:hanging="567"/>
        </w:pPr>
        <w:rPr>
          <w:rFonts w:hint="default"/>
        </w:rPr>
      </w:lvl>
    </w:lvlOverride>
    <w:lvlOverride w:ilvl="4">
      <w:lvl w:ilvl="4">
        <w:start w:val="1"/>
        <w:numFmt w:val="decimal"/>
        <w:lvlText w:val="%1.%2.%3.%4.%5."/>
        <w:lvlJc w:val="left"/>
        <w:pPr>
          <w:ind w:left="2835" w:hanging="567"/>
        </w:pPr>
        <w:rPr>
          <w:rFonts w:hint="default"/>
        </w:rPr>
      </w:lvl>
    </w:lvlOverride>
    <w:lvlOverride w:ilvl="5">
      <w:lvl w:ilvl="5">
        <w:start w:val="1"/>
        <w:numFmt w:val="decimal"/>
        <w:lvlText w:val="%1.%2.%3.%4.%5.%6."/>
        <w:lvlJc w:val="left"/>
        <w:pPr>
          <w:ind w:left="3402" w:hanging="567"/>
        </w:pPr>
        <w:rPr>
          <w:rFonts w:hint="default"/>
        </w:rPr>
      </w:lvl>
    </w:lvlOverride>
    <w:lvlOverride w:ilvl="6">
      <w:lvl w:ilvl="6">
        <w:start w:val="1"/>
        <w:numFmt w:val="decimal"/>
        <w:lvlText w:val="%1.%2.%3.%4.%5.%6.%7."/>
        <w:lvlJc w:val="left"/>
        <w:pPr>
          <w:ind w:left="3969" w:hanging="567"/>
        </w:pPr>
        <w:rPr>
          <w:rFonts w:hint="default"/>
        </w:rPr>
      </w:lvl>
    </w:lvlOverride>
    <w:lvlOverride w:ilvl="7">
      <w:lvl w:ilvl="7">
        <w:start w:val="1"/>
        <w:numFmt w:val="decimal"/>
        <w:lvlText w:val="%1.%2.%3.%4.%5.%6.%7.%8."/>
        <w:lvlJc w:val="left"/>
        <w:pPr>
          <w:ind w:left="4536" w:hanging="567"/>
        </w:pPr>
        <w:rPr>
          <w:rFonts w:hint="default"/>
        </w:rPr>
      </w:lvl>
    </w:lvlOverride>
    <w:lvlOverride w:ilvl="8">
      <w:lvl w:ilvl="8">
        <w:start w:val="1"/>
        <w:numFmt w:val="decimal"/>
        <w:lvlText w:val="%1.%2.%3.%4.%5.%6.%7.%8.%9."/>
        <w:lvlJc w:val="left"/>
        <w:pPr>
          <w:ind w:left="5103" w:hanging="567"/>
        </w:pPr>
        <w:rPr>
          <w:rFonts w:hint="default"/>
        </w:rPr>
      </w:lvl>
    </w:lvlOverride>
  </w:num>
  <w:num w:numId="4">
    <w:abstractNumId w:val="6"/>
    <w:lvlOverride w:ilvl="0">
      <w:lvl w:ilvl="0">
        <w:start w:val="1"/>
        <w:numFmt w:val="decimal"/>
        <w:pStyle w:val="Affidavitnumbering"/>
        <w:lvlText w:val="%1"/>
        <w:lvlJc w:val="left"/>
        <w:pPr>
          <w:ind w:left="567" w:hanging="567"/>
        </w:pPr>
        <w:rPr>
          <w:rFonts w:hint="default"/>
        </w:rPr>
      </w:lvl>
    </w:lvlOverride>
    <w:lvlOverride w:ilvl="1">
      <w:lvl w:ilvl="1">
        <w:start w:val="1"/>
        <w:numFmt w:val="decimal"/>
        <w:lvlText w:val="%1.%2"/>
        <w:lvlJc w:val="left"/>
        <w:pPr>
          <w:ind w:left="1134" w:hanging="567"/>
        </w:pPr>
        <w:rPr>
          <w:rFonts w:hint="default"/>
        </w:rPr>
      </w:lvl>
    </w:lvlOverride>
    <w:lvlOverride w:ilvl="2">
      <w:lvl w:ilvl="2">
        <w:start w:val="1"/>
        <w:numFmt w:val="decimal"/>
        <w:lvlRestart w:val="0"/>
        <w:lvlText w:val="%1.%2.%3"/>
        <w:lvlJc w:val="left"/>
        <w:pPr>
          <w:ind w:left="1985" w:hanging="851"/>
        </w:pPr>
        <w:rPr>
          <w:rFonts w:hint="default"/>
        </w:rPr>
      </w:lvl>
    </w:lvlOverride>
    <w:lvlOverride w:ilvl="3">
      <w:lvl w:ilvl="3">
        <w:start w:val="1"/>
        <w:numFmt w:val="decimal"/>
        <w:lvlText w:val="%1.%2.%3.%4"/>
        <w:lvlJc w:val="left"/>
        <w:pPr>
          <w:ind w:left="2268" w:hanging="567"/>
        </w:pPr>
        <w:rPr>
          <w:rFonts w:hint="default"/>
        </w:rPr>
      </w:lvl>
    </w:lvlOverride>
    <w:lvlOverride w:ilvl="4">
      <w:lvl w:ilvl="4">
        <w:start w:val="1"/>
        <w:numFmt w:val="decimal"/>
        <w:lvlText w:val="%1.%2.%3.%4.%5."/>
        <w:lvlJc w:val="left"/>
        <w:pPr>
          <w:ind w:left="2835" w:hanging="567"/>
        </w:pPr>
        <w:rPr>
          <w:rFonts w:hint="default"/>
        </w:rPr>
      </w:lvl>
    </w:lvlOverride>
    <w:lvlOverride w:ilvl="5">
      <w:lvl w:ilvl="5">
        <w:start w:val="1"/>
        <w:numFmt w:val="decimal"/>
        <w:lvlText w:val="%1.%2.%3.%4.%5.%6."/>
        <w:lvlJc w:val="left"/>
        <w:pPr>
          <w:ind w:left="3402" w:hanging="567"/>
        </w:pPr>
        <w:rPr>
          <w:rFonts w:hint="default"/>
        </w:rPr>
      </w:lvl>
    </w:lvlOverride>
    <w:lvlOverride w:ilvl="6">
      <w:lvl w:ilvl="6">
        <w:start w:val="1"/>
        <w:numFmt w:val="decimal"/>
        <w:lvlText w:val="%1.%2.%3.%4.%5.%6.%7."/>
        <w:lvlJc w:val="left"/>
        <w:pPr>
          <w:ind w:left="3969" w:hanging="567"/>
        </w:pPr>
        <w:rPr>
          <w:rFonts w:hint="default"/>
        </w:rPr>
      </w:lvl>
    </w:lvlOverride>
    <w:lvlOverride w:ilvl="7">
      <w:lvl w:ilvl="7">
        <w:start w:val="1"/>
        <w:numFmt w:val="decimal"/>
        <w:lvlText w:val="%1.%2.%3.%4.%5.%6.%7.%8."/>
        <w:lvlJc w:val="left"/>
        <w:pPr>
          <w:ind w:left="4536" w:hanging="567"/>
        </w:pPr>
        <w:rPr>
          <w:rFonts w:hint="default"/>
        </w:rPr>
      </w:lvl>
    </w:lvlOverride>
    <w:lvlOverride w:ilvl="8">
      <w:lvl w:ilvl="8">
        <w:start w:val="1"/>
        <w:numFmt w:val="decimal"/>
        <w:lvlText w:val="%1.%2.%3.%4.%5.%6.%7.%8.%9."/>
        <w:lvlJc w:val="left"/>
        <w:pPr>
          <w:ind w:left="5103" w:hanging="567"/>
        </w:pPr>
        <w:rPr>
          <w:rFonts w:hint="default"/>
        </w:rPr>
      </w:lvl>
    </w:lvlOverride>
  </w:num>
  <w:num w:numId="5">
    <w:abstractNumId w:val="6"/>
    <w:lvlOverride w:ilvl="0">
      <w:lvl w:ilvl="0">
        <w:start w:val="1"/>
        <w:numFmt w:val="decimal"/>
        <w:pStyle w:val="Affidavitnumbering"/>
        <w:lvlText w:val="%1"/>
        <w:lvlJc w:val="left"/>
        <w:pPr>
          <w:ind w:left="567" w:hanging="567"/>
        </w:pPr>
        <w:rPr>
          <w:rFonts w:hint="default"/>
        </w:rPr>
      </w:lvl>
    </w:lvlOverride>
    <w:lvlOverride w:ilvl="1">
      <w:lvl w:ilvl="1">
        <w:start w:val="1"/>
        <w:numFmt w:val="decimal"/>
        <w:lvlText w:val="%1.%2"/>
        <w:lvlJc w:val="left"/>
        <w:pPr>
          <w:ind w:left="1134" w:hanging="567"/>
        </w:pPr>
        <w:rPr>
          <w:rFonts w:hint="default"/>
        </w:rPr>
      </w:lvl>
    </w:lvlOverride>
    <w:lvlOverride w:ilvl="2">
      <w:lvl w:ilvl="2">
        <w:start w:val="1"/>
        <w:numFmt w:val="decimal"/>
        <w:isLgl/>
        <w:lvlText w:val="%1.%2.%3"/>
        <w:lvlJc w:val="left"/>
        <w:pPr>
          <w:ind w:left="1985" w:hanging="851"/>
        </w:pPr>
        <w:rPr>
          <w:rFonts w:hint="default"/>
        </w:rPr>
      </w:lvl>
    </w:lvlOverride>
    <w:lvlOverride w:ilvl="3">
      <w:lvl w:ilvl="3">
        <w:start w:val="1"/>
        <w:numFmt w:val="decimal"/>
        <w:lvlText w:val="%1.%2.%3.%4"/>
        <w:lvlJc w:val="left"/>
        <w:pPr>
          <w:ind w:left="2268" w:hanging="567"/>
        </w:pPr>
        <w:rPr>
          <w:rFonts w:hint="default"/>
        </w:rPr>
      </w:lvl>
    </w:lvlOverride>
    <w:lvlOverride w:ilvl="4">
      <w:lvl w:ilvl="4">
        <w:start w:val="1"/>
        <w:numFmt w:val="decimal"/>
        <w:lvlText w:val="%1.%2.%3.%4.%5."/>
        <w:lvlJc w:val="left"/>
        <w:pPr>
          <w:ind w:left="2835" w:hanging="567"/>
        </w:pPr>
        <w:rPr>
          <w:rFonts w:hint="default"/>
        </w:rPr>
      </w:lvl>
    </w:lvlOverride>
    <w:lvlOverride w:ilvl="5">
      <w:lvl w:ilvl="5">
        <w:start w:val="1"/>
        <w:numFmt w:val="decimal"/>
        <w:lvlText w:val="%1.%2.%3.%4.%5.%6."/>
        <w:lvlJc w:val="left"/>
        <w:pPr>
          <w:ind w:left="3402" w:hanging="567"/>
        </w:pPr>
        <w:rPr>
          <w:rFonts w:hint="default"/>
        </w:rPr>
      </w:lvl>
    </w:lvlOverride>
    <w:lvlOverride w:ilvl="6">
      <w:lvl w:ilvl="6">
        <w:start w:val="1"/>
        <w:numFmt w:val="decimal"/>
        <w:lvlText w:val="%1.%2.%3.%4.%5.%6.%7."/>
        <w:lvlJc w:val="left"/>
        <w:pPr>
          <w:ind w:left="3969" w:hanging="567"/>
        </w:pPr>
        <w:rPr>
          <w:rFonts w:hint="default"/>
        </w:rPr>
      </w:lvl>
    </w:lvlOverride>
    <w:lvlOverride w:ilvl="7">
      <w:lvl w:ilvl="7">
        <w:start w:val="1"/>
        <w:numFmt w:val="decimal"/>
        <w:lvlText w:val="%1.%2.%3.%4.%5.%6.%7.%8."/>
        <w:lvlJc w:val="left"/>
        <w:pPr>
          <w:ind w:left="4536" w:hanging="567"/>
        </w:pPr>
        <w:rPr>
          <w:rFonts w:hint="default"/>
        </w:rPr>
      </w:lvl>
    </w:lvlOverride>
    <w:lvlOverride w:ilvl="8">
      <w:lvl w:ilvl="8">
        <w:start w:val="1"/>
        <w:numFmt w:val="decimal"/>
        <w:lvlText w:val="%1.%2.%3.%4.%5.%6.%7.%8.%9."/>
        <w:lvlJc w:val="left"/>
        <w:pPr>
          <w:ind w:left="5103" w:hanging="567"/>
        </w:pPr>
        <w:rPr>
          <w:rFonts w:hint="default"/>
        </w:rPr>
      </w:lvl>
    </w:lvlOverride>
  </w:num>
  <w:num w:numId="6">
    <w:abstractNumId w:val="6"/>
    <w:lvlOverride w:ilvl="0">
      <w:lvl w:ilvl="0">
        <w:start w:val="1"/>
        <w:numFmt w:val="decimal"/>
        <w:pStyle w:val="Affidavitnumbering"/>
        <w:lvlText w:val="%1"/>
        <w:lvlJc w:val="left"/>
        <w:pPr>
          <w:ind w:left="567" w:hanging="567"/>
        </w:pPr>
        <w:rPr>
          <w:rFonts w:hint="default"/>
        </w:rPr>
      </w:lvl>
    </w:lvlOverride>
    <w:lvlOverride w:ilvl="1">
      <w:lvl w:ilvl="1">
        <w:start w:val="1"/>
        <w:numFmt w:val="decimal"/>
        <w:lvlText w:val="%1.%2"/>
        <w:lvlJc w:val="left"/>
        <w:pPr>
          <w:ind w:left="1134" w:hanging="567"/>
        </w:pPr>
        <w:rPr>
          <w:rFonts w:hint="default"/>
        </w:rPr>
      </w:lvl>
    </w:lvlOverride>
    <w:lvlOverride w:ilvl="2">
      <w:lvl w:ilvl="2">
        <w:start w:val="1"/>
        <w:numFmt w:val="decimal"/>
        <w:lvlText w:val="%1.%2.%3"/>
        <w:lvlJc w:val="left"/>
        <w:pPr>
          <w:tabs>
            <w:tab w:val="num" w:pos="1985"/>
          </w:tabs>
          <w:ind w:left="1985" w:hanging="851"/>
        </w:pPr>
        <w:rPr>
          <w:rFonts w:hint="default"/>
        </w:rPr>
      </w:lvl>
    </w:lvlOverride>
    <w:lvlOverride w:ilvl="3">
      <w:lvl w:ilvl="3">
        <w:start w:val="1"/>
        <w:numFmt w:val="decimal"/>
        <w:lvlText w:val="%1.%2.%3.%4"/>
        <w:lvlJc w:val="left"/>
        <w:pPr>
          <w:ind w:left="2268" w:hanging="567"/>
        </w:pPr>
        <w:rPr>
          <w:rFonts w:hint="default"/>
        </w:rPr>
      </w:lvl>
    </w:lvlOverride>
    <w:lvlOverride w:ilvl="4">
      <w:lvl w:ilvl="4">
        <w:start w:val="1"/>
        <w:numFmt w:val="decimal"/>
        <w:lvlText w:val="%1.%2.%3.%4.%5."/>
        <w:lvlJc w:val="left"/>
        <w:pPr>
          <w:ind w:left="2835" w:hanging="567"/>
        </w:pPr>
        <w:rPr>
          <w:rFonts w:hint="default"/>
        </w:rPr>
      </w:lvl>
    </w:lvlOverride>
    <w:lvlOverride w:ilvl="5">
      <w:lvl w:ilvl="5">
        <w:start w:val="1"/>
        <w:numFmt w:val="decimal"/>
        <w:lvlText w:val="%1.%2.%3.%4.%5.%6."/>
        <w:lvlJc w:val="left"/>
        <w:pPr>
          <w:ind w:left="3402" w:hanging="567"/>
        </w:pPr>
        <w:rPr>
          <w:rFonts w:hint="default"/>
        </w:rPr>
      </w:lvl>
    </w:lvlOverride>
    <w:lvlOverride w:ilvl="6">
      <w:lvl w:ilvl="6">
        <w:start w:val="1"/>
        <w:numFmt w:val="decimal"/>
        <w:lvlText w:val="%1.%2.%3.%4.%5.%6.%7."/>
        <w:lvlJc w:val="left"/>
        <w:pPr>
          <w:ind w:left="3969" w:hanging="567"/>
        </w:pPr>
        <w:rPr>
          <w:rFonts w:hint="default"/>
        </w:rPr>
      </w:lvl>
    </w:lvlOverride>
    <w:lvlOverride w:ilvl="7">
      <w:lvl w:ilvl="7">
        <w:start w:val="1"/>
        <w:numFmt w:val="decimal"/>
        <w:lvlText w:val="%1.%2.%3.%4.%5.%6.%7.%8."/>
        <w:lvlJc w:val="left"/>
        <w:pPr>
          <w:ind w:left="4536" w:hanging="567"/>
        </w:pPr>
        <w:rPr>
          <w:rFonts w:hint="default"/>
        </w:rPr>
      </w:lvl>
    </w:lvlOverride>
    <w:lvlOverride w:ilvl="8">
      <w:lvl w:ilvl="8">
        <w:start w:val="1"/>
        <w:numFmt w:val="decimal"/>
        <w:lvlText w:val="%1.%2.%3.%4.%5.%6.%7.%8.%9."/>
        <w:lvlJc w:val="left"/>
        <w:pPr>
          <w:ind w:left="5103" w:hanging="567"/>
        </w:pPr>
        <w:rPr>
          <w:rFonts w:hint="default"/>
        </w:rPr>
      </w:lvl>
    </w:lvlOverride>
  </w:num>
  <w:num w:numId="7">
    <w:abstractNumId w:val="13"/>
    <w:lvlOverride w:ilvl="0">
      <w:lvl w:ilvl="0">
        <w:start w:val="1"/>
        <w:numFmt w:val="decimal"/>
        <w:lvlText w:val="%1)"/>
        <w:lvlJc w:val="left"/>
        <w:pPr>
          <w:ind w:left="567" w:hanging="567"/>
        </w:pPr>
        <w:rPr>
          <w:rFonts w:hint="default"/>
        </w:rPr>
      </w:lvl>
    </w:lvlOverride>
    <w:lvlOverride w:ilvl="1">
      <w:lvl w:ilvl="1">
        <w:start w:val="1"/>
        <w:numFmt w:val="lowerLetter"/>
        <w:lvlText w:val="%2)"/>
        <w:lvlJc w:val="left"/>
        <w:pPr>
          <w:ind w:left="1134" w:hanging="567"/>
        </w:pPr>
        <w:rPr>
          <w:rFonts w:hint="default"/>
        </w:rPr>
      </w:lvl>
    </w:lvlOverride>
    <w:lvlOverride w:ilvl="2">
      <w:lvl w:ilvl="2">
        <w:start w:val="1"/>
        <w:numFmt w:val="lowerRoman"/>
        <w:lvlText w:val="%3)"/>
        <w:lvlJc w:val="left"/>
        <w:pPr>
          <w:ind w:left="1701" w:hanging="567"/>
        </w:pPr>
        <w:rPr>
          <w:rFonts w:hint="default"/>
        </w:rPr>
      </w:lvl>
    </w:lvlOverride>
    <w:lvlOverride w:ilvl="3">
      <w:lvl w:ilvl="3">
        <w:start w:val="1"/>
        <w:numFmt w:val="decimal"/>
        <w:lvlText w:val="(%4)"/>
        <w:lvlJc w:val="left"/>
        <w:pPr>
          <w:ind w:left="425" w:hanging="425"/>
        </w:pPr>
        <w:rPr>
          <w:rFonts w:hint="default"/>
        </w:rPr>
      </w:lvl>
    </w:lvlOverride>
    <w:lvlOverride w:ilvl="4">
      <w:lvl w:ilvl="4">
        <w:start w:val="1"/>
        <w:numFmt w:val="lowerLetter"/>
        <w:lvlText w:val="(%5)"/>
        <w:lvlJc w:val="left"/>
        <w:pPr>
          <w:ind w:left="851" w:hanging="426"/>
        </w:pPr>
        <w:rPr>
          <w:rFonts w:hint="default"/>
        </w:rPr>
      </w:lvl>
    </w:lvlOverride>
    <w:lvlOverride w:ilvl="5">
      <w:lvl w:ilvl="5">
        <w:start w:val="1"/>
        <w:numFmt w:val="lowerRoman"/>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8">
    <w:abstractNumId w:val="13"/>
    <w:lvlOverride w:ilvl="0">
      <w:lvl w:ilvl="0">
        <w:start w:val="1"/>
        <w:numFmt w:val="decimal"/>
        <w:lvlText w:val="%1)"/>
        <w:lvlJc w:val="left"/>
        <w:pPr>
          <w:ind w:left="567" w:hanging="567"/>
        </w:pPr>
        <w:rPr>
          <w:rFonts w:hint="default"/>
        </w:rPr>
      </w:lvl>
    </w:lvlOverride>
    <w:lvlOverride w:ilvl="1">
      <w:lvl w:ilvl="1">
        <w:start w:val="1"/>
        <w:numFmt w:val="lowerLetter"/>
        <w:lvlText w:val="%2)"/>
        <w:lvlJc w:val="left"/>
        <w:pPr>
          <w:ind w:left="1134" w:hanging="567"/>
        </w:pPr>
        <w:rPr>
          <w:rFonts w:hint="default"/>
        </w:rPr>
      </w:lvl>
    </w:lvlOverride>
    <w:lvlOverride w:ilvl="2">
      <w:lvl w:ilvl="2">
        <w:start w:val="1"/>
        <w:numFmt w:val="lowerRoman"/>
        <w:lvlText w:val="%3)"/>
        <w:lvlJc w:val="left"/>
        <w:pPr>
          <w:ind w:left="1701" w:hanging="567"/>
        </w:pPr>
        <w:rPr>
          <w:rFonts w:hint="default"/>
        </w:rPr>
      </w:lvl>
    </w:lvlOverride>
    <w:lvlOverride w:ilvl="3">
      <w:lvl w:ilvl="3">
        <w:start w:val="1"/>
        <w:numFmt w:val="decimal"/>
        <w:lvlText w:val="(%4)"/>
        <w:lvlJc w:val="left"/>
        <w:pPr>
          <w:ind w:left="425" w:hanging="425"/>
        </w:pPr>
        <w:rPr>
          <w:rFonts w:hint="default"/>
        </w:rPr>
      </w:lvl>
    </w:lvlOverride>
    <w:lvlOverride w:ilvl="4">
      <w:lvl w:ilvl="4">
        <w:start w:val="1"/>
        <w:numFmt w:val="lowerLetter"/>
        <w:lvlText w:val="(%5)"/>
        <w:lvlJc w:val="left"/>
        <w:pPr>
          <w:ind w:left="851" w:hanging="426"/>
        </w:pPr>
        <w:rPr>
          <w:rFonts w:hint="default"/>
        </w:rPr>
      </w:lvl>
    </w:lvlOverride>
    <w:lvlOverride w:ilvl="5">
      <w:lvl w:ilvl="5">
        <w:start w:val="1"/>
        <w:numFmt w:val="lowerRoman"/>
        <w:lvlText w:val="(%6)"/>
        <w:lvlJc w:val="left"/>
        <w:pPr>
          <w:ind w:left="1276" w:hanging="425"/>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9">
    <w:abstractNumId w:val="13"/>
    <w:lvlOverride w:ilvl="0">
      <w:lvl w:ilvl="0">
        <w:start w:val="1"/>
        <w:numFmt w:val="decimal"/>
        <w:lvlText w:val="%1)"/>
        <w:lvlJc w:val="left"/>
        <w:pPr>
          <w:ind w:left="567" w:hanging="567"/>
        </w:pPr>
        <w:rPr>
          <w:rFonts w:hint="default"/>
        </w:rPr>
      </w:lvl>
    </w:lvlOverride>
    <w:lvlOverride w:ilvl="1">
      <w:lvl w:ilvl="1">
        <w:start w:val="1"/>
        <w:numFmt w:val="lowerLetter"/>
        <w:lvlText w:val="%2)"/>
        <w:lvlJc w:val="left"/>
        <w:pPr>
          <w:ind w:left="1134" w:hanging="567"/>
        </w:pPr>
        <w:rPr>
          <w:rFonts w:hint="default"/>
        </w:rPr>
      </w:lvl>
    </w:lvlOverride>
    <w:lvlOverride w:ilvl="2">
      <w:lvl w:ilvl="2">
        <w:start w:val="1"/>
        <w:numFmt w:val="lowerRoman"/>
        <w:lvlText w:val="%3)"/>
        <w:lvlJc w:val="left"/>
        <w:pPr>
          <w:ind w:left="1701" w:hanging="567"/>
        </w:pPr>
        <w:rPr>
          <w:rFonts w:hint="default"/>
        </w:rPr>
      </w:lvl>
    </w:lvlOverride>
    <w:lvlOverride w:ilvl="3">
      <w:lvl w:ilvl="3">
        <w:start w:val="1"/>
        <w:numFmt w:val="decimal"/>
        <w:lvlText w:val="(%4)"/>
        <w:lvlJc w:val="left"/>
        <w:pPr>
          <w:ind w:left="425" w:hanging="425"/>
        </w:pPr>
        <w:rPr>
          <w:rFonts w:hint="default"/>
        </w:rPr>
      </w:lvl>
    </w:lvlOverride>
    <w:lvlOverride w:ilvl="4">
      <w:lvl w:ilvl="4">
        <w:start w:val="1"/>
        <w:numFmt w:val="lowerLetter"/>
        <w:lvlText w:val="(%5)"/>
        <w:lvlJc w:val="left"/>
        <w:pPr>
          <w:ind w:left="2835" w:hanging="56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Override>
    <w:lvlOverride w:ilvl="5">
      <w:lvl w:ilvl="5">
        <w:start w:val="1"/>
        <w:numFmt w:val="lowerRoman"/>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10">
    <w:abstractNumId w:val="13"/>
    <w:lvlOverride w:ilvl="0">
      <w:lvl w:ilvl="0">
        <w:start w:val="1"/>
        <w:numFmt w:val="decimal"/>
        <w:lvlText w:val="%1)"/>
        <w:lvlJc w:val="left"/>
        <w:pPr>
          <w:ind w:left="567" w:hanging="567"/>
        </w:pPr>
        <w:rPr>
          <w:rFonts w:hint="default"/>
        </w:rPr>
      </w:lvl>
    </w:lvlOverride>
    <w:lvlOverride w:ilvl="1">
      <w:lvl w:ilvl="1">
        <w:start w:val="1"/>
        <w:numFmt w:val="lowerLetter"/>
        <w:lvlText w:val="%2)"/>
        <w:lvlJc w:val="left"/>
        <w:pPr>
          <w:ind w:left="1134" w:hanging="567"/>
        </w:pPr>
        <w:rPr>
          <w:rFonts w:hint="default"/>
        </w:rPr>
      </w:lvl>
    </w:lvlOverride>
    <w:lvlOverride w:ilvl="2">
      <w:lvl w:ilvl="2">
        <w:start w:val="1"/>
        <w:numFmt w:val="lowerRoman"/>
        <w:lvlText w:val="%3)"/>
        <w:lvlJc w:val="left"/>
        <w:pPr>
          <w:ind w:left="1701" w:hanging="567"/>
        </w:pPr>
        <w:rPr>
          <w:rFonts w:hint="default"/>
        </w:rPr>
      </w:lvl>
    </w:lvlOverride>
    <w:lvlOverride w:ilvl="3">
      <w:lvl w:ilvl="3">
        <w:start w:val="1"/>
        <w:numFmt w:val="decimal"/>
        <w:lvlText w:val="(%4)"/>
        <w:lvlJc w:val="left"/>
        <w:pPr>
          <w:ind w:left="425" w:hanging="425"/>
        </w:pPr>
        <w:rPr>
          <w:rFonts w:hint="default"/>
        </w:rPr>
      </w:lvl>
    </w:lvlOverride>
    <w:lvlOverride w:ilvl="4">
      <w:lvl w:ilvl="4">
        <w:start w:val="1"/>
        <w:numFmt w:val="lowerLetter"/>
        <w:lvlText w:val="(%5)"/>
        <w:lvlJc w:val="left"/>
        <w:pPr>
          <w:ind w:left="851" w:hanging="426"/>
        </w:pPr>
        <w:rPr>
          <w:rFonts w:hint="default"/>
        </w:rPr>
      </w:lvl>
    </w:lvlOverride>
    <w:lvlOverride w:ilvl="5">
      <w:lvl w:ilvl="5">
        <w:start w:val="1"/>
        <w:numFmt w:val="lowerRoman"/>
        <w:lvlText w:val="(%6)"/>
        <w:lvlJc w:val="left"/>
        <w:pPr>
          <w:ind w:left="1276" w:hanging="425"/>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11">
    <w:abstractNumId w:val="13"/>
    <w:lvlOverride w:ilvl="0">
      <w:lvl w:ilvl="0">
        <w:start w:val="1"/>
        <w:numFmt w:val="decimal"/>
        <w:lvlText w:val="%1)"/>
        <w:lvlJc w:val="left"/>
        <w:pPr>
          <w:ind w:left="567" w:hanging="567"/>
        </w:pPr>
        <w:rPr>
          <w:rFonts w:hint="default"/>
        </w:rPr>
      </w:lvl>
    </w:lvlOverride>
    <w:lvlOverride w:ilvl="1">
      <w:lvl w:ilvl="1">
        <w:start w:val="1"/>
        <w:numFmt w:val="lowerLetter"/>
        <w:lvlText w:val="%2)"/>
        <w:lvlJc w:val="left"/>
        <w:pPr>
          <w:ind w:left="1134" w:hanging="567"/>
        </w:pPr>
        <w:rPr>
          <w:rFonts w:hint="default"/>
        </w:rPr>
      </w:lvl>
    </w:lvlOverride>
    <w:lvlOverride w:ilvl="2">
      <w:lvl w:ilvl="2">
        <w:start w:val="1"/>
        <w:numFmt w:val="lowerRoman"/>
        <w:lvlText w:val="%3)"/>
        <w:lvlJc w:val="left"/>
        <w:pPr>
          <w:ind w:left="1701" w:hanging="567"/>
        </w:pPr>
        <w:rPr>
          <w:rFonts w:hint="default"/>
        </w:rPr>
      </w:lvl>
    </w:lvlOverride>
    <w:lvlOverride w:ilvl="3">
      <w:lvl w:ilvl="3">
        <w:start w:val="1"/>
        <w:numFmt w:val="decimal"/>
        <w:lvlText w:val="(%4)"/>
        <w:lvlJc w:val="left"/>
        <w:pPr>
          <w:ind w:left="425" w:hanging="425"/>
        </w:pPr>
        <w:rPr>
          <w:rFonts w:hint="default"/>
        </w:rPr>
      </w:lvl>
    </w:lvlOverride>
    <w:lvlOverride w:ilvl="4">
      <w:lvl w:ilvl="4">
        <w:start w:val="1"/>
        <w:numFmt w:val="lowerLetter"/>
        <w:lvlText w:val="(%5)"/>
        <w:lvlJc w:val="left"/>
        <w:pPr>
          <w:ind w:left="851" w:hanging="426"/>
        </w:pPr>
        <w:rPr>
          <w:rFonts w:hint="default"/>
        </w:rPr>
      </w:lvl>
    </w:lvlOverride>
    <w:lvlOverride w:ilvl="5">
      <w:lvl w:ilvl="5">
        <w:start w:val="1"/>
        <w:numFmt w:val="lowerRoman"/>
        <w:lvlText w:val="(%6)"/>
        <w:lvlJc w:val="left"/>
        <w:pPr>
          <w:ind w:left="1276" w:hanging="425"/>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12">
    <w:abstractNumId w:val="13"/>
    <w:lvlOverride w:ilvl="0">
      <w:lvl w:ilvl="0">
        <w:start w:val="1"/>
        <w:numFmt w:val="decimal"/>
        <w:lvlText w:val="%1)"/>
        <w:lvlJc w:val="left"/>
        <w:pPr>
          <w:ind w:left="567" w:hanging="567"/>
        </w:pPr>
        <w:rPr>
          <w:rFonts w:hint="default"/>
        </w:rPr>
      </w:lvl>
    </w:lvlOverride>
    <w:lvlOverride w:ilvl="1">
      <w:lvl w:ilvl="1">
        <w:start w:val="1"/>
        <w:numFmt w:val="lowerLetter"/>
        <w:lvlText w:val="%2)"/>
        <w:lvlJc w:val="left"/>
        <w:pPr>
          <w:ind w:left="1134" w:hanging="567"/>
        </w:pPr>
        <w:rPr>
          <w:rFonts w:hint="default"/>
        </w:rPr>
      </w:lvl>
    </w:lvlOverride>
    <w:lvlOverride w:ilvl="2">
      <w:lvl w:ilvl="2">
        <w:start w:val="1"/>
        <w:numFmt w:val="lowerRoman"/>
        <w:lvlText w:val="%3)"/>
        <w:lvlJc w:val="left"/>
        <w:pPr>
          <w:ind w:left="1701" w:hanging="567"/>
        </w:pPr>
        <w:rPr>
          <w:rFonts w:hint="default"/>
        </w:rPr>
      </w:lvl>
    </w:lvlOverride>
    <w:lvlOverride w:ilvl="3">
      <w:lvl w:ilvl="3">
        <w:start w:val="1"/>
        <w:numFmt w:val="decimal"/>
        <w:lvlText w:val="(%4)"/>
        <w:lvlJc w:val="left"/>
        <w:pPr>
          <w:ind w:left="425" w:hanging="425"/>
        </w:pPr>
        <w:rPr>
          <w:rFonts w:hint="default"/>
        </w:rPr>
      </w:lvl>
    </w:lvlOverride>
    <w:lvlOverride w:ilvl="4">
      <w:lvl w:ilvl="4">
        <w:start w:val="1"/>
        <w:numFmt w:val="lowerLetter"/>
        <w:lvlText w:val="(%5)"/>
        <w:lvlJc w:val="left"/>
        <w:pPr>
          <w:ind w:left="851" w:hanging="426"/>
        </w:pPr>
        <w:rPr>
          <w:rFonts w:hint="default"/>
        </w:rPr>
      </w:lvl>
    </w:lvlOverride>
    <w:lvlOverride w:ilvl="5">
      <w:lvl w:ilvl="5">
        <w:start w:val="1"/>
        <w:numFmt w:val="lowerRoman"/>
        <w:lvlText w:val="(%6)"/>
        <w:lvlJc w:val="left"/>
        <w:pPr>
          <w:ind w:left="1276" w:hanging="425"/>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13">
    <w:abstractNumId w:val="16"/>
  </w:num>
  <w:num w:numId="14">
    <w:abstractNumId w:val="16"/>
    <w:lvlOverride w:ilvl="0">
      <w:lvl w:ilvl="0">
        <w:start w:val="1"/>
        <w:numFmt w:val="decimal"/>
        <w:pStyle w:val="Sectionnumbering"/>
        <w:lvlText w:val="(%1)"/>
        <w:lvlJc w:val="left"/>
        <w:pPr>
          <w:ind w:left="567" w:hanging="567"/>
        </w:pPr>
        <w:rPr>
          <w:rFonts w:hint="default"/>
        </w:rPr>
      </w:lvl>
    </w:lvlOverride>
    <w:lvlOverride w:ilvl="1">
      <w:lvl w:ilvl="1">
        <w:start w:val="1"/>
        <w:numFmt w:val="lowerLetter"/>
        <w:pStyle w:val="Sectionlevel2"/>
        <w:lvlText w:val="(%2)"/>
        <w:lvlJc w:val="left"/>
        <w:pPr>
          <w:ind w:left="1134" w:hanging="567"/>
        </w:pPr>
        <w:rPr>
          <w:rFonts w:hint="default"/>
        </w:rPr>
      </w:lvl>
    </w:lvlOverride>
    <w:lvlOverride w:ilvl="2">
      <w:lvl w:ilvl="2">
        <w:start w:val="1"/>
        <w:numFmt w:val="lowerRoman"/>
        <w:pStyle w:val="Sectionlevel3"/>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5">
    <w:abstractNumId w:val="16"/>
    <w:lvlOverride w:ilvl="0">
      <w:lvl w:ilvl="0">
        <w:start w:val="1"/>
        <w:numFmt w:val="decimal"/>
        <w:pStyle w:val="Sectionnumbering"/>
        <w:lvlText w:val="(%1)"/>
        <w:lvlJc w:val="left"/>
        <w:pPr>
          <w:ind w:left="567" w:hanging="567"/>
        </w:pPr>
        <w:rPr>
          <w:rFonts w:hint="default"/>
        </w:rPr>
      </w:lvl>
    </w:lvlOverride>
    <w:lvlOverride w:ilvl="1">
      <w:lvl w:ilvl="1">
        <w:start w:val="1"/>
        <w:numFmt w:val="lowerLetter"/>
        <w:pStyle w:val="Sectionlevel2"/>
        <w:lvlText w:val="(%2)"/>
        <w:lvlJc w:val="left"/>
        <w:pPr>
          <w:ind w:left="992" w:hanging="425"/>
        </w:pPr>
        <w:rPr>
          <w:rFonts w:hint="default"/>
        </w:rPr>
      </w:lvl>
    </w:lvlOverride>
    <w:lvlOverride w:ilvl="2">
      <w:lvl w:ilvl="2">
        <w:start w:val="1"/>
        <w:numFmt w:val="lowerRoman"/>
        <w:pStyle w:val="Sectionlevel3"/>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6">
    <w:abstractNumId w:val="16"/>
    <w:lvlOverride w:ilvl="0">
      <w:lvl w:ilvl="0">
        <w:start w:val="1"/>
        <w:numFmt w:val="decimal"/>
        <w:pStyle w:val="Sectionnumbering"/>
        <w:lvlText w:val="(%1)"/>
        <w:lvlJc w:val="left"/>
        <w:pPr>
          <w:ind w:left="567" w:hanging="567"/>
        </w:pPr>
        <w:rPr>
          <w:rFonts w:hint="default"/>
        </w:rPr>
      </w:lvl>
    </w:lvlOverride>
    <w:lvlOverride w:ilvl="1">
      <w:lvl w:ilvl="1">
        <w:start w:val="1"/>
        <w:numFmt w:val="lowerLetter"/>
        <w:pStyle w:val="Sectionlevel2"/>
        <w:lvlText w:val="(%2)"/>
        <w:lvlJc w:val="left"/>
        <w:pPr>
          <w:ind w:left="992" w:hanging="425"/>
        </w:pPr>
        <w:rPr>
          <w:rFonts w:hint="default"/>
        </w:rPr>
      </w:lvl>
    </w:lvlOverride>
    <w:lvlOverride w:ilvl="2">
      <w:lvl w:ilvl="2">
        <w:start w:val="1"/>
        <w:numFmt w:val="lowerRoman"/>
        <w:pStyle w:val="Sectionlevel3"/>
        <w:lvlText w:val="(%3)"/>
        <w:lvlJc w:val="left"/>
        <w:pPr>
          <w:ind w:left="1276" w:hanging="284"/>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7">
    <w:abstractNumId w:val="16"/>
    <w:lvlOverride w:ilvl="0">
      <w:lvl w:ilvl="0">
        <w:start w:val="1"/>
        <w:numFmt w:val="decimal"/>
        <w:pStyle w:val="Sectionnumbering"/>
        <w:lvlText w:val="(%1)"/>
        <w:lvlJc w:val="left"/>
        <w:pPr>
          <w:ind w:left="567" w:hanging="567"/>
        </w:pPr>
        <w:rPr>
          <w:rFonts w:hint="default"/>
        </w:rPr>
      </w:lvl>
    </w:lvlOverride>
    <w:lvlOverride w:ilvl="1">
      <w:lvl w:ilvl="1">
        <w:start w:val="1"/>
        <w:numFmt w:val="lowerLetter"/>
        <w:pStyle w:val="Sectionlevel2"/>
        <w:lvlText w:val="(%2)"/>
        <w:lvlJc w:val="left"/>
        <w:pPr>
          <w:ind w:left="992" w:hanging="425"/>
        </w:pPr>
        <w:rPr>
          <w:rFonts w:hint="default"/>
        </w:rPr>
      </w:lvl>
    </w:lvlOverride>
    <w:lvlOverride w:ilvl="2">
      <w:lvl w:ilvl="2">
        <w:start w:val="1"/>
        <w:numFmt w:val="lowerRoman"/>
        <w:pStyle w:val="Sectionlevel3"/>
        <w:lvlText w:val="(%3)"/>
        <w:lvlJc w:val="left"/>
        <w:pPr>
          <w:ind w:left="1418" w:hanging="426"/>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8">
    <w:abstractNumId w:val="16"/>
    <w:lvlOverride w:ilvl="0">
      <w:lvl w:ilvl="0">
        <w:start w:val="1"/>
        <w:numFmt w:val="decimal"/>
        <w:pStyle w:val="Sectionnumbering"/>
        <w:isLgl/>
        <w:lvlText w:val="(%1)"/>
        <w:lvlJc w:val="left"/>
        <w:pPr>
          <w:ind w:left="567" w:hanging="567"/>
        </w:pPr>
        <w:rPr>
          <w:rFonts w:hint="default"/>
        </w:rPr>
      </w:lvl>
    </w:lvlOverride>
    <w:lvlOverride w:ilvl="1">
      <w:lvl w:ilvl="1">
        <w:start w:val="1"/>
        <w:numFmt w:val="lowerLetter"/>
        <w:pStyle w:val="Sectionlevel2"/>
        <w:lvlText w:val="(%2)"/>
        <w:lvlJc w:val="left"/>
        <w:pPr>
          <w:ind w:left="992" w:hanging="567"/>
        </w:pPr>
        <w:rPr>
          <w:rFonts w:hint="default"/>
        </w:rPr>
      </w:lvl>
    </w:lvlOverride>
    <w:lvlOverride w:ilvl="2">
      <w:lvl w:ilvl="2">
        <w:start w:val="1"/>
        <w:numFmt w:val="lowerRoman"/>
        <w:pStyle w:val="Sectionlevel3"/>
        <w:lvlText w:val="%3)"/>
        <w:lvlJc w:val="left"/>
        <w:pPr>
          <w:ind w:left="1417" w:hanging="567"/>
        </w:pPr>
        <w:rPr>
          <w:rFonts w:hint="default"/>
        </w:rPr>
      </w:lvl>
    </w:lvlOverride>
    <w:lvlOverride w:ilvl="3">
      <w:lvl w:ilvl="3">
        <w:start w:val="1"/>
        <w:numFmt w:val="decimal"/>
        <w:lvlText w:val="(%4)"/>
        <w:lvlJc w:val="left"/>
        <w:pPr>
          <w:ind w:left="1842" w:hanging="567"/>
        </w:pPr>
        <w:rPr>
          <w:rFonts w:hint="default"/>
        </w:rPr>
      </w:lvl>
    </w:lvlOverride>
    <w:lvlOverride w:ilvl="4">
      <w:lvl w:ilvl="4">
        <w:start w:val="1"/>
        <w:numFmt w:val="lowerLetter"/>
        <w:lvlText w:val="(%5)"/>
        <w:lvlJc w:val="left"/>
        <w:pPr>
          <w:ind w:left="2267" w:hanging="567"/>
        </w:pPr>
        <w:rPr>
          <w:rFonts w:hint="default"/>
        </w:rPr>
      </w:lvl>
    </w:lvlOverride>
    <w:lvlOverride w:ilvl="5">
      <w:lvl w:ilvl="5">
        <w:start w:val="1"/>
        <w:numFmt w:val="lowerRoman"/>
        <w:lvlText w:val="(%6)"/>
        <w:lvlJc w:val="left"/>
        <w:pPr>
          <w:ind w:left="2692" w:hanging="567"/>
        </w:pPr>
        <w:rPr>
          <w:rFonts w:hint="default"/>
        </w:rPr>
      </w:lvl>
    </w:lvlOverride>
    <w:lvlOverride w:ilvl="6">
      <w:lvl w:ilvl="6">
        <w:start w:val="1"/>
        <w:numFmt w:val="decimal"/>
        <w:lvlText w:val="%7."/>
        <w:lvlJc w:val="left"/>
        <w:pPr>
          <w:ind w:left="3117" w:hanging="567"/>
        </w:pPr>
        <w:rPr>
          <w:rFonts w:hint="default"/>
        </w:rPr>
      </w:lvl>
    </w:lvlOverride>
    <w:lvlOverride w:ilvl="7">
      <w:lvl w:ilvl="7">
        <w:start w:val="1"/>
        <w:numFmt w:val="lowerLetter"/>
        <w:lvlText w:val="%8."/>
        <w:lvlJc w:val="left"/>
        <w:pPr>
          <w:ind w:left="3542" w:hanging="567"/>
        </w:pPr>
        <w:rPr>
          <w:rFonts w:hint="default"/>
        </w:rPr>
      </w:lvl>
    </w:lvlOverride>
    <w:lvlOverride w:ilvl="8">
      <w:lvl w:ilvl="8">
        <w:start w:val="1"/>
        <w:numFmt w:val="lowerRoman"/>
        <w:lvlText w:val="%9."/>
        <w:lvlJc w:val="left"/>
        <w:pPr>
          <w:ind w:left="3967" w:hanging="567"/>
        </w:pPr>
        <w:rPr>
          <w:rFonts w:hint="default"/>
        </w:rPr>
      </w:lvl>
    </w:lvlOverride>
  </w:num>
  <w:num w:numId="19">
    <w:abstractNumId w:val="16"/>
    <w:lvlOverride w:ilvl="0">
      <w:lvl w:ilvl="0">
        <w:start w:val="1"/>
        <w:numFmt w:val="decimal"/>
        <w:pStyle w:val="Sectionnumbering"/>
        <w:isLgl/>
        <w:lvlText w:val="(%1)"/>
        <w:lvlJc w:val="left"/>
        <w:pPr>
          <w:ind w:left="567" w:hanging="567"/>
        </w:pPr>
        <w:rPr>
          <w:rFonts w:hint="default"/>
        </w:rPr>
      </w:lvl>
    </w:lvlOverride>
    <w:lvlOverride w:ilvl="1">
      <w:lvl w:ilvl="1">
        <w:start w:val="1"/>
        <w:numFmt w:val="lowerLetter"/>
        <w:pStyle w:val="Sectionlevel2"/>
        <w:lvlText w:val="(%2)"/>
        <w:lvlJc w:val="left"/>
        <w:pPr>
          <w:ind w:left="992" w:hanging="425"/>
        </w:pPr>
        <w:rPr>
          <w:rFonts w:hint="default"/>
        </w:rPr>
      </w:lvl>
    </w:lvlOverride>
    <w:lvlOverride w:ilvl="2">
      <w:lvl w:ilvl="2">
        <w:start w:val="1"/>
        <w:numFmt w:val="lowerRoman"/>
        <w:pStyle w:val="Sectionlevel3"/>
        <w:lvlText w:val="%3)"/>
        <w:lvlJc w:val="left"/>
        <w:pPr>
          <w:ind w:left="1417" w:hanging="425"/>
        </w:pPr>
        <w:rPr>
          <w:rFonts w:hint="default"/>
        </w:rPr>
      </w:lvl>
    </w:lvlOverride>
    <w:lvlOverride w:ilvl="3">
      <w:lvl w:ilvl="3">
        <w:start w:val="1"/>
        <w:numFmt w:val="decimal"/>
        <w:lvlText w:val="(%4)"/>
        <w:lvlJc w:val="left"/>
        <w:pPr>
          <w:ind w:left="1842" w:hanging="567"/>
        </w:pPr>
        <w:rPr>
          <w:rFonts w:hint="default"/>
        </w:rPr>
      </w:lvl>
    </w:lvlOverride>
    <w:lvlOverride w:ilvl="4">
      <w:lvl w:ilvl="4">
        <w:start w:val="1"/>
        <w:numFmt w:val="lowerLetter"/>
        <w:lvlText w:val="(%5)"/>
        <w:lvlJc w:val="left"/>
        <w:pPr>
          <w:ind w:left="2267" w:hanging="567"/>
        </w:pPr>
        <w:rPr>
          <w:rFonts w:hint="default"/>
        </w:rPr>
      </w:lvl>
    </w:lvlOverride>
    <w:lvlOverride w:ilvl="5">
      <w:lvl w:ilvl="5">
        <w:start w:val="1"/>
        <w:numFmt w:val="lowerRoman"/>
        <w:lvlText w:val="(%6)"/>
        <w:lvlJc w:val="left"/>
        <w:pPr>
          <w:ind w:left="2692" w:hanging="567"/>
        </w:pPr>
        <w:rPr>
          <w:rFonts w:hint="default"/>
        </w:rPr>
      </w:lvl>
    </w:lvlOverride>
    <w:lvlOverride w:ilvl="6">
      <w:lvl w:ilvl="6">
        <w:start w:val="1"/>
        <w:numFmt w:val="decimal"/>
        <w:lvlText w:val="%7."/>
        <w:lvlJc w:val="left"/>
        <w:pPr>
          <w:ind w:left="3117" w:hanging="567"/>
        </w:pPr>
        <w:rPr>
          <w:rFonts w:hint="default"/>
        </w:rPr>
      </w:lvl>
    </w:lvlOverride>
    <w:lvlOverride w:ilvl="7">
      <w:lvl w:ilvl="7">
        <w:start w:val="1"/>
        <w:numFmt w:val="lowerLetter"/>
        <w:lvlText w:val="%8."/>
        <w:lvlJc w:val="left"/>
        <w:pPr>
          <w:ind w:left="3542" w:hanging="567"/>
        </w:pPr>
        <w:rPr>
          <w:rFonts w:hint="default"/>
        </w:rPr>
      </w:lvl>
    </w:lvlOverride>
    <w:lvlOverride w:ilvl="8">
      <w:lvl w:ilvl="8">
        <w:start w:val="1"/>
        <w:numFmt w:val="lowerRoman"/>
        <w:lvlText w:val="%9."/>
        <w:lvlJc w:val="left"/>
        <w:pPr>
          <w:ind w:left="3967" w:hanging="567"/>
        </w:pPr>
        <w:rPr>
          <w:rFonts w:hint="default"/>
        </w:rPr>
      </w:lvl>
    </w:lvlOverride>
  </w:num>
  <w:num w:numId="20">
    <w:abstractNumId w:val="16"/>
    <w:lvlOverride w:ilvl="0">
      <w:lvl w:ilvl="0">
        <w:start w:val="1"/>
        <w:numFmt w:val="decimal"/>
        <w:pStyle w:val="Sectionnumbering"/>
        <w:isLgl/>
        <w:lvlText w:val="(%1)"/>
        <w:lvlJc w:val="left"/>
        <w:pPr>
          <w:ind w:left="567" w:hanging="567"/>
        </w:pPr>
        <w:rPr>
          <w:rFonts w:hint="default"/>
        </w:rPr>
      </w:lvl>
    </w:lvlOverride>
    <w:lvlOverride w:ilvl="1">
      <w:lvl w:ilvl="1">
        <w:start w:val="1"/>
        <w:numFmt w:val="lowerLetter"/>
        <w:pStyle w:val="Sectionlevel2"/>
        <w:lvlText w:val="(%2)"/>
        <w:lvlJc w:val="left"/>
        <w:pPr>
          <w:ind w:left="992" w:hanging="425"/>
        </w:pPr>
        <w:rPr>
          <w:rFonts w:hint="default"/>
        </w:rPr>
      </w:lvl>
    </w:lvlOverride>
    <w:lvlOverride w:ilvl="2">
      <w:lvl w:ilvl="2">
        <w:start w:val="1"/>
        <w:numFmt w:val="lowerRoman"/>
        <w:pStyle w:val="Sectionlevel3"/>
        <w:lvlText w:val="(%3)"/>
        <w:lvlJc w:val="left"/>
        <w:pPr>
          <w:ind w:left="1417" w:hanging="425"/>
        </w:pPr>
        <w:rPr>
          <w:rFonts w:hint="default"/>
        </w:rPr>
      </w:lvl>
    </w:lvlOverride>
    <w:lvlOverride w:ilvl="3">
      <w:lvl w:ilvl="3">
        <w:start w:val="1"/>
        <w:numFmt w:val="decimal"/>
        <w:lvlText w:val="(%4)"/>
        <w:lvlJc w:val="left"/>
        <w:pPr>
          <w:ind w:left="1842" w:hanging="567"/>
        </w:pPr>
        <w:rPr>
          <w:rFonts w:hint="default"/>
        </w:rPr>
      </w:lvl>
    </w:lvlOverride>
    <w:lvlOverride w:ilvl="4">
      <w:lvl w:ilvl="4">
        <w:start w:val="1"/>
        <w:numFmt w:val="lowerLetter"/>
        <w:lvlText w:val="(%5)"/>
        <w:lvlJc w:val="left"/>
        <w:pPr>
          <w:ind w:left="2267" w:hanging="567"/>
        </w:pPr>
        <w:rPr>
          <w:rFonts w:hint="default"/>
        </w:rPr>
      </w:lvl>
    </w:lvlOverride>
    <w:lvlOverride w:ilvl="5">
      <w:lvl w:ilvl="5">
        <w:start w:val="1"/>
        <w:numFmt w:val="lowerRoman"/>
        <w:lvlText w:val="(%6)"/>
        <w:lvlJc w:val="left"/>
        <w:pPr>
          <w:ind w:left="2692" w:hanging="567"/>
        </w:pPr>
        <w:rPr>
          <w:rFonts w:hint="default"/>
        </w:rPr>
      </w:lvl>
    </w:lvlOverride>
    <w:lvlOverride w:ilvl="6">
      <w:lvl w:ilvl="6">
        <w:start w:val="1"/>
        <w:numFmt w:val="decimal"/>
        <w:lvlText w:val="%7."/>
        <w:lvlJc w:val="left"/>
        <w:pPr>
          <w:ind w:left="3117" w:hanging="567"/>
        </w:pPr>
        <w:rPr>
          <w:rFonts w:hint="default"/>
        </w:rPr>
      </w:lvl>
    </w:lvlOverride>
    <w:lvlOverride w:ilvl="7">
      <w:lvl w:ilvl="7">
        <w:start w:val="1"/>
        <w:numFmt w:val="lowerLetter"/>
        <w:lvlText w:val="%8."/>
        <w:lvlJc w:val="left"/>
        <w:pPr>
          <w:ind w:left="3542" w:hanging="567"/>
        </w:pPr>
        <w:rPr>
          <w:rFonts w:hint="default"/>
        </w:rPr>
      </w:lvl>
    </w:lvlOverride>
    <w:lvlOverride w:ilvl="8">
      <w:lvl w:ilvl="8">
        <w:start w:val="1"/>
        <w:numFmt w:val="lowerRoman"/>
        <w:lvlText w:val="%9."/>
        <w:lvlJc w:val="left"/>
        <w:pPr>
          <w:ind w:left="3967" w:hanging="567"/>
        </w:pPr>
        <w:rPr>
          <w:rFonts w:hint="default"/>
        </w:rPr>
      </w:lvl>
    </w:lvlOverride>
  </w:num>
  <w:num w:numId="21">
    <w:abstractNumId w:val="3"/>
  </w:num>
  <w:num w:numId="22">
    <w:abstractNumId w:val="2"/>
  </w:num>
  <w:num w:numId="23">
    <w:abstractNumId w:val="1"/>
  </w:num>
  <w:num w:numId="24">
    <w:abstractNumId w:val="0"/>
  </w:num>
  <w:num w:numId="25">
    <w:abstractNumId w:val="16"/>
  </w:num>
  <w:num w:numId="26">
    <w:abstractNumId w:val="4"/>
  </w:num>
  <w:num w:numId="27">
    <w:abstractNumId w:val="16"/>
  </w:num>
  <w:num w:numId="28">
    <w:abstractNumId w:val="10"/>
  </w:num>
  <w:num w:numId="29">
    <w:abstractNumId w:val="5"/>
  </w:num>
  <w:num w:numId="30">
    <w:abstractNumId w:val="11"/>
  </w:num>
  <w:num w:numId="31">
    <w:abstractNumId w:val="8"/>
  </w:num>
  <w:num w:numId="32">
    <w:abstractNumId w:val="9"/>
  </w:num>
  <w:num w:numId="33">
    <w:abstractNumId w:val="14"/>
  </w:num>
  <w:num w:numId="34">
    <w:abstractNumId w:val="15"/>
  </w:num>
  <w:num w:numId="35">
    <w:abstractNumId w:val="7"/>
  </w:num>
  <w:num w:numId="36">
    <w:abstractNumId w:val="19"/>
  </w:num>
  <w:num w:numId="37">
    <w:abstractNumId w:val="12"/>
  </w:num>
  <w:num w:numId="38">
    <w:abstractNumId w:val="18"/>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16"/>
  </w:num>
  <w:num w:numId="42">
    <w:abstractNumId w:val="16"/>
  </w:num>
  <w:num w:numId="43">
    <w:abstractNumId w:val="16"/>
  </w:num>
  <w:num w:numId="44">
    <w:abstractNumId w:val="17"/>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TMxNDM0MTM2NjAxt7BQ0lEKTi0uzszPAykwrAUAu1SzeiwAAAA="/>
    <w:docVar w:name="dgnword-docGUID" w:val="{411C3CCF-2637-4F80-8A58-C88F6100AB36}"/>
    <w:docVar w:name="dgnword-eventsink" w:val="2438407038896"/>
    <w:docVar w:name="dgnword-lastRevisionsView" w:val="0"/>
  </w:docVars>
  <w:rsids>
    <w:rsidRoot w:val="001929C2"/>
    <w:rsid w:val="00013A35"/>
    <w:rsid w:val="00016FA2"/>
    <w:rsid w:val="00021155"/>
    <w:rsid w:val="00031DEF"/>
    <w:rsid w:val="00037AF5"/>
    <w:rsid w:val="00053CAC"/>
    <w:rsid w:val="00060C6B"/>
    <w:rsid w:val="00071191"/>
    <w:rsid w:val="00072C81"/>
    <w:rsid w:val="00074D37"/>
    <w:rsid w:val="0007552D"/>
    <w:rsid w:val="00077E31"/>
    <w:rsid w:val="00082F9F"/>
    <w:rsid w:val="000931AF"/>
    <w:rsid w:val="00093E6C"/>
    <w:rsid w:val="00097F86"/>
    <w:rsid w:val="000A5AC6"/>
    <w:rsid w:val="000A64DD"/>
    <w:rsid w:val="000B7896"/>
    <w:rsid w:val="000C1723"/>
    <w:rsid w:val="000D16F4"/>
    <w:rsid w:val="000D275C"/>
    <w:rsid w:val="000D51A1"/>
    <w:rsid w:val="000E0522"/>
    <w:rsid w:val="000E08D0"/>
    <w:rsid w:val="000E3130"/>
    <w:rsid w:val="000E4EF7"/>
    <w:rsid w:val="000E5968"/>
    <w:rsid w:val="000E7107"/>
    <w:rsid w:val="000E7AE5"/>
    <w:rsid w:val="000F2E55"/>
    <w:rsid w:val="000F51E2"/>
    <w:rsid w:val="001051C9"/>
    <w:rsid w:val="001058ED"/>
    <w:rsid w:val="00105D9C"/>
    <w:rsid w:val="00112FF9"/>
    <w:rsid w:val="00116226"/>
    <w:rsid w:val="00116BFF"/>
    <w:rsid w:val="00132279"/>
    <w:rsid w:val="00134F31"/>
    <w:rsid w:val="00137C5F"/>
    <w:rsid w:val="00143DE5"/>
    <w:rsid w:val="00150530"/>
    <w:rsid w:val="00152CE6"/>
    <w:rsid w:val="00155A17"/>
    <w:rsid w:val="001619B5"/>
    <w:rsid w:val="00170E4C"/>
    <w:rsid w:val="00172FD7"/>
    <w:rsid w:val="00177F10"/>
    <w:rsid w:val="00183BCA"/>
    <w:rsid w:val="001929C2"/>
    <w:rsid w:val="001A2949"/>
    <w:rsid w:val="001A35FA"/>
    <w:rsid w:val="001A73A4"/>
    <w:rsid w:val="001B1573"/>
    <w:rsid w:val="001B1E7E"/>
    <w:rsid w:val="001B52FD"/>
    <w:rsid w:val="001B57BC"/>
    <w:rsid w:val="001B66FB"/>
    <w:rsid w:val="001C3821"/>
    <w:rsid w:val="001D31D7"/>
    <w:rsid w:val="001E72A3"/>
    <w:rsid w:val="00204DED"/>
    <w:rsid w:val="002114E1"/>
    <w:rsid w:val="00212983"/>
    <w:rsid w:val="002144CC"/>
    <w:rsid w:val="00214599"/>
    <w:rsid w:val="00216F6B"/>
    <w:rsid w:val="00226A47"/>
    <w:rsid w:val="00227EE0"/>
    <w:rsid w:val="00230C22"/>
    <w:rsid w:val="0023658F"/>
    <w:rsid w:val="00237E99"/>
    <w:rsid w:val="00242108"/>
    <w:rsid w:val="002438AA"/>
    <w:rsid w:val="00245121"/>
    <w:rsid w:val="00246C93"/>
    <w:rsid w:val="00250D4A"/>
    <w:rsid w:val="00256ABC"/>
    <w:rsid w:val="00257ECF"/>
    <w:rsid w:val="002607EF"/>
    <w:rsid w:val="00277C96"/>
    <w:rsid w:val="002826E4"/>
    <w:rsid w:val="00283348"/>
    <w:rsid w:val="00287651"/>
    <w:rsid w:val="00295ED5"/>
    <w:rsid w:val="002A61F2"/>
    <w:rsid w:val="002A6C9E"/>
    <w:rsid w:val="002B5EF3"/>
    <w:rsid w:val="002C0385"/>
    <w:rsid w:val="002C2A89"/>
    <w:rsid w:val="002C5645"/>
    <w:rsid w:val="002D1535"/>
    <w:rsid w:val="002D6431"/>
    <w:rsid w:val="002D6765"/>
    <w:rsid w:val="002D7363"/>
    <w:rsid w:val="002F1F01"/>
    <w:rsid w:val="002F279F"/>
    <w:rsid w:val="0031760A"/>
    <w:rsid w:val="00317BA3"/>
    <w:rsid w:val="00317CA3"/>
    <w:rsid w:val="003239BA"/>
    <w:rsid w:val="0033188B"/>
    <w:rsid w:val="003327C5"/>
    <w:rsid w:val="00333CC7"/>
    <w:rsid w:val="00350150"/>
    <w:rsid w:val="00351223"/>
    <w:rsid w:val="00360E3C"/>
    <w:rsid w:val="0036124C"/>
    <w:rsid w:val="00364E06"/>
    <w:rsid w:val="00366105"/>
    <w:rsid w:val="00370F68"/>
    <w:rsid w:val="0037765C"/>
    <w:rsid w:val="00384F11"/>
    <w:rsid w:val="00386764"/>
    <w:rsid w:val="00397E53"/>
    <w:rsid w:val="003A16C0"/>
    <w:rsid w:val="003A2720"/>
    <w:rsid w:val="003A70BA"/>
    <w:rsid w:val="003B0929"/>
    <w:rsid w:val="003B376F"/>
    <w:rsid w:val="003B68C6"/>
    <w:rsid w:val="003B7400"/>
    <w:rsid w:val="003C02DF"/>
    <w:rsid w:val="003C2CDA"/>
    <w:rsid w:val="003E7028"/>
    <w:rsid w:val="003F5E9A"/>
    <w:rsid w:val="003F6FDD"/>
    <w:rsid w:val="003F78F5"/>
    <w:rsid w:val="0040090B"/>
    <w:rsid w:val="004032FB"/>
    <w:rsid w:val="004044F7"/>
    <w:rsid w:val="00406433"/>
    <w:rsid w:val="004171AB"/>
    <w:rsid w:val="00420343"/>
    <w:rsid w:val="00421AE0"/>
    <w:rsid w:val="00421B45"/>
    <w:rsid w:val="00425B52"/>
    <w:rsid w:val="004263FE"/>
    <w:rsid w:val="00431D2F"/>
    <w:rsid w:val="00432D1F"/>
    <w:rsid w:val="00443D3B"/>
    <w:rsid w:val="00443EB5"/>
    <w:rsid w:val="00445A3D"/>
    <w:rsid w:val="004515C9"/>
    <w:rsid w:val="00467C77"/>
    <w:rsid w:val="0047126D"/>
    <w:rsid w:val="0047396B"/>
    <w:rsid w:val="00473A1E"/>
    <w:rsid w:val="0047454A"/>
    <w:rsid w:val="00475DC1"/>
    <w:rsid w:val="004771D2"/>
    <w:rsid w:val="004A59AD"/>
    <w:rsid w:val="004A6EE4"/>
    <w:rsid w:val="004C3DA5"/>
    <w:rsid w:val="004C5045"/>
    <w:rsid w:val="004C67E5"/>
    <w:rsid w:val="004D0852"/>
    <w:rsid w:val="004D2B83"/>
    <w:rsid w:val="004D7314"/>
    <w:rsid w:val="004D7943"/>
    <w:rsid w:val="004D7B03"/>
    <w:rsid w:val="004E1CC6"/>
    <w:rsid w:val="004E31D7"/>
    <w:rsid w:val="004E672A"/>
    <w:rsid w:val="004F7B65"/>
    <w:rsid w:val="00502B35"/>
    <w:rsid w:val="00505D6E"/>
    <w:rsid w:val="00506BF2"/>
    <w:rsid w:val="00510931"/>
    <w:rsid w:val="00512C74"/>
    <w:rsid w:val="00512F11"/>
    <w:rsid w:val="0051411D"/>
    <w:rsid w:val="005143C3"/>
    <w:rsid w:val="00515C25"/>
    <w:rsid w:val="0051659B"/>
    <w:rsid w:val="005217C8"/>
    <w:rsid w:val="005221D4"/>
    <w:rsid w:val="005274E0"/>
    <w:rsid w:val="005325D2"/>
    <w:rsid w:val="005331F0"/>
    <w:rsid w:val="0053369D"/>
    <w:rsid w:val="005452A4"/>
    <w:rsid w:val="00550E89"/>
    <w:rsid w:val="005625C8"/>
    <w:rsid w:val="005626A8"/>
    <w:rsid w:val="00570037"/>
    <w:rsid w:val="005715E6"/>
    <w:rsid w:val="0057740E"/>
    <w:rsid w:val="0058184F"/>
    <w:rsid w:val="005927EB"/>
    <w:rsid w:val="005959BD"/>
    <w:rsid w:val="005960F6"/>
    <w:rsid w:val="00596BB5"/>
    <w:rsid w:val="005A69D8"/>
    <w:rsid w:val="005B11C6"/>
    <w:rsid w:val="005B2294"/>
    <w:rsid w:val="005B375C"/>
    <w:rsid w:val="005B70AF"/>
    <w:rsid w:val="005C3E0C"/>
    <w:rsid w:val="005C6A76"/>
    <w:rsid w:val="005C721C"/>
    <w:rsid w:val="005D10A9"/>
    <w:rsid w:val="005D4CAE"/>
    <w:rsid w:val="005D523A"/>
    <w:rsid w:val="005D69DE"/>
    <w:rsid w:val="006101BF"/>
    <w:rsid w:val="00615DB7"/>
    <w:rsid w:val="00622939"/>
    <w:rsid w:val="00630A3E"/>
    <w:rsid w:val="00631DD2"/>
    <w:rsid w:val="0063246C"/>
    <w:rsid w:val="00635FFE"/>
    <w:rsid w:val="006414A6"/>
    <w:rsid w:val="00644696"/>
    <w:rsid w:val="00644E74"/>
    <w:rsid w:val="006477F7"/>
    <w:rsid w:val="00654035"/>
    <w:rsid w:val="006543D8"/>
    <w:rsid w:val="006550C3"/>
    <w:rsid w:val="00655E30"/>
    <w:rsid w:val="006602F5"/>
    <w:rsid w:val="00660D4D"/>
    <w:rsid w:val="00664014"/>
    <w:rsid w:val="00665791"/>
    <w:rsid w:val="00671E37"/>
    <w:rsid w:val="00674659"/>
    <w:rsid w:val="00674A05"/>
    <w:rsid w:val="0067798D"/>
    <w:rsid w:val="00686CF9"/>
    <w:rsid w:val="0069745D"/>
    <w:rsid w:val="006A0BFB"/>
    <w:rsid w:val="006A223E"/>
    <w:rsid w:val="006A2CC5"/>
    <w:rsid w:val="006A33FF"/>
    <w:rsid w:val="006B4E83"/>
    <w:rsid w:val="006B6CAA"/>
    <w:rsid w:val="006B7A21"/>
    <w:rsid w:val="006C0A87"/>
    <w:rsid w:val="006C10AF"/>
    <w:rsid w:val="006C5295"/>
    <w:rsid w:val="006D01D6"/>
    <w:rsid w:val="006D759D"/>
    <w:rsid w:val="006E1958"/>
    <w:rsid w:val="006E3A0A"/>
    <w:rsid w:val="006E3B4C"/>
    <w:rsid w:val="006F2928"/>
    <w:rsid w:val="00702E0E"/>
    <w:rsid w:val="007071B6"/>
    <w:rsid w:val="007117B8"/>
    <w:rsid w:val="007117EC"/>
    <w:rsid w:val="00715F4C"/>
    <w:rsid w:val="0071697D"/>
    <w:rsid w:val="007251AF"/>
    <w:rsid w:val="00726A79"/>
    <w:rsid w:val="00731711"/>
    <w:rsid w:val="00735185"/>
    <w:rsid w:val="007378E5"/>
    <w:rsid w:val="00740899"/>
    <w:rsid w:val="00746226"/>
    <w:rsid w:val="00747C48"/>
    <w:rsid w:val="00755F37"/>
    <w:rsid w:val="00764B49"/>
    <w:rsid w:val="007659FE"/>
    <w:rsid w:val="00765A49"/>
    <w:rsid w:val="00766BE9"/>
    <w:rsid w:val="00770604"/>
    <w:rsid w:val="00776CF1"/>
    <w:rsid w:val="00777F15"/>
    <w:rsid w:val="007805E0"/>
    <w:rsid w:val="00780808"/>
    <w:rsid w:val="00781E3D"/>
    <w:rsid w:val="00787435"/>
    <w:rsid w:val="00791D12"/>
    <w:rsid w:val="00794BE0"/>
    <w:rsid w:val="007A0878"/>
    <w:rsid w:val="007A170E"/>
    <w:rsid w:val="007A48FD"/>
    <w:rsid w:val="007A5C72"/>
    <w:rsid w:val="007C0FEE"/>
    <w:rsid w:val="007D1F4F"/>
    <w:rsid w:val="007D326B"/>
    <w:rsid w:val="007E1181"/>
    <w:rsid w:val="007E4782"/>
    <w:rsid w:val="007E7A7F"/>
    <w:rsid w:val="007F0BBF"/>
    <w:rsid w:val="007F11E2"/>
    <w:rsid w:val="007F349A"/>
    <w:rsid w:val="0081007B"/>
    <w:rsid w:val="0081251D"/>
    <w:rsid w:val="00823A38"/>
    <w:rsid w:val="008279A9"/>
    <w:rsid w:val="00834C45"/>
    <w:rsid w:val="00835C05"/>
    <w:rsid w:val="00842E25"/>
    <w:rsid w:val="00842F14"/>
    <w:rsid w:val="00843343"/>
    <w:rsid w:val="008447E1"/>
    <w:rsid w:val="008452DB"/>
    <w:rsid w:val="00845815"/>
    <w:rsid w:val="008509C8"/>
    <w:rsid w:val="00851552"/>
    <w:rsid w:val="00863D03"/>
    <w:rsid w:val="0086555F"/>
    <w:rsid w:val="008661C9"/>
    <w:rsid w:val="00870A9A"/>
    <w:rsid w:val="00872BE7"/>
    <w:rsid w:val="0087332D"/>
    <w:rsid w:val="0087418A"/>
    <w:rsid w:val="00874646"/>
    <w:rsid w:val="00876C78"/>
    <w:rsid w:val="00883851"/>
    <w:rsid w:val="00885247"/>
    <w:rsid w:val="008858F6"/>
    <w:rsid w:val="00885B6C"/>
    <w:rsid w:val="0088634E"/>
    <w:rsid w:val="00887807"/>
    <w:rsid w:val="00890A03"/>
    <w:rsid w:val="00897786"/>
    <w:rsid w:val="008A283E"/>
    <w:rsid w:val="008A7B6B"/>
    <w:rsid w:val="008B2198"/>
    <w:rsid w:val="008B33CB"/>
    <w:rsid w:val="008B40D9"/>
    <w:rsid w:val="008B5485"/>
    <w:rsid w:val="008B7F4E"/>
    <w:rsid w:val="008C1AE5"/>
    <w:rsid w:val="008C308F"/>
    <w:rsid w:val="008D2355"/>
    <w:rsid w:val="008D2832"/>
    <w:rsid w:val="008D494B"/>
    <w:rsid w:val="008E04F1"/>
    <w:rsid w:val="008E2A6B"/>
    <w:rsid w:val="008E3A77"/>
    <w:rsid w:val="008E5017"/>
    <w:rsid w:val="008E566A"/>
    <w:rsid w:val="008E6615"/>
    <w:rsid w:val="008E7D3F"/>
    <w:rsid w:val="008F56C7"/>
    <w:rsid w:val="009012A4"/>
    <w:rsid w:val="009075BE"/>
    <w:rsid w:val="009154F8"/>
    <w:rsid w:val="00915A1A"/>
    <w:rsid w:val="00916A26"/>
    <w:rsid w:val="0091794E"/>
    <w:rsid w:val="00920B58"/>
    <w:rsid w:val="00924BAA"/>
    <w:rsid w:val="0092643F"/>
    <w:rsid w:val="00927B5A"/>
    <w:rsid w:val="009311DF"/>
    <w:rsid w:val="00931FA7"/>
    <w:rsid w:val="0093353D"/>
    <w:rsid w:val="00933B76"/>
    <w:rsid w:val="00936011"/>
    <w:rsid w:val="00945799"/>
    <w:rsid w:val="00950315"/>
    <w:rsid w:val="00950CED"/>
    <w:rsid w:val="009543DC"/>
    <w:rsid w:val="00957D02"/>
    <w:rsid w:val="00962D1A"/>
    <w:rsid w:val="00965447"/>
    <w:rsid w:val="0096737C"/>
    <w:rsid w:val="00971023"/>
    <w:rsid w:val="00990811"/>
    <w:rsid w:val="009942F4"/>
    <w:rsid w:val="00995AC1"/>
    <w:rsid w:val="009A15D4"/>
    <w:rsid w:val="009A19AB"/>
    <w:rsid w:val="009A4995"/>
    <w:rsid w:val="009A7B15"/>
    <w:rsid w:val="009B0C67"/>
    <w:rsid w:val="009B368A"/>
    <w:rsid w:val="009B529E"/>
    <w:rsid w:val="009B6F32"/>
    <w:rsid w:val="009C097F"/>
    <w:rsid w:val="009C2AB4"/>
    <w:rsid w:val="009C355F"/>
    <w:rsid w:val="009D1667"/>
    <w:rsid w:val="009E1674"/>
    <w:rsid w:val="009E28A0"/>
    <w:rsid w:val="009E2EFE"/>
    <w:rsid w:val="009E3080"/>
    <w:rsid w:val="009F77D8"/>
    <w:rsid w:val="00A46768"/>
    <w:rsid w:val="00A51122"/>
    <w:rsid w:val="00A53B77"/>
    <w:rsid w:val="00A755A5"/>
    <w:rsid w:val="00A759D0"/>
    <w:rsid w:val="00A8493E"/>
    <w:rsid w:val="00A93CCE"/>
    <w:rsid w:val="00AA30B1"/>
    <w:rsid w:val="00AB110F"/>
    <w:rsid w:val="00AB29CB"/>
    <w:rsid w:val="00AB4781"/>
    <w:rsid w:val="00AB7F70"/>
    <w:rsid w:val="00AC6AF3"/>
    <w:rsid w:val="00AC6CB0"/>
    <w:rsid w:val="00AD19C7"/>
    <w:rsid w:val="00AD1F5D"/>
    <w:rsid w:val="00AD336A"/>
    <w:rsid w:val="00AE0D41"/>
    <w:rsid w:val="00AE1CED"/>
    <w:rsid w:val="00AE1EDD"/>
    <w:rsid w:val="00AE740A"/>
    <w:rsid w:val="00AE7D5B"/>
    <w:rsid w:val="00B007D3"/>
    <w:rsid w:val="00B0146E"/>
    <w:rsid w:val="00B03BAD"/>
    <w:rsid w:val="00B05C5F"/>
    <w:rsid w:val="00B13ED9"/>
    <w:rsid w:val="00B154A1"/>
    <w:rsid w:val="00B333A9"/>
    <w:rsid w:val="00B35F8B"/>
    <w:rsid w:val="00B44F86"/>
    <w:rsid w:val="00B45139"/>
    <w:rsid w:val="00B54920"/>
    <w:rsid w:val="00B54DF1"/>
    <w:rsid w:val="00B7228D"/>
    <w:rsid w:val="00B72F49"/>
    <w:rsid w:val="00B75967"/>
    <w:rsid w:val="00B76736"/>
    <w:rsid w:val="00B811CB"/>
    <w:rsid w:val="00B81529"/>
    <w:rsid w:val="00B815DA"/>
    <w:rsid w:val="00B85BA8"/>
    <w:rsid w:val="00B85D66"/>
    <w:rsid w:val="00B8750A"/>
    <w:rsid w:val="00B87927"/>
    <w:rsid w:val="00B9137B"/>
    <w:rsid w:val="00B91E5E"/>
    <w:rsid w:val="00B9459D"/>
    <w:rsid w:val="00B951FD"/>
    <w:rsid w:val="00BA1C54"/>
    <w:rsid w:val="00BA2A39"/>
    <w:rsid w:val="00BA3E5E"/>
    <w:rsid w:val="00BA5261"/>
    <w:rsid w:val="00BA784A"/>
    <w:rsid w:val="00BD0B50"/>
    <w:rsid w:val="00BD2454"/>
    <w:rsid w:val="00BD2C8A"/>
    <w:rsid w:val="00BD6757"/>
    <w:rsid w:val="00BD67F4"/>
    <w:rsid w:val="00BE170C"/>
    <w:rsid w:val="00BE1D6D"/>
    <w:rsid w:val="00BF2EAB"/>
    <w:rsid w:val="00BF73AE"/>
    <w:rsid w:val="00C020C5"/>
    <w:rsid w:val="00C116B3"/>
    <w:rsid w:val="00C128D5"/>
    <w:rsid w:val="00C15931"/>
    <w:rsid w:val="00C21371"/>
    <w:rsid w:val="00C2143C"/>
    <w:rsid w:val="00C24755"/>
    <w:rsid w:val="00C26E03"/>
    <w:rsid w:val="00C270F4"/>
    <w:rsid w:val="00C27E11"/>
    <w:rsid w:val="00C436ED"/>
    <w:rsid w:val="00C474CA"/>
    <w:rsid w:val="00C47882"/>
    <w:rsid w:val="00C505AF"/>
    <w:rsid w:val="00C550C2"/>
    <w:rsid w:val="00C5769E"/>
    <w:rsid w:val="00C62B46"/>
    <w:rsid w:val="00C8429E"/>
    <w:rsid w:val="00C900D2"/>
    <w:rsid w:val="00CA06FC"/>
    <w:rsid w:val="00CB0D75"/>
    <w:rsid w:val="00CD03CF"/>
    <w:rsid w:val="00CD2FCD"/>
    <w:rsid w:val="00CD6337"/>
    <w:rsid w:val="00CE0642"/>
    <w:rsid w:val="00CE360E"/>
    <w:rsid w:val="00CE678C"/>
    <w:rsid w:val="00CE6CE9"/>
    <w:rsid w:val="00CF412C"/>
    <w:rsid w:val="00D07D89"/>
    <w:rsid w:val="00D136EB"/>
    <w:rsid w:val="00D263CD"/>
    <w:rsid w:val="00D5554F"/>
    <w:rsid w:val="00D6125D"/>
    <w:rsid w:val="00D61AFB"/>
    <w:rsid w:val="00D61F6D"/>
    <w:rsid w:val="00D6295C"/>
    <w:rsid w:val="00D6529B"/>
    <w:rsid w:val="00D700A2"/>
    <w:rsid w:val="00D74F4B"/>
    <w:rsid w:val="00D75F1F"/>
    <w:rsid w:val="00D82DB5"/>
    <w:rsid w:val="00D83727"/>
    <w:rsid w:val="00D84471"/>
    <w:rsid w:val="00D869A3"/>
    <w:rsid w:val="00D9447A"/>
    <w:rsid w:val="00D94528"/>
    <w:rsid w:val="00D950DF"/>
    <w:rsid w:val="00D95FE5"/>
    <w:rsid w:val="00D96DD6"/>
    <w:rsid w:val="00DA2FC1"/>
    <w:rsid w:val="00DA5041"/>
    <w:rsid w:val="00DB37C6"/>
    <w:rsid w:val="00DB5238"/>
    <w:rsid w:val="00DB55CC"/>
    <w:rsid w:val="00DB6E93"/>
    <w:rsid w:val="00DD0A4E"/>
    <w:rsid w:val="00DD1810"/>
    <w:rsid w:val="00DD39F3"/>
    <w:rsid w:val="00DE0F05"/>
    <w:rsid w:val="00DE7704"/>
    <w:rsid w:val="00DF2D4C"/>
    <w:rsid w:val="00DF4800"/>
    <w:rsid w:val="00DF5B31"/>
    <w:rsid w:val="00E003DA"/>
    <w:rsid w:val="00E201C1"/>
    <w:rsid w:val="00E30341"/>
    <w:rsid w:val="00E305A4"/>
    <w:rsid w:val="00E31A6F"/>
    <w:rsid w:val="00E35184"/>
    <w:rsid w:val="00E37BF6"/>
    <w:rsid w:val="00E43AD2"/>
    <w:rsid w:val="00E55F74"/>
    <w:rsid w:val="00E648F8"/>
    <w:rsid w:val="00E7065D"/>
    <w:rsid w:val="00E71D8B"/>
    <w:rsid w:val="00E75595"/>
    <w:rsid w:val="00E85A33"/>
    <w:rsid w:val="00E85E98"/>
    <w:rsid w:val="00E95C3B"/>
    <w:rsid w:val="00EA059D"/>
    <w:rsid w:val="00EB0F23"/>
    <w:rsid w:val="00EB2F11"/>
    <w:rsid w:val="00EB31DD"/>
    <w:rsid w:val="00EB3BF0"/>
    <w:rsid w:val="00EB7B32"/>
    <w:rsid w:val="00EC0497"/>
    <w:rsid w:val="00EC0A42"/>
    <w:rsid w:val="00EC25B0"/>
    <w:rsid w:val="00EC310B"/>
    <w:rsid w:val="00ED1D00"/>
    <w:rsid w:val="00ED1EAA"/>
    <w:rsid w:val="00EE6F73"/>
    <w:rsid w:val="00EF103F"/>
    <w:rsid w:val="00EF2901"/>
    <w:rsid w:val="00EF391C"/>
    <w:rsid w:val="00EF4EE5"/>
    <w:rsid w:val="00EF7AB9"/>
    <w:rsid w:val="00F05587"/>
    <w:rsid w:val="00F1272C"/>
    <w:rsid w:val="00F14C9B"/>
    <w:rsid w:val="00F163DA"/>
    <w:rsid w:val="00F16E62"/>
    <w:rsid w:val="00F171BA"/>
    <w:rsid w:val="00F25F66"/>
    <w:rsid w:val="00F278B4"/>
    <w:rsid w:val="00F36D0E"/>
    <w:rsid w:val="00F43625"/>
    <w:rsid w:val="00F50936"/>
    <w:rsid w:val="00F52627"/>
    <w:rsid w:val="00F61449"/>
    <w:rsid w:val="00F650E8"/>
    <w:rsid w:val="00F70F2B"/>
    <w:rsid w:val="00F7669A"/>
    <w:rsid w:val="00F84F91"/>
    <w:rsid w:val="00F92C14"/>
    <w:rsid w:val="00F971E4"/>
    <w:rsid w:val="00FA424F"/>
    <w:rsid w:val="00FA42B2"/>
    <w:rsid w:val="00FA6F63"/>
    <w:rsid w:val="00FB554E"/>
    <w:rsid w:val="00FB731A"/>
    <w:rsid w:val="00FC10D6"/>
    <w:rsid w:val="00FC3998"/>
    <w:rsid w:val="00FC62EE"/>
    <w:rsid w:val="00FC6601"/>
    <w:rsid w:val="00FD3522"/>
    <w:rsid w:val="00FD693A"/>
    <w:rsid w:val="00FF202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432D70"/>
  <w15:docId w15:val="{CA2541AC-CB68-40E6-96C4-38D828EA6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72"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622939"/>
    <w:pPr>
      <w:spacing w:before="180" w:after="180" w:line="360" w:lineRule="auto"/>
    </w:pPr>
    <w:rPr>
      <w:rFonts w:ascii="Arial" w:hAnsi="Arial"/>
      <w:sz w:val="24"/>
      <w:szCs w:val="22"/>
      <w:lang w:eastAsia="en-US"/>
    </w:rPr>
  </w:style>
  <w:style w:type="paragraph" w:styleId="Heading1">
    <w:name w:val="heading 1"/>
    <w:basedOn w:val="Normal"/>
    <w:next w:val="Sectionnumbering"/>
    <w:qFormat/>
    <w:rsid w:val="00351223"/>
    <w:pPr>
      <w:keepNext/>
      <w:spacing w:before="480" w:after="240"/>
      <w:outlineLvl w:val="0"/>
    </w:pPr>
    <w:rPr>
      <w:rFonts w:cs="Arial"/>
      <w:b/>
      <w:bCs/>
      <w:caps/>
      <w:kern w:val="32"/>
      <w:sz w:val="28"/>
      <w:szCs w:val="32"/>
    </w:rPr>
  </w:style>
  <w:style w:type="paragraph" w:styleId="Heading2">
    <w:name w:val="heading 2"/>
    <w:basedOn w:val="Normal"/>
    <w:next w:val="Sectionnumbering"/>
    <w:qFormat/>
    <w:rsid w:val="00351223"/>
    <w:pPr>
      <w:keepNext/>
      <w:spacing w:before="240"/>
      <w:outlineLvl w:val="1"/>
    </w:pPr>
    <w:rPr>
      <w:rFonts w:cs="Arial"/>
      <w:b/>
      <w:bCs/>
      <w:iCs/>
      <w:sz w:val="28"/>
      <w:szCs w:val="28"/>
    </w:rPr>
  </w:style>
  <w:style w:type="paragraph" w:styleId="Heading3">
    <w:name w:val="heading 3"/>
    <w:basedOn w:val="Normal"/>
    <w:next w:val="Sectionnumbering"/>
    <w:qFormat/>
    <w:rsid w:val="00351223"/>
    <w:pPr>
      <w:keepNext/>
      <w:spacing w:before="120" w:after="120"/>
      <w:outlineLvl w:val="2"/>
    </w:pPr>
    <w:rPr>
      <w:rFonts w:cs="Arial"/>
      <w:b/>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nnumberedtextCharChar">
    <w:name w:val="Unnumbered text Char Char"/>
    <w:link w:val="Unnumberedtext"/>
    <w:uiPriority w:val="4"/>
    <w:locked/>
    <w:rsid w:val="00E75595"/>
    <w:rPr>
      <w:rFonts w:ascii="Arial" w:eastAsia="Times New Roman" w:hAnsi="Arial" w:cs="Arial"/>
      <w:sz w:val="24"/>
      <w:szCs w:val="22"/>
      <w:lang w:eastAsia="en-GB"/>
    </w:rPr>
  </w:style>
  <w:style w:type="paragraph" w:customStyle="1" w:styleId="legalnumbering1ai">
    <w:name w:val="legal numbering 1/a/i"/>
    <w:basedOn w:val="Normal"/>
    <w:link w:val="legalnumbering1aiChar"/>
    <w:semiHidden/>
    <w:qFormat/>
    <w:rsid w:val="00FB554E"/>
    <w:pPr>
      <w:spacing w:before="120" w:after="120"/>
      <w:contextualSpacing/>
    </w:pPr>
  </w:style>
  <w:style w:type="paragraph" w:customStyle="1" w:styleId="Affidavitnumbering">
    <w:name w:val="Affidavit numbering"/>
    <w:basedOn w:val="Normal"/>
    <w:link w:val="AffidavitnumberingCharChar"/>
    <w:uiPriority w:val="5"/>
    <w:qFormat/>
    <w:rsid w:val="004C3DA5"/>
    <w:pPr>
      <w:numPr>
        <w:numId w:val="6"/>
      </w:numPr>
      <w:spacing w:before="240" w:after="240" w:line="480" w:lineRule="auto"/>
      <w:jc w:val="both"/>
    </w:pPr>
  </w:style>
  <w:style w:type="paragraph" w:customStyle="1" w:styleId="Unnumberedtext">
    <w:name w:val="Unnumbered text"/>
    <w:basedOn w:val="Normal"/>
    <w:link w:val="UnnumberedtextCharChar"/>
    <w:uiPriority w:val="4"/>
    <w:rsid w:val="00674A05"/>
    <w:pPr>
      <w:jc w:val="both"/>
    </w:pPr>
    <w:rPr>
      <w:rFonts w:eastAsia="Times New Roman" w:cs="Arial"/>
      <w:lang w:eastAsia="en-GB"/>
    </w:rPr>
  </w:style>
  <w:style w:type="character" w:customStyle="1" w:styleId="legalnumbering1aiChar">
    <w:name w:val="legal numbering 1/a/i Char"/>
    <w:link w:val="legalnumbering1ai"/>
    <w:rsid w:val="00FB554E"/>
    <w:rPr>
      <w:rFonts w:ascii="Arial" w:eastAsia="Calibri" w:hAnsi="Arial"/>
      <w:sz w:val="22"/>
      <w:szCs w:val="22"/>
      <w:lang w:val="en-ZA" w:eastAsia="en-US" w:bidi="ar-SA"/>
    </w:rPr>
  </w:style>
  <w:style w:type="character" w:customStyle="1" w:styleId="AffidavitnumberingCharChar">
    <w:name w:val="Affidavit numbering Char Char"/>
    <w:link w:val="Affidavitnumbering"/>
    <w:uiPriority w:val="5"/>
    <w:rsid w:val="00E75595"/>
    <w:rPr>
      <w:rFonts w:ascii="Arial" w:hAnsi="Arial"/>
      <w:sz w:val="24"/>
      <w:szCs w:val="22"/>
      <w:lang w:eastAsia="en-US"/>
    </w:rPr>
  </w:style>
  <w:style w:type="paragraph" w:customStyle="1" w:styleId="Frontpageheading">
    <w:name w:val="Front page heading"/>
    <w:basedOn w:val="Normal"/>
    <w:next w:val="Unnumberedtext"/>
    <w:semiHidden/>
    <w:rsid w:val="00FB554E"/>
    <w:pPr>
      <w:jc w:val="center"/>
    </w:pPr>
    <w:rPr>
      <w:b/>
      <w:caps/>
    </w:rPr>
  </w:style>
  <w:style w:type="table" w:styleId="TableGrid">
    <w:name w:val="Table Grid"/>
    <w:basedOn w:val="TableNormal"/>
    <w:semiHidden/>
    <w:rsid w:val="00FB554E"/>
    <w:pPr>
      <w:spacing w:before="180" w:after="180" w:line="312"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idavit">
    <w:name w:val="Affidavit"/>
    <w:basedOn w:val="Frontpageheading"/>
    <w:next w:val="Unnumberedtext"/>
    <w:uiPriority w:val="5"/>
    <w:rsid w:val="00351223"/>
    <w:pPr>
      <w:pBdr>
        <w:top w:val="single" w:sz="18" w:space="12" w:color="auto"/>
        <w:bottom w:val="single" w:sz="18" w:space="12" w:color="auto"/>
      </w:pBdr>
    </w:pPr>
    <w:rPr>
      <w:sz w:val="26"/>
    </w:rPr>
  </w:style>
  <w:style w:type="paragraph" w:styleId="Header">
    <w:name w:val="header"/>
    <w:basedOn w:val="Normal"/>
    <w:link w:val="HeaderChar"/>
    <w:uiPriority w:val="99"/>
    <w:rsid w:val="00082F9F"/>
    <w:pPr>
      <w:tabs>
        <w:tab w:val="center" w:pos="4320"/>
        <w:tab w:val="right" w:pos="8640"/>
      </w:tabs>
    </w:pPr>
  </w:style>
  <w:style w:type="paragraph" w:styleId="Footer">
    <w:name w:val="footer"/>
    <w:basedOn w:val="Normal"/>
    <w:semiHidden/>
    <w:rsid w:val="00082F9F"/>
    <w:pPr>
      <w:tabs>
        <w:tab w:val="center" w:pos="4320"/>
        <w:tab w:val="right" w:pos="8640"/>
      </w:tabs>
    </w:pPr>
  </w:style>
  <w:style w:type="paragraph" w:customStyle="1" w:styleId="Sectionnumbering">
    <w:name w:val="Section numbering"/>
    <w:basedOn w:val="Normal"/>
    <w:uiPriority w:val="1"/>
    <w:qFormat/>
    <w:rsid w:val="00615DB7"/>
    <w:pPr>
      <w:numPr>
        <w:numId w:val="27"/>
      </w:numPr>
      <w:jc w:val="both"/>
    </w:pPr>
  </w:style>
  <w:style w:type="paragraph" w:customStyle="1" w:styleId="Bullets">
    <w:name w:val="Bullets"/>
    <w:basedOn w:val="Normal"/>
    <w:uiPriority w:val="4"/>
    <w:rsid w:val="003B0929"/>
    <w:pPr>
      <w:numPr>
        <w:numId w:val="26"/>
      </w:numPr>
      <w:tabs>
        <w:tab w:val="clear" w:pos="360"/>
        <w:tab w:val="num" w:pos="851"/>
      </w:tabs>
      <w:ind w:left="851" w:hanging="284"/>
      <w:contextualSpacing/>
    </w:pPr>
  </w:style>
  <w:style w:type="paragraph" w:styleId="Quote">
    <w:name w:val="Quote"/>
    <w:basedOn w:val="Normal"/>
    <w:link w:val="QuoteChar"/>
    <w:uiPriority w:val="3"/>
    <w:qFormat/>
    <w:rsid w:val="00622939"/>
    <w:pPr>
      <w:spacing w:line="312" w:lineRule="auto"/>
      <w:ind w:left="567"/>
    </w:pPr>
    <w:rPr>
      <w:iCs/>
      <w:sz w:val="22"/>
    </w:rPr>
  </w:style>
  <w:style w:type="character" w:styleId="CommentReference">
    <w:name w:val="annotation reference"/>
    <w:semiHidden/>
    <w:rsid w:val="00137C5F"/>
    <w:rPr>
      <w:sz w:val="16"/>
      <w:szCs w:val="16"/>
    </w:rPr>
  </w:style>
  <w:style w:type="paragraph" w:styleId="CommentText">
    <w:name w:val="annotation text"/>
    <w:basedOn w:val="Normal"/>
    <w:semiHidden/>
    <w:rsid w:val="00137C5F"/>
    <w:rPr>
      <w:sz w:val="20"/>
      <w:szCs w:val="20"/>
    </w:rPr>
  </w:style>
  <w:style w:type="paragraph" w:styleId="CommentSubject">
    <w:name w:val="annotation subject"/>
    <w:basedOn w:val="CommentText"/>
    <w:next w:val="CommentText"/>
    <w:semiHidden/>
    <w:rsid w:val="00137C5F"/>
    <w:rPr>
      <w:b/>
      <w:bCs/>
    </w:rPr>
  </w:style>
  <w:style w:type="paragraph" w:styleId="BalloonText">
    <w:name w:val="Balloon Text"/>
    <w:basedOn w:val="Normal"/>
    <w:semiHidden/>
    <w:rsid w:val="00137C5F"/>
    <w:rPr>
      <w:rFonts w:ascii="Tahoma" w:hAnsi="Tahoma" w:cs="Tahoma"/>
      <w:sz w:val="16"/>
      <w:szCs w:val="16"/>
    </w:rPr>
  </w:style>
  <w:style w:type="paragraph" w:customStyle="1" w:styleId="Sectionlevel2">
    <w:name w:val="Section level 2"/>
    <w:basedOn w:val="Normal"/>
    <w:uiPriority w:val="2"/>
    <w:qFormat/>
    <w:rsid w:val="00E75595"/>
    <w:pPr>
      <w:numPr>
        <w:ilvl w:val="1"/>
        <w:numId w:val="27"/>
      </w:numPr>
      <w:jc w:val="both"/>
    </w:pPr>
  </w:style>
  <w:style w:type="paragraph" w:customStyle="1" w:styleId="Sectionlevel3">
    <w:name w:val="Section level 3"/>
    <w:basedOn w:val="Normal"/>
    <w:uiPriority w:val="2"/>
    <w:qFormat/>
    <w:rsid w:val="00E75595"/>
    <w:pPr>
      <w:numPr>
        <w:ilvl w:val="2"/>
        <w:numId w:val="27"/>
      </w:numPr>
      <w:jc w:val="both"/>
    </w:pPr>
  </w:style>
  <w:style w:type="paragraph" w:styleId="FootnoteText">
    <w:name w:val="footnote text"/>
    <w:basedOn w:val="Normal"/>
    <w:link w:val="FootnoteTextChar"/>
    <w:uiPriority w:val="99"/>
    <w:semiHidden/>
    <w:unhideWhenUsed/>
    <w:rsid w:val="00916A26"/>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916A26"/>
    <w:rPr>
      <w:rFonts w:ascii="Arial" w:hAnsi="Arial"/>
      <w:lang w:eastAsia="en-US"/>
    </w:rPr>
  </w:style>
  <w:style w:type="character" w:styleId="FootnoteReference">
    <w:name w:val="footnote reference"/>
    <w:basedOn w:val="DefaultParagraphFont"/>
    <w:uiPriority w:val="99"/>
    <w:unhideWhenUsed/>
    <w:rsid w:val="00916A26"/>
    <w:rPr>
      <w:vertAlign w:val="superscript"/>
    </w:rPr>
  </w:style>
  <w:style w:type="paragraph" w:styleId="ListParagraph">
    <w:name w:val="List Paragraph"/>
    <w:basedOn w:val="Normal"/>
    <w:uiPriority w:val="72"/>
    <w:semiHidden/>
    <w:qFormat/>
    <w:rsid w:val="00421AE0"/>
    <w:pPr>
      <w:spacing w:before="0" w:after="0" w:line="240" w:lineRule="auto"/>
      <w:ind w:left="720"/>
    </w:pPr>
    <w:rPr>
      <w:rFonts w:eastAsia="Times New Roman" w:cs="Arial"/>
      <w:szCs w:val="24"/>
      <w:lang w:val="en-GB"/>
    </w:rPr>
  </w:style>
  <w:style w:type="character" w:customStyle="1" w:styleId="HeaderChar">
    <w:name w:val="Header Char"/>
    <w:basedOn w:val="DefaultParagraphFont"/>
    <w:link w:val="Header"/>
    <w:uiPriority w:val="99"/>
    <w:rsid w:val="00E35184"/>
    <w:rPr>
      <w:rFonts w:ascii="Arial" w:hAnsi="Arial"/>
      <w:sz w:val="24"/>
      <w:szCs w:val="22"/>
      <w:lang w:eastAsia="en-US"/>
    </w:rPr>
  </w:style>
  <w:style w:type="character" w:customStyle="1" w:styleId="QuoteChar">
    <w:name w:val="Quote Char"/>
    <w:basedOn w:val="DefaultParagraphFont"/>
    <w:link w:val="Quote"/>
    <w:uiPriority w:val="3"/>
    <w:rsid w:val="00421B45"/>
    <w:rPr>
      <w:rFonts w:ascii="Arial" w:hAnsi="Arial"/>
      <w:iCs/>
      <w:sz w:val="22"/>
      <w:szCs w:val="22"/>
      <w:lang w:eastAsia="en-US"/>
    </w:rPr>
  </w:style>
  <w:style w:type="paragraph" w:styleId="Revision">
    <w:name w:val="Revision"/>
    <w:hidden/>
    <w:uiPriority w:val="99"/>
    <w:semiHidden/>
    <w:rsid w:val="00037AF5"/>
    <w:rPr>
      <w:rFonts w:ascii="Arial" w:hAnsi="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803338">
      <w:bodyDiv w:val="1"/>
      <w:marLeft w:val="0"/>
      <w:marRight w:val="0"/>
      <w:marTop w:val="0"/>
      <w:marBottom w:val="0"/>
      <w:divBdr>
        <w:top w:val="none" w:sz="0" w:space="0" w:color="auto"/>
        <w:left w:val="none" w:sz="0" w:space="0" w:color="auto"/>
        <w:bottom w:val="none" w:sz="0" w:space="0" w:color="auto"/>
        <w:right w:val="none" w:sz="0" w:space="0" w:color="auto"/>
      </w:divBdr>
    </w:div>
    <w:div w:id="543449251">
      <w:bodyDiv w:val="1"/>
      <w:marLeft w:val="0"/>
      <w:marRight w:val="0"/>
      <w:marTop w:val="0"/>
      <w:marBottom w:val="0"/>
      <w:divBdr>
        <w:top w:val="none" w:sz="0" w:space="0" w:color="auto"/>
        <w:left w:val="none" w:sz="0" w:space="0" w:color="auto"/>
        <w:bottom w:val="none" w:sz="0" w:space="0" w:color="auto"/>
        <w:right w:val="none" w:sz="0" w:space="0" w:color="auto"/>
      </w:divBdr>
    </w:div>
    <w:div w:id="1062480507">
      <w:bodyDiv w:val="1"/>
      <w:marLeft w:val="0"/>
      <w:marRight w:val="0"/>
      <w:marTop w:val="0"/>
      <w:marBottom w:val="0"/>
      <w:divBdr>
        <w:top w:val="none" w:sz="0" w:space="0" w:color="auto"/>
        <w:left w:val="none" w:sz="0" w:space="0" w:color="auto"/>
        <w:bottom w:val="none" w:sz="0" w:space="0" w:color="auto"/>
        <w:right w:val="none" w:sz="0" w:space="0" w:color="auto"/>
      </w:divBdr>
    </w:div>
    <w:div w:id="1269391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zabeth%20Baartman\Downloads\New%20template%20November%20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EDA194-C33E-4D8E-83E7-B2550C722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template November 2022</Template>
  <TotalTime>0</TotalTime>
  <Pages>8</Pages>
  <Words>1795</Words>
  <Characters>10233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Legal numbering egs</vt:lpstr>
    </vt:vector>
  </TitlesOfParts>
  <Company>Hewlett-Packard</Company>
  <LinksUpToDate>false</LinksUpToDate>
  <CharactersWithSpaces>12004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numbering egs</dc:title>
  <dc:creator>Elizabeth Baartman</dc:creator>
  <cp:lastModifiedBy>Mary Bruce</cp:lastModifiedBy>
  <cp:revision>2</cp:revision>
  <cp:lastPrinted>2024-04-05T07:34:00Z</cp:lastPrinted>
  <dcterms:created xsi:type="dcterms:W3CDTF">2024-04-08T10:22:00Z</dcterms:created>
  <dcterms:modified xsi:type="dcterms:W3CDTF">2024-04-08T10:22:00Z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84b279387c39ed16e15071f9a8175038996af6b11fd5f61d5af9bc19192994e0</vt:lpwstr>
  </property>
</Properties>
</file>