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AAEF5" w14:textId="77777777" w:rsidR="00843451" w:rsidRPr="003666AC" w:rsidRDefault="00843451" w:rsidP="00843451">
      <w:pPr>
        <w:spacing w:after="0" w:line="240" w:lineRule="auto"/>
        <w:rPr>
          <w:rFonts w:ascii="Arial" w:eastAsia="MS Mincho" w:hAnsi="Arial" w:cs="Arial"/>
          <w:sz w:val="28"/>
          <w:szCs w:val="28"/>
          <w:lang w:val="en-ZA" w:eastAsia="en-ZA"/>
        </w:rPr>
      </w:pPr>
      <w:r>
        <w:rPr>
          <w:noProof/>
          <w:lang w:val="en-ZA" w:eastAsia="en-ZA"/>
        </w:rPr>
        <w:drawing>
          <wp:anchor distT="0" distB="0" distL="114300" distR="114300" simplePos="0" relativeHeight="251659264" behindDoc="0" locked="0" layoutInCell="1" allowOverlap="1" wp14:anchorId="63755F3A" wp14:editId="28D32BA8">
            <wp:simplePos x="0" y="0"/>
            <wp:positionH relativeFrom="column">
              <wp:posOffset>2457450</wp:posOffset>
            </wp:positionH>
            <wp:positionV relativeFrom="paragraph">
              <wp:posOffset>285750</wp:posOffset>
            </wp:positionV>
            <wp:extent cx="838835" cy="1097915"/>
            <wp:effectExtent l="0" t="0" r="0" b="6985"/>
            <wp:wrapTopAndBottom/>
            <wp:docPr id="2" name="Picture 1" descr="Description: Description: Description: Description: Description: 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coatarm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3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6F500" w14:textId="77777777" w:rsidR="00765F01" w:rsidRDefault="00765F01" w:rsidP="00843451">
      <w:pPr>
        <w:spacing w:after="0" w:line="360" w:lineRule="auto"/>
        <w:jc w:val="center"/>
        <w:rPr>
          <w:rFonts w:ascii="Arial" w:eastAsia="MS Mincho" w:hAnsi="Arial" w:cs="Arial"/>
          <w:b/>
          <w:spacing w:val="20"/>
          <w:sz w:val="24"/>
          <w:szCs w:val="24"/>
          <w:lang w:val="en-ZA" w:eastAsia="en-ZA"/>
        </w:rPr>
      </w:pPr>
    </w:p>
    <w:p w14:paraId="5891CE8D" w14:textId="77777777" w:rsidR="00843451" w:rsidRPr="00C23EBB" w:rsidRDefault="00843451" w:rsidP="00843451">
      <w:pPr>
        <w:spacing w:after="0" w:line="360" w:lineRule="auto"/>
        <w:jc w:val="center"/>
        <w:rPr>
          <w:rFonts w:ascii="Arial" w:eastAsia="MS Mincho" w:hAnsi="Arial" w:cs="Arial"/>
          <w:b/>
          <w:spacing w:val="20"/>
          <w:sz w:val="24"/>
          <w:szCs w:val="24"/>
          <w:lang w:val="en-ZA" w:eastAsia="en-ZA"/>
        </w:rPr>
      </w:pPr>
      <w:r w:rsidRPr="00C23EBB">
        <w:rPr>
          <w:rFonts w:ascii="Arial" w:eastAsia="MS Mincho" w:hAnsi="Arial" w:cs="Arial"/>
          <w:b/>
          <w:spacing w:val="20"/>
          <w:sz w:val="24"/>
          <w:szCs w:val="24"/>
          <w:lang w:val="en-ZA" w:eastAsia="en-ZA"/>
        </w:rPr>
        <w:t>THE SUPREME COURT OF APPEAL OF SOUTH AFRICA</w:t>
      </w:r>
    </w:p>
    <w:p w14:paraId="6CADD0FC" w14:textId="77777777" w:rsidR="00843451" w:rsidRPr="00C23EBB" w:rsidRDefault="00843451" w:rsidP="00843451">
      <w:pPr>
        <w:spacing w:after="0" w:line="360" w:lineRule="auto"/>
        <w:jc w:val="center"/>
        <w:rPr>
          <w:rFonts w:ascii="Arial" w:eastAsia="MS Mincho" w:hAnsi="Arial" w:cs="Arial"/>
          <w:b/>
          <w:spacing w:val="20"/>
          <w:sz w:val="24"/>
          <w:szCs w:val="24"/>
          <w:lang w:val="en-ZA" w:eastAsia="en-ZA"/>
        </w:rPr>
      </w:pPr>
      <w:r w:rsidRPr="00C23EBB">
        <w:rPr>
          <w:rFonts w:ascii="Arial" w:eastAsia="MS Mincho" w:hAnsi="Arial" w:cs="Arial"/>
          <w:b/>
          <w:spacing w:val="20"/>
          <w:sz w:val="24"/>
          <w:szCs w:val="24"/>
          <w:lang w:val="en-ZA" w:eastAsia="en-ZA"/>
        </w:rPr>
        <w:t>JUDGMENT</w:t>
      </w:r>
    </w:p>
    <w:p w14:paraId="6337449D" w14:textId="77777777" w:rsidR="00843451" w:rsidRDefault="00843451" w:rsidP="00843451">
      <w:pPr>
        <w:spacing w:after="0" w:line="360" w:lineRule="auto"/>
        <w:jc w:val="both"/>
        <w:rPr>
          <w:rFonts w:ascii="Arial" w:eastAsia="MS Mincho" w:hAnsi="Arial" w:cs="Arial"/>
          <w:b/>
          <w:sz w:val="24"/>
          <w:szCs w:val="24"/>
          <w:lang w:val="en-ZA" w:eastAsia="en-ZA"/>
        </w:rPr>
      </w:pPr>
      <w:r w:rsidRPr="00C23EBB">
        <w:rPr>
          <w:rFonts w:ascii="Arial" w:eastAsia="MS Mincho" w:hAnsi="Arial" w:cs="Arial"/>
          <w:b/>
          <w:sz w:val="24"/>
          <w:szCs w:val="24"/>
          <w:lang w:val="en-ZA" w:eastAsia="en-ZA"/>
        </w:rPr>
        <w:t xml:space="preserve"> </w:t>
      </w:r>
      <w:r w:rsidRPr="00C23EBB">
        <w:rPr>
          <w:rFonts w:ascii="Arial" w:eastAsia="MS Mincho" w:hAnsi="Arial" w:cs="Arial"/>
          <w:b/>
          <w:sz w:val="24"/>
          <w:szCs w:val="24"/>
          <w:lang w:val="en-ZA" w:eastAsia="en-ZA"/>
        </w:rPr>
        <w:tab/>
      </w:r>
      <w:r w:rsidRPr="00C23EBB">
        <w:rPr>
          <w:rFonts w:ascii="Arial" w:eastAsia="MS Mincho" w:hAnsi="Arial" w:cs="Arial"/>
          <w:b/>
          <w:sz w:val="24"/>
          <w:szCs w:val="24"/>
          <w:lang w:val="en-ZA" w:eastAsia="en-ZA"/>
        </w:rPr>
        <w:tab/>
      </w:r>
      <w:r w:rsidRPr="00C23EBB">
        <w:rPr>
          <w:rFonts w:ascii="Arial" w:eastAsia="MS Mincho" w:hAnsi="Arial" w:cs="Arial"/>
          <w:b/>
          <w:sz w:val="24"/>
          <w:szCs w:val="24"/>
          <w:lang w:val="en-ZA" w:eastAsia="en-ZA"/>
        </w:rPr>
        <w:tab/>
      </w:r>
      <w:r w:rsidRPr="00C23EBB">
        <w:rPr>
          <w:rFonts w:ascii="Arial" w:eastAsia="MS Mincho" w:hAnsi="Arial" w:cs="Arial"/>
          <w:b/>
          <w:sz w:val="24"/>
          <w:szCs w:val="24"/>
          <w:lang w:val="en-ZA" w:eastAsia="en-ZA"/>
        </w:rPr>
        <w:tab/>
      </w:r>
      <w:r w:rsidRPr="00C23EBB">
        <w:rPr>
          <w:rFonts w:ascii="Arial" w:eastAsia="MS Mincho" w:hAnsi="Arial" w:cs="Arial"/>
          <w:b/>
          <w:sz w:val="24"/>
          <w:szCs w:val="24"/>
          <w:lang w:val="en-ZA" w:eastAsia="en-ZA"/>
        </w:rPr>
        <w:tab/>
      </w:r>
      <w:r w:rsidRPr="00C23EBB">
        <w:rPr>
          <w:rFonts w:ascii="Arial" w:eastAsia="MS Mincho" w:hAnsi="Arial" w:cs="Arial"/>
          <w:b/>
          <w:sz w:val="24"/>
          <w:szCs w:val="24"/>
          <w:lang w:val="en-ZA" w:eastAsia="en-ZA"/>
        </w:rPr>
        <w:tab/>
      </w:r>
      <w:r w:rsidRPr="00C23EBB">
        <w:rPr>
          <w:rFonts w:ascii="Arial" w:eastAsia="MS Mincho" w:hAnsi="Arial" w:cs="Arial"/>
          <w:b/>
          <w:sz w:val="24"/>
          <w:szCs w:val="24"/>
          <w:lang w:val="en-ZA" w:eastAsia="en-ZA"/>
        </w:rPr>
        <w:tab/>
      </w:r>
      <w:r w:rsidRPr="00C23EBB">
        <w:rPr>
          <w:rFonts w:ascii="Arial" w:eastAsia="MS Mincho" w:hAnsi="Arial" w:cs="Arial"/>
          <w:b/>
          <w:sz w:val="24"/>
          <w:szCs w:val="24"/>
          <w:lang w:val="en-ZA" w:eastAsia="en-ZA"/>
        </w:rPr>
        <w:tab/>
      </w:r>
      <w:r w:rsidRPr="00C23EBB">
        <w:rPr>
          <w:rFonts w:ascii="Arial" w:eastAsia="MS Mincho" w:hAnsi="Arial" w:cs="Arial"/>
          <w:b/>
          <w:sz w:val="24"/>
          <w:szCs w:val="24"/>
          <w:lang w:val="en-ZA" w:eastAsia="en-ZA"/>
        </w:rPr>
        <w:tab/>
      </w:r>
      <w:r w:rsidRPr="00C23EBB">
        <w:rPr>
          <w:rFonts w:ascii="Arial" w:eastAsia="MS Mincho" w:hAnsi="Arial" w:cs="Arial"/>
          <w:b/>
          <w:sz w:val="24"/>
          <w:szCs w:val="24"/>
          <w:lang w:val="en-ZA" w:eastAsia="en-ZA"/>
        </w:rPr>
        <w:tab/>
        <w:t xml:space="preserve">                           </w:t>
      </w:r>
      <w:r w:rsidRPr="00C23EBB">
        <w:rPr>
          <w:rFonts w:ascii="Arial" w:eastAsia="MS Mincho" w:hAnsi="Arial" w:cs="Arial"/>
          <w:b/>
          <w:sz w:val="24"/>
          <w:szCs w:val="24"/>
          <w:lang w:val="en-ZA" w:eastAsia="en-ZA"/>
        </w:rPr>
        <w:tab/>
      </w:r>
      <w:r w:rsidRPr="00C23EBB">
        <w:rPr>
          <w:rFonts w:ascii="Arial" w:eastAsia="MS Mincho" w:hAnsi="Arial" w:cs="Arial"/>
          <w:b/>
          <w:sz w:val="24"/>
          <w:szCs w:val="24"/>
          <w:lang w:val="en-ZA" w:eastAsia="en-ZA"/>
        </w:rPr>
        <w:tab/>
      </w:r>
      <w:r w:rsidRPr="00C23EBB">
        <w:rPr>
          <w:rFonts w:ascii="Arial" w:eastAsia="MS Mincho" w:hAnsi="Arial" w:cs="Arial"/>
          <w:b/>
          <w:sz w:val="24"/>
          <w:szCs w:val="24"/>
          <w:lang w:val="en-ZA" w:eastAsia="en-ZA"/>
        </w:rPr>
        <w:tab/>
      </w:r>
      <w:r w:rsidRPr="00C23EBB">
        <w:rPr>
          <w:rFonts w:ascii="Arial" w:eastAsia="MS Mincho" w:hAnsi="Arial" w:cs="Arial"/>
          <w:b/>
          <w:sz w:val="24"/>
          <w:szCs w:val="24"/>
          <w:lang w:val="en-ZA" w:eastAsia="en-ZA"/>
        </w:rPr>
        <w:tab/>
      </w:r>
      <w:r w:rsidRPr="00C23EBB">
        <w:rPr>
          <w:rFonts w:ascii="Arial" w:eastAsia="MS Mincho" w:hAnsi="Arial" w:cs="Arial"/>
          <w:b/>
          <w:sz w:val="24"/>
          <w:szCs w:val="24"/>
          <w:lang w:val="en-ZA" w:eastAsia="en-ZA"/>
        </w:rPr>
        <w:tab/>
        <w:t xml:space="preserve">     </w:t>
      </w:r>
      <w:r w:rsidRPr="00C23EBB">
        <w:rPr>
          <w:rFonts w:ascii="Arial" w:eastAsia="MS Mincho" w:hAnsi="Arial" w:cs="Arial"/>
          <w:b/>
          <w:sz w:val="24"/>
          <w:szCs w:val="24"/>
          <w:lang w:val="en-ZA" w:eastAsia="en-ZA"/>
        </w:rPr>
        <w:tab/>
      </w:r>
      <w:r w:rsidRPr="00C23EBB">
        <w:rPr>
          <w:rFonts w:ascii="Arial" w:eastAsia="MS Mincho" w:hAnsi="Arial" w:cs="Arial"/>
          <w:b/>
          <w:sz w:val="24"/>
          <w:szCs w:val="24"/>
          <w:lang w:val="en-ZA" w:eastAsia="en-ZA"/>
        </w:rPr>
        <w:tab/>
        <w:t xml:space="preserve">    </w:t>
      </w:r>
    </w:p>
    <w:p w14:paraId="5A50189F" w14:textId="4383A678" w:rsidR="00843451" w:rsidRPr="00DF4DB5" w:rsidRDefault="00843451" w:rsidP="00843451">
      <w:pPr>
        <w:spacing w:after="0" w:line="360" w:lineRule="auto"/>
        <w:ind w:left="1440" w:firstLine="720"/>
        <w:jc w:val="right"/>
        <w:rPr>
          <w:rFonts w:ascii="Arial" w:eastAsia="MS Mincho" w:hAnsi="Arial" w:cs="Arial"/>
          <w:spacing w:val="20"/>
          <w:sz w:val="24"/>
          <w:szCs w:val="24"/>
          <w:lang w:val="en-ZA" w:eastAsia="en-ZA"/>
        </w:rPr>
      </w:pPr>
      <w:r>
        <w:rPr>
          <w:rFonts w:ascii="Arial" w:eastAsia="MS Mincho" w:hAnsi="Arial" w:cs="Arial"/>
          <w:spacing w:val="20"/>
          <w:sz w:val="24"/>
          <w:szCs w:val="24"/>
          <w:lang w:val="en-ZA" w:eastAsia="en-ZA"/>
        </w:rPr>
        <w:t xml:space="preserve">                                     </w:t>
      </w:r>
      <w:r w:rsidR="00332FFC">
        <w:rPr>
          <w:rFonts w:ascii="Arial" w:eastAsia="MS Mincho" w:hAnsi="Arial" w:cs="Arial"/>
          <w:b/>
          <w:spacing w:val="20"/>
          <w:sz w:val="24"/>
          <w:szCs w:val="24"/>
          <w:lang w:val="en-ZA" w:eastAsia="en-ZA"/>
        </w:rPr>
        <w:tab/>
      </w:r>
      <w:r w:rsidR="00332FFC">
        <w:rPr>
          <w:rFonts w:ascii="Arial" w:eastAsia="MS Mincho" w:hAnsi="Arial" w:cs="Arial"/>
          <w:b/>
          <w:spacing w:val="20"/>
          <w:sz w:val="24"/>
          <w:szCs w:val="24"/>
          <w:lang w:val="en-ZA" w:eastAsia="en-ZA"/>
        </w:rPr>
        <w:tab/>
      </w:r>
      <w:r w:rsidRPr="00DF4DB5">
        <w:rPr>
          <w:rFonts w:ascii="Arial" w:eastAsia="MS Mincho" w:hAnsi="Arial" w:cs="Arial"/>
          <w:b/>
          <w:spacing w:val="20"/>
          <w:sz w:val="24"/>
          <w:szCs w:val="24"/>
          <w:lang w:val="en-ZA" w:eastAsia="en-ZA"/>
        </w:rPr>
        <w:t>Not Reportable</w:t>
      </w:r>
      <w:r w:rsidRPr="00DF4DB5">
        <w:rPr>
          <w:rFonts w:ascii="Arial" w:eastAsia="MS Mincho" w:hAnsi="Arial" w:cs="Arial"/>
          <w:spacing w:val="20"/>
          <w:sz w:val="24"/>
          <w:szCs w:val="24"/>
          <w:lang w:val="en-ZA" w:eastAsia="en-ZA"/>
        </w:rPr>
        <w:t xml:space="preserve"> </w:t>
      </w:r>
      <w:r w:rsidRPr="00DF4DB5">
        <w:rPr>
          <w:rFonts w:ascii="Arial" w:eastAsia="MS Mincho" w:hAnsi="Arial" w:cs="Arial"/>
          <w:spacing w:val="20"/>
          <w:sz w:val="24"/>
          <w:szCs w:val="24"/>
          <w:lang w:val="en-ZA" w:eastAsia="en-ZA"/>
        </w:rPr>
        <w:tab/>
      </w:r>
      <w:r w:rsidRPr="00DF4DB5">
        <w:rPr>
          <w:rFonts w:ascii="Arial" w:eastAsia="MS Mincho" w:hAnsi="Arial" w:cs="Arial"/>
          <w:spacing w:val="20"/>
          <w:sz w:val="24"/>
          <w:szCs w:val="24"/>
          <w:lang w:val="en-ZA" w:eastAsia="en-ZA"/>
        </w:rPr>
        <w:tab/>
      </w:r>
      <w:r w:rsidRPr="00DF4DB5">
        <w:rPr>
          <w:rFonts w:ascii="Arial" w:eastAsia="MS Mincho" w:hAnsi="Arial" w:cs="Arial"/>
          <w:spacing w:val="20"/>
          <w:sz w:val="24"/>
          <w:szCs w:val="24"/>
          <w:lang w:val="en-ZA" w:eastAsia="en-ZA"/>
        </w:rPr>
        <w:tab/>
      </w:r>
      <w:r w:rsidRPr="00DF4DB5">
        <w:rPr>
          <w:rFonts w:ascii="Arial" w:eastAsia="MS Mincho" w:hAnsi="Arial" w:cs="Arial"/>
          <w:spacing w:val="20"/>
          <w:sz w:val="24"/>
          <w:szCs w:val="24"/>
          <w:lang w:val="en-ZA" w:eastAsia="en-ZA"/>
        </w:rPr>
        <w:tab/>
      </w:r>
      <w:r w:rsidRPr="00DF4DB5">
        <w:rPr>
          <w:rFonts w:ascii="Arial" w:eastAsia="MS Mincho" w:hAnsi="Arial" w:cs="Arial"/>
          <w:spacing w:val="20"/>
          <w:sz w:val="24"/>
          <w:szCs w:val="24"/>
          <w:lang w:val="en-ZA" w:eastAsia="en-ZA"/>
        </w:rPr>
        <w:tab/>
      </w:r>
      <w:r w:rsidRPr="00DF4DB5">
        <w:rPr>
          <w:rFonts w:ascii="Arial" w:eastAsia="MS Mincho" w:hAnsi="Arial" w:cs="Arial"/>
          <w:spacing w:val="20"/>
          <w:sz w:val="24"/>
          <w:szCs w:val="24"/>
          <w:lang w:val="en-ZA" w:eastAsia="en-ZA"/>
        </w:rPr>
        <w:tab/>
        <w:t xml:space="preserve"> Case No: 1154/2022 </w:t>
      </w:r>
    </w:p>
    <w:p w14:paraId="4DCD6094" w14:textId="77777777" w:rsidR="00843451" w:rsidRPr="00DF4DB5" w:rsidRDefault="00843451" w:rsidP="00843451">
      <w:pPr>
        <w:spacing w:after="0" w:line="360" w:lineRule="auto"/>
        <w:jc w:val="both"/>
        <w:rPr>
          <w:rFonts w:ascii="Arial" w:eastAsia="MS Mincho" w:hAnsi="Arial" w:cs="Arial"/>
          <w:b/>
          <w:sz w:val="24"/>
          <w:szCs w:val="24"/>
          <w:lang w:val="en-ZA" w:eastAsia="en-ZA"/>
        </w:rPr>
      </w:pPr>
      <w:r w:rsidRPr="00DF4DB5">
        <w:rPr>
          <w:rFonts w:ascii="Arial" w:eastAsia="MS Mincho" w:hAnsi="Arial" w:cs="Arial"/>
          <w:sz w:val="24"/>
          <w:szCs w:val="24"/>
          <w:lang w:val="en-ZA" w:eastAsia="en-ZA"/>
        </w:rPr>
        <w:tab/>
      </w:r>
      <w:r w:rsidRPr="00DF4DB5">
        <w:rPr>
          <w:rFonts w:ascii="Arial" w:eastAsia="MS Mincho" w:hAnsi="Arial" w:cs="Arial"/>
          <w:sz w:val="24"/>
          <w:szCs w:val="24"/>
          <w:lang w:val="en-ZA" w:eastAsia="en-ZA"/>
        </w:rPr>
        <w:tab/>
      </w:r>
      <w:r w:rsidRPr="00DF4DB5">
        <w:rPr>
          <w:rFonts w:ascii="Arial" w:eastAsia="MS Mincho" w:hAnsi="Arial" w:cs="Arial"/>
          <w:sz w:val="24"/>
          <w:szCs w:val="24"/>
          <w:lang w:val="en-ZA" w:eastAsia="en-ZA"/>
        </w:rPr>
        <w:tab/>
      </w:r>
      <w:r w:rsidRPr="00DF4DB5">
        <w:rPr>
          <w:rFonts w:ascii="Arial" w:eastAsia="MS Mincho" w:hAnsi="Arial" w:cs="Arial"/>
          <w:sz w:val="24"/>
          <w:szCs w:val="24"/>
          <w:lang w:val="en-ZA" w:eastAsia="en-ZA"/>
        </w:rPr>
        <w:tab/>
      </w:r>
      <w:r w:rsidRPr="00DF4DB5">
        <w:rPr>
          <w:rFonts w:ascii="Arial" w:eastAsia="MS Mincho" w:hAnsi="Arial" w:cs="Arial"/>
          <w:sz w:val="24"/>
          <w:szCs w:val="24"/>
          <w:lang w:val="en-ZA" w:eastAsia="en-ZA"/>
        </w:rPr>
        <w:tab/>
        <w:t xml:space="preserve">                      </w:t>
      </w:r>
    </w:p>
    <w:p w14:paraId="5AFEFF48" w14:textId="77777777" w:rsidR="00843451" w:rsidRPr="00DF4DB5" w:rsidRDefault="00843451" w:rsidP="00843451">
      <w:pPr>
        <w:spacing w:after="0" w:line="360" w:lineRule="auto"/>
        <w:jc w:val="both"/>
        <w:rPr>
          <w:rFonts w:ascii="Arial" w:eastAsia="MS Mincho" w:hAnsi="Arial" w:cs="Arial"/>
          <w:sz w:val="24"/>
          <w:szCs w:val="24"/>
          <w:lang w:val="en-ZA" w:eastAsia="en-ZA"/>
        </w:rPr>
      </w:pPr>
      <w:r w:rsidRPr="00DF4DB5">
        <w:rPr>
          <w:rFonts w:ascii="Arial" w:eastAsia="MS Mincho" w:hAnsi="Arial" w:cs="Arial"/>
          <w:sz w:val="24"/>
          <w:szCs w:val="24"/>
          <w:lang w:val="en-ZA" w:eastAsia="en-ZA"/>
        </w:rPr>
        <w:t xml:space="preserve">In the matter between: </w:t>
      </w:r>
    </w:p>
    <w:p w14:paraId="03944E1E" w14:textId="77777777" w:rsidR="00843451" w:rsidRPr="00DF4DB5" w:rsidRDefault="00843451" w:rsidP="00843451">
      <w:pPr>
        <w:spacing w:after="0" w:line="360" w:lineRule="auto"/>
        <w:jc w:val="both"/>
        <w:rPr>
          <w:rFonts w:ascii="Arial" w:eastAsia="MS Mincho" w:hAnsi="Arial" w:cs="Arial"/>
          <w:sz w:val="24"/>
          <w:szCs w:val="24"/>
          <w:lang w:val="en-ZA" w:eastAsia="en-ZA"/>
        </w:rPr>
      </w:pPr>
    </w:p>
    <w:p w14:paraId="6B858A05" w14:textId="77777777" w:rsidR="00843451" w:rsidRPr="00DF4DB5" w:rsidRDefault="00843451" w:rsidP="00765F01">
      <w:pPr>
        <w:spacing w:after="0" w:line="480" w:lineRule="auto"/>
        <w:jc w:val="both"/>
        <w:rPr>
          <w:rFonts w:ascii="Arial" w:eastAsia="MS Mincho" w:hAnsi="Arial" w:cs="Arial"/>
          <w:b/>
          <w:sz w:val="24"/>
          <w:szCs w:val="24"/>
          <w:lang w:val="en-ZA" w:eastAsia="en-ZA"/>
        </w:rPr>
      </w:pPr>
      <w:r w:rsidRPr="00DF4DB5">
        <w:rPr>
          <w:rFonts w:ascii="Arial" w:eastAsia="MS Mincho" w:hAnsi="Arial" w:cs="Arial"/>
          <w:b/>
          <w:bCs/>
          <w:sz w:val="24"/>
          <w:szCs w:val="24"/>
          <w:lang w:val="en-ZA" w:eastAsia="en-ZA"/>
        </w:rPr>
        <w:t xml:space="preserve">MHLONTLO LOCAL MUNICIPALITY          </w:t>
      </w:r>
      <w:r w:rsidRPr="00DF4DB5">
        <w:rPr>
          <w:rFonts w:ascii="Arial" w:eastAsia="MS Mincho" w:hAnsi="Arial" w:cs="Arial"/>
          <w:b/>
          <w:bCs/>
          <w:sz w:val="24"/>
          <w:szCs w:val="24"/>
          <w:lang w:val="en-ZA" w:eastAsia="en-ZA"/>
        </w:rPr>
        <w:tab/>
      </w:r>
      <w:r w:rsidRPr="00DF4DB5">
        <w:rPr>
          <w:rFonts w:ascii="Arial" w:eastAsia="MS Mincho" w:hAnsi="Arial" w:cs="Arial"/>
          <w:b/>
          <w:sz w:val="24"/>
          <w:szCs w:val="24"/>
          <w:lang w:val="en-ZA" w:eastAsia="en-ZA"/>
        </w:rPr>
        <w:tab/>
      </w:r>
      <w:r w:rsidRPr="00DF4DB5">
        <w:rPr>
          <w:rFonts w:ascii="Arial" w:eastAsia="MS Mincho" w:hAnsi="Arial" w:cs="Arial"/>
          <w:b/>
          <w:sz w:val="24"/>
          <w:szCs w:val="24"/>
          <w:lang w:val="en-ZA" w:eastAsia="en-ZA"/>
        </w:rPr>
        <w:tab/>
        <w:t xml:space="preserve"> </w:t>
      </w:r>
      <w:r w:rsidRPr="00DF4DB5">
        <w:rPr>
          <w:rFonts w:ascii="Arial" w:eastAsia="MS Mincho" w:hAnsi="Arial" w:cs="Arial"/>
          <w:b/>
          <w:sz w:val="24"/>
          <w:szCs w:val="24"/>
          <w:lang w:val="en-ZA" w:eastAsia="en-ZA"/>
        </w:rPr>
        <w:tab/>
        <w:t xml:space="preserve">First Appellant </w:t>
      </w:r>
    </w:p>
    <w:p w14:paraId="7D0CD9B3" w14:textId="77777777" w:rsidR="00843451" w:rsidRPr="00DF4DB5" w:rsidRDefault="00843451" w:rsidP="00765F01">
      <w:pPr>
        <w:spacing w:after="0" w:line="480" w:lineRule="auto"/>
        <w:rPr>
          <w:rFonts w:ascii="Arial" w:eastAsia="MS Mincho" w:hAnsi="Arial" w:cs="Arial"/>
          <w:b/>
          <w:bCs/>
          <w:sz w:val="24"/>
          <w:szCs w:val="24"/>
          <w:lang w:val="en-ZA" w:eastAsia="en-ZA"/>
        </w:rPr>
      </w:pPr>
      <w:r w:rsidRPr="00DF4DB5">
        <w:rPr>
          <w:rFonts w:ascii="Arial" w:eastAsia="MS Mincho" w:hAnsi="Arial" w:cs="Arial"/>
          <w:b/>
          <w:sz w:val="24"/>
          <w:szCs w:val="24"/>
          <w:lang w:val="en-ZA" w:eastAsia="en-ZA"/>
        </w:rPr>
        <w:t xml:space="preserve">THE SPEAKER: </w:t>
      </w:r>
      <w:r w:rsidRPr="00DF4DB5">
        <w:rPr>
          <w:rFonts w:ascii="Arial" w:eastAsia="MS Mincho" w:hAnsi="Arial" w:cs="Arial"/>
          <w:b/>
          <w:bCs/>
          <w:sz w:val="24"/>
          <w:szCs w:val="24"/>
          <w:lang w:val="en-ZA" w:eastAsia="en-ZA"/>
        </w:rPr>
        <w:t>MHLONTLO LOCAL MUNICIPALITY</w:t>
      </w:r>
      <w:r w:rsidRPr="00DF4DB5">
        <w:rPr>
          <w:rFonts w:ascii="Arial" w:eastAsia="MS Mincho" w:hAnsi="Arial" w:cs="Arial"/>
          <w:b/>
          <w:bCs/>
          <w:sz w:val="24"/>
          <w:szCs w:val="24"/>
          <w:lang w:val="en-ZA" w:eastAsia="en-ZA"/>
        </w:rPr>
        <w:tab/>
        <w:t xml:space="preserve">      Second Appellant</w:t>
      </w:r>
    </w:p>
    <w:p w14:paraId="710899D7" w14:textId="77777777" w:rsidR="00843451" w:rsidRPr="00DF4DB5" w:rsidRDefault="00843451" w:rsidP="00765F01">
      <w:pPr>
        <w:spacing w:after="0" w:line="480" w:lineRule="auto"/>
        <w:rPr>
          <w:rFonts w:ascii="Arial" w:eastAsia="MS Mincho" w:hAnsi="Arial" w:cs="Arial"/>
          <w:b/>
          <w:bCs/>
          <w:sz w:val="24"/>
          <w:szCs w:val="24"/>
          <w:lang w:val="en-ZA" w:eastAsia="en-ZA"/>
        </w:rPr>
      </w:pPr>
      <w:r w:rsidRPr="00DF4DB5">
        <w:rPr>
          <w:rFonts w:ascii="Arial" w:eastAsia="MS Mincho" w:hAnsi="Arial" w:cs="Arial"/>
          <w:b/>
          <w:bCs/>
          <w:sz w:val="24"/>
          <w:szCs w:val="24"/>
          <w:lang w:val="en-ZA" w:eastAsia="en-ZA"/>
        </w:rPr>
        <w:t xml:space="preserve">THE MUNICIPAL MANAGER: </w:t>
      </w:r>
    </w:p>
    <w:p w14:paraId="7202CA02" w14:textId="77777777" w:rsidR="00843451" w:rsidRPr="00DF4DB5" w:rsidRDefault="00843451" w:rsidP="00765F01">
      <w:pPr>
        <w:spacing w:after="0" w:line="480" w:lineRule="auto"/>
        <w:rPr>
          <w:rFonts w:ascii="Arial" w:eastAsia="MS Mincho" w:hAnsi="Arial" w:cs="Arial"/>
          <w:b/>
          <w:bCs/>
          <w:sz w:val="24"/>
          <w:szCs w:val="24"/>
          <w:lang w:val="en-ZA" w:eastAsia="en-ZA"/>
        </w:rPr>
      </w:pPr>
      <w:r w:rsidRPr="00DF4DB5">
        <w:rPr>
          <w:rFonts w:ascii="Arial" w:eastAsia="MS Mincho" w:hAnsi="Arial" w:cs="Arial"/>
          <w:b/>
          <w:bCs/>
          <w:sz w:val="24"/>
          <w:szCs w:val="24"/>
          <w:lang w:val="en-ZA" w:eastAsia="en-ZA"/>
        </w:rPr>
        <w:t>MHLONTLO LOCAL MUNICIPALITY</w:t>
      </w:r>
      <w:r w:rsidRPr="00DF4DB5">
        <w:rPr>
          <w:rFonts w:ascii="Arial" w:eastAsia="MS Mincho" w:hAnsi="Arial" w:cs="Arial"/>
          <w:b/>
          <w:bCs/>
          <w:sz w:val="24"/>
          <w:szCs w:val="24"/>
          <w:lang w:val="en-ZA" w:eastAsia="en-ZA"/>
        </w:rPr>
        <w:tab/>
      </w:r>
      <w:r w:rsidRPr="00DF4DB5">
        <w:rPr>
          <w:rFonts w:ascii="Arial" w:eastAsia="MS Mincho" w:hAnsi="Arial" w:cs="Arial"/>
          <w:b/>
          <w:bCs/>
          <w:sz w:val="24"/>
          <w:szCs w:val="24"/>
          <w:lang w:val="en-ZA" w:eastAsia="en-ZA"/>
        </w:rPr>
        <w:tab/>
      </w:r>
      <w:r w:rsidRPr="00DF4DB5">
        <w:rPr>
          <w:rFonts w:ascii="Arial" w:eastAsia="MS Mincho" w:hAnsi="Arial" w:cs="Arial"/>
          <w:b/>
          <w:bCs/>
          <w:sz w:val="24"/>
          <w:szCs w:val="24"/>
          <w:lang w:val="en-ZA" w:eastAsia="en-ZA"/>
        </w:rPr>
        <w:tab/>
      </w:r>
      <w:r w:rsidRPr="00DF4DB5">
        <w:rPr>
          <w:rFonts w:ascii="Arial" w:eastAsia="MS Mincho" w:hAnsi="Arial" w:cs="Arial"/>
          <w:b/>
          <w:bCs/>
          <w:sz w:val="24"/>
          <w:szCs w:val="24"/>
          <w:lang w:val="en-ZA" w:eastAsia="en-ZA"/>
        </w:rPr>
        <w:tab/>
      </w:r>
      <w:r w:rsidRPr="00DF4DB5">
        <w:rPr>
          <w:rFonts w:ascii="Arial" w:eastAsia="MS Mincho" w:hAnsi="Arial" w:cs="Arial"/>
          <w:b/>
          <w:bCs/>
          <w:sz w:val="24"/>
          <w:szCs w:val="24"/>
          <w:lang w:val="en-ZA" w:eastAsia="en-ZA"/>
        </w:rPr>
        <w:tab/>
        <w:t>Third Appellant</w:t>
      </w:r>
    </w:p>
    <w:p w14:paraId="700CA722" w14:textId="77777777" w:rsidR="00843451" w:rsidRPr="00DF4DB5" w:rsidRDefault="00843451" w:rsidP="00843451">
      <w:pPr>
        <w:spacing w:after="0" w:line="360" w:lineRule="auto"/>
        <w:rPr>
          <w:rFonts w:ascii="Arial" w:eastAsia="MS Mincho" w:hAnsi="Arial" w:cs="Arial"/>
          <w:b/>
          <w:sz w:val="24"/>
          <w:szCs w:val="24"/>
          <w:lang w:val="en-ZA" w:eastAsia="en-ZA"/>
        </w:rPr>
      </w:pPr>
    </w:p>
    <w:p w14:paraId="3074BFA9" w14:textId="77777777" w:rsidR="00843451" w:rsidRPr="00DF4DB5" w:rsidRDefault="00843451" w:rsidP="00843451">
      <w:pPr>
        <w:spacing w:after="0" w:line="360" w:lineRule="auto"/>
        <w:jc w:val="both"/>
        <w:rPr>
          <w:rFonts w:ascii="Arial" w:eastAsia="MS Mincho" w:hAnsi="Arial" w:cs="Arial"/>
          <w:sz w:val="24"/>
          <w:szCs w:val="24"/>
          <w:lang w:val="en-ZA" w:eastAsia="en-ZA"/>
        </w:rPr>
      </w:pPr>
    </w:p>
    <w:p w14:paraId="09E97710" w14:textId="77777777" w:rsidR="00843451" w:rsidRPr="00DF4DB5" w:rsidRDefault="00843451" w:rsidP="00843451">
      <w:pPr>
        <w:spacing w:after="0" w:line="360" w:lineRule="auto"/>
        <w:jc w:val="both"/>
        <w:rPr>
          <w:rFonts w:ascii="Arial" w:eastAsia="MS Mincho" w:hAnsi="Arial" w:cs="Arial"/>
          <w:b/>
          <w:sz w:val="24"/>
          <w:szCs w:val="24"/>
          <w:lang w:val="en-ZA" w:eastAsia="en-ZA"/>
        </w:rPr>
      </w:pPr>
      <w:r w:rsidRPr="00DF4DB5">
        <w:rPr>
          <w:rFonts w:ascii="Arial" w:eastAsia="MS Mincho" w:hAnsi="Arial" w:cs="Arial"/>
          <w:b/>
          <w:sz w:val="24"/>
          <w:szCs w:val="24"/>
          <w:lang w:val="en-ZA" w:eastAsia="en-ZA"/>
        </w:rPr>
        <w:t>and</w:t>
      </w:r>
    </w:p>
    <w:p w14:paraId="5C894AEC" w14:textId="77777777" w:rsidR="00843451" w:rsidRPr="00DF4DB5" w:rsidRDefault="00843451" w:rsidP="00843451">
      <w:pPr>
        <w:spacing w:after="0" w:line="360" w:lineRule="auto"/>
        <w:jc w:val="both"/>
        <w:rPr>
          <w:rFonts w:ascii="Arial" w:eastAsia="MS Mincho" w:hAnsi="Arial" w:cs="Arial"/>
          <w:sz w:val="24"/>
          <w:szCs w:val="24"/>
          <w:lang w:val="en-ZA" w:eastAsia="en-ZA"/>
        </w:rPr>
      </w:pPr>
    </w:p>
    <w:p w14:paraId="1A0C1CB9" w14:textId="455382D2" w:rsidR="00843451" w:rsidRPr="00DF4DB5" w:rsidRDefault="00843451" w:rsidP="00765F01">
      <w:pPr>
        <w:spacing w:after="0" w:line="480" w:lineRule="auto"/>
        <w:jc w:val="both"/>
        <w:rPr>
          <w:rFonts w:ascii="Arial" w:eastAsia="MS Mincho" w:hAnsi="Arial" w:cs="Arial"/>
          <w:b/>
          <w:spacing w:val="20"/>
          <w:sz w:val="24"/>
          <w:szCs w:val="24"/>
          <w:lang w:val="en-ZA" w:eastAsia="en-ZA"/>
        </w:rPr>
      </w:pPr>
      <w:r w:rsidRPr="00DF4DB5">
        <w:rPr>
          <w:rFonts w:ascii="Arial" w:eastAsia="MS Mincho" w:hAnsi="Arial" w:cs="Arial"/>
          <w:b/>
          <w:spacing w:val="20"/>
          <w:sz w:val="24"/>
          <w:szCs w:val="24"/>
          <w:lang w:val="en-ZA" w:eastAsia="en-ZA"/>
        </w:rPr>
        <w:t xml:space="preserve">GCINIKHAYA NGCANGULA </w:t>
      </w:r>
      <w:r w:rsidRPr="00DF4DB5">
        <w:rPr>
          <w:rFonts w:ascii="Arial" w:eastAsia="MS Mincho" w:hAnsi="Arial" w:cs="Arial"/>
          <w:b/>
          <w:spacing w:val="20"/>
          <w:sz w:val="24"/>
          <w:szCs w:val="24"/>
          <w:lang w:val="en-ZA" w:eastAsia="en-ZA"/>
        </w:rPr>
        <w:tab/>
        <w:t xml:space="preserve">    </w:t>
      </w:r>
      <w:r w:rsidRPr="00DF4DB5">
        <w:rPr>
          <w:rFonts w:ascii="Arial" w:eastAsia="MS Mincho" w:hAnsi="Arial" w:cs="Arial"/>
          <w:b/>
          <w:spacing w:val="20"/>
          <w:sz w:val="24"/>
          <w:szCs w:val="24"/>
          <w:lang w:val="en-ZA" w:eastAsia="en-ZA"/>
        </w:rPr>
        <w:tab/>
        <w:t xml:space="preserve">    </w:t>
      </w:r>
      <w:r w:rsidRPr="00DF4DB5">
        <w:rPr>
          <w:rFonts w:ascii="Arial" w:eastAsia="MS Mincho" w:hAnsi="Arial" w:cs="Arial"/>
          <w:b/>
          <w:spacing w:val="20"/>
          <w:sz w:val="24"/>
          <w:szCs w:val="24"/>
          <w:lang w:val="en-ZA" w:eastAsia="en-ZA"/>
        </w:rPr>
        <w:tab/>
        <w:t xml:space="preserve">   </w:t>
      </w:r>
      <w:r w:rsidR="003B3752" w:rsidRPr="00DF4DB5">
        <w:rPr>
          <w:rFonts w:ascii="Arial" w:eastAsia="MS Mincho" w:hAnsi="Arial" w:cs="Arial"/>
          <w:b/>
          <w:spacing w:val="20"/>
          <w:sz w:val="24"/>
          <w:szCs w:val="24"/>
          <w:lang w:val="en-ZA" w:eastAsia="en-ZA"/>
        </w:rPr>
        <w:tab/>
        <w:t xml:space="preserve"> First</w:t>
      </w:r>
      <w:r w:rsidRPr="00DF4DB5">
        <w:rPr>
          <w:rFonts w:ascii="Arial" w:eastAsia="MS Mincho" w:hAnsi="Arial" w:cs="Arial"/>
          <w:b/>
          <w:spacing w:val="20"/>
          <w:sz w:val="24"/>
          <w:szCs w:val="24"/>
          <w:lang w:val="en-ZA" w:eastAsia="en-ZA"/>
        </w:rPr>
        <w:t xml:space="preserve"> Respondent</w:t>
      </w:r>
    </w:p>
    <w:p w14:paraId="5DB6A8A4" w14:textId="42FC6192" w:rsidR="00843451" w:rsidRPr="00DF4DB5" w:rsidRDefault="00843451" w:rsidP="00765F01">
      <w:pPr>
        <w:spacing w:after="0" w:line="480" w:lineRule="auto"/>
        <w:jc w:val="both"/>
        <w:rPr>
          <w:rFonts w:ascii="Arial" w:eastAsia="MS Mincho" w:hAnsi="Arial" w:cs="Arial"/>
          <w:b/>
          <w:spacing w:val="20"/>
          <w:sz w:val="24"/>
          <w:szCs w:val="24"/>
          <w:lang w:val="en-ZA" w:eastAsia="en-ZA"/>
        </w:rPr>
      </w:pPr>
      <w:r w:rsidRPr="00DF4DB5">
        <w:rPr>
          <w:rFonts w:ascii="Arial" w:eastAsia="MS Mincho" w:hAnsi="Arial" w:cs="Arial"/>
          <w:b/>
          <w:spacing w:val="20"/>
          <w:sz w:val="24"/>
          <w:szCs w:val="24"/>
          <w:lang w:val="en-ZA" w:eastAsia="en-ZA"/>
        </w:rPr>
        <w:t>MALIBONGWE NQEK</w:t>
      </w:r>
      <w:r w:rsidR="00243B1B" w:rsidRPr="00DF4DB5">
        <w:rPr>
          <w:rFonts w:ascii="Arial" w:eastAsia="MS Mincho" w:hAnsi="Arial" w:cs="Arial"/>
          <w:b/>
          <w:spacing w:val="20"/>
          <w:sz w:val="24"/>
          <w:szCs w:val="24"/>
          <w:lang w:val="en-ZA" w:eastAsia="en-ZA"/>
        </w:rPr>
        <w:t>E</w:t>
      </w:r>
      <w:r w:rsidRPr="00DF4DB5">
        <w:rPr>
          <w:rFonts w:ascii="Arial" w:eastAsia="MS Mincho" w:hAnsi="Arial" w:cs="Arial"/>
          <w:b/>
          <w:spacing w:val="20"/>
          <w:sz w:val="24"/>
          <w:szCs w:val="24"/>
          <w:lang w:val="en-ZA" w:eastAsia="en-ZA"/>
        </w:rPr>
        <w:t>THO</w:t>
      </w:r>
      <w:r w:rsidRPr="00DF4DB5">
        <w:rPr>
          <w:rFonts w:ascii="Arial" w:eastAsia="MS Mincho" w:hAnsi="Arial" w:cs="Arial"/>
          <w:b/>
          <w:spacing w:val="20"/>
          <w:sz w:val="24"/>
          <w:szCs w:val="24"/>
          <w:lang w:val="en-ZA" w:eastAsia="en-ZA"/>
        </w:rPr>
        <w:tab/>
      </w:r>
      <w:r w:rsidRPr="00DF4DB5">
        <w:rPr>
          <w:rFonts w:ascii="Arial" w:eastAsia="MS Mincho" w:hAnsi="Arial" w:cs="Arial"/>
          <w:b/>
          <w:spacing w:val="20"/>
          <w:sz w:val="24"/>
          <w:szCs w:val="24"/>
          <w:lang w:val="en-ZA" w:eastAsia="en-ZA"/>
        </w:rPr>
        <w:tab/>
      </w:r>
      <w:r w:rsidRPr="00DF4DB5">
        <w:rPr>
          <w:rFonts w:ascii="Arial" w:eastAsia="MS Mincho" w:hAnsi="Arial" w:cs="Arial"/>
          <w:b/>
          <w:spacing w:val="20"/>
          <w:sz w:val="24"/>
          <w:szCs w:val="24"/>
          <w:lang w:val="en-ZA" w:eastAsia="en-ZA"/>
        </w:rPr>
        <w:tab/>
      </w:r>
      <w:r w:rsidRPr="00DF4DB5">
        <w:rPr>
          <w:rFonts w:ascii="Arial" w:eastAsia="MS Mincho" w:hAnsi="Arial" w:cs="Arial"/>
          <w:b/>
          <w:spacing w:val="20"/>
          <w:sz w:val="24"/>
          <w:szCs w:val="24"/>
          <w:lang w:val="en-ZA" w:eastAsia="en-ZA"/>
        </w:rPr>
        <w:tab/>
        <w:t xml:space="preserve">      Second Respondent</w:t>
      </w:r>
    </w:p>
    <w:p w14:paraId="437087B3" w14:textId="77777777" w:rsidR="00843451" w:rsidRPr="00DF4DB5" w:rsidRDefault="00843451" w:rsidP="00765F01">
      <w:pPr>
        <w:spacing w:after="0" w:line="480" w:lineRule="auto"/>
        <w:jc w:val="both"/>
        <w:rPr>
          <w:rFonts w:ascii="Arial" w:eastAsia="MS Mincho" w:hAnsi="Arial" w:cs="Arial"/>
          <w:b/>
          <w:spacing w:val="20"/>
          <w:sz w:val="24"/>
          <w:szCs w:val="24"/>
          <w:lang w:val="en-ZA" w:eastAsia="en-ZA"/>
        </w:rPr>
      </w:pPr>
    </w:p>
    <w:p w14:paraId="4F12BBFD" w14:textId="73B174B6" w:rsidR="00843451" w:rsidRPr="00DF4DB5" w:rsidRDefault="00843451" w:rsidP="00843451">
      <w:pPr>
        <w:spacing w:after="0" w:line="360" w:lineRule="auto"/>
        <w:ind w:left="2160" w:hanging="2160"/>
        <w:jc w:val="both"/>
        <w:rPr>
          <w:rFonts w:ascii="Arial" w:hAnsi="Arial"/>
          <w:sz w:val="24"/>
          <w:szCs w:val="28"/>
        </w:rPr>
      </w:pPr>
      <w:r w:rsidRPr="00DF4DB5">
        <w:rPr>
          <w:rFonts w:ascii="Arial" w:hAnsi="Arial"/>
          <w:b/>
          <w:bCs/>
          <w:sz w:val="24"/>
          <w:szCs w:val="28"/>
        </w:rPr>
        <w:t>Neutral citation:</w:t>
      </w:r>
      <w:r w:rsidRPr="00DF4DB5">
        <w:rPr>
          <w:rFonts w:ascii="Arial" w:hAnsi="Arial"/>
          <w:bCs/>
          <w:sz w:val="24"/>
          <w:szCs w:val="28"/>
        </w:rPr>
        <w:tab/>
      </w:r>
      <w:r w:rsidRPr="00A12430">
        <w:rPr>
          <w:rFonts w:ascii="Arial" w:eastAsia="MS Mincho" w:hAnsi="Arial" w:cs="Arial"/>
          <w:bCs/>
          <w:i/>
          <w:iCs/>
          <w:sz w:val="24"/>
          <w:szCs w:val="24"/>
          <w:lang w:val="en-ZA" w:eastAsia="en-ZA"/>
        </w:rPr>
        <w:t xml:space="preserve">Mhlontlo Local Municipality &amp; 2 others v </w:t>
      </w:r>
      <w:r w:rsidRPr="00A12430">
        <w:rPr>
          <w:rFonts w:ascii="Arial" w:eastAsia="MS Mincho" w:hAnsi="Arial" w:cs="Arial"/>
          <w:i/>
          <w:iCs/>
          <w:spacing w:val="20"/>
          <w:sz w:val="24"/>
          <w:szCs w:val="24"/>
          <w:lang w:val="en-ZA" w:eastAsia="en-ZA"/>
        </w:rPr>
        <w:t>Ngcangula</w:t>
      </w:r>
      <w:r w:rsidRPr="00DF4DB5">
        <w:rPr>
          <w:rFonts w:ascii="Arial" w:hAnsi="Arial"/>
          <w:bCs/>
          <w:i/>
          <w:sz w:val="24"/>
          <w:szCs w:val="28"/>
        </w:rPr>
        <w:t xml:space="preserve"> </w:t>
      </w:r>
      <w:r w:rsidR="00DA747C" w:rsidRPr="00DF4DB5">
        <w:rPr>
          <w:rFonts w:ascii="Arial" w:hAnsi="Arial"/>
          <w:bCs/>
          <w:i/>
          <w:sz w:val="24"/>
          <w:szCs w:val="28"/>
        </w:rPr>
        <w:t xml:space="preserve">and </w:t>
      </w:r>
      <w:r w:rsidRPr="00DF4DB5">
        <w:rPr>
          <w:rFonts w:ascii="Arial" w:hAnsi="Arial"/>
          <w:bCs/>
          <w:i/>
          <w:sz w:val="24"/>
          <w:szCs w:val="28"/>
        </w:rPr>
        <w:t xml:space="preserve"> Another </w:t>
      </w:r>
      <w:r w:rsidRPr="00DF4DB5">
        <w:rPr>
          <w:rFonts w:ascii="Arial" w:hAnsi="Arial"/>
          <w:bCs/>
          <w:sz w:val="24"/>
          <w:szCs w:val="28"/>
        </w:rPr>
        <w:t>(Case no 1154/2022) [202</w:t>
      </w:r>
      <w:r w:rsidR="00DC49EE" w:rsidRPr="00DF4DB5">
        <w:rPr>
          <w:rFonts w:ascii="Arial" w:hAnsi="Arial"/>
          <w:bCs/>
          <w:sz w:val="24"/>
          <w:szCs w:val="28"/>
        </w:rPr>
        <w:t>4</w:t>
      </w:r>
      <w:r w:rsidR="0064619C">
        <w:rPr>
          <w:rFonts w:ascii="Arial" w:hAnsi="Arial"/>
          <w:bCs/>
          <w:sz w:val="24"/>
          <w:szCs w:val="28"/>
        </w:rPr>
        <w:t>] ZASCA 5</w:t>
      </w:r>
      <w:r w:rsidRPr="00DF4DB5">
        <w:rPr>
          <w:rFonts w:ascii="Arial" w:hAnsi="Arial"/>
          <w:bCs/>
          <w:sz w:val="24"/>
          <w:szCs w:val="28"/>
        </w:rPr>
        <w:t xml:space="preserve"> (</w:t>
      </w:r>
      <w:r w:rsidR="00DC49EE" w:rsidRPr="00DF4DB5">
        <w:rPr>
          <w:rFonts w:ascii="Arial" w:hAnsi="Arial"/>
          <w:bCs/>
          <w:sz w:val="24"/>
          <w:szCs w:val="28"/>
        </w:rPr>
        <w:t>January 2024</w:t>
      </w:r>
      <w:r w:rsidRPr="00DF4DB5">
        <w:rPr>
          <w:rFonts w:ascii="Arial" w:hAnsi="Arial"/>
          <w:bCs/>
          <w:sz w:val="24"/>
          <w:szCs w:val="28"/>
        </w:rPr>
        <w:t>)</w:t>
      </w:r>
    </w:p>
    <w:p w14:paraId="1CC2AA36" w14:textId="77777777" w:rsidR="00843451" w:rsidRPr="00DF4DB5" w:rsidRDefault="00843451" w:rsidP="00C10D08">
      <w:pPr>
        <w:spacing w:after="0" w:line="360" w:lineRule="auto"/>
        <w:ind w:left="2160" w:hanging="2160"/>
        <w:jc w:val="both"/>
        <w:rPr>
          <w:rFonts w:ascii="Arial" w:hAnsi="Arial"/>
          <w:bCs/>
          <w:iCs/>
          <w:sz w:val="24"/>
          <w:szCs w:val="28"/>
        </w:rPr>
      </w:pPr>
      <w:r w:rsidRPr="00DF4DB5">
        <w:rPr>
          <w:rFonts w:ascii="Arial" w:hAnsi="Arial"/>
          <w:b/>
          <w:bCs/>
          <w:sz w:val="24"/>
          <w:szCs w:val="28"/>
        </w:rPr>
        <w:t>Coram:</w:t>
      </w:r>
      <w:r w:rsidRPr="00DF4DB5">
        <w:rPr>
          <w:rFonts w:ascii="Arial" w:hAnsi="Arial"/>
          <w:sz w:val="24"/>
          <w:szCs w:val="28"/>
        </w:rPr>
        <w:tab/>
      </w:r>
      <w:r w:rsidR="00352BC9" w:rsidRPr="00DF4DB5">
        <w:rPr>
          <w:rFonts w:ascii="Arial" w:hAnsi="Arial"/>
          <w:sz w:val="24"/>
          <w:szCs w:val="28"/>
        </w:rPr>
        <w:t xml:space="preserve">NICHOLLS, CARELSE and MATOJANE JJA and </w:t>
      </w:r>
      <w:r w:rsidRPr="00DF4DB5">
        <w:rPr>
          <w:rFonts w:ascii="Arial" w:hAnsi="Arial"/>
          <w:sz w:val="24"/>
          <w:szCs w:val="28"/>
        </w:rPr>
        <w:t xml:space="preserve">CHETTY and </w:t>
      </w:r>
      <w:r w:rsidR="00352BC9" w:rsidRPr="00DF4DB5">
        <w:rPr>
          <w:rFonts w:ascii="Arial" w:hAnsi="Arial"/>
          <w:sz w:val="24"/>
          <w:szCs w:val="28"/>
        </w:rPr>
        <w:t xml:space="preserve">TOKOTA </w:t>
      </w:r>
      <w:r w:rsidRPr="00DF4DB5">
        <w:rPr>
          <w:rFonts w:ascii="Arial" w:hAnsi="Arial"/>
          <w:sz w:val="24"/>
          <w:szCs w:val="28"/>
        </w:rPr>
        <w:t>AJJA</w:t>
      </w:r>
    </w:p>
    <w:p w14:paraId="7308902A" w14:textId="77777777" w:rsidR="00843451" w:rsidRPr="00DF4DB5" w:rsidRDefault="00843451" w:rsidP="00843451">
      <w:pPr>
        <w:spacing w:after="0" w:line="360" w:lineRule="auto"/>
        <w:jc w:val="both"/>
        <w:rPr>
          <w:rFonts w:ascii="Arial" w:hAnsi="Arial"/>
          <w:bCs/>
          <w:sz w:val="24"/>
          <w:szCs w:val="28"/>
        </w:rPr>
      </w:pPr>
      <w:r w:rsidRPr="00DF4DB5">
        <w:rPr>
          <w:rFonts w:ascii="Arial" w:hAnsi="Arial"/>
          <w:b/>
          <w:bCs/>
          <w:sz w:val="24"/>
          <w:szCs w:val="28"/>
        </w:rPr>
        <w:t>Heard</w:t>
      </w:r>
      <w:r w:rsidRPr="00DF4DB5">
        <w:rPr>
          <w:rFonts w:ascii="Arial" w:hAnsi="Arial"/>
          <w:b/>
          <w:sz w:val="24"/>
          <w:szCs w:val="28"/>
        </w:rPr>
        <w:t>:</w:t>
      </w:r>
      <w:r w:rsidRPr="00DF4DB5">
        <w:rPr>
          <w:rFonts w:ascii="Arial" w:hAnsi="Arial"/>
          <w:sz w:val="24"/>
          <w:szCs w:val="28"/>
        </w:rPr>
        <w:tab/>
      </w:r>
      <w:r w:rsidR="00D43E92" w:rsidRPr="00DF4DB5">
        <w:rPr>
          <w:rFonts w:ascii="Arial" w:hAnsi="Arial"/>
          <w:sz w:val="24"/>
          <w:szCs w:val="28"/>
        </w:rPr>
        <w:tab/>
      </w:r>
      <w:r w:rsidR="00352BC9" w:rsidRPr="00DF4DB5">
        <w:rPr>
          <w:rFonts w:ascii="Arial" w:hAnsi="Arial"/>
          <w:sz w:val="24"/>
          <w:szCs w:val="28"/>
        </w:rPr>
        <w:t>24 November 2023</w:t>
      </w:r>
      <w:r w:rsidRPr="00DF4DB5">
        <w:rPr>
          <w:rFonts w:ascii="Arial" w:hAnsi="Arial"/>
          <w:sz w:val="24"/>
          <w:szCs w:val="28"/>
        </w:rPr>
        <w:t xml:space="preserve"> </w:t>
      </w:r>
    </w:p>
    <w:p w14:paraId="2A8F7E17" w14:textId="5F62779A" w:rsidR="00843451" w:rsidRPr="001F4DEA" w:rsidRDefault="00843451" w:rsidP="00843451">
      <w:pPr>
        <w:spacing w:after="0" w:line="360" w:lineRule="auto"/>
        <w:jc w:val="both"/>
        <w:rPr>
          <w:rFonts w:ascii="Arial" w:hAnsi="Arial"/>
          <w:b/>
          <w:sz w:val="24"/>
          <w:szCs w:val="24"/>
        </w:rPr>
      </w:pPr>
      <w:r w:rsidRPr="00DF4DB5">
        <w:rPr>
          <w:rFonts w:ascii="Arial" w:hAnsi="Arial"/>
          <w:b/>
          <w:bCs/>
          <w:sz w:val="24"/>
          <w:szCs w:val="28"/>
        </w:rPr>
        <w:lastRenderedPageBreak/>
        <w:t>Delivered</w:t>
      </w:r>
      <w:r w:rsidRPr="00DF4DB5">
        <w:rPr>
          <w:rFonts w:ascii="Arial" w:hAnsi="Arial"/>
          <w:b/>
          <w:sz w:val="24"/>
          <w:szCs w:val="28"/>
        </w:rPr>
        <w:t>:</w:t>
      </w:r>
      <w:r w:rsidR="00A12430">
        <w:rPr>
          <w:rFonts w:ascii="Arial" w:hAnsi="Arial"/>
          <w:b/>
          <w:sz w:val="24"/>
          <w:szCs w:val="28"/>
        </w:rPr>
        <w:tab/>
      </w:r>
      <w:r w:rsidR="00A12430">
        <w:rPr>
          <w:rFonts w:ascii="Arial" w:hAnsi="Arial"/>
          <w:b/>
          <w:sz w:val="24"/>
          <w:szCs w:val="28"/>
        </w:rPr>
        <w:tab/>
      </w:r>
      <w:r w:rsidR="001F4DEA" w:rsidRPr="001F4DEA">
        <w:rPr>
          <w:rFonts w:ascii="Arial" w:hAnsi="Arial" w:cs="Arial"/>
          <w:color w:val="242121"/>
          <w:sz w:val="24"/>
          <w:szCs w:val="24"/>
          <w:shd w:val="clear" w:color="auto" w:fill="FFFFFF"/>
        </w:rPr>
        <w:t xml:space="preserve">This judgment was handed down electronically by circulation to the parties’ representatives via email, publication on the Supreme Court of Appeal website and release to SAFLII. The date and time of hand-down is deemed to be 11:00 am on </w:t>
      </w:r>
      <w:r w:rsidR="001F4DEA">
        <w:rPr>
          <w:rFonts w:ascii="Arial" w:hAnsi="Arial" w:cs="Arial"/>
          <w:color w:val="242121"/>
          <w:sz w:val="24"/>
          <w:szCs w:val="24"/>
          <w:shd w:val="clear" w:color="auto" w:fill="FFFFFF"/>
        </w:rPr>
        <w:t xml:space="preserve">17 </w:t>
      </w:r>
      <w:r w:rsidR="001F4DEA" w:rsidRPr="001F4DEA">
        <w:rPr>
          <w:rFonts w:ascii="Arial" w:hAnsi="Arial" w:cs="Arial"/>
          <w:color w:val="242121"/>
          <w:sz w:val="24"/>
          <w:szCs w:val="24"/>
          <w:shd w:val="clear" w:color="auto" w:fill="FFFFFF"/>
        </w:rPr>
        <w:t>January 2024.</w:t>
      </w:r>
    </w:p>
    <w:p w14:paraId="5DE5024F" w14:textId="77777777" w:rsidR="00843451" w:rsidRPr="00DF4DB5" w:rsidRDefault="00843451" w:rsidP="00843451">
      <w:pPr>
        <w:spacing w:after="0" w:line="360" w:lineRule="auto"/>
        <w:jc w:val="both"/>
        <w:rPr>
          <w:rFonts w:ascii="Arial" w:eastAsia="MS Mincho" w:hAnsi="Arial" w:cs="Arial"/>
          <w:b/>
          <w:sz w:val="24"/>
          <w:szCs w:val="24"/>
          <w:lang w:val="en-ZA" w:eastAsia="en-ZA"/>
        </w:rPr>
      </w:pPr>
      <w:r w:rsidRPr="00DF4DB5">
        <w:rPr>
          <w:rFonts w:ascii="Arial" w:hAnsi="Arial"/>
          <w:b/>
          <w:sz w:val="24"/>
          <w:szCs w:val="28"/>
        </w:rPr>
        <w:tab/>
      </w:r>
    </w:p>
    <w:p w14:paraId="35967541" w14:textId="4B14C15C" w:rsidR="001D41BC" w:rsidRPr="00DF4DB5" w:rsidRDefault="00843451" w:rsidP="009223BA">
      <w:pPr>
        <w:spacing w:after="0" w:line="360" w:lineRule="auto"/>
        <w:jc w:val="both"/>
        <w:rPr>
          <w:rFonts w:ascii="Arial" w:eastAsia="MS Mincho" w:hAnsi="Arial" w:cs="Arial"/>
          <w:sz w:val="24"/>
          <w:szCs w:val="24"/>
          <w:lang w:val="en-ZA" w:eastAsia="en-ZA"/>
        </w:rPr>
      </w:pPr>
      <w:r w:rsidRPr="00DF4DB5">
        <w:rPr>
          <w:rFonts w:ascii="Arial" w:eastAsia="MS Mincho" w:hAnsi="Arial" w:cs="Arial"/>
          <w:b/>
          <w:sz w:val="24"/>
          <w:szCs w:val="24"/>
          <w:lang w:val="en-ZA" w:eastAsia="en-ZA"/>
        </w:rPr>
        <w:t>Summary:</w:t>
      </w:r>
      <w:r w:rsidRPr="00DF4DB5">
        <w:rPr>
          <w:rFonts w:ascii="Arial" w:eastAsia="MS Mincho" w:hAnsi="Arial" w:cs="Arial"/>
          <w:sz w:val="24"/>
          <w:szCs w:val="24"/>
          <w:lang w:val="en-ZA" w:eastAsia="en-ZA"/>
        </w:rPr>
        <w:t xml:space="preserve"> </w:t>
      </w:r>
      <w:r w:rsidR="00765F01" w:rsidRPr="00DF4DB5">
        <w:rPr>
          <w:rFonts w:ascii="Arial" w:eastAsia="MS Mincho" w:hAnsi="Arial" w:cs="Arial"/>
          <w:sz w:val="24"/>
          <w:szCs w:val="24"/>
          <w:lang w:val="en-ZA" w:eastAsia="en-ZA"/>
        </w:rPr>
        <w:t>Jurisdiction of the high c</w:t>
      </w:r>
      <w:r w:rsidR="00C04A25" w:rsidRPr="00DF4DB5">
        <w:rPr>
          <w:rFonts w:ascii="Arial" w:eastAsia="MS Mincho" w:hAnsi="Arial" w:cs="Arial"/>
          <w:sz w:val="24"/>
          <w:szCs w:val="24"/>
          <w:lang w:val="en-ZA" w:eastAsia="en-ZA"/>
        </w:rPr>
        <w:t xml:space="preserve">ourt – </w:t>
      </w:r>
      <w:r w:rsidR="009223BA" w:rsidRPr="00DF4DB5">
        <w:rPr>
          <w:rFonts w:ascii="Arial" w:eastAsia="MS Mincho" w:hAnsi="Arial" w:cs="Arial"/>
          <w:sz w:val="24"/>
          <w:szCs w:val="24"/>
          <w:lang w:val="en-ZA" w:eastAsia="en-ZA"/>
        </w:rPr>
        <w:t xml:space="preserve">whether withdrawal of salary increment constitutes a breach of contract of employment – jurisdiction of civil courts in terms of s 77(3) of the Basic Conditions of Employment Act. </w:t>
      </w:r>
      <w:r w:rsidR="002A0E8E" w:rsidRPr="00DF4DB5">
        <w:rPr>
          <w:rFonts w:ascii="Arial" w:eastAsia="MS Mincho" w:hAnsi="Arial" w:cs="Arial"/>
          <w:sz w:val="24"/>
          <w:szCs w:val="24"/>
          <w:lang w:val="en-ZA" w:eastAsia="en-ZA"/>
        </w:rPr>
        <w:t xml:space="preserve">Analysis of pleadings </w:t>
      </w:r>
      <w:r w:rsidR="005D1473" w:rsidRPr="00DF4DB5">
        <w:rPr>
          <w:rFonts w:ascii="Arial" w:eastAsia="MS Mincho" w:hAnsi="Arial" w:cs="Arial"/>
          <w:sz w:val="24"/>
          <w:szCs w:val="24"/>
          <w:lang w:val="en-ZA" w:eastAsia="en-ZA"/>
        </w:rPr>
        <w:t>–</w:t>
      </w:r>
      <w:r w:rsidR="009223BA" w:rsidRPr="00DF4DB5">
        <w:rPr>
          <w:rFonts w:ascii="Arial" w:eastAsia="MS Mincho" w:hAnsi="Arial" w:cs="Arial"/>
          <w:sz w:val="24"/>
          <w:szCs w:val="24"/>
          <w:lang w:val="en-ZA" w:eastAsia="en-ZA"/>
        </w:rPr>
        <w:t xml:space="preserve"> </w:t>
      </w:r>
      <w:r w:rsidR="002A0E8E" w:rsidRPr="00DF4DB5">
        <w:rPr>
          <w:rFonts w:ascii="Arial" w:eastAsia="MS Mincho" w:hAnsi="Arial" w:cs="Arial"/>
          <w:sz w:val="24"/>
          <w:szCs w:val="24"/>
          <w:lang w:val="en-ZA" w:eastAsia="en-ZA"/>
        </w:rPr>
        <w:t>decisive in determining jurisdiction.</w:t>
      </w:r>
      <w:r w:rsidR="007D0CD6" w:rsidRPr="00DF4DB5">
        <w:rPr>
          <w:rFonts w:ascii="Arial" w:eastAsia="MS Mincho" w:hAnsi="Arial" w:cs="Arial"/>
          <w:sz w:val="24"/>
          <w:szCs w:val="24"/>
          <w:lang w:val="en-ZA" w:eastAsia="en-ZA"/>
        </w:rPr>
        <w:t xml:space="preserve"> </w:t>
      </w:r>
      <w:r w:rsidR="009223BA" w:rsidRPr="00DF4DB5">
        <w:rPr>
          <w:rFonts w:ascii="Arial" w:eastAsia="MS Mincho" w:hAnsi="Arial" w:cs="Arial"/>
          <w:sz w:val="24"/>
          <w:szCs w:val="24"/>
          <w:lang w:val="en-ZA" w:eastAsia="en-ZA"/>
        </w:rPr>
        <w:t>W</w:t>
      </w:r>
      <w:r w:rsidR="005026D3" w:rsidRPr="00DF4DB5">
        <w:rPr>
          <w:rFonts w:ascii="Arial" w:eastAsia="MS Mincho" w:hAnsi="Arial" w:cs="Arial"/>
          <w:sz w:val="24"/>
          <w:szCs w:val="24"/>
          <w:lang w:val="en-ZA" w:eastAsia="en-ZA"/>
        </w:rPr>
        <w:t xml:space="preserve">hether </w:t>
      </w:r>
      <w:r w:rsidR="002C3F1E" w:rsidRPr="00DF4DB5">
        <w:rPr>
          <w:rFonts w:ascii="Arial" w:eastAsia="MS Mincho" w:hAnsi="Arial" w:cs="Arial"/>
          <w:sz w:val="24"/>
          <w:szCs w:val="24"/>
          <w:lang w:val="en-ZA" w:eastAsia="en-ZA"/>
        </w:rPr>
        <w:t>subsequent payment</w:t>
      </w:r>
      <w:r w:rsidR="005026D3" w:rsidRPr="00DF4DB5">
        <w:rPr>
          <w:rFonts w:ascii="Arial" w:eastAsia="MS Mincho" w:hAnsi="Arial" w:cs="Arial"/>
          <w:sz w:val="24"/>
          <w:szCs w:val="24"/>
          <w:lang w:val="en-ZA" w:eastAsia="en-ZA"/>
        </w:rPr>
        <w:t xml:space="preserve"> to the respondents</w:t>
      </w:r>
      <w:r w:rsidR="002C3F1E" w:rsidRPr="00DF4DB5">
        <w:rPr>
          <w:rFonts w:ascii="Arial" w:eastAsia="MS Mincho" w:hAnsi="Arial" w:cs="Arial"/>
          <w:sz w:val="24"/>
          <w:szCs w:val="24"/>
          <w:lang w:val="en-ZA" w:eastAsia="en-ZA"/>
        </w:rPr>
        <w:t xml:space="preserve"> after </w:t>
      </w:r>
      <w:r w:rsidR="009223BA" w:rsidRPr="00DF4DB5">
        <w:rPr>
          <w:rFonts w:ascii="Arial" w:eastAsia="MS Mincho" w:hAnsi="Arial" w:cs="Arial"/>
          <w:sz w:val="24"/>
          <w:szCs w:val="24"/>
          <w:lang w:val="en-ZA" w:eastAsia="en-ZA"/>
        </w:rPr>
        <w:t xml:space="preserve">obtaining </w:t>
      </w:r>
      <w:r w:rsidR="002C3F1E" w:rsidRPr="00DF4DB5">
        <w:rPr>
          <w:rFonts w:ascii="Arial" w:eastAsia="MS Mincho" w:hAnsi="Arial" w:cs="Arial"/>
          <w:sz w:val="24"/>
          <w:szCs w:val="24"/>
          <w:lang w:val="en-ZA" w:eastAsia="en-ZA"/>
        </w:rPr>
        <w:t xml:space="preserve">leave to appeal results in the appeal being </w:t>
      </w:r>
      <w:r w:rsidR="008F2C86">
        <w:rPr>
          <w:rFonts w:ascii="Arial" w:eastAsia="MS Mincho" w:hAnsi="Arial" w:cs="Arial"/>
          <w:sz w:val="24"/>
          <w:szCs w:val="24"/>
          <w:lang w:val="en-ZA" w:eastAsia="en-ZA"/>
        </w:rPr>
        <w:t>per</w:t>
      </w:r>
      <w:r w:rsidR="00550FDC" w:rsidRPr="00DF4DB5">
        <w:rPr>
          <w:rFonts w:ascii="Arial" w:eastAsia="MS Mincho" w:hAnsi="Arial" w:cs="Arial"/>
          <w:sz w:val="24"/>
          <w:szCs w:val="24"/>
          <w:lang w:val="en-ZA" w:eastAsia="en-ZA"/>
        </w:rPr>
        <w:t>empted</w:t>
      </w:r>
      <w:r w:rsidR="008F2C86">
        <w:rPr>
          <w:rFonts w:ascii="Arial" w:eastAsia="MS Mincho" w:hAnsi="Arial" w:cs="Arial"/>
          <w:sz w:val="24"/>
          <w:szCs w:val="24"/>
          <w:lang w:val="en-ZA" w:eastAsia="en-ZA"/>
        </w:rPr>
        <w:t>.</w:t>
      </w:r>
    </w:p>
    <w:p w14:paraId="681D0F4F" w14:textId="77777777" w:rsidR="001D41BC" w:rsidRPr="00DF4DB5" w:rsidRDefault="001D41BC">
      <w:pPr>
        <w:rPr>
          <w:rFonts w:ascii="Arial" w:eastAsia="MS Mincho" w:hAnsi="Arial" w:cs="Arial"/>
          <w:sz w:val="24"/>
          <w:szCs w:val="24"/>
          <w:lang w:val="en-ZA" w:eastAsia="en-ZA"/>
        </w:rPr>
      </w:pPr>
      <w:r w:rsidRPr="00DF4DB5">
        <w:rPr>
          <w:rFonts w:ascii="Arial" w:eastAsia="MS Mincho" w:hAnsi="Arial" w:cs="Arial"/>
          <w:sz w:val="24"/>
          <w:szCs w:val="24"/>
          <w:lang w:val="en-ZA" w:eastAsia="en-ZA"/>
        </w:rPr>
        <w:br w:type="page"/>
      </w:r>
    </w:p>
    <w:p w14:paraId="3DE13B97" w14:textId="77777777" w:rsidR="00843451" w:rsidRPr="00DF4DB5" w:rsidRDefault="00843451" w:rsidP="00843451">
      <w:pPr>
        <w:pBdr>
          <w:bottom w:val="single" w:sz="12" w:space="1" w:color="auto"/>
        </w:pBdr>
        <w:spacing w:after="0" w:line="360" w:lineRule="auto"/>
        <w:jc w:val="both"/>
        <w:rPr>
          <w:rFonts w:ascii="Arial" w:eastAsia="MS Mincho" w:hAnsi="Arial" w:cs="Arial"/>
          <w:b/>
          <w:sz w:val="24"/>
          <w:szCs w:val="24"/>
          <w:lang w:val="en-ZA" w:eastAsia="en-ZA"/>
        </w:rPr>
      </w:pPr>
    </w:p>
    <w:p w14:paraId="04B7ED4C" w14:textId="77777777" w:rsidR="00843451" w:rsidRPr="00DF4DB5" w:rsidRDefault="00843451" w:rsidP="00843451">
      <w:pPr>
        <w:spacing w:after="0" w:line="360" w:lineRule="auto"/>
        <w:jc w:val="both"/>
        <w:rPr>
          <w:rFonts w:ascii="Arial" w:eastAsia="MS Mincho" w:hAnsi="Arial" w:cs="Arial"/>
          <w:b/>
          <w:sz w:val="24"/>
          <w:szCs w:val="24"/>
          <w:lang w:val="en-ZA" w:eastAsia="en-ZA"/>
        </w:rPr>
      </w:pPr>
    </w:p>
    <w:p w14:paraId="1F171D21" w14:textId="77777777" w:rsidR="00843451" w:rsidRPr="00DF4DB5" w:rsidRDefault="00843451" w:rsidP="00843451">
      <w:pPr>
        <w:pBdr>
          <w:bottom w:val="single" w:sz="12" w:space="1" w:color="auto"/>
        </w:pBdr>
        <w:spacing w:after="0" w:line="360" w:lineRule="auto"/>
        <w:jc w:val="center"/>
        <w:rPr>
          <w:rFonts w:ascii="Arial" w:eastAsia="MS Mincho" w:hAnsi="Arial" w:cs="Arial"/>
          <w:b/>
          <w:sz w:val="24"/>
          <w:szCs w:val="24"/>
          <w:lang w:val="en-ZA" w:eastAsia="en-ZA"/>
        </w:rPr>
      </w:pPr>
      <w:r w:rsidRPr="00DF4DB5">
        <w:rPr>
          <w:rFonts w:ascii="Arial" w:eastAsia="MS Mincho" w:hAnsi="Arial" w:cs="Arial"/>
          <w:b/>
          <w:sz w:val="24"/>
          <w:szCs w:val="24"/>
          <w:lang w:val="en-ZA" w:eastAsia="en-ZA"/>
        </w:rPr>
        <w:t>ORDER</w:t>
      </w:r>
    </w:p>
    <w:p w14:paraId="54C54E62" w14:textId="77777777" w:rsidR="00843451" w:rsidRPr="00DF4DB5" w:rsidRDefault="00843451" w:rsidP="00843451">
      <w:pPr>
        <w:pBdr>
          <w:bottom w:val="single" w:sz="12" w:space="1" w:color="auto"/>
        </w:pBdr>
        <w:spacing w:after="0" w:line="360" w:lineRule="auto"/>
        <w:jc w:val="both"/>
        <w:rPr>
          <w:rFonts w:ascii="Arial" w:eastAsia="MS Mincho" w:hAnsi="Arial" w:cs="Arial"/>
          <w:b/>
          <w:sz w:val="24"/>
          <w:szCs w:val="24"/>
          <w:lang w:val="en-ZA" w:eastAsia="en-ZA"/>
        </w:rPr>
      </w:pPr>
    </w:p>
    <w:p w14:paraId="305CE5D0" w14:textId="77777777" w:rsidR="00843451" w:rsidRPr="00DF4DB5" w:rsidRDefault="00843451" w:rsidP="00843451">
      <w:pPr>
        <w:spacing w:after="0" w:line="360" w:lineRule="auto"/>
        <w:jc w:val="both"/>
        <w:rPr>
          <w:rFonts w:ascii="Arial" w:eastAsia="MS Mincho" w:hAnsi="Arial" w:cs="Arial"/>
          <w:sz w:val="24"/>
          <w:szCs w:val="24"/>
          <w:lang w:val="en-ZA" w:eastAsia="en-ZA"/>
        </w:rPr>
      </w:pPr>
    </w:p>
    <w:p w14:paraId="76E918BA" w14:textId="77777777" w:rsidR="00843451" w:rsidRPr="00DF4DB5" w:rsidRDefault="00843451" w:rsidP="00843451">
      <w:pPr>
        <w:spacing w:after="0" w:line="360" w:lineRule="auto"/>
        <w:jc w:val="both"/>
        <w:rPr>
          <w:rFonts w:ascii="Arial" w:hAnsi="Arial" w:cs="Arial"/>
          <w:sz w:val="24"/>
          <w:szCs w:val="24"/>
          <w:lang w:eastAsia="en-GB"/>
        </w:rPr>
      </w:pPr>
      <w:r w:rsidRPr="00DF4DB5">
        <w:rPr>
          <w:rFonts w:ascii="Arial" w:eastAsia="MS Mincho" w:hAnsi="Arial" w:cs="Arial"/>
          <w:b/>
          <w:sz w:val="24"/>
          <w:szCs w:val="24"/>
        </w:rPr>
        <w:t>On appeal from:</w:t>
      </w:r>
      <w:r w:rsidRPr="00DF4DB5">
        <w:rPr>
          <w:rFonts w:ascii="Arial" w:eastAsia="MS Mincho" w:hAnsi="Arial" w:cs="Arial"/>
          <w:sz w:val="24"/>
          <w:szCs w:val="24"/>
        </w:rPr>
        <w:t xml:space="preserve"> </w:t>
      </w:r>
      <w:r w:rsidR="002A0E8E" w:rsidRPr="00DF4DB5">
        <w:rPr>
          <w:rFonts w:ascii="Arial" w:eastAsia="MS Mincho" w:hAnsi="Arial" w:cs="Arial"/>
          <w:sz w:val="24"/>
          <w:szCs w:val="24"/>
        </w:rPr>
        <w:t xml:space="preserve">Eastern Cape Local </w:t>
      </w:r>
      <w:r w:rsidRPr="00DF4DB5">
        <w:rPr>
          <w:rFonts w:ascii="Arial" w:eastAsia="MS Mincho" w:hAnsi="Arial" w:cs="Arial"/>
          <w:sz w:val="24"/>
          <w:szCs w:val="24"/>
        </w:rPr>
        <w:t xml:space="preserve">Division of the High Court, </w:t>
      </w:r>
      <w:r w:rsidR="002A0E8E" w:rsidRPr="00DF4DB5">
        <w:rPr>
          <w:rFonts w:ascii="Arial" w:eastAsia="MS Mincho" w:hAnsi="Arial" w:cs="Arial"/>
          <w:sz w:val="24"/>
          <w:szCs w:val="24"/>
        </w:rPr>
        <w:t xml:space="preserve">Mthatha (Nhlangulela DJP </w:t>
      </w:r>
      <w:r w:rsidRPr="00DF4DB5">
        <w:rPr>
          <w:rFonts w:ascii="Arial" w:eastAsia="MS Mincho" w:hAnsi="Arial" w:cs="Arial"/>
          <w:sz w:val="24"/>
          <w:szCs w:val="24"/>
        </w:rPr>
        <w:t xml:space="preserve">sitting as court of </w:t>
      </w:r>
      <w:r w:rsidR="002A0E8E" w:rsidRPr="00DF4DB5">
        <w:rPr>
          <w:rFonts w:ascii="Arial" w:eastAsia="MS Mincho" w:hAnsi="Arial" w:cs="Arial"/>
          <w:sz w:val="24"/>
          <w:szCs w:val="24"/>
        </w:rPr>
        <w:t>first instance</w:t>
      </w:r>
      <w:r w:rsidRPr="00DF4DB5">
        <w:rPr>
          <w:rFonts w:ascii="Arial" w:eastAsia="MS Mincho" w:hAnsi="Arial" w:cs="Arial"/>
          <w:sz w:val="24"/>
          <w:szCs w:val="24"/>
        </w:rPr>
        <w:t>):</w:t>
      </w:r>
    </w:p>
    <w:p w14:paraId="44F4704D" w14:textId="77777777" w:rsidR="00DC49EE" w:rsidRPr="00DF4DB5" w:rsidRDefault="00457981" w:rsidP="00DC49EE">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Theme="minorHAnsi" w:hAnsi="Arial" w:cs="Arial"/>
          <w:sz w:val="24"/>
          <w:szCs w:val="24"/>
          <w:lang w:val="en-ZA"/>
        </w:rPr>
        <w:t>1</w:t>
      </w:r>
      <w:r w:rsidRPr="00DF4DB5">
        <w:rPr>
          <w:rFonts w:ascii="Arial" w:eastAsiaTheme="minorHAnsi" w:hAnsi="Arial" w:cs="Arial"/>
          <w:sz w:val="24"/>
          <w:szCs w:val="24"/>
          <w:lang w:val="en-ZA"/>
        </w:rPr>
        <w:tab/>
      </w:r>
      <w:r w:rsidR="00DC49EE" w:rsidRPr="00DF4DB5">
        <w:rPr>
          <w:rFonts w:ascii="Arial" w:eastAsiaTheme="minorHAnsi" w:hAnsi="Arial" w:cs="Arial"/>
          <w:sz w:val="24"/>
          <w:szCs w:val="24"/>
          <w:lang w:val="en-ZA"/>
        </w:rPr>
        <w:t xml:space="preserve">The appeal is reinstated with no order as to costs. </w:t>
      </w:r>
    </w:p>
    <w:p w14:paraId="708508F2" w14:textId="0CD4B32B" w:rsidR="00DC49EE" w:rsidRPr="00DF4DB5" w:rsidRDefault="00DC49EE" w:rsidP="00DC49EE">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Theme="minorHAnsi" w:hAnsi="Arial" w:cs="Arial"/>
          <w:sz w:val="24"/>
          <w:szCs w:val="24"/>
          <w:lang w:val="en-ZA"/>
        </w:rPr>
        <w:t>2</w:t>
      </w:r>
      <w:r w:rsidRPr="00DF4DB5">
        <w:rPr>
          <w:rFonts w:ascii="Arial" w:eastAsiaTheme="minorHAnsi" w:hAnsi="Arial" w:cs="Arial"/>
          <w:sz w:val="24"/>
          <w:szCs w:val="24"/>
          <w:lang w:val="en-ZA"/>
        </w:rPr>
        <w:tab/>
        <w:t>The appeal is upheld with costs, save that no costs are to be paid by the respondents for the preparation of the appeal record.</w:t>
      </w:r>
    </w:p>
    <w:p w14:paraId="3AB516FD" w14:textId="56EA305E" w:rsidR="00DC49EE" w:rsidRPr="00DF4DB5" w:rsidRDefault="00DC49EE" w:rsidP="00DC49EE">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Theme="minorHAnsi" w:hAnsi="Arial" w:cs="Arial"/>
          <w:sz w:val="24"/>
          <w:szCs w:val="24"/>
          <w:lang w:val="en-ZA"/>
        </w:rPr>
        <w:t>3</w:t>
      </w:r>
      <w:r w:rsidRPr="00DF4DB5">
        <w:rPr>
          <w:rFonts w:ascii="Arial" w:eastAsiaTheme="minorHAnsi" w:hAnsi="Arial" w:cs="Arial"/>
          <w:sz w:val="24"/>
          <w:szCs w:val="24"/>
          <w:lang w:val="en-ZA"/>
        </w:rPr>
        <w:tab/>
        <w:t>The order of the high court is set aside and substituted with the following order:</w:t>
      </w:r>
    </w:p>
    <w:p w14:paraId="503FB11D" w14:textId="5EBF2F92" w:rsidR="00DC49EE" w:rsidRPr="00DF4DB5" w:rsidRDefault="00332FFC" w:rsidP="00DC49EE">
      <w:pPr>
        <w:spacing w:line="360" w:lineRule="auto"/>
        <w:ind w:left="720"/>
        <w:jc w:val="both"/>
        <w:rPr>
          <w:rFonts w:ascii="Arial" w:hAnsi="Arial" w:cs="Arial"/>
          <w:color w:val="000000"/>
          <w:sz w:val="24"/>
          <w:szCs w:val="24"/>
        </w:rPr>
      </w:pPr>
      <w:r>
        <w:rPr>
          <w:rFonts w:ascii="Arial" w:hAnsi="Arial" w:cs="Arial"/>
          <w:color w:val="000000"/>
          <w:sz w:val="24"/>
          <w:szCs w:val="24"/>
        </w:rPr>
        <w:t>‘</w:t>
      </w:r>
      <w:r w:rsidR="00DC49EE" w:rsidRPr="00DF4DB5">
        <w:rPr>
          <w:rFonts w:ascii="Arial" w:hAnsi="Arial" w:cs="Arial"/>
          <w:color w:val="000000"/>
          <w:sz w:val="24"/>
          <w:szCs w:val="24"/>
        </w:rPr>
        <w:t>The applications in case numbers 1343/2021 and 1466/2021 are dismissed with costs.’</w:t>
      </w:r>
    </w:p>
    <w:p w14:paraId="282EDF03" w14:textId="77777777" w:rsidR="001D41BC" w:rsidRPr="00DF4DB5" w:rsidRDefault="001D41BC" w:rsidP="00C10D08">
      <w:pPr>
        <w:pBdr>
          <w:bottom w:val="single" w:sz="12" w:space="1" w:color="auto"/>
        </w:pBdr>
        <w:spacing w:line="360" w:lineRule="auto"/>
        <w:ind w:firstLine="720"/>
        <w:jc w:val="both"/>
        <w:rPr>
          <w:rFonts w:ascii="Arial" w:hAnsi="Arial" w:cs="Arial"/>
          <w:sz w:val="24"/>
          <w:szCs w:val="24"/>
          <w:lang w:eastAsia="en-GB"/>
        </w:rPr>
      </w:pPr>
    </w:p>
    <w:p w14:paraId="292E3BC6" w14:textId="77777777" w:rsidR="00843451" w:rsidRPr="00DF4DB5" w:rsidRDefault="00843451" w:rsidP="008B4ED9">
      <w:pPr>
        <w:spacing w:after="0" w:line="360" w:lineRule="auto"/>
        <w:rPr>
          <w:rFonts w:ascii="Arial" w:eastAsia="MS Mincho" w:hAnsi="Arial" w:cs="Arial"/>
          <w:b/>
          <w:sz w:val="24"/>
          <w:szCs w:val="24"/>
          <w:lang w:val="en-ZA" w:eastAsia="en-ZA"/>
        </w:rPr>
      </w:pPr>
    </w:p>
    <w:p w14:paraId="6DB7F1EB" w14:textId="77777777" w:rsidR="00843451" w:rsidRPr="00DF4DB5" w:rsidRDefault="00843451" w:rsidP="00843451">
      <w:pPr>
        <w:pBdr>
          <w:bottom w:val="single" w:sz="12" w:space="1" w:color="auto"/>
        </w:pBdr>
        <w:spacing w:after="0" w:line="360" w:lineRule="auto"/>
        <w:jc w:val="center"/>
        <w:rPr>
          <w:rFonts w:ascii="Arial" w:eastAsia="MS Mincho" w:hAnsi="Arial" w:cs="Arial"/>
          <w:b/>
          <w:sz w:val="24"/>
          <w:szCs w:val="24"/>
          <w:lang w:val="en-ZA" w:eastAsia="en-ZA"/>
        </w:rPr>
      </w:pPr>
      <w:r w:rsidRPr="00DF4DB5">
        <w:rPr>
          <w:rFonts w:ascii="Arial" w:eastAsia="MS Mincho" w:hAnsi="Arial" w:cs="Arial"/>
          <w:b/>
          <w:sz w:val="24"/>
          <w:szCs w:val="24"/>
          <w:lang w:val="en-ZA" w:eastAsia="en-ZA"/>
        </w:rPr>
        <w:t>JUDGMENT</w:t>
      </w:r>
    </w:p>
    <w:p w14:paraId="44C8C027" w14:textId="77777777" w:rsidR="00843451" w:rsidRPr="00DF4DB5" w:rsidRDefault="00843451" w:rsidP="00843451">
      <w:pPr>
        <w:pBdr>
          <w:bottom w:val="single" w:sz="12" w:space="1" w:color="auto"/>
        </w:pBdr>
        <w:spacing w:after="0" w:line="360" w:lineRule="auto"/>
        <w:jc w:val="both"/>
        <w:rPr>
          <w:rFonts w:ascii="Arial" w:eastAsia="MS Mincho" w:hAnsi="Arial" w:cs="Arial"/>
          <w:b/>
          <w:sz w:val="24"/>
          <w:szCs w:val="24"/>
          <w:lang w:val="en-ZA" w:eastAsia="en-ZA"/>
        </w:rPr>
      </w:pPr>
    </w:p>
    <w:p w14:paraId="648074B4" w14:textId="77777777" w:rsidR="00843451" w:rsidRPr="00DF4DB5" w:rsidRDefault="00843451" w:rsidP="00843451">
      <w:pPr>
        <w:spacing w:after="0" w:line="360" w:lineRule="auto"/>
        <w:jc w:val="both"/>
        <w:rPr>
          <w:rFonts w:ascii="Arial" w:eastAsia="MS Mincho" w:hAnsi="Arial" w:cs="Arial"/>
          <w:b/>
          <w:sz w:val="24"/>
          <w:szCs w:val="24"/>
          <w:lang w:val="en-ZA" w:eastAsia="en-ZA"/>
        </w:rPr>
      </w:pPr>
    </w:p>
    <w:p w14:paraId="2F0A03BE" w14:textId="3D4206E0" w:rsidR="00843451" w:rsidRPr="00DF4DB5" w:rsidRDefault="00843451" w:rsidP="00843451">
      <w:pPr>
        <w:spacing w:after="0" w:line="360" w:lineRule="auto"/>
        <w:jc w:val="both"/>
        <w:rPr>
          <w:rFonts w:ascii="Arial" w:eastAsia="MS Mincho" w:hAnsi="Arial" w:cs="Arial"/>
          <w:b/>
          <w:sz w:val="24"/>
          <w:szCs w:val="24"/>
          <w:lang w:val="en-ZA" w:eastAsia="en-ZA"/>
        </w:rPr>
      </w:pPr>
      <w:r w:rsidRPr="00DF4DB5">
        <w:rPr>
          <w:rFonts w:ascii="Arial" w:eastAsia="MS Mincho" w:hAnsi="Arial" w:cs="Arial"/>
          <w:b/>
          <w:sz w:val="24"/>
          <w:szCs w:val="24"/>
          <w:lang w:val="en-ZA" w:eastAsia="en-ZA"/>
        </w:rPr>
        <w:t>Chetty AJA (</w:t>
      </w:r>
      <w:r w:rsidR="00397ADE" w:rsidRPr="00DF4DB5">
        <w:rPr>
          <w:rFonts w:ascii="Arial" w:hAnsi="Arial"/>
          <w:b/>
          <w:sz w:val="24"/>
          <w:szCs w:val="28"/>
        </w:rPr>
        <w:t>Nicholls, Carelse and Matojane JJA and Tokota AJA</w:t>
      </w:r>
      <w:r w:rsidR="00397ADE" w:rsidRPr="00DF4DB5">
        <w:rPr>
          <w:rFonts w:ascii="Arial" w:hAnsi="Arial"/>
          <w:sz w:val="24"/>
          <w:szCs w:val="28"/>
        </w:rPr>
        <w:t xml:space="preserve"> </w:t>
      </w:r>
      <w:r w:rsidRPr="00DF4DB5">
        <w:rPr>
          <w:rFonts w:ascii="Arial" w:eastAsia="MS Mincho" w:hAnsi="Arial" w:cs="Arial"/>
          <w:b/>
          <w:bCs/>
          <w:sz w:val="24"/>
          <w:szCs w:val="24"/>
          <w:lang w:val="en-ZA" w:eastAsia="en-ZA"/>
        </w:rPr>
        <w:t>concurring</w:t>
      </w:r>
      <w:r w:rsidRPr="00DF4DB5">
        <w:rPr>
          <w:rFonts w:ascii="Arial" w:eastAsia="MS Mincho" w:hAnsi="Arial" w:cs="Arial"/>
          <w:b/>
          <w:sz w:val="24"/>
          <w:szCs w:val="24"/>
          <w:lang w:val="en-ZA" w:eastAsia="en-ZA"/>
        </w:rPr>
        <w:t>):</w:t>
      </w:r>
    </w:p>
    <w:p w14:paraId="2E3E6E82" w14:textId="714E6561" w:rsidR="001A57E0" w:rsidRPr="00DF4DB5" w:rsidRDefault="005C616E" w:rsidP="004E2DB7">
      <w:pPr>
        <w:spacing w:line="360" w:lineRule="auto"/>
        <w:jc w:val="both"/>
        <w:rPr>
          <w:rFonts w:ascii="Arial" w:eastAsia="MS Mincho" w:hAnsi="Arial" w:cs="Arial"/>
          <w:bCs/>
          <w:sz w:val="24"/>
          <w:szCs w:val="24"/>
          <w:lang w:val="en-ZA" w:eastAsia="en-ZA"/>
        </w:rPr>
      </w:pPr>
      <w:r w:rsidRPr="00DF4DB5">
        <w:rPr>
          <w:rFonts w:ascii="Arial" w:hAnsi="Arial" w:cs="Arial"/>
          <w:sz w:val="24"/>
          <w:szCs w:val="24"/>
        </w:rPr>
        <w:t>[1]</w:t>
      </w:r>
      <w:r w:rsidRPr="00DF4DB5">
        <w:rPr>
          <w:rFonts w:ascii="Arial" w:hAnsi="Arial" w:cs="Arial"/>
          <w:sz w:val="24"/>
          <w:szCs w:val="24"/>
        </w:rPr>
        <w:tab/>
      </w:r>
      <w:r w:rsidR="004E2DB7" w:rsidRPr="00DF4DB5">
        <w:rPr>
          <w:rFonts w:ascii="Arial" w:hAnsi="Arial" w:cs="Arial"/>
          <w:sz w:val="24"/>
          <w:szCs w:val="24"/>
        </w:rPr>
        <w:t xml:space="preserve">The </w:t>
      </w:r>
      <w:r w:rsidR="005026D3" w:rsidRPr="00DF4DB5">
        <w:rPr>
          <w:rFonts w:ascii="Arial" w:hAnsi="Arial" w:cs="Arial"/>
          <w:sz w:val="24"/>
          <w:szCs w:val="24"/>
        </w:rPr>
        <w:t xml:space="preserve">first and second </w:t>
      </w:r>
      <w:r w:rsidR="004E2DB7" w:rsidRPr="00DF4DB5">
        <w:rPr>
          <w:rFonts w:ascii="Arial" w:hAnsi="Arial" w:cs="Arial"/>
          <w:sz w:val="24"/>
          <w:szCs w:val="24"/>
        </w:rPr>
        <w:t>respondents</w:t>
      </w:r>
      <w:r w:rsidR="00DC49EE" w:rsidRPr="00DF4DB5">
        <w:rPr>
          <w:rFonts w:ascii="Arial" w:hAnsi="Arial" w:cs="Arial"/>
          <w:sz w:val="24"/>
          <w:szCs w:val="24"/>
        </w:rPr>
        <w:t xml:space="preserve"> </w:t>
      </w:r>
      <w:r w:rsidR="004E2DB7" w:rsidRPr="00DF4DB5">
        <w:rPr>
          <w:rFonts w:ascii="Arial" w:hAnsi="Arial" w:cs="Arial"/>
          <w:sz w:val="24"/>
          <w:szCs w:val="24"/>
        </w:rPr>
        <w:t xml:space="preserve">instituted proceedings against their employer, </w:t>
      </w:r>
      <w:r w:rsidR="00D43E92" w:rsidRPr="00DF4DB5">
        <w:rPr>
          <w:rFonts w:ascii="Arial" w:hAnsi="Arial" w:cs="Arial"/>
          <w:sz w:val="24"/>
          <w:szCs w:val="24"/>
        </w:rPr>
        <w:t xml:space="preserve">the </w:t>
      </w:r>
      <w:r w:rsidR="004E2DB7" w:rsidRPr="00DF4DB5">
        <w:rPr>
          <w:rFonts w:ascii="Arial" w:eastAsia="MS Mincho" w:hAnsi="Arial" w:cs="Arial"/>
          <w:bCs/>
          <w:sz w:val="24"/>
          <w:szCs w:val="24"/>
          <w:lang w:val="en-ZA" w:eastAsia="en-ZA"/>
        </w:rPr>
        <w:t>Mhlontlo Local Municipality (the municip</w:t>
      </w:r>
      <w:r w:rsidR="00685AC4" w:rsidRPr="00DF4DB5">
        <w:rPr>
          <w:rFonts w:ascii="Arial" w:eastAsia="MS Mincho" w:hAnsi="Arial" w:cs="Arial"/>
          <w:bCs/>
          <w:sz w:val="24"/>
          <w:szCs w:val="24"/>
          <w:lang w:val="en-ZA" w:eastAsia="en-ZA"/>
        </w:rPr>
        <w:t>ality</w:t>
      </w:r>
      <w:r w:rsidR="004E2DB7" w:rsidRPr="00DF4DB5">
        <w:rPr>
          <w:rFonts w:ascii="Arial" w:eastAsia="MS Mincho" w:hAnsi="Arial" w:cs="Arial"/>
          <w:bCs/>
          <w:sz w:val="24"/>
          <w:szCs w:val="24"/>
          <w:lang w:val="en-ZA" w:eastAsia="en-ZA"/>
        </w:rPr>
        <w:t>)</w:t>
      </w:r>
      <w:r w:rsidR="00D43E92" w:rsidRPr="00DF4DB5">
        <w:rPr>
          <w:rFonts w:ascii="Arial" w:eastAsia="MS Mincho" w:hAnsi="Arial" w:cs="Arial"/>
          <w:bCs/>
          <w:sz w:val="24"/>
          <w:szCs w:val="24"/>
          <w:lang w:val="en-ZA" w:eastAsia="en-ZA"/>
        </w:rPr>
        <w:t>,</w:t>
      </w:r>
      <w:r w:rsidR="004E2DB7" w:rsidRPr="00DF4DB5">
        <w:rPr>
          <w:rFonts w:ascii="Arial" w:eastAsia="MS Mincho" w:hAnsi="Arial" w:cs="Arial"/>
          <w:bCs/>
          <w:sz w:val="24"/>
          <w:szCs w:val="24"/>
          <w:lang w:val="en-ZA" w:eastAsia="en-ZA"/>
        </w:rPr>
        <w:t xml:space="preserve"> in the High Court, Eastern Cape Division, Mthatha contending that </w:t>
      </w:r>
      <w:r w:rsidR="00243B1B" w:rsidRPr="00DF4DB5">
        <w:rPr>
          <w:rFonts w:ascii="Arial" w:eastAsia="MS Mincho" w:hAnsi="Arial" w:cs="Arial"/>
          <w:bCs/>
          <w:sz w:val="24"/>
          <w:szCs w:val="24"/>
          <w:lang w:val="en-ZA" w:eastAsia="en-ZA"/>
        </w:rPr>
        <w:t xml:space="preserve">the </w:t>
      </w:r>
      <w:r w:rsidR="004E2DB7" w:rsidRPr="00DF4DB5">
        <w:rPr>
          <w:rFonts w:ascii="Arial" w:eastAsia="MS Mincho" w:hAnsi="Arial" w:cs="Arial"/>
          <w:bCs/>
          <w:sz w:val="24"/>
          <w:szCs w:val="24"/>
          <w:lang w:val="en-ZA" w:eastAsia="en-ZA"/>
        </w:rPr>
        <w:t xml:space="preserve">deductions </w:t>
      </w:r>
      <w:r w:rsidR="00F2010E" w:rsidRPr="00DF4DB5">
        <w:rPr>
          <w:rFonts w:ascii="Arial" w:eastAsia="MS Mincho" w:hAnsi="Arial" w:cs="Arial"/>
          <w:bCs/>
          <w:sz w:val="24"/>
          <w:szCs w:val="24"/>
          <w:lang w:val="en-ZA" w:eastAsia="en-ZA"/>
        </w:rPr>
        <w:t xml:space="preserve">made </w:t>
      </w:r>
      <w:r w:rsidR="004E2DB7" w:rsidRPr="00DF4DB5">
        <w:rPr>
          <w:rFonts w:ascii="Arial" w:eastAsia="MS Mincho" w:hAnsi="Arial" w:cs="Arial"/>
          <w:bCs/>
          <w:sz w:val="24"/>
          <w:szCs w:val="24"/>
          <w:lang w:val="en-ZA" w:eastAsia="en-ZA"/>
        </w:rPr>
        <w:t>from their salary were unlawful in terms of s 34(1) of the Basic Conditions of Employment Act 75 of 1997 (the Employment Act)</w:t>
      </w:r>
      <w:r w:rsidR="00685AC4" w:rsidRPr="00DF4DB5">
        <w:rPr>
          <w:rFonts w:ascii="Arial" w:eastAsia="MS Mincho" w:hAnsi="Arial" w:cs="Arial"/>
          <w:bCs/>
          <w:sz w:val="24"/>
          <w:szCs w:val="24"/>
          <w:lang w:val="en-ZA" w:eastAsia="en-ZA"/>
        </w:rPr>
        <w:t>. The</w:t>
      </w:r>
      <w:r w:rsidR="004A6478" w:rsidRPr="00DF4DB5">
        <w:rPr>
          <w:rFonts w:ascii="Arial" w:eastAsia="MS Mincho" w:hAnsi="Arial" w:cs="Arial"/>
          <w:bCs/>
          <w:sz w:val="24"/>
          <w:szCs w:val="24"/>
          <w:lang w:val="en-ZA" w:eastAsia="en-ZA"/>
        </w:rPr>
        <w:t xml:space="preserve">se </w:t>
      </w:r>
      <w:r w:rsidR="00685AC4" w:rsidRPr="00DF4DB5">
        <w:rPr>
          <w:rFonts w:ascii="Arial" w:eastAsia="MS Mincho" w:hAnsi="Arial" w:cs="Arial"/>
          <w:bCs/>
          <w:sz w:val="24"/>
          <w:szCs w:val="24"/>
          <w:lang w:val="en-ZA" w:eastAsia="en-ZA"/>
        </w:rPr>
        <w:t>deduction</w:t>
      </w:r>
      <w:r w:rsidR="001D41BC" w:rsidRPr="00DF4DB5">
        <w:rPr>
          <w:rFonts w:ascii="Arial" w:eastAsia="MS Mincho" w:hAnsi="Arial" w:cs="Arial"/>
          <w:bCs/>
          <w:sz w:val="24"/>
          <w:szCs w:val="24"/>
          <w:lang w:val="en-ZA" w:eastAsia="en-ZA"/>
        </w:rPr>
        <w:t xml:space="preserve">s </w:t>
      </w:r>
      <w:r w:rsidR="00685AC4" w:rsidRPr="00DF4DB5">
        <w:rPr>
          <w:rFonts w:ascii="Arial" w:eastAsia="MS Mincho" w:hAnsi="Arial" w:cs="Arial"/>
          <w:bCs/>
          <w:sz w:val="24"/>
          <w:szCs w:val="24"/>
          <w:lang w:val="en-ZA" w:eastAsia="en-ZA"/>
        </w:rPr>
        <w:t xml:space="preserve">related to a ‘notch increase’ </w:t>
      </w:r>
      <w:r w:rsidR="004A6478" w:rsidRPr="00DF4DB5">
        <w:rPr>
          <w:rFonts w:ascii="Arial" w:eastAsia="MS Mincho" w:hAnsi="Arial" w:cs="Arial"/>
          <w:bCs/>
          <w:sz w:val="24"/>
          <w:szCs w:val="24"/>
          <w:lang w:val="en-ZA" w:eastAsia="en-ZA"/>
        </w:rPr>
        <w:t xml:space="preserve">initially </w:t>
      </w:r>
      <w:r w:rsidR="00685AC4" w:rsidRPr="00DF4DB5">
        <w:rPr>
          <w:rFonts w:ascii="Arial" w:eastAsia="MS Mincho" w:hAnsi="Arial" w:cs="Arial"/>
          <w:bCs/>
          <w:sz w:val="24"/>
          <w:szCs w:val="24"/>
          <w:lang w:val="en-ZA" w:eastAsia="en-ZA"/>
        </w:rPr>
        <w:t xml:space="preserve">granted in terms of a resolution </w:t>
      </w:r>
      <w:r w:rsidR="004A6478" w:rsidRPr="00DF4DB5">
        <w:rPr>
          <w:rFonts w:ascii="Arial" w:eastAsia="MS Mincho" w:hAnsi="Arial" w:cs="Arial"/>
          <w:bCs/>
          <w:sz w:val="24"/>
          <w:szCs w:val="24"/>
          <w:lang w:val="en-ZA" w:eastAsia="en-ZA"/>
        </w:rPr>
        <w:t xml:space="preserve">passed by </w:t>
      </w:r>
      <w:r w:rsidR="00685AC4" w:rsidRPr="00DF4DB5">
        <w:rPr>
          <w:rFonts w:ascii="Arial" w:eastAsia="MS Mincho" w:hAnsi="Arial" w:cs="Arial"/>
          <w:bCs/>
          <w:sz w:val="24"/>
          <w:szCs w:val="24"/>
          <w:lang w:val="en-ZA" w:eastAsia="en-ZA"/>
        </w:rPr>
        <w:t xml:space="preserve">the municipality, </w:t>
      </w:r>
      <w:r w:rsidR="004A6478" w:rsidRPr="00DF4DB5">
        <w:rPr>
          <w:rFonts w:ascii="Arial" w:eastAsia="MS Mincho" w:hAnsi="Arial" w:cs="Arial"/>
          <w:bCs/>
          <w:sz w:val="24"/>
          <w:szCs w:val="24"/>
          <w:lang w:val="en-ZA" w:eastAsia="en-ZA"/>
        </w:rPr>
        <w:t xml:space="preserve">only to be </w:t>
      </w:r>
      <w:r w:rsidR="00685AC4" w:rsidRPr="00DF4DB5">
        <w:rPr>
          <w:rFonts w:ascii="Arial" w:eastAsia="MS Mincho" w:hAnsi="Arial" w:cs="Arial"/>
          <w:bCs/>
          <w:sz w:val="24"/>
          <w:szCs w:val="24"/>
          <w:lang w:val="en-ZA" w:eastAsia="en-ZA"/>
        </w:rPr>
        <w:t xml:space="preserve">subsequently revoked. </w:t>
      </w:r>
      <w:r w:rsidR="00D43E92" w:rsidRPr="00DF4DB5">
        <w:rPr>
          <w:rFonts w:ascii="Arial" w:eastAsia="MS Mincho" w:hAnsi="Arial" w:cs="Arial"/>
          <w:bCs/>
          <w:sz w:val="24"/>
          <w:szCs w:val="24"/>
          <w:lang w:val="en-ZA" w:eastAsia="en-ZA"/>
        </w:rPr>
        <w:t xml:space="preserve">The high court determined </w:t>
      </w:r>
      <w:r w:rsidR="00F2010E" w:rsidRPr="00DF4DB5">
        <w:rPr>
          <w:rFonts w:ascii="Arial" w:eastAsia="MS Mincho" w:hAnsi="Arial" w:cs="Arial"/>
          <w:bCs/>
          <w:sz w:val="24"/>
          <w:szCs w:val="24"/>
          <w:lang w:val="en-ZA" w:eastAsia="en-ZA"/>
        </w:rPr>
        <w:t xml:space="preserve">that it </w:t>
      </w:r>
      <w:r w:rsidR="00D43E92" w:rsidRPr="00DF4DB5">
        <w:rPr>
          <w:rFonts w:ascii="Arial" w:eastAsia="MS Mincho" w:hAnsi="Arial" w:cs="Arial"/>
          <w:bCs/>
          <w:sz w:val="24"/>
          <w:szCs w:val="24"/>
          <w:lang w:val="en-ZA" w:eastAsia="en-ZA"/>
        </w:rPr>
        <w:t xml:space="preserve">had the necessary jurisdiction to adjudicate the matter and </w:t>
      </w:r>
      <w:r w:rsidR="00CD0B0A" w:rsidRPr="00DF4DB5">
        <w:rPr>
          <w:rFonts w:ascii="Arial" w:eastAsia="MS Mincho" w:hAnsi="Arial" w:cs="Arial"/>
          <w:bCs/>
          <w:sz w:val="24"/>
          <w:szCs w:val="24"/>
          <w:lang w:val="en-ZA" w:eastAsia="en-ZA"/>
        </w:rPr>
        <w:t xml:space="preserve">upheld the claim. </w:t>
      </w:r>
      <w:r w:rsidR="001A57E0" w:rsidRPr="00DF4DB5">
        <w:rPr>
          <w:rFonts w:ascii="Arial" w:eastAsia="MS Mincho" w:hAnsi="Arial" w:cs="Arial"/>
          <w:bCs/>
          <w:sz w:val="24"/>
          <w:szCs w:val="24"/>
          <w:lang w:val="en-ZA" w:eastAsia="en-ZA"/>
        </w:rPr>
        <w:t>It ordered the reinstatement of the amounts deducted</w:t>
      </w:r>
      <w:r w:rsidR="00CD0B0A" w:rsidRPr="00DF4DB5">
        <w:rPr>
          <w:rFonts w:ascii="Arial" w:eastAsia="MS Mincho" w:hAnsi="Arial" w:cs="Arial"/>
          <w:bCs/>
          <w:sz w:val="24"/>
          <w:szCs w:val="24"/>
          <w:lang w:val="en-ZA" w:eastAsia="en-ZA"/>
        </w:rPr>
        <w:t>.</w:t>
      </w:r>
      <w:r w:rsidR="008B4ED9" w:rsidRPr="00DF4DB5">
        <w:rPr>
          <w:rFonts w:ascii="Arial" w:eastAsia="MS Mincho" w:hAnsi="Arial" w:cs="Arial"/>
          <w:bCs/>
          <w:sz w:val="24"/>
          <w:szCs w:val="24"/>
          <w:lang w:val="en-ZA" w:eastAsia="en-ZA"/>
        </w:rPr>
        <w:t xml:space="preserve"> </w:t>
      </w:r>
      <w:r w:rsidR="004A6478" w:rsidRPr="00DF4DB5">
        <w:rPr>
          <w:rFonts w:ascii="Arial" w:eastAsia="MS Mincho" w:hAnsi="Arial" w:cs="Arial"/>
          <w:bCs/>
          <w:sz w:val="24"/>
          <w:szCs w:val="24"/>
          <w:lang w:val="en-ZA" w:eastAsia="en-ZA"/>
        </w:rPr>
        <w:t xml:space="preserve">The municipality </w:t>
      </w:r>
      <w:r w:rsidR="00CD0B0A" w:rsidRPr="00DF4DB5">
        <w:rPr>
          <w:rFonts w:ascii="Arial" w:eastAsia="MS Mincho" w:hAnsi="Arial" w:cs="Arial"/>
          <w:bCs/>
          <w:sz w:val="24"/>
          <w:szCs w:val="24"/>
          <w:lang w:val="en-ZA" w:eastAsia="en-ZA"/>
        </w:rPr>
        <w:t xml:space="preserve">applied for </w:t>
      </w:r>
      <w:r w:rsidR="004A6478" w:rsidRPr="00DF4DB5">
        <w:rPr>
          <w:rFonts w:ascii="Arial" w:eastAsia="MS Mincho" w:hAnsi="Arial" w:cs="Arial"/>
          <w:bCs/>
          <w:sz w:val="24"/>
          <w:szCs w:val="24"/>
          <w:lang w:val="en-ZA" w:eastAsia="en-ZA"/>
        </w:rPr>
        <w:t xml:space="preserve">leave to appeal that order. The </w:t>
      </w:r>
      <w:r w:rsidR="001A57E0" w:rsidRPr="00DF4DB5">
        <w:rPr>
          <w:rFonts w:ascii="Arial" w:eastAsia="MS Mincho" w:hAnsi="Arial" w:cs="Arial"/>
          <w:bCs/>
          <w:sz w:val="24"/>
          <w:szCs w:val="24"/>
          <w:lang w:val="en-ZA" w:eastAsia="en-ZA"/>
        </w:rPr>
        <w:t xml:space="preserve">matter </w:t>
      </w:r>
      <w:r w:rsidR="004A6478" w:rsidRPr="00DF4DB5">
        <w:rPr>
          <w:rFonts w:ascii="Arial" w:eastAsia="MS Mincho" w:hAnsi="Arial" w:cs="Arial"/>
          <w:bCs/>
          <w:sz w:val="24"/>
          <w:szCs w:val="24"/>
          <w:lang w:val="en-ZA" w:eastAsia="en-ZA"/>
        </w:rPr>
        <w:t xml:space="preserve">comes </w:t>
      </w:r>
      <w:r w:rsidR="001A57E0" w:rsidRPr="00DF4DB5">
        <w:rPr>
          <w:rFonts w:ascii="Arial" w:eastAsia="MS Mincho" w:hAnsi="Arial" w:cs="Arial"/>
          <w:bCs/>
          <w:sz w:val="24"/>
          <w:szCs w:val="24"/>
          <w:lang w:val="en-ZA" w:eastAsia="en-ZA"/>
        </w:rPr>
        <w:t>before this Court with leave of the high court.</w:t>
      </w:r>
    </w:p>
    <w:p w14:paraId="1129A888" w14:textId="77777777" w:rsidR="007A570B" w:rsidRPr="00DF4DB5" w:rsidRDefault="007A570B" w:rsidP="004E2DB7">
      <w:pPr>
        <w:spacing w:line="360" w:lineRule="auto"/>
        <w:jc w:val="both"/>
        <w:rPr>
          <w:rFonts w:ascii="Arial" w:eastAsia="MS Mincho" w:hAnsi="Arial" w:cs="Arial"/>
          <w:b/>
          <w:bCs/>
          <w:sz w:val="24"/>
          <w:szCs w:val="24"/>
          <w:lang w:val="en-ZA" w:eastAsia="en-ZA"/>
        </w:rPr>
      </w:pPr>
    </w:p>
    <w:p w14:paraId="2C224CF1" w14:textId="77777777" w:rsidR="00EE6ABC" w:rsidRPr="00DF4DB5" w:rsidRDefault="006A4CEC" w:rsidP="004E2DB7">
      <w:pPr>
        <w:spacing w:line="360" w:lineRule="auto"/>
        <w:jc w:val="both"/>
        <w:rPr>
          <w:rFonts w:ascii="Arial" w:eastAsia="MS Mincho" w:hAnsi="Arial" w:cs="Arial"/>
          <w:b/>
          <w:bCs/>
          <w:sz w:val="24"/>
          <w:szCs w:val="24"/>
          <w:lang w:val="en-ZA" w:eastAsia="en-ZA"/>
        </w:rPr>
      </w:pPr>
      <w:r w:rsidRPr="00DF4DB5">
        <w:rPr>
          <w:rFonts w:ascii="Arial" w:eastAsia="MS Mincho" w:hAnsi="Arial" w:cs="Arial"/>
          <w:b/>
          <w:bCs/>
          <w:sz w:val="24"/>
          <w:szCs w:val="24"/>
          <w:lang w:val="en-ZA" w:eastAsia="en-ZA"/>
        </w:rPr>
        <w:t>Factual background</w:t>
      </w:r>
    </w:p>
    <w:p w14:paraId="3AEE799D" w14:textId="6737FDCC" w:rsidR="001A57E0" w:rsidRPr="00DF4DB5" w:rsidRDefault="001A57E0" w:rsidP="004E2DB7">
      <w:pPr>
        <w:spacing w:line="360" w:lineRule="auto"/>
        <w:jc w:val="both"/>
        <w:rPr>
          <w:rFonts w:ascii="Arial" w:eastAsia="MS Mincho" w:hAnsi="Arial" w:cs="Arial"/>
          <w:bCs/>
          <w:sz w:val="24"/>
          <w:szCs w:val="24"/>
          <w:lang w:val="en-ZA" w:eastAsia="en-ZA"/>
        </w:rPr>
      </w:pPr>
      <w:r w:rsidRPr="00DF4DB5">
        <w:rPr>
          <w:rFonts w:ascii="Arial" w:eastAsia="MS Mincho" w:hAnsi="Arial" w:cs="Arial"/>
          <w:bCs/>
          <w:sz w:val="24"/>
          <w:szCs w:val="24"/>
          <w:lang w:val="en-ZA" w:eastAsia="en-ZA"/>
        </w:rPr>
        <w:lastRenderedPageBreak/>
        <w:t>[2]</w:t>
      </w:r>
      <w:r w:rsidRPr="00DF4DB5">
        <w:rPr>
          <w:rFonts w:ascii="Arial" w:eastAsia="MS Mincho" w:hAnsi="Arial" w:cs="Arial"/>
          <w:bCs/>
          <w:sz w:val="24"/>
          <w:szCs w:val="24"/>
          <w:lang w:val="en-ZA" w:eastAsia="en-ZA"/>
        </w:rPr>
        <w:tab/>
      </w:r>
      <w:r w:rsidR="00E61FB7" w:rsidRPr="00DF4DB5">
        <w:rPr>
          <w:rFonts w:ascii="Arial" w:eastAsia="MS Mincho" w:hAnsi="Arial" w:cs="Arial"/>
          <w:bCs/>
          <w:sz w:val="24"/>
          <w:szCs w:val="24"/>
          <w:lang w:val="en-ZA" w:eastAsia="en-ZA"/>
        </w:rPr>
        <w:t xml:space="preserve">The background facts are largely undisputed. Two applications were launched separately by </w:t>
      </w:r>
      <w:r w:rsidR="009A0D9A" w:rsidRPr="00DF4DB5">
        <w:rPr>
          <w:rFonts w:ascii="Arial" w:eastAsia="MS Mincho" w:hAnsi="Arial" w:cs="Arial"/>
          <w:bCs/>
          <w:sz w:val="24"/>
          <w:szCs w:val="24"/>
          <w:lang w:val="en-ZA" w:eastAsia="en-ZA"/>
        </w:rPr>
        <w:t>the first and second respondents,</w:t>
      </w:r>
      <w:r w:rsidR="00E61FB7" w:rsidRPr="00DF4DB5">
        <w:rPr>
          <w:rFonts w:ascii="Arial" w:eastAsia="MS Mincho" w:hAnsi="Arial" w:cs="Arial"/>
          <w:bCs/>
          <w:sz w:val="24"/>
          <w:szCs w:val="24"/>
          <w:lang w:val="en-ZA" w:eastAsia="en-ZA"/>
        </w:rPr>
        <w:t xml:space="preserve"> both of whom contended that their employer had </w:t>
      </w:r>
      <w:r w:rsidR="008B4ED9" w:rsidRPr="00DF4DB5">
        <w:rPr>
          <w:rFonts w:ascii="Arial" w:eastAsia="MS Mincho" w:hAnsi="Arial" w:cs="Arial"/>
          <w:bCs/>
          <w:sz w:val="24"/>
          <w:szCs w:val="24"/>
          <w:lang w:val="en-ZA" w:eastAsia="en-ZA"/>
        </w:rPr>
        <w:t>e</w:t>
      </w:r>
      <w:r w:rsidR="00E61FB7" w:rsidRPr="00DF4DB5">
        <w:rPr>
          <w:rFonts w:ascii="Arial" w:eastAsia="MS Mincho" w:hAnsi="Arial" w:cs="Arial"/>
          <w:bCs/>
          <w:sz w:val="24"/>
          <w:szCs w:val="24"/>
          <w:lang w:val="en-ZA" w:eastAsia="en-ZA"/>
        </w:rPr>
        <w:t>ffected unauthorised deductions from their salar</w:t>
      </w:r>
      <w:r w:rsidR="00243B1B" w:rsidRPr="00DF4DB5">
        <w:rPr>
          <w:rFonts w:ascii="Arial" w:eastAsia="MS Mincho" w:hAnsi="Arial" w:cs="Arial"/>
          <w:bCs/>
          <w:sz w:val="24"/>
          <w:szCs w:val="24"/>
          <w:lang w:val="en-ZA" w:eastAsia="en-ZA"/>
        </w:rPr>
        <w:t>ies</w:t>
      </w:r>
      <w:r w:rsidR="00E61FB7" w:rsidRPr="00DF4DB5">
        <w:rPr>
          <w:rFonts w:ascii="Arial" w:eastAsia="MS Mincho" w:hAnsi="Arial" w:cs="Arial"/>
          <w:bCs/>
          <w:sz w:val="24"/>
          <w:szCs w:val="24"/>
          <w:lang w:val="en-ZA" w:eastAsia="en-ZA"/>
        </w:rPr>
        <w:t xml:space="preserve"> in </w:t>
      </w:r>
      <w:r w:rsidR="009A0D9A" w:rsidRPr="00DF4DB5">
        <w:rPr>
          <w:rFonts w:ascii="Arial" w:eastAsia="MS Mincho" w:hAnsi="Arial" w:cs="Arial"/>
          <w:bCs/>
          <w:sz w:val="24"/>
          <w:szCs w:val="24"/>
          <w:lang w:val="en-ZA" w:eastAsia="en-ZA"/>
        </w:rPr>
        <w:t>or about February 2021</w:t>
      </w:r>
      <w:r w:rsidR="000B4B86" w:rsidRPr="00DF4DB5">
        <w:rPr>
          <w:rFonts w:ascii="Arial" w:eastAsia="MS Mincho" w:hAnsi="Arial" w:cs="Arial"/>
          <w:bCs/>
          <w:sz w:val="24"/>
          <w:szCs w:val="24"/>
          <w:lang w:val="en-ZA" w:eastAsia="en-ZA"/>
        </w:rPr>
        <w:t>.</w:t>
      </w:r>
      <w:r w:rsidR="009A0D9A" w:rsidRPr="00DF4DB5">
        <w:rPr>
          <w:rStyle w:val="FootnoteReference"/>
          <w:rFonts w:ascii="Arial" w:eastAsia="MS Mincho" w:hAnsi="Arial" w:cs="Arial"/>
          <w:bCs/>
          <w:sz w:val="24"/>
          <w:szCs w:val="24"/>
          <w:lang w:val="en-ZA" w:eastAsia="en-ZA"/>
        </w:rPr>
        <w:footnoteReference w:id="1"/>
      </w:r>
      <w:r w:rsidR="009A0D9A" w:rsidRPr="00DF4DB5">
        <w:rPr>
          <w:rFonts w:ascii="Arial" w:eastAsia="MS Mincho" w:hAnsi="Arial" w:cs="Arial"/>
          <w:bCs/>
          <w:sz w:val="24"/>
          <w:szCs w:val="24"/>
          <w:lang w:val="en-ZA" w:eastAsia="en-ZA"/>
        </w:rPr>
        <w:t xml:space="preserve"> </w:t>
      </w:r>
      <w:r w:rsidR="00E61FB7" w:rsidRPr="00DF4DB5">
        <w:rPr>
          <w:rFonts w:ascii="Arial" w:eastAsia="MS Mincho" w:hAnsi="Arial" w:cs="Arial"/>
          <w:bCs/>
          <w:sz w:val="24"/>
          <w:szCs w:val="24"/>
          <w:lang w:val="en-ZA" w:eastAsia="en-ZA"/>
        </w:rPr>
        <w:t>The first respondent, Mr Gcini</w:t>
      </w:r>
      <w:r w:rsidR="003B2A10" w:rsidRPr="00DF4DB5">
        <w:rPr>
          <w:rFonts w:ascii="Arial" w:eastAsia="MS Mincho" w:hAnsi="Arial" w:cs="Arial"/>
          <w:bCs/>
          <w:sz w:val="24"/>
          <w:szCs w:val="24"/>
          <w:lang w:val="en-ZA" w:eastAsia="en-ZA"/>
        </w:rPr>
        <w:t xml:space="preserve">khaya Ngcangula, </w:t>
      </w:r>
      <w:r w:rsidR="00F2010E" w:rsidRPr="00DF4DB5">
        <w:rPr>
          <w:rFonts w:ascii="Arial" w:eastAsia="MS Mincho" w:hAnsi="Arial" w:cs="Arial"/>
          <w:bCs/>
          <w:sz w:val="24"/>
          <w:szCs w:val="24"/>
          <w:lang w:val="en-ZA" w:eastAsia="en-ZA"/>
        </w:rPr>
        <w:t xml:space="preserve">who </w:t>
      </w:r>
      <w:r w:rsidR="00EF0DAD" w:rsidRPr="00DF4DB5">
        <w:rPr>
          <w:rFonts w:ascii="Arial" w:eastAsia="MS Mincho" w:hAnsi="Arial" w:cs="Arial"/>
          <w:bCs/>
          <w:sz w:val="24"/>
          <w:szCs w:val="24"/>
          <w:lang w:val="en-ZA" w:eastAsia="en-ZA"/>
        </w:rPr>
        <w:t>wa</w:t>
      </w:r>
      <w:r w:rsidR="00D43E92" w:rsidRPr="00DF4DB5">
        <w:rPr>
          <w:rFonts w:ascii="Arial" w:eastAsia="MS Mincho" w:hAnsi="Arial" w:cs="Arial"/>
          <w:bCs/>
          <w:sz w:val="24"/>
          <w:szCs w:val="24"/>
          <w:lang w:val="en-ZA" w:eastAsia="en-ZA"/>
        </w:rPr>
        <w:t xml:space="preserve">s </w:t>
      </w:r>
      <w:r w:rsidR="003B2A10" w:rsidRPr="00DF4DB5">
        <w:rPr>
          <w:rFonts w:ascii="Arial" w:eastAsia="MS Mincho" w:hAnsi="Arial" w:cs="Arial"/>
          <w:bCs/>
          <w:sz w:val="24"/>
          <w:szCs w:val="24"/>
          <w:lang w:val="en-ZA" w:eastAsia="en-ZA"/>
        </w:rPr>
        <w:t>employed by the municipality as the Chief Traffic Officer</w:t>
      </w:r>
      <w:r w:rsidR="009A0D9A" w:rsidRPr="00DF4DB5">
        <w:rPr>
          <w:rFonts w:ascii="Arial" w:eastAsia="MS Mincho" w:hAnsi="Arial" w:cs="Arial"/>
          <w:bCs/>
          <w:sz w:val="24"/>
          <w:szCs w:val="24"/>
          <w:lang w:val="en-ZA" w:eastAsia="en-ZA"/>
        </w:rPr>
        <w:t>,</w:t>
      </w:r>
      <w:r w:rsidR="003B2A10" w:rsidRPr="00DF4DB5">
        <w:rPr>
          <w:rFonts w:ascii="Arial" w:eastAsia="MS Mincho" w:hAnsi="Arial" w:cs="Arial"/>
          <w:bCs/>
          <w:sz w:val="24"/>
          <w:szCs w:val="24"/>
          <w:lang w:val="en-ZA" w:eastAsia="en-ZA"/>
        </w:rPr>
        <w:t xml:space="preserve"> contended that in February 2021 his basic salary </w:t>
      </w:r>
      <w:r w:rsidR="00CD0B0A" w:rsidRPr="00DF4DB5">
        <w:rPr>
          <w:rFonts w:ascii="Arial" w:eastAsia="MS Mincho" w:hAnsi="Arial" w:cs="Arial"/>
          <w:bCs/>
          <w:sz w:val="24"/>
          <w:szCs w:val="24"/>
          <w:lang w:val="en-ZA" w:eastAsia="en-ZA"/>
        </w:rPr>
        <w:t xml:space="preserve">and his </w:t>
      </w:r>
      <w:r w:rsidR="003B2A10" w:rsidRPr="00DF4DB5">
        <w:rPr>
          <w:rFonts w:ascii="Arial" w:eastAsia="MS Mincho" w:hAnsi="Arial" w:cs="Arial"/>
          <w:bCs/>
          <w:sz w:val="24"/>
          <w:szCs w:val="24"/>
          <w:lang w:val="en-ZA" w:eastAsia="en-ZA"/>
        </w:rPr>
        <w:t>essential use allowance</w:t>
      </w:r>
      <w:r w:rsidR="00CD0B0A" w:rsidRPr="00DF4DB5">
        <w:rPr>
          <w:rFonts w:ascii="Arial" w:eastAsia="MS Mincho" w:hAnsi="Arial" w:cs="Arial"/>
          <w:bCs/>
          <w:sz w:val="24"/>
          <w:szCs w:val="24"/>
          <w:lang w:val="en-ZA" w:eastAsia="en-ZA"/>
        </w:rPr>
        <w:t xml:space="preserve"> were reduced</w:t>
      </w:r>
      <w:r w:rsidR="00767F61" w:rsidRPr="00DF4DB5">
        <w:rPr>
          <w:rFonts w:ascii="Arial" w:eastAsia="MS Mincho" w:hAnsi="Arial" w:cs="Arial"/>
          <w:bCs/>
          <w:sz w:val="24"/>
          <w:szCs w:val="24"/>
          <w:lang w:val="en-ZA" w:eastAsia="en-ZA"/>
        </w:rPr>
        <w:t xml:space="preserve"> without his consent</w:t>
      </w:r>
      <w:r w:rsidR="003B2A10" w:rsidRPr="00DF4DB5">
        <w:rPr>
          <w:rFonts w:ascii="Arial" w:eastAsia="MS Mincho" w:hAnsi="Arial" w:cs="Arial"/>
          <w:bCs/>
          <w:sz w:val="24"/>
          <w:szCs w:val="24"/>
          <w:lang w:val="en-ZA" w:eastAsia="en-ZA"/>
        </w:rPr>
        <w:t>.</w:t>
      </w:r>
      <w:r w:rsidR="009F1987" w:rsidRPr="00DF4DB5">
        <w:rPr>
          <w:rFonts w:ascii="Arial" w:eastAsia="MS Mincho" w:hAnsi="Arial" w:cs="Arial"/>
          <w:bCs/>
          <w:sz w:val="24"/>
          <w:szCs w:val="24"/>
          <w:lang w:val="en-ZA" w:eastAsia="en-ZA"/>
        </w:rPr>
        <w:t xml:space="preserve"> </w:t>
      </w:r>
      <w:r w:rsidR="009A0D9A" w:rsidRPr="00DF4DB5">
        <w:rPr>
          <w:rFonts w:ascii="Arial" w:eastAsia="MS Mincho" w:hAnsi="Arial" w:cs="Arial"/>
          <w:bCs/>
          <w:sz w:val="24"/>
          <w:szCs w:val="24"/>
          <w:lang w:val="en-ZA" w:eastAsia="en-ZA"/>
        </w:rPr>
        <w:t>The sec</w:t>
      </w:r>
      <w:r w:rsidR="00767F61" w:rsidRPr="00DF4DB5">
        <w:rPr>
          <w:rFonts w:ascii="Arial" w:eastAsia="MS Mincho" w:hAnsi="Arial" w:cs="Arial"/>
          <w:bCs/>
          <w:sz w:val="24"/>
          <w:szCs w:val="24"/>
          <w:lang w:val="en-ZA" w:eastAsia="en-ZA"/>
        </w:rPr>
        <w:t>ond respondent, Mr Malibongwe Nq</w:t>
      </w:r>
      <w:r w:rsidR="009A0D9A" w:rsidRPr="00DF4DB5">
        <w:rPr>
          <w:rFonts w:ascii="Arial" w:eastAsia="MS Mincho" w:hAnsi="Arial" w:cs="Arial"/>
          <w:bCs/>
          <w:sz w:val="24"/>
          <w:szCs w:val="24"/>
          <w:lang w:val="en-ZA" w:eastAsia="en-ZA"/>
        </w:rPr>
        <w:t xml:space="preserve">eketho, </w:t>
      </w:r>
      <w:r w:rsidR="00EF0DAD" w:rsidRPr="00DF4DB5">
        <w:rPr>
          <w:rFonts w:ascii="Arial" w:eastAsia="MS Mincho" w:hAnsi="Arial" w:cs="Arial"/>
          <w:bCs/>
          <w:sz w:val="24"/>
          <w:szCs w:val="24"/>
          <w:lang w:val="en-ZA" w:eastAsia="en-ZA"/>
        </w:rPr>
        <w:t>wa</w:t>
      </w:r>
      <w:r w:rsidR="00D43E92" w:rsidRPr="00DF4DB5">
        <w:rPr>
          <w:rFonts w:ascii="Arial" w:eastAsia="MS Mincho" w:hAnsi="Arial" w:cs="Arial"/>
          <w:bCs/>
          <w:sz w:val="24"/>
          <w:szCs w:val="24"/>
          <w:lang w:val="en-ZA" w:eastAsia="en-ZA"/>
        </w:rPr>
        <w:t xml:space="preserve">s </w:t>
      </w:r>
      <w:r w:rsidR="009A0D9A" w:rsidRPr="00DF4DB5">
        <w:rPr>
          <w:rFonts w:ascii="Arial" w:eastAsia="MS Mincho" w:hAnsi="Arial" w:cs="Arial"/>
          <w:bCs/>
          <w:sz w:val="24"/>
          <w:szCs w:val="24"/>
          <w:lang w:val="en-ZA" w:eastAsia="en-ZA"/>
        </w:rPr>
        <w:t>employed in the position of Deputy Director: Economic Development</w:t>
      </w:r>
      <w:r w:rsidR="000B4B86" w:rsidRPr="00DF4DB5">
        <w:rPr>
          <w:rFonts w:ascii="Arial" w:eastAsia="MS Mincho" w:hAnsi="Arial" w:cs="Arial"/>
          <w:bCs/>
          <w:sz w:val="24"/>
          <w:szCs w:val="24"/>
          <w:lang w:val="en-ZA" w:eastAsia="en-ZA"/>
        </w:rPr>
        <w:t>. He</w:t>
      </w:r>
      <w:r w:rsidR="009A0D9A" w:rsidRPr="00DF4DB5">
        <w:rPr>
          <w:rFonts w:ascii="Arial" w:eastAsia="MS Mincho" w:hAnsi="Arial" w:cs="Arial"/>
          <w:bCs/>
          <w:sz w:val="24"/>
          <w:szCs w:val="24"/>
          <w:lang w:val="en-ZA" w:eastAsia="en-ZA"/>
        </w:rPr>
        <w:t xml:space="preserve"> contended</w:t>
      </w:r>
      <w:r w:rsidR="000B4B86" w:rsidRPr="00DF4DB5">
        <w:rPr>
          <w:rFonts w:ascii="Arial" w:eastAsia="MS Mincho" w:hAnsi="Arial" w:cs="Arial"/>
          <w:bCs/>
          <w:sz w:val="24"/>
          <w:szCs w:val="24"/>
          <w:lang w:val="en-ZA" w:eastAsia="en-ZA"/>
        </w:rPr>
        <w:t xml:space="preserve"> along similar lines</w:t>
      </w:r>
      <w:r w:rsidR="009A0D9A" w:rsidRPr="00DF4DB5">
        <w:rPr>
          <w:rFonts w:ascii="Arial" w:eastAsia="MS Mincho" w:hAnsi="Arial" w:cs="Arial"/>
          <w:bCs/>
          <w:sz w:val="24"/>
          <w:szCs w:val="24"/>
          <w:lang w:val="en-ZA" w:eastAsia="en-ZA"/>
        </w:rPr>
        <w:t xml:space="preserve"> that his basic salary </w:t>
      </w:r>
      <w:r w:rsidR="00A475DC" w:rsidRPr="00DF4DB5">
        <w:rPr>
          <w:rFonts w:ascii="Arial" w:eastAsia="MS Mincho" w:hAnsi="Arial" w:cs="Arial"/>
          <w:bCs/>
          <w:sz w:val="24"/>
          <w:szCs w:val="24"/>
          <w:lang w:val="en-ZA" w:eastAsia="en-ZA"/>
        </w:rPr>
        <w:t>an</w:t>
      </w:r>
      <w:r w:rsidR="009A0D9A" w:rsidRPr="00DF4DB5">
        <w:rPr>
          <w:rFonts w:ascii="Arial" w:eastAsia="MS Mincho" w:hAnsi="Arial" w:cs="Arial"/>
          <w:bCs/>
          <w:sz w:val="24"/>
          <w:szCs w:val="24"/>
          <w:lang w:val="en-ZA" w:eastAsia="en-ZA"/>
        </w:rPr>
        <w:t>d his essential use allowance</w:t>
      </w:r>
      <w:r w:rsidR="00CD0B0A" w:rsidRPr="00DF4DB5">
        <w:rPr>
          <w:rFonts w:ascii="Arial" w:eastAsia="MS Mincho" w:hAnsi="Arial" w:cs="Arial"/>
          <w:bCs/>
          <w:sz w:val="24"/>
          <w:szCs w:val="24"/>
          <w:lang w:val="en-ZA" w:eastAsia="en-ZA"/>
        </w:rPr>
        <w:t xml:space="preserve"> were also reduced, without his consent</w:t>
      </w:r>
      <w:r w:rsidR="009A0D9A" w:rsidRPr="00DF4DB5">
        <w:rPr>
          <w:rFonts w:ascii="Arial" w:eastAsia="MS Mincho" w:hAnsi="Arial" w:cs="Arial"/>
          <w:bCs/>
          <w:sz w:val="24"/>
          <w:szCs w:val="24"/>
          <w:lang w:val="en-ZA" w:eastAsia="en-ZA"/>
        </w:rPr>
        <w:t xml:space="preserve">. </w:t>
      </w:r>
      <w:r w:rsidR="00A475DC" w:rsidRPr="00DF4DB5">
        <w:rPr>
          <w:rFonts w:ascii="Arial" w:eastAsia="MS Mincho" w:hAnsi="Arial" w:cs="Arial"/>
          <w:bCs/>
          <w:sz w:val="24"/>
          <w:szCs w:val="24"/>
          <w:lang w:val="en-ZA" w:eastAsia="en-ZA"/>
        </w:rPr>
        <w:t xml:space="preserve">It is not disputed that both respondents were contractually entitled </w:t>
      </w:r>
      <w:r w:rsidR="008C6B70" w:rsidRPr="00DF4DB5">
        <w:rPr>
          <w:rFonts w:ascii="Arial" w:eastAsia="MS Mincho" w:hAnsi="Arial" w:cs="Arial"/>
          <w:bCs/>
          <w:sz w:val="24"/>
          <w:szCs w:val="24"/>
          <w:lang w:val="en-ZA" w:eastAsia="en-ZA"/>
        </w:rPr>
        <w:t>to their</w:t>
      </w:r>
      <w:r w:rsidR="00A475DC" w:rsidRPr="00DF4DB5">
        <w:rPr>
          <w:rFonts w:ascii="Arial" w:eastAsia="MS Mincho" w:hAnsi="Arial" w:cs="Arial"/>
          <w:bCs/>
          <w:sz w:val="24"/>
          <w:szCs w:val="24"/>
          <w:lang w:val="en-ZA" w:eastAsia="en-ZA"/>
        </w:rPr>
        <w:t xml:space="preserve"> basic salaries, residential allowance</w:t>
      </w:r>
      <w:r w:rsidR="00F2010E" w:rsidRPr="00DF4DB5">
        <w:rPr>
          <w:rFonts w:ascii="Arial" w:eastAsia="MS Mincho" w:hAnsi="Arial" w:cs="Arial"/>
          <w:bCs/>
          <w:sz w:val="24"/>
          <w:szCs w:val="24"/>
          <w:lang w:val="en-ZA" w:eastAsia="en-ZA"/>
        </w:rPr>
        <w:t>s</w:t>
      </w:r>
      <w:r w:rsidR="00A475DC" w:rsidRPr="00DF4DB5">
        <w:rPr>
          <w:rFonts w:ascii="Arial" w:eastAsia="MS Mincho" w:hAnsi="Arial" w:cs="Arial"/>
          <w:bCs/>
          <w:sz w:val="24"/>
          <w:szCs w:val="24"/>
          <w:lang w:val="en-ZA" w:eastAsia="en-ZA"/>
        </w:rPr>
        <w:t xml:space="preserve">, </w:t>
      </w:r>
      <w:r w:rsidR="008C6B70" w:rsidRPr="00DF4DB5">
        <w:rPr>
          <w:rFonts w:ascii="Arial" w:eastAsia="MS Mincho" w:hAnsi="Arial" w:cs="Arial"/>
          <w:bCs/>
          <w:sz w:val="24"/>
          <w:szCs w:val="24"/>
          <w:lang w:val="en-ZA" w:eastAsia="en-ZA"/>
        </w:rPr>
        <w:t>cellular</w:t>
      </w:r>
      <w:r w:rsidR="00A475DC" w:rsidRPr="00DF4DB5">
        <w:rPr>
          <w:rFonts w:ascii="Arial" w:eastAsia="MS Mincho" w:hAnsi="Arial" w:cs="Arial"/>
          <w:bCs/>
          <w:sz w:val="24"/>
          <w:szCs w:val="24"/>
          <w:lang w:val="en-ZA" w:eastAsia="en-ZA"/>
        </w:rPr>
        <w:t xml:space="preserve"> </w:t>
      </w:r>
      <w:r w:rsidR="00F2010E" w:rsidRPr="00DF4DB5">
        <w:rPr>
          <w:rFonts w:ascii="Arial" w:eastAsia="MS Mincho" w:hAnsi="Arial" w:cs="Arial"/>
          <w:bCs/>
          <w:sz w:val="24"/>
          <w:szCs w:val="24"/>
          <w:lang w:val="en-ZA" w:eastAsia="en-ZA"/>
        </w:rPr>
        <w:t xml:space="preserve">allowances </w:t>
      </w:r>
      <w:r w:rsidR="00A475DC" w:rsidRPr="00DF4DB5">
        <w:rPr>
          <w:rFonts w:ascii="Arial" w:eastAsia="MS Mincho" w:hAnsi="Arial" w:cs="Arial"/>
          <w:bCs/>
          <w:sz w:val="24"/>
          <w:szCs w:val="24"/>
          <w:lang w:val="en-ZA" w:eastAsia="en-ZA"/>
        </w:rPr>
        <w:t>and essential use allowances as set out in their contracts of employment.</w:t>
      </w:r>
    </w:p>
    <w:p w14:paraId="69BC617C" w14:textId="1060F6E6" w:rsidR="00D528E8" w:rsidRPr="00DF4DB5" w:rsidRDefault="00A475DC" w:rsidP="00022BDD">
      <w:pPr>
        <w:spacing w:line="360" w:lineRule="auto"/>
        <w:jc w:val="both"/>
        <w:rPr>
          <w:rFonts w:ascii="Arial" w:eastAsia="MS Mincho" w:hAnsi="Arial" w:cs="Arial"/>
          <w:bCs/>
          <w:sz w:val="24"/>
          <w:szCs w:val="24"/>
          <w:lang w:val="en-ZA" w:eastAsia="en-ZA"/>
        </w:rPr>
      </w:pPr>
      <w:r w:rsidRPr="00DF4DB5">
        <w:rPr>
          <w:rFonts w:ascii="Arial" w:eastAsia="MS Mincho" w:hAnsi="Arial" w:cs="Arial"/>
          <w:bCs/>
          <w:sz w:val="24"/>
          <w:szCs w:val="24"/>
          <w:lang w:val="en-ZA" w:eastAsia="en-ZA"/>
        </w:rPr>
        <w:t>[3]</w:t>
      </w:r>
      <w:r w:rsidRPr="00DF4DB5">
        <w:rPr>
          <w:rFonts w:ascii="Arial" w:eastAsia="MS Mincho" w:hAnsi="Arial" w:cs="Arial"/>
          <w:bCs/>
          <w:sz w:val="24"/>
          <w:szCs w:val="24"/>
          <w:lang w:val="en-ZA" w:eastAsia="en-ZA"/>
        </w:rPr>
        <w:tab/>
      </w:r>
      <w:r w:rsidR="009A43DB" w:rsidRPr="00DF4DB5">
        <w:rPr>
          <w:rFonts w:ascii="Arial" w:eastAsia="MS Mincho" w:hAnsi="Arial" w:cs="Arial"/>
          <w:bCs/>
          <w:sz w:val="24"/>
          <w:szCs w:val="24"/>
          <w:lang w:val="en-ZA" w:eastAsia="en-ZA"/>
        </w:rPr>
        <w:t xml:space="preserve">On 25 March 2019 the municipality passed Resolution No. 01-18/19 to pay its employees a 2.5% notch increase on their basic salaries, retrospective to 2015. </w:t>
      </w:r>
      <w:r w:rsidR="00CD0B0A" w:rsidRPr="00DF4DB5">
        <w:rPr>
          <w:rFonts w:ascii="Arial" w:eastAsia="MS Mincho" w:hAnsi="Arial" w:cs="Arial"/>
          <w:bCs/>
          <w:sz w:val="24"/>
          <w:szCs w:val="24"/>
          <w:lang w:val="en-ZA" w:eastAsia="en-ZA"/>
        </w:rPr>
        <w:t>Both respondents benefitted from the notch increase.</w:t>
      </w:r>
      <w:r w:rsidR="00022BDD" w:rsidRPr="00DF4DB5">
        <w:rPr>
          <w:rFonts w:ascii="Arial" w:eastAsia="MS Mincho" w:hAnsi="Arial" w:cs="Arial"/>
          <w:bCs/>
          <w:sz w:val="24"/>
          <w:szCs w:val="24"/>
          <w:lang w:val="en-ZA" w:eastAsia="en-ZA"/>
        </w:rPr>
        <w:t xml:space="preserve"> </w:t>
      </w:r>
      <w:r w:rsidR="005931E9" w:rsidRPr="00DF4DB5">
        <w:rPr>
          <w:rFonts w:ascii="Arial" w:eastAsia="MS Mincho" w:hAnsi="Arial" w:cs="Arial"/>
          <w:bCs/>
          <w:sz w:val="24"/>
          <w:szCs w:val="24"/>
          <w:lang w:val="en-ZA" w:eastAsia="en-ZA"/>
        </w:rPr>
        <w:t xml:space="preserve">Mr Ngcangula </w:t>
      </w:r>
      <w:r w:rsidR="00767F61" w:rsidRPr="00DF4DB5">
        <w:rPr>
          <w:rFonts w:ascii="Arial" w:eastAsia="MS Mincho" w:hAnsi="Arial" w:cs="Arial"/>
          <w:bCs/>
          <w:sz w:val="24"/>
          <w:szCs w:val="24"/>
          <w:lang w:val="en-ZA" w:eastAsia="en-ZA"/>
        </w:rPr>
        <w:t xml:space="preserve">then </w:t>
      </w:r>
      <w:r w:rsidR="005931E9" w:rsidRPr="00DF4DB5">
        <w:rPr>
          <w:rFonts w:ascii="Arial" w:eastAsia="MS Mincho" w:hAnsi="Arial" w:cs="Arial"/>
          <w:bCs/>
          <w:sz w:val="24"/>
          <w:szCs w:val="24"/>
          <w:lang w:val="en-ZA" w:eastAsia="en-ZA"/>
        </w:rPr>
        <w:t>received a letter from the municipality dated 24</w:t>
      </w:r>
      <w:r w:rsidR="005A6686" w:rsidRPr="00DF4DB5">
        <w:rPr>
          <w:rFonts w:ascii="Arial" w:eastAsia="MS Mincho" w:hAnsi="Arial" w:cs="Arial"/>
          <w:bCs/>
          <w:sz w:val="24"/>
          <w:szCs w:val="24"/>
          <w:lang w:val="en-ZA" w:eastAsia="en-ZA"/>
        </w:rPr>
        <w:t xml:space="preserve"> </w:t>
      </w:r>
      <w:r w:rsidR="005931E9" w:rsidRPr="00DF4DB5">
        <w:rPr>
          <w:rFonts w:ascii="Arial" w:eastAsia="MS Mincho" w:hAnsi="Arial" w:cs="Arial"/>
          <w:bCs/>
          <w:sz w:val="24"/>
          <w:szCs w:val="24"/>
          <w:lang w:val="en-ZA" w:eastAsia="en-ZA"/>
        </w:rPr>
        <w:t xml:space="preserve">November 2020 informing him that the 2.5% increment to his salary </w:t>
      </w:r>
      <w:r w:rsidR="00CD0B0A" w:rsidRPr="00DF4DB5">
        <w:rPr>
          <w:rFonts w:ascii="Arial" w:eastAsia="MS Mincho" w:hAnsi="Arial" w:cs="Arial"/>
          <w:bCs/>
          <w:sz w:val="24"/>
          <w:szCs w:val="24"/>
          <w:lang w:val="en-ZA" w:eastAsia="en-ZA"/>
        </w:rPr>
        <w:t xml:space="preserve">paid </w:t>
      </w:r>
      <w:r w:rsidR="005931E9" w:rsidRPr="00DF4DB5">
        <w:rPr>
          <w:rFonts w:ascii="Arial" w:eastAsia="MS Mincho" w:hAnsi="Arial" w:cs="Arial"/>
          <w:bCs/>
          <w:sz w:val="24"/>
          <w:szCs w:val="24"/>
          <w:lang w:val="en-ZA" w:eastAsia="en-ZA"/>
        </w:rPr>
        <w:t>in accordance with Resolution No. 01-18/19 must be repaid as it was identified by the Office of the Auditor-General as an irregular</w:t>
      </w:r>
      <w:r w:rsidR="00DA747C" w:rsidRPr="00DF4DB5">
        <w:rPr>
          <w:rFonts w:ascii="Arial" w:eastAsia="MS Mincho" w:hAnsi="Arial" w:cs="Arial"/>
          <w:bCs/>
          <w:sz w:val="24"/>
          <w:szCs w:val="24"/>
          <w:lang w:val="en-ZA" w:eastAsia="en-ZA"/>
        </w:rPr>
        <w:t xml:space="preserve"> expense.</w:t>
      </w:r>
      <w:r w:rsidR="005931E9" w:rsidRPr="00DF4DB5">
        <w:rPr>
          <w:rFonts w:ascii="Arial" w:eastAsia="MS Mincho" w:hAnsi="Arial" w:cs="Arial"/>
          <w:bCs/>
          <w:sz w:val="24"/>
          <w:szCs w:val="24"/>
          <w:lang w:val="en-ZA" w:eastAsia="en-ZA"/>
        </w:rPr>
        <w:t xml:space="preserve"> Mr Ngcangula was directed to repay the amount of R218 306.33 before 30 June 2021. </w:t>
      </w:r>
      <w:r w:rsidR="00767F61" w:rsidRPr="00DF4DB5">
        <w:rPr>
          <w:rFonts w:ascii="Arial" w:eastAsia="MS Mincho" w:hAnsi="Arial" w:cs="Arial"/>
          <w:bCs/>
          <w:sz w:val="24"/>
          <w:szCs w:val="24"/>
          <w:lang w:val="en-ZA" w:eastAsia="en-ZA"/>
        </w:rPr>
        <w:t>Mr Nqeketho received a similar demand to repay the amount of R 216 582.95 before 30 June 2021.</w:t>
      </w:r>
    </w:p>
    <w:p w14:paraId="7AF4D000" w14:textId="77777777" w:rsidR="00D528E8" w:rsidRPr="00DF4DB5" w:rsidRDefault="00D528E8" w:rsidP="00D528E8">
      <w:pPr>
        <w:pStyle w:val="lg-a-1"/>
        <w:shd w:val="clear" w:color="auto" w:fill="FFFFFF"/>
        <w:spacing w:before="180" w:beforeAutospacing="0" w:after="0" w:afterAutospacing="0" w:line="360" w:lineRule="auto"/>
        <w:jc w:val="both"/>
        <w:rPr>
          <w:rFonts w:ascii="Arial" w:hAnsi="Arial" w:cs="Arial"/>
          <w:b/>
        </w:rPr>
      </w:pPr>
      <w:r w:rsidRPr="00DF4DB5">
        <w:rPr>
          <w:rFonts w:ascii="Arial" w:hAnsi="Arial" w:cs="Arial"/>
          <w:b/>
        </w:rPr>
        <w:t>In the high court</w:t>
      </w:r>
    </w:p>
    <w:p w14:paraId="1CDC76CE" w14:textId="5F8D13C0" w:rsidR="00D528E8" w:rsidRPr="00DF4DB5" w:rsidRDefault="00767F61" w:rsidP="00767F61">
      <w:pPr>
        <w:tabs>
          <w:tab w:val="left" w:pos="567"/>
        </w:tabs>
        <w:spacing w:line="360" w:lineRule="auto"/>
        <w:jc w:val="both"/>
        <w:rPr>
          <w:rFonts w:ascii="Arial" w:eastAsia="MS Mincho" w:hAnsi="Arial" w:cs="Arial"/>
          <w:bCs/>
          <w:sz w:val="24"/>
          <w:szCs w:val="24"/>
          <w:lang w:val="en-ZA" w:eastAsia="en-ZA"/>
        </w:rPr>
      </w:pPr>
      <w:r w:rsidRPr="00DF4DB5">
        <w:rPr>
          <w:rFonts w:ascii="Arial" w:eastAsia="MS Mincho" w:hAnsi="Arial" w:cs="Arial"/>
          <w:bCs/>
          <w:sz w:val="24"/>
          <w:szCs w:val="24"/>
          <w:lang w:val="en-ZA" w:eastAsia="en-ZA"/>
        </w:rPr>
        <w:t>[4]</w:t>
      </w:r>
      <w:r w:rsidRPr="00DF4DB5">
        <w:rPr>
          <w:rFonts w:ascii="Arial" w:eastAsia="MS Mincho" w:hAnsi="Arial" w:cs="Arial"/>
          <w:bCs/>
          <w:sz w:val="24"/>
          <w:szCs w:val="24"/>
          <w:lang w:val="en-ZA" w:eastAsia="en-ZA"/>
        </w:rPr>
        <w:tab/>
      </w:r>
      <w:r w:rsidR="008B0530" w:rsidRPr="00DF4DB5">
        <w:rPr>
          <w:rFonts w:ascii="Arial" w:eastAsia="MS Mincho" w:hAnsi="Arial" w:cs="Arial"/>
          <w:bCs/>
          <w:sz w:val="24"/>
          <w:szCs w:val="24"/>
          <w:lang w:val="en-ZA" w:eastAsia="en-ZA"/>
        </w:rPr>
        <w:t xml:space="preserve">In the </w:t>
      </w:r>
      <w:r w:rsidR="005931E9" w:rsidRPr="00DF4DB5">
        <w:rPr>
          <w:rFonts w:ascii="Arial" w:eastAsia="MS Mincho" w:hAnsi="Arial" w:cs="Arial"/>
          <w:bCs/>
          <w:sz w:val="24"/>
          <w:szCs w:val="24"/>
          <w:lang w:val="en-ZA" w:eastAsia="en-ZA"/>
        </w:rPr>
        <w:t xml:space="preserve">high </w:t>
      </w:r>
      <w:r w:rsidR="005A6686" w:rsidRPr="00DF4DB5">
        <w:rPr>
          <w:rFonts w:ascii="Arial" w:eastAsia="MS Mincho" w:hAnsi="Arial" w:cs="Arial"/>
          <w:bCs/>
          <w:sz w:val="24"/>
          <w:szCs w:val="24"/>
          <w:lang w:val="en-ZA" w:eastAsia="en-ZA"/>
        </w:rPr>
        <w:t>court</w:t>
      </w:r>
      <w:r w:rsidR="00BF10DC" w:rsidRPr="00DF4DB5">
        <w:rPr>
          <w:rFonts w:ascii="Arial" w:eastAsia="MS Mincho" w:hAnsi="Arial" w:cs="Arial"/>
          <w:bCs/>
          <w:sz w:val="24"/>
          <w:szCs w:val="24"/>
          <w:lang w:val="en-ZA" w:eastAsia="en-ZA"/>
        </w:rPr>
        <w:t>,</w:t>
      </w:r>
      <w:r w:rsidR="005A6686" w:rsidRPr="00DF4DB5">
        <w:rPr>
          <w:rFonts w:ascii="Arial" w:eastAsia="MS Mincho" w:hAnsi="Arial" w:cs="Arial"/>
          <w:bCs/>
          <w:sz w:val="24"/>
          <w:szCs w:val="24"/>
          <w:lang w:val="en-ZA" w:eastAsia="en-ZA"/>
        </w:rPr>
        <w:t xml:space="preserve"> the municipality contended</w:t>
      </w:r>
      <w:r w:rsidR="005931E9" w:rsidRPr="00DF4DB5">
        <w:rPr>
          <w:rFonts w:ascii="Arial" w:eastAsia="MS Mincho" w:hAnsi="Arial" w:cs="Arial"/>
          <w:bCs/>
          <w:sz w:val="24"/>
          <w:szCs w:val="24"/>
          <w:lang w:val="en-ZA" w:eastAsia="en-ZA"/>
        </w:rPr>
        <w:t xml:space="preserve"> that the decision to recover monies paid to the employees (including the respondents) was lawful as they were </w:t>
      </w:r>
      <w:r w:rsidR="005A6686" w:rsidRPr="00DF4DB5">
        <w:rPr>
          <w:rFonts w:ascii="Arial" w:eastAsia="MS Mincho" w:hAnsi="Arial" w:cs="Arial"/>
          <w:bCs/>
          <w:sz w:val="24"/>
          <w:szCs w:val="24"/>
          <w:lang w:val="en-ZA" w:eastAsia="en-ZA"/>
        </w:rPr>
        <w:t>‘</w:t>
      </w:r>
      <w:r w:rsidR="005931E9" w:rsidRPr="00DF4DB5">
        <w:rPr>
          <w:rFonts w:ascii="Arial" w:eastAsia="MS Mincho" w:hAnsi="Arial" w:cs="Arial"/>
          <w:bCs/>
          <w:sz w:val="24"/>
          <w:szCs w:val="24"/>
          <w:lang w:val="en-ZA" w:eastAsia="en-ZA"/>
        </w:rPr>
        <w:t>overpaid</w:t>
      </w:r>
      <w:r w:rsidR="005A6686" w:rsidRPr="00DF4DB5">
        <w:rPr>
          <w:rFonts w:ascii="Arial" w:eastAsia="MS Mincho" w:hAnsi="Arial" w:cs="Arial"/>
          <w:bCs/>
          <w:sz w:val="24"/>
          <w:szCs w:val="24"/>
          <w:lang w:val="en-ZA" w:eastAsia="en-ZA"/>
        </w:rPr>
        <w:t xml:space="preserve">’ </w:t>
      </w:r>
      <w:r w:rsidR="00DA747C" w:rsidRPr="00DF4DB5">
        <w:rPr>
          <w:rFonts w:ascii="Arial" w:eastAsia="MS Mincho" w:hAnsi="Arial" w:cs="Arial"/>
          <w:bCs/>
          <w:sz w:val="24"/>
          <w:szCs w:val="24"/>
          <w:lang w:val="en-ZA" w:eastAsia="en-ZA"/>
        </w:rPr>
        <w:t xml:space="preserve">because they had not been placed on salary scales in terms of an ongoing job evaluation process which was considered a </w:t>
      </w:r>
      <w:r w:rsidR="00DA747C" w:rsidRPr="00DF4DB5">
        <w:rPr>
          <w:rFonts w:ascii="Arial" w:hAnsi="Arial" w:cs="Arial"/>
          <w:sz w:val="24"/>
          <w:szCs w:val="24"/>
        </w:rPr>
        <w:t xml:space="preserve">qualifying condition for the notch increment.  Accordingly, it was contended that </w:t>
      </w:r>
      <w:r w:rsidR="00233C53" w:rsidRPr="00DF4DB5">
        <w:rPr>
          <w:rFonts w:ascii="Arial" w:eastAsia="MS Mincho" w:hAnsi="Arial" w:cs="Arial"/>
          <w:bCs/>
          <w:sz w:val="24"/>
          <w:szCs w:val="24"/>
          <w:lang w:val="en-ZA" w:eastAsia="en-ZA"/>
        </w:rPr>
        <w:t>t</w:t>
      </w:r>
      <w:r w:rsidR="005931E9" w:rsidRPr="00DF4DB5">
        <w:rPr>
          <w:rFonts w:ascii="Arial" w:eastAsia="MS Mincho" w:hAnsi="Arial" w:cs="Arial"/>
          <w:bCs/>
          <w:sz w:val="24"/>
          <w:szCs w:val="24"/>
          <w:lang w:val="en-ZA" w:eastAsia="en-ZA"/>
        </w:rPr>
        <w:t xml:space="preserve">hey were </w:t>
      </w:r>
      <w:r w:rsidR="008B0530" w:rsidRPr="00DF4DB5">
        <w:rPr>
          <w:rFonts w:ascii="Arial" w:eastAsia="MS Mincho" w:hAnsi="Arial" w:cs="Arial"/>
          <w:bCs/>
          <w:sz w:val="24"/>
          <w:szCs w:val="24"/>
          <w:lang w:val="en-ZA" w:eastAsia="en-ZA"/>
        </w:rPr>
        <w:t xml:space="preserve">never </w:t>
      </w:r>
      <w:r w:rsidR="005931E9" w:rsidRPr="00DF4DB5">
        <w:rPr>
          <w:rFonts w:ascii="Arial" w:eastAsia="MS Mincho" w:hAnsi="Arial" w:cs="Arial"/>
          <w:bCs/>
          <w:sz w:val="24"/>
          <w:szCs w:val="24"/>
          <w:lang w:val="en-ZA" w:eastAsia="en-ZA"/>
        </w:rPr>
        <w:t>entitled to the 2.5% notch increase</w:t>
      </w:r>
      <w:r w:rsidR="00DA747C" w:rsidRPr="00DF4DB5">
        <w:rPr>
          <w:rFonts w:ascii="Arial" w:eastAsia="MS Mincho" w:hAnsi="Arial" w:cs="Arial"/>
          <w:bCs/>
          <w:sz w:val="24"/>
          <w:szCs w:val="24"/>
          <w:lang w:val="en-ZA" w:eastAsia="en-ZA"/>
        </w:rPr>
        <w:t>.</w:t>
      </w:r>
      <w:r w:rsidR="00C82208" w:rsidRPr="00DF4DB5">
        <w:rPr>
          <w:rFonts w:ascii="Arial" w:eastAsia="MS Mincho" w:hAnsi="Arial" w:cs="Arial"/>
          <w:bCs/>
          <w:sz w:val="24"/>
          <w:szCs w:val="24"/>
          <w:lang w:val="en-ZA" w:eastAsia="en-ZA"/>
        </w:rPr>
        <w:t xml:space="preserve"> </w:t>
      </w:r>
      <w:r w:rsidR="005A6686" w:rsidRPr="00DF4DB5">
        <w:rPr>
          <w:rFonts w:ascii="Arial" w:eastAsia="MS Mincho" w:hAnsi="Arial" w:cs="Arial"/>
          <w:bCs/>
          <w:sz w:val="24"/>
          <w:szCs w:val="24"/>
          <w:lang w:val="en-ZA" w:eastAsia="en-ZA"/>
        </w:rPr>
        <w:t xml:space="preserve">It was </w:t>
      </w:r>
      <w:r w:rsidR="00271B6F" w:rsidRPr="00DF4DB5">
        <w:rPr>
          <w:rFonts w:ascii="Arial" w:eastAsia="MS Mincho" w:hAnsi="Arial" w:cs="Arial"/>
          <w:bCs/>
          <w:sz w:val="24"/>
          <w:szCs w:val="24"/>
          <w:lang w:val="en-ZA" w:eastAsia="en-ZA"/>
        </w:rPr>
        <w:t xml:space="preserve">uncertain whether the </w:t>
      </w:r>
      <w:r w:rsidR="00E700EC" w:rsidRPr="00DF4DB5">
        <w:rPr>
          <w:rFonts w:ascii="Arial" w:eastAsia="MS Mincho" w:hAnsi="Arial" w:cs="Arial"/>
          <w:bCs/>
          <w:sz w:val="24"/>
          <w:szCs w:val="24"/>
          <w:lang w:val="en-ZA" w:eastAsia="en-ZA"/>
        </w:rPr>
        <w:t xml:space="preserve">two respondents </w:t>
      </w:r>
      <w:r w:rsidR="00271B6F" w:rsidRPr="00DF4DB5">
        <w:rPr>
          <w:rFonts w:ascii="Arial" w:eastAsia="MS Mincho" w:hAnsi="Arial" w:cs="Arial"/>
          <w:bCs/>
          <w:sz w:val="24"/>
          <w:szCs w:val="24"/>
          <w:lang w:val="en-ZA" w:eastAsia="en-ZA"/>
        </w:rPr>
        <w:t>had reached the top of the applicable salary scale</w:t>
      </w:r>
      <w:r w:rsidR="00E700EC" w:rsidRPr="00DF4DB5">
        <w:rPr>
          <w:rFonts w:ascii="Arial" w:eastAsia="MS Mincho" w:hAnsi="Arial" w:cs="Arial"/>
          <w:bCs/>
          <w:sz w:val="24"/>
          <w:szCs w:val="24"/>
          <w:lang w:val="en-ZA" w:eastAsia="en-ZA"/>
        </w:rPr>
        <w:t>s</w:t>
      </w:r>
      <w:r w:rsidR="00271B6F" w:rsidRPr="00DF4DB5">
        <w:rPr>
          <w:rFonts w:ascii="Arial" w:eastAsia="MS Mincho" w:hAnsi="Arial" w:cs="Arial"/>
          <w:bCs/>
          <w:sz w:val="24"/>
          <w:szCs w:val="24"/>
          <w:lang w:val="en-ZA" w:eastAsia="en-ZA"/>
        </w:rPr>
        <w:t>.</w:t>
      </w:r>
      <w:r w:rsidR="00290B7B" w:rsidRPr="00DF4DB5">
        <w:rPr>
          <w:rFonts w:ascii="Arial" w:eastAsia="MS Mincho" w:hAnsi="Arial" w:cs="Arial"/>
          <w:bCs/>
          <w:sz w:val="24"/>
          <w:szCs w:val="24"/>
          <w:lang w:val="en-ZA" w:eastAsia="en-ZA"/>
        </w:rPr>
        <w:t xml:space="preserve"> </w:t>
      </w:r>
    </w:p>
    <w:p w14:paraId="50C67867" w14:textId="5B2F8C68" w:rsidR="00087C1F" w:rsidRPr="00DF4DB5" w:rsidRDefault="002E593C" w:rsidP="00022BDD">
      <w:pPr>
        <w:spacing w:line="360" w:lineRule="auto"/>
        <w:jc w:val="both"/>
        <w:rPr>
          <w:rFonts w:ascii="Arial" w:eastAsia="MS Mincho" w:hAnsi="Arial" w:cs="Arial"/>
          <w:bCs/>
          <w:sz w:val="24"/>
          <w:szCs w:val="24"/>
          <w:lang w:val="en-ZA" w:eastAsia="en-ZA"/>
        </w:rPr>
      </w:pPr>
      <w:r w:rsidRPr="00DF4DB5">
        <w:rPr>
          <w:rFonts w:ascii="Arial" w:eastAsia="MS Mincho" w:hAnsi="Arial" w:cs="Arial"/>
          <w:bCs/>
          <w:sz w:val="24"/>
          <w:szCs w:val="24"/>
          <w:lang w:val="en-ZA" w:eastAsia="en-ZA"/>
        </w:rPr>
        <w:t>[5</w:t>
      </w:r>
      <w:r w:rsidR="00D528E8" w:rsidRPr="00DF4DB5">
        <w:rPr>
          <w:rFonts w:ascii="Arial" w:eastAsia="MS Mincho" w:hAnsi="Arial" w:cs="Arial"/>
          <w:bCs/>
          <w:sz w:val="24"/>
          <w:szCs w:val="24"/>
          <w:lang w:val="en-ZA" w:eastAsia="en-ZA"/>
        </w:rPr>
        <w:t>]</w:t>
      </w:r>
      <w:r w:rsidR="00D528E8" w:rsidRPr="00DF4DB5">
        <w:rPr>
          <w:rFonts w:ascii="Arial" w:eastAsia="MS Mincho" w:hAnsi="Arial" w:cs="Arial"/>
          <w:bCs/>
          <w:sz w:val="24"/>
          <w:szCs w:val="24"/>
          <w:lang w:val="en-ZA" w:eastAsia="en-ZA"/>
        </w:rPr>
        <w:tab/>
        <w:t xml:space="preserve">The </w:t>
      </w:r>
      <w:r w:rsidR="001E7A23" w:rsidRPr="00DF4DB5">
        <w:rPr>
          <w:rFonts w:ascii="Arial" w:eastAsia="MS Mincho" w:hAnsi="Arial" w:cs="Arial"/>
          <w:bCs/>
          <w:sz w:val="24"/>
          <w:szCs w:val="24"/>
          <w:lang w:val="en-ZA" w:eastAsia="en-ZA"/>
        </w:rPr>
        <w:t>municipality contended</w:t>
      </w:r>
      <w:r w:rsidR="00D528E8" w:rsidRPr="00DF4DB5">
        <w:rPr>
          <w:rFonts w:ascii="Arial" w:eastAsia="MS Mincho" w:hAnsi="Arial" w:cs="Arial"/>
          <w:bCs/>
          <w:sz w:val="24"/>
          <w:szCs w:val="24"/>
          <w:lang w:val="en-ZA" w:eastAsia="en-ZA"/>
        </w:rPr>
        <w:t xml:space="preserve"> that </w:t>
      </w:r>
      <w:r w:rsidR="00271B6F" w:rsidRPr="00DF4DB5">
        <w:rPr>
          <w:rFonts w:ascii="Arial" w:eastAsia="MS Mincho" w:hAnsi="Arial" w:cs="Arial"/>
          <w:bCs/>
          <w:sz w:val="24"/>
          <w:szCs w:val="24"/>
          <w:lang w:val="en-ZA" w:eastAsia="en-ZA"/>
        </w:rPr>
        <w:t xml:space="preserve">the decision to cease paying </w:t>
      </w:r>
      <w:r w:rsidR="00854508" w:rsidRPr="00DF4DB5">
        <w:rPr>
          <w:rFonts w:ascii="Arial" w:eastAsia="MS Mincho" w:hAnsi="Arial" w:cs="Arial"/>
          <w:bCs/>
          <w:sz w:val="24"/>
          <w:szCs w:val="24"/>
          <w:lang w:val="en-ZA" w:eastAsia="en-ZA"/>
        </w:rPr>
        <w:t xml:space="preserve">the </w:t>
      </w:r>
      <w:r w:rsidR="00271B6F" w:rsidRPr="00DF4DB5">
        <w:rPr>
          <w:rFonts w:ascii="Arial" w:eastAsia="MS Mincho" w:hAnsi="Arial" w:cs="Arial"/>
          <w:bCs/>
          <w:sz w:val="24"/>
          <w:szCs w:val="24"/>
          <w:lang w:val="en-ZA" w:eastAsia="en-ZA"/>
        </w:rPr>
        <w:t xml:space="preserve">notch increase was </w:t>
      </w:r>
      <w:r w:rsidR="00E700EC" w:rsidRPr="00DF4DB5">
        <w:rPr>
          <w:rFonts w:ascii="Arial" w:eastAsia="MS Mincho" w:hAnsi="Arial" w:cs="Arial"/>
          <w:bCs/>
          <w:sz w:val="24"/>
          <w:szCs w:val="24"/>
          <w:lang w:val="en-ZA" w:eastAsia="en-ZA"/>
        </w:rPr>
        <w:t xml:space="preserve">both </w:t>
      </w:r>
      <w:r w:rsidR="00271B6F" w:rsidRPr="00DF4DB5">
        <w:rPr>
          <w:rFonts w:ascii="Arial" w:eastAsia="MS Mincho" w:hAnsi="Arial" w:cs="Arial"/>
          <w:bCs/>
          <w:sz w:val="24"/>
          <w:szCs w:val="24"/>
          <w:lang w:val="en-ZA" w:eastAsia="en-ZA"/>
        </w:rPr>
        <w:t xml:space="preserve">lawful and justifiable </w:t>
      </w:r>
      <w:r w:rsidR="00BF10DC" w:rsidRPr="00DF4DB5">
        <w:rPr>
          <w:rFonts w:ascii="Arial" w:eastAsia="MS Mincho" w:hAnsi="Arial" w:cs="Arial"/>
          <w:bCs/>
          <w:sz w:val="24"/>
          <w:szCs w:val="24"/>
          <w:lang w:val="en-ZA" w:eastAsia="en-ZA"/>
        </w:rPr>
        <w:t xml:space="preserve">as it was </w:t>
      </w:r>
      <w:r w:rsidR="00271B6F" w:rsidRPr="00DF4DB5">
        <w:rPr>
          <w:rFonts w:ascii="Arial" w:eastAsia="MS Mincho" w:hAnsi="Arial" w:cs="Arial"/>
          <w:bCs/>
          <w:sz w:val="24"/>
          <w:szCs w:val="24"/>
          <w:lang w:val="en-ZA" w:eastAsia="en-ZA"/>
        </w:rPr>
        <w:t>aimed at correcting its earlier decision.</w:t>
      </w:r>
      <w:r w:rsidR="00BF10DC" w:rsidRPr="00DF4DB5">
        <w:rPr>
          <w:rFonts w:ascii="Arial" w:eastAsia="MS Mincho" w:hAnsi="Arial" w:cs="Arial"/>
          <w:bCs/>
          <w:sz w:val="24"/>
          <w:szCs w:val="24"/>
          <w:lang w:val="en-ZA" w:eastAsia="en-ZA"/>
        </w:rPr>
        <w:t xml:space="preserve"> </w:t>
      </w:r>
      <w:r w:rsidR="00D528E8" w:rsidRPr="00DF4DB5">
        <w:rPr>
          <w:rFonts w:ascii="Arial" w:hAnsi="Arial" w:cs="Arial"/>
          <w:sz w:val="24"/>
          <w:szCs w:val="24"/>
        </w:rPr>
        <w:t xml:space="preserve">It alleged that its conduct did not constitute a ‘deduction’ as contemplated in </w:t>
      </w:r>
      <w:r w:rsidR="00D528E8" w:rsidRPr="00DF4DB5">
        <w:rPr>
          <w:rFonts w:ascii="Arial" w:hAnsi="Arial" w:cs="Arial"/>
          <w:sz w:val="24"/>
          <w:szCs w:val="24"/>
        </w:rPr>
        <w:lastRenderedPageBreak/>
        <w:t>sub-sec</w:t>
      </w:r>
      <w:r w:rsidR="00F2010E" w:rsidRPr="00DF4DB5">
        <w:rPr>
          <w:rFonts w:ascii="Arial" w:hAnsi="Arial" w:cs="Arial"/>
          <w:sz w:val="24"/>
          <w:szCs w:val="24"/>
        </w:rPr>
        <w:t>s</w:t>
      </w:r>
      <w:r w:rsidR="00D528E8" w:rsidRPr="00DF4DB5">
        <w:rPr>
          <w:rFonts w:ascii="Arial" w:hAnsi="Arial" w:cs="Arial"/>
          <w:sz w:val="24"/>
          <w:szCs w:val="24"/>
        </w:rPr>
        <w:t xml:space="preserve"> 34(1) and 34(2) of the Employment Act</w:t>
      </w:r>
      <w:r w:rsidR="00D528E8" w:rsidRPr="00DF4DB5">
        <w:rPr>
          <w:rFonts w:ascii="Arial" w:hAnsi="Arial" w:cs="Arial"/>
        </w:rPr>
        <w:t>.</w:t>
      </w:r>
      <w:r w:rsidR="009F1987" w:rsidRPr="00DF4DB5">
        <w:rPr>
          <w:rFonts w:ascii="Arial" w:hAnsi="Arial" w:cs="Arial"/>
        </w:rPr>
        <w:t xml:space="preserve"> </w:t>
      </w:r>
      <w:r w:rsidR="008B0530" w:rsidRPr="00DF4DB5">
        <w:rPr>
          <w:rFonts w:ascii="Arial" w:eastAsia="MS Mincho" w:hAnsi="Arial" w:cs="Arial"/>
          <w:bCs/>
          <w:sz w:val="24"/>
          <w:szCs w:val="24"/>
          <w:lang w:val="en-ZA" w:eastAsia="en-ZA"/>
        </w:rPr>
        <w:t>T</w:t>
      </w:r>
      <w:r w:rsidR="00271B6F" w:rsidRPr="00DF4DB5">
        <w:rPr>
          <w:rFonts w:ascii="Arial" w:eastAsia="MS Mincho" w:hAnsi="Arial" w:cs="Arial"/>
          <w:bCs/>
          <w:sz w:val="24"/>
          <w:szCs w:val="24"/>
          <w:lang w:val="en-ZA" w:eastAsia="en-ZA"/>
        </w:rPr>
        <w:t xml:space="preserve">he respondents </w:t>
      </w:r>
      <w:r w:rsidR="008B0530" w:rsidRPr="00DF4DB5">
        <w:rPr>
          <w:rFonts w:ascii="Arial" w:eastAsia="MS Mincho" w:hAnsi="Arial" w:cs="Arial"/>
          <w:bCs/>
          <w:sz w:val="24"/>
          <w:szCs w:val="24"/>
          <w:lang w:val="en-ZA" w:eastAsia="en-ZA"/>
        </w:rPr>
        <w:t xml:space="preserve">however </w:t>
      </w:r>
      <w:r w:rsidR="00271B6F" w:rsidRPr="00DF4DB5">
        <w:rPr>
          <w:rFonts w:ascii="Arial" w:eastAsia="MS Mincho" w:hAnsi="Arial" w:cs="Arial"/>
          <w:bCs/>
          <w:sz w:val="24"/>
          <w:szCs w:val="24"/>
          <w:lang w:val="en-ZA" w:eastAsia="en-ZA"/>
        </w:rPr>
        <w:t xml:space="preserve">contended that the decision to cease paying their notch increase was made without any representations being </w:t>
      </w:r>
      <w:r w:rsidR="00BF10DC" w:rsidRPr="00DF4DB5">
        <w:rPr>
          <w:rFonts w:ascii="Arial" w:eastAsia="MS Mincho" w:hAnsi="Arial" w:cs="Arial"/>
          <w:bCs/>
          <w:sz w:val="24"/>
          <w:szCs w:val="24"/>
          <w:lang w:val="en-ZA" w:eastAsia="en-ZA"/>
        </w:rPr>
        <w:t xml:space="preserve">sought </w:t>
      </w:r>
      <w:r w:rsidR="00271B6F" w:rsidRPr="00DF4DB5">
        <w:rPr>
          <w:rFonts w:ascii="Arial" w:eastAsia="MS Mincho" w:hAnsi="Arial" w:cs="Arial"/>
          <w:bCs/>
          <w:sz w:val="24"/>
          <w:szCs w:val="24"/>
          <w:lang w:val="en-ZA" w:eastAsia="en-ZA"/>
        </w:rPr>
        <w:t>from them</w:t>
      </w:r>
      <w:r w:rsidRPr="00DF4DB5">
        <w:rPr>
          <w:rFonts w:ascii="Arial" w:eastAsia="MS Mincho" w:hAnsi="Arial" w:cs="Arial"/>
          <w:bCs/>
          <w:sz w:val="24"/>
          <w:szCs w:val="24"/>
          <w:lang w:val="en-ZA" w:eastAsia="en-ZA"/>
        </w:rPr>
        <w:t>.</w:t>
      </w:r>
      <w:r w:rsidR="009F1987" w:rsidRPr="00DF4DB5">
        <w:rPr>
          <w:rFonts w:ascii="Arial" w:eastAsia="MS Mincho" w:hAnsi="Arial" w:cs="Arial"/>
          <w:bCs/>
          <w:sz w:val="24"/>
          <w:szCs w:val="24"/>
          <w:lang w:val="en-ZA" w:eastAsia="en-ZA"/>
        </w:rPr>
        <w:t xml:space="preserve"> </w:t>
      </w:r>
      <w:r w:rsidRPr="00DF4DB5">
        <w:rPr>
          <w:rFonts w:ascii="Arial" w:eastAsia="MS Mincho" w:hAnsi="Arial" w:cs="Arial"/>
          <w:bCs/>
          <w:sz w:val="24"/>
          <w:szCs w:val="24"/>
          <w:lang w:val="en-ZA" w:eastAsia="en-ZA"/>
        </w:rPr>
        <w:t xml:space="preserve">The </w:t>
      </w:r>
      <w:r w:rsidR="00271B6F" w:rsidRPr="00DF4DB5">
        <w:rPr>
          <w:rFonts w:ascii="Arial" w:eastAsia="MS Mincho" w:hAnsi="Arial" w:cs="Arial"/>
          <w:bCs/>
          <w:sz w:val="24"/>
          <w:szCs w:val="24"/>
          <w:lang w:val="en-ZA" w:eastAsia="en-ZA"/>
        </w:rPr>
        <w:t xml:space="preserve">decision was </w:t>
      </w:r>
      <w:r w:rsidRPr="00DF4DB5">
        <w:rPr>
          <w:rFonts w:ascii="Arial" w:eastAsia="MS Mincho" w:hAnsi="Arial" w:cs="Arial"/>
          <w:bCs/>
          <w:sz w:val="24"/>
          <w:szCs w:val="24"/>
          <w:lang w:val="en-ZA" w:eastAsia="en-ZA"/>
        </w:rPr>
        <w:t xml:space="preserve">therefore </w:t>
      </w:r>
      <w:r w:rsidR="00271B6F" w:rsidRPr="00DF4DB5">
        <w:rPr>
          <w:rFonts w:ascii="Arial" w:eastAsia="MS Mincho" w:hAnsi="Arial" w:cs="Arial"/>
          <w:bCs/>
          <w:sz w:val="24"/>
          <w:szCs w:val="24"/>
          <w:lang w:val="en-ZA" w:eastAsia="en-ZA"/>
        </w:rPr>
        <w:t xml:space="preserve">unlawful </w:t>
      </w:r>
      <w:r w:rsidR="00087C1F" w:rsidRPr="00DF4DB5">
        <w:rPr>
          <w:rFonts w:ascii="Arial" w:eastAsia="MS Mincho" w:hAnsi="Arial" w:cs="Arial"/>
          <w:bCs/>
          <w:sz w:val="24"/>
          <w:szCs w:val="24"/>
          <w:lang w:val="en-ZA" w:eastAsia="en-ZA"/>
        </w:rPr>
        <w:t xml:space="preserve">and in breach of s 34(1) of the Employment Act </w:t>
      </w:r>
      <w:r w:rsidR="00271B6F" w:rsidRPr="00DF4DB5">
        <w:rPr>
          <w:rFonts w:ascii="Arial" w:eastAsia="MS Mincho" w:hAnsi="Arial" w:cs="Arial"/>
          <w:bCs/>
          <w:sz w:val="24"/>
          <w:szCs w:val="24"/>
          <w:lang w:val="en-ZA" w:eastAsia="en-ZA"/>
        </w:rPr>
        <w:t xml:space="preserve">as there was no agreement from either of the respondents </w:t>
      </w:r>
      <w:r w:rsidR="00B0697E" w:rsidRPr="00DF4DB5">
        <w:rPr>
          <w:rFonts w:ascii="Arial" w:eastAsia="MS Mincho" w:hAnsi="Arial" w:cs="Arial"/>
          <w:bCs/>
          <w:sz w:val="24"/>
          <w:szCs w:val="24"/>
          <w:lang w:val="en-ZA" w:eastAsia="en-ZA"/>
        </w:rPr>
        <w:t xml:space="preserve">for such deductions to be </w:t>
      </w:r>
      <w:r w:rsidR="00976D6F" w:rsidRPr="00DF4DB5">
        <w:rPr>
          <w:rFonts w:ascii="Arial" w:eastAsia="MS Mincho" w:hAnsi="Arial" w:cs="Arial"/>
          <w:bCs/>
          <w:sz w:val="24"/>
          <w:szCs w:val="24"/>
          <w:lang w:val="en-ZA" w:eastAsia="en-ZA"/>
        </w:rPr>
        <w:t>effected</w:t>
      </w:r>
      <w:r w:rsidR="00B0697E" w:rsidRPr="00DF4DB5">
        <w:rPr>
          <w:rFonts w:ascii="Arial" w:eastAsia="MS Mincho" w:hAnsi="Arial" w:cs="Arial"/>
          <w:bCs/>
          <w:sz w:val="24"/>
          <w:szCs w:val="24"/>
          <w:lang w:val="en-ZA" w:eastAsia="en-ZA"/>
        </w:rPr>
        <w:t>.</w:t>
      </w:r>
      <w:r w:rsidR="00087C1F" w:rsidRPr="00DF4DB5">
        <w:rPr>
          <w:rStyle w:val="FootnoteReference"/>
          <w:rFonts w:ascii="Arial" w:hAnsi="Arial" w:cs="Arial"/>
        </w:rPr>
        <w:t xml:space="preserve"> </w:t>
      </w:r>
      <w:r w:rsidR="00087C1F" w:rsidRPr="00DF4DB5">
        <w:rPr>
          <w:rStyle w:val="FootnoteReference"/>
          <w:rFonts w:ascii="Arial" w:hAnsi="Arial" w:cs="Arial"/>
        </w:rPr>
        <w:footnoteReference w:id="2"/>
      </w:r>
      <w:r w:rsidR="00B0697E" w:rsidRPr="00DF4DB5">
        <w:rPr>
          <w:rFonts w:ascii="Arial" w:eastAsia="MS Mincho" w:hAnsi="Arial" w:cs="Arial"/>
          <w:bCs/>
          <w:sz w:val="24"/>
          <w:szCs w:val="24"/>
          <w:lang w:val="en-ZA" w:eastAsia="en-ZA"/>
        </w:rPr>
        <w:t xml:space="preserve"> </w:t>
      </w:r>
    </w:p>
    <w:p w14:paraId="6905F0C4" w14:textId="7FB5BCB9" w:rsidR="00B376FB" w:rsidRPr="00DF4DB5" w:rsidRDefault="00785ECE" w:rsidP="00B376FB">
      <w:pPr>
        <w:pStyle w:val="lg-a-1"/>
        <w:shd w:val="clear" w:color="auto" w:fill="FFFFFF"/>
        <w:spacing w:before="180" w:beforeAutospacing="0" w:after="0" w:afterAutospacing="0" w:line="360" w:lineRule="auto"/>
        <w:jc w:val="both"/>
        <w:rPr>
          <w:rFonts w:ascii="Arial" w:hAnsi="Arial" w:cs="Arial"/>
          <w:color w:val="000000"/>
          <w:shd w:val="clear" w:color="auto" w:fill="FFFFFF"/>
        </w:rPr>
      </w:pPr>
      <w:r w:rsidRPr="00DF4DB5">
        <w:rPr>
          <w:rFonts w:ascii="Arial" w:hAnsi="Arial" w:cs="Arial"/>
        </w:rPr>
        <w:t>[6]</w:t>
      </w:r>
      <w:r w:rsidRPr="00DF4DB5">
        <w:rPr>
          <w:rFonts w:ascii="Arial" w:hAnsi="Arial" w:cs="Arial"/>
        </w:rPr>
        <w:tab/>
        <w:t xml:space="preserve">The high court dismissed the various grounds of opposition </w:t>
      </w:r>
      <w:r w:rsidR="008B0530" w:rsidRPr="00DF4DB5">
        <w:rPr>
          <w:rFonts w:ascii="Arial" w:hAnsi="Arial" w:cs="Arial"/>
        </w:rPr>
        <w:t xml:space="preserve">advanced </w:t>
      </w:r>
      <w:r w:rsidRPr="00DF4DB5">
        <w:rPr>
          <w:rFonts w:ascii="Arial" w:hAnsi="Arial" w:cs="Arial"/>
        </w:rPr>
        <w:t>by the municipality</w:t>
      </w:r>
      <w:r w:rsidR="002E593C" w:rsidRPr="00DF4DB5">
        <w:rPr>
          <w:rFonts w:ascii="Arial" w:hAnsi="Arial" w:cs="Arial"/>
        </w:rPr>
        <w:t>,</w:t>
      </w:r>
      <w:r w:rsidRPr="00DF4DB5">
        <w:rPr>
          <w:rFonts w:ascii="Arial" w:hAnsi="Arial" w:cs="Arial"/>
        </w:rPr>
        <w:t xml:space="preserve"> finding that it had jurisdiction to deal with the matter on the basis of </w:t>
      </w:r>
      <w:r w:rsidR="00E328DF" w:rsidRPr="00DF4DB5">
        <w:rPr>
          <w:rFonts w:ascii="Arial" w:hAnsi="Arial" w:cs="Arial"/>
        </w:rPr>
        <w:br/>
      </w:r>
      <w:r w:rsidR="00F97D88" w:rsidRPr="00DF4DB5">
        <w:rPr>
          <w:rFonts w:ascii="Arial" w:hAnsi="Arial" w:cs="Arial"/>
        </w:rPr>
        <w:t xml:space="preserve">s </w:t>
      </w:r>
      <w:r w:rsidR="00B376FB" w:rsidRPr="00DF4DB5">
        <w:rPr>
          <w:rFonts w:ascii="Arial" w:hAnsi="Arial" w:cs="Arial"/>
        </w:rPr>
        <w:t>77(3) of the Employment Act which grants concurrent jurisdiction to the Labour Court and the ‘</w:t>
      </w:r>
      <w:r w:rsidR="00B376FB" w:rsidRPr="00DF4DB5">
        <w:rPr>
          <w:rFonts w:ascii="Arial" w:hAnsi="Arial" w:cs="Arial"/>
          <w:color w:val="000000"/>
          <w:shd w:val="clear" w:color="auto" w:fill="FFFFFF"/>
        </w:rPr>
        <w:t xml:space="preserve">civil courts to hear and determine any matter concerning a contract of employment, irrespective of whether any basic condition of employment constitutes a term of that contract’. The high court was satisfied that the dispute as framed by the </w:t>
      </w:r>
      <w:r w:rsidR="00F97D88" w:rsidRPr="00DF4DB5">
        <w:rPr>
          <w:rFonts w:ascii="Arial" w:hAnsi="Arial" w:cs="Arial"/>
          <w:color w:val="000000"/>
          <w:shd w:val="clear" w:color="auto" w:fill="FFFFFF"/>
        </w:rPr>
        <w:t xml:space="preserve">employees </w:t>
      </w:r>
      <w:r w:rsidR="00B376FB" w:rsidRPr="00DF4DB5">
        <w:rPr>
          <w:rFonts w:ascii="Arial" w:hAnsi="Arial" w:cs="Arial"/>
          <w:color w:val="000000"/>
          <w:shd w:val="clear" w:color="auto" w:fill="FFFFFF"/>
        </w:rPr>
        <w:t xml:space="preserve">implicated </w:t>
      </w:r>
      <w:r w:rsidR="002E593C" w:rsidRPr="00DF4DB5">
        <w:rPr>
          <w:rFonts w:ascii="Arial" w:hAnsi="Arial" w:cs="Arial"/>
          <w:color w:val="000000"/>
          <w:shd w:val="clear" w:color="auto" w:fill="FFFFFF"/>
        </w:rPr>
        <w:t xml:space="preserve">a breach of </w:t>
      </w:r>
      <w:r w:rsidR="00B376FB" w:rsidRPr="00DF4DB5">
        <w:rPr>
          <w:rFonts w:ascii="Arial" w:hAnsi="Arial" w:cs="Arial"/>
          <w:color w:val="000000"/>
          <w:shd w:val="clear" w:color="auto" w:fill="FFFFFF"/>
        </w:rPr>
        <w:t>their contracts of employment</w:t>
      </w:r>
      <w:r w:rsidR="00F2010E" w:rsidRPr="00DF4DB5">
        <w:rPr>
          <w:rFonts w:ascii="Arial" w:hAnsi="Arial" w:cs="Arial"/>
          <w:color w:val="000000"/>
          <w:shd w:val="clear" w:color="auto" w:fill="FFFFFF"/>
        </w:rPr>
        <w:t>.</w:t>
      </w:r>
      <w:r w:rsidR="009F1987" w:rsidRPr="00DF4DB5">
        <w:rPr>
          <w:rFonts w:ascii="Arial" w:hAnsi="Arial" w:cs="Arial"/>
          <w:color w:val="000000"/>
          <w:shd w:val="clear" w:color="auto" w:fill="FFFFFF"/>
        </w:rPr>
        <w:t xml:space="preserve"> </w:t>
      </w:r>
      <w:r w:rsidR="00B376FB" w:rsidRPr="00DF4DB5">
        <w:rPr>
          <w:rFonts w:ascii="Arial" w:hAnsi="Arial" w:cs="Arial"/>
          <w:color w:val="000000"/>
          <w:shd w:val="clear" w:color="auto" w:fill="FFFFFF"/>
        </w:rPr>
        <w:t xml:space="preserve">As to the merits, the high court concluded that </w:t>
      </w:r>
      <w:r w:rsidR="00CF4C98" w:rsidRPr="00DF4DB5">
        <w:rPr>
          <w:rFonts w:ascii="Arial" w:hAnsi="Arial" w:cs="Arial"/>
          <w:color w:val="000000"/>
          <w:shd w:val="clear" w:color="auto" w:fill="FFFFFF"/>
        </w:rPr>
        <w:t xml:space="preserve">the </w:t>
      </w:r>
      <w:r w:rsidR="00B376FB" w:rsidRPr="00DF4DB5">
        <w:rPr>
          <w:rFonts w:ascii="Arial" w:hAnsi="Arial" w:cs="Arial"/>
          <w:color w:val="000000"/>
          <w:shd w:val="clear" w:color="auto" w:fill="FFFFFF"/>
        </w:rPr>
        <w:t xml:space="preserve">municipality’s decision to unilaterally reduce the </w:t>
      </w:r>
      <w:r w:rsidR="00F97D88" w:rsidRPr="00DF4DB5">
        <w:rPr>
          <w:rFonts w:ascii="Arial" w:hAnsi="Arial" w:cs="Arial"/>
          <w:color w:val="000000"/>
          <w:shd w:val="clear" w:color="auto" w:fill="FFFFFF"/>
        </w:rPr>
        <w:t>employees</w:t>
      </w:r>
      <w:r w:rsidR="00B376FB" w:rsidRPr="00DF4DB5">
        <w:rPr>
          <w:rFonts w:ascii="Arial" w:hAnsi="Arial" w:cs="Arial"/>
          <w:color w:val="000000"/>
          <w:shd w:val="clear" w:color="auto" w:fill="FFFFFF"/>
        </w:rPr>
        <w:t>’ remuneration, without due process, was unlawful</w:t>
      </w:r>
      <w:r w:rsidR="008B0530" w:rsidRPr="00DF4DB5">
        <w:rPr>
          <w:rFonts w:ascii="Arial" w:hAnsi="Arial" w:cs="Arial"/>
          <w:color w:val="000000"/>
          <w:shd w:val="clear" w:color="auto" w:fill="FFFFFF"/>
        </w:rPr>
        <w:t>,</w:t>
      </w:r>
      <w:r w:rsidR="009F388A" w:rsidRPr="00DF4DB5">
        <w:rPr>
          <w:rFonts w:ascii="Arial" w:hAnsi="Arial" w:cs="Arial"/>
          <w:color w:val="000000"/>
          <w:shd w:val="clear" w:color="auto" w:fill="FFFFFF"/>
        </w:rPr>
        <w:t xml:space="preserve"> </w:t>
      </w:r>
      <w:r w:rsidR="00B376FB" w:rsidRPr="00DF4DB5">
        <w:rPr>
          <w:rFonts w:ascii="Arial" w:hAnsi="Arial" w:cs="Arial"/>
          <w:color w:val="000000"/>
          <w:shd w:val="clear" w:color="auto" w:fill="FFFFFF"/>
        </w:rPr>
        <w:t>of no force and effect</w:t>
      </w:r>
      <w:r w:rsidR="008B0530" w:rsidRPr="00DF4DB5">
        <w:rPr>
          <w:rFonts w:ascii="Arial" w:hAnsi="Arial" w:cs="Arial"/>
          <w:color w:val="000000"/>
          <w:shd w:val="clear" w:color="auto" w:fill="FFFFFF"/>
        </w:rPr>
        <w:t xml:space="preserve"> and was a resort to unfettered self-help</w:t>
      </w:r>
      <w:r w:rsidR="00B376FB" w:rsidRPr="00DF4DB5">
        <w:rPr>
          <w:rFonts w:ascii="Arial" w:hAnsi="Arial" w:cs="Arial"/>
          <w:color w:val="000000"/>
          <w:shd w:val="clear" w:color="auto" w:fill="FFFFFF"/>
        </w:rPr>
        <w:t>.</w:t>
      </w:r>
      <w:r w:rsidR="00D828AB" w:rsidRPr="00DF4DB5">
        <w:rPr>
          <w:rStyle w:val="FootnoteReference"/>
          <w:rFonts w:ascii="Arial" w:hAnsi="Arial" w:cs="Arial"/>
          <w:i/>
        </w:rPr>
        <w:footnoteReference w:id="3"/>
      </w:r>
      <w:r w:rsidR="00B376FB" w:rsidRPr="00DF4DB5">
        <w:rPr>
          <w:rFonts w:ascii="Arial" w:hAnsi="Arial" w:cs="Arial"/>
          <w:color w:val="000000"/>
          <w:shd w:val="clear" w:color="auto" w:fill="FFFFFF"/>
        </w:rPr>
        <w:t xml:space="preserve"> The fact that the salary grading sy</w:t>
      </w:r>
      <w:r w:rsidR="006161BA" w:rsidRPr="00DF4DB5">
        <w:rPr>
          <w:rFonts w:ascii="Arial" w:hAnsi="Arial" w:cs="Arial"/>
          <w:color w:val="000000"/>
          <w:shd w:val="clear" w:color="auto" w:fill="FFFFFF"/>
        </w:rPr>
        <w:t>stem had not yet been completed</w:t>
      </w:r>
      <w:r w:rsidR="00B376FB" w:rsidRPr="00DF4DB5">
        <w:rPr>
          <w:rFonts w:ascii="Arial" w:hAnsi="Arial" w:cs="Arial"/>
          <w:color w:val="000000"/>
          <w:shd w:val="clear" w:color="auto" w:fill="FFFFFF"/>
        </w:rPr>
        <w:t xml:space="preserve"> </w:t>
      </w:r>
      <w:r w:rsidR="00AE3257">
        <w:rPr>
          <w:rFonts w:ascii="Arial" w:hAnsi="Arial" w:cs="Arial"/>
          <w:color w:val="000000"/>
          <w:shd w:val="clear" w:color="auto" w:fill="FFFFFF"/>
        </w:rPr>
        <w:t xml:space="preserve">did not </w:t>
      </w:r>
      <w:r w:rsidR="00E52F55" w:rsidRPr="00DF4DB5">
        <w:rPr>
          <w:rFonts w:ascii="Arial" w:hAnsi="Arial" w:cs="Arial"/>
          <w:color w:val="000000"/>
          <w:shd w:val="clear" w:color="auto" w:fill="FFFFFF"/>
        </w:rPr>
        <w:t>dissuad</w:t>
      </w:r>
      <w:r w:rsidR="00AE3257">
        <w:rPr>
          <w:rFonts w:ascii="Arial" w:hAnsi="Arial" w:cs="Arial"/>
          <w:color w:val="000000"/>
          <w:shd w:val="clear" w:color="auto" w:fill="FFFFFF"/>
        </w:rPr>
        <w:t xml:space="preserve">e </w:t>
      </w:r>
      <w:r w:rsidR="00E00EB5" w:rsidRPr="00DF4DB5">
        <w:rPr>
          <w:rFonts w:ascii="Arial" w:hAnsi="Arial" w:cs="Arial"/>
          <w:color w:val="000000"/>
          <w:shd w:val="clear" w:color="auto" w:fill="FFFFFF"/>
        </w:rPr>
        <w:t xml:space="preserve">the </w:t>
      </w:r>
      <w:r w:rsidR="00B376FB" w:rsidRPr="00DF4DB5">
        <w:rPr>
          <w:rFonts w:ascii="Arial" w:hAnsi="Arial" w:cs="Arial"/>
          <w:color w:val="000000"/>
          <w:shd w:val="clear" w:color="auto" w:fill="FFFFFF"/>
        </w:rPr>
        <w:t xml:space="preserve">high court to disentitle the </w:t>
      </w:r>
      <w:r w:rsidR="00D54E27" w:rsidRPr="00DF4DB5">
        <w:rPr>
          <w:rFonts w:ascii="Arial" w:hAnsi="Arial" w:cs="Arial"/>
          <w:color w:val="000000"/>
          <w:shd w:val="clear" w:color="auto" w:fill="FFFFFF"/>
        </w:rPr>
        <w:t xml:space="preserve">employees </w:t>
      </w:r>
      <w:r w:rsidR="00B376FB" w:rsidRPr="00DF4DB5">
        <w:rPr>
          <w:rFonts w:ascii="Arial" w:hAnsi="Arial" w:cs="Arial"/>
          <w:color w:val="000000"/>
          <w:shd w:val="clear" w:color="auto" w:fill="FFFFFF"/>
        </w:rPr>
        <w:t>to the ‘benefits</w:t>
      </w:r>
      <w:r w:rsidR="006161BA" w:rsidRPr="00DF4DB5">
        <w:rPr>
          <w:rFonts w:ascii="Arial" w:hAnsi="Arial" w:cs="Arial"/>
          <w:color w:val="000000"/>
          <w:shd w:val="clear" w:color="auto" w:fill="FFFFFF"/>
        </w:rPr>
        <w:t>’</w:t>
      </w:r>
      <w:r w:rsidR="00B376FB" w:rsidRPr="00DF4DB5">
        <w:rPr>
          <w:rFonts w:ascii="Arial" w:hAnsi="Arial" w:cs="Arial"/>
          <w:color w:val="000000"/>
          <w:shd w:val="clear" w:color="auto" w:fill="FFFFFF"/>
        </w:rPr>
        <w:t xml:space="preserve"> of the 2.5% notch increment.</w:t>
      </w:r>
      <w:r w:rsidR="009846D7" w:rsidRPr="00DF4DB5">
        <w:rPr>
          <w:rFonts w:ascii="Arial" w:hAnsi="Arial" w:cs="Arial"/>
        </w:rPr>
        <w:t xml:space="preserve"> </w:t>
      </w:r>
      <w:r w:rsidR="00BB1DBB" w:rsidRPr="00DF4DB5">
        <w:rPr>
          <w:rFonts w:ascii="Arial" w:hAnsi="Arial" w:cs="Arial"/>
        </w:rPr>
        <w:t xml:space="preserve">The municipality was ordered to re-instate the </w:t>
      </w:r>
      <w:r w:rsidR="00542DFA" w:rsidRPr="00DF4DB5">
        <w:rPr>
          <w:rFonts w:ascii="Arial" w:hAnsi="Arial" w:cs="Arial"/>
        </w:rPr>
        <w:t>‘</w:t>
      </w:r>
      <w:r w:rsidR="00BB1DBB" w:rsidRPr="00DF4DB5">
        <w:rPr>
          <w:rFonts w:ascii="Arial" w:hAnsi="Arial" w:cs="Arial"/>
        </w:rPr>
        <w:t xml:space="preserve">terms </w:t>
      </w:r>
      <w:r w:rsidR="00542DFA" w:rsidRPr="00DF4DB5">
        <w:rPr>
          <w:rFonts w:ascii="Arial" w:hAnsi="Arial" w:cs="Arial"/>
        </w:rPr>
        <w:t xml:space="preserve">and </w:t>
      </w:r>
      <w:r w:rsidR="00BB1DBB" w:rsidRPr="00DF4DB5">
        <w:rPr>
          <w:rFonts w:ascii="Arial" w:hAnsi="Arial" w:cs="Arial"/>
        </w:rPr>
        <w:t>conditions</w:t>
      </w:r>
      <w:r w:rsidR="00542DFA" w:rsidRPr="00DF4DB5">
        <w:rPr>
          <w:rFonts w:ascii="Arial" w:hAnsi="Arial" w:cs="Arial"/>
        </w:rPr>
        <w:t>’</w:t>
      </w:r>
      <w:r w:rsidR="00BB1DBB" w:rsidRPr="00DF4DB5">
        <w:rPr>
          <w:rFonts w:ascii="Arial" w:hAnsi="Arial" w:cs="Arial"/>
        </w:rPr>
        <w:t xml:space="preserve"> of the </w:t>
      </w:r>
      <w:r w:rsidR="00542DFA" w:rsidRPr="00DF4DB5">
        <w:rPr>
          <w:rFonts w:ascii="Arial" w:hAnsi="Arial" w:cs="Arial"/>
        </w:rPr>
        <w:t>employees</w:t>
      </w:r>
      <w:r w:rsidR="009846D7" w:rsidRPr="00DF4DB5">
        <w:rPr>
          <w:rFonts w:ascii="Arial" w:hAnsi="Arial" w:cs="Arial"/>
        </w:rPr>
        <w:t>’</w:t>
      </w:r>
      <w:r w:rsidR="00542DFA" w:rsidRPr="00DF4DB5">
        <w:rPr>
          <w:rFonts w:ascii="Arial" w:hAnsi="Arial" w:cs="Arial"/>
        </w:rPr>
        <w:t xml:space="preserve"> </w:t>
      </w:r>
      <w:r w:rsidR="00BB1DBB" w:rsidRPr="00DF4DB5">
        <w:rPr>
          <w:rFonts w:ascii="Arial" w:hAnsi="Arial" w:cs="Arial"/>
        </w:rPr>
        <w:t xml:space="preserve">employment contracts which </w:t>
      </w:r>
      <w:r w:rsidR="00F2010E" w:rsidRPr="00DF4DB5">
        <w:rPr>
          <w:rFonts w:ascii="Arial" w:hAnsi="Arial" w:cs="Arial"/>
        </w:rPr>
        <w:t xml:space="preserve">prevailed </w:t>
      </w:r>
      <w:r w:rsidR="00BB1DBB" w:rsidRPr="00DF4DB5">
        <w:rPr>
          <w:rFonts w:ascii="Arial" w:hAnsi="Arial" w:cs="Arial"/>
        </w:rPr>
        <w:t>prior to the deductions</w:t>
      </w:r>
      <w:r w:rsidR="00542DFA" w:rsidRPr="00DF4DB5">
        <w:rPr>
          <w:rFonts w:ascii="Arial" w:hAnsi="Arial" w:cs="Arial"/>
        </w:rPr>
        <w:t>.</w:t>
      </w:r>
    </w:p>
    <w:p w14:paraId="27EDC310" w14:textId="77777777" w:rsidR="00EE6ABC" w:rsidRPr="00DF4DB5" w:rsidRDefault="00EE6ABC" w:rsidP="00B376FB">
      <w:pPr>
        <w:pStyle w:val="lg-a-1"/>
        <w:shd w:val="clear" w:color="auto" w:fill="FFFFFF"/>
        <w:spacing w:before="180" w:beforeAutospacing="0" w:after="0" w:afterAutospacing="0" w:line="360" w:lineRule="auto"/>
        <w:jc w:val="both"/>
        <w:rPr>
          <w:rFonts w:ascii="Arial" w:hAnsi="Arial" w:cs="Arial"/>
          <w:b/>
        </w:rPr>
      </w:pPr>
      <w:r w:rsidRPr="00DF4DB5">
        <w:rPr>
          <w:rFonts w:ascii="Arial" w:hAnsi="Arial" w:cs="Arial"/>
          <w:b/>
        </w:rPr>
        <w:t>Application for condonation and reinstatement of the appeal</w:t>
      </w:r>
    </w:p>
    <w:p w14:paraId="67610BDC" w14:textId="49866823" w:rsidR="00435EB6" w:rsidRPr="00DF4DB5" w:rsidRDefault="00825FA5" w:rsidP="00435EB6">
      <w:pPr>
        <w:pStyle w:val="lg-a-1"/>
        <w:shd w:val="clear" w:color="auto" w:fill="FFFFFF"/>
        <w:tabs>
          <w:tab w:val="left" w:pos="720"/>
          <w:tab w:val="left" w:pos="1864"/>
        </w:tabs>
        <w:spacing w:before="180" w:beforeAutospacing="0" w:after="0" w:afterAutospacing="0" w:line="360" w:lineRule="auto"/>
        <w:jc w:val="both"/>
        <w:rPr>
          <w:rFonts w:ascii="Arial" w:hAnsi="Arial" w:cs="Arial"/>
        </w:rPr>
      </w:pPr>
      <w:r w:rsidRPr="00DF4DB5">
        <w:rPr>
          <w:rFonts w:ascii="Arial" w:hAnsi="Arial" w:cs="Arial"/>
        </w:rPr>
        <w:lastRenderedPageBreak/>
        <w:t>[8]</w:t>
      </w:r>
      <w:r w:rsidRPr="00DF4DB5">
        <w:rPr>
          <w:rFonts w:ascii="Arial" w:hAnsi="Arial" w:cs="Arial"/>
        </w:rPr>
        <w:tab/>
      </w:r>
      <w:r w:rsidR="003A0F9E" w:rsidRPr="00DF4DB5">
        <w:rPr>
          <w:rFonts w:ascii="Arial" w:hAnsi="Arial" w:cs="Arial"/>
        </w:rPr>
        <w:t>The appellant</w:t>
      </w:r>
      <w:r w:rsidR="00870BD1" w:rsidRPr="00DF4DB5">
        <w:rPr>
          <w:rFonts w:ascii="Arial" w:hAnsi="Arial" w:cs="Arial"/>
        </w:rPr>
        <w:t>s</w:t>
      </w:r>
      <w:r w:rsidR="003A0F9E" w:rsidRPr="00DF4DB5">
        <w:rPr>
          <w:rFonts w:ascii="Arial" w:hAnsi="Arial" w:cs="Arial"/>
        </w:rPr>
        <w:t xml:space="preserve"> applied for </w:t>
      </w:r>
      <w:r w:rsidR="003938D2" w:rsidRPr="00DF4DB5">
        <w:rPr>
          <w:rFonts w:ascii="Arial" w:hAnsi="Arial" w:cs="Arial"/>
        </w:rPr>
        <w:t>condonation for the late filing of the notice of appeal. Leave to appeal was granted on 22 September 2022. The application for condonation was filed on 9 November 2022. The delay is not excessive, but blame for this is entirely attributable to the appellants</w:t>
      </w:r>
      <w:r w:rsidR="00CF4C98" w:rsidRPr="00DF4DB5">
        <w:rPr>
          <w:rFonts w:ascii="Arial" w:hAnsi="Arial" w:cs="Arial"/>
        </w:rPr>
        <w:t>’</w:t>
      </w:r>
      <w:r w:rsidR="003938D2" w:rsidRPr="00DF4DB5">
        <w:rPr>
          <w:rFonts w:ascii="Arial" w:hAnsi="Arial" w:cs="Arial"/>
        </w:rPr>
        <w:t xml:space="preserve"> attorneys </w:t>
      </w:r>
      <w:r w:rsidR="00542DFA" w:rsidRPr="00DF4DB5">
        <w:rPr>
          <w:rFonts w:ascii="Arial" w:hAnsi="Arial" w:cs="Arial"/>
        </w:rPr>
        <w:t xml:space="preserve">for </w:t>
      </w:r>
      <w:r w:rsidR="003938D2" w:rsidRPr="00DF4DB5">
        <w:rPr>
          <w:rFonts w:ascii="Arial" w:hAnsi="Arial" w:cs="Arial"/>
        </w:rPr>
        <w:t>not being diligent in ensuring compliance with the time periods in this Court.</w:t>
      </w:r>
      <w:r w:rsidR="009F1987" w:rsidRPr="00DF4DB5">
        <w:rPr>
          <w:rFonts w:ascii="Arial" w:hAnsi="Arial" w:cs="Arial"/>
        </w:rPr>
        <w:t xml:space="preserve"> </w:t>
      </w:r>
    </w:p>
    <w:p w14:paraId="1110E8F7" w14:textId="7A15EFFA" w:rsidR="00234B0C" w:rsidRPr="00DF4DB5" w:rsidRDefault="00435EB6" w:rsidP="00435EB6">
      <w:pPr>
        <w:pStyle w:val="lg-a-1"/>
        <w:shd w:val="clear" w:color="auto" w:fill="FFFFFF"/>
        <w:tabs>
          <w:tab w:val="left" w:pos="720"/>
          <w:tab w:val="left" w:pos="1864"/>
        </w:tabs>
        <w:spacing w:before="180" w:beforeAutospacing="0" w:after="0" w:afterAutospacing="0" w:line="360" w:lineRule="auto"/>
        <w:jc w:val="both"/>
        <w:rPr>
          <w:rFonts w:ascii="Arial" w:hAnsi="Arial" w:cs="Arial"/>
        </w:rPr>
      </w:pPr>
      <w:r w:rsidRPr="00DF4DB5">
        <w:rPr>
          <w:rFonts w:ascii="Arial" w:hAnsi="Arial" w:cs="Arial"/>
        </w:rPr>
        <w:t>[9]</w:t>
      </w:r>
      <w:r w:rsidRPr="00DF4DB5">
        <w:rPr>
          <w:rFonts w:ascii="Arial" w:hAnsi="Arial" w:cs="Arial"/>
        </w:rPr>
        <w:tab/>
      </w:r>
      <w:r w:rsidR="00643247" w:rsidRPr="00DF4DB5">
        <w:rPr>
          <w:rFonts w:ascii="Arial" w:hAnsi="Arial" w:cs="Arial"/>
        </w:rPr>
        <w:t xml:space="preserve">A further application for condonation was sought owing to the failure to lodge the appeal record within three months of the </w:t>
      </w:r>
      <w:r w:rsidR="00DB2F47" w:rsidRPr="00DF4DB5">
        <w:rPr>
          <w:rFonts w:ascii="Arial" w:hAnsi="Arial" w:cs="Arial"/>
        </w:rPr>
        <w:t xml:space="preserve">filing </w:t>
      </w:r>
      <w:r w:rsidR="00643247" w:rsidRPr="00DF4DB5">
        <w:rPr>
          <w:rFonts w:ascii="Arial" w:hAnsi="Arial" w:cs="Arial"/>
        </w:rPr>
        <w:t xml:space="preserve">of the notice of appeal </w:t>
      </w:r>
      <w:r w:rsidR="00772156" w:rsidRPr="00DF4DB5">
        <w:rPr>
          <w:rFonts w:ascii="Arial" w:hAnsi="Arial" w:cs="Arial"/>
        </w:rPr>
        <w:t xml:space="preserve">as required by </w:t>
      </w:r>
      <w:r w:rsidR="00E92488" w:rsidRPr="00DF4DB5">
        <w:rPr>
          <w:rFonts w:ascii="Arial" w:hAnsi="Arial" w:cs="Arial"/>
        </w:rPr>
        <w:t>r</w:t>
      </w:r>
      <w:r w:rsidR="00643247" w:rsidRPr="00DF4DB5">
        <w:rPr>
          <w:rFonts w:ascii="Arial" w:hAnsi="Arial" w:cs="Arial"/>
        </w:rPr>
        <w:t xml:space="preserve">ule </w:t>
      </w:r>
      <w:r w:rsidR="00DB2F47" w:rsidRPr="00DF4DB5">
        <w:rPr>
          <w:rFonts w:ascii="Arial" w:hAnsi="Arial" w:cs="Arial"/>
        </w:rPr>
        <w:t xml:space="preserve">8(1) of this Court’s </w:t>
      </w:r>
      <w:r w:rsidR="00E92488" w:rsidRPr="00DF4DB5">
        <w:rPr>
          <w:rFonts w:ascii="Arial" w:hAnsi="Arial" w:cs="Arial"/>
        </w:rPr>
        <w:t>r</w:t>
      </w:r>
      <w:r w:rsidR="00DB2F47" w:rsidRPr="00DF4DB5">
        <w:rPr>
          <w:rFonts w:ascii="Arial" w:hAnsi="Arial" w:cs="Arial"/>
        </w:rPr>
        <w:t>ules. No</w:t>
      </w:r>
      <w:r w:rsidR="00643247" w:rsidRPr="00DF4DB5">
        <w:rPr>
          <w:rFonts w:ascii="Arial" w:hAnsi="Arial" w:cs="Arial"/>
        </w:rPr>
        <w:t xml:space="preserve"> extension of the time period was agreed upon between the parties or requested from the Registrar in terms of </w:t>
      </w:r>
      <w:r w:rsidR="00E92488" w:rsidRPr="00DF4DB5">
        <w:rPr>
          <w:rFonts w:ascii="Arial" w:hAnsi="Arial" w:cs="Arial"/>
        </w:rPr>
        <w:t>r</w:t>
      </w:r>
      <w:r w:rsidR="00643247" w:rsidRPr="00DF4DB5">
        <w:rPr>
          <w:rFonts w:ascii="Arial" w:hAnsi="Arial" w:cs="Arial"/>
        </w:rPr>
        <w:t>ule 8(2).</w:t>
      </w:r>
      <w:r w:rsidR="009F1987" w:rsidRPr="00DF4DB5">
        <w:rPr>
          <w:rFonts w:ascii="Arial" w:hAnsi="Arial" w:cs="Arial"/>
        </w:rPr>
        <w:t xml:space="preserve"> </w:t>
      </w:r>
      <w:r w:rsidR="00643247" w:rsidRPr="00DF4DB5">
        <w:rPr>
          <w:rFonts w:ascii="Arial" w:hAnsi="Arial" w:cs="Arial"/>
        </w:rPr>
        <w:t>Consequently, the appeal lapsed.</w:t>
      </w:r>
      <w:r w:rsidR="009F1987" w:rsidRPr="00DF4DB5">
        <w:rPr>
          <w:rFonts w:ascii="Arial" w:hAnsi="Arial" w:cs="Arial"/>
        </w:rPr>
        <w:t xml:space="preserve"> </w:t>
      </w:r>
      <w:r w:rsidR="00643247" w:rsidRPr="00DF4DB5">
        <w:rPr>
          <w:rFonts w:ascii="Arial" w:hAnsi="Arial" w:cs="Arial"/>
        </w:rPr>
        <w:t xml:space="preserve">The record ought to have been lodged no later than 13 March 2023. </w:t>
      </w:r>
      <w:r w:rsidR="00772156" w:rsidRPr="00DF4DB5">
        <w:rPr>
          <w:rFonts w:ascii="Arial" w:hAnsi="Arial" w:cs="Arial"/>
        </w:rPr>
        <w:t>T</w:t>
      </w:r>
      <w:r w:rsidR="00643247" w:rsidRPr="00DF4DB5">
        <w:rPr>
          <w:rFonts w:ascii="Arial" w:hAnsi="Arial" w:cs="Arial"/>
        </w:rPr>
        <w:t>he application for the reinstatement of the appeal was only filed on 10 May 2023.</w:t>
      </w:r>
      <w:r w:rsidR="009F1987" w:rsidRPr="00DF4DB5">
        <w:rPr>
          <w:rFonts w:ascii="Arial" w:hAnsi="Arial" w:cs="Arial"/>
        </w:rPr>
        <w:t xml:space="preserve"> </w:t>
      </w:r>
      <w:r w:rsidR="00643247" w:rsidRPr="00DF4DB5">
        <w:rPr>
          <w:rFonts w:ascii="Arial" w:hAnsi="Arial" w:cs="Arial"/>
        </w:rPr>
        <w:t xml:space="preserve">As with the late filing of the notice of appeal, blame is again </w:t>
      </w:r>
      <w:r w:rsidR="003A0F9E" w:rsidRPr="00DF4DB5">
        <w:rPr>
          <w:rFonts w:ascii="Arial" w:hAnsi="Arial" w:cs="Arial"/>
        </w:rPr>
        <w:t xml:space="preserve">attributed to </w:t>
      </w:r>
      <w:r w:rsidR="00643247" w:rsidRPr="00DF4DB5">
        <w:rPr>
          <w:rFonts w:ascii="Arial" w:hAnsi="Arial" w:cs="Arial"/>
        </w:rPr>
        <w:t>the appellant</w:t>
      </w:r>
      <w:r w:rsidR="00CF4C98" w:rsidRPr="00DF4DB5">
        <w:rPr>
          <w:rFonts w:ascii="Arial" w:hAnsi="Arial" w:cs="Arial"/>
        </w:rPr>
        <w:t>s</w:t>
      </w:r>
      <w:r w:rsidR="00643247" w:rsidRPr="00DF4DB5">
        <w:rPr>
          <w:rFonts w:ascii="Arial" w:hAnsi="Arial" w:cs="Arial"/>
        </w:rPr>
        <w:t>’ attorney.</w:t>
      </w:r>
      <w:r w:rsidR="009F1987" w:rsidRPr="00DF4DB5">
        <w:rPr>
          <w:rFonts w:ascii="Arial" w:hAnsi="Arial" w:cs="Arial"/>
        </w:rPr>
        <w:t xml:space="preserve"> </w:t>
      </w:r>
    </w:p>
    <w:p w14:paraId="50C610BD" w14:textId="28A2D7B4" w:rsidR="00234B0C" w:rsidRPr="00DF4DB5" w:rsidRDefault="00234B0C" w:rsidP="00DC49EE">
      <w:pPr>
        <w:pStyle w:val="western"/>
        <w:shd w:val="clear" w:color="auto" w:fill="FFFFFF"/>
        <w:spacing w:before="144" w:beforeAutospacing="0" w:after="0" w:afterAutospacing="0" w:line="360" w:lineRule="auto"/>
        <w:jc w:val="both"/>
        <w:rPr>
          <w:rFonts w:ascii="Arial" w:hAnsi="Arial" w:cs="Arial"/>
        </w:rPr>
      </w:pPr>
      <w:r w:rsidRPr="00DF4DB5">
        <w:rPr>
          <w:rFonts w:ascii="Arial" w:hAnsi="Arial" w:cs="Arial"/>
        </w:rPr>
        <w:t>[10]</w:t>
      </w:r>
      <w:r w:rsidRPr="00DF4DB5">
        <w:rPr>
          <w:rFonts w:ascii="Arial" w:hAnsi="Arial" w:cs="Arial"/>
        </w:rPr>
        <w:tab/>
        <w:t>It is trite that applications for condonation must contain a proper explanation for the period(s) of delay</w:t>
      </w:r>
      <w:r w:rsidR="00E92488" w:rsidRPr="00DF4DB5">
        <w:rPr>
          <w:rFonts w:ascii="Arial" w:hAnsi="Arial" w:cs="Arial"/>
        </w:rPr>
        <w:t>.</w:t>
      </w:r>
      <w:r w:rsidRPr="00DF4DB5">
        <w:rPr>
          <w:rStyle w:val="FootnoteReference"/>
          <w:rFonts w:ascii="Arial" w:hAnsi="Arial" w:cs="Arial"/>
        </w:rPr>
        <w:footnoteReference w:id="4"/>
      </w:r>
      <w:r w:rsidRPr="00DF4DB5">
        <w:rPr>
          <w:rFonts w:ascii="Arial" w:hAnsi="Arial" w:cs="Arial"/>
        </w:rPr>
        <w:t xml:space="preserve"> </w:t>
      </w:r>
      <w:r w:rsidR="00EF0DAD" w:rsidRPr="00DF4DB5">
        <w:rPr>
          <w:rFonts w:ascii="Arial" w:hAnsi="Arial" w:cs="Arial"/>
        </w:rPr>
        <w:t>This Court</w:t>
      </w:r>
      <w:r w:rsidRPr="00DF4DB5">
        <w:rPr>
          <w:rFonts w:ascii="Arial" w:hAnsi="Arial" w:cs="Arial"/>
        </w:rPr>
        <w:t xml:space="preserve"> </w:t>
      </w:r>
      <w:r w:rsidR="00D17A71" w:rsidRPr="00DF4DB5">
        <w:rPr>
          <w:rFonts w:ascii="Arial" w:hAnsi="Arial" w:cs="Arial"/>
        </w:rPr>
        <w:t xml:space="preserve">held </w:t>
      </w:r>
      <w:r w:rsidRPr="00DF4DB5">
        <w:rPr>
          <w:rFonts w:ascii="Arial" w:hAnsi="Arial" w:cs="Arial"/>
        </w:rPr>
        <w:t>in </w:t>
      </w:r>
      <w:r w:rsidRPr="00DF4DB5">
        <w:rPr>
          <w:rFonts w:ascii="Arial" w:hAnsi="Arial" w:cs="Arial"/>
          <w:i/>
          <w:iCs/>
        </w:rPr>
        <w:t xml:space="preserve">Dengetenge Holdings (Pty) Ltd v Southern Sphere Mining and Development Company Ltd and </w:t>
      </w:r>
      <w:r w:rsidR="00772156" w:rsidRPr="00DF4DB5">
        <w:rPr>
          <w:rFonts w:ascii="Arial" w:hAnsi="Arial" w:cs="Arial"/>
          <w:i/>
          <w:iCs/>
        </w:rPr>
        <w:t>o</w:t>
      </w:r>
      <w:r w:rsidRPr="00DF4DB5">
        <w:rPr>
          <w:rFonts w:ascii="Arial" w:hAnsi="Arial" w:cs="Arial"/>
          <w:i/>
          <w:iCs/>
        </w:rPr>
        <w:t>thers</w:t>
      </w:r>
      <w:r w:rsidR="00D17A71" w:rsidRPr="00DF4DB5">
        <w:rPr>
          <w:rStyle w:val="FootnoteReference"/>
          <w:rFonts w:ascii="Arial" w:hAnsi="Arial" w:cs="Arial"/>
          <w:i/>
          <w:iCs/>
        </w:rPr>
        <w:footnoteReference w:id="5"/>
      </w:r>
      <w:r w:rsidRPr="00DF4DB5">
        <w:rPr>
          <w:rFonts w:ascii="Arial" w:hAnsi="Arial" w:cs="Arial"/>
        </w:rPr>
        <w:t xml:space="preserve"> </w:t>
      </w:r>
      <w:r w:rsidR="00D17A71" w:rsidRPr="00DF4DB5">
        <w:rPr>
          <w:rFonts w:ascii="Arial" w:hAnsi="Arial" w:cs="Arial"/>
        </w:rPr>
        <w:t>that other factors to be considered in determining whether to grant condonation include:</w:t>
      </w:r>
    </w:p>
    <w:p w14:paraId="597D07AA" w14:textId="77777777" w:rsidR="00234B0C" w:rsidRPr="00DF4DB5" w:rsidRDefault="00234B0C" w:rsidP="00D17A71">
      <w:pPr>
        <w:pStyle w:val="western"/>
        <w:shd w:val="clear" w:color="auto" w:fill="FFFFFF"/>
        <w:spacing w:before="144" w:beforeAutospacing="0" w:after="0" w:afterAutospacing="0" w:line="360" w:lineRule="auto"/>
        <w:jc w:val="both"/>
        <w:rPr>
          <w:rFonts w:ascii="Arial" w:hAnsi="Arial" w:cs="Arial"/>
          <w:sz w:val="22"/>
          <w:szCs w:val="22"/>
        </w:rPr>
      </w:pPr>
      <w:r w:rsidRPr="00DF4DB5">
        <w:rPr>
          <w:rFonts w:ascii="Arial" w:hAnsi="Arial" w:cs="Arial"/>
          <w:sz w:val="22"/>
          <w:szCs w:val="22"/>
        </w:rPr>
        <w:t>‘</w:t>
      </w:r>
      <w:r w:rsidR="00E92488" w:rsidRPr="00DF4DB5">
        <w:rPr>
          <w:rFonts w:ascii="Arial" w:hAnsi="Arial" w:cs="Arial"/>
          <w:sz w:val="22"/>
          <w:szCs w:val="22"/>
        </w:rPr>
        <w:t xml:space="preserve">. . . </w:t>
      </w:r>
      <w:r w:rsidRPr="00DF4DB5">
        <w:rPr>
          <w:rFonts w:ascii="Arial" w:hAnsi="Arial" w:cs="Arial"/>
          <w:sz w:val="22"/>
          <w:szCs w:val="22"/>
        </w:rPr>
        <w:t>the degree of non-compliance, the explanation therefor, the importance of the case, a respondent’s interest in the finality of the judgment of the court below, the convenience of this court and the avoidance of unnecessary delay in the administration of justice (per Holmes JA in </w:t>
      </w:r>
      <w:r w:rsidRPr="00DF4DB5">
        <w:rPr>
          <w:rFonts w:ascii="Arial" w:hAnsi="Arial" w:cs="Arial"/>
          <w:i/>
          <w:iCs/>
          <w:sz w:val="22"/>
          <w:szCs w:val="22"/>
        </w:rPr>
        <w:t>Federated Employers Fire &amp; General Insurance Co Ltd &amp; another v McKenzie </w:t>
      </w:r>
      <w:hyperlink r:id="rId9" w:tooltip="View LawCiteRecord" w:history="1">
        <w:r w:rsidRPr="00DF4DB5">
          <w:rPr>
            <w:rStyle w:val="Hyperlink"/>
            <w:rFonts w:ascii="Arial" w:hAnsi="Arial" w:cs="Arial"/>
            <w:bCs/>
            <w:color w:val="auto"/>
            <w:sz w:val="22"/>
            <w:szCs w:val="22"/>
            <w:u w:val="none"/>
          </w:rPr>
          <w:t>1969 (3) SA 360</w:t>
        </w:r>
      </w:hyperlink>
      <w:r w:rsidRPr="00DF4DB5">
        <w:rPr>
          <w:rFonts w:ascii="Arial" w:hAnsi="Arial" w:cs="Arial"/>
          <w:sz w:val="22"/>
          <w:szCs w:val="22"/>
        </w:rPr>
        <w:t> (A) at 362F-G).’</w:t>
      </w:r>
      <w:r w:rsidR="00E92488" w:rsidRPr="00DF4DB5">
        <w:rPr>
          <w:rStyle w:val="FootnoteReference"/>
          <w:rFonts w:ascii="Arial" w:hAnsi="Arial" w:cs="Arial"/>
          <w:sz w:val="22"/>
          <w:szCs w:val="22"/>
        </w:rPr>
        <w:footnoteReference w:id="6"/>
      </w:r>
    </w:p>
    <w:p w14:paraId="2C9BD8E7" w14:textId="6AD7E704" w:rsidR="00435EB6" w:rsidRPr="00DF4DB5" w:rsidRDefault="003D456F" w:rsidP="00435EB6">
      <w:pPr>
        <w:pStyle w:val="lg-a-1"/>
        <w:shd w:val="clear" w:color="auto" w:fill="FFFFFF"/>
        <w:tabs>
          <w:tab w:val="left" w:pos="720"/>
          <w:tab w:val="left" w:pos="1864"/>
        </w:tabs>
        <w:spacing w:before="180" w:beforeAutospacing="0" w:after="0" w:afterAutospacing="0" w:line="360" w:lineRule="auto"/>
        <w:jc w:val="both"/>
        <w:rPr>
          <w:rFonts w:ascii="Arial" w:hAnsi="Arial" w:cs="Arial"/>
        </w:rPr>
      </w:pPr>
      <w:r w:rsidRPr="00DF4DB5">
        <w:rPr>
          <w:rFonts w:ascii="Arial" w:hAnsi="Arial" w:cs="Arial"/>
        </w:rPr>
        <w:t xml:space="preserve"> </w:t>
      </w:r>
      <w:r w:rsidR="00D17A71" w:rsidRPr="00DF4DB5">
        <w:rPr>
          <w:rFonts w:ascii="Arial" w:hAnsi="Arial" w:cs="Arial"/>
        </w:rPr>
        <w:t>[11]</w:t>
      </w:r>
      <w:r w:rsidR="00D17A71" w:rsidRPr="00DF4DB5">
        <w:rPr>
          <w:rFonts w:ascii="Arial" w:hAnsi="Arial" w:cs="Arial"/>
        </w:rPr>
        <w:tab/>
      </w:r>
      <w:r w:rsidR="00643247" w:rsidRPr="00DF4DB5">
        <w:rPr>
          <w:rFonts w:ascii="Arial" w:hAnsi="Arial" w:cs="Arial"/>
        </w:rPr>
        <w:t xml:space="preserve">Although both applications were opposed, </w:t>
      </w:r>
      <w:r w:rsidR="00F93A93" w:rsidRPr="00DF4DB5">
        <w:rPr>
          <w:rFonts w:ascii="Arial" w:hAnsi="Arial" w:cs="Arial"/>
        </w:rPr>
        <w:t xml:space="preserve">I </w:t>
      </w:r>
      <w:r w:rsidR="00643247" w:rsidRPr="00DF4DB5">
        <w:rPr>
          <w:rFonts w:ascii="Arial" w:hAnsi="Arial" w:cs="Arial"/>
        </w:rPr>
        <w:t>considered that it would be in the interest</w:t>
      </w:r>
      <w:r w:rsidR="00DB2F47" w:rsidRPr="00DF4DB5">
        <w:rPr>
          <w:rFonts w:ascii="Arial" w:hAnsi="Arial" w:cs="Arial"/>
        </w:rPr>
        <w:t>s</w:t>
      </w:r>
      <w:r w:rsidR="00643247" w:rsidRPr="00DF4DB5">
        <w:rPr>
          <w:rFonts w:ascii="Arial" w:hAnsi="Arial" w:cs="Arial"/>
        </w:rPr>
        <w:t xml:space="preserve"> of justice to grant condonation </w:t>
      </w:r>
      <w:r w:rsidR="003A0F9E" w:rsidRPr="00DF4DB5">
        <w:rPr>
          <w:rFonts w:ascii="Arial" w:hAnsi="Arial" w:cs="Arial"/>
        </w:rPr>
        <w:t xml:space="preserve">as </w:t>
      </w:r>
      <w:r w:rsidR="00643247" w:rsidRPr="00DF4DB5">
        <w:rPr>
          <w:rFonts w:ascii="Arial" w:hAnsi="Arial" w:cs="Arial"/>
        </w:rPr>
        <w:t>the delay was not excessive</w:t>
      </w:r>
      <w:r w:rsidR="00435EB6" w:rsidRPr="00DF4DB5">
        <w:rPr>
          <w:rFonts w:ascii="Arial" w:hAnsi="Arial" w:cs="Arial"/>
        </w:rPr>
        <w:t xml:space="preserve"> and </w:t>
      </w:r>
      <w:r w:rsidR="00643247" w:rsidRPr="00DF4DB5">
        <w:rPr>
          <w:rFonts w:ascii="Arial" w:hAnsi="Arial" w:cs="Arial"/>
        </w:rPr>
        <w:t>the respondents have not been financially or otherwise prejudiced</w:t>
      </w:r>
      <w:r w:rsidR="00435EB6" w:rsidRPr="00DF4DB5">
        <w:rPr>
          <w:rFonts w:ascii="Arial" w:hAnsi="Arial" w:cs="Arial"/>
        </w:rPr>
        <w:t xml:space="preserve">. </w:t>
      </w:r>
      <w:r w:rsidR="00F93A93" w:rsidRPr="00DF4DB5">
        <w:rPr>
          <w:rFonts w:ascii="Arial" w:hAnsi="Arial" w:cs="Arial"/>
        </w:rPr>
        <w:t xml:space="preserve">I </w:t>
      </w:r>
      <w:r w:rsidR="00D17A71" w:rsidRPr="00DF4DB5">
        <w:rPr>
          <w:rFonts w:ascii="Arial" w:hAnsi="Arial" w:cs="Arial"/>
        </w:rPr>
        <w:t>took into account the prospects of success, which is an important</w:t>
      </w:r>
      <w:r w:rsidR="009846D7" w:rsidRPr="00DF4DB5">
        <w:rPr>
          <w:rFonts w:ascii="Arial" w:hAnsi="Arial" w:cs="Arial"/>
        </w:rPr>
        <w:t>,</w:t>
      </w:r>
      <w:r w:rsidR="00D17A71" w:rsidRPr="00DF4DB5">
        <w:rPr>
          <w:rFonts w:ascii="Arial" w:hAnsi="Arial" w:cs="Arial"/>
        </w:rPr>
        <w:t xml:space="preserve"> though not decisive consideration.</w:t>
      </w:r>
      <w:r w:rsidR="005F1460" w:rsidRPr="00DF4DB5">
        <w:rPr>
          <w:rStyle w:val="FootnoteReference"/>
          <w:rFonts w:ascii="Arial" w:hAnsi="Arial" w:cs="Arial"/>
        </w:rPr>
        <w:footnoteReference w:id="7"/>
      </w:r>
      <w:r w:rsidR="00D17A71" w:rsidRPr="00DF4DB5">
        <w:rPr>
          <w:rFonts w:ascii="Arial" w:hAnsi="Arial" w:cs="Arial"/>
        </w:rPr>
        <w:t xml:space="preserve"> </w:t>
      </w:r>
      <w:r w:rsidR="00435EB6" w:rsidRPr="00DF4DB5">
        <w:rPr>
          <w:rFonts w:ascii="Arial" w:hAnsi="Arial" w:cs="Arial"/>
        </w:rPr>
        <w:t>Counsel for the appellant</w:t>
      </w:r>
      <w:r w:rsidR="00870BD1" w:rsidRPr="00DF4DB5">
        <w:rPr>
          <w:rFonts w:ascii="Arial" w:hAnsi="Arial" w:cs="Arial"/>
        </w:rPr>
        <w:t>s</w:t>
      </w:r>
      <w:r w:rsidR="00435EB6" w:rsidRPr="00DF4DB5">
        <w:rPr>
          <w:rFonts w:ascii="Arial" w:hAnsi="Arial" w:cs="Arial"/>
        </w:rPr>
        <w:t xml:space="preserve"> accepted that the appellants</w:t>
      </w:r>
      <w:r w:rsidR="00CF4C98" w:rsidRPr="00DF4DB5">
        <w:rPr>
          <w:rFonts w:ascii="Arial" w:hAnsi="Arial" w:cs="Arial"/>
        </w:rPr>
        <w:t>’</w:t>
      </w:r>
      <w:r w:rsidR="00435EB6" w:rsidRPr="00DF4DB5">
        <w:rPr>
          <w:rFonts w:ascii="Arial" w:hAnsi="Arial" w:cs="Arial"/>
        </w:rPr>
        <w:t xml:space="preserve"> attorney’s non-compliance with </w:t>
      </w:r>
      <w:r w:rsidR="00CF4C98" w:rsidRPr="00DF4DB5">
        <w:rPr>
          <w:rFonts w:ascii="Arial" w:hAnsi="Arial" w:cs="Arial"/>
        </w:rPr>
        <w:t xml:space="preserve">the </w:t>
      </w:r>
      <w:r w:rsidR="00435EB6" w:rsidRPr="00DF4DB5">
        <w:rPr>
          <w:rFonts w:ascii="Arial" w:hAnsi="Arial" w:cs="Arial"/>
        </w:rPr>
        <w:t>time periods</w:t>
      </w:r>
      <w:r w:rsidR="00643247" w:rsidRPr="00DF4DB5">
        <w:rPr>
          <w:rFonts w:ascii="Arial" w:hAnsi="Arial" w:cs="Arial"/>
        </w:rPr>
        <w:t xml:space="preserve"> </w:t>
      </w:r>
      <w:r w:rsidR="00435EB6" w:rsidRPr="00DF4DB5">
        <w:rPr>
          <w:rFonts w:ascii="Arial" w:hAnsi="Arial" w:cs="Arial"/>
        </w:rPr>
        <w:t xml:space="preserve">could be sanctioned with an </w:t>
      </w:r>
      <w:r w:rsidR="00D17A71" w:rsidRPr="00DF4DB5">
        <w:rPr>
          <w:rFonts w:ascii="Arial" w:hAnsi="Arial" w:cs="Arial"/>
        </w:rPr>
        <w:t xml:space="preserve">appropriate order for costs. </w:t>
      </w:r>
    </w:p>
    <w:p w14:paraId="4B58D368" w14:textId="77777777" w:rsidR="00DC49EE" w:rsidRPr="00DF4DB5" w:rsidRDefault="009D638F" w:rsidP="00435EB6">
      <w:pPr>
        <w:pStyle w:val="lg-a-1"/>
        <w:shd w:val="clear" w:color="auto" w:fill="FFFFFF"/>
        <w:tabs>
          <w:tab w:val="left" w:pos="720"/>
          <w:tab w:val="left" w:pos="1864"/>
        </w:tabs>
        <w:spacing w:before="180" w:beforeAutospacing="0" w:after="0" w:afterAutospacing="0" w:line="360" w:lineRule="auto"/>
        <w:jc w:val="both"/>
        <w:rPr>
          <w:rFonts w:ascii="Arial" w:hAnsi="Arial" w:cs="Arial"/>
          <w:b/>
        </w:rPr>
      </w:pPr>
      <w:r w:rsidRPr="00DF4DB5">
        <w:rPr>
          <w:rFonts w:ascii="Arial" w:hAnsi="Arial" w:cs="Arial"/>
          <w:b/>
        </w:rPr>
        <w:lastRenderedPageBreak/>
        <w:t>Peremption</w:t>
      </w:r>
      <w:r w:rsidRPr="00DF4DB5" w:rsidDel="009D638F">
        <w:rPr>
          <w:rFonts w:ascii="Arial" w:hAnsi="Arial" w:cs="Arial"/>
          <w:b/>
        </w:rPr>
        <w:t xml:space="preserve"> </w:t>
      </w:r>
    </w:p>
    <w:p w14:paraId="43CCD850" w14:textId="375DE587" w:rsidR="000A3031" w:rsidRPr="00DF4DB5" w:rsidRDefault="003D456F" w:rsidP="007A570B">
      <w:pPr>
        <w:pStyle w:val="lg-a-1"/>
        <w:shd w:val="clear" w:color="auto" w:fill="FFFFFF"/>
        <w:tabs>
          <w:tab w:val="left" w:pos="567"/>
          <w:tab w:val="left" w:pos="720"/>
          <w:tab w:val="left" w:pos="1864"/>
        </w:tabs>
        <w:spacing w:before="180" w:beforeAutospacing="0" w:after="0" w:afterAutospacing="0" w:line="360" w:lineRule="auto"/>
        <w:jc w:val="both"/>
        <w:rPr>
          <w:rFonts w:ascii="Arial" w:hAnsi="Arial" w:cs="Arial"/>
        </w:rPr>
      </w:pPr>
      <w:r w:rsidRPr="00DF4DB5">
        <w:rPr>
          <w:rFonts w:ascii="Arial" w:hAnsi="Arial" w:cs="Arial"/>
        </w:rPr>
        <w:t>[12]</w:t>
      </w:r>
      <w:r w:rsidRPr="00DF4DB5">
        <w:rPr>
          <w:rFonts w:ascii="Arial" w:hAnsi="Arial" w:cs="Arial"/>
        </w:rPr>
        <w:tab/>
      </w:r>
      <w:r w:rsidR="00457153" w:rsidRPr="00DF4DB5">
        <w:rPr>
          <w:rFonts w:ascii="Arial" w:hAnsi="Arial" w:cs="Arial"/>
        </w:rPr>
        <w:t xml:space="preserve">The respondents alleged </w:t>
      </w:r>
      <w:r w:rsidR="007771C6" w:rsidRPr="00DF4DB5">
        <w:rPr>
          <w:rFonts w:ascii="Arial" w:hAnsi="Arial" w:cs="Arial"/>
        </w:rPr>
        <w:t>that the appeal before this Court ha</w:t>
      </w:r>
      <w:r w:rsidR="00E00EB5" w:rsidRPr="00DF4DB5">
        <w:rPr>
          <w:rFonts w:ascii="Arial" w:hAnsi="Arial" w:cs="Arial"/>
        </w:rPr>
        <w:t>d</w:t>
      </w:r>
      <w:r w:rsidR="007771C6" w:rsidRPr="00DF4DB5">
        <w:rPr>
          <w:rFonts w:ascii="Arial" w:hAnsi="Arial" w:cs="Arial"/>
        </w:rPr>
        <w:t xml:space="preserve"> become </w:t>
      </w:r>
      <w:r w:rsidR="009D638F" w:rsidRPr="00DF4DB5">
        <w:rPr>
          <w:rFonts w:ascii="Arial" w:hAnsi="Arial" w:cs="Arial"/>
        </w:rPr>
        <w:t>perempted</w:t>
      </w:r>
      <w:r w:rsidR="007771C6" w:rsidRPr="00DF4DB5">
        <w:rPr>
          <w:rFonts w:ascii="Arial" w:hAnsi="Arial" w:cs="Arial"/>
        </w:rPr>
        <w:t xml:space="preserve"> in that after filing its application for leave to appeal in September 2022</w:t>
      </w:r>
      <w:r w:rsidR="00DB2F47" w:rsidRPr="00DF4DB5">
        <w:rPr>
          <w:rFonts w:ascii="Arial" w:hAnsi="Arial" w:cs="Arial"/>
        </w:rPr>
        <w:t>,</w:t>
      </w:r>
      <w:r w:rsidR="007771C6" w:rsidRPr="00DF4DB5">
        <w:rPr>
          <w:rFonts w:ascii="Arial" w:hAnsi="Arial" w:cs="Arial"/>
        </w:rPr>
        <w:t xml:space="preserve"> the municipality paid all its employees, including the respondents, the </w:t>
      </w:r>
      <w:r w:rsidR="00E90719" w:rsidRPr="00DF4DB5">
        <w:rPr>
          <w:rFonts w:ascii="Arial" w:hAnsi="Arial" w:cs="Arial"/>
        </w:rPr>
        <w:t>‘</w:t>
      </w:r>
      <w:r w:rsidR="007771C6" w:rsidRPr="00DF4DB5">
        <w:rPr>
          <w:rFonts w:ascii="Arial" w:hAnsi="Arial" w:cs="Arial"/>
        </w:rPr>
        <w:t>amounts due to them in terms of the applicable SA Local Government Bargaining Council (SALGBC) wage agreement with retrospective effect</w:t>
      </w:r>
      <w:r w:rsidR="00E90719" w:rsidRPr="00DF4DB5">
        <w:rPr>
          <w:rFonts w:ascii="Arial" w:hAnsi="Arial" w:cs="Arial"/>
        </w:rPr>
        <w:t>’</w:t>
      </w:r>
      <w:r w:rsidR="007771C6" w:rsidRPr="00DF4DB5">
        <w:rPr>
          <w:rFonts w:ascii="Arial" w:hAnsi="Arial" w:cs="Arial"/>
        </w:rPr>
        <w:t xml:space="preserve">. </w:t>
      </w:r>
      <w:r w:rsidR="007D6886" w:rsidRPr="00DF4DB5">
        <w:rPr>
          <w:rFonts w:ascii="Arial" w:hAnsi="Arial" w:cs="Arial"/>
        </w:rPr>
        <w:t>T</w:t>
      </w:r>
      <w:r w:rsidR="007771C6" w:rsidRPr="00DF4DB5">
        <w:rPr>
          <w:rFonts w:ascii="Arial" w:hAnsi="Arial" w:cs="Arial"/>
        </w:rPr>
        <w:t>he</w:t>
      </w:r>
      <w:r w:rsidR="008E6003" w:rsidRPr="00DF4DB5">
        <w:rPr>
          <w:rFonts w:ascii="Arial" w:hAnsi="Arial" w:cs="Arial"/>
        </w:rPr>
        <w:t xml:space="preserve">ir </w:t>
      </w:r>
      <w:r w:rsidR="007771C6" w:rsidRPr="00DF4DB5">
        <w:rPr>
          <w:rFonts w:ascii="Arial" w:hAnsi="Arial" w:cs="Arial"/>
        </w:rPr>
        <w:t>attorney</w:t>
      </w:r>
      <w:r w:rsidR="007D6886" w:rsidRPr="00DF4DB5">
        <w:rPr>
          <w:rFonts w:ascii="Arial" w:hAnsi="Arial" w:cs="Arial"/>
        </w:rPr>
        <w:t xml:space="preserve">, Mr Winter Mdlangazi, deposed to an affidavit </w:t>
      </w:r>
      <w:r w:rsidR="000A3031" w:rsidRPr="00DF4DB5">
        <w:rPr>
          <w:rFonts w:ascii="Arial" w:hAnsi="Arial" w:cs="Arial"/>
        </w:rPr>
        <w:t>in opposition to the condonation application and s</w:t>
      </w:r>
      <w:r w:rsidR="00DB2F47" w:rsidRPr="00DF4DB5">
        <w:rPr>
          <w:rFonts w:ascii="Arial" w:hAnsi="Arial" w:cs="Arial"/>
        </w:rPr>
        <w:t xml:space="preserve">aid </w:t>
      </w:r>
      <w:r w:rsidR="000A3031" w:rsidRPr="00DF4DB5">
        <w:rPr>
          <w:rFonts w:ascii="Arial" w:hAnsi="Arial" w:cs="Arial"/>
        </w:rPr>
        <w:t>the following:</w:t>
      </w:r>
    </w:p>
    <w:p w14:paraId="24934D41" w14:textId="77777777" w:rsidR="00901048" w:rsidRPr="00DF4DB5" w:rsidRDefault="00347023" w:rsidP="007A570B">
      <w:pPr>
        <w:pStyle w:val="lg-a-1"/>
        <w:shd w:val="clear" w:color="auto" w:fill="FFFFFF"/>
        <w:tabs>
          <w:tab w:val="left" w:pos="426"/>
          <w:tab w:val="left" w:pos="1864"/>
        </w:tabs>
        <w:spacing w:before="180" w:beforeAutospacing="0" w:after="0" w:afterAutospacing="0" w:line="360" w:lineRule="auto"/>
        <w:jc w:val="both"/>
        <w:rPr>
          <w:rFonts w:ascii="Arial" w:hAnsi="Arial" w:cs="Arial"/>
          <w:sz w:val="22"/>
          <w:szCs w:val="22"/>
        </w:rPr>
      </w:pPr>
      <w:r w:rsidRPr="00DF4DB5">
        <w:rPr>
          <w:rFonts w:ascii="Arial" w:hAnsi="Arial" w:cs="Arial"/>
          <w:sz w:val="22"/>
          <w:szCs w:val="22"/>
        </w:rPr>
        <w:t>‘</w:t>
      </w:r>
      <w:r w:rsidR="004D5471" w:rsidRPr="00DF4DB5">
        <w:rPr>
          <w:rFonts w:ascii="Arial" w:hAnsi="Arial" w:cs="Arial"/>
          <w:sz w:val="22"/>
          <w:szCs w:val="22"/>
        </w:rPr>
        <w:t xml:space="preserve">9. </w:t>
      </w:r>
      <w:r w:rsidR="00DB2F47" w:rsidRPr="00DF4DB5">
        <w:rPr>
          <w:rFonts w:ascii="Arial" w:hAnsi="Arial" w:cs="Arial"/>
          <w:sz w:val="22"/>
          <w:szCs w:val="22"/>
        </w:rPr>
        <w:tab/>
      </w:r>
      <w:r w:rsidR="000A3031" w:rsidRPr="00DF4DB5">
        <w:rPr>
          <w:rFonts w:ascii="Arial" w:hAnsi="Arial" w:cs="Arial"/>
          <w:sz w:val="22"/>
          <w:szCs w:val="22"/>
        </w:rPr>
        <w:t xml:space="preserve">I emphasise </w:t>
      </w:r>
      <w:r w:rsidR="007D6886" w:rsidRPr="00DF4DB5">
        <w:rPr>
          <w:rFonts w:ascii="Arial" w:hAnsi="Arial" w:cs="Arial"/>
          <w:sz w:val="22"/>
          <w:szCs w:val="22"/>
        </w:rPr>
        <w:t xml:space="preserve">that </w:t>
      </w:r>
      <w:r w:rsidR="000A3031" w:rsidRPr="00DF4DB5">
        <w:rPr>
          <w:rFonts w:ascii="Arial" w:hAnsi="Arial" w:cs="Arial"/>
          <w:sz w:val="22"/>
          <w:szCs w:val="22"/>
        </w:rPr>
        <w:t xml:space="preserve">this was to my surprise because in January 2023 I received notice that the Second Respondent had resolved to </w:t>
      </w:r>
      <w:r w:rsidRPr="00DF4DB5">
        <w:rPr>
          <w:rFonts w:ascii="Arial" w:hAnsi="Arial" w:cs="Arial"/>
          <w:sz w:val="22"/>
          <w:szCs w:val="22"/>
        </w:rPr>
        <w:t>“</w:t>
      </w:r>
      <w:r w:rsidR="000A3031" w:rsidRPr="00DF4DB5">
        <w:rPr>
          <w:rFonts w:ascii="Arial" w:hAnsi="Arial" w:cs="Arial"/>
          <w:sz w:val="22"/>
          <w:szCs w:val="22"/>
        </w:rPr>
        <w:t>condone</w:t>
      </w:r>
      <w:r w:rsidRPr="00DF4DB5">
        <w:rPr>
          <w:rFonts w:ascii="Arial" w:hAnsi="Arial" w:cs="Arial"/>
          <w:sz w:val="22"/>
          <w:szCs w:val="22"/>
        </w:rPr>
        <w:t>”</w:t>
      </w:r>
      <w:r w:rsidR="000A3031" w:rsidRPr="00DF4DB5">
        <w:rPr>
          <w:rFonts w:ascii="Arial" w:hAnsi="Arial" w:cs="Arial"/>
          <w:sz w:val="22"/>
          <w:szCs w:val="22"/>
        </w:rPr>
        <w:t xml:space="preserve"> payment of the back-pay which was the subject of the Respondent’s application in the High Court and which was paid to all the First Appellant’s employees, including the Respondents.</w:t>
      </w:r>
      <w:r w:rsidRPr="00DF4DB5">
        <w:rPr>
          <w:rFonts w:ascii="Arial" w:hAnsi="Arial" w:cs="Arial"/>
          <w:sz w:val="22"/>
          <w:szCs w:val="22"/>
        </w:rPr>
        <w:t xml:space="preserve"> </w:t>
      </w:r>
      <w:r w:rsidR="000A3031" w:rsidRPr="00DF4DB5">
        <w:rPr>
          <w:rFonts w:ascii="Arial" w:hAnsi="Arial" w:cs="Arial"/>
          <w:sz w:val="22"/>
          <w:szCs w:val="22"/>
        </w:rPr>
        <w:t xml:space="preserve">This decision was </w:t>
      </w:r>
      <w:r w:rsidR="00901048" w:rsidRPr="00DF4DB5">
        <w:rPr>
          <w:rFonts w:ascii="Arial" w:hAnsi="Arial" w:cs="Arial"/>
          <w:sz w:val="22"/>
          <w:szCs w:val="22"/>
        </w:rPr>
        <w:t xml:space="preserve">taken in compliance with a resolution taken at a special council meeting on 14 December 2022, the resolution and minutes of which are annexed marked </w:t>
      </w:r>
      <w:r w:rsidRPr="00DF4DB5">
        <w:rPr>
          <w:rFonts w:ascii="Arial" w:hAnsi="Arial" w:cs="Arial"/>
          <w:sz w:val="22"/>
          <w:szCs w:val="22"/>
        </w:rPr>
        <w:t>“</w:t>
      </w:r>
      <w:r w:rsidR="00901048" w:rsidRPr="00DF4DB5">
        <w:rPr>
          <w:rFonts w:ascii="Arial" w:hAnsi="Arial" w:cs="Arial"/>
          <w:sz w:val="22"/>
          <w:szCs w:val="22"/>
        </w:rPr>
        <w:t>A</w:t>
      </w:r>
      <w:r w:rsidRPr="00DF4DB5">
        <w:rPr>
          <w:rFonts w:ascii="Arial" w:hAnsi="Arial" w:cs="Arial"/>
          <w:sz w:val="22"/>
          <w:szCs w:val="22"/>
        </w:rPr>
        <w:t>”.</w:t>
      </w:r>
      <w:r w:rsidR="00901048" w:rsidRPr="00DF4DB5">
        <w:rPr>
          <w:rStyle w:val="FootnoteReference"/>
          <w:rFonts w:ascii="Arial" w:hAnsi="Arial" w:cs="Arial"/>
          <w:sz w:val="22"/>
          <w:szCs w:val="22"/>
        </w:rPr>
        <w:footnoteReference w:id="8"/>
      </w:r>
    </w:p>
    <w:p w14:paraId="4207886F" w14:textId="77777777" w:rsidR="004D5471" w:rsidRPr="00DF4DB5" w:rsidRDefault="00DB2F47" w:rsidP="007A570B">
      <w:pPr>
        <w:pStyle w:val="lg-a-1"/>
        <w:shd w:val="clear" w:color="auto" w:fill="FFFFFF"/>
        <w:tabs>
          <w:tab w:val="left" w:pos="426"/>
          <w:tab w:val="left" w:pos="720"/>
          <w:tab w:val="left" w:pos="1864"/>
        </w:tabs>
        <w:spacing w:before="180" w:beforeAutospacing="0" w:after="0" w:afterAutospacing="0" w:line="360" w:lineRule="auto"/>
        <w:jc w:val="both"/>
        <w:rPr>
          <w:rFonts w:ascii="Arial" w:hAnsi="Arial" w:cs="Arial"/>
          <w:sz w:val="22"/>
          <w:szCs w:val="22"/>
        </w:rPr>
      </w:pPr>
      <w:r w:rsidRPr="00DF4DB5">
        <w:rPr>
          <w:rFonts w:ascii="Arial" w:hAnsi="Arial" w:cs="Arial"/>
          <w:sz w:val="22"/>
          <w:szCs w:val="22"/>
        </w:rPr>
        <w:t>10. Since this payment to the r</w:t>
      </w:r>
      <w:r w:rsidR="004D5471" w:rsidRPr="00DF4DB5">
        <w:rPr>
          <w:rFonts w:ascii="Arial" w:hAnsi="Arial" w:cs="Arial"/>
          <w:sz w:val="22"/>
          <w:szCs w:val="22"/>
        </w:rPr>
        <w:t>espondents fully satisfied th</w:t>
      </w:r>
      <w:r w:rsidRPr="00DF4DB5">
        <w:rPr>
          <w:rFonts w:ascii="Arial" w:hAnsi="Arial" w:cs="Arial"/>
          <w:sz w:val="22"/>
          <w:szCs w:val="22"/>
        </w:rPr>
        <w:t>eir monetary claims, which the a</w:t>
      </w:r>
      <w:r w:rsidR="004D5471" w:rsidRPr="00DF4DB5">
        <w:rPr>
          <w:rFonts w:ascii="Arial" w:hAnsi="Arial" w:cs="Arial"/>
          <w:sz w:val="22"/>
          <w:szCs w:val="22"/>
        </w:rPr>
        <w:t xml:space="preserve">ppellants had unsuccessfully sought to resist in the proceedings a quo, I naturally thought that the present appeal and the decision to defend an appeal against a conflicting judgment on the same </w:t>
      </w:r>
      <w:r w:rsidR="008C6B70" w:rsidRPr="00DF4DB5">
        <w:rPr>
          <w:rFonts w:ascii="Arial" w:hAnsi="Arial" w:cs="Arial"/>
          <w:sz w:val="22"/>
          <w:szCs w:val="22"/>
        </w:rPr>
        <w:t>issues</w:t>
      </w:r>
      <w:r w:rsidR="004D5471" w:rsidRPr="00DF4DB5">
        <w:rPr>
          <w:rFonts w:ascii="Arial" w:hAnsi="Arial" w:cs="Arial"/>
          <w:sz w:val="22"/>
          <w:szCs w:val="22"/>
        </w:rPr>
        <w:t xml:space="preserve"> of the Labour Court had been abandoned.</w:t>
      </w:r>
    </w:p>
    <w:p w14:paraId="3609F1A7" w14:textId="1FE6F0DB" w:rsidR="004D5471" w:rsidRPr="00DF4DB5" w:rsidRDefault="004D5471" w:rsidP="00435EB6">
      <w:pPr>
        <w:pStyle w:val="lg-a-1"/>
        <w:shd w:val="clear" w:color="auto" w:fill="FFFFFF"/>
        <w:tabs>
          <w:tab w:val="left" w:pos="720"/>
          <w:tab w:val="left" w:pos="1864"/>
        </w:tabs>
        <w:spacing w:before="180" w:beforeAutospacing="0" w:after="0" w:afterAutospacing="0" w:line="360" w:lineRule="auto"/>
        <w:jc w:val="both"/>
        <w:rPr>
          <w:rFonts w:ascii="Arial" w:hAnsi="Arial" w:cs="Arial"/>
          <w:sz w:val="22"/>
          <w:szCs w:val="22"/>
        </w:rPr>
      </w:pPr>
      <w:r w:rsidRPr="00DF4DB5">
        <w:rPr>
          <w:rFonts w:ascii="Arial" w:hAnsi="Arial" w:cs="Arial"/>
          <w:sz w:val="22"/>
          <w:szCs w:val="22"/>
        </w:rPr>
        <w:t>11. By way of background, I interpose to mention that it was strongly argued in the Respondent’s application for leave to appeal, heard remotely by his Lordship Nhlangulela DJP on 21</w:t>
      </w:r>
      <w:r w:rsidRPr="00DF4DB5">
        <w:rPr>
          <w:rFonts w:ascii="Arial" w:hAnsi="Arial" w:cs="Arial"/>
          <w:sz w:val="22"/>
          <w:szCs w:val="22"/>
          <w:vertAlign w:val="superscript"/>
        </w:rPr>
        <w:t>st</w:t>
      </w:r>
      <w:r w:rsidRPr="00DF4DB5">
        <w:rPr>
          <w:rFonts w:ascii="Arial" w:hAnsi="Arial" w:cs="Arial"/>
          <w:sz w:val="22"/>
          <w:szCs w:val="22"/>
        </w:rPr>
        <w:t xml:space="preserve"> September 2022 that the right to appeal had been abandoned (perempted) on the strength of letters by the Mayor and the Acting Municipal Manager </w:t>
      </w:r>
      <w:r w:rsidR="00777EE2" w:rsidRPr="00DF4DB5">
        <w:rPr>
          <w:rFonts w:ascii="Arial" w:hAnsi="Arial" w:cs="Arial"/>
          <w:sz w:val="22"/>
          <w:szCs w:val="22"/>
        </w:rPr>
        <w:t>. . .</w:t>
      </w:r>
      <w:r w:rsidRPr="00DF4DB5">
        <w:rPr>
          <w:rFonts w:ascii="Arial" w:hAnsi="Arial" w:cs="Arial"/>
          <w:sz w:val="22"/>
          <w:szCs w:val="22"/>
        </w:rPr>
        <w:t xml:space="preserve"> which stated that the First Respondent would not be pursuing an appeal against the High Court judgment.</w:t>
      </w:r>
      <w:r w:rsidR="00777EE2" w:rsidRPr="00DF4DB5">
        <w:rPr>
          <w:rFonts w:ascii="Arial" w:hAnsi="Arial" w:cs="Arial"/>
          <w:sz w:val="22"/>
          <w:szCs w:val="22"/>
        </w:rPr>
        <w:t>’</w:t>
      </w:r>
    </w:p>
    <w:p w14:paraId="368859A7" w14:textId="45C44D9A" w:rsidR="000729A3" w:rsidRPr="00DF4DB5" w:rsidRDefault="00AE3257" w:rsidP="00DB2F47">
      <w:pPr>
        <w:pStyle w:val="lg-a-1"/>
        <w:shd w:val="clear" w:color="auto" w:fill="FFFFFF"/>
        <w:tabs>
          <w:tab w:val="left" w:pos="720"/>
          <w:tab w:val="left" w:pos="1864"/>
        </w:tabs>
        <w:spacing w:before="180" w:beforeAutospacing="0" w:after="0" w:afterAutospacing="0" w:line="360" w:lineRule="auto"/>
        <w:jc w:val="both"/>
        <w:rPr>
          <w:rFonts w:ascii="Arial" w:hAnsi="Arial" w:cs="Arial"/>
        </w:rPr>
      </w:pPr>
      <w:r>
        <w:rPr>
          <w:rFonts w:ascii="Arial" w:hAnsi="Arial" w:cs="Arial"/>
          <w:sz w:val="22"/>
          <w:szCs w:val="22"/>
        </w:rPr>
        <w:lastRenderedPageBreak/>
        <w:t>[13]</w:t>
      </w:r>
      <w:r>
        <w:rPr>
          <w:rFonts w:ascii="Arial" w:hAnsi="Arial" w:cs="Arial"/>
          <w:sz w:val="22"/>
          <w:szCs w:val="22"/>
        </w:rPr>
        <w:tab/>
      </w:r>
      <w:r w:rsidR="005A52BD" w:rsidRPr="00AE3257">
        <w:rPr>
          <w:rFonts w:ascii="Arial" w:eastAsia="Calibri" w:hAnsi="Arial" w:cs="Arial"/>
        </w:rPr>
        <w:t xml:space="preserve">The principle of </w:t>
      </w:r>
      <w:r w:rsidR="00D92144" w:rsidRPr="00AE3257">
        <w:rPr>
          <w:rFonts w:ascii="Arial" w:eastAsia="Calibri" w:hAnsi="Arial" w:cs="Arial"/>
        </w:rPr>
        <w:t>peremption safeguards the integrity of the judicial process by preventing litigants from oscillating between contradictory positions</w:t>
      </w:r>
      <w:r w:rsidR="005A52BD" w:rsidRPr="00AE3257">
        <w:rPr>
          <w:rFonts w:ascii="Arial" w:eastAsia="Calibri" w:hAnsi="Arial" w:cs="Arial"/>
        </w:rPr>
        <w:t>, ensuring judicial consistency and fairness</w:t>
      </w:r>
      <w:r w:rsidR="00D92144" w:rsidRPr="00AE3257">
        <w:rPr>
          <w:rFonts w:ascii="Arial" w:eastAsia="Calibri" w:hAnsi="Arial" w:cs="Arial"/>
        </w:rPr>
        <w:t>.</w:t>
      </w:r>
      <w:r w:rsidR="00D92144" w:rsidRPr="00AE3257">
        <w:rPr>
          <w:rFonts w:ascii="Arial" w:eastAsia="Calibri" w:hAnsi="Arial" w:cs="Arial"/>
          <w:vertAlign w:val="superscript"/>
        </w:rPr>
        <w:footnoteReference w:id="9"/>
      </w:r>
      <w:r w:rsidR="00D92144" w:rsidRPr="00AE3257">
        <w:rPr>
          <w:rFonts w:ascii="Arial" w:eastAsia="Calibri" w:hAnsi="Arial" w:cs="Arial"/>
        </w:rPr>
        <w:t xml:space="preserve"> </w:t>
      </w:r>
      <w:r w:rsidR="005A52BD" w:rsidRPr="00AE3257">
        <w:rPr>
          <w:rFonts w:ascii="Arial" w:eastAsia="Calibri" w:hAnsi="Arial" w:cs="Arial"/>
        </w:rPr>
        <w:t xml:space="preserve">It ensures </w:t>
      </w:r>
      <w:r w:rsidR="00D92144" w:rsidRPr="00AE3257">
        <w:rPr>
          <w:rFonts w:ascii="Arial" w:eastAsia="Calibri" w:hAnsi="Arial" w:cs="Arial"/>
        </w:rPr>
        <w:t>finality and stability in legal proceedings,</w:t>
      </w:r>
      <w:r w:rsidR="00D92144" w:rsidRPr="00AE3257">
        <w:rPr>
          <w:rFonts w:ascii="Arial" w:eastAsia="Calibri" w:hAnsi="Arial" w:cs="Arial"/>
          <w:vertAlign w:val="superscript"/>
        </w:rPr>
        <w:footnoteReference w:id="10"/>
      </w:r>
      <w:r w:rsidR="00D92144" w:rsidRPr="00AE3257">
        <w:rPr>
          <w:rFonts w:ascii="Arial" w:eastAsia="Calibri" w:hAnsi="Arial" w:cs="Arial"/>
        </w:rPr>
        <w:t xml:space="preserve"> which is essential for maintaining public trust in the justice system.</w:t>
      </w:r>
      <w:r w:rsidR="00D053C2" w:rsidRPr="00AE3257">
        <w:rPr>
          <w:rStyle w:val="FootnoteReference"/>
          <w:rFonts w:ascii="Arial" w:eastAsia="Calibri" w:hAnsi="Arial" w:cs="Arial"/>
        </w:rPr>
        <w:footnoteReference w:id="11"/>
      </w:r>
      <w:r w:rsidR="00D92144" w:rsidRPr="00AE3257">
        <w:rPr>
          <w:rFonts w:ascii="Arial" w:eastAsia="Calibri" w:hAnsi="Arial" w:cs="Arial"/>
        </w:rPr>
        <w:t xml:space="preserve"> </w:t>
      </w:r>
      <w:r w:rsidR="009A7BFA" w:rsidRPr="00DF4DB5">
        <w:rPr>
          <w:rFonts w:ascii="Arial" w:hAnsi="Arial" w:cs="Arial"/>
        </w:rPr>
        <w:t xml:space="preserve">The </w:t>
      </w:r>
      <w:r w:rsidR="00D52EEB" w:rsidRPr="00DF4DB5">
        <w:rPr>
          <w:rFonts w:ascii="Arial" w:hAnsi="Arial" w:cs="Arial"/>
        </w:rPr>
        <w:t xml:space="preserve">underlying principle of the </w:t>
      </w:r>
      <w:r w:rsidR="009A7BFA" w:rsidRPr="00DF4DB5">
        <w:rPr>
          <w:rFonts w:ascii="Arial" w:hAnsi="Arial" w:cs="Arial"/>
        </w:rPr>
        <w:t xml:space="preserve">doctrine of peremption </w:t>
      </w:r>
      <w:r w:rsidR="00D52EEB" w:rsidRPr="00DF4DB5">
        <w:rPr>
          <w:rFonts w:ascii="Arial" w:hAnsi="Arial" w:cs="Arial"/>
        </w:rPr>
        <w:t>is that a litigant cannot take two inconsistent positions. Accordingly, a</w:t>
      </w:r>
      <w:r w:rsidR="009A7BFA" w:rsidRPr="00DF4DB5">
        <w:rPr>
          <w:rFonts w:ascii="Arial" w:hAnsi="Arial" w:cs="Arial"/>
        </w:rPr>
        <w:t>n unsuccessful litigant cannot appeal a judg</w:t>
      </w:r>
      <w:r w:rsidR="00D52EEB" w:rsidRPr="00DF4DB5">
        <w:rPr>
          <w:rFonts w:ascii="Arial" w:hAnsi="Arial" w:cs="Arial"/>
        </w:rPr>
        <w:t>ment it has acquiesced to.</w:t>
      </w:r>
      <w:r w:rsidR="009A7BFA" w:rsidRPr="00DF4DB5">
        <w:rPr>
          <w:rFonts w:ascii="Arial" w:hAnsi="Arial" w:cs="Arial"/>
        </w:rPr>
        <w:t xml:space="preserve"> </w:t>
      </w:r>
      <w:r w:rsidR="00B20817" w:rsidRPr="00DF4DB5">
        <w:rPr>
          <w:rFonts w:ascii="Arial" w:hAnsi="Arial" w:cs="Arial"/>
        </w:rPr>
        <w:t>In order to succeed</w:t>
      </w:r>
      <w:r w:rsidR="00BD4B65" w:rsidRPr="00DF4DB5">
        <w:rPr>
          <w:rFonts w:ascii="Arial" w:hAnsi="Arial" w:cs="Arial"/>
        </w:rPr>
        <w:t xml:space="preserve"> on </w:t>
      </w:r>
      <w:r w:rsidR="00E00EB5" w:rsidRPr="00DF4DB5">
        <w:rPr>
          <w:rFonts w:ascii="Arial" w:hAnsi="Arial" w:cs="Arial"/>
        </w:rPr>
        <w:t>peremption</w:t>
      </w:r>
      <w:r w:rsidR="000729A3" w:rsidRPr="00DF4DB5">
        <w:rPr>
          <w:rFonts w:ascii="Arial" w:hAnsi="Arial" w:cs="Arial"/>
        </w:rPr>
        <w:t xml:space="preserve"> </w:t>
      </w:r>
      <w:r w:rsidR="00656BE8" w:rsidRPr="00DF4DB5">
        <w:rPr>
          <w:rFonts w:ascii="Arial" w:hAnsi="Arial" w:cs="Arial"/>
        </w:rPr>
        <w:t xml:space="preserve">a </w:t>
      </w:r>
      <w:r w:rsidR="000729A3" w:rsidRPr="00DF4DB5">
        <w:rPr>
          <w:rFonts w:ascii="Arial" w:hAnsi="Arial" w:cs="Arial"/>
        </w:rPr>
        <w:t xml:space="preserve">respondent </w:t>
      </w:r>
      <w:r w:rsidR="00B20817" w:rsidRPr="00DF4DB5">
        <w:rPr>
          <w:rFonts w:ascii="Arial" w:hAnsi="Arial" w:cs="Arial"/>
        </w:rPr>
        <w:t>must</w:t>
      </w:r>
      <w:r w:rsidR="000729A3" w:rsidRPr="00DF4DB5">
        <w:rPr>
          <w:rFonts w:ascii="Arial" w:hAnsi="Arial" w:cs="Arial"/>
        </w:rPr>
        <w:t xml:space="preserve"> </w:t>
      </w:r>
      <w:r w:rsidR="00B20817" w:rsidRPr="00DF4DB5">
        <w:rPr>
          <w:rFonts w:ascii="Arial" w:hAnsi="Arial" w:cs="Arial"/>
        </w:rPr>
        <w:t>demonstrate with reference to the facts before court</w:t>
      </w:r>
      <w:r w:rsidR="000729A3" w:rsidRPr="00DF4DB5">
        <w:rPr>
          <w:rFonts w:ascii="Arial" w:hAnsi="Arial" w:cs="Arial"/>
        </w:rPr>
        <w:t xml:space="preserve"> that </w:t>
      </w:r>
      <w:r w:rsidR="00772156" w:rsidRPr="00DF4DB5">
        <w:rPr>
          <w:rFonts w:ascii="Arial" w:hAnsi="Arial" w:cs="Arial"/>
        </w:rPr>
        <w:t>an</w:t>
      </w:r>
      <w:r w:rsidR="004D635C" w:rsidRPr="00DF4DB5">
        <w:rPr>
          <w:rFonts w:ascii="Arial" w:hAnsi="Arial" w:cs="Arial"/>
        </w:rPr>
        <w:t xml:space="preserve"> </w:t>
      </w:r>
      <w:r w:rsidR="000729A3" w:rsidRPr="00DF4DB5">
        <w:rPr>
          <w:rFonts w:ascii="Arial" w:hAnsi="Arial" w:cs="Arial"/>
        </w:rPr>
        <w:t>appellant</w:t>
      </w:r>
      <w:r w:rsidR="00656BE8" w:rsidRPr="00DF4DB5">
        <w:rPr>
          <w:rFonts w:ascii="Arial" w:hAnsi="Arial" w:cs="Arial"/>
        </w:rPr>
        <w:t>’</w:t>
      </w:r>
      <w:r w:rsidR="000729A3" w:rsidRPr="00DF4DB5">
        <w:rPr>
          <w:rFonts w:ascii="Arial" w:hAnsi="Arial" w:cs="Arial"/>
        </w:rPr>
        <w:t>s unequivocal conduct after having obtained leave to appeal, is inconsistent with an intention to appeal.</w:t>
      </w:r>
      <w:r w:rsidR="008F673E" w:rsidRPr="00DF4DB5">
        <w:rPr>
          <w:rStyle w:val="FootnoteReference"/>
          <w:rFonts w:ascii="Arial" w:hAnsi="Arial" w:cs="Arial"/>
        </w:rPr>
        <w:footnoteReference w:id="12"/>
      </w:r>
      <w:r w:rsidR="00861BF7" w:rsidRPr="00DF4DB5">
        <w:rPr>
          <w:rFonts w:ascii="Arial" w:hAnsi="Arial" w:cs="Arial"/>
        </w:rPr>
        <w:t xml:space="preserve"> In </w:t>
      </w:r>
      <w:r w:rsidR="000729A3" w:rsidRPr="00DF4DB5">
        <w:rPr>
          <w:rFonts w:ascii="Arial" w:hAnsi="Arial" w:cs="Arial"/>
          <w:i/>
        </w:rPr>
        <w:t>Qoboshiyane</w:t>
      </w:r>
      <w:r w:rsidR="00777EE2" w:rsidRPr="00DF4DB5">
        <w:rPr>
          <w:rFonts w:ascii="Arial" w:hAnsi="Arial" w:cs="Arial"/>
          <w:i/>
        </w:rPr>
        <w:t xml:space="preserve"> NO v Avusa Publishing Eastern Cape</w:t>
      </w:r>
      <w:r w:rsidR="00861BF7" w:rsidRPr="00DF4DB5">
        <w:rPr>
          <w:rStyle w:val="FootnoteReference"/>
          <w:rFonts w:ascii="Arial" w:hAnsi="Arial" w:cs="Arial"/>
        </w:rPr>
        <w:footnoteReference w:id="13"/>
      </w:r>
      <w:r w:rsidR="000729A3" w:rsidRPr="00DF4DB5">
        <w:rPr>
          <w:rFonts w:ascii="Arial" w:hAnsi="Arial" w:cs="Arial"/>
        </w:rPr>
        <w:t xml:space="preserve"> </w:t>
      </w:r>
      <w:r w:rsidR="00861BF7" w:rsidRPr="00DF4DB5">
        <w:rPr>
          <w:rFonts w:ascii="Arial" w:hAnsi="Arial" w:cs="Arial"/>
        </w:rPr>
        <w:t xml:space="preserve">the test </w:t>
      </w:r>
      <w:r w:rsidR="00772156" w:rsidRPr="00DF4DB5">
        <w:rPr>
          <w:rFonts w:ascii="Arial" w:hAnsi="Arial" w:cs="Arial"/>
        </w:rPr>
        <w:t xml:space="preserve">to determine </w:t>
      </w:r>
      <w:r w:rsidR="00861BF7" w:rsidRPr="00DF4DB5">
        <w:rPr>
          <w:rFonts w:ascii="Arial" w:hAnsi="Arial" w:cs="Arial"/>
        </w:rPr>
        <w:t>whether an appeal had become perempted</w:t>
      </w:r>
      <w:r w:rsidR="0066250E" w:rsidRPr="00DF4DB5">
        <w:rPr>
          <w:rFonts w:ascii="Arial" w:hAnsi="Arial" w:cs="Arial"/>
        </w:rPr>
        <w:t xml:space="preserve"> was set out as follows:</w:t>
      </w:r>
    </w:p>
    <w:p w14:paraId="27E4282C" w14:textId="2CA49A42" w:rsidR="000729A3" w:rsidRPr="00DF4DB5" w:rsidRDefault="000729A3" w:rsidP="000729A3">
      <w:pPr>
        <w:spacing w:after="0" w:line="360" w:lineRule="auto"/>
        <w:contextualSpacing/>
        <w:jc w:val="both"/>
        <w:rPr>
          <w:rFonts w:ascii="Arial" w:hAnsi="Arial" w:cs="Arial"/>
          <w:lang w:eastAsia="en-ZA"/>
        </w:rPr>
      </w:pPr>
      <w:r w:rsidRPr="00DF4DB5">
        <w:rPr>
          <w:rFonts w:ascii="Arial" w:hAnsi="Arial" w:cs="Arial"/>
          <w:lang w:eastAsia="en-ZA"/>
        </w:rPr>
        <w:t xml:space="preserve">‘Where, after judgment, a party unequivocally conveys an intention to be bound by the judgment any right of appeal is abandoned. The principle can be traced back to the judgment of this court in </w:t>
      </w:r>
      <w:r w:rsidRPr="00DF4DB5">
        <w:rPr>
          <w:rFonts w:ascii="Arial" w:hAnsi="Arial" w:cs="Arial"/>
          <w:i/>
          <w:lang w:eastAsia="en-ZA"/>
        </w:rPr>
        <w:t>Dabner v South African Railways &amp; Harbours</w:t>
      </w:r>
      <w:r w:rsidRPr="00DF4DB5">
        <w:rPr>
          <w:rFonts w:ascii="Arial" w:hAnsi="Arial" w:cs="Arial"/>
          <w:lang w:eastAsia="en-ZA"/>
        </w:rPr>
        <w:t>, where Innes CJ said:</w:t>
      </w:r>
    </w:p>
    <w:p w14:paraId="76E5E4EA" w14:textId="1D0B87D2" w:rsidR="000729A3" w:rsidRPr="00DF4DB5" w:rsidRDefault="002F493D" w:rsidP="000729A3">
      <w:pPr>
        <w:spacing w:after="0" w:line="360" w:lineRule="auto"/>
        <w:contextualSpacing/>
        <w:jc w:val="both"/>
        <w:rPr>
          <w:rFonts w:ascii="Arial" w:hAnsi="Arial" w:cs="Arial"/>
          <w:lang w:eastAsia="en-ZA"/>
        </w:rPr>
      </w:pPr>
      <w:r w:rsidRPr="00DF4DB5">
        <w:rPr>
          <w:rFonts w:ascii="Arial" w:hAnsi="Arial" w:cs="Arial"/>
          <w:lang w:eastAsia="en-ZA"/>
        </w:rPr>
        <w:t>“</w:t>
      </w:r>
      <w:r w:rsidR="000729A3" w:rsidRPr="00DF4DB5">
        <w:rPr>
          <w:rFonts w:ascii="Arial" w:hAnsi="Arial" w:cs="Arial"/>
          <w:lang w:eastAsia="en-ZA"/>
        </w:rPr>
        <w:t>The rule with regard to peremption is well settled, and has been enunciated on several occasions by this Court. If the conduct of an unsuccessful litigant is such as to point indubitably and necessarily to the conclusion that he does not intend to attack the judgment, then he is held to have acquiesced in it. But the conduct relied upon must be unequivocal and must be inconsistent with any intention to appeal. And the onus of establishing that position is upon the party alleging it. In doubtful cases acquiescence, like wa</w:t>
      </w:r>
      <w:r w:rsidR="0066250E" w:rsidRPr="00DF4DB5">
        <w:rPr>
          <w:rFonts w:ascii="Arial" w:hAnsi="Arial" w:cs="Arial"/>
          <w:lang w:eastAsia="en-ZA"/>
        </w:rPr>
        <w:t>iver, must be held non-proven.</w:t>
      </w:r>
      <w:r w:rsidRPr="00DF4DB5">
        <w:rPr>
          <w:rFonts w:ascii="Arial" w:hAnsi="Arial" w:cs="Arial"/>
          <w:lang w:eastAsia="en-ZA"/>
        </w:rPr>
        <w:t>”’</w:t>
      </w:r>
      <w:r w:rsidRPr="00DF4DB5">
        <w:rPr>
          <w:rStyle w:val="FootnoteReference"/>
          <w:rFonts w:ascii="Arial" w:hAnsi="Arial" w:cs="Arial"/>
          <w:lang w:eastAsia="en-ZA"/>
        </w:rPr>
        <w:footnoteReference w:id="14"/>
      </w:r>
    </w:p>
    <w:p w14:paraId="6C8BE967" w14:textId="77777777" w:rsidR="0066250E" w:rsidRPr="00DF4DB5" w:rsidRDefault="0066250E" w:rsidP="000729A3">
      <w:pPr>
        <w:spacing w:after="0" w:line="360" w:lineRule="auto"/>
        <w:contextualSpacing/>
        <w:jc w:val="both"/>
        <w:rPr>
          <w:rFonts w:ascii="Times New Roman" w:hAnsi="Times New Roman"/>
          <w:sz w:val="20"/>
          <w:szCs w:val="20"/>
          <w:lang w:eastAsia="en-ZA"/>
        </w:rPr>
      </w:pPr>
    </w:p>
    <w:p w14:paraId="08811D6B" w14:textId="2F7536FC" w:rsidR="008F673E" w:rsidRPr="00DF4DB5" w:rsidRDefault="0066250E" w:rsidP="006A4CEC">
      <w:pPr>
        <w:spacing w:after="0" w:line="360" w:lineRule="auto"/>
        <w:contextualSpacing/>
        <w:jc w:val="both"/>
        <w:rPr>
          <w:rFonts w:ascii="Arial" w:hAnsi="Arial" w:cs="Arial"/>
          <w:sz w:val="24"/>
          <w:szCs w:val="24"/>
          <w:lang w:eastAsia="en-ZA"/>
        </w:rPr>
      </w:pPr>
      <w:r w:rsidRPr="00DF4DB5">
        <w:rPr>
          <w:rFonts w:ascii="Arial" w:hAnsi="Arial" w:cs="Arial"/>
          <w:sz w:val="24"/>
          <w:szCs w:val="24"/>
          <w:lang w:eastAsia="en-ZA"/>
        </w:rPr>
        <w:t>[14]</w:t>
      </w:r>
      <w:r w:rsidRPr="00DF4DB5">
        <w:rPr>
          <w:rFonts w:ascii="Arial" w:hAnsi="Arial" w:cs="Arial"/>
          <w:sz w:val="24"/>
          <w:szCs w:val="24"/>
          <w:lang w:eastAsia="en-ZA"/>
        </w:rPr>
        <w:tab/>
      </w:r>
      <w:r w:rsidR="00BD4B65" w:rsidRPr="00DF4DB5">
        <w:rPr>
          <w:rFonts w:ascii="Arial" w:hAnsi="Arial" w:cs="Arial"/>
          <w:sz w:val="24"/>
          <w:szCs w:val="24"/>
          <w:lang w:eastAsia="en-ZA"/>
        </w:rPr>
        <w:t>T</w:t>
      </w:r>
      <w:r w:rsidR="006A4CEC" w:rsidRPr="00DF4DB5">
        <w:rPr>
          <w:rFonts w:ascii="Arial" w:hAnsi="Arial" w:cs="Arial"/>
          <w:sz w:val="24"/>
          <w:szCs w:val="24"/>
          <w:lang w:eastAsia="en-ZA"/>
        </w:rPr>
        <w:t>he appellant</w:t>
      </w:r>
      <w:r w:rsidR="00870BD1" w:rsidRPr="00DF4DB5">
        <w:rPr>
          <w:rFonts w:ascii="Arial" w:hAnsi="Arial" w:cs="Arial"/>
          <w:sz w:val="24"/>
          <w:szCs w:val="24"/>
          <w:lang w:eastAsia="en-ZA"/>
        </w:rPr>
        <w:t>s</w:t>
      </w:r>
      <w:r w:rsidR="006A4CEC" w:rsidRPr="00DF4DB5">
        <w:rPr>
          <w:rFonts w:ascii="Arial" w:hAnsi="Arial" w:cs="Arial"/>
          <w:sz w:val="24"/>
          <w:szCs w:val="24"/>
          <w:lang w:eastAsia="en-ZA"/>
        </w:rPr>
        <w:t xml:space="preserve"> submitted that the payment</w:t>
      </w:r>
      <w:r w:rsidR="009959E5" w:rsidRPr="00DF4DB5">
        <w:rPr>
          <w:rFonts w:ascii="Arial" w:hAnsi="Arial" w:cs="Arial"/>
          <w:sz w:val="24"/>
          <w:szCs w:val="24"/>
          <w:lang w:eastAsia="en-ZA"/>
        </w:rPr>
        <w:t xml:space="preserve">s </w:t>
      </w:r>
      <w:r w:rsidR="006A4CEC" w:rsidRPr="00DF4DB5">
        <w:rPr>
          <w:rFonts w:ascii="Arial" w:hAnsi="Arial" w:cs="Arial"/>
          <w:sz w:val="24"/>
          <w:szCs w:val="24"/>
          <w:lang w:eastAsia="en-ZA"/>
        </w:rPr>
        <w:t>to the respondents w</w:t>
      </w:r>
      <w:r w:rsidR="009959E5" w:rsidRPr="00DF4DB5">
        <w:rPr>
          <w:rFonts w:ascii="Arial" w:hAnsi="Arial" w:cs="Arial"/>
          <w:sz w:val="24"/>
          <w:szCs w:val="24"/>
          <w:lang w:eastAsia="en-ZA"/>
        </w:rPr>
        <w:t xml:space="preserve">ere </w:t>
      </w:r>
      <w:r w:rsidR="00B20817" w:rsidRPr="00DF4DB5">
        <w:rPr>
          <w:rFonts w:ascii="Arial" w:hAnsi="Arial" w:cs="Arial"/>
          <w:sz w:val="24"/>
          <w:szCs w:val="24"/>
          <w:lang w:eastAsia="en-ZA"/>
        </w:rPr>
        <w:t>made</w:t>
      </w:r>
      <w:r w:rsidR="006A4CEC" w:rsidRPr="00DF4DB5">
        <w:rPr>
          <w:rFonts w:ascii="Arial" w:hAnsi="Arial" w:cs="Arial"/>
          <w:sz w:val="24"/>
          <w:szCs w:val="24"/>
          <w:lang w:eastAsia="en-ZA"/>
        </w:rPr>
        <w:t xml:space="preserve"> in error and should not be construed as an indication that the municipality abandoned </w:t>
      </w:r>
    </w:p>
    <w:p w14:paraId="4E86131F" w14:textId="2E450EF2" w:rsidR="006A4CEC" w:rsidRPr="00DF4DB5" w:rsidRDefault="006A4CEC" w:rsidP="006A4CEC">
      <w:pPr>
        <w:spacing w:after="0" w:line="360" w:lineRule="auto"/>
        <w:contextualSpacing/>
        <w:jc w:val="both"/>
        <w:rPr>
          <w:rFonts w:ascii="Arial" w:hAnsi="Arial" w:cs="Arial"/>
          <w:color w:val="000000"/>
          <w:sz w:val="24"/>
          <w:szCs w:val="24"/>
          <w:lang w:eastAsia="en-ZA"/>
        </w:rPr>
      </w:pPr>
      <w:r w:rsidRPr="00DF4DB5">
        <w:rPr>
          <w:rFonts w:ascii="Arial" w:hAnsi="Arial" w:cs="Arial"/>
          <w:sz w:val="24"/>
          <w:szCs w:val="24"/>
          <w:lang w:eastAsia="en-ZA"/>
        </w:rPr>
        <w:lastRenderedPageBreak/>
        <w:t xml:space="preserve">or waived its right to proceed with the appeal. </w:t>
      </w:r>
      <w:r w:rsidR="009959E5" w:rsidRPr="00DF4DB5">
        <w:rPr>
          <w:rFonts w:ascii="Arial" w:hAnsi="Arial" w:cs="Arial"/>
          <w:sz w:val="24"/>
          <w:szCs w:val="24"/>
          <w:lang w:eastAsia="en-ZA"/>
        </w:rPr>
        <w:t xml:space="preserve">In </w:t>
      </w:r>
      <w:r w:rsidRPr="00DF4DB5">
        <w:rPr>
          <w:rFonts w:ascii="Arial" w:hAnsi="Arial" w:cs="Arial"/>
          <w:bCs/>
          <w:i/>
          <w:color w:val="000000"/>
          <w:sz w:val="24"/>
          <w:szCs w:val="24"/>
        </w:rPr>
        <w:t>South African Revenue Service v Commission for Conciliation, Mediation and Arbitration and others</w:t>
      </w:r>
      <w:r w:rsidRPr="00DF4DB5">
        <w:rPr>
          <w:rStyle w:val="FootnoteReference"/>
          <w:rFonts w:ascii="Arial" w:hAnsi="Arial" w:cs="Arial"/>
          <w:bCs/>
          <w:iCs/>
          <w:color w:val="000000"/>
          <w:sz w:val="24"/>
          <w:szCs w:val="24"/>
        </w:rPr>
        <w:footnoteReference w:id="15"/>
      </w:r>
      <w:r w:rsidRPr="00DF4DB5">
        <w:rPr>
          <w:rFonts w:ascii="Arial" w:hAnsi="Arial" w:cs="Arial"/>
          <w:b/>
          <w:bCs/>
          <w:color w:val="000000"/>
          <w:sz w:val="24"/>
          <w:szCs w:val="24"/>
        </w:rPr>
        <w:t xml:space="preserve"> </w:t>
      </w:r>
      <w:r w:rsidR="009959E5" w:rsidRPr="00DF4DB5">
        <w:rPr>
          <w:rFonts w:ascii="Arial" w:hAnsi="Arial" w:cs="Arial"/>
          <w:bCs/>
          <w:color w:val="000000"/>
          <w:sz w:val="24"/>
          <w:szCs w:val="24"/>
        </w:rPr>
        <w:t>it was</w:t>
      </w:r>
      <w:r w:rsidR="009959E5" w:rsidRPr="00DF4DB5">
        <w:rPr>
          <w:rFonts w:ascii="Arial" w:hAnsi="Arial" w:cs="Arial"/>
          <w:b/>
          <w:bCs/>
          <w:color w:val="000000"/>
          <w:sz w:val="24"/>
          <w:szCs w:val="24"/>
        </w:rPr>
        <w:t xml:space="preserve"> </w:t>
      </w:r>
      <w:r w:rsidRPr="00DF4DB5">
        <w:rPr>
          <w:rFonts w:ascii="Arial" w:hAnsi="Arial" w:cs="Arial"/>
          <w:bCs/>
          <w:color w:val="000000"/>
          <w:sz w:val="24"/>
          <w:szCs w:val="24"/>
        </w:rPr>
        <w:t>held that:</w:t>
      </w:r>
    </w:p>
    <w:p w14:paraId="08986C19" w14:textId="77777777" w:rsidR="0066250E" w:rsidRPr="00DF4DB5" w:rsidRDefault="006A4CEC" w:rsidP="006A4CEC">
      <w:pPr>
        <w:spacing w:after="0" w:line="360" w:lineRule="auto"/>
        <w:contextualSpacing/>
        <w:jc w:val="both"/>
        <w:rPr>
          <w:rFonts w:ascii="Arial" w:hAnsi="Arial" w:cs="Arial"/>
          <w:color w:val="000000"/>
          <w:szCs w:val="24"/>
          <w:lang w:val="en-US"/>
        </w:rPr>
      </w:pPr>
      <w:r w:rsidRPr="00DF4DB5">
        <w:rPr>
          <w:rFonts w:ascii="Arial" w:hAnsi="Arial" w:cs="Arial"/>
          <w:color w:val="000000"/>
          <w:szCs w:val="24"/>
          <w:lang w:val="en-US"/>
        </w:rPr>
        <w:t>‘Peremption is a waiver of one's constitutional right to appeal in a way that leaves no shred of reasonable doubt about the losing party's self-resignation to the unfavourable order that could otherwise be appealed against</w:t>
      </w:r>
      <w:r w:rsidR="00B66A36" w:rsidRPr="00DF4DB5">
        <w:rPr>
          <w:rFonts w:ascii="Arial" w:hAnsi="Arial" w:cs="Arial"/>
          <w:color w:val="000000"/>
          <w:szCs w:val="24"/>
          <w:lang w:val="en-US"/>
        </w:rPr>
        <w:t>.</w:t>
      </w:r>
      <w:r w:rsidR="00EF5D01" w:rsidRPr="00DF4DB5">
        <w:rPr>
          <w:rFonts w:ascii="Arial" w:hAnsi="Arial" w:cs="Arial"/>
          <w:color w:val="000000"/>
          <w:szCs w:val="24"/>
          <w:lang w:val="en-US"/>
        </w:rPr>
        <w:t>’</w:t>
      </w:r>
      <w:r w:rsidR="002F493D" w:rsidRPr="00DF4DB5">
        <w:rPr>
          <w:rStyle w:val="FootnoteReference"/>
          <w:rFonts w:ascii="Arial" w:hAnsi="Arial" w:cs="Arial"/>
          <w:color w:val="000000"/>
          <w:szCs w:val="24"/>
          <w:lang w:val="en-US"/>
        </w:rPr>
        <w:footnoteReference w:id="16"/>
      </w:r>
    </w:p>
    <w:p w14:paraId="1780E901" w14:textId="77777777" w:rsidR="00951833" w:rsidRPr="00DF4DB5" w:rsidRDefault="00951833" w:rsidP="00D92144">
      <w:pPr>
        <w:spacing w:after="0" w:line="360" w:lineRule="auto"/>
        <w:jc w:val="both"/>
        <w:rPr>
          <w:rFonts w:ascii="Arial" w:hAnsi="Arial" w:cs="Arial"/>
        </w:rPr>
      </w:pPr>
    </w:p>
    <w:p w14:paraId="28DC124F" w14:textId="146D212D" w:rsidR="00D92144" w:rsidRPr="00DF4DB5" w:rsidRDefault="00B66A36" w:rsidP="00D92144">
      <w:pPr>
        <w:spacing w:after="0" w:line="360" w:lineRule="auto"/>
        <w:jc w:val="both"/>
        <w:rPr>
          <w:rFonts w:ascii="Arial" w:eastAsia="Calibri" w:hAnsi="Arial" w:cs="Arial"/>
          <w:color w:val="FF0000"/>
          <w:sz w:val="24"/>
          <w:szCs w:val="24"/>
          <w:lang w:val="en-ZA"/>
        </w:rPr>
      </w:pPr>
      <w:r w:rsidRPr="00AE3257">
        <w:rPr>
          <w:rFonts w:ascii="Arial" w:hAnsi="Arial" w:cs="Arial"/>
          <w:sz w:val="24"/>
          <w:szCs w:val="24"/>
        </w:rPr>
        <w:t>[15]</w:t>
      </w:r>
      <w:r w:rsidRPr="00AE3257">
        <w:rPr>
          <w:rFonts w:ascii="Arial" w:hAnsi="Arial" w:cs="Arial"/>
          <w:sz w:val="24"/>
          <w:szCs w:val="24"/>
        </w:rPr>
        <w:tab/>
      </w:r>
      <w:r w:rsidR="00731E15" w:rsidRPr="00AE3257">
        <w:rPr>
          <w:rFonts w:ascii="Arial" w:hAnsi="Arial" w:cs="Arial"/>
          <w:sz w:val="24"/>
          <w:szCs w:val="24"/>
        </w:rPr>
        <w:t>Peremption</w:t>
      </w:r>
      <w:r w:rsidR="00EF0DAD" w:rsidRPr="00AE3257">
        <w:rPr>
          <w:rFonts w:ascii="Arial" w:hAnsi="Arial" w:cs="Arial"/>
          <w:sz w:val="24"/>
          <w:szCs w:val="24"/>
        </w:rPr>
        <w:t>,</w:t>
      </w:r>
      <w:r w:rsidR="00731E15" w:rsidRPr="00AE3257">
        <w:rPr>
          <w:rFonts w:ascii="Arial" w:hAnsi="Arial" w:cs="Arial"/>
          <w:sz w:val="24"/>
          <w:szCs w:val="24"/>
        </w:rPr>
        <w:t xml:space="preserve"> like waiver</w:t>
      </w:r>
      <w:r w:rsidR="00EF0DAD" w:rsidRPr="00AE3257">
        <w:rPr>
          <w:rFonts w:ascii="Arial" w:hAnsi="Arial" w:cs="Arial"/>
          <w:sz w:val="24"/>
          <w:szCs w:val="24"/>
        </w:rPr>
        <w:t>,</w:t>
      </w:r>
      <w:r w:rsidR="00731E15" w:rsidRPr="00AE3257">
        <w:rPr>
          <w:rFonts w:ascii="Arial" w:hAnsi="Arial" w:cs="Arial"/>
          <w:sz w:val="24"/>
          <w:szCs w:val="24"/>
        </w:rPr>
        <w:t xml:space="preserve"> is not lightly presumed and the onus rests on the party alleging peremption to establish conduct that clearly and unconditionally demonstrates acquiescence to abide by a judgment or order.</w:t>
      </w:r>
      <w:r w:rsidR="00731E15" w:rsidRPr="00AE3257">
        <w:rPr>
          <w:rStyle w:val="FootnoteReference"/>
          <w:rFonts w:ascii="Arial" w:hAnsi="Arial" w:cs="Arial"/>
        </w:rPr>
        <w:footnoteReference w:id="17"/>
      </w:r>
      <w:r w:rsidR="00731E15" w:rsidRPr="00AE3257">
        <w:rPr>
          <w:rFonts w:ascii="Arial" w:hAnsi="Arial" w:cs="Arial"/>
          <w:i/>
          <w:sz w:val="24"/>
          <w:szCs w:val="24"/>
        </w:rPr>
        <w:t xml:space="preserve"> </w:t>
      </w:r>
      <w:r w:rsidR="00731E15" w:rsidRPr="00AE3257">
        <w:rPr>
          <w:rFonts w:ascii="Arial" w:hAnsi="Arial" w:cs="Arial"/>
          <w:sz w:val="24"/>
          <w:szCs w:val="24"/>
        </w:rPr>
        <w:t>There are no outward manifestations on the part of the municipality, whether in the form of words or some other conduct, from which the intention to waive its right to appeal can be inferred</w:t>
      </w:r>
      <w:r w:rsidR="00731E15" w:rsidRPr="00DF4DB5">
        <w:rPr>
          <w:rFonts w:ascii="Arial" w:hAnsi="Arial" w:cs="Arial"/>
        </w:rPr>
        <w:t>.</w:t>
      </w:r>
      <w:r w:rsidR="00731E15" w:rsidRPr="00DF4DB5">
        <w:rPr>
          <w:rStyle w:val="FootnoteReference"/>
          <w:rFonts w:ascii="Arial" w:hAnsi="Arial" w:cs="Arial"/>
        </w:rPr>
        <w:footnoteReference w:id="18"/>
      </w:r>
      <w:r w:rsidR="00D92144" w:rsidRPr="00DF4DB5">
        <w:rPr>
          <w:rFonts w:ascii="Arial" w:eastAsia="Calibri" w:hAnsi="Arial" w:cs="Arial"/>
          <w:color w:val="FF0000"/>
        </w:rPr>
        <w:t xml:space="preserve"> </w:t>
      </w:r>
    </w:p>
    <w:p w14:paraId="5A77BAC5" w14:textId="4A6D0707" w:rsidR="00E86579" w:rsidRPr="00DF4DB5" w:rsidRDefault="00D375F6" w:rsidP="00435EB6">
      <w:pPr>
        <w:pStyle w:val="lg-a-1"/>
        <w:shd w:val="clear" w:color="auto" w:fill="FFFFFF"/>
        <w:tabs>
          <w:tab w:val="left" w:pos="720"/>
          <w:tab w:val="left" w:pos="1864"/>
        </w:tabs>
        <w:spacing w:before="180" w:beforeAutospacing="0" w:after="0" w:afterAutospacing="0" w:line="360" w:lineRule="auto"/>
        <w:jc w:val="both"/>
        <w:rPr>
          <w:rFonts w:ascii="Arial" w:hAnsi="Arial" w:cs="Arial"/>
        </w:rPr>
      </w:pPr>
      <w:r w:rsidRPr="00DF4DB5">
        <w:rPr>
          <w:rFonts w:ascii="Arial" w:hAnsi="Arial" w:cs="Arial"/>
        </w:rPr>
        <w:t>[16]</w:t>
      </w:r>
      <w:r w:rsidRPr="00DF4DB5">
        <w:rPr>
          <w:rFonts w:ascii="Arial" w:hAnsi="Arial" w:cs="Arial"/>
        </w:rPr>
        <w:tab/>
      </w:r>
      <w:r w:rsidR="00B66A36" w:rsidRPr="00DF4DB5">
        <w:rPr>
          <w:rFonts w:ascii="Arial" w:hAnsi="Arial" w:cs="Arial"/>
        </w:rPr>
        <w:t>The respondents have no</w:t>
      </w:r>
      <w:r w:rsidR="00126E56" w:rsidRPr="00DF4DB5">
        <w:rPr>
          <w:rFonts w:ascii="Arial" w:hAnsi="Arial" w:cs="Arial"/>
        </w:rPr>
        <w:t>t</w:t>
      </w:r>
      <w:r w:rsidR="00B66A36" w:rsidRPr="00DF4DB5">
        <w:rPr>
          <w:rFonts w:ascii="Arial" w:hAnsi="Arial" w:cs="Arial"/>
        </w:rPr>
        <w:t xml:space="preserve"> adduced any evidence to substantiate the contention that the municipality, through its resolution</w:t>
      </w:r>
      <w:r w:rsidR="002A524F" w:rsidRPr="00DF4DB5">
        <w:rPr>
          <w:rFonts w:ascii="Arial" w:hAnsi="Arial" w:cs="Arial"/>
        </w:rPr>
        <w:t xml:space="preserve"> in December 2022</w:t>
      </w:r>
      <w:r w:rsidR="00B66A36" w:rsidRPr="00DF4DB5">
        <w:rPr>
          <w:rFonts w:ascii="Arial" w:hAnsi="Arial" w:cs="Arial"/>
        </w:rPr>
        <w:t xml:space="preserve">, has effectively settled the matter and paid to the employees all of the amounts awarded in terms of the high court’s </w:t>
      </w:r>
      <w:r w:rsidR="00126E56" w:rsidRPr="00DF4DB5">
        <w:rPr>
          <w:rFonts w:ascii="Arial" w:hAnsi="Arial" w:cs="Arial"/>
        </w:rPr>
        <w:t>order</w:t>
      </w:r>
      <w:r w:rsidR="00B66A36" w:rsidRPr="00DF4DB5">
        <w:rPr>
          <w:rFonts w:ascii="Arial" w:hAnsi="Arial" w:cs="Arial"/>
        </w:rPr>
        <w:t xml:space="preserve">. More importantly, there is nothing on record </w:t>
      </w:r>
      <w:r w:rsidR="00EF5D01" w:rsidRPr="00DF4DB5">
        <w:rPr>
          <w:rFonts w:ascii="Arial" w:hAnsi="Arial" w:cs="Arial"/>
        </w:rPr>
        <w:t>indicating</w:t>
      </w:r>
      <w:r w:rsidR="00B66A36" w:rsidRPr="00DF4DB5">
        <w:rPr>
          <w:rFonts w:ascii="Arial" w:hAnsi="Arial" w:cs="Arial"/>
        </w:rPr>
        <w:t xml:space="preserve"> </w:t>
      </w:r>
      <w:r w:rsidR="00D33523" w:rsidRPr="00DF4DB5">
        <w:rPr>
          <w:rFonts w:ascii="Arial" w:hAnsi="Arial" w:cs="Arial"/>
        </w:rPr>
        <w:t xml:space="preserve">that </w:t>
      </w:r>
      <w:r w:rsidR="00B66A36" w:rsidRPr="00DF4DB5">
        <w:rPr>
          <w:rFonts w:ascii="Arial" w:hAnsi="Arial" w:cs="Arial"/>
        </w:rPr>
        <w:t>subsequent to the resolution in December 202</w:t>
      </w:r>
      <w:r w:rsidR="006A7098" w:rsidRPr="00DF4DB5">
        <w:rPr>
          <w:rFonts w:ascii="Arial" w:hAnsi="Arial" w:cs="Arial"/>
        </w:rPr>
        <w:t>2</w:t>
      </w:r>
      <w:r w:rsidR="00EF5D01" w:rsidRPr="00DF4DB5">
        <w:rPr>
          <w:rFonts w:ascii="Arial" w:hAnsi="Arial" w:cs="Arial"/>
        </w:rPr>
        <w:t>,</w:t>
      </w:r>
      <w:r w:rsidR="00B66A36" w:rsidRPr="00DF4DB5">
        <w:rPr>
          <w:rFonts w:ascii="Arial" w:hAnsi="Arial" w:cs="Arial"/>
        </w:rPr>
        <w:t xml:space="preserve"> the respondents received and continue to receive their salaries (inclusive of the 2.5% not</w:t>
      </w:r>
      <w:r w:rsidR="009959E5" w:rsidRPr="00DF4DB5">
        <w:rPr>
          <w:rFonts w:ascii="Arial" w:hAnsi="Arial" w:cs="Arial"/>
        </w:rPr>
        <w:t>ch</w:t>
      </w:r>
      <w:r w:rsidR="00B66A36" w:rsidRPr="00DF4DB5">
        <w:rPr>
          <w:rFonts w:ascii="Arial" w:hAnsi="Arial" w:cs="Arial"/>
        </w:rPr>
        <w:t xml:space="preserve"> increment). One would have expected the </w:t>
      </w:r>
      <w:r w:rsidR="00126E56" w:rsidRPr="00DF4DB5">
        <w:rPr>
          <w:rFonts w:ascii="Arial" w:hAnsi="Arial" w:cs="Arial"/>
        </w:rPr>
        <w:t xml:space="preserve">employees </w:t>
      </w:r>
      <w:r w:rsidR="00B66A36" w:rsidRPr="00DF4DB5">
        <w:rPr>
          <w:rFonts w:ascii="Arial" w:hAnsi="Arial" w:cs="Arial"/>
        </w:rPr>
        <w:t xml:space="preserve">to have </w:t>
      </w:r>
      <w:r w:rsidR="00126E56" w:rsidRPr="00DF4DB5">
        <w:rPr>
          <w:rFonts w:ascii="Arial" w:hAnsi="Arial" w:cs="Arial"/>
        </w:rPr>
        <w:t xml:space="preserve">annexed </w:t>
      </w:r>
      <w:r w:rsidR="00B66A36" w:rsidRPr="00DF4DB5">
        <w:rPr>
          <w:rFonts w:ascii="Arial" w:hAnsi="Arial" w:cs="Arial"/>
        </w:rPr>
        <w:t>copies of the</w:t>
      </w:r>
      <w:r w:rsidR="00FC64B2" w:rsidRPr="00DF4DB5">
        <w:rPr>
          <w:rFonts w:ascii="Arial" w:hAnsi="Arial" w:cs="Arial"/>
        </w:rPr>
        <w:t>ir</w:t>
      </w:r>
      <w:r w:rsidR="00B66A36" w:rsidRPr="00DF4DB5">
        <w:rPr>
          <w:rFonts w:ascii="Arial" w:hAnsi="Arial" w:cs="Arial"/>
        </w:rPr>
        <w:t xml:space="preserve"> salary advice slips </w:t>
      </w:r>
      <w:r w:rsidR="00FC64B2" w:rsidRPr="00DF4DB5">
        <w:rPr>
          <w:rFonts w:ascii="Arial" w:hAnsi="Arial" w:cs="Arial"/>
        </w:rPr>
        <w:t>following upon the municipality’s decision to pay them. There is</w:t>
      </w:r>
      <w:r w:rsidR="00EF5D01" w:rsidRPr="00DF4DB5">
        <w:rPr>
          <w:rFonts w:ascii="Arial" w:hAnsi="Arial" w:cs="Arial"/>
        </w:rPr>
        <w:t xml:space="preserve"> </w:t>
      </w:r>
      <w:r w:rsidR="00D33523" w:rsidRPr="00DF4DB5">
        <w:rPr>
          <w:rFonts w:ascii="Arial" w:hAnsi="Arial" w:cs="Arial"/>
        </w:rPr>
        <w:t>no evidence of this on record</w:t>
      </w:r>
      <w:r w:rsidR="00126E56" w:rsidRPr="00DF4DB5">
        <w:rPr>
          <w:rFonts w:ascii="Arial" w:hAnsi="Arial" w:cs="Arial"/>
        </w:rPr>
        <w:t>.</w:t>
      </w:r>
      <w:r w:rsidR="009F1987" w:rsidRPr="00DF4DB5">
        <w:rPr>
          <w:rFonts w:ascii="Arial" w:hAnsi="Arial" w:cs="Arial"/>
        </w:rPr>
        <w:t xml:space="preserve"> </w:t>
      </w:r>
      <w:r w:rsidR="00FC64B2" w:rsidRPr="00DF4DB5">
        <w:rPr>
          <w:rFonts w:ascii="Arial" w:hAnsi="Arial" w:cs="Arial"/>
        </w:rPr>
        <w:t xml:space="preserve"> </w:t>
      </w:r>
      <w:r w:rsidR="00E64382" w:rsidRPr="00DF4DB5">
        <w:rPr>
          <w:rFonts w:ascii="Arial" w:hAnsi="Arial" w:cs="Arial"/>
        </w:rPr>
        <w:t>I am accordingly not persuaded that the appeal has been perempted.</w:t>
      </w:r>
    </w:p>
    <w:p w14:paraId="17EC11F0" w14:textId="77354C90" w:rsidR="00E64382" w:rsidRPr="00DF4DB5" w:rsidRDefault="00E64382" w:rsidP="00435EB6">
      <w:pPr>
        <w:pStyle w:val="lg-a-1"/>
        <w:shd w:val="clear" w:color="auto" w:fill="FFFFFF"/>
        <w:tabs>
          <w:tab w:val="left" w:pos="720"/>
          <w:tab w:val="left" w:pos="1864"/>
        </w:tabs>
        <w:spacing w:before="180" w:beforeAutospacing="0" w:after="0" w:afterAutospacing="0" w:line="360" w:lineRule="auto"/>
        <w:jc w:val="both"/>
        <w:rPr>
          <w:rFonts w:ascii="Arial" w:hAnsi="Arial" w:cs="Arial"/>
          <w:b/>
        </w:rPr>
      </w:pPr>
      <w:r w:rsidRPr="00DF4DB5">
        <w:rPr>
          <w:rFonts w:ascii="Arial" w:hAnsi="Arial" w:cs="Arial"/>
          <w:b/>
        </w:rPr>
        <w:t>Mootness</w:t>
      </w:r>
    </w:p>
    <w:p w14:paraId="36650DBF" w14:textId="4C66F75D" w:rsidR="00D375F6" w:rsidRPr="00DF4DB5" w:rsidRDefault="00E86579" w:rsidP="00DC49EE">
      <w:pPr>
        <w:tabs>
          <w:tab w:val="left" w:pos="0"/>
        </w:tabs>
        <w:spacing w:after="0" w:line="360" w:lineRule="auto"/>
        <w:contextualSpacing/>
        <w:jc w:val="both"/>
        <w:rPr>
          <w:rFonts w:ascii="Arial" w:hAnsi="Arial" w:cs="Arial"/>
          <w:sz w:val="24"/>
          <w:szCs w:val="24"/>
        </w:rPr>
      </w:pPr>
      <w:r w:rsidRPr="00DF4DB5">
        <w:rPr>
          <w:rFonts w:ascii="Arial" w:hAnsi="Arial" w:cs="Arial"/>
        </w:rPr>
        <w:t>[1</w:t>
      </w:r>
      <w:r w:rsidR="00D375F6" w:rsidRPr="00DF4DB5">
        <w:rPr>
          <w:rFonts w:ascii="Arial" w:hAnsi="Arial" w:cs="Arial"/>
        </w:rPr>
        <w:t>7</w:t>
      </w:r>
      <w:r w:rsidRPr="00DF4DB5">
        <w:rPr>
          <w:rFonts w:ascii="Arial" w:hAnsi="Arial" w:cs="Arial"/>
        </w:rPr>
        <w:t>]</w:t>
      </w:r>
      <w:r w:rsidRPr="00DF4DB5">
        <w:rPr>
          <w:rFonts w:ascii="Arial" w:hAnsi="Arial" w:cs="Arial"/>
        </w:rPr>
        <w:tab/>
      </w:r>
      <w:r w:rsidR="008D73E9" w:rsidRPr="00DF4DB5">
        <w:rPr>
          <w:rFonts w:ascii="Arial" w:hAnsi="Arial" w:cs="Arial"/>
          <w:sz w:val="24"/>
          <w:szCs w:val="24"/>
        </w:rPr>
        <w:t xml:space="preserve">The high water mark of the respondents’ case on mootness rests on the inference to be drawn from the wording of the resolution taken on 14 December 2022 and the accompanying minutes of the Council meeting in terms of which the </w:t>
      </w:r>
      <w:r w:rsidR="0055540B" w:rsidRPr="00DF4DB5">
        <w:rPr>
          <w:rFonts w:ascii="Arial" w:hAnsi="Arial" w:cs="Arial"/>
          <w:sz w:val="24"/>
          <w:szCs w:val="24"/>
        </w:rPr>
        <w:t xml:space="preserve">municipality paid the respondents the amounts due to them in terms of the wage agreement with the South African Local Government Bargaining Council (SALGBC). On this basis, the respondents contend that the payment by the municipality constitutes an ‘admission’ that their claim was well founded and that no purpose would </w:t>
      </w:r>
      <w:r w:rsidR="0055540B" w:rsidRPr="00DF4DB5">
        <w:rPr>
          <w:rFonts w:ascii="Arial" w:hAnsi="Arial" w:cs="Arial"/>
          <w:sz w:val="24"/>
          <w:szCs w:val="24"/>
        </w:rPr>
        <w:lastRenderedPageBreak/>
        <w:t>be served by any judgment of this Court as the matter has now become academic.</w:t>
      </w:r>
      <w:r w:rsidR="009F1987" w:rsidRPr="00DF4DB5">
        <w:rPr>
          <w:rFonts w:ascii="Arial" w:hAnsi="Arial" w:cs="Arial"/>
          <w:sz w:val="24"/>
          <w:szCs w:val="24"/>
        </w:rPr>
        <w:t xml:space="preserve"> </w:t>
      </w:r>
      <w:r w:rsidR="00D375F6" w:rsidRPr="00DF4DB5">
        <w:rPr>
          <w:rFonts w:ascii="Arial" w:hAnsi="Arial" w:cs="Arial"/>
          <w:color w:val="000000"/>
          <w:sz w:val="24"/>
          <w:szCs w:val="24"/>
        </w:rPr>
        <w:t>In </w:t>
      </w:r>
      <w:r w:rsidR="00D375F6" w:rsidRPr="00DF4DB5">
        <w:rPr>
          <w:rFonts w:ascii="Arial" w:hAnsi="Arial" w:cs="Arial"/>
          <w:i/>
          <w:iCs/>
          <w:color w:val="000000"/>
          <w:sz w:val="24"/>
          <w:szCs w:val="24"/>
        </w:rPr>
        <w:t>National Coalition for Gay and Lesbian Equality and Others v Minister of Home Affairs and Others</w:t>
      </w:r>
      <w:r w:rsidR="00D375F6" w:rsidRPr="00DF4DB5">
        <w:rPr>
          <w:rStyle w:val="FootnoteReference"/>
          <w:rFonts w:ascii="Arial" w:hAnsi="Arial" w:cs="Arial"/>
          <w:color w:val="000000"/>
          <w:sz w:val="24"/>
          <w:szCs w:val="24"/>
        </w:rPr>
        <w:footnoteReference w:id="19"/>
      </w:r>
      <w:r w:rsidR="00D375F6" w:rsidRPr="00DF4DB5">
        <w:rPr>
          <w:rFonts w:ascii="Arial" w:hAnsi="Arial" w:cs="Arial"/>
          <w:color w:val="000000"/>
          <w:sz w:val="24"/>
          <w:szCs w:val="24"/>
        </w:rPr>
        <w:t xml:space="preserve"> Ackermann J said </w:t>
      </w:r>
      <w:r w:rsidR="00D375F6" w:rsidRPr="00DF4DB5">
        <w:rPr>
          <w:rFonts w:ascii="Arial" w:hAnsi="Arial" w:cs="Arial"/>
          <w:sz w:val="24"/>
          <w:szCs w:val="24"/>
        </w:rPr>
        <w:t>the following regarding mootness</w:t>
      </w:r>
      <w:r w:rsidR="00D375F6" w:rsidRPr="00DF4DB5">
        <w:rPr>
          <w:rFonts w:ascii="Arial" w:hAnsi="Arial" w:cs="Arial"/>
          <w:color w:val="000000"/>
          <w:sz w:val="24"/>
          <w:szCs w:val="24"/>
        </w:rPr>
        <w:t>:</w:t>
      </w:r>
    </w:p>
    <w:p w14:paraId="5DCD202B" w14:textId="1B8127F5" w:rsidR="00D375F6" w:rsidRPr="00DF4DB5" w:rsidRDefault="00170EE4" w:rsidP="00E71197">
      <w:pPr>
        <w:pStyle w:val="q-normal-1"/>
        <w:shd w:val="clear" w:color="auto" w:fill="FFFFFF"/>
        <w:spacing w:before="0" w:beforeAutospacing="0" w:after="0" w:afterAutospacing="0" w:line="360" w:lineRule="auto"/>
        <w:jc w:val="both"/>
        <w:rPr>
          <w:rFonts w:ascii="Arial" w:hAnsi="Arial" w:cs="Arial"/>
          <w:color w:val="000000"/>
          <w:sz w:val="22"/>
          <w:szCs w:val="22"/>
        </w:rPr>
      </w:pPr>
      <w:r w:rsidRPr="00DF4DB5">
        <w:rPr>
          <w:rFonts w:ascii="Arial" w:hAnsi="Arial" w:cs="Arial"/>
          <w:color w:val="000000"/>
          <w:sz w:val="22"/>
          <w:szCs w:val="22"/>
        </w:rPr>
        <w:t>‘</w:t>
      </w:r>
      <w:r w:rsidR="00D375F6" w:rsidRPr="00DF4DB5">
        <w:rPr>
          <w:rFonts w:ascii="Arial" w:hAnsi="Arial" w:cs="Arial"/>
          <w:color w:val="000000"/>
          <w:sz w:val="22"/>
          <w:szCs w:val="22"/>
        </w:rPr>
        <w:t>A case is moot and therefore not justiciable if it no longer presents an existing or live controversy which should exist if the Court is to avoid giving advisory opinions on abstract propositions of law.</w:t>
      </w:r>
      <w:r w:rsidRPr="00DF4DB5">
        <w:rPr>
          <w:rFonts w:ascii="Arial" w:hAnsi="Arial" w:cs="Arial"/>
          <w:color w:val="000000"/>
          <w:sz w:val="22"/>
          <w:szCs w:val="22"/>
        </w:rPr>
        <w:t>’</w:t>
      </w:r>
    </w:p>
    <w:p w14:paraId="48576D72" w14:textId="3AE7B0D6" w:rsidR="00901048" w:rsidRPr="00DF4DB5" w:rsidRDefault="00062884" w:rsidP="0090118F">
      <w:pPr>
        <w:pStyle w:val="lg-a-1"/>
        <w:shd w:val="clear" w:color="auto" w:fill="FFFFFF"/>
        <w:tabs>
          <w:tab w:val="left" w:pos="720"/>
          <w:tab w:val="left" w:pos="1864"/>
        </w:tabs>
        <w:spacing w:before="180" w:beforeAutospacing="0" w:after="0" w:afterAutospacing="0" w:line="360" w:lineRule="auto"/>
        <w:jc w:val="both"/>
        <w:rPr>
          <w:rFonts w:ascii="Arial" w:hAnsi="Arial" w:cs="Arial"/>
        </w:rPr>
      </w:pPr>
      <w:r w:rsidRPr="00DF4DB5">
        <w:rPr>
          <w:rFonts w:ascii="Arial" w:hAnsi="Arial" w:cs="Arial"/>
        </w:rPr>
        <w:t>[1</w:t>
      </w:r>
      <w:r w:rsidR="00DC49EE" w:rsidRPr="00DF4DB5">
        <w:rPr>
          <w:rFonts w:ascii="Arial" w:hAnsi="Arial" w:cs="Arial"/>
        </w:rPr>
        <w:t>8</w:t>
      </w:r>
      <w:r w:rsidRPr="00DF4DB5">
        <w:rPr>
          <w:rFonts w:ascii="Arial" w:hAnsi="Arial" w:cs="Arial"/>
        </w:rPr>
        <w:t>]</w:t>
      </w:r>
      <w:r w:rsidRPr="00DF4DB5">
        <w:rPr>
          <w:rFonts w:ascii="Arial" w:hAnsi="Arial" w:cs="Arial"/>
        </w:rPr>
        <w:tab/>
      </w:r>
      <w:r w:rsidR="006A7098" w:rsidRPr="00DF4DB5">
        <w:rPr>
          <w:rFonts w:ascii="Arial" w:hAnsi="Arial" w:cs="Arial"/>
        </w:rPr>
        <w:t xml:space="preserve">In the present matter, </w:t>
      </w:r>
      <w:r w:rsidR="00E86579" w:rsidRPr="00DF4DB5">
        <w:rPr>
          <w:rFonts w:ascii="Arial" w:hAnsi="Arial" w:cs="Arial"/>
        </w:rPr>
        <w:t>the interest</w:t>
      </w:r>
      <w:r w:rsidR="00447BAA" w:rsidRPr="00DF4DB5">
        <w:rPr>
          <w:rFonts w:ascii="Arial" w:hAnsi="Arial" w:cs="Arial"/>
        </w:rPr>
        <w:t>s</w:t>
      </w:r>
      <w:r w:rsidR="00E86579" w:rsidRPr="00DF4DB5">
        <w:rPr>
          <w:rFonts w:ascii="Arial" w:hAnsi="Arial" w:cs="Arial"/>
        </w:rPr>
        <w:t xml:space="preserve"> of justice justify looking past the issues of mootness and peremption. This is particularly so </w:t>
      </w:r>
      <w:r w:rsidR="00D33523" w:rsidRPr="00DF4DB5">
        <w:rPr>
          <w:rFonts w:ascii="Arial" w:hAnsi="Arial" w:cs="Arial"/>
        </w:rPr>
        <w:t xml:space="preserve">as </w:t>
      </w:r>
      <w:r w:rsidR="00E86579" w:rsidRPr="00DF4DB5">
        <w:rPr>
          <w:rFonts w:ascii="Arial" w:hAnsi="Arial" w:cs="Arial"/>
        </w:rPr>
        <w:t xml:space="preserve">there are two judgments subsequent to the decision of the high court in which the </w:t>
      </w:r>
      <w:r w:rsidR="00CC307D" w:rsidRPr="00DF4DB5">
        <w:rPr>
          <w:rFonts w:ascii="Arial" w:hAnsi="Arial" w:cs="Arial"/>
        </w:rPr>
        <w:t>r</w:t>
      </w:r>
      <w:r w:rsidR="00E86579" w:rsidRPr="00DF4DB5">
        <w:rPr>
          <w:rFonts w:ascii="Arial" w:hAnsi="Arial" w:cs="Arial"/>
        </w:rPr>
        <w:t xml:space="preserve">esolution </w:t>
      </w:r>
      <w:r w:rsidR="002F705D" w:rsidRPr="00DF4DB5">
        <w:rPr>
          <w:rFonts w:ascii="Arial" w:hAnsi="Arial" w:cs="Arial"/>
        </w:rPr>
        <w:t xml:space="preserve">which </w:t>
      </w:r>
      <w:r w:rsidR="00E86579" w:rsidRPr="00DF4DB5">
        <w:rPr>
          <w:rFonts w:ascii="Arial" w:hAnsi="Arial" w:cs="Arial"/>
        </w:rPr>
        <w:t xml:space="preserve">authorised </w:t>
      </w:r>
      <w:r w:rsidR="00475CC1" w:rsidRPr="00DF4DB5">
        <w:rPr>
          <w:rFonts w:ascii="Arial" w:hAnsi="Arial" w:cs="Arial"/>
        </w:rPr>
        <w:t xml:space="preserve">the </w:t>
      </w:r>
      <w:r w:rsidRPr="00DF4DB5">
        <w:rPr>
          <w:rFonts w:ascii="Arial" w:hAnsi="Arial" w:cs="Arial"/>
        </w:rPr>
        <w:t>paymen</w:t>
      </w:r>
      <w:r w:rsidR="002F705D" w:rsidRPr="00DF4DB5">
        <w:rPr>
          <w:rFonts w:ascii="Arial" w:hAnsi="Arial" w:cs="Arial"/>
        </w:rPr>
        <w:t>t of the 2.5% n</w:t>
      </w:r>
      <w:r w:rsidR="00126E56" w:rsidRPr="00DF4DB5">
        <w:rPr>
          <w:rFonts w:ascii="Arial" w:hAnsi="Arial" w:cs="Arial"/>
        </w:rPr>
        <w:t>otch increment to the employees</w:t>
      </w:r>
      <w:r w:rsidR="002F705D" w:rsidRPr="00DF4DB5">
        <w:rPr>
          <w:rFonts w:ascii="Arial" w:hAnsi="Arial" w:cs="Arial"/>
        </w:rPr>
        <w:t xml:space="preserve"> </w:t>
      </w:r>
      <w:r w:rsidR="00D33523" w:rsidRPr="00DF4DB5">
        <w:rPr>
          <w:rFonts w:ascii="Arial" w:hAnsi="Arial" w:cs="Arial"/>
        </w:rPr>
        <w:t xml:space="preserve">was </w:t>
      </w:r>
      <w:r w:rsidR="002F705D" w:rsidRPr="00DF4DB5">
        <w:rPr>
          <w:rFonts w:ascii="Arial" w:hAnsi="Arial" w:cs="Arial"/>
        </w:rPr>
        <w:t xml:space="preserve">set aside and declared </w:t>
      </w:r>
      <w:r w:rsidR="006A7098" w:rsidRPr="00DF4DB5">
        <w:rPr>
          <w:rFonts w:ascii="Arial" w:hAnsi="Arial" w:cs="Arial"/>
        </w:rPr>
        <w:t xml:space="preserve">null and </w:t>
      </w:r>
      <w:r w:rsidR="002F705D" w:rsidRPr="00DF4DB5">
        <w:rPr>
          <w:rFonts w:ascii="Arial" w:hAnsi="Arial" w:cs="Arial"/>
        </w:rPr>
        <w:t xml:space="preserve">void. To that end, the </w:t>
      </w:r>
      <w:r w:rsidR="00126E56" w:rsidRPr="00DF4DB5">
        <w:rPr>
          <w:rFonts w:ascii="Arial" w:hAnsi="Arial" w:cs="Arial"/>
        </w:rPr>
        <w:t xml:space="preserve">underlying </w:t>
      </w:r>
      <w:r w:rsidR="006A7098" w:rsidRPr="00DF4DB5">
        <w:rPr>
          <w:rFonts w:ascii="Arial" w:hAnsi="Arial" w:cs="Arial"/>
        </w:rPr>
        <w:t xml:space="preserve">edifice </w:t>
      </w:r>
      <w:r w:rsidR="002F705D" w:rsidRPr="00DF4DB5">
        <w:rPr>
          <w:rFonts w:ascii="Arial" w:hAnsi="Arial" w:cs="Arial"/>
        </w:rPr>
        <w:t>on which the high court arrived at its decision has been fo</w:t>
      </w:r>
      <w:r w:rsidR="006A7098" w:rsidRPr="00DF4DB5">
        <w:rPr>
          <w:rFonts w:ascii="Arial" w:hAnsi="Arial" w:cs="Arial"/>
        </w:rPr>
        <w:t xml:space="preserve">und wanting in both the Labour </w:t>
      </w:r>
      <w:r w:rsidR="00D33523" w:rsidRPr="00DF4DB5">
        <w:rPr>
          <w:rFonts w:ascii="Arial" w:hAnsi="Arial" w:cs="Arial"/>
        </w:rPr>
        <w:t>C</w:t>
      </w:r>
      <w:r w:rsidRPr="00DF4DB5">
        <w:rPr>
          <w:rFonts w:ascii="Arial" w:hAnsi="Arial" w:cs="Arial"/>
        </w:rPr>
        <w:t>ourt</w:t>
      </w:r>
      <w:r w:rsidR="002F705D" w:rsidRPr="00DF4DB5">
        <w:rPr>
          <w:rFonts w:ascii="Arial" w:hAnsi="Arial" w:cs="Arial"/>
        </w:rPr>
        <w:t xml:space="preserve"> </w:t>
      </w:r>
      <w:r w:rsidR="006A7098" w:rsidRPr="00DF4DB5">
        <w:rPr>
          <w:rFonts w:ascii="Arial" w:hAnsi="Arial" w:cs="Arial"/>
        </w:rPr>
        <w:t xml:space="preserve">and </w:t>
      </w:r>
      <w:r w:rsidR="002F705D" w:rsidRPr="00DF4DB5">
        <w:rPr>
          <w:rFonts w:ascii="Arial" w:hAnsi="Arial" w:cs="Arial"/>
        </w:rPr>
        <w:t>the Labour Appeal C</w:t>
      </w:r>
      <w:r w:rsidR="006F7B19" w:rsidRPr="00DF4DB5">
        <w:rPr>
          <w:rFonts w:ascii="Arial" w:hAnsi="Arial" w:cs="Arial"/>
        </w:rPr>
        <w:t>ourt</w:t>
      </w:r>
      <w:r w:rsidR="002F705D" w:rsidRPr="00DF4DB5">
        <w:rPr>
          <w:rFonts w:ascii="Arial" w:hAnsi="Arial" w:cs="Arial"/>
        </w:rPr>
        <w:t>.</w:t>
      </w:r>
      <w:r w:rsidRPr="00DF4DB5">
        <w:rPr>
          <w:rFonts w:ascii="Arial" w:hAnsi="Arial" w:cs="Arial"/>
        </w:rPr>
        <w:t xml:space="preserve"> It cannot therefor</w:t>
      </w:r>
      <w:r w:rsidR="00475CC1" w:rsidRPr="00DF4DB5">
        <w:rPr>
          <w:rFonts w:ascii="Arial" w:hAnsi="Arial" w:cs="Arial"/>
        </w:rPr>
        <w:t>e</w:t>
      </w:r>
      <w:r w:rsidRPr="00DF4DB5">
        <w:rPr>
          <w:rFonts w:ascii="Arial" w:hAnsi="Arial" w:cs="Arial"/>
        </w:rPr>
        <w:t xml:space="preserve"> be said that the appeal will have no practical effect</w:t>
      </w:r>
      <w:r w:rsidR="00CC307D" w:rsidRPr="00DF4DB5">
        <w:rPr>
          <w:rFonts w:ascii="Arial" w:hAnsi="Arial" w:cs="Arial"/>
        </w:rPr>
        <w:t>,</w:t>
      </w:r>
      <w:r w:rsidRPr="00DF4DB5">
        <w:rPr>
          <w:rFonts w:ascii="Arial" w:hAnsi="Arial" w:cs="Arial"/>
        </w:rPr>
        <w:t xml:space="preserve"> or has become academic. The ‘live controversy’ is very much </w:t>
      </w:r>
      <w:r w:rsidR="00CC307D" w:rsidRPr="00DF4DB5">
        <w:rPr>
          <w:rFonts w:ascii="Arial" w:hAnsi="Arial" w:cs="Arial"/>
        </w:rPr>
        <w:t xml:space="preserve">extant, </w:t>
      </w:r>
      <w:r w:rsidRPr="00DF4DB5">
        <w:rPr>
          <w:rFonts w:ascii="Arial" w:hAnsi="Arial" w:cs="Arial"/>
        </w:rPr>
        <w:t>especially as the municipality is obliged in terms of the high court’s order to continue paying the respondents the 2.5% notch increase until that judgment is set aside.</w:t>
      </w:r>
      <w:r w:rsidR="00475CC1" w:rsidRPr="00DF4DB5">
        <w:rPr>
          <w:rFonts w:ascii="Arial" w:hAnsi="Arial" w:cs="Arial"/>
        </w:rPr>
        <w:t xml:space="preserve"> </w:t>
      </w:r>
      <w:r w:rsidRPr="00DF4DB5">
        <w:rPr>
          <w:rFonts w:ascii="Arial" w:hAnsi="Arial" w:cs="Arial"/>
        </w:rPr>
        <w:t>In the result, I am not persuaded that the argument based on mootness and peremption can be sustained.</w:t>
      </w:r>
    </w:p>
    <w:p w14:paraId="5D0E7BAA" w14:textId="77777777" w:rsidR="00EA26AB" w:rsidRPr="00DF4DB5" w:rsidRDefault="00EA26AB" w:rsidP="00435EB6">
      <w:pPr>
        <w:pStyle w:val="lg-a-1"/>
        <w:shd w:val="clear" w:color="auto" w:fill="FFFFFF"/>
        <w:tabs>
          <w:tab w:val="left" w:pos="720"/>
          <w:tab w:val="left" w:pos="1864"/>
        </w:tabs>
        <w:spacing w:before="180" w:beforeAutospacing="0" w:after="0" w:afterAutospacing="0" w:line="360" w:lineRule="auto"/>
        <w:jc w:val="both"/>
        <w:rPr>
          <w:rFonts w:ascii="Arial" w:hAnsi="Arial" w:cs="Arial"/>
          <w:b/>
        </w:rPr>
      </w:pPr>
      <w:r w:rsidRPr="00DF4DB5">
        <w:rPr>
          <w:rFonts w:ascii="Arial" w:hAnsi="Arial" w:cs="Arial"/>
          <w:b/>
        </w:rPr>
        <w:t xml:space="preserve">In this </w:t>
      </w:r>
      <w:r w:rsidR="009959E5" w:rsidRPr="00DF4DB5">
        <w:rPr>
          <w:rFonts w:ascii="Arial" w:hAnsi="Arial" w:cs="Arial"/>
          <w:b/>
        </w:rPr>
        <w:t>C</w:t>
      </w:r>
      <w:r w:rsidRPr="00DF4DB5">
        <w:rPr>
          <w:rFonts w:ascii="Arial" w:hAnsi="Arial" w:cs="Arial"/>
          <w:b/>
        </w:rPr>
        <w:t>ourt</w:t>
      </w:r>
    </w:p>
    <w:p w14:paraId="0FAB0D04" w14:textId="60B5F6AD" w:rsidR="00FB70A2" w:rsidRPr="00DF4DB5" w:rsidRDefault="00062884" w:rsidP="00435EB6">
      <w:pPr>
        <w:pStyle w:val="lg-a-1"/>
        <w:shd w:val="clear" w:color="auto" w:fill="FFFFFF"/>
        <w:tabs>
          <w:tab w:val="left" w:pos="720"/>
          <w:tab w:val="left" w:pos="1864"/>
        </w:tabs>
        <w:spacing w:before="180" w:beforeAutospacing="0" w:after="0" w:afterAutospacing="0" w:line="360" w:lineRule="auto"/>
        <w:jc w:val="both"/>
        <w:rPr>
          <w:rFonts w:ascii="Arial" w:hAnsi="Arial" w:cs="Arial"/>
        </w:rPr>
      </w:pPr>
      <w:r w:rsidRPr="00DF4DB5">
        <w:rPr>
          <w:rFonts w:ascii="Arial" w:hAnsi="Arial" w:cs="Arial"/>
        </w:rPr>
        <w:t>[1</w:t>
      </w:r>
      <w:r w:rsidR="00DC49EE" w:rsidRPr="00DF4DB5">
        <w:rPr>
          <w:rFonts w:ascii="Arial" w:hAnsi="Arial" w:cs="Arial"/>
        </w:rPr>
        <w:t>9</w:t>
      </w:r>
      <w:r w:rsidRPr="00DF4DB5">
        <w:rPr>
          <w:rFonts w:ascii="Arial" w:hAnsi="Arial" w:cs="Arial"/>
        </w:rPr>
        <w:t>]</w:t>
      </w:r>
      <w:r w:rsidRPr="00DF4DB5">
        <w:rPr>
          <w:rFonts w:ascii="Arial" w:hAnsi="Arial" w:cs="Arial"/>
        </w:rPr>
        <w:tab/>
      </w:r>
      <w:r w:rsidR="00EA26AB" w:rsidRPr="00DF4DB5">
        <w:rPr>
          <w:rFonts w:ascii="Arial" w:hAnsi="Arial" w:cs="Arial"/>
        </w:rPr>
        <w:t>The thrust of the appellant</w:t>
      </w:r>
      <w:r w:rsidR="00475CC1" w:rsidRPr="00DF4DB5">
        <w:rPr>
          <w:rFonts w:ascii="Arial" w:hAnsi="Arial" w:cs="Arial"/>
        </w:rPr>
        <w:t>s</w:t>
      </w:r>
      <w:r w:rsidR="004D635C" w:rsidRPr="00DF4DB5">
        <w:rPr>
          <w:rFonts w:ascii="Arial" w:hAnsi="Arial" w:cs="Arial"/>
        </w:rPr>
        <w:t>’</w:t>
      </w:r>
      <w:r w:rsidR="00EA26AB" w:rsidRPr="00DF4DB5">
        <w:rPr>
          <w:rFonts w:ascii="Arial" w:hAnsi="Arial" w:cs="Arial"/>
        </w:rPr>
        <w:t xml:space="preserve"> case is </w:t>
      </w:r>
      <w:r w:rsidR="003B2E45" w:rsidRPr="00DF4DB5">
        <w:rPr>
          <w:rFonts w:ascii="Arial" w:hAnsi="Arial" w:cs="Arial"/>
        </w:rPr>
        <w:t xml:space="preserve">that the </w:t>
      </w:r>
      <w:r w:rsidR="00EA26AB" w:rsidRPr="00DF4DB5">
        <w:rPr>
          <w:rFonts w:ascii="Arial" w:hAnsi="Arial" w:cs="Arial"/>
        </w:rPr>
        <w:t xml:space="preserve">high court </w:t>
      </w:r>
      <w:r w:rsidR="003B2E45" w:rsidRPr="00DF4DB5">
        <w:rPr>
          <w:rFonts w:ascii="Arial" w:hAnsi="Arial" w:cs="Arial"/>
        </w:rPr>
        <w:t xml:space="preserve">erred in finding </w:t>
      </w:r>
      <w:r w:rsidR="00EA26AB" w:rsidRPr="00DF4DB5">
        <w:rPr>
          <w:rFonts w:ascii="Arial" w:hAnsi="Arial" w:cs="Arial"/>
        </w:rPr>
        <w:t>that the decision to cease payment of the 2.5% notch increment to its employees, including the respondents, was unlawful.</w:t>
      </w:r>
      <w:r w:rsidR="009F1987" w:rsidRPr="00DF4DB5">
        <w:rPr>
          <w:rFonts w:ascii="Arial" w:hAnsi="Arial" w:cs="Arial"/>
        </w:rPr>
        <w:t xml:space="preserve"> </w:t>
      </w:r>
      <w:r w:rsidR="00473087" w:rsidRPr="00DF4DB5">
        <w:rPr>
          <w:rFonts w:ascii="Arial" w:hAnsi="Arial" w:cs="Arial"/>
        </w:rPr>
        <w:t xml:space="preserve">Its </w:t>
      </w:r>
      <w:r w:rsidR="00EA26AB" w:rsidRPr="00DF4DB5">
        <w:rPr>
          <w:rFonts w:ascii="Arial" w:hAnsi="Arial" w:cs="Arial"/>
        </w:rPr>
        <w:t xml:space="preserve">case rests on two main pillars – </w:t>
      </w:r>
      <w:r w:rsidR="00473087" w:rsidRPr="00DF4DB5">
        <w:rPr>
          <w:rFonts w:ascii="Arial" w:hAnsi="Arial" w:cs="Arial"/>
        </w:rPr>
        <w:t>first</w:t>
      </w:r>
      <w:r w:rsidR="008A2267" w:rsidRPr="00DF4DB5">
        <w:rPr>
          <w:rFonts w:ascii="Arial" w:hAnsi="Arial" w:cs="Arial"/>
        </w:rPr>
        <w:t>,</w:t>
      </w:r>
      <w:r w:rsidR="00473087" w:rsidRPr="00DF4DB5">
        <w:rPr>
          <w:rFonts w:ascii="Arial" w:hAnsi="Arial" w:cs="Arial"/>
        </w:rPr>
        <w:t xml:space="preserve"> </w:t>
      </w:r>
      <w:r w:rsidR="00EA26AB" w:rsidRPr="00DF4DB5">
        <w:rPr>
          <w:rFonts w:ascii="Arial" w:hAnsi="Arial" w:cs="Arial"/>
        </w:rPr>
        <w:t>that the high court had no jurisdiction to entertain the claim of the two employees</w:t>
      </w:r>
      <w:r w:rsidR="00FB70A2" w:rsidRPr="00DF4DB5">
        <w:rPr>
          <w:rFonts w:ascii="Arial" w:hAnsi="Arial" w:cs="Arial"/>
        </w:rPr>
        <w:t xml:space="preserve"> under s</w:t>
      </w:r>
      <w:r w:rsidR="009705F9" w:rsidRPr="00DF4DB5">
        <w:rPr>
          <w:rFonts w:ascii="Arial" w:hAnsi="Arial" w:cs="Arial"/>
        </w:rPr>
        <w:t xml:space="preserve">ection </w:t>
      </w:r>
      <w:r w:rsidR="00FB70A2" w:rsidRPr="00DF4DB5">
        <w:rPr>
          <w:rFonts w:ascii="Arial" w:hAnsi="Arial" w:cs="Arial"/>
        </w:rPr>
        <w:t>77(3) of the Employment Act</w:t>
      </w:r>
      <w:r w:rsidR="00EA26AB" w:rsidRPr="00DF4DB5">
        <w:rPr>
          <w:rFonts w:ascii="Arial" w:hAnsi="Arial" w:cs="Arial"/>
        </w:rPr>
        <w:t xml:space="preserve">, and </w:t>
      </w:r>
      <w:r w:rsidR="00473087" w:rsidRPr="00DF4DB5">
        <w:rPr>
          <w:rFonts w:ascii="Arial" w:hAnsi="Arial" w:cs="Arial"/>
        </w:rPr>
        <w:t>second</w:t>
      </w:r>
      <w:r w:rsidR="008A2267" w:rsidRPr="00DF4DB5">
        <w:rPr>
          <w:rFonts w:ascii="Arial" w:hAnsi="Arial" w:cs="Arial"/>
        </w:rPr>
        <w:t>,</w:t>
      </w:r>
      <w:r w:rsidR="00473087" w:rsidRPr="00DF4DB5">
        <w:rPr>
          <w:rFonts w:ascii="Arial" w:hAnsi="Arial" w:cs="Arial"/>
        </w:rPr>
        <w:t xml:space="preserve"> that t</w:t>
      </w:r>
      <w:r w:rsidR="00EA26AB" w:rsidRPr="00DF4DB5">
        <w:rPr>
          <w:rFonts w:ascii="Arial" w:hAnsi="Arial" w:cs="Arial"/>
        </w:rPr>
        <w:t xml:space="preserve">he employees </w:t>
      </w:r>
      <w:r w:rsidR="00473087" w:rsidRPr="00DF4DB5">
        <w:rPr>
          <w:rFonts w:ascii="Arial" w:hAnsi="Arial" w:cs="Arial"/>
        </w:rPr>
        <w:t xml:space="preserve">failed to </w:t>
      </w:r>
      <w:r w:rsidR="00EA26AB" w:rsidRPr="00DF4DB5">
        <w:rPr>
          <w:rFonts w:ascii="Arial" w:hAnsi="Arial" w:cs="Arial"/>
        </w:rPr>
        <w:t xml:space="preserve">establish </w:t>
      </w:r>
      <w:r w:rsidR="009B47BC" w:rsidRPr="00DF4DB5">
        <w:rPr>
          <w:rFonts w:ascii="Arial" w:hAnsi="Arial" w:cs="Arial"/>
        </w:rPr>
        <w:t xml:space="preserve">that the non-payment of their 2.5% notch increment constituted </w:t>
      </w:r>
      <w:r w:rsidR="00EA26AB" w:rsidRPr="00DF4DB5">
        <w:rPr>
          <w:rFonts w:ascii="Arial" w:hAnsi="Arial" w:cs="Arial"/>
        </w:rPr>
        <w:t>a breach of their contracts of employment</w:t>
      </w:r>
      <w:r w:rsidR="009B47BC" w:rsidRPr="00DF4DB5">
        <w:rPr>
          <w:rFonts w:ascii="Arial" w:hAnsi="Arial" w:cs="Arial"/>
        </w:rPr>
        <w:t xml:space="preserve">. </w:t>
      </w:r>
      <w:r w:rsidR="00FB70A2" w:rsidRPr="00DF4DB5">
        <w:rPr>
          <w:rFonts w:ascii="Arial" w:hAnsi="Arial" w:cs="Arial"/>
        </w:rPr>
        <w:t xml:space="preserve">Success on either of these grounds would </w:t>
      </w:r>
      <w:r w:rsidR="00473087" w:rsidRPr="00DF4DB5">
        <w:rPr>
          <w:rFonts w:ascii="Arial" w:hAnsi="Arial" w:cs="Arial"/>
        </w:rPr>
        <w:t xml:space="preserve">be </w:t>
      </w:r>
      <w:r w:rsidR="00FB70A2" w:rsidRPr="00DF4DB5">
        <w:rPr>
          <w:rFonts w:ascii="Arial" w:hAnsi="Arial" w:cs="Arial"/>
        </w:rPr>
        <w:t>dispos</w:t>
      </w:r>
      <w:r w:rsidR="00473087" w:rsidRPr="00DF4DB5">
        <w:rPr>
          <w:rFonts w:ascii="Arial" w:hAnsi="Arial" w:cs="Arial"/>
        </w:rPr>
        <w:t>itive o</w:t>
      </w:r>
      <w:r w:rsidR="00FB70A2" w:rsidRPr="00DF4DB5">
        <w:rPr>
          <w:rFonts w:ascii="Arial" w:hAnsi="Arial" w:cs="Arial"/>
        </w:rPr>
        <w:t>f the appeal in favour of the appellant</w:t>
      </w:r>
      <w:r w:rsidR="00870BD1" w:rsidRPr="00DF4DB5">
        <w:rPr>
          <w:rFonts w:ascii="Arial" w:hAnsi="Arial" w:cs="Arial"/>
        </w:rPr>
        <w:t>s</w:t>
      </w:r>
      <w:r w:rsidR="00FB70A2" w:rsidRPr="00DF4DB5">
        <w:rPr>
          <w:rFonts w:ascii="Arial" w:hAnsi="Arial" w:cs="Arial"/>
        </w:rPr>
        <w:t>.</w:t>
      </w:r>
      <w:r w:rsidR="009F1987" w:rsidRPr="00DF4DB5">
        <w:rPr>
          <w:rFonts w:ascii="Arial" w:hAnsi="Arial" w:cs="Arial"/>
        </w:rPr>
        <w:t xml:space="preserve"> </w:t>
      </w:r>
    </w:p>
    <w:p w14:paraId="77ABA3D1" w14:textId="77777777" w:rsidR="0008434F" w:rsidRDefault="0008434F" w:rsidP="00435EB6">
      <w:pPr>
        <w:pStyle w:val="lg-a-1"/>
        <w:shd w:val="clear" w:color="auto" w:fill="FFFFFF"/>
        <w:tabs>
          <w:tab w:val="left" w:pos="720"/>
          <w:tab w:val="left" w:pos="1864"/>
        </w:tabs>
        <w:spacing w:before="180" w:beforeAutospacing="0" w:after="0" w:afterAutospacing="0" w:line="360" w:lineRule="auto"/>
        <w:jc w:val="both"/>
        <w:rPr>
          <w:rFonts w:ascii="Arial" w:hAnsi="Arial" w:cs="Arial"/>
          <w:b/>
        </w:rPr>
      </w:pPr>
    </w:p>
    <w:p w14:paraId="0EB87979" w14:textId="77777777" w:rsidR="0008434F" w:rsidRDefault="0008434F" w:rsidP="00435EB6">
      <w:pPr>
        <w:pStyle w:val="lg-a-1"/>
        <w:shd w:val="clear" w:color="auto" w:fill="FFFFFF"/>
        <w:tabs>
          <w:tab w:val="left" w:pos="720"/>
          <w:tab w:val="left" w:pos="1864"/>
        </w:tabs>
        <w:spacing w:before="180" w:beforeAutospacing="0" w:after="0" w:afterAutospacing="0" w:line="360" w:lineRule="auto"/>
        <w:jc w:val="both"/>
        <w:rPr>
          <w:rFonts w:ascii="Arial" w:hAnsi="Arial" w:cs="Arial"/>
          <w:b/>
        </w:rPr>
      </w:pPr>
    </w:p>
    <w:p w14:paraId="301F0747" w14:textId="7F3D551A" w:rsidR="00002347" w:rsidRPr="00DF4DB5" w:rsidRDefault="00002347" w:rsidP="00435EB6">
      <w:pPr>
        <w:pStyle w:val="lg-a-1"/>
        <w:shd w:val="clear" w:color="auto" w:fill="FFFFFF"/>
        <w:tabs>
          <w:tab w:val="left" w:pos="720"/>
          <w:tab w:val="left" w:pos="1864"/>
        </w:tabs>
        <w:spacing w:before="180" w:beforeAutospacing="0" w:after="0" w:afterAutospacing="0" w:line="360" w:lineRule="auto"/>
        <w:jc w:val="both"/>
        <w:rPr>
          <w:rFonts w:ascii="Arial" w:hAnsi="Arial" w:cs="Arial"/>
          <w:b/>
        </w:rPr>
      </w:pPr>
      <w:r w:rsidRPr="00DF4DB5">
        <w:rPr>
          <w:rFonts w:ascii="Arial" w:hAnsi="Arial" w:cs="Arial"/>
          <w:b/>
        </w:rPr>
        <w:lastRenderedPageBreak/>
        <w:t xml:space="preserve">Jurisdiction of the high court </w:t>
      </w:r>
    </w:p>
    <w:p w14:paraId="31670ACE" w14:textId="67943545" w:rsidR="002B5307" w:rsidRPr="00DF4DB5" w:rsidRDefault="007D5883" w:rsidP="00586293">
      <w:pPr>
        <w:pStyle w:val="lg-a-1"/>
        <w:shd w:val="clear" w:color="auto" w:fill="FFFFFF"/>
        <w:tabs>
          <w:tab w:val="left" w:pos="567"/>
          <w:tab w:val="left" w:pos="720"/>
          <w:tab w:val="left" w:pos="1864"/>
        </w:tabs>
        <w:spacing w:before="180" w:beforeAutospacing="0" w:after="0" w:afterAutospacing="0" w:line="360" w:lineRule="auto"/>
        <w:jc w:val="both"/>
        <w:rPr>
          <w:rFonts w:ascii="Arial" w:hAnsi="Arial" w:cs="Arial"/>
          <w:color w:val="000000"/>
        </w:rPr>
      </w:pPr>
      <w:r w:rsidRPr="00DF4DB5">
        <w:rPr>
          <w:rFonts w:ascii="Arial" w:hAnsi="Arial" w:cs="Arial"/>
        </w:rPr>
        <w:t>[</w:t>
      </w:r>
      <w:r w:rsidR="007A570B" w:rsidRPr="00DF4DB5">
        <w:rPr>
          <w:rFonts w:ascii="Arial" w:hAnsi="Arial" w:cs="Arial"/>
        </w:rPr>
        <w:t>20</w:t>
      </w:r>
      <w:r w:rsidRPr="00DF4DB5">
        <w:rPr>
          <w:rFonts w:ascii="Arial" w:hAnsi="Arial" w:cs="Arial"/>
        </w:rPr>
        <w:t>]</w:t>
      </w:r>
      <w:r w:rsidRPr="00DF4DB5">
        <w:rPr>
          <w:rFonts w:ascii="Arial" w:hAnsi="Arial" w:cs="Arial"/>
        </w:rPr>
        <w:tab/>
      </w:r>
      <w:r w:rsidR="00C5084E" w:rsidRPr="00DF4DB5">
        <w:rPr>
          <w:rFonts w:ascii="Arial" w:hAnsi="Arial" w:cs="Arial"/>
        </w:rPr>
        <w:t xml:space="preserve"> </w:t>
      </w:r>
      <w:r w:rsidR="002B5307" w:rsidRPr="00DF4DB5">
        <w:rPr>
          <w:rFonts w:ascii="Arial" w:hAnsi="Arial" w:cs="Arial"/>
        </w:rPr>
        <w:t>I</w:t>
      </w:r>
      <w:r w:rsidR="00815187" w:rsidRPr="00DF4DB5">
        <w:rPr>
          <w:rFonts w:ascii="Arial" w:hAnsi="Arial" w:cs="Arial"/>
        </w:rPr>
        <w:t xml:space="preserve">n assessing </w:t>
      </w:r>
      <w:r w:rsidR="002B5307" w:rsidRPr="00DF4DB5">
        <w:rPr>
          <w:rFonts w:ascii="Arial" w:hAnsi="Arial" w:cs="Arial"/>
        </w:rPr>
        <w:t>whether the h</w:t>
      </w:r>
      <w:r w:rsidR="00815187" w:rsidRPr="00DF4DB5">
        <w:rPr>
          <w:rFonts w:ascii="Arial" w:hAnsi="Arial" w:cs="Arial"/>
        </w:rPr>
        <w:t>igh cour</w:t>
      </w:r>
      <w:r w:rsidR="00002347" w:rsidRPr="00DF4DB5">
        <w:rPr>
          <w:rFonts w:ascii="Arial" w:hAnsi="Arial" w:cs="Arial"/>
        </w:rPr>
        <w:t xml:space="preserve">t </w:t>
      </w:r>
      <w:r w:rsidR="00815187" w:rsidRPr="00DF4DB5">
        <w:rPr>
          <w:rFonts w:ascii="Arial" w:hAnsi="Arial" w:cs="Arial"/>
        </w:rPr>
        <w:t>lack</w:t>
      </w:r>
      <w:r w:rsidR="002B5307" w:rsidRPr="00DF4DB5">
        <w:rPr>
          <w:rFonts w:ascii="Arial" w:hAnsi="Arial" w:cs="Arial"/>
        </w:rPr>
        <w:t>ed jurisdiction</w:t>
      </w:r>
      <w:r w:rsidR="008C3B67" w:rsidRPr="00DF4DB5">
        <w:rPr>
          <w:rFonts w:ascii="Arial" w:hAnsi="Arial" w:cs="Arial"/>
        </w:rPr>
        <w:t>,</w:t>
      </w:r>
      <w:r w:rsidR="00815187" w:rsidRPr="00DF4DB5">
        <w:rPr>
          <w:rFonts w:ascii="Arial" w:hAnsi="Arial" w:cs="Arial"/>
        </w:rPr>
        <w:t xml:space="preserve"> </w:t>
      </w:r>
      <w:r w:rsidR="002B5307" w:rsidRPr="00DF4DB5">
        <w:rPr>
          <w:rFonts w:ascii="Arial" w:hAnsi="Arial" w:cs="Arial"/>
        </w:rPr>
        <w:t xml:space="preserve">the starting point is that </w:t>
      </w:r>
      <w:r w:rsidR="00815187" w:rsidRPr="00DF4DB5">
        <w:rPr>
          <w:rFonts w:ascii="Arial" w:hAnsi="Arial" w:cs="Arial"/>
        </w:rPr>
        <w:t xml:space="preserve">the high court has jurisdiction to adjudicate on </w:t>
      </w:r>
      <w:r w:rsidR="00815187" w:rsidRPr="00DF4DB5">
        <w:rPr>
          <w:rFonts w:ascii="Arial" w:hAnsi="Arial" w:cs="Arial"/>
          <w:i/>
        </w:rPr>
        <w:t xml:space="preserve">any </w:t>
      </w:r>
      <w:r w:rsidR="00815187" w:rsidRPr="00DF4DB5">
        <w:rPr>
          <w:rFonts w:ascii="Arial" w:hAnsi="Arial" w:cs="Arial"/>
        </w:rPr>
        <w:t xml:space="preserve">matter, except </w:t>
      </w:r>
      <w:r w:rsidR="00335E16" w:rsidRPr="00DF4DB5">
        <w:rPr>
          <w:rFonts w:ascii="Arial" w:hAnsi="Arial" w:cs="Arial"/>
        </w:rPr>
        <w:t xml:space="preserve">where </w:t>
      </w:r>
      <w:r w:rsidR="00815187" w:rsidRPr="00DF4DB5">
        <w:rPr>
          <w:rFonts w:ascii="Arial" w:hAnsi="Arial" w:cs="Arial"/>
        </w:rPr>
        <w:t xml:space="preserve">the legislature has assigned </w:t>
      </w:r>
      <w:r w:rsidR="00335E16" w:rsidRPr="00DF4DB5">
        <w:rPr>
          <w:rFonts w:ascii="Arial" w:hAnsi="Arial" w:cs="Arial"/>
        </w:rPr>
        <w:t xml:space="preserve">jurisdiction </w:t>
      </w:r>
      <w:r w:rsidR="00815187" w:rsidRPr="00DF4DB5">
        <w:rPr>
          <w:rFonts w:ascii="Arial" w:hAnsi="Arial" w:cs="Arial"/>
        </w:rPr>
        <w:t>to another cour</w:t>
      </w:r>
      <w:r w:rsidR="002B5307" w:rsidRPr="00DF4DB5">
        <w:rPr>
          <w:rFonts w:ascii="Arial" w:hAnsi="Arial" w:cs="Arial"/>
        </w:rPr>
        <w:t xml:space="preserve">t, </w:t>
      </w:r>
      <w:r w:rsidR="00815187" w:rsidRPr="00DF4DB5">
        <w:rPr>
          <w:rFonts w:ascii="Arial" w:hAnsi="Arial" w:cs="Arial"/>
        </w:rPr>
        <w:t xml:space="preserve">similar in status to the </w:t>
      </w:r>
      <w:r w:rsidR="007B5EF1" w:rsidRPr="00DF4DB5">
        <w:rPr>
          <w:rFonts w:ascii="Arial" w:hAnsi="Arial" w:cs="Arial"/>
        </w:rPr>
        <w:t>high court</w:t>
      </w:r>
      <w:r w:rsidR="00BA5FB1" w:rsidRPr="00DF4DB5">
        <w:rPr>
          <w:rFonts w:ascii="Arial" w:hAnsi="Arial" w:cs="Arial"/>
        </w:rPr>
        <w:t>.</w:t>
      </w:r>
      <w:r w:rsidR="00815187" w:rsidRPr="00DF4DB5">
        <w:rPr>
          <w:rStyle w:val="FootnoteReference"/>
          <w:rFonts w:ascii="Arial" w:hAnsi="Arial" w:cs="Arial"/>
        </w:rPr>
        <w:footnoteReference w:id="20"/>
      </w:r>
      <w:r w:rsidR="00815187" w:rsidRPr="00DF4DB5">
        <w:rPr>
          <w:rFonts w:ascii="Arial" w:hAnsi="Arial" w:cs="Arial"/>
        </w:rPr>
        <w:t xml:space="preserve"> </w:t>
      </w:r>
      <w:r w:rsidR="005C6676" w:rsidRPr="00DF4DB5">
        <w:rPr>
          <w:rFonts w:ascii="Arial" w:hAnsi="Arial" w:cs="Arial"/>
        </w:rPr>
        <w:t>T</w:t>
      </w:r>
      <w:r w:rsidR="00E25DFA" w:rsidRPr="00DF4DB5">
        <w:rPr>
          <w:rFonts w:ascii="Arial" w:hAnsi="Arial" w:cs="Arial"/>
        </w:rPr>
        <w:t xml:space="preserve">he legislative framework which underpins the </w:t>
      </w:r>
      <w:r w:rsidR="005C6676" w:rsidRPr="00DF4DB5">
        <w:rPr>
          <w:rFonts w:ascii="Arial" w:hAnsi="Arial" w:cs="Arial"/>
        </w:rPr>
        <w:t xml:space="preserve">exclusive </w:t>
      </w:r>
      <w:r w:rsidR="00E25DFA" w:rsidRPr="00DF4DB5">
        <w:rPr>
          <w:rFonts w:ascii="Arial" w:hAnsi="Arial" w:cs="Arial"/>
        </w:rPr>
        <w:t>jurisdiction of the Labour Court in labour</w:t>
      </w:r>
      <w:r w:rsidR="00EF1E1E">
        <w:rPr>
          <w:rFonts w:ascii="Arial" w:hAnsi="Arial" w:cs="Arial"/>
        </w:rPr>
        <w:t>-</w:t>
      </w:r>
      <w:r w:rsidR="00E25DFA" w:rsidRPr="00DF4DB5">
        <w:rPr>
          <w:rFonts w:ascii="Arial" w:hAnsi="Arial" w:cs="Arial"/>
        </w:rPr>
        <w:t>related matters</w:t>
      </w:r>
      <w:r w:rsidR="005C6676" w:rsidRPr="00DF4DB5">
        <w:rPr>
          <w:rStyle w:val="FootnoteReference"/>
          <w:rFonts w:ascii="Arial" w:hAnsi="Arial" w:cs="Arial"/>
        </w:rPr>
        <w:footnoteReference w:id="21"/>
      </w:r>
      <w:r w:rsidR="005C6676" w:rsidRPr="00DF4DB5">
        <w:rPr>
          <w:rFonts w:ascii="Arial" w:hAnsi="Arial" w:cs="Arial"/>
        </w:rPr>
        <w:t xml:space="preserve"> is </w:t>
      </w:r>
      <w:r w:rsidR="007B5EF1" w:rsidRPr="00DF4DB5">
        <w:rPr>
          <w:rFonts w:ascii="Arial" w:hAnsi="Arial" w:cs="Arial"/>
        </w:rPr>
        <w:t xml:space="preserve">located </w:t>
      </w:r>
      <w:r w:rsidR="005C6676" w:rsidRPr="00DF4DB5">
        <w:rPr>
          <w:rFonts w:ascii="Arial" w:hAnsi="Arial" w:cs="Arial"/>
        </w:rPr>
        <w:t>in s</w:t>
      </w:r>
      <w:r w:rsidR="00E25DFA" w:rsidRPr="00DF4DB5">
        <w:rPr>
          <w:rFonts w:ascii="Arial" w:hAnsi="Arial" w:cs="Arial"/>
        </w:rPr>
        <w:t xml:space="preserve"> 77 of the Employment Act</w:t>
      </w:r>
      <w:r w:rsidR="005C6676" w:rsidRPr="00DF4DB5">
        <w:rPr>
          <w:rFonts w:ascii="Arial" w:hAnsi="Arial" w:cs="Arial"/>
        </w:rPr>
        <w:t xml:space="preserve"> which</w:t>
      </w:r>
      <w:r w:rsidR="00E25DFA" w:rsidRPr="00DF4DB5">
        <w:rPr>
          <w:rFonts w:ascii="Arial" w:hAnsi="Arial" w:cs="Arial"/>
        </w:rPr>
        <w:t xml:space="preserve"> reads as follows: </w:t>
      </w:r>
    </w:p>
    <w:p w14:paraId="59165CC6" w14:textId="77777777" w:rsidR="00E25DFA" w:rsidRPr="00DF4DB5" w:rsidRDefault="00BA5FB1" w:rsidP="00586293">
      <w:pPr>
        <w:shd w:val="clear" w:color="auto" w:fill="FFFFFF"/>
        <w:spacing w:after="0" w:line="360" w:lineRule="auto"/>
        <w:jc w:val="both"/>
        <w:rPr>
          <w:rFonts w:ascii="Arial" w:hAnsi="Arial" w:cs="Arial"/>
        </w:rPr>
      </w:pPr>
      <w:r w:rsidRPr="00DF4DB5">
        <w:rPr>
          <w:rFonts w:ascii="Arial" w:hAnsi="Arial" w:cs="Arial"/>
        </w:rPr>
        <w:t>‘</w:t>
      </w:r>
      <w:r w:rsidR="00E25DFA" w:rsidRPr="00DF4DB5">
        <w:rPr>
          <w:rFonts w:ascii="Arial" w:hAnsi="Arial" w:cs="Arial"/>
        </w:rPr>
        <w:t xml:space="preserve">(1) Subject to the Constitution and the jurisdiction of the Labour Appeal Court, and except where this Act provides otherwise, the Labour Court has exclusive jurisdiction in respect of all matters in terms of this Act. </w:t>
      </w:r>
    </w:p>
    <w:p w14:paraId="49F1ECE6" w14:textId="77777777" w:rsidR="00E25DFA" w:rsidRPr="00DF4DB5" w:rsidRDefault="00E25DFA" w:rsidP="00586293">
      <w:pPr>
        <w:shd w:val="clear" w:color="auto" w:fill="FFFFFF"/>
        <w:spacing w:after="0" w:line="360" w:lineRule="auto"/>
        <w:jc w:val="both"/>
        <w:rPr>
          <w:rFonts w:ascii="Arial" w:hAnsi="Arial" w:cs="Arial"/>
        </w:rPr>
      </w:pPr>
      <w:r w:rsidRPr="00DF4DB5">
        <w:rPr>
          <w:rFonts w:ascii="Arial" w:hAnsi="Arial" w:cs="Arial"/>
        </w:rPr>
        <w:t xml:space="preserve">(1A) The Labour Court has exclusive jurisdiction to grant civil relief arising from a breach of sections 33A, 43, 44, 46, 48, 90 and 92. </w:t>
      </w:r>
    </w:p>
    <w:p w14:paraId="611A0CA5" w14:textId="77777777" w:rsidR="008C440F" w:rsidRPr="00DF4DB5" w:rsidRDefault="00E25DFA" w:rsidP="00586293">
      <w:pPr>
        <w:shd w:val="clear" w:color="auto" w:fill="FFFFFF"/>
        <w:spacing w:after="0" w:line="360" w:lineRule="auto"/>
        <w:jc w:val="both"/>
        <w:rPr>
          <w:rFonts w:ascii="Arial" w:hAnsi="Arial" w:cs="Arial"/>
        </w:rPr>
      </w:pPr>
      <w:r w:rsidRPr="00DF4DB5">
        <w:rPr>
          <w:rFonts w:ascii="Arial" w:hAnsi="Arial" w:cs="Arial"/>
        </w:rPr>
        <w:t>(2)</w:t>
      </w:r>
      <w:r w:rsidR="00BA5FB1" w:rsidRPr="00DF4DB5">
        <w:rPr>
          <w:rFonts w:ascii="Arial" w:hAnsi="Arial" w:cs="Arial"/>
        </w:rPr>
        <w:t xml:space="preserve"> . . .</w:t>
      </w:r>
    </w:p>
    <w:p w14:paraId="3F63EEA8" w14:textId="77777777" w:rsidR="00E25DFA" w:rsidRPr="00DF4DB5" w:rsidRDefault="00E25DFA" w:rsidP="00586293">
      <w:pPr>
        <w:shd w:val="clear" w:color="auto" w:fill="FFFFFF"/>
        <w:spacing w:after="0" w:line="360" w:lineRule="auto"/>
        <w:jc w:val="both"/>
        <w:rPr>
          <w:rFonts w:ascii="Arial" w:hAnsi="Arial" w:cs="Arial"/>
        </w:rPr>
      </w:pPr>
      <w:r w:rsidRPr="00DF4DB5">
        <w:rPr>
          <w:rFonts w:ascii="Arial" w:hAnsi="Arial" w:cs="Arial"/>
        </w:rPr>
        <w:t xml:space="preserve">(3) The Labour Court has concurrent jurisdiction with the civil courts to hear and determine any matter concerning a contract of employment, irrespective of whether any basic condition of employment constitutes a term of that contract. </w:t>
      </w:r>
    </w:p>
    <w:p w14:paraId="77C77F44" w14:textId="77777777" w:rsidR="00E25DFA" w:rsidRPr="00DF4DB5" w:rsidRDefault="00E25DFA" w:rsidP="00586293">
      <w:pPr>
        <w:shd w:val="clear" w:color="auto" w:fill="FFFFFF"/>
        <w:spacing w:after="0" w:line="360" w:lineRule="auto"/>
        <w:jc w:val="both"/>
        <w:rPr>
          <w:rFonts w:ascii="Arial" w:hAnsi="Arial" w:cs="Arial"/>
        </w:rPr>
      </w:pPr>
      <w:r w:rsidRPr="00DF4DB5">
        <w:rPr>
          <w:rFonts w:ascii="Arial" w:hAnsi="Arial" w:cs="Arial"/>
        </w:rPr>
        <w:t xml:space="preserve">(4) Subsection (1) does not prevent any person relying upon a provision of this Act to establish that a basic condition of employment constitutes a term of a contract of employment in any proceedings in a civil court or </w:t>
      </w:r>
      <w:r w:rsidR="008C6B70" w:rsidRPr="00DF4DB5">
        <w:rPr>
          <w:rFonts w:ascii="Arial" w:hAnsi="Arial" w:cs="Arial"/>
        </w:rPr>
        <w:t>arbitration</w:t>
      </w:r>
      <w:r w:rsidRPr="00DF4DB5">
        <w:rPr>
          <w:rFonts w:ascii="Arial" w:hAnsi="Arial" w:cs="Arial"/>
        </w:rPr>
        <w:t xml:space="preserve"> held in terms of an agreement. </w:t>
      </w:r>
    </w:p>
    <w:p w14:paraId="3B6A448C" w14:textId="77777777" w:rsidR="00E25DFA" w:rsidRPr="00DF4DB5" w:rsidRDefault="00E25DFA" w:rsidP="007918FE">
      <w:pPr>
        <w:shd w:val="clear" w:color="auto" w:fill="FFFFFF"/>
        <w:spacing w:before="120" w:after="0" w:line="360" w:lineRule="auto"/>
        <w:jc w:val="both"/>
        <w:rPr>
          <w:rFonts w:ascii="Arial" w:hAnsi="Arial" w:cs="Arial"/>
        </w:rPr>
      </w:pPr>
      <w:r w:rsidRPr="00DF4DB5">
        <w:rPr>
          <w:rFonts w:ascii="Arial" w:hAnsi="Arial" w:cs="Arial"/>
        </w:rPr>
        <w:t>(5) If proceedings concerning any matter contemplated in terms of subsection (1) are instituted in a court that does not have jurisdiction in respect of that matter, that court may at any stage during proceedings refer that matter to the Labour Court.</w:t>
      </w:r>
      <w:r w:rsidR="00BA5FB1" w:rsidRPr="00DF4DB5">
        <w:rPr>
          <w:rFonts w:ascii="Arial" w:hAnsi="Arial" w:cs="Arial"/>
        </w:rPr>
        <w:t>’</w:t>
      </w:r>
    </w:p>
    <w:p w14:paraId="51A828FB" w14:textId="77777777" w:rsidR="00951833" w:rsidRPr="00DF4DB5" w:rsidRDefault="00951833" w:rsidP="008C440F">
      <w:pPr>
        <w:shd w:val="clear" w:color="auto" w:fill="FFFFFF"/>
        <w:spacing w:before="120" w:after="0" w:line="360" w:lineRule="auto"/>
        <w:jc w:val="both"/>
        <w:rPr>
          <w:rFonts w:ascii="Arial" w:hAnsi="Arial" w:cs="Arial"/>
          <w:color w:val="000000"/>
          <w:sz w:val="24"/>
          <w:szCs w:val="24"/>
          <w:lang w:val="en-ZA" w:eastAsia="en-ZA"/>
        </w:rPr>
      </w:pPr>
    </w:p>
    <w:p w14:paraId="4FFDAA2F" w14:textId="2506EB01" w:rsidR="00467061" w:rsidRPr="00DF4DB5" w:rsidRDefault="007918FE" w:rsidP="008C440F">
      <w:pPr>
        <w:shd w:val="clear" w:color="auto" w:fill="FFFFFF"/>
        <w:spacing w:before="120" w:after="0" w:line="360" w:lineRule="auto"/>
        <w:jc w:val="both"/>
        <w:rPr>
          <w:rFonts w:ascii="Arial" w:hAnsi="Arial" w:cs="Arial"/>
          <w:color w:val="000000"/>
          <w:sz w:val="24"/>
          <w:szCs w:val="24"/>
        </w:rPr>
      </w:pPr>
      <w:r w:rsidRPr="00DF4DB5">
        <w:rPr>
          <w:rFonts w:ascii="Arial" w:hAnsi="Arial" w:cs="Arial"/>
          <w:color w:val="000000"/>
          <w:sz w:val="24"/>
          <w:szCs w:val="24"/>
          <w:lang w:val="en-ZA" w:eastAsia="en-ZA"/>
        </w:rPr>
        <w:t>[21</w:t>
      </w:r>
      <w:r w:rsidR="00335E16" w:rsidRPr="00DF4DB5">
        <w:rPr>
          <w:rFonts w:ascii="Arial" w:hAnsi="Arial" w:cs="Arial"/>
          <w:color w:val="000000"/>
          <w:sz w:val="24"/>
          <w:szCs w:val="24"/>
          <w:lang w:val="en-ZA" w:eastAsia="en-ZA"/>
        </w:rPr>
        <w:t>]</w:t>
      </w:r>
      <w:r w:rsidR="00335E16" w:rsidRPr="00DF4DB5">
        <w:rPr>
          <w:rFonts w:ascii="Arial" w:hAnsi="Arial" w:cs="Arial"/>
          <w:color w:val="000000"/>
          <w:sz w:val="24"/>
          <w:szCs w:val="24"/>
          <w:lang w:val="en-ZA" w:eastAsia="en-ZA"/>
        </w:rPr>
        <w:tab/>
      </w:r>
      <w:r w:rsidR="00435C02" w:rsidRPr="00DF4DB5">
        <w:rPr>
          <w:rFonts w:ascii="Arial" w:hAnsi="Arial" w:cs="Arial"/>
          <w:color w:val="000000"/>
          <w:sz w:val="24"/>
          <w:szCs w:val="24"/>
          <w:lang w:val="en-ZA" w:eastAsia="en-ZA"/>
        </w:rPr>
        <w:t xml:space="preserve">As </w:t>
      </w:r>
      <w:r w:rsidR="009B47BC" w:rsidRPr="00DF4DB5">
        <w:rPr>
          <w:rFonts w:ascii="Arial" w:hAnsi="Arial" w:cs="Arial"/>
          <w:color w:val="000000"/>
          <w:sz w:val="24"/>
          <w:szCs w:val="24"/>
          <w:lang w:val="en-ZA" w:eastAsia="en-ZA"/>
        </w:rPr>
        <w:t xml:space="preserve">stated </w:t>
      </w:r>
      <w:r w:rsidR="00435C02" w:rsidRPr="00DF4DB5">
        <w:rPr>
          <w:rFonts w:ascii="Arial" w:hAnsi="Arial" w:cs="Arial"/>
          <w:color w:val="000000"/>
          <w:sz w:val="24"/>
          <w:szCs w:val="24"/>
          <w:lang w:val="en-ZA" w:eastAsia="en-ZA"/>
        </w:rPr>
        <w:t xml:space="preserve">in </w:t>
      </w:r>
      <w:r w:rsidR="00435C02" w:rsidRPr="00DF4DB5">
        <w:rPr>
          <w:rFonts w:ascii="Arial" w:hAnsi="Arial" w:cs="Arial"/>
          <w:i/>
          <w:color w:val="000000"/>
          <w:sz w:val="24"/>
          <w:szCs w:val="24"/>
          <w:lang w:val="en-ZA" w:eastAsia="en-ZA"/>
        </w:rPr>
        <w:t>Baloyi v Public Protector and others</w:t>
      </w:r>
      <w:r w:rsidR="00435C02" w:rsidRPr="00DF4DB5">
        <w:rPr>
          <w:rStyle w:val="FootnoteReference"/>
          <w:rFonts w:ascii="Arial" w:hAnsi="Arial" w:cs="Arial"/>
          <w:color w:val="000000"/>
          <w:sz w:val="24"/>
          <w:szCs w:val="24"/>
          <w:lang w:val="en-ZA" w:eastAsia="en-ZA"/>
        </w:rPr>
        <w:footnoteReference w:id="22"/>
      </w:r>
      <w:r w:rsidR="003315BD" w:rsidRPr="00DF4DB5">
        <w:rPr>
          <w:rFonts w:ascii="Arial" w:hAnsi="Arial" w:cs="Arial"/>
          <w:i/>
          <w:color w:val="000000"/>
          <w:sz w:val="24"/>
          <w:szCs w:val="24"/>
          <w:lang w:val="en-ZA" w:eastAsia="en-ZA"/>
        </w:rPr>
        <w:t xml:space="preserve"> </w:t>
      </w:r>
      <w:r w:rsidR="003315BD" w:rsidRPr="00DF4DB5">
        <w:rPr>
          <w:rFonts w:ascii="Arial" w:hAnsi="Arial" w:cs="Arial"/>
          <w:iCs/>
          <w:color w:val="000000"/>
          <w:sz w:val="24"/>
          <w:szCs w:val="24"/>
          <w:lang w:val="en-ZA" w:eastAsia="en-ZA"/>
        </w:rPr>
        <w:t>(</w:t>
      </w:r>
      <w:r w:rsidR="003315BD" w:rsidRPr="00DF4DB5">
        <w:rPr>
          <w:rFonts w:ascii="Arial" w:hAnsi="Arial" w:cs="Arial"/>
          <w:i/>
          <w:color w:val="000000"/>
          <w:sz w:val="24"/>
          <w:szCs w:val="24"/>
          <w:lang w:val="en-ZA" w:eastAsia="en-ZA"/>
        </w:rPr>
        <w:t>Baloyi</w:t>
      </w:r>
      <w:r w:rsidR="003315BD" w:rsidRPr="00DF4DB5">
        <w:rPr>
          <w:rFonts w:ascii="Arial" w:hAnsi="Arial" w:cs="Arial"/>
          <w:iCs/>
          <w:color w:val="000000"/>
          <w:sz w:val="24"/>
          <w:szCs w:val="24"/>
          <w:lang w:val="en-ZA" w:eastAsia="en-ZA"/>
        </w:rPr>
        <w:t>)</w:t>
      </w:r>
      <w:r w:rsidR="00435C02" w:rsidRPr="00DF4DB5">
        <w:rPr>
          <w:rFonts w:ascii="Arial" w:hAnsi="Arial" w:cs="Arial"/>
          <w:color w:val="000000"/>
          <w:sz w:val="24"/>
          <w:szCs w:val="24"/>
          <w:lang w:val="en-ZA" w:eastAsia="en-ZA"/>
        </w:rPr>
        <w:t xml:space="preserve"> </w:t>
      </w:r>
      <w:r w:rsidR="003315BD" w:rsidRPr="00DF4DB5">
        <w:rPr>
          <w:rFonts w:ascii="Arial" w:hAnsi="Arial" w:cs="Arial"/>
          <w:color w:val="000000"/>
          <w:sz w:val="24"/>
          <w:szCs w:val="24"/>
          <w:shd w:val="clear" w:color="auto" w:fill="FFFFFF"/>
        </w:rPr>
        <w:t>‘</w:t>
      </w:r>
      <w:r w:rsidR="00435C02" w:rsidRPr="00DF4DB5">
        <w:rPr>
          <w:rFonts w:ascii="Arial" w:hAnsi="Arial" w:cs="Arial"/>
          <w:color w:val="000000"/>
          <w:sz w:val="24"/>
          <w:szCs w:val="24"/>
          <w:shd w:val="clear" w:color="auto" w:fill="FFFFFF"/>
        </w:rPr>
        <w:t>the provisions of </w:t>
      </w:r>
      <w:r w:rsidR="00435C02" w:rsidRPr="00DF4DB5">
        <w:rPr>
          <w:rFonts w:ascii="Arial" w:hAnsi="Arial" w:cs="Arial"/>
          <w:sz w:val="24"/>
          <w:szCs w:val="24"/>
        </w:rPr>
        <w:t>section</w:t>
      </w:r>
      <w:r w:rsidR="003315BD" w:rsidRPr="00DF4DB5">
        <w:rPr>
          <w:rFonts w:ascii="Arial" w:hAnsi="Arial" w:cs="Arial"/>
          <w:sz w:val="24"/>
          <w:szCs w:val="24"/>
        </w:rPr>
        <w:t xml:space="preserve"> </w:t>
      </w:r>
      <w:r w:rsidR="00435C02" w:rsidRPr="00DF4DB5">
        <w:rPr>
          <w:rFonts w:ascii="Arial" w:hAnsi="Arial" w:cs="Arial"/>
          <w:sz w:val="24"/>
          <w:szCs w:val="24"/>
        </w:rPr>
        <w:t>77(1)</w:t>
      </w:r>
      <w:r w:rsidR="00435C02" w:rsidRPr="00DF4DB5">
        <w:rPr>
          <w:rFonts w:ascii="Arial" w:hAnsi="Arial" w:cs="Arial"/>
          <w:color w:val="000000"/>
          <w:sz w:val="24"/>
          <w:szCs w:val="24"/>
          <w:shd w:val="clear" w:color="auto" w:fill="FFFFFF"/>
        </w:rPr>
        <w:t> do no more than confer a residual exclusive jurisdiction on the Labour</w:t>
      </w:r>
      <w:r w:rsidR="00335E16" w:rsidRPr="00DF4DB5">
        <w:rPr>
          <w:rFonts w:ascii="Arial" w:hAnsi="Arial" w:cs="Arial"/>
          <w:color w:val="000000"/>
          <w:sz w:val="24"/>
          <w:szCs w:val="24"/>
          <w:shd w:val="clear" w:color="auto" w:fill="FFFFFF"/>
        </w:rPr>
        <w:t xml:space="preserve"> Court.</w:t>
      </w:r>
      <w:r w:rsidR="003315BD" w:rsidRPr="00DF4DB5">
        <w:rPr>
          <w:rFonts w:ascii="Arial" w:hAnsi="Arial" w:cs="Arial"/>
          <w:color w:val="000000"/>
          <w:sz w:val="24"/>
          <w:szCs w:val="24"/>
          <w:shd w:val="clear" w:color="auto" w:fill="FFFFFF"/>
        </w:rPr>
        <w:t>’</w:t>
      </w:r>
      <w:r w:rsidR="009705F9" w:rsidRPr="00DF4DB5">
        <w:rPr>
          <w:rFonts w:ascii="Arial" w:hAnsi="Arial" w:cs="Arial"/>
          <w:i/>
          <w:sz w:val="24"/>
          <w:szCs w:val="24"/>
        </w:rPr>
        <w:t xml:space="preserve"> </w:t>
      </w:r>
      <w:r w:rsidR="00994DE0" w:rsidRPr="00DF4DB5">
        <w:rPr>
          <w:rFonts w:ascii="Arial" w:hAnsi="Arial" w:cs="Arial"/>
          <w:sz w:val="24"/>
          <w:szCs w:val="24"/>
        </w:rPr>
        <w:t>A plain reading of s 77(3) of the Employment Act makes it clear that the Labour Court and the civil courts have concurrent jurisdiction to determine any matter concerning a contract of employment</w:t>
      </w:r>
      <w:r w:rsidR="00994DE0" w:rsidRPr="00DF4DB5">
        <w:rPr>
          <w:rFonts w:ascii="Arial" w:hAnsi="Arial" w:cs="Arial"/>
          <w:color w:val="000000"/>
          <w:sz w:val="24"/>
          <w:szCs w:val="24"/>
          <w:shd w:val="clear" w:color="auto" w:fill="FFFFFF"/>
        </w:rPr>
        <w:t xml:space="preserve"> irrespective of whether any basic condition of </w:t>
      </w:r>
      <w:r w:rsidR="00994DE0" w:rsidRPr="00DF4DB5">
        <w:rPr>
          <w:rFonts w:ascii="Arial" w:hAnsi="Arial" w:cs="Arial"/>
          <w:color w:val="000000"/>
          <w:sz w:val="24"/>
          <w:szCs w:val="24"/>
          <w:shd w:val="clear" w:color="auto" w:fill="FFFFFF"/>
        </w:rPr>
        <w:lastRenderedPageBreak/>
        <w:t>employment constitutes a term of that contract.</w:t>
      </w:r>
      <w:r w:rsidR="006E222E" w:rsidRPr="00DF4DB5">
        <w:rPr>
          <w:rStyle w:val="FootnoteReference"/>
          <w:rFonts w:ascii="Arial" w:hAnsi="Arial" w:cs="Arial"/>
          <w:iCs/>
          <w:sz w:val="24"/>
          <w:szCs w:val="24"/>
        </w:rPr>
        <w:footnoteReference w:id="23"/>
      </w:r>
      <w:r w:rsidR="009F1987" w:rsidRPr="00DF4DB5">
        <w:rPr>
          <w:rFonts w:ascii="Arial" w:hAnsi="Arial" w:cs="Arial"/>
          <w:color w:val="000000"/>
          <w:sz w:val="24"/>
          <w:szCs w:val="24"/>
          <w:shd w:val="clear" w:color="auto" w:fill="FFFFFF"/>
        </w:rPr>
        <w:t xml:space="preserve"> </w:t>
      </w:r>
      <w:r w:rsidR="00994DE0" w:rsidRPr="00DF4DB5">
        <w:rPr>
          <w:rFonts w:ascii="Arial" w:hAnsi="Arial" w:cs="Arial"/>
          <w:i/>
          <w:color w:val="000000"/>
          <w:sz w:val="24"/>
          <w:szCs w:val="24"/>
          <w:shd w:val="clear" w:color="auto" w:fill="FFFFFF"/>
        </w:rPr>
        <w:t>Baloyi</w:t>
      </w:r>
      <w:r w:rsidR="00994DE0" w:rsidRPr="00DF4DB5">
        <w:rPr>
          <w:rFonts w:ascii="Arial" w:hAnsi="Arial" w:cs="Arial"/>
          <w:color w:val="000000"/>
          <w:sz w:val="24"/>
          <w:szCs w:val="24"/>
          <w:shd w:val="clear" w:color="auto" w:fill="FFFFFF"/>
        </w:rPr>
        <w:t xml:space="preserve"> </w:t>
      </w:r>
      <w:r w:rsidR="009705F9" w:rsidRPr="00DF4DB5">
        <w:rPr>
          <w:rFonts w:ascii="Arial" w:hAnsi="Arial" w:cs="Arial"/>
          <w:color w:val="000000"/>
          <w:sz w:val="24"/>
          <w:szCs w:val="24"/>
          <w:shd w:val="clear" w:color="auto" w:fill="FFFFFF"/>
        </w:rPr>
        <w:t>h</w:t>
      </w:r>
      <w:r w:rsidR="004106ED" w:rsidRPr="00DF4DB5">
        <w:rPr>
          <w:rFonts w:ascii="Arial" w:hAnsi="Arial" w:cs="Arial"/>
          <w:color w:val="000000"/>
          <w:sz w:val="24"/>
          <w:szCs w:val="24"/>
          <w:shd w:val="clear" w:color="auto" w:fill="FFFFFF"/>
        </w:rPr>
        <w:t xml:space="preserve">eld </w:t>
      </w:r>
      <w:r w:rsidR="00994DE0" w:rsidRPr="00DF4DB5">
        <w:rPr>
          <w:rFonts w:ascii="Arial" w:hAnsi="Arial" w:cs="Arial"/>
          <w:color w:val="000000"/>
          <w:sz w:val="24"/>
          <w:szCs w:val="24"/>
          <w:shd w:val="clear" w:color="auto" w:fill="FFFFFF"/>
        </w:rPr>
        <w:t xml:space="preserve">further that </w:t>
      </w:r>
      <w:r w:rsidR="00F342B5" w:rsidRPr="00DF4DB5">
        <w:rPr>
          <w:rFonts w:ascii="Arial" w:hAnsi="Arial" w:cs="Arial"/>
          <w:color w:val="000000"/>
          <w:sz w:val="24"/>
          <w:szCs w:val="24"/>
          <w:shd w:val="clear" w:color="auto" w:fill="FFFFFF"/>
        </w:rPr>
        <w:t>‘</w:t>
      </w:r>
      <w:r w:rsidR="00994DE0" w:rsidRPr="00DF4DB5">
        <w:rPr>
          <w:rFonts w:ascii="Arial" w:hAnsi="Arial" w:cs="Arial"/>
          <w:color w:val="000000"/>
          <w:sz w:val="24"/>
          <w:szCs w:val="24"/>
        </w:rPr>
        <w:t>disputes arising from contracts of employment do not, without more, fall within the exclusive jurisdiction of the Labour Court is further made clear by section 77(4) of the Employment Act, which emphasises that the exclusive jurisdiction of the Labour Court referred to in section 77(1)</w:t>
      </w:r>
      <w:r w:rsidR="00467061" w:rsidRPr="00DF4DB5">
        <w:rPr>
          <w:rFonts w:ascii="Arial" w:hAnsi="Arial" w:cs="Arial"/>
          <w:color w:val="000000"/>
          <w:sz w:val="24"/>
          <w:szCs w:val="24"/>
        </w:rPr>
        <w:t>.</w:t>
      </w:r>
      <w:r w:rsidR="00F342B5" w:rsidRPr="00DF4DB5">
        <w:rPr>
          <w:rFonts w:ascii="Arial" w:hAnsi="Arial" w:cs="Arial"/>
          <w:color w:val="000000"/>
          <w:sz w:val="24"/>
          <w:szCs w:val="24"/>
        </w:rPr>
        <w:t>’</w:t>
      </w:r>
      <w:r w:rsidR="00F342B5" w:rsidRPr="00DF4DB5">
        <w:rPr>
          <w:rStyle w:val="FootnoteReference"/>
          <w:rFonts w:ascii="Arial" w:hAnsi="Arial" w:cs="Arial"/>
          <w:color w:val="000000"/>
          <w:sz w:val="24"/>
          <w:szCs w:val="24"/>
        </w:rPr>
        <w:footnoteReference w:id="24"/>
      </w:r>
      <w:r w:rsidR="009959E5" w:rsidRPr="00DF4DB5">
        <w:rPr>
          <w:rFonts w:ascii="Arial" w:hAnsi="Arial" w:cs="Arial"/>
          <w:color w:val="000000"/>
          <w:sz w:val="24"/>
          <w:szCs w:val="24"/>
        </w:rPr>
        <w:t xml:space="preserve"> </w:t>
      </w:r>
    </w:p>
    <w:p w14:paraId="47779551" w14:textId="77777777" w:rsidR="00951833" w:rsidRPr="00DF4DB5" w:rsidRDefault="00951833" w:rsidP="007918FE">
      <w:pPr>
        <w:spacing w:before="120" w:after="0" w:line="360" w:lineRule="auto"/>
        <w:contextualSpacing/>
        <w:jc w:val="both"/>
        <w:rPr>
          <w:rFonts w:ascii="Arial" w:hAnsi="Arial" w:cs="Arial"/>
          <w:color w:val="000000"/>
          <w:sz w:val="24"/>
          <w:szCs w:val="24"/>
        </w:rPr>
      </w:pPr>
    </w:p>
    <w:p w14:paraId="5404F17C" w14:textId="1572443B" w:rsidR="00B865E2" w:rsidRPr="00DF4DB5" w:rsidRDefault="007918FE" w:rsidP="007918FE">
      <w:pPr>
        <w:spacing w:before="120" w:after="0" w:line="360" w:lineRule="auto"/>
        <w:contextualSpacing/>
        <w:jc w:val="both"/>
        <w:rPr>
          <w:rFonts w:ascii="Arial" w:eastAsia="Calibri" w:hAnsi="Arial" w:cs="Arial"/>
          <w:color w:val="000000"/>
          <w:sz w:val="24"/>
          <w:szCs w:val="24"/>
          <w:lang w:val="en-US"/>
        </w:rPr>
      </w:pPr>
      <w:r w:rsidRPr="00DF4DB5">
        <w:rPr>
          <w:rFonts w:ascii="Arial" w:hAnsi="Arial" w:cs="Arial"/>
          <w:color w:val="000000"/>
          <w:sz w:val="24"/>
          <w:szCs w:val="24"/>
        </w:rPr>
        <w:t>[22</w:t>
      </w:r>
      <w:r w:rsidR="00FA2B52" w:rsidRPr="00DF4DB5">
        <w:rPr>
          <w:rFonts w:ascii="Arial" w:hAnsi="Arial" w:cs="Arial"/>
          <w:color w:val="000000"/>
          <w:sz w:val="24"/>
          <w:szCs w:val="24"/>
        </w:rPr>
        <w:t>]</w:t>
      </w:r>
      <w:r w:rsidR="00FA2B52" w:rsidRPr="00DF4DB5">
        <w:rPr>
          <w:rFonts w:ascii="Arial" w:hAnsi="Arial" w:cs="Arial"/>
          <w:color w:val="000000"/>
          <w:sz w:val="24"/>
          <w:szCs w:val="24"/>
        </w:rPr>
        <w:tab/>
        <w:t>In determining whether the high court had the necessary competence to adjudicate the matter</w:t>
      </w:r>
      <w:r w:rsidR="00863012" w:rsidRPr="00DF4DB5">
        <w:rPr>
          <w:rFonts w:ascii="Arial" w:hAnsi="Arial" w:cs="Arial"/>
          <w:color w:val="000000"/>
          <w:sz w:val="24"/>
          <w:szCs w:val="24"/>
        </w:rPr>
        <w:t>,</w:t>
      </w:r>
      <w:r w:rsidR="00FA2B52" w:rsidRPr="00DF4DB5">
        <w:rPr>
          <w:rFonts w:ascii="Arial" w:hAnsi="Arial" w:cs="Arial"/>
          <w:color w:val="000000"/>
          <w:sz w:val="24"/>
          <w:szCs w:val="24"/>
        </w:rPr>
        <w:t xml:space="preserve"> </w:t>
      </w:r>
      <w:r w:rsidR="007B5EF1" w:rsidRPr="00DF4DB5">
        <w:rPr>
          <w:rFonts w:ascii="Arial" w:hAnsi="Arial" w:cs="Arial"/>
          <w:color w:val="000000"/>
          <w:sz w:val="24"/>
          <w:szCs w:val="24"/>
        </w:rPr>
        <w:t xml:space="preserve">the starting point is </w:t>
      </w:r>
      <w:r w:rsidR="00FA2B52" w:rsidRPr="00DF4DB5">
        <w:rPr>
          <w:rFonts w:ascii="Arial" w:eastAsia="Calibri" w:hAnsi="Arial" w:cs="Arial"/>
          <w:color w:val="000000"/>
          <w:sz w:val="24"/>
          <w:szCs w:val="24"/>
          <w:lang w:val="en-US"/>
        </w:rPr>
        <w:t>whether the claim is of such a nature that it is required, in terms of the LRA or the Employment Act, to be determ</w:t>
      </w:r>
      <w:r w:rsidR="008C6B70" w:rsidRPr="00DF4DB5">
        <w:rPr>
          <w:rFonts w:ascii="Arial" w:eastAsia="Calibri" w:hAnsi="Arial" w:cs="Arial"/>
          <w:color w:val="000000"/>
          <w:sz w:val="24"/>
          <w:szCs w:val="24"/>
          <w:lang w:val="en-US"/>
        </w:rPr>
        <w:t xml:space="preserve">ined exclusively by the Labour </w:t>
      </w:r>
      <w:r w:rsidR="00095D58" w:rsidRPr="00DF4DB5">
        <w:rPr>
          <w:rFonts w:ascii="Arial" w:eastAsia="Calibri" w:hAnsi="Arial" w:cs="Arial"/>
          <w:color w:val="000000"/>
          <w:sz w:val="24"/>
          <w:szCs w:val="24"/>
          <w:lang w:val="en-US"/>
        </w:rPr>
        <w:t>C</w:t>
      </w:r>
      <w:r w:rsidR="00FA2B52" w:rsidRPr="00DF4DB5">
        <w:rPr>
          <w:rFonts w:ascii="Arial" w:eastAsia="Calibri" w:hAnsi="Arial" w:cs="Arial"/>
          <w:color w:val="000000"/>
          <w:sz w:val="24"/>
          <w:szCs w:val="24"/>
          <w:lang w:val="en-US"/>
        </w:rPr>
        <w:t>ourt.</w:t>
      </w:r>
      <w:r w:rsidR="00B865E2" w:rsidRPr="00DF4DB5">
        <w:rPr>
          <w:rFonts w:ascii="Arial" w:eastAsia="Calibri" w:hAnsi="Arial" w:cs="Arial"/>
          <w:color w:val="000000"/>
          <w:sz w:val="24"/>
          <w:szCs w:val="24"/>
          <w:lang w:val="en-US"/>
        </w:rPr>
        <w:t xml:space="preserve"> </w:t>
      </w:r>
      <w:r w:rsidR="00B865E2" w:rsidRPr="00DF4DB5">
        <w:rPr>
          <w:rFonts w:ascii="Arial" w:eastAsia="Calibri" w:hAnsi="Arial" w:cs="Arial"/>
          <w:i/>
          <w:color w:val="000000"/>
          <w:sz w:val="24"/>
          <w:szCs w:val="24"/>
          <w:lang w:val="en-US"/>
        </w:rPr>
        <w:t>Gcaba</w:t>
      </w:r>
      <w:r w:rsidR="00F342B5" w:rsidRPr="00DF4DB5">
        <w:rPr>
          <w:rFonts w:ascii="Arial" w:eastAsia="Calibri" w:hAnsi="Arial" w:cs="Arial"/>
          <w:i/>
          <w:color w:val="000000"/>
          <w:sz w:val="24"/>
          <w:szCs w:val="24"/>
          <w:lang w:val="en-US"/>
        </w:rPr>
        <w:t xml:space="preserve"> v Minister for Safety and Security and Others</w:t>
      </w:r>
      <w:r w:rsidR="00B865E2" w:rsidRPr="00DF4DB5">
        <w:rPr>
          <w:rStyle w:val="FootnoteReference"/>
          <w:rFonts w:ascii="Arial" w:eastAsia="Calibri" w:hAnsi="Arial" w:cs="Arial"/>
          <w:i/>
          <w:color w:val="000000"/>
          <w:sz w:val="24"/>
          <w:szCs w:val="24"/>
          <w:lang w:val="en-US"/>
        </w:rPr>
        <w:footnoteReference w:id="25"/>
      </w:r>
      <w:r w:rsidR="00B865E2" w:rsidRPr="00DF4DB5">
        <w:rPr>
          <w:rFonts w:ascii="Arial" w:eastAsia="Calibri" w:hAnsi="Arial" w:cs="Arial"/>
          <w:i/>
          <w:color w:val="000000"/>
          <w:sz w:val="24"/>
          <w:szCs w:val="24"/>
          <w:lang w:val="en-US"/>
        </w:rPr>
        <w:t xml:space="preserve"> </w:t>
      </w:r>
      <w:r w:rsidR="00B865E2" w:rsidRPr="00DF4DB5">
        <w:rPr>
          <w:rFonts w:ascii="Arial" w:eastAsia="Calibri" w:hAnsi="Arial" w:cs="Arial"/>
          <w:color w:val="000000"/>
          <w:sz w:val="24"/>
          <w:szCs w:val="24"/>
          <w:lang w:val="en-US"/>
        </w:rPr>
        <w:t>set out the approach to be followed where the jurisdiction of a court is challenged.</w:t>
      </w:r>
      <w:r w:rsidR="009F1987" w:rsidRPr="00DF4DB5">
        <w:rPr>
          <w:rFonts w:ascii="Arial" w:eastAsia="Calibri" w:hAnsi="Arial" w:cs="Arial"/>
          <w:color w:val="000000"/>
          <w:sz w:val="24"/>
          <w:szCs w:val="24"/>
          <w:lang w:val="en-US"/>
        </w:rPr>
        <w:t xml:space="preserve"> </w:t>
      </w:r>
      <w:r w:rsidR="00B865E2" w:rsidRPr="00DF4DB5">
        <w:rPr>
          <w:rFonts w:ascii="Arial" w:eastAsia="Calibri" w:hAnsi="Arial" w:cs="Arial"/>
          <w:color w:val="000000"/>
          <w:sz w:val="24"/>
          <w:szCs w:val="24"/>
          <w:lang w:val="en-US"/>
        </w:rPr>
        <w:t xml:space="preserve">The position was articulated as follows: </w:t>
      </w:r>
    </w:p>
    <w:p w14:paraId="5CB10075" w14:textId="77777777" w:rsidR="00B865E2" w:rsidRPr="00DF4DB5" w:rsidRDefault="00F21030" w:rsidP="00FA2B52">
      <w:pPr>
        <w:spacing w:after="0" w:line="360" w:lineRule="auto"/>
        <w:contextualSpacing/>
        <w:jc w:val="both"/>
        <w:rPr>
          <w:rFonts w:ascii="Arial" w:hAnsi="Arial" w:cs="Arial"/>
          <w:color w:val="000000"/>
          <w:shd w:val="clear" w:color="auto" w:fill="FFFFFF"/>
        </w:rPr>
      </w:pPr>
      <w:r w:rsidRPr="00DF4DB5">
        <w:rPr>
          <w:rFonts w:ascii="Arial" w:hAnsi="Arial" w:cs="Arial"/>
          <w:color w:val="000000"/>
          <w:shd w:val="clear" w:color="auto" w:fill="FFFFFF"/>
        </w:rPr>
        <w:t>‘</w:t>
      </w:r>
      <w:r w:rsidR="00B865E2" w:rsidRPr="00DF4DB5">
        <w:rPr>
          <w:rFonts w:ascii="Arial" w:hAnsi="Arial" w:cs="Arial"/>
          <w:color w:val="000000"/>
          <w:shd w:val="clear" w:color="auto" w:fill="FFFFFF"/>
        </w:rPr>
        <w:t xml:space="preserve">In the event of the </w:t>
      </w:r>
      <w:r w:rsidRPr="00DF4DB5">
        <w:rPr>
          <w:rFonts w:ascii="Arial" w:hAnsi="Arial" w:cs="Arial"/>
          <w:color w:val="000000"/>
          <w:shd w:val="clear" w:color="auto" w:fill="FFFFFF"/>
        </w:rPr>
        <w:t>C</w:t>
      </w:r>
      <w:r w:rsidR="00B865E2" w:rsidRPr="00DF4DB5">
        <w:rPr>
          <w:rFonts w:ascii="Arial" w:hAnsi="Arial" w:cs="Arial"/>
          <w:color w:val="000000"/>
          <w:shd w:val="clear" w:color="auto" w:fill="FFFFFF"/>
        </w:rPr>
        <w:t>ourt’s jurisdiction being challenged at the outset (</w:t>
      </w:r>
      <w:r w:rsidR="00B865E2" w:rsidRPr="00DF4DB5">
        <w:rPr>
          <w:rFonts w:ascii="Arial" w:hAnsi="Arial" w:cs="Arial"/>
          <w:i/>
          <w:iCs/>
          <w:color w:val="000000"/>
          <w:shd w:val="clear" w:color="auto" w:fill="FFFFFF"/>
        </w:rPr>
        <w:t>in limine</w:t>
      </w:r>
      <w:r w:rsidR="00B865E2" w:rsidRPr="00DF4DB5">
        <w:rPr>
          <w:rFonts w:ascii="Arial" w:hAnsi="Arial" w:cs="Arial"/>
          <w:color w:val="000000"/>
          <w:shd w:val="clear" w:color="auto" w:fill="FFFFFF"/>
        </w:rPr>
        <w:t>), the applicant’s pleadings are the determining factor. They contain the legal basis of the claim under which the applicant has chosen to invoke the court’s competence. While the pleadings – including in motion proceedings, not only the formal terminology of the notice of motion, but also the contents of the supporting affidavits – must be interpreted to establish what the legal basis of the applicant’s claim is, it is not for the court to say that the facts asserted by the applicant would also sustain another claim, cognisable only in another court. If however the pleadings, properly interpreted, establish that the applicant is asserting a claim under the LRA, one that is to be determined exclusively by the Labour Court, the High Court would lack jurisdiction.</w:t>
      </w:r>
      <w:r w:rsidRPr="00DF4DB5">
        <w:rPr>
          <w:rFonts w:ascii="Arial" w:hAnsi="Arial" w:cs="Arial"/>
          <w:color w:val="000000"/>
          <w:shd w:val="clear" w:color="auto" w:fill="FFFFFF"/>
        </w:rPr>
        <w:t>’</w:t>
      </w:r>
      <w:r w:rsidRPr="00DF4DB5">
        <w:rPr>
          <w:rStyle w:val="FootnoteReference"/>
          <w:rFonts w:ascii="Arial" w:hAnsi="Arial" w:cs="Arial"/>
          <w:color w:val="000000"/>
          <w:shd w:val="clear" w:color="auto" w:fill="FFFFFF"/>
        </w:rPr>
        <w:footnoteReference w:id="26"/>
      </w:r>
    </w:p>
    <w:p w14:paraId="0D6B5D40" w14:textId="77777777" w:rsidR="00863012" w:rsidRPr="00DF4DB5" w:rsidRDefault="00863012" w:rsidP="003C69B3">
      <w:pPr>
        <w:spacing w:after="0" w:line="360" w:lineRule="auto"/>
        <w:contextualSpacing/>
        <w:jc w:val="both"/>
      </w:pPr>
    </w:p>
    <w:p w14:paraId="6AE5246F" w14:textId="0747E483" w:rsidR="00586293" w:rsidRPr="00DF4DB5" w:rsidRDefault="007918FE" w:rsidP="00F21030">
      <w:pPr>
        <w:spacing w:after="0" w:line="360" w:lineRule="auto"/>
        <w:contextualSpacing/>
        <w:jc w:val="both"/>
        <w:rPr>
          <w:rFonts w:ascii="Arial" w:hAnsi="Arial" w:cs="Arial"/>
          <w:color w:val="000000"/>
          <w:sz w:val="24"/>
          <w:szCs w:val="24"/>
        </w:rPr>
      </w:pPr>
      <w:r w:rsidRPr="00DF4DB5">
        <w:rPr>
          <w:rFonts w:ascii="Arial" w:hAnsi="Arial" w:cs="Arial"/>
          <w:sz w:val="24"/>
          <w:szCs w:val="24"/>
        </w:rPr>
        <w:t>[23</w:t>
      </w:r>
      <w:r w:rsidR="00863012" w:rsidRPr="00DF4DB5">
        <w:rPr>
          <w:rFonts w:ascii="Arial" w:hAnsi="Arial" w:cs="Arial"/>
          <w:sz w:val="24"/>
          <w:szCs w:val="24"/>
        </w:rPr>
        <w:t>]</w:t>
      </w:r>
      <w:r w:rsidR="00C77F0E" w:rsidRPr="00DF4DB5">
        <w:rPr>
          <w:rFonts w:ascii="Arial" w:hAnsi="Arial" w:cs="Arial"/>
          <w:color w:val="000000"/>
          <w:sz w:val="24"/>
          <w:szCs w:val="24"/>
        </w:rPr>
        <w:tab/>
      </w:r>
      <w:r w:rsidR="00863012" w:rsidRPr="00DF4DB5">
        <w:rPr>
          <w:rFonts w:ascii="Arial" w:hAnsi="Arial" w:cs="Arial"/>
          <w:color w:val="000000"/>
          <w:sz w:val="24"/>
          <w:szCs w:val="24"/>
        </w:rPr>
        <w:t xml:space="preserve">If regard </w:t>
      </w:r>
      <w:r w:rsidR="00AD6F65" w:rsidRPr="00DF4DB5">
        <w:rPr>
          <w:rFonts w:ascii="Arial" w:hAnsi="Arial" w:cs="Arial"/>
          <w:color w:val="000000"/>
          <w:sz w:val="24"/>
          <w:szCs w:val="24"/>
        </w:rPr>
        <w:t xml:space="preserve">is had to the </w:t>
      </w:r>
      <w:r w:rsidR="00863012" w:rsidRPr="00DF4DB5">
        <w:rPr>
          <w:rFonts w:ascii="Arial" w:hAnsi="Arial" w:cs="Arial"/>
          <w:color w:val="000000"/>
          <w:sz w:val="24"/>
          <w:szCs w:val="24"/>
        </w:rPr>
        <w:t>pleadings in the present matter</w:t>
      </w:r>
      <w:r w:rsidR="00AD6F65" w:rsidRPr="00DF4DB5">
        <w:rPr>
          <w:rFonts w:ascii="Arial" w:hAnsi="Arial" w:cs="Arial"/>
          <w:color w:val="000000"/>
          <w:sz w:val="24"/>
          <w:szCs w:val="24"/>
        </w:rPr>
        <w:t xml:space="preserve">, </w:t>
      </w:r>
      <w:r w:rsidR="00863012" w:rsidRPr="00DF4DB5">
        <w:rPr>
          <w:rFonts w:ascii="Arial" w:hAnsi="Arial" w:cs="Arial"/>
          <w:color w:val="000000"/>
          <w:sz w:val="24"/>
          <w:szCs w:val="24"/>
        </w:rPr>
        <w:t>the not</w:t>
      </w:r>
      <w:r w:rsidR="008431FC" w:rsidRPr="00DF4DB5">
        <w:rPr>
          <w:rFonts w:ascii="Arial" w:hAnsi="Arial" w:cs="Arial"/>
          <w:color w:val="000000"/>
          <w:sz w:val="24"/>
          <w:szCs w:val="24"/>
        </w:rPr>
        <w:t>ice of motion makes no mention of an e</w:t>
      </w:r>
      <w:r w:rsidR="00863012" w:rsidRPr="00DF4DB5">
        <w:rPr>
          <w:rFonts w:ascii="Arial" w:hAnsi="Arial" w:cs="Arial"/>
          <w:color w:val="000000"/>
          <w:sz w:val="24"/>
          <w:szCs w:val="24"/>
        </w:rPr>
        <w:t>mployment contract</w:t>
      </w:r>
      <w:r w:rsidR="009171B5" w:rsidRPr="00DF4DB5">
        <w:rPr>
          <w:rFonts w:ascii="Arial" w:hAnsi="Arial" w:cs="Arial"/>
          <w:color w:val="000000"/>
          <w:sz w:val="24"/>
          <w:szCs w:val="24"/>
        </w:rPr>
        <w:t xml:space="preserve"> or the breach of any terms thereof</w:t>
      </w:r>
      <w:r w:rsidR="00863012" w:rsidRPr="00DF4DB5">
        <w:rPr>
          <w:rFonts w:ascii="Arial" w:hAnsi="Arial" w:cs="Arial"/>
          <w:color w:val="000000"/>
          <w:sz w:val="24"/>
          <w:szCs w:val="24"/>
        </w:rPr>
        <w:t>.</w:t>
      </w:r>
      <w:r w:rsidR="00075FE6" w:rsidRPr="00DF4DB5">
        <w:rPr>
          <w:rStyle w:val="FootnoteReference"/>
          <w:rFonts w:ascii="Arial" w:eastAsiaTheme="minorHAnsi" w:hAnsi="Arial" w:cs="Arial"/>
          <w:sz w:val="24"/>
          <w:szCs w:val="24"/>
          <w:lang w:val="en-ZA"/>
        </w:rPr>
        <w:footnoteReference w:id="27"/>
      </w:r>
      <w:r w:rsidR="00863012" w:rsidRPr="00DF4DB5">
        <w:rPr>
          <w:rFonts w:ascii="Arial" w:hAnsi="Arial" w:cs="Arial"/>
          <w:color w:val="000000"/>
          <w:sz w:val="24"/>
          <w:szCs w:val="24"/>
        </w:rPr>
        <w:t xml:space="preserve"> The </w:t>
      </w:r>
      <w:r w:rsidR="00F67EFC" w:rsidRPr="00DF4DB5">
        <w:rPr>
          <w:rFonts w:ascii="Arial" w:hAnsi="Arial" w:cs="Arial"/>
          <w:color w:val="000000"/>
          <w:sz w:val="24"/>
          <w:szCs w:val="24"/>
        </w:rPr>
        <w:t xml:space="preserve">employees </w:t>
      </w:r>
      <w:r w:rsidR="008431FC" w:rsidRPr="00DF4DB5">
        <w:rPr>
          <w:rFonts w:ascii="Arial" w:hAnsi="Arial" w:cs="Arial"/>
          <w:color w:val="000000"/>
          <w:sz w:val="24"/>
          <w:szCs w:val="24"/>
        </w:rPr>
        <w:t xml:space="preserve">adopted </w:t>
      </w:r>
      <w:r w:rsidR="00863012" w:rsidRPr="00DF4DB5">
        <w:rPr>
          <w:rFonts w:ascii="Arial" w:hAnsi="Arial" w:cs="Arial"/>
          <w:color w:val="000000"/>
          <w:sz w:val="24"/>
          <w:szCs w:val="24"/>
        </w:rPr>
        <w:t xml:space="preserve">the terminology </w:t>
      </w:r>
      <w:r w:rsidR="009171B5" w:rsidRPr="00DF4DB5">
        <w:rPr>
          <w:rFonts w:ascii="Arial" w:hAnsi="Arial" w:cs="Arial"/>
          <w:color w:val="000000"/>
          <w:sz w:val="24"/>
          <w:szCs w:val="24"/>
        </w:rPr>
        <w:t xml:space="preserve">used </w:t>
      </w:r>
      <w:r w:rsidR="00F67EFC" w:rsidRPr="00DF4DB5">
        <w:rPr>
          <w:rFonts w:ascii="Arial" w:hAnsi="Arial" w:cs="Arial"/>
          <w:color w:val="000000"/>
          <w:sz w:val="24"/>
          <w:szCs w:val="24"/>
        </w:rPr>
        <w:t xml:space="preserve">by the municipality </w:t>
      </w:r>
      <w:r w:rsidR="00863012" w:rsidRPr="00DF4DB5">
        <w:rPr>
          <w:rFonts w:ascii="Arial" w:hAnsi="Arial" w:cs="Arial"/>
          <w:color w:val="000000"/>
          <w:sz w:val="24"/>
          <w:szCs w:val="24"/>
        </w:rPr>
        <w:t>in referring to the decision taken on 25 March 2019</w:t>
      </w:r>
      <w:r w:rsidR="008431FC" w:rsidRPr="00DF4DB5">
        <w:rPr>
          <w:rFonts w:ascii="Arial" w:hAnsi="Arial" w:cs="Arial"/>
          <w:color w:val="000000"/>
          <w:sz w:val="24"/>
          <w:szCs w:val="24"/>
        </w:rPr>
        <w:t xml:space="preserve"> and the steps to recover the 2.5% notch increment </w:t>
      </w:r>
      <w:r w:rsidR="008431FC" w:rsidRPr="00DF4DB5">
        <w:rPr>
          <w:rFonts w:ascii="Arial" w:hAnsi="Arial" w:cs="Arial"/>
          <w:color w:val="000000"/>
          <w:sz w:val="24"/>
          <w:szCs w:val="24"/>
        </w:rPr>
        <w:lastRenderedPageBreak/>
        <w:t xml:space="preserve">as an </w:t>
      </w:r>
      <w:r w:rsidR="00F21030" w:rsidRPr="00DF4DB5">
        <w:rPr>
          <w:rFonts w:ascii="Arial" w:hAnsi="Arial" w:cs="Arial"/>
          <w:color w:val="000000"/>
          <w:sz w:val="24"/>
          <w:szCs w:val="24"/>
        </w:rPr>
        <w:t>‘</w:t>
      </w:r>
      <w:r w:rsidR="008431FC" w:rsidRPr="00DF4DB5">
        <w:rPr>
          <w:rFonts w:ascii="Arial" w:hAnsi="Arial" w:cs="Arial"/>
          <w:color w:val="000000"/>
          <w:sz w:val="24"/>
          <w:szCs w:val="24"/>
        </w:rPr>
        <w:t>over payment</w:t>
      </w:r>
      <w:r w:rsidR="00F21030" w:rsidRPr="00DF4DB5">
        <w:rPr>
          <w:rFonts w:ascii="Arial" w:hAnsi="Arial" w:cs="Arial"/>
          <w:color w:val="000000"/>
          <w:sz w:val="24"/>
          <w:szCs w:val="24"/>
        </w:rPr>
        <w:t>’</w:t>
      </w:r>
      <w:r w:rsidR="008431FC" w:rsidRPr="00DF4DB5">
        <w:rPr>
          <w:rFonts w:ascii="Arial" w:hAnsi="Arial" w:cs="Arial"/>
          <w:color w:val="000000"/>
          <w:sz w:val="24"/>
          <w:szCs w:val="24"/>
        </w:rPr>
        <w:t>.</w:t>
      </w:r>
      <w:r w:rsidR="009F1987" w:rsidRPr="00DF4DB5">
        <w:rPr>
          <w:rFonts w:ascii="Arial" w:hAnsi="Arial" w:cs="Arial"/>
          <w:color w:val="000000"/>
          <w:sz w:val="24"/>
          <w:szCs w:val="24"/>
        </w:rPr>
        <w:t xml:space="preserve"> </w:t>
      </w:r>
      <w:r w:rsidR="00863012" w:rsidRPr="00DF4DB5">
        <w:rPr>
          <w:rFonts w:ascii="Arial" w:hAnsi="Arial" w:cs="Arial"/>
          <w:color w:val="000000"/>
          <w:sz w:val="24"/>
          <w:szCs w:val="24"/>
        </w:rPr>
        <w:t>The remaining paragraphs of the notice of motion are directed</w:t>
      </w:r>
      <w:r w:rsidR="002432FD" w:rsidRPr="00DF4DB5">
        <w:rPr>
          <w:rFonts w:ascii="Arial" w:hAnsi="Arial" w:cs="Arial"/>
          <w:color w:val="000000"/>
          <w:sz w:val="24"/>
          <w:szCs w:val="24"/>
        </w:rPr>
        <w:t xml:space="preserve"> </w:t>
      </w:r>
      <w:r w:rsidR="00863012" w:rsidRPr="00DF4DB5">
        <w:rPr>
          <w:rFonts w:ascii="Arial" w:hAnsi="Arial" w:cs="Arial"/>
          <w:color w:val="000000"/>
          <w:sz w:val="24"/>
          <w:szCs w:val="24"/>
        </w:rPr>
        <w:t xml:space="preserve">at </w:t>
      </w:r>
      <w:r w:rsidR="009171B5" w:rsidRPr="00DF4DB5">
        <w:rPr>
          <w:rFonts w:ascii="Arial" w:hAnsi="Arial" w:cs="Arial"/>
          <w:color w:val="000000"/>
          <w:sz w:val="24"/>
          <w:szCs w:val="24"/>
        </w:rPr>
        <w:t xml:space="preserve">the </w:t>
      </w:r>
      <w:r w:rsidR="00863012" w:rsidRPr="00DF4DB5">
        <w:rPr>
          <w:rFonts w:ascii="Arial" w:hAnsi="Arial" w:cs="Arial"/>
          <w:color w:val="000000"/>
          <w:sz w:val="24"/>
          <w:szCs w:val="24"/>
        </w:rPr>
        <w:t>demand for payment of the amounts deducted from the</w:t>
      </w:r>
      <w:r w:rsidR="009171B5" w:rsidRPr="00DF4DB5">
        <w:rPr>
          <w:rFonts w:ascii="Arial" w:hAnsi="Arial" w:cs="Arial"/>
          <w:color w:val="000000"/>
          <w:sz w:val="24"/>
          <w:szCs w:val="24"/>
        </w:rPr>
        <w:t>ir</w:t>
      </w:r>
      <w:r w:rsidR="00863012" w:rsidRPr="00DF4DB5">
        <w:rPr>
          <w:rFonts w:ascii="Arial" w:hAnsi="Arial" w:cs="Arial"/>
          <w:color w:val="000000"/>
          <w:sz w:val="24"/>
          <w:szCs w:val="24"/>
        </w:rPr>
        <w:t xml:space="preserve"> salaries. </w:t>
      </w:r>
    </w:p>
    <w:p w14:paraId="0FB36F57" w14:textId="77777777" w:rsidR="00076969" w:rsidRPr="00DF4DB5" w:rsidRDefault="00076969" w:rsidP="00F21030">
      <w:pPr>
        <w:spacing w:after="0" w:line="360" w:lineRule="auto"/>
        <w:contextualSpacing/>
        <w:jc w:val="both"/>
        <w:rPr>
          <w:rFonts w:ascii="Arial" w:hAnsi="Arial" w:cs="Arial"/>
          <w:color w:val="000000"/>
          <w:sz w:val="24"/>
          <w:szCs w:val="24"/>
        </w:rPr>
      </w:pPr>
    </w:p>
    <w:p w14:paraId="62D6EC9A" w14:textId="6054EE9E" w:rsidR="00076969" w:rsidRPr="00DF4DB5" w:rsidRDefault="00971647" w:rsidP="00076969">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hAnsi="Arial" w:cs="Arial"/>
          <w:color w:val="000000"/>
          <w:sz w:val="24"/>
          <w:szCs w:val="24"/>
        </w:rPr>
        <w:t>[2</w:t>
      </w:r>
      <w:r w:rsidR="007918FE" w:rsidRPr="00DF4DB5">
        <w:rPr>
          <w:rFonts w:ascii="Arial" w:hAnsi="Arial" w:cs="Arial"/>
          <w:color w:val="000000"/>
          <w:sz w:val="24"/>
          <w:szCs w:val="24"/>
        </w:rPr>
        <w:t>4</w:t>
      </w:r>
      <w:r w:rsidRPr="00DF4DB5">
        <w:rPr>
          <w:rFonts w:ascii="Arial" w:hAnsi="Arial" w:cs="Arial"/>
          <w:color w:val="000000"/>
          <w:sz w:val="24"/>
          <w:szCs w:val="24"/>
        </w:rPr>
        <w:t>]</w:t>
      </w:r>
      <w:r w:rsidRPr="00DF4DB5">
        <w:rPr>
          <w:rFonts w:ascii="Arial" w:hAnsi="Arial" w:cs="Arial"/>
          <w:color w:val="000000"/>
          <w:sz w:val="24"/>
          <w:szCs w:val="24"/>
        </w:rPr>
        <w:tab/>
      </w:r>
      <w:r w:rsidR="00076969" w:rsidRPr="00DF4DB5">
        <w:rPr>
          <w:rFonts w:ascii="Arial" w:hAnsi="Arial" w:cs="Arial"/>
          <w:color w:val="000000"/>
          <w:sz w:val="24"/>
          <w:szCs w:val="24"/>
        </w:rPr>
        <w:t xml:space="preserve">In </w:t>
      </w:r>
      <w:r w:rsidR="00076969" w:rsidRPr="00DF4DB5">
        <w:rPr>
          <w:rFonts w:ascii="Arial" w:hAnsi="Arial" w:cs="Arial"/>
          <w:i/>
          <w:color w:val="000000"/>
          <w:sz w:val="24"/>
          <w:szCs w:val="24"/>
        </w:rPr>
        <w:t>Lewarne v Fochem</w:t>
      </w:r>
      <w:r w:rsidR="00076969" w:rsidRPr="00DF4DB5">
        <w:rPr>
          <w:rStyle w:val="FootnoteReference"/>
          <w:rFonts w:ascii="Arial" w:hAnsi="Arial" w:cs="Arial"/>
          <w:color w:val="000000"/>
          <w:sz w:val="24"/>
          <w:szCs w:val="24"/>
        </w:rPr>
        <w:footnoteReference w:id="28"/>
      </w:r>
      <w:r w:rsidR="00076969" w:rsidRPr="00DF4DB5">
        <w:rPr>
          <w:rFonts w:ascii="Arial" w:hAnsi="Arial" w:cs="Arial"/>
          <w:color w:val="000000"/>
          <w:sz w:val="24"/>
          <w:szCs w:val="24"/>
        </w:rPr>
        <w:t xml:space="preserve"> (</w:t>
      </w:r>
      <w:r w:rsidR="00076969" w:rsidRPr="00DF4DB5">
        <w:rPr>
          <w:rFonts w:ascii="Arial" w:hAnsi="Arial" w:cs="Arial"/>
          <w:i/>
          <w:iCs/>
          <w:color w:val="000000"/>
          <w:sz w:val="24"/>
          <w:szCs w:val="24"/>
        </w:rPr>
        <w:t>Lewarne</w:t>
      </w:r>
      <w:r w:rsidR="00076969" w:rsidRPr="00DF4DB5">
        <w:rPr>
          <w:rFonts w:ascii="Arial" w:hAnsi="Arial" w:cs="Arial"/>
          <w:color w:val="000000"/>
          <w:sz w:val="24"/>
          <w:szCs w:val="24"/>
        </w:rPr>
        <w:t xml:space="preserve">) this Court held that </w:t>
      </w:r>
      <w:r w:rsidR="00076969" w:rsidRPr="00DF4DB5">
        <w:rPr>
          <w:rFonts w:ascii="Arial" w:eastAsiaTheme="minorHAnsi" w:hAnsi="Arial" w:cs="Arial"/>
          <w:sz w:val="24"/>
          <w:szCs w:val="24"/>
          <w:lang w:val="en-ZA"/>
        </w:rPr>
        <w:t>where the dispute relates to, is linked to, or is connected with an employment contract, s 77(3) of the Employment Act</w:t>
      </w:r>
      <w:r w:rsidR="00076969" w:rsidRPr="00DF4DB5">
        <w:rPr>
          <w:rFonts w:ascii="Arial" w:hAnsi="Arial" w:cs="Arial"/>
          <w:color w:val="000000"/>
          <w:sz w:val="24"/>
          <w:szCs w:val="24"/>
        </w:rPr>
        <w:t xml:space="preserve"> which </w:t>
      </w:r>
      <w:r w:rsidR="00076969" w:rsidRPr="00DF4DB5">
        <w:rPr>
          <w:rFonts w:ascii="Arial" w:eastAsiaTheme="minorHAnsi" w:hAnsi="Arial" w:cs="Arial"/>
          <w:sz w:val="24"/>
          <w:szCs w:val="24"/>
          <w:lang w:val="en-ZA"/>
        </w:rPr>
        <w:t>confers concurrent jurisdiction on the civil courts and the Labour courts, applies.</w:t>
      </w:r>
      <w:r w:rsidR="009F1987" w:rsidRPr="00DF4DB5">
        <w:rPr>
          <w:rFonts w:ascii="Arial" w:eastAsiaTheme="minorHAnsi" w:hAnsi="Arial" w:cs="Arial"/>
          <w:sz w:val="24"/>
          <w:szCs w:val="24"/>
          <w:lang w:val="en-ZA"/>
        </w:rPr>
        <w:t xml:space="preserve"> </w:t>
      </w:r>
      <w:r w:rsidR="00076969" w:rsidRPr="00DF4DB5">
        <w:rPr>
          <w:rFonts w:ascii="Arial" w:eastAsiaTheme="minorHAnsi" w:hAnsi="Arial" w:cs="Arial"/>
          <w:sz w:val="24"/>
          <w:szCs w:val="24"/>
          <w:lang w:val="en-ZA"/>
        </w:rPr>
        <w:t xml:space="preserve">In overturning the decision of the high court that the Labour Court had exclusive jurisdiction in such matters, this Court concluded that the appellant’s claim was for money due to her in terms of her employment contract and affirmed the competence of the high court to determine the matter. </w:t>
      </w:r>
    </w:p>
    <w:p w14:paraId="73B39B66" w14:textId="77777777" w:rsidR="00586293" w:rsidRPr="00DF4DB5" w:rsidRDefault="00586293" w:rsidP="00F21030">
      <w:pPr>
        <w:spacing w:after="0" w:line="360" w:lineRule="auto"/>
        <w:contextualSpacing/>
        <w:jc w:val="both"/>
        <w:rPr>
          <w:rFonts w:ascii="Arial" w:hAnsi="Arial" w:cs="Arial"/>
          <w:color w:val="000000"/>
          <w:sz w:val="24"/>
          <w:szCs w:val="24"/>
        </w:rPr>
      </w:pPr>
    </w:p>
    <w:p w14:paraId="47025C84" w14:textId="6936EC9B" w:rsidR="00AA6708" w:rsidRPr="00DF4DB5" w:rsidRDefault="00586293" w:rsidP="00F21030">
      <w:pPr>
        <w:spacing w:after="0" w:line="360" w:lineRule="auto"/>
        <w:contextualSpacing/>
        <w:jc w:val="both"/>
        <w:rPr>
          <w:rFonts w:ascii="Arial" w:hAnsi="Arial" w:cs="Arial"/>
          <w:i/>
          <w:color w:val="000000"/>
          <w:shd w:val="clear" w:color="auto" w:fill="FFFFFF"/>
        </w:rPr>
      </w:pPr>
      <w:r w:rsidRPr="00DF4DB5">
        <w:rPr>
          <w:rFonts w:ascii="Arial" w:hAnsi="Arial" w:cs="Arial"/>
          <w:color w:val="000000"/>
          <w:sz w:val="24"/>
          <w:szCs w:val="24"/>
        </w:rPr>
        <w:t>[2</w:t>
      </w:r>
      <w:r w:rsidR="007918FE" w:rsidRPr="00DF4DB5">
        <w:rPr>
          <w:rFonts w:ascii="Arial" w:hAnsi="Arial" w:cs="Arial"/>
          <w:color w:val="000000"/>
          <w:sz w:val="24"/>
          <w:szCs w:val="24"/>
        </w:rPr>
        <w:t>5</w:t>
      </w:r>
      <w:r w:rsidRPr="00DF4DB5">
        <w:rPr>
          <w:rFonts w:ascii="Arial" w:hAnsi="Arial" w:cs="Arial"/>
          <w:color w:val="000000"/>
          <w:sz w:val="24"/>
          <w:szCs w:val="24"/>
        </w:rPr>
        <w:t>]</w:t>
      </w:r>
      <w:r w:rsidRPr="00DF4DB5">
        <w:rPr>
          <w:rFonts w:ascii="Arial" w:hAnsi="Arial" w:cs="Arial"/>
          <w:color w:val="000000"/>
          <w:sz w:val="24"/>
          <w:szCs w:val="24"/>
        </w:rPr>
        <w:tab/>
      </w:r>
      <w:r w:rsidR="00863012" w:rsidRPr="00DF4DB5">
        <w:rPr>
          <w:rFonts w:ascii="Arial" w:hAnsi="Arial" w:cs="Arial"/>
          <w:color w:val="000000"/>
          <w:sz w:val="24"/>
          <w:szCs w:val="24"/>
        </w:rPr>
        <w:t xml:space="preserve">The </w:t>
      </w:r>
      <w:r w:rsidR="009171B5" w:rsidRPr="00DF4DB5">
        <w:rPr>
          <w:rFonts w:ascii="Arial" w:hAnsi="Arial" w:cs="Arial"/>
          <w:color w:val="000000"/>
          <w:sz w:val="24"/>
          <w:szCs w:val="24"/>
        </w:rPr>
        <w:t xml:space="preserve">focus </w:t>
      </w:r>
      <w:r w:rsidR="00863012" w:rsidRPr="00DF4DB5">
        <w:rPr>
          <w:rFonts w:ascii="Arial" w:hAnsi="Arial" w:cs="Arial"/>
          <w:color w:val="000000"/>
          <w:sz w:val="24"/>
          <w:szCs w:val="24"/>
        </w:rPr>
        <w:t xml:space="preserve">of the </w:t>
      </w:r>
      <w:r w:rsidR="003C69B3" w:rsidRPr="00DF4DB5">
        <w:rPr>
          <w:rFonts w:ascii="Arial" w:hAnsi="Arial" w:cs="Arial"/>
          <w:color w:val="000000"/>
          <w:sz w:val="24"/>
          <w:szCs w:val="24"/>
        </w:rPr>
        <w:t xml:space="preserve">founding affidavit </w:t>
      </w:r>
      <w:r w:rsidR="00863012" w:rsidRPr="00DF4DB5">
        <w:rPr>
          <w:rFonts w:ascii="Arial" w:hAnsi="Arial" w:cs="Arial"/>
          <w:color w:val="000000"/>
          <w:sz w:val="24"/>
          <w:szCs w:val="24"/>
        </w:rPr>
        <w:t>is directed at addressing the deduction</w:t>
      </w:r>
      <w:r w:rsidR="008431FC" w:rsidRPr="00DF4DB5">
        <w:rPr>
          <w:rFonts w:ascii="Arial" w:hAnsi="Arial" w:cs="Arial"/>
          <w:color w:val="000000"/>
          <w:sz w:val="24"/>
          <w:szCs w:val="24"/>
        </w:rPr>
        <w:t xml:space="preserve">s </w:t>
      </w:r>
      <w:r w:rsidR="00F67EFC" w:rsidRPr="00DF4DB5">
        <w:rPr>
          <w:rFonts w:ascii="Arial" w:hAnsi="Arial" w:cs="Arial"/>
          <w:color w:val="000000"/>
          <w:sz w:val="24"/>
          <w:szCs w:val="24"/>
        </w:rPr>
        <w:t xml:space="preserve">having been made </w:t>
      </w:r>
      <w:r w:rsidR="003C69B3" w:rsidRPr="00DF4DB5">
        <w:rPr>
          <w:rFonts w:ascii="Arial" w:hAnsi="Arial" w:cs="Arial"/>
          <w:color w:val="000000"/>
          <w:sz w:val="24"/>
          <w:szCs w:val="24"/>
        </w:rPr>
        <w:t xml:space="preserve">without consent and </w:t>
      </w:r>
      <w:r w:rsidR="008431FC" w:rsidRPr="00DF4DB5">
        <w:rPr>
          <w:rFonts w:ascii="Arial" w:hAnsi="Arial" w:cs="Arial"/>
          <w:color w:val="000000"/>
          <w:sz w:val="24"/>
          <w:szCs w:val="24"/>
        </w:rPr>
        <w:t xml:space="preserve">that </w:t>
      </w:r>
      <w:r w:rsidR="003C69B3" w:rsidRPr="00DF4DB5">
        <w:rPr>
          <w:rFonts w:ascii="Arial" w:hAnsi="Arial" w:cs="Arial"/>
          <w:color w:val="000000"/>
          <w:sz w:val="24"/>
          <w:szCs w:val="24"/>
        </w:rPr>
        <w:t xml:space="preserve">such conduct </w:t>
      </w:r>
      <w:r w:rsidR="008431FC" w:rsidRPr="00DF4DB5">
        <w:rPr>
          <w:rFonts w:ascii="Arial" w:hAnsi="Arial" w:cs="Arial"/>
          <w:color w:val="000000"/>
          <w:sz w:val="24"/>
          <w:szCs w:val="24"/>
        </w:rPr>
        <w:t>was in breach of</w:t>
      </w:r>
      <w:r w:rsidR="003C69B3" w:rsidRPr="00DF4DB5">
        <w:rPr>
          <w:rFonts w:ascii="Arial" w:hAnsi="Arial" w:cs="Arial"/>
          <w:color w:val="000000"/>
          <w:sz w:val="24"/>
          <w:szCs w:val="24"/>
        </w:rPr>
        <w:t xml:space="preserve"> s 34(1) of the Employment Act. </w:t>
      </w:r>
      <w:r w:rsidR="00A10CED" w:rsidRPr="00DF4DB5">
        <w:rPr>
          <w:rFonts w:ascii="Arial" w:hAnsi="Arial" w:cs="Arial"/>
          <w:color w:val="000000"/>
          <w:sz w:val="24"/>
          <w:szCs w:val="24"/>
        </w:rPr>
        <w:t xml:space="preserve">According to the appellants, this alone </w:t>
      </w:r>
      <w:r w:rsidR="0035090E" w:rsidRPr="00DF4DB5">
        <w:rPr>
          <w:rFonts w:ascii="Arial" w:hAnsi="Arial" w:cs="Arial"/>
          <w:color w:val="000000"/>
          <w:sz w:val="24"/>
          <w:szCs w:val="24"/>
        </w:rPr>
        <w:t>would ensure that the matter should fall under the exclusive jurisdiction of the Labour Court.</w:t>
      </w:r>
      <w:r w:rsidR="009F1987" w:rsidRPr="00DF4DB5">
        <w:rPr>
          <w:rFonts w:ascii="Arial" w:hAnsi="Arial" w:cs="Arial"/>
          <w:color w:val="000000"/>
          <w:sz w:val="24"/>
          <w:szCs w:val="24"/>
        </w:rPr>
        <w:t xml:space="preserve"> </w:t>
      </w:r>
      <w:r w:rsidR="0035090E" w:rsidRPr="00DF4DB5">
        <w:rPr>
          <w:rFonts w:ascii="Arial" w:hAnsi="Arial" w:cs="Arial"/>
          <w:color w:val="000000"/>
          <w:sz w:val="24"/>
          <w:szCs w:val="24"/>
        </w:rPr>
        <w:t xml:space="preserve">In order for the civil courts to acquire concurrent jurisdiction with the Labour Court, the respondents would have had to plead that the 2.5% increment formed a term for their employment contract. </w:t>
      </w:r>
      <w:r w:rsidR="0023762C" w:rsidRPr="00DF4DB5">
        <w:rPr>
          <w:rFonts w:ascii="Arial" w:hAnsi="Arial" w:cs="Arial"/>
          <w:color w:val="000000"/>
          <w:sz w:val="24"/>
          <w:szCs w:val="24"/>
        </w:rPr>
        <w:t>While n</w:t>
      </w:r>
      <w:r w:rsidR="003C69B3" w:rsidRPr="00DF4DB5">
        <w:rPr>
          <w:rFonts w:ascii="Arial" w:hAnsi="Arial" w:cs="Arial"/>
          <w:color w:val="000000"/>
          <w:sz w:val="24"/>
          <w:szCs w:val="24"/>
        </w:rPr>
        <w:t xml:space="preserve">o </w:t>
      </w:r>
      <w:r w:rsidR="0023762C" w:rsidRPr="00DF4DB5">
        <w:rPr>
          <w:rFonts w:ascii="Arial" w:hAnsi="Arial" w:cs="Arial"/>
          <w:color w:val="000000"/>
          <w:sz w:val="24"/>
          <w:szCs w:val="24"/>
        </w:rPr>
        <w:t xml:space="preserve">specific </w:t>
      </w:r>
      <w:r w:rsidR="003C69B3" w:rsidRPr="00DF4DB5">
        <w:rPr>
          <w:rFonts w:ascii="Arial" w:hAnsi="Arial" w:cs="Arial"/>
          <w:color w:val="000000"/>
          <w:sz w:val="24"/>
          <w:szCs w:val="24"/>
        </w:rPr>
        <w:t xml:space="preserve">reference is made in the founding affidavit of </w:t>
      </w:r>
      <w:r w:rsidR="0037316D" w:rsidRPr="00DF4DB5">
        <w:rPr>
          <w:rFonts w:ascii="Arial" w:hAnsi="Arial" w:cs="Arial"/>
          <w:color w:val="000000"/>
          <w:sz w:val="24"/>
          <w:szCs w:val="24"/>
        </w:rPr>
        <w:t xml:space="preserve">Mr Ngcangula </w:t>
      </w:r>
      <w:r w:rsidR="003C69B3" w:rsidRPr="00DF4DB5">
        <w:rPr>
          <w:rFonts w:ascii="Arial" w:hAnsi="Arial" w:cs="Arial"/>
          <w:color w:val="000000"/>
          <w:sz w:val="24"/>
          <w:szCs w:val="24"/>
        </w:rPr>
        <w:t xml:space="preserve">to any term of his </w:t>
      </w:r>
      <w:r w:rsidR="002E572B" w:rsidRPr="00DF4DB5">
        <w:rPr>
          <w:rFonts w:ascii="Arial" w:hAnsi="Arial" w:cs="Arial"/>
          <w:color w:val="000000"/>
          <w:sz w:val="24"/>
          <w:szCs w:val="24"/>
        </w:rPr>
        <w:t xml:space="preserve">contract of </w:t>
      </w:r>
      <w:r w:rsidR="003C69B3" w:rsidRPr="00DF4DB5">
        <w:rPr>
          <w:rFonts w:ascii="Arial" w:hAnsi="Arial" w:cs="Arial"/>
          <w:color w:val="000000"/>
          <w:sz w:val="24"/>
          <w:szCs w:val="24"/>
        </w:rPr>
        <w:t>employment</w:t>
      </w:r>
      <w:r w:rsidR="0023762C" w:rsidRPr="00DF4DB5">
        <w:rPr>
          <w:rFonts w:ascii="Arial" w:hAnsi="Arial" w:cs="Arial"/>
          <w:color w:val="000000"/>
          <w:sz w:val="24"/>
          <w:szCs w:val="24"/>
        </w:rPr>
        <w:t xml:space="preserve">, </w:t>
      </w:r>
      <w:r w:rsidR="0037316D" w:rsidRPr="00DF4DB5">
        <w:rPr>
          <w:rFonts w:ascii="Arial" w:hAnsi="Arial" w:cs="Arial"/>
          <w:color w:val="000000"/>
          <w:sz w:val="24"/>
          <w:szCs w:val="24"/>
        </w:rPr>
        <w:t xml:space="preserve">Mr </w:t>
      </w:r>
      <w:r w:rsidR="00FD58BA" w:rsidRPr="00DF4DB5">
        <w:rPr>
          <w:rFonts w:ascii="Arial" w:hAnsi="Arial" w:cs="Arial"/>
          <w:color w:val="000000"/>
          <w:sz w:val="24"/>
          <w:szCs w:val="24"/>
        </w:rPr>
        <w:t>Nqeketho attached</w:t>
      </w:r>
      <w:r w:rsidR="002E572B" w:rsidRPr="00DF4DB5">
        <w:rPr>
          <w:rFonts w:ascii="Arial" w:hAnsi="Arial" w:cs="Arial"/>
          <w:color w:val="000000"/>
          <w:sz w:val="24"/>
          <w:szCs w:val="24"/>
        </w:rPr>
        <w:t xml:space="preserve"> </w:t>
      </w:r>
      <w:r w:rsidR="003C69B3" w:rsidRPr="00DF4DB5">
        <w:rPr>
          <w:rFonts w:ascii="Arial" w:hAnsi="Arial" w:cs="Arial"/>
          <w:color w:val="000000"/>
          <w:sz w:val="24"/>
          <w:szCs w:val="24"/>
        </w:rPr>
        <w:t>a copy of his contract of employment to his affidavit</w:t>
      </w:r>
      <w:r w:rsidR="0023762C" w:rsidRPr="00DF4DB5">
        <w:rPr>
          <w:rFonts w:ascii="Arial" w:hAnsi="Arial" w:cs="Arial"/>
          <w:color w:val="000000"/>
          <w:sz w:val="24"/>
          <w:szCs w:val="24"/>
        </w:rPr>
        <w:t xml:space="preserve">. </w:t>
      </w:r>
      <w:r w:rsidR="00AA6708" w:rsidRPr="00DF4DB5">
        <w:rPr>
          <w:rFonts w:ascii="Arial" w:hAnsi="Arial" w:cs="Arial"/>
          <w:color w:val="000000"/>
          <w:sz w:val="24"/>
          <w:szCs w:val="24"/>
        </w:rPr>
        <w:t>T</w:t>
      </w:r>
      <w:r w:rsidR="0023762C" w:rsidRPr="00DF4DB5">
        <w:rPr>
          <w:rFonts w:ascii="Arial" w:hAnsi="Arial" w:cs="Arial"/>
          <w:color w:val="000000"/>
          <w:sz w:val="24"/>
          <w:szCs w:val="24"/>
        </w:rPr>
        <w:t>he respondents</w:t>
      </w:r>
      <w:r w:rsidR="00B87824" w:rsidRPr="00DF4DB5">
        <w:rPr>
          <w:rFonts w:ascii="Arial" w:hAnsi="Arial" w:cs="Arial"/>
          <w:color w:val="000000"/>
          <w:sz w:val="24"/>
          <w:szCs w:val="24"/>
        </w:rPr>
        <w:t>’</w:t>
      </w:r>
      <w:r w:rsidR="0023762C" w:rsidRPr="00DF4DB5">
        <w:rPr>
          <w:rFonts w:ascii="Arial" w:hAnsi="Arial" w:cs="Arial"/>
          <w:color w:val="000000"/>
          <w:sz w:val="24"/>
          <w:szCs w:val="24"/>
        </w:rPr>
        <w:t xml:space="preserve"> case was that the conduct of the</w:t>
      </w:r>
      <w:r w:rsidR="00FF4A29" w:rsidRPr="00DF4DB5">
        <w:rPr>
          <w:rFonts w:ascii="Arial" w:hAnsi="Arial" w:cs="Arial"/>
          <w:color w:val="000000"/>
          <w:sz w:val="24"/>
          <w:szCs w:val="24"/>
        </w:rPr>
        <w:t xml:space="preserve"> </w:t>
      </w:r>
      <w:r w:rsidR="0023762C" w:rsidRPr="00DF4DB5">
        <w:rPr>
          <w:rFonts w:ascii="Arial" w:hAnsi="Arial" w:cs="Arial"/>
          <w:color w:val="000000"/>
          <w:sz w:val="24"/>
          <w:szCs w:val="24"/>
        </w:rPr>
        <w:t xml:space="preserve">municipality in deducting the 2.5% notch increment from their salaries constituted a breach of their employment contracts. </w:t>
      </w:r>
      <w:r w:rsidR="00AA6708" w:rsidRPr="00DF4DB5">
        <w:rPr>
          <w:rFonts w:ascii="Arial" w:hAnsi="Arial" w:cs="Arial"/>
          <w:color w:val="000000"/>
          <w:sz w:val="24"/>
          <w:szCs w:val="24"/>
        </w:rPr>
        <w:t>They considered the notch increment to form part of thei</w:t>
      </w:r>
      <w:r w:rsidR="00B87824" w:rsidRPr="00DF4DB5">
        <w:rPr>
          <w:rFonts w:ascii="Arial" w:hAnsi="Arial" w:cs="Arial"/>
          <w:color w:val="000000"/>
          <w:sz w:val="24"/>
          <w:szCs w:val="24"/>
        </w:rPr>
        <w:t>r salary, despite the appellant</w:t>
      </w:r>
      <w:r w:rsidR="00AA6708" w:rsidRPr="00DF4DB5">
        <w:rPr>
          <w:rFonts w:ascii="Arial" w:hAnsi="Arial" w:cs="Arial"/>
          <w:color w:val="000000"/>
          <w:sz w:val="24"/>
          <w:szCs w:val="24"/>
        </w:rPr>
        <w:t>s</w:t>
      </w:r>
      <w:r w:rsidR="00B87824" w:rsidRPr="00DF4DB5">
        <w:rPr>
          <w:rFonts w:ascii="Arial" w:hAnsi="Arial" w:cs="Arial"/>
          <w:color w:val="000000"/>
          <w:sz w:val="24"/>
          <w:szCs w:val="24"/>
        </w:rPr>
        <w:t>’</w:t>
      </w:r>
      <w:r w:rsidR="00AA6708" w:rsidRPr="00DF4DB5">
        <w:rPr>
          <w:rFonts w:ascii="Arial" w:hAnsi="Arial" w:cs="Arial"/>
          <w:color w:val="000000"/>
          <w:sz w:val="24"/>
          <w:szCs w:val="24"/>
        </w:rPr>
        <w:t xml:space="preserve"> view to the contrary. As stated in </w:t>
      </w:r>
      <w:r w:rsidR="00AA6708" w:rsidRPr="00DF4DB5">
        <w:rPr>
          <w:rFonts w:ascii="Arial" w:hAnsi="Arial" w:cs="Arial"/>
          <w:i/>
          <w:color w:val="000000"/>
          <w:sz w:val="24"/>
          <w:szCs w:val="24"/>
          <w:shd w:val="clear" w:color="auto" w:fill="FFFFFF"/>
        </w:rPr>
        <w:t>Makhanya v University of Zululand</w:t>
      </w:r>
      <w:r w:rsidR="00AA6708" w:rsidRPr="00DF4DB5">
        <w:rPr>
          <w:rStyle w:val="FootnoteReference"/>
          <w:rFonts w:ascii="Arial" w:hAnsi="Arial" w:cs="Arial"/>
          <w:iCs/>
          <w:color w:val="000000"/>
          <w:shd w:val="clear" w:color="auto" w:fill="FFFFFF"/>
        </w:rPr>
        <w:footnoteReference w:id="29"/>
      </w:r>
      <w:r w:rsidR="00AA6708" w:rsidRPr="00DF4DB5">
        <w:rPr>
          <w:rFonts w:ascii="Arial" w:hAnsi="Arial" w:cs="Arial"/>
          <w:i/>
          <w:color w:val="000000"/>
          <w:shd w:val="clear" w:color="auto" w:fill="FFFFFF"/>
        </w:rPr>
        <w:t xml:space="preserve"> </w:t>
      </w:r>
    </w:p>
    <w:p w14:paraId="7238E4D4" w14:textId="022E5CB9" w:rsidR="00AA6708" w:rsidRPr="00DF4DB5" w:rsidRDefault="009F1987" w:rsidP="00F21030">
      <w:pPr>
        <w:spacing w:after="0" w:line="360" w:lineRule="auto"/>
        <w:contextualSpacing/>
        <w:jc w:val="both"/>
        <w:rPr>
          <w:rFonts w:ascii="Arial" w:hAnsi="Arial" w:cs="Arial"/>
          <w:i/>
          <w:color w:val="000000"/>
          <w:shd w:val="clear" w:color="auto" w:fill="FFFFFF"/>
        </w:rPr>
      </w:pPr>
      <w:r w:rsidRPr="00DF4DB5">
        <w:rPr>
          <w:rFonts w:ascii="Arial" w:eastAsiaTheme="minorHAnsi" w:hAnsi="Arial" w:cs="Arial"/>
          <w:lang w:val="en-ZA"/>
        </w:rPr>
        <w:t>‘</w:t>
      </w:r>
      <w:r w:rsidR="00AA6708" w:rsidRPr="00DF4DB5">
        <w:rPr>
          <w:rFonts w:ascii="Arial" w:eastAsiaTheme="minorHAnsi" w:hAnsi="Arial" w:cs="Arial"/>
          <w:lang w:val="en-ZA"/>
        </w:rPr>
        <w:t>When a claimant says that the claim is to enforce a right that is created by the LRA, then that is the claim that the court has before it, as a fact. When he or she says that the claim is to enforce a right derived from the Constitution then, as a fact that is the claim. That the claim might be a bad claim is beside the point.’</w:t>
      </w:r>
      <w:r w:rsidR="00AA6708" w:rsidRPr="00DF4DB5">
        <w:rPr>
          <w:rStyle w:val="FootnoteReference"/>
          <w:rFonts w:ascii="Arial" w:eastAsiaTheme="minorHAnsi" w:hAnsi="Arial" w:cs="Arial"/>
          <w:sz w:val="20"/>
          <w:szCs w:val="20"/>
          <w:lang w:val="en-ZA"/>
        </w:rPr>
        <w:footnoteReference w:id="30"/>
      </w:r>
    </w:p>
    <w:p w14:paraId="74DB9F6C" w14:textId="57F06CE6" w:rsidR="009171B5" w:rsidRPr="00DF4DB5" w:rsidRDefault="0023762C" w:rsidP="00A505FC">
      <w:pPr>
        <w:spacing w:after="0" w:line="360" w:lineRule="auto"/>
        <w:contextualSpacing/>
        <w:jc w:val="both"/>
        <w:rPr>
          <w:rFonts w:ascii="Arial" w:hAnsi="Arial" w:cs="Arial"/>
          <w:sz w:val="24"/>
          <w:szCs w:val="24"/>
          <w:shd w:val="clear" w:color="auto" w:fill="FFFFFF"/>
        </w:rPr>
      </w:pPr>
      <w:r w:rsidRPr="00DF4DB5">
        <w:rPr>
          <w:rFonts w:ascii="Arial" w:hAnsi="Arial" w:cs="Arial"/>
          <w:color w:val="000000"/>
          <w:sz w:val="24"/>
          <w:szCs w:val="24"/>
        </w:rPr>
        <w:lastRenderedPageBreak/>
        <w:t>On this basis, I am satisfied that the high court correct</w:t>
      </w:r>
      <w:r w:rsidR="00FF4A29" w:rsidRPr="00DF4DB5">
        <w:rPr>
          <w:rFonts w:ascii="Arial" w:hAnsi="Arial" w:cs="Arial"/>
          <w:color w:val="000000"/>
          <w:sz w:val="24"/>
          <w:szCs w:val="24"/>
        </w:rPr>
        <w:t>ly</w:t>
      </w:r>
      <w:r w:rsidR="00AA6708" w:rsidRPr="00DF4DB5">
        <w:rPr>
          <w:rFonts w:ascii="Arial" w:hAnsi="Arial" w:cs="Arial"/>
          <w:color w:val="000000"/>
          <w:sz w:val="24"/>
          <w:szCs w:val="24"/>
        </w:rPr>
        <w:t>, on the basis of the respondent’s pleadings,</w:t>
      </w:r>
      <w:r w:rsidR="00FF4A29" w:rsidRPr="00DF4DB5">
        <w:rPr>
          <w:rFonts w:ascii="Arial" w:hAnsi="Arial" w:cs="Arial"/>
          <w:color w:val="000000"/>
          <w:sz w:val="24"/>
          <w:szCs w:val="24"/>
        </w:rPr>
        <w:t xml:space="preserve"> determined </w:t>
      </w:r>
      <w:r w:rsidRPr="00DF4DB5">
        <w:rPr>
          <w:rFonts w:ascii="Arial" w:hAnsi="Arial" w:cs="Arial"/>
          <w:color w:val="000000"/>
          <w:sz w:val="24"/>
          <w:szCs w:val="24"/>
        </w:rPr>
        <w:t xml:space="preserve">that it had jurisdiction to </w:t>
      </w:r>
      <w:r w:rsidR="003A7C8C" w:rsidRPr="00DF4DB5">
        <w:rPr>
          <w:rFonts w:ascii="Arial" w:hAnsi="Arial" w:cs="Arial"/>
          <w:color w:val="000000"/>
          <w:sz w:val="24"/>
          <w:szCs w:val="24"/>
        </w:rPr>
        <w:t>adjudicate</w:t>
      </w:r>
      <w:r w:rsidR="00C77F0E" w:rsidRPr="00DF4DB5">
        <w:rPr>
          <w:rFonts w:ascii="Arial" w:hAnsi="Arial" w:cs="Arial"/>
          <w:color w:val="000000"/>
          <w:sz w:val="24"/>
          <w:szCs w:val="24"/>
        </w:rPr>
        <w:t xml:space="preserve"> the dispute</w:t>
      </w:r>
      <w:r w:rsidR="00F21030" w:rsidRPr="00DF4DB5">
        <w:rPr>
          <w:rFonts w:ascii="Arial" w:hAnsi="Arial" w:cs="Arial"/>
          <w:color w:val="000000"/>
          <w:sz w:val="24"/>
          <w:szCs w:val="24"/>
        </w:rPr>
        <w:t xml:space="preserve">. </w:t>
      </w:r>
      <w:r w:rsidRPr="00DF4DB5">
        <w:rPr>
          <w:rFonts w:ascii="Arial" w:hAnsi="Arial" w:cs="Arial"/>
          <w:color w:val="000000"/>
          <w:sz w:val="24"/>
          <w:szCs w:val="24"/>
        </w:rPr>
        <w:t xml:space="preserve">Whether </w:t>
      </w:r>
      <w:r w:rsidR="004106ED" w:rsidRPr="00DF4DB5">
        <w:rPr>
          <w:rFonts w:ascii="Arial" w:hAnsi="Arial" w:cs="Arial"/>
          <w:color w:val="000000"/>
          <w:sz w:val="24"/>
          <w:szCs w:val="24"/>
        </w:rPr>
        <w:t xml:space="preserve">or not </w:t>
      </w:r>
      <w:r w:rsidRPr="00DF4DB5">
        <w:rPr>
          <w:rFonts w:ascii="Arial" w:hAnsi="Arial" w:cs="Arial"/>
          <w:color w:val="000000"/>
          <w:sz w:val="24"/>
          <w:szCs w:val="24"/>
        </w:rPr>
        <w:t>the cause of action was well founded is entirely a different enquiry</w:t>
      </w:r>
      <w:r w:rsidR="00B87824" w:rsidRPr="00DF4DB5">
        <w:rPr>
          <w:rFonts w:ascii="Arial" w:hAnsi="Arial" w:cs="Arial"/>
          <w:color w:val="000000"/>
          <w:sz w:val="24"/>
          <w:szCs w:val="24"/>
        </w:rPr>
        <w:t xml:space="preserve"> and has no bearing on the question of a court’s jurisdiction</w:t>
      </w:r>
      <w:r w:rsidRPr="00DF4DB5">
        <w:rPr>
          <w:rFonts w:ascii="Arial" w:hAnsi="Arial" w:cs="Arial"/>
          <w:color w:val="000000"/>
          <w:sz w:val="24"/>
          <w:szCs w:val="24"/>
        </w:rPr>
        <w:t>.</w:t>
      </w:r>
      <w:r w:rsidR="009F1987" w:rsidRPr="00DF4DB5">
        <w:rPr>
          <w:rFonts w:ascii="Arial" w:hAnsi="Arial" w:cs="Arial"/>
          <w:color w:val="000000"/>
          <w:sz w:val="24"/>
          <w:szCs w:val="24"/>
        </w:rPr>
        <w:t xml:space="preserve"> </w:t>
      </w:r>
      <w:r w:rsidR="00AA6708" w:rsidRPr="00DF4DB5">
        <w:rPr>
          <w:rFonts w:ascii="Arial" w:eastAsiaTheme="minorHAnsi" w:hAnsi="Arial" w:cs="Arial"/>
          <w:sz w:val="24"/>
          <w:szCs w:val="24"/>
          <w:lang w:val="en-ZA"/>
        </w:rPr>
        <w:t>Accordingly, the argument relating to the high court’s lack of jurisdiction is without merit.</w:t>
      </w:r>
    </w:p>
    <w:p w14:paraId="5024E09A" w14:textId="77777777" w:rsidR="00804CA5" w:rsidRPr="00DF4DB5" w:rsidRDefault="00804CA5" w:rsidP="004F5A13">
      <w:pPr>
        <w:spacing w:after="0" w:line="360" w:lineRule="auto"/>
        <w:contextualSpacing/>
        <w:jc w:val="both"/>
        <w:rPr>
          <w:rFonts w:ascii="Arial" w:hAnsi="Arial" w:cs="Arial"/>
          <w:b/>
          <w:color w:val="000000"/>
          <w:sz w:val="24"/>
          <w:szCs w:val="24"/>
        </w:rPr>
      </w:pPr>
    </w:p>
    <w:p w14:paraId="287FEDCB" w14:textId="473D87DB" w:rsidR="009B37B6" w:rsidRPr="00DF4DB5" w:rsidRDefault="00A9634B" w:rsidP="004F5A13">
      <w:pPr>
        <w:spacing w:after="0" w:line="360" w:lineRule="auto"/>
        <w:contextualSpacing/>
        <w:jc w:val="both"/>
        <w:rPr>
          <w:rFonts w:ascii="Arial" w:hAnsi="Arial" w:cs="Arial"/>
          <w:b/>
          <w:color w:val="000000"/>
          <w:sz w:val="24"/>
          <w:szCs w:val="24"/>
        </w:rPr>
      </w:pPr>
      <w:r w:rsidRPr="00DF4DB5">
        <w:rPr>
          <w:rFonts w:ascii="Arial" w:hAnsi="Arial" w:cs="Arial"/>
          <w:b/>
          <w:color w:val="000000"/>
          <w:sz w:val="24"/>
          <w:szCs w:val="24"/>
        </w:rPr>
        <w:t xml:space="preserve">Was the notch increment a term of the employment contract </w:t>
      </w:r>
    </w:p>
    <w:p w14:paraId="05673FA4" w14:textId="0DBD5CEA" w:rsidR="008311DE" w:rsidRPr="00DF4DB5" w:rsidRDefault="009E5142" w:rsidP="00251063">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Theme="minorHAnsi" w:hAnsi="Arial" w:cs="Arial"/>
          <w:sz w:val="24"/>
          <w:szCs w:val="24"/>
          <w:lang w:val="en-ZA"/>
        </w:rPr>
        <w:t>[</w:t>
      </w:r>
      <w:r w:rsidR="007918FE" w:rsidRPr="00DF4DB5">
        <w:rPr>
          <w:rFonts w:ascii="Arial" w:eastAsiaTheme="minorHAnsi" w:hAnsi="Arial" w:cs="Arial"/>
          <w:sz w:val="24"/>
          <w:szCs w:val="24"/>
          <w:lang w:val="en-ZA"/>
        </w:rPr>
        <w:t>26</w:t>
      </w:r>
      <w:r w:rsidRPr="00DF4DB5">
        <w:rPr>
          <w:rFonts w:ascii="Arial" w:eastAsiaTheme="minorHAnsi" w:hAnsi="Arial" w:cs="Arial"/>
          <w:sz w:val="24"/>
          <w:szCs w:val="24"/>
          <w:lang w:val="en-ZA"/>
        </w:rPr>
        <w:t>]</w:t>
      </w:r>
      <w:r w:rsidRPr="00DF4DB5">
        <w:rPr>
          <w:rFonts w:ascii="Arial" w:eastAsiaTheme="minorHAnsi" w:hAnsi="Arial" w:cs="Arial"/>
          <w:sz w:val="24"/>
          <w:szCs w:val="24"/>
          <w:lang w:val="en-ZA"/>
        </w:rPr>
        <w:tab/>
      </w:r>
      <w:r w:rsidR="00A10CED" w:rsidRPr="00DF4DB5">
        <w:rPr>
          <w:rFonts w:ascii="Arial" w:eastAsiaTheme="minorHAnsi" w:hAnsi="Arial" w:cs="Arial"/>
          <w:sz w:val="24"/>
          <w:szCs w:val="24"/>
          <w:lang w:val="en-ZA"/>
        </w:rPr>
        <w:t xml:space="preserve"> </w:t>
      </w:r>
      <w:r w:rsidR="00DE0741" w:rsidRPr="00DF4DB5">
        <w:rPr>
          <w:rFonts w:ascii="Arial" w:eastAsiaTheme="minorHAnsi" w:hAnsi="Arial" w:cs="Arial"/>
          <w:sz w:val="24"/>
          <w:szCs w:val="24"/>
          <w:lang w:val="en-ZA"/>
        </w:rPr>
        <w:t xml:space="preserve">The </w:t>
      </w:r>
      <w:r w:rsidR="008311DE" w:rsidRPr="00DF4DB5">
        <w:rPr>
          <w:rFonts w:ascii="Arial" w:eastAsiaTheme="minorHAnsi" w:hAnsi="Arial" w:cs="Arial"/>
          <w:sz w:val="24"/>
          <w:szCs w:val="24"/>
          <w:lang w:val="en-ZA"/>
        </w:rPr>
        <w:t xml:space="preserve">position </w:t>
      </w:r>
      <w:r w:rsidR="00DE0741" w:rsidRPr="00DF4DB5">
        <w:rPr>
          <w:rFonts w:ascii="Arial" w:eastAsiaTheme="minorHAnsi" w:hAnsi="Arial" w:cs="Arial"/>
          <w:sz w:val="24"/>
          <w:szCs w:val="24"/>
          <w:lang w:val="en-ZA"/>
        </w:rPr>
        <w:t>adopted by the appellants, which it maintained throughout, was that the respondents were never entitled to the 2.5% increment in the first instance, as this was a payment erroneously made to all municipal employees as opposed to only those who qualified for the benefit. More importantly, the appellants contended that the respondents failed to establish a contractual entitlement to a 2.5% increment in their salary</w:t>
      </w:r>
      <w:r w:rsidR="009C3FD1" w:rsidRPr="00DF4DB5">
        <w:rPr>
          <w:rFonts w:ascii="Arial" w:eastAsiaTheme="minorHAnsi" w:hAnsi="Arial" w:cs="Arial"/>
          <w:sz w:val="24"/>
          <w:szCs w:val="24"/>
          <w:lang w:val="en-ZA"/>
        </w:rPr>
        <w:t>.</w:t>
      </w:r>
      <w:r w:rsidR="009F1987" w:rsidRPr="00DF4DB5">
        <w:rPr>
          <w:rFonts w:ascii="Arial" w:eastAsiaTheme="minorHAnsi" w:hAnsi="Arial" w:cs="Arial"/>
          <w:sz w:val="24"/>
          <w:szCs w:val="24"/>
          <w:lang w:val="en-ZA"/>
        </w:rPr>
        <w:t xml:space="preserve"> </w:t>
      </w:r>
    </w:p>
    <w:p w14:paraId="7877EF9A" w14:textId="77777777" w:rsidR="008311DE" w:rsidRPr="00DF4DB5" w:rsidRDefault="008311DE" w:rsidP="00251063">
      <w:pPr>
        <w:autoSpaceDE w:val="0"/>
        <w:autoSpaceDN w:val="0"/>
        <w:adjustRightInd w:val="0"/>
        <w:spacing w:after="0" w:line="360" w:lineRule="auto"/>
        <w:jc w:val="both"/>
        <w:rPr>
          <w:rFonts w:ascii="Arial" w:eastAsiaTheme="minorHAnsi" w:hAnsi="Arial" w:cs="Arial"/>
          <w:sz w:val="24"/>
          <w:szCs w:val="24"/>
          <w:lang w:val="en-ZA"/>
        </w:rPr>
      </w:pPr>
    </w:p>
    <w:p w14:paraId="7FF3274A" w14:textId="3B38F5E2" w:rsidR="008311DE" w:rsidRPr="00DF4DB5" w:rsidRDefault="007918FE" w:rsidP="00251063">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Theme="minorHAnsi" w:hAnsi="Arial" w:cs="Arial"/>
          <w:sz w:val="24"/>
          <w:szCs w:val="24"/>
          <w:lang w:val="en-ZA"/>
        </w:rPr>
        <w:t>[27</w:t>
      </w:r>
      <w:r w:rsidR="008311DE" w:rsidRPr="00DF4DB5">
        <w:rPr>
          <w:rFonts w:ascii="Arial" w:eastAsiaTheme="minorHAnsi" w:hAnsi="Arial" w:cs="Arial"/>
          <w:sz w:val="24"/>
          <w:szCs w:val="24"/>
          <w:lang w:val="en-ZA"/>
        </w:rPr>
        <w:t>]</w:t>
      </w:r>
      <w:r w:rsidR="008311DE" w:rsidRPr="00DF4DB5">
        <w:rPr>
          <w:rFonts w:ascii="Arial" w:eastAsiaTheme="minorHAnsi" w:hAnsi="Arial" w:cs="Arial"/>
          <w:sz w:val="24"/>
          <w:szCs w:val="24"/>
          <w:lang w:val="en-ZA"/>
        </w:rPr>
        <w:tab/>
      </w:r>
      <w:r w:rsidR="009C3FD1" w:rsidRPr="00DF4DB5">
        <w:rPr>
          <w:rFonts w:ascii="Arial" w:eastAsiaTheme="minorHAnsi" w:hAnsi="Arial" w:cs="Arial"/>
          <w:sz w:val="24"/>
          <w:szCs w:val="24"/>
          <w:lang w:val="en-ZA"/>
        </w:rPr>
        <w:t>The issue of the notch increase is not a red herring as the respondents contend, but is critical in determining the merits of the appeal.</w:t>
      </w:r>
      <w:r w:rsidR="009F1987" w:rsidRPr="00DF4DB5">
        <w:rPr>
          <w:rFonts w:ascii="Arial" w:eastAsiaTheme="minorHAnsi" w:hAnsi="Arial" w:cs="Arial"/>
          <w:sz w:val="24"/>
          <w:szCs w:val="24"/>
          <w:lang w:val="en-ZA"/>
        </w:rPr>
        <w:t xml:space="preserve"> </w:t>
      </w:r>
      <w:r w:rsidR="009C3FD1" w:rsidRPr="00DF4DB5">
        <w:rPr>
          <w:rFonts w:ascii="Arial" w:eastAsiaTheme="minorHAnsi" w:hAnsi="Arial" w:cs="Arial"/>
          <w:sz w:val="24"/>
          <w:szCs w:val="24"/>
          <w:lang w:val="en-ZA"/>
        </w:rPr>
        <w:t xml:space="preserve">As stated earlier, the employment contract adduced by </w:t>
      </w:r>
      <w:r w:rsidR="00EC2DE9" w:rsidRPr="00DF4DB5">
        <w:rPr>
          <w:rFonts w:ascii="Arial" w:eastAsiaTheme="minorHAnsi" w:hAnsi="Arial" w:cs="Arial"/>
          <w:sz w:val="24"/>
          <w:szCs w:val="24"/>
          <w:lang w:val="en-ZA"/>
        </w:rPr>
        <w:t xml:space="preserve">Mr Nqeketho </w:t>
      </w:r>
      <w:r w:rsidR="009C3FD1" w:rsidRPr="00DF4DB5">
        <w:rPr>
          <w:rFonts w:ascii="Arial" w:eastAsiaTheme="minorHAnsi" w:hAnsi="Arial" w:cs="Arial"/>
          <w:sz w:val="24"/>
          <w:szCs w:val="24"/>
          <w:lang w:val="en-ZA"/>
        </w:rPr>
        <w:t xml:space="preserve">does not contain any reference or entitlement to </w:t>
      </w:r>
      <w:r w:rsidR="008311DE" w:rsidRPr="00DF4DB5">
        <w:rPr>
          <w:rFonts w:ascii="Arial" w:eastAsiaTheme="minorHAnsi" w:hAnsi="Arial" w:cs="Arial"/>
          <w:sz w:val="24"/>
          <w:szCs w:val="24"/>
          <w:lang w:val="en-ZA"/>
        </w:rPr>
        <w:t xml:space="preserve">a </w:t>
      </w:r>
      <w:r w:rsidR="009C3FD1" w:rsidRPr="00DF4DB5">
        <w:rPr>
          <w:rFonts w:ascii="Arial" w:eastAsiaTheme="minorHAnsi" w:hAnsi="Arial" w:cs="Arial"/>
          <w:sz w:val="24"/>
          <w:szCs w:val="24"/>
          <w:lang w:val="en-ZA"/>
        </w:rPr>
        <w:t xml:space="preserve">notch increment. </w:t>
      </w:r>
      <w:r w:rsidR="00EC2DE9" w:rsidRPr="00DF4DB5">
        <w:rPr>
          <w:rFonts w:ascii="Arial" w:eastAsia="MS Mincho" w:hAnsi="Arial" w:cs="Arial"/>
          <w:bCs/>
          <w:sz w:val="24"/>
          <w:szCs w:val="24"/>
          <w:lang w:val="en-ZA" w:eastAsia="en-ZA"/>
        </w:rPr>
        <w:t xml:space="preserve">Mr Ngcangula </w:t>
      </w:r>
      <w:r w:rsidR="009C3FD1" w:rsidRPr="00DF4DB5">
        <w:rPr>
          <w:rFonts w:ascii="Arial" w:eastAsiaTheme="minorHAnsi" w:hAnsi="Arial" w:cs="Arial"/>
          <w:sz w:val="24"/>
          <w:szCs w:val="24"/>
          <w:lang w:val="en-ZA"/>
        </w:rPr>
        <w:t>did not adduce his contract of employment as part of his papers</w:t>
      </w:r>
      <w:r w:rsidR="008311DE" w:rsidRPr="00DF4DB5">
        <w:rPr>
          <w:rFonts w:ascii="Arial" w:eastAsiaTheme="minorHAnsi" w:hAnsi="Arial" w:cs="Arial"/>
          <w:sz w:val="24"/>
          <w:szCs w:val="24"/>
          <w:lang w:val="en-ZA"/>
        </w:rPr>
        <w:t xml:space="preserve">. His </w:t>
      </w:r>
      <w:r w:rsidR="009C3FD1" w:rsidRPr="00DF4DB5">
        <w:rPr>
          <w:rFonts w:ascii="Arial" w:eastAsiaTheme="minorHAnsi" w:hAnsi="Arial" w:cs="Arial"/>
          <w:sz w:val="24"/>
          <w:szCs w:val="24"/>
          <w:lang w:val="en-ZA"/>
        </w:rPr>
        <w:t>founding affidavit is silent regarding the notch incre</w:t>
      </w:r>
      <w:r w:rsidR="008311DE" w:rsidRPr="00DF4DB5">
        <w:rPr>
          <w:rFonts w:ascii="Arial" w:eastAsiaTheme="minorHAnsi" w:hAnsi="Arial" w:cs="Arial"/>
          <w:sz w:val="24"/>
          <w:szCs w:val="24"/>
          <w:lang w:val="en-ZA"/>
        </w:rPr>
        <w:t xml:space="preserve">ment </w:t>
      </w:r>
      <w:r w:rsidR="009C3FD1" w:rsidRPr="00DF4DB5">
        <w:rPr>
          <w:rFonts w:ascii="Arial" w:eastAsiaTheme="minorHAnsi" w:hAnsi="Arial" w:cs="Arial"/>
          <w:sz w:val="24"/>
          <w:szCs w:val="24"/>
          <w:lang w:val="en-ZA"/>
        </w:rPr>
        <w:t>being a term of his contract of employment.</w:t>
      </w:r>
      <w:r w:rsidR="009F1987" w:rsidRPr="00DF4DB5">
        <w:rPr>
          <w:rFonts w:ascii="Arial" w:eastAsiaTheme="minorHAnsi" w:hAnsi="Arial" w:cs="Arial"/>
          <w:sz w:val="24"/>
          <w:szCs w:val="24"/>
          <w:lang w:val="en-ZA"/>
        </w:rPr>
        <w:t xml:space="preserve"> </w:t>
      </w:r>
      <w:r w:rsidR="00F348CB" w:rsidRPr="00DF4DB5">
        <w:rPr>
          <w:rFonts w:ascii="Arial" w:eastAsiaTheme="minorHAnsi" w:hAnsi="Arial" w:cs="Arial"/>
          <w:sz w:val="24"/>
          <w:szCs w:val="24"/>
          <w:lang w:val="en-ZA"/>
        </w:rPr>
        <w:t xml:space="preserve">If the increment formed a component of </w:t>
      </w:r>
      <w:r w:rsidR="008311DE" w:rsidRPr="00DF4DB5">
        <w:rPr>
          <w:rFonts w:ascii="Arial" w:eastAsiaTheme="minorHAnsi" w:hAnsi="Arial" w:cs="Arial"/>
          <w:sz w:val="24"/>
          <w:szCs w:val="24"/>
          <w:lang w:val="en-ZA"/>
        </w:rPr>
        <w:t xml:space="preserve">either of </w:t>
      </w:r>
      <w:r w:rsidR="00F348CB" w:rsidRPr="00DF4DB5">
        <w:rPr>
          <w:rFonts w:ascii="Arial" w:eastAsiaTheme="minorHAnsi" w:hAnsi="Arial" w:cs="Arial"/>
          <w:sz w:val="24"/>
          <w:szCs w:val="24"/>
          <w:lang w:val="en-ZA"/>
        </w:rPr>
        <w:t>their contracts of employment, such terms should have been pleaded in the respondents</w:t>
      </w:r>
      <w:r w:rsidR="009F1987" w:rsidRPr="00DF4DB5">
        <w:rPr>
          <w:rFonts w:ascii="Arial" w:eastAsiaTheme="minorHAnsi" w:hAnsi="Arial" w:cs="Arial"/>
          <w:sz w:val="24"/>
          <w:szCs w:val="24"/>
          <w:lang w:val="en-ZA"/>
        </w:rPr>
        <w:t>’</w:t>
      </w:r>
      <w:r w:rsidR="00F348CB" w:rsidRPr="00DF4DB5">
        <w:rPr>
          <w:rFonts w:ascii="Arial" w:eastAsiaTheme="minorHAnsi" w:hAnsi="Arial" w:cs="Arial"/>
          <w:sz w:val="24"/>
          <w:szCs w:val="24"/>
          <w:lang w:val="en-ZA"/>
        </w:rPr>
        <w:t xml:space="preserve"> founding affidavits, a</w:t>
      </w:r>
      <w:r w:rsidR="008311DE" w:rsidRPr="00DF4DB5">
        <w:rPr>
          <w:rFonts w:ascii="Arial" w:eastAsiaTheme="minorHAnsi" w:hAnsi="Arial" w:cs="Arial"/>
          <w:sz w:val="24"/>
          <w:szCs w:val="24"/>
          <w:lang w:val="en-ZA"/>
        </w:rPr>
        <w:t xml:space="preserve">lternatively should have been </w:t>
      </w:r>
      <w:r w:rsidR="009F1987" w:rsidRPr="00DF4DB5">
        <w:rPr>
          <w:rFonts w:ascii="Arial" w:eastAsiaTheme="minorHAnsi" w:hAnsi="Arial" w:cs="Arial"/>
          <w:sz w:val="24"/>
          <w:szCs w:val="24"/>
          <w:lang w:val="en-ZA"/>
        </w:rPr>
        <w:br/>
      </w:r>
      <w:r w:rsidR="008311DE" w:rsidRPr="00DF4DB5">
        <w:rPr>
          <w:rFonts w:ascii="Arial" w:eastAsiaTheme="minorHAnsi" w:hAnsi="Arial" w:cs="Arial"/>
          <w:sz w:val="24"/>
          <w:szCs w:val="24"/>
          <w:lang w:val="en-ZA"/>
        </w:rPr>
        <w:t>s</w:t>
      </w:r>
      <w:r w:rsidR="00F348CB" w:rsidRPr="00DF4DB5">
        <w:rPr>
          <w:rFonts w:ascii="Arial" w:eastAsiaTheme="minorHAnsi" w:hAnsi="Arial" w:cs="Arial"/>
          <w:sz w:val="24"/>
          <w:szCs w:val="24"/>
          <w:lang w:val="en-ZA"/>
        </w:rPr>
        <w:t>e</w:t>
      </w:r>
      <w:r w:rsidR="008311DE" w:rsidRPr="00DF4DB5">
        <w:rPr>
          <w:rFonts w:ascii="Arial" w:eastAsiaTheme="minorHAnsi" w:hAnsi="Arial" w:cs="Arial"/>
          <w:sz w:val="24"/>
          <w:szCs w:val="24"/>
          <w:lang w:val="en-ZA"/>
        </w:rPr>
        <w:t>l</w:t>
      </w:r>
      <w:r w:rsidR="00EC2DE9" w:rsidRPr="00DF4DB5">
        <w:rPr>
          <w:rFonts w:ascii="Arial" w:eastAsiaTheme="minorHAnsi" w:hAnsi="Arial" w:cs="Arial"/>
          <w:sz w:val="24"/>
          <w:szCs w:val="24"/>
          <w:lang w:val="en-ZA"/>
        </w:rPr>
        <w:t>f-</w:t>
      </w:r>
      <w:r w:rsidR="00F348CB" w:rsidRPr="00DF4DB5">
        <w:rPr>
          <w:rFonts w:ascii="Arial" w:eastAsiaTheme="minorHAnsi" w:hAnsi="Arial" w:cs="Arial"/>
          <w:sz w:val="24"/>
          <w:szCs w:val="24"/>
          <w:lang w:val="en-ZA"/>
        </w:rPr>
        <w:t xml:space="preserve">evident from a perusal of their contracts. </w:t>
      </w:r>
      <w:r w:rsidR="008311DE" w:rsidRPr="00DF4DB5">
        <w:rPr>
          <w:rFonts w:ascii="Arial" w:eastAsiaTheme="minorHAnsi" w:hAnsi="Arial" w:cs="Arial"/>
          <w:sz w:val="24"/>
          <w:szCs w:val="24"/>
          <w:lang w:val="en-ZA"/>
        </w:rPr>
        <w:t>On both fronts the respondents fail to overcome this hurdle.</w:t>
      </w:r>
    </w:p>
    <w:p w14:paraId="18E39842" w14:textId="77777777" w:rsidR="008311DE" w:rsidRPr="00DF4DB5" w:rsidRDefault="008311DE" w:rsidP="00251063">
      <w:pPr>
        <w:autoSpaceDE w:val="0"/>
        <w:autoSpaceDN w:val="0"/>
        <w:adjustRightInd w:val="0"/>
        <w:spacing w:after="0" w:line="360" w:lineRule="auto"/>
        <w:jc w:val="both"/>
        <w:rPr>
          <w:rFonts w:ascii="Arial" w:eastAsiaTheme="minorHAnsi" w:hAnsi="Arial" w:cs="Arial"/>
          <w:sz w:val="24"/>
          <w:szCs w:val="24"/>
          <w:lang w:val="en-ZA"/>
        </w:rPr>
      </w:pPr>
    </w:p>
    <w:p w14:paraId="162A72DC" w14:textId="19756727" w:rsidR="00EC2DE9" w:rsidRPr="00DF4DB5" w:rsidRDefault="008311DE" w:rsidP="00251063">
      <w:pPr>
        <w:autoSpaceDE w:val="0"/>
        <w:autoSpaceDN w:val="0"/>
        <w:adjustRightInd w:val="0"/>
        <w:spacing w:after="0" w:line="360" w:lineRule="auto"/>
        <w:jc w:val="both"/>
        <w:rPr>
          <w:rFonts w:ascii="Arial" w:eastAsia="MS Mincho" w:hAnsi="Arial" w:cs="Arial"/>
          <w:bCs/>
          <w:sz w:val="24"/>
          <w:szCs w:val="24"/>
          <w:lang w:val="en-ZA" w:eastAsia="en-ZA"/>
        </w:rPr>
      </w:pPr>
      <w:r w:rsidRPr="00DF4DB5">
        <w:rPr>
          <w:rFonts w:ascii="Arial" w:eastAsiaTheme="minorHAnsi" w:hAnsi="Arial" w:cs="Arial"/>
          <w:sz w:val="24"/>
          <w:szCs w:val="24"/>
          <w:lang w:val="en-ZA"/>
        </w:rPr>
        <w:t>[</w:t>
      </w:r>
      <w:r w:rsidR="007918FE" w:rsidRPr="00DF4DB5">
        <w:rPr>
          <w:rFonts w:ascii="Arial" w:eastAsiaTheme="minorHAnsi" w:hAnsi="Arial" w:cs="Arial"/>
          <w:sz w:val="24"/>
          <w:szCs w:val="24"/>
          <w:lang w:val="en-ZA"/>
        </w:rPr>
        <w:t>28</w:t>
      </w:r>
      <w:r w:rsidRPr="00DF4DB5">
        <w:rPr>
          <w:rFonts w:ascii="Arial" w:eastAsiaTheme="minorHAnsi" w:hAnsi="Arial" w:cs="Arial"/>
          <w:sz w:val="24"/>
          <w:szCs w:val="24"/>
          <w:lang w:val="en-ZA"/>
        </w:rPr>
        <w:t>]</w:t>
      </w:r>
      <w:r w:rsidRPr="00DF4DB5">
        <w:rPr>
          <w:rFonts w:ascii="Arial" w:eastAsiaTheme="minorHAnsi" w:hAnsi="Arial" w:cs="Arial"/>
          <w:sz w:val="24"/>
          <w:szCs w:val="24"/>
          <w:lang w:val="en-ZA"/>
        </w:rPr>
        <w:tab/>
      </w:r>
      <w:r w:rsidR="00F348CB" w:rsidRPr="00DF4DB5">
        <w:rPr>
          <w:rFonts w:ascii="Arial" w:eastAsiaTheme="minorHAnsi" w:hAnsi="Arial" w:cs="Arial"/>
          <w:sz w:val="24"/>
          <w:szCs w:val="24"/>
          <w:lang w:val="en-ZA"/>
        </w:rPr>
        <w:t xml:space="preserve"> </w:t>
      </w:r>
      <w:r w:rsidRPr="00DF4DB5">
        <w:rPr>
          <w:rFonts w:ascii="Arial" w:eastAsiaTheme="minorHAnsi" w:hAnsi="Arial" w:cs="Arial"/>
          <w:sz w:val="24"/>
          <w:szCs w:val="24"/>
          <w:lang w:val="en-ZA"/>
        </w:rPr>
        <w:t xml:space="preserve">On </w:t>
      </w:r>
      <w:r w:rsidR="00EC2DE9" w:rsidRPr="00DF4DB5">
        <w:rPr>
          <w:rFonts w:ascii="Arial" w:eastAsia="MS Mincho" w:hAnsi="Arial" w:cs="Arial"/>
          <w:bCs/>
          <w:sz w:val="24"/>
          <w:szCs w:val="24"/>
          <w:lang w:val="en-ZA" w:eastAsia="en-ZA"/>
        </w:rPr>
        <w:t xml:space="preserve">Mr Ngcangula’s </w:t>
      </w:r>
      <w:r w:rsidRPr="00DF4DB5">
        <w:rPr>
          <w:rFonts w:ascii="Arial" w:eastAsiaTheme="minorHAnsi" w:hAnsi="Arial" w:cs="Arial"/>
          <w:sz w:val="24"/>
          <w:szCs w:val="24"/>
          <w:lang w:val="en-ZA"/>
        </w:rPr>
        <w:t xml:space="preserve">own version he attached a letter to his founding affidavit from the SALGBC dated 20 February 2019 </w:t>
      </w:r>
      <w:r w:rsidR="00EC2DE9" w:rsidRPr="00DF4DB5">
        <w:rPr>
          <w:rFonts w:ascii="Arial" w:eastAsiaTheme="minorHAnsi" w:hAnsi="Arial" w:cs="Arial"/>
          <w:sz w:val="24"/>
          <w:szCs w:val="24"/>
          <w:lang w:val="en-ZA"/>
        </w:rPr>
        <w:t xml:space="preserve">which states </w:t>
      </w:r>
      <w:r w:rsidRPr="00DF4DB5">
        <w:rPr>
          <w:rFonts w:ascii="Arial" w:eastAsiaTheme="minorHAnsi" w:hAnsi="Arial" w:cs="Arial"/>
          <w:sz w:val="24"/>
          <w:szCs w:val="24"/>
          <w:lang w:val="en-ZA"/>
        </w:rPr>
        <w:t>that the notch increase would apply ‘</w:t>
      </w:r>
      <w:r w:rsidRPr="00DF4DB5">
        <w:rPr>
          <w:rFonts w:ascii="Arial" w:eastAsiaTheme="minorHAnsi" w:hAnsi="Arial" w:cs="Arial"/>
          <w:i/>
          <w:sz w:val="24"/>
          <w:szCs w:val="24"/>
          <w:lang w:val="en-ZA"/>
        </w:rPr>
        <w:t xml:space="preserve">to employees who have been placed on salary scales (in terms of the erstwhile Industrial Council) and who have </w:t>
      </w:r>
      <w:r w:rsidRPr="00DF4DB5">
        <w:rPr>
          <w:rFonts w:ascii="Arial" w:eastAsiaTheme="minorHAnsi" w:hAnsi="Arial" w:cs="Arial"/>
          <w:sz w:val="24"/>
          <w:szCs w:val="24"/>
          <w:lang w:val="en-ZA"/>
        </w:rPr>
        <w:t>not yet</w:t>
      </w:r>
      <w:r w:rsidRPr="00DF4DB5">
        <w:rPr>
          <w:rFonts w:ascii="Arial" w:eastAsiaTheme="minorHAnsi" w:hAnsi="Arial" w:cs="Arial"/>
          <w:i/>
          <w:sz w:val="24"/>
          <w:szCs w:val="24"/>
          <w:lang w:val="en-ZA"/>
        </w:rPr>
        <w:t xml:space="preserve"> reached the top of the said salary scales</w:t>
      </w:r>
      <w:r w:rsidRPr="00DF4DB5">
        <w:rPr>
          <w:rFonts w:ascii="Arial" w:eastAsiaTheme="minorHAnsi" w:hAnsi="Arial" w:cs="Arial"/>
          <w:sz w:val="24"/>
          <w:szCs w:val="24"/>
          <w:lang w:val="en-ZA"/>
        </w:rPr>
        <w:t xml:space="preserve">.’ Implicit in this is the recognition that the increment was not to be paid to all employees. </w:t>
      </w:r>
      <w:r w:rsidR="00EC2DE9" w:rsidRPr="00DF4DB5">
        <w:rPr>
          <w:rFonts w:ascii="Arial" w:eastAsiaTheme="minorHAnsi" w:hAnsi="Arial" w:cs="Arial"/>
          <w:sz w:val="24"/>
          <w:szCs w:val="24"/>
          <w:lang w:val="en-ZA"/>
        </w:rPr>
        <w:t>Apart from the absence of the notch being a term of their contracts of employment, t</w:t>
      </w:r>
      <w:r w:rsidRPr="00DF4DB5">
        <w:rPr>
          <w:rFonts w:ascii="Arial" w:eastAsiaTheme="minorHAnsi" w:hAnsi="Arial" w:cs="Arial"/>
          <w:sz w:val="24"/>
          <w:szCs w:val="24"/>
          <w:lang w:val="en-ZA"/>
        </w:rPr>
        <w:t xml:space="preserve">here is no averment from either of the respondents that they qualified for the notch increment or otherwise met the criteria to benefit under the resolution </w:t>
      </w:r>
      <w:r w:rsidRPr="00DF4DB5">
        <w:rPr>
          <w:rFonts w:ascii="Arial" w:eastAsia="MS Mincho" w:hAnsi="Arial" w:cs="Arial"/>
          <w:bCs/>
          <w:sz w:val="24"/>
          <w:szCs w:val="24"/>
          <w:lang w:val="en-ZA" w:eastAsia="en-ZA"/>
        </w:rPr>
        <w:t>No. 01-18/19 of 25 March 2019.</w:t>
      </w:r>
      <w:r w:rsidR="009F1987" w:rsidRPr="00DF4DB5">
        <w:rPr>
          <w:rFonts w:ascii="Arial" w:eastAsia="MS Mincho" w:hAnsi="Arial" w:cs="Arial"/>
          <w:bCs/>
          <w:sz w:val="24"/>
          <w:szCs w:val="24"/>
          <w:lang w:val="en-ZA" w:eastAsia="en-ZA"/>
        </w:rPr>
        <w:t xml:space="preserve"> </w:t>
      </w:r>
      <w:r w:rsidR="00EC2DE9" w:rsidRPr="00DF4DB5">
        <w:rPr>
          <w:rFonts w:ascii="Arial" w:eastAsia="MS Mincho" w:hAnsi="Arial" w:cs="Arial"/>
          <w:bCs/>
          <w:sz w:val="24"/>
          <w:szCs w:val="24"/>
          <w:lang w:val="en-ZA" w:eastAsia="en-ZA"/>
        </w:rPr>
        <w:t xml:space="preserve">To the extent that Mr Ngcangula understood that his entitlement to </w:t>
      </w:r>
      <w:r w:rsidR="00EC2DE9" w:rsidRPr="00DF4DB5">
        <w:rPr>
          <w:rFonts w:ascii="Arial" w:eastAsia="MS Mincho" w:hAnsi="Arial" w:cs="Arial"/>
          <w:bCs/>
          <w:sz w:val="24"/>
          <w:szCs w:val="24"/>
          <w:lang w:val="en-ZA" w:eastAsia="en-ZA"/>
        </w:rPr>
        <w:lastRenderedPageBreak/>
        <w:t xml:space="preserve">the 2.5% increment stemmed from an agreement concluded in the SALGBC, this is </w:t>
      </w:r>
      <w:r w:rsidR="00F93A93" w:rsidRPr="00DF4DB5">
        <w:rPr>
          <w:rFonts w:ascii="Arial" w:eastAsia="MS Mincho" w:hAnsi="Arial" w:cs="Arial"/>
          <w:bCs/>
          <w:sz w:val="24"/>
          <w:szCs w:val="24"/>
          <w:lang w:val="en-ZA" w:eastAsia="en-ZA"/>
        </w:rPr>
        <w:t xml:space="preserve">contrary to </w:t>
      </w:r>
      <w:r w:rsidR="00EC2DE9" w:rsidRPr="00DF4DB5">
        <w:rPr>
          <w:rFonts w:ascii="Arial" w:eastAsia="MS Mincho" w:hAnsi="Arial" w:cs="Arial"/>
          <w:bCs/>
          <w:sz w:val="24"/>
          <w:szCs w:val="24"/>
          <w:lang w:val="en-ZA" w:eastAsia="en-ZA"/>
        </w:rPr>
        <w:t>the condition</w:t>
      </w:r>
      <w:r w:rsidR="00BF472F" w:rsidRPr="00DF4DB5">
        <w:rPr>
          <w:rFonts w:ascii="Arial" w:eastAsia="MS Mincho" w:hAnsi="Arial" w:cs="Arial"/>
          <w:bCs/>
          <w:sz w:val="24"/>
          <w:szCs w:val="24"/>
          <w:lang w:val="en-ZA" w:eastAsia="en-ZA"/>
        </w:rPr>
        <w:t xml:space="preserve">al wording in the Circular from </w:t>
      </w:r>
      <w:r w:rsidR="00B87824" w:rsidRPr="00DF4DB5">
        <w:rPr>
          <w:rFonts w:ascii="Arial" w:eastAsia="MS Mincho" w:hAnsi="Arial" w:cs="Arial"/>
          <w:bCs/>
          <w:sz w:val="24"/>
          <w:szCs w:val="24"/>
          <w:lang w:val="en-ZA" w:eastAsia="en-ZA"/>
        </w:rPr>
        <w:t xml:space="preserve">the </w:t>
      </w:r>
      <w:r w:rsidR="00BF472F" w:rsidRPr="00DF4DB5">
        <w:rPr>
          <w:rFonts w:ascii="Arial" w:eastAsia="MS Mincho" w:hAnsi="Arial" w:cs="Arial"/>
          <w:bCs/>
          <w:sz w:val="24"/>
          <w:szCs w:val="24"/>
          <w:lang w:val="en-ZA" w:eastAsia="en-ZA"/>
        </w:rPr>
        <w:t xml:space="preserve">SALGBC dated 20 February 2019. </w:t>
      </w:r>
    </w:p>
    <w:p w14:paraId="018892FE" w14:textId="77777777" w:rsidR="00BF472F" w:rsidRPr="00DF4DB5" w:rsidRDefault="00BF472F" w:rsidP="00251063">
      <w:pPr>
        <w:autoSpaceDE w:val="0"/>
        <w:autoSpaceDN w:val="0"/>
        <w:adjustRightInd w:val="0"/>
        <w:spacing w:after="0" w:line="360" w:lineRule="auto"/>
        <w:jc w:val="both"/>
        <w:rPr>
          <w:rFonts w:ascii="Arial" w:eastAsia="MS Mincho" w:hAnsi="Arial" w:cs="Arial"/>
          <w:bCs/>
          <w:sz w:val="24"/>
          <w:szCs w:val="24"/>
          <w:lang w:val="en-ZA" w:eastAsia="en-ZA"/>
        </w:rPr>
      </w:pPr>
    </w:p>
    <w:p w14:paraId="75851B9D" w14:textId="683B1322" w:rsidR="00EC2DE9" w:rsidRPr="00DF4DB5" w:rsidRDefault="007918FE" w:rsidP="00BF472F">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MS Mincho" w:hAnsi="Arial" w:cs="Arial"/>
          <w:bCs/>
          <w:sz w:val="24"/>
          <w:szCs w:val="24"/>
          <w:lang w:val="en-ZA" w:eastAsia="en-ZA"/>
        </w:rPr>
        <w:t>[29</w:t>
      </w:r>
      <w:r w:rsidR="00BF472F" w:rsidRPr="00DF4DB5">
        <w:rPr>
          <w:rFonts w:ascii="Arial" w:eastAsia="MS Mincho" w:hAnsi="Arial" w:cs="Arial"/>
          <w:bCs/>
          <w:sz w:val="24"/>
          <w:szCs w:val="24"/>
          <w:lang w:val="en-ZA" w:eastAsia="en-ZA"/>
        </w:rPr>
        <w:t>]</w:t>
      </w:r>
      <w:r w:rsidR="00BF472F" w:rsidRPr="00DF4DB5">
        <w:rPr>
          <w:rFonts w:ascii="Arial" w:eastAsia="MS Mincho" w:hAnsi="Arial" w:cs="Arial"/>
          <w:bCs/>
          <w:sz w:val="24"/>
          <w:szCs w:val="24"/>
          <w:lang w:val="en-ZA" w:eastAsia="en-ZA"/>
        </w:rPr>
        <w:tab/>
      </w:r>
      <w:r w:rsidR="00BF472F" w:rsidRPr="00DF4DB5">
        <w:rPr>
          <w:rFonts w:ascii="Arial" w:eastAsiaTheme="minorHAnsi" w:hAnsi="Arial" w:cs="Arial"/>
          <w:sz w:val="24"/>
          <w:szCs w:val="24"/>
          <w:lang w:val="en-ZA"/>
        </w:rPr>
        <w:t>Once the municipality ascertained that it had mistakenly paid all employees the 2.5% increment instead of only those who qualified for the increment, it set about to recover such monies to reverse the illegality. It passed Resolution No. 01-18/19 on 25 March 2019 authorising it to take measures to recover amounts paid to employees who did not qualify for the notch increment. Mr</w:t>
      </w:r>
      <w:r w:rsidR="00BF472F" w:rsidRPr="00DF4DB5">
        <w:rPr>
          <w:rFonts w:ascii="Arial" w:eastAsia="MS Mincho" w:hAnsi="Arial" w:cs="Arial"/>
          <w:bCs/>
          <w:sz w:val="24"/>
          <w:szCs w:val="24"/>
          <w:lang w:val="en-ZA" w:eastAsia="en-ZA"/>
        </w:rPr>
        <w:t xml:space="preserve"> Ngcangula and </w:t>
      </w:r>
      <w:r w:rsidR="00BF472F" w:rsidRPr="00DF4DB5">
        <w:rPr>
          <w:rFonts w:ascii="Arial" w:eastAsiaTheme="minorHAnsi" w:hAnsi="Arial" w:cs="Arial"/>
          <w:sz w:val="24"/>
          <w:szCs w:val="24"/>
          <w:lang w:val="en-ZA"/>
        </w:rPr>
        <w:t xml:space="preserve">Mr Nqeketho fell within this category of employees. No </w:t>
      </w:r>
      <w:r w:rsidR="00AE3257">
        <w:rPr>
          <w:rFonts w:ascii="Arial" w:eastAsiaTheme="minorHAnsi" w:hAnsi="Arial" w:cs="Arial"/>
          <w:sz w:val="24"/>
          <w:szCs w:val="24"/>
          <w:lang w:val="en-ZA"/>
        </w:rPr>
        <w:t xml:space="preserve">challenge </w:t>
      </w:r>
      <w:r w:rsidR="00BF472F" w:rsidRPr="00DF4DB5">
        <w:rPr>
          <w:rFonts w:ascii="Arial" w:eastAsiaTheme="minorHAnsi" w:hAnsi="Arial" w:cs="Arial"/>
          <w:sz w:val="24"/>
          <w:szCs w:val="24"/>
          <w:lang w:val="en-ZA"/>
        </w:rPr>
        <w:t>was mounted by the respondents against the lawfulness of the resolution directing the municipality to take steps to recover monies improperly paid to employees or to them specifically.</w:t>
      </w:r>
    </w:p>
    <w:p w14:paraId="2819C5B1" w14:textId="77777777" w:rsidR="000B01A4" w:rsidRPr="00DF4DB5" w:rsidRDefault="000B01A4" w:rsidP="00BF472F">
      <w:pPr>
        <w:autoSpaceDE w:val="0"/>
        <w:autoSpaceDN w:val="0"/>
        <w:adjustRightInd w:val="0"/>
        <w:spacing w:after="0" w:line="360" w:lineRule="auto"/>
        <w:jc w:val="both"/>
        <w:rPr>
          <w:rFonts w:ascii="Arial" w:eastAsiaTheme="minorHAnsi" w:hAnsi="Arial" w:cs="Arial"/>
          <w:sz w:val="24"/>
          <w:szCs w:val="24"/>
          <w:lang w:val="en-ZA"/>
        </w:rPr>
      </w:pPr>
    </w:p>
    <w:p w14:paraId="2FBE0EFF" w14:textId="53B376DA" w:rsidR="000B01A4" w:rsidRPr="00DF4DB5" w:rsidRDefault="000B01A4" w:rsidP="00E24CE1">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Theme="minorHAnsi" w:hAnsi="Arial" w:cs="Arial"/>
          <w:sz w:val="24"/>
          <w:szCs w:val="24"/>
          <w:lang w:val="en-ZA"/>
        </w:rPr>
        <w:t>[3</w:t>
      </w:r>
      <w:r w:rsidR="007918FE" w:rsidRPr="00DF4DB5">
        <w:rPr>
          <w:rFonts w:ascii="Arial" w:eastAsiaTheme="minorHAnsi" w:hAnsi="Arial" w:cs="Arial"/>
          <w:sz w:val="24"/>
          <w:szCs w:val="24"/>
          <w:lang w:val="en-ZA"/>
        </w:rPr>
        <w:t>0</w:t>
      </w:r>
      <w:r w:rsidRPr="00DF4DB5">
        <w:rPr>
          <w:rFonts w:ascii="Arial" w:eastAsiaTheme="minorHAnsi" w:hAnsi="Arial" w:cs="Arial"/>
          <w:sz w:val="24"/>
          <w:szCs w:val="24"/>
          <w:lang w:val="en-ZA"/>
        </w:rPr>
        <w:t>]</w:t>
      </w:r>
      <w:r w:rsidRPr="00DF4DB5">
        <w:rPr>
          <w:rFonts w:ascii="Arial" w:eastAsiaTheme="minorHAnsi" w:hAnsi="Arial" w:cs="Arial"/>
          <w:sz w:val="24"/>
          <w:szCs w:val="24"/>
          <w:lang w:val="en-ZA"/>
        </w:rPr>
        <w:tab/>
        <w:t xml:space="preserve">The high court </w:t>
      </w:r>
      <w:r w:rsidR="00CA069A" w:rsidRPr="00DF4DB5">
        <w:rPr>
          <w:rFonts w:ascii="Arial" w:eastAsiaTheme="minorHAnsi" w:hAnsi="Arial" w:cs="Arial"/>
          <w:sz w:val="24"/>
          <w:szCs w:val="24"/>
          <w:lang w:val="en-ZA"/>
        </w:rPr>
        <w:t xml:space="preserve">erred in </w:t>
      </w:r>
      <w:r w:rsidRPr="00DF4DB5">
        <w:rPr>
          <w:rFonts w:ascii="Arial" w:eastAsiaTheme="minorHAnsi" w:hAnsi="Arial" w:cs="Arial"/>
          <w:sz w:val="24"/>
          <w:szCs w:val="24"/>
          <w:lang w:val="en-ZA"/>
        </w:rPr>
        <w:t>conclud</w:t>
      </w:r>
      <w:r w:rsidR="00DA747C" w:rsidRPr="00DF4DB5">
        <w:rPr>
          <w:rFonts w:ascii="Arial" w:eastAsiaTheme="minorHAnsi" w:hAnsi="Arial" w:cs="Arial"/>
          <w:sz w:val="24"/>
          <w:szCs w:val="24"/>
          <w:lang w:val="en-ZA"/>
        </w:rPr>
        <w:t>ing</w:t>
      </w:r>
      <w:r w:rsidRPr="00DF4DB5">
        <w:rPr>
          <w:rFonts w:ascii="Arial" w:eastAsiaTheme="minorHAnsi" w:hAnsi="Arial" w:cs="Arial"/>
          <w:sz w:val="24"/>
          <w:szCs w:val="24"/>
          <w:lang w:val="en-ZA"/>
        </w:rPr>
        <w:t xml:space="preserve"> that the </w:t>
      </w:r>
      <w:r w:rsidR="009F1987" w:rsidRPr="00DF4DB5">
        <w:rPr>
          <w:rFonts w:ascii="Arial" w:eastAsiaTheme="minorHAnsi" w:hAnsi="Arial" w:cs="Arial"/>
          <w:sz w:val="24"/>
          <w:szCs w:val="24"/>
          <w:lang w:val="en-ZA"/>
        </w:rPr>
        <w:t>‘</w:t>
      </w:r>
      <w:r w:rsidRPr="00DF4DB5">
        <w:rPr>
          <w:rFonts w:ascii="Arial" w:eastAsiaTheme="minorHAnsi" w:hAnsi="Arial" w:cs="Arial"/>
          <w:sz w:val="24"/>
          <w:szCs w:val="24"/>
          <w:lang w:val="en-ZA"/>
        </w:rPr>
        <w:t xml:space="preserve">breaches pleaded by the applicants read together with the evidence show[ed] that [the] 2.5% increment was applied to all employees of the </w:t>
      </w:r>
      <w:r w:rsidR="00FD58BA" w:rsidRPr="00DF4DB5">
        <w:rPr>
          <w:rFonts w:ascii="Arial" w:eastAsiaTheme="minorHAnsi" w:hAnsi="Arial" w:cs="Arial"/>
          <w:sz w:val="24"/>
          <w:szCs w:val="24"/>
          <w:lang w:val="en-ZA"/>
        </w:rPr>
        <w:t>Municipality</w:t>
      </w:r>
      <w:r w:rsidRPr="00DF4DB5">
        <w:rPr>
          <w:rFonts w:ascii="Arial" w:eastAsiaTheme="minorHAnsi" w:hAnsi="Arial" w:cs="Arial"/>
          <w:sz w:val="24"/>
          <w:szCs w:val="24"/>
          <w:lang w:val="en-ZA"/>
        </w:rPr>
        <w:t xml:space="preserve"> and actually paid the increased </w:t>
      </w:r>
      <w:r w:rsidR="00FD58BA" w:rsidRPr="00DF4DB5">
        <w:rPr>
          <w:rFonts w:ascii="Arial" w:eastAsiaTheme="minorHAnsi" w:hAnsi="Arial" w:cs="Arial"/>
          <w:sz w:val="24"/>
          <w:szCs w:val="24"/>
          <w:lang w:val="en-ZA"/>
        </w:rPr>
        <w:t>nomination</w:t>
      </w:r>
      <w:r w:rsidRPr="00DF4DB5">
        <w:rPr>
          <w:rFonts w:ascii="Arial" w:eastAsiaTheme="minorHAnsi" w:hAnsi="Arial" w:cs="Arial"/>
          <w:sz w:val="24"/>
          <w:szCs w:val="24"/>
          <w:lang w:val="en-ZA"/>
        </w:rPr>
        <w:t xml:space="preserve"> over a period </w:t>
      </w:r>
      <w:r w:rsidR="00FD58BA" w:rsidRPr="00DF4DB5">
        <w:rPr>
          <w:rFonts w:ascii="Arial" w:eastAsiaTheme="minorHAnsi" w:hAnsi="Arial" w:cs="Arial"/>
          <w:sz w:val="24"/>
          <w:szCs w:val="24"/>
          <w:lang w:val="en-ZA"/>
        </w:rPr>
        <w:t>of</w:t>
      </w:r>
      <w:r w:rsidRPr="00DF4DB5">
        <w:rPr>
          <w:rFonts w:ascii="Arial" w:eastAsiaTheme="minorHAnsi" w:hAnsi="Arial" w:cs="Arial"/>
          <w:sz w:val="24"/>
          <w:szCs w:val="24"/>
          <w:lang w:val="en-ZA"/>
        </w:rPr>
        <w:t xml:space="preserve"> </w:t>
      </w:r>
      <w:r w:rsidR="00FD58BA" w:rsidRPr="00DF4DB5">
        <w:rPr>
          <w:rFonts w:ascii="Arial" w:eastAsiaTheme="minorHAnsi" w:hAnsi="Arial" w:cs="Arial"/>
          <w:sz w:val="24"/>
          <w:szCs w:val="24"/>
          <w:lang w:val="en-ZA"/>
        </w:rPr>
        <w:t>time</w:t>
      </w:r>
      <w:r w:rsidRPr="00DF4DB5">
        <w:rPr>
          <w:rFonts w:ascii="Arial" w:eastAsiaTheme="minorHAnsi" w:hAnsi="Arial" w:cs="Arial"/>
          <w:sz w:val="24"/>
          <w:szCs w:val="24"/>
          <w:lang w:val="en-ZA"/>
        </w:rPr>
        <w:t xml:space="preserve"> </w:t>
      </w:r>
      <w:r w:rsidR="009F1987" w:rsidRPr="00DF4DB5">
        <w:rPr>
          <w:rFonts w:ascii="Arial" w:eastAsiaTheme="minorHAnsi" w:hAnsi="Arial" w:cs="Arial"/>
          <w:sz w:val="24"/>
          <w:szCs w:val="24"/>
          <w:lang w:val="en-ZA"/>
        </w:rPr>
        <w:t xml:space="preserve">. . . </w:t>
      </w:r>
      <w:r w:rsidRPr="00DF4DB5">
        <w:rPr>
          <w:rFonts w:ascii="Arial" w:eastAsiaTheme="minorHAnsi" w:hAnsi="Arial" w:cs="Arial"/>
          <w:sz w:val="24"/>
          <w:szCs w:val="24"/>
          <w:lang w:val="en-ZA"/>
        </w:rPr>
        <w:t>amounts to the acceptance by conduct on the part of the Municipality that payments were lawful</w:t>
      </w:r>
      <w:r w:rsidR="009F1987" w:rsidRPr="00DF4DB5">
        <w:rPr>
          <w:rFonts w:ascii="Arial" w:eastAsiaTheme="minorHAnsi" w:hAnsi="Arial" w:cs="Arial"/>
          <w:sz w:val="24"/>
          <w:szCs w:val="24"/>
          <w:lang w:val="en-ZA"/>
        </w:rPr>
        <w:t>’</w:t>
      </w:r>
      <w:r w:rsidRPr="00DF4DB5">
        <w:rPr>
          <w:rFonts w:ascii="Arial" w:eastAsiaTheme="minorHAnsi" w:hAnsi="Arial" w:cs="Arial"/>
          <w:sz w:val="24"/>
          <w:szCs w:val="24"/>
          <w:lang w:val="en-ZA"/>
        </w:rPr>
        <w:t xml:space="preserve">. Firstly, the </w:t>
      </w:r>
      <w:r w:rsidR="009F1987" w:rsidRPr="00DF4DB5">
        <w:rPr>
          <w:rFonts w:ascii="Arial" w:eastAsiaTheme="minorHAnsi" w:hAnsi="Arial" w:cs="Arial"/>
          <w:sz w:val="24"/>
          <w:szCs w:val="24"/>
          <w:lang w:val="en-ZA"/>
        </w:rPr>
        <w:t>‘</w:t>
      </w:r>
      <w:r w:rsidRPr="00DF4DB5">
        <w:rPr>
          <w:rFonts w:ascii="Arial" w:eastAsiaTheme="minorHAnsi" w:hAnsi="Arial" w:cs="Arial"/>
          <w:sz w:val="24"/>
          <w:szCs w:val="24"/>
          <w:lang w:val="en-ZA"/>
        </w:rPr>
        <w:t>evidence</w:t>
      </w:r>
      <w:r w:rsidR="009F1987" w:rsidRPr="00DF4DB5">
        <w:rPr>
          <w:rFonts w:ascii="Arial" w:eastAsiaTheme="minorHAnsi" w:hAnsi="Arial" w:cs="Arial"/>
          <w:sz w:val="24"/>
          <w:szCs w:val="24"/>
          <w:lang w:val="en-ZA"/>
        </w:rPr>
        <w:t>’</w:t>
      </w:r>
      <w:r w:rsidRPr="00DF4DB5">
        <w:rPr>
          <w:rFonts w:ascii="Arial" w:eastAsiaTheme="minorHAnsi" w:hAnsi="Arial" w:cs="Arial"/>
          <w:sz w:val="24"/>
          <w:szCs w:val="24"/>
          <w:lang w:val="en-ZA"/>
        </w:rPr>
        <w:t>, even on the documents attached to the founding affidavit of Mr Ngcangula</w:t>
      </w:r>
      <w:r w:rsidR="00E71197" w:rsidRPr="00DF4DB5">
        <w:rPr>
          <w:rFonts w:ascii="Arial" w:eastAsiaTheme="minorHAnsi" w:hAnsi="Arial" w:cs="Arial"/>
          <w:sz w:val="24"/>
          <w:szCs w:val="24"/>
          <w:lang w:val="en-ZA"/>
        </w:rPr>
        <w:t>,</w:t>
      </w:r>
      <w:r w:rsidRPr="00DF4DB5">
        <w:rPr>
          <w:rFonts w:ascii="Arial" w:eastAsiaTheme="minorHAnsi" w:hAnsi="Arial" w:cs="Arial"/>
          <w:sz w:val="24"/>
          <w:szCs w:val="24"/>
          <w:lang w:val="en-ZA"/>
        </w:rPr>
        <w:t xml:space="preserve"> establish that the notch increment was payable only to those employees who met the qualifying criteria.</w:t>
      </w:r>
      <w:r w:rsidR="009F1987" w:rsidRPr="00DF4DB5">
        <w:rPr>
          <w:rFonts w:ascii="Arial" w:eastAsiaTheme="minorHAnsi" w:hAnsi="Arial" w:cs="Arial"/>
          <w:sz w:val="24"/>
          <w:szCs w:val="24"/>
          <w:lang w:val="en-ZA"/>
        </w:rPr>
        <w:t xml:space="preserve"> </w:t>
      </w:r>
      <w:r w:rsidRPr="00DF4DB5">
        <w:rPr>
          <w:rFonts w:ascii="Arial" w:eastAsiaTheme="minorHAnsi" w:hAnsi="Arial" w:cs="Arial"/>
          <w:sz w:val="24"/>
          <w:szCs w:val="24"/>
          <w:lang w:val="en-ZA"/>
        </w:rPr>
        <w:t>The respondents were not in that category.</w:t>
      </w:r>
      <w:r w:rsidR="009F1987" w:rsidRPr="00DF4DB5">
        <w:rPr>
          <w:rFonts w:ascii="Arial" w:eastAsiaTheme="minorHAnsi" w:hAnsi="Arial" w:cs="Arial"/>
          <w:sz w:val="24"/>
          <w:szCs w:val="24"/>
          <w:lang w:val="en-ZA"/>
        </w:rPr>
        <w:t xml:space="preserve"> </w:t>
      </w:r>
      <w:r w:rsidRPr="00DF4DB5">
        <w:rPr>
          <w:rFonts w:ascii="Arial" w:eastAsiaTheme="minorHAnsi" w:hAnsi="Arial" w:cs="Arial"/>
          <w:sz w:val="24"/>
          <w:szCs w:val="24"/>
          <w:lang w:val="en-ZA"/>
        </w:rPr>
        <w:t xml:space="preserve">Secondly, </w:t>
      </w:r>
      <w:r w:rsidR="00CA069A" w:rsidRPr="00DF4DB5">
        <w:rPr>
          <w:rFonts w:ascii="Arial" w:eastAsiaTheme="minorHAnsi" w:hAnsi="Arial" w:cs="Arial"/>
          <w:sz w:val="24"/>
          <w:szCs w:val="24"/>
          <w:lang w:val="en-ZA"/>
        </w:rPr>
        <w:t xml:space="preserve">this conclusion suggests that because the respondents received the notch increment over a </w:t>
      </w:r>
      <w:r w:rsidR="009F1987" w:rsidRPr="00DF4DB5">
        <w:rPr>
          <w:rFonts w:ascii="Arial" w:eastAsiaTheme="minorHAnsi" w:hAnsi="Arial" w:cs="Arial"/>
          <w:sz w:val="24"/>
          <w:szCs w:val="24"/>
          <w:lang w:val="en-ZA"/>
        </w:rPr>
        <w:t>‘</w:t>
      </w:r>
      <w:r w:rsidR="00CA069A" w:rsidRPr="00DF4DB5">
        <w:rPr>
          <w:rFonts w:ascii="Arial" w:eastAsiaTheme="minorHAnsi" w:hAnsi="Arial" w:cs="Arial"/>
          <w:sz w:val="24"/>
          <w:szCs w:val="24"/>
          <w:lang w:val="en-ZA"/>
        </w:rPr>
        <w:t>considerable period of time</w:t>
      </w:r>
      <w:r w:rsidR="009F1987" w:rsidRPr="00DF4DB5">
        <w:rPr>
          <w:rFonts w:ascii="Arial" w:eastAsiaTheme="minorHAnsi" w:hAnsi="Arial" w:cs="Arial"/>
          <w:sz w:val="24"/>
          <w:szCs w:val="24"/>
          <w:lang w:val="en-ZA"/>
        </w:rPr>
        <w:t>’</w:t>
      </w:r>
      <w:r w:rsidR="00CA069A" w:rsidRPr="00DF4DB5">
        <w:rPr>
          <w:rFonts w:ascii="Arial" w:eastAsiaTheme="minorHAnsi" w:hAnsi="Arial" w:cs="Arial"/>
          <w:sz w:val="24"/>
          <w:szCs w:val="24"/>
          <w:lang w:val="en-ZA"/>
        </w:rPr>
        <w:t xml:space="preserve">, this amounted to an ‘acceptance by conduct’. </w:t>
      </w:r>
      <w:r w:rsidR="00E24CE1" w:rsidRPr="00DF4DB5">
        <w:rPr>
          <w:rFonts w:ascii="Arial" w:eastAsiaTheme="minorHAnsi" w:hAnsi="Arial" w:cs="Arial"/>
          <w:sz w:val="24"/>
          <w:szCs w:val="24"/>
          <w:lang w:val="en-ZA"/>
        </w:rPr>
        <w:t xml:space="preserve">Payment made erroneously to the respondents cannot give rise to a contractual entitlement. Moreover, to hold otherwise would effectively </w:t>
      </w:r>
      <w:r w:rsidR="00CA069A" w:rsidRPr="00DF4DB5">
        <w:rPr>
          <w:rFonts w:ascii="Arial" w:eastAsiaTheme="minorHAnsi" w:hAnsi="Arial" w:cs="Arial"/>
          <w:sz w:val="24"/>
          <w:szCs w:val="24"/>
          <w:lang w:val="en-ZA"/>
        </w:rPr>
        <w:t>entrench an illegality</w:t>
      </w:r>
      <w:r w:rsidR="00E24CE1" w:rsidRPr="00DF4DB5">
        <w:rPr>
          <w:rFonts w:ascii="Arial" w:eastAsiaTheme="minorHAnsi" w:hAnsi="Arial" w:cs="Arial"/>
          <w:sz w:val="24"/>
          <w:szCs w:val="24"/>
          <w:lang w:val="en-ZA"/>
        </w:rPr>
        <w:t xml:space="preserve"> and permit the respondents </w:t>
      </w:r>
      <w:r w:rsidRPr="00DF4DB5">
        <w:rPr>
          <w:rFonts w:ascii="Arial" w:eastAsiaTheme="minorHAnsi" w:hAnsi="Arial" w:cs="Arial"/>
          <w:sz w:val="24"/>
          <w:szCs w:val="24"/>
          <w:lang w:val="en-ZA"/>
        </w:rPr>
        <w:t>to enforce continued payment into the future</w:t>
      </w:r>
      <w:r w:rsidR="00E24CE1" w:rsidRPr="00DF4DB5">
        <w:rPr>
          <w:rFonts w:ascii="Arial" w:eastAsiaTheme="minorHAnsi" w:hAnsi="Arial" w:cs="Arial"/>
          <w:sz w:val="24"/>
          <w:szCs w:val="24"/>
          <w:lang w:val="en-ZA"/>
        </w:rPr>
        <w:t>.</w:t>
      </w:r>
      <w:r w:rsidRPr="00DF4DB5">
        <w:rPr>
          <w:rFonts w:ascii="Arial" w:eastAsiaTheme="minorHAnsi" w:hAnsi="Arial" w:cs="Arial"/>
          <w:sz w:val="24"/>
          <w:szCs w:val="24"/>
          <w:lang w:val="en-ZA"/>
        </w:rPr>
        <w:t xml:space="preserve"> </w:t>
      </w:r>
    </w:p>
    <w:p w14:paraId="0F3F0907" w14:textId="0FE31A00" w:rsidR="00CF2181" w:rsidRPr="00DF4DB5" w:rsidRDefault="00DB5255" w:rsidP="00251063">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Theme="minorHAnsi" w:hAnsi="Arial" w:cs="Arial"/>
          <w:sz w:val="24"/>
          <w:szCs w:val="24"/>
          <w:lang w:val="en-ZA"/>
        </w:rPr>
        <w:tab/>
      </w:r>
      <w:r w:rsidR="00D269E0" w:rsidRPr="00DF4DB5">
        <w:rPr>
          <w:rFonts w:ascii="Arial" w:eastAsiaTheme="minorHAnsi" w:hAnsi="Arial" w:cs="Arial"/>
          <w:sz w:val="24"/>
          <w:szCs w:val="24"/>
          <w:lang w:val="en-ZA"/>
        </w:rPr>
        <w:t xml:space="preserve"> </w:t>
      </w:r>
    </w:p>
    <w:p w14:paraId="3233C80D" w14:textId="3D59F92F" w:rsidR="008C440F" w:rsidRPr="00DF4DB5" w:rsidRDefault="00DB5255" w:rsidP="00A36FC0">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Theme="minorHAnsi" w:hAnsi="Arial" w:cs="Arial"/>
          <w:sz w:val="24"/>
          <w:szCs w:val="24"/>
          <w:lang w:val="en-ZA"/>
        </w:rPr>
        <w:t>[3</w:t>
      </w:r>
      <w:r w:rsidR="00971647" w:rsidRPr="00DF4DB5">
        <w:rPr>
          <w:rFonts w:ascii="Arial" w:eastAsiaTheme="minorHAnsi" w:hAnsi="Arial" w:cs="Arial"/>
          <w:sz w:val="24"/>
          <w:szCs w:val="24"/>
          <w:lang w:val="en-ZA"/>
        </w:rPr>
        <w:t>1</w:t>
      </w:r>
      <w:r w:rsidRPr="00DF4DB5">
        <w:rPr>
          <w:rFonts w:ascii="Arial" w:eastAsiaTheme="minorHAnsi" w:hAnsi="Arial" w:cs="Arial"/>
          <w:sz w:val="24"/>
          <w:szCs w:val="24"/>
          <w:lang w:val="en-ZA"/>
        </w:rPr>
        <w:t>]</w:t>
      </w:r>
      <w:r w:rsidRPr="00DF4DB5">
        <w:rPr>
          <w:rFonts w:ascii="Arial" w:eastAsiaTheme="minorHAnsi" w:hAnsi="Arial" w:cs="Arial"/>
          <w:sz w:val="24"/>
          <w:szCs w:val="24"/>
          <w:lang w:val="en-ZA"/>
        </w:rPr>
        <w:tab/>
      </w:r>
      <w:r w:rsidR="00C10D08" w:rsidRPr="00DF4DB5">
        <w:rPr>
          <w:rFonts w:ascii="Arial" w:eastAsiaTheme="minorHAnsi" w:hAnsi="Arial" w:cs="Arial"/>
          <w:sz w:val="24"/>
          <w:szCs w:val="24"/>
          <w:lang w:val="en-ZA"/>
        </w:rPr>
        <w:t xml:space="preserve">Prior to </w:t>
      </w:r>
      <w:r w:rsidR="00574A99" w:rsidRPr="00DF4DB5">
        <w:rPr>
          <w:rFonts w:ascii="Arial" w:eastAsiaTheme="minorHAnsi" w:hAnsi="Arial" w:cs="Arial"/>
          <w:sz w:val="24"/>
          <w:szCs w:val="24"/>
          <w:lang w:val="en-ZA"/>
        </w:rPr>
        <w:t>the hearing of this matter, the Registrar of this Court received two judgments from the appellant</w:t>
      </w:r>
      <w:r w:rsidR="004D635C" w:rsidRPr="00DF4DB5">
        <w:rPr>
          <w:rFonts w:ascii="Arial" w:eastAsiaTheme="minorHAnsi" w:hAnsi="Arial" w:cs="Arial"/>
          <w:sz w:val="24"/>
          <w:szCs w:val="24"/>
          <w:lang w:val="en-ZA"/>
        </w:rPr>
        <w:t>’</w:t>
      </w:r>
      <w:r w:rsidR="00574A99" w:rsidRPr="00DF4DB5">
        <w:rPr>
          <w:rFonts w:ascii="Arial" w:eastAsiaTheme="minorHAnsi" w:hAnsi="Arial" w:cs="Arial"/>
          <w:sz w:val="24"/>
          <w:szCs w:val="24"/>
          <w:lang w:val="en-ZA"/>
        </w:rPr>
        <w:t>s attorney</w:t>
      </w:r>
      <w:r w:rsidR="001F1BE2" w:rsidRPr="00DF4DB5">
        <w:rPr>
          <w:rFonts w:ascii="Arial" w:eastAsiaTheme="minorHAnsi" w:hAnsi="Arial" w:cs="Arial"/>
          <w:sz w:val="24"/>
          <w:szCs w:val="24"/>
          <w:lang w:val="en-ZA"/>
        </w:rPr>
        <w:t xml:space="preserve">, one from the Labour </w:t>
      </w:r>
      <w:r w:rsidR="003261D7" w:rsidRPr="00DF4DB5">
        <w:rPr>
          <w:rFonts w:ascii="Arial" w:eastAsiaTheme="minorHAnsi" w:hAnsi="Arial" w:cs="Arial"/>
          <w:sz w:val="24"/>
          <w:szCs w:val="24"/>
          <w:lang w:val="en-ZA"/>
        </w:rPr>
        <w:t>C</w:t>
      </w:r>
      <w:r w:rsidR="001F1BE2" w:rsidRPr="00DF4DB5">
        <w:rPr>
          <w:rFonts w:ascii="Arial" w:eastAsiaTheme="minorHAnsi" w:hAnsi="Arial" w:cs="Arial"/>
          <w:sz w:val="24"/>
          <w:szCs w:val="24"/>
          <w:lang w:val="en-ZA"/>
        </w:rPr>
        <w:t>ourt and another from the Labour Appeal Court</w:t>
      </w:r>
      <w:r w:rsidR="00746E3E" w:rsidRPr="00DF4DB5">
        <w:rPr>
          <w:rFonts w:ascii="Arial" w:eastAsiaTheme="minorHAnsi" w:hAnsi="Arial" w:cs="Arial"/>
          <w:sz w:val="24"/>
          <w:szCs w:val="24"/>
          <w:lang w:val="en-ZA"/>
        </w:rPr>
        <w:t>.</w:t>
      </w:r>
      <w:r w:rsidR="00574A99" w:rsidRPr="00DF4DB5">
        <w:rPr>
          <w:rFonts w:ascii="Arial" w:eastAsiaTheme="minorHAnsi" w:hAnsi="Arial" w:cs="Arial"/>
          <w:sz w:val="24"/>
          <w:szCs w:val="24"/>
          <w:lang w:val="en-ZA"/>
        </w:rPr>
        <w:t xml:space="preserve"> The Labour </w:t>
      </w:r>
      <w:r w:rsidR="0064218A" w:rsidRPr="00DF4DB5">
        <w:rPr>
          <w:rFonts w:ascii="Arial" w:eastAsiaTheme="minorHAnsi" w:hAnsi="Arial" w:cs="Arial"/>
          <w:sz w:val="24"/>
          <w:szCs w:val="24"/>
          <w:lang w:val="en-ZA"/>
        </w:rPr>
        <w:t>C</w:t>
      </w:r>
      <w:r w:rsidR="00574A99" w:rsidRPr="00DF4DB5">
        <w:rPr>
          <w:rFonts w:ascii="Arial" w:eastAsiaTheme="minorHAnsi" w:hAnsi="Arial" w:cs="Arial"/>
          <w:sz w:val="24"/>
          <w:szCs w:val="24"/>
          <w:lang w:val="en-ZA"/>
        </w:rPr>
        <w:t>ourt judgment</w:t>
      </w:r>
      <w:r w:rsidR="00A36FC0" w:rsidRPr="00DF4DB5">
        <w:rPr>
          <w:rStyle w:val="FootnoteReference"/>
          <w:rFonts w:ascii="Arial" w:eastAsiaTheme="minorHAnsi" w:hAnsi="Arial" w:cs="Arial"/>
          <w:sz w:val="24"/>
          <w:szCs w:val="24"/>
          <w:lang w:val="en-ZA"/>
        </w:rPr>
        <w:footnoteReference w:id="31"/>
      </w:r>
      <w:r w:rsidR="00574A99" w:rsidRPr="00DF4DB5">
        <w:rPr>
          <w:rFonts w:ascii="Arial" w:eastAsiaTheme="minorHAnsi" w:hAnsi="Arial" w:cs="Arial"/>
          <w:sz w:val="24"/>
          <w:szCs w:val="24"/>
          <w:lang w:val="en-ZA"/>
        </w:rPr>
        <w:t xml:space="preserve"> </w:t>
      </w:r>
      <w:r w:rsidR="00A36FC0" w:rsidRPr="00DF4DB5">
        <w:rPr>
          <w:rFonts w:ascii="Arial" w:eastAsiaTheme="minorHAnsi" w:hAnsi="Arial" w:cs="Arial"/>
          <w:sz w:val="24"/>
          <w:szCs w:val="24"/>
          <w:lang w:val="en-ZA"/>
        </w:rPr>
        <w:t xml:space="preserve">by Lallie J was handed down on the same day as the judgment </w:t>
      </w:r>
      <w:r w:rsidR="00976490" w:rsidRPr="00DF4DB5">
        <w:rPr>
          <w:rFonts w:ascii="Arial" w:eastAsiaTheme="minorHAnsi" w:hAnsi="Arial" w:cs="Arial"/>
          <w:sz w:val="24"/>
          <w:szCs w:val="24"/>
          <w:lang w:val="en-ZA"/>
        </w:rPr>
        <w:t>by</w:t>
      </w:r>
      <w:r w:rsidR="00FD58BA" w:rsidRPr="00DF4DB5">
        <w:rPr>
          <w:rFonts w:ascii="Arial" w:eastAsiaTheme="minorHAnsi" w:hAnsi="Arial" w:cs="Arial"/>
          <w:sz w:val="24"/>
          <w:szCs w:val="24"/>
          <w:lang w:val="en-ZA"/>
        </w:rPr>
        <w:t xml:space="preserve"> </w:t>
      </w:r>
      <w:r w:rsidR="00E24CE1" w:rsidRPr="00DF4DB5">
        <w:rPr>
          <w:rFonts w:ascii="Arial" w:eastAsiaTheme="minorHAnsi" w:hAnsi="Arial" w:cs="Arial"/>
          <w:sz w:val="24"/>
          <w:szCs w:val="24"/>
          <w:lang w:val="en-ZA"/>
        </w:rPr>
        <w:t>Nhlangulela DJP</w:t>
      </w:r>
      <w:r w:rsidR="001F1BE2" w:rsidRPr="00DF4DB5">
        <w:rPr>
          <w:rFonts w:ascii="Arial" w:eastAsiaTheme="minorHAnsi" w:hAnsi="Arial" w:cs="Arial"/>
          <w:sz w:val="24"/>
          <w:szCs w:val="24"/>
          <w:lang w:val="en-ZA"/>
        </w:rPr>
        <w:t xml:space="preserve">. </w:t>
      </w:r>
      <w:r w:rsidR="00A36FC0" w:rsidRPr="00DF4DB5">
        <w:rPr>
          <w:rFonts w:ascii="Arial" w:eastAsiaTheme="minorHAnsi" w:hAnsi="Arial" w:cs="Arial"/>
          <w:sz w:val="24"/>
          <w:szCs w:val="24"/>
          <w:lang w:val="en-ZA"/>
        </w:rPr>
        <w:t xml:space="preserve">The applicant in </w:t>
      </w:r>
      <w:r w:rsidR="00E24CE1" w:rsidRPr="00DF4DB5">
        <w:rPr>
          <w:rFonts w:ascii="Arial" w:eastAsiaTheme="minorHAnsi" w:hAnsi="Arial" w:cs="Arial"/>
          <w:sz w:val="24"/>
          <w:szCs w:val="24"/>
          <w:lang w:val="en-ZA"/>
        </w:rPr>
        <w:t xml:space="preserve">the Labour </w:t>
      </w:r>
      <w:r w:rsidR="00E24CE1" w:rsidRPr="00DF4DB5">
        <w:rPr>
          <w:rFonts w:ascii="Arial" w:eastAsiaTheme="minorHAnsi" w:hAnsi="Arial" w:cs="Arial"/>
          <w:sz w:val="24"/>
          <w:szCs w:val="24"/>
          <w:lang w:val="en-ZA"/>
        </w:rPr>
        <w:lastRenderedPageBreak/>
        <w:t>Court</w:t>
      </w:r>
      <w:r w:rsidR="00A36FC0" w:rsidRPr="00DF4DB5">
        <w:rPr>
          <w:rFonts w:ascii="Arial" w:eastAsiaTheme="minorHAnsi" w:hAnsi="Arial" w:cs="Arial"/>
          <w:sz w:val="24"/>
          <w:szCs w:val="24"/>
          <w:lang w:val="en-ZA"/>
        </w:rPr>
        <w:t xml:space="preserve">, the trade union IMATU sought to hold the municipal manager of the Mhlontlo </w:t>
      </w:r>
      <w:r w:rsidR="003261D7" w:rsidRPr="00DF4DB5">
        <w:rPr>
          <w:rFonts w:ascii="Arial" w:eastAsiaTheme="minorHAnsi" w:hAnsi="Arial" w:cs="Arial"/>
          <w:sz w:val="24"/>
          <w:szCs w:val="24"/>
          <w:lang w:val="en-ZA"/>
        </w:rPr>
        <w:t>M</w:t>
      </w:r>
      <w:r w:rsidR="00A36FC0" w:rsidRPr="00DF4DB5">
        <w:rPr>
          <w:rFonts w:ascii="Arial" w:eastAsiaTheme="minorHAnsi" w:hAnsi="Arial" w:cs="Arial"/>
          <w:sz w:val="24"/>
          <w:szCs w:val="24"/>
          <w:lang w:val="en-ZA"/>
        </w:rPr>
        <w:t>unicipality in contempt for failing to comply with an arbitration award.</w:t>
      </w:r>
      <w:r w:rsidR="009F1987" w:rsidRPr="00DF4DB5">
        <w:rPr>
          <w:rFonts w:ascii="Arial" w:eastAsiaTheme="minorHAnsi" w:hAnsi="Arial" w:cs="Arial"/>
          <w:sz w:val="24"/>
          <w:szCs w:val="24"/>
          <w:lang w:val="en-ZA"/>
        </w:rPr>
        <w:t xml:space="preserve"> </w:t>
      </w:r>
      <w:r w:rsidR="00DD7F7F" w:rsidRPr="00DF4DB5">
        <w:rPr>
          <w:rFonts w:ascii="Arial" w:eastAsiaTheme="minorHAnsi" w:hAnsi="Arial" w:cs="Arial"/>
          <w:sz w:val="24"/>
          <w:szCs w:val="24"/>
          <w:lang w:val="en-ZA"/>
        </w:rPr>
        <w:t xml:space="preserve">The award </w:t>
      </w:r>
      <w:r w:rsidR="00976490" w:rsidRPr="00DF4DB5">
        <w:rPr>
          <w:rFonts w:ascii="Arial" w:eastAsiaTheme="minorHAnsi" w:hAnsi="Arial" w:cs="Arial"/>
          <w:sz w:val="24"/>
          <w:szCs w:val="24"/>
          <w:lang w:val="en-ZA"/>
        </w:rPr>
        <w:t xml:space="preserve">sought </w:t>
      </w:r>
      <w:r w:rsidR="00DD7F7F" w:rsidRPr="00DF4DB5">
        <w:rPr>
          <w:rFonts w:ascii="Arial" w:eastAsiaTheme="minorHAnsi" w:hAnsi="Arial" w:cs="Arial"/>
          <w:sz w:val="24"/>
          <w:szCs w:val="24"/>
          <w:lang w:val="en-ZA"/>
        </w:rPr>
        <w:t xml:space="preserve">to be enforced </w:t>
      </w:r>
      <w:r w:rsidR="004D635C" w:rsidRPr="00DF4DB5">
        <w:rPr>
          <w:rFonts w:ascii="Arial" w:eastAsiaTheme="minorHAnsi" w:hAnsi="Arial" w:cs="Arial"/>
          <w:sz w:val="24"/>
          <w:szCs w:val="24"/>
          <w:lang w:val="en-ZA"/>
        </w:rPr>
        <w:t xml:space="preserve">concerned the </w:t>
      </w:r>
      <w:r w:rsidR="00DD7F7F" w:rsidRPr="00DF4DB5">
        <w:rPr>
          <w:rFonts w:ascii="Arial" w:eastAsiaTheme="minorHAnsi" w:hAnsi="Arial" w:cs="Arial"/>
          <w:sz w:val="24"/>
          <w:szCs w:val="24"/>
          <w:lang w:val="en-ZA"/>
        </w:rPr>
        <w:t xml:space="preserve">2.5% </w:t>
      </w:r>
      <w:r w:rsidR="0064218A" w:rsidRPr="00DF4DB5">
        <w:rPr>
          <w:rFonts w:ascii="Arial" w:eastAsiaTheme="minorHAnsi" w:hAnsi="Arial" w:cs="Arial"/>
          <w:sz w:val="24"/>
          <w:szCs w:val="24"/>
          <w:lang w:val="en-ZA"/>
        </w:rPr>
        <w:t xml:space="preserve">notch </w:t>
      </w:r>
      <w:r w:rsidR="00DD7F7F" w:rsidRPr="00DF4DB5">
        <w:rPr>
          <w:rFonts w:ascii="Arial" w:eastAsiaTheme="minorHAnsi" w:hAnsi="Arial" w:cs="Arial"/>
          <w:sz w:val="24"/>
          <w:szCs w:val="24"/>
          <w:lang w:val="en-ZA"/>
        </w:rPr>
        <w:t>incre</w:t>
      </w:r>
      <w:r w:rsidR="0064218A" w:rsidRPr="00DF4DB5">
        <w:rPr>
          <w:rFonts w:ascii="Arial" w:eastAsiaTheme="minorHAnsi" w:hAnsi="Arial" w:cs="Arial"/>
          <w:sz w:val="24"/>
          <w:szCs w:val="24"/>
          <w:lang w:val="en-ZA"/>
        </w:rPr>
        <w:t>ment</w:t>
      </w:r>
      <w:r w:rsidR="00755BE9" w:rsidRPr="00DF4DB5">
        <w:rPr>
          <w:rFonts w:ascii="Arial" w:eastAsiaTheme="minorHAnsi" w:hAnsi="Arial" w:cs="Arial"/>
          <w:sz w:val="24"/>
          <w:szCs w:val="24"/>
          <w:lang w:val="en-ZA"/>
        </w:rPr>
        <w:t>.</w:t>
      </w:r>
      <w:r w:rsidR="00DD7F7F" w:rsidRPr="00DF4DB5">
        <w:rPr>
          <w:rFonts w:ascii="Arial" w:eastAsiaTheme="minorHAnsi" w:hAnsi="Arial" w:cs="Arial"/>
          <w:sz w:val="24"/>
          <w:szCs w:val="24"/>
          <w:lang w:val="en-ZA"/>
        </w:rPr>
        <w:t xml:space="preserve"> </w:t>
      </w:r>
      <w:r w:rsidR="00976490" w:rsidRPr="00DF4DB5">
        <w:rPr>
          <w:rFonts w:ascii="Arial" w:eastAsiaTheme="minorHAnsi" w:hAnsi="Arial" w:cs="Arial"/>
          <w:sz w:val="24"/>
          <w:szCs w:val="24"/>
          <w:lang w:val="en-ZA"/>
        </w:rPr>
        <w:t>T</w:t>
      </w:r>
      <w:r w:rsidR="00DD7F7F" w:rsidRPr="00DF4DB5">
        <w:rPr>
          <w:rFonts w:ascii="Arial" w:eastAsiaTheme="minorHAnsi" w:hAnsi="Arial" w:cs="Arial"/>
          <w:sz w:val="24"/>
          <w:szCs w:val="24"/>
          <w:lang w:val="en-ZA"/>
        </w:rPr>
        <w:t xml:space="preserve">he Labour </w:t>
      </w:r>
      <w:r w:rsidR="003261D7" w:rsidRPr="00DF4DB5">
        <w:rPr>
          <w:rFonts w:ascii="Arial" w:eastAsiaTheme="minorHAnsi" w:hAnsi="Arial" w:cs="Arial"/>
          <w:sz w:val="24"/>
          <w:szCs w:val="24"/>
          <w:lang w:val="en-ZA"/>
        </w:rPr>
        <w:t>C</w:t>
      </w:r>
      <w:r w:rsidR="00DD7F7F" w:rsidRPr="00DF4DB5">
        <w:rPr>
          <w:rFonts w:ascii="Arial" w:eastAsiaTheme="minorHAnsi" w:hAnsi="Arial" w:cs="Arial"/>
          <w:sz w:val="24"/>
          <w:szCs w:val="24"/>
          <w:lang w:val="en-ZA"/>
        </w:rPr>
        <w:t xml:space="preserve">ourt </w:t>
      </w:r>
      <w:r w:rsidR="00976490" w:rsidRPr="00DF4DB5">
        <w:rPr>
          <w:rFonts w:ascii="Arial" w:eastAsiaTheme="minorHAnsi" w:hAnsi="Arial" w:cs="Arial"/>
          <w:sz w:val="24"/>
          <w:szCs w:val="24"/>
          <w:lang w:val="en-ZA"/>
        </w:rPr>
        <w:t xml:space="preserve">noted </w:t>
      </w:r>
      <w:r w:rsidR="00DD7F7F" w:rsidRPr="00DF4DB5">
        <w:rPr>
          <w:rFonts w:ascii="Arial" w:eastAsiaTheme="minorHAnsi" w:hAnsi="Arial" w:cs="Arial"/>
          <w:sz w:val="24"/>
          <w:szCs w:val="24"/>
          <w:lang w:val="en-ZA"/>
        </w:rPr>
        <w:t xml:space="preserve">that the municipality </w:t>
      </w:r>
      <w:r w:rsidR="00755BE9" w:rsidRPr="00DF4DB5">
        <w:rPr>
          <w:rFonts w:ascii="Arial" w:eastAsiaTheme="minorHAnsi" w:hAnsi="Arial" w:cs="Arial"/>
          <w:sz w:val="24"/>
          <w:szCs w:val="24"/>
          <w:lang w:val="en-ZA"/>
        </w:rPr>
        <w:t xml:space="preserve">ceased </w:t>
      </w:r>
      <w:r w:rsidR="00DD7F7F" w:rsidRPr="00DF4DB5">
        <w:rPr>
          <w:rFonts w:ascii="Arial" w:eastAsiaTheme="minorHAnsi" w:hAnsi="Arial" w:cs="Arial"/>
          <w:sz w:val="24"/>
          <w:szCs w:val="24"/>
          <w:lang w:val="en-ZA"/>
        </w:rPr>
        <w:t>pay</w:t>
      </w:r>
      <w:r w:rsidR="00976490" w:rsidRPr="00DF4DB5">
        <w:rPr>
          <w:rFonts w:ascii="Arial" w:eastAsiaTheme="minorHAnsi" w:hAnsi="Arial" w:cs="Arial"/>
          <w:sz w:val="24"/>
          <w:szCs w:val="24"/>
          <w:lang w:val="en-ZA"/>
        </w:rPr>
        <w:t>ing</w:t>
      </w:r>
      <w:r w:rsidR="00DD7F7F" w:rsidRPr="00DF4DB5">
        <w:rPr>
          <w:rFonts w:ascii="Arial" w:eastAsiaTheme="minorHAnsi" w:hAnsi="Arial" w:cs="Arial"/>
          <w:sz w:val="24"/>
          <w:szCs w:val="24"/>
          <w:lang w:val="en-ZA"/>
        </w:rPr>
        <w:t xml:space="preserve"> the 2.5% incre</w:t>
      </w:r>
      <w:r w:rsidR="0064218A" w:rsidRPr="00DF4DB5">
        <w:rPr>
          <w:rFonts w:ascii="Arial" w:eastAsiaTheme="minorHAnsi" w:hAnsi="Arial" w:cs="Arial"/>
          <w:sz w:val="24"/>
          <w:szCs w:val="24"/>
          <w:lang w:val="en-ZA"/>
        </w:rPr>
        <w:t xml:space="preserve">ment </w:t>
      </w:r>
      <w:r w:rsidR="00014E23" w:rsidRPr="00DF4DB5">
        <w:rPr>
          <w:rFonts w:ascii="Arial" w:eastAsiaTheme="minorHAnsi" w:hAnsi="Arial" w:cs="Arial"/>
          <w:sz w:val="24"/>
          <w:szCs w:val="24"/>
          <w:lang w:val="en-ZA"/>
        </w:rPr>
        <w:t xml:space="preserve">and </w:t>
      </w:r>
      <w:r w:rsidR="00755BE9" w:rsidRPr="00DF4DB5">
        <w:rPr>
          <w:rFonts w:ascii="Arial" w:eastAsiaTheme="minorHAnsi" w:hAnsi="Arial" w:cs="Arial"/>
          <w:sz w:val="24"/>
          <w:szCs w:val="24"/>
          <w:lang w:val="en-ZA"/>
        </w:rPr>
        <w:t xml:space="preserve">sought to </w:t>
      </w:r>
      <w:r w:rsidR="00DD7F7F" w:rsidRPr="00DF4DB5">
        <w:rPr>
          <w:rFonts w:ascii="Arial" w:eastAsiaTheme="minorHAnsi" w:hAnsi="Arial" w:cs="Arial"/>
          <w:sz w:val="24"/>
          <w:szCs w:val="24"/>
          <w:lang w:val="en-ZA"/>
        </w:rPr>
        <w:t>challeng</w:t>
      </w:r>
      <w:r w:rsidR="00014E23" w:rsidRPr="00DF4DB5">
        <w:rPr>
          <w:rFonts w:ascii="Arial" w:eastAsiaTheme="minorHAnsi" w:hAnsi="Arial" w:cs="Arial"/>
          <w:sz w:val="24"/>
          <w:szCs w:val="24"/>
          <w:lang w:val="en-ZA"/>
        </w:rPr>
        <w:t>e</w:t>
      </w:r>
      <w:r w:rsidR="00DD7F7F" w:rsidRPr="00DF4DB5">
        <w:rPr>
          <w:rFonts w:ascii="Arial" w:eastAsiaTheme="minorHAnsi" w:hAnsi="Arial" w:cs="Arial"/>
          <w:sz w:val="24"/>
          <w:szCs w:val="24"/>
          <w:lang w:val="en-ZA"/>
        </w:rPr>
        <w:t xml:space="preserve"> its legality.</w:t>
      </w:r>
      <w:r w:rsidR="009F1987" w:rsidRPr="00DF4DB5">
        <w:rPr>
          <w:rFonts w:ascii="Arial" w:eastAsiaTheme="minorHAnsi" w:hAnsi="Arial" w:cs="Arial"/>
          <w:sz w:val="24"/>
          <w:szCs w:val="24"/>
          <w:lang w:val="en-ZA"/>
        </w:rPr>
        <w:t xml:space="preserve"> </w:t>
      </w:r>
      <w:r w:rsidR="00DD7F7F" w:rsidRPr="00DF4DB5">
        <w:rPr>
          <w:rFonts w:ascii="Arial" w:eastAsiaTheme="minorHAnsi" w:hAnsi="Arial" w:cs="Arial"/>
          <w:sz w:val="24"/>
          <w:szCs w:val="24"/>
          <w:lang w:val="en-ZA"/>
        </w:rPr>
        <w:t>I</w:t>
      </w:r>
      <w:r w:rsidR="00976490" w:rsidRPr="00DF4DB5">
        <w:rPr>
          <w:rFonts w:ascii="Arial" w:eastAsiaTheme="minorHAnsi" w:hAnsi="Arial" w:cs="Arial"/>
          <w:sz w:val="24"/>
          <w:szCs w:val="24"/>
          <w:lang w:val="en-ZA"/>
        </w:rPr>
        <w:t xml:space="preserve">MATU </w:t>
      </w:r>
      <w:r w:rsidR="00DD7F7F" w:rsidRPr="00DF4DB5">
        <w:rPr>
          <w:rFonts w:ascii="Arial" w:eastAsiaTheme="minorHAnsi" w:hAnsi="Arial" w:cs="Arial"/>
          <w:sz w:val="24"/>
          <w:szCs w:val="24"/>
          <w:lang w:val="en-ZA"/>
        </w:rPr>
        <w:t>sought a declaratory order that the notch incre</w:t>
      </w:r>
      <w:r w:rsidR="00E933C5" w:rsidRPr="00DF4DB5">
        <w:rPr>
          <w:rFonts w:ascii="Arial" w:eastAsiaTheme="minorHAnsi" w:hAnsi="Arial" w:cs="Arial"/>
          <w:sz w:val="24"/>
          <w:szCs w:val="24"/>
          <w:lang w:val="en-ZA"/>
        </w:rPr>
        <w:t xml:space="preserve">ment </w:t>
      </w:r>
      <w:r w:rsidR="00DD7F7F" w:rsidRPr="00DF4DB5">
        <w:rPr>
          <w:rFonts w:ascii="Arial" w:eastAsiaTheme="minorHAnsi" w:hAnsi="Arial" w:cs="Arial"/>
          <w:sz w:val="24"/>
          <w:szCs w:val="24"/>
          <w:lang w:val="en-ZA"/>
        </w:rPr>
        <w:t xml:space="preserve">was a term and condition </w:t>
      </w:r>
      <w:r w:rsidR="00DD7F7F" w:rsidRPr="00DF4DB5">
        <w:rPr>
          <w:rFonts w:ascii="Arial" w:eastAsiaTheme="minorHAnsi" w:hAnsi="Arial" w:cs="Arial"/>
          <w:i/>
          <w:sz w:val="24"/>
          <w:szCs w:val="24"/>
          <w:lang w:val="en-ZA"/>
        </w:rPr>
        <w:t>of all qualifying</w:t>
      </w:r>
      <w:r w:rsidR="00DD7F7F" w:rsidRPr="00DF4DB5">
        <w:rPr>
          <w:rFonts w:ascii="Arial" w:eastAsiaTheme="minorHAnsi" w:hAnsi="Arial" w:cs="Arial"/>
          <w:sz w:val="24"/>
          <w:szCs w:val="24"/>
          <w:lang w:val="en-ZA"/>
        </w:rPr>
        <w:t xml:space="preserve"> employee</w:t>
      </w:r>
      <w:r w:rsidR="003261D7" w:rsidRPr="00DF4DB5">
        <w:rPr>
          <w:rFonts w:ascii="Arial" w:eastAsiaTheme="minorHAnsi" w:hAnsi="Arial" w:cs="Arial"/>
          <w:sz w:val="24"/>
          <w:szCs w:val="24"/>
          <w:lang w:val="en-ZA"/>
        </w:rPr>
        <w:t>s</w:t>
      </w:r>
      <w:r w:rsidR="00DD7F7F" w:rsidRPr="00DF4DB5">
        <w:rPr>
          <w:rFonts w:ascii="Arial" w:eastAsiaTheme="minorHAnsi" w:hAnsi="Arial" w:cs="Arial"/>
          <w:sz w:val="24"/>
          <w:szCs w:val="24"/>
          <w:lang w:val="en-ZA"/>
        </w:rPr>
        <w:t xml:space="preserve">’ contracts of employment. </w:t>
      </w:r>
      <w:r w:rsidR="00976490" w:rsidRPr="00DF4DB5">
        <w:rPr>
          <w:rFonts w:ascii="Arial" w:eastAsiaTheme="minorHAnsi" w:hAnsi="Arial" w:cs="Arial"/>
          <w:sz w:val="24"/>
          <w:szCs w:val="24"/>
          <w:lang w:val="en-ZA"/>
        </w:rPr>
        <w:t>The issue before the Labour C</w:t>
      </w:r>
      <w:r w:rsidR="00500CDB" w:rsidRPr="00DF4DB5">
        <w:rPr>
          <w:rFonts w:ascii="Arial" w:eastAsiaTheme="minorHAnsi" w:hAnsi="Arial" w:cs="Arial"/>
          <w:sz w:val="24"/>
          <w:szCs w:val="24"/>
          <w:lang w:val="en-ZA"/>
        </w:rPr>
        <w:t xml:space="preserve">ourt was whether the implementation of the 2.5% notch increment was a term and condition of the contracts of </w:t>
      </w:r>
      <w:r w:rsidR="000E63E0" w:rsidRPr="00DF4DB5">
        <w:rPr>
          <w:rFonts w:ascii="Arial" w:eastAsiaTheme="minorHAnsi" w:hAnsi="Arial" w:cs="Arial"/>
          <w:sz w:val="24"/>
          <w:szCs w:val="24"/>
          <w:lang w:val="en-ZA"/>
        </w:rPr>
        <w:t>employment</w:t>
      </w:r>
      <w:r w:rsidR="00014E23" w:rsidRPr="00DF4DB5">
        <w:rPr>
          <w:rFonts w:ascii="Arial" w:eastAsiaTheme="minorHAnsi" w:hAnsi="Arial" w:cs="Arial"/>
          <w:sz w:val="24"/>
          <w:szCs w:val="24"/>
          <w:lang w:val="en-ZA"/>
        </w:rPr>
        <w:t>.</w:t>
      </w:r>
      <w:r w:rsidR="000E63E0" w:rsidRPr="00DF4DB5">
        <w:rPr>
          <w:rFonts w:ascii="Arial" w:eastAsiaTheme="minorHAnsi" w:hAnsi="Arial" w:cs="Arial"/>
          <w:sz w:val="24"/>
          <w:szCs w:val="24"/>
          <w:lang w:val="en-ZA"/>
        </w:rPr>
        <w:t xml:space="preserve"> </w:t>
      </w:r>
      <w:r w:rsidR="00C00B3C" w:rsidRPr="00DF4DB5">
        <w:rPr>
          <w:rFonts w:ascii="Arial" w:eastAsiaTheme="minorHAnsi" w:hAnsi="Arial" w:cs="Arial"/>
          <w:sz w:val="24"/>
          <w:szCs w:val="24"/>
          <w:lang w:val="en-ZA"/>
        </w:rPr>
        <w:t xml:space="preserve">The Labour </w:t>
      </w:r>
      <w:r w:rsidR="004D635C" w:rsidRPr="00DF4DB5">
        <w:rPr>
          <w:rFonts w:ascii="Arial" w:eastAsiaTheme="minorHAnsi" w:hAnsi="Arial" w:cs="Arial"/>
          <w:sz w:val="24"/>
          <w:szCs w:val="24"/>
          <w:lang w:val="en-ZA"/>
        </w:rPr>
        <w:t>C</w:t>
      </w:r>
      <w:r w:rsidR="00C00B3C" w:rsidRPr="00DF4DB5">
        <w:rPr>
          <w:rFonts w:ascii="Arial" w:eastAsiaTheme="minorHAnsi" w:hAnsi="Arial" w:cs="Arial"/>
          <w:sz w:val="24"/>
          <w:szCs w:val="24"/>
          <w:lang w:val="en-ZA"/>
        </w:rPr>
        <w:t xml:space="preserve">ourt found that the municipality acted outside the scope of its powers in awarding the notch increment to </w:t>
      </w:r>
      <w:r w:rsidR="00C00B3C" w:rsidRPr="00DF4DB5">
        <w:rPr>
          <w:rFonts w:ascii="Arial" w:eastAsiaTheme="minorHAnsi" w:hAnsi="Arial" w:cs="Arial"/>
          <w:i/>
          <w:sz w:val="24"/>
          <w:szCs w:val="24"/>
          <w:lang w:val="en-ZA"/>
        </w:rPr>
        <w:t>all</w:t>
      </w:r>
      <w:r w:rsidR="00C00B3C" w:rsidRPr="00DF4DB5">
        <w:rPr>
          <w:rFonts w:ascii="Arial" w:eastAsiaTheme="minorHAnsi" w:hAnsi="Arial" w:cs="Arial"/>
          <w:sz w:val="24"/>
          <w:szCs w:val="24"/>
          <w:lang w:val="en-ZA"/>
        </w:rPr>
        <w:t xml:space="preserve"> employees – without regard to the qualifying criteria. </w:t>
      </w:r>
      <w:r w:rsidR="00E933C5" w:rsidRPr="00DF4DB5">
        <w:rPr>
          <w:rFonts w:ascii="Arial" w:eastAsiaTheme="minorHAnsi" w:hAnsi="Arial" w:cs="Arial"/>
          <w:sz w:val="24"/>
          <w:szCs w:val="24"/>
          <w:lang w:val="en-ZA"/>
        </w:rPr>
        <w:t>Its R</w:t>
      </w:r>
      <w:r w:rsidR="00C00B3C" w:rsidRPr="00DF4DB5">
        <w:rPr>
          <w:rFonts w:ascii="Arial" w:eastAsiaTheme="minorHAnsi" w:hAnsi="Arial" w:cs="Arial"/>
          <w:sz w:val="24"/>
          <w:szCs w:val="24"/>
          <w:lang w:val="en-ZA"/>
        </w:rPr>
        <w:t xml:space="preserve">esolution </w:t>
      </w:r>
      <w:r w:rsidR="00E933C5" w:rsidRPr="00DF4DB5">
        <w:rPr>
          <w:rFonts w:ascii="Arial" w:eastAsiaTheme="minorHAnsi" w:hAnsi="Arial" w:cs="Arial"/>
          <w:sz w:val="24"/>
          <w:szCs w:val="24"/>
          <w:lang w:val="en-ZA"/>
        </w:rPr>
        <w:t xml:space="preserve">No. </w:t>
      </w:r>
      <w:r w:rsidR="00C00B3C" w:rsidRPr="00DF4DB5">
        <w:rPr>
          <w:rFonts w:ascii="Arial" w:eastAsiaTheme="minorHAnsi" w:hAnsi="Arial" w:cs="Arial"/>
          <w:sz w:val="24"/>
          <w:szCs w:val="24"/>
          <w:lang w:val="en-ZA"/>
        </w:rPr>
        <w:t>01-18/19 dated 25 March 2019 was reviewed and set aside.</w:t>
      </w:r>
    </w:p>
    <w:p w14:paraId="078E6582" w14:textId="77777777" w:rsidR="00E15FD0" w:rsidRPr="00DF4DB5" w:rsidRDefault="00E15FD0" w:rsidP="00A36FC0">
      <w:pPr>
        <w:autoSpaceDE w:val="0"/>
        <w:autoSpaceDN w:val="0"/>
        <w:adjustRightInd w:val="0"/>
        <w:spacing w:after="0" w:line="360" w:lineRule="auto"/>
        <w:jc w:val="both"/>
        <w:rPr>
          <w:rFonts w:ascii="Arial" w:eastAsiaTheme="minorHAnsi" w:hAnsi="Arial" w:cs="Arial"/>
          <w:sz w:val="24"/>
          <w:szCs w:val="24"/>
          <w:lang w:val="en-ZA"/>
        </w:rPr>
      </w:pPr>
    </w:p>
    <w:p w14:paraId="7CD8D25D" w14:textId="0D683C0D" w:rsidR="00F67574" w:rsidRPr="00DF4DB5" w:rsidRDefault="003C74CD" w:rsidP="00A36FC0">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Theme="minorHAnsi" w:hAnsi="Arial" w:cs="Arial"/>
          <w:sz w:val="24"/>
          <w:szCs w:val="24"/>
          <w:lang w:val="en-ZA"/>
        </w:rPr>
        <w:t>[3</w:t>
      </w:r>
      <w:r w:rsidR="00971647" w:rsidRPr="00DF4DB5">
        <w:rPr>
          <w:rFonts w:ascii="Arial" w:eastAsiaTheme="minorHAnsi" w:hAnsi="Arial" w:cs="Arial"/>
          <w:sz w:val="24"/>
          <w:szCs w:val="24"/>
          <w:lang w:val="en-ZA"/>
        </w:rPr>
        <w:t>2</w:t>
      </w:r>
      <w:r w:rsidR="00C00B3C" w:rsidRPr="00DF4DB5">
        <w:rPr>
          <w:rFonts w:ascii="Arial" w:eastAsiaTheme="minorHAnsi" w:hAnsi="Arial" w:cs="Arial"/>
          <w:sz w:val="24"/>
          <w:szCs w:val="24"/>
          <w:lang w:val="en-ZA"/>
        </w:rPr>
        <w:t>]</w:t>
      </w:r>
      <w:r w:rsidR="00C00B3C" w:rsidRPr="00DF4DB5">
        <w:rPr>
          <w:rFonts w:ascii="Arial" w:eastAsiaTheme="minorHAnsi" w:hAnsi="Arial" w:cs="Arial"/>
          <w:sz w:val="24"/>
          <w:szCs w:val="24"/>
          <w:lang w:val="en-ZA"/>
        </w:rPr>
        <w:tab/>
        <w:t xml:space="preserve">IMATU </w:t>
      </w:r>
      <w:r w:rsidR="00014E23" w:rsidRPr="00DF4DB5">
        <w:rPr>
          <w:rFonts w:ascii="Arial" w:eastAsiaTheme="minorHAnsi" w:hAnsi="Arial" w:cs="Arial"/>
          <w:sz w:val="24"/>
          <w:szCs w:val="24"/>
          <w:lang w:val="en-ZA"/>
        </w:rPr>
        <w:t xml:space="preserve">then </w:t>
      </w:r>
      <w:r w:rsidR="00C00B3C" w:rsidRPr="00DF4DB5">
        <w:rPr>
          <w:rFonts w:ascii="Arial" w:eastAsiaTheme="minorHAnsi" w:hAnsi="Arial" w:cs="Arial"/>
          <w:sz w:val="24"/>
          <w:szCs w:val="24"/>
          <w:lang w:val="en-ZA"/>
        </w:rPr>
        <w:t>appealed the decision to the Labour Appeal Court</w:t>
      </w:r>
      <w:r w:rsidR="00D52EEB" w:rsidRPr="00DF4DB5">
        <w:rPr>
          <w:rFonts w:ascii="Arial" w:eastAsiaTheme="minorHAnsi" w:hAnsi="Arial" w:cs="Arial"/>
          <w:sz w:val="24"/>
          <w:szCs w:val="24"/>
          <w:lang w:val="en-ZA"/>
        </w:rPr>
        <w:t xml:space="preserve"> (LAC)</w:t>
      </w:r>
      <w:r w:rsidR="00C00B3C" w:rsidRPr="00DF4DB5">
        <w:rPr>
          <w:rFonts w:ascii="Arial" w:eastAsiaTheme="minorHAnsi" w:hAnsi="Arial" w:cs="Arial"/>
          <w:sz w:val="24"/>
          <w:szCs w:val="24"/>
          <w:lang w:val="en-ZA"/>
        </w:rPr>
        <w:t xml:space="preserve">, which </w:t>
      </w:r>
      <w:r w:rsidR="00014E23" w:rsidRPr="00DF4DB5">
        <w:rPr>
          <w:rFonts w:ascii="Arial" w:eastAsiaTheme="minorHAnsi" w:hAnsi="Arial" w:cs="Arial"/>
          <w:sz w:val="24"/>
          <w:szCs w:val="24"/>
          <w:lang w:val="en-ZA"/>
        </w:rPr>
        <w:t>confirm</w:t>
      </w:r>
      <w:r w:rsidR="00E933C5" w:rsidRPr="00DF4DB5">
        <w:rPr>
          <w:rFonts w:ascii="Arial" w:eastAsiaTheme="minorHAnsi" w:hAnsi="Arial" w:cs="Arial"/>
          <w:sz w:val="24"/>
          <w:szCs w:val="24"/>
          <w:lang w:val="en-ZA"/>
        </w:rPr>
        <w:t xml:space="preserve">ed the </w:t>
      </w:r>
      <w:r w:rsidR="001F1BE2" w:rsidRPr="00DF4DB5">
        <w:rPr>
          <w:rFonts w:ascii="Arial" w:eastAsiaTheme="minorHAnsi" w:hAnsi="Arial" w:cs="Arial"/>
          <w:sz w:val="24"/>
          <w:szCs w:val="24"/>
          <w:lang w:val="en-ZA"/>
        </w:rPr>
        <w:t xml:space="preserve">decision </w:t>
      </w:r>
      <w:r w:rsidR="00E933C5" w:rsidRPr="00DF4DB5">
        <w:rPr>
          <w:rFonts w:ascii="Arial" w:eastAsiaTheme="minorHAnsi" w:hAnsi="Arial" w:cs="Arial"/>
          <w:sz w:val="24"/>
          <w:szCs w:val="24"/>
          <w:lang w:val="en-ZA"/>
        </w:rPr>
        <w:t>of Lallie J</w:t>
      </w:r>
      <w:r w:rsidR="00F67574" w:rsidRPr="00DF4DB5">
        <w:rPr>
          <w:rFonts w:ascii="Arial" w:eastAsiaTheme="minorHAnsi" w:hAnsi="Arial" w:cs="Arial"/>
          <w:sz w:val="24"/>
          <w:szCs w:val="24"/>
          <w:lang w:val="en-ZA"/>
        </w:rPr>
        <w:t xml:space="preserve"> that only those employees who met the qualifying criteria for the 2.5% notch increment were entitled to the benefit</w:t>
      </w:r>
      <w:r w:rsidR="00E404B7" w:rsidRPr="00DF4DB5">
        <w:rPr>
          <w:rFonts w:ascii="Arial" w:eastAsiaTheme="minorHAnsi" w:hAnsi="Arial" w:cs="Arial"/>
          <w:sz w:val="24"/>
          <w:szCs w:val="24"/>
          <w:lang w:val="en-ZA"/>
        </w:rPr>
        <w:t>.</w:t>
      </w:r>
      <w:r w:rsidR="00E933C5" w:rsidRPr="00DF4DB5">
        <w:rPr>
          <w:rStyle w:val="FootnoteReference"/>
          <w:rFonts w:ascii="Arial" w:eastAsiaTheme="minorHAnsi" w:hAnsi="Arial" w:cs="Arial"/>
          <w:sz w:val="24"/>
          <w:szCs w:val="24"/>
          <w:lang w:val="en-ZA"/>
        </w:rPr>
        <w:footnoteReference w:id="32"/>
      </w:r>
      <w:r w:rsidR="009F1987" w:rsidRPr="00DF4DB5">
        <w:rPr>
          <w:rFonts w:ascii="Arial" w:eastAsiaTheme="minorHAnsi" w:hAnsi="Arial" w:cs="Arial"/>
          <w:sz w:val="24"/>
          <w:szCs w:val="24"/>
          <w:lang w:val="en-ZA"/>
        </w:rPr>
        <w:t xml:space="preserve"> </w:t>
      </w:r>
      <w:r w:rsidR="00E404B7" w:rsidRPr="00DF4DB5">
        <w:rPr>
          <w:rFonts w:ascii="Arial" w:eastAsiaTheme="minorHAnsi" w:hAnsi="Arial" w:cs="Arial"/>
          <w:sz w:val="24"/>
          <w:szCs w:val="24"/>
          <w:lang w:val="en-ZA"/>
        </w:rPr>
        <w:t xml:space="preserve">The LAC </w:t>
      </w:r>
      <w:r w:rsidR="0078677B" w:rsidRPr="00DF4DB5">
        <w:rPr>
          <w:rFonts w:ascii="Arial" w:eastAsiaTheme="minorHAnsi" w:hAnsi="Arial" w:cs="Arial"/>
          <w:sz w:val="24"/>
          <w:szCs w:val="24"/>
          <w:lang w:val="en-ZA"/>
        </w:rPr>
        <w:t xml:space="preserve">noted that </w:t>
      </w:r>
      <w:r w:rsidR="00746E3E" w:rsidRPr="00DF4DB5">
        <w:rPr>
          <w:rFonts w:ascii="Arial" w:eastAsiaTheme="minorHAnsi" w:hAnsi="Arial" w:cs="Arial"/>
          <w:sz w:val="24"/>
          <w:szCs w:val="24"/>
          <w:lang w:val="en-ZA"/>
        </w:rPr>
        <w:t>‘</w:t>
      </w:r>
      <w:r w:rsidR="0078677B" w:rsidRPr="00DF4DB5">
        <w:rPr>
          <w:rFonts w:ascii="Arial" w:eastAsiaTheme="minorHAnsi" w:hAnsi="Arial" w:cs="Arial"/>
          <w:i/>
          <w:sz w:val="24"/>
          <w:szCs w:val="24"/>
          <w:lang w:val="en-ZA"/>
        </w:rPr>
        <w:t>it does not appear to be in dispute that the notch payments to employees who did not qualify in terms of the Evaluation Agreement were irregular</w:t>
      </w:r>
      <w:r w:rsidR="00746E3E" w:rsidRPr="00DF4DB5">
        <w:rPr>
          <w:rFonts w:ascii="Arial" w:eastAsiaTheme="minorHAnsi" w:hAnsi="Arial" w:cs="Arial"/>
          <w:sz w:val="24"/>
          <w:szCs w:val="24"/>
          <w:lang w:val="en-ZA"/>
        </w:rPr>
        <w:t>.’</w:t>
      </w:r>
      <w:r w:rsidR="0078677B" w:rsidRPr="00DF4DB5">
        <w:rPr>
          <w:rStyle w:val="FootnoteReference"/>
          <w:rFonts w:ascii="Arial" w:eastAsiaTheme="minorHAnsi" w:hAnsi="Arial" w:cs="Arial"/>
          <w:sz w:val="24"/>
          <w:szCs w:val="24"/>
          <w:lang w:val="en-ZA"/>
        </w:rPr>
        <w:footnoteReference w:id="33"/>
      </w:r>
      <w:r w:rsidR="0078677B" w:rsidRPr="00DF4DB5">
        <w:rPr>
          <w:rFonts w:ascii="Arial" w:eastAsiaTheme="minorHAnsi" w:hAnsi="Arial" w:cs="Arial"/>
          <w:sz w:val="24"/>
          <w:szCs w:val="24"/>
          <w:lang w:val="en-ZA"/>
        </w:rPr>
        <w:t xml:space="preserve"> The LAC </w:t>
      </w:r>
      <w:r w:rsidR="00B0085A" w:rsidRPr="00DF4DB5">
        <w:rPr>
          <w:rFonts w:ascii="Arial" w:eastAsiaTheme="minorHAnsi" w:hAnsi="Arial" w:cs="Arial"/>
          <w:sz w:val="24"/>
          <w:szCs w:val="24"/>
          <w:lang w:val="en-ZA"/>
        </w:rPr>
        <w:t xml:space="preserve">noted </w:t>
      </w:r>
      <w:r w:rsidR="00F67574" w:rsidRPr="00DF4DB5">
        <w:rPr>
          <w:rFonts w:ascii="Arial" w:eastAsiaTheme="minorHAnsi" w:hAnsi="Arial" w:cs="Arial"/>
          <w:sz w:val="24"/>
          <w:szCs w:val="24"/>
          <w:lang w:val="en-ZA"/>
        </w:rPr>
        <w:t xml:space="preserve">that the municipality was ‘constitutionally obligated’ to </w:t>
      </w:r>
      <w:r w:rsidR="0041131B" w:rsidRPr="00DF4DB5">
        <w:rPr>
          <w:rFonts w:ascii="Arial" w:eastAsiaTheme="minorHAnsi" w:hAnsi="Arial" w:cs="Arial"/>
          <w:sz w:val="24"/>
          <w:szCs w:val="24"/>
          <w:lang w:val="en-ZA"/>
        </w:rPr>
        <w:t>‘</w:t>
      </w:r>
      <w:r w:rsidR="00F67574" w:rsidRPr="00DF4DB5">
        <w:rPr>
          <w:rFonts w:ascii="Arial" w:eastAsiaTheme="minorHAnsi" w:hAnsi="Arial" w:cs="Arial"/>
          <w:sz w:val="24"/>
          <w:szCs w:val="24"/>
          <w:lang w:val="en-ZA"/>
        </w:rPr>
        <w:t>put in motion a process to ensure that the monies were recovered</w:t>
      </w:r>
      <w:r w:rsidR="0041131B" w:rsidRPr="00DF4DB5">
        <w:rPr>
          <w:rFonts w:ascii="Arial" w:eastAsiaTheme="minorHAnsi" w:hAnsi="Arial" w:cs="Arial"/>
          <w:sz w:val="24"/>
          <w:szCs w:val="24"/>
          <w:lang w:val="en-ZA"/>
        </w:rPr>
        <w:t>.</w:t>
      </w:r>
      <w:r w:rsidR="00F67574" w:rsidRPr="00DF4DB5">
        <w:rPr>
          <w:rStyle w:val="FootnoteReference"/>
          <w:rFonts w:ascii="Arial" w:eastAsiaTheme="minorHAnsi" w:hAnsi="Arial" w:cs="Arial"/>
          <w:sz w:val="24"/>
          <w:szCs w:val="24"/>
          <w:lang w:val="en-ZA"/>
        </w:rPr>
        <w:footnoteReference w:id="34"/>
      </w:r>
      <w:r w:rsidR="0078677B" w:rsidRPr="00DF4DB5">
        <w:rPr>
          <w:rFonts w:ascii="Arial" w:eastAsiaTheme="minorHAnsi" w:hAnsi="Arial" w:cs="Arial"/>
          <w:sz w:val="24"/>
          <w:szCs w:val="24"/>
          <w:lang w:val="en-ZA"/>
        </w:rPr>
        <w:t xml:space="preserve"> </w:t>
      </w:r>
      <w:r w:rsidR="00F67574" w:rsidRPr="00DF4DB5">
        <w:rPr>
          <w:rFonts w:ascii="Arial" w:eastAsiaTheme="minorHAnsi" w:hAnsi="Arial" w:cs="Arial"/>
          <w:sz w:val="24"/>
          <w:szCs w:val="24"/>
          <w:lang w:val="en-ZA"/>
        </w:rPr>
        <w:t xml:space="preserve">The LAC concluded that </w:t>
      </w:r>
    </w:p>
    <w:p w14:paraId="250B2516" w14:textId="738F578E" w:rsidR="003C74CD" w:rsidRPr="00DF4DB5" w:rsidRDefault="0041131B" w:rsidP="00A36FC0">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Theme="minorHAnsi" w:hAnsi="Arial" w:cs="Arial"/>
          <w:lang w:val="en-ZA"/>
        </w:rPr>
        <w:t>‘</w:t>
      </w:r>
      <w:r w:rsidR="00F67574" w:rsidRPr="00DF4DB5">
        <w:rPr>
          <w:rFonts w:ascii="Arial" w:eastAsiaTheme="minorHAnsi" w:hAnsi="Arial" w:cs="Arial"/>
          <w:lang w:val="en-ZA"/>
        </w:rPr>
        <w:t xml:space="preserve">…there can be little doubt that the resolution adopted by the Municipal Council to pay the 2.5 </w:t>
      </w:r>
      <w:r w:rsidR="0064218A" w:rsidRPr="00DF4DB5">
        <w:rPr>
          <w:rFonts w:ascii="Arial" w:eastAsiaTheme="minorHAnsi" w:hAnsi="Arial" w:cs="Arial"/>
          <w:lang w:val="en-ZA"/>
        </w:rPr>
        <w:t xml:space="preserve">% </w:t>
      </w:r>
      <w:r w:rsidR="00F67574" w:rsidRPr="00DF4DB5">
        <w:rPr>
          <w:rFonts w:ascii="Arial" w:eastAsiaTheme="minorHAnsi" w:hAnsi="Arial" w:cs="Arial"/>
          <w:lang w:val="en-ZA"/>
        </w:rPr>
        <w:t>notch increase to all employees was not only fundamentally irrational and illegal, but also reckless.</w:t>
      </w:r>
      <w:r w:rsidR="00D52EEB" w:rsidRPr="00DF4DB5">
        <w:rPr>
          <w:rFonts w:ascii="Arial" w:eastAsiaTheme="minorHAnsi" w:hAnsi="Arial" w:cs="Arial"/>
          <w:lang w:val="en-ZA"/>
        </w:rPr>
        <w:t xml:space="preserve"> </w:t>
      </w:r>
      <w:r w:rsidR="00F67574" w:rsidRPr="00DF4DB5">
        <w:rPr>
          <w:rFonts w:ascii="Arial" w:eastAsiaTheme="minorHAnsi" w:hAnsi="Arial" w:cs="Arial"/>
          <w:lang w:val="en-ZA"/>
        </w:rPr>
        <w:t>A</w:t>
      </w:r>
      <w:r w:rsidR="005A7A08" w:rsidRPr="00DF4DB5">
        <w:rPr>
          <w:rFonts w:ascii="Arial" w:eastAsiaTheme="minorHAnsi" w:hAnsi="Arial" w:cs="Arial"/>
          <w:lang w:val="en-ZA"/>
        </w:rPr>
        <w:t>t no ti</w:t>
      </w:r>
      <w:r w:rsidR="00F67574" w:rsidRPr="00DF4DB5">
        <w:rPr>
          <w:rFonts w:ascii="Arial" w:eastAsiaTheme="minorHAnsi" w:hAnsi="Arial" w:cs="Arial"/>
          <w:lang w:val="en-ZA"/>
        </w:rPr>
        <w:t>m</w:t>
      </w:r>
      <w:r w:rsidR="005A7A08" w:rsidRPr="00DF4DB5">
        <w:rPr>
          <w:rFonts w:ascii="Arial" w:eastAsiaTheme="minorHAnsi" w:hAnsi="Arial" w:cs="Arial"/>
          <w:lang w:val="en-ZA"/>
        </w:rPr>
        <w:t>e</w:t>
      </w:r>
      <w:r w:rsidR="00F67574" w:rsidRPr="00DF4DB5">
        <w:rPr>
          <w:rFonts w:ascii="Arial" w:eastAsiaTheme="minorHAnsi" w:hAnsi="Arial" w:cs="Arial"/>
          <w:lang w:val="en-ZA"/>
        </w:rPr>
        <w:t xml:space="preserve"> could the Municipality reasonably have laboured under the misapprehension </w:t>
      </w:r>
      <w:r w:rsidR="005A7A08" w:rsidRPr="00DF4DB5">
        <w:rPr>
          <w:rFonts w:ascii="Arial" w:eastAsiaTheme="minorHAnsi" w:hAnsi="Arial" w:cs="Arial"/>
          <w:lang w:val="en-ZA"/>
        </w:rPr>
        <w:t>that all its employees were entitled to the increase.</w:t>
      </w:r>
      <w:r w:rsidR="009F1987" w:rsidRPr="00DF4DB5">
        <w:rPr>
          <w:rFonts w:ascii="Arial" w:eastAsiaTheme="minorHAnsi" w:hAnsi="Arial" w:cs="Arial"/>
          <w:lang w:val="en-ZA"/>
        </w:rPr>
        <w:t xml:space="preserve"> </w:t>
      </w:r>
      <w:r w:rsidR="005A7A08" w:rsidRPr="00DF4DB5">
        <w:rPr>
          <w:rFonts w:ascii="Arial" w:eastAsiaTheme="minorHAnsi" w:hAnsi="Arial" w:cs="Arial"/>
          <w:lang w:val="en-ZA"/>
        </w:rPr>
        <w:t>IMATU itself has been at pains to point out that it accepts that the increase only applies to qualifying empl</w:t>
      </w:r>
      <w:r w:rsidRPr="00DF4DB5">
        <w:rPr>
          <w:rFonts w:ascii="Arial" w:eastAsiaTheme="minorHAnsi" w:hAnsi="Arial" w:cs="Arial"/>
          <w:lang w:val="en-ZA"/>
        </w:rPr>
        <w:t>o</w:t>
      </w:r>
      <w:r w:rsidR="005A7A08" w:rsidRPr="00DF4DB5">
        <w:rPr>
          <w:rFonts w:ascii="Arial" w:eastAsiaTheme="minorHAnsi" w:hAnsi="Arial" w:cs="Arial"/>
          <w:lang w:val="en-ZA"/>
        </w:rPr>
        <w:t>yees...</w:t>
      </w:r>
      <w:r w:rsidR="0064218A" w:rsidRPr="00DF4DB5">
        <w:rPr>
          <w:rFonts w:ascii="Arial" w:eastAsiaTheme="minorHAnsi" w:hAnsi="Arial" w:cs="Arial"/>
          <w:lang w:val="en-ZA"/>
        </w:rPr>
        <w:t>’</w:t>
      </w:r>
      <w:r w:rsidR="005A7A08" w:rsidRPr="00DF4DB5">
        <w:rPr>
          <w:rFonts w:ascii="Arial" w:eastAsiaTheme="minorHAnsi" w:hAnsi="Arial" w:cs="Arial"/>
          <w:sz w:val="24"/>
          <w:szCs w:val="24"/>
          <w:lang w:val="en-ZA"/>
        </w:rPr>
        <w:t>.</w:t>
      </w:r>
      <w:r w:rsidR="005A7A08" w:rsidRPr="00DF4DB5">
        <w:rPr>
          <w:rStyle w:val="FootnoteReference"/>
          <w:rFonts w:ascii="Arial" w:eastAsiaTheme="minorHAnsi" w:hAnsi="Arial" w:cs="Arial"/>
          <w:sz w:val="24"/>
          <w:szCs w:val="24"/>
          <w:lang w:val="en-ZA"/>
        </w:rPr>
        <w:footnoteReference w:id="35"/>
      </w:r>
      <w:r w:rsidR="0078677B" w:rsidRPr="00DF4DB5">
        <w:rPr>
          <w:rFonts w:ascii="Arial" w:eastAsiaTheme="minorHAnsi" w:hAnsi="Arial" w:cs="Arial"/>
          <w:sz w:val="24"/>
          <w:szCs w:val="24"/>
          <w:lang w:val="en-ZA"/>
        </w:rPr>
        <w:t xml:space="preserve"> </w:t>
      </w:r>
    </w:p>
    <w:p w14:paraId="379A74AA" w14:textId="77777777" w:rsidR="003C74CD" w:rsidRPr="00DF4DB5" w:rsidRDefault="003C74CD" w:rsidP="00A36FC0">
      <w:pPr>
        <w:autoSpaceDE w:val="0"/>
        <w:autoSpaceDN w:val="0"/>
        <w:adjustRightInd w:val="0"/>
        <w:spacing w:after="0" w:line="360" w:lineRule="auto"/>
        <w:jc w:val="both"/>
        <w:rPr>
          <w:rFonts w:ascii="Arial" w:eastAsiaTheme="minorHAnsi" w:hAnsi="Arial" w:cs="Arial"/>
          <w:sz w:val="24"/>
          <w:szCs w:val="24"/>
          <w:lang w:val="en-ZA"/>
        </w:rPr>
      </w:pPr>
    </w:p>
    <w:p w14:paraId="3B7A7606" w14:textId="461EE863" w:rsidR="00C00B3C" w:rsidRPr="00DF4DB5" w:rsidRDefault="003C74CD" w:rsidP="00A36FC0">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Theme="minorHAnsi" w:hAnsi="Arial" w:cs="Arial"/>
          <w:sz w:val="24"/>
          <w:szCs w:val="24"/>
          <w:lang w:val="en-ZA"/>
        </w:rPr>
        <w:t>[3</w:t>
      </w:r>
      <w:r w:rsidR="00971647" w:rsidRPr="00DF4DB5">
        <w:rPr>
          <w:rFonts w:ascii="Arial" w:eastAsiaTheme="minorHAnsi" w:hAnsi="Arial" w:cs="Arial"/>
          <w:sz w:val="24"/>
          <w:szCs w:val="24"/>
          <w:lang w:val="en-ZA"/>
        </w:rPr>
        <w:t>3</w:t>
      </w:r>
      <w:r w:rsidRPr="00DF4DB5">
        <w:rPr>
          <w:rFonts w:ascii="Arial" w:eastAsiaTheme="minorHAnsi" w:hAnsi="Arial" w:cs="Arial"/>
          <w:sz w:val="24"/>
          <w:szCs w:val="24"/>
          <w:lang w:val="en-ZA"/>
        </w:rPr>
        <w:t>]</w:t>
      </w:r>
      <w:r w:rsidRPr="00DF4DB5">
        <w:rPr>
          <w:rFonts w:ascii="Arial" w:eastAsiaTheme="minorHAnsi" w:hAnsi="Arial" w:cs="Arial"/>
          <w:sz w:val="24"/>
          <w:szCs w:val="24"/>
          <w:lang w:val="en-ZA"/>
        </w:rPr>
        <w:tab/>
      </w:r>
      <w:r w:rsidR="0078677B" w:rsidRPr="00DF4DB5">
        <w:rPr>
          <w:rFonts w:ascii="Arial" w:eastAsiaTheme="minorHAnsi" w:hAnsi="Arial" w:cs="Arial"/>
          <w:sz w:val="24"/>
          <w:szCs w:val="24"/>
          <w:lang w:val="en-ZA"/>
        </w:rPr>
        <w:t>In the high court there was a dispute as to whether the two respondents in the present matter had been placed on salary scales</w:t>
      </w:r>
      <w:r w:rsidR="0064218A" w:rsidRPr="00DF4DB5">
        <w:rPr>
          <w:rFonts w:ascii="Arial" w:eastAsiaTheme="minorHAnsi" w:hAnsi="Arial" w:cs="Arial"/>
          <w:sz w:val="24"/>
          <w:szCs w:val="24"/>
          <w:lang w:val="en-ZA"/>
        </w:rPr>
        <w:t>,</w:t>
      </w:r>
      <w:r w:rsidR="0078677B" w:rsidRPr="00DF4DB5">
        <w:rPr>
          <w:rFonts w:ascii="Arial" w:eastAsiaTheme="minorHAnsi" w:hAnsi="Arial" w:cs="Arial"/>
          <w:sz w:val="24"/>
          <w:szCs w:val="24"/>
          <w:lang w:val="en-ZA"/>
        </w:rPr>
        <w:t xml:space="preserve"> or whether their job evaluations had been completed.</w:t>
      </w:r>
      <w:r w:rsidR="009F1987" w:rsidRPr="00DF4DB5">
        <w:rPr>
          <w:rFonts w:ascii="Arial" w:eastAsiaTheme="minorHAnsi" w:hAnsi="Arial" w:cs="Arial"/>
          <w:sz w:val="24"/>
          <w:szCs w:val="24"/>
          <w:lang w:val="en-ZA"/>
        </w:rPr>
        <w:t xml:space="preserve"> </w:t>
      </w:r>
      <w:r w:rsidR="0078677B" w:rsidRPr="00DF4DB5">
        <w:rPr>
          <w:rFonts w:ascii="Arial" w:eastAsiaTheme="minorHAnsi" w:hAnsi="Arial" w:cs="Arial"/>
          <w:sz w:val="24"/>
          <w:szCs w:val="24"/>
          <w:lang w:val="en-ZA"/>
        </w:rPr>
        <w:t>Nhlangulela DJP found that it was through no fault on the part of the respondents that the TASK grading system had not been implemented by the municipality, and according</w:t>
      </w:r>
      <w:r w:rsidR="00014E23" w:rsidRPr="00DF4DB5">
        <w:rPr>
          <w:rFonts w:ascii="Arial" w:eastAsiaTheme="minorHAnsi" w:hAnsi="Arial" w:cs="Arial"/>
          <w:sz w:val="24"/>
          <w:szCs w:val="24"/>
          <w:lang w:val="en-ZA"/>
        </w:rPr>
        <w:t>ly</w:t>
      </w:r>
      <w:r w:rsidR="0078677B" w:rsidRPr="00DF4DB5">
        <w:rPr>
          <w:rFonts w:ascii="Arial" w:eastAsiaTheme="minorHAnsi" w:hAnsi="Arial" w:cs="Arial"/>
          <w:sz w:val="24"/>
          <w:szCs w:val="24"/>
          <w:lang w:val="en-ZA"/>
        </w:rPr>
        <w:t xml:space="preserve"> found that they could not be ‘disentitled’ from enjoying </w:t>
      </w:r>
      <w:r w:rsidR="0078677B" w:rsidRPr="00DF4DB5">
        <w:rPr>
          <w:rFonts w:ascii="Arial" w:eastAsiaTheme="minorHAnsi" w:hAnsi="Arial" w:cs="Arial"/>
          <w:sz w:val="24"/>
          <w:szCs w:val="24"/>
          <w:lang w:val="en-ZA"/>
        </w:rPr>
        <w:lastRenderedPageBreak/>
        <w:t xml:space="preserve">the benefits of the 2.5% notch increment. </w:t>
      </w:r>
      <w:r w:rsidR="007A570B" w:rsidRPr="00DF4DB5">
        <w:rPr>
          <w:rFonts w:ascii="Arial" w:eastAsiaTheme="minorHAnsi" w:hAnsi="Arial" w:cs="Arial"/>
          <w:sz w:val="24"/>
          <w:szCs w:val="24"/>
          <w:lang w:val="en-ZA"/>
        </w:rPr>
        <w:t xml:space="preserve">As </w:t>
      </w:r>
      <w:r w:rsidRPr="00DF4DB5">
        <w:rPr>
          <w:rFonts w:ascii="Arial" w:eastAsiaTheme="minorHAnsi" w:hAnsi="Arial" w:cs="Arial"/>
          <w:sz w:val="24"/>
          <w:szCs w:val="24"/>
          <w:lang w:val="en-ZA"/>
        </w:rPr>
        <w:t>the respondents had no lawful entitlement to the benefit from inception</w:t>
      </w:r>
      <w:r w:rsidR="005A7A08" w:rsidRPr="00DF4DB5">
        <w:rPr>
          <w:rFonts w:ascii="Arial" w:eastAsiaTheme="minorHAnsi" w:hAnsi="Arial" w:cs="Arial"/>
          <w:sz w:val="24"/>
          <w:szCs w:val="24"/>
          <w:lang w:val="en-ZA"/>
        </w:rPr>
        <w:t xml:space="preserve"> on the basis that they did not meet the qualifying criteria</w:t>
      </w:r>
      <w:r w:rsidR="00A440BE">
        <w:rPr>
          <w:rFonts w:ascii="Arial" w:eastAsiaTheme="minorHAnsi" w:hAnsi="Arial" w:cs="Arial"/>
          <w:sz w:val="24"/>
          <w:szCs w:val="24"/>
          <w:lang w:val="en-ZA"/>
        </w:rPr>
        <w:t>, there can be no complaint of ‘disentitlement’</w:t>
      </w:r>
      <w:r w:rsidRPr="00DF4DB5">
        <w:rPr>
          <w:rFonts w:ascii="Arial" w:eastAsiaTheme="minorHAnsi" w:hAnsi="Arial" w:cs="Arial"/>
          <w:sz w:val="24"/>
          <w:szCs w:val="24"/>
          <w:lang w:val="en-ZA"/>
        </w:rPr>
        <w:t xml:space="preserve"> thereafter.</w:t>
      </w:r>
      <w:r w:rsidR="0078677B" w:rsidRPr="00DF4DB5">
        <w:rPr>
          <w:rFonts w:ascii="Arial" w:eastAsiaTheme="minorHAnsi" w:hAnsi="Arial" w:cs="Arial"/>
          <w:sz w:val="24"/>
          <w:szCs w:val="24"/>
          <w:lang w:val="en-ZA"/>
        </w:rPr>
        <w:t xml:space="preserve"> As s</w:t>
      </w:r>
      <w:r w:rsidR="005A7A08" w:rsidRPr="00DF4DB5">
        <w:rPr>
          <w:rFonts w:ascii="Arial" w:eastAsiaTheme="minorHAnsi" w:hAnsi="Arial" w:cs="Arial"/>
          <w:sz w:val="24"/>
          <w:szCs w:val="24"/>
          <w:lang w:val="en-ZA"/>
        </w:rPr>
        <w:t xml:space="preserve">et out above, </w:t>
      </w:r>
      <w:r w:rsidRPr="00DF4DB5">
        <w:rPr>
          <w:rFonts w:ascii="Arial" w:eastAsiaTheme="minorHAnsi" w:hAnsi="Arial" w:cs="Arial"/>
          <w:sz w:val="24"/>
          <w:szCs w:val="24"/>
          <w:lang w:val="en-ZA"/>
        </w:rPr>
        <w:t xml:space="preserve">the LAC confirmed the setting aside of the resolution in terms of which </w:t>
      </w:r>
      <w:r w:rsidRPr="00DF4DB5">
        <w:rPr>
          <w:rFonts w:ascii="Arial" w:eastAsiaTheme="minorHAnsi" w:hAnsi="Arial" w:cs="Arial"/>
          <w:i/>
          <w:sz w:val="24"/>
          <w:szCs w:val="24"/>
          <w:lang w:val="en-ZA"/>
        </w:rPr>
        <w:t>all</w:t>
      </w:r>
      <w:r w:rsidRPr="00DF4DB5">
        <w:rPr>
          <w:rFonts w:ascii="Arial" w:eastAsiaTheme="minorHAnsi" w:hAnsi="Arial" w:cs="Arial"/>
          <w:sz w:val="24"/>
          <w:szCs w:val="24"/>
          <w:lang w:val="en-ZA"/>
        </w:rPr>
        <w:t xml:space="preserve"> municipal employees received the 2.5% notch increase on the basis that it offend</w:t>
      </w:r>
      <w:r w:rsidR="00BE452D" w:rsidRPr="00DF4DB5">
        <w:rPr>
          <w:rFonts w:ascii="Arial" w:eastAsiaTheme="minorHAnsi" w:hAnsi="Arial" w:cs="Arial"/>
          <w:sz w:val="24"/>
          <w:szCs w:val="24"/>
          <w:lang w:val="en-ZA"/>
        </w:rPr>
        <w:t>ed</w:t>
      </w:r>
      <w:r w:rsidRPr="00DF4DB5">
        <w:rPr>
          <w:rFonts w:ascii="Arial" w:eastAsiaTheme="minorHAnsi" w:hAnsi="Arial" w:cs="Arial"/>
          <w:sz w:val="24"/>
          <w:szCs w:val="24"/>
          <w:lang w:val="en-ZA"/>
        </w:rPr>
        <w:t xml:space="preserve"> the principle of legality. </w:t>
      </w:r>
      <w:r w:rsidR="005A7A08" w:rsidRPr="00DF4DB5">
        <w:rPr>
          <w:rFonts w:ascii="Arial" w:eastAsiaTheme="minorHAnsi" w:hAnsi="Arial" w:cs="Arial"/>
          <w:sz w:val="24"/>
          <w:szCs w:val="24"/>
          <w:lang w:val="en-ZA"/>
        </w:rPr>
        <w:t xml:space="preserve">Accordingly, the </w:t>
      </w:r>
      <w:r w:rsidRPr="00DF4DB5">
        <w:rPr>
          <w:rFonts w:ascii="Arial" w:eastAsiaTheme="minorHAnsi" w:hAnsi="Arial" w:cs="Arial"/>
          <w:sz w:val="24"/>
          <w:szCs w:val="24"/>
          <w:lang w:val="en-ZA"/>
        </w:rPr>
        <w:t>decision of the high court cannot stand.</w:t>
      </w:r>
    </w:p>
    <w:p w14:paraId="640E9CF8" w14:textId="77777777" w:rsidR="0012570B" w:rsidRPr="00DF4DB5" w:rsidRDefault="0012570B" w:rsidP="00A36FC0">
      <w:pPr>
        <w:autoSpaceDE w:val="0"/>
        <w:autoSpaceDN w:val="0"/>
        <w:adjustRightInd w:val="0"/>
        <w:spacing w:after="0" w:line="360" w:lineRule="auto"/>
        <w:jc w:val="both"/>
        <w:rPr>
          <w:rFonts w:ascii="Arial" w:eastAsiaTheme="minorHAnsi" w:hAnsi="Arial" w:cs="Arial"/>
          <w:b/>
          <w:sz w:val="24"/>
          <w:szCs w:val="24"/>
          <w:lang w:val="en-ZA"/>
        </w:rPr>
      </w:pPr>
    </w:p>
    <w:p w14:paraId="1FA8B94D" w14:textId="77777777" w:rsidR="003C74CD" w:rsidRPr="00DF4DB5" w:rsidRDefault="0012570B" w:rsidP="00A36FC0">
      <w:pPr>
        <w:autoSpaceDE w:val="0"/>
        <w:autoSpaceDN w:val="0"/>
        <w:adjustRightInd w:val="0"/>
        <w:spacing w:after="0" w:line="360" w:lineRule="auto"/>
        <w:jc w:val="both"/>
        <w:rPr>
          <w:rFonts w:ascii="Arial" w:eastAsiaTheme="minorHAnsi" w:hAnsi="Arial" w:cs="Arial"/>
          <w:b/>
          <w:sz w:val="24"/>
          <w:szCs w:val="24"/>
          <w:lang w:val="en-ZA"/>
        </w:rPr>
      </w:pPr>
      <w:r w:rsidRPr="00DF4DB5">
        <w:rPr>
          <w:rFonts w:ascii="Arial" w:eastAsiaTheme="minorHAnsi" w:hAnsi="Arial" w:cs="Arial"/>
          <w:b/>
          <w:sz w:val="24"/>
          <w:szCs w:val="24"/>
          <w:lang w:val="en-ZA"/>
        </w:rPr>
        <w:t>Costs</w:t>
      </w:r>
    </w:p>
    <w:p w14:paraId="26D98555" w14:textId="3BCC7BA6" w:rsidR="00C539DD" w:rsidRPr="00DF4DB5" w:rsidRDefault="003C74CD" w:rsidP="00A36FC0">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Theme="minorHAnsi" w:hAnsi="Arial" w:cs="Arial"/>
          <w:sz w:val="24"/>
          <w:szCs w:val="24"/>
          <w:lang w:val="en-ZA"/>
        </w:rPr>
        <w:t>[3</w:t>
      </w:r>
      <w:r w:rsidR="00971647" w:rsidRPr="00DF4DB5">
        <w:rPr>
          <w:rFonts w:ascii="Arial" w:eastAsiaTheme="minorHAnsi" w:hAnsi="Arial" w:cs="Arial"/>
          <w:sz w:val="24"/>
          <w:szCs w:val="24"/>
          <w:lang w:val="en-ZA"/>
        </w:rPr>
        <w:t>4</w:t>
      </w:r>
      <w:r w:rsidRPr="00DF4DB5">
        <w:rPr>
          <w:rFonts w:ascii="Arial" w:eastAsiaTheme="minorHAnsi" w:hAnsi="Arial" w:cs="Arial"/>
          <w:sz w:val="24"/>
          <w:szCs w:val="24"/>
          <w:lang w:val="en-ZA"/>
        </w:rPr>
        <w:t>]</w:t>
      </w:r>
      <w:r w:rsidRPr="00DF4DB5">
        <w:rPr>
          <w:rFonts w:ascii="Arial" w:eastAsiaTheme="minorHAnsi" w:hAnsi="Arial" w:cs="Arial"/>
          <w:sz w:val="24"/>
          <w:szCs w:val="24"/>
          <w:lang w:val="en-ZA"/>
        </w:rPr>
        <w:tab/>
      </w:r>
      <w:r w:rsidR="005A7A08" w:rsidRPr="00DF4DB5">
        <w:rPr>
          <w:rFonts w:ascii="Arial" w:eastAsiaTheme="minorHAnsi" w:hAnsi="Arial" w:cs="Arial"/>
          <w:sz w:val="24"/>
          <w:szCs w:val="24"/>
          <w:lang w:val="en-ZA"/>
        </w:rPr>
        <w:t>T</w:t>
      </w:r>
      <w:r w:rsidR="004B68B6" w:rsidRPr="00DF4DB5">
        <w:rPr>
          <w:rFonts w:ascii="Arial" w:eastAsiaTheme="minorHAnsi" w:hAnsi="Arial" w:cs="Arial"/>
          <w:sz w:val="24"/>
          <w:szCs w:val="24"/>
          <w:lang w:val="en-ZA"/>
        </w:rPr>
        <w:t>he high court awarded costs against the municipality on an attorney</w:t>
      </w:r>
      <w:r w:rsidR="00463BCA">
        <w:rPr>
          <w:rFonts w:ascii="Arial" w:eastAsiaTheme="minorHAnsi" w:hAnsi="Arial" w:cs="Arial"/>
          <w:sz w:val="24"/>
          <w:szCs w:val="24"/>
          <w:lang w:val="en-ZA"/>
        </w:rPr>
        <w:t>-</w:t>
      </w:r>
      <w:r w:rsidR="004B68B6" w:rsidRPr="00DF4DB5">
        <w:rPr>
          <w:rFonts w:ascii="Arial" w:eastAsiaTheme="minorHAnsi" w:hAnsi="Arial" w:cs="Arial"/>
          <w:sz w:val="24"/>
          <w:szCs w:val="24"/>
          <w:lang w:val="en-ZA"/>
        </w:rPr>
        <w:t>client</w:t>
      </w:r>
      <w:r w:rsidR="001F1BE2" w:rsidRPr="00DF4DB5">
        <w:rPr>
          <w:rFonts w:ascii="Arial" w:eastAsiaTheme="minorHAnsi" w:hAnsi="Arial" w:cs="Arial"/>
          <w:sz w:val="24"/>
          <w:szCs w:val="24"/>
          <w:lang w:val="en-ZA"/>
        </w:rPr>
        <w:t xml:space="preserve"> scale</w:t>
      </w:r>
      <w:r w:rsidR="004B68B6" w:rsidRPr="00DF4DB5">
        <w:rPr>
          <w:rFonts w:ascii="Arial" w:eastAsiaTheme="minorHAnsi" w:hAnsi="Arial" w:cs="Arial"/>
          <w:sz w:val="24"/>
          <w:szCs w:val="24"/>
          <w:lang w:val="en-ZA"/>
        </w:rPr>
        <w:t xml:space="preserve">, concluding that there was no </w:t>
      </w:r>
      <w:r w:rsidR="00970638" w:rsidRPr="00DF4DB5">
        <w:rPr>
          <w:rFonts w:ascii="Arial" w:eastAsiaTheme="minorHAnsi" w:hAnsi="Arial" w:cs="Arial"/>
          <w:sz w:val="24"/>
          <w:szCs w:val="24"/>
          <w:lang w:val="en-ZA"/>
        </w:rPr>
        <w:t>‘</w:t>
      </w:r>
      <w:r w:rsidR="004B68B6" w:rsidRPr="00DF4DB5">
        <w:rPr>
          <w:rFonts w:ascii="Arial" w:eastAsiaTheme="minorHAnsi" w:hAnsi="Arial" w:cs="Arial"/>
          <w:sz w:val="24"/>
          <w:szCs w:val="24"/>
          <w:lang w:val="en-ZA"/>
        </w:rPr>
        <w:t>legal reason</w:t>
      </w:r>
      <w:r w:rsidR="00970638" w:rsidRPr="00DF4DB5">
        <w:rPr>
          <w:rFonts w:ascii="Arial" w:eastAsiaTheme="minorHAnsi" w:hAnsi="Arial" w:cs="Arial"/>
          <w:sz w:val="24"/>
          <w:szCs w:val="24"/>
          <w:lang w:val="en-ZA"/>
        </w:rPr>
        <w:t>’</w:t>
      </w:r>
      <w:r w:rsidR="004B68B6" w:rsidRPr="00DF4DB5">
        <w:rPr>
          <w:rFonts w:ascii="Arial" w:eastAsiaTheme="minorHAnsi" w:hAnsi="Arial" w:cs="Arial"/>
          <w:sz w:val="24"/>
          <w:szCs w:val="24"/>
          <w:lang w:val="en-ZA"/>
        </w:rPr>
        <w:t xml:space="preserve"> for the municipality to reduce the remuneration of the respondents.</w:t>
      </w:r>
      <w:r w:rsidR="009F1987" w:rsidRPr="00DF4DB5">
        <w:rPr>
          <w:rFonts w:ascii="Arial" w:eastAsiaTheme="minorHAnsi" w:hAnsi="Arial" w:cs="Arial"/>
          <w:sz w:val="24"/>
          <w:szCs w:val="24"/>
          <w:lang w:val="en-ZA"/>
        </w:rPr>
        <w:t xml:space="preserve"> </w:t>
      </w:r>
      <w:r w:rsidR="004B68B6" w:rsidRPr="00DF4DB5">
        <w:rPr>
          <w:rFonts w:ascii="Arial" w:eastAsiaTheme="minorHAnsi" w:hAnsi="Arial" w:cs="Arial"/>
          <w:sz w:val="24"/>
          <w:szCs w:val="24"/>
          <w:lang w:val="en-ZA"/>
        </w:rPr>
        <w:t xml:space="preserve">It is trite that the high court has a </w:t>
      </w:r>
      <w:r w:rsidR="00DB7668" w:rsidRPr="00DF4DB5">
        <w:rPr>
          <w:rFonts w:ascii="Arial" w:eastAsiaTheme="minorHAnsi" w:hAnsi="Arial" w:cs="Arial"/>
          <w:sz w:val="24"/>
          <w:szCs w:val="24"/>
          <w:lang w:val="en-ZA"/>
        </w:rPr>
        <w:t xml:space="preserve">wide </w:t>
      </w:r>
      <w:r w:rsidR="004B68B6" w:rsidRPr="00DF4DB5">
        <w:rPr>
          <w:rFonts w:ascii="Arial" w:eastAsiaTheme="minorHAnsi" w:hAnsi="Arial" w:cs="Arial"/>
          <w:sz w:val="24"/>
          <w:szCs w:val="24"/>
          <w:lang w:val="en-ZA"/>
        </w:rPr>
        <w:t xml:space="preserve">discretion </w:t>
      </w:r>
      <w:r w:rsidR="00DB7668" w:rsidRPr="00DF4DB5">
        <w:rPr>
          <w:rFonts w:ascii="Arial" w:eastAsiaTheme="minorHAnsi" w:hAnsi="Arial" w:cs="Arial"/>
          <w:sz w:val="24"/>
          <w:szCs w:val="24"/>
          <w:lang w:val="en-ZA"/>
        </w:rPr>
        <w:t xml:space="preserve">to decide on </w:t>
      </w:r>
      <w:r w:rsidR="004B68B6" w:rsidRPr="00DF4DB5">
        <w:rPr>
          <w:rFonts w:ascii="Arial" w:eastAsiaTheme="minorHAnsi" w:hAnsi="Arial" w:cs="Arial"/>
          <w:sz w:val="24"/>
          <w:szCs w:val="24"/>
          <w:lang w:val="en-ZA"/>
        </w:rPr>
        <w:t>the issue of costs</w:t>
      </w:r>
      <w:r w:rsidR="00EF0DAD" w:rsidRPr="00DF4DB5">
        <w:rPr>
          <w:rFonts w:ascii="Arial" w:eastAsiaTheme="minorHAnsi" w:hAnsi="Arial" w:cs="Arial"/>
          <w:sz w:val="24"/>
          <w:szCs w:val="24"/>
          <w:lang w:val="en-ZA"/>
        </w:rPr>
        <w:t xml:space="preserve"> which</w:t>
      </w:r>
      <w:r w:rsidR="00BB299B" w:rsidRPr="00DF4DB5">
        <w:rPr>
          <w:rFonts w:ascii="Arial" w:eastAsiaTheme="minorHAnsi" w:hAnsi="Arial" w:cs="Arial"/>
          <w:sz w:val="24"/>
          <w:szCs w:val="24"/>
          <w:lang w:val="en-ZA"/>
        </w:rPr>
        <w:t xml:space="preserve"> may </w:t>
      </w:r>
      <w:r w:rsidR="00DB7668" w:rsidRPr="00DF4DB5">
        <w:rPr>
          <w:rFonts w:ascii="Arial" w:eastAsiaTheme="minorHAnsi" w:hAnsi="Arial" w:cs="Arial"/>
          <w:sz w:val="24"/>
          <w:szCs w:val="24"/>
          <w:lang w:val="en-ZA"/>
        </w:rPr>
        <w:t xml:space="preserve">only </w:t>
      </w:r>
      <w:r w:rsidR="00BB299B" w:rsidRPr="00DF4DB5">
        <w:rPr>
          <w:rFonts w:ascii="Arial" w:eastAsiaTheme="minorHAnsi" w:hAnsi="Arial" w:cs="Arial"/>
          <w:sz w:val="24"/>
          <w:szCs w:val="24"/>
          <w:lang w:val="en-ZA"/>
        </w:rPr>
        <w:t>be interfered with where the court below misdirected itself as to the facts and legal principle.</w:t>
      </w:r>
      <w:r w:rsidR="009F1987" w:rsidRPr="00DF4DB5">
        <w:rPr>
          <w:rFonts w:ascii="Arial" w:eastAsiaTheme="minorHAnsi" w:hAnsi="Arial" w:cs="Arial"/>
          <w:sz w:val="24"/>
          <w:szCs w:val="24"/>
          <w:lang w:val="en-ZA"/>
        </w:rPr>
        <w:t xml:space="preserve"> </w:t>
      </w:r>
      <w:r w:rsidR="00BB299B" w:rsidRPr="00DF4DB5">
        <w:rPr>
          <w:rFonts w:ascii="Arial" w:eastAsiaTheme="minorHAnsi" w:hAnsi="Arial" w:cs="Arial"/>
          <w:sz w:val="24"/>
          <w:szCs w:val="24"/>
          <w:lang w:val="en-ZA"/>
        </w:rPr>
        <w:t xml:space="preserve">In the present matter </w:t>
      </w:r>
      <w:r w:rsidR="004B68B6" w:rsidRPr="00DF4DB5">
        <w:rPr>
          <w:rFonts w:ascii="Arial" w:eastAsiaTheme="minorHAnsi" w:hAnsi="Arial" w:cs="Arial"/>
          <w:sz w:val="24"/>
          <w:szCs w:val="24"/>
          <w:lang w:val="en-ZA"/>
        </w:rPr>
        <w:t xml:space="preserve">there is no suggestion that the conduct of the municipality was dishonest </w:t>
      </w:r>
      <w:r w:rsidR="00BB299B" w:rsidRPr="00DF4DB5">
        <w:rPr>
          <w:rFonts w:ascii="Arial" w:eastAsiaTheme="minorHAnsi" w:hAnsi="Arial" w:cs="Arial"/>
          <w:sz w:val="24"/>
          <w:szCs w:val="24"/>
          <w:lang w:val="en-ZA"/>
        </w:rPr>
        <w:t>o</w:t>
      </w:r>
      <w:r w:rsidR="0012570B" w:rsidRPr="00DF4DB5">
        <w:rPr>
          <w:rFonts w:ascii="Arial" w:eastAsiaTheme="minorHAnsi" w:hAnsi="Arial" w:cs="Arial"/>
          <w:sz w:val="24"/>
          <w:szCs w:val="24"/>
          <w:lang w:val="en-ZA"/>
        </w:rPr>
        <w:t xml:space="preserve">r fraudulent, </w:t>
      </w:r>
      <w:r w:rsidR="004B68B6" w:rsidRPr="00DF4DB5">
        <w:rPr>
          <w:rFonts w:ascii="Arial" w:eastAsiaTheme="minorHAnsi" w:hAnsi="Arial" w:cs="Arial"/>
          <w:sz w:val="24"/>
          <w:szCs w:val="24"/>
          <w:lang w:val="en-ZA"/>
        </w:rPr>
        <w:t>justif</w:t>
      </w:r>
      <w:r w:rsidR="00DB7668" w:rsidRPr="00DF4DB5">
        <w:rPr>
          <w:rFonts w:ascii="Arial" w:eastAsiaTheme="minorHAnsi" w:hAnsi="Arial" w:cs="Arial"/>
          <w:sz w:val="24"/>
          <w:szCs w:val="24"/>
          <w:lang w:val="en-ZA"/>
        </w:rPr>
        <w:t xml:space="preserve">ying </w:t>
      </w:r>
      <w:r w:rsidR="004B68B6" w:rsidRPr="00DF4DB5">
        <w:rPr>
          <w:rFonts w:ascii="Arial" w:eastAsiaTheme="minorHAnsi" w:hAnsi="Arial" w:cs="Arial"/>
          <w:sz w:val="24"/>
          <w:szCs w:val="24"/>
          <w:lang w:val="en-ZA"/>
        </w:rPr>
        <w:t>a punitive order for costs.</w:t>
      </w:r>
      <w:r w:rsidR="009F1987" w:rsidRPr="00DF4DB5">
        <w:rPr>
          <w:rFonts w:ascii="Arial" w:eastAsiaTheme="minorHAnsi" w:hAnsi="Arial" w:cs="Arial"/>
          <w:sz w:val="24"/>
          <w:szCs w:val="24"/>
          <w:lang w:val="en-ZA"/>
        </w:rPr>
        <w:t xml:space="preserve"> </w:t>
      </w:r>
      <w:r w:rsidR="001F1BE2" w:rsidRPr="00DF4DB5">
        <w:rPr>
          <w:rFonts w:ascii="Arial" w:eastAsiaTheme="minorHAnsi" w:hAnsi="Arial" w:cs="Arial"/>
          <w:sz w:val="24"/>
          <w:szCs w:val="24"/>
          <w:lang w:val="en-ZA"/>
        </w:rPr>
        <w:t>T</w:t>
      </w:r>
      <w:r w:rsidR="004B68B6" w:rsidRPr="00DF4DB5">
        <w:rPr>
          <w:rFonts w:ascii="Arial" w:eastAsiaTheme="minorHAnsi" w:hAnsi="Arial" w:cs="Arial"/>
          <w:sz w:val="24"/>
          <w:szCs w:val="24"/>
          <w:lang w:val="en-ZA"/>
        </w:rPr>
        <w:t>he fact that employees elect to litigate against their employer</w:t>
      </w:r>
      <w:r w:rsidR="0064218A" w:rsidRPr="00DF4DB5">
        <w:rPr>
          <w:rFonts w:ascii="Arial" w:eastAsiaTheme="minorHAnsi" w:hAnsi="Arial" w:cs="Arial"/>
          <w:sz w:val="24"/>
          <w:szCs w:val="24"/>
          <w:lang w:val="en-ZA"/>
        </w:rPr>
        <w:t xml:space="preserve"> </w:t>
      </w:r>
      <w:r w:rsidR="004B68B6" w:rsidRPr="00DF4DB5">
        <w:rPr>
          <w:rFonts w:ascii="Arial" w:eastAsiaTheme="minorHAnsi" w:hAnsi="Arial" w:cs="Arial"/>
          <w:sz w:val="24"/>
          <w:szCs w:val="24"/>
          <w:lang w:val="en-ZA"/>
        </w:rPr>
        <w:t>and incur costs in the process, is no justification for a punitive order for costs</w:t>
      </w:r>
      <w:r w:rsidR="005A7A08" w:rsidRPr="00DF4DB5">
        <w:rPr>
          <w:rFonts w:ascii="Arial" w:eastAsiaTheme="minorHAnsi" w:hAnsi="Arial" w:cs="Arial"/>
          <w:sz w:val="24"/>
          <w:szCs w:val="24"/>
          <w:lang w:val="en-ZA"/>
        </w:rPr>
        <w:t>.</w:t>
      </w:r>
      <w:r w:rsidR="004B68B6" w:rsidRPr="00DF4DB5">
        <w:rPr>
          <w:rFonts w:ascii="Arial" w:eastAsiaTheme="minorHAnsi" w:hAnsi="Arial" w:cs="Arial"/>
          <w:sz w:val="24"/>
          <w:szCs w:val="24"/>
          <w:lang w:val="en-ZA"/>
        </w:rPr>
        <w:t xml:space="preserve"> </w:t>
      </w:r>
      <w:r w:rsidR="00EF140C" w:rsidRPr="00DF4DB5">
        <w:rPr>
          <w:rFonts w:ascii="Arial" w:eastAsiaTheme="minorHAnsi" w:hAnsi="Arial" w:cs="Arial"/>
          <w:sz w:val="24"/>
          <w:szCs w:val="24"/>
          <w:lang w:val="en-ZA"/>
        </w:rPr>
        <w:t xml:space="preserve">The high court erred </w:t>
      </w:r>
      <w:r w:rsidR="00FF17CA" w:rsidRPr="00DF4DB5">
        <w:rPr>
          <w:rFonts w:ascii="Arial" w:eastAsiaTheme="minorHAnsi" w:hAnsi="Arial" w:cs="Arial"/>
          <w:sz w:val="24"/>
          <w:szCs w:val="24"/>
          <w:lang w:val="en-ZA"/>
        </w:rPr>
        <w:t xml:space="preserve">in </w:t>
      </w:r>
      <w:r w:rsidR="005A7A08" w:rsidRPr="00DF4DB5">
        <w:rPr>
          <w:rFonts w:ascii="Arial" w:eastAsiaTheme="minorHAnsi" w:hAnsi="Arial" w:cs="Arial"/>
          <w:sz w:val="24"/>
          <w:szCs w:val="24"/>
          <w:lang w:val="en-ZA"/>
        </w:rPr>
        <w:t xml:space="preserve">considering this </w:t>
      </w:r>
      <w:r w:rsidR="00EF140C" w:rsidRPr="00DF4DB5">
        <w:rPr>
          <w:rFonts w:ascii="Arial" w:eastAsiaTheme="minorHAnsi" w:hAnsi="Arial" w:cs="Arial"/>
          <w:sz w:val="24"/>
          <w:szCs w:val="24"/>
          <w:lang w:val="en-ZA"/>
        </w:rPr>
        <w:t>as a basis for awarding punitive costs against the municipality.</w:t>
      </w:r>
      <w:r w:rsidR="009F1987" w:rsidRPr="00DF4DB5">
        <w:rPr>
          <w:rFonts w:ascii="Arial" w:eastAsiaTheme="minorHAnsi" w:hAnsi="Arial" w:cs="Arial"/>
          <w:sz w:val="24"/>
          <w:szCs w:val="24"/>
          <w:lang w:val="en-ZA"/>
        </w:rPr>
        <w:t xml:space="preserve"> </w:t>
      </w:r>
      <w:r w:rsidR="00EA5C59" w:rsidRPr="00DF4DB5">
        <w:rPr>
          <w:rFonts w:ascii="Arial" w:eastAsiaTheme="minorHAnsi" w:hAnsi="Arial" w:cs="Arial"/>
          <w:sz w:val="24"/>
          <w:szCs w:val="24"/>
          <w:lang w:val="en-ZA"/>
        </w:rPr>
        <w:t>In this Court it was conceded by the appellants that in light of the delays incurred in the late filing of the notice of appeal and non-compliance with rule 8(2), the costs of the preparation of the appeal record should be excluded from any costs order granted.</w:t>
      </w:r>
    </w:p>
    <w:p w14:paraId="01DCD6DD" w14:textId="77777777" w:rsidR="00C539DD" w:rsidRPr="00DF4DB5" w:rsidRDefault="00C539DD" w:rsidP="00A36FC0">
      <w:pPr>
        <w:autoSpaceDE w:val="0"/>
        <w:autoSpaceDN w:val="0"/>
        <w:adjustRightInd w:val="0"/>
        <w:spacing w:after="0" w:line="360" w:lineRule="auto"/>
        <w:jc w:val="both"/>
        <w:rPr>
          <w:rFonts w:ascii="Arial" w:eastAsiaTheme="minorHAnsi" w:hAnsi="Arial" w:cs="Arial"/>
          <w:sz w:val="24"/>
          <w:szCs w:val="24"/>
          <w:lang w:val="en-ZA"/>
        </w:rPr>
      </w:pPr>
    </w:p>
    <w:p w14:paraId="102B8C9E" w14:textId="77777777" w:rsidR="00FF17CA" w:rsidRPr="00DF4DB5" w:rsidRDefault="00FF17CA" w:rsidP="00A36FC0">
      <w:pPr>
        <w:autoSpaceDE w:val="0"/>
        <w:autoSpaceDN w:val="0"/>
        <w:adjustRightInd w:val="0"/>
        <w:spacing w:after="0" w:line="360" w:lineRule="auto"/>
        <w:jc w:val="both"/>
        <w:rPr>
          <w:rFonts w:ascii="Arial" w:eastAsiaTheme="minorHAnsi" w:hAnsi="Arial" w:cs="Arial"/>
          <w:b/>
          <w:sz w:val="24"/>
          <w:szCs w:val="24"/>
          <w:lang w:val="en-ZA"/>
        </w:rPr>
      </w:pPr>
      <w:r w:rsidRPr="00DF4DB5">
        <w:rPr>
          <w:rFonts w:ascii="Arial" w:eastAsiaTheme="minorHAnsi" w:hAnsi="Arial" w:cs="Arial"/>
          <w:b/>
          <w:sz w:val="24"/>
          <w:szCs w:val="24"/>
          <w:lang w:val="en-ZA"/>
        </w:rPr>
        <w:t>Order</w:t>
      </w:r>
    </w:p>
    <w:p w14:paraId="71BE42F1" w14:textId="4C989B5B" w:rsidR="004B68B6" w:rsidRPr="00DF4DB5" w:rsidRDefault="004B68B6" w:rsidP="00A36FC0">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Theme="minorHAnsi" w:hAnsi="Arial" w:cs="Arial"/>
          <w:sz w:val="24"/>
          <w:szCs w:val="24"/>
          <w:lang w:val="en-ZA"/>
        </w:rPr>
        <w:t>[3</w:t>
      </w:r>
      <w:r w:rsidR="00971647" w:rsidRPr="00DF4DB5">
        <w:rPr>
          <w:rFonts w:ascii="Arial" w:eastAsiaTheme="minorHAnsi" w:hAnsi="Arial" w:cs="Arial"/>
          <w:sz w:val="24"/>
          <w:szCs w:val="24"/>
          <w:lang w:val="en-ZA"/>
        </w:rPr>
        <w:t>5</w:t>
      </w:r>
      <w:r w:rsidRPr="00DF4DB5">
        <w:rPr>
          <w:rFonts w:ascii="Arial" w:eastAsiaTheme="minorHAnsi" w:hAnsi="Arial" w:cs="Arial"/>
          <w:sz w:val="24"/>
          <w:szCs w:val="24"/>
          <w:lang w:val="en-ZA"/>
        </w:rPr>
        <w:t>]</w:t>
      </w:r>
      <w:r w:rsidRPr="00DF4DB5">
        <w:rPr>
          <w:rFonts w:ascii="Arial" w:eastAsiaTheme="minorHAnsi" w:hAnsi="Arial" w:cs="Arial"/>
          <w:sz w:val="24"/>
          <w:szCs w:val="24"/>
          <w:lang w:val="en-ZA"/>
        </w:rPr>
        <w:tab/>
        <w:t>In the result, I make the following orders:</w:t>
      </w:r>
    </w:p>
    <w:p w14:paraId="2B1B1B93" w14:textId="2EB05224" w:rsidR="00BB299B" w:rsidRPr="00DF4DB5" w:rsidRDefault="004B68B6" w:rsidP="00A36FC0">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Theme="minorHAnsi" w:hAnsi="Arial" w:cs="Arial"/>
          <w:sz w:val="24"/>
          <w:szCs w:val="24"/>
          <w:lang w:val="en-ZA"/>
        </w:rPr>
        <w:t>1</w:t>
      </w:r>
      <w:r w:rsidRPr="00DF4DB5">
        <w:rPr>
          <w:rFonts w:ascii="Arial" w:eastAsiaTheme="minorHAnsi" w:hAnsi="Arial" w:cs="Arial"/>
          <w:sz w:val="24"/>
          <w:szCs w:val="24"/>
          <w:lang w:val="en-ZA"/>
        </w:rPr>
        <w:tab/>
        <w:t>The appeal is reinstated</w:t>
      </w:r>
      <w:r w:rsidR="00C539DD" w:rsidRPr="00DF4DB5">
        <w:rPr>
          <w:rFonts w:ascii="Arial" w:eastAsiaTheme="minorHAnsi" w:hAnsi="Arial" w:cs="Arial"/>
          <w:sz w:val="24"/>
          <w:szCs w:val="24"/>
          <w:lang w:val="en-ZA"/>
        </w:rPr>
        <w:t xml:space="preserve"> with no order as to costs</w:t>
      </w:r>
      <w:r w:rsidRPr="00DF4DB5">
        <w:rPr>
          <w:rFonts w:ascii="Arial" w:eastAsiaTheme="minorHAnsi" w:hAnsi="Arial" w:cs="Arial"/>
          <w:sz w:val="24"/>
          <w:szCs w:val="24"/>
          <w:lang w:val="en-ZA"/>
        </w:rPr>
        <w:t xml:space="preserve">. </w:t>
      </w:r>
    </w:p>
    <w:p w14:paraId="49FDB257" w14:textId="3D4C09D1" w:rsidR="004B68B6" w:rsidRPr="00DF4DB5" w:rsidRDefault="00BB299B" w:rsidP="00C10D08">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Theme="minorHAnsi" w:hAnsi="Arial" w:cs="Arial"/>
          <w:sz w:val="24"/>
          <w:szCs w:val="24"/>
          <w:lang w:val="en-ZA"/>
        </w:rPr>
        <w:t>2</w:t>
      </w:r>
      <w:r w:rsidRPr="00DF4DB5">
        <w:rPr>
          <w:rFonts w:ascii="Arial" w:eastAsiaTheme="minorHAnsi" w:hAnsi="Arial" w:cs="Arial"/>
          <w:sz w:val="24"/>
          <w:szCs w:val="24"/>
          <w:lang w:val="en-ZA"/>
        </w:rPr>
        <w:tab/>
        <w:t xml:space="preserve">The appeal is upheld with costs, save that no costs are to be paid by the respondents for the preparation of the </w:t>
      </w:r>
      <w:r w:rsidR="00DC49EE" w:rsidRPr="00DF4DB5">
        <w:rPr>
          <w:rFonts w:ascii="Arial" w:eastAsiaTheme="minorHAnsi" w:hAnsi="Arial" w:cs="Arial"/>
          <w:sz w:val="24"/>
          <w:szCs w:val="24"/>
          <w:lang w:val="en-ZA"/>
        </w:rPr>
        <w:t xml:space="preserve">appeal </w:t>
      </w:r>
      <w:r w:rsidRPr="00DF4DB5">
        <w:rPr>
          <w:rFonts w:ascii="Arial" w:eastAsiaTheme="minorHAnsi" w:hAnsi="Arial" w:cs="Arial"/>
          <w:sz w:val="24"/>
          <w:szCs w:val="24"/>
          <w:lang w:val="en-ZA"/>
        </w:rPr>
        <w:t>record.</w:t>
      </w:r>
    </w:p>
    <w:p w14:paraId="24AF8893" w14:textId="29216F7E" w:rsidR="004B68B6" w:rsidRPr="00DF4DB5" w:rsidRDefault="00BB299B" w:rsidP="00C10D08">
      <w:pPr>
        <w:autoSpaceDE w:val="0"/>
        <w:autoSpaceDN w:val="0"/>
        <w:adjustRightInd w:val="0"/>
        <w:spacing w:after="0" w:line="360" w:lineRule="auto"/>
        <w:jc w:val="both"/>
        <w:rPr>
          <w:rFonts w:ascii="Arial" w:eastAsiaTheme="minorHAnsi" w:hAnsi="Arial" w:cs="Arial"/>
          <w:sz w:val="24"/>
          <w:szCs w:val="24"/>
          <w:lang w:val="en-ZA"/>
        </w:rPr>
      </w:pPr>
      <w:r w:rsidRPr="00DF4DB5">
        <w:rPr>
          <w:rFonts w:ascii="Arial" w:eastAsiaTheme="minorHAnsi" w:hAnsi="Arial" w:cs="Arial"/>
          <w:sz w:val="24"/>
          <w:szCs w:val="24"/>
          <w:lang w:val="en-ZA"/>
        </w:rPr>
        <w:t>3</w:t>
      </w:r>
      <w:r w:rsidR="004B68B6" w:rsidRPr="00DF4DB5">
        <w:rPr>
          <w:rFonts w:ascii="Arial" w:eastAsiaTheme="minorHAnsi" w:hAnsi="Arial" w:cs="Arial"/>
          <w:sz w:val="24"/>
          <w:szCs w:val="24"/>
          <w:lang w:val="en-ZA"/>
        </w:rPr>
        <w:tab/>
        <w:t xml:space="preserve">The order of the high court </w:t>
      </w:r>
      <w:r w:rsidRPr="00DF4DB5">
        <w:rPr>
          <w:rFonts w:ascii="Arial" w:eastAsiaTheme="minorHAnsi" w:hAnsi="Arial" w:cs="Arial"/>
          <w:sz w:val="24"/>
          <w:szCs w:val="24"/>
          <w:lang w:val="en-ZA"/>
        </w:rPr>
        <w:t>is set aside and substituted with the following order:</w:t>
      </w:r>
    </w:p>
    <w:p w14:paraId="7D17487D" w14:textId="5970829E" w:rsidR="00E25DFA" w:rsidRDefault="00970638" w:rsidP="00BE74AA">
      <w:pPr>
        <w:spacing w:line="360" w:lineRule="auto"/>
        <w:ind w:left="720"/>
        <w:jc w:val="both"/>
        <w:rPr>
          <w:rFonts w:ascii="Arial" w:hAnsi="Arial" w:cs="Arial"/>
          <w:color w:val="000000"/>
          <w:sz w:val="24"/>
          <w:szCs w:val="24"/>
        </w:rPr>
      </w:pPr>
      <w:r w:rsidRPr="00DF4DB5">
        <w:rPr>
          <w:rFonts w:ascii="Arial" w:hAnsi="Arial" w:cs="Arial"/>
          <w:color w:val="000000"/>
          <w:sz w:val="24"/>
          <w:szCs w:val="24"/>
        </w:rPr>
        <w:t>‘</w:t>
      </w:r>
      <w:r w:rsidR="00C539DD" w:rsidRPr="00DF4DB5">
        <w:rPr>
          <w:rFonts w:ascii="Arial" w:hAnsi="Arial" w:cs="Arial"/>
          <w:color w:val="000000"/>
          <w:sz w:val="24"/>
          <w:szCs w:val="24"/>
        </w:rPr>
        <w:t>The applications in case numbers 1343/2021 and 1466/2021 are dismissed with costs</w:t>
      </w:r>
      <w:r w:rsidRPr="00DF4DB5">
        <w:rPr>
          <w:rFonts w:ascii="Arial" w:hAnsi="Arial" w:cs="Arial"/>
          <w:color w:val="000000"/>
          <w:sz w:val="24"/>
          <w:szCs w:val="24"/>
        </w:rPr>
        <w:t>.’</w:t>
      </w:r>
    </w:p>
    <w:p w14:paraId="4CEDFD85" w14:textId="77777777" w:rsidR="003439DF" w:rsidRPr="00DF4DB5" w:rsidRDefault="003439DF" w:rsidP="00BE74AA">
      <w:pPr>
        <w:spacing w:line="360" w:lineRule="auto"/>
        <w:ind w:left="720"/>
        <w:jc w:val="both"/>
        <w:rPr>
          <w:rFonts w:ascii="Arial" w:hAnsi="Arial" w:cs="Arial"/>
          <w:color w:val="000000"/>
          <w:sz w:val="24"/>
          <w:szCs w:val="24"/>
        </w:rPr>
      </w:pPr>
    </w:p>
    <w:p w14:paraId="1DF8F7C9" w14:textId="7FC5C028" w:rsidR="00C539DD" w:rsidRPr="00DF4DB5" w:rsidRDefault="00C539DD" w:rsidP="00467061">
      <w:pPr>
        <w:spacing w:line="360" w:lineRule="auto"/>
        <w:jc w:val="both"/>
        <w:rPr>
          <w:rFonts w:ascii="Arial" w:hAnsi="Arial" w:cs="Arial"/>
          <w:color w:val="000000"/>
          <w:sz w:val="24"/>
          <w:szCs w:val="24"/>
        </w:rPr>
      </w:pP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00F749DF" w:rsidRPr="00DF4DB5">
        <w:rPr>
          <w:rFonts w:ascii="Arial" w:hAnsi="Arial" w:cs="Arial"/>
          <w:color w:val="000000"/>
          <w:sz w:val="24"/>
          <w:szCs w:val="24"/>
        </w:rPr>
        <w:tab/>
      </w:r>
      <w:r w:rsidR="003439DF">
        <w:rPr>
          <w:rFonts w:ascii="Arial" w:hAnsi="Arial" w:cs="Arial"/>
          <w:color w:val="000000"/>
          <w:sz w:val="24"/>
          <w:szCs w:val="24"/>
        </w:rPr>
        <w:tab/>
      </w:r>
      <w:r w:rsidR="003439DF">
        <w:rPr>
          <w:rFonts w:ascii="Arial" w:hAnsi="Arial" w:cs="Arial"/>
          <w:color w:val="000000"/>
          <w:sz w:val="24"/>
          <w:szCs w:val="24"/>
        </w:rPr>
        <w:tab/>
      </w:r>
      <w:r w:rsidR="003B3752">
        <w:rPr>
          <w:b/>
          <w:bCs/>
          <w:i/>
          <w:iCs/>
        </w:rPr>
        <w:object w:dxaOrig="12024" w:dyaOrig="10368" w14:anchorId="05DF9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25pt;height:3.75pt" o:ole="">
            <v:imagedata r:id="rId10" o:title=""/>
          </v:shape>
          <o:OLEObject Type="Embed" ProgID="PictureIt!.Picture" ShapeID="_x0000_i1031" DrawAspect="Content" ObjectID="_1766996020" r:id="rId11"/>
        </w:object>
      </w:r>
      <w:r w:rsidR="00F749DF" w:rsidRPr="00DF4DB5">
        <w:rPr>
          <w:rFonts w:ascii="Arial" w:hAnsi="Arial" w:cs="Arial"/>
          <w:color w:val="000000"/>
          <w:sz w:val="24"/>
          <w:szCs w:val="24"/>
        </w:rPr>
        <w:tab/>
      </w:r>
      <w:r w:rsidR="00F749DF" w:rsidRPr="00DF4DB5">
        <w:rPr>
          <w:rFonts w:ascii="Arial" w:hAnsi="Arial" w:cs="Arial"/>
          <w:color w:val="000000"/>
          <w:sz w:val="24"/>
          <w:szCs w:val="24"/>
        </w:rPr>
        <w:lastRenderedPageBreak/>
        <w:tab/>
      </w:r>
      <w:r w:rsidR="00F749DF" w:rsidRPr="00DF4DB5">
        <w:rPr>
          <w:rFonts w:ascii="Arial" w:hAnsi="Arial" w:cs="Arial"/>
          <w:color w:val="000000"/>
          <w:sz w:val="24"/>
          <w:szCs w:val="24"/>
        </w:rPr>
        <w:tab/>
      </w:r>
      <w:r w:rsidR="00F749DF" w:rsidRPr="00DF4DB5">
        <w:rPr>
          <w:rFonts w:ascii="Arial" w:hAnsi="Arial" w:cs="Arial"/>
          <w:color w:val="000000"/>
          <w:sz w:val="24"/>
          <w:szCs w:val="24"/>
        </w:rPr>
        <w:tab/>
      </w:r>
      <w:r w:rsidR="00F749DF" w:rsidRPr="00DF4DB5">
        <w:rPr>
          <w:rFonts w:ascii="Arial" w:hAnsi="Arial" w:cs="Arial"/>
          <w:color w:val="000000"/>
          <w:sz w:val="24"/>
          <w:szCs w:val="24"/>
        </w:rPr>
        <w:tab/>
      </w:r>
      <w:r w:rsidR="00F749DF" w:rsidRPr="00DF4DB5">
        <w:rPr>
          <w:rFonts w:ascii="Arial" w:hAnsi="Arial" w:cs="Arial"/>
          <w:color w:val="000000"/>
          <w:sz w:val="24"/>
          <w:szCs w:val="24"/>
        </w:rPr>
        <w:tab/>
      </w:r>
      <w:r w:rsidRPr="00DF4DB5">
        <w:rPr>
          <w:rFonts w:ascii="Arial" w:hAnsi="Arial" w:cs="Arial"/>
          <w:color w:val="000000"/>
          <w:sz w:val="24"/>
          <w:szCs w:val="24"/>
        </w:rPr>
        <w:tab/>
      </w:r>
      <w:r w:rsidR="00971647" w:rsidRPr="00DF4DB5">
        <w:rPr>
          <w:rFonts w:ascii="Arial" w:hAnsi="Arial" w:cs="Arial"/>
          <w:color w:val="000000"/>
          <w:sz w:val="24"/>
          <w:szCs w:val="24"/>
        </w:rPr>
        <w:tab/>
      </w:r>
      <w:r w:rsidR="00971647" w:rsidRPr="00DF4DB5">
        <w:rPr>
          <w:rFonts w:ascii="Arial" w:hAnsi="Arial" w:cs="Arial"/>
          <w:color w:val="000000"/>
          <w:sz w:val="24"/>
          <w:szCs w:val="24"/>
        </w:rPr>
        <w:tab/>
      </w:r>
      <w:r w:rsidR="00971647" w:rsidRPr="00DF4DB5">
        <w:rPr>
          <w:rFonts w:ascii="Arial" w:hAnsi="Arial" w:cs="Arial"/>
          <w:color w:val="000000"/>
          <w:sz w:val="24"/>
          <w:szCs w:val="24"/>
        </w:rPr>
        <w:tab/>
      </w:r>
      <w:r w:rsidR="00971647" w:rsidRPr="00DF4DB5">
        <w:rPr>
          <w:rFonts w:ascii="Arial" w:hAnsi="Arial" w:cs="Arial"/>
          <w:color w:val="000000"/>
          <w:sz w:val="24"/>
          <w:szCs w:val="24"/>
        </w:rPr>
        <w:tab/>
      </w:r>
      <w:r w:rsidR="00971647" w:rsidRPr="00DF4DB5">
        <w:rPr>
          <w:rFonts w:ascii="Arial" w:hAnsi="Arial" w:cs="Arial"/>
          <w:color w:val="000000"/>
          <w:sz w:val="24"/>
          <w:szCs w:val="24"/>
        </w:rPr>
        <w:tab/>
      </w:r>
      <w:r w:rsidR="003439DF">
        <w:rPr>
          <w:rFonts w:ascii="Arial" w:hAnsi="Arial" w:cs="Arial"/>
          <w:color w:val="000000"/>
          <w:sz w:val="24"/>
          <w:szCs w:val="24"/>
        </w:rPr>
        <w:tab/>
      </w:r>
      <w:r w:rsidR="003439DF">
        <w:rPr>
          <w:rFonts w:ascii="Arial" w:hAnsi="Arial" w:cs="Arial"/>
          <w:color w:val="000000"/>
          <w:sz w:val="24"/>
          <w:szCs w:val="24"/>
        </w:rPr>
        <w:tab/>
      </w:r>
      <w:r w:rsidR="003439DF">
        <w:rPr>
          <w:rFonts w:ascii="Arial" w:hAnsi="Arial" w:cs="Arial"/>
          <w:color w:val="000000"/>
          <w:sz w:val="24"/>
          <w:szCs w:val="24"/>
        </w:rPr>
        <w:tab/>
      </w:r>
      <w:r w:rsidR="003439DF">
        <w:rPr>
          <w:rFonts w:ascii="Arial" w:hAnsi="Arial" w:cs="Arial"/>
          <w:color w:val="000000"/>
          <w:sz w:val="24"/>
          <w:szCs w:val="24"/>
        </w:rPr>
        <w:tab/>
      </w:r>
      <w:r w:rsidR="003439DF">
        <w:rPr>
          <w:rFonts w:ascii="Arial" w:hAnsi="Arial" w:cs="Arial"/>
          <w:color w:val="000000"/>
          <w:sz w:val="24"/>
          <w:szCs w:val="24"/>
        </w:rPr>
        <w:tab/>
      </w:r>
      <w:r w:rsidR="003439DF">
        <w:rPr>
          <w:rFonts w:ascii="Arial" w:hAnsi="Arial" w:cs="Arial"/>
          <w:color w:val="000000"/>
          <w:sz w:val="24"/>
          <w:szCs w:val="24"/>
        </w:rPr>
        <w:tab/>
      </w:r>
      <w:r w:rsidR="003439DF">
        <w:rPr>
          <w:rFonts w:ascii="Arial" w:hAnsi="Arial" w:cs="Arial"/>
          <w:color w:val="000000"/>
          <w:sz w:val="24"/>
          <w:szCs w:val="24"/>
        </w:rPr>
        <w:tab/>
      </w:r>
      <w:r w:rsidR="003439DF">
        <w:rPr>
          <w:rFonts w:ascii="Arial" w:hAnsi="Arial" w:cs="Arial"/>
          <w:color w:val="000000"/>
          <w:sz w:val="24"/>
          <w:szCs w:val="24"/>
        </w:rPr>
        <w:tab/>
      </w:r>
      <w:r w:rsidR="003439DF">
        <w:rPr>
          <w:rFonts w:ascii="Arial" w:hAnsi="Arial" w:cs="Arial"/>
          <w:color w:val="000000"/>
          <w:sz w:val="24"/>
          <w:szCs w:val="24"/>
        </w:rPr>
        <w:tab/>
      </w:r>
      <w:r w:rsidRPr="00DF4DB5">
        <w:rPr>
          <w:rFonts w:ascii="Arial" w:hAnsi="Arial" w:cs="Arial"/>
          <w:color w:val="000000"/>
          <w:sz w:val="24"/>
          <w:szCs w:val="24"/>
        </w:rPr>
        <w:t>________________</w:t>
      </w:r>
    </w:p>
    <w:p w14:paraId="7346AE16" w14:textId="77777777" w:rsidR="00C539DD" w:rsidRPr="00DF4DB5" w:rsidRDefault="00C539DD" w:rsidP="00C539DD">
      <w:pPr>
        <w:spacing w:after="0" w:line="240" w:lineRule="auto"/>
        <w:jc w:val="both"/>
        <w:rPr>
          <w:rFonts w:ascii="Arial" w:hAnsi="Arial" w:cs="Arial"/>
          <w:color w:val="000000"/>
          <w:sz w:val="24"/>
          <w:szCs w:val="24"/>
        </w:rPr>
      </w:pP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t>CHETTY AJA</w:t>
      </w:r>
    </w:p>
    <w:p w14:paraId="79917A8C" w14:textId="3FC14FE9" w:rsidR="00BC0974" w:rsidRDefault="00C539DD" w:rsidP="00B73819">
      <w:pPr>
        <w:spacing w:after="0" w:line="240" w:lineRule="auto"/>
        <w:jc w:val="both"/>
        <w:rPr>
          <w:rFonts w:ascii="Arial" w:hAnsi="Arial" w:cs="Arial"/>
          <w:color w:val="000000"/>
          <w:sz w:val="24"/>
          <w:szCs w:val="24"/>
        </w:rPr>
      </w:pP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r>
      <w:r w:rsidRPr="00DF4DB5">
        <w:rPr>
          <w:rFonts w:ascii="Arial" w:hAnsi="Arial" w:cs="Arial"/>
          <w:color w:val="000000"/>
          <w:sz w:val="24"/>
          <w:szCs w:val="24"/>
        </w:rPr>
        <w:tab/>
        <w:t>Acting Judge of Appeal</w:t>
      </w:r>
    </w:p>
    <w:p w14:paraId="76236A85" w14:textId="13CD0FAE" w:rsidR="00550FDC" w:rsidRDefault="00550FDC" w:rsidP="00B73819">
      <w:pPr>
        <w:spacing w:after="0" w:line="240" w:lineRule="auto"/>
        <w:jc w:val="both"/>
        <w:rPr>
          <w:rFonts w:ascii="Arial" w:hAnsi="Arial" w:cs="Arial"/>
          <w:color w:val="000000"/>
          <w:sz w:val="24"/>
          <w:szCs w:val="24"/>
        </w:rPr>
      </w:pPr>
    </w:p>
    <w:p w14:paraId="3CDF4EBE" w14:textId="2A8E5871" w:rsidR="00550FDC" w:rsidRDefault="00550FDC" w:rsidP="00B73819">
      <w:pPr>
        <w:spacing w:after="0" w:line="240" w:lineRule="auto"/>
        <w:jc w:val="both"/>
        <w:rPr>
          <w:rFonts w:ascii="Arial" w:hAnsi="Arial" w:cs="Arial"/>
          <w:color w:val="000000"/>
          <w:sz w:val="24"/>
          <w:szCs w:val="24"/>
        </w:rPr>
      </w:pPr>
    </w:p>
    <w:p w14:paraId="31E3A0AC" w14:textId="1BD0E72D" w:rsidR="00550FDC" w:rsidRDefault="00550FDC" w:rsidP="00B73819">
      <w:pPr>
        <w:spacing w:after="0" w:line="240" w:lineRule="auto"/>
        <w:jc w:val="both"/>
        <w:rPr>
          <w:rFonts w:ascii="Arial" w:hAnsi="Arial" w:cs="Arial"/>
          <w:color w:val="000000"/>
          <w:sz w:val="24"/>
          <w:szCs w:val="24"/>
        </w:rPr>
      </w:pPr>
    </w:p>
    <w:p w14:paraId="384176C0" w14:textId="4AA19F2F" w:rsidR="00550FDC" w:rsidRDefault="00550FDC" w:rsidP="00B73819">
      <w:pPr>
        <w:spacing w:after="0" w:line="240" w:lineRule="auto"/>
        <w:jc w:val="both"/>
        <w:rPr>
          <w:rFonts w:ascii="Arial" w:hAnsi="Arial" w:cs="Arial"/>
          <w:color w:val="000000"/>
          <w:sz w:val="24"/>
          <w:szCs w:val="24"/>
        </w:rPr>
      </w:pPr>
    </w:p>
    <w:p w14:paraId="3564A31E" w14:textId="7CBBA5C2" w:rsidR="00550FDC" w:rsidRDefault="00550FDC" w:rsidP="00B73819">
      <w:pPr>
        <w:spacing w:after="0" w:line="240" w:lineRule="auto"/>
        <w:jc w:val="both"/>
        <w:rPr>
          <w:rFonts w:ascii="Arial" w:hAnsi="Arial" w:cs="Arial"/>
          <w:color w:val="000000"/>
          <w:sz w:val="24"/>
          <w:szCs w:val="24"/>
        </w:rPr>
      </w:pPr>
    </w:p>
    <w:p w14:paraId="45D30853" w14:textId="6CCFA1D8" w:rsidR="00550FDC" w:rsidRDefault="00550FDC" w:rsidP="00B73819">
      <w:pPr>
        <w:spacing w:after="0" w:line="240" w:lineRule="auto"/>
        <w:jc w:val="both"/>
        <w:rPr>
          <w:rFonts w:ascii="Arial" w:hAnsi="Arial" w:cs="Arial"/>
          <w:color w:val="000000"/>
          <w:sz w:val="24"/>
          <w:szCs w:val="24"/>
        </w:rPr>
      </w:pPr>
    </w:p>
    <w:p w14:paraId="7480D9A5" w14:textId="6C0B4C7F" w:rsidR="00550FDC" w:rsidRDefault="00550FDC" w:rsidP="00B73819">
      <w:pPr>
        <w:spacing w:after="0" w:line="240" w:lineRule="auto"/>
        <w:jc w:val="both"/>
        <w:rPr>
          <w:rFonts w:ascii="Arial" w:hAnsi="Arial" w:cs="Arial"/>
          <w:color w:val="000000"/>
          <w:sz w:val="24"/>
          <w:szCs w:val="24"/>
        </w:rPr>
      </w:pPr>
    </w:p>
    <w:p w14:paraId="08828F5D" w14:textId="59CE1F3A" w:rsidR="00550FDC" w:rsidRDefault="00550FDC" w:rsidP="00B73819">
      <w:pPr>
        <w:spacing w:after="0" w:line="240" w:lineRule="auto"/>
        <w:jc w:val="both"/>
        <w:rPr>
          <w:rFonts w:ascii="Arial" w:hAnsi="Arial" w:cs="Arial"/>
          <w:color w:val="000000"/>
          <w:sz w:val="24"/>
          <w:szCs w:val="24"/>
        </w:rPr>
      </w:pPr>
    </w:p>
    <w:p w14:paraId="5390DCAB" w14:textId="7A2DB91B" w:rsidR="00550FDC" w:rsidRDefault="00550FDC" w:rsidP="00B73819">
      <w:pPr>
        <w:spacing w:after="0" w:line="240" w:lineRule="auto"/>
        <w:jc w:val="both"/>
        <w:rPr>
          <w:rFonts w:ascii="Arial" w:hAnsi="Arial" w:cs="Arial"/>
          <w:color w:val="000000"/>
          <w:sz w:val="24"/>
          <w:szCs w:val="24"/>
        </w:rPr>
      </w:pPr>
    </w:p>
    <w:p w14:paraId="472337F2" w14:textId="09253445" w:rsidR="00550FDC" w:rsidRDefault="00550FDC" w:rsidP="00B73819">
      <w:pPr>
        <w:spacing w:after="0" w:line="240" w:lineRule="auto"/>
        <w:jc w:val="both"/>
        <w:rPr>
          <w:rFonts w:ascii="Arial" w:hAnsi="Arial" w:cs="Arial"/>
          <w:color w:val="000000"/>
          <w:sz w:val="24"/>
          <w:szCs w:val="24"/>
        </w:rPr>
      </w:pPr>
    </w:p>
    <w:p w14:paraId="7352EB9E" w14:textId="7770E6FB" w:rsidR="00550FDC" w:rsidRDefault="00550FDC" w:rsidP="00B73819">
      <w:pPr>
        <w:spacing w:after="0" w:line="240" w:lineRule="auto"/>
        <w:jc w:val="both"/>
        <w:rPr>
          <w:rFonts w:ascii="Arial" w:hAnsi="Arial" w:cs="Arial"/>
          <w:color w:val="000000"/>
          <w:sz w:val="24"/>
          <w:szCs w:val="24"/>
        </w:rPr>
      </w:pPr>
    </w:p>
    <w:p w14:paraId="415A307B" w14:textId="43FA2436" w:rsidR="00550FDC" w:rsidRDefault="00550FDC" w:rsidP="00B73819">
      <w:pPr>
        <w:spacing w:after="0" w:line="240" w:lineRule="auto"/>
        <w:jc w:val="both"/>
        <w:rPr>
          <w:rFonts w:ascii="Arial" w:hAnsi="Arial" w:cs="Arial"/>
          <w:color w:val="000000"/>
          <w:sz w:val="24"/>
          <w:szCs w:val="24"/>
        </w:rPr>
      </w:pPr>
    </w:p>
    <w:p w14:paraId="6E4C14D0" w14:textId="017AD867" w:rsidR="00550FDC" w:rsidRDefault="00550FDC" w:rsidP="00B73819">
      <w:pPr>
        <w:spacing w:after="0" w:line="240" w:lineRule="auto"/>
        <w:jc w:val="both"/>
        <w:rPr>
          <w:rFonts w:ascii="Arial" w:hAnsi="Arial" w:cs="Arial"/>
          <w:color w:val="000000"/>
          <w:sz w:val="24"/>
          <w:szCs w:val="24"/>
        </w:rPr>
      </w:pPr>
    </w:p>
    <w:p w14:paraId="60CC969F" w14:textId="3FA81ABB" w:rsidR="00550FDC" w:rsidRDefault="00550FDC" w:rsidP="00B73819">
      <w:pPr>
        <w:spacing w:after="0" w:line="240" w:lineRule="auto"/>
        <w:jc w:val="both"/>
        <w:rPr>
          <w:rFonts w:ascii="Arial" w:hAnsi="Arial" w:cs="Arial"/>
          <w:color w:val="000000"/>
          <w:sz w:val="24"/>
          <w:szCs w:val="24"/>
        </w:rPr>
      </w:pPr>
    </w:p>
    <w:p w14:paraId="2F163BE5" w14:textId="1CA60944" w:rsidR="00550FDC" w:rsidRDefault="00550FDC" w:rsidP="00B73819">
      <w:pPr>
        <w:spacing w:after="0" w:line="240" w:lineRule="auto"/>
        <w:jc w:val="both"/>
        <w:rPr>
          <w:rFonts w:ascii="Arial" w:hAnsi="Arial" w:cs="Arial"/>
          <w:color w:val="000000"/>
          <w:sz w:val="24"/>
          <w:szCs w:val="24"/>
        </w:rPr>
      </w:pPr>
    </w:p>
    <w:p w14:paraId="28BE2A9B" w14:textId="09A3ED5B" w:rsidR="00550FDC" w:rsidRDefault="00550FDC" w:rsidP="00B73819">
      <w:pPr>
        <w:spacing w:after="0" w:line="240" w:lineRule="auto"/>
        <w:jc w:val="both"/>
        <w:rPr>
          <w:rFonts w:ascii="Arial" w:hAnsi="Arial" w:cs="Arial"/>
          <w:color w:val="000000"/>
          <w:sz w:val="24"/>
          <w:szCs w:val="24"/>
        </w:rPr>
      </w:pPr>
    </w:p>
    <w:p w14:paraId="70D56B43" w14:textId="676B7596" w:rsidR="00550FDC" w:rsidRDefault="00550FDC" w:rsidP="00B73819">
      <w:pPr>
        <w:spacing w:after="0" w:line="240" w:lineRule="auto"/>
        <w:jc w:val="both"/>
        <w:rPr>
          <w:rFonts w:ascii="Arial" w:hAnsi="Arial" w:cs="Arial"/>
          <w:color w:val="000000"/>
          <w:sz w:val="24"/>
          <w:szCs w:val="24"/>
        </w:rPr>
      </w:pPr>
    </w:p>
    <w:p w14:paraId="208AF268" w14:textId="40465CEF" w:rsidR="00550FDC" w:rsidRDefault="00550FDC" w:rsidP="00B73819">
      <w:pPr>
        <w:spacing w:after="0" w:line="240" w:lineRule="auto"/>
        <w:jc w:val="both"/>
        <w:rPr>
          <w:rFonts w:ascii="Arial" w:hAnsi="Arial" w:cs="Arial"/>
          <w:color w:val="000000"/>
          <w:sz w:val="24"/>
          <w:szCs w:val="24"/>
        </w:rPr>
      </w:pPr>
    </w:p>
    <w:p w14:paraId="66681743" w14:textId="686AFE8A" w:rsidR="00550FDC" w:rsidRDefault="00550FDC" w:rsidP="00B73819">
      <w:pPr>
        <w:spacing w:after="0" w:line="240" w:lineRule="auto"/>
        <w:jc w:val="both"/>
        <w:rPr>
          <w:rFonts w:ascii="Arial" w:hAnsi="Arial" w:cs="Arial"/>
          <w:color w:val="000000"/>
          <w:sz w:val="24"/>
          <w:szCs w:val="24"/>
        </w:rPr>
      </w:pPr>
    </w:p>
    <w:p w14:paraId="6BB3F070" w14:textId="46FBA68D" w:rsidR="00550FDC" w:rsidRDefault="00550FDC" w:rsidP="00B73819">
      <w:pPr>
        <w:spacing w:after="0" w:line="240" w:lineRule="auto"/>
        <w:jc w:val="both"/>
        <w:rPr>
          <w:rFonts w:ascii="Arial" w:hAnsi="Arial" w:cs="Arial"/>
          <w:color w:val="000000"/>
          <w:sz w:val="24"/>
          <w:szCs w:val="24"/>
        </w:rPr>
      </w:pPr>
    </w:p>
    <w:p w14:paraId="3F315760" w14:textId="0157FFA5" w:rsidR="00550FDC" w:rsidRDefault="00550FDC" w:rsidP="00B73819">
      <w:pPr>
        <w:spacing w:after="0" w:line="240" w:lineRule="auto"/>
        <w:jc w:val="both"/>
        <w:rPr>
          <w:rFonts w:ascii="Arial" w:hAnsi="Arial" w:cs="Arial"/>
          <w:color w:val="000000"/>
          <w:sz w:val="24"/>
          <w:szCs w:val="24"/>
        </w:rPr>
      </w:pPr>
    </w:p>
    <w:p w14:paraId="27F71451" w14:textId="5C3EAC6B" w:rsidR="00550FDC" w:rsidRDefault="00550FDC" w:rsidP="00B73819">
      <w:pPr>
        <w:spacing w:after="0" w:line="240" w:lineRule="auto"/>
        <w:jc w:val="both"/>
        <w:rPr>
          <w:rFonts w:ascii="Arial" w:hAnsi="Arial" w:cs="Arial"/>
          <w:color w:val="000000"/>
          <w:sz w:val="24"/>
          <w:szCs w:val="24"/>
        </w:rPr>
      </w:pPr>
    </w:p>
    <w:p w14:paraId="6B697064" w14:textId="663A3167" w:rsidR="00550FDC" w:rsidRDefault="00550FDC" w:rsidP="00B73819">
      <w:pPr>
        <w:spacing w:after="0" w:line="240" w:lineRule="auto"/>
        <w:jc w:val="both"/>
        <w:rPr>
          <w:rFonts w:ascii="Arial" w:hAnsi="Arial" w:cs="Arial"/>
          <w:color w:val="000000"/>
          <w:sz w:val="24"/>
          <w:szCs w:val="24"/>
        </w:rPr>
      </w:pPr>
    </w:p>
    <w:p w14:paraId="618624CB" w14:textId="770BC605" w:rsidR="00550FDC" w:rsidRDefault="00550FDC" w:rsidP="00B73819">
      <w:pPr>
        <w:spacing w:after="0" w:line="240" w:lineRule="auto"/>
        <w:jc w:val="both"/>
        <w:rPr>
          <w:rFonts w:ascii="Arial" w:hAnsi="Arial" w:cs="Arial"/>
          <w:color w:val="000000"/>
          <w:sz w:val="24"/>
          <w:szCs w:val="24"/>
        </w:rPr>
      </w:pPr>
    </w:p>
    <w:p w14:paraId="19B8B7D6" w14:textId="665586C5" w:rsidR="00550FDC" w:rsidRDefault="00550FDC" w:rsidP="00B73819">
      <w:pPr>
        <w:spacing w:after="0" w:line="240" w:lineRule="auto"/>
        <w:jc w:val="both"/>
        <w:rPr>
          <w:rFonts w:ascii="Arial" w:hAnsi="Arial" w:cs="Arial"/>
          <w:color w:val="000000"/>
          <w:sz w:val="24"/>
          <w:szCs w:val="24"/>
        </w:rPr>
      </w:pPr>
    </w:p>
    <w:p w14:paraId="7A202F0C" w14:textId="7A38678D" w:rsidR="00550FDC" w:rsidRDefault="00550FDC" w:rsidP="00B73819">
      <w:pPr>
        <w:spacing w:after="0" w:line="240" w:lineRule="auto"/>
        <w:jc w:val="both"/>
        <w:rPr>
          <w:rFonts w:ascii="Arial" w:hAnsi="Arial" w:cs="Arial"/>
          <w:color w:val="000000"/>
          <w:sz w:val="24"/>
          <w:szCs w:val="24"/>
        </w:rPr>
      </w:pPr>
    </w:p>
    <w:p w14:paraId="60E993FE" w14:textId="66D8CA39" w:rsidR="00550FDC" w:rsidRDefault="00550FDC" w:rsidP="00B73819">
      <w:pPr>
        <w:spacing w:after="0" w:line="240" w:lineRule="auto"/>
        <w:jc w:val="both"/>
        <w:rPr>
          <w:rFonts w:ascii="Arial" w:hAnsi="Arial" w:cs="Arial"/>
          <w:color w:val="000000"/>
          <w:sz w:val="24"/>
          <w:szCs w:val="24"/>
        </w:rPr>
      </w:pPr>
    </w:p>
    <w:p w14:paraId="25D2D203" w14:textId="6F95713E" w:rsidR="00550FDC" w:rsidRDefault="00550FDC" w:rsidP="00B73819">
      <w:pPr>
        <w:spacing w:after="0" w:line="240" w:lineRule="auto"/>
        <w:jc w:val="both"/>
        <w:rPr>
          <w:rFonts w:ascii="Arial" w:hAnsi="Arial" w:cs="Arial"/>
          <w:color w:val="000000"/>
          <w:sz w:val="24"/>
          <w:szCs w:val="24"/>
        </w:rPr>
      </w:pPr>
    </w:p>
    <w:p w14:paraId="53264D63" w14:textId="4A4C46B0" w:rsidR="00550FDC" w:rsidRDefault="00550FDC" w:rsidP="00B73819">
      <w:pPr>
        <w:spacing w:after="0" w:line="240" w:lineRule="auto"/>
        <w:jc w:val="both"/>
        <w:rPr>
          <w:rFonts w:ascii="Arial" w:hAnsi="Arial" w:cs="Arial"/>
          <w:color w:val="000000"/>
          <w:sz w:val="24"/>
          <w:szCs w:val="24"/>
        </w:rPr>
      </w:pPr>
    </w:p>
    <w:p w14:paraId="6B40A5C0" w14:textId="1432ADF8" w:rsidR="00550FDC" w:rsidRDefault="00550FDC" w:rsidP="00B73819">
      <w:pPr>
        <w:spacing w:after="0" w:line="240" w:lineRule="auto"/>
        <w:jc w:val="both"/>
        <w:rPr>
          <w:rFonts w:ascii="Arial" w:hAnsi="Arial" w:cs="Arial"/>
          <w:color w:val="000000"/>
          <w:sz w:val="24"/>
          <w:szCs w:val="24"/>
        </w:rPr>
      </w:pPr>
    </w:p>
    <w:p w14:paraId="7748ADE0" w14:textId="3752DCAA" w:rsidR="00550FDC" w:rsidRDefault="00550FDC" w:rsidP="00B73819">
      <w:pPr>
        <w:spacing w:after="0" w:line="240" w:lineRule="auto"/>
        <w:jc w:val="both"/>
        <w:rPr>
          <w:rFonts w:ascii="Arial" w:hAnsi="Arial" w:cs="Arial"/>
          <w:color w:val="000000"/>
          <w:sz w:val="24"/>
          <w:szCs w:val="24"/>
        </w:rPr>
      </w:pPr>
    </w:p>
    <w:p w14:paraId="00E8399B" w14:textId="1E347247" w:rsidR="00550FDC" w:rsidRDefault="00550FDC" w:rsidP="00B73819">
      <w:pPr>
        <w:spacing w:after="0" w:line="240" w:lineRule="auto"/>
        <w:jc w:val="both"/>
        <w:rPr>
          <w:rFonts w:ascii="Arial" w:hAnsi="Arial" w:cs="Arial"/>
          <w:color w:val="000000"/>
          <w:sz w:val="24"/>
          <w:szCs w:val="24"/>
        </w:rPr>
      </w:pPr>
    </w:p>
    <w:p w14:paraId="5D10DABE" w14:textId="50B03D02" w:rsidR="00550FDC" w:rsidRDefault="00550FDC" w:rsidP="00B73819">
      <w:pPr>
        <w:spacing w:after="0" w:line="240" w:lineRule="auto"/>
        <w:jc w:val="both"/>
        <w:rPr>
          <w:rFonts w:ascii="Arial" w:hAnsi="Arial" w:cs="Arial"/>
          <w:color w:val="000000"/>
          <w:sz w:val="24"/>
          <w:szCs w:val="24"/>
        </w:rPr>
      </w:pPr>
    </w:p>
    <w:p w14:paraId="1421453B" w14:textId="1F4D8C4B" w:rsidR="00550FDC" w:rsidRDefault="00550FDC" w:rsidP="00B73819">
      <w:pPr>
        <w:spacing w:after="0" w:line="240" w:lineRule="auto"/>
        <w:jc w:val="both"/>
        <w:rPr>
          <w:rFonts w:ascii="Arial" w:hAnsi="Arial" w:cs="Arial"/>
          <w:color w:val="000000"/>
          <w:sz w:val="24"/>
          <w:szCs w:val="24"/>
        </w:rPr>
      </w:pPr>
    </w:p>
    <w:p w14:paraId="7D0BCBAB" w14:textId="3E635E3E" w:rsidR="00550FDC" w:rsidRDefault="00550FDC" w:rsidP="00B73819">
      <w:pPr>
        <w:spacing w:after="0" w:line="240" w:lineRule="auto"/>
        <w:jc w:val="both"/>
        <w:rPr>
          <w:rFonts w:ascii="Arial" w:hAnsi="Arial" w:cs="Arial"/>
          <w:color w:val="000000"/>
          <w:sz w:val="24"/>
          <w:szCs w:val="24"/>
        </w:rPr>
      </w:pPr>
    </w:p>
    <w:p w14:paraId="05234FD6" w14:textId="57032D45" w:rsidR="00550FDC" w:rsidRDefault="00550FDC" w:rsidP="00B73819">
      <w:pPr>
        <w:spacing w:after="0" w:line="240" w:lineRule="auto"/>
        <w:jc w:val="both"/>
        <w:rPr>
          <w:rFonts w:ascii="Arial" w:hAnsi="Arial" w:cs="Arial"/>
          <w:color w:val="000000"/>
          <w:sz w:val="24"/>
          <w:szCs w:val="24"/>
        </w:rPr>
      </w:pPr>
    </w:p>
    <w:p w14:paraId="2FECA69B" w14:textId="2E1ABB79" w:rsidR="00550FDC" w:rsidRDefault="00550FDC" w:rsidP="00B73819">
      <w:pPr>
        <w:spacing w:after="0" w:line="240" w:lineRule="auto"/>
        <w:jc w:val="both"/>
        <w:rPr>
          <w:rFonts w:ascii="Arial" w:hAnsi="Arial" w:cs="Arial"/>
          <w:color w:val="000000"/>
          <w:sz w:val="24"/>
          <w:szCs w:val="24"/>
        </w:rPr>
      </w:pPr>
    </w:p>
    <w:p w14:paraId="5296CE8C" w14:textId="14CE2F9B" w:rsidR="00550FDC" w:rsidRDefault="00550FDC" w:rsidP="00B73819">
      <w:pPr>
        <w:spacing w:after="0" w:line="240" w:lineRule="auto"/>
        <w:jc w:val="both"/>
        <w:rPr>
          <w:rFonts w:ascii="Verdana" w:hAnsi="Verdana"/>
          <w:color w:val="000000"/>
          <w:sz w:val="18"/>
          <w:szCs w:val="18"/>
        </w:rPr>
      </w:pPr>
    </w:p>
    <w:p w14:paraId="45051B62" w14:textId="135AF4BC" w:rsidR="003B3752" w:rsidRDefault="003B3752" w:rsidP="00B73819">
      <w:pPr>
        <w:spacing w:after="0" w:line="240" w:lineRule="auto"/>
        <w:jc w:val="both"/>
        <w:rPr>
          <w:rFonts w:ascii="Verdana" w:hAnsi="Verdana"/>
          <w:color w:val="000000"/>
          <w:sz w:val="18"/>
          <w:szCs w:val="18"/>
        </w:rPr>
      </w:pPr>
    </w:p>
    <w:p w14:paraId="236B9515" w14:textId="1DCBED67" w:rsidR="003B3752" w:rsidRDefault="003B3752" w:rsidP="00B73819">
      <w:pPr>
        <w:spacing w:after="0" w:line="240" w:lineRule="auto"/>
        <w:jc w:val="both"/>
        <w:rPr>
          <w:rFonts w:ascii="Verdana" w:hAnsi="Verdana"/>
          <w:color w:val="000000"/>
          <w:sz w:val="18"/>
          <w:szCs w:val="18"/>
        </w:rPr>
      </w:pPr>
    </w:p>
    <w:p w14:paraId="335F5825" w14:textId="46FD32EA" w:rsidR="003B3752" w:rsidRDefault="003B3752" w:rsidP="00B73819">
      <w:pPr>
        <w:spacing w:after="0" w:line="240" w:lineRule="auto"/>
        <w:jc w:val="both"/>
        <w:rPr>
          <w:rFonts w:ascii="Verdana" w:hAnsi="Verdana"/>
          <w:color w:val="000000"/>
          <w:sz w:val="18"/>
          <w:szCs w:val="18"/>
        </w:rPr>
      </w:pPr>
    </w:p>
    <w:p w14:paraId="7A971A2A" w14:textId="0352A17B" w:rsidR="003B3752" w:rsidRDefault="003B3752" w:rsidP="00B73819">
      <w:pPr>
        <w:spacing w:after="0" w:line="240" w:lineRule="auto"/>
        <w:jc w:val="both"/>
        <w:rPr>
          <w:rFonts w:ascii="Verdana" w:hAnsi="Verdana"/>
          <w:color w:val="000000"/>
          <w:sz w:val="18"/>
          <w:szCs w:val="18"/>
        </w:rPr>
      </w:pPr>
    </w:p>
    <w:p w14:paraId="1409AAC7" w14:textId="59A5F650" w:rsidR="003B3752" w:rsidRDefault="003B3752" w:rsidP="00B73819">
      <w:pPr>
        <w:spacing w:after="0" w:line="240" w:lineRule="auto"/>
        <w:jc w:val="both"/>
        <w:rPr>
          <w:rFonts w:ascii="Verdana" w:hAnsi="Verdana"/>
          <w:color w:val="000000"/>
          <w:sz w:val="18"/>
          <w:szCs w:val="18"/>
        </w:rPr>
      </w:pPr>
    </w:p>
    <w:p w14:paraId="4EE73C2B" w14:textId="77777777" w:rsidR="003B3752" w:rsidRPr="00DF4DB5" w:rsidRDefault="003B3752" w:rsidP="00B73819">
      <w:pPr>
        <w:spacing w:after="0" w:line="240" w:lineRule="auto"/>
        <w:jc w:val="both"/>
        <w:rPr>
          <w:rFonts w:ascii="Verdana" w:hAnsi="Verdana"/>
          <w:color w:val="000000"/>
          <w:sz w:val="18"/>
          <w:szCs w:val="18"/>
        </w:rPr>
      </w:pPr>
      <w:bookmarkStart w:id="0" w:name="_GoBack"/>
      <w:bookmarkEnd w:id="0"/>
    </w:p>
    <w:p w14:paraId="766F69FF" w14:textId="77777777" w:rsidR="007918FE" w:rsidRPr="00DF4DB5" w:rsidRDefault="007918FE" w:rsidP="00F24641">
      <w:pPr>
        <w:rPr>
          <w:rFonts w:ascii="Arial" w:hAnsi="Arial" w:cs="Arial"/>
        </w:rPr>
      </w:pPr>
    </w:p>
    <w:p w14:paraId="7EFAE424" w14:textId="77777777" w:rsidR="00F24641" w:rsidRPr="00DF4DB5" w:rsidRDefault="00F24641" w:rsidP="00F24641">
      <w:pPr>
        <w:rPr>
          <w:rFonts w:ascii="Arial" w:hAnsi="Arial" w:cs="Arial"/>
        </w:rPr>
      </w:pPr>
      <w:r w:rsidRPr="00DF4DB5">
        <w:rPr>
          <w:rFonts w:ascii="Arial" w:hAnsi="Arial" w:cs="Arial"/>
        </w:rPr>
        <w:lastRenderedPageBreak/>
        <w:t>Appearances:</w:t>
      </w:r>
    </w:p>
    <w:p w14:paraId="7A0F3562" w14:textId="77777777" w:rsidR="00F24641" w:rsidRPr="00DF4DB5" w:rsidRDefault="00F24641" w:rsidP="00F24641">
      <w:pPr>
        <w:rPr>
          <w:rFonts w:ascii="Arial" w:eastAsia="Arial" w:hAnsi="Arial" w:cs="Arial"/>
        </w:rPr>
      </w:pPr>
    </w:p>
    <w:p w14:paraId="347FD7A1" w14:textId="3E0D2561" w:rsidR="00F24641" w:rsidRPr="00DF4DB5" w:rsidRDefault="00F24641" w:rsidP="00F24641">
      <w:pPr>
        <w:tabs>
          <w:tab w:val="left" w:pos="3969"/>
        </w:tabs>
        <w:ind w:left="1440" w:hanging="1440"/>
        <w:rPr>
          <w:rFonts w:ascii="Arial" w:eastAsia="Arial" w:hAnsi="Arial" w:cs="Arial"/>
        </w:rPr>
      </w:pPr>
      <w:r w:rsidRPr="00DF4DB5">
        <w:rPr>
          <w:rFonts w:ascii="Arial" w:eastAsia="Arial" w:hAnsi="Arial" w:cs="Arial"/>
        </w:rPr>
        <w:t>For appellant:</w:t>
      </w:r>
      <w:r w:rsidRPr="00DF4DB5">
        <w:rPr>
          <w:rFonts w:ascii="Arial" w:eastAsia="Arial" w:hAnsi="Arial" w:cs="Arial"/>
        </w:rPr>
        <w:tab/>
      </w:r>
      <w:r w:rsidRPr="00DF4DB5">
        <w:rPr>
          <w:rFonts w:ascii="Arial" w:eastAsia="Arial" w:hAnsi="Arial" w:cs="Arial"/>
        </w:rPr>
        <w:tab/>
        <w:t xml:space="preserve">A Katz SC (with him L Haskins) </w:t>
      </w:r>
    </w:p>
    <w:p w14:paraId="3E1F96AD" w14:textId="77777777" w:rsidR="00F24641" w:rsidRPr="00DF4DB5" w:rsidRDefault="00F24641" w:rsidP="00F24641">
      <w:pPr>
        <w:tabs>
          <w:tab w:val="left" w:pos="3969"/>
        </w:tabs>
        <w:ind w:left="1134" w:hanging="1134"/>
        <w:rPr>
          <w:rFonts w:ascii="Arial" w:eastAsia="Arial" w:hAnsi="Arial" w:cs="Arial"/>
        </w:rPr>
      </w:pPr>
      <w:r w:rsidRPr="00DF4DB5">
        <w:rPr>
          <w:rFonts w:ascii="Arial" w:eastAsia="Arial" w:hAnsi="Arial" w:cs="Arial"/>
        </w:rPr>
        <w:t>Instructed by:</w:t>
      </w:r>
      <w:r w:rsidRPr="00DF4DB5">
        <w:rPr>
          <w:rFonts w:ascii="Arial" w:eastAsia="Arial" w:hAnsi="Arial" w:cs="Arial"/>
        </w:rPr>
        <w:tab/>
        <w:t>Mvuzo Notyesi Incorporated, Mthatha</w:t>
      </w:r>
      <w:r w:rsidRPr="00DF4DB5">
        <w:rPr>
          <w:rFonts w:ascii="Arial" w:eastAsia="Arial" w:hAnsi="Arial" w:cs="Arial"/>
        </w:rPr>
        <w:tab/>
      </w:r>
    </w:p>
    <w:p w14:paraId="765A9939" w14:textId="1A133154" w:rsidR="00F24641" w:rsidRPr="00DF4DB5" w:rsidRDefault="00F24641" w:rsidP="00F24641">
      <w:pPr>
        <w:tabs>
          <w:tab w:val="left" w:pos="3969"/>
        </w:tabs>
        <w:ind w:left="1134" w:hanging="1134"/>
        <w:rPr>
          <w:rFonts w:ascii="Arial" w:eastAsia="Arial" w:hAnsi="Arial" w:cs="Arial"/>
        </w:rPr>
      </w:pPr>
      <w:r w:rsidRPr="00DF4DB5">
        <w:rPr>
          <w:rFonts w:ascii="Arial" w:eastAsia="Arial" w:hAnsi="Arial" w:cs="Arial"/>
        </w:rPr>
        <w:tab/>
      </w:r>
      <w:r w:rsidRPr="00DF4DB5">
        <w:rPr>
          <w:rFonts w:ascii="Arial" w:eastAsia="Arial" w:hAnsi="Arial" w:cs="Arial"/>
        </w:rPr>
        <w:tab/>
        <w:t>Phalatsi and Partners, Bloemfontein</w:t>
      </w:r>
    </w:p>
    <w:p w14:paraId="0CB50563" w14:textId="77777777" w:rsidR="00F24641" w:rsidRPr="00DF4DB5" w:rsidRDefault="00F24641" w:rsidP="00F24641">
      <w:pPr>
        <w:tabs>
          <w:tab w:val="left" w:pos="3969"/>
        </w:tabs>
        <w:rPr>
          <w:rFonts w:ascii="Arial" w:eastAsia="Arial" w:hAnsi="Arial" w:cs="Arial"/>
        </w:rPr>
      </w:pPr>
    </w:p>
    <w:p w14:paraId="179C6D2D" w14:textId="4A1BD1FF" w:rsidR="00F24641" w:rsidRPr="00DF4DB5" w:rsidRDefault="00F24641" w:rsidP="00F24641">
      <w:pPr>
        <w:tabs>
          <w:tab w:val="left" w:pos="3969"/>
        </w:tabs>
        <w:ind w:left="3969" w:hanging="3969"/>
        <w:rPr>
          <w:rFonts w:ascii="Arial" w:eastAsia="Arial" w:hAnsi="Arial" w:cs="Arial"/>
        </w:rPr>
      </w:pPr>
      <w:r w:rsidRPr="00DF4DB5">
        <w:rPr>
          <w:rFonts w:ascii="Arial" w:eastAsia="Arial" w:hAnsi="Arial" w:cs="Arial"/>
        </w:rPr>
        <w:t>For respondent:</w:t>
      </w:r>
      <w:r w:rsidRPr="00DF4DB5">
        <w:rPr>
          <w:rFonts w:ascii="Arial" w:eastAsia="Arial" w:hAnsi="Arial" w:cs="Arial"/>
        </w:rPr>
        <w:tab/>
        <w:t>N van der Sandt (heads of argument drawn by J G Grogan)</w:t>
      </w:r>
    </w:p>
    <w:p w14:paraId="69CBC827" w14:textId="77777777" w:rsidR="00F24641" w:rsidRDefault="00F24641" w:rsidP="00F24641">
      <w:pPr>
        <w:tabs>
          <w:tab w:val="left" w:pos="3969"/>
        </w:tabs>
        <w:rPr>
          <w:rFonts w:ascii="Arial" w:eastAsia="Arial" w:hAnsi="Arial" w:cs="Arial"/>
        </w:rPr>
      </w:pPr>
      <w:r w:rsidRPr="00DF4DB5">
        <w:rPr>
          <w:rFonts w:ascii="Arial" w:eastAsia="Arial" w:hAnsi="Arial" w:cs="Arial"/>
        </w:rPr>
        <w:t>Instructed by:</w:t>
      </w:r>
      <w:r w:rsidRPr="00DF4DB5">
        <w:rPr>
          <w:rFonts w:ascii="Arial" w:eastAsia="Arial" w:hAnsi="Arial" w:cs="Arial"/>
        </w:rPr>
        <w:tab/>
        <w:t>W Mdlangazi Attorneys, East London</w:t>
      </w:r>
      <w:r>
        <w:rPr>
          <w:rFonts w:ascii="Arial" w:eastAsia="Arial" w:hAnsi="Arial" w:cs="Arial"/>
        </w:rPr>
        <w:t xml:space="preserve"> </w:t>
      </w:r>
      <w:r w:rsidRPr="00C93C73">
        <w:rPr>
          <w:rFonts w:ascii="Arial" w:eastAsia="Arial" w:hAnsi="Arial" w:cs="Arial"/>
        </w:rPr>
        <w:tab/>
      </w:r>
    </w:p>
    <w:p w14:paraId="2E6F6543" w14:textId="76C7AD8F" w:rsidR="00F24641" w:rsidRDefault="00F24641" w:rsidP="00F24641">
      <w:pPr>
        <w:tabs>
          <w:tab w:val="left" w:pos="3969"/>
        </w:tabs>
        <w:rPr>
          <w:rFonts w:ascii="Arial" w:eastAsia="Arial" w:hAnsi="Arial" w:cs="Arial"/>
        </w:rPr>
      </w:pPr>
      <w:r>
        <w:rPr>
          <w:rFonts w:ascii="Arial" w:eastAsia="Arial" w:hAnsi="Arial" w:cs="Arial"/>
        </w:rPr>
        <w:tab/>
      </w:r>
      <w:r w:rsidRPr="00C93C73">
        <w:rPr>
          <w:rFonts w:ascii="Arial" w:eastAsia="Arial" w:hAnsi="Arial" w:cs="Arial"/>
        </w:rPr>
        <w:t>Webbers</w:t>
      </w:r>
      <w:r>
        <w:rPr>
          <w:rFonts w:ascii="Arial" w:eastAsia="Arial" w:hAnsi="Arial" w:cs="Arial"/>
        </w:rPr>
        <w:t xml:space="preserve"> </w:t>
      </w:r>
      <w:r w:rsidRPr="00C93C73">
        <w:rPr>
          <w:rFonts w:ascii="Arial" w:eastAsia="Arial" w:hAnsi="Arial" w:cs="Arial"/>
        </w:rPr>
        <w:t xml:space="preserve">Attorneys, Bloemfontein </w:t>
      </w:r>
    </w:p>
    <w:sectPr w:rsidR="00F2464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60CE4" w14:textId="77777777" w:rsidR="00681733" w:rsidRDefault="00681733" w:rsidP="009D5934">
      <w:pPr>
        <w:spacing w:after="0" w:line="240" w:lineRule="auto"/>
      </w:pPr>
      <w:r>
        <w:separator/>
      </w:r>
    </w:p>
  </w:endnote>
  <w:endnote w:type="continuationSeparator" w:id="0">
    <w:p w14:paraId="37F2DCB7" w14:textId="77777777" w:rsidR="00681733" w:rsidRDefault="00681733" w:rsidP="009D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808AE" w14:textId="77777777" w:rsidR="00681733" w:rsidRDefault="00681733" w:rsidP="009D5934">
      <w:pPr>
        <w:spacing w:after="0" w:line="240" w:lineRule="auto"/>
      </w:pPr>
      <w:r>
        <w:separator/>
      </w:r>
    </w:p>
  </w:footnote>
  <w:footnote w:type="continuationSeparator" w:id="0">
    <w:p w14:paraId="7A00F9D3" w14:textId="77777777" w:rsidR="00681733" w:rsidRDefault="00681733" w:rsidP="009D5934">
      <w:pPr>
        <w:spacing w:after="0" w:line="240" w:lineRule="auto"/>
      </w:pPr>
      <w:r>
        <w:continuationSeparator/>
      </w:r>
    </w:p>
  </w:footnote>
  <w:footnote w:id="1">
    <w:p w14:paraId="520890C2" w14:textId="77777777"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lang w:val="en-ZA"/>
        </w:rPr>
        <w:t>The judgment of the high court erroneously refers to the deductions taking place in January 2020.</w:t>
      </w:r>
    </w:p>
  </w:footnote>
  <w:footnote w:id="2">
    <w:p w14:paraId="2DA644A2" w14:textId="77777777"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lang w:val="en-ZA"/>
        </w:rPr>
        <w:t xml:space="preserve">Section 34 of the Employment Act provides </w:t>
      </w:r>
    </w:p>
    <w:p w14:paraId="5EA3D2BE" w14:textId="7A3E7B48" w:rsidR="000C45FB" w:rsidRPr="00463BCA" w:rsidRDefault="000C45FB" w:rsidP="001809B5">
      <w:pPr>
        <w:pStyle w:val="lg-section"/>
        <w:shd w:val="clear" w:color="auto" w:fill="FFFFFF"/>
        <w:spacing w:before="0" w:beforeAutospacing="0" w:after="0" w:afterAutospacing="0"/>
        <w:jc w:val="both"/>
        <w:rPr>
          <w:rFonts w:ascii="Arial" w:hAnsi="Arial" w:cs="Arial"/>
          <w:sz w:val="20"/>
          <w:szCs w:val="20"/>
        </w:rPr>
      </w:pPr>
      <w:r w:rsidRPr="00463BCA">
        <w:rPr>
          <w:rFonts w:ascii="Arial" w:hAnsi="Arial" w:cs="Arial"/>
          <w:sz w:val="20"/>
          <w:szCs w:val="20"/>
        </w:rPr>
        <w:t>(1)</w:t>
      </w:r>
      <w:r w:rsidR="009F1987" w:rsidRPr="00463BCA">
        <w:rPr>
          <w:rFonts w:ascii="Arial" w:hAnsi="Arial" w:cs="Arial"/>
          <w:sz w:val="20"/>
          <w:szCs w:val="20"/>
        </w:rPr>
        <w:t xml:space="preserve"> </w:t>
      </w:r>
      <w:r w:rsidRPr="00463BCA">
        <w:rPr>
          <w:rFonts w:ascii="Arial" w:hAnsi="Arial" w:cs="Arial"/>
          <w:sz w:val="20"/>
          <w:szCs w:val="20"/>
        </w:rPr>
        <w:t>An employer may not make any deduction from an employee’s remuneration unless—</w:t>
      </w:r>
    </w:p>
    <w:p w14:paraId="4DD89F56" w14:textId="77777777" w:rsidR="000C45FB" w:rsidRPr="00463BCA" w:rsidRDefault="000C45FB" w:rsidP="001809B5">
      <w:pPr>
        <w:pStyle w:val="lg-a-1"/>
        <w:shd w:val="clear" w:color="auto" w:fill="FFFFFF"/>
        <w:tabs>
          <w:tab w:val="left" w:pos="567"/>
        </w:tabs>
        <w:spacing w:before="0" w:beforeAutospacing="0" w:after="0" w:afterAutospacing="0"/>
        <w:ind w:left="567" w:hanging="567"/>
        <w:jc w:val="both"/>
        <w:rPr>
          <w:rFonts w:ascii="Arial" w:hAnsi="Arial" w:cs="Arial"/>
          <w:sz w:val="20"/>
          <w:szCs w:val="20"/>
        </w:rPr>
      </w:pPr>
      <w:r w:rsidRPr="00463BCA">
        <w:rPr>
          <w:rFonts w:ascii="Arial" w:hAnsi="Arial" w:cs="Arial"/>
          <w:sz w:val="20"/>
          <w:szCs w:val="20"/>
        </w:rPr>
        <w:t>(</w:t>
      </w:r>
      <w:r w:rsidRPr="00463BCA">
        <w:rPr>
          <w:rFonts w:ascii="Arial" w:hAnsi="Arial" w:cs="Arial"/>
          <w:i/>
          <w:iCs/>
          <w:sz w:val="20"/>
          <w:szCs w:val="20"/>
        </w:rPr>
        <w:t>a</w:t>
      </w:r>
      <w:r w:rsidRPr="00463BCA">
        <w:rPr>
          <w:rFonts w:ascii="Arial" w:hAnsi="Arial" w:cs="Arial"/>
          <w:sz w:val="20"/>
          <w:szCs w:val="20"/>
        </w:rPr>
        <w:t>)</w:t>
      </w:r>
      <w:r w:rsidRPr="00463BCA">
        <w:rPr>
          <w:rFonts w:ascii="Arial" w:hAnsi="Arial" w:cs="Arial"/>
          <w:sz w:val="20"/>
          <w:szCs w:val="20"/>
        </w:rPr>
        <w:tab/>
        <w:t>subject to </w:t>
      </w:r>
      <w:hyperlink r:id="rId1" w:anchor="g5dt" w:history="1">
        <w:r w:rsidRPr="00463BCA">
          <w:rPr>
            <w:rStyle w:val="Hyperlink"/>
            <w:rFonts w:ascii="Arial" w:hAnsi="Arial" w:cs="Arial"/>
            <w:color w:val="auto"/>
            <w:sz w:val="20"/>
            <w:szCs w:val="20"/>
            <w:u w:val="none"/>
          </w:rPr>
          <w:t>subsection (2)</w:t>
        </w:r>
      </w:hyperlink>
      <w:r w:rsidRPr="00463BCA">
        <w:rPr>
          <w:rFonts w:ascii="Arial" w:hAnsi="Arial" w:cs="Arial"/>
          <w:sz w:val="20"/>
          <w:szCs w:val="20"/>
        </w:rPr>
        <w:t>, the employee in writing agrees to the deduction in respect of a debt specified in the agreement; or</w:t>
      </w:r>
    </w:p>
    <w:p w14:paraId="0A6577B1" w14:textId="77777777" w:rsidR="000C45FB" w:rsidRPr="00463BCA" w:rsidRDefault="000C45FB" w:rsidP="001809B5">
      <w:pPr>
        <w:pStyle w:val="lg-a-1"/>
        <w:shd w:val="clear" w:color="auto" w:fill="FFFFFF"/>
        <w:tabs>
          <w:tab w:val="left" w:pos="567"/>
        </w:tabs>
        <w:spacing w:before="0" w:beforeAutospacing="0" w:after="0" w:afterAutospacing="0"/>
        <w:ind w:left="567" w:hanging="567"/>
        <w:jc w:val="both"/>
        <w:rPr>
          <w:rFonts w:ascii="Arial" w:hAnsi="Arial" w:cs="Arial"/>
          <w:sz w:val="20"/>
          <w:szCs w:val="20"/>
        </w:rPr>
      </w:pPr>
      <w:r w:rsidRPr="00463BCA">
        <w:rPr>
          <w:rFonts w:ascii="Arial" w:hAnsi="Arial" w:cs="Arial"/>
          <w:sz w:val="20"/>
          <w:szCs w:val="20"/>
        </w:rPr>
        <w:t>(</w:t>
      </w:r>
      <w:r w:rsidRPr="00463BCA">
        <w:rPr>
          <w:rFonts w:ascii="Arial" w:hAnsi="Arial" w:cs="Arial"/>
          <w:i/>
          <w:iCs/>
          <w:sz w:val="20"/>
          <w:szCs w:val="20"/>
        </w:rPr>
        <w:t>b</w:t>
      </w:r>
      <w:r w:rsidRPr="00463BCA">
        <w:rPr>
          <w:rFonts w:ascii="Arial" w:hAnsi="Arial" w:cs="Arial"/>
          <w:sz w:val="20"/>
          <w:szCs w:val="20"/>
        </w:rPr>
        <w:t>)</w:t>
      </w:r>
      <w:r w:rsidRPr="00463BCA">
        <w:rPr>
          <w:rFonts w:ascii="Arial" w:hAnsi="Arial" w:cs="Arial"/>
          <w:sz w:val="20"/>
          <w:szCs w:val="20"/>
        </w:rPr>
        <w:tab/>
        <w:t>the deduction is required or permitted in terms of a law, collective agreement, court order or arbitration award.</w:t>
      </w:r>
    </w:p>
    <w:p w14:paraId="71AD85C8" w14:textId="4A0C6248" w:rsidR="000C45FB" w:rsidRPr="00463BCA" w:rsidRDefault="000C45FB" w:rsidP="001809B5">
      <w:pPr>
        <w:pStyle w:val="lg-para3"/>
        <w:shd w:val="clear" w:color="auto" w:fill="FFFFFF"/>
        <w:spacing w:before="0" w:beforeAutospacing="0" w:after="0" w:afterAutospacing="0"/>
        <w:jc w:val="both"/>
        <w:rPr>
          <w:rFonts w:ascii="Arial" w:hAnsi="Arial" w:cs="Arial"/>
          <w:sz w:val="20"/>
          <w:szCs w:val="20"/>
        </w:rPr>
      </w:pPr>
      <w:r w:rsidRPr="00463BCA">
        <w:rPr>
          <w:rFonts w:ascii="Arial" w:hAnsi="Arial" w:cs="Arial"/>
          <w:sz w:val="20"/>
          <w:szCs w:val="20"/>
        </w:rPr>
        <w:t>(2)</w:t>
      </w:r>
      <w:r w:rsidR="009F1987" w:rsidRPr="00463BCA">
        <w:rPr>
          <w:rFonts w:ascii="Arial" w:hAnsi="Arial" w:cs="Arial"/>
          <w:sz w:val="20"/>
          <w:szCs w:val="20"/>
        </w:rPr>
        <w:t xml:space="preserve"> </w:t>
      </w:r>
      <w:r w:rsidRPr="00463BCA">
        <w:rPr>
          <w:rFonts w:ascii="Arial" w:hAnsi="Arial" w:cs="Arial"/>
          <w:sz w:val="20"/>
          <w:szCs w:val="20"/>
        </w:rPr>
        <w:t>A deduction in terms of </w:t>
      </w:r>
      <w:hyperlink r:id="rId2" w:anchor="g5dr" w:history="1">
        <w:r w:rsidRPr="00463BCA">
          <w:rPr>
            <w:rStyle w:val="Hyperlink"/>
            <w:rFonts w:ascii="Arial" w:hAnsi="Arial" w:cs="Arial"/>
            <w:color w:val="auto"/>
            <w:sz w:val="20"/>
            <w:szCs w:val="20"/>
            <w:u w:val="none"/>
          </w:rPr>
          <w:t>subsection (1) (</w:t>
        </w:r>
        <w:r w:rsidRPr="00463BCA">
          <w:rPr>
            <w:rStyle w:val="Hyperlink"/>
            <w:rFonts w:ascii="Arial" w:hAnsi="Arial" w:cs="Arial"/>
            <w:i/>
            <w:iCs/>
            <w:color w:val="auto"/>
            <w:sz w:val="20"/>
            <w:szCs w:val="20"/>
            <w:u w:val="none"/>
          </w:rPr>
          <w:t>a</w:t>
        </w:r>
        <w:r w:rsidRPr="00463BCA">
          <w:rPr>
            <w:rStyle w:val="Hyperlink"/>
            <w:rFonts w:ascii="Arial" w:hAnsi="Arial" w:cs="Arial"/>
            <w:color w:val="auto"/>
            <w:sz w:val="20"/>
            <w:szCs w:val="20"/>
            <w:u w:val="none"/>
          </w:rPr>
          <w:t>)</w:t>
        </w:r>
      </w:hyperlink>
      <w:r w:rsidRPr="00463BCA">
        <w:rPr>
          <w:rFonts w:ascii="Arial" w:hAnsi="Arial" w:cs="Arial"/>
          <w:sz w:val="20"/>
          <w:szCs w:val="20"/>
        </w:rPr>
        <w:t> may be made to reimburse an employer for loss or damage only if—</w:t>
      </w:r>
    </w:p>
    <w:p w14:paraId="28F24A9C" w14:textId="58233800" w:rsidR="000C45FB" w:rsidRPr="00463BCA" w:rsidRDefault="000C45FB" w:rsidP="001809B5">
      <w:pPr>
        <w:pStyle w:val="lg-a-1"/>
        <w:shd w:val="clear" w:color="auto" w:fill="FFFFFF"/>
        <w:spacing w:before="0" w:beforeAutospacing="0" w:after="0" w:afterAutospacing="0"/>
        <w:ind w:left="709" w:hanging="709"/>
        <w:jc w:val="both"/>
        <w:rPr>
          <w:rFonts w:ascii="Arial" w:hAnsi="Arial" w:cs="Arial"/>
          <w:sz w:val="20"/>
          <w:szCs w:val="20"/>
        </w:rPr>
      </w:pPr>
      <w:r w:rsidRPr="00463BCA">
        <w:rPr>
          <w:rFonts w:ascii="Arial" w:hAnsi="Arial" w:cs="Arial"/>
          <w:sz w:val="20"/>
          <w:szCs w:val="20"/>
        </w:rPr>
        <w:t>(</w:t>
      </w:r>
      <w:r w:rsidRPr="00463BCA">
        <w:rPr>
          <w:rFonts w:ascii="Arial" w:hAnsi="Arial" w:cs="Arial"/>
          <w:i/>
          <w:iCs/>
          <w:sz w:val="20"/>
          <w:szCs w:val="20"/>
        </w:rPr>
        <w:t>a</w:t>
      </w:r>
      <w:r w:rsidRPr="00463BCA">
        <w:rPr>
          <w:rFonts w:ascii="Arial" w:hAnsi="Arial" w:cs="Arial"/>
          <w:sz w:val="20"/>
          <w:szCs w:val="20"/>
        </w:rPr>
        <w:t>)</w:t>
      </w:r>
      <w:r w:rsidR="009F1987" w:rsidRPr="00463BCA">
        <w:rPr>
          <w:rFonts w:ascii="Arial" w:hAnsi="Arial" w:cs="Arial"/>
          <w:sz w:val="20"/>
          <w:szCs w:val="20"/>
        </w:rPr>
        <w:t xml:space="preserve"> </w:t>
      </w:r>
      <w:r w:rsidRPr="00463BCA">
        <w:rPr>
          <w:rFonts w:ascii="Arial" w:hAnsi="Arial" w:cs="Arial"/>
          <w:sz w:val="20"/>
          <w:szCs w:val="20"/>
        </w:rPr>
        <w:tab/>
        <w:t xml:space="preserve">the loss or damage occurred in the course of employment and was due to the fault of the employee; </w:t>
      </w:r>
    </w:p>
    <w:p w14:paraId="72250D5F" w14:textId="77777777" w:rsidR="000C45FB" w:rsidRPr="00463BCA" w:rsidRDefault="000C45FB" w:rsidP="001809B5">
      <w:pPr>
        <w:pStyle w:val="lg-a-1"/>
        <w:shd w:val="clear" w:color="auto" w:fill="FFFFFF"/>
        <w:tabs>
          <w:tab w:val="left" w:pos="567"/>
        </w:tabs>
        <w:spacing w:before="0" w:beforeAutospacing="0" w:after="0" w:afterAutospacing="0"/>
        <w:ind w:left="709" w:hanging="709"/>
        <w:jc w:val="both"/>
        <w:rPr>
          <w:rFonts w:ascii="Arial" w:hAnsi="Arial" w:cs="Arial"/>
          <w:sz w:val="20"/>
          <w:szCs w:val="20"/>
        </w:rPr>
      </w:pPr>
      <w:r w:rsidRPr="00463BCA">
        <w:rPr>
          <w:rFonts w:ascii="Arial" w:hAnsi="Arial" w:cs="Arial"/>
          <w:sz w:val="20"/>
          <w:szCs w:val="20"/>
        </w:rPr>
        <w:t>(</w:t>
      </w:r>
      <w:r w:rsidRPr="00463BCA">
        <w:rPr>
          <w:rFonts w:ascii="Arial" w:hAnsi="Arial" w:cs="Arial"/>
          <w:i/>
          <w:iCs/>
          <w:sz w:val="20"/>
          <w:szCs w:val="20"/>
        </w:rPr>
        <w:t>b</w:t>
      </w:r>
      <w:r w:rsidRPr="00463BCA">
        <w:rPr>
          <w:rFonts w:ascii="Arial" w:hAnsi="Arial" w:cs="Arial"/>
          <w:sz w:val="20"/>
          <w:szCs w:val="20"/>
        </w:rPr>
        <w:t xml:space="preserve">) </w:t>
      </w:r>
      <w:r w:rsidRPr="00463BCA">
        <w:rPr>
          <w:rFonts w:ascii="Arial" w:hAnsi="Arial" w:cs="Arial"/>
          <w:sz w:val="20"/>
          <w:szCs w:val="20"/>
        </w:rPr>
        <w:tab/>
      </w:r>
      <w:r w:rsidRPr="00463BCA">
        <w:rPr>
          <w:rFonts w:ascii="Arial" w:hAnsi="Arial" w:cs="Arial"/>
          <w:sz w:val="20"/>
          <w:szCs w:val="20"/>
        </w:rPr>
        <w:tab/>
        <w:t>the employer has followed a fair procedure and has given the employee a reasonable opportunity to show why the deductions should not be made;</w:t>
      </w:r>
    </w:p>
    <w:p w14:paraId="127EF963" w14:textId="77777777" w:rsidR="000C45FB" w:rsidRPr="00463BCA" w:rsidRDefault="000C45FB" w:rsidP="001809B5">
      <w:pPr>
        <w:pStyle w:val="lg-a-1"/>
        <w:shd w:val="clear" w:color="auto" w:fill="FFFFFF"/>
        <w:spacing w:before="0" w:beforeAutospacing="0" w:after="0" w:afterAutospacing="0"/>
        <w:ind w:left="680" w:hanging="680"/>
        <w:jc w:val="both"/>
        <w:rPr>
          <w:rFonts w:ascii="Arial" w:hAnsi="Arial" w:cs="Arial"/>
          <w:sz w:val="20"/>
          <w:szCs w:val="20"/>
        </w:rPr>
      </w:pPr>
      <w:r w:rsidRPr="00463BCA">
        <w:rPr>
          <w:rFonts w:ascii="Arial" w:hAnsi="Arial" w:cs="Arial"/>
          <w:sz w:val="20"/>
          <w:szCs w:val="20"/>
        </w:rPr>
        <w:t>(</w:t>
      </w:r>
      <w:r w:rsidRPr="00463BCA">
        <w:rPr>
          <w:rFonts w:ascii="Arial" w:hAnsi="Arial" w:cs="Arial"/>
          <w:i/>
          <w:iCs/>
          <w:sz w:val="20"/>
          <w:szCs w:val="20"/>
        </w:rPr>
        <w:t>c</w:t>
      </w:r>
      <w:r w:rsidRPr="00463BCA">
        <w:rPr>
          <w:rFonts w:ascii="Arial" w:hAnsi="Arial" w:cs="Arial"/>
          <w:sz w:val="20"/>
          <w:szCs w:val="20"/>
        </w:rPr>
        <w:t>)</w:t>
      </w:r>
      <w:r w:rsidRPr="00463BCA">
        <w:rPr>
          <w:rFonts w:ascii="Arial" w:hAnsi="Arial" w:cs="Arial"/>
          <w:sz w:val="20"/>
          <w:szCs w:val="20"/>
        </w:rPr>
        <w:tab/>
        <w:t xml:space="preserve">the total amount of the debt does not exceed the actual amount of the loss or damage; and </w:t>
      </w:r>
    </w:p>
    <w:p w14:paraId="2C3218D1" w14:textId="77777777" w:rsidR="000C45FB" w:rsidRPr="00463BCA" w:rsidRDefault="000C45FB" w:rsidP="001809B5">
      <w:pPr>
        <w:pStyle w:val="FootnoteText"/>
        <w:jc w:val="both"/>
        <w:rPr>
          <w:rFonts w:ascii="Arial" w:hAnsi="Arial" w:cs="Arial"/>
          <w:lang w:val="en-ZA"/>
        </w:rPr>
      </w:pPr>
      <w:r w:rsidRPr="00463BCA">
        <w:rPr>
          <w:rFonts w:ascii="Arial" w:hAnsi="Arial" w:cs="Arial"/>
        </w:rPr>
        <w:t>(</w:t>
      </w:r>
      <w:r w:rsidRPr="00463BCA">
        <w:rPr>
          <w:rFonts w:ascii="Arial" w:hAnsi="Arial" w:cs="Arial"/>
          <w:i/>
          <w:iCs/>
        </w:rPr>
        <w:t>d</w:t>
      </w:r>
      <w:r w:rsidRPr="00463BCA">
        <w:rPr>
          <w:rFonts w:ascii="Arial" w:hAnsi="Arial" w:cs="Arial"/>
        </w:rPr>
        <w:t>)</w:t>
      </w:r>
      <w:r w:rsidRPr="00463BCA">
        <w:rPr>
          <w:rFonts w:ascii="Arial" w:hAnsi="Arial" w:cs="Arial"/>
        </w:rPr>
        <w:tab/>
        <w:t>the total deductions from the employee’s remuneration in terms of this subsection do not exceed one-quarter of the employee’s remuneration in money.</w:t>
      </w:r>
      <w:r w:rsidRPr="00463BCA" w:rsidDel="00022BDD">
        <w:rPr>
          <w:rFonts w:ascii="Arial" w:hAnsi="Arial" w:cs="Arial"/>
        </w:rPr>
        <w:t xml:space="preserve"> </w:t>
      </w:r>
    </w:p>
  </w:footnote>
  <w:footnote w:id="3">
    <w:p w14:paraId="18EED934" w14:textId="77777777" w:rsidR="000C45FB" w:rsidRPr="00463BCA" w:rsidRDefault="000C45FB" w:rsidP="001809B5">
      <w:pPr>
        <w:pStyle w:val="lg-a-1"/>
        <w:shd w:val="clear" w:color="auto" w:fill="FFFFFF"/>
        <w:spacing w:before="0" w:beforeAutospacing="0" w:after="0" w:afterAutospacing="0"/>
        <w:jc w:val="both"/>
        <w:rPr>
          <w:rFonts w:ascii="Arial" w:hAnsi="Arial" w:cs="Arial"/>
          <w:sz w:val="20"/>
          <w:szCs w:val="20"/>
        </w:rPr>
      </w:pPr>
      <w:r w:rsidRPr="00463BCA">
        <w:rPr>
          <w:rStyle w:val="FootnoteReference"/>
          <w:rFonts w:ascii="Arial" w:hAnsi="Arial" w:cs="Arial"/>
          <w:sz w:val="20"/>
          <w:szCs w:val="20"/>
        </w:rPr>
        <w:footnoteRef/>
      </w:r>
      <w:r w:rsidRPr="00463BCA">
        <w:rPr>
          <w:rFonts w:ascii="Arial" w:hAnsi="Arial" w:cs="Arial"/>
          <w:sz w:val="20"/>
          <w:szCs w:val="20"/>
        </w:rPr>
        <w:t xml:space="preserve"> </w:t>
      </w:r>
      <w:r w:rsidRPr="00463BCA">
        <w:rPr>
          <w:rFonts w:ascii="Arial" w:hAnsi="Arial" w:cs="Arial"/>
          <w:i/>
          <w:sz w:val="20"/>
          <w:szCs w:val="20"/>
        </w:rPr>
        <w:t>Public Servants Association obo Ubogu v Head of Department of Health, Gauteng and Others</w:t>
      </w:r>
      <w:r w:rsidRPr="00463BCA">
        <w:rPr>
          <w:rFonts w:ascii="Arial" w:hAnsi="Arial" w:cs="Arial"/>
          <w:sz w:val="20"/>
          <w:szCs w:val="20"/>
        </w:rPr>
        <w:t xml:space="preserve"> [2017] ZACC 45; 2018 (2) BCLR 184 (CC); (2018) 39 ILJ 337 (CC); [2018] 2 BLLR 107 (CC); 2018 (2) SA 365 (CC).</w:t>
      </w:r>
    </w:p>
  </w:footnote>
  <w:footnote w:id="4">
    <w:p w14:paraId="1E0F5A1D" w14:textId="77777777" w:rsidR="000C45FB" w:rsidRPr="00463BCA" w:rsidRDefault="000C45FB" w:rsidP="001809B5">
      <w:pPr>
        <w:pStyle w:val="Heading2"/>
        <w:shd w:val="clear" w:color="auto" w:fill="FFFFFF"/>
        <w:spacing w:before="0" w:beforeAutospacing="0" w:after="0" w:afterAutospacing="0"/>
        <w:jc w:val="both"/>
        <w:rPr>
          <w:rFonts w:ascii="Arial" w:hAnsi="Arial" w:cs="Arial"/>
          <w:sz w:val="20"/>
          <w:szCs w:val="20"/>
        </w:rPr>
      </w:pPr>
      <w:r w:rsidRPr="00463BCA">
        <w:rPr>
          <w:rStyle w:val="FootnoteReference"/>
          <w:rFonts w:ascii="Arial" w:hAnsi="Arial" w:cs="Arial"/>
          <w:sz w:val="20"/>
          <w:szCs w:val="20"/>
        </w:rPr>
        <w:footnoteRef/>
      </w:r>
      <w:r w:rsidRPr="00463BCA">
        <w:rPr>
          <w:rFonts w:ascii="Arial" w:hAnsi="Arial" w:cs="Arial"/>
          <w:sz w:val="20"/>
          <w:szCs w:val="20"/>
        </w:rPr>
        <w:t xml:space="preserve"> </w:t>
      </w:r>
      <w:r w:rsidRPr="00463BCA">
        <w:rPr>
          <w:rFonts w:ascii="Arial" w:hAnsi="Arial" w:cs="Arial"/>
          <w:b w:val="0"/>
          <w:bCs w:val="0"/>
          <w:i/>
          <w:iCs/>
          <w:sz w:val="20"/>
          <w:szCs w:val="20"/>
        </w:rPr>
        <w:t>S</w:t>
      </w:r>
      <w:r w:rsidRPr="00463BCA">
        <w:rPr>
          <w:rFonts w:ascii="Arial" w:hAnsi="Arial" w:cs="Arial"/>
          <w:b w:val="0"/>
          <w:i/>
          <w:iCs/>
          <w:color w:val="000000"/>
          <w:sz w:val="20"/>
          <w:szCs w:val="20"/>
        </w:rPr>
        <w:t>A Express Ltd v Bagport (Pty) Ltd</w:t>
      </w:r>
      <w:r w:rsidRPr="00463BCA">
        <w:rPr>
          <w:rFonts w:ascii="Arial" w:hAnsi="Arial" w:cs="Arial"/>
          <w:b w:val="0"/>
          <w:color w:val="000000"/>
          <w:sz w:val="20"/>
          <w:szCs w:val="20"/>
        </w:rPr>
        <w:t xml:space="preserve"> [2020] ZASCA 13; 2020 (5) SA 404 (SCA); para 34.</w:t>
      </w:r>
    </w:p>
  </w:footnote>
  <w:footnote w:id="5">
    <w:p w14:paraId="4E00C32E" w14:textId="548565D6"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009F1987" w:rsidRPr="00463BCA">
        <w:rPr>
          <w:rFonts w:ascii="Arial" w:hAnsi="Arial" w:cs="Arial"/>
        </w:rPr>
        <w:t xml:space="preserve"> </w:t>
      </w:r>
      <w:r w:rsidRPr="00463BCA">
        <w:rPr>
          <w:rFonts w:ascii="Arial" w:hAnsi="Arial" w:cs="Arial"/>
          <w:i/>
          <w:iCs/>
        </w:rPr>
        <w:t>Dengetenge Holdings (Pty) Ltd v Southern Sphere Mining and Development Company Ltd and Others</w:t>
      </w:r>
      <w:r w:rsidRPr="00463BCA">
        <w:rPr>
          <w:rFonts w:ascii="Arial" w:hAnsi="Arial" w:cs="Arial"/>
        </w:rPr>
        <w:t xml:space="preserve"> </w:t>
      </w:r>
      <w:hyperlink r:id="rId3" w:tooltip="View LawCiteRecord" w:history="1">
        <w:r w:rsidRPr="00463BCA">
          <w:rPr>
            <w:rStyle w:val="Hyperlink"/>
            <w:rFonts w:ascii="Arial" w:hAnsi="Arial" w:cs="Arial"/>
            <w:bCs/>
            <w:color w:val="auto"/>
            <w:u w:val="none"/>
            <w:shd w:val="clear" w:color="auto" w:fill="FFFFFF"/>
          </w:rPr>
          <w:t>[2013] ZASCA 5</w:t>
        </w:r>
      </w:hyperlink>
      <w:r w:rsidRPr="00463BCA">
        <w:rPr>
          <w:rFonts w:ascii="Arial" w:hAnsi="Arial" w:cs="Arial"/>
          <w:shd w:val="clear" w:color="auto" w:fill="FFFFFF"/>
        </w:rPr>
        <w:t>; </w:t>
      </w:r>
      <w:hyperlink r:id="rId4" w:tooltip="View LawCiteRecord" w:history="1">
        <w:r w:rsidRPr="00463BCA">
          <w:rPr>
            <w:rStyle w:val="Hyperlink"/>
            <w:rFonts w:ascii="Arial" w:hAnsi="Arial" w:cs="Arial"/>
            <w:bCs/>
            <w:color w:val="auto"/>
            <w:u w:val="none"/>
            <w:shd w:val="clear" w:color="auto" w:fill="FFFFFF"/>
          </w:rPr>
          <w:t>[2013] JOL 30158</w:t>
        </w:r>
      </w:hyperlink>
      <w:r w:rsidRPr="00463BCA">
        <w:rPr>
          <w:rFonts w:ascii="Arial" w:hAnsi="Arial" w:cs="Arial"/>
          <w:shd w:val="clear" w:color="auto" w:fill="FFFFFF"/>
        </w:rPr>
        <w:t> (SCA); </w:t>
      </w:r>
      <w:hyperlink r:id="rId5" w:tooltip="View LawCiteRecord" w:history="1">
        <w:r w:rsidRPr="00463BCA">
          <w:rPr>
            <w:rStyle w:val="Hyperlink"/>
            <w:rFonts w:ascii="Arial" w:hAnsi="Arial" w:cs="Arial"/>
            <w:bCs/>
            <w:color w:val="auto"/>
            <w:u w:val="none"/>
            <w:shd w:val="clear" w:color="auto" w:fill="FFFFFF"/>
          </w:rPr>
          <w:t>[2013] 2 All SA 251</w:t>
        </w:r>
      </w:hyperlink>
      <w:r w:rsidRPr="00463BCA">
        <w:rPr>
          <w:rFonts w:ascii="Arial" w:hAnsi="Arial" w:cs="Arial"/>
          <w:shd w:val="clear" w:color="auto" w:fill="FFFFFF"/>
        </w:rPr>
        <w:t> (SCA).</w:t>
      </w:r>
    </w:p>
  </w:footnote>
  <w:footnote w:id="6">
    <w:p w14:paraId="0E4CA1D7" w14:textId="1CA0995D"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009F1987" w:rsidRPr="00463BCA">
        <w:rPr>
          <w:rFonts w:ascii="Arial" w:hAnsi="Arial" w:cs="Arial"/>
        </w:rPr>
        <w:t xml:space="preserve"> </w:t>
      </w:r>
      <w:r w:rsidRPr="00463BCA">
        <w:rPr>
          <w:rFonts w:ascii="Arial" w:hAnsi="Arial" w:cs="Arial"/>
        </w:rPr>
        <w:t>Ibid para 11.</w:t>
      </w:r>
    </w:p>
  </w:footnote>
  <w:footnote w:id="7">
    <w:p w14:paraId="2CE97EB0" w14:textId="77777777"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i/>
          <w:iCs/>
        </w:rPr>
        <w:t>Commissioner for South African Revenue Services, Gauteng West v Levue Investments (Pty) Ltd</w:t>
      </w:r>
      <w:r w:rsidRPr="00463BCA">
        <w:rPr>
          <w:rFonts w:ascii="Arial" w:hAnsi="Arial" w:cs="Arial"/>
        </w:rPr>
        <w:t xml:space="preserve"> [2007] ZASCA 22; </w:t>
      </w:r>
      <w:hyperlink r:id="rId6" w:tooltip="View LawCiteRecord" w:history="1">
        <w:r w:rsidRPr="00463BCA">
          <w:rPr>
            <w:rStyle w:val="Hyperlink"/>
            <w:rFonts w:ascii="Arial" w:hAnsi="Arial" w:cs="Arial"/>
            <w:color w:val="auto"/>
            <w:u w:val="none"/>
          </w:rPr>
          <w:t>[2007] 3 All SA 109</w:t>
        </w:r>
      </w:hyperlink>
      <w:r w:rsidRPr="00463BCA">
        <w:rPr>
          <w:rFonts w:ascii="Arial" w:hAnsi="Arial" w:cs="Arial"/>
        </w:rPr>
        <w:t> (SCA) para 11</w:t>
      </w:r>
      <w:r w:rsidRPr="00463BCA">
        <w:rPr>
          <w:rFonts w:ascii="Arial" w:hAnsi="Arial" w:cs="Arial"/>
          <w:color w:val="000000"/>
        </w:rPr>
        <w:t>.</w:t>
      </w:r>
    </w:p>
  </w:footnote>
  <w:footnote w:id="8">
    <w:p w14:paraId="14ADE7A7" w14:textId="77777777" w:rsidR="000C45FB" w:rsidRPr="00463BCA" w:rsidRDefault="000C45FB" w:rsidP="001809B5">
      <w:pPr>
        <w:pStyle w:val="FootnoteText"/>
        <w:keepN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lang w:val="en-ZA"/>
        </w:rPr>
        <w:t xml:space="preserve">Annexure A refers to Resolution No. 05-2022/2023 issued by the Mhlontlo Local Municipality dated 14 December 2022 entitled ‘Employees back pay’. It records that ‘the council resolved that the money taken from savings to pay the employees be condoned’. </w:t>
      </w:r>
    </w:p>
    <w:p w14:paraId="6E9CB09B" w14:textId="77777777" w:rsidR="000C45FB" w:rsidRPr="00463BCA" w:rsidRDefault="000C45FB" w:rsidP="001809B5">
      <w:pPr>
        <w:pStyle w:val="FootnoteText"/>
        <w:keepNext/>
        <w:jc w:val="both"/>
        <w:rPr>
          <w:rFonts w:ascii="Arial" w:hAnsi="Arial" w:cs="Arial"/>
          <w:lang w:val="en-ZA"/>
        </w:rPr>
      </w:pPr>
      <w:r w:rsidRPr="00463BCA">
        <w:rPr>
          <w:rFonts w:ascii="Arial" w:hAnsi="Arial" w:cs="Arial"/>
          <w:lang w:val="en-ZA"/>
        </w:rPr>
        <w:t xml:space="preserve">The minutes of the Council meeting pertaining to the relevant Resolution read as follows: </w:t>
      </w:r>
    </w:p>
    <w:p w14:paraId="0C301A54" w14:textId="77777777" w:rsidR="000C45FB" w:rsidRPr="00463BCA" w:rsidRDefault="000C45FB" w:rsidP="001809B5">
      <w:pPr>
        <w:pStyle w:val="FootnoteText"/>
        <w:keepNext/>
        <w:jc w:val="both"/>
        <w:rPr>
          <w:rFonts w:ascii="Arial" w:hAnsi="Arial" w:cs="Arial"/>
          <w:lang w:val="en-ZA"/>
        </w:rPr>
      </w:pPr>
      <w:r w:rsidRPr="00463BCA">
        <w:rPr>
          <w:rFonts w:ascii="Arial" w:hAnsi="Arial" w:cs="Arial"/>
          <w:lang w:val="en-ZA"/>
        </w:rPr>
        <w:t>“Employees back pay</w:t>
      </w:r>
    </w:p>
    <w:p w14:paraId="2C6ED146" w14:textId="77777777" w:rsidR="000C45FB" w:rsidRPr="00463BCA" w:rsidRDefault="000C45FB" w:rsidP="001809B5">
      <w:pPr>
        <w:pStyle w:val="FootnoteText"/>
        <w:keepNext/>
        <w:jc w:val="both"/>
        <w:rPr>
          <w:rFonts w:ascii="Arial" w:hAnsi="Arial" w:cs="Arial"/>
          <w:lang w:val="en-ZA"/>
        </w:rPr>
      </w:pPr>
      <w:r w:rsidRPr="00463BCA">
        <w:rPr>
          <w:rFonts w:ascii="Arial" w:hAnsi="Arial" w:cs="Arial"/>
          <w:lang w:val="en-ZA"/>
        </w:rPr>
        <w:t>Hon. Mayor Cllr Jara presented the report as follows:</w:t>
      </w:r>
    </w:p>
    <w:p w14:paraId="325F2C38" w14:textId="77777777" w:rsidR="000C45FB" w:rsidRPr="00463BCA" w:rsidRDefault="000C45FB" w:rsidP="001809B5">
      <w:pPr>
        <w:pStyle w:val="FootnoteText"/>
        <w:keepNext/>
        <w:jc w:val="both"/>
        <w:rPr>
          <w:rFonts w:ascii="Arial" w:hAnsi="Arial" w:cs="Arial"/>
          <w:lang w:val="en-ZA"/>
        </w:rPr>
      </w:pPr>
      <w:r w:rsidRPr="00463BCA">
        <w:rPr>
          <w:rFonts w:ascii="Arial" w:hAnsi="Arial" w:cs="Arial"/>
          <w:lang w:val="en-ZA"/>
        </w:rPr>
        <w:t>There were two judgments on the issue of employees where their money was deducted by the municipality and there was a resolution that the Acting Municipal Manager must seek legal opinion from a senior counsel and the advice was requested from Mr NZ Mtshabe who is the senior counsel and he advised that all the employees must be paid.</w:t>
      </w:r>
    </w:p>
    <w:p w14:paraId="08302641" w14:textId="77777777" w:rsidR="000C45FB" w:rsidRPr="00463BCA" w:rsidRDefault="000C45FB" w:rsidP="001809B5">
      <w:pPr>
        <w:pStyle w:val="FootnoteText"/>
        <w:keepNext/>
        <w:jc w:val="both"/>
        <w:rPr>
          <w:rFonts w:ascii="Arial" w:hAnsi="Arial" w:cs="Arial"/>
          <w:lang w:val="en-ZA"/>
        </w:rPr>
      </w:pPr>
      <w:r w:rsidRPr="00463BCA">
        <w:rPr>
          <w:rFonts w:ascii="Arial" w:hAnsi="Arial" w:cs="Arial"/>
          <w:lang w:val="en-ZA"/>
        </w:rPr>
        <w:t>RECOMMENDATION: The Exco recommended to council that the money taken from savings to pay the employees be condoned.”’</w:t>
      </w:r>
    </w:p>
    <w:p w14:paraId="3A385126" w14:textId="77777777" w:rsidR="000C45FB" w:rsidRPr="00463BCA" w:rsidRDefault="000C45FB" w:rsidP="001809B5">
      <w:pPr>
        <w:pStyle w:val="FootnoteText"/>
        <w:jc w:val="both"/>
        <w:rPr>
          <w:rFonts w:ascii="Arial" w:hAnsi="Arial" w:cs="Arial"/>
          <w:lang w:val="en-ZA"/>
        </w:rPr>
      </w:pPr>
    </w:p>
  </w:footnote>
  <w:footnote w:id="9">
    <w:p w14:paraId="71828EE9" w14:textId="77777777" w:rsidR="00D92144" w:rsidRPr="00463BCA" w:rsidRDefault="00D92144" w:rsidP="00D92144">
      <w:pPr>
        <w:pStyle w:val="FootnoteText"/>
        <w:rPr>
          <w:rFonts w:ascii="Arial" w:hAnsi="Arial" w:cs="Arial"/>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i/>
        </w:rPr>
        <w:t>Hlatshwayo v Mare and Deas</w:t>
      </w:r>
      <w:r w:rsidRPr="00463BCA">
        <w:rPr>
          <w:rFonts w:ascii="Arial" w:hAnsi="Arial" w:cs="Arial"/>
        </w:rPr>
        <w:t xml:space="preserve"> 1912 AD 242 at 259.</w:t>
      </w:r>
    </w:p>
  </w:footnote>
  <w:footnote w:id="10">
    <w:p w14:paraId="38B172FC" w14:textId="77777777" w:rsidR="00D92144" w:rsidRPr="00463BCA" w:rsidRDefault="00D92144" w:rsidP="00D92144">
      <w:pPr>
        <w:pStyle w:val="FootnoteText"/>
        <w:rPr>
          <w:rFonts w:ascii="Arial" w:hAnsi="Arial" w:cs="Arial"/>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i/>
        </w:rPr>
        <w:t>Minister of Defence v South African National Defence Force Union</w:t>
      </w:r>
      <w:r w:rsidRPr="00463BCA">
        <w:rPr>
          <w:rFonts w:ascii="Arial" w:hAnsi="Arial" w:cs="Arial"/>
        </w:rPr>
        <w:t xml:space="preserve"> [2012] ZASCA 110 para 23.</w:t>
      </w:r>
    </w:p>
  </w:footnote>
  <w:footnote w:id="11">
    <w:p w14:paraId="26BA57FF" w14:textId="02BF0314" w:rsidR="008F673E" w:rsidRPr="00463BCA" w:rsidRDefault="00D053C2">
      <w:pPr>
        <w:pStyle w:val="FootnoteText"/>
        <w:rPr>
          <w:rFonts w:ascii="Arial" w:hAnsi="Arial" w:cs="Arial"/>
          <w:shd w:val="clear" w:color="auto" w:fill="FFFFFF"/>
        </w:rPr>
      </w:pPr>
      <w:r w:rsidRPr="00A12430">
        <w:rPr>
          <w:rStyle w:val="FootnoteReference"/>
          <w:rFonts w:ascii="Arial" w:hAnsi="Arial" w:cs="Arial"/>
        </w:rPr>
        <w:footnoteRef/>
      </w:r>
      <w:r w:rsidRPr="00A12430">
        <w:rPr>
          <w:rFonts w:ascii="Arial" w:hAnsi="Arial" w:cs="Arial"/>
        </w:rPr>
        <w:t xml:space="preserve"> </w:t>
      </w:r>
      <w:r w:rsidRPr="00463BCA">
        <w:rPr>
          <w:rFonts w:ascii="Arial" w:hAnsi="Arial" w:cs="Arial"/>
          <w:i/>
          <w:iCs/>
          <w:shd w:val="clear" w:color="auto" w:fill="FFFFFF"/>
        </w:rPr>
        <w:t>Zuma v Secretary of the Judicial Commission of Inquiry into Allegations of State Capture, Corruption and Fraud in the Public Sector Including Organs of State and Others</w:t>
      </w:r>
      <w:r w:rsidRPr="00463BCA">
        <w:rPr>
          <w:rFonts w:ascii="Arial" w:hAnsi="Arial" w:cs="Arial"/>
          <w:shd w:val="clear" w:color="auto" w:fill="FFFFFF"/>
        </w:rPr>
        <w:t> </w:t>
      </w:r>
      <w:hyperlink r:id="rId7" w:tooltip="View LawCiteRecord" w:history="1">
        <w:r w:rsidRPr="00463BCA">
          <w:rPr>
            <w:rStyle w:val="Hyperlink"/>
            <w:rFonts w:ascii="Arial" w:hAnsi="Arial" w:cs="Arial"/>
            <w:bCs/>
            <w:color w:val="auto"/>
            <w:u w:val="none"/>
            <w:shd w:val="clear" w:color="auto" w:fill="FFFFFF"/>
          </w:rPr>
          <w:t>[2021] ZACC 28</w:t>
        </w:r>
      </w:hyperlink>
      <w:r w:rsidRPr="00463BCA">
        <w:rPr>
          <w:rFonts w:ascii="Arial" w:hAnsi="Arial" w:cs="Arial"/>
          <w:shd w:val="clear" w:color="auto" w:fill="FFFFFF"/>
        </w:rPr>
        <w:t>; </w:t>
      </w:r>
      <w:hyperlink r:id="rId8" w:tooltip="View LawCiteRecord" w:history="1">
        <w:r w:rsidRPr="00463BCA">
          <w:rPr>
            <w:rStyle w:val="Hyperlink"/>
            <w:rFonts w:ascii="Arial" w:hAnsi="Arial" w:cs="Arial"/>
            <w:bCs/>
            <w:color w:val="auto"/>
            <w:u w:val="none"/>
            <w:shd w:val="clear" w:color="auto" w:fill="FFFFFF"/>
          </w:rPr>
          <w:t>2021 (11) BCLR 1263</w:t>
        </w:r>
      </w:hyperlink>
      <w:r w:rsidRPr="00463BCA">
        <w:rPr>
          <w:rFonts w:ascii="Arial" w:hAnsi="Arial" w:cs="Arial"/>
          <w:shd w:val="clear" w:color="auto" w:fill="FFFFFF"/>
        </w:rPr>
        <w:t xml:space="preserve"> (CC) para [101] : </w:t>
      </w:r>
    </w:p>
    <w:p w14:paraId="2406823A" w14:textId="55CE9B5D" w:rsidR="00D053C2" w:rsidRPr="00A12430" w:rsidRDefault="00D053C2" w:rsidP="008F673E">
      <w:pPr>
        <w:pStyle w:val="FootnoteText"/>
        <w:jc w:val="both"/>
        <w:rPr>
          <w:rFonts w:ascii="Arial" w:hAnsi="Arial" w:cs="Arial"/>
          <w:lang w:val="en-ZA"/>
        </w:rPr>
      </w:pPr>
      <w:r w:rsidRPr="00463BCA">
        <w:rPr>
          <w:rFonts w:ascii="Arial" w:hAnsi="Arial" w:cs="Arial"/>
          <w:shd w:val="clear" w:color="auto" w:fill="FFFFFF"/>
        </w:rPr>
        <w:t>“It is trite that the doctrine of peremption finds application across our legal landscape.  The doctrine tells us that “[p]eremption is a waiver of one’s constitutional right to appeal in a way that leaves no shred of reasonable doubt about the losing party’s self-resignation to the unfavourable order that could otherwise be appealed against”.</w:t>
      </w:r>
      <w:r w:rsidR="008F673E" w:rsidRPr="00463BCA">
        <w:rPr>
          <w:rFonts w:ascii="Arial" w:hAnsi="Arial" w:cs="Arial"/>
          <w:shd w:val="clear" w:color="auto" w:fill="FFFFFF"/>
        </w:rPr>
        <w:t xml:space="preserve"> </w:t>
      </w:r>
      <w:r w:rsidRPr="00463BCA">
        <w:rPr>
          <w:rFonts w:ascii="Arial" w:hAnsi="Arial" w:cs="Arial"/>
          <w:shd w:val="clear" w:color="auto" w:fill="FFFFFF"/>
        </w:rPr>
        <w:t>The principle that underlies this doctrine is that “no person can be allowed to take up two positions inconsistent with one another, or as is commonly expressed, to blow hot and cold, to approbate and reprobate”.</w:t>
      </w:r>
    </w:p>
  </w:footnote>
  <w:footnote w:id="12">
    <w:p w14:paraId="4851F827" w14:textId="6EF591B5" w:rsidR="008F673E" w:rsidRPr="00463BCA" w:rsidRDefault="008F673E">
      <w:pPr>
        <w:pStyle w:val="FootnoteText"/>
        <w:rPr>
          <w:rFonts w:ascii="Arial" w:hAnsi="Arial" w:cs="Arial"/>
          <w:lang w:val="en-ZA"/>
        </w:rPr>
      </w:pPr>
      <w:r w:rsidRPr="00A12430">
        <w:rPr>
          <w:rStyle w:val="FootnoteReference"/>
          <w:rFonts w:ascii="Arial" w:hAnsi="Arial" w:cs="Arial"/>
        </w:rPr>
        <w:footnoteRef/>
      </w:r>
      <w:r w:rsidRPr="00A12430">
        <w:rPr>
          <w:rFonts w:ascii="Arial" w:hAnsi="Arial" w:cs="Arial"/>
        </w:rPr>
        <w:t xml:space="preserve"> </w:t>
      </w:r>
      <w:r w:rsidRPr="00463BCA">
        <w:rPr>
          <w:rFonts w:ascii="Arial" w:hAnsi="Arial" w:cs="Arial"/>
          <w:i/>
        </w:rPr>
        <w:t>Government of the RSA &amp; others v Von Abo</w:t>
      </w:r>
      <w:r w:rsidRPr="00463BCA">
        <w:rPr>
          <w:rFonts w:ascii="Arial" w:hAnsi="Arial" w:cs="Arial"/>
        </w:rPr>
        <w:t xml:space="preserve"> [2011] ZASCA 65; [2011] 3 All SA 261 (SCA) para 15</w:t>
      </w:r>
    </w:p>
  </w:footnote>
  <w:footnote w:id="13">
    <w:p w14:paraId="1D6CD168" w14:textId="77777777"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i/>
        </w:rPr>
        <w:t>Qoboshiyane NO and Others v Avusa Publishing Eastern Cape (Pty) Ltd and</w:t>
      </w:r>
      <w:r w:rsidRPr="00463BCA">
        <w:rPr>
          <w:rFonts w:ascii="Arial" w:hAnsi="Arial" w:cs="Arial"/>
          <w:i/>
          <w:vertAlign w:val="subscript"/>
        </w:rPr>
        <w:t xml:space="preserve"> </w:t>
      </w:r>
      <w:r w:rsidRPr="00463BCA">
        <w:rPr>
          <w:rFonts w:ascii="Arial" w:hAnsi="Arial" w:cs="Arial"/>
          <w:i/>
        </w:rPr>
        <w:t>Others</w:t>
      </w:r>
      <w:r w:rsidRPr="00463BCA">
        <w:rPr>
          <w:rFonts w:ascii="Arial" w:hAnsi="Arial" w:cs="Arial"/>
          <w:lang w:eastAsia="en-ZA"/>
        </w:rPr>
        <w:t xml:space="preserve"> [2012] ZASCA 166; 2013 (3) SA 315 (SCA).</w:t>
      </w:r>
    </w:p>
  </w:footnote>
  <w:footnote w:id="14">
    <w:p w14:paraId="72AA3DBF" w14:textId="77777777"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lang w:val="en-ZA"/>
        </w:rPr>
        <w:t>Ibid para 3.</w:t>
      </w:r>
    </w:p>
  </w:footnote>
  <w:footnote w:id="15">
    <w:p w14:paraId="080FC6B8" w14:textId="77777777" w:rsidR="000C45FB" w:rsidRPr="00463BCA" w:rsidRDefault="000C45FB" w:rsidP="001809B5">
      <w:pPr>
        <w:spacing w:after="0" w:line="240" w:lineRule="auto"/>
        <w:contextualSpacing/>
        <w:jc w:val="both"/>
        <w:rPr>
          <w:rFonts w:ascii="Arial" w:hAnsi="Arial" w:cs="Arial"/>
          <w:sz w:val="20"/>
          <w:szCs w:val="20"/>
          <w:lang w:val="en-ZA"/>
        </w:rPr>
      </w:pPr>
      <w:r w:rsidRPr="00463BCA">
        <w:rPr>
          <w:rStyle w:val="FootnoteReference"/>
          <w:rFonts w:ascii="Arial" w:hAnsi="Arial" w:cs="Arial"/>
          <w:sz w:val="20"/>
          <w:szCs w:val="20"/>
        </w:rPr>
        <w:footnoteRef/>
      </w:r>
      <w:r w:rsidRPr="00463BCA">
        <w:rPr>
          <w:rFonts w:ascii="Arial" w:hAnsi="Arial" w:cs="Arial"/>
          <w:sz w:val="20"/>
          <w:szCs w:val="20"/>
        </w:rPr>
        <w:t xml:space="preserve"> </w:t>
      </w:r>
      <w:r w:rsidRPr="00463BCA">
        <w:rPr>
          <w:rFonts w:ascii="Arial" w:hAnsi="Arial" w:cs="Arial"/>
          <w:bCs/>
          <w:i/>
          <w:color w:val="000000"/>
          <w:sz w:val="20"/>
          <w:szCs w:val="20"/>
        </w:rPr>
        <w:t>South African Revenue Service v Commission for Conciliation, Mediation and Arbitration and others</w:t>
      </w:r>
      <w:r w:rsidRPr="00463BCA">
        <w:rPr>
          <w:rFonts w:ascii="Arial" w:hAnsi="Arial" w:cs="Arial"/>
          <w:bCs/>
          <w:color w:val="000000"/>
          <w:sz w:val="20"/>
          <w:szCs w:val="20"/>
        </w:rPr>
        <w:t xml:space="preserve"> 2017 (1) SA 549 (CC) </w:t>
      </w:r>
      <w:r w:rsidRPr="00463BCA">
        <w:rPr>
          <w:rFonts w:ascii="Arial" w:hAnsi="Arial" w:cs="Arial"/>
          <w:color w:val="000000"/>
          <w:sz w:val="20"/>
          <w:szCs w:val="20"/>
          <w:lang w:eastAsia="en-ZA"/>
        </w:rPr>
        <w:t>.</w:t>
      </w:r>
      <w:r w:rsidRPr="00463BCA">
        <w:rPr>
          <w:rFonts w:ascii="Arial" w:hAnsi="Arial" w:cs="Arial"/>
          <w:sz w:val="20"/>
          <w:szCs w:val="20"/>
          <w:lang w:val="en-ZA"/>
        </w:rPr>
        <w:t xml:space="preserve"> </w:t>
      </w:r>
    </w:p>
  </w:footnote>
  <w:footnote w:id="16">
    <w:p w14:paraId="60473DE9" w14:textId="77777777"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lang w:val="en-ZA"/>
        </w:rPr>
        <w:t>Ibid para 26.</w:t>
      </w:r>
    </w:p>
  </w:footnote>
  <w:footnote w:id="17">
    <w:p w14:paraId="45FBD7E5" w14:textId="568FEA79" w:rsidR="000C45FB" w:rsidRPr="00463BCA" w:rsidRDefault="000C45FB" w:rsidP="00731E1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i/>
        </w:rPr>
        <w:t>President of the Republic of South Africa v Public Protector</w:t>
      </w:r>
      <w:r w:rsidR="009F1987" w:rsidRPr="00463BCA">
        <w:rPr>
          <w:rFonts w:ascii="Arial" w:hAnsi="Arial" w:cs="Arial"/>
          <w:i/>
        </w:rPr>
        <w:t xml:space="preserve"> </w:t>
      </w:r>
      <w:r w:rsidRPr="00463BCA">
        <w:rPr>
          <w:rFonts w:ascii="Arial" w:hAnsi="Arial" w:cs="Arial"/>
          <w:lang w:val="en-ZA"/>
        </w:rPr>
        <w:t xml:space="preserve">[2017] ZAGPPHC 747; 2018 (2) SA 100 (GP). </w:t>
      </w:r>
    </w:p>
  </w:footnote>
  <w:footnote w:id="18">
    <w:p w14:paraId="69965670" w14:textId="6A2319F8" w:rsidR="000C45FB" w:rsidRPr="00463BCA" w:rsidRDefault="000C45FB" w:rsidP="00731E15">
      <w:pPr>
        <w:spacing w:after="0" w:line="240" w:lineRule="auto"/>
        <w:contextualSpacing/>
        <w:jc w:val="both"/>
        <w:rPr>
          <w:rFonts w:ascii="Arial" w:hAnsi="Arial" w:cs="Arial"/>
          <w:sz w:val="20"/>
          <w:szCs w:val="20"/>
          <w:lang w:val="en-ZA"/>
        </w:rPr>
      </w:pPr>
      <w:r w:rsidRPr="00463BCA">
        <w:rPr>
          <w:rStyle w:val="FootnoteReference"/>
          <w:rFonts w:ascii="Arial" w:hAnsi="Arial" w:cs="Arial"/>
          <w:sz w:val="20"/>
          <w:szCs w:val="20"/>
        </w:rPr>
        <w:footnoteRef/>
      </w:r>
      <w:r w:rsidRPr="00463BCA">
        <w:rPr>
          <w:rFonts w:ascii="Arial" w:hAnsi="Arial" w:cs="Arial"/>
          <w:sz w:val="20"/>
          <w:szCs w:val="20"/>
        </w:rPr>
        <w:t xml:space="preserve"> </w:t>
      </w:r>
      <w:r w:rsidRPr="00463BCA">
        <w:rPr>
          <w:rFonts w:ascii="Arial" w:hAnsi="Arial" w:cs="Arial"/>
          <w:i/>
          <w:sz w:val="20"/>
          <w:szCs w:val="20"/>
          <w:lang w:eastAsia="en-ZA"/>
        </w:rPr>
        <w:t>National Union of Metal Workers of South Africa v Intervalve (Pty) Ltd and Others</w:t>
      </w:r>
      <w:r w:rsidRPr="00463BCA">
        <w:rPr>
          <w:rFonts w:ascii="Arial" w:hAnsi="Arial" w:cs="Arial"/>
          <w:sz w:val="20"/>
          <w:szCs w:val="20"/>
          <w:lang w:eastAsia="en-ZA"/>
        </w:rPr>
        <w:t xml:space="preserve"> [2014] ZACC 35; 2015 (2) BCLR 182 (CC); [2015] 3 BLLR 205 (CC); (2015) 36 ILJ 363 (CC) paras 60-61</w:t>
      </w:r>
    </w:p>
  </w:footnote>
  <w:footnote w:id="19">
    <w:p w14:paraId="03748EC2" w14:textId="37BEFE72" w:rsidR="000C45FB" w:rsidRPr="00463BCA" w:rsidRDefault="000C45FB">
      <w:pPr>
        <w:pStyle w:val="FootnoteText"/>
        <w:rPr>
          <w:rFonts w:ascii="Arial" w:hAnsi="Arial" w:cs="Arial"/>
          <w:lang w:val="en-ZA"/>
        </w:rPr>
      </w:pPr>
      <w:r w:rsidRPr="00463BCA">
        <w:rPr>
          <w:rStyle w:val="FootnoteReference"/>
          <w:rFonts w:ascii="Arial" w:hAnsi="Arial" w:cs="Arial"/>
        </w:rPr>
        <w:footnoteRef/>
      </w:r>
      <w:r w:rsidR="00170EE4" w:rsidRPr="00463BCA">
        <w:rPr>
          <w:rFonts w:ascii="Arial" w:hAnsi="Arial" w:cs="Arial"/>
        </w:rPr>
        <w:t xml:space="preserve"> </w:t>
      </w:r>
      <w:r w:rsidR="00170EE4" w:rsidRPr="00463BCA">
        <w:rPr>
          <w:rFonts w:ascii="Arial" w:hAnsi="Arial" w:cs="Arial"/>
          <w:i/>
          <w:iCs/>
          <w:color w:val="000000"/>
        </w:rPr>
        <w:t>National Coalition for Gay and Lesbian Equality and Others v Minister of Home Affairs and Others</w:t>
      </w:r>
      <w:r w:rsidRPr="00463BCA">
        <w:rPr>
          <w:rFonts w:ascii="Arial" w:hAnsi="Arial" w:cs="Arial"/>
        </w:rPr>
        <w:t xml:space="preserve"> </w:t>
      </w:r>
      <w:r w:rsidRPr="00463BCA">
        <w:rPr>
          <w:rFonts w:ascii="Arial" w:hAnsi="Arial" w:cs="Arial"/>
          <w:bCs/>
          <w:lang w:val="en-US"/>
        </w:rPr>
        <w:t>[1999] ZACC 17</w:t>
      </w:r>
      <w:r w:rsidRPr="00463BCA">
        <w:rPr>
          <w:rFonts w:ascii="Arial" w:hAnsi="Arial" w:cs="Arial"/>
          <w:lang w:val="en-US"/>
        </w:rPr>
        <w:t>; </w:t>
      </w:r>
      <w:r w:rsidRPr="00463BCA">
        <w:rPr>
          <w:rFonts w:ascii="Arial" w:hAnsi="Arial" w:cs="Arial"/>
          <w:bCs/>
          <w:lang w:val="en-US"/>
        </w:rPr>
        <w:t>2000 (2) SA 1</w:t>
      </w:r>
      <w:r w:rsidRPr="00463BCA">
        <w:rPr>
          <w:rFonts w:ascii="Arial" w:hAnsi="Arial" w:cs="Arial"/>
          <w:lang w:val="en-US"/>
        </w:rPr>
        <w:t> (CC) para 21</w:t>
      </w:r>
      <w:r w:rsidR="00170EE4" w:rsidRPr="00463BCA">
        <w:rPr>
          <w:rFonts w:ascii="Arial" w:hAnsi="Arial" w:cs="Arial"/>
          <w:lang w:val="en-US"/>
        </w:rPr>
        <w:t xml:space="preserve"> fn 8.</w:t>
      </w:r>
      <w:r w:rsidRPr="00463BCA">
        <w:rPr>
          <w:rFonts w:ascii="Arial" w:hAnsi="Arial" w:cs="Arial"/>
          <w:lang w:val="en-US"/>
        </w:rPr>
        <w:t xml:space="preserve"> </w:t>
      </w:r>
    </w:p>
  </w:footnote>
  <w:footnote w:id="20">
    <w:p w14:paraId="762F6B27" w14:textId="77777777"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Section 151</w:t>
      </w:r>
      <w:r w:rsidRPr="00463BCA">
        <w:rPr>
          <w:rFonts w:ascii="Arial" w:hAnsi="Arial" w:cs="Arial"/>
          <w:color w:val="000000"/>
          <w:shd w:val="clear" w:color="auto" w:fill="FFFFFF"/>
        </w:rPr>
        <w:t xml:space="preserve">(2) of the LRA provides: ‘The Labour Court is a superior court that has authority, inherent powers and standing, in relation to matters under its jurisdiction, equal to that which a court of a Division of the High Court of South Africa has in relation to matters under its jurisdiction.’ </w:t>
      </w:r>
    </w:p>
  </w:footnote>
  <w:footnote w:id="21">
    <w:p w14:paraId="142EB2E1" w14:textId="77777777"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See </w:t>
      </w:r>
      <w:r w:rsidRPr="00463BCA">
        <w:rPr>
          <w:rFonts w:ascii="Arial" w:hAnsi="Arial" w:cs="Arial"/>
          <w:i/>
        </w:rPr>
        <w:t>Amalungelo Workers’ Union and Others v Philip Morris South Africa (Pty) Limited and Another</w:t>
      </w:r>
      <w:r w:rsidRPr="00463BCA">
        <w:rPr>
          <w:rFonts w:ascii="Arial" w:hAnsi="Arial" w:cs="Arial"/>
        </w:rPr>
        <w:t xml:space="preserve"> [2019] ZACC 45, 2020 (2) BCLR 125 (CC); (2020) 41 ILJ 863 (CC) (</w:t>
      </w:r>
      <w:r w:rsidRPr="00463BCA">
        <w:rPr>
          <w:rFonts w:ascii="Arial" w:hAnsi="Arial" w:cs="Arial"/>
          <w:i/>
          <w:iCs/>
        </w:rPr>
        <w:t>Amalungelo</w:t>
      </w:r>
      <w:r w:rsidRPr="00463BCA">
        <w:rPr>
          <w:rFonts w:ascii="Arial" w:hAnsi="Arial" w:cs="Arial"/>
        </w:rPr>
        <w:t>) para 20: ‘The section tells us in unambiguous terms that the Labour Court has exclusive jurisdiction over matters arising from the Basic Conditions Act’, with the exception being in section 77(3).</w:t>
      </w:r>
    </w:p>
  </w:footnote>
  <w:footnote w:id="22">
    <w:p w14:paraId="5E911104" w14:textId="77777777"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i/>
          <w:color w:val="000000"/>
          <w:lang w:val="en-ZA" w:eastAsia="en-ZA"/>
        </w:rPr>
        <w:t>Baloyi v Public Protector and others</w:t>
      </w:r>
      <w:r w:rsidRPr="00463BCA">
        <w:rPr>
          <w:rStyle w:val="lphit"/>
          <w:rFonts w:ascii="Arial" w:hAnsi="Arial" w:cs="Arial"/>
          <w:bCs/>
          <w:color w:val="000000"/>
          <w:shd w:val="clear" w:color="auto" w:fill="FFFFFF"/>
        </w:rPr>
        <w:t xml:space="preserve"> [2020] ZACC 27; 2021 </w:t>
      </w:r>
      <w:r w:rsidRPr="00463BCA">
        <w:rPr>
          <w:rFonts w:ascii="Arial" w:hAnsi="Arial" w:cs="Arial"/>
          <w:bCs/>
          <w:color w:val="000000"/>
          <w:shd w:val="clear" w:color="auto" w:fill="FFFFFF"/>
        </w:rPr>
        <w:t>(2) </w:t>
      </w:r>
      <w:r w:rsidRPr="00463BCA">
        <w:rPr>
          <w:rStyle w:val="lphit"/>
          <w:rFonts w:ascii="Arial" w:hAnsi="Arial" w:cs="Arial"/>
          <w:bCs/>
          <w:color w:val="000000"/>
          <w:shd w:val="clear" w:color="auto" w:fill="FFFFFF"/>
        </w:rPr>
        <w:t>BCLR 101 </w:t>
      </w:r>
      <w:r w:rsidRPr="00463BCA">
        <w:rPr>
          <w:rFonts w:ascii="Arial" w:hAnsi="Arial" w:cs="Arial"/>
          <w:bCs/>
          <w:color w:val="000000"/>
          <w:shd w:val="clear" w:color="auto" w:fill="FFFFFF"/>
        </w:rPr>
        <w:t>(</w:t>
      </w:r>
      <w:r w:rsidRPr="00463BCA">
        <w:rPr>
          <w:rStyle w:val="lphit"/>
          <w:rFonts w:ascii="Arial" w:hAnsi="Arial" w:cs="Arial"/>
          <w:bCs/>
          <w:color w:val="000000"/>
          <w:shd w:val="clear" w:color="auto" w:fill="FFFFFF"/>
        </w:rPr>
        <w:t>CC</w:t>
      </w:r>
      <w:r w:rsidRPr="00463BCA">
        <w:rPr>
          <w:rFonts w:ascii="Arial" w:hAnsi="Arial" w:cs="Arial"/>
          <w:bCs/>
          <w:color w:val="000000"/>
          <w:shd w:val="clear" w:color="auto" w:fill="FFFFFF"/>
        </w:rPr>
        <w:t>) para 26.</w:t>
      </w:r>
    </w:p>
  </w:footnote>
  <w:footnote w:id="23">
    <w:p w14:paraId="7E46B7E4" w14:textId="5E9C3428" w:rsidR="000C45FB" w:rsidRPr="00463BCA" w:rsidRDefault="000C45FB" w:rsidP="001809B5">
      <w:pPr>
        <w:pStyle w:val="FootnoteText"/>
        <w:jc w:val="both"/>
        <w:rPr>
          <w:rFonts w:ascii="Arial" w:hAnsi="Arial" w:cs="Arial"/>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i/>
        </w:rPr>
        <w:t>Amalungelo</w:t>
      </w:r>
      <w:r w:rsidRPr="00463BCA">
        <w:rPr>
          <w:rFonts w:ascii="Arial" w:hAnsi="Arial" w:cs="Arial"/>
        </w:rPr>
        <w:t xml:space="preserve"> para [21] </w:t>
      </w:r>
      <w:r w:rsidRPr="00463BCA">
        <w:rPr>
          <w:rFonts w:ascii="Arial" w:hAnsi="Arial" w:cs="Arial"/>
          <w:color w:val="000000"/>
          <w:shd w:val="clear" w:color="auto" w:fill="FFFFFF"/>
        </w:rPr>
        <w:t xml:space="preserve">declared that the Labour Court has jurisdiction ‘in respect of all matters’ arising from the Employment Act.   </w:t>
      </w:r>
    </w:p>
  </w:footnote>
  <w:footnote w:id="24">
    <w:p w14:paraId="7A09A62D" w14:textId="77777777"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lang w:val="en-ZA"/>
        </w:rPr>
        <w:t>Ibid para 28.</w:t>
      </w:r>
    </w:p>
  </w:footnote>
  <w:footnote w:id="25">
    <w:p w14:paraId="5F391265" w14:textId="77777777"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i/>
          <w:iCs/>
          <w:color w:val="000000"/>
          <w:shd w:val="clear" w:color="auto" w:fill="FFFFFF"/>
        </w:rPr>
        <w:t>Gcaba v Minister for Safety and Security and Others</w:t>
      </w:r>
      <w:r w:rsidRPr="00463BCA">
        <w:rPr>
          <w:rFonts w:ascii="Arial" w:hAnsi="Arial" w:cs="Arial"/>
          <w:color w:val="000000"/>
          <w:shd w:val="clear" w:color="auto" w:fill="FFFFFF"/>
        </w:rPr>
        <w:t xml:space="preserve"> [2009] ZACC 26; </w:t>
      </w:r>
      <w:r w:rsidRPr="00463BCA">
        <w:rPr>
          <w:rFonts w:ascii="Arial" w:hAnsi="Arial" w:cs="Arial"/>
        </w:rPr>
        <w:t>2010 (1) </w:t>
      </w:r>
      <w:r w:rsidRPr="00463BCA">
        <w:rPr>
          <w:rStyle w:val="lphit"/>
          <w:rFonts w:ascii="Arial" w:hAnsi="Arial" w:cs="Arial"/>
          <w:color w:val="000000"/>
          <w:shd w:val="clear" w:color="auto" w:fill="FFFFFF"/>
        </w:rPr>
        <w:t>BCLR </w:t>
      </w:r>
      <w:r w:rsidRPr="00463BCA">
        <w:rPr>
          <w:rFonts w:ascii="Arial" w:hAnsi="Arial" w:cs="Arial"/>
        </w:rPr>
        <w:t>35 CC</w:t>
      </w:r>
      <w:r w:rsidRPr="00463BCA">
        <w:rPr>
          <w:rFonts w:ascii="Arial" w:hAnsi="Arial" w:cs="Arial"/>
          <w:color w:val="000000"/>
          <w:shd w:val="clear" w:color="auto" w:fill="FFFFFF"/>
        </w:rPr>
        <w:t>.</w:t>
      </w:r>
    </w:p>
  </w:footnote>
  <w:footnote w:id="26">
    <w:p w14:paraId="2B8384E2" w14:textId="77777777"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lang w:val="en-ZA"/>
        </w:rPr>
        <w:t>Ibid para 75.</w:t>
      </w:r>
    </w:p>
  </w:footnote>
  <w:footnote w:id="27">
    <w:p w14:paraId="6F8DA3EC" w14:textId="338BF01E"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009F1987" w:rsidRPr="00463BCA">
        <w:rPr>
          <w:rFonts w:ascii="Arial" w:hAnsi="Arial" w:cs="Arial"/>
        </w:rPr>
        <w:t xml:space="preserve"> </w:t>
      </w:r>
      <w:r w:rsidRPr="00463BCA">
        <w:rPr>
          <w:rFonts w:ascii="Arial" w:hAnsi="Arial" w:cs="Arial"/>
          <w:i/>
          <w:iCs/>
          <w:color w:val="242121"/>
          <w:shd w:val="clear" w:color="auto" w:fill="FFFFFF"/>
        </w:rPr>
        <w:t>The National Prosecuting Authority v PSA obo Meintjies and 55 others and Others and</w:t>
      </w:r>
      <w:r w:rsidRPr="00463BCA">
        <w:rPr>
          <w:rFonts w:ascii="Arial" w:hAnsi="Arial" w:cs="Arial"/>
          <w:color w:val="242121"/>
          <w:shd w:val="clear" w:color="auto" w:fill="FFFFFF"/>
        </w:rPr>
        <w:t> </w:t>
      </w:r>
      <w:r w:rsidRPr="00463BCA">
        <w:rPr>
          <w:rFonts w:ascii="Arial" w:hAnsi="Arial" w:cs="Arial"/>
          <w:i/>
          <w:iCs/>
          <w:color w:val="242121"/>
          <w:shd w:val="clear" w:color="auto" w:fill="FFFFFF"/>
        </w:rPr>
        <w:t xml:space="preserve">The Minister of Justice and Correctional Services and Director-General: DoJCD v PSA obo Meintjies and 55 others and </w:t>
      </w:r>
      <w:r w:rsidRPr="00463BCA">
        <w:rPr>
          <w:rFonts w:ascii="Arial" w:hAnsi="Arial" w:cs="Arial"/>
          <w:color w:val="242121"/>
          <w:shd w:val="clear" w:color="auto" w:fill="FFFFFF"/>
        </w:rPr>
        <w:t>Others</w:t>
      </w:r>
      <w:r w:rsidRPr="00463BCA" w:rsidDel="00701F17">
        <w:rPr>
          <w:rFonts w:ascii="Arial" w:hAnsi="Arial" w:cs="Arial"/>
          <w:bdr w:val="none" w:sz="0" w:space="0" w:color="auto" w:frame="1"/>
          <w:shd w:val="clear" w:color="auto" w:fill="FFFFFF"/>
        </w:rPr>
        <w:t xml:space="preserve"> </w:t>
      </w:r>
      <w:r w:rsidRPr="00463BCA">
        <w:rPr>
          <w:rFonts w:ascii="Arial" w:hAnsi="Arial" w:cs="Arial"/>
          <w:bdr w:val="none" w:sz="0" w:space="0" w:color="auto" w:frame="1"/>
          <w:shd w:val="clear" w:color="auto" w:fill="FFFFFF"/>
        </w:rPr>
        <w:t>[2021] ZASCA 160;</w:t>
      </w:r>
      <w:r w:rsidRPr="00463BCA">
        <w:rPr>
          <w:rFonts w:ascii="Arial" w:hAnsi="Arial" w:cs="Arial"/>
          <w:shd w:val="clear" w:color="auto" w:fill="FFFFFF"/>
        </w:rPr>
        <w:t> </w:t>
      </w:r>
      <w:r w:rsidRPr="00463BCA">
        <w:rPr>
          <w:rStyle w:val="Hyperlink"/>
          <w:rFonts w:ascii="Arial" w:hAnsi="Arial" w:cs="Arial"/>
          <w:color w:val="auto"/>
          <w:u w:val="none"/>
          <w:shd w:val="clear" w:color="auto" w:fill="FFFFFF"/>
        </w:rPr>
        <w:t>[2022] 1 All SA 353 (SCA)</w:t>
      </w:r>
      <w:r w:rsidRPr="00463BCA">
        <w:rPr>
          <w:rFonts w:ascii="Arial" w:hAnsi="Arial" w:cs="Arial"/>
        </w:rPr>
        <w:t xml:space="preserve"> para 61, which noted: </w:t>
      </w:r>
      <w:r w:rsidRPr="00463BCA">
        <w:rPr>
          <w:rFonts w:ascii="Arial" w:hAnsi="Arial" w:cs="Arial"/>
          <w:i/>
          <w:iCs/>
        </w:rPr>
        <w:t>‘</w:t>
      </w:r>
      <w:r w:rsidRPr="00463BCA">
        <w:rPr>
          <w:rFonts w:ascii="Arial" w:hAnsi="Arial" w:cs="Arial"/>
          <w:color w:val="000000"/>
          <w:shd w:val="clear" w:color="auto" w:fill="FFFFFF"/>
        </w:rPr>
        <w:t>Thus, the notice of motion and founding affidavit has to be analysed to ascertain whether the enforcement of employment contract terms was relied upon. In performing this exercise, substance must prevail over form and proper regard must be had to context.’</w:t>
      </w:r>
    </w:p>
  </w:footnote>
  <w:footnote w:id="28">
    <w:p w14:paraId="6A3FB8EB" w14:textId="56BEE8FC" w:rsidR="000C45FB" w:rsidRPr="00463BCA" w:rsidRDefault="000C45FB" w:rsidP="00076969">
      <w:pPr>
        <w:autoSpaceDE w:val="0"/>
        <w:autoSpaceDN w:val="0"/>
        <w:adjustRightInd w:val="0"/>
        <w:spacing w:after="0" w:line="240" w:lineRule="auto"/>
        <w:jc w:val="both"/>
        <w:rPr>
          <w:rFonts w:ascii="Arial" w:hAnsi="Arial" w:cs="Arial"/>
          <w:sz w:val="20"/>
          <w:szCs w:val="20"/>
          <w:lang w:val="en-ZA"/>
        </w:rPr>
      </w:pPr>
      <w:r w:rsidRPr="00463BCA">
        <w:rPr>
          <w:rStyle w:val="FootnoteReference"/>
          <w:rFonts w:ascii="Arial" w:hAnsi="Arial" w:cs="Arial"/>
          <w:sz w:val="20"/>
          <w:szCs w:val="20"/>
        </w:rPr>
        <w:footnoteRef/>
      </w:r>
      <w:r w:rsidRPr="00463BCA">
        <w:rPr>
          <w:rFonts w:ascii="Arial" w:hAnsi="Arial" w:cs="Arial"/>
          <w:sz w:val="20"/>
          <w:szCs w:val="20"/>
        </w:rPr>
        <w:t xml:space="preserve"> </w:t>
      </w:r>
      <w:r w:rsidRPr="00463BCA">
        <w:rPr>
          <w:rFonts w:ascii="Arial" w:eastAsiaTheme="minorHAnsi" w:hAnsi="Arial" w:cs="Arial"/>
          <w:i/>
          <w:iCs/>
          <w:sz w:val="20"/>
          <w:szCs w:val="20"/>
          <w:lang w:val="en-ZA"/>
        </w:rPr>
        <w:t>Lewarne v Fochem International</w:t>
      </w:r>
      <w:r w:rsidRPr="00463BCA">
        <w:rPr>
          <w:rFonts w:ascii="Arial" w:eastAsiaTheme="minorHAnsi" w:hAnsi="Arial" w:cs="Arial"/>
          <w:sz w:val="20"/>
          <w:szCs w:val="20"/>
          <w:lang w:val="en-ZA"/>
        </w:rPr>
        <w:t xml:space="preserve"> </w:t>
      </w:r>
      <w:r w:rsidRPr="00463BCA">
        <w:rPr>
          <w:rFonts w:ascii="Arial" w:eastAsiaTheme="minorHAnsi" w:hAnsi="Arial" w:cs="Arial"/>
          <w:i/>
          <w:iCs/>
          <w:sz w:val="20"/>
          <w:szCs w:val="20"/>
          <w:lang w:val="en-ZA"/>
        </w:rPr>
        <w:t>(Pty) Ltd</w:t>
      </w:r>
      <w:r w:rsidRPr="00463BCA">
        <w:rPr>
          <w:rFonts w:ascii="Arial" w:eastAsiaTheme="minorHAnsi" w:hAnsi="Arial" w:cs="Arial"/>
          <w:sz w:val="20"/>
          <w:szCs w:val="20"/>
          <w:lang w:val="en-ZA"/>
        </w:rPr>
        <w:t xml:space="preserve"> [2019] ZASCA 114; [2020] 1 BLLR 33 (SCA). The appellants cause of action in that case arose out of and was related to her contract of employment, a term of which provided that she would be paid a 13</w:t>
      </w:r>
      <w:r w:rsidRPr="00463BCA">
        <w:rPr>
          <w:rFonts w:ascii="Arial" w:eastAsiaTheme="minorHAnsi" w:hAnsi="Arial" w:cs="Arial"/>
          <w:sz w:val="20"/>
          <w:szCs w:val="20"/>
          <w:vertAlign w:val="superscript"/>
          <w:lang w:val="en-ZA"/>
        </w:rPr>
        <w:t>th</w:t>
      </w:r>
      <w:r w:rsidRPr="00463BCA">
        <w:rPr>
          <w:rFonts w:ascii="Arial" w:eastAsiaTheme="minorHAnsi" w:hAnsi="Arial" w:cs="Arial"/>
          <w:sz w:val="20"/>
          <w:szCs w:val="20"/>
          <w:lang w:val="en-ZA"/>
        </w:rPr>
        <w:t xml:space="preserve"> cheque in December of each year.</w:t>
      </w:r>
      <w:r w:rsidR="009F1987" w:rsidRPr="00463BCA">
        <w:rPr>
          <w:rFonts w:ascii="Arial" w:eastAsiaTheme="minorHAnsi" w:hAnsi="Arial" w:cs="Arial"/>
          <w:sz w:val="20"/>
          <w:szCs w:val="20"/>
          <w:lang w:val="en-ZA"/>
        </w:rPr>
        <w:t xml:space="preserve"> </w:t>
      </w:r>
      <w:r w:rsidRPr="00463BCA">
        <w:rPr>
          <w:rFonts w:ascii="Arial" w:eastAsiaTheme="minorHAnsi" w:hAnsi="Arial" w:cs="Arial"/>
          <w:sz w:val="20"/>
          <w:szCs w:val="20"/>
          <w:lang w:val="en-ZA"/>
        </w:rPr>
        <w:t>When her employer only paid a portion of her 13</w:t>
      </w:r>
      <w:r w:rsidRPr="00463BCA">
        <w:rPr>
          <w:rFonts w:ascii="Arial" w:eastAsiaTheme="minorHAnsi" w:hAnsi="Arial" w:cs="Arial"/>
          <w:sz w:val="20"/>
          <w:szCs w:val="20"/>
          <w:vertAlign w:val="superscript"/>
          <w:lang w:val="en-ZA"/>
        </w:rPr>
        <w:t>th</w:t>
      </w:r>
      <w:r w:rsidRPr="00463BCA">
        <w:rPr>
          <w:rFonts w:ascii="Arial" w:eastAsiaTheme="minorHAnsi" w:hAnsi="Arial" w:cs="Arial"/>
          <w:sz w:val="20"/>
          <w:szCs w:val="20"/>
          <w:lang w:val="en-ZA"/>
        </w:rPr>
        <w:t xml:space="preserve"> cheque, she</w:t>
      </w:r>
      <w:r w:rsidR="009F1987" w:rsidRPr="00463BCA">
        <w:rPr>
          <w:rFonts w:ascii="Arial" w:eastAsiaTheme="minorHAnsi" w:hAnsi="Arial" w:cs="Arial"/>
          <w:sz w:val="20"/>
          <w:szCs w:val="20"/>
          <w:lang w:val="en-ZA"/>
        </w:rPr>
        <w:t xml:space="preserve"> </w:t>
      </w:r>
      <w:r w:rsidRPr="00463BCA">
        <w:rPr>
          <w:rFonts w:ascii="Arial" w:eastAsiaTheme="minorHAnsi" w:hAnsi="Arial" w:cs="Arial"/>
          <w:sz w:val="20"/>
          <w:szCs w:val="20"/>
          <w:lang w:val="en-ZA"/>
        </w:rPr>
        <w:t xml:space="preserve">launched proceedings in the high court under </w:t>
      </w:r>
      <w:r w:rsidR="00170EE4" w:rsidRPr="00463BCA">
        <w:rPr>
          <w:rFonts w:ascii="Arial" w:eastAsiaTheme="minorHAnsi" w:hAnsi="Arial" w:cs="Arial"/>
          <w:sz w:val="20"/>
          <w:szCs w:val="20"/>
          <w:lang w:val="en-ZA"/>
        </w:rPr>
        <w:br/>
      </w:r>
      <w:r w:rsidRPr="00463BCA">
        <w:rPr>
          <w:rFonts w:ascii="Arial" w:eastAsiaTheme="minorHAnsi" w:hAnsi="Arial" w:cs="Arial"/>
          <w:sz w:val="20"/>
          <w:szCs w:val="20"/>
          <w:lang w:val="en-ZA"/>
        </w:rPr>
        <w:t>s 77(3) of the Employment Act.</w:t>
      </w:r>
    </w:p>
  </w:footnote>
  <w:footnote w:id="29">
    <w:p w14:paraId="2DB53703" w14:textId="77777777" w:rsidR="000C45FB" w:rsidRPr="00463BCA" w:rsidRDefault="000C45FB" w:rsidP="00AA6708">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i/>
          <w:iCs/>
          <w:color w:val="000000"/>
          <w:shd w:val="clear" w:color="auto" w:fill="FFFFFF"/>
        </w:rPr>
        <w:t>Makhanya v University of Zululand</w:t>
      </w:r>
      <w:r w:rsidRPr="00463BCA">
        <w:rPr>
          <w:rFonts w:ascii="Arial" w:hAnsi="Arial" w:cs="Arial"/>
          <w:color w:val="000000"/>
          <w:shd w:val="clear" w:color="auto" w:fill="FFFFFF"/>
        </w:rPr>
        <w:t xml:space="preserve"> [2009] ZASCA 69; </w:t>
      </w:r>
      <w:r w:rsidRPr="00463BCA">
        <w:rPr>
          <w:rFonts w:ascii="Arial" w:hAnsi="Arial" w:cs="Arial"/>
        </w:rPr>
        <w:t>[2009] 4 All SA 146</w:t>
      </w:r>
      <w:r w:rsidRPr="00463BCA">
        <w:rPr>
          <w:rFonts w:ascii="Arial" w:hAnsi="Arial" w:cs="Arial"/>
          <w:color w:val="000000"/>
          <w:shd w:val="clear" w:color="auto" w:fill="FFFFFF"/>
        </w:rPr>
        <w:t xml:space="preserve"> (SCA)</w:t>
      </w:r>
      <w:r w:rsidRPr="00463BCA">
        <w:rPr>
          <w:rFonts w:ascii="Arial" w:hAnsi="Arial" w:cs="Arial"/>
          <w:lang w:val="en-ZA"/>
        </w:rPr>
        <w:t>.</w:t>
      </w:r>
    </w:p>
  </w:footnote>
  <w:footnote w:id="30">
    <w:p w14:paraId="6703B437" w14:textId="77777777" w:rsidR="000C45FB" w:rsidRPr="00463BCA" w:rsidRDefault="000C45FB" w:rsidP="00AA6708">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lang w:val="en-ZA"/>
        </w:rPr>
        <w:t>Ibid para 71.</w:t>
      </w:r>
    </w:p>
  </w:footnote>
  <w:footnote w:id="31">
    <w:p w14:paraId="7D257854" w14:textId="77777777" w:rsidR="000C45FB" w:rsidRPr="00463BCA" w:rsidRDefault="000C45FB" w:rsidP="001809B5">
      <w:pPr>
        <w:pStyle w:val="Heading2"/>
        <w:shd w:val="clear" w:color="auto" w:fill="FFFFFF"/>
        <w:spacing w:before="0" w:beforeAutospacing="0" w:after="0" w:afterAutospacing="0" w:line="288" w:lineRule="atLeast"/>
        <w:jc w:val="both"/>
        <w:rPr>
          <w:rFonts w:ascii="Arial" w:hAnsi="Arial" w:cs="Arial"/>
          <w:b w:val="0"/>
          <w:sz w:val="20"/>
          <w:szCs w:val="20"/>
        </w:rPr>
      </w:pPr>
      <w:r w:rsidRPr="00463BCA">
        <w:rPr>
          <w:rStyle w:val="FootnoteReference"/>
          <w:rFonts w:ascii="Arial" w:hAnsi="Arial" w:cs="Arial"/>
          <w:b w:val="0"/>
          <w:bCs w:val="0"/>
          <w:sz w:val="20"/>
          <w:szCs w:val="20"/>
        </w:rPr>
        <w:footnoteRef/>
      </w:r>
      <w:r w:rsidRPr="00463BCA">
        <w:rPr>
          <w:rFonts w:ascii="Arial" w:hAnsi="Arial" w:cs="Arial"/>
          <w:b w:val="0"/>
          <w:bCs w:val="0"/>
          <w:sz w:val="20"/>
          <w:szCs w:val="20"/>
        </w:rPr>
        <w:t xml:space="preserve"> </w:t>
      </w:r>
      <w:r w:rsidRPr="00463BCA">
        <w:rPr>
          <w:rFonts w:ascii="Arial" w:hAnsi="Arial" w:cs="Arial"/>
          <w:b w:val="0"/>
          <w:i/>
          <w:iCs/>
          <w:sz w:val="20"/>
          <w:szCs w:val="20"/>
        </w:rPr>
        <w:t>Independent Municipal and Allied Trade Union (IMATU) v Mase and Others</w:t>
      </w:r>
      <w:r w:rsidRPr="00463BCA">
        <w:rPr>
          <w:rFonts w:ascii="Arial" w:hAnsi="Arial" w:cs="Arial"/>
          <w:b w:val="0"/>
          <w:sz w:val="20"/>
          <w:szCs w:val="20"/>
        </w:rPr>
        <w:t xml:space="preserve"> [2022] ZALCPE 39; [2022] 12 BLLR 1107 (LC).</w:t>
      </w:r>
    </w:p>
  </w:footnote>
  <w:footnote w:id="32">
    <w:p w14:paraId="218629A0" w14:textId="28E9CB3F"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i/>
          <w:iCs/>
          <w:lang w:val="en-ZA"/>
        </w:rPr>
        <w:t>IMATU v T Mase and Others</w:t>
      </w:r>
      <w:r w:rsidRPr="00463BCA">
        <w:rPr>
          <w:rFonts w:ascii="Arial" w:hAnsi="Arial" w:cs="Arial"/>
          <w:lang w:val="en-ZA"/>
        </w:rPr>
        <w:t xml:space="preserve"> (ZALAC,</w:t>
      </w:r>
      <w:r w:rsidR="009F1987" w:rsidRPr="00463BCA">
        <w:rPr>
          <w:rFonts w:ascii="Arial" w:hAnsi="Arial" w:cs="Arial"/>
          <w:lang w:val="en-ZA"/>
        </w:rPr>
        <w:t xml:space="preserve"> </w:t>
      </w:r>
      <w:r w:rsidRPr="00463BCA">
        <w:rPr>
          <w:rFonts w:ascii="Arial" w:hAnsi="Arial" w:cs="Arial"/>
          <w:lang w:val="en-ZA"/>
        </w:rPr>
        <w:t>Gqeberha) case no. PA11/2022, unreported, 26 October 2023, para 53</w:t>
      </w:r>
      <w:r w:rsidR="009F1987" w:rsidRPr="00463BCA">
        <w:rPr>
          <w:rFonts w:ascii="Arial" w:hAnsi="Arial" w:cs="Arial"/>
          <w:lang w:val="en-ZA"/>
        </w:rPr>
        <w:t>.</w:t>
      </w:r>
    </w:p>
  </w:footnote>
  <w:footnote w:id="33">
    <w:p w14:paraId="32F7A363" w14:textId="77777777"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lang w:val="en-ZA"/>
        </w:rPr>
        <w:t>Ibid para 51.</w:t>
      </w:r>
    </w:p>
  </w:footnote>
  <w:footnote w:id="34">
    <w:p w14:paraId="6143D2A5" w14:textId="6C90E593"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lang w:val="en-ZA"/>
        </w:rPr>
        <w:t xml:space="preserve">Ibid </w:t>
      </w:r>
      <w:r w:rsidR="009F1987" w:rsidRPr="00463BCA">
        <w:rPr>
          <w:rFonts w:ascii="Arial" w:hAnsi="Arial" w:cs="Arial"/>
          <w:lang w:val="en-ZA"/>
        </w:rPr>
        <w:t>p</w:t>
      </w:r>
      <w:r w:rsidRPr="00463BCA">
        <w:rPr>
          <w:rFonts w:ascii="Arial" w:hAnsi="Arial" w:cs="Arial"/>
          <w:lang w:val="en-ZA"/>
        </w:rPr>
        <w:t>ara 61</w:t>
      </w:r>
      <w:r w:rsidR="009F1987" w:rsidRPr="00463BCA">
        <w:rPr>
          <w:rFonts w:ascii="Arial" w:hAnsi="Arial" w:cs="Arial"/>
          <w:lang w:val="en-ZA"/>
        </w:rPr>
        <w:t>.</w:t>
      </w:r>
    </w:p>
  </w:footnote>
  <w:footnote w:id="35">
    <w:p w14:paraId="01F5014D" w14:textId="6B6C0C5E" w:rsidR="000C45FB" w:rsidRPr="00463BCA" w:rsidRDefault="000C45FB" w:rsidP="001809B5">
      <w:pPr>
        <w:pStyle w:val="FootnoteText"/>
        <w:jc w:val="both"/>
        <w:rPr>
          <w:rFonts w:ascii="Arial" w:hAnsi="Arial" w:cs="Arial"/>
          <w:lang w:val="en-ZA"/>
        </w:rPr>
      </w:pPr>
      <w:r w:rsidRPr="00463BCA">
        <w:rPr>
          <w:rStyle w:val="FootnoteReference"/>
          <w:rFonts w:ascii="Arial" w:hAnsi="Arial" w:cs="Arial"/>
        </w:rPr>
        <w:footnoteRef/>
      </w:r>
      <w:r w:rsidRPr="00463BCA">
        <w:rPr>
          <w:rFonts w:ascii="Arial" w:hAnsi="Arial" w:cs="Arial"/>
        </w:rPr>
        <w:t xml:space="preserve"> </w:t>
      </w:r>
      <w:r w:rsidRPr="00463BCA">
        <w:rPr>
          <w:rFonts w:ascii="Arial" w:hAnsi="Arial" w:cs="Arial"/>
          <w:lang w:val="en-ZA"/>
        </w:rPr>
        <w:t>Ibid para 6</w:t>
      </w:r>
      <w:r w:rsidR="009F1987" w:rsidRPr="00463BCA">
        <w:rPr>
          <w:rFonts w:ascii="Arial" w:hAnsi="Arial" w:cs="Arial"/>
          <w:lang w:val="en-ZA"/>
        </w:rPr>
        <w:t>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19846"/>
      <w:docPartObj>
        <w:docPartGallery w:val="Page Numbers (Top of Page)"/>
        <w:docPartUnique/>
      </w:docPartObj>
    </w:sdtPr>
    <w:sdtEndPr>
      <w:rPr>
        <w:noProof/>
      </w:rPr>
    </w:sdtEndPr>
    <w:sdtContent>
      <w:p w14:paraId="562A4ECF" w14:textId="1F522E8A" w:rsidR="000C45FB" w:rsidRDefault="000C45FB">
        <w:pPr>
          <w:pStyle w:val="Header"/>
          <w:jc w:val="right"/>
        </w:pPr>
        <w:r>
          <w:fldChar w:fldCharType="begin"/>
        </w:r>
        <w:r>
          <w:instrText xml:space="preserve"> PAGE   \* MERGEFORMAT </w:instrText>
        </w:r>
        <w:r>
          <w:fldChar w:fldCharType="separate"/>
        </w:r>
        <w:r w:rsidR="003B3752">
          <w:rPr>
            <w:noProof/>
          </w:rPr>
          <w:t>2</w:t>
        </w:r>
        <w:r>
          <w:rPr>
            <w:noProof/>
          </w:rPr>
          <w:fldChar w:fldCharType="end"/>
        </w:r>
      </w:p>
    </w:sdtContent>
  </w:sdt>
  <w:p w14:paraId="301E3976" w14:textId="77777777" w:rsidR="000C45FB" w:rsidRDefault="000C45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66B"/>
    <w:multiLevelType w:val="hybridMultilevel"/>
    <w:tmpl w:val="8FF2D8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5A7A26"/>
    <w:multiLevelType w:val="hybridMultilevel"/>
    <w:tmpl w:val="B29228DA"/>
    <w:lvl w:ilvl="0" w:tplc="B97C4AA6">
      <w:start w:val="1"/>
      <w:numFmt w:val="decimal"/>
      <w:pStyle w:val="JUDGMENTNUMBERED"/>
      <w:lvlText w:val="[%1]"/>
      <w:lvlJc w:val="left"/>
      <w:pPr>
        <w:ind w:left="2345" w:hanging="360"/>
      </w:pPr>
      <w:rPr>
        <w:rFonts w:ascii="Arial" w:hAnsi="Arial" w:cs="Arial"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090019">
      <w:start w:val="1"/>
      <w:numFmt w:val="lowerLetter"/>
      <w:lvlText w:val="%2."/>
      <w:lvlJc w:val="left"/>
      <w:pPr>
        <w:ind w:left="-3521" w:hanging="360"/>
      </w:pPr>
      <w:rPr>
        <w:rFonts w:cs="Times New Roman"/>
      </w:rPr>
    </w:lvl>
    <w:lvl w:ilvl="2" w:tplc="1F6A855A">
      <w:start w:val="1"/>
      <w:numFmt w:val="lowerLetter"/>
      <w:lvlText w:val="(%3)"/>
      <w:lvlJc w:val="left"/>
      <w:pPr>
        <w:ind w:left="-2621" w:hanging="360"/>
      </w:pPr>
      <w:rPr>
        <w:rFonts w:cs="Times New Roman"/>
      </w:rPr>
    </w:lvl>
    <w:lvl w:ilvl="3" w:tplc="0409000F">
      <w:start w:val="1"/>
      <w:numFmt w:val="decimal"/>
      <w:lvlText w:val="%4."/>
      <w:lvlJc w:val="left"/>
      <w:pPr>
        <w:ind w:left="-2081" w:hanging="360"/>
      </w:pPr>
      <w:rPr>
        <w:rFonts w:cs="Times New Roman"/>
      </w:rPr>
    </w:lvl>
    <w:lvl w:ilvl="4" w:tplc="04090019">
      <w:start w:val="1"/>
      <w:numFmt w:val="lowerLetter"/>
      <w:lvlText w:val="%5."/>
      <w:lvlJc w:val="left"/>
      <w:pPr>
        <w:ind w:left="-1361" w:hanging="360"/>
      </w:pPr>
      <w:rPr>
        <w:rFonts w:cs="Times New Roman"/>
      </w:rPr>
    </w:lvl>
    <w:lvl w:ilvl="5" w:tplc="0409001B">
      <w:start w:val="1"/>
      <w:numFmt w:val="lowerRoman"/>
      <w:lvlText w:val="%6."/>
      <w:lvlJc w:val="right"/>
      <w:pPr>
        <w:ind w:left="-641" w:hanging="180"/>
      </w:pPr>
      <w:rPr>
        <w:rFonts w:cs="Times New Roman"/>
      </w:rPr>
    </w:lvl>
    <w:lvl w:ilvl="6" w:tplc="0409000F">
      <w:start w:val="1"/>
      <w:numFmt w:val="decimal"/>
      <w:lvlText w:val="%7."/>
      <w:lvlJc w:val="left"/>
      <w:pPr>
        <w:ind w:left="79" w:hanging="360"/>
      </w:pPr>
      <w:rPr>
        <w:rFonts w:cs="Times New Roman"/>
      </w:rPr>
    </w:lvl>
    <w:lvl w:ilvl="7" w:tplc="04090019">
      <w:start w:val="1"/>
      <w:numFmt w:val="lowerLetter"/>
      <w:lvlText w:val="%8."/>
      <w:lvlJc w:val="left"/>
      <w:pPr>
        <w:ind w:left="799" w:hanging="360"/>
      </w:pPr>
      <w:rPr>
        <w:rFonts w:cs="Times New Roman"/>
      </w:rPr>
    </w:lvl>
    <w:lvl w:ilvl="8" w:tplc="0409001B">
      <w:start w:val="1"/>
      <w:numFmt w:val="lowerRoman"/>
      <w:lvlText w:val="%9."/>
      <w:lvlJc w:val="right"/>
      <w:pPr>
        <w:ind w:left="1519" w:hanging="180"/>
      </w:pPr>
      <w:rPr>
        <w:rFonts w:cs="Times New Roman"/>
      </w:rPr>
    </w:lvl>
  </w:abstractNum>
  <w:abstractNum w:abstractNumId="2" w15:restartNumberingAfterBreak="0">
    <w:nsid w:val="270E7FCF"/>
    <w:multiLevelType w:val="hybridMultilevel"/>
    <w:tmpl w:val="19B23EB0"/>
    <w:lvl w:ilvl="0" w:tplc="91B695B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AC8615C"/>
    <w:multiLevelType w:val="hybridMultilevel"/>
    <w:tmpl w:val="22AA1F38"/>
    <w:lvl w:ilvl="0" w:tplc="93385524">
      <w:start w:val="1"/>
      <w:numFmt w:val="decimal"/>
      <w:lvlText w:val="[%1]"/>
      <w:lvlJc w:val="left"/>
      <w:pPr>
        <w:ind w:left="928" w:hanging="360"/>
      </w:pPr>
      <w:rPr>
        <w:rFonts w:ascii="Arial" w:hAnsi="Arial" w:cs="Arial" w:hint="default"/>
        <w:b w:val="0"/>
        <w:bCs w:val="0"/>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51"/>
    <w:rsid w:val="00000649"/>
    <w:rsid w:val="00002347"/>
    <w:rsid w:val="00013F4F"/>
    <w:rsid w:val="00014E23"/>
    <w:rsid w:val="00022BDD"/>
    <w:rsid w:val="00027095"/>
    <w:rsid w:val="00045018"/>
    <w:rsid w:val="00047B88"/>
    <w:rsid w:val="00052617"/>
    <w:rsid w:val="00062884"/>
    <w:rsid w:val="000720B8"/>
    <w:rsid w:val="000729A3"/>
    <w:rsid w:val="00075FE6"/>
    <w:rsid w:val="00076969"/>
    <w:rsid w:val="0008434F"/>
    <w:rsid w:val="00087C1F"/>
    <w:rsid w:val="00095D58"/>
    <w:rsid w:val="000A3031"/>
    <w:rsid w:val="000B01A4"/>
    <w:rsid w:val="000B358F"/>
    <w:rsid w:val="000B4B86"/>
    <w:rsid w:val="000C45FB"/>
    <w:rsid w:val="000C5180"/>
    <w:rsid w:val="000C55D2"/>
    <w:rsid w:val="000E63E0"/>
    <w:rsid w:val="0012570B"/>
    <w:rsid w:val="00126E56"/>
    <w:rsid w:val="00132B2C"/>
    <w:rsid w:val="0014019B"/>
    <w:rsid w:val="0014705F"/>
    <w:rsid w:val="00156421"/>
    <w:rsid w:val="00161E3D"/>
    <w:rsid w:val="00170EE4"/>
    <w:rsid w:val="001809B5"/>
    <w:rsid w:val="001A072A"/>
    <w:rsid w:val="001A57E0"/>
    <w:rsid w:val="001D41BC"/>
    <w:rsid w:val="001E3E48"/>
    <w:rsid w:val="001E7A23"/>
    <w:rsid w:val="001F1BE2"/>
    <w:rsid w:val="001F4DEA"/>
    <w:rsid w:val="00202E30"/>
    <w:rsid w:val="0021702D"/>
    <w:rsid w:val="00233C53"/>
    <w:rsid w:val="00234B0C"/>
    <w:rsid w:val="0023762C"/>
    <w:rsid w:val="0024010C"/>
    <w:rsid w:val="00240ECE"/>
    <w:rsid w:val="002432FD"/>
    <w:rsid w:val="00243B1B"/>
    <w:rsid w:val="00243D3E"/>
    <w:rsid w:val="00251063"/>
    <w:rsid w:val="002515F4"/>
    <w:rsid w:val="00262B61"/>
    <w:rsid w:val="002654CB"/>
    <w:rsid w:val="00270565"/>
    <w:rsid w:val="00271B6F"/>
    <w:rsid w:val="00271F10"/>
    <w:rsid w:val="00290B7B"/>
    <w:rsid w:val="00292BFE"/>
    <w:rsid w:val="00296FF0"/>
    <w:rsid w:val="00297919"/>
    <w:rsid w:val="002A0E8E"/>
    <w:rsid w:val="002A397C"/>
    <w:rsid w:val="002A524F"/>
    <w:rsid w:val="002B5307"/>
    <w:rsid w:val="002C3F1E"/>
    <w:rsid w:val="002D38CE"/>
    <w:rsid w:val="002E26D4"/>
    <w:rsid w:val="002E572B"/>
    <w:rsid w:val="002E593C"/>
    <w:rsid w:val="002F493D"/>
    <w:rsid w:val="002F705D"/>
    <w:rsid w:val="003261D7"/>
    <w:rsid w:val="003315BD"/>
    <w:rsid w:val="0033275D"/>
    <w:rsid w:val="00332FFC"/>
    <w:rsid w:val="003339EB"/>
    <w:rsid w:val="00335E16"/>
    <w:rsid w:val="003439DF"/>
    <w:rsid w:val="00347023"/>
    <w:rsid w:val="0035090E"/>
    <w:rsid w:val="00352068"/>
    <w:rsid w:val="00352BC9"/>
    <w:rsid w:val="00354F90"/>
    <w:rsid w:val="00367E8C"/>
    <w:rsid w:val="0037316D"/>
    <w:rsid w:val="00374974"/>
    <w:rsid w:val="00386EFB"/>
    <w:rsid w:val="00391D71"/>
    <w:rsid w:val="003938D2"/>
    <w:rsid w:val="00397ADE"/>
    <w:rsid w:val="003A0F9E"/>
    <w:rsid w:val="003A7C8C"/>
    <w:rsid w:val="003B2A10"/>
    <w:rsid w:val="003B2E45"/>
    <w:rsid w:val="003B3752"/>
    <w:rsid w:val="003C2D01"/>
    <w:rsid w:val="003C69B3"/>
    <w:rsid w:val="003C74CD"/>
    <w:rsid w:val="003D456F"/>
    <w:rsid w:val="003E0FDD"/>
    <w:rsid w:val="003F1365"/>
    <w:rsid w:val="004015CC"/>
    <w:rsid w:val="004106ED"/>
    <w:rsid w:val="0041131B"/>
    <w:rsid w:val="00421B59"/>
    <w:rsid w:val="00421DEB"/>
    <w:rsid w:val="00424B8F"/>
    <w:rsid w:val="00435C02"/>
    <w:rsid w:val="00435EB6"/>
    <w:rsid w:val="004461A9"/>
    <w:rsid w:val="0044785B"/>
    <w:rsid w:val="00447BAA"/>
    <w:rsid w:val="00457153"/>
    <w:rsid w:val="00457981"/>
    <w:rsid w:val="00463BCA"/>
    <w:rsid w:val="00465DFC"/>
    <w:rsid w:val="00466FC1"/>
    <w:rsid w:val="00467061"/>
    <w:rsid w:val="00473087"/>
    <w:rsid w:val="00475CC1"/>
    <w:rsid w:val="00480852"/>
    <w:rsid w:val="00485CDE"/>
    <w:rsid w:val="00497ACA"/>
    <w:rsid w:val="004A6478"/>
    <w:rsid w:val="004B68B6"/>
    <w:rsid w:val="004C5AEF"/>
    <w:rsid w:val="004D5471"/>
    <w:rsid w:val="004D635C"/>
    <w:rsid w:val="004D7AEF"/>
    <w:rsid w:val="004E2DB7"/>
    <w:rsid w:val="004F5A13"/>
    <w:rsid w:val="00500CDB"/>
    <w:rsid w:val="005026D3"/>
    <w:rsid w:val="005028F6"/>
    <w:rsid w:val="00521C6F"/>
    <w:rsid w:val="00535FA1"/>
    <w:rsid w:val="00542DFA"/>
    <w:rsid w:val="00550FDC"/>
    <w:rsid w:val="00552978"/>
    <w:rsid w:val="0055540B"/>
    <w:rsid w:val="00574A99"/>
    <w:rsid w:val="00586293"/>
    <w:rsid w:val="005931E9"/>
    <w:rsid w:val="005A52BD"/>
    <w:rsid w:val="005A6686"/>
    <w:rsid w:val="005A7A08"/>
    <w:rsid w:val="005B5B98"/>
    <w:rsid w:val="005B7828"/>
    <w:rsid w:val="005C616E"/>
    <w:rsid w:val="005C6676"/>
    <w:rsid w:val="005D1473"/>
    <w:rsid w:val="005D723B"/>
    <w:rsid w:val="005F1460"/>
    <w:rsid w:val="005F2409"/>
    <w:rsid w:val="005F3E10"/>
    <w:rsid w:val="0060516E"/>
    <w:rsid w:val="00610CBA"/>
    <w:rsid w:val="006161BA"/>
    <w:rsid w:val="0064218A"/>
    <w:rsid w:val="00643247"/>
    <w:rsid w:val="0064619C"/>
    <w:rsid w:val="006501C7"/>
    <w:rsid w:val="00654D3F"/>
    <w:rsid w:val="00656BE8"/>
    <w:rsid w:val="0066250E"/>
    <w:rsid w:val="00681733"/>
    <w:rsid w:val="00685AC4"/>
    <w:rsid w:val="006A302B"/>
    <w:rsid w:val="006A4CEC"/>
    <w:rsid w:val="006A7098"/>
    <w:rsid w:val="006B3454"/>
    <w:rsid w:val="006E222E"/>
    <w:rsid w:val="006F70BE"/>
    <w:rsid w:val="006F7B19"/>
    <w:rsid w:val="00701F17"/>
    <w:rsid w:val="00711BF6"/>
    <w:rsid w:val="007218DB"/>
    <w:rsid w:val="00731E15"/>
    <w:rsid w:val="007353F7"/>
    <w:rsid w:val="00746E3E"/>
    <w:rsid w:val="00747F1C"/>
    <w:rsid w:val="00755BE9"/>
    <w:rsid w:val="00765F01"/>
    <w:rsid w:val="00767F61"/>
    <w:rsid w:val="00772156"/>
    <w:rsid w:val="007771C6"/>
    <w:rsid w:val="00777EE2"/>
    <w:rsid w:val="00785ECE"/>
    <w:rsid w:val="0078677B"/>
    <w:rsid w:val="007918FE"/>
    <w:rsid w:val="007A570B"/>
    <w:rsid w:val="007B5EF1"/>
    <w:rsid w:val="007B7CF0"/>
    <w:rsid w:val="007D0CD6"/>
    <w:rsid w:val="007D5883"/>
    <w:rsid w:val="007D6886"/>
    <w:rsid w:val="00804CA5"/>
    <w:rsid w:val="00812D0E"/>
    <w:rsid w:val="00815187"/>
    <w:rsid w:val="00820038"/>
    <w:rsid w:val="00821184"/>
    <w:rsid w:val="00825FA5"/>
    <w:rsid w:val="00826687"/>
    <w:rsid w:val="008311DE"/>
    <w:rsid w:val="008431FC"/>
    <w:rsid w:val="00843451"/>
    <w:rsid w:val="00847BA5"/>
    <w:rsid w:val="00854508"/>
    <w:rsid w:val="00861BF7"/>
    <w:rsid w:val="00863012"/>
    <w:rsid w:val="008675C5"/>
    <w:rsid w:val="00870BD1"/>
    <w:rsid w:val="0088078E"/>
    <w:rsid w:val="00892857"/>
    <w:rsid w:val="00897CC4"/>
    <w:rsid w:val="008A2267"/>
    <w:rsid w:val="008B0530"/>
    <w:rsid w:val="008B4ED9"/>
    <w:rsid w:val="008B7777"/>
    <w:rsid w:val="008C3B67"/>
    <w:rsid w:val="008C440F"/>
    <w:rsid w:val="008C6B70"/>
    <w:rsid w:val="008D73E9"/>
    <w:rsid w:val="008E0C2E"/>
    <w:rsid w:val="008E1027"/>
    <w:rsid w:val="008E6003"/>
    <w:rsid w:val="008F20CB"/>
    <w:rsid w:val="008F2C86"/>
    <w:rsid w:val="008F673E"/>
    <w:rsid w:val="00901048"/>
    <w:rsid w:val="0090118F"/>
    <w:rsid w:val="009018BA"/>
    <w:rsid w:val="009104F1"/>
    <w:rsid w:val="009171B5"/>
    <w:rsid w:val="009223BA"/>
    <w:rsid w:val="00941A50"/>
    <w:rsid w:val="0094706F"/>
    <w:rsid w:val="00951833"/>
    <w:rsid w:val="0095439E"/>
    <w:rsid w:val="00963275"/>
    <w:rsid w:val="009705F9"/>
    <w:rsid w:val="00970638"/>
    <w:rsid w:val="00971647"/>
    <w:rsid w:val="00976490"/>
    <w:rsid w:val="00976D6F"/>
    <w:rsid w:val="00981A20"/>
    <w:rsid w:val="00981F8E"/>
    <w:rsid w:val="009846D7"/>
    <w:rsid w:val="00994614"/>
    <w:rsid w:val="00994DE0"/>
    <w:rsid w:val="009959E5"/>
    <w:rsid w:val="009A0D9A"/>
    <w:rsid w:val="009A43DB"/>
    <w:rsid w:val="009A7BFA"/>
    <w:rsid w:val="009B37B6"/>
    <w:rsid w:val="009B47BC"/>
    <w:rsid w:val="009C0F49"/>
    <w:rsid w:val="009C3FD1"/>
    <w:rsid w:val="009D5934"/>
    <w:rsid w:val="009D638F"/>
    <w:rsid w:val="009E5142"/>
    <w:rsid w:val="009F1987"/>
    <w:rsid w:val="009F360A"/>
    <w:rsid w:val="009F388A"/>
    <w:rsid w:val="00A10CED"/>
    <w:rsid w:val="00A12430"/>
    <w:rsid w:val="00A20101"/>
    <w:rsid w:val="00A36707"/>
    <w:rsid w:val="00A36F95"/>
    <w:rsid w:val="00A36FC0"/>
    <w:rsid w:val="00A440BE"/>
    <w:rsid w:val="00A475DC"/>
    <w:rsid w:val="00A505FC"/>
    <w:rsid w:val="00A50691"/>
    <w:rsid w:val="00A512AC"/>
    <w:rsid w:val="00A54AB6"/>
    <w:rsid w:val="00A617C8"/>
    <w:rsid w:val="00A9634B"/>
    <w:rsid w:val="00A97627"/>
    <w:rsid w:val="00AA1546"/>
    <w:rsid w:val="00AA520E"/>
    <w:rsid w:val="00AA6708"/>
    <w:rsid w:val="00AB33B2"/>
    <w:rsid w:val="00AD6F65"/>
    <w:rsid w:val="00AD70D9"/>
    <w:rsid w:val="00AD7AAD"/>
    <w:rsid w:val="00AE3257"/>
    <w:rsid w:val="00B0085A"/>
    <w:rsid w:val="00B0697E"/>
    <w:rsid w:val="00B15B9E"/>
    <w:rsid w:val="00B20817"/>
    <w:rsid w:val="00B23834"/>
    <w:rsid w:val="00B30648"/>
    <w:rsid w:val="00B376FB"/>
    <w:rsid w:val="00B66A36"/>
    <w:rsid w:val="00B73819"/>
    <w:rsid w:val="00B75DBE"/>
    <w:rsid w:val="00B766A3"/>
    <w:rsid w:val="00B865E2"/>
    <w:rsid w:val="00B87824"/>
    <w:rsid w:val="00B92743"/>
    <w:rsid w:val="00BA5FB1"/>
    <w:rsid w:val="00BB1DBB"/>
    <w:rsid w:val="00BB299B"/>
    <w:rsid w:val="00BC0974"/>
    <w:rsid w:val="00BC2981"/>
    <w:rsid w:val="00BC6E4B"/>
    <w:rsid w:val="00BD3EEC"/>
    <w:rsid w:val="00BD4B65"/>
    <w:rsid w:val="00BD6025"/>
    <w:rsid w:val="00BE452D"/>
    <w:rsid w:val="00BE74AA"/>
    <w:rsid w:val="00BF10DC"/>
    <w:rsid w:val="00BF472F"/>
    <w:rsid w:val="00C004C2"/>
    <w:rsid w:val="00C007C4"/>
    <w:rsid w:val="00C00B3C"/>
    <w:rsid w:val="00C04A25"/>
    <w:rsid w:val="00C0661F"/>
    <w:rsid w:val="00C10D08"/>
    <w:rsid w:val="00C13620"/>
    <w:rsid w:val="00C26FFB"/>
    <w:rsid w:val="00C40566"/>
    <w:rsid w:val="00C5084E"/>
    <w:rsid w:val="00C539DD"/>
    <w:rsid w:val="00C755B2"/>
    <w:rsid w:val="00C77F0E"/>
    <w:rsid w:val="00C82208"/>
    <w:rsid w:val="00CA069A"/>
    <w:rsid w:val="00CC307D"/>
    <w:rsid w:val="00CC7B4E"/>
    <w:rsid w:val="00CD0B0A"/>
    <w:rsid w:val="00CD61FC"/>
    <w:rsid w:val="00CF2181"/>
    <w:rsid w:val="00CF4C98"/>
    <w:rsid w:val="00D053C2"/>
    <w:rsid w:val="00D12CE3"/>
    <w:rsid w:val="00D17A71"/>
    <w:rsid w:val="00D269E0"/>
    <w:rsid w:val="00D33523"/>
    <w:rsid w:val="00D375F6"/>
    <w:rsid w:val="00D43E92"/>
    <w:rsid w:val="00D528E8"/>
    <w:rsid w:val="00D52D7B"/>
    <w:rsid w:val="00D52EEB"/>
    <w:rsid w:val="00D54E27"/>
    <w:rsid w:val="00D71977"/>
    <w:rsid w:val="00D828AB"/>
    <w:rsid w:val="00D92144"/>
    <w:rsid w:val="00D93168"/>
    <w:rsid w:val="00DA747C"/>
    <w:rsid w:val="00DB2F47"/>
    <w:rsid w:val="00DB5255"/>
    <w:rsid w:val="00DB7668"/>
    <w:rsid w:val="00DC49EE"/>
    <w:rsid w:val="00DD7F7F"/>
    <w:rsid w:val="00DE0741"/>
    <w:rsid w:val="00DE1F23"/>
    <w:rsid w:val="00DF4DB5"/>
    <w:rsid w:val="00E00EB5"/>
    <w:rsid w:val="00E02176"/>
    <w:rsid w:val="00E03FC8"/>
    <w:rsid w:val="00E15FD0"/>
    <w:rsid w:val="00E172B0"/>
    <w:rsid w:val="00E24CE1"/>
    <w:rsid w:val="00E25DFA"/>
    <w:rsid w:val="00E328DF"/>
    <w:rsid w:val="00E404B7"/>
    <w:rsid w:val="00E40F05"/>
    <w:rsid w:val="00E52199"/>
    <w:rsid w:val="00E52F55"/>
    <w:rsid w:val="00E61FB7"/>
    <w:rsid w:val="00E64382"/>
    <w:rsid w:val="00E700EC"/>
    <w:rsid w:val="00E71197"/>
    <w:rsid w:val="00E75087"/>
    <w:rsid w:val="00E826E8"/>
    <w:rsid w:val="00E8543F"/>
    <w:rsid w:val="00E86579"/>
    <w:rsid w:val="00E87201"/>
    <w:rsid w:val="00E90719"/>
    <w:rsid w:val="00E92488"/>
    <w:rsid w:val="00E933C5"/>
    <w:rsid w:val="00E9350D"/>
    <w:rsid w:val="00EA26AB"/>
    <w:rsid w:val="00EA5C59"/>
    <w:rsid w:val="00EA7429"/>
    <w:rsid w:val="00EB796F"/>
    <w:rsid w:val="00EC2DE9"/>
    <w:rsid w:val="00EC5A60"/>
    <w:rsid w:val="00EC5F2D"/>
    <w:rsid w:val="00ED4DF2"/>
    <w:rsid w:val="00EE6ABC"/>
    <w:rsid w:val="00EF0DAD"/>
    <w:rsid w:val="00EF140C"/>
    <w:rsid w:val="00EF1E1E"/>
    <w:rsid w:val="00EF5D01"/>
    <w:rsid w:val="00F075D2"/>
    <w:rsid w:val="00F101C1"/>
    <w:rsid w:val="00F2010E"/>
    <w:rsid w:val="00F21030"/>
    <w:rsid w:val="00F24641"/>
    <w:rsid w:val="00F342B5"/>
    <w:rsid w:val="00F348CB"/>
    <w:rsid w:val="00F5555D"/>
    <w:rsid w:val="00F652B3"/>
    <w:rsid w:val="00F67574"/>
    <w:rsid w:val="00F67EFC"/>
    <w:rsid w:val="00F734C1"/>
    <w:rsid w:val="00F749DF"/>
    <w:rsid w:val="00F84ACA"/>
    <w:rsid w:val="00F93A93"/>
    <w:rsid w:val="00F97D88"/>
    <w:rsid w:val="00FA2B52"/>
    <w:rsid w:val="00FA3D46"/>
    <w:rsid w:val="00FB6BB7"/>
    <w:rsid w:val="00FB70A2"/>
    <w:rsid w:val="00FC64B2"/>
    <w:rsid w:val="00FD58BA"/>
    <w:rsid w:val="00FF17CA"/>
    <w:rsid w:val="00FF4A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679E"/>
  <w15:docId w15:val="{617E16A8-246D-418E-B425-8A3CCC32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451"/>
    <w:rPr>
      <w:rFonts w:eastAsia="Times New Roman" w:cs="Times New Roman"/>
      <w:lang w:val="en-GB"/>
    </w:rPr>
  </w:style>
  <w:style w:type="paragraph" w:styleId="Heading2">
    <w:name w:val="heading 2"/>
    <w:basedOn w:val="Normal"/>
    <w:link w:val="Heading2Char"/>
    <w:uiPriority w:val="9"/>
    <w:qFormat/>
    <w:rsid w:val="00BB1DBB"/>
    <w:pPr>
      <w:spacing w:before="100" w:beforeAutospacing="1" w:after="100" w:afterAutospacing="1" w:line="240" w:lineRule="auto"/>
      <w:outlineLvl w:val="1"/>
    </w:pPr>
    <w:rPr>
      <w:rFonts w:ascii="Times New Roman" w:hAnsi="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9D5934"/>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9D5934"/>
    <w:rPr>
      <w:rFonts w:eastAsia="Times New Roman" w:cs="Times New Roman"/>
      <w:sz w:val="20"/>
      <w:szCs w:val="20"/>
      <w:lang w:val="en-GB"/>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iPriority w:val="99"/>
    <w:unhideWhenUsed/>
    <w:qFormat/>
    <w:rsid w:val="009D5934"/>
    <w:rPr>
      <w:vertAlign w:val="superscript"/>
    </w:rPr>
  </w:style>
  <w:style w:type="paragraph" w:customStyle="1" w:styleId="JUDGMENTNUMBERED">
    <w:name w:val="JUDGMENT NUMBERED"/>
    <w:basedOn w:val="Normal"/>
    <w:next w:val="Normal"/>
    <w:qFormat/>
    <w:rsid w:val="009D5934"/>
    <w:pPr>
      <w:numPr>
        <w:numId w:val="1"/>
      </w:numPr>
      <w:shd w:val="clear" w:color="auto" w:fill="FFFFFF"/>
      <w:spacing w:after="0" w:line="360" w:lineRule="auto"/>
      <w:jc w:val="both"/>
    </w:pPr>
    <w:rPr>
      <w:rFonts w:ascii="Times New Roman" w:hAnsi="Times New Roman"/>
      <w:sz w:val="26"/>
      <w:lang w:val="en-ZA"/>
    </w:rPr>
  </w:style>
  <w:style w:type="paragraph" w:styleId="ListParagraph">
    <w:name w:val="List Paragraph"/>
    <w:basedOn w:val="Normal"/>
    <w:uiPriority w:val="1"/>
    <w:qFormat/>
    <w:rsid w:val="00765F01"/>
    <w:pPr>
      <w:ind w:left="720"/>
      <w:contextualSpacing/>
    </w:pPr>
  </w:style>
  <w:style w:type="paragraph" w:customStyle="1" w:styleId="lg-section">
    <w:name w:val="lg-section"/>
    <w:basedOn w:val="Normal"/>
    <w:rsid w:val="00AA1546"/>
    <w:pPr>
      <w:spacing w:before="100" w:beforeAutospacing="1" w:after="100" w:afterAutospacing="1" w:line="240" w:lineRule="auto"/>
    </w:pPr>
    <w:rPr>
      <w:rFonts w:ascii="Times New Roman" w:hAnsi="Times New Roman"/>
      <w:sz w:val="24"/>
      <w:szCs w:val="24"/>
      <w:lang w:val="en-ZA" w:eastAsia="en-ZA"/>
    </w:rPr>
  </w:style>
  <w:style w:type="paragraph" w:customStyle="1" w:styleId="lg-a-1">
    <w:name w:val="lg-a-1"/>
    <w:basedOn w:val="Normal"/>
    <w:rsid w:val="00AA1546"/>
    <w:pPr>
      <w:spacing w:before="100" w:beforeAutospacing="1" w:after="100" w:afterAutospacing="1" w:line="240" w:lineRule="auto"/>
    </w:pPr>
    <w:rPr>
      <w:rFonts w:ascii="Times New Roman" w:hAnsi="Times New Roman"/>
      <w:sz w:val="24"/>
      <w:szCs w:val="24"/>
      <w:lang w:val="en-ZA" w:eastAsia="en-ZA"/>
    </w:rPr>
  </w:style>
  <w:style w:type="character" w:styleId="Hyperlink">
    <w:name w:val="Hyperlink"/>
    <w:basedOn w:val="DefaultParagraphFont"/>
    <w:uiPriority w:val="99"/>
    <w:semiHidden/>
    <w:unhideWhenUsed/>
    <w:rsid w:val="00AA1546"/>
    <w:rPr>
      <w:color w:val="0000FF"/>
      <w:u w:val="single"/>
    </w:rPr>
  </w:style>
  <w:style w:type="paragraph" w:customStyle="1" w:styleId="lg-para3">
    <w:name w:val="lg-para3"/>
    <w:basedOn w:val="Normal"/>
    <w:rsid w:val="00AA1546"/>
    <w:pPr>
      <w:spacing w:before="100" w:beforeAutospacing="1" w:after="100" w:afterAutospacing="1" w:line="240" w:lineRule="auto"/>
    </w:pPr>
    <w:rPr>
      <w:rFonts w:ascii="Times New Roman" w:hAnsi="Times New Roman"/>
      <w:sz w:val="24"/>
      <w:szCs w:val="24"/>
      <w:lang w:val="en-ZA" w:eastAsia="en-ZA"/>
    </w:rPr>
  </w:style>
  <w:style w:type="character" w:customStyle="1" w:styleId="Heading2Char">
    <w:name w:val="Heading 2 Char"/>
    <w:basedOn w:val="DefaultParagraphFont"/>
    <w:link w:val="Heading2"/>
    <w:uiPriority w:val="9"/>
    <w:rsid w:val="00BB1DBB"/>
    <w:rPr>
      <w:rFonts w:ascii="Times New Roman" w:eastAsia="Times New Roman" w:hAnsi="Times New Roman" w:cs="Times New Roman"/>
      <w:b/>
      <w:bCs/>
      <w:sz w:val="36"/>
      <w:szCs w:val="36"/>
      <w:lang w:eastAsia="en-ZA"/>
    </w:rPr>
  </w:style>
  <w:style w:type="paragraph" w:styleId="BalloonText">
    <w:name w:val="Balloon Text"/>
    <w:basedOn w:val="Normal"/>
    <w:link w:val="BalloonTextChar"/>
    <w:uiPriority w:val="99"/>
    <w:semiHidden/>
    <w:unhideWhenUsed/>
    <w:rsid w:val="00FA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D46"/>
    <w:rPr>
      <w:rFonts w:ascii="Tahoma" w:eastAsia="Times New Roman" w:hAnsi="Tahoma" w:cs="Tahoma"/>
      <w:sz w:val="16"/>
      <w:szCs w:val="16"/>
      <w:lang w:val="en-GB"/>
    </w:rPr>
  </w:style>
  <w:style w:type="paragraph" w:customStyle="1" w:styleId="western">
    <w:name w:val="western"/>
    <w:basedOn w:val="Normal"/>
    <w:rsid w:val="00234B0C"/>
    <w:pPr>
      <w:spacing w:before="100" w:beforeAutospacing="1" w:after="100" w:afterAutospacing="1" w:line="240" w:lineRule="auto"/>
    </w:pPr>
    <w:rPr>
      <w:rFonts w:ascii="Times New Roman" w:hAnsi="Times New Roman"/>
      <w:sz w:val="24"/>
      <w:szCs w:val="24"/>
      <w:lang w:val="en-ZA" w:eastAsia="en-ZA"/>
    </w:rPr>
  </w:style>
  <w:style w:type="paragraph" w:styleId="Header">
    <w:name w:val="header"/>
    <w:basedOn w:val="Normal"/>
    <w:link w:val="HeaderChar"/>
    <w:uiPriority w:val="99"/>
    <w:unhideWhenUsed/>
    <w:rsid w:val="00BC2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981"/>
    <w:rPr>
      <w:rFonts w:eastAsia="Times New Roman" w:cs="Times New Roman"/>
      <w:lang w:val="en-GB"/>
    </w:rPr>
  </w:style>
  <w:style w:type="paragraph" w:styleId="Footer">
    <w:name w:val="footer"/>
    <w:basedOn w:val="Normal"/>
    <w:link w:val="FooterChar"/>
    <w:uiPriority w:val="99"/>
    <w:unhideWhenUsed/>
    <w:rsid w:val="00BC2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981"/>
    <w:rPr>
      <w:rFonts w:eastAsia="Times New Roman" w:cs="Times New Roman"/>
      <w:lang w:val="en-GB"/>
    </w:rPr>
  </w:style>
  <w:style w:type="paragraph" w:customStyle="1" w:styleId="casehead1">
    <w:name w:val="casehead1"/>
    <w:basedOn w:val="Normal"/>
    <w:rsid w:val="000729A3"/>
    <w:pPr>
      <w:spacing w:before="100" w:beforeAutospacing="1" w:after="100" w:afterAutospacing="1" w:line="240" w:lineRule="auto"/>
    </w:pPr>
    <w:rPr>
      <w:rFonts w:ascii="Times New Roman" w:hAnsi="Times New Roman"/>
      <w:sz w:val="24"/>
      <w:szCs w:val="24"/>
      <w:lang w:val="en-ZA" w:eastAsia="en-ZA"/>
    </w:rPr>
  </w:style>
  <w:style w:type="character" w:customStyle="1" w:styleId="lphit">
    <w:name w:val="lphit"/>
    <w:basedOn w:val="DefaultParagraphFont"/>
    <w:rsid w:val="000729A3"/>
  </w:style>
  <w:style w:type="paragraph" w:customStyle="1" w:styleId="para-10">
    <w:name w:val="para-10"/>
    <w:basedOn w:val="Normal"/>
    <w:rsid w:val="00BC0974"/>
    <w:pPr>
      <w:spacing w:before="100" w:beforeAutospacing="1" w:after="100" w:afterAutospacing="1" w:line="240" w:lineRule="auto"/>
    </w:pPr>
    <w:rPr>
      <w:rFonts w:ascii="Times New Roman" w:hAnsi="Times New Roman"/>
      <w:sz w:val="24"/>
      <w:szCs w:val="24"/>
      <w:lang w:val="en-ZA" w:eastAsia="en-ZA"/>
    </w:rPr>
  </w:style>
  <w:style w:type="character" w:customStyle="1" w:styleId="footnote-link">
    <w:name w:val="footnote-link"/>
    <w:basedOn w:val="DefaultParagraphFont"/>
    <w:rsid w:val="00BC0974"/>
  </w:style>
  <w:style w:type="paragraph" w:customStyle="1" w:styleId="q-normal">
    <w:name w:val="q-normal"/>
    <w:basedOn w:val="Normal"/>
    <w:rsid w:val="00BC0974"/>
    <w:pPr>
      <w:spacing w:before="100" w:beforeAutospacing="1" w:after="100" w:afterAutospacing="1" w:line="240" w:lineRule="auto"/>
    </w:pPr>
    <w:rPr>
      <w:rFonts w:ascii="Times New Roman" w:hAnsi="Times New Roman"/>
      <w:sz w:val="24"/>
      <w:szCs w:val="24"/>
      <w:lang w:val="en-ZA" w:eastAsia="en-ZA"/>
    </w:rPr>
  </w:style>
  <w:style w:type="paragraph" w:customStyle="1" w:styleId="n10pt-1">
    <w:name w:val="n10pt-1"/>
    <w:basedOn w:val="Normal"/>
    <w:rsid w:val="002B5307"/>
    <w:pPr>
      <w:spacing w:before="100" w:beforeAutospacing="1" w:after="100" w:afterAutospacing="1" w:line="240" w:lineRule="auto"/>
    </w:pPr>
    <w:rPr>
      <w:rFonts w:ascii="Times New Roman" w:hAnsi="Times New Roman"/>
      <w:sz w:val="24"/>
      <w:szCs w:val="24"/>
      <w:lang w:val="en-ZA" w:eastAsia="en-ZA"/>
    </w:rPr>
  </w:style>
  <w:style w:type="paragraph" w:customStyle="1" w:styleId="q-normal-1-1">
    <w:name w:val="q-normal-1-1"/>
    <w:basedOn w:val="Normal"/>
    <w:rsid w:val="00994DE0"/>
    <w:pPr>
      <w:spacing w:before="100" w:beforeAutospacing="1" w:after="100" w:afterAutospacing="1" w:line="240" w:lineRule="auto"/>
    </w:pPr>
    <w:rPr>
      <w:rFonts w:ascii="Times New Roman" w:hAnsi="Times New Roman"/>
      <w:sz w:val="24"/>
      <w:szCs w:val="24"/>
      <w:lang w:val="en-ZA" w:eastAsia="en-ZA"/>
    </w:rPr>
  </w:style>
  <w:style w:type="paragraph" w:styleId="Revision">
    <w:name w:val="Revision"/>
    <w:hidden/>
    <w:uiPriority w:val="99"/>
    <w:semiHidden/>
    <w:rsid w:val="00EB796F"/>
    <w:pPr>
      <w:spacing w:after="0" w:line="240" w:lineRule="auto"/>
    </w:pPr>
    <w:rPr>
      <w:rFonts w:eastAsia="Times New Roman" w:cs="Times New Roman"/>
      <w:lang w:val="en-GB"/>
    </w:rPr>
  </w:style>
  <w:style w:type="character" w:styleId="CommentReference">
    <w:name w:val="annotation reference"/>
    <w:basedOn w:val="DefaultParagraphFont"/>
    <w:uiPriority w:val="99"/>
    <w:semiHidden/>
    <w:unhideWhenUsed/>
    <w:rsid w:val="00DE1F23"/>
    <w:rPr>
      <w:sz w:val="16"/>
      <w:szCs w:val="16"/>
    </w:rPr>
  </w:style>
  <w:style w:type="paragraph" w:styleId="CommentText">
    <w:name w:val="annotation text"/>
    <w:basedOn w:val="Normal"/>
    <w:link w:val="CommentTextChar"/>
    <w:uiPriority w:val="99"/>
    <w:semiHidden/>
    <w:unhideWhenUsed/>
    <w:rsid w:val="00DE1F23"/>
    <w:pPr>
      <w:spacing w:line="240" w:lineRule="auto"/>
    </w:pPr>
    <w:rPr>
      <w:sz w:val="20"/>
      <w:szCs w:val="20"/>
    </w:rPr>
  </w:style>
  <w:style w:type="character" w:customStyle="1" w:styleId="CommentTextChar">
    <w:name w:val="Comment Text Char"/>
    <w:basedOn w:val="DefaultParagraphFont"/>
    <w:link w:val="CommentText"/>
    <w:uiPriority w:val="99"/>
    <w:semiHidden/>
    <w:rsid w:val="00DE1F23"/>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E1F23"/>
    <w:rPr>
      <w:b/>
      <w:bCs/>
    </w:rPr>
  </w:style>
  <w:style w:type="character" w:customStyle="1" w:styleId="CommentSubjectChar">
    <w:name w:val="Comment Subject Char"/>
    <w:basedOn w:val="CommentTextChar"/>
    <w:link w:val="CommentSubject"/>
    <w:uiPriority w:val="99"/>
    <w:semiHidden/>
    <w:rsid w:val="00DE1F23"/>
    <w:rPr>
      <w:rFonts w:eastAsia="Times New Roman" w:cs="Times New Roman"/>
      <w:b/>
      <w:bCs/>
      <w:sz w:val="20"/>
      <w:szCs w:val="20"/>
      <w:lang w:val="en-GB"/>
    </w:rPr>
  </w:style>
  <w:style w:type="paragraph" w:customStyle="1" w:styleId="q-normal-1">
    <w:name w:val="q-normal-1"/>
    <w:basedOn w:val="Normal"/>
    <w:rsid w:val="00D375F6"/>
    <w:pPr>
      <w:spacing w:before="100" w:beforeAutospacing="1" w:after="100" w:afterAutospacing="1" w:line="240" w:lineRule="auto"/>
    </w:pPr>
    <w:rPr>
      <w:rFonts w:ascii="Times New Roman" w:hAnsi="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0101">
      <w:bodyDiv w:val="1"/>
      <w:marLeft w:val="0"/>
      <w:marRight w:val="0"/>
      <w:marTop w:val="0"/>
      <w:marBottom w:val="0"/>
      <w:divBdr>
        <w:top w:val="none" w:sz="0" w:space="0" w:color="auto"/>
        <w:left w:val="none" w:sz="0" w:space="0" w:color="auto"/>
        <w:bottom w:val="none" w:sz="0" w:space="0" w:color="auto"/>
        <w:right w:val="none" w:sz="0" w:space="0" w:color="auto"/>
      </w:divBdr>
    </w:div>
    <w:div w:id="268705574">
      <w:bodyDiv w:val="1"/>
      <w:marLeft w:val="0"/>
      <w:marRight w:val="0"/>
      <w:marTop w:val="0"/>
      <w:marBottom w:val="0"/>
      <w:divBdr>
        <w:top w:val="none" w:sz="0" w:space="0" w:color="auto"/>
        <w:left w:val="none" w:sz="0" w:space="0" w:color="auto"/>
        <w:bottom w:val="none" w:sz="0" w:space="0" w:color="auto"/>
        <w:right w:val="none" w:sz="0" w:space="0" w:color="auto"/>
      </w:divBdr>
    </w:div>
    <w:div w:id="306203402">
      <w:bodyDiv w:val="1"/>
      <w:marLeft w:val="0"/>
      <w:marRight w:val="0"/>
      <w:marTop w:val="0"/>
      <w:marBottom w:val="0"/>
      <w:divBdr>
        <w:top w:val="none" w:sz="0" w:space="0" w:color="auto"/>
        <w:left w:val="none" w:sz="0" w:space="0" w:color="auto"/>
        <w:bottom w:val="none" w:sz="0" w:space="0" w:color="auto"/>
        <w:right w:val="none" w:sz="0" w:space="0" w:color="auto"/>
      </w:divBdr>
    </w:div>
    <w:div w:id="386144362">
      <w:bodyDiv w:val="1"/>
      <w:marLeft w:val="0"/>
      <w:marRight w:val="0"/>
      <w:marTop w:val="0"/>
      <w:marBottom w:val="0"/>
      <w:divBdr>
        <w:top w:val="none" w:sz="0" w:space="0" w:color="auto"/>
        <w:left w:val="none" w:sz="0" w:space="0" w:color="auto"/>
        <w:bottom w:val="none" w:sz="0" w:space="0" w:color="auto"/>
        <w:right w:val="none" w:sz="0" w:space="0" w:color="auto"/>
      </w:divBdr>
    </w:div>
    <w:div w:id="491988929">
      <w:bodyDiv w:val="1"/>
      <w:marLeft w:val="0"/>
      <w:marRight w:val="0"/>
      <w:marTop w:val="0"/>
      <w:marBottom w:val="0"/>
      <w:divBdr>
        <w:top w:val="none" w:sz="0" w:space="0" w:color="auto"/>
        <w:left w:val="none" w:sz="0" w:space="0" w:color="auto"/>
        <w:bottom w:val="none" w:sz="0" w:space="0" w:color="auto"/>
        <w:right w:val="none" w:sz="0" w:space="0" w:color="auto"/>
      </w:divBdr>
    </w:div>
    <w:div w:id="539318540">
      <w:bodyDiv w:val="1"/>
      <w:marLeft w:val="0"/>
      <w:marRight w:val="0"/>
      <w:marTop w:val="0"/>
      <w:marBottom w:val="0"/>
      <w:divBdr>
        <w:top w:val="none" w:sz="0" w:space="0" w:color="auto"/>
        <w:left w:val="none" w:sz="0" w:space="0" w:color="auto"/>
        <w:bottom w:val="none" w:sz="0" w:space="0" w:color="auto"/>
        <w:right w:val="none" w:sz="0" w:space="0" w:color="auto"/>
      </w:divBdr>
    </w:div>
    <w:div w:id="588272667">
      <w:bodyDiv w:val="1"/>
      <w:marLeft w:val="0"/>
      <w:marRight w:val="0"/>
      <w:marTop w:val="0"/>
      <w:marBottom w:val="0"/>
      <w:divBdr>
        <w:top w:val="none" w:sz="0" w:space="0" w:color="auto"/>
        <w:left w:val="none" w:sz="0" w:space="0" w:color="auto"/>
        <w:bottom w:val="none" w:sz="0" w:space="0" w:color="auto"/>
        <w:right w:val="none" w:sz="0" w:space="0" w:color="auto"/>
      </w:divBdr>
    </w:div>
    <w:div w:id="675233703">
      <w:bodyDiv w:val="1"/>
      <w:marLeft w:val="0"/>
      <w:marRight w:val="0"/>
      <w:marTop w:val="0"/>
      <w:marBottom w:val="0"/>
      <w:divBdr>
        <w:top w:val="none" w:sz="0" w:space="0" w:color="auto"/>
        <w:left w:val="none" w:sz="0" w:space="0" w:color="auto"/>
        <w:bottom w:val="none" w:sz="0" w:space="0" w:color="auto"/>
        <w:right w:val="none" w:sz="0" w:space="0" w:color="auto"/>
      </w:divBdr>
    </w:div>
    <w:div w:id="734166070">
      <w:bodyDiv w:val="1"/>
      <w:marLeft w:val="0"/>
      <w:marRight w:val="0"/>
      <w:marTop w:val="0"/>
      <w:marBottom w:val="0"/>
      <w:divBdr>
        <w:top w:val="none" w:sz="0" w:space="0" w:color="auto"/>
        <w:left w:val="none" w:sz="0" w:space="0" w:color="auto"/>
        <w:bottom w:val="none" w:sz="0" w:space="0" w:color="auto"/>
        <w:right w:val="none" w:sz="0" w:space="0" w:color="auto"/>
      </w:divBdr>
    </w:div>
    <w:div w:id="813061444">
      <w:bodyDiv w:val="1"/>
      <w:marLeft w:val="0"/>
      <w:marRight w:val="0"/>
      <w:marTop w:val="0"/>
      <w:marBottom w:val="0"/>
      <w:divBdr>
        <w:top w:val="none" w:sz="0" w:space="0" w:color="auto"/>
        <w:left w:val="none" w:sz="0" w:space="0" w:color="auto"/>
        <w:bottom w:val="none" w:sz="0" w:space="0" w:color="auto"/>
        <w:right w:val="none" w:sz="0" w:space="0" w:color="auto"/>
      </w:divBdr>
    </w:div>
    <w:div w:id="834804162">
      <w:bodyDiv w:val="1"/>
      <w:marLeft w:val="0"/>
      <w:marRight w:val="0"/>
      <w:marTop w:val="0"/>
      <w:marBottom w:val="0"/>
      <w:divBdr>
        <w:top w:val="none" w:sz="0" w:space="0" w:color="auto"/>
        <w:left w:val="none" w:sz="0" w:space="0" w:color="auto"/>
        <w:bottom w:val="none" w:sz="0" w:space="0" w:color="auto"/>
        <w:right w:val="none" w:sz="0" w:space="0" w:color="auto"/>
      </w:divBdr>
    </w:div>
    <w:div w:id="1302617733">
      <w:bodyDiv w:val="1"/>
      <w:marLeft w:val="0"/>
      <w:marRight w:val="0"/>
      <w:marTop w:val="0"/>
      <w:marBottom w:val="0"/>
      <w:divBdr>
        <w:top w:val="none" w:sz="0" w:space="0" w:color="auto"/>
        <w:left w:val="none" w:sz="0" w:space="0" w:color="auto"/>
        <w:bottom w:val="none" w:sz="0" w:space="0" w:color="auto"/>
        <w:right w:val="none" w:sz="0" w:space="0" w:color="auto"/>
      </w:divBdr>
    </w:div>
    <w:div w:id="1509052466">
      <w:bodyDiv w:val="1"/>
      <w:marLeft w:val="0"/>
      <w:marRight w:val="0"/>
      <w:marTop w:val="0"/>
      <w:marBottom w:val="0"/>
      <w:divBdr>
        <w:top w:val="none" w:sz="0" w:space="0" w:color="auto"/>
        <w:left w:val="none" w:sz="0" w:space="0" w:color="auto"/>
        <w:bottom w:val="none" w:sz="0" w:space="0" w:color="auto"/>
        <w:right w:val="none" w:sz="0" w:space="0" w:color="auto"/>
      </w:divBdr>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9249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www.saflii.org/cgi-bin/LawCite?cit=1969%20%283%29%20SA%2036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aflii.org/cgi-bin/LawCite?cit=2021%20%2811%29%20BCLR%201263" TargetMode="External"/><Relationship Id="rId3" Type="http://schemas.openxmlformats.org/officeDocument/2006/relationships/hyperlink" Target="https://www.saflii.org/cgi-bin/LawCite?cit=%5b2013%5d%20ZASCA%205" TargetMode="External"/><Relationship Id="rId7" Type="http://schemas.openxmlformats.org/officeDocument/2006/relationships/hyperlink" Target="https://www.saflii.org/cgi-bin/LawCite?cit=%5b2021%5d%20ZACC%2028" TargetMode="External"/><Relationship Id="rId2" Type="http://schemas.openxmlformats.org/officeDocument/2006/relationships/hyperlink" Target="https://www.mylexisnexis.co.za/Library/IframeContent.aspx?dpath=zb/jilc/kilc/qcqg/tcqg/ucqg/3gdvf&amp;ismultiview=False&amp;caAu=" TargetMode="External"/><Relationship Id="rId1" Type="http://schemas.openxmlformats.org/officeDocument/2006/relationships/hyperlink" Target="https://www.mylexisnexis.co.za/Library/IframeContent.aspx?dpath=zb/jilc/kilc/qcqg/tcqg/ucqg/3gdvf&amp;ismultiview=False&amp;caAu=" TargetMode="External"/><Relationship Id="rId6" Type="http://schemas.openxmlformats.org/officeDocument/2006/relationships/hyperlink" Target="file:///C:\cgi-bin\LawCite?cit=%5b2007%5d%203%20All%20SA%20109" TargetMode="External"/><Relationship Id="rId5" Type="http://schemas.openxmlformats.org/officeDocument/2006/relationships/hyperlink" Target="https://www.saflii.org/cgi-bin/LawCite?cit=%5b2013%5d%202%20All%20SA%20251" TargetMode="External"/><Relationship Id="rId4" Type="http://schemas.openxmlformats.org/officeDocument/2006/relationships/hyperlink" Target="https://www.saflii.org/cgi-bin/LawCite?cit=%5b2013%5d%20JOL%2030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1DDF-F160-4210-BF44-89E4B516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4839</Words>
  <Characters>27587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 Chetty</dc:creator>
  <cp:lastModifiedBy>Tshireleco Mabula</cp:lastModifiedBy>
  <cp:revision>3</cp:revision>
  <cp:lastPrinted>2024-01-17T08:28:00Z</cp:lastPrinted>
  <dcterms:created xsi:type="dcterms:W3CDTF">2024-01-17T09:27:00Z</dcterms:created>
  <dcterms:modified xsi:type="dcterms:W3CDTF">2024-01-17T09:27:00Z</dcterms:modified>
</cp:coreProperties>
</file>