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829B8" w14:textId="77777777" w:rsidR="00093030" w:rsidRPr="00AC7DA3" w:rsidRDefault="00093030" w:rsidP="009437DD">
      <w:pPr>
        <w:spacing w:line="360" w:lineRule="auto"/>
        <w:rPr>
          <w:b/>
          <w:bCs/>
        </w:rPr>
      </w:pPr>
      <w:bookmarkStart w:id="0" w:name="_GoBack"/>
      <w:bookmarkEnd w:id="0"/>
    </w:p>
    <w:p w14:paraId="44C52540" w14:textId="77777777" w:rsidR="00093030" w:rsidRPr="00AC7DA3" w:rsidRDefault="00093030" w:rsidP="009437DD">
      <w:pPr>
        <w:spacing w:line="360" w:lineRule="auto"/>
        <w:rPr>
          <w:b/>
          <w:bCs/>
        </w:rPr>
      </w:pPr>
    </w:p>
    <w:p w14:paraId="5A32E4EF" w14:textId="77777777" w:rsidR="00093030" w:rsidRPr="00AC7DA3" w:rsidRDefault="00093030" w:rsidP="009437DD">
      <w:pPr>
        <w:spacing w:line="360" w:lineRule="auto"/>
        <w:jc w:val="center"/>
        <w:rPr>
          <w:b/>
          <w:bCs/>
        </w:rPr>
      </w:pPr>
      <w:r w:rsidRPr="00AC7DA3">
        <w:rPr>
          <w:noProof/>
          <w:sz w:val="22"/>
          <w:lang w:eastAsia="en-ZA"/>
        </w:rPr>
        <w:drawing>
          <wp:anchor distT="0" distB="0" distL="114300" distR="114300" simplePos="0" relativeHeight="251659264" behindDoc="0" locked="0" layoutInCell="1" allowOverlap="1" wp14:anchorId="479111AF" wp14:editId="23604DE7">
            <wp:simplePos x="0" y="0"/>
            <wp:positionH relativeFrom="column">
              <wp:align>center</wp:align>
            </wp:positionH>
            <wp:positionV relativeFrom="paragraph">
              <wp:posOffset>-683895</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6D85991C" w14:textId="77777777" w:rsidR="00093030" w:rsidRPr="00AC7DA3" w:rsidRDefault="00093030" w:rsidP="009437DD">
      <w:pPr>
        <w:spacing w:line="360" w:lineRule="auto"/>
        <w:jc w:val="center"/>
        <w:rPr>
          <w:b/>
          <w:bCs/>
        </w:rPr>
      </w:pPr>
    </w:p>
    <w:p w14:paraId="394FC3C7" w14:textId="77777777" w:rsidR="00093030" w:rsidRPr="00AC7DA3" w:rsidRDefault="00093030" w:rsidP="009316FF">
      <w:pPr>
        <w:spacing w:line="360" w:lineRule="auto"/>
        <w:jc w:val="center"/>
        <w:rPr>
          <w:b/>
          <w:bCs/>
        </w:rPr>
      </w:pPr>
      <w:r w:rsidRPr="00AC7DA3">
        <w:rPr>
          <w:b/>
          <w:bCs/>
        </w:rPr>
        <w:t>THE SUPREME COURT OF APPEAL OF SOUTH AFRICA</w:t>
      </w:r>
    </w:p>
    <w:p w14:paraId="441685D4" w14:textId="77777777" w:rsidR="00093030" w:rsidRDefault="00093030" w:rsidP="00FC0581">
      <w:pPr>
        <w:pStyle w:val="Heading3"/>
        <w:jc w:val="center"/>
        <w:rPr>
          <w:b/>
          <w:i w:val="0"/>
          <w:sz w:val="24"/>
        </w:rPr>
      </w:pPr>
      <w:r w:rsidRPr="00AC7DA3">
        <w:rPr>
          <w:b/>
          <w:i w:val="0"/>
          <w:sz w:val="24"/>
        </w:rPr>
        <w:t>JUDGMENT</w:t>
      </w:r>
    </w:p>
    <w:p w14:paraId="2F18FC5E" w14:textId="77777777" w:rsidR="00FC0581" w:rsidRPr="00FC0581" w:rsidRDefault="00FC0581" w:rsidP="00FC0581"/>
    <w:p w14:paraId="6C9680A1" w14:textId="45A8254A" w:rsidR="00093030" w:rsidRPr="00AC7DA3" w:rsidRDefault="00093030" w:rsidP="009316FF">
      <w:pPr>
        <w:spacing w:line="360" w:lineRule="auto"/>
        <w:jc w:val="right"/>
        <w:rPr>
          <w:b/>
        </w:rPr>
      </w:pPr>
      <w:r w:rsidRPr="00AC7DA3">
        <w:rPr>
          <w:b/>
        </w:rPr>
        <w:t>Not Reportabl</w:t>
      </w:r>
      <w:r w:rsidR="0079051C">
        <w:rPr>
          <w:b/>
        </w:rPr>
        <w:t>e</w:t>
      </w:r>
    </w:p>
    <w:p w14:paraId="64D1A290" w14:textId="77777777" w:rsidR="00093030" w:rsidRPr="00AC7DA3" w:rsidRDefault="00093030" w:rsidP="009316FF">
      <w:pPr>
        <w:spacing w:line="360" w:lineRule="auto"/>
        <w:jc w:val="right"/>
      </w:pPr>
      <w:r w:rsidRPr="00AC7DA3">
        <w:t>Case no: 12</w:t>
      </w:r>
      <w:r w:rsidR="003E794A">
        <w:t>76/2022</w:t>
      </w:r>
    </w:p>
    <w:p w14:paraId="24267C21" w14:textId="77777777" w:rsidR="00534DDC" w:rsidRPr="00AC7DA3" w:rsidRDefault="00534DDC" w:rsidP="009316FF">
      <w:pPr>
        <w:spacing w:line="360" w:lineRule="auto"/>
        <w:jc w:val="both"/>
      </w:pPr>
    </w:p>
    <w:p w14:paraId="7374BE6C" w14:textId="77777777" w:rsidR="00093030" w:rsidRPr="00AC7DA3" w:rsidRDefault="00093030" w:rsidP="009316FF">
      <w:pPr>
        <w:spacing w:line="360" w:lineRule="auto"/>
        <w:jc w:val="both"/>
      </w:pPr>
      <w:r w:rsidRPr="00AC7DA3">
        <w:t>In the matter between:</w:t>
      </w:r>
    </w:p>
    <w:p w14:paraId="60BA3D87" w14:textId="5FE7CB57" w:rsidR="00093030" w:rsidRPr="0079051C" w:rsidRDefault="003E794A" w:rsidP="00A31B50">
      <w:pPr>
        <w:spacing w:line="360" w:lineRule="auto"/>
      </w:pPr>
      <w:r w:rsidRPr="0079051C">
        <w:rPr>
          <w:b/>
          <w:bCs/>
        </w:rPr>
        <w:t>GARY RABINOWITZ</w:t>
      </w:r>
      <w:r w:rsidRPr="0079051C">
        <w:t xml:space="preserve"> </w:t>
      </w:r>
      <w:r w:rsidR="00093030" w:rsidRPr="0079051C">
        <w:rPr>
          <w:b/>
          <w:bCs/>
        </w:rPr>
        <w:tab/>
      </w:r>
      <w:r w:rsidR="00093030" w:rsidRPr="0079051C">
        <w:rPr>
          <w:b/>
          <w:bCs/>
        </w:rPr>
        <w:tab/>
      </w:r>
      <w:r w:rsidR="00093030" w:rsidRPr="0079051C">
        <w:rPr>
          <w:b/>
          <w:bCs/>
        </w:rPr>
        <w:tab/>
      </w:r>
      <w:r w:rsidR="00093030" w:rsidRPr="0079051C">
        <w:rPr>
          <w:b/>
          <w:bCs/>
        </w:rPr>
        <w:tab/>
      </w:r>
      <w:r w:rsidR="00093030" w:rsidRPr="0079051C">
        <w:rPr>
          <w:b/>
          <w:bCs/>
        </w:rPr>
        <w:tab/>
      </w:r>
      <w:r w:rsidR="00093030" w:rsidRPr="0079051C">
        <w:rPr>
          <w:b/>
          <w:bCs/>
        </w:rPr>
        <w:tab/>
      </w:r>
      <w:r w:rsidR="00A31B50" w:rsidRPr="0079051C">
        <w:rPr>
          <w:b/>
          <w:bCs/>
        </w:rPr>
        <w:tab/>
      </w:r>
      <w:r w:rsidR="00A31B50" w:rsidRPr="0079051C">
        <w:rPr>
          <w:b/>
          <w:bCs/>
        </w:rPr>
        <w:tab/>
      </w:r>
      <w:r w:rsidR="00093030" w:rsidRPr="0079051C">
        <w:rPr>
          <w:b/>
        </w:rPr>
        <w:t>APPELLANT</w:t>
      </w:r>
    </w:p>
    <w:p w14:paraId="63D74D77" w14:textId="77777777" w:rsidR="00CF6D01" w:rsidRPr="0079051C" w:rsidRDefault="00CF6D01" w:rsidP="00A31B50">
      <w:pPr>
        <w:spacing w:line="360" w:lineRule="auto"/>
      </w:pPr>
    </w:p>
    <w:p w14:paraId="55C3BDDF" w14:textId="77777777" w:rsidR="00093030" w:rsidRPr="0079051C" w:rsidRDefault="00093030" w:rsidP="00A31B50">
      <w:pPr>
        <w:spacing w:line="360" w:lineRule="auto"/>
      </w:pPr>
      <w:r w:rsidRPr="0079051C">
        <w:t>and</w:t>
      </w:r>
    </w:p>
    <w:p w14:paraId="51580694" w14:textId="77777777" w:rsidR="00CF6D01" w:rsidRPr="0079051C" w:rsidRDefault="00CF6D01" w:rsidP="00A31B50">
      <w:pPr>
        <w:spacing w:line="360" w:lineRule="auto"/>
        <w:rPr>
          <w:b/>
          <w:bCs/>
        </w:rPr>
      </w:pPr>
    </w:p>
    <w:p w14:paraId="39012B31" w14:textId="393CF23D" w:rsidR="00093030" w:rsidRPr="0079051C" w:rsidRDefault="003E794A" w:rsidP="00A31B50">
      <w:pPr>
        <w:spacing w:line="360" w:lineRule="auto"/>
        <w:rPr>
          <w:b/>
          <w:bCs/>
        </w:rPr>
      </w:pPr>
      <w:r w:rsidRPr="0079051C">
        <w:rPr>
          <w:b/>
          <w:bCs/>
        </w:rPr>
        <w:t>COLIN LEVY</w:t>
      </w:r>
      <w:r w:rsidR="009316FF" w:rsidRPr="0079051C">
        <w:rPr>
          <w:b/>
          <w:bCs/>
        </w:rPr>
        <w:tab/>
      </w:r>
      <w:r w:rsidR="009316FF" w:rsidRPr="0079051C">
        <w:rPr>
          <w:b/>
          <w:bCs/>
        </w:rPr>
        <w:tab/>
      </w:r>
      <w:r w:rsidR="009316FF" w:rsidRPr="0079051C">
        <w:rPr>
          <w:b/>
          <w:bCs/>
        </w:rPr>
        <w:tab/>
      </w:r>
      <w:r w:rsidR="009316FF" w:rsidRPr="0079051C">
        <w:rPr>
          <w:b/>
          <w:bCs/>
        </w:rPr>
        <w:tab/>
      </w:r>
      <w:r w:rsidR="009316FF" w:rsidRPr="0079051C">
        <w:rPr>
          <w:b/>
          <w:bCs/>
        </w:rPr>
        <w:tab/>
      </w:r>
      <w:r w:rsidR="009316FF" w:rsidRPr="0079051C">
        <w:rPr>
          <w:b/>
          <w:bCs/>
        </w:rPr>
        <w:tab/>
      </w:r>
      <w:r w:rsidR="009316FF" w:rsidRPr="0079051C">
        <w:rPr>
          <w:b/>
          <w:bCs/>
        </w:rPr>
        <w:tab/>
      </w:r>
      <w:r w:rsidR="00A31B50" w:rsidRPr="0079051C">
        <w:rPr>
          <w:b/>
          <w:bCs/>
        </w:rPr>
        <w:t xml:space="preserve">      </w:t>
      </w:r>
      <w:r w:rsidR="00093030" w:rsidRPr="0079051C">
        <w:rPr>
          <w:b/>
          <w:bCs/>
        </w:rPr>
        <w:t>FIRST RESPONDENT</w:t>
      </w:r>
    </w:p>
    <w:p w14:paraId="7CE2BEF4" w14:textId="72CEC9E4" w:rsidR="00093030" w:rsidRPr="0079051C" w:rsidRDefault="003E794A" w:rsidP="00A31B50">
      <w:pPr>
        <w:spacing w:line="360" w:lineRule="auto"/>
        <w:rPr>
          <w:b/>
          <w:bCs/>
        </w:rPr>
      </w:pPr>
      <w:r w:rsidRPr="0079051C">
        <w:rPr>
          <w:b/>
          <w:bCs/>
        </w:rPr>
        <w:t>DANIEL MPANDE</w:t>
      </w:r>
      <w:r w:rsidR="009316FF" w:rsidRPr="0079051C">
        <w:rPr>
          <w:b/>
          <w:bCs/>
        </w:rPr>
        <w:tab/>
      </w:r>
      <w:r w:rsidR="009316FF" w:rsidRPr="0079051C">
        <w:rPr>
          <w:b/>
          <w:bCs/>
        </w:rPr>
        <w:tab/>
      </w:r>
      <w:r w:rsidR="009316FF" w:rsidRPr="0079051C">
        <w:rPr>
          <w:b/>
          <w:bCs/>
        </w:rPr>
        <w:tab/>
      </w:r>
      <w:r w:rsidR="009316FF" w:rsidRPr="0079051C">
        <w:rPr>
          <w:b/>
          <w:bCs/>
        </w:rPr>
        <w:tab/>
      </w:r>
      <w:r w:rsidR="009316FF" w:rsidRPr="0079051C">
        <w:rPr>
          <w:b/>
          <w:bCs/>
        </w:rPr>
        <w:tab/>
      </w:r>
      <w:r w:rsidR="009316FF" w:rsidRPr="0079051C">
        <w:rPr>
          <w:b/>
          <w:bCs/>
        </w:rPr>
        <w:tab/>
      </w:r>
      <w:r w:rsidR="009316FF" w:rsidRPr="0079051C">
        <w:rPr>
          <w:b/>
          <w:bCs/>
        </w:rPr>
        <w:tab/>
      </w:r>
      <w:r w:rsidR="00A31B50" w:rsidRPr="0079051C">
        <w:rPr>
          <w:b/>
          <w:bCs/>
        </w:rPr>
        <w:t xml:space="preserve"> </w:t>
      </w:r>
      <w:r w:rsidR="00093030" w:rsidRPr="0079051C">
        <w:rPr>
          <w:b/>
          <w:bCs/>
        </w:rPr>
        <w:t>SECOND RESPONDENT</w:t>
      </w:r>
    </w:p>
    <w:p w14:paraId="21C493C6" w14:textId="1C0D83A9" w:rsidR="00093030" w:rsidRPr="0079051C" w:rsidRDefault="003E794A" w:rsidP="00A31B50">
      <w:pPr>
        <w:spacing w:line="360" w:lineRule="auto"/>
        <w:rPr>
          <w:b/>
          <w:bCs/>
        </w:rPr>
      </w:pPr>
      <w:r w:rsidRPr="0079051C">
        <w:rPr>
          <w:b/>
          <w:bCs/>
        </w:rPr>
        <w:t>TRITON PHARMACARE (PTY) LTD</w:t>
      </w:r>
      <w:r w:rsidR="009316FF" w:rsidRPr="0079051C">
        <w:rPr>
          <w:b/>
          <w:bCs/>
        </w:rPr>
        <w:tab/>
      </w:r>
      <w:r w:rsidR="009316FF" w:rsidRPr="0079051C">
        <w:rPr>
          <w:b/>
          <w:bCs/>
        </w:rPr>
        <w:tab/>
      </w:r>
      <w:r w:rsidR="009316FF" w:rsidRPr="0079051C">
        <w:rPr>
          <w:b/>
          <w:bCs/>
        </w:rPr>
        <w:tab/>
      </w:r>
      <w:r w:rsidR="009316FF" w:rsidRPr="0079051C">
        <w:rPr>
          <w:b/>
          <w:bCs/>
        </w:rPr>
        <w:tab/>
      </w:r>
      <w:r w:rsidR="00A31B50" w:rsidRPr="0079051C">
        <w:rPr>
          <w:b/>
          <w:bCs/>
        </w:rPr>
        <w:t xml:space="preserve">     </w:t>
      </w:r>
      <w:r w:rsidR="00093030" w:rsidRPr="0079051C">
        <w:rPr>
          <w:b/>
          <w:bCs/>
        </w:rPr>
        <w:t>THIRD RESPONDENT</w:t>
      </w:r>
    </w:p>
    <w:p w14:paraId="0D65D399" w14:textId="4D80BA45" w:rsidR="003E794A" w:rsidRPr="003E794A" w:rsidRDefault="003E794A" w:rsidP="00A31B50">
      <w:pPr>
        <w:spacing w:line="360" w:lineRule="auto"/>
        <w:rPr>
          <w:b/>
          <w:bCs/>
        </w:rPr>
      </w:pPr>
      <w:r w:rsidRPr="0079051C">
        <w:rPr>
          <w:b/>
          <w:bCs/>
        </w:rPr>
        <w:t>HILTON EPSTEIN SC</w:t>
      </w:r>
      <w:r w:rsidRPr="0079051C">
        <w:rPr>
          <w:b/>
          <w:bCs/>
        </w:rPr>
        <w:tab/>
      </w:r>
      <w:r w:rsidRPr="0079051C">
        <w:rPr>
          <w:b/>
          <w:bCs/>
        </w:rPr>
        <w:tab/>
      </w:r>
      <w:r w:rsidRPr="0079051C">
        <w:rPr>
          <w:b/>
          <w:bCs/>
        </w:rPr>
        <w:tab/>
      </w:r>
      <w:r w:rsidRPr="0079051C">
        <w:rPr>
          <w:b/>
          <w:bCs/>
        </w:rPr>
        <w:tab/>
      </w:r>
      <w:r w:rsidRPr="0079051C">
        <w:rPr>
          <w:b/>
          <w:bCs/>
        </w:rPr>
        <w:tab/>
      </w:r>
      <w:r w:rsidR="00F02CCD" w:rsidRPr="0079051C">
        <w:rPr>
          <w:b/>
          <w:bCs/>
        </w:rPr>
        <w:t xml:space="preserve">           </w:t>
      </w:r>
      <w:r w:rsidR="00A31B50" w:rsidRPr="0079051C">
        <w:rPr>
          <w:b/>
          <w:bCs/>
        </w:rPr>
        <w:t xml:space="preserve"> </w:t>
      </w:r>
      <w:r w:rsidRPr="0079051C">
        <w:rPr>
          <w:b/>
          <w:bCs/>
        </w:rPr>
        <w:t>FOURTH RESPONDENT</w:t>
      </w:r>
    </w:p>
    <w:p w14:paraId="16733EB2" w14:textId="77777777" w:rsidR="00AC7DA3" w:rsidRPr="003E794A" w:rsidRDefault="00AC7DA3" w:rsidP="009316FF">
      <w:pPr>
        <w:spacing w:line="360" w:lineRule="auto"/>
        <w:jc w:val="both"/>
      </w:pPr>
    </w:p>
    <w:p w14:paraId="5E38E949" w14:textId="50519FEE" w:rsidR="003E7496" w:rsidRPr="003E7496" w:rsidRDefault="003E7496" w:rsidP="009316FF">
      <w:pPr>
        <w:spacing w:line="360" w:lineRule="auto"/>
        <w:ind w:left="2127" w:hanging="2127"/>
        <w:jc w:val="both"/>
        <w:rPr>
          <w:bCs/>
        </w:rPr>
      </w:pPr>
      <w:r w:rsidRPr="003E7496">
        <w:rPr>
          <w:b/>
          <w:bCs/>
        </w:rPr>
        <w:t>Neutral citation:</w:t>
      </w:r>
      <w:r w:rsidRPr="003E7496">
        <w:rPr>
          <w:b/>
          <w:bCs/>
        </w:rPr>
        <w:tab/>
      </w:r>
      <w:r w:rsidR="00534DDC" w:rsidRPr="001B50C9">
        <w:rPr>
          <w:i/>
          <w:iCs/>
        </w:rPr>
        <w:t xml:space="preserve">Rabinowitz v Levy </w:t>
      </w:r>
      <w:r w:rsidRPr="001B50C9">
        <w:rPr>
          <w:bCs/>
          <w:i/>
          <w:iCs/>
        </w:rPr>
        <w:t>and Others</w:t>
      </w:r>
      <w:r w:rsidRPr="003E7496">
        <w:rPr>
          <w:bCs/>
        </w:rPr>
        <w:t xml:space="preserve"> (Case no </w:t>
      </w:r>
      <w:r w:rsidR="00534DDC">
        <w:rPr>
          <w:bCs/>
        </w:rPr>
        <w:t>1276/</w:t>
      </w:r>
      <w:r w:rsidR="00905C18">
        <w:rPr>
          <w:bCs/>
        </w:rPr>
        <w:t>20</w:t>
      </w:r>
      <w:r w:rsidR="00534DDC">
        <w:rPr>
          <w:bCs/>
        </w:rPr>
        <w:t>22</w:t>
      </w:r>
      <w:r w:rsidRPr="003E7496">
        <w:rPr>
          <w:bCs/>
        </w:rPr>
        <w:t>) [202</w:t>
      </w:r>
      <w:r w:rsidR="00A832AF">
        <w:rPr>
          <w:bCs/>
        </w:rPr>
        <w:t>4</w:t>
      </w:r>
      <w:r w:rsidRPr="003E7496">
        <w:rPr>
          <w:bCs/>
        </w:rPr>
        <w:t xml:space="preserve">] </w:t>
      </w:r>
      <w:r w:rsidRPr="00FC0581">
        <w:rPr>
          <w:bCs/>
        </w:rPr>
        <w:t xml:space="preserve">ZASCA </w:t>
      </w:r>
      <w:r w:rsidR="00C06BF5">
        <w:rPr>
          <w:bCs/>
        </w:rPr>
        <w:t>8</w:t>
      </w:r>
      <w:r w:rsidR="00B60F56" w:rsidRPr="00FC0581">
        <w:rPr>
          <w:bCs/>
        </w:rPr>
        <w:t xml:space="preserve"> </w:t>
      </w:r>
      <w:r w:rsidR="00122992">
        <w:rPr>
          <w:bCs/>
        </w:rPr>
        <w:t>(26</w:t>
      </w:r>
      <w:r w:rsidR="00C06BF5">
        <w:rPr>
          <w:bCs/>
        </w:rPr>
        <w:t xml:space="preserve"> January</w:t>
      </w:r>
      <w:r w:rsidR="009316FF" w:rsidRPr="00FC0581">
        <w:rPr>
          <w:bCs/>
        </w:rPr>
        <w:t xml:space="preserve"> 2024</w:t>
      </w:r>
      <w:r w:rsidRPr="00FC0581">
        <w:rPr>
          <w:bCs/>
        </w:rPr>
        <w:t>)</w:t>
      </w:r>
    </w:p>
    <w:p w14:paraId="485A7F51" w14:textId="77777777" w:rsidR="003E7496" w:rsidRPr="003E7496" w:rsidRDefault="003E7496" w:rsidP="009316FF">
      <w:pPr>
        <w:spacing w:before="240" w:line="360" w:lineRule="auto"/>
        <w:ind w:left="2126" w:hanging="2126"/>
        <w:jc w:val="both"/>
        <w:rPr>
          <w:bCs/>
        </w:rPr>
      </w:pPr>
      <w:r w:rsidRPr="003E7496">
        <w:rPr>
          <w:b/>
          <w:bCs/>
        </w:rPr>
        <w:t>Coram:</w:t>
      </w:r>
      <w:r w:rsidRPr="003E7496">
        <w:rPr>
          <w:b/>
          <w:bCs/>
        </w:rPr>
        <w:tab/>
      </w:r>
      <w:r w:rsidR="000A382C">
        <w:rPr>
          <w:b/>
          <w:bCs/>
        </w:rPr>
        <w:tab/>
      </w:r>
      <w:r w:rsidR="003E794A">
        <w:t>MBATHA</w:t>
      </w:r>
      <w:r w:rsidR="009316FF">
        <w:t>, MOTHLE AND MABINDLA-BOQWANA JJA AND KOEN AND</w:t>
      </w:r>
      <w:r w:rsidR="000121BF">
        <w:t xml:space="preserve"> MASIPA AJJA</w:t>
      </w:r>
    </w:p>
    <w:p w14:paraId="52D3328C" w14:textId="77777777" w:rsidR="001C4454" w:rsidRPr="003D0266" w:rsidRDefault="00093030" w:rsidP="009316FF">
      <w:pPr>
        <w:spacing w:before="240" w:line="360" w:lineRule="auto"/>
        <w:jc w:val="both"/>
        <w:rPr>
          <w:b/>
          <w:bCs/>
        </w:rPr>
      </w:pPr>
      <w:r w:rsidRPr="00AC7DA3">
        <w:rPr>
          <w:b/>
          <w:bCs/>
        </w:rPr>
        <w:t>Heard</w:t>
      </w:r>
      <w:r w:rsidRPr="00AC7DA3">
        <w:t>:</w:t>
      </w:r>
      <w:r w:rsidRPr="00AC7DA3">
        <w:tab/>
      </w:r>
      <w:r w:rsidR="000A382C">
        <w:tab/>
      </w:r>
      <w:r w:rsidR="00514989">
        <w:t>30</w:t>
      </w:r>
      <w:r w:rsidR="000121BF">
        <w:t xml:space="preserve"> November 2023</w:t>
      </w:r>
    </w:p>
    <w:p w14:paraId="0B4702D3" w14:textId="0FB52BED" w:rsidR="009316FF" w:rsidRDefault="00093030" w:rsidP="009316FF">
      <w:pPr>
        <w:spacing w:before="120" w:line="360" w:lineRule="auto"/>
        <w:jc w:val="both"/>
      </w:pPr>
      <w:r w:rsidRPr="00AC7DA3">
        <w:rPr>
          <w:b/>
          <w:bCs/>
        </w:rPr>
        <w:t>Delivered</w:t>
      </w:r>
      <w:r w:rsidRPr="00AC7DA3">
        <w:t>:</w:t>
      </w:r>
      <w:r w:rsidRPr="00AC7DA3">
        <w:tab/>
      </w:r>
      <w:r w:rsidR="00537EAE" w:rsidRPr="006312EC">
        <w:t>This judgment was handed down electronically by circulation to the parties’ legal representatives by email publication on the Supreme Court of Appeal website and</w:t>
      </w:r>
      <w:r w:rsidR="00537EAE">
        <w:t xml:space="preserve"> by</w:t>
      </w:r>
      <w:r w:rsidR="00537EAE" w:rsidRPr="006312EC">
        <w:t xml:space="preserve"> release to SAFLII. The date and time for hand-down is deemed to be 1</w:t>
      </w:r>
      <w:r w:rsidR="00356957">
        <w:t>1</w:t>
      </w:r>
      <w:r w:rsidR="00537EAE" w:rsidRPr="006312EC">
        <w:t xml:space="preserve">H00 on </w:t>
      </w:r>
      <w:r w:rsidR="00122992">
        <w:t>26</w:t>
      </w:r>
      <w:r w:rsidR="00537EAE">
        <w:t xml:space="preserve"> January 2024.</w:t>
      </w:r>
    </w:p>
    <w:p w14:paraId="3E440396" w14:textId="5192C7AA" w:rsidR="000121BF" w:rsidRDefault="001C4454" w:rsidP="009316FF">
      <w:pPr>
        <w:spacing w:before="240" w:line="360" w:lineRule="auto"/>
        <w:jc w:val="both"/>
      </w:pPr>
      <w:r w:rsidRPr="0021212A">
        <w:rPr>
          <w:b/>
        </w:rPr>
        <w:lastRenderedPageBreak/>
        <w:t xml:space="preserve">Summary: </w:t>
      </w:r>
      <w:r w:rsidR="0021212A">
        <w:rPr>
          <w:b/>
        </w:rPr>
        <w:tab/>
      </w:r>
      <w:r w:rsidR="000121BF">
        <w:t xml:space="preserve">Arbitration award – </w:t>
      </w:r>
      <w:r w:rsidR="004E458B">
        <w:t>application of s 33</w:t>
      </w:r>
      <w:r w:rsidR="0021212A">
        <w:t>(1)</w:t>
      </w:r>
      <w:r w:rsidR="00531614">
        <w:t>(</w:t>
      </w:r>
      <w:r w:rsidR="00531614" w:rsidRPr="00531614">
        <w:rPr>
          <w:i/>
          <w:iCs/>
        </w:rPr>
        <w:t>b</w:t>
      </w:r>
      <w:r w:rsidR="00531614">
        <w:t xml:space="preserve">) </w:t>
      </w:r>
      <w:r w:rsidR="004E458B" w:rsidRPr="00531614">
        <w:t>of</w:t>
      </w:r>
      <w:r w:rsidR="004E458B">
        <w:t xml:space="preserve"> the Arbitration Act 42 of 1965 – whether </w:t>
      </w:r>
      <w:r w:rsidR="00531614">
        <w:t xml:space="preserve">alleged failure by arbitrator to comply with terms of </w:t>
      </w:r>
      <w:r w:rsidR="00514989">
        <w:t xml:space="preserve">email by </w:t>
      </w:r>
      <w:r w:rsidR="000121BF">
        <w:t xml:space="preserve">the parties </w:t>
      </w:r>
      <w:r w:rsidR="00514989">
        <w:t xml:space="preserve">regarding </w:t>
      </w:r>
      <w:r w:rsidR="00AC7EF7">
        <w:t xml:space="preserve">future conduct of </w:t>
      </w:r>
      <w:r w:rsidR="00531614">
        <w:t xml:space="preserve">the </w:t>
      </w:r>
      <w:r w:rsidR="000121BF">
        <w:t>arbitration procedure</w:t>
      </w:r>
      <w:r w:rsidR="004E458B">
        <w:t xml:space="preserve"> reviewable</w:t>
      </w:r>
      <w:r w:rsidR="00900683">
        <w:t xml:space="preserve"> – </w:t>
      </w:r>
      <w:r w:rsidR="000121BF">
        <w:t>whether</w:t>
      </w:r>
      <w:r w:rsidR="004E458B">
        <w:t xml:space="preserve"> </w:t>
      </w:r>
      <w:r w:rsidR="001B50C9">
        <w:t xml:space="preserve">further hearing </w:t>
      </w:r>
      <w:r w:rsidR="00514989">
        <w:t>was required</w:t>
      </w:r>
      <w:r w:rsidR="00900683">
        <w:t xml:space="preserve"> – </w:t>
      </w:r>
      <w:r w:rsidR="001B50C9">
        <w:t xml:space="preserve">whether arbitrator </w:t>
      </w:r>
      <w:r w:rsidR="000121BF">
        <w:t>strayed beyond the pleadings</w:t>
      </w:r>
      <w:r w:rsidR="00900683">
        <w:t xml:space="preserve"> – </w:t>
      </w:r>
      <w:r w:rsidR="000121BF">
        <w:t xml:space="preserve">whether </w:t>
      </w:r>
      <w:r w:rsidR="001B50C9">
        <w:t>a</w:t>
      </w:r>
      <w:r w:rsidR="0021212A">
        <w:t xml:space="preserve">rbitrator failed to </w:t>
      </w:r>
      <w:r w:rsidR="000121BF">
        <w:t xml:space="preserve">adjudicate </w:t>
      </w:r>
      <w:r w:rsidR="004E458B">
        <w:t>a</w:t>
      </w:r>
      <w:r w:rsidR="000121BF">
        <w:t xml:space="preserve"> counterclaim</w:t>
      </w:r>
      <w:r w:rsidR="00900683">
        <w:t xml:space="preserve"> – </w:t>
      </w:r>
      <w:r w:rsidR="000121BF">
        <w:t xml:space="preserve">whether </w:t>
      </w:r>
      <w:r w:rsidR="00514989">
        <w:t xml:space="preserve">arbitrator committed a </w:t>
      </w:r>
      <w:r w:rsidR="000121BF">
        <w:t>gross irregularity in the proceedings and deni</w:t>
      </w:r>
      <w:r w:rsidR="00514989">
        <w:t>ed</w:t>
      </w:r>
      <w:r w:rsidR="000121BF">
        <w:t xml:space="preserve"> the </w:t>
      </w:r>
      <w:r w:rsidR="00514989">
        <w:t xml:space="preserve">parties </w:t>
      </w:r>
      <w:r w:rsidR="000121BF">
        <w:t>a fair hearing.</w:t>
      </w:r>
    </w:p>
    <w:p w14:paraId="524A6E67" w14:textId="77777777" w:rsidR="0021212A" w:rsidRDefault="0021212A" w:rsidP="009437DD">
      <w:pPr>
        <w:spacing w:line="360" w:lineRule="auto"/>
        <w:jc w:val="both"/>
      </w:pPr>
    </w:p>
    <w:p w14:paraId="0C7A4840" w14:textId="77777777" w:rsidR="0021212A" w:rsidRDefault="0021212A" w:rsidP="009437DD">
      <w:pPr>
        <w:spacing w:line="360" w:lineRule="auto"/>
      </w:pPr>
    </w:p>
    <w:p w14:paraId="4A328921" w14:textId="77777777" w:rsidR="00AC7DA3" w:rsidRPr="001E30CB" w:rsidRDefault="0021212A" w:rsidP="009437DD">
      <w:pPr>
        <w:spacing w:line="360" w:lineRule="auto"/>
        <w:rPr>
          <w:b/>
          <w:bCs/>
          <w:sz w:val="22"/>
        </w:rPr>
      </w:pPr>
      <w:r>
        <w:rPr>
          <w:b/>
          <w:bCs/>
          <w:sz w:val="22"/>
        </w:rPr>
        <w:br w:type="page"/>
      </w:r>
    </w:p>
    <w:p w14:paraId="0FC39494" w14:textId="77777777" w:rsidR="00AC7DA3" w:rsidRPr="001E30CB" w:rsidRDefault="00AC7DA3" w:rsidP="009437DD">
      <w:pPr>
        <w:spacing w:line="360" w:lineRule="auto"/>
        <w:rPr>
          <w:b/>
          <w:sz w:val="22"/>
        </w:rPr>
      </w:pPr>
      <w:r w:rsidRPr="001E30CB">
        <w:rPr>
          <w:b/>
          <w:noProof/>
          <w:sz w:val="20"/>
          <w:lang w:eastAsia="en-ZA"/>
        </w:rPr>
        <w:lastRenderedPageBreak/>
        <mc:AlternateContent>
          <mc:Choice Requires="wps">
            <w:drawing>
              <wp:anchor distT="0" distB="0" distL="114300" distR="114300" simplePos="0" relativeHeight="251667456" behindDoc="0" locked="0" layoutInCell="1" allowOverlap="1" wp14:anchorId="40995CE7" wp14:editId="568DD66B">
                <wp:simplePos x="0" y="0"/>
                <wp:positionH relativeFrom="margin">
                  <wp:align>right</wp:align>
                </wp:positionH>
                <wp:positionV relativeFrom="paragraph">
                  <wp:posOffset>13336</wp:posOffset>
                </wp:positionV>
                <wp:extent cx="5915025" cy="0"/>
                <wp:effectExtent l="0" t="0" r="2857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40EA3E0" id="Line 5"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">
                <o:lock v:ext="edit" shapetype="f"/>
                <w10:wrap anchorx="margin"/>
              </v:line>
            </w:pict>
          </mc:Fallback>
        </mc:AlternateContent>
      </w:r>
      <w:r w:rsidRPr="001E30CB">
        <w:rPr>
          <w:b/>
          <w:noProof/>
          <w:sz w:val="20"/>
          <w:lang w:eastAsia="en-ZA"/>
        </w:rPr>
        <mc:AlternateContent>
          <mc:Choice Requires="wps">
            <w:drawing>
              <wp:anchor distT="0" distB="0" distL="114300" distR="114300" simplePos="0" relativeHeight="251666432" behindDoc="0" locked="0" layoutInCell="1" allowOverlap="1" wp14:anchorId="1A67B22C" wp14:editId="172AF9A9">
                <wp:simplePos x="0" y="0"/>
                <wp:positionH relativeFrom="column">
                  <wp:posOffset>0</wp:posOffset>
                </wp:positionH>
                <wp:positionV relativeFrom="paragraph">
                  <wp:posOffset>114300</wp:posOffset>
                </wp:positionV>
                <wp:extent cx="0"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EA325DB" id="Line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CTGEgf/wEAAAwEAAAOAAAAAAAAAAAAAAAAAC4C&#10;AABkcnMvZTJvRG9jLnhtbFBLAQItABQABgAIAAAAIQBUInSH1wAAAAMBAAAPAAAAAAAAAAAAAAAA&#10;AFkEAABkcnMvZG93bnJldi54bWxQSwUGAAAAAAQABADzAAAAXQUAAAAA&#10;">
                <o:lock v:ext="edit" shapetype="f"/>
              </v:line>
            </w:pict>
          </mc:Fallback>
        </mc:AlternateContent>
      </w:r>
    </w:p>
    <w:p w14:paraId="5D27A038" w14:textId="77777777" w:rsidR="00093030" w:rsidRPr="00AC7DA3" w:rsidRDefault="00093030" w:rsidP="009437DD">
      <w:pPr>
        <w:pStyle w:val="Heading3"/>
        <w:jc w:val="center"/>
        <w:rPr>
          <w:b/>
          <w:i w:val="0"/>
          <w:sz w:val="24"/>
        </w:rPr>
      </w:pPr>
      <w:r w:rsidRPr="00AC7DA3">
        <w:rPr>
          <w:b/>
          <w:i w:val="0"/>
          <w:sz w:val="24"/>
        </w:rPr>
        <w:t>ORDER</w:t>
      </w:r>
    </w:p>
    <w:p w14:paraId="543A75DC" w14:textId="77777777" w:rsidR="00AC7DA3" w:rsidRPr="001E30CB" w:rsidRDefault="00AC7DA3" w:rsidP="009437DD">
      <w:pPr>
        <w:spacing w:line="360" w:lineRule="auto"/>
        <w:rPr>
          <w:b/>
          <w:bCs/>
          <w:sz w:val="22"/>
        </w:rPr>
      </w:pPr>
    </w:p>
    <w:p w14:paraId="61C859E1" w14:textId="77777777" w:rsidR="00AC7DA3" w:rsidRPr="001E30CB" w:rsidRDefault="00AC7DA3" w:rsidP="009437DD">
      <w:pPr>
        <w:spacing w:line="360" w:lineRule="auto"/>
        <w:rPr>
          <w:b/>
          <w:sz w:val="22"/>
        </w:rPr>
      </w:pPr>
      <w:r w:rsidRPr="001E30CB">
        <w:rPr>
          <w:b/>
          <w:noProof/>
          <w:sz w:val="20"/>
          <w:lang w:eastAsia="en-ZA"/>
        </w:rPr>
        <mc:AlternateContent>
          <mc:Choice Requires="wps">
            <w:drawing>
              <wp:anchor distT="0" distB="0" distL="114300" distR="114300" simplePos="0" relativeHeight="251670528" behindDoc="0" locked="0" layoutInCell="1" allowOverlap="1" wp14:anchorId="66B87A4B" wp14:editId="4E388E66">
                <wp:simplePos x="0" y="0"/>
                <wp:positionH relativeFrom="margin">
                  <wp:align>right</wp:align>
                </wp:positionH>
                <wp:positionV relativeFrom="paragraph">
                  <wp:posOffset>13336</wp:posOffset>
                </wp:positionV>
                <wp:extent cx="5915025" cy="0"/>
                <wp:effectExtent l="0" t="0" r="28575" b="1905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1AEEB2" id="Line 5" o:spid="_x0000_s1026" style="position:absolute;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">
                <o:lock v:ext="edit" shapetype="f"/>
                <w10:wrap anchorx="margin"/>
              </v:line>
            </w:pict>
          </mc:Fallback>
        </mc:AlternateContent>
      </w:r>
      <w:r w:rsidRPr="001E30CB">
        <w:rPr>
          <w:b/>
          <w:noProof/>
          <w:sz w:val="20"/>
          <w:lang w:eastAsia="en-ZA"/>
        </w:rPr>
        <mc:AlternateContent>
          <mc:Choice Requires="wps">
            <w:drawing>
              <wp:anchor distT="0" distB="0" distL="114300" distR="114300" simplePos="0" relativeHeight="251669504" behindDoc="0" locked="0" layoutInCell="1" allowOverlap="1" wp14:anchorId="6ABBC242" wp14:editId="40184AB3">
                <wp:simplePos x="0" y="0"/>
                <wp:positionH relativeFrom="column">
                  <wp:posOffset>0</wp:posOffset>
                </wp:positionH>
                <wp:positionV relativeFrom="paragraph">
                  <wp:posOffset>114300</wp:posOffset>
                </wp:positionV>
                <wp:extent cx="0"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E9B8A07" id="Line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DgTK91/wEAAA0EAAAOAAAAAAAAAAAAAAAAAC4C&#10;AABkcnMvZTJvRG9jLnhtbFBLAQItABQABgAIAAAAIQBUInSH1wAAAAMBAAAPAAAAAAAAAAAAAAAA&#10;AFkEAABkcnMvZG93bnJldi54bWxQSwUGAAAAAAQABADzAAAAXQUAAAAA&#10;">
                <o:lock v:ext="edit" shapetype="f"/>
              </v:line>
            </w:pict>
          </mc:Fallback>
        </mc:AlternateContent>
      </w:r>
    </w:p>
    <w:p w14:paraId="5E2CE839" w14:textId="126FE2B8" w:rsidR="00093030" w:rsidRPr="001B50C9" w:rsidRDefault="00093030" w:rsidP="009437DD">
      <w:pPr>
        <w:spacing w:line="360" w:lineRule="auto"/>
        <w:jc w:val="both"/>
      </w:pPr>
      <w:r w:rsidRPr="00AC7DA3">
        <w:rPr>
          <w:b/>
          <w:bCs/>
        </w:rPr>
        <w:t xml:space="preserve">On appeal from:  </w:t>
      </w:r>
      <w:r w:rsidR="000121BF">
        <w:t>G</w:t>
      </w:r>
      <w:r w:rsidR="00813319">
        <w:t xml:space="preserve">auteng </w:t>
      </w:r>
      <w:r w:rsidR="002437DC">
        <w:t xml:space="preserve">Division of the </w:t>
      </w:r>
      <w:r w:rsidR="00813319">
        <w:t xml:space="preserve">High Court, </w:t>
      </w:r>
      <w:r w:rsidR="000121BF">
        <w:t>J</w:t>
      </w:r>
      <w:r w:rsidR="00813319">
        <w:t xml:space="preserve">ohannesburg </w:t>
      </w:r>
      <w:r w:rsidR="00813319" w:rsidRPr="00AC7DA3">
        <w:rPr>
          <w:bCs/>
        </w:rPr>
        <w:t>(</w:t>
      </w:r>
      <w:r w:rsidR="001B50C9">
        <w:t>Daniels AJ, Francis J and Meersingh AJ concurring,</w:t>
      </w:r>
      <w:r w:rsidR="001B50C9" w:rsidRPr="00AC7DA3">
        <w:rPr>
          <w:bCs/>
        </w:rPr>
        <w:t xml:space="preserve"> </w:t>
      </w:r>
      <w:r w:rsidR="00813319" w:rsidRPr="00AC7DA3">
        <w:rPr>
          <w:bCs/>
        </w:rPr>
        <w:t xml:space="preserve">sitting </w:t>
      </w:r>
      <w:r w:rsidR="00813319" w:rsidRPr="0079051C">
        <w:rPr>
          <w:bCs/>
        </w:rPr>
        <w:t>as a court</w:t>
      </w:r>
      <w:r w:rsidR="002437DC" w:rsidRPr="0079051C">
        <w:rPr>
          <w:bCs/>
        </w:rPr>
        <w:t xml:space="preserve"> of</w:t>
      </w:r>
      <w:r w:rsidR="002437DC">
        <w:rPr>
          <w:bCs/>
        </w:rPr>
        <w:t xml:space="preserve"> appeal</w:t>
      </w:r>
      <w:r w:rsidR="00813319" w:rsidRPr="00AC7DA3">
        <w:rPr>
          <w:bCs/>
        </w:rPr>
        <w:t>)</w:t>
      </w:r>
      <w:r w:rsidR="001B50C9">
        <w:t>.</w:t>
      </w:r>
    </w:p>
    <w:p w14:paraId="7BD5CA97" w14:textId="7C514C05" w:rsidR="00C469B5" w:rsidRDefault="00FD341B" w:rsidP="00FD341B">
      <w:pPr>
        <w:spacing w:line="360" w:lineRule="auto"/>
        <w:ind w:left="360" w:hanging="360"/>
        <w:jc w:val="both"/>
      </w:pPr>
      <w:r>
        <w:t>(a)</w:t>
      </w:r>
      <w:r>
        <w:tab/>
      </w:r>
      <w:r w:rsidR="00F20FDC">
        <w:t>The appeal is upheld.</w:t>
      </w:r>
    </w:p>
    <w:p w14:paraId="53C9F4AC" w14:textId="2C613FB9" w:rsidR="00C469B5" w:rsidRDefault="00FD341B" w:rsidP="00FD341B">
      <w:pPr>
        <w:spacing w:line="360" w:lineRule="auto"/>
        <w:ind w:left="360" w:hanging="360"/>
        <w:jc w:val="both"/>
      </w:pPr>
      <w:r>
        <w:t>(b)</w:t>
      </w:r>
      <w:r>
        <w:tab/>
      </w:r>
      <w:r w:rsidR="00C469B5">
        <w:t>The order of the full court under case number A5061/2021, dated 25 July 2022:</w:t>
      </w:r>
    </w:p>
    <w:p w14:paraId="05BC4108" w14:textId="7EC3EC73" w:rsidR="00C469B5" w:rsidRDefault="00FD341B" w:rsidP="00FD341B">
      <w:pPr>
        <w:spacing w:line="360" w:lineRule="auto"/>
        <w:ind w:left="1080" w:hanging="720"/>
        <w:jc w:val="both"/>
      </w:pPr>
      <w:r>
        <w:t>(i)</w:t>
      </w:r>
      <w:r>
        <w:tab/>
      </w:r>
      <w:r w:rsidR="00C469B5">
        <w:t>is set aside; and</w:t>
      </w:r>
    </w:p>
    <w:p w14:paraId="22177B84" w14:textId="7E7342BD" w:rsidR="00C469B5" w:rsidRDefault="00FD341B" w:rsidP="00FD341B">
      <w:pPr>
        <w:spacing w:line="360" w:lineRule="auto"/>
        <w:ind w:left="1080" w:hanging="720"/>
        <w:jc w:val="both"/>
      </w:pPr>
      <w:r>
        <w:t>(ii)</w:t>
      </w:r>
      <w:r>
        <w:tab/>
      </w:r>
      <w:r w:rsidR="00C469B5">
        <w:t>replaced with the following order:</w:t>
      </w:r>
    </w:p>
    <w:p w14:paraId="79EA45D9" w14:textId="77777777" w:rsidR="00C469B5" w:rsidRPr="00DC3708" w:rsidRDefault="00C469B5" w:rsidP="00F02CCD">
      <w:pPr>
        <w:pStyle w:val="ListParagraph"/>
        <w:spacing w:line="360" w:lineRule="auto"/>
        <w:ind w:left="360"/>
        <w:jc w:val="both"/>
      </w:pPr>
      <w:r>
        <w:t>‘The appeal is dismissed with costs including the costs of the application for leave to appeal to the full court, such costs to be paid by the first, second and third appellants jointly and severally.’</w:t>
      </w:r>
    </w:p>
    <w:p w14:paraId="2B86A04D" w14:textId="0D4129F6" w:rsidR="00093030" w:rsidRPr="00F20FDC" w:rsidRDefault="00C469B5" w:rsidP="004827A9">
      <w:pPr>
        <w:spacing w:line="360" w:lineRule="auto"/>
        <w:jc w:val="both"/>
        <w:rPr>
          <w:b/>
          <w:bCs/>
        </w:rPr>
      </w:pPr>
      <w:r>
        <w:t>(c)</w:t>
      </w:r>
      <w:r w:rsidR="00F02CCD">
        <w:t xml:space="preserve"> </w:t>
      </w:r>
      <w:r>
        <w:t xml:space="preserve">The first, second and third respondents are liable jointly and severally to pay the appellant’s costs of the appeal. </w:t>
      </w:r>
      <w:r w:rsidR="00F20FDC">
        <w:t xml:space="preserve">  </w:t>
      </w:r>
    </w:p>
    <w:p w14:paraId="66C07739" w14:textId="77777777" w:rsidR="00AC7DA3" w:rsidRPr="001E30CB" w:rsidRDefault="00AC7DA3" w:rsidP="009437DD">
      <w:pPr>
        <w:spacing w:line="360" w:lineRule="auto"/>
        <w:rPr>
          <w:b/>
          <w:bCs/>
          <w:sz w:val="22"/>
        </w:rPr>
      </w:pPr>
    </w:p>
    <w:p w14:paraId="00AAA9F7" w14:textId="77777777" w:rsidR="00AC7DA3" w:rsidRPr="001E30CB" w:rsidRDefault="00AC7DA3" w:rsidP="009437DD">
      <w:pPr>
        <w:spacing w:line="360" w:lineRule="auto"/>
        <w:rPr>
          <w:b/>
          <w:sz w:val="22"/>
        </w:rPr>
      </w:pPr>
      <w:r w:rsidRPr="001E30CB">
        <w:rPr>
          <w:b/>
          <w:noProof/>
          <w:sz w:val="20"/>
          <w:lang w:eastAsia="en-ZA"/>
        </w:rPr>
        <mc:AlternateContent>
          <mc:Choice Requires="wps">
            <w:drawing>
              <wp:anchor distT="0" distB="0" distL="114300" distR="114300" simplePos="0" relativeHeight="251673600" behindDoc="0" locked="0" layoutInCell="1" allowOverlap="1" wp14:anchorId="7EF67E01" wp14:editId="514CE96B">
                <wp:simplePos x="0" y="0"/>
                <wp:positionH relativeFrom="margin">
                  <wp:align>right</wp:align>
                </wp:positionH>
                <wp:positionV relativeFrom="paragraph">
                  <wp:posOffset>13336</wp:posOffset>
                </wp:positionV>
                <wp:extent cx="5915025" cy="0"/>
                <wp:effectExtent l="0" t="0" r="28575" b="1905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8AD783E" id="Line 5"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">
                <o:lock v:ext="edit" shapetype="f"/>
                <w10:wrap anchorx="margin"/>
              </v:line>
            </w:pict>
          </mc:Fallback>
        </mc:AlternateContent>
      </w:r>
      <w:r w:rsidRPr="001E30CB">
        <w:rPr>
          <w:b/>
          <w:noProof/>
          <w:sz w:val="20"/>
          <w:lang w:eastAsia="en-ZA"/>
        </w:rPr>
        <mc:AlternateContent>
          <mc:Choice Requires="wps">
            <w:drawing>
              <wp:anchor distT="0" distB="0" distL="114300" distR="114300" simplePos="0" relativeHeight="251672576" behindDoc="0" locked="0" layoutInCell="1" allowOverlap="1" wp14:anchorId="0EA38DDC" wp14:editId="3385D82F">
                <wp:simplePos x="0" y="0"/>
                <wp:positionH relativeFrom="column">
                  <wp:posOffset>0</wp:posOffset>
                </wp:positionH>
                <wp:positionV relativeFrom="paragraph">
                  <wp:posOffset>114300</wp:posOffset>
                </wp:positionV>
                <wp:extent cx="0" cy="0"/>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2A3CA8" id="Line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">
                <o:lock v:ext="edit" shapetype="f"/>
              </v:line>
            </w:pict>
          </mc:Fallback>
        </mc:AlternateContent>
      </w:r>
    </w:p>
    <w:p w14:paraId="2E471D8E" w14:textId="77777777" w:rsidR="00093030" w:rsidRPr="00AC7DA3" w:rsidRDefault="00093030" w:rsidP="009437DD">
      <w:pPr>
        <w:pStyle w:val="Heading1"/>
        <w:jc w:val="center"/>
        <w:rPr>
          <w:sz w:val="24"/>
        </w:rPr>
      </w:pPr>
      <w:r w:rsidRPr="00AC7DA3">
        <w:rPr>
          <w:sz w:val="24"/>
        </w:rPr>
        <w:t>JUDGMENT</w:t>
      </w:r>
    </w:p>
    <w:p w14:paraId="7945AC99" w14:textId="77777777" w:rsidR="00AC7DA3" w:rsidRPr="001E30CB" w:rsidRDefault="00AC7DA3" w:rsidP="009437DD">
      <w:pPr>
        <w:spacing w:line="360" w:lineRule="auto"/>
        <w:rPr>
          <w:b/>
          <w:bCs/>
          <w:sz w:val="22"/>
        </w:rPr>
      </w:pPr>
    </w:p>
    <w:p w14:paraId="00FB5106" w14:textId="77777777" w:rsidR="00AC7DA3" w:rsidRPr="001E30CB" w:rsidRDefault="00AC7DA3" w:rsidP="009437DD">
      <w:pPr>
        <w:spacing w:line="360" w:lineRule="auto"/>
        <w:rPr>
          <w:b/>
          <w:sz w:val="22"/>
        </w:rPr>
      </w:pPr>
      <w:r w:rsidRPr="001E30CB">
        <w:rPr>
          <w:b/>
          <w:noProof/>
          <w:sz w:val="20"/>
          <w:lang w:eastAsia="en-ZA"/>
        </w:rPr>
        <mc:AlternateContent>
          <mc:Choice Requires="wps">
            <w:drawing>
              <wp:anchor distT="0" distB="0" distL="114300" distR="114300" simplePos="0" relativeHeight="251676672" behindDoc="0" locked="0" layoutInCell="1" allowOverlap="1" wp14:anchorId="30C363CF" wp14:editId="52D8C2C8">
                <wp:simplePos x="0" y="0"/>
                <wp:positionH relativeFrom="margin">
                  <wp:align>right</wp:align>
                </wp:positionH>
                <wp:positionV relativeFrom="paragraph">
                  <wp:posOffset>13336</wp:posOffset>
                </wp:positionV>
                <wp:extent cx="5915025" cy="0"/>
                <wp:effectExtent l="0" t="0" r="28575" b="1905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EDD3CE7" id="Line 5" o:spid="_x0000_s1026" style="position:absolute;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">
                <o:lock v:ext="edit" shapetype="f"/>
                <w10:wrap anchorx="margin"/>
              </v:line>
            </w:pict>
          </mc:Fallback>
        </mc:AlternateContent>
      </w:r>
      <w:r w:rsidRPr="001E30CB">
        <w:rPr>
          <w:b/>
          <w:noProof/>
          <w:sz w:val="20"/>
          <w:lang w:eastAsia="en-ZA"/>
        </w:rPr>
        <mc:AlternateContent>
          <mc:Choice Requires="wps">
            <w:drawing>
              <wp:anchor distT="0" distB="0" distL="114300" distR="114300" simplePos="0" relativeHeight="251675648" behindDoc="0" locked="0" layoutInCell="1" allowOverlap="1" wp14:anchorId="60B5508A" wp14:editId="26DFAED4">
                <wp:simplePos x="0" y="0"/>
                <wp:positionH relativeFrom="column">
                  <wp:posOffset>0</wp:posOffset>
                </wp:positionH>
                <wp:positionV relativeFrom="paragraph">
                  <wp:posOffset>114300</wp:posOffset>
                </wp:positionV>
                <wp:extent cx="0" cy="0"/>
                <wp:effectExtent l="0" t="0" r="0" b="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96F0C8C" id="Line 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DJNK1F/wEAAA0EAAAOAAAAAAAAAAAAAAAAAC4C&#10;AABkcnMvZTJvRG9jLnhtbFBLAQItABQABgAIAAAAIQBUInSH1wAAAAMBAAAPAAAAAAAAAAAAAAAA&#10;AFkEAABkcnMvZG93bnJldi54bWxQSwUGAAAAAAQABADzAAAAXQUAAAAA&#10;">
                <o:lock v:ext="edit" shapetype="f"/>
              </v:line>
            </w:pict>
          </mc:Fallback>
        </mc:AlternateContent>
      </w:r>
    </w:p>
    <w:p w14:paraId="4460108C" w14:textId="58D8483C" w:rsidR="00093030" w:rsidRPr="00AC7DA3" w:rsidRDefault="000121BF" w:rsidP="009437DD">
      <w:pPr>
        <w:spacing w:line="360" w:lineRule="auto"/>
        <w:rPr>
          <w:b/>
        </w:rPr>
      </w:pPr>
      <w:r>
        <w:rPr>
          <w:b/>
        </w:rPr>
        <w:t>Koen A</w:t>
      </w:r>
      <w:r w:rsidR="00093030" w:rsidRPr="00AC7DA3">
        <w:rPr>
          <w:b/>
        </w:rPr>
        <w:t xml:space="preserve">JA </w:t>
      </w:r>
      <w:r w:rsidR="00093030" w:rsidRPr="00FC0581">
        <w:rPr>
          <w:b/>
        </w:rPr>
        <w:t>(</w:t>
      </w:r>
      <w:r w:rsidR="00194394">
        <w:rPr>
          <w:b/>
        </w:rPr>
        <w:t>Mbatha, Mothle and Mabindla-Boqwana JJA and Masipa AJA</w:t>
      </w:r>
      <w:r w:rsidR="00D15A12">
        <w:rPr>
          <w:b/>
        </w:rPr>
        <w:t xml:space="preserve"> concurring</w:t>
      </w:r>
      <w:r w:rsidR="00093030" w:rsidRPr="00AC7DA3">
        <w:rPr>
          <w:b/>
        </w:rPr>
        <w:t>)</w:t>
      </w:r>
      <w:r w:rsidR="00D15A12">
        <w:rPr>
          <w:b/>
        </w:rPr>
        <w:t>:</w:t>
      </w:r>
    </w:p>
    <w:p w14:paraId="34679BA2" w14:textId="77777777" w:rsidR="00983729" w:rsidRPr="00813319" w:rsidRDefault="00983729" w:rsidP="009437DD">
      <w:pPr>
        <w:spacing w:line="360" w:lineRule="auto"/>
        <w:jc w:val="both"/>
        <w:rPr>
          <w:b/>
          <w:bCs/>
        </w:rPr>
      </w:pPr>
    </w:p>
    <w:p w14:paraId="05CA73D1" w14:textId="77777777" w:rsidR="00813319" w:rsidRPr="00813319" w:rsidRDefault="00813319" w:rsidP="009437DD">
      <w:pPr>
        <w:spacing w:line="360" w:lineRule="auto"/>
        <w:jc w:val="both"/>
        <w:rPr>
          <w:b/>
          <w:bCs/>
        </w:rPr>
      </w:pPr>
      <w:r w:rsidRPr="00813319">
        <w:rPr>
          <w:b/>
          <w:bCs/>
        </w:rPr>
        <w:t>Introduction</w:t>
      </w:r>
    </w:p>
    <w:p w14:paraId="42C9C3DC" w14:textId="77B06BC7" w:rsidR="00124230" w:rsidRPr="00124230" w:rsidRDefault="00FD341B" w:rsidP="00FD341B">
      <w:pPr>
        <w:spacing w:line="360" w:lineRule="auto"/>
        <w:jc w:val="both"/>
        <w:rPr>
          <w:szCs w:val="24"/>
        </w:rPr>
      </w:pPr>
      <w:r w:rsidRPr="00124230">
        <w:rPr>
          <w:szCs w:val="24"/>
        </w:rPr>
        <w:t>[1]</w:t>
      </w:r>
      <w:r w:rsidRPr="00124230">
        <w:rPr>
          <w:szCs w:val="24"/>
        </w:rPr>
        <w:tab/>
      </w:r>
      <w:r w:rsidR="007F51A9">
        <w:t>Voet</w:t>
      </w:r>
      <w:r w:rsidR="00B578C0">
        <w:rPr>
          <w:rStyle w:val="FootnoteReference"/>
        </w:rPr>
        <w:footnoteReference w:id="1"/>
      </w:r>
      <w:r w:rsidR="007F51A9">
        <w:t xml:space="preserve"> wrote that arbitration was often resorted to for ‘the termination of a suit and the avoidance of a formal trial’ </w:t>
      </w:r>
      <w:r w:rsidR="00BB3572">
        <w:t xml:space="preserve">and </w:t>
      </w:r>
      <w:r w:rsidR="007F51A9">
        <w:t>as an alternative to the ‘heavy expenses of lawsuits, the din of legal proceedings, their harassing labours and pernicious delays, and finally, the burdensome and weary waiting on the uncertainty of law’</w:t>
      </w:r>
      <w:r w:rsidR="000851A7">
        <w:t>.</w:t>
      </w:r>
      <w:r w:rsidR="007F51A9">
        <w:t xml:space="preserve"> </w:t>
      </w:r>
      <w:r w:rsidR="00AC7EF7">
        <w:t xml:space="preserve">But, as </w:t>
      </w:r>
      <w:r w:rsidR="004E458B">
        <w:t xml:space="preserve">FJD </w:t>
      </w:r>
      <w:r w:rsidR="007F51A9">
        <w:t xml:space="preserve">Brand </w:t>
      </w:r>
      <w:r w:rsidR="0076328C">
        <w:t xml:space="preserve">has </w:t>
      </w:r>
      <w:r w:rsidR="00B60F56">
        <w:t>cautioned</w:t>
      </w:r>
      <w:r w:rsidR="00934FBC">
        <w:t>,</w:t>
      </w:r>
      <w:r w:rsidR="007F51A9">
        <w:rPr>
          <w:rStyle w:val="FootnoteReference"/>
        </w:rPr>
        <w:footnoteReference w:id="2"/>
      </w:r>
      <w:r w:rsidR="007F51A9">
        <w:t xml:space="preserve"> </w:t>
      </w:r>
    </w:p>
    <w:p w14:paraId="516BABD5" w14:textId="48D4CBE4" w:rsidR="00124230" w:rsidRPr="00124230" w:rsidRDefault="0076328C" w:rsidP="009437DD">
      <w:pPr>
        <w:spacing w:line="360" w:lineRule="auto"/>
        <w:jc w:val="both"/>
        <w:rPr>
          <w:sz w:val="22"/>
          <w:szCs w:val="24"/>
        </w:rPr>
      </w:pPr>
      <w:r w:rsidRPr="00124230">
        <w:rPr>
          <w:sz w:val="22"/>
          <w:szCs w:val="24"/>
        </w:rPr>
        <w:lastRenderedPageBreak/>
        <w:t>‘</w:t>
      </w:r>
      <w:r w:rsidR="00BB3572" w:rsidRPr="00124230">
        <w:rPr>
          <w:sz w:val="22"/>
          <w:szCs w:val="24"/>
        </w:rPr>
        <w:t>. . .</w:t>
      </w:r>
      <w:r w:rsidR="00124230" w:rsidRPr="00124230">
        <w:t xml:space="preserve"> </w:t>
      </w:r>
      <w:r w:rsidR="00124230" w:rsidRPr="00124230">
        <w:rPr>
          <w:sz w:val="22"/>
          <w:szCs w:val="24"/>
        </w:rPr>
        <w:t>these advantages are diminished, or even largely destroyed, if the courts should adopt an over-keen approach to intervene in arbitration awards. This is so because an interventionist approach by the courts is likely to encourage losing parties who feel that the arbitrator's decision is wrong — as losing parties mostly do — to take their chances with the court. And if arbitration becomes a mere prelude to judicial review, its essential virtue is lost</w:t>
      </w:r>
      <w:r w:rsidR="007F51A9" w:rsidRPr="00124230">
        <w:rPr>
          <w:sz w:val="22"/>
          <w:szCs w:val="24"/>
        </w:rPr>
        <w:t>.’</w:t>
      </w:r>
      <w:r w:rsidRPr="00124230">
        <w:rPr>
          <w:rStyle w:val="FootnoteReference"/>
          <w:sz w:val="22"/>
          <w:szCs w:val="24"/>
        </w:rPr>
        <w:footnoteReference w:id="3"/>
      </w:r>
      <w:r w:rsidR="00934FBC" w:rsidRPr="00124230">
        <w:rPr>
          <w:sz w:val="22"/>
          <w:szCs w:val="24"/>
        </w:rPr>
        <w:t xml:space="preserve"> </w:t>
      </w:r>
    </w:p>
    <w:p w14:paraId="2AABED36" w14:textId="77777777" w:rsidR="00BD42DA" w:rsidRPr="00934FBC" w:rsidRDefault="00983729" w:rsidP="009437DD">
      <w:pPr>
        <w:spacing w:line="360" w:lineRule="auto"/>
        <w:jc w:val="both"/>
        <w:rPr>
          <w:szCs w:val="24"/>
        </w:rPr>
      </w:pPr>
      <w:r>
        <w:t xml:space="preserve">This appeal </w:t>
      </w:r>
      <w:r w:rsidR="00745DEB">
        <w:t>con</w:t>
      </w:r>
      <w:r w:rsidR="00527A97">
        <w:t>siders</w:t>
      </w:r>
      <w:r w:rsidR="00745DEB">
        <w:t xml:space="preserve"> </w:t>
      </w:r>
      <w:r>
        <w:t>whether</w:t>
      </w:r>
      <w:r w:rsidR="00B81CA2">
        <w:t xml:space="preserve">, on the peculiar facts relating thereto, </w:t>
      </w:r>
      <w:r w:rsidR="0044638B">
        <w:t>the arbitration award of the fourth respondent, Mr Hilton Epstein SC</w:t>
      </w:r>
      <w:r w:rsidR="00FF0C47">
        <w:t>,</w:t>
      </w:r>
      <w:r w:rsidR="0044638B">
        <w:t xml:space="preserve"> </w:t>
      </w:r>
      <w:r w:rsidR="00F27ADC">
        <w:t xml:space="preserve">should have been </w:t>
      </w:r>
      <w:r w:rsidR="00B81CA2">
        <w:t>review</w:t>
      </w:r>
      <w:r w:rsidR="0044638B">
        <w:t>ed</w:t>
      </w:r>
      <w:r w:rsidR="00B81CA2">
        <w:rPr>
          <w:rStyle w:val="FootnoteReference"/>
        </w:rPr>
        <w:footnoteReference w:id="4"/>
      </w:r>
      <w:r w:rsidR="00B81CA2">
        <w:t xml:space="preserve"> </w:t>
      </w:r>
      <w:r w:rsidR="0044638B">
        <w:t xml:space="preserve">and set aside. </w:t>
      </w:r>
      <w:r>
        <w:t xml:space="preserve"> </w:t>
      </w:r>
    </w:p>
    <w:p w14:paraId="20B7FA80" w14:textId="77777777" w:rsidR="00BD42DA" w:rsidRDefault="00BD42DA" w:rsidP="009437DD">
      <w:pPr>
        <w:spacing w:line="360" w:lineRule="auto"/>
        <w:jc w:val="both"/>
      </w:pPr>
    </w:p>
    <w:p w14:paraId="4D11B7B9" w14:textId="77777777" w:rsidR="00813319" w:rsidRPr="00813319" w:rsidRDefault="00813319" w:rsidP="009437DD">
      <w:pPr>
        <w:spacing w:line="360" w:lineRule="auto"/>
        <w:jc w:val="both"/>
        <w:rPr>
          <w:b/>
          <w:bCs/>
        </w:rPr>
      </w:pPr>
      <w:r w:rsidRPr="00813319">
        <w:rPr>
          <w:b/>
          <w:bCs/>
        </w:rPr>
        <w:t>Background</w:t>
      </w:r>
    </w:p>
    <w:p w14:paraId="3BC20907" w14:textId="5FEBE4AB" w:rsidR="00AD23AD" w:rsidRDefault="00FD341B" w:rsidP="00FD341B">
      <w:pPr>
        <w:spacing w:line="360" w:lineRule="auto"/>
        <w:jc w:val="both"/>
        <w:rPr>
          <w:b/>
          <w:bCs/>
        </w:rPr>
      </w:pPr>
      <w:r>
        <w:rPr>
          <w:szCs w:val="24"/>
        </w:rPr>
        <w:t>[2]</w:t>
      </w:r>
      <w:r>
        <w:rPr>
          <w:szCs w:val="24"/>
        </w:rPr>
        <w:tab/>
      </w:r>
      <w:r w:rsidR="0019307E">
        <w:t xml:space="preserve">The genesis </w:t>
      </w:r>
      <w:r w:rsidR="00745DEB">
        <w:t xml:space="preserve">of </w:t>
      </w:r>
      <w:r w:rsidR="0019307E">
        <w:t>th</w:t>
      </w:r>
      <w:r w:rsidR="00CB7155">
        <w:t>e</w:t>
      </w:r>
      <w:r w:rsidR="0019307E">
        <w:t xml:space="preserve"> appeal is </w:t>
      </w:r>
      <w:r w:rsidR="00745DEB">
        <w:t xml:space="preserve">to be found in </w:t>
      </w:r>
      <w:r w:rsidR="0019307E">
        <w:t xml:space="preserve">a </w:t>
      </w:r>
      <w:r w:rsidR="004A5DB0">
        <w:t>sale agreement</w:t>
      </w:r>
      <w:r w:rsidR="0019307E">
        <w:t xml:space="preserve"> </w:t>
      </w:r>
      <w:r w:rsidR="00E739FE">
        <w:t xml:space="preserve">(the </w:t>
      </w:r>
      <w:r w:rsidR="00FF0C47">
        <w:t>s</w:t>
      </w:r>
      <w:r w:rsidR="004A5DB0">
        <w:t>ale agreement</w:t>
      </w:r>
      <w:r w:rsidR="00E739FE">
        <w:t xml:space="preserve">) </w:t>
      </w:r>
      <w:r w:rsidR="0019307E">
        <w:t xml:space="preserve">concluded on </w:t>
      </w:r>
      <w:r w:rsidR="00F21569">
        <w:t>30 June 2017</w:t>
      </w:r>
      <w:r w:rsidR="0024408E">
        <w:t>. In terms of the sale agreement</w:t>
      </w:r>
      <w:r w:rsidR="00745DEB">
        <w:t xml:space="preserve"> </w:t>
      </w:r>
      <w:r w:rsidR="0019307E">
        <w:t>Mr Gary Rabinowitz, the appellant (the seller)</w:t>
      </w:r>
      <w:r w:rsidR="00124230">
        <w:t>,</w:t>
      </w:r>
      <w:r w:rsidR="00745DEB">
        <w:t xml:space="preserve"> sold </w:t>
      </w:r>
      <w:r w:rsidR="00D539B8">
        <w:t xml:space="preserve">34 of his shares </w:t>
      </w:r>
      <w:r w:rsidR="00745DEB">
        <w:t>in SDK Agencies (Pty) Ltd (SDK)</w:t>
      </w:r>
      <w:r w:rsidR="006014ED">
        <w:t xml:space="preserve">, </w:t>
      </w:r>
      <w:r w:rsidR="006014ED" w:rsidRPr="0079051C">
        <w:t>which made and sold cosmetics,</w:t>
      </w:r>
      <w:r w:rsidR="00745DEB" w:rsidRPr="0079051C">
        <w:t xml:space="preserve"> to </w:t>
      </w:r>
      <w:r w:rsidR="0019307E" w:rsidRPr="0079051C">
        <w:t>Mr Colin Levy</w:t>
      </w:r>
      <w:r w:rsidR="00D539B8" w:rsidRPr="0079051C">
        <w:t xml:space="preserve">, the first respondent, and 66 </w:t>
      </w:r>
      <w:r w:rsidR="00BB3572" w:rsidRPr="0079051C">
        <w:t xml:space="preserve">of his </w:t>
      </w:r>
      <w:r w:rsidR="00D539B8" w:rsidRPr="0079051C">
        <w:t>share</w:t>
      </w:r>
      <w:r w:rsidR="00D539B8">
        <w:t xml:space="preserve">s in SDK to </w:t>
      </w:r>
      <w:r w:rsidR="00745DEB">
        <w:t xml:space="preserve">Mr </w:t>
      </w:r>
      <w:r w:rsidR="0019307E">
        <w:t xml:space="preserve">Daniel Mpande, the second </w:t>
      </w:r>
      <w:r w:rsidR="00587E7F">
        <w:t>respondent (</w:t>
      </w:r>
      <w:r w:rsidR="00B60F56">
        <w:t xml:space="preserve">the first and second respondents are </w:t>
      </w:r>
      <w:r w:rsidR="00AC7EF7">
        <w:t xml:space="preserve">collectively referred to as </w:t>
      </w:r>
      <w:r w:rsidR="00587E7F">
        <w:t>the buyers).</w:t>
      </w:r>
      <w:r w:rsidR="00F36DBB">
        <w:rPr>
          <w:rStyle w:val="FootnoteReference"/>
        </w:rPr>
        <w:footnoteReference w:id="5"/>
      </w:r>
      <w:r w:rsidR="00587E7F">
        <w:t xml:space="preserve"> Triton Pharmacare (Pty) Ltd, the third </w:t>
      </w:r>
      <w:r w:rsidR="0019307E">
        <w:t>respondent</w:t>
      </w:r>
      <w:r w:rsidR="00BB3572">
        <w:t xml:space="preserve"> (the surety)</w:t>
      </w:r>
      <w:r w:rsidR="00587E7F">
        <w:t xml:space="preserve">, bound itself </w:t>
      </w:r>
      <w:r w:rsidR="00813319">
        <w:t xml:space="preserve">to the seller </w:t>
      </w:r>
      <w:r w:rsidR="00587E7F">
        <w:t xml:space="preserve">for the due performance of the obligations of the </w:t>
      </w:r>
      <w:r w:rsidR="0019307E">
        <w:t>buyers</w:t>
      </w:r>
      <w:r w:rsidR="00813319">
        <w:t>.</w:t>
      </w:r>
    </w:p>
    <w:p w14:paraId="1DE11CB3" w14:textId="77777777" w:rsidR="00813319" w:rsidRPr="00813319" w:rsidRDefault="00813319" w:rsidP="009437DD">
      <w:pPr>
        <w:spacing w:line="360" w:lineRule="auto"/>
        <w:jc w:val="both"/>
        <w:rPr>
          <w:b/>
          <w:bCs/>
        </w:rPr>
      </w:pPr>
    </w:p>
    <w:p w14:paraId="6016B99F" w14:textId="5A328A2E" w:rsidR="00D66C7A" w:rsidRPr="00D66C7A" w:rsidRDefault="00FD341B" w:rsidP="00FD341B">
      <w:pPr>
        <w:spacing w:line="360" w:lineRule="auto"/>
        <w:jc w:val="both"/>
        <w:rPr>
          <w:b/>
          <w:bCs/>
        </w:rPr>
      </w:pPr>
      <w:r w:rsidRPr="00D66C7A">
        <w:rPr>
          <w:szCs w:val="24"/>
        </w:rPr>
        <w:t>[3]</w:t>
      </w:r>
      <w:r w:rsidRPr="00D66C7A">
        <w:rPr>
          <w:szCs w:val="24"/>
        </w:rPr>
        <w:tab/>
      </w:r>
      <w:r w:rsidR="00B16FAC">
        <w:t>T</w:t>
      </w:r>
      <w:r w:rsidR="006762DA">
        <w:t xml:space="preserve">he </w:t>
      </w:r>
      <w:r w:rsidR="00FF0C47">
        <w:t>s</w:t>
      </w:r>
      <w:r w:rsidR="004A5DB0">
        <w:t>ale agreement</w:t>
      </w:r>
      <w:r w:rsidR="006762DA">
        <w:t xml:space="preserve"> provided that </w:t>
      </w:r>
      <w:r w:rsidR="0019307E">
        <w:t xml:space="preserve">disputes </w:t>
      </w:r>
      <w:r w:rsidR="00F27ADC">
        <w:t xml:space="preserve">arising from </w:t>
      </w:r>
      <w:r w:rsidR="00CA2543">
        <w:t>‘</w:t>
      </w:r>
      <w:r w:rsidR="00F27ADC">
        <w:t xml:space="preserve">the </w:t>
      </w:r>
      <w:r w:rsidR="001740EB">
        <w:t xml:space="preserve">interpretation of, the effect of, the parties’ respective rights or obligations under, a breach of, the termination of, or any matter arising out of the termination of the </w:t>
      </w:r>
      <w:r w:rsidR="004A5DB0">
        <w:t>Sale agreement</w:t>
      </w:r>
      <w:r w:rsidR="001740EB">
        <w:t>,</w:t>
      </w:r>
      <w:r w:rsidR="00CA2543">
        <w:t>’</w:t>
      </w:r>
      <w:r w:rsidR="00F27ADC">
        <w:t xml:space="preserve"> </w:t>
      </w:r>
      <w:r w:rsidR="002437DC">
        <w:t xml:space="preserve">were </w:t>
      </w:r>
      <w:r w:rsidR="00A770D0">
        <w:t xml:space="preserve">to </w:t>
      </w:r>
      <w:r w:rsidR="0019307E">
        <w:t xml:space="preserve">be referred </w:t>
      </w:r>
      <w:r w:rsidR="0019307E">
        <w:lastRenderedPageBreak/>
        <w:t>to arbitration.</w:t>
      </w:r>
      <w:r w:rsidR="00631916">
        <w:rPr>
          <w:rStyle w:val="FootnoteReference"/>
        </w:rPr>
        <w:footnoteReference w:id="6"/>
      </w:r>
      <w:r w:rsidR="00F20FDC">
        <w:t xml:space="preserve"> </w:t>
      </w:r>
      <w:r w:rsidR="00AD23AD">
        <w:t xml:space="preserve">Various disputes </w:t>
      </w:r>
      <w:r w:rsidR="00B60F56">
        <w:t>arose</w:t>
      </w:r>
      <w:r w:rsidR="0024408E">
        <w:t xml:space="preserve"> and were referred to arbitration. The </w:t>
      </w:r>
      <w:r w:rsidR="00AD23AD">
        <w:t>fou</w:t>
      </w:r>
      <w:r w:rsidR="0019307E">
        <w:t xml:space="preserve">rth respondent </w:t>
      </w:r>
      <w:r w:rsidR="001740EB">
        <w:t xml:space="preserve">was appointed by the parties </w:t>
      </w:r>
      <w:r w:rsidR="00A84377">
        <w:t xml:space="preserve">as </w:t>
      </w:r>
      <w:r w:rsidR="00AD23AD">
        <w:t>the arbitrator</w:t>
      </w:r>
      <w:r w:rsidR="00DF6D54">
        <w:t xml:space="preserve"> to decide the disputes</w:t>
      </w:r>
      <w:r w:rsidR="0019307E">
        <w:t>.</w:t>
      </w:r>
    </w:p>
    <w:p w14:paraId="62DBE43F" w14:textId="77777777" w:rsidR="00D6771C" w:rsidRPr="00934FBC" w:rsidRDefault="00D6771C" w:rsidP="009437DD">
      <w:pPr>
        <w:spacing w:line="360" w:lineRule="auto"/>
        <w:jc w:val="both"/>
        <w:rPr>
          <w:b/>
          <w:bCs/>
        </w:rPr>
      </w:pPr>
    </w:p>
    <w:p w14:paraId="28D03CC6" w14:textId="30A2375C" w:rsidR="00123928" w:rsidRDefault="00FD341B" w:rsidP="00FD341B">
      <w:pPr>
        <w:spacing w:line="360" w:lineRule="auto"/>
        <w:jc w:val="both"/>
      </w:pPr>
      <w:r>
        <w:rPr>
          <w:szCs w:val="24"/>
        </w:rPr>
        <w:t>[4]</w:t>
      </w:r>
      <w:r>
        <w:rPr>
          <w:szCs w:val="24"/>
        </w:rPr>
        <w:tab/>
      </w:r>
      <w:r w:rsidR="00F20FDC" w:rsidRPr="0079051C">
        <w:t xml:space="preserve">In the arbitration </w:t>
      </w:r>
      <w:r w:rsidR="00A770D0" w:rsidRPr="0079051C">
        <w:t>proceedings</w:t>
      </w:r>
      <w:r w:rsidR="00A770D0">
        <w:t xml:space="preserve"> </w:t>
      </w:r>
      <w:r w:rsidR="00F20FDC">
        <w:t>t</w:t>
      </w:r>
      <w:r w:rsidR="00FD3F9B">
        <w:t xml:space="preserve">he seller claimed </w:t>
      </w:r>
      <w:r w:rsidR="00A770D0">
        <w:t xml:space="preserve">payment of the sum of </w:t>
      </w:r>
      <w:r w:rsidR="00FD3F9B">
        <w:t>R15 064 754.24</w:t>
      </w:r>
      <w:r w:rsidR="0024408E">
        <w:t>,</w:t>
      </w:r>
      <w:r w:rsidR="00DF6D54">
        <w:t xml:space="preserve"> representing </w:t>
      </w:r>
      <w:r w:rsidR="00080BF9">
        <w:t>the balance</w:t>
      </w:r>
      <w:r w:rsidR="00123928">
        <w:rPr>
          <w:rStyle w:val="FootnoteReference"/>
        </w:rPr>
        <w:footnoteReference w:id="7"/>
      </w:r>
      <w:r w:rsidR="00080BF9">
        <w:t xml:space="preserve"> of the purchase price</w:t>
      </w:r>
      <w:r w:rsidR="00A84377">
        <w:t>,</w:t>
      </w:r>
      <w:r w:rsidR="00123928">
        <w:rPr>
          <w:rStyle w:val="FootnoteReference"/>
        </w:rPr>
        <w:footnoteReference w:id="8"/>
      </w:r>
      <w:r w:rsidR="00FD3F9B">
        <w:t xml:space="preserve"> plus interest and costs</w:t>
      </w:r>
      <w:r w:rsidR="0024408E">
        <w:t xml:space="preserve"> from the buyers and the surety.</w:t>
      </w:r>
      <w:r w:rsidR="0024408E">
        <w:rPr>
          <w:rStyle w:val="FootnoteReference"/>
        </w:rPr>
        <w:footnoteReference w:id="9"/>
      </w:r>
      <w:r w:rsidR="00FD3F9B">
        <w:t xml:space="preserve"> </w:t>
      </w:r>
      <w:r w:rsidR="0024408E">
        <w:t xml:space="preserve">According to the sale agreement the </w:t>
      </w:r>
      <w:r w:rsidR="00080BF9" w:rsidRPr="006762DA">
        <w:t>purchase price</w:t>
      </w:r>
      <w:r w:rsidR="0024408E">
        <w:t xml:space="preserve"> </w:t>
      </w:r>
      <w:r w:rsidR="001740EB">
        <w:t>was R</w:t>
      </w:r>
      <w:r w:rsidR="00080BF9" w:rsidRPr="006762DA">
        <w:t xml:space="preserve">18 million plus interest, plus </w:t>
      </w:r>
      <w:r w:rsidR="00A770D0">
        <w:t>‘</w:t>
      </w:r>
      <w:r w:rsidR="00080BF9" w:rsidRPr="006762DA">
        <w:t>the aggregate value of the stock</w:t>
      </w:r>
      <w:r w:rsidR="00A770D0">
        <w:t>’,</w:t>
      </w:r>
      <w:r w:rsidR="00123928">
        <w:t xml:space="preserve"> </w:t>
      </w:r>
      <w:r w:rsidR="00080BF9" w:rsidRPr="006762DA">
        <w:t>plus</w:t>
      </w:r>
      <w:r w:rsidR="00A84377">
        <w:t xml:space="preserve"> certain</w:t>
      </w:r>
      <w:r w:rsidR="00080BF9" w:rsidRPr="006762DA">
        <w:t xml:space="preserve"> adjustments </w:t>
      </w:r>
      <w:r w:rsidR="001740EB">
        <w:t xml:space="preserve">which were </w:t>
      </w:r>
      <w:r w:rsidR="00A84377">
        <w:t xml:space="preserve">required to be made. </w:t>
      </w:r>
      <w:r w:rsidR="00A770D0">
        <w:t xml:space="preserve">The aggregate value of the stock fell to be </w:t>
      </w:r>
      <w:r w:rsidR="00A770D0" w:rsidRPr="006762DA">
        <w:t xml:space="preserve">determined in accordance with the provisions of </w:t>
      </w:r>
      <w:r w:rsidR="00E739FE">
        <w:t xml:space="preserve">the </w:t>
      </w:r>
      <w:r w:rsidR="004A5DB0">
        <w:t>sale agreement</w:t>
      </w:r>
      <w:r w:rsidR="00E739FE">
        <w:t>.</w:t>
      </w:r>
      <w:r w:rsidR="00E739FE">
        <w:rPr>
          <w:rStyle w:val="FootnoteReference"/>
        </w:rPr>
        <w:footnoteReference w:id="10"/>
      </w:r>
      <w:r w:rsidR="00E739FE">
        <w:t xml:space="preserve"> </w:t>
      </w:r>
      <w:r w:rsidR="00DF6D54">
        <w:t>At t</w:t>
      </w:r>
      <w:r w:rsidR="001740EB">
        <w:t xml:space="preserve">he time </w:t>
      </w:r>
      <w:r w:rsidR="00DF6D54">
        <w:t>of signature</w:t>
      </w:r>
      <w:r w:rsidR="0024408E">
        <w:t>,</w:t>
      </w:r>
      <w:r w:rsidR="00DF6D54">
        <w:t xml:space="preserve"> </w:t>
      </w:r>
      <w:r w:rsidR="001740EB">
        <w:t xml:space="preserve">the </w:t>
      </w:r>
      <w:r w:rsidR="0027507C">
        <w:t>s</w:t>
      </w:r>
      <w:r w:rsidR="004A5DB0">
        <w:t>ale agreement</w:t>
      </w:r>
      <w:r w:rsidR="001740EB">
        <w:t xml:space="preserve"> recorded </w:t>
      </w:r>
      <w:r w:rsidR="00E739FE">
        <w:t>that</w:t>
      </w:r>
      <w:r w:rsidR="001740EB">
        <w:t xml:space="preserve"> </w:t>
      </w:r>
      <w:r w:rsidR="001740EB" w:rsidRPr="00FD341B">
        <w:rPr>
          <w:szCs w:val="24"/>
        </w:rPr>
        <w:t>t</w:t>
      </w:r>
      <w:r w:rsidR="00080BF9" w:rsidRPr="00FD341B">
        <w:rPr>
          <w:szCs w:val="24"/>
        </w:rPr>
        <w:t xml:space="preserve">he </w:t>
      </w:r>
      <w:r w:rsidR="00DF6D54" w:rsidRPr="00FD341B">
        <w:rPr>
          <w:szCs w:val="24"/>
        </w:rPr>
        <w:t>portion of the p</w:t>
      </w:r>
      <w:r w:rsidR="00080BF9" w:rsidRPr="00FD341B">
        <w:rPr>
          <w:szCs w:val="24"/>
        </w:rPr>
        <w:t xml:space="preserve">urchase </w:t>
      </w:r>
      <w:r w:rsidR="00DF6D54" w:rsidRPr="00FD341B">
        <w:rPr>
          <w:szCs w:val="24"/>
        </w:rPr>
        <w:t>p</w:t>
      </w:r>
      <w:r w:rsidR="00080BF9" w:rsidRPr="00FD341B">
        <w:rPr>
          <w:szCs w:val="24"/>
        </w:rPr>
        <w:t xml:space="preserve">rice attributable to the value of the </w:t>
      </w:r>
      <w:r w:rsidR="00DF6D54" w:rsidRPr="00FD341B">
        <w:rPr>
          <w:szCs w:val="24"/>
        </w:rPr>
        <w:t>s</w:t>
      </w:r>
      <w:r w:rsidR="00080BF9" w:rsidRPr="00FD341B">
        <w:rPr>
          <w:szCs w:val="24"/>
        </w:rPr>
        <w:t xml:space="preserve">tock as at 1 March 2017 </w:t>
      </w:r>
      <w:r w:rsidR="00DF6D54" w:rsidRPr="00FD341B">
        <w:rPr>
          <w:szCs w:val="24"/>
        </w:rPr>
        <w:t>wa</w:t>
      </w:r>
      <w:r w:rsidR="00080BF9" w:rsidRPr="00FD341B">
        <w:rPr>
          <w:szCs w:val="24"/>
        </w:rPr>
        <w:t>s R6 197 211.14</w:t>
      </w:r>
      <w:r w:rsidR="00DF6D54" w:rsidRPr="00FD341B">
        <w:rPr>
          <w:szCs w:val="24"/>
        </w:rPr>
        <w:t>.</w:t>
      </w:r>
      <w:r w:rsidR="00080BF9" w:rsidRPr="00FD341B">
        <w:rPr>
          <w:sz w:val="22"/>
          <w:szCs w:val="22"/>
        </w:rPr>
        <w:t xml:space="preserve"> </w:t>
      </w:r>
      <w:r w:rsidR="00DF6D54" w:rsidRPr="00FD341B">
        <w:rPr>
          <w:sz w:val="22"/>
          <w:szCs w:val="22"/>
        </w:rPr>
        <w:t xml:space="preserve">Although the </w:t>
      </w:r>
      <w:r w:rsidR="00080BF9" w:rsidRPr="006762DA">
        <w:t xml:space="preserve">buyers </w:t>
      </w:r>
      <w:r w:rsidR="00080BF9">
        <w:t xml:space="preserve">signed the </w:t>
      </w:r>
      <w:r w:rsidR="004A5DB0">
        <w:t>sale agreement</w:t>
      </w:r>
      <w:r w:rsidR="00DF6D54">
        <w:t xml:space="preserve">, they </w:t>
      </w:r>
      <w:r w:rsidR="00080BF9" w:rsidRPr="006762DA">
        <w:t xml:space="preserve">later complained that the </w:t>
      </w:r>
      <w:r w:rsidR="005614A3">
        <w:t xml:space="preserve">audited </w:t>
      </w:r>
      <w:r w:rsidR="00080BF9" w:rsidRPr="006762DA">
        <w:t xml:space="preserve">financial </w:t>
      </w:r>
      <w:r w:rsidR="00A84377">
        <w:t xml:space="preserve">statements of SDK at </w:t>
      </w:r>
      <w:r w:rsidR="00080BF9" w:rsidRPr="006762DA">
        <w:t>28 February 2017</w:t>
      </w:r>
      <w:r w:rsidR="00B60F56">
        <w:t>,</w:t>
      </w:r>
      <w:r w:rsidR="005614A3">
        <w:rPr>
          <w:rStyle w:val="FootnoteReference"/>
        </w:rPr>
        <w:footnoteReference w:id="11"/>
      </w:r>
      <w:r w:rsidR="00080BF9" w:rsidRPr="006762DA">
        <w:t xml:space="preserve"> reflected a </w:t>
      </w:r>
      <w:r w:rsidR="00FC0A70">
        <w:t xml:space="preserve">stock </w:t>
      </w:r>
      <w:r w:rsidR="00080BF9" w:rsidRPr="006762DA">
        <w:t xml:space="preserve">figure </w:t>
      </w:r>
      <w:r w:rsidR="00FC0A70">
        <w:t>o</w:t>
      </w:r>
      <w:r w:rsidR="00080BF9" w:rsidRPr="006762DA">
        <w:t xml:space="preserve">f </w:t>
      </w:r>
      <w:r w:rsidR="00A84377">
        <w:t xml:space="preserve">only </w:t>
      </w:r>
      <w:r w:rsidR="00080BF9" w:rsidRPr="006762DA">
        <w:t>R2 239 002.00</w:t>
      </w:r>
      <w:r w:rsidR="00176270">
        <w:t>.</w:t>
      </w:r>
      <w:r w:rsidR="00080BF9" w:rsidRPr="006762DA">
        <w:t xml:space="preserve"> </w:t>
      </w:r>
    </w:p>
    <w:p w14:paraId="57B84362" w14:textId="77777777" w:rsidR="00E745CF" w:rsidRDefault="00E745CF" w:rsidP="009437DD">
      <w:pPr>
        <w:spacing w:line="360" w:lineRule="auto"/>
        <w:jc w:val="both"/>
      </w:pPr>
    </w:p>
    <w:p w14:paraId="52FDDD11" w14:textId="32CF5331" w:rsidR="004272CC" w:rsidRDefault="00FD341B" w:rsidP="00FD341B">
      <w:pPr>
        <w:spacing w:line="360" w:lineRule="auto"/>
        <w:jc w:val="both"/>
      </w:pPr>
      <w:r>
        <w:rPr>
          <w:szCs w:val="24"/>
        </w:rPr>
        <w:t>[5]</w:t>
      </w:r>
      <w:r>
        <w:rPr>
          <w:szCs w:val="24"/>
        </w:rPr>
        <w:tab/>
      </w:r>
      <w:r w:rsidR="004272CC" w:rsidRPr="00116238">
        <w:t>In opposition</w:t>
      </w:r>
      <w:r w:rsidR="00080BF9" w:rsidRPr="00116238">
        <w:t xml:space="preserve"> to the seller’s claim</w:t>
      </w:r>
      <w:r w:rsidR="00A84377" w:rsidRPr="00116238">
        <w:t xml:space="preserve"> </w:t>
      </w:r>
      <w:r w:rsidR="00FC0A70" w:rsidRPr="00116238">
        <w:t>for payment</w:t>
      </w:r>
      <w:r w:rsidR="00760D1A" w:rsidRPr="00116238">
        <w:t>,</w:t>
      </w:r>
      <w:r w:rsidR="00FC0A70" w:rsidRPr="00116238">
        <w:t xml:space="preserve"> </w:t>
      </w:r>
      <w:r w:rsidR="004272CC" w:rsidRPr="00116238">
        <w:t>the</w:t>
      </w:r>
      <w:r w:rsidR="004272CC">
        <w:t xml:space="preserve"> buyers:</w:t>
      </w:r>
    </w:p>
    <w:p w14:paraId="7016C68A" w14:textId="48F67ABC" w:rsidR="00A84377" w:rsidRDefault="00FD341B" w:rsidP="00FD341B">
      <w:pPr>
        <w:spacing w:line="360" w:lineRule="auto"/>
        <w:jc w:val="both"/>
      </w:pPr>
      <w:r>
        <w:t>(a)</w:t>
      </w:r>
      <w:r>
        <w:tab/>
      </w:r>
      <w:r w:rsidR="004272CC">
        <w:t xml:space="preserve">raised </w:t>
      </w:r>
      <w:r w:rsidR="00123928">
        <w:t xml:space="preserve">as </w:t>
      </w:r>
      <w:r w:rsidR="00FA01F8">
        <w:t xml:space="preserve">a primary defence </w:t>
      </w:r>
      <w:r w:rsidR="004272CC">
        <w:t xml:space="preserve">that the </w:t>
      </w:r>
      <w:r w:rsidR="004A5DB0">
        <w:t>sale agreement</w:t>
      </w:r>
      <w:r w:rsidR="004272CC">
        <w:t xml:space="preserve"> was induced by </w:t>
      </w:r>
      <w:r w:rsidR="00FC0A70">
        <w:t xml:space="preserve">various </w:t>
      </w:r>
      <w:r w:rsidR="004272CC">
        <w:t>fraud</w:t>
      </w:r>
      <w:r w:rsidR="00FC0A70">
        <w:t xml:space="preserve">ulent misrepresentations, which </w:t>
      </w:r>
      <w:r w:rsidR="004272CC">
        <w:t xml:space="preserve">entitled </w:t>
      </w:r>
      <w:r w:rsidR="00CA1DC7">
        <w:t xml:space="preserve">them </w:t>
      </w:r>
      <w:r w:rsidR="004272CC">
        <w:t xml:space="preserve">to resile from the </w:t>
      </w:r>
      <w:r w:rsidR="004A5DB0">
        <w:t>sale agreement</w:t>
      </w:r>
      <w:r w:rsidR="004272CC">
        <w:t>;</w:t>
      </w:r>
    </w:p>
    <w:p w14:paraId="34CB9585" w14:textId="71F1446A" w:rsidR="00656691" w:rsidRDefault="00FD341B" w:rsidP="00FD341B">
      <w:pPr>
        <w:spacing w:line="360" w:lineRule="auto"/>
        <w:jc w:val="both"/>
      </w:pPr>
      <w:r>
        <w:t>(b)</w:t>
      </w:r>
      <w:r>
        <w:tab/>
      </w:r>
      <w:r w:rsidR="00BC522C">
        <w:t xml:space="preserve">claimed </w:t>
      </w:r>
      <w:r w:rsidR="004272CC">
        <w:t>i</w:t>
      </w:r>
      <w:r w:rsidR="00CA1DC7">
        <w:t>n the alternative, i</w:t>
      </w:r>
      <w:r w:rsidR="004272CC">
        <w:t>f they were not entitled to resile</w:t>
      </w:r>
      <w:r w:rsidR="00BC522C">
        <w:t xml:space="preserve"> from the </w:t>
      </w:r>
      <w:r w:rsidR="004A5DB0">
        <w:t>sale agreement</w:t>
      </w:r>
      <w:r w:rsidR="004272CC">
        <w:t>, that they w</w:t>
      </w:r>
      <w:r w:rsidR="00656691">
        <w:t>ere e</w:t>
      </w:r>
      <w:r w:rsidR="00CA1DC7">
        <w:t xml:space="preserve">ntitled to a reduced </w:t>
      </w:r>
      <w:r w:rsidR="00BC522C">
        <w:t xml:space="preserve">purchase </w:t>
      </w:r>
      <w:r w:rsidR="00CA1DC7">
        <w:t xml:space="preserve">price </w:t>
      </w:r>
      <w:r w:rsidR="004272CC">
        <w:t xml:space="preserve">by virtue </w:t>
      </w:r>
      <w:r w:rsidR="00981B44">
        <w:t xml:space="preserve">of </w:t>
      </w:r>
      <w:r w:rsidR="00DF6D54">
        <w:t>various</w:t>
      </w:r>
      <w:r w:rsidR="00FC0A70">
        <w:t xml:space="preserve"> </w:t>
      </w:r>
      <w:r w:rsidR="00251C76">
        <w:lastRenderedPageBreak/>
        <w:t>c</w:t>
      </w:r>
      <w:r w:rsidR="00217B55">
        <w:t xml:space="preserve">onditional </w:t>
      </w:r>
      <w:r w:rsidR="004272CC">
        <w:t>counterclaims:</w:t>
      </w:r>
      <w:r w:rsidR="00251C76">
        <w:t xml:space="preserve"> t</w:t>
      </w:r>
      <w:r w:rsidR="004272CC">
        <w:t>he first counterclaim</w:t>
      </w:r>
      <w:r w:rsidR="00BC522C">
        <w:t xml:space="preserve"> </w:t>
      </w:r>
      <w:r w:rsidR="004272CC">
        <w:t>relat</w:t>
      </w:r>
      <w:r w:rsidR="00B60F56">
        <w:t>ed</w:t>
      </w:r>
      <w:r w:rsidR="00251C76">
        <w:t xml:space="preserve"> to </w:t>
      </w:r>
      <w:r w:rsidR="004272CC">
        <w:t xml:space="preserve">alleged breaches of </w:t>
      </w:r>
      <w:r w:rsidR="000A3188">
        <w:t xml:space="preserve">various </w:t>
      </w:r>
      <w:r w:rsidR="004272CC">
        <w:t>accounting warranties</w:t>
      </w:r>
      <w:r w:rsidR="00BC522C">
        <w:t>,</w:t>
      </w:r>
      <w:r w:rsidR="004272CC">
        <w:t xml:space="preserve"> </w:t>
      </w:r>
      <w:r w:rsidR="008963CE">
        <w:t xml:space="preserve">and </w:t>
      </w:r>
      <w:r w:rsidR="004272CC">
        <w:t>includ</w:t>
      </w:r>
      <w:r w:rsidR="008963CE">
        <w:t>ed</w:t>
      </w:r>
      <w:r w:rsidR="004272CC">
        <w:t xml:space="preserve"> a</w:t>
      </w:r>
      <w:r w:rsidR="00251C76">
        <w:t xml:space="preserve">n amount </w:t>
      </w:r>
      <w:r w:rsidR="004272CC">
        <w:t>of R34 736.06</w:t>
      </w:r>
      <w:r w:rsidR="000A3188">
        <w:t xml:space="preserve"> </w:t>
      </w:r>
      <w:r w:rsidR="00A770D0">
        <w:t xml:space="preserve">for </w:t>
      </w:r>
      <w:r w:rsidR="000A3188">
        <w:t>an irrecoverable debt stemming from an undercharge to Clicks</w:t>
      </w:r>
      <w:r w:rsidR="00A65349">
        <w:t xml:space="preserve"> (the Clicks claim)</w:t>
      </w:r>
      <w:r w:rsidR="004272CC">
        <w:t>;</w:t>
      </w:r>
      <w:r w:rsidR="00A65349">
        <w:t xml:space="preserve"> </w:t>
      </w:r>
      <w:r w:rsidR="00251C76">
        <w:t>the</w:t>
      </w:r>
      <w:r w:rsidR="004272CC">
        <w:t xml:space="preserve"> second </w:t>
      </w:r>
      <w:r w:rsidR="003B088B">
        <w:t xml:space="preserve">counterclaim </w:t>
      </w:r>
      <w:r w:rsidR="004272CC">
        <w:t>relat</w:t>
      </w:r>
      <w:r w:rsidR="00B60F56">
        <w:t>ed</w:t>
      </w:r>
      <w:r w:rsidR="00251C76">
        <w:t xml:space="preserve"> </w:t>
      </w:r>
      <w:r w:rsidR="004272CC">
        <w:t xml:space="preserve">to </w:t>
      </w:r>
      <w:r w:rsidR="000A3188">
        <w:t xml:space="preserve">the alleged failure to deliver the value of </w:t>
      </w:r>
      <w:r w:rsidR="004272CC">
        <w:t>stock</w:t>
      </w:r>
      <w:r w:rsidR="00F21569">
        <w:t xml:space="preserve"> </w:t>
      </w:r>
      <w:r w:rsidR="000A3188">
        <w:t>as per the stock sheets furnished</w:t>
      </w:r>
      <w:r w:rsidR="00251C76">
        <w:t xml:space="preserve">, which the buyers claimed required that </w:t>
      </w:r>
      <w:r w:rsidR="00C20464">
        <w:t xml:space="preserve">R3 997 211.14 should be deducted from the balance of the purchase price claimed </w:t>
      </w:r>
      <w:r w:rsidR="00F21569">
        <w:t xml:space="preserve">(the stock </w:t>
      </w:r>
      <w:r w:rsidR="00A65349">
        <w:t>claim</w:t>
      </w:r>
      <w:r w:rsidR="00F21569">
        <w:t>)</w:t>
      </w:r>
      <w:r w:rsidR="00251C76">
        <w:t>;</w:t>
      </w:r>
      <w:r w:rsidR="00F21569">
        <w:t xml:space="preserve"> </w:t>
      </w:r>
      <w:r w:rsidR="00251C76">
        <w:t>t</w:t>
      </w:r>
      <w:r w:rsidR="003B088B">
        <w:t>he third counterclaim relat</w:t>
      </w:r>
      <w:r w:rsidR="00B60F56">
        <w:t>ed</w:t>
      </w:r>
      <w:r w:rsidR="00251C76">
        <w:t xml:space="preserve"> </w:t>
      </w:r>
      <w:r w:rsidR="003B088B">
        <w:t>to various assets in SDK</w:t>
      </w:r>
      <w:r w:rsidR="00656691">
        <w:t>’</w:t>
      </w:r>
      <w:r w:rsidR="003B088B">
        <w:t xml:space="preserve">s </w:t>
      </w:r>
      <w:r w:rsidR="00656691">
        <w:t>F</w:t>
      </w:r>
      <w:r w:rsidR="003B088B">
        <w:t xml:space="preserve">ixed </w:t>
      </w:r>
      <w:r w:rsidR="00656691">
        <w:t>A</w:t>
      </w:r>
      <w:r w:rsidR="003B088B">
        <w:t xml:space="preserve">sset </w:t>
      </w:r>
      <w:r w:rsidR="00656691">
        <w:t>R</w:t>
      </w:r>
      <w:r w:rsidR="003B088B">
        <w:t xml:space="preserve">egister at </w:t>
      </w:r>
      <w:r w:rsidR="00656691">
        <w:t xml:space="preserve">the </w:t>
      </w:r>
      <w:r w:rsidR="003B088B">
        <w:t xml:space="preserve">signature date </w:t>
      </w:r>
      <w:r w:rsidR="00656691">
        <w:t xml:space="preserve">allegedly </w:t>
      </w:r>
      <w:r w:rsidR="003B088B">
        <w:t xml:space="preserve">being missing </w:t>
      </w:r>
      <w:r w:rsidR="00F21569">
        <w:t>and never delivered</w:t>
      </w:r>
      <w:r w:rsidR="003B088B">
        <w:t>, resulting in a claim for delivery of these assets</w:t>
      </w:r>
      <w:r w:rsidR="000A3188">
        <w:t>,</w:t>
      </w:r>
      <w:r w:rsidR="003B088B">
        <w:t xml:space="preserve"> alternatively an order for payment of </w:t>
      </w:r>
      <w:r w:rsidR="00656691">
        <w:t xml:space="preserve">the </w:t>
      </w:r>
      <w:r w:rsidR="003B088B">
        <w:t xml:space="preserve">value </w:t>
      </w:r>
      <w:r w:rsidR="0027507C">
        <w:t>thereof</w:t>
      </w:r>
      <w:r w:rsidR="00A65349">
        <w:t xml:space="preserve"> (the missing assets claim)</w:t>
      </w:r>
      <w:r w:rsidR="003B088B">
        <w:t>;</w:t>
      </w:r>
      <w:r w:rsidR="00251C76">
        <w:t xml:space="preserve"> and three </w:t>
      </w:r>
      <w:r w:rsidR="00557E6F">
        <w:t xml:space="preserve">further </w:t>
      </w:r>
      <w:r w:rsidR="003B088B">
        <w:t>counterclaim</w:t>
      </w:r>
      <w:r w:rsidR="00251C76">
        <w:t>s</w:t>
      </w:r>
      <w:r w:rsidR="00557E6F">
        <w:t xml:space="preserve"> (the further counterclaims) the details whereof are not relevant to this judgment.</w:t>
      </w:r>
      <w:r w:rsidR="003B088B">
        <w:t xml:space="preserve">  </w:t>
      </w:r>
    </w:p>
    <w:p w14:paraId="0133CCB0" w14:textId="77777777" w:rsidR="00CB4326" w:rsidRDefault="00CB4326" w:rsidP="009437DD">
      <w:pPr>
        <w:spacing w:line="360" w:lineRule="auto"/>
        <w:jc w:val="both"/>
      </w:pPr>
    </w:p>
    <w:p w14:paraId="3B402659" w14:textId="555660C9" w:rsidR="005819E6" w:rsidRDefault="00FD341B" w:rsidP="00FD341B">
      <w:pPr>
        <w:spacing w:line="360" w:lineRule="auto"/>
        <w:jc w:val="both"/>
      </w:pPr>
      <w:r>
        <w:rPr>
          <w:szCs w:val="24"/>
        </w:rPr>
        <w:t>[6]</w:t>
      </w:r>
      <w:r>
        <w:rPr>
          <w:szCs w:val="24"/>
        </w:rPr>
        <w:tab/>
      </w:r>
      <w:r w:rsidR="0024408E">
        <w:t xml:space="preserve">After the </w:t>
      </w:r>
      <w:r w:rsidR="0027507C">
        <w:t xml:space="preserve">conclusion of the </w:t>
      </w:r>
      <w:r w:rsidR="00C54DC2">
        <w:t>evidence and argument</w:t>
      </w:r>
      <w:r w:rsidR="0024408E">
        <w:t xml:space="preserve"> before the arbitrator</w:t>
      </w:r>
      <w:r w:rsidR="0027507C">
        <w:t>, an</w:t>
      </w:r>
      <w:r w:rsidR="005819E6">
        <w:t xml:space="preserve"> email </w:t>
      </w:r>
      <w:r w:rsidR="00557E6F">
        <w:t xml:space="preserve">dated 28 June 2019 </w:t>
      </w:r>
      <w:r w:rsidR="00687E0E">
        <w:t xml:space="preserve">(the email) </w:t>
      </w:r>
      <w:r w:rsidR="0027507C">
        <w:t xml:space="preserve">was </w:t>
      </w:r>
      <w:r w:rsidR="005819E6">
        <w:t>address</w:t>
      </w:r>
      <w:r w:rsidR="00656691">
        <w:t>ed</w:t>
      </w:r>
      <w:r w:rsidR="005819E6">
        <w:t xml:space="preserve"> by </w:t>
      </w:r>
      <w:r w:rsidR="00934FBC">
        <w:t xml:space="preserve">the seller’s </w:t>
      </w:r>
      <w:r w:rsidR="005819E6">
        <w:t xml:space="preserve">counsel </w:t>
      </w:r>
      <w:r w:rsidR="00656691">
        <w:t>to the arbitrator</w:t>
      </w:r>
      <w:r w:rsidR="0027507C">
        <w:t>, providing as follows</w:t>
      </w:r>
      <w:r w:rsidR="005819E6">
        <w:t>:</w:t>
      </w:r>
    </w:p>
    <w:p w14:paraId="270BF6D5" w14:textId="77777777" w:rsidR="00CA4D75" w:rsidRDefault="005819E6" w:rsidP="009437DD">
      <w:pPr>
        <w:spacing w:line="360" w:lineRule="auto"/>
        <w:jc w:val="both"/>
        <w:rPr>
          <w:sz w:val="22"/>
          <w:szCs w:val="22"/>
        </w:rPr>
      </w:pPr>
      <w:r w:rsidRPr="00B73726">
        <w:rPr>
          <w:sz w:val="22"/>
          <w:szCs w:val="22"/>
        </w:rPr>
        <w:t>‘</w:t>
      </w:r>
      <w:r w:rsidR="00CA4D75">
        <w:rPr>
          <w:sz w:val="22"/>
          <w:szCs w:val="22"/>
        </w:rPr>
        <w:t>Dear Hilton</w:t>
      </w:r>
    </w:p>
    <w:p w14:paraId="110907CC" w14:textId="77777777" w:rsidR="00CA4D75" w:rsidRDefault="00CA4D75" w:rsidP="009437DD">
      <w:pPr>
        <w:spacing w:line="360" w:lineRule="auto"/>
        <w:jc w:val="both"/>
        <w:rPr>
          <w:sz w:val="22"/>
          <w:szCs w:val="22"/>
        </w:rPr>
      </w:pPr>
      <w:r>
        <w:rPr>
          <w:sz w:val="22"/>
          <w:szCs w:val="22"/>
        </w:rPr>
        <w:t>[The respondents’ counsel] and I have spoken and discussed the issues that I address below. He checked the wording of this email before I sent it to you, so it reflects both of our views.</w:t>
      </w:r>
    </w:p>
    <w:p w14:paraId="227CDC5A" w14:textId="54EFACC8" w:rsidR="00CA4D75" w:rsidRDefault="00CA4D75" w:rsidP="009437DD">
      <w:pPr>
        <w:spacing w:line="360" w:lineRule="auto"/>
        <w:jc w:val="both"/>
        <w:rPr>
          <w:sz w:val="22"/>
          <w:szCs w:val="22"/>
        </w:rPr>
      </w:pPr>
      <w:r>
        <w:rPr>
          <w:sz w:val="22"/>
          <w:szCs w:val="22"/>
        </w:rPr>
        <w:t>(a)</w:t>
      </w:r>
      <w:r w:rsidR="006B3C15">
        <w:rPr>
          <w:sz w:val="22"/>
          <w:szCs w:val="22"/>
        </w:rPr>
        <w:t xml:space="preserve"> </w:t>
      </w:r>
      <w:r w:rsidRPr="00CA4D75">
        <w:rPr>
          <w:sz w:val="22"/>
          <w:szCs w:val="22"/>
        </w:rPr>
        <w:t>First</w:t>
      </w:r>
      <w:r>
        <w:rPr>
          <w:sz w:val="22"/>
          <w:szCs w:val="22"/>
        </w:rPr>
        <w:t>, as to [the buyers’] claim for R34 736.06 based on the irrecoverable debt owed by Clicks</w:t>
      </w:r>
      <w:r w:rsidR="00360FC2">
        <w:rPr>
          <w:sz w:val="22"/>
          <w:szCs w:val="22"/>
        </w:rPr>
        <w:t>:</w:t>
      </w:r>
      <w:r>
        <w:rPr>
          <w:sz w:val="22"/>
          <w:szCs w:val="22"/>
        </w:rPr>
        <w:t xml:space="preserve"> as I was preparing a note for you on this topic, I realised that I made an error in one of my key assumptions, which means that the respondents are correct. As a result, my instruction is to ask you to set off the amount of R34 736.06 against any monetary sum that you may award to my client.</w:t>
      </w:r>
    </w:p>
    <w:p w14:paraId="2B1E27DD" w14:textId="72C2837A" w:rsidR="00CA4D75" w:rsidRPr="00CA4D75" w:rsidRDefault="00CA4D75" w:rsidP="009437DD">
      <w:pPr>
        <w:spacing w:line="360" w:lineRule="auto"/>
        <w:jc w:val="both"/>
        <w:rPr>
          <w:sz w:val="22"/>
          <w:szCs w:val="22"/>
        </w:rPr>
      </w:pPr>
      <w:r>
        <w:rPr>
          <w:sz w:val="22"/>
          <w:szCs w:val="22"/>
        </w:rPr>
        <w:t>(b)</w:t>
      </w:r>
      <w:r w:rsidR="006B3C15">
        <w:rPr>
          <w:sz w:val="22"/>
          <w:szCs w:val="22"/>
        </w:rPr>
        <w:t xml:space="preserve"> </w:t>
      </w:r>
      <w:r w:rsidR="00360FC2">
        <w:rPr>
          <w:sz w:val="22"/>
          <w:szCs w:val="22"/>
        </w:rPr>
        <w:t>S</w:t>
      </w:r>
      <w:r>
        <w:rPr>
          <w:sz w:val="22"/>
          <w:szCs w:val="22"/>
        </w:rPr>
        <w:t xml:space="preserve">econdly, as to the issue of </w:t>
      </w:r>
      <w:r w:rsidRPr="004827A9">
        <w:rPr>
          <w:i/>
          <w:sz w:val="22"/>
          <w:szCs w:val="22"/>
        </w:rPr>
        <w:t>restitutio in integrum</w:t>
      </w:r>
      <w:r>
        <w:rPr>
          <w:sz w:val="22"/>
          <w:szCs w:val="22"/>
        </w:rPr>
        <w:t xml:space="preserve">: [the respondents’ counsel] and I have looked at the law and are in </w:t>
      </w:r>
      <w:r w:rsidR="004A5DB0">
        <w:rPr>
          <w:sz w:val="22"/>
          <w:szCs w:val="22"/>
        </w:rPr>
        <w:t>agreement</w:t>
      </w:r>
      <w:r>
        <w:rPr>
          <w:sz w:val="22"/>
          <w:szCs w:val="22"/>
        </w:rPr>
        <w:t xml:space="preserve"> that, if you find that the respondents are entitled to resile from the </w:t>
      </w:r>
      <w:r w:rsidR="004A5DB0">
        <w:rPr>
          <w:sz w:val="22"/>
          <w:szCs w:val="22"/>
        </w:rPr>
        <w:t>agreement</w:t>
      </w:r>
      <w:r>
        <w:rPr>
          <w:sz w:val="22"/>
          <w:szCs w:val="22"/>
        </w:rPr>
        <w:t>, there will need to be evidence on whether (a) restitution may be ordered, and (b) if so, on what terms. [He</w:t>
      </w:r>
      <w:r w:rsidR="00934FBC">
        <w:rPr>
          <w:sz w:val="22"/>
          <w:szCs w:val="22"/>
        </w:rPr>
        <w:t>]</w:t>
      </w:r>
      <w:r>
        <w:rPr>
          <w:sz w:val="22"/>
          <w:szCs w:val="22"/>
        </w:rPr>
        <w:t xml:space="preserve"> and I are in agreement that much of the relevant evidence </w:t>
      </w:r>
      <w:r w:rsidR="00E44B48">
        <w:rPr>
          <w:sz w:val="22"/>
          <w:szCs w:val="22"/>
        </w:rPr>
        <w:t xml:space="preserve">already exists in the papers, transcript and record of this matter. However, either party may wish to top up that evidence with something further, either in the form of reports, documents or oral evidence.  </w:t>
      </w:r>
      <w:r>
        <w:rPr>
          <w:sz w:val="22"/>
          <w:szCs w:val="22"/>
        </w:rPr>
        <w:t xml:space="preserve"> </w:t>
      </w:r>
    </w:p>
    <w:p w14:paraId="3EEC017B" w14:textId="77777777" w:rsidR="005819E6" w:rsidRPr="00B73726" w:rsidRDefault="00B35100" w:rsidP="009437DD">
      <w:pPr>
        <w:spacing w:line="360" w:lineRule="auto"/>
        <w:jc w:val="both"/>
        <w:rPr>
          <w:sz w:val="22"/>
          <w:szCs w:val="22"/>
        </w:rPr>
      </w:pPr>
      <w:r>
        <w:rPr>
          <w:sz w:val="22"/>
          <w:szCs w:val="22"/>
        </w:rPr>
        <w:t xml:space="preserve">You will recall that we had already </w:t>
      </w:r>
      <w:r w:rsidR="005819E6" w:rsidRPr="00B73726">
        <w:rPr>
          <w:sz w:val="22"/>
          <w:szCs w:val="22"/>
        </w:rPr>
        <w:t>all agreed that, should you uphold any of the respondents’ counterclaims that still require evidence o</w:t>
      </w:r>
      <w:r>
        <w:rPr>
          <w:sz w:val="22"/>
          <w:szCs w:val="22"/>
        </w:rPr>
        <w:t>n</w:t>
      </w:r>
      <w:r w:rsidR="005819E6" w:rsidRPr="00B73726">
        <w:rPr>
          <w:sz w:val="22"/>
          <w:szCs w:val="22"/>
        </w:rPr>
        <w:t xml:space="preserve"> quantum (the best example of which is Clicks; another example is some of the claims based on missing assets)</w:t>
      </w:r>
      <w:r>
        <w:rPr>
          <w:sz w:val="22"/>
          <w:szCs w:val="22"/>
        </w:rPr>
        <w:t>,</w:t>
      </w:r>
      <w:r w:rsidR="005819E6" w:rsidRPr="00B73726">
        <w:rPr>
          <w:sz w:val="22"/>
          <w:szCs w:val="22"/>
        </w:rPr>
        <w:t xml:space="preserve"> a further hearing on quantum will be necessary.</w:t>
      </w:r>
      <w:r w:rsidR="00B73726" w:rsidRPr="00B73726">
        <w:rPr>
          <w:sz w:val="22"/>
          <w:szCs w:val="22"/>
        </w:rPr>
        <w:t xml:space="preserve"> So our suggestion on how to proceed is the following:</w:t>
      </w:r>
    </w:p>
    <w:p w14:paraId="7F01AE5C" w14:textId="3DEA7B92" w:rsidR="005819E6" w:rsidRPr="00B73726" w:rsidRDefault="00B73726" w:rsidP="009437DD">
      <w:pPr>
        <w:spacing w:line="360" w:lineRule="auto"/>
        <w:jc w:val="both"/>
        <w:rPr>
          <w:sz w:val="22"/>
          <w:szCs w:val="22"/>
        </w:rPr>
      </w:pPr>
      <w:r w:rsidRPr="00B73726">
        <w:rPr>
          <w:sz w:val="22"/>
          <w:szCs w:val="22"/>
        </w:rPr>
        <w:lastRenderedPageBreak/>
        <w:t>(1)</w:t>
      </w:r>
      <w:r w:rsidRPr="00B73726">
        <w:rPr>
          <w:sz w:val="22"/>
          <w:szCs w:val="22"/>
        </w:rPr>
        <w:tab/>
      </w:r>
      <w:r w:rsidR="005819E6" w:rsidRPr="00B73726">
        <w:rPr>
          <w:sz w:val="22"/>
          <w:szCs w:val="22"/>
        </w:rPr>
        <w:t>If you uphold the counterclaims (other than those, for example</w:t>
      </w:r>
      <w:r w:rsidR="00B04D02" w:rsidRPr="00B73726">
        <w:rPr>
          <w:sz w:val="22"/>
          <w:szCs w:val="22"/>
        </w:rPr>
        <w:t xml:space="preserve"> the claim relating to the rebate to Clicks of R144 557.94, where the amount </w:t>
      </w:r>
      <w:r w:rsidR="00656691" w:rsidRPr="00B73726">
        <w:rPr>
          <w:sz w:val="22"/>
          <w:szCs w:val="22"/>
        </w:rPr>
        <w:t xml:space="preserve">is </w:t>
      </w:r>
      <w:r w:rsidR="00B04D02" w:rsidRPr="00B73726">
        <w:rPr>
          <w:sz w:val="22"/>
          <w:szCs w:val="22"/>
        </w:rPr>
        <w:t xml:space="preserve">clear) </w:t>
      </w:r>
      <w:r w:rsidR="00FB1372" w:rsidRPr="00B73726">
        <w:rPr>
          <w:sz w:val="22"/>
          <w:szCs w:val="22"/>
        </w:rPr>
        <w:t xml:space="preserve">or the fraud </w:t>
      </w:r>
      <w:r w:rsidR="00B04D02" w:rsidRPr="00B73726">
        <w:rPr>
          <w:sz w:val="22"/>
          <w:szCs w:val="22"/>
        </w:rPr>
        <w:t xml:space="preserve">claims </w:t>
      </w:r>
      <w:r w:rsidR="00FB1372" w:rsidRPr="00B73726">
        <w:rPr>
          <w:sz w:val="22"/>
          <w:szCs w:val="22"/>
        </w:rPr>
        <w:t>of the respondents</w:t>
      </w:r>
      <w:r w:rsidR="00B04D02" w:rsidRPr="00B73726">
        <w:rPr>
          <w:sz w:val="22"/>
          <w:szCs w:val="22"/>
        </w:rPr>
        <w:t>, a further hearing on remedy will be necessary.</w:t>
      </w:r>
    </w:p>
    <w:p w14:paraId="7E8B0816" w14:textId="77777777" w:rsidR="00B04D02" w:rsidRPr="00B73726" w:rsidRDefault="00B73726" w:rsidP="009437DD">
      <w:pPr>
        <w:spacing w:line="360" w:lineRule="auto"/>
        <w:jc w:val="both"/>
        <w:rPr>
          <w:sz w:val="22"/>
          <w:szCs w:val="22"/>
        </w:rPr>
      </w:pPr>
      <w:r w:rsidRPr="00B73726">
        <w:rPr>
          <w:sz w:val="22"/>
          <w:szCs w:val="22"/>
        </w:rPr>
        <w:t xml:space="preserve">(2) </w:t>
      </w:r>
      <w:r w:rsidRPr="00B73726">
        <w:rPr>
          <w:sz w:val="22"/>
          <w:szCs w:val="22"/>
        </w:rPr>
        <w:tab/>
      </w:r>
      <w:r w:rsidR="00E44B48">
        <w:rPr>
          <w:sz w:val="22"/>
          <w:szCs w:val="22"/>
        </w:rPr>
        <w:t>We are of the view that 1 day will be sufficient for such a hearing, if we perhaps start at 9</w:t>
      </w:r>
      <w:r w:rsidR="003C05F0">
        <w:rPr>
          <w:sz w:val="22"/>
          <w:szCs w:val="22"/>
        </w:rPr>
        <w:t>h00</w:t>
      </w:r>
      <w:r w:rsidR="00E44B48">
        <w:rPr>
          <w:sz w:val="22"/>
          <w:szCs w:val="22"/>
        </w:rPr>
        <w:t xml:space="preserve"> and try to be as efficient as possible.</w:t>
      </w:r>
    </w:p>
    <w:p w14:paraId="36C2402F" w14:textId="70B1B8C2" w:rsidR="003C05F0" w:rsidRDefault="00B73726" w:rsidP="009437DD">
      <w:pPr>
        <w:spacing w:line="360" w:lineRule="auto"/>
        <w:jc w:val="both"/>
        <w:rPr>
          <w:sz w:val="22"/>
          <w:szCs w:val="22"/>
        </w:rPr>
      </w:pPr>
      <w:r w:rsidRPr="00B73726">
        <w:rPr>
          <w:sz w:val="22"/>
          <w:szCs w:val="22"/>
        </w:rPr>
        <w:t>(3)</w:t>
      </w:r>
      <w:r w:rsidRPr="00B73726">
        <w:rPr>
          <w:sz w:val="22"/>
          <w:szCs w:val="22"/>
        </w:rPr>
        <w:tab/>
      </w:r>
      <w:r w:rsidR="00B04D02" w:rsidRPr="00B73726">
        <w:rPr>
          <w:sz w:val="22"/>
          <w:szCs w:val="22"/>
        </w:rPr>
        <w:t>Our suggested road ahead is for you to go ahead and make your award when you are ready and then, if a further hearing on remedy</w:t>
      </w:r>
      <w:r w:rsidRPr="00B73726">
        <w:rPr>
          <w:sz w:val="22"/>
          <w:szCs w:val="22"/>
        </w:rPr>
        <w:t xml:space="preserve"> is necessary</w:t>
      </w:r>
      <w:r w:rsidR="00B04D02" w:rsidRPr="00B73726">
        <w:rPr>
          <w:sz w:val="22"/>
          <w:szCs w:val="22"/>
        </w:rPr>
        <w:t xml:space="preserve"> (which will of course depend on your conclusion in the award), we will between us agree </w:t>
      </w:r>
      <w:r w:rsidR="0079051C">
        <w:rPr>
          <w:sz w:val="22"/>
          <w:szCs w:val="22"/>
        </w:rPr>
        <w:t xml:space="preserve">[on] </w:t>
      </w:r>
      <w:r w:rsidR="00B04D02" w:rsidRPr="00B73726">
        <w:rPr>
          <w:sz w:val="22"/>
          <w:szCs w:val="22"/>
        </w:rPr>
        <w:t>a date for the hearing</w:t>
      </w:r>
      <w:r w:rsidR="00B35100">
        <w:rPr>
          <w:sz w:val="22"/>
          <w:szCs w:val="22"/>
        </w:rPr>
        <w:t xml:space="preserve"> subject to an understanding (which could, if needs be, be reflected in your award) that:</w:t>
      </w:r>
      <w:r w:rsidR="00E44B48">
        <w:rPr>
          <w:sz w:val="22"/>
          <w:szCs w:val="22"/>
        </w:rPr>
        <w:t xml:space="preserve"> </w:t>
      </w:r>
    </w:p>
    <w:p w14:paraId="55251F38" w14:textId="394114AC" w:rsidR="003C05F0" w:rsidRDefault="00D61178" w:rsidP="009437DD">
      <w:pPr>
        <w:spacing w:line="360" w:lineRule="auto"/>
        <w:jc w:val="both"/>
        <w:rPr>
          <w:sz w:val="22"/>
          <w:szCs w:val="22"/>
        </w:rPr>
      </w:pPr>
      <w:r>
        <w:rPr>
          <w:sz w:val="22"/>
          <w:szCs w:val="22"/>
        </w:rPr>
        <w:t>(a)</w:t>
      </w:r>
      <w:r w:rsidR="00E44B48">
        <w:rPr>
          <w:sz w:val="22"/>
          <w:szCs w:val="22"/>
        </w:rPr>
        <w:t xml:space="preserve"> </w:t>
      </w:r>
      <w:r w:rsidR="00C53C6B">
        <w:rPr>
          <w:sz w:val="22"/>
          <w:szCs w:val="22"/>
        </w:rPr>
        <w:t>Either party who wishes to lead evidence that is additional to what is already on record must notify the other party and you 14 days before the remedy hearing</w:t>
      </w:r>
      <w:r w:rsidR="00E44B48">
        <w:rPr>
          <w:sz w:val="22"/>
          <w:szCs w:val="22"/>
        </w:rPr>
        <w:t xml:space="preserve">, </w:t>
      </w:r>
    </w:p>
    <w:p w14:paraId="0C2B8083" w14:textId="77777777" w:rsidR="00E44B48" w:rsidRDefault="00C53C6B" w:rsidP="009437DD">
      <w:pPr>
        <w:spacing w:line="360" w:lineRule="auto"/>
        <w:jc w:val="both"/>
        <w:rPr>
          <w:sz w:val="22"/>
          <w:szCs w:val="22"/>
        </w:rPr>
      </w:pPr>
      <w:r>
        <w:rPr>
          <w:sz w:val="22"/>
          <w:szCs w:val="22"/>
        </w:rPr>
        <w:t>(b)</w:t>
      </w:r>
      <w:r w:rsidR="00E44B48">
        <w:rPr>
          <w:sz w:val="22"/>
          <w:szCs w:val="22"/>
        </w:rPr>
        <w:t xml:space="preserve"> </w:t>
      </w:r>
      <w:r>
        <w:rPr>
          <w:sz w:val="22"/>
          <w:szCs w:val="22"/>
        </w:rPr>
        <w:t>The p</w:t>
      </w:r>
      <w:r w:rsidR="008B70D5">
        <w:rPr>
          <w:sz w:val="22"/>
          <w:szCs w:val="22"/>
        </w:rPr>
        <w:t>a</w:t>
      </w:r>
      <w:r>
        <w:rPr>
          <w:sz w:val="22"/>
          <w:szCs w:val="22"/>
        </w:rPr>
        <w:t>rties must present a case in the form of written submissions, to be sent to you by no later than the week before the hearing on remedy</w:t>
      </w:r>
      <w:r w:rsidR="008B70D5">
        <w:rPr>
          <w:sz w:val="22"/>
          <w:szCs w:val="22"/>
        </w:rPr>
        <w:t>.</w:t>
      </w:r>
    </w:p>
    <w:p w14:paraId="7BEDDAE8" w14:textId="77777777" w:rsidR="00B04D02" w:rsidRPr="00B73726" w:rsidRDefault="00E44B48" w:rsidP="009437DD">
      <w:pPr>
        <w:spacing w:line="360" w:lineRule="auto"/>
        <w:jc w:val="both"/>
        <w:rPr>
          <w:sz w:val="22"/>
          <w:szCs w:val="22"/>
        </w:rPr>
      </w:pPr>
      <w:r>
        <w:rPr>
          <w:sz w:val="22"/>
          <w:szCs w:val="22"/>
        </w:rPr>
        <w:t>We hope that you are okay with all of the above</w:t>
      </w:r>
      <w:r w:rsidR="003C05F0">
        <w:rPr>
          <w:sz w:val="22"/>
          <w:szCs w:val="22"/>
        </w:rPr>
        <w:t>.</w:t>
      </w:r>
      <w:r>
        <w:rPr>
          <w:sz w:val="22"/>
          <w:szCs w:val="22"/>
        </w:rPr>
        <w:t xml:space="preserve"> Please let us know if you wish to canvass any of these issues further.</w:t>
      </w:r>
      <w:r w:rsidR="00B04D02" w:rsidRPr="00B73726">
        <w:rPr>
          <w:sz w:val="22"/>
          <w:szCs w:val="22"/>
        </w:rPr>
        <w:t>’</w:t>
      </w:r>
    </w:p>
    <w:p w14:paraId="6EF3F4C2" w14:textId="77777777" w:rsidR="00BB7456" w:rsidRDefault="00B04D02" w:rsidP="009437DD">
      <w:pPr>
        <w:spacing w:line="360" w:lineRule="auto"/>
        <w:jc w:val="both"/>
      </w:pPr>
      <w:r>
        <w:t>Th</w:t>
      </w:r>
      <w:r w:rsidR="00B73726">
        <w:t>is</w:t>
      </w:r>
      <w:r>
        <w:t xml:space="preserve"> </w:t>
      </w:r>
      <w:r w:rsidR="00232EC5">
        <w:t xml:space="preserve">email </w:t>
      </w:r>
      <w:r w:rsidR="00B73726">
        <w:t xml:space="preserve">was </w:t>
      </w:r>
      <w:r w:rsidR="00E26257">
        <w:t>‘</w:t>
      </w:r>
      <w:r w:rsidR="00FB72D1">
        <w:t>noted</w:t>
      </w:r>
      <w:r w:rsidR="00E26257">
        <w:t>’</w:t>
      </w:r>
      <w:r w:rsidR="00FB72D1">
        <w:t xml:space="preserve"> </w:t>
      </w:r>
      <w:r>
        <w:t xml:space="preserve">by the arbitrator </w:t>
      </w:r>
      <w:r w:rsidR="00232EC5">
        <w:t xml:space="preserve">in a reply </w:t>
      </w:r>
      <w:r>
        <w:t xml:space="preserve">on 1 July 2019. </w:t>
      </w:r>
    </w:p>
    <w:p w14:paraId="2001A7B2" w14:textId="77777777" w:rsidR="00BB7456" w:rsidRDefault="00BB7456" w:rsidP="009437DD">
      <w:pPr>
        <w:spacing w:line="360" w:lineRule="auto"/>
        <w:jc w:val="both"/>
      </w:pPr>
    </w:p>
    <w:p w14:paraId="7A8B1CD2" w14:textId="607A77E4" w:rsidR="00FB1372" w:rsidRDefault="00FD341B" w:rsidP="00FD341B">
      <w:pPr>
        <w:spacing w:line="360" w:lineRule="auto"/>
        <w:jc w:val="both"/>
      </w:pPr>
      <w:r>
        <w:rPr>
          <w:szCs w:val="24"/>
        </w:rPr>
        <w:t>[7]</w:t>
      </w:r>
      <w:r>
        <w:rPr>
          <w:szCs w:val="24"/>
        </w:rPr>
        <w:tab/>
      </w:r>
      <w:r w:rsidR="004D2E2B" w:rsidRPr="0079051C">
        <w:t>The arbitrator</w:t>
      </w:r>
      <w:r w:rsidR="004D2E2B">
        <w:t xml:space="preserve"> </w:t>
      </w:r>
      <w:r w:rsidR="00232EC5">
        <w:t xml:space="preserve">issued </w:t>
      </w:r>
      <w:r w:rsidR="004D2E2B">
        <w:t>his award on 10 July 2019. He</w:t>
      </w:r>
      <w:r w:rsidR="00BB7456">
        <w:t xml:space="preserve"> </w:t>
      </w:r>
      <w:r w:rsidR="00DF72D5">
        <w:t>d</w:t>
      </w:r>
      <w:r w:rsidR="00FB72D1">
        <w:t xml:space="preserve">ismissed the </w:t>
      </w:r>
      <w:r w:rsidR="00123928">
        <w:t xml:space="preserve">allegations of </w:t>
      </w:r>
      <w:r w:rsidR="00FB72D1">
        <w:t>fraud</w:t>
      </w:r>
      <w:r w:rsidR="00BB7456">
        <w:t>,</w:t>
      </w:r>
      <w:r w:rsidR="00FB72D1">
        <w:t xml:space="preserve"> </w:t>
      </w:r>
      <w:r w:rsidR="003B088B">
        <w:t>which meant</w:t>
      </w:r>
      <w:r w:rsidR="00E26257">
        <w:t xml:space="preserve"> </w:t>
      </w:r>
      <w:r w:rsidR="00FB72D1">
        <w:t xml:space="preserve">that the buyers were not entitled to resile from the </w:t>
      </w:r>
      <w:r w:rsidR="004A5DB0">
        <w:t>sale agreement</w:t>
      </w:r>
      <w:r w:rsidR="00E26257">
        <w:t xml:space="preserve"> (this </w:t>
      </w:r>
      <w:r w:rsidR="003B088B">
        <w:t>finding ha</w:t>
      </w:r>
      <w:r w:rsidR="00E26257">
        <w:t xml:space="preserve">s </w:t>
      </w:r>
      <w:r w:rsidR="003B088B">
        <w:t xml:space="preserve">not been </w:t>
      </w:r>
      <w:r w:rsidR="00DB776B">
        <w:t xml:space="preserve">subsequently </w:t>
      </w:r>
      <w:r w:rsidR="003B088B">
        <w:t>challenged</w:t>
      </w:r>
      <w:r w:rsidR="00E26257">
        <w:t>)</w:t>
      </w:r>
      <w:r w:rsidR="00BB7456">
        <w:t xml:space="preserve">; </w:t>
      </w:r>
      <w:r w:rsidR="00DF72D5">
        <w:t>u</w:t>
      </w:r>
      <w:r w:rsidR="00BF6B7A">
        <w:t xml:space="preserve">pheld the </w:t>
      </w:r>
      <w:r w:rsidR="00981B44">
        <w:t xml:space="preserve">Clicks claim </w:t>
      </w:r>
      <w:r w:rsidR="00DF614A">
        <w:t xml:space="preserve">to the extent that he found that </w:t>
      </w:r>
      <w:r w:rsidR="00BF6B7A">
        <w:t xml:space="preserve">the buyers were entitled to </w:t>
      </w:r>
      <w:r w:rsidR="00E94466">
        <w:t xml:space="preserve">the </w:t>
      </w:r>
      <w:r w:rsidR="00BF6B7A">
        <w:t>credit of R34 736.06;</w:t>
      </w:r>
      <w:r w:rsidR="00BB7456">
        <w:t xml:space="preserve"> </w:t>
      </w:r>
      <w:r w:rsidR="00DF614A">
        <w:t xml:space="preserve">found in respect of the </w:t>
      </w:r>
      <w:r w:rsidR="005819E6">
        <w:t>s</w:t>
      </w:r>
      <w:r w:rsidR="00981B44">
        <w:t xml:space="preserve">tock </w:t>
      </w:r>
      <w:r w:rsidR="005819E6">
        <w:t xml:space="preserve">claim that </w:t>
      </w:r>
      <w:r w:rsidR="00E44B48">
        <w:t xml:space="preserve">the purchase price fell </w:t>
      </w:r>
      <w:r w:rsidR="00D82B3E">
        <w:t xml:space="preserve">to </w:t>
      </w:r>
      <w:r w:rsidR="00E44B48">
        <w:t>be reduced by R3 958 209.14</w:t>
      </w:r>
      <w:r w:rsidR="00FB1372">
        <w:t>;</w:t>
      </w:r>
      <w:r w:rsidR="00E44B48">
        <w:rPr>
          <w:rStyle w:val="FootnoteReference"/>
        </w:rPr>
        <w:footnoteReference w:id="12"/>
      </w:r>
      <w:r w:rsidR="00FB1372">
        <w:t xml:space="preserve"> </w:t>
      </w:r>
      <w:r w:rsidR="00BF6B7A">
        <w:t>d</w:t>
      </w:r>
      <w:r w:rsidR="005819E6">
        <w:t>ismissed the further counterclaims</w:t>
      </w:r>
      <w:r w:rsidR="00BF6B7A">
        <w:t>;</w:t>
      </w:r>
      <w:r w:rsidR="00BB7456">
        <w:t xml:space="preserve"> d</w:t>
      </w:r>
      <w:r w:rsidR="00BF6B7A">
        <w:t xml:space="preserve">etermined that the buyers </w:t>
      </w:r>
      <w:r w:rsidR="000A40C6">
        <w:t xml:space="preserve">jointly and severally </w:t>
      </w:r>
      <w:r w:rsidR="00BF6B7A">
        <w:t xml:space="preserve">were liable for the balance of the purchase price of R11 071 809.04 (R15 064 754.24 less </w:t>
      </w:r>
      <w:r w:rsidR="00FC40BF">
        <w:t xml:space="preserve">R34 736.06 less </w:t>
      </w:r>
      <w:r w:rsidR="00BF6B7A">
        <w:t>R3</w:t>
      </w:r>
      <w:r w:rsidR="00F76CC9">
        <w:t> </w:t>
      </w:r>
      <w:r w:rsidR="00BF6B7A">
        <w:t>9</w:t>
      </w:r>
      <w:r w:rsidR="00F76CC9">
        <w:t>58 209.14</w:t>
      </w:r>
      <w:r w:rsidR="00BF6B7A">
        <w:t>)</w:t>
      </w:r>
      <w:r w:rsidR="00DF72D5">
        <w:t>,</w:t>
      </w:r>
      <w:r w:rsidR="00BF6B7A">
        <w:t xml:space="preserve"> together with interest on the amount of R11 071 809.04 </w:t>
      </w:r>
      <w:r w:rsidR="000A40C6">
        <w:t>at the rate of prime plus 2% from 28 February 2018 to date of payment</w:t>
      </w:r>
      <w:r w:rsidR="00BB7456">
        <w:t>; directed</w:t>
      </w:r>
      <w:r w:rsidR="00E26257">
        <w:t xml:space="preserve"> </w:t>
      </w:r>
      <w:r w:rsidR="000A40C6">
        <w:t xml:space="preserve">the buyers </w:t>
      </w:r>
      <w:r w:rsidR="00DF72D5">
        <w:t xml:space="preserve">and surety </w:t>
      </w:r>
      <w:r w:rsidR="000A40C6">
        <w:t xml:space="preserve">to pay two thirds of the seller’s costs of the arbitration to be taxed on the </w:t>
      </w:r>
      <w:r w:rsidR="00DB776B">
        <w:t xml:space="preserve">high court </w:t>
      </w:r>
      <w:r w:rsidR="000A40C6">
        <w:t>scale on a party and party basis</w:t>
      </w:r>
      <w:r w:rsidR="00BB7456">
        <w:t>;</w:t>
      </w:r>
      <w:r w:rsidR="00DF72D5">
        <w:t xml:space="preserve"> and direct</w:t>
      </w:r>
      <w:r w:rsidR="00E26257">
        <w:t>ed</w:t>
      </w:r>
      <w:r w:rsidR="00DF72D5">
        <w:t xml:space="preserve"> that the liability of the buyers and surety to make th</w:t>
      </w:r>
      <w:r w:rsidR="00BB7456">
        <w:t xml:space="preserve">e </w:t>
      </w:r>
      <w:r w:rsidR="00DF72D5">
        <w:t xml:space="preserve">payments in the award </w:t>
      </w:r>
      <w:r w:rsidR="00BB7456">
        <w:t xml:space="preserve">and </w:t>
      </w:r>
      <w:r w:rsidR="00232EC5">
        <w:t xml:space="preserve">the </w:t>
      </w:r>
      <w:r w:rsidR="00DF72D5">
        <w:t>costs would be joint and several</w:t>
      </w:r>
      <w:r w:rsidR="005819E6">
        <w:t>.</w:t>
      </w:r>
    </w:p>
    <w:p w14:paraId="45DD973B" w14:textId="77777777" w:rsidR="00AA4D37" w:rsidRDefault="00AA4D37" w:rsidP="009437DD">
      <w:pPr>
        <w:spacing w:line="360" w:lineRule="auto"/>
        <w:jc w:val="both"/>
      </w:pPr>
    </w:p>
    <w:p w14:paraId="60FF7E7C" w14:textId="630C0DCE" w:rsidR="00AA4D37" w:rsidRDefault="00FD341B" w:rsidP="00FD341B">
      <w:pPr>
        <w:spacing w:line="360" w:lineRule="auto"/>
        <w:jc w:val="both"/>
      </w:pPr>
      <w:r>
        <w:rPr>
          <w:szCs w:val="24"/>
        </w:rPr>
        <w:t>[8]</w:t>
      </w:r>
      <w:r>
        <w:rPr>
          <w:szCs w:val="24"/>
        </w:rPr>
        <w:tab/>
      </w:r>
      <w:r w:rsidR="000A40C6" w:rsidRPr="0079051C">
        <w:t>D</w:t>
      </w:r>
      <w:r w:rsidR="00232D0B" w:rsidRPr="0079051C">
        <w:t>issatisfied</w:t>
      </w:r>
      <w:r w:rsidR="00232D0B">
        <w:t xml:space="preserve"> with the arbitrator’s award, the buyers launched a review to the </w:t>
      </w:r>
      <w:r w:rsidR="00557E6F">
        <w:t xml:space="preserve">Gauteng </w:t>
      </w:r>
      <w:r w:rsidR="00225713">
        <w:t xml:space="preserve">Division of the </w:t>
      </w:r>
      <w:r w:rsidR="00557E6F">
        <w:t xml:space="preserve">High Court, Johannesburg (the </w:t>
      </w:r>
      <w:r w:rsidR="00CB6925">
        <w:t>high court</w:t>
      </w:r>
      <w:r w:rsidR="00557E6F">
        <w:t>)</w:t>
      </w:r>
      <w:r w:rsidR="00271FB9">
        <w:t>, based, as subsequently conc</w:t>
      </w:r>
      <w:r w:rsidR="001176D3">
        <w:t>eded, on the provisions of s 33</w:t>
      </w:r>
      <w:r w:rsidR="00271FB9">
        <w:t>(1)(</w:t>
      </w:r>
      <w:r w:rsidR="00271FB9" w:rsidRPr="00271FB9">
        <w:rPr>
          <w:i/>
          <w:iCs/>
        </w:rPr>
        <w:t>b</w:t>
      </w:r>
      <w:r w:rsidR="00271FB9">
        <w:t xml:space="preserve">) of the </w:t>
      </w:r>
      <w:r w:rsidR="00AA4D37">
        <w:t>Arbitration Act 42 of 1965 (the Act)</w:t>
      </w:r>
      <w:r w:rsidR="001176D3">
        <w:t>. Section 33</w:t>
      </w:r>
      <w:r w:rsidR="0027507C">
        <w:t>(1)(</w:t>
      </w:r>
      <w:r w:rsidR="0027507C">
        <w:rPr>
          <w:i/>
          <w:iCs/>
        </w:rPr>
        <w:t>b)</w:t>
      </w:r>
      <w:r w:rsidR="0027507C">
        <w:t xml:space="preserve"> </w:t>
      </w:r>
      <w:r w:rsidR="00271FB9">
        <w:t>provide</w:t>
      </w:r>
      <w:r w:rsidR="0027507C">
        <w:t>s</w:t>
      </w:r>
      <w:r w:rsidR="00271FB9">
        <w:t xml:space="preserve"> that:</w:t>
      </w:r>
    </w:p>
    <w:p w14:paraId="44A442E6" w14:textId="77777777" w:rsidR="00AA4D37" w:rsidRPr="00D232D9" w:rsidRDefault="00DB776B" w:rsidP="009437DD">
      <w:pPr>
        <w:spacing w:line="360" w:lineRule="auto"/>
        <w:jc w:val="both"/>
        <w:rPr>
          <w:sz w:val="22"/>
          <w:szCs w:val="22"/>
        </w:rPr>
      </w:pPr>
      <w:r>
        <w:rPr>
          <w:sz w:val="22"/>
          <w:szCs w:val="22"/>
        </w:rPr>
        <w:t xml:space="preserve">‘(1) </w:t>
      </w:r>
      <w:r w:rsidR="00AA4D37" w:rsidRPr="00D232D9">
        <w:rPr>
          <w:sz w:val="22"/>
          <w:szCs w:val="22"/>
        </w:rPr>
        <w:t>Where –</w:t>
      </w:r>
    </w:p>
    <w:p w14:paraId="6CA741F3" w14:textId="57A4A99F" w:rsidR="00AA4D37" w:rsidRPr="00FD341B" w:rsidRDefault="00FD341B" w:rsidP="00FD341B">
      <w:pPr>
        <w:spacing w:line="360" w:lineRule="auto"/>
        <w:ind w:left="360" w:hanging="360"/>
        <w:jc w:val="both"/>
        <w:rPr>
          <w:sz w:val="22"/>
          <w:szCs w:val="22"/>
        </w:rPr>
      </w:pPr>
      <w:r w:rsidRPr="00D232D9">
        <w:rPr>
          <w:i/>
          <w:iCs/>
          <w:sz w:val="22"/>
          <w:szCs w:val="22"/>
        </w:rPr>
        <w:t>(a)</w:t>
      </w:r>
      <w:r w:rsidRPr="00D232D9">
        <w:rPr>
          <w:i/>
          <w:iCs/>
          <w:sz w:val="22"/>
          <w:szCs w:val="22"/>
        </w:rPr>
        <w:tab/>
      </w:r>
      <w:r w:rsidR="00DB776B" w:rsidRPr="00FD341B">
        <w:rPr>
          <w:sz w:val="22"/>
          <w:szCs w:val="22"/>
        </w:rPr>
        <w:tab/>
      </w:r>
      <w:r w:rsidR="008B47B9" w:rsidRPr="00FD341B">
        <w:rPr>
          <w:sz w:val="22"/>
          <w:szCs w:val="22"/>
        </w:rPr>
        <w:t xml:space="preserve">. . . </w:t>
      </w:r>
    </w:p>
    <w:p w14:paraId="679A03A8" w14:textId="4FE1384A" w:rsidR="00AA4D37" w:rsidRPr="00FD341B" w:rsidRDefault="00FD341B" w:rsidP="00FD341B">
      <w:pPr>
        <w:spacing w:line="360" w:lineRule="auto"/>
        <w:jc w:val="both"/>
        <w:rPr>
          <w:sz w:val="22"/>
          <w:szCs w:val="22"/>
        </w:rPr>
      </w:pPr>
      <w:r w:rsidRPr="00D232D9">
        <w:rPr>
          <w:i/>
          <w:iCs/>
          <w:sz w:val="22"/>
          <w:szCs w:val="22"/>
        </w:rPr>
        <w:t>(b)</w:t>
      </w:r>
      <w:r w:rsidRPr="00D232D9">
        <w:rPr>
          <w:i/>
          <w:iCs/>
          <w:sz w:val="22"/>
          <w:szCs w:val="22"/>
        </w:rPr>
        <w:tab/>
      </w:r>
      <w:r w:rsidR="00DB776B" w:rsidRPr="00FD341B">
        <w:rPr>
          <w:sz w:val="22"/>
          <w:szCs w:val="22"/>
        </w:rPr>
        <w:t>an arbitration tribunal has committed any gross irregularity in the conduct of the arbitration proceedings or has exceeded its powers</w:t>
      </w:r>
      <w:r w:rsidR="00AA4D37" w:rsidRPr="00FD341B">
        <w:rPr>
          <w:sz w:val="22"/>
          <w:szCs w:val="22"/>
        </w:rPr>
        <w:t>; or</w:t>
      </w:r>
    </w:p>
    <w:p w14:paraId="1A8B31F4" w14:textId="02A9C4DD" w:rsidR="00AA4D37" w:rsidRPr="00FD341B" w:rsidRDefault="00FD341B" w:rsidP="00FD341B">
      <w:pPr>
        <w:spacing w:line="360" w:lineRule="auto"/>
        <w:ind w:left="360" w:hanging="360"/>
        <w:jc w:val="both"/>
        <w:rPr>
          <w:sz w:val="22"/>
          <w:szCs w:val="22"/>
        </w:rPr>
      </w:pPr>
      <w:r w:rsidRPr="00D232D9">
        <w:rPr>
          <w:i/>
          <w:iCs/>
          <w:sz w:val="22"/>
          <w:szCs w:val="22"/>
        </w:rPr>
        <w:t>(c)</w:t>
      </w:r>
      <w:r w:rsidRPr="00D232D9">
        <w:rPr>
          <w:i/>
          <w:iCs/>
          <w:sz w:val="22"/>
          <w:szCs w:val="22"/>
        </w:rPr>
        <w:tab/>
      </w:r>
      <w:r w:rsidR="00DB776B" w:rsidRPr="00FD341B">
        <w:rPr>
          <w:sz w:val="22"/>
          <w:szCs w:val="22"/>
        </w:rPr>
        <w:tab/>
      </w:r>
      <w:r w:rsidR="008B47B9" w:rsidRPr="00FD341B">
        <w:rPr>
          <w:sz w:val="22"/>
          <w:szCs w:val="22"/>
        </w:rPr>
        <w:t>. . .</w:t>
      </w:r>
    </w:p>
    <w:p w14:paraId="69082306" w14:textId="77777777" w:rsidR="00AA4D37" w:rsidRPr="00271FB9" w:rsidRDefault="00DB776B" w:rsidP="009437DD">
      <w:pPr>
        <w:spacing w:line="360" w:lineRule="auto"/>
        <w:jc w:val="both"/>
        <w:rPr>
          <w:sz w:val="22"/>
          <w:szCs w:val="22"/>
        </w:rPr>
      </w:pPr>
      <w:r w:rsidRPr="00DB776B">
        <w:rPr>
          <w:sz w:val="22"/>
          <w:szCs w:val="22"/>
        </w:rPr>
        <w:t>the court may, on the application of any party to the reference after due notice to the other party or</w:t>
      </w:r>
      <w:r>
        <w:rPr>
          <w:sz w:val="22"/>
          <w:szCs w:val="22"/>
        </w:rPr>
        <w:t xml:space="preserve"> </w:t>
      </w:r>
      <w:r w:rsidRPr="00DB776B">
        <w:rPr>
          <w:sz w:val="22"/>
          <w:szCs w:val="22"/>
        </w:rPr>
        <w:t>parties, make an order setting the award aside</w:t>
      </w:r>
      <w:r w:rsidR="00AA4D37" w:rsidRPr="00D232D9">
        <w:rPr>
          <w:sz w:val="22"/>
          <w:szCs w:val="22"/>
        </w:rPr>
        <w:t>.</w:t>
      </w:r>
      <w:r w:rsidR="00AA4D37">
        <w:rPr>
          <w:sz w:val="22"/>
          <w:szCs w:val="22"/>
        </w:rPr>
        <w:t>’</w:t>
      </w:r>
      <w:r w:rsidR="00AA4D37" w:rsidRPr="00D232D9">
        <w:rPr>
          <w:sz w:val="22"/>
          <w:szCs w:val="22"/>
        </w:rPr>
        <w:t xml:space="preserve"> </w:t>
      </w:r>
    </w:p>
    <w:p w14:paraId="78347EA9" w14:textId="77777777" w:rsidR="00AA4D37" w:rsidRDefault="00AA4D37" w:rsidP="009437DD">
      <w:pPr>
        <w:spacing w:line="360" w:lineRule="auto"/>
        <w:jc w:val="both"/>
      </w:pPr>
    </w:p>
    <w:p w14:paraId="10EBFF4D" w14:textId="05E66243" w:rsidR="00983729" w:rsidRDefault="00FD341B" w:rsidP="00FD341B">
      <w:pPr>
        <w:spacing w:line="360" w:lineRule="auto"/>
        <w:jc w:val="both"/>
      </w:pPr>
      <w:r>
        <w:rPr>
          <w:szCs w:val="24"/>
        </w:rPr>
        <w:t>[9]</w:t>
      </w:r>
      <w:r>
        <w:rPr>
          <w:szCs w:val="24"/>
        </w:rPr>
        <w:tab/>
      </w:r>
      <w:r w:rsidR="00AA4D37">
        <w:t xml:space="preserve">The specific grounds relied upon in support of the review included </w:t>
      </w:r>
      <w:r w:rsidR="00232D0B">
        <w:t>the following:</w:t>
      </w:r>
    </w:p>
    <w:p w14:paraId="48ADE1A6" w14:textId="3E92196E" w:rsidR="00D539B8" w:rsidRDefault="00FD341B" w:rsidP="00FD341B">
      <w:pPr>
        <w:spacing w:line="360" w:lineRule="auto"/>
        <w:jc w:val="both"/>
      </w:pPr>
      <w:r>
        <w:t>(a)</w:t>
      </w:r>
      <w:r>
        <w:tab/>
      </w:r>
      <w:r w:rsidR="00981B44">
        <w:t>T</w:t>
      </w:r>
      <w:r w:rsidR="00232D0B">
        <w:t>here was a</w:t>
      </w:r>
      <w:r w:rsidR="000A40C6">
        <w:t xml:space="preserve"> gross</w:t>
      </w:r>
      <w:r w:rsidR="00232D0B">
        <w:t xml:space="preserve"> irregularity in the conduct of the proceedings relating to the arbitrator’s decision </w:t>
      </w:r>
      <w:r w:rsidR="00FB1372">
        <w:t xml:space="preserve">regarding the </w:t>
      </w:r>
      <w:r w:rsidR="00232D0B">
        <w:t>stock claim</w:t>
      </w:r>
      <w:r w:rsidR="00FC40BF">
        <w:t>,</w:t>
      </w:r>
      <w:r w:rsidR="000A40C6">
        <w:t xml:space="preserve"> as he </w:t>
      </w:r>
      <w:r w:rsidR="003C05F0">
        <w:t xml:space="preserve">failed to </w:t>
      </w:r>
      <w:r w:rsidR="000A40C6">
        <w:t xml:space="preserve">convene </w:t>
      </w:r>
      <w:r w:rsidR="00FC40BF">
        <w:t>a</w:t>
      </w:r>
      <w:r w:rsidR="000A40C6">
        <w:t xml:space="preserve"> separate hearing </w:t>
      </w:r>
      <w:r w:rsidR="004720C2">
        <w:t xml:space="preserve">for the </w:t>
      </w:r>
      <w:r w:rsidR="000A40C6">
        <w:t>quantification of th</w:t>
      </w:r>
      <w:r w:rsidR="004720C2">
        <w:t>at claim</w:t>
      </w:r>
      <w:r w:rsidR="00FC40BF">
        <w:t>,</w:t>
      </w:r>
      <w:r w:rsidR="000A40C6">
        <w:t xml:space="preserve"> </w:t>
      </w:r>
      <w:r w:rsidR="00182659">
        <w:t>which</w:t>
      </w:r>
      <w:r w:rsidR="003C05F0">
        <w:t>,</w:t>
      </w:r>
      <w:r w:rsidR="00182659">
        <w:t xml:space="preserve"> it was alleged</w:t>
      </w:r>
      <w:r w:rsidR="003C05F0">
        <w:t>,</w:t>
      </w:r>
      <w:r w:rsidR="00182659">
        <w:t xml:space="preserve"> the email required, </w:t>
      </w:r>
      <w:r w:rsidR="003C05F0">
        <w:t xml:space="preserve">and </w:t>
      </w:r>
      <w:r w:rsidR="00827C33">
        <w:t>i</w:t>
      </w:r>
      <w:r w:rsidR="00FB1372">
        <w:t xml:space="preserve">nstead </w:t>
      </w:r>
      <w:r w:rsidR="000A40C6">
        <w:t>awarded ‘a self-conceived amount’ and applied ‘his own calculation as to the value of the stock</w:t>
      </w:r>
      <w:r w:rsidR="00AD1E81">
        <w:t>’</w:t>
      </w:r>
      <w:r w:rsidR="0079051C">
        <w:t>;</w:t>
      </w:r>
    </w:p>
    <w:p w14:paraId="51B66B61" w14:textId="221882C2" w:rsidR="00FB1372" w:rsidRPr="00D82B3E" w:rsidRDefault="00FD341B" w:rsidP="00FD341B">
      <w:pPr>
        <w:spacing w:line="360" w:lineRule="auto"/>
        <w:jc w:val="both"/>
      </w:pPr>
      <w:r w:rsidRPr="00D82B3E">
        <w:t>(b)</w:t>
      </w:r>
      <w:r w:rsidRPr="00D82B3E">
        <w:tab/>
      </w:r>
      <w:r w:rsidR="00D539B8">
        <w:t>The</w:t>
      </w:r>
      <w:r w:rsidR="00AA4D37">
        <w:t xml:space="preserve"> arbitrator committed a</w:t>
      </w:r>
      <w:r w:rsidR="003C05F0">
        <w:t xml:space="preserve"> gross </w:t>
      </w:r>
      <w:r w:rsidR="00D539B8">
        <w:t xml:space="preserve">irregularity as </w:t>
      </w:r>
      <w:r w:rsidR="00AA4D37">
        <w:t xml:space="preserve">he </w:t>
      </w:r>
      <w:r w:rsidR="00827C33">
        <w:t xml:space="preserve">strayed </w:t>
      </w:r>
      <w:r w:rsidR="000A40C6">
        <w:t>beyond the pleadings</w:t>
      </w:r>
      <w:r w:rsidR="00D539B8">
        <w:t xml:space="preserve"> </w:t>
      </w:r>
      <w:r w:rsidR="003C05F0">
        <w:t xml:space="preserve">and thus </w:t>
      </w:r>
      <w:r w:rsidR="00D539B8">
        <w:t>exceeded his jurisdiction</w:t>
      </w:r>
      <w:r w:rsidR="005B44D4">
        <w:t xml:space="preserve"> </w:t>
      </w:r>
      <w:r w:rsidR="00AA4D37">
        <w:t xml:space="preserve">by </w:t>
      </w:r>
      <w:r w:rsidR="005B44D4">
        <w:t>uph</w:t>
      </w:r>
      <w:r w:rsidR="00AA4D37">
        <w:t>o</w:t>
      </w:r>
      <w:r w:rsidR="005B44D4">
        <w:t>ld</w:t>
      </w:r>
      <w:r w:rsidR="00AA4D37">
        <w:t>ing</w:t>
      </w:r>
      <w:r w:rsidR="005B44D4">
        <w:t xml:space="preserve"> </w:t>
      </w:r>
      <w:r w:rsidR="000A40C6">
        <w:t xml:space="preserve">the buyers’ stock claim on the basis of an </w:t>
      </w:r>
      <w:r w:rsidR="00E94466">
        <w:t>‘</w:t>
      </w:r>
      <w:r w:rsidR="000A40C6">
        <w:t>innocent misrepresentation</w:t>
      </w:r>
      <w:r w:rsidR="00E94466">
        <w:t>’</w:t>
      </w:r>
      <w:r w:rsidR="008A1F3F">
        <w:t xml:space="preserve"> by the seller, where </w:t>
      </w:r>
      <w:r w:rsidR="00182659">
        <w:t xml:space="preserve">this was not </w:t>
      </w:r>
      <w:r w:rsidR="008A1F3F">
        <w:t>pleaded</w:t>
      </w:r>
      <w:r w:rsidR="00CA2543">
        <w:t xml:space="preserve"> </w:t>
      </w:r>
      <w:r w:rsidR="007E5E3B">
        <w:t>–</w:t>
      </w:r>
      <w:r w:rsidR="00182659">
        <w:t xml:space="preserve"> </w:t>
      </w:r>
      <w:r w:rsidR="00827C33" w:rsidRPr="00D82B3E">
        <w:t>the</w:t>
      </w:r>
      <w:r w:rsidR="007E5E3B">
        <w:t xml:space="preserve"> </w:t>
      </w:r>
      <w:r w:rsidR="00827C33" w:rsidRPr="00D82B3E">
        <w:t>buyers ha</w:t>
      </w:r>
      <w:r w:rsidR="00182659">
        <w:t>ving re</w:t>
      </w:r>
      <w:r w:rsidR="00827C33" w:rsidRPr="00D82B3E">
        <w:t xml:space="preserve">lied on </w:t>
      </w:r>
      <w:r w:rsidR="008A1F3F" w:rsidRPr="00D82B3E">
        <w:t>a breach of contract</w:t>
      </w:r>
      <w:r w:rsidR="00AA4D37" w:rsidRPr="00D82B3E">
        <w:t xml:space="preserve"> as the basis for the stock claim</w:t>
      </w:r>
      <w:r w:rsidR="00FB1372" w:rsidRPr="00D82B3E">
        <w:t>;</w:t>
      </w:r>
    </w:p>
    <w:p w14:paraId="5E424C6A" w14:textId="01A7349C" w:rsidR="008B70D5" w:rsidRDefault="00FD341B" w:rsidP="00FD341B">
      <w:pPr>
        <w:spacing w:line="360" w:lineRule="auto"/>
        <w:jc w:val="both"/>
      </w:pPr>
      <w:r>
        <w:t>(c)</w:t>
      </w:r>
      <w:r>
        <w:tab/>
      </w:r>
      <w:r w:rsidR="00781691">
        <w:t xml:space="preserve"> </w:t>
      </w:r>
      <w:r w:rsidR="00981B44">
        <w:t>T</w:t>
      </w:r>
      <w:r w:rsidR="00781691">
        <w:t xml:space="preserve">he arbitrator failed </w:t>
      </w:r>
      <w:r w:rsidR="002D4498">
        <w:t xml:space="preserve">to adjudicate </w:t>
      </w:r>
      <w:r w:rsidR="002D4498" w:rsidRPr="0079051C">
        <w:t>the missing assets claim</w:t>
      </w:r>
      <w:r w:rsidR="008A1F3F" w:rsidRPr="0079051C">
        <w:t>; that he dismissed the buyers’ claim for payment or the return of the missing assets on the basis that these claims ‘had not been pursued with rigour’; and</w:t>
      </w:r>
      <w:r w:rsidR="002D4498" w:rsidRPr="0079051C">
        <w:t xml:space="preserve"> that </w:t>
      </w:r>
      <w:r w:rsidR="00827C33" w:rsidRPr="0079051C">
        <w:t xml:space="preserve">he </w:t>
      </w:r>
      <w:r w:rsidR="002D4498" w:rsidRPr="0079051C">
        <w:t xml:space="preserve">failed to appreciate that the buyers’ version </w:t>
      </w:r>
      <w:r w:rsidR="00FB1372" w:rsidRPr="0079051C">
        <w:t xml:space="preserve">in respect of </w:t>
      </w:r>
      <w:r w:rsidR="002D4498" w:rsidRPr="0079051C">
        <w:t>the missing assets</w:t>
      </w:r>
      <w:r w:rsidR="00FB1372" w:rsidRPr="0079051C">
        <w:t xml:space="preserve"> claim</w:t>
      </w:r>
      <w:r w:rsidR="002D4498" w:rsidRPr="0079051C">
        <w:t xml:space="preserve"> was not challenged</w:t>
      </w:r>
      <w:r w:rsidR="008A1F3F" w:rsidRPr="0079051C">
        <w:t>.</w:t>
      </w:r>
      <w:r w:rsidR="008A1F3F" w:rsidRPr="0079051C">
        <w:rPr>
          <w:rStyle w:val="FootnoteReference"/>
        </w:rPr>
        <w:footnoteReference w:id="13"/>
      </w:r>
      <w:r w:rsidR="008A1F3F">
        <w:t xml:space="preserve"> </w:t>
      </w:r>
    </w:p>
    <w:p w14:paraId="307A7917" w14:textId="367747E5" w:rsidR="002D4498" w:rsidRDefault="00FD341B" w:rsidP="00FD341B">
      <w:pPr>
        <w:spacing w:line="360" w:lineRule="auto"/>
        <w:jc w:val="both"/>
      </w:pPr>
      <w:r>
        <w:rPr>
          <w:szCs w:val="24"/>
        </w:rPr>
        <w:lastRenderedPageBreak/>
        <w:t>[10]</w:t>
      </w:r>
      <w:r>
        <w:rPr>
          <w:szCs w:val="24"/>
        </w:rPr>
        <w:tab/>
      </w:r>
      <w:r w:rsidR="008B70D5">
        <w:t xml:space="preserve"> </w:t>
      </w:r>
      <w:r w:rsidR="003C05F0">
        <w:t>T</w:t>
      </w:r>
      <w:r w:rsidR="00C500B4">
        <w:t xml:space="preserve">he </w:t>
      </w:r>
      <w:r w:rsidR="00CB6925">
        <w:t>high court</w:t>
      </w:r>
      <w:r w:rsidR="005206F2">
        <w:t>, as per Wright J,</w:t>
      </w:r>
      <w:r w:rsidR="00C500B4">
        <w:t xml:space="preserve"> </w:t>
      </w:r>
      <w:r w:rsidR="002D4498">
        <w:t xml:space="preserve">dismissed the review </w:t>
      </w:r>
      <w:r w:rsidR="00D539B8">
        <w:t xml:space="preserve">and directed the buyers and the surety jointly and severally to pay the seller’s costs of the review. The </w:t>
      </w:r>
      <w:r w:rsidR="00CB6925">
        <w:t>high court</w:t>
      </w:r>
      <w:r w:rsidR="00C500B4">
        <w:t xml:space="preserve"> </w:t>
      </w:r>
      <w:r w:rsidR="00D539B8">
        <w:t>concluded</w:t>
      </w:r>
      <w:r w:rsidR="004720C2">
        <w:t xml:space="preserve"> inter alia</w:t>
      </w:r>
      <w:r w:rsidR="00D539B8">
        <w:t>:</w:t>
      </w:r>
    </w:p>
    <w:p w14:paraId="6584477D" w14:textId="61FCB34C" w:rsidR="009B4FD7" w:rsidRDefault="00FD341B" w:rsidP="00FD341B">
      <w:pPr>
        <w:spacing w:line="360" w:lineRule="auto"/>
        <w:jc w:val="both"/>
      </w:pPr>
      <w:r>
        <w:t>(a)</w:t>
      </w:r>
      <w:r>
        <w:tab/>
      </w:r>
      <w:r w:rsidR="00D539B8">
        <w:t>In regard to the email</w:t>
      </w:r>
      <w:r w:rsidR="006300CB">
        <w:t>,</w:t>
      </w:r>
      <w:r w:rsidR="00D539B8">
        <w:t xml:space="preserve"> </w:t>
      </w:r>
      <w:r w:rsidR="009B4FD7">
        <w:t xml:space="preserve">that </w:t>
      </w:r>
      <w:r w:rsidR="00D3226E">
        <w:t>‘a further hearing would not be needed where quantification of any item relied upon by the [buyers] to reduce the amount owed to the seller could be clearly established without the need for further hearings’</w:t>
      </w:r>
      <w:r w:rsidR="009B4FD7">
        <w:t>;</w:t>
      </w:r>
      <w:r w:rsidR="00D3226E">
        <w:t xml:space="preserve"> </w:t>
      </w:r>
    </w:p>
    <w:p w14:paraId="1EB761FA" w14:textId="34746DA6" w:rsidR="00FB1372" w:rsidRDefault="00FD341B" w:rsidP="00FD341B">
      <w:pPr>
        <w:spacing w:line="360" w:lineRule="auto"/>
        <w:jc w:val="both"/>
      </w:pPr>
      <w:r>
        <w:t>(b)</w:t>
      </w:r>
      <w:r>
        <w:tab/>
      </w:r>
      <w:r w:rsidR="009B4FD7">
        <w:t xml:space="preserve">That </w:t>
      </w:r>
      <w:r w:rsidR="008B70D5">
        <w:t>t</w:t>
      </w:r>
      <w:r w:rsidR="009B4FD7">
        <w:t>he</w:t>
      </w:r>
      <w:r w:rsidR="00D539B8">
        <w:t xml:space="preserve"> </w:t>
      </w:r>
      <w:r w:rsidR="008B70D5">
        <w:t xml:space="preserve">arbitrator </w:t>
      </w:r>
      <w:r w:rsidR="009B4FD7">
        <w:t xml:space="preserve">did </w:t>
      </w:r>
      <w:r w:rsidR="00D539B8">
        <w:t>not reasonably require further hearings</w:t>
      </w:r>
      <w:r w:rsidR="0097203D">
        <w:t xml:space="preserve"> for the </w:t>
      </w:r>
      <w:r w:rsidR="00D539B8">
        <w:t>quantification of the counterclaim regarding stock</w:t>
      </w:r>
      <w:r w:rsidR="009B4FD7">
        <w:t>, as th</w:t>
      </w:r>
      <w:r w:rsidR="00E00618">
        <w:t>is</w:t>
      </w:r>
      <w:r w:rsidR="009B4FD7">
        <w:t xml:space="preserve"> had been </w:t>
      </w:r>
      <w:r w:rsidR="006F5332">
        <w:t xml:space="preserve">disputed and </w:t>
      </w:r>
      <w:r w:rsidR="00E00618">
        <w:t xml:space="preserve">was </w:t>
      </w:r>
      <w:r w:rsidR="006F5332">
        <w:t>debated in evidence and argument</w:t>
      </w:r>
      <w:r w:rsidR="008B70D5">
        <w:t>,</w:t>
      </w:r>
      <w:r w:rsidR="009B4FD7">
        <w:t xml:space="preserve"> and was clear</w:t>
      </w:r>
      <w:r w:rsidR="00C500B4">
        <w:t>;</w:t>
      </w:r>
      <w:r w:rsidR="00D539B8">
        <w:t xml:space="preserve"> </w:t>
      </w:r>
    </w:p>
    <w:p w14:paraId="7C3665F2" w14:textId="0120EA0C" w:rsidR="00FB1372" w:rsidRDefault="00FD341B" w:rsidP="00FD341B">
      <w:pPr>
        <w:spacing w:line="360" w:lineRule="auto"/>
        <w:jc w:val="both"/>
      </w:pPr>
      <w:r>
        <w:t>(c)</w:t>
      </w:r>
      <w:r>
        <w:tab/>
      </w:r>
      <w:r w:rsidR="0097203D">
        <w:t xml:space="preserve">That the </w:t>
      </w:r>
      <w:r w:rsidR="00C20464">
        <w:t xml:space="preserve">arbitrator’s </w:t>
      </w:r>
      <w:r w:rsidR="0097203D">
        <w:t>award is ‘detailed, careful, comprehensive . . . and generally shows that Mr Epstein took into account everything that both sides required him to consider’</w:t>
      </w:r>
      <w:r w:rsidR="00C500B4">
        <w:t>; and</w:t>
      </w:r>
    </w:p>
    <w:p w14:paraId="4DF1E29C" w14:textId="01B7AAB3" w:rsidR="0097203D" w:rsidRDefault="00FD341B" w:rsidP="00FD341B">
      <w:pPr>
        <w:spacing w:line="360" w:lineRule="auto"/>
        <w:jc w:val="both"/>
      </w:pPr>
      <w:r>
        <w:t>(d)</w:t>
      </w:r>
      <w:r>
        <w:tab/>
      </w:r>
      <w:r w:rsidR="0097203D">
        <w:t>Finally, that:</w:t>
      </w:r>
    </w:p>
    <w:p w14:paraId="538F5183" w14:textId="77777777" w:rsidR="0097203D" w:rsidRPr="0097203D" w:rsidRDefault="0097203D" w:rsidP="009437DD">
      <w:pPr>
        <w:pStyle w:val="ListParagraph"/>
        <w:spacing w:line="360" w:lineRule="auto"/>
        <w:ind w:left="0"/>
        <w:jc w:val="both"/>
        <w:rPr>
          <w:sz w:val="22"/>
          <w:szCs w:val="22"/>
        </w:rPr>
      </w:pPr>
      <w:r w:rsidRPr="0097203D">
        <w:rPr>
          <w:sz w:val="22"/>
          <w:szCs w:val="22"/>
        </w:rPr>
        <w:t xml:space="preserve">‘The balance of the grounds for review and setting aside is really an attempt to appeal the award through the back door. A series of nit-picking challenges is raised which is clearly without merit. Mr Alli, for the present applicants quite properly did not suggest that </w:t>
      </w:r>
      <w:r w:rsidR="006D7616">
        <w:rPr>
          <w:sz w:val="22"/>
          <w:szCs w:val="22"/>
        </w:rPr>
        <w:t xml:space="preserve">a </w:t>
      </w:r>
      <w:r w:rsidRPr="0097203D">
        <w:rPr>
          <w:sz w:val="22"/>
          <w:szCs w:val="22"/>
        </w:rPr>
        <w:t xml:space="preserve">mere error of law or fact or both, without more would advance his clients’ case. In any event no error is shown in the award.’ </w:t>
      </w:r>
    </w:p>
    <w:p w14:paraId="3C36FC6F" w14:textId="77777777" w:rsidR="00FB1372" w:rsidRDefault="00FB1372" w:rsidP="009437DD">
      <w:pPr>
        <w:spacing w:line="360" w:lineRule="auto"/>
        <w:jc w:val="both"/>
      </w:pPr>
    </w:p>
    <w:p w14:paraId="247F131B" w14:textId="7A22231D" w:rsidR="002D4498" w:rsidRDefault="00FD341B" w:rsidP="00FD341B">
      <w:pPr>
        <w:spacing w:line="360" w:lineRule="auto"/>
        <w:jc w:val="both"/>
      </w:pPr>
      <w:r>
        <w:rPr>
          <w:szCs w:val="24"/>
        </w:rPr>
        <w:t>[11]</w:t>
      </w:r>
      <w:r>
        <w:rPr>
          <w:szCs w:val="24"/>
        </w:rPr>
        <w:tab/>
      </w:r>
      <w:r w:rsidR="006014ED" w:rsidRPr="0079051C">
        <w:t xml:space="preserve">With the leave of Wright J, the buyers appealed to the full court. </w:t>
      </w:r>
      <w:r w:rsidR="002D4498" w:rsidRPr="0079051C">
        <w:t>The</w:t>
      </w:r>
      <w:r w:rsidR="002D4498">
        <w:t xml:space="preserve"> full court</w:t>
      </w:r>
      <w:r w:rsidR="00A60B2B">
        <w:t xml:space="preserve"> </w:t>
      </w:r>
      <w:r w:rsidR="00A03B76">
        <w:t xml:space="preserve">found </w:t>
      </w:r>
      <w:r w:rsidR="00A03E0C" w:rsidRPr="00171237">
        <w:rPr>
          <w:i/>
          <w:iCs/>
        </w:rPr>
        <w:t>inter alia</w:t>
      </w:r>
      <w:r w:rsidR="002D4498">
        <w:t>:</w:t>
      </w:r>
    </w:p>
    <w:p w14:paraId="3A0CB20C" w14:textId="2343C67B" w:rsidR="00534DDC" w:rsidRDefault="00FD341B" w:rsidP="00FD341B">
      <w:pPr>
        <w:spacing w:line="360" w:lineRule="auto"/>
        <w:jc w:val="both"/>
      </w:pPr>
      <w:r>
        <w:t>(a)</w:t>
      </w:r>
      <w:r>
        <w:tab/>
      </w:r>
      <w:r w:rsidR="009A29F3">
        <w:t>Th</w:t>
      </w:r>
      <w:r w:rsidR="009351D2">
        <w:t>at th</w:t>
      </w:r>
      <w:r w:rsidR="009A29F3">
        <w:t xml:space="preserve">e </w:t>
      </w:r>
      <w:r w:rsidR="004706C3">
        <w:t>high c</w:t>
      </w:r>
      <w:r w:rsidR="00CB6925">
        <w:t>ourt</w:t>
      </w:r>
      <w:r w:rsidR="009A29F3">
        <w:t xml:space="preserve"> </w:t>
      </w:r>
      <w:r w:rsidR="00E00618">
        <w:t xml:space="preserve">had </w:t>
      </w:r>
      <w:r w:rsidR="00A60B2B">
        <w:t xml:space="preserve">considered only the allegation that the arbitrator had wrongly failed to convene a separate hearing on quantum before he made his </w:t>
      </w:r>
      <w:r w:rsidR="00827C33">
        <w:t xml:space="preserve">final </w:t>
      </w:r>
      <w:r w:rsidR="00A60B2B">
        <w:t>award;</w:t>
      </w:r>
    </w:p>
    <w:p w14:paraId="14175BE4" w14:textId="2D878F1A" w:rsidR="001D5095" w:rsidRDefault="00FD341B" w:rsidP="00FD341B">
      <w:pPr>
        <w:spacing w:line="360" w:lineRule="auto"/>
        <w:jc w:val="both"/>
      </w:pPr>
      <w:r>
        <w:t>(b)</w:t>
      </w:r>
      <w:r>
        <w:tab/>
      </w:r>
      <w:r w:rsidR="009A29F3">
        <w:t xml:space="preserve">That </w:t>
      </w:r>
      <w:r w:rsidR="001D5095">
        <w:t>‘while the arbitrator probably did take “into account everything that both sides required him to consider” that was in relation to the evidence presented’</w:t>
      </w:r>
      <w:r w:rsidR="00182659">
        <w:t>, but</w:t>
      </w:r>
      <w:r w:rsidR="001D5095">
        <w:t xml:space="preserve"> that ‘both parties had agreed that, if either party wished to lead further evidence, that party must notify the other party and the arbitrator of its intention to do so 14 days before the remedy hearing’</w:t>
      </w:r>
      <w:r w:rsidR="002B74FA">
        <w:t>.</w:t>
      </w:r>
    </w:p>
    <w:p w14:paraId="5F2CF206" w14:textId="033A4D75" w:rsidR="001D5095" w:rsidRDefault="00FD341B" w:rsidP="00FD341B">
      <w:pPr>
        <w:spacing w:line="360" w:lineRule="auto"/>
        <w:jc w:val="both"/>
      </w:pPr>
      <w:r>
        <w:t>(c)</w:t>
      </w:r>
      <w:r>
        <w:tab/>
      </w:r>
      <w:r w:rsidR="00182659">
        <w:t>That ‘</w:t>
      </w:r>
      <w:r w:rsidR="001D5095">
        <w:t>the counterclaim in respect of the stock was not clear at all, even if the arbitrator thought that he was entitled, by way of a simple mathematical calculation, to determine the actual value of the stock’;</w:t>
      </w:r>
    </w:p>
    <w:p w14:paraId="5A4DB2DC" w14:textId="1FE89ABA" w:rsidR="001D5095" w:rsidRDefault="00FD341B" w:rsidP="00FD341B">
      <w:pPr>
        <w:spacing w:line="360" w:lineRule="auto"/>
        <w:jc w:val="both"/>
      </w:pPr>
      <w:r>
        <w:lastRenderedPageBreak/>
        <w:t>(d)</w:t>
      </w:r>
      <w:r>
        <w:tab/>
      </w:r>
      <w:r w:rsidR="001D5095">
        <w:t>That ‘[b]y doing so he went against an agreement reached by the parties in relation to a further hearing. He was unfair to both parties and committed gross misconduct’;</w:t>
      </w:r>
    </w:p>
    <w:p w14:paraId="71D3843A" w14:textId="591107A6" w:rsidR="000640E4" w:rsidRDefault="00FD341B" w:rsidP="00FD341B">
      <w:pPr>
        <w:spacing w:line="360" w:lineRule="auto"/>
        <w:jc w:val="both"/>
      </w:pPr>
      <w:r>
        <w:t>(e)</w:t>
      </w:r>
      <w:r>
        <w:tab/>
      </w:r>
      <w:r w:rsidR="000640E4">
        <w:t xml:space="preserve">The arbitrator </w:t>
      </w:r>
      <w:r w:rsidR="00D42C70">
        <w:t xml:space="preserve">had </w:t>
      </w:r>
      <w:r w:rsidR="000640E4">
        <w:t>concluded that the true value of the stock attributable to the purchase price was R2 239 002.00</w:t>
      </w:r>
      <w:r w:rsidR="00D42C70">
        <w:t xml:space="preserve">, </w:t>
      </w:r>
      <w:r w:rsidR="00D82B3E">
        <w:t xml:space="preserve">being the stock value reflected in the audited financial statements of SDK at 28 February 2017, </w:t>
      </w:r>
      <w:r w:rsidR="007C7168">
        <w:t>a</w:t>
      </w:r>
      <w:r w:rsidR="000640E4">
        <w:t xml:space="preserve">nd accordingly </w:t>
      </w:r>
      <w:r w:rsidR="00D42C70">
        <w:t xml:space="preserve">that </w:t>
      </w:r>
      <w:r w:rsidR="000640E4">
        <w:t xml:space="preserve">the purchase price had to be </w:t>
      </w:r>
      <w:r w:rsidR="009A29F3">
        <w:t xml:space="preserve">reduced </w:t>
      </w:r>
      <w:r w:rsidR="00A03E0C">
        <w:t xml:space="preserve">by an amount of </w:t>
      </w:r>
      <w:r w:rsidR="000640E4">
        <w:t>R3 958 209.1</w:t>
      </w:r>
      <w:r w:rsidR="009A29F3">
        <w:t xml:space="preserve">4, but he </w:t>
      </w:r>
      <w:r w:rsidR="000640E4">
        <w:t xml:space="preserve">did not attempt to explain either what the stock value of R6 197 211.14, or the stock value of </w:t>
      </w:r>
      <w:r w:rsidR="00D42C70">
        <w:t xml:space="preserve">approximately </w:t>
      </w:r>
      <w:r w:rsidR="000640E4">
        <w:t>R2.2 million consisted of</w:t>
      </w:r>
      <w:r w:rsidR="009A29F3">
        <w:t>;</w:t>
      </w:r>
    </w:p>
    <w:p w14:paraId="5A848AE6" w14:textId="259C448F" w:rsidR="00F16550" w:rsidRDefault="00FD341B" w:rsidP="00FD341B">
      <w:pPr>
        <w:spacing w:line="360" w:lineRule="auto"/>
        <w:jc w:val="both"/>
      </w:pPr>
      <w:r>
        <w:t>(f)</w:t>
      </w:r>
      <w:r>
        <w:tab/>
      </w:r>
      <w:r w:rsidR="005C3972">
        <w:t xml:space="preserve">Due to </w:t>
      </w:r>
      <w:r w:rsidR="00835B60">
        <w:t xml:space="preserve">the discrepancies in the stock figures, the arbitrator was obliged to </w:t>
      </w:r>
      <w:r w:rsidR="005C3972">
        <w:t xml:space="preserve">have </w:t>
      </w:r>
      <w:r w:rsidR="00835B60">
        <w:t>convene</w:t>
      </w:r>
      <w:r w:rsidR="005C3972">
        <w:t>d</w:t>
      </w:r>
      <w:r w:rsidR="00835B60">
        <w:t xml:space="preserve"> another hearing to determine the value of the counterclaim in respect of the stock, as he had undertaken to do in his response to the </w:t>
      </w:r>
      <w:r w:rsidR="005C3972">
        <w:t>email;</w:t>
      </w:r>
      <w:r w:rsidR="00835B60">
        <w:t xml:space="preserve"> </w:t>
      </w:r>
    </w:p>
    <w:p w14:paraId="29D16DB3" w14:textId="300B1080" w:rsidR="00835B60" w:rsidRDefault="00FD341B" w:rsidP="00FD341B">
      <w:pPr>
        <w:spacing w:line="360" w:lineRule="auto"/>
        <w:jc w:val="both"/>
      </w:pPr>
      <w:r>
        <w:t>(g)</w:t>
      </w:r>
      <w:r>
        <w:tab/>
      </w:r>
      <w:r w:rsidR="004706C3">
        <w:t xml:space="preserve">That </w:t>
      </w:r>
      <w:r w:rsidR="00835B60">
        <w:t>‘</w:t>
      </w:r>
      <w:r w:rsidR="004706C3">
        <w:t>[t]</w:t>
      </w:r>
      <w:r w:rsidR="00835B60">
        <w:t>he arbitrator misconceived the nature of the enquiry he was to conduct and that resulted in both parties being denied an opportunity to adduce further evidence in respect of the quantum relating to the stock counterclaim</w:t>
      </w:r>
      <w:r w:rsidR="005C3972">
        <w:t xml:space="preserve">, which resulted in </w:t>
      </w:r>
      <w:r w:rsidR="00835B60">
        <w:t>unfairness to both parties and constitutes a gross irregularity in the conduct of the proceedings</w:t>
      </w:r>
      <w:r w:rsidR="009351D2">
        <w:t>’;</w:t>
      </w:r>
    </w:p>
    <w:p w14:paraId="626A4531" w14:textId="05DB0DDF" w:rsidR="009F3B88" w:rsidRDefault="00FD341B" w:rsidP="00FD341B">
      <w:pPr>
        <w:spacing w:line="360" w:lineRule="auto"/>
        <w:jc w:val="both"/>
      </w:pPr>
      <w:r>
        <w:t>(h)</w:t>
      </w:r>
      <w:r>
        <w:tab/>
      </w:r>
      <w:r w:rsidR="009F3B88">
        <w:t>The arbitrator adopted a procedure that was not fair because the ‘email was clear regarding a further hearing</w:t>
      </w:r>
      <w:r w:rsidR="007E5E3B">
        <w:t xml:space="preserve"> .</w:t>
      </w:r>
      <w:r w:rsidR="009F3B88">
        <w:t xml:space="preserve"> . . all the parties had already agreed upon</w:t>
      </w:r>
      <w:r w:rsidR="009351D2">
        <w:t>’;</w:t>
      </w:r>
      <w:r w:rsidR="009F3B88">
        <w:t xml:space="preserve">  </w:t>
      </w:r>
    </w:p>
    <w:p w14:paraId="21ED487D" w14:textId="311E658C" w:rsidR="00B82998" w:rsidRDefault="00FD341B" w:rsidP="00FD341B">
      <w:pPr>
        <w:spacing w:line="360" w:lineRule="auto"/>
        <w:jc w:val="both"/>
      </w:pPr>
      <w:r>
        <w:t>(i)</w:t>
      </w:r>
      <w:r>
        <w:tab/>
      </w:r>
      <w:r w:rsidR="00B82998">
        <w:t>Did not consider the further issues relating to straying beyond the pleadings and not deciding the missing assets claim.</w:t>
      </w:r>
    </w:p>
    <w:p w14:paraId="2702952A" w14:textId="77777777" w:rsidR="001E63DA" w:rsidRDefault="001E63DA" w:rsidP="009437DD">
      <w:pPr>
        <w:spacing w:line="360" w:lineRule="auto"/>
        <w:jc w:val="both"/>
      </w:pPr>
    </w:p>
    <w:p w14:paraId="2921371D" w14:textId="3426DCBC" w:rsidR="00A03B76" w:rsidRDefault="00FD341B" w:rsidP="00FD341B">
      <w:pPr>
        <w:spacing w:line="360" w:lineRule="auto"/>
        <w:jc w:val="both"/>
      </w:pPr>
      <w:r>
        <w:rPr>
          <w:szCs w:val="24"/>
        </w:rPr>
        <w:t>[12]</w:t>
      </w:r>
      <w:r>
        <w:rPr>
          <w:szCs w:val="24"/>
        </w:rPr>
        <w:tab/>
      </w:r>
      <w:r w:rsidR="00A03B76">
        <w:t>The full court</w:t>
      </w:r>
      <w:r w:rsidR="004706C3">
        <w:t xml:space="preserve"> accordingly</w:t>
      </w:r>
      <w:r w:rsidR="00A03B76">
        <w:t>:</w:t>
      </w:r>
    </w:p>
    <w:p w14:paraId="7A4C189E" w14:textId="4D403B11" w:rsidR="00A46976" w:rsidRDefault="00FD341B" w:rsidP="00FD341B">
      <w:pPr>
        <w:spacing w:line="360" w:lineRule="auto"/>
        <w:jc w:val="both"/>
      </w:pPr>
      <w:r>
        <w:t>(a)</w:t>
      </w:r>
      <w:r>
        <w:tab/>
      </w:r>
      <w:r w:rsidR="002D4498">
        <w:t>upheld the appeal</w:t>
      </w:r>
      <w:r w:rsidR="004906BF">
        <w:t>;</w:t>
      </w:r>
    </w:p>
    <w:p w14:paraId="5459515F" w14:textId="06307B1C" w:rsidR="00DA3794" w:rsidRDefault="00FD341B" w:rsidP="00FD341B">
      <w:pPr>
        <w:spacing w:line="360" w:lineRule="auto"/>
        <w:jc w:val="both"/>
      </w:pPr>
      <w:r>
        <w:t>(b)</w:t>
      </w:r>
      <w:r>
        <w:tab/>
      </w:r>
      <w:r w:rsidR="002D4498">
        <w:t xml:space="preserve">set aside the order of </w:t>
      </w:r>
      <w:r w:rsidR="005C3972">
        <w:t xml:space="preserve">the </w:t>
      </w:r>
      <w:r w:rsidR="00D61906">
        <w:t xml:space="preserve">high </w:t>
      </w:r>
      <w:r w:rsidR="00CB6925">
        <w:t>court</w:t>
      </w:r>
      <w:r w:rsidR="002D4498">
        <w:t xml:space="preserve"> and replaced it with an order:</w:t>
      </w:r>
    </w:p>
    <w:p w14:paraId="0193799D" w14:textId="4E9FEA7F" w:rsidR="00DA3794" w:rsidRDefault="00FD341B" w:rsidP="00FD341B">
      <w:pPr>
        <w:spacing w:line="360" w:lineRule="auto"/>
        <w:ind w:left="709"/>
        <w:jc w:val="both"/>
      </w:pPr>
      <w:r>
        <w:t>(i)</w:t>
      </w:r>
      <w:r>
        <w:tab/>
      </w:r>
      <w:r w:rsidR="00DA3794">
        <w:t>Upholding the review and setting aside the arbitrator’s award.</w:t>
      </w:r>
    </w:p>
    <w:p w14:paraId="11AD362F" w14:textId="241A70FE" w:rsidR="00DA3794" w:rsidRDefault="00FD341B" w:rsidP="00FD341B">
      <w:pPr>
        <w:spacing w:line="360" w:lineRule="auto"/>
        <w:ind w:left="709"/>
        <w:jc w:val="both"/>
      </w:pPr>
      <w:r>
        <w:t>(ii)</w:t>
      </w:r>
      <w:r>
        <w:tab/>
      </w:r>
      <w:r w:rsidR="00DA3794">
        <w:t xml:space="preserve">Ordering that the arbitration start afresh before a new arbitrator. </w:t>
      </w:r>
    </w:p>
    <w:p w14:paraId="3D045AC1" w14:textId="71E4F2D2" w:rsidR="00E32371" w:rsidRDefault="00FD341B" w:rsidP="00FD341B">
      <w:pPr>
        <w:spacing w:line="360" w:lineRule="auto"/>
        <w:jc w:val="both"/>
      </w:pPr>
      <w:r>
        <w:t>(c)</w:t>
      </w:r>
      <w:r>
        <w:tab/>
      </w:r>
      <w:r w:rsidR="00222B79">
        <w:t>Directed the seller to pay the costs of the full court appeal and the cost</w:t>
      </w:r>
      <w:r w:rsidR="00261731">
        <w:t>s occasioned in the high court.</w:t>
      </w:r>
    </w:p>
    <w:p w14:paraId="25039D3A" w14:textId="77777777" w:rsidR="00F60EBA" w:rsidRDefault="00F60EBA" w:rsidP="00F60EBA">
      <w:pPr>
        <w:pStyle w:val="ListParagraph"/>
        <w:spacing w:line="360" w:lineRule="auto"/>
        <w:ind w:left="0"/>
        <w:jc w:val="both"/>
      </w:pPr>
    </w:p>
    <w:p w14:paraId="6B1A6D7F" w14:textId="409F119B" w:rsidR="00253027" w:rsidRDefault="00FD341B" w:rsidP="00FD341B">
      <w:pPr>
        <w:spacing w:line="360" w:lineRule="auto"/>
        <w:jc w:val="both"/>
      </w:pPr>
      <w:r>
        <w:rPr>
          <w:szCs w:val="24"/>
        </w:rPr>
        <w:lastRenderedPageBreak/>
        <w:t>[13]</w:t>
      </w:r>
      <w:r>
        <w:rPr>
          <w:szCs w:val="24"/>
        </w:rPr>
        <w:tab/>
      </w:r>
      <w:r w:rsidR="004906BF">
        <w:t xml:space="preserve">The present appeal is against the decision of the full court with the </w:t>
      </w:r>
      <w:r w:rsidR="00B02CAB">
        <w:t xml:space="preserve">special </w:t>
      </w:r>
      <w:r w:rsidR="004906BF">
        <w:t xml:space="preserve">leave of this </w:t>
      </w:r>
      <w:r w:rsidR="002B74FA">
        <w:t>C</w:t>
      </w:r>
      <w:r w:rsidR="004906BF">
        <w:t>ourt.</w:t>
      </w:r>
      <w:r w:rsidR="009571A2">
        <w:rPr>
          <w:rStyle w:val="FootnoteReference"/>
        </w:rPr>
        <w:footnoteReference w:id="14"/>
      </w:r>
      <w:r w:rsidR="00BB67B6">
        <w:t xml:space="preserve"> </w:t>
      </w:r>
      <w:r w:rsidR="00534DDC">
        <w:t>T</w:t>
      </w:r>
      <w:r w:rsidR="00E84AC5">
        <w:t xml:space="preserve">he </w:t>
      </w:r>
      <w:r w:rsidR="00736BA4">
        <w:t xml:space="preserve">broad </w:t>
      </w:r>
      <w:r w:rsidR="00E84AC5">
        <w:t xml:space="preserve">issues </w:t>
      </w:r>
      <w:r w:rsidR="003E4DED">
        <w:t>in the appeal</w:t>
      </w:r>
      <w:r w:rsidR="00F16550">
        <w:t xml:space="preserve">, as is apparent from the above, </w:t>
      </w:r>
      <w:r w:rsidR="007C7168">
        <w:t>addressed in this judgment</w:t>
      </w:r>
      <w:r w:rsidR="009351D2">
        <w:t>,</w:t>
      </w:r>
      <w:r w:rsidR="007C7168">
        <w:t xml:space="preserve"> </w:t>
      </w:r>
      <w:r w:rsidR="00457F6F">
        <w:t>are: first, w</w:t>
      </w:r>
      <w:r w:rsidR="00E84AC5">
        <w:t xml:space="preserve">hether there was a gross irregularity in the proceedings </w:t>
      </w:r>
      <w:r w:rsidR="00C20464">
        <w:t xml:space="preserve">as a result of </w:t>
      </w:r>
      <w:r w:rsidR="00E84AC5">
        <w:t xml:space="preserve">the failure of the arbitrator to have convened a </w:t>
      </w:r>
      <w:r w:rsidR="009351D2">
        <w:t xml:space="preserve">further </w:t>
      </w:r>
      <w:r w:rsidR="00E84AC5">
        <w:t xml:space="preserve">hearing on the quantification of </w:t>
      </w:r>
      <w:r w:rsidR="003E4DED">
        <w:t xml:space="preserve">the </w:t>
      </w:r>
      <w:r w:rsidR="00E84AC5">
        <w:t>stock claim;</w:t>
      </w:r>
      <w:r w:rsidR="00457F6F">
        <w:t xml:space="preserve"> second, w</w:t>
      </w:r>
      <w:r w:rsidR="00E84AC5">
        <w:t>hether the arbitrator had strayed beyond the pleadings in upholding the stock claim</w:t>
      </w:r>
      <w:r w:rsidR="009351D2">
        <w:t>,</w:t>
      </w:r>
      <w:r w:rsidR="00E84AC5">
        <w:t xml:space="preserve"> </w:t>
      </w:r>
      <w:r w:rsidR="00206D64">
        <w:t xml:space="preserve">allegedly </w:t>
      </w:r>
      <w:r w:rsidR="00E84AC5">
        <w:t>on the basis of an innocent misrepresentation</w:t>
      </w:r>
      <w:r w:rsidR="007C7168">
        <w:t>;</w:t>
      </w:r>
      <w:r w:rsidR="00457F6F">
        <w:t xml:space="preserve"> and third, w</w:t>
      </w:r>
      <w:r w:rsidR="00E84AC5">
        <w:t>hether the arbitrator had failed to adjudicate the counterclaim</w:t>
      </w:r>
      <w:r w:rsidR="00DD48C9">
        <w:t xml:space="preserve"> regarding the missing assets</w:t>
      </w:r>
      <w:r w:rsidR="00E84AC5">
        <w:t>, and whether this amount</w:t>
      </w:r>
      <w:r w:rsidR="00954AF8">
        <w:t>ed</w:t>
      </w:r>
      <w:r w:rsidR="00E84AC5">
        <w:t xml:space="preserve"> to a gross irregularity in the proceedings and/or the denial of the right of the first to third respondents to a fair hearing.</w:t>
      </w:r>
      <w:r w:rsidR="00457F6F">
        <w:t xml:space="preserve"> </w:t>
      </w:r>
      <w:r w:rsidR="00534DDC">
        <w:t>These issues</w:t>
      </w:r>
      <w:r w:rsidR="00BB67B6">
        <w:rPr>
          <w:rStyle w:val="FootnoteReference"/>
        </w:rPr>
        <w:footnoteReference w:id="15"/>
      </w:r>
      <w:r w:rsidR="00534DDC">
        <w:t xml:space="preserve"> will be addressed </w:t>
      </w:r>
      <w:r w:rsidR="00534DDC" w:rsidRPr="00457F6F">
        <w:rPr>
          <w:i/>
          <w:iCs/>
        </w:rPr>
        <w:t>seriatim</w:t>
      </w:r>
      <w:r w:rsidR="00534DDC">
        <w:t xml:space="preserve"> </w:t>
      </w:r>
      <w:r w:rsidR="00457F6F">
        <w:t xml:space="preserve">below </w:t>
      </w:r>
      <w:r w:rsidR="00206D64">
        <w:t>after considering the relevant legal principles</w:t>
      </w:r>
      <w:r w:rsidR="00534DDC">
        <w:t>.</w:t>
      </w:r>
    </w:p>
    <w:p w14:paraId="6FE79F50" w14:textId="77777777" w:rsidR="00457F6F" w:rsidRDefault="00457F6F" w:rsidP="009437DD">
      <w:pPr>
        <w:spacing w:line="360" w:lineRule="auto"/>
        <w:jc w:val="both"/>
      </w:pPr>
    </w:p>
    <w:p w14:paraId="23D7BBC5" w14:textId="77777777" w:rsidR="00183BCE" w:rsidRPr="00F51709" w:rsidRDefault="004906BF" w:rsidP="009437DD">
      <w:pPr>
        <w:spacing w:line="360" w:lineRule="auto"/>
        <w:jc w:val="both"/>
        <w:rPr>
          <w:b/>
          <w:bCs/>
        </w:rPr>
      </w:pPr>
      <w:r w:rsidRPr="004906BF">
        <w:rPr>
          <w:b/>
          <w:bCs/>
        </w:rPr>
        <w:t>The l</w:t>
      </w:r>
      <w:r w:rsidR="00534DDC">
        <w:rPr>
          <w:b/>
          <w:bCs/>
        </w:rPr>
        <w:t>egal p</w:t>
      </w:r>
      <w:r w:rsidR="00457F6F">
        <w:rPr>
          <w:b/>
          <w:bCs/>
        </w:rPr>
        <w:t>rinciples</w:t>
      </w:r>
      <w:r w:rsidR="00534DDC">
        <w:rPr>
          <w:b/>
          <w:bCs/>
        </w:rPr>
        <w:t xml:space="preserve"> </w:t>
      </w:r>
      <w:r w:rsidR="00162289">
        <w:rPr>
          <w:b/>
          <w:bCs/>
        </w:rPr>
        <w:t xml:space="preserve">regarding </w:t>
      </w:r>
      <w:r w:rsidR="00534DDC">
        <w:rPr>
          <w:b/>
          <w:bCs/>
        </w:rPr>
        <w:t xml:space="preserve">the </w:t>
      </w:r>
      <w:r w:rsidRPr="004906BF">
        <w:rPr>
          <w:b/>
          <w:bCs/>
        </w:rPr>
        <w:t xml:space="preserve">review of </w:t>
      </w:r>
      <w:r w:rsidR="00534DDC">
        <w:rPr>
          <w:b/>
          <w:bCs/>
        </w:rPr>
        <w:t>an a</w:t>
      </w:r>
      <w:r w:rsidRPr="004906BF">
        <w:rPr>
          <w:b/>
          <w:bCs/>
        </w:rPr>
        <w:t xml:space="preserve">rbitration </w:t>
      </w:r>
      <w:r w:rsidR="00534DDC">
        <w:rPr>
          <w:b/>
          <w:bCs/>
        </w:rPr>
        <w:t>a</w:t>
      </w:r>
      <w:r w:rsidRPr="004906BF">
        <w:rPr>
          <w:b/>
          <w:bCs/>
        </w:rPr>
        <w:t>ward</w:t>
      </w:r>
    </w:p>
    <w:p w14:paraId="264B4A36" w14:textId="6B2D36E0" w:rsidR="00AF735C" w:rsidRPr="00162289" w:rsidRDefault="00FD341B" w:rsidP="00FD341B">
      <w:pPr>
        <w:spacing w:line="360" w:lineRule="auto"/>
        <w:jc w:val="both"/>
        <w:rPr>
          <w:b/>
          <w:bCs/>
          <w:i/>
          <w:iCs/>
        </w:rPr>
      </w:pPr>
      <w:r w:rsidRPr="00162289">
        <w:rPr>
          <w:szCs w:val="24"/>
        </w:rPr>
        <w:t>[14]</w:t>
      </w:r>
      <w:r w:rsidRPr="00162289">
        <w:rPr>
          <w:szCs w:val="24"/>
        </w:rPr>
        <w:tab/>
      </w:r>
      <w:r w:rsidR="00FC3EEF">
        <w:rPr>
          <w:iCs/>
        </w:rPr>
        <w:t xml:space="preserve">The provisions of </w:t>
      </w:r>
      <w:r w:rsidR="000E61CB">
        <w:rPr>
          <w:iCs/>
        </w:rPr>
        <w:t xml:space="preserve">s 33 </w:t>
      </w:r>
      <w:r w:rsidR="00FC3EEF">
        <w:rPr>
          <w:iCs/>
        </w:rPr>
        <w:t xml:space="preserve">of the Act are </w:t>
      </w:r>
      <w:r w:rsidR="00B10A37" w:rsidRPr="000E61CB">
        <w:rPr>
          <w:iCs/>
        </w:rPr>
        <w:t>exhaustive</w:t>
      </w:r>
      <w:r w:rsidR="00736BA4">
        <w:rPr>
          <w:iCs/>
        </w:rPr>
        <w:t xml:space="preserve"> of </w:t>
      </w:r>
      <w:r w:rsidR="00D21105">
        <w:rPr>
          <w:iCs/>
        </w:rPr>
        <w:t xml:space="preserve">the grounds for </w:t>
      </w:r>
      <w:r w:rsidR="00736BA4">
        <w:rPr>
          <w:iCs/>
        </w:rPr>
        <w:t>review of awards in consensual arbitrations</w:t>
      </w:r>
      <w:r w:rsidR="00B10A37" w:rsidRPr="000E61CB">
        <w:rPr>
          <w:iCs/>
        </w:rPr>
        <w:t>.</w:t>
      </w:r>
      <w:r w:rsidR="00B10A37">
        <w:rPr>
          <w:rStyle w:val="FootnoteReference"/>
          <w:iCs/>
        </w:rPr>
        <w:footnoteReference w:id="16"/>
      </w:r>
      <w:r w:rsidR="00B10A37" w:rsidRPr="000E61CB">
        <w:rPr>
          <w:iCs/>
        </w:rPr>
        <w:t xml:space="preserve"> </w:t>
      </w:r>
      <w:r w:rsidR="00B10A37">
        <w:t xml:space="preserve">An aggrieved party wishing to successfully review an arbitration award must bring his or her case </w:t>
      </w:r>
      <w:r w:rsidR="00974177">
        <w:t xml:space="preserve">squarely </w:t>
      </w:r>
      <w:r w:rsidR="00B10A37">
        <w:t xml:space="preserve">within the </w:t>
      </w:r>
      <w:r w:rsidR="00EE05C2">
        <w:t xml:space="preserve">four corners of the </w:t>
      </w:r>
      <w:r w:rsidR="00736BA4">
        <w:t xml:space="preserve">relevant </w:t>
      </w:r>
      <w:r w:rsidR="00B10A37">
        <w:t>provisions of s</w:t>
      </w:r>
      <w:r w:rsidR="000E61CB">
        <w:t xml:space="preserve"> </w:t>
      </w:r>
      <w:r w:rsidR="00B10A37">
        <w:t>33 of the Act.</w:t>
      </w:r>
      <w:r w:rsidR="00974177">
        <w:t xml:space="preserve"> </w:t>
      </w:r>
      <w:r w:rsidR="00C20464">
        <w:t xml:space="preserve">The primary principle </w:t>
      </w:r>
      <w:r w:rsidR="001A099F">
        <w:t xml:space="preserve">is </w:t>
      </w:r>
      <w:r w:rsidR="00C20464">
        <w:t xml:space="preserve">that material errors in </w:t>
      </w:r>
      <w:r w:rsidR="00713CCB">
        <w:t>an</w:t>
      </w:r>
      <w:r w:rsidR="00AB4818">
        <w:t xml:space="preserve"> </w:t>
      </w:r>
      <w:r w:rsidR="00C20464">
        <w:t>award, that is</w:t>
      </w:r>
      <w:r w:rsidR="0079051C">
        <w:t>,</w:t>
      </w:r>
      <w:r w:rsidR="00C20464">
        <w:t xml:space="preserve"> errors which lead to a party being unsuccessful, are not reviewable, otherwise the distinction between appeals and reviews would be eroded</w:t>
      </w:r>
      <w:r w:rsidR="00C20464">
        <w:rPr>
          <w:rStyle w:val="FootnoteReference"/>
        </w:rPr>
        <w:footnoteReference w:id="17"/>
      </w:r>
      <w:r w:rsidR="00C20464">
        <w:t xml:space="preserve"> and s 33 of the Act impermissibly become</w:t>
      </w:r>
      <w:r w:rsidR="00BD4FC7">
        <w:t>s</w:t>
      </w:r>
      <w:r w:rsidR="00C20464">
        <w:t xml:space="preserve"> a right to appeal arbitration decisions.</w:t>
      </w:r>
      <w:r w:rsidR="00C20464">
        <w:rPr>
          <w:rStyle w:val="FootnoteReference"/>
        </w:rPr>
        <w:footnoteReference w:id="18"/>
      </w:r>
      <w:r w:rsidR="00C20464">
        <w:t xml:space="preserve"> </w:t>
      </w:r>
    </w:p>
    <w:p w14:paraId="316AC4B2" w14:textId="77777777" w:rsidR="00162289" w:rsidRPr="007C7168" w:rsidRDefault="00162289" w:rsidP="009437DD">
      <w:pPr>
        <w:spacing w:line="360" w:lineRule="auto"/>
        <w:jc w:val="both"/>
        <w:rPr>
          <w:b/>
          <w:bCs/>
          <w:i/>
          <w:iCs/>
        </w:rPr>
      </w:pPr>
    </w:p>
    <w:p w14:paraId="6808BAA7" w14:textId="2A67CCEC" w:rsidR="00AF735C" w:rsidRDefault="00FD341B" w:rsidP="00FD341B">
      <w:pPr>
        <w:spacing w:line="360" w:lineRule="auto"/>
        <w:jc w:val="both"/>
      </w:pPr>
      <w:r>
        <w:rPr>
          <w:szCs w:val="24"/>
        </w:rPr>
        <w:t>[15]</w:t>
      </w:r>
      <w:r>
        <w:rPr>
          <w:szCs w:val="24"/>
        </w:rPr>
        <w:tab/>
      </w:r>
      <w:r w:rsidR="00E20594">
        <w:t xml:space="preserve">The </w:t>
      </w:r>
      <w:r w:rsidR="00734955">
        <w:t>‘</w:t>
      </w:r>
      <w:r w:rsidR="00EE05C2">
        <w:t>g</w:t>
      </w:r>
      <w:r w:rsidR="00734955">
        <w:t>ross irregularity</w:t>
      </w:r>
      <w:r w:rsidR="00477BA1">
        <w:t>’ required by s 33(1)(</w:t>
      </w:r>
      <w:r w:rsidR="00477BA1" w:rsidRPr="00FC3EEF">
        <w:rPr>
          <w:i/>
          <w:iCs/>
        </w:rPr>
        <w:t>b</w:t>
      </w:r>
      <w:r w:rsidR="00477BA1">
        <w:t xml:space="preserve">) </w:t>
      </w:r>
      <w:r w:rsidR="005B549C">
        <w:t xml:space="preserve">must </w:t>
      </w:r>
      <w:r w:rsidR="00477BA1">
        <w:t>relate to the conduct of the proceedings, and not the result or outcome of the proceedings.</w:t>
      </w:r>
      <w:r w:rsidR="00477BA1">
        <w:rPr>
          <w:rStyle w:val="FootnoteReference"/>
        </w:rPr>
        <w:footnoteReference w:id="19"/>
      </w:r>
      <w:r w:rsidR="00477BA1">
        <w:t xml:space="preserve">  </w:t>
      </w:r>
      <w:r w:rsidR="0018638A">
        <w:t>Thus</w:t>
      </w:r>
      <w:r w:rsidR="00477BA1">
        <w:t>,</w:t>
      </w:r>
      <w:r w:rsidR="0018638A">
        <w:t xml:space="preserve"> if </w:t>
      </w:r>
      <w:r w:rsidR="002C04DC">
        <w:t>an a</w:t>
      </w:r>
      <w:r w:rsidR="00734955">
        <w:t xml:space="preserve">rbitrator </w:t>
      </w:r>
      <w:r w:rsidR="002C04DC">
        <w:t xml:space="preserve">is guilty of conducting an arbitration in </w:t>
      </w:r>
      <w:r w:rsidR="00734955">
        <w:t xml:space="preserve">some form of high-handed or arbitrary </w:t>
      </w:r>
      <w:r w:rsidR="0018638A">
        <w:t>manner</w:t>
      </w:r>
      <w:r w:rsidR="00AB4818">
        <w:t>,</w:t>
      </w:r>
      <w:r w:rsidR="00734955">
        <w:t xml:space="preserve"> or dishonest</w:t>
      </w:r>
      <w:r w:rsidR="001425E6">
        <w:t>l</w:t>
      </w:r>
      <w:r w:rsidR="00734955">
        <w:t>y</w:t>
      </w:r>
      <w:r w:rsidR="002C04DC">
        <w:t xml:space="preserve">, he or she </w:t>
      </w:r>
      <w:r w:rsidR="00427889">
        <w:t>w</w:t>
      </w:r>
      <w:r w:rsidR="002C04DC">
        <w:t xml:space="preserve">ould be guilty of </w:t>
      </w:r>
      <w:r w:rsidR="00427889">
        <w:t xml:space="preserve">a </w:t>
      </w:r>
      <w:r w:rsidR="002C04DC">
        <w:t xml:space="preserve">gross </w:t>
      </w:r>
      <w:r w:rsidR="00427889">
        <w:t xml:space="preserve">irregularity. </w:t>
      </w:r>
      <w:r w:rsidR="001425E6">
        <w:t xml:space="preserve">But a </w:t>
      </w:r>
      <w:r w:rsidR="00734955" w:rsidRPr="004827A9">
        <w:rPr>
          <w:i/>
        </w:rPr>
        <w:t>bona fide</w:t>
      </w:r>
      <w:r w:rsidR="00734955">
        <w:t xml:space="preserve"> mistake</w:t>
      </w:r>
      <w:r w:rsidR="007C7168">
        <w:t xml:space="preserve"> in respect of the merits</w:t>
      </w:r>
      <w:r w:rsidR="00734955">
        <w:t>, no matter how gross, will not suffice.</w:t>
      </w:r>
      <w:r w:rsidR="00734955">
        <w:rPr>
          <w:rStyle w:val="FootnoteReference"/>
        </w:rPr>
        <w:footnoteReference w:id="20"/>
      </w:r>
      <w:r w:rsidR="00734955">
        <w:t xml:space="preserve"> </w:t>
      </w:r>
      <w:r w:rsidR="00E20594">
        <w:t xml:space="preserve"> </w:t>
      </w:r>
      <w:r w:rsidR="00DD4F90">
        <w:t xml:space="preserve">It </w:t>
      </w:r>
      <w:r w:rsidR="00E20594">
        <w:t xml:space="preserve">is </w:t>
      </w:r>
      <w:r w:rsidR="00713CCB">
        <w:t xml:space="preserve">furthermore </w:t>
      </w:r>
      <w:r w:rsidR="00DD4F90">
        <w:t xml:space="preserve">not every irregularity in the </w:t>
      </w:r>
      <w:r w:rsidR="0018638A">
        <w:t xml:space="preserve">conduct of the </w:t>
      </w:r>
      <w:r w:rsidR="00DD4F90">
        <w:t xml:space="preserve">proceedings </w:t>
      </w:r>
      <w:r w:rsidR="00AB4818">
        <w:t xml:space="preserve">that </w:t>
      </w:r>
      <w:r w:rsidR="00DD4F90">
        <w:t>will afford grounds for review</w:t>
      </w:r>
      <w:r w:rsidR="00457F6F">
        <w:t>:</w:t>
      </w:r>
      <w:r w:rsidR="001A099F">
        <w:t xml:space="preserve"> the </w:t>
      </w:r>
      <w:r w:rsidR="00DD4F90">
        <w:t>irregularity must have been of such a serious nature that it resulted in the aggrieved party not having his case fully and fairly determined.</w:t>
      </w:r>
      <w:r w:rsidR="00DD4F90">
        <w:rPr>
          <w:rStyle w:val="FootnoteReference"/>
        </w:rPr>
        <w:footnoteReference w:id="21"/>
      </w:r>
    </w:p>
    <w:p w14:paraId="31ED7847" w14:textId="77777777" w:rsidR="007B4B36" w:rsidRDefault="007B4B36" w:rsidP="009437DD">
      <w:pPr>
        <w:spacing w:line="360" w:lineRule="auto"/>
        <w:jc w:val="both"/>
      </w:pPr>
    </w:p>
    <w:p w14:paraId="7E2C0CF0" w14:textId="0774E452" w:rsidR="001425E6" w:rsidRPr="00280BD1" w:rsidRDefault="00FD341B" w:rsidP="00FD341B">
      <w:pPr>
        <w:spacing w:line="360" w:lineRule="auto"/>
        <w:jc w:val="both"/>
        <w:rPr>
          <w:sz w:val="22"/>
          <w:szCs w:val="22"/>
        </w:rPr>
      </w:pPr>
      <w:r w:rsidRPr="00280BD1">
        <w:rPr>
          <w:szCs w:val="24"/>
        </w:rPr>
        <w:t>[16]</w:t>
      </w:r>
      <w:r w:rsidRPr="00280BD1">
        <w:rPr>
          <w:szCs w:val="24"/>
        </w:rPr>
        <w:tab/>
      </w:r>
      <w:r w:rsidR="001425E6">
        <w:t xml:space="preserve">In </w:t>
      </w:r>
      <w:r w:rsidR="001425E6" w:rsidRPr="00280BD1">
        <w:rPr>
          <w:i/>
          <w:iCs/>
        </w:rPr>
        <w:t>Lufuno Mphaphuli and Associates v Andrews</w:t>
      </w:r>
      <w:r w:rsidR="001425E6">
        <w:rPr>
          <w:rStyle w:val="FootnoteReference"/>
          <w:i/>
          <w:iCs/>
        </w:rPr>
        <w:footnoteReference w:id="22"/>
      </w:r>
      <w:r w:rsidR="001425E6">
        <w:t xml:space="preserve"> the Constitutional </w:t>
      </w:r>
      <w:r w:rsidR="00E20594">
        <w:t>C</w:t>
      </w:r>
      <w:r w:rsidR="001425E6">
        <w:t xml:space="preserve">ourt </w:t>
      </w:r>
      <w:r w:rsidR="00280BD1">
        <w:t>held</w:t>
      </w:r>
      <w:r w:rsidR="001425E6">
        <w:t>:</w:t>
      </w:r>
    </w:p>
    <w:p w14:paraId="7AF94886" w14:textId="77777777" w:rsidR="001425E6" w:rsidRPr="001425E6" w:rsidRDefault="001425E6" w:rsidP="009437DD">
      <w:pPr>
        <w:pStyle w:val="ListParagraph"/>
        <w:spacing w:line="360" w:lineRule="auto"/>
        <w:ind w:left="0"/>
        <w:jc w:val="both"/>
        <w:rPr>
          <w:sz w:val="22"/>
          <w:szCs w:val="22"/>
        </w:rPr>
      </w:pPr>
      <w:r w:rsidRPr="001425E6">
        <w:rPr>
          <w:sz w:val="22"/>
          <w:szCs w:val="22"/>
        </w:rPr>
        <w:t>‘</w:t>
      </w:r>
      <w:r w:rsidR="004D759F" w:rsidRPr="004D759F">
        <w:rPr>
          <w:sz w:val="22"/>
          <w:szCs w:val="22"/>
          <w:lang w:val="en-GB"/>
        </w:rPr>
        <w:t>At Roman-Dutch law, it was always accepted that a submission to arbitration was subject to</w:t>
      </w:r>
      <w:r w:rsidR="004D759F">
        <w:rPr>
          <w:sz w:val="22"/>
          <w:szCs w:val="22"/>
          <w:lang w:val="en-GB"/>
        </w:rPr>
        <w:t xml:space="preserve"> </w:t>
      </w:r>
      <w:r w:rsidR="004D759F" w:rsidRPr="004D759F">
        <w:rPr>
          <w:sz w:val="22"/>
          <w:szCs w:val="22"/>
          <w:lang w:val="en-GB"/>
        </w:rPr>
        <w:t>an implied condition that the arbitrator should proceed fairly or, as it is sometimes described,</w:t>
      </w:r>
      <w:r w:rsidR="004D759F">
        <w:rPr>
          <w:sz w:val="22"/>
          <w:szCs w:val="22"/>
          <w:lang w:val="en-GB"/>
        </w:rPr>
        <w:t xml:space="preserve"> </w:t>
      </w:r>
      <w:r w:rsidR="004D759F" w:rsidRPr="004D759F">
        <w:rPr>
          <w:sz w:val="22"/>
          <w:szCs w:val="22"/>
          <w:lang w:val="en-GB"/>
        </w:rPr>
        <w:t>according to law and justice. The recognition of such an implied condition fits snugly with modern</w:t>
      </w:r>
      <w:r w:rsidR="004D759F">
        <w:rPr>
          <w:sz w:val="22"/>
          <w:szCs w:val="22"/>
          <w:lang w:val="en-GB"/>
        </w:rPr>
        <w:t xml:space="preserve"> </w:t>
      </w:r>
      <w:r w:rsidR="004D759F" w:rsidRPr="004D759F">
        <w:rPr>
          <w:sz w:val="22"/>
          <w:szCs w:val="22"/>
          <w:lang w:val="en-GB"/>
        </w:rPr>
        <w:t>constitutional values. In interpreting an arbitration agreement, it should ordinarily be accepted that</w:t>
      </w:r>
      <w:r w:rsidR="004D759F">
        <w:rPr>
          <w:sz w:val="22"/>
          <w:szCs w:val="22"/>
          <w:lang w:val="en-GB"/>
        </w:rPr>
        <w:t xml:space="preserve"> </w:t>
      </w:r>
      <w:r w:rsidR="004D759F" w:rsidRPr="004D759F">
        <w:rPr>
          <w:sz w:val="22"/>
          <w:szCs w:val="22"/>
          <w:lang w:val="en-GB"/>
        </w:rPr>
        <w:t>when parties submit to arbitration, they submit to a process they intend should be fair</w:t>
      </w:r>
      <w:r w:rsidR="004D759F">
        <w:rPr>
          <w:sz w:val="22"/>
          <w:szCs w:val="22"/>
          <w:lang w:val="en-GB"/>
        </w:rPr>
        <w:t>.’</w:t>
      </w:r>
    </w:p>
    <w:p w14:paraId="6E3D7AE0" w14:textId="7B0554D5" w:rsidR="00382A45" w:rsidRDefault="0079051C" w:rsidP="009437DD">
      <w:pPr>
        <w:spacing w:line="360" w:lineRule="auto"/>
        <w:jc w:val="both"/>
      </w:pPr>
      <w:r>
        <w:rPr>
          <w:szCs w:val="24"/>
        </w:rPr>
        <w:t xml:space="preserve">O’Regan ADCJ </w:t>
      </w:r>
      <w:r w:rsidR="00A734AA">
        <w:rPr>
          <w:szCs w:val="24"/>
        </w:rPr>
        <w:t>c</w:t>
      </w:r>
      <w:r w:rsidR="00BA458F">
        <w:rPr>
          <w:szCs w:val="24"/>
        </w:rPr>
        <w:t>autioned that</w:t>
      </w:r>
      <w:r w:rsidR="005566B3" w:rsidRPr="002C04DC">
        <w:rPr>
          <w:szCs w:val="24"/>
        </w:rPr>
        <w:t>:</w:t>
      </w:r>
      <w:r w:rsidR="00382A45" w:rsidRPr="00382A45">
        <w:t xml:space="preserve"> </w:t>
      </w:r>
    </w:p>
    <w:p w14:paraId="486027E7" w14:textId="479FD4D1" w:rsidR="005566B3" w:rsidRPr="002C04DC" w:rsidRDefault="00382A45" w:rsidP="009437DD">
      <w:pPr>
        <w:spacing w:line="360" w:lineRule="auto"/>
        <w:jc w:val="both"/>
      </w:pPr>
      <w:r w:rsidRPr="00382A45">
        <w:rPr>
          <w:szCs w:val="24"/>
        </w:rPr>
        <w:t>‘it seems to me that the values of our Constitution will not necessarily best be served by interpreting s 33(1) in a manner that enhances the power of courts to set aside private arbitration awards . . . In my view, and in the light of the reasoning in the previous paragraphs, the Constitution would require a court to construe these grounds reasonably strictly in relation to private arbitration . . . Courts should be respectful of the intentions of the parties in relation to procedure. In so doing, they should bear in mind the purposes of private arbitration which include the fast and cost-effective resolution of disputes. If courts are too quick to find fault with the manner in which an arbitration has been conducted, and too willing to conclude that the faulty procedure is unfair or constitutes a gross irregularity within the meaning of s 33(1), the goals of private arbitration may well be defeated.’</w:t>
      </w:r>
      <w:r w:rsidR="00BD75FA">
        <w:rPr>
          <w:rStyle w:val="FootnoteReference"/>
          <w:szCs w:val="24"/>
        </w:rPr>
        <w:footnoteReference w:id="23"/>
      </w:r>
    </w:p>
    <w:p w14:paraId="6FF442CD" w14:textId="77777777" w:rsidR="002C04DC" w:rsidRDefault="002C04DC" w:rsidP="009437DD">
      <w:pPr>
        <w:spacing w:line="360" w:lineRule="auto"/>
        <w:jc w:val="both"/>
      </w:pPr>
    </w:p>
    <w:p w14:paraId="08B3AD22" w14:textId="5532585E" w:rsidR="0018638A" w:rsidRPr="00BD75FA" w:rsidRDefault="00FD341B" w:rsidP="00FD341B">
      <w:pPr>
        <w:spacing w:line="360" w:lineRule="auto"/>
        <w:jc w:val="both"/>
      </w:pPr>
      <w:r w:rsidRPr="00BD75FA">
        <w:rPr>
          <w:szCs w:val="24"/>
        </w:rPr>
        <w:t>[17]</w:t>
      </w:r>
      <w:r w:rsidRPr="00BD75FA">
        <w:rPr>
          <w:szCs w:val="24"/>
        </w:rPr>
        <w:tab/>
      </w:r>
      <w:r w:rsidR="00734955" w:rsidRPr="00003014">
        <w:rPr>
          <w:i/>
          <w:iCs/>
        </w:rPr>
        <w:t>Goldfields Investment Ltd v City Council of Johannesburg</w:t>
      </w:r>
      <w:r w:rsidR="00734955">
        <w:rPr>
          <w:rStyle w:val="FootnoteReference"/>
        </w:rPr>
        <w:footnoteReference w:id="24"/>
      </w:r>
      <w:r w:rsidR="00E31B3F">
        <w:rPr>
          <w:i/>
          <w:iCs/>
        </w:rPr>
        <w:t xml:space="preserve"> </w:t>
      </w:r>
      <w:r w:rsidR="00382A45">
        <w:rPr>
          <w:i/>
          <w:iCs/>
        </w:rPr>
        <w:t xml:space="preserve">(Goldfields Investment) </w:t>
      </w:r>
      <w:r w:rsidR="0018638A">
        <w:t>held</w:t>
      </w:r>
      <w:r w:rsidR="00954AF8">
        <w:t>,</w:t>
      </w:r>
      <w:r w:rsidR="00222B79">
        <w:t xml:space="preserve"> as regards what would constitute </w:t>
      </w:r>
      <w:r w:rsidR="00954AF8">
        <w:t xml:space="preserve">a </w:t>
      </w:r>
      <w:r w:rsidR="00222B79">
        <w:t xml:space="preserve">‘gross irregularity,’ </w:t>
      </w:r>
      <w:r w:rsidR="0018638A">
        <w:t>a</w:t>
      </w:r>
      <w:r w:rsidR="00974177" w:rsidRPr="00974177">
        <w:t xml:space="preserve">lbeit in </w:t>
      </w:r>
      <w:r w:rsidR="006D7616">
        <w:t>the context of a review of magistrate’s court proceedings</w:t>
      </w:r>
      <w:r w:rsidR="00280BD1">
        <w:t>,</w:t>
      </w:r>
      <w:r w:rsidR="0018638A">
        <w:t xml:space="preserve"> that</w:t>
      </w:r>
      <w:r w:rsidR="00974177" w:rsidRPr="00BD75FA">
        <w:rPr>
          <w:iCs/>
        </w:rPr>
        <w:t>:</w:t>
      </w:r>
      <w:r w:rsidR="007B4B36" w:rsidRPr="00BD75FA">
        <w:rPr>
          <w:rStyle w:val="FootnoteReference"/>
          <w:iCs/>
        </w:rPr>
        <w:footnoteReference w:id="25"/>
      </w:r>
    </w:p>
    <w:p w14:paraId="7005B229" w14:textId="77777777" w:rsidR="00734955" w:rsidRPr="00751747" w:rsidRDefault="00751747" w:rsidP="009437DD">
      <w:pPr>
        <w:spacing w:line="360" w:lineRule="auto"/>
        <w:jc w:val="both"/>
        <w:rPr>
          <w:sz w:val="22"/>
          <w:szCs w:val="22"/>
        </w:rPr>
      </w:pPr>
      <w:r>
        <w:rPr>
          <w:sz w:val="22"/>
          <w:szCs w:val="22"/>
          <w:lang w:val="en-GB"/>
        </w:rPr>
        <w:t>‘</w:t>
      </w:r>
      <w:r w:rsidRPr="00751747">
        <w:rPr>
          <w:sz w:val="22"/>
          <w:szCs w:val="22"/>
          <w:lang w:val="en-GB"/>
        </w:rPr>
        <w:t xml:space="preserve">The crucial question is whether </w:t>
      </w:r>
      <w:r>
        <w:rPr>
          <w:sz w:val="22"/>
          <w:szCs w:val="22"/>
        </w:rPr>
        <w:t>[the irregularity]</w:t>
      </w:r>
      <w:r w:rsidRPr="00751747">
        <w:rPr>
          <w:sz w:val="22"/>
          <w:szCs w:val="22"/>
          <w:lang w:val="en-GB"/>
        </w:rPr>
        <w:t xml:space="preserve"> prevented a fair trial of the issues. If it did prevent a fair trial of the</w:t>
      </w:r>
      <w:r>
        <w:rPr>
          <w:sz w:val="22"/>
          <w:szCs w:val="22"/>
          <w:lang w:val="en-GB"/>
        </w:rPr>
        <w:t xml:space="preserve"> </w:t>
      </w:r>
      <w:r w:rsidRPr="00751747">
        <w:rPr>
          <w:sz w:val="22"/>
          <w:szCs w:val="22"/>
          <w:lang w:val="en-GB"/>
        </w:rPr>
        <w:t>issues then it will amount to a gross irregularity. Many patent i</w:t>
      </w:r>
      <w:r>
        <w:rPr>
          <w:sz w:val="22"/>
          <w:szCs w:val="22"/>
          <w:lang w:val="en-GB"/>
        </w:rPr>
        <w:t xml:space="preserve">rregularities have this effect . . . </w:t>
      </w:r>
      <w:r w:rsidRPr="00751747">
        <w:rPr>
          <w:sz w:val="22"/>
          <w:szCs w:val="22"/>
          <w:lang w:val="en-GB"/>
        </w:rPr>
        <w:t xml:space="preserve">If, on the other hand, </w:t>
      </w:r>
      <w:r>
        <w:rPr>
          <w:sz w:val="22"/>
          <w:szCs w:val="22"/>
          <w:lang w:val="en-GB"/>
        </w:rPr>
        <w:t>[the magistrate]</w:t>
      </w:r>
      <w:r w:rsidRPr="00751747">
        <w:rPr>
          <w:sz w:val="22"/>
          <w:szCs w:val="22"/>
          <w:lang w:val="en-GB"/>
        </w:rPr>
        <w:t xml:space="preserve"> merely comes to a wrong decision owing to his having made</w:t>
      </w:r>
      <w:r>
        <w:rPr>
          <w:sz w:val="22"/>
          <w:szCs w:val="22"/>
          <w:lang w:val="en-GB"/>
        </w:rPr>
        <w:t xml:space="preserve"> </w:t>
      </w:r>
      <w:r w:rsidRPr="00751747">
        <w:rPr>
          <w:sz w:val="22"/>
          <w:szCs w:val="22"/>
          <w:lang w:val="en-GB"/>
        </w:rPr>
        <w:t>a mistake on a point of law in relation to the merits, this does not amount to gross irregularity. In matters relating</w:t>
      </w:r>
      <w:r>
        <w:rPr>
          <w:sz w:val="22"/>
          <w:szCs w:val="22"/>
          <w:lang w:val="en-GB"/>
        </w:rPr>
        <w:t xml:space="preserve"> </w:t>
      </w:r>
      <w:r w:rsidRPr="00751747">
        <w:rPr>
          <w:sz w:val="22"/>
          <w:szCs w:val="22"/>
          <w:lang w:val="en-GB"/>
        </w:rPr>
        <w:t>to the merits the magistrate may err by taking a wrong one of several possible views, or he may err by mistaking or</w:t>
      </w:r>
      <w:r>
        <w:rPr>
          <w:sz w:val="22"/>
          <w:szCs w:val="22"/>
          <w:lang w:val="en-GB"/>
        </w:rPr>
        <w:t xml:space="preserve"> </w:t>
      </w:r>
      <w:r w:rsidRPr="00751747">
        <w:rPr>
          <w:sz w:val="22"/>
          <w:szCs w:val="22"/>
          <w:lang w:val="en-GB"/>
        </w:rPr>
        <w:t>misunderstanding the point in issue. In the latter case it may be said that he is in a sense failing to address his</w:t>
      </w:r>
      <w:r>
        <w:rPr>
          <w:sz w:val="22"/>
          <w:szCs w:val="22"/>
          <w:lang w:val="en-GB"/>
        </w:rPr>
        <w:t xml:space="preserve"> </w:t>
      </w:r>
      <w:r w:rsidRPr="00751747">
        <w:rPr>
          <w:sz w:val="22"/>
          <w:szCs w:val="22"/>
          <w:lang w:val="en-GB"/>
        </w:rPr>
        <w:t>mind to the true point to be decided and therefore failing to afford the parties a fair trial. But that is not necessarily</w:t>
      </w:r>
      <w:r>
        <w:rPr>
          <w:sz w:val="22"/>
          <w:szCs w:val="22"/>
          <w:lang w:val="en-GB"/>
        </w:rPr>
        <w:t xml:space="preserve"> </w:t>
      </w:r>
      <w:r w:rsidRPr="00751747">
        <w:rPr>
          <w:sz w:val="22"/>
          <w:szCs w:val="22"/>
          <w:lang w:val="en-GB"/>
        </w:rPr>
        <w:t>the case. Where the point relates only to the merits of the case, it would be straining the language to describe it as</w:t>
      </w:r>
      <w:r>
        <w:rPr>
          <w:sz w:val="22"/>
          <w:szCs w:val="22"/>
          <w:lang w:val="en-GB"/>
        </w:rPr>
        <w:t xml:space="preserve"> </w:t>
      </w:r>
      <w:r w:rsidRPr="00751747">
        <w:rPr>
          <w:sz w:val="22"/>
          <w:szCs w:val="22"/>
          <w:lang w:val="en-GB"/>
        </w:rPr>
        <w:t>a gross irregularity or a denial of a fair trial. One would say that the magistrate has decided the ease fairly but has</w:t>
      </w:r>
      <w:r>
        <w:rPr>
          <w:sz w:val="22"/>
          <w:szCs w:val="22"/>
          <w:lang w:val="en-GB"/>
        </w:rPr>
        <w:t xml:space="preserve"> gone wrong on the law</w:t>
      </w:r>
      <w:r w:rsidR="00734955" w:rsidRPr="0018638A">
        <w:rPr>
          <w:sz w:val="22"/>
          <w:szCs w:val="22"/>
        </w:rPr>
        <w:t>.</w:t>
      </w:r>
      <w:r>
        <w:rPr>
          <w:sz w:val="22"/>
          <w:szCs w:val="22"/>
        </w:rPr>
        <w:t>’</w:t>
      </w:r>
      <w:r w:rsidR="00734955" w:rsidRPr="007A11D8">
        <w:rPr>
          <w:rStyle w:val="FootnoteReference"/>
          <w:sz w:val="22"/>
          <w:szCs w:val="22"/>
        </w:rPr>
        <w:footnoteReference w:id="26"/>
      </w:r>
      <w:r w:rsidR="00734955" w:rsidRPr="0018638A">
        <w:rPr>
          <w:sz w:val="22"/>
          <w:szCs w:val="22"/>
        </w:rPr>
        <w:t xml:space="preserve"> </w:t>
      </w:r>
    </w:p>
    <w:p w14:paraId="2590D3AB" w14:textId="77777777" w:rsidR="002E6BED" w:rsidRDefault="00736BA4" w:rsidP="009437DD">
      <w:pPr>
        <w:pStyle w:val="ListParagraph"/>
        <w:spacing w:line="360" w:lineRule="auto"/>
        <w:ind w:left="0"/>
        <w:jc w:val="both"/>
      </w:pPr>
      <w:r>
        <w:t>Simply put:</w:t>
      </w:r>
    </w:p>
    <w:p w14:paraId="40151BDE" w14:textId="77777777" w:rsidR="00734955" w:rsidRDefault="002E6BED" w:rsidP="009437DD">
      <w:pPr>
        <w:spacing w:line="360" w:lineRule="auto"/>
        <w:jc w:val="both"/>
      </w:pPr>
      <w:r>
        <w:t>‘</w:t>
      </w:r>
      <w:r w:rsidR="005F2CD7" w:rsidRPr="005F2CD7">
        <w:rPr>
          <w:sz w:val="22"/>
          <w:szCs w:val="22"/>
          <w:lang w:val="en-GB"/>
        </w:rPr>
        <w:t>an irregularity in proceedings does not mean an incorrect judgment; it refers not</w:t>
      </w:r>
      <w:r w:rsidR="005F2CD7">
        <w:rPr>
          <w:sz w:val="22"/>
          <w:szCs w:val="22"/>
          <w:lang w:val="en-GB"/>
        </w:rPr>
        <w:t xml:space="preserve"> </w:t>
      </w:r>
      <w:r w:rsidR="005F2CD7" w:rsidRPr="005F2CD7">
        <w:rPr>
          <w:sz w:val="22"/>
          <w:szCs w:val="22"/>
          <w:lang w:val="en-GB"/>
        </w:rPr>
        <w:t>to the result</w:t>
      </w:r>
      <w:r w:rsidR="005F2CD7">
        <w:rPr>
          <w:sz w:val="22"/>
          <w:szCs w:val="22"/>
          <w:lang w:val="en-GB"/>
        </w:rPr>
        <w:t xml:space="preserve">, but to the methods of a trial </w:t>
      </w:r>
      <w:r w:rsidR="00DD4F90" w:rsidRPr="002E6BED">
        <w:rPr>
          <w:sz w:val="22"/>
          <w:szCs w:val="22"/>
        </w:rPr>
        <w:t>.</w:t>
      </w:r>
      <w:r w:rsidRPr="002E6BED">
        <w:rPr>
          <w:sz w:val="22"/>
          <w:szCs w:val="22"/>
        </w:rPr>
        <w:t xml:space="preserve"> . . </w:t>
      </w:r>
      <w:r w:rsidR="005F2CD7" w:rsidRPr="005F2CD7">
        <w:rPr>
          <w:sz w:val="22"/>
          <w:szCs w:val="22"/>
        </w:rPr>
        <w:t>which has</w:t>
      </w:r>
      <w:r w:rsidR="005F2CD7">
        <w:rPr>
          <w:sz w:val="22"/>
          <w:szCs w:val="22"/>
        </w:rPr>
        <w:t xml:space="preserve"> </w:t>
      </w:r>
      <w:r w:rsidR="005F2CD7" w:rsidRPr="005F2CD7">
        <w:rPr>
          <w:sz w:val="22"/>
          <w:szCs w:val="22"/>
        </w:rPr>
        <w:t>prevented the aggrieved party from having his case fully and fairly determined</w:t>
      </w:r>
      <w:r>
        <w:t>.’</w:t>
      </w:r>
      <w:r w:rsidR="00734955" w:rsidRPr="00165530">
        <w:rPr>
          <w:rStyle w:val="FootnoteReference"/>
        </w:rPr>
        <w:footnoteReference w:id="27"/>
      </w:r>
      <w:r w:rsidR="00734955" w:rsidRPr="00165530">
        <w:t xml:space="preserve"> </w:t>
      </w:r>
    </w:p>
    <w:p w14:paraId="04DAD7D6" w14:textId="77777777" w:rsidR="005810E5" w:rsidRDefault="005810E5" w:rsidP="009437DD">
      <w:pPr>
        <w:spacing w:line="360" w:lineRule="auto"/>
        <w:jc w:val="both"/>
      </w:pPr>
    </w:p>
    <w:p w14:paraId="5A96EB75" w14:textId="3B981A36" w:rsidR="00734955" w:rsidRDefault="00FD341B" w:rsidP="00FD341B">
      <w:pPr>
        <w:spacing w:line="360" w:lineRule="auto"/>
        <w:jc w:val="both"/>
      </w:pPr>
      <w:r>
        <w:rPr>
          <w:szCs w:val="24"/>
        </w:rPr>
        <w:t>[18]</w:t>
      </w:r>
      <w:r>
        <w:rPr>
          <w:szCs w:val="24"/>
        </w:rPr>
        <w:tab/>
      </w:r>
      <w:r w:rsidR="005F2F3F">
        <w:t xml:space="preserve">A gross irregularity </w:t>
      </w:r>
      <w:r w:rsidR="007C7168">
        <w:t xml:space="preserve">may </w:t>
      </w:r>
      <w:r w:rsidR="005F2F3F">
        <w:t xml:space="preserve">include </w:t>
      </w:r>
      <w:r w:rsidR="005F2F3F" w:rsidRPr="00165530">
        <w:t>a decision-maker misconceiv</w:t>
      </w:r>
      <w:r w:rsidR="00457F6F">
        <w:t>ing</w:t>
      </w:r>
      <w:r w:rsidR="005F2F3F" w:rsidRPr="00165530">
        <w:t xml:space="preserve"> </w:t>
      </w:r>
      <w:r w:rsidR="007C7168">
        <w:t>the mandate</w:t>
      </w:r>
      <w:r w:rsidR="00954AF8">
        <w:t>.</w:t>
      </w:r>
      <w:r w:rsidR="005F2F3F" w:rsidRPr="00165530">
        <w:t xml:space="preserve"> </w:t>
      </w:r>
      <w:r w:rsidR="00457F6F">
        <w:t xml:space="preserve">As was held in </w:t>
      </w:r>
      <w:r w:rsidR="00734955" w:rsidRPr="00FD341B">
        <w:rPr>
          <w:i/>
          <w:iCs/>
        </w:rPr>
        <w:t xml:space="preserve">Palabora Copper (Pty) Ltd v Motlokwa Transport </w:t>
      </w:r>
      <w:r w:rsidR="005168F5" w:rsidRPr="00FD341B">
        <w:rPr>
          <w:i/>
          <w:iCs/>
        </w:rPr>
        <w:t>&amp;</w:t>
      </w:r>
      <w:r w:rsidR="00734955" w:rsidRPr="00FD341B">
        <w:rPr>
          <w:i/>
          <w:iCs/>
        </w:rPr>
        <w:t xml:space="preserve"> Construction (Pty) Ltd</w:t>
      </w:r>
      <w:r w:rsidR="00EB5CCE" w:rsidRPr="00FD341B">
        <w:rPr>
          <w:i/>
          <w:iCs/>
        </w:rPr>
        <w:t xml:space="preserve"> (Palabora)</w:t>
      </w:r>
      <w:r w:rsidR="00457F6F" w:rsidRPr="00457F6F">
        <w:t>:</w:t>
      </w:r>
      <w:r w:rsidR="00734955">
        <w:rPr>
          <w:rStyle w:val="FootnoteReference"/>
        </w:rPr>
        <w:footnoteReference w:id="28"/>
      </w:r>
      <w:r w:rsidR="00165530" w:rsidRPr="00FD341B">
        <w:rPr>
          <w:i/>
          <w:iCs/>
        </w:rPr>
        <w:t xml:space="preserve"> </w:t>
      </w:r>
    </w:p>
    <w:p w14:paraId="6AD3C29D" w14:textId="77777777" w:rsidR="00B10A37" w:rsidRDefault="00734955" w:rsidP="009437DD">
      <w:pPr>
        <w:spacing w:line="360" w:lineRule="auto"/>
        <w:jc w:val="both"/>
        <w:rPr>
          <w:sz w:val="22"/>
          <w:szCs w:val="22"/>
        </w:rPr>
      </w:pPr>
      <w:r w:rsidRPr="00E8092F">
        <w:rPr>
          <w:sz w:val="22"/>
          <w:szCs w:val="22"/>
        </w:rPr>
        <w:t>‘</w:t>
      </w:r>
      <w:r w:rsidR="005168F5" w:rsidRPr="005168F5">
        <w:rPr>
          <w:sz w:val="22"/>
          <w:szCs w:val="22"/>
          <w:lang w:val="en-GB"/>
        </w:rPr>
        <w:t>It suffices</w:t>
      </w:r>
      <w:r w:rsidR="005168F5">
        <w:rPr>
          <w:sz w:val="22"/>
          <w:szCs w:val="22"/>
          <w:lang w:val="en-GB"/>
        </w:rPr>
        <w:t xml:space="preserve"> </w:t>
      </w:r>
      <w:r w:rsidR="005168F5" w:rsidRPr="005168F5">
        <w:rPr>
          <w:sz w:val="22"/>
          <w:szCs w:val="22"/>
          <w:lang w:val="en-GB"/>
        </w:rPr>
        <w:t>to say that where an arbitrator for some reason misconceives the nature of the enquiry in the</w:t>
      </w:r>
      <w:r w:rsidR="005168F5">
        <w:rPr>
          <w:sz w:val="22"/>
          <w:szCs w:val="22"/>
          <w:lang w:val="en-GB"/>
        </w:rPr>
        <w:t xml:space="preserve"> </w:t>
      </w:r>
      <w:r w:rsidR="005168F5" w:rsidRPr="005168F5">
        <w:rPr>
          <w:sz w:val="22"/>
          <w:szCs w:val="22"/>
          <w:lang w:val="en-GB"/>
        </w:rPr>
        <w:t>arbitration proceedings with the result that a party is denied a fair hearing or a fair trial of the</w:t>
      </w:r>
      <w:r w:rsidR="005168F5">
        <w:rPr>
          <w:sz w:val="22"/>
          <w:szCs w:val="22"/>
          <w:lang w:val="en-GB"/>
        </w:rPr>
        <w:t xml:space="preserve"> </w:t>
      </w:r>
      <w:r w:rsidR="005168F5" w:rsidRPr="005168F5">
        <w:rPr>
          <w:sz w:val="22"/>
          <w:szCs w:val="22"/>
          <w:lang w:val="en-GB"/>
        </w:rPr>
        <w:t>issues, that constitutes a gross irregularity. The party alleging the gross irregularity must</w:t>
      </w:r>
      <w:r w:rsidR="005168F5">
        <w:rPr>
          <w:sz w:val="22"/>
          <w:szCs w:val="22"/>
          <w:lang w:val="en-GB"/>
        </w:rPr>
        <w:t xml:space="preserve"> </w:t>
      </w:r>
      <w:r w:rsidR="005168F5" w:rsidRPr="005168F5">
        <w:rPr>
          <w:sz w:val="22"/>
          <w:szCs w:val="22"/>
          <w:lang w:val="en-GB"/>
        </w:rPr>
        <w:t>establish it. Where an arbitrator engages in the correct enquiry, but errs either on the facts or the</w:t>
      </w:r>
      <w:r w:rsidR="005168F5">
        <w:rPr>
          <w:sz w:val="22"/>
          <w:szCs w:val="22"/>
          <w:lang w:val="en-GB"/>
        </w:rPr>
        <w:t xml:space="preserve"> </w:t>
      </w:r>
      <w:r w:rsidR="005168F5" w:rsidRPr="005168F5">
        <w:rPr>
          <w:sz w:val="22"/>
          <w:szCs w:val="22"/>
          <w:lang w:val="en-GB"/>
        </w:rPr>
        <w:t>law, that is not an irregularity and is not a basis for setting aside an award. If parties choose</w:t>
      </w:r>
      <w:r w:rsidR="005168F5">
        <w:rPr>
          <w:sz w:val="22"/>
          <w:szCs w:val="22"/>
          <w:lang w:val="en-GB"/>
        </w:rPr>
        <w:t xml:space="preserve"> </w:t>
      </w:r>
      <w:r w:rsidR="005168F5" w:rsidRPr="005168F5">
        <w:rPr>
          <w:sz w:val="22"/>
          <w:szCs w:val="22"/>
          <w:lang w:val="en-GB"/>
        </w:rPr>
        <w:t xml:space="preserve">arbitration, courts endeavour to uphold their choice and do not lightly disturb it. </w:t>
      </w:r>
      <w:r w:rsidR="005168F5">
        <w:rPr>
          <w:sz w:val="22"/>
          <w:szCs w:val="22"/>
          <w:lang w:val="en-GB"/>
        </w:rPr>
        <w:t>T</w:t>
      </w:r>
      <w:r w:rsidR="005168F5" w:rsidRPr="005168F5">
        <w:rPr>
          <w:sz w:val="22"/>
          <w:szCs w:val="22"/>
          <w:lang w:val="en-GB"/>
        </w:rPr>
        <w:t>he attack on</w:t>
      </w:r>
      <w:r w:rsidR="005168F5">
        <w:rPr>
          <w:sz w:val="22"/>
          <w:szCs w:val="22"/>
          <w:lang w:val="en-GB"/>
        </w:rPr>
        <w:t xml:space="preserve"> </w:t>
      </w:r>
      <w:r w:rsidR="005168F5" w:rsidRPr="005168F5">
        <w:rPr>
          <w:sz w:val="22"/>
          <w:szCs w:val="22"/>
          <w:lang w:val="en-GB"/>
        </w:rPr>
        <w:t>the award must be measured against these standards.</w:t>
      </w:r>
      <w:r w:rsidR="005168F5">
        <w:rPr>
          <w:sz w:val="22"/>
          <w:szCs w:val="22"/>
        </w:rPr>
        <w:t>’</w:t>
      </w:r>
    </w:p>
    <w:p w14:paraId="58DDFC71" w14:textId="77777777" w:rsidR="005168F5" w:rsidRPr="005168F5" w:rsidRDefault="005168F5" w:rsidP="009437DD">
      <w:pPr>
        <w:spacing w:line="360" w:lineRule="auto"/>
        <w:jc w:val="both"/>
        <w:rPr>
          <w:b/>
          <w:bCs/>
          <w:i/>
          <w:iCs/>
        </w:rPr>
      </w:pPr>
    </w:p>
    <w:p w14:paraId="572A5B2F" w14:textId="786C9E7D" w:rsidR="00EF4B46" w:rsidRDefault="00FD341B" w:rsidP="00FD341B">
      <w:pPr>
        <w:spacing w:line="360" w:lineRule="auto"/>
        <w:jc w:val="both"/>
      </w:pPr>
      <w:r>
        <w:rPr>
          <w:szCs w:val="24"/>
        </w:rPr>
        <w:t>[19]</w:t>
      </w:r>
      <w:r>
        <w:rPr>
          <w:szCs w:val="24"/>
        </w:rPr>
        <w:tab/>
      </w:r>
      <w:r w:rsidR="005566B3">
        <w:t>A</w:t>
      </w:r>
      <w:r w:rsidR="00DD4F90">
        <w:t xml:space="preserve"> </w:t>
      </w:r>
      <w:r w:rsidR="00907C09">
        <w:t xml:space="preserve">review </w:t>
      </w:r>
      <w:r w:rsidR="00BA458F">
        <w:t xml:space="preserve">in terms of </w:t>
      </w:r>
      <w:r w:rsidR="00907C09">
        <w:t>s 33(1)</w:t>
      </w:r>
      <w:r w:rsidR="00907C09" w:rsidRPr="005168F5">
        <w:rPr>
          <w:i/>
        </w:rPr>
        <w:t>(b)</w:t>
      </w:r>
      <w:r w:rsidR="00907C09">
        <w:t xml:space="preserve"> of the Act</w:t>
      </w:r>
      <w:r w:rsidR="005566B3">
        <w:t xml:space="preserve"> </w:t>
      </w:r>
      <w:r w:rsidR="003E5DE9">
        <w:t xml:space="preserve">will include where </w:t>
      </w:r>
      <w:r w:rsidR="005566B3">
        <w:t>a</w:t>
      </w:r>
      <w:r w:rsidR="00B10A37">
        <w:t xml:space="preserve">n </w:t>
      </w:r>
      <w:r w:rsidR="00907C09">
        <w:t xml:space="preserve">arbitrator </w:t>
      </w:r>
      <w:r w:rsidR="00B10A37">
        <w:t>ha</w:t>
      </w:r>
      <w:r w:rsidR="003E5DE9">
        <w:t xml:space="preserve">s </w:t>
      </w:r>
      <w:r w:rsidR="00907C09">
        <w:t xml:space="preserve">exceeded his </w:t>
      </w:r>
      <w:r w:rsidR="00BA458F">
        <w:t xml:space="preserve">or her </w:t>
      </w:r>
      <w:r w:rsidR="00907C09">
        <w:t>powers</w:t>
      </w:r>
      <w:r w:rsidR="00BA458F">
        <w:t xml:space="preserve">. The </w:t>
      </w:r>
      <w:r w:rsidR="00907C09">
        <w:t>focus</w:t>
      </w:r>
      <w:r w:rsidR="00BA458F">
        <w:t xml:space="preserve"> is </w:t>
      </w:r>
      <w:r w:rsidR="00907C09">
        <w:t xml:space="preserve">on whether the arbitrator purported to exercise a power he </w:t>
      </w:r>
      <w:r w:rsidR="00457F6F">
        <w:t xml:space="preserve">or she </w:t>
      </w:r>
      <w:r w:rsidR="00907C09">
        <w:t>did not have</w:t>
      </w:r>
      <w:r w:rsidR="003D73AC">
        <w:t xml:space="preserve">. </w:t>
      </w:r>
      <w:r w:rsidR="00D56AB7">
        <w:t>An erroneous exercise of a power that the arbitrator has does not amount to a ground for review.</w:t>
      </w:r>
      <w:r w:rsidR="00D56AB7">
        <w:rPr>
          <w:rStyle w:val="FootnoteReference"/>
        </w:rPr>
        <w:footnoteReference w:id="29"/>
      </w:r>
      <w:r w:rsidR="00D56AB7">
        <w:t xml:space="preserve">  A</w:t>
      </w:r>
      <w:r w:rsidR="003D73AC">
        <w:t>s much as a</w:t>
      </w:r>
      <w:r w:rsidR="00D56AB7">
        <w:t xml:space="preserve">n award going beyond the terms of an arbitrator’s reference </w:t>
      </w:r>
      <w:r w:rsidR="005810E5">
        <w:t xml:space="preserve">may </w:t>
      </w:r>
      <w:r w:rsidR="00D56AB7">
        <w:t>result in a successful review of an award</w:t>
      </w:r>
      <w:r w:rsidR="003D73AC">
        <w:t>,</w:t>
      </w:r>
      <w:r w:rsidR="00D56AB7">
        <w:rPr>
          <w:rStyle w:val="FootnoteReference"/>
        </w:rPr>
        <w:footnoteReference w:id="30"/>
      </w:r>
      <w:r w:rsidR="00280BD1">
        <w:t xml:space="preserve"> it is</w:t>
      </w:r>
      <w:r w:rsidR="000F17AA">
        <w:t xml:space="preserve"> a ‘fallacy to label a wrong interpretation of a contract, a wrong perception or application of South African law, or an incorrect reliance on inadmissible evidence</w:t>
      </w:r>
      <w:r w:rsidR="00F51709">
        <w:t>’</w:t>
      </w:r>
      <w:r w:rsidR="004A647A">
        <w:rPr>
          <w:rStyle w:val="FootnoteReference"/>
        </w:rPr>
        <w:footnoteReference w:id="31"/>
      </w:r>
      <w:r w:rsidR="000F17AA">
        <w:t xml:space="preserve"> by the arbitrator</w:t>
      </w:r>
      <w:r w:rsidR="00AB4818">
        <w:t>,</w:t>
      </w:r>
      <w:r w:rsidR="000F17AA">
        <w:t xml:space="preserve"> as a transgression of the limits of </w:t>
      </w:r>
      <w:r w:rsidR="003D73AC">
        <w:t xml:space="preserve">the arbitrator’s </w:t>
      </w:r>
      <w:r w:rsidR="000F17AA">
        <w:t xml:space="preserve">power. </w:t>
      </w:r>
      <w:r w:rsidR="00EF4B46">
        <w:t xml:space="preserve">In </w:t>
      </w:r>
      <w:r w:rsidR="00EF4B46" w:rsidRPr="00280BD1">
        <w:rPr>
          <w:i/>
          <w:iCs/>
        </w:rPr>
        <w:t>Dexgroup (Pty) Ltd v Trustco Group International (Pty) Ltd</w:t>
      </w:r>
      <w:r w:rsidR="001714E0" w:rsidRPr="008D58A2">
        <w:rPr>
          <w:iCs/>
        </w:rPr>
        <w:t>,</w:t>
      </w:r>
      <w:r w:rsidR="00EF4B46" w:rsidRPr="008D58A2">
        <w:rPr>
          <w:rStyle w:val="FootnoteReference"/>
          <w:iCs/>
        </w:rPr>
        <w:footnoteReference w:id="32"/>
      </w:r>
      <w:r w:rsidR="00EF4B46">
        <w:t xml:space="preserve"> </w:t>
      </w:r>
      <w:r w:rsidR="00FA3E39">
        <w:t xml:space="preserve">regarding </w:t>
      </w:r>
      <w:r w:rsidR="00EF4B46">
        <w:t xml:space="preserve">an argument that the arbitrator’s award was not supported by admissible evidence, the court approved of </w:t>
      </w:r>
      <w:r w:rsidR="00FA3E39">
        <w:t xml:space="preserve">the </w:t>
      </w:r>
      <w:r w:rsidR="00EF4B46">
        <w:t>statement by Butler and Finsen that</w:t>
      </w:r>
      <w:r w:rsidR="00D56AB7">
        <w:t>:</w:t>
      </w:r>
    </w:p>
    <w:p w14:paraId="0EF8F5A4" w14:textId="26C3EC01" w:rsidR="00736BA4" w:rsidRPr="008D58A2" w:rsidRDefault="008D58A2" w:rsidP="009437DD">
      <w:pPr>
        <w:pStyle w:val="FootnoteText"/>
        <w:spacing w:line="360" w:lineRule="auto"/>
        <w:jc w:val="both"/>
        <w:rPr>
          <w:sz w:val="22"/>
          <w:szCs w:val="22"/>
        </w:rPr>
      </w:pPr>
      <w:r>
        <w:rPr>
          <w:sz w:val="22"/>
          <w:szCs w:val="22"/>
        </w:rPr>
        <w:t>‘</w:t>
      </w:r>
      <w:r w:rsidRPr="008D58A2">
        <w:rPr>
          <w:sz w:val="22"/>
          <w:szCs w:val="22"/>
        </w:rPr>
        <w:t>Provided the parties receive a fair hearing there are no grounds for challenging the arbitra</w:t>
      </w:r>
      <w:r>
        <w:rPr>
          <w:sz w:val="22"/>
          <w:szCs w:val="22"/>
        </w:rPr>
        <w:t xml:space="preserve">tor’s decisions in that regard . . . </w:t>
      </w:r>
      <w:r w:rsidRPr="008D58A2">
        <w:rPr>
          <w:sz w:val="22"/>
          <w:szCs w:val="22"/>
        </w:rPr>
        <w:t xml:space="preserve">The advantages of arbitration over litigation, particularly in regard to the expeditious and inexpensive resolution of disputes, are reflected in its growing popularity worldwide. Those advantages are diminished or destroyed entirely if arbitrators are confined in a straitjacket of legal formalism that the parties to the arbitration have sought to escape. Arbitrators </w:t>
      </w:r>
      <w:r w:rsidRPr="008D58A2">
        <w:rPr>
          <w:i/>
          <w:sz w:val="22"/>
          <w:szCs w:val="22"/>
        </w:rPr>
        <w:t>should be free to adopt such procedures as they regard as appropriate for the resolution of the dispute before them</w:t>
      </w:r>
      <w:r w:rsidRPr="008D58A2">
        <w:rPr>
          <w:sz w:val="22"/>
          <w:szCs w:val="22"/>
        </w:rPr>
        <w:t xml:space="preserve">, unless the arbitral agreement precludes them from doing so. They may therefore </w:t>
      </w:r>
      <w:r w:rsidRPr="008D58A2">
        <w:rPr>
          <w:i/>
          <w:sz w:val="22"/>
          <w:szCs w:val="22"/>
        </w:rPr>
        <w:t>receive evidence in such form and subject to such restrictions as they may think appropriate</w:t>
      </w:r>
      <w:r w:rsidRPr="008D58A2">
        <w:rPr>
          <w:sz w:val="22"/>
          <w:szCs w:val="22"/>
        </w:rPr>
        <w:t xml:space="preserve"> to ensure, as the arbitrator in this case was required to do, the </w:t>
      </w:r>
      <w:r>
        <w:rPr>
          <w:sz w:val="22"/>
          <w:szCs w:val="22"/>
        </w:rPr>
        <w:t>“</w:t>
      </w:r>
      <w:r w:rsidRPr="008D58A2">
        <w:rPr>
          <w:sz w:val="22"/>
          <w:szCs w:val="22"/>
        </w:rPr>
        <w:t>just, expeditious, economical and final</w:t>
      </w:r>
      <w:r>
        <w:rPr>
          <w:sz w:val="22"/>
          <w:szCs w:val="22"/>
        </w:rPr>
        <w:t>”</w:t>
      </w:r>
      <w:r w:rsidRPr="008D58A2">
        <w:rPr>
          <w:sz w:val="22"/>
          <w:szCs w:val="22"/>
        </w:rPr>
        <w:t xml:space="preserve"> determination of the dispute</w:t>
      </w:r>
      <w:r w:rsidR="00EF4B46" w:rsidRPr="00EF4B46">
        <w:rPr>
          <w:sz w:val="22"/>
          <w:szCs w:val="22"/>
        </w:rPr>
        <w:t>.</w:t>
      </w:r>
      <w:r>
        <w:rPr>
          <w:sz w:val="22"/>
          <w:szCs w:val="22"/>
        </w:rPr>
        <w:t>’</w:t>
      </w:r>
      <w:r w:rsidR="00627CEC">
        <w:rPr>
          <w:rStyle w:val="FootnoteReference"/>
          <w:sz w:val="22"/>
          <w:szCs w:val="22"/>
        </w:rPr>
        <w:footnoteReference w:id="33"/>
      </w:r>
      <w:r w:rsidR="00AB4818">
        <w:rPr>
          <w:sz w:val="22"/>
          <w:szCs w:val="22"/>
        </w:rPr>
        <w:t xml:space="preserve"> </w:t>
      </w:r>
      <w:r w:rsidR="00AB4818" w:rsidRPr="00AB4818">
        <w:rPr>
          <w:sz w:val="24"/>
          <w:szCs w:val="24"/>
        </w:rPr>
        <w:t>(</w:t>
      </w:r>
      <w:r w:rsidR="007A1CD8">
        <w:rPr>
          <w:sz w:val="24"/>
          <w:szCs w:val="24"/>
        </w:rPr>
        <w:t>Emphasis</w:t>
      </w:r>
      <w:r w:rsidR="00AB4818" w:rsidRPr="00AB4818">
        <w:rPr>
          <w:sz w:val="24"/>
          <w:szCs w:val="24"/>
        </w:rPr>
        <w:t xml:space="preserve"> added</w:t>
      </w:r>
      <w:r w:rsidR="007A1CD8">
        <w:rPr>
          <w:sz w:val="24"/>
          <w:szCs w:val="24"/>
        </w:rPr>
        <w:t>.</w:t>
      </w:r>
      <w:r w:rsidR="00AB4818" w:rsidRPr="00AB4818">
        <w:rPr>
          <w:sz w:val="24"/>
          <w:szCs w:val="24"/>
        </w:rPr>
        <w:t>)</w:t>
      </w:r>
    </w:p>
    <w:p w14:paraId="7FF446B4" w14:textId="77777777" w:rsidR="005F2CD7" w:rsidRPr="005810E5" w:rsidRDefault="005F2CD7" w:rsidP="009437DD">
      <w:pPr>
        <w:pStyle w:val="FootnoteText"/>
        <w:spacing w:line="360" w:lineRule="auto"/>
        <w:jc w:val="both"/>
        <w:rPr>
          <w:sz w:val="22"/>
          <w:szCs w:val="22"/>
        </w:rPr>
      </w:pPr>
    </w:p>
    <w:p w14:paraId="59495516" w14:textId="25BDAB98" w:rsidR="001714E0" w:rsidRPr="00D56AB7" w:rsidRDefault="00FD341B" w:rsidP="00FD341B">
      <w:pPr>
        <w:spacing w:line="360" w:lineRule="auto"/>
        <w:jc w:val="both"/>
      </w:pPr>
      <w:r w:rsidRPr="00D56AB7">
        <w:rPr>
          <w:szCs w:val="24"/>
        </w:rPr>
        <w:t>[20]</w:t>
      </w:r>
      <w:r w:rsidRPr="00D56AB7">
        <w:rPr>
          <w:szCs w:val="24"/>
        </w:rPr>
        <w:tab/>
      </w:r>
      <w:r w:rsidR="00494D0E">
        <w:t xml:space="preserve">An arbitrator </w:t>
      </w:r>
      <w:r w:rsidR="00DC0810">
        <w:t>might</w:t>
      </w:r>
      <w:r w:rsidR="00494D0E">
        <w:t xml:space="preserve"> </w:t>
      </w:r>
      <w:r w:rsidR="005810E5">
        <w:t xml:space="preserve">also </w:t>
      </w:r>
      <w:r w:rsidR="00494D0E">
        <w:t>exceed his or her jurisdiction if a matter is decided on a basis not covered by the pleadings.</w:t>
      </w:r>
      <w:r w:rsidR="00494D0E">
        <w:rPr>
          <w:rStyle w:val="FootnoteReference"/>
        </w:rPr>
        <w:footnoteReference w:id="34"/>
      </w:r>
      <w:r w:rsidR="00494D0E">
        <w:t xml:space="preserve"> </w:t>
      </w:r>
      <w:r w:rsidR="00D56AB7">
        <w:t xml:space="preserve">This will </w:t>
      </w:r>
      <w:r w:rsidR="005F2F3F">
        <w:t>depend on the nature and ambit of what was referred to the arbitrator to determine.</w:t>
      </w:r>
      <w:r w:rsidR="00280BD1" w:rsidRPr="00E66AD8">
        <w:rPr>
          <w:rStyle w:val="FootnoteReference"/>
        </w:rPr>
        <w:footnoteReference w:id="35"/>
      </w:r>
      <w:r w:rsidR="00280BD1" w:rsidRPr="00E66AD8">
        <w:t xml:space="preserve"> </w:t>
      </w:r>
      <w:r w:rsidR="00734955">
        <w:t xml:space="preserve">Whether an arbitrator has strayed beyond the pleadings, and </w:t>
      </w:r>
      <w:r w:rsidR="005F2F3F">
        <w:t xml:space="preserve">possibly </w:t>
      </w:r>
      <w:r w:rsidR="00734955">
        <w:t xml:space="preserve">exceeded his </w:t>
      </w:r>
      <w:r w:rsidR="00DC0810">
        <w:t xml:space="preserve">or her </w:t>
      </w:r>
      <w:r w:rsidR="00734955">
        <w:t>powers requiring under s 33(1)</w:t>
      </w:r>
      <w:r w:rsidR="00734955" w:rsidRPr="002D7EEA">
        <w:rPr>
          <w:i/>
        </w:rPr>
        <w:t>(b)</w:t>
      </w:r>
      <w:r w:rsidR="00734955">
        <w:t xml:space="preserve"> that the award be set aside, is a question to be decided on the facts of each case</w:t>
      </w:r>
      <w:r w:rsidR="005F2F3F">
        <w:t xml:space="preserve">. </w:t>
      </w:r>
      <w:r w:rsidR="00DC0810">
        <w:t>C</w:t>
      </w:r>
      <w:r w:rsidR="00734955">
        <w:t>ourts</w:t>
      </w:r>
      <w:r w:rsidR="0079051C">
        <w:t>,</w:t>
      </w:r>
      <w:r w:rsidR="00DC0810">
        <w:t xml:space="preserve"> </w:t>
      </w:r>
      <w:r w:rsidR="005F2F3F">
        <w:t>however</w:t>
      </w:r>
      <w:r w:rsidR="0079051C">
        <w:t>,</w:t>
      </w:r>
      <w:r w:rsidR="005F2F3F">
        <w:t xml:space="preserve"> </w:t>
      </w:r>
      <w:r w:rsidR="00734955">
        <w:t xml:space="preserve">generally </w:t>
      </w:r>
      <w:r w:rsidR="00E66AD8">
        <w:t xml:space="preserve">remain </w:t>
      </w:r>
      <w:r w:rsidR="00734955">
        <w:t xml:space="preserve">reluctant to interfere with an arbitrator’s award and </w:t>
      </w:r>
      <w:r w:rsidR="00DC0810">
        <w:t xml:space="preserve">are </w:t>
      </w:r>
      <w:r w:rsidR="00734955">
        <w:t>prepared to adopt ‘a rather generous approach’</w:t>
      </w:r>
      <w:r w:rsidR="00734955">
        <w:rPr>
          <w:rStyle w:val="FootnoteReference"/>
        </w:rPr>
        <w:footnoteReference w:id="36"/>
      </w:r>
      <w:r w:rsidR="00734955">
        <w:t xml:space="preserve"> to the pleadings.</w:t>
      </w:r>
      <w:r w:rsidR="00CA2543">
        <w:rPr>
          <w:rStyle w:val="CommentReference"/>
        </w:rPr>
        <w:t xml:space="preserve"> </w:t>
      </w:r>
      <w:r w:rsidR="00734955">
        <w:t xml:space="preserve">  </w:t>
      </w:r>
    </w:p>
    <w:p w14:paraId="6D5203D5" w14:textId="77777777" w:rsidR="00EF4B46" w:rsidRPr="00EF4B46" w:rsidRDefault="00EF4B46" w:rsidP="009437DD">
      <w:pPr>
        <w:pStyle w:val="FootnoteText"/>
        <w:spacing w:line="360" w:lineRule="auto"/>
        <w:rPr>
          <w:sz w:val="22"/>
          <w:szCs w:val="22"/>
        </w:rPr>
      </w:pPr>
    </w:p>
    <w:p w14:paraId="7E69F038" w14:textId="77777777" w:rsidR="00EF4B46" w:rsidRPr="00B14447" w:rsidRDefault="00B14447" w:rsidP="009437DD">
      <w:pPr>
        <w:spacing w:line="360" w:lineRule="auto"/>
        <w:jc w:val="both"/>
        <w:rPr>
          <w:b/>
          <w:bCs/>
        </w:rPr>
      </w:pPr>
      <w:r w:rsidRPr="00B14447">
        <w:rPr>
          <w:b/>
          <w:bCs/>
        </w:rPr>
        <w:t>The contentions of the buyers</w:t>
      </w:r>
    </w:p>
    <w:p w14:paraId="41319FA3" w14:textId="770F6C61" w:rsidR="00053747" w:rsidRDefault="00FD341B" w:rsidP="00FD341B">
      <w:pPr>
        <w:spacing w:line="360" w:lineRule="auto"/>
        <w:jc w:val="both"/>
      </w:pPr>
      <w:r>
        <w:rPr>
          <w:szCs w:val="24"/>
        </w:rPr>
        <w:t>[21]</w:t>
      </w:r>
      <w:r>
        <w:rPr>
          <w:szCs w:val="24"/>
        </w:rPr>
        <w:tab/>
      </w:r>
      <w:r w:rsidR="00AF735C">
        <w:t xml:space="preserve">The </w:t>
      </w:r>
      <w:r w:rsidR="00DB7F03">
        <w:t>h</w:t>
      </w:r>
      <w:r w:rsidR="00CB6925">
        <w:t>igh court</w:t>
      </w:r>
      <w:r w:rsidR="00AF735C">
        <w:t xml:space="preserve"> </w:t>
      </w:r>
      <w:r w:rsidR="004354CC">
        <w:t xml:space="preserve">and the full court correctly observed that ‘[t]he gist of the complaint with regard to the alleged irregularity in the proceedings was that the parties had agreed to a separate hearing in the event of the arbitrator making certain findings, but that no such hearing took place.’ </w:t>
      </w:r>
      <w:r w:rsidR="004A7B97">
        <w:t xml:space="preserve">The buyers have persisted with this contention. The </w:t>
      </w:r>
      <w:r w:rsidR="001714E0">
        <w:t xml:space="preserve">implications </w:t>
      </w:r>
      <w:r w:rsidR="003D73AC">
        <w:t xml:space="preserve">thereof </w:t>
      </w:r>
      <w:r w:rsidR="001714E0">
        <w:t xml:space="preserve">in relation to the stock claim and the missing assets claim </w:t>
      </w:r>
      <w:r w:rsidR="004A7B97">
        <w:t xml:space="preserve">are </w:t>
      </w:r>
      <w:r w:rsidR="005810E5">
        <w:t>examined</w:t>
      </w:r>
      <w:r w:rsidR="004A7B97">
        <w:t xml:space="preserve"> </w:t>
      </w:r>
      <w:r w:rsidR="001714E0">
        <w:t>below.</w:t>
      </w:r>
    </w:p>
    <w:p w14:paraId="27C5FD78" w14:textId="77777777" w:rsidR="00862D51" w:rsidRDefault="00862D51" w:rsidP="009437DD">
      <w:pPr>
        <w:spacing w:line="360" w:lineRule="auto"/>
        <w:jc w:val="both"/>
      </w:pPr>
    </w:p>
    <w:p w14:paraId="7199A27B" w14:textId="77777777" w:rsidR="00862D51" w:rsidRPr="00862D51" w:rsidRDefault="00862D51" w:rsidP="009437DD">
      <w:pPr>
        <w:spacing w:line="360" w:lineRule="auto"/>
        <w:jc w:val="both"/>
        <w:rPr>
          <w:b/>
          <w:bCs/>
        </w:rPr>
      </w:pPr>
      <w:r>
        <w:rPr>
          <w:b/>
          <w:bCs/>
        </w:rPr>
        <w:t>The stock claim</w:t>
      </w:r>
    </w:p>
    <w:p w14:paraId="2DFB4A3C" w14:textId="397921B8" w:rsidR="00A05893" w:rsidRDefault="00FD341B" w:rsidP="00FD341B">
      <w:pPr>
        <w:spacing w:line="360" w:lineRule="auto"/>
        <w:jc w:val="both"/>
      </w:pPr>
      <w:r>
        <w:rPr>
          <w:szCs w:val="24"/>
        </w:rPr>
        <w:t>[22]</w:t>
      </w:r>
      <w:r>
        <w:rPr>
          <w:szCs w:val="24"/>
        </w:rPr>
        <w:tab/>
      </w:r>
      <w:r w:rsidR="00A05893">
        <w:t xml:space="preserve">In their heads of argument, the </w:t>
      </w:r>
      <w:r w:rsidR="00862D51">
        <w:t xml:space="preserve">buyers articulate their </w:t>
      </w:r>
      <w:r w:rsidR="00A05893">
        <w:t xml:space="preserve">contention </w:t>
      </w:r>
      <w:r w:rsidR="005A6C9F">
        <w:t xml:space="preserve">regarding the stock claim </w:t>
      </w:r>
      <w:r w:rsidR="00A05893">
        <w:t>as follows:</w:t>
      </w:r>
    </w:p>
    <w:p w14:paraId="1C5BBBE3" w14:textId="77777777" w:rsidR="002B68B7" w:rsidRPr="00A66A1E" w:rsidRDefault="00A05893" w:rsidP="009437DD">
      <w:pPr>
        <w:spacing w:line="360" w:lineRule="auto"/>
        <w:jc w:val="both"/>
        <w:rPr>
          <w:sz w:val="22"/>
          <w:szCs w:val="22"/>
        </w:rPr>
      </w:pPr>
      <w:r w:rsidRPr="006A7E88">
        <w:rPr>
          <w:sz w:val="22"/>
          <w:szCs w:val="22"/>
        </w:rPr>
        <w:t>‘The arbitrator, in making a finding on the value of the stock without affording both of the parties a hearing, contrary to the agreement between them to that effect (when this was dis</w:t>
      </w:r>
      <w:r w:rsidR="006A7E88" w:rsidRPr="006A7E88">
        <w:rPr>
          <w:sz w:val="22"/>
          <w:szCs w:val="22"/>
        </w:rPr>
        <w:t>p</w:t>
      </w:r>
      <w:r w:rsidRPr="006A7E88">
        <w:rPr>
          <w:sz w:val="22"/>
          <w:szCs w:val="22"/>
        </w:rPr>
        <w:t>uted)</w:t>
      </w:r>
      <w:r w:rsidR="006A7E88" w:rsidRPr="006A7E88">
        <w:rPr>
          <w:sz w:val="22"/>
          <w:szCs w:val="22"/>
        </w:rPr>
        <w:t>, caused for there to be a gross irregularity in the proceeding</w:t>
      </w:r>
      <w:r w:rsidR="00A66A1E">
        <w:rPr>
          <w:sz w:val="22"/>
          <w:szCs w:val="22"/>
        </w:rPr>
        <w:t>s.’</w:t>
      </w:r>
    </w:p>
    <w:p w14:paraId="0643B003" w14:textId="77777777" w:rsidR="00A66A1E" w:rsidRDefault="00A66A1E" w:rsidP="009437DD">
      <w:pPr>
        <w:spacing w:line="360" w:lineRule="auto"/>
        <w:jc w:val="both"/>
      </w:pPr>
    </w:p>
    <w:p w14:paraId="6DC40D92" w14:textId="7F068DC1" w:rsidR="006A7E88" w:rsidRDefault="00FD341B" w:rsidP="00FD341B">
      <w:pPr>
        <w:spacing w:line="360" w:lineRule="auto"/>
        <w:jc w:val="both"/>
      </w:pPr>
      <w:r>
        <w:rPr>
          <w:szCs w:val="24"/>
        </w:rPr>
        <w:t>[23]</w:t>
      </w:r>
      <w:r>
        <w:rPr>
          <w:szCs w:val="24"/>
        </w:rPr>
        <w:tab/>
      </w:r>
      <w:r w:rsidR="006A7E88">
        <w:t>Th</w:t>
      </w:r>
      <w:r w:rsidR="00FA3E39">
        <w:t xml:space="preserve">at </w:t>
      </w:r>
      <w:r w:rsidR="006A7E88">
        <w:t xml:space="preserve">proposition raises </w:t>
      </w:r>
      <w:r w:rsidR="002B3FC0">
        <w:t xml:space="preserve">inter alia </w:t>
      </w:r>
      <w:r w:rsidR="006A7E88">
        <w:t xml:space="preserve">the following </w:t>
      </w:r>
      <w:r w:rsidR="00AA23DB">
        <w:t>questions</w:t>
      </w:r>
      <w:r w:rsidR="006A7E88">
        <w:t>:</w:t>
      </w:r>
    </w:p>
    <w:p w14:paraId="154999DF" w14:textId="71D477D8" w:rsidR="00106CD0" w:rsidRDefault="00FD341B" w:rsidP="00FD341B">
      <w:pPr>
        <w:spacing w:line="360" w:lineRule="auto"/>
        <w:jc w:val="both"/>
      </w:pPr>
      <w:r>
        <w:t>(a)</w:t>
      </w:r>
      <w:r>
        <w:tab/>
      </w:r>
      <w:r w:rsidR="00F10BFB">
        <w:t xml:space="preserve">Did the email give rise to a </w:t>
      </w:r>
      <w:r w:rsidR="005810E5">
        <w:t xml:space="preserve">legal </w:t>
      </w:r>
      <w:r w:rsidR="00F10BFB">
        <w:t>obligation requiring the arbitrator to have a hearing before deciding the quantum of the stock claim</w:t>
      </w:r>
      <w:r w:rsidR="00F71664">
        <w:t>?</w:t>
      </w:r>
    </w:p>
    <w:p w14:paraId="43A0AEFE" w14:textId="6FDBDEA3" w:rsidR="00C0271D" w:rsidRDefault="00FD341B" w:rsidP="00FD341B">
      <w:pPr>
        <w:spacing w:line="360" w:lineRule="auto"/>
        <w:jc w:val="both"/>
      </w:pPr>
      <w:r>
        <w:t>(b)</w:t>
      </w:r>
      <w:r>
        <w:tab/>
      </w:r>
      <w:r w:rsidR="00CA2543">
        <w:t>Irrespective of</w:t>
      </w:r>
      <w:r w:rsidR="00CA2543">
        <w:rPr>
          <w:rStyle w:val="CommentReference"/>
        </w:rPr>
        <w:t xml:space="preserve"> </w:t>
      </w:r>
      <w:r w:rsidR="00DF50F7" w:rsidRPr="00FD341B">
        <w:rPr>
          <w:rStyle w:val="CommentReference"/>
          <w:sz w:val="24"/>
          <w:szCs w:val="24"/>
        </w:rPr>
        <w:t>t</w:t>
      </w:r>
      <w:r w:rsidR="0012215A">
        <w:t xml:space="preserve">he status of the email, </w:t>
      </w:r>
      <w:r w:rsidR="005810E5">
        <w:t>wa</w:t>
      </w:r>
      <w:r w:rsidR="0012215A">
        <w:t xml:space="preserve">s </w:t>
      </w:r>
      <w:r w:rsidR="00862D51">
        <w:t xml:space="preserve">the arbitrator’s </w:t>
      </w:r>
      <w:r w:rsidR="0012215A">
        <w:t>application</w:t>
      </w:r>
      <w:r w:rsidR="005A6C9F">
        <w:t xml:space="preserve">, based on </w:t>
      </w:r>
      <w:r w:rsidR="003E5DE9">
        <w:t>h</w:t>
      </w:r>
      <w:r w:rsidR="005A6C9F">
        <w:t>is interpretation of</w:t>
      </w:r>
      <w:r w:rsidR="004A7B97">
        <w:t xml:space="preserve"> the terms thereof</w:t>
      </w:r>
      <w:r w:rsidR="005A6C9F">
        <w:t xml:space="preserve"> </w:t>
      </w:r>
      <w:r w:rsidR="006A7E88">
        <w:t>open to review</w:t>
      </w:r>
      <w:r w:rsidR="00F71664">
        <w:t xml:space="preserve">? </w:t>
      </w:r>
    </w:p>
    <w:p w14:paraId="06661BD8" w14:textId="095C0AE6" w:rsidR="00F51709" w:rsidRDefault="00FD341B" w:rsidP="00FD341B">
      <w:pPr>
        <w:spacing w:line="360" w:lineRule="auto"/>
        <w:jc w:val="both"/>
      </w:pPr>
      <w:r>
        <w:t>(c)</w:t>
      </w:r>
      <w:r>
        <w:tab/>
      </w:r>
      <w:r w:rsidR="00F51709">
        <w:t xml:space="preserve">If </w:t>
      </w:r>
      <w:r w:rsidR="0012215A">
        <w:t xml:space="preserve">the arbitrator’s application of the email </w:t>
      </w:r>
      <w:r w:rsidR="00DC4099">
        <w:t>wa</w:t>
      </w:r>
      <w:r w:rsidR="0012215A">
        <w:t>s open to review</w:t>
      </w:r>
      <w:r w:rsidR="00F51709">
        <w:t xml:space="preserve">, </w:t>
      </w:r>
      <w:r w:rsidR="00C876B6">
        <w:t xml:space="preserve">was </w:t>
      </w:r>
      <w:r w:rsidR="0012215A">
        <w:t xml:space="preserve">his failure to have a hearing where the </w:t>
      </w:r>
      <w:r w:rsidR="0012215A" w:rsidRPr="0012215A">
        <w:t xml:space="preserve">quantum of the stock claim </w:t>
      </w:r>
      <w:r w:rsidR="00FA3E39">
        <w:t>w</w:t>
      </w:r>
      <w:r w:rsidR="00C876B6">
        <w:t xml:space="preserve">as </w:t>
      </w:r>
      <w:r w:rsidR="0012215A" w:rsidRPr="0012215A">
        <w:t>clear</w:t>
      </w:r>
      <w:r w:rsidR="00FA3E39">
        <w:t>,</w:t>
      </w:r>
      <w:r w:rsidR="0012215A">
        <w:t xml:space="preserve"> so un</w:t>
      </w:r>
      <w:r w:rsidR="005A6C9F">
        <w:t xml:space="preserve">fair </w:t>
      </w:r>
      <w:r w:rsidR="0012215A">
        <w:t xml:space="preserve">as to constitute a gross </w:t>
      </w:r>
      <w:r w:rsidR="00E5071E">
        <w:t xml:space="preserve">procedural </w:t>
      </w:r>
      <w:r w:rsidR="0012215A">
        <w:t xml:space="preserve">irregularity </w:t>
      </w:r>
      <w:r w:rsidR="00E5071E">
        <w:t xml:space="preserve">which should be </w:t>
      </w:r>
      <w:r w:rsidR="0012215A" w:rsidRPr="0012215A">
        <w:t>review</w:t>
      </w:r>
      <w:r w:rsidR="00E5071E">
        <w:t>ed and set aside</w:t>
      </w:r>
      <w:r w:rsidR="008066E5">
        <w:t>?</w:t>
      </w:r>
    </w:p>
    <w:p w14:paraId="1646F195" w14:textId="77777777" w:rsidR="00106CD0" w:rsidRDefault="00A53739" w:rsidP="009437DD">
      <w:pPr>
        <w:spacing w:line="360" w:lineRule="auto"/>
        <w:jc w:val="both"/>
      </w:pPr>
      <w:r>
        <w:t>A</w:t>
      </w:r>
      <w:r w:rsidR="00AA23DB">
        <w:t xml:space="preserve"> further </w:t>
      </w:r>
      <w:r>
        <w:t xml:space="preserve">consideration </w:t>
      </w:r>
      <w:r w:rsidR="00AA23DB">
        <w:t xml:space="preserve">arising </w:t>
      </w:r>
      <w:r w:rsidR="00DC4099">
        <w:t>in regard to the stock claim was</w:t>
      </w:r>
      <w:r>
        <w:t xml:space="preserve"> whether </w:t>
      </w:r>
      <w:r w:rsidR="00C0271D">
        <w:t xml:space="preserve">the arbitrator </w:t>
      </w:r>
      <w:r w:rsidR="00872FEF">
        <w:t>exceed</w:t>
      </w:r>
      <w:r>
        <w:t>ed</w:t>
      </w:r>
      <w:r w:rsidR="00872FEF">
        <w:t xml:space="preserve"> his mandate</w:t>
      </w:r>
      <w:r w:rsidR="00AA23DB">
        <w:t xml:space="preserve"> (</w:t>
      </w:r>
      <w:r w:rsidR="00F53F19">
        <w:t xml:space="preserve">and </w:t>
      </w:r>
      <w:r>
        <w:t xml:space="preserve">thus </w:t>
      </w:r>
      <w:r w:rsidR="00F53F19">
        <w:t>his jurisdiction</w:t>
      </w:r>
      <w:r w:rsidR="00AA23DB">
        <w:t>)</w:t>
      </w:r>
      <w:r w:rsidR="00872FEF">
        <w:t xml:space="preserve"> by </w:t>
      </w:r>
      <w:r w:rsidR="001714E0">
        <w:t xml:space="preserve">allegedly </w:t>
      </w:r>
      <w:r>
        <w:t xml:space="preserve">having </w:t>
      </w:r>
      <w:r w:rsidR="00064E82">
        <w:t>decided the stock claim on the basis of an innocent misrepresentation</w:t>
      </w:r>
      <w:r w:rsidR="00CF0C01">
        <w:t>,</w:t>
      </w:r>
      <w:r w:rsidR="00064E82">
        <w:t xml:space="preserve"> when that was </w:t>
      </w:r>
      <w:r w:rsidR="00FA3E39">
        <w:t>not pleaded</w:t>
      </w:r>
      <w:r w:rsidR="00064E82">
        <w:t xml:space="preserve">. </w:t>
      </w:r>
    </w:p>
    <w:p w14:paraId="3AAE98E0" w14:textId="77777777" w:rsidR="00106CD0" w:rsidRDefault="00106CD0" w:rsidP="009437DD">
      <w:pPr>
        <w:spacing w:line="360" w:lineRule="auto"/>
        <w:jc w:val="both"/>
      </w:pPr>
    </w:p>
    <w:p w14:paraId="572BA89C" w14:textId="77777777" w:rsidR="00106CD0" w:rsidRPr="005E0500" w:rsidRDefault="00F10BFB" w:rsidP="009437DD">
      <w:pPr>
        <w:spacing w:line="360" w:lineRule="auto"/>
        <w:jc w:val="both"/>
        <w:rPr>
          <w:b/>
          <w:bCs/>
          <w:i/>
        </w:rPr>
      </w:pPr>
      <w:r w:rsidRPr="005E0500">
        <w:rPr>
          <w:b/>
          <w:bCs/>
          <w:i/>
        </w:rPr>
        <w:t xml:space="preserve">The </w:t>
      </w:r>
      <w:r w:rsidR="00106CD0" w:rsidRPr="005E0500">
        <w:rPr>
          <w:b/>
          <w:bCs/>
          <w:i/>
        </w:rPr>
        <w:t xml:space="preserve">purpose </w:t>
      </w:r>
      <w:r w:rsidR="00F53F19" w:rsidRPr="005E0500">
        <w:rPr>
          <w:b/>
          <w:bCs/>
          <w:i/>
        </w:rPr>
        <w:t xml:space="preserve">and effect </w:t>
      </w:r>
      <w:r w:rsidR="00106CD0" w:rsidRPr="005E0500">
        <w:rPr>
          <w:b/>
          <w:bCs/>
          <w:i/>
        </w:rPr>
        <w:t>of the email</w:t>
      </w:r>
    </w:p>
    <w:p w14:paraId="40F03D57" w14:textId="015EB6E9" w:rsidR="008066E5" w:rsidRPr="008066E5" w:rsidRDefault="00FD341B" w:rsidP="00FD341B">
      <w:pPr>
        <w:spacing w:line="360" w:lineRule="auto"/>
        <w:jc w:val="both"/>
      </w:pPr>
      <w:r w:rsidRPr="008066E5">
        <w:rPr>
          <w:szCs w:val="24"/>
        </w:rPr>
        <w:t>[24]</w:t>
      </w:r>
      <w:r w:rsidRPr="008066E5">
        <w:rPr>
          <w:szCs w:val="24"/>
        </w:rPr>
        <w:tab/>
      </w:r>
      <w:r w:rsidR="00C876B6">
        <w:t xml:space="preserve">The </w:t>
      </w:r>
      <w:r w:rsidR="00C876B6" w:rsidRPr="005614A3">
        <w:rPr>
          <w:i/>
          <w:iCs/>
        </w:rPr>
        <w:t>fons et origo</w:t>
      </w:r>
      <w:r w:rsidR="00C876B6">
        <w:t xml:space="preserve"> of the arbitrator’s powers </w:t>
      </w:r>
      <w:r w:rsidR="00FA3E39">
        <w:t xml:space="preserve">and obligations was </w:t>
      </w:r>
      <w:r w:rsidR="00C876B6">
        <w:t xml:space="preserve">the </w:t>
      </w:r>
      <w:r w:rsidR="004A5DB0">
        <w:t>sale agreement</w:t>
      </w:r>
      <w:r w:rsidR="00C876B6">
        <w:t>.  C</w:t>
      </w:r>
      <w:r w:rsidR="00D6771C">
        <w:t xml:space="preserve">lause 27.1 </w:t>
      </w:r>
      <w:r w:rsidR="00F10BFB">
        <w:t xml:space="preserve">thereof </w:t>
      </w:r>
      <w:r w:rsidR="00D6771C" w:rsidRPr="005614A3">
        <w:rPr>
          <w:szCs w:val="24"/>
        </w:rPr>
        <w:t>provided that any dispute</w:t>
      </w:r>
      <w:r w:rsidR="00F10BFB">
        <w:rPr>
          <w:szCs w:val="24"/>
        </w:rPr>
        <w:t>,</w:t>
      </w:r>
      <w:r w:rsidR="00D6771C" w:rsidRPr="005614A3">
        <w:rPr>
          <w:szCs w:val="24"/>
        </w:rPr>
        <w:t xml:space="preserve"> </w:t>
      </w:r>
      <w:r w:rsidR="003E5DE9">
        <w:rPr>
          <w:szCs w:val="24"/>
        </w:rPr>
        <w:t xml:space="preserve">as contemplated </w:t>
      </w:r>
      <w:r w:rsidR="00F10BFB">
        <w:rPr>
          <w:szCs w:val="24"/>
        </w:rPr>
        <w:t xml:space="preserve">by its terms, </w:t>
      </w:r>
      <w:r w:rsidR="003E5DE9">
        <w:rPr>
          <w:szCs w:val="24"/>
        </w:rPr>
        <w:t>would ‘b</w:t>
      </w:r>
      <w:r w:rsidR="00D6771C" w:rsidRPr="005614A3">
        <w:rPr>
          <w:szCs w:val="24"/>
        </w:rPr>
        <w:t xml:space="preserve">e decided by arbitration </w:t>
      </w:r>
      <w:r w:rsidR="00D6771C" w:rsidRPr="005614A3">
        <w:rPr>
          <w:i/>
          <w:iCs/>
          <w:szCs w:val="24"/>
        </w:rPr>
        <w:t>in the manner</w:t>
      </w:r>
      <w:r w:rsidR="008066E5">
        <w:rPr>
          <w:szCs w:val="24"/>
        </w:rPr>
        <w:t xml:space="preserve"> set out in this clause 27</w:t>
      </w:r>
      <w:r w:rsidR="00D6771C" w:rsidRPr="005614A3">
        <w:rPr>
          <w:szCs w:val="24"/>
        </w:rPr>
        <w:t>’</w:t>
      </w:r>
      <w:r w:rsidR="00144456">
        <w:rPr>
          <w:szCs w:val="24"/>
        </w:rPr>
        <w:t xml:space="preserve">. </w:t>
      </w:r>
      <w:r w:rsidR="00D6771C" w:rsidRPr="005614A3">
        <w:rPr>
          <w:szCs w:val="24"/>
        </w:rPr>
        <w:t>(</w:t>
      </w:r>
      <w:r w:rsidR="00144456">
        <w:rPr>
          <w:szCs w:val="24"/>
        </w:rPr>
        <w:t>E</w:t>
      </w:r>
      <w:r w:rsidR="00D6771C" w:rsidRPr="005614A3">
        <w:rPr>
          <w:szCs w:val="24"/>
        </w:rPr>
        <w:t>mphasis added</w:t>
      </w:r>
      <w:r w:rsidR="00144456">
        <w:rPr>
          <w:szCs w:val="24"/>
        </w:rPr>
        <w:t>.</w:t>
      </w:r>
      <w:r w:rsidR="00D6771C" w:rsidRPr="005614A3">
        <w:rPr>
          <w:szCs w:val="24"/>
        </w:rPr>
        <w:t>). Cla</w:t>
      </w:r>
      <w:r w:rsidR="005A6C9F" w:rsidRPr="005614A3">
        <w:rPr>
          <w:szCs w:val="24"/>
        </w:rPr>
        <w:t>us</w:t>
      </w:r>
      <w:r w:rsidR="00D6771C" w:rsidRPr="005614A3">
        <w:rPr>
          <w:szCs w:val="24"/>
        </w:rPr>
        <w:t>e 27.4 provided that</w:t>
      </w:r>
      <w:r w:rsidR="00144456">
        <w:rPr>
          <w:szCs w:val="24"/>
        </w:rPr>
        <w:t>:</w:t>
      </w:r>
      <w:r w:rsidR="00D6771C" w:rsidRPr="005614A3">
        <w:rPr>
          <w:szCs w:val="24"/>
        </w:rPr>
        <w:t xml:space="preserve"> </w:t>
      </w:r>
    </w:p>
    <w:p w14:paraId="5B6E162F" w14:textId="77777777" w:rsidR="008066E5" w:rsidRDefault="00D6771C" w:rsidP="009437DD">
      <w:pPr>
        <w:spacing w:line="360" w:lineRule="auto"/>
        <w:jc w:val="both"/>
        <w:rPr>
          <w:szCs w:val="24"/>
        </w:rPr>
      </w:pPr>
      <w:r w:rsidRPr="008066E5">
        <w:rPr>
          <w:sz w:val="22"/>
          <w:szCs w:val="24"/>
        </w:rPr>
        <w:t>‘[t]he arbitration shall be held in accordance with the Rules of AFSA,</w:t>
      </w:r>
      <w:r w:rsidRPr="008066E5">
        <w:rPr>
          <w:rStyle w:val="FootnoteReference"/>
          <w:sz w:val="22"/>
          <w:szCs w:val="24"/>
        </w:rPr>
        <w:footnoteReference w:id="37"/>
      </w:r>
      <w:r w:rsidRPr="008066E5">
        <w:rPr>
          <w:sz w:val="22"/>
          <w:szCs w:val="24"/>
        </w:rPr>
        <w:t xml:space="preserve"> . . . it shall not be necessary to observe or carry out either the usual formalities or procedure or the strict rules of evidence, and otherwise subject as aforesaid of the Arbitration Act No 42 of 1965 and any statutory modification or re-enactment thereof.’</w:t>
      </w:r>
      <w:r w:rsidRPr="005614A3">
        <w:rPr>
          <w:szCs w:val="24"/>
        </w:rPr>
        <w:t xml:space="preserve"> </w:t>
      </w:r>
    </w:p>
    <w:p w14:paraId="2955F246" w14:textId="7FF0B959" w:rsidR="00180BA5" w:rsidRDefault="00D6771C" w:rsidP="009437DD">
      <w:pPr>
        <w:spacing w:line="360" w:lineRule="auto"/>
        <w:jc w:val="both"/>
        <w:rPr>
          <w:szCs w:val="24"/>
        </w:rPr>
      </w:pPr>
      <w:r w:rsidRPr="005614A3">
        <w:rPr>
          <w:szCs w:val="24"/>
        </w:rPr>
        <w:t>The arbitrator w</w:t>
      </w:r>
      <w:r w:rsidR="005A6C9F" w:rsidRPr="005614A3">
        <w:rPr>
          <w:szCs w:val="24"/>
        </w:rPr>
        <w:t xml:space="preserve">as enjoined </w:t>
      </w:r>
      <w:r w:rsidRPr="005614A3">
        <w:rPr>
          <w:szCs w:val="24"/>
        </w:rPr>
        <w:t>in terms of clause 27.5 to ‘make such award, including an award for specific performance, an interdict, damages or a penalty or the costs of the arbitration or otherwise as he in his discretion may deem fit and appropriate’</w:t>
      </w:r>
      <w:r w:rsidR="00144456">
        <w:rPr>
          <w:szCs w:val="24"/>
        </w:rPr>
        <w:t>.</w:t>
      </w:r>
      <w:r w:rsidRPr="005614A3">
        <w:rPr>
          <w:szCs w:val="24"/>
        </w:rPr>
        <w:t xml:space="preserve"> Rule 27.4 of the AFSA rules </w:t>
      </w:r>
      <w:r w:rsidR="005A6C9F" w:rsidRPr="005614A3">
        <w:rPr>
          <w:szCs w:val="24"/>
        </w:rPr>
        <w:t xml:space="preserve">required </w:t>
      </w:r>
      <w:r w:rsidRPr="005614A3">
        <w:rPr>
          <w:szCs w:val="24"/>
        </w:rPr>
        <w:t xml:space="preserve">the arbitrator </w:t>
      </w:r>
      <w:r w:rsidR="00F10BFB">
        <w:rPr>
          <w:szCs w:val="24"/>
        </w:rPr>
        <w:t xml:space="preserve">to </w:t>
      </w:r>
      <w:r w:rsidRPr="005614A3">
        <w:rPr>
          <w:szCs w:val="24"/>
        </w:rPr>
        <w:t xml:space="preserve">‘hear the matter on </w:t>
      </w:r>
      <w:r w:rsidRPr="005614A3">
        <w:rPr>
          <w:i/>
          <w:iCs/>
          <w:szCs w:val="24"/>
        </w:rPr>
        <w:t>the most expeditious or least costly procedure</w:t>
      </w:r>
      <w:r w:rsidRPr="005614A3">
        <w:rPr>
          <w:szCs w:val="24"/>
        </w:rPr>
        <w:t xml:space="preserve"> . . .’</w:t>
      </w:r>
      <w:r w:rsidR="00144456">
        <w:rPr>
          <w:szCs w:val="24"/>
        </w:rPr>
        <w:t>.</w:t>
      </w:r>
      <w:r w:rsidRPr="005614A3">
        <w:rPr>
          <w:szCs w:val="24"/>
        </w:rPr>
        <w:t xml:space="preserve"> </w:t>
      </w:r>
      <w:r w:rsidR="00F10BFB">
        <w:rPr>
          <w:szCs w:val="24"/>
        </w:rPr>
        <w:t xml:space="preserve">Further, he could </w:t>
      </w:r>
      <w:r w:rsidRPr="005614A3">
        <w:rPr>
          <w:szCs w:val="24"/>
        </w:rPr>
        <w:t>‘</w:t>
      </w:r>
      <w:r w:rsidRPr="005614A3">
        <w:rPr>
          <w:i/>
          <w:iCs/>
          <w:szCs w:val="24"/>
        </w:rPr>
        <w:t>in such manner as he deems appropriate</w:t>
      </w:r>
      <w:r w:rsidRPr="005614A3">
        <w:rPr>
          <w:szCs w:val="24"/>
        </w:rPr>
        <w:t xml:space="preserve">, on the application of a party or </w:t>
      </w:r>
      <w:r w:rsidRPr="005614A3">
        <w:rPr>
          <w:i/>
          <w:iCs/>
          <w:szCs w:val="24"/>
        </w:rPr>
        <w:t>mero motu</w:t>
      </w:r>
      <w:r w:rsidRPr="005614A3">
        <w:rPr>
          <w:szCs w:val="24"/>
        </w:rPr>
        <w:t>, conduct hearings or otherwise deal with any further procedural and interlocutory matters . . .’</w:t>
      </w:r>
      <w:r w:rsidR="00144456">
        <w:rPr>
          <w:szCs w:val="24"/>
        </w:rPr>
        <w:t>.</w:t>
      </w:r>
      <w:r w:rsidRPr="005614A3">
        <w:rPr>
          <w:szCs w:val="24"/>
        </w:rPr>
        <w:t xml:space="preserve"> (</w:t>
      </w:r>
      <w:r w:rsidR="00144456">
        <w:rPr>
          <w:szCs w:val="24"/>
        </w:rPr>
        <w:t>E</w:t>
      </w:r>
      <w:r w:rsidRPr="005614A3">
        <w:rPr>
          <w:szCs w:val="24"/>
        </w:rPr>
        <w:t>mphasis added</w:t>
      </w:r>
      <w:r w:rsidR="00144456">
        <w:rPr>
          <w:szCs w:val="24"/>
        </w:rPr>
        <w:t>.</w:t>
      </w:r>
      <w:r w:rsidRPr="005614A3">
        <w:rPr>
          <w:szCs w:val="24"/>
        </w:rPr>
        <w:t>)</w:t>
      </w:r>
      <w:r w:rsidR="00F764E8" w:rsidRPr="005614A3">
        <w:rPr>
          <w:szCs w:val="24"/>
        </w:rPr>
        <w:t xml:space="preserve">. </w:t>
      </w:r>
      <w:r w:rsidR="00DC4099">
        <w:rPr>
          <w:szCs w:val="24"/>
        </w:rPr>
        <w:t xml:space="preserve">The </w:t>
      </w:r>
      <w:r w:rsidR="00F764E8" w:rsidRPr="005614A3">
        <w:rPr>
          <w:szCs w:val="24"/>
        </w:rPr>
        <w:t xml:space="preserve">arbitrator was given a very wide discretion </w:t>
      </w:r>
      <w:r w:rsidR="004A7B97">
        <w:rPr>
          <w:szCs w:val="24"/>
        </w:rPr>
        <w:t>by the terms of the agreement</w:t>
      </w:r>
      <w:r w:rsidR="00F10BFB">
        <w:rPr>
          <w:szCs w:val="24"/>
        </w:rPr>
        <w:t xml:space="preserve"> </w:t>
      </w:r>
      <w:r w:rsidR="004A7B97">
        <w:rPr>
          <w:szCs w:val="24"/>
        </w:rPr>
        <w:t xml:space="preserve">and the law, </w:t>
      </w:r>
      <w:r w:rsidR="00F10BFB">
        <w:rPr>
          <w:szCs w:val="24"/>
        </w:rPr>
        <w:t xml:space="preserve">as to </w:t>
      </w:r>
      <w:r w:rsidR="00F764E8" w:rsidRPr="005614A3">
        <w:rPr>
          <w:szCs w:val="24"/>
        </w:rPr>
        <w:t xml:space="preserve">the procedure he could </w:t>
      </w:r>
      <w:r w:rsidR="004A7B97">
        <w:rPr>
          <w:szCs w:val="24"/>
        </w:rPr>
        <w:t xml:space="preserve">and should </w:t>
      </w:r>
      <w:r w:rsidR="00F764E8" w:rsidRPr="005614A3">
        <w:rPr>
          <w:szCs w:val="24"/>
        </w:rPr>
        <w:t>adopt to decide the issues arising in the arbitration.</w:t>
      </w:r>
    </w:p>
    <w:p w14:paraId="613C422B" w14:textId="77777777" w:rsidR="00DC4099" w:rsidRPr="00180BA5" w:rsidRDefault="00DC4099" w:rsidP="009437DD">
      <w:pPr>
        <w:spacing w:line="360" w:lineRule="auto"/>
        <w:jc w:val="both"/>
        <w:rPr>
          <w:szCs w:val="24"/>
        </w:rPr>
      </w:pPr>
    </w:p>
    <w:p w14:paraId="5FC3442F" w14:textId="3A0588D2" w:rsidR="00ED5399" w:rsidRDefault="00FD341B" w:rsidP="00FD341B">
      <w:pPr>
        <w:spacing w:line="360" w:lineRule="auto"/>
        <w:jc w:val="both"/>
      </w:pPr>
      <w:r>
        <w:rPr>
          <w:szCs w:val="24"/>
        </w:rPr>
        <w:t>[25]</w:t>
      </w:r>
      <w:r>
        <w:rPr>
          <w:szCs w:val="24"/>
        </w:rPr>
        <w:tab/>
      </w:r>
      <w:r w:rsidR="00C876B6">
        <w:t>The buyers</w:t>
      </w:r>
      <w:r w:rsidR="00FA3E39">
        <w:t>’</w:t>
      </w:r>
      <w:r w:rsidR="00C876B6">
        <w:t xml:space="preserve"> conten</w:t>
      </w:r>
      <w:r w:rsidR="00F764E8">
        <w:t>tion t</w:t>
      </w:r>
      <w:r w:rsidR="00C876B6">
        <w:t xml:space="preserve">hat the email </w:t>
      </w:r>
      <w:r w:rsidR="000A0F9A">
        <w:t xml:space="preserve">contractually </w:t>
      </w:r>
      <w:r w:rsidR="00F764E8">
        <w:t>requir</w:t>
      </w:r>
      <w:r w:rsidR="00FA3E39">
        <w:t>ed</w:t>
      </w:r>
      <w:r w:rsidR="00F764E8">
        <w:t xml:space="preserve"> the arbitrator </w:t>
      </w:r>
      <w:r w:rsidR="00D6771C">
        <w:t>to have a further hearing</w:t>
      </w:r>
      <w:r w:rsidR="00F764E8">
        <w:t xml:space="preserve"> before finalising his award,</w:t>
      </w:r>
      <w:r w:rsidR="00D6771C">
        <w:t xml:space="preserve"> would </w:t>
      </w:r>
      <w:r w:rsidR="008D5C2D">
        <w:t xml:space="preserve">constitute </w:t>
      </w:r>
      <w:r w:rsidR="00D6771C">
        <w:t>a limitation on</w:t>
      </w:r>
      <w:r w:rsidR="00F764E8">
        <w:t>,</w:t>
      </w:r>
      <w:r w:rsidR="00D6771C">
        <w:t xml:space="preserve"> </w:t>
      </w:r>
      <w:r w:rsidR="008D5C2D">
        <w:t xml:space="preserve">and hence a variation of </w:t>
      </w:r>
      <w:r w:rsidR="00FA3E39">
        <w:t>the arbitrator</w:t>
      </w:r>
      <w:r w:rsidR="004A7B97">
        <w:t xml:space="preserve">’s </w:t>
      </w:r>
      <w:r w:rsidR="00F10BFB">
        <w:t xml:space="preserve">wide </w:t>
      </w:r>
      <w:r w:rsidR="004A7B97">
        <w:t>powers</w:t>
      </w:r>
      <w:r w:rsidR="00FA3E39">
        <w:t xml:space="preserve"> </w:t>
      </w:r>
      <w:r w:rsidR="00D6771C">
        <w:t>to decide the disputes as he deem</w:t>
      </w:r>
      <w:r w:rsidR="000A0F9A">
        <w:t>ed</w:t>
      </w:r>
      <w:r w:rsidR="00D6771C">
        <w:t xml:space="preserve"> appropriate. The </w:t>
      </w:r>
      <w:r w:rsidR="004A7B97">
        <w:t xml:space="preserve">terms of the </w:t>
      </w:r>
      <w:r w:rsidR="00D6771C">
        <w:t xml:space="preserve">email </w:t>
      </w:r>
      <w:r w:rsidR="008D5C2D">
        <w:t>c</w:t>
      </w:r>
      <w:r w:rsidR="00D6771C">
        <w:t xml:space="preserve">ould </w:t>
      </w:r>
      <w:r w:rsidR="00F10BFB">
        <w:t xml:space="preserve">however </w:t>
      </w:r>
      <w:r w:rsidR="004A7B97">
        <w:t xml:space="preserve">not </w:t>
      </w:r>
      <w:r w:rsidR="00D6771C">
        <w:t>valid</w:t>
      </w:r>
      <w:r w:rsidR="004A7B97">
        <w:t>ly</w:t>
      </w:r>
      <w:r w:rsidR="00D6771C">
        <w:t xml:space="preserve"> </w:t>
      </w:r>
      <w:r w:rsidR="00ED5399">
        <w:t xml:space="preserve">add to or </w:t>
      </w:r>
      <w:r w:rsidR="00D6771C">
        <w:t xml:space="preserve">amend the </w:t>
      </w:r>
      <w:r w:rsidR="004A7B97">
        <w:t xml:space="preserve">powers conferred </w:t>
      </w:r>
      <w:r w:rsidR="00ED5399">
        <w:t xml:space="preserve">and obligations imposed </w:t>
      </w:r>
      <w:r w:rsidR="004A7B97">
        <w:t>on the arbitrator</w:t>
      </w:r>
      <w:r w:rsidR="00ED5399">
        <w:t xml:space="preserve"> by the sale </w:t>
      </w:r>
      <w:r w:rsidR="004A5DB0">
        <w:t>agreement</w:t>
      </w:r>
      <w:r w:rsidR="00D6771C">
        <w:t>.</w:t>
      </w:r>
      <w:r w:rsidR="00DC4099">
        <w:t xml:space="preserve"> </w:t>
      </w:r>
      <w:r w:rsidR="00D44B8A" w:rsidRPr="00DC4099">
        <w:rPr>
          <w:szCs w:val="24"/>
        </w:rPr>
        <w:t xml:space="preserve">The sale agreement </w:t>
      </w:r>
      <w:r w:rsidR="00562078" w:rsidRPr="00DC4099">
        <w:rPr>
          <w:szCs w:val="24"/>
        </w:rPr>
        <w:t xml:space="preserve">expressly provided that it </w:t>
      </w:r>
      <w:r w:rsidR="005614A3" w:rsidRPr="00DC4099">
        <w:rPr>
          <w:szCs w:val="24"/>
        </w:rPr>
        <w:t xml:space="preserve">was the whole agreement between the parties relating to the subject matter thereof and </w:t>
      </w:r>
      <w:r w:rsidR="00562078" w:rsidRPr="00DC4099">
        <w:rPr>
          <w:szCs w:val="24"/>
        </w:rPr>
        <w:t xml:space="preserve">that </w:t>
      </w:r>
      <w:r w:rsidR="00D7564B" w:rsidRPr="00DC4099">
        <w:rPr>
          <w:szCs w:val="24"/>
        </w:rPr>
        <w:t xml:space="preserve">‘[n]o addition to, novation, amendment or consensual cancellation . . . shall be binding unless recorded in a written document signed by the Parties </w:t>
      </w:r>
      <w:r w:rsidR="005614A3" w:rsidRPr="00DC4099">
        <w:rPr>
          <w:szCs w:val="24"/>
        </w:rPr>
        <w:t>.</w:t>
      </w:r>
      <w:r w:rsidR="00D7564B" w:rsidRPr="00DC4099">
        <w:rPr>
          <w:szCs w:val="24"/>
        </w:rPr>
        <w:t xml:space="preserve"> . .’</w:t>
      </w:r>
      <w:r w:rsidR="00144456">
        <w:rPr>
          <w:szCs w:val="24"/>
        </w:rPr>
        <w:t>.</w:t>
      </w:r>
      <w:r w:rsidR="00C477AB">
        <w:t xml:space="preserve"> </w:t>
      </w:r>
      <w:r w:rsidR="00D6771C">
        <w:t>The</w:t>
      </w:r>
      <w:r w:rsidR="00562078">
        <w:t xml:space="preserve"> email did not comply with these </w:t>
      </w:r>
      <w:r w:rsidR="00060121">
        <w:t>formalities</w:t>
      </w:r>
      <w:r w:rsidR="00ED5399">
        <w:t xml:space="preserve"> for </w:t>
      </w:r>
      <w:r w:rsidR="00D44B8A">
        <w:t xml:space="preserve">any </w:t>
      </w:r>
      <w:r w:rsidR="00ED5399">
        <w:t xml:space="preserve">addition to or amendment of the </w:t>
      </w:r>
      <w:r w:rsidR="00D44B8A">
        <w:t xml:space="preserve">arbitrator’s powers </w:t>
      </w:r>
      <w:r w:rsidR="00DC4099">
        <w:t xml:space="preserve">in </w:t>
      </w:r>
      <w:r w:rsidR="00D44B8A">
        <w:t>the sale agreement</w:t>
      </w:r>
      <w:r w:rsidR="00562078">
        <w:t>.</w:t>
      </w:r>
      <w:r w:rsidR="00D6771C">
        <w:t xml:space="preserve"> </w:t>
      </w:r>
    </w:p>
    <w:p w14:paraId="611BB3BC" w14:textId="77777777" w:rsidR="00ED5399" w:rsidRDefault="00ED5399" w:rsidP="00261731">
      <w:pPr>
        <w:spacing w:line="360" w:lineRule="auto"/>
      </w:pPr>
    </w:p>
    <w:p w14:paraId="7ECB2C61" w14:textId="0F7942D4" w:rsidR="00A66A1E" w:rsidRDefault="00FD341B" w:rsidP="00FD341B">
      <w:pPr>
        <w:spacing w:line="360" w:lineRule="auto"/>
        <w:jc w:val="both"/>
      </w:pPr>
      <w:r>
        <w:rPr>
          <w:szCs w:val="24"/>
        </w:rPr>
        <w:t>[26]</w:t>
      </w:r>
      <w:r>
        <w:rPr>
          <w:szCs w:val="24"/>
        </w:rPr>
        <w:tab/>
      </w:r>
      <w:r w:rsidR="00D44B8A">
        <w:t xml:space="preserve">It was </w:t>
      </w:r>
      <w:r w:rsidR="00ED5399">
        <w:t xml:space="preserve">conceded </w:t>
      </w:r>
      <w:r w:rsidR="00D44B8A">
        <w:t xml:space="preserve">by counsel </w:t>
      </w:r>
      <w:r w:rsidR="00060121">
        <w:t xml:space="preserve">during argument </w:t>
      </w:r>
      <w:r w:rsidR="000A0F9A">
        <w:t xml:space="preserve">that this </w:t>
      </w:r>
      <w:r w:rsidR="00ED5399">
        <w:t xml:space="preserve">issue </w:t>
      </w:r>
      <w:r w:rsidR="00562078">
        <w:t xml:space="preserve">had not </w:t>
      </w:r>
      <w:r w:rsidR="000A0F9A">
        <w:t>occur</w:t>
      </w:r>
      <w:r w:rsidR="00562078">
        <w:t>red</w:t>
      </w:r>
      <w:r w:rsidR="000A0F9A">
        <w:t xml:space="preserve"> to </w:t>
      </w:r>
      <w:r w:rsidR="00F764E8">
        <w:t>the seller or the buyers</w:t>
      </w:r>
      <w:r w:rsidR="00D44B8A">
        <w:t>. The buyers</w:t>
      </w:r>
      <w:r w:rsidR="00DD2CC8">
        <w:t>,</w:t>
      </w:r>
      <w:r w:rsidR="00D44B8A">
        <w:t xml:space="preserve"> however</w:t>
      </w:r>
      <w:r w:rsidR="00DD2CC8">
        <w:t>,</w:t>
      </w:r>
      <w:r w:rsidR="00D44B8A">
        <w:t xml:space="preserve"> </w:t>
      </w:r>
      <w:r w:rsidR="00ED5399">
        <w:t xml:space="preserve">argued that it </w:t>
      </w:r>
      <w:r w:rsidR="00D44B8A">
        <w:t xml:space="preserve">had been </w:t>
      </w:r>
      <w:r w:rsidR="00ED5399">
        <w:t xml:space="preserve">common cause </w:t>
      </w:r>
      <w:r w:rsidR="00D44B8A">
        <w:t>between the</w:t>
      </w:r>
      <w:r w:rsidR="007349F6">
        <w:t xml:space="preserve">m </w:t>
      </w:r>
      <w:r w:rsidR="00D44B8A">
        <w:t xml:space="preserve">and </w:t>
      </w:r>
      <w:r w:rsidR="007349F6">
        <w:t xml:space="preserve">the </w:t>
      </w:r>
      <w:r w:rsidR="00D44B8A">
        <w:t xml:space="preserve">seller </w:t>
      </w:r>
      <w:r w:rsidR="00ED5399">
        <w:t xml:space="preserve">on the affidavits exchanged in the review that further hearings were required to be </w:t>
      </w:r>
      <w:r w:rsidR="00D44B8A">
        <w:t xml:space="preserve">conducted </w:t>
      </w:r>
      <w:r w:rsidR="00ED5399">
        <w:t>before the award could be issued</w:t>
      </w:r>
      <w:r w:rsidR="00D44B8A">
        <w:t xml:space="preserve"> and that the arbitrator was accordingly bound by their agreement</w:t>
      </w:r>
      <w:r w:rsidR="00ED5399">
        <w:t xml:space="preserve">. </w:t>
      </w:r>
      <w:r w:rsidR="00D44B8A">
        <w:t xml:space="preserve">I disagree. </w:t>
      </w:r>
      <w:r w:rsidR="007C5A1D">
        <w:t xml:space="preserve">The buyers argued that the arbitrator, as a matter of law, should have had a further hearing and that it was his failure to do so which constituted a gross irregularity and resulted in </w:t>
      </w:r>
      <w:r w:rsidR="00DF50F7">
        <w:t xml:space="preserve">a procedural </w:t>
      </w:r>
      <w:r w:rsidR="007C5A1D">
        <w:t>unfairness</w:t>
      </w:r>
      <w:r w:rsidR="00DF50F7">
        <w:t xml:space="preserve">. </w:t>
      </w:r>
      <w:r w:rsidR="00ED5399">
        <w:t xml:space="preserve">The issue </w:t>
      </w:r>
      <w:r w:rsidR="00562078">
        <w:t xml:space="preserve">whether </w:t>
      </w:r>
      <w:r w:rsidR="00060121">
        <w:t>the arbitrator</w:t>
      </w:r>
      <w:r w:rsidR="00562078">
        <w:t xml:space="preserve"> was obliged </w:t>
      </w:r>
      <w:r w:rsidR="00060121">
        <w:t xml:space="preserve">to have </w:t>
      </w:r>
      <w:r w:rsidR="007349F6">
        <w:t xml:space="preserve">had </w:t>
      </w:r>
      <w:r w:rsidR="00060121">
        <w:t xml:space="preserve">a further hearing </w:t>
      </w:r>
      <w:r w:rsidR="00E5071E">
        <w:t>wa</w:t>
      </w:r>
      <w:r w:rsidR="007C5A1D">
        <w:t xml:space="preserve">s </w:t>
      </w:r>
      <w:r w:rsidR="00DC4099">
        <w:t xml:space="preserve">accordingly </w:t>
      </w:r>
      <w:r w:rsidR="000A0F9A">
        <w:t>a question of law</w:t>
      </w:r>
      <w:r w:rsidR="007C5A1D">
        <w:t>. The terms of the email could not validly add to or amend the arbitrator’s powers in terms of the agreement</w:t>
      </w:r>
      <w:r w:rsidR="007349F6">
        <w:t>, unless reduced to writing and signed by them</w:t>
      </w:r>
      <w:r w:rsidR="007C5A1D">
        <w:t xml:space="preserve">. </w:t>
      </w:r>
      <w:r w:rsidR="007C5A1D" w:rsidRPr="00547DB0">
        <w:t>A</w:t>
      </w:r>
      <w:r w:rsidR="007349F6" w:rsidRPr="00547DB0">
        <w:t>bsent compliance with that formality</w:t>
      </w:r>
      <w:r w:rsidR="00E5071E" w:rsidRPr="00547DB0">
        <w:t>,</w:t>
      </w:r>
      <w:r w:rsidR="007349F6" w:rsidRPr="00547DB0">
        <w:t xml:space="preserve"> </w:t>
      </w:r>
      <w:r w:rsidR="007C5A1D" w:rsidRPr="00547DB0">
        <w:t xml:space="preserve">there </w:t>
      </w:r>
      <w:r w:rsidR="00ED5399" w:rsidRPr="00547DB0">
        <w:t xml:space="preserve">was no </w:t>
      </w:r>
      <w:r w:rsidR="007349F6" w:rsidRPr="00547DB0">
        <w:t xml:space="preserve">valid amendment or addition to the arbitrator’s powers which would impose a </w:t>
      </w:r>
      <w:r w:rsidR="00ED5399" w:rsidRPr="009A1DEC">
        <w:t xml:space="preserve">binding obligation on </w:t>
      </w:r>
      <w:r w:rsidR="007349F6" w:rsidRPr="009A1DEC">
        <w:t xml:space="preserve">him </w:t>
      </w:r>
      <w:r w:rsidR="00ED5399" w:rsidRPr="00547DB0">
        <w:t>in law</w:t>
      </w:r>
      <w:r w:rsidR="00646762" w:rsidRPr="00547DB0">
        <w:t xml:space="preserve"> </w:t>
      </w:r>
      <w:r w:rsidR="00A66A1E" w:rsidRPr="00547DB0">
        <w:t xml:space="preserve">to have </w:t>
      </w:r>
      <w:r w:rsidR="007349F6" w:rsidRPr="00547DB0">
        <w:t xml:space="preserve">a further </w:t>
      </w:r>
      <w:r w:rsidR="00A66A1E" w:rsidRPr="00547DB0">
        <w:t>hearing</w:t>
      </w:r>
      <w:r w:rsidR="007349F6">
        <w:t>,</w:t>
      </w:r>
      <w:r w:rsidR="007C5A1D">
        <w:t xml:space="preserve"> irrespective of what the buyers and seller might have agreed</w:t>
      </w:r>
      <w:r w:rsidR="007349F6">
        <w:t>. It</w:t>
      </w:r>
      <w:r w:rsidR="00DA2F64">
        <w:t xml:space="preserve"> </w:t>
      </w:r>
      <w:r w:rsidR="00646762">
        <w:t xml:space="preserve">was entirely </w:t>
      </w:r>
      <w:r w:rsidR="00A66A1E">
        <w:t xml:space="preserve">in </w:t>
      </w:r>
      <w:r w:rsidR="00DC4099">
        <w:t xml:space="preserve">the arbitrator’s </w:t>
      </w:r>
      <w:r w:rsidR="00A66A1E">
        <w:t>discretion</w:t>
      </w:r>
      <w:r w:rsidR="00384F61">
        <w:t>,</w:t>
      </w:r>
      <w:r w:rsidR="00A66A1E">
        <w:t xml:space="preserve"> </w:t>
      </w:r>
      <w:r w:rsidR="00DA2F64">
        <w:t xml:space="preserve">depending on whether </w:t>
      </w:r>
      <w:r w:rsidR="00646762">
        <w:t xml:space="preserve">he </w:t>
      </w:r>
      <w:r w:rsidR="00A66A1E">
        <w:t>thought it necessary</w:t>
      </w:r>
      <w:r w:rsidR="008D5C2D">
        <w:t xml:space="preserve"> in </w:t>
      </w:r>
      <w:r w:rsidR="00DA2F64">
        <w:t xml:space="preserve">giving effect to the terms </w:t>
      </w:r>
      <w:r w:rsidR="008D5C2D">
        <w:t>of his original mandate</w:t>
      </w:r>
      <w:r w:rsidR="00DA2F64">
        <w:t xml:space="preserve">, to </w:t>
      </w:r>
      <w:r w:rsidR="007349F6">
        <w:t xml:space="preserve">conduct </w:t>
      </w:r>
      <w:r w:rsidR="00DA2F64">
        <w:t>any further hearings</w:t>
      </w:r>
      <w:r w:rsidR="00A66A1E">
        <w:t>.</w:t>
      </w:r>
      <w:r w:rsidR="00DC4099">
        <w:t xml:space="preserve"> If the intention was that his discretion and the wide powers in the sale agreement had become fettered by the terms of the email requiring him to have a hearing, then the terms of the sale agreement should have been amended in the manner contemplated for its amendment.</w:t>
      </w:r>
    </w:p>
    <w:p w14:paraId="53727375" w14:textId="77777777" w:rsidR="00060121" w:rsidRDefault="00060121" w:rsidP="009437DD">
      <w:pPr>
        <w:spacing w:line="360" w:lineRule="auto"/>
        <w:jc w:val="both"/>
      </w:pPr>
    </w:p>
    <w:p w14:paraId="68C430D5" w14:textId="77777777" w:rsidR="008B5330" w:rsidRPr="005E0500" w:rsidRDefault="008B5330" w:rsidP="009437DD">
      <w:pPr>
        <w:spacing w:line="360" w:lineRule="auto"/>
        <w:jc w:val="both"/>
        <w:rPr>
          <w:b/>
          <w:bCs/>
          <w:i/>
        </w:rPr>
      </w:pPr>
      <w:r w:rsidRPr="005E0500">
        <w:rPr>
          <w:b/>
          <w:bCs/>
          <w:i/>
        </w:rPr>
        <w:t>The interpretation of the email</w:t>
      </w:r>
    </w:p>
    <w:p w14:paraId="499259B5" w14:textId="638C111C" w:rsidR="00A66A1E" w:rsidRDefault="00FD341B" w:rsidP="00FD341B">
      <w:pPr>
        <w:spacing w:line="360" w:lineRule="auto"/>
        <w:jc w:val="both"/>
      </w:pPr>
      <w:r>
        <w:rPr>
          <w:szCs w:val="24"/>
        </w:rPr>
        <w:t>[27]</w:t>
      </w:r>
      <w:r>
        <w:rPr>
          <w:szCs w:val="24"/>
        </w:rPr>
        <w:tab/>
      </w:r>
      <w:r w:rsidR="00363B2B">
        <w:t>E</w:t>
      </w:r>
      <w:r w:rsidR="00A66A1E">
        <w:t>ven if</w:t>
      </w:r>
      <w:r w:rsidR="00562078">
        <w:t xml:space="preserve"> </w:t>
      </w:r>
      <w:r w:rsidR="00646762">
        <w:t xml:space="preserve">my aforesaid </w:t>
      </w:r>
      <w:r w:rsidR="00562078">
        <w:t xml:space="preserve">conclusion </w:t>
      </w:r>
      <w:r w:rsidR="00646762">
        <w:t>wa</w:t>
      </w:r>
      <w:r w:rsidR="00562078">
        <w:t>s wrong</w:t>
      </w:r>
      <w:r w:rsidR="00181879">
        <w:t xml:space="preserve"> </w:t>
      </w:r>
      <w:r w:rsidR="00562078">
        <w:t xml:space="preserve">and </w:t>
      </w:r>
      <w:r w:rsidR="008D5C2D">
        <w:t xml:space="preserve">the </w:t>
      </w:r>
      <w:r w:rsidR="00A66A1E">
        <w:t xml:space="preserve">email </w:t>
      </w:r>
      <w:r w:rsidR="00562078">
        <w:t xml:space="preserve">could </w:t>
      </w:r>
      <w:r w:rsidR="00181879">
        <w:t xml:space="preserve">impose </w:t>
      </w:r>
      <w:r w:rsidR="00DC360B">
        <w:t xml:space="preserve">valid </w:t>
      </w:r>
      <w:r w:rsidR="00181879">
        <w:t>obligations</w:t>
      </w:r>
      <w:r w:rsidR="007349F6">
        <w:t xml:space="preserve"> adding </w:t>
      </w:r>
      <w:r w:rsidR="00646762">
        <w:t xml:space="preserve">to or amending </w:t>
      </w:r>
      <w:r w:rsidR="00562078">
        <w:t xml:space="preserve">the wide terms of the arbitrator’s </w:t>
      </w:r>
      <w:r w:rsidR="00646762">
        <w:t xml:space="preserve">original </w:t>
      </w:r>
      <w:r w:rsidR="00562078">
        <w:t xml:space="preserve">appointment, </w:t>
      </w:r>
      <w:r w:rsidR="00A66A1E">
        <w:t xml:space="preserve">then the </w:t>
      </w:r>
      <w:r w:rsidR="00060121">
        <w:t xml:space="preserve">email </w:t>
      </w:r>
      <w:r w:rsidR="00646762">
        <w:t xml:space="preserve">would have to be interpreted </w:t>
      </w:r>
      <w:r w:rsidR="00181879">
        <w:t>to determine the ambit of such obligations</w:t>
      </w:r>
      <w:r w:rsidR="00A66A1E">
        <w:t xml:space="preserve">. </w:t>
      </w:r>
      <w:r w:rsidR="00646762">
        <w:t xml:space="preserve">It was for the arbitrator, and only the arbitrator, to interpret the </w:t>
      </w:r>
      <w:r w:rsidR="00A66A1E">
        <w:t>email</w:t>
      </w:r>
      <w:r w:rsidR="00646762">
        <w:t>,</w:t>
      </w:r>
      <w:r w:rsidR="008B5330">
        <w:t xml:space="preserve"> </w:t>
      </w:r>
      <w:r w:rsidR="00A66A1E">
        <w:t xml:space="preserve">just </w:t>
      </w:r>
      <w:r w:rsidR="008D5C2D">
        <w:t xml:space="preserve">as he had to interpret and apply </w:t>
      </w:r>
      <w:r w:rsidR="00A66A1E">
        <w:t xml:space="preserve">the arbitration </w:t>
      </w:r>
      <w:r w:rsidR="004A5DB0">
        <w:t>sale agreement</w:t>
      </w:r>
      <w:r w:rsidR="00A66A1E">
        <w:t xml:space="preserve"> embodied in clause 27 of the </w:t>
      </w:r>
      <w:r w:rsidR="00646762">
        <w:t>s</w:t>
      </w:r>
      <w:r w:rsidR="004A5DB0">
        <w:t>ale agreement</w:t>
      </w:r>
      <w:r w:rsidR="00A66A1E">
        <w:t xml:space="preserve">, </w:t>
      </w:r>
      <w:r w:rsidR="00646762">
        <w:t xml:space="preserve">other provisions of </w:t>
      </w:r>
      <w:r w:rsidR="00A66A1E">
        <w:t xml:space="preserve">the </w:t>
      </w:r>
      <w:r w:rsidR="00646762">
        <w:t>s</w:t>
      </w:r>
      <w:r w:rsidR="004A5DB0">
        <w:t>ale agreement</w:t>
      </w:r>
      <w:r w:rsidR="00A66A1E">
        <w:t xml:space="preserve"> itself, or any other document </w:t>
      </w:r>
      <w:r w:rsidR="00A438E4">
        <w:t xml:space="preserve">which featured in </w:t>
      </w:r>
      <w:r w:rsidR="00A66A1E">
        <w:t>the arbitration</w:t>
      </w:r>
      <w:r w:rsidR="00181879">
        <w:t xml:space="preserve">. He would have to do so </w:t>
      </w:r>
      <w:r w:rsidR="00A66A1E">
        <w:t xml:space="preserve">having regard to the wording of </w:t>
      </w:r>
      <w:r w:rsidR="003B3226">
        <w:t xml:space="preserve">the email </w:t>
      </w:r>
      <w:r w:rsidR="00A66A1E">
        <w:t xml:space="preserve">in the context </w:t>
      </w:r>
      <w:r w:rsidR="003B3226">
        <w:t>within</w:t>
      </w:r>
      <w:r w:rsidR="00181879">
        <w:t>,</w:t>
      </w:r>
      <w:r w:rsidR="00A66A1E">
        <w:t xml:space="preserve"> and the purpose for which</w:t>
      </w:r>
      <w:r w:rsidR="00181879">
        <w:t>,</w:t>
      </w:r>
      <w:r w:rsidR="00A66A1E">
        <w:t xml:space="preserve"> it came into existence.</w:t>
      </w:r>
      <w:r w:rsidR="00A66A1E">
        <w:rPr>
          <w:rStyle w:val="FootnoteReference"/>
        </w:rPr>
        <w:footnoteReference w:id="38"/>
      </w:r>
      <w:r w:rsidR="008B5330">
        <w:t xml:space="preserve"> His interpretation</w:t>
      </w:r>
      <w:r w:rsidR="007349F6">
        <w:t>, whether right or wrong,</w:t>
      </w:r>
      <w:r w:rsidR="008B5330">
        <w:t xml:space="preserve"> would be final</w:t>
      </w:r>
      <w:r w:rsidR="00E35735">
        <w:t xml:space="preserve"> and not subject to review</w:t>
      </w:r>
      <w:r w:rsidR="008B5330">
        <w:t>.</w:t>
      </w:r>
    </w:p>
    <w:p w14:paraId="0E88580A" w14:textId="77777777" w:rsidR="00A66A1E" w:rsidRDefault="00A66A1E" w:rsidP="009437DD">
      <w:pPr>
        <w:spacing w:line="360" w:lineRule="auto"/>
        <w:jc w:val="both"/>
      </w:pPr>
    </w:p>
    <w:p w14:paraId="1FA61E99" w14:textId="1E6D5614" w:rsidR="00E35735" w:rsidRDefault="00FD341B" w:rsidP="00FD341B">
      <w:pPr>
        <w:spacing w:line="360" w:lineRule="auto"/>
        <w:jc w:val="both"/>
      </w:pPr>
      <w:r>
        <w:rPr>
          <w:szCs w:val="24"/>
        </w:rPr>
        <w:t>[28]</w:t>
      </w:r>
      <w:r>
        <w:rPr>
          <w:szCs w:val="24"/>
        </w:rPr>
        <w:tab/>
      </w:r>
      <w:r w:rsidR="00A66A1E">
        <w:t xml:space="preserve">Mr Friedman, for the </w:t>
      </w:r>
      <w:r w:rsidR="00E35735">
        <w:t>seller</w:t>
      </w:r>
      <w:r w:rsidR="00A66A1E">
        <w:t xml:space="preserve">, seemed to </w:t>
      </w:r>
      <w:r w:rsidR="000424B7">
        <w:t xml:space="preserve">suggest </w:t>
      </w:r>
      <w:r w:rsidR="00A66A1E">
        <w:t xml:space="preserve">that if the arbitrator’s interpretation </w:t>
      </w:r>
      <w:r w:rsidR="00A438E4">
        <w:t xml:space="preserve">of the email </w:t>
      </w:r>
      <w:r w:rsidR="00A66A1E">
        <w:t xml:space="preserve">was so </w:t>
      </w:r>
      <w:r w:rsidR="00181879">
        <w:t xml:space="preserve">unfair or </w:t>
      </w:r>
      <w:r w:rsidR="00A66A1E">
        <w:t xml:space="preserve">unreasonable </w:t>
      </w:r>
      <w:r w:rsidR="00181879">
        <w:t xml:space="preserve">as to not be </w:t>
      </w:r>
      <w:r w:rsidR="00A66A1E">
        <w:t>sustain</w:t>
      </w:r>
      <w:r w:rsidR="00181879">
        <w:t xml:space="preserve">able </w:t>
      </w:r>
      <w:r w:rsidR="00A66A1E">
        <w:t>on any basis, that the arbitrator would then have exceed</w:t>
      </w:r>
      <w:r w:rsidR="009437DD">
        <w:t>ed</w:t>
      </w:r>
      <w:r w:rsidR="00A66A1E">
        <w:t xml:space="preserve"> his mandate. I shall</w:t>
      </w:r>
      <w:r w:rsidR="000C1A0B">
        <w:t>, in the interest of brevity,</w:t>
      </w:r>
      <w:r w:rsidR="00A66A1E">
        <w:t xml:space="preserve"> accept the </w:t>
      </w:r>
      <w:r w:rsidR="00D23C59">
        <w:t xml:space="preserve">correctness of </w:t>
      </w:r>
      <w:r w:rsidR="000424B7">
        <w:t xml:space="preserve">that proposition </w:t>
      </w:r>
      <w:r w:rsidR="00A66A1E">
        <w:t>for the purposes of the present argument</w:t>
      </w:r>
      <w:r w:rsidR="00DC360B">
        <w:t>, but without deciding the issue</w:t>
      </w:r>
      <w:r w:rsidR="000C1A0B">
        <w:t xml:space="preserve">. I do so as there is not the slightest </w:t>
      </w:r>
      <w:r w:rsidR="00A66A1E">
        <w:t xml:space="preserve">possibility </w:t>
      </w:r>
      <w:r w:rsidR="000C1A0B">
        <w:t>on the evidence</w:t>
      </w:r>
      <w:r w:rsidR="00DC360B">
        <w:t>,</w:t>
      </w:r>
      <w:r w:rsidR="000C1A0B">
        <w:t xml:space="preserve"> </w:t>
      </w:r>
      <w:r w:rsidR="00A66A1E">
        <w:t xml:space="preserve">of </w:t>
      </w:r>
      <w:r w:rsidR="000C1A0B">
        <w:t xml:space="preserve">concluding that the arbitrator had interpreted the email in an unfair manner resulting in him exceeding </w:t>
      </w:r>
      <w:r w:rsidR="00E35735">
        <w:t>his mandate</w:t>
      </w:r>
      <w:r w:rsidR="000C1A0B">
        <w:t xml:space="preserve">. </w:t>
      </w:r>
      <w:r w:rsidR="00A66A1E">
        <w:t xml:space="preserve"> </w:t>
      </w:r>
    </w:p>
    <w:p w14:paraId="42F09871" w14:textId="77777777" w:rsidR="00E35735" w:rsidRDefault="00E35735" w:rsidP="00261731">
      <w:pPr>
        <w:spacing w:line="360" w:lineRule="auto"/>
      </w:pPr>
    </w:p>
    <w:p w14:paraId="2314FE1F" w14:textId="7AF4DA73" w:rsidR="008B5330" w:rsidRPr="00DC360B" w:rsidRDefault="00FD341B" w:rsidP="00FD341B">
      <w:pPr>
        <w:spacing w:line="360" w:lineRule="auto"/>
        <w:jc w:val="both"/>
        <w:rPr>
          <w:b/>
          <w:bCs/>
        </w:rPr>
      </w:pPr>
      <w:r w:rsidRPr="00DC360B">
        <w:rPr>
          <w:szCs w:val="24"/>
        </w:rPr>
        <w:t>[29]</w:t>
      </w:r>
      <w:r w:rsidRPr="00DC360B">
        <w:rPr>
          <w:szCs w:val="24"/>
        </w:rPr>
        <w:tab/>
      </w:r>
      <w:r w:rsidR="0079741C">
        <w:t xml:space="preserve">Although it is not for this </w:t>
      </w:r>
      <w:r w:rsidR="00F1432A">
        <w:t>C</w:t>
      </w:r>
      <w:r w:rsidR="0079741C">
        <w:t xml:space="preserve">ourt to interpret the email, </w:t>
      </w:r>
      <w:r w:rsidR="003B3226">
        <w:t>I make the following brief observations</w:t>
      </w:r>
      <w:r w:rsidR="0079741C">
        <w:t xml:space="preserve"> regarding the email. </w:t>
      </w:r>
      <w:r w:rsidR="003B3226">
        <w:t>T</w:t>
      </w:r>
      <w:r w:rsidR="00D23C59">
        <w:t xml:space="preserve">he </w:t>
      </w:r>
      <w:r w:rsidR="00A66A1E">
        <w:t xml:space="preserve">email did not </w:t>
      </w:r>
      <w:r w:rsidR="000424B7">
        <w:t xml:space="preserve">impose </w:t>
      </w:r>
      <w:r w:rsidR="00A66A1E">
        <w:t xml:space="preserve">an unequivocal obligation </w:t>
      </w:r>
      <w:r w:rsidR="003B3226">
        <w:t xml:space="preserve">requiring </w:t>
      </w:r>
      <w:r w:rsidR="00A66A1E">
        <w:t xml:space="preserve">a hearing in </w:t>
      </w:r>
      <w:r w:rsidR="003B3226">
        <w:t xml:space="preserve">respect of the counterclaims generally, </w:t>
      </w:r>
      <w:r w:rsidR="00A66A1E">
        <w:t xml:space="preserve">otherwise it would have said so. </w:t>
      </w:r>
      <w:r w:rsidR="001E2A1A">
        <w:t>Specifically</w:t>
      </w:r>
      <w:r w:rsidR="001E2A1A" w:rsidRPr="001E2A1A">
        <w:t xml:space="preserve">, if the intention was that the quantum on the stock claim was to be referred to evidence regardless of whether it was clear or not, then the email would have said so. </w:t>
      </w:r>
      <w:r w:rsidR="00D23C59" w:rsidRPr="001E2A1A">
        <w:t>On</w:t>
      </w:r>
      <w:r w:rsidR="00D23C59">
        <w:t xml:space="preserve"> the contrary, what </w:t>
      </w:r>
      <w:r w:rsidR="00BE50AC">
        <w:t>wa</w:t>
      </w:r>
      <w:r w:rsidR="00D23C59">
        <w:t xml:space="preserve">s </w:t>
      </w:r>
      <w:r w:rsidR="00A438E4">
        <w:t xml:space="preserve">proposed was equivocal and stated to be </w:t>
      </w:r>
      <w:r w:rsidR="00BE50AC">
        <w:t xml:space="preserve">merely </w:t>
      </w:r>
      <w:r w:rsidR="00D23C59">
        <w:t>a ‘</w:t>
      </w:r>
      <w:r w:rsidR="00D23C59" w:rsidRPr="001E2A1A">
        <w:rPr>
          <w:i/>
          <w:iCs/>
        </w:rPr>
        <w:t>suggestion’</w:t>
      </w:r>
      <w:r w:rsidR="000C1A0B" w:rsidRPr="001E2A1A">
        <w:rPr>
          <w:i/>
          <w:iCs/>
        </w:rPr>
        <w:t xml:space="preserve"> </w:t>
      </w:r>
      <w:r w:rsidR="000C1A0B">
        <w:t>(not a definitive obligation)</w:t>
      </w:r>
      <w:r w:rsidR="000C1A0B" w:rsidRPr="001E2A1A">
        <w:rPr>
          <w:i/>
          <w:iCs/>
        </w:rPr>
        <w:t>,</w:t>
      </w:r>
      <w:r w:rsidR="00D23C59">
        <w:t xml:space="preserve"> </w:t>
      </w:r>
      <w:r w:rsidR="000C1A0B">
        <w:t xml:space="preserve">and </w:t>
      </w:r>
      <w:r w:rsidR="00DC360B">
        <w:t xml:space="preserve">contained </w:t>
      </w:r>
      <w:r w:rsidR="00181879">
        <w:t xml:space="preserve">what counsel termed </w:t>
      </w:r>
      <w:r w:rsidR="00D23C59">
        <w:t>‘</w:t>
      </w:r>
      <w:r w:rsidR="00BE50AC">
        <w:t xml:space="preserve">our </w:t>
      </w:r>
      <w:r w:rsidR="00BE50AC" w:rsidRPr="001E2A1A">
        <w:rPr>
          <w:i/>
          <w:iCs/>
        </w:rPr>
        <w:t>suggested</w:t>
      </w:r>
      <w:r w:rsidR="00BE50AC">
        <w:t xml:space="preserve"> road ahead’</w:t>
      </w:r>
      <w:r w:rsidR="004827A9">
        <w:t>.</w:t>
      </w:r>
      <w:r w:rsidR="00A438E4">
        <w:t xml:space="preserve"> (</w:t>
      </w:r>
      <w:r w:rsidR="00F1432A">
        <w:t>E</w:t>
      </w:r>
      <w:r w:rsidR="009437DD">
        <w:t xml:space="preserve">mphasis </w:t>
      </w:r>
      <w:r w:rsidR="00A438E4">
        <w:t>added</w:t>
      </w:r>
      <w:r w:rsidR="00F1432A">
        <w:t>.</w:t>
      </w:r>
      <w:r w:rsidR="00A438E4">
        <w:t>).</w:t>
      </w:r>
      <w:r w:rsidR="00D23C59">
        <w:t xml:space="preserve"> </w:t>
      </w:r>
      <w:r w:rsidR="00BE50AC">
        <w:t xml:space="preserve">The proposals in the email were </w:t>
      </w:r>
      <w:r w:rsidR="000424B7">
        <w:t xml:space="preserve">furthermore </w:t>
      </w:r>
      <w:r w:rsidR="00A66A1E">
        <w:t>conditional</w:t>
      </w:r>
      <w:r w:rsidR="000C1A0B">
        <w:t>, depending</w:t>
      </w:r>
      <w:r w:rsidR="00A66A1E">
        <w:t xml:space="preserve"> on certain scenarios arising, as is apparent from the </w:t>
      </w:r>
      <w:r w:rsidR="00BE50AC">
        <w:t xml:space="preserve">repeated </w:t>
      </w:r>
      <w:r w:rsidR="00A66A1E">
        <w:t xml:space="preserve">use of </w:t>
      </w:r>
      <w:r w:rsidR="00181879">
        <w:t xml:space="preserve">the word </w:t>
      </w:r>
      <w:r w:rsidR="00A66A1E">
        <w:t>‘</w:t>
      </w:r>
      <w:r w:rsidR="00BE50AC">
        <w:t>i</w:t>
      </w:r>
      <w:r w:rsidR="00A66A1E">
        <w:t>f’. I</w:t>
      </w:r>
      <w:r w:rsidR="000424B7">
        <w:t xml:space="preserve">n addition, the email </w:t>
      </w:r>
      <w:r w:rsidR="00A66A1E">
        <w:t xml:space="preserve">contemplated two </w:t>
      </w:r>
      <w:r w:rsidR="000424B7">
        <w:t xml:space="preserve">factual </w:t>
      </w:r>
      <w:r w:rsidR="00A66A1E">
        <w:t xml:space="preserve">scenarios arising. </w:t>
      </w:r>
      <w:r w:rsidR="000424B7">
        <w:t xml:space="preserve">The first </w:t>
      </w:r>
      <w:r w:rsidR="00A66A1E">
        <w:t>scenario</w:t>
      </w:r>
      <w:r w:rsidR="000424B7">
        <w:t>,</w:t>
      </w:r>
      <w:r w:rsidR="00A66A1E">
        <w:t xml:space="preserve"> </w:t>
      </w:r>
      <w:r w:rsidR="003B5086">
        <w:t>that is</w:t>
      </w:r>
      <w:r w:rsidR="0079051C">
        <w:t>,</w:t>
      </w:r>
      <w:r w:rsidR="003B5086">
        <w:t xml:space="preserve"> </w:t>
      </w:r>
      <w:r w:rsidR="000424B7">
        <w:t xml:space="preserve">if the </w:t>
      </w:r>
      <w:r w:rsidR="00A66A1E">
        <w:t xml:space="preserve">buyers </w:t>
      </w:r>
      <w:r w:rsidR="000424B7">
        <w:t>were</w:t>
      </w:r>
      <w:r w:rsidR="00A66A1E">
        <w:t xml:space="preserve"> found to be entitled to resile from the agreement, </w:t>
      </w:r>
      <w:r w:rsidR="000424B7">
        <w:t xml:space="preserve">was </w:t>
      </w:r>
      <w:r w:rsidR="003B5086">
        <w:t xml:space="preserve">rejected </w:t>
      </w:r>
      <w:r w:rsidR="003B3226">
        <w:t xml:space="preserve">by the arbitrator </w:t>
      </w:r>
      <w:r w:rsidR="003B5086">
        <w:t xml:space="preserve">in the award </w:t>
      </w:r>
      <w:r w:rsidR="000424B7">
        <w:t xml:space="preserve">and </w:t>
      </w:r>
      <w:r w:rsidR="00A66A1E">
        <w:t xml:space="preserve">need not be considered further. The other </w:t>
      </w:r>
      <w:r w:rsidR="000424B7">
        <w:t xml:space="preserve">scenario </w:t>
      </w:r>
      <w:r w:rsidR="00A66A1E">
        <w:t>w</w:t>
      </w:r>
      <w:r w:rsidR="00C477AB">
        <w:t>as,</w:t>
      </w:r>
      <w:r w:rsidR="00A66A1E">
        <w:t xml:space="preserve"> ‘</w:t>
      </w:r>
      <w:r w:rsidR="00C477AB">
        <w:t>as we had already all</w:t>
      </w:r>
      <w:r w:rsidR="00A66A1E">
        <w:t xml:space="preserve"> agreed</w:t>
      </w:r>
      <w:r w:rsidR="00C477AB">
        <w:t xml:space="preserve"> that, should you uphold any of the respondents’ counterclaims that still require evidence on quantum </w:t>
      </w:r>
      <w:r w:rsidR="000F6914">
        <w:t xml:space="preserve">. . . </w:t>
      </w:r>
      <w:r w:rsidR="00C477AB">
        <w:t>a further hearing on quantum will be necessary</w:t>
      </w:r>
      <w:r w:rsidR="00A66A1E">
        <w:t xml:space="preserve">’, </w:t>
      </w:r>
      <w:r w:rsidR="000F6914">
        <w:t xml:space="preserve">but the </w:t>
      </w:r>
      <w:r w:rsidR="00C477AB">
        <w:t xml:space="preserve">‘suggestion on how to proceed’ </w:t>
      </w:r>
      <w:r w:rsidR="003B5086" w:rsidRPr="00547DB0">
        <w:t xml:space="preserve">was </w:t>
      </w:r>
      <w:r w:rsidR="000F6914" w:rsidRPr="00547DB0">
        <w:t>that this was</w:t>
      </w:r>
      <w:r w:rsidR="000F6914">
        <w:t xml:space="preserve"> </w:t>
      </w:r>
      <w:r w:rsidR="00BE50AC">
        <w:t xml:space="preserve">where a counterclaim </w:t>
      </w:r>
      <w:r w:rsidR="000F6914">
        <w:t>wa</w:t>
      </w:r>
      <w:r w:rsidR="00BE50AC">
        <w:t>s upheld ‘(</w:t>
      </w:r>
      <w:r w:rsidR="00BE50AC" w:rsidRPr="001E2A1A">
        <w:rPr>
          <w:i/>
          <w:iCs/>
        </w:rPr>
        <w:t>other than</w:t>
      </w:r>
      <w:r w:rsidR="00BE50AC">
        <w:t xml:space="preserve"> those . . . </w:t>
      </w:r>
      <w:r w:rsidR="00BE50AC" w:rsidRPr="001E2A1A">
        <w:rPr>
          <w:i/>
          <w:iCs/>
        </w:rPr>
        <w:t>where the amount is clear</w:t>
      </w:r>
      <w:r w:rsidR="00BE50AC">
        <w:t>) . . .</w:t>
      </w:r>
      <w:r w:rsidR="000F6914">
        <w:t>’</w:t>
      </w:r>
      <w:r w:rsidR="00F1432A">
        <w:t>.</w:t>
      </w:r>
      <w:r w:rsidR="003B5086">
        <w:t xml:space="preserve"> (</w:t>
      </w:r>
      <w:r w:rsidR="00F1432A">
        <w:t>E</w:t>
      </w:r>
      <w:r w:rsidR="009437DD">
        <w:t xml:space="preserve">mphasis </w:t>
      </w:r>
      <w:r w:rsidR="003B5086">
        <w:t>added</w:t>
      </w:r>
      <w:r w:rsidR="00F1432A">
        <w:t>.</w:t>
      </w:r>
      <w:r w:rsidR="003B5086">
        <w:t>).</w:t>
      </w:r>
      <w:r w:rsidR="00BE50AC">
        <w:t xml:space="preserve"> </w:t>
      </w:r>
      <w:r w:rsidR="00DC360B">
        <w:t>Fairly interpreted, a</w:t>
      </w:r>
      <w:r w:rsidR="00A66A1E">
        <w:t xml:space="preserve"> hearing </w:t>
      </w:r>
      <w:r w:rsidR="00BE50AC">
        <w:t xml:space="preserve">on quantum would thus </w:t>
      </w:r>
      <w:r w:rsidR="00A66A1E">
        <w:t>be required only if the quantum was not clear.</w:t>
      </w:r>
      <w:r w:rsidR="00DC360B">
        <w:rPr>
          <w:b/>
          <w:bCs/>
        </w:rPr>
        <w:t xml:space="preserve"> </w:t>
      </w:r>
      <w:r w:rsidR="000F6914" w:rsidRPr="000F6914">
        <w:t>T</w:t>
      </w:r>
      <w:r w:rsidR="008B5330" w:rsidRPr="000F6914">
        <w:t xml:space="preserve">he arbitrator </w:t>
      </w:r>
      <w:r w:rsidR="00DC360B">
        <w:t xml:space="preserve">accordingly </w:t>
      </w:r>
      <w:r w:rsidR="008B5330" w:rsidRPr="000F6914">
        <w:t xml:space="preserve">had </w:t>
      </w:r>
      <w:r w:rsidR="000F6914" w:rsidRPr="000F6914">
        <w:t xml:space="preserve">not </w:t>
      </w:r>
      <w:r w:rsidR="008B5330" w:rsidRPr="000F6914">
        <w:t>erred</w:t>
      </w:r>
      <w:r w:rsidR="000F6914" w:rsidRPr="000F6914">
        <w:t xml:space="preserve">, and even less so acted </w:t>
      </w:r>
      <w:r w:rsidR="000F6914">
        <w:t xml:space="preserve">irregularly or </w:t>
      </w:r>
      <w:r w:rsidR="000F6914" w:rsidRPr="000F6914">
        <w:t>unfairly,</w:t>
      </w:r>
      <w:r w:rsidR="008B5330" w:rsidRPr="000F6914">
        <w:t xml:space="preserve"> in interpreting the email to </w:t>
      </w:r>
      <w:r w:rsidR="000F6914">
        <w:t xml:space="preserve">not </w:t>
      </w:r>
      <w:r w:rsidR="008B5330" w:rsidRPr="000F6914">
        <w:t>require a</w:t>
      </w:r>
      <w:r w:rsidR="000F6914" w:rsidRPr="000F6914">
        <w:t xml:space="preserve"> hearing </w:t>
      </w:r>
      <w:r w:rsidR="00CE3355" w:rsidRPr="008B5330">
        <w:t xml:space="preserve">where quantification of any item relied upon by the buyers to reduce the amount owed to the seller could be clearly established without the need for a further hearing. </w:t>
      </w:r>
      <w:r w:rsidR="008B5330" w:rsidRPr="000F6914">
        <w:t xml:space="preserve"> </w:t>
      </w:r>
    </w:p>
    <w:p w14:paraId="7765A148" w14:textId="77777777" w:rsidR="00A66A1E" w:rsidRDefault="00A66A1E" w:rsidP="009437DD">
      <w:pPr>
        <w:spacing w:line="360" w:lineRule="auto"/>
      </w:pPr>
    </w:p>
    <w:p w14:paraId="10E945F0" w14:textId="4657EBA5" w:rsidR="008B5330" w:rsidRPr="005E0500" w:rsidRDefault="008B5330" w:rsidP="009437DD">
      <w:pPr>
        <w:spacing w:line="360" w:lineRule="auto"/>
        <w:rPr>
          <w:b/>
          <w:bCs/>
          <w:i/>
        </w:rPr>
      </w:pPr>
      <w:r w:rsidRPr="005E0500">
        <w:rPr>
          <w:b/>
          <w:bCs/>
          <w:i/>
        </w:rPr>
        <w:t xml:space="preserve">Is the arbitrator’s determination that </w:t>
      </w:r>
      <w:r w:rsidR="007A23B7" w:rsidRPr="005E0500">
        <w:rPr>
          <w:b/>
          <w:bCs/>
          <w:i/>
        </w:rPr>
        <w:t>the</w:t>
      </w:r>
      <w:r w:rsidRPr="005E0500">
        <w:rPr>
          <w:b/>
          <w:bCs/>
          <w:i/>
        </w:rPr>
        <w:t xml:space="preserve"> claim was clear, open to review</w:t>
      </w:r>
      <w:r w:rsidR="005E0500">
        <w:rPr>
          <w:b/>
          <w:bCs/>
          <w:i/>
        </w:rPr>
        <w:t>?</w:t>
      </w:r>
    </w:p>
    <w:p w14:paraId="602CC88D" w14:textId="2A257B38" w:rsidR="008B5330" w:rsidRPr="00CE3355" w:rsidRDefault="00FD341B" w:rsidP="00FD341B">
      <w:pPr>
        <w:spacing w:line="360" w:lineRule="auto"/>
        <w:jc w:val="both"/>
        <w:rPr>
          <w:b/>
          <w:bCs/>
        </w:rPr>
      </w:pPr>
      <w:r w:rsidRPr="00CE3355">
        <w:rPr>
          <w:szCs w:val="24"/>
        </w:rPr>
        <w:t>[30]</w:t>
      </w:r>
      <w:r w:rsidRPr="00CE3355">
        <w:rPr>
          <w:szCs w:val="24"/>
        </w:rPr>
        <w:tab/>
      </w:r>
      <w:r w:rsidR="00812D4B">
        <w:t xml:space="preserve">Given </w:t>
      </w:r>
      <w:r w:rsidR="000F6914">
        <w:t xml:space="preserve">the above interpretation of the email, the question </w:t>
      </w:r>
      <w:r w:rsidR="00A66A1E">
        <w:t xml:space="preserve">whether </w:t>
      </w:r>
      <w:r w:rsidR="00A66A1E" w:rsidRPr="008B5330">
        <w:t xml:space="preserve">the quantum of a claim was clear or not, would again be </w:t>
      </w:r>
      <w:r w:rsidR="001E2A1A">
        <w:t xml:space="preserve">an issue </w:t>
      </w:r>
      <w:r w:rsidR="00A66A1E" w:rsidRPr="008B5330">
        <w:t xml:space="preserve">for the arbitrator to </w:t>
      </w:r>
      <w:r w:rsidR="00A66A1E" w:rsidRPr="00CE3355">
        <w:t xml:space="preserve">determine. </w:t>
      </w:r>
      <w:r w:rsidR="00CE3355" w:rsidRPr="00CE3355">
        <w:t xml:space="preserve">The arbitrator’s decision </w:t>
      </w:r>
      <w:r w:rsidR="00DC360B">
        <w:t xml:space="preserve">would bear on the outcome of the award, would be </w:t>
      </w:r>
      <w:r w:rsidR="00CE3355" w:rsidRPr="00CE3355">
        <w:t>final, even if wrong, and would not be susceptible to review.</w:t>
      </w:r>
      <w:r w:rsidR="00CE3355" w:rsidRPr="008B5330">
        <w:rPr>
          <w:b/>
          <w:bCs/>
        </w:rPr>
        <w:t xml:space="preserve"> </w:t>
      </w:r>
      <w:r w:rsidR="00A66A1E" w:rsidRPr="008B5330">
        <w:t xml:space="preserve">Accepting again the </w:t>
      </w:r>
      <w:r w:rsidR="00E3517A" w:rsidRPr="008B5330">
        <w:t xml:space="preserve">correctness of the </w:t>
      </w:r>
      <w:r w:rsidR="00A66A1E" w:rsidRPr="008B5330">
        <w:t xml:space="preserve">proposition </w:t>
      </w:r>
      <w:r w:rsidR="00E3517A" w:rsidRPr="008B5330">
        <w:t xml:space="preserve">stated </w:t>
      </w:r>
      <w:r w:rsidR="00A66A1E" w:rsidRPr="008B5330">
        <w:t>by Mr Friedman</w:t>
      </w:r>
      <w:r w:rsidR="001E2A1A">
        <w:t xml:space="preserve"> for the purpose of argument</w:t>
      </w:r>
      <w:r w:rsidR="00E3517A" w:rsidRPr="008B5330">
        <w:t>,</w:t>
      </w:r>
      <w:r w:rsidR="00A66A1E" w:rsidRPr="008B5330">
        <w:t xml:space="preserve"> I am no</w:t>
      </w:r>
      <w:r w:rsidR="00E3517A" w:rsidRPr="008B5330">
        <w:t xml:space="preserve">t </w:t>
      </w:r>
      <w:r w:rsidR="00A66A1E" w:rsidRPr="008B5330">
        <w:t>persuaded that</w:t>
      </w:r>
      <w:r w:rsidR="008B5330" w:rsidRPr="008B5330">
        <w:t xml:space="preserve"> the arbitrator’s </w:t>
      </w:r>
      <w:r w:rsidR="00812D4B">
        <w:t xml:space="preserve">implicit </w:t>
      </w:r>
      <w:r w:rsidR="008B5330" w:rsidRPr="008B5330">
        <w:t>finding that the quantum of the stock claim was</w:t>
      </w:r>
      <w:r w:rsidR="001B08D4" w:rsidRPr="008B5330">
        <w:t xml:space="preserve"> </w:t>
      </w:r>
      <w:r w:rsidR="008B5330" w:rsidRPr="008B5330">
        <w:t>clear</w:t>
      </w:r>
      <w:r w:rsidR="00DF50F7">
        <w:t>,</w:t>
      </w:r>
      <w:r w:rsidR="008B5330" w:rsidRPr="008B5330">
        <w:t xml:space="preserve"> resulted in any </w:t>
      </w:r>
      <w:r w:rsidR="008B5330" w:rsidRPr="00CE3355">
        <w:t>unfairness</w:t>
      </w:r>
      <w:r w:rsidR="00CE3355" w:rsidRPr="00CE3355">
        <w:rPr>
          <w:rStyle w:val="FootnoteReference"/>
        </w:rPr>
        <w:footnoteReference w:id="39"/>
      </w:r>
      <w:r w:rsidR="008B5330" w:rsidRPr="008B5330">
        <w:t xml:space="preserve"> to the buyers</w:t>
      </w:r>
      <w:r w:rsidR="00DC360B">
        <w:t>,</w:t>
      </w:r>
      <w:r w:rsidR="008B5330" w:rsidRPr="008B5330">
        <w:t xml:space="preserve"> </w:t>
      </w:r>
      <w:r w:rsidR="001E2A1A">
        <w:t xml:space="preserve">or </w:t>
      </w:r>
      <w:r w:rsidR="008B5330" w:rsidRPr="008B5330">
        <w:t>amount</w:t>
      </w:r>
      <w:r w:rsidR="00DC360B">
        <w:t>ed</w:t>
      </w:r>
      <w:r w:rsidR="008B5330" w:rsidRPr="008B5330">
        <w:t xml:space="preserve"> to a ‘gross irregularity’</w:t>
      </w:r>
      <w:r w:rsidR="00EB5CCE">
        <w:t>.</w:t>
      </w:r>
      <w:r w:rsidR="008B5330" w:rsidRPr="00CE3355">
        <w:rPr>
          <w:b/>
          <w:bCs/>
        </w:rPr>
        <w:t xml:space="preserve">  </w:t>
      </w:r>
    </w:p>
    <w:p w14:paraId="3116A430" w14:textId="77777777" w:rsidR="008B5330" w:rsidRPr="009F16A8" w:rsidRDefault="008B5330" w:rsidP="009437DD">
      <w:pPr>
        <w:spacing w:line="360" w:lineRule="auto"/>
        <w:jc w:val="both"/>
      </w:pPr>
    </w:p>
    <w:p w14:paraId="4CA58C8B" w14:textId="210A7B36" w:rsidR="00DC360B" w:rsidRDefault="00FD341B" w:rsidP="00FD341B">
      <w:pPr>
        <w:spacing w:line="360" w:lineRule="auto"/>
        <w:jc w:val="both"/>
      </w:pPr>
      <w:r>
        <w:rPr>
          <w:szCs w:val="24"/>
        </w:rPr>
        <w:t>[31]</w:t>
      </w:r>
      <w:r>
        <w:rPr>
          <w:szCs w:val="24"/>
        </w:rPr>
        <w:tab/>
      </w:r>
      <w:r w:rsidR="008B5330" w:rsidRPr="009F16A8">
        <w:t>Th</w:t>
      </w:r>
      <w:r w:rsidR="0062462B" w:rsidRPr="009F16A8">
        <w:t xml:space="preserve">at the </w:t>
      </w:r>
      <w:r w:rsidR="00216995" w:rsidRPr="009F16A8">
        <w:t xml:space="preserve">arbitrator determined the </w:t>
      </w:r>
      <w:r w:rsidR="007A23B7" w:rsidRPr="009F16A8">
        <w:t xml:space="preserve">quantum of the </w:t>
      </w:r>
      <w:r w:rsidR="00CC7FC5" w:rsidRPr="009F16A8">
        <w:t xml:space="preserve">stock </w:t>
      </w:r>
      <w:r w:rsidR="0062462B" w:rsidRPr="009F16A8">
        <w:t xml:space="preserve">claim </w:t>
      </w:r>
      <w:r w:rsidR="00216995" w:rsidRPr="009F16A8">
        <w:t xml:space="preserve">in a </w:t>
      </w:r>
      <w:r w:rsidR="00CC7FC5" w:rsidRPr="009F16A8">
        <w:t>justifiabl</w:t>
      </w:r>
      <w:r w:rsidR="00216995" w:rsidRPr="009F16A8">
        <w:t xml:space="preserve">e </w:t>
      </w:r>
      <w:r w:rsidR="007A23B7" w:rsidRPr="009F16A8">
        <w:t>and fair</w:t>
      </w:r>
      <w:r w:rsidR="00216995" w:rsidRPr="009F16A8">
        <w:t xml:space="preserve"> manner</w:t>
      </w:r>
      <w:r w:rsidR="007A23B7" w:rsidRPr="009F16A8">
        <w:t xml:space="preserve"> </w:t>
      </w:r>
      <w:r w:rsidR="008B5330" w:rsidRPr="009F16A8">
        <w:t>requires a brief examination of the relevant material facts and evidence</w:t>
      </w:r>
      <w:r w:rsidR="00216995" w:rsidRPr="009F16A8">
        <w:t>. These included the following</w:t>
      </w:r>
      <w:r w:rsidR="0062462B" w:rsidRPr="009F16A8">
        <w:t xml:space="preserve">: </w:t>
      </w:r>
      <w:r w:rsidR="00B75397">
        <w:t xml:space="preserve">the </w:t>
      </w:r>
      <w:r w:rsidR="00CC7FC5" w:rsidRPr="009F16A8">
        <w:t xml:space="preserve">stock sheets of the </w:t>
      </w:r>
      <w:r w:rsidR="0062462B" w:rsidRPr="009F16A8">
        <w:t xml:space="preserve">physical </w:t>
      </w:r>
      <w:r w:rsidR="008B5330" w:rsidRPr="009F16A8">
        <w:t>stock take</w:t>
      </w:r>
      <w:r w:rsidR="00CC7FC5" w:rsidRPr="009F16A8">
        <w:t xml:space="preserve"> performed </w:t>
      </w:r>
      <w:r w:rsidR="008B5330" w:rsidRPr="009F16A8">
        <w:t>on 26 or 27 February 2017 by employees of SDK</w:t>
      </w:r>
      <w:r w:rsidR="0062462B" w:rsidRPr="009F16A8">
        <w:t xml:space="preserve"> </w:t>
      </w:r>
      <w:r w:rsidR="008B5330" w:rsidRPr="009F16A8">
        <w:t>were provided to the buyers;</w:t>
      </w:r>
      <w:r w:rsidR="001B7CF1" w:rsidRPr="009F16A8">
        <w:t xml:space="preserve"> </w:t>
      </w:r>
      <w:r w:rsidR="00CC7FC5" w:rsidRPr="009F16A8">
        <w:t xml:space="preserve">applying the prices of the stock to the physical items on the stock sheets resulted in the </w:t>
      </w:r>
      <w:r w:rsidR="00DC360B">
        <w:t xml:space="preserve">stock </w:t>
      </w:r>
      <w:r w:rsidR="00CC7FC5" w:rsidRPr="009F16A8">
        <w:t xml:space="preserve">figure of </w:t>
      </w:r>
      <w:r w:rsidR="001B7CF1" w:rsidRPr="009F16A8">
        <w:t>R6 197 211.14</w:t>
      </w:r>
      <w:r w:rsidR="00CC7FC5" w:rsidRPr="009F16A8">
        <w:t xml:space="preserve">; </w:t>
      </w:r>
      <w:r w:rsidR="001B7CF1" w:rsidRPr="009F16A8">
        <w:t>t</w:t>
      </w:r>
      <w:r w:rsidR="008B5330" w:rsidRPr="009F16A8">
        <w:t xml:space="preserve">he buyers </w:t>
      </w:r>
      <w:r w:rsidR="007A23B7" w:rsidRPr="009F16A8">
        <w:t xml:space="preserve">subsequently </w:t>
      </w:r>
      <w:r w:rsidR="00CC7FC5" w:rsidRPr="009F16A8">
        <w:t xml:space="preserve">disputed that </w:t>
      </w:r>
      <w:r w:rsidR="007A23B7" w:rsidRPr="009F16A8">
        <w:t xml:space="preserve">value </w:t>
      </w:r>
      <w:r w:rsidR="00216995" w:rsidRPr="009F16A8">
        <w:t xml:space="preserve">contending </w:t>
      </w:r>
      <w:r w:rsidR="00CC7FC5" w:rsidRPr="009F16A8">
        <w:t>that the stock value was approximately R2 200 000 (a rounded off value)</w:t>
      </w:r>
      <w:r w:rsidR="004F1AE0" w:rsidRPr="009F16A8">
        <w:t>;</w:t>
      </w:r>
      <w:r w:rsidR="004F1AE0" w:rsidRPr="00FD341B">
        <w:rPr>
          <w:sz w:val="22"/>
          <w:szCs w:val="22"/>
        </w:rPr>
        <w:t xml:space="preserve"> </w:t>
      </w:r>
      <w:r w:rsidR="00CC7FC5" w:rsidRPr="009F16A8">
        <w:t xml:space="preserve">the buyers </w:t>
      </w:r>
      <w:r w:rsidR="00DC360B">
        <w:t xml:space="preserve">bore </w:t>
      </w:r>
      <w:r w:rsidR="000E0134" w:rsidRPr="009F16A8">
        <w:t>an evidentiary onus to establish which items of stock were not present</w:t>
      </w:r>
      <w:r w:rsidR="00CC7FC5" w:rsidRPr="009F16A8">
        <w:t xml:space="preserve"> </w:t>
      </w:r>
      <w:r w:rsidR="00B75397">
        <w:t>(</w:t>
      </w:r>
      <w:r w:rsidR="00CC7FC5" w:rsidRPr="009F16A8">
        <w:t>they were unable to do so</w:t>
      </w:r>
      <w:r w:rsidR="00B75397">
        <w:t>)</w:t>
      </w:r>
      <w:r w:rsidR="00CC7FC5" w:rsidRPr="009F16A8">
        <w:t xml:space="preserve">; </w:t>
      </w:r>
      <w:r w:rsidR="004F1AE0" w:rsidRPr="009F16A8">
        <w:t xml:space="preserve">there was no evidence from the buyers identifying </w:t>
      </w:r>
      <w:r w:rsidR="007A23B7" w:rsidRPr="009F16A8">
        <w:t xml:space="preserve">the items </w:t>
      </w:r>
      <w:r w:rsidR="004F1AE0" w:rsidRPr="009F16A8">
        <w:t>on the stock sheets of SDK that were allegedly missing</w:t>
      </w:r>
      <w:r w:rsidR="007A23B7" w:rsidRPr="009F16A8">
        <w:t xml:space="preserve"> on take</w:t>
      </w:r>
      <w:r w:rsidR="00216995" w:rsidRPr="009F16A8">
        <w:t>-</w:t>
      </w:r>
      <w:r w:rsidR="007A23B7" w:rsidRPr="009F16A8">
        <w:t xml:space="preserve">over, </w:t>
      </w:r>
      <w:r w:rsidR="00216995" w:rsidRPr="009F16A8">
        <w:t>n</w:t>
      </w:r>
      <w:r w:rsidR="004F1AE0" w:rsidRPr="009F16A8">
        <w:t xml:space="preserve">or </w:t>
      </w:r>
      <w:r w:rsidR="00216995" w:rsidRPr="009F16A8">
        <w:t xml:space="preserve">was there evidence of </w:t>
      </w:r>
      <w:r w:rsidR="004F1AE0" w:rsidRPr="009F16A8">
        <w:t xml:space="preserve">what stock was found on take-over and the value thereof; the only other evidence of the value of </w:t>
      </w:r>
      <w:r w:rsidR="00B75397">
        <w:t xml:space="preserve">the </w:t>
      </w:r>
      <w:r w:rsidR="004F1AE0" w:rsidRPr="009F16A8">
        <w:t xml:space="preserve">stock of SDK on 28 February 2017 was the </w:t>
      </w:r>
      <w:r w:rsidR="00DF50F7">
        <w:t xml:space="preserve">value </w:t>
      </w:r>
      <w:r w:rsidR="00216995" w:rsidRPr="009F16A8">
        <w:t xml:space="preserve">of </w:t>
      </w:r>
      <w:r w:rsidR="004F1AE0" w:rsidRPr="009F16A8">
        <w:t xml:space="preserve">R2 239 002.00 reflected </w:t>
      </w:r>
      <w:r w:rsidR="00216995" w:rsidRPr="009F16A8">
        <w:t xml:space="preserve">as the ‘inventories’ (stock) total </w:t>
      </w:r>
      <w:r w:rsidR="004F1AE0" w:rsidRPr="009F16A8">
        <w:t xml:space="preserve">in </w:t>
      </w:r>
      <w:r w:rsidR="008B5330" w:rsidRPr="009F16A8">
        <w:t>the financial statements of SDK at 28 February 2017</w:t>
      </w:r>
      <w:r w:rsidR="00DC360B">
        <w:t>.</w:t>
      </w:r>
    </w:p>
    <w:p w14:paraId="060D98CD" w14:textId="77777777" w:rsidR="00FC0581" w:rsidRDefault="00FC0581" w:rsidP="00FC0581">
      <w:pPr>
        <w:spacing w:line="360" w:lineRule="auto"/>
        <w:jc w:val="both"/>
      </w:pPr>
    </w:p>
    <w:p w14:paraId="52AB9DF4" w14:textId="7D1F8F00" w:rsidR="00636E2E" w:rsidRPr="009F16A8" w:rsidRDefault="00FD341B" w:rsidP="00FD341B">
      <w:pPr>
        <w:spacing w:line="360" w:lineRule="auto"/>
        <w:jc w:val="both"/>
      </w:pPr>
      <w:r w:rsidRPr="009F16A8">
        <w:rPr>
          <w:szCs w:val="24"/>
        </w:rPr>
        <w:t>[32]</w:t>
      </w:r>
      <w:r w:rsidRPr="009F16A8">
        <w:rPr>
          <w:szCs w:val="24"/>
        </w:rPr>
        <w:tab/>
      </w:r>
      <w:r w:rsidR="00DC360B">
        <w:t>The arbitrat</w:t>
      </w:r>
      <w:r w:rsidR="00636E2E" w:rsidRPr="009F16A8">
        <w:t xml:space="preserve">or found </w:t>
      </w:r>
      <w:r w:rsidR="00216995" w:rsidRPr="009F16A8">
        <w:t xml:space="preserve">in regard to the quantification of the stock claim </w:t>
      </w:r>
      <w:r w:rsidR="00636E2E" w:rsidRPr="009F16A8">
        <w:t>that:</w:t>
      </w:r>
    </w:p>
    <w:p w14:paraId="1CD77D4C" w14:textId="77777777" w:rsidR="00987A93" w:rsidRPr="009F16A8" w:rsidRDefault="00636E2E" w:rsidP="009437DD">
      <w:pPr>
        <w:pStyle w:val="ListParagraph"/>
        <w:spacing w:line="360" w:lineRule="auto"/>
        <w:ind w:left="0"/>
        <w:jc w:val="both"/>
        <w:rPr>
          <w:sz w:val="22"/>
          <w:szCs w:val="22"/>
        </w:rPr>
      </w:pPr>
      <w:r w:rsidRPr="009F16A8">
        <w:rPr>
          <w:sz w:val="22"/>
          <w:szCs w:val="22"/>
        </w:rPr>
        <w:t>‘the issue crystalises into the following: on what basis should the [seller], when carrying out the stock take, have attributed the value of the stock. The parties did not specify the method to be used in valuing the Stock. The Clause defining Stock requires interpretation. . . In interpreting the meaning of the aggregate value of the Stock, the words must be considered but in the context and by considering all of the factors holistically. . . Thus, the true value of the stock which must be attributable to the purchase price is R2 239 002.00. Accordingly, the purchase price must be adjusted and reduced by the sum of R3 958 209.14.’</w:t>
      </w:r>
      <w:r w:rsidRPr="009F16A8">
        <w:rPr>
          <w:rStyle w:val="FootnoteReference"/>
          <w:sz w:val="22"/>
          <w:szCs w:val="22"/>
        </w:rPr>
        <w:footnoteReference w:id="40"/>
      </w:r>
    </w:p>
    <w:p w14:paraId="11EE966B" w14:textId="77777777" w:rsidR="007A23B7" w:rsidRDefault="007A23B7" w:rsidP="009437DD">
      <w:pPr>
        <w:pStyle w:val="ListParagraph"/>
        <w:spacing w:line="360" w:lineRule="auto"/>
        <w:ind w:left="0"/>
        <w:jc w:val="both"/>
        <w:rPr>
          <w:b/>
          <w:bCs/>
        </w:rPr>
      </w:pPr>
    </w:p>
    <w:p w14:paraId="090D3721" w14:textId="54B51695" w:rsidR="00DC360B" w:rsidRPr="00FD341B" w:rsidRDefault="00FD341B" w:rsidP="00FD341B">
      <w:pPr>
        <w:spacing w:line="360" w:lineRule="auto"/>
        <w:jc w:val="both"/>
        <w:rPr>
          <w:b/>
          <w:bCs/>
        </w:rPr>
      </w:pPr>
      <w:r w:rsidRPr="00525CA2">
        <w:rPr>
          <w:szCs w:val="24"/>
        </w:rPr>
        <w:t>[33]</w:t>
      </w:r>
      <w:r w:rsidRPr="00525CA2">
        <w:rPr>
          <w:szCs w:val="24"/>
        </w:rPr>
        <w:tab/>
      </w:r>
      <w:r w:rsidR="004F1AE0" w:rsidRPr="004F1AE0">
        <w:t xml:space="preserve">The </w:t>
      </w:r>
      <w:r w:rsidR="00DF50F7">
        <w:t xml:space="preserve">value </w:t>
      </w:r>
      <w:r w:rsidR="004F1AE0" w:rsidRPr="004F1AE0">
        <w:t xml:space="preserve">of R2 239 002.00 was consistent with the buyers’ evidence. </w:t>
      </w:r>
      <w:r w:rsidR="008B5330" w:rsidRPr="00D2756A">
        <w:t xml:space="preserve">Mr Mpande testified that </w:t>
      </w:r>
      <w:r w:rsidR="00DF50F7">
        <w:t xml:space="preserve">following </w:t>
      </w:r>
      <w:r w:rsidR="008B5330" w:rsidRPr="00D2756A">
        <w:t xml:space="preserve">the stocktake in February 2018, the buyers determined that </w:t>
      </w:r>
      <w:r w:rsidR="00DF50F7">
        <w:t xml:space="preserve">the </w:t>
      </w:r>
      <w:r w:rsidR="008B5330" w:rsidRPr="00D2756A">
        <w:t>stock reflected in the 2017 financials</w:t>
      </w:r>
      <w:r w:rsidR="00630D83">
        <w:t>,</w:t>
      </w:r>
      <w:r w:rsidR="008B5330" w:rsidRPr="00D2756A">
        <w:t xml:space="preserve"> (the R2 239 002.00)</w:t>
      </w:r>
      <w:r w:rsidR="00630D83">
        <w:rPr>
          <w:rStyle w:val="FootnoteReference"/>
        </w:rPr>
        <w:footnoteReference w:id="41"/>
      </w:r>
      <w:r w:rsidR="008B5330" w:rsidRPr="00D2756A">
        <w:t xml:space="preserve"> had been present</w:t>
      </w:r>
      <w:r w:rsidR="009F16A8" w:rsidRPr="00D2756A">
        <w:t>.</w:t>
      </w:r>
      <w:r w:rsidR="009F16A8" w:rsidRPr="00D2756A">
        <w:rPr>
          <w:rStyle w:val="FootnoteReference"/>
        </w:rPr>
        <w:footnoteReference w:id="42"/>
      </w:r>
      <w:r w:rsidR="00DC360B">
        <w:t xml:space="preserve"> </w:t>
      </w:r>
      <w:r w:rsidR="00BB1324">
        <w:t>His wife</w:t>
      </w:r>
      <w:r w:rsidR="00630D83">
        <w:t>, Mrs Zanele</w:t>
      </w:r>
      <w:r w:rsidR="008B5330" w:rsidRPr="00D2756A">
        <w:t xml:space="preserve"> Mgidi-Mpand</w:t>
      </w:r>
      <w:r w:rsidR="00630D83">
        <w:t>e</w:t>
      </w:r>
      <w:r w:rsidR="00BB1324">
        <w:t xml:space="preserve"> </w:t>
      </w:r>
      <w:r w:rsidR="008B5330" w:rsidRPr="00D2756A">
        <w:t xml:space="preserve">testified that they had not found any evidence that there was stock received in March 2017 other than what was provided </w:t>
      </w:r>
      <w:r w:rsidR="00630D83">
        <w:t>i</w:t>
      </w:r>
      <w:r w:rsidR="008B5330" w:rsidRPr="00D2756A">
        <w:t xml:space="preserve">n the balance sheet </w:t>
      </w:r>
      <w:r w:rsidR="00630D83">
        <w:t xml:space="preserve">in the amount of </w:t>
      </w:r>
      <w:r w:rsidR="00BB1324">
        <w:t xml:space="preserve">some </w:t>
      </w:r>
      <w:r w:rsidR="008B5330" w:rsidRPr="00D2756A">
        <w:t>R2.2 million worth of stock</w:t>
      </w:r>
      <w:r w:rsidR="008B5330" w:rsidRPr="00525CA2">
        <w:t xml:space="preserve">. </w:t>
      </w:r>
      <w:r w:rsidR="009F16A8" w:rsidRPr="00525CA2">
        <w:t>(</w:t>
      </w:r>
      <w:r w:rsidR="008B5330" w:rsidRPr="00525CA2">
        <w:t>The R2 200 000 was obviously a rounded off figure to refer to the R2 239 002.00</w:t>
      </w:r>
      <w:r w:rsidR="00E439FB" w:rsidRPr="00525CA2">
        <w:t>)</w:t>
      </w:r>
      <w:r w:rsidR="008B5330" w:rsidRPr="00525CA2">
        <w:t>.</w:t>
      </w:r>
      <w:r w:rsidR="00BB1324" w:rsidRPr="00525CA2">
        <w:rPr>
          <w:rStyle w:val="FootnoteReference"/>
        </w:rPr>
        <w:footnoteReference w:id="43"/>
      </w:r>
      <w:r w:rsidR="00BB1324" w:rsidRPr="00525CA2">
        <w:t xml:space="preserve"> She </w:t>
      </w:r>
      <w:r w:rsidR="008B5330" w:rsidRPr="00525CA2">
        <w:t>agree</w:t>
      </w:r>
      <w:r w:rsidR="00BB1324" w:rsidRPr="00525CA2">
        <w:t>d</w:t>
      </w:r>
      <w:r w:rsidR="008B5330" w:rsidRPr="00525CA2">
        <w:t xml:space="preserve"> with this figure of </w:t>
      </w:r>
      <w:r w:rsidR="00E439FB" w:rsidRPr="00525CA2">
        <w:t>‘</w:t>
      </w:r>
      <w:r w:rsidR="008B5330" w:rsidRPr="00525CA2">
        <w:t>2.2</w:t>
      </w:r>
      <w:r w:rsidR="00E439FB" w:rsidRPr="00525CA2">
        <w:t>’</w:t>
      </w:r>
      <w:r w:rsidR="00525CA2" w:rsidRPr="00525CA2">
        <w:t xml:space="preserve"> </w:t>
      </w:r>
      <w:r w:rsidR="00BB1324" w:rsidRPr="00525CA2">
        <w:t>and maintained that they actu</w:t>
      </w:r>
      <w:r w:rsidR="008B5330" w:rsidRPr="00525CA2">
        <w:t xml:space="preserve">ally said there was R2.3 million worth of stock that </w:t>
      </w:r>
      <w:r w:rsidR="00BB1324" w:rsidRPr="00525CA2">
        <w:t xml:space="preserve">they </w:t>
      </w:r>
      <w:r w:rsidR="008B5330" w:rsidRPr="00525CA2">
        <w:t>counted that would have been on the premises on 28 February 2017.</w:t>
      </w:r>
    </w:p>
    <w:p w14:paraId="5B089F90" w14:textId="77777777" w:rsidR="008B5330" w:rsidRPr="00D2756A" w:rsidRDefault="008B5330" w:rsidP="009437DD">
      <w:pPr>
        <w:spacing w:line="360" w:lineRule="auto"/>
      </w:pPr>
    </w:p>
    <w:p w14:paraId="74DE4874" w14:textId="482C946D" w:rsidR="008B5330" w:rsidRPr="00D2756A" w:rsidRDefault="00FD341B" w:rsidP="00FD341B">
      <w:pPr>
        <w:spacing w:line="360" w:lineRule="auto"/>
        <w:jc w:val="both"/>
      </w:pPr>
      <w:r w:rsidRPr="00D2756A">
        <w:rPr>
          <w:szCs w:val="24"/>
        </w:rPr>
        <w:t>[34]</w:t>
      </w:r>
      <w:r w:rsidRPr="00D2756A">
        <w:rPr>
          <w:szCs w:val="24"/>
        </w:rPr>
        <w:tab/>
      </w:r>
      <w:r w:rsidR="00745DB6" w:rsidRPr="00D2756A">
        <w:t xml:space="preserve">The arbitrator’s award </w:t>
      </w:r>
      <w:r w:rsidR="00745DB6">
        <w:t xml:space="preserve">decided the stock claim on the buyers’ version. </w:t>
      </w:r>
      <w:r w:rsidR="00FF78AF" w:rsidRPr="00D2756A">
        <w:t>T</w:t>
      </w:r>
      <w:r w:rsidR="008B5330" w:rsidRPr="00D2756A">
        <w:t xml:space="preserve">he </w:t>
      </w:r>
      <w:r w:rsidR="00745DB6">
        <w:t xml:space="preserve">balance of the </w:t>
      </w:r>
      <w:r w:rsidR="008B5330" w:rsidRPr="00D2756A">
        <w:t xml:space="preserve">purchase price </w:t>
      </w:r>
      <w:r w:rsidR="00745DB6">
        <w:t xml:space="preserve">claimed by the seller </w:t>
      </w:r>
      <w:r w:rsidR="008B5330" w:rsidRPr="00D2756A">
        <w:t xml:space="preserve">was, insofar as it concerned stock, </w:t>
      </w:r>
      <w:r w:rsidR="00FF78AF" w:rsidRPr="00D2756A">
        <w:t xml:space="preserve">thus </w:t>
      </w:r>
      <w:r w:rsidR="009F16A8" w:rsidRPr="00D2756A">
        <w:t xml:space="preserve">clearly </w:t>
      </w:r>
      <w:r w:rsidR="008B5330" w:rsidRPr="00D2756A">
        <w:t xml:space="preserve">overstated by R3 958 209.14 (R6 197 211.14 included in the purchase price less R2 239 002.00 reflected in the financial statements as at 28 February 2017). The arbitrator reduced the claim </w:t>
      </w:r>
      <w:r w:rsidR="00B75397">
        <w:t>of</w:t>
      </w:r>
      <w:r w:rsidR="00B75397" w:rsidRPr="00D2756A">
        <w:t xml:space="preserve"> </w:t>
      </w:r>
      <w:r w:rsidR="008B5330" w:rsidRPr="00D2756A">
        <w:t xml:space="preserve">the seller against the buyers by that amount. </w:t>
      </w:r>
      <w:r w:rsidR="00745DB6">
        <w:t xml:space="preserve">There was no need for any further evidence. The relevant evidence had been adduced. A further hearing would be meaningless, simply delay the arbitration proceedings, and add unnecessarily to the costs thereof. </w:t>
      </w:r>
      <w:r w:rsidR="008B5330" w:rsidRPr="00D2756A">
        <w:t xml:space="preserve">The buyers and surety would not be prejudiced by the arbitrator’s award and would only pay for the nett realisable value of the stock they actually took over. </w:t>
      </w:r>
    </w:p>
    <w:p w14:paraId="0E8E6E9F" w14:textId="77777777" w:rsidR="00FF78AF" w:rsidRPr="008B5330" w:rsidRDefault="00FF78AF" w:rsidP="009437DD">
      <w:pPr>
        <w:pStyle w:val="ListParagraph"/>
        <w:spacing w:line="360" w:lineRule="auto"/>
        <w:ind w:left="0"/>
        <w:jc w:val="both"/>
        <w:rPr>
          <w:b/>
          <w:bCs/>
        </w:rPr>
      </w:pPr>
    </w:p>
    <w:p w14:paraId="09369392" w14:textId="77777777" w:rsidR="009F4B71" w:rsidRPr="005E0500" w:rsidRDefault="002437AC" w:rsidP="009437DD">
      <w:pPr>
        <w:spacing w:line="360" w:lineRule="auto"/>
        <w:jc w:val="both"/>
        <w:rPr>
          <w:b/>
          <w:bCs/>
          <w:iCs/>
        </w:rPr>
      </w:pPr>
      <w:r w:rsidRPr="005E0500">
        <w:rPr>
          <w:b/>
          <w:bCs/>
          <w:iCs/>
        </w:rPr>
        <w:t>Exceeding powers</w:t>
      </w:r>
      <w:r w:rsidR="00335270" w:rsidRPr="005E0500">
        <w:rPr>
          <w:b/>
          <w:bCs/>
          <w:iCs/>
        </w:rPr>
        <w:t xml:space="preserve"> – allegedly straying beyond the pleadings </w:t>
      </w:r>
    </w:p>
    <w:p w14:paraId="0DC7F84C" w14:textId="18FB6FF8" w:rsidR="00335270" w:rsidRDefault="00FD341B" w:rsidP="00FD341B">
      <w:pPr>
        <w:spacing w:line="360" w:lineRule="auto"/>
        <w:jc w:val="both"/>
      </w:pPr>
      <w:r>
        <w:rPr>
          <w:szCs w:val="24"/>
        </w:rPr>
        <w:t>[35]</w:t>
      </w:r>
      <w:r>
        <w:rPr>
          <w:szCs w:val="24"/>
        </w:rPr>
        <w:tab/>
      </w:r>
      <w:r w:rsidR="00335270">
        <w:t xml:space="preserve">The arbitrator </w:t>
      </w:r>
      <w:r w:rsidR="009529A2">
        <w:t xml:space="preserve">in </w:t>
      </w:r>
      <w:r w:rsidR="00335270">
        <w:t>his award remarked:</w:t>
      </w:r>
    </w:p>
    <w:p w14:paraId="4B8D2E30" w14:textId="77777777" w:rsidR="00335270" w:rsidRPr="008D56E0" w:rsidRDefault="00335270" w:rsidP="009437DD">
      <w:pPr>
        <w:pStyle w:val="ListParagraph"/>
        <w:spacing w:line="360" w:lineRule="auto"/>
        <w:ind w:left="0"/>
        <w:jc w:val="both"/>
        <w:rPr>
          <w:sz w:val="22"/>
          <w:szCs w:val="20"/>
        </w:rPr>
      </w:pPr>
      <w:r w:rsidRPr="008D56E0">
        <w:rPr>
          <w:sz w:val="22"/>
          <w:szCs w:val="20"/>
        </w:rPr>
        <w:t xml:space="preserve">‘Thus, affirmation by the [buyers] in the </w:t>
      </w:r>
      <w:r w:rsidR="004A5DB0" w:rsidRPr="008D56E0">
        <w:rPr>
          <w:sz w:val="22"/>
          <w:szCs w:val="20"/>
        </w:rPr>
        <w:t>[sale a</w:t>
      </w:r>
      <w:r w:rsidRPr="008D56E0">
        <w:rPr>
          <w:sz w:val="22"/>
          <w:szCs w:val="20"/>
        </w:rPr>
        <w:t>greement</w:t>
      </w:r>
      <w:r w:rsidR="004A5DB0" w:rsidRPr="008D56E0">
        <w:rPr>
          <w:sz w:val="22"/>
          <w:szCs w:val="20"/>
        </w:rPr>
        <w:t>]</w:t>
      </w:r>
      <w:r w:rsidRPr="008D56E0">
        <w:rPr>
          <w:sz w:val="22"/>
          <w:szCs w:val="20"/>
        </w:rPr>
        <w:t xml:space="preserve"> that the stock was valued at the amount of R6,197,211.14 was an innocent mistake based on an innocent misrepresentation. However, the [buyers] are not bound by this figure. Thus, the true value of the stock which must be attributable to the purchase price is R 2,239,002.00.’  </w:t>
      </w:r>
    </w:p>
    <w:p w14:paraId="0231B238" w14:textId="77777777" w:rsidR="00335270" w:rsidRDefault="00335270" w:rsidP="009437DD">
      <w:pPr>
        <w:pStyle w:val="ListParagraph"/>
        <w:spacing w:line="360" w:lineRule="auto"/>
        <w:ind w:left="0"/>
        <w:jc w:val="both"/>
      </w:pPr>
      <w:r>
        <w:t xml:space="preserve">Based on this </w:t>
      </w:r>
      <w:r w:rsidR="00526B6E">
        <w:t>remark</w:t>
      </w:r>
      <w:r w:rsidR="00EE3F48">
        <w:t xml:space="preserve"> </w:t>
      </w:r>
      <w:r>
        <w:t xml:space="preserve">the </w:t>
      </w:r>
      <w:r w:rsidR="00D506C8">
        <w:t xml:space="preserve">buyers </w:t>
      </w:r>
      <w:r w:rsidR="00526B6E">
        <w:t xml:space="preserve">argued </w:t>
      </w:r>
      <w:r w:rsidR="00D506C8">
        <w:t>that the arbitrator had decided the stock claim on the basis of a</w:t>
      </w:r>
      <w:r w:rsidR="00745DB6">
        <w:t>n innocent</w:t>
      </w:r>
      <w:r w:rsidR="00D506C8">
        <w:t xml:space="preserve"> misrepresentation, that this was not pleaded, and </w:t>
      </w:r>
      <w:r w:rsidR="00526B6E">
        <w:t xml:space="preserve">accordingly, </w:t>
      </w:r>
      <w:r w:rsidR="00D506C8">
        <w:t>that the arbitrator had therefore exceeded his powers.</w:t>
      </w:r>
    </w:p>
    <w:p w14:paraId="478ECC76" w14:textId="77777777" w:rsidR="00745DB6" w:rsidRDefault="00745DB6" w:rsidP="009437DD">
      <w:pPr>
        <w:pStyle w:val="ListParagraph"/>
        <w:spacing w:line="360" w:lineRule="auto"/>
        <w:ind w:left="0"/>
        <w:jc w:val="both"/>
      </w:pPr>
    </w:p>
    <w:p w14:paraId="4C469499" w14:textId="49ADDABF" w:rsidR="00335270" w:rsidRDefault="00FD341B" w:rsidP="00FD341B">
      <w:pPr>
        <w:spacing w:line="360" w:lineRule="auto"/>
        <w:jc w:val="both"/>
      </w:pPr>
      <w:r>
        <w:rPr>
          <w:szCs w:val="24"/>
        </w:rPr>
        <w:t>[36]</w:t>
      </w:r>
      <w:r>
        <w:rPr>
          <w:szCs w:val="24"/>
        </w:rPr>
        <w:tab/>
      </w:r>
      <w:r w:rsidR="00D506C8">
        <w:t xml:space="preserve"> </w:t>
      </w:r>
      <w:r w:rsidR="009825A5">
        <w:t>The value of the stock</w:t>
      </w:r>
      <w:r w:rsidR="004211BF">
        <w:t xml:space="preserve"> had to be determined </w:t>
      </w:r>
      <w:r w:rsidR="009825A5">
        <w:t xml:space="preserve">in accordance with the terms of the </w:t>
      </w:r>
      <w:r w:rsidR="00745DB6">
        <w:t>s</w:t>
      </w:r>
      <w:r w:rsidR="004A5DB0">
        <w:t>ale agreement</w:t>
      </w:r>
      <w:r w:rsidR="004211BF">
        <w:t>. The seller</w:t>
      </w:r>
      <w:r w:rsidR="009825A5">
        <w:t xml:space="preserve">, </w:t>
      </w:r>
      <w:r w:rsidR="004211BF">
        <w:t xml:space="preserve">in giving effect to what he considered to be the terms of the </w:t>
      </w:r>
      <w:r w:rsidR="00745DB6">
        <w:t>s</w:t>
      </w:r>
      <w:r w:rsidR="004A5DB0">
        <w:t>ale agreement</w:t>
      </w:r>
      <w:r w:rsidR="004211BF">
        <w:t xml:space="preserve">, had </w:t>
      </w:r>
      <w:r w:rsidR="009825A5">
        <w:t xml:space="preserve">used </w:t>
      </w:r>
      <w:r w:rsidR="004211BF">
        <w:t>the figure of R6 197 211.14</w:t>
      </w:r>
      <w:r w:rsidR="001918E2">
        <w:t xml:space="preserve">. That was a mistake. </w:t>
      </w:r>
      <w:r w:rsidR="00BE0811">
        <w:t xml:space="preserve">But it was an innocent mistake, the arbitrator having cleared the seller of any fraudulent intent. </w:t>
      </w:r>
      <w:r w:rsidR="00D506C8">
        <w:t xml:space="preserve">The </w:t>
      </w:r>
      <w:r w:rsidR="009825A5">
        <w:t xml:space="preserve">arbitrator on the evidence determined </w:t>
      </w:r>
      <w:r w:rsidR="00D506C8">
        <w:t>that the true value of the stock that should have been used to arrive at the purchase price</w:t>
      </w:r>
      <w:r w:rsidR="00BE0811">
        <w:t>, as</w:t>
      </w:r>
      <w:r w:rsidR="00D506C8">
        <w:t xml:space="preserve"> contemplated by the </w:t>
      </w:r>
      <w:r w:rsidR="004A5DB0">
        <w:t>sale agreement</w:t>
      </w:r>
      <w:r w:rsidR="001918E2">
        <w:t>,</w:t>
      </w:r>
      <w:r w:rsidR="00D506C8">
        <w:t xml:space="preserve"> was the sum of R2 239 002.00. </w:t>
      </w:r>
      <w:r w:rsidR="00526B6E">
        <w:t xml:space="preserve">That is the figure that should have been inserted in the </w:t>
      </w:r>
      <w:r w:rsidR="004A5DB0">
        <w:t>sale agreement</w:t>
      </w:r>
      <w:r w:rsidR="00526B6E">
        <w:t xml:space="preserve">. By </w:t>
      </w:r>
      <w:r w:rsidR="001918E2">
        <w:t xml:space="preserve">wrongly </w:t>
      </w:r>
      <w:r w:rsidR="00D506C8">
        <w:t xml:space="preserve">inserting a </w:t>
      </w:r>
      <w:r w:rsidR="00526B6E">
        <w:t xml:space="preserve">stock </w:t>
      </w:r>
      <w:r w:rsidR="00D506C8">
        <w:t xml:space="preserve">figure which the </w:t>
      </w:r>
      <w:r w:rsidR="004A5DB0">
        <w:t>sale agreement</w:t>
      </w:r>
      <w:r w:rsidR="00D506C8">
        <w:t xml:space="preserve"> had not contemplated amounted to a breach of the </w:t>
      </w:r>
      <w:r w:rsidR="004A5DB0">
        <w:t>sale agreement</w:t>
      </w:r>
      <w:r w:rsidR="00D506C8">
        <w:t xml:space="preserve">. That was the cause of action pleaded and found to be established. </w:t>
      </w:r>
      <w:r w:rsidR="001918E2">
        <w:t xml:space="preserve">The </w:t>
      </w:r>
      <w:r w:rsidR="00D506C8">
        <w:t xml:space="preserve">reference to </w:t>
      </w:r>
      <w:r w:rsidR="00BE0811">
        <w:t xml:space="preserve">‘an </w:t>
      </w:r>
      <w:r w:rsidR="00D506C8">
        <w:t>innocent misrepresentation</w:t>
      </w:r>
      <w:r w:rsidR="00BE0811">
        <w:t>’</w:t>
      </w:r>
      <w:r w:rsidR="00D506C8">
        <w:t xml:space="preserve"> during the course of the award </w:t>
      </w:r>
      <w:r w:rsidR="001918E2">
        <w:t xml:space="preserve">was </w:t>
      </w:r>
      <w:r w:rsidR="00745DB6">
        <w:t xml:space="preserve">casual and not </w:t>
      </w:r>
      <w:r w:rsidR="001918E2">
        <w:t>descriptive</w:t>
      </w:r>
      <w:r w:rsidR="00745DB6">
        <w:t xml:space="preserve"> of the cause of action found to be proved</w:t>
      </w:r>
      <w:r w:rsidR="00BE0811">
        <w:t xml:space="preserve">. </w:t>
      </w:r>
      <w:r w:rsidR="00745DB6">
        <w:t xml:space="preserve">Specifically, the reference to ‘innocent misrepresentation’ </w:t>
      </w:r>
      <w:r w:rsidR="00BE0811">
        <w:t xml:space="preserve">did </w:t>
      </w:r>
      <w:r w:rsidR="00D506C8">
        <w:t xml:space="preserve">not </w:t>
      </w:r>
      <w:r w:rsidR="001918E2">
        <w:t>convert the ca</w:t>
      </w:r>
      <w:r w:rsidR="00745DB6">
        <w:t xml:space="preserve">use of action to one </w:t>
      </w:r>
      <w:r w:rsidR="001918E2">
        <w:t xml:space="preserve">based </w:t>
      </w:r>
      <w:r w:rsidR="00526B6E">
        <w:t xml:space="preserve">on </w:t>
      </w:r>
      <w:r w:rsidR="00745DB6">
        <w:t xml:space="preserve">an </w:t>
      </w:r>
      <w:r w:rsidR="00A36A7F">
        <w:t xml:space="preserve">innocent </w:t>
      </w:r>
      <w:r w:rsidR="009825A5">
        <w:t>misrepresentation</w:t>
      </w:r>
      <w:r w:rsidR="00BE0811">
        <w:t>,</w:t>
      </w:r>
      <w:r w:rsidR="00526B6E">
        <w:t xml:space="preserve"> which induced the conclusion of the </w:t>
      </w:r>
      <w:r w:rsidR="00745DB6">
        <w:t>s</w:t>
      </w:r>
      <w:r w:rsidR="004A5DB0">
        <w:t>ale agreement</w:t>
      </w:r>
      <w:r w:rsidR="00526B6E">
        <w:t xml:space="preserve">, which otherwise </w:t>
      </w:r>
      <w:r w:rsidR="00745DB6">
        <w:t xml:space="preserve">would </w:t>
      </w:r>
      <w:r w:rsidR="00526B6E">
        <w:t>not have been concluded</w:t>
      </w:r>
      <w:r w:rsidR="009825A5">
        <w:t>.</w:t>
      </w:r>
      <w:r w:rsidR="00267275">
        <w:t xml:space="preserve"> </w:t>
      </w:r>
      <w:r w:rsidR="00BE0811">
        <w:t>There was no evidence to that effect.</w:t>
      </w:r>
      <w:r w:rsidR="009825A5">
        <w:t xml:space="preserve"> </w:t>
      </w:r>
      <w:r w:rsidR="00BE0811">
        <w:t>Indeed, t</w:t>
      </w:r>
      <w:r w:rsidR="00526B6E">
        <w:t xml:space="preserve">he buyers </w:t>
      </w:r>
      <w:r w:rsidR="00BE0811">
        <w:t xml:space="preserve">had </w:t>
      </w:r>
      <w:r w:rsidR="00526B6E">
        <w:t>pleaded that ‘[t]he incorrect representation as to the value of the stock amounted to a breach of the agreement</w:t>
      </w:r>
      <w:r w:rsidR="001918E2">
        <w:t>’</w:t>
      </w:r>
      <w:r w:rsidR="006625B4">
        <w:t>.</w:t>
      </w:r>
      <w:r w:rsidR="003055A2">
        <w:t xml:space="preserve"> </w:t>
      </w:r>
      <w:r w:rsidR="00267275">
        <w:t>T</w:t>
      </w:r>
      <w:r w:rsidR="00D506C8">
        <w:t xml:space="preserve">he </w:t>
      </w:r>
      <w:r w:rsidR="009825A5">
        <w:t>arbitrator simply co</w:t>
      </w:r>
      <w:r w:rsidR="00CF5810">
        <w:t xml:space="preserve">nfirmed that legal conclusion, and, gave effect to the prayer of the buyers, that he determine that the seller was ‘obliged to pay to the [buyers] the sum of . . . the difference . . .’ alternatively ‘that the claim of the [seller] be </w:t>
      </w:r>
      <w:r w:rsidR="001918E2">
        <w:t>set</w:t>
      </w:r>
      <w:r w:rsidR="00CF5810">
        <w:t>-</w:t>
      </w:r>
      <w:r w:rsidR="001918E2">
        <w:t xml:space="preserve">off </w:t>
      </w:r>
      <w:r w:rsidR="00CF5810">
        <w:t>against such amount’</w:t>
      </w:r>
      <w:r w:rsidR="006625B4">
        <w:t>.</w:t>
      </w:r>
      <w:r w:rsidR="009825A5">
        <w:t xml:space="preserve">   </w:t>
      </w:r>
    </w:p>
    <w:p w14:paraId="4ABF983C" w14:textId="77777777" w:rsidR="00335270" w:rsidRDefault="00335270" w:rsidP="00FC0581">
      <w:pPr>
        <w:spacing w:line="360" w:lineRule="auto"/>
      </w:pPr>
    </w:p>
    <w:p w14:paraId="334009CB" w14:textId="47EB0068" w:rsidR="005B05EC" w:rsidRDefault="00FD341B" w:rsidP="00FD341B">
      <w:pPr>
        <w:spacing w:line="360" w:lineRule="auto"/>
        <w:jc w:val="both"/>
      </w:pPr>
      <w:r>
        <w:rPr>
          <w:szCs w:val="24"/>
        </w:rPr>
        <w:t>[37]</w:t>
      </w:r>
      <w:r>
        <w:rPr>
          <w:szCs w:val="24"/>
        </w:rPr>
        <w:tab/>
      </w:r>
      <w:r w:rsidR="009825A5">
        <w:t>T</w:t>
      </w:r>
      <w:r w:rsidR="00C45911">
        <w:t xml:space="preserve">he remedy </w:t>
      </w:r>
      <w:r w:rsidR="00B21727">
        <w:t xml:space="preserve">granted was that </w:t>
      </w:r>
      <w:r w:rsidR="00D506C8">
        <w:t xml:space="preserve">following </w:t>
      </w:r>
      <w:r w:rsidR="00C45911">
        <w:t>on a breach of contract</w:t>
      </w:r>
      <w:r w:rsidR="00B21727">
        <w:t xml:space="preserve">, which </w:t>
      </w:r>
      <w:r w:rsidR="001F6B6C">
        <w:t xml:space="preserve">is what </w:t>
      </w:r>
      <w:r w:rsidR="00B21727">
        <w:t>the buyers had sought</w:t>
      </w:r>
      <w:r w:rsidR="00C45911">
        <w:t xml:space="preserve">. </w:t>
      </w:r>
      <w:r w:rsidR="001F6B6C">
        <w:t xml:space="preserve">The arbitrator had not exceeded his powers. </w:t>
      </w:r>
    </w:p>
    <w:p w14:paraId="3AC47BFA" w14:textId="77777777" w:rsidR="001F6B6C" w:rsidRPr="00267275" w:rsidRDefault="001F6B6C" w:rsidP="009437DD">
      <w:pPr>
        <w:pStyle w:val="ListParagraph"/>
        <w:spacing w:line="360" w:lineRule="auto"/>
        <w:ind w:left="0"/>
        <w:jc w:val="both"/>
      </w:pPr>
    </w:p>
    <w:p w14:paraId="1ED4E763" w14:textId="77777777" w:rsidR="002B37EA" w:rsidRDefault="009811CE" w:rsidP="009437DD">
      <w:pPr>
        <w:spacing w:line="360" w:lineRule="auto"/>
        <w:jc w:val="both"/>
      </w:pPr>
      <w:r w:rsidRPr="009811CE">
        <w:rPr>
          <w:b/>
          <w:bCs/>
        </w:rPr>
        <w:t>The missing asset</w:t>
      </w:r>
      <w:r>
        <w:rPr>
          <w:b/>
          <w:bCs/>
        </w:rPr>
        <w:t>s</w:t>
      </w:r>
      <w:r w:rsidRPr="009811CE">
        <w:rPr>
          <w:b/>
          <w:bCs/>
        </w:rPr>
        <w:t xml:space="preserve"> </w:t>
      </w:r>
      <w:r w:rsidR="002B37EA">
        <w:rPr>
          <w:b/>
          <w:bCs/>
        </w:rPr>
        <w:t>claim</w:t>
      </w:r>
    </w:p>
    <w:p w14:paraId="68BD71F7" w14:textId="05C566CD" w:rsidR="002B37EA" w:rsidRDefault="00FD341B" w:rsidP="00FD341B">
      <w:pPr>
        <w:spacing w:line="360" w:lineRule="auto"/>
        <w:jc w:val="both"/>
      </w:pPr>
      <w:r>
        <w:rPr>
          <w:szCs w:val="24"/>
        </w:rPr>
        <w:t>[38]</w:t>
      </w:r>
      <w:r>
        <w:rPr>
          <w:szCs w:val="24"/>
        </w:rPr>
        <w:tab/>
      </w:r>
      <w:r w:rsidR="00CA033D">
        <w:t>T</w:t>
      </w:r>
      <w:r w:rsidR="00583E99">
        <w:t xml:space="preserve">he buyers </w:t>
      </w:r>
      <w:r w:rsidR="00CA033D">
        <w:t xml:space="preserve">alleged in their </w:t>
      </w:r>
      <w:r w:rsidR="00840232">
        <w:t xml:space="preserve">amended </w:t>
      </w:r>
      <w:r w:rsidR="008D56E0">
        <w:t xml:space="preserve">statement </w:t>
      </w:r>
      <w:r w:rsidR="000A573C">
        <w:t xml:space="preserve">of </w:t>
      </w:r>
      <w:r w:rsidR="008D56E0">
        <w:t xml:space="preserve">claim </w:t>
      </w:r>
      <w:r w:rsidR="000A573C">
        <w:t>that at the signature date SDK was the owner of fourteen assets re</w:t>
      </w:r>
      <w:r w:rsidR="001705C5">
        <w:t>flected i</w:t>
      </w:r>
      <w:r w:rsidR="000A573C">
        <w:t xml:space="preserve">n its fixed asset register, which they </w:t>
      </w:r>
      <w:r w:rsidR="00D66B71">
        <w:t xml:space="preserve">termed </w:t>
      </w:r>
      <w:r w:rsidR="006746ED">
        <w:t>‘</w:t>
      </w:r>
      <w:r w:rsidR="000A573C">
        <w:t>the missing assets</w:t>
      </w:r>
      <w:r w:rsidR="006746ED">
        <w:t xml:space="preserve">’, each with a value </w:t>
      </w:r>
      <w:r w:rsidR="001705C5">
        <w:t xml:space="preserve">as </w:t>
      </w:r>
      <w:r w:rsidR="006746ED">
        <w:t xml:space="preserve">reflected </w:t>
      </w:r>
      <w:r w:rsidR="001705C5">
        <w:t xml:space="preserve">against </w:t>
      </w:r>
      <w:r w:rsidR="006746ED">
        <w:t>it in the buyers’ statement of claim</w:t>
      </w:r>
      <w:r w:rsidR="00EF6792">
        <w:t>.</w:t>
      </w:r>
      <w:r w:rsidR="000A573C">
        <w:t xml:space="preserve"> </w:t>
      </w:r>
      <w:r w:rsidR="00D66B71">
        <w:t xml:space="preserve">They </w:t>
      </w:r>
      <w:r w:rsidR="000A573C">
        <w:t xml:space="preserve">alleged that these </w:t>
      </w:r>
      <w:r w:rsidR="00EF6792">
        <w:t xml:space="preserve">assets </w:t>
      </w:r>
      <w:r w:rsidR="000A573C">
        <w:t>were n</w:t>
      </w:r>
      <w:r w:rsidR="001F6B6C">
        <w:t xml:space="preserve">ot </w:t>
      </w:r>
      <w:r w:rsidR="000A573C">
        <w:t>delivered by the seller, accordingly</w:t>
      </w:r>
      <w:r w:rsidR="001F6B6C">
        <w:t>,</w:t>
      </w:r>
      <w:r w:rsidR="000A573C">
        <w:t xml:space="preserve"> that the seller was obliged to deliver the missing assets to SDK, alternatively to pay to SDK the sums </w:t>
      </w:r>
      <w:r w:rsidR="00AE2D70">
        <w:t xml:space="preserve">reflected against each asset </w:t>
      </w:r>
      <w:r w:rsidR="000A573C">
        <w:t>in lieu of delivery</w:t>
      </w:r>
      <w:r w:rsidR="00EF6792">
        <w:t>.</w:t>
      </w:r>
    </w:p>
    <w:p w14:paraId="46CA08FE" w14:textId="77777777" w:rsidR="002B37EA" w:rsidRDefault="002B37EA" w:rsidP="00261731">
      <w:pPr>
        <w:spacing w:line="360" w:lineRule="auto"/>
      </w:pPr>
    </w:p>
    <w:p w14:paraId="4FC7C034" w14:textId="0994540E" w:rsidR="00D75CF9" w:rsidRPr="00FD341B" w:rsidRDefault="00FD341B" w:rsidP="00FD341B">
      <w:pPr>
        <w:spacing w:line="360" w:lineRule="auto"/>
        <w:jc w:val="both"/>
        <w:rPr>
          <w:b/>
          <w:bCs/>
        </w:rPr>
      </w:pPr>
      <w:r w:rsidRPr="00D75CF9">
        <w:rPr>
          <w:szCs w:val="24"/>
        </w:rPr>
        <w:t>[39]</w:t>
      </w:r>
      <w:r w:rsidRPr="00D75CF9">
        <w:rPr>
          <w:szCs w:val="24"/>
        </w:rPr>
        <w:tab/>
      </w:r>
      <w:r w:rsidR="005B05EC">
        <w:t>The full court does not appear to have dealt with this claim.</w:t>
      </w:r>
      <w:r w:rsidR="001F6B6C">
        <w:t xml:space="preserve"> T</w:t>
      </w:r>
      <w:r w:rsidR="005B05EC">
        <w:t xml:space="preserve">he claim was </w:t>
      </w:r>
      <w:r w:rsidR="001F6B6C">
        <w:t xml:space="preserve">nevertheless </w:t>
      </w:r>
      <w:r w:rsidR="005B05EC">
        <w:t xml:space="preserve">argued before this </w:t>
      </w:r>
      <w:r w:rsidR="006625B4">
        <w:t>C</w:t>
      </w:r>
      <w:r w:rsidR="005B05EC">
        <w:t>ourt</w:t>
      </w:r>
      <w:r w:rsidR="006625B4">
        <w:t xml:space="preserve"> and </w:t>
      </w:r>
      <w:r w:rsidR="001F6B6C">
        <w:t xml:space="preserve">has no prospects of success. </w:t>
      </w:r>
      <w:r w:rsidR="00825DA5">
        <w:t xml:space="preserve">The first point of significance is that a claim </w:t>
      </w:r>
      <w:r w:rsidR="00995A18">
        <w:t>for delivery of the assets</w:t>
      </w:r>
      <w:r w:rsidR="001F6B6C">
        <w:t>,</w:t>
      </w:r>
      <w:r w:rsidR="00995A18">
        <w:t xml:space="preserve"> </w:t>
      </w:r>
      <w:r w:rsidR="00840232">
        <w:t xml:space="preserve">or payment </w:t>
      </w:r>
      <w:r w:rsidR="001F6B6C">
        <w:t xml:space="preserve">in lieu of delivery of the assets, </w:t>
      </w:r>
      <w:r w:rsidR="00825DA5">
        <w:t xml:space="preserve">would properly be a claim by SDK and not </w:t>
      </w:r>
      <w:r w:rsidR="00D3075E">
        <w:t xml:space="preserve">a claim by </w:t>
      </w:r>
      <w:r w:rsidR="00825DA5">
        <w:t>the buyers.</w:t>
      </w:r>
      <w:r w:rsidR="00995A18">
        <w:t xml:space="preserve"> SDK was not a party to the arbitration. If it had been deprived of any of its assets, then it should claim those assets</w:t>
      </w:r>
      <w:r w:rsidR="00840232">
        <w:t>, or the value thereof</w:t>
      </w:r>
      <w:r w:rsidR="00995A18">
        <w:t xml:space="preserve"> from whoever de</w:t>
      </w:r>
      <w:r w:rsidR="001F6B6C">
        <w:t xml:space="preserve">prived </w:t>
      </w:r>
      <w:r w:rsidR="00995A18">
        <w:t>it of the possession thereof.</w:t>
      </w:r>
      <w:r w:rsidR="001F6B6C">
        <w:t xml:space="preserve"> It is conceivable that the b</w:t>
      </w:r>
      <w:r w:rsidR="00840232">
        <w:t xml:space="preserve">uyers might have some claim for damages based on a breach of the warranties relating to the assets and liabilities of SDK, but that is not the basis </w:t>
      </w:r>
      <w:r w:rsidR="00D75CF9">
        <w:t>of the alternative claim pleade</w:t>
      </w:r>
      <w:r w:rsidR="001F6B6C">
        <w:t>d.</w:t>
      </w:r>
      <w:r w:rsidR="00D75CF9">
        <w:t xml:space="preserve"> The appeal in regard to the missing assets claim falls to be dismissed for that reason alone.</w:t>
      </w:r>
    </w:p>
    <w:p w14:paraId="3D25731E" w14:textId="77777777" w:rsidR="00D75CF9" w:rsidRDefault="00D75CF9" w:rsidP="009437DD">
      <w:pPr>
        <w:pStyle w:val="ListParagraph"/>
        <w:spacing w:line="360" w:lineRule="auto"/>
      </w:pPr>
    </w:p>
    <w:p w14:paraId="60BE12C6" w14:textId="5EB66863" w:rsidR="00D3075E" w:rsidRPr="00FD341B" w:rsidRDefault="00FD341B" w:rsidP="00FD341B">
      <w:pPr>
        <w:spacing w:line="360" w:lineRule="auto"/>
        <w:jc w:val="both"/>
        <w:rPr>
          <w:b/>
          <w:bCs/>
        </w:rPr>
      </w:pPr>
      <w:r w:rsidRPr="00D3075E">
        <w:rPr>
          <w:szCs w:val="24"/>
        </w:rPr>
        <w:t>[40]</w:t>
      </w:r>
      <w:r w:rsidRPr="00D3075E">
        <w:rPr>
          <w:szCs w:val="24"/>
        </w:rPr>
        <w:tab/>
      </w:r>
      <w:r w:rsidR="00995A18">
        <w:t>Insofar as the</w:t>
      </w:r>
      <w:r w:rsidR="00D75CF9">
        <w:t xml:space="preserve">re might be some other basis for the </w:t>
      </w:r>
      <w:r w:rsidR="001F6B6C">
        <w:t xml:space="preserve">buyers to claim the delivery of, alternatively the value of the alleged </w:t>
      </w:r>
      <w:r w:rsidR="00D75CF9">
        <w:t>missing assets</w:t>
      </w:r>
      <w:r w:rsidR="001F6B6C">
        <w:t xml:space="preserve">, </w:t>
      </w:r>
      <w:r w:rsidR="00D3075E">
        <w:t>the buyers’ co</w:t>
      </w:r>
      <w:r w:rsidR="00D75CF9">
        <w:t xml:space="preserve">mplaint was </w:t>
      </w:r>
      <w:r w:rsidR="00D3075E">
        <w:t xml:space="preserve">that </w:t>
      </w:r>
      <w:r w:rsidR="00D3075E" w:rsidRPr="00CF6A7A">
        <w:t>the arbitrator failed</w:t>
      </w:r>
      <w:r w:rsidR="005B05EC">
        <w:t>: first,</w:t>
      </w:r>
      <w:r w:rsidR="00D3075E" w:rsidRPr="00CF6A7A">
        <w:t xml:space="preserve"> to</w:t>
      </w:r>
      <w:r w:rsidR="00D3075E">
        <w:t xml:space="preserve"> </w:t>
      </w:r>
      <w:r w:rsidR="00D3075E" w:rsidRPr="00CF6A7A">
        <w:t>have proper regard to the evidenc</w:t>
      </w:r>
      <w:r w:rsidR="00D3075E">
        <w:t>e</w:t>
      </w:r>
      <w:r w:rsidR="005B05EC">
        <w:t>; and second</w:t>
      </w:r>
      <w:r w:rsidR="00D3075E">
        <w:t>, to</w:t>
      </w:r>
      <w:r w:rsidR="00D3075E" w:rsidRPr="00CF6A7A">
        <w:t xml:space="preserve"> decide the issue at all</w:t>
      </w:r>
      <w:r w:rsidR="00D3075E">
        <w:t xml:space="preserve">. </w:t>
      </w:r>
    </w:p>
    <w:p w14:paraId="76E31DB4" w14:textId="77777777" w:rsidR="00D3075E" w:rsidRDefault="00D3075E" w:rsidP="00261731">
      <w:pPr>
        <w:spacing w:line="360" w:lineRule="auto"/>
      </w:pPr>
    </w:p>
    <w:p w14:paraId="01F77230" w14:textId="633BAC7D" w:rsidR="00745DB6" w:rsidRPr="00FD341B" w:rsidRDefault="00FD341B" w:rsidP="00FD341B">
      <w:pPr>
        <w:spacing w:line="360" w:lineRule="auto"/>
        <w:jc w:val="both"/>
        <w:rPr>
          <w:b/>
          <w:bCs/>
        </w:rPr>
      </w:pPr>
      <w:r w:rsidRPr="00745DB6">
        <w:rPr>
          <w:szCs w:val="24"/>
        </w:rPr>
        <w:t>[41]</w:t>
      </w:r>
      <w:r w:rsidRPr="00745DB6">
        <w:rPr>
          <w:szCs w:val="24"/>
        </w:rPr>
        <w:tab/>
      </w:r>
      <w:r w:rsidR="00D3075E">
        <w:t xml:space="preserve">Not having proper regard to the evidence involves a finding on the merits, </w:t>
      </w:r>
      <w:r w:rsidR="001F6B6C">
        <w:t xml:space="preserve">which would </w:t>
      </w:r>
      <w:r w:rsidR="00D3075E">
        <w:t xml:space="preserve">not </w:t>
      </w:r>
      <w:r w:rsidR="001F6B6C">
        <w:t xml:space="preserve">be </w:t>
      </w:r>
      <w:r w:rsidR="00D3075E" w:rsidRPr="00D3075E">
        <w:t xml:space="preserve">subject to review. </w:t>
      </w:r>
      <w:r w:rsidR="00D3075E">
        <w:t xml:space="preserve">It is accordingly unnecessary to </w:t>
      </w:r>
      <w:r w:rsidR="001F6B6C">
        <w:t xml:space="preserve">analyse </w:t>
      </w:r>
      <w:r w:rsidR="00D3075E">
        <w:t xml:space="preserve">the evidence that was adduced. </w:t>
      </w:r>
      <w:r w:rsidR="00D3075E" w:rsidRPr="00D3075E">
        <w:t xml:space="preserve">At best for the buyers, the only </w:t>
      </w:r>
      <w:r w:rsidR="00D3075E">
        <w:t xml:space="preserve">remaining </w:t>
      </w:r>
      <w:r w:rsidR="00D3075E" w:rsidRPr="00D3075E">
        <w:t xml:space="preserve">issue </w:t>
      </w:r>
      <w:r w:rsidR="005B05EC">
        <w:t xml:space="preserve">then was </w:t>
      </w:r>
      <w:r w:rsidR="00D3075E" w:rsidRPr="00D3075E">
        <w:t>whether the arbitrator failed to carry out his mandate by allegedly not having decid</w:t>
      </w:r>
      <w:r w:rsidR="001F6B6C">
        <w:t>ed</w:t>
      </w:r>
      <w:r w:rsidR="00D3075E" w:rsidRPr="00D3075E">
        <w:t xml:space="preserve"> the issue at all.</w:t>
      </w:r>
    </w:p>
    <w:p w14:paraId="0CE44F37" w14:textId="77777777" w:rsidR="002B37EA" w:rsidRPr="001F6B6C" w:rsidRDefault="002B37EA" w:rsidP="009437DD">
      <w:pPr>
        <w:pStyle w:val="ListParagraph"/>
        <w:spacing w:line="360" w:lineRule="auto"/>
        <w:ind w:left="0"/>
        <w:jc w:val="both"/>
        <w:rPr>
          <w:b/>
          <w:bCs/>
        </w:rPr>
      </w:pPr>
    </w:p>
    <w:p w14:paraId="2DBFB82B" w14:textId="5C30F35F" w:rsidR="0090608F" w:rsidRDefault="00FD341B" w:rsidP="00FD341B">
      <w:pPr>
        <w:spacing w:line="360" w:lineRule="auto"/>
        <w:jc w:val="both"/>
      </w:pPr>
      <w:r>
        <w:rPr>
          <w:szCs w:val="24"/>
        </w:rPr>
        <w:t>[42]</w:t>
      </w:r>
      <w:r>
        <w:rPr>
          <w:szCs w:val="24"/>
        </w:rPr>
        <w:tab/>
      </w:r>
      <w:r w:rsidR="00B41B95">
        <w:t>Th</w:t>
      </w:r>
      <w:r w:rsidR="001F6B6C">
        <w:t xml:space="preserve">at submission is similarly devoid of any merit. The </w:t>
      </w:r>
      <w:r w:rsidR="0090608F">
        <w:t>arbitrator</w:t>
      </w:r>
      <w:r w:rsidR="006D3B6B">
        <w:t xml:space="preserve"> did decide the </w:t>
      </w:r>
      <w:r w:rsidR="00ED7402">
        <w:t>missing as</w:t>
      </w:r>
      <w:r w:rsidR="006D3B6B">
        <w:t>sets claim. He</w:t>
      </w:r>
      <w:r w:rsidR="0090608F">
        <w:t xml:space="preserve"> found that:</w:t>
      </w:r>
    </w:p>
    <w:p w14:paraId="2F090328" w14:textId="63338C0D" w:rsidR="0090608F" w:rsidRPr="00EC764A" w:rsidRDefault="0090608F" w:rsidP="00DF50F7">
      <w:pPr>
        <w:tabs>
          <w:tab w:val="left" w:pos="2694"/>
        </w:tabs>
        <w:spacing w:line="360" w:lineRule="auto"/>
        <w:jc w:val="both"/>
        <w:rPr>
          <w:sz w:val="22"/>
          <w:szCs w:val="22"/>
        </w:rPr>
      </w:pPr>
      <w:r w:rsidRPr="009B20A5">
        <w:rPr>
          <w:sz w:val="22"/>
          <w:szCs w:val="22"/>
        </w:rPr>
        <w:t>‘</w:t>
      </w:r>
      <w:r w:rsidRPr="00EC764A">
        <w:rPr>
          <w:sz w:val="22"/>
          <w:szCs w:val="22"/>
        </w:rPr>
        <w:t xml:space="preserve">124. This claim was not pursued with rigour. This is evident from the evidence concerning the so-called missing assets and the value attributed to them without the benefit of expert evidence. Apportioning to each item a value from a fixed asset register is an insufficient basis to establish the value of such alleged missing assets for purposes of compensation. Clearly, and in any event, the asset register values in some instances bear no relation whatsoever to the asset claimed. Nevertheless this is academic, </w:t>
      </w:r>
      <w:r w:rsidRPr="00EC764A">
        <w:rPr>
          <w:i/>
          <w:iCs/>
          <w:sz w:val="22"/>
          <w:szCs w:val="22"/>
        </w:rPr>
        <w:t>absent the [buyers] establishing that the assets were missing which they failed to do.</w:t>
      </w:r>
      <w:r w:rsidR="00D75CF9">
        <w:rPr>
          <w:i/>
          <w:iCs/>
          <w:sz w:val="22"/>
          <w:szCs w:val="22"/>
        </w:rPr>
        <w:t>’</w:t>
      </w:r>
      <w:r w:rsidR="00D75CF9">
        <w:rPr>
          <w:sz w:val="22"/>
          <w:szCs w:val="22"/>
        </w:rPr>
        <w:t xml:space="preserve"> </w:t>
      </w:r>
      <w:r w:rsidRPr="00EC764A">
        <w:rPr>
          <w:szCs w:val="24"/>
        </w:rPr>
        <w:t>(</w:t>
      </w:r>
      <w:r w:rsidR="006625B4">
        <w:rPr>
          <w:szCs w:val="24"/>
        </w:rPr>
        <w:t>E</w:t>
      </w:r>
      <w:r w:rsidR="00ED7402" w:rsidRPr="00EC764A">
        <w:rPr>
          <w:szCs w:val="24"/>
        </w:rPr>
        <w:t xml:space="preserve">mphasis </w:t>
      </w:r>
      <w:r w:rsidRPr="00EC764A">
        <w:rPr>
          <w:szCs w:val="24"/>
        </w:rPr>
        <w:t>added</w:t>
      </w:r>
      <w:r w:rsidR="006625B4">
        <w:rPr>
          <w:szCs w:val="24"/>
        </w:rPr>
        <w:t>.</w:t>
      </w:r>
      <w:r w:rsidRPr="00EC764A">
        <w:rPr>
          <w:szCs w:val="24"/>
        </w:rPr>
        <w:t>)</w:t>
      </w:r>
      <w:r w:rsidR="006625B4">
        <w:rPr>
          <w:szCs w:val="24"/>
        </w:rPr>
        <w:t>.</w:t>
      </w:r>
    </w:p>
    <w:p w14:paraId="07CAF34F" w14:textId="77777777" w:rsidR="002B37EA" w:rsidRDefault="002B37EA" w:rsidP="009437DD">
      <w:pPr>
        <w:pStyle w:val="ListParagraph"/>
        <w:spacing w:line="360" w:lineRule="auto"/>
        <w:ind w:left="0"/>
        <w:jc w:val="both"/>
      </w:pPr>
    </w:p>
    <w:p w14:paraId="0FE4CA66" w14:textId="0C021D00" w:rsidR="002B37EA" w:rsidRDefault="00FD341B" w:rsidP="00FD341B">
      <w:pPr>
        <w:spacing w:line="360" w:lineRule="auto"/>
        <w:jc w:val="both"/>
      </w:pPr>
      <w:r>
        <w:rPr>
          <w:szCs w:val="24"/>
        </w:rPr>
        <w:t>[43]</w:t>
      </w:r>
      <w:r>
        <w:rPr>
          <w:szCs w:val="24"/>
        </w:rPr>
        <w:tab/>
      </w:r>
      <w:r w:rsidR="007923D7" w:rsidRPr="00FD341B">
        <w:rPr>
          <w:szCs w:val="24"/>
        </w:rPr>
        <w:t xml:space="preserve">The arbitrator </w:t>
      </w:r>
      <w:r w:rsidR="00745DB6" w:rsidRPr="00FD341B">
        <w:rPr>
          <w:szCs w:val="24"/>
        </w:rPr>
        <w:t xml:space="preserve">had </w:t>
      </w:r>
      <w:r w:rsidR="00D75CF9" w:rsidRPr="00FD341B">
        <w:rPr>
          <w:szCs w:val="24"/>
        </w:rPr>
        <w:t xml:space="preserve">thus </w:t>
      </w:r>
      <w:r w:rsidR="007923D7" w:rsidRPr="00FD341B">
        <w:rPr>
          <w:szCs w:val="24"/>
        </w:rPr>
        <w:t xml:space="preserve">found that the buyers had not established that the assets were missing. </w:t>
      </w:r>
      <w:r w:rsidR="00870C46" w:rsidRPr="00FD341B">
        <w:rPr>
          <w:szCs w:val="24"/>
        </w:rPr>
        <w:t xml:space="preserve">That is a </w:t>
      </w:r>
      <w:r w:rsidR="00870C46">
        <w:t>finding of fact, specifically on the merits of the arbitration</w:t>
      </w:r>
      <w:r w:rsidR="00AF3183">
        <w:t xml:space="preserve"> and not subject to review.</w:t>
      </w:r>
      <w:r w:rsidR="00870C46">
        <w:t xml:space="preserve"> </w:t>
      </w:r>
      <w:r w:rsidR="00E717E1">
        <w:t xml:space="preserve">He did not fail </w:t>
      </w:r>
      <w:r w:rsidR="00870C46">
        <w:t xml:space="preserve">to rule on the claim for the missing assets, and thereby made himself guilty of misconduct, </w:t>
      </w:r>
      <w:r w:rsidR="00E717E1">
        <w:t>n</w:t>
      </w:r>
      <w:r w:rsidR="00870C46">
        <w:t xml:space="preserve">or </w:t>
      </w:r>
      <w:r w:rsidR="00E717E1">
        <w:t xml:space="preserve">did he </w:t>
      </w:r>
      <w:r w:rsidR="00870C46">
        <w:t xml:space="preserve">commit a gross irregularity in not carrying out his mandate. </w:t>
      </w:r>
    </w:p>
    <w:p w14:paraId="573558B9" w14:textId="77777777" w:rsidR="005B3942" w:rsidRPr="005B3942" w:rsidRDefault="005B3942" w:rsidP="009437DD">
      <w:pPr>
        <w:spacing w:line="360" w:lineRule="auto"/>
        <w:jc w:val="both"/>
        <w:rPr>
          <w:b/>
          <w:bCs/>
        </w:rPr>
      </w:pPr>
    </w:p>
    <w:p w14:paraId="3499931A" w14:textId="77777777" w:rsidR="009F4B71" w:rsidRPr="00FF6EFD" w:rsidRDefault="00F118D4" w:rsidP="009437DD">
      <w:pPr>
        <w:spacing w:line="360" w:lineRule="auto"/>
        <w:jc w:val="both"/>
        <w:rPr>
          <w:b/>
          <w:bCs/>
        </w:rPr>
      </w:pPr>
      <w:r w:rsidRPr="00EE22AB">
        <w:rPr>
          <w:b/>
          <w:bCs/>
        </w:rPr>
        <w:t>Conclusion</w:t>
      </w:r>
    </w:p>
    <w:p w14:paraId="02AD1F2C" w14:textId="3E935BE6" w:rsidR="00F118D4" w:rsidRDefault="00FD341B" w:rsidP="00FD341B">
      <w:pPr>
        <w:spacing w:line="360" w:lineRule="auto"/>
        <w:jc w:val="both"/>
      </w:pPr>
      <w:r>
        <w:rPr>
          <w:szCs w:val="24"/>
        </w:rPr>
        <w:t>[44]</w:t>
      </w:r>
      <w:r>
        <w:rPr>
          <w:szCs w:val="24"/>
        </w:rPr>
        <w:tab/>
      </w:r>
      <w:r w:rsidR="000B235E">
        <w:t>The full court erred in concluding that grounds exist</w:t>
      </w:r>
      <w:r w:rsidR="00E717E1">
        <w:t>ed</w:t>
      </w:r>
      <w:r w:rsidR="000B235E">
        <w:t xml:space="preserve"> to review the arbitrator’s award</w:t>
      </w:r>
      <w:r w:rsidR="00E717E1">
        <w:t xml:space="preserve"> and that the high court had erred in </w:t>
      </w:r>
      <w:r w:rsidR="00D2756A">
        <w:t xml:space="preserve">not reviewing the </w:t>
      </w:r>
      <w:r w:rsidR="00E717E1">
        <w:t>award</w:t>
      </w:r>
      <w:r w:rsidR="00D2756A">
        <w:t xml:space="preserve">. </w:t>
      </w:r>
      <w:r w:rsidR="00E717E1">
        <w:t xml:space="preserve">The full court </w:t>
      </w:r>
      <w:r w:rsidR="006D3B6B">
        <w:t xml:space="preserve">should have dismissed the appeal against the order of the high court. </w:t>
      </w:r>
      <w:r w:rsidR="008A398B">
        <w:t xml:space="preserve">There is </w:t>
      </w:r>
      <w:r w:rsidR="000B235E">
        <w:t>no reason why the costs</w:t>
      </w:r>
      <w:r w:rsidR="006D3B6B">
        <w:t xml:space="preserve"> of the appeal</w:t>
      </w:r>
      <w:r w:rsidR="000C69D7">
        <w:t>s</w:t>
      </w:r>
      <w:r w:rsidR="006D3B6B">
        <w:t xml:space="preserve"> to the full court and to this Court </w:t>
      </w:r>
      <w:r w:rsidR="000B235E">
        <w:t>should not</w:t>
      </w:r>
      <w:r w:rsidR="000C69D7">
        <w:t>, in each instance,</w:t>
      </w:r>
      <w:r w:rsidR="000B235E">
        <w:t xml:space="preserve"> follow the result</w:t>
      </w:r>
      <w:r w:rsidR="000C69D7">
        <w:t xml:space="preserve"> of the appeal</w:t>
      </w:r>
      <w:r w:rsidR="00D752FC">
        <w:t xml:space="preserve">, and </w:t>
      </w:r>
      <w:r w:rsidR="00D2756A">
        <w:t xml:space="preserve">be </w:t>
      </w:r>
      <w:r w:rsidR="00D752FC">
        <w:t>directed to be paid by the buyers and surety jointly and severally</w:t>
      </w:r>
      <w:r w:rsidR="000C69D7">
        <w:t xml:space="preserve">. </w:t>
      </w:r>
    </w:p>
    <w:p w14:paraId="46917C7A" w14:textId="77777777" w:rsidR="00D2756A" w:rsidRDefault="00D2756A" w:rsidP="009437DD">
      <w:pPr>
        <w:pStyle w:val="ListParagraph"/>
        <w:spacing w:line="360" w:lineRule="auto"/>
        <w:ind w:left="0"/>
        <w:jc w:val="both"/>
      </w:pPr>
    </w:p>
    <w:p w14:paraId="56613594" w14:textId="77777777" w:rsidR="009F4B71" w:rsidRPr="0061245B" w:rsidRDefault="00F118D4" w:rsidP="009437DD">
      <w:pPr>
        <w:spacing w:line="360" w:lineRule="auto"/>
        <w:jc w:val="both"/>
        <w:rPr>
          <w:b/>
          <w:bCs/>
        </w:rPr>
      </w:pPr>
      <w:r w:rsidRPr="00F118D4">
        <w:rPr>
          <w:b/>
          <w:bCs/>
        </w:rPr>
        <w:t>Order</w:t>
      </w:r>
    </w:p>
    <w:p w14:paraId="6A5156C4" w14:textId="5185C7F9" w:rsidR="000B235E" w:rsidRDefault="00FD341B" w:rsidP="00FD341B">
      <w:pPr>
        <w:spacing w:line="360" w:lineRule="auto"/>
        <w:jc w:val="both"/>
      </w:pPr>
      <w:r>
        <w:rPr>
          <w:szCs w:val="24"/>
        </w:rPr>
        <w:t>[45]</w:t>
      </w:r>
      <w:r>
        <w:rPr>
          <w:szCs w:val="24"/>
        </w:rPr>
        <w:tab/>
      </w:r>
      <w:r w:rsidR="000B235E">
        <w:t xml:space="preserve">The following order is </w:t>
      </w:r>
      <w:r w:rsidR="00E717E1">
        <w:t xml:space="preserve">accordingly </w:t>
      </w:r>
      <w:r w:rsidR="000B235E">
        <w:t>granted:</w:t>
      </w:r>
    </w:p>
    <w:p w14:paraId="4D7A7B8A" w14:textId="77777777" w:rsidR="00E32371" w:rsidRDefault="0061245B" w:rsidP="00BC11C0">
      <w:pPr>
        <w:spacing w:line="360" w:lineRule="auto"/>
        <w:jc w:val="both"/>
      </w:pPr>
      <w:r>
        <w:t xml:space="preserve">(a) </w:t>
      </w:r>
      <w:r w:rsidR="00BC11C0">
        <w:tab/>
      </w:r>
      <w:r w:rsidR="000B235E">
        <w:t>The appeal is upheld.</w:t>
      </w:r>
    </w:p>
    <w:p w14:paraId="6EE22AE8" w14:textId="77777777" w:rsidR="006E2592" w:rsidRDefault="0061245B" w:rsidP="00BC11C0">
      <w:pPr>
        <w:spacing w:line="360" w:lineRule="auto"/>
        <w:jc w:val="both"/>
      </w:pPr>
      <w:r>
        <w:t xml:space="preserve">(b) </w:t>
      </w:r>
      <w:r w:rsidR="00BC11C0">
        <w:tab/>
      </w:r>
      <w:r w:rsidR="000B235E">
        <w:t>The order of the full court under case number A5061/2021, dated 25 July 2022</w:t>
      </w:r>
      <w:r w:rsidR="006E2592">
        <w:t>:</w:t>
      </w:r>
    </w:p>
    <w:p w14:paraId="7594F4F3" w14:textId="03676E69" w:rsidR="006E2592" w:rsidRDefault="00FD341B" w:rsidP="00FD341B">
      <w:pPr>
        <w:spacing w:line="360" w:lineRule="auto"/>
        <w:ind w:left="720" w:hanging="720"/>
        <w:jc w:val="both"/>
      </w:pPr>
      <w:r>
        <w:t>(i)</w:t>
      </w:r>
      <w:r>
        <w:tab/>
      </w:r>
      <w:r w:rsidR="000B235E">
        <w:t>is set aside</w:t>
      </w:r>
      <w:r w:rsidR="006E2592">
        <w:t>; and</w:t>
      </w:r>
    </w:p>
    <w:p w14:paraId="6E85F30E" w14:textId="20E113C5" w:rsidR="006E2592" w:rsidRDefault="00FD341B" w:rsidP="00FD341B">
      <w:pPr>
        <w:spacing w:line="360" w:lineRule="auto"/>
        <w:ind w:left="720" w:hanging="720"/>
        <w:jc w:val="both"/>
      </w:pPr>
      <w:r>
        <w:t>(ii)</w:t>
      </w:r>
      <w:r>
        <w:tab/>
      </w:r>
      <w:r w:rsidR="006E2592">
        <w:t>replaced with the following order:</w:t>
      </w:r>
    </w:p>
    <w:p w14:paraId="23CA45C4" w14:textId="77777777" w:rsidR="000B235E" w:rsidRPr="00DC3708" w:rsidRDefault="000B235E" w:rsidP="00F02CCD">
      <w:pPr>
        <w:pStyle w:val="ListParagraph"/>
        <w:spacing w:line="360" w:lineRule="auto"/>
        <w:ind w:left="0"/>
        <w:jc w:val="both"/>
      </w:pPr>
      <w:r>
        <w:t xml:space="preserve">‘The </w:t>
      </w:r>
      <w:r w:rsidR="00D952A9">
        <w:t>appeal is dismissed with costs</w:t>
      </w:r>
      <w:r w:rsidR="0070436D">
        <w:t xml:space="preserve"> including the costs of the application for leave to appeal to the full court</w:t>
      </w:r>
      <w:r w:rsidR="00222B79">
        <w:t>, such costs to be paid by the first, second and third appellants jointly and severally.</w:t>
      </w:r>
      <w:r w:rsidR="00D952A9">
        <w:t>’</w:t>
      </w:r>
    </w:p>
    <w:p w14:paraId="21E3366A" w14:textId="77777777" w:rsidR="00D32B14" w:rsidRPr="00D752FC" w:rsidRDefault="006E2592" w:rsidP="009437DD">
      <w:pPr>
        <w:spacing w:line="360" w:lineRule="auto"/>
        <w:jc w:val="both"/>
        <w:rPr>
          <w:b/>
          <w:bCs/>
        </w:rPr>
      </w:pPr>
      <w:r>
        <w:t>(c)</w:t>
      </w:r>
      <w:r>
        <w:tab/>
        <w:t xml:space="preserve">The first, second and third respondents are </w:t>
      </w:r>
      <w:r w:rsidR="00DC3708">
        <w:t xml:space="preserve">liable </w:t>
      </w:r>
      <w:r>
        <w:t>jointly and severally to pay the appellant’s costs of the appe</w:t>
      </w:r>
      <w:r w:rsidR="00C469B5">
        <w:t>al</w:t>
      </w:r>
      <w:r w:rsidR="00527A97">
        <w:t>.</w:t>
      </w:r>
      <w:r w:rsidR="0070436D" w:rsidRPr="00D752FC">
        <w:rPr>
          <w:b/>
          <w:bCs/>
        </w:rPr>
        <w:t xml:space="preserve"> </w:t>
      </w:r>
    </w:p>
    <w:p w14:paraId="24AB3B8E" w14:textId="77777777" w:rsidR="00D2756A" w:rsidRDefault="00D2756A" w:rsidP="009437DD">
      <w:pPr>
        <w:spacing w:line="360" w:lineRule="auto"/>
      </w:pPr>
    </w:p>
    <w:p w14:paraId="3C6D30B1" w14:textId="37C1399B" w:rsidR="00745DB6" w:rsidRDefault="00745DB6" w:rsidP="00A24395">
      <w:pPr>
        <w:spacing w:line="360" w:lineRule="auto"/>
        <w:jc w:val="right"/>
        <w:rPr>
          <w:noProof/>
          <w:lang w:eastAsia="en-ZA"/>
        </w:rPr>
      </w:pPr>
    </w:p>
    <w:p w14:paraId="0ACBC016" w14:textId="77777777" w:rsidR="00A24395" w:rsidRDefault="00A24395" w:rsidP="00A24395">
      <w:pPr>
        <w:spacing w:line="360" w:lineRule="auto"/>
        <w:jc w:val="right"/>
      </w:pPr>
    </w:p>
    <w:p w14:paraId="43F1C400" w14:textId="56AF4AF6" w:rsidR="00093030" w:rsidRPr="00AC7DA3" w:rsidRDefault="00093030" w:rsidP="00C06BF5">
      <w:pPr>
        <w:jc w:val="right"/>
      </w:pPr>
      <w:r w:rsidRPr="00AC7DA3">
        <w:t>________________________</w:t>
      </w:r>
    </w:p>
    <w:p w14:paraId="2CF91BB4" w14:textId="77777777" w:rsidR="00093030" w:rsidRPr="00FC0581" w:rsidRDefault="00F118D4" w:rsidP="009437DD">
      <w:pPr>
        <w:spacing w:line="360" w:lineRule="auto"/>
        <w:jc w:val="right"/>
        <w:rPr>
          <w:b/>
        </w:rPr>
      </w:pPr>
      <w:r w:rsidRPr="00FC0581">
        <w:rPr>
          <w:b/>
        </w:rPr>
        <w:t xml:space="preserve">P A </w:t>
      </w:r>
      <w:r w:rsidR="000121BF" w:rsidRPr="00FC0581">
        <w:rPr>
          <w:b/>
        </w:rPr>
        <w:t>KOEN</w:t>
      </w:r>
    </w:p>
    <w:p w14:paraId="6BA88ADA" w14:textId="77777777" w:rsidR="000C69D7" w:rsidRPr="00FC0581" w:rsidRDefault="000121BF" w:rsidP="009437DD">
      <w:pPr>
        <w:spacing w:line="360" w:lineRule="auto"/>
        <w:jc w:val="right"/>
        <w:rPr>
          <w:b/>
        </w:rPr>
      </w:pPr>
      <w:r w:rsidRPr="00FC0581">
        <w:rPr>
          <w:b/>
        </w:rPr>
        <w:t xml:space="preserve">ACTING </w:t>
      </w:r>
      <w:r w:rsidR="00093030" w:rsidRPr="00FC0581">
        <w:rPr>
          <w:b/>
        </w:rPr>
        <w:t>JUDGE OF APPEAL</w:t>
      </w:r>
    </w:p>
    <w:p w14:paraId="3BE3AB75" w14:textId="77777777" w:rsidR="00D2756A" w:rsidRDefault="00D2756A" w:rsidP="009437DD">
      <w:pPr>
        <w:spacing w:line="360" w:lineRule="auto"/>
        <w:rPr>
          <w:bCs/>
        </w:rPr>
      </w:pPr>
    </w:p>
    <w:p w14:paraId="28356E76" w14:textId="77777777" w:rsidR="00D2756A" w:rsidRDefault="00D2756A" w:rsidP="009437DD">
      <w:pPr>
        <w:spacing w:line="360" w:lineRule="auto"/>
        <w:rPr>
          <w:bCs/>
        </w:rPr>
      </w:pPr>
    </w:p>
    <w:p w14:paraId="24DB7F3C" w14:textId="77777777" w:rsidR="00261731" w:rsidRDefault="00261731" w:rsidP="009437DD">
      <w:pPr>
        <w:spacing w:line="360" w:lineRule="auto"/>
        <w:rPr>
          <w:bCs/>
        </w:rPr>
      </w:pPr>
    </w:p>
    <w:p w14:paraId="13ACD686" w14:textId="77777777" w:rsidR="00261731" w:rsidRDefault="00261731" w:rsidP="009437DD">
      <w:pPr>
        <w:spacing w:line="360" w:lineRule="auto"/>
        <w:rPr>
          <w:bCs/>
        </w:rPr>
      </w:pPr>
    </w:p>
    <w:p w14:paraId="68AE8F38" w14:textId="77777777" w:rsidR="00261731" w:rsidRDefault="00261731" w:rsidP="009437DD">
      <w:pPr>
        <w:spacing w:line="360" w:lineRule="auto"/>
        <w:rPr>
          <w:bCs/>
        </w:rPr>
      </w:pPr>
    </w:p>
    <w:p w14:paraId="0BB94E8F" w14:textId="77777777" w:rsidR="00261731" w:rsidRDefault="00261731" w:rsidP="009437DD">
      <w:pPr>
        <w:spacing w:line="360" w:lineRule="auto"/>
        <w:rPr>
          <w:bCs/>
        </w:rPr>
      </w:pPr>
    </w:p>
    <w:p w14:paraId="717574D7" w14:textId="77777777" w:rsidR="00E439FB" w:rsidRDefault="00E439FB" w:rsidP="009437DD">
      <w:pPr>
        <w:spacing w:line="360" w:lineRule="auto"/>
        <w:rPr>
          <w:bCs/>
        </w:rPr>
      </w:pPr>
    </w:p>
    <w:p w14:paraId="42104262" w14:textId="77777777" w:rsidR="00A14EFC" w:rsidRDefault="00A14EFC" w:rsidP="009437DD">
      <w:pPr>
        <w:spacing w:line="360" w:lineRule="auto"/>
        <w:rPr>
          <w:bCs/>
        </w:rPr>
      </w:pPr>
      <w:r>
        <w:rPr>
          <w:bCs/>
        </w:rPr>
        <w:t>Appearances</w:t>
      </w:r>
    </w:p>
    <w:p w14:paraId="04CF8CBC" w14:textId="77777777" w:rsidR="00534DDC" w:rsidRDefault="00534DDC" w:rsidP="009437DD">
      <w:pPr>
        <w:spacing w:line="360" w:lineRule="auto"/>
      </w:pPr>
    </w:p>
    <w:p w14:paraId="2956C7B0" w14:textId="77777777" w:rsidR="00A14EFC" w:rsidRPr="00AC7DA3" w:rsidRDefault="00A14EFC" w:rsidP="009437DD">
      <w:pPr>
        <w:spacing w:line="360" w:lineRule="auto"/>
      </w:pPr>
      <w:r w:rsidRPr="00AC7DA3">
        <w:t xml:space="preserve">For </w:t>
      </w:r>
      <w:r>
        <w:t>the appellant:</w:t>
      </w:r>
      <w:r>
        <w:tab/>
      </w:r>
      <w:r>
        <w:tab/>
      </w:r>
      <w:r>
        <w:tab/>
      </w:r>
      <w:r>
        <w:tab/>
      </w:r>
      <w:r>
        <w:tab/>
        <w:t>A Friedman</w:t>
      </w:r>
    </w:p>
    <w:p w14:paraId="0137780B" w14:textId="77777777" w:rsidR="00D32B14" w:rsidRDefault="00A14EFC" w:rsidP="009437DD">
      <w:pPr>
        <w:spacing w:line="360" w:lineRule="auto"/>
        <w:ind w:left="5040" w:hanging="5040"/>
        <w:rPr>
          <w:bCs/>
        </w:rPr>
      </w:pPr>
      <w:r w:rsidRPr="00AC7DA3">
        <w:rPr>
          <w:bCs/>
        </w:rPr>
        <w:t>Instructed by:</w:t>
      </w:r>
      <w:r>
        <w:rPr>
          <w:bCs/>
        </w:rPr>
        <w:tab/>
      </w:r>
      <w:r w:rsidR="008664A0">
        <w:rPr>
          <w:bCs/>
        </w:rPr>
        <w:t>TWB – Tugendhaft Wapnick Banchetti &amp; Partners, Sandown</w:t>
      </w:r>
    </w:p>
    <w:p w14:paraId="4804EDF3" w14:textId="77777777" w:rsidR="00A14EFC" w:rsidRPr="00D32B14" w:rsidRDefault="00A14EFC" w:rsidP="009437DD">
      <w:pPr>
        <w:spacing w:line="360" w:lineRule="auto"/>
        <w:ind w:left="4320" w:firstLine="720"/>
        <w:rPr>
          <w:bCs/>
        </w:rPr>
      </w:pPr>
      <w:r>
        <w:rPr>
          <w:bCs/>
        </w:rPr>
        <w:t>Lovius Block Inc</w:t>
      </w:r>
      <w:r w:rsidR="00D32B14">
        <w:rPr>
          <w:bCs/>
        </w:rPr>
        <w:t xml:space="preserve">, </w:t>
      </w:r>
      <w:r w:rsidRPr="00D32B14">
        <w:rPr>
          <w:bCs/>
        </w:rPr>
        <w:t>Bloemfontein.</w:t>
      </w:r>
    </w:p>
    <w:p w14:paraId="002966B6" w14:textId="77777777" w:rsidR="00A14EFC" w:rsidRPr="00A14EFC" w:rsidRDefault="00A14EFC" w:rsidP="009437DD">
      <w:pPr>
        <w:spacing w:line="360" w:lineRule="auto"/>
        <w:rPr>
          <w:bCs/>
        </w:rPr>
      </w:pPr>
    </w:p>
    <w:p w14:paraId="4F56147B" w14:textId="77777777" w:rsidR="00093030" w:rsidRPr="00AC7DA3" w:rsidRDefault="00093030" w:rsidP="009437DD">
      <w:pPr>
        <w:spacing w:line="360" w:lineRule="auto"/>
      </w:pPr>
      <w:r w:rsidRPr="00AC7DA3">
        <w:t xml:space="preserve">For </w:t>
      </w:r>
      <w:r w:rsidR="00A14EFC">
        <w:t xml:space="preserve">the </w:t>
      </w:r>
      <w:r w:rsidR="00983729">
        <w:t xml:space="preserve">first, second and third </w:t>
      </w:r>
      <w:r w:rsidRPr="00AC7DA3">
        <w:t>respondent</w:t>
      </w:r>
      <w:r w:rsidR="00983729">
        <w:t>s</w:t>
      </w:r>
      <w:r w:rsidRPr="00AC7DA3">
        <w:t>:</w:t>
      </w:r>
      <w:r w:rsidR="00A14EFC">
        <w:tab/>
      </w:r>
      <w:r w:rsidR="000121BF">
        <w:t>Y Alli</w:t>
      </w:r>
    </w:p>
    <w:p w14:paraId="345C8DA6" w14:textId="77777777" w:rsidR="008664A0" w:rsidRDefault="00093030" w:rsidP="009437DD">
      <w:pPr>
        <w:spacing w:line="360" w:lineRule="auto"/>
        <w:ind w:left="5040" w:hanging="5040"/>
        <w:rPr>
          <w:bCs/>
        </w:rPr>
      </w:pPr>
      <w:r w:rsidRPr="00AC7DA3">
        <w:rPr>
          <w:bCs/>
        </w:rPr>
        <w:t>Instructed by:</w:t>
      </w:r>
      <w:r w:rsidR="00A14EFC">
        <w:rPr>
          <w:bCs/>
        </w:rPr>
        <w:tab/>
      </w:r>
      <w:r w:rsidR="00983729">
        <w:rPr>
          <w:bCs/>
        </w:rPr>
        <w:t>Hajibey</w:t>
      </w:r>
      <w:r w:rsidR="008664A0">
        <w:rPr>
          <w:bCs/>
        </w:rPr>
        <w:t xml:space="preserve"> </w:t>
      </w:r>
      <w:r w:rsidR="00983729">
        <w:rPr>
          <w:bCs/>
        </w:rPr>
        <w:t xml:space="preserve">Bhyat </w:t>
      </w:r>
      <w:r w:rsidR="00A14EFC">
        <w:rPr>
          <w:bCs/>
        </w:rPr>
        <w:t xml:space="preserve">Mayet &amp; Stein </w:t>
      </w:r>
      <w:r w:rsidR="00983729">
        <w:rPr>
          <w:bCs/>
        </w:rPr>
        <w:t>Inc</w:t>
      </w:r>
      <w:r w:rsidR="00D32B14">
        <w:rPr>
          <w:bCs/>
        </w:rPr>
        <w:t>,</w:t>
      </w:r>
      <w:r w:rsidR="008664A0">
        <w:rPr>
          <w:bCs/>
        </w:rPr>
        <w:t xml:space="preserve"> Johannesburg </w:t>
      </w:r>
    </w:p>
    <w:p w14:paraId="5DB2EECC" w14:textId="77777777" w:rsidR="00983729" w:rsidRPr="008664A0" w:rsidRDefault="00983729" w:rsidP="009437DD">
      <w:pPr>
        <w:spacing w:line="360" w:lineRule="auto"/>
        <w:ind w:left="4320" w:firstLine="720"/>
        <w:rPr>
          <w:bCs/>
          <w:lang w:val="de-DE"/>
        </w:rPr>
      </w:pPr>
      <w:r w:rsidRPr="008664A0">
        <w:rPr>
          <w:bCs/>
          <w:lang w:val="de-DE"/>
        </w:rPr>
        <w:t>Van der Merwe &amp; Sorou</w:t>
      </w:r>
      <w:r w:rsidR="00A14EFC" w:rsidRPr="008664A0">
        <w:rPr>
          <w:bCs/>
          <w:lang w:val="de-DE"/>
        </w:rPr>
        <w:t>r</w:t>
      </w:r>
      <w:r w:rsidR="00D32B14" w:rsidRPr="008664A0">
        <w:rPr>
          <w:bCs/>
          <w:lang w:val="de-DE"/>
        </w:rPr>
        <w:t xml:space="preserve">, </w:t>
      </w:r>
      <w:r w:rsidR="00093030" w:rsidRPr="008664A0">
        <w:rPr>
          <w:bCs/>
          <w:lang w:val="de-DE"/>
        </w:rPr>
        <w:t>Bloemfontein.</w:t>
      </w:r>
    </w:p>
    <w:p w14:paraId="347FEB9D" w14:textId="77777777" w:rsidR="00983729" w:rsidRPr="008664A0" w:rsidRDefault="00983729" w:rsidP="009437DD">
      <w:pPr>
        <w:spacing w:line="360" w:lineRule="auto"/>
        <w:rPr>
          <w:bCs/>
          <w:lang w:val="de-DE"/>
        </w:rPr>
      </w:pPr>
    </w:p>
    <w:p w14:paraId="2A7EC845" w14:textId="77777777" w:rsidR="00093030" w:rsidRPr="00983729" w:rsidRDefault="00983729" w:rsidP="009437DD">
      <w:pPr>
        <w:pStyle w:val="Pa3"/>
        <w:spacing w:line="360" w:lineRule="auto"/>
      </w:pPr>
      <w:r w:rsidRPr="00983729">
        <w:t>No appearance for the f</w:t>
      </w:r>
      <w:r>
        <w:t>ourth respondent.</w:t>
      </w:r>
    </w:p>
    <w:p w14:paraId="5CD5B790" w14:textId="77777777" w:rsidR="00093030" w:rsidRPr="00983729" w:rsidRDefault="00093030" w:rsidP="009437DD">
      <w:pPr>
        <w:spacing w:line="360" w:lineRule="auto"/>
        <w:jc w:val="both"/>
      </w:pPr>
    </w:p>
    <w:p w14:paraId="0DEFE782" w14:textId="77777777" w:rsidR="00717CC9" w:rsidRPr="00983729" w:rsidRDefault="00717CC9" w:rsidP="009437DD">
      <w:pPr>
        <w:spacing w:line="360" w:lineRule="auto"/>
        <w:jc w:val="center"/>
        <w:rPr>
          <w:sz w:val="22"/>
        </w:rPr>
      </w:pPr>
    </w:p>
    <w:sectPr w:rsidR="00717CC9" w:rsidRPr="00983729" w:rsidSect="00F65FD8">
      <w:headerReference w:type="even" r:id="rId9"/>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D9620" w14:textId="77777777" w:rsidR="00D31056" w:rsidRDefault="00D31056">
      <w:r>
        <w:separator/>
      </w:r>
    </w:p>
  </w:endnote>
  <w:endnote w:type="continuationSeparator" w:id="0">
    <w:p w14:paraId="78898C83" w14:textId="77777777" w:rsidR="00D31056" w:rsidRDefault="00D31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F5E82" w14:textId="77777777" w:rsidR="00D31056" w:rsidRDefault="00D31056">
      <w:r>
        <w:separator/>
      </w:r>
    </w:p>
  </w:footnote>
  <w:footnote w:type="continuationSeparator" w:id="0">
    <w:p w14:paraId="745DB2C7" w14:textId="77777777" w:rsidR="00D31056" w:rsidRDefault="00D31056">
      <w:r>
        <w:continuationSeparator/>
      </w:r>
    </w:p>
  </w:footnote>
  <w:footnote w:id="1">
    <w:p w14:paraId="6738A479" w14:textId="77777777" w:rsidR="008D58A2" w:rsidRDefault="008D58A2" w:rsidP="00124230">
      <w:pPr>
        <w:pStyle w:val="FootnoteText"/>
        <w:jc w:val="both"/>
      </w:pPr>
      <w:r>
        <w:rPr>
          <w:rStyle w:val="FootnoteReference"/>
        </w:rPr>
        <w:footnoteRef/>
      </w:r>
      <w:r>
        <w:t xml:space="preserve"> Voet 4.8.1.</w:t>
      </w:r>
    </w:p>
  </w:footnote>
  <w:footnote w:id="2">
    <w:p w14:paraId="030AAF6B" w14:textId="4DC027E2" w:rsidR="008D58A2" w:rsidRPr="00900D1A" w:rsidRDefault="008D58A2" w:rsidP="00124230">
      <w:pPr>
        <w:pStyle w:val="FootnoteText"/>
        <w:jc w:val="both"/>
        <w:rPr>
          <w:color w:val="FF0000"/>
        </w:rPr>
      </w:pPr>
      <w:r>
        <w:rPr>
          <w:rStyle w:val="FootnoteReference"/>
        </w:rPr>
        <w:footnoteRef/>
      </w:r>
      <w:r>
        <w:t xml:space="preserve"> F</w:t>
      </w:r>
      <w:r w:rsidR="00D02E70">
        <w:t xml:space="preserve"> </w:t>
      </w:r>
      <w:r w:rsidR="0079051C">
        <w:t>D J</w:t>
      </w:r>
      <w:r>
        <w:t xml:space="preserve"> Brand ‘</w:t>
      </w:r>
      <w:r w:rsidRPr="002437DC">
        <w:t>Judicial review of arbitration awards’</w:t>
      </w:r>
      <w:r>
        <w:t xml:space="preserve"> (2014) 25(2) </w:t>
      </w:r>
      <w:r w:rsidRPr="000D292F">
        <w:rPr>
          <w:i/>
        </w:rPr>
        <w:t>Stellenbosch LR</w:t>
      </w:r>
      <w:r>
        <w:t xml:space="preserve"> 247 at 249.</w:t>
      </w:r>
    </w:p>
  </w:footnote>
  <w:footnote w:id="3">
    <w:p w14:paraId="4BF86035" w14:textId="4BAC22E6" w:rsidR="008D58A2" w:rsidRPr="007F51A9" w:rsidRDefault="008D58A2" w:rsidP="00124230">
      <w:pPr>
        <w:pStyle w:val="FootnoteText"/>
        <w:jc w:val="both"/>
      </w:pPr>
      <w:r>
        <w:rPr>
          <w:rStyle w:val="FootnoteReference"/>
        </w:rPr>
        <w:footnoteRef/>
      </w:r>
      <w:r>
        <w:t xml:space="preserve"> R</w:t>
      </w:r>
      <w:r w:rsidR="00D02E70">
        <w:t xml:space="preserve"> </w:t>
      </w:r>
      <w:r>
        <w:t xml:space="preserve">H Christie </w:t>
      </w:r>
      <w:r w:rsidRPr="0076328C">
        <w:rPr>
          <w:i/>
          <w:iCs/>
        </w:rPr>
        <w:t>‘</w:t>
      </w:r>
      <w:r w:rsidRPr="00124230">
        <w:rPr>
          <w:iCs/>
        </w:rPr>
        <w:t>Arbitration: Party Autonomy or Curial Intervention: The Historical Background</w:t>
      </w:r>
      <w:r w:rsidRPr="0076328C">
        <w:rPr>
          <w:i/>
          <w:iCs/>
        </w:rPr>
        <w:t>’</w:t>
      </w:r>
      <w:r>
        <w:t xml:space="preserve"> (1994) 111(1) </w:t>
      </w:r>
      <w:r w:rsidRPr="0076328C">
        <w:rPr>
          <w:i/>
          <w:iCs/>
        </w:rPr>
        <w:t>SALJ</w:t>
      </w:r>
      <w:r>
        <w:t xml:space="preserve"> 143 at 144 notes that ‘the law of arbitration has sought to define when the court will and will not intervene, by striking a balance between absolute non-intervention and constant intervention.’</w:t>
      </w:r>
    </w:p>
  </w:footnote>
  <w:footnote w:id="4">
    <w:p w14:paraId="128F9DE9" w14:textId="07B96A71" w:rsidR="008D58A2" w:rsidRDefault="008D58A2" w:rsidP="00124230">
      <w:pPr>
        <w:pStyle w:val="FootnoteText"/>
        <w:jc w:val="both"/>
      </w:pPr>
      <w:r>
        <w:rPr>
          <w:rStyle w:val="FootnoteReference"/>
        </w:rPr>
        <w:footnoteRef/>
      </w:r>
      <w:r>
        <w:t xml:space="preserve"> The judgment deals only with the principles which apply to a review of an award of a private arbitrator appointed pursuant to a consensual agreement. Different considerations apply to reviews of arbitration awards on administrative common law grounds – </w:t>
      </w:r>
      <w:r w:rsidRPr="00FB705A">
        <w:rPr>
          <w:i/>
          <w:iCs/>
        </w:rPr>
        <w:t>Telcordia</w:t>
      </w:r>
      <w:r>
        <w:rPr>
          <w:i/>
          <w:iCs/>
        </w:rPr>
        <w:t xml:space="preserve"> </w:t>
      </w:r>
      <w:r w:rsidRPr="00FB705A">
        <w:rPr>
          <w:i/>
          <w:iCs/>
        </w:rPr>
        <w:t>Technologies Inc v Telkom SA Ltd</w:t>
      </w:r>
      <w:r w:rsidRPr="00FB705A">
        <w:t xml:space="preserve"> </w:t>
      </w:r>
      <w:r w:rsidR="00593F98">
        <w:t xml:space="preserve">[2006] ZASCA 112; </w:t>
      </w:r>
      <w:r w:rsidRPr="00FB705A">
        <w:t>2007 (3) SA 266 (SCA) para</w:t>
      </w:r>
      <w:r w:rsidR="00593F98">
        <w:t>s</w:t>
      </w:r>
      <w:r w:rsidRPr="00FB705A">
        <w:t xml:space="preserve"> 53 and 57</w:t>
      </w:r>
      <w:r w:rsidR="00900D1A">
        <w:t xml:space="preserve"> </w:t>
      </w:r>
      <w:r w:rsidR="00593F98">
        <w:t>(</w:t>
      </w:r>
      <w:r w:rsidR="00593F98" w:rsidRPr="00900D1A">
        <w:rPr>
          <w:i/>
        </w:rPr>
        <w:t>Telcordia</w:t>
      </w:r>
      <w:r w:rsidR="00593F98">
        <w:t>)</w:t>
      </w:r>
      <w:r w:rsidRPr="00FB705A">
        <w:t>.</w:t>
      </w:r>
      <w:r>
        <w:t xml:space="preserve"> </w:t>
      </w:r>
      <w:r w:rsidRPr="00FB705A">
        <w:rPr>
          <w:iCs/>
        </w:rPr>
        <w:t xml:space="preserve">Furthermore, </w:t>
      </w:r>
      <w:r>
        <w:rPr>
          <w:iCs/>
        </w:rPr>
        <w:t xml:space="preserve">this </w:t>
      </w:r>
      <w:r w:rsidR="00593F98">
        <w:rPr>
          <w:iCs/>
        </w:rPr>
        <w:t>C</w:t>
      </w:r>
      <w:r>
        <w:rPr>
          <w:iCs/>
        </w:rPr>
        <w:t xml:space="preserve">ourt has held that </w:t>
      </w:r>
      <w:r w:rsidRPr="00FB705A">
        <w:rPr>
          <w:iCs/>
        </w:rPr>
        <w:t>consensual arbitrations, as opposed to statutory arbitrations</w:t>
      </w:r>
      <w:r>
        <w:rPr>
          <w:iCs/>
        </w:rPr>
        <w:t>,</w:t>
      </w:r>
      <w:r w:rsidRPr="00FB705A">
        <w:rPr>
          <w:iCs/>
        </w:rPr>
        <w:t xml:space="preserve"> for example in terms of the Labour Relations Act 66 of 1995</w:t>
      </w:r>
      <w:r>
        <w:rPr>
          <w:iCs/>
        </w:rPr>
        <w:t>,</w:t>
      </w:r>
      <w:r w:rsidRPr="00FB705A">
        <w:rPr>
          <w:iCs/>
        </w:rPr>
        <w:t xml:space="preserve"> involving the Commission for </w:t>
      </w:r>
      <w:r>
        <w:rPr>
          <w:iCs/>
        </w:rPr>
        <w:t xml:space="preserve">Conciliation, </w:t>
      </w:r>
      <w:r w:rsidRPr="00FB705A">
        <w:rPr>
          <w:iCs/>
        </w:rPr>
        <w:t>Mediation and Arbitration, do not fall within the purview of ‘administrative action’, accordingly that the administrative justice provisions of section 33 of the Constitution and the Promotion of Administrative Justice Act 3 of 2000 (PAJA) can be discounted, thus excluding reviews of arbitration awards on the grounds of irrationality or other grounds in PAJA</w:t>
      </w:r>
      <w:r w:rsidR="00DE6D7F">
        <w:rPr>
          <w:iCs/>
        </w:rPr>
        <w:t xml:space="preserve"> –</w:t>
      </w:r>
      <w:r w:rsidRPr="00FB705A">
        <w:rPr>
          <w:i/>
          <w:iCs/>
        </w:rPr>
        <w:t>Total Support Management (Pty) Ltd v Diversified Health Systems (SA) (Pty) Ltd</w:t>
      </w:r>
      <w:r w:rsidRPr="00FB705A">
        <w:t xml:space="preserve"> </w:t>
      </w:r>
      <w:r w:rsidR="009E139B" w:rsidRPr="00900D1A">
        <w:rPr>
          <w:i/>
        </w:rPr>
        <w:t>and Another</w:t>
      </w:r>
      <w:r w:rsidR="009E139B">
        <w:t xml:space="preserve"> </w:t>
      </w:r>
      <w:r w:rsidRPr="00FB705A">
        <w:t xml:space="preserve">2002 (4) SA 661 (SCA) para 24; </w:t>
      </w:r>
      <w:r w:rsidRPr="00FB705A">
        <w:rPr>
          <w:i/>
          <w:iCs/>
        </w:rPr>
        <w:t xml:space="preserve">Telcordia </w:t>
      </w:r>
      <w:r w:rsidRPr="00FB705A">
        <w:t>para 45</w:t>
      </w:r>
      <w:r w:rsidRPr="00FB705A">
        <w:rPr>
          <w:iCs/>
        </w:rPr>
        <w:t>.</w:t>
      </w:r>
    </w:p>
  </w:footnote>
  <w:footnote w:id="5">
    <w:p w14:paraId="2AA9B728" w14:textId="77777777" w:rsidR="008D58A2" w:rsidRDefault="008D58A2" w:rsidP="00124230">
      <w:pPr>
        <w:pStyle w:val="FootnoteText"/>
        <w:jc w:val="both"/>
      </w:pPr>
      <w:r>
        <w:rPr>
          <w:rStyle w:val="FootnoteReference"/>
        </w:rPr>
        <w:footnoteRef/>
      </w:r>
      <w:r>
        <w:t xml:space="preserve"> Although the agreement was dated 30 June 2017, the risk in and the benefit attaching to the sale of the shares passed to the buyers with effect from 1 March 2017.</w:t>
      </w:r>
    </w:p>
  </w:footnote>
  <w:footnote w:id="6">
    <w:p w14:paraId="4BE44642" w14:textId="1CF8B42B" w:rsidR="008D58A2" w:rsidRDefault="008D58A2" w:rsidP="00124230">
      <w:pPr>
        <w:pStyle w:val="FootnoteText"/>
        <w:jc w:val="both"/>
      </w:pPr>
      <w:r>
        <w:rPr>
          <w:rStyle w:val="FootnoteReference"/>
        </w:rPr>
        <w:footnoteRef/>
      </w:r>
      <w:r>
        <w:t xml:space="preserve"> The terms of the referral are contained in clause 27 of the agreement. This is not an instance as in </w:t>
      </w:r>
      <w:r w:rsidRPr="00F77830">
        <w:rPr>
          <w:i/>
          <w:iCs/>
        </w:rPr>
        <w:t xml:space="preserve">Hos+Med Medical Aid Scheme v Thebe Ya Bophelo Healthcare Marketing &amp;Consulting (Pty) Ltd and others </w:t>
      </w:r>
      <w:r w:rsidRPr="00F77830">
        <w:t>2008 (2) SA 608 (SCA)</w:t>
      </w:r>
      <w:r>
        <w:t xml:space="preserve"> para</w:t>
      </w:r>
      <w:r w:rsidR="009E139B">
        <w:t>s</w:t>
      </w:r>
      <w:r>
        <w:t xml:space="preserve"> 30-32 where what was referred to arbitration was what was contained in the pleadings. Pleadings were exchanged but these simply identified the issues between the parties. </w:t>
      </w:r>
    </w:p>
  </w:footnote>
  <w:footnote w:id="7">
    <w:p w14:paraId="0F682BD2" w14:textId="77777777" w:rsidR="008D58A2" w:rsidRPr="00123928" w:rsidRDefault="008D58A2" w:rsidP="00124230">
      <w:pPr>
        <w:jc w:val="both"/>
        <w:rPr>
          <w:sz w:val="20"/>
          <w:szCs w:val="20"/>
        </w:rPr>
      </w:pPr>
      <w:r w:rsidRPr="00900D1A">
        <w:rPr>
          <w:rStyle w:val="FootnoteReference"/>
          <w:sz w:val="20"/>
          <w:szCs w:val="20"/>
        </w:rPr>
        <w:footnoteRef/>
      </w:r>
      <w:r>
        <w:t xml:space="preserve"> </w:t>
      </w:r>
      <w:r w:rsidRPr="00123928">
        <w:rPr>
          <w:sz w:val="20"/>
          <w:szCs w:val="20"/>
        </w:rPr>
        <w:t>The buyers made certain payments.</w:t>
      </w:r>
      <w:r>
        <w:rPr>
          <w:sz w:val="20"/>
          <w:szCs w:val="20"/>
        </w:rPr>
        <w:t xml:space="preserve"> They are not relevant to this judgment.</w:t>
      </w:r>
      <w:r w:rsidRPr="00123928">
        <w:rPr>
          <w:sz w:val="20"/>
          <w:szCs w:val="20"/>
        </w:rPr>
        <w:t xml:space="preserve"> </w:t>
      </w:r>
    </w:p>
  </w:footnote>
  <w:footnote w:id="8">
    <w:p w14:paraId="2A65C299" w14:textId="77777777" w:rsidR="008D58A2" w:rsidRDefault="008D58A2" w:rsidP="00124230">
      <w:pPr>
        <w:pStyle w:val="FootnoteText"/>
        <w:jc w:val="both"/>
      </w:pPr>
      <w:r w:rsidRPr="00123928">
        <w:rPr>
          <w:rStyle w:val="FootnoteReference"/>
        </w:rPr>
        <w:footnoteRef/>
      </w:r>
      <w:r w:rsidRPr="00123928">
        <w:t xml:space="preserve"> The purchase price was payable in accordance with</w:t>
      </w:r>
      <w:r>
        <w:t xml:space="preserve"> a formula providing for staggered payment over several years. By the time of the arbitration, payment of any part of the purchase price which remained owing, was due and payable.</w:t>
      </w:r>
    </w:p>
  </w:footnote>
  <w:footnote w:id="9">
    <w:p w14:paraId="1CE740F9" w14:textId="77777777" w:rsidR="008D58A2" w:rsidRPr="0095787A" w:rsidRDefault="008D58A2" w:rsidP="00124230">
      <w:pPr>
        <w:jc w:val="both"/>
        <w:rPr>
          <w:sz w:val="20"/>
          <w:szCs w:val="20"/>
        </w:rPr>
      </w:pPr>
      <w:r w:rsidRPr="0095787A">
        <w:rPr>
          <w:rStyle w:val="FootnoteReference"/>
          <w:sz w:val="20"/>
          <w:szCs w:val="20"/>
        </w:rPr>
        <w:footnoteRef/>
      </w:r>
      <w:r w:rsidRPr="0095787A">
        <w:rPr>
          <w:sz w:val="20"/>
          <w:szCs w:val="20"/>
        </w:rPr>
        <w:t xml:space="preserve"> There was also a claim for rectification </w:t>
      </w:r>
      <w:r>
        <w:rPr>
          <w:sz w:val="20"/>
          <w:szCs w:val="20"/>
        </w:rPr>
        <w:t>of c</w:t>
      </w:r>
      <w:r w:rsidRPr="0095787A">
        <w:rPr>
          <w:sz w:val="20"/>
          <w:szCs w:val="20"/>
        </w:rPr>
        <w:t xml:space="preserve">lause 9.3 of the </w:t>
      </w:r>
      <w:r>
        <w:rPr>
          <w:sz w:val="20"/>
          <w:szCs w:val="20"/>
        </w:rPr>
        <w:t>agreement</w:t>
      </w:r>
      <w:r w:rsidRPr="0095787A">
        <w:rPr>
          <w:sz w:val="20"/>
          <w:szCs w:val="20"/>
        </w:rPr>
        <w:t>,</w:t>
      </w:r>
      <w:r>
        <w:rPr>
          <w:sz w:val="20"/>
          <w:szCs w:val="20"/>
        </w:rPr>
        <w:t xml:space="preserve"> which was granted. That claim is </w:t>
      </w:r>
      <w:r w:rsidRPr="0095787A">
        <w:rPr>
          <w:sz w:val="20"/>
          <w:szCs w:val="20"/>
        </w:rPr>
        <w:t xml:space="preserve">not relevant to this judgment.   </w:t>
      </w:r>
    </w:p>
  </w:footnote>
  <w:footnote w:id="10">
    <w:p w14:paraId="6EB45EAE" w14:textId="77777777" w:rsidR="008D58A2" w:rsidRPr="006762DA" w:rsidRDefault="008D58A2" w:rsidP="00124230">
      <w:pPr>
        <w:pStyle w:val="FootnoteText"/>
        <w:jc w:val="both"/>
      </w:pPr>
      <w:r w:rsidRPr="006762DA">
        <w:rPr>
          <w:rStyle w:val="FootnoteReference"/>
        </w:rPr>
        <w:footnoteRef/>
      </w:r>
      <w:r w:rsidRPr="006762DA">
        <w:t xml:space="preserve"> ‘Stock’ is defined in the </w:t>
      </w:r>
      <w:r>
        <w:t>agreement</w:t>
      </w:r>
      <w:r w:rsidRPr="006762DA">
        <w:t xml:space="preserve"> to mean:</w:t>
      </w:r>
    </w:p>
    <w:p w14:paraId="18A12B54" w14:textId="77777777" w:rsidR="008D58A2" w:rsidRPr="006762DA" w:rsidRDefault="008D58A2" w:rsidP="00124230">
      <w:pPr>
        <w:pStyle w:val="FootnoteText"/>
        <w:jc w:val="both"/>
      </w:pPr>
      <w:r w:rsidRPr="006762DA">
        <w:t xml:space="preserve">‘the stock in trade of [SDK] including finished and partly finished products, packaging, raw materials, imported product and all items used in the normal and ordinary course of business of manufacturing the products manufactured by [SDK] as at 28 February 2017, and expressly excluding the Woolworths Stock.’ </w:t>
      </w:r>
    </w:p>
    <w:p w14:paraId="7A080191" w14:textId="77777777" w:rsidR="008D58A2" w:rsidRPr="006762DA" w:rsidRDefault="008D58A2" w:rsidP="00124230">
      <w:pPr>
        <w:pStyle w:val="FootnoteText"/>
        <w:jc w:val="both"/>
      </w:pPr>
      <w:r w:rsidRPr="006762DA">
        <w:t xml:space="preserve">The Woolworths Stock, excluded from ‘stock’, is defined to mean the stock ordered by [SDK] specifically for the purpose of sale to Woolworths as set out in Schedule 4.’ Schedule 4 however did not contain any details. </w:t>
      </w:r>
      <w:r>
        <w:t>A</w:t>
      </w:r>
      <w:r w:rsidRPr="006762DA">
        <w:t xml:space="preserve"> stock take revealed a total value for stock of R8 192 397</w:t>
      </w:r>
      <w:r>
        <w:t>.</w:t>
      </w:r>
      <w:r w:rsidRPr="006762DA">
        <w:t xml:space="preserve">42, from which the stock intended for Woolworths had to be deducted, resulting in a balance of R6 197 211.14.  </w:t>
      </w:r>
    </w:p>
  </w:footnote>
  <w:footnote w:id="11">
    <w:p w14:paraId="2030FF87" w14:textId="77777777" w:rsidR="008D58A2" w:rsidRPr="005614A3" w:rsidRDefault="008D58A2" w:rsidP="00124230">
      <w:pPr>
        <w:pStyle w:val="FootnoteText"/>
        <w:jc w:val="both"/>
      </w:pPr>
      <w:r>
        <w:rPr>
          <w:rStyle w:val="FootnoteReference"/>
        </w:rPr>
        <w:footnoteRef/>
      </w:r>
      <w:r>
        <w:t xml:space="preserve"> Defined in the Agreement as the ‘Effective Date Accounts.’ In terms of the Agreement the risk in and benefit attaching to the ‘Sale Shares’ passed to the purchasers with effect from 1 March 2017.</w:t>
      </w:r>
    </w:p>
  </w:footnote>
  <w:footnote w:id="12">
    <w:p w14:paraId="12C7AE98" w14:textId="77777777" w:rsidR="008D58A2" w:rsidRPr="00271FB9" w:rsidRDefault="008D58A2" w:rsidP="00124230">
      <w:pPr>
        <w:pStyle w:val="FootnoteText"/>
        <w:jc w:val="both"/>
      </w:pPr>
      <w:r>
        <w:rPr>
          <w:rStyle w:val="FootnoteReference"/>
        </w:rPr>
        <w:footnoteRef/>
      </w:r>
      <w:r>
        <w:t xml:space="preserve"> The seller claimed that the value of the stock was R6 197 211.14, being the figure included in the calculation of the purchase price. The arbitrator concluded that the value of the stock as contemplated in the agreement, at the time of transfer of the business to the buyers was the sum of R2 239 002, as reflected in the financial statements of SDK at 28 February 2017. The purchase price thus had to be </w:t>
      </w:r>
      <w:r w:rsidRPr="00271FB9">
        <w:t>reduced by R3 958 209.14 (R6 197 211.14 less R2 239 002)</w:t>
      </w:r>
    </w:p>
  </w:footnote>
  <w:footnote w:id="13">
    <w:p w14:paraId="1181BAD0" w14:textId="77777777" w:rsidR="008D58A2" w:rsidRPr="00687E0E" w:rsidRDefault="008D58A2" w:rsidP="00124230">
      <w:pPr>
        <w:pStyle w:val="FootnoteText"/>
        <w:jc w:val="both"/>
      </w:pPr>
      <w:r>
        <w:rPr>
          <w:rStyle w:val="FootnoteReference"/>
        </w:rPr>
        <w:footnoteRef/>
      </w:r>
      <w:r>
        <w:t xml:space="preserve"> The buyers and surety also alluded to other</w:t>
      </w:r>
      <w:r w:rsidR="00CA2543">
        <w:t xml:space="preserve"> </w:t>
      </w:r>
      <w:r>
        <w:t>grounds in the review. These included: t</w:t>
      </w:r>
      <w:r w:rsidRPr="00687E0E">
        <w:t xml:space="preserve">hat the arbitrator failed to consider all of the evidence and committed a ‘gross error (amounting to misconduct)’ because the evidence primarily established that the appellant’s version was not credible; </w:t>
      </w:r>
      <w:r>
        <w:t>t</w:t>
      </w:r>
      <w:r w:rsidRPr="00687E0E">
        <w:t xml:space="preserve">hat the arbitrator issued an ‘irregular costs order’ because the evidence established that the appellant ‘committed a number of fraudulent acts’; </w:t>
      </w:r>
      <w:r>
        <w:t xml:space="preserve">and </w:t>
      </w:r>
      <w:r w:rsidRPr="00687E0E">
        <w:t xml:space="preserve">that the costs order in favour </w:t>
      </w:r>
      <w:r>
        <w:t xml:space="preserve">of the seller </w:t>
      </w:r>
      <w:r w:rsidRPr="00687E0E">
        <w:t xml:space="preserve">was </w:t>
      </w:r>
      <w:r>
        <w:t xml:space="preserve">accordingly </w:t>
      </w:r>
      <w:r w:rsidRPr="00687E0E">
        <w:t>a gross mistake because it sanctioned an illegality.</w:t>
      </w:r>
      <w:r>
        <w:t xml:space="preserve"> These have rightly not been persisted with. </w:t>
      </w:r>
    </w:p>
  </w:footnote>
  <w:footnote w:id="14">
    <w:p w14:paraId="4A0B89DF" w14:textId="77777777" w:rsidR="008D58A2" w:rsidRDefault="008D58A2" w:rsidP="00124230">
      <w:pPr>
        <w:pStyle w:val="FootnoteText"/>
        <w:jc w:val="both"/>
      </w:pPr>
      <w:r>
        <w:rPr>
          <w:rStyle w:val="FootnoteReference"/>
        </w:rPr>
        <w:footnoteRef/>
      </w:r>
      <w:r>
        <w:t xml:space="preserve"> Granted on 10 November 2022. The appeal is opposed by the buyers and the surety. The fourth respondent has not participated in the court proceedings subsequent to issuing his award.</w:t>
      </w:r>
    </w:p>
  </w:footnote>
  <w:footnote w:id="15">
    <w:p w14:paraId="37B50A73" w14:textId="77777777" w:rsidR="008D58A2" w:rsidRPr="00BB67B6" w:rsidRDefault="008D58A2" w:rsidP="00124230">
      <w:pPr>
        <w:jc w:val="both"/>
        <w:rPr>
          <w:sz w:val="20"/>
          <w:szCs w:val="20"/>
        </w:rPr>
      </w:pPr>
      <w:r w:rsidRPr="00BB67B6">
        <w:rPr>
          <w:rStyle w:val="FootnoteReference"/>
        </w:rPr>
        <w:footnoteRef/>
      </w:r>
      <w:r w:rsidRPr="00BB67B6">
        <w:t xml:space="preserve"> </w:t>
      </w:r>
      <w:r w:rsidRPr="00BB67B6">
        <w:rPr>
          <w:sz w:val="20"/>
          <w:szCs w:val="20"/>
        </w:rPr>
        <w:t xml:space="preserve">The grounds in respect of which leave to appeal was granted to the full court also </w:t>
      </w:r>
      <w:r>
        <w:rPr>
          <w:sz w:val="20"/>
          <w:szCs w:val="20"/>
        </w:rPr>
        <w:t xml:space="preserve">constitute </w:t>
      </w:r>
      <w:r w:rsidRPr="00BB67B6">
        <w:rPr>
          <w:sz w:val="20"/>
          <w:szCs w:val="20"/>
        </w:rPr>
        <w:t>the grounds of appeal in this court.</w:t>
      </w:r>
    </w:p>
  </w:footnote>
  <w:footnote w:id="16">
    <w:p w14:paraId="375EC0D5" w14:textId="027FC296" w:rsidR="008D58A2" w:rsidRPr="00FB705A" w:rsidRDefault="008D58A2" w:rsidP="00124230">
      <w:pPr>
        <w:jc w:val="both"/>
        <w:rPr>
          <w:sz w:val="20"/>
          <w:szCs w:val="20"/>
        </w:rPr>
      </w:pPr>
      <w:r w:rsidRPr="00FB705A">
        <w:rPr>
          <w:rStyle w:val="FootnoteReference"/>
          <w:sz w:val="20"/>
          <w:szCs w:val="20"/>
        </w:rPr>
        <w:footnoteRef/>
      </w:r>
      <w:r w:rsidRPr="00FB705A">
        <w:rPr>
          <w:sz w:val="20"/>
          <w:szCs w:val="20"/>
        </w:rPr>
        <w:t xml:space="preserve"> </w:t>
      </w:r>
      <w:r w:rsidRPr="00FB705A">
        <w:rPr>
          <w:i/>
          <w:iCs/>
          <w:sz w:val="20"/>
          <w:szCs w:val="20"/>
        </w:rPr>
        <w:t xml:space="preserve">Dickenson &amp; Brown v Fisher’s Executors </w:t>
      </w:r>
      <w:r w:rsidRPr="00FB705A">
        <w:rPr>
          <w:sz w:val="20"/>
          <w:szCs w:val="20"/>
        </w:rPr>
        <w:t xml:space="preserve">1915 AD 166 </w:t>
      </w:r>
      <w:r>
        <w:rPr>
          <w:sz w:val="20"/>
          <w:szCs w:val="20"/>
        </w:rPr>
        <w:t xml:space="preserve">at </w:t>
      </w:r>
      <w:r w:rsidRPr="00FB705A">
        <w:rPr>
          <w:sz w:val="20"/>
          <w:szCs w:val="20"/>
        </w:rPr>
        <w:t>174-</w:t>
      </w:r>
      <w:r>
        <w:rPr>
          <w:sz w:val="20"/>
          <w:szCs w:val="20"/>
        </w:rPr>
        <w:t>17</w:t>
      </w:r>
      <w:r w:rsidRPr="00FB705A">
        <w:rPr>
          <w:sz w:val="20"/>
          <w:szCs w:val="20"/>
        </w:rPr>
        <w:t xml:space="preserve">5; </w:t>
      </w:r>
      <w:r w:rsidRPr="00FB705A">
        <w:rPr>
          <w:i/>
          <w:iCs/>
          <w:sz w:val="20"/>
          <w:szCs w:val="20"/>
        </w:rPr>
        <w:t>Amalgamated Clothing and Textile Workers Union of South Africa v Veldspun</w:t>
      </w:r>
      <w:r w:rsidRPr="00FB705A">
        <w:rPr>
          <w:sz w:val="20"/>
          <w:szCs w:val="20"/>
        </w:rPr>
        <w:t xml:space="preserve"> 1994 (1) SA 162 (A) </w:t>
      </w:r>
      <w:r w:rsidR="00694226">
        <w:rPr>
          <w:sz w:val="20"/>
          <w:szCs w:val="20"/>
        </w:rPr>
        <w:t xml:space="preserve">at </w:t>
      </w:r>
      <w:r w:rsidRPr="00FB705A">
        <w:rPr>
          <w:sz w:val="20"/>
          <w:szCs w:val="20"/>
        </w:rPr>
        <w:t xml:space="preserve">169. </w:t>
      </w:r>
    </w:p>
  </w:footnote>
  <w:footnote w:id="17">
    <w:p w14:paraId="49188A2A" w14:textId="011EF1EF" w:rsidR="008D58A2" w:rsidRPr="001D66EC" w:rsidRDefault="008D58A2" w:rsidP="00124230">
      <w:pPr>
        <w:pStyle w:val="FootnoteText"/>
        <w:jc w:val="both"/>
      </w:pPr>
      <w:r>
        <w:rPr>
          <w:rStyle w:val="FootnoteReference"/>
        </w:rPr>
        <w:footnoteRef/>
      </w:r>
      <w:r w:rsidRPr="001D66EC">
        <w:t xml:space="preserve"> </w:t>
      </w:r>
      <w:r w:rsidRPr="001D66EC">
        <w:rPr>
          <w:i/>
          <w:iCs/>
        </w:rPr>
        <w:t xml:space="preserve">Telcordia </w:t>
      </w:r>
      <w:r w:rsidR="0028421A" w:rsidRPr="00900D1A">
        <w:rPr>
          <w:iCs/>
        </w:rPr>
        <w:t>fn 4</w:t>
      </w:r>
      <w:r w:rsidR="0028421A">
        <w:rPr>
          <w:i/>
          <w:iCs/>
        </w:rPr>
        <w:t xml:space="preserve"> </w:t>
      </w:r>
      <w:r w:rsidRPr="001D66EC">
        <w:t>para</w:t>
      </w:r>
      <w:r w:rsidR="0028421A">
        <w:t>s</w:t>
      </w:r>
      <w:r w:rsidRPr="001D66EC">
        <w:t xml:space="preserve"> 59-60 and 68.</w:t>
      </w:r>
    </w:p>
  </w:footnote>
  <w:footnote w:id="18">
    <w:p w14:paraId="4D793E7B" w14:textId="34522EC4" w:rsidR="008D58A2" w:rsidRPr="00FB705A" w:rsidRDefault="008D58A2" w:rsidP="00124230">
      <w:pPr>
        <w:pStyle w:val="FootnoteText"/>
        <w:jc w:val="both"/>
      </w:pPr>
      <w:r>
        <w:rPr>
          <w:rStyle w:val="FootnoteReference"/>
        </w:rPr>
        <w:footnoteRef/>
      </w:r>
      <w:r>
        <w:t xml:space="preserve"> </w:t>
      </w:r>
      <w:r w:rsidR="0028421A">
        <w:t xml:space="preserve">Ibid </w:t>
      </w:r>
      <w:r w:rsidRPr="00FB705A">
        <w:t>para 68.</w:t>
      </w:r>
    </w:p>
  </w:footnote>
  <w:footnote w:id="19">
    <w:p w14:paraId="3F5ECAA0" w14:textId="647F6E92" w:rsidR="008D58A2" w:rsidRPr="004120BE" w:rsidRDefault="008D58A2" w:rsidP="00124230">
      <w:pPr>
        <w:pStyle w:val="FootnoteText"/>
        <w:jc w:val="both"/>
      </w:pPr>
      <w:r>
        <w:rPr>
          <w:rStyle w:val="FootnoteReference"/>
        </w:rPr>
        <w:footnoteRef/>
      </w:r>
      <w:r w:rsidRPr="004120BE">
        <w:t xml:space="preserve"> </w:t>
      </w:r>
      <w:r w:rsidRPr="004120BE">
        <w:rPr>
          <w:i/>
          <w:iCs/>
        </w:rPr>
        <w:t>Ellis v Morgan; Ellis v Dessai</w:t>
      </w:r>
      <w:r w:rsidRPr="004120BE">
        <w:t xml:space="preserve"> 1909 TS 576 at 581; </w:t>
      </w:r>
      <w:r w:rsidRPr="000C44D3">
        <w:rPr>
          <w:i/>
          <w:iCs/>
        </w:rPr>
        <w:t xml:space="preserve">Goldfields Investment Ltd. and </w:t>
      </w:r>
      <w:r>
        <w:rPr>
          <w:i/>
          <w:iCs/>
        </w:rPr>
        <w:t>a</w:t>
      </w:r>
      <w:r w:rsidRPr="000C44D3">
        <w:rPr>
          <w:i/>
          <w:iCs/>
        </w:rPr>
        <w:t xml:space="preserve">nother v City Council of Johannesburg and </w:t>
      </w:r>
      <w:r>
        <w:rPr>
          <w:i/>
          <w:iCs/>
        </w:rPr>
        <w:t>a</w:t>
      </w:r>
      <w:r w:rsidRPr="000C44D3">
        <w:rPr>
          <w:i/>
          <w:iCs/>
        </w:rPr>
        <w:t>nother</w:t>
      </w:r>
      <w:r>
        <w:t xml:space="preserve">1938 TPD 551; </w:t>
      </w:r>
      <w:r w:rsidRPr="000C44D3">
        <w:rPr>
          <w:i/>
          <w:iCs/>
        </w:rPr>
        <w:t xml:space="preserve">Bester v Easigas (Pty) Ltd and another </w:t>
      </w:r>
      <w:r w:rsidRPr="000C44D3">
        <w:rPr>
          <w:iCs/>
        </w:rPr>
        <w:t>1993 (1) SA 30 (C)</w:t>
      </w:r>
      <w:r w:rsidRPr="000C44D3">
        <w:t xml:space="preserve"> </w:t>
      </w:r>
      <w:r>
        <w:t xml:space="preserve">at 42I-J; </w:t>
      </w:r>
      <w:r w:rsidRPr="002D0907">
        <w:rPr>
          <w:i/>
          <w:iCs/>
        </w:rPr>
        <w:t xml:space="preserve">Telcordia </w:t>
      </w:r>
      <w:r>
        <w:t>paras 53</w:t>
      </w:r>
      <w:r w:rsidR="001012BB">
        <w:t>-</w:t>
      </w:r>
      <w:r>
        <w:t>76.</w:t>
      </w:r>
    </w:p>
  </w:footnote>
  <w:footnote w:id="20">
    <w:p w14:paraId="32904314" w14:textId="46AD89BF" w:rsidR="008D58A2" w:rsidRPr="00257C15" w:rsidRDefault="008D58A2" w:rsidP="00124230">
      <w:pPr>
        <w:pStyle w:val="FootnoteText"/>
        <w:jc w:val="both"/>
      </w:pPr>
      <w:r>
        <w:rPr>
          <w:rStyle w:val="FootnoteReference"/>
        </w:rPr>
        <w:footnoteRef/>
      </w:r>
      <w:r>
        <w:t xml:space="preserve"> Brand</w:t>
      </w:r>
      <w:r w:rsidR="001012BB">
        <w:t xml:space="preserve"> fn 2</w:t>
      </w:r>
      <w:r>
        <w:t xml:space="preserve"> </w:t>
      </w:r>
      <w:r w:rsidRPr="007C3766">
        <w:rPr>
          <w:iCs/>
        </w:rPr>
        <w:t>op cit</w:t>
      </w:r>
      <w:r>
        <w:rPr>
          <w:i/>
          <w:iCs/>
        </w:rPr>
        <w:t xml:space="preserve"> </w:t>
      </w:r>
      <w:r>
        <w:t>252.</w:t>
      </w:r>
    </w:p>
  </w:footnote>
  <w:footnote w:id="21">
    <w:p w14:paraId="636A1FC5" w14:textId="77777777" w:rsidR="008D58A2" w:rsidRPr="007A11D8" w:rsidRDefault="008D58A2" w:rsidP="00124230">
      <w:pPr>
        <w:pStyle w:val="FootnoteText"/>
        <w:jc w:val="both"/>
      </w:pPr>
      <w:r>
        <w:rPr>
          <w:rStyle w:val="FootnoteReference"/>
        </w:rPr>
        <w:footnoteRef/>
      </w:r>
      <w:r w:rsidRPr="007A11D8">
        <w:t xml:space="preserve"> See</w:t>
      </w:r>
      <w:r>
        <w:t xml:space="preserve"> </w:t>
      </w:r>
      <w:r w:rsidRPr="007A11D8">
        <w:t xml:space="preserve">for example </w:t>
      </w:r>
      <w:r w:rsidRPr="00183BCE">
        <w:rPr>
          <w:i/>
          <w:iCs/>
        </w:rPr>
        <w:t>Bester v Easigas (Pty) Ltd</w:t>
      </w:r>
      <w:r>
        <w:t xml:space="preserve"> 1993 (1) SA 30 (C) at 42J.</w:t>
      </w:r>
    </w:p>
  </w:footnote>
  <w:footnote w:id="22">
    <w:p w14:paraId="7951A9AC" w14:textId="43E1AEFD" w:rsidR="008D58A2" w:rsidRDefault="008D58A2" w:rsidP="00124230">
      <w:pPr>
        <w:pStyle w:val="FootnoteText"/>
        <w:jc w:val="both"/>
      </w:pPr>
      <w:r>
        <w:rPr>
          <w:rStyle w:val="FootnoteReference"/>
        </w:rPr>
        <w:footnoteRef/>
      </w:r>
      <w:r>
        <w:t xml:space="preserve"> </w:t>
      </w:r>
      <w:r w:rsidRPr="00224C77">
        <w:rPr>
          <w:i/>
          <w:iCs/>
        </w:rPr>
        <w:t xml:space="preserve">Lufuno Mphaphuli &amp; Associates (Pty) Ltd v Andrews and another </w:t>
      </w:r>
      <w:r w:rsidRPr="00224C77">
        <w:rPr>
          <w:iCs/>
        </w:rPr>
        <w:t>2009 (4) SA</w:t>
      </w:r>
      <w:r w:rsidR="0079051C">
        <w:rPr>
          <w:iCs/>
        </w:rPr>
        <w:t xml:space="preserve"> </w:t>
      </w:r>
      <w:r w:rsidRPr="00224C77">
        <w:rPr>
          <w:iCs/>
        </w:rPr>
        <w:t>529 (CC)</w:t>
      </w:r>
      <w:r>
        <w:t xml:space="preserve"> para 221.</w:t>
      </w:r>
    </w:p>
  </w:footnote>
  <w:footnote w:id="23">
    <w:p w14:paraId="4CE714E8" w14:textId="5D4B75A9" w:rsidR="008D58A2" w:rsidRPr="00BD75FA" w:rsidRDefault="008D58A2" w:rsidP="00BD75FA">
      <w:pPr>
        <w:pStyle w:val="FootnoteText"/>
        <w:jc w:val="both"/>
        <w:rPr>
          <w:lang w:val="en-GB"/>
        </w:rPr>
      </w:pPr>
      <w:r>
        <w:rPr>
          <w:rStyle w:val="FootnoteReference"/>
        </w:rPr>
        <w:footnoteRef/>
      </w:r>
      <w:r>
        <w:t xml:space="preserve"> </w:t>
      </w:r>
      <w:r w:rsidR="00382A45">
        <w:t xml:space="preserve">Ibid </w:t>
      </w:r>
      <w:r>
        <w:t>paras 235-236.</w:t>
      </w:r>
    </w:p>
  </w:footnote>
  <w:footnote w:id="24">
    <w:p w14:paraId="5819F800" w14:textId="77777777" w:rsidR="008D58A2" w:rsidRPr="00003014" w:rsidRDefault="008D58A2" w:rsidP="00124230">
      <w:pPr>
        <w:pStyle w:val="FootnoteText"/>
        <w:jc w:val="both"/>
      </w:pPr>
      <w:r>
        <w:rPr>
          <w:rStyle w:val="FootnoteReference"/>
        </w:rPr>
        <w:footnoteRef/>
      </w:r>
      <w:r>
        <w:t xml:space="preserve"> </w:t>
      </w:r>
      <w:r w:rsidRPr="00407A22">
        <w:rPr>
          <w:i/>
        </w:rPr>
        <w:t>Goldfields Investment Ltd and another v City Council of Johannesburg and another</w:t>
      </w:r>
      <w:r w:rsidRPr="00407A22">
        <w:t xml:space="preserve"> </w:t>
      </w:r>
      <w:r>
        <w:t>1938 TPD 551 at 560.</w:t>
      </w:r>
    </w:p>
  </w:footnote>
  <w:footnote w:id="25">
    <w:p w14:paraId="774BEB2B" w14:textId="77777777" w:rsidR="008D58A2" w:rsidRDefault="008D58A2" w:rsidP="00124230">
      <w:pPr>
        <w:pStyle w:val="FootnoteText"/>
        <w:jc w:val="both"/>
      </w:pPr>
      <w:r>
        <w:rPr>
          <w:rStyle w:val="FootnoteReference"/>
        </w:rPr>
        <w:footnoteRef/>
      </w:r>
      <w:r>
        <w:t xml:space="preserve"> In relation to the term ‘gross irregularity our Courts have adopted the line of cases dealing with reviews from lower courts. The analogy is therefore a valid one. </w:t>
      </w:r>
    </w:p>
  </w:footnote>
  <w:footnote w:id="26">
    <w:p w14:paraId="3689C24A" w14:textId="4D881E5E" w:rsidR="008D58A2" w:rsidRDefault="008D58A2" w:rsidP="00124230">
      <w:pPr>
        <w:pStyle w:val="FootnoteText"/>
        <w:jc w:val="both"/>
      </w:pPr>
      <w:r>
        <w:rPr>
          <w:rStyle w:val="FootnoteReference"/>
        </w:rPr>
        <w:footnoteRef/>
      </w:r>
      <w:r>
        <w:t xml:space="preserve"> </w:t>
      </w:r>
      <w:r>
        <w:rPr>
          <w:i/>
          <w:iCs/>
        </w:rPr>
        <w:t>Goldfields Investments</w:t>
      </w:r>
      <w:r>
        <w:t xml:space="preserve">; </w:t>
      </w:r>
      <w:r w:rsidRPr="00FA2A34">
        <w:rPr>
          <w:i/>
          <w:iCs/>
        </w:rPr>
        <w:t xml:space="preserve">Telcordia </w:t>
      </w:r>
      <w:r>
        <w:t xml:space="preserve">para 73. </w:t>
      </w:r>
    </w:p>
  </w:footnote>
  <w:footnote w:id="27">
    <w:p w14:paraId="5DEF597D" w14:textId="77777777" w:rsidR="008D58A2" w:rsidRPr="00CA2543" w:rsidRDefault="008D58A2" w:rsidP="00124230">
      <w:pPr>
        <w:pStyle w:val="FootnoteText"/>
        <w:jc w:val="both"/>
      </w:pPr>
      <w:r>
        <w:rPr>
          <w:rStyle w:val="FootnoteReference"/>
        </w:rPr>
        <w:footnoteRef/>
      </w:r>
      <w:r w:rsidRPr="00CA2543">
        <w:t xml:space="preserve"> </w:t>
      </w:r>
      <w:r w:rsidRPr="00CA2543">
        <w:rPr>
          <w:i/>
          <w:iCs/>
        </w:rPr>
        <w:t>Ellis v Morgan: Ellis v Desai</w:t>
      </w:r>
      <w:r w:rsidRPr="00CA2543">
        <w:t xml:space="preserve"> 1909 TSS 576 at 581.</w:t>
      </w:r>
    </w:p>
  </w:footnote>
  <w:footnote w:id="28">
    <w:p w14:paraId="4248EAA0" w14:textId="7CDB8055" w:rsidR="008D58A2" w:rsidRPr="00E221FC" w:rsidRDefault="008D58A2" w:rsidP="00124230">
      <w:pPr>
        <w:pStyle w:val="FootnoteText"/>
        <w:jc w:val="both"/>
      </w:pPr>
      <w:r>
        <w:rPr>
          <w:rStyle w:val="FootnoteReference"/>
        </w:rPr>
        <w:footnoteRef/>
      </w:r>
      <w:r w:rsidRPr="00E221FC">
        <w:t xml:space="preserve"> </w:t>
      </w:r>
      <w:r w:rsidRPr="0027319C">
        <w:rPr>
          <w:i/>
        </w:rPr>
        <w:t>Palabora Copper (Pty) Ltd v Motlokwa Transport &amp; Construction (Pty)</w:t>
      </w:r>
      <w:r w:rsidRPr="0027319C">
        <w:t xml:space="preserve"> Ltd</w:t>
      </w:r>
      <w:r>
        <w:t xml:space="preserve"> </w:t>
      </w:r>
      <w:r w:rsidR="007A1CD8">
        <w:t xml:space="preserve">[2018] ZASCA 23; </w:t>
      </w:r>
      <w:r w:rsidRPr="0027319C">
        <w:t>2018 (5) SA 462 (SCA)</w:t>
      </w:r>
      <w:r>
        <w:t xml:space="preserve"> para 8.</w:t>
      </w:r>
    </w:p>
  </w:footnote>
  <w:footnote w:id="29">
    <w:p w14:paraId="025DCA48" w14:textId="31656922" w:rsidR="008D58A2" w:rsidRDefault="008D58A2" w:rsidP="00124230">
      <w:pPr>
        <w:pStyle w:val="FootnoteText"/>
        <w:jc w:val="both"/>
      </w:pPr>
      <w:r>
        <w:rPr>
          <w:rStyle w:val="FootnoteReference"/>
        </w:rPr>
        <w:footnoteRef/>
      </w:r>
      <w:r>
        <w:t xml:space="preserve"> </w:t>
      </w:r>
      <w:r w:rsidRPr="00FA2A34">
        <w:rPr>
          <w:i/>
          <w:iCs/>
        </w:rPr>
        <w:t xml:space="preserve">Telcordia </w:t>
      </w:r>
      <w:r w:rsidR="007A1CD8">
        <w:t xml:space="preserve">fn 4 </w:t>
      </w:r>
      <w:r>
        <w:t>para 52.</w:t>
      </w:r>
    </w:p>
  </w:footnote>
  <w:footnote w:id="30">
    <w:p w14:paraId="6325CA93" w14:textId="77777777" w:rsidR="008D58A2" w:rsidRPr="00F84C77" w:rsidRDefault="008D58A2" w:rsidP="00124230">
      <w:pPr>
        <w:pStyle w:val="FootnoteText"/>
        <w:jc w:val="both"/>
      </w:pPr>
      <w:r>
        <w:rPr>
          <w:rStyle w:val="FootnoteReference"/>
        </w:rPr>
        <w:footnoteRef/>
      </w:r>
      <w:r w:rsidRPr="00D56AB7">
        <w:t xml:space="preserve"> </w:t>
      </w:r>
      <w:r w:rsidRPr="00A04764">
        <w:rPr>
          <w:i/>
          <w:iCs/>
        </w:rPr>
        <w:t>Adamstein v Adamstein</w:t>
      </w:r>
      <w:r>
        <w:t xml:space="preserve"> 1930 CPD 165;</w:t>
      </w:r>
      <w:r w:rsidRPr="00D56AB7">
        <w:t xml:space="preserve"> </w:t>
      </w:r>
      <w:r w:rsidRPr="00A04764">
        <w:rPr>
          <w:i/>
          <w:iCs/>
        </w:rPr>
        <w:t xml:space="preserve">Allied Mineral Development Corporation (Pty) Ltd v Gemsbok Vlei Kwartsiet (Edms) Bpk </w:t>
      </w:r>
      <w:r w:rsidRPr="00A04764">
        <w:rPr>
          <w:iCs/>
        </w:rPr>
        <w:t>1968 (1) SA 7 (C)</w:t>
      </w:r>
      <w:r>
        <w:t xml:space="preserve"> at 12A.</w:t>
      </w:r>
    </w:p>
  </w:footnote>
  <w:footnote w:id="31">
    <w:p w14:paraId="3BD95FDE" w14:textId="77777777" w:rsidR="008D58A2" w:rsidRPr="004A647A" w:rsidRDefault="008D58A2" w:rsidP="00124230">
      <w:pPr>
        <w:pStyle w:val="FootnoteText"/>
        <w:jc w:val="both"/>
      </w:pPr>
      <w:r>
        <w:rPr>
          <w:rStyle w:val="FootnoteReference"/>
        </w:rPr>
        <w:footnoteRef/>
      </w:r>
      <w:r>
        <w:t xml:space="preserve"> </w:t>
      </w:r>
      <w:r w:rsidRPr="00FA2A34">
        <w:rPr>
          <w:i/>
          <w:iCs/>
        </w:rPr>
        <w:t>Telcordia Technologies Inc v Telkom SA Ltd</w:t>
      </w:r>
      <w:r>
        <w:t xml:space="preserve"> 2007 (3) SA 266 (SCA) para 86.</w:t>
      </w:r>
    </w:p>
  </w:footnote>
  <w:footnote w:id="32">
    <w:p w14:paraId="1D3F98CC" w14:textId="77777777" w:rsidR="008D58A2" w:rsidRDefault="008D58A2" w:rsidP="00124230">
      <w:pPr>
        <w:pStyle w:val="FootnoteText"/>
        <w:jc w:val="both"/>
      </w:pPr>
      <w:r>
        <w:rPr>
          <w:rStyle w:val="FootnoteReference"/>
        </w:rPr>
        <w:footnoteRef/>
      </w:r>
      <w:r>
        <w:t xml:space="preserve"> </w:t>
      </w:r>
      <w:r w:rsidRPr="00A04764">
        <w:rPr>
          <w:i/>
          <w:iCs/>
        </w:rPr>
        <w:t>Dexgroup (Pty) Ltd v Trustco Group International (Pty) Ltd and others</w:t>
      </w:r>
      <w:r>
        <w:t xml:space="preserve"> 2013 (6) SA 520 (SCA) paras 19-20.</w:t>
      </w:r>
    </w:p>
  </w:footnote>
  <w:footnote w:id="33">
    <w:p w14:paraId="2BD59916" w14:textId="77777777" w:rsidR="008D58A2" w:rsidRDefault="008D58A2" w:rsidP="00124230">
      <w:pPr>
        <w:pStyle w:val="FootnoteText"/>
        <w:jc w:val="both"/>
      </w:pPr>
      <w:r>
        <w:rPr>
          <w:rStyle w:val="FootnoteReference"/>
        </w:rPr>
        <w:footnoteRef/>
      </w:r>
      <w:r>
        <w:t xml:space="preserve"> To similar effect is the statement by </w:t>
      </w:r>
      <w:r w:rsidR="007608C9" w:rsidRPr="007608C9">
        <w:t>R Clay and N Dennys </w:t>
      </w:r>
      <w:r w:rsidR="007608C9" w:rsidRPr="007608C9">
        <w:rPr>
          <w:i/>
          <w:iCs/>
        </w:rPr>
        <w:t>Hudson's Building and Engineering Contracts </w:t>
      </w:r>
      <w:r w:rsidR="007608C9" w:rsidRPr="007608C9">
        <w:t>14 ed (2021) at 11-010</w:t>
      </w:r>
      <w:r>
        <w:t xml:space="preserve"> endorsed by this Court in </w:t>
      </w:r>
      <w:r w:rsidR="007608C9" w:rsidRPr="007608C9">
        <w:rPr>
          <w:i/>
          <w:iCs/>
        </w:rPr>
        <w:t xml:space="preserve">Framatome v Eskom Holdings SOC Ltd </w:t>
      </w:r>
      <w:r w:rsidR="007608C9" w:rsidRPr="007608C9">
        <w:rPr>
          <w:iCs/>
        </w:rPr>
        <w:t>[2021] ZASCA 132; 2022 (2) SA 395 (SCA)</w:t>
      </w:r>
      <w:r w:rsidRPr="007608C9">
        <w:t xml:space="preserve"> </w:t>
      </w:r>
      <w:r>
        <w:t>para 30, that:</w:t>
      </w:r>
    </w:p>
    <w:p w14:paraId="3C5EA5B4" w14:textId="77777777" w:rsidR="008D58A2" w:rsidRPr="00627CEC" w:rsidRDefault="007608C9" w:rsidP="00124230">
      <w:pPr>
        <w:pStyle w:val="FootnoteText"/>
        <w:jc w:val="both"/>
      </w:pPr>
      <w:r w:rsidRPr="007608C9">
        <w:t>‘It should only be in rare circumstances that the courts will interfere with the decision of an Adjudicator, and the courts should give no encouragement to an approach which might aptly be described as “simply scrabbling around to find some argument, however tenuous, to resist payment”.’</w:t>
      </w:r>
    </w:p>
  </w:footnote>
  <w:footnote w:id="34">
    <w:p w14:paraId="1607B386" w14:textId="593957FD" w:rsidR="008D58A2" w:rsidRDefault="008D58A2" w:rsidP="00124230">
      <w:pPr>
        <w:pStyle w:val="FootnoteText"/>
        <w:jc w:val="both"/>
      </w:pPr>
      <w:r>
        <w:rPr>
          <w:rStyle w:val="FootnoteReference"/>
        </w:rPr>
        <w:footnoteRef/>
      </w:r>
      <w:r>
        <w:t xml:space="preserve"> </w:t>
      </w:r>
      <w:r w:rsidR="00766ADA" w:rsidRPr="00F77830">
        <w:rPr>
          <w:i/>
          <w:iCs/>
        </w:rPr>
        <w:t xml:space="preserve">Hos+Med Medical Aid Scheme v Thebe Ya Bophelo Healthcare Marketing &amp;Consulting (Pty) Ltd and others </w:t>
      </w:r>
      <w:r w:rsidR="00766ADA" w:rsidRPr="00F77830">
        <w:t>2008 (2) SA 608 (SCA)</w:t>
      </w:r>
      <w:r w:rsidR="00766ADA">
        <w:t xml:space="preserve"> </w:t>
      </w:r>
      <w:r>
        <w:t xml:space="preserve">para 30-32; </w:t>
      </w:r>
      <w:r w:rsidR="00766ADA" w:rsidRPr="00766ADA">
        <w:rPr>
          <w:i/>
          <w:iCs/>
        </w:rPr>
        <w:t xml:space="preserve">Gutsche Family Investments (Pty) Ltd and </w:t>
      </w:r>
      <w:r w:rsidR="00766ADA">
        <w:rPr>
          <w:i/>
          <w:iCs/>
        </w:rPr>
        <w:t>o</w:t>
      </w:r>
      <w:r w:rsidR="00766ADA" w:rsidRPr="00766ADA">
        <w:rPr>
          <w:i/>
          <w:iCs/>
        </w:rPr>
        <w:t xml:space="preserve">thers v Mettle Equity Group (Pty) Ltd and </w:t>
      </w:r>
      <w:r w:rsidR="00D75EA7">
        <w:rPr>
          <w:i/>
          <w:iCs/>
        </w:rPr>
        <w:t>O</w:t>
      </w:r>
      <w:r w:rsidR="00766ADA" w:rsidRPr="00766ADA">
        <w:rPr>
          <w:i/>
          <w:iCs/>
        </w:rPr>
        <w:t xml:space="preserve">thers </w:t>
      </w:r>
      <w:r w:rsidR="00766ADA" w:rsidRPr="00766ADA">
        <w:rPr>
          <w:iCs/>
        </w:rPr>
        <w:t>[2012] ZASCA 4</w:t>
      </w:r>
      <w:r w:rsidRPr="00766ADA">
        <w:t xml:space="preserve"> </w:t>
      </w:r>
      <w:r>
        <w:t xml:space="preserve">para 18; Brand </w:t>
      </w:r>
      <w:r w:rsidR="007C3766">
        <w:t>op cit</w:t>
      </w:r>
      <w:r>
        <w:t xml:space="preserve"> at 255.</w:t>
      </w:r>
    </w:p>
  </w:footnote>
  <w:footnote w:id="35">
    <w:p w14:paraId="407ED9F2" w14:textId="77777777" w:rsidR="008D58A2" w:rsidRDefault="008D58A2" w:rsidP="00124230">
      <w:pPr>
        <w:pStyle w:val="FootnoteText"/>
        <w:jc w:val="both"/>
      </w:pPr>
      <w:r>
        <w:rPr>
          <w:rStyle w:val="FootnoteReference"/>
        </w:rPr>
        <w:footnoteRef/>
      </w:r>
      <w:r>
        <w:t xml:space="preserve"> </w:t>
      </w:r>
      <w:r w:rsidRPr="00736BA4">
        <w:t>A referral might be one of the disputes as formulated in extant pleadings, or the referral might be of disputes arising from an agreement, as in this appeal, in which instance the pleadings only serve to identify the contentions of the parties regard</w:t>
      </w:r>
      <w:r>
        <w:t>ing</w:t>
      </w:r>
      <w:r w:rsidRPr="00736BA4">
        <w:t xml:space="preserve"> the various issues referred to arbitration. </w:t>
      </w:r>
      <w:r>
        <w:t xml:space="preserve">The </w:t>
      </w:r>
      <w:r w:rsidRPr="00736BA4">
        <w:t xml:space="preserve">ambit of the arbitration is </w:t>
      </w:r>
      <w:r>
        <w:t xml:space="preserve">then </w:t>
      </w:r>
      <w:r w:rsidRPr="00736BA4">
        <w:t>not restricted to the pleadings</w:t>
      </w:r>
      <w:r>
        <w:t xml:space="preserve"> - cf</w:t>
      </w:r>
      <w:r w:rsidRPr="00736BA4">
        <w:t xml:space="preserve"> </w:t>
      </w:r>
      <w:r w:rsidR="00766ADA" w:rsidRPr="00F77830">
        <w:rPr>
          <w:i/>
          <w:iCs/>
        </w:rPr>
        <w:t xml:space="preserve">Hos+Med Medical Aid Scheme v Thebe Ya Bophelo Healthcare Marketing &amp;Consulting (Pty) Ltd and others </w:t>
      </w:r>
      <w:r w:rsidR="00766ADA" w:rsidRPr="00F77830">
        <w:t>2008 (2) SA 608 (SCA)</w:t>
      </w:r>
      <w:r w:rsidR="00766ADA">
        <w:t xml:space="preserve"> </w:t>
      </w:r>
      <w:r>
        <w:t>para 31.</w:t>
      </w:r>
    </w:p>
  </w:footnote>
  <w:footnote w:id="36">
    <w:p w14:paraId="5D7BF094" w14:textId="77777777" w:rsidR="008D58A2" w:rsidRDefault="008D58A2" w:rsidP="00124230">
      <w:pPr>
        <w:pStyle w:val="FootnoteText"/>
        <w:jc w:val="both"/>
      </w:pPr>
      <w:r>
        <w:rPr>
          <w:rStyle w:val="FootnoteReference"/>
        </w:rPr>
        <w:footnoteRef/>
      </w:r>
      <w:r>
        <w:t xml:space="preserve"> Brand </w:t>
      </w:r>
      <w:r w:rsidRPr="007C3766">
        <w:rPr>
          <w:iCs/>
        </w:rPr>
        <w:t>op cit</w:t>
      </w:r>
      <w:r>
        <w:t xml:space="preserve"> </w:t>
      </w:r>
      <w:r w:rsidR="007C3766">
        <w:t>at</w:t>
      </w:r>
      <w:r>
        <w:t xml:space="preserve"> 255.</w:t>
      </w:r>
    </w:p>
  </w:footnote>
  <w:footnote w:id="37">
    <w:p w14:paraId="76C94B88" w14:textId="77777777" w:rsidR="008D58A2" w:rsidRPr="006762DA" w:rsidRDefault="008D58A2" w:rsidP="008066E5">
      <w:pPr>
        <w:pStyle w:val="FootnoteText"/>
        <w:jc w:val="both"/>
      </w:pPr>
      <w:r>
        <w:rPr>
          <w:rStyle w:val="FootnoteReference"/>
        </w:rPr>
        <w:footnoteRef/>
      </w:r>
      <w:r>
        <w:t xml:space="preserve"> The Arbitration Foundation of South Africa (AFSA). </w:t>
      </w:r>
      <w:r w:rsidRPr="006762DA">
        <w:t xml:space="preserve">It was recorded at the pre-arbitration meeting on 22 June 2018 that the arbitration agreement did not provide for an appeal process and that the AFSA </w:t>
      </w:r>
      <w:r>
        <w:t xml:space="preserve">(commercial) </w:t>
      </w:r>
      <w:r w:rsidRPr="006762DA">
        <w:t xml:space="preserve">rules would apply to the arbitration. </w:t>
      </w:r>
    </w:p>
    <w:p w14:paraId="2363A495" w14:textId="77777777" w:rsidR="008D58A2" w:rsidRDefault="008D58A2" w:rsidP="00124230">
      <w:pPr>
        <w:pStyle w:val="FootnoteText"/>
        <w:jc w:val="both"/>
      </w:pPr>
    </w:p>
  </w:footnote>
  <w:footnote w:id="38">
    <w:p w14:paraId="40ADAB7D" w14:textId="6A849624" w:rsidR="008D58A2" w:rsidRDefault="008D58A2" w:rsidP="00124230">
      <w:pPr>
        <w:pStyle w:val="FootnoteText"/>
        <w:jc w:val="both"/>
      </w:pPr>
      <w:r>
        <w:rPr>
          <w:rStyle w:val="FootnoteReference"/>
        </w:rPr>
        <w:footnoteRef/>
      </w:r>
      <w:r>
        <w:t xml:space="preserve"> </w:t>
      </w:r>
      <w:r w:rsidR="001D7973" w:rsidRPr="001D7973">
        <w:rPr>
          <w:i/>
          <w:iCs/>
        </w:rPr>
        <w:t xml:space="preserve">Natal Joint Municipal Pension Fund v Endumeni Municipality </w:t>
      </w:r>
      <w:r w:rsidR="00363B2B" w:rsidRPr="00900D1A">
        <w:rPr>
          <w:iCs/>
        </w:rPr>
        <w:t>[2012] ZASCA 13;</w:t>
      </w:r>
      <w:r w:rsidR="00363B2B">
        <w:rPr>
          <w:i/>
          <w:iCs/>
        </w:rPr>
        <w:t xml:space="preserve"> </w:t>
      </w:r>
      <w:r w:rsidR="001D7973" w:rsidRPr="001D7973">
        <w:rPr>
          <w:iCs/>
        </w:rPr>
        <w:t>2012 (4) SA 593 (SCA)</w:t>
      </w:r>
      <w:r w:rsidR="001D7973">
        <w:t xml:space="preserve"> para 18</w:t>
      </w:r>
      <w:r>
        <w:t>.</w:t>
      </w:r>
    </w:p>
  </w:footnote>
  <w:footnote w:id="39">
    <w:p w14:paraId="6198BF90" w14:textId="61B8D838" w:rsidR="008D58A2" w:rsidRDefault="008D58A2" w:rsidP="00124230">
      <w:pPr>
        <w:pStyle w:val="FootnoteText"/>
        <w:jc w:val="both"/>
      </w:pPr>
      <w:r>
        <w:rPr>
          <w:rStyle w:val="FootnoteReference"/>
        </w:rPr>
        <w:footnoteRef/>
      </w:r>
      <w:r>
        <w:t xml:space="preserve"> </w:t>
      </w:r>
      <w:r w:rsidRPr="00FA2A34">
        <w:rPr>
          <w:i/>
          <w:iCs/>
        </w:rPr>
        <w:t xml:space="preserve">Telcordia </w:t>
      </w:r>
      <w:r w:rsidR="00EB5CCE">
        <w:t xml:space="preserve">fn 4 </w:t>
      </w:r>
      <w:r>
        <w:t>para 86</w:t>
      </w:r>
      <w:r w:rsidRPr="0079051C">
        <w:t xml:space="preserve">; </w:t>
      </w:r>
      <w:r w:rsidRPr="0079051C">
        <w:rPr>
          <w:i/>
          <w:iCs/>
        </w:rPr>
        <w:t>Palabora</w:t>
      </w:r>
      <w:r w:rsidRPr="000F17AA">
        <w:rPr>
          <w:i/>
          <w:iCs/>
        </w:rPr>
        <w:t xml:space="preserve"> </w:t>
      </w:r>
      <w:r w:rsidR="00EB5CCE" w:rsidRPr="00900D1A">
        <w:rPr>
          <w:iCs/>
        </w:rPr>
        <w:t>fn 29</w:t>
      </w:r>
      <w:r w:rsidR="00EB5CCE">
        <w:rPr>
          <w:i/>
          <w:iCs/>
        </w:rPr>
        <w:t xml:space="preserve"> </w:t>
      </w:r>
      <w:r>
        <w:t>para 8.</w:t>
      </w:r>
    </w:p>
  </w:footnote>
  <w:footnote w:id="40">
    <w:p w14:paraId="3BF9D965" w14:textId="77777777" w:rsidR="008D58A2" w:rsidRPr="008242CA" w:rsidRDefault="008D58A2" w:rsidP="00124230">
      <w:pPr>
        <w:pStyle w:val="ListParagraph"/>
        <w:ind w:left="0"/>
        <w:jc w:val="both"/>
        <w:rPr>
          <w:sz w:val="20"/>
          <w:szCs w:val="20"/>
        </w:rPr>
      </w:pPr>
      <w:r w:rsidRPr="00D47521">
        <w:rPr>
          <w:rStyle w:val="FootnoteReference"/>
          <w:sz w:val="20"/>
          <w:szCs w:val="20"/>
        </w:rPr>
        <w:footnoteRef/>
      </w:r>
      <w:r w:rsidRPr="00D47521">
        <w:rPr>
          <w:sz w:val="20"/>
          <w:szCs w:val="20"/>
        </w:rPr>
        <w:t xml:space="preserve"> The discrepancy between the value of R6 197 211.14 and the value in the 28 February 2017 financials of R2 239 002.00</w:t>
      </w:r>
      <w:r>
        <w:rPr>
          <w:sz w:val="20"/>
          <w:szCs w:val="20"/>
        </w:rPr>
        <w:t>,</w:t>
      </w:r>
      <w:r w:rsidRPr="00D47521">
        <w:rPr>
          <w:sz w:val="20"/>
          <w:szCs w:val="20"/>
        </w:rPr>
        <w:t xml:space="preserve"> based on the different methods of valuation</w:t>
      </w:r>
      <w:r>
        <w:rPr>
          <w:sz w:val="20"/>
          <w:szCs w:val="20"/>
        </w:rPr>
        <w:t>,</w:t>
      </w:r>
      <w:r w:rsidRPr="00D47521">
        <w:rPr>
          <w:sz w:val="20"/>
          <w:szCs w:val="20"/>
        </w:rPr>
        <w:t xml:space="preserve"> was explained in the evidence of Mr Waldemar Wasowicz, who performed accounting services for SDK when it was a close corporation</w:t>
      </w:r>
      <w:r>
        <w:rPr>
          <w:sz w:val="20"/>
          <w:szCs w:val="20"/>
        </w:rPr>
        <w:t>,</w:t>
      </w:r>
      <w:r w:rsidRPr="00D47521">
        <w:rPr>
          <w:sz w:val="20"/>
          <w:szCs w:val="20"/>
        </w:rPr>
        <w:t xml:space="preserve"> and who </w:t>
      </w:r>
      <w:r>
        <w:rPr>
          <w:sz w:val="20"/>
          <w:szCs w:val="20"/>
        </w:rPr>
        <w:t xml:space="preserve">thereafter became the </w:t>
      </w:r>
      <w:r w:rsidRPr="00D47521">
        <w:rPr>
          <w:sz w:val="20"/>
          <w:szCs w:val="20"/>
        </w:rPr>
        <w:t xml:space="preserve">auditor of SDK. </w:t>
      </w:r>
    </w:p>
  </w:footnote>
  <w:footnote w:id="41">
    <w:p w14:paraId="7B15C89C" w14:textId="77777777" w:rsidR="008D58A2" w:rsidRDefault="008D58A2" w:rsidP="00124230">
      <w:pPr>
        <w:pStyle w:val="FootnoteText"/>
        <w:jc w:val="both"/>
      </w:pPr>
      <w:r>
        <w:rPr>
          <w:rStyle w:val="FootnoteReference"/>
        </w:rPr>
        <w:footnoteRef/>
      </w:r>
      <w:r>
        <w:t xml:space="preserve"> In the evidence the amount of R2 239 002.00 in the financial statements was generally referred to as ‘the amount of R2.2 million’ or ‘2.2.’ </w:t>
      </w:r>
    </w:p>
  </w:footnote>
  <w:footnote w:id="42">
    <w:p w14:paraId="0DBE0F79" w14:textId="77777777" w:rsidR="008D58A2" w:rsidRPr="00DC360B" w:rsidRDefault="008D58A2" w:rsidP="00124230">
      <w:pPr>
        <w:jc w:val="both"/>
        <w:rPr>
          <w:sz w:val="20"/>
          <w:szCs w:val="20"/>
        </w:rPr>
      </w:pPr>
      <w:r w:rsidRPr="009F16A8">
        <w:rPr>
          <w:rStyle w:val="FootnoteReference"/>
          <w:sz w:val="20"/>
          <w:szCs w:val="20"/>
        </w:rPr>
        <w:footnoteRef/>
      </w:r>
      <w:r w:rsidRPr="009F16A8">
        <w:rPr>
          <w:sz w:val="20"/>
          <w:szCs w:val="20"/>
        </w:rPr>
        <w:t xml:space="preserve"> The buyers complained that any ‘additional stock’, that is in excess of R2 239 002.00, was missing. No attempt was however made to identify this ‘additional stock’ on the stock sheets completed when the stock take was done by SDK which was missing, although such knowledge would be peculiarly within the knowledge of the buyers.</w:t>
      </w:r>
    </w:p>
  </w:footnote>
  <w:footnote w:id="43">
    <w:p w14:paraId="4F643FBE" w14:textId="77777777" w:rsidR="008D58A2" w:rsidRDefault="008D58A2" w:rsidP="00124230">
      <w:pPr>
        <w:pStyle w:val="FootnoteText"/>
        <w:jc w:val="both"/>
      </w:pPr>
      <w:r>
        <w:rPr>
          <w:rStyle w:val="FootnoteReference"/>
        </w:rPr>
        <w:footnoteRef/>
      </w:r>
      <w:r>
        <w:t xml:space="preserve"> As stated in the buyers’ heads in the arbitration, the approximate R2 200 000 figure was reconstructed. Mrs Mpande testified that there had been a stock take carried out in February 2018, which was reconciled back to the year’s purchases, and looking at purchases in previous years, which would have appeared on the stock sheets on 28 February 2017, tied back to the R2.2 million figure that appeared on the financial statements.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2843E" w14:textId="77777777" w:rsidR="008D58A2" w:rsidRDefault="008D58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F80E40" w14:textId="77777777" w:rsidR="008D58A2" w:rsidRDefault="008D58A2">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D7FA7" w14:textId="2A8ADF25" w:rsidR="008D58A2" w:rsidRPr="00AC7DA3" w:rsidRDefault="008D58A2">
    <w:pPr>
      <w:pStyle w:val="Header"/>
      <w:framePr w:wrap="around" w:vAnchor="text" w:hAnchor="margin" w:xAlign="right" w:y="1"/>
      <w:rPr>
        <w:rStyle w:val="PageNumber"/>
        <w:rFonts w:cs="Arial"/>
        <w:sz w:val="22"/>
      </w:rPr>
    </w:pPr>
    <w:r w:rsidRPr="00AC7DA3">
      <w:rPr>
        <w:rStyle w:val="PageNumber"/>
        <w:rFonts w:cs="Arial"/>
        <w:sz w:val="22"/>
      </w:rPr>
      <w:fldChar w:fldCharType="begin"/>
    </w:r>
    <w:r w:rsidRPr="00AC7DA3">
      <w:rPr>
        <w:rStyle w:val="PageNumber"/>
        <w:rFonts w:cs="Arial"/>
        <w:sz w:val="22"/>
      </w:rPr>
      <w:instrText xml:space="preserve">PAGE  </w:instrText>
    </w:r>
    <w:r w:rsidRPr="00AC7DA3">
      <w:rPr>
        <w:rStyle w:val="PageNumber"/>
        <w:rFonts w:cs="Arial"/>
        <w:sz w:val="22"/>
      </w:rPr>
      <w:fldChar w:fldCharType="separate"/>
    </w:r>
    <w:r w:rsidR="00FD341B">
      <w:rPr>
        <w:rStyle w:val="PageNumber"/>
        <w:rFonts w:cs="Arial"/>
        <w:noProof/>
        <w:sz w:val="22"/>
      </w:rPr>
      <w:t>10</w:t>
    </w:r>
    <w:r w:rsidRPr="00AC7DA3">
      <w:rPr>
        <w:rStyle w:val="PageNumber"/>
        <w:rFonts w:cs="Arial"/>
        <w:sz w:val="22"/>
      </w:rPr>
      <w:fldChar w:fldCharType="end"/>
    </w:r>
  </w:p>
  <w:p w14:paraId="3877120B" w14:textId="77777777" w:rsidR="008D58A2" w:rsidRDefault="008D58A2">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1A5"/>
    <w:multiLevelType w:val="hybridMultilevel"/>
    <w:tmpl w:val="DF3472CA"/>
    <w:lvl w:ilvl="0" w:tplc="DA9AC39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9C02D10"/>
    <w:multiLevelType w:val="hybridMultilevel"/>
    <w:tmpl w:val="4D8C65B0"/>
    <w:lvl w:ilvl="0" w:tplc="E02C8B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9FE7929"/>
    <w:multiLevelType w:val="hybridMultilevel"/>
    <w:tmpl w:val="7C80A148"/>
    <w:lvl w:ilvl="0" w:tplc="A5CCF2C8">
      <w:start w:val="1"/>
      <w:numFmt w:val="decimal"/>
      <w:lvlText w:val="[%1]"/>
      <w:lvlJc w:val="left"/>
      <w:pPr>
        <w:ind w:left="0" w:firstLine="0"/>
      </w:pPr>
      <w:rPr>
        <w:rFonts w:ascii="Arial" w:hAnsi="Arial" w:cs="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7057E"/>
    <w:multiLevelType w:val="hybridMultilevel"/>
    <w:tmpl w:val="F7006724"/>
    <w:lvl w:ilvl="0" w:tplc="5FCA3A6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5F51707"/>
    <w:multiLevelType w:val="hybridMultilevel"/>
    <w:tmpl w:val="7ECCBF16"/>
    <w:lvl w:ilvl="0" w:tplc="3A6222D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82733D1"/>
    <w:multiLevelType w:val="hybridMultilevel"/>
    <w:tmpl w:val="992E19E2"/>
    <w:lvl w:ilvl="0" w:tplc="85C8A83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89B3334"/>
    <w:multiLevelType w:val="multilevel"/>
    <w:tmpl w:val="7C80A148"/>
    <w:styleLink w:val="CurrentList1"/>
    <w:lvl w:ilvl="0">
      <w:start w:val="1"/>
      <w:numFmt w:val="decimal"/>
      <w:lvlText w:val="[%1]"/>
      <w:lvlJc w:val="left"/>
      <w:pPr>
        <w:ind w:left="0" w:firstLine="0"/>
      </w:pPr>
      <w:rPr>
        <w:rFonts w:ascii="Arial" w:hAnsi="Arial" w:cs="Arial" w:hint="default"/>
        <w:b w:val="0"/>
        <w:bCs w:val="0"/>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5A639D"/>
    <w:multiLevelType w:val="hybridMultilevel"/>
    <w:tmpl w:val="6E0053DC"/>
    <w:lvl w:ilvl="0" w:tplc="8EF2491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CE10D35"/>
    <w:multiLevelType w:val="hybridMultilevel"/>
    <w:tmpl w:val="6704A1BE"/>
    <w:lvl w:ilvl="0" w:tplc="0F2C92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D6970C4"/>
    <w:multiLevelType w:val="hybridMultilevel"/>
    <w:tmpl w:val="3A9CE78E"/>
    <w:lvl w:ilvl="0" w:tplc="D0D037B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F467EA4"/>
    <w:multiLevelType w:val="hybridMultilevel"/>
    <w:tmpl w:val="79E0028C"/>
    <w:lvl w:ilvl="0" w:tplc="B50E8F14">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0324BF5"/>
    <w:multiLevelType w:val="hybridMultilevel"/>
    <w:tmpl w:val="9D8447D6"/>
    <w:lvl w:ilvl="0" w:tplc="520CF1E2">
      <w:start w:val="1"/>
      <w:numFmt w:val="lowerLetter"/>
      <w:lvlText w:val="(%1)"/>
      <w:lvlJc w:val="left"/>
      <w:pPr>
        <w:ind w:left="720" w:hanging="360"/>
      </w:pPr>
      <w:rPr>
        <w:rFonts w:hint="default"/>
        <w:i/>
        <w:i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5F43328"/>
    <w:multiLevelType w:val="multilevel"/>
    <w:tmpl w:val="6658D9E4"/>
    <w:lvl w:ilvl="0">
      <w:start w:val="27"/>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C7035D"/>
    <w:multiLevelType w:val="hybridMultilevel"/>
    <w:tmpl w:val="8B465C9A"/>
    <w:lvl w:ilvl="0" w:tplc="DB280A14">
      <w:start w:val="1"/>
      <w:numFmt w:val="lowerLetter"/>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10C532E"/>
    <w:multiLevelType w:val="hybridMultilevel"/>
    <w:tmpl w:val="8672642E"/>
    <w:lvl w:ilvl="0" w:tplc="0824CA4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3515BE2"/>
    <w:multiLevelType w:val="hybridMultilevel"/>
    <w:tmpl w:val="B43C08A8"/>
    <w:lvl w:ilvl="0" w:tplc="CCA0C1C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61D4319"/>
    <w:multiLevelType w:val="hybridMultilevel"/>
    <w:tmpl w:val="08F6039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63E1A8C"/>
    <w:multiLevelType w:val="hybridMultilevel"/>
    <w:tmpl w:val="EB2A506C"/>
    <w:lvl w:ilvl="0" w:tplc="56C647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BB55CED"/>
    <w:multiLevelType w:val="hybridMultilevel"/>
    <w:tmpl w:val="FF400510"/>
    <w:lvl w:ilvl="0" w:tplc="3DF2DB06">
      <w:start w:val="9"/>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3D9E127A"/>
    <w:multiLevelType w:val="hybridMultilevel"/>
    <w:tmpl w:val="C180FED4"/>
    <w:lvl w:ilvl="0" w:tplc="89C49C90">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B0048F"/>
    <w:multiLevelType w:val="hybridMultilevel"/>
    <w:tmpl w:val="0E704D98"/>
    <w:lvl w:ilvl="0" w:tplc="0340F1D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421C6EFE"/>
    <w:multiLevelType w:val="hybridMultilevel"/>
    <w:tmpl w:val="B4EEC278"/>
    <w:lvl w:ilvl="0" w:tplc="39F49D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1B42CC9"/>
    <w:multiLevelType w:val="hybridMultilevel"/>
    <w:tmpl w:val="9DA2D8CE"/>
    <w:lvl w:ilvl="0" w:tplc="A2089BA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528330EB"/>
    <w:multiLevelType w:val="hybridMultilevel"/>
    <w:tmpl w:val="848A26AA"/>
    <w:lvl w:ilvl="0" w:tplc="70F849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4882375"/>
    <w:multiLevelType w:val="hybridMultilevel"/>
    <w:tmpl w:val="32D0A3A8"/>
    <w:lvl w:ilvl="0" w:tplc="7F5C5F6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54DA72CF"/>
    <w:multiLevelType w:val="hybridMultilevel"/>
    <w:tmpl w:val="C4FEB98E"/>
    <w:lvl w:ilvl="0" w:tplc="096264C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550380D"/>
    <w:multiLevelType w:val="hybridMultilevel"/>
    <w:tmpl w:val="992E19E2"/>
    <w:lvl w:ilvl="0" w:tplc="85C8A83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560B26D4"/>
    <w:multiLevelType w:val="hybridMultilevel"/>
    <w:tmpl w:val="6B9CD94E"/>
    <w:lvl w:ilvl="0" w:tplc="BA3865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97357F9"/>
    <w:multiLevelType w:val="hybridMultilevel"/>
    <w:tmpl w:val="08F6039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FB20A91"/>
    <w:multiLevelType w:val="hybridMultilevel"/>
    <w:tmpl w:val="08F60396"/>
    <w:lvl w:ilvl="0" w:tplc="EB34E6F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04F01F0"/>
    <w:multiLevelType w:val="hybridMultilevel"/>
    <w:tmpl w:val="EEF6E54A"/>
    <w:lvl w:ilvl="0" w:tplc="EE62C0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0FE2BBE"/>
    <w:multiLevelType w:val="hybridMultilevel"/>
    <w:tmpl w:val="FAB45356"/>
    <w:lvl w:ilvl="0" w:tplc="6FEC22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55C366C"/>
    <w:multiLevelType w:val="hybridMultilevel"/>
    <w:tmpl w:val="74CE8608"/>
    <w:lvl w:ilvl="0" w:tplc="DD86D8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BF55498"/>
    <w:multiLevelType w:val="hybridMultilevel"/>
    <w:tmpl w:val="0BFAE6FC"/>
    <w:lvl w:ilvl="0" w:tplc="E7184AB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717D1062"/>
    <w:multiLevelType w:val="hybridMultilevel"/>
    <w:tmpl w:val="3C8E9784"/>
    <w:lvl w:ilvl="0" w:tplc="2D104A4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71F63485"/>
    <w:multiLevelType w:val="hybridMultilevel"/>
    <w:tmpl w:val="8E748B5C"/>
    <w:lvl w:ilvl="0" w:tplc="EEC0EC36">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15:restartNumberingAfterBreak="0">
    <w:nsid w:val="754E0DA1"/>
    <w:multiLevelType w:val="hybridMultilevel"/>
    <w:tmpl w:val="F25C7908"/>
    <w:lvl w:ilvl="0" w:tplc="B58C4BA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15:restartNumberingAfterBreak="0">
    <w:nsid w:val="7C3A19CC"/>
    <w:multiLevelType w:val="hybridMultilevel"/>
    <w:tmpl w:val="E1B80DDE"/>
    <w:lvl w:ilvl="0" w:tplc="BF86265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C8D7FD7"/>
    <w:multiLevelType w:val="hybridMultilevel"/>
    <w:tmpl w:val="570E42F2"/>
    <w:lvl w:ilvl="0" w:tplc="C986BBAC">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EE61CA"/>
    <w:multiLevelType w:val="hybridMultilevel"/>
    <w:tmpl w:val="A5E27BE2"/>
    <w:lvl w:ilvl="0" w:tplc="84227A92">
      <w:start w:val="1"/>
      <w:numFmt w:val="lowerRoman"/>
      <w:lvlText w:val="(%1)"/>
      <w:lvlJc w:val="left"/>
      <w:pPr>
        <w:ind w:left="4320" w:hanging="720"/>
      </w:pPr>
      <w:rPr>
        <w:rFonts w:hint="default"/>
      </w:rPr>
    </w:lvl>
    <w:lvl w:ilvl="1" w:tplc="1C090019" w:tentative="1">
      <w:start w:val="1"/>
      <w:numFmt w:val="lowerLetter"/>
      <w:lvlText w:val="%2."/>
      <w:lvlJc w:val="left"/>
      <w:pPr>
        <w:ind w:left="4680" w:hanging="360"/>
      </w:pPr>
    </w:lvl>
    <w:lvl w:ilvl="2" w:tplc="1C09001B" w:tentative="1">
      <w:start w:val="1"/>
      <w:numFmt w:val="lowerRoman"/>
      <w:lvlText w:val="%3."/>
      <w:lvlJc w:val="right"/>
      <w:pPr>
        <w:ind w:left="5400" w:hanging="180"/>
      </w:pPr>
    </w:lvl>
    <w:lvl w:ilvl="3" w:tplc="1C09000F" w:tentative="1">
      <w:start w:val="1"/>
      <w:numFmt w:val="decimal"/>
      <w:lvlText w:val="%4."/>
      <w:lvlJc w:val="left"/>
      <w:pPr>
        <w:ind w:left="6120" w:hanging="360"/>
      </w:pPr>
    </w:lvl>
    <w:lvl w:ilvl="4" w:tplc="1C090019" w:tentative="1">
      <w:start w:val="1"/>
      <w:numFmt w:val="lowerLetter"/>
      <w:lvlText w:val="%5."/>
      <w:lvlJc w:val="left"/>
      <w:pPr>
        <w:ind w:left="6840" w:hanging="360"/>
      </w:pPr>
    </w:lvl>
    <w:lvl w:ilvl="5" w:tplc="1C09001B" w:tentative="1">
      <w:start w:val="1"/>
      <w:numFmt w:val="lowerRoman"/>
      <w:lvlText w:val="%6."/>
      <w:lvlJc w:val="right"/>
      <w:pPr>
        <w:ind w:left="7560" w:hanging="180"/>
      </w:pPr>
    </w:lvl>
    <w:lvl w:ilvl="6" w:tplc="1C09000F" w:tentative="1">
      <w:start w:val="1"/>
      <w:numFmt w:val="decimal"/>
      <w:lvlText w:val="%7."/>
      <w:lvlJc w:val="left"/>
      <w:pPr>
        <w:ind w:left="8280" w:hanging="360"/>
      </w:pPr>
    </w:lvl>
    <w:lvl w:ilvl="7" w:tplc="1C090019" w:tentative="1">
      <w:start w:val="1"/>
      <w:numFmt w:val="lowerLetter"/>
      <w:lvlText w:val="%8."/>
      <w:lvlJc w:val="left"/>
      <w:pPr>
        <w:ind w:left="9000" w:hanging="360"/>
      </w:pPr>
    </w:lvl>
    <w:lvl w:ilvl="8" w:tplc="1C09001B" w:tentative="1">
      <w:start w:val="1"/>
      <w:numFmt w:val="lowerRoman"/>
      <w:lvlText w:val="%9."/>
      <w:lvlJc w:val="right"/>
      <w:pPr>
        <w:ind w:left="9720" w:hanging="180"/>
      </w:pPr>
    </w:lvl>
  </w:abstractNum>
  <w:num w:numId="1">
    <w:abstractNumId w:val="2"/>
  </w:num>
  <w:num w:numId="2">
    <w:abstractNumId w:val="38"/>
  </w:num>
  <w:num w:numId="3">
    <w:abstractNumId w:val="11"/>
  </w:num>
  <w:num w:numId="4">
    <w:abstractNumId w:val="10"/>
  </w:num>
  <w:num w:numId="5">
    <w:abstractNumId w:val="4"/>
  </w:num>
  <w:num w:numId="6">
    <w:abstractNumId w:val="36"/>
  </w:num>
  <w:num w:numId="7">
    <w:abstractNumId w:val="34"/>
  </w:num>
  <w:num w:numId="8">
    <w:abstractNumId w:val="14"/>
  </w:num>
  <w:num w:numId="9">
    <w:abstractNumId w:val="20"/>
  </w:num>
  <w:num w:numId="10">
    <w:abstractNumId w:val="37"/>
  </w:num>
  <w:num w:numId="11">
    <w:abstractNumId w:val="18"/>
  </w:num>
  <w:num w:numId="12">
    <w:abstractNumId w:val="19"/>
  </w:num>
  <w:num w:numId="13">
    <w:abstractNumId w:val="35"/>
  </w:num>
  <w:num w:numId="14">
    <w:abstractNumId w:val="13"/>
  </w:num>
  <w:num w:numId="15">
    <w:abstractNumId w:val="27"/>
  </w:num>
  <w:num w:numId="16">
    <w:abstractNumId w:val="0"/>
  </w:num>
  <w:num w:numId="17">
    <w:abstractNumId w:val="23"/>
  </w:num>
  <w:num w:numId="18">
    <w:abstractNumId w:val="24"/>
  </w:num>
  <w:num w:numId="19">
    <w:abstractNumId w:val="1"/>
  </w:num>
  <w:num w:numId="20">
    <w:abstractNumId w:val="33"/>
  </w:num>
  <w:num w:numId="21">
    <w:abstractNumId w:val="25"/>
  </w:num>
  <w:num w:numId="22">
    <w:abstractNumId w:val="9"/>
  </w:num>
  <w:num w:numId="23">
    <w:abstractNumId w:val="22"/>
  </w:num>
  <w:num w:numId="24">
    <w:abstractNumId w:val="3"/>
  </w:num>
  <w:num w:numId="25">
    <w:abstractNumId w:val="8"/>
  </w:num>
  <w:num w:numId="26">
    <w:abstractNumId w:val="17"/>
  </w:num>
  <w:num w:numId="27">
    <w:abstractNumId w:val="30"/>
  </w:num>
  <w:num w:numId="28">
    <w:abstractNumId w:val="15"/>
  </w:num>
  <w:num w:numId="29">
    <w:abstractNumId w:val="21"/>
  </w:num>
  <w:num w:numId="30">
    <w:abstractNumId w:val="12"/>
  </w:num>
  <w:num w:numId="31">
    <w:abstractNumId w:val="29"/>
  </w:num>
  <w:num w:numId="32">
    <w:abstractNumId w:val="16"/>
  </w:num>
  <w:num w:numId="33">
    <w:abstractNumId w:val="28"/>
  </w:num>
  <w:num w:numId="34">
    <w:abstractNumId w:val="5"/>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32"/>
  </w:num>
  <w:num w:numId="38">
    <w:abstractNumId w:val="31"/>
  </w:num>
  <w:num w:numId="39">
    <w:abstractNumId w:val="39"/>
  </w:num>
  <w:num w:numId="40">
    <w:abstractNumId w:val="6"/>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5BF4706-8B53-4AE8-8964-9ED76DB5AB4E}"/>
    <w:docVar w:name="dgnword-eventsink" w:val="1823982552832"/>
  </w:docVars>
  <w:rsids>
    <w:rsidRoot w:val="00093030"/>
    <w:rsid w:val="00000CB8"/>
    <w:rsid w:val="00003014"/>
    <w:rsid w:val="000121BF"/>
    <w:rsid w:val="00016FCC"/>
    <w:rsid w:val="00022EB4"/>
    <w:rsid w:val="000244A5"/>
    <w:rsid w:val="00030A44"/>
    <w:rsid w:val="00030E1D"/>
    <w:rsid w:val="00031BE8"/>
    <w:rsid w:val="00036538"/>
    <w:rsid w:val="000424B7"/>
    <w:rsid w:val="00044B15"/>
    <w:rsid w:val="00053747"/>
    <w:rsid w:val="00060121"/>
    <w:rsid w:val="00060840"/>
    <w:rsid w:val="00061BF3"/>
    <w:rsid w:val="00062E7B"/>
    <w:rsid w:val="000640E4"/>
    <w:rsid w:val="00064E82"/>
    <w:rsid w:val="00077F62"/>
    <w:rsid w:val="0008059A"/>
    <w:rsid w:val="00080BF9"/>
    <w:rsid w:val="000851A7"/>
    <w:rsid w:val="00090374"/>
    <w:rsid w:val="00093030"/>
    <w:rsid w:val="000A0CF8"/>
    <w:rsid w:val="000A0E28"/>
    <w:rsid w:val="000A0F9A"/>
    <w:rsid w:val="000A3188"/>
    <w:rsid w:val="000A382C"/>
    <w:rsid w:val="000A40C6"/>
    <w:rsid w:val="000A459D"/>
    <w:rsid w:val="000A573C"/>
    <w:rsid w:val="000B235E"/>
    <w:rsid w:val="000B6980"/>
    <w:rsid w:val="000C076D"/>
    <w:rsid w:val="000C1A0B"/>
    <w:rsid w:val="000C44D3"/>
    <w:rsid w:val="000C515A"/>
    <w:rsid w:val="000C69D7"/>
    <w:rsid w:val="000D292F"/>
    <w:rsid w:val="000E0134"/>
    <w:rsid w:val="000E16FA"/>
    <w:rsid w:val="000E61CB"/>
    <w:rsid w:val="000E6526"/>
    <w:rsid w:val="000F0DCC"/>
    <w:rsid w:val="000F17AA"/>
    <w:rsid w:val="000F40FA"/>
    <w:rsid w:val="000F6914"/>
    <w:rsid w:val="001012BB"/>
    <w:rsid w:val="00104172"/>
    <w:rsid w:val="00106CD0"/>
    <w:rsid w:val="00110106"/>
    <w:rsid w:val="0011583A"/>
    <w:rsid w:val="00116238"/>
    <w:rsid w:val="001176D3"/>
    <w:rsid w:val="0012215A"/>
    <w:rsid w:val="00122992"/>
    <w:rsid w:val="00123928"/>
    <w:rsid w:val="00124230"/>
    <w:rsid w:val="00130C6C"/>
    <w:rsid w:val="00136D85"/>
    <w:rsid w:val="001425E6"/>
    <w:rsid w:val="00144456"/>
    <w:rsid w:val="00144EB1"/>
    <w:rsid w:val="0016152F"/>
    <w:rsid w:val="00162289"/>
    <w:rsid w:val="0016308F"/>
    <w:rsid w:val="0016439F"/>
    <w:rsid w:val="00165530"/>
    <w:rsid w:val="001705C5"/>
    <w:rsid w:val="00171237"/>
    <w:rsid w:val="001714E0"/>
    <w:rsid w:val="001740EB"/>
    <w:rsid w:val="00174D83"/>
    <w:rsid w:val="00176270"/>
    <w:rsid w:val="00180BA5"/>
    <w:rsid w:val="00181879"/>
    <w:rsid w:val="00182054"/>
    <w:rsid w:val="00182659"/>
    <w:rsid w:val="00183BCE"/>
    <w:rsid w:val="0018638A"/>
    <w:rsid w:val="001918E2"/>
    <w:rsid w:val="0019307E"/>
    <w:rsid w:val="00193C6A"/>
    <w:rsid w:val="00194394"/>
    <w:rsid w:val="0019694E"/>
    <w:rsid w:val="00196CBF"/>
    <w:rsid w:val="001A099F"/>
    <w:rsid w:val="001B08D4"/>
    <w:rsid w:val="001B0D9A"/>
    <w:rsid w:val="001B11BA"/>
    <w:rsid w:val="001B414F"/>
    <w:rsid w:val="001B50C9"/>
    <w:rsid w:val="001B7CF1"/>
    <w:rsid w:val="001C3407"/>
    <w:rsid w:val="001C4454"/>
    <w:rsid w:val="001D1E59"/>
    <w:rsid w:val="001D5095"/>
    <w:rsid w:val="001D66EC"/>
    <w:rsid w:val="001D6DD6"/>
    <w:rsid w:val="001D7973"/>
    <w:rsid w:val="001E2158"/>
    <w:rsid w:val="001E2A1A"/>
    <w:rsid w:val="001E46FF"/>
    <w:rsid w:val="001E5281"/>
    <w:rsid w:val="001E63DA"/>
    <w:rsid w:val="001E698C"/>
    <w:rsid w:val="001F3B77"/>
    <w:rsid w:val="001F6B6C"/>
    <w:rsid w:val="001F7B10"/>
    <w:rsid w:val="00201B91"/>
    <w:rsid w:val="00204FBD"/>
    <w:rsid w:val="00206618"/>
    <w:rsid w:val="00206D64"/>
    <w:rsid w:val="00207A3D"/>
    <w:rsid w:val="00210FDE"/>
    <w:rsid w:val="0021212A"/>
    <w:rsid w:val="0021396F"/>
    <w:rsid w:val="00216995"/>
    <w:rsid w:val="00217B55"/>
    <w:rsid w:val="00222B79"/>
    <w:rsid w:val="00224C77"/>
    <w:rsid w:val="00225713"/>
    <w:rsid w:val="002272B2"/>
    <w:rsid w:val="00232D0B"/>
    <w:rsid w:val="00232EC5"/>
    <w:rsid w:val="002437AC"/>
    <w:rsid w:val="002437DC"/>
    <w:rsid w:val="0024408E"/>
    <w:rsid w:val="00250A93"/>
    <w:rsid w:val="00251C76"/>
    <w:rsid w:val="00253027"/>
    <w:rsid w:val="0025407D"/>
    <w:rsid w:val="002541FA"/>
    <w:rsid w:val="00257C15"/>
    <w:rsid w:val="00261731"/>
    <w:rsid w:val="00264D4E"/>
    <w:rsid w:val="00267275"/>
    <w:rsid w:val="00271FB9"/>
    <w:rsid w:val="0027319C"/>
    <w:rsid w:val="0027507C"/>
    <w:rsid w:val="002775C5"/>
    <w:rsid w:val="002800D1"/>
    <w:rsid w:val="00280BD1"/>
    <w:rsid w:val="002821E7"/>
    <w:rsid w:val="0028421A"/>
    <w:rsid w:val="00287F7B"/>
    <w:rsid w:val="002921D5"/>
    <w:rsid w:val="002A1881"/>
    <w:rsid w:val="002A618A"/>
    <w:rsid w:val="002B05C0"/>
    <w:rsid w:val="002B37EA"/>
    <w:rsid w:val="002B3FC0"/>
    <w:rsid w:val="002B68B7"/>
    <w:rsid w:val="002B74FA"/>
    <w:rsid w:val="002C04DC"/>
    <w:rsid w:val="002C283A"/>
    <w:rsid w:val="002C73E6"/>
    <w:rsid w:val="002D0907"/>
    <w:rsid w:val="002D133E"/>
    <w:rsid w:val="002D4498"/>
    <w:rsid w:val="002D7EEA"/>
    <w:rsid w:val="002E155C"/>
    <w:rsid w:val="002E6BED"/>
    <w:rsid w:val="003038CA"/>
    <w:rsid w:val="003055A2"/>
    <w:rsid w:val="00324B8C"/>
    <w:rsid w:val="00332215"/>
    <w:rsid w:val="00335270"/>
    <w:rsid w:val="0034252E"/>
    <w:rsid w:val="00343A62"/>
    <w:rsid w:val="00352323"/>
    <w:rsid w:val="00353AD2"/>
    <w:rsid w:val="00356957"/>
    <w:rsid w:val="00360FC2"/>
    <w:rsid w:val="003634F1"/>
    <w:rsid w:val="00363727"/>
    <w:rsid w:val="00363B2B"/>
    <w:rsid w:val="00367442"/>
    <w:rsid w:val="00371E88"/>
    <w:rsid w:val="003763A2"/>
    <w:rsid w:val="0037651E"/>
    <w:rsid w:val="00377953"/>
    <w:rsid w:val="003802B0"/>
    <w:rsid w:val="00382A45"/>
    <w:rsid w:val="00384F61"/>
    <w:rsid w:val="00393D2D"/>
    <w:rsid w:val="00395EFB"/>
    <w:rsid w:val="003B07E1"/>
    <w:rsid w:val="003B088B"/>
    <w:rsid w:val="003B3226"/>
    <w:rsid w:val="003B4104"/>
    <w:rsid w:val="003B5086"/>
    <w:rsid w:val="003B6DD9"/>
    <w:rsid w:val="003C05F0"/>
    <w:rsid w:val="003C1A30"/>
    <w:rsid w:val="003D0266"/>
    <w:rsid w:val="003D73AC"/>
    <w:rsid w:val="003D77C4"/>
    <w:rsid w:val="003E1583"/>
    <w:rsid w:val="003E39BC"/>
    <w:rsid w:val="003E4917"/>
    <w:rsid w:val="003E4DED"/>
    <w:rsid w:val="003E5DE9"/>
    <w:rsid w:val="003E7496"/>
    <w:rsid w:val="003E794A"/>
    <w:rsid w:val="00404C41"/>
    <w:rsid w:val="004062AA"/>
    <w:rsid w:val="00407A22"/>
    <w:rsid w:val="00412075"/>
    <w:rsid w:val="004120BE"/>
    <w:rsid w:val="00413F31"/>
    <w:rsid w:val="00416B89"/>
    <w:rsid w:val="004175A6"/>
    <w:rsid w:val="004211BF"/>
    <w:rsid w:val="004233FC"/>
    <w:rsid w:val="004272CC"/>
    <w:rsid w:val="00427889"/>
    <w:rsid w:val="00432417"/>
    <w:rsid w:val="004354CC"/>
    <w:rsid w:val="0044638B"/>
    <w:rsid w:val="004477A4"/>
    <w:rsid w:val="004519BA"/>
    <w:rsid w:val="00455EC5"/>
    <w:rsid w:val="00456F4A"/>
    <w:rsid w:val="00457F6F"/>
    <w:rsid w:val="00460ADE"/>
    <w:rsid w:val="004667E3"/>
    <w:rsid w:val="00470459"/>
    <w:rsid w:val="004706C3"/>
    <w:rsid w:val="00470BBB"/>
    <w:rsid w:val="004720C2"/>
    <w:rsid w:val="00477BA1"/>
    <w:rsid w:val="004827A9"/>
    <w:rsid w:val="00484511"/>
    <w:rsid w:val="004853FA"/>
    <w:rsid w:val="00485CB4"/>
    <w:rsid w:val="00486790"/>
    <w:rsid w:val="004879B9"/>
    <w:rsid w:val="004906BF"/>
    <w:rsid w:val="00491496"/>
    <w:rsid w:val="004936DE"/>
    <w:rsid w:val="00494D0E"/>
    <w:rsid w:val="00495C2F"/>
    <w:rsid w:val="004967C7"/>
    <w:rsid w:val="004A5DB0"/>
    <w:rsid w:val="004A647A"/>
    <w:rsid w:val="004A7B97"/>
    <w:rsid w:val="004C37B7"/>
    <w:rsid w:val="004D2E2B"/>
    <w:rsid w:val="004D759F"/>
    <w:rsid w:val="004E458B"/>
    <w:rsid w:val="004F1AE0"/>
    <w:rsid w:val="00503A57"/>
    <w:rsid w:val="00503CD1"/>
    <w:rsid w:val="0051219E"/>
    <w:rsid w:val="00512FD3"/>
    <w:rsid w:val="00514989"/>
    <w:rsid w:val="005168F5"/>
    <w:rsid w:val="005206F2"/>
    <w:rsid w:val="00525CA2"/>
    <w:rsid w:val="00526B6E"/>
    <w:rsid w:val="00527A97"/>
    <w:rsid w:val="00531614"/>
    <w:rsid w:val="00534DDC"/>
    <w:rsid w:val="00537EAE"/>
    <w:rsid w:val="00542CD7"/>
    <w:rsid w:val="00547DB0"/>
    <w:rsid w:val="005566B3"/>
    <w:rsid w:val="00557E6F"/>
    <w:rsid w:val="005614A3"/>
    <w:rsid w:val="00562078"/>
    <w:rsid w:val="00562332"/>
    <w:rsid w:val="00570589"/>
    <w:rsid w:val="005810E5"/>
    <w:rsid w:val="005819E6"/>
    <w:rsid w:val="00583E99"/>
    <w:rsid w:val="00585360"/>
    <w:rsid w:val="00585CB8"/>
    <w:rsid w:val="00586BB6"/>
    <w:rsid w:val="00587E7F"/>
    <w:rsid w:val="00590EE2"/>
    <w:rsid w:val="00592346"/>
    <w:rsid w:val="00593F98"/>
    <w:rsid w:val="005A3131"/>
    <w:rsid w:val="005A668D"/>
    <w:rsid w:val="005A6C9F"/>
    <w:rsid w:val="005B05EC"/>
    <w:rsid w:val="005B3942"/>
    <w:rsid w:val="005B44D4"/>
    <w:rsid w:val="005B549C"/>
    <w:rsid w:val="005B6DA1"/>
    <w:rsid w:val="005C1553"/>
    <w:rsid w:val="005C3972"/>
    <w:rsid w:val="005C65F2"/>
    <w:rsid w:val="005D3ACF"/>
    <w:rsid w:val="005E0500"/>
    <w:rsid w:val="005E07DC"/>
    <w:rsid w:val="005F06F2"/>
    <w:rsid w:val="005F2CD7"/>
    <w:rsid w:val="005F2F3F"/>
    <w:rsid w:val="005F3F0B"/>
    <w:rsid w:val="005F6798"/>
    <w:rsid w:val="006014ED"/>
    <w:rsid w:val="0061245B"/>
    <w:rsid w:val="00612FE9"/>
    <w:rsid w:val="006213CD"/>
    <w:rsid w:val="00622BE1"/>
    <w:rsid w:val="0062462B"/>
    <w:rsid w:val="006276AF"/>
    <w:rsid w:val="00627CEC"/>
    <w:rsid w:val="006300CB"/>
    <w:rsid w:val="00630D83"/>
    <w:rsid w:val="00631916"/>
    <w:rsid w:val="006357BC"/>
    <w:rsid w:val="00636E2E"/>
    <w:rsid w:val="006403E8"/>
    <w:rsid w:val="00640924"/>
    <w:rsid w:val="00646614"/>
    <w:rsid w:val="00646762"/>
    <w:rsid w:val="00650C9F"/>
    <w:rsid w:val="00656691"/>
    <w:rsid w:val="00661226"/>
    <w:rsid w:val="006625B4"/>
    <w:rsid w:val="006746ED"/>
    <w:rsid w:val="006762DA"/>
    <w:rsid w:val="00681131"/>
    <w:rsid w:val="00685A3D"/>
    <w:rsid w:val="00685F01"/>
    <w:rsid w:val="0068636A"/>
    <w:rsid w:val="00687E0E"/>
    <w:rsid w:val="00687EB7"/>
    <w:rsid w:val="00694226"/>
    <w:rsid w:val="006A6599"/>
    <w:rsid w:val="006A7E88"/>
    <w:rsid w:val="006B245A"/>
    <w:rsid w:val="006B3C15"/>
    <w:rsid w:val="006C1729"/>
    <w:rsid w:val="006C48CD"/>
    <w:rsid w:val="006C5490"/>
    <w:rsid w:val="006C618F"/>
    <w:rsid w:val="006D0B51"/>
    <w:rsid w:val="006D3360"/>
    <w:rsid w:val="006D3B6B"/>
    <w:rsid w:val="006D7616"/>
    <w:rsid w:val="006E0529"/>
    <w:rsid w:val="006E2592"/>
    <w:rsid w:val="006E66EA"/>
    <w:rsid w:val="006F0E2A"/>
    <w:rsid w:val="006F3AC8"/>
    <w:rsid w:val="006F5332"/>
    <w:rsid w:val="006F587F"/>
    <w:rsid w:val="0070436D"/>
    <w:rsid w:val="00713CCB"/>
    <w:rsid w:val="00717CC9"/>
    <w:rsid w:val="0072630C"/>
    <w:rsid w:val="00726D30"/>
    <w:rsid w:val="00733834"/>
    <w:rsid w:val="007344A0"/>
    <w:rsid w:val="00734955"/>
    <w:rsid w:val="007349F6"/>
    <w:rsid w:val="00736BA4"/>
    <w:rsid w:val="00742836"/>
    <w:rsid w:val="00745DB6"/>
    <w:rsid w:val="00745DEB"/>
    <w:rsid w:val="00751747"/>
    <w:rsid w:val="007608C9"/>
    <w:rsid w:val="00760A91"/>
    <w:rsid w:val="00760D1A"/>
    <w:rsid w:val="00761DE4"/>
    <w:rsid w:val="00762333"/>
    <w:rsid w:val="0076328C"/>
    <w:rsid w:val="00766ADA"/>
    <w:rsid w:val="007730CB"/>
    <w:rsid w:val="0077319D"/>
    <w:rsid w:val="00781691"/>
    <w:rsid w:val="0079051C"/>
    <w:rsid w:val="007923D7"/>
    <w:rsid w:val="0079741C"/>
    <w:rsid w:val="007979D5"/>
    <w:rsid w:val="007A066D"/>
    <w:rsid w:val="007A11D8"/>
    <w:rsid w:val="007A1CD8"/>
    <w:rsid w:val="007A23B7"/>
    <w:rsid w:val="007A292B"/>
    <w:rsid w:val="007A4826"/>
    <w:rsid w:val="007A63B2"/>
    <w:rsid w:val="007B4B36"/>
    <w:rsid w:val="007B714E"/>
    <w:rsid w:val="007C31A2"/>
    <w:rsid w:val="007C3766"/>
    <w:rsid w:val="007C5A1D"/>
    <w:rsid w:val="007C684C"/>
    <w:rsid w:val="007C7168"/>
    <w:rsid w:val="007D52F3"/>
    <w:rsid w:val="007E0EB0"/>
    <w:rsid w:val="007E163C"/>
    <w:rsid w:val="007E30DE"/>
    <w:rsid w:val="007E560E"/>
    <w:rsid w:val="007E5E3B"/>
    <w:rsid w:val="007E7E36"/>
    <w:rsid w:val="007F0C38"/>
    <w:rsid w:val="007F2961"/>
    <w:rsid w:val="007F2BF1"/>
    <w:rsid w:val="007F51A9"/>
    <w:rsid w:val="007F5AE4"/>
    <w:rsid w:val="00800A18"/>
    <w:rsid w:val="008051D6"/>
    <w:rsid w:val="008066E5"/>
    <w:rsid w:val="00812D4B"/>
    <w:rsid w:val="00813319"/>
    <w:rsid w:val="00817FD9"/>
    <w:rsid w:val="008242CA"/>
    <w:rsid w:val="00825DA5"/>
    <w:rsid w:val="00827C33"/>
    <w:rsid w:val="00833C7B"/>
    <w:rsid w:val="00835B60"/>
    <w:rsid w:val="00840232"/>
    <w:rsid w:val="00862D51"/>
    <w:rsid w:val="008664A0"/>
    <w:rsid w:val="00870C46"/>
    <w:rsid w:val="00872FEF"/>
    <w:rsid w:val="00873A81"/>
    <w:rsid w:val="00885DCD"/>
    <w:rsid w:val="008901F1"/>
    <w:rsid w:val="008921FA"/>
    <w:rsid w:val="00893563"/>
    <w:rsid w:val="008963CE"/>
    <w:rsid w:val="008A1F3F"/>
    <w:rsid w:val="008A398B"/>
    <w:rsid w:val="008B1220"/>
    <w:rsid w:val="008B44FE"/>
    <w:rsid w:val="008B47B9"/>
    <w:rsid w:val="008B5330"/>
    <w:rsid w:val="008B70D5"/>
    <w:rsid w:val="008C1D1E"/>
    <w:rsid w:val="008D3C8C"/>
    <w:rsid w:val="008D56E0"/>
    <w:rsid w:val="008D58A2"/>
    <w:rsid w:val="008D5C2D"/>
    <w:rsid w:val="008D6D65"/>
    <w:rsid w:val="008E1BE5"/>
    <w:rsid w:val="008E42E1"/>
    <w:rsid w:val="008E5ABD"/>
    <w:rsid w:val="008F3C39"/>
    <w:rsid w:val="00900683"/>
    <w:rsid w:val="00900D1A"/>
    <w:rsid w:val="009012E2"/>
    <w:rsid w:val="00902A44"/>
    <w:rsid w:val="00905C18"/>
    <w:rsid w:val="0090608F"/>
    <w:rsid w:val="00907C09"/>
    <w:rsid w:val="00913973"/>
    <w:rsid w:val="009316FF"/>
    <w:rsid w:val="00934FBC"/>
    <w:rsid w:val="009351D2"/>
    <w:rsid w:val="00936614"/>
    <w:rsid w:val="009437DD"/>
    <w:rsid w:val="00944540"/>
    <w:rsid w:val="00950606"/>
    <w:rsid w:val="009529A2"/>
    <w:rsid w:val="00954AF8"/>
    <w:rsid w:val="009571A2"/>
    <w:rsid w:val="0095787A"/>
    <w:rsid w:val="00960357"/>
    <w:rsid w:val="00965F94"/>
    <w:rsid w:val="0097203D"/>
    <w:rsid w:val="00974177"/>
    <w:rsid w:val="00977BBE"/>
    <w:rsid w:val="009811CE"/>
    <w:rsid w:val="00981B44"/>
    <w:rsid w:val="009825A5"/>
    <w:rsid w:val="00983407"/>
    <w:rsid w:val="00983729"/>
    <w:rsid w:val="009837D0"/>
    <w:rsid w:val="00984E92"/>
    <w:rsid w:val="00987A93"/>
    <w:rsid w:val="00995A18"/>
    <w:rsid w:val="009969D4"/>
    <w:rsid w:val="00997C70"/>
    <w:rsid w:val="009A1DEC"/>
    <w:rsid w:val="009A29F3"/>
    <w:rsid w:val="009A63D6"/>
    <w:rsid w:val="009A7381"/>
    <w:rsid w:val="009B1264"/>
    <w:rsid w:val="009B20A5"/>
    <w:rsid w:val="009B4FD7"/>
    <w:rsid w:val="009C526B"/>
    <w:rsid w:val="009C6A85"/>
    <w:rsid w:val="009E139B"/>
    <w:rsid w:val="009F038A"/>
    <w:rsid w:val="009F16A8"/>
    <w:rsid w:val="009F3B88"/>
    <w:rsid w:val="009F4B71"/>
    <w:rsid w:val="009F63BD"/>
    <w:rsid w:val="00A03B76"/>
    <w:rsid w:val="00A03E0C"/>
    <w:rsid w:val="00A04764"/>
    <w:rsid w:val="00A05893"/>
    <w:rsid w:val="00A14EFC"/>
    <w:rsid w:val="00A220E4"/>
    <w:rsid w:val="00A24395"/>
    <w:rsid w:val="00A31A45"/>
    <w:rsid w:val="00A31B50"/>
    <w:rsid w:val="00A321D8"/>
    <w:rsid w:val="00A36297"/>
    <w:rsid w:val="00A36A7F"/>
    <w:rsid w:val="00A3722F"/>
    <w:rsid w:val="00A438E4"/>
    <w:rsid w:val="00A45C55"/>
    <w:rsid w:val="00A46976"/>
    <w:rsid w:val="00A53739"/>
    <w:rsid w:val="00A577B5"/>
    <w:rsid w:val="00A60B2B"/>
    <w:rsid w:val="00A6342D"/>
    <w:rsid w:val="00A65349"/>
    <w:rsid w:val="00A66A1E"/>
    <w:rsid w:val="00A672BA"/>
    <w:rsid w:val="00A7047A"/>
    <w:rsid w:val="00A71FCA"/>
    <w:rsid w:val="00A734AA"/>
    <w:rsid w:val="00A739DE"/>
    <w:rsid w:val="00A770D0"/>
    <w:rsid w:val="00A82789"/>
    <w:rsid w:val="00A832AF"/>
    <w:rsid w:val="00A84377"/>
    <w:rsid w:val="00A856BB"/>
    <w:rsid w:val="00AA23DB"/>
    <w:rsid w:val="00AA4D37"/>
    <w:rsid w:val="00AA5394"/>
    <w:rsid w:val="00AB4818"/>
    <w:rsid w:val="00AC619F"/>
    <w:rsid w:val="00AC7DA3"/>
    <w:rsid w:val="00AC7EF7"/>
    <w:rsid w:val="00AD1E81"/>
    <w:rsid w:val="00AD23AD"/>
    <w:rsid w:val="00AE2D70"/>
    <w:rsid w:val="00AE3BBC"/>
    <w:rsid w:val="00AE4B96"/>
    <w:rsid w:val="00AF3183"/>
    <w:rsid w:val="00AF336D"/>
    <w:rsid w:val="00AF4790"/>
    <w:rsid w:val="00AF735C"/>
    <w:rsid w:val="00AF77FB"/>
    <w:rsid w:val="00AF7B2C"/>
    <w:rsid w:val="00B02CAB"/>
    <w:rsid w:val="00B03795"/>
    <w:rsid w:val="00B04617"/>
    <w:rsid w:val="00B04D02"/>
    <w:rsid w:val="00B10A35"/>
    <w:rsid w:val="00B10A37"/>
    <w:rsid w:val="00B13A72"/>
    <w:rsid w:val="00B14447"/>
    <w:rsid w:val="00B16FAC"/>
    <w:rsid w:val="00B21727"/>
    <w:rsid w:val="00B24686"/>
    <w:rsid w:val="00B35100"/>
    <w:rsid w:val="00B41B95"/>
    <w:rsid w:val="00B458E1"/>
    <w:rsid w:val="00B47277"/>
    <w:rsid w:val="00B578C0"/>
    <w:rsid w:val="00B60BE5"/>
    <w:rsid w:val="00B60F56"/>
    <w:rsid w:val="00B62776"/>
    <w:rsid w:val="00B62C58"/>
    <w:rsid w:val="00B65741"/>
    <w:rsid w:val="00B70AF3"/>
    <w:rsid w:val="00B73726"/>
    <w:rsid w:val="00B75397"/>
    <w:rsid w:val="00B776B5"/>
    <w:rsid w:val="00B81CA2"/>
    <w:rsid w:val="00B82998"/>
    <w:rsid w:val="00B90916"/>
    <w:rsid w:val="00B92D1C"/>
    <w:rsid w:val="00B952F5"/>
    <w:rsid w:val="00BA0B8D"/>
    <w:rsid w:val="00BA458F"/>
    <w:rsid w:val="00BA77CA"/>
    <w:rsid w:val="00BB1324"/>
    <w:rsid w:val="00BB3572"/>
    <w:rsid w:val="00BB67B6"/>
    <w:rsid w:val="00BB7456"/>
    <w:rsid w:val="00BC11C0"/>
    <w:rsid w:val="00BC522C"/>
    <w:rsid w:val="00BC7429"/>
    <w:rsid w:val="00BD2561"/>
    <w:rsid w:val="00BD42DA"/>
    <w:rsid w:val="00BD4FC7"/>
    <w:rsid w:val="00BD75FA"/>
    <w:rsid w:val="00BE079E"/>
    <w:rsid w:val="00BE0811"/>
    <w:rsid w:val="00BE3096"/>
    <w:rsid w:val="00BE50AC"/>
    <w:rsid w:val="00BE59D5"/>
    <w:rsid w:val="00BF6B7A"/>
    <w:rsid w:val="00C00F6A"/>
    <w:rsid w:val="00C011C2"/>
    <w:rsid w:val="00C0271D"/>
    <w:rsid w:val="00C02F1D"/>
    <w:rsid w:val="00C06BF5"/>
    <w:rsid w:val="00C078FB"/>
    <w:rsid w:val="00C20464"/>
    <w:rsid w:val="00C21B88"/>
    <w:rsid w:val="00C2777D"/>
    <w:rsid w:val="00C4386A"/>
    <w:rsid w:val="00C453A9"/>
    <w:rsid w:val="00C45911"/>
    <w:rsid w:val="00C469B5"/>
    <w:rsid w:val="00C46A15"/>
    <w:rsid w:val="00C477AB"/>
    <w:rsid w:val="00C500B4"/>
    <w:rsid w:val="00C51ADF"/>
    <w:rsid w:val="00C53C6B"/>
    <w:rsid w:val="00C54DC2"/>
    <w:rsid w:val="00C57834"/>
    <w:rsid w:val="00C579DE"/>
    <w:rsid w:val="00C670CD"/>
    <w:rsid w:val="00C81AC1"/>
    <w:rsid w:val="00C876B6"/>
    <w:rsid w:val="00C90323"/>
    <w:rsid w:val="00C9189F"/>
    <w:rsid w:val="00CA033D"/>
    <w:rsid w:val="00CA12DA"/>
    <w:rsid w:val="00CA1DC7"/>
    <w:rsid w:val="00CA2543"/>
    <w:rsid w:val="00CA4D75"/>
    <w:rsid w:val="00CB2518"/>
    <w:rsid w:val="00CB4326"/>
    <w:rsid w:val="00CB6925"/>
    <w:rsid w:val="00CB7155"/>
    <w:rsid w:val="00CC6FE4"/>
    <w:rsid w:val="00CC7FC5"/>
    <w:rsid w:val="00CD0250"/>
    <w:rsid w:val="00CD2735"/>
    <w:rsid w:val="00CE3355"/>
    <w:rsid w:val="00CF020E"/>
    <w:rsid w:val="00CF0C01"/>
    <w:rsid w:val="00CF5810"/>
    <w:rsid w:val="00CF58C1"/>
    <w:rsid w:val="00CF6A7A"/>
    <w:rsid w:val="00CF6D01"/>
    <w:rsid w:val="00D02E70"/>
    <w:rsid w:val="00D15A12"/>
    <w:rsid w:val="00D21105"/>
    <w:rsid w:val="00D232D9"/>
    <w:rsid w:val="00D23C59"/>
    <w:rsid w:val="00D274CA"/>
    <w:rsid w:val="00D2756A"/>
    <w:rsid w:val="00D2772D"/>
    <w:rsid w:val="00D3075E"/>
    <w:rsid w:val="00D30990"/>
    <w:rsid w:val="00D31056"/>
    <w:rsid w:val="00D3226E"/>
    <w:rsid w:val="00D32B14"/>
    <w:rsid w:val="00D339E3"/>
    <w:rsid w:val="00D4196F"/>
    <w:rsid w:val="00D42C70"/>
    <w:rsid w:val="00D44B8A"/>
    <w:rsid w:val="00D47521"/>
    <w:rsid w:val="00D506C8"/>
    <w:rsid w:val="00D5117D"/>
    <w:rsid w:val="00D51BE1"/>
    <w:rsid w:val="00D534F0"/>
    <w:rsid w:val="00D539B8"/>
    <w:rsid w:val="00D54093"/>
    <w:rsid w:val="00D565DB"/>
    <w:rsid w:val="00D56AB7"/>
    <w:rsid w:val="00D61178"/>
    <w:rsid w:val="00D617EA"/>
    <w:rsid w:val="00D61906"/>
    <w:rsid w:val="00D6339B"/>
    <w:rsid w:val="00D66B71"/>
    <w:rsid w:val="00D66C7A"/>
    <w:rsid w:val="00D6771C"/>
    <w:rsid w:val="00D74598"/>
    <w:rsid w:val="00D74D00"/>
    <w:rsid w:val="00D752FC"/>
    <w:rsid w:val="00D7564B"/>
    <w:rsid w:val="00D757CF"/>
    <w:rsid w:val="00D75CF9"/>
    <w:rsid w:val="00D75EA7"/>
    <w:rsid w:val="00D820F3"/>
    <w:rsid w:val="00D82B3E"/>
    <w:rsid w:val="00D859A5"/>
    <w:rsid w:val="00D8612B"/>
    <w:rsid w:val="00D952A9"/>
    <w:rsid w:val="00D96B43"/>
    <w:rsid w:val="00DA2D1F"/>
    <w:rsid w:val="00DA2F64"/>
    <w:rsid w:val="00DA3794"/>
    <w:rsid w:val="00DA4D5C"/>
    <w:rsid w:val="00DA6121"/>
    <w:rsid w:val="00DA70D0"/>
    <w:rsid w:val="00DB776B"/>
    <w:rsid w:val="00DB7F03"/>
    <w:rsid w:val="00DC029F"/>
    <w:rsid w:val="00DC0810"/>
    <w:rsid w:val="00DC360B"/>
    <w:rsid w:val="00DC3708"/>
    <w:rsid w:val="00DC4062"/>
    <w:rsid w:val="00DC4099"/>
    <w:rsid w:val="00DD2CC8"/>
    <w:rsid w:val="00DD48C9"/>
    <w:rsid w:val="00DD4F90"/>
    <w:rsid w:val="00DE5636"/>
    <w:rsid w:val="00DE6D7F"/>
    <w:rsid w:val="00DF1771"/>
    <w:rsid w:val="00DF50F7"/>
    <w:rsid w:val="00DF614A"/>
    <w:rsid w:val="00DF6D54"/>
    <w:rsid w:val="00DF72D5"/>
    <w:rsid w:val="00E00618"/>
    <w:rsid w:val="00E06444"/>
    <w:rsid w:val="00E0658A"/>
    <w:rsid w:val="00E10294"/>
    <w:rsid w:val="00E11350"/>
    <w:rsid w:val="00E17576"/>
    <w:rsid w:val="00E20594"/>
    <w:rsid w:val="00E20790"/>
    <w:rsid w:val="00E221FC"/>
    <w:rsid w:val="00E26257"/>
    <w:rsid w:val="00E31B3F"/>
    <w:rsid w:val="00E32371"/>
    <w:rsid w:val="00E3517A"/>
    <w:rsid w:val="00E35735"/>
    <w:rsid w:val="00E439FB"/>
    <w:rsid w:val="00E44B48"/>
    <w:rsid w:val="00E5071E"/>
    <w:rsid w:val="00E54771"/>
    <w:rsid w:val="00E57881"/>
    <w:rsid w:val="00E57BC5"/>
    <w:rsid w:val="00E66AD8"/>
    <w:rsid w:val="00E717E1"/>
    <w:rsid w:val="00E739FE"/>
    <w:rsid w:val="00E745CF"/>
    <w:rsid w:val="00E8092F"/>
    <w:rsid w:val="00E8182A"/>
    <w:rsid w:val="00E84AC5"/>
    <w:rsid w:val="00E94466"/>
    <w:rsid w:val="00EA1F70"/>
    <w:rsid w:val="00EA4AF5"/>
    <w:rsid w:val="00EA69C9"/>
    <w:rsid w:val="00EB25DD"/>
    <w:rsid w:val="00EB2BA0"/>
    <w:rsid w:val="00EB50D8"/>
    <w:rsid w:val="00EB5CCE"/>
    <w:rsid w:val="00EB6B21"/>
    <w:rsid w:val="00EC578C"/>
    <w:rsid w:val="00EC70D6"/>
    <w:rsid w:val="00EC764A"/>
    <w:rsid w:val="00EC7BB8"/>
    <w:rsid w:val="00ED5399"/>
    <w:rsid w:val="00ED7402"/>
    <w:rsid w:val="00ED7A55"/>
    <w:rsid w:val="00EE05C2"/>
    <w:rsid w:val="00EE22AB"/>
    <w:rsid w:val="00EE3B86"/>
    <w:rsid w:val="00EE3F48"/>
    <w:rsid w:val="00EE6BBC"/>
    <w:rsid w:val="00EF3562"/>
    <w:rsid w:val="00EF3654"/>
    <w:rsid w:val="00EF4B46"/>
    <w:rsid w:val="00EF536A"/>
    <w:rsid w:val="00EF6792"/>
    <w:rsid w:val="00F02CCD"/>
    <w:rsid w:val="00F03DB9"/>
    <w:rsid w:val="00F05AC4"/>
    <w:rsid w:val="00F073F2"/>
    <w:rsid w:val="00F07B29"/>
    <w:rsid w:val="00F07D08"/>
    <w:rsid w:val="00F10BFB"/>
    <w:rsid w:val="00F118D4"/>
    <w:rsid w:val="00F1432A"/>
    <w:rsid w:val="00F15D16"/>
    <w:rsid w:val="00F16550"/>
    <w:rsid w:val="00F165B1"/>
    <w:rsid w:val="00F20FDC"/>
    <w:rsid w:val="00F21569"/>
    <w:rsid w:val="00F22337"/>
    <w:rsid w:val="00F27ADC"/>
    <w:rsid w:val="00F36DBB"/>
    <w:rsid w:val="00F40C6D"/>
    <w:rsid w:val="00F459B2"/>
    <w:rsid w:val="00F51709"/>
    <w:rsid w:val="00F53F19"/>
    <w:rsid w:val="00F60EBA"/>
    <w:rsid w:val="00F65FD8"/>
    <w:rsid w:val="00F6674D"/>
    <w:rsid w:val="00F71664"/>
    <w:rsid w:val="00F73E66"/>
    <w:rsid w:val="00F764E8"/>
    <w:rsid w:val="00F76CC9"/>
    <w:rsid w:val="00F77830"/>
    <w:rsid w:val="00F77BBD"/>
    <w:rsid w:val="00F81C82"/>
    <w:rsid w:val="00F84C77"/>
    <w:rsid w:val="00F87771"/>
    <w:rsid w:val="00FA01F8"/>
    <w:rsid w:val="00FA0AB6"/>
    <w:rsid w:val="00FA2A34"/>
    <w:rsid w:val="00FA3173"/>
    <w:rsid w:val="00FA3E39"/>
    <w:rsid w:val="00FA4510"/>
    <w:rsid w:val="00FA7CEF"/>
    <w:rsid w:val="00FB1372"/>
    <w:rsid w:val="00FB6FAD"/>
    <w:rsid w:val="00FB705A"/>
    <w:rsid w:val="00FB72D1"/>
    <w:rsid w:val="00FC0581"/>
    <w:rsid w:val="00FC0A70"/>
    <w:rsid w:val="00FC2576"/>
    <w:rsid w:val="00FC3EEF"/>
    <w:rsid w:val="00FC40BF"/>
    <w:rsid w:val="00FC439E"/>
    <w:rsid w:val="00FC5494"/>
    <w:rsid w:val="00FC7003"/>
    <w:rsid w:val="00FD341B"/>
    <w:rsid w:val="00FD3F9B"/>
    <w:rsid w:val="00FE6A1D"/>
    <w:rsid w:val="00FF0C47"/>
    <w:rsid w:val="00FF2190"/>
    <w:rsid w:val="00FF2B14"/>
    <w:rsid w:val="00FF323E"/>
    <w:rsid w:val="00FF4FDB"/>
    <w:rsid w:val="00FF66F3"/>
    <w:rsid w:val="00FF6EFD"/>
    <w:rsid w:val="00FF78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BB764"/>
  <w15:chartTrackingRefBased/>
  <w15:docId w15:val="{60A34D2E-8BCE-9141-B33D-B4388785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8"/>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030"/>
  </w:style>
  <w:style w:type="paragraph" w:styleId="Heading1">
    <w:name w:val="heading 1"/>
    <w:basedOn w:val="Normal"/>
    <w:next w:val="Normal"/>
    <w:link w:val="Heading1Char"/>
    <w:qFormat/>
    <w:rsid w:val="00093030"/>
    <w:pPr>
      <w:keepNext/>
      <w:spacing w:line="360" w:lineRule="auto"/>
      <w:outlineLvl w:val="0"/>
    </w:pPr>
    <w:rPr>
      <w:b/>
      <w:bCs/>
      <w:sz w:val="28"/>
    </w:rPr>
  </w:style>
  <w:style w:type="paragraph" w:styleId="Heading3">
    <w:name w:val="heading 3"/>
    <w:basedOn w:val="Normal"/>
    <w:next w:val="Normal"/>
    <w:link w:val="Heading3Char"/>
    <w:qFormat/>
    <w:rsid w:val="00093030"/>
    <w:pPr>
      <w:keepNext/>
      <w:spacing w:line="360" w:lineRule="auto"/>
      <w:jc w:val="both"/>
      <w:outlineLvl w:val="2"/>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030"/>
    <w:rPr>
      <w:rFonts w:ascii="Arial" w:eastAsia="Times New Roman" w:hAnsi="Arial" w:cs="Arial"/>
      <w:b/>
      <w:bCs/>
      <w:sz w:val="28"/>
      <w:lang w:val="en-GB"/>
    </w:rPr>
  </w:style>
  <w:style w:type="character" w:customStyle="1" w:styleId="Heading3Char">
    <w:name w:val="Heading 3 Char"/>
    <w:basedOn w:val="DefaultParagraphFont"/>
    <w:link w:val="Heading3"/>
    <w:rsid w:val="00093030"/>
    <w:rPr>
      <w:rFonts w:ascii="Arial" w:eastAsia="Times New Roman" w:hAnsi="Arial" w:cs="Arial"/>
      <w:i/>
      <w:iCs/>
      <w:sz w:val="28"/>
      <w:lang w:val="en-GB"/>
    </w:rPr>
  </w:style>
  <w:style w:type="paragraph" w:styleId="Header">
    <w:name w:val="header"/>
    <w:basedOn w:val="Normal"/>
    <w:link w:val="HeaderChar"/>
    <w:uiPriority w:val="99"/>
    <w:rsid w:val="00093030"/>
    <w:pPr>
      <w:tabs>
        <w:tab w:val="center" w:pos="4153"/>
        <w:tab w:val="right" w:pos="8306"/>
      </w:tabs>
    </w:pPr>
  </w:style>
  <w:style w:type="character" w:customStyle="1" w:styleId="HeaderChar">
    <w:name w:val="Header Char"/>
    <w:basedOn w:val="DefaultParagraphFont"/>
    <w:link w:val="Header"/>
    <w:uiPriority w:val="99"/>
    <w:rsid w:val="00093030"/>
    <w:rPr>
      <w:rFonts w:ascii="Times New Roman" w:eastAsia="Times New Roman" w:hAnsi="Times New Roman" w:cs="Times New Roman"/>
      <w:lang w:val="en-GB"/>
    </w:rPr>
  </w:style>
  <w:style w:type="character" w:styleId="PageNumber">
    <w:name w:val="page number"/>
    <w:basedOn w:val="DefaultParagraphFont"/>
    <w:rsid w:val="00093030"/>
    <w:rPr>
      <w:rFonts w:cs="Times New Roman"/>
    </w:rPr>
  </w:style>
  <w:style w:type="paragraph" w:styleId="FootnoteText">
    <w:name w:val="footnote text"/>
    <w:basedOn w:val="Normal"/>
    <w:link w:val="FootnoteTextChar"/>
    <w:uiPriority w:val="99"/>
    <w:rsid w:val="00093030"/>
    <w:rPr>
      <w:sz w:val="20"/>
      <w:szCs w:val="20"/>
    </w:rPr>
  </w:style>
  <w:style w:type="character" w:customStyle="1" w:styleId="FootnoteTextChar">
    <w:name w:val="Footnote Text Char"/>
    <w:basedOn w:val="DefaultParagraphFont"/>
    <w:link w:val="FootnoteText"/>
    <w:uiPriority w:val="99"/>
    <w:rsid w:val="00093030"/>
    <w:rPr>
      <w:rFonts w:ascii="Times New Roman" w:eastAsia="Times New Roman" w:hAnsi="Times New Roman" w:cs="Times New Roman"/>
      <w:sz w:val="20"/>
      <w:szCs w:val="20"/>
      <w:lang w:val="en-GB"/>
    </w:rPr>
  </w:style>
  <w:style w:type="paragraph" w:customStyle="1" w:styleId="Pa3">
    <w:name w:val="Pa3"/>
    <w:basedOn w:val="Normal"/>
    <w:next w:val="Normal"/>
    <w:uiPriority w:val="99"/>
    <w:rsid w:val="00093030"/>
    <w:pPr>
      <w:autoSpaceDE w:val="0"/>
      <w:autoSpaceDN w:val="0"/>
      <w:adjustRightInd w:val="0"/>
      <w:spacing w:line="241" w:lineRule="atLeast"/>
    </w:pPr>
  </w:style>
  <w:style w:type="paragraph" w:styleId="NormalIndent">
    <w:name w:val="Normal Indent"/>
    <w:basedOn w:val="Normal"/>
    <w:uiPriority w:val="99"/>
    <w:semiHidden/>
    <w:unhideWhenUsed/>
    <w:rsid w:val="00093030"/>
    <w:pPr>
      <w:spacing w:line="480" w:lineRule="auto"/>
      <w:ind w:left="720"/>
      <w:jc w:val="both"/>
    </w:pPr>
    <w:rPr>
      <w:sz w:val="28"/>
    </w:rPr>
  </w:style>
  <w:style w:type="paragraph" w:styleId="ListParagraph">
    <w:name w:val="List Paragraph"/>
    <w:basedOn w:val="Normal"/>
    <w:uiPriority w:val="34"/>
    <w:qFormat/>
    <w:rsid w:val="00093030"/>
    <w:pPr>
      <w:ind w:left="720"/>
      <w:contextualSpacing/>
    </w:pPr>
  </w:style>
  <w:style w:type="paragraph" w:styleId="Footer">
    <w:name w:val="footer"/>
    <w:basedOn w:val="Normal"/>
    <w:link w:val="FooterChar"/>
    <w:uiPriority w:val="99"/>
    <w:unhideWhenUsed/>
    <w:rsid w:val="00E57881"/>
    <w:pPr>
      <w:tabs>
        <w:tab w:val="center" w:pos="4680"/>
        <w:tab w:val="right" w:pos="9360"/>
      </w:tabs>
    </w:pPr>
  </w:style>
  <w:style w:type="character" w:customStyle="1" w:styleId="FooterChar">
    <w:name w:val="Footer Char"/>
    <w:basedOn w:val="DefaultParagraphFont"/>
    <w:link w:val="Footer"/>
    <w:uiPriority w:val="99"/>
    <w:rsid w:val="00E57881"/>
    <w:rPr>
      <w:rFonts w:ascii="Times New Roman" w:eastAsia="Times New Roman" w:hAnsi="Times New Roman" w:cs="Times New Roman"/>
      <w:lang w:val="en-GB"/>
    </w:rPr>
  </w:style>
  <w:style w:type="character" w:styleId="FootnoteReference">
    <w:name w:val="footnote reference"/>
    <w:basedOn w:val="DefaultParagraphFont"/>
    <w:uiPriority w:val="99"/>
    <w:semiHidden/>
    <w:unhideWhenUsed/>
    <w:rsid w:val="00AC7DA3"/>
    <w:rPr>
      <w:vertAlign w:val="superscript"/>
    </w:rPr>
  </w:style>
  <w:style w:type="character" w:styleId="Hyperlink">
    <w:name w:val="Hyperlink"/>
    <w:basedOn w:val="DefaultParagraphFont"/>
    <w:uiPriority w:val="99"/>
    <w:unhideWhenUsed/>
    <w:rsid w:val="00983729"/>
    <w:rPr>
      <w:color w:val="0563C1" w:themeColor="hyperlink"/>
      <w:u w:val="single"/>
    </w:rPr>
  </w:style>
  <w:style w:type="character" w:customStyle="1" w:styleId="UnresolvedMention1">
    <w:name w:val="Unresolved Mention1"/>
    <w:basedOn w:val="DefaultParagraphFont"/>
    <w:uiPriority w:val="99"/>
    <w:semiHidden/>
    <w:unhideWhenUsed/>
    <w:rsid w:val="00983729"/>
    <w:rPr>
      <w:color w:val="605E5C"/>
      <w:shd w:val="clear" w:color="auto" w:fill="E1DFDD"/>
    </w:rPr>
  </w:style>
  <w:style w:type="numbering" w:customStyle="1" w:styleId="CurrentList1">
    <w:name w:val="Current List1"/>
    <w:uiPriority w:val="99"/>
    <w:rsid w:val="00D6771C"/>
    <w:pPr>
      <w:numPr>
        <w:numId w:val="40"/>
      </w:numPr>
    </w:pPr>
  </w:style>
  <w:style w:type="character" w:styleId="CommentReference">
    <w:name w:val="annotation reference"/>
    <w:basedOn w:val="DefaultParagraphFont"/>
    <w:uiPriority w:val="99"/>
    <w:semiHidden/>
    <w:unhideWhenUsed/>
    <w:rsid w:val="00124230"/>
    <w:rPr>
      <w:sz w:val="16"/>
      <w:szCs w:val="16"/>
    </w:rPr>
  </w:style>
  <w:style w:type="paragraph" w:styleId="CommentText">
    <w:name w:val="annotation text"/>
    <w:basedOn w:val="Normal"/>
    <w:link w:val="CommentTextChar"/>
    <w:uiPriority w:val="99"/>
    <w:unhideWhenUsed/>
    <w:rsid w:val="00124230"/>
    <w:rPr>
      <w:sz w:val="20"/>
      <w:szCs w:val="20"/>
    </w:rPr>
  </w:style>
  <w:style w:type="character" w:customStyle="1" w:styleId="CommentTextChar">
    <w:name w:val="Comment Text Char"/>
    <w:basedOn w:val="DefaultParagraphFont"/>
    <w:link w:val="CommentText"/>
    <w:uiPriority w:val="99"/>
    <w:rsid w:val="00124230"/>
    <w:rPr>
      <w:sz w:val="20"/>
      <w:szCs w:val="20"/>
    </w:rPr>
  </w:style>
  <w:style w:type="paragraph" w:styleId="CommentSubject">
    <w:name w:val="annotation subject"/>
    <w:basedOn w:val="CommentText"/>
    <w:next w:val="CommentText"/>
    <w:link w:val="CommentSubjectChar"/>
    <w:uiPriority w:val="99"/>
    <w:semiHidden/>
    <w:unhideWhenUsed/>
    <w:rsid w:val="00124230"/>
    <w:rPr>
      <w:b/>
      <w:bCs/>
    </w:rPr>
  </w:style>
  <w:style w:type="character" w:customStyle="1" w:styleId="CommentSubjectChar">
    <w:name w:val="Comment Subject Char"/>
    <w:basedOn w:val="CommentTextChar"/>
    <w:link w:val="CommentSubject"/>
    <w:uiPriority w:val="99"/>
    <w:semiHidden/>
    <w:rsid w:val="00124230"/>
    <w:rPr>
      <w:b/>
      <w:bCs/>
      <w:sz w:val="20"/>
      <w:szCs w:val="20"/>
    </w:rPr>
  </w:style>
  <w:style w:type="paragraph" w:styleId="BalloonText">
    <w:name w:val="Balloon Text"/>
    <w:basedOn w:val="Normal"/>
    <w:link w:val="BalloonTextChar"/>
    <w:uiPriority w:val="99"/>
    <w:semiHidden/>
    <w:unhideWhenUsed/>
    <w:rsid w:val="001242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230"/>
    <w:rPr>
      <w:rFonts w:ascii="Segoe UI" w:hAnsi="Segoe UI" w:cs="Segoe UI"/>
      <w:sz w:val="18"/>
      <w:szCs w:val="18"/>
    </w:rPr>
  </w:style>
  <w:style w:type="paragraph" w:styleId="Revision">
    <w:name w:val="Revision"/>
    <w:hidden/>
    <w:uiPriority w:val="99"/>
    <w:semiHidden/>
    <w:rsid w:val="00482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34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EF685-E05D-4610-82ED-79F82AE7F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6657</Words>
  <Characters>37951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Wallis</dc:creator>
  <cp:keywords/>
  <dc:description/>
  <cp:lastModifiedBy>Mary Bruce</cp:lastModifiedBy>
  <cp:revision>8</cp:revision>
  <cp:lastPrinted>2024-01-25T13:10:00Z</cp:lastPrinted>
  <dcterms:created xsi:type="dcterms:W3CDTF">2024-01-25T13:18:00Z</dcterms:created>
  <dcterms:modified xsi:type="dcterms:W3CDTF">2024-01-26T11:15:00Z</dcterms:modified>
</cp:coreProperties>
</file>