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198E" w14:textId="77777777" w:rsidR="00A77F5E" w:rsidRDefault="00A77F5E" w:rsidP="009E7B97">
      <w:pPr>
        <w:rPr>
          <w:rFonts w:eastAsia="Arial"/>
        </w:rPr>
      </w:pPr>
    </w:p>
    <w:p w14:paraId="59AA4017" w14:textId="77777777" w:rsidR="00A77F5E" w:rsidRDefault="00A77F5E" w:rsidP="00A77F5E">
      <w:pPr>
        <w:jc w:val="center"/>
        <w:rPr>
          <w:rFonts w:ascii="Arial" w:eastAsia="Arial" w:hAnsi="Arial" w:cs="Arial"/>
          <w:b/>
          <w:sz w:val="28"/>
          <w:szCs w:val="28"/>
        </w:rPr>
      </w:pPr>
    </w:p>
    <w:p w14:paraId="73699495" w14:textId="77777777" w:rsidR="00A77F5E" w:rsidRDefault="00A77F5E" w:rsidP="00A77F5E">
      <w:pPr>
        <w:jc w:val="center"/>
        <w:rPr>
          <w:rFonts w:ascii="Arial" w:eastAsia="Arial" w:hAnsi="Arial" w:cs="Arial"/>
          <w:b/>
          <w:sz w:val="28"/>
          <w:szCs w:val="28"/>
        </w:rPr>
      </w:pPr>
    </w:p>
    <w:p w14:paraId="34761D5A" w14:textId="77777777" w:rsidR="00A77F5E" w:rsidRDefault="00A77F5E" w:rsidP="00A77F5E">
      <w:pPr>
        <w:jc w:val="center"/>
        <w:rPr>
          <w:rFonts w:ascii="Arial" w:eastAsia="Arial" w:hAnsi="Arial" w:cs="Arial"/>
          <w:b/>
          <w:sz w:val="28"/>
          <w:szCs w:val="28"/>
        </w:rPr>
      </w:pPr>
      <w:r>
        <w:rPr>
          <w:noProof/>
          <w:lang w:val="en-ZA"/>
        </w:rPr>
        <w:drawing>
          <wp:anchor distT="0" distB="0" distL="114300" distR="114300" simplePos="0" relativeHeight="251659264" behindDoc="0" locked="0" layoutInCell="1" hidden="0" allowOverlap="1" wp14:anchorId="36606133" wp14:editId="2A7DC57C">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3250DE09" w14:textId="77777777" w:rsidR="00A77F5E" w:rsidRDefault="00A77F5E" w:rsidP="00A77F5E">
      <w:pPr>
        <w:jc w:val="center"/>
        <w:rPr>
          <w:rFonts w:ascii="Arial" w:eastAsia="Arial" w:hAnsi="Arial" w:cs="Arial"/>
          <w:b/>
          <w:sz w:val="28"/>
          <w:szCs w:val="28"/>
        </w:rPr>
      </w:pPr>
    </w:p>
    <w:p w14:paraId="6362DF07" w14:textId="77777777" w:rsidR="00A77F5E" w:rsidRDefault="00A77F5E" w:rsidP="00A77F5E">
      <w:pPr>
        <w:jc w:val="center"/>
        <w:rPr>
          <w:rFonts w:ascii="Arial" w:eastAsia="Arial" w:hAnsi="Arial" w:cs="Arial"/>
          <w:b/>
        </w:rPr>
      </w:pPr>
      <w:r>
        <w:rPr>
          <w:rFonts w:ascii="Arial" w:eastAsia="Arial" w:hAnsi="Arial" w:cs="Arial"/>
          <w:b/>
        </w:rPr>
        <w:t>THE SUPREME COURT OF APPEAL OF SOUTH AFRICA</w:t>
      </w:r>
    </w:p>
    <w:p w14:paraId="6312EEA0" w14:textId="77777777" w:rsidR="00A77F5E" w:rsidRDefault="00A77F5E" w:rsidP="00A77F5E">
      <w:pPr>
        <w:pStyle w:val="Heading3"/>
        <w:jc w:val="center"/>
        <w:rPr>
          <w:b/>
          <w:i w:val="0"/>
        </w:rPr>
      </w:pPr>
      <w:r>
        <w:rPr>
          <w:b/>
          <w:i w:val="0"/>
          <w:sz w:val="24"/>
        </w:rPr>
        <w:t>JUDGMENT</w:t>
      </w:r>
    </w:p>
    <w:p w14:paraId="68595D38" w14:textId="77777777" w:rsidR="00A77F5E" w:rsidRDefault="00A77F5E" w:rsidP="00A77F5E">
      <w:pPr>
        <w:jc w:val="left"/>
        <w:rPr>
          <w:rFonts w:ascii="Arial" w:eastAsia="Arial" w:hAnsi="Arial" w:cs="Arial"/>
          <w:b/>
        </w:rPr>
      </w:pPr>
    </w:p>
    <w:p w14:paraId="52862891" w14:textId="5C395C6B" w:rsidR="005F77B4" w:rsidRDefault="005F77B4" w:rsidP="005F77B4">
      <w:pPr>
        <w:jc w:val="right"/>
        <w:rPr>
          <w:rFonts w:ascii="Arial" w:eastAsia="Arial" w:hAnsi="Arial" w:cs="Arial"/>
          <w:b/>
        </w:rPr>
      </w:pPr>
      <w:r w:rsidRPr="004B73DA">
        <w:rPr>
          <w:rFonts w:ascii="Arial" w:eastAsia="Arial" w:hAnsi="Arial" w:cs="Arial"/>
          <w:b/>
        </w:rPr>
        <w:t>Reportable</w:t>
      </w:r>
    </w:p>
    <w:p w14:paraId="668448B5" w14:textId="4EFA67D1" w:rsidR="00A77F5E" w:rsidRDefault="00CE7361" w:rsidP="00CE7361">
      <w:pPr>
        <w:rPr>
          <w:rFonts w:ascii="Arial" w:eastAsia="Arial" w:hAnsi="Arial" w:cs="Arial"/>
        </w:rPr>
      </w:pPr>
      <w:r>
        <w:rPr>
          <w:rFonts w:ascii="Arial" w:eastAsia="Arial" w:hAnsi="Arial" w:cs="Arial"/>
        </w:rPr>
        <w:t xml:space="preserve">                                                                                          </w:t>
      </w:r>
      <w:r w:rsidR="00315BFE">
        <w:rPr>
          <w:rFonts w:ascii="Arial" w:eastAsia="Arial" w:hAnsi="Arial" w:cs="Arial"/>
        </w:rPr>
        <w:t xml:space="preserve">              </w:t>
      </w:r>
      <w:r w:rsidR="004B73DA">
        <w:rPr>
          <w:rFonts w:ascii="Arial" w:eastAsia="Arial" w:hAnsi="Arial" w:cs="Arial"/>
        </w:rPr>
        <w:t xml:space="preserve">   </w:t>
      </w:r>
      <w:r w:rsidR="00315BFE">
        <w:rPr>
          <w:rFonts w:ascii="Arial" w:eastAsia="Arial" w:hAnsi="Arial" w:cs="Arial"/>
        </w:rPr>
        <w:t>Case no: 64</w:t>
      </w:r>
      <w:r w:rsidR="005E37C7">
        <w:rPr>
          <w:rFonts w:ascii="Arial" w:eastAsia="Arial" w:hAnsi="Arial" w:cs="Arial"/>
        </w:rPr>
        <w:t>/2023</w:t>
      </w:r>
    </w:p>
    <w:p w14:paraId="2A832604" w14:textId="77777777" w:rsidR="00E40D3A" w:rsidRDefault="00E40D3A" w:rsidP="00A77F5E">
      <w:pPr>
        <w:rPr>
          <w:rFonts w:ascii="Arial" w:eastAsia="Arial" w:hAnsi="Arial" w:cs="Arial"/>
        </w:rPr>
      </w:pPr>
    </w:p>
    <w:p w14:paraId="47D4482F" w14:textId="3FABA5A9" w:rsidR="00A77F5E" w:rsidRDefault="00A77F5E" w:rsidP="006A4102">
      <w:pPr>
        <w:rPr>
          <w:rFonts w:ascii="Arial" w:eastAsia="Arial" w:hAnsi="Arial" w:cs="Arial"/>
          <w:b/>
        </w:rPr>
      </w:pPr>
      <w:r>
        <w:rPr>
          <w:rFonts w:ascii="Arial" w:eastAsia="Arial" w:hAnsi="Arial" w:cs="Arial"/>
        </w:rPr>
        <w:t>In the matter between:</w:t>
      </w:r>
    </w:p>
    <w:p w14:paraId="39CBD910" w14:textId="78B1407A" w:rsidR="00A77F5E" w:rsidRDefault="00315BFE" w:rsidP="006A4102">
      <w:pPr>
        <w:widowControl w:val="0"/>
        <w:tabs>
          <w:tab w:val="right" w:pos="9360"/>
        </w:tabs>
        <w:spacing w:after="120"/>
        <w:rPr>
          <w:rFonts w:ascii="Arial" w:eastAsia="Arial" w:hAnsi="Arial" w:cs="Arial"/>
          <w:b/>
        </w:rPr>
      </w:pPr>
      <w:r>
        <w:rPr>
          <w:rFonts w:ascii="Arial" w:eastAsia="Arial" w:hAnsi="Arial" w:cs="Arial"/>
          <w:b/>
        </w:rPr>
        <w:t>GEORGE HLAUDI MOTSOENENG</w:t>
      </w:r>
      <w:r w:rsidR="005E37C7">
        <w:rPr>
          <w:rFonts w:ascii="Arial" w:eastAsia="Arial" w:hAnsi="Arial" w:cs="Arial"/>
          <w:b/>
        </w:rPr>
        <w:tab/>
      </w:r>
      <w:r w:rsidR="00A77F5E" w:rsidRPr="00306737">
        <w:rPr>
          <w:rFonts w:ascii="Arial" w:eastAsia="Arial" w:hAnsi="Arial" w:cs="Arial"/>
          <w:b/>
        </w:rPr>
        <w:t>APPELLANT</w:t>
      </w:r>
    </w:p>
    <w:p w14:paraId="79BC62CE" w14:textId="725D6ACE" w:rsidR="00A77F5E" w:rsidRDefault="00A77F5E" w:rsidP="00A77F5E">
      <w:pPr>
        <w:widowControl w:val="0"/>
        <w:rPr>
          <w:rFonts w:ascii="Arial" w:eastAsia="Arial" w:hAnsi="Arial" w:cs="Arial"/>
        </w:rPr>
      </w:pPr>
      <w:r>
        <w:rPr>
          <w:rFonts w:ascii="Arial" w:eastAsia="Arial" w:hAnsi="Arial" w:cs="Arial"/>
        </w:rPr>
        <w:t>and</w:t>
      </w:r>
    </w:p>
    <w:p w14:paraId="01D92CCF" w14:textId="77777777" w:rsidR="00315BFE" w:rsidRDefault="00315BFE" w:rsidP="00D903DF">
      <w:pPr>
        <w:widowControl w:val="0"/>
        <w:tabs>
          <w:tab w:val="right" w:pos="9360"/>
        </w:tabs>
        <w:spacing w:before="160" w:after="160"/>
        <w:rPr>
          <w:rFonts w:ascii="Arial" w:eastAsia="Arial" w:hAnsi="Arial" w:cs="Arial"/>
          <w:b/>
        </w:rPr>
      </w:pPr>
      <w:r>
        <w:rPr>
          <w:rFonts w:ascii="Arial" w:eastAsia="Arial" w:hAnsi="Arial" w:cs="Arial"/>
          <w:b/>
        </w:rPr>
        <w:t>SOUTH AFRICAN BROADCASTING</w:t>
      </w:r>
    </w:p>
    <w:p w14:paraId="4B276076" w14:textId="73ECADF2" w:rsidR="00A77F5E" w:rsidRDefault="00315BFE" w:rsidP="00D903DF">
      <w:pPr>
        <w:widowControl w:val="0"/>
        <w:tabs>
          <w:tab w:val="right" w:pos="9360"/>
        </w:tabs>
        <w:spacing w:before="160" w:after="160"/>
        <w:rPr>
          <w:rFonts w:ascii="Arial" w:eastAsia="Arial" w:hAnsi="Arial" w:cs="Arial"/>
          <w:b/>
        </w:rPr>
      </w:pPr>
      <w:r>
        <w:rPr>
          <w:rFonts w:ascii="Arial" w:eastAsia="Arial" w:hAnsi="Arial" w:cs="Arial"/>
          <w:b/>
        </w:rPr>
        <w:t>CORPORATION SOC LTD</w:t>
      </w:r>
      <w:r w:rsidR="00DE1284">
        <w:rPr>
          <w:rFonts w:ascii="Arial" w:eastAsia="Arial" w:hAnsi="Arial" w:cs="Arial"/>
          <w:b/>
        </w:rPr>
        <w:t xml:space="preserve">                                                      </w:t>
      </w:r>
      <w:r w:rsidR="005E37C7">
        <w:rPr>
          <w:rFonts w:ascii="Arial" w:eastAsia="Arial" w:hAnsi="Arial" w:cs="Arial"/>
          <w:b/>
        </w:rPr>
        <w:tab/>
        <w:t xml:space="preserve">FIRST </w:t>
      </w:r>
      <w:r w:rsidR="00A77F5E" w:rsidRPr="00306737">
        <w:rPr>
          <w:rFonts w:ascii="Arial" w:eastAsia="Arial" w:hAnsi="Arial" w:cs="Arial"/>
          <w:b/>
        </w:rPr>
        <w:t>RESPONDENT</w:t>
      </w:r>
    </w:p>
    <w:p w14:paraId="4D0863CC" w14:textId="266EC41C" w:rsidR="005E37C7" w:rsidRDefault="00315BFE" w:rsidP="006A4102">
      <w:pPr>
        <w:widowControl w:val="0"/>
        <w:tabs>
          <w:tab w:val="right" w:pos="9360"/>
        </w:tabs>
        <w:rPr>
          <w:rFonts w:ascii="Arial" w:eastAsia="Arial" w:hAnsi="Arial" w:cs="Arial"/>
          <w:b/>
        </w:rPr>
      </w:pPr>
      <w:r>
        <w:rPr>
          <w:rFonts w:ascii="Arial" w:eastAsia="Arial" w:hAnsi="Arial" w:cs="Arial"/>
          <w:b/>
        </w:rPr>
        <w:t xml:space="preserve">SPECIAL INVESTIGATING UNIT </w:t>
      </w:r>
      <w:r w:rsidR="00DE1284">
        <w:rPr>
          <w:rFonts w:ascii="Arial" w:eastAsia="Arial" w:hAnsi="Arial" w:cs="Arial"/>
          <w:b/>
        </w:rPr>
        <w:t xml:space="preserve">                              </w:t>
      </w:r>
      <w:r>
        <w:rPr>
          <w:rFonts w:ascii="Arial" w:eastAsia="Arial" w:hAnsi="Arial" w:cs="Arial"/>
          <w:b/>
        </w:rPr>
        <w:t xml:space="preserve">         </w:t>
      </w:r>
      <w:r w:rsidR="005E37C7">
        <w:rPr>
          <w:rFonts w:ascii="Arial" w:eastAsia="Arial" w:hAnsi="Arial" w:cs="Arial"/>
          <w:b/>
        </w:rPr>
        <w:t>SECOND RESPONDENT</w:t>
      </w:r>
    </w:p>
    <w:p w14:paraId="759ADB59" w14:textId="0594F7DA" w:rsidR="00315BFE" w:rsidRDefault="00315BFE" w:rsidP="006A4102">
      <w:pPr>
        <w:widowControl w:val="0"/>
        <w:tabs>
          <w:tab w:val="right" w:pos="9360"/>
        </w:tabs>
        <w:rPr>
          <w:rFonts w:ascii="Arial" w:eastAsia="Arial" w:hAnsi="Arial" w:cs="Arial"/>
          <w:b/>
        </w:rPr>
      </w:pPr>
      <w:r>
        <w:rPr>
          <w:rFonts w:ascii="Arial" w:eastAsia="Arial" w:hAnsi="Arial" w:cs="Arial"/>
          <w:b/>
        </w:rPr>
        <w:t>SOUTH AFRICAN BROADCASTING</w:t>
      </w:r>
    </w:p>
    <w:p w14:paraId="3EF520CA" w14:textId="2D9A6313" w:rsidR="00315BFE" w:rsidRDefault="00315BFE" w:rsidP="006A4102">
      <w:pPr>
        <w:widowControl w:val="0"/>
        <w:tabs>
          <w:tab w:val="right" w:pos="9360"/>
        </w:tabs>
        <w:rPr>
          <w:rFonts w:ascii="Arial" w:eastAsia="Arial" w:hAnsi="Arial" w:cs="Arial"/>
          <w:b/>
        </w:rPr>
      </w:pPr>
      <w:r>
        <w:rPr>
          <w:rFonts w:ascii="Arial" w:eastAsia="Arial" w:hAnsi="Arial" w:cs="Arial"/>
          <w:b/>
        </w:rPr>
        <w:t>CORPORATION PENSION FUND                                           THIRD RESPONDENT</w:t>
      </w:r>
    </w:p>
    <w:p w14:paraId="41C5B6FC" w14:textId="7B498CC3" w:rsidR="00DE1284" w:rsidRDefault="00DE1284" w:rsidP="006A4102">
      <w:pPr>
        <w:widowControl w:val="0"/>
        <w:tabs>
          <w:tab w:val="right" w:pos="9360"/>
        </w:tabs>
        <w:rPr>
          <w:rFonts w:ascii="Arial" w:eastAsia="Arial" w:hAnsi="Arial" w:cs="Arial"/>
          <w:b/>
        </w:rPr>
      </w:pPr>
    </w:p>
    <w:p w14:paraId="1440102F" w14:textId="3E4CB019" w:rsidR="00A77F5E" w:rsidRPr="003233C6" w:rsidRDefault="00A77F5E" w:rsidP="006A4102">
      <w:pPr>
        <w:spacing w:before="80" w:after="80"/>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r w:rsidR="00315BFE">
        <w:rPr>
          <w:rFonts w:ascii="Arial" w:eastAsia="Arial" w:hAnsi="Arial" w:cs="Arial"/>
          <w:i/>
        </w:rPr>
        <w:t xml:space="preserve">George </w:t>
      </w:r>
      <w:proofErr w:type="spellStart"/>
      <w:r w:rsidR="00315BFE">
        <w:rPr>
          <w:rFonts w:ascii="Arial" w:eastAsia="Arial" w:hAnsi="Arial" w:cs="Arial"/>
          <w:i/>
        </w:rPr>
        <w:t>Hlaudi</w:t>
      </w:r>
      <w:proofErr w:type="spellEnd"/>
      <w:r w:rsidR="00315BFE">
        <w:rPr>
          <w:rFonts w:ascii="Arial" w:eastAsia="Arial" w:hAnsi="Arial" w:cs="Arial"/>
          <w:i/>
        </w:rPr>
        <w:t xml:space="preserve"> </w:t>
      </w:r>
      <w:proofErr w:type="spellStart"/>
      <w:r w:rsidR="00315BFE">
        <w:rPr>
          <w:rFonts w:ascii="Arial" w:eastAsia="Arial" w:hAnsi="Arial" w:cs="Arial"/>
          <w:i/>
        </w:rPr>
        <w:t>Motsoeneng</w:t>
      </w:r>
      <w:proofErr w:type="spellEnd"/>
      <w:r w:rsidR="00315BFE">
        <w:rPr>
          <w:rFonts w:ascii="Arial" w:eastAsia="Arial" w:hAnsi="Arial" w:cs="Arial"/>
          <w:i/>
        </w:rPr>
        <w:t xml:space="preserve"> v South African Broadcasting Corporation </w:t>
      </w:r>
      <w:proofErr w:type="spellStart"/>
      <w:r w:rsidR="00315BFE">
        <w:rPr>
          <w:rFonts w:ascii="Arial" w:eastAsia="Arial" w:hAnsi="Arial" w:cs="Arial"/>
          <w:i/>
        </w:rPr>
        <w:t>Soc</w:t>
      </w:r>
      <w:proofErr w:type="spellEnd"/>
      <w:r w:rsidR="00315BFE">
        <w:rPr>
          <w:rFonts w:ascii="Arial" w:eastAsia="Arial" w:hAnsi="Arial" w:cs="Arial"/>
          <w:i/>
        </w:rPr>
        <w:t xml:space="preserve"> Ltd and Others</w:t>
      </w:r>
      <w:r w:rsidR="006807A7">
        <w:rPr>
          <w:rFonts w:ascii="Arial" w:eastAsia="Arial" w:hAnsi="Arial" w:cs="Arial"/>
        </w:rPr>
        <w:t xml:space="preserve"> </w:t>
      </w:r>
      <w:r w:rsidR="00315BFE">
        <w:rPr>
          <w:rFonts w:ascii="Arial" w:eastAsia="Arial" w:hAnsi="Arial" w:cs="Arial"/>
        </w:rPr>
        <w:t>(Case no 64</w:t>
      </w:r>
      <w:r w:rsidR="00E40D3A">
        <w:rPr>
          <w:rFonts w:ascii="Arial" w:eastAsia="Arial" w:hAnsi="Arial" w:cs="Arial"/>
        </w:rPr>
        <w:t>/2023</w:t>
      </w:r>
      <w:r w:rsidR="00315BFE">
        <w:rPr>
          <w:rFonts w:ascii="Arial" w:eastAsia="Arial" w:hAnsi="Arial" w:cs="Arial"/>
        </w:rPr>
        <w:t>) [2024</w:t>
      </w:r>
      <w:r w:rsidR="008C42CF">
        <w:rPr>
          <w:rFonts w:ascii="Arial" w:eastAsia="Arial" w:hAnsi="Arial" w:cs="Arial"/>
        </w:rPr>
        <w:t xml:space="preserve">] </w:t>
      </w:r>
      <w:r w:rsidR="005D57DF" w:rsidRPr="00F74C4B">
        <w:rPr>
          <w:rFonts w:ascii="Arial" w:eastAsia="Arial" w:hAnsi="Arial" w:cs="Arial"/>
        </w:rPr>
        <w:t xml:space="preserve">ZASCA </w:t>
      </w:r>
      <w:r w:rsidR="00F74C4B" w:rsidRPr="00F74C4B">
        <w:rPr>
          <w:rFonts w:ascii="Arial" w:eastAsia="Arial" w:hAnsi="Arial" w:cs="Arial"/>
        </w:rPr>
        <w:t>80</w:t>
      </w:r>
      <w:r w:rsidR="005D57DF" w:rsidRPr="00F74C4B">
        <w:rPr>
          <w:rFonts w:ascii="Arial" w:eastAsia="Arial" w:hAnsi="Arial" w:cs="Arial"/>
        </w:rPr>
        <w:t xml:space="preserve"> </w:t>
      </w:r>
      <w:r w:rsidRPr="00F74C4B">
        <w:rPr>
          <w:rFonts w:ascii="Arial" w:eastAsia="Arial" w:hAnsi="Arial" w:cs="Arial"/>
        </w:rPr>
        <w:t>(</w:t>
      </w:r>
      <w:r w:rsidR="004B73DA" w:rsidRPr="00F74C4B">
        <w:rPr>
          <w:rFonts w:ascii="Arial" w:eastAsia="Arial" w:hAnsi="Arial" w:cs="Arial"/>
        </w:rPr>
        <w:t>27</w:t>
      </w:r>
      <w:r w:rsidR="004B73DA" w:rsidRPr="004B73DA">
        <w:rPr>
          <w:rFonts w:ascii="Arial" w:eastAsia="Arial" w:hAnsi="Arial" w:cs="Arial"/>
        </w:rPr>
        <w:t xml:space="preserve"> May</w:t>
      </w:r>
      <w:r w:rsidR="00315BFE">
        <w:rPr>
          <w:rFonts w:ascii="Arial" w:eastAsia="Arial" w:hAnsi="Arial" w:cs="Arial"/>
        </w:rPr>
        <w:t xml:space="preserve"> </w:t>
      </w:r>
      <w:r w:rsidR="00CA097C">
        <w:rPr>
          <w:rFonts w:ascii="Arial" w:eastAsia="Arial" w:hAnsi="Arial" w:cs="Arial"/>
        </w:rPr>
        <w:t>2024</w:t>
      </w:r>
      <w:bookmarkStart w:id="0" w:name="_GoBack"/>
      <w:bookmarkEnd w:id="0"/>
      <w:r w:rsidRPr="003233C6">
        <w:rPr>
          <w:rFonts w:ascii="Arial" w:eastAsia="Arial" w:hAnsi="Arial" w:cs="Arial"/>
        </w:rPr>
        <w:t>)</w:t>
      </w:r>
    </w:p>
    <w:p w14:paraId="78B98508" w14:textId="4307804D" w:rsidR="00A77F5E" w:rsidRPr="003233C6" w:rsidRDefault="00A77F5E" w:rsidP="006A4102">
      <w:pPr>
        <w:spacing w:before="80" w:after="80"/>
        <w:ind w:left="1440" w:hanging="1440"/>
        <w:rPr>
          <w:rFonts w:ascii="Arial" w:eastAsia="Arial" w:hAnsi="Arial" w:cs="Arial"/>
          <w:b/>
        </w:rPr>
      </w:pPr>
      <w:r w:rsidRPr="003233C6">
        <w:rPr>
          <w:rFonts w:ascii="Arial" w:eastAsia="Arial" w:hAnsi="Arial" w:cs="Arial"/>
          <w:b/>
        </w:rPr>
        <w:t>Coram:</w:t>
      </w:r>
      <w:r w:rsidRPr="003233C6">
        <w:rPr>
          <w:rFonts w:ascii="Arial" w:eastAsia="Arial" w:hAnsi="Arial" w:cs="Arial"/>
        </w:rPr>
        <w:tab/>
      </w:r>
      <w:r w:rsidR="005F77B4" w:rsidRPr="003233C6">
        <w:rPr>
          <w:rFonts w:ascii="Arial" w:eastAsia="Arial" w:hAnsi="Arial" w:cs="Arial"/>
        </w:rPr>
        <w:t>PONNAN</w:t>
      </w:r>
      <w:r w:rsidR="00315BFE">
        <w:rPr>
          <w:rFonts w:ascii="Arial" w:eastAsia="Arial" w:hAnsi="Arial" w:cs="Arial"/>
        </w:rPr>
        <w:t>, HUGHES and MEYER JJA</w:t>
      </w:r>
      <w:r w:rsidR="00E40D3A" w:rsidRPr="003233C6">
        <w:rPr>
          <w:rFonts w:ascii="Arial" w:eastAsia="Arial" w:hAnsi="Arial" w:cs="Arial"/>
        </w:rPr>
        <w:t xml:space="preserve"> and</w:t>
      </w:r>
      <w:r w:rsidR="00315BFE">
        <w:rPr>
          <w:rFonts w:ascii="Arial" w:eastAsia="Arial" w:hAnsi="Arial" w:cs="Arial"/>
        </w:rPr>
        <w:t xml:space="preserve"> TLALETSI and MBHELE</w:t>
      </w:r>
      <w:r w:rsidR="00E40D3A" w:rsidRPr="003233C6">
        <w:rPr>
          <w:rFonts w:ascii="Arial" w:eastAsia="Arial" w:hAnsi="Arial" w:cs="Arial"/>
        </w:rPr>
        <w:t xml:space="preserve"> </w:t>
      </w:r>
      <w:r w:rsidR="00315BFE">
        <w:rPr>
          <w:rFonts w:ascii="Arial" w:eastAsia="Arial" w:hAnsi="Arial" w:cs="Arial"/>
        </w:rPr>
        <w:t>A</w:t>
      </w:r>
      <w:r w:rsidR="00E40D3A" w:rsidRPr="003233C6">
        <w:rPr>
          <w:rFonts w:ascii="Arial" w:eastAsia="Arial" w:hAnsi="Arial" w:cs="Arial"/>
        </w:rPr>
        <w:t xml:space="preserve">JJA </w:t>
      </w:r>
    </w:p>
    <w:p w14:paraId="00317953" w14:textId="0FD39E24" w:rsidR="00A77F5E" w:rsidRPr="003233C6" w:rsidRDefault="00A77F5E" w:rsidP="006A4102">
      <w:pPr>
        <w:spacing w:before="80" w:after="80"/>
        <w:rPr>
          <w:rFonts w:ascii="Arial" w:eastAsia="Arial" w:hAnsi="Arial" w:cs="Arial"/>
          <w:b/>
        </w:rPr>
      </w:pPr>
      <w:r w:rsidRPr="003233C6">
        <w:rPr>
          <w:rFonts w:ascii="Arial" w:eastAsia="Arial" w:hAnsi="Arial" w:cs="Arial"/>
          <w:b/>
        </w:rPr>
        <w:t>Heard</w:t>
      </w:r>
      <w:r w:rsidR="009E6014">
        <w:rPr>
          <w:rFonts w:ascii="Arial" w:eastAsia="Arial" w:hAnsi="Arial" w:cs="Arial"/>
        </w:rPr>
        <w:t>:</w:t>
      </w:r>
      <w:r w:rsidR="009E6014">
        <w:rPr>
          <w:rFonts w:ascii="Arial" w:eastAsia="Arial" w:hAnsi="Arial" w:cs="Arial"/>
        </w:rPr>
        <w:tab/>
        <w:t>15 May 2024</w:t>
      </w:r>
    </w:p>
    <w:p w14:paraId="7DCFBB25" w14:textId="1BDFAB1D" w:rsidR="00362604" w:rsidRPr="00362604" w:rsidRDefault="00A77F5E" w:rsidP="00362604">
      <w:pPr>
        <w:rPr>
          <w:rFonts w:ascii="Arial" w:hAnsi="Arial" w:cs="Arial"/>
          <w:lang w:val="en-ZA"/>
        </w:rPr>
      </w:pPr>
      <w:r w:rsidRPr="003233C6">
        <w:rPr>
          <w:rFonts w:ascii="Arial" w:eastAsia="Arial" w:hAnsi="Arial" w:cs="Arial"/>
          <w:b/>
        </w:rPr>
        <w:t>Delivered</w:t>
      </w:r>
      <w:r w:rsidRPr="003233C6">
        <w:rPr>
          <w:rFonts w:ascii="Arial" w:eastAsia="Arial" w:hAnsi="Arial" w:cs="Arial"/>
        </w:rPr>
        <w:t>:</w:t>
      </w:r>
      <w:r w:rsidRPr="003233C6">
        <w:rPr>
          <w:rFonts w:ascii="Arial" w:eastAsia="Arial" w:hAnsi="Arial" w:cs="Arial"/>
        </w:rPr>
        <w:tab/>
      </w:r>
      <w:r w:rsidR="00027957" w:rsidRPr="00027957">
        <w:rPr>
          <w:rFonts w:ascii="Arial" w:eastAsia="Arial" w:hAnsi="Arial" w:cs="Arial"/>
        </w:rPr>
        <w:t>27 May 2024</w:t>
      </w:r>
    </w:p>
    <w:p w14:paraId="2089427A" w14:textId="2DF2428C" w:rsidR="00A45918" w:rsidRPr="00767C32" w:rsidRDefault="00A77F5E" w:rsidP="006A4102">
      <w:pPr>
        <w:spacing w:before="80" w:after="80"/>
        <w:rPr>
          <w:rFonts w:ascii="Arial" w:eastAsia="Arial" w:hAnsi="Arial" w:cs="Arial"/>
          <w:bCs/>
        </w:rPr>
      </w:pPr>
      <w:r w:rsidRPr="005D07C6">
        <w:rPr>
          <w:rFonts w:ascii="Arial" w:eastAsia="Arial" w:hAnsi="Arial" w:cs="Arial"/>
          <w:b/>
        </w:rPr>
        <w:t>Summary:</w:t>
      </w:r>
      <w:r>
        <w:rPr>
          <w:rFonts w:ascii="Arial" w:eastAsia="Arial" w:hAnsi="Arial" w:cs="Arial"/>
          <w:b/>
        </w:rPr>
        <w:tab/>
      </w:r>
      <w:r w:rsidR="00767C32" w:rsidRPr="00767C32">
        <w:rPr>
          <w:rFonts w:ascii="Arial" w:eastAsia="Arial" w:hAnsi="Arial" w:cs="Arial"/>
        </w:rPr>
        <w:t>Application in terms of s 17(2)</w:t>
      </w:r>
      <w:r w:rsidR="00767C32" w:rsidRPr="00767C32">
        <w:rPr>
          <w:rFonts w:ascii="Arial" w:eastAsia="Arial" w:hAnsi="Arial" w:cs="Arial"/>
          <w:i/>
        </w:rPr>
        <w:t xml:space="preserve">(f) </w:t>
      </w:r>
      <w:r w:rsidR="00767C32" w:rsidRPr="00767C32">
        <w:rPr>
          <w:rFonts w:ascii="Arial" w:eastAsia="Arial" w:hAnsi="Arial" w:cs="Arial"/>
        </w:rPr>
        <w:t xml:space="preserve">of the Superior </w:t>
      </w:r>
      <w:r w:rsidR="00767C32" w:rsidRPr="00027957">
        <w:rPr>
          <w:rFonts w:ascii="Arial" w:eastAsia="Arial" w:hAnsi="Arial" w:cs="Arial"/>
        </w:rPr>
        <w:t xml:space="preserve">Courts Act </w:t>
      </w:r>
      <w:r w:rsidR="00C155BF" w:rsidRPr="00027957">
        <w:rPr>
          <w:rFonts w:ascii="Arial" w:eastAsia="Arial" w:hAnsi="Arial" w:cs="Arial"/>
        </w:rPr>
        <w:t>10 of 2013</w:t>
      </w:r>
      <w:r w:rsidR="00C155BF">
        <w:rPr>
          <w:rFonts w:ascii="Arial" w:eastAsia="Arial" w:hAnsi="Arial" w:cs="Arial"/>
        </w:rPr>
        <w:t xml:space="preserve"> </w:t>
      </w:r>
      <w:r w:rsidR="00767C32" w:rsidRPr="00767C32">
        <w:rPr>
          <w:rFonts w:ascii="Arial" w:eastAsia="Arial" w:hAnsi="Arial" w:cs="Arial"/>
        </w:rPr>
        <w:t>– absence of exceptional circumstances – application dismissed.</w:t>
      </w:r>
    </w:p>
    <w:p w14:paraId="2500BCDB" w14:textId="044D67F0" w:rsidR="00A77F5E" w:rsidRDefault="00A77F5E" w:rsidP="00FA088F">
      <w:pPr>
        <w:rPr>
          <w:rFonts w:ascii="Arial" w:eastAsia="Arial" w:hAnsi="Arial" w:cs="Arial"/>
          <w:b/>
        </w:rPr>
      </w:pPr>
      <w:r>
        <w:rPr>
          <w:rFonts w:eastAsia="Arial"/>
        </w:rPr>
        <w:br w:type="page"/>
      </w:r>
    </w:p>
    <w:p w14:paraId="07B27EEF" w14:textId="77777777" w:rsidR="005F77B4" w:rsidRPr="003A025A" w:rsidRDefault="005F77B4" w:rsidP="005F77B4">
      <w:pPr>
        <w:rPr>
          <w:rFonts w:eastAsia="Arial"/>
        </w:rPr>
      </w:pPr>
      <w:r>
        <w:rPr>
          <w:rFonts w:ascii="Arial" w:eastAsia="Arial" w:hAnsi="Arial" w:cs="Arial"/>
          <w:b/>
        </w:rPr>
        <w:lastRenderedPageBreak/>
        <w:t>___________________________________________________________________</w:t>
      </w:r>
    </w:p>
    <w:p w14:paraId="65BC4B6C" w14:textId="77777777" w:rsidR="005F77B4" w:rsidRDefault="005F77B4" w:rsidP="005F77B4">
      <w:pPr>
        <w:spacing w:line="276" w:lineRule="auto"/>
        <w:jc w:val="center"/>
        <w:rPr>
          <w:rFonts w:ascii="Arial" w:eastAsia="Arial" w:hAnsi="Arial" w:cs="Arial"/>
          <w:b/>
        </w:rPr>
      </w:pPr>
    </w:p>
    <w:p w14:paraId="03A65BB5" w14:textId="77777777" w:rsidR="005F77B4" w:rsidRDefault="005F77B4" w:rsidP="005F77B4">
      <w:pPr>
        <w:spacing w:line="276" w:lineRule="auto"/>
        <w:jc w:val="center"/>
        <w:rPr>
          <w:rFonts w:ascii="Arial" w:eastAsia="Arial" w:hAnsi="Arial" w:cs="Arial"/>
          <w:b/>
        </w:rPr>
      </w:pPr>
      <w:r>
        <w:rPr>
          <w:rFonts w:ascii="Arial" w:eastAsia="Arial" w:hAnsi="Arial" w:cs="Arial"/>
          <w:b/>
        </w:rPr>
        <w:t>ORDER</w:t>
      </w:r>
    </w:p>
    <w:p w14:paraId="2018F0B1" w14:textId="77777777" w:rsidR="005F77B4" w:rsidRDefault="005F77B4" w:rsidP="005F77B4">
      <w:pPr>
        <w:spacing w:line="276" w:lineRule="auto"/>
        <w:rPr>
          <w:rFonts w:ascii="Arial" w:eastAsia="Arial" w:hAnsi="Arial" w:cs="Arial"/>
          <w:b/>
        </w:rPr>
      </w:pPr>
      <w:r>
        <w:rPr>
          <w:rFonts w:ascii="Arial" w:eastAsia="Arial" w:hAnsi="Arial" w:cs="Arial"/>
          <w:b/>
        </w:rPr>
        <w:t>___________________________________________________________________</w:t>
      </w:r>
    </w:p>
    <w:p w14:paraId="4C08A3F9" w14:textId="18363ADA" w:rsidR="00A632A6" w:rsidRDefault="00A77F5E" w:rsidP="006A4102">
      <w:pPr>
        <w:spacing w:before="160" w:after="240"/>
        <w:rPr>
          <w:rFonts w:ascii="Arial" w:hAnsi="Arial" w:cs="Arial"/>
        </w:rPr>
      </w:pPr>
      <w:r>
        <w:rPr>
          <w:rFonts w:ascii="Arial" w:eastAsia="Arial" w:hAnsi="Arial" w:cs="Arial"/>
          <w:b/>
          <w:color w:val="000000"/>
        </w:rPr>
        <w:t>On appeal from</w:t>
      </w:r>
      <w:r>
        <w:rPr>
          <w:rFonts w:ascii="Arial" w:eastAsia="Arial" w:hAnsi="Arial" w:cs="Arial"/>
          <w:color w:val="000000"/>
        </w:rPr>
        <w:t xml:space="preserve">: </w:t>
      </w:r>
      <w:r w:rsidR="009E6014">
        <w:rPr>
          <w:rFonts w:ascii="Arial" w:hAnsi="Arial" w:cs="Arial"/>
        </w:rPr>
        <w:t>Gauteng</w:t>
      </w:r>
      <w:r w:rsidRPr="00CB576A">
        <w:rPr>
          <w:rFonts w:ascii="Arial" w:hAnsi="Arial" w:cs="Arial"/>
        </w:rPr>
        <w:t xml:space="preserve"> </w:t>
      </w:r>
      <w:r w:rsidRPr="00A70B91">
        <w:rPr>
          <w:rFonts w:ascii="Arial" w:hAnsi="Arial" w:cs="Arial"/>
        </w:rPr>
        <w:t xml:space="preserve">Division of the High Court, </w:t>
      </w:r>
      <w:r w:rsidR="009E6014">
        <w:rPr>
          <w:rFonts w:ascii="Arial" w:hAnsi="Arial" w:cs="Arial"/>
        </w:rPr>
        <w:t>Johannesburg</w:t>
      </w:r>
      <w:r w:rsidR="008324A2">
        <w:rPr>
          <w:rFonts w:ascii="Arial" w:hAnsi="Arial" w:cs="Arial"/>
        </w:rPr>
        <w:t xml:space="preserve"> </w:t>
      </w:r>
      <w:r w:rsidR="008324A2" w:rsidRPr="00A70B91">
        <w:rPr>
          <w:rFonts w:ascii="Arial" w:hAnsi="Arial" w:cs="Arial"/>
        </w:rPr>
        <w:t>(</w:t>
      </w:r>
      <w:r w:rsidR="009E6014">
        <w:rPr>
          <w:rFonts w:ascii="Arial" w:hAnsi="Arial" w:cs="Arial"/>
        </w:rPr>
        <w:t xml:space="preserve">Khan </w:t>
      </w:r>
      <w:r w:rsidR="00E33516">
        <w:rPr>
          <w:rFonts w:ascii="Arial" w:hAnsi="Arial" w:cs="Arial"/>
        </w:rPr>
        <w:t>A</w:t>
      </w:r>
      <w:r w:rsidR="008324A2">
        <w:rPr>
          <w:rFonts w:ascii="Arial" w:hAnsi="Arial" w:cs="Arial"/>
        </w:rPr>
        <w:t>J</w:t>
      </w:r>
      <w:r w:rsidR="008324A2" w:rsidRPr="00A70B91">
        <w:rPr>
          <w:rFonts w:ascii="Arial" w:hAnsi="Arial" w:cs="Arial"/>
        </w:rPr>
        <w:t>, sitting as court of first instance):</w:t>
      </w:r>
    </w:p>
    <w:p w14:paraId="32417FB5" w14:textId="2B06D029" w:rsidR="009E6014" w:rsidRDefault="003C1BA1" w:rsidP="009E6014">
      <w:pPr>
        <w:rPr>
          <w:rFonts w:ascii="Arial" w:hAnsi="Arial" w:cs="Arial"/>
        </w:rPr>
      </w:pPr>
      <w:r>
        <w:rPr>
          <w:rFonts w:ascii="Arial" w:hAnsi="Arial" w:cs="Arial"/>
        </w:rPr>
        <w:t>(</w:t>
      </w:r>
      <w:r w:rsidR="009E6014">
        <w:rPr>
          <w:rFonts w:ascii="Arial" w:hAnsi="Arial" w:cs="Arial"/>
        </w:rPr>
        <w:t>a</w:t>
      </w:r>
      <w:r>
        <w:rPr>
          <w:rFonts w:ascii="Arial" w:hAnsi="Arial" w:cs="Arial"/>
        </w:rPr>
        <w:t>)</w:t>
      </w:r>
      <w:r w:rsidR="009E6014" w:rsidRPr="009E6014">
        <w:rPr>
          <w:rFonts w:ascii="Arial" w:hAnsi="Arial" w:cs="Arial"/>
        </w:rPr>
        <w:tab/>
      </w:r>
      <w:r w:rsidR="009E6014" w:rsidRPr="0017764C">
        <w:rPr>
          <w:rFonts w:ascii="Arial" w:hAnsi="Arial" w:cs="Arial"/>
        </w:rPr>
        <w:t>The application for condo</w:t>
      </w:r>
      <w:r w:rsidR="009E6014">
        <w:rPr>
          <w:rFonts w:ascii="Arial" w:hAnsi="Arial" w:cs="Arial"/>
        </w:rPr>
        <w:t>nation is dismissed with costs.</w:t>
      </w:r>
    </w:p>
    <w:p w14:paraId="00005818" w14:textId="40B58A9A" w:rsidR="009E6014" w:rsidRDefault="003C1BA1" w:rsidP="009E6014">
      <w:pPr>
        <w:rPr>
          <w:rFonts w:ascii="Arial" w:hAnsi="Arial" w:cs="Arial"/>
        </w:rPr>
      </w:pPr>
      <w:r>
        <w:rPr>
          <w:rFonts w:ascii="Arial" w:hAnsi="Arial" w:cs="Arial"/>
        </w:rPr>
        <w:t>(</w:t>
      </w:r>
      <w:r w:rsidR="009E6014">
        <w:rPr>
          <w:rFonts w:ascii="Arial" w:hAnsi="Arial" w:cs="Arial"/>
        </w:rPr>
        <w:t>b</w:t>
      </w:r>
      <w:r>
        <w:rPr>
          <w:rFonts w:ascii="Arial" w:hAnsi="Arial" w:cs="Arial"/>
        </w:rPr>
        <w:t>)</w:t>
      </w:r>
      <w:r w:rsidR="009E6014" w:rsidRPr="009E6014">
        <w:rPr>
          <w:rFonts w:ascii="Arial" w:hAnsi="Arial" w:cs="Arial"/>
        </w:rPr>
        <w:tab/>
      </w:r>
      <w:r w:rsidR="009E6014" w:rsidRPr="0017764C">
        <w:rPr>
          <w:rFonts w:ascii="Arial" w:hAnsi="Arial" w:cs="Arial"/>
        </w:rPr>
        <w:t>The applicant for condonation is ordered to pay the costs incurred by the respondents in opposing the lapsed appeal.</w:t>
      </w:r>
    </w:p>
    <w:p w14:paraId="6DC65625" w14:textId="169811CA" w:rsidR="009E6014" w:rsidRPr="009E6014" w:rsidRDefault="003C1BA1" w:rsidP="009E6014">
      <w:pPr>
        <w:rPr>
          <w:rFonts w:ascii="Arial" w:hAnsi="Arial" w:cs="Arial"/>
        </w:rPr>
      </w:pPr>
      <w:r>
        <w:rPr>
          <w:rFonts w:ascii="Arial" w:hAnsi="Arial" w:cs="Arial"/>
        </w:rPr>
        <w:t>(</w:t>
      </w:r>
      <w:r w:rsidR="009E6014">
        <w:rPr>
          <w:rFonts w:ascii="Arial" w:hAnsi="Arial" w:cs="Arial"/>
        </w:rPr>
        <w:t>c</w:t>
      </w:r>
      <w:r>
        <w:rPr>
          <w:rFonts w:ascii="Arial" w:hAnsi="Arial" w:cs="Arial"/>
        </w:rPr>
        <w:t>)</w:t>
      </w:r>
      <w:r w:rsidR="009E6014">
        <w:rPr>
          <w:rFonts w:ascii="Arial" w:hAnsi="Arial" w:cs="Arial"/>
        </w:rPr>
        <w:tab/>
      </w:r>
      <w:r w:rsidR="009E6014" w:rsidRPr="0017764C">
        <w:rPr>
          <w:rFonts w:ascii="Arial" w:hAnsi="Arial" w:cs="Arial"/>
        </w:rPr>
        <w:t>In both instances (a) and (b) the costs shall include the costs of two counsel.</w:t>
      </w:r>
    </w:p>
    <w:p w14:paraId="35B43C01" w14:textId="77777777" w:rsidR="00A77F5E" w:rsidRDefault="00A77F5E" w:rsidP="00A77F5E">
      <w:pPr>
        <w:pBdr>
          <w:top w:val="nil"/>
          <w:left w:val="nil"/>
          <w:bottom w:val="nil"/>
          <w:right w:val="nil"/>
          <w:between w:val="nil"/>
        </w:pBdr>
        <w:spacing w:line="276" w:lineRule="auto"/>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14:paraId="5E6EB5F2"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p>
    <w:p w14:paraId="5846FEF9"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r>
        <w:rPr>
          <w:rFonts w:ascii="Arial" w:eastAsia="Arial" w:hAnsi="Arial" w:cs="Arial"/>
          <w:b/>
          <w:color w:val="000000"/>
        </w:rPr>
        <w:t>JUDGMENT</w:t>
      </w:r>
    </w:p>
    <w:p w14:paraId="2932CC65" w14:textId="64E22C6E" w:rsidR="000C2862" w:rsidRDefault="00A77F5E" w:rsidP="00D903DF">
      <w:pPr>
        <w:pBdr>
          <w:top w:val="nil"/>
          <w:left w:val="nil"/>
          <w:bottom w:val="nil"/>
          <w:right w:val="nil"/>
          <w:between w:val="nil"/>
        </w:pBdr>
        <w:ind w:left="360" w:hanging="360"/>
        <w:rPr>
          <w:rFonts w:ascii="Arial" w:eastAsia="Arial" w:hAnsi="Arial" w:cs="Arial"/>
          <w:b/>
        </w:rPr>
      </w:pPr>
      <w:r>
        <w:rPr>
          <w:rFonts w:ascii="Arial" w:eastAsia="Arial" w:hAnsi="Arial" w:cs="Arial"/>
          <w:b/>
          <w:color w:val="000000"/>
        </w:rPr>
        <w:t>___________________________________________________________________</w:t>
      </w:r>
    </w:p>
    <w:p w14:paraId="289991EF" w14:textId="3401C29A" w:rsidR="00ED5C67" w:rsidRDefault="00A77F5E" w:rsidP="00D903DF">
      <w:pPr>
        <w:spacing w:before="120" w:after="120"/>
        <w:rPr>
          <w:rFonts w:ascii="Arial" w:eastAsia="Arial" w:hAnsi="Arial" w:cs="Arial"/>
          <w:b/>
        </w:rPr>
      </w:pPr>
      <w:r w:rsidRPr="003233C6">
        <w:rPr>
          <w:rFonts w:ascii="Arial" w:eastAsia="Arial" w:hAnsi="Arial" w:cs="Arial"/>
          <w:b/>
        </w:rPr>
        <w:t xml:space="preserve">Ponnan JA </w:t>
      </w:r>
      <w:r w:rsidRPr="00AF22D7">
        <w:rPr>
          <w:rFonts w:ascii="Arial" w:eastAsia="Arial" w:hAnsi="Arial" w:cs="Arial"/>
          <w:b/>
        </w:rPr>
        <w:t>(</w:t>
      </w:r>
      <w:r w:rsidR="00275C8E">
        <w:rPr>
          <w:rFonts w:ascii="Arial" w:eastAsia="Arial" w:hAnsi="Arial" w:cs="Arial"/>
          <w:b/>
        </w:rPr>
        <w:t xml:space="preserve">Hughes and Meyer JJA and </w:t>
      </w:r>
      <w:proofErr w:type="spellStart"/>
      <w:r w:rsidR="00275C8E">
        <w:rPr>
          <w:rFonts w:ascii="Arial" w:eastAsia="Arial" w:hAnsi="Arial" w:cs="Arial"/>
          <w:b/>
        </w:rPr>
        <w:t>Tlaletsi</w:t>
      </w:r>
      <w:proofErr w:type="spellEnd"/>
      <w:r w:rsidR="00275C8E">
        <w:rPr>
          <w:rFonts w:ascii="Arial" w:eastAsia="Arial" w:hAnsi="Arial" w:cs="Arial"/>
          <w:b/>
        </w:rPr>
        <w:t xml:space="preserve"> and </w:t>
      </w:r>
      <w:proofErr w:type="spellStart"/>
      <w:r w:rsidR="00275C8E">
        <w:rPr>
          <w:rFonts w:ascii="Arial" w:eastAsia="Arial" w:hAnsi="Arial" w:cs="Arial"/>
          <w:b/>
        </w:rPr>
        <w:t>Mbhele</w:t>
      </w:r>
      <w:proofErr w:type="spellEnd"/>
      <w:r w:rsidR="00275C8E">
        <w:rPr>
          <w:rFonts w:ascii="Arial" w:eastAsia="Arial" w:hAnsi="Arial" w:cs="Arial"/>
          <w:b/>
        </w:rPr>
        <w:t xml:space="preserve"> AJJA </w:t>
      </w:r>
      <w:r w:rsidRPr="00AF22D7">
        <w:rPr>
          <w:rFonts w:ascii="Arial" w:eastAsia="Arial" w:hAnsi="Arial" w:cs="Arial"/>
          <w:b/>
        </w:rPr>
        <w:t>concurring)</w:t>
      </w:r>
      <w:r w:rsidR="008C42CF" w:rsidRPr="00AF22D7">
        <w:rPr>
          <w:rFonts w:ascii="Arial" w:eastAsia="Arial" w:hAnsi="Arial" w:cs="Arial"/>
          <w:b/>
        </w:rPr>
        <w:t>:</w:t>
      </w:r>
    </w:p>
    <w:p w14:paraId="3D2DFA43" w14:textId="58197A33" w:rsidR="00EC5EB4" w:rsidRDefault="001C28E1" w:rsidP="00EC5EB4">
      <w:pPr>
        <w:rPr>
          <w:rFonts w:ascii="Arial" w:hAnsi="Arial" w:cs="Arial"/>
          <w:lang w:val="en-US"/>
        </w:rPr>
      </w:pPr>
      <w:r w:rsidRPr="00EC5EB4">
        <w:rPr>
          <w:rFonts w:ascii="Arial" w:hAnsi="Arial" w:cs="Arial"/>
        </w:rPr>
        <w:t>[1]</w:t>
      </w:r>
      <w:r w:rsidRPr="00EC5EB4">
        <w:rPr>
          <w:rFonts w:ascii="Arial" w:hAnsi="Arial" w:cs="Arial"/>
        </w:rPr>
        <w:tab/>
      </w:r>
      <w:r w:rsidR="00EC5EB4" w:rsidRPr="00EC5EB4">
        <w:rPr>
          <w:rFonts w:ascii="Arial" w:hAnsi="Arial" w:cs="Arial"/>
          <w:lang w:val="en-US"/>
        </w:rPr>
        <w:t>The</w:t>
      </w:r>
      <w:r w:rsidR="00EC5EB4">
        <w:rPr>
          <w:rFonts w:ascii="Arial" w:hAnsi="Arial" w:cs="Arial"/>
          <w:lang w:val="en-US"/>
        </w:rPr>
        <w:t xml:space="preserve"> appellant, George </w:t>
      </w:r>
      <w:proofErr w:type="spellStart"/>
      <w:r w:rsidR="00EC5EB4">
        <w:rPr>
          <w:rFonts w:ascii="Arial" w:hAnsi="Arial" w:cs="Arial"/>
          <w:lang w:val="en-US"/>
        </w:rPr>
        <w:t>Hlaudi</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is the former Chief Operating Officer of the first respondent, the national broadcaster, the South African Broadcasting Corporation (</w:t>
      </w:r>
      <w:proofErr w:type="spellStart"/>
      <w:r w:rsidR="00EC5EB4">
        <w:rPr>
          <w:rFonts w:ascii="Arial" w:hAnsi="Arial" w:cs="Arial"/>
          <w:lang w:val="en-US"/>
        </w:rPr>
        <w:t>Soc</w:t>
      </w:r>
      <w:proofErr w:type="spellEnd"/>
      <w:r w:rsidR="00EC5EB4">
        <w:rPr>
          <w:rFonts w:ascii="Arial" w:hAnsi="Arial" w:cs="Arial"/>
          <w:lang w:val="en-US"/>
        </w:rPr>
        <w:t xml:space="preserve">) Ltd (SABC). By virtue of his employment with the SABC,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became a member of the third respondent, the South African Broadcasting Corporation Pension Fund (the Fund). After the judgment of this Court in the matter of </w:t>
      </w:r>
      <w:r w:rsidR="002F45D9" w:rsidRPr="00AB3AFC">
        <w:rPr>
          <w:rFonts w:ascii="Arial" w:hAnsi="Arial" w:cs="Arial"/>
          <w:i/>
          <w:lang w:val="en-US"/>
        </w:rPr>
        <w:t xml:space="preserve">South African Broadcasting Corporation </w:t>
      </w:r>
      <w:proofErr w:type="spellStart"/>
      <w:r w:rsidR="002F45D9" w:rsidRPr="00AB3AFC">
        <w:rPr>
          <w:rFonts w:ascii="Arial" w:hAnsi="Arial" w:cs="Arial"/>
          <w:i/>
          <w:lang w:val="en-US"/>
        </w:rPr>
        <w:t>Soc</w:t>
      </w:r>
      <w:proofErr w:type="spellEnd"/>
      <w:r w:rsidR="002F45D9" w:rsidRPr="00AB3AFC">
        <w:rPr>
          <w:rFonts w:ascii="Arial" w:hAnsi="Arial" w:cs="Arial"/>
          <w:i/>
          <w:lang w:val="en-US"/>
        </w:rPr>
        <w:t xml:space="preserve"> Ltd and Others v Democratic Alliance and Others</w:t>
      </w:r>
      <w:r w:rsidR="00EC5EB4" w:rsidRPr="00097BE8">
        <w:rPr>
          <w:rStyle w:val="FootnoteReference"/>
          <w:rFonts w:ascii="Arial" w:hAnsi="Arial" w:cs="Arial"/>
          <w:lang w:val="en-US"/>
        </w:rPr>
        <w:footnoteReference w:id="1"/>
      </w:r>
      <w:r w:rsidR="00EC5EB4">
        <w:rPr>
          <w:rFonts w:ascii="Arial" w:hAnsi="Arial" w:cs="Arial"/>
          <w:lang w:val="en-US"/>
        </w:rPr>
        <w:t xml:space="preserve"> (which I commend to the reader),</w:t>
      </w:r>
      <w:r w:rsidR="00EC5EB4" w:rsidRPr="00097BE8">
        <w:rPr>
          <w:rFonts w:ascii="Arial" w:hAnsi="Arial" w:cs="Arial"/>
          <w:lang w:val="en-US"/>
        </w:rPr>
        <w:t xml:space="preserve"> </w:t>
      </w:r>
      <w:r w:rsidR="00EC5EB4">
        <w:rPr>
          <w:rFonts w:ascii="Arial" w:hAnsi="Arial" w:cs="Arial"/>
          <w:lang w:val="en-US"/>
        </w:rPr>
        <w:t xml:space="preserve">the then SABC board came to be reconstituted, whereupon a disciplinary enquiry against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was convened. Following the disciplinary enquiry,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Motsoeneng’s</w:t>
      </w:r>
      <w:proofErr w:type="spellEnd"/>
      <w:r w:rsidR="00EC5EB4">
        <w:rPr>
          <w:rFonts w:ascii="Arial" w:hAnsi="Arial" w:cs="Arial"/>
          <w:lang w:val="en-US"/>
        </w:rPr>
        <w:t xml:space="preserve"> employment was terminated on 12 June 2017, </w:t>
      </w:r>
      <w:proofErr w:type="spellStart"/>
      <w:r w:rsidR="00EC5EB4">
        <w:rPr>
          <w:rFonts w:ascii="Arial" w:hAnsi="Arial" w:cs="Arial"/>
          <w:lang w:val="en-US"/>
        </w:rPr>
        <w:t>whereafter</w:t>
      </w:r>
      <w:proofErr w:type="spellEnd"/>
      <w:r w:rsidR="00EC5EB4">
        <w:rPr>
          <w:rFonts w:ascii="Arial" w:hAnsi="Arial" w:cs="Arial"/>
          <w:lang w:val="en-US"/>
        </w:rPr>
        <w:t xml:space="preserve"> he became entitled to the payment of a withdrawal benefit from the Fund in accordance with its rules.</w:t>
      </w:r>
    </w:p>
    <w:p w14:paraId="3CE2FF48" w14:textId="0D1D6EBD" w:rsidR="001C28E1" w:rsidRPr="00EC5EB4" w:rsidRDefault="001C28E1" w:rsidP="001C28E1">
      <w:pPr>
        <w:rPr>
          <w:rFonts w:ascii="Arial" w:hAnsi="Arial" w:cs="Arial"/>
          <w:highlight w:val="red"/>
        </w:rPr>
      </w:pPr>
    </w:p>
    <w:p w14:paraId="016AD150" w14:textId="655B1EFF" w:rsidR="00EC5EB4" w:rsidRDefault="001C28E1" w:rsidP="00EC5EB4">
      <w:pPr>
        <w:rPr>
          <w:rFonts w:ascii="Arial" w:hAnsi="Arial" w:cs="Arial"/>
          <w:lang w:val="en-US"/>
        </w:rPr>
      </w:pPr>
      <w:r w:rsidRPr="00EC5EB4">
        <w:rPr>
          <w:rFonts w:ascii="Arial" w:hAnsi="Arial" w:cs="Arial"/>
        </w:rPr>
        <w:t>[2]</w:t>
      </w:r>
      <w:r w:rsidRPr="00EC5EB4">
        <w:rPr>
          <w:rFonts w:ascii="Arial" w:hAnsi="Arial" w:cs="Arial"/>
        </w:rPr>
        <w:tab/>
      </w:r>
      <w:r w:rsidR="00EC5EB4">
        <w:rPr>
          <w:rFonts w:ascii="Arial" w:hAnsi="Arial" w:cs="Arial"/>
          <w:lang w:val="en-US"/>
        </w:rPr>
        <w:t xml:space="preserve">On 24 July 2017, and shortly after the termination of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Motsoeneng’s</w:t>
      </w:r>
      <w:proofErr w:type="spellEnd"/>
      <w:r w:rsidR="00EC5EB4">
        <w:rPr>
          <w:rFonts w:ascii="Arial" w:hAnsi="Arial" w:cs="Arial"/>
          <w:lang w:val="en-US"/>
        </w:rPr>
        <w:t xml:space="preserve"> employment, the audit department of the SABC discovered that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had been paid a success fee to which he allegedly was not entitled. The payment came to be made in the following circumstances: On 19 August 2016, </w:t>
      </w:r>
      <w:proofErr w:type="spellStart"/>
      <w:r w:rsidR="00EC5EB4">
        <w:rPr>
          <w:rFonts w:ascii="Arial" w:hAnsi="Arial" w:cs="Arial"/>
          <w:lang w:val="en-US"/>
        </w:rPr>
        <w:t>Mr</w:t>
      </w:r>
      <w:proofErr w:type="spellEnd"/>
      <w:r w:rsidR="00EC5EB4">
        <w:rPr>
          <w:rFonts w:ascii="Arial" w:hAnsi="Arial" w:cs="Arial"/>
          <w:lang w:val="en-US"/>
        </w:rPr>
        <w:t xml:space="preserve"> James </w:t>
      </w:r>
      <w:proofErr w:type="spellStart"/>
      <w:r w:rsidR="00EC5EB4">
        <w:rPr>
          <w:rFonts w:ascii="Arial" w:hAnsi="Arial" w:cs="Arial"/>
          <w:lang w:val="en-US"/>
        </w:rPr>
        <w:t>Aguma</w:t>
      </w:r>
      <w:proofErr w:type="spellEnd"/>
      <w:r w:rsidR="00EC5EB4">
        <w:rPr>
          <w:rFonts w:ascii="Arial" w:hAnsi="Arial" w:cs="Arial"/>
          <w:lang w:val="en-US"/>
        </w:rPr>
        <w:t xml:space="preserve">, the </w:t>
      </w:r>
      <w:r w:rsidR="00EC5EB4">
        <w:rPr>
          <w:rFonts w:ascii="Arial" w:hAnsi="Arial" w:cs="Arial"/>
          <w:lang w:val="en-US"/>
        </w:rPr>
        <w:lastRenderedPageBreak/>
        <w:t xml:space="preserve">former Group Chief Executive Officer, made oral representations to the Governance and Nominations Committee (the GNC) of the SABC requesting their approval for the payment of a success fee to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ostensibly on the basis that he had raised an amount of R1,19 billion for the benefit</w:t>
      </w:r>
      <w:r w:rsidR="009117A1">
        <w:rPr>
          <w:rFonts w:ascii="Arial" w:hAnsi="Arial" w:cs="Arial"/>
          <w:lang w:val="en-US"/>
        </w:rPr>
        <w:t xml:space="preserve"> of the SABC. The GNC approved</w:t>
      </w:r>
      <w:r w:rsidR="00EC5EB4">
        <w:rPr>
          <w:rFonts w:ascii="Arial" w:hAnsi="Arial" w:cs="Arial"/>
          <w:lang w:val="en-US"/>
        </w:rPr>
        <w:t xml:space="preserve"> payment</w:t>
      </w:r>
      <w:r w:rsidR="00EC5EB4" w:rsidRPr="00F92E68">
        <w:rPr>
          <w:rFonts w:ascii="Arial" w:hAnsi="Arial" w:cs="Arial"/>
          <w:lang w:val="en-US"/>
        </w:rPr>
        <w:t xml:space="preserve"> </w:t>
      </w:r>
      <w:r w:rsidR="009117A1">
        <w:rPr>
          <w:rFonts w:ascii="Arial" w:hAnsi="Arial" w:cs="Arial"/>
          <w:lang w:val="en-US"/>
        </w:rPr>
        <w:t>and</w:t>
      </w:r>
      <w:r w:rsidR="00EC5EB4">
        <w:rPr>
          <w:rFonts w:ascii="Arial" w:hAnsi="Arial" w:cs="Arial"/>
          <w:lang w:val="en-US"/>
        </w:rPr>
        <w:t xml:space="preserve"> the sum </w:t>
      </w:r>
      <w:r w:rsidR="00AF22D7">
        <w:rPr>
          <w:rFonts w:ascii="Arial" w:hAnsi="Arial" w:cs="Arial"/>
          <w:lang w:val="en-US"/>
        </w:rPr>
        <w:t xml:space="preserve">of R11 508 </w:t>
      </w:r>
      <w:r w:rsidR="009117A1">
        <w:rPr>
          <w:rFonts w:ascii="Arial" w:hAnsi="Arial" w:cs="Arial"/>
          <w:lang w:val="en-US"/>
        </w:rPr>
        <w:t>549.12</w:t>
      </w:r>
      <w:r w:rsidR="00EC5EB4">
        <w:rPr>
          <w:rFonts w:ascii="Arial" w:hAnsi="Arial" w:cs="Arial"/>
          <w:lang w:val="en-US"/>
        </w:rPr>
        <w:t xml:space="preserve"> </w:t>
      </w:r>
      <w:r w:rsidR="009117A1">
        <w:rPr>
          <w:rFonts w:ascii="Arial" w:hAnsi="Arial" w:cs="Arial"/>
          <w:lang w:val="en-US"/>
        </w:rPr>
        <w:t xml:space="preserve">came to be </w:t>
      </w:r>
      <w:r w:rsidR="00C155BF">
        <w:rPr>
          <w:rFonts w:ascii="Arial" w:hAnsi="Arial" w:cs="Arial"/>
          <w:lang w:val="en-US"/>
        </w:rPr>
        <w:t xml:space="preserve">paid in </w:t>
      </w:r>
      <w:r w:rsidR="00C155BF" w:rsidRPr="00027957">
        <w:rPr>
          <w:rFonts w:ascii="Arial" w:hAnsi="Arial" w:cs="Arial"/>
          <w:lang w:val="en-US"/>
        </w:rPr>
        <w:t>two instal</w:t>
      </w:r>
      <w:r w:rsidR="00EC5EB4" w:rsidRPr="00027957">
        <w:rPr>
          <w:rFonts w:ascii="Arial" w:hAnsi="Arial" w:cs="Arial"/>
          <w:lang w:val="en-US"/>
        </w:rPr>
        <w:t>ments</w:t>
      </w:r>
      <w:r w:rsidR="00EC5EB4">
        <w:rPr>
          <w:rFonts w:ascii="Arial" w:hAnsi="Arial" w:cs="Arial"/>
          <w:lang w:val="en-US"/>
        </w:rPr>
        <w:t xml:space="preserve"> on 12 and 13 September 2016.</w:t>
      </w:r>
    </w:p>
    <w:p w14:paraId="7A5A9D33" w14:textId="77777777" w:rsidR="00EC5EB4" w:rsidRDefault="00EC5EB4" w:rsidP="00EC5EB4">
      <w:pPr>
        <w:rPr>
          <w:rFonts w:ascii="Arial" w:hAnsi="Arial" w:cs="Arial"/>
          <w:lang w:val="en-US"/>
        </w:rPr>
      </w:pPr>
    </w:p>
    <w:p w14:paraId="6381423E" w14:textId="6CD8CD28" w:rsidR="00EC5EB4" w:rsidRDefault="001C28E1" w:rsidP="00EC5EB4">
      <w:pPr>
        <w:rPr>
          <w:rFonts w:ascii="Arial" w:hAnsi="Arial" w:cs="Arial"/>
          <w:lang w:val="en-US"/>
        </w:rPr>
      </w:pPr>
      <w:r w:rsidRPr="00EC5EB4">
        <w:rPr>
          <w:rFonts w:ascii="Arial" w:hAnsi="Arial" w:cs="Arial"/>
        </w:rPr>
        <w:t>[3]</w:t>
      </w:r>
      <w:r w:rsidRPr="00EC5EB4">
        <w:rPr>
          <w:rFonts w:ascii="Arial" w:hAnsi="Arial" w:cs="Arial"/>
        </w:rPr>
        <w:tab/>
      </w:r>
      <w:r w:rsidR="00EC5EB4" w:rsidRPr="00EC5EB4">
        <w:rPr>
          <w:rFonts w:ascii="Arial" w:hAnsi="Arial" w:cs="Arial"/>
          <w:lang w:val="en-US"/>
        </w:rPr>
        <w:t>Asserting</w:t>
      </w:r>
      <w:r w:rsidR="00EC5EB4">
        <w:rPr>
          <w:rFonts w:ascii="Arial" w:hAnsi="Arial" w:cs="Arial"/>
          <w:lang w:val="en-US"/>
        </w:rPr>
        <w:t xml:space="preserve"> that the GNC had no authority or mandate to pay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a success fee</w:t>
      </w:r>
      <w:r w:rsidR="009117A1">
        <w:rPr>
          <w:rFonts w:ascii="Arial" w:hAnsi="Arial" w:cs="Arial"/>
          <w:lang w:val="en-US"/>
        </w:rPr>
        <w:t xml:space="preserve">, </w:t>
      </w:r>
      <w:r w:rsidR="00EC5EB4">
        <w:rPr>
          <w:rFonts w:ascii="Arial" w:hAnsi="Arial" w:cs="Arial"/>
          <w:lang w:val="en-US"/>
        </w:rPr>
        <w:t>the SABC addressed a letter to the Chief Executive and Principal Officer of the Fund</w:t>
      </w:r>
      <w:r w:rsidR="009117A1">
        <w:rPr>
          <w:rFonts w:ascii="Arial" w:hAnsi="Arial" w:cs="Arial"/>
          <w:lang w:val="en-US"/>
        </w:rPr>
        <w:t xml:space="preserve"> on 20 July 2017</w:t>
      </w:r>
      <w:r w:rsidR="00EC5EB4">
        <w:rPr>
          <w:rFonts w:ascii="Arial" w:hAnsi="Arial" w:cs="Arial"/>
          <w:lang w:val="en-US"/>
        </w:rPr>
        <w:t xml:space="preserve"> requesting that: (a) it withhold payment of the accumulated pension benefit due to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until such time as a judgment issued in the civil proceedings that it contemplated instituting against him; and, (b) in the event of a judgment issuing against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the Fund make a deduction from any benefit due to him in satisfaction of the judgment. The Fund refused to accede to the request, instead after first seeking and obtaining further particularity from the SABC, the Principal Officer of the Fund wrote</w:t>
      </w:r>
      <w:r w:rsidR="00EC5EB4" w:rsidRPr="003C77F5">
        <w:rPr>
          <w:rFonts w:ascii="Arial" w:hAnsi="Arial" w:cs="Arial"/>
          <w:lang w:val="en-US"/>
        </w:rPr>
        <w:t xml:space="preserve"> </w:t>
      </w:r>
      <w:r w:rsidR="00EC5EB4">
        <w:rPr>
          <w:rFonts w:ascii="Arial" w:hAnsi="Arial" w:cs="Arial"/>
          <w:lang w:val="en-US"/>
        </w:rPr>
        <w:t>on 28 July 2017: ‘[</w:t>
      </w:r>
      <w:proofErr w:type="spellStart"/>
      <w:r w:rsidR="00EC5EB4">
        <w:rPr>
          <w:rFonts w:ascii="Arial" w:hAnsi="Arial" w:cs="Arial"/>
          <w:lang w:val="en-US"/>
        </w:rPr>
        <w:t>i</w:t>
      </w:r>
      <w:proofErr w:type="spellEnd"/>
      <w:r w:rsidR="00EC5EB4">
        <w:rPr>
          <w:rFonts w:ascii="Arial" w:hAnsi="Arial" w:cs="Arial"/>
          <w:lang w:val="en-US"/>
        </w:rPr>
        <w:t xml:space="preserve">]n order to withhold the pension benefit from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the Fund is obliged to request that the relevant application to interdict the </w:t>
      </w:r>
      <w:r w:rsidR="00301F4A">
        <w:rPr>
          <w:rFonts w:ascii="Arial" w:hAnsi="Arial" w:cs="Arial"/>
          <w:lang w:val="en-US"/>
        </w:rPr>
        <w:t>F</w:t>
      </w:r>
      <w:r w:rsidR="00EC5EB4">
        <w:rPr>
          <w:rFonts w:ascii="Arial" w:hAnsi="Arial" w:cs="Arial"/>
          <w:lang w:val="en-US"/>
        </w:rPr>
        <w:t>und from paying out the benefit be served on the Fund on or before 4 August 2017’.</w:t>
      </w:r>
    </w:p>
    <w:p w14:paraId="25B72BDB" w14:textId="7CE11F78" w:rsidR="001C28E1" w:rsidRPr="00EC5EB4" w:rsidRDefault="001C28E1" w:rsidP="001C28E1">
      <w:pPr>
        <w:rPr>
          <w:rFonts w:ascii="Arial" w:hAnsi="Arial" w:cs="Arial"/>
          <w:highlight w:val="red"/>
        </w:rPr>
      </w:pPr>
    </w:p>
    <w:p w14:paraId="6DBCC9FF" w14:textId="4601DABC" w:rsidR="00EC5EB4" w:rsidRDefault="001C28E1" w:rsidP="00EC5EB4">
      <w:pPr>
        <w:rPr>
          <w:rFonts w:ascii="Arial" w:hAnsi="Arial" w:cs="Arial"/>
          <w:lang w:val="en-US"/>
        </w:rPr>
      </w:pPr>
      <w:r w:rsidRPr="00EC5EB4">
        <w:rPr>
          <w:rFonts w:ascii="Arial" w:hAnsi="Arial" w:cs="Arial"/>
        </w:rPr>
        <w:t>[4]</w:t>
      </w:r>
      <w:r w:rsidRPr="00EC5EB4">
        <w:rPr>
          <w:rFonts w:ascii="Arial" w:hAnsi="Arial" w:cs="Arial"/>
        </w:rPr>
        <w:tab/>
      </w:r>
      <w:r w:rsidR="00EC5EB4">
        <w:rPr>
          <w:rFonts w:ascii="Arial" w:hAnsi="Arial" w:cs="Arial"/>
          <w:lang w:val="en-US"/>
        </w:rPr>
        <w:t xml:space="preserve">This prompted the SABC to issue an urgent application out of the Gauteng </w:t>
      </w:r>
      <w:r w:rsidR="00301F4A">
        <w:rPr>
          <w:rFonts w:ascii="Arial" w:hAnsi="Arial" w:cs="Arial"/>
          <w:lang w:val="en-US"/>
        </w:rPr>
        <w:t xml:space="preserve">Division of the </w:t>
      </w:r>
      <w:r w:rsidR="00EC5EB4">
        <w:rPr>
          <w:rFonts w:ascii="Arial" w:hAnsi="Arial" w:cs="Arial"/>
          <w:lang w:val="en-US"/>
        </w:rPr>
        <w:t xml:space="preserve">High Court, Johannesburg on 4 August 2017. Relief was sought in two parts. Under Part A, the SABC sought an order restraining the Fund from paying out any benefit due to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to the tune of R11 508 549.12, pending the determination of Part B. The SABC also sought a ‘[c]</w:t>
      </w:r>
      <w:proofErr w:type="spellStart"/>
      <w:r w:rsidR="00EC5EB4">
        <w:rPr>
          <w:rFonts w:ascii="Arial" w:hAnsi="Arial" w:cs="Arial"/>
          <w:lang w:val="en-US"/>
        </w:rPr>
        <w:t>onditional</w:t>
      </w:r>
      <w:proofErr w:type="spellEnd"/>
      <w:r w:rsidR="00EC5EB4">
        <w:rPr>
          <w:rFonts w:ascii="Arial" w:hAnsi="Arial" w:cs="Arial"/>
          <w:lang w:val="en-US"/>
        </w:rPr>
        <w:t xml:space="preserve"> </w:t>
      </w:r>
      <w:proofErr w:type="spellStart"/>
      <w:r w:rsidR="00EC5EB4">
        <w:rPr>
          <w:rFonts w:ascii="Arial" w:hAnsi="Arial" w:cs="Arial"/>
          <w:lang w:val="en-US"/>
        </w:rPr>
        <w:t>declarator</w:t>
      </w:r>
      <w:proofErr w:type="spellEnd"/>
      <w:r w:rsidR="00EC5EB4">
        <w:rPr>
          <w:rFonts w:ascii="Arial" w:hAnsi="Arial" w:cs="Arial"/>
          <w:lang w:val="en-US"/>
        </w:rPr>
        <w:t xml:space="preserve"> of unconstitutionality in respect of section 37D of the Pension Fund Act 108 of 1996’. Why the additional relief was sought was far from </w:t>
      </w:r>
      <w:proofErr w:type="gramStart"/>
      <w:r w:rsidR="00EC5EB4">
        <w:rPr>
          <w:rFonts w:ascii="Arial" w:hAnsi="Arial" w:cs="Arial"/>
          <w:lang w:val="en-US"/>
        </w:rPr>
        <w:t>clear.</w:t>
      </w:r>
      <w:proofErr w:type="gramEnd"/>
      <w:r w:rsidR="00EC5EB4">
        <w:rPr>
          <w:rFonts w:ascii="Arial" w:hAnsi="Arial" w:cs="Arial"/>
          <w:lang w:val="en-US"/>
        </w:rPr>
        <w:t xml:space="preserve"> It, however, necessitated the joinder of the Minister of Finance and the Registrar of Pension Funds, both of whom filed affidavits in opposition. In the event, the SABC subsequently chose to abandon the constitutional challenge and tendered the costs occasioned thereby in its replying affidavit.</w:t>
      </w:r>
    </w:p>
    <w:p w14:paraId="1BAB1A26" w14:textId="77777777" w:rsidR="00EC5EB4" w:rsidRDefault="00EC5EB4" w:rsidP="00EC5EB4">
      <w:pPr>
        <w:rPr>
          <w:rFonts w:ascii="Arial" w:hAnsi="Arial" w:cs="Arial"/>
          <w:lang w:val="en-US"/>
        </w:rPr>
      </w:pPr>
    </w:p>
    <w:p w14:paraId="5047079F" w14:textId="77777777" w:rsidR="00EC5EB4" w:rsidRDefault="00A632A6" w:rsidP="00EC5EB4">
      <w:pPr>
        <w:rPr>
          <w:rFonts w:ascii="Arial" w:hAnsi="Arial" w:cs="Arial"/>
          <w:lang w:val="en-US"/>
        </w:rPr>
      </w:pPr>
      <w:r w:rsidRPr="00EC5EB4">
        <w:rPr>
          <w:rFonts w:ascii="Arial" w:hAnsi="Arial" w:cs="Arial"/>
        </w:rPr>
        <w:t>[</w:t>
      </w:r>
      <w:r w:rsidR="001C28E1" w:rsidRPr="00EC5EB4">
        <w:rPr>
          <w:rFonts w:ascii="Arial" w:hAnsi="Arial" w:cs="Arial"/>
        </w:rPr>
        <w:t>5]</w:t>
      </w:r>
      <w:r w:rsidR="001C28E1" w:rsidRPr="00EC5EB4">
        <w:rPr>
          <w:rFonts w:ascii="Arial" w:hAnsi="Arial" w:cs="Arial"/>
        </w:rPr>
        <w:tab/>
      </w:r>
      <w:r w:rsidR="00EC5EB4" w:rsidRPr="00EC5EB4">
        <w:rPr>
          <w:rFonts w:ascii="Arial" w:hAnsi="Arial" w:cs="Arial"/>
          <w:lang w:val="en-US"/>
        </w:rPr>
        <w:t>In</w:t>
      </w:r>
      <w:r w:rsidR="00EC5EB4">
        <w:rPr>
          <w:rFonts w:ascii="Arial" w:hAnsi="Arial" w:cs="Arial"/>
          <w:lang w:val="en-US"/>
        </w:rPr>
        <w:t xml:space="preserve"> support of the relief sought, it was stated on behalf of the SABC:</w:t>
      </w:r>
    </w:p>
    <w:p w14:paraId="1BE8C88A" w14:textId="14BA291C"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w:t>
      </w:r>
      <w:r w:rsidRPr="00EC2677">
        <w:rPr>
          <w:rFonts w:ascii="Arial" w:hAnsi="Arial" w:cs="Arial"/>
          <w:sz w:val="22"/>
          <w:szCs w:val="22"/>
          <w:lang w:val="en-US"/>
        </w:rPr>
        <w:tab/>
        <w:t>This application is predicated on the following grounds:</w:t>
      </w:r>
    </w:p>
    <w:p w14:paraId="4C621BF7" w14:textId="77777777"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10.1</w:t>
      </w:r>
      <w:r w:rsidRPr="00EC2677">
        <w:rPr>
          <w:rFonts w:ascii="Arial" w:hAnsi="Arial" w:cs="Arial"/>
          <w:sz w:val="22"/>
          <w:szCs w:val="22"/>
          <w:lang w:val="en-US"/>
        </w:rPr>
        <w:tab/>
        <w:t>the second respondent, as a former employee of the applicant was a member of the first respondent and had made contributions during the tenure of his employment;</w:t>
      </w:r>
    </w:p>
    <w:p w14:paraId="6AD7B7A8" w14:textId="77777777"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10.2</w:t>
      </w:r>
      <w:r w:rsidRPr="00EC2677">
        <w:rPr>
          <w:rFonts w:ascii="Arial" w:hAnsi="Arial" w:cs="Arial"/>
          <w:sz w:val="22"/>
          <w:szCs w:val="22"/>
          <w:lang w:val="en-US"/>
        </w:rPr>
        <w:tab/>
        <w:t>in accordance with section 37D of the Pension Fund Act 24 of 1956 (“the Pension Fund Act”) a registered pension fund may deduct from any benefit payable to a member (the second respondent) to the employer (the applicant) for damage caused to the employer by reason of theft, dishonesty, fraud or misconduct;</w:t>
      </w:r>
    </w:p>
    <w:p w14:paraId="70AD9B91" w14:textId="77777777"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10.3</w:t>
      </w:r>
      <w:r w:rsidRPr="00EC2677">
        <w:rPr>
          <w:rFonts w:ascii="Arial" w:hAnsi="Arial" w:cs="Arial"/>
          <w:sz w:val="22"/>
          <w:szCs w:val="22"/>
          <w:lang w:val="en-US"/>
        </w:rPr>
        <w:tab/>
        <w:t>in accordance with Rule 15.2 of the SABC Pension Fund Rules (“Pension Rules”), the trustees have the requisite power to withhold payment of the benefit, where the employer has instituted legal proceedings in a court of law and/or laid a criminal charge against the member, until the matter has been finally determined by a competent Court of Law or has been settled or formally withdrawn;</w:t>
      </w:r>
    </w:p>
    <w:p w14:paraId="4F360D79" w14:textId="77777777"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10.4</w:t>
      </w:r>
      <w:r w:rsidRPr="00EC2677">
        <w:rPr>
          <w:rFonts w:ascii="Arial" w:hAnsi="Arial" w:cs="Arial"/>
          <w:sz w:val="22"/>
          <w:szCs w:val="22"/>
          <w:lang w:val="en-US"/>
        </w:rPr>
        <w:tab/>
        <w:t xml:space="preserve">the applicant, through the Interim Board sanctioned an audit investigation which has revealed that the second respondent received an unlawful/unauthorized payment in the sum of R11 508 549.12 (eleven million five hundred and eight thousand five hundred and </w:t>
      </w:r>
      <w:proofErr w:type="gramStart"/>
      <w:r w:rsidRPr="00EC2677">
        <w:rPr>
          <w:rFonts w:ascii="Arial" w:hAnsi="Arial" w:cs="Arial"/>
          <w:sz w:val="22"/>
          <w:szCs w:val="22"/>
          <w:lang w:val="en-US"/>
        </w:rPr>
        <w:t>forty nine</w:t>
      </w:r>
      <w:proofErr w:type="gramEnd"/>
      <w:r w:rsidRPr="00EC2677">
        <w:rPr>
          <w:rFonts w:ascii="Arial" w:hAnsi="Arial" w:cs="Arial"/>
          <w:sz w:val="22"/>
          <w:szCs w:val="22"/>
          <w:lang w:val="en-US"/>
        </w:rPr>
        <w:t xml:space="preserve"> rand and twelve cents) from the applicant which was termed a ‘success fee’ by the applicant’s Board’s Governance and Nominations Committee (“G &amp; N Committee”);</w:t>
      </w:r>
    </w:p>
    <w:p w14:paraId="67AFC846" w14:textId="49788AA9"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10.4.1</w:t>
      </w:r>
      <w:r w:rsidRPr="00EC2677">
        <w:rPr>
          <w:rFonts w:ascii="Arial" w:hAnsi="Arial" w:cs="Arial"/>
          <w:sz w:val="22"/>
          <w:szCs w:val="22"/>
          <w:lang w:val="en-US"/>
        </w:rPr>
        <w:tab/>
        <w:t>in this regard I annex hereto, a copy of the Final Report on the “Success Fee” . . .</w:t>
      </w:r>
      <w:r w:rsidR="00E120A8" w:rsidRPr="00EC2677">
        <w:rPr>
          <w:rFonts w:ascii="Arial" w:hAnsi="Arial" w:cs="Arial"/>
          <w:sz w:val="22"/>
          <w:szCs w:val="22"/>
          <w:lang w:val="en-US"/>
        </w:rPr>
        <w:t>;</w:t>
      </w:r>
    </w:p>
    <w:p w14:paraId="5DA32628" w14:textId="77777777"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10.5</w:t>
      </w:r>
      <w:r w:rsidRPr="00EC2677">
        <w:rPr>
          <w:rFonts w:ascii="Arial" w:hAnsi="Arial" w:cs="Arial"/>
          <w:sz w:val="22"/>
          <w:szCs w:val="22"/>
          <w:lang w:val="en-US"/>
        </w:rPr>
        <w:tab/>
        <w:t>the investigation further revealed a clear misconduct in the procedure and approval of the award made to the second respondent by the said committee;</w:t>
      </w:r>
    </w:p>
    <w:p w14:paraId="56FBA89E" w14:textId="72C6B269"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10.6</w:t>
      </w:r>
      <w:r w:rsidRPr="00EC2677">
        <w:rPr>
          <w:rFonts w:ascii="Arial" w:hAnsi="Arial" w:cs="Arial"/>
          <w:sz w:val="22"/>
          <w:szCs w:val="22"/>
          <w:lang w:val="en-US"/>
        </w:rPr>
        <w:tab/>
        <w:t xml:space="preserve">resultantly, the applicant will seek an order directing the first respondent to withhold the payment of that </w:t>
      </w:r>
      <w:r w:rsidR="00EC2677" w:rsidRPr="00EC2677">
        <w:rPr>
          <w:rFonts w:ascii="Arial" w:hAnsi="Arial" w:cs="Arial"/>
          <w:sz w:val="22"/>
          <w:szCs w:val="22"/>
          <w:lang w:val="en-US"/>
        </w:rPr>
        <w:t xml:space="preserve">the </w:t>
      </w:r>
      <w:r w:rsidRPr="00EC2677">
        <w:rPr>
          <w:rFonts w:ascii="Arial" w:hAnsi="Arial" w:cs="Arial"/>
          <w:sz w:val="22"/>
          <w:szCs w:val="22"/>
          <w:lang w:val="en-US"/>
        </w:rPr>
        <w:t xml:space="preserve">sum of R11 508 549.12 (eleven million five hundred and eight thousand five hundred and </w:t>
      </w:r>
      <w:proofErr w:type="gramStart"/>
      <w:r w:rsidRPr="00EC2677">
        <w:rPr>
          <w:rFonts w:ascii="Arial" w:hAnsi="Arial" w:cs="Arial"/>
          <w:sz w:val="22"/>
          <w:szCs w:val="22"/>
          <w:lang w:val="en-US"/>
        </w:rPr>
        <w:t>forty nine</w:t>
      </w:r>
      <w:proofErr w:type="gramEnd"/>
      <w:r w:rsidRPr="00EC2677">
        <w:rPr>
          <w:rFonts w:ascii="Arial" w:hAnsi="Arial" w:cs="Arial"/>
          <w:sz w:val="22"/>
          <w:szCs w:val="22"/>
          <w:lang w:val="en-US"/>
        </w:rPr>
        <w:t xml:space="preserve"> rand and twelve cents) until the review court has pronounced on the intended review application as set out in Part B of this application.</w:t>
      </w:r>
    </w:p>
    <w:p w14:paraId="0F80984F" w14:textId="77777777" w:rsidR="00EC5EB4" w:rsidRPr="00EC2677" w:rsidRDefault="00EC5EB4" w:rsidP="00EC5EB4">
      <w:pPr>
        <w:rPr>
          <w:rFonts w:ascii="Arial" w:hAnsi="Arial" w:cs="Arial"/>
          <w:sz w:val="22"/>
          <w:szCs w:val="22"/>
          <w:lang w:val="en-US"/>
        </w:rPr>
      </w:pPr>
      <w:r w:rsidRPr="00EC2677">
        <w:rPr>
          <w:rFonts w:ascii="Arial" w:hAnsi="Arial" w:cs="Arial"/>
          <w:sz w:val="22"/>
          <w:szCs w:val="22"/>
          <w:lang w:val="en-US"/>
        </w:rPr>
        <w:t>11</w:t>
      </w:r>
      <w:r w:rsidRPr="00EC2677">
        <w:rPr>
          <w:rFonts w:ascii="Arial" w:hAnsi="Arial" w:cs="Arial"/>
          <w:sz w:val="22"/>
          <w:szCs w:val="22"/>
          <w:lang w:val="en-US"/>
        </w:rPr>
        <w:tab/>
        <w:t>The applicant also approaches this court on an urgent basis acting on the strength of the first respondent’s letter urging the applicant to serve this urgent application on or before Friday, 4 August 2017. I deal with this aspect below.</w:t>
      </w:r>
    </w:p>
    <w:p w14:paraId="02A86206" w14:textId="4B6A7515" w:rsidR="00AE02C0" w:rsidRDefault="00EC5EB4" w:rsidP="001C28E1">
      <w:pPr>
        <w:rPr>
          <w:rFonts w:ascii="Arial" w:hAnsi="Arial" w:cs="Arial"/>
          <w:sz w:val="22"/>
          <w:szCs w:val="22"/>
          <w:lang w:val="en-US"/>
        </w:rPr>
      </w:pPr>
      <w:r w:rsidRPr="00EC2677">
        <w:rPr>
          <w:rFonts w:ascii="Arial" w:hAnsi="Arial" w:cs="Arial"/>
          <w:sz w:val="22"/>
          <w:szCs w:val="22"/>
          <w:lang w:val="en-US"/>
        </w:rPr>
        <w:t>12</w:t>
      </w:r>
      <w:r w:rsidRPr="00EC2677">
        <w:rPr>
          <w:rFonts w:ascii="Arial" w:hAnsi="Arial" w:cs="Arial"/>
          <w:sz w:val="22"/>
          <w:szCs w:val="22"/>
          <w:lang w:val="en-US"/>
        </w:rPr>
        <w:tab/>
        <w:t>The applicant reasonably anticipates that should the money be paid to the second respondent or alternatively to another fund, it will not be able to reclaim payment of the money unlawfully paid to him (second respondent) emanating from a decision of the G &amp; N Committee to award or approve the 2.4% of R1,19 billion.’</w:t>
      </w:r>
    </w:p>
    <w:p w14:paraId="4E1A8975" w14:textId="77777777" w:rsidR="00EC2677" w:rsidRPr="00EC2677" w:rsidRDefault="00EC2677" w:rsidP="001C28E1">
      <w:pPr>
        <w:rPr>
          <w:rFonts w:ascii="Arial" w:hAnsi="Arial" w:cs="Arial"/>
          <w:sz w:val="22"/>
          <w:szCs w:val="22"/>
          <w:lang w:val="en-US"/>
        </w:rPr>
      </w:pPr>
    </w:p>
    <w:p w14:paraId="69292C90" w14:textId="77777777" w:rsidR="00EC5EB4" w:rsidRDefault="001C28E1" w:rsidP="00EC5EB4">
      <w:pPr>
        <w:rPr>
          <w:rFonts w:ascii="Arial" w:hAnsi="Arial" w:cs="Arial"/>
          <w:lang w:val="en-US"/>
        </w:rPr>
      </w:pPr>
      <w:r w:rsidRPr="00EC5EB4">
        <w:rPr>
          <w:rFonts w:ascii="Arial" w:hAnsi="Arial" w:cs="Arial"/>
        </w:rPr>
        <w:t>[6]</w:t>
      </w:r>
      <w:r w:rsidRPr="00EC5EB4">
        <w:rPr>
          <w:rFonts w:ascii="Arial" w:hAnsi="Arial" w:cs="Arial"/>
        </w:rPr>
        <w:tab/>
      </w:r>
      <w:r w:rsidR="00EC5EB4">
        <w:rPr>
          <w:rFonts w:ascii="Arial" w:hAnsi="Arial" w:cs="Arial"/>
          <w:lang w:val="en-US"/>
        </w:rPr>
        <w:t xml:space="preserve">Somewhat surprisingly, the Fund filed several affidavits in opposition to the application. It also raised, in addition to the opposition on the merits, a range of preliminary procedural complaints. This, in circumstances where it was open to it to simply abide the decision of the court.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chose not to file an affidavit in opposition to the relief sought under Part A. Instead, he contented himself with a notice under rule 6(5)(</w:t>
      </w:r>
      <w:r w:rsidR="00EC5EB4" w:rsidRPr="00EC2677">
        <w:rPr>
          <w:rFonts w:ascii="Arial" w:hAnsi="Arial" w:cs="Arial"/>
          <w:i/>
          <w:lang w:val="en-US"/>
        </w:rPr>
        <w:t>d</w:t>
      </w:r>
      <w:r w:rsidR="00EC5EB4">
        <w:rPr>
          <w:rFonts w:ascii="Arial" w:hAnsi="Arial" w:cs="Arial"/>
          <w:lang w:val="en-US"/>
        </w:rPr>
        <w:t>)(</w:t>
      </w:r>
      <w:r w:rsidR="00EC5EB4" w:rsidRPr="00EC2677">
        <w:rPr>
          <w:rFonts w:ascii="Arial" w:hAnsi="Arial" w:cs="Arial"/>
          <w:i/>
          <w:lang w:val="en-US"/>
        </w:rPr>
        <w:t>iii</w:t>
      </w:r>
      <w:r w:rsidR="00EC5EB4">
        <w:rPr>
          <w:rFonts w:ascii="Arial" w:hAnsi="Arial" w:cs="Arial"/>
          <w:lang w:val="en-US"/>
        </w:rPr>
        <w:t>) that he would be raising various questions of law at the hearing of the matter. Part A came before Maier-</w:t>
      </w:r>
      <w:proofErr w:type="spellStart"/>
      <w:r w:rsidR="00EC5EB4">
        <w:rPr>
          <w:rFonts w:ascii="Arial" w:hAnsi="Arial" w:cs="Arial"/>
          <w:lang w:val="en-US"/>
        </w:rPr>
        <w:t>Frawley</w:t>
      </w:r>
      <w:proofErr w:type="spellEnd"/>
      <w:r w:rsidR="00EC5EB4">
        <w:rPr>
          <w:rFonts w:ascii="Arial" w:hAnsi="Arial" w:cs="Arial"/>
          <w:lang w:val="en-US"/>
        </w:rPr>
        <w:t xml:space="preserve"> AJ on 6 December 2018. On 18 January 2018, she issued an interim interdict restraining the Fund from paying out the pension fund benefit standing to the credit of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pending the </w:t>
      </w:r>
      <w:proofErr w:type="spellStart"/>
      <w:r w:rsidR="00EC5EB4">
        <w:rPr>
          <w:rFonts w:ascii="Arial" w:hAnsi="Arial" w:cs="Arial"/>
          <w:lang w:val="en-US"/>
        </w:rPr>
        <w:t>finalisation</w:t>
      </w:r>
      <w:proofErr w:type="spellEnd"/>
      <w:r w:rsidR="00EC5EB4">
        <w:rPr>
          <w:rFonts w:ascii="Arial" w:hAnsi="Arial" w:cs="Arial"/>
          <w:lang w:val="en-US"/>
        </w:rPr>
        <w:t xml:space="preserve"> of the matter.</w:t>
      </w:r>
    </w:p>
    <w:p w14:paraId="063151BA" w14:textId="41C2CC6C" w:rsidR="00AE02C0" w:rsidRPr="00EC5EB4" w:rsidRDefault="00AE02C0" w:rsidP="00EC5EB4">
      <w:pPr>
        <w:rPr>
          <w:rFonts w:ascii="Arial" w:hAnsi="Arial" w:cs="Arial"/>
          <w:highlight w:val="red"/>
        </w:rPr>
      </w:pPr>
    </w:p>
    <w:p w14:paraId="63E7B88C" w14:textId="77777777" w:rsidR="00EC5EB4" w:rsidRDefault="00AE02C0" w:rsidP="00EC5EB4">
      <w:pPr>
        <w:rPr>
          <w:rFonts w:ascii="Arial" w:hAnsi="Arial" w:cs="Arial"/>
          <w:lang w:val="en-US"/>
        </w:rPr>
      </w:pPr>
      <w:r w:rsidRPr="00EC5EB4">
        <w:rPr>
          <w:rFonts w:ascii="Arial" w:hAnsi="Arial" w:cs="Arial"/>
        </w:rPr>
        <w:t>[7]</w:t>
      </w:r>
      <w:r w:rsidRPr="00EC5EB4">
        <w:rPr>
          <w:rFonts w:ascii="Arial" w:hAnsi="Arial" w:cs="Arial"/>
        </w:rPr>
        <w:tab/>
      </w:r>
      <w:r w:rsidR="00EC5EB4" w:rsidRPr="00EC5EB4">
        <w:rPr>
          <w:rFonts w:ascii="Arial" w:hAnsi="Arial" w:cs="Arial"/>
          <w:lang w:val="en-US"/>
        </w:rPr>
        <w:t>In</w:t>
      </w:r>
      <w:r w:rsidR="00EC5EB4">
        <w:rPr>
          <w:rFonts w:ascii="Arial" w:hAnsi="Arial" w:cs="Arial"/>
          <w:lang w:val="en-US"/>
        </w:rPr>
        <w:t xml:space="preserve"> reaching that conclusion, Maier-</w:t>
      </w:r>
      <w:proofErr w:type="spellStart"/>
      <w:r w:rsidR="00EC5EB4">
        <w:rPr>
          <w:rFonts w:ascii="Arial" w:hAnsi="Arial" w:cs="Arial"/>
          <w:lang w:val="en-US"/>
        </w:rPr>
        <w:t>Frawley</w:t>
      </w:r>
      <w:proofErr w:type="spellEnd"/>
      <w:r w:rsidR="00EC5EB4">
        <w:rPr>
          <w:rFonts w:ascii="Arial" w:hAnsi="Arial" w:cs="Arial"/>
          <w:lang w:val="en-US"/>
        </w:rPr>
        <w:t xml:space="preserve"> AJ held:</w:t>
      </w:r>
    </w:p>
    <w:p w14:paraId="4882F742" w14:textId="7C6131AB" w:rsidR="00EC5EB4" w:rsidRPr="00866E3B" w:rsidRDefault="00EC5EB4" w:rsidP="00EC5EB4">
      <w:pPr>
        <w:rPr>
          <w:rFonts w:ascii="Arial" w:hAnsi="Arial" w:cs="Arial"/>
          <w:sz w:val="22"/>
          <w:szCs w:val="22"/>
          <w:lang w:val="en-US"/>
        </w:rPr>
      </w:pPr>
      <w:r w:rsidRPr="00866E3B">
        <w:rPr>
          <w:rFonts w:ascii="Arial" w:hAnsi="Arial" w:cs="Arial"/>
          <w:sz w:val="22"/>
          <w:szCs w:val="22"/>
          <w:lang w:val="en-US"/>
        </w:rPr>
        <w:t>‘22.</w:t>
      </w:r>
      <w:r w:rsidRPr="00866E3B">
        <w:rPr>
          <w:rFonts w:ascii="Arial" w:hAnsi="Arial" w:cs="Arial"/>
          <w:sz w:val="22"/>
          <w:szCs w:val="22"/>
          <w:lang w:val="en-US"/>
        </w:rPr>
        <w:tab/>
        <w:t xml:space="preserve">. . . The factual allegations which underpin the SABC’s claims remain largely if not wholly undisputed on the papers.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elected not to engage with the substantive allegations made by the SABC in its papers. Nor did he put up any version to the contrary.</w:t>
      </w:r>
    </w:p>
    <w:p w14:paraId="63547E6F" w14:textId="77777777" w:rsidR="00EC5EB4" w:rsidRPr="00866E3B" w:rsidRDefault="00EC5EB4" w:rsidP="00EC5EB4">
      <w:pPr>
        <w:rPr>
          <w:rFonts w:ascii="Arial" w:hAnsi="Arial" w:cs="Arial"/>
          <w:sz w:val="22"/>
          <w:szCs w:val="22"/>
          <w:lang w:val="en-US"/>
        </w:rPr>
      </w:pPr>
      <w:r w:rsidRPr="00866E3B">
        <w:rPr>
          <w:rFonts w:ascii="Arial" w:hAnsi="Arial" w:cs="Arial"/>
          <w:sz w:val="22"/>
          <w:szCs w:val="22"/>
          <w:lang w:val="en-US"/>
        </w:rPr>
        <w:t>. . .</w:t>
      </w:r>
    </w:p>
    <w:p w14:paraId="37E9BBC6" w14:textId="78C3D8CC" w:rsidR="00EC5EB4" w:rsidRPr="00866E3B" w:rsidRDefault="00EC5EB4" w:rsidP="00EC5EB4">
      <w:pPr>
        <w:rPr>
          <w:rFonts w:ascii="Arial" w:hAnsi="Arial" w:cs="Arial"/>
          <w:sz w:val="22"/>
          <w:szCs w:val="22"/>
          <w:lang w:val="en-US"/>
        </w:rPr>
      </w:pPr>
      <w:r w:rsidRPr="00866E3B">
        <w:rPr>
          <w:rFonts w:ascii="Arial" w:hAnsi="Arial" w:cs="Arial"/>
          <w:sz w:val="22"/>
          <w:szCs w:val="22"/>
          <w:lang w:val="en-US"/>
        </w:rPr>
        <w:t>47.</w:t>
      </w:r>
      <w:r w:rsidRPr="00866E3B">
        <w:rPr>
          <w:rFonts w:ascii="Arial" w:hAnsi="Arial" w:cs="Arial"/>
          <w:sz w:val="22"/>
          <w:szCs w:val="22"/>
          <w:lang w:val="en-US"/>
        </w:rPr>
        <w:tab/>
        <w:t xml:space="preserve">The factual allegations in the founding papers </w:t>
      </w:r>
      <w:r w:rsidRPr="00866E3B">
        <w:rPr>
          <w:rFonts w:ascii="Arial" w:hAnsi="Arial" w:cs="Arial"/>
          <w:i/>
          <w:sz w:val="22"/>
          <w:szCs w:val="22"/>
          <w:lang w:val="en-US"/>
        </w:rPr>
        <w:t xml:space="preserve">prima facie </w:t>
      </w:r>
      <w:r w:rsidRPr="00866E3B">
        <w:rPr>
          <w:rFonts w:ascii="Arial" w:hAnsi="Arial" w:cs="Arial"/>
          <w:sz w:val="22"/>
          <w:szCs w:val="22"/>
          <w:lang w:val="en-US"/>
        </w:rPr>
        <w:t xml:space="preserve">demonstrate that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had accepted and retained payment of an unlawful, </w:t>
      </w:r>
      <w:proofErr w:type="spellStart"/>
      <w:r w:rsidRPr="00866E3B">
        <w:rPr>
          <w:rFonts w:ascii="Arial" w:hAnsi="Arial" w:cs="Arial"/>
          <w:sz w:val="22"/>
          <w:szCs w:val="22"/>
          <w:lang w:val="en-US"/>
        </w:rPr>
        <w:t>unauthorised</w:t>
      </w:r>
      <w:proofErr w:type="spellEnd"/>
      <w:r w:rsidRPr="00866E3B">
        <w:rPr>
          <w:rFonts w:ascii="Arial" w:hAnsi="Arial" w:cs="Arial"/>
          <w:sz w:val="22"/>
          <w:szCs w:val="22"/>
          <w:lang w:val="en-US"/>
        </w:rPr>
        <w:t xml:space="preserve"> and unwarranted success fee in the amount of R11 508 549.12, this, in circumstances where: (</w:t>
      </w:r>
      <w:proofErr w:type="spellStart"/>
      <w:r w:rsidRPr="00866E3B">
        <w:rPr>
          <w:rFonts w:ascii="Arial" w:hAnsi="Arial" w:cs="Arial"/>
          <w:sz w:val="22"/>
          <w:szCs w:val="22"/>
          <w:lang w:val="en-US"/>
        </w:rPr>
        <w:t>i</w:t>
      </w:r>
      <w:proofErr w:type="spellEnd"/>
      <w:r w:rsidRPr="00866E3B">
        <w:rPr>
          <w:rFonts w:ascii="Arial" w:hAnsi="Arial" w:cs="Arial"/>
          <w:sz w:val="22"/>
          <w:szCs w:val="22"/>
          <w:lang w:val="en-US"/>
        </w:rPr>
        <w:t xml:space="preserve">) an investigation conducted by the SABC’s audit department revealed that the requisite Board approval had not been sought or obtained in relation to such payment, (which fact would support an inference that it had deliberately not been disclosed by any members of the SABC’s Governance and Nominations Committee (‘GNC’) to the Board); (ii) payment of the amount of R11 508 549.12 had been made in full by way </w:t>
      </w:r>
      <w:r w:rsidR="00F939BC" w:rsidRPr="00866E3B">
        <w:rPr>
          <w:rFonts w:ascii="Arial" w:hAnsi="Arial" w:cs="Arial"/>
          <w:sz w:val="22"/>
          <w:szCs w:val="22"/>
          <w:lang w:val="en-US"/>
        </w:rPr>
        <w:t xml:space="preserve">of lump sum payments on 12 and 13 September 2016 in circumstances </w:t>
      </w:r>
      <w:r w:rsidRPr="00866E3B">
        <w:rPr>
          <w:rFonts w:ascii="Arial" w:hAnsi="Arial" w:cs="Arial"/>
          <w:sz w:val="22"/>
          <w:szCs w:val="22"/>
          <w:lang w:val="en-US"/>
        </w:rPr>
        <w:t xml:space="preserve">where, to the knowledge of the GNC, the SABC’s financial circumstances did not allow for a lump sum payment thereof and where the GNC had in fact resolved that payment would be made by way of instalments over a period of three years; (iii) transcripts of the GNC deliberations that preceded the taking of the decision to award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a success fee, evidenced that GNC members were aware that the payment to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was irregular; (iv) the terms of reference of the GNC included, amongst others, to ‘[p]</w:t>
      </w:r>
      <w:proofErr w:type="spellStart"/>
      <w:r w:rsidRPr="00866E3B">
        <w:rPr>
          <w:rFonts w:ascii="Arial" w:hAnsi="Arial" w:cs="Arial"/>
          <w:sz w:val="22"/>
          <w:szCs w:val="22"/>
          <w:lang w:val="en-US"/>
        </w:rPr>
        <w:t>revent</w:t>
      </w:r>
      <w:proofErr w:type="spellEnd"/>
      <w:r w:rsidRPr="00866E3B">
        <w:rPr>
          <w:rFonts w:ascii="Arial" w:hAnsi="Arial" w:cs="Arial"/>
          <w:sz w:val="22"/>
          <w:szCs w:val="22"/>
          <w:lang w:val="en-US"/>
        </w:rPr>
        <w:t xml:space="preserve"> any Human Capital practices that will result in </w:t>
      </w:r>
      <w:proofErr w:type="spellStart"/>
      <w:r w:rsidRPr="00866E3B">
        <w:rPr>
          <w:rFonts w:ascii="Arial" w:hAnsi="Arial" w:cs="Arial"/>
          <w:sz w:val="22"/>
          <w:szCs w:val="22"/>
          <w:lang w:val="en-US"/>
        </w:rPr>
        <w:t>unauthorised</w:t>
      </w:r>
      <w:proofErr w:type="spellEnd"/>
      <w:r w:rsidRPr="00866E3B">
        <w:rPr>
          <w:rFonts w:ascii="Arial" w:hAnsi="Arial" w:cs="Arial"/>
          <w:sz w:val="22"/>
          <w:szCs w:val="22"/>
          <w:lang w:val="en-US"/>
        </w:rPr>
        <w:t xml:space="preserve">, irregular, fruitless and wasteful expenditure. . .’; (v) a paper audit trail in relation to the payment had been deliberately concealed, in conflict with established norms and values that demand open transparency in the exercise of public power; (vi) neither </w:t>
      </w:r>
      <w:proofErr w:type="spellStart"/>
      <w:r w:rsidRPr="00866E3B">
        <w:rPr>
          <w:rFonts w:ascii="Arial" w:hAnsi="Arial" w:cs="Arial"/>
          <w:sz w:val="22"/>
          <w:szCs w:val="22"/>
          <w:lang w:val="en-US"/>
        </w:rPr>
        <w:t>Motsoeneng’s</w:t>
      </w:r>
      <w:proofErr w:type="spellEnd"/>
      <w:r w:rsidRPr="00866E3B">
        <w:rPr>
          <w:rFonts w:ascii="Arial" w:hAnsi="Arial" w:cs="Arial"/>
          <w:sz w:val="22"/>
          <w:szCs w:val="22"/>
          <w:lang w:val="en-US"/>
        </w:rPr>
        <w:t xml:space="preserve"> service agreement nor the SABC’s governing policy documents made provision for payment to him of a success fee; (vii) the duties of Executive Directors (of which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was one) included, amongst others, the giving of advice on governance related matters; and (viii) the SABC had expressly relied on the provisions of section 57 of the Public Finance Management Act 1 of 1999 (‘PFMA’), the Public Protector’s report, and the final audit report (relating to the outcome of the audit investigation conducted by the SABC’s internal audit department) in support of its case.</w:t>
      </w:r>
    </w:p>
    <w:p w14:paraId="1CD55EE4" w14:textId="77777777" w:rsidR="00EC5EB4" w:rsidRPr="00866E3B" w:rsidRDefault="00EC5EB4" w:rsidP="00EC5EB4">
      <w:pPr>
        <w:rPr>
          <w:rFonts w:ascii="Arial" w:hAnsi="Arial" w:cs="Arial"/>
          <w:sz w:val="22"/>
          <w:szCs w:val="22"/>
          <w:lang w:val="en-US"/>
        </w:rPr>
      </w:pPr>
      <w:r w:rsidRPr="00866E3B">
        <w:rPr>
          <w:rFonts w:ascii="Arial" w:hAnsi="Arial" w:cs="Arial"/>
          <w:sz w:val="22"/>
          <w:szCs w:val="22"/>
          <w:lang w:val="en-US"/>
        </w:rPr>
        <w:t>. . .</w:t>
      </w:r>
    </w:p>
    <w:p w14:paraId="404CE47A" w14:textId="77777777" w:rsidR="00EC5EB4" w:rsidRPr="00866E3B" w:rsidRDefault="00EC5EB4" w:rsidP="00EC5EB4">
      <w:pPr>
        <w:rPr>
          <w:rFonts w:ascii="Arial" w:hAnsi="Arial" w:cs="Arial"/>
          <w:sz w:val="22"/>
          <w:szCs w:val="22"/>
          <w:lang w:val="en-US"/>
        </w:rPr>
      </w:pPr>
      <w:r w:rsidRPr="00866E3B">
        <w:rPr>
          <w:rFonts w:ascii="Arial" w:hAnsi="Arial" w:cs="Arial"/>
          <w:sz w:val="22"/>
          <w:szCs w:val="22"/>
          <w:lang w:val="en-US"/>
        </w:rPr>
        <w:t>88.</w:t>
      </w:r>
      <w:r w:rsidRPr="00866E3B">
        <w:rPr>
          <w:rFonts w:ascii="Arial" w:hAnsi="Arial" w:cs="Arial"/>
          <w:sz w:val="22"/>
          <w:szCs w:val="22"/>
          <w:lang w:val="en-US"/>
        </w:rPr>
        <w:tab/>
        <w:t xml:space="preserve">The allegations made in the SABC’s affidavits appear to </w:t>
      </w:r>
      <w:r w:rsidRPr="00866E3B">
        <w:rPr>
          <w:rFonts w:ascii="Arial" w:hAnsi="Arial" w:cs="Arial"/>
          <w:i/>
          <w:sz w:val="22"/>
          <w:szCs w:val="22"/>
          <w:lang w:val="en-US"/>
        </w:rPr>
        <w:t xml:space="preserve">prima facie </w:t>
      </w:r>
      <w:r w:rsidRPr="00866E3B">
        <w:rPr>
          <w:rFonts w:ascii="Arial" w:hAnsi="Arial" w:cs="Arial"/>
          <w:sz w:val="22"/>
          <w:szCs w:val="22"/>
          <w:lang w:val="en-US"/>
        </w:rPr>
        <w:t xml:space="preserve">point to the fact that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unlawfully received payment of a success fee in the amount of R11 508 549.12 in circumstances where (a) he allegedly knew or ought to have known (in his role as Chief Operating Officer and in any event, as executive member of the GNC) of the irregularity by which the payment of such amount to him was tainted and to which he was therefore not legally entitled, but which he nonetheless accepted and retained, exacerbated by his failure to disclose same (until uncovered by an audit investigation) and (b) in contravention of his undisputed duties in terms of s 57 of the PFMA to ensure that the system of financial management and internal controls established for the SABC are carried out and to take effective and appropriate steps to prevent any irregular or fruitless and wasteful expenditure within his area of responsibility. His dishonesty is said to lie in knowingly and intentionally accepting a payment that was on the face of it irregular and invalid, without disclosing same (which served to unjustly enrich him) and then appropriating it to himself, thereby acting in his own self-interest and in breach of his fiduciary duty of good faith owed to the SABC under s 76(2)(</w:t>
      </w:r>
      <w:r w:rsidRPr="00866E3B">
        <w:rPr>
          <w:rFonts w:ascii="Arial" w:hAnsi="Arial" w:cs="Arial"/>
          <w:i/>
          <w:sz w:val="22"/>
          <w:szCs w:val="22"/>
          <w:lang w:val="en-US"/>
        </w:rPr>
        <w:t>a</w:t>
      </w:r>
      <w:r w:rsidRPr="00866E3B">
        <w:rPr>
          <w:rFonts w:ascii="Arial" w:hAnsi="Arial" w:cs="Arial"/>
          <w:sz w:val="22"/>
          <w:szCs w:val="22"/>
          <w:lang w:val="en-US"/>
        </w:rPr>
        <w:t>) of the Companies Act.</w:t>
      </w:r>
    </w:p>
    <w:p w14:paraId="60E5F03D" w14:textId="77777777" w:rsidR="00EC5EB4" w:rsidRPr="00866E3B" w:rsidRDefault="00EC5EB4" w:rsidP="00EC5EB4">
      <w:pPr>
        <w:rPr>
          <w:rFonts w:ascii="Arial" w:hAnsi="Arial" w:cs="Arial"/>
          <w:sz w:val="22"/>
          <w:szCs w:val="22"/>
          <w:lang w:val="en-US"/>
        </w:rPr>
      </w:pPr>
      <w:r w:rsidRPr="00866E3B">
        <w:rPr>
          <w:rFonts w:ascii="Arial" w:hAnsi="Arial" w:cs="Arial"/>
          <w:sz w:val="22"/>
          <w:szCs w:val="22"/>
          <w:lang w:val="en-US"/>
        </w:rPr>
        <w:t>89.</w:t>
      </w:r>
      <w:r w:rsidRPr="00866E3B">
        <w:rPr>
          <w:rFonts w:ascii="Arial" w:hAnsi="Arial" w:cs="Arial"/>
          <w:sz w:val="22"/>
          <w:szCs w:val="22"/>
          <w:lang w:val="en-US"/>
        </w:rPr>
        <w:tab/>
        <w:t xml:space="preserve">The evidence put up by the SABC is sufficient to </w:t>
      </w:r>
      <w:r w:rsidRPr="00866E3B">
        <w:rPr>
          <w:rFonts w:ascii="Arial" w:hAnsi="Arial" w:cs="Arial"/>
          <w:i/>
          <w:sz w:val="22"/>
          <w:szCs w:val="22"/>
          <w:lang w:val="en-US"/>
        </w:rPr>
        <w:t xml:space="preserve">prima facie </w:t>
      </w:r>
      <w:r w:rsidRPr="00866E3B">
        <w:rPr>
          <w:rFonts w:ascii="Arial" w:hAnsi="Arial" w:cs="Arial"/>
          <w:sz w:val="22"/>
          <w:szCs w:val="22"/>
          <w:lang w:val="en-US"/>
        </w:rPr>
        <w:t xml:space="preserve">point to </w:t>
      </w:r>
      <w:proofErr w:type="spellStart"/>
      <w:r w:rsidRPr="00866E3B">
        <w:rPr>
          <w:rFonts w:ascii="Arial" w:hAnsi="Arial" w:cs="Arial"/>
          <w:sz w:val="22"/>
          <w:szCs w:val="22"/>
          <w:lang w:val="en-US"/>
        </w:rPr>
        <w:t>Motsoeneng’s</w:t>
      </w:r>
      <w:proofErr w:type="spellEnd"/>
      <w:r w:rsidRPr="00866E3B">
        <w:rPr>
          <w:rFonts w:ascii="Arial" w:hAnsi="Arial" w:cs="Arial"/>
          <w:sz w:val="22"/>
          <w:szCs w:val="22"/>
          <w:lang w:val="en-US"/>
        </w:rPr>
        <w:t xml:space="preserve"> intentional misappropriation of public funds – the SABC’s allegations support the inference that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knowingly acted in his own self-interest in appropriating to himself, for his own use, public funds entrusted to his care as public functionary, to which he was not legally entitled, which caused the SABC to suffer loss. Bearing in mind that the SABC is a major public entity in terms of Schedule 2 of the PFMA and that it is funded through the public purse, it is enjoined to recover the losses it suffered from </w:t>
      </w:r>
      <w:proofErr w:type="spellStart"/>
      <w:r w:rsidRPr="00866E3B">
        <w:rPr>
          <w:rFonts w:ascii="Arial" w:hAnsi="Arial" w:cs="Arial"/>
          <w:sz w:val="22"/>
          <w:szCs w:val="22"/>
          <w:lang w:val="en-US"/>
        </w:rPr>
        <w:t>Motsoeneng</w:t>
      </w:r>
      <w:proofErr w:type="spellEnd"/>
      <w:r w:rsidRPr="00866E3B">
        <w:rPr>
          <w:rFonts w:ascii="Arial" w:hAnsi="Arial" w:cs="Arial"/>
          <w:sz w:val="22"/>
          <w:szCs w:val="22"/>
          <w:lang w:val="en-US"/>
        </w:rPr>
        <w:t xml:space="preserve"> as a result of his unlawful conduct. It is also constitutionally enjoined to do so. And it is in the interests of the public and for the SABC to do so.’</w:t>
      </w:r>
    </w:p>
    <w:p w14:paraId="42DCAE7E" w14:textId="179FAE20" w:rsidR="00A632A6" w:rsidRPr="00EC5EB4" w:rsidRDefault="00A632A6" w:rsidP="001C28E1">
      <w:pPr>
        <w:rPr>
          <w:rFonts w:ascii="Arial" w:hAnsi="Arial" w:cs="Arial"/>
          <w:highlight w:val="red"/>
        </w:rPr>
      </w:pPr>
    </w:p>
    <w:p w14:paraId="2898294A" w14:textId="0B9A3F2C" w:rsidR="00EC5EB4" w:rsidRDefault="00A632A6" w:rsidP="00EC5EB4">
      <w:pPr>
        <w:rPr>
          <w:rFonts w:ascii="Arial" w:hAnsi="Arial" w:cs="Arial"/>
        </w:rPr>
      </w:pPr>
      <w:r w:rsidRPr="00EC5EB4">
        <w:rPr>
          <w:rFonts w:ascii="Arial" w:hAnsi="Arial" w:cs="Arial"/>
        </w:rPr>
        <w:t>[8]</w:t>
      </w:r>
      <w:r w:rsidRPr="00EC5EB4">
        <w:rPr>
          <w:rFonts w:ascii="Arial" w:hAnsi="Arial" w:cs="Arial"/>
        </w:rPr>
        <w:tab/>
      </w:r>
      <w:r w:rsidR="00EC5EB4" w:rsidRPr="00EC5EB4">
        <w:rPr>
          <w:rFonts w:ascii="Arial" w:hAnsi="Arial" w:cs="Arial"/>
          <w:lang w:val="en-US"/>
        </w:rPr>
        <w:t>On</w:t>
      </w:r>
      <w:r w:rsidR="00EC5EB4">
        <w:rPr>
          <w:rFonts w:ascii="Arial" w:hAnsi="Arial" w:cs="Arial"/>
          <w:lang w:val="en-US"/>
        </w:rPr>
        <w:t xml:space="preserve"> 29 June 2020, and after the grant of the interim interdict, the second respondent, the Special Investigating Unit (the SIU), sought and obtained leave to intervene in the application.</w:t>
      </w:r>
      <w:r w:rsidR="00EC5EB4">
        <w:rPr>
          <w:rStyle w:val="FootnoteReference"/>
          <w:rFonts w:ascii="Arial" w:hAnsi="Arial" w:cs="Arial"/>
          <w:lang w:val="en-US"/>
        </w:rPr>
        <w:footnoteReference w:id="2"/>
      </w:r>
      <w:r w:rsidR="00EC5EB4">
        <w:rPr>
          <w:rFonts w:ascii="Arial" w:hAnsi="Arial" w:cs="Arial"/>
          <w:lang w:val="en-US"/>
        </w:rPr>
        <w:t xml:space="preserve"> The involvement of the SIU arose as a result of investigations conducted by it into the affairs of the SABC. This, following a referral on 1 September 2017 by the President of the Republic of South Africa of allegations of impropriety in connection with the affairs of the SABC to the SIU for investigation in accordance with the terms of reference set out in Proclamation No. R29 of 2017.</w:t>
      </w:r>
      <w:r w:rsidR="00EC5EB4">
        <w:rPr>
          <w:rStyle w:val="FootnoteReference"/>
          <w:rFonts w:ascii="Arial" w:hAnsi="Arial" w:cs="Arial"/>
          <w:lang w:val="en-US"/>
        </w:rPr>
        <w:footnoteReference w:id="3"/>
      </w:r>
      <w:r w:rsidR="00EC5EB4">
        <w:rPr>
          <w:rFonts w:ascii="Arial" w:hAnsi="Arial" w:cs="Arial"/>
          <w:lang w:val="en-US"/>
        </w:rPr>
        <w:t xml:space="preserve"> According to the SIU, after having conducted the </w:t>
      </w:r>
      <w:proofErr w:type="spellStart"/>
      <w:r w:rsidR="00EC5EB4">
        <w:rPr>
          <w:rFonts w:ascii="Arial" w:hAnsi="Arial" w:cs="Arial"/>
          <w:lang w:val="en-US"/>
        </w:rPr>
        <w:t>authorised</w:t>
      </w:r>
      <w:proofErr w:type="spellEnd"/>
      <w:r w:rsidR="00EC5EB4">
        <w:rPr>
          <w:rFonts w:ascii="Arial" w:hAnsi="Arial" w:cs="Arial"/>
          <w:lang w:val="en-US"/>
        </w:rPr>
        <w:t xml:space="preserve"> investigations, it was satisfied that it had sufficient grounds to institute proceedings against </w:t>
      </w:r>
      <w:proofErr w:type="spellStart"/>
      <w:r w:rsidR="00EC5EB4">
        <w:rPr>
          <w:rFonts w:ascii="Arial" w:hAnsi="Arial" w:cs="Arial"/>
          <w:lang w:val="en-US"/>
        </w:rPr>
        <w:t>Mr</w:t>
      </w:r>
      <w:proofErr w:type="spellEnd"/>
      <w:r w:rsidR="00EC5EB4">
        <w:rPr>
          <w:rFonts w:ascii="Arial" w:hAnsi="Arial" w:cs="Arial"/>
          <w:lang w:val="en-US"/>
        </w:rPr>
        <w:t xml:space="preserve"> </w:t>
      </w:r>
      <w:proofErr w:type="spellStart"/>
      <w:r w:rsidR="00EC5EB4">
        <w:rPr>
          <w:rFonts w:ascii="Arial" w:hAnsi="Arial" w:cs="Arial"/>
          <w:lang w:val="en-US"/>
        </w:rPr>
        <w:t>Motsoeneng</w:t>
      </w:r>
      <w:proofErr w:type="spellEnd"/>
      <w:r w:rsidR="00EC5EB4">
        <w:rPr>
          <w:rFonts w:ascii="Arial" w:hAnsi="Arial" w:cs="Arial"/>
          <w:lang w:val="en-US"/>
        </w:rPr>
        <w:t xml:space="preserve">, as it was empowered to do by virtue of </w:t>
      </w:r>
      <w:proofErr w:type="spellStart"/>
      <w:r w:rsidR="00EC5EB4">
        <w:rPr>
          <w:rFonts w:ascii="Arial" w:hAnsi="Arial" w:cs="Arial"/>
          <w:lang w:val="en-US"/>
        </w:rPr>
        <w:t>ss</w:t>
      </w:r>
      <w:proofErr w:type="spellEnd"/>
      <w:r w:rsidR="00EC5EB4">
        <w:rPr>
          <w:rFonts w:ascii="Arial" w:hAnsi="Arial" w:cs="Arial"/>
          <w:lang w:val="en-US"/>
        </w:rPr>
        <w:t xml:space="preserve"> 4(1)(</w:t>
      </w:r>
      <w:r w:rsidR="00EC5EB4" w:rsidRPr="00866E3B">
        <w:rPr>
          <w:rFonts w:ascii="Arial" w:hAnsi="Arial" w:cs="Arial"/>
          <w:i/>
          <w:lang w:val="en-US"/>
        </w:rPr>
        <w:t>c</w:t>
      </w:r>
      <w:r w:rsidR="00EC5EB4">
        <w:rPr>
          <w:rFonts w:ascii="Arial" w:hAnsi="Arial" w:cs="Arial"/>
          <w:lang w:val="en-US"/>
        </w:rPr>
        <w:t xml:space="preserve">) and 5(5) of the </w:t>
      </w:r>
      <w:r w:rsidR="00EC5EB4" w:rsidRPr="00BC3B50">
        <w:rPr>
          <w:rFonts w:ascii="Arial" w:hAnsi="Arial" w:cs="Arial"/>
        </w:rPr>
        <w:t>Special Investigating Unit and Special Tribunals Act 74 of 1996</w:t>
      </w:r>
      <w:r w:rsidR="00EC5EB4">
        <w:rPr>
          <w:rFonts w:ascii="Arial" w:hAnsi="Arial" w:cs="Arial"/>
        </w:rPr>
        <w:t>. It thus joined in the application and made common cause with the SABC’s self-review</w:t>
      </w:r>
      <w:r w:rsidR="00866E3B">
        <w:rPr>
          <w:rFonts w:ascii="Arial" w:hAnsi="Arial" w:cs="Arial"/>
        </w:rPr>
        <w:t>.</w:t>
      </w:r>
    </w:p>
    <w:p w14:paraId="43B15D4C" w14:textId="05A1BB39" w:rsidR="005D3B97" w:rsidRPr="00EC5EB4" w:rsidRDefault="005D3B97" w:rsidP="00EC5EB4">
      <w:pPr>
        <w:rPr>
          <w:rFonts w:ascii="Arial" w:hAnsi="Arial" w:cs="Arial"/>
          <w:highlight w:val="red"/>
        </w:rPr>
      </w:pPr>
    </w:p>
    <w:p w14:paraId="2D873339" w14:textId="77777777" w:rsidR="00EC5EB4" w:rsidRDefault="00B54FD2" w:rsidP="00EC5EB4">
      <w:pPr>
        <w:rPr>
          <w:rFonts w:ascii="Arial" w:hAnsi="Arial" w:cs="Arial"/>
        </w:rPr>
      </w:pPr>
      <w:r w:rsidRPr="00EC5EB4">
        <w:rPr>
          <w:rFonts w:ascii="Arial" w:hAnsi="Arial" w:cs="Arial"/>
        </w:rPr>
        <w:t>[</w:t>
      </w:r>
      <w:r w:rsidR="00A632A6" w:rsidRPr="00EC5EB4">
        <w:rPr>
          <w:rFonts w:ascii="Arial" w:hAnsi="Arial" w:cs="Arial"/>
        </w:rPr>
        <w:t>9</w:t>
      </w:r>
      <w:r w:rsidR="001C28E1" w:rsidRPr="00EC5EB4">
        <w:rPr>
          <w:rFonts w:ascii="Arial" w:hAnsi="Arial" w:cs="Arial"/>
        </w:rPr>
        <w:t>]</w:t>
      </w:r>
      <w:r w:rsidR="001C28E1" w:rsidRPr="00EC5EB4">
        <w:rPr>
          <w:rFonts w:ascii="Arial" w:hAnsi="Arial" w:cs="Arial"/>
        </w:rPr>
        <w:tab/>
      </w:r>
      <w:r w:rsidR="00EC5EB4" w:rsidRPr="00EC5EB4">
        <w:rPr>
          <w:rFonts w:ascii="Arial" w:hAnsi="Arial" w:cs="Arial"/>
        </w:rPr>
        <w:t>Ms</w:t>
      </w:r>
      <w:r w:rsidR="00EC5EB4">
        <w:rPr>
          <w:rFonts w:ascii="Arial" w:hAnsi="Arial" w:cs="Arial"/>
        </w:rPr>
        <w:t xml:space="preserve"> Mariette Amanda Dreyer, a Chief Forensic Investigator at the SIU, who deposed to the supporting affidavit on its behalf, had this to say:</w:t>
      </w:r>
    </w:p>
    <w:p w14:paraId="3959C4E1" w14:textId="4BE086D0" w:rsidR="00EC5EB4" w:rsidRPr="00E33516" w:rsidRDefault="00EC5EB4" w:rsidP="00EC5EB4">
      <w:pPr>
        <w:rPr>
          <w:rFonts w:ascii="Arial" w:hAnsi="Arial" w:cs="Arial"/>
          <w:sz w:val="22"/>
          <w:szCs w:val="22"/>
        </w:rPr>
      </w:pPr>
      <w:r w:rsidRPr="00E33516">
        <w:rPr>
          <w:rFonts w:ascii="Arial" w:hAnsi="Arial" w:cs="Arial"/>
          <w:sz w:val="22"/>
          <w:szCs w:val="22"/>
        </w:rPr>
        <w:t>‘18</w:t>
      </w:r>
      <w:r w:rsidRPr="00E33516">
        <w:rPr>
          <w:rFonts w:ascii="Arial" w:hAnsi="Arial" w:cs="Arial"/>
          <w:sz w:val="22"/>
          <w:szCs w:val="22"/>
        </w:rPr>
        <w:tab/>
        <w:t xml:space="preserve">At the outset, I refer to the affidavit deposed to by Mr </w:t>
      </w:r>
      <w:proofErr w:type="spellStart"/>
      <w:r w:rsidRPr="00E33516">
        <w:rPr>
          <w:rFonts w:ascii="Arial" w:hAnsi="Arial" w:cs="Arial"/>
          <w:sz w:val="22"/>
          <w:szCs w:val="22"/>
        </w:rPr>
        <w:t>Vusumuzi</w:t>
      </w:r>
      <w:proofErr w:type="spellEnd"/>
      <w:r w:rsidRPr="00E33516">
        <w:rPr>
          <w:rFonts w:ascii="Arial" w:hAnsi="Arial" w:cs="Arial"/>
          <w:sz w:val="22"/>
          <w:szCs w:val="22"/>
        </w:rPr>
        <w:t xml:space="preserve"> Goodman Moses </w:t>
      </w:r>
      <w:proofErr w:type="spellStart"/>
      <w:r w:rsidRPr="00E33516">
        <w:rPr>
          <w:rFonts w:ascii="Arial" w:hAnsi="Arial" w:cs="Arial"/>
          <w:sz w:val="22"/>
          <w:szCs w:val="22"/>
        </w:rPr>
        <w:t>Mavuso</w:t>
      </w:r>
      <w:proofErr w:type="spellEnd"/>
      <w:r w:rsidRPr="00E33516">
        <w:rPr>
          <w:rFonts w:ascii="Arial" w:hAnsi="Arial" w:cs="Arial"/>
          <w:sz w:val="22"/>
          <w:szCs w:val="22"/>
        </w:rPr>
        <w:t xml:space="preserve"> (“</w:t>
      </w:r>
      <w:proofErr w:type="spellStart"/>
      <w:r w:rsidRPr="00E33516">
        <w:rPr>
          <w:rFonts w:ascii="Arial" w:hAnsi="Arial" w:cs="Arial"/>
          <w:sz w:val="22"/>
          <w:szCs w:val="22"/>
        </w:rPr>
        <w:t>Mavuso</w:t>
      </w:r>
      <w:proofErr w:type="spellEnd"/>
      <w:r w:rsidRPr="00E33516">
        <w:rPr>
          <w:rFonts w:ascii="Arial" w:hAnsi="Arial" w:cs="Arial"/>
          <w:sz w:val="22"/>
          <w:szCs w:val="22"/>
        </w:rPr>
        <w:t xml:space="preserve">”) . . . </w:t>
      </w:r>
      <w:proofErr w:type="spellStart"/>
      <w:r w:rsidRPr="00E33516">
        <w:rPr>
          <w:rFonts w:ascii="Arial" w:hAnsi="Arial" w:cs="Arial"/>
          <w:sz w:val="22"/>
          <w:szCs w:val="22"/>
        </w:rPr>
        <w:t>Mavuso</w:t>
      </w:r>
      <w:proofErr w:type="spellEnd"/>
      <w:r w:rsidRPr="00E33516">
        <w:rPr>
          <w:rFonts w:ascii="Arial" w:hAnsi="Arial" w:cs="Arial"/>
          <w:sz w:val="22"/>
          <w:szCs w:val="22"/>
        </w:rPr>
        <w:t xml:space="preserve"> was a Non-Executive Director at the SABC from 25 September 2013 to 13 October 2016. During his tenure at the Board of the SABC, he also served as a member of various Board Committees including Human Resource and Remunerations Committee specifically during 2016.</w:t>
      </w:r>
    </w:p>
    <w:p w14:paraId="43E2C73A" w14:textId="77777777" w:rsidR="00EC5EB4" w:rsidRPr="00E33516" w:rsidRDefault="00EC5EB4" w:rsidP="00EC5EB4">
      <w:pPr>
        <w:rPr>
          <w:rFonts w:ascii="Arial" w:hAnsi="Arial" w:cs="Arial"/>
          <w:sz w:val="22"/>
          <w:szCs w:val="22"/>
        </w:rPr>
      </w:pPr>
      <w:r w:rsidRPr="00E33516">
        <w:rPr>
          <w:rFonts w:ascii="Arial" w:hAnsi="Arial" w:cs="Arial"/>
          <w:sz w:val="22"/>
          <w:szCs w:val="22"/>
        </w:rPr>
        <w:t>19</w:t>
      </w:r>
      <w:r w:rsidRPr="00E33516">
        <w:rPr>
          <w:rFonts w:ascii="Arial" w:hAnsi="Arial" w:cs="Arial"/>
          <w:sz w:val="22"/>
          <w:szCs w:val="22"/>
        </w:rPr>
        <w:tab/>
      </w:r>
      <w:proofErr w:type="spellStart"/>
      <w:r w:rsidRPr="00E33516">
        <w:rPr>
          <w:rFonts w:ascii="Arial" w:hAnsi="Arial" w:cs="Arial"/>
          <w:sz w:val="22"/>
          <w:szCs w:val="22"/>
        </w:rPr>
        <w:t>Mavuso</w:t>
      </w:r>
      <w:proofErr w:type="spellEnd"/>
      <w:r w:rsidRPr="00E33516">
        <w:rPr>
          <w:rFonts w:ascii="Arial" w:hAnsi="Arial" w:cs="Arial"/>
          <w:sz w:val="22"/>
          <w:szCs w:val="22"/>
        </w:rPr>
        <w:t xml:space="preserve"> confirms in his affidavit and with specific reference to section 14.3 of the Board Charter dated 26 April 2010 . . . and Table 15 of the Delegation of Authority Framework of 26 April 2016 . . . that there was no approved commission and/or success fee policy applicable to Executive Directors such as </w:t>
      </w:r>
      <w:proofErr w:type="spellStart"/>
      <w:r w:rsidRPr="00E33516">
        <w:rPr>
          <w:rFonts w:ascii="Arial" w:hAnsi="Arial" w:cs="Arial"/>
          <w:sz w:val="22"/>
          <w:szCs w:val="22"/>
        </w:rPr>
        <w:t>Motsoeneng</w:t>
      </w:r>
      <w:proofErr w:type="spellEnd"/>
      <w:r w:rsidRPr="00E33516">
        <w:rPr>
          <w:rFonts w:ascii="Arial" w:hAnsi="Arial" w:cs="Arial"/>
          <w:sz w:val="22"/>
          <w:szCs w:val="22"/>
        </w:rPr>
        <w:t xml:space="preserve"> during his (</w:t>
      </w:r>
      <w:proofErr w:type="spellStart"/>
      <w:r w:rsidRPr="00E33516">
        <w:rPr>
          <w:rFonts w:ascii="Arial" w:hAnsi="Arial" w:cs="Arial"/>
          <w:sz w:val="22"/>
          <w:szCs w:val="22"/>
        </w:rPr>
        <w:t>Mavuso</w:t>
      </w:r>
      <w:proofErr w:type="spellEnd"/>
      <w:r w:rsidRPr="00E33516">
        <w:rPr>
          <w:rFonts w:ascii="Arial" w:hAnsi="Arial" w:cs="Arial"/>
          <w:sz w:val="22"/>
          <w:szCs w:val="22"/>
        </w:rPr>
        <w:t>) tenure at the SABC. He confirms that any new policy would have had to be approved by the Board but that in this case, no such policy was ever approved by the Board during his tenure.</w:t>
      </w:r>
    </w:p>
    <w:p w14:paraId="6E01CD97" w14:textId="3DBFF7EB" w:rsidR="00EC5EB4" w:rsidRPr="00E33516" w:rsidRDefault="00EC5EB4" w:rsidP="00EC5EB4">
      <w:pPr>
        <w:rPr>
          <w:rFonts w:ascii="Arial" w:hAnsi="Arial" w:cs="Arial"/>
          <w:sz w:val="22"/>
          <w:szCs w:val="22"/>
        </w:rPr>
      </w:pPr>
      <w:r w:rsidRPr="00E33516">
        <w:rPr>
          <w:rFonts w:ascii="Arial" w:hAnsi="Arial" w:cs="Arial"/>
          <w:sz w:val="22"/>
          <w:szCs w:val="22"/>
        </w:rPr>
        <w:t>20</w:t>
      </w:r>
      <w:r w:rsidRPr="00E33516">
        <w:rPr>
          <w:rFonts w:ascii="Arial" w:hAnsi="Arial" w:cs="Arial"/>
          <w:sz w:val="22"/>
          <w:szCs w:val="22"/>
        </w:rPr>
        <w:tab/>
        <w:t xml:space="preserve">What is fatal to any opposition to this application is what </w:t>
      </w:r>
      <w:proofErr w:type="spellStart"/>
      <w:r w:rsidRPr="00E33516">
        <w:rPr>
          <w:rFonts w:ascii="Arial" w:hAnsi="Arial" w:cs="Arial"/>
          <w:sz w:val="22"/>
          <w:szCs w:val="22"/>
        </w:rPr>
        <w:t>Mavuso</w:t>
      </w:r>
      <w:proofErr w:type="spellEnd"/>
      <w:r w:rsidRPr="00E33516">
        <w:rPr>
          <w:rFonts w:ascii="Arial" w:hAnsi="Arial" w:cs="Arial"/>
          <w:sz w:val="22"/>
          <w:szCs w:val="22"/>
        </w:rPr>
        <w:t xml:space="preserve"> states in paragraphs 21.1 to 21.7 of his affidavit. He states that in the Board meeting of 19 August 2016, a proposal was made by Professor </w:t>
      </w:r>
      <w:proofErr w:type="spellStart"/>
      <w:r w:rsidRPr="00E33516">
        <w:rPr>
          <w:rFonts w:ascii="Arial" w:hAnsi="Arial" w:cs="Arial"/>
          <w:sz w:val="22"/>
          <w:szCs w:val="22"/>
        </w:rPr>
        <w:t>Tshidzumba</w:t>
      </w:r>
      <w:proofErr w:type="spellEnd"/>
      <w:r w:rsidRPr="00E33516">
        <w:rPr>
          <w:rFonts w:ascii="Arial" w:hAnsi="Arial" w:cs="Arial"/>
          <w:sz w:val="22"/>
          <w:szCs w:val="22"/>
        </w:rPr>
        <w:t xml:space="preserve"> to reward SABC employees for doing their job such as negotiating contracts. </w:t>
      </w:r>
      <w:proofErr w:type="spellStart"/>
      <w:r w:rsidRPr="00E33516">
        <w:rPr>
          <w:rFonts w:ascii="Arial" w:hAnsi="Arial" w:cs="Arial"/>
          <w:sz w:val="22"/>
          <w:szCs w:val="22"/>
        </w:rPr>
        <w:t>Mavuso</w:t>
      </w:r>
      <w:proofErr w:type="spellEnd"/>
      <w:r w:rsidRPr="00E33516">
        <w:rPr>
          <w:rFonts w:ascii="Arial" w:hAnsi="Arial" w:cs="Arial"/>
          <w:sz w:val="22"/>
          <w:szCs w:val="22"/>
        </w:rPr>
        <w:t xml:space="preserve"> objected to this, contending that the SABC performance management systems were sufficient to reward staff. This objection was upheld by the Board, meaning the proposal by </w:t>
      </w:r>
      <w:proofErr w:type="spellStart"/>
      <w:r w:rsidRPr="00E33516">
        <w:rPr>
          <w:rFonts w:ascii="Arial" w:hAnsi="Arial" w:cs="Arial"/>
          <w:sz w:val="22"/>
          <w:szCs w:val="22"/>
        </w:rPr>
        <w:t>Tshidzumba</w:t>
      </w:r>
      <w:proofErr w:type="spellEnd"/>
      <w:r w:rsidRPr="00E33516">
        <w:rPr>
          <w:rFonts w:ascii="Arial" w:hAnsi="Arial" w:cs="Arial"/>
          <w:sz w:val="22"/>
          <w:szCs w:val="22"/>
        </w:rPr>
        <w:t xml:space="preserve"> was not approved. He attaches the attendance </w:t>
      </w:r>
      <w:r w:rsidR="00866E3B" w:rsidRPr="00E33516">
        <w:rPr>
          <w:rFonts w:ascii="Arial" w:hAnsi="Arial" w:cs="Arial"/>
          <w:sz w:val="22"/>
          <w:szCs w:val="22"/>
        </w:rPr>
        <w:t xml:space="preserve">register, the Board minutes and the Board meeting transcript of 19 August 2016 </w:t>
      </w:r>
      <w:r w:rsidRPr="00E33516">
        <w:rPr>
          <w:rFonts w:ascii="Arial" w:hAnsi="Arial" w:cs="Arial"/>
          <w:sz w:val="22"/>
          <w:szCs w:val="22"/>
        </w:rPr>
        <w:t>as annexu</w:t>
      </w:r>
      <w:r w:rsidR="00866E3B" w:rsidRPr="00E33516">
        <w:rPr>
          <w:rFonts w:ascii="Arial" w:hAnsi="Arial" w:cs="Arial"/>
          <w:sz w:val="22"/>
          <w:szCs w:val="22"/>
        </w:rPr>
        <w:t xml:space="preserve">res . . . </w:t>
      </w:r>
      <w:r w:rsidRPr="00E33516">
        <w:rPr>
          <w:rFonts w:ascii="Arial" w:hAnsi="Arial" w:cs="Arial"/>
          <w:sz w:val="22"/>
          <w:szCs w:val="22"/>
        </w:rPr>
        <w:t xml:space="preserve">There are three factors to be distilled from his affidavit and these annexures. </w:t>
      </w:r>
      <w:r w:rsidRPr="00E33516">
        <w:rPr>
          <w:rFonts w:ascii="Arial" w:hAnsi="Arial" w:cs="Arial"/>
          <w:sz w:val="22"/>
          <w:szCs w:val="22"/>
          <w:u w:val="single"/>
        </w:rPr>
        <w:t>First</w:t>
      </w:r>
      <w:r w:rsidRPr="00E33516">
        <w:rPr>
          <w:rFonts w:ascii="Arial" w:hAnsi="Arial" w:cs="Arial"/>
          <w:sz w:val="22"/>
          <w:szCs w:val="22"/>
        </w:rPr>
        <w:t xml:space="preserve">, these annexures show that the members of the GNC who had earlier on the same day took a resolution approving the Commission Policy of the SABC to include success fee to Executive Directors and specifically to pay </w:t>
      </w:r>
      <w:proofErr w:type="spellStart"/>
      <w:r w:rsidRPr="00E33516">
        <w:rPr>
          <w:rFonts w:ascii="Arial" w:hAnsi="Arial" w:cs="Arial"/>
          <w:sz w:val="22"/>
          <w:szCs w:val="22"/>
        </w:rPr>
        <w:t>Motsoeneng</w:t>
      </w:r>
      <w:proofErr w:type="spellEnd"/>
      <w:r w:rsidRPr="00E33516">
        <w:rPr>
          <w:rFonts w:ascii="Arial" w:hAnsi="Arial" w:cs="Arial"/>
          <w:sz w:val="22"/>
          <w:szCs w:val="22"/>
        </w:rPr>
        <w:t xml:space="preserve"> success fee were present in that meeting but did not disclose their resolution or their intention to pay </w:t>
      </w:r>
      <w:proofErr w:type="spellStart"/>
      <w:r w:rsidRPr="00E33516">
        <w:rPr>
          <w:rFonts w:ascii="Arial" w:hAnsi="Arial" w:cs="Arial"/>
          <w:sz w:val="22"/>
          <w:szCs w:val="22"/>
        </w:rPr>
        <w:t>Motsoeneng</w:t>
      </w:r>
      <w:proofErr w:type="spellEnd"/>
      <w:r w:rsidRPr="00E33516">
        <w:rPr>
          <w:rFonts w:ascii="Arial" w:hAnsi="Arial" w:cs="Arial"/>
          <w:sz w:val="22"/>
          <w:szCs w:val="22"/>
        </w:rPr>
        <w:t xml:space="preserve"> success fee to the Board. They had a fiduciary duty to disclose to the Board. </w:t>
      </w:r>
      <w:r w:rsidRPr="00E33516">
        <w:rPr>
          <w:rFonts w:ascii="Arial" w:hAnsi="Arial" w:cs="Arial"/>
          <w:sz w:val="22"/>
          <w:szCs w:val="22"/>
          <w:u w:val="single"/>
        </w:rPr>
        <w:t>Second</w:t>
      </w:r>
      <w:r w:rsidRPr="00E33516">
        <w:rPr>
          <w:rFonts w:ascii="Arial" w:hAnsi="Arial" w:cs="Arial"/>
          <w:sz w:val="22"/>
          <w:szCs w:val="22"/>
        </w:rPr>
        <w:t xml:space="preserve">, even after rejection of </w:t>
      </w:r>
      <w:proofErr w:type="spellStart"/>
      <w:r w:rsidRPr="00E33516">
        <w:rPr>
          <w:rFonts w:ascii="Arial" w:hAnsi="Arial" w:cs="Arial"/>
          <w:sz w:val="22"/>
          <w:szCs w:val="22"/>
        </w:rPr>
        <w:t>Tshidzumba’s</w:t>
      </w:r>
      <w:proofErr w:type="spellEnd"/>
      <w:r w:rsidRPr="00E33516">
        <w:rPr>
          <w:rFonts w:ascii="Arial" w:hAnsi="Arial" w:cs="Arial"/>
          <w:sz w:val="22"/>
          <w:szCs w:val="22"/>
        </w:rPr>
        <w:t xml:space="preserve"> proposal in this meeting, the GNC members failed to halt the payment of the success fee to </w:t>
      </w:r>
      <w:proofErr w:type="spellStart"/>
      <w:r w:rsidRPr="00E33516">
        <w:rPr>
          <w:rFonts w:ascii="Arial" w:hAnsi="Arial" w:cs="Arial"/>
          <w:sz w:val="22"/>
          <w:szCs w:val="22"/>
        </w:rPr>
        <w:t>Motsoeneng</w:t>
      </w:r>
      <w:proofErr w:type="spellEnd"/>
      <w:r w:rsidRPr="00E33516">
        <w:rPr>
          <w:rFonts w:ascii="Arial" w:hAnsi="Arial" w:cs="Arial"/>
          <w:sz w:val="22"/>
          <w:szCs w:val="22"/>
        </w:rPr>
        <w:t>.</w:t>
      </w:r>
    </w:p>
    <w:p w14:paraId="56390BAC" w14:textId="77777777" w:rsidR="00EC5EB4" w:rsidRPr="00E33516" w:rsidRDefault="00EC5EB4" w:rsidP="00EC5EB4">
      <w:pPr>
        <w:rPr>
          <w:rFonts w:ascii="Arial" w:hAnsi="Arial" w:cs="Arial"/>
          <w:sz w:val="22"/>
          <w:szCs w:val="22"/>
        </w:rPr>
      </w:pPr>
      <w:r w:rsidRPr="00E33516">
        <w:rPr>
          <w:rFonts w:ascii="Arial" w:hAnsi="Arial" w:cs="Arial"/>
          <w:sz w:val="22"/>
          <w:szCs w:val="22"/>
        </w:rPr>
        <w:t>21</w:t>
      </w:r>
      <w:r w:rsidRPr="00E33516">
        <w:rPr>
          <w:rFonts w:ascii="Arial" w:hAnsi="Arial" w:cs="Arial"/>
          <w:sz w:val="22"/>
          <w:szCs w:val="22"/>
        </w:rPr>
        <w:tab/>
      </w:r>
      <w:r w:rsidRPr="00E33516">
        <w:rPr>
          <w:rFonts w:ascii="Arial" w:hAnsi="Arial" w:cs="Arial"/>
          <w:sz w:val="22"/>
          <w:szCs w:val="22"/>
          <w:u w:val="single"/>
        </w:rPr>
        <w:t xml:space="preserve">Third, </w:t>
      </w:r>
      <w:proofErr w:type="spellStart"/>
      <w:r w:rsidRPr="00E33516">
        <w:rPr>
          <w:rFonts w:ascii="Arial" w:hAnsi="Arial" w:cs="Arial"/>
          <w:sz w:val="22"/>
          <w:szCs w:val="22"/>
        </w:rPr>
        <w:t>Motsoeneng</w:t>
      </w:r>
      <w:proofErr w:type="spellEnd"/>
      <w:r w:rsidRPr="00E33516">
        <w:rPr>
          <w:rFonts w:ascii="Arial" w:hAnsi="Arial" w:cs="Arial"/>
          <w:sz w:val="22"/>
          <w:szCs w:val="22"/>
        </w:rPr>
        <w:t xml:space="preserve"> himself was part of this Board meeting. He was aware that the GNC had earlier discussed payment of the success fee to him but did not disclose this to the Board when he had a fiduciary duty as an Executive Director to do so. Not only did he not disclose but went on to receive payment of the success fee when he ought to have rejected this payment. His conduct and/or omissions in this regard was clearly fraudulent or at the very least dishonest.</w:t>
      </w:r>
    </w:p>
    <w:p w14:paraId="65819C06" w14:textId="77777777" w:rsidR="00EC5EB4" w:rsidRPr="00E33516" w:rsidRDefault="00EC5EB4" w:rsidP="00EC5EB4">
      <w:pPr>
        <w:rPr>
          <w:rFonts w:ascii="Arial" w:hAnsi="Arial" w:cs="Arial"/>
          <w:sz w:val="22"/>
          <w:szCs w:val="22"/>
        </w:rPr>
      </w:pPr>
      <w:r w:rsidRPr="00E33516">
        <w:rPr>
          <w:rFonts w:ascii="Arial" w:hAnsi="Arial" w:cs="Arial"/>
          <w:sz w:val="22"/>
          <w:szCs w:val="22"/>
        </w:rPr>
        <w:t>22</w:t>
      </w:r>
      <w:r w:rsidRPr="00E33516">
        <w:rPr>
          <w:rFonts w:ascii="Arial" w:hAnsi="Arial" w:cs="Arial"/>
          <w:sz w:val="22"/>
          <w:szCs w:val="22"/>
        </w:rPr>
        <w:tab/>
      </w:r>
      <w:proofErr w:type="spellStart"/>
      <w:r w:rsidRPr="00E33516">
        <w:rPr>
          <w:rFonts w:ascii="Arial" w:hAnsi="Arial" w:cs="Arial"/>
          <w:sz w:val="22"/>
          <w:szCs w:val="22"/>
        </w:rPr>
        <w:t>Motsoeneng’s</w:t>
      </w:r>
      <w:proofErr w:type="spellEnd"/>
      <w:r w:rsidRPr="00E33516">
        <w:rPr>
          <w:rFonts w:ascii="Arial" w:hAnsi="Arial" w:cs="Arial"/>
          <w:sz w:val="22"/>
          <w:szCs w:val="22"/>
        </w:rPr>
        <w:t xml:space="preserve"> contract of employment is attached to </w:t>
      </w:r>
      <w:proofErr w:type="spellStart"/>
      <w:r w:rsidRPr="00E33516">
        <w:rPr>
          <w:rFonts w:ascii="Arial" w:hAnsi="Arial" w:cs="Arial"/>
          <w:sz w:val="22"/>
          <w:szCs w:val="22"/>
        </w:rPr>
        <w:t>Mavuso’s</w:t>
      </w:r>
      <w:proofErr w:type="spellEnd"/>
      <w:r w:rsidRPr="00E33516">
        <w:rPr>
          <w:rFonts w:ascii="Arial" w:hAnsi="Arial" w:cs="Arial"/>
          <w:sz w:val="22"/>
          <w:szCs w:val="22"/>
        </w:rPr>
        <w:t xml:space="preserve"> affidavit . . . I ask that its contents be incorporated herein. It regulated </w:t>
      </w:r>
      <w:proofErr w:type="spellStart"/>
      <w:r w:rsidRPr="00E33516">
        <w:rPr>
          <w:rFonts w:ascii="Arial" w:hAnsi="Arial" w:cs="Arial"/>
          <w:sz w:val="22"/>
          <w:szCs w:val="22"/>
        </w:rPr>
        <w:t>Motsoeneng’s</w:t>
      </w:r>
      <w:proofErr w:type="spellEnd"/>
      <w:r w:rsidRPr="00E33516">
        <w:rPr>
          <w:rFonts w:ascii="Arial" w:hAnsi="Arial" w:cs="Arial"/>
          <w:sz w:val="22"/>
          <w:szCs w:val="22"/>
        </w:rPr>
        <w:t xml:space="preserve"> terms of employment. Clause 9 records the duties of the Executive. Clause 12.2 makes provision for performance bonuses. Clause 12.2.1 provides that annual performance bonuses are not guaranteed and may be granted at the sole and absolute discretion of the Board which will take into account, without limitation, the performance of the SABC and that of the COO measured against the key performance indicators and/or areas set out in the performance agreement. </w:t>
      </w:r>
      <w:proofErr w:type="spellStart"/>
      <w:r w:rsidRPr="00E33516">
        <w:rPr>
          <w:rFonts w:ascii="Arial" w:hAnsi="Arial" w:cs="Arial"/>
          <w:sz w:val="22"/>
          <w:szCs w:val="22"/>
        </w:rPr>
        <w:t>Mavuso</w:t>
      </w:r>
      <w:proofErr w:type="spellEnd"/>
      <w:r w:rsidRPr="00E33516">
        <w:rPr>
          <w:rFonts w:ascii="Arial" w:hAnsi="Arial" w:cs="Arial"/>
          <w:sz w:val="22"/>
          <w:szCs w:val="22"/>
        </w:rPr>
        <w:t xml:space="preserve"> confirms that no Performance Agreement was concluded between the SABC and </w:t>
      </w:r>
      <w:proofErr w:type="spellStart"/>
      <w:r w:rsidRPr="00E33516">
        <w:rPr>
          <w:rFonts w:ascii="Arial" w:hAnsi="Arial" w:cs="Arial"/>
          <w:sz w:val="22"/>
          <w:szCs w:val="22"/>
        </w:rPr>
        <w:t>Motsoeneng</w:t>
      </w:r>
      <w:proofErr w:type="spellEnd"/>
      <w:r w:rsidRPr="00E33516">
        <w:rPr>
          <w:rFonts w:ascii="Arial" w:hAnsi="Arial" w:cs="Arial"/>
          <w:sz w:val="22"/>
          <w:szCs w:val="22"/>
        </w:rPr>
        <w:t>. Other than this bonus, the contract does not make any other provision for other rewards such as a success fee.’</w:t>
      </w:r>
    </w:p>
    <w:p w14:paraId="32F2C91E" w14:textId="30224393" w:rsidR="00A632A6" w:rsidRPr="00EC5EB4" w:rsidRDefault="00A632A6" w:rsidP="001C28E1">
      <w:pPr>
        <w:rPr>
          <w:rFonts w:ascii="Arial" w:hAnsi="Arial" w:cs="Arial"/>
          <w:highlight w:val="red"/>
        </w:rPr>
      </w:pPr>
    </w:p>
    <w:p w14:paraId="2618EA3F" w14:textId="77777777" w:rsidR="00EC5EB4" w:rsidRDefault="00A632A6" w:rsidP="00EC5EB4">
      <w:pPr>
        <w:rPr>
          <w:rFonts w:ascii="Arial" w:hAnsi="Arial" w:cs="Arial"/>
        </w:rPr>
      </w:pPr>
      <w:r w:rsidRPr="00EC5EB4">
        <w:rPr>
          <w:rFonts w:ascii="Arial" w:hAnsi="Arial" w:cs="Arial"/>
        </w:rPr>
        <w:t>[10]</w:t>
      </w:r>
      <w:r w:rsidRPr="00EC5EB4">
        <w:rPr>
          <w:rFonts w:ascii="Arial" w:hAnsi="Arial" w:cs="Arial"/>
        </w:rPr>
        <w:tab/>
      </w:r>
      <w:r w:rsidR="00EC5EB4" w:rsidRPr="00EC5EB4">
        <w:rPr>
          <w:rFonts w:ascii="Arial" w:hAnsi="Arial" w:cs="Arial"/>
        </w:rPr>
        <w:t>Part</w:t>
      </w:r>
      <w:r w:rsidR="00EC5EB4">
        <w:rPr>
          <w:rFonts w:ascii="Arial" w:hAnsi="Arial" w:cs="Arial"/>
        </w:rPr>
        <w:t xml:space="preserve"> B of the relief sought came before Khan AJ on 26 May 2021. On 15 December 2021, the learned judge issued the following order:</w:t>
      </w:r>
    </w:p>
    <w:p w14:paraId="21287FF1" w14:textId="2FA7CFB9" w:rsidR="00EC5EB4" w:rsidRPr="004408F0" w:rsidRDefault="00EC5EB4" w:rsidP="00EC5EB4">
      <w:pPr>
        <w:rPr>
          <w:rFonts w:ascii="Arial" w:hAnsi="Arial" w:cs="Arial"/>
          <w:sz w:val="22"/>
          <w:szCs w:val="22"/>
        </w:rPr>
      </w:pPr>
      <w:r w:rsidRPr="004408F0">
        <w:rPr>
          <w:rFonts w:ascii="Arial" w:hAnsi="Arial" w:cs="Arial"/>
          <w:sz w:val="22"/>
          <w:szCs w:val="22"/>
        </w:rPr>
        <w:t>‘1.</w:t>
      </w:r>
      <w:r w:rsidRPr="004408F0">
        <w:rPr>
          <w:rFonts w:ascii="Arial" w:hAnsi="Arial" w:cs="Arial"/>
          <w:sz w:val="22"/>
          <w:szCs w:val="22"/>
        </w:rPr>
        <w:tab/>
        <w:t xml:space="preserve">The decision by the SABC on 19 August 2016, through its Governance and Nominations Committee, to award </w:t>
      </w:r>
      <w:proofErr w:type="spellStart"/>
      <w:r w:rsidRPr="004408F0">
        <w:rPr>
          <w:rFonts w:ascii="Arial" w:hAnsi="Arial" w:cs="Arial"/>
          <w:sz w:val="22"/>
          <w:szCs w:val="22"/>
        </w:rPr>
        <w:t>Motsoeneng</w:t>
      </w:r>
      <w:proofErr w:type="spellEnd"/>
      <w:r w:rsidRPr="004408F0">
        <w:rPr>
          <w:rFonts w:ascii="Arial" w:hAnsi="Arial" w:cs="Arial"/>
          <w:sz w:val="22"/>
          <w:szCs w:val="22"/>
        </w:rPr>
        <w:t xml:space="preserve"> a success fee and paying him </w:t>
      </w:r>
      <w:r w:rsidRPr="004408F0">
        <w:rPr>
          <w:rFonts w:ascii="Arial" w:hAnsi="Arial" w:cs="Arial"/>
          <w:sz w:val="22"/>
          <w:szCs w:val="22"/>
          <w:lang w:val="en-US"/>
        </w:rPr>
        <w:t>R11 508 549.12, is declared invalid and set aside.</w:t>
      </w:r>
    </w:p>
    <w:p w14:paraId="29C0F7C6" w14:textId="6F6C5E5A" w:rsidR="00EC5EB4" w:rsidRPr="004408F0" w:rsidRDefault="00EC5EB4" w:rsidP="00EC5EB4">
      <w:pPr>
        <w:rPr>
          <w:rFonts w:ascii="Arial" w:hAnsi="Arial" w:cs="Arial"/>
          <w:sz w:val="22"/>
          <w:szCs w:val="22"/>
          <w:lang w:val="en-US"/>
        </w:rPr>
      </w:pPr>
      <w:r w:rsidRPr="004408F0">
        <w:rPr>
          <w:rFonts w:ascii="Arial" w:hAnsi="Arial" w:cs="Arial"/>
          <w:sz w:val="22"/>
          <w:szCs w:val="22"/>
          <w:lang w:val="en-US"/>
        </w:rPr>
        <w:t>2.</w:t>
      </w:r>
      <w:r w:rsidRPr="004408F0">
        <w:rPr>
          <w:rFonts w:ascii="Arial" w:hAnsi="Arial" w:cs="Arial"/>
          <w:sz w:val="22"/>
          <w:szCs w:val="22"/>
          <w:lang w:val="en-US"/>
        </w:rPr>
        <w:tab/>
      </w:r>
      <w:proofErr w:type="spellStart"/>
      <w:r w:rsidRPr="004408F0">
        <w:rPr>
          <w:rFonts w:ascii="Arial" w:hAnsi="Arial" w:cs="Arial"/>
          <w:sz w:val="22"/>
          <w:szCs w:val="22"/>
          <w:lang w:val="en-US"/>
        </w:rPr>
        <w:t>Motsoeneng</w:t>
      </w:r>
      <w:proofErr w:type="spellEnd"/>
      <w:r w:rsidRPr="004408F0">
        <w:rPr>
          <w:rFonts w:ascii="Arial" w:hAnsi="Arial" w:cs="Arial"/>
          <w:sz w:val="22"/>
          <w:szCs w:val="22"/>
          <w:lang w:val="en-US"/>
        </w:rPr>
        <w:t xml:space="preserve"> is ordered to repay to the SABC, the amount of R11 508 549.12 paid to him as a success fee with interest </w:t>
      </w:r>
      <w:r w:rsidR="009117A1">
        <w:rPr>
          <w:rFonts w:ascii="Arial" w:hAnsi="Arial" w:cs="Arial"/>
          <w:sz w:val="22"/>
          <w:szCs w:val="22"/>
          <w:lang w:val="en-US"/>
        </w:rPr>
        <w:t>[</w:t>
      </w:r>
      <w:r w:rsidR="009117A1">
        <w:rPr>
          <w:rFonts w:ascii="Arial" w:hAnsi="Arial" w:cs="Arial"/>
          <w:i/>
          <w:sz w:val="22"/>
          <w:szCs w:val="22"/>
          <w:lang w:val="en-US"/>
        </w:rPr>
        <w:t xml:space="preserve">a tempore </w:t>
      </w:r>
      <w:r w:rsidR="009117A1" w:rsidRPr="009117A1">
        <w:rPr>
          <w:rFonts w:ascii="Arial" w:hAnsi="Arial" w:cs="Arial"/>
          <w:i/>
          <w:sz w:val="22"/>
          <w:szCs w:val="22"/>
          <w:lang w:val="en-US"/>
        </w:rPr>
        <w:t>morae</w:t>
      </w:r>
      <w:r w:rsidR="009117A1">
        <w:rPr>
          <w:rFonts w:ascii="Arial" w:hAnsi="Arial" w:cs="Arial"/>
          <w:sz w:val="22"/>
          <w:szCs w:val="22"/>
          <w:lang w:val="en-US"/>
        </w:rPr>
        <w:t xml:space="preserve">] </w:t>
      </w:r>
      <w:r w:rsidRPr="009117A1">
        <w:rPr>
          <w:rFonts w:ascii="Arial" w:hAnsi="Arial" w:cs="Arial"/>
          <w:sz w:val="22"/>
          <w:szCs w:val="22"/>
          <w:lang w:val="en-US"/>
        </w:rPr>
        <w:t>per</w:t>
      </w:r>
      <w:r w:rsidRPr="004408F0">
        <w:rPr>
          <w:rFonts w:ascii="Arial" w:hAnsi="Arial" w:cs="Arial"/>
          <w:sz w:val="22"/>
          <w:szCs w:val="22"/>
          <w:lang w:val="en-US"/>
        </w:rPr>
        <w:t xml:space="preserve"> annum calculated from 13 September 2016 to date of payment, within 7 (seven) days from the date of service of this order.</w:t>
      </w:r>
    </w:p>
    <w:p w14:paraId="6AEE3BBF" w14:textId="77777777" w:rsidR="00EC5EB4" w:rsidRPr="004408F0" w:rsidRDefault="00EC5EB4" w:rsidP="00EC5EB4">
      <w:pPr>
        <w:rPr>
          <w:rFonts w:ascii="Arial" w:hAnsi="Arial" w:cs="Arial"/>
          <w:sz w:val="22"/>
          <w:szCs w:val="22"/>
          <w:lang w:val="en-US"/>
        </w:rPr>
      </w:pPr>
      <w:r w:rsidRPr="004408F0">
        <w:rPr>
          <w:rFonts w:ascii="Arial" w:hAnsi="Arial" w:cs="Arial"/>
          <w:sz w:val="22"/>
          <w:szCs w:val="22"/>
          <w:lang w:val="en-US"/>
        </w:rPr>
        <w:t>3.</w:t>
      </w:r>
      <w:r w:rsidRPr="004408F0">
        <w:rPr>
          <w:rFonts w:ascii="Arial" w:hAnsi="Arial" w:cs="Arial"/>
          <w:sz w:val="22"/>
          <w:szCs w:val="22"/>
          <w:lang w:val="en-US"/>
        </w:rPr>
        <w:tab/>
        <w:t xml:space="preserve">The Pension Fund is to pay to the SABC an amount of R11 508 549.12 from the pension proceeds that have accumulated to the benefit of </w:t>
      </w:r>
      <w:proofErr w:type="spellStart"/>
      <w:r w:rsidRPr="004408F0">
        <w:rPr>
          <w:rFonts w:ascii="Arial" w:hAnsi="Arial" w:cs="Arial"/>
          <w:sz w:val="22"/>
          <w:szCs w:val="22"/>
          <w:lang w:val="en-US"/>
        </w:rPr>
        <w:t>Mr</w:t>
      </w:r>
      <w:proofErr w:type="spellEnd"/>
      <w:r w:rsidRPr="004408F0">
        <w:rPr>
          <w:rFonts w:ascii="Arial" w:hAnsi="Arial" w:cs="Arial"/>
          <w:sz w:val="22"/>
          <w:szCs w:val="22"/>
          <w:lang w:val="en-US"/>
        </w:rPr>
        <w:t xml:space="preserve"> H R </w:t>
      </w:r>
      <w:proofErr w:type="spellStart"/>
      <w:r w:rsidRPr="004408F0">
        <w:rPr>
          <w:rFonts w:ascii="Arial" w:hAnsi="Arial" w:cs="Arial"/>
          <w:sz w:val="22"/>
          <w:szCs w:val="22"/>
          <w:lang w:val="en-US"/>
        </w:rPr>
        <w:t>Motsoeneng</w:t>
      </w:r>
      <w:proofErr w:type="spellEnd"/>
      <w:r w:rsidRPr="004408F0">
        <w:rPr>
          <w:rFonts w:ascii="Arial" w:hAnsi="Arial" w:cs="Arial"/>
          <w:sz w:val="22"/>
          <w:szCs w:val="22"/>
          <w:lang w:val="en-US"/>
        </w:rPr>
        <w:t xml:space="preserve">, in </w:t>
      </w:r>
      <w:proofErr w:type="spellStart"/>
      <w:r w:rsidRPr="004408F0">
        <w:rPr>
          <w:rFonts w:ascii="Arial" w:hAnsi="Arial" w:cs="Arial"/>
          <w:sz w:val="22"/>
          <w:szCs w:val="22"/>
          <w:lang w:val="en-US"/>
        </w:rPr>
        <w:t>favour</w:t>
      </w:r>
      <w:proofErr w:type="spellEnd"/>
      <w:r w:rsidRPr="004408F0">
        <w:rPr>
          <w:rFonts w:ascii="Arial" w:hAnsi="Arial" w:cs="Arial"/>
          <w:sz w:val="22"/>
          <w:szCs w:val="22"/>
          <w:lang w:val="en-US"/>
        </w:rPr>
        <w:t xml:space="preserve"> of the SABC, alternatively to pay the full pension proceeds of </w:t>
      </w:r>
      <w:proofErr w:type="spellStart"/>
      <w:r w:rsidRPr="004408F0">
        <w:rPr>
          <w:rFonts w:ascii="Arial" w:hAnsi="Arial" w:cs="Arial"/>
          <w:sz w:val="22"/>
          <w:szCs w:val="22"/>
          <w:lang w:val="en-US"/>
        </w:rPr>
        <w:t>Mr</w:t>
      </w:r>
      <w:proofErr w:type="spellEnd"/>
      <w:r w:rsidRPr="004408F0">
        <w:rPr>
          <w:rFonts w:ascii="Arial" w:hAnsi="Arial" w:cs="Arial"/>
          <w:sz w:val="22"/>
          <w:szCs w:val="22"/>
          <w:lang w:val="en-US"/>
        </w:rPr>
        <w:t xml:space="preserve"> H R </w:t>
      </w:r>
      <w:proofErr w:type="spellStart"/>
      <w:r w:rsidRPr="004408F0">
        <w:rPr>
          <w:rFonts w:ascii="Arial" w:hAnsi="Arial" w:cs="Arial"/>
          <w:sz w:val="22"/>
          <w:szCs w:val="22"/>
          <w:lang w:val="en-US"/>
        </w:rPr>
        <w:t>Motsoeneng</w:t>
      </w:r>
      <w:proofErr w:type="spellEnd"/>
      <w:r w:rsidRPr="004408F0">
        <w:rPr>
          <w:rFonts w:ascii="Arial" w:hAnsi="Arial" w:cs="Arial"/>
          <w:sz w:val="22"/>
          <w:szCs w:val="22"/>
          <w:lang w:val="en-US"/>
        </w:rPr>
        <w:t>, in the event that they do not equal R11 508 549.12, in the event that the Second Respondent fails to pay within 7 (seven) days from date of service of this order.</w:t>
      </w:r>
    </w:p>
    <w:p w14:paraId="5076FFE7" w14:textId="77777777" w:rsidR="00EC5EB4" w:rsidRPr="004408F0" w:rsidRDefault="00EC5EB4" w:rsidP="00EC5EB4">
      <w:pPr>
        <w:rPr>
          <w:rFonts w:ascii="Arial" w:hAnsi="Arial" w:cs="Arial"/>
          <w:sz w:val="22"/>
          <w:szCs w:val="22"/>
          <w:lang w:val="en-US"/>
        </w:rPr>
      </w:pPr>
      <w:r w:rsidRPr="004408F0">
        <w:rPr>
          <w:rFonts w:ascii="Arial" w:hAnsi="Arial" w:cs="Arial"/>
          <w:sz w:val="22"/>
          <w:szCs w:val="22"/>
          <w:lang w:val="en-US"/>
        </w:rPr>
        <w:t>4.</w:t>
      </w:r>
      <w:r w:rsidRPr="004408F0">
        <w:rPr>
          <w:rFonts w:ascii="Arial" w:hAnsi="Arial" w:cs="Arial"/>
          <w:sz w:val="22"/>
          <w:szCs w:val="22"/>
          <w:lang w:val="en-US"/>
        </w:rPr>
        <w:tab/>
        <w:t>Ordering the Second Respondent to pay the costs of this application, which costs will include the reserved costs in respect of Part A and the costs of 2 Counsel where employed.</w:t>
      </w:r>
    </w:p>
    <w:p w14:paraId="004421F4" w14:textId="77777777" w:rsidR="00EC5EB4" w:rsidRPr="004408F0" w:rsidRDefault="00EC5EB4" w:rsidP="00EC5EB4">
      <w:pPr>
        <w:rPr>
          <w:rFonts w:ascii="Arial" w:hAnsi="Arial" w:cs="Arial"/>
          <w:sz w:val="22"/>
          <w:szCs w:val="22"/>
        </w:rPr>
      </w:pPr>
      <w:r w:rsidRPr="004408F0">
        <w:rPr>
          <w:rFonts w:ascii="Arial" w:hAnsi="Arial" w:cs="Arial"/>
          <w:sz w:val="22"/>
          <w:szCs w:val="22"/>
          <w:lang w:val="en-US"/>
        </w:rPr>
        <w:t>5.</w:t>
      </w:r>
      <w:r w:rsidRPr="004408F0">
        <w:rPr>
          <w:rFonts w:ascii="Arial" w:hAnsi="Arial" w:cs="Arial"/>
          <w:sz w:val="22"/>
          <w:szCs w:val="22"/>
          <w:lang w:val="en-US"/>
        </w:rPr>
        <w:tab/>
        <w:t>Ordering the First and Second Applicants to pay the Respondents costs in respect of the costs of the abandonment of the wasteful and irregular expenditure claim.’</w:t>
      </w:r>
    </w:p>
    <w:p w14:paraId="208C7580" w14:textId="7A6C417A" w:rsidR="001C28E1" w:rsidRPr="00EC5EB4" w:rsidRDefault="001C28E1" w:rsidP="001C28E1">
      <w:pPr>
        <w:rPr>
          <w:rFonts w:ascii="Arial" w:hAnsi="Arial" w:cs="Arial"/>
          <w:highlight w:val="red"/>
        </w:rPr>
      </w:pPr>
    </w:p>
    <w:p w14:paraId="7E9F8A60" w14:textId="24DD6F3B" w:rsidR="00EC5EB4" w:rsidRDefault="00B54FD2" w:rsidP="00EC5EB4">
      <w:pPr>
        <w:rPr>
          <w:rFonts w:ascii="Arial" w:hAnsi="Arial" w:cs="Arial"/>
        </w:rPr>
      </w:pPr>
      <w:r w:rsidRPr="00EC5EB4">
        <w:rPr>
          <w:rFonts w:ascii="Arial" w:hAnsi="Arial" w:cs="Arial"/>
        </w:rPr>
        <w:t>[</w:t>
      </w:r>
      <w:r w:rsidR="00A632A6" w:rsidRPr="00EC5EB4">
        <w:rPr>
          <w:rFonts w:ascii="Arial" w:hAnsi="Arial" w:cs="Arial"/>
        </w:rPr>
        <w:t>11</w:t>
      </w:r>
      <w:r w:rsidR="001C28E1" w:rsidRPr="00EC5EB4">
        <w:rPr>
          <w:rFonts w:ascii="Arial" w:hAnsi="Arial" w:cs="Arial"/>
        </w:rPr>
        <w:t>]</w:t>
      </w:r>
      <w:r w:rsidR="001C28E1" w:rsidRPr="00EC5EB4">
        <w:rPr>
          <w:rFonts w:ascii="Arial" w:hAnsi="Arial" w:cs="Arial"/>
        </w:rPr>
        <w:tab/>
      </w:r>
      <w:r w:rsidR="00EC5EB4">
        <w:rPr>
          <w:rFonts w:ascii="Arial" w:hAnsi="Arial" w:cs="Arial"/>
        </w:rPr>
        <w:t xml:space="preserve">On 15 July 2022, Khan AJ dismissed Mr </w:t>
      </w:r>
      <w:proofErr w:type="spellStart"/>
      <w:r w:rsidR="00EC5EB4">
        <w:rPr>
          <w:rFonts w:ascii="Arial" w:hAnsi="Arial" w:cs="Arial"/>
        </w:rPr>
        <w:t>Motsoeneng’s</w:t>
      </w:r>
      <w:proofErr w:type="spellEnd"/>
      <w:r w:rsidR="00EC5EB4">
        <w:rPr>
          <w:rFonts w:ascii="Arial" w:hAnsi="Arial" w:cs="Arial"/>
        </w:rPr>
        <w:t xml:space="preserve"> application for leave to appeal. He thereafter petitioned this Court for leave to appeal on 15 August 2022. The two judges who considered the petition dismissed it on 19 January 2023. Like Khan AJ, they also took the view that </w:t>
      </w:r>
      <w:r w:rsidR="00640ECD">
        <w:rPr>
          <w:rFonts w:ascii="Arial" w:hAnsi="Arial" w:cs="Arial"/>
        </w:rPr>
        <w:t xml:space="preserve">the envisaged appeal </w:t>
      </w:r>
      <w:r w:rsidR="009117A1">
        <w:rPr>
          <w:rFonts w:ascii="Arial" w:hAnsi="Arial" w:cs="Arial"/>
        </w:rPr>
        <w:t xml:space="preserve">lacked </w:t>
      </w:r>
      <w:r w:rsidR="00EC5EB4">
        <w:rPr>
          <w:rFonts w:ascii="Arial" w:hAnsi="Arial" w:cs="Arial"/>
        </w:rPr>
        <w:t xml:space="preserve">reasonable prospects of success and </w:t>
      </w:r>
      <w:r w:rsidR="00640ECD">
        <w:rPr>
          <w:rFonts w:ascii="Arial" w:hAnsi="Arial" w:cs="Arial"/>
        </w:rPr>
        <w:t xml:space="preserve">that </w:t>
      </w:r>
      <w:r w:rsidR="00EC5EB4">
        <w:rPr>
          <w:rFonts w:ascii="Arial" w:hAnsi="Arial" w:cs="Arial"/>
        </w:rPr>
        <w:t xml:space="preserve">there was no other compelling reason why the appeal should be heard, as contemplated by s 17(1) of the Superior Courts Act 10 of 2013 (the Act). Mr </w:t>
      </w:r>
      <w:proofErr w:type="spellStart"/>
      <w:r w:rsidR="00EC5EB4">
        <w:rPr>
          <w:rFonts w:ascii="Arial" w:hAnsi="Arial" w:cs="Arial"/>
        </w:rPr>
        <w:t>Motsoeneng</w:t>
      </w:r>
      <w:proofErr w:type="spellEnd"/>
      <w:r w:rsidR="00EC5EB4">
        <w:rPr>
          <w:rFonts w:ascii="Arial" w:hAnsi="Arial" w:cs="Arial"/>
        </w:rPr>
        <w:t xml:space="preserve"> then applied in terms of s 17(2)(</w:t>
      </w:r>
      <w:r w:rsidR="00EC5EB4" w:rsidRPr="004408F0">
        <w:rPr>
          <w:rFonts w:ascii="Arial" w:hAnsi="Arial" w:cs="Arial"/>
          <w:i/>
        </w:rPr>
        <w:t>f</w:t>
      </w:r>
      <w:r w:rsidR="00EC5EB4">
        <w:rPr>
          <w:rFonts w:ascii="Arial" w:hAnsi="Arial" w:cs="Arial"/>
        </w:rPr>
        <w:t xml:space="preserve">) of the Act to the President of this Court for the reconsideration of the refusal of his petition. </w:t>
      </w:r>
      <w:proofErr w:type="spellStart"/>
      <w:r w:rsidR="00EC5EB4">
        <w:rPr>
          <w:rFonts w:ascii="Arial" w:hAnsi="Arial" w:cs="Arial"/>
        </w:rPr>
        <w:t>Petse</w:t>
      </w:r>
      <w:proofErr w:type="spellEnd"/>
      <w:r w:rsidR="00EC5EB4" w:rsidRPr="00702BE3">
        <w:rPr>
          <w:rFonts w:ascii="Arial" w:hAnsi="Arial" w:cs="Arial"/>
        </w:rPr>
        <w:t xml:space="preserve"> </w:t>
      </w:r>
      <w:r w:rsidR="00EC5EB4">
        <w:rPr>
          <w:rFonts w:ascii="Arial" w:hAnsi="Arial" w:cs="Arial"/>
        </w:rPr>
        <w:t>A</w:t>
      </w:r>
      <w:r w:rsidR="00EC5EB4" w:rsidRPr="00702BE3">
        <w:rPr>
          <w:rFonts w:ascii="Arial" w:hAnsi="Arial" w:cs="Arial"/>
        </w:rPr>
        <w:t xml:space="preserve">P referred the </w:t>
      </w:r>
      <w:r w:rsidR="00EC5EB4">
        <w:rPr>
          <w:rFonts w:ascii="Arial" w:hAnsi="Arial" w:cs="Arial"/>
        </w:rPr>
        <w:t xml:space="preserve">decision dismissing Mr </w:t>
      </w:r>
      <w:proofErr w:type="spellStart"/>
      <w:r w:rsidR="00EC5EB4">
        <w:rPr>
          <w:rFonts w:ascii="Arial" w:hAnsi="Arial" w:cs="Arial"/>
        </w:rPr>
        <w:t>Motsoeneng’s</w:t>
      </w:r>
      <w:proofErr w:type="spellEnd"/>
      <w:r w:rsidR="00EC5EB4">
        <w:rPr>
          <w:rFonts w:ascii="Arial" w:hAnsi="Arial" w:cs="Arial"/>
        </w:rPr>
        <w:t xml:space="preserve"> application for leave to appeal</w:t>
      </w:r>
      <w:r w:rsidR="00EC5EB4" w:rsidRPr="00702BE3">
        <w:rPr>
          <w:rFonts w:ascii="Arial" w:hAnsi="Arial" w:cs="Arial"/>
        </w:rPr>
        <w:t xml:space="preserve"> to th</w:t>
      </w:r>
      <w:r w:rsidR="00EC5EB4">
        <w:rPr>
          <w:rFonts w:ascii="Arial" w:hAnsi="Arial" w:cs="Arial"/>
        </w:rPr>
        <w:t>e C</w:t>
      </w:r>
      <w:r w:rsidR="00EC5EB4" w:rsidRPr="00702BE3">
        <w:rPr>
          <w:rFonts w:ascii="Arial" w:hAnsi="Arial" w:cs="Arial"/>
        </w:rPr>
        <w:t>ourt for reconsideration</w:t>
      </w:r>
      <w:r w:rsidR="00EC5EB4">
        <w:rPr>
          <w:rFonts w:ascii="Arial" w:hAnsi="Arial" w:cs="Arial"/>
        </w:rPr>
        <w:t xml:space="preserve"> and directed the parties to be prepared, if called upon to do so, to address the court on the merits of the appeal.</w:t>
      </w:r>
    </w:p>
    <w:p w14:paraId="0511435E" w14:textId="2AF470FE" w:rsidR="000550B0" w:rsidRPr="00EC5EB4" w:rsidRDefault="000550B0" w:rsidP="001C28E1">
      <w:pPr>
        <w:rPr>
          <w:rFonts w:ascii="Arial" w:hAnsi="Arial" w:cs="Arial"/>
          <w:highlight w:val="red"/>
        </w:rPr>
      </w:pPr>
    </w:p>
    <w:p w14:paraId="756AAB39" w14:textId="3012D377" w:rsidR="00841B46" w:rsidRPr="00A94F75" w:rsidRDefault="00B47C02" w:rsidP="001C28E1">
      <w:pPr>
        <w:rPr>
          <w:rFonts w:ascii="Arial" w:hAnsi="Arial" w:cs="Arial"/>
        </w:rPr>
      </w:pPr>
      <w:r w:rsidRPr="004408F0">
        <w:rPr>
          <w:rFonts w:ascii="Arial" w:hAnsi="Arial" w:cs="Arial"/>
        </w:rPr>
        <w:t>[1</w:t>
      </w:r>
      <w:r w:rsidR="00A632A6" w:rsidRPr="004408F0">
        <w:rPr>
          <w:rFonts w:ascii="Arial" w:hAnsi="Arial" w:cs="Arial"/>
        </w:rPr>
        <w:t>2</w:t>
      </w:r>
      <w:r w:rsidR="001C28E1" w:rsidRPr="004408F0">
        <w:rPr>
          <w:rFonts w:ascii="Arial" w:hAnsi="Arial" w:cs="Arial"/>
        </w:rPr>
        <w:t>]</w:t>
      </w:r>
      <w:r w:rsidR="001C28E1" w:rsidRPr="004408F0">
        <w:rPr>
          <w:rFonts w:ascii="Arial" w:hAnsi="Arial" w:cs="Arial"/>
        </w:rPr>
        <w:tab/>
      </w:r>
      <w:r w:rsidR="00EC5EB4" w:rsidRPr="005920FF">
        <w:rPr>
          <w:rFonts w:ascii="Arial" w:hAnsi="Arial" w:cs="Arial"/>
        </w:rPr>
        <w:t>After the record had been filed in th</w:t>
      </w:r>
      <w:r w:rsidR="00EC5EB4">
        <w:rPr>
          <w:rFonts w:ascii="Arial" w:hAnsi="Arial" w:cs="Arial"/>
        </w:rPr>
        <w:t>e</w:t>
      </w:r>
      <w:r w:rsidR="00EC5EB4" w:rsidRPr="005920FF">
        <w:rPr>
          <w:rFonts w:ascii="Arial" w:hAnsi="Arial" w:cs="Arial"/>
        </w:rPr>
        <w:t xml:space="preserve"> matter</w:t>
      </w:r>
      <w:r w:rsidR="00EC5EB4">
        <w:rPr>
          <w:rFonts w:ascii="Arial" w:hAnsi="Arial" w:cs="Arial"/>
        </w:rPr>
        <w:t>,</w:t>
      </w:r>
      <w:r w:rsidR="00EC5EB4" w:rsidRPr="005920FF">
        <w:rPr>
          <w:rFonts w:ascii="Arial" w:hAnsi="Arial" w:cs="Arial"/>
        </w:rPr>
        <w:t xml:space="preserve"> the appeal lapsed for failure on the part of </w:t>
      </w:r>
      <w:r w:rsidR="00EC5EB4">
        <w:rPr>
          <w:rFonts w:ascii="Arial" w:hAnsi="Arial" w:cs="Arial"/>
        </w:rPr>
        <w:t xml:space="preserve">Mr </w:t>
      </w:r>
      <w:proofErr w:type="spellStart"/>
      <w:r w:rsidR="00EC5EB4">
        <w:rPr>
          <w:rFonts w:ascii="Arial" w:hAnsi="Arial" w:cs="Arial"/>
        </w:rPr>
        <w:t>Motsoeneng</w:t>
      </w:r>
      <w:proofErr w:type="spellEnd"/>
      <w:r w:rsidR="00EC5EB4" w:rsidRPr="005920FF">
        <w:rPr>
          <w:rFonts w:ascii="Arial" w:hAnsi="Arial" w:cs="Arial"/>
        </w:rPr>
        <w:t xml:space="preserve"> to prosecute it by timeously filing </w:t>
      </w:r>
      <w:r w:rsidR="00EC5EB4">
        <w:rPr>
          <w:rFonts w:ascii="Arial" w:hAnsi="Arial" w:cs="Arial"/>
        </w:rPr>
        <w:t>h</w:t>
      </w:r>
      <w:r w:rsidR="00EC5EB4" w:rsidRPr="005920FF">
        <w:rPr>
          <w:rFonts w:ascii="Arial" w:hAnsi="Arial" w:cs="Arial"/>
        </w:rPr>
        <w:t xml:space="preserve">is heads of argument. </w:t>
      </w:r>
      <w:r w:rsidR="00EC5EB4">
        <w:rPr>
          <w:rFonts w:ascii="Arial" w:hAnsi="Arial" w:cs="Arial"/>
        </w:rPr>
        <w:t>Thus, t</w:t>
      </w:r>
      <w:r w:rsidR="00EC5EB4" w:rsidRPr="005920FF">
        <w:rPr>
          <w:rFonts w:ascii="Arial" w:hAnsi="Arial" w:cs="Arial"/>
        </w:rPr>
        <w:t xml:space="preserve">he initial question that is before us is whether the default by </w:t>
      </w:r>
      <w:r w:rsidR="00EC5EB4">
        <w:rPr>
          <w:rFonts w:ascii="Arial" w:hAnsi="Arial" w:cs="Arial"/>
        </w:rPr>
        <w:t>him</w:t>
      </w:r>
      <w:r w:rsidR="00EC5EB4" w:rsidRPr="005920FF">
        <w:rPr>
          <w:rFonts w:ascii="Arial" w:hAnsi="Arial" w:cs="Arial"/>
        </w:rPr>
        <w:t xml:space="preserve"> should be condoned and the appeal revived. </w:t>
      </w:r>
      <w:r w:rsidR="00EC5EB4" w:rsidRPr="000707D7">
        <w:rPr>
          <w:rFonts w:ascii="Arial" w:hAnsi="Arial" w:cs="Arial"/>
        </w:rPr>
        <w:t>Factors</w:t>
      </w:r>
      <w:r w:rsidR="00B82778">
        <w:rPr>
          <w:rFonts w:ascii="Arial" w:hAnsi="Arial" w:cs="Arial"/>
        </w:rPr>
        <w:t xml:space="preserve"> which usually weigh </w:t>
      </w:r>
      <w:r w:rsidR="00B82778" w:rsidRPr="00027957">
        <w:rPr>
          <w:rFonts w:ascii="Arial" w:hAnsi="Arial" w:cs="Arial"/>
        </w:rPr>
        <w:t>with this C</w:t>
      </w:r>
      <w:r w:rsidR="00EC5EB4" w:rsidRPr="00027957">
        <w:rPr>
          <w:rFonts w:ascii="Arial" w:hAnsi="Arial" w:cs="Arial"/>
        </w:rPr>
        <w:t xml:space="preserve">ourt in considering an application for condonation include the degree of non-compliance, the explanation therefor, the importance of the case, a respondent’s interest in the finality of the judgment of the court </w:t>
      </w:r>
      <w:r w:rsidR="00B82778" w:rsidRPr="00027957">
        <w:rPr>
          <w:rFonts w:ascii="Arial" w:hAnsi="Arial" w:cs="Arial"/>
        </w:rPr>
        <w:t>below, the convenience of this C</w:t>
      </w:r>
      <w:r w:rsidR="00EC5EB4" w:rsidRPr="00027957">
        <w:rPr>
          <w:rFonts w:ascii="Arial" w:hAnsi="Arial" w:cs="Arial"/>
        </w:rPr>
        <w:t>ourt and the avoidan</w:t>
      </w:r>
      <w:r w:rsidR="00EC5EB4" w:rsidRPr="000707D7">
        <w:rPr>
          <w:rFonts w:ascii="Arial" w:hAnsi="Arial" w:cs="Arial"/>
        </w:rPr>
        <w:t>ce of unnecessary delay in the administration of justice</w:t>
      </w:r>
      <w:r w:rsidR="00EC5EB4">
        <w:rPr>
          <w:rFonts w:ascii="Arial" w:hAnsi="Arial" w:cs="Arial"/>
        </w:rPr>
        <w:t>.</w:t>
      </w:r>
      <w:r w:rsidR="00EC5EB4">
        <w:rPr>
          <w:rStyle w:val="FootnoteReference"/>
          <w:rFonts w:ascii="Arial" w:hAnsi="Arial" w:cs="Arial"/>
        </w:rPr>
        <w:footnoteReference w:id="4"/>
      </w:r>
      <w:r w:rsidR="00EC5EB4" w:rsidRPr="000707D7">
        <w:rPr>
          <w:rFonts w:ascii="Arial" w:hAnsi="Arial" w:cs="Arial"/>
        </w:rPr>
        <w:t xml:space="preserve"> </w:t>
      </w:r>
      <w:r w:rsidR="00EC5EB4">
        <w:rPr>
          <w:rFonts w:ascii="Arial" w:hAnsi="Arial" w:cs="Arial"/>
        </w:rPr>
        <w:t>Her</w:t>
      </w:r>
      <w:r w:rsidR="00A97722">
        <w:rPr>
          <w:rFonts w:ascii="Arial" w:hAnsi="Arial" w:cs="Arial"/>
        </w:rPr>
        <w:t xml:space="preserve">e, the delay is not excessive – </w:t>
      </w:r>
      <w:r w:rsidR="00EC5EB4">
        <w:rPr>
          <w:rFonts w:ascii="Arial" w:hAnsi="Arial" w:cs="Arial"/>
        </w:rPr>
        <w:t xml:space="preserve">the heads were late by some eight days as a result of a miscalculation of the </w:t>
      </w:r>
      <w:r w:rsidR="00EC5EB4" w:rsidRPr="009117A1">
        <w:rPr>
          <w:rFonts w:ascii="Arial" w:hAnsi="Arial" w:cs="Arial"/>
          <w:i/>
        </w:rPr>
        <w:t>dies</w:t>
      </w:r>
      <w:r w:rsidR="00EC5EB4">
        <w:rPr>
          <w:rFonts w:ascii="Arial" w:hAnsi="Arial" w:cs="Arial"/>
        </w:rPr>
        <w:t xml:space="preserve"> on the part of Mr </w:t>
      </w:r>
      <w:proofErr w:type="spellStart"/>
      <w:r w:rsidR="00EC5EB4">
        <w:rPr>
          <w:rFonts w:ascii="Arial" w:hAnsi="Arial" w:cs="Arial"/>
        </w:rPr>
        <w:t>Motsoeneng’s</w:t>
      </w:r>
      <w:proofErr w:type="spellEnd"/>
      <w:r w:rsidR="00EC5EB4">
        <w:rPr>
          <w:rFonts w:ascii="Arial" w:hAnsi="Arial" w:cs="Arial"/>
        </w:rPr>
        <w:t xml:space="preserve"> attorney. The application for condonation was filed within a week of the attorney becoming aware of the necessity for one. </w:t>
      </w:r>
      <w:r w:rsidR="00EC5EB4" w:rsidRPr="000707D7">
        <w:rPr>
          <w:rFonts w:ascii="Arial" w:hAnsi="Arial" w:cs="Arial"/>
        </w:rPr>
        <w:t>I</w:t>
      </w:r>
      <w:r w:rsidR="00EC5EB4">
        <w:rPr>
          <w:rFonts w:ascii="Arial" w:hAnsi="Arial" w:cs="Arial"/>
        </w:rPr>
        <w:t xml:space="preserve"> am also willing to</w:t>
      </w:r>
      <w:r w:rsidR="00EC5EB4" w:rsidRPr="000707D7">
        <w:rPr>
          <w:rFonts w:ascii="Arial" w:hAnsi="Arial" w:cs="Arial"/>
        </w:rPr>
        <w:t xml:space="preserve"> assume in</w:t>
      </w:r>
      <w:r w:rsidR="00EC5EB4">
        <w:rPr>
          <w:rFonts w:ascii="Arial" w:hAnsi="Arial" w:cs="Arial"/>
        </w:rPr>
        <w:t xml:space="preserve"> </w:t>
      </w:r>
      <w:proofErr w:type="spellStart"/>
      <w:r w:rsidR="00EC5EB4">
        <w:rPr>
          <w:rFonts w:ascii="Arial" w:hAnsi="Arial" w:cs="Arial"/>
        </w:rPr>
        <w:t>Motsoeneng</w:t>
      </w:r>
      <w:r w:rsidR="00EC5EB4" w:rsidRPr="000707D7">
        <w:rPr>
          <w:rFonts w:ascii="Arial" w:hAnsi="Arial" w:cs="Arial"/>
        </w:rPr>
        <w:t>’s</w:t>
      </w:r>
      <w:proofErr w:type="spellEnd"/>
      <w:r w:rsidR="00EC5EB4" w:rsidRPr="000707D7">
        <w:rPr>
          <w:rFonts w:ascii="Arial" w:hAnsi="Arial" w:cs="Arial"/>
        </w:rPr>
        <w:t xml:space="preserve"> favour that the matter is of substantial importance to </w:t>
      </w:r>
      <w:r w:rsidR="00EC5EB4">
        <w:rPr>
          <w:rFonts w:ascii="Arial" w:hAnsi="Arial" w:cs="Arial"/>
        </w:rPr>
        <w:t xml:space="preserve">him and </w:t>
      </w:r>
      <w:r w:rsidR="00EC5EB4" w:rsidRPr="000707D7">
        <w:rPr>
          <w:rFonts w:ascii="Arial" w:hAnsi="Arial" w:cs="Arial"/>
        </w:rPr>
        <w:t xml:space="preserve">accept </w:t>
      </w:r>
      <w:r w:rsidR="00EC5EB4">
        <w:rPr>
          <w:rFonts w:ascii="Arial" w:hAnsi="Arial" w:cs="Arial"/>
        </w:rPr>
        <w:t xml:space="preserve">in his favour </w:t>
      </w:r>
      <w:r w:rsidR="00EC5EB4" w:rsidRPr="000707D7">
        <w:rPr>
          <w:rFonts w:ascii="Arial" w:hAnsi="Arial" w:cs="Arial"/>
        </w:rPr>
        <w:t xml:space="preserve">that there has been no or minimal inconvenience to the </w:t>
      </w:r>
      <w:r w:rsidR="00EC5EB4">
        <w:rPr>
          <w:rFonts w:ascii="Arial" w:hAnsi="Arial" w:cs="Arial"/>
        </w:rPr>
        <w:t>C</w:t>
      </w:r>
      <w:r w:rsidR="00EC5EB4" w:rsidRPr="000707D7">
        <w:rPr>
          <w:rFonts w:ascii="Arial" w:hAnsi="Arial" w:cs="Arial"/>
        </w:rPr>
        <w:t xml:space="preserve">ourt. </w:t>
      </w:r>
      <w:r w:rsidR="00EC5EB4">
        <w:rPr>
          <w:rFonts w:ascii="Arial" w:hAnsi="Arial" w:cs="Arial"/>
        </w:rPr>
        <w:t xml:space="preserve">However, on the merits, which must be </w:t>
      </w:r>
      <w:r w:rsidR="00EC5EB4" w:rsidRPr="000707D7">
        <w:rPr>
          <w:rFonts w:ascii="Arial" w:hAnsi="Arial" w:cs="Arial"/>
        </w:rPr>
        <w:t>weigh</w:t>
      </w:r>
      <w:r w:rsidR="00EC5EB4">
        <w:rPr>
          <w:rFonts w:ascii="Arial" w:hAnsi="Arial" w:cs="Arial"/>
        </w:rPr>
        <w:t>ed</w:t>
      </w:r>
      <w:r w:rsidR="00EC5EB4" w:rsidRPr="000707D7">
        <w:rPr>
          <w:rFonts w:ascii="Arial" w:hAnsi="Arial" w:cs="Arial"/>
        </w:rPr>
        <w:t xml:space="preserve"> </w:t>
      </w:r>
      <w:r w:rsidR="00EC5EB4">
        <w:rPr>
          <w:rFonts w:ascii="Arial" w:hAnsi="Arial" w:cs="Arial"/>
        </w:rPr>
        <w:t>against</w:t>
      </w:r>
      <w:r w:rsidR="00EC5EB4" w:rsidRPr="000707D7">
        <w:rPr>
          <w:rFonts w:ascii="Arial" w:hAnsi="Arial" w:cs="Arial"/>
        </w:rPr>
        <w:t xml:space="preserve"> the other factors</w:t>
      </w:r>
      <w:r w:rsidR="00EC5EB4">
        <w:rPr>
          <w:rFonts w:ascii="Arial" w:hAnsi="Arial" w:cs="Arial"/>
        </w:rPr>
        <w:t xml:space="preserve"> and to which I presently turn,</w:t>
      </w:r>
      <w:r w:rsidR="00EC5EB4" w:rsidRPr="00EC5424">
        <w:rPr>
          <w:rFonts w:ascii="Arial" w:hAnsi="Arial" w:cs="Arial"/>
        </w:rPr>
        <w:t xml:space="preserve"> </w:t>
      </w:r>
      <w:r w:rsidR="00EC5EB4">
        <w:rPr>
          <w:rFonts w:ascii="Arial" w:hAnsi="Arial" w:cs="Arial"/>
        </w:rPr>
        <w:t xml:space="preserve">one cannot be as charitable to Mr </w:t>
      </w:r>
      <w:proofErr w:type="spellStart"/>
      <w:r w:rsidR="00EC5EB4">
        <w:rPr>
          <w:rFonts w:ascii="Arial" w:hAnsi="Arial" w:cs="Arial"/>
        </w:rPr>
        <w:t>Motsoeneng</w:t>
      </w:r>
      <w:proofErr w:type="spellEnd"/>
      <w:r w:rsidR="00EC5EB4">
        <w:rPr>
          <w:rFonts w:ascii="Arial" w:hAnsi="Arial" w:cs="Arial"/>
        </w:rPr>
        <w:t xml:space="preserve">. On that score, </w:t>
      </w:r>
      <w:r w:rsidR="00EC5EB4" w:rsidRPr="00EC5424">
        <w:rPr>
          <w:rFonts w:ascii="Arial" w:hAnsi="Arial" w:cs="Arial"/>
        </w:rPr>
        <w:t xml:space="preserve">the scales are tipped </w:t>
      </w:r>
      <w:r w:rsidR="00EC5EB4">
        <w:rPr>
          <w:rFonts w:ascii="Arial" w:hAnsi="Arial" w:cs="Arial"/>
        </w:rPr>
        <w:t xml:space="preserve">firmly against </w:t>
      </w:r>
      <w:r w:rsidR="00EC5EB4" w:rsidRPr="00EC5424">
        <w:rPr>
          <w:rFonts w:ascii="Arial" w:hAnsi="Arial" w:cs="Arial"/>
        </w:rPr>
        <w:t>condoning the default and reviving the appeal</w:t>
      </w:r>
      <w:r w:rsidR="00EC5EB4">
        <w:rPr>
          <w:rFonts w:ascii="Arial" w:hAnsi="Arial" w:cs="Arial"/>
        </w:rPr>
        <w:t xml:space="preserve">, thereby </w:t>
      </w:r>
      <w:r w:rsidR="00EC5EB4" w:rsidRPr="00EC5424">
        <w:rPr>
          <w:rFonts w:ascii="Arial" w:hAnsi="Arial" w:cs="Arial"/>
        </w:rPr>
        <w:t>entitl</w:t>
      </w:r>
      <w:r w:rsidR="00EC5EB4">
        <w:rPr>
          <w:rFonts w:ascii="Arial" w:hAnsi="Arial" w:cs="Arial"/>
        </w:rPr>
        <w:t>ing</w:t>
      </w:r>
      <w:r w:rsidR="00EC5EB4" w:rsidRPr="00EC5424">
        <w:rPr>
          <w:rFonts w:ascii="Arial" w:hAnsi="Arial" w:cs="Arial"/>
        </w:rPr>
        <w:t xml:space="preserve"> </w:t>
      </w:r>
      <w:r w:rsidR="00EC5EB4">
        <w:rPr>
          <w:rFonts w:ascii="Arial" w:hAnsi="Arial" w:cs="Arial"/>
        </w:rPr>
        <w:t xml:space="preserve">us </w:t>
      </w:r>
      <w:r w:rsidR="00EC5EB4" w:rsidRPr="00EC5424">
        <w:rPr>
          <w:rFonts w:ascii="Arial" w:hAnsi="Arial" w:cs="Arial"/>
        </w:rPr>
        <w:t>to refuse the indulgence of condonation</w:t>
      </w:r>
      <w:r w:rsidR="00EC5EB4">
        <w:rPr>
          <w:rFonts w:ascii="Arial" w:hAnsi="Arial" w:cs="Arial"/>
        </w:rPr>
        <w:t>.</w:t>
      </w:r>
    </w:p>
    <w:p w14:paraId="49311084" w14:textId="77777777" w:rsidR="00EC5EB4" w:rsidRDefault="00B47C02" w:rsidP="00EC5EB4">
      <w:pPr>
        <w:rPr>
          <w:rFonts w:ascii="Arial" w:hAnsi="Arial" w:cs="Arial"/>
        </w:rPr>
      </w:pPr>
      <w:r w:rsidRPr="00513BD8">
        <w:rPr>
          <w:rFonts w:ascii="Arial" w:hAnsi="Arial" w:cs="Arial"/>
        </w:rPr>
        <w:t>[1</w:t>
      </w:r>
      <w:r w:rsidR="00A632A6" w:rsidRPr="00513BD8">
        <w:rPr>
          <w:rFonts w:ascii="Arial" w:hAnsi="Arial" w:cs="Arial"/>
        </w:rPr>
        <w:t>3</w:t>
      </w:r>
      <w:r w:rsidR="001C28E1" w:rsidRPr="00513BD8">
        <w:rPr>
          <w:rFonts w:ascii="Arial" w:hAnsi="Arial" w:cs="Arial"/>
        </w:rPr>
        <w:t>]</w:t>
      </w:r>
      <w:r w:rsidR="001C28E1" w:rsidRPr="00513BD8">
        <w:rPr>
          <w:rFonts w:ascii="Arial" w:hAnsi="Arial" w:cs="Arial"/>
        </w:rPr>
        <w:tab/>
      </w:r>
      <w:r w:rsidR="00EC5EB4" w:rsidRPr="00513BD8">
        <w:rPr>
          <w:rFonts w:ascii="Arial" w:hAnsi="Arial" w:cs="Arial"/>
        </w:rPr>
        <w:t>Section</w:t>
      </w:r>
      <w:r w:rsidR="00EC5EB4">
        <w:rPr>
          <w:rFonts w:ascii="Arial" w:hAnsi="Arial" w:cs="Arial"/>
        </w:rPr>
        <w:t xml:space="preserve"> 17(2) </w:t>
      </w:r>
      <w:r w:rsidR="00EC5EB4" w:rsidRPr="00E1384D">
        <w:rPr>
          <w:rFonts w:ascii="Arial" w:hAnsi="Arial" w:cs="Arial"/>
        </w:rPr>
        <w:t xml:space="preserve">of the Act </w:t>
      </w:r>
      <w:r w:rsidR="00EC5EB4" w:rsidRPr="00A97722">
        <w:rPr>
          <w:rFonts w:ascii="Arial" w:hAnsi="Arial" w:cs="Arial"/>
        </w:rPr>
        <w:t>provides:</w:t>
      </w:r>
    </w:p>
    <w:p w14:paraId="7A538006" w14:textId="672BB9D3" w:rsidR="00EC5EB4" w:rsidRPr="00F42B8A" w:rsidRDefault="00EC5EB4" w:rsidP="00EC5EB4">
      <w:pPr>
        <w:rPr>
          <w:rFonts w:ascii="Arial" w:hAnsi="Arial" w:cs="Arial"/>
          <w:sz w:val="22"/>
          <w:szCs w:val="22"/>
        </w:rPr>
      </w:pPr>
      <w:r w:rsidRPr="00F42B8A">
        <w:rPr>
          <w:rFonts w:ascii="Arial" w:hAnsi="Arial" w:cs="Arial"/>
          <w:sz w:val="22"/>
          <w:szCs w:val="22"/>
        </w:rPr>
        <w:t>‘</w:t>
      </w:r>
      <w:r w:rsidRPr="00103FB0">
        <w:rPr>
          <w:rFonts w:ascii="Arial" w:hAnsi="Arial" w:cs="Arial"/>
          <w:i/>
          <w:sz w:val="22"/>
          <w:szCs w:val="22"/>
        </w:rPr>
        <w:t>(a)</w:t>
      </w:r>
      <w:r w:rsidR="00A97722" w:rsidRPr="00103FB0">
        <w:rPr>
          <w:rFonts w:ascii="Arial" w:hAnsi="Arial" w:cs="Arial"/>
          <w:i/>
          <w:sz w:val="22"/>
          <w:szCs w:val="22"/>
        </w:rPr>
        <w:t xml:space="preserve"> </w:t>
      </w:r>
      <w:r w:rsidR="00A97722" w:rsidRPr="00F42B8A">
        <w:rPr>
          <w:rFonts w:ascii="Arial" w:hAnsi="Arial" w:cs="Arial"/>
          <w:sz w:val="22"/>
          <w:szCs w:val="22"/>
        </w:rPr>
        <w:t>Leave to appeal may be granted by the judge or judges against whose decision an appeal is to be made or, if not readily available, by any other judge or judges of the same court or Division.</w:t>
      </w:r>
    </w:p>
    <w:p w14:paraId="1384B7AF" w14:textId="1A57D337" w:rsidR="00A97722" w:rsidRPr="00F42B8A" w:rsidRDefault="00A97722" w:rsidP="00EC5EB4">
      <w:pPr>
        <w:rPr>
          <w:rFonts w:ascii="Arial" w:hAnsi="Arial" w:cs="Arial"/>
          <w:sz w:val="22"/>
          <w:szCs w:val="22"/>
        </w:rPr>
      </w:pPr>
      <w:r w:rsidRPr="00103FB0">
        <w:rPr>
          <w:rFonts w:ascii="Arial" w:hAnsi="Arial" w:cs="Arial"/>
          <w:i/>
          <w:sz w:val="22"/>
          <w:szCs w:val="22"/>
        </w:rPr>
        <w:t>(b)</w:t>
      </w:r>
      <w:r w:rsidRPr="00F42B8A">
        <w:rPr>
          <w:rFonts w:ascii="Arial" w:hAnsi="Arial" w:cs="Arial"/>
          <w:sz w:val="22"/>
          <w:szCs w:val="22"/>
        </w:rPr>
        <w:t xml:space="preserve"> If leave to appeal in terms of paragraph (</w:t>
      </w:r>
      <w:r w:rsidRPr="00F42B8A">
        <w:rPr>
          <w:rFonts w:ascii="Arial" w:hAnsi="Arial" w:cs="Arial"/>
          <w:i/>
          <w:sz w:val="22"/>
          <w:szCs w:val="22"/>
        </w:rPr>
        <w:t>a</w:t>
      </w:r>
      <w:r w:rsidRPr="00F42B8A">
        <w:rPr>
          <w:rFonts w:ascii="Arial" w:hAnsi="Arial" w:cs="Arial"/>
          <w:sz w:val="22"/>
          <w:szCs w:val="22"/>
        </w:rPr>
        <w:t xml:space="preserve">) is refused, it may be granted by the Supreme Court of Appeal on application filed with the registrar of that court within one month after such refusal, or such longer period as may on good cause be allowed, </w:t>
      </w:r>
      <w:r w:rsidR="00F42B8A" w:rsidRPr="00F42B8A">
        <w:rPr>
          <w:rFonts w:ascii="Arial" w:hAnsi="Arial" w:cs="Arial"/>
          <w:sz w:val="22"/>
          <w:szCs w:val="22"/>
        </w:rPr>
        <w:t>and the Supreme Court of Appeal may vary any order as to costs made by the judge or judges concerned in refusing leave.</w:t>
      </w:r>
    </w:p>
    <w:p w14:paraId="706371D8" w14:textId="119A2C04" w:rsidR="00EC5EB4" w:rsidRPr="00F42B8A" w:rsidRDefault="00F42B8A" w:rsidP="00EC5EB4">
      <w:pPr>
        <w:rPr>
          <w:rFonts w:ascii="Arial" w:hAnsi="Arial" w:cs="Arial"/>
          <w:sz w:val="22"/>
          <w:szCs w:val="22"/>
        </w:rPr>
      </w:pPr>
      <w:r w:rsidRPr="00103FB0">
        <w:rPr>
          <w:rFonts w:ascii="Arial" w:hAnsi="Arial" w:cs="Arial"/>
          <w:i/>
          <w:sz w:val="22"/>
          <w:szCs w:val="22"/>
        </w:rPr>
        <w:t>(c)</w:t>
      </w:r>
      <w:r w:rsidRPr="00F42B8A">
        <w:rPr>
          <w:rFonts w:ascii="Arial" w:hAnsi="Arial" w:cs="Arial"/>
          <w:sz w:val="22"/>
          <w:szCs w:val="22"/>
        </w:rPr>
        <w:t xml:space="preserve"> An application referred to in paragraph (</w:t>
      </w:r>
      <w:r w:rsidRPr="00F42B8A">
        <w:rPr>
          <w:rFonts w:ascii="Arial" w:hAnsi="Arial" w:cs="Arial"/>
          <w:i/>
          <w:sz w:val="22"/>
          <w:szCs w:val="22"/>
        </w:rPr>
        <w:t>b</w:t>
      </w:r>
      <w:r w:rsidRPr="00F42B8A">
        <w:rPr>
          <w:rFonts w:ascii="Arial" w:hAnsi="Arial" w:cs="Arial"/>
          <w:sz w:val="22"/>
          <w:szCs w:val="22"/>
        </w:rPr>
        <w:t>) must be considered by two judges of the Supreme Court of Appeal designated by the President of the Supreme Court of Appeal and, in the case of a difference of opinion, also by the President of the Supreme Court of Appeal or any other judge of the Supreme Court of Appeal likewise designated.</w:t>
      </w:r>
    </w:p>
    <w:p w14:paraId="62975D02" w14:textId="1C6586B2" w:rsidR="00F42B8A" w:rsidRPr="00F42B8A" w:rsidRDefault="00F42B8A" w:rsidP="00F42B8A">
      <w:pPr>
        <w:rPr>
          <w:rFonts w:ascii="Arial" w:hAnsi="Arial" w:cs="Arial"/>
          <w:sz w:val="22"/>
          <w:szCs w:val="22"/>
        </w:rPr>
      </w:pPr>
      <w:r w:rsidRPr="00103FB0">
        <w:rPr>
          <w:rFonts w:ascii="Arial" w:hAnsi="Arial" w:cs="Arial"/>
          <w:i/>
          <w:sz w:val="22"/>
          <w:szCs w:val="22"/>
        </w:rPr>
        <w:t>(d)</w:t>
      </w:r>
      <w:r w:rsidRPr="00F42B8A">
        <w:rPr>
          <w:rFonts w:ascii="Arial" w:hAnsi="Arial" w:cs="Arial"/>
          <w:sz w:val="22"/>
          <w:szCs w:val="22"/>
        </w:rPr>
        <w:t xml:space="preserve"> The judges considering an application referred to in paragraph (</w:t>
      </w:r>
      <w:r w:rsidRPr="00F42B8A">
        <w:rPr>
          <w:rFonts w:ascii="Arial" w:hAnsi="Arial" w:cs="Arial"/>
          <w:i/>
          <w:sz w:val="22"/>
          <w:szCs w:val="22"/>
        </w:rPr>
        <w:t>b</w:t>
      </w:r>
      <w:r w:rsidRPr="00F42B8A">
        <w:rPr>
          <w:rFonts w:ascii="Arial" w:hAnsi="Arial" w:cs="Arial"/>
          <w:sz w:val="22"/>
          <w:szCs w:val="22"/>
        </w:rPr>
        <w:t>) may dispose of the application without the hearing of oral argument, but may, if they are of the opinion that the circumstances so require, order that it be argued before them at a time and place appointed, and may, whether or not they have so ordered, grant or refuse the application or refer it to the court for consideration.</w:t>
      </w:r>
    </w:p>
    <w:p w14:paraId="7DED11BC" w14:textId="42B12B5D" w:rsidR="00F42B8A" w:rsidRPr="00F42B8A" w:rsidRDefault="00F42B8A" w:rsidP="00F42B8A">
      <w:pPr>
        <w:rPr>
          <w:rFonts w:ascii="Arial" w:hAnsi="Arial" w:cs="Arial"/>
          <w:sz w:val="22"/>
          <w:szCs w:val="22"/>
        </w:rPr>
      </w:pPr>
      <w:r w:rsidRPr="00103FB0">
        <w:rPr>
          <w:rFonts w:ascii="Arial" w:hAnsi="Arial" w:cs="Arial"/>
          <w:i/>
          <w:sz w:val="22"/>
          <w:szCs w:val="22"/>
        </w:rPr>
        <w:t>(e)</w:t>
      </w:r>
      <w:r w:rsidRPr="00F42B8A">
        <w:rPr>
          <w:rFonts w:ascii="Arial" w:hAnsi="Arial" w:cs="Arial"/>
          <w:sz w:val="22"/>
          <w:szCs w:val="22"/>
        </w:rPr>
        <w:t xml:space="preserve"> Where an application has been referred to the court in terms of paragraph (</w:t>
      </w:r>
      <w:r w:rsidRPr="00F42B8A">
        <w:rPr>
          <w:rFonts w:ascii="Arial" w:hAnsi="Arial" w:cs="Arial"/>
          <w:i/>
          <w:sz w:val="22"/>
          <w:szCs w:val="22"/>
        </w:rPr>
        <w:t>d</w:t>
      </w:r>
      <w:r w:rsidRPr="00F42B8A">
        <w:rPr>
          <w:rFonts w:ascii="Arial" w:hAnsi="Arial" w:cs="Arial"/>
          <w:sz w:val="22"/>
          <w:szCs w:val="22"/>
        </w:rPr>
        <w:t>), the court may thereupon grant or refuse it.</w:t>
      </w:r>
    </w:p>
    <w:p w14:paraId="32135B7D" w14:textId="77777777" w:rsidR="00EC5EB4" w:rsidRPr="00F42B8A" w:rsidRDefault="00EC5EB4" w:rsidP="00EC5EB4">
      <w:pPr>
        <w:rPr>
          <w:rFonts w:ascii="Arial" w:hAnsi="Arial" w:cs="Arial"/>
          <w:sz w:val="22"/>
          <w:szCs w:val="22"/>
        </w:rPr>
      </w:pPr>
      <w:r w:rsidRPr="00103FB0">
        <w:rPr>
          <w:rFonts w:ascii="Arial" w:hAnsi="Arial" w:cs="Arial"/>
          <w:i/>
          <w:sz w:val="22"/>
          <w:szCs w:val="22"/>
        </w:rPr>
        <w:t>(f)</w:t>
      </w:r>
      <w:r w:rsidRPr="00F42B8A">
        <w:rPr>
          <w:rFonts w:ascii="Arial" w:hAnsi="Arial" w:cs="Arial"/>
          <w:sz w:val="22"/>
          <w:szCs w:val="22"/>
        </w:rPr>
        <w:t xml:space="preserve"> The decision of the majority of the judges considering an application referred to in paragraph (b), or the decision of the court, as the case may be, to grant or refuse the application shall be final: Provided that the President of the Supreme Court of Appeal may in exceptional circumstances, whether of his or her own accord or on application filed within one month of the decision, refer the decision to the court for reconsideration and, if necessary, variation.’</w:t>
      </w:r>
    </w:p>
    <w:p w14:paraId="202B7F22" w14:textId="22E513B0" w:rsidR="001C28E1" w:rsidRPr="00EC5EB4" w:rsidRDefault="001C28E1" w:rsidP="001C28E1">
      <w:pPr>
        <w:rPr>
          <w:rFonts w:ascii="Arial" w:hAnsi="Arial" w:cs="Arial"/>
          <w:highlight w:val="red"/>
        </w:rPr>
      </w:pPr>
    </w:p>
    <w:p w14:paraId="3BC035CD" w14:textId="09F58AF3" w:rsidR="00513BD8" w:rsidRPr="00DF71F1" w:rsidRDefault="00B47C02" w:rsidP="00513BD8">
      <w:pPr>
        <w:rPr>
          <w:rFonts w:ascii="Arial" w:eastAsiaTheme="minorHAnsi" w:hAnsi="Arial" w:cs="Arial"/>
          <w:lang w:val="en-ZA" w:eastAsia="en-US"/>
        </w:rPr>
      </w:pPr>
      <w:r w:rsidRPr="00513BD8">
        <w:rPr>
          <w:rFonts w:ascii="Arial" w:hAnsi="Arial" w:cs="Arial"/>
        </w:rPr>
        <w:t>[1</w:t>
      </w:r>
      <w:r w:rsidR="00A632A6" w:rsidRPr="00513BD8">
        <w:rPr>
          <w:rFonts w:ascii="Arial" w:hAnsi="Arial" w:cs="Arial"/>
        </w:rPr>
        <w:t>4</w:t>
      </w:r>
      <w:r w:rsidR="001C28E1" w:rsidRPr="00513BD8">
        <w:rPr>
          <w:rFonts w:ascii="Arial" w:hAnsi="Arial" w:cs="Arial"/>
        </w:rPr>
        <w:t>]</w:t>
      </w:r>
      <w:r w:rsidR="001C28E1" w:rsidRPr="00513BD8">
        <w:rPr>
          <w:rFonts w:ascii="Arial" w:hAnsi="Arial" w:cs="Arial"/>
        </w:rPr>
        <w:tab/>
      </w:r>
      <w:r w:rsidR="00513BD8" w:rsidRPr="00513BD8">
        <w:rPr>
          <w:rFonts w:ascii="Arial" w:hAnsi="Arial" w:cs="Arial"/>
        </w:rPr>
        <w:t>It</w:t>
      </w:r>
      <w:r w:rsidR="00513BD8" w:rsidRPr="0059315B">
        <w:rPr>
          <w:rFonts w:ascii="Arial" w:hAnsi="Arial" w:cs="Arial"/>
        </w:rPr>
        <w:t xml:space="preserve"> is important to distinguish between an application for leave to appeal</w:t>
      </w:r>
      <w:r w:rsidR="00513BD8">
        <w:rPr>
          <w:rFonts w:ascii="Arial" w:hAnsi="Arial" w:cs="Arial"/>
        </w:rPr>
        <w:t xml:space="preserve"> and </w:t>
      </w:r>
      <w:r w:rsidR="00513BD8" w:rsidRPr="0059315B">
        <w:rPr>
          <w:rFonts w:ascii="Arial" w:hAnsi="Arial" w:cs="Arial"/>
        </w:rPr>
        <w:t>an application under subsection (2)</w:t>
      </w:r>
      <w:r w:rsidR="00513BD8" w:rsidRPr="00103FB0">
        <w:rPr>
          <w:rFonts w:ascii="Arial" w:hAnsi="Arial" w:cs="Arial"/>
          <w:i/>
        </w:rPr>
        <w:t>(</w:t>
      </w:r>
      <w:r w:rsidR="00513BD8" w:rsidRPr="00435E8D">
        <w:rPr>
          <w:rFonts w:ascii="Arial" w:hAnsi="Arial" w:cs="Arial"/>
          <w:i/>
        </w:rPr>
        <w:t>f</w:t>
      </w:r>
      <w:r w:rsidR="00042A0D" w:rsidRPr="00103FB0">
        <w:rPr>
          <w:rFonts w:ascii="Arial" w:hAnsi="Arial" w:cs="Arial"/>
          <w:i/>
        </w:rPr>
        <w:t>)</w:t>
      </w:r>
      <w:r w:rsidR="00042A0D">
        <w:rPr>
          <w:rFonts w:ascii="Arial" w:hAnsi="Arial" w:cs="Arial"/>
        </w:rPr>
        <w:t>.</w:t>
      </w:r>
      <w:r w:rsidR="00513BD8" w:rsidRPr="0059315B">
        <w:rPr>
          <w:rFonts w:ascii="Arial" w:hAnsi="Arial" w:cs="Arial"/>
        </w:rPr>
        <w:t xml:space="preserve"> The latter is an application t</w:t>
      </w:r>
      <w:r w:rsidR="00513BD8">
        <w:rPr>
          <w:rFonts w:ascii="Arial" w:hAnsi="Arial" w:cs="Arial"/>
        </w:rPr>
        <w:t>o</w:t>
      </w:r>
      <w:r w:rsidR="00513BD8" w:rsidRPr="0059315B">
        <w:rPr>
          <w:rFonts w:ascii="Arial" w:hAnsi="Arial" w:cs="Arial"/>
        </w:rPr>
        <w:t xml:space="preserve"> the President fo</w:t>
      </w:r>
      <w:r w:rsidR="00513BD8">
        <w:rPr>
          <w:rFonts w:ascii="Arial" w:hAnsi="Arial" w:cs="Arial"/>
        </w:rPr>
        <w:t>r the</w:t>
      </w:r>
      <w:r w:rsidR="00513BD8" w:rsidRPr="0059315B">
        <w:rPr>
          <w:rFonts w:ascii="Arial" w:hAnsi="Arial" w:cs="Arial"/>
        </w:rPr>
        <w:t xml:space="preserve"> </w:t>
      </w:r>
      <w:r w:rsidR="00513BD8">
        <w:rPr>
          <w:rFonts w:ascii="Arial" w:hAnsi="Arial" w:cs="Arial"/>
        </w:rPr>
        <w:t xml:space="preserve">referral </w:t>
      </w:r>
      <w:r w:rsidR="00513BD8" w:rsidRPr="0059315B">
        <w:rPr>
          <w:rFonts w:ascii="Arial" w:hAnsi="Arial" w:cs="Arial"/>
        </w:rPr>
        <w:t>to the Court for reconsideration</w:t>
      </w:r>
      <w:r w:rsidR="00513BD8">
        <w:rPr>
          <w:rFonts w:ascii="Arial" w:hAnsi="Arial" w:cs="Arial"/>
        </w:rPr>
        <w:t xml:space="preserve"> of the considered </w:t>
      </w:r>
      <w:r w:rsidR="00513BD8" w:rsidRPr="0059315B">
        <w:rPr>
          <w:rFonts w:ascii="Arial" w:hAnsi="Arial" w:cs="Arial"/>
        </w:rPr>
        <w:t xml:space="preserve">decision </w:t>
      </w:r>
      <w:r w:rsidR="00513BD8">
        <w:rPr>
          <w:rFonts w:ascii="Arial" w:hAnsi="Arial" w:cs="Arial"/>
        </w:rPr>
        <w:t xml:space="preserve">of the two judges </w:t>
      </w:r>
      <w:r w:rsidR="00513BD8" w:rsidRPr="0059315B">
        <w:rPr>
          <w:rFonts w:ascii="Arial" w:hAnsi="Arial" w:cs="Arial"/>
        </w:rPr>
        <w:t>refusing leave to appeal</w:t>
      </w:r>
      <w:r w:rsidR="00513BD8">
        <w:rPr>
          <w:rFonts w:ascii="Arial" w:hAnsi="Arial" w:cs="Arial"/>
        </w:rPr>
        <w:t>.</w:t>
      </w:r>
      <w:r w:rsidR="00513BD8" w:rsidRPr="0059315B">
        <w:rPr>
          <w:rFonts w:ascii="Arial" w:hAnsi="Arial" w:cs="Arial"/>
        </w:rPr>
        <w:t xml:space="preserve"> </w:t>
      </w:r>
      <w:r w:rsidR="00513BD8">
        <w:rPr>
          <w:rFonts w:ascii="Arial" w:hAnsi="Arial" w:cs="Arial"/>
        </w:rPr>
        <w:t>The necessary prerequisite for the exercise of the President’s discretion is the existence of ‘exceptional circumstances’. If the circumstances are not truly exceptional, that is the end of the matter. The application under subsection 2</w:t>
      </w:r>
      <w:r w:rsidR="00513BD8" w:rsidRPr="00103FB0">
        <w:rPr>
          <w:rFonts w:ascii="Arial" w:hAnsi="Arial" w:cs="Arial"/>
          <w:i/>
        </w:rPr>
        <w:t>(f)</w:t>
      </w:r>
      <w:r w:rsidR="00513BD8">
        <w:rPr>
          <w:rFonts w:ascii="Arial" w:hAnsi="Arial" w:cs="Arial"/>
        </w:rPr>
        <w:t xml:space="preserve"> must fail and falls to be dismissed. If, however, exceptional circumstances are found to be present, it would not follow, without more, that the decision refusing leave to appeal must be referred to the court for reconsideration. The President may, in the exercise of her discretion, nonetheless decline to do </w:t>
      </w:r>
      <w:r w:rsidR="00513BD8" w:rsidRPr="00027957">
        <w:rPr>
          <w:rFonts w:ascii="Arial" w:hAnsi="Arial" w:cs="Arial"/>
        </w:rPr>
        <w:t>so.</w:t>
      </w:r>
      <w:r w:rsidR="00DF71F1" w:rsidRPr="00027957">
        <w:rPr>
          <w:rFonts w:ascii="Arial" w:hAnsi="Arial" w:cs="Arial"/>
        </w:rPr>
        <w:t xml:space="preserve"> </w:t>
      </w:r>
      <w:r w:rsidR="00DF71F1" w:rsidRPr="00027957">
        <w:rPr>
          <w:rFonts w:ascii="Arial" w:eastAsiaTheme="minorHAnsi" w:hAnsi="Arial" w:cs="Arial"/>
          <w:lang w:val="en-ZA" w:eastAsia="en-US"/>
        </w:rPr>
        <w:t>If the President refers the decision of the two judges for reconsideration, the court effectively steps into the shoes of the two judges. Upon reconsideration, it may grant or refuse the application and, if the former, vary the order of the two judges dismissing the application to one granting leave either to this Court or the relevant high court.</w:t>
      </w:r>
      <w:r w:rsidR="00DF71F1" w:rsidRPr="00027957">
        <w:rPr>
          <w:rFonts w:ascii="Arial" w:eastAsiaTheme="minorHAnsi" w:hAnsi="Arial" w:cs="Arial"/>
          <w:vertAlign w:val="superscript"/>
          <w:lang w:val="en-ZA" w:eastAsia="en-US"/>
        </w:rPr>
        <w:footnoteReference w:id="5"/>
      </w:r>
    </w:p>
    <w:p w14:paraId="358E25B4" w14:textId="77777777" w:rsidR="00513BD8" w:rsidRDefault="00513BD8" w:rsidP="00513BD8">
      <w:pPr>
        <w:rPr>
          <w:rFonts w:ascii="Arial" w:hAnsi="Arial" w:cs="Arial"/>
        </w:rPr>
      </w:pPr>
    </w:p>
    <w:p w14:paraId="4AEB8BCC" w14:textId="52423EB2" w:rsidR="00513BD8" w:rsidRPr="00A52F86" w:rsidRDefault="00B81E2A" w:rsidP="00513BD8">
      <w:pPr>
        <w:rPr>
          <w:rFonts w:ascii="Arial" w:hAnsi="Arial" w:cs="Arial"/>
        </w:rPr>
      </w:pPr>
      <w:r w:rsidRPr="00513BD8">
        <w:rPr>
          <w:rFonts w:ascii="Arial" w:hAnsi="Arial" w:cs="Arial"/>
        </w:rPr>
        <w:t>[1</w:t>
      </w:r>
      <w:r w:rsidR="00A632A6" w:rsidRPr="00513BD8">
        <w:rPr>
          <w:rFonts w:ascii="Arial" w:hAnsi="Arial" w:cs="Arial"/>
        </w:rPr>
        <w:t>5</w:t>
      </w:r>
      <w:r w:rsidR="001C28E1" w:rsidRPr="00513BD8">
        <w:rPr>
          <w:rFonts w:ascii="Arial" w:hAnsi="Arial" w:cs="Arial"/>
        </w:rPr>
        <w:t>]</w:t>
      </w:r>
      <w:r w:rsidR="001C28E1" w:rsidRPr="00513BD8">
        <w:rPr>
          <w:rFonts w:ascii="Arial" w:hAnsi="Arial" w:cs="Arial"/>
        </w:rPr>
        <w:tab/>
      </w:r>
      <w:r w:rsidR="00513BD8" w:rsidRPr="00513BD8">
        <w:rPr>
          <w:rFonts w:ascii="Arial" w:hAnsi="Arial" w:cs="Arial"/>
        </w:rPr>
        <w:t>In</w:t>
      </w:r>
      <w:r w:rsidR="00513BD8">
        <w:rPr>
          <w:rFonts w:ascii="Arial" w:hAnsi="Arial" w:cs="Arial"/>
        </w:rPr>
        <w:t xml:space="preserve"> this regard, it is important </w:t>
      </w:r>
      <w:r w:rsidR="00042A0D">
        <w:rPr>
          <w:rFonts w:ascii="Arial" w:hAnsi="Arial" w:cs="Arial"/>
        </w:rPr>
        <w:t xml:space="preserve">to </w:t>
      </w:r>
      <w:r w:rsidR="00513BD8">
        <w:rPr>
          <w:rFonts w:ascii="Arial" w:hAnsi="Arial" w:cs="Arial"/>
        </w:rPr>
        <w:t>recognise that we are concerned with a proviso, the purpose of which is ordinarily to take out of the purview of the provision something t</w:t>
      </w:r>
      <w:r w:rsidR="009117A1">
        <w:rPr>
          <w:rFonts w:ascii="Arial" w:hAnsi="Arial" w:cs="Arial"/>
        </w:rPr>
        <w:t>hat would otherwise be a part</w:t>
      </w:r>
      <w:r w:rsidR="00513BD8">
        <w:rPr>
          <w:rFonts w:ascii="Arial" w:hAnsi="Arial" w:cs="Arial"/>
        </w:rPr>
        <w:t xml:space="preserve"> </w:t>
      </w:r>
      <w:r w:rsidR="009117A1">
        <w:rPr>
          <w:rFonts w:ascii="Arial" w:hAnsi="Arial" w:cs="Arial"/>
        </w:rPr>
        <w:t xml:space="preserve">of </w:t>
      </w:r>
      <w:r w:rsidR="00513BD8">
        <w:rPr>
          <w:rFonts w:ascii="Arial" w:hAnsi="Arial" w:cs="Arial"/>
        </w:rPr>
        <w:t xml:space="preserve">it. This was emphasised in </w:t>
      </w:r>
      <w:r w:rsidR="00513BD8">
        <w:rPr>
          <w:rFonts w:ascii="Arial" w:hAnsi="Arial" w:cs="Arial"/>
          <w:i/>
          <w:iCs/>
        </w:rPr>
        <w:t xml:space="preserve">National Director of Public Prosecutions, KwaZulu-Natal v </w:t>
      </w:r>
      <w:proofErr w:type="spellStart"/>
      <w:r w:rsidR="00513BD8">
        <w:rPr>
          <w:rFonts w:ascii="Arial" w:hAnsi="Arial" w:cs="Arial"/>
          <w:i/>
          <w:iCs/>
        </w:rPr>
        <w:t>Ramdass</w:t>
      </w:r>
      <w:proofErr w:type="spellEnd"/>
      <w:r w:rsidR="00513BD8">
        <w:rPr>
          <w:rFonts w:ascii="Arial" w:hAnsi="Arial" w:cs="Arial"/>
        </w:rPr>
        <w:t xml:space="preserve"> in these terms:</w:t>
      </w:r>
    </w:p>
    <w:p w14:paraId="495EEA0D" w14:textId="12A34C0F" w:rsidR="00513BD8" w:rsidRPr="00042A0D" w:rsidRDefault="00513BD8" w:rsidP="00042A0D">
      <w:pPr>
        <w:rPr>
          <w:rFonts w:ascii="Arial" w:hAnsi="Arial" w:cs="Arial"/>
          <w:sz w:val="22"/>
          <w:szCs w:val="22"/>
        </w:rPr>
      </w:pPr>
      <w:r w:rsidRPr="00042A0D">
        <w:rPr>
          <w:rFonts w:ascii="Arial" w:hAnsi="Arial" w:cs="Arial"/>
          <w:sz w:val="22"/>
          <w:szCs w:val="22"/>
        </w:rPr>
        <w:t xml:space="preserve">‘Furthermore, it is a basic rule of interpretation of statutes that a proviso must be read and considered in relation to the principal matter to which it is a proviso. It is not a separate and independent enactment and the words of the proviso are dependent on the principal enacting words, to which they are attached as a proviso. The words of the proviso cannot be read as </w:t>
      </w:r>
      <w:r w:rsidR="00042A0D" w:rsidRPr="00042A0D">
        <w:rPr>
          <w:rFonts w:ascii="Arial" w:hAnsi="Arial" w:cs="Arial"/>
          <w:sz w:val="22"/>
          <w:szCs w:val="22"/>
        </w:rPr>
        <w:t xml:space="preserve">divorced from their context. In </w:t>
      </w:r>
      <w:proofErr w:type="spellStart"/>
      <w:r w:rsidRPr="00042A0D">
        <w:rPr>
          <w:rFonts w:ascii="Arial" w:hAnsi="Arial" w:cs="Arial"/>
          <w:i/>
          <w:iCs/>
          <w:sz w:val="22"/>
          <w:szCs w:val="22"/>
        </w:rPr>
        <w:t>Mphosi</w:t>
      </w:r>
      <w:proofErr w:type="spellEnd"/>
      <w:r w:rsidRPr="00042A0D">
        <w:rPr>
          <w:rFonts w:ascii="Arial" w:hAnsi="Arial" w:cs="Arial"/>
          <w:i/>
          <w:iCs/>
          <w:sz w:val="22"/>
          <w:szCs w:val="22"/>
        </w:rPr>
        <w:t xml:space="preserve"> v Central Board for Co-operative Insurance </w:t>
      </w:r>
      <w:r w:rsidR="00042A0D" w:rsidRPr="00042A0D">
        <w:rPr>
          <w:rFonts w:ascii="Arial" w:hAnsi="Arial" w:cs="Arial"/>
          <w:i/>
          <w:iCs/>
          <w:sz w:val="22"/>
          <w:szCs w:val="22"/>
        </w:rPr>
        <w:t xml:space="preserve">Ltd </w:t>
      </w:r>
      <w:hyperlink r:id="rId9" w:tooltip="View LawCiteRecord" w:history="1">
        <w:r w:rsidRPr="00042A0D">
          <w:rPr>
            <w:rStyle w:val="Hyperlink"/>
            <w:rFonts w:ascii="Arial" w:hAnsi="Arial" w:cs="Arial"/>
            <w:color w:val="auto"/>
            <w:sz w:val="22"/>
            <w:szCs w:val="22"/>
            <w:u w:val="none"/>
          </w:rPr>
          <w:t>1974 (4) SA 633</w:t>
        </w:r>
      </w:hyperlink>
      <w:r w:rsidR="00042A0D" w:rsidRPr="00042A0D">
        <w:rPr>
          <w:rFonts w:ascii="Arial" w:hAnsi="Arial" w:cs="Arial"/>
          <w:sz w:val="22"/>
          <w:szCs w:val="22"/>
        </w:rPr>
        <w:t xml:space="preserve"> </w:t>
      </w:r>
      <w:r w:rsidRPr="00042A0D">
        <w:rPr>
          <w:rFonts w:ascii="Arial" w:hAnsi="Arial" w:cs="Arial"/>
          <w:sz w:val="22"/>
          <w:szCs w:val="22"/>
        </w:rPr>
        <w:t>(A) at 645B-F, the following was stated:</w:t>
      </w:r>
    </w:p>
    <w:p w14:paraId="5945BF80" w14:textId="0EB98E15" w:rsidR="00513BD8" w:rsidRPr="00042A0D" w:rsidRDefault="00513BD8" w:rsidP="00042A0D">
      <w:pPr>
        <w:rPr>
          <w:rFonts w:ascii="Arial" w:hAnsi="Arial" w:cs="Arial"/>
          <w:sz w:val="22"/>
          <w:szCs w:val="22"/>
        </w:rPr>
      </w:pPr>
      <w:r w:rsidRPr="00042A0D">
        <w:rPr>
          <w:rFonts w:ascii="Arial" w:hAnsi="Arial" w:cs="Arial"/>
          <w:sz w:val="22"/>
          <w:szCs w:val="22"/>
        </w:rPr>
        <w:t xml:space="preserve">‘This argument altogether overlooks the true function and effect of </w:t>
      </w:r>
      <w:r w:rsidR="00042A0D" w:rsidRPr="00042A0D">
        <w:rPr>
          <w:rFonts w:ascii="Arial" w:hAnsi="Arial" w:cs="Arial"/>
          <w:sz w:val="22"/>
          <w:szCs w:val="22"/>
        </w:rPr>
        <w:t xml:space="preserve">a proviso. According to </w:t>
      </w:r>
      <w:proofErr w:type="spellStart"/>
      <w:r w:rsidR="00042A0D" w:rsidRPr="00042A0D">
        <w:rPr>
          <w:rFonts w:ascii="Arial" w:hAnsi="Arial" w:cs="Arial"/>
          <w:sz w:val="22"/>
          <w:szCs w:val="22"/>
        </w:rPr>
        <w:t>Craies</w:t>
      </w:r>
      <w:proofErr w:type="spellEnd"/>
      <w:r w:rsidR="00042A0D" w:rsidRPr="00042A0D">
        <w:rPr>
          <w:rFonts w:ascii="Arial" w:hAnsi="Arial" w:cs="Arial"/>
          <w:sz w:val="22"/>
          <w:szCs w:val="22"/>
        </w:rPr>
        <w:t xml:space="preserve">, </w:t>
      </w:r>
      <w:r w:rsidRPr="00042A0D">
        <w:rPr>
          <w:rFonts w:ascii="Arial" w:hAnsi="Arial" w:cs="Arial"/>
          <w:i/>
          <w:iCs/>
          <w:sz w:val="22"/>
          <w:szCs w:val="22"/>
        </w:rPr>
        <w:t>Statute Law</w:t>
      </w:r>
      <w:r w:rsidRPr="00042A0D">
        <w:rPr>
          <w:rFonts w:ascii="Arial" w:hAnsi="Arial" w:cs="Arial"/>
          <w:sz w:val="22"/>
          <w:szCs w:val="22"/>
        </w:rPr>
        <w:t>, 7th ed., at p. 218 –</w:t>
      </w:r>
      <w:r w:rsidR="00042A0D" w:rsidRPr="00042A0D">
        <w:rPr>
          <w:rFonts w:ascii="Arial" w:hAnsi="Arial" w:cs="Arial"/>
          <w:sz w:val="22"/>
          <w:szCs w:val="22"/>
        </w:rPr>
        <w:t xml:space="preserve"> </w:t>
      </w:r>
    </w:p>
    <w:p w14:paraId="63D075FA" w14:textId="3C0D5507" w:rsidR="00513BD8" w:rsidRPr="00042A0D" w:rsidRDefault="00513BD8" w:rsidP="00042A0D">
      <w:pPr>
        <w:rPr>
          <w:rFonts w:ascii="Arial" w:hAnsi="Arial" w:cs="Arial"/>
          <w:sz w:val="22"/>
          <w:szCs w:val="22"/>
        </w:rPr>
      </w:pPr>
      <w:r w:rsidRPr="00042A0D">
        <w:rPr>
          <w:rFonts w:ascii="Arial" w:hAnsi="Arial" w:cs="Arial"/>
          <w:sz w:val="22"/>
          <w:szCs w:val="22"/>
        </w:rPr>
        <w:t>"the effect of an excepting or qualifying proviso, according to the ordinary rules of construction, is to except out of the preceding portion of the enactment, or to qualify something enacted therein, which but for the proviso would be within it; and such proviso cannot be construed as enlarging the scope of an enactment when it can be fairly and properly construed without attributing to it that effect”.</w:t>
      </w:r>
      <w:r w:rsidR="00042A0D" w:rsidRPr="00042A0D">
        <w:rPr>
          <w:rFonts w:ascii="Arial" w:hAnsi="Arial" w:cs="Arial"/>
          <w:sz w:val="22"/>
          <w:szCs w:val="22"/>
        </w:rPr>
        <w:t>’</w:t>
      </w:r>
      <w:r w:rsidR="00042A0D">
        <w:rPr>
          <w:rStyle w:val="FootnoteReference"/>
          <w:rFonts w:ascii="Arial" w:hAnsi="Arial" w:cs="Arial"/>
          <w:sz w:val="22"/>
          <w:szCs w:val="22"/>
        </w:rPr>
        <w:footnoteReference w:id="6"/>
      </w:r>
    </w:p>
    <w:p w14:paraId="3D53D020" w14:textId="73A63927" w:rsidR="001C28E1" w:rsidRPr="00EC5EB4" w:rsidRDefault="001C28E1" w:rsidP="00513BD8">
      <w:pPr>
        <w:rPr>
          <w:rFonts w:ascii="Arial" w:hAnsi="Arial" w:cs="Arial"/>
          <w:highlight w:val="red"/>
        </w:rPr>
      </w:pPr>
    </w:p>
    <w:p w14:paraId="2D4C8451" w14:textId="4814378C" w:rsidR="00513BD8" w:rsidRDefault="00AF7FFC" w:rsidP="00513BD8">
      <w:pPr>
        <w:rPr>
          <w:rFonts w:ascii="Arial" w:hAnsi="Arial" w:cs="Arial"/>
        </w:rPr>
      </w:pPr>
      <w:r w:rsidRPr="00513BD8">
        <w:rPr>
          <w:rFonts w:ascii="Arial" w:hAnsi="Arial" w:cs="Arial"/>
        </w:rPr>
        <w:t>[1</w:t>
      </w:r>
      <w:r w:rsidR="00A632A6" w:rsidRPr="00513BD8">
        <w:rPr>
          <w:rFonts w:ascii="Arial" w:hAnsi="Arial" w:cs="Arial"/>
        </w:rPr>
        <w:t>6</w:t>
      </w:r>
      <w:r w:rsidR="001C28E1" w:rsidRPr="00513BD8">
        <w:rPr>
          <w:rFonts w:ascii="Arial" w:hAnsi="Arial" w:cs="Arial"/>
        </w:rPr>
        <w:t>]</w:t>
      </w:r>
      <w:r w:rsidR="001C28E1" w:rsidRPr="00513BD8">
        <w:rPr>
          <w:rFonts w:ascii="Arial" w:hAnsi="Arial" w:cs="Arial"/>
        </w:rPr>
        <w:tab/>
      </w:r>
      <w:r w:rsidR="00513BD8" w:rsidRPr="00513BD8">
        <w:rPr>
          <w:rFonts w:ascii="Arial" w:hAnsi="Arial" w:cs="Arial"/>
        </w:rPr>
        <w:t>In</w:t>
      </w:r>
      <w:r w:rsidR="00513BD8">
        <w:rPr>
          <w:rFonts w:ascii="Arial" w:hAnsi="Arial" w:cs="Arial"/>
        </w:rPr>
        <w:t xml:space="preserve"> its consideration of s 17(2)</w:t>
      </w:r>
      <w:r w:rsidR="00513BD8" w:rsidRPr="00103FB0">
        <w:rPr>
          <w:rFonts w:ascii="Arial" w:hAnsi="Arial" w:cs="Arial"/>
          <w:i/>
        </w:rPr>
        <w:t>(</w:t>
      </w:r>
      <w:r w:rsidR="00513BD8" w:rsidRPr="00042A0D">
        <w:rPr>
          <w:rFonts w:ascii="Arial" w:hAnsi="Arial" w:cs="Arial"/>
          <w:i/>
        </w:rPr>
        <w:t>f</w:t>
      </w:r>
      <w:r w:rsidR="00513BD8" w:rsidRPr="00103FB0">
        <w:rPr>
          <w:rFonts w:ascii="Arial" w:hAnsi="Arial" w:cs="Arial"/>
          <w:i/>
        </w:rPr>
        <w:t>)</w:t>
      </w:r>
      <w:r w:rsidR="00513BD8">
        <w:rPr>
          <w:rFonts w:ascii="Arial" w:hAnsi="Arial" w:cs="Arial"/>
        </w:rPr>
        <w:t xml:space="preserve">, the Constitutional Court pointed out in </w:t>
      </w:r>
      <w:proofErr w:type="spellStart"/>
      <w:r w:rsidR="00E52A24" w:rsidRPr="00AB3AFC">
        <w:rPr>
          <w:rFonts w:ascii="Arial" w:hAnsi="Arial" w:cs="Arial"/>
          <w:i/>
        </w:rPr>
        <w:t>Liesching</w:t>
      </w:r>
      <w:proofErr w:type="spellEnd"/>
      <w:r w:rsidR="00E52A24" w:rsidRPr="00AB3AFC">
        <w:rPr>
          <w:rFonts w:ascii="Arial" w:hAnsi="Arial" w:cs="Arial"/>
          <w:i/>
        </w:rPr>
        <w:t xml:space="preserve"> and Others </w:t>
      </w:r>
      <w:proofErr w:type="gramStart"/>
      <w:r w:rsidR="00E52A24" w:rsidRPr="00AB3AFC">
        <w:rPr>
          <w:rFonts w:ascii="Arial" w:hAnsi="Arial" w:cs="Arial"/>
          <w:i/>
        </w:rPr>
        <w:t>v</w:t>
      </w:r>
      <w:proofErr w:type="gramEnd"/>
      <w:r w:rsidR="00E52A24" w:rsidRPr="00AB3AFC">
        <w:rPr>
          <w:rFonts w:ascii="Arial" w:hAnsi="Arial" w:cs="Arial"/>
          <w:i/>
        </w:rPr>
        <w:t xml:space="preserve"> S</w:t>
      </w:r>
      <w:r w:rsidR="00E52A24">
        <w:rPr>
          <w:rFonts w:ascii="Arial" w:hAnsi="Arial" w:cs="Arial"/>
        </w:rPr>
        <w:t xml:space="preserve"> (</w:t>
      </w:r>
      <w:proofErr w:type="spellStart"/>
      <w:r w:rsidR="00513BD8" w:rsidRPr="006A1577">
        <w:rPr>
          <w:rFonts w:ascii="Arial" w:hAnsi="Arial" w:cs="Arial"/>
          <w:i/>
          <w:iCs/>
        </w:rPr>
        <w:t>Liesching</w:t>
      </w:r>
      <w:proofErr w:type="spellEnd"/>
      <w:r w:rsidR="00513BD8">
        <w:rPr>
          <w:rFonts w:ascii="Arial" w:hAnsi="Arial" w:cs="Arial"/>
          <w:i/>
          <w:iCs/>
        </w:rPr>
        <w:t xml:space="preserve"> II</w:t>
      </w:r>
      <w:r w:rsidR="00E52A24">
        <w:rPr>
          <w:rFonts w:ascii="Arial" w:hAnsi="Arial" w:cs="Arial"/>
          <w:i/>
          <w:iCs/>
        </w:rPr>
        <w:t>)</w:t>
      </w:r>
      <w:r w:rsidR="00513BD8">
        <w:rPr>
          <w:rFonts w:ascii="Arial" w:hAnsi="Arial" w:cs="Arial"/>
        </w:rPr>
        <w:t>:</w:t>
      </w:r>
    </w:p>
    <w:p w14:paraId="6B7CE9C5" w14:textId="607A845D" w:rsidR="00513BD8" w:rsidRPr="005E0F79" w:rsidRDefault="00513BD8" w:rsidP="00513BD8">
      <w:pPr>
        <w:rPr>
          <w:rFonts w:ascii="Arial" w:hAnsi="Arial" w:cs="Arial"/>
          <w:sz w:val="22"/>
          <w:szCs w:val="22"/>
        </w:rPr>
      </w:pPr>
      <w:r w:rsidRPr="005E0F79">
        <w:rPr>
          <w:rFonts w:ascii="Arial" w:hAnsi="Arial" w:cs="Arial"/>
          <w:sz w:val="22"/>
          <w:szCs w:val="22"/>
        </w:rPr>
        <w:t>‘</w:t>
      </w:r>
      <w:r w:rsidR="005E0F79">
        <w:rPr>
          <w:rFonts w:ascii="Arial" w:hAnsi="Arial" w:cs="Arial"/>
          <w:sz w:val="22"/>
          <w:szCs w:val="22"/>
        </w:rPr>
        <w:t xml:space="preserve">As </w:t>
      </w:r>
      <w:r w:rsidR="005E0F79" w:rsidRPr="005E0F79">
        <w:rPr>
          <w:rFonts w:ascii="Arial" w:hAnsi="Arial" w:cs="Arial"/>
          <w:sz w:val="22"/>
          <w:szCs w:val="22"/>
        </w:rPr>
        <w:t xml:space="preserve">with </w:t>
      </w:r>
      <w:hyperlink r:id="rId10" w:anchor="s18" w:history="1">
        <w:r w:rsidRPr="005E0F79">
          <w:rPr>
            <w:rStyle w:val="Hyperlink"/>
            <w:rFonts w:ascii="Arial" w:hAnsi="Arial" w:cs="Arial"/>
            <w:color w:val="auto"/>
            <w:sz w:val="22"/>
            <w:szCs w:val="22"/>
            <w:u w:val="none"/>
          </w:rPr>
          <w:t>section 18(1)</w:t>
        </w:r>
      </w:hyperlink>
      <w:r w:rsidR="005E0F79" w:rsidRPr="005E0F79">
        <w:rPr>
          <w:rFonts w:ascii="Arial" w:hAnsi="Arial" w:cs="Arial"/>
          <w:sz w:val="22"/>
          <w:szCs w:val="22"/>
        </w:rPr>
        <w:t xml:space="preserve">, </w:t>
      </w:r>
      <w:hyperlink r:id="rId11" w:anchor="s17" w:history="1">
        <w:r w:rsidRPr="005E0F79">
          <w:rPr>
            <w:rStyle w:val="Hyperlink"/>
            <w:rFonts w:ascii="Arial" w:hAnsi="Arial" w:cs="Arial"/>
            <w:color w:val="auto"/>
            <w:sz w:val="22"/>
            <w:szCs w:val="22"/>
            <w:u w:val="none"/>
          </w:rPr>
          <w:t>section 17(2)(f)</w:t>
        </w:r>
      </w:hyperlink>
      <w:r w:rsidR="005E0F79" w:rsidRPr="005E0F79">
        <w:rPr>
          <w:rFonts w:ascii="Arial" w:hAnsi="Arial" w:cs="Arial"/>
          <w:sz w:val="22"/>
          <w:szCs w:val="22"/>
        </w:rPr>
        <w:t xml:space="preserve"> </w:t>
      </w:r>
      <w:r w:rsidRPr="005E0F79">
        <w:rPr>
          <w:rFonts w:ascii="Arial" w:hAnsi="Arial" w:cs="Arial"/>
          <w:sz w:val="22"/>
          <w:szCs w:val="22"/>
        </w:rPr>
        <w:t>prescribes a departure from the ordina</w:t>
      </w:r>
      <w:r w:rsidR="005E0F79">
        <w:rPr>
          <w:rFonts w:ascii="Arial" w:hAnsi="Arial" w:cs="Arial"/>
          <w:sz w:val="22"/>
          <w:szCs w:val="22"/>
        </w:rPr>
        <w:t xml:space="preserve">ry course of an appeal process. Under </w:t>
      </w:r>
      <w:hyperlink r:id="rId12" w:anchor="s17" w:history="1">
        <w:r w:rsidRPr="005E0F79">
          <w:rPr>
            <w:rStyle w:val="Hyperlink"/>
            <w:rFonts w:ascii="Arial" w:hAnsi="Arial" w:cs="Arial"/>
            <w:color w:val="auto"/>
            <w:sz w:val="22"/>
            <w:szCs w:val="22"/>
            <w:u w:val="none"/>
          </w:rPr>
          <w:t>section 17</w:t>
        </w:r>
      </w:hyperlink>
      <w:r w:rsidRPr="005E0F79">
        <w:rPr>
          <w:rFonts w:ascii="Arial" w:hAnsi="Arial" w:cs="Arial"/>
          <w:sz w:val="22"/>
          <w:szCs w:val="22"/>
        </w:rPr>
        <w:t>, in the ordinary course, the decision of two or more Judges ref</w:t>
      </w:r>
      <w:r w:rsidR="005E0F79">
        <w:rPr>
          <w:rFonts w:ascii="Arial" w:hAnsi="Arial" w:cs="Arial"/>
          <w:sz w:val="22"/>
          <w:szCs w:val="22"/>
        </w:rPr>
        <w:t xml:space="preserve">using leave to appeal is final. However, </w:t>
      </w:r>
      <w:hyperlink r:id="rId13" w:anchor="s17" w:history="1">
        <w:r w:rsidRPr="005E0F79">
          <w:rPr>
            <w:rStyle w:val="Hyperlink"/>
            <w:rFonts w:ascii="Arial" w:hAnsi="Arial" w:cs="Arial"/>
            <w:color w:val="auto"/>
            <w:sz w:val="22"/>
            <w:szCs w:val="22"/>
            <w:u w:val="none"/>
          </w:rPr>
          <w:t>section 17(2)(f)</w:t>
        </w:r>
      </w:hyperlink>
      <w:r w:rsidR="005E0F79">
        <w:rPr>
          <w:rFonts w:ascii="Arial" w:hAnsi="Arial" w:cs="Arial"/>
          <w:sz w:val="22"/>
          <w:szCs w:val="22"/>
        </w:rPr>
        <w:t xml:space="preserve"> </w:t>
      </w:r>
      <w:r w:rsidRPr="005E0F79">
        <w:rPr>
          <w:rFonts w:ascii="Arial" w:hAnsi="Arial" w:cs="Arial"/>
          <w:sz w:val="22"/>
          <w:szCs w:val="22"/>
        </w:rPr>
        <w:t>allows for a litigant to depart from this normal course, in exceptional circumstances only, and apply to the President for reconsideration of the refusal of leave to appeal.</w:t>
      </w:r>
    </w:p>
    <w:p w14:paraId="32211C4F" w14:textId="159A8531" w:rsidR="00513BD8" w:rsidRPr="005E0F79" w:rsidRDefault="005E0F79" w:rsidP="00513BD8">
      <w:pPr>
        <w:rPr>
          <w:rFonts w:ascii="Arial" w:hAnsi="Arial" w:cs="Arial"/>
          <w:sz w:val="22"/>
          <w:szCs w:val="22"/>
        </w:rPr>
      </w:pPr>
      <w:r>
        <w:rPr>
          <w:rFonts w:ascii="Arial" w:hAnsi="Arial" w:cs="Arial"/>
          <w:sz w:val="22"/>
          <w:szCs w:val="22"/>
        </w:rPr>
        <w:t xml:space="preserve">In </w:t>
      </w:r>
      <w:proofErr w:type="spellStart"/>
      <w:r w:rsidR="00513BD8" w:rsidRPr="005E0F79">
        <w:rPr>
          <w:rFonts w:ascii="Arial" w:hAnsi="Arial" w:cs="Arial"/>
          <w:i/>
          <w:iCs/>
          <w:sz w:val="22"/>
          <w:szCs w:val="22"/>
        </w:rPr>
        <w:t>Ntlemeza</w:t>
      </w:r>
      <w:proofErr w:type="spellEnd"/>
      <w:r w:rsidR="00513BD8" w:rsidRPr="005E0F79">
        <w:rPr>
          <w:rFonts w:ascii="Arial" w:hAnsi="Arial" w:cs="Arial"/>
          <w:sz w:val="22"/>
          <w:szCs w:val="22"/>
        </w:rPr>
        <w:t>, the requirement of exceptional circumstances is view</w:t>
      </w:r>
      <w:r>
        <w:rPr>
          <w:rFonts w:ascii="Arial" w:hAnsi="Arial" w:cs="Arial"/>
          <w:sz w:val="22"/>
          <w:szCs w:val="22"/>
        </w:rPr>
        <w:t xml:space="preserve">ed as a “controlling measure”. In terms of </w:t>
      </w:r>
      <w:hyperlink r:id="rId14" w:anchor="s17" w:history="1">
        <w:r w:rsidR="00513BD8" w:rsidRPr="005E0F79">
          <w:rPr>
            <w:rStyle w:val="Hyperlink"/>
            <w:rFonts w:ascii="Arial" w:hAnsi="Arial" w:cs="Arial"/>
            <w:color w:val="auto"/>
            <w:sz w:val="22"/>
            <w:szCs w:val="22"/>
            <w:u w:val="none"/>
          </w:rPr>
          <w:t>section 17(2)(f)</w:t>
        </w:r>
      </w:hyperlink>
      <w:r w:rsidR="00513BD8" w:rsidRPr="005E0F79">
        <w:rPr>
          <w:rFonts w:ascii="Arial" w:hAnsi="Arial" w:cs="Arial"/>
          <w:sz w:val="22"/>
          <w:szCs w:val="22"/>
        </w:rPr>
        <w:t>, the President has a discretion to deviate from the normal course of appeal proceedings – such discretion can only be exercise</w:t>
      </w:r>
      <w:r>
        <w:rPr>
          <w:rFonts w:ascii="Arial" w:hAnsi="Arial" w:cs="Arial"/>
          <w:sz w:val="22"/>
          <w:szCs w:val="22"/>
        </w:rPr>
        <w:t>d in exceptional circumstances.</w:t>
      </w:r>
      <w:r w:rsidR="00513BD8" w:rsidRPr="005E0F79">
        <w:rPr>
          <w:rFonts w:ascii="Arial" w:hAnsi="Arial" w:cs="Arial"/>
          <w:sz w:val="22"/>
          <w:szCs w:val="22"/>
        </w:rPr>
        <w:t xml:space="preserve"> </w:t>
      </w:r>
      <w:bookmarkStart w:id="2" w:name="_Hlk166926870"/>
      <w:r w:rsidR="00513BD8" w:rsidRPr="005E0F79">
        <w:rPr>
          <w:rFonts w:ascii="Arial" w:hAnsi="Arial" w:cs="Arial"/>
          <w:sz w:val="22"/>
          <w:szCs w:val="22"/>
        </w:rPr>
        <w:t>The requirement of the existence of exceptional circumstances before the President can exercise her discretion is a jurisdictional fact which may operate as a controlling or limiting factor</w:t>
      </w:r>
      <w:bookmarkEnd w:id="2"/>
      <w:r w:rsidR="00513BD8" w:rsidRPr="005E0F79">
        <w:rPr>
          <w:rFonts w:ascii="Arial" w:hAnsi="Arial" w:cs="Arial"/>
          <w:sz w:val="22"/>
          <w:szCs w:val="22"/>
        </w:rPr>
        <w:t>.’</w:t>
      </w:r>
      <w:r w:rsidR="00513BD8" w:rsidRPr="005E0F79">
        <w:rPr>
          <w:rStyle w:val="FootnoteReference"/>
          <w:rFonts w:ascii="Arial" w:hAnsi="Arial" w:cs="Arial"/>
          <w:sz w:val="22"/>
          <w:szCs w:val="22"/>
        </w:rPr>
        <w:footnoteReference w:id="7"/>
      </w:r>
    </w:p>
    <w:p w14:paraId="1C600A7B" w14:textId="0CCCF12A" w:rsidR="001C28E1" w:rsidRPr="00EC5EB4" w:rsidRDefault="001C28E1" w:rsidP="00513BD8">
      <w:pPr>
        <w:rPr>
          <w:rFonts w:ascii="Arial" w:hAnsi="Arial" w:cs="Arial"/>
          <w:highlight w:val="red"/>
        </w:rPr>
      </w:pPr>
    </w:p>
    <w:p w14:paraId="278F5E9D" w14:textId="4DCC4C26" w:rsidR="00513BD8" w:rsidRDefault="00AF7FFC" w:rsidP="00513BD8">
      <w:pPr>
        <w:rPr>
          <w:rFonts w:ascii="Arial" w:hAnsi="Arial" w:cs="Arial"/>
        </w:rPr>
      </w:pPr>
      <w:r w:rsidRPr="00513BD8">
        <w:rPr>
          <w:rFonts w:ascii="Arial" w:hAnsi="Arial" w:cs="Arial"/>
        </w:rPr>
        <w:t>[1</w:t>
      </w:r>
      <w:r w:rsidR="00A632A6" w:rsidRPr="00513BD8">
        <w:rPr>
          <w:rFonts w:ascii="Arial" w:hAnsi="Arial" w:cs="Arial"/>
        </w:rPr>
        <w:t>7</w:t>
      </w:r>
      <w:r w:rsidR="001C28E1" w:rsidRPr="00513BD8">
        <w:rPr>
          <w:rFonts w:ascii="Arial" w:hAnsi="Arial" w:cs="Arial"/>
        </w:rPr>
        <w:t>]</w:t>
      </w:r>
      <w:r w:rsidR="001C28E1" w:rsidRPr="00513BD8">
        <w:rPr>
          <w:rFonts w:ascii="Arial" w:hAnsi="Arial" w:cs="Arial"/>
        </w:rPr>
        <w:tab/>
      </w:r>
      <w:r w:rsidR="00513BD8" w:rsidRPr="00513BD8">
        <w:rPr>
          <w:rFonts w:ascii="Arial" w:hAnsi="Arial" w:cs="Arial"/>
        </w:rPr>
        <w:t>It has</w:t>
      </w:r>
      <w:r w:rsidR="00513BD8">
        <w:rPr>
          <w:rFonts w:ascii="Arial" w:hAnsi="Arial" w:cs="Arial"/>
        </w:rPr>
        <w:t xml:space="preserve"> long been accepted that it is ‘undesirable to attempt to lay down any general rule’ in respect of ‘exceptional circumstances’ and that each case must be considered upon its own facts.</w:t>
      </w:r>
      <w:r w:rsidR="00513BD8">
        <w:rPr>
          <w:rStyle w:val="FootnoteReference"/>
          <w:rFonts w:ascii="Arial" w:hAnsi="Arial" w:cs="Arial"/>
        </w:rPr>
        <w:footnoteReference w:id="8"/>
      </w:r>
      <w:r w:rsidR="00513BD8">
        <w:rPr>
          <w:rFonts w:ascii="Arial" w:hAnsi="Arial" w:cs="Arial"/>
        </w:rPr>
        <w:t xml:space="preserve"> </w:t>
      </w:r>
      <w:r w:rsidR="005E0F79">
        <w:rPr>
          <w:rFonts w:ascii="Arial" w:hAnsi="Arial" w:cs="Arial"/>
        </w:rPr>
        <w:t xml:space="preserve">In </w:t>
      </w:r>
      <w:r w:rsidR="00D10F4E" w:rsidRPr="00AB3AFC">
        <w:rPr>
          <w:rFonts w:ascii="Arial" w:hAnsi="Arial" w:cs="Arial"/>
          <w:i/>
        </w:rPr>
        <w:t xml:space="preserve">MV </w:t>
      </w:r>
      <w:proofErr w:type="spellStart"/>
      <w:r w:rsidR="00D10F4E" w:rsidRPr="00AB3AFC">
        <w:rPr>
          <w:rFonts w:ascii="Arial" w:hAnsi="Arial" w:cs="Arial"/>
          <w:i/>
        </w:rPr>
        <w:t>Ais</w:t>
      </w:r>
      <w:proofErr w:type="spellEnd"/>
      <w:r w:rsidR="00D10F4E" w:rsidRPr="00AB3AFC">
        <w:rPr>
          <w:rFonts w:ascii="Arial" w:hAnsi="Arial" w:cs="Arial"/>
          <w:i/>
        </w:rPr>
        <w:t xml:space="preserve"> Mamas </w:t>
      </w:r>
      <w:proofErr w:type="spellStart"/>
      <w:r w:rsidR="00D10F4E" w:rsidRPr="00AB3AFC">
        <w:rPr>
          <w:rFonts w:ascii="Arial" w:hAnsi="Arial" w:cs="Arial"/>
          <w:i/>
        </w:rPr>
        <w:t>Seatrans</w:t>
      </w:r>
      <w:proofErr w:type="spellEnd"/>
      <w:r w:rsidR="00D10F4E" w:rsidRPr="00AB3AFC">
        <w:rPr>
          <w:rFonts w:ascii="Arial" w:hAnsi="Arial" w:cs="Arial"/>
          <w:i/>
        </w:rPr>
        <w:t xml:space="preserve"> </w:t>
      </w:r>
      <w:r w:rsidR="00767C32">
        <w:rPr>
          <w:rFonts w:ascii="Arial" w:hAnsi="Arial" w:cs="Arial"/>
          <w:i/>
        </w:rPr>
        <w:t xml:space="preserve">Maritime v Owners, MV </w:t>
      </w:r>
      <w:proofErr w:type="spellStart"/>
      <w:r w:rsidR="00767C32">
        <w:rPr>
          <w:rFonts w:ascii="Arial" w:hAnsi="Arial" w:cs="Arial"/>
          <w:i/>
        </w:rPr>
        <w:t>Ais</w:t>
      </w:r>
      <w:proofErr w:type="spellEnd"/>
      <w:r w:rsidR="00767C32">
        <w:rPr>
          <w:rFonts w:ascii="Arial" w:hAnsi="Arial" w:cs="Arial"/>
          <w:i/>
        </w:rPr>
        <w:t xml:space="preserve"> Mamas</w:t>
      </w:r>
      <w:r w:rsidR="00D10F4E" w:rsidRPr="00AB3AFC">
        <w:rPr>
          <w:rFonts w:ascii="Arial" w:hAnsi="Arial" w:cs="Arial"/>
          <w:i/>
        </w:rPr>
        <w:t xml:space="preserve"> and another</w:t>
      </w:r>
      <w:r w:rsidR="00513BD8" w:rsidRPr="00413AA2">
        <w:rPr>
          <w:rFonts w:ascii="Arial" w:hAnsi="Arial" w:cs="Arial"/>
        </w:rPr>
        <w:t xml:space="preserve">, </w:t>
      </w:r>
      <w:proofErr w:type="spellStart"/>
      <w:r w:rsidR="00513BD8" w:rsidRPr="00413AA2">
        <w:rPr>
          <w:rFonts w:ascii="Arial" w:hAnsi="Arial" w:cs="Arial"/>
        </w:rPr>
        <w:t>Thring</w:t>
      </w:r>
      <w:proofErr w:type="spellEnd"/>
      <w:r w:rsidR="00513BD8" w:rsidRPr="00413AA2">
        <w:rPr>
          <w:rFonts w:ascii="Arial" w:hAnsi="Arial" w:cs="Arial"/>
        </w:rPr>
        <w:t xml:space="preserve"> J</w:t>
      </w:r>
      <w:r w:rsidR="00513BD8">
        <w:rPr>
          <w:rFonts w:ascii="Arial" w:hAnsi="Arial" w:cs="Arial"/>
        </w:rPr>
        <w:t xml:space="preserve"> summarised the approach to be followed. He said </w:t>
      </w:r>
      <w:r w:rsidR="00513BD8" w:rsidRPr="00413AA2">
        <w:rPr>
          <w:rFonts w:ascii="Arial" w:hAnsi="Arial" w:cs="Arial"/>
        </w:rPr>
        <w:t xml:space="preserve">that </w:t>
      </w:r>
      <w:r w:rsidR="00513BD8">
        <w:rPr>
          <w:rFonts w:ascii="Arial" w:hAnsi="Arial" w:cs="Arial"/>
        </w:rPr>
        <w:t>‘</w:t>
      </w:r>
      <w:r w:rsidR="00513BD8" w:rsidRPr="00413AA2">
        <w:rPr>
          <w:rFonts w:ascii="Arial" w:hAnsi="Arial" w:cs="Arial"/>
        </w:rPr>
        <w:t xml:space="preserve">what is </w:t>
      </w:r>
      <w:r w:rsidR="00513BD8">
        <w:rPr>
          <w:rFonts w:ascii="Arial" w:hAnsi="Arial" w:cs="Arial"/>
        </w:rPr>
        <w:t xml:space="preserve">ordinarily </w:t>
      </w:r>
      <w:r w:rsidR="00513BD8" w:rsidRPr="00413AA2">
        <w:rPr>
          <w:rFonts w:ascii="Arial" w:hAnsi="Arial" w:cs="Arial"/>
        </w:rPr>
        <w:t xml:space="preserve">contemplated by the words </w:t>
      </w:r>
      <w:r w:rsidR="00513BD8">
        <w:rPr>
          <w:rFonts w:ascii="Arial" w:hAnsi="Arial" w:cs="Arial"/>
        </w:rPr>
        <w:t>“</w:t>
      </w:r>
      <w:r w:rsidR="00513BD8" w:rsidRPr="00413AA2">
        <w:rPr>
          <w:rFonts w:ascii="Arial" w:hAnsi="Arial" w:cs="Arial"/>
        </w:rPr>
        <w:t>exceptional circumstances</w:t>
      </w:r>
      <w:r w:rsidR="00513BD8">
        <w:rPr>
          <w:rFonts w:ascii="Arial" w:hAnsi="Arial" w:cs="Arial"/>
        </w:rPr>
        <w:t>”</w:t>
      </w:r>
      <w:r w:rsidR="00513BD8" w:rsidRPr="00413AA2">
        <w:rPr>
          <w:rFonts w:ascii="Arial" w:hAnsi="Arial" w:cs="Arial"/>
        </w:rPr>
        <w:t xml:space="preserve"> is something out of the ordinary</w:t>
      </w:r>
      <w:r w:rsidR="00513BD8">
        <w:rPr>
          <w:rFonts w:ascii="Arial" w:hAnsi="Arial" w:cs="Arial"/>
        </w:rPr>
        <w:t xml:space="preserve"> and of an</w:t>
      </w:r>
      <w:r w:rsidR="00513BD8" w:rsidRPr="00413AA2">
        <w:rPr>
          <w:rFonts w:ascii="Arial" w:hAnsi="Arial" w:cs="Arial"/>
        </w:rPr>
        <w:t xml:space="preserve"> unusual</w:t>
      </w:r>
      <w:r w:rsidR="00513BD8">
        <w:rPr>
          <w:rFonts w:ascii="Arial" w:hAnsi="Arial" w:cs="Arial"/>
        </w:rPr>
        <w:t xml:space="preserve"> nature; something which is excepted in the sense that the general rule does not apply to it;</w:t>
      </w:r>
      <w:r w:rsidR="00513BD8" w:rsidRPr="00413AA2">
        <w:rPr>
          <w:rFonts w:ascii="Arial" w:hAnsi="Arial" w:cs="Arial"/>
        </w:rPr>
        <w:t xml:space="preserve"> </w:t>
      </w:r>
      <w:r w:rsidR="00513BD8">
        <w:rPr>
          <w:rFonts w:ascii="Arial" w:hAnsi="Arial" w:cs="Arial"/>
        </w:rPr>
        <w:t xml:space="preserve">something uncommon, </w:t>
      </w:r>
      <w:r w:rsidR="00513BD8" w:rsidRPr="00413AA2">
        <w:rPr>
          <w:rFonts w:ascii="Arial" w:hAnsi="Arial" w:cs="Arial"/>
        </w:rPr>
        <w:t>rare or different</w:t>
      </w:r>
      <w:r w:rsidR="00513BD8">
        <w:rPr>
          <w:rFonts w:ascii="Arial" w:hAnsi="Arial" w:cs="Arial"/>
        </w:rPr>
        <w:t>’</w:t>
      </w:r>
      <w:r w:rsidR="00513BD8" w:rsidRPr="00413AA2">
        <w:rPr>
          <w:rFonts w:ascii="Arial" w:hAnsi="Arial" w:cs="Arial"/>
        </w:rPr>
        <w:t>.</w:t>
      </w:r>
      <w:r w:rsidR="00513BD8">
        <w:rPr>
          <w:rStyle w:val="FootnoteReference"/>
          <w:rFonts w:ascii="Arial" w:hAnsi="Arial" w:cs="Arial"/>
        </w:rPr>
        <w:footnoteReference w:id="9"/>
      </w:r>
      <w:r w:rsidR="00513BD8" w:rsidRPr="00413AA2">
        <w:rPr>
          <w:rFonts w:ascii="Arial" w:hAnsi="Arial" w:cs="Arial"/>
        </w:rPr>
        <w:t xml:space="preserve"> </w:t>
      </w:r>
    </w:p>
    <w:p w14:paraId="440F7503" w14:textId="326A0004" w:rsidR="005D3B97" w:rsidRPr="00EC5EB4" w:rsidRDefault="005D3B97" w:rsidP="001C28E1">
      <w:pPr>
        <w:rPr>
          <w:rFonts w:ascii="Arial" w:hAnsi="Arial" w:cs="Arial"/>
          <w:highlight w:val="red"/>
        </w:rPr>
      </w:pPr>
    </w:p>
    <w:p w14:paraId="6B60D2F1" w14:textId="30FD94A2" w:rsidR="00513BD8" w:rsidRPr="008F7E09" w:rsidRDefault="00A632A6" w:rsidP="00513BD8">
      <w:pPr>
        <w:rPr>
          <w:rFonts w:ascii="Arial" w:hAnsi="Arial" w:cs="Arial"/>
        </w:rPr>
      </w:pPr>
      <w:r w:rsidRPr="00513BD8">
        <w:rPr>
          <w:rFonts w:ascii="Arial" w:hAnsi="Arial" w:cs="Arial"/>
        </w:rPr>
        <w:t>[18]</w:t>
      </w:r>
      <w:r w:rsidRPr="00513BD8">
        <w:rPr>
          <w:rFonts w:ascii="Arial" w:hAnsi="Arial" w:cs="Arial"/>
        </w:rPr>
        <w:tab/>
      </w:r>
      <w:r w:rsidR="00513BD8" w:rsidRPr="00513BD8">
        <w:rPr>
          <w:rFonts w:ascii="Arial" w:hAnsi="Arial" w:cs="Arial"/>
        </w:rPr>
        <w:t>In</w:t>
      </w:r>
      <w:r w:rsidR="00D10F4E" w:rsidRPr="00D10F4E">
        <w:t xml:space="preserve"> </w:t>
      </w:r>
      <w:proofErr w:type="spellStart"/>
      <w:r w:rsidR="00D10F4E" w:rsidRPr="00AB3AFC">
        <w:rPr>
          <w:rFonts w:ascii="Arial" w:hAnsi="Arial" w:cs="Arial"/>
          <w:i/>
        </w:rPr>
        <w:t>Avnit</w:t>
      </w:r>
      <w:proofErr w:type="spellEnd"/>
      <w:r w:rsidR="00D10F4E" w:rsidRPr="00AB3AFC">
        <w:rPr>
          <w:rFonts w:ascii="Arial" w:hAnsi="Arial" w:cs="Arial"/>
          <w:i/>
        </w:rPr>
        <w:t xml:space="preserve"> v First Rand Trading</w:t>
      </w:r>
      <w:r w:rsidR="00513BD8" w:rsidRPr="00413AA2">
        <w:rPr>
          <w:rFonts w:ascii="Arial" w:hAnsi="Arial" w:cs="Arial"/>
        </w:rPr>
        <w:t xml:space="preserve">, </w:t>
      </w:r>
      <w:proofErr w:type="spellStart"/>
      <w:r w:rsidR="00513BD8">
        <w:rPr>
          <w:rFonts w:ascii="Arial" w:hAnsi="Arial" w:cs="Arial"/>
        </w:rPr>
        <w:t>Mpati</w:t>
      </w:r>
      <w:proofErr w:type="spellEnd"/>
      <w:r w:rsidR="00513BD8">
        <w:rPr>
          <w:rFonts w:ascii="Arial" w:hAnsi="Arial" w:cs="Arial"/>
        </w:rPr>
        <w:t xml:space="preserve"> P </w:t>
      </w:r>
      <w:r w:rsidR="009117A1">
        <w:rPr>
          <w:rFonts w:ascii="Arial" w:hAnsi="Arial" w:cs="Arial"/>
        </w:rPr>
        <w:t xml:space="preserve">stated </w:t>
      </w:r>
      <w:r w:rsidR="00513BD8">
        <w:rPr>
          <w:rFonts w:ascii="Arial" w:hAnsi="Arial" w:cs="Arial"/>
        </w:rPr>
        <w:t>that</w:t>
      </w:r>
      <w:r w:rsidR="00513BD8" w:rsidRPr="00413AA2">
        <w:rPr>
          <w:rFonts w:ascii="Arial" w:hAnsi="Arial" w:cs="Arial"/>
        </w:rPr>
        <w:t xml:space="preserve"> </w:t>
      </w:r>
      <w:r w:rsidR="00513BD8">
        <w:rPr>
          <w:rFonts w:ascii="Arial" w:hAnsi="Arial" w:cs="Arial"/>
        </w:rPr>
        <w:t xml:space="preserve">‘the </w:t>
      </w:r>
      <w:r w:rsidR="00513BD8" w:rsidRPr="00413AA2">
        <w:rPr>
          <w:rFonts w:ascii="Arial" w:hAnsi="Arial" w:cs="Arial"/>
        </w:rPr>
        <w:t>overall interests of justice will be the determinative feature</w:t>
      </w:r>
      <w:r w:rsidR="00513BD8">
        <w:rPr>
          <w:rFonts w:ascii="Arial" w:hAnsi="Arial" w:cs="Arial"/>
        </w:rPr>
        <w:t>’</w:t>
      </w:r>
      <w:r w:rsidR="00513BD8" w:rsidRPr="00413AA2">
        <w:rPr>
          <w:rFonts w:ascii="Arial" w:hAnsi="Arial" w:cs="Arial"/>
        </w:rPr>
        <w:t xml:space="preserve"> for the exercise of the President’s discretion</w:t>
      </w:r>
      <w:r w:rsidR="00513BD8">
        <w:rPr>
          <w:rFonts w:ascii="Arial" w:hAnsi="Arial" w:cs="Arial"/>
        </w:rPr>
        <w:t xml:space="preserve"> under </w:t>
      </w:r>
      <w:r w:rsidR="00D10F4E">
        <w:rPr>
          <w:rFonts w:ascii="Arial" w:hAnsi="Arial" w:cs="Arial"/>
        </w:rPr>
        <w:br/>
      </w:r>
      <w:r w:rsidR="00513BD8">
        <w:rPr>
          <w:rFonts w:ascii="Arial" w:hAnsi="Arial" w:cs="Arial"/>
        </w:rPr>
        <w:t>s 17(2)</w:t>
      </w:r>
      <w:r w:rsidR="00513BD8" w:rsidRPr="00AB3AFC">
        <w:rPr>
          <w:rFonts w:ascii="Arial" w:hAnsi="Arial" w:cs="Arial"/>
          <w:i/>
        </w:rPr>
        <w:t>(</w:t>
      </w:r>
      <w:r w:rsidR="00513BD8" w:rsidRPr="005E0F79">
        <w:rPr>
          <w:rFonts w:ascii="Arial" w:hAnsi="Arial" w:cs="Arial"/>
          <w:i/>
        </w:rPr>
        <w:t>f</w:t>
      </w:r>
      <w:r w:rsidR="00513BD8" w:rsidRPr="00AB3AFC">
        <w:rPr>
          <w:rFonts w:ascii="Arial" w:hAnsi="Arial" w:cs="Arial"/>
          <w:i/>
        </w:rPr>
        <w:t>)</w:t>
      </w:r>
      <w:r w:rsidR="009117A1">
        <w:rPr>
          <w:rFonts w:ascii="Arial" w:hAnsi="Arial" w:cs="Arial"/>
        </w:rPr>
        <w:t>, adding</w:t>
      </w:r>
      <w:r w:rsidR="00513BD8" w:rsidRPr="00E05284">
        <w:rPr>
          <w:rFonts w:ascii="Arial" w:hAnsi="Arial" w:cs="Arial"/>
        </w:rPr>
        <w:t>:</w:t>
      </w:r>
    </w:p>
    <w:p w14:paraId="44DA32E0" w14:textId="0B272033" w:rsidR="00DD2F96" w:rsidRPr="005E0F79" w:rsidRDefault="00513BD8" w:rsidP="00513BD8">
      <w:pPr>
        <w:rPr>
          <w:rFonts w:ascii="Arial" w:hAnsi="Arial" w:cs="Arial"/>
          <w:sz w:val="22"/>
          <w:szCs w:val="22"/>
        </w:rPr>
      </w:pPr>
      <w:r w:rsidRPr="005E0F79">
        <w:rPr>
          <w:rFonts w:ascii="Arial" w:hAnsi="Arial" w:cs="Arial"/>
          <w:sz w:val="22"/>
          <w:szCs w:val="22"/>
        </w:rPr>
        <w:t>‘In the context of s 17(2)</w:t>
      </w:r>
      <w:r w:rsidRPr="00103FB0">
        <w:rPr>
          <w:rFonts w:ascii="Arial" w:hAnsi="Arial" w:cs="Arial"/>
          <w:i/>
          <w:sz w:val="22"/>
          <w:szCs w:val="22"/>
        </w:rPr>
        <w:t>(</w:t>
      </w:r>
      <w:r w:rsidRPr="005E0F79">
        <w:rPr>
          <w:rFonts w:ascii="Arial" w:hAnsi="Arial" w:cs="Arial"/>
          <w:i/>
          <w:iCs/>
          <w:sz w:val="22"/>
          <w:szCs w:val="22"/>
        </w:rPr>
        <w:t>f</w:t>
      </w:r>
      <w:r w:rsidRPr="00103FB0">
        <w:rPr>
          <w:rFonts w:ascii="Arial" w:hAnsi="Arial" w:cs="Arial"/>
          <w:i/>
          <w:sz w:val="22"/>
          <w:szCs w:val="22"/>
        </w:rPr>
        <w:t>)</w:t>
      </w:r>
      <w:r w:rsidRPr="005E0F79">
        <w:rPr>
          <w:rFonts w:ascii="Arial" w:hAnsi="Arial" w:cs="Arial"/>
          <w:sz w:val="22"/>
          <w:szCs w:val="22"/>
        </w:rPr>
        <w:t xml:space="preserve"> the President will need to be satisfied that the circumstances are truly exceptional before referring the considered view of two judges of this court to the court for reconsideration. I emphasise that the section is not intended to afford disappointed litigants a further attempt to procure relief that has already been refused. It is intended to enable the President of this Court to deal with a situation where otherwise injustice might result. An application that merely rehearses the arguments that have already been made, considered and rejected will not succeed, unless it is strongly arguable that justice will be denied unless the possibility of an appeal can be pursued. </w:t>
      </w:r>
      <w:r w:rsidR="005E0F79" w:rsidRPr="005E0F79">
        <w:rPr>
          <w:rFonts w:ascii="Arial" w:hAnsi="Arial" w:cs="Arial"/>
          <w:sz w:val="22"/>
          <w:szCs w:val="22"/>
        </w:rPr>
        <w:t xml:space="preserve">A case such as </w:t>
      </w:r>
      <w:r w:rsidRPr="005E0F79">
        <w:rPr>
          <w:rFonts w:ascii="Arial" w:hAnsi="Arial" w:cs="Arial"/>
          <w:i/>
          <w:iCs/>
          <w:sz w:val="22"/>
          <w:szCs w:val="22"/>
        </w:rPr>
        <w:t>Van der Walt</w:t>
      </w:r>
      <w:r w:rsidRPr="005E0F79">
        <w:rPr>
          <w:rStyle w:val="FootnoteReference"/>
          <w:rFonts w:ascii="Arial" w:hAnsi="Arial" w:cs="Arial"/>
          <w:i/>
          <w:iCs/>
          <w:sz w:val="22"/>
          <w:szCs w:val="22"/>
        </w:rPr>
        <w:footnoteReference w:id="10"/>
      </w:r>
      <w:r w:rsidR="005E0F79" w:rsidRPr="005E0F79">
        <w:rPr>
          <w:rFonts w:ascii="Arial" w:hAnsi="Arial" w:cs="Arial"/>
          <w:sz w:val="22"/>
          <w:szCs w:val="22"/>
        </w:rPr>
        <w:t xml:space="preserve"> </w:t>
      </w:r>
      <w:r w:rsidRPr="005E0F79">
        <w:rPr>
          <w:rFonts w:ascii="Arial" w:hAnsi="Arial" w:cs="Arial"/>
          <w:sz w:val="22"/>
          <w:szCs w:val="22"/>
        </w:rPr>
        <w:t>may, but not necessarily will, warrant the exercise of the power. In such a case the President may hold the view that the grant of leave to appeal in the other case was inappropriate.</w:t>
      </w:r>
    </w:p>
    <w:p w14:paraId="7548CA61" w14:textId="77777777" w:rsidR="00DD2F96" w:rsidRDefault="00DD2F96" w:rsidP="00513BD8">
      <w:pPr>
        <w:rPr>
          <w:rFonts w:ascii="Arial" w:hAnsi="Arial" w:cs="Arial"/>
          <w:sz w:val="22"/>
          <w:szCs w:val="22"/>
        </w:rPr>
      </w:pPr>
    </w:p>
    <w:p w14:paraId="3EDCA32C" w14:textId="094483FC" w:rsidR="00513BD8" w:rsidRPr="005E0F79" w:rsidRDefault="00513BD8" w:rsidP="00513BD8">
      <w:pPr>
        <w:rPr>
          <w:rFonts w:ascii="Arial" w:hAnsi="Arial" w:cs="Arial"/>
          <w:sz w:val="22"/>
          <w:szCs w:val="22"/>
        </w:rPr>
      </w:pPr>
      <w:r w:rsidRPr="005E0F79">
        <w:rPr>
          <w:rFonts w:ascii="Arial" w:hAnsi="Arial" w:cs="Arial"/>
          <w:sz w:val="22"/>
          <w:szCs w:val="22"/>
        </w:rPr>
        <w:t xml:space="preserve">A useful guide is provided by the established jurisprudence of this court in regard to the grant of special leave to appeal. Prospects of success alone do not constitute exceptional circumstances.  The case must truly raise a substantial point of law, or be of great public importance or demonstrate that without leave </w:t>
      </w:r>
      <w:r w:rsidR="005E0F79">
        <w:rPr>
          <w:rFonts w:ascii="Arial" w:hAnsi="Arial" w:cs="Arial"/>
          <w:sz w:val="22"/>
          <w:szCs w:val="22"/>
        </w:rPr>
        <w:t>a grave injustice might result.</w:t>
      </w:r>
      <w:r w:rsidRPr="005E0F79">
        <w:rPr>
          <w:rFonts w:ascii="Arial" w:hAnsi="Arial" w:cs="Arial"/>
          <w:sz w:val="22"/>
          <w:szCs w:val="22"/>
        </w:rPr>
        <w:t xml:space="preserve"> Such cases will be likely to be few and far between because the judges who deal with the original application will rea</w:t>
      </w:r>
      <w:r w:rsidR="005E0F79">
        <w:rPr>
          <w:rFonts w:ascii="Arial" w:hAnsi="Arial" w:cs="Arial"/>
          <w:sz w:val="22"/>
          <w:szCs w:val="22"/>
        </w:rPr>
        <w:t>dily identify cases of the ilk.</w:t>
      </w:r>
      <w:r w:rsidRPr="005E0F79">
        <w:rPr>
          <w:rFonts w:ascii="Arial" w:hAnsi="Arial" w:cs="Arial"/>
          <w:sz w:val="22"/>
          <w:szCs w:val="22"/>
        </w:rPr>
        <w:t xml:space="preserve"> But the power </w:t>
      </w:r>
      <w:r w:rsidR="005E0F79" w:rsidRPr="005E0F79">
        <w:rPr>
          <w:rFonts w:ascii="Arial" w:hAnsi="Arial" w:cs="Arial"/>
          <w:sz w:val="22"/>
          <w:szCs w:val="22"/>
        </w:rPr>
        <w:t xml:space="preserve">under </w:t>
      </w:r>
      <w:hyperlink r:id="rId15" w:anchor="s17" w:history="1">
        <w:r w:rsidRPr="005E0F79">
          <w:rPr>
            <w:rStyle w:val="Hyperlink"/>
            <w:rFonts w:ascii="Arial" w:hAnsi="Arial" w:cs="Arial"/>
            <w:color w:val="auto"/>
            <w:sz w:val="22"/>
            <w:szCs w:val="22"/>
            <w:u w:val="none"/>
          </w:rPr>
          <w:t>section 17(2)</w:t>
        </w:r>
        <w:r w:rsidRPr="00AB3AFC">
          <w:rPr>
            <w:rStyle w:val="Hyperlink"/>
            <w:rFonts w:ascii="Arial" w:hAnsi="Arial" w:cs="Arial"/>
            <w:i/>
            <w:color w:val="auto"/>
            <w:sz w:val="22"/>
            <w:szCs w:val="22"/>
            <w:u w:val="none"/>
          </w:rPr>
          <w:t>(f)</w:t>
        </w:r>
      </w:hyperlink>
      <w:r w:rsidR="005E0F79">
        <w:rPr>
          <w:rFonts w:ascii="Arial" w:hAnsi="Arial" w:cs="Arial"/>
          <w:sz w:val="22"/>
          <w:szCs w:val="22"/>
        </w:rPr>
        <w:t xml:space="preserve"> </w:t>
      </w:r>
      <w:r w:rsidRPr="005E0F79">
        <w:rPr>
          <w:rFonts w:ascii="Arial" w:hAnsi="Arial" w:cs="Arial"/>
          <w:sz w:val="22"/>
          <w:szCs w:val="22"/>
        </w:rPr>
        <w:t>is one that can be exercised even when special leave has been refused, so ‘exceptional circumstances’ must involve more than satisfying the requirements f</w:t>
      </w:r>
      <w:r w:rsidR="005E0F79">
        <w:rPr>
          <w:rFonts w:ascii="Arial" w:hAnsi="Arial" w:cs="Arial"/>
          <w:sz w:val="22"/>
          <w:szCs w:val="22"/>
        </w:rPr>
        <w:t>or special leave to appeal.</w:t>
      </w:r>
      <w:r w:rsidRPr="005E0F79">
        <w:rPr>
          <w:rFonts w:ascii="Arial" w:hAnsi="Arial" w:cs="Arial"/>
          <w:sz w:val="22"/>
          <w:szCs w:val="22"/>
        </w:rPr>
        <w:t xml:space="preserve"> The power is likely to be exercised only when the President believes that some matter of importance has possibly been overlooked or a grave injustice will otherwise result.’</w:t>
      </w:r>
      <w:r w:rsidRPr="005E0F79">
        <w:rPr>
          <w:rStyle w:val="FootnoteReference"/>
          <w:rFonts w:ascii="Arial" w:hAnsi="Arial" w:cs="Arial"/>
          <w:sz w:val="22"/>
          <w:szCs w:val="22"/>
        </w:rPr>
        <w:footnoteReference w:id="11"/>
      </w:r>
    </w:p>
    <w:p w14:paraId="197DB249" w14:textId="710BC3BB" w:rsidR="00AF7FFC" w:rsidRPr="00EC5EB4" w:rsidRDefault="00AF7FFC" w:rsidP="001C28E1">
      <w:pPr>
        <w:rPr>
          <w:rFonts w:ascii="Arial" w:hAnsi="Arial" w:cs="Arial"/>
          <w:highlight w:val="red"/>
        </w:rPr>
      </w:pPr>
    </w:p>
    <w:p w14:paraId="1E01C28D" w14:textId="7A58BDA7" w:rsidR="00513BD8" w:rsidRPr="0063770E" w:rsidRDefault="00AF7FFC" w:rsidP="00513BD8">
      <w:pPr>
        <w:rPr>
          <w:rFonts w:ascii="Arial" w:hAnsi="Arial" w:cs="Arial"/>
          <w:lang w:val="en-US"/>
        </w:rPr>
      </w:pPr>
      <w:r w:rsidRPr="00513BD8">
        <w:rPr>
          <w:rFonts w:ascii="Arial" w:hAnsi="Arial" w:cs="Arial"/>
        </w:rPr>
        <w:t>[1</w:t>
      </w:r>
      <w:r w:rsidR="00A632A6" w:rsidRPr="00513BD8">
        <w:rPr>
          <w:rFonts w:ascii="Arial" w:hAnsi="Arial" w:cs="Arial"/>
        </w:rPr>
        <w:t>9</w:t>
      </w:r>
      <w:r w:rsidR="001C28E1" w:rsidRPr="00513BD8">
        <w:rPr>
          <w:rFonts w:ascii="Arial" w:hAnsi="Arial" w:cs="Arial"/>
        </w:rPr>
        <w:t>]</w:t>
      </w:r>
      <w:r w:rsidR="001C28E1" w:rsidRPr="00513BD8">
        <w:rPr>
          <w:rFonts w:ascii="Arial" w:hAnsi="Arial" w:cs="Arial"/>
        </w:rPr>
        <w:tab/>
      </w:r>
      <w:r w:rsidR="00513BD8" w:rsidRPr="00513BD8">
        <w:rPr>
          <w:rFonts w:ascii="Arial" w:hAnsi="Arial" w:cs="Arial"/>
          <w:lang w:val="en-US"/>
        </w:rPr>
        <w:t>Regrettably</w:t>
      </w:r>
      <w:r w:rsidR="00513BD8">
        <w:rPr>
          <w:rFonts w:ascii="Arial" w:hAnsi="Arial" w:cs="Arial"/>
          <w:lang w:val="en-US"/>
        </w:rPr>
        <w:t xml:space="preserve">, </w:t>
      </w:r>
      <w:r w:rsidR="00513BD8">
        <w:rPr>
          <w:rFonts w:ascii="Arial" w:hAnsi="Arial" w:cs="Arial"/>
        </w:rPr>
        <w:t>the parties misconceived the true nature of the enquiry. In the heads of argument filed on behalf of both, the sole focus was wrongly on the correctness of the judgment of Khan AJ, and whether or not there were reasonable prospects of success in the contemplated appeal against that judgment. Counsel appeared not to appreciate that t</w:t>
      </w:r>
      <w:r w:rsidR="00513BD8" w:rsidRPr="00483CF9">
        <w:rPr>
          <w:rFonts w:ascii="Arial" w:hAnsi="Arial" w:cs="Arial"/>
        </w:rPr>
        <w:t>he requirement of the existence of exceptional circumstances is a jurisdictional fact</w:t>
      </w:r>
      <w:r w:rsidR="00513BD8">
        <w:rPr>
          <w:rFonts w:ascii="Arial" w:hAnsi="Arial" w:cs="Arial"/>
        </w:rPr>
        <w:t xml:space="preserve"> that had to first be met, and that absent exceptional circumstances, the s 17(2)(</w:t>
      </w:r>
      <w:r w:rsidR="00513BD8" w:rsidRPr="005E0F79">
        <w:rPr>
          <w:rFonts w:ascii="Arial" w:hAnsi="Arial" w:cs="Arial"/>
          <w:i/>
        </w:rPr>
        <w:t>f</w:t>
      </w:r>
      <w:r w:rsidR="00513BD8">
        <w:rPr>
          <w:rFonts w:ascii="Arial" w:hAnsi="Arial" w:cs="Arial"/>
        </w:rPr>
        <w:t>)</w:t>
      </w:r>
      <w:r w:rsidR="009117A1">
        <w:rPr>
          <w:rFonts w:ascii="Arial" w:hAnsi="Arial" w:cs="Arial"/>
        </w:rPr>
        <w:t xml:space="preserve"> application</w:t>
      </w:r>
      <w:r w:rsidR="00513BD8">
        <w:rPr>
          <w:rFonts w:ascii="Arial" w:hAnsi="Arial" w:cs="Arial"/>
        </w:rPr>
        <w:t xml:space="preserve"> was not out of the starting stalls. </w:t>
      </w:r>
      <w:r w:rsidR="009117A1">
        <w:rPr>
          <w:rFonts w:ascii="Arial" w:hAnsi="Arial" w:cs="Arial"/>
        </w:rPr>
        <w:t>At the Bar</w:t>
      </w:r>
      <w:r w:rsidR="00513BD8">
        <w:rPr>
          <w:rFonts w:ascii="Arial" w:hAnsi="Arial" w:cs="Arial"/>
        </w:rPr>
        <w:t xml:space="preserve">, counsel </w:t>
      </w:r>
      <w:r w:rsidR="00513BD8" w:rsidRPr="00915E1F">
        <w:rPr>
          <w:rFonts w:ascii="Arial" w:hAnsi="Arial" w:cs="Arial"/>
        </w:rPr>
        <w:t xml:space="preserve">sought to rehash the arguments </w:t>
      </w:r>
      <w:r w:rsidR="00513BD8">
        <w:rPr>
          <w:rFonts w:ascii="Arial" w:hAnsi="Arial" w:cs="Arial"/>
        </w:rPr>
        <w:t xml:space="preserve">that had already been </w:t>
      </w:r>
      <w:r w:rsidR="00513BD8" w:rsidRPr="00915E1F">
        <w:rPr>
          <w:rFonts w:ascii="Arial" w:hAnsi="Arial" w:cs="Arial"/>
        </w:rPr>
        <w:t xml:space="preserve">advanced before the high court and before the two judges of this </w:t>
      </w:r>
      <w:r w:rsidR="00DD2F96">
        <w:rPr>
          <w:rFonts w:ascii="Arial" w:hAnsi="Arial" w:cs="Arial"/>
        </w:rPr>
        <w:t>C</w:t>
      </w:r>
      <w:r w:rsidR="00513BD8" w:rsidRPr="00915E1F">
        <w:rPr>
          <w:rFonts w:ascii="Arial" w:hAnsi="Arial" w:cs="Arial"/>
        </w:rPr>
        <w:t xml:space="preserve">ourt, who dismissed </w:t>
      </w:r>
      <w:r w:rsidR="009117A1">
        <w:rPr>
          <w:rFonts w:ascii="Arial" w:hAnsi="Arial" w:cs="Arial"/>
        </w:rPr>
        <w:t xml:space="preserve">the </w:t>
      </w:r>
      <w:r w:rsidR="00513BD8" w:rsidRPr="00915E1F">
        <w:rPr>
          <w:rFonts w:ascii="Arial" w:hAnsi="Arial" w:cs="Arial"/>
        </w:rPr>
        <w:t>ap</w:t>
      </w:r>
      <w:r w:rsidR="005E0F79">
        <w:rPr>
          <w:rFonts w:ascii="Arial" w:hAnsi="Arial" w:cs="Arial"/>
        </w:rPr>
        <w:t xml:space="preserve">plication for leave to appeal. </w:t>
      </w:r>
      <w:r w:rsidR="00513BD8">
        <w:rPr>
          <w:rFonts w:ascii="Arial" w:hAnsi="Arial" w:cs="Arial"/>
        </w:rPr>
        <w:t>But</w:t>
      </w:r>
      <w:r w:rsidR="00513BD8" w:rsidRPr="00915E1F">
        <w:rPr>
          <w:rFonts w:ascii="Arial" w:hAnsi="Arial" w:cs="Arial"/>
        </w:rPr>
        <w:t xml:space="preserve"> those </w:t>
      </w:r>
      <w:r w:rsidR="00513BD8">
        <w:rPr>
          <w:rFonts w:ascii="Arial" w:hAnsi="Arial" w:cs="Arial"/>
        </w:rPr>
        <w:t xml:space="preserve">contentions </w:t>
      </w:r>
      <w:r w:rsidR="00513BD8" w:rsidRPr="00915E1F">
        <w:rPr>
          <w:rFonts w:ascii="Arial" w:hAnsi="Arial" w:cs="Arial"/>
        </w:rPr>
        <w:t>had been considered and found to be wanting</w:t>
      </w:r>
      <w:r w:rsidR="00513BD8">
        <w:rPr>
          <w:rFonts w:ascii="Arial" w:hAnsi="Arial" w:cs="Arial"/>
        </w:rPr>
        <w:t xml:space="preserve"> in a detailed judgment of the high court</w:t>
      </w:r>
      <w:r w:rsidR="00513BD8" w:rsidRPr="00915E1F">
        <w:rPr>
          <w:rFonts w:ascii="Arial" w:hAnsi="Arial" w:cs="Arial"/>
        </w:rPr>
        <w:t xml:space="preserve">. </w:t>
      </w:r>
      <w:r w:rsidR="00513BD8">
        <w:rPr>
          <w:rFonts w:ascii="Arial" w:hAnsi="Arial" w:cs="Arial"/>
        </w:rPr>
        <w:t xml:space="preserve">In dismissing the petition, the two judges of this </w:t>
      </w:r>
      <w:r w:rsidR="00DD2F96">
        <w:rPr>
          <w:rFonts w:ascii="Arial" w:hAnsi="Arial" w:cs="Arial"/>
        </w:rPr>
        <w:t>C</w:t>
      </w:r>
      <w:r w:rsidR="00513BD8">
        <w:rPr>
          <w:rFonts w:ascii="Arial" w:hAnsi="Arial" w:cs="Arial"/>
        </w:rPr>
        <w:t>ourt had self-evidently taken the view that there</w:t>
      </w:r>
      <w:r w:rsidR="009117A1">
        <w:rPr>
          <w:rFonts w:ascii="Arial" w:hAnsi="Arial" w:cs="Arial"/>
        </w:rPr>
        <w:t xml:space="preserve"> were no reasonable prospects of</w:t>
      </w:r>
      <w:r w:rsidR="00513BD8">
        <w:rPr>
          <w:rFonts w:ascii="Arial" w:hAnsi="Arial" w:cs="Arial"/>
        </w:rPr>
        <w:t xml:space="preserve"> an appeal against that judgment succeeding. </w:t>
      </w:r>
      <w:r w:rsidR="00513BD8" w:rsidRPr="00915E1F">
        <w:rPr>
          <w:rFonts w:ascii="Arial" w:hAnsi="Arial" w:cs="Arial"/>
        </w:rPr>
        <w:t>As Innes ACJ made plai</w:t>
      </w:r>
      <w:r w:rsidR="005E0F79">
        <w:rPr>
          <w:rFonts w:ascii="Arial" w:hAnsi="Arial" w:cs="Arial"/>
        </w:rPr>
        <w:t xml:space="preserve">n in </w:t>
      </w:r>
      <w:r w:rsidR="00513BD8" w:rsidRPr="00915E1F">
        <w:rPr>
          <w:rFonts w:ascii="Arial" w:hAnsi="Arial" w:cs="Arial"/>
          <w:i/>
          <w:iCs/>
        </w:rPr>
        <w:t>Norwich Union Life Insurance Society v Dobbs</w:t>
      </w:r>
      <w:r w:rsidR="005E0F79">
        <w:rPr>
          <w:rFonts w:ascii="Arial" w:hAnsi="Arial" w:cs="Arial"/>
        </w:rPr>
        <w:t>:</w:t>
      </w:r>
    </w:p>
    <w:p w14:paraId="44914F99" w14:textId="29A08BFB" w:rsidR="00513BD8" w:rsidRPr="005E0F79" w:rsidRDefault="00513BD8" w:rsidP="00513BD8">
      <w:pPr>
        <w:rPr>
          <w:rFonts w:ascii="Arial" w:hAnsi="Arial" w:cs="Arial"/>
          <w:sz w:val="22"/>
          <w:szCs w:val="22"/>
        </w:rPr>
      </w:pPr>
      <w:r w:rsidRPr="005E0F79">
        <w:rPr>
          <w:rFonts w:ascii="Arial" w:hAnsi="Arial" w:cs="Arial"/>
          <w:sz w:val="22"/>
          <w:szCs w:val="22"/>
        </w:rPr>
        <w:t>‘. . . when a statute directs that a fixed rule shall only be departed from under exceptional circumstances, the Court, one would think, will best give effect to the intention of the Legislature by taking a strict rather than a liberal view of applications for exemption, and by carefully examining any special circumstances relied upon.’</w:t>
      </w:r>
      <w:r w:rsidR="00DD2F96">
        <w:rPr>
          <w:rStyle w:val="FootnoteReference"/>
          <w:rFonts w:ascii="Arial" w:hAnsi="Arial" w:cs="Arial"/>
          <w:sz w:val="22"/>
          <w:szCs w:val="22"/>
        </w:rPr>
        <w:footnoteReference w:id="12"/>
      </w:r>
      <w:r w:rsidRPr="005E0F79">
        <w:rPr>
          <w:rFonts w:ascii="Arial" w:hAnsi="Arial" w:cs="Arial"/>
          <w:sz w:val="22"/>
          <w:szCs w:val="22"/>
        </w:rPr>
        <w:t xml:space="preserve"> </w:t>
      </w:r>
    </w:p>
    <w:p w14:paraId="6869E662" w14:textId="7304E63E" w:rsidR="00B93284" w:rsidRPr="00EC5EB4" w:rsidRDefault="00B93284" w:rsidP="00513BD8">
      <w:pPr>
        <w:rPr>
          <w:rFonts w:ascii="Arial" w:hAnsi="Arial" w:cs="Arial"/>
          <w:highlight w:val="red"/>
        </w:rPr>
      </w:pPr>
    </w:p>
    <w:p w14:paraId="2062669F" w14:textId="4896B7A3" w:rsidR="003C1BA1" w:rsidRDefault="00AF7FFC" w:rsidP="00513BD8">
      <w:pPr>
        <w:rPr>
          <w:rFonts w:ascii="Arial" w:hAnsi="Arial" w:cs="Arial"/>
        </w:rPr>
      </w:pPr>
      <w:r w:rsidRPr="00513BD8">
        <w:rPr>
          <w:rFonts w:ascii="Arial" w:hAnsi="Arial" w:cs="Arial"/>
        </w:rPr>
        <w:t>[</w:t>
      </w:r>
      <w:r w:rsidR="00A632A6" w:rsidRPr="00513BD8">
        <w:rPr>
          <w:rFonts w:ascii="Arial" w:hAnsi="Arial" w:cs="Arial"/>
        </w:rPr>
        <w:t>20</w:t>
      </w:r>
      <w:r w:rsidR="001C28E1" w:rsidRPr="00513BD8">
        <w:rPr>
          <w:rFonts w:ascii="Arial" w:hAnsi="Arial" w:cs="Arial"/>
        </w:rPr>
        <w:t>]</w:t>
      </w:r>
      <w:r w:rsidR="001C28E1" w:rsidRPr="00513BD8">
        <w:rPr>
          <w:rFonts w:ascii="Arial" w:hAnsi="Arial" w:cs="Arial"/>
        </w:rPr>
        <w:tab/>
      </w:r>
      <w:r w:rsidR="00513BD8" w:rsidRPr="00513BD8">
        <w:rPr>
          <w:rFonts w:ascii="Arial" w:hAnsi="Arial" w:cs="Arial"/>
        </w:rPr>
        <w:t>An</w:t>
      </w:r>
      <w:r w:rsidR="00513BD8">
        <w:rPr>
          <w:rFonts w:ascii="Arial" w:hAnsi="Arial" w:cs="Arial"/>
        </w:rPr>
        <w:t xml:space="preserve"> independent </w:t>
      </w:r>
      <w:r w:rsidR="00513BD8" w:rsidRPr="00915E1F">
        <w:rPr>
          <w:rFonts w:ascii="Arial" w:hAnsi="Arial" w:cs="Arial"/>
        </w:rPr>
        <w:t>perusal of the record</w:t>
      </w:r>
      <w:r w:rsidR="00513BD8">
        <w:rPr>
          <w:rFonts w:ascii="Arial" w:hAnsi="Arial" w:cs="Arial"/>
        </w:rPr>
        <w:t xml:space="preserve"> reveals that</w:t>
      </w:r>
      <w:r w:rsidR="00513BD8" w:rsidRPr="00915E1F">
        <w:rPr>
          <w:rFonts w:ascii="Arial" w:hAnsi="Arial" w:cs="Arial"/>
        </w:rPr>
        <w:t xml:space="preserve"> neither the conclusion reached by Khan AJ, nor that of the two judges of this </w:t>
      </w:r>
      <w:r w:rsidR="00DD2F96">
        <w:rPr>
          <w:rFonts w:ascii="Arial" w:hAnsi="Arial" w:cs="Arial"/>
        </w:rPr>
        <w:t>C</w:t>
      </w:r>
      <w:r w:rsidR="00513BD8" w:rsidRPr="00915E1F">
        <w:rPr>
          <w:rFonts w:ascii="Arial" w:hAnsi="Arial" w:cs="Arial"/>
        </w:rPr>
        <w:t>ourt</w:t>
      </w:r>
      <w:r w:rsidR="00513BD8">
        <w:rPr>
          <w:rFonts w:ascii="Arial" w:hAnsi="Arial" w:cs="Arial"/>
        </w:rPr>
        <w:t>,</w:t>
      </w:r>
      <w:r w:rsidR="00513BD8" w:rsidRPr="00915E1F">
        <w:rPr>
          <w:rFonts w:ascii="Arial" w:hAnsi="Arial" w:cs="Arial"/>
        </w:rPr>
        <w:t xml:space="preserve"> can be faulted. </w:t>
      </w:r>
      <w:r w:rsidR="00513BD8">
        <w:rPr>
          <w:rFonts w:ascii="Arial" w:hAnsi="Arial" w:cs="Arial"/>
        </w:rPr>
        <w:t>As Lewis JA, in dealing</w:t>
      </w:r>
      <w:r w:rsidR="00513BD8" w:rsidRPr="003E19F1">
        <w:rPr>
          <w:rFonts w:ascii="Arial" w:hAnsi="Arial" w:cs="Arial"/>
        </w:rPr>
        <w:t xml:space="preserve"> </w:t>
      </w:r>
      <w:r w:rsidR="00513BD8">
        <w:rPr>
          <w:rFonts w:ascii="Arial" w:hAnsi="Arial" w:cs="Arial"/>
        </w:rPr>
        <w:t xml:space="preserve">with the test for the grant of special leave to appeal, observed in </w:t>
      </w:r>
    </w:p>
    <w:p w14:paraId="63B4553A" w14:textId="7A07A7BE" w:rsidR="00513BD8" w:rsidRPr="008A5516" w:rsidRDefault="00513BD8" w:rsidP="00513BD8">
      <w:pPr>
        <w:rPr>
          <w:rFonts w:ascii="Arial" w:hAnsi="Arial" w:cs="Arial"/>
        </w:rPr>
      </w:pPr>
      <w:r w:rsidRPr="008A5516">
        <w:rPr>
          <w:rFonts w:ascii="Arial" w:hAnsi="Arial" w:cs="Arial"/>
          <w:i/>
          <w:iCs/>
          <w:color w:val="242121"/>
          <w:shd w:val="clear" w:color="auto" w:fill="FFFFFF"/>
        </w:rPr>
        <w:t>Stu Davidson v Eastern Cape Motors</w:t>
      </w:r>
      <w:r>
        <w:rPr>
          <w:rFonts w:ascii="Arial" w:hAnsi="Arial" w:cs="Arial"/>
          <w:color w:val="242121"/>
          <w:shd w:val="clear" w:color="auto" w:fill="FFFFFF"/>
        </w:rPr>
        <w:t>:</w:t>
      </w:r>
    </w:p>
    <w:p w14:paraId="1836719B" w14:textId="77777777" w:rsidR="00513BD8" w:rsidRPr="005E0F79" w:rsidRDefault="00513BD8" w:rsidP="00513BD8">
      <w:pPr>
        <w:rPr>
          <w:rFonts w:ascii="Arial" w:hAnsi="Arial" w:cs="Arial"/>
          <w:sz w:val="22"/>
          <w:szCs w:val="22"/>
        </w:rPr>
      </w:pPr>
      <w:r w:rsidRPr="005E0F79">
        <w:rPr>
          <w:rFonts w:ascii="Arial" w:hAnsi="Arial" w:cs="Arial"/>
          <w:sz w:val="22"/>
          <w:szCs w:val="22"/>
        </w:rPr>
        <w:t>‘There is no legal question to be determined. There is no factual dispute that requires reconsideration. There is no reason why an appellate court should determine any matter arising from the first appeal further. Again, it is trite that where there has been no manifest denial of justice, no important issue of law to be determined, and the matter is not of special significance to the parties, and certainly not of any importance to the public generally, special leave should not be granted.’</w:t>
      </w:r>
      <w:r w:rsidRPr="005E0F79">
        <w:rPr>
          <w:rStyle w:val="FootnoteReference"/>
          <w:rFonts w:ascii="Arial" w:hAnsi="Arial" w:cs="Arial"/>
          <w:sz w:val="22"/>
          <w:szCs w:val="22"/>
        </w:rPr>
        <w:footnoteReference w:id="13"/>
      </w:r>
      <w:r w:rsidRPr="005E0F79">
        <w:rPr>
          <w:rFonts w:ascii="Arial" w:hAnsi="Arial" w:cs="Arial"/>
          <w:sz w:val="22"/>
          <w:szCs w:val="22"/>
        </w:rPr>
        <w:t xml:space="preserve"> </w:t>
      </w:r>
    </w:p>
    <w:p w14:paraId="7BB1117C" w14:textId="476C0C44" w:rsidR="00513BD8" w:rsidRDefault="00513BD8" w:rsidP="00513BD8">
      <w:pPr>
        <w:rPr>
          <w:rFonts w:ascii="Arial" w:hAnsi="Arial" w:cs="Arial"/>
        </w:rPr>
      </w:pPr>
      <w:r>
        <w:rPr>
          <w:rFonts w:ascii="Arial" w:hAnsi="Arial" w:cs="Arial"/>
        </w:rPr>
        <w:t>That holds true for this matter as well.</w:t>
      </w:r>
      <w:r w:rsidR="002F3397">
        <w:rPr>
          <w:rFonts w:ascii="Arial" w:hAnsi="Arial" w:cs="Arial"/>
        </w:rPr>
        <w:t xml:space="preserve"> Given that there are no reasonable prospects of success in the contemplated appeal</w:t>
      </w:r>
      <w:r>
        <w:rPr>
          <w:rFonts w:ascii="Arial" w:hAnsi="Arial" w:cs="Arial"/>
        </w:rPr>
        <w:t xml:space="preserve">, </w:t>
      </w:r>
      <w:r w:rsidR="002F3397">
        <w:rPr>
          <w:rFonts w:ascii="Arial" w:hAnsi="Arial" w:cs="Arial"/>
        </w:rPr>
        <w:t>much less special circumstances, t</w:t>
      </w:r>
      <w:r>
        <w:rPr>
          <w:rFonts w:ascii="Arial" w:hAnsi="Arial" w:cs="Arial"/>
        </w:rPr>
        <w:t xml:space="preserve">he </w:t>
      </w:r>
      <w:r w:rsidR="002F3397">
        <w:rPr>
          <w:rFonts w:ascii="Arial" w:hAnsi="Arial" w:cs="Arial"/>
        </w:rPr>
        <w:t xml:space="preserve">application </w:t>
      </w:r>
      <w:r>
        <w:rPr>
          <w:rFonts w:ascii="Arial" w:hAnsi="Arial" w:cs="Arial"/>
        </w:rPr>
        <w:t>hardly meet</w:t>
      </w:r>
      <w:r w:rsidR="002F3397">
        <w:rPr>
          <w:rFonts w:ascii="Arial" w:hAnsi="Arial" w:cs="Arial"/>
        </w:rPr>
        <w:t>s</w:t>
      </w:r>
      <w:r>
        <w:rPr>
          <w:rFonts w:ascii="Arial" w:hAnsi="Arial" w:cs="Arial"/>
        </w:rPr>
        <w:t xml:space="preserve"> the higher ‘exceptional circumstances’ threshold set by </w:t>
      </w:r>
      <w:r w:rsidR="003C1BA1">
        <w:rPr>
          <w:rFonts w:ascii="Arial" w:hAnsi="Arial" w:cs="Arial"/>
        </w:rPr>
        <w:br/>
      </w:r>
      <w:r>
        <w:rPr>
          <w:rFonts w:ascii="Arial" w:hAnsi="Arial" w:cs="Arial"/>
        </w:rPr>
        <w:t>s 17(2)</w:t>
      </w:r>
      <w:r w:rsidRPr="00103FB0">
        <w:rPr>
          <w:rFonts w:ascii="Arial" w:hAnsi="Arial" w:cs="Arial"/>
          <w:i/>
        </w:rPr>
        <w:t>(</w:t>
      </w:r>
      <w:r w:rsidRPr="005E0F79">
        <w:rPr>
          <w:rFonts w:ascii="Arial" w:hAnsi="Arial" w:cs="Arial"/>
          <w:i/>
        </w:rPr>
        <w:t>f</w:t>
      </w:r>
      <w:r w:rsidRPr="00103FB0">
        <w:rPr>
          <w:rFonts w:ascii="Arial" w:hAnsi="Arial" w:cs="Arial"/>
          <w:i/>
        </w:rPr>
        <w:t>)</w:t>
      </w:r>
      <w:r>
        <w:rPr>
          <w:rFonts w:ascii="Arial" w:hAnsi="Arial" w:cs="Arial"/>
        </w:rPr>
        <w:t>.</w:t>
      </w:r>
      <w:r w:rsidR="002F3397">
        <w:rPr>
          <w:rFonts w:ascii="Arial" w:hAnsi="Arial" w:cs="Arial"/>
        </w:rPr>
        <w:t xml:space="preserve"> It must accordingly fail.</w:t>
      </w:r>
    </w:p>
    <w:p w14:paraId="6060B181" w14:textId="6AE4B9AF" w:rsidR="000949A1" w:rsidRPr="00EC5EB4" w:rsidRDefault="000949A1" w:rsidP="001C28E1">
      <w:pPr>
        <w:rPr>
          <w:rFonts w:ascii="Arial" w:hAnsi="Arial" w:cs="Arial"/>
          <w:color w:val="242121"/>
          <w:highlight w:val="red"/>
          <w:shd w:val="clear" w:color="auto" w:fill="FFFFFF"/>
        </w:rPr>
      </w:pPr>
    </w:p>
    <w:p w14:paraId="40842467" w14:textId="77777777" w:rsidR="00513BD8" w:rsidRDefault="00AF7FFC" w:rsidP="00513BD8">
      <w:pPr>
        <w:rPr>
          <w:rFonts w:ascii="Arial" w:hAnsi="Arial" w:cs="Arial"/>
        </w:rPr>
      </w:pPr>
      <w:r w:rsidRPr="00513BD8">
        <w:rPr>
          <w:rFonts w:ascii="Arial" w:hAnsi="Arial" w:cs="Arial"/>
          <w:color w:val="242121"/>
          <w:shd w:val="clear" w:color="auto" w:fill="FFFFFF"/>
        </w:rPr>
        <w:t>[</w:t>
      </w:r>
      <w:r w:rsidR="00A632A6" w:rsidRPr="00513BD8">
        <w:rPr>
          <w:rFonts w:ascii="Arial" w:hAnsi="Arial" w:cs="Arial"/>
          <w:color w:val="242121"/>
          <w:shd w:val="clear" w:color="auto" w:fill="FFFFFF"/>
        </w:rPr>
        <w:t>2</w:t>
      </w:r>
      <w:r w:rsidRPr="00513BD8">
        <w:rPr>
          <w:rFonts w:ascii="Arial" w:hAnsi="Arial" w:cs="Arial"/>
          <w:color w:val="242121"/>
          <w:shd w:val="clear" w:color="auto" w:fill="FFFFFF"/>
        </w:rPr>
        <w:t>1</w:t>
      </w:r>
      <w:r w:rsidR="001C28E1" w:rsidRPr="00513BD8">
        <w:rPr>
          <w:rFonts w:ascii="Arial" w:hAnsi="Arial" w:cs="Arial"/>
          <w:color w:val="242121"/>
          <w:shd w:val="clear" w:color="auto" w:fill="FFFFFF"/>
        </w:rPr>
        <w:t>]</w:t>
      </w:r>
      <w:r w:rsidR="001C28E1" w:rsidRPr="00513BD8">
        <w:rPr>
          <w:rFonts w:ascii="Arial" w:hAnsi="Arial" w:cs="Arial"/>
          <w:color w:val="242121"/>
          <w:shd w:val="clear" w:color="auto" w:fill="FFFFFF"/>
        </w:rPr>
        <w:tab/>
      </w:r>
      <w:r w:rsidR="00513BD8" w:rsidRPr="00513BD8">
        <w:rPr>
          <w:rFonts w:ascii="Arial" w:hAnsi="Arial" w:cs="Arial"/>
        </w:rPr>
        <w:t>In</w:t>
      </w:r>
      <w:r w:rsidR="00513BD8">
        <w:rPr>
          <w:rFonts w:ascii="Arial" w:hAnsi="Arial" w:cs="Arial"/>
        </w:rPr>
        <w:t xml:space="preserve"> the result:</w:t>
      </w:r>
    </w:p>
    <w:p w14:paraId="28756C52" w14:textId="77777777" w:rsidR="00513BD8" w:rsidRDefault="00513BD8" w:rsidP="00513BD8">
      <w:pPr>
        <w:rPr>
          <w:rFonts w:ascii="Arial" w:hAnsi="Arial" w:cs="Arial"/>
        </w:rPr>
      </w:pPr>
      <w:r w:rsidRPr="0017764C">
        <w:rPr>
          <w:rFonts w:ascii="Arial" w:hAnsi="Arial" w:cs="Arial"/>
        </w:rPr>
        <w:t xml:space="preserve">(a) The application for condonation is dismissed with costs. </w:t>
      </w:r>
    </w:p>
    <w:p w14:paraId="3BC944A8" w14:textId="77777777" w:rsidR="00513BD8" w:rsidRDefault="00513BD8" w:rsidP="00513BD8">
      <w:pPr>
        <w:rPr>
          <w:rFonts w:ascii="Arial" w:hAnsi="Arial" w:cs="Arial"/>
        </w:rPr>
      </w:pPr>
      <w:r w:rsidRPr="0017764C">
        <w:rPr>
          <w:rFonts w:ascii="Arial" w:hAnsi="Arial" w:cs="Arial"/>
        </w:rPr>
        <w:t xml:space="preserve">(b) The applicant for condonation is ordered to pay the costs incurred by the respondents in opposing the lapsed appeal. </w:t>
      </w:r>
    </w:p>
    <w:p w14:paraId="6B6EFBE1" w14:textId="14D11CB0" w:rsidR="005D3B97" w:rsidRPr="00513BD8" w:rsidRDefault="00513BD8" w:rsidP="00513BD8">
      <w:pPr>
        <w:rPr>
          <w:rFonts w:ascii="Arial" w:hAnsi="Arial" w:cs="Arial"/>
        </w:rPr>
      </w:pPr>
      <w:r w:rsidRPr="0017764C">
        <w:rPr>
          <w:rFonts w:ascii="Arial" w:hAnsi="Arial" w:cs="Arial"/>
        </w:rPr>
        <w:t>(c) In both instances (a) and (b) the costs shall include the costs of two counsel.</w:t>
      </w:r>
      <w:r>
        <w:rPr>
          <w:rFonts w:ascii="Arial" w:hAnsi="Arial" w:cs="Arial"/>
        </w:rPr>
        <w:t xml:space="preserve"> </w:t>
      </w:r>
    </w:p>
    <w:p w14:paraId="6B34B86E" w14:textId="276955D9" w:rsidR="00C17B9A" w:rsidRDefault="00C17B9A" w:rsidP="001D7C8E">
      <w:pPr>
        <w:spacing w:line="480" w:lineRule="auto"/>
        <w:rPr>
          <w:rFonts w:ascii="Arial" w:hAnsi="Arial" w:cs="Arial"/>
          <w:iCs/>
        </w:rPr>
      </w:pPr>
    </w:p>
    <w:p w14:paraId="0F0F3004" w14:textId="10F4BFB1" w:rsidR="00C17B9A" w:rsidRDefault="00C17B9A" w:rsidP="001D7C8E">
      <w:pPr>
        <w:spacing w:line="480" w:lineRule="auto"/>
        <w:rPr>
          <w:rFonts w:ascii="Arial" w:hAnsi="Arial" w:cs="Arial"/>
          <w:iCs/>
        </w:rPr>
      </w:pPr>
    </w:p>
    <w:p w14:paraId="186AAB51" w14:textId="77777777" w:rsidR="005E0F79" w:rsidRPr="001D7C8E" w:rsidRDefault="005E0F79" w:rsidP="001D7C8E">
      <w:pPr>
        <w:spacing w:line="480" w:lineRule="auto"/>
        <w:rPr>
          <w:rFonts w:ascii="Arial" w:hAnsi="Arial" w:cs="Arial"/>
          <w:iCs/>
        </w:rPr>
      </w:pPr>
    </w:p>
    <w:p w14:paraId="4F00FBCD" w14:textId="41FABA62" w:rsidR="00F41B1C" w:rsidRPr="00D01FEF" w:rsidRDefault="0022737F" w:rsidP="00F41B1C">
      <w:pPr>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41B1C" w:rsidRPr="00D01FEF">
        <w:rPr>
          <w:rFonts w:ascii="Arial" w:eastAsia="Arial" w:hAnsi="Arial" w:cs="Arial"/>
        </w:rPr>
        <w:t>________________</w:t>
      </w:r>
    </w:p>
    <w:p w14:paraId="73C8CC9F" w14:textId="77777777" w:rsidR="00F41B1C" w:rsidRPr="00D01FEF" w:rsidRDefault="00F41B1C" w:rsidP="00F41B1C">
      <w:pPr>
        <w:jc w:val="right"/>
        <w:rPr>
          <w:rFonts w:ascii="Arial" w:eastAsia="Arial" w:hAnsi="Arial" w:cs="Arial"/>
        </w:rPr>
      </w:pPr>
      <w:r w:rsidRPr="00D01FEF">
        <w:rPr>
          <w:rFonts w:ascii="Arial" w:eastAsia="Arial" w:hAnsi="Arial" w:cs="Arial"/>
        </w:rPr>
        <w:t>V M PONNAN</w:t>
      </w:r>
    </w:p>
    <w:p w14:paraId="2607A5CD" w14:textId="4FCD34B5" w:rsidR="00232028" w:rsidRDefault="00F41B1C" w:rsidP="006A4102">
      <w:pPr>
        <w:jc w:val="right"/>
        <w:rPr>
          <w:rFonts w:ascii="Arial" w:eastAsia="Arial" w:hAnsi="Arial" w:cs="Arial"/>
        </w:rPr>
      </w:pPr>
      <w:r w:rsidRPr="00D01FEF">
        <w:rPr>
          <w:rFonts w:ascii="Arial" w:eastAsia="Arial" w:hAnsi="Arial" w:cs="Arial"/>
        </w:rPr>
        <w:t>JUDGE OF APPEAL</w:t>
      </w:r>
      <w:r w:rsidR="00232028">
        <w:rPr>
          <w:rFonts w:ascii="Arial" w:eastAsia="Arial" w:hAnsi="Arial" w:cs="Arial"/>
        </w:rPr>
        <w:br w:type="page"/>
      </w:r>
    </w:p>
    <w:p w14:paraId="4B64DA40" w14:textId="77777777" w:rsidR="00F41B1C" w:rsidRPr="00A10BEF" w:rsidRDefault="00F41B1C" w:rsidP="00F41B1C">
      <w:pPr>
        <w:rPr>
          <w:rFonts w:ascii="Arial" w:hAnsi="Arial" w:cs="Arial"/>
        </w:rPr>
      </w:pPr>
      <w:r w:rsidRPr="00A10BEF">
        <w:rPr>
          <w:rFonts w:ascii="Arial" w:hAnsi="Arial" w:cs="Arial"/>
        </w:rPr>
        <w:t>Appearances</w:t>
      </w:r>
    </w:p>
    <w:p w14:paraId="7715B0B9" w14:textId="77777777" w:rsidR="00F41B1C" w:rsidRPr="00A10BEF" w:rsidRDefault="00F41B1C" w:rsidP="00F41B1C">
      <w:pPr>
        <w:rPr>
          <w:rFonts w:ascii="Arial" w:eastAsia="Arial" w:hAnsi="Arial" w:cs="Arial"/>
        </w:rPr>
      </w:pPr>
    </w:p>
    <w:p w14:paraId="1629A37E" w14:textId="044FCC50" w:rsidR="00F41B1C" w:rsidRDefault="00E40759" w:rsidP="003A0647">
      <w:pPr>
        <w:tabs>
          <w:tab w:val="left" w:pos="3969"/>
        </w:tabs>
        <w:ind w:left="1440" w:hanging="1440"/>
        <w:rPr>
          <w:rFonts w:ascii="Arial" w:eastAsia="Arial" w:hAnsi="Arial" w:cs="Arial"/>
        </w:rPr>
      </w:pPr>
      <w:r>
        <w:rPr>
          <w:rFonts w:ascii="Arial" w:eastAsia="Arial" w:hAnsi="Arial" w:cs="Arial"/>
        </w:rPr>
        <w:t xml:space="preserve">For the </w:t>
      </w:r>
      <w:r w:rsidR="003A0647">
        <w:rPr>
          <w:rFonts w:ascii="Arial" w:eastAsia="Arial" w:hAnsi="Arial" w:cs="Arial"/>
        </w:rPr>
        <w:t>appellant:</w:t>
      </w:r>
      <w:r w:rsidR="003A0647">
        <w:rPr>
          <w:rFonts w:ascii="Arial" w:eastAsia="Arial" w:hAnsi="Arial" w:cs="Arial"/>
        </w:rPr>
        <w:tab/>
        <w:t xml:space="preserve">T </w:t>
      </w:r>
      <w:proofErr w:type="spellStart"/>
      <w:r w:rsidR="003A0647">
        <w:rPr>
          <w:rFonts w:ascii="Arial" w:eastAsia="Arial" w:hAnsi="Arial" w:cs="Arial"/>
        </w:rPr>
        <w:t>Masuku</w:t>
      </w:r>
      <w:proofErr w:type="spellEnd"/>
      <w:r>
        <w:rPr>
          <w:rFonts w:ascii="Arial" w:eastAsia="Arial" w:hAnsi="Arial" w:cs="Arial"/>
        </w:rPr>
        <w:t xml:space="preserve"> </w:t>
      </w:r>
      <w:r w:rsidR="003A0647">
        <w:rPr>
          <w:rFonts w:ascii="Arial" w:eastAsia="Arial" w:hAnsi="Arial" w:cs="Arial"/>
        </w:rPr>
        <w:t xml:space="preserve">SC, K </w:t>
      </w:r>
      <w:proofErr w:type="spellStart"/>
      <w:r w:rsidR="003A0647">
        <w:rPr>
          <w:rFonts w:ascii="Arial" w:eastAsia="Arial" w:hAnsi="Arial" w:cs="Arial"/>
        </w:rPr>
        <w:t>Mathipa</w:t>
      </w:r>
      <w:proofErr w:type="spellEnd"/>
      <w:r w:rsidR="003A0647">
        <w:rPr>
          <w:rFonts w:ascii="Arial" w:eastAsia="Arial" w:hAnsi="Arial" w:cs="Arial"/>
        </w:rPr>
        <w:t xml:space="preserve"> and T </w:t>
      </w:r>
      <w:proofErr w:type="spellStart"/>
      <w:r w:rsidR="003A0647">
        <w:rPr>
          <w:rFonts w:ascii="Arial" w:eastAsia="Arial" w:hAnsi="Arial" w:cs="Arial"/>
        </w:rPr>
        <w:t>Ngubeni</w:t>
      </w:r>
      <w:proofErr w:type="spellEnd"/>
    </w:p>
    <w:p w14:paraId="4EF77BE6" w14:textId="3E46983F" w:rsidR="00E1078C" w:rsidRPr="00E40759" w:rsidRDefault="00E1078C" w:rsidP="00E1078C">
      <w:pPr>
        <w:tabs>
          <w:tab w:val="left" w:pos="3969"/>
        </w:tabs>
        <w:rPr>
          <w:rFonts w:ascii="Arial" w:eastAsia="Arial" w:hAnsi="Arial" w:cs="Arial"/>
        </w:rPr>
      </w:pPr>
      <w:r>
        <w:rPr>
          <w:rFonts w:ascii="Arial" w:eastAsia="Arial" w:hAnsi="Arial" w:cs="Arial"/>
        </w:rPr>
        <w:t>Instructed</w:t>
      </w:r>
      <w:r w:rsidR="00D405E8">
        <w:rPr>
          <w:rFonts w:ascii="Arial" w:eastAsia="Arial" w:hAnsi="Arial" w:cs="Arial"/>
        </w:rPr>
        <w:t xml:space="preserve"> by:</w:t>
      </w:r>
      <w:r w:rsidR="00D405E8">
        <w:rPr>
          <w:rFonts w:ascii="Arial" w:eastAsia="Arial" w:hAnsi="Arial" w:cs="Arial"/>
        </w:rPr>
        <w:tab/>
      </w:r>
      <w:proofErr w:type="spellStart"/>
      <w:r w:rsidR="003A0647">
        <w:rPr>
          <w:rFonts w:ascii="Arial" w:eastAsia="Arial" w:hAnsi="Arial" w:cs="Arial"/>
        </w:rPr>
        <w:t>Bokwa</w:t>
      </w:r>
      <w:proofErr w:type="spellEnd"/>
      <w:r w:rsidR="003A0647">
        <w:rPr>
          <w:rFonts w:ascii="Arial" w:eastAsia="Arial" w:hAnsi="Arial" w:cs="Arial"/>
        </w:rPr>
        <w:t xml:space="preserve"> Law Inc., Pretoria</w:t>
      </w:r>
    </w:p>
    <w:p w14:paraId="3A4C3E5A" w14:textId="745799A2" w:rsidR="00E1078C" w:rsidRDefault="00E1078C" w:rsidP="00F41B1C">
      <w:pPr>
        <w:tabs>
          <w:tab w:val="left" w:pos="3969"/>
        </w:tabs>
        <w:rPr>
          <w:rFonts w:ascii="Arial" w:eastAsia="Arial" w:hAnsi="Arial" w:cs="Arial"/>
        </w:rPr>
      </w:pPr>
      <w:r w:rsidRPr="00E40759">
        <w:rPr>
          <w:rFonts w:ascii="Arial" w:eastAsia="Arial" w:hAnsi="Arial" w:cs="Arial"/>
        </w:rPr>
        <w:tab/>
      </w:r>
      <w:proofErr w:type="spellStart"/>
      <w:r w:rsidR="003A0647">
        <w:rPr>
          <w:rFonts w:ascii="Arial" w:eastAsia="Arial" w:hAnsi="Arial" w:cs="Arial"/>
        </w:rPr>
        <w:t>Bokwa</w:t>
      </w:r>
      <w:proofErr w:type="spellEnd"/>
      <w:r w:rsidR="003A0647">
        <w:rPr>
          <w:rFonts w:ascii="Arial" w:eastAsia="Arial" w:hAnsi="Arial" w:cs="Arial"/>
        </w:rPr>
        <w:t xml:space="preserve"> </w:t>
      </w:r>
      <w:r w:rsidR="00D405E8">
        <w:rPr>
          <w:rFonts w:ascii="Arial" w:eastAsia="Arial" w:hAnsi="Arial" w:cs="Arial"/>
        </w:rPr>
        <w:t>Attorneys</w:t>
      </w:r>
      <w:r w:rsidRPr="00E40759">
        <w:rPr>
          <w:rFonts w:ascii="Arial" w:eastAsia="Arial" w:hAnsi="Arial" w:cs="Arial"/>
        </w:rPr>
        <w:t>, Bloemfontein</w:t>
      </w:r>
    </w:p>
    <w:p w14:paraId="5A55D2A2" w14:textId="5730DA81" w:rsidR="00F41B1C" w:rsidRPr="00E40759" w:rsidRDefault="00F41B1C" w:rsidP="0060751C">
      <w:pPr>
        <w:tabs>
          <w:tab w:val="left" w:pos="3969"/>
        </w:tabs>
        <w:rPr>
          <w:rFonts w:ascii="Arial" w:eastAsia="Arial" w:hAnsi="Arial" w:cs="Arial"/>
        </w:rPr>
      </w:pPr>
    </w:p>
    <w:p w14:paraId="62CD8DDE" w14:textId="2324704C" w:rsidR="00C77D90" w:rsidRDefault="00C77D90" w:rsidP="00C77D90">
      <w:pPr>
        <w:tabs>
          <w:tab w:val="left" w:pos="3969"/>
        </w:tabs>
        <w:rPr>
          <w:rFonts w:ascii="Arial" w:eastAsia="Arial" w:hAnsi="Arial" w:cs="Arial"/>
        </w:rPr>
      </w:pPr>
      <w:r w:rsidRPr="00E40759">
        <w:rPr>
          <w:rFonts w:ascii="Arial" w:eastAsia="Arial" w:hAnsi="Arial" w:cs="Arial"/>
        </w:rPr>
        <w:t xml:space="preserve">For the </w:t>
      </w:r>
      <w:r w:rsidR="00315BFE">
        <w:rPr>
          <w:rFonts w:ascii="Arial" w:eastAsia="Arial" w:hAnsi="Arial" w:cs="Arial"/>
        </w:rPr>
        <w:t>first &amp; second respondents:</w:t>
      </w:r>
      <w:r w:rsidR="00315BFE">
        <w:rPr>
          <w:rFonts w:ascii="Arial" w:eastAsia="Arial" w:hAnsi="Arial" w:cs="Arial"/>
        </w:rPr>
        <w:tab/>
        <w:t xml:space="preserve">J </w:t>
      </w:r>
      <w:proofErr w:type="spellStart"/>
      <w:r w:rsidR="00315BFE">
        <w:rPr>
          <w:rFonts w:ascii="Arial" w:eastAsia="Arial" w:hAnsi="Arial" w:cs="Arial"/>
        </w:rPr>
        <w:t>Motepe</w:t>
      </w:r>
      <w:proofErr w:type="spellEnd"/>
      <w:r>
        <w:rPr>
          <w:rFonts w:ascii="Arial" w:eastAsia="Arial" w:hAnsi="Arial" w:cs="Arial"/>
        </w:rPr>
        <w:t xml:space="preserve"> </w:t>
      </w:r>
      <w:r w:rsidRPr="00E40759">
        <w:rPr>
          <w:rFonts w:ascii="Arial" w:eastAsia="Arial" w:hAnsi="Arial" w:cs="Arial"/>
        </w:rPr>
        <w:t>SC and</w:t>
      </w:r>
      <w:r w:rsidR="00315BFE">
        <w:rPr>
          <w:rFonts w:ascii="Arial" w:eastAsia="Arial" w:hAnsi="Arial" w:cs="Arial"/>
        </w:rPr>
        <w:t xml:space="preserve"> B </w:t>
      </w:r>
      <w:proofErr w:type="spellStart"/>
      <w:r w:rsidR="00315BFE">
        <w:rPr>
          <w:rFonts w:ascii="Arial" w:eastAsia="Arial" w:hAnsi="Arial" w:cs="Arial"/>
        </w:rPr>
        <w:t>Lukhele</w:t>
      </w:r>
      <w:proofErr w:type="spellEnd"/>
    </w:p>
    <w:p w14:paraId="02C86B6C" w14:textId="5BE73A3F" w:rsidR="00C77D90" w:rsidRPr="00E40759" w:rsidRDefault="00C77D90" w:rsidP="00C77D90">
      <w:pPr>
        <w:tabs>
          <w:tab w:val="left" w:pos="3969"/>
        </w:tabs>
        <w:rPr>
          <w:rFonts w:ascii="Arial" w:eastAsia="Arial" w:hAnsi="Arial" w:cs="Arial"/>
        </w:rPr>
      </w:pPr>
      <w:r>
        <w:rPr>
          <w:rFonts w:ascii="Arial" w:eastAsia="Arial" w:hAnsi="Arial" w:cs="Arial"/>
        </w:rPr>
        <w:t>I</w:t>
      </w:r>
      <w:r w:rsidRPr="00E40759">
        <w:rPr>
          <w:rFonts w:ascii="Arial" w:eastAsia="Arial" w:hAnsi="Arial" w:cs="Arial"/>
        </w:rPr>
        <w:t>nstruct</w:t>
      </w:r>
      <w:r w:rsidR="00315BFE">
        <w:rPr>
          <w:rFonts w:ascii="Arial" w:eastAsia="Arial" w:hAnsi="Arial" w:cs="Arial"/>
        </w:rPr>
        <w:t>ed by:</w:t>
      </w:r>
      <w:r w:rsidR="00315BFE">
        <w:rPr>
          <w:rFonts w:ascii="Arial" w:eastAsia="Arial" w:hAnsi="Arial" w:cs="Arial"/>
        </w:rPr>
        <w:tab/>
      </w:r>
      <w:proofErr w:type="spellStart"/>
      <w:r w:rsidR="00315BFE">
        <w:rPr>
          <w:rFonts w:ascii="Arial" w:eastAsia="Arial" w:hAnsi="Arial" w:cs="Arial"/>
        </w:rPr>
        <w:t>Werksmans</w:t>
      </w:r>
      <w:proofErr w:type="spellEnd"/>
      <w:r>
        <w:rPr>
          <w:rFonts w:ascii="Arial" w:eastAsia="Arial" w:hAnsi="Arial" w:cs="Arial"/>
        </w:rPr>
        <w:t xml:space="preserve"> Attorney</w:t>
      </w:r>
      <w:r w:rsidR="00315BFE">
        <w:rPr>
          <w:rFonts w:ascii="Arial" w:eastAsia="Arial" w:hAnsi="Arial" w:cs="Arial"/>
        </w:rPr>
        <w:t>s, Johannesburg</w:t>
      </w:r>
    </w:p>
    <w:p w14:paraId="5DCDC5AE" w14:textId="0E863467" w:rsidR="00C77D90" w:rsidRDefault="00315BFE" w:rsidP="00C77D90">
      <w:pPr>
        <w:tabs>
          <w:tab w:val="left" w:pos="3969"/>
        </w:tabs>
        <w:rPr>
          <w:rFonts w:ascii="Arial" w:eastAsia="Arial" w:hAnsi="Arial" w:cs="Arial"/>
        </w:rPr>
      </w:pPr>
      <w:r>
        <w:rPr>
          <w:rFonts w:ascii="Arial" w:eastAsia="Arial" w:hAnsi="Arial" w:cs="Arial"/>
        </w:rPr>
        <w:tab/>
        <w:t>Honey Attorneys</w:t>
      </w:r>
      <w:r w:rsidR="00C77D90" w:rsidRPr="00E40759">
        <w:rPr>
          <w:rFonts w:ascii="Arial" w:eastAsia="Arial" w:hAnsi="Arial" w:cs="Arial"/>
        </w:rPr>
        <w:t>, Bloemfontein</w:t>
      </w:r>
    </w:p>
    <w:p w14:paraId="0DEBB2BB" w14:textId="77777777" w:rsidR="00C77D90" w:rsidRDefault="00C77D90" w:rsidP="00F41B1C">
      <w:pPr>
        <w:tabs>
          <w:tab w:val="left" w:pos="3969"/>
        </w:tabs>
        <w:rPr>
          <w:rFonts w:ascii="Arial" w:eastAsia="Arial" w:hAnsi="Arial" w:cs="Arial"/>
        </w:rPr>
      </w:pPr>
    </w:p>
    <w:sectPr w:rsidR="00C77D90" w:rsidSect="00FC45E9">
      <w:headerReference w:type="defaul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3269" w14:textId="77777777" w:rsidR="00022A15" w:rsidRDefault="00022A15" w:rsidP="00182449">
      <w:pPr>
        <w:spacing w:line="240" w:lineRule="auto"/>
      </w:pPr>
      <w:r>
        <w:separator/>
      </w:r>
    </w:p>
  </w:endnote>
  <w:endnote w:type="continuationSeparator" w:id="0">
    <w:p w14:paraId="234598FB" w14:textId="77777777" w:rsidR="00022A15" w:rsidRDefault="00022A15" w:rsidP="0018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068D5" w14:textId="77777777" w:rsidR="00022A15" w:rsidRDefault="00022A15" w:rsidP="00182449">
      <w:pPr>
        <w:spacing w:line="240" w:lineRule="auto"/>
      </w:pPr>
      <w:r>
        <w:separator/>
      </w:r>
    </w:p>
  </w:footnote>
  <w:footnote w:type="continuationSeparator" w:id="0">
    <w:p w14:paraId="6E2F7641" w14:textId="77777777" w:rsidR="00022A15" w:rsidRDefault="00022A15" w:rsidP="00182449">
      <w:pPr>
        <w:spacing w:line="240" w:lineRule="auto"/>
      </w:pPr>
      <w:r>
        <w:continuationSeparator/>
      </w:r>
    </w:p>
  </w:footnote>
  <w:footnote w:id="1">
    <w:p w14:paraId="27E6BF9F" w14:textId="77777777" w:rsidR="00EC5EB4" w:rsidRPr="00D660B8" w:rsidRDefault="00EC5EB4" w:rsidP="00866E3B">
      <w:pPr>
        <w:pStyle w:val="Heading2"/>
        <w:shd w:val="clear" w:color="auto" w:fill="FFFFFF"/>
        <w:spacing w:before="0" w:line="240" w:lineRule="auto"/>
        <w:rPr>
          <w:rFonts w:ascii="Arial" w:eastAsia="Times New Roman" w:hAnsi="Arial" w:cs="Arial"/>
          <w:color w:val="auto"/>
          <w:sz w:val="20"/>
          <w:szCs w:val="20"/>
        </w:rPr>
      </w:pPr>
      <w:r w:rsidRPr="00D660B8">
        <w:rPr>
          <w:rStyle w:val="FootnoteReference"/>
          <w:rFonts w:ascii="Arial" w:hAnsi="Arial" w:cs="Arial"/>
          <w:color w:val="auto"/>
          <w:sz w:val="20"/>
          <w:szCs w:val="20"/>
        </w:rPr>
        <w:footnoteRef/>
      </w:r>
      <w:r w:rsidRPr="00D660B8">
        <w:rPr>
          <w:rFonts w:ascii="Arial" w:hAnsi="Arial" w:cs="Arial"/>
          <w:color w:val="auto"/>
          <w:sz w:val="20"/>
          <w:szCs w:val="20"/>
        </w:rPr>
        <w:t xml:space="preserve"> </w:t>
      </w:r>
      <w:r w:rsidRPr="00D660B8">
        <w:rPr>
          <w:rFonts w:ascii="Arial" w:eastAsia="Times New Roman" w:hAnsi="Arial" w:cs="Arial"/>
          <w:i/>
          <w:iCs/>
          <w:color w:val="auto"/>
          <w:sz w:val="20"/>
          <w:szCs w:val="20"/>
        </w:rPr>
        <w:t xml:space="preserve">South African Broadcasting Corporation </w:t>
      </w:r>
      <w:proofErr w:type="spellStart"/>
      <w:r w:rsidRPr="00D660B8">
        <w:rPr>
          <w:rFonts w:ascii="Arial" w:eastAsia="Times New Roman" w:hAnsi="Arial" w:cs="Arial"/>
          <w:i/>
          <w:iCs/>
          <w:color w:val="auto"/>
          <w:sz w:val="20"/>
          <w:szCs w:val="20"/>
        </w:rPr>
        <w:t>Soc</w:t>
      </w:r>
      <w:proofErr w:type="spellEnd"/>
      <w:r w:rsidRPr="00D660B8">
        <w:rPr>
          <w:rFonts w:ascii="Arial" w:eastAsia="Times New Roman" w:hAnsi="Arial" w:cs="Arial"/>
          <w:i/>
          <w:iCs/>
          <w:color w:val="auto"/>
          <w:sz w:val="20"/>
          <w:szCs w:val="20"/>
        </w:rPr>
        <w:t xml:space="preserve"> Ltd and Others </w:t>
      </w:r>
      <w:proofErr w:type="gramStart"/>
      <w:r w:rsidRPr="00D660B8">
        <w:rPr>
          <w:rFonts w:ascii="Arial" w:eastAsia="Times New Roman" w:hAnsi="Arial" w:cs="Arial"/>
          <w:i/>
          <w:iCs/>
          <w:color w:val="auto"/>
          <w:sz w:val="20"/>
          <w:szCs w:val="20"/>
        </w:rPr>
        <w:t>v</w:t>
      </w:r>
      <w:proofErr w:type="gramEnd"/>
      <w:r w:rsidRPr="00D660B8">
        <w:rPr>
          <w:rFonts w:ascii="Arial" w:eastAsia="Times New Roman" w:hAnsi="Arial" w:cs="Arial"/>
          <w:i/>
          <w:iCs/>
          <w:color w:val="auto"/>
          <w:sz w:val="20"/>
          <w:szCs w:val="20"/>
        </w:rPr>
        <w:t xml:space="preserve"> Democratic Alliance and Others</w:t>
      </w:r>
      <w:r w:rsidRPr="00D660B8">
        <w:rPr>
          <w:rFonts w:ascii="Arial" w:eastAsia="Times New Roman" w:hAnsi="Arial" w:cs="Arial"/>
          <w:color w:val="auto"/>
          <w:sz w:val="20"/>
          <w:szCs w:val="20"/>
        </w:rPr>
        <w:t xml:space="preserve"> [2015] ZASCA 156; [2015] 4 All SA 7</w:t>
      </w:r>
      <w:r>
        <w:rPr>
          <w:rFonts w:ascii="Arial" w:eastAsia="Times New Roman" w:hAnsi="Arial" w:cs="Arial"/>
          <w:color w:val="auto"/>
          <w:sz w:val="20"/>
          <w:szCs w:val="20"/>
        </w:rPr>
        <w:t>19 (SCA); 2016 (2) SA 522 (SCA).</w:t>
      </w:r>
    </w:p>
  </w:footnote>
  <w:footnote w:id="2">
    <w:p w14:paraId="7074BC78" w14:textId="77777777" w:rsidR="00EC5EB4" w:rsidRPr="00EE37CB" w:rsidRDefault="00EC5EB4" w:rsidP="00866E3B">
      <w:pPr>
        <w:pStyle w:val="FootnoteText"/>
        <w:spacing w:line="240" w:lineRule="auto"/>
        <w:rPr>
          <w:rFonts w:ascii="Arial" w:hAnsi="Arial" w:cs="Arial"/>
        </w:rPr>
      </w:pPr>
      <w:r w:rsidRPr="00EE37CB">
        <w:rPr>
          <w:rStyle w:val="FootnoteReference"/>
          <w:rFonts w:ascii="Arial" w:hAnsi="Arial" w:cs="Arial"/>
        </w:rPr>
        <w:footnoteRef/>
      </w:r>
      <w:r w:rsidRPr="00EE37CB">
        <w:rPr>
          <w:rFonts w:ascii="Arial" w:hAnsi="Arial" w:cs="Arial"/>
        </w:rPr>
        <w:t xml:space="preserve"> The Special Investigating Unit is an Organ of State established by Proclamation No. R.118 of 2001 (Government Gazette No 22531 dated 31 July 2001) issued pursuant to the provisions of s 2(1)(a) of the </w:t>
      </w:r>
      <w:bookmarkStart w:id="1" w:name="_Hlk163643210"/>
      <w:r w:rsidRPr="00EE37CB">
        <w:rPr>
          <w:rFonts w:ascii="Arial" w:hAnsi="Arial" w:cs="Arial"/>
        </w:rPr>
        <w:t>Special Investigating Unit and Special Tribunals Act 74 of 1996</w:t>
      </w:r>
      <w:bookmarkEnd w:id="1"/>
      <w:r w:rsidRPr="00EE37CB">
        <w:rPr>
          <w:rFonts w:ascii="Arial" w:hAnsi="Arial" w:cs="Arial"/>
        </w:rPr>
        <w:t>.</w:t>
      </w:r>
    </w:p>
  </w:footnote>
  <w:footnote w:id="3">
    <w:p w14:paraId="496F3776" w14:textId="218DBBFE" w:rsidR="00EC5EB4" w:rsidRPr="009E1590" w:rsidRDefault="00EC5EB4" w:rsidP="00866E3B">
      <w:pPr>
        <w:pStyle w:val="FootnoteText"/>
        <w:spacing w:line="240" w:lineRule="auto"/>
        <w:rPr>
          <w:rFonts w:ascii="Arial" w:hAnsi="Arial" w:cs="Arial"/>
        </w:rPr>
      </w:pPr>
      <w:r w:rsidRPr="009E1590">
        <w:rPr>
          <w:rStyle w:val="FootnoteReference"/>
          <w:rFonts w:ascii="Arial" w:hAnsi="Arial" w:cs="Arial"/>
        </w:rPr>
        <w:footnoteRef/>
      </w:r>
      <w:r w:rsidRPr="009E1590">
        <w:rPr>
          <w:rFonts w:ascii="Arial" w:hAnsi="Arial" w:cs="Arial"/>
        </w:rPr>
        <w:t xml:space="preserve"> </w:t>
      </w:r>
      <w:r w:rsidRPr="009E1590">
        <w:rPr>
          <w:rFonts w:ascii="Arial" w:hAnsi="Arial" w:cs="Arial"/>
          <w:lang w:val="en-US"/>
        </w:rPr>
        <w:t>Proclamation No. R.29 of 2017 published in Government Gazette No 41086</w:t>
      </w:r>
      <w:r w:rsidR="009E1590">
        <w:rPr>
          <w:rFonts w:ascii="Arial" w:hAnsi="Arial" w:cs="Arial"/>
          <w:lang w:val="en-US"/>
        </w:rPr>
        <w:t>, 1 September 2017</w:t>
      </w:r>
      <w:r w:rsidRPr="009E1590">
        <w:rPr>
          <w:rFonts w:ascii="Arial" w:hAnsi="Arial" w:cs="Arial"/>
          <w:lang w:val="en-US"/>
        </w:rPr>
        <w:t>.</w:t>
      </w:r>
    </w:p>
  </w:footnote>
  <w:footnote w:id="4">
    <w:p w14:paraId="66A08FE5" w14:textId="0527AB09" w:rsidR="00EC5EB4" w:rsidRPr="0077203C" w:rsidRDefault="00EC5EB4" w:rsidP="0077203C">
      <w:pPr>
        <w:spacing w:line="240" w:lineRule="auto"/>
        <w:rPr>
          <w:rFonts w:ascii="Arial" w:hAnsi="Arial" w:cs="Arial"/>
          <w:sz w:val="20"/>
          <w:szCs w:val="20"/>
        </w:rPr>
      </w:pPr>
      <w:r w:rsidRPr="00FC06A5">
        <w:rPr>
          <w:rStyle w:val="FootnoteReference"/>
          <w:rFonts w:ascii="Arial" w:hAnsi="Arial" w:cs="Arial"/>
          <w:sz w:val="20"/>
          <w:szCs w:val="20"/>
        </w:rPr>
        <w:footnoteRef/>
      </w:r>
      <w:r w:rsidRPr="00FC06A5">
        <w:rPr>
          <w:rFonts w:ascii="Arial" w:hAnsi="Arial" w:cs="Arial"/>
          <w:sz w:val="20"/>
          <w:szCs w:val="20"/>
        </w:rPr>
        <w:t xml:space="preserve"> </w:t>
      </w:r>
      <w:proofErr w:type="spellStart"/>
      <w:r w:rsidRPr="00FC06A5">
        <w:rPr>
          <w:rFonts w:ascii="Arial" w:hAnsi="Arial" w:cs="Arial"/>
          <w:i/>
          <w:iCs/>
          <w:sz w:val="20"/>
          <w:szCs w:val="20"/>
        </w:rPr>
        <w:t>Dengetenge</w:t>
      </w:r>
      <w:proofErr w:type="spellEnd"/>
      <w:r w:rsidRPr="00FC06A5">
        <w:rPr>
          <w:rFonts w:ascii="Arial" w:hAnsi="Arial" w:cs="Arial"/>
          <w:i/>
          <w:iCs/>
          <w:sz w:val="20"/>
          <w:szCs w:val="20"/>
        </w:rPr>
        <w:t xml:space="preserve"> Holdings (Pty) Ltd v Southern Sphere Mining and Development Company Ltd and Others</w:t>
      </w:r>
      <w:r w:rsidRPr="00FC06A5">
        <w:rPr>
          <w:rFonts w:ascii="Arial" w:hAnsi="Arial" w:cs="Arial"/>
          <w:sz w:val="20"/>
          <w:szCs w:val="20"/>
        </w:rPr>
        <w:t xml:space="preserve"> [2013] ZASCA 5; [2013] 2 All SA 251 (SCA) para 11.</w:t>
      </w:r>
    </w:p>
  </w:footnote>
  <w:footnote w:id="5">
    <w:p w14:paraId="6DB98392" w14:textId="77777777" w:rsidR="00DF71F1" w:rsidRPr="00955A21" w:rsidRDefault="00DF71F1" w:rsidP="00DF71F1">
      <w:pPr>
        <w:pStyle w:val="FootnoteText"/>
        <w:spacing w:line="240" w:lineRule="auto"/>
        <w:rPr>
          <w:rFonts w:ascii="Arial" w:hAnsi="Arial" w:cs="Arial"/>
        </w:rPr>
      </w:pPr>
      <w:r w:rsidRPr="00027957">
        <w:rPr>
          <w:rStyle w:val="FootnoteReference"/>
          <w:rFonts w:ascii="Arial" w:hAnsi="Arial" w:cs="Arial"/>
        </w:rPr>
        <w:footnoteRef/>
      </w:r>
      <w:r w:rsidRPr="00027957">
        <w:rPr>
          <w:rFonts w:ascii="Arial" w:hAnsi="Arial" w:cs="Arial"/>
        </w:rPr>
        <w:t xml:space="preserve"> See by way of example </w:t>
      </w:r>
      <w:proofErr w:type="spellStart"/>
      <w:r w:rsidRPr="00027957">
        <w:rPr>
          <w:rFonts w:ascii="Arial" w:hAnsi="Arial" w:cs="Arial"/>
          <w:i/>
        </w:rPr>
        <w:t>Ntlanyeni</w:t>
      </w:r>
      <w:proofErr w:type="spellEnd"/>
      <w:r w:rsidRPr="00027957">
        <w:rPr>
          <w:rFonts w:ascii="Arial" w:hAnsi="Arial" w:cs="Arial"/>
          <w:i/>
        </w:rPr>
        <w:t xml:space="preserve"> v S </w:t>
      </w:r>
      <w:r w:rsidRPr="00027957">
        <w:rPr>
          <w:rFonts w:ascii="Arial" w:hAnsi="Arial" w:cs="Arial"/>
        </w:rPr>
        <w:t xml:space="preserve">[2016] ZASCA 3; 2016 (1) SACR 581 (SCA) and </w:t>
      </w:r>
      <w:proofErr w:type="spellStart"/>
      <w:r w:rsidRPr="00027957">
        <w:rPr>
          <w:rFonts w:ascii="Arial" w:hAnsi="Arial" w:cs="Arial"/>
          <w:i/>
        </w:rPr>
        <w:t>Mathekola</w:t>
      </w:r>
      <w:proofErr w:type="spellEnd"/>
      <w:r w:rsidRPr="00027957">
        <w:rPr>
          <w:rFonts w:ascii="Arial" w:hAnsi="Arial" w:cs="Arial"/>
          <w:i/>
        </w:rPr>
        <w:t xml:space="preserve"> v State </w:t>
      </w:r>
      <w:r w:rsidRPr="00027957">
        <w:rPr>
          <w:rFonts w:ascii="Arial" w:hAnsi="Arial" w:cs="Arial"/>
        </w:rPr>
        <w:t>[2017] ZASCA 100.</w:t>
      </w:r>
    </w:p>
  </w:footnote>
  <w:footnote w:id="6">
    <w:p w14:paraId="6683CDAD" w14:textId="46307EA7" w:rsidR="00042A0D" w:rsidRPr="005E0F79" w:rsidRDefault="00042A0D" w:rsidP="00042A0D">
      <w:pPr>
        <w:pStyle w:val="FootnoteText"/>
        <w:spacing w:line="240" w:lineRule="auto"/>
        <w:rPr>
          <w:rFonts w:ascii="Arial" w:hAnsi="Arial" w:cs="Arial"/>
          <w:lang w:val="en-ZA"/>
        </w:rPr>
      </w:pPr>
      <w:r w:rsidRPr="00042A0D">
        <w:rPr>
          <w:rStyle w:val="FootnoteReference"/>
          <w:rFonts w:ascii="Arial" w:hAnsi="Arial" w:cs="Arial"/>
        </w:rPr>
        <w:footnoteRef/>
      </w:r>
      <w:r w:rsidRPr="00042A0D">
        <w:rPr>
          <w:rFonts w:ascii="Arial" w:hAnsi="Arial" w:cs="Arial"/>
        </w:rPr>
        <w:t xml:space="preserve"> </w:t>
      </w:r>
      <w:r w:rsidRPr="00042A0D">
        <w:rPr>
          <w:rFonts w:ascii="Arial" w:hAnsi="Arial" w:cs="Arial"/>
          <w:i/>
          <w:lang w:val="en-ZA"/>
        </w:rPr>
        <w:t xml:space="preserve">Director of Public Prosecutions, KwaZulu-Natal v </w:t>
      </w:r>
      <w:proofErr w:type="spellStart"/>
      <w:r w:rsidRPr="00042A0D">
        <w:rPr>
          <w:rFonts w:ascii="Arial" w:hAnsi="Arial" w:cs="Arial"/>
          <w:i/>
          <w:lang w:val="en-ZA"/>
        </w:rPr>
        <w:t>Ramdass</w:t>
      </w:r>
      <w:proofErr w:type="spellEnd"/>
      <w:r w:rsidRPr="00042A0D">
        <w:rPr>
          <w:rFonts w:ascii="Arial" w:hAnsi="Arial" w:cs="Arial"/>
          <w:i/>
          <w:lang w:val="en-ZA"/>
        </w:rPr>
        <w:t xml:space="preserve"> </w:t>
      </w:r>
      <w:r w:rsidRPr="005E0F79">
        <w:rPr>
          <w:rFonts w:ascii="Arial" w:hAnsi="Arial" w:cs="Arial"/>
          <w:lang w:val="en-ZA"/>
        </w:rPr>
        <w:t>[2019] ZASCA 23, 2019 (2) SACR 1 (SCA)</w:t>
      </w:r>
      <w:r w:rsidR="005E0F79" w:rsidRPr="005E0F79">
        <w:rPr>
          <w:rFonts w:ascii="Arial" w:hAnsi="Arial" w:cs="Arial"/>
          <w:lang w:val="en-ZA"/>
        </w:rPr>
        <w:t xml:space="preserve"> para 14.</w:t>
      </w:r>
    </w:p>
  </w:footnote>
  <w:footnote w:id="7">
    <w:p w14:paraId="4D5D7D64" w14:textId="1BB5C95F" w:rsidR="00513BD8" w:rsidRPr="005E0F79" w:rsidRDefault="00513BD8" w:rsidP="00042A0D">
      <w:pPr>
        <w:pStyle w:val="FootnoteText"/>
        <w:spacing w:line="240" w:lineRule="auto"/>
        <w:rPr>
          <w:rFonts w:ascii="Arial" w:hAnsi="Arial" w:cs="Arial"/>
          <w:lang w:val="en-US"/>
        </w:rPr>
      </w:pPr>
      <w:r w:rsidRPr="005E0F79">
        <w:rPr>
          <w:rStyle w:val="FootnoteReference"/>
          <w:rFonts w:ascii="Arial" w:hAnsi="Arial" w:cs="Arial"/>
        </w:rPr>
        <w:footnoteRef/>
      </w:r>
      <w:r w:rsidRPr="005E0F79">
        <w:rPr>
          <w:rFonts w:ascii="Arial" w:hAnsi="Arial" w:cs="Arial"/>
        </w:rPr>
        <w:t xml:space="preserve"> </w:t>
      </w:r>
      <w:proofErr w:type="spellStart"/>
      <w:r w:rsidRPr="005E0F79">
        <w:rPr>
          <w:rFonts w:ascii="Arial" w:hAnsi="Arial" w:cs="Arial"/>
          <w:i/>
          <w:iCs/>
        </w:rPr>
        <w:t>Liesching</w:t>
      </w:r>
      <w:proofErr w:type="spellEnd"/>
      <w:r w:rsidRPr="005E0F79">
        <w:rPr>
          <w:rFonts w:ascii="Arial" w:hAnsi="Arial" w:cs="Arial"/>
          <w:i/>
          <w:iCs/>
        </w:rPr>
        <w:t xml:space="preserve"> and Others </w:t>
      </w:r>
      <w:proofErr w:type="gramStart"/>
      <w:r w:rsidRPr="005E0F79">
        <w:rPr>
          <w:rFonts w:ascii="Arial" w:hAnsi="Arial" w:cs="Arial"/>
          <w:i/>
          <w:iCs/>
        </w:rPr>
        <w:t>v</w:t>
      </w:r>
      <w:proofErr w:type="gramEnd"/>
      <w:r w:rsidRPr="005E0F79">
        <w:rPr>
          <w:rFonts w:ascii="Arial" w:hAnsi="Arial" w:cs="Arial"/>
          <w:i/>
          <w:iCs/>
        </w:rPr>
        <w:t xml:space="preserve"> S</w:t>
      </w:r>
      <w:r w:rsidRPr="005E0F79">
        <w:rPr>
          <w:rFonts w:ascii="Arial" w:hAnsi="Arial" w:cs="Arial"/>
        </w:rPr>
        <w:t xml:space="preserve"> [2018] ZACC 25; 2018 (11) BCLR 1349 (CC); 2019 (1) SACR</w:t>
      </w:r>
      <w:r w:rsidR="005E0F79">
        <w:rPr>
          <w:rFonts w:ascii="Arial" w:hAnsi="Arial" w:cs="Arial"/>
        </w:rPr>
        <w:t xml:space="preserve"> 178 (CC); 2019 (4) SA 219 (CC) </w:t>
      </w:r>
      <w:r w:rsidRPr="005E0F79">
        <w:rPr>
          <w:rFonts w:ascii="Arial" w:hAnsi="Arial" w:cs="Arial"/>
        </w:rPr>
        <w:t>para</w:t>
      </w:r>
      <w:r w:rsidR="00E52A24">
        <w:rPr>
          <w:rFonts w:ascii="Arial" w:hAnsi="Arial" w:cs="Arial"/>
        </w:rPr>
        <w:t>s</w:t>
      </w:r>
      <w:r w:rsidRPr="005E0F79">
        <w:rPr>
          <w:rFonts w:ascii="Arial" w:hAnsi="Arial" w:cs="Arial"/>
        </w:rPr>
        <w:t xml:space="preserve"> </w:t>
      </w:r>
      <w:r w:rsidR="00E52A24">
        <w:rPr>
          <w:rFonts w:ascii="Arial" w:hAnsi="Arial" w:cs="Arial"/>
        </w:rPr>
        <w:t>136-137</w:t>
      </w:r>
      <w:r w:rsidRPr="005E0F79">
        <w:rPr>
          <w:rFonts w:ascii="Arial" w:hAnsi="Arial" w:cs="Arial"/>
        </w:rPr>
        <w:t>.</w:t>
      </w:r>
    </w:p>
  </w:footnote>
  <w:footnote w:id="8">
    <w:p w14:paraId="422D799D" w14:textId="77777777" w:rsidR="00513BD8" w:rsidRPr="005E0F79" w:rsidRDefault="00513BD8" w:rsidP="00042A0D">
      <w:pPr>
        <w:pStyle w:val="FootnoteText"/>
        <w:spacing w:line="240" w:lineRule="auto"/>
        <w:rPr>
          <w:rFonts w:ascii="Arial" w:hAnsi="Arial" w:cs="Arial"/>
          <w:lang w:val="en-US"/>
        </w:rPr>
      </w:pPr>
      <w:r w:rsidRPr="005E0F79">
        <w:rPr>
          <w:rStyle w:val="FootnoteReference"/>
          <w:rFonts w:ascii="Arial" w:hAnsi="Arial" w:cs="Arial"/>
        </w:rPr>
        <w:footnoteRef/>
      </w:r>
      <w:r w:rsidRPr="005E0F79">
        <w:rPr>
          <w:rFonts w:ascii="Arial" w:hAnsi="Arial" w:cs="Arial"/>
        </w:rPr>
        <w:t xml:space="preserve"> </w:t>
      </w:r>
      <w:r w:rsidRPr="005E0F79">
        <w:rPr>
          <w:rFonts w:ascii="Arial" w:hAnsi="Arial" w:cs="Arial"/>
          <w:i/>
          <w:iCs/>
        </w:rPr>
        <w:t xml:space="preserve">Norwich Union Life Insurance Society v Dobbs </w:t>
      </w:r>
      <w:r w:rsidRPr="005E0F79">
        <w:rPr>
          <w:rFonts w:ascii="Arial" w:hAnsi="Arial" w:cs="Arial"/>
        </w:rPr>
        <w:t>1912 AD 395 at 399.</w:t>
      </w:r>
    </w:p>
  </w:footnote>
  <w:footnote w:id="9">
    <w:p w14:paraId="659F47F0" w14:textId="102B594F" w:rsidR="00513BD8" w:rsidRPr="005E0F79" w:rsidRDefault="00513BD8" w:rsidP="00042A0D">
      <w:pPr>
        <w:pStyle w:val="FootnoteText"/>
        <w:spacing w:line="240" w:lineRule="auto"/>
        <w:rPr>
          <w:rFonts w:ascii="Arial" w:hAnsi="Arial" w:cs="Arial"/>
          <w:i/>
          <w:iCs/>
          <w:lang w:val="en-US"/>
        </w:rPr>
      </w:pPr>
      <w:r w:rsidRPr="005E0F79">
        <w:rPr>
          <w:rStyle w:val="FootnoteReference"/>
          <w:rFonts w:ascii="Arial" w:hAnsi="Arial" w:cs="Arial"/>
        </w:rPr>
        <w:footnoteRef/>
      </w:r>
      <w:r w:rsidRPr="005E0F79">
        <w:rPr>
          <w:rFonts w:ascii="Arial" w:hAnsi="Arial" w:cs="Arial"/>
        </w:rPr>
        <w:t xml:space="preserve"> </w:t>
      </w:r>
      <w:r w:rsidRPr="005E0F79">
        <w:rPr>
          <w:rFonts w:ascii="Arial" w:hAnsi="Arial" w:cs="Arial"/>
          <w:i/>
          <w:iCs/>
        </w:rPr>
        <w:t xml:space="preserve">MV </w:t>
      </w:r>
      <w:proofErr w:type="spellStart"/>
      <w:r w:rsidRPr="005E0F79">
        <w:rPr>
          <w:rFonts w:ascii="Arial" w:hAnsi="Arial" w:cs="Arial"/>
          <w:i/>
          <w:iCs/>
        </w:rPr>
        <w:t>Ais</w:t>
      </w:r>
      <w:proofErr w:type="spellEnd"/>
      <w:r w:rsidRPr="005E0F79">
        <w:rPr>
          <w:rFonts w:ascii="Arial" w:hAnsi="Arial" w:cs="Arial"/>
          <w:i/>
          <w:iCs/>
        </w:rPr>
        <w:t xml:space="preserve"> Mamas </w:t>
      </w:r>
      <w:proofErr w:type="spellStart"/>
      <w:r w:rsidRPr="005E0F79">
        <w:rPr>
          <w:rFonts w:ascii="Arial" w:hAnsi="Arial" w:cs="Arial"/>
          <w:i/>
          <w:iCs/>
        </w:rPr>
        <w:t>Seatrans</w:t>
      </w:r>
      <w:proofErr w:type="spellEnd"/>
      <w:r w:rsidRPr="005E0F79">
        <w:rPr>
          <w:rFonts w:ascii="Arial" w:hAnsi="Arial" w:cs="Arial"/>
          <w:i/>
          <w:iCs/>
        </w:rPr>
        <w:t xml:space="preserve"> Maritime </w:t>
      </w:r>
      <w:proofErr w:type="gramStart"/>
      <w:r w:rsidRPr="005E0F79">
        <w:rPr>
          <w:rFonts w:ascii="Arial" w:hAnsi="Arial" w:cs="Arial"/>
          <w:i/>
          <w:iCs/>
        </w:rPr>
        <w:t>v</w:t>
      </w:r>
      <w:proofErr w:type="gramEnd"/>
      <w:r w:rsidRPr="005E0F79">
        <w:rPr>
          <w:rFonts w:ascii="Arial" w:hAnsi="Arial" w:cs="Arial"/>
          <w:i/>
          <w:iCs/>
        </w:rPr>
        <w:t xml:space="preserve"> Owners, MV </w:t>
      </w:r>
      <w:proofErr w:type="spellStart"/>
      <w:r w:rsidRPr="005E0F79">
        <w:rPr>
          <w:rFonts w:ascii="Arial" w:hAnsi="Arial" w:cs="Arial"/>
          <w:i/>
          <w:iCs/>
        </w:rPr>
        <w:t>Ais</w:t>
      </w:r>
      <w:proofErr w:type="spellEnd"/>
      <w:r w:rsidRPr="005E0F79">
        <w:rPr>
          <w:rFonts w:ascii="Arial" w:hAnsi="Arial" w:cs="Arial"/>
          <w:i/>
          <w:iCs/>
        </w:rPr>
        <w:t xml:space="preserve"> Mamas, and another </w:t>
      </w:r>
      <w:r w:rsidRPr="005E0F79">
        <w:rPr>
          <w:rFonts w:ascii="Arial" w:hAnsi="Arial" w:cs="Arial"/>
        </w:rPr>
        <w:t>2002 (6) SA 150 (C)</w:t>
      </w:r>
      <w:r w:rsidR="00D10F4E">
        <w:rPr>
          <w:rFonts w:ascii="Arial" w:hAnsi="Arial" w:cs="Arial"/>
        </w:rPr>
        <w:t xml:space="preserve"> at 156H-J</w:t>
      </w:r>
      <w:r w:rsidRPr="005E0F79">
        <w:rPr>
          <w:rFonts w:ascii="Arial" w:hAnsi="Arial" w:cs="Arial"/>
        </w:rPr>
        <w:t>.</w:t>
      </w:r>
    </w:p>
  </w:footnote>
  <w:footnote w:id="10">
    <w:p w14:paraId="316C938C" w14:textId="465A3FD9" w:rsidR="00513BD8" w:rsidRPr="005E0F79" w:rsidRDefault="00513BD8" w:rsidP="00042A0D">
      <w:pPr>
        <w:spacing w:line="240" w:lineRule="auto"/>
        <w:rPr>
          <w:rFonts w:ascii="Arial" w:hAnsi="Arial" w:cs="Arial"/>
          <w:sz w:val="20"/>
          <w:szCs w:val="20"/>
        </w:rPr>
      </w:pPr>
      <w:r w:rsidRPr="005E0F79">
        <w:rPr>
          <w:rStyle w:val="FootnoteReference"/>
          <w:rFonts w:ascii="Arial" w:hAnsi="Arial" w:cs="Arial"/>
          <w:sz w:val="20"/>
          <w:szCs w:val="20"/>
        </w:rPr>
        <w:footnoteRef/>
      </w:r>
      <w:r w:rsidRPr="005E0F79">
        <w:rPr>
          <w:rFonts w:ascii="Arial" w:hAnsi="Arial" w:cs="Arial"/>
          <w:sz w:val="20"/>
          <w:szCs w:val="20"/>
        </w:rPr>
        <w:t xml:space="preserve"> Where two Judges of the Supreme Court of Appeal dismissed Mr Van der Walt’s application for leave to appeal. A day later two other Judges granted an application in an identical matter brought by Mr </w:t>
      </w:r>
      <w:proofErr w:type="spellStart"/>
      <w:r w:rsidRPr="005E0F79">
        <w:rPr>
          <w:rFonts w:ascii="Arial" w:hAnsi="Arial" w:cs="Arial"/>
          <w:sz w:val="20"/>
          <w:szCs w:val="20"/>
        </w:rPr>
        <w:t>Kgatle</w:t>
      </w:r>
      <w:proofErr w:type="spellEnd"/>
      <w:r w:rsidRPr="005E0F79">
        <w:rPr>
          <w:rFonts w:ascii="Arial" w:hAnsi="Arial" w:cs="Arial"/>
          <w:sz w:val="20"/>
          <w:szCs w:val="20"/>
        </w:rPr>
        <w:t>. Subsequent events showed that the error lay in the grant o</w:t>
      </w:r>
      <w:r w:rsidR="005E0F79">
        <w:rPr>
          <w:rFonts w:ascii="Arial" w:hAnsi="Arial" w:cs="Arial"/>
          <w:sz w:val="20"/>
          <w:szCs w:val="20"/>
        </w:rPr>
        <w:t xml:space="preserve">f leave to appeal to Mr </w:t>
      </w:r>
      <w:proofErr w:type="spellStart"/>
      <w:r w:rsidR="005E0F79">
        <w:rPr>
          <w:rFonts w:ascii="Arial" w:hAnsi="Arial" w:cs="Arial"/>
          <w:sz w:val="20"/>
          <w:szCs w:val="20"/>
        </w:rPr>
        <w:t>Kgatle</w:t>
      </w:r>
      <w:proofErr w:type="spellEnd"/>
      <w:r w:rsidR="005E0F79">
        <w:rPr>
          <w:rFonts w:ascii="Arial" w:hAnsi="Arial" w:cs="Arial"/>
          <w:sz w:val="20"/>
          <w:szCs w:val="20"/>
        </w:rPr>
        <w:t xml:space="preserve">. </w:t>
      </w:r>
      <w:r w:rsidRPr="005E0F79">
        <w:rPr>
          <w:rFonts w:ascii="Arial" w:hAnsi="Arial" w:cs="Arial"/>
          <w:sz w:val="20"/>
          <w:szCs w:val="20"/>
        </w:rPr>
        <w:t xml:space="preserve">(See </w:t>
      </w:r>
      <w:r w:rsidRPr="005E0F79">
        <w:rPr>
          <w:rFonts w:ascii="Arial" w:hAnsi="Arial" w:cs="Arial"/>
          <w:i/>
          <w:iCs/>
          <w:sz w:val="20"/>
          <w:szCs w:val="20"/>
          <w:lang w:val="en-US"/>
        </w:rPr>
        <w:t>Van der Walt v Metcash Trading</w:t>
      </w:r>
      <w:r w:rsidR="005E0F79">
        <w:rPr>
          <w:rFonts w:ascii="Arial" w:hAnsi="Arial" w:cs="Arial"/>
          <w:sz w:val="20"/>
          <w:szCs w:val="20"/>
        </w:rPr>
        <w:t xml:space="preserve"> </w:t>
      </w:r>
      <w:r w:rsidRPr="005E0F79">
        <w:rPr>
          <w:rFonts w:ascii="Arial" w:hAnsi="Arial" w:cs="Arial"/>
          <w:i/>
          <w:iCs/>
          <w:sz w:val="20"/>
          <w:szCs w:val="20"/>
          <w:lang w:val="en-US"/>
        </w:rPr>
        <w:t>Ltd</w:t>
      </w:r>
      <w:r w:rsidR="005E0F79">
        <w:rPr>
          <w:rFonts w:ascii="Arial" w:hAnsi="Arial" w:cs="Arial"/>
          <w:sz w:val="20"/>
          <w:szCs w:val="20"/>
          <w:lang w:val="en-US"/>
        </w:rPr>
        <w:t xml:space="preserve"> </w:t>
      </w:r>
      <w:hyperlink r:id="rId1" w:tooltip="View Case" w:history="1">
        <w:r w:rsidRPr="005E0F79">
          <w:rPr>
            <w:rStyle w:val="Hyperlink"/>
            <w:rFonts w:ascii="Arial" w:hAnsi="Arial" w:cs="Arial"/>
            <w:color w:val="auto"/>
            <w:sz w:val="20"/>
            <w:szCs w:val="20"/>
            <w:u w:val="none"/>
          </w:rPr>
          <w:t>[2002] ZACC 4</w:t>
        </w:r>
      </w:hyperlink>
      <w:r w:rsidR="005E0F79">
        <w:rPr>
          <w:rFonts w:ascii="Arial" w:hAnsi="Arial" w:cs="Arial"/>
          <w:sz w:val="20"/>
          <w:szCs w:val="20"/>
        </w:rPr>
        <w:t xml:space="preserve">; </w:t>
      </w:r>
      <w:r w:rsidRPr="005E0F79">
        <w:rPr>
          <w:rFonts w:ascii="Arial" w:hAnsi="Arial" w:cs="Arial"/>
          <w:sz w:val="20"/>
          <w:szCs w:val="20"/>
          <w:lang w:val="en-US"/>
        </w:rPr>
        <w:t>2002 (</w:t>
      </w:r>
      <w:hyperlink r:id="rId2" w:tooltip="View Case" w:history="1">
        <w:r w:rsidRPr="005E0F79">
          <w:rPr>
            <w:rStyle w:val="Hyperlink"/>
            <w:rFonts w:ascii="Arial" w:hAnsi="Arial" w:cs="Arial"/>
            <w:color w:val="auto"/>
            <w:sz w:val="20"/>
            <w:szCs w:val="20"/>
            <w:u w:val="none"/>
            <w:lang w:val="en-US"/>
          </w:rPr>
          <w:t>[2002] ZACC 4</w:t>
        </w:r>
      </w:hyperlink>
      <w:r w:rsidR="005E0F79">
        <w:rPr>
          <w:rFonts w:ascii="Arial" w:hAnsi="Arial" w:cs="Arial"/>
          <w:sz w:val="20"/>
          <w:szCs w:val="20"/>
          <w:lang w:val="en-US"/>
        </w:rPr>
        <w:t xml:space="preserve">; </w:t>
      </w:r>
      <w:hyperlink r:id="rId3" w:tooltip="View LawCiteRecord" w:history="1">
        <w:r w:rsidRPr="005E0F79">
          <w:rPr>
            <w:rStyle w:val="Hyperlink"/>
            <w:rFonts w:ascii="Arial" w:hAnsi="Arial" w:cs="Arial"/>
            <w:color w:val="auto"/>
            <w:sz w:val="20"/>
            <w:szCs w:val="20"/>
            <w:u w:val="none"/>
            <w:lang w:val="en-US"/>
          </w:rPr>
          <w:t>4) SA 317</w:t>
        </w:r>
      </w:hyperlink>
      <w:r w:rsidR="005E0F79">
        <w:rPr>
          <w:rFonts w:ascii="Arial" w:hAnsi="Arial" w:cs="Arial"/>
          <w:sz w:val="20"/>
          <w:szCs w:val="20"/>
          <w:lang w:val="en-US"/>
        </w:rPr>
        <w:t xml:space="preserve"> (CC); </w:t>
      </w:r>
      <w:hyperlink r:id="rId4" w:tooltip="View LawCiteRecord" w:history="1">
        <w:r w:rsidRPr="005E0F79">
          <w:rPr>
            <w:rStyle w:val="Hyperlink"/>
            <w:rFonts w:ascii="Arial" w:hAnsi="Arial" w:cs="Arial"/>
            <w:color w:val="auto"/>
            <w:sz w:val="20"/>
            <w:szCs w:val="20"/>
            <w:u w:val="none"/>
          </w:rPr>
          <w:t>2002 (5) BCLR 454</w:t>
        </w:r>
      </w:hyperlink>
      <w:r w:rsidR="005E0F79">
        <w:rPr>
          <w:rFonts w:ascii="Arial" w:hAnsi="Arial" w:cs="Arial"/>
          <w:sz w:val="20"/>
          <w:szCs w:val="20"/>
        </w:rPr>
        <w:t xml:space="preserve"> (CC) and </w:t>
      </w:r>
      <w:proofErr w:type="spellStart"/>
      <w:r w:rsidR="005E0F79">
        <w:rPr>
          <w:rFonts w:ascii="Arial" w:hAnsi="Arial" w:cs="Arial"/>
          <w:i/>
          <w:iCs/>
          <w:sz w:val="20"/>
          <w:szCs w:val="20"/>
        </w:rPr>
        <w:t>Kgatle</w:t>
      </w:r>
      <w:proofErr w:type="spellEnd"/>
      <w:r w:rsidR="005E0F79">
        <w:rPr>
          <w:rFonts w:ascii="Arial" w:hAnsi="Arial" w:cs="Arial"/>
          <w:i/>
          <w:iCs/>
          <w:sz w:val="20"/>
          <w:szCs w:val="20"/>
        </w:rPr>
        <w:t xml:space="preserve"> v Metcash Trading Ltd </w:t>
      </w:r>
      <w:r w:rsidRPr="005E0F79">
        <w:rPr>
          <w:rFonts w:ascii="Arial" w:hAnsi="Arial" w:cs="Arial"/>
          <w:sz w:val="20"/>
          <w:szCs w:val="20"/>
        </w:rPr>
        <w:t>2004 (6) SA 410 (T).</w:t>
      </w:r>
    </w:p>
  </w:footnote>
  <w:footnote w:id="11">
    <w:p w14:paraId="2D651D0E" w14:textId="34E59B7B" w:rsidR="00513BD8" w:rsidRPr="005E0F79" w:rsidRDefault="00513BD8" w:rsidP="005E0F79">
      <w:pPr>
        <w:pStyle w:val="FootnoteText"/>
        <w:spacing w:line="240" w:lineRule="auto"/>
        <w:rPr>
          <w:rFonts w:ascii="Arial" w:hAnsi="Arial" w:cs="Arial"/>
          <w:lang w:val="en-US"/>
        </w:rPr>
      </w:pPr>
      <w:r w:rsidRPr="005E0F79">
        <w:rPr>
          <w:rStyle w:val="FootnoteReference"/>
          <w:rFonts w:ascii="Arial" w:hAnsi="Arial" w:cs="Arial"/>
        </w:rPr>
        <w:footnoteRef/>
      </w:r>
      <w:r w:rsidRPr="005E0F79">
        <w:rPr>
          <w:rFonts w:ascii="Arial" w:hAnsi="Arial" w:cs="Arial"/>
        </w:rPr>
        <w:t xml:space="preserve"> </w:t>
      </w:r>
      <w:proofErr w:type="spellStart"/>
      <w:r w:rsidRPr="005E0F79">
        <w:rPr>
          <w:rFonts w:ascii="Arial" w:hAnsi="Arial" w:cs="Arial"/>
          <w:i/>
          <w:iCs/>
          <w:shd w:val="clear" w:color="auto" w:fill="FFFFFF"/>
        </w:rPr>
        <w:t>Avnit</w:t>
      </w:r>
      <w:proofErr w:type="spellEnd"/>
      <w:r w:rsidRPr="005E0F79">
        <w:rPr>
          <w:rFonts w:ascii="Arial" w:hAnsi="Arial" w:cs="Arial"/>
          <w:i/>
          <w:iCs/>
          <w:shd w:val="clear" w:color="auto" w:fill="FFFFFF"/>
        </w:rPr>
        <w:t xml:space="preserve"> v First Rand </w:t>
      </w:r>
      <w:r w:rsidR="00D10F4E" w:rsidRPr="00103FB0">
        <w:rPr>
          <w:rFonts w:ascii="Arial" w:hAnsi="Arial" w:cs="Arial"/>
          <w:i/>
          <w:shd w:val="clear" w:color="auto" w:fill="FFFFFF"/>
        </w:rPr>
        <w:t>Bank Ltd</w:t>
      </w:r>
      <w:r w:rsidR="00D10F4E">
        <w:rPr>
          <w:rFonts w:ascii="Arial" w:hAnsi="Arial" w:cs="Arial"/>
          <w:shd w:val="clear" w:color="auto" w:fill="FFFFFF"/>
        </w:rPr>
        <w:t xml:space="preserve"> </w:t>
      </w:r>
      <w:r w:rsidR="00D10F4E" w:rsidRPr="00D10F4E">
        <w:rPr>
          <w:rFonts w:ascii="Arial" w:hAnsi="Arial" w:cs="Arial"/>
          <w:shd w:val="clear" w:color="auto" w:fill="FFFFFF"/>
        </w:rPr>
        <w:t xml:space="preserve">(20233/14) </w:t>
      </w:r>
      <w:hyperlink r:id="rId5" w:tooltip="View LawCiteRecord" w:history="1">
        <w:r w:rsidRPr="005E0F79">
          <w:rPr>
            <w:rStyle w:val="Hyperlink"/>
            <w:rFonts w:ascii="Arial" w:hAnsi="Arial" w:cs="Arial"/>
            <w:color w:val="auto"/>
            <w:u w:val="none"/>
            <w:shd w:val="clear" w:color="auto" w:fill="FFFFFF"/>
          </w:rPr>
          <w:t>[2014] ZASCA 132</w:t>
        </w:r>
      </w:hyperlink>
      <w:r w:rsidR="00D10F4E">
        <w:rPr>
          <w:rStyle w:val="Hyperlink"/>
          <w:rFonts w:ascii="Arial" w:hAnsi="Arial" w:cs="Arial"/>
          <w:color w:val="auto"/>
          <w:u w:val="none"/>
          <w:shd w:val="clear" w:color="auto" w:fill="FFFFFF"/>
        </w:rPr>
        <w:t xml:space="preserve"> </w:t>
      </w:r>
      <w:r w:rsidR="00D10F4E" w:rsidRPr="00D10F4E">
        <w:rPr>
          <w:rStyle w:val="Hyperlink"/>
          <w:rFonts w:ascii="Arial" w:hAnsi="Arial" w:cs="Arial"/>
          <w:color w:val="auto"/>
          <w:u w:val="none"/>
          <w:shd w:val="clear" w:color="auto" w:fill="FFFFFF"/>
        </w:rPr>
        <w:t>(23 September 2014)</w:t>
      </w:r>
      <w:r w:rsidR="00D10F4E">
        <w:rPr>
          <w:rFonts w:ascii="Arial" w:hAnsi="Arial" w:cs="Arial"/>
          <w:shd w:val="clear" w:color="auto" w:fill="FFFFFF"/>
        </w:rPr>
        <w:t xml:space="preserve"> </w:t>
      </w:r>
      <w:r w:rsidRPr="005E0F79">
        <w:rPr>
          <w:rFonts w:ascii="Arial" w:hAnsi="Arial" w:cs="Arial"/>
          <w:shd w:val="clear" w:color="auto" w:fill="FFFFFF"/>
        </w:rPr>
        <w:t xml:space="preserve"> para</w:t>
      </w:r>
      <w:r w:rsidR="00D10F4E">
        <w:rPr>
          <w:rFonts w:ascii="Arial" w:hAnsi="Arial" w:cs="Arial"/>
          <w:shd w:val="clear" w:color="auto" w:fill="FFFFFF"/>
        </w:rPr>
        <w:t>s 6-7</w:t>
      </w:r>
      <w:r w:rsidRPr="005E0F79">
        <w:rPr>
          <w:rFonts w:ascii="Arial" w:hAnsi="Arial" w:cs="Arial"/>
          <w:shd w:val="clear" w:color="auto" w:fill="FFFFFF"/>
        </w:rPr>
        <w:t>.</w:t>
      </w:r>
    </w:p>
  </w:footnote>
  <w:footnote w:id="12">
    <w:p w14:paraId="0F26E551" w14:textId="6D073EBD" w:rsidR="00DD2F96" w:rsidRPr="00103FB0" w:rsidRDefault="00DD2F96" w:rsidP="00103FB0">
      <w:pPr>
        <w:pStyle w:val="FootnoteText"/>
        <w:jc w:val="left"/>
        <w:rPr>
          <w:rFonts w:ascii="Arial" w:hAnsi="Arial" w:cs="Arial"/>
          <w:lang w:val="en-ZA"/>
        </w:rPr>
      </w:pPr>
      <w:r w:rsidRPr="00103FB0">
        <w:rPr>
          <w:rStyle w:val="FootnoteReference"/>
          <w:rFonts w:ascii="Arial" w:hAnsi="Arial" w:cs="Arial"/>
        </w:rPr>
        <w:footnoteRef/>
      </w:r>
      <w:r w:rsidRPr="00103FB0">
        <w:rPr>
          <w:rFonts w:ascii="Arial" w:hAnsi="Arial" w:cs="Arial"/>
        </w:rPr>
        <w:t xml:space="preserve"> </w:t>
      </w:r>
      <w:r w:rsidRPr="00103FB0">
        <w:rPr>
          <w:rFonts w:ascii="Arial" w:hAnsi="Arial" w:cs="Arial"/>
          <w:i/>
        </w:rPr>
        <w:t>Norwich</w:t>
      </w:r>
      <w:r w:rsidRPr="00103FB0">
        <w:rPr>
          <w:rFonts w:ascii="Arial" w:hAnsi="Arial" w:cs="Arial"/>
        </w:rPr>
        <w:t xml:space="preserve"> </w:t>
      </w:r>
      <w:proofErr w:type="spellStart"/>
      <w:r w:rsidRPr="00103FB0">
        <w:rPr>
          <w:rFonts w:ascii="Arial" w:hAnsi="Arial" w:cs="Arial"/>
        </w:rPr>
        <w:t>fn</w:t>
      </w:r>
      <w:proofErr w:type="spellEnd"/>
      <w:r w:rsidRPr="00103FB0">
        <w:rPr>
          <w:rFonts w:ascii="Arial" w:hAnsi="Arial" w:cs="Arial"/>
        </w:rPr>
        <w:t xml:space="preserve"> 7 above at 399.</w:t>
      </w:r>
    </w:p>
  </w:footnote>
  <w:footnote w:id="13">
    <w:p w14:paraId="52F8BB81" w14:textId="40813871" w:rsidR="00513BD8" w:rsidRPr="008A5516" w:rsidRDefault="00513BD8" w:rsidP="005E0F79">
      <w:pPr>
        <w:pStyle w:val="FootnoteText"/>
        <w:spacing w:line="240" w:lineRule="auto"/>
        <w:rPr>
          <w:rFonts w:ascii="Arial" w:hAnsi="Arial" w:cs="Arial"/>
          <w:lang w:val="en-US"/>
        </w:rPr>
      </w:pPr>
      <w:r w:rsidRPr="008A5516">
        <w:rPr>
          <w:rStyle w:val="FootnoteReference"/>
          <w:rFonts w:ascii="Arial" w:hAnsi="Arial" w:cs="Arial"/>
        </w:rPr>
        <w:footnoteRef/>
      </w:r>
      <w:r w:rsidRPr="008A5516">
        <w:rPr>
          <w:rFonts w:ascii="Arial" w:hAnsi="Arial" w:cs="Arial"/>
        </w:rPr>
        <w:t xml:space="preserve"> </w:t>
      </w:r>
      <w:r w:rsidRPr="008A5516">
        <w:rPr>
          <w:rFonts w:ascii="Arial" w:hAnsi="Arial" w:cs="Arial"/>
          <w:i/>
          <w:iCs/>
        </w:rPr>
        <w:t>Stu Davidson and Sons (Pty) Ltd v Eastern Cape Motors (Pty) Ltd</w:t>
      </w:r>
      <w:r w:rsidR="005E0F79">
        <w:rPr>
          <w:rFonts w:ascii="Arial" w:hAnsi="Arial" w:cs="Arial"/>
        </w:rPr>
        <w:t xml:space="preserve"> [2018] ZASCA </w:t>
      </w:r>
      <w:r>
        <w:rPr>
          <w:rFonts w:ascii="Arial" w:hAnsi="Arial" w:cs="Arial"/>
        </w:rPr>
        <w:t>26 para 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7589861"/>
      <w:docPartObj>
        <w:docPartGallery w:val="Page Numbers (Top of Page)"/>
        <w:docPartUnique/>
      </w:docPartObj>
    </w:sdtPr>
    <w:sdtEndPr>
      <w:rPr>
        <w:noProof/>
      </w:rPr>
    </w:sdtEndPr>
    <w:sdtContent>
      <w:p w14:paraId="42B76706" w14:textId="47422F28" w:rsidR="00FC45E9" w:rsidRPr="00C04DFD" w:rsidRDefault="00FC45E9">
        <w:pPr>
          <w:pStyle w:val="Header"/>
          <w:jc w:val="right"/>
          <w:rPr>
            <w:rFonts w:ascii="Arial" w:hAnsi="Arial" w:cs="Arial"/>
          </w:rPr>
        </w:pPr>
        <w:r w:rsidRPr="00C04DFD">
          <w:rPr>
            <w:rFonts w:ascii="Arial" w:hAnsi="Arial" w:cs="Arial"/>
          </w:rPr>
          <w:fldChar w:fldCharType="begin"/>
        </w:r>
        <w:r w:rsidRPr="00C04DFD">
          <w:rPr>
            <w:rFonts w:ascii="Arial" w:hAnsi="Arial" w:cs="Arial"/>
          </w:rPr>
          <w:instrText xml:space="preserve"> PAGE   \* MERGEFORMAT </w:instrText>
        </w:r>
        <w:r w:rsidRPr="00C04DFD">
          <w:rPr>
            <w:rFonts w:ascii="Arial" w:hAnsi="Arial" w:cs="Arial"/>
          </w:rPr>
          <w:fldChar w:fldCharType="separate"/>
        </w:r>
        <w:r w:rsidR="00CA097C">
          <w:rPr>
            <w:rFonts w:ascii="Arial" w:hAnsi="Arial" w:cs="Arial"/>
            <w:noProof/>
          </w:rPr>
          <w:t>15</w:t>
        </w:r>
        <w:r w:rsidRPr="00C04DFD">
          <w:rPr>
            <w:rFonts w:ascii="Arial" w:hAnsi="Arial" w:cs="Arial"/>
            <w:noProof/>
          </w:rPr>
          <w:fldChar w:fldCharType="end"/>
        </w:r>
      </w:p>
    </w:sdtContent>
  </w:sdt>
  <w:p w14:paraId="27D6BBE1" w14:textId="77777777" w:rsidR="00FC45E9" w:rsidRDefault="00FC45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F24"/>
    <w:multiLevelType w:val="hybridMultilevel"/>
    <w:tmpl w:val="AA7A9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9"/>
    <w:rsid w:val="0000626E"/>
    <w:rsid w:val="00007749"/>
    <w:rsid w:val="00010F5C"/>
    <w:rsid w:val="000111ED"/>
    <w:rsid w:val="00015DD7"/>
    <w:rsid w:val="000211CE"/>
    <w:rsid w:val="00022869"/>
    <w:rsid w:val="00022A15"/>
    <w:rsid w:val="00027957"/>
    <w:rsid w:val="00032653"/>
    <w:rsid w:val="00034095"/>
    <w:rsid w:val="00042A0D"/>
    <w:rsid w:val="0004458A"/>
    <w:rsid w:val="00050668"/>
    <w:rsid w:val="000513D7"/>
    <w:rsid w:val="000550B0"/>
    <w:rsid w:val="000550FB"/>
    <w:rsid w:val="000554EA"/>
    <w:rsid w:val="00057881"/>
    <w:rsid w:val="000617FC"/>
    <w:rsid w:val="00066980"/>
    <w:rsid w:val="00073D51"/>
    <w:rsid w:val="00074279"/>
    <w:rsid w:val="00075E37"/>
    <w:rsid w:val="00081222"/>
    <w:rsid w:val="00082BE8"/>
    <w:rsid w:val="000949A1"/>
    <w:rsid w:val="000955A6"/>
    <w:rsid w:val="0009761C"/>
    <w:rsid w:val="000A5E32"/>
    <w:rsid w:val="000A63AB"/>
    <w:rsid w:val="000A6E5A"/>
    <w:rsid w:val="000B23BA"/>
    <w:rsid w:val="000B5438"/>
    <w:rsid w:val="000C2862"/>
    <w:rsid w:val="000D150C"/>
    <w:rsid w:val="000D511E"/>
    <w:rsid w:val="000E0BBD"/>
    <w:rsid w:val="000E2552"/>
    <w:rsid w:val="000E2FE3"/>
    <w:rsid w:val="000E69AA"/>
    <w:rsid w:val="000F5AF0"/>
    <w:rsid w:val="00103FB0"/>
    <w:rsid w:val="0010539D"/>
    <w:rsid w:val="001119F6"/>
    <w:rsid w:val="00114E09"/>
    <w:rsid w:val="001245FF"/>
    <w:rsid w:val="0012528A"/>
    <w:rsid w:val="00127273"/>
    <w:rsid w:val="00134075"/>
    <w:rsid w:val="001342E4"/>
    <w:rsid w:val="001470C5"/>
    <w:rsid w:val="00150971"/>
    <w:rsid w:val="001519B4"/>
    <w:rsid w:val="00155D7E"/>
    <w:rsid w:val="00162E06"/>
    <w:rsid w:val="00162E34"/>
    <w:rsid w:val="00163CFE"/>
    <w:rsid w:val="0016579E"/>
    <w:rsid w:val="00165F2D"/>
    <w:rsid w:val="001667F6"/>
    <w:rsid w:val="00172507"/>
    <w:rsid w:val="0017446A"/>
    <w:rsid w:val="00182449"/>
    <w:rsid w:val="001839ED"/>
    <w:rsid w:val="00185118"/>
    <w:rsid w:val="00187E30"/>
    <w:rsid w:val="001904BA"/>
    <w:rsid w:val="001A0167"/>
    <w:rsid w:val="001A0305"/>
    <w:rsid w:val="001A0AF6"/>
    <w:rsid w:val="001A4F3E"/>
    <w:rsid w:val="001A74CB"/>
    <w:rsid w:val="001A7B2F"/>
    <w:rsid w:val="001A7CF9"/>
    <w:rsid w:val="001B2B55"/>
    <w:rsid w:val="001C28E1"/>
    <w:rsid w:val="001C6DA8"/>
    <w:rsid w:val="001C7386"/>
    <w:rsid w:val="001D5D06"/>
    <w:rsid w:val="001D5EDF"/>
    <w:rsid w:val="001D7C8E"/>
    <w:rsid w:val="001E478E"/>
    <w:rsid w:val="001E4A95"/>
    <w:rsid w:val="001E66E2"/>
    <w:rsid w:val="001E720B"/>
    <w:rsid w:val="001F4E96"/>
    <w:rsid w:val="00202293"/>
    <w:rsid w:val="00202D47"/>
    <w:rsid w:val="00204B78"/>
    <w:rsid w:val="00205C6A"/>
    <w:rsid w:val="00211D38"/>
    <w:rsid w:val="0022046B"/>
    <w:rsid w:val="0022737F"/>
    <w:rsid w:val="00230D2B"/>
    <w:rsid w:val="002317A4"/>
    <w:rsid w:val="00232028"/>
    <w:rsid w:val="00234684"/>
    <w:rsid w:val="00234A2C"/>
    <w:rsid w:val="002429D1"/>
    <w:rsid w:val="00255896"/>
    <w:rsid w:val="0025741F"/>
    <w:rsid w:val="00265C2E"/>
    <w:rsid w:val="00271C9A"/>
    <w:rsid w:val="002732F5"/>
    <w:rsid w:val="00274DEE"/>
    <w:rsid w:val="00275C8E"/>
    <w:rsid w:val="00284222"/>
    <w:rsid w:val="0028552B"/>
    <w:rsid w:val="0028770D"/>
    <w:rsid w:val="002927F8"/>
    <w:rsid w:val="002A1ABD"/>
    <w:rsid w:val="002A2E50"/>
    <w:rsid w:val="002A4771"/>
    <w:rsid w:val="002A5319"/>
    <w:rsid w:val="002A5FEC"/>
    <w:rsid w:val="002A64CA"/>
    <w:rsid w:val="002A6905"/>
    <w:rsid w:val="002A711C"/>
    <w:rsid w:val="002B1BF4"/>
    <w:rsid w:val="002B2298"/>
    <w:rsid w:val="002B3C73"/>
    <w:rsid w:val="002C7C68"/>
    <w:rsid w:val="002D1EA1"/>
    <w:rsid w:val="002D28EA"/>
    <w:rsid w:val="002D32A8"/>
    <w:rsid w:val="002D32E7"/>
    <w:rsid w:val="002D3901"/>
    <w:rsid w:val="002D4CFD"/>
    <w:rsid w:val="002E2C5C"/>
    <w:rsid w:val="002F0DBA"/>
    <w:rsid w:val="002F15CB"/>
    <w:rsid w:val="002F3397"/>
    <w:rsid w:val="002F4320"/>
    <w:rsid w:val="002F45D9"/>
    <w:rsid w:val="00301F4A"/>
    <w:rsid w:val="00302027"/>
    <w:rsid w:val="003030C8"/>
    <w:rsid w:val="0030409D"/>
    <w:rsid w:val="0030428B"/>
    <w:rsid w:val="00315BFE"/>
    <w:rsid w:val="0031632D"/>
    <w:rsid w:val="00322067"/>
    <w:rsid w:val="003233C6"/>
    <w:rsid w:val="00326186"/>
    <w:rsid w:val="0032666F"/>
    <w:rsid w:val="003318A8"/>
    <w:rsid w:val="00347849"/>
    <w:rsid w:val="003504EE"/>
    <w:rsid w:val="00353016"/>
    <w:rsid w:val="003606BD"/>
    <w:rsid w:val="00362604"/>
    <w:rsid w:val="003708F4"/>
    <w:rsid w:val="003721CC"/>
    <w:rsid w:val="00373400"/>
    <w:rsid w:val="003746CA"/>
    <w:rsid w:val="00384337"/>
    <w:rsid w:val="00395065"/>
    <w:rsid w:val="00396136"/>
    <w:rsid w:val="00397565"/>
    <w:rsid w:val="003A021A"/>
    <w:rsid w:val="003A0647"/>
    <w:rsid w:val="003A31F5"/>
    <w:rsid w:val="003A3211"/>
    <w:rsid w:val="003A4711"/>
    <w:rsid w:val="003C1BA1"/>
    <w:rsid w:val="003C262B"/>
    <w:rsid w:val="003C3725"/>
    <w:rsid w:val="003C3C93"/>
    <w:rsid w:val="003C6560"/>
    <w:rsid w:val="003C6ECA"/>
    <w:rsid w:val="003D4581"/>
    <w:rsid w:val="003D7515"/>
    <w:rsid w:val="003D7F37"/>
    <w:rsid w:val="003E2448"/>
    <w:rsid w:val="003E26D9"/>
    <w:rsid w:val="003E609C"/>
    <w:rsid w:val="003E79B5"/>
    <w:rsid w:val="00401131"/>
    <w:rsid w:val="00402A95"/>
    <w:rsid w:val="004039FB"/>
    <w:rsid w:val="00410741"/>
    <w:rsid w:val="004109B2"/>
    <w:rsid w:val="00422211"/>
    <w:rsid w:val="00422B4E"/>
    <w:rsid w:val="0043335F"/>
    <w:rsid w:val="00435E8D"/>
    <w:rsid w:val="004408F0"/>
    <w:rsid w:val="0044234E"/>
    <w:rsid w:val="004537DC"/>
    <w:rsid w:val="00454D29"/>
    <w:rsid w:val="004560AE"/>
    <w:rsid w:val="004663C5"/>
    <w:rsid w:val="00467347"/>
    <w:rsid w:val="0048156A"/>
    <w:rsid w:val="0049380B"/>
    <w:rsid w:val="00493F7E"/>
    <w:rsid w:val="00496908"/>
    <w:rsid w:val="004A5B43"/>
    <w:rsid w:val="004A6149"/>
    <w:rsid w:val="004A7BD9"/>
    <w:rsid w:val="004B72A9"/>
    <w:rsid w:val="004B73DA"/>
    <w:rsid w:val="004C15BB"/>
    <w:rsid w:val="004C7FB3"/>
    <w:rsid w:val="004D2162"/>
    <w:rsid w:val="004D319C"/>
    <w:rsid w:val="004D4CE8"/>
    <w:rsid w:val="004E0CAB"/>
    <w:rsid w:val="004E1FEF"/>
    <w:rsid w:val="004E3671"/>
    <w:rsid w:val="004F1F5F"/>
    <w:rsid w:val="004F5048"/>
    <w:rsid w:val="004F70CA"/>
    <w:rsid w:val="005016E1"/>
    <w:rsid w:val="00512635"/>
    <w:rsid w:val="00512F6E"/>
    <w:rsid w:val="00513BD8"/>
    <w:rsid w:val="005210DB"/>
    <w:rsid w:val="00521E76"/>
    <w:rsid w:val="0052532F"/>
    <w:rsid w:val="005255AA"/>
    <w:rsid w:val="0052669C"/>
    <w:rsid w:val="005354FA"/>
    <w:rsid w:val="00536A4E"/>
    <w:rsid w:val="00540F41"/>
    <w:rsid w:val="00542B0B"/>
    <w:rsid w:val="0054455D"/>
    <w:rsid w:val="00544F09"/>
    <w:rsid w:val="005458ED"/>
    <w:rsid w:val="005468CE"/>
    <w:rsid w:val="00553360"/>
    <w:rsid w:val="00561FE9"/>
    <w:rsid w:val="00570BF7"/>
    <w:rsid w:val="00576113"/>
    <w:rsid w:val="00581355"/>
    <w:rsid w:val="005842B7"/>
    <w:rsid w:val="005970AE"/>
    <w:rsid w:val="005A12A7"/>
    <w:rsid w:val="005B0836"/>
    <w:rsid w:val="005C0850"/>
    <w:rsid w:val="005C508C"/>
    <w:rsid w:val="005C5312"/>
    <w:rsid w:val="005D3B97"/>
    <w:rsid w:val="005D57DF"/>
    <w:rsid w:val="005E0F79"/>
    <w:rsid w:val="005E37C7"/>
    <w:rsid w:val="005E4FE8"/>
    <w:rsid w:val="005F0361"/>
    <w:rsid w:val="005F77B4"/>
    <w:rsid w:val="0060123E"/>
    <w:rsid w:val="00603371"/>
    <w:rsid w:val="00605281"/>
    <w:rsid w:val="00606E18"/>
    <w:rsid w:val="0060707B"/>
    <w:rsid w:val="0060751C"/>
    <w:rsid w:val="006166BF"/>
    <w:rsid w:val="006170E4"/>
    <w:rsid w:val="00617E52"/>
    <w:rsid w:val="006211BE"/>
    <w:rsid w:val="00623783"/>
    <w:rsid w:val="006246AF"/>
    <w:rsid w:val="00625102"/>
    <w:rsid w:val="00625742"/>
    <w:rsid w:val="00630681"/>
    <w:rsid w:val="006312E7"/>
    <w:rsid w:val="00633227"/>
    <w:rsid w:val="00634144"/>
    <w:rsid w:val="00640ECD"/>
    <w:rsid w:val="006448EF"/>
    <w:rsid w:val="006465CF"/>
    <w:rsid w:val="00651A9C"/>
    <w:rsid w:val="00664133"/>
    <w:rsid w:val="00671FF2"/>
    <w:rsid w:val="00672B42"/>
    <w:rsid w:val="006807A7"/>
    <w:rsid w:val="00680DD3"/>
    <w:rsid w:val="006832CE"/>
    <w:rsid w:val="006852F0"/>
    <w:rsid w:val="006A16AE"/>
    <w:rsid w:val="006A4102"/>
    <w:rsid w:val="006A7BC4"/>
    <w:rsid w:val="006B1157"/>
    <w:rsid w:val="006D29E7"/>
    <w:rsid w:val="006E29CB"/>
    <w:rsid w:val="0070147F"/>
    <w:rsid w:val="00705382"/>
    <w:rsid w:val="007163B1"/>
    <w:rsid w:val="0072245B"/>
    <w:rsid w:val="00726771"/>
    <w:rsid w:val="00733D59"/>
    <w:rsid w:val="00735D84"/>
    <w:rsid w:val="00736AF6"/>
    <w:rsid w:val="0074721E"/>
    <w:rsid w:val="007474DC"/>
    <w:rsid w:val="00753C49"/>
    <w:rsid w:val="007540D5"/>
    <w:rsid w:val="00754A78"/>
    <w:rsid w:val="00767C32"/>
    <w:rsid w:val="0077203C"/>
    <w:rsid w:val="0077360C"/>
    <w:rsid w:val="007759FF"/>
    <w:rsid w:val="00776FB1"/>
    <w:rsid w:val="007801E0"/>
    <w:rsid w:val="0078208D"/>
    <w:rsid w:val="00784469"/>
    <w:rsid w:val="00786C8D"/>
    <w:rsid w:val="00790CF4"/>
    <w:rsid w:val="007915C5"/>
    <w:rsid w:val="00793F37"/>
    <w:rsid w:val="00796B4F"/>
    <w:rsid w:val="007A1ADF"/>
    <w:rsid w:val="007B2327"/>
    <w:rsid w:val="007C2CBD"/>
    <w:rsid w:val="007C6112"/>
    <w:rsid w:val="007D0F72"/>
    <w:rsid w:val="007D64AB"/>
    <w:rsid w:val="007D67CE"/>
    <w:rsid w:val="007E1191"/>
    <w:rsid w:val="007E14C6"/>
    <w:rsid w:val="007E23B1"/>
    <w:rsid w:val="007E79B8"/>
    <w:rsid w:val="007F30EE"/>
    <w:rsid w:val="007F511A"/>
    <w:rsid w:val="0080286F"/>
    <w:rsid w:val="008032E7"/>
    <w:rsid w:val="00811248"/>
    <w:rsid w:val="008219E2"/>
    <w:rsid w:val="008222EF"/>
    <w:rsid w:val="008230C2"/>
    <w:rsid w:val="0083072E"/>
    <w:rsid w:val="008324A2"/>
    <w:rsid w:val="008362F4"/>
    <w:rsid w:val="00841B46"/>
    <w:rsid w:val="00843C7D"/>
    <w:rsid w:val="00844152"/>
    <w:rsid w:val="0085451B"/>
    <w:rsid w:val="00860F1E"/>
    <w:rsid w:val="0086157D"/>
    <w:rsid w:val="0086653F"/>
    <w:rsid w:val="00866A85"/>
    <w:rsid w:val="00866E3B"/>
    <w:rsid w:val="008679E4"/>
    <w:rsid w:val="00875653"/>
    <w:rsid w:val="00881355"/>
    <w:rsid w:val="00884634"/>
    <w:rsid w:val="008852BE"/>
    <w:rsid w:val="00885422"/>
    <w:rsid w:val="008865A5"/>
    <w:rsid w:val="008959D3"/>
    <w:rsid w:val="008B795B"/>
    <w:rsid w:val="008B7DC1"/>
    <w:rsid w:val="008C42CF"/>
    <w:rsid w:val="008D26FF"/>
    <w:rsid w:val="008D71E2"/>
    <w:rsid w:val="008E065A"/>
    <w:rsid w:val="008E2DB1"/>
    <w:rsid w:val="008E31D1"/>
    <w:rsid w:val="008E5FFA"/>
    <w:rsid w:val="008E7155"/>
    <w:rsid w:val="008F0F39"/>
    <w:rsid w:val="008F6043"/>
    <w:rsid w:val="00903431"/>
    <w:rsid w:val="00904EEE"/>
    <w:rsid w:val="00906DA8"/>
    <w:rsid w:val="00910C88"/>
    <w:rsid w:val="009117A1"/>
    <w:rsid w:val="0091598D"/>
    <w:rsid w:val="0091598E"/>
    <w:rsid w:val="00915E2A"/>
    <w:rsid w:val="009178E9"/>
    <w:rsid w:val="0092082A"/>
    <w:rsid w:val="00920A59"/>
    <w:rsid w:val="009219F4"/>
    <w:rsid w:val="00925BE7"/>
    <w:rsid w:val="00937952"/>
    <w:rsid w:val="009404F9"/>
    <w:rsid w:val="00944085"/>
    <w:rsid w:val="00944AEC"/>
    <w:rsid w:val="00953756"/>
    <w:rsid w:val="00955FE3"/>
    <w:rsid w:val="00963B83"/>
    <w:rsid w:val="009668AF"/>
    <w:rsid w:val="00966D44"/>
    <w:rsid w:val="00973D98"/>
    <w:rsid w:val="009756C9"/>
    <w:rsid w:val="00975915"/>
    <w:rsid w:val="0098078B"/>
    <w:rsid w:val="00980F65"/>
    <w:rsid w:val="0098108E"/>
    <w:rsid w:val="0098198D"/>
    <w:rsid w:val="00991275"/>
    <w:rsid w:val="009956D2"/>
    <w:rsid w:val="009B327E"/>
    <w:rsid w:val="009B5113"/>
    <w:rsid w:val="009C11D8"/>
    <w:rsid w:val="009C26E8"/>
    <w:rsid w:val="009D11BF"/>
    <w:rsid w:val="009D7534"/>
    <w:rsid w:val="009E1590"/>
    <w:rsid w:val="009E5A43"/>
    <w:rsid w:val="009E6014"/>
    <w:rsid w:val="009E6D1C"/>
    <w:rsid w:val="009E7B97"/>
    <w:rsid w:val="009F1F31"/>
    <w:rsid w:val="009F5756"/>
    <w:rsid w:val="00A001AD"/>
    <w:rsid w:val="00A02953"/>
    <w:rsid w:val="00A049A2"/>
    <w:rsid w:val="00A10BEF"/>
    <w:rsid w:val="00A14218"/>
    <w:rsid w:val="00A15E31"/>
    <w:rsid w:val="00A177A8"/>
    <w:rsid w:val="00A21139"/>
    <w:rsid w:val="00A220A5"/>
    <w:rsid w:val="00A23AE0"/>
    <w:rsid w:val="00A34A6C"/>
    <w:rsid w:val="00A37F1C"/>
    <w:rsid w:val="00A45918"/>
    <w:rsid w:val="00A47252"/>
    <w:rsid w:val="00A51838"/>
    <w:rsid w:val="00A6302A"/>
    <w:rsid w:val="00A632A6"/>
    <w:rsid w:val="00A639AD"/>
    <w:rsid w:val="00A66C63"/>
    <w:rsid w:val="00A70B91"/>
    <w:rsid w:val="00A753FC"/>
    <w:rsid w:val="00A77F5E"/>
    <w:rsid w:val="00A8165A"/>
    <w:rsid w:val="00A853FB"/>
    <w:rsid w:val="00A862A1"/>
    <w:rsid w:val="00A9386F"/>
    <w:rsid w:val="00A94F75"/>
    <w:rsid w:val="00A952EB"/>
    <w:rsid w:val="00A97722"/>
    <w:rsid w:val="00A97A3B"/>
    <w:rsid w:val="00AA474B"/>
    <w:rsid w:val="00AB3AFC"/>
    <w:rsid w:val="00AB488D"/>
    <w:rsid w:val="00AC42FF"/>
    <w:rsid w:val="00AC45AF"/>
    <w:rsid w:val="00AC6BDB"/>
    <w:rsid w:val="00AD1BA3"/>
    <w:rsid w:val="00AD2978"/>
    <w:rsid w:val="00AD3567"/>
    <w:rsid w:val="00AD5D22"/>
    <w:rsid w:val="00AD75E6"/>
    <w:rsid w:val="00AD7E24"/>
    <w:rsid w:val="00AE02C0"/>
    <w:rsid w:val="00AE3AB3"/>
    <w:rsid w:val="00AE4111"/>
    <w:rsid w:val="00AE7054"/>
    <w:rsid w:val="00AF22D7"/>
    <w:rsid w:val="00AF47E9"/>
    <w:rsid w:val="00AF778B"/>
    <w:rsid w:val="00AF7A3F"/>
    <w:rsid w:val="00AF7FFC"/>
    <w:rsid w:val="00B00A42"/>
    <w:rsid w:val="00B03CC9"/>
    <w:rsid w:val="00B15DAF"/>
    <w:rsid w:val="00B20DF1"/>
    <w:rsid w:val="00B27196"/>
    <w:rsid w:val="00B31ADE"/>
    <w:rsid w:val="00B47792"/>
    <w:rsid w:val="00B47C02"/>
    <w:rsid w:val="00B54512"/>
    <w:rsid w:val="00B54E54"/>
    <w:rsid w:val="00B54FD2"/>
    <w:rsid w:val="00B562C3"/>
    <w:rsid w:val="00B646C7"/>
    <w:rsid w:val="00B664C3"/>
    <w:rsid w:val="00B67691"/>
    <w:rsid w:val="00B77855"/>
    <w:rsid w:val="00B80064"/>
    <w:rsid w:val="00B819CD"/>
    <w:rsid w:val="00B81E2A"/>
    <w:rsid w:val="00B82778"/>
    <w:rsid w:val="00B84499"/>
    <w:rsid w:val="00B84AA4"/>
    <w:rsid w:val="00B8573B"/>
    <w:rsid w:val="00B86DFE"/>
    <w:rsid w:val="00B93284"/>
    <w:rsid w:val="00B94930"/>
    <w:rsid w:val="00B958B6"/>
    <w:rsid w:val="00BA6722"/>
    <w:rsid w:val="00BB0605"/>
    <w:rsid w:val="00BB0CCE"/>
    <w:rsid w:val="00BB195F"/>
    <w:rsid w:val="00BB6CE0"/>
    <w:rsid w:val="00BC6BA0"/>
    <w:rsid w:val="00BC6EF3"/>
    <w:rsid w:val="00BC797C"/>
    <w:rsid w:val="00BD1342"/>
    <w:rsid w:val="00BD32DC"/>
    <w:rsid w:val="00BD71FE"/>
    <w:rsid w:val="00BE0747"/>
    <w:rsid w:val="00BE62BB"/>
    <w:rsid w:val="00BF18A6"/>
    <w:rsid w:val="00BF1DBB"/>
    <w:rsid w:val="00BF7436"/>
    <w:rsid w:val="00C0091B"/>
    <w:rsid w:val="00C00F2F"/>
    <w:rsid w:val="00C04DFD"/>
    <w:rsid w:val="00C06659"/>
    <w:rsid w:val="00C155BF"/>
    <w:rsid w:val="00C15862"/>
    <w:rsid w:val="00C17B9A"/>
    <w:rsid w:val="00C17EC9"/>
    <w:rsid w:val="00C2088C"/>
    <w:rsid w:val="00C2170D"/>
    <w:rsid w:val="00C223AC"/>
    <w:rsid w:val="00C313A9"/>
    <w:rsid w:val="00C32837"/>
    <w:rsid w:val="00C36912"/>
    <w:rsid w:val="00C411DB"/>
    <w:rsid w:val="00C43EB7"/>
    <w:rsid w:val="00C50A97"/>
    <w:rsid w:val="00C53F4F"/>
    <w:rsid w:val="00C60614"/>
    <w:rsid w:val="00C65301"/>
    <w:rsid w:val="00C67E49"/>
    <w:rsid w:val="00C7618D"/>
    <w:rsid w:val="00C77D90"/>
    <w:rsid w:val="00C82372"/>
    <w:rsid w:val="00C853EC"/>
    <w:rsid w:val="00C86029"/>
    <w:rsid w:val="00C95C24"/>
    <w:rsid w:val="00CA097C"/>
    <w:rsid w:val="00CA2C4D"/>
    <w:rsid w:val="00CA70AC"/>
    <w:rsid w:val="00CB0444"/>
    <w:rsid w:val="00CB50A9"/>
    <w:rsid w:val="00CB576A"/>
    <w:rsid w:val="00CC07B7"/>
    <w:rsid w:val="00CC4831"/>
    <w:rsid w:val="00CC5D7F"/>
    <w:rsid w:val="00CD0988"/>
    <w:rsid w:val="00CD520E"/>
    <w:rsid w:val="00CD5421"/>
    <w:rsid w:val="00CD6E1E"/>
    <w:rsid w:val="00CE64C0"/>
    <w:rsid w:val="00CE7361"/>
    <w:rsid w:val="00CF37A9"/>
    <w:rsid w:val="00D01310"/>
    <w:rsid w:val="00D030B4"/>
    <w:rsid w:val="00D0367B"/>
    <w:rsid w:val="00D047B8"/>
    <w:rsid w:val="00D06C4D"/>
    <w:rsid w:val="00D10F4E"/>
    <w:rsid w:val="00D22396"/>
    <w:rsid w:val="00D22F4A"/>
    <w:rsid w:val="00D25E32"/>
    <w:rsid w:val="00D272C7"/>
    <w:rsid w:val="00D36797"/>
    <w:rsid w:val="00D37626"/>
    <w:rsid w:val="00D405E8"/>
    <w:rsid w:val="00D40F8B"/>
    <w:rsid w:val="00D410FF"/>
    <w:rsid w:val="00D47743"/>
    <w:rsid w:val="00D47F8D"/>
    <w:rsid w:val="00D5101D"/>
    <w:rsid w:val="00D5511A"/>
    <w:rsid w:val="00D567A2"/>
    <w:rsid w:val="00D70663"/>
    <w:rsid w:val="00D70E50"/>
    <w:rsid w:val="00D74779"/>
    <w:rsid w:val="00D903DF"/>
    <w:rsid w:val="00D953ED"/>
    <w:rsid w:val="00DA1B5D"/>
    <w:rsid w:val="00DA3BCA"/>
    <w:rsid w:val="00DA655B"/>
    <w:rsid w:val="00DB32CD"/>
    <w:rsid w:val="00DB67E9"/>
    <w:rsid w:val="00DC033D"/>
    <w:rsid w:val="00DC4EE7"/>
    <w:rsid w:val="00DC5819"/>
    <w:rsid w:val="00DD2215"/>
    <w:rsid w:val="00DD2F96"/>
    <w:rsid w:val="00DD36B7"/>
    <w:rsid w:val="00DD6BC2"/>
    <w:rsid w:val="00DE1284"/>
    <w:rsid w:val="00DE7BA4"/>
    <w:rsid w:val="00DF0551"/>
    <w:rsid w:val="00DF0E05"/>
    <w:rsid w:val="00DF1846"/>
    <w:rsid w:val="00DF4E51"/>
    <w:rsid w:val="00DF71F1"/>
    <w:rsid w:val="00E045A4"/>
    <w:rsid w:val="00E07DDA"/>
    <w:rsid w:val="00E1078C"/>
    <w:rsid w:val="00E120A8"/>
    <w:rsid w:val="00E13F5A"/>
    <w:rsid w:val="00E15DE5"/>
    <w:rsid w:val="00E17248"/>
    <w:rsid w:val="00E218DF"/>
    <w:rsid w:val="00E2732F"/>
    <w:rsid w:val="00E27352"/>
    <w:rsid w:val="00E319AA"/>
    <w:rsid w:val="00E31DDF"/>
    <w:rsid w:val="00E32659"/>
    <w:rsid w:val="00E33516"/>
    <w:rsid w:val="00E40759"/>
    <w:rsid w:val="00E40D3A"/>
    <w:rsid w:val="00E50CFC"/>
    <w:rsid w:val="00E52A24"/>
    <w:rsid w:val="00E52CB7"/>
    <w:rsid w:val="00E54994"/>
    <w:rsid w:val="00E55082"/>
    <w:rsid w:val="00E55710"/>
    <w:rsid w:val="00E66922"/>
    <w:rsid w:val="00E7641F"/>
    <w:rsid w:val="00E76500"/>
    <w:rsid w:val="00E834E0"/>
    <w:rsid w:val="00E94F6E"/>
    <w:rsid w:val="00E97D32"/>
    <w:rsid w:val="00EA6650"/>
    <w:rsid w:val="00EB16FF"/>
    <w:rsid w:val="00EB1B8C"/>
    <w:rsid w:val="00EB5A37"/>
    <w:rsid w:val="00EB6157"/>
    <w:rsid w:val="00EC2677"/>
    <w:rsid w:val="00EC5EB4"/>
    <w:rsid w:val="00ED19CB"/>
    <w:rsid w:val="00ED5C67"/>
    <w:rsid w:val="00EE0C40"/>
    <w:rsid w:val="00EE5F55"/>
    <w:rsid w:val="00EF52E0"/>
    <w:rsid w:val="00F02403"/>
    <w:rsid w:val="00F024B4"/>
    <w:rsid w:val="00F03099"/>
    <w:rsid w:val="00F075F3"/>
    <w:rsid w:val="00F24EEC"/>
    <w:rsid w:val="00F33EAE"/>
    <w:rsid w:val="00F3479E"/>
    <w:rsid w:val="00F34A11"/>
    <w:rsid w:val="00F4128B"/>
    <w:rsid w:val="00F41B1C"/>
    <w:rsid w:val="00F42B8A"/>
    <w:rsid w:val="00F45200"/>
    <w:rsid w:val="00F50781"/>
    <w:rsid w:val="00F526CC"/>
    <w:rsid w:val="00F56EBF"/>
    <w:rsid w:val="00F61085"/>
    <w:rsid w:val="00F71BF8"/>
    <w:rsid w:val="00F730F5"/>
    <w:rsid w:val="00F74C4B"/>
    <w:rsid w:val="00F776D7"/>
    <w:rsid w:val="00F81A64"/>
    <w:rsid w:val="00F820F1"/>
    <w:rsid w:val="00F939BC"/>
    <w:rsid w:val="00F94D13"/>
    <w:rsid w:val="00F97019"/>
    <w:rsid w:val="00FA088F"/>
    <w:rsid w:val="00FA1EC6"/>
    <w:rsid w:val="00FA2E05"/>
    <w:rsid w:val="00FA2FB0"/>
    <w:rsid w:val="00FA64D8"/>
    <w:rsid w:val="00FA7D7F"/>
    <w:rsid w:val="00FB3510"/>
    <w:rsid w:val="00FC45E9"/>
    <w:rsid w:val="00FC7815"/>
    <w:rsid w:val="00FD0821"/>
    <w:rsid w:val="00FD53B9"/>
    <w:rsid w:val="00FD62B8"/>
    <w:rsid w:val="00FE20EF"/>
    <w:rsid w:val="00FE55A6"/>
    <w:rsid w:val="00FF0660"/>
    <w:rsid w:val="00FF252B"/>
    <w:rsid w:val="00FF4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74618F"/>
  <w15:chartTrackingRefBased/>
  <w15:docId w15:val="{2C0BE234-A526-48ED-8A26-F20976E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49"/>
    <w:pPr>
      <w:spacing w:after="0" w:line="360" w:lineRule="auto"/>
      <w:jc w:val="both"/>
    </w:pPr>
    <w:rPr>
      <w:rFonts w:ascii="Times New Roman" w:eastAsia="Times New Roman" w:hAnsi="Times New Roman" w:cs="Times New Roman"/>
      <w:sz w:val="24"/>
      <w:szCs w:val="24"/>
      <w:lang w:val="en-GB" w:eastAsia="en-ZA"/>
    </w:rPr>
  </w:style>
  <w:style w:type="paragraph" w:styleId="Heading2">
    <w:name w:val="heading 2"/>
    <w:basedOn w:val="Normal"/>
    <w:next w:val="Normal"/>
    <w:link w:val="Heading2Char"/>
    <w:uiPriority w:val="9"/>
    <w:semiHidden/>
    <w:unhideWhenUsed/>
    <w:qFormat/>
    <w:rsid w:val="00B31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7F5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82449"/>
    <w:rPr>
      <w:sz w:val="20"/>
      <w:szCs w:val="20"/>
    </w:rPr>
  </w:style>
  <w:style w:type="character" w:customStyle="1" w:styleId="FootnoteTextChar">
    <w:name w:val="Footnote Text Char"/>
    <w:basedOn w:val="DefaultParagraphFont"/>
    <w:link w:val="FootnoteText"/>
    <w:uiPriority w:val="99"/>
    <w:rsid w:val="00182449"/>
    <w:rPr>
      <w:rFonts w:ascii="Times New Roman" w:eastAsia="Times New Roman" w:hAnsi="Times New Roman" w:cs="Times New Roman"/>
      <w:sz w:val="20"/>
      <w:szCs w:val="20"/>
      <w:lang w:val="en-GB" w:eastAsia="en-ZA"/>
    </w:rPr>
  </w:style>
  <w:style w:type="character" w:styleId="FootnoteReference">
    <w:name w:val="footnote reference"/>
    <w:basedOn w:val="DefaultParagraphFont"/>
    <w:uiPriority w:val="99"/>
    <w:semiHidden/>
    <w:unhideWhenUsed/>
    <w:rsid w:val="00182449"/>
    <w:rPr>
      <w:vertAlign w:val="superscript"/>
    </w:rPr>
  </w:style>
  <w:style w:type="paragraph" w:styleId="ListParagraph">
    <w:name w:val="List Paragraph"/>
    <w:basedOn w:val="Normal"/>
    <w:uiPriority w:val="34"/>
    <w:qFormat/>
    <w:rsid w:val="004537DC"/>
    <w:pPr>
      <w:ind w:left="720"/>
      <w:contextualSpacing/>
    </w:pPr>
  </w:style>
  <w:style w:type="character" w:styleId="Hyperlink">
    <w:name w:val="Hyperlink"/>
    <w:basedOn w:val="DefaultParagraphFont"/>
    <w:uiPriority w:val="99"/>
    <w:unhideWhenUsed/>
    <w:rsid w:val="00F526CC"/>
    <w:rPr>
      <w:color w:val="0000FF"/>
      <w:u w:val="single"/>
    </w:rPr>
  </w:style>
  <w:style w:type="character" w:customStyle="1" w:styleId="Heading3Char">
    <w:name w:val="Heading 3 Char"/>
    <w:basedOn w:val="DefaultParagraphFont"/>
    <w:link w:val="Heading3"/>
    <w:rsid w:val="00A77F5E"/>
    <w:rPr>
      <w:rFonts w:ascii="Arial" w:eastAsia="Times New Roman" w:hAnsi="Arial" w:cs="Arial"/>
      <w:i/>
      <w:iCs/>
      <w:sz w:val="28"/>
      <w:szCs w:val="24"/>
      <w:lang w:val="en-GB" w:eastAsia="en-ZA"/>
    </w:rPr>
  </w:style>
  <w:style w:type="character" w:customStyle="1" w:styleId="Heading2Char">
    <w:name w:val="Heading 2 Char"/>
    <w:basedOn w:val="DefaultParagraphFont"/>
    <w:link w:val="Heading2"/>
    <w:uiPriority w:val="9"/>
    <w:semiHidden/>
    <w:rsid w:val="00B31ADE"/>
    <w:rPr>
      <w:rFonts w:asciiTheme="majorHAnsi" w:eastAsiaTheme="majorEastAsia" w:hAnsiTheme="majorHAnsi" w:cstheme="majorBidi"/>
      <w:color w:val="2E74B5" w:themeColor="accent1" w:themeShade="BF"/>
      <w:sz w:val="26"/>
      <w:szCs w:val="26"/>
      <w:lang w:val="en-GB" w:eastAsia="en-ZA"/>
    </w:rPr>
  </w:style>
  <w:style w:type="character" w:styleId="CommentReference">
    <w:name w:val="annotation reference"/>
    <w:basedOn w:val="DefaultParagraphFont"/>
    <w:uiPriority w:val="99"/>
    <w:semiHidden/>
    <w:unhideWhenUsed/>
    <w:rsid w:val="00AC42FF"/>
    <w:rPr>
      <w:sz w:val="16"/>
      <w:szCs w:val="16"/>
    </w:rPr>
  </w:style>
  <w:style w:type="paragraph" w:styleId="CommentText">
    <w:name w:val="annotation text"/>
    <w:basedOn w:val="Normal"/>
    <w:link w:val="CommentTextChar"/>
    <w:uiPriority w:val="99"/>
    <w:unhideWhenUsed/>
    <w:rsid w:val="00AC42FF"/>
    <w:pPr>
      <w:spacing w:line="240" w:lineRule="auto"/>
    </w:pPr>
    <w:rPr>
      <w:sz w:val="20"/>
      <w:szCs w:val="20"/>
    </w:rPr>
  </w:style>
  <w:style w:type="character" w:customStyle="1" w:styleId="CommentTextChar">
    <w:name w:val="Comment Text Char"/>
    <w:basedOn w:val="DefaultParagraphFont"/>
    <w:link w:val="CommentText"/>
    <w:uiPriority w:val="99"/>
    <w:rsid w:val="00AC42FF"/>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AC42FF"/>
    <w:rPr>
      <w:b/>
      <w:bCs/>
    </w:rPr>
  </w:style>
  <w:style w:type="character" w:customStyle="1" w:styleId="CommentSubjectChar">
    <w:name w:val="Comment Subject Char"/>
    <w:basedOn w:val="CommentTextChar"/>
    <w:link w:val="CommentSubject"/>
    <w:uiPriority w:val="99"/>
    <w:semiHidden/>
    <w:rsid w:val="00AC42FF"/>
    <w:rPr>
      <w:rFonts w:ascii="Times New Roman" w:eastAsia="Times New Roman" w:hAnsi="Times New Roman" w:cs="Times New Roman"/>
      <w:b/>
      <w:bCs/>
      <w:sz w:val="20"/>
      <w:szCs w:val="20"/>
      <w:lang w:val="en-GB" w:eastAsia="en-ZA"/>
    </w:rPr>
  </w:style>
  <w:style w:type="paragraph" w:styleId="BalloonText">
    <w:name w:val="Balloon Text"/>
    <w:basedOn w:val="Normal"/>
    <w:link w:val="BalloonTextChar"/>
    <w:uiPriority w:val="99"/>
    <w:semiHidden/>
    <w:unhideWhenUsed/>
    <w:rsid w:val="00AC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FF"/>
    <w:rPr>
      <w:rFonts w:ascii="Segoe UI" w:eastAsia="Times New Roman" w:hAnsi="Segoe UI" w:cs="Segoe UI"/>
      <w:sz w:val="18"/>
      <w:szCs w:val="18"/>
      <w:lang w:val="en-GB" w:eastAsia="en-ZA"/>
    </w:rPr>
  </w:style>
  <w:style w:type="paragraph" w:styleId="Revision">
    <w:name w:val="Revision"/>
    <w:hidden/>
    <w:uiPriority w:val="99"/>
    <w:semiHidden/>
    <w:rsid w:val="005C0850"/>
    <w:pPr>
      <w:spacing w:after="0" w:line="240" w:lineRule="auto"/>
    </w:pPr>
    <w:rPr>
      <w:rFonts w:ascii="Times New Roman" w:eastAsia="Times New Roman" w:hAnsi="Times New Roman" w:cs="Times New Roman"/>
      <w:sz w:val="24"/>
      <w:szCs w:val="24"/>
      <w:lang w:val="en-GB" w:eastAsia="en-ZA"/>
    </w:rPr>
  </w:style>
  <w:style w:type="paragraph" w:styleId="Header">
    <w:name w:val="header"/>
    <w:basedOn w:val="Normal"/>
    <w:link w:val="HeaderChar"/>
    <w:uiPriority w:val="99"/>
    <w:unhideWhenUsed/>
    <w:rsid w:val="00D410FF"/>
    <w:pPr>
      <w:tabs>
        <w:tab w:val="center" w:pos="4513"/>
        <w:tab w:val="right" w:pos="9026"/>
      </w:tabs>
      <w:spacing w:line="240" w:lineRule="auto"/>
    </w:pPr>
  </w:style>
  <w:style w:type="character" w:customStyle="1" w:styleId="HeaderChar">
    <w:name w:val="Header Char"/>
    <w:basedOn w:val="DefaultParagraphFont"/>
    <w:link w:val="Header"/>
    <w:uiPriority w:val="99"/>
    <w:rsid w:val="00D410FF"/>
    <w:rPr>
      <w:rFonts w:ascii="Times New Roman" w:eastAsia="Times New Roman" w:hAnsi="Times New Roman" w:cs="Times New Roman"/>
      <w:sz w:val="24"/>
      <w:szCs w:val="24"/>
      <w:lang w:val="en-GB" w:eastAsia="en-ZA"/>
    </w:rPr>
  </w:style>
  <w:style w:type="paragraph" w:styleId="Footer">
    <w:name w:val="footer"/>
    <w:basedOn w:val="Normal"/>
    <w:link w:val="FooterChar"/>
    <w:uiPriority w:val="99"/>
    <w:unhideWhenUsed/>
    <w:rsid w:val="00D410FF"/>
    <w:pPr>
      <w:tabs>
        <w:tab w:val="center" w:pos="4513"/>
        <w:tab w:val="right" w:pos="9026"/>
      </w:tabs>
      <w:spacing w:line="240" w:lineRule="auto"/>
    </w:pPr>
  </w:style>
  <w:style w:type="character" w:customStyle="1" w:styleId="FooterChar">
    <w:name w:val="Footer Char"/>
    <w:basedOn w:val="DefaultParagraphFont"/>
    <w:link w:val="Footer"/>
    <w:uiPriority w:val="99"/>
    <w:rsid w:val="00D410FF"/>
    <w:rPr>
      <w:rFonts w:ascii="Times New Roman" w:eastAsia="Times New Roman" w:hAnsi="Times New Roman" w:cs="Times New Roman"/>
      <w:sz w:val="24"/>
      <w:szCs w:val="24"/>
      <w:lang w:val="en-GB" w:eastAsia="en-ZA"/>
    </w:rPr>
  </w:style>
  <w:style w:type="paragraph" w:styleId="NormalWeb">
    <w:name w:val="Normal (Web)"/>
    <w:basedOn w:val="Normal"/>
    <w:uiPriority w:val="99"/>
    <w:semiHidden/>
    <w:unhideWhenUsed/>
    <w:rsid w:val="00A632A6"/>
  </w:style>
  <w:style w:type="character" w:customStyle="1" w:styleId="UnresolvedMention1">
    <w:name w:val="Unresolved Mention1"/>
    <w:basedOn w:val="DefaultParagraphFont"/>
    <w:uiPriority w:val="99"/>
    <w:semiHidden/>
    <w:unhideWhenUsed/>
    <w:rsid w:val="00A632A6"/>
    <w:rPr>
      <w:color w:val="605E5C"/>
      <w:shd w:val="clear" w:color="auto" w:fill="E1DFDD"/>
    </w:rPr>
  </w:style>
  <w:style w:type="character" w:customStyle="1" w:styleId="UnresolvedMention2">
    <w:name w:val="Unresolved Mention2"/>
    <w:basedOn w:val="DefaultParagraphFont"/>
    <w:uiPriority w:val="99"/>
    <w:semiHidden/>
    <w:unhideWhenUsed/>
    <w:rsid w:val="006D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423">
      <w:bodyDiv w:val="1"/>
      <w:marLeft w:val="0"/>
      <w:marRight w:val="0"/>
      <w:marTop w:val="0"/>
      <w:marBottom w:val="0"/>
      <w:divBdr>
        <w:top w:val="none" w:sz="0" w:space="0" w:color="auto"/>
        <w:left w:val="none" w:sz="0" w:space="0" w:color="auto"/>
        <w:bottom w:val="none" w:sz="0" w:space="0" w:color="auto"/>
        <w:right w:val="none" w:sz="0" w:space="0" w:color="auto"/>
      </w:divBdr>
    </w:div>
    <w:div w:id="92823178">
      <w:bodyDiv w:val="1"/>
      <w:marLeft w:val="0"/>
      <w:marRight w:val="0"/>
      <w:marTop w:val="0"/>
      <w:marBottom w:val="0"/>
      <w:divBdr>
        <w:top w:val="none" w:sz="0" w:space="0" w:color="auto"/>
        <w:left w:val="none" w:sz="0" w:space="0" w:color="auto"/>
        <w:bottom w:val="none" w:sz="0" w:space="0" w:color="auto"/>
        <w:right w:val="none" w:sz="0" w:space="0" w:color="auto"/>
      </w:divBdr>
    </w:div>
    <w:div w:id="319579586">
      <w:bodyDiv w:val="1"/>
      <w:marLeft w:val="0"/>
      <w:marRight w:val="0"/>
      <w:marTop w:val="0"/>
      <w:marBottom w:val="0"/>
      <w:divBdr>
        <w:top w:val="none" w:sz="0" w:space="0" w:color="auto"/>
        <w:left w:val="none" w:sz="0" w:space="0" w:color="auto"/>
        <w:bottom w:val="none" w:sz="0" w:space="0" w:color="auto"/>
        <w:right w:val="none" w:sz="0" w:space="0" w:color="auto"/>
      </w:divBdr>
    </w:div>
    <w:div w:id="443311342">
      <w:bodyDiv w:val="1"/>
      <w:marLeft w:val="0"/>
      <w:marRight w:val="0"/>
      <w:marTop w:val="0"/>
      <w:marBottom w:val="0"/>
      <w:divBdr>
        <w:top w:val="none" w:sz="0" w:space="0" w:color="auto"/>
        <w:left w:val="none" w:sz="0" w:space="0" w:color="auto"/>
        <w:bottom w:val="none" w:sz="0" w:space="0" w:color="auto"/>
        <w:right w:val="none" w:sz="0" w:space="0" w:color="auto"/>
      </w:divBdr>
    </w:div>
    <w:div w:id="522670134">
      <w:bodyDiv w:val="1"/>
      <w:marLeft w:val="0"/>
      <w:marRight w:val="0"/>
      <w:marTop w:val="0"/>
      <w:marBottom w:val="0"/>
      <w:divBdr>
        <w:top w:val="none" w:sz="0" w:space="0" w:color="auto"/>
        <w:left w:val="none" w:sz="0" w:space="0" w:color="auto"/>
        <w:bottom w:val="none" w:sz="0" w:space="0" w:color="auto"/>
        <w:right w:val="none" w:sz="0" w:space="0" w:color="auto"/>
      </w:divBdr>
    </w:div>
    <w:div w:id="635599275">
      <w:bodyDiv w:val="1"/>
      <w:marLeft w:val="0"/>
      <w:marRight w:val="0"/>
      <w:marTop w:val="0"/>
      <w:marBottom w:val="0"/>
      <w:divBdr>
        <w:top w:val="none" w:sz="0" w:space="0" w:color="auto"/>
        <w:left w:val="none" w:sz="0" w:space="0" w:color="auto"/>
        <w:bottom w:val="none" w:sz="0" w:space="0" w:color="auto"/>
        <w:right w:val="none" w:sz="0" w:space="0" w:color="auto"/>
      </w:divBdr>
    </w:div>
    <w:div w:id="937254371">
      <w:bodyDiv w:val="1"/>
      <w:marLeft w:val="0"/>
      <w:marRight w:val="0"/>
      <w:marTop w:val="0"/>
      <w:marBottom w:val="0"/>
      <w:divBdr>
        <w:top w:val="none" w:sz="0" w:space="0" w:color="auto"/>
        <w:left w:val="none" w:sz="0" w:space="0" w:color="auto"/>
        <w:bottom w:val="none" w:sz="0" w:space="0" w:color="auto"/>
        <w:right w:val="none" w:sz="0" w:space="0" w:color="auto"/>
      </w:divBdr>
    </w:div>
    <w:div w:id="1384987316">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20463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sca2013224/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sca2013224/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index.html" TargetMode="External"/><Relationship Id="rId5" Type="http://schemas.openxmlformats.org/officeDocument/2006/relationships/webSettings" Target="webSettings.xml"/><Relationship Id="rId15" Type="http://schemas.openxmlformats.org/officeDocument/2006/relationships/hyperlink" Target="http://www.saflii.org/za/legis/consol_act/sca2013224/index.html" TargetMode="External"/><Relationship Id="rId10" Type="http://schemas.openxmlformats.org/officeDocument/2006/relationships/hyperlink" Target="http://www.saflii.org/za/legis/consol_act/sca2013224/index.html" TargetMode="External"/><Relationship Id="rId4" Type="http://schemas.openxmlformats.org/officeDocument/2006/relationships/settings" Target="settings.xml"/><Relationship Id="rId9" Type="http://schemas.openxmlformats.org/officeDocument/2006/relationships/hyperlink" Target="https://www.saflii.org/cgi-bin/LawCite?cit=1974%20%284%29%20SA%20633" TargetMode="External"/><Relationship Id="rId14" Type="http://schemas.openxmlformats.org/officeDocument/2006/relationships/hyperlink" Target="http://www.saflii.org/za/legis/consol_act/sca2013224/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4%20SA%20317" TargetMode="External"/><Relationship Id="rId2" Type="http://schemas.openxmlformats.org/officeDocument/2006/relationships/hyperlink" Target="http://www.saflii.org/za/cases/ZACC/2002/4.html" TargetMode="External"/><Relationship Id="rId1" Type="http://schemas.openxmlformats.org/officeDocument/2006/relationships/hyperlink" Target="http://www.saflii.org/za/cases/ZACC/2002/4.html" TargetMode="External"/><Relationship Id="rId5" Type="http://schemas.openxmlformats.org/officeDocument/2006/relationships/hyperlink" Target="https://www.saflii.org/cgi-bin/LawCite?cit=%5b2014%5d%20ZASCA%20132" TargetMode="External"/><Relationship Id="rId4" Type="http://schemas.openxmlformats.org/officeDocument/2006/relationships/hyperlink" Target="https://www.saflii.org/cgi-bin/LawCite?cit=2002%20%285%29%20BCLR%20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70AA-7157-4221-9CF1-77072A6A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4969</Words>
  <Characters>28325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Gabrielle Jordaan</cp:lastModifiedBy>
  <cp:revision>5</cp:revision>
  <cp:lastPrinted>2024-05-27T10:42:00Z</cp:lastPrinted>
  <dcterms:created xsi:type="dcterms:W3CDTF">2024-05-24T08:58:00Z</dcterms:created>
  <dcterms:modified xsi:type="dcterms:W3CDTF">2024-05-27T10:42:00Z</dcterms:modified>
</cp:coreProperties>
</file>