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D198E" w14:textId="77777777" w:rsidR="00A77F5E" w:rsidRDefault="00A77F5E" w:rsidP="009E7B97">
      <w:pPr>
        <w:rPr>
          <w:rFonts w:eastAsia="Arial"/>
        </w:rPr>
      </w:pPr>
    </w:p>
    <w:p w14:paraId="59AA4017" w14:textId="77777777" w:rsidR="00A77F5E" w:rsidRDefault="00A77F5E" w:rsidP="00A77F5E">
      <w:pPr>
        <w:jc w:val="center"/>
        <w:rPr>
          <w:rFonts w:ascii="Arial" w:eastAsia="Arial" w:hAnsi="Arial" w:cs="Arial"/>
          <w:b/>
          <w:sz w:val="28"/>
          <w:szCs w:val="28"/>
        </w:rPr>
      </w:pPr>
    </w:p>
    <w:p w14:paraId="73699495" w14:textId="77777777" w:rsidR="00A77F5E" w:rsidRDefault="00A77F5E" w:rsidP="00A77F5E">
      <w:pPr>
        <w:jc w:val="center"/>
        <w:rPr>
          <w:rFonts w:ascii="Arial" w:eastAsia="Arial" w:hAnsi="Arial" w:cs="Arial"/>
          <w:b/>
          <w:sz w:val="28"/>
          <w:szCs w:val="28"/>
        </w:rPr>
      </w:pPr>
    </w:p>
    <w:p w14:paraId="34761D5A" w14:textId="77777777" w:rsidR="00A77F5E" w:rsidRDefault="00A77F5E" w:rsidP="00A77F5E">
      <w:pPr>
        <w:jc w:val="center"/>
        <w:rPr>
          <w:rFonts w:ascii="Arial" w:eastAsia="Arial" w:hAnsi="Arial" w:cs="Arial"/>
          <w:b/>
          <w:sz w:val="28"/>
          <w:szCs w:val="28"/>
        </w:rPr>
      </w:pPr>
      <w:r>
        <w:rPr>
          <w:noProof/>
          <w:lang w:val="en-ZA"/>
        </w:rPr>
        <w:drawing>
          <wp:anchor distT="0" distB="0" distL="114300" distR="114300" simplePos="0" relativeHeight="251659264" behindDoc="0" locked="0" layoutInCell="1" hidden="0" allowOverlap="1" wp14:anchorId="36606133" wp14:editId="2A7DC57C">
            <wp:simplePos x="0" y="0"/>
            <wp:positionH relativeFrom="column">
              <wp:posOffset>2465705</wp:posOffset>
            </wp:positionH>
            <wp:positionV relativeFrom="paragraph">
              <wp:posOffset>-683891</wp:posOffset>
            </wp:positionV>
            <wp:extent cx="800100" cy="914400"/>
            <wp:effectExtent l="0" t="0" r="0" b="0"/>
            <wp:wrapSquare wrapText="bothSides" distT="0" distB="0" distL="114300" distR="11430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800100" cy="914400"/>
                    </a:xfrm>
                    <a:prstGeom prst="rect">
                      <a:avLst/>
                    </a:prstGeom>
                    <a:ln/>
                  </pic:spPr>
                </pic:pic>
              </a:graphicData>
            </a:graphic>
          </wp:anchor>
        </w:drawing>
      </w:r>
    </w:p>
    <w:p w14:paraId="3250DE09" w14:textId="77777777" w:rsidR="00A77F5E" w:rsidRDefault="00A77F5E" w:rsidP="00A77F5E">
      <w:pPr>
        <w:jc w:val="center"/>
        <w:rPr>
          <w:rFonts w:ascii="Arial" w:eastAsia="Arial" w:hAnsi="Arial" w:cs="Arial"/>
          <w:b/>
          <w:sz w:val="28"/>
          <w:szCs w:val="28"/>
        </w:rPr>
      </w:pPr>
    </w:p>
    <w:p w14:paraId="6362DF07" w14:textId="77777777" w:rsidR="00A77F5E" w:rsidRDefault="00A77F5E" w:rsidP="00A77F5E">
      <w:pPr>
        <w:jc w:val="center"/>
        <w:rPr>
          <w:rFonts w:ascii="Arial" w:eastAsia="Arial" w:hAnsi="Arial" w:cs="Arial"/>
          <w:b/>
        </w:rPr>
      </w:pPr>
      <w:r>
        <w:rPr>
          <w:rFonts w:ascii="Arial" w:eastAsia="Arial" w:hAnsi="Arial" w:cs="Arial"/>
          <w:b/>
        </w:rPr>
        <w:t>THE SUPREME COURT OF APPEAL OF SOUTH AFRICA</w:t>
      </w:r>
    </w:p>
    <w:p w14:paraId="6312EEA0" w14:textId="77777777" w:rsidR="00A77F5E" w:rsidRDefault="00A77F5E" w:rsidP="00A77F5E">
      <w:pPr>
        <w:pStyle w:val="Heading3"/>
        <w:jc w:val="center"/>
        <w:rPr>
          <w:b/>
          <w:i w:val="0"/>
        </w:rPr>
      </w:pPr>
      <w:r>
        <w:rPr>
          <w:b/>
          <w:i w:val="0"/>
          <w:sz w:val="24"/>
        </w:rPr>
        <w:t>JUDGMENT</w:t>
      </w:r>
    </w:p>
    <w:p w14:paraId="68595D38" w14:textId="77777777" w:rsidR="00A77F5E" w:rsidRDefault="00A77F5E" w:rsidP="00A77F5E">
      <w:pPr>
        <w:jc w:val="left"/>
        <w:rPr>
          <w:rFonts w:ascii="Arial" w:eastAsia="Arial" w:hAnsi="Arial" w:cs="Arial"/>
          <w:b/>
        </w:rPr>
      </w:pPr>
    </w:p>
    <w:p w14:paraId="52862891" w14:textId="50F6F2D6" w:rsidR="005F77B4" w:rsidRDefault="005F77B4" w:rsidP="005F77B4">
      <w:pPr>
        <w:jc w:val="right"/>
        <w:rPr>
          <w:rFonts w:ascii="Arial" w:eastAsia="Arial" w:hAnsi="Arial" w:cs="Arial"/>
          <w:b/>
        </w:rPr>
      </w:pPr>
      <w:r w:rsidRPr="006E0236">
        <w:rPr>
          <w:rFonts w:ascii="Arial" w:eastAsia="Arial" w:hAnsi="Arial" w:cs="Arial"/>
          <w:b/>
        </w:rPr>
        <w:t>Reportable</w:t>
      </w:r>
    </w:p>
    <w:p w14:paraId="668448B5" w14:textId="5CFCF521" w:rsidR="00A77F5E" w:rsidRDefault="00CE7361" w:rsidP="00CE7361">
      <w:pPr>
        <w:rPr>
          <w:rFonts w:ascii="Arial" w:eastAsia="Arial" w:hAnsi="Arial" w:cs="Arial"/>
        </w:rPr>
      </w:pPr>
      <w:r>
        <w:rPr>
          <w:rFonts w:ascii="Arial" w:eastAsia="Arial" w:hAnsi="Arial" w:cs="Arial"/>
        </w:rPr>
        <w:t xml:space="preserve">                                                                                          </w:t>
      </w:r>
      <w:r w:rsidR="00212B41">
        <w:rPr>
          <w:rFonts w:ascii="Arial" w:eastAsia="Arial" w:hAnsi="Arial" w:cs="Arial"/>
        </w:rPr>
        <w:t xml:space="preserve">              </w:t>
      </w:r>
      <w:r w:rsidR="00B55D54">
        <w:rPr>
          <w:rFonts w:ascii="Arial" w:eastAsia="Arial" w:hAnsi="Arial" w:cs="Arial"/>
        </w:rPr>
        <w:t xml:space="preserve"> </w:t>
      </w:r>
      <w:r w:rsidR="00212B41">
        <w:rPr>
          <w:rFonts w:ascii="Arial" w:eastAsia="Arial" w:hAnsi="Arial" w:cs="Arial"/>
        </w:rPr>
        <w:t>Case no: 479/2024</w:t>
      </w:r>
    </w:p>
    <w:p w14:paraId="2A832604" w14:textId="77777777" w:rsidR="00E40D3A" w:rsidRDefault="00E40D3A" w:rsidP="00A77F5E">
      <w:pPr>
        <w:rPr>
          <w:rFonts w:ascii="Arial" w:eastAsia="Arial" w:hAnsi="Arial" w:cs="Arial"/>
        </w:rPr>
      </w:pPr>
    </w:p>
    <w:p w14:paraId="47D4482F" w14:textId="3FABA5A9" w:rsidR="00A77F5E" w:rsidRDefault="00A77F5E" w:rsidP="006A4102">
      <w:pPr>
        <w:rPr>
          <w:rFonts w:ascii="Arial" w:eastAsia="Arial" w:hAnsi="Arial" w:cs="Arial"/>
          <w:b/>
        </w:rPr>
      </w:pPr>
      <w:r>
        <w:rPr>
          <w:rFonts w:ascii="Arial" w:eastAsia="Arial" w:hAnsi="Arial" w:cs="Arial"/>
        </w:rPr>
        <w:t>In the matter between:</w:t>
      </w:r>
    </w:p>
    <w:p w14:paraId="39CBD910" w14:textId="3ACBACD9" w:rsidR="00A77F5E" w:rsidRDefault="00212B41" w:rsidP="00491D54">
      <w:pPr>
        <w:widowControl w:val="0"/>
        <w:tabs>
          <w:tab w:val="right" w:pos="9360"/>
        </w:tabs>
        <w:rPr>
          <w:rFonts w:ascii="Arial" w:eastAsia="Arial" w:hAnsi="Arial" w:cs="Arial"/>
          <w:b/>
        </w:rPr>
      </w:pPr>
      <w:r>
        <w:rPr>
          <w:rFonts w:ascii="Arial" w:eastAsia="Arial" w:hAnsi="Arial" w:cs="Arial"/>
          <w:b/>
        </w:rPr>
        <w:t>TYTE SECURITY SERVICES CC</w:t>
      </w:r>
      <w:r w:rsidR="005E37C7">
        <w:rPr>
          <w:rFonts w:ascii="Arial" w:eastAsia="Arial" w:hAnsi="Arial" w:cs="Arial"/>
          <w:b/>
        </w:rPr>
        <w:t xml:space="preserve"> </w:t>
      </w:r>
      <w:r w:rsidR="005E37C7">
        <w:rPr>
          <w:rFonts w:ascii="Arial" w:eastAsia="Arial" w:hAnsi="Arial" w:cs="Arial"/>
          <w:b/>
        </w:rPr>
        <w:tab/>
      </w:r>
      <w:r w:rsidR="00A77F5E" w:rsidRPr="00306737">
        <w:rPr>
          <w:rFonts w:ascii="Arial" w:eastAsia="Arial" w:hAnsi="Arial" w:cs="Arial"/>
          <w:b/>
        </w:rPr>
        <w:t>APPELLANT</w:t>
      </w:r>
    </w:p>
    <w:p w14:paraId="79BC62CE" w14:textId="725D6ACE" w:rsidR="00A77F5E" w:rsidRDefault="00A77F5E" w:rsidP="00A77F5E">
      <w:pPr>
        <w:widowControl w:val="0"/>
        <w:rPr>
          <w:rFonts w:ascii="Arial" w:eastAsia="Arial" w:hAnsi="Arial" w:cs="Arial"/>
        </w:rPr>
      </w:pPr>
      <w:r>
        <w:rPr>
          <w:rFonts w:ascii="Arial" w:eastAsia="Arial" w:hAnsi="Arial" w:cs="Arial"/>
        </w:rPr>
        <w:t>and</w:t>
      </w:r>
    </w:p>
    <w:p w14:paraId="4B276076" w14:textId="4C9A6611" w:rsidR="00A77F5E" w:rsidRDefault="00212B41" w:rsidP="00491D54">
      <w:pPr>
        <w:widowControl w:val="0"/>
        <w:tabs>
          <w:tab w:val="right" w:pos="9360"/>
        </w:tabs>
        <w:spacing w:before="40" w:after="40"/>
        <w:rPr>
          <w:rFonts w:ascii="Arial" w:eastAsia="Arial" w:hAnsi="Arial" w:cs="Arial"/>
          <w:b/>
        </w:rPr>
      </w:pPr>
      <w:r>
        <w:rPr>
          <w:rFonts w:ascii="Arial" w:eastAsia="Arial" w:hAnsi="Arial" w:cs="Arial"/>
          <w:b/>
        </w:rPr>
        <w:t>WESTERN CAPE PROVINCIAL GOVERNMENT</w:t>
      </w:r>
      <w:r>
        <w:rPr>
          <w:rFonts w:ascii="Arial" w:eastAsia="Arial" w:hAnsi="Arial" w:cs="Arial"/>
          <w:b/>
        </w:rPr>
        <w:tab/>
      </w:r>
      <w:r w:rsidR="005E37C7">
        <w:rPr>
          <w:rFonts w:ascii="Arial" w:eastAsia="Arial" w:hAnsi="Arial" w:cs="Arial"/>
          <w:b/>
        </w:rPr>
        <w:t xml:space="preserve">FIRST </w:t>
      </w:r>
      <w:r w:rsidR="00A77F5E" w:rsidRPr="00306737">
        <w:rPr>
          <w:rFonts w:ascii="Arial" w:eastAsia="Arial" w:hAnsi="Arial" w:cs="Arial"/>
          <w:b/>
        </w:rPr>
        <w:t>RESPONDENT</w:t>
      </w:r>
    </w:p>
    <w:p w14:paraId="1E4E781E" w14:textId="77777777" w:rsidR="00212B41" w:rsidRDefault="00212B41" w:rsidP="00491D54">
      <w:pPr>
        <w:widowControl w:val="0"/>
        <w:tabs>
          <w:tab w:val="right" w:pos="9360"/>
        </w:tabs>
        <w:spacing w:before="40" w:after="40"/>
        <w:rPr>
          <w:rFonts w:ascii="Arial" w:eastAsia="Arial" w:hAnsi="Arial" w:cs="Arial"/>
          <w:b/>
        </w:rPr>
      </w:pPr>
      <w:r>
        <w:rPr>
          <w:rFonts w:ascii="Arial" w:eastAsia="Arial" w:hAnsi="Arial" w:cs="Arial"/>
          <w:b/>
        </w:rPr>
        <w:t xml:space="preserve">MEC FOR THE DEPARTMENT OF INFRASTRUCTURE, </w:t>
      </w:r>
    </w:p>
    <w:p w14:paraId="4D0863CC" w14:textId="1B31D3E9" w:rsidR="005E37C7" w:rsidRDefault="00212B41" w:rsidP="00491D54">
      <w:pPr>
        <w:widowControl w:val="0"/>
        <w:tabs>
          <w:tab w:val="right" w:pos="9360"/>
        </w:tabs>
        <w:spacing w:before="40" w:after="40"/>
        <w:rPr>
          <w:rFonts w:ascii="Arial" w:eastAsia="Arial" w:hAnsi="Arial" w:cs="Arial"/>
          <w:b/>
        </w:rPr>
      </w:pPr>
      <w:r>
        <w:rPr>
          <w:rFonts w:ascii="Arial" w:eastAsia="Arial" w:hAnsi="Arial" w:cs="Arial"/>
          <w:b/>
        </w:rPr>
        <w:t xml:space="preserve">WESTERN CAPE PROVINCIAL GOVERNMENT </w:t>
      </w:r>
      <w:r>
        <w:rPr>
          <w:rFonts w:ascii="Arial" w:eastAsia="Arial" w:hAnsi="Arial" w:cs="Arial"/>
          <w:b/>
        </w:rPr>
        <w:tab/>
      </w:r>
      <w:r w:rsidR="005E37C7">
        <w:rPr>
          <w:rFonts w:ascii="Arial" w:eastAsia="Arial" w:hAnsi="Arial" w:cs="Arial"/>
          <w:b/>
        </w:rPr>
        <w:t>SECOND RESPONDENT</w:t>
      </w:r>
    </w:p>
    <w:p w14:paraId="6D86CA6C" w14:textId="77777777" w:rsidR="00212B41" w:rsidRDefault="00212B41" w:rsidP="00491D54">
      <w:pPr>
        <w:widowControl w:val="0"/>
        <w:tabs>
          <w:tab w:val="right" w:pos="9360"/>
        </w:tabs>
        <w:spacing w:before="40" w:after="40"/>
        <w:rPr>
          <w:rFonts w:ascii="Arial" w:eastAsia="Arial" w:hAnsi="Arial" w:cs="Arial"/>
          <w:b/>
        </w:rPr>
      </w:pPr>
      <w:r>
        <w:rPr>
          <w:rFonts w:ascii="Arial" w:eastAsia="Arial" w:hAnsi="Arial" w:cs="Arial"/>
          <w:b/>
        </w:rPr>
        <w:t xml:space="preserve">THE DEPARTMENT OF INFRASTRUCTURE, </w:t>
      </w:r>
    </w:p>
    <w:p w14:paraId="67108466" w14:textId="2682ECE3" w:rsidR="00212B41" w:rsidRDefault="00212B41" w:rsidP="00491D54">
      <w:pPr>
        <w:widowControl w:val="0"/>
        <w:tabs>
          <w:tab w:val="right" w:pos="9360"/>
        </w:tabs>
        <w:spacing w:before="40" w:after="40"/>
        <w:rPr>
          <w:rFonts w:ascii="Arial" w:eastAsia="Arial" w:hAnsi="Arial" w:cs="Arial"/>
          <w:b/>
        </w:rPr>
      </w:pPr>
      <w:r>
        <w:rPr>
          <w:rFonts w:ascii="Arial" w:eastAsia="Arial" w:hAnsi="Arial" w:cs="Arial"/>
          <w:b/>
        </w:rPr>
        <w:t xml:space="preserve">WESTERN CAPE PROVINCIAL GOVERNMENT </w:t>
      </w:r>
      <w:r>
        <w:rPr>
          <w:rFonts w:ascii="Arial" w:eastAsia="Arial" w:hAnsi="Arial" w:cs="Arial"/>
          <w:b/>
        </w:rPr>
        <w:tab/>
        <w:t>THIRD RESPONDENT</w:t>
      </w:r>
    </w:p>
    <w:p w14:paraId="1C045D82" w14:textId="2F24D46B" w:rsidR="00212B41" w:rsidRDefault="00212B41" w:rsidP="00491D54">
      <w:pPr>
        <w:widowControl w:val="0"/>
        <w:tabs>
          <w:tab w:val="right" w:pos="9360"/>
        </w:tabs>
        <w:spacing w:before="40" w:after="40"/>
        <w:rPr>
          <w:rFonts w:ascii="Arial" w:eastAsia="Arial" w:hAnsi="Arial" w:cs="Arial"/>
          <w:b/>
        </w:rPr>
      </w:pPr>
      <w:r>
        <w:rPr>
          <w:rFonts w:ascii="Arial" w:eastAsia="Arial" w:hAnsi="Arial" w:cs="Arial"/>
          <w:b/>
        </w:rPr>
        <w:t xml:space="preserve">ROYAL SECURITY CC </w:t>
      </w:r>
      <w:r>
        <w:rPr>
          <w:rFonts w:ascii="Arial" w:eastAsia="Arial" w:hAnsi="Arial" w:cs="Arial"/>
          <w:b/>
        </w:rPr>
        <w:tab/>
        <w:t>FOURTH RESPONDENT</w:t>
      </w:r>
    </w:p>
    <w:p w14:paraId="32F5EC08" w14:textId="429EE359" w:rsidR="00212B41" w:rsidRDefault="00212B41" w:rsidP="00491D54">
      <w:pPr>
        <w:widowControl w:val="0"/>
        <w:tabs>
          <w:tab w:val="right" w:pos="9360"/>
        </w:tabs>
        <w:spacing w:before="40"/>
        <w:rPr>
          <w:rFonts w:ascii="Arial" w:eastAsia="Arial" w:hAnsi="Arial" w:cs="Arial"/>
          <w:b/>
        </w:rPr>
      </w:pPr>
      <w:r>
        <w:rPr>
          <w:rFonts w:ascii="Arial" w:eastAsia="Arial" w:hAnsi="Arial" w:cs="Arial"/>
          <w:b/>
        </w:rPr>
        <w:t xml:space="preserve">SS SOLUTIONS (PTY) LTD t/a SEAL SECURITY </w:t>
      </w:r>
      <w:r>
        <w:rPr>
          <w:rFonts w:ascii="Arial" w:eastAsia="Arial" w:hAnsi="Arial" w:cs="Arial"/>
          <w:b/>
        </w:rPr>
        <w:tab/>
        <w:t>FIFTH RESPONDENT</w:t>
      </w:r>
    </w:p>
    <w:p w14:paraId="41C5B6FC" w14:textId="7B498CC3" w:rsidR="00DE1284" w:rsidRDefault="00DE1284" w:rsidP="006A4102">
      <w:pPr>
        <w:widowControl w:val="0"/>
        <w:tabs>
          <w:tab w:val="right" w:pos="9360"/>
        </w:tabs>
        <w:rPr>
          <w:rFonts w:ascii="Arial" w:eastAsia="Arial" w:hAnsi="Arial" w:cs="Arial"/>
          <w:b/>
        </w:rPr>
      </w:pPr>
    </w:p>
    <w:p w14:paraId="1440102F" w14:textId="214305E9" w:rsidR="00A77F5E" w:rsidRPr="003233C6" w:rsidRDefault="00A77F5E" w:rsidP="00491D54">
      <w:pPr>
        <w:ind w:left="2160" w:hanging="2160"/>
        <w:rPr>
          <w:rFonts w:ascii="Arial" w:eastAsia="Arial" w:hAnsi="Arial" w:cs="Arial"/>
          <w:b/>
        </w:rPr>
      </w:pPr>
      <w:r>
        <w:rPr>
          <w:rFonts w:ascii="Arial" w:eastAsia="Arial" w:hAnsi="Arial" w:cs="Arial"/>
          <w:b/>
        </w:rPr>
        <w:t>Neutral citation:</w:t>
      </w:r>
      <w:r>
        <w:rPr>
          <w:rFonts w:ascii="Arial" w:eastAsia="Arial" w:hAnsi="Arial" w:cs="Arial"/>
          <w:b/>
        </w:rPr>
        <w:tab/>
      </w:r>
      <w:proofErr w:type="spellStart"/>
      <w:r w:rsidR="00212B41">
        <w:rPr>
          <w:rFonts w:ascii="Arial" w:eastAsia="Arial" w:hAnsi="Arial" w:cs="Arial"/>
          <w:i/>
        </w:rPr>
        <w:t>Tyte</w:t>
      </w:r>
      <w:proofErr w:type="spellEnd"/>
      <w:r w:rsidR="00212B41">
        <w:rPr>
          <w:rFonts w:ascii="Arial" w:eastAsia="Arial" w:hAnsi="Arial" w:cs="Arial"/>
          <w:i/>
        </w:rPr>
        <w:t xml:space="preserve"> Security Services CC v Western Cape Provincial Government and Others</w:t>
      </w:r>
      <w:r w:rsidR="006807A7">
        <w:rPr>
          <w:rFonts w:ascii="Arial" w:eastAsia="Arial" w:hAnsi="Arial" w:cs="Arial"/>
        </w:rPr>
        <w:t xml:space="preserve"> </w:t>
      </w:r>
      <w:r w:rsidR="00212B41">
        <w:rPr>
          <w:rFonts w:ascii="Arial" w:eastAsia="Arial" w:hAnsi="Arial" w:cs="Arial"/>
        </w:rPr>
        <w:t>(Case no 479/2024) [2024</w:t>
      </w:r>
      <w:r w:rsidR="008C42CF">
        <w:rPr>
          <w:rFonts w:ascii="Arial" w:eastAsia="Arial" w:hAnsi="Arial" w:cs="Arial"/>
        </w:rPr>
        <w:t xml:space="preserve">] </w:t>
      </w:r>
      <w:r w:rsidR="005D57DF" w:rsidRPr="003233C6">
        <w:rPr>
          <w:rFonts w:ascii="Arial" w:eastAsia="Arial" w:hAnsi="Arial" w:cs="Arial"/>
        </w:rPr>
        <w:t xml:space="preserve">ZASCA </w:t>
      </w:r>
      <w:r w:rsidR="006E0236">
        <w:rPr>
          <w:rFonts w:ascii="Arial" w:eastAsia="Arial" w:hAnsi="Arial" w:cs="Arial"/>
        </w:rPr>
        <w:t>88</w:t>
      </w:r>
      <w:r w:rsidR="00212B41">
        <w:rPr>
          <w:rFonts w:ascii="Arial" w:eastAsia="Arial" w:hAnsi="Arial" w:cs="Arial"/>
        </w:rPr>
        <w:t xml:space="preserve"> </w:t>
      </w:r>
      <w:r w:rsidRPr="006E0236">
        <w:rPr>
          <w:rFonts w:ascii="Arial" w:eastAsia="Arial" w:hAnsi="Arial" w:cs="Arial"/>
        </w:rPr>
        <w:t>(</w:t>
      </w:r>
      <w:r w:rsidR="006E0236" w:rsidRPr="006E0236">
        <w:rPr>
          <w:rFonts w:ascii="Arial" w:eastAsia="Arial" w:hAnsi="Arial" w:cs="Arial"/>
        </w:rPr>
        <w:t>7 June</w:t>
      </w:r>
      <w:r w:rsidR="00212B41">
        <w:rPr>
          <w:rFonts w:ascii="Arial" w:eastAsia="Arial" w:hAnsi="Arial" w:cs="Arial"/>
        </w:rPr>
        <w:t xml:space="preserve"> 2024</w:t>
      </w:r>
      <w:r w:rsidRPr="003233C6">
        <w:rPr>
          <w:rFonts w:ascii="Arial" w:eastAsia="Arial" w:hAnsi="Arial" w:cs="Arial"/>
        </w:rPr>
        <w:t>)</w:t>
      </w:r>
    </w:p>
    <w:p w14:paraId="78B98508" w14:textId="2DE78D57" w:rsidR="00A77F5E" w:rsidRPr="003233C6" w:rsidRDefault="00A77F5E" w:rsidP="00491D54">
      <w:pPr>
        <w:ind w:left="1440" w:hanging="1440"/>
        <w:rPr>
          <w:rFonts w:ascii="Arial" w:eastAsia="Arial" w:hAnsi="Arial" w:cs="Arial"/>
          <w:b/>
        </w:rPr>
      </w:pPr>
      <w:r w:rsidRPr="003233C6">
        <w:rPr>
          <w:rFonts w:ascii="Arial" w:eastAsia="Arial" w:hAnsi="Arial" w:cs="Arial"/>
          <w:b/>
        </w:rPr>
        <w:t>Coram:</w:t>
      </w:r>
      <w:r w:rsidRPr="003233C6">
        <w:rPr>
          <w:rFonts w:ascii="Arial" w:eastAsia="Arial" w:hAnsi="Arial" w:cs="Arial"/>
        </w:rPr>
        <w:tab/>
      </w:r>
      <w:r w:rsidR="005F77B4" w:rsidRPr="003233C6">
        <w:rPr>
          <w:rFonts w:ascii="Arial" w:eastAsia="Arial" w:hAnsi="Arial" w:cs="Arial"/>
        </w:rPr>
        <w:t>PONNAN</w:t>
      </w:r>
      <w:r w:rsidR="00212B41">
        <w:rPr>
          <w:rFonts w:ascii="Arial" w:eastAsia="Arial" w:hAnsi="Arial" w:cs="Arial"/>
        </w:rPr>
        <w:t>, MAKGOKA</w:t>
      </w:r>
      <w:r w:rsidR="00575D1A">
        <w:rPr>
          <w:rFonts w:ascii="Arial" w:eastAsia="Arial" w:hAnsi="Arial" w:cs="Arial"/>
        </w:rPr>
        <w:t>, MABINDLA-BOQWANA and GOOSEN</w:t>
      </w:r>
      <w:r w:rsidR="00E40D3A" w:rsidRPr="003233C6">
        <w:rPr>
          <w:rFonts w:ascii="Arial" w:eastAsia="Arial" w:hAnsi="Arial" w:cs="Arial"/>
        </w:rPr>
        <w:t xml:space="preserve"> JJA </w:t>
      </w:r>
      <w:r w:rsidR="00575D1A">
        <w:rPr>
          <w:rFonts w:ascii="Arial" w:eastAsia="Arial" w:hAnsi="Arial" w:cs="Arial"/>
        </w:rPr>
        <w:t>and COPPIN AJA</w:t>
      </w:r>
    </w:p>
    <w:p w14:paraId="00317953" w14:textId="58390E5E" w:rsidR="00A77F5E" w:rsidRPr="003233C6" w:rsidRDefault="00A77F5E" w:rsidP="00491D54">
      <w:pPr>
        <w:rPr>
          <w:rFonts w:ascii="Arial" w:eastAsia="Arial" w:hAnsi="Arial" w:cs="Arial"/>
          <w:b/>
        </w:rPr>
      </w:pPr>
      <w:r w:rsidRPr="003233C6">
        <w:rPr>
          <w:rFonts w:ascii="Arial" w:eastAsia="Arial" w:hAnsi="Arial" w:cs="Arial"/>
          <w:b/>
        </w:rPr>
        <w:t>Heard</w:t>
      </w:r>
      <w:r w:rsidR="00575D1A">
        <w:rPr>
          <w:rFonts w:ascii="Arial" w:eastAsia="Arial" w:hAnsi="Arial" w:cs="Arial"/>
        </w:rPr>
        <w:t>:</w:t>
      </w:r>
      <w:r w:rsidR="00575D1A">
        <w:rPr>
          <w:rFonts w:ascii="Arial" w:eastAsia="Arial" w:hAnsi="Arial" w:cs="Arial"/>
        </w:rPr>
        <w:tab/>
        <w:t xml:space="preserve">27 </w:t>
      </w:r>
      <w:r w:rsidR="00E373C6">
        <w:rPr>
          <w:rFonts w:ascii="Arial" w:eastAsia="Arial" w:hAnsi="Arial" w:cs="Arial"/>
        </w:rPr>
        <w:t>M</w:t>
      </w:r>
      <w:r w:rsidR="00575D1A">
        <w:rPr>
          <w:rFonts w:ascii="Arial" w:eastAsia="Arial" w:hAnsi="Arial" w:cs="Arial"/>
        </w:rPr>
        <w:t>ay 2024</w:t>
      </w:r>
    </w:p>
    <w:p w14:paraId="7DCFBB25" w14:textId="0C404DD8" w:rsidR="00362604" w:rsidRPr="00362604" w:rsidRDefault="00A77F5E" w:rsidP="00362604">
      <w:pPr>
        <w:rPr>
          <w:rFonts w:ascii="Arial" w:hAnsi="Arial" w:cs="Arial"/>
          <w:lang w:val="en-ZA"/>
        </w:rPr>
      </w:pPr>
      <w:r w:rsidRPr="003233C6">
        <w:rPr>
          <w:rFonts w:ascii="Arial" w:eastAsia="Arial" w:hAnsi="Arial" w:cs="Arial"/>
          <w:b/>
        </w:rPr>
        <w:t>Delivered</w:t>
      </w:r>
      <w:r w:rsidRPr="003233C6">
        <w:rPr>
          <w:rFonts w:ascii="Arial" w:eastAsia="Arial" w:hAnsi="Arial" w:cs="Arial"/>
        </w:rPr>
        <w:t>:</w:t>
      </w:r>
      <w:r w:rsidRPr="003233C6">
        <w:rPr>
          <w:rFonts w:ascii="Arial" w:eastAsia="Arial" w:hAnsi="Arial" w:cs="Arial"/>
        </w:rPr>
        <w:tab/>
      </w:r>
      <w:r w:rsidR="00362604" w:rsidRPr="00362604">
        <w:rPr>
          <w:rFonts w:ascii="Arial" w:hAnsi="Arial" w:cs="Arial"/>
        </w:rPr>
        <w:t>This judgment was handed down electronically by circulation to the parties’ representatives by email, publication on the Supreme Court of Appeal website, and release to SAFLII. The date for hand dow</w:t>
      </w:r>
      <w:r w:rsidR="00362604">
        <w:rPr>
          <w:rFonts w:ascii="Arial" w:hAnsi="Arial" w:cs="Arial"/>
        </w:rPr>
        <w:t xml:space="preserve">n is deemed to be </w:t>
      </w:r>
      <w:r w:rsidR="006E0236" w:rsidRPr="006E0236">
        <w:rPr>
          <w:rFonts w:ascii="Arial" w:hAnsi="Arial" w:cs="Arial"/>
        </w:rPr>
        <w:t>7 June</w:t>
      </w:r>
      <w:r w:rsidR="00575D1A" w:rsidRPr="006E0236">
        <w:rPr>
          <w:rFonts w:ascii="Arial" w:hAnsi="Arial" w:cs="Arial"/>
        </w:rPr>
        <w:t xml:space="preserve"> 2024</w:t>
      </w:r>
      <w:r w:rsidR="00362604" w:rsidRPr="00362604">
        <w:rPr>
          <w:rFonts w:ascii="Arial" w:hAnsi="Arial" w:cs="Arial"/>
        </w:rPr>
        <w:t xml:space="preserve"> at 11h00.</w:t>
      </w:r>
    </w:p>
    <w:p w14:paraId="2089427A" w14:textId="5C9922E8" w:rsidR="00A45918" w:rsidRPr="008C7D0D" w:rsidRDefault="00A77F5E" w:rsidP="006A4102">
      <w:pPr>
        <w:spacing w:before="80" w:after="80"/>
        <w:rPr>
          <w:rFonts w:ascii="Arial" w:eastAsia="Arial" w:hAnsi="Arial" w:cs="Arial"/>
          <w:bCs/>
        </w:rPr>
      </w:pPr>
      <w:r w:rsidRPr="005D07C6">
        <w:rPr>
          <w:rFonts w:ascii="Arial" w:eastAsia="Arial" w:hAnsi="Arial" w:cs="Arial"/>
          <w:b/>
        </w:rPr>
        <w:lastRenderedPageBreak/>
        <w:t>Summary:</w:t>
      </w:r>
      <w:r>
        <w:rPr>
          <w:rFonts w:ascii="Arial" w:eastAsia="Arial" w:hAnsi="Arial" w:cs="Arial"/>
          <w:b/>
        </w:rPr>
        <w:tab/>
      </w:r>
      <w:r w:rsidR="008C7D0D">
        <w:rPr>
          <w:rFonts w:ascii="Arial" w:eastAsia="Arial" w:hAnsi="Arial" w:cs="Arial"/>
          <w:bCs/>
        </w:rPr>
        <w:t>Section 18 of Superior Courts Act 10 of 2013 – leave to execute pending appeal – requirements of exceptional circumstances a</w:t>
      </w:r>
      <w:r w:rsidR="006E0236">
        <w:rPr>
          <w:rFonts w:ascii="Arial" w:eastAsia="Arial" w:hAnsi="Arial" w:cs="Arial"/>
          <w:bCs/>
        </w:rPr>
        <w:t>nd irreparable harm considered.</w:t>
      </w:r>
    </w:p>
    <w:p w14:paraId="07B27EEF" w14:textId="352FF361" w:rsidR="005F77B4" w:rsidRPr="003A025A" w:rsidRDefault="00A77F5E" w:rsidP="005F77B4">
      <w:pPr>
        <w:rPr>
          <w:rFonts w:eastAsia="Arial"/>
        </w:rPr>
      </w:pPr>
      <w:r>
        <w:rPr>
          <w:rFonts w:eastAsia="Arial"/>
        </w:rPr>
        <w:br w:type="page"/>
      </w:r>
      <w:r w:rsidR="005F77B4">
        <w:rPr>
          <w:rFonts w:ascii="Arial" w:eastAsia="Arial" w:hAnsi="Arial" w:cs="Arial"/>
          <w:b/>
        </w:rPr>
        <w:lastRenderedPageBreak/>
        <w:t>___________________________________________________________________</w:t>
      </w:r>
    </w:p>
    <w:p w14:paraId="65BC4B6C" w14:textId="77777777" w:rsidR="005F77B4" w:rsidRDefault="005F77B4" w:rsidP="005F77B4">
      <w:pPr>
        <w:spacing w:line="276" w:lineRule="auto"/>
        <w:jc w:val="center"/>
        <w:rPr>
          <w:rFonts w:ascii="Arial" w:eastAsia="Arial" w:hAnsi="Arial" w:cs="Arial"/>
          <w:b/>
        </w:rPr>
      </w:pPr>
    </w:p>
    <w:p w14:paraId="03A65BB5" w14:textId="77777777" w:rsidR="005F77B4" w:rsidRDefault="005F77B4" w:rsidP="005F77B4">
      <w:pPr>
        <w:spacing w:line="276" w:lineRule="auto"/>
        <w:jc w:val="center"/>
        <w:rPr>
          <w:rFonts w:ascii="Arial" w:eastAsia="Arial" w:hAnsi="Arial" w:cs="Arial"/>
          <w:b/>
        </w:rPr>
      </w:pPr>
      <w:r>
        <w:rPr>
          <w:rFonts w:ascii="Arial" w:eastAsia="Arial" w:hAnsi="Arial" w:cs="Arial"/>
          <w:b/>
        </w:rPr>
        <w:t>ORDER</w:t>
      </w:r>
    </w:p>
    <w:p w14:paraId="2018F0B1" w14:textId="77777777" w:rsidR="005F77B4" w:rsidRDefault="005F77B4" w:rsidP="005F77B4">
      <w:pPr>
        <w:spacing w:line="276" w:lineRule="auto"/>
        <w:rPr>
          <w:rFonts w:ascii="Arial" w:eastAsia="Arial" w:hAnsi="Arial" w:cs="Arial"/>
          <w:b/>
        </w:rPr>
      </w:pPr>
      <w:r>
        <w:rPr>
          <w:rFonts w:ascii="Arial" w:eastAsia="Arial" w:hAnsi="Arial" w:cs="Arial"/>
          <w:b/>
        </w:rPr>
        <w:t>___________________________________________________________________</w:t>
      </w:r>
    </w:p>
    <w:p w14:paraId="4C08A3F9" w14:textId="055EC987" w:rsidR="00A632A6" w:rsidRDefault="00A77F5E" w:rsidP="006A4102">
      <w:pPr>
        <w:spacing w:before="160" w:after="240"/>
        <w:rPr>
          <w:rFonts w:ascii="Arial" w:hAnsi="Arial" w:cs="Arial"/>
        </w:rPr>
      </w:pPr>
      <w:r>
        <w:rPr>
          <w:rFonts w:ascii="Arial" w:eastAsia="Arial" w:hAnsi="Arial" w:cs="Arial"/>
          <w:b/>
          <w:color w:val="000000"/>
        </w:rPr>
        <w:t>On appeal from</w:t>
      </w:r>
      <w:r>
        <w:rPr>
          <w:rFonts w:ascii="Arial" w:eastAsia="Arial" w:hAnsi="Arial" w:cs="Arial"/>
          <w:color w:val="000000"/>
        </w:rPr>
        <w:t xml:space="preserve">: </w:t>
      </w:r>
      <w:r w:rsidR="00575D1A">
        <w:rPr>
          <w:rFonts w:ascii="Arial" w:hAnsi="Arial" w:cs="Arial"/>
        </w:rPr>
        <w:t>Western Cape</w:t>
      </w:r>
      <w:r w:rsidRPr="00CB576A">
        <w:rPr>
          <w:rFonts w:ascii="Arial" w:hAnsi="Arial" w:cs="Arial"/>
        </w:rPr>
        <w:t xml:space="preserve"> </w:t>
      </w:r>
      <w:r w:rsidRPr="00A70B91">
        <w:rPr>
          <w:rFonts w:ascii="Arial" w:hAnsi="Arial" w:cs="Arial"/>
        </w:rPr>
        <w:t xml:space="preserve">Division of the High Court, </w:t>
      </w:r>
      <w:r w:rsidR="00575D1A">
        <w:rPr>
          <w:rFonts w:ascii="Arial" w:hAnsi="Arial" w:cs="Arial"/>
        </w:rPr>
        <w:t>Cape Town</w:t>
      </w:r>
      <w:r w:rsidR="008324A2">
        <w:rPr>
          <w:rFonts w:ascii="Arial" w:hAnsi="Arial" w:cs="Arial"/>
        </w:rPr>
        <w:t xml:space="preserve"> </w:t>
      </w:r>
      <w:r w:rsidR="008324A2" w:rsidRPr="00A70B91">
        <w:rPr>
          <w:rFonts w:ascii="Arial" w:hAnsi="Arial" w:cs="Arial"/>
        </w:rPr>
        <w:t>(</w:t>
      </w:r>
      <w:r w:rsidR="00575D1A">
        <w:rPr>
          <w:rFonts w:ascii="Arial" w:hAnsi="Arial" w:cs="Arial"/>
        </w:rPr>
        <w:t xml:space="preserve">Gamble and </w:t>
      </w:r>
      <w:proofErr w:type="spellStart"/>
      <w:r w:rsidR="00575D1A">
        <w:rPr>
          <w:rFonts w:ascii="Arial" w:hAnsi="Arial" w:cs="Arial"/>
        </w:rPr>
        <w:t>Wille</w:t>
      </w:r>
      <w:proofErr w:type="spellEnd"/>
      <w:r w:rsidR="008324A2">
        <w:rPr>
          <w:rFonts w:ascii="Arial" w:hAnsi="Arial" w:cs="Arial"/>
        </w:rPr>
        <w:t xml:space="preserve"> JJ</w:t>
      </w:r>
      <w:r w:rsidR="008324A2" w:rsidRPr="00A70B91">
        <w:rPr>
          <w:rFonts w:ascii="Arial" w:hAnsi="Arial" w:cs="Arial"/>
        </w:rPr>
        <w:t>, sitting as court of first instance):</w:t>
      </w:r>
    </w:p>
    <w:p w14:paraId="7AFC3BFF" w14:textId="7918149A" w:rsidR="00575D1A" w:rsidRPr="00384648" w:rsidRDefault="00575D1A" w:rsidP="00575D1A">
      <w:pPr>
        <w:rPr>
          <w:rFonts w:ascii="Arial" w:hAnsi="Arial" w:cs="Arial"/>
          <w:color w:val="242121"/>
          <w:shd w:val="clear" w:color="auto" w:fill="FFFFFF"/>
        </w:rPr>
      </w:pPr>
      <w:r>
        <w:rPr>
          <w:rFonts w:ascii="Arial" w:hAnsi="Arial" w:cs="Arial"/>
          <w:color w:val="242121"/>
          <w:shd w:val="clear" w:color="auto" w:fill="FFFFFF"/>
        </w:rPr>
        <w:t>The appeal is dismissed with costs, including those of two counsel where so employed.</w:t>
      </w:r>
    </w:p>
    <w:p w14:paraId="35B43C01" w14:textId="77777777" w:rsidR="00A77F5E" w:rsidRDefault="00A77F5E" w:rsidP="00A77F5E">
      <w:pPr>
        <w:pBdr>
          <w:top w:val="nil"/>
          <w:left w:val="nil"/>
          <w:bottom w:val="nil"/>
          <w:right w:val="nil"/>
          <w:between w:val="nil"/>
        </w:pBdr>
        <w:spacing w:line="276" w:lineRule="auto"/>
        <w:ind w:left="360" w:hanging="360"/>
        <w:rPr>
          <w:rFonts w:ascii="Arial" w:eastAsia="Arial" w:hAnsi="Arial" w:cs="Arial"/>
          <w:b/>
          <w:color w:val="000000"/>
        </w:rPr>
      </w:pPr>
      <w:r>
        <w:rPr>
          <w:rFonts w:ascii="Arial" w:eastAsia="Arial" w:hAnsi="Arial" w:cs="Arial"/>
          <w:b/>
          <w:color w:val="000000"/>
        </w:rPr>
        <w:t>___________________________________________________________________</w:t>
      </w:r>
    </w:p>
    <w:p w14:paraId="5E6EB5F2" w14:textId="77777777" w:rsidR="00A77F5E" w:rsidRDefault="00A77F5E" w:rsidP="00A77F5E">
      <w:pPr>
        <w:pBdr>
          <w:top w:val="nil"/>
          <w:left w:val="nil"/>
          <w:bottom w:val="nil"/>
          <w:right w:val="nil"/>
          <w:between w:val="nil"/>
        </w:pBdr>
        <w:spacing w:line="276" w:lineRule="auto"/>
        <w:ind w:left="360" w:hanging="360"/>
        <w:jc w:val="center"/>
        <w:rPr>
          <w:rFonts w:ascii="Arial" w:eastAsia="Arial" w:hAnsi="Arial" w:cs="Arial"/>
          <w:b/>
          <w:color w:val="000000"/>
        </w:rPr>
      </w:pPr>
    </w:p>
    <w:p w14:paraId="5846FEF9" w14:textId="77777777" w:rsidR="00A77F5E" w:rsidRDefault="00A77F5E" w:rsidP="00A77F5E">
      <w:pPr>
        <w:pBdr>
          <w:top w:val="nil"/>
          <w:left w:val="nil"/>
          <w:bottom w:val="nil"/>
          <w:right w:val="nil"/>
          <w:between w:val="nil"/>
        </w:pBdr>
        <w:spacing w:line="276" w:lineRule="auto"/>
        <w:ind w:left="360" w:hanging="360"/>
        <w:jc w:val="center"/>
        <w:rPr>
          <w:rFonts w:ascii="Arial" w:eastAsia="Arial" w:hAnsi="Arial" w:cs="Arial"/>
          <w:b/>
          <w:color w:val="000000"/>
        </w:rPr>
      </w:pPr>
      <w:r>
        <w:rPr>
          <w:rFonts w:ascii="Arial" w:eastAsia="Arial" w:hAnsi="Arial" w:cs="Arial"/>
          <w:b/>
          <w:color w:val="000000"/>
        </w:rPr>
        <w:t>JUDGMENT</w:t>
      </w:r>
    </w:p>
    <w:p w14:paraId="2932CC65" w14:textId="64E22C6E" w:rsidR="000C2862" w:rsidRDefault="00A77F5E" w:rsidP="00D903DF">
      <w:pPr>
        <w:pBdr>
          <w:top w:val="nil"/>
          <w:left w:val="nil"/>
          <w:bottom w:val="nil"/>
          <w:right w:val="nil"/>
          <w:between w:val="nil"/>
        </w:pBdr>
        <w:ind w:left="360" w:hanging="360"/>
        <w:rPr>
          <w:rFonts w:ascii="Arial" w:eastAsia="Arial" w:hAnsi="Arial" w:cs="Arial"/>
          <w:b/>
        </w:rPr>
      </w:pPr>
      <w:r>
        <w:rPr>
          <w:rFonts w:ascii="Arial" w:eastAsia="Arial" w:hAnsi="Arial" w:cs="Arial"/>
          <w:b/>
          <w:color w:val="000000"/>
        </w:rPr>
        <w:t>___________________________________________________________________</w:t>
      </w:r>
    </w:p>
    <w:p w14:paraId="18C03C55" w14:textId="724E4F3B" w:rsidR="004055E2" w:rsidRDefault="00A77F5E" w:rsidP="00D903DF">
      <w:pPr>
        <w:spacing w:before="120" w:after="120"/>
        <w:rPr>
          <w:rFonts w:ascii="Arial" w:eastAsia="Arial" w:hAnsi="Arial" w:cs="Arial"/>
          <w:b/>
        </w:rPr>
      </w:pPr>
      <w:r w:rsidRPr="003233C6">
        <w:rPr>
          <w:rFonts w:ascii="Arial" w:eastAsia="Arial" w:hAnsi="Arial" w:cs="Arial"/>
          <w:b/>
        </w:rPr>
        <w:t>Ponnan JA (</w:t>
      </w:r>
      <w:proofErr w:type="spellStart"/>
      <w:r w:rsidR="00EF47AF">
        <w:rPr>
          <w:rFonts w:ascii="Arial" w:eastAsia="Arial" w:hAnsi="Arial" w:cs="Arial"/>
          <w:b/>
        </w:rPr>
        <w:t>Makgoka</w:t>
      </w:r>
      <w:proofErr w:type="spellEnd"/>
      <w:r w:rsidR="00EF47AF">
        <w:rPr>
          <w:rFonts w:ascii="Arial" w:eastAsia="Arial" w:hAnsi="Arial" w:cs="Arial"/>
          <w:b/>
        </w:rPr>
        <w:t xml:space="preserve">, </w:t>
      </w:r>
      <w:proofErr w:type="spellStart"/>
      <w:r w:rsidR="00EF47AF">
        <w:rPr>
          <w:rFonts w:ascii="Arial" w:eastAsia="Arial" w:hAnsi="Arial" w:cs="Arial"/>
          <w:b/>
        </w:rPr>
        <w:t>Mabindla-Boqwana</w:t>
      </w:r>
      <w:proofErr w:type="spellEnd"/>
      <w:r w:rsidR="00EF47AF">
        <w:rPr>
          <w:rFonts w:ascii="Arial" w:eastAsia="Arial" w:hAnsi="Arial" w:cs="Arial"/>
          <w:b/>
        </w:rPr>
        <w:t xml:space="preserve"> and </w:t>
      </w:r>
      <w:proofErr w:type="spellStart"/>
      <w:r w:rsidR="00EF47AF">
        <w:rPr>
          <w:rFonts w:ascii="Arial" w:eastAsia="Arial" w:hAnsi="Arial" w:cs="Arial"/>
          <w:b/>
        </w:rPr>
        <w:t>Goosen</w:t>
      </w:r>
      <w:proofErr w:type="spellEnd"/>
      <w:r w:rsidR="00EF47AF">
        <w:rPr>
          <w:rFonts w:ascii="Arial" w:eastAsia="Arial" w:hAnsi="Arial" w:cs="Arial"/>
          <w:b/>
        </w:rPr>
        <w:t xml:space="preserve"> JJA and </w:t>
      </w:r>
      <w:proofErr w:type="spellStart"/>
      <w:r w:rsidR="00EF47AF">
        <w:rPr>
          <w:rFonts w:ascii="Arial" w:eastAsia="Arial" w:hAnsi="Arial" w:cs="Arial"/>
          <w:b/>
        </w:rPr>
        <w:t>Coppin</w:t>
      </w:r>
      <w:proofErr w:type="spellEnd"/>
      <w:r w:rsidR="00EF47AF">
        <w:rPr>
          <w:rFonts w:ascii="Arial" w:eastAsia="Arial" w:hAnsi="Arial" w:cs="Arial"/>
          <w:b/>
        </w:rPr>
        <w:t xml:space="preserve"> AJA</w:t>
      </w:r>
      <w:r w:rsidR="00575D1A">
        <w:rPr>
          <w:rFonts w:ascii="Arial" w:eastAsia="Arial" w:hAnsi="Arial" w:cs="Arial"/>
          <w:b/>
        </w:rPr>
        <w:t xml:space="preserve"> </w:t>
      </w:r>
      <w:r w:rsidRPr="003233C6">
        <w:rPr>
          <w:rFonts w:ascii="Arial" w:eastAsia="Arial" w:hAnsi="Arial" w:cs="Arial"/>
          <w:b/>
        </w:rPr>
        <w:t>concurring)</w:t>
      </w:r>
      <w:r w:rsidR="008C42CF" w:rsidRPr="003233C6">
        <w:rPr>
          <w:rFonts w:ascii="Arial" w:eastAsia="Arial" w:hAnsi="Arial" w:cs="Arial"/>
          <w:b/>
        </w:rPr>
        <w:t>:</w:t>
      </w:r>
    </w:p>
    <w:p w14:paraId="11EF03E5" w14:textId="5CFFFABA" w:rsidR="00665570" w:rsidRDefault="001C28E1" w:rsidP="00665570">
      <w:pPr>
        <w:rPr>
          <w:rFonts w:ascii="Arial" w:hAnsi="Arial" w:cs="Arial"/>
          <w:color w:val="242121"/>
          <w:shd w:val="clear" w:color="auto" w:fill="FFFFFF"/>
        </w:rPr>
      </w:pPr>
      <w:r>
        <w:rPr>
          <w:rFonts w:ascii="Arial" w:hAnsi="Arial" w:cs="Arial"/>
        </w:rPr>
        <w:t>[1]</w:t>
      </w:r>
      <w:r>
        <w:rPr>
          <w:rFonts w:ascii="Arial" w:hAnsi="Arial" w:cs="Arial"/>
        </w:rPr>
        <w:tab/>
      </w:r>
      <w:r w:rsidR="00665570" w:rsidRPr="008C7D0D">
        <w:rPr>
          <w:rFonts w:ascii="Arial" w:hAnsi="Arial" w:cs="Arial"/>
          <w:color w:val="242121"/>
          <w:shd w:val="clear" w:color="auto" w:fill="FFFFFF"/>
        </w:rPr>
        <w:t xml:space="preserve">I </w:t>
      </w:r>
      <w:r w:rsidR="00577427" w:rsidRPr="008C7D0D">
        <w:rPr>
          <w:rFonts w:ascii="Arial" w:hAnsi="Arial" w:cs="Arial"/>
          <w:color w:val="242121"/>
          <w:shd w:val="clear" w:color="auto" w:fill="FFFFFF"/>
        </w:rPr>
        <w:t>observ</w:t>
      </w:r>
      <w:r w:rsidR="008C7D0D" w:rsidRPr="008C7D0D">
        <w:rPr>
          <w:rFonts w:ascii="Arial" w:hAnsi="Arial" w:cs="Arial"/>
          <w:color w:val="242121"/>
          <w:shd w:val="clear" w:color="auto" w:fill="FFFFFF"/>
        </w:rPr>
        <w:t>ed</w:t>
      </w:r>
      <w:r w:rsidR="00665570" w:rsidRPr="008C7D0D">
        <w:rPr>
          <w:rFonts w:ascii="Arial" w:hAnsi="Arial" w:cs="Arial"/>
          <w:color w:val="242121"/>
          <w:shd w:val="clear" w:color="auto" w:fill="FFFFFF"/>
        </w:rPr>
        <w:t xml:space="preserve"> in </w:t>
      </w:r>
      <w:proofErr w:type="spellStart"/>
      <w:r w:rsidR="00665570" w:rsidRPr="008C7D0D">
        <w:rPr>
          <w:rFonts w:ascii="Arial" w:hAnsi="Arial" w:cs="Arial"/>
          <w:i/>
          <w:iCs/>
          <w:color w:val="242121"/>
          <w:shd w:val="clear" w:color="auto" w:fill="FFFFFF"/>
        </w:rPr>
        <w:t>Manong</w:t>
      </w:r>
      <w:proofErr w:type="spellEnd"/>
      <w:r w:rsidR="00665570" w:rsidRPr="008C7D0D">
        <w:rPr>
          <w:rFonts w:ascii="Arial" w:hAnsi="Arial" w:cs="Arial"/>
          <w:i/>
          <w:iCs/>
          <w:color w:val="242121"/>
          <w:shd w:val="clear" w:color="auto" w:fill="FFFFFF"/>
        </w:rPr>
        <w:t xml:space="preserve"> v Minister of Public Works</w:t>
      </w:r>
      <w:r w:rsidR="00665570" w:rsidRPr="008C7D0D">
        <w:rPr>
          <w:rFonts w:ascii="Arial" w:hAnsi="Arial" w:cs="Arial"/>
          <w:color w:val="242121"/>
          <w:shd w:val="clear" w:color="auto" w:fill="FFFFFF"/>
        </w:rPr>
        <w:t xml:space="preserve"> that ‘State tenders have become fertile ground for litigation’</w:t>
      </w:r>
      <w:r w:rsidR="00665570" w:rsidRPr="007946F8">
        <w:rPr>
          <w:rFonts w:ascii="Arial" w:hAnsi="Arial" w:cs="Arial"/>
          <w:color w:val="242121"/>
          <w:shd w:val="clear" w:color="auto" w:fill="FFFFFF"/>
        </w:rPr>
        <w:t>.</w:t>
      </w:r>
      <w:r w:rsidR="00665570">
        <w:rPr>
          <w:rStyle w:val="FootnoteReference"/>
          <w:rFonts w:ascii="Arial" w:hAnsi="Arial" w:cs="Arial"/>
          <w:color w:val="242121"/>
          <w:shd w:val="clear" w:color="auto" w:fill="FFFFFF"/>
        </w:rPr>
        <w:footnoteReference w:id="1"/>
      </w:r>
      <w:r w:rsidR="00665570">
        <w:rPr>
          <w:rFonts w:ascii="Arial" w:hAnsi="Arial" w:cs="Arial"/>
          <w:color w:val="242121"/>
          <w:shd w:val="clear" w:color="auto" w:fill="FFFFFF"/>
        </w:rPr>
        <w:t xml:space="preserve"> </w:t>
      </w:r>
      <w:r w:rsidR="004055E2">
        <w:rPr>
          <w:rFonts w:ascii="Arial" w:hAnsi="Arial" w:cs="Arial"/>
          <w:color w:val="242121"/>
          <w:shd w:val="clear" w:color="auto" w:fill="FFFFFF"/>
        </w:rPr>
        <w:t>A decade and a half later, t</w:t>
      </w:r>
      <w:r w:rsidR="00665570">
        <w:rPr>
          <w:rFonts w:ascii="Arial" w:hAnsi="Arial" w:cs="Arial"/>
          <w:color w:val="242121"/>
          <w:shd w:val="clear" w:color="auto" w:fill="FFFFFF"/>
        </w:rPr>
        <w:t>his yet again</w:t>
      </w:r>
      <w:r w:rsidR="00665570" w:rsidRPr="0070216F">
        <w:rPr>
          <w:rFonts w:ascii="Arial" w:hAnsi="Arial" w:cs="Arial"/>
          <w:color w:val="242121"/>
          <w:shd w:val="clear" w:color="auto" w:fill="FFFFFF"/>
        </w:rPr>
        <w:t xml:space="preserve"> </w:t>
      </w:r>
      <w:r w:rsidR="00E308E4">
        <w:rPr>
          <w:rFonts w:ascii="Arial" w:hAnsi="Arial" w:cs="Arial"/>
          <w:color w:val="242121"/>
          <w:shd w:val="clear" w:color="auto" w:fill="FFFFFF"/>
        </w:rPr>
        <w:t xml:space="preserve">is </w:t>
      </w:r>
      <w:r w:rsidR="00665570">
        <w:rPr>
          <w:rFonts w:ascii="Arial" w:hAnsi="Arial" w:cs="Arial"/>
          <w:color w:val="242121"/>
          <w:shd w:val="clear" w:color="auto" w:fill="FFFFFF"/>
        </w:rPr>
        <w:t>one such matter</w:t>
      </w:r>
      <w:r w:rsidR="00E308E4">
        <w:rPr>
          <w:rFonts w:ascii="Arial" w:hAnsi="Arial" w:cs="Arial"/>
          <w:color w:val="242121"/>
          <w:shd w:val="clear" w:color="auto" w:fill="FFFFFF"/>
        </w:rPr>
        <w:t xml:space="preserve">, having occupied the attention of our courts for some four years. </w:t>
      </w:r>
      <w:r w:rsidR="006D6E41" w:rsidRPr="006E0236">
        <w:rPr>
          <w:rFonts w:ascii="Arial" w:hAnsi="Arial" w:cs="Arial"/>
          <w:color w:val="242121"/>
          <w:shd w:val="clear" w:color="auto" w:fill="FFFFFF"/>
        </w:rPr>
        <w:t>A </w:t>
      </w:r>
      <w:r w:rsidR="00E308E4" w:rsidRPr="006E0236">
        <w:rPr>
          <w:rFonts w:ascii="Arial" w:hAnsi="Arial" w:cs="Arial"/>
          <w:color w:val="242121"/>
          <w:shd w:val="clear" w:color="auto" w:fill="FFFFFF"/>
        </w:rPr>
        <w:t>challenge to</w:t>
      </w:r>
      <w:r w:rsidR="00577427" w:rsidRPr="006E0236">
        <w:rPr>
          <w:rFonts w:ascii="Arial" w:hAnsi="Arial" w:cs="Arial"/>
          <w:color w:val="242121"/>
          <w:shd w:val="clear" w:color="auto" w:fill="FFFFFF"/>
        </w:rPr>
        <w:t xml:space="preserve"> a</w:t>
      </w:r>
      <w:r w:rsidR="00E308E4" w:rsidRPr="006E0236">
        <w:rPr>
          <w:rFonts w:ascii="Arial" w:hAnsi="Arial" w:cs="Arial"/>
          <w:color w:val="242121"/>
          <w:shd w:val="clear" w:color="auto" w:fill="FFFFFF"/>
        </w:rPr>
        <w:t xml:space="preserve"> previous award for the same services came before </w:t>
      </w:r>
      <w:r w:rsidR="00577427" w:rsidRPr="006E0236">
        <w:rPr>
          <w:rFonts w:ascii="Arial" w:hAnsi="Arial" w:cs="Arial"/>
          <w:color w:val="242121"/>
          <w:shd w:val="clear" w:color="auto" w:fill="FFFFFF"/>
        </w:rPr>
        <w:t xml:space="preserve">the Western Cape High Court, Cape Town (the high court) </w:t>
      </w:r>
      <w:r w:rsidR="00E308E4" w:rsidRPr="006E0236">
        <w:rPr>
          <w:rFonts w:ascii="Arial" w:hAnsi="Arial" w:cs="Arial"/>
          <w:color w:val="242121"/>
          <w:shd w:val="clear" w:color="auto" w:fill="FFFFFF"/>
        </w:rPr>
        <w:t xml:space="preserve">in 2001. </w:t>
      </w:r>
      <w:proofErr w:type="spellStart"/>
      <w:r w:rsidR="00577427" w:rsidRPr="006E0236">
        <w:rPr>
          <w:rFonts w:ascii="Arial" w:hAnsi="Arial" w:cs="Arial"/>
          <w:color w:val="242121"/>
          <w:shd w:val="clear" w:color="auto" w:fill="FFFFFF"/>
        </w:rPr>
        <w:t>Binns</w:t>
      </w:r>
      <w:proofErr w:type="spellEnd"/>
      <w:r w:rsidR="00577427" w:rsidRPr="006E0236">
        <w:rPr>
          <w:rFonts w:ascii="Arial" w:hAnsi="Arial" w:cs="Arial"/>
          <w:color w:val="242121"/>
          <w:shd w:val="clear" w:color="auto" w:fill="FFFFFF"/>
        </w:rPr>
        <w:t>-Ward J commenced his unreported decision i</w:t>
      </w:r>
      <w:r w:rsidR="00E308E4" w:rsidRPr="006E0236">
        <w:rPr>
          <w:rFonts w:ascii="Arial" w:hAnsi="Arial" w:cs="Arial"/>
          <w:color w:val="242121"/>
          <w:shd w:val="clear" w:color="auto" w:fill="FFFFFF"/>
        </w:rPr>
        <w:t xml:space="preserve">n that matter </w:t>
      </w:r>
      <w:r w:rsidR="00577427" w:rsidRPr="006E0236">
        <w:rPr>
          <w:rFonts w:ascii="Arial" w:hAnsi="Arial" w:cs="Arial"/>
          <w:color w:val="242121"/>
          <w:shd w:val="clear" w:color="auto" w:fill="FFFFFF"/>
        </w:rPr>
        <w:t>(</w:t>
      </w:r>
      <w:r w:rsidR="00665570" w:rsidRPr="006E0236">
        <w:rPr>
          <w:rFonts w:ascii="Arial" w:hAnsi="Arial" w:cs="Arial"/>
          <w:i/>
          <w:iCs/>
          <w:color w:val="242121"/>
          <w:shd w:val="clear" w:color="auto" w:fill="FFFFFF"/>
        </w:rPr>
        <w:t>Red Ant Security Relocation and Eviction Services (Pty) Ltd v</w:t>
      </w:r>
      <w:r w:rsidR="0080418F" w:rsidRPr="006E0236">
        <w:rPr>
          <w:rFonts w:ascii="Arial" w:hAnsi="Arial" w:cs="Arial"/>
          <w:i/>
          <w:iCs/>
          <w:color w:val="242121"/>
          <w:shd w:val="clear" w:color="auto" w:fill="FFFFFF"/>
        </w:rPr>
        <w:t xml:space="preserve"> The</w:t>
      </w:r>
      <w:r w:rsidR="00665570" w:rsidRPr="006E0236">
        <w:rPr>
          <w:rFonts w:ascii="Arial" w:hAnsi="Arial" w:cs="Arial"/>
          <w:i/>
          <w:iCs/>
          <w:color w:val="242121"/>
          <w:shd w:val="clear" w:color="auto" w:fill="FFFFFF"/>
        </w:rPr>
        <w:t xml:space="preserve"> Department of Human Settlements (Western Cape) </w:t>
      </w:r>
      <w:r w:rsidR="00665570" w:rsidRPr="006E0236">
        <w:rPr>
          <w:rFonts w:ascii="Arial" w:hAnsi="Arial" w:cs="Arial"/>
          <w:color w:val="242121"/>
          <w:shd w:val="clear" w:color="auto" w:fill="FFFFFF"/>
        </w:rPr>
        <w:t>(</w:t>
      </w:r>
      <w:r w:rsidR="00665570" w:rsidRPr="006E0236">
        <w:rPr>
          <w:rFonts w:ascii="Arial" w:hAnsi="Arial" w:cs="Arial"/>
          <w:i/>
          <w:iCs/>
          <w:color w:val="242121"/>
          <w:shd w:val="clear" w:color="auto" w:fill="FFFFFF"/>
          <w:lang w:val="en-US"/>
        </w:rPr>
        <w:t>Red</w:t>
      </w:r>
      <w:r w:rsidR="00665570" w:rsidRPr="006E0236">
        <w:rPr>
          <w:rFonts w:ascii="Arial" w:hAnsi="Arial" w:cs="Arial"/>
          <w:color w:val="242121"/>
          <w:shd w:val="clear" w:color="auto" w:fill="FFFFFF"/>
        </w:rPr>
        <w:t xml:space="preserve"> </w:t>
      </w:r>
      <w:r w:rsidR="00665570" w:rsidRPr="006E0236">
        <w:rPr>
          <w:rFonts w:ascii="Arial" w:hAnsi="Arial" w:cs="Arial"/>
          <w:i/>
          <w:iCs/>
          <w:color w:val="242121"/>
          <w:shd w:val="clear" w:color="auto" w:fill="FFFFFF"/>
        </w:rPr>
        <w:t>Ant</w:t>
      </w:r>
      <w:r w:rsidR="00665570" w:rsidRPr="006E0236">
        <w:rPr>
          <w:rFonts w:ascii="Arial" w:hAnsi="Arial" w:cs="Arial"/>
          <w:color w:val="242121"/>
          <w:shd w:val="clear" w:color="auto" w:fill="FFFFFF"/>
        </w:rPr>
        <w:t>)</w:t>
      </w:r>
      <w:r w:rsidR="00577427" w:rsidRPr="006E0236">
        <w:rPr>
          <w:rFonts w:ascii="Arial" w:hAnsi="Arial" w:cs="Arial"/>
          <w:color w:val="242121"/>
          <w:shd w:val="clear" w:color="auto" w:fill="FFFFFF"/>
        </w:rPr>
        <w:t>) with a reference</w:t>
      </w:r>
      <w:r w:rsidR="00665570" w:rsidRPr="006E0236">
        <w:rPr>
          <w:rFonts w:ascii="Arial" w:hAnsi="Arial" w:cs="Arial"/>
          <w:color w:val="242121"/>
          <w:shd w:val="clear" w:color="auto" w:fill="FFFFFF"/>
        </w:rPr>
        <w:t xml:space="preserve"> </w:t>
      </w:r>
      <w:r w:rsidR="00577427" w:rsidRPr="006E0236">
        <w:rPr>
          <w:rFonts w:ascii="Arial" w:hAnsi="Arial" w:cs="Arial"/>
          <w:color w:val="242121"/>
          <w:shd w:val="clear" w:color="auto" w:fill="FFFFFF"/>
        </w:rPr>
        <w:t xml:space="preserve">to </w:t>
      </w:r>
      <w:proofErr w:type="spellStart"/>
      <w:r w:rsidR="00665570" w:rsidRPr="006E0236">
        <w:rPr>
          <w:rFonts w:ascii="Arial" w:hAnsi="Arial" w:cs="Arial"/>
          <w:color w:val="242121"/>
          <w:shd w:val="clear" w:color="auto" w:fill="FFFFFF"/>
        </w:rPr>
        <w:t>Cachalia</w:t>
      </w:r>
      <w:proofErr w:type="spellEnd"/>
      <w:r w:rsidR="00665570" w:rsidRPr="006E0236">
        <w:rPr>
          <w:rFonts w:ascii="Arial" w:hAnsi="Arial" w:cs="Arial"/>
          <w:color w:val="242121"/>
          <w:shd w:val="clear" w:color="auto" w:fill="FFFFFF"/>
        </w:rPr>
        <w:t xml:space="preserve"> and Kohn</w:t>
      </w:r>
      <w:r w:rsidR="00577427" w:rsidRPr="006E0236">
        <w:rPr>
          <w:rFonts w:ascii="Arial" w:hAnsi="Arial" w:cs="Arial"/>
          <w:color w:val="242121"/>
          <w:shd w:val="clear" w:color="auto" w:fill="FFFFFF"/>
        </w:rPr>
        <w:t xml:space="preserve"> </w:t>
      </w:r>
      <w:r w:rsidR="00665570" w:rsidRPr="006E0236">
        <w:rPr>
          <w:rFonts w:ascii="Arial" w:hAnsi="Arial" w:cs="Arial"/>
          <w:color w:val="242121"/>
          <w:shd w:val="clear" w:color="auto" w:fill="FFFFFF"/>
        </w:rPr>
        <w:t>that: ‘Tendering has become a verifiably “messy business” and the courts are increasingly drawn into the quagmire in review proceedings. . .’</w:t>
      </w:r>
      <w:r w:rsidR="00733501" w:rsidRPr="006E0236">
        <w:rPr>
          <w:rFonts w:ascii="Arial" w:hAnsi="Arial" w:cs="Arial"/>
          <w:color w:val="242121"/>
          <w:shd w:val="clear" w:color="auto" w:fill="FFFFFF"/>
        </w:rPr>
        <w:t>.</w:t>
      </w:r>
      <w:r w:rsidR="00665570" w:rsidRPr="006E0236">
        <w:rPr>
          <w:rStyle w:val="FootnoteReference"/>
          <w:rFonts w:ascii="Arial" w:hAnsi="Arial" w:cs="Arial"/>
          <w:color w:val="242121"/>
          <w:shd w:val="clear" w:color="auto" w:fill="FFFFFF"/>
        </w:rPr>
        <w:footnoteReference w:id="2"/>
      </w:r>
    </w:p>
    <w:p w14:paraId="3CE2FF48" w14:textId="3B06E0E8" w:rsidR="001C28E1" w:rsidRDefault="001C28E1" w:rsidP="001C28E1">
      <w:pPr>
        <w:rPr>
          <w:rFonts w:ascii="Arial" w:hAnsi="Arial" w:cs="Arial"/>
        </w:rPr>
      </w:pPr>
    </w:p>
    <w:p w14:paraId="29E1A55F" w14:textId="79C1128B" w:rsidR="00E308E4" w:rsidRPr="005A1986" w:rsidRDefault="001C28E1" w:rsidP="00665570">
      <w:pPr>
        <w:rPr>
          <w:rFonts w:ascii="Arial" w:hAnsi="Arial" w:cs="Arial"/>
        </w:rPr>
      </w:pPr>
      <w:r>
        <w:rPr>
          <w:rFonts w:ascii="Arial" w:hAnsi="Arial" w:cs="Arial"/>
        </w:rPr>
        <w:t>[2]</w:t>
      </w:r>
      <w:r>
        <w:rPr>
          <w:rFonts w:ascii="Arial" w:hAnsi="Arial" w:cs="Arial"/>
        </w:rPr>
        <w:tab/>
      </w:r>
      <w:r w:rsidR="00665570">
        <w:rPr>
          <w:rFonts w:ascii="Arial" w:hAnsi="Arial" w:cs="Arial"/>
          <w:color w:val="242121"/>
          <w:shd w:val="clear" w:color="auto" w:fill="FFFFFF"/>
        </w:rPr>
        <w:t>The first respondent, the Western Cape Provincial Government (the Provincial Government), contracts with security companies for the provision of essential security services</w:t>
      </w:r>
      <w:r w:rsidR="00577427">
        <w:rPr>
          <w:rFonts w:ascii="Arial" w:hAnsi="Arial" w:cs="Arial"/>
          <w:color w:val="242121"/>
          <w:shd w:val="clear" w:color="auto" w:fill="FFFFFF"/>
        </w:rPr>
        <w:t xml:space="preserve"> in respect of property belonging to </w:t>
      </w:r>
      <w:r w:rsidR="00577427" w:rsidRPr="006E0236">
        <w:rPr>
          <w:rFonts w:ascii="Arial" w:hAnsi="Arial" w:cs="Arial"/>
          <w:color w:val="242121"/>
          <w:shd w:val="clear" w:color="auto" w:fill="FFFFFF"/>
        </w:rPr>
        <w:t>it</w:t>
      </w:r>
      <w:r w:rsidR="008B4C43" w:rsidRPr="006E0236">
        <w:rPr>
          <w:rFonts w:ascii="Arial" w:hAnsi="Arial" w:cs="Arial"/>
          <w:color w:val="242121"/>
          <w:shd w:val="clear" w:color="auto" w:fill="FFFFFF"/>
        </w:rPr>
        <w:t>,</w:t>
      </w:r>
      <w:r w:rsidR="00665570" w:rsidRPr="006E0236">
        <w:rPr>
          <w:rFonts w:ascii="Arial" w:hAnsi="Arial" w:cs="Arial"/>
          <w:color w:val="242121"/>
          <w:shd w:val="clear" w:color="auto" w:fill="FFFFFF"/>
        </w:rPr>
        <w:t xml:space="preserve"> </w:t>
      </w:r>
      <w:r w:rsidR="00434150" w:rsidRPr="006E0236">
        <w:rPr>
          <w:rFonts w:ascii="Arial" w:hAnsi="Arial" w:cs="Arial"/>
          <w:color w:val="242121"/>
          <w:shd w:val="clear" w:color="auto" w:fill="FFFFFF"/>
        </w:rPr>
        <w:t xml:space="preserve">which </w:t>
      </w:r>
      <w:r w:rsidR="00577427" w:rsidRPr="006E0236">
        <w:rPr>
          <w:rFonts w:ascii="Arial" w:hAnsi="Arial" w:cs="Arial"/>
          <w:color w:val="242121"/>
          <w:shd w:val="clear" w:color="auto" w:fill="FFFFFF"/>
        </w:rPr>
        <w:t>is</w:t>
      </w:r>
      <w:r w:rsidR="00665570" w:rsidRPr="006E0236">
        <w:rPr>
          <w:rFonts w:ascii="Arial" w:hAnsi="Arial" w:cs="Arial"/>
          <w:color w:val="242121"/>
          <w:shd w:val="clear" w:color="auto" w:fill="FFFFFF"/>
        </w:rPr>
        <w:t xml:space="preserve"> </w:t>
      </w:r>
      <w:r w:rsidR="00577427" w:rsidRPr="006E0236">
        <w:rPr>
          <w:rFonts w:ascii="Arial" w:hAnsi="Arial" w:cs="Arial"/>
          <w:color w:val="242121"/>
          <w:shd w:val="clear" w:color="auto" w:fill="FFFFFF"/>
        </w:rPr>
        <w:t>especially</w:t>
      </w:r>
      <w:r w:rsidR="00577427">
        <w:rPr>
          <w:rFonts w:ascii="Arial" w:hAnsi="Arial" w:cs="Arial"/>
          <w:color w:val="242121"/>
          <w:shd w:val="clear" w:color="auto" w:fill="FFFFFF"/>
        </w:rPr>
        <w:t xml:space="preserve"> </w:t>
      </w:r>
      <w:r w:rsidR="00665570">
        <w:rPr>
          <w:rFonts w:ascii="Arial" w:hAnsi="Arial" w:cs="Arial"/>
          <w:color w:val="242121"/>
          <w:shd w:val="clear" w:color="auto" w:fill="FFFFFF"/>
        </w:rPr>
        <w:t>vulnerable to unlawful occupation and vanda</w:t>
      </w:r>
      <w:r w:rsidR="00577427">
        <w:rPr>
          <w:rFonts w:ascii="Arial" w:hAnsi="Arial" w:cs="Arial"/>
          <w:color w:val="242121"/>
          <w:shd w:val="clear" w:color="auto" w:fill="FFFFFF"/>
        </w:rPr>
        <w:t>lism. Each contract typically endures for two years.</w:t>
      </w:r>
      <w:r w:rsidR="005A1986">
        <w:rPr>
          <w:rFonts w:ascii="Arial" w:hAnsi="Arial" w:cs="Arial"/>
          <w:color w:val="242121"/>
          <w:shd w:val="clear" w:color="auto" w:fill="FFFFFF"/>
        </w:rPr>
        <w:t xml:space="preserve"> On 25 March 2021, the tender for the services in question was first awarded jointly to the appellant, </w:t>
      </w:r>
      <w:proofErr w:type="spellStart"/>
      <w:r w:rsidR="005A1986">
        <w:rPr>
          <w:rFonts w:ascii="Arial" w:hAnsi="Arial" w:cs="Arial"/>
          <w:color w:val="242121"/>
          <w:shd w:val="clear" w:color="auto" w:fill="FFFFFF"/>
        </w:rPr>
        <w:t>Tyte</w:t>
      </w:r>
      <w:proofErr w:type="spellEnd"/>
      <w:r w:rsidR="005A1986">
        <w:rPr>
          <w:rFonts w:ascii="Arial" w:hAnsi="Arial" w:cs="Arial"/>
          <w:color w:val="242121"/>
          <w:shd w:val="clear" w:color="auto" w:fill="FFFFFF"/>
        </w:rPr>
        <w:t xml:space="preserve"> Security Services CC (</w:t>
      </w:r>
      <w:proofErr w:type="spellStart"/>
      <w:r w:rsidR="005A1986">
        <w:rPr>
          <w:rFonts w:ascii="Arial" w:hAnsi="Arial" w:cs="Arial"/>
          <w:color w:val="242121"/>
          <w:shd w:val="clear" w:color="auto" w:fill="FFFFFF"/>
        </w:rPr>
        <w:t>Tyte</w:t>
      </w:r>
      <w:proofErr w:type="spellEnd"/>
      <w:r w:rsidR="005A1986">
        <w:rPr>
          <w:rFonts w:ascii="Arial" w:hAnsi="Arial" w:cs="Arial"/>
          <w:color w:val="242121"/>
          <w:shd w:val="clear" w:color="auto" w:fill="FFFFFF"/>
        </w:rPr>
        <w:t xml:space="preserve">), and Seal Security (Seal). </w:t>
      </w:r>
      <w:r w:rsidR="005A1986" w:rsidRPr="005A1986">
        <w:rPr>
          <w:rFonts w:ascii="Arial" w:hAnsi="Arial" w:cs="Arial"/>
          <w:color w:val="242121"/>
          <w:shd w:val="clear" w:color="auto" w:fill="FFFFFF"/>
        </w:rPr>
        <w:t xml:space="preserve">The award of the contract </w:t>
      </w:r>
      <w:r w:rsidR="005A1986" w:rsidRPr="005A1986">
        <w:rPr>
          <w:rFonts w:ascii="Arial" w:hAnsi="Arial" w:cs="Arial"/>
        </w:rPr>
        <w:t>(the first contract)</w:t>
      </w:r>
      <w:r w:rsidR="005A1986" w:rsidRPr="005A1986">
        <w:rPr>
          <w:rFonts w:ascii="Arial" w:hAnsi="Arial" w:cs="Arial"/>
          <w:color w:val="242121"/>
          <w:shd w:val="clear" w:color="auto" w:fill="FFFFFF"/>
        </w:rPr>
        <w:t xml:space="preserve"> followed upon a state procurement tender process.</w:t>
      </w:r>
    </w:p>
    <w:p w14:paraId="2B97EA49" w14:textId="0FC6C03E" w:rsidR="005A1986" w:rsidRDefault="005A1986" w:rsidP="00665570">
      <w:pPr>
        <w:rPr>
          <w:rFonts w:ascii="Arial" w:hAnsi="Arial" w:cs="Arial"/>
        </w:rPr>
      </w:pPr>
    </w:p>
    <w:p w14:paraId="709F5559" w14:textId="05A7F6DC" w:rsidR="00665570" w:rsidRDefault="001C28E1" w:rsidP="00665570">
      <w:pPr>
        <w:rPr>
          <w:rFonts w:ascii="Arial" w:hAnsi="Arial" w:cs="Arial"/>
          <w:color w:val="242121"/>
          <w:shd w:val="clear" w:color="auto" w:fill="FFFFFF"/>
        </w:rPr>
      </w:pPr>
      <w:r>
        <w:rPr>
          <w:rFonts w:ascii="Arial" w:hAnsi="Arial" w:cs="Arial"/>
        </w:rPr>
        <w:t>[3]</w:t>
      </w:r>
      <w:r>
        <w:rPr>
          <w:rFonts w:ascii="Arial" w:hAnsi="Arial" w:cs="Arial"/>
        </w:rPr>
        <w:tab/>
      </w:r>
      <w:r w:rsidR="00665570">
        <w:rPr>
          <w:rFonts w:ascii="Arial" w:hAnsi="Arial" w:cs="Arial"/>
          <w:color w:val="242121"/>
          <w:shd w:val="clear" w:color="auto" w:fill="FFFFFF"/>
        </w:rPr>
        <w:t xml:space="preserve">Red Ant Security Relocation and Eviction Services (Pty) Ltd, an unsuccessful tenderer, applied to the high court to review and set aside the decision to award the </w:t>
      </w:r>
      <w:r w:rsidR="005A1986">
        <w:rPr>
          <w:rFonts w:ascii="Arial" w:hAnsi="Arial" w:cs="Arial"/>
          <w:color w:val="242121"/>
          <w:shd w:val="clear" w:color="auto" w:fill="FFFFFF"/>
        </w:rPr>
        <w:t xml:space="preserve">first </w:t>
      </w:r>
      <w:r w:rsidR="00665570">
        <w:rPr>
          <w:rFonts w:ascii="Arial" w:hAnsi="Arial" w:cs="Arial"/>
          <w:color w:val="242121"/>
          <w:shd w:val="clear" w:color="auto" w:fill="FFFFFF"/>
        </w:rPr>
        <w:t xml:space="preserve">contract jointly to Seal and </w:t>
      </w:r>
      <w:proofErr w:type="spellStart"/>
      <w:r w:rsidR="00665570">
        <w:rPr>
          <w:rFonts w:ascii="Arial" w:hAnsi="Arial" w:cs="Arial"/>
          <w:color w:val="242121"/>
          <w:shd w:val="clear" w:color="auto" w:fill="FFFFFF"/>
        </w:rPr>
        <w:t>Tyte</w:t>
      </w:r>
      <w:proofErr w:type="spellEnd"/>
      <w:r w:rsidR="00665570">
        <w:rPr>
          <w:rFonts w:ascii="Arial" w:hAnsi="Arial" w:cs="Arial"/>
          <w:color w:val="242121"/>
          <w:shd w:val="clear" w:color="auto" w:fill="FFFFFF"/>
        </w:rPr>
        <w:t xml:space="preserve">. The application succeeded before </w:t>
      </w:r>
      <w:proofErr w:type="spellStart"/>
      <w:r w:rsidR="00665570">
        <w:rPr>
          <w:rFonts w:ascii="Arial" w:hAnsi="Arial" w:cs="Arial"/>
          <w:color w:val="242121"/>
          <w:shd w:val="clear" w:color="auto" w:fill="FFFFFF"/>
        </w:rPr>
        <w:t>Binns</w:t>
      </w:r>
      <w:proofErr w:type="spellEnd"/>
      <w:r w:rsidR="00665570">
        <w:rPr>
          <w:rFonts w:ascii="Arial" w:hAnsi="Arial" w:cs="Arial"/>
          <w:color w:val="242121"/>
          <w:shd w:val="clear" w:color="auto" w:fill="FFFFFF"/>
        </w:rPr>
        <w:t xml:space="preserve">-Ward J, who, </w:t>
      </w:r>
      <w:r w:rsidR="00665570" w:rsidRPr="000502F7">
        <w:rPr>
          <w:rFonts w:ascii="Arial" w:hAnsi="Arial" w:cs="Arial"/>
          <w:i/>
          <w:iCs/>
          <w:color w:val="242121"/>
          <w:shd w:val="clear" w:color="auto" w:fill="FFFFFF"/>
        </w:rPr>
        <w:t>inter alia</w:t>
      </w:r>
      <w:r w:rsidR="005532B3">
        <w:rPr>
          <w:rFonts w:ascii="Arial" w:hAnsi="Arial" w:cs="Arial"/>
          <w:color w:val="242121"/>
          <w:shd w:val="clear" w:color="auto" w:fill="FFFFFF"/>
        </w:rPr>
        <w:t>:</w:t>
      </w:r>
      <w:r w:rsidR="008C7D0D">
        <w:rPr>
          <w:rFonts w:ascii="Arial" w:hAnsi="Arial" w:cs="Arial"/>
          <w:color w:val="242121"/>
          <w:shd w:val="clear" w:color="auto" w:fill="FFFFFF"/>
        </w:rPr>
        <w:t xml:space="preserve"> </w:t>
      </w:r>
      <w:r w:rsidR="00665570">
        <w:rPr>
          <w:rFonts w:ascii="Arial" w:hAnsi="Arial" w:cs="Arial"/>
          <w:color w:val="242121"/>
          <w:shd w:val="clear" w:color="auto" w:fill="FFFFFF"/>
        </w:rPr>
        <w:t>(</w:t>
      </w:r>
      <w:proofErr w:type="spellStart"/>
      <w:r w:rsidR="00665570">
        <w:rPr>
          <w:rFonts w:ascii="Arial" w:hAnsi="Arial" w:cs="Arial"/>
          <w:color w:val="242121"/>
          <w:shd w:val="clear" w:color="auto" w:fill="FFFFFF"/>
        </w:rPr>
        <w:t>i</w:t>
      </w:r>
      <w:proofErr w:type="spellEnd"/>
      <w:r w:rsidR="00665570">
        <w:rPr>
          <w:rFonts w:ascii="Arial" w:hAnsi="Arial" w:cs="Arial"/>
          <w:color w:val="242121"/>
          <w:shd w:val="clear" w:color="auto" w:fill="FFFFFF"/>
        </w:rPr>
        <w:t xml:space="preserve">) declared the award of the </w:t>
      </w:r>
      <w:r w:rsidR="005A1986">
        <w:rPr>
          <w:rFonts w:ascii="Arial" w:hAnsi="Arial" w:cs="Arial"/>
          <w:color w:val="242121"/>
          <w:shd w:val="clear" w:color="auto" w:fill="FFFFFF"/>
        </w:rPr>
        <w:t xml:space="preserve">first </w:t>
      </w:r>
      <w:r w:rsidR="00665570">
        <w:rPr>
          <w:rFonts w:ascii="Arial" w:hAnsi="Arial" w:cs="Arial"/>
          <w:color w:val="242121"/>
          <w:shd w:val="clear" w:color="auto" w:fill="FFFFFF"/>
        </w:rPr>
        <w:t xml:space="preserve">contract </w:t>
      </w:r>
      <w:r w:rsidR="00766BC7">
        <w:rPr>
          <w:rFonts w:ascii="Arial" w:hAnsi="Arial" w:cs="Arial"/>
          <w:color w:val="242121"/>
          <w:shd w:val="clear" w:color="auto" w:fill="FFFFFF"/>
        </w:rPr>
        <w:t>invalid and set it aside;</w:t>
      </w:r>
      <w:r w:rsidR="008C7D0D">
        <w:rPr>
          <w:rFonts w:ascii="Arial" w:hAnsi="Arial" w:cs="Arial"/>
          <w:color w:val="242121"/>
          <w:shd w:val="clear" w:color="auto" w:fill="FFFFFF"/>
        </w:rPr>
        <w:t xml:space="preserve"> </w:t>
      </w:r>
      <w:r w:rsidR="00665570">
        <w:rPr>
          <w:rFonts w:ascii="Arial" w:hAnsi="Arial" w:cs="Arial"/>
          <w:color w:val="242121"/>
          <w:shd w:val="clear" w:color="auto" w:fill="FFFFFF"/>
        </w:rPr>
        <w:t xml:space="preserve">(ii) suspended the declaration of invalidity, pending the conclusion of an expedited process </w:t>
      </w:r>
      <w:r w:rsidR="00665570">
        <w:rPr>
          <w:rFonts w:ascii="Arial" w:hAnsi="Arial" w:cs="Arial"/>
          <w:i/>
          <w:iCs/>
          <w:color w:val="242121"/>
          <w:shd w:val="clear" w:color="auto" w:fill="FFFFFF"/>
        </w:rPr>
        <w:t xml:space="preserve">de novo </w:t>
      </w:r>
      <w:r w:rsidR="00665570">
        <w:rPr>
          <w:rFonts w:ascii="Arial" w:hAnsi="Arial" w:cs="Arial"/>
          <w:color w:val="242121"/>
          <w:shd w:val="clear" w:color="auto" w:fill="FFFFFF"/>
        </w:rPr>
        <w:t xml:space="preserve">by the Provincial Government to lawfully procure the services, </w:t>
      </w:r>
      <w:r w:rsidR="00766BC7">
        <w:rPr>
          <w:rFonts w:ascii="Arial" w:hAnsi="Arial" w:cs="Arial"/>
          <w:color w:val="242121"/>
          <w:shd w:val="clear" w:color="auto" w:fill="FFFFFF"/>
        </w:rPr>
        <w:t xml:space="preserve">the subject of the tender; </w:t>
      </w:r>
      <w:r w:rsidR="00766BC7" w:rsidRPr="006E0236">
        <w:rPr>
          <w:rFonts w:ascii="Arial" w:hAnsi="Arial" w:cs="Arial"/>
          <w:color w:val="242121"/>
          <w:shd w:val="clear" w:color="auto" w:fill="FFFFFF"/>
        </w:rPr>
        <w:t>and</w:t>
      </w:r>
      <w:r w:rsidR="00434150" w:rsidRPr="006E0236">
        <w:rPr>
          <w:rFonts w:ascii="Arial" w:hAnsi="Arial" w:cs="Arial"/>
          <w:color w:val="242121"/>
          <w:shd w:val="clear" w:color="auto" w:fill="FFFFFF"/>
        </w:rPr>
        <w:t>,</w:t>
      </w:r>
      <w:r w:rsidR="009046D1" w:rsidRPr="006E0236">
        <w:rPr>
          <w:rFonts w:ascii="Arial" w:hAnsi="Arial" w:cs="Arial"/>
          <w:color w:val="242121"/>
          <w:shd w:val="clear" w:color="auto" w:fill="FFFFFF"/>
        </w:rPr>
        <w:t xml:space="preserve"> </w:t>
      </w:r>
      <w:r w:rsidR="00665570" w:rsidRPr="006E0236">
        <w:rPr>
          <w:rFonts w:ascii="Arial" w:hAnsi="Arial" w:cs="Arial"/>
          <w:color w:val="242121"/>
          <w:shd w:val="clear" w:color="auto" w:fill="FFFFFF"/>
        </w:rPr>
        <w:t>(iii) directed the Provincial Government to ensure that the process is completed within six months or such further period as may be permitted by the court on application to it.</w:t>
      </w:r>
    </w:p>
    <w:p w14:paraId="25B72BDB" w14:textId="61395C85" w:rsidR="001C28E1" w:rsidRDefault="001C28E1" w:rsidP="001C28E1">
      <w:pPr>
        <w:rPr>
          <w:rFonts w:ascii="Arial" w:hAnsi="Arial" w:cs="Arial"/>
        </w:rPr>
      </w:pPr>
    </w:p>
    <w:p w14:paraId="040A7358" w14:textId="2A75AF5C" w:rsidR="00665570" w:rsidRDefault="001C28E1" w:rsidP="00665570">
      <w:pPr>
        <w:rPr>
          <w:rFonts w:ascii="Arial" w:hAnsi="Arial" w:cs="Arial"/>
          <w:color w:val="242121"/>
          <w:shd w:val="clear" w:color="auto" w:fill="FFFFFF"/>
        </w:rPr>
      </w:pPr>
      <w:r>
        <w:rPr>
          <w:rFonts w:ascii="Arial" w:hAnsi="Arial" w:cs="Arial"/>
        </w:rPr>
        <w:t>[4]</w:t>
      </w:r>
      <w:r>
        <w:rPr>
          <w:rFonts w:ascii="Arial" w:hAnsi="Arial" w:cs="Arial"/>
        </w:rPr>
        <w:tab/>
      </w:r>
      <w:r w:rsidR="00665570">
        <w:rPr>
          <w:rFonts w:ascii="Arial" w:hAnsi="Arial" w:cs="Arial"/>
          <w:color w:val="242121"/>
          <w:shd w:val="clear" w:color="auto" w:fill="FFFFFF"/>
        </w:rPr>
        <w:t xml:space="preserve">On 21 April 2021, the Provincial Government invited fresh bids for a </w:t>
      </w:r>
      <w:r w:rsidR="005A1986">
        <w:rPr>
          <w:rFonts w:ascii="Arial" w:hAnsi="Arial" w:cs="Arial"/>
          <w:color w:val="242121"/>
          <w:shd w:val="clear" w:color="auto" w:fill="FFFFFF"/>
        </w:rPr>
        <w:t xml:space="preserve">new </w:t>
      </w:r>
      <w:r w:rsidR="00665570">
        <w:rPr>
          <w:rFonts w:ascii="Arial" w:hAnsi="Arial" w:cs="Arial"/>
          <w:color w:val="242121"/>
          <w:shd w:val="clear" w:color="auto" w:fill="FFFFFF"/>
        </w:rPr>
        <w:t xml:space="preserve">24-month contract. On 31 May 2023, </w:t>
      </w:r>
      <w:r w:rsidR="009046D1">
        <w:rPr>
          <w:rFonts w:ascii="Arial" w:hAnsi="Arial" w:cs="Arial"/>
          <w:color w:val="242121"/>
          <w:shd w:val="clear" w:color="auto" w:fill="FFFFFF"/>
        </w:rPr>
        <w:t>it</w:t>
      </w:r>
      <w:r w:rsidR="00665570">
        <w:rPr>
          <w:rFonts w:ascii="Arial" w:hAnsi="Arial" w:cs="Arial"/>
          <w:color w:val="242121"/>
          <w:shd w:val="clear" w:color="auto" w:fill="FFFFFF"/>
        </w:rPr>
        <w:t xml:space="preserve"> awarded the tender</w:t>
      </w:r>
      <w:r w:rsidR="005A1986">
        <w:rPr>
          <w:rFonts w:ascii="Arial" w:hAnsi="Arial" w:cs="Arial"/>
          <w:color w:val="242121"/>
          <w:shd w:val="clear" w:color="auto" w:fill="FFFFFF"/>
        </w:rPr>
        <w:t xml:space="preserve"> </w:t>
      </w:r>
      <w:r w:rsidR="005A1986" w:rsidRPr="006E0236">
        <w:rPr>
          <w:rFonts w:ascii="Arial" w:hAnsi="Arial" w:cs="Arial"/>
          <w:color w:val="242121"/>
          <w:shd w:val="clear" w:color="auto" w:fill="FFFFFF"/>
        </w:rPr>
        <w:t>to</w:t>
      </w:r>
      <w:r w:rsidR="006D6E41" w:rsidRPr="006E0236">
        <w:rPr>
          <w:rFonts w:ascii="Arial" w:hAnsi="Arial" w:cs="Arial"/>
          <w:color w:val="242121"/>
          <w:shd w:val="clear" w:color="auto" w:fill="FFFFFF"/>
        </w:rPr>
        <w:t xml:space="preserve"> – </w:t>
      </w:r>
      <w:r w:rsidR="005A1986" w:rsidRPr="006E0236">
        <w:rPr>
          <w:rFonts w:ascii="Arial" w:hAnsi="Arial" w:cs="Arial"/>
          <w:color w:val="242121"/>
          <w:shd w:val="clear" w:color="auto" w:fill="FFFFFF"/>
        </w:rPr>
        <w:t>and concluded a contract to</w:t>
      </w:r>
      <w:r w:rsidR="00665570" w:rsidRPr="006E0236">
        <w:rPr>
          <w:rFonts w:ascii="Arial" w:hAnsi="Arial" w:cs="Arial"/>
          <w:color w:val="242121"/>
          <w:shd w:val="clear" w:color="auto" w:fill="FFFFFF"/>
        </w:rPr>
        <w:t xml:space="preserve"> commence immediately</w:t>
      </w:r>
      <w:r w:rsidR="005A1986" w:rsidRPr="006E0236">
        <w:rPr>
          <w:rFonts w:ascii="Arial" w:hAnsi="Arial" w:cs="Arial"/>
          <w:color w:val="242121"/>
          <w:shd w:val="clear" w:color="auto" w:fill="FFFFFF"/>
        </w:rPr>
        <w:t xml:space="preserve"> (the second contract) with</w:t>
      </w:r>
      <w:r w:rsidR="006D6E41" w:rsidRPr="006E0236">
        <w:rPr>
          <w:rFonts w:ascii="Arial" w:hAnsi="Arial" w:cs="Arial"/>
          <w:color w:val="242121"/>
          <w:shd w:val="clear" w:color="auto" w:fill="FFFFFF"/>
        </w:rPr>
        <w:t xml:space="preserve"> – </w:t>
      </w:r>
      <w:r w:rsidR="00665570" w:rsidRPr="006E0236">
        <w:rPr>
          <w:rFonts w:ascii="Arial" w:hAnsi="Arial" w:cs="Arial"/>
          <w:color w:val="242121"/>
          <w:shd w:val="clear" w:color="auto" w:fill="FFFFFF"/>
        </w:rPr>
        <w:t>the fourth respondent</w:t>
      </w:r>
      <w:r w:rsidR="00665570">
        <w:rPr>
          <w:rFonts w:ascii="Arial" w:hAnsi="Arial" w:cs="Arial"/>
          <w:color w:val="242121"/>
          <w:shd w:val="clear" w:color="auto" w:fill="FFFFFF"/>
        </w:rPr>
        <w:t xml:space="preserve">, Royal Security CC (Royal). On 15 June 2023, Seal brought an urgent application for an order </w:t>
      </w:r>
      <w:r w:rsidR="00665570" w:rsidRPr="009046D1">
        <w:rPr>
          <w:rFonts w:ascii="Arial" w:hAnsi="Arial" w:cs="Arial"/>
          <w:color w:val="242121"/>
          <w:shd w:val="clear" w:color="auto" w:fill="FFFFFF"/>
        </w:rPr>
        <w:t>that</w:t>
      </w:r>
      <w:r w:rsidR="00665570">
        <w:rPr>
          <w:rFonts w:ascii="Arial" w:hAnsi="Arial" w:cs="Arial"/>
          <w:color w:val="242121"/>
          <w:shd w:val="clear" w:color="auto" w:fill="FFFFFF"/>
        </w:rPr>
        <w:t xml:space="preserve"> pending the final determination of a review application</w:t>
      </w:r>
      <w:r w:rsidR="005A1986">
        <w:rPr>
          <w:rFonts w:ascii="Arial" w:hAnsi="Arial" w:cs="Arial"/>
          <w:color w:val="242121"/>
          <w:shd w:val="clear" w:color="auto" w:fill="FFFFFF"/>
        </w:rPr>
        <w:t xml:space="preserve"> (the review application)</w:t>
      </w:r>
      <w:r w:rsidR="00665570">
        <w:rPr>
          <w:rFonts w:ascii="Arial" w:hAnsi="Arial" w:cs="Arial"/>
          <w:color w:val="242121"/>
          <w:shd w:val="clear" w:color="auto" w:fill="FFFFFF"/>
        </w:rPr>
        <w:t xml:space="preserve">, the Provincial Government be interdicted from implementing or giving effect to its decision to award the tender to Royal. By way of a counter application, </w:t>
      </w:r>
      <w:proofErr w:type="spellStart"/>
      <w:r w:rsidR="00665570">
        <w:rPr>
          <w:rFonts w:ascii="Arial" w:hAnsi="Arial" w:cs="Arial"/>
          <w:color w:val="242121"/>
          <w:shd w:val="clear" w:color="auto" w:fill="FFFFFF"/>
        </w:rPr>
        <w:t>Tyte</w:t>
      </w:r>
      <w:proofErr w:type="spellEnd"/>
      <w:r w:rsidR="00665570">
        <w:rPr>
          <w:rFonts w:ascii="Arial" w:hAnsi="Arial" w:cs="Arial"/>
          <w:color w:val="242121"/>
          <w:shd w:val="clear" w:color="auto" w:fill="FFFFFF"/>
        </w:rPr>
        <w:t xml:space="preserve"> also sought the review and setting aside of the award. On 27 June 2023, Francis J, in issuing directions in respect of the further conduct of the review application, ordered that Seal and </w:t>
      </w:r>
      <w:proofErr w:type="spellStart"/>
      <w:r w:rsidR="00665570">
        <w:rPr>
          <w:rFonts w:ascii="Arial" w:hAnsi="Arial" w:cs="Arial"/>
          <w:color w:val="242121"/>
          <w:shd w:val="clear" w:color="auto" w:fill="FFFFFF"/>
        </w:rPr>
        <w:t>Tyte</w:t>
      </w:r>
      <w:proofErr w:type="spellEnd"/>
      <w:r w:rsidR="00665570">
        <w:rPr>
          <w:rFonts w:ascii="Arial" w:hAnsi="Arial" w:cs="Arial"/>
          <w:color w:val="242121"/>
          <w:shd w:val="clear" w:color="auto" w:fill="FFFFFF"/>
        </w:rPr>
        <w:t xml:space="preserve"> would continue to render services </w:t>
      </w:r>
      <w:r w:rsidR="00826DD1">
        <w:rPr>
          <w:rFonts w:ascii="Arial" w:hAnsi="Arial" w:cs="Arial"/>
          <w:color w:val="242121"/>
          <w:shd w:val="clear" w:color="auto" w:fill="FFFFFF"/>
        </w:rPr>
        <w:t xml:space="preserve">in terms of the first </w:t>
      </w:r>
      <w:r w:rsidR="00665570">
        <w:rPr>
          <w:rFonts w:ascii="Arial" w:hAnsi="Arial" w:cs="Arial"/>
          <w:color w:val="242121"/>
          <w:shd w:val="clear" w:color="auto" w:fill="FFFFFF"/>
        </w:rPr>
        <w:t>contract, pending the outcome of the review</w:t>
      </w:r>
      <w:r w:rsidR="00826DD1">
        <w:rPr>
          <w:rFonts w:ascii="Arial" w:hAnsi="Arial" w:cs="Arial"/>
          <w:color w:val="242121"/>
          <w:shd w:val="clear" w:color="auto" w:fill="FFFFFF"/>
        </w:rPr>
        <w:t xml:space="preserve"> application</w:t>
      </w:r>
      <w:r w:rsidR="00665570">
        <w:rPr>
          <w:rFonts w:ascii="Arial" w:hAnsi="Arial" w:cs="Arial"/>
          <w:color w:val="242121"/>
          <w:shd w:val="clear" w:color="auto" w:fill="FFFFFF"/>
        </w:rPr>
        <w:t>.</w:t>
      </w:r>
    </w:p>
    <w:p w14:paraId="26CDAFC9" w14:textId="77777777" w:rsidR="00665570" w:rsidRDefault="00665570" w:rsidP="00665570">
      <w:pPr>
        <w:rPr>
          <w:rFonts w:ascii="Arial" w:hAnsi="Arial" w:cs="Arial"/>
          <w:color w:val="242121"/>
          <w:shd w:val="clear" w:color="auto" w:fill="FFFFFF"/>
        </w:rPr>
      </w:pPr>
    </w:p>
    <w:p w14:paraId="5751DDF5" w14:textId="14E255CA" w:rsidR="00665570" w:rsidRDefault="00A632A6" w:rsidP="00665570">
      <w:pPr>
        <w:rPr>
          <w:rFonts w:ascii="Arial" w:hAnsi="Arial" w:cs="Arial"/>
          <w:color w:val="242121"/>
          <w:shd w:val="clear" w:color="auto" w:fill="FFFFFF"/>
        </w:rPr>
      </w:pPr>
      <w:r w:rsidRPr="00665570">
        <w:rPr>
          <w:rFonts w:ascii="Arial" w:hAnsi="Arial" w:cs="Arial"/>
        </w:rPr>
        <w:t>[</w:t>
      </w:r>
      <w:r w:rsidR="001C28E1" w:rsidRPr="00665570">
        <w:rPr>
          <w:rFonts w:ascii="Arial" w:hAnsi="Arial" w:cs="Arial"/>
        </w:rPr>
        <w:t>5]</w:t>
      </w:r>
      <w:r w:rsidR="001C28E1" w:rsidRPr="00665570">
        <w:rPr>
          <w:rFonts w:ascii="Arial" w:hAnsi="Arial" w:cs="Arial"/>
        </w:rPr>
        <w:tab/>
      </w:r>
      <w:r w:rsidR="00665570" w:rsidRPr="00665570">
        <w:rPr>
          <w:rFonts w:ascii="Arial" w:hAnsi="Arial" w:cs="Arial"/>
          <w:color w:val="242121"/>
          <w:shd w:val="clear" w:color="auto" w:fill="FFFFFF"/>
        </w:rPr>
        <w:t>The</w:t>
      </w:r>
      <w:r w:rsidR="00665570">
        <w:rPr>
          <w:rFonts w:ascii="Arial" w:hAnsi="Arial" w:cs="Arial"/>
          <w:color w:val="242121"/>
          <w:shd w:val="clear" w:color="auto" w:fill="FFFFFF"/>
        </w:rPr>
        <w:t xml:space="preserve"> review </w:t>
      </w:r>
      <w:r w:rsidR="00826DD1">
        <w:rPr>
          <w:rFonts w:ascii="Arial" w:hAnsi="Arial" w:cs="Arial"/>
          <w:color w:val="242121"/>
          <w:shd w:val="clear" w:color="auto" w:fill="FFFFFF"/>
        </w:rPr>
        <w:t xml:space="preserve">application </w:t>
      </w:r>
      <w:r w:rsidR="00665570">
        <w:rPr>
          <w:rFonts w:ascii="Arial" w:hAnsi="Arial" w:cs="Arial"/>
          <w:color w:val="242121"/>
          <w:shd w:val="clear" w:color="auto" w:fill="FFFFFF"/>
        </w:rPr>
        <w:t xml:space="preserve">was heard by Gamble et </w:t>
      </w:r>
      <w:proofErr w:type="spellStart"/>
      <w:r w:rsidR="00665570">
        <w:rPr>
          <w:rFonts w:ascii="Arial" w:hAnsi="Arial" w:cs="Arial"/>
          <w:color w:val="242121"/>
          <w:shd w:val="clear" w:color="auto" w:fill="FFFFFF"/>
        </w:rPr>
        <w:t>Wille</w:t>
      </w:r>
      <w:proofErr w:type="spellEnd"/>
      <w:r w:rsidR="00665570">
        <w:rPr>
          <w:rFonts w:ascii="Arial" w:hAnsi="Arial" w:cs="Arial"/>
          <w:color w:val="242121"/>
          <w:shd w:val="clear" w:color="auto" w:fill="FFFFFF"/>
        </w:rPr>
        <w:t xml:space="preserve"> JJ from 28 to 30 November 2023. Separate judgments were delivered on 21 February 2024, with Gamble J concurring</w:t>
      </w:r>
      <w:r w:rsidR="009046D1">
        <w:rPr>
          <w:rFonts w:ascii="Arial" w:hAnsi="Arial" w:cs="Arial"/>
          <w:color w:val="242121"/>
          <w:shd w:val="clear" w:color="auto" w:fill="FFFFFF"/>
        </w:rPr>
        <w:t>,</w:t>
      </w:r>
      <w:r w:rsidR="00665570">
        <w:rPr>
          <w:rFonts w:ascii="Arial" w:hAnsi="Arial" w:cs="Arial"/>
          <w:color w:val="242121"/>
          <w:shd w:val="clear" w:color="auto" w:fill="FFFFFF"/>
        </w:rPr>
        <w:t xml:space="preserve"> for somewhat different reasons, in the order proposed by </w:t>
      </w:r>
      <w:proofErr w:type="spellStart"/>
      <w:r w:rsidR="00665570">
        <w:rPr>
          <w:rFonts w:ascii="Arial" w:hAnsi="Arial" w:cs="Arial"/>
          <w:color w:val="242121"/>
          <w:shd w:val="clear" w:color="auto" w:fill="FFFFFF"/>
        </w:rPr>
        <w:t>Wille</w:t>
      </w:r>
      <w:proofErr w:type="spellEnd"/>
      <w:r w:rsidR="00665570">
        <w:rPr>
          <w:rFonts w:ascii="Arial" w:hAnsi="Arial" w:cs="Arial"/>
          <w:color w:val="242121"/>
          <w:shd w:val="clear" w:color="auto" w:fill="FFFFFF"/>
        </w:rPr>
        <w:t xml:space="preserve"> J. The review application by </w:t>
      </w:r>
      <w:proofErr w:type="spellStart"/>
      <w:r w:rsidR="00665570">
        <w:rPr>
          <w:rFonts w:ascii="Arial" w:hAnsi="Arial" w:cs="Arial"/>
          <w:color w:val="242121"/>
          <w:shd w:val="clear" w:color="auto" w:fill="FFFFFF"/>
        </w:rPr>
        <w:t>Tyte</w:t>
      </w:r>
      <w:proofErr w:type="spellEnd"/>
      <w:r w:rsidR="00665570">
        <w:rPr>
          <w:rFonts w:ascii="Arial" w:hAnsi="Arial" w:cs="Arial"/>
          <w:color w:val="242121"/>
          <w:shd w:val="clear" w:color="auto" w:fill="FFFFFF"/>
        </w:rPr>
        <w:t xml:space="preserve"> and Seal was dismissed and the award of the tender to Royal upheld. The following order issued (the main order):</w:t>
      </w:r>
    </w:p>
    <w:p w14:paraId="3E5C49D6" w14:textId="340F3AB4" w:rsidR="00665570" w:rsidRPr="00766BC7" w:rsidRDefault="00665570" w:rsidP="00665570">
      <w:pPr>
        <w:rPr>
          <w:rFonts w:ascii="Arial" w:hAnsi="Arial" w:cs="Arial"/>
          <w:color w:val="242121"/>
          <w:sz w:val="22"/>
          <w:szCs w:val="22"/>
          <w:shd w:val="clear" w:color="auto" w:fill="FFFFFF"/>
        </w:rPr>
      </w:pPr>
      <w:r w:rsidRPr="00766BC7">
        <w:rPr>
          <w:rFonts w:ascii="Arial" w:hAnsi="Arial" w:cs="Arial"/>
          <w:color w:val="242121"/>
          <w:sz w:val="22"/>
          <w:szCs w:val="22"/>
          <w:shd w:val="clear" w:color="auto" w:fill="FFFFFF"/>
        </w:rPr>
        <w:t>‘1.</w:t>
      </w:r>
      <w:r w:rsidRPr="00766BC7">
        <w:rPr>
          <w:rFonts w:ascii="Arial" w:hAnsi="Arial" w:cs="Arial"/>
          <w:color w:val="242121"/>
          <w:sz w:val="22"/>
          <w:szCs w:val="22"/>
          <w:shd w:val="clear" w:color="auto" w:fill="FFFFFF"/>
        </w:rPr>
        <w:tab/>
        <w:t>The applicant’s [</w:t>
      </w:r>
      <w:proofErr w:type="spellStart"/>
      <w:r w:rsidRPr="00766BC7">
        <w:rPr>
          <w:rFonts w:ascii="Arial" w:hAnsi="Arial" w:cs="Arial"/>
          <w:color w:val="242121"/>
          <w:sz w:val="22"/>
          <w:szCs w:val="22"/>
          <w:shd w:val="clear" w:color="auto" w:fill="FFFFFF"/>
        </w:rPr>
        <w:t>Tyte’s</w:t>
      </w:r>
      <w:proofErr w:type="spellEnd"/>
      <w:r w:rsidRPr="00766BC7">
        <w:rPr>
          <w:rFonts w:ascii="Arial" w:hAnsi="Arial" w:cs="Arial"/>
          <w:color w:val="242121"/>
          <w:sz w:val="22"/>
          <w:szCs w:val="22"/>
          <w:shd w:val="clear" w:color="auto" w:fill="FFFFFF"/>
        </w:rPr>
        <w:t xml:space="preserve">] application and the twenty-second respondent’s [Seal’s] </w:t>
      </w:r>
      <w:r w:rsidR="00D853D7">
        <w:rPr>
          <w:rFonts w:ascii="Arial" w:hAnsi="Arial" w:cs="Arial"/>
          <w:color w:val="242121"/>
          <w:sz w:val="22"/>
          <w:szCs w:val="22"/>
          <w:shd w:val="clear" w:color="auto" w:fill="FFFFFF"/>
        </w:rPr>
        <w:tab/>
      </w:r>
      <w:r w:rsidRPr="00766BC7">
        <w:rPr>
          <w:rFonts w:ascii="Arial" w:hAnsi="Arial" w:cs="Arial"/>
          <w:color w:val="242121"/>
          <w:sz w:val="22"/>
          <w:szCs w:val="22"/>
          <w:shd w:val="clear" w:color="auto" w:fill="FFFFFF"/>
        </w:rPr>
        <w:t xml:space="preserve">counter application for the judicial review and setting aside the award by the first to </w:t>
      </w:r>
      <w:r w:rsidR="00D853D7">
        <w:rPr>
          <w:rFonts w:ascii="Arial" w:hAnsi="Arial" w:cs="Arial"/>
          <w:color w:val="242121"/>
          <w:sz w:val="22"/>
          <w:szCs w:val="22"/>
          <w:shd w:val="clear" w:color="auto" w:fill="FFFFFF"/>
        </w:rPr>
        <w:tab/>
      </w:r>
      <w:r w:rsidRPr="00766BC7">
        <w:rPr>
          <w:rFonts w:ascii="Arial" w:hAnsi="Arial" w:cs="Arial"/>
          <w:color w:val="242121"/>
          <w:sz w:val="22"/>
          <w:szCs w:val="22"/>
          <w:shd w:val="clear" w:color="auto" w:fill="FFFFFF"/>
        </w:rPr>
        <w:t>ninth respondents of Tender [T002/23] to the tenth respondent [Royal] are dismissed.</w:t>
      </w:r>
    </w:p>
    <w:p w14:paraId="75896F61" w14:textId="0B275398" w:rsidR="00665570" w:rsidRPr="00766BC7" w:rsidRDefault="00665570" w:rsidP="00665570">
      <w:pPr>
        <w:rPr>
          <w:rFonts w:ascii="Arial" w:hAnsi="Arial" w:cs="Arial"/>
          <w:color w:val="242121"/>
          <w:sz w:val="22"/>
          <w:szCs w:val="22"/>
          <w:shd w:val="clear" w:color="auto" w:fill="FFFFFF"/>
        </w:rPr>
      </w:pPr>
      <w:r w:rsidRPr="00766BC7">
        <w:rPr>
          <w:rFonts w:ascii="Arial" w:hAnsi="Arial" w:cs="Arial"/>
          <w:color w:val="242121"/>
          <w:sz w:val="22"/>
          <w:szCs w:val="22"/>
          <w:shd w:val="clear" w:color="auto" w:fill="FFFFFF"/>
        </w:rPr>
        <w:t>2.</w:t>
      </w:r>
      <w:r w:rsidRPr="00766BC7">
        <w:rPr>
          <w:rFonts w:ascii="Arial" w:hAnsi="Arial" w:cs="Arial"/>
          <w:color w:val="242121"/>
          <w:sz w:val="22"/>
          <w:szCs w:val="22"/>
          <w:shd w:val="clear" w:color="auto" w:fill="FFFFFF"/>
        </w:rPr>
        <w:tab/>
        <w:t xml:space="preserve">The tenth respondent shall take over and commence the operations required under </w:t>
      </w:r>
      <w:r w:rsidR="00D853D7">
        <w:rPr>
          <w:rFonts w:ascii="Arial" w:hAnsi="Arial" w:cs="Arial"/>
          <w:color w:val="242121"/>
          <w:sz w:val="22"/>
          <w:szCs w:val="22"/>
          <w:shd w:val="clear" w:color="auto" w:fill="FFFFFF"/>
        </w:rPr>
        <w:tab/>
      </w:r>
      <w:r w:rsidRPr="00766BC7">
        <w:rPr>
          <w:rFonts w:ascii="Arial" w:hAnsi="Arial" w:cs="Arial"/>
          <w:color w:val="242121"/>
          <w:sz w:val="22"/>
          <w:szCs w:val="22"/>
          <w:shd w:val="clear" w:color="auto" w:fill="FFFFFF"/>
        </w:rPr>
        <w:t>the tender contract within one calendar month of the date of this order.</w:t>
      </w:r>
    </w:p>
    <w:p w14:paraId="3482D7DF" w14:textId="11A3988C" w:rsidR="00665570" w:rsidRPr="00766BC7" w:rsidRDefault="00665570" w:rsidP="00665570">
      <w:pPr>
        <w:rPr>
          <w:rFonts w:ascii="Arial" w:hAnsi="Arial" w:cs="Arial"/>
          <w:color w:val="242121"/>
          <w:sz w:val="22"/>
          <w:szCs w:val="22"/>
          <w:shd w:val="clear" w:color="auto" w:fill="FFFFFF"/>
        </w:rPr>
      </w:pPr>
      <w:r w:rsidRPr="00766BC7">
        <w:rPr>
          <w:rFonts w:ascii="Arial" w:hAnsi="Arial" w:cs="Arial"/>
          <w:color w:val="242121"/>
          <w:sz w:val="22"/>
          <w:szCs w:val="22"/>
          <w:shd w:val="clear" w:color="auto" w:fill="FFFFFF"/>
        </w:rPr>
        <w:t>3.</w:t>
      </w:r>
      <w:r w:rsidRPr="00766BC7">
        <w:rPr>
          <w:rFonts w:ascii="Arial" w:hAnsi="Arial" w:cs="Arial"/>
          <w:color w:val="242121"/>
          <w:sz w:val="22"/>
          <w:szCs w:val="22"/>
          <w:shd w:val="clear" w:color="auto" w:fill="FFFFFF"/>
        </w:rPr>
        <w:tab/>
        <w:t xml:space="preserve">The applicant and the twenty-second respondent shall hand over such operations to </w:t>
      </w:r>
      <w:r w:rsidR="00D853D7">
        <w:rPr>
          <w:rFonts w:ascii="Arial" w:hAnsi="Arial" w:cs="Arial"/>
          <w:color w:val="242121"/>
          <w:sz w:val="22"/>
          <w:szCs w:val="22"/>
          <w:shd w:val="clear" w:color="auto" w:fill="FFFFFF"/>
        </w:rPr>
        <w:tab/>
      </w:r>
      <w:r w:rsidRPr="00766BC7">
        <w:rPr>
          <w:rFonts w:ascii="Arial" w:hAnsi="Arial" w:cs="Arial"/>
          <w:color w:val="242121"/>
          <w:sz w:val="22"/>
          <w:szCs w:val="22"/>
          <w:shd w:val="clear" w:color="auto" w:fill="FFFFFF"/>
        </w:rPr>
        <w:t xml:space="preserve">the tenth respondent and do everything necessary to enable the tenth respondent to </w:t>
      </w:r>
      <w:r w:rsidR="00D853D7">
        <w:rPr>
          <w:rFonts w:ascii="Arial" w:hAnsi="Arial" w:cs="Arial"/>
          <w:color w:val="242121"/>
          <w:sz w:val="22"/>
          <w:szCs w:val="22"/>
          <w:shd w:val="clear" w:color="auto" w:fill="FFFFFF"/>
        </w:rPr>
        <w:tab/>
      </w:r>
      <w:r w:rsidRPr="00766BC7">
        <w:rPr>
          <w:rFonts w:ascii="Arial" w:hAnsi="Arial" w:cs="Arial"/>
          <w:color w:val="242121"/>
          <w:sz w:val="22"/>
          <w:szCs w:val="22"/>
          <w:shd w:val="clear" w:color="auto" w:fill="FFFFFF"/>
        </w:rPr>
        <w:t>commence with the required security services within the stipulated timeframe.</w:t>
      </w:r>
    </w:p>
    <w:p w14:paraId="1AA054C4" w14:textId="642B6DE3" w:rsidR="00665570" w:rsidRPr="00766BC7" w:rsidRDefault="00665570" w:rsidP="00665570">
      <w:pPr>
        <w:rPr>
          <w:rFonts w:ascii="Arial" w:hAnsi="Arial" w:cs="Arial"/>
          <w:color w:val="242121"/>
          <w:sz w:val="22"/>
          <w:szCs w:val="22"/>
          <w:shd w:val="clear" w:color="auto" w:fill="FFFFFF"/>
        </w:rPr>
      </w:pPr>
      <w:r w:rsidRPr="00766BC7">
        <w:rPr>
          <w:rFonts w:ascii="Arial" w:hAnsi="Arial" w:cs="Arial"/>
          <w:color w:val="242121"/>
          <w:sz w:val="22"/>
          <w:szCs w:val="22"/>
          <w:shd w:val="clear" w:color="auto" w:fill="FFFFFF"/>
        </w:rPr>
        <w:t>4.</w:t>
      </w:r>
      <w:r w:rsidRPr="00766BC7">
        <w:rPr>
          <w:rFonts w:ascii="Arial" w:hAnsi="Arial" w:cs="Arial"/>
          <w:color w:val="242121"/>
          <w:sz w:val="22"/>
          <w:szCs w:val="22"/>
          <w:shd w:val="clear" w:color="auto" w:fill="FFFFFF"/>
        </w:rPr>
        <w:tab/>
        <w:t xml:space="preserve">The applicant shall pay the tenth respondent’s costs of the review application (including </w:t>
      </w:r>
      <w:r w:rsidR="00D853D7">
        <w:rPr>
          <w:rFonts w:ascii="Arial" w:hAnsi="Arial" w:cs="Arial"/>
          <w:color w:val="242121"/>
          <w:sz w:val="22"/>
          <w:szCs w:val="22"/>
          <w:shd w:val="clear" w:color="auto" w:fill="FFFFFF"/>
        </w:rPr>
        <w:tab/>
      </w:r>
      <w:r w:rsidRPr="00766BC7">
        <w:rPr>
          <w:rFonts w:ascii="Arial" w:hAnsi="Arial" w:cs="Arial"/>
          <w:color w:val="242121"/>
          <w:sz w:val="22"/>
          <w:szCs w:val="22"/>
          <w:shd w:val="clear" w:color="auto" w:fill="FFFFFF"/>
        </w:rPr>
        <w:t>the costs of two counsel where retained).</w:t>
      </w:r>
    </w:p>
    <w:p w14:paraId="13E09303" w14:textId="3EC9A64E" w:rsidR="00665570" w:rsidRPr="00766BC7" w:rsidRDefault="00665570" w:rsidP="00665570">
      <w:pPr>
        <w:rPr>
          <w:rFonts w:ascii="Arial" w:hAnsi="Arial" w:cs="Arial"/>
          <w:color w:val="242121"/>
          <w:sz w:val="22"/>
          <w:szCs w:val="22"/>
          <w:shd w:val="clear" w:color="auto" w:fill="FFFFFF"/>
        </w:rPr>
      </w:pPr>
      <w:r w:rsidRPr="00766BC7">
        <w:rPr>
          <w:rFonts w:ascii="Arial" w:hAnsi="Arial" w:cs="Arial"/>
          <w:color w:val="242121"/>
          <w:sz w:val="22"/>
          <w:szCs w:val="22"/>
          <w:shd w:val="clear" w:color="auto" w:fill="FFFFFF"/>
        </w:rPr>
        <w:t>5.</w:t>
      </w:r>
      <w:r w:rsidRPr="00766BC7">
        <w:rPr>
          <w:rFonts w:ascii="Arial" w:hAnsi="Arial" w:cs="Arial"/>
          <w:color w:val="242121"/>
          <w:sz w:val="22"/>
          <w:szCs w:val="22"/>
          <w:shd w:val="clear" w:color="auto" w:fill="FFFFFF"/>
        </w:rPr>
        <w:tab/>
        <w:t xml:space="preserve">The twenty-second respondent shall pay the tenth respondent’s costs of and incidental </w:t>
      </w:r>
      <w:r w:rsidR="00D853D7">
        <w:rPr>
          <w:rFonts w:ascii="Arial" w:hAnsi="Arial" w:cs="Arial"/>
          <w:color w:val="242121"/>
          <w:sz w:val="22"/>
          <w:szCs w:val="22"/>
          <w:shd w:val="clear" w:color="auto" w:fill="FFFFFF"/>
        </w:rPr>
        <w:tab/>
      </w:r>
      <w:r w:rsidRPr="00766BC7">
        <w:rPr>
          <w:rFonts w:ascii="Arial" w:hAnsi="Arial" w:cs="Arial"/>
          <w:color w:val="242121"/>
          <w:sz w:val="22"/>
          <w:szCs w:val="22"/>
          <w:shd w:val="clear" w:color="auto" w:fill="FFFFFF"/>
        </w:rPr>
        <w:t>to the counter application (including the costs of two counsel where retained).</w:t>
      </w:r>
    </w:p>
    <w:p w14:paraId="29748939" w14:textId="6F15C2B0" w:rsidR="00665570" w:rsidRPr="00766BC7" w:rsidRDefault="00665570" w:rsidP="00665570">
      <w:pPr>
        <w:rPr>
          <w:rFonts w:ascii="Arial" w:hAnsi="Arial" w:cs="Arial"/>
          <w:color w:val="242121"/>
          <w:sz w:val="22"/>
          <w:szCs w:val="22"/>
          <w:shd w:val="clear" w:color="auto" w:fill="FFFFFF"/>
        </w:rPr>
      </w:pPr>
      <w:r w:rsidRPr="00766BC7">
        <w:rPr>
          <w:rFonts w:ascii="Arial" w:hAnsi="Arial" w:cs="Arial"/>
          <w:color w:val="242121"/>
          <w:sz w:val="22"/>
          <w:szCs w:val="22"/>
          <w:shd w:val="clear" w:color="auto" w:fill="FFFFFF"/>
        </w:rPr>
        <w:t>6.</w:t>
      </w:r>
      <w:r w:rsidRPr="00766BC7">
        <w:rPr>
          <w:rFonts w:ascii="Arial" w:hAnsi="Arial" w:cs="Arial"/>
          <w:color w:val="242121"/>
          <w:sz w:val="22"/>
          <w:szCs w:val="22"/>
          <w:shd w:val="clear" w:color="auto" w:fill="FFFFFF"/>
        </w:rPr>
        <w:tab/>
        <w:t xml:space="preserve">The applicant shall pay the tenth respondent’s costs of the interdict application brought </w:t>
      </w:r>
      <w:r w:rsidR="008C63F5">
        <w:rPr>
          <w:rFonts w:ascii="Arial" w:hAnsi="Arial" w:cs="Arial"/>
          <w:color w:val="242121"/>
          <w:sz w:val="22"/>
          <w:szCs w:val="22"/>
          <w:shd w:val="clear" w:color="auto" w:fill="FFFFFF"/>
        </w:rPr>
        <w:tab/>
      </w:r>
      <w:r w:rsidRPr="00766BC7">
        <w:rPr>
          <w:rFonts w:ascii="Arial" w:hAnsi="Arial" w:cs="Arial"/>
          <w:color w:val="242121"/>
          <w:sz w:val="22"/>
          <w:szCs w:val="22"/>
          <w:shd w:val="clear" w:color="auto" w:fill="FFFFFF"/>
        </w:rPr>
        <w:t>under case number 9698/2023.</w:t>
      </w:r>
    </w:p>
    <w:p w14:paraId="76C10CD8" w14:textId="77777777" w:rsidR="00665570" w:rsidRPr="00766BC7" w:rsidRDefault="00665570" w:rsidP="00665570">
      <w:pPr>
        <w:rPr>
          <w:rFonts w:ascii="Arial" w:hAnsi="Arial" w:cs="Arial"/>
          <w:color w:val="242121"/>
          <w:sz w:val="22"/>
          <w:szCs w:val="22"/>
          <w:shd w:val="clear" w:color="auto" w:fill="FFFFFF"/>
        </w:rPr>
      </w:pPr>
      <w:r w:rsidRPr="00766BC7">
        <w:rPr>
          <w:rFonts w:ascii="Arial" w:hAnsi="Arial" w:cs="Arial"/>
          <w:color w:val="242121"/>
          <w:sz w:val="22"/>
          <w:szCs w:val="22"/>
          <w:shd w:val="clear" w:color="auto" w:fill="FFFFFF"/>
        </w:rPr>
        <w:t>7.</w:t>
      </w:r>
      <w:r w:rsidRPr="00766BC7">
        <w:rPr>
          <w:rFonts w:ascii="Arial" w:hAnsi="Arial" w:cs="Arial"/>
          <w:color w:val="242121"/>
          <w:sz w:val="22"/>
          <w:szCs w:val="22"/>
          <w:shd w:val="clear" w:color="auto" w:fill="FFFFFF"/>
        </w:rPr>
        <w:tab/>
        <w:t>There shall be no further orders regarding costs.’</w:t>
      </w:r>
    </w:p>
    <w:p w14:paraId="02A86206" w14:textId="7A7F593E" w:rsidR="00AE02C0" w:rsidRPr="00665570" w:rsidRDefault="00AE02C0" w:rsidP="001C28E1">
      <w:pPr>
        <w:rPr>
          <w:rFonts w:ascii="Arial" w:hAnsi="Arial" w:cs="Arial"/>
          <w:highlight w:val="yellow"/>
        </w:rPr>
      </w:pPr>
    </w:p>
    <w:p w14:paraId="307202A6" w14:textId="511488DE" w:rsidR="00665570" w:rsidRDefault="001C28E1" w:rsidP="00665570">
      <w:pPr>
        <w:rPr>
          <w:rFonts w:ascii="Arial" w:hAnsi="Arial" w:cs="Arial"/>
          <w:color w:val="242121"/>
          <w:shd w:val="clear" w:color="auto" w:fill="FFFFFF"/>
        </w:rPr>
      </w:pPr>
      <w:r w:rsidRPr="00665570">
        <w:rPr>
          <w:rFonts w:ascii="Arial" w:hAnsi="Arial" w:cs="Arial"/>
        </w:rPr>
        <w:t>[6]</w:t>
      </w:r>
      <w:r w:rsidRPr="00665570">
        <w:rPr>
          <w:rFonts w:ascii="Arial" w:hAnsi="Arial" w:cs="Arial"/>
        </w:rPr>
        <w:tab/>
      </w:r>
      <w:r w:rsidR="00665570" w:rsidRPr="00665570">
        <w:rPr>
          <w:rFonts w:ascii="Arial" w:hAnsi="Arial" w:cs="Arial"/>
          <w:color w:val="242121"/>
          <w:shd w:val="clear" w:color="auto" w:fill="FFFFFF"/>
        </w:rPr>
        <w:t>On 28</w:t>
      </w:r>
      <w:r w:rsidR="00665570">
        <w:rPr>
          <w:rFonts w:ascii="Arial" w:hAnsi="Arial" w:cs="Arial"/>
          <w:color w:val="242121"/>
          <w:shd w:val="clear" w:color="auto" w:fill="FFFFFF"/>
        </w:rPr>
        <w:t xml:space="preserve"> February 2024, </w:t>
      </w:r>
      <w:proofErr w:type="spellStart"/>
      <w:r w:rsidR="00665570">
        <w:rPr>
          <w:rFonts w:ascii="Arial" w:hAnsi="Arial" w:cs="Arial"/>
          <w:color w:val="242121"/>
          <w:shd w:val="clear" w:color="auto" w:fill="FFFFFF"/>
        </w:rPr>
        <w:t>Tyte</w:t>
      </w:r>
      <w:proofErr w:type="spellEnd"/>
      <w:r w:rsidR="00665570">
        <w:rPr>
          <w:rFonts w:ascii="Arial" w:hAnsi="Arial" w:cs="Arial"/>
          <w:color w:val="242121"/>
          <w:shd w:val="clear" w:color="auto" w:fill="FFFFFF"/>
        </w:rPr>
        <w:t xml:space="preserve"> applied for leave to appeal the main order. On 7 March 2024, Royal applied urgently </w:t>
      </w:r>
      <w:r w:rsidR="00665570" w:rsidRPr="002063F3">
        <w:rPr>
          <w:rFonts w:ascii="Arial" w:hAnsi="Arial" w:cs="Arial"/>
          <w:color w:val="242121"/>
          <w:shd w:val="clear" w:color="auto" w:fill="FFFFFF"/>
        </w:rPr>
        <w:t>in terms of s 18(1)</w:t>
      </w:r>
      <w:r w:rsidR="00665570">
        <w:rPr>
          <w:rFonts w:ascii="Arial" w:hAnsi="Arial" w:cs="Arial"/>
          <w:color w:val="242121"/>
          <w:shd w:val="clear" w:color="auto" w:fill="FFFFFF"/>
        </w:rPr>
        <w:t>,</w:t>
      </w:r>
      <w:r w:rsidR="00665570" w:rsidRPr="002063F3">
        <w:rPr>
          <w:rFonts w:ascii="Arial" w:hAnsi="Arial" w:cs="Arial"/>
          <w:color w:val="242121"/>
          <w:shd w:val="clear" w:color="auto" w:fill="FFFFFF"/>
        </w:rPr>
        <w:t xml:space="preserve"> read with s 18(3)</w:t>
      </w:r>
      <w:r w:rsidR="00665570">
        <w:rPr>
          <w:rFonts w:ascii="Arial" w:hAnsi="Arial" w:cs="Arial"/>
          <w:color w:val="242121"/>
          <w:shd w:val="clear" w:color="auto" w:fill="FFFFFF"/>
        </w:rPr>
        <w:t>,</w:t>
      </w:r>
      <w:r w:rsidR="00665570" w:rsidRPr="002063F3">
        <w:rPr>
          <w:rFonts w:ascii="Arial" w:hAnsi="Arial" w:cs="Arial"/>
          <w:color w:val="242121"/>
          <w:shd w:val="clear" w:color="auto" w:fill="FFFFFF"/>
        </w:rPr>
        <w:t xml:space="preserve"> of the Superior Courts Act 10 of 2013 (the Act) </w:t>
      </w:r>
      <w:r w:rsidR="00665570">
        <w:rPr>
          <w:rFonts w:ascii="Arial" w:hAnsi="Arial" w:cs="Arial"/>
          <w:color w:val="242121"/>
          <w:shd w:val="clear" w:color="auto" w:fill="FFFFFF"/>
        </w:rPr>
        <w:t>(the s 18 application), for an order in the following terms:</w:t>
      </w:r>
    </w:p>
    <w:p w14:paraId="43A88964" w14:textId="62267B57" w:rsidR="00665570" w:rsidRPr="00766BC7" w:rsidRDefault="00665570" w:rsidP="00665570">
      <w:pPr>
        <w:rPr>
          <w:rFonts w:ascii="Arial" w:hAnsi="Arial" w:cs="Arial"/>
          <w:color w:val="242121"/>
          <w:sz w:val="22"/>
          <w:szCs w:val="22"/>
          <w:shd w:val="clear" w:color="auto" w:fill="FFFFFF"/>
        </w:rPr>
      </w:pPr>
      <w:r w:rsidRPr="00766BC7">
        <w:rPr>
          <w:rFonts w:ascii="Arial" w:hAnsi="Arial" w:cs="Arial"/>
          <w:color w:val="242121"/>
          <w:sz w:val="22"/>
          <w:szCs w:val="22"/>
          <w:shd w:val="clear" w:color="auto" w:fill="FFFFFF"/>
        </w:rPr>
        <w:t>‘. . .</w:t>
      </w:r>
    </w:p>
    <w:p w14:paraId="33AB95EC" w14:textId="299BBBDE" w:rsidR="00665570" w:rsidRPr="00766BC7" w:rsidRDefault="00665570" w:rsidP="00665570">
      <w:pPr>
        <w:rPr>
          <w:rFonts w:ascii="Arial" w:hAnsi="Arial" w:cs="Arial"/>
          <w:color w:val="242121"/>
          <w:sz w:val="22"/>
          <w:szCs w:val="22"/>
          <w:shd w:val="clear" w:color="auto" w:fill="FFFFFF"/>
        </w:rPr>
      </w:pPr>
      <w:r w:rsidRPr="00766BC7">
        <w:rPr>
          <w:rFonts w:ascii="Arial" w:hAnsi="Arial" w:cs="Arial"/>
          <w:color w:val="242121"/>
          <w:sz w:val="22"/>
          <w:szCs w:val="22"/>
          <w:shd w:val="clear" w:color="auto" w:fill="FFFFFF"/>
        </w:rPr>
        <w:t>2.</w:t>
      </w:r>
      <w:r w:rsidRPr="00766BC7">
        <w:rPr>
          <w:rFonts w:ascii="Arial" w:hAnsi="Arial" w:cs="Arial"/>
          <w:color w:val="242121"/>
          <w:sz w:val="22"/>
          <w:szCs w:val="22"/>
          <w:shd w:val="clear" w:color="auto" w:fill="FFFFFF"/>
        </w:rPr>
        <w:tab/>
        <w:t xml:space="preserve">That paragraphs 1 to 3 of the order [the main order] handed down by this Court on 21 </w:t>
      </w:r>
      <w:r w:rsidR="003E7B4C">
        <w:rPr>
          <w:rFonts w:ascii="Arial" w:hAnsi="Arial" w:cs="Arial"/>
          <w:color w:val="242121"/>
          <w:sz w:val="22"/>
          <w:szCs w:val="22"/>
          <w:shd w:val="clear" w:color="auto" w:fill="FFFFFF"/>
        </w:rPr>
        <w:tab/>
      </w:r>
      <w:r w:rsidRPr="00766BC7">
        <w:rPr>
          <w:rFonts w:ascii="Arial" w:hAnsi="Arial" w:cs="Arial"/>
          <w:color w:val="242121"/>
          <w:sz w:val="22"/>
          <w:szCs w:val="22"/>
          <w:shd w:val="clear" w:color="auto" w:fill="FFFFFF"/>
        </w:rPr>
        <w:t xml:space="preserve">February 2024 in the main application brought under the abovementioned case </w:t>
      </w:r>
      <w:r w:rsidR="003E7B4C">
        <w:rPr>
          <w:rFonts w:ascii="Arial" w:hAnsi="Arial" w:cs="Arial"/>
          <w:color w:val="242121"/>
          <w:sz w:val="22"/>
          <w:szCs w:val="22"/>
          <w:shd w:val="clear" w:color="auto" w:fill="FFFFFF"/>
        </w:rPr>
        <w:tab/>
      </w:r>
      <w:r w:rsidRPr="00766BC7">
        <w:rPr>
          <w:rFonts w:ascii="Arial" w:hAnsi="Arial" w:cs="Arial"/>
          <w:color w:val="242121"/>
          <w:sz w:val="22"/>
          <w:szCs w:val="22"/>
          <w:shd w:val="clear" w:color="auto" w:fill="FFFFFF"/>
        </w:rPr>
        <w:t xml:space="preserve">number be implemented immediately pursuant to the provisions of section 18 of the </w:t>
      </w:r>
      <w:r w:rsidR="003E7B4C">
        <w:rPr>
          <w:rFonts w:ascii="Arial" w:hAnsi="Arial" w:cs="Arial"/>
          <w:color w:val="242121"/>
          <w:sz w:val="22"/>
          <w:szCs w:val="22"/>
          <w:shd w:val="clear" w:color="auto" w:fill="FFFFFF"/>
        </w:rPr>
        <w:tab/>
      </w:r>
      <w:r w:rsidRPr="00766BC7">
        <w:rPr>
          <w:rFonts w:ascii="Arial" w:hAnsi="Arial" w:cs="Arial"/>
          <w:color w:val="242121"/>
          <w:sz w:val="22"/>
          <w:szCs w:val="22"/>
          <w:shd w:val="clear" w:color="auto" w:fill="FFFFFF"/>
        </w:rPr>
        <w:t xml:space="preserve">Superior Courts Act, No. 10 of 2013, and not be suspended pending the hearing of </w:t>
      </w:r>
      <w:r w:rsidR="003E7B4C">
        <w:rPr>
          <w:rFonts w:ascii="Arial" w:hAnsi="Arial" w:cs="Arial"/>
          <w:color w:val="242121"/>
          <w:sz w:val="22"/>
          <w:szCs w:val="22"/>
          <w:shd w:val="clear" w:color="auto" w:fill="FFFFFF"/>
        </w:rPr>
        <w:tab/>
      </w:r>
      <w:r w:rsidRPr="00766BC7">
        <w:rPr>
          <w:rFonts w:ascii="Arial" w:hAnsi="Arial" w:cs="Arial"/>
          <w:color w:val="242121"/>
          <w:sz w:val="22"/>
          <w:szCs w:val="22"/>
          <w:shd w:val="clear" w:color="auto" w:fill="FFFFFF"/>
        </w:rPr>
        <w:t xml:space="preserve">any application for leave to appeal and the final determination of any appeal against </w:t>
      </w:r>
      <w:r w:rsidR="003E7B4C">
        <w:rPr>
          <w:rFonts w:ascii="Arial" w:hAnsi="Arial" w:cs="Arial"/>
          <w:color w:val="242121"/>
          <w:sz w:val="22"/>
          <w:szCs w:val="22"/>
          <w:shd w:val="clear" w:color="auto" w:fill="FFFFFF"/>
        </w:rPr>
        <w:tab/>
      </w:r>
      <w:r w:rsidRPr="00766BC7">
        <w:rPr>
          <w:rFonts w:ascii="Arial" w:hAnsi="Arial" w:cs="Arial"/>
          <w:color w:val="242121"/>
          <w:sz w:val="22"/>
          <w:szCs w:val="22"/>
          <w:shd w:val="clear" w:color="auto" w:fill="FFFFFF"/>
        </w:rPr>
        <w:t xml:space="preserve">the order, whether in the High Court, the Supreme Court of Appeal, or the </w:t>
      </w:r>
      <w:r w:rsidR="003E7B4C">
        <w:rPr>
          <w:rFonts w:ascii="Arial" w:hAnsi="Arial" w:cs="Arial"/>
          <w:color w:val="242121"/>
          <w:sz w:val="22"/>
          <w:szCs w:val="22"/>
          <w:shd w:val="clear" w:color="auto" w:fill="FFFFFF"/>
        </w:rPr>
        <w:tab/>
      </w:r>
      <w:r w:rsidRPr="00766BC7">
        <w:rPr>
          <w:rFonts w:ascii="Arial" w:hAnsi="Arial" w:cs="Arial"/>
          <w:color w:val="242121"/>
          <w:sz w:val="22"/>
          <w:szCs w:val="22"/>
          <w:shd w:val="clear" w:color="auto" w:fill="FFFFFF"/>
        </w:rPr>
        <w:t>Constitutional Court.</w:t>
      </w:r>
    </w:p>
    <w:p w14:paraId="58A35B58" w14:textId="15FD4383" w:rsidR="00665570" w:rsidRPr="00766BC7" w:rsidRDefault="00665570" w:rsidP="00665570">
      <w:pPr>
        <w:rPr>
          <w:rFonts w:ascii="Arial" w:hAnsi="Arial" w:cs="Arial"/>
          <w:color w:val="242121"/>
          <w:sz w:val="22"/>
          <w:szCs w:val="22"/>
          <w:shd w:val="clear" w:color="auto" w:fill="FFFFFF"/>
        </w:rPr>
      </w:pPr>
      <w:r w:rsidRPr="00766BC7">
        <w:rPr>
          <w:rFonts w:ascii="Arial" w:hAnsi="Arial" w:cs="Arial"/>
          <w:color w:val="242121"/>
          <w:sz w:val="22"/>
          <w:szCs w:val="22"/>
          <w:shd w:val="clear" w:color="auto" w:fill="FFFFFF"/>
        </w:rPr>
        <w:t>3.</w:t>
      </w:r>
      <w:r w:rsidRPr="00766BC7">
        <w:rPr>
          <w:rFonts w:ascii="Arial" w:hAnsi="Arial" w:cs="Arial"/>
          <w:color w:val="242121"/>
          <w:sz w:val="22"/>
          <w:szCs w:val="22"/>
          <w:shd w:val="clear" w:color="auto" w:fill="FFFFFF"/>
        </w:rPr>
        <w:tab/>
        <w:t xml:space="preserve">That the costs of this application be paid by those Respondents who oppose the relief </w:t>
      </w:r>
      <w:r w:rsidR="003E7B4C">
        <w:rPr>
          <w:rFonts w:ascii="Arial" w:hAnsi="Arial" w:cs="Arial"/>
          <w:color w:val="242121"/>
          <w:sz w:val="22"/>
          <w:szCs w:val="22"/>
          <w:shd w:val="clear" w:color="auto" w:fill="FFFFFF"/>
        </w:rPr>
        <w:tab/>
      </w:r>
      <w:r w:rsidRPr="00766BC7">
        <w:rPr>
          <w:rFonts w:ascii="Arial" w:hAnsi="Arial" w:cs="Arial"/>
          <w:color w:val="242121"/>
          <w:sz w:val="22"/>
          <w:szCs w:val="22"/>
          <w:shd w:val="clear" w:color="auto" w:fill="FFFFFF"/>
        </w:rPr>
        <w:t>sought.’</w:t>
      </w:r>
    </w:p>
    <w:p w14:paraId="063151BA" w14:textId="77777777" w:rsidR="00AE02C0" w:rsidRPr="00665570" w:rsidRDefault="00AE02C0" w:rsidP="001C28E1">
      <w:pPr>
        <w:rPr>
          <w:rFonts w:ascii="Arial" w:hAnsi="Arial" w:cs="Arial"/>
          <w:highlight w:val="yellow"/>
        </w:rPr>
      </w:pPr>
    </w:p>
    <w:p w14:paraId="1B67A95A" w14:textId="37659AE6" w:rsidR="00CD36C1" w:rsidRDefault="00AE02C0" w:rsidP="001C28E1">
      <w:pPr>
        <w:rPr>
          <w:rFonts w:ascii="Arial" w:hAnsi="Arial" w:cs="Arial"/>
          <w:color w:val="242121"/>
          <w:shd w:val="clear" w:color="auto" w:fill="FFFFFF"/>
        </w:rPr>
      </w:pPr>
      <w:r w:rsidRPr="00665570">
        <w:rPr>
          <w:rFonts w:ascii="Arial" w:hAnsi="Arial" w:cs="Arial"/>
        </w:rPr>
        <w:t>[7]</w:t>
      </w:r>
      <w:r w:rsidRPr="00665570">
        <w:rPr>
          <w:rFonts w:ascii="Arial" w:hAnsi="Arial" w:cs="Arial"/>
        </w:rPr>
        <w:tab/>
      </w:r>
      <w:r w:rsidR="00665570" w:rsidRPr="00665570">
        <w:rPr>
          <w:rFonts w:ascii="Arial" w:hAnsi="Arial" w:cs="Arial"/>
          <w:color w:val="242121"/>
          <w:shd w:val="clear" w:color="auto" w:fill="FFFFFF"/>
        </w:rPr>
        <w:t>On 8</w:t>
      </w:r>
      <w:r w:rsidR="00665570">
        <w:rPr>
          <w:rFonts w:ascii="Arial" w:hAnsi="Arial" w:cs="Arial"/>
          <w:color w:val="242121"/>
          <w:shd w:val="clear" w:color="auto" w:fill="FFFFFF"/>
        </w:rPr>
        <w:t xml:space="preserve"> March 2024, Seal and </w:t>
      </w:r>
      <w:proofErr w:type="spellStart"/>
      <w:r w:rsidR="00665570">
        <w:rPr>
          <w:rFonts w:ascii="Arial" w:hAnsi="Arial" w:cs="Arial"/>
          <w:color w:val="242121"/>
          <w:shd w:val="clear" w:color="auto" w:fill="FFFFFF"/>
        </w:rPr>
        <w:t>Tyte</w:t>
      </w:r>
      <w:proofErr w:type="spellEnd"/>
      <w:r w:rsidR="00665570">
        <w:rPr>
          <w:rFonts w:ascii="Arial" w:hAnsi="Arial" w:cs="Arial"/>
          <w:color w:val="242121"/>
          <w:shd w:val="clear" w:color="auto" w:fill="FFFFFF"/>
        </w:rPr>
        <w:t xml:space="preserve"> gave notice of their intention to oppose the </w:t>
      </w:r>
      <w:r w:rsidR="00665570" w:rsidRPr="006E0236">
        <w:rPr>
          <w:rFonts w:ascii="Arial" w:hAnsi="Arial" w:cs="Arial"/>
          <w:color w:val="242121"/>
          <w:shd w:val="clear" w:color="auto" w:fill="FFFFFF"/>
        </w:rPr>
        <w:t>s</w:t>
      </w:r>
      <w:r w:rsidR="006D6E41" w:rsidRPr="006E0236">
        <w:rPr>
          <w:rFonts w:ascii="Arial" w:hAnsi="Arial" w:cs="Arial"/>
          <w:color w:val="242121"/>
          <w:shd w:val="clear" w:color="auto" w:fill="FFFFFF"/>
        </w:rPr>
        <w:t> </w:t>
      </w:r>
      <w:r w:rsidR="00665570" w:rsidRPr="006E0236">
        <w:rPr>
          <w:rFonts w:ascii="Arial" w:hAnsi="Arial" w:cs="Arial"/>
          <w:color w:val="242121"/>
          <w:shd w:val="clear" w:color="auto" w:fill="FFFFFF"/>
        </w:rPr>
        <w:t>18 application</w:t>
      </w:r>
      <w:r w:rsidR="00665570">
        <w:rPr>
          <w:rFonts w:ascii="Arial" w:hAnsi="Arial" w:cs="Arial"/>
          <w:color w:val="242121"/>
          <w:shd w:val="clear" w:color="auto" w:fill="FFFFFF"/>
        </w:rPr>
        <w:t xml:space="preserve">. The Provincial Government elected to abide. Seal withdrew its opposition on 12 March 2024 and subsequently complied with the deadline fixed by the main order by handing operations over to Royal on 21 March 2024. The high court heard the s 18 application and </w:t>
      </w:r>
      <w:proofErr w:type="spellStart"/>
      <w:r w:rsidR="00665570">
        <w:rPr>
          <w:rFonts w:ascii="Arial" w:hAnsi="Arial" w:cs="Arial"/>
          <w:color w:val="242121"/>
          <w:shd w:val="clear" w:color="auto" w:fill="FFFFFF"/>
        </w:rPr>
        <w:t>Tyte’s</w:t>
      </w:r>
      <w:proofErr w:type="spellEnd"/>
      <w:r w:rsidR="00665570">
        <w:rPr>
          <w:rFonts w:ascii="Arial" w:hAnsi="Arial" w:cs="Arial"/>
          <w:color w:val="242121"/>
          <w:shd w:val="clear" w:color="auto" w:fill="FFFFFF"/>
        </w:rPr>
        <w:t xml:space="preserve"> application for leave to appeal the main order on 22 April 2024. On 24 April 2024, the high court dismissed </w:t>
      </w:r>
      <w:proofErr w:type="spellStart"/>
      <w:r w:rsidR="00665570">
        <w:rPr>
          <w:rFonts w:ascii="Arial" w:hAnsi="Arial" w:cs="Arial"/>
          <w:color w:val="242121"/>
          <w:shd w:val="clear" w:color="auto" w:fill="FFFFFF"/>
        </w:rPr>
        <w:t>Tyte’s</w:t>
      </w:r>
      <w:proofErr w:type="spellEnd"/>
      <w:r w:rsidR="00665570">
        <w:rPr>
          <w:rFonts w:ascii="Arial" w:hAnsi="Arial" w:cs="Arial"/>
          <w:color w:val="242121"/>
          <w:shd w:val="clear" w:color="auto" w:fill="FFFFFF"/>
        </w:rPr>
        <w:t xml:space="preserve"> application for leave to appeal. Four days later</w:t>
      </w:r>
      <w:r w:rsidR="00E373C6">
        <w:rPr>
          <w:rFonts w:ascii="Arial" w:hAnsi="Arial" w:cs="Arial"/>
          <w:color w:val="242121"/>
          <w:shd w:val="clear" w:color="auto" w:fill="FFFFFF"/>
        </w:rPr>
        <w:t>,</w:t>
      </w:r>
      <w:r w:rsidR="00665570">
        <w:rPr>
          <w:rFonts w:ascii="Arial" w:hAnsi="Arial" w:cs="Arial"/>
          <w:color w:val="242121"/>
          <w:shd w:val="clear" w:color="auto" w:fill="FFFFFF"/>
        </w:rPr>
        <w:t xml:space="preserve"> it delivered judgment in the s 18 application. It ordered that ‘[t]he operation and execution of the orders numbered 1, 2 and 3 . . . granted on 21 February 2024 . . . are to be implemented pending the outcome of any appeal process by [</w:t>
      </w:r>
      <w:proofErr w:type="spellStart"/>
      <w:r w:rsidR="00665570">
        <w:rPr>
          <w:rFonts w:ascii="Arial" w:hAnsi="Arial" w:cs="Arial"/>
          <w:color w:val="242121"/>
          <w:shd w:val="clear" w:color="auto" w:fill="FFFFFF"/>
        </w:rPr>
        <w:t>Tyte</w:t>
      </w:r>
      <w:proofErr w:type="spellEnd"/>
      <w:r w:rsidR="00665570">
        <w:rPr>
          <w:rFonts w:ascii="Arial" w:hAnsi="Arial" w:cs="Arial"/>
          <w:color w:val="242121"/>
          <w:shd w:val="clear" w:color="auto" w:fill="FFFFFF"/>
        </w:rPr>
        <w:t>] or until another court otherwise directs’</w:t>
      </w:r>
      <w:r w:rsidR="009046D1">
        <w:rPr>
          <w:rFonts w:ascii="Arial" w:hAnsi="Arial" w:cs="Arial"/>
          <w:color w:val="242121"/>
          <w:shd w:val="clear" w:color="auto" w:fill="FFFFFF"/>
        </w:rPr>
        <w:t xml:space="preserve"> (the execution order)</w:t>
      </w:r>
      <w:r w:rsidR="00665570">
        <w:rPr>
          <w:rFonts w:ascii="Arial" w:hAnsi="Arial" w:cs="Arial"/>
          <w:color w:val="242121"/>
          <w:shd w:val="clear" w:color="auto" w:fill="FFFFFF"/>
        </w:rPr>
        <w:t>.</w:t>
      </w:r>
    </w:p>
    <w:p w14:paraId="4FF42A98" w14:textId="77777777" w:rsidR="002E3D5C" w:rsidRPr="002E3D5C" w:rsidRDefault="002E3D5C" w:rsidP="001C28E1">
      <w:pPr>
        <w:rPr>
          <w:rFonts w:ascii="Arial" w:hAnsi="Arial" w:cs="Arial"/>
          <w:color w:val="242121"/>
          <w:shd w:val="clear" w:color="auto" w:fill="FFFFFF"/>
        </w:rPr>
      </w:pPr>
      <w:bookmarkStart w:id="1" w:name="_GoBack"/>
      <w:bookmarkEnd w:id="1"/>
    </w:p>
    <w:p w14:paraId="4094BE44" w14:textId="07E81C4C" w:rsidR="00665570" w:rsidRDefault="00A632A6" w:rsidP="00665570">
      <w:pPr>
        <w:rPr>
          <w:rFonts w:ascii="Arial" w:hAnsi="Arial" w:cs="Arial"/>
          <w:color w:val="242121"/>
          <w:shd w:val="clear" w:color="auto" w:fill="FFFFFF"/>
        </w:rPr>
      </w:pPr>
      <w:r w:rsidRPr="00665570">
        <w:rPr>
          <w:rFonts w:ascii="Arial" w:hAnsi="Arial" w:cs="Arial"/>
        </w:rPr>
        <w:t>[8]</w:t>
      </w:r>
      <w:r w:rsidRPr="00665570">
        <w:rPr>
          <w:rFonts w:ascii="Arial" w:hAnsi="Arial" w:cs="Arial"/>
        </w:rPr>
        <w:tab/>
      </w:r>
      <w:r w:rsidR="00665570" w:rsidRPr="00665570">
        <w:rPr>
          <w:rFonts w:ascii="Arial" w:hAnsi="Arial" w:cs="Arial"/>
          <w:color w:val="242121"/>
          <w:shd w:val="clear" w:color="auto" w:fill="FFFFFF"/>
        </w:rPr>
        <w:t>On</w:t>
      </w:r>
      <w:r w:rsidR="00665570">
        <w:rPr>
          <w:rFonts w:ascii="Arial" w:hAnsi="Arial" w:cs="Arial"/>
          <w:color w:val="242121"/>
          <w:shd w:val="clear" w:color="auto" w:fill="FFFFFF"/>
        </w:rPr>
        <w:t xml:space="preserve"> </w:t>
      </w:r>
      <w:r w:rsidR="00986F59" w:rsidRPr="00986F59">
        <w:rPr>
          <w:rFonts w:ascii="Arial" w:hAnsi="Arial" w:cs="Arial"/>
          <w:color w:val="242121"/>
          <w:shd w:val="clear" w:color="auto" w:fill="FFFFFF"/>
        </w:rPr>
        <w:t xml:space="preserve">3 </w:t>
      </w:r>
      <w:r w:rsidR="00986F59">
        <w:rPr>
          <w:rFonts w:ascii="Arial" w:hAnsi="Arial" w:cs="Arial"/>
          <w:color w:val="242121"/>
          <w:shd w:val="clear" w:color="auto" w:fill="FFFFFF"/>
        </w:rPr>
        <w:t>May 2024</w:t>
      </w:r>
      <w:r w:rsidR="009046D1">
        <w:rPr>
          <w:rFonts w:ascii="Arial" w:hAnsi="Arial" w:cs="Arial"/>
          <w:color w:val="242121"/>
          <w:shd w:val="clear" w:color="auto" w:fill="FFFFFF"/>
        </w:rPr>
        <w:t>,</w:t>
      </w:r>
      <w:r w:rsidR="00986F59">
        <w:rPr>
          <w:rFonts w:ascii="Arial" w:hAnsi="Arial" w:cs="Arial"/>
          <w:color w:val="242121"/>
          <w:shd w:val="clear" w:color="auto" w:fill="FFFFFF"/>
        </w:rPr>
        <w:t xml:space="preserve"> </w:t>
      </w:r>
      <w:proofErr w:type="spellStart"/>
      <w:r w:rsidR="00665570">
        <w:rPr>
          <w:rFonts w:ascii="Arial" w:hAnsi="Arial" w:cs="Arial"/>
          <w:color w:val="242121"/>
          <w:shd w:val="clear" w:color="auto" w:fill="FFFFFF"/>
        </w:rPr>
        <w:t>Tyte</w:t>
      </w:r>
      <w:proofErr w:type="spellEnd"/>
      <w:r w:rsidR="00665570">
        <w:rPr>
          <w:rFonts w:ascii="Arial" w:hAnsi="Arial" w:cs="Arial"/>
          <w:color w:val="242121"/>
          <w:shd w:val="clear" w:color="auto" w:fill="FFFFFF"/>
        </w:rPr>
        <w:t xml:space="preserve"> filed an application with this Court for leave to appeal the main order. </w:t>
      </w:r>
      <w:r w:rsidR="00665570" w:rsidRPr="002063F3">
        <w:rPr>
          <w:rFonts w:ascii="Arial" w:hAnsi="Arial" w:cs="Arial"/>
          <w:color w:val="242121"/>
          <w:shd w:val="clear" w:color="auto" w:fill="FFFFFF"/>
        </w:rPr>
        <w:t xml:space="preserve">Exercising </w:t>
      </w:r>
      <w:r w:rsidR="00665570">
        <w:rPr>
          <w:rFonts w:ascii="Arial" w:hAnsi="Arial" w:cs="Arial"/>
          <w:color w:val="242121"/>
          <w:shd w:val="clear" w:color="auto" w:fill="FFFFFF"/>
        </w:rPr>
        <w:t>an</w:t>
      </w:r>
      <w:r w:rsidR="00665570" w:rsidRPr="002063F3">
        <w:rPr>
          <w:rFonts w:ascii="Arial" w:hAnsi="Arial" w:cs="Arial"/>
          <w:color w:val="242121"/>
          <w:shd w:val="clear" w:color="auto" w:fill="FFFFFF"/>
        </w:rPr>
        <w:t xml:space="preserve"> automatic right of appeal under s 18(4)(ii) of the Act, </w:t>
      </w:r>
      <w:proofErr w:type="spellStart"/>
      <w:r w:rsidR="00665570">
        <w:rPr>
          <w:rFonts w:ascii="Arial" w:hAnsi="Arial" w:cs="Arial"/>
          <w:color w:val="242121"/>
          <w:shd w:val="clear" w:color="auto" w:fill="FFFFFF"/>
        </w:rPr>
        <w:t>Tyte</w:t>
      </w:r>
      <w:proofErr w:type="spellEnd"/>
      <w:r w:rsidR="00665570" w:rsidRPr="002063F3">
        <w:rPr>
          <w:rFonts w:ascii="Arial" w:hAnsi="Arial" w:cs="Arial"/>
          <w:color w:val="242121"/>
          <w:shd w:val="clear" w:color="auto" w:fill="FFFFFF"/>
        </w:rPr>
        <w:t xml:space="preserve"> filed a notice </w:t>
      </w:r>
      <w:r w:rsidR="00665570">
        <w:rPr>
          <w:rFonts w:ascii="Arial" w:hAnsi="Arial" w:cs="Arial"/>
          <w:color w:val="242121"/>
          <w:shd w:val="clear" w:color="auto" w:fill="FFFFFF"/>
        </w:rPr>
        <w:t>of</w:t>
      </w:r>
      <w:r w:rsidR="00665570" w:rsidRPr="002063F3">
        <w:rPr>
          <w:rFonts w:ascii="Arial" w:hAnsi="Arial" w:cs="Arial"/>
          <w:color w:val="242121"/>
          <w:shd w:val="clear" w:color="auto" w:fill="FFFFFF"/>
        </w:rPr>
        <w:t xml:space="preserve"> appeal </w:t>
      </w:r>
      <w:r w:rsidR="00665570">
        <w:rPr>
          <w:rFonts w:ascii="Arial" w:hAnsi="Arial" w:cs="Arial"/>
          <w:color w:val="242121"/>
          <w:shd w:val="clear" w:color="auto" w:fill="FFFFFF"/>
        </w:rPr>
        <w:t xml:space="preserve">in respect of the execution order </w:t>
      </w:r>
      <w:r w:rsidR="00665570" w:rsidRPr="002063F3">
        <w:rPr>
          <w:rFonts w:ascii="Arial" w:hAnsi="Arial" w:cs="Arial"/>
          <w:color w:val="242121"/>
          <w:shd w:val="clear" w:color="auto" w:fill="FFFFFF"/>
        </w:rPr>
        <w:t xml:space="preserve">with this Court </w:t>
      </w:r>
      <w:r w:rsidR="00665570">
        <w:rPr>
          <w:rFonts w:ascii="Arial" w:hAnsi="Arial" w:cs="Arial"/>
          <w:color w:val="242121"/>
          <w:shd w:val="clear" w:color="auto" w:fill="FFFFFF"/>
        </w:rPr>
        <w:t xml:space="preserve">on 8 May 2024. </w:t>
      </w:r>
      <w:r w:rsidR="00665570" w:rsidRPr="00177519">
        <w:rPr>
          <w:rFonts w:ascii="Arial" w:hAnsi="Arial" w:cs="Arial"/>
          <w:color w:val="242121"/>
          <w:shd w:val="clear" w:color="auto" w:fill="FFFFFF"/>
        </w:rPr>
        <w:t xml:space="preserve">The matter was </w:t>
      </w:r>
      <w:r w:rsidR="00665570">
        <w:rPr>
          <w:rFonts w:ascii="Arial" w:hAnsi="Arial" w:cs="Arial"/>
          <w:color w:val="242121"/>
          <w:shd w:val="clear" w:color="auto" w:fill="FFFFFF"/>
        </w:rPr>
        <w:t xml:space="preserve">thereafter </w:t>
      </w:r>
      <w:r w:rsidR="00665570" w:rsidRPr="00177519">
        <w:rPr>
          <w:rFonts w:ascii="Arial" w:hAnsi="Arial" w:cs="Arial"/>
          <w:color w:val="242121"/>
          <w:shd w:val="clear" w:color="auto" w:fill="FFFFFF"/>
        </w:rPr>
        <w:t xml:space="preserve">enrolled, in accordance with s 18(4)(iii), as one of urgency for hearing on </w:t>
      </w:r>
      <w:r w:rsidR="00665570">
        <w:rPr>
          <w:rFonts w:ascii="Arial" w:hAnsi="Arial" w:cs="Arial"/>
          <w:color w:val="242121"/>
          <w:shd w:val="clear" w:color="auto" w:fill="FFFFFF"/>
        </w:rPr>
        <w:t>Monday</w:t>
      </w:r>
      <w:r w:rsidR="00665570" w:rsidRPr="00177519">
        <w:rPr>
          <w:rFonts w:ascii="Arial" w:hAnsi="Arial" w:cs="Arial"/>
          <w:color w:val="242121"/>
          <w:shd w:val="clear" w:color="auto" w:fill="FFFFFF"/>
        </w:rPr>
        <w:t xml:space="preserve"> 2</w:t>
      </w:r>
      <w:r w:rsidR="00665570">
        <w:rPr>
          <w:rFonts w:ascii="Arial" w:hAnsi="Arial" w:cs="Arial"/>
          <w:color w:val="242121"/>
          <w:shd w:val="clear" w:color="auto" w:fill="FFFFFF"/>
        </w:rPr>
        <w:t>7</w:t>
      </w:r>
      <w:r w:rsidR="00665570" w:rsidRPr="00177519">
        <w:rPr>
          <w:rFonts w:ascii="Arial" w:hAnsi="Arial" w:cs="Arial"/>
          <w:color w:val="242121"/>
          <w:shd w:val="clear" w:color="auto" w:fill="FFFFFF"/>
        </w:rPr>
        <w:t xml:space="preserve"> </w:t>
      </w:r>
      <w:r w:rsidR="00665570">
        <w:rPr>
          <w:rFonts w:ascii="Arial" w:hAnsi="Arial" w:cs="Arial"/>
          <w:color w:val="242121"/>
          <w:shd w:val="clear" w:color="auto" w:fill="FFFFFF"/>
        </w:rPr>
        <w:t>May</w:t>
      </w:r>
      <w:r w:rsidR="00665570" w:rsidRPr="00177519">
        <w:rPr>
          <w:rFonts w:ascii="Arial" w:hAnsi="Arial" w:cs="Arial"/>
          <w:color w:val="242121"/>
          <w:shd w:val="clear" w:color="auto" w:fill="FFFFFF"/>
        </w:rPr>
        <w:t xml:space="preserve"> </w:t>
      </w:r>
      <w:r w:rsidR="00665570">
        <w:rPr>
          <w:rFonts w:ascii="Arial" w:hAnsi="Arial" w:cs="Arial"/>
          <w:color w:val="242121"/>
          <w:shd w:val="clear" w:color="auto" w:fill="FFFFFF"/>
        </w:rPr>
        <w:t>2024.</w:t>
      </w:r>
    </w:p>
    <w:p w14:paraId="43B15D4C" w14:textId="4D5E955C" w:rsidR="005D3B97" w:rsidRPr="00665570" w:rsidRDefault="005D3B97" w:rsidP="00665570">
      <w:pPr>
        <w:rPr>
          <w:rFonts w:ascii="Arial" w:hAnsi="Arial" w:cs="Arial"/>
          <w:highlight w:val="yellow"/>
        </w:rPr>
      </w:pPr>
    </w:p>
    <w:p w14:paraId="4A798115" w14:textId="65A7A08D" w:rsidR="00665570" w:rsidRPr="006E0236" w:rsidRDefault="00B54FD2" w:rsidP="00665570">
      <w:pPr>
        <w:rPr>
          <w:rFonts w:ascii="Arial" w:hAnsi="Arial" w:cs="Arial"/>
          <w:color w:val="242121"/>
          <w:shd w:val="clear" w:color="auto" w:fill="FFFFFF"/>
        </w:rPr>
      </w:pPr>
      <w:r w:rsidRPr="00665570">
        <w:rPr>
          <w:rFonts w:ascii="Arial" w:hAnsi="Arial" w:cs="Arial"/>
        </w:rPr>
        <w:t>[</w:t>
      </w:r>
      <w:r w:rsidR="00A632A6" w:rsidRPr="00665570">
        <w:rPr>
          <w:rFonts w:ascii="Arial" w:hAnsi="Arial" w:cs="Arial"/>
        </w:rPr>
        <w:t>9</w:t>
      </w:r>
      <w:r w:rsidR="001C28E1" w:rsidRPr="00665570">
        <w:rPr>
          <w:rFonts w:ascii="Arial" w:hAnsi="Arial" w:cs="Arial"/>
        </w:rPr>
        <w:t>]</w:t>
      </w:r>
      <w:r w:rsidR="001C28E1" w:rsidRPr="00665570">
        <w:rPr>
          <w:rFonts w:ascii="Arial" w:hAnsi="Arial" w:cs="Arial"/>
        </w:rPr>
        <w:tab/>
      </w:r>
      <w:r w:rsidR="00665570" w:rsidRPr="00665570">
        <w:rPr>
          <w:rFonts w:ascii="Arial" w:hAnsi="Arial" w:cs="Arial"/>
          <w:color w:val="242121"/>
          <w:shd w:val="clear" w:color="auto" w:fill="FFFFFF"/>
        </w:rPr>
        <w:t>This</w:t>
      </w:r>
      <w:r w:rsidR="00665570" w:rsidRPr="00E85579">
        <w:rPr>
          <w:rFonts w:ascii="Arial" w:hAnsi="Arial" w:cs="Arial"/>
          <w:color w:val="242121"/>
          <w:shd w:val="clear" w:color="auto" w:fill="FFFFFF"/>
        </w:rPr>
        <w:t xml:space="preserve"> Court has examined the</w:t>
      </w:r>
      <w:r w:rsidR="00665570">
        <w:rPr>
          <w:rFonts w:ascii="Arial" w:hAnsi="Arial" w:cs="Arial"/>
          <w:color w:val="242121"/>
          <w:shd w:val="clear" w:color="auto" w:fill="FFFFFF"/>
        </w:rPr>
        <w:t xml:space="preserve"> requirements</w:t>
      </w:r>
      <w:r w:rsidR="00665570" w:rsidRPr="00E85579">
        <w:rPr>
          <w:rFonts w:ascii="Arial" w:hAnsi="Arial" w:cs="Arial"/>
          <w:color w:val="242121"/>
          <w:shd w:val="clear" w:color="auto" w:fill="FFFFFF"/>
        </w:rPr>
        <w:t xml:space="preserve"> for the implementation o</w:t>
      </w:r>
      <w:r w:rsidR="00665570">
        <w:rPr>
          <w:rFonts w:ascii="Arial" w:hAnsi="Arial" w:cs="Arial"/>
          <w:color w:val="242121"/>
          <w:shd w:val="clear" w:color="auto" w:fill="FFFFFF"/>
        </w:rPr>
        <w:t xml:space="preserve">f an </w:t>
      </w:r>
      <w:r w:rsidR="009046D1">
        <w:rPr>
          <w:rFonts w:ascii="Arial" w:hAnsi="Arial" w:cs="Arial"/>
          <w:color w:val="242121"/>
          <w:shd w:val="clear" w:color="auto" w:fill="FFFFFF"/>
        </w:rPr>
        <w:t xml:space="preserve">execution </w:t>
      </w:r>
      <w:r w:rsidR="00665570">
        <w:rPr>
          <w:rFonts w:ascii="Arial" w:hAnsi="Arial" w:cs="Arial"/>
          <w:color w:val="242121"/>
          <w:shd w:val="clear" w:color="auto" w:fill="FFFFFF"/>
        </w:rPr>
        <w:t xml:space="preserve">order pending an appeal in </w:t>
      </w:r>
      <w:r w:rsidR="00665570" w:rsidRPr="00E85579">
        <w:rPr>
          <w:rFonts w:ascii="Arial" w:hAnsi="Arial" w:cs="Arial"/>
          <w:i/>
          <w:iCs/>
          <w:color w:val="242121"/>
          <w:shd w:val="clear" w:color="auto" w:fill="FFFFFF"/>
        </w:rPr>
        <w:t xml:space="preserve">University of the Free State v </w:t>
      </w:r>
      <w:proofErr w:type="spellStart"/>
      <w:r w:rsidR="00665570" w:rsidRPr="00E85579">
        <w:rPr>
          <w:rFonts w:ascii="Arial" w:hAnsi="Arial" w:cs="Arial"/>
          <w:i/>
          <w:iCs/>
          <w:color w:val="242121"/>
          <w:shd w:val="clear" w:color="auto" w:fill="FFFFFF"/>
        </w:rPr>
        <w:t>Afriforum</w:t>
      </w:r>
      <w:proofErr w:type="spellEnd"/>
      <w:r w:rsidR="00665570">
        <w:rPr>
          <w:rFonts w:ascii="Arial" w:hAnsi="Arial" w:cs="Arial"/>
          <w:i/>
          <w:iCs/>
          <w:color w:val="242121"/>
          <w:shd w:val="clear" w:color="auto" w:fill="FFFFFF"/>
        </w:rPr>
        <w:t xml:space="preserve"> </w:t>
      </w:r>
      <w:r w:rsidR="00665570">
        <w:rPr>
          <w:rFonts w:ascii="Arial" w:hAnsi="Arial" w:cs="Arial"/>
          <w:color w:val="242121"/>
          <w:shd w:val="clear" w:color="auto" w:fill="FFFFFF"/>
        </w:rPr>
        <w:t>(</w:t>
      </w:r>
      <w:proofErr w:type="spellStart"/>
      <w:r w:rsidR="00665570">
        <w:rPr>
          <w:rFonts w:ascii="Arial" w:hAnsi="Arial" w:cs="Arial"/>
          <w:i/>
          <w:iCs/>
          <w:color w:val="242121"/>
          <w:shd w:val="clear" w:color="auto" w:fill="FFFFFF"/>
        </w:rPr>
        <w:t>Afriforum</w:t>
      </w:r>
      <w:proofErr w:type="spellEnd"/>
      <w:r w:rsidR="00665570">
        <w:rPr>
          <w:rFonts w:ascii="Arial" w:hAnsi="Arial" w:cs="Arial"/>
          <w:color w:val="242121"/>
          <w:shd w:val="clear" w:color="auto" w:fill="FFFFFF"/>
        </w:rPr>
        <w:t>)</w:t>
      </w:r>
      <w:r w:rsidR="00665570" w:rsidRPr="00E85579">
        <w:rPr>
          <w:rFonts w:ascii="Arial" w:hAnsi="Arial" w:cs="Arial"/>
          <w:color w:val="242121"/>
          <w:shd w:val="clear" w:color="auto" w:fill="FFFFFF"/>
        </w:rPr>
        <w:t>;</w:t>
      </w:r>
      <w:r w:rsidR="00665570">
        <w:rPr>
          <w:rStyle w:val="FootnoteReference"/>
          <w:rFonts w:ascii="Arial" w:hAnsi="Arial" w:cs="Arial"/>
          <w:color w:val="242121"/>
          <w:shd w:val="clear" w:color="auto" w:fill="FFFFFF"/>
        </w:rPr>
        <w:footnoteReference w:id="3"/>
      </w:r>
      <w:r w:rsidR="00665570">
        <w:rPr>
          <w:rFonts w:ascii="Arial" w:hAnsi="Arial" w:cs="Arial"/>
          <w:color w:val="242121"/>
          <w:shd w:val="clear" w:color="auto" w:fill="FFFFFF"/>
        </w:rPr>
        <w:t xml:space="preserve"> </w:t>
      </w:r>
      <w:proofErr w:type="spellStart"/>
      <w:r w:rsidR="00665570" w:rsidRPr="00E85579">
        <w:rPr>
          <w:rFonts w:ascii="Arial" w:hAnsi="Arial" w:cs="Arial"/>
          <w:i/>
          <w:iCs/>
          <w:color w:val="242121"/>
          <w:shd w:val="clear" w:color="auto" w:fill="FFFFFF"/>
        </w:rPr>
        <w:t>Ntlemeza</w:t>
      </w:r>
      <w:proofErr w:type="spellEnd"/>
      <w:r w:rsidR="00665570" w:rsidRPr="00E85579">
        <w:rPr>
          <w:rFonts w:ascii="Arial" w:hAnsi="Arial" w:cs="Arial"/>
          <w:i/>
          <w:iCs/>
          <w:color w:val="242121"/>
          <w:shd w:val="clear" w:color="auto" w:fill="FFFFFF"/>
        </w:rPr>
        <w:t xml:space="preserve"> v Helen </w:t>
      </w:r>
      <w:proofErr w:type="spellStart"/>
      <w:r w:rsidR="00665570" w:rsidRPr="00E85579">
        <w:rPr>
          <w:rFonts w:ascii="Arial" w:hAnsi="Arial" w:cs="Arial"/>
          <w:i/>
          <w:iCs/>
          <w:color w:val="242121"/>
          <w:shd w:val="clear" w:color="auto" w:fill="FFFFFF"/>
        </w:rPr>
        <w:t>Suzman</w:t>
      </w:r>
      <w:proofErr w:type="spellEnd"/>
      <w:r w:rsidR="00665570" w:rsidRPr="00E85579">
        <w:rPr>
          <w:rFonts w:ascii="Arial" w:hAnsi="Arial" w:cs="Arial"/>
          <w:i/>
          <w:iCs/>
          <w:color w:val="242121"/>
          <w:shd w:val="clear" w:color="auto" w:fill="FFFFFF"/>
        </w:rPr>
        <w:t xml:space="preserve"> Foundation</w:t>
      </w:r>
      <w:r w:rsidR="00665570" w:rsidRPr="00E85579">
        <w:rPr>
          <w:rFonts w:ascii="Arial" w:hAnsi="Arial" w:cs="Arial"/>
          <w:color w:val="242121"/>
          <w:shd w:val="clear" w:color="auto" w:fill="FFFFFF"/>
        </w:rPr>
        <w:t>;</w:t>
      </w:r>
      <w:r w:rsidR="00665570">
        <w:rPr>
          <w:rStyle w:val="FootnoteReference"/>
          <w:rFonts w:ascii="Arial" w:hAnsi="Arial" w:cs="Arial"/>
          <w:color w:val="242121"/>
          <w:shd w:val="clear" w:color="auto" w:fill="FFFFFF"/>
        </w:rPr>
        <w:footnoteReference w:id="4"/>
      </w:r>
      <w:r w:rsidR="00665570">
        <w:rPr>
          <w:rFonts w:ascii="Arial" w:hAnsi="Arial" w:cs="Arial"/>
          <w:color w:val="242121"/>
          <w:shd w:val="clear" w:color="auto" w:fill="FFFFFF"/>
        </w:rPr>
        <w:t xml:space="preserve"> </w:t>
      </w:r>
      <w:r w:rsidR="00665570" w:rsidRPr="00E85579">
        <w:rPr>
          <w:rFonts w:ascii="Arial" w:hAnsi="Arial" w:cs="Arial"/>
          <w:i/>
          <w:iCs/>
          <w:color w:val="242121"/>
          <w:shd w:val="clear" w:color="auto" w:fill="FFFFFF"/>
        </w:rPr>
        <w:t>Premier of Gauteng v Democratic Alliance</w:t>
      </w:r>
      <w:r w:rsidR="00665570" w:rsidRPr="00E85579">
        <w:rPr>
          <w:rFonts w:ascii="Arial" w:hAnsi="Arial" w:cs="Arial"/>
          <w:color w:val="242121"/>
          <w:shd w:val="clear" w:color="auto" w:fill="FFFFFF"/>
        </w:rPr>
        <w:t>;</w:t>
      </w:r>
      <w:r w:rsidR="00665570">
        <w:rPr>
          <w:rStyle w:val="FootnoteReference"/>
          <w:rFonts w:ascii="Arial" w:hAnsi="Arial" w:cs="Arial"/>
          <w:color w:val="242121"/>
          <w:shd w:val="clear" w:color="auto" w:fill="FFFFFF"/>
        </w:rPr>
        <w:footnoteReference w:id="5"/>
      </w:r>
      <w:r w:rsidR="00665570">
        <w:rPr>
          <w:rFonts w:ascii="Arial" w:hAnsi="Arial" w:cs="Arial"/>
          <w:color w:val="242121"/>
          <w:shd w:val="clear" w:color="auto" w:fill="FFFFFF"/>
        </w:rPr>
        <w:t xml:space="preserve"> </w:t>
      </w:r>
      <w:proofErr w:type="spellStart"/>
      <w:r w:rsidR="00665570" w:rsidRPr="00E85579">
        <w:rPr>
          <w:rFonts w:ascii="Arial" w:hAnsi="Arial" w:cs="Arial"/>
          <w:i/>
          <w:iCs/>
          <w:color w:val="242121"/>
          <w:shd w:val="clear" w:color="auto" w:fill="FFFFFF"/>
        </w:rPr>
        <w:t>Knoop</w:t>
      </w:r>
      <w:proofErr w:type="spellEnd"/>
      <w:r w:rsidR="00665570" w:rsidRPr="00E85579">
        <w:rPr>
          <w:rFonts w:ascii="Arial" w:hAnsi="Arial" w:cs="Arial"/>
          <w:i/>
          <w:iCs/>
          <w:color w:val="242121"/>
          <w:shd w:val="clear" w:color="auto" w:fill="FFFFFF"/>
        </w:rPr>
        <w:t xml:space="preserve"> v Gupta (</w:t>
      </w:r>
      <w:proofErr w:type="spellStart"/>
      <w:r w:rsidR="00665570" w:rsidRPr="00E85579">
        <w:rPr>
          <w:rFonts w:ascii="Arial" w:hAnsi="Arial" w:cs="Arial"/>
          <w:i/>
          <w:iCs/>
          <w:color w:val="242121"/>
          <w:shd w:val="clear" w:color="auto" w:fill="FFFFFF"/>
        </w:rPr>
        <w:t>Knoop</w:t>
      </w:r>
      <w:proofErr w:type="spellEnd"/>
      <w:r w:rsidR="00665570" w:rsidRPr="00E85579">
        <w:rPr>
          <w:rFonts w:ascii="Arial" w:hAnsi="Arial" w:cs="Arial"/>
          <w:i/>
          <w:iCs/>
          <w:color w:val="242121"/>
          <w:shd w:val="clear" w:color="auto" w:fill="FFFFFF"/>
        </w:rPr>
        <w:t>)</w:t>
      </w:r>
      <w:r w:rsidR="00665570">
        <w:rPr>
          <w:rFonts w:ascii="Arial" w:hAnsi="Arial" w:cs="Arial"/>
          <w:color w:val="242121"/>
          <w:shd w:val="clear" w:color="auto" w:fill="FFFFFF"/>
        </w:rPr>
        <w:t>;</w:t>
      </w:r>
      <w:r w:rsidR="00665570">
        <w:rPr>
          <w:rStyle w:val="FootnoteReference"/>
          <w:rFonts w:ascii="Arial" w:hAnsi="Arial" w:cs="Arial"/>
          <w:color w:val="242121"/>
          <w:shd w:val="clear" w:color="auto" w:fill="FFFFFF"/>
        </w:rPr>
        <w:footnoteReference w:id="6"/>
      </w:r>
      <w:r w:rsidR="00665570">
        <w:rPr>
          <w:rFonts w:ascii="Arial" w:hAnsi="Arial" w:cs="Arial"/>
          <w:color w:val="242121"/>
          <w:shd w:val="clear" w:color="auto" w:fill="FFFFFF"/>
        </w:rPr>
        <w:t xml:space="preserve"> and, most recently, in </w:t>
      </w:r>
      <w:r w:rsidR="00665570" w:rsidRPr="00E85579">
        <w:rPr>
          <w:rFonts w:ascii="Arial" w:hAnsi="Arial" w:cs="Arial"/>
          <w:i/>
          <w:iCs/>
          <w:color w:val="242121"/>
          <w:shd w:val="clear" w:color="auto" w:fill="FFFFFF"/>
        </w:rPr>
        <w:t>Zuma v Downer and Another</w:t>
      </w:r>
      <w:r w:rsidR="00665570">
        <w:rPr>
          <w:rFonts w:ascii="Arial" w:hAnsi="Arial" w:cs="Arial"/>
          <w:color w:val="242121"/>
          <w:shd w:val="clear" w:color="auto" w:fill="FFFFFF"/>
        </w:rPr>
        <w:t>.</w:t>
      </w:r>
      <w:r w:rsidR="00665570">
        <w:rPr>
          <w:rStyle w:val="FootnoteReference"/>
          <w:rFonts w:ascii="Arial" w:hAnsi="Arial" w:cs="Arial"/>
          <w:color w:val="242121"/>
          <w:shd w:val="clear" w:color="auto" w:fill="FFFFFF"/>
        </w:rPr>
        <w:footnoteReference w:id="7"/>
      </w:r>
      <w:r w:rsidR="00665570" w:rsidRPr="00E85579">
        <w:rPr>
          <w:rFonts w:ascii="Arial" w:hAnsi="Arial" w:cs="Arial"/>
          <w:color w:val="242121"/>
          <w:shd w:val="clear" w:color="auto" w:fill="FFFFFF"/>
        </w:rPr>
        <w:t xml:space="preserve"> </w:t>
      </w:r>
      <w:r w:rsidR="00665570">
        <w:rPr>
          <w:rFonts w:ascii="Arial" w:hAnsi="Arial" w:cs="Arial"/>
          <w:color w:val="242121"/>
          <w:shd w:val="clear" w:color="auto" w:fill="FFFFFF"/>
        </w:rPr>
        <w:t xml:space="preserve">Relying, in part, on </w:t>
      </w:r>
      <w:r w:rsidR="00826DD1">
        <w:rPr>
          <w:rFonts w:ascii="Arial" w:hAnsi="Arial" w:cs="Arial"/>
          <w:color w:val="242121"/>
          <w:shd w:val="clear" w:color="auto" w:fill="FFFFFF"/>
        </w:rPr>
        <w:t>some of the statements made in those judgments,</w:t>
      </w:r>
      <w:r w:rsidR="00665570">
        <w:rPr>
          <w:rFonts w:ascii="Arial" w:hAnsi="Arial" w:cs="Arial"/>
          <w:color w:val="242121"/>
          <w:shd w:val="clear" w:color="auto" w:fill="FFFFFF"/>
        </w:rPr>
        <w:t xml:space="preserve"> </w:t>
      </w:r>
      <w:r w:rsidR="009904AF" w:rsidRPr="006E0236">
        <w:rPr>
          <w:rFonts w:ascii="Arial" w:hAnsi="Arial" w:cs="Arial"/>
          <w:color w:val="242121"/>
          <w:shd w:val="clear" w:color="auto" w:fill="FFFFFF"/>
        </w:rPr>
        <w:t xml:space="preserve">in particular </w:t>
      </w:r>
      <w:proofErr w:type="spellStart"/>
      <w:r w:rsidR="009904AF" w:rsidRPr="006E0236">
        <w:rPr>
          <w:rFonts w:ascii="Arial" w:hAnsi="Arial" w:cs="Arial"/>
          <w:i/>
          <w:iCs/>
          <w:color w:val="242121"/>
          <w:shd w:val="clear" w:color="auto" w:fill="FFFFFF"/>
        </w:rPr>
        <w:t>Afriforum</w:t>
      </w:r>
      <w:proofErr w:type="spellEnd"/>
      <w:r w:rsidR="009904AF" w:rsidRPr="006E0236">
        <w:rPr>
          <w:rFonts w:ascii="Arial" w:hAnsi="Arial" w:cs="Arial"/>
          <w:color w:val="242121"/>
          <w:shd w:val="clear" w:color="auto" w:fill="FFFFFF"/>
        </w:rPr>
        <w:t xml:space="preserve"> and </w:t>
      </w:r>
      <w:proofErr w:type="spellStart"/>
      <w:r w:rsidR="009904AF" w:rsidRPr="006E0236">
        <w:rPr>
          <w:rFonts w:ascii="Arial" w:hAnsi="Arial" w:cs="Arial"/>
          <w:i/>
          <w:iCs/>
          <w:color w:val="242121"/>
          <w:shd w:val="clear" w:color="auto" w:fill="FFFFFF"/>
        </w:rPr>
        <w:t>Knoop</w:t>
      </w:r>
      <w:proofErr w:type="spellEnd"/>
      <w:r w:rsidR="009904AF" w:rsidRPr="006E0236">
        <w:rPr>
          <w:rFonts w:ascii="Arial" w:hAnsi="Arial" w:cs="Arial"/>
          <w:i/>
          <w:iCs/>
          <w:color w:val="242121"/>
          <w:shd w:val="clear" w:color="auto" w:fill="FFFFFF"/>
        </w:rPr>
        <w:t xml:space="preserve">, </w:t>
      </w:r>
      <w:r w:rsidR="00665570" w:rsidRPr="006E0236">
        <w:rPr>
          <w:rFonts w:ascii="Arial" w:hAnsi="Arial" w:cs="Arial"/>
          <w:color w:val="242121"/>
          <w:shd w:val="clear" w:color="auto" w:fill="FFFFFF"/>
        </w:rPr>
        <w:t xml:space="preserve">counsel for </w:t>
      </w:r>
      <w:proofErr w:type="spellStart"/>
      <w:r w:rsidR="00665570" w:rsidRPr="006E0236">
        <w:rPr>
          <w:rFonts w:ascii="Arial" w:hAnsi="Arial" w:cs="Arial"/>
          <w:color w:val="242121"/>
          <w:shd w:val="clear" w:color="auto" w:fill="FFFFFF"/>
        </w:rPr>
        <w:t>Tyte</w:t>
      </w:r>
      <w:proofErr w:type="spellEnd"/>
      <w:r w:rsidR="00665570" w:rsidRPr="006E0236">
        <w:rPr>
          <w:rFonts w:ascii="Arial" w:hAnsi="Arial" w:cs="Arial"/>
          <w:color w:val="242121"/>
          <w:shd w:val="clear" w:color="auto" w:fill="FFFFFF"/>
        </w:rPr>
        <w:t>, argued that it was for an applicant for an execution order (in the position of Royal), to establish three separate</w:t>
      </w:r>
      <w:r w:rsidR="00826DD1" w:rsidRPr="006E0236">
        <w:rPr>
          <w:rFonts w:ascii="Arial" w:hAnsi="Arial" w:cs="Arial"/>
          <w:color w:val="242121"/>
          <w:shd w:val="clear" w:color="auto" w:fill="FFFFFF"/>
        </w:rPr>
        <w:t>,</w:t>
      </w:r>
      <w:r w:rsidR="00665570" w:rsidRPr="006E0236">
        <w:rPr>
          <w:rFonts w:ascii="Arial" w:hAnsi="Arial" w:cs="Arial"/>
          <w:color w:val="242121"/>
          <w:shd w:val="clear" w:color="auto" w:fill="FFFFFF"/>
        </w:rPr>
        <w:t xml:space="preserve"> distinct</w:t>
      </w:r>
      <w:r w:rsidR="00826DD1" w:rsidRPr="006E0236">
        <w:rPr>
          <w:rFonts w:ascii="Arial" w:hAnsi="Arial" w:cs="Arial"/>
          <w:color w:val="242121"/>
          <w:shd w:val="clear" w:color="auto" w:fill="FFFFFF"/>
        </w:rPr>
        <w:t xml:space="preserve"> and</w:t>
      </w:r>
      <w:r w:rsidR="00665570" w:rsidRPr="006E0236">
        <w:rPr>
          <w:rFonts w:ascii="Arial" w:hAnsi="Arial" w:cs="Arial"/>
          <w:color w:val="242121"/>
          <w:shd w:val="clear" w:color="auto" w:fill="FFFFFF"/>
        </w:rPr>
        <w:t xml:space="preserve"> self-standing requirements, namely: </w:t>
      </w:r>
      <w:r w:rsidR="00665570" w:rsidRPr="006E0236">
        <w:rPr>
          <w:rFonts w:ascii="Arial" w:hAnsi="Arial" w:cs="Arial"/>
          <w:i/>
          <w:iCs/>
          <w:color w:val="242121"/>
          <w:shd w:val="clear" w:color="auto" w:fill="FFFFFF"/>
        </w:rPr>
        <w:t>first</w:t>
      </w:r>
      <w:r w:rsidR="00665570" w:rsidRPr="006E0236">
        <w:rPr>
          <w:rFonts w:ascii="Arial" w:hAnsi="Arial" w:cs="Arial"/>
          <w:color w:val="242121"/>
          <w:shd w:val="clear" w:color="auto" w:fill="FFFFFF"/>
        </w:rPr>
        <w:t xml:space="preserve">, exceptional circumstances (the </w:t>
      </w:r>
      <w:r w:rsidR="00665570" w:rsidRPr="006E0236">
        <w:rPr>
          <w:rFonts w:ascii="Arial" w:hAnsi="Arial" w:cs="Arial"/>
          <w:i/>
          <w:iCs/>
          <w:color w:val="242121"/>
          <w:shd w:val="clear" w:color="auto" w:fill="FFFFFF"/>
        </w:rPr>
        <w:t>first</w:t>
      </w:r>
      <w:r w:rsidR="00665570" w:rsidRPr="006E0236">
        <w:rPr>
          <w:rFonts w:ascii="Arial" w:hAnsi="Arial" w:cs="Arial"/>
          <w:color w:val="242121"/>
          <w:shd w:val="clear" w:color="auto" w:fill="FFFFFF"/>
        </w:rPr>
        <w:t xml:space="preserve">); </w:t>
      </w:r>
      <w:r w:rsidR="00665570" w:rsidRPr="006E0236">
        <w:rPr>
          <w:rFonts w:ascii="Arial" w:hAnsi="Arial" w:cs="Arial"/>
          <w:i/>
          <w:iCs/>
          <w:color w:val="242121"/>
          <w:shd w:val="clear" w:color="auto" w:fill="FFFFFF"/>
        </w:rPr>
        <w:t>second</w:t>
      </w:r>
      <w:r w:rsidR="00665570" w:rsidRPr="006E0236">
        <w:rPr>
          <w:rFonts w:ascii="Arial" w:hAnsi="Arial" w:cs="Arial"/>
          <w:color w:val="242121"/>
          <w:shd w:val="clear" w:color="auto" w:fill="FFFFFF"/>
        </w:rPr>
        <w:t xml:space="preserve">, that </w:t>
      </w:r>
      <w:r w:rsidR="00826DD1" w:rsidRPr="006E0236">
        <w:rPr>
          <w:rFonts w:ascii="Arial" w:hAnsi="Arial" w:cs="Arial"/>
          <w:color w:val="242121"/>
          <w:shd w:val="clear" w:color="auto" w:fill="FFFFFF"/>
        </w:rPr>
        <w:t>it</w:t>
      </w:r>
      <w:r w:rsidR="00665570" w:rsidRPr="006E0236">
        <w:rPr>
          <w:rFonts w:ascii="Arial" w:hAnsi="Arial" w:cs="Arial"/>
          <w:color w:val="242121"/>
          <w:shd w:val="clear" w:color="auto" w:fill="FFFFFF"/>
        </w:rPr>
        <w:t xml:space="preserve"> will suffer irreparable harm if the order is not made (the </w:t>
      </w:r>
      <w:r w:rsidR="00665570" w:rsidRPr="006E0236">
        <w:rPr>
          <w:rFonts w:ascii="Arial" w:hAnsi="Arial" w:cs="Arial"/>
          <w:i/>
          <w:iCs/>
          <w:color w:val="242121"/>
          <w:shd w:val="clear" w:color="auto" w:fill="FFFFFF"/>
        </w:rPr>
        <w:t>second</w:t>
      </w:r>
      <w:r w:rsidR="00665570" w:rsidRPr="00E373C6">
        <w:rPr>
          <w:rFonts w:ascii="Arial" w:hAnsi="Arial" w:cs="Arial"/>
          <w:iCs/>
          <w:color w:val="242121"/>
          <w:shd w:val="clear" w:color="auto" w:fill="FFFFFF"/>
        </w:rPr>
        <w:t>)</w:t>
      </w:r>
      <w:r w:rsidR="00E373C6">
        <w:rPr>
          <w:rFonts w:ascii="Arial" w:hAnsi="Arial" w:cs="Arial"/>
          <w:iCs/>
          <w:color w:val="242121"/>
          <w:shd w:val="clear" w:color="auto" w:fill="FFFFFF"/>
        </w:rPr>
        <w:t>;</w:t>
      </w:r>
      <w:r w:rsidR="00665570" w:rsidRPr="006E0236">
        <w:rPr>
          <w:rFonts w:ascii="Arial" w:hAnsi="Arial" w:cs="Arial"/>
          <w:i/>
          <w:iCs/>
          <w:color w:val="242121"/>
          <w:shd w:val="clear" w:color="auto" w:fill="FFFFFF"/>
        </w:rPr>
        <w:t xml:space="preserve"> </w:t>
      </w:r>
      <w:r w:rsidR="00665570" w:rsidRPr="006E0236">
        <w:rPr>
          <w:rFonts w:ascii="Arial" w:hAnsi="Arial" w:cs="Arial"/>
          <w:color w:val="242121"/>
          <w:shd w:val="clear" w:color="auto" w:fill="FFFFFF"/>
        </w:rPr>
        <w:t xml:space="preserve">and, </w:t>
      </w:r>
      <w:r w:rsidR="00665570" w:rsidRPr="006E0236">
        <w:rPr>
          <w:rFonts w:ascii="Arial" w:hAnsi="Arial" w:cs="Arial"/>
          <w:i/>
          <w:iCs/>
          <w:color w:val="242121"/>
          <w:shd w:val="clear" w:color="auto" w:fill="FFFFFF"/>
        </w:rPr>
        <w:t>third</w:t>
      </w:r>
      <w:r w:rsidR="00665570" w:rsidRPr="006E0236">
        <w:rPr>
          <w:rFonts w:ascii="Arial" w:hAnsi="Arial" w:cs="Arial"/>
          <w:color w:val="242121"/>
          <w:shd w:val="clear" w:color="auto" w:fill="FFFFFF"/>
        </w:rPr>
        <w:t xml:space="preserve">, the party against whom the order is made (in this case </w:t>
      </w:r>
      <w:proofErr w:type="spellStart"/>
      <w:r w:rsidR="00665570" w:rsidRPr="006E0236">
        <w:rPr>
          <w:rFonts w:ascii="Arial" w:hAnsi="Arial" w:cs="Arial"/>
          <w:color w:val="242121"/>
          <w:shd w:val="clear" w:color="auto" w:fill="FFFFFF"/>
        </w:rPr>
        <w:t>Tyte</w:t>
      </w:r>
      <w:proofErr w:type="spellEnd"/>
      <w:r w:rsidR="00665570" w:rsidRPr="006E0236">
        <w:rPr>
          <w:rFonts w:ascii="Arial" w:hAnsi="Arial" w:cs="Arial"/>
          <w:color w:val="242121"/>
          <w:shd w:val="clear" w:color="auto" w:fill="FFFFFF"/>
        </w:rPr>
        <w:t xml:space="preserve">) will not suffer irreparable harm if the order is made (the </w:t>
      </w:r>
      <w:r w:rsidR="00665570" w:rsidRPr="006E0236">
        <w:rPr>
          <w:rFonts w:ascii="Arial" w:hAnsi="Arial" w:cs="Arial"/>
          <w:i/>
          <w:iCs/>
          <w:color w:val="242121"/>
          <w:shd w:val="clear" w:color="auto" w:fill="FFFFFF"/>
        </w:rPr>
        <w:t>third</w:t>
      </w:r>
      <w:r w:rsidR="00665570" w:rsidRPr="00E373C6">
        <w:rPr>
          <w:rFonts w:ascii="Arial" w:hAnsi="Arial" w:cs="Arial"/>
          <w:iCs/>
          <w:color w:val="242121"/>
          <w:shd w:val="clear" w:color="auto" w:fill="FFFFFF"/>
        </w:rPr>
        <w:t>)</w:t>
      </w:r>
      <w:r w:rsidR="00A94296" w:rsidRPr="006E0236">
        <w:rPr>
          <w:rFonts w:ascii="Arial" w:hAnsi="Arial" w:cs="Arial"/>
          <w:color w:val="242121"/>
          <w:shd w:val="clear" w:color="auto" w:fill="FFFFFF"/>
        </w:rPr>
        <w:t>.</w:t>
      </w:r>
    </w:p>
    <w:p w14:paraId="32F2C91E" w14:textId="30586723" w:rsidR="00A632A6" w:rsidRPr="006E0236" w:rsidRDefault="00A632A6" w:rsidP="001C28E1">
      <w:pPr>
        <w:rPr>
          <w:rFonts w:ascii="Arial" w:hAnsi="Arial" w:cs="Arial"/>
        </w:rPr>
      </w:pPr>
    </w:p>
    <w:p w14:paraId="6BC66F65" w14:textId="37203615" w:rsidR="00A42369" w:rsidRDefault="00A632A6" w:rsidP="00665570">
      <w:pPr>
        <w:rPr>
          <w:rFonts w:ascii="Arial" w:hAnsi="Arial" w:cs="Arial"/>
          <w:color w:val="242121"/>
          <w:shd w:val="clear" w:color="auto" w:fill="FFFFFF"/>
        </w:rPr>
      </w:pPr>
      <w:r w:rsidRPr="006E0236">
        <w:rPr>
          <w:rFonts w:ascii="Arial" w:hAnsi="Arial" w:cs="Arial"/>
        </w:rPr>
        <w:t>[10]</w:t>
      </w:r>
      <w:r w:rsidRPr="006E0236">
        <w:rPr>
          <w:rFonts w:ascii="Arial" w:hAnsi="Arial" w:cs="Arial"/>
        </w:rPr>
        <w:tab/>
      </w:r>
      <w:r w:rsidR="00826DD1" w:rsidRPr="006E0236">
        <w:rPr>
          <w:rFonts w:ascii="Arial" w:hAnsi="Arial" w:cs="Arial"/>
          <w:color w:val="242121"/>
          <w:shd w:val="clear" w:color="auto" w:fill="FFFFFF"/>
        </w:rPr>
        <w:t xml:space="preserve">Whilst there are indeed statements </w:t>
      </w:r>
      <w:r w:rsidR="009904AF" w:rsidRPr="006E0236">
        <w:rPr>
          <w:rFonts w:ascii="Arial" w:hAnsi="Arial" w:cs="Arial"/>
          <w:color w:val="242121"/>
          <w:shd w:val="clear" w:color="auto" w:fill="FFFFFF"/>
        </w:rPr>
        <w:t xml:space="preserve">in those judgments </w:t>
      </w:r>
      <w:r w:rsidR="00826DD1" w:rsidRPr="006E0236">
        <w:rPr>
          <w:rFonts w:ascii="Arial" w:hAnsi="Arial" w:cs="Arial"/>
          <w:color w:val="242121"/>
          <w:shd w:val="clear" w:color="auto" w:fill="FFFFFF"/>
        </w:rPr>
        <w:t>that would</w:t>
      </w:r>
      <w:r w:rsidR="00826DD1">
        <w:rPr>
          <w:rFonts w:ascii="Arial" w:hAnsi="Arial" w:cs="Arial"/>
          <w:color w:val="242121"/>
          <w:shd w:val="clear" w:color="auto" w:fill="FFFFFF"/>
        </w:rPr>
        <w:t xml:space="preserve"> appear to support counsel’s fundamental hypothesis, they seem to have been made in passing</w:t>
      </w:r>
      <w:r w:rsidR="00483B7E">
        <w:rPr>
          <w:rFonts w:ascii="Arial" w:hAnsi="Arial" w:cs="Arial"/>
          <w:color w:val="242121"/>
          <w:shd w:val="clear" w:color="auto" w:fill="FFFFFF"/>
        </w:rPr>
        <w:t>. They thus</w:t>
      </w:r>
      <w:r w:rsidR="00826DD1">
        <w:rPr>
          <w:rFonts w:ascii="Arial" w:hAnsi="Arial" w:cs="Arial"/>
          <w:color w:val="242121"/>
          <w:shd w:val="clear" w:color="auto" w:fill="FFFFFF"/>
        </w:rPr>
        <w:t xml:space="preserve"> call for closer </w:t>
      </w:r>
      <w:r w:rsidR="00483B7E">
        <w:rPr>
          <w:rFonts w:ascii="Arial" w:hAnsi="Arial" w:cs="Arial"/>
          <w:color w:val="242121"/>
          <w:shd w:val="clear" w:color="auto" w:fill="FFFFFF"/>
        </w:rPr>
        <w:t>examination</w:t>
      </w:r>
      <w:r w:rsidR="00826DD1">
        <w:rPr>
          <w:rFonts w:ascii="Arial" w:hAnsi="Arial" w:cs="Arial"/>
          <w:color w:val="242121"/>
          <w:shd w:val="clear" w:color="auto" w:fill="FFFFFF"/>
        </w:rPr>
        <w:t xml:space="preserve"> in this matter. </w:t>
      </w:r>
      <w:r w:rsidR="00665570" w:rsidRPr="00665570">
        <w:rPr>
          <w:rFonts w:ascii="Arial" w:hAnsi="Arial" w:cs="Arial"/>
          <w:color w:val="242121"/>
          <w:shd w:val="clear" w:color="auto" w:fill="FFFFFF"/>
        </w:rPr>
        <w:t>An important</w:t>
      </w:r>
      <w:r w:rsidR="00665570">
        <w:rPr>
          <w:rFonts w:ascii="Arial" w:hAnsi="Arial" w:cs="Arial"/>
          <w:color w:val="242121"/>
          <w:shd w:val="clear" w:color="auto" w:fill="FFFFFF"/>
        </w:rPr>
        <w:t xml:space="preserve"> point of departure, so it seems to me, is that consideration of each of the so-called three requirements is not a hermetically sealed enquiry and can hardly be approached </w:t>
      </w:r>
      <w:r w:rsidR="00A94296">
        <w:rPr>
          <w:rFonts w:ascii="Arial" w:hAnsi="Arial" w:cs="Arial"/>
          <w:color w:val="242121"/>
          <w:shd w:val="clear" w:color="auto" w:fill="FFFFFF"/>
        </w:rPr>
        <w:t>in a compartmentalised fashion.</w:t>
      </w:r>
    </w:p>
    <w:p w14:paraId="5105C71F" w14:textId="77777777" w:rsidR="00CD36C1" w:rsidRDefault="00CD36C1" w:rsidP="00665570">
      <w:pPr>
        <w:rPr>
          <w:rFonts w:ascii="Arial" w:hAnsi="Arial" w:cs="Arial"/>
          <w:color w:val="242121"/>
          <w:shd w:val="clear" w:color="auto" w:fill="FFFFFF"/>
        </w:rPr>
      </w:pPr>
    </w:p>
    <w:p w14:paraId="49AA8BE1" w14:textId="15516B29" w:rsidR="00665570" w:rsidRPr="00483B7E" w:rsidRDefault="00483B7E" w:rsidP="00665570">
      <w:pPr>
        <w:rPr>
          <w:rFonts w:ascii="Arial" w:hAnsi="Arial" w:cs="Arial"/>
          <w:color w:val="242121"/>
          <w:shd w:val="clear" w:color="auto" w:fill="FFFFFF"/>
        </w:rPr>
      </w:pPr>
      <w:r>
        <w:rPr>
          <w:rFonts w:ascii="Arial" w:hAnsi="Arial" w:cs="Arial"/>
          <w:color w:val="242121"/>
          <w:shd w:val="clear" w:color="auto" w:fill="FFFFFF"/>
        </w:rPr>
        <w:t>[11]</w:t>
      </w:r>
      <w:r>
        <w:rPr>
          <w:rFonts w:ascii="Arial" w:hAnsi="Arial" w:cs="Arial"/>
          <w:color w:val="242121"/>
          <w:shd w:val="clear" w:color="auto" w:fill="FFFFFF"/>
        </w:rPr>
        <w:tab/>
        <w:t>I</w:t>
      </w:r>
      <w:r w:rsidR="00665570" w:rsidRPr="003568F2">
        <w:rPr>
          <w:rFonts w:ascii="Arial" w:hAnsi="Arial" w:cs="Arial"/>
          <w:color w:val="242121"/>
          <w:shd w:val="clear" w:color="auto" w:fill="FFFFFF"/>
        </w:rPr>
        <w:t>t</w:t>
      </w:r>
      <w:r w:rsidR="00665570">
        <w:rPr>
          <w:rFonts w:ascii="Arial" w:hAnsi="Arial" w:cs="Arial"/>
          <w:color w:val="242121"/>
          <w:shd w:val="clear" w:color="auto" w:fill="FFFFFF"/>
        </w:rPr>
        <w:t xml:space="preserve"> </w:t>
      </w:r>
      <w:r w:rsidR="00E373C6">
        <w:rPr>
          <w:rFonts w:ascii="Arial" w:hAnsi="Arial" w:cs="Arial"/>
          <w:color w:val="242121"/>
          <w:shd w:val="clear" w:color="auto" w:fill="FFFFFF"/>
        </w:rPr>
        <w:t>is</w:t>
      </w:r>
      <w:r w:rsidR="00665570">
        <w:rPr>
          <w:rFonts w:ascii="Arial" w:hAnsi="Arial" w:cs="Arial"/>
          <w:color w:val="242121"/>
          <w:shd w:val="clear" w:color="auto" w:fill="FFFFFF"/>
        </w:rPr>
        <w:t xml:space="preserve"> important to recognise that </w:t>
      </w:r>
      <w:r w:rsidR="00665570" w:rsidRPr="00AD6320">
        <w:rPr>
          <w:rFonts w:ascii="Arial" w:hAnsi="Arial" w:cs="Arial"/>
        </w:rPr>
        <w:t>the existence of ‘exceptional circumstances’</w:t>
      </w:r>
      <w:r w:rsidR="00665570">
        <w:rPr>
          <w:rFonts w:ascii="Arial" w:hAnsi="Arial" w:cs="Arial"/>
        </w:rPr>
        <w:t xml:space="preserve"> is a</w:t>
      </w:r>
      <w:r w:rsidR="00665570" w:rsidRPr="00AD6320">
        <w:rPr>
          <w:rFonts w:ascii="Arial" w:hAnsi="Arial" w:cs="Arial"/>
        </w:rPr>
        <w:t xml:space="preserve"> necessary prerequisite for the exercise of the </w:t>
      </w:r>
      <w:r w:rsidR="00665570">
        <w:rPr>
          <w:rFonts w:ascii="Arial" w:hAnsi="Arial" w:cs="Arial"/>
        </w:rPr>
        <w:t>court</w:t>
      </w:r>
      <w:r w:rsidR="00665570" w:rsidRPr="00AD6320">
        <w:rPr>
          <w:rFonts w:ascii="Arial" w:hAnsi="Arial" w:cs="Arial"/>
        </w:rPr>
        <w:t>’s discretion</w:t>
      </w:r>
      <w:r w:rsidR="00665570">
        <w:rPr>
          <w:rFonts w:ascii="Arial" w:hAnsi="Arial" w:cs="Arial"/>
        </w:rPr>
        <w:t xml:space="preserve"> under s 18</w:t>
      </w:r>
      <w:r w:rsidR="00665570" w:rsidRPr="00AD6320">
        <w:rPr>
          <w:rFonts w:ascii="Arial" w:hAnsi="Arial" w:cs="Arial"/>
        </w:rPr>
        <w:t>.</w:t>
      </w:r>
      <w:r w:rsidR="00665570">
        <w:rPr>
          <w:rFonts w:ascii="Arial" w:hAnsi="Arial" w:cs="Arial"/>
        </w:rPr>
        <w:t xml:space="preserve"> </w:t>
      </w:r>
      <w:r w:rsidR="00665570" w:rsidRPr="003035E1">
        <w:rPr>
          <w:rFonts w:ascii="Arial" w:hAnsi="Arial" w:cs="Arial"/>
        </w:rPr>
        <w:t xml:space="preserve">If the circumstances are not truly exceptional, that is the end of the matter. The application must fail and falls to be dismissed. If, however, exceptional circumstances are found to be present, it would not follow, without more, that the </w:t>
      </w:r>
      <w:r w:rsidR="00665570">
        <w:rPr>
          <w:rFonts w:ascii="Arial" w:hAnsi="Arial" w:cs="Arial"/>
        </w:rPr>
        <w:t>application must succeed</w:t>
      </w:r>
      <w:r w:rsidR="00665570" w:rsidRPr="003035E1">
        <w:rPr>
          <w:rFonts w:ascii="Arial" w:hAnsi="Arial" w:cs="Arial"/>
        </w:rPr>
        <w:t>.</w:t>
      </w:r>
      <w:r w:rsidR="00665570">
        <w:rPr>
          <w:rStyle w:val="FootnoteReference"/>
          <w:rFonts w:ascii="Arial" w:hAnsi="Arial" w:cs="Arial"/>
        </w:rPr>
        <w:footnoteReference w:id="8"/>
      </w:r>
      <w:r>
        <w:rPr>
          <w:rFonts w:ascii="Arial" w:hAnsi="Arial" w:cs="Arial"/>
          <w:color w:val="242121"/>
          <w:shd w:val="clear" w:color="auto" w:fill="FFFFFF"/>
        </w:rPr>
        <w:t xml:space="preserve"> </w:t>
      </w:r>
      <w:r w:rsidR="00665570" w:rsidRPr="00665570">
        <w:rPr>
          <w:rFonts w:ascii="Arial" w:hAnsi="Arial" w:cs="Arial"/>
        </w:rPr>
        <w:t>In</w:t>
      </w:r>
      <w:r w:rsidR="00665570" w:rsidRPr="00B121A4">
        <w:rPr>
          <w:rFonts w:ascii="Arial" w:hAnsi="Arial" w:cs="Arial"/>
        </w:rPr>
        <w:t xml:space="preserve"> its consideration of s 17(</w:t>
      </w:r>
      <w:r w:rsidR="00665570" w:rsidRPr="006E0236">
        <w:rPr>
          <w:rFonts w:ascii="Arial" w:hAnsi="Arial" w:cs="Arial"/>
        </w:rPr>
        <w:t>2)</w:t>
      </w:r>
      <w:r w:rsidR="00665570" w:rsidRPr="006E0236">
        <w:rPr>
          <w:rFonts w:ascii="Arial" w:hAnsi="Arial" w:cs="Arial"/>
          <w:i/>
        </w:rPr>
        <w:t>(f)</w:t>
      </w:r>
      <w:r w:rsidR="00CD36C1" w:rsidRPr="006E0236">
        <w:rPr>
          <w:rFonts w:ascii="Arial" w:hAnsi="Arial" w:cs="Arial"/>
          <w:i/>
        </w:rPr>
        <w:t xml:space="preserve"> </w:t>
      </w:r>
      <w:r w:rsidR="00CD36C1" w:rsidRPr="006E0236">
        <w:rPr>
          <w:rFonts w:ascii="Arial" w:hAnsi="Arial" w:cs="Arial"/>
        </w:rPr>
        <w:t>of the Act</w:t>
      </w:r>
      <w:r w:rsidR="00665570" w:rsidRPr="006E0236">
        <w:rPr>
          <w:rFonts w:ascii="Arial" w:hAnsi="Arial" w:cs="Arial"/>
        </w:rPr>
        <w:t>, the</w:t>
      </w:r>
      <w:r w:rsidR="00665570" w:rsidRPr="00B121A4">
        <w:rPr>
          <w:rFonts w:ascii="Arial" w:hAnsi="Arial" w:cs="Arial"/>
        </w:rPr>
        <w:t xml:space="preserve"> Constitutional Court pointed out in </w:t>
      </w:r>
      <w:proofErr w:type="spellStart"/>
      <w:r w:rsidR="00665570" w:rsidRPr="00B121A4">
        <w:rPr>
          <w:rFonts w:ascii="Arial" w:hAnsi="Arial" w:cs="Arial"/>
          <w:i/>
        </w:rPr>
        <w:t>Liesching</w:t>
      </w:r>
      <w:proofErr w:type="spellEnd"/>
      <w:r w:rsidR="00665570" w:rsidRPr="00B121A4">
        <w:rPr>
          <w:rFonts w:ascii="Arial" w:hAnsi="Arial" w:cs="Arial"/>
          <w:i/>
        </w:rPr>
        <w:t xml:space="preserve"> and Others v S</w:t>
      </w:r>
      <w:r w:rsidR="00665570" w:rsidRPr="00B121A4">
        <w:rPr>
          <w:rFonts w:ascii="Arial" w:hAnsi="Arial" w:cs="Arial"/>
        </w:rPr>
        <w:t>:</w:t>
      </w:r>
    </w:p>
    <w:p w14:paraId="2EC519CB" w14:textId="77777777" w:rsidR="00665570" w:rsidRPr="00190FBC" w:rsidRDefault="00665570" w:rsidP="00491D54">
      <w:pPr>
        <w:spacing w:after="40"/>
        <w:rPr>
          <w:rFonts w:ascii="Arial" w:hAnsi="Arial" w:cs="Arial"/>
          <w:sz w:val="22"/>
          <w:szCs w:val="22"/>
        </w:rPr>
      </w:pPr>
      <w:r w:rsidRPr="00190FBC">
        <w:rPr>
          <w:rFonts w:ascii="Arial" w:hAnsi="Arial" w:cs="Arial"/>
          <w:sz w:val="22"/>
          <w:szCs w:val="22"/>
        </w:rPr>
        <w:t xml:space="preserve">‘As with </w:t>
      </w:r>
      <w:hyperlink r:id="rId9" w:anchor="s18" w:history="1">
        <w:r w:rsidRPr="00190FBC">
          <w:rPr>
            <w:rStyle w:val="Hyperlink"/>
            <w:rFonts w:ascii="Arial" w:hAnsi="Arial" w:cs="Arial"/>
            <w:color w:val="auto"/>
            <w:sz w:val="22"/>
            <w:szCs w:val="22"/>
            <w:u w:val="none"/>
          </w:rPr>
          <w:t>section 18(1)</w:t>
        </w:r>
      </w:hyperlink>
      <w:r w:rsidRPr="00190FBC">
        <w:rPr>
          <w:rFonts w:ascii="Arial" w:hAnsi="Arial" w:cs="Arial"/>
          <w:sz w:val="22"/>
          <w:szCs w:val="22"/>
        </w:rPr>
        <w:t xml:space="preserve">, </w:t>
      </w:r>
      <w:hyperlink r:id="rId10" w:anchor="s17" w:history="1">
        <w:r w:rsidRPr="00190FBC">
          <w:rPr>
            <w:rStyle w:val="Hyperlink"/>
            <w:rFonts w:ascii="Arial" w:hAnsi="Arial" w:cs="Arial"/>
            <w:color w:val="auto"/>
            <w:sz w:val="22"/>
            <w:szCs w:val="22"/>
            <w:u w:val="none"/>
          </w:rPr>
          <w:t>section 17(2)(f)</w:t>
        </w:r>
      </w:hyperlink>
      <w:r w:rsidRPr="00190FBC">
        <w:rPr>
          <w:rFonts w:ascii="Arial" w:hAnsi="Arial" w:cs="Arial"/>
          <w:sz w:val="22"/>
          <w:szCs w:val="22"/>
        </w:rPr>
        <w:t xml:space="preserve"> prescribes a departure from the ordinary course of an appeal process. Under </w:t>
      </w:r>
      <w:hyperlink r:id="rId11" w:anchor="s17" w:history="1">
        <w:r w:rsidRPr="00190FBC">
          <w:rPr>
            <w:rStyle w:val="Hyperlink"/>
            <w:rFonts w:ascii="Arial" w:hAnsi="Arial" w:cs="Arial"/>
            <w:color w:val="auto"/>
            <w:sz w:val="22"/>
            <w:szCs w:val="22"/>
            <w:u w:val="none"/>
          </w:rPr>
          <w:t>section 17</w:t>
        </w:r>
      </w:hyperlink>
      <w:r w:rsidRPr="00190FBC">
        <w:rPr>
          <w:rFonts w:ascii="Arial" w:hAnsi="Arial" w:cs="Arial"/>
          <w:sz w:val="22"/>
          <w:szCs w:val="22"/>
        </w:rPr>
        <w:t xml:space="preserve">, in the ordinary course, the decision of two or more Judges refusing leave to appeal is final. However, </w:t>
      </w:r>
      <w:hyperlink r:id="rId12" w:anchor="s17" w:history="1">
        <w:r w:rsidRPr="00190FBC">
          <w:rPr>
            <w:rStyle w:val="Hyperlink"/>
            <w:rFonts w:ascii="Arial" w:hAnsi="Arial" w:cs="Arial"/>
            <w:color w:val="auto"/>
            <w:sz w:val="22"/>
            <w:szCs w:val="22"/>
            <w:u w:val="none"/>
          </w:rPr>
          <w:t>section 17(2)(f)</w:t>
        </w:r>
      </w:hyperlink>
      <w:r w:rsidRPr="00190FBC">
        <w:rPr>
          <w:rFonts w:ascii="Arial" w:hAnsi="Arial" w:cs="Arial"/>
          <w:sz w:val="22"/>
          <w:szCs w:val="22"/>
        </w:rPr>
        <w:t xml:space="preserve"> allows for a litigant to depart from this normal course, in exceptional circumstances only, and apply to the President for reconsideration of the refusal of leave to appeal.</w:t>
      </w:r>
    </w:p>
    <w:p w14:paraId="5A7B5F87" w14:textId="77777777" w:rsidR="00665570" w:rsidRPr="00190FBC" w:rsidRDefault="00665570" w:rsidP="00190FBC">
      <w:pPr>
        <w:rPr>
          <w:rFonts w:ascii="Arial" w:hAnsi="Arial" w:cs="Arial"/>
          <w:sz w:val="22"/>
          <w:szCs w:val="22"/>
        </w:rPr>
      </w:pPr>
      <w:r w:rsidRPr="00190FBC">
        <w:rPr>
          <w:rFonts w:ascii="Arial" w:hAnsi="Arial" w:cs="Arial"/>
          <w:sz w:val="22"/>
          <w:szCs w:val="22"/>
        </w:rPr>
        <w:t xml:space="preserve">In </w:t>
      </w:r>
      <w:proofErr w:type="spellStart"/>
      <w:r w:rsidRPr="00190FBC">
        <w:rPr>
          <w:rFonts w:ascii="Arial" w:hAnsi="Arial" w:cs="Arial"/>
          <w:i/>
          <w:iCs/>
          <w:sz w:val="22"/>
          <w:szCs w:val="22"/>
        </w:rPr>
        <w:t>Ntlemeza</w:t>
      </w:r>
      <w:proofErr w:type="spellEnd"/>
      <w:r w:rsidRPr="00190FBC">
        <w:rPr>
          <w:rFonts w:ascii="Arial" w:hAnsi="Arial" w:cs="Arial"/>
          <w:sz w:val="22"/>
          <w:szCs w:val="22"/>
        </w:rPr>
        <w:t xml:space="preserve">, the requirement of exceptional circumstances is viewed as a “controlling measure”. In terms of </w:t>
      </w:r>
      <w:hyperlink r:id="rId13" w:anchor="s17" w:history="1">
        <w:r w:rsidRPr="00190FBC">
          <w:rPr>
            <w:rStyle w:val="Hyperlink"/>
            <w:rFonts w:ascii="Arial" w:hAnsi="Arial" w:cs="Arial"/>
            <w:color w:val="auto"/>
            <w:sz w:val="22"/>
            <w:szCs w:val="22"/>
            <w:u w:val="none"/>
          </w:rPr>
          <w:t>section 17(2)(f)</w:t>
        </w:r>
      </w:hyperlink>
      <w:r w:rsidRPr="00190FBC">
        <w:rPr>
          <w:rFonts w:ascii="Arial" w:hAnsi="Arial" w:cs="Arial"/>
          <w:sz w:val="22"/>
          <w:szCs w:val="22"/>
        </w:rPr>
        <w:t xml:space="preserve">, the President has a discretion to deviate from the normal course of appeal proceedings – such discretion can only be exercised in exceptional circumstances. </w:t>
      </w:r>
      <w:bookmarkStart w:id="2" w:name="_Hlk166926870"/>
      <w:r w:rsidRPr="00190FBC">
        <w:rPr>
          <w:rFonts w:ascii="Arial" w:hAnsi="Arial" w:cs="Arial"/>
          <w:sz w:val="22"/>
          <w:szCs w:val="22"/>
        </w:rPr>
        <w:t>The requirement of the existence of exceptional circumstances before the President can exercise her discretion is a jurisdictional fact which may operate as a controlling or limiting factor</w:t>
      </w:r>
      <w:bookmarkEnd w:id="2"/>
      <w:r w:rsidRPr="00190FBC">
        <w:rPr>
          <w:rFonts w:ascii="Arial" w:hAnsi="Arial" w:cs="Arial"/>
          <w:sz w:val="22"/>
          <w:szCs w:val="22"/>
        </w:rPr>
        <w:t>.’</w:t>
      </w:r>
      <w:r w:rsidRPr="00190FBC">
        <w:rPr>
          <w:rFonts w:ascii="Arial" w:hAnsi="Arial" w:cs="Arial"/>
          <w:sz w:val="22"/>
          <w:szCs w:val="22"/>
          <w:vertAlign w:val="superscript"/>
        </w:rPr>
        <w:footnoteReference w:id="9"/>
      </w:r>
    </w:p>
    <w:p w14:paraId="0511435E" w14:textId="566A5E25" w:rsidR="000550B0" w:rsidRPr="00665570" w:rsidRDefault="000550B0" w:rsidP="001C28E1">
      <w:pPr>
        <w:rPr>
          <w:rFonts w:ascii="Arial" w:hAnsi="Arial" w:cs="Arial"/>
          <w:highlight w:val="yellow"/>
        </w:rPr>
      </w:pPr>
    </w:p>
    <w:p w14:paraId="2BAE6EFA" w14:textId="189A5EFD" w:rsidR="00665570" w:rsidRPr="00887F75" w:rsidRDefault="00B47C02" w:rsidP="00665570">
      <w:pPr>
        <w:rPr>
          <w:rFonts w:ascii="Arial" w:hAnsi="Arial" w:cs="Arial"/>
        </w:rPr>
      </w:pPr>
      <w:r w:rsidRPr="00665570">
        <w:rPr>
          <w:rFonts w:ascii="Arial" w:hAnsi="Arial" w:cs="Arial"/>
        </w:rPr>
        <w:t>[1</w:t>
      </w:r>
      <w:r w:rsidR="00A632A6" w:rsidRPr="00665570">
        <w:rPr>
          <w:rFonts w:ascii="Arial" w:hAnsi="Arial" w:cs="Arial"/>
        </w:rPr>
        <w:t>2</w:t>
      </w:r>
      <w:r w:rsidR="001C28E1" w:rsidRPr="00665570">
        <w:rPr>
          <w:rFonts w:ascii="Arial" w:hAnsi="Arial" w:cs="Arial"/>
        </w:rPr>
        <w:t>]</w:t>
      </w:r>
      <w:r w:rsidR="001C28E1" w:rsidRPr="00665570">
        <w:rPr>
          <w:rFonts w:ascii="Arial" w:hAnsi="Arial" w:cs="Arial"/>
        </w:rPr>
        <w:tab/>
      </w:r>
      <w:r w:rsidR="00665570" w:rsidRPr="00665570">
        <w:rPr>
          <w:rFonts w:ascii="Arial" w:hAnsi="Arial" w:cs="Arial"/>
        </w:rPr>
        <w:t>It has</w:t>
      </w:r>
      <w:r w:rsidR="00665570" w:rsidRPr="00887F75">
        <w:rPr>
          <w:rFonts w:ascii="Arial" w:hAnsi="Arial" w:cs="Arial"/>
        </w:rPr>
        <w:t xml:space="preserve"> long been accepted that it is ‘undesirable to attempt to lay down any general rule’ in respect of ‘exceptional circumstances’ and that each case must be considered upon its own facts.</w:t>
      </w:r>
      <w:r w:rsidR="00665570" w:rsidRPr="00887F75">
        <w:rPr>
          <w:rFonts w:ascii="Arial" w:hAnsi="Arial" w:cs="Arial"/>
          <w:vertAlign w:val="superscript"/>
        </w:rPr>
        <w:footnoteReference w:id="10"/>
      </w:r>
      <w:r w:rsidR="00665570" w:rsidRPr="00887F75">
        <w:rPr>
          <w:rFonts w:ascii="Arial" w:hAnsi="Arial" w:cs="Arial"/>
        </w:rPr>
        <w:t xml:space="preserve"> In </w:t>
      </w:r>
      <w:r w:rsidR="00665570" w:rsidRPr="00887F75">
        <w:rPr>
          <w:rFonts w:ascii="Arial" w:hAnsi="Arial" w:cs="Arial"/>
          <w:i/>
        </w:rPr>
        <w:t xml:space="preserve">MV </w:t>
      </w:r>
      <w:proofErr w:type="spellStart"/>
      <w:r w:rsidR="00665570" w:rsidRPr="00887F75">
        <w:rPr>
          <w:rFonts w:ascii="Arial" w:hAnsi="Arial" w:cs="Arial"/>
          <w:i/>
        </w:rPr>
        <w:t>Ais</w:t>
      </w:r>
      <w:proofErr w:type="spellEnd"/>
      <w:r w:rsidR="00665570" w:rsidRPr="00887F75">
        <w:rPr>
          <w:rFonts w:ascii="Arial" w:hAnsi="Arial" w:cs="Arial"/>
          <w:i/>
        </w:rPr>
        <w:t xml:space="preserve"> Mamas </w:t>
      </w:r>
      <w:proofErr w:type="spellStart"/>
      <w:r w:rsidR="00665570" w:rsidRPr="00887F75">
        <w:rPr>
          <w:rFonts w:ascii="Arial" w:hAnsi="Arial" w:cs="Arial"/>
          <w:i/>
        </w:rPr>
        <w:t>Seatrans</w:t>
      </w:r>
      <w:proofErr w:type="spellEnd"/>
      <w:r w:rsidR="00665570" w:rsidRPr="00887F75">
        <w:rPr>
          <w:rFonts w:ascii="Arial" w:hAnsi="Arial" w:cs="Arial"/>
          <w:i/>
        </w:rPr>
        <w:t xml:space="preserve"> Marit</w:t>
      </w:r>
      <w:r w:rsidR="006D6E41">
        <w:rPr>
          <w:rFonts w:ascii="Arial" w:hAnsi="Arial" w:cs="Arial"/>
          <w:i/>
        </w:rPr>
        <w:t xml:space="preserve">ime v Owners, MV </w:t>
      </w:r>
      <w:proofErr w:type="spellStart"/>
      <w:r w:rsidR="006D6E41">
        <w:rPr>
          <w:rFonts w:ascii="Arial" w:hAnsi="Arial" w:cs="Arial"/>
          <w:i/>
        </w:rPr>
        <w:t>Ais</w:t>
      </w:r>
      <w:proofErr w:type="spellEnd"/>
      <w:r w:rsidR="006D6E41">
        <w:rPr>
          <w:rFonts w:ascii="Arial" w:hAnsi="Arial" w:cs="Arial"/>
          <w:i/>
        </w:rPr>
        <w:t xml:space="preserve"> Mamas </w:t>
      </w:r>
      <w:r w:rsidR="006D6E41" w:rsidRPr="006E0236">
        <w:rPr>
          <w:rFonts w:ascii="Arial" w:hAnsi="Arial" w:cs="Arial"/>
          <w:i/>
        </w:rPr>
        <w:t>and A</w:t>
      </w:r>
      <w:r w:rsidR="00665570" w:rsidRPr="006E0236">
        <w:rPr>
          <w:rFonts w:ascii="Arial" w:hAnsi="Arial" w:cs="Arial"/>
          <w:i/>
        </w:rPr>
        <w:t>nother</w:t>
      </w:r>
      <w:r w:rsidR="00665570" w:rsidRPr="00887F75">
        <w:rPr>
          <w:rFonts w:ascii="Arial" w:hAnsi="Arial" w:cs="Arial"/>
        </w:rPr>
        <w:t xml:space="preserve">, </w:t>
      </w:r>
      <w:proofErr w:type="spellStart"/>
      <w:r w:rsidR="00665570" w:rsidRPr="00887F75">
        <w:rPr>
          <w:rFonts w:ascii="Arial" w:hAnsi="Arial" w:cs="Arial"/>
        </w:rPr>
        <w:t>Thring</w:t>
      </w:r>
      <w:proofErr w:type="spellEnd"/>
      <w:r w:rsidR="00665570" w:rsidRPr="00887F75">
        <w:rPr>
          <w:rFonts w:ascii="Arial" w:hAnsi="Arial" w:cs="Arial"/>
        </w:rPr>
        <w:t xml:space="preserve"> J summarised the approach to be followed. He said that ‘what is ordinarily contemplated by the words “exceptional circumstances” is something out of the ordinary and of an unusual nature; something which is excepted in the sense that the general rule does not apply to it; something uncommon, rare or different’.</w:t>
      </w:r>
      <w:r w:rsidR="00665570" w:rsidRPr="00887F75">
        <w:rPr>
          <w:rFonts w:ascii="Arial" w:hAnsi="Arial" w:cs="Arial"/>
          <w:vertAlign w:val="superscript"/>
        </w:rPr>
        <w:footnoteReference w:id="11"/>
      </w:r>
    </w:p>
    <w:p w14:paraId="756AAB39" w14:textId="0241A6F3" w:rsidR="00841B46" w:rsidRPr="00665570" w:rsidRDefault="00841B46" w:rsidP="001C28E1">
      <w:pPr>
        <w:rPr>
          <w:rFonts w:ascii="Arial" w:hAnsi="Arial" w:cs="Arial"/>
          <w:highlight w:val="yellow"/>
        </w:rPr>
      </w:pPr>
    </w:p>
    <w:p w14:paraId="050A6592" w14:textId="01CC0403" w:rsidR="00EB4422" w:rsidRDefault="00B47C02" w:rsidP="00665570">
      <w:pPr>
        <w:rPr>
          <w:rFonts w:ascii="Arial" w:hAnsi="Arial" w:cs="Arial"/>
        </w:rPr>
      </w:pPr>
      <w:r w:rsidRPr="00665570">
        <w:rPr>
          <w:rFonts w:ascii="Arial" w:hAnsi="Arial" w:cs="Arial"/>
        </w:rPr>
        <w:t>[1</w:t>
      </w:r>
      <w:r w:rsidR="00A632A6" w:rsidRPr="00665570">
        <w:rPr>
          <w:rFonts w:ascii="Arial" w:hAnsi="Arial" w:cs="Arial"/>
        </w:rPr>
        <w:t>3</w:t>
      </w:r>
      <w:r w:rsidR="001C28E1" w:rsidRPr="00665570">
        <w:rPr>
          <w:rFonts w:ascii="Arial" w:hAnsi="Arial" w:cs="Arial"/>
        </w:rPr>
        <w:t>]</w:t>
      </w:r>
      <w:r w:rsidR="001C28E1" w:rsidRPr="00665570">
        <w:rPr>
          <w:rFonts w:ascii="Arial" w:hAnsi="Arial" w:cs="Arial"/>
        </w:rPr>
        <w:tab/>
      </w:r>
      <w:r w:rsidR="00665570" w:rsidRPr="00665570">
        <w:rPr>
          <w:rFonts w:ascii="Arial" w:hAnsi="Arial" w:cs="Arial"/>
          <w:color w:val="242121"/>
          <w:shd w:val="clear" w:color="auto" w:fill="FFFFFF"/>
        </w:rPr>
        <w:t>What</w:t>
      </w:r>
      <w:r w:rsidR="00665570" w:rsidRPr="00AF6C27">
        <w:rPr>
          <w:rFonts w:ascii="Arial" w:hAnsi="Arial" w:cs="Arial"/>
          <w:color w:val="242121"/>
          <w:shd w:val="clear" w:color="auto" w:fill="FFFFFF"/>
        </w:rPr>
        <w:t xml:space="preserve"> constitutes irreparable </w:t>
      </w:r>
      <w:r w:rsidR="00665570">
        <w:rPr>
          <w:rFonts w:ascii="Arial" w:hAnsi="Arial" w:cs="Arial"/>
          <w:color w:val="242121"/>
          <w:shd w:val="clear" w:color="auto" w:fill="FFFFFF"/>
        </w:rPr>
        <w:t>harm</w:t>
      </w:r>
      <w:r w:rsidR="00665570" w:rsidRPr="00AF6C27">
        <w:rPr>
          <w:rFonts w:ascii="Arial" w:hAnsi="Arial" w:cs="Arial"/>
          <w:color w:val="242121"/>
          <w:shd w:val="clear" w:color="auto" w:fill="FFFFFF"/>
        </w:rPr>
        <w:t xml:space="preserve"> is always dependent upon the factual situation in which the</w:t>
      </w:r>
      <w:r w:rsidR="00665570">
        <w:rPr>
          <w:rFonts w:ascii="Arial" w:hAnsi="Arial" w:cs="Arial"/>
          <w:color w:val="242121"/>
          <w:shd w:val="clear" w:color="auto" w:fill="FFFFFF"/>
        </w:rPr>
        <w:t xml:space="preserve"> </w:t>
      </w:r>
      <w:r w:rsidR="00665570" w:rsidRPr="00AF6C27">
        <w:rPr>
          <w:rFonts w:ascii="Arial" w:hAnsi="Arial" w:cs="Arial"/>
          <w:color w:val="242121"/>
          <w:shd w:val="clear" w:color="auto" w:fill="FFFFFF"/>
        </w:rPr>
        <w:t xml:space="preserve">dispute arises, and upon the legal principles that govern the rights and obligations </w:t>
      </w:r>
      <w:r w:rsidR="00665570">
        <w:rPr>
          <w:rFonts w:ascii="Arial" w:hAnsi="Arial" w:cs="Arial"/>
          <w:color w:val="242121"/>
          <w:shd w:val="clear" w:color="auto" w:fill="FFFFFF"/>
        </w:rPr>
        <w:t xml:space="preserve">of the parties </w:t>
      </w:r>
      <w:r w:rsidR="00665570" w:rsidRPr="00AF6C27">
        <w:rPr>
          <w:rFonts w:ascii="Arial" w:hAnsi="Arial" w:cs="Arial"/>
          <w:color w:val="242121"/>
          <w:shd w:val="clear" w:color="auto" w:fill="FFFFFF"/>
        </w:rPr>
        <w:t>in the context of that dispute.</w:t>
      </w:r>
      <w:r w:rsidR="00665570">
        <w:rPr>
          <w:rFonts w:ascii="Arial" w:hAnsi="Arial" w:cs="Arial"/>
          <w:color w:val="242121"/>
          <w:shd w:val="clear" w:color="auto" w:fill="FFFFFF"/>
        </w:rPr>
        <w:t xml:space="preserve"> </w:t>
      </w:r>
      <w:r w:rsidR="00665570">
        <w:rPr>
          <w:rFonts w:ascii="Arial" w:hAnsi="Arial" w:cs="Arial"/>
        </w:rPr>
        <w:t xml:space="preserve">It was accepted in </w:t>
      </w:r>
      <w:proofErr w:type="spellStart"/>
      <w:r w:rsidR="00665570" w:rsidRPr="006E0236">
        <w:rPr>
          <w:rFonts w:ascii="Arial" w:hAnsi="Arial" w:cs="Arial"/>
          <w:i/>
          <w:iCs/>
        </w:rPr>
        <w:t>Knoop</w:t>
      </w:r>
      <w:proofErr w:type="spellEnd"/>
      <w:r w:rsidR="00665570" w:rsidRPr="006E0236">
        <w:rPr>
          <w:rFonts w:ascii="Arial" w:hAnsi="Arial" w:cs="Arial"/>
          <w:i/>
          <w:iCs/>
        </w:rPr>
        <w:t xml:space="preserve"> </w:t>
      </w:r>
      <w:r w:rsidR="00665570" w:rsidRPr="006E0236">
        <w:rPr>
          <w:rFonts w:ascii="Arial" w:hAnsi="Arial" w:cs="Arial"/>
        </w:rPr>
        <w:t>that: ‘the need to establish exceptional circumstances is likely to be closely linked to the applicant establishing that they will suffer irreparable harm if the . . . order is not implemented immediately’.</w:t>
      </w:r>
      <w:r w:rsidR="00DC02DB" w:rsidRPr="006E0236">
        <w:rPr>
          <w:rStyle w:val="FootnoteReference"/>
          <w:rFonts w:ascii="Arial" w:hAnsi="Arial" w:cs="Arial"/>
        </w:rPr>
        <w:footnoteReference w:id="12"/>
      </w:r>
      <w:r w:rsidR="00665570" w:rsidRPr="006E0236">
        <w:rPr>
          <w:rFonts w:ascii="Arial" w:hAnsi="Arial" w:cs="Arial"/>
        </w:rPr>
        <w:t xml:space="preserve"> The same, I daresay, can be said of its counterpart, the absence of irreparable harm to the respondent</w:t>
      </w:r>
      <w:r w:rsidR="00665570">
        <w:rPr>
          <w:rFonts w:ascii="Arial" w:hAnsi="Arial" w:cs="Arial"/>
        </w:rPr>
        <w:t>. In that sense, the presence or absence of irreparable harm, as the case may be, can hardly be entirely divorced from the exceptional circumstances enquiry. It would perhaps be logically incoherent for a court to conclude, on the one hand, in favour of an applicant that exceptional circumstances subsist, but, on the other, against an applicant on either leg o</w:t>
      </w:r>
      <w:r w:rsidR="009A287A">
        <w:rPr>
          <w:rFonts w:ascii="Arial" w:hAnsi="Arial" w:cs="Arial"/>
        </w:rPr>
        <w:t>f the irreparable harm enquiry.</w:t>
      </w:r>
    </w:p>
    <w:p w14:paraId="17CF8EB2" w14:textId="77777777" w:rsidR="00EB4422" w:rsidRDefault="00EB4422" w:rsidP="00665570">
      <w:pPr>
        <w:rPr>
          <w:rFonts w:ascii="Arial" w:hAnsi="Arial" w:cs="Arial"/>
        </w:rPr>
      </w:pPr>
    </w:p>
    <w:p w14:paraId="17CB91E0" w14:textId="20F3C125" w:rsidR="00665570" w:rsidRPr="00A2291B" w:rsidRDefault="00EB4422" w:rsidP="00665570">
      <w:pPr>
        <w:rPr>
          <w:rFonts w:ascii="Arial" w:hAnsi="Arial" w:cs="Arial"/>
          <w:color w:val="242121"/>
          <w:shd w:val="clear" w:color="auto" w:fill="FFFFFF"/>
        </w:rPr>
      </w:pPr>
      <w:r>
        <w:rPr>
          <w:rFonts w:ascii="Arial" w:hAnsi="Arial" w:cs="Arial"/>
        </w:rPr>
        <w:t>[14]</w:t>
      </w:r>
      <w:r>
        <w:rPr>
          <w:rFonts w:ascii="Arial" w:hAnsi="Arial" w:cs="Arial"/>
        </w:rPr>
        <w:tab/>
      </w:r>
      <w:r w:rsidR="000F7D08">
        <w:rPr>
          <w:rFonts w:ascii="Arial" w:hAnsi="Arial" w:cs="Arial"/>
        </w:rPr>
        <w:t>The argument, as I have it, is that as the language of s 18(3) is clear – it is for an applicant</w:t>
      </w:r>
      <w:r w:rsidR="00FE7247">
        <w:rPr>
          <w:rFonts w:ascii="Arial" w:hAnsi="Arial" w:cs="Arial"/>
        </w:rPr>
        <w:t>,</w:t>
      </w:r>
      <w:r w:rsidR="000F7D08">
        <w:rPr>
          <w:rFonts w:ascii="Arial" w:hAnsi="Arial" w:cs="Arial"/>
        </w:rPr>
        <w:t xml:space="preserve"> </w:t>
      </w:r>
      <w:r w:rsidR="00FE7247">
        <w:rPr>
          <w:rFonts w:ascii="Arial" w:hAnsi="Arial" w:cs="Arial"/>
        </w:rPr>
        <w:t xml:space="preserve">in addition to exceptional circumstances, </w:t>
      </w:r>
      <w:r w:rsidR="000F7D08">
        <w:rPr>
          <w:rFonts w:ascii="Arial" w:hAnsi="Arial" w:cs="Arial"/>
        </w:rPr>
        <w:t xml:space="preserve">to prove on a balance of probabilities that it will suffer irreparable harm and conversely the other party would not. A court is thus required </w:t>
      </w:r>
      <w:r w:rsidR="00FE7247">
        <w:rPr>
          <w:rFonts w:ascii="Arial" w:hAnsi="Arial" w:cs="Arial"/>
        </w:rPr>
        <w:t xml:space="preserve">to undertake </w:t>
      </w:r>
      <w:r w:rsidR="009046D1">
        <w:rPr>
          <w:rFonts w:ascii="Arial" w:hAnsi="Arial" w:cs="Arial"/>
        </w:rPr>
        <w:t xml:space="preserve">what would be in the nature of </w:t>
      </w:r>
      <w:r w:rsidR="00FE7247">
        <w:rPr>
          <w:rFonts w:ascii="Arial" w:hAnsi="Arial" w:cs="Arial"/>
        </w:rPr>
        <w:t>a tick-box exercise by</w:t>
      </w:r>
      <w:r w:rsidR="000F7D08">
        <w:rPr>
          <w:rFonts w:ascii="Arial" w:hAnsi="Arial" w:cs="Arial"/>
        </w:rPr>
        <w:t xml:space="preserve"> enquir</w:t>
      </w:r>
      <w:r w:rsidR="00FE7247">
        <w:rPr>
          <w:rFonts w:ascii="Arial" w:hAnsi="Arial" w:cs="Arial"/>
        </w:rPr>
        <w:t>ing</w:t>
      </w:r>
      <w:r w:rsidR="000F7D08">
        <w:rPr>
          <w:rFonts w:ascii="Arial" w:hAnsi="Arial" w:cs="Arial"/>
        </w:rPr>
        <w:t xml:space="preserve"> into and satisfy</w:t>
      </w:r>
      <w:r w:rsidR="00FE7247">
        <w:rPr>
          <w:rFonts w:ascii="Arial" w:hAnsi="Arial" w:cs="Arial"/>
        </w:rPr>
        <w:t>ing</w:t>
      </w:r>
      <w:r w:rsidR="000F7D08">
        <w:rPr>
          <w:rFonts w:ascii="Arial" w:hAnsi="Arial" w:cs="Arial"/>
        </w:rPr>
        <w:t xml:space="preserve"> itself as to the </w:t>
      </w:r>
      <w:r w:rsidR="000F7D08" w:rsidRPr="000F7D08">
        <w:rPr>
          <w:rFonts w:ascii="Arial" w:hAnsi="Arial" w:cs="Arial"/>
          <w:i/>
          <w:iCs/>
        </w:rPr>
        <w:t>first</w:t>
      </w:r>
      <w:r w:rsidR="000F7D08" w:rsidRPr="000F7D08">
        <w:rPr>
          <w:rFonts w:ascii="Arial" w:hAnsi="Arial" w:cs="Arial"/>
        </w:rPr>
        <w:t>,</w:t>
      </w:r>
      <w:r w:rsidR="000F7D08">
        <w:rPr>
          <w:rFonts w:ascii="Arial" w:hAnsi="Arial" w:cs="Arial"/>
          <w:i/>
          <w:iCs/>
        </w:rPr>
        <w:t xml:space="preserve"> </w:t>
      </w:r>
      <w:r w:rsidR="000F7D08">
        <w:rPr>
          <w:rFonts w:ascii="Arial" w:hAnsi="Arial" w:cs="Arial"/>
        </w:rPr>
        <w:t xml:space="preserve">then the </w:t>
      </w:r>
      <w:r w:rsidR="000F7D08" w:rsidRPr="000F7D08">
        <w:rPr>
          <w:rFonts w:ascii="Arial" w:hAnsi="Arial" w:cs="Arial"/>
          <w:i/>
          <w:iCs/>
        </w:rPr>
        <w:t>second</w:t>
      </w:r>
      <w:r w:rsidR="000F7D08">
        <w:rPr>
          <w:rFonts w:ascii="Arial" w:hAnsi="Arial" w:cs="Arial"/>
        </w:rPr>
        <w:t xml:space="preserve"> and finally the </w:t>
      </w:r>
      <w:r w:rsidR="000F7D08" w:rsidRPr="000F7D08">
        <w:rPr>
          <w:rFonts w:ascii="Arial" w:hAnsi="Arial" w:cs="Arial"/>
          <w:i/>
          <w:iCs/>
        </w:rPr>
        <w:t>third</w:t>
      </w:r>
      <w:r w:rsidR="000F7D08">
        <w:rPr>
          <w:rFonts w:ascii="Arial" w:hAnsi="Arial" w:cs="Arial"/>
        </w:rPr>
        <w:t>, in that order</w:t>
      </w:r>
      <w:r w:rsidR="00FE7247">
        <w:rPr>
          <w:rFonts w:ascii="Arial" w:hAnsi="Arial" w:cs="Arial"/>
        </w:rPr>
        <w:t>.</w:t>
      </w:r>
      <w:r w:rsidR="000F7D08">
        <w:rPr>
          <w:rFonts w:ascii="Arial" w:hAnsi="Arial" w:cs="Arial"/>
        </w:rPr>
        <w:t xml:space="preserve"> </w:t>
      </w:r>
      <w:r w:rsidR="00FE7247">
        <w:rPr>
          <w:rFonts w:ascii="Arial" w:hAnsi="Arial" w:cs="Arial"/>
        </w:rPr>
        <w:t xml:space="preserve">Unless each box is successfully ticked, the applicant </w:t>
      </w:r>
      <w:r w:rsidR="009F538F">
        <w:rPr>
          <w:rFonts w:ascii="Arial" w:hAnsi="Arial" w:cs="Arial"/>
        </w:rPr>
        <w:t>must</w:t>
      </w:r>
      <w:r w:rsidR="00FE7247">
        <w:rPr>
          <w:rFonts w:ascii="Arial" w:hAnsi="Arial" w:cs="Arial"/>
        </w:rPr>
        <w:t xml:space="preserve"> fail. Here, so the argument proceeds, the high court failed to </w:t>
      </w:r>
      <w:r w:rsidR="005B629E">
        <w:rPr>
          <w:rFonts w:ascii="Arial" w:hAnsi="Arial" w:cs="Arial"/>
        </w:rPr>
        <w:t xml:space="preserve">undertake such an exercise; had it done so, it could not permissibly have ticked </w:t>
      </w:r>
      <w:r w:rsidR="005B629E" w:rsidRPr="006E0236">
        <w:rPr>
          <w:rFonts w:ascii="Arial" w:hAnsi="Arial" w:cs="Arial"/>
        </w:rPr>
        <w:t>the third box, consequently</w:t>
      </w:r>
      <w:r w:rsidR="00DC02DB" w:rsidRPr="006E0236">
        <w:rPr>
          <w:rFonts w:ascii="Arial" w:hAnsi="Arial" w:cs="Arial"/>
        </w:rPr>
        <w:t>,</w:t>
      </w:r>
      <w:r w:rsidR="006D6E41" w:rsidRPr="006E0236">
        <w:rPr>
          <w:rFonts w:ascii="Arial" w:hAnsi="Arial" w:cs="Arial"/>
        </w:rPr>
        <w:t xml:space="preserve"> the s </w:t>
      </w:r>
      <w:r w:rsidR="005B629E" w:rsidRPr="006E0236">
        <w:rPr>
          <w:rFonts w:ascii="Arial" w:hAnsi="Arial" w:cs="Arial"/>
        </w:rPr>
        <w:t xml:space="preserve">18 application </w:t>
      </w:r>
      <w:r w:rsidR="009F538F" w:rsidRPr="006E0236">
        <w:rPr>
          <w:rFonts w:ascii="Arial" w:hAnsi="Arial" w:cs="Arial"/>
        </w:rPr>
        <w:t>should</w:t>
      </w:r>
      <w:r w:rsidR="005B629E" w:rsidRPr="006E0236">
        <w:rPr>
          <w:rFonts w:ascii="Arial" w:hAnsi="Arial" w:cs="Arial"/>
        </w:rPr>
        <w:t xml:space="preserve"> have failed.</w:t>
      </w:r>
      <w:r w:rsidR="00FE7247" w:rsidRPr="006E0236">
        <w:rPr>
          <w:rFonts w:ascii="Arial" w:hAnsi="Arial" w:cs="Arial"/>
        </w:rPr>
        <w:t xml:space="preserve"> </w:t>
      </w:r>
      <w:r w:rsidR="00665570" w:rsidRPr="006E0236">
        <w:rPr>
          <w:rFonts w:ascii="Arial" w:hAnsi="Arial" w:cs="Arial"/>
        </w:rPr>
        <w:t xml:space="preserve">Even accepting that the legislature has employed the words ‘in addition [to exceptional circumstances] proves on a balance of probabilities’ in s 18(3), it would be passing strange that if an applicant comes short in respect of either the </w:t>
      </w:r>
      <w:r w:rsidR="00665570" w:rsidRPr="006E0236">
        <w:rPr>
          <w:rFonts w:ascii="Arial" w:hAnsi="Arial" w:cs="Arial"/>
          <w:i/>
          <w:iCs/>
        </w:rPr>
        <w:t>second</w:t>
      </w:r>
      <w:r w:rsidR="00665570" w:rsidRPr="006E0236">
        <w:rPr>
          <w:rFonts w:ascii="Arial" w:hAnsi="Arial" w:cs="Arial"/>
        </w:rPr>
        <w:t xml:space="preserve"> or </w:t>
      </w:r>
      <w:r w:rsidR="00665570" w:rsidRPr="006E0236">
        <w:rPr>
          <w:rFonts w:ascii="Arial" w:hAnsi="Arial" w:cs="Arial"/>
          <w:i/>
          <w:iCs/>
        </w:rPr>
        <w:t>third</w:t>
      </w:r>
      <w:r w:rsidR="00665570" w:rsidRPr="006E0236">
        <w:rPr>
          <w:rFonts w:ascii="Arial" w:hAnsi="Arial" w:cs="Arial"/>
        </w:rPr>
        <w:t xml:space="preserve"> requirements it</w:t>
      </w:r>
      <w:r w:rsidR="00A4019D" w:rsidRPr="006E0236">
        <w:rPr>
          <w:rFonts w:ascii="Arial" w:hAnsi="Arial" w:cs="Arial"/>
        </w:rPr>
        <w:t xml:space="preserve"> would nonetheless still be able to</w:t>
      </w:r>
      <w:r w:rsidR="00A4019D">
        <w:rPr>
          <w:rFonts w:ascii="Arial" w:hAnsi="Arial" w:cs="Arial"/>
        </w:rPr>
        <w:t xml:space="preserve"> </w:t>
      </w:r>
      <w:r w:rsidR="00665570">
        <w:rPr>
          <w:rFonts w:ascii="Arial" w:hAnsi="Arial" w:cs="Arial"/>
        </w:rPr>
        <w:t>successfully meet the excep</w:t>
      </w:r>
      <w:r w:rsidR="007E63A0">
        <w:rPr>
          <w:rFonts w:ascii="Arial" w:hAnsi="Arial" w:cs="Arial"/>
        </w:rPr>
        <w:t>tional circumstances threshold.</w:t>
      </w:r>
      <w:r w:rsidR="00483B7E">
        <w:rPr>
          <w:rFonts w:ascii="Arial" w:hAnsi="Arial" w:cs="Arial"/>
        </w:rPr>
        <w:t xml:space="preserve"> The use of the words ‘in addition proves’ in s 18(3) </w:t>
      </w:r>
      <w:r>
        <w:rPr>
          <w:rFonts w:ascii="Arial" w:hAnsi="Arial" w:cs="Arial"/>
        </w:rPr>
        <w:t>ought not to be construed as necessarily enjoining a court to undertake a further or additional enquiry</w:t>
      </w:r>
      <w:r w:rsidR="00580CEA">
        <w:rPr>
          <w:rFonts w:ascii="Arial" w:hAnsi="Arial" w:cs="Arial"/>
        </w:rPr>
        <w:t>.</w:t>
      </w:r>
      <w:r>
        <w:rPr>
          <w:rFonts w:ascii="Arial" w:hAnsi="Arial" w:cs="Arial"/>
        </w:rPr>
        <w:t xml:space="preserve"> </w:t>
      </w:r>
      <w:r w:rsidR="00580CEA">
        <w:rPr>
          <w:rFonts w:ascii="Arial" w:hAnsi="Arial" w:cs="Arial"/>
        </w:rPr>
        <w:t xml:space="preserve">The overarching enquiry is whether or not </w:t>
      </w:r>
      <w:r>
        <w:rPr>
          <w:rFonts w:ascii="Arial" w:hAnsi="Arial" w:cs="Arial"/>
        </w:rPr>
        <w:t>exceptional circumstances</w:t>
      </w:r>
      <w:r w:rsidR="00CB27CC">
        <w:rPr>
          <w:rFonts w:ascii="Arial" w:hAnsi="Arial" w:cs="Arial"/>
        </w:rPr>
        <w:t xml:space="preserve"> subsist. To that end, the presence or absence of irreparable harm, as the case may be, may well be subsumed under the overarching exceptional circumstances </w:t>
      </w:r>
      <w:r>
        <w:rPr>
          <w:rFonts w:ascii="Arial" w:hAnsi="Arial" w:cs="Arial"/>
        </w:rPr>
        <w:t>enquiry</w:t>
      </w:r>
      <w:r w:rsidR="00CB27CC">
        <w:rPr>
          <w:rFonts w:ascii="Arial" w:hAnsi="Arial" w:cs="Arial"/>
        </w:rPr>
        <w:t xml:space="preserve">. As long as a court is alive to the duty cast upon it by the legislature to enquire </w:t>
      </w:r>
      <w:r w:rsidR="00CB27CC" w:rsidRPr="006E0236">
        <w:rPr>
          <w:rFonts w:ascii="Arial" w:hAnsi="Arial" w:cs="Arial"/>
        </w:rPr>
        <w:t>into</w:t>
      </w:r>
      <w:r w:rsidR="00DC02DB" w:rsidRPr="006E0236">
        <w:rPr>
          <w:rFonts w:ascii="Arial" w:hAnsi="Arial" w:cs="Arial"/>
        </w:rPr>
        <w:t>,</w:t>
      </w:r>
      <w:r w:rsidR="00CB27CC" w:rsidRPr="006E0236">
        <w:rPr>
          <w:rFonts w:ascii="Arial" w:hAnsi="Arial" w:cs="Arial"/>
        </w:rPr>
        <w:t xml:space="preserve"> and satisfy itself in respect of exceptional circumstances, as also, irreparable harm, it does</w:t>
      </w:r>
      <w:r w:rsidR="00CB27CC">
        <w:rPr>
          <w:rFonts w:ascii="Arial" w:hAnsi="Arial" w:cs="Arial"/>
        </w:rPr>
        <w:t xml:space="preserve"> not have to do so in a formulaic or </w:t>
      </w:r>
      <w:r w:rsidR="009A287A">
        <w:rPr>
          <w:rFonts w:ascii="Arial" w:hAnsi="Arial" w:cs="Arial"/>
        </w:rPr>
        <w:t>hierarchical fashion.</w:t>
      </w:r>
    </w:p>
    <w:p w14:paraId="202B7F22" w14:textId="734E2418" w:rsidR="001C28E1" w:rsidRPr="00665570" w:rsidRDefault="001C28E1" w:rsidP="001C28E1">
      <w:pPr>
        <w:rPr>
          <w:rFonts w:ascii="Arial" w:hAnsi="Arial" w:cs="Arial"/>
          <w:highlight w:val="yellow"/>
        </w:rPr>
      </w:pPr>
    </w:p>
    <w:p w14:paraId="757867FB" w14:textId="1DAB27D3" w:rsidR="00665570" w:rsidRDefault="00B47C02" w:rsidP="00665570">
      <w:pPr>
        <w:rPr>
          <w:rFonts w:ascii="Arial" w:hAnsi="Arial" w:cs="Arial"/>
          <w:color w:val="242121"/>
          <w:shd w:val="clear" w:color="auto" w:fill="FFFFFF"/>
        </w:rPr>
      </w:pPr>
      <w:r w:rsidRPr="006E0236">
        <w:rPr>
          <w:rFonts w:ascii="Arial" w:hAnsi="Arial" w:cs="Arial"/>
        </w:rPr>
        <w:t>[1</w:t>
      </w:r>
      <w:r w:rsidR="00CD36C1" w:rsidRPr="006E0236">
        <w:rPr>
          <w:rFonts w:ascii="Arial" w:hAnsi="Arial" w:cs="Arial"/>
        </w:rPr>
        <w:t>5</w:t>
      </w:r>
      <w:r w:rsidR="001C28E1" w:rsidRPr="006E0236">
        <w:rPr>
          <w:rFonts w:ascii="Arial" w:hAnsi="Arial" w:cs="Arial"/>
        </w:rPr>
        <w:t>]</w:t>
      </w:r>
      <w:r w:rsidR="001C28E1" w:rsidRPr="006E0236">
        <w:rPr>
          <w:rFonts w:ascii="Arial" w:hAnsi="Arial" w:cs="Arial"/>
        </w:rPr>
        <w:tab/>
      </w:r>
      <w:r w:rsidR="009F538F" w:rsidRPr="006E0236">
        <w:rPr>
          <w:rFonts w:ascii="Arial" w:hAnsi="Arial" w:cs="Arial"/>
        </w:rPr>
        <w:t>A</w:t>
      </w:r>
      <w:r w:rsidR="00665570" w:rsidRPr="006E0236">
        <w:rPr>
          <w:rFonts w:ascii="Arial" w:hAnsi="Arial" w:cs="Arial"/>
        </w:rPr>
        <w:t>lthough</w:t>
      </w:r>
      <w:r w:rsidR="00665570">
        <w:rPr>
          <w:rFonts w:ascii="Arial" w:hAnsi="Arial" w:cs="Arial"/>
        </w:rPr>
        <w:t xml:space="preserve"> it has been postulated that the </w:t>
      </w:r>
      <w:r w:rsidR="00665570" w:rsidRPr="005D288B">
        <w:rPr>
          <w:rFonts w:ascii="Arial" w:hAnsi="Arial" w:cs="Arial"/>
          <w:i/>
          <w:iCs/>
        </w:rPr>
        <w:t>second</w:t>
      </w:r>
      <w:r w:rsidR="00665570">
        <w:rPr>
          <w:rFonts w:ascii="Arial" w:hAnsi="Arial" w:cs="Arial"/>
        </w:rPr>
        <w:t xml:space="preserve"> and </w:t>
      </w:r>
      <w:r w:rsidR="00665570" w:rsidRPr="005D288B">
        <w:rPr>
          <w:rFonts w:ascii="Arial" w:hAnsi="Arial" w:cs="Arial"/>
          <w:i/>
          <w:iCs/>
        </w:rPr>
        <w:t>third</w:t>
      </w:r>
      <w:r w:rsidR="00665570">
        <w:rPr>
          <w:rFonts w:ascii="Arial" w:hAnsi="Arial" w:cs="Arial"/>
        </w:rPr>
        <w:t xml:space="preserve"> are </w:t>
      </w:r>
      <w:r w:rsidR="00665570">
        <w:rPr>
          <w:rFonts w:ascii="Arial" w:hAnsi="Arial" w:cs="Arial"/>
          <w:color w:val="242121"/>
          <w:shd w:val="clear" w:color="auto" w:fill="FFFFFF"/>
        </w:rPr>
        <w:t xml:space="preserve">distinct and discrete enquiries, </w:t>
      </w:r>
      <w:r w:rsidR="00540A13">
        <w:rPr>
          <w:rFonts w:ascii="Arial" w:hAnsi="Arial" w:cs="Arial"/>
          <w:color w:val="242121"/>
          <w:shd w:val="clear" w:color="auto" w:fill="FFFFFF"/>
        </w:rPr>
        <w:t>they are</w:t>
      </w:r>
      <w:r w:rsidR="00665570">
        <w:rPr>
          <w:rFonts w:ascii="Arial" w:hAnsi="Arial" w:cs="Arial"/>
          <w:color w:val="242121"/>
          <w:shd w:val="clear" w:color="auto" w:fill="FFFFFF"/>
        </w:rPr>
        <w:t xml:space="preserve"> perhaps more accurately to be understood as</w:t>
      </w:r>
      <w:r w:rsidR="00540A13">
        <w:rPr>
          <w:rFonts w:ascii="Arial" w:hAnsi="Arial" w:cs="Arial"/>
          <w:color w:val="242121"/>
          <w:shd w:val="clear" w:color="auto" w:fill="FFFFFF"/>
        </w:rPr>
        <w:t xml:space="preserve"> being two sides of the same coin</w:t>
      </w:r>
      <w:r w:rsidR="00665570">
        <w:rPr>
          <w:rFonts w:ascii="Arial" w:hAnsi="Arial" w:cs="Arial"/>
          <w:color w:val="242121"/>
          <w:shd w:val="clear" w:color="auto" w:fill="FFFFFF"/>
        </w:rPr>
        <w:t>. The same facts and circumstances</w:t>
      </w:r>
      <w:r w:rsidR="00540A13">
        <w:rPr>
          <w:rFonts w:ascii="Arial" w:hAnsi="Arial" w:cs="Arial"/>
          <w:color w:val="242121"/>
          <w:shd w:val="clear" w:color="auto" w:fill="FFFFFF"/>
        </w:rPr>
        <w:t>, which</w:t>
      </w:r>
      <w:r w:rsidR="00665570">
        <w:rPr>
          <w:rFonts w:ascii="Arial" w:hAnsi="Arial" w:cs="Arial"/>
          <w:color w:val="242121"/>
          <w:shd w:val="clear" w:color="auto" w:fill="FFFFFF"/>
        </w:rPr>
        <w:t xml:space="preserve"> by th</w:t>
      </w:r>
      <w:r w:rsidR="005B629E">
        <w:rPr>
          <w:rFonts w:ascii="Arial" w:hAnsi="Arial" w:cs="Arial"/>
          <w:color w:val="242121"/>
          <w:shd w:val="clear" w:color="auto" w:fill="FFFFFF"/>
        </w:rPr>
        <w:t>at</w:t>
      </w:r>
      <w:r w:rsidR="00665570">
        <w:rPr>
          <w:rFonts w:ascii="Arial" w:hAnsi="Arial" w:cs="Arial"/>
          <w:color w:val="242121"/>
          <w:shd w:val="clear" w:color="auto" w:fill="FFFFFF"/>
        </w:rPr>
        <w:t xml:space="preserve"> stage</w:t>
      </w:r>
      <w:r w:rsidR="00540A13">
        <w:rPr>
          <w:rFonts w:ascii="Arial" w:hAnsi="Arial" w:cs="Arial"/>
          <w:color w:val="242121"/>
          <w:shd w:val="clear" w:color="auto" w:fill="FFFFFF"/>
        </w:rPr>
        <w:t xml:space="preserve"> ought</w:t>
      </w:r>
      <w:r w:rsidR="00665570">
        <w:rPr>
          <w:rFonts w:ascii="Arial" w:hAnsi="Arial" w:cs="Arial"/>
          <w:color w:val="242121"/>
          <w:shd w:val="clear" w:color="auto" w:fill="FFFFFF"/>
        </w:rPr>
        <w:t xml:space="preserve"> </w:t>
      </w:r>
      <w:r w:rsidR="00540A13">
        <w:rPr>
          <w:rFonts w:ascii="Arial" w:hAnsi="Arial" w:cs="Arial"/>
          <w:color w:val="242121"/>
          <w:shd w:val="clear" w:color="auto" w:fill="FFFFFF"/>
        </w:rPr>
        <w:t>largely</w:t>
      </w:r>
      <w:r w:rsidR="005B629E">
        <w:rPr>
          <w:rFonts w:ascii="Arial" w:hAnsi="Arial" w:cs="Arial"/>
          <w:color w:val="242121"/>
          <w:shd w:val="clear" w:color="auto" w:fill="FFFFFF"/>
        </w:rPr>
        <w:t xml:space="preserve"> </w:t>
      </w:r>
      <w:r w:rsidR="00540A13">
        <w:rPr>
          <w:rFonts w:ascii="Arial" w:hAnsi="Arial" w:cs="Arial"/>
          <w:color w:val="242121"/>
          <w:shd w:val="clear" w:color="auto" w:fill="FFFFFF"/>
        </w:rPr>
        <w:t xml:space="preserve">to be either </w:t>
      </w:r>
      <w:r w:rsidR="00665570">
        <w:rPr>
          <w:rFonts w:ascii="Arial" w:hAnsi="Arial" w:cs="Arial"/>
          <w:color w:val="242121"/>
          <w:shd w:val="clear" w:color="auto" w:fill="FFFFFF"/>
        </w:rPr>
        <w:t>common cause or undisputed</w:t>
      </w:r>
      <w:r w:rsidR="00540A13">
        <w:rPr>
          <w:rFonts w:ascii="Arial" w:hAnsi="Arial" w:cs="Arial"/>
          <w:color w:val="242121"/>
          <w:shd w:val="clear" w:color="auto" w:fill="FFFFFF"/>
        </w:rPr>
        <w:t>,</w:t>
      </w:r>
      <w:r w:rsidR="00665570">
        <w:rPr>
          <w:rFonts w:ascii="Arial" w:hAnsi="Arial" w:cs="Arial"/>
          <w:color w:val="242121"/>
          <w:shd w:val="clear" w:color="auto" w:fill="FFFFFF"/>
        </w:rPr>
        <w:t xml:space="preserve"> will inform both enquiries. The </w:t>
      </w:r>
      <w:r w:rsidR="00540A13">
        <w:rPr>
          <w:rFonts w:ascii="Arial" w:hAnsi="Arial" w:cs="Arial"/>
          <w:color w:val="242121"/>
          <w:shd w:val="clear" w:color="auto" w:fill="FFFFFF"/>
        </w:rPr>
        <w:t xml:space="preserve">logical </w:t>
      </w:r>
      <w:r w:rsidR="00665570">
        <w:rPr>
          <w:rFonts w:ascii="Arial" w:hAnsi="Arial" w:cs="Arial"/>
          <w:color w:val="242121"/>
          <w:shd w:val="clear" w:color="auto" w:fill="FFFFFF"/>
        </w:rPr>
        <w:t xml:space="preserve">corollary of an applicant suffering irreparable harm, will </w:t>
      </w:r>
      <w:r w:rsidR="00540A13">
        <w:rPr>
          <w:rFonts w:ascii="Arial" w:hAnsi="Arial" w:cs="Arial"/>
          <w:color w:val="242121"/>
          <w:shd w:val="clear" w:color="auto" w:fill="FFFFFF"/>
        </w:rPr>
        <w:t>invariably – but not always – be that the</w:t>
      </w:r>
      <w:r w:rsidR="00665570">
        <w:rPr>
          <w:rFonts w:ascii="Arial" w:hAnsi="Arial" w:cs="Arial"/>
          <w:color w:val="242121"/>
          <w:shd w:val="clear" w:color="auto" w:fill="FFFFFF"/>
        </w:rPr>
        <w:t xml:space="preserve"> </w:t>
      </w:r>
      <w:r w:rsidR="005B629E">
        <w:rPr>
          <w:rFonts w:ascii="Arial" w:hAnsi="Arial" w:cs="Arial"/>
          <w:color w:val="242121"/>
          <w:shd w:val="clear" w:color="auto" w:fill="FFFFFF"/>
        </w:rPr>
        <w:t>other party</w:t>
      </w:r>
      <w:r w:rsidR="00665570">
        <w:rPr>
          <w:rFonts w:ascii="Arial" w:hAnsi="Arial" w:cs="Arial"/>
          <w:color w:val="242121"/>
          <w:shd w:val="clear" w:color="auto" w:fill="FFFFFF"/>
        </w:rPr>
        <w:t xml:space="preserve"> </w:t>
      </w:r>
      <w:r w:rsidR="009F538F">
        <w:rPr>
          <w:rFonts w:ascii="Arial" w:hAnsi="Arial" w:cs="Arial"/>
          <w:color w:val="242121"/>
          <w:shd w:val="clear" w:color="auto" w:fill="FFFFFF"/>
        </w:rPr>
        <w:t>has</w:t>
      </w:r>
      <w:r w:rsidR="00665570">
        <w:rPr>
          <w:rFonts w:ascii="Arial" w:hAnsi="Arial" w:cs="Arial"/>
          <w:color w:val="242121"/>
          <w:shd w:val="clear" w:color="auto" w:fill="FFFFFF"/>
        </w:rPr>
        <w:t xml:space="preserve"> not. The enquiry into each can thus hardly be mutually exclusive, particularly because as far as the </w:t>
      </w:r>
      <w:r w:rsidR="00665570">
        <w:rPr>
          <w:rFonts w:ascii="Arial" w:hAnsi="Arial" w:cs="Arial"/>
          <w:i/>
          <w:iCs/>
          <w:color w:val="242121"/>
          <w:shd w:val="clear" w:color="auto" w:fill="FFFFFF"/>
        </w:rPr>
        <w:t xml:space="preserve">third </w:t>
      </w:r>
      <w:r w:rsidR="00665570">
        <w:rPr>
          <w:rFonts w:ascii="Arial" w:hAnsi="Arial" w:cs="Arial"/>
          <w:color w:val="242121"/>
          <w:shd w:val="clear" w:color="auto" w:fill="FFFFFF"/>
        </w:rPr>
        <w:t xml:space="preserve">is concerned, unlike the </w:t>
      </w:r>
      <w:r w:rsidR="00665570">
        <w:rPr>
          <w:rFonts w:ascii="Arial" w:hAnsi="Arial" w:cs="Arial"/>
          <w:i/>
          <w:iCs/>
          <w:color w:val="242121"/>
          <w:shd w:val="clear" w:color="auto" w:fill="FFFFFF"/>
        </w:rPr>
        <w:t>second</w:t>
      </w:r>
      <w:r w:rsidR="00665570" w:rsidRPr="00864614">
        <w:rPr>
          <w:rFonts w:ascii="Arial" w:hAnsi="Arial" w:cs="Arial"/>
          <w:color w:val="242121"/>
          <w:shd w:val="clear" w:color="auto" w:fill="FFFFFF"/>
        </w:rPr>
        <w:t>,</w:t>
      </w:r>
      <w:r w:rsidR="00665570">
        <w:rPr>
          <w:rFonts w:ascii="Arial" w:hAnsi="Arial" w:cs="Arial"/>
          <w:color w:val="242121"/>
          <w:shd w:val="clear" w:color="auto" w:fill="FFFFFF"/>
        </w:rPr>
        <w:t xml:space="preserve"> the onus cast upon an applicant would be to prove</w:t>
      </w:r>
      <w:r w:rsidR="00665570" w:rsidRPr="00864614">
        <w:rPr>
          <w:rFonts w:ascii="Arial" w:hAnsi="Arial" w:cs="Arial"/>
          <w:color w:val="242121"/>
          <w:shd w:val="clear" w:color="auto" w:fill="FFFFFF"/>
        </w:rPr>
        <w:t xml:space="preserve"> </w:t>
      </w:r>
      <w:r w:rsidR="00665570">
        <w:rPr>
          <w:rFonts w:ascii="Arial" w:hAnsi="Arial" w:cs="Arial"/>
          <w:color w:val="242121"/>
          <w:shd w:val="clear" w:color="auto" w:fill="FFFFFF"/>
        </w:rPr>
        <w:t xml:space="preserve">a negative, in accordance with the usual civil standard. This suggests that, as with the exceptional circumstances enquiry, a court considering both the </w:t>
      </w:r>
      <w:r w:rsidR="00665570" w:rsidRPr="0004494C">
        <w:rPr>
          <w:rFonts w:ascii="Arial" w:hAnsi="Arial" w:cs="Arial"/>
          <w:i/>
          <w:iCs/>
          <w:color w:val="242121"/>
          <w:shd w:val="clear" w:color="auto" w:fill="FFFFFF"/>
        </w:rPr>
        <w:t>second</w:t>
      </w:r>
      <w:r w:rsidR="00665570">
        <w:rPr>
          <w:rFonts w:ascii="Arial" w:hAnsi="Arial" w:cs="Arial"/>
          <w:color w:val="242121"/>
          <w:shd w:val="clear" w:color="auto" w:fill="FFFFFF"/>
        </w:rPr>
        <w:t xml:space="preserve"> and </w:t>
      </w:r>
      <w:r w:rsidR="00665570" w:rsidRPr="0004494C">
        <w:rPr>
          <w:rFonts w:ascii="Arial" w:hAnsi="Arial" w:cs="Arial"/>
          <w:i/>
          <w:iCs/>
          <w:color w:val="242121"/>
          <w:shd w:val="clear" w:color="auto" w:fill="FFFFFF"/>
        </w:rPr>
        <w:t>third</w:t>
      </w:r>
      <w:r w:rsidR="00665570">
        <w:rPr>
          <w:rFonts w:ascii="Arial" w:hAnsi="Arial" w:cs="Arial"/>
          <w:color w:val="242121"/>
          <w:shd w:val="clear" w:color="auto" w:fill="FFFFFF"/>
        </w:rPr>
        <w:t xml:space="preserve"> must have regard to all of the facts and circumstances in any particular case. Insofar as the </w:t>
      </w:r>
      <w:r w:rsidR="00665570">
        <w:rPr>
          <w:rFonts w:ascii="Arial" w:hAnsi="Arial" w:cs="Arial"/>
          <w:i/>
          <w:iCs/>
          <w:color w:val="242121"/>
          <w:shd w:val="clear" w:color="auto" w:fill="FFFFFF"/>
        </w:rPr>
        <w:t xml:space="preserve">third </w:t>
      </w:r>
      <w:r w:rsidR="00665570" w:rsidRPr="0004494C">
        <w:rPr>
          <w:rFonts w:ascii="Arial" w:hAnsi="Arial" w:cs="Arial"/>
          <w:color w:val="242121"/>
          <w:shd w:val="clear" w:color="auto" w:fill="FFFFFF"/>
        </w:rPr>
        <w:t>goes</w:t>
      </w:r>
      <w:r w:rsidR="00665570">
        <w:rPr>
          <w:rFonts w:ascii="Arial" w:hAnsi="Arial" w:cs="Arial"/>
          <w:color w:val="242121"/>
          <w:shd w:val="clear" w:color="auto" w:fill="FFFFFF"/>
        </w:rPr>
        <w:t>, although s 18(3) casts the onus (which does not shift) upon an applicant, a respondent may well attract something in the nature of an evidentiary burden.</w:t>
      </w:r>
      <w:r w:rsidR="00665570">
        <w:rPr>
          <w:rStyle w:val="FootnoteReference"/>
          <w:rFonts w:ascii="Arial" w:hAnsi="Arial" w:cs="Arial"/>
          <w:color w:val="242121"/>
          <w:shd w:val="clear" w:color="auto" w:fill="FFFFFF"/>
        </w:rPr>
        <w:footnoteReference w:id="13"/>
      </w:r>
      <w:r w:rsidR="00665570">
        <w:rPr>
          <w:rFonts w:ascii="Arial" w:hAnsi="Arial" w:cs="Arial"/>
          <w:color w:val="242121"/>
          <w:shd w:val="clear" w:color="auto" w:fill="FFFFFF"/>
        </w:rPr>
        <w:t xml:space="preserve"> This would be especially so where the facts relevant to the </w:t>
      </w:r>
      <w:r w:rsidR="00665570">
        <w:rPr>
          <w:rFonts w:ascii="Arial" w:hAnsi="Arial" w:cs="Arial"/>
          <w:i/>
          <w:iCs/>
          <w:color w:val="242121"/>
          <w:shd w:val="clear" w:color="auto" w:fill="FFFFFF"/>
        </w:rPr>
        <w:t xml:space="preserve">third </w:t>
      </w:r>
      <w:r w:rsidR="00665570">
        <w:rPr>
          <w:rFonts w:ascii="Arial" w:hAnsi="Arial" w:cs="Arial"/>
          <w:color w:val="242121"/>
          <w:shd w:val="clear" w:color="auto" w:fill="FFFFFF"/>
        </w:rPr>
        <w:t>are peculiarly within th</w:t>
      </w:r>
      <w:r w:rsidR="007E63A0">
        <w:rPr>
          <w:rFonts w:ascii="Arial" w:hAnsi="Arial" w:cs="Arial"/>
          <w:color w:val="242121"/>
          <w:shd w:val="clear" w:color="auto" w:fill="FFFFFF"/>
        </w:rPr>
        <w:t xml:space="preserve">e knowledge of the respondent. </w:t>
      </w:r>
      <w:r w:rsidR="00665570">
        <w:rPr>
          <w:rFonts w:ascii="Arial" w:hAnsi="Arial" w:cs="Arial"/>
          <w:color w:val="242121"/>
          <w:shd w:val="clear" w:color="auto" w:fill="FFFFFF"/>
        </w:rPr>
        <w:t xml:space="preserve">In that event, it will perhaps fall to the respondent to raise those facts in an answering affidavit to the s 18 application, which </w:t>
      </w:r>
      <w:r w:rsidR="005B629E">
        <w:rPr>
          <w:rFonts w:ascii="Arial" w:hAnsi="Arial" w:cs="Arial"/>
          <w:color w:val="242121"/>
          <w:shd w:val="clear" w:color="auto" w:fill="FFFFFF"/>
        </w:rPr>
        <w:t xml:space="preserve">may invite a response from </w:t>
      </w:r>
      <w:r w:rsidR="00665570">
        <w:rPr>
          <w:rFonts w:ascii="Arial" w:hAnsi="Arial" w:cs="Arial"/>
          <w:color w:val="242121"/>
          <w:shd w:val="clear" w:color="auto" w:fill="FFFFFF"/>
        </w:rPr>
        <w:t>the applicant</w:t>
      </w:r>
      <w:r w:rsidR="005B629E">
        <w:rPr>
          <w:rFonts w:ascii="Arial" w:hAnsi="Arial" w:cs="Arial"/>
          <w:color w:val="242121"/>
          <w:shd w:val="clear" w:color="auto" w:fill="FFFFFF"/>
        </w:rPr>
        <w:t xml:space="preserve"> by way of a</w:t>
      </w:r>
      <w:r w:rsidR="007E63A0">
        <w:rPr>
          <w:rFonts w:ascii="Arial" w:hAnsi="Arial" w:cs="Arial"/>
          <w:color w:val="242121"/>
          <w:shd w:val="clear" w:color="auto" w:fill="FFFFFF"/>
        </w:rPr>
        <w:t xml:space="preserve"> replying affidavit.</w:t>
      </w:r>
    </w:p>
    <w:p w14:paraId="7F053296" w14:textId="77777777" w:rsidR="00665570" w:rsidRDefault="00665570" w:rsidP="00665570">
      <w:pPr>
        <w:rPr>
          <w:rFonts w:ascii="Arial" w:hAnsi="Arial" w:cs="Arial"/>
          <w:color w:val="242121"/>
          <w:shd w:val="clear" w:color="auto" w:fill="FFFFFF"/>
        </w:rPr>
      </w:pPr>
    </w:p>
    <w:p w14:paraId="4D56CF26" w14:textId="33DDFB1E" w:rsidR="00665570" w:rsidRPr="006E0236" w:rsidRDefault="00B81E2A" w:rsidP="00665570">
      <w:pPr>
        <w:rPr>
          <w:rFonts w:ascii="Arial" w:hAnsi="Arial" w:cs="Arial"/>
          <w:color w:val="242121"/>
          <w:shd w:val="clear" w:color="auto" w:fill="FFFFFF"/>
        </w:rPr>
      </w:pPr>
      <w:r w:rsidRPr="006E0236">
        <w:rPr>
          <w:rFonts w:ascii="Arial" w:hAnsi="Arial" w:cs="Arial"/>
        </w:rPr>
        <w:t>[1</w:t>
      </w:r>
      <w:r w:rsidR="00CD36C1" w:rsidRPr="006E0236">
        <w:rPr>
          <w:rFonts w:ascii="Arial" w:hAnsi="Arial" w:cs="Arial"/>
        </w:rPr>
        <w:t>6</w:t>
      </w:r>
      <w:r w:rsidR="001C28E1" w:rsidRPr="006E0236">
        <w:rPr>
          <w:rFonts w:ascii="Arial" w:hAnsi="Arial" w:cs="Arial"/>
        </w:rPr>
        <w:t>]</w:t>
      </w:r>
      <w:r w:rsidR="001C28E1" w:rsidRPr="006E0236">
        <w:rPr>
          <w:rFonts w:ascii="Arial" w:hAnsi="Arial" w:cs="Arial"/>
        </w:rPr>
        <w:tab/>
      </w:r>
      <w:r w:rsidR="00665570" w:rsidRPr="006E0236">
        <w:rPr>
          <w:rFonts w:ascii="Arial" w:hAnsi="Arial" w:cs="Arial"/>
          <w:color w:val="242121"/>
          <w:shd w:val="clear" w:color="auto" w:fill="FFFFFF"/>
        </w:rPr>
        <w:t xml:space="preserve">What counsel’s argument boiled down to was that </w:t>
      </w:r>
      <w:r w:rsidR="00696713" w:rsidRPr="006E0236">
        <w:rPr>
          <w:rFonts w:ascii="Arial" w:hAnsi="Arial" w:cs="Arial"/>
          <w:color w:val="242121"/>
          <w:shd w:val="clear" w:color="auto" w:fill="FFFFFF"/>
        </w:rPr>
        <w:t xml:space="preserve">as </w:t>
      </w:r>
      <w:r w:rsidR="00665570" w:rsidRPr="006E0236">
        <w:rPr>
          <w:rFonts w:ascii="Arial" w:hAnsi="Arial" w:cs="Arial"/>
          <w:color w:val="242121"/>
          <w:shd w:val="clear" w:color="auto" w:fill="FFFFFF"/>
        </w:rPr>
        <w:t xml:space="preserve">each of the </w:t>
      </w:r>
      <w:r w:rsidR="00665570" w:rsidRPr="006E0236">
        <w:rPr>
          <w:rFonts w:ascii="Arial" w:hAnsi="Arial" w:cs="Arial"/>
          <w:i/>
          <w:iCs/>
          <w:color w:val="242121"/>
          <w:shd w:val="clear" w:color="auto" w:fill="FFFFFF"/>
        </w:rPr>
        <w:t xml:space="preserve">second </w:t>
      </w:r>
      <w:r w:rsidR="00665570" w:rsidRPr="006E0236">
        <w:rPr>
          <w:rFonts w:ascii="Arial" w:hAnsi="Arial" w:cs="Arial"/>
          <w:color w:val="242121"/>
          <w:shd w:val="clear" w:color="auto" w:fill="FFFFFF"/>
        </w:rPr>
        <w:t xml:space="preserve">and the </w:t>
      </w:r>
      <w:r w:rsidR="00665570" w:rsidRPr="006E0236">
        <w:rPr>
          <w:rFonts w:ascii="Arial" w:hAnsi="Arial" w:cs="Arial"/>
          <w:i/>
          <w:iCs/>
          <w:color w:val="242121"/>
          <w:shd w:val="clear" w:color="auto" w:fill="FFFFFF"/>
        </w:rPr>
        <w:t xml:space="preserve">third </w:t>
      </w:r>
      <w:r w:rsidR="00665570" w:rsidRPr="006E0236">
        <w:rPr>
          <w:rFonts w:ascii="Arial" w:hAnsi="Arial" w:cs="Arial"/>
          <w:color w:val="242121"/>
          <w:shd w:val="clear" w:color="auto" w:fill="FFFFFF"/>
        </w:rPr>
        <w:t>so-called requirements</w:t>
      </w:r>
      <w:r w:rsidR="00665570" w:rsidRPr="006E0236">
        <w:rPr>
          <w:rFonts w:ascii="Arial" w:hAnsi="Arial" w:cs="Arial"/>
          <w:i/>
          <w:iCs/>
          <w:color w:val="242121"/>
          <w:shd w:val="clear" w:color="auto" w:fill="FFFFFF"/>
        </w:rPr>
        <w:t xml:space="preserve"> </w:t>
      </w:r>
      <w:r w:rsidR="00665570" w:rsidRPr="006E0236">
        <w:rPr>
          <w:rFonts w:ascii="Arial" w:hAnsi="Arial" w:cs="Arial"/>
          <w:color w:val="242121"/>
          <w:shd w:val="clear" w:color="auto" w:fill="FFFFFF"/>
        </w:rPr>
        <w:t>had to be approached as discrete, isolated enquiries</w:t>
      </w:r>
      <w:r w:rsidR="00696713" w:rsidRPr="006E0236">
        <w:rPr>
          <w:rFonts w:ascii="Arial" w:hAnsi="Arial" w:cs="Arial"/>
          <w:color w:val="242121"/>
          <w:shd w:val="clear" w:color="auto" w:fill="FFFFFF"/>
        </w:rPr>
        <w:t>,</w:t>
      </w:r>
      <w:r w:rsidR="00665570" w:rsidRPr="006E0236">
        <w:rPr>
          <w:rFonts w:ascii="Arial" w:hAnsi="Arial" w:cs="Arial"/>
          <w:color w:val="242121"/>
          <w:shd w:val="clear" w:color="auto" w:fill="FFFFFF"/>
        </w:rPr>
        <w:t xml:space="preserve"> </w:t>
      </w:r>
      <w:r w:rsidR="00696713" w:rsidRPr="006E0236">
        <w:rPr>
          <w:rFonts w:ascii="Arial" w:hAnsi="Arial" w:cs="Arial"/>
          <w:color w:val="242121"/>
          <w:shd w:val="clear" w:color="auto" w:fill="FFFFFF"/>
        </w:rPr>
        <w:t>t</w:t>
      </w:r>
      <w:r w:rsidR="00665570" w:rsidRPr="006E0236">
        <w:rPr>
          <w:rFonts w:ascii="Arial" w:hAnsi="Arial" w:cs="Arial"/>
          <w:color w:val="242121"/>
          <w:shd w:val="clear" w:color="auto" w:fill="FFFFFF"/>
        </w:rPr>
        <w:t xml:space="preserve">here was accordingly to be no weighing-up of the irreparable harm </w:t>
      </w:r>
      <w:r w:rsidR="00696713" w:rsidRPr="006E0236">
        <w:rPr>
          <w:rFonts w:ascii="Arial" w:hAnsi="Arial" w:cs="Arial"/>
          <w:color w:val="242121"/>
          <w:shd w:val="clear" w:color="auto" w:fill="FFFFFF"/>
        </w:rPr>
        <w:t>of the one</w:t>
      </w:r>
      <w:r w:rsidR="00665570" w:rsidRPr="006E0236">
        <w:rPr>
          <w:rFonts w:ascii="Arial" w:hAnsi="Arial" w:cs="Arial"/>
          <w:color w:val="242121"/>
          <w:shd w:val="clear" w:color="auto" w:fill="FFFFFF"/>
        </w:rPr>
        <w:t xml:space="preserve"> </w:t>
      </w:r>
      <w:r w:rsidR="00E373C6">
        <w:rPr>
          <w:rFonts w:ascii="Arial" w:hAnsi="Arial" w:cs="Arial"/>
          <w:color w:val="242121"/>
          <w:shd w:val="clear" w:color="auto" w:fill="FFFFFF"/>
        </w:rPr>
        <w:t xml:space="preserve">as </w:t>
      </w:r>
      <w:r w:rsidR="00665570" w:rsidRPr="006E0236">
        <w:rPr>
          <w:rFonts w:ascii="Arial" w:hAnsi="Arial" w:cs="Arial"/>
          <w:color w:val="242121"/>
          <w:shd w:val="clear" w:color="auto" w:fill="FFFFFF"/>
        </w:rPr>
        <w:t xml:space="preserve">against </w:t>
      </w:r>
      <w:r w:rsidR="00696713" w:rsidRPr="006E0236">
        <w:rPr>
          <w:rFonts w:ascii="Arial" w:hAnsi="Arial" w:cs="Arial"/>
          <w:color w:val="242121"/>
          <w:shd w:val="clear" w:color="auto" w:fill="FFFFFF"/>
        </w:rPr>
        <w:t>the</w:t>
      </w:r>
      <w:r w:rsidR="00665570" w:rsidRPr="006E0236">
        <w:rPr>
          <w:rFonts w:ascii="Arial" w:hAnsi="Arial" w:cs="Arial"/>
          <w:color w:val="242121"/>
          <w:shd w:val="clear" w:color="auto" w:fill="FFFFFF"/>
        </w:rPr>
        <w:t xml:space="preserve"> other. In that regard</w:t>
      </w:r>
      <w:r w:rsidR="009F538F" w:rsidRPr="006E0236">
        <w:rPr>
          <w:rFonts w:ascii="Arial" w:hAnsi="Arial" w:cs="Arial"/>
          <w:color w:val="242121"/>
          <w:shd w:val="clear" w:color="auto" w:fill="FFFFFF"/>
        </w:rPr>
        <w:t>,</w:t>
      </w:r>
      <w:r w:rsidR="00665570" w:rsidRPr="006E0236">
        <w:rPr>
          <w:rFonts w:ascii="Arial" w:hAnsi="Arial" w:cs="Arial"/>
          <w:color w:val="242121"/>
          <w:shd w:val="clear" w:color="auto" w:fill="FFFFFF"/>
        </w:rPr>
        <w:t xml:space="preserve"> reliance was placed on </w:t>
      </w:r>
      <w:proofErr w:type="spellStart"/>
      <w:r w:rsidR="00665570" w:rsidRPr="006E0236">
        <w:rPr>
          <w:rFonts w:ascii="Arial" w:hAnsi="Arial" w:cs="Arial"/>
          <w:i/>
          <w:iCs/>
          <w:color w:val="242121"/>
          <w:shd w:val="clear" w:color="auto" w:fill="FFFFFF"/>
        </w:rPr>
        <w:t>Afriforum</w:t>
      </w:r>
      <w:proofErr w:type="spellEnd"/>
      <w:r w:rsidR="00BA24EF" w:rsidRPr="006E0236">
        <w:rPr>
          <w:rFonts w:ascii="Arial" w:hAnsi="Arial" w:cs="Arial"/>
          <w:iCs/>
          <w:color w:val="242121"/>
          <w:shd w:val="clear" w:color="auto" w:fill="FFFFFF"/>
        </w:rPr>
        <w:t>,</w:t>
      </w:r>
      <w:r w:rsidR="00BA24EF" w:rsidRPr="006E0236">
        <w:rPr>
          <w:rStyle w:val="FootnoteReference"/>
          <w:rFonts w:ascii="Arial" w:hAnsi="Arial" w:cs="Arial"/>
          <w:iCs/>
          <w:color w:val="242121"/>
          <w:shd w:val="clear" w:color="auto" w:fill="FFFFFF"/>
        </w:rPr>
        <w:footnoteReference w:id="14"/>
      </w:r>
      <w:r w:rsidR="00665570" w:rsidRPr="006E0236">
        <w:rPr>
          <w:rFonts w:ascii="Arial" w:hAnsi="Arial" w:cs="Arial"/>
          <w:color w:val="242121"/>
          <w:shd w:val="clear" w:color="auto" w:fill="FFFFFF"/>
        </w:rPr>
        <w:t xml:space="preserve"> which</w:t>
      </w:r>
      <w:r w:rsidR="00BA24EF" w:rsidRPr="006E0236">
        <w:rPr>
          <w:rFonts w:ascii="Arial" w:hAnsi="Arial" w:cs="Arial"/>
          <w:color w:val="242121"/>
          <w:shd w:val="clear" w:color="auto" w:fill="FFFFFF"/>
        </w:rPr>
        <w:t>,</w:t>
      </w:r>
      <w:r w:rsidR="00665570" w:rsidRPr="006E0236">
        <w:rPr>
          <w:rFonts w:ascii="Arial" w:hAnsi="Arial" w:cs="Arial"/>
          <w:color w:val="242121"/>
          <w:shd w:val="clear" w:color="auto" w:fill="FFFFFF"/>
        </w:rPr>
        <w:t xml:space="preserve"> in turn</w:t>
      </w:r>
      <w:r w:rsidR="00BA24EF" w:rsidRPr="006E0236">
        <w:rPr>
          <w:rFonts w:ascii="Arial" w:hAnsi="Arial" w:cs="Arial"/>
          <w:color w:val="242121"/>
          <w:shd w:val="clear" w:color="auto" w:fill="FFFFFF"/>
        </w:rPr>
        <w:t>,</w:t>
      </w:r>
      <w:r w:rsidR="00665570" w:rsidRPr="006E0236">
        <w:rPr>
          <w:rFonts w:ascii="Arial" w:hAnsi="Arial" w:cs="Arial"/>
          <w:color w:val="242121"/>
          <w:shd w:val="clear" w:color="auto" w:fill="FFFFFF"/>
        </w:rPr>
        <w:t xml:space="preserve"> referred</w:t>
      </w:r>
      <w:r w:rsidR="00665570">
        <w:rPr>
          <w:rFonts w:ascii="Arial" w:hAnsi="Arial" w:cs="Arial"/>
          <w:color w:val="242121"/>
          <w:shd w:val="clear" w:color="auto" w:fill="FFFFFF"/>
        </w:rPr>
        <w:t xml:space="preserve"> with approval to </w:t>
      </w:r>
      <w:proofErr w:type="spellStart"/>
      <w:r w:rsidR="00665570">
        <w:rPr>
          <w:rFonts w:ascii="Arial" w:hAnsi="Arial" w:cs="Arial"/>
          <w:i/>
          <w:iCs/>
          <w:color w:val="242121"/>
          <w:shd w:val="clear" w:color="auto" w:fill="FFFFFF"/>
        </w:rPr>
        <w:t>Incubeta</w:t>
      </w:r>
      <w:proofErr w:type="spellEnd"/>
      <w:r w:rsidR="00665570">
        <w:rPr>
          <w:rFonts w:ascii="Arial" w:hAnsi="Arial" w:cs="Arial"/>
          <w:i/>
          <w:iCs/>
          <w:color w:val="242121"/>
          <w:shd w:val="clear" w:color="auto" w:fill="FFFFFF"/>
        </w:rPr>
        <w:t xml:space="preserve"> </w:t>
      </w:r>
      <w:r w:rsidR="00665570" w:rsidRPr="006E0236">
        <w:rPr>
          <w:rFonts w:ascii="Arial" w:hAnsi="Arial" w:cs="Arial"/>
          <w:i/>
          <w:iCs/>
          <w:color w:val="242121"/>
          <w:shd w:val="clear" w:color="auto" w:fill="FFFFFF"/>
        </w:rPr>
        <w:t>Holdings</w:t>
      </w:r>
      <w:r w:rsidR="00BA24EF" w:rsidRPr="006E0236">
        <w:t xml:space="preserve"> </w:t>
      </w:r>
      <w:r w:rsidR="00BA24EF" w:rsidRPr="006E0236">
        <w:rPr>
          <w:rFonts w:ascii="Arial" w:hAnsi="Arial" w:cs="Arial"/>
          <w:i/>
          <w:iCs/>
          <w:color w:val="242121"/>
          <w:shd w:val="clear" w:color="auto" w:fill="FFFFFF"/>
        </w:rPr>
        <w:t>and Another v Ellis and Another</w:t>
      </w:r>
      <w:r w:rsidR="00665570" w:rsidRPr="006E0236">
        <w:rPr>
          <w:rFonts w:ascii="Arial" w:hAnsi="Arial" w:cs="Arial"/>
          <w:color w:val="242121"/>
          <w:shd w:val="clear" w:color="auto" w:fill="FFFFFF"/>
        </w:rPr>
        <w:t>, where Sutherland J is reported to have said:</w:t>
      </w:r>
    </w:p>
    <w:p w14:paraId="1655D281" w14:textId="0BBF2F59" w:rsidR="00665570" w:rsidRPr="006E0236" w:rsidRDefault="00665570" w:rsidP="00665570">
      <w:pPr>
        <w:rPr>
          <w:rFonts w:ascii="Arial" w:hAnsi="Arial" w:cs="Arial"/>
          <w:color w:val="242121"/>
          <w:sz w:val="22"/>
          <w:szCs w:val="22"/>
          <w:shd w:val="clear" w:color="auto" w:fill="FFFFFF"/>
        </w:rPr>
      </w:pPr>
      <w:r w:rsidRPr="006E0236">
        <w:rPr>
          <w:rFonts w:ascii="Arial" w:hAnsi="Arial" w:cs="Arial"/>
          <w:color w:val="242121"/>
          <w:sz w:val="22"/>
          <w:szCs w:val="22"/>
          <w:shd w:val="clear" w:color="auto" w:fill="FFFFFF"/>
        </w:rPr>
        <w:t>‘A hierarchy of entitlement has been created . . . Two distinct findings of fact must now be made, rather than a weighing-up to discern a “preponderance of equities”.</w:t>
      </w:r>
      <w:r w:rsidR="003B1F8F" w:rsidRPr="006E0236">
        <w:rPr>
          <w:rFonts w:ascii="Arial" w:hAnsi="Arial" w:cs="Arial"/>
          <w:color w:val="242121"/>
          <w:sz w:val="22"/>
          <w:szCs w:val="22"/>
          <w:shd w:val="clear" w:color="auto" w:fill="FFFFFF"/>
        </w:rPr>
        <w:t>’</w:t>
      </w:r>
      <w:r w:rsidR="00A768AD" w:rsidRPr="006E0236">
        <w:rPr>
          <w:rStyle w:val="FootnoteReference"/>
          <w:rFonts w:ascii="Arial" w:hAnsi="Arial" w:cs="Arial"/>
          <w:color w:val="242121"/>
          <w:sz w:val="22"/>
          <w:szCs w:val="22"/>
          <w:shd w:val="clear" w:color="auto" w:fill="FFFFFF"/>
        </w:rPr>
        <w:footnoteReference w:id="15"/>
      </w:r>
    </w:p>
    <w:p w14:paraId="75794F57" w14:textId="103E3073" w:rsidR="00665570" w:rsidRPr="00696713" w:rsidRDefault="006D6E41" w:rsidP="00665570">
      <w:pPr>
        <w:rPr>
          <w:rFonts w:ascii="Arial" w:hAnsi="Arial" w:cs="Arial"/>
          <w:color w:val="242121"/>
          <w:shd w:val="clear" w:color="auto" w:fill="FFFFFF"/>
        </w:rPr>
      </w:pPr>
      <w:r w:rsidRPr="006E0236">
        <w:rPr>
          <w:rFonts w:ascii="Arial" w:hAnsi="Arial" w:cs="Arial"/>
          <w:color w:val="242121"/>
          <w:shd w:val="clear" w:color="auto" w:fill="FFFFFF"/>
        </w:rPr>
        <w:t xml:space="preserve">It is not clear what the learned Judge sought to convey by ‘a hierarchy of entitlement has been created’. Counsel experienced some difficulty in trying to explain – or </w:t>
      </w:r>
      <w:r w:rsidR="00A768AD" w:rsidRPr="006E0236">
        <w:rPr>
          <w:rFonts w:ascii="Arial" w:hAnsi="Arial" w:cs="Arial"/>
          <w:color w:val="242121"/>
          <w:shd w:val="clear" w:color="auto" w:fill="FFFFFF"/>
        </w:rPr>
        <w:t xml:space="preserve">support – </w:t>
      </w:r>
      <w:r w:rsidR="00E373C6">
        <w:rPr>
          <w:rFonts w:ascii="Arial" w:hAnsi="Arial" w:cs="Arial"/>
          <w:color w:val="242121"/>
          <w:shd w:val="clear" w:color="auto" w:fill="FFFFFF"/>
        </w:rPr>
        <w:t>such a characterisation</w:t>
      </w:r>
      <w:r w:rsidR="003B1F8F" w:rsidRPr="006E0236">
        <w:rPr>
          <w:rFonts w:ascii="Arial" w:hAnsi="Arial" w:cs="Arial"/>
          <w:color w:val="242121"/>
          <w:shd w:val="clear" w:color="auto" w:fill="FFFFFF"/>
        </w:rPr>
        <w:t>.</w:t>
      </w:r>
    </w:p>
    <w:p w14:paraId="3D53D020" w14:textId="1041F4BE" w:rsidR="001C28E1" w:rsidRPr="00665570" w:rsidRDefault="001C28E1" w:rsidP="00665570">
      <w:pPr>
        <w:rPr>
          <w:rFonts w:ascii="Arial" w:hAnsi="Arial" w:cs="Arial"/>
          <w:highlight w:val="yellow"/>
        </w:rPr>
      </w:pPr>
    </w:p>
    <w:p w14:paraId="0CCF3380" w14:textId="1E4ECEC5" w:rsidR="00665570" w:rsidRDefault="00AF7FFC" w:rsidP="00665570">
      <w:pPr>
        <w:rPr>
          <w:rFonts w:ascii="Arial" w:hAnsi="Arial" w:cs="Arial"/>
          <w:color w:val="242121"/>
          <w:shd w:val="clear" w:color="auto" w:fill="FFFFFF"/>
        </w:rPr>
      </w:pPr>
      <w:r w:rsidRPr="006E0236">
        <w:rPr>
          <w:rFonts w:ascii="Arial" w:hAnsi="Arial" w:cs="Arial"/>
        </w:rPr>
        <w:t>[1</w:t>
      </w:r>
      <w:r w:rsidR="00CD36C1" w:rsidRPr="006E0236">
        <w:rPr>
          <w:rFonts w:ascii="Arial" w:hAnsi="Arial" w:cs="Arial"/>
        </w:rPr>
        <w:t>7</w:t>
      </w:r>
      <w:r w:rsidR="001C28E1" w:rsidRPr="006E0236">
        <w:rPr>
          <w:rFonts w:ascii="Arial" w:hAnsi="Arial" w:cs="Arial"/>
        </w:rPr>
        <w:t>]</w:t>
      </w:r>
      <w:r w:rsidR="001C28E1" w:rsidRPr="006E0236">
        <w:rPr>
          <w:rFonts w:ascii="Arial" w:hAnsi="Arial" w:cs="Arial"/>
        </w:rPr>
        <w:tab/>
      </w:r>
      <w:r w:rsidR="00665570" w:rsidRPr="006E0236">
        <w:rPr>
          <w:rFonts w:ascii="Arial" w:hAnsi="Arial" w:cs="Arial"/>
          <w:color w:val="242121"/>
          <w:shd w:val="clear" w:color="auto" w:fill="FFFFFF"/>
        </w:rPr>
        <w:t>Counsel</w:t>
      </w:r>
      <w:r w:rsidR="006D6E41" w:rsidRPr="006E0236">
        <w:rPr>
          <w:rFonts w:ascii="Arial" w:hAnsi="Arial" w:cs="Arial"/>
          <w:color w:val="242121"/>
          <w:shd w:val="clear" w:color="auto" w:fill="FFFFFF"/>
        </w:rPr>
        <w:t xml:space="preserve"> fared no</w:t>
      </w:r>
      <w:r w:rsidR="00665570" w:rsidRPr="006E0236">
        <w:rPr>
          <w:rFonts w:ascii="Arial" w:hAnsi="Arial" w:cs="Arial"/>
          <w:color w:val="242121"/>
          <w:shd w:val="clear" w:color="auto" w:fill="FFFFFF"/>
        </w:rPr>
        <w:t xml:space="preserve"> better in defence of the contention that s 18(3) leaves no room for a ‘weighing-up’ </w:t>
      </w:r>
      <w:r w:rsidR="00F137AD" w:rsidRPr="006E0236">
        <w:rPr>
          <w:rFonts w:ascii="Arial" w:hAnsi="Arial" w:cs="Arial"/>
          <w:color w:val="242121"/>
          <w:shd w:val="clear" w:color="auto" w:fill="FFFFFF"/>
        </w:rPr>
        <w:t>by the court</w:t>
      </w:r>
      <w:r w:rsidR="00665570" w:rsidRPr="006E0236">
        <w:rPr>
          <w:rFonts w:ascii="Arial" w:hAnsi="Arial" w:cs="Arial"/>
          <w:color w:val="242121"/>
          <w:shd w:val="clear" w:color="auto" w:fill="FFFFFF"/>
        </w:rPr>
        <w:t xml:space="preserve">. As I understood counsel, it was for an applicant, on pain of otherwise failing, to show a complete absence of irreparable harm to the other party. Any irreparable harm (or even the potentiality of irreparable harm) to a respondent, no matter how slight would </w:t>
      </w:r>
      <w:r w:rsidR="009F538F" w:rsidRPr="006E0236">
        <w:rPr>
          <w:rFonts w:ascii="Arial" w:hAnsi="Arial" w:cs="Arial"/>
          <w:color w:val="242121"/>
          <w:shd w:val="clear" w:color="auto" w:fill="FFFFFF"/>
        </w:rPr>
        <w:t>irredeemably</w:t>
      </w:r>
      <w:r w:rsidR="00665570" w:rsidRPr="006E0236">
        <w:rPr>
          <w:rFonts w:ascii="Arial" w:hAnsi="Arial" w:cs="Arial"/>
          <w:color w:val="242121"/>
          <w:shd w:val="clear" w:color="auto" w:fill="FFFFFF"/>
        </w:rPr>
        <w:t xml:space="preserve"> tip the scales against an applicant. It thus would matter not that the irreparable harm of a respondent was relatively slight or inconsequential or that it was significantly outweighed by that of the applica</w:t>
      </w:r>
      <w:r w:rsidR="00F137AD" w:rsidRPr="006E0236">
        <w:rPr>
          <w:rFonts w:ascii="Arial" w:hAnsi="Arial" w:cs="Arial"/>
          <w:color w:val="242121"/>
          <w:shd w:val="clear" w:color="auto" w:fill="FFFFFF"/>
        </w:rPr>
        <w:t>n</w:t>
      </w:r>
      <w:r w:rsidR="00665570" w:rsidRPr="006E0236">
        <w:rPr>
          <w:rFonts w:ascii="Arial" w:hAnsi="Arial" w:cs="Arial"/>
          <w:color w:val="242121"/>
          <w:shd w:val="clear" w:color="auto" w:fill="FFFFFF"/>
        </w:rPr>
        <w:t>t. The mere fact of irreparable harm in respect of the respondent</w:t>
      </w:r>
      <w:r w:rsidR="006D6E41" w:rsidRPr="006E0236">
        <w:rPr>
          <w:rFonts w:ascii="Arial" w:hAnsi="Arial" w:cs="Arial"/>
          <w:color w:val="242121"/>
          <w:shd w:val="clear" w:color="auto" w:fill="FFFFFF"/>
        </w:rPr>
        <w:t>, irrespective of its nature or extent,</w:t>
      </w:r>
      <w:r w:rsidR="00665570" w:rsidRPr="006E0236">
        <w:rPr>
          <w:rFonts w:ascii="Arial" w:hAnsi="Arial" w:cs="Arial"/>
          <w:color w:val="242121"/>
          <w:shd w:val="clear" w:color="auto" w:fill="FFFFFF"/>
        </w:rPr>
        <w:t xml:space="preserve"> would </w:t>
      </w:r>
      <w:r w:rsidR="006D6E41" w:rsidRPr="006E0236">
        <w:rPr>
          <w:rFonts w:ascii="Arial" w:hAnsi="Arial" w:cs="Arial"/>
          <w:color w:val="242121"/>
          <w:shd w:val="clear" w:color="auto" w:fill="FFFFFF"/>
        </w:rPr>
        <w:t xml:space="preserve">per force </w:t>
      </w:r>
      <w:r w:rsidR="00665570" w:rsidRPr="006E0236">
        <w:rPr>
          <w:rFonts w:ascii="Arial" w:hAnsi="Arial" w:cs="Arial"/>
          <w:color w:val="242121"/>
          <w:shd w:val="clear" w:color="auto" w:fill="FFFFFF"/>
        </w:rPr>
        <w:t>non-suit the applicant. In other words, unless</w:t>
      </w:r>
      <w:r w:rsidR="00665570">
        <w:rPr>
          <w:rFonts w:ascii="Arial" w:hAnsi="Arial" w:cs="Arial"/>
          <w:color w:val="242121"/>
          <w:shd w:val="clear" w:color="auto" w:fill="FFFFFF"/>
        </w:rPr>
        <w:t xml:space="preserve"> there was no (as in ‘zero’, in the words of counsel) irreparable harm to a respondent the s 18 application had to fai</w:t>
      </w:r>
      <w:r w:rsidR="007E63A0">
        <w:rPr>
          <w:rFonts w:ascii="Arial" w:hAnsi="Arial" w:cs="Arial"/>
          <w:color w:val="242121"/>
          <w:shd w:val="clear" w:color="auto" w:fill="FFFFFF"/>
        </w:rPr>
        <w:t>l.</w:t>
      </w:r>
    </w:p>
    <w:p w14:paraId="1C600A7B" w14:textId="3F4D1FF1" w:rsidR="001C28E1" w:rsidRPr="00665570" w:rsidRDefault="001C28E1" w:rsidP="00665570">
      <w:pPr>
        <w:rPr>
          <w:rFonts w:ascii="Arial" w:hAnsi="Arial" w:cs="Arial"/>
          <w:highlight w:val="yellow"/>
        </w:rPr>
      </w:pPr>
    </w:p>
    <w:p w14:paraId="440F7503" w14:textId="263B6A45" w:rsidR="005D3B97" w:rsidRPr="006E0236" w:rsidRDefault="00AF7FFC" w:rsidP="001C28E1">
      <w:pPr>
        <w:rPr>
          <w:rFonts w:ascii="Arial" w:hAnsi="Arial" w:cs="Arial"/>
          <w:color w:val="242121"/>
          <w:shd w:val="clear" w:color="auto" w:fill="FFFFFF"/>
        </w:rPr>
      </w:pPr>
      <w:r w:rsidRPr="006E0236">
        <w:rPr>
          <w:rFonts w:ascii="Arial" w:hAnsi="Arial" w:cs="Arial"/>
        </w:rPr>
        <w:t>[1</w:t>
      </w:r>
      <w:r w:rsidR="00CD36C1" w:rsidRPr="006E0236">
        <w:rPr>
          <w:rFonts w:ascii="Arial" w:hAnsi="Arial" w:cs="Arial"/>
        </w:rPr>
        <w:t>8</w:t>
      </w:r>
      <w:r w:rsidR="001C28E1" w:rsidRPr="006E0236">
        <w:rPr>
          <w:rFonts w:ascii="Arial" w:hAnsi="Arial" w:cs="Arial"/>
        </w:rPr>
        <w:t>]</w:t>
      </w:r>
      <w:r w:rsidR="001C28E1" w:rsidRPr="006E0236">
        <w:rPr>
          <w:rFonts w:ascii="Arial" w:hAnsi="Arial" w:cs="Arial"/>
        </w:rPr>
        <w:tab/>
      </w:r>
      <w:r w:rsidR="00665570" w:rsidRPr="006E0236">
        <w:rPr>
          <w:rFonts w:ascii="Arial" w:hAnsi="Arial" w:cs="Arial"/>
          <w:color w:val="242121"/>
          <w:shd w:val="clear" w:color="auto" w:fill="FFFFFF"/>
        </w:rPr>
        <w:t xml:space="preserve">Counsel did not shrink from the logical consequence of the contention, namely that such a mechanistic approach, which rested on the supposition that the </w:t>
      </w:r>
      <w:r w:rsidR="00665570" w:rsidRPr="006E0236">
        <w:rPr>
          <w:rFonts w:ascii="Arial" w:hAnsi="Arial" w:cs="Arial"/>
          <w:i/>
          <w:iCs/>
          <w:color w:val="242121"/>
          <w:shd w:val="clear" w:color="auto" w:fill="FFFFFF"/>
        </w:rPr>
        <w:t xml:space="preserve">second </w:t>
      </w:r>
      <w:r w:rsidR="00665570" w:rsidRPr="006E0236">
        <w:rPr>
          <w:rFonts w:ascii="Arial" w:hAnsi="Arial" w:cs="Arial"/>
          <w:color w:val="242121"/>
          <w:shd w:val="clear" w:color="auto" w:fill="FFFFFF"/>
        </w:rPr>
        <w:t xml:space="preserve">and </w:t>
      </w:r>
      <w:r w:rsidR="00665570" w:rsidRPr="006E0236">
        <w:rPr>
          <w:rFonts w:ascii="Arial" w:hAnsi="Arial" w:cs="Arial"/>
          <w:i/>
          <w:iCs/>
          <w:color w:val="242121"/>
          <w:shd w:val="clear" w:color="auto" w:fill="FFFFFF"/>
        </w:rPr>
        <w:t>third</w:t>
      </w:r>
      <w:r w:rsidR="00665570" w:rsidRPr="006E0236">
        <w:rPr>
          <w:rFonts w:ascii="Arial" w:hAnsi="Arial" w:cs="Arial"/>
          <w:color w:val="242121"/>
          <w:shd w:val="clear" w:color="auto" w:fill="FFFFFF"/>
        </w:rPr>
        <w:t xml:space="preserve"> had to be approached as isolated enquiries, may well strip a court of any discretion that it may possess or that </w:t>
      </w:r>
      <w:r w:rsidR="009F538F" w:rsidRPr="006E0236">
        <w:rPr>
          <w:rFonts w:ascii="Arial" w:hAnsi="Arial" w:cs="Arial"/>
          <w:color w:val="242121"/>
          <w:shd w:val="clear" w:color="auto" w:fill="FFFFFF"/>
        </w:rPr>
        <w:t>it</w:t>
      </w:r>
      <w:r w:rsidR="00665570" w:rsidRPr="006E0236">
        <w:rPr>
          <w:rFonts w:ascii="Arial" w:hAnsi="Arial" w:cs="Arial"/>
          <w:color w:val="242121"/>
          <w:shd w:val="clear" w:color="auto" w:fill="FFFFFF"/>
        </w:rPr>
        <w:t xml:space="preserve"> could give rise to a manifestly inequit</w:t>
      </w:r>
      <w:r w:rsidR="00F137AD" w:rsidRPr="006E0236">
        <w:rPr>
          <w:rFonts w:ascii="Arial" w:hAnsi="Arial" w:cs="Arial"/>
          <w:color w:val="242121"/>
          <w:shd w:val="clear" w:color="auto" w:fill="FFFFFF"/>
        </w:rPr>
        <w:t>a</w:t>
      </w:r>
      <w:r w:rsidR="00665570" w:rsidRPr="006E0236">
        <w:rPr>
          <w:rFonts w:ascii="Arial" w:hAnsi="Arial" w:cs="Arial"/>
          <w:color w:val="242121"/>
          <w:shd w:val="clear" w:color="auto" w:fill="FFFFFF"/>
        </w:rPr>
        <w:t>ble conclusion, which could serve to undermine the rule of law. This approach, if it is to be favoured, would disregard entirely the rationality, reasonableness and proportionality yardsticks that have become important touchstones in our jurisprudence. It likely would also, to all intents and purposes, set the bar</w:t>
      </w:r>
      <w:r w:rsidR="00F137AD" w:rsidRPr="006E0236">
        <w:rPr>
          <w:rFonts w:ascii="Arial" w:hAnsi="Arial" w:cs="Arial"/>
          <w:color w:val="242121"/>
          <w:shd w:val="clear" w:color="auto" w:fill="FFFFFF"/>
        </w:rPr>
        <w:t xml:space="preserve"> so</w:t>
      </w:r>
      <w:r w:rsidR="00665570" w:rsidRPr="006E0236">
        <w:rPr>
          <w:rFonts w:ascii="Arial" w:hAnsi="Arial" w:cs="Arial"/>
          <w:color w:val="242121"/>
          <w:shd w:val="clear" w:color="auto" w:fill="FFFFFF"/>
        </w:rPr>
        <w:t xml:space="preserve"> high as </w:t>
      </w:r>
      <w:r w:rsidR="00F137AD" w:rsidRPr="006E0236">
        <w:rPr>
          <w:rFonts w:ascii="Arial" w:hAnsi="Arial" w:cs="Arial"/>
          <w:color w:val="242121"/>
          <w:shd w:val="clear" w:color="auto" w:fill="FFFFFF"/>
        </w:rPr>
        <w:t xml:space="preserve">to </w:t>
      </w:r>
      <w:r w:rsidR="00665570" w:rsidRPr="006E0236">
        <w:rPr>
          <w:rFonts w:ascii="Arial" w:hAnsi="Arial" w:cs="Arial"/>
          <w:color w:val="242121"/>
          <w:shd w:val="clear" w:color="auto" w:fill="FFFFFF"/>
        </w:rPr>
        <w:t>render</w:t>
      </w:r>
      <w:r w:rsidR="007E63A0" w:rsidRPr="006E0236">
        <w:rPr>
          <w:rFonts w:ascii="Arial" w:hAnsi="Arial" w:cs="Arial"/>
          <w:color w:val="242121"/>
          <w:shd w:val="clear" w:color="auto" w:fill="FFFFFF"/>
        </w:rPr>
        <w:t xml:space="preserve"> the remedy illusory.</w:t>
      </w:r>
      <w:r w:rsidR="00F137AD" w:rsidRPr="006E0236">
        <w:rPr>
          <w:rFonts w:ascii="Arial" w:hAnsi="Arial" w:cs="Arial"/>
          <w:color w:val="242121"/>
          <w:shd w:val="clear" w:color="auto" w:fill="FFFFFF"/>
        </w:rPr>
        <w:t xml:space="preserve"> Counsel was </w:t>
      </w:r>
      <w:r w:rsidR="00C65BA7" w:rsidRPr="006E0236">
        <w:rPr>
          <w:rFonts w:ascii="Arial" w:hAnsi="Arial" w:cs="Arial"/>
          <w:color w:val="242121"/>
          <w:shd w:val="clear" w:color="auto" w:fill="FFFFFF"/>
        </w:rPr>
        <w:t xml:space="preserve">however </w:t>
      </w:r>
      <w:r w:rsidR="00F137AD" w:rsidRPr="006E0236">
        <w:rPr>
          <w:rFonts w:ascii="Arial" w:hAnsi="Arial" w:cs="Arial"/>
          <w:color w:val="242121"/>
          <w:shd w:val="clear" w:color="auto" w:fill="FFFFFF"/>
        </w:rPr>
        <w:t xml:space="preserve">willing to accept that there must always remain a residual discretion. What exactly was meant by a residual discretion or when precisely it was to be exercised </w:t>
      </w:r>
      <w:r w:rsidR="00721302" w:rsidRPr="006E0236">
        <w:rPr>
          <w:rFonts w:ascii="Arial" w:hAnsi="Arial" w:cs="Arial"/>
          <w:color w:val="242121"/>
          <w:shd w:val="clear" w:color="auto" w:fill="FFFFFF"/>
        </w:rPr>
        <w:t>remained opaque</w:t>
      </w:r>
      <w:r w:rsidR="00F137AD" w:rsidRPr="006E0236">
        <w:rPr>
          <w:rFonts w:ascii="Arial" w:hAnsi="Arial" w:cs="Arial"/>
          <w:color w:val="242121"/>
          <w:shd w:val="clear" w:color="auto" w:fill="FFFFFF"/>
        </w:rPr>
        <w:t>.</w:t>
      </w:r>
      <w:r w:rsidR="00721302" w:rsidRPr="006E0236">
        <w:rPr>
          <w:rFonts w:ascii="Arial" w:hAnsi="Arial" w:cs="Arial"/>
          <w:color w:val="242121"/>
          <w:shd w:val="clear" w:color="auto" w:fill="FFFFFF"/>
        </w:rPr>
        <w:t xml:space="preserve"> However, on the acceptance of a discre</w:t>
      </w:r>
      <w:r w:rsidR="006D6E41" w:rsidRPr="006E0236">
        <w:rPr>
          <w:rFonts w:ascii="Arial" w:hAnsi="Arial" w:cs="Arial"/>
          <w:color w:val="242121"/>
          <w:shd w:val="clear" w:color="auto" w:fill="FFFFFF"/>
        </w:rPr>
        <w:t>tion, even a residual one</w:t>
      </w:r>
      <w:r w:rsidR="00721302" w:rsidRPr="006E0236">
        <w:rPr>
          <w:rFonts w:ascii="Arial" w:hAnsi="Arial" w:cs="Arial"/>
          <w:color w:val="242121"/>
          <w:shd w:val="clear" w:color="auto" w:fill="FFFFFF"/>
        </w:rPr>
        <w:t>, the argumen</w:t>
      </w:r>
      <w:r w:rsidR="006D6E41" w:rsidRPr="006E0236">
        <w:rPr>
          <w:rFonts w:ascii="Arial" w:hAnsi="Arial" w:cs="Arial"/>
          <w:color w:val="242121"/>
          <w:shd w:val="clear" w:color="auto" w:fill="FFFFFF"/>
        </w:rPr>
        <w:t>t against a weighing-up evaporates</w:t>
      </w:r>
      <w:r w:rsidR="00721302" w:rsidRPr="006E0236">
        <w:rPr>
          <w:rFonts w:ascii="Arial" w:hAnsi="Arial" w:cs="Arial"/>
          <w:color w:val="242121"/>
          <w:shd w:val="clear" w:color="auto" w:fill="FFFFFF"/>
        </w:rPr>
        <w:t>. If the</w:t>
      </w:r>
      <w:r w:rsidR="00721302">
        <w:rPr>
          <w:rFonts w:ascii="Arial" w:hAnsi="Arial" w:cs="Arial"/>
          <w:color w:val="242121"/>
          <w:shd w:val="clear" w:color="auto" w:fill="FFFFFF"/>
        </w:rPr>
        <w:t xml:space="preserve"> argument were </w:t>
      </w:r>
      <w:r w:rsidR="00721302" w:rsidRPr="006E0236">
        <w:rPr>
          <w:rFonts w:ascii="Arial" w:hAnsi="Arial" w:cs="Arial"/>
          <w:color w:val="242121"/>
          <w:shd w:val="clear" w:color="auto" w:fill="FFFFFF"/>
        </w:rPr>
        <w:t>correct</w:t>
      </w:r>
      <w:r w:rsidR="00BA24EF" w:rsidRPr="006E0236">
        <w:rPr>
          <w:rFonts w:ascii="Arial" w:hAnsi="Arial" w:cs="Arial"/>
          <w:color w:val="242121"/>
          <w:shd w:val="clear" w:color="auto" w:fill="FFFFFF"/>
        </w:rPr>
        <w:t>,</w:t>
      </w:r>
      <w:r w:rsidR="00721302" w:rsidRPr="006E0236">
        <w:rPr>
          <w:rFonts w:ascii="Arial" w:hAnsi="Arial" w:cs="Arial"/>
          <w:color w:val="242121"/>
          <w:shd w:val="clear" w:color="auto" w:fill="FFFFFF"/>
        </w:rPr>
        <w:t xml:space="preserve"> the court would have no discretion to grant relief under s 18 whatever the consequences or however irreparably disastrous to an applicant.</w:t>
      </w:r>
    </w:p>
    <w:p w14:paraId="50689DA0" w14:textId="77777777" w:rsidR="006D6E41" w:rsidRPr="006E0236" w:rsidRDefault="006D6E41" w:rsidP="001C28E1">
      <w:pPr>
        <w:rPr>
          <w:rFonts w:ascii="Arial" w:hAnsi="Arial" w:cs="Arial"/>
          <w:i/>
          <w:iCs/>
          <w:color w:val="242121"/>
          <w:shd w:val="clear" w:color="auto" w:fill="FFFFFF"/>
        </w:rPr>
      </w:pPr>
    </w:p>
    <w:p w14:paraId="3DAB18A0" w14:textId="31EDD4FC" w:rsidR="00AB5FF3" w:rsidRDefault="00CD36C1" w:rsidP="006D491C">
      <w:pPr>
        <w:rPr>
          <w:rFonts w:ascii="Arial" w:hAnsi="Arial" w:cs="Arial"/>
          <w:color w:val="242121"/>
          <w:shd w:val="clear" w:color="auto" w:fill="FFFFFF"/>
        </w:rPr>
      </w:pPr>
      <w:r w:rsidRPr="006E0236">
        <w:rPr>
          <w:rFonts w:ascii="Arial" w:hAnsi="Arial" w:cs="Arial"/>
        </w:rPr>
        <w:t>[19</w:t>
      </w:r>
      <w:r w:rsidR="00A632A6" w:rsidRPr="006E0236">
        <w:rPr>
          <w:rFonts w:ascii="Arial" w:hAnsi="Arial" w:cs="Arial"/>
        </w:rPr>
        <w:t>]</w:t>
      </w:r>
      <w:r w:rsidR="006261A3" w:rsidRPr="006E0236">
        <w:rPr>
          <w:rFonts w:ascii="Arial" w:hAnsi="Arial" w:cs="Arial"/>
        </w:rPr>
        <w:tab/>
        <w:t>I</w:t>
      </w:r>
      <w:r w:rsidR="006D491C" w:rsidRPr="006E0236">
        <w:rPr>
          <w:rFonts w:ascii="Arial" w:hAnsi="Arial" w:cs="Arial"/>
        </w:rPr>
        <w:t>rreparable harm</w:t>
      </w:r>
      <w:r w:rsidR="006261A3" w:rsidRPr="006E0236">
        <w:rPr>
          <w:rFonts w:ascii="Arial" w:hAnsi="Arial" w:cs="Arial"/>
        </w:rPr>
        <w:t>, it has been said</w:t>
      </w:r>
      <w:r w:rsidR="00C65BA7" w:rsidRPr="006E0236">
        <w:rPr>
          <w:rFonts w:ascii="Arial" w:hAnsi="Arial" w:cs="Arial"/>
        </w:rPr>
        <w:t xml:space="preserve"> in a somewhat different context</w:t>
      </w:r>
      <w:r w:rsidR="006261A3" w:rsidRPr="006E0236">
        <w:rPr>
          <w:rFonts w:ascii="Arial" w:hAnsi="Arial" w:cs="Arial"/>
        </w:rPr>
        <w:t>,</w:t>
      </w:r>
      <w:r w:rsidR="006D491C" w:rsidRPr="006E0236">
        <w:rPr>
          <w:rFonts w:ascii="Arial" w:hAnsi="Arial" w:cs="Arial"/>
        </w:rPr>
        <w:t xml:space="preserve"> is more than a rationale – it is a critical factor in testing</w:t>
      </w:r>
      <w:r w:rsidR="006D491C" w:rsidRPr="00D02A26">
        <w:rPr>
          <w:rFonts w:ascii="Arial" w:hAnsi="Arial" w:cs="Arial"/>
        </w:rPr>
        <w:t xml:space="preserve"> the claim for an interlocutory injunction</w:t>
      </w:r>
      <w:r w:rsidR="006D491C">
        <w:rPr>
          <w:rFonts w:ascii="Arial" w:hAnsi="Arial" w:cs="Arial"/>
        </w:rPr>
        <w:t>.</w:t>
      </w:r>
      <w:r w:rsidR="006D491C">
        <w:rPr>
          <w:rStyle w:val="FootnoteReference"/>
          <w:rFonts w:ascii="Arial" w:hAnsi="Arial" w:cs="Arial"/>
        </w:rPr>
        <w:footnoteReference w:id="16"/>
      </w:r>
      <w:r w:rsidR="006D491C">
        <w:rPr>
          <w:rFonts w:ascii="Arial" w:hAnsi="Arial" w:cs="Arial"/>
          <w:color w:val="242121"/>
          <w:shd w:val="clear" w:color="auto" w:fill="FFFFFF"/>
        </w:rPr>
        <w:t xml:space="preserve"> T</w:t>
      </w:r>
      <w:r w:rsidR="006D491C" w:rsidRPr="009A1162">
        <w:rPr>
          <w:rFonts w:ascii="Arial" w:hAnsi="Arial" w:cs="Arial"/>
          <w:color w:val="242121"/>
          <w:shd w:val="clear" w:color="auto" w:fill="FFFFFF"/>
        </w:rPr>
        <w:t>he nature of irreparable harm</w:t>
      </w:r>
      <w:r w:rsidR="006D491C">
        <w:rPr>
          <w:rFonts w:ascii="Arial" w:hAnsi="Arial" w:cs="Arial"/>
          <w:color w:val="242121"/>
          <w:shd w:val="clear" w:color="auto" w:fill="FFFFFF"/>
        </w:rPr>
        <w:t xml:space="preserve"> is not </w:t>
      </w:r>
      <w:r w:rsidR="006D491C" w:rsidRPr="009A1162">
        <w:rPr>
          <w:rFonts w:ascii="Arial" w:hAnsi="Arial" w:cs="Arial"/>
          <w:color w:val="242121"/>
          <w:shd w:val="clear" w:color="auto" w:fill="FFFFFF"/>
        </w:rPr>
        <w:t xml:space="preserve">easy </w:t>
      </w:r>
      <w:r w:rsidR="006D491C">
        <w:rPr>
          <w:rFonts w:ascii="Arial" w:hAnsi="Arial" w:cs="Arial"/>
          <w:color w:val="242121"/>
          <w:shd w:val="clear" w:color="auto" w:fill="FFFFFF"/>
        </w:rPr>
        <w:t xml:space="preserve">to </w:t>
      </w:r>
      <w:r w:rsidR="006D491C" w:rsidRPr="009A1162">
        <w:rPr>
          <w:rFonts w:ascii="Arial" w:hAnsi="Arial" w:cs="Arial"/>
          <w:color w:val="242121"/>
          <w:shd w:val="clear" w:color="auto" w:fill="FFFFFF"/>
        </w:rPr>
        <w:t>defin</w:t>
      </w:r>
      <w:r w:rsidR="006D491C">
        <w:rPr>
          <w:rFonts w:ascii="Arial" w:hAnsi="Arial" w:cs="Arial"/>
          <w:color w:val="242121"/>
          <w:shd w:val="clear" w:color="auto" w:fill="FFFFFF"/>
        </w:rPr>
        <w:t xml:space="preserve">e. </w:t>
      </w:r>
      <w:r w:rsidR="006D491C" w:rsidRPr="006261A3">
        <w:rPr>
          <w:rFonts w:ascii="Arial" w:hAnsi="Arial" w:cs="Arial"/>
          <w:color w:val="242121"/>
          <w:shd w:val="clear" w:color="auto" w:fill="FFFFFF"/>
        </w:rPr>
        <w:t>R</w:t>
      </w:r>
      <w:r w:rsidR="008B4C43">
        <w:rPr>
          <w:rFonts w:ascii="Arial" w:hAnsi="Arial" w:cs="Arial"/>
          <w:color w:val="242121"/>
          <w:shd w:val="clear" w:color="auto" w:fill="FFFFFF"/>
        </w:rPr>
        <w:t xml:space="preserve"> </w:t>
      </w:r>
      <w:r w:rsidR="006D491C" w:rsidRPr="006261A3">
        <w:rPr>
          <w:rFonts w:ascii="Arial" w:hAnsi="Arial" w:cs="Arial"/>
          <w:color w:val="242121"/>
          <w:shd w:val="clear" w:color="auto" w:fill="FFFFFF"/>
        </w:rPr>
        <w:t>J Sharpe points out:</w:t>
      </w:r>
    </w:p>
    <w:p w14:paraId="5051EF35" w14:textId="5E79EF23" w:rsidR="006D491C" w:rsidRPr="00AB5FF3" w:rsidRDefault="006D491C" w:rsidP="006D491C">
      <w:pPr>
        <w:rPr>
          <w:rFonts w:ascii="Arial" w:hAnsi="Arial" w:cs="Arial"/>
          <w:color w:val="242121"/>
          <w:sz w:val="22"/>
          <w:szCs w:val="22"/>
          <w:shd w:val="clear" w:color="auto" w:fill="FFFFFF"/>
        </w:rPr>
      </w:pPr>
      <w:r w:rsidRPr="00AB5FF3">
        <w:rPr>
          <w:rFonts w:ascii="Arial" w:hAnsi="Arial" w:cs="Arial"/>
          <w:color w:val="242121"/>
          <w:sz w:val="22"/>
          <w:szCs w:val="22"/>
          <w:shd w:val="clear" w:color="auto" w:fill="FFFFFF"/>
        </w:rPr>
        <w:t>‘</w:t>
      </w:r>
      <w:r w:rsidR="00AB5FF3" w:rsidRPr="00AB5FF3">
        <w:rPr>
          <w:rFonts w:ascii="Arial" w:hAnsi="Arial" w:cs="Arial"/>
          <w:color w:val="242121"/>
          <w:sz w:val="22"/>
          <w:szCs w:val="22"/>
          <w:shd w:val="clear" w:color="auto" w:fill="FFFFFF"/>
        </w:rPr>
        <w:t>The rationale for requiring the plaintiff to show irreparable harm is readily understood. If damages will provide adequate compensation, and the defendant is in a position to pay them, then ordinarily there will be no justification in running the risk of an injunction pending the trial. W</w:t>
      </w:r>
      <w:r w:rsidRPr="00AB5FF3">
        <w:rPr>
          <w:rFonts w:ascii="Arial" w:hAnsi="Arial" w:cs="Arial"/>
          <w:color w:val="242121"/>
          <w:sz w:val="22"/>
          <w:szCs w:val="22"/>
          <w:shd w:val="clear" w:color="auto" w:fill="FFFFFF"/>
        </w:rPr>
        <w:t>hile it is easy to see why this requirement should be imposed, it is difficult to define exactly what is meant by irreparable harm.’</w:t>
      </w:r>
      <w:r w:rsidRPr="00AB5FF3">
        <w:rPr>
          <w:rStyle w:val="FootnoteReference"/>
          <w:rFonts w:ascii="Arial" w:hAnsi="Arial" w:cs="Arial"/>
          <w:color w:val="242121"/>
          <w:sz w:val="22"/>
          <w:szCs w:val="22"/>
          <w:shd w:val="clear" w:color="auto" w:fill="FFFFFF"/>
        </w:rPr>
        <w:footnoteReference w:id="17"/>
      </w:r>
    </w:p>
    <w:p w14:paraId="2485BCD0" w14:textId="77777777" w:rsidR="005B1A7C" w:rsidRDefault="005B1A7C" w:rsidP="00665570">
      <w:pPr>
        <w:rPr>
          <w:rFonts w:ascii="Arial" w:hAnsi="Arial" w:cs="Arial"/>
          <w:color w:val="242121"/>
          <w:shd w:val="clear" w:color="auto" w:fill="FFFFFF"/>
        </w:rPr>
      </w:pPr>
    </w:p>
    <w:p w14:paraId="0F2CAEED" w14:textId="7032A319" w:rsidR="00665570" w:rsidRPr="006E0236" w:rsidRDefault="00CD36C1" w:rsidP="00665570">
      <w:pPr>
        <w:rPr>
          <w:rFonts w:ascii="Arial" w:hAnsi="Arial" w:cs="Arial"/>
          <w:color w:val="242121"/>
          <w:shd w:val="clear" w:color="auto" w:fill="FFFFFF"/>
        </w:rPr>
      </w:pPr>
      <w:r w:rsidRPr="006E0236">
        <w:rPr>
          <w:rFonts w:ascii="Arial" w:hAnsi="Arial" w:cs="Arial"/>
          <w:color w:val="242121"/>
          <w:shd w:val="clear" w:color="auto" w:fill="FFFFFF"/>
        </w:rPr>
        <w:t>[20</w:t>
      </w:r>
      <w:r w:rsidR="005B1A7C" w:rsidRPr="006E0236">
        <w:rPr>
          <w:rFonts w:ascii="Arial" w:hAnsi="Arial" w:cs="Arial"/>
          <w:color w:val="242121"/>
          <w:shd w:val="clear" w:color="auto" w:fill="FFFFFF"/>
        </w:rPr>
        <w:t>]</w:t>
      </w:r>
      <w:r w:rsidR="005B1A7C" w:rsidRPr="006E0236">
        <w:rPr>
          <w:rFonts w:ascii="Arial" w:hAnsi="Arial" w:cs="Arial"/>
          <w:color w:val="242121"/>
          <w:shd w:val="clear" w:color="auto" w:fill="FFFFFF"/>
        </w:rPr>
        <w:tab/>
      </w:r>
      <w:r w:rsidR="00665570" w:rsidRPr="006E0236">
        <w:rPr>
          <w:rFonts w:ascii="Arial" w:hAnsi="Arial" w:cs="Arial"/>
          <w:color w:val="242121"/>
          <w:shd w:val="clear" w:color="auto" w:fill="FFFFFF"/>
        </w:rPr>
        <w:t>Over a century ago, Innes JA</w:t>
      </w:r>
      <w:r w:rsidR="00E16C7A" w:rsidRPr="006E0236">
        <w:rPr>
          <w:rFonts w:ascii="Arial" w:hAnsi="Arial" w:cs="Arial"/>
          <w:color w:val="242121"/>
          <w:shd w:val="clear" w:color="auto" w:fill="FFFFFF"/>
        </w:rPr>
        <w:t>,</w:t>
      </w:r>
      <w:r w:rsidR="00665570" w:rsidRPr="006E0236">
        <w:rPr>
          <w:rFonts w:ascii="Arial" w:hAnsi="Arial" w:cs="Arial"/>
          <w:color w:val="242121"/>
          <w:shd w:val="clear" w:color="auto" w:fill="FFFFFF"/>
        </w:rPr>
        <w:t xml:space="preserve"> after referring to </w:t>
      </w:r>
      <w:r w:rsidR="007E63A0" w:rsidRPr="006E0236">
        <w:rPr>
          <w:rFonts w:ascii="Arial" w:hAnsi="Arial" w:cs="Arial"/>
          <w:color w:val="242121"/>
          <w:shd w:val="clear" w:color="auto" w:fill="FFFFFF"/>
        </w:rPr>
        <w:t xml:space="preserve">Van der Linden's </w:t>
      </w:r>
      <w:r w:rsidR="00665570" w:rsidRPr="006E0236">
        <w:rPr>
          <w:rFonts w:ascii="Arial" w:hAnsi="Arial" w:cs="Arial"/>
          <w:color w:val="242121"/>
          <w:shd w:val="clear" w:color="auto" w:fill="FFFFFF"/>
        </w:rPr>
        <w:t>Institutes,</w:t>
      </w:r>
      <w:r w:rsidR="007E63A0" w:rsidRPr="006E0236">
        <w:rPr>
          <w:rFonts w:ascii="Arial" w:hAnsi="Arial" w:cs="Arial"/>
          <w:color w:val="242121"/>
          <w:shd w:val="clear" w:color="auto" w:fill="FFFFFF"/>
        </w:rPr>
        <w:t xml:space="preserve"> </w:t>
      </w:r>
      <w:r w:rsidR="00665570" w:rsidRPr="006E0236">
        <w:rPr>
          <w:rFonts w:ascii="Arial" w:hAnsi="Arial" w:cs="Arial"/>
          <w:color w:val="242121"/>
          <w:shd w:val="clear" w:color="auto" w:fill="FFFFFF"/>
        </w:rPr>
        <w:t xml:space="preserve">where </w:t>
      </w:r>
      <w:r w:rsidR="007E63A0" w:rsidRPr="006E0236">
        <w:rPr>
          <w:rFonts w:ascii="Arial" w:hAnsi="Arial" w:cs="Arial"/>
          <w:color w:val="242121"/>
          <w:shd w:val="clear" w:color="auto" w:fill="FFFFFF"/>
        </w:rPr>
        <w:t xml:space="preserve">the essentials for an </w:t>
      </w:r>
      <w:r w:rsidR="00665570" w:rsidRPr="006E0236">
        <w:rPr>
          <w:rFonts w:ascii="Arial" w:hAnsi="Arial" w:cs="Arial"/>
          <w:color w:val="242121"/>
          <w:shd w:val="clear" w:color="auto" w:fill="FFFFFF"/>
        </w:rPr>
        <w:t>interdict ap</w:t>
      </w:r>
      <w:r w:rsidR="00721302" w:rsidRPr="006E0236">
        <w:rPr>
          <w:rFonts w:ascii="Arial" w:hAnsi="Arial" w:cs="Arial"/>
          <w:color w:val="242121"/>
          <w:shd w:val="clear" w:color="auto" w:fill="FFFFFF"/>
        </w:rPr>
        <w:t>p</w:t>
      </w:r>
      <w:r w:rsidR="00665570" w:rsidRPr="006E0236">
        <w:rPr>
          <w:rFonts w:ascii="Arial" w:hAnsi="Arial" w:cs="Arial"/>
          <w:color w:val="242121"/>
          <w:shd w:val="clear" w:color="auto" w:fill="FFFFFF"/>
        </w:rPr>
        <w:t>lication had been enumerated, had this to say:</w:t>
      </w:r>
    </w:p>
    <w:p w14:paraId="403F6A47" w14:textId="2FB15B90" w:rsidR="00665570" w:rsidRDefault="00665570" w:rsidP="00665570">
      <w:pPr>
        <w:rPr>
          <w:rFonts w:ascii="Arial" w:hAnsi="Arial" w:cs="Arial"/>
          <w:color w:val="242121"/>
          <w:sz w:val="22"/>
          <w:szCs w:val="22"/>
          <w:shd w:val="clear" w:color="auto" w:fill="FFFFFF"/>
        </w:rPr>
      </w:pPr>
      <w:r w:rsidRPr="006E0236">
        <w:rPr>
          <w:rFonts w:ascii="Arial" w:hAnsi="Arial" w:cs="Arial"/>
          <w:color w:val="242121"/>
          <w:sz w:val="22"/>
          <w:szCs w:val="22"/>
          <w:shd w:val="clear" w:color="auto" w:fill="FFFFFF"/>
        </w:rPr>
        <w:t>‘</w:t>
      </w:r>
      <w:r w:rsidR="007E63A0" w:rsidRPr="006E0236">
        <w:rPr>
          <w:rFonts w:ascii="Arial" w:hAnsi="Arial" w:cs="Arial"/>
          <w:color w:val="242121"/>
          <w:sz w:val="22"/>
          <w:szCs w:val="22"/>
          <w:shd w:val="clear" w:color="auto" w:fill="FFFFFF"/>
        </w:rPr>
        <w:t xml:space="preserve">That element </w:t>
      </w:r>
      <w:r w:rsidRPr="006E0236">
        <w:rPr>
          <w:rFonts w:ascii="Arial" w:hAnsi="Arial" w:cs="Arial"/>
          <w:color w:val="242121"/>
          <w:sz w:val="22"/>
          <w:szCs w:val="22"/>
          <w:shd w:val="clear" w:color="auto" w:fill="FFFFFF"/>
        </w:rPr>
        <w:t xml:space="preserve">[the injury feared must be irreparable] </w:t>
      </w:r>
      <w:r w:rsidR="007E63A0" w:rsidRPr="006E0236">
        <w:rPr>
          <w:rFonts w:ascii="Arial" w:hAnsi="Arial" w:cs="Arial"/>
          <w:color w:val="242121"/>
          <w:sz w:val="22"/>
          <w:szCs w:val="22"/>
          <w:shd w:val="clear" w:color="auto" w:fill="FFFFFF"/>
        </w:rPr>
        <w:t>is only introduced by him in cases where the right asserted by the applicant, though prima facie established, is open to some doubt. In such cases h</w:t>
      </w:r>
      <w:r w:rsidR="00CD36C1" w:rsidRPr="006E0236">
        <w:rPr>
          <w:rFonts w:ascii="Arial" w:hAnsi="Arial" w:cs="Arial"/>
          <w:color w:val="242121"/>
          <w:sz w:val="22"/>
          <w:szCs w:val="22"/>
          <w:shd w:val="clear" w:color="auto" w:fill="FFFFFF"/>
        </w:rPr>
        <w:t>e</w:t>
      </w:r>
      <w:r w:rsidR="007E63A0" w:rsidRPr="006E0236">
        <w:rPr>
          <w:rFonts w:ascii="Arial" w:hAnsi="Arial" w:cs="Arial"/>
          <w:color w:val="242121"/>
          <w:sz w:val="22"/>
          <w:szCs w:val="22"/>
          <w:shd w:val="clear" w:color="auto" w:fill="FFFFFF"/>
        </w:rPr>
        <w:t xml:space="preserve"> says the test must be applied whether the</w:t>
      </w:r>
      <w:r w:rsidR="007E63A0" w:rsidRPr="00A21CFD">
        <w:rPr>
          <w:rFonts w:ascii="Arial" w:hAnsi="Arial" w:cs="Arial"/>
          <w:color w:val="242121"/>
          <w:sz w:val="22"/>
          <w:szCs w:val="22"/>
          <w:shd w:val="clear" w:color="auto" w:fill="FFFFFF"/>
        </w:rPr>
        <w:t xml:space="preserve"> continuance of the thing against which an interdict is sought would cause irreparable injury to the applicant. If so, the better </w:t>
      </w:r>
      <w:r w:rsidRPr="00A21CFD">
        <w:rPr>
          <w:rFonts w:ascii="Arial" w:hAnsi="Arial" w:cs="Arial"/>
          <w:color w:val="242121"/>
          <w:sz w:val="22"/>
          <w:szCs w:val="22"/>
          <w:shd w:val="clear" w:color="auto" w:fill="FFFFFF"/>
        </w:rPr>
        <w:t>cou</w:t>
      </w:r>
      <w:r w:rsidR="007E63A0" w:rsidRPr="00A21CFD">
        <w:rPr>
          <w:rFonts w:ascii="Arial" w:hAnsi="Arial" w:cs="Arial"/>
          <w:color w:val="242121"/>
          <w:sz w:val="22"/>
          <w:szCs w:val="22"/>
          <w:shd w:val="clear" w:color="auto" w:fill="FFFFFF"/>
        </w:rPr>
        <w:t xml:space="preserve">rse, is to grant the relief if the discontinuance of the act complained of would not </w:t>
      </w:r>
      <w:r w:rsidR="00633BE0">
        <w:rPr>
          <w:rFonts w:ascii="Arial" w:hAnsi="Arial" w:cs="Arial"/>
          <w:color w:val="242121"/>
          <w:sz w:val="22"/>
          <w:szCs w:val="22"/>
          <w:shd w:val="clear" w:color="auto" w:fill="FFFFFF"/>
        </w:rPr>
        <w:t xml:space="preserve">cause </w:t>
      </w:r>
      <w:r w:rsidR="007E63A0" w:rsidRPr="00A21CFD">
        <w:rPr>
          <w:rFonts w:ascii="Arial" w:hAnsi="Arial" w:cs="Arial"/>
          <w:color w:val="242121"/>
          <w:sz w:val="22"/>
          <w:szCs w:val="22"/>
          <w:shd w:val="clear" w:color="auto" w:fill="FFFFFF"/>
        </w:rPr>
        <w:t xml:space="preserve">irreparable injury to the other </w:t>
      </w:r>
      <w:r w:rsidRPr="00A21CFD">
        <w:rPr>
          <w:rFonts w:ascii="Arial" w:hAnsi="Arial" w:cs="Arial"/>
          <w:color w:val="242121"/>
          <w:sz w:val="22"/>
          <w:szCs w:val="22"/>
          <w:shd w:val="clear" w:color="auto" w:fill="FFFFFF"/>
        </w:rPr>
        <w:t>party.</w:t>
      </w:r>
      <w:r w:rsidR="007E63A0" w:rsidRPr="00A21CFD">
        <w:rPr>
          <w:rFonts w:ascii="Arial" w:hAnsi="Arial" w:cs="Arial"/>
          <w:color w:val="242121"/>
          <w:sz w:val="22"/>
          <w:szCs w:val="22"/>
          <w:shd w:val="clear" w:color="auto" w:fill="FFFFFF"/>
        </w:rPr>
        <w:t>’</w:t>
      </w:r>
      <w:r w:rsidRPr="00A21CFD">
        <w:rPr>
          <w:rStyle w:val="FootnoteReference"/>
          <w:rFonts w:ascii="Arial" w:hAnsi="Arial" w:cs="Arial"/>
          <w:color w:val="242121"/>
          <w:sz w:val="22"/>
          <w:szCs w:val="22"/>
          <w:shd w:val="clear" w:color="auto" w:fill="FFFFFF"/>
        </w:rPr>
        <w:footnoteReference w:id="18"/>
      </w:r>
    </w:p>
    <w:p w14:paraId="731F0554" w14:textId="33C48A0D" w:rsidR="006D491C" w:rsidRDefault="00C65BA7" w:rsidP="00665570">
      <w:pPr>
        <w:rPr>
          <w:rFonts w:ascii="Arial" w:hAnsi="Arial" w:cs="Arial"/>
          <w:color w:val="242121"/>
          <w:shd w:val="clear" w:color="auto" w:fill="FFFFFF"/>
        </w:rPr>
      </w:pPr>
      <w:r>
        <w:rPr>
          <w:rFonts w:ascii="Arial" w:hAnsi="Arial" w:cs="Arial"/>
          <w:color w:val="242121"/>
          <w:shd w:val="clear" w:color="auto" w:fill="FFFFFF"/>
        </w:rPr>
        <w:t>Interim interdicts (akin to interlocutory injunctions) are regular fare in our courts. They provide a flexible and most useful tool in the aid of justice. Our courts have accordingly come to accept that the remedy should not be granted if there is a danger that it may work an injustice.</w:t>
      </w:r>
    </w:p>
    <w:p w14:paraId="553C7029" w14:textId="77777777" w:rsidR="00C65BA7" w:rsidRDefault="00C65BA7" w:rsidP="00665570">
      <w:pPr>
        <w:rPr>
          <w:rFonts w:ascii="Arial" w:hAnsi="Arial" w:cs="Arial"/>
        </w:rPr>
      </w:pPr>
    </w:p>
    <w:p w14:paraId="56D23CBA" w14:textId="4D7F3EE1" w:rsidR="00665570" w:rsidRPr="00AB5FF3" w:rsidRDefault="00AF7FFC" w:rsidP="00665570">
      <w:pPr>
        <w:rPr>
          <w:rFonts w:ascii="Arial" w:hAnsi="Arial" w:cs="Arial"/>
          <w:color w:val="242121"/>
          <w:shd w:val="clear" w:color="auto" w:fill="FFFFFF"/>
        </w:rPr>
      </w:pPr>
      <w:r w:rsidRPr="006E0236">
        <w:rPr>
          <w:rFonts w:ascii="Arial" w:hAnsi="Arial" w:cs="Arial"/>
        </w:rPr>
        <w:t>[</w:t>
      </w:r>
      <w:r w:rsidR="00CD36C1" w:rsidRPr="006E0236">
        <w:rPr>
          <w:rFonts w:ascii="Arial" w:hAnsi="Arial" w:cs="Arial"/>
        </w:rPr>
        <w:t>21</w:t>
      </w:r>
      <w:r w:rsidR="001C28E1" w:rsidRPr="006E0236">
        <w:rPr>
          <w:rFonts w:ascii="Arial" w:hAnsi="Arial" w:cs="Arial"/>
        </w:rPr>
        <w:t>]</w:t>
      </w:r>
      <w:r w:rsidR="001C28E1" w:rsidRPr="006E0236">
        <w:rPr>
          <w:rFonts w:ascii="Arial" w:hAnsi="Arial" w:cs="Arial"/>
        </w:rPr>
        <w:tab/>
      </w:r>
      <w:r w:rsidR="00665570" w:rsidRPr="006E0236">
        <w:rPr>
          <w:rFonts w:ascii="Arial" w:hAnsi="Arial" w:cs="Arial"/>
        </w:rPr>
        <w:t>In</w:t>
      </w:r>
      <w:r w:rsidR="00665570" w:rsidRPr="00665570">
        <w:rPr>
          <w:rFonts w:ascii="Arial" w:hAnsi="Arial" w:cs="Arial"/>
        </w:rPr>
        <w:t xml:space="preserve"> </w:t>
      </w:r>
      <w:r w:rsidR="00665570" w:rsidRPr="00665570">
        <w:rPr>
          <w:rFonts w:ascii="Arial" w:hAnsi="Arial" w:cs="Arial"/>
          <w:i/>
          <w:iCs/>
        </w:rPr>
        <w:t>Hoffman</w:t>
      </w:r>
      <w:r w:rsidR="007A72D0">
        <w:rPr>
          <w:rFonts w:ascii="Arial" w:hAnsi="Arial" w:cs="Arial"/>
          <w:i/>
          <w:iCs/>
        </w:rPr>
        <w:t>n-</w:t>
      </w:r>
      <w:r w:rsidR="00665570" w:rsidRPr="006C02BE">
        <w:rPr>
          <w:rFonts w:ascii="Arial" w:hAnsi="Arial" w:cs="Arial"/>
          <w:i/>
          <w:iCs/>
        </w:rPr>
        <w:t>La</w:t>
      </w:r>
      <w:r w:rsidR="007A72D0">
        <w:rPr>
          <w:rFonts w:ascii="Arial" w:hAnsi="Arial" w:cs="Arial"/>
          <w:i/>
          <w:iCs/>
        </w:rPr>
        <w:t xml:space="preserve"> </w:t>
      </w:r>
      <w:r w:rsidR="00665570" w:rsidRPr="006C02BE">
        <w:rPr>
          <w:rFonts w:ascii="Arial" w:hAnsi="Arial" w:cs="Arial"/>
          <w:i/>
          <w:iCs/>
        </w:rPr>
        <w:t xml:space="preserve">Roche &amp; Co AG </w:t>
      </w:r>
      <w:r w:rsidR="00A21CFD">
        <w:rPr>
          <w:rFonts w:ascii="Arial" w:hAnsi="Arial" w:cs="Arial"/>
          <w:i/>
          <w:iCs/>
        </w:rPr>
        <w:t xml:space="preserve">and Others </w:t>
      </w:r>
      <w:proofErr w:type="gramStart"/>
      <w:r w:rsidR="00665570" w:rsidRPr="006C02BE">
        <w:rPr>
          <w:rFonts w:ascii="Arial" w:hAnsi="Arial" w:cs="Arial"/>
          <w:i/>
          <w:iCs/>
        </w:rPr>
        <w:t>v</w:t>
      </w:r>
      <w:proofErr w:type="gramEnd"/>
      <w:r w:rsidR="00665570" w:rsidRPr="006C02BE">
        <w:rPr>
          <w:rFonts w:ascii="Arial" w:hAnsi="Arial" w:cs="Arial"/>
          <w:i/>
          <w:iCs/>
        </w:rPr>
        <w:t xml:space="preserve"> Secretary of State for Trade and Industry</w:t>
      </w:r>
      <w:r w:rsidR="00665570" w:rsidRPr="00D02A26">
        <w:rPr>
          <w:rFonts w:ascii="Arial" w:hAnsi="Arial" w:cs="Arial"/>
        </w:rPr>
        <w:t xml:space="preserve">, Lord Wilberforce expressed </w:t>
      </w:r>
      <w:r w:rsidR="00665570">
        <w:rPr>
          <w:rFonts w:ascii="Arial" w:hAnsi="Arial" w:cs="Arial"/>
        </w:rPr>
        <w:t>the</w:t>
      </w:r>
      <w:r w:rsidR="00665570" w:rsidRPr="00D02A26">
        <w:rPr>
          <w:rFonts w:ascii="Arial" w:hAnsi="Arial" w:cs="Arial"/>
        </w:rPr>
        <w:t xml:space="preserve"> view</w:t>
      </w:r>
      <w:r w:rsidR="00665570">
        <w:rPr>
          <w:rFonts w:ascii="Arial" w:hAnsi="Arial" w:cs="Arial"/>
        </w:rPr>
        <w:t xml:space="preserve"> that</w:t>
      </w:r>
      <w:r w:rsidR="00A21CFD">
        <w:rPr>
          <w:rFonts w:ascii="Arial" w:hAnsi="Arial" w:cs="Arial"/>
        </w:rPr>
        <w:t>:</w:t>
      </w:r>
    </w:p>
    <w:p w14:paraId="5A7084F5" w14:textId="77777777" w:rsidR="00665570" w:rsidRPr="00A21CFD" w:rsidRDefault="00665570" w:rsidP="00665570">
      <w:pPr>
        <w:rPr>
          <w:rFonts w:ascii="Arial" w:hAnsi="Arial" w:cs="Arial"/>
          <w:sz w:val="22"/>
          <w:szCs w:val="22"/>
        </w:rPr>
      </w:pPr>
      <w:r w:rsidRPr="00A21CFD">
        <w:rPr>
          <w:rFonts w:ascii="Arial" w:hAnsi="Arial" w:cs="Arial"/>
          <w:sz w:val="22"/>
          <w:szCs w:val="22"/>
        </w:rPr>
        <w:t>‘The object of [an interim injunction] is to prevent a litigant, who must necessarily suffer the law's delay, from losing by the delay the fruit of his litigation; this is called "irreparable" damage, meaning that money obtained at trial may not compensate him.’</w:t>
      </w:r>
      <w:r w:rsidRPr="00A21CFD">
        <w:rPr>
          <w:rStyle w:val="FootnoteReference"/>
          <w:rFonts w:ascii="Arial" w:hAnsi="Arial" w:cs="Arial"/>
          <w:sz w:val="22"/>
          <w:szCs w:val="22"/>
        </w:rPr>
        <w:footnoteReference w:id="19"/>
      </w:r>
    </w:p>
    <w:p w14:paraId="51362753" w14:textId="7CC35CE0" w:rsidR="00EA515A" w:rsidRDefault="00AB5FF3" w:rsidP="00665570">
      <w:pPr>
        <w:rPr>
          <w:rFonts w:ascii="Arial" w:hAnsi="Arial" w:cs="Arial"/>
          <w:color w:val="242121"/>
          <w:shd w:val="clear" w:color="auto" w:fill="FFFFFF"/>
        </w:rPr>
      </w:pPr>
      <w:r>
        <w:rPr>
          <w:rFonts w:ascii="Arial" w:hAnsi="Arial" w:cs="Arial"/>
          <w:color w:val="242121"/>
          <w:shd w:val="clear" w:color="auto" w:fill="FFFFFF"/>
        </w:rPr>
        <w:t>Al</w:t>
      </w:r>
      <w:r w:rsidR="00C65BA7">
        <w:rPr>
          <w:rFonts w:ascii="Arial" w:hAnsi="Arial" w:cs="Arial"/>
          <w:color w:val="242121"/>
          <w:shd w:val="clear" w:color="auto" w:fill="FFFFFF"/>
        </w:rPr>
        <w:t>beit</w:t>
      </w:r>
      <w:r>
        <w:rPr>
          <w:rFonts w:ascii="Arial" w:hAnsi="Arial" w:cs="Arial"/>
          <w:color w:val="242121"/>
          <w:shd w:val="clear" w:color="auto" w:fill="FFFFFF"/>
        </w:rPr>
        <w:t xml:space="preserve"> </w:t>
      </w:r>
      <w:r w:rsidR="00CC79F3">
        <w:rPr>
          <w:rFonts w:ascii="Arial" w:hAnsi="Arial" w:cs="Arial"/>
          <w:color w:val="242121"/>
          <w:shd w:val="clear" w:color="auto" w:fill="FFFFFF"/>
        </w:rPr>
        <w:t xml:space="preserve">said in </w:t>
      </w:r>
      <w:r w:rsidR="00392EBA">
        <w:rPr>
          <w:rFonts w:ascii="Arial" w:hAnsi="Arial" w:cs="Arial"/>
          <w:color w:val="242121"/>
          <w:shd w:val="clear" w:color="auto" w:fill="FFFFFF"/>
        </w:rPr>
        <w:t>the</w:t>
      </w:r>
      <w:r w:rsidR="009F538F">
        <w:rPr>
          <w:rFonts w:ascii="Arial" w:hAnsi="Arial" w:cs="Arial"/>
          <w:color w:val="242121"/>
          <w:shd w:val="clear" w:color="auto" w:fill="FFFFFF"/>
        </w:rPr>
        <w:t xml:space="preserve"> </w:t>
      </w:r>
      <w:r w:rsidR="00CC79F3">
        <w:rPr>
          <w:rFonts w:ascii="Arial" w:hAnsi="Arial" w:cs="Arial"/>
          <w:color w:val="242121"/>
          <w:shd w:val="clear" w:color="auto" w:fill="FFFFFF"/>
        </w:rPr>
        <w:t xml:space="preserve">context of </w:t>
      </w:r>
      <w:r w:rsidR="00392EBA">
        <w:rPr>
          <w:rFonts w:ascii="Arial" w:hAnsi="Arial" w:cs="Arial"/>
          <w:color w:val="242121"/>
          <w:shd w:val="clear" w:color="auto" w:fill="FFFFFF"/>
        </w:rPr>
        <w:t xml:space="preserve">the consideration of </w:t>
      </w:r>
      <w:r w:rsidR="00CC79F3">
        <w:rPr>
          <w:rFonts w:ascii="Arial" w:hAnsi="Arial" w:cs="Arial"/>
          <w:color w:val="242121"/>
          <w:shd w:val="clear" w:color="auto" w:fill="FFFFFF"/>
        </w:rPr>
        <w:t>a wholly discretionary remedy</w:t>
      </w:r>
      <w:r w:rsidR="009F538F">
        <w:rPr>
          <w:rFonts w:ascii="Arial" w:hAnsi="Arial" w:cs="Arial"/>
          <w:color w:val="242121"/>
          <w:shd w:val="clear" w:color="auto" w:fill="FFFFFF"/>
        </w:rPr>
        <w:t>,</w:t>
      </w:r>
      <w:r w:rsidR="00CC79F3">
        <w:rPr>
          <w:rFonts w:ascii="Arial" w:hAnsi="Arial" w:cs="Arial"/>
          <w:color w:val="242121"/>
          <w:shd w:val="clear" w:color="auto" w:fill="FFFFFF"/>
        </w:rPr>
        <w:t xml:space="preserve"> and thus </w:t>
      </w:r>
      <w:r>
        <w:rPr>
          <w:rFonts w:ascii="Arial" w:hAnsi="Arial" w:cs="Arial"/>
          <w:color w:val="242121"/>
          <w:shd w:val="clear" w:color="auto" w:fill="FFFFFF"/>
        </w:rPr>
        <w:t>not perfectly analogous</w:t>
      </w:r>
      <w:r w:rsidR="00665570">
        <w:rPr>
          <w:rFonts w:ascii="Arial" w:hAnsi="Arial" w:cs="Arial"/>
          <w:color w:val="242121"/>
          <w:shd w:val="clear" w:color="auto" w:fill="FFFFFF"/>
        </w:rPr>
        <w:t xml:space="preserve">, </w:t>
      </w:r>
      <w:r w:rsidR="00C65BA7">
        <w:rPr>
          <w:rFonts w:ascii="Arial" w:hAnsi="Arial" w:cs="Arial"/>
          <w:color w:val="242121"/>
          <w:shd w:val="clear" w:color="auto" w:fill="FFFFFF"/>
        </w:rPr>
        <w:t>the sentiment expressed</w:t>
      </w:r>
      <w:r w:rsidR="00CC79F3">
        <w:rPr>
          <w:rFonts w:ascii="Arial" w:hAnsi="Arial" w:cs="Arial"/>
          <w:color w:val="242121"/>
          <w:shd w:val="clear" w:color="auto" w:fill="FFFFFF"/>
        </w:rPr>
        <w:t xml:space="preserve"> is not entirely without value here, inasmuch as it </w:t>
      </w:r>
      <w:r w:rsidR="00E715AA">
        <w:rPr>
          <w:rFonts w:ascii="Arial" w:hAnsi="Arial" w:cs="Arial"/>
          <w:color w:val="242121"/>
          <w:shd w:val="clear" w:color="auto" w:fill="FFFFFF"/>
        </w:rPr>
        <w:t>echoes</w:t>
      </w:r>
      <w:r w:rsidR="00665570">
        <w:rPr>
          <w:rFonts w:ascii="Arial" w:hAnsi="Arial" w:cs="Arial"/>
          <w:color w:val="242121"/>
          <w:shd w:val="clear" w:color="auto" w:fill="FFFFFF"/>
        </w:rPr>
        <w:t xml:space="preserve"> precisely the position in which Royal finds itself.</w:t>
      </w:r>
    </w:p>
    <w:p w14:paraId="348C004D" w14:textId="77777777" w:rsidR="00EA515A" w:rsidRDefault="00EA515A" w:rsidP="00665570">
      <w:pPr>
        <w:rPr>
          <w:rFonts w:ascii="Arial" w:hAnsi="Arial" w:cs="Arial"/>
          <w:color w:val="242121"/>
          <w:shd w:val="clear" w:color="auto" w:fill="FFFFFF"/>
        </w:rPr>
      </w:pPr>
    </w:p>
    <w:p w14:paraId="254F18F6" w14:textId="1E8F6DF6" w:rsidR="00665570" w:rsidRDefault="00EA515A" w:rsidP="00665570">
      <w:pPr>
        <w:rPr>
          <w:rFonts w:ascii="Arial" w:hAnsi="Arial" w:cs="Arial"/>
          <w:color w:val="242121"/>
          <w:shd w:val="clear" w:color="auto" w:fill="FFFFFF"/>
        </w:rPr>
      </w:pPr>
      <w:r>
        <w:rPr>
          <w:rFonts w:ascii="Arial" w:hAnsi="Arial" w:cs="Arial"/>
          <w:color w:val="242121"/>
          <w:shd w:val="clear" w:color="auto" w:fill="FFFFFF"/>
        </w:rPr>
        <w:t>[22]</w:t>
      </w:r>
      <w:r>
        <w:rPr>
          <w:rFonts w:ascii="Arial" w:hAnsi="Arial" w:cs="Arial"/>
          <w:color w:val="242121"/>
          <w:shd w:val="clear" w:color="auto" w:fill="FFFFFF"/>
        </w:rPr>
        <w:tab/>
      </w:r>
      <w:r w:rsidR="00665570">
        <w:rPr>
          <w:rFonts w:ascii="Arial" w:hAnsi="Arial" w:cs="Arial"/>
          <w:color w:val="242121"/>
          <w:shd w:val="clear" w:color="auto" w:fill="FFFFFF"/>
        </w:rPr>
        <w:t xml:space="preserve">The judgment of </w:t>
      </w:r>
      <w:proofErr w:type="spellStart"/>
      <w:r w:rsidR="00665570">
        <w:rPr>
          <w:rFonts w:ascii="Arial" w:hAnsi="Arial" w:cs="Arial"/>
          <w:color w:val="242121"/>
          <w:shd w:val="clear" w:color="auto" w:fill="FFFFFF"/>
        </w:rPr>
        <w:t>Binns</w:t>
      </w:r>
      <w:proofErr w:type="spellEnd"/>
      <w:r w:rsidR="00665570">
        <w:rPr>
          <w:rFonts w:ascii="Arial" w:hAnsi="Arial" w:cs="Arial"/>
          <w:color w:val="242121"/>
          <w:shd w:val="clear" w:color="auto" w:fill="FFFFFF"/>
        </w:rPr>
        <w:t xml:space="preserve">-Ward J </w:t>
      </w:r>
      <w:r w:rsidR="00665570" w:rsidRPr="00310CCE">
        <w:rPr>
          <w:rFonts w:ascii="Arial" w:hAnsi="Arial" w:cs="Arial"/>
          <w:color w:val="242121"/>
          <w:shd w:val="clear" w:color="auto" w:fill="FFFFFF"/>
        </w:rPr>
        <w:t>essentially only concerned the issue of what would be a just and equitable remedy in the circumstances</w:t>
      </w:r>
      <w:r w:rsidR="00665570">
        <w:rPr>
          <w:rFonts w:ascii="Arial" w:hAnsi="Arial" w:cs="Arial"/>
          <w:color w:val="242121"/>
          <w:shd w:val="clear" w:color="auto" w:fill="FFFFFF"/>
        </w:rPr>
        <w:t xml:space="preserve"> of the case. His order that a fresh tender process be completed within six months was not met </w:t>
      </w:r>
      <w:r w:rsidR="00665570" w:rsidRPr="006E0236">
        <w:rPr>
          <w:rFonts w:ascii="Arial" w:hAnsi="Arial" w:cs="Arial"/>
          <w:color w:val="242121"/>
          <w:shd w:val="clear" w:color="auto" w:fill="FFFFFF"/>
        </w:rPr>
        <w:t>and subsequently</w:t>
      </w:r>
      <w:r w:rsidR="00CD36C1" w:rsidRPr="006E0236">
        <w:rPr>
          <w:rFonts w:ascii="Arial" w:hAnsi="Arial" w:cs="Arial"/>
          <w:color w:val="242121"/>
          <w:shd w:val="clear" w:color="auto" w:fill="FFFFFF"/>
        </w:rPr>
        <w:t xml:space="preserve"> had to</w:t>
      </w:r>
      <w:r w:rsidR="00665570" w:rsidRPr="006E0236">
        <w:rPr>
          <w:rFonts w:ascii="Arial" w:hAnsi="Arial" w:cs="Arial"/>
          <w:color w:val="242121"/>
          <w:shd w:val="clear" w:color="auto" w:fill="FFFFFF"/>
        </w:rPr>
        <w:t xml:space="preserve"> be extended until 31 May 2023. This meant that Seal and </w:t>
      </w:r>
      <w:proofErr w:type="spellStart"/>
      <w:r w:rsidR="00665570" w:rsidRPr="006E0236">
        <w:rPr>
          <w:rFonts w:ascii="Arial" w:hAnsi="Arial" w:cs="Arial"/>
          <w:color w:val="242121"/>
          <w:shd w:val="clear" w:color="auto" w:fill="FFFFFF"/>
        </w:rPr>
        <w:t>Tyte</w:t>
      </w:r>
      <w:proofErr w:type="spellEnd"/>
      <w:r w:rsidR="00665570" w:rsidRPr="006E0236">
        <w:rPr>
          <w:rFonts w:ascii="Arial" w:hAnsi="Arial" w:cs="Arial"/>
          <w:color w:val="242121"/>
          <w:shd w:val="clear" w:color="auto" w:fill="FFFFFF"/>
        </w:rPr>
        <w:t xml:space="preserve"> had the full</w:t>
      </w:r>
      <w:r w:rsidR="00665570">
        <w:rPr>
          <w:rFonts w:ascii="Arial" w:hAnsi="Arial" w:cs="Arial"/>
          <w:color w:val="242121"/>
          <w:shd w:val="clear" w:color="auto" w:fill="FFFFFF"/>
        </w:rPr>
        <w:t xml:space="preserve"> benefit of the </w:t>
      </w:r>
      <w:r w:rsidR="00392EBA">
        <w:rPr>
          <w:rFonts w:ascii="Arial" w:hAnsi="Arial" w:cs="Arial"/>
          <w:color w:val="242121"/>
          <w:shd w:val="clear" w:color="auto" w:fill="FFFFFF"/>
        </w:rPr>
        <w:t xml:space="preserve">entire </w:t>
      </w:r>
      <w:r w:rsidR="00665570">
        <w:rPr>
          <w:rFonts w:ascii="Arial" w:hAnsi="Arial" w:cs="Arial"/>
          <w:color w:val="242121"/>
          <w:shd w:val="clear" w:color="auto" w:fill="FFFFFF"/>
        </w:rPr>
        <w:t>period</w:t>
      </w:r>
      <w:r w:rsidR="009011BF">
        <w:rPr>
          <w:rFonts w:ascii="Arial" w:hAnsi="Arial" w:cs="Arial"/>
          <w:color w:val="242121"/>
          <w:shd w:val="clear" w:color="auto" w:fill="FFFFFF"/>
        </w:rPr>
        <w:t xml:space="preserve"> of the first contract</w:t>
      </w:r>
      <w:r w:rsidR="00665570">
        <w:rPr>
          <w:rFonts w:ascii="Arial" w:hAnsi="Arial" w:cs="Arial"/>
          <w:color w:val="242121"/>
          <w:shd w:val="clear" w:color="auto" w:fill="FFFFFF"/>
        </w:rPr>
        <w:t>, notwithstanding the declaration of invalidity and the c</w:t>
      </w:r>
      <w:r w:rsidR="00A21CFD">
        <w:rPr>
          <w:rFonts w:ascii="Arial" w:hAnsi="Arial" w:cs="Arial"/>
          <w:color w:val="242121"/>
          <w:shd w:val="clear" w:color="auto" w:fill="FFFFFF"/>
        </w:rPr>
        <w:t xml:space="preserve">ontract having been set aside. </w:t>
      </w:r>
      <w:r w:rsidR="00665570">
        <w:rPr>
          <w:rFonts w:ascii="Arial" w:hAnsi="Arial" w:cs="Arial"/>
          <w:color w:val="242121"/>
          <w:shd w:val="clear" w:color="auto" w:fill="FFFFFF"/>
        </w:rPr>
        <w:t xml:space="preserve">In addition, the effect of the order of Francis J was that Seal and </w:t>
      </w:r>
      <w:proofErr w:type="spellStart"/>
      <w:r w:rsidR="00665570">
        <w:rPr>
          <w:rFonts w:ascii="Arial" w:hAnsi="Arial" w:cs="Arial"/>
          <w:color w:val="242121"/>
          <w:shd w:val="clear" w:color="auto" w:fill="FFFFFF"/>
        </w:rPr>
        <w:t>Tyte</w:t>
      </w:r>
      <w:proofErr w:type="spellEnd"/>
      <w:r w:rsidR="00665570">
        <w:rPr>
          <w:rFonts w:ascii="Arial" w:hAnsi="Arial" w:cs="Arial"/>
          <w:color w:val="242121"/>
          <w:shd w:val="clear" w:color="auto" w:fill="FFFFFF"/>
        </w:rPr>
        <w:t xml:space="preserve"> simply continued to perform services in terms of the tender awarded to them jointly on 25 March 2021.</w:t>
      </w:r>
      <w:r w:rsidR="006D6E41">
        <w:rPr>
          <w:rFonts w:ascii="Arial" w:hAnsi="Arial" w:cs="Arial"/>
          <w:color w:val="242121"/>
          <w:shd w:val="clear" w:color="auto" w:fill="FFFFFF"/>
        </w:rPr>
        <w:t>D</w:t>
      </w:r>
      <w:r w:rsidR="00665570">
        <w:rPr>
          <w:rFonts w:ascii="Arial" w:hAnsi="Arial" w:cs="Arial"/>
          <w:color w:val="242121"/>
          <w:shd w:val="clear" w:color="auto" w:fill="FFFFFF"/>
        </w:rPr>
        <w:t xml:space="preserve">espite the award having been set aside by </w:t>
      </w:r>
      <w:proofErr w:type="spellStart"/>
      <w:r w:rsidR="00665570">
        <w:rPr>
          <w:rFonts w:ascii="Arial" w:hAnsi="Arial" w:cs="Arial"/>
          <w:color w:val="242121"/>
          <w:shd w:val="clear" w:color="auto" w:fill="FFFFFF"/>
        </w:rPr>
        <w:t>Binns</w:t>
      </w:r>
      <w:proofErr w:type="spellEnd"/>
      <w:r w:rsidR="00665570">
        <w:rPr>
          <w:rFonts w:ascii="Arial" w:hAnsi="Arial" w:cs="Arial"/>
          <w:color w:val="242121"/>
          <w:shd w:val="clear" w:color="auto" w:fill="FFFFFF"/>
        </w:rPr>
        <w:t xml:space="preserve">-Ward J, by the time the main order came to be delivered on 21 February </w:t>
      </w:r>
      <w:r w:rsidR="00665570" w:rsidRPr="00392EBA">
        <w:rPr>
          <w:rFonts w:ascii="Arial" w:hAnsi="Arial" w:cs="Arial"/>
          <w:color w:val="242121"/>
          <w:shd w:val="clear" w:color="auto" w:fill="FFFFFF"/>
        </w:rPr>
        <w:t>20</w:t>
      </w:r>
      <w:r w:rsidR="00392EBA" w:rsidRPr="00392EBA">
        <w:rPr>
          <w:rFonts w:ascii="Arial" w:hAnsi="Arial" w:cs="Arial"/>
          <w:color w:val="242121"/>
          <w:shd w:val="clear" w:color="auto" w:fill="FFFFFF"/>
        </w:rPr>
        <w:t>2</w:t>
      </w:r>
      <w:r w:rsidR="00665570" w:rsidRPr="00392EBA">
        <w:rPr>
          <w:rFonts w:ascii="Arial" w:hAnsi="Arial" w:cs="Arial"/>
          <w:color w:val="242121"/>
          <w:shd w:val="clear" w:color="auto" w:fill="FFFFFF"/>
        </w:rPr>
        <w:t>4</w:t>
      </w:r>
      <w:r w:rsidR="00665570">
        <w:rPr>
          <w:rFonts w:ascii="Arial" w:hAnsi="Arial" w:cs="Arial"/>
          <w:color w:val="242121"/>
          <w:shd w:val="clear" w:color="auto" w:fill="FFFFFF"/>
        </w:rPr>
        <w:t xml:space="preserve">, Seal and </w:t>
      </w:r>
      <w:proofErr w:type="spellStart"/>
      <w:r w:rsidR="00665570">
        <w:rPr>
          <w:rFonts w:ascii="Arial" w:hAnsi="Arial" w:cs="Arial"/>
          <w:color w:val="242121"/>
          <w:shd w:val="clear" w:color="auto" w:fill="FFFFFF"/>
        </w:rPr>
        <w:t>Tyte</w:t>
      </w:r>
      <w:proofErr w:type="spellEnd"/>
      <w:r w:rsidR="00665570">
        <w:rPr>
          <w:rFonts w:ascii="Arial" w:hAnsi="Arial" w:cs="Arial"/>
          <w:color w:val="242121"/>
          <w:shd w:val="clear" w:color="auto" w:fill="FFFFFF"/>
        </w:rPr>
        <w:t xml:space="preserve"> had the benefit of the award for a further nine months. Thus, not only has </w:t>
      </w:r>
      <w:proofErr w:type="spellStart"/>
      <w:r w:rsidR="00665570">
        <w:rPr>
          <w:rFonts w:ascii="Arial" w:hAnsi="Arial" w:cs="Arial"/>
          <w:color w:val="242121"/>
          <w:shd w:val="clear" w:color="auto" w:fill="FFFFFF"/>
        </w:rPr>
        <w:t>Tyte</w:t>
      </w:r>
      <w:proofErr w:type="spellEnd"/>
      <w:r w:rsidR="00665570">
        <w:rPr>
          <w:rFonts w:ascii="Arial" w:hAnsi="Arial" w:cs="Arial"/>
          <w:color w:val="242121"/>
          <w:shd w:val="clear" w:color="auto" w:fill="FFFFFF"/>
        </w:rPr>
        <w:t xml:space="preserve"> had the benefit of a two-year contract that was set aside as having been unlawfully awarded to it, but by the time the m</w:t>
      </w:r>
      <w:r w:rsidR="00A21CFD">
        <w:rPr>
          <w:rFonts w:ascii="Arial" w:hAnsi="Arial" w:cs="Arial"/>
          <w:color w:val="242121"/>
          <w:shd w:val="clear" w:color="auto" w:fill="FFFFFF"/>
        </w:rPr>
        <w:t>atter came to be heard in this C</w:t>
      </w:r>
      <w:r w:rsidR="00665570">
        <w:rPr>
          <w:rFonts w:ascii="Arial" w:hAnsi="Arial" w:cs="Arial"/>
          <w:color w:val="242121"/>
          <w:shd w:val="clear" w:color="auto" w:fill="FFFFFF"/>
        </w:rPr>
        <w:t xml:space="preserve">ourt, it would have continued to reap the rewards of that contract for an additional year. Conversely, </w:t>
      </w:r>
      <w:r w:rsidR="00392EBA">
        <w:rPr>
          <w:rFonts w:ascii="Arial" w:hAnsi="Arial" w:cs="Arial"/>
          <w:color w:val="242121"/>
          <w:shd w:val="clear" w:color="auto" w:fill="FFFFFF"/>
        </w:rPr>
        <w:t xml:space="preserve">as things presently stand, </w:t>
      </w:r>
      <w:r w:rsidR="00665570">
        <w:rPr>
          <w:rFonts w:ascii="Arial" w:hAnsi="Arial" w:cs="Arial"/>
          <w:color w:val="242121"/>
          <w:shd w:val="clear" w:color="auto" w:fill="FFFFFF"/>
        </w:rPr>
        <w:t xml:space="preserve">Royal has been denied the benefit of </w:t>
      </w:r>
      <w:r w:rsidR="00392EBA">
        <w:rPr>
          <w:rFonts w:ascii="Arial" w:hAnsi="Arial" w:cs="Arial"/>
          <w:color w:val="242121"/>
          <w:shd w:val="clear" w:color="auto" w:fill="FFFFFF"/>
        </w:rPr>
        <w:t xml:space="preserve">at least one year of </w:t>
      </w:r>
      <w:r w:rsidR="009011BF">
        <w:rPr>
          <w:rFonts w:ascii="Arial" w:hAnsi="Arial" w:cs="Arial"/>
          <w:color w:val="242121"/>
          <w:shd w:val="clear" w:color="auto" w:fill="FFFFFF"/>
        </w:rPr>
        <w:t>the second</w:t>
      </w:r>
      <w:r w:rsidR="00665570">
        <w:rPr>
          <w:rFonts w:ascii="Arial" w:hAnsi="Arial" w:cs="Arial"/>
          <w:color w:val="242121"/>
          <w:shd w:val="clear" w:color="auto" w:fill="FFFFFF"/>
        </w:rPr>
        <w:t xml:space="preserve"> contract</w:t>
      </w:r>
      <w:r w:rsidR="00392EBA">
        <w:rPr>
          <w:rFonts w:ascii="Arial" w:hAnsi="Arial" w:cs="Arial"/>
          <w:color w:val="242121"/>
          <w:shd w:val="clear" w:color="auto" w:fill="FFFFFF"/>
        </w:rPr>
        <w:t>, which</w:t>
      </w:r>
      <w:r w:rsidR="00665570">
        <w:rPr>
          <w:rFonts w:ascii="Arial" w:hAnsi="Arial" w:cs="Arial"/>
          <w:color w:val="242121"/>
          <w:shd w:val="clear" w:color="auto" w:fill="FFFFFF"/>
        </w:rPr>
        <w:t xml:space="preserve"> the high court </w:t>
      </w:r>
      <w:r w:rsidR="00392EBA">
        <w:rPr>
          <w:rFonts w:ascii="Arial" w:hAnsi="Arial" w:cs="Arial"/>
          <w:color w:val="242121"/>
          <w:shd w:val="clear" w:color="auto" w:fill="FFFFFF"/>
        </w:rPr>
        <w:t xml:space="preserve">has found </w:t>
      </w:r>
      <w:r w:rsidR="00665570">
        <w:rPr>
          <w:rFonts w:ascii="Arial" w:hAnsi="Arial" w:cs="Arial"/>
          <w:color w:val="242121"/>
          <w:shd w:val="clear" w:color="auto" w:fill="FFFFFF"/>
        </w:rPr>
        <w:t>in the</w:t>
      </w:r>
      <w:r w:rsidR="009011BF">
        <w:rPr>
          <w:rFonts w:ascii="Arial" w:hAnsi="Arial" w:cs="Arial"/>
          <w:color w:val="242121"/>
          <w:shd w:val="clear" w:color="auto" w:fill="FFFFFF"/>
        </w:rPr>
        <w:t xml:space="preserve"> review</w:t>
      </w:r>
      <w:r w:rsidR="00665570">
        <w:rPr>
          <w:rFonts w:ascii="Arial" w:hAnsi="Arial" w:cs="Arial"/>
          <w:color w:val="242121"/>
          <w:shd w:val="clear" w:color="auto" w:fill="FFFFFF"/>
        </w:rPr>
        <w:t xml:space="preserve"> application to ha</w:t>
      </w:r>
      <w:r w:rsidR="00A21CFD">
        <w:rPr>
          <w:rFonts w:ascii="Arial" w:hAnsi="Arial" w:cs="Arial"/>
          <w:color w:val="242121"/>
          <w:shd w:val="clear" w:color="auto" w:fill="FFFFFF"/>
        </w:rPr>
        <w:t>ve been lawfully awarded to it.</w:t>
      </w:r>
    </w:p>
    <w:p w14:paraId="1E44FF53" w14:textId="19F34948" w:rsidR="001C28E1" w:rsidRPr="00665570" w:rsidRDefault="001C28E1" w:rsidP="001C28E1">
      <w:pPr>
        <w:rPr>
          <w:rFonts w:ascii="Arial" w:hAnsi="Arial" w:cs="Arial"/>
          <w:color w:val="242121"/>
          <w:highlight w:val="yellow"/>
          <w:shd w:val="clear" w:color="auto" w:fill="FFFFFF"/>
        </w:rPr>
      </w:pPr>
    </w:p>
    <w:p w14:paraId="2A415F60" w14:textId="5AC80DAE" w:rsidR="00695D7D" w:rsidRDefault="00AF7FFC" w:rsidP="00695D7D">
      <w:pPr>
        <w:rPr>
          <w:rFonts w:ascii="Arial" w:hAnsi="Arial" w:cs="Arial"/>
          <w:color w:val="242121"/>
          <w:shd w:val="clear" w:color="auto" w:fill="FFFFFF"/>
        </w:rPr>
      </w:pPr>
      <w:r w:rsidRPr="00695D7D">
        <w:rPr>
          <w:rFonts w:ascii="Arial" w:hAnsi="Arial" w:cs="Arial"/>
        </w:rPr>
        <w:t>[2</w:t>
      </w:r>
      <w:r w:rsidR="006D6E41">
        <w:rPr>
          <w:rFonts w:ascii="Arial" w:hAnsi="Arial" w:cs="Arial"/>
        </w:rPr>
        <w:t>3</w:t>
      </w:r>
      <w:r w:rsidR="001C28E1" w:rsidRPr="00695D7D">
        <w:rPr>
          <w:rFonts w:ascii="Arial" w:hAnsi="Arial" w:cs="Arial"/>
        </w:rPr>
        <w:t>]</w:t>
      </w:r>
      <w:r w:rsidR="001C28E1" w:rsidRPr="00695D7D">
        <w:rPr>
          <w:rFonts w:ascii="Arial" w:hAnsi="Arial" w:cs="Arial"/>
        </w:rPr>
        <w:tab/>
      </w:r>
      <w:r w:rsidR="00695D7D" w:rsidRPr="006E0236">
        <w:rPr>
          <w:rFonts w:ascii="Arial" w:hAnsi="Arial" w:cs="Arial"/>
          <w:color w:val="242121"/>
          <w:shd w:val="clear" w:color="auto" w:fill="FFFFFF"/>
        </w:rPr>
        <w:t xml:space="preserve">Inasmuch </w:t>
      </w:r>
      <w:r w:rsidR="00CD36C1" w:rsidRPr="006E0236">
        <w:rPr>
          <w:rFonts w:ascii="Arial" w:hAnsi="Arial" w:cs="Arial"/>
          <w:color w:val="242121"/>
          <w:shd w:val="clear" w:color="auto" w:fill="FFFFFF"/>
        </w:rPr>
        <w:t xml:space="preserve">as </w:t>
      </w:r>
      <w:r w:rsidR="00695D7D" w:rsidRPr="006E0236">
        <w:rPr>
          <w:rFonts w:ascii="Arial" w:hAnsi="Arial" w:cs="Arial"/>
          <w:color w:val="242121"/>
          <w:shd w:val="clear" w:color="auto" w:fill="FFFFFF"/>
        </w:rPr>
        <w:t xml:space="preserve">the </w:t>
      </w:r>
      <w:r w:rsidR="009011BF" w:rsidRPr="006E0236">
        <w:rPr>
          <w:rFonts w:ascii="Arial" w:hAnsi="Arial" w:cs="Arial"/>
          <w:color w:val="242121"/>
          <w:shd w:val="clear" w:color="auto" w:fill="FFFFFF"/>
        </w:rPr>
        <w:t>second</w:t>
      </w:r>
      <w:r w:rsidR="00695D7D">
        <w:rPr>
          <w:rFonts w:ascii="Arial" w:hAnsi="Arial" w:cs="Arial"/>
          <w:color w:val="242121"/>
          <w:shd w:val="clear" w:color="auto" w:fill="FFFFFF"/>
        </w:rPr>
        <w:t xml:space="preserve"> contract</w:t>
      </w:r>
      <w:r w:rsidR="00456316" w:rsidRPr="00E223F2">
        <w:rPr>
          <w:rFonts w:ascii="Arial" w:hAnsi="Arial" w:cs="Arial"/>
        </w:rPr>
        <w:t xml:space="preserve"> is due to terminate in June 2025</w:t>
      </w:r>
      <w:r w:rsidR="00695D7D">
        <w:rPr>
          <w:rFonts w:ascii="Arial" w:hAnsi="Arial" w:cs="Arial"/>
          <w:color w:val="242121"/>
          <w:shd w:val="clear" w:color="auto" w:fill="FFFFFF"/>
        </w:rPr>
        <w:t xml:space="preserve">, there is every prospect that </w:t>
      </w:r>
      <w:r w:rsidR="00456316">
        <w:rPr>
          <w:rFonts w:ascii="Arial" w:hAnsi="Arial" w:cs="Arial"/>
          <w:color w:val="242121"/>
          <w:shd w:val="clear" w:color="auto" w:fill="FFFFFF"/>
        </w:rPr>
        <w:t xml:space="preserve">by the time the appeal comes to be heard </w:t>
      </w:r>
      <w:r w:rsidR="00614283">
        <w:rPr>
          <w:rFonts w:ascii="Arial" w:hAnsi="Arial" w:cs="Arial"/>
          <w:color w:val="242121"/>
          <w:shd w:val="clear" w:color="auto" w:fill="FFFFFF"/>
        </w:rPr>
        <w:t xml:space="preserve">and irrespective of the outcome, </w:t>
      </w:r>
      <w:r w:rsidR="00695D7D">
        <w:rPr>
          <w:rFonts w:ascii="Arial" w:hAnsi="Arial" w:cs="Arial"/>
          <w:color w:val="242121"/>
          <w:shd w:val="clear" w:color="auto" w:fill="FFFFFF"/>
        </w:rPr>
        <w:t xml:space="preserve">Royal will be left remediless. Royal drew attention to the fact that when the review application issued, it had already commenced with the roll-out process, which was well underway. It is not in dispute that, as required by the </w:t>
      </w:r>
      <w:r w:rsidR="009011BF">
        <w:rPr>
          <w:rFonts w:ascii="Arial" w:hAnsi="Arial" w:cs="Arial"/>
          <w:color w:val="242121"/>
          <w:shd w:val="clear" w:color="auto" w:fill="FFFFFF"/>
        </w:rPr>
        <w:t xml:space="preserve">second </w:t>
      </w:r>
      <w:r w:rsidR="00695D7D">
        <w:rPr>
          <w:rFonts w:ascii="Arial" w:hAnsi="Arial" w:cs="Arial"/>
          <w:color w:val="242121"/>
          <w:shd w:val="clear" w:color="auto" w:fill="FFFFFF"/>
        </w:rPr>
        <w:t xml:space="preserve">contract, it had to provide insurance cover of R5 million per 300 guards, furnish a performance guarantee in an amount equal to 1% of the contract, being R2.8 million and establish sites in six different districts. Royal has also spent in excess of R1 million in respect of uniforms and R7.5 million in respect of an order for tactical response vehicles. As against that, the continued rendering of services in terms of the impugned </w:t>
      </w:r>
      <w:r w:rsidR="009011BF">
        <w:rPr>
          <w:rFonts w:ascii="Arial" w:hAnsi="Arial" w:cs="Arial"/>
          <w:color w:val="242121"/>
          <w:shd w:val="clear" w:color="auto" w:fill="FFFFFF"/>
        </w:rPr>
        <w:t>first contract</w:t>
      </w:r>
      <w:r w:rsidR="00695D7D">
        <w:rPr>
          <w:rFonts w:ascii="Arial" w:hAnsi="Arial" w:cs="Arial"/>
          <w:color w:val="242121"/>
          <w:shd w:val="clear" w:color="auto" w:fill="FFFFFF"/>
        </w:rPr>
        <w:t>, has generated in excess of</w:t>
      </w:r>
      <w:r w:rsidR="00A21CFD">
        <w:rPr>
          <w:rFonts w:ascii="Arial" w:hAnsi="Arial" w:cs="Arial"/>
          <w:color w:val="242121"/>
          <w:shd w:val="clear" w:color="auto" w:fill="FFFFFF"/>
        </w:rPr>
        <w:t xml:space="preserve"> R70 million for Seal and </w:t>
      </w:r>
      <w:proofErr w:type="spellStart"/>
      <w:r w:rsidR="00A21CFD">
        <w:rPr>
          <w:rFonts w:ascii="Arial" w:hAnsi="Arial" w:cs="Arial"/>
          <w:color w:val="242121"/>
          <w:shd w:val="clear" w:color="auto" w:fill="FFFFFF"/>
        </w:rPr>
        <w:t>Tyte</w:t>
      </w:r>
      <w:proofErr w:type="spellEnd"/>
      <w:r w:rsidR="00A21CFD">
        <w:rPr>
          <w:rFonts w:ascii="Arial" w:hAnsi="Arial" w:cs="Arial"/>
          <w:color w:val="242121"/>
          <w:shd w:val="clear" w:color="auto" w:fill="FFFFFF"/>
        </w:rPr>
        <w:t>.</w:t>
      </w:r>
    </w:p>
    <w:p w14:paraId="24215D93" w14:textId="652DD496" w:rsidR="001C28E1" w:rsidRPr="00665570" w:rsidRDefault="001C28E1" w:rsidP="001C28E1">
      <w:pPr>
        <w:rPr>
          <w:rFonts w:ascii="Arial" w:hAnsi="Arial" w:cs="Arial"/>
          <w:highlight w:val="yellow"/>
        </w:rPr>
      </w:pPr>
    </w:p>
    <w:p w14:paraId="201E1E3F" w14:textId="53469354" w:rsidR="00695D7D" w:rsidRDefault="008219E2" w:rsidP="00695D7D">
      <w:pPr>
        <w:rPr>
          <w:rFonts w:ascii="Arial" w:hAnsi="Arial" w:cs="Arial"/>
          <w:color w:val="242121"/>
          <w:shd w:val="clear" w:color="auto" w:fill="FFFFFF"/>
        </w:rPr>
      </w:pPr>
      <w:r w:rsidRPr="00695D7D">
        <w:rPr>
          <w:rFonts w:ascii="Arial" w:hAnsi="Arial" w:cs="Arial"/>
        </w:rPr>
        <w:t>[2</w:t>
      </w:r>
      <w:r w:rsidR="006D6E41">
        <w:rPr>
          <w:rFonts w:ascii="Arial" w:hAnsi="Arial" w:cs="Arial"/>
        </w:rPr>
        <w:t>4</w:t>
      </w:r>
      <w:r w:rsidR="001C28E1" w:rsidRPr="00695D7D">
        <w:rPr>
          <w:rFonts w:ascii="Arial" w:hAnsi="Arial" w:cs="Arial"/>
        </w:rPr>
        <w:t>]</w:t>
      </w:r>
      <w:r w:rsidR="001C28E1" w:rsidRPr="00695D7D">
        <w:rPr>
          <w:rFonts w:ascii="Arial" w:hAnsi="Arial" w:cs="Arial"/>
        </w:rPr>
        <w:tab/>
      </w:r>
      <w:r w:rsidR="00695D7D" w:rsidRPr="00695D7D">
        <w:rPr>
          <w:rFonts w:ascii="Arial" w:hAnsi="Arial" w:cs="Arial"/>
          <w:color w:val="242121"/>
          <w:shd w:val="clear" w:color="auto" w:fill="FFFFFF"/>
        </w:rPr>
        <w:t>Moreover</w:t>
      </w:r>
      <w:r w:rsidR="00695D7D">
        <w:rPr>
          <w:rFonts w:ascii="Arial" w:hAnsi="Arial" w:cs="Arial"/>
          <w:color w:val="242121"/>
          <w:shd w:val="clear" w:color="auto" w:fill="FFFFFF"/>
        </w:rPr>
        <w:t xml:space="preserve">, </w:t>
      </w:r>
      <w:r w:rsidR="00A21CFD">
        <w:rPr>
          <w:rFonts w:ascii="Arial" w:hAnsi="Arial" w:cs="Arial"/>
          <w:color w:val="242121"/>
          <w:shd w:val="clear" w:color="auto" w:fill="FFFFFF"/>
        </w:rPr>
        <w:t>i</w:t>
      </w:r>
      <w:r w:rsidR="00545348">
        <w:rPr>
          <w:rFonts w:ascii="Arial" w:hAnsi="Arial" w:cs="Arial"/>
          <w:color w:val="242121"/>
          <w:shd w:val="clear" w:color="auto" w:fill="FFFFFF"/>
        </w:rPr>
        <w:t xml:space="preserve">t is </w:t>
      </w:r>
      <w:r w:rsidR="00545348" w:rsidRPr="006E0236">
        <w:rPr>
          <w:rFonts w:ascii="Arial" w:hAnsi="Arial" w:cs="Arial"/>
          <w:color w:val="242121"/>
          <w:shd w:val="clear" w:color="auto" w:fill="FFFFFF"/>
        </w:rPr>
        <w:t>common ground</w:t>
      </w:r>
      <w:r w:rsidR="00695D7D" w:rsidRPr="006E0236">
        <w:rPr>
          <w:rFonts w:ascii="Arial" w:hAnsi="Arial" w:cs="Arial"/>
          <w:color w:val="242121"/>
          <w:shd w:val="clear" w:color="auto" w:fill="FFFFFF"/>
        </w:rPr>
        <w:t xml:space="preserve"> that</w:t>
      </w:r>
      <w:r w:rsidR="00695D7D">
        <w:rPr>
          <w:rFonts w:ascii="Arial" w:hAnsi="Arial" w:cs="Arial"/>
          <w:color w:val="242121"/>
          <w:shd w:val="clear" w:color="auto" w:fill="FFFFFF"/>
        </w:rPr>
        <w:t xml:space="preserve"> the price tendered by Royal was the most favourable to the Provincial Government, being lower than all the others by a significant margin. Royal’s bid of R282 million for the 24-month contract was 18.45% below the pre-tender estimate, whereas Seal and </w:t>
      </w:r>
      <w:proofErr w:type="spellStart"/>
      <w:r w:rsidR="00695D7D">
        <w:rPr>
          <w:rFonts w:ascii="Arial" w:hAnsi="Arial" w:cs="Arial"/>
          <w:color w:val="242121"/>
          <w:shd w:val="clear" w:color="auto" w:fill="FFFFFF"/>
        </w:rPr>
        <w:t>Tyte</w:t>
      </w:r>
      <w:proofErr w:type="spellEnd"/>
      <w:r w:rsidR="00695D7D">
        <w:rPr>
          <w:rFonts w:ascii="Arial" w:hAnsi="Arial" w:cs="Arial"/>
          <w:color w:val="242121"/>
          <w:shd w:val="clear" w:color="auto" w:fill="FFFFFF"/>
        </w:rPr>
        <w:t xml:space="preserve"> exceeded the estimate by 5.62% and 1.35% respectively. The anticipated windfall to Seal and </w:t>
      </w:r>
      <w:proofErr w:type="spellStart"/>
      <w:r w:rsidR="00695D7D">
        <w:rPr>
          <w:rFonts w:ascii="Arial" w:hAnsi="Arial" w:cs="Arial"/>
          <w:color w:val="242121"/>
          <w:shd w:val="clear" w:color="auto" w:fill="FFFFFF"/>
        </w:rPr>
        <w:t>Tyte</w:t>
      </w:r>
      <w:proofErr w:type="spellEnd"/>
      <w:r w:rsidR="00695D7D">
        <w:rPr>
          <w:rFonts w:ascii="Arial" w:hAnsi="Arial" w:cs="Arial"/>
          <w:color w:val="242121"/>
          <w:shd w:val="clear" w:color="auto" w:fill="FFFFFF"/>
        </w:rPr>
        <w:t xml:space="preserve"> of a further</w:t>
      </w:r>
      <w:r w:rsidR="00614283">
        <w:rPr>
          <w:rFonts w:ascii="Arial" w:hAnsi="Arial" w:cs="Arial"/>
          <w:color w:val="242121"/>
          <w:shd w:val="clear" w:color="auto" w:fill="FFFFFF"/>
        </w:rPr>
        <w:t xml:space="preserve"> turnover of</w:t>
      </w:r>
      <w:r w:rsidR="00695D7D">
        <w:rPr>
          <w:rFonts w:ascii="Arial" w:hAnsi="Arial" w:cs="Arial"/>
          <w:color w:val="242121"/>
          <w:shd w:val="clear" w:color="auto" w:fill="FFFFFF"/>
        </w:rPr>
        <w:t xml:space="preserve"> R100 million after the award of the bid to Royal represents 28.16% of the full-term value of the </w:t>
      </w:r>
      <w:r w:rsidR="009011BF">
        <w:rPr>
          <w:rFonts w:ascii="Arial" w:hAnsi="Arial" w:cs="Arial"/>
          <w:color w:val="242121"/>
          <w:shd w:val="clear" w:color="auto" w:fill="FFFFFF"/>
        </w:rPr>
        <w:t>second contract</w:t>
      </w:r>
      <w:r w:rsidR="00695D7D">
        <w:rPr>
          <w:rFonts w:ascii="Arial" w:hAnsi="Arial" w:cs="Arial"/>
          <w:color w:val="242121"/>
          <w:shd w:val="clear" w:color="auto" w:fill="FFFFFF"/>
        </w:rPr>
        <w:t>. Apart from illustrating the exceptional nature of this matter, these facts also bear testimony to the extent of the existing and ongoing prejudice to Royal and the public at large. The significance of the public interest was recognised by the high court in the concurring judgment of Gamble J in the</w:t>
      </w:r>
      <w:r w:rsidR="009011BF">
        <w:rPr>
          <w:rFonts w:ascii="Arial" w:hAnsi="Arial" w:cs="Arial"/>
          <w:color w:val="242121"/>
          <w:shd w:val="clear" w:color="auto" w:fill="FFFFFF"/>
        </w:rPr>
        <w:t xml:space="preserve"> review</w:t>
      </w:r>
      <w:r w:rsidR="00695D7D">
        <w:rPr>
          <w:rFonts w:ascii="Arial" w:hAnsi="Arial" w:cs="Arial"/>
          <w:color w:val="242121"/>
          <w:shd w:val="clear" w:color="auto" w:fill="FFFFFF"/>
        </w:rPr>
        <w:t xml:space="preserve"> application, in which he said:</w:t>
      </w:r>
    </w:p>
    <w:p w14:paraId="3E7B281C" w14:textId="4F7BDA56" w:rsidR="00695D7D" w:rsidRPr="00A21CFD" w:rsidRDefault="00695D7D" w:rsidP="00695D7D">
      <w:pPr>
        <w:rPr>
          <w:rFonts w:ascii="Arial" w:hAnsi="Arial" w:cs="Arial"/>
          <w:color w:val="242121"/>
          <w:sz w:val="22"/>
          <w:szCs w:val="22"/>
          <w:shd w:val="clear" w:color="auto" w:fill="FFFFFF"/>
        </w:rPr>
      </w:pPr>
      <w:r w:rsidRPr="00A21CFD">
        <w:rPr>
          <w:rFonts w:ascii="Arial" w:hAnsi="Arial" w:cs="Arial"/>
          <w:color w:val="242121"/>
          <w:sz w:val="22"/>
          <w:szCs w:val="22"/>
          <w:shd w:val="clear" w:color="auto" w:fill="FFFFFF"/>
        </w:rPr>
        <w:t>‘At the end of it all, the approach adopted by the province was in accordance with the touchstone of public procurement – the promotion of competition and cost-effective tendering. Importantly, the exercise resulted in a significant saving for the public purse – around R83m when compared to Seal’s price.</w:t>
      </w:r>
      <w:r w:rsidR="00A21CFD" w:rsidRPr="00A21CFD">
        <w:rPr>
          <w:rFonts w:ascii="Arial" w:hAnsi="Arial" w:cs="Arial"/>
          <w:color w:val="242121"/>
          <w:sz w:val="22"/>
          <w:szCs w:val="22"/>
          <w:shd w:val="clear" w:color="auto" w:fill="FFFFFF"/>
        </w:rPr>
        <w:t>’</w:t>
      </w:r>
    </w:p>
    <w:p w14:paraId="061728CE" w14:textId="460099EE" w:rsidR="001C28E1" w:rsidRPr="00665570" w:rsidRDefault="001C28E1" w:rsidP="001C28E1">
      <w:pPr>
        <w:rPr>
          <w:rFonts w:ascii="Arial" w:hAnsi="Arial" w:cs="Arial"/>
          <w:highlight w:val="yellow"/>
        </w:rPr>
      </w:pPr>
    </w:p>
    <w:p w14:paraId="5A8EFD1D" w14:textId="7F7A475C" w:rsidR="00B73481" w:rsidRDefault="001A0305" w:rsidP="00B73481">
      <w:pPr>
        <w:rPr>
          <w:rFonts w:ascii="Arial" w:hAnsi="Arial" w:cs="Arial"/>
          <w:color w:val="242121"/>
          <w:shd w:val="clear" w:color="auto" w:fill="FFFFFF"/>
        </w:rPr>
      </w:pPr>
      <w:r w:rsidRPr="00695D7D">
        <w:rPr>
          <w:rFonts w:ascii="Arial" w:hAnsi="Arial" w:cs="Arial"/>
        </w:rPr>
        <w:t>[2</w:t>
      </w:r>
      <w:r w:rsidR="006D6E41">
        <w:rPr>
          <w:rFonts w:ascii="Arial" w:hAnsi="Arial" w:cs="Arial"/>
        </w:rPr>
        <w:t>5</w:t>
      </w:r>
      <w:r w:rsidR="001C28E1" w:rsidRPr="00695D7D">
        <w:rPr>
          <w:rFonts w:ascii="Arial" w:hAnsi="Arial" w:cs="Arial"/>
        </w:rPr>
        <w:t>]</w:t>
      </w:r>
      <w:r w:rsidR="001C28E1" w:rsidRPr="00695D7D">
        <w:rPr>
          <w:rFonts w:ascii="Arial" w:hAnsi="Arial" w:cs="Arial"/>
        </w:rPr>
        <w:tab/>
      </w:r>
      <w:r w:rsidR="00B73481" w:rsidRPr="00695D7D">
        <w:rPr>
          <w:rFonts w:ascii="Arial" w:hAnsi="Arial" w:cs="Arial"/>
          <w:color w:val="242121"/>
          <w:shd w:val="clear" w:color="auto" w:fill="FFFFFF"/>
        </w:rPr>
        <w:t>In</w:t>
      </w:r>
      <w:r w:rsidR="00B73481">
        <w:rPr>
          <w:rFonts w:ascii="Arial" w:hAnsi="Arial" w:cs="Arial"/>
          <w:color w:val="242121"/>
          <w:shd w:val="clear" w:color="auto" w:fill="FFFFFF"/>
        </w:rPr>
        <w:t xml:space="preserve"> the circumstances</w:t>
      </w:r>
      <w:r w:rsidR="00B73481" w:rsidRPr="006E0236">
        <w:rPr>
          <w:rFonts w:ascii="Arial" w:hAnsi="Arial" w:cs="Arial"/>
          <w:color w:val="242121"/>
          <w:shd w:val="clear" w:color="auto" w:fill="FFFFFF"/>
        </w:rPr>
        <w:t xml:space="preserve">, it was unsurprising that in this Court, </w:t>
      </w:r>
      <w:proofErr w:type="spellStart"/>
      <w:r w:rsidR="00B73481" w:rsidRPr="006E0236">
        <w:rPr>
          <w:rFonts w:ascii="Arial" w:hAnsi="Arial" w:cs="Arial"/>
          <w:color w:val="242121"/>
          <w:shd w:val="clear" w:color="auto" w:fill="FFFFFF"/>
        </w:rPr>
        <w:t>Tyte</w:t>
      </w:r>
      <w:proofErr w:type="spellEnd"/>
      <w:r w:rsidR="00B73481" w:rsidRPr="006E0236">
        <w:rPr>
          <w:rFonts w:ascii="Arial" w:hAnsi="Arial" w:cs="Arial"/>
          <w:color w:val="242121"/>
          <w:shd w:val="clear" w:color="auto" w:fill="FFFFFF"/>
        </w:rPr>
        <w:t xml:space="preserve"> was constrained to accept that there are exceptional circumstances and that Royal will suffer irreparable harm. The argument thus centred on the </w:t>
      </w:r>
      <w:r w:rsidR="00B73481" w:rsidRPr="006E0236">
        <w:rPr>
          <w:rFonts w:ascii="Arial" w:hAnsi="Arial" w:cs="Arial"/>
          <w:i/>
          <w:iCs/>
          <w:color w:val="242121"/>
          <w:shd w:val="clear" w:color="auto" w:fill="FFFFFF"/>
        </w:rPr>
        <w:t>third</w:t>
      </w:r>
      <w:r w:rsidR="00B73481" w:rsidRPr="006E0236">
        <w:rPr>
          <w:rFonts w:ascii="Arial" w:hAnsi="Arial" w:cs="Arial"/>
          <w:color w:val="242121"/>
          <w:shd w:val="clear" w:color="auto" w:fill="FFFFFF"/>
        </w:rPr>
        <w:t xml:space="preserve">. However, even were we to approach the matter on the footing posited by counsel, namely that the </w:t>
      </w:r>
      <w:r w:rsidR="00B73481" w:rsidRPr="006E0236">
        <w:rPr>
          <w:rFonts w:ascii="Arial" w:hAnsi="Arial" w:cs="Arial"/>
          <w:i/>
          <w:iCs/>
          <w:color w:val="242121"/>
          <w:shd w:val="clear" w:color="auto" w:fill="FFFFFF"/>
        </w:rPr>
        <w:t>third</w:t>
      </w:r>
      <w:r w:rsidR="00B73481" w:rsidRPr="006E0236">
        <w:rPr>
          <w:rFonts w:ascii="Arial" w:hAnsi="Arial" w:cs="Arial"/>
          <w:color w:val="242121"/>
          <w:shd w:val="clear" w:color="auto" w:fill="FFFFFF"/>
        </w:rPr>
        <w:t xml:space="preserve"> had to be considered as an isolated edifice, the high court </w:t>
      </w:r>
      <w:r w:rsidR="00EA515A" w:rsidRPr="006E0236">
        <w:rPr>
          <w:rFonts w:ascii="Arial" w:hAnsi="Arial" w:cs="Arial"/>
          <w:color w:val="242121"/>
          <w:shd w:val="clear" w:color="auto" w:fill="FFFFFF"/>
        </w:rPr>
        <w:t xml:space="preserve">effectively </w:t>
      </w:r>
      <w:r w:rsidR="00B73481" w:rsidRPr="006E0236">
        <w:rPr>
          <w:rFonts w:ascii="Arial" w:hAnsi="Arial" w:cs="Arial"/>
          <w:color w:val="242121"/>
          <w:shd w:val="clear" w:color="auto" w:fill="FFFFFF"/>
        </w:rPr>
        <w:t xml:space="preserve">put paid to that </w:t>
      </w:r>
      <w:r w:rsidR="00FB3FF8" w:rsidRPr="006E0236">
        <w:rPr>
          <w:rFonts w:ascii="Arial" w:hAnsi="Arial" w:cs="Arial"/>
          <w:color w:val="242121"/>
          <w:shd w:val="clear" w:color="auto" w:fill="FFFFFF"/>
        </w:rPr>
        <w:t>in these terms</w:t>
      </w:r>
      <w:r w:rsidR="00B73481" w:rsidRPr="006E0236">
        <w:rPr>
          <w:rFonts w:ascii="Arial" w:hAnsi="Arial" w:cs="Arial"/>
          <w:color w:val="242121"/>
          <w:shd w:val="clear" w:color="auto" w:fill="FFFFFF"/>
        </w:rPr>
        <w:t>:</w:t>
      </w:r>
    </w:p>
    <w:p w14:paraId="1E7B15C6" w14:textId="3EB85F1A" w:rsidR="00A632A6" w:rsidRDefault="00695D7D" w:rsidP="00695D7D">
      <w:pPr>
        <w:rPr>
          <w:rFonts w:ascii="Arial" w:hAnsi="Arial" w:cs="Arial"/>
          <w:color w:val="242121"/>
          <w:sz w:val="22"/>
          <w:szCs w:val="22"/>
          <w:shd w:val="clear" w:color="auto" w:fill="FFFFFF"/>
        </w:rPr>
      </w:pPr>
      <w:r w:rsidRPr="00A21CFD">
        <w:rPr>
          <w:rFonts w:ascii="Arial" w:hAnsi="Arial" w:cs="Arial"/>
          <w:color w:val="242121"/>
          <w:sz w:val="22"/>
          <w:szCs w:val="22"/>
          <w:shd w:val="clear" w:color="auto" w:fill="FFFFFF"/>
        </w:rPr>
        <w:t>‘Simply put, the tenth respondent has been losing daily revenue on not being permitted to perform under a lawfully awarded tender. On the other side of the coin, the twenty-second respondent has been benefiting from an unlawfully awarded tender for close to three years and will suffer no judicially cognizable harm whatsoever if the tenth respondent were to perform the services provided in its contract for the remaining little more than one year of its intended duration. The twenty-second respondent does not engage with these factual averments, which are common cause.</w:t>
      </w:r>
      <w:r w:rsidR="00A21CFD" w:rsidRPr="00A21CFD">
        <w:rPr>
          <w:rFonts w:ascii="Arial" w:hAnsi="Arial" w:cs="Arial"/>
          <w:color w:val="242121"/>
          <w:sz w:val="22"/>
          <w:szCs w:val="22"/>
          <w:shd w:val="clear" w:color="auto" w:fill="FFFFFF"/>
        </w:rPr>
        <w:t>’</w:t>
      </w:r>
    </w:p>
    <w:p w14:paraId="422533AC" w14:textId="77777777" w:rsidR="006E0236" w:rsidRPr="00A768AD" w:rsidRDefault="006E0236" w:rsidP="00695D7D">
      <w:pPr>
        <w:rPr>
          <w:rFonts w:ascii="Arial" w:hAnsi="Arial" w:cs="Arial"/>
          <w:color w:val="242121"/>
          <w:sz w:val="22"/>
          <w:szCs w:val="22"/>
          <w:shd w:val="clear" w:color="auto" w:fill="FFFFFF"/>
        </w:rPr>
      </w:pPr>
    </w:p>
    <w:p w14:paraId="0C33681E" w14:textId="3CF98481" w:rsidR="00695D7D" w:rsidRDefault="00B73481" w:rsidP="00695D7D">
      <w:pPr>
        <w:rPr>
          <w:rFonts w:ascii="Arial" w:hAnsi="Arial" w:cs="Arial"/>
          <w:color w:val="242121"/>
          <w:shd w:val="clear" w:color="auto" w:fill="FFFFFF"/>
        </w:rPr>
      </w:pPr>
      <w:r>
        <w:rPr>
          <w:rFonts w:ascii="Arial" w:hAnsi="Arial" w:cs="Arial"/>
        </w:rPr>
        <w:t>[26</w:t>
      </w:r>
      <w:r w:rsidR="00A632A6" w:rsidRPr="00695D7D">
        <w:rPr>
          <w:rFonts w:ascii="Arial" w:hAnsi="Arial" w:cs="Arial"/>
        </w:rPr>
        <w:t>]</w:t>
      </w:r>
      <w:r w:rsidR="00A632A6" w:rsidRPr="00695D7D">
        <w:rPr>
          <w:rFonts w:ascii="Arial" w:hAnsi="Arial" w:cs="Arial"/>
        </w:rPr>
        <w:tab/>
      </w:r>
      <w:r w:rsidR="00695D7D" w:rsidRPr="00695D7D">
        <w:rPr>
          <w:rFonts w:ascii="Arial" w:hAnsi="Arial" w:cs="Arial"/>
          <w:color w:val="242121"/>
          <w:shd w:val="clear" w:color="auto" w:fill="FFFFFF"/>
        </w:rPr>
        <w:t>In that</w:t>
      </w:r>
      <w:r w:rsidR="00CC79F3">
        <w:rPr>
          <w:rFonts w:ascii="Arial" w:hAnsi="Arial" w:cs="Arial"/>
          <w:color w:val="242121"/>
          <w:shd w:val="clear" w:color="auto" w:fill="FFFFFF"/>
        </w:rPr>
        <w:t>,</w:t>
      </w:r>
      <w:r w:rsidR="00695D7D" w:rsidRPr="00384648">
        <w:rPr>
          <w:rFonts w:ascii="Arial" w:hAnsi="Arial" w:cs="Arial"/>
          <w:color w:val="242121"/>
          <w:shd w:val="clear" w:color="auto" w:fill="FFFFFF"/>
        </w:rPr>
        <w:t xml:space="preserve"> the high court cannot be faulted.</w:t>
      </w:r>
      <w:r w:rsidR="00695D7D">
        <w:rPr>
          <w:rFonts w:ascii="Arial" w:hAnsi="Arial" w:cs="Arial"/>
          <w:color w:val="242121"/>
          <w:shd w:val="clear" w:color="auto" w:fill="FFFFFF"/>
        </w:rPr>
        <w:t xml:space="preserve"> In arguing that it will suffer irreparable harm, </w:t>
      </w:r>
      <w:proofErr w:type="spellStart"/>
      <w:r w:rsidR="00695D7D">
        <w:rPr>
          <w:rFonts w:ascii="Arial" w:hAnsi="Arial" w:cs="Arial"/>
          <w:color w:val="242121"/>
          <w:shd w:val="clear" w:color="auto" w:fill="FFFFFF"/>
        </w:rPr>
        <w:t>Tyte</w:t>
      </w:r>
      <w:proofErr w:type="spellEnd"/>
      <w:r w:rsidR="00695D7D">
        <w:rPr>
          <w:rFonts w:ascii="Arial" w:hAnsi="Arial" w:cs="Arial"/>
          <w:color w:val="242121"/>
          <w:shd w:val="clear" w:color="auto" w:fill="FFFFFF"/>
        </w:rPr>
        <w:t xml:space="preserve"> takes a rather narrow view of the matter. It focuses on the profits that it will lose going forward, but ignores entirely the windfall that it has received from a contract that was unlawfully awarded to it. It seeks to continue to reap that windfall </w:t>
      </w:r>
      <w:r w:rsidR="008F660C">
        <w:rPr>
          <w:rFonts w:ascii="Arial" w:hAnsi="Arial" w:cs="Arial"/>
          <w:color w:val="242121"/>
          <w:shd w:val="clear" w:color="auto" w:fill="FFFFFF"/>
        </w:rPr>
        <w:t xml:space="preserve">for an indefinite period well </w:t>
      </w:r>
      <w:r w:rsidR="00695D7D">
        <w:rPr>
          <w:rFonts w:ascii="Arial" w:hAnsi="Arial" w:cs="Arial"/>
          <w:color w:val="242121"/>
          <w:shd w:val="clear" w:color="auto" w:fill="FFFFFF"/>
        </w:rPr>
        <w:t>into the future</w:t>
      </w:r>
      <w:r w:rsidR="008F660C">
        <w:rPr>
          <w:rFonts w:ascii="Arial" w:hAnsi="Arial" w:cs="Arial"/>
          <w:color w:val="242121"/>
          <w:shd w:val="clear" w:color="auto" w:fill="FFFFFF"/>
        </w:rPr>
        <w:t>.</w:t>
      </w:r>
      <w:r w:rsidR="00695D7D">
        <w:rPr>
          <w:rFonts w:ascii="Arial" w:hAnsi="Arial" w:cs="Arial"/>
          <w:color w:val="242121"/>
          <w:shd w:val="clear" w:color="auto" w:fill="FFFFFF"/>
        </w:rPr>
        <w:t xml:space="preserve"> </w:t>
      </w:r>
      <w:r w:rsidR="008F660C">
        <w:rPr>
          <w:rFonts w:ascii="Arial" w:hAnsi="Arial" w:cs="Arial"/>
          <w:color w:val="242121"/>
          <w:shd w:val="clear" w:color="auto" w:fill="FFFFFF"/>
        </w:rPr>
        <w:t xml:space="preserve">It does so </w:t>
      </w:r>
      <w:r w:rsidR="00695D7D">
        <w:rPr>
          <w:rFonts w:ascii="Arial" w:hAnsi="Arial" w:cs="Arial"/>
          <w:color w:val="242121"/>
          <w:shd w:val="clear" w:color="auto" w:fill="FFFFFF"/>
        </w:rPr>
        <w:t xml:space="preserve">in the face of a </w:t>
      </w:r>
      <w:r w:rsidR="00695D7D" w:rsidRPr="006E0236">
        <w:rPr>
          <w:rFonts w:ascii="Arial" w:hAnsi="Arial" w:cs="Arial"/>
          <w:color w:val="242121"/>
          <w:shd w:val="clear" w:color="auto" w:fill="FFFFFF"/>
        </w:rPr>
        <w:t>new contract that</w:t>
      </w:r>
      <w:r w:rsidRPr="006E0236">
        <w:rPr>
          <w:rFonts w:ascii="Arial" w:hAnsi="Arial" w:cs="Arial"/>
          <w:color w:val="242121"/>
          <w:shd w:val="clear" w:color="auto" w:fill="FFFFFF"/>
        </w:rPr>
        <w:t xml:space="preserve"> </w:t>
      </w:r>
      <w:r w:rsidR="00695D7D" w:rsidRPr="006E0236">
        <w:rPr>
          <w:rFonts w:ascii="Arial" w:hAnsi="Arial" w:cs="Arial"/>
          <w:color w:val="242121"/>
          <w:shd w:val="clear" w:color="auto" w:fill="FFFFFF"/>
        </w:rPr>
        <w:t>has</w:t>
      </w:r>
      <w:r w:rsidR="00695D7D">
        <w:rPr>
          <w:rFonts w:ascii="Arial" w:hAnsi="Arial" w:cs="Arial"/>
          <w:color w:val="242121"/>
          <w:shd w:val="clear" w:color="auto" w:fill="FFFFFF"/>
        </w:rPr>
        <w:t xml:space="preserve"> been held by the high court to have been lawfully awarded to Royal. What is more, for as long as </w:t>
      </w:r>
      <w:proofErr w:type="spellStart"/>
      <w:r w:rsidR="00695D7D">
        <w:rPr>
          <w:rFonts w:ascii="Arial" w:hAnsi="Arial" w:cs="Arial"/>
          <w:color w:val="242121"/>
          <w:shd w:val="clear" w:color="auto" w:fill="FFFFFF"/>
        </w:rPr>
        <w:t>Tyte</w:t>
      </w:r>
      <w:proofErr w:type="spellEnd"/>
      <w:r w:rsidR="00695D7D">
        <w:rPr>
          <w:rFonts w:ascii="Arial" w:hAnsi="Arial" w:cs="Arial"/>
          <w:color w:val="242121"/>
          <w:shd w:val="clear" w:color="auto" w:fill="FFFFFF"/>
        </w:rPr>
        <w:t xml:space="preserve"> continues to perform in terms of the first contract that has been held to be unlawful, it does so at an inflated cost to the Provincial Government. The windfall</w:t>
      </w:r>
      <w:r w:rsidR="00CC79F3">
        <w:rPr>
          <w:rFonts w:ascii="Arial" w:hAnsi="Arial" w:cs="Arial"/>
          <w:color w:val="242121"/>
          <w:shd w:val="clear" w:color="auto" w:fill="FFFFFF"/>
        </w:rPr>
        <w:t>,</w:t>
      </w:r>
      <w:r w:rsidR="00695D7D">
        <w:rPr>
          <w:rFonts w:ascii="Arial" w:hAnsi="Arial" w:cs="Arial"/>
          <w:color w:val="242121"/>
          <w:shd w:val="clear" w:color="auto" w:fill="FFFFFF"/>
        </w:rPr>
        <w:t xml:space="preserve"> taken together with the inflated costs</w:t>
      </w:r>
      <w:r w:rsidR="00CC79F3">
        <w:rPr>
          <w:rFonts w:ascii="Arial" w:hAnsi="Arial" w:cs="Arial"/>
          <w:color w:val="242121"/>
          <w:shd w:val="clear" w:color="auto" w:fill="FFFFFF"/>
        </w:rPr>
        <w:t>,</w:t>
      </w:r>
      <w:r w:rsidR="00695D7D">
        <w:rPr>
          <w:rFonts w:ascii="Arial" w:hAnsi="Arial" w:cs="Arial"/>
          <w:color w:val="242121"/>
          <w:shd w:val="clear" w:color="auto" w:fill="FFFFFF"/>
        </w:rPr>
        <w:t xml:space="preserve"> </w:t>
      </w:r>
      <w:r w:rsidR="00CC79F3">
        <w:rPr>
          <w:rFonts w:ascii="Arial" w:hAnsi="Arial" w:cs="Arial"/>
          <w:color w:val="242121"/>
          <w:shd w:val="clear" w:color="auto" w:fill="FFFFFF"/>
        </w:rPr>
        <w:t>is</w:t>
      </w:r>
      <w:r w:rsidR="00695D7D">
        <w:rPr>
          <w:rFonts w:ascii="Arial" w:hAnsi="Arial" w:cs="Arial"/>
          <w:color w:val="242121"/>
          <w:shd w:val="clear" w:color="auto" w:fill="FFFFFF"/>
        </w:rPr>
        <w:t xml:space="preserve"> completely dispositive of </w:t>
      </w:r>
      <w:proofErr w:type="spellStart"/>
      <w:r w:rsidR="00695D7D">
        <w:rPr>
          <w:rFonts w:ascii="Arial" w:hAnsi="Arial" w:cs="Arial"/>
          <w:color w:val="242121"/>
          <w:shd w:val="clear" w:color="auto" w:fill="FFFFFF"/>
        </w:rPr>
        <w:t>Tyte’s</w:t>
      </w:r>
      <w:proofErr w:type="spellEnd"/>
      <w:r w:rsidR="00695D7D">
        <w:rPr>
          <w:rFonts w:ascii="Arial" w:hAnsi="Arial" w:cs="Arial"/>
          <w:color w:val="242121"/>
          <w:shd w:val="clear" w:color="auto" w:fill="FFFFFF"/>
        </w:rPr>
        <w:t xml:space="preserve"> argument that the harm to it is irreparable.</w:t>
      </w:r>
    </w:p>
    <w:p w14:paraId="64181720" w14:textId="60571562" w:rsidR="00CC79F3" w:rsidRPr="00665570" w:rsidRDefault="00CC79F3" w:rsidP="001C28E1">
      <w:pPr>
        <w:rPr>
          <w:rFonts w:ascii="Arial" w:hAnsi="Arial" w:cs="Arial"/>
          <w:highlight w:val="yellow"/>
        </w:rPr>
      </w:pPr>
    </w:p>
    <w:p w14:paraId="56EAB9E3" w14:textId="09CD1089" w:rsidR="00B73481" w:rsidRDefault="001A0305" w:rsidP="00695D7D">
      <w:pPr>
        <w:rPr>
          <w:rFonts w:ascii="Arial" w:hAnsi="Arial" w:cs="Arial"/>
          <w:color w:val="242121"/>
          <w:shd w:val="clear" w:color="auto" w:fill="FFFFFF"/>
        </w:rPr>
      </w:pPr>
      <w:r w:rsidRPr="00695D7D">
        <w:rPr>
          <w:rFonts w:ascii="Arial" w:hAnsi="Arial" w:cs="Arial"/>
        </w:rPr>
        <w:t>[2</w:t>
      </w:r>
      <w:r w:rsidR="00B73481">
        <w:rPr>
          <w:rFonts w:ascii="Arial" w:hAnsi="Arial" w:cs="Arial"/>
        </w:rPr>
        <w:t>7</w:t>
      </w:r>
      <w:r w:rsidR="001C28E1" w:rsidRPr="00695D7D">
        <w:rPr>
          <w:rFonts w:ascii="Arial" w:hAnsi="Arial" w:cs="Arial"/>
        </w:rPr>
        <w:t>]</w:t>
      </w:r>
      <w:r w:rsidR="001C28E1" w:rsidRPr="00695D7D">
        <w:rPr>
          <w:rFonts w:ascii="Arial" w:hAnsi="Arial" w:cs="Arial"/>
        </w:rPr>
        <w:tab/>
      </w:r>
      <w:r w:rsidR="00CC79F3">
        <w:rPr>
          <w:rFonts w:ascii="Arial" w:hAnsi="Arial" w:cs="Arial"/>
        </w:rPr>
        <w:t>There will obviously be cases in which a litigant may suffer irreparable harm by being forced to abide a decision of a court</w:t>
      </w:r>
      <w:r w:rsidR="00614283">
        <w:rPr>
          <w:rFonts w:ascii="Arial" w:hAnsi="Arial" w:cs="Arial"/>
        </w:rPr>
        <w:t xml:space="preserve"> that</w:t>
      </w:r>
      <w:r w:rsidR="00CC79F3">
        <w:rPr>
          <w:rFonts w:ascii="Arial" w:hAnsi="Arial" w:cs="Arial"/>
        </w:rPr>
        <w:t xml:space="preserve"> is subsequently held to be wrong on appeal. </w:t>
      </w:r>
      <w:r w:rsidR="00F1551D">
        <w:rPr>
          <w:rFonts w:ascii="Arial" w:hAnsi="Arial" w:cs="Arial"/>
        </w:rPr>
        <w:t xml:space="preserve">However, even on a most general impression as to the strength of </w:t>
      </w:r>
      <w:proofErr w:type="spellStart"/>
      <w:r w:rsidR="00F1551D">
        <w:rPr>
          <w:rFonts w:ascii="Arial" w:hAnsi="Arial" w:cs="Arial"/>
        </w:rPr>
        <w:t>Tyte’s</w:t>
      </w:r>
      <w:proofErr w:type="spellEnd"/>
      <w:r w:rsidR="00F1551D">
        <w:rPr>
          <w:rFonts w:ascii="Arial" w:hAnsi="Arial" w:cs="Arial"/>
        </w:rPr>
        <w:t xml:space="preserve"> case and its ultimate prospects of success, this is not such a matter. The argument is that if </w:t>
      </w:r>
      <w:proofErr w:type="spellStart"/>
      <w:r w:rsidR="00F1551D">
        <w:rPr>
          <w:rFonts w:ascii="Arial" w:hAnsi="Arial" w:cs="Arial"/>
        </w:rPr>
        <w:t>Tyte</w:t>
      </w:r>
      <w:proofErr w:type="spellEnd"/>
      <w:r w:rsidR="00F1551D">
        <w:rPr>
          <w:rFonts w:ascii="Arial" w:hAnsi="Arial" w:cs="Arial"/>
        </w:rPr>
        <w:t xml:space="preserve"> is compelled to now hand over operations</w:t>
      </w:r>
      <w:r w:rsidR="00F15B66">
        <w:rPr>
          <w:rFonts w:ascii="Arial" w:hAnsi="Arial" w:cs="Arial"/>
        </w:rPr>
        <w:t xml:space="preserve"> to Royal</w:t>
      </w:r>
      <w:r w:rsidR="00F1551D">
        <w:rPr>
          <w:rFonts w:ascii="Arial" w:hAnsi="Arial" w:cs="Arial"/>
        </w:rPr>
        <w:t xml:space="preserve">, but ultimately succeeds </w:t>
      </w:r>
      <w:r w:rsidR="00F15B66">
        <w:rPr>
          <w:rFonts w:ascii="Arial" w:hAnsi="Arial" w:cs="Arial"/>
        </w:rPr>
        <w:t>in having the award of the second contract set aside on</w:t>
      </w:r>
      <w:r w:rsidR="00F1551D">
        <w:rPr>
          <w:rFonts w:ascii="Arial" w:hAnsi="Arial" w:cs="Arial"/>
        </w:rPr>
        <w:t xml:space="preserve"> appeal,</w:t>
      </w:r>
      <w:r w:rsidR="00F15B66">
        <w:rPr>
          <w:rFonts w:ascii="Arial" w:hAnsi="Arial" w:cs="Arial"/>
        </w:rPr>
        <w:t xml:space="preserve"> then the rendering of the services would</w:t>
      </w:r>
      <w:r w:rsidR="00253AE9">
        <w:rPr>
          <w:rFonts w:ascii="Arial" w:hAnsi="Arial" w:cs="Arial"/>
        </w:rPr>
        <w:t>,</w:t>
      </w:r>
      <w:r w:rsidR="00253AE9" w:rsidRPr="00253AE9">
        <w:rPr>
          <w:rFonts w:ascii="Arial" w:hAnsi="Arial" w:cs="Arial"/>
        </w:rPr>
        <w:t xml:space="preserve"> </w:t>
      </w:r>
      <w:r w:rsidR="00253AE9">
        <w:rPr>
          <w:rFonts w:ascii="Arial" w:hAnsi="Arial" w:cs="Arial"/>
        </w:rPr>
        <w:t>without more,</w:t>
      </w:r>
      <w:r w:rsidR="003F1759">
        <w:rPr>
          <w:rFonts w:ascii="Arial" w:hAnsi="Arial" w:cs="Arial"/>
        </w:rPr>
        <w:t xml:space="preserve"> have to revert to it. </w:t>
      </w:r>
      <w:proofErr w:type="spellStart"/>
      <w:r w:rsidR="00F15B66">
        <w:rPr>
          <w:rFonts w:ascii="Arial" w:hAnsi="Arial" w:cs="Arial"/>
          <w:color w:val="242121"/>
          <w:shd w:val="clear" w:color="auto" w:fill="FFFFFF"/>
        </w:rPr>
        <w:t>Tyte</w:t>
      </w:r>
      <w:proofErr w:type="spellEnd"/>
      <w:r w:rsidR="00F15B66">
        <w:rPr>
          <w:rFonts w:ascii="Arial" w:hAnsi="Arial" w:cs="Arial"/>
          <w:color w:val="242121"/>
          <w:shd w:val="clear" w:color="auto" w:fill="FFFFFF"/>
        </w:rPr>
        <w:t xml:space="preserve"> asserts </w:t>
      </w:r>
      <w:r w:rsidR="00253AE9">
        <w:rPr>
          <w:rFonts w:ascii="Arial" w:hAnsi="Arial" w:cs="Arial"/>
          <w:color w:val="242121"/>
          <w:shd w:val="clear" w:color="auto" w:fill="FFFFFF"/>
        </w:rPr>
        <w:t xml:space="preserve">such </w:t>
      </w:r>
      <w:r w:rsidR="00F15B66">
        <w:rPr>
          <w:rFonts w:ascii="Arial" w:hAnsi="Arial" w:cs="Arial"/>
          <w:color w:val="242121"/>
          <w:shd w:val="clear" w:color="auto" w:fill="FFFFFF"/>
        </w:rPr>
        <w:t xml:space="preserve">an entitlement by dint of the orders of </w:t>
      </w:r>
      <w:proofErr w:type="spellStart"/>
      <w:r w:rsidR="00F15B66">
        <w:rPr>
          <w:rFonts w:ascii="Arial" w:hAnsi="Arial" w:cs="Arial"/>
          <w:color w:val="242121"/>
          <w:shd w:val="clear" w:color="auto" w:fill="FFFFFF"/>
        </w:rPr>
        <w:t>Binns</w:t>
      </w:r>
      <w:proofErr w:type="spellEnd"/>
      <w:r w:rsidR="00F15B66">
        <w:rPr>
          <w:rFonts w:ascii="Arial" w:hAnsi="Arial" w:cs="Arial"/>
          <w:color w:val="242121"/>
          <w:shd w:val="clear" w:color="auto" w:fill="FFFFFF"/>
        </w:rPr>
        <w:t xml:space="preserve">-Ward J and Francis J. However, those orders were a temporary expedient and in no way sought to (or could for that matter) resolve the respective </w:t>
      </w:r>
      <w:r w:rsidR="00F15B66" w:rsidRPr="00AF6C27">
        <w:rPr>
          <w:rFonts w:ascii="Arial" w:hAnsi="Arial" w:cs="Arial"/>
          <w:color w:val="242121"/>
          <w:shd w:val="clear" w:color="auto" w:fill="FFFFFF"/>
        </w:rPr>
        <w:t xml:space="preserve">rights and obligations </w:t>
      </w:r>
      <w:r w:rsidR="00F15B66">
        <w:rPr>
          <w:rFonts w:ascii="Arial" w:hAnsi="Arial" w:cs="Arial"/>
          <w:color w:val="242121"/>
          <w:shd w:val="clear" w:color="auto" w:fill="FFFFFF"/>
        </w:rPr>
        <w:t>of the parties.</w:t>
      </w:r>
      <w:r w:rsidR="00253AE9">
        <w:rPr>
          <w:rFonts w:ascii="Arial" w:hAnsi="Arial" w:cs="Arial"/>
          <w:color w:val="242121"/>
          <w:shd w:val="clear" w:color="auto" w:fill="FFFFFF"/>
        </w:rPr>
        <w:t xml:space="preserve"> </w:t>
      </w:r>
    </w:p>
    <w:p w14:paraId="4565F972" w14:textId="77777777" w:rsidR="00B73481" w:rsidRDefault="00B73481" w:rsidP="00695D7D">
      <w:pPr>
        <w:rPr>
          <w:rFonts w:ascii="Arial" w:hAnsi="Arial" w:cs="Arial"/>
          <w:color w:val="242121"/>
          <w:shd w:val="clear" w:color="auto" w:fill="FFFFFF"/>
        </w:rPr>
      </w:pPr>
    </w:p>
    <w:p w14:paraId="4ADFADA1" w14:textId="15F60E5B" w:rsidR="00F1551D" w:rsidRDefault="00B73481" w:rsidP="00695D7D">
      <w:pPr>
        <w:rPr>
          <w:rFonts w:ascii="Arial" w:hAnsi="Arial" w:cs="Arial"/>
        </w:rPr>
      </w:pPr>
      <w:r w:rsidRPr="006E0236">
        <w:rPr>
          <w:rFonts w:ascii="Arial" w:hAnsi="Arial" w:cs="Arial"/>
          <w:color w:val="242121"/>
          <w:shd w:val="clear" w:color="auto" w:fill="FFFFFF"/>
        </w:rPr>
        <w:t>[28]</w:t>
      </w:r>
      <w:r w:rsidRPr="006E0236">
        <w:rPr>
          <w:rFonts w:ascii="Arial" w:hAnsi="Arial" w:cs="Arial"/>
          <w:color w:val="242121"/>
          <w:shd w:val="clear" w:color="auto" w:fill="FFFFFF"/>
        </w:rPr>
        <w:tab/>
      </w:r>
      <w:r w:rsidR="00253AE9" w:rsidRPr="006E0236">
        <w:rPr>
          <w:rFonts w:ascii="Arial" w:hAnsi="Arial" w:cs="Arial"/>
          <w:color w:val="242121"/>
          <w:shd w:val="clear" w:color="auto" w:fill="FFFFFF"/>
        </w:rPr>
        <w:t xml:space="preserve">Any success by </w:t>
      </w:r>
      <w:proofErr w:type="spellStart"/>
      <w:r w:rsidR="00253AE9" w:rsidRPr="006E0236">
        <w:rPr>
          <w:rFonts w:ascii="Arial" w:hAnsi="Arial" w:cs="Arial"/>
          <w:color w:val="242121"/>
          <w:shd w:val="clear" w:color="auto" w:fill="FFFFFF"/>
        </w:rPr>
        <w:t>Tyte</w:t>
      </w:r>
      <w:proofErr w:type="spellEnd"/>
      <w:r w:rsidR="00253AE9" w:rsidRPr="006E0236">
        <w:rPr>
          <w:rFonts w:ascii="Arial" w:hAnsi="Arial" w:cs="Arial"/>
          <w:color w:val="242121"/>
          <w:shd w:val="clear" w:color="auto" w:fill="FFFFFF"/>
        </w:rPr>
        <w:t xml:space="preserve"> in the contemplated appeal, would achieve no more than </w:t>
      </w:r>
      <w:r w:rsidR="00EA515A" w:rsidRPr="006E0236">
        <w:rPr>
          <w:rFonts w:ascii="Arial" w:hAnsi="Arial" w:cs="Arial"/>
          <w:color w:val="242121"/>
          <w:shd w:val="clear" w:color="auto" w:fill="FFFFFF"/>
        </w:rPr>
        <w:t>the</w:t>
      </w:r>
      <w:r w:rsidR="00253AE9" w:rsidRPr="006E0236">
        <w:rPr>
          <w:rFonts w:ascii="Arial" w:hAnsi="Arial" w:cs="Arial"/>
          <w:color w:val="242121"/>
          <w:shd w:val="clear" w:color="auto" w:fill="FFFFFF"/>
        </w:rPr>
        <w:t xml:space="preserve"> set</w:t>
      </w:r>
      <w:r w:rsidR="00EA515A" w:rsidRPr="006E0236">
        <w:rPr>
          <w:rFonts w:ascii="Arial" w:hAnsi="Arial" w:cs="Arial"/>
          <w:color w:val="242121"/>
          <w:shd w:val="clear" w:color="auto" w:fill="FFFFFF"/>
        </w:rPr>
        <w:t>ting</w:t>
      </w:r>
      <w:r w:rsidR="00253AE9" w:rsidRPr="006E0236">
        <w:rPr>
          <w:rFonts w:ascii="Arial" w:hAnsi="Arial" w:cs="Arial"/>
          <w:color w:val="242121"/>
          <w:shd w:val="clear" w:color="auto" w:fill="FFFFFF"/>
        </w:rPr>
        <w:t xml:space="preserve"> aside </w:t>
      </w:r>
      <w:r w:rsidR="00EF47AF" w:rsidRPr="006E0236">
        <w:rPr>
          <w:rFonts w:ascii="Arial" w:hAnsi="Arial" w:cs="Arial"/>
          <w:color w:val="242121"/>
          <w:shd w:val="clear" w:color="auto" w:fill="FFFFFF"/>
        </w:rPr>
        <w:t xml:space="preserve">of </w:t>
      </w:r>
      <w:r w:rsidR="00253AE9" w:rsidRPr="006E0236">
        <w:rPr>
          <w:rFonts w:ascii="Arial" w:hAnsi="Arial" w:cs="Arial"/>
          <w:color w:val="242121"/>
          <w:shd w:val="clear" w:color="auto" w:fill="FFFFFF"/>
        </w:rPr>
        <w:t xml:space="preserve">the award of the second contract to Royal. It would not result in the substitution of </w:t>
      </w:r>
      <w:proofErr w:type="spellStart"/>
      <w:r w:rsidR="00253AE9" w:rsidRPr="006E0236">
        <w:rPr>
          <w:rFonts w:ascii="Arial" w:hAnsi="Arial" w:cs="Arial"/>
          <w:color w:val="242121"/>
          <w:shd w:val="clear" w:color="auto" w:fill="FFFFFF"/>
        </w:rPr>
        <w:t>Tyte</w:t>
      </w:r>
      <w:proofErr w:type="spellEnd"/>
      <w:r w:rsidR="00253AE9" w:rsidRPr="006E0236">
        <w:rPr>
          <w:rFonts w:ascii="Arial" w:hAnsi="Arial" w:cs="Arial"/>
          <w:color w:val="242121"/>
          <w:shd w:val="clear" w:color="auto" w:fill="FFFFFF"/>
        </w:rPr>
        <w:t xml:space="preserve"> for R</w:t>
      </w:r>
      <w:r w:rsidR="00A768AD" w:rsidRPr="006E0236">
        <w:rPr>
          <w:rFonts w:ascii="Arial" w:hAnsi="Arial" w:cs="Arial"/>
          <w:color w:val="242121"/>
          <w:shd w:val="clear" w:color="auto" w:fill="FFFFFF"/>
        </w:rPr>
        <w:t xml:space="preserve">oyal as the successful tenderer – </w:t>
      </w:r>
      <w:r w:rsidR="00B45D54" w:rsidRPr="006E0236">
        <w:rPr>
          <w:rFonts w:ascii="Arial" w:hAnsi="Arial" w:cs="Arial"/>
          <w:color w:val="242121"/>
          <w:shd w:val="clear" w:color="auto" w:fill="FFFFFF"/>
        </w:rPr>
        <w:t>such relief</w:t>
      </w:r>
      <w:r w:rsidR="00B45D54">
        <w:rPr>
          <w:rFonts w:ascii="Arial" w:hAnsi="Arial" w:cs="Arial"/>
          <w:color w:val="242121"/>
          <w:shd w:val="clear" w:color="auto" w:fill="FFFFFF"/>
        </w:rPr>
        <w:t xml:space="preserve"> was advisedly not sought. </w:t>
      </w:r>
      <w:r w:rsidR="00B45D54">
        <w:rPr>
          <w:rFonts w:ascii="Arial" w:hAnsi="Arial" w:cs="Arial"/>
        </w:rPr>
        <w:t>The consequence of the setting aside of the award to Royal on appeal is that the matter must then be dealt with under s 172(1)</w:t>
      </w:r>
      <w:r w:rsidR="00B45D54" w:rsidRPr="00096B3A">
        <w:rPr>
          <w:rFonts w:ascii="Arial" w:hAnsi="Arial" w:cs="Arial"/>
          <w:i/>
        </w:rPr>
        <w:t xml:space="preserve">(b) </w:t>
      </w:r>
      <w:r w:rsidR="00B45D54">
        <w:rPr>
          <w:rFonts w:ascii="Arial" w:hAnsi="Arial" w:cs="Arial"/>
        </w:rPr>
        <w:t>of the Constitution</w:t>
      </w:r>
      <w:r w:rsidR="00614283">
        <w:rPr>
          <w:rFonts w:ascii="Arial" w:hAnsi="Arial" w:cs="Arial"/>
        </w:rPr>
        <w:t xml:space="preserve"> (as it was at the outset by </w:t>
      </w:r>
      <w:proofErr w:type="spellStart"/>
      <w:r w:rsidR="00614283">
        <w:rPr>
          <w:rFonts w:ascii="Arial" w:hAnsi="Arial" w:cs="Arial"/>
        </w:rPr>
        <w:t>Binns</w:t>
      </w:r>
      <w:proofErr w:type="spellEnd"/>
      <w:r w:rsidR="00614283">
        <w:rPr>
          <w:rFonts w:ascii="Arial" w:hAnsi="Arial" w:cs="Arial"/>
        </w:rPr>
        <w:t xml:space="preserve">-Ward J in </w:t>
      </w:r>
      <w:r w:rsidR="00C87CE0">
        <w:rPr>
          <w:rFonts w:ascii="Arial" w:hAnsi="Arial" w:cs="Arial"/>
          <w:i/>
          <w:iCs/>
        </w:rPr>
        <w:t>Red Ant</w:t>
      </w:r>
      <w:r w:rsidR="00614283">
        <w:rPr>
          <w:rFonts w:ascii="Arial" w:hAnsi="Arial" w:cs="Arial"/>
        </w:rPr>
        <w:t>)</w:t>
      </w:r>
      <w:r w:rsidR="00456316">
        <w:rPr>
          <w:rFonts w:ascii="Arial" w:hAnsi="Arial" w:cs="Arial"/>
        </w:rPr>
        <w:t>, pursuant to which</w:t>
      </w:r>
      <w:r w:rsidR="00253AE9">
        <w:rPr>
          <w:rFonts w:ascii="Arial" w:hAnsi="Arial" w:cs="Arial"/>
          <w:color w:val="242121"/>
          <w:shd w:val="clear" w:color="auto" w:fill="FFFFFF"/>
        </w:rPr>
        <w:t xml:space="preserve"> </w:t>
      </w:r>
      <w:r w:rsidR="00456316">
        <w:rPr>
          <w:rFonts w:ascii="Arial" w:hAnsi="Arial" w:cs="Arial"/>
        </w:rPr>
        <w:t>c</w:t>
      </w:r>
      <w:r w:rsidR="00B45D54">
        <w:rPr>
          <w:rFonts w:ascii="Arial" w:hAnsi="Arial" w:cs="Arial"/>
        </w:rPr>
        <w:t>ourts have the widest possible remedial discretion.</w:t>
      </w:r>
      <w:r w:rsidR="00B45D54">
        <w:rPr>
          <w:rStyle w:val="FootnoteReference"/>
          <w:rFonts w:ascii="Arial" w:hAnsi="Arial" w:cs="Arial"/>
        </w:rPr>
        <w:footnoteReference w:id="20"/>
      </w:r>
      <w:r w:rsidR="00253AE9">
        <w:rPr>
          <w:rFonts w:ascii="Arial" w:hAnsi="Arial" w:cs="Arial"/>
          <w:color w:val="242121"/>
          <w:shd w:val="clear" w:color="auto" w:fill="FFFFFF"/>
        </w:rPr>
        <w:t xml:space="preserve"> </w:t>
      </w:r>
      <w:r w:rsidR="00B45D54">
        <w:rPr>
          <w:rFonts w:ascii="Arial" w:hAnsi="Arial" w:cs="Arial"/>
          <w:color w:val="242121"/>
          <w:shd w:val="clear" w:color="auto" w:fill="FFFFFF"/>
        </w:rPr>
        <w:t xml:space="preserve">It is thus not a foregone conclusion that success in the envisaged appeal will inexorably lead to </w:t>
      </w:r>
      <w:proofErr w:type="spellStart"/>
      <w:r w:rsidR="00B45D54">
        <w:rPr>
          <w:rFonts w:ascii="Arial" w:hAnsi="Arial" w:cs="Arial"/>
          <w:color w:val="242121"/>
          <w:shd w:val="clear" w:color="auto" w:fill="FFFFFF"/>
        </w:rPr>
        <w:t>Tyte</w:t>
      </w:r>
      <w:proofErr w:type="spellEnd"/>
      <w:r w:rsidR="00614283">
        <w:rPr>
          <w:rFonts w:ascii="Arial" w:hAnsi="Arial" w:cs="Arial"/>
          <w:color w:val="242121"/>
          <w:shd w:val="clear" w:color="auto" w:fill="FFFFFF"/>
        </w:rPr>
        <w:t xml:space="preserve"> replacing Royal</w:t>
      </w:r>
      <w:r w:rsidR="00B45D54">
        <w:rPr>
          <w:rFonts w:ascii="Arial" w:hAnsi="Arial" w:cs="Arial"/>
          <w:color w:val="242121"/>
          <w:shd w:val="clear" w:color="auto" w:fill="FFFFFF"/>
        </w:rPr>
        <w:t xml:space="preserve">. </w:t>
      </w:r>
      <w:r w:rsidR="00A65AF4">
        <w:rPr>
          <w:rFonts w:ascii="Arial" w:hAnsi="Arial" w:cs="Arial"/>
          <w:color w:val="242121"/>
          <w:shd w:val="clear" w:color="auto" w:fill="FFFFFF"/>
        </w:rPr>
        <w:t xml:space="preserve">The upshot is that such prejudice as </w:t>
      </w:r>
      <w:proofErr w:type="spellStart"/>
      <w:r w:rsidR="00A65AF4">
        <w:rPr>
          <w:rFonts w:ascii="Arial" w:hAnsi="Arial" w:cs="Arial"/>
          <w:color w:val="242121"/>
          <w:shd w:val="clear" w:color="auto" w:fill="FFFFFF"/>
        </w:rPr>
        <w:t>Tyte</w:t>
      </w:r>
      <w:proofErr w:type="spellEnd"/>
      <w:r w:rsidR="00A65AF4">
        <w:rPr>
          <w:rFonts w:ascii="Arial" w:hAnsi="Arial" w:cs="Arial"/>
          <w:color w:val="242121"/>
          <w:shd w:val="clear" w:color="auto" w:fill="FFFFFF"/>
        </w:rPr>
        <w:t xml:space="preserve"> seeks to rely upon is pe</w:t>
      </w:r>
      <w:r>
        <w:rPr>
          <w:rFonts w:ascii="Arial" w:hAnsi="Arial" w:cs="Arial"/>
          <w:color w:val="242121"/>
          <w:shd w:val="clear" w:color="auto" w:fill="FFFFFF"/>
        </w:rPr>
        <w:t>rhaps more ephemeral than real.</w:t>
      </w:r>
    </w:p>
    <w:p w14:paraId="48D1D329" w14:textId="77777777" w:rsidR="00CC79F3" w:rsidRDefault="00CC79F3" w:rsidP="00695D7D">
      <w:pPr>
        <w:rPr>
          <w:rFonts w:ascii="Arial" w:hAnsi="Arial" w:cs="Arial"/>
        </w:rPr>
      </w:pPr>
    </w:p>
    <w:p w14:paraId="38525DE4" w14:textId="4888EE4D" w:rsidR="00695D7D" w:rsidRPr="00384648" w:rsidRDefault="00B73481" w:rsidP="00695D7D">
      <w:pPr>
        <w:rPr>
          <w:rFonts w:ascii="Arial" w:hAnsi="Arial" w:cs="Arial"/>
          <w:color w:val="242121"/>
          <w:shd w:val="clear" w:color="auto" w:fill="FFFFFF"/>
        </w:rPr>
      </w:pPr>
      <w:r>
        <w:rPr>
          <w:rFonts w:ascii="Arial" w:hAnsi="Arial" w:cs="Arial"/>
        </w:rPr>
        <w:t>[29</w:t>
      </w:r>
      <w:r w:rsidR="00CC79F3">
        <w:rPr>
          <w:rFonts w:ascii="Arial" w:hAnsi="Arial" w:cs="Arial"/>
        </w:rPr>
        <w:t>]</w:t>
      </w:r>
      <w:r w:rsidR="00CC79F3">
        <w:rPr>
          <w:rFonts w:ascii="Arial" w:hAnsi="Arial" w:cs="Arial"/>
        </w:rPr>
        <w:tab/>
      </w:r>
      <w:r w:rsidR="00695D7D" w:rsidRPr="00695D7D">
        <w:rPr>
          <w:rFonts w:ascii="Arial" w:hAnsi="Arial" w:cs="Arial"/>
          <w:color w:val="242121"/>
          <w:shd w:val="clear" w:color="auto" w:fill="FFFFFF"/>
        </w:rPr>
        <w:t>In</w:t>
      </w:r>
      <w:r w:rsidR="00695D7D">
        <w:rPr>
          <w:rFonts w:ascii="Arial" w:hAnsi="Arial" w:cs="Arial"/>
          <w:color w:val="242121"/>
          <w:shd w:val="clear" w:color="auto" w:fill="FFFFFF"/>
        </w:rPr>
        <w:t xml:space="preserve"> the result, the appeal must fail and it is accordingly dismissed with costs, including those of</w:t>
      </w:r>
      <w:r w:rsidR="003F1759">
        <w:rPr>
          <w:rFonts w:ascii="Arial" w:hAnsi="Arial" w:cs="Arial"/>
          <w:color w:val="242121"/>
          <w:shd w:val="clear" w:color="auto" w:fill="FFFFFF"/>
        </w:rPr>
        <w:t xml:space="preserve"> two counsel where so employed.</w:t>
      </w:r>
    </w:p>
    <w:p w14:paraId="0F0F3004" w14:textId="0B0C8C19" w:rsidR="00C17B9A" w:rsidRPr="001D7C8E" w:rsidRDefault="00C17B9A" w:rsidP="001D7C8E">
      <w:pPr>
        <w:spacing w:line="480" w:lineRule="auto"/>
        <w:rPr>
          <w:rFonts w:ascii="Arial" w:hAnsi="Arial" w:cs="Arial"/>
          <w:iCs/>
        </w:rPr>
      </w:pPr>
    </w:p>
    <w:p w14:paraId="4F00FBCD" w14:textId="41FABA62" w:rsidR="00F41B1C" w:rsidRPr="00D01FEF" w:rsidRDefault="0022737F" w:rsidP="00F41B1C">
      <w:pPr>
        <w:jc w:val="right"/>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F41B1C" w:rsidRPr="00D01FEF">
        <w:rPr>
          <w:rFonts w:ascii="Arial" w:eastAsia="Arial" w:hAnsi="Arial" w:cs="Arial"/>
        </w:rPr>
        <w:t>________________</w:t>
      </w:r>
    </w:p>
    <w:p w14:paraId="73C8CC9F" w14:textId="77777777" w:rsidR="00F41B1C" w:rsidRPr="00D01FEF" w:rsidRDefault="00F41B1C" w:rsidP="00F41B1C">
      <w:pPr>
        <w:jc w:val="right"/>
        <w:rPr>
          <w:rFonts w:ascii="Arial" w:eastAsia="Arial" w:hAnsi="Arial" w:cs="Arial"/>
        </w:rPr>
      </w:pPr>
      <w:r w:rsidRPr="00D01FEF">
        <w:rPr>
          <w:rFonts w:ascii="Arial" w:eastAsia="Arial" w:hAnsi="Arial" w:cs="Arial"/>
        </w:rPr>
        <w:t>V M PONNAN</w:t>
      </w:r>
    </w:p>
    <w:p w14:paraId="26A82B77" w14:textId="77777777" w:rsidR="00B73481" w:rsidRDefault="00F41B1C" w:rsidP="00B73481">
      <w:pPr>
        <w:jc w:val="right"/>
        <w:rPr>
          <w:rFonts w:ascii="Arial" w:eastAsia="Arial" w:hAnsi="Arial" w:cs="Arial"/>
        </w:rPr>
      </w:pPr>
      <w:r w:rsidRPr="00D01FEF">
        <w:rPr>
          <w:rFonts w:ascii="Arial" w:eastAsia="Arial" w:hAnsi="Arial" w:cs="Arial"/>
        </w:rPr>
        <w:t>JUDGE OF APPEAL</w:t>
      </w:r>
    </w:p>
    <w:p w14:paraId="1AB96280" w14:textId="77777777" w:rsidR="00B73481" w:rsidRDefault="00B73481" w:rsidP="00B73481">
      <w:pPr>
        <w:jc w:val="left"/>
        <w:rPr>
          <w:rFonts w:ascii="Arial" w:hAnsi="Arial" w:cs="Arial"/>
        </w:rPr>
      </w:pPr>
    </w:p>
    <w:p w14:paraId="6CD20162" w14:textId="77777777" w:rsidR="00B73481" w:rsidRDefault="00B73481" w:rsidP="00B73481">
      <w:pPr>
        <w:jc w:val="left"/>
        <w:rPr>
          <w:rFonts w:ascii="Arial" w:hAnsi="Arial" w:cs="Arial"/>
        </w:rPr>
      </w:pPr>
    </w:p>
    <w:p w14:paraId="4B64DA40" w14:textId="2D673E69" w:rsidR="00F41B1C" w:rsidRPr="00B73481" w:rsidRDefault="00F41B1C" w:rsidP="00B73481">
      <w:pPr>
        <w:jc w:val="left"/>
        <w:rPr>
          <w:rFonts w:ascii="Arial" w:eastAsia="Arial" w:hAnsi="Arial" w:cs="Arial"/>
        </w:rPr>
      </w:pPr>
      <w:r w:rsidRPr="00B45125">
        <w:rPr>
          <w:rFonts w:ascii="Arial" w:hAnsi="Arial" w:cs="Arial"/>
        </w:rPr>
        <w:t>Appearances</w:t>
      </w:r>
    </w:p>
    <w:p w14:paraId="7715B0B9" w14:textId="77777777" w:rsidR="00F41B1C" w:rsidRPr="00695D7D" w:rsidRDefault="00F41B1C" w:rsidP="00F41B1C">
      <w:pPr>
        <w:rPr>
          <w:rFonts w:ascii="Arial" w:eastAsia="Arial" w:hAnsi="Arial" w:cs="Arial"/>
          <w:highlight w:val="yellow"/>
        </w:rPr>
      </w:pPr>
    </w:p>
    <w:p w14:paraId="1629A37E" w14:textId="6DEB0F16" w:rsidR="00F41B1C" w:rsidRPr="00B45125" w:rsidRDefault="00E40759" w:rsidP="00B45125">
      <w:pPr>
        <w:tabs>
          <w:tab w:val="left" w:pos="3969"/>
        </w:tabs>
        <w:ind w:left="1440" w:hanging="1440"/>
        <w:rPr>
          <w:rFonts w:ascii="Arial" w:eastAsia="Arial" w:hAnsi="Arial" w:cs="Arial"/>
        </w:rPr>
      </w:pPr>
      <w:r w:rsidRPr="00B45125">
        <w:rPr>
          <w:rFonts w:ascii="Arial" w:eastAsia="Arial" w:hAnsi="Arial" w:cs="Arial"/>
        </w:rPr>
        <w:t xml:space="preserve">For the </w:t>
      </w:r>
      <w:r w:rsidR="00B45125">
        <w:rPr>
          <w:rFonts w:ascii="Arial" w:eastAsia="Arial" w:hAnsi="Arial" w:cs="Arial"/>
        </w:rPr>
        <w:t>appellant:</w:t>
      </w:r>
      <w:r w:rsidR="00B45125">
        <w:rPr>
          <w:rFonts w:ascii="Arial" w:eastAsia="Arial" w:hAnsi="Arial" w:cs="Arial"/>
        </w:rPr>
        <w:tab/>
        <w:t xml:space="preserve">R van </w:t>
      </w:r>
      <w:proofErr w:type="spellStart"/>
      <w:r w:rsidR="00B45125">
        <w:rPr>
          <w:rFonts w:ascii="Arial" w:eastAsia="Arial" w:hAnsi="Arial" w:cs="Arial"/>
        </w:rPr>
        <w:t>Riet</w:t>
      </w:r>
      <w:proofErr w:type="spellEnd"/>
      <w:r w:rsidRPr="00B45125">
        <w:rPr>
          <w:rFonts w:ascii="Arial" w:eastAsia="Arial" w:hAnsi="Arial" w:cs="Arial"/>
        </w:rPr>
        <w:t xml:space="preserve"> </w:t>
      </w:r>
      <w:r w:rsidR="00B45125">
        <w:rPr>
          <w:rFonts w:ascii="Arial" w:eastAsia="Arial" w:hAnsi="Arial" w:cs="Arial"/>
        </w:rPr>
        <w:t xml:space="preserve">SC and P </w:t>
      </w:r>
      <w:proofErr w:type="spellStart"/>
      <w:r w:rsidR="00B45125">
        <w:rPr>
          <w:rFonts w:ascii="Arial" w:eastAsia="Arial" w:hAnsi="Arial" w:cs="Arial"/>
        </w:rPr>
        <w:t>Tredoux</w:t>
      </w:r>
      <w:proofErr w:type="spellEnd"/>
    </w:p>
    <w:p w14:paraId="4EF77BE6" w14:textId="692908B8" w:rsidR="00E1078C" w:rsidRPr="00B45125" w:rsidRDefault="00E1078C" w:rsidP="00E1078C">
      <w:pPr>
        <w:tabs>
          <w:tab w:val="left" w:pos="3969"/>
        </w:tabs>
        <w:rPr>
          <w:rFonts w:ascii="Arial" w:eastAsia="Arial" w:hAnsi="Arial" w:cs="Arial"/>
        </w:rPr>
      </w:pPr>
      <w:r w:rsidRPr="00B45125">
        <w:rPr>
          <w:rFonts w:ascii="Arial" w:eastAsia="Arial" w:hAnsi="Arial" w:cs="Arial"/>
        </w:rPr>
        <w:t>Instructed</w:t>
      </w:r>
      <w:r w:rsidR="00D405E8" w:rsidRPr="00B45125">
        <w:rPr>
          <w:rFonts w:ascii="Arial" w:eastAsia="Arial" w:hAnsi="Arial" w:cs="Arial"/>
        </w:rPr>
        <w:t xml:space="preserve"> by:</w:t>
      </w:r>
      <w:r w:rsidR="00D405E8" w:rsidRPr="00B45125">
        <w:rPr>
          <w:rFonts w:ascii="Arial" w:eastAsia="Arial" w:hAnsi="Arial" w:cs="Arial"/>
        </w:rPr>
        <w:tab/>
      </w:r>
      <w:r w:rsidR="00AD6B99">
        <w:rPr>
          <w:rFonts w:ascii="Arial" w:eastAsia="Arial" w:hAnsi="Arial" w:cs="Arial"/>
        </w:rPr>
        <w:t xml:space="preserve">De Waal, </w:t>
      </w:r>
      <w:proofErr w:type="spellStart"/>
      <w:r w:rsidR="00AD6B99">
        <w:rPr>
          <w:rFonts w:ascii="Arial" w:eastAsia="Arial" w:hAnsi="Arial" w:cs="Arial"/>
        </w:rPr>
        <w:t>Grobbelaar</w:t>
      </w:r>
      <w:proofErr w:type="spellEnd"/>
      <w:r w:rsidR="00AD6B99">
        <w:rPr>
          <w:rFonts w:ascii="Arial" w:eastAsia="Arial" w:hAnsi="Arial" w:cs="Arial"/>
        </w:rPr>
        <w:t>, Fisher Inc., Cape Town</w:t>
      </w:r>
    </w:p>
    <w:p w14:paraId="3A4C3E5A" w14:textId="72266608" w:rsidR="00E1078C" w:rsidRPr="00B45125" w:rsidRDefault="00E1078C" w:rsidP="00F41B1C">
      <w:pPr>
        <w:tabs>
          <w:tab w:val="left" w:pos="3969"/>
        </w:tabs>
        <w:rPr>
          <w:rFonts w:ascii="Arial" w:eastAsia="Arial" w:hAnsi="Arial" w:cs="Arial"/>
        </w:rPr>
      </w:pPr>
      <w:r w:rsidRPr="00B45125">
        <w:rPr>
          <w:rFonts w:ascii="Arial" w:eastAsia="Arial" w:hAnsi="Arial" w:cs="Arial"/>
        </w:rPr>
        <w:tab/>
      </w:r>
      <w:r w:rsidR="00AD6B99">
        <w:rPr>
          <w:rFonts w:ascii="Arial" w:eastAsia="Arial" w:hAnsi="Arial" w:cs="Arial"/>
        </w:rPr>
        <w:t>JL Jordaan</w:t>
      </w:r>
      <w:r w:rsidR="00D405E8" w:rsidRPr="00B45125">
        <w:rPr>
          <w:rFonts w:ascii="Arial" w:eastAsia="Arial" w:hAnsi="Arial" w:cs="Arial"/>
        </w:rPr>
        <w:t xml:space="preserve"> Attorneys</w:t>
      </w:r>
      <w:r w:rsidRPr="00B45125">
        <w:rPr>
          <w:rFonts w:ascii="Arial" w:eastAsia="Arial" w:hAnsi="Arial" w:cs="Arial"/>
        </w:rPr>
        <w:t>, Bloemfontein</w:t>
      </w:r>
    </w:p>
    <w:p w14:paraId="5A55D2A2" w14:textId="5730DA81" w:rsidR="00F41B1C" w:rsidRPr="00695D7D" w:rsidRDefault="00F41B1C" w:rsidP="0060751C">
      <w:pPr>
        <w:tabs>
          <w:tab w:val="left" w:pos="3969"/>
        </w:tabs>
        <w:rPr>
          <w:rFonts w:ascii="Arial" w:eastAsia="Arial" w:hAnsi="Arial" w:cs="Arial"/>
          <w:highlight w:val="yellow"/>
        </w:rPr>
      </w:pPr>
    </w:p>
    <w:p w14:paraId="789BDF13" w14:textId="77777777" w:rsidR="008B4C43" w:rsidRPr="006E0236" w:rsidRDefault="00C77D90" w:rsidP="008B4C43">
      <w:pPr>
        <w:tabs>
          <w:tab w:val="left" w:pos="3969"/>
        </w:tabs>
        <w:ind w:left="2880" w:hanging="2880"/>
        <w:rPr>
          <w:rFonts w:ascii="Arial" w:eastAsia="Arial" w:hAnsi="Arial" w:cs="Arial"/>
        </w:rPr>
      </w:pPr>
      <w:r w:rsidRPr="00B45125">
        <w:rPr>
          <w:rFonts w:ascii="Arial" w:eastAsia="Arial" w:hAnsi="Arial" w:cs="Arial"/>
        </w:rPr>
        <w:t xml:space="preserve">For the first </w:t>
      </w:r>
      <w:r w:rsidR="00B45125">
        <w:rPr>
          <w:rFonts w:ascii="Arial" w:eastAsia="Arial" w:hAnsi="Arial" w:cs="Arial"/>
        </w:rPr>
        <w:t xml:space="preserve">to third </w:t>
      </w:r>
      <w:r w:rsidRPr="00B45125">
        <w:rPr>
          <w:rFonts w:ascii="Arial" w:eastAsia="Arial" w:hAnsi="Arial" w:cs="Arial"/>
        </w:rPr>
        <w:t>respondent</w:t>
      </w:r>
      <w:r w:rsidR="00B45125">
        <w:rPr>
          <w:rFonts w:ascii="Arial" w:eastAsia="Arial" w:hAnsi="Arial" w:cs="Arial"/>
        </w:rPr>
        <w:t>s:</w:t>
      </w:r>
      <w:r w:rsidR="00B45125">
        <w:rPr>
          <w:rFonts w:ascii="Arial" w:eastAsia="Arial" w:hAnsi="Arial" w:cs="Arial"/>
        </w:rPr>
        <w:tab/>
        <w:t xml:space="preserve">A </w:t>
      </w:r>
      <w:proofErr w:type="spellStart"/>
      <w:r w:rsidR="00B45125" w:rsidRPr="006E0236">
        <w:rPr>
          <w:rFonts w:ascii="Arial" w:eastAsia="Arial" w:hAnsi="Arial" w:cs="Arial"/>
        </w:rPr>
        <w:t>Nacerodien</w:t>
      </w:r>
      <w:proofErr w:type="spellEnd"/>
      <w:r w:rsidR="00B11876" w:rsidRPr="006E0236">
        <w:rPr>
          <w:rFonts w:ascii="Arial" w:eastAsia="Arial" w:hAnsi="Arial" w:cs="Arial"/>
        </w:rPr>
        <w:t xml:space="preserve"> (heads of argument prepared by </w:t>
      </w:r>
      <w:r w:rsidR="008B4C43" w:rsidRPr="006E0236">
        <w:rPr>
          <w:rFonts w:ascii="Arial" w:eastAsia="Arial" w:hAnsi="Arial" w:cs="Arial"/>
        </w:rPr>
        <w:t xml:space="preserve">        </w:t>
      </w:r>
    </w:p>
    <w:p w14:paraId="307006B5" w14:textId="232CD746" w:rsidR="008B4C43" w:rsidRPr="00B45125" w:rsidRDefault="008B4C43" w:rsidP="008B4C43">
      <w:pPr>
        <w:tabs>
          <w:tab w:val="left" w:pos="3969"/>
        </w:tabs>
        <w:ind w:left="2880" w:hanging="2880"/>
        <w:rPr>
          <w:rFonts w:ascii="Arial" w:eastAsia="Arial" w:hAnsi="Arial" w:cs="Arial"/>
        </w:rPr>
      </w:pPr>
      <w:r w:rsidRPr="006E0236">
        <w:rPr>
          <w:rFonts w:ascii="Arial" w:eastAsia="Arial" w:hAnsi="Arial" w:cs="Arial"/>
        </w:rPr>
        <w:tab/>
        <w:t xml:space="preserve">                </w:t>
      </w:r>
      <w:r w:rsidR="00B11876" w:rsidRPr="006E0236">
        <w:rPr>
          <w:rFonts w:ascii="Arial" w:eastAsia="Arial" w:hAnsi="Arial" w:cs="Arial"/>
        </w:rPr>
        <w:t xml:space="preserve">J </w:t>
      </w:r>
      <w:proofErr w:type="spellStart"/>
      <w:r w:rsidR="00054E51" w:rsidRPr="006E0236">
        <w:rPr>
          <w:rFonts w:ascii="Arial" w:eastAsia="Arial" w:hAnsi="Arial" w:cs="Arial"/>
        </w:rPr>
        <w:t>Newdigate</w:t>
      </w:r>
      <w:proofErr w:type="spellEnd"/>
      <w:r w:rsidR="00054E51" w:rsidRPr="006E0236">
        <w:rPr>
          <w:rFonts w:ascii="Arial" w:eastAsia="Arial" w:hAnsi="Arial" w:cs="Arial"/>
        </w:rPr>
        <w:t xml:space="preserve"> SC and A </w:t>
      </w:r>
      <w:proofErr w:type="spellStart"/>
      <w:r w:rsidR="00054E51" w:rsidRPr="006E0236">
        <w:rPr>
          <w:rFonts w:ascii="Arial" w:eastAsia="Arial" w:hAnsi="Arial" w:cs="Arial"/>
        </w:rPr>
        <w:t>Nacerodien</w:t>
      </w:r>
      <w:proofErr w:type="spellEnd"/>
      <w:r w:rsidR="00054E51" w:rsidRPr="006E0236">
        <w:rPr>
          <w:rFonts w:ascii="Arial" w:eastAsia="Arial" w:hAnsi="Arial" w:cs="Arial"/>
        </w:rPr>
        <w:t>)</w:t>
      </w:r>
    </w:p>
    <w:p w14:paraId="02C86B6C" w14:textId="2B3BC06F" w:rsidR="00C77D90" w:rsidRPr="00B45125" w:rsidRDefault="00C77D90" w:rsidP="00C77D90">
      <w:pPr>
        <w:tabs>
          <w:tab w:val="left" w:pos="3969"/>
        </w:tabs>
        <w:rPr>
          <w:rFonts w:ascii="Arial" w:eastAsia="Arial" w:hAnsi="Arial" w:cs="Arial"/>
        </w:rPr>
      </w:pPr>
      <w:r w:rsidRPr="00B45125">
        <w:rPr>
          <w:rFonts w:ascii="Arial" w:eastAsia="Arial" w:hAnsi="Arial" w:cs="Arial"/>
        </w:rPr>
        <w:t>Instructed by:</w:t>
      </w:r>
      <w:r w:rsidRPr="00B45125">
        <w:rPr>
          <w:rFonts w:ascii="Arial" w:eastAsia="Arial" w:hAnsi="Arial" w:cs="Arial"/>
        </w:rPr>
        <w:tab/>
        <w:t xml:space="preserve">The </w:t>
      </w:r>
      <w:r w:rsidR="00B45125">
        <w:rPr>
          <w:rFonts w:ascii="Arial" w:eastAsia="Arial" w:hAnsi="Arial" w:cs="Arial"/>
        </w:rPr>
        <w:t>State Attorney, Cape Town</w:t>
      </w:r>
    </w:p>
    <w:p w14:paraId="5DCDC5AE" w14:textId="748A6ABA" w:rsidR="00C77D90" w:rsidRPr="00B45125" w:rsidRDefault="00326186" w:rsidP="00C77D90">
      <w:pPr>
        <w:tabs>
          <w:tab w:val="left" w:pos="3969"/>
        </w:tabs>
        <w:rPr>
          <w:rFonts w:ascii="Arial" w:eastAsia="Arial" w:hAnsi="Arial" w:cs="Arial"/>
        </w:rPr>
      </w:pPr>
      <w:r w:rsidRPr="00B45125">
        <w:rPr>
          <w:rFonts w:ascii="Arial" w:eastAsia="Arial" w:hAnsi="Arial" w:cs="Arial"/>
        </w:rPr>
        <w:tab/>
      </w:r>
      <w:r w:rsidR="00B45125" w:rsidRPr="00B45125">
        <w:rPr>
          <w:rFonts w:ascii="Arial" w:eastAsia="Arial" w:hAnsi="Arial" w:cs="Arial"/>
        </w:rPr>
        <w:t xml:space="preserve">The </w:t>
      </w:r>
      <w:r w:rsidR="00B45125">
        <w:rPr>
          <w:rFonts w:ascii="Arial" w:eastAsia="Arial" w:hAnsi="Arial" w:cs="Arial"/>
        </w:rPr>
        <w:t>State Attorney</w:t>
      </w:r>
      <w:r w:rsidR="00C77D90" w:rsidRPr="00B45125">
        <w:rPr>
          <w:rFonts w:ascii="Arial" w:eastAsia="Arial" w:hAnsi="Arial" w:cs="Arial"/>
        </w:rPr>
        <w:t>, Bloemfontein</w:t>
      </w:r>
    </w:p>
    <w:p w14:paraId="0DEBB2BB" w14:textId="77777777" w:rsidR="00C77D90" w:rsidRPr="00B45125" w:rsidRDefault="00C77D90" w:rsidP="00F41B1C">
      <w:pPr>
        <w:tabs>
          <w:tab w:val="left" w:pos="3969"/>
        </w:tabs>
        <w:rPr>
          <w:rFonts w:ascii="Arial" w:eastAsia="Arial" w:hAnsi="Arial" w:cs="Arial"/>
        </w:rPr>
      </w:pPr>
    </w:p>
    <w:p w14:paraId="297E6646" w14:textId="6A91C878" w:rsidR="00F41B1C" w:rsidRPr="00B45125" w:rsidRDefault="00A10BEF" w:rsidP="00F41B1C">
      <w:pPr>
        <w:tabs>
          <w:tab w:val="left" w:pos="3969"/>
        </w:tabs>
        <w:rPr>
          <w:rFonts w:ascii="Arial" w:eastAsia="Arial" w:hAnsi="Arial" w:cs="Arial"/>
        </w:rPr>
      </w:pPr>
      <w:r w:rsidRPr="00B45125">
        <w:rPr>
          <w:rFonts w:ascii="Arial" w:eastAsia="Arial" w:hAnsi="Arial" w:cs="Arial"/>
        </w:rPr>
        <w:t xml:space="preserve">For the </w:t>
      </w:r>
      <w:r w:rsidR="00B45125">
        <w:rPr>
          <w:rFonts w:ascii="Arial" w:eastAsia="Arial" w:hAnsi="Arial" w:cs="Arial"/>
        </w:rPr>
        <w:t>fourth respondent:</w:t>
      </w:r>
      <w:r w:rsidR="00B45125">
        <w:rPr>
          <w:rFonts w:ascii="Arial" w:eastAsia="Arial" w:hAnsi="Arial" w:cs="Arial"/>
        </w:rPr>
        <w:tab/>
        <w:t xml:space="preserve">JC </w:t>
      </w:r>
      <w:proofErr w:type="spellStart"/>
      <w:r w:rsidR="00B45125">
        <w:rPr>
          <w:rFonts w:ascii="Arial" w:eastAsia="Arial" w:hAnsi="Arial" w:cs="Arial"/>
        </w:rPr>
        <w:t>Heunis</w:t>
      </w:r>
      <w:proofErr w:type="spellEnd"/>
      <w:r w:rsidR="00B45125">
        <w:rPr>
          <w:rFonts w:ascii="Arial" w:eastAsia="Arial" w:hAnsi="Arial" w:cs="Arial"/>
        </w:rPr>
        <w:t xml:space="preserve"> </w:t>
      </w:r>
      <w:r w:rsidRPr="00B45125">
        <w:rPr>
          <w:rFonts w:ascii="Arial" w:eastAsia="Arial" w:hAnsi="Arial" w:cs="Arial"/>
        </w:rPr>
        <w:t xml:space="preserve">SC </w:t>
      </w:r>
      <w:r w:rsidR="007B2327" w:rsidRPr="00B45125">
        <w:rPr>
          <w:rFonts w:ascii="Arial" w:eastAsia="Arial" w:hAnsi="Arial" w:cs="Arial"/>
        </w:rPr>
        <w:t>and</w:t>
      </w:r>
      <w:r w:rsidR="00B45125">
        <w:rPr>
          <w:rFonts w:ascii="Arial" w:eastAsia="Arial" w:hAnsi="Arial" w:cs="Arial"/>
        </w:rPr>
        <w:t xml:space="preserve"> PS van </w:t>
      </w:r>
      <w:proofErr w:type="spellStart"/>
      <w:r w:rsidR="00B45125">
        <w:rPr>
          <w:rFonts w:ascii="Arial" w:eastAsia="Arial" w:hAnsi="Arial" w:cs="Arial"/>
        </w:rPr>
        <w:t>Zyl</w:t>
      </w:r>
      <w:proofErr w:type="spellEnd"/>
    </w:p>
    <w:p w14:paraId="6B8F793C" w14:textId="64ABF9D5" w:rsidR="00E1078C" w:rsidRPr="00B45125" w:rsidRDefault="00E1078C" w:rsidP="00E1078C">
      <w:pPr>
        <w:tabs>
          <w:tab w:val="left" w:pos="3969"/>
        </w:tabs>
        <w:rPr>
          <w:rFonts w:ascii="Arial" w:eastAsia="Arial" w:hAnsi="Arial" w:cs="Arial"/>
        </w:rPr>
      </w:pPr>
      <w:r w:rsidRPr="00B45125">
        <w:rPr>
          <w:rFonts w:ascii="Arial" w:eastAsia="Arial" w:hAnsi="Arial" w:cs="Arial"/>
        </w:rPr>
        <w:t>Instruct</w:t>
      </w:r>
      <w:r w:rsidR="00B45125">
        <w:rPr>
          <w:rFonts w:ascii="Arial" w:eastAsia="Arial" w:hAnsi="Arial" w:cs="Arial"/>
        </w:rPr>
        <w:t>ed by:</w:t>
      </w:r>
      <w:r w:rsidR="00B45125">
        <w:rPr>
          <w:rFonts w:ascii="Arial" w:eastAsia="Arial" w:hAnsi="Arial" w:cs="Arial"/>
        </w:rPr>
        <w:tab/>
      </w:r>
      <w:proofErr w:type="spellStart"/>
      <w:r w:rsidR="00B45125">
        <w:rPr>
          <w:rFonts w:ascii="Arial" w:eastAsia="Arial" w:hAnsi="Arial" w:cs="Arial"/>
        </w:rPr>
        <w:t>Ravindra</w:t>
      </w:r>
      <w:proofErr w:type="spellEnd"/>
      <w:r w:rsidR="00B45125">
        <w:rPr>
          <w:rFonts w:ascii="Arial" w:eastAsia="Arial" w:hAnsi="Arial" w:cs="Arial"/>
        </w:rPr>
        <w:t xml:space="preserve"> </w:t>
      </w:r>
      <w:proofErr w:type="spellStart"/>
      <w:r w:rsidR="00B45125">
        <w:rPr>
          <w:rFonts w:ascii="Arial" w:eastAsia="Arial" w:hAnsi="Arial" w:cs="Arial"/>
        </w:rPr>
        <w:t>Maniklall</w:t>
      </w:r>
      <w:proofErr w:type="spellEnd"/>
      <w:r w:rsidR="00B45125">
        <w:rPr>
          <w:rFonts w:ascii="Arial" w:eastAsia="Arial" w:hAnsi="Arial" w:cs="Arial"/>
        </w:rPr>
        <w:t xml:space="preserve"> &amp; Co., Durban</w:t>
      </w:r>
    </w:p>
    <w:p w14:paraId="12A09AD4" w14:textId="14517779" w:rsidR="001D7C8E" w:rsidRDefault="00B45125" w:rsidP="00542B0B">
      <w:pPr>
        <w:tabs>
          <w:tab w:val="left" w:pos="3969"/>
        </w:tabs>
        <w:rPr>
          <w:rFonts w:ascii="Arial" w:eastAsia="Arial" w:hAnsi="Arial" w:cs="Arial"/>
        </w:rPr>
      </w:pPr>
      <w:r>
        <w:rPr>
          <w:rFonts w:ascii="Arial" w:eastAsia="Arial" w:hAnsi="Arial" w:cs="Arial"/>
        </w:rPr>
        <w:tab/>
      </w:r>
      <w:proofErr w:type="spellStart"/>
      <w:r>
        <w:rPr>
          <w:rFonts w:ascii="Arial" w:eastAsia="Arial" w:hAnsi="Arial" w:cs="Arial"/>
        </w:rPr>
        <w:t>Phatshoane</w:t>
      </w:r>
      <w:proofErr w:type="spellEnd"/>
      <w:r>
        <w:rPr>
          <w:rFonts w:ascii="Arial" w:eastAsia="Arial" w:hAnsi="Arial" w:cs="Arial"/>
        </w:rPr>
        <w:t xml:space="preserve"> </w:t>
      </w:r>
      <w:proofErr w:type="spellStart"/>
      <w:r>
        <w:rPr>
          <w:rFonts w:ascii="Arial" w:eastAsia="Arial" w:hAnsi="Arial" w:cs="Arial"/>
        </w:rPr>
        <w:t>Henney</w:t>
      </w:r>
      <w:proofErr w:type="spellEnd"/>
      <w:r>
        <w:rPr>
          <w:rFonts w:ascii="Arial" w:eastAsia="Arial" w:hAnsi="Arial" w:cs="Arial"/>
        </w:rPr>
        <w:t xml:space="preserve"> Attorneys</w:t>
      </w:r>
      <w:r w:rsidR="00E1078C" w:rsidRPr="00B45125">
        <w:rPr>
          <w:rFonts w:ascii="Arial" w:eastAsia="Arial" w:hAnsi="Arial" w:cs="Arial"/>
        </w:rPr>
        <w:t>, Bloemfontein.</w:t>
      </w:r>
    </w:p>
    <w:sectPr w:rsidR="001D7C8E" w:rsidSect="00FC45E9">
      <w:headerReference w:type="default" r:id="rId14"/>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C5F01" w14:textId="77777777" w:rsidR="00505FB5" w:rsidRDefault="00505FB5" w:rsidP="00182449">
      <w:pPr>
        <w:spacing w:line="240" w:lineRule="auto"/>
      </w:pPr>
      <w:r>
        <w:separator/>
      </w:r>
    </w:p>
  </w:endnote>
  <w:endnote w:type="continuationSeparator" w:id="0">
    <w:p w14:paraId="5850BD47" w14:textId="77777777" w:rsidR="00505FB5" w:rsidRDefault="00505FB5" w:rsidP="001824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1A4CB7" w14:textId="77777777" w:rsidR="00505FB5" w:rsidRDefault="00505FB5" w:rsidP="00182449">
      <w:pPr>
        <w:spacing w:line="240" w:lineRule="auto"/>
      </w:pPr>
      <w:r>
        <w:separator/>
      </w:r>
    </w:p>
  </w:footnote>
  <w:footnote w:type="continuationSeparator" w:id="0">
    <w:p w14:paraId="3EBCDD77" w14:textId="77777777" w:rsidR="00505FB5" w:rsidRDefault="00505FB5" w:rsidP="00182449">
      <w:pPr>
        <w:spacing w:line="240" w:lineRule="auto"/>
      </w:pPr>
      <w:r>
        <w:continuationSeparator/>
      </w:r>
    </w:p>
  </w:footnote>
  <w:footnote w:id="1">
    <w:p w14:paraId="197512FA" w14:textId="77777777" w:rsidR="00665570" w:rsidRPr="00575D1A" w:rsidRDefault="00665570" w:rsidP="00575D1A">
      <w:pPr>
        <w:pStyle w:val="Heading2"/>
        <w:shd w:val="clear" w:color="auto" w:fill="FFFFFF"/>
        <w:spacing w:before="0" w:line="240" w:lineRule="auto"/>
        <w:rPr>
          <w:rFonts w:ascii="Arial" w:hAnsi="Arial" w:cs="Arial"/>
          <w:b/>
          <w:bCs/>
          <w:color w:val="auto"/>
          <w:sz w:val="20"/>
          <w:szCs w:val="20"/>
        </w:rPr>
      </w:pPr>
      <w:r w:rsidRPr="00575D1A">
        <w:rPr>
          <w:rStyle w:val="FootnoteReference"/>
          <w:rFonts w:ascii="Arial" w:hAnsi="Arial" w:cs="Arial"/>
          <w:color w:val="auto"/>
          <w:sz w:val="20"/>
          <w:szCs w:val="20"/>
        </w:rPr>
        <w:footnoteRef/>
      </w:r>
      <w:r w:rsidRPr="00575D1A">
        <w:rPr>
          <w:rFonts w:ascii="Arial" w:hAnsi="Arial" w:cs="Arial"/>
          <w:color w:val="auto"/>
          <w:sz w:val="20"/>
          <w:szCs w:val="20"/>
        </w:rPr>
        <w:t xml:space="preserve"> </w:t>
      </w:r>
      <w:proofErr w:type="spellStart"/>
      <w:r w:rsidRPr="00575D1A">
        <w:rPr>
          <w:rFonts w:ascii="Arial" w:hAnsi="Arial" w:cs="Arial"/>
          <w:i/>
          <w:iCs/>
          <w:color w:val="auto"/>
          <w:sz w:val="20"/>
          <w:szCs w:val="20"/>
        </w:rPr>
        <w:t>Manong</w:t>
      </w:r>
      <w:proofErr w:type="spellEnd"/>
      <w:r w:rsidRPr="00575D1A">
        <w:rPr>
          <w:rFonts w:ascii="Arial" w:hAnsi="Arial" w:cs="Arial"/>
          <w:i/>
          <w:iCs/>
          <w:color w:val="auto"/>
          <w:sz w:val="20"/>
          <w:szCs w:val="20"/>
        </w:rPr>
        <w:t xml:space="preserve"> &amp; Associates (Pty) Ltd v Minister of Public Works and Another</w:t>
      </w:r>
      <w:r w:rsidRPr="00575D1A">
        <w:rPr>
          <w:rFonts w:ascii="Arial" w:hAnsi="Arial" w:cs="Arial"/>
          <w:color w:val="auto"/>
          <w:sz w:val="20"/>
          <w:szCs w:val="20"/>
        </w:rPr>
        <w:t xml:space="preserve"> [2009] ZASCA 110; 2010 (2) SA 167 (SCA); [2010] 1 All SA 267 (SCA) para 1.</w:t>
      </w:r>
    </w:p>
  </w:footnote>
  <w:footnote w:id="2">
    <w:p w14:paraId="3B65CFCC" w14:textId="232A635E" w:rsidR="00665570" w:rsidRPr="0089434A" w:rsidRDefault="00665570" w:rsidP="00575D1A">
      <w:pPr>
        <w:pStyle w:val="FootnoteText"/>
        <w:spacing w:line="240" w:lineRule="auto"/>
        <w:rPr>
          <w:rFonts w:ascii="Arial" w:hAnsi="Arial" w:cs="Arial"/>
          <w:lang w:val="en-US"/>
        </w:rPr>
      </w:pPr>
      <w:r w:rsidRPr="00D75112">
        <w:rPr>
          <w:rStyle w:val="FootnoteReference"/>
          <w:rFonts w:ascii="Arial" w:hAnsi="Arial" w:cs="Arial"/>
        </w:rPr>
        <w:footnoteRef/>
      </w:r>
      <w:r w:rsidRPr="00D75112">
        <w:rPr>
          <w:rFonts w:ascii="Arial" w:hAnsi="Arial" w:cs="Arial"/>
        </w:rPr>
        <w:t xml:space="preserve"> </w:t>
      </w:r>
      <w:r w:rsidRPr="006E0236">
        <w:rPr>
          <w:rFonts w:ascii="Arial" w:hAnsi="Arial" w:cs="Arial"/>
        </w:rPr>
        <w:t xml:space="preserve">R </w:t>
      </w:r>
      <w:proofErr w:type="spellStart"/>
      <w:r w:rsidRPr="006E0236">
        <w:rPr>
          <w:rFonts w:ascii="Arial" w:hAnsi="Arial" w:cs="Arial"/>
        </w:rPr>
        <w:t>Cachalia</w:t>
      </w:r>
      <w:proofErr w:type="spellEnd"/>
      <w:r w:rsidRPr="006E0236">
        <w:rPr>
          <w:rFonts w:ascii="Arial" w:hAnsi="Arial" w:cs="Arial"/>
        </w:rPr>
        <w:t xml:space="preserve"> and L Kohn ‘The Quest for “Reasonable Certainty”: Refining the Justice and Equity Remedial Framework in Public Procurement </w:t>
      </w:r>
      <w:r w:rsidR="0080418F" w:rsidRPr="006E0236">
        <w:rPr>
          <w:rFonts w:ascii="Arial" w:hAnsi="Arial" w:cs="Arial"/>
        </w:rPr>
        <w:t>C</w:t>
      </w:r>
      <w:r w:rsidRPr="006E0236">
        <w:rPr>
          <w:rFonts w:ascii="Arial" w:hAnsi="Arial" w:cs="Arial"/>
        </w:rPr>
        <w:t xml:space="preserve">ases’ (2020) 137 </w:t>
      </w:r>
      <w:r w:rsidRPr="006E0236">
        <w:rPr>
          <w:rFonts w:ascii="Arial" w:hAnsi="Arial" w:cs="Arial"/>
          <w:i/>
        </w:rPr>
        <w:t>SALJ</w:t>
      </w:r>
      <w:r w:rsidRPr="006E0236">
        <w:rPr>
          <w:rFonts w:ascii="Arial" w:hAnsi="Arial" w:cs="Arial"/>
        </w:rPr>
        <w:t xml:space="preserve"> 659 at 696 cited by </w:t>
      </w:r>
      <w:proofErr w:type="spellStart"/>
      <w:r w:rsidRPr="006E0236">
        <w:rPr>
          <w:rFonts w:ascii="Arial" w:hAnsi="Arial" w:cs="Arial"/>
        </w:rPr>
        <w:t>Binns</w:t>
      </w:r>
      <w:proofErr w:type="spellEnd"/>
      <w:r w:rsidRPr="006E0236">
        <w:rPr>
          <w:rFonts w:ascii="Arial" w:hAnsi="Arial" w:cs="Arial"/>
        </w:rPr>
        <w:t xml:space="preserve">-Ward J in </w:t>
      </w:r>
      <w:bookmarkStart w:id="0" w:name="_Hlk167961371"/>
      <w:r w:rsidRPr="006E0236">
        <w:rPr>
          <w:rFonts w:ascii="Arial" w:hAnsi="Arial" w:cs="Arial"/>
          <w:i/>
          <w:iCs/>
        </w:rPr>
        <w:t>Red Ant Security Relocation and Eviction Services (Pty) Ltd v</w:t>
      </w:r>
      <w:r w:rsidR="0080418F" w:rsidRPr="006E0236">
        <w:rPr>
          <w:rFonts w:ascii="Arial" w:hAnsi="Arial" w:cs="Arial"/>
          <w:i/>
          <w:iCs/>
        </w:rPr>
        <w:t xml:space="preserve"> The</w:t>
      </w:r>
      <w:r w:rsidRPr="006E0236">
        <w:rPr>
          <w:rFonts w:ascii="Arial" w:hAnsi="Arial" w:cs="Arial"/>
          <w:i/>
          <w:iCs/>
        </w:rPr>
        <w:t xml:space="preserve"> Department</w:t>
      </w:r>
      <w:r w:rsidRPr="00EC4BFF">
        <w:rPr>
          <w:rFonts w:ascii="Arial" w:hAnsi="Arial" w:cs="Arial"/>
          <w:i/>
          <w:iCs/>
        </w:rPr>
        <w:t xml:space="preserve"> of Human Settlements (Western Cape) </w:t>
      </w:r>
      <w:r w:rsidRPr="00EC4BFF">
        <w:rPr>
          <w:rFonts w:ascii="Arial" w:hAnsi="Arial" w:cs="Arial"/>
        </w:rPr>
        <w:t>WCHC Case No 9370/2021</w:t>
      </w:r>
      <w:r>
        <w:rPr>
          <w:rFonts w:ascii="Arial" w:hAnsi="Arial" w:cs="Arial"/>
          <w:lang w:val="en-US"/>
        </w:rPr>
        <w:t xml:space="preserve"> (</w:t>
      </w:r>
      <w:r w:rsidRPr="00D75112">
        <w:rPr>
          <w:rFonts w:ascii="Arial" w:hAnsi="Arial" w:cs="Arial"/>
          <w:i/>
          <w:iCs/>
          <w:lang w:val="en-US"/>
        </w:rPr>
        <w:t>Red</w:t>
      </w:r>
      <w:r>
        <w:rPr>
          <w:rFonts w:ascii="Arial" w:hAnsi="Arial" w:cs="Arial"/>
        </w:rPr>
        <w:t xml:space="preserve"> </w:t>
      </w:r>
      <w:r>
        <w:rPr>
          <w:rFonts w:ascii="Arial" w:hAnsi="Arial" w:cs="Arial"/>
          <w:i/>
          <w:iCs/>
        </w:rPr>
        <w:t>Ant</w:t>
      </w:r>
      <w:r>
        <w:rPr>
          <w:rFonts w:ascii="Arial" w:hAnsi="Arial" w:cs="Arial"/>
        </w:rPr>
        <w:t xml:space="preserve">) </w:t>
      </w:r>
      <w:bookmarkEnd w:id="0"/>
      <w:r>
        <w:rPr>
          <w:rFonts w:ascii="Arial" w:hAnsi="Arial" w:cs="Arial"/>
        </w:rPr>
        <w:t>para 1.</w:t>
      </w:r>
    </w:p>
  </w:footnote>
  <w:footnote w:id="3">
    <w:p w14:paraId="3259D487" w14:textId="77EF6730" w:rsidR="00665570" w:rsidRPr="006E0236" w:rsidRDefault="00665570" w:rsidP="00190FBC">
      <w:pPr>
        <w:pStyle w:val="FootnoteText"/>
        <w:spacing w:line="240" w:lineRule="auto"/>
        <w:rPr>
          <w:rFonts w:ascii="Arial" w:hAnsi="Arial" w:cs="Arial"/>
          <w:lang w:val="en-US"/>
        </w:rPr>
      </w:pPr>
      <w:r w:rsidRPr="00A94296">
        <w:rPr>
          <w:rStyle w:val="FootnoteReference"/>
          <w:rFonts w:ascii="Arial" w:hAnsi="Arial" w:cs="Arial"/>
        </w:rPr>
        <w:footnoteRef/>
      </w:r>
      <w:r w:rsidRPr="00A94296">
        <w:rPr>
          <w:rFonts w:ascii="Arial" w:hAnsi="Arial" w:cs="Arial"/>
        </w:rPr>
        <w:t xml:space="preserve"> </w:t>
      </w:r>
      <w:r w:rsidRPr="00A94296">
        <w:rPr>
          <w:rFonts w:ascii="Arial" w:hAnsi="Arial" w:cs="Arial"/>
          <w:i/>
        </w:rPr>
        <w:t xml:space="preserve">University of the Free State v </w:t>
      </w:r>
      <w:proofErr w:type="spellStart"/>
      <w:r w:rsidRPr="00A94296">
        <w:rPr>
          <w:rFonts w:ascii="Arial" w:hAnsi="Arial" w:cs="Arial"/>
          <w:i/>
        </w:rPr>
        <w:t>Afriforum</w:t>
      </w:r>
      <w:proofErr w:type="spellEnd"/>
      <w:r w:rsidRPr="00A94296">
        <w:rPr>
          <w:rFonts w:ascii="Arial" w:hAnsi="Arial" w:cs="Arial"/>
          <w:i/>
        </w:rPr>
        <w:t xml:space="preserve"> and Another </w:t>
      </w:r>
      <w:r w:rsidRPr="00A94296">
        <w:rPr>
          <w:rFonts w:ascii="Arial" w:hAnsi="Arial" w:cs="Arial"/>
        </w:rPr>
        <w:t>[2016] ZASCA 165; [2017] All SA 79 (SCA); 2018 (3) SA 428 (SCA</w:t>
      </w:r>
      <w:r w:rsidRPr="006E0236">
        <w:rPr>
          <w:rFonts w:ascii="Arial" w:hAnsi="Arial" w:cs="Arial"/>
        </w:rPr>
        <w:t>)</w:t>
      </w:r>
      <w:r w:rsidR="008B4C43" w:rsidRPr="006E0236">
        <w:rPr>
          <w:rFonts w:ascii="Arial" w:hAnsi="Arial" w:cs="Arial"/>
        </w:rPr>
        <w:t xml:space="preserve"> (</w:t>
      </w:r>
      <w:proofErr w:type="spellStart"/>
      <w:r w:rsidR="008B4C43" w:rsidRPr="006E0236">
        <w:rPr>
          <w:rFonts w:ascii="Arial" w:hAnsi="Arial" w:cs="Arial"/>
          <w:i/>
        </w:rPr>
        <w:t>Afriforum</w:t>
      </w:r>
      <w:proofErr w:type="spellEnd"/>
      <w:r w:rsidR="008B4C43" w:rsidRPr="006E0236">
        <w:rPr>
          <w:rFonts w:ascii="Arial" w:hAnsi="Arial" w:cs="Arial"/>
        </w:rPr>
        <w:t>)</w:t>
      </w:r>
      <w:r w:rsidRPr="006E0236">
        <w:rPr>
          <w:rFonts w:ascii="Arial" w:hAnsi="Arial" w:cs="Arial"/>
        </w:rPr>
        <w:t>.</w:t>
      </w:r>
    </w:p>
  </w:footnote>
  <w:footnote w:id="4">
    <w:p w14:paraId="3B3B06FA" w14:textId="77777777" w:rsidR="00665570" w:rsidRPr="006E0236" w:rsidRDefault="00665570" w:rsidP="00190FBC">
      <w:pPr>
        <w:pStyle w:val="FootnoteText"/>
        <w:spacing w:line="240" w:lineRule="auto"/>
        <w:rPr>
          <w:rFonts w:ascii="Arial" w:hAnsi="Arial" w:cs="Arial"/>
          <w:lang w:val="en-US"/>
        </w:rPr>
      </w:pPr>
      <w:r w:rsidRPr="006E0236">
        <w:rPr>
          <w:rStyle w:val="FootnoteReference"/>
          <w:rFonts w:ascii="Arial" w:hAnsi="Arial" w:cs="Arial"/>
        </w:rPr>
        <w:footnoteRef/>
      </w:r>
      <w:r w:rsidRPr="006E0236">
        <w:rPr>
          <w:rFonts w:ascii="Arial" w:hAnsi="Arial" w:cs="Arial"/>
        </w:rPr>
        <w:t xml:space="preserve"> </w:t>
      </w:r>
      <w:proofErr w:type="spellStart"/>
      <w:r w:rsidRPr="006E0236">
        <w:rPr>
          <w:rFonts w:ascii="Arial" w:hAnsi="Arial" w:cs="Arial"/>
          <w:i/>
        </w:rPr>
        <w:t>Ntlemeza</w:t>
      </w:r>
      <w:proofErr w:type="spellEnd"/>
      <w:r w:rsidRPr="006E0236">
        <w:rPr>
          <w:rFonts w:ascii="Arial" w:hAnsi="Arial" w:cs="Arial"/>
          <w:i/>
        </w:rPr>
        <w:t xml:space="preserve"> v Helen </w:t>
      </w:r>
      <w:proofErr w:type="spellStart"/>
      <w:r w:rsidRPr="006E0236">
        <w:rPr>
          <w:rFonts w:ascii="Arial" w:hAnsi="Arial" w:cs="Arial"/>
          <w:i/>
        </w:rPr>
        <w:t>Suzman</w:t>
      </w:r>
      <w:proofErr w:type="spellEnd"/>
      <w:r w:rsidRPr="006E0236">
        <w:rPr>
          <w:rFonts w:ascii="Arial" w:hAnsi="Arial" w:cs="Arial"/>
          <w:i/>
        </w:rPr>
        <w:t xml:space="preserve"> Foundation and Another </w:t>
      </w:r>
      <w:r w:rsidRPr="006E0236">
        <w:rPr>
          <w:rFonts w:ascii="Arial" w:hAnsi="Arial" w:cs="Arial"/>
        </w:rPr>
        <w:t>[2017] ZASCA 93; [2017] 3 All SA 589 (SCA); 2017 (5) SA 402 (SCA).</w:t>
      </w:r>
    </w:p>
  </w:footnote>
  <w:footnote w:id="5">
    <w:p w14:paraId="628766AE" w14:textId="77777777" w:rsidR="00665570" w:rsidRPr="006E0236" w:rsidRDefault="00665570" w:rsidP="00190FBC">
      <w:pPr>
        <w:pStyle w:val="FootnoteText"/>
        <w:spacing w:line="240" w:lineRule="auto"/>
        <w:rPr>
          <w:rFonts w:ascii="Arial" w:hAnsi="Arial" w:cs="Arial"/>
        </w:rPr>
      </w:pPr>
      <w:r w:rsidRPr="006E0236">
        <w:rPr>
          <w:rStyle w:val="FootnoteReference"/>
          <w:rFonts w:ascii="Arial" w:hAnsi="Arial" w:cs="Arial"/>
        </w:rPr>
        <w:footnoteRef/>
      </w:r>
      <w:r w:rsidRPr="006E0236">
        <w:rPr>
          <w:rFonts w:ascii="Arial" w:hAnsi="Arial" w:cs="Arial"/>
        </w:rPr>
        <w:t xml:space="preserve"> </w:t>
      </w:r>
      <w:r w:rsidRPr="006E0236">
        <w:rPr>
          <w:rFonts w:ascii="Arial" w:hAnsi="Arial" w:cs="Arial"/>
          <w:i/>
        </w:rPr>
        <w:t xml:space="preserve">Premier for the Province of Gauteng and Others </w:t>
      </w:r>
      <w:proofErr w:type="gramStart"/>
      <w:r w:rsidRPr="006E0236">
        <w:rPr>
          <w:rFonts w:ascii="Arial" w:hAnsi="Arial" w:cs="Arial"/>
          <w:i/>
        </w:rPr>
        <w:t>v</w:t>
      </w:r>
      <w:proofErr w:type="gramEnd"/>
      <w:r w:rsidRPr="006E0236">
        <w:rPr>
          <w:rFonts w:ascii="Arial" w:hAnsi="Arial" w:cs="Arial"/>
          <w:i/>
        </w:rPr>
        <w:t xml:space="preserve"> Democratic Alliance and Others </w:t>
      </w:r>
      <w:r w:rsidRPr="006E0236">
        <w:rPr>
          <w:rFonts w:ascii="Arial" w:hAnsi="Arial" w:cs="Arial"/>
        </w:rPr>
        <w:t>[2020] ZASCA 136; [2021] 1 All SA 60 (SCA).</w:t>
      </w:r>
    </w:p>
  </w:footnote>
  <w:footnote w:id="6">
    <w:p w14:paraId="7F7B1472" w14:textId="15A23206" w:rsidR="00665570" w:rsidRPr="00A94296" w:rsidRDefault="00665570" w:rsidP="00190FBC">
      <w:pPr>
        <w:pStyle w:val="FootnoteText"/>
        <w:spacing w:line="240" w:lineRule="auto"/>
        <w:rPr>
          <w:rFonts w:ascii="Arial" w:hAnsi="Arial" w:cs="Arial"/>
          <w:lang w:val="en-US"/>
        </w:rPr>
      </w:pPr>
      <w:r w:rsidRPr="006E0236">
        <w:rPr>
          <w:rStyle w:val="FootnoteReference"/>
          <w:rFonts w:ascii="Arial" w:hAnsi="Arial" w:cs="Arial"/>
        </w:rPr>
        <w:footnoteRef/>
      </w:r>
      <w:r w:rsidRPr="006E0236">
        <w:rPr>
          <w:rFonts w:ascii="Arial" w:hAnsi="Arial" w:cs="Arial"/>
        </w:rPr>
        <w:t xml:space="preserve"> </w:t>
      </w:r>
      <w:proofErr w:type="spellStart"/>
      <w:r w:rsidRPr="006E0236">
        <w:rPr>
          <w:rFonts w:ascii="Arial" w:hAnsi="Arial" w:cs="Arial"/>
          <w:i/>
        </w:rPr>
        <w:t>Knoop</w:t>
      </w:r>
      <w:proofErr w:type="spellEnd"/>
      <w:r w:rsidRPr="006E0236">
        <w:rPr>
          <w:rFonts w:ascii="Arial" w:hAnsi="Arial" w:cs="Arial"/>
          <w:i/>
        </w:rPr>
        <w:t xml:space="preserve"> and Another NNO v Gupta </w:t>
      </w:r>
      <w:r w:rsidRPr="006E0236">
        <w:rPr>
          <w:rFonts w:ascii="Arial" w:hAnsi="Arial" w:cs="Arial"/>
          <w:iCs/>
        </w:rPr>
        <w:t>(</w:t>
      </w:r>
      <w:proofErr w:type="spellStart"/>
      <w:r w:rsidRPr="006E0236">
        <w:rPr>
          <w:rFonts w:ascii="Arial" w:hAnsi="Arial" w:cs="Arial"/>
          <w:i/>
          <w:iCs/>
        </w:rPr>
        <w:t>Tayob</w:t>
      </w:r>
      <w:proofErr w:type="spellEnd"/>
      <w:r w:rsidRPr="006E0236">
        <w:rPr>
          <w:rFonts w:ascii="Arial" w:hAnsi="Arial" w:cs="Arial"/>
          <w:i/>
          <w:iCs/>
        </w:rPr>
        <w:t xml:space="preserve"> Intervening</w:t>
      </w:r>
      <w:r w:rsidRPr="006E0236">
        <w:rPr>
          <w:rFonts w:ascii="Arial" w:hAnsi="Arial" w:cs="Arial"/>
          <w:iCs/>
        </w:rPr>
        <w:t>)</w:t>
      </w:r>
      <w:r w:rsidRPr="006E0236">
        <w:rPr>
          <w:rFonts w:ascii="Arial" w:hAnsi="Arial" w:cs="Arial"/>
        </w:rPr>
        <w:t xml:space="preserve"> [2020] ZASCA 149; [2021] 1 All SA 17 (SCA); 2021 (3) SA 135 (SCA)</w:t>
      </w:r>
      <w:r w:rsidR="00891054" w:rsidRPr="006E0236">
        <w:rPr>
          <w:rFonts w:ascii="Arial" w:hAnsi="Arial" w:cs="Arial"/>
        </w:rPr>
        <w:t xml:space="preserve"> (</w:t>
      </w:r>
      <w:proofErr w:type="spellStart"/>
      <w:r w:rsidR="00891054" w:rsidRPr="006E0236">
        <w:rPr>
          <w:rFonts w:ascii="Arial" w:hAnsi="Arial" w:cs="Arial"/>
          <w:i/>
        </w:rPr>
        <w:t>Knoop</w:t>
      </w:r>
      <w:proofErr w:type="spellEnd"/>
      <w:r w:rsidR="00891054" w:rsidRPr="006E0236">
        <w:rPr>
          <w:rFonts w:ascii="Arial" w:hAnsi="Arial" w:cs="Arial"/>
        </w:rPr>
        <w:t>)</w:t>
      </w:r>
      <w:r w:rsidRPr="006E0236">
        <w:rPr>
          <w:rFonts w:ascii="Arial" w:hAnsi="Arial" w:cs="Arial"/>
        </w:rPr>
        <w:t>.</w:t>
      </w:r>
    </w:p>
  </w:footnote>
  <w:footnote w:id="7">
    <w:p w14:paraId="2FCC678E" w14:textId="77777777" w:rsidR="00665570" w:rsidRPr="00A94296" w:rsidRDefault="00665570" w:rsidP="00190FBC">
      <w:pPr>
        <w:pStyle w:val="FootnoteText"/>
        <w:spacing w:line="240" w:lineRule="auto"/>
        <w:rPr>
          <w:rFonts w:ascii="Arial" w:hAnsi="Arial" w:cs="Arial"/>
          <w:lang w:val="en-US"/>
        </w:rPr>
      </w:pPr>
      <w:r w:rsidRPr="00A94296">
        <w:rPr>
          <w:rStyle w:val="FootnoteReference"/>
          <w:rFonts w:ascii="Arial" w:hAnsi="Arial" w:cs="Arial"/>
        </w:rPr>
        <w:footnoteRef/>
      </w:r>
      <w:r w:rsidRPr="00A94296">
        <w:rPr>
          <w:rFonts w:ascii="Arial" w:hAnsi="Arial" w:cs="Arial"/>
        </w:rPr>
        <w:t xml:space="preserve"> </w:t>
      </w:r>
      <w:r w:rsidRPr="00A94296">
        <w:rPr>
          <w:rFonts w:ascii="Arial" w:hAnsi="Arial" w:cs="Arial"/>
          <w:i/>
          <w:iCs/>
          <w:shd w:val="clear" w:color="auto" w:fill="FFFFFF"/>
        </w:rPr>
        <w:t>Zuma v Downer and Another</w:t>
      </w:r>
      <w:r w:rsidRPr="00A94296">
        <w:rPr>
          <w:rFonts w:ascii="Arial" w:hAnsi="Arial" w:cs="Arial"/>
          <w:shd w:val="clear" w:color="auto" w:fill="FFFFFF"/>
        </w:rPr>
        <w:t xml:space="preserve"> [2023] ZASCA 132; [2023] 4 All SA 644 (SCA); 2024 (2) SA 356 (SCA); 2024 (1) SACR 589 (SCA).</w:t>
      </w:r>
    </w:p>
  </w:footnote>
  <w:footnote w:id="8">
    <w:p w14:paraId="7DAFD8C7" w14:textId="5FD7ED46" w:rsidR="00665570" w:rsidRDefault="00665570" w:rsidP="00190FBC">
      <w:pPr>
        <w:pStyle w:val="FootnoteText"/>
        <w:spacing w:line="240" w:lineRule="auto"/>
        <w:rPr>
          <w:rFonts w:ascii="Arial" w:hAnsi="Arial" w:cs="Arial"/>
        </w:rPr>
      </w:pPr>
      <w:r w:rsidRPr="003035E1">
        <w:rPr>
          <w:rStyle w:val="FootnoteReference"/>
          <w:rFonts w:ascii="Arial" w:hAnsi="Arial" w:cs="Arial"/>
        </w:rPr>
        <w:footnoteRef/>
      </w:r>
      <w:r w:rsidRPr="003035E1">
        <w:rPr>
          <w:rFonts w:ascii="Arial" w:hAnsi="Arial" w:cs="Arial"/>
        </w:rPr>
        <w:t xml:space="preserve"> </w:t>
      </w:r>
      <w:r>
        <w:rPr>
          <w:rFonts w:ascii="Arial" w:hAnsi="Arial" w:cs="Arial"/>
        </w:rPr>
        <w:t xml:space="preserve">See </w:t>
      </w:r>
      <w:r w:rsidRPr="003035E1">
        <w:rPr>
          <w:rFonts w:ascii="Arial" w:hAnsi="Arial" w:cs="Arial"/>
          <w:i/>
        </w:rPr>
        <w:t xml:space="preserve">George </w:t>
      </w:r>
      <w:proofErr w:type="spellStart"/>
      <w:r w:rsidRPr="003035E1">
        <w:rPr>
          <w:rFonts w:ascii="Arial" w:hAnsi="Arial" w:cs="Arial"/>
          <w:i/>
        </w:rPr>
        <w:t>Hlaudi</w:t>
      </w:r>
      <w:proofErr w:type="spellEnd"/>
      <w:r w:rsidRPr="003035E1">
        <w:rPr>
          <w:rFonts w:ascii="Arial" w:hAnsi="Arial" w:cs="Arial"/>
          <w:i/>
        </w:rPr>
        <w:t xml:space="preserve"> </w:t>
      </w:r>
      <w:proofErr w:type="spellStart"/>
      <w:r w:rsidRPr="003035E1">
        <w:rPr>
          <w:rFonts w:ascii="Arial" w:hAnsi="Arial" w:cs="Arial"/>
          <w:i/>
        </w:rPr>
        <w:t>Motsoeneng</w:t>
      </w:r>
      <w:proofErr w:type="spellEnd"/>
      <w:r w:rsidRPr="003035E1">
        <w:rPr>
          <w:rFonts w:ascii="Arial" w:hAnsi="Arial" w:cs="Arial"/>
          <w:i/>
        </w:rPr>
        <w:t xml:space="preserve"> v South African Broadcasting Corporation </w:t>
      </w:r>
      <w:proofErr w:type="spellStart"/>
      <w:r w:rsidRPr="003035E1">
        <w:rPr>
          <w:rFonts w:ascii="Arial" w:hAnsi="Arial" w:cs="Arial"/>
          <w:i/>
        </w:rPr>
        <w:t>Soc</w:t>
      </w:r>
      <w:proofErr w:type="spellEnd"/>
      <w:r w:rsidRPr="003035E1">
        <w:rPr>
          <w:rFonts w:ascii="Arial" w:hAnsi="Arial" w:cs="Arial"/>
          <w:i/>
        </w:rPr>
        <w:t xml:space="preserve"> Ltd </w:t>
      </w:r>
      <w:r w:rsidRPr="006E0236">
        <w:rPr>
          <w:rFonts w:ascii="Arial" w:hAnsi="Arial" w:cs="Arial"/>
          <w:i/>
        </w:rPr>
        <w:t>and Others</w:t>
      </w:r>
      <w:r w:rsidR="00190FBC" w:rsidRPr="006E0236">
        <w:rPr>
          <w:rFonts w:ascii="Arial" w:hAnsi="Arial" w:cs="Arial"/>
        </w:rPr>
        <w:t xml:space="preserve"> [2024] ZASCA 80</w:t>
      </w:r>
      <w:r w:rsidR="00CE5C31" w:rsidRPr="006E0236">
        <w:rPr>
          <w:rFonts w:ascii="Arial" w:hAnsi="Arial" w:cs="Arial"/>
        </w:rPr>
        <w:t xml:space="preserve"> para 13</w:t>
      </w:r>
      <w:r w:rsidRPr="006E0236">
        <w:rPr>
          <w:rFonts w:ascii="Arial" w:hAnsi="Arial" w:cs="Arial"/>
        </w:rPr>
        <w:t>, where this was said in respect of s 17(2)</w:t>
      </w:r>
      <w:r w:rsidRPr="006E0236">
        <w:rPr>
          <w:rFonts w:ascii="Arial" w:hAnsi="Arial" w:cs="Arial"/>
          <w:i/>
          <w:iCs/>
        </w:rPr>
        <w:t>(f)</w:t>
      </w:r>
      <w:r w:rsidRPr="006E0236">
        <w:rPr>
          <w:rFonts w:ascii="Arial" w:hAnsi="Arial" w:cs="Arial"/>
        </w:rPr>
        <w:t xml:space="preserve"> of the Superior Courts Act, which provides:</w:t>
      </w:r>
    </w:p>
    <w:p w14:paraId="7EDB7673" w14:textId="38CFEB97" w:rsidR="00665570" w:rsidRPr="00190FBC" w:rsidRDefault="00665570" w:rsidP="00190FBC">
      <w:pPr>
        <w:pStyle w:val="FootnoteText"/>
        <w:spacing w:line="240" w:lineRule="auto"/>
        <w:rPr>
          <w:rFonts w:ascii="Arial" w:hAnsi="Arial" w:cs="Arial"/>
          <w:b/>
        </w:rPr>
      </w:pPr>
      <w:r>
        <w:rPr>
          <w:rFonts w:ascii="Arial" w:hAnsi="Arial" w:cs="Arial"/>
        </w:rPr>
        <w:t>‘</w:t>
      </w:r>
      <w:r w:rsidRPr="003035E1">
        <w:rPr>
          <w:rFonts w:ascii="Arial" w:hAnsi="Arial" w:cs="Arial"/>
        </w:rPr>
        <w:t>The decision of the majority of the judges considering an application referred to in paragraph (b), or the decision of the court, as the case may be, to grant or refuse the application shall be final: Provided that the President of the Supreme Court of Appeal may in exceptional circumstances, whether of his or her own accord or on application filed within one month of the decision, refer the decision to the court for reconsideration and, if necessary, variation.</w:t>
      </w:r>
      <w:r w:rsidR="009A287A">
        <w:rPr>
          <w:rFonts w:ascii="Arial" w:hAnsi="Arial" w:cs="Arial"/>
        </w:rPr>
        <w:t>’</w:t>
      </w:r>
    </w:p>
  </w:footnote>
  <w:footnote w:id="9">
    <w:p w14:paraId="4A0CB5A1" w14:textId="77777777" w:rsidR="00665570" w:rsidRPr="005E0F79" w:rsidRDefault="00665570" w:rsidP="00190FBC">
      <w:pPr>
        <w:pStyle w:val="FootnoteText"/>
        <w:spacing w:line="240" w:lineRule="auto"/>
        <w:rPr>
          <w:rFonts w:ascii="Arial" w:hAnsi="Arial" w:cs="Arial"/>
          <w:lang w:val="en-US"/>
        </w:rPr>
      </w:pPr>
      <w:r w:rsidRPr="005E0F79">
        <w:rPr>
          <w:rStyle w:val="FootnoteReference"/>
          <w:rFonts w:ascii="Arial" w:hAnsi="Arial" w:cs="Arial"/>
        </w:rPr>
        <w:footnoteRef/>
      </w:r>
      <w:r w:rsidRPr="005E0F79">
        <w:rPr>
          <w:rFonts w:ascii="Arial" w:hAnsi="Arial" w:cs="Arial"/>
        </w:rPr>
        <w:t xml:space="preserve"> </w:t>
      </w:r>
      <w:proofErr w:type="spellStart"/>
      <w:r w:rsidRPr="005E0F79">
        <w:rPr>
          <w:rFonts w:ascii="Arial" w:hAnsi="Arial" w:cs="Arial"/>
          <w:i/>
          <w:iCs/>
        </w:rPr>
        <w:t>Liesching</w:t>
      </w:r>
      <w:proofErr w:type="spellEnd"/>
      <w:r w:rsidRPr="005E0F79">
        <w:rPr>
          <w:rFonts w:ascii="Arial" w:hAnsi="Arial" w:cs="Arial"/>
          <w:i/>
          <w:iCs/>
        </w:rPr>
        <w:t xml:space="preserve"> and Others </w:t>
      </w:r>
      <w:proofErr w:type="gramStart"/>
      <w:r w:rsidRPr="005E0F79">
        <w:rPr>
          <w:rFonts w:ascii="Arial" w:hAnsi="Arial" w:cs="Arial"/>
          <w:i/>
          <w:iCs/>
        </w:rPr>
        <w:t>v</w:t>
      </w:r>
      <w:proofErr w:type="gramEnd"/>
      <w:r w:rsidRPr="005E0F79">
        <w:rPr>
          <w:rFonts w:ascii="Arial" w:hAnsi="Arial" w:cs="Arial"/>
          <w:i/>
          <w:iCs/>
        </w:rPr>
        <w:t xml:space="preserve"> S</w:t>
      </w:r>
      <w:r w:rsidRPr="005E0F79">
        <w:rPr>
          <w:rFonts w:ascii="Arial" w:hAnsi="Arial" w:cs="Arial"/>
        </w:rPr>
        <w:t xml:space="preserve"> [2018] ZACC 25; 2018 (11) BCLR 1349 (CC); 2019 (1) SACR</w:t>
      </w:r>
      <w:r>
        <w:rPr>
          <w:rFonts w:ascii="Arial" w:hAnsi="Arial" w:cs="Arial"/>
        </w:rPr>
        <w:t xml:space="preserve"> 178 (CC); 2019 (4) SA 219 (CC) </w:t>
      </w:r>
      <w:r w:rsidRPr="005E0F79">
        <w:rPr>
          <w:rFonts w:ascii="Arial" w:hAnsi="Arial" w:cs="Arial"/>
        </w:rPr>
        <w:t>para</w:t>
      </w:r>
      <w:r>
        <w:rPr>
          <w:rFonts w:ascii="Arial" w:hAnsi="Arial" w:cs="Arial"/>
        </w:rPr>
        <w:t>s</w:t>
      </w:r>
      <w:r w:rsidRPr="005E0F79">
        <w:rPr>
          <w:rFonts w:ascii="Arial" w:hAnsi="Arial" w:cs="Arial"/>
        </w:rPr>
        <w:t xml:space="preserve"> </w:t>
      </w:r>
      <w:r>
        <w:rPr>
          <w:rFonts w:ascii="Arial" w:hAnsi="Arial" w:cs="Arial"/>
        </w:rPr>
        <w:t>136-137</w:t>
      </w:r>
      <w:r w:rsidRPr="005E0F79">
        <w:rPr>
          <w:rFonts w:ascii="Arial" w:hAnsi="Arial" w:cs="Arial"/>
        </w:rPr>
        <w:t>.</w:t>
      </w:r>
    </w:p>
  </w:footnote>
  <w:footnote w:id="10">
    <w:p w14:paraId="5DE4373A" w14:textId="77777777" w:rsidR="00665570" w:rsidRPr="005E0F79" w:rsidRDefault="00665570" w:rsidP="00190FBC">
      <w:pPr>
        <w:pStyle w:val="FootnoteText"/>
        <w:spacing w:line="240" w:lineRule="auto"/>
        <w:rPr>
          <w:rFonts w:ascii="Arial" w:hAnsi="Arial" w:cs="Arial"/>
          <w:lang w:val="en-US"/>
        </w:rPr>
      </w:pPr>
      <w:r w:rsidRPr="005E0F79">
        <w:rPr>
          <w:rStyle w:val="FootnoteReference"/>
          <w:rFonts w:ascii="Arial" w:hAnsi="Arial" w:cs="Arial"/>
        </w:rPr>
        <w:footnoteRef/>
      </w:r>
      <w:r w:rsidRPr="005E0F79">
        <w:rPr>
          <w:rFonts w:ascii="Arial" w:hAnsi="Arial" w:cs="Arial"/>
        </w:rPr>
        <w:t xml:space="preserve"> </w:t>
      </w:r>
      <w:r w:rsidRPr="005E0F79">
        <w:rPr>
          <w:rFonts w:ascii="Arial" w:hAnsi="Arial" w:cs="Arial"/>
          <w:i/>
          <w:iCs/>
        </w:rPr>
        <w:t xml:space="preserve">Norwich Union Life Insurance Society v Dobbs </w:t>
      </w:r>
      <w:r w:rsidRPr="005E0F79">
        <w:rPr>
          <w:rFonts w:ascii="Arial" w:hAnsi="Arial" w:cs="Arial"/>
        </w:rPr>
        <w:t>1912 AD 395 at 399.</w:t>
      </w:r>
    </w:p>
  </w:footnote>
  <w:footnote w:id="11">
    <w:p w14:paraId="172784B7" w14:textId="27804BDD" w:rsidR="00665570" w:rsidRPr="006E0236" w:rsidRDefault="00665570" w:rsidP="00190FBC">
      <w:pPr>
        <w:pStyle w:val="FootnoteText"/>
        <w:spacing w:line="240" w:lineRule="auto"/>
        <w:rPr>
          <w:rFonts w:ascii="Arial" w:hAnsi="Arial" w:cs="Arial"/>
          <w:i/>
          <w:iCs/>
          <w:lang w:val="en-US"/>
        </w:rPr>
      </w:pPr>
      <w:r w:rsidRPr="005E0F79">
        <w:rPr>
          <w:rStyle w:val="FootnoteReference"/>
          <w:rFonts w:ascii="Arial" w:hAnsi="Arial" w:cs="Arial"/>
        </w:rPr>
        <w:footnoteRef/>
      </w:r>
      <w:r w:rsidRPr="005E0F79">
        <w:rPr>
          <w:rFonts w:ascii="Arial" w:hAnsi="Arial" w:cs="Arial"/>
        </w:rPr>
        <w:t xml:space="preserve"> </w:t>
      </w:r>
      <w:r w:rsidRPr="005E0F79">
        <w:rPr>
          <w:rFonts w:ascii="Arial" w:hAnsi="Arial" w:cs="Arial"/>
          <w:i/>
          <w:iCs/>
        </w:rPr>
        <w:t xml:space="preserve">MV </w:t>
      </w:r>
      <w:proofErr w:type="spellStart"/>
      <w:r w:rsidRPr="005E0F79">
        <w:rPr>
          <w:rFonts w:ascii="Arial" w:hAnsi="Arial" w:cs="Arial"/>
          <w:i/>
          <w:iCs/>
        </w:rPr>
        <w:t>Ais</w:t>
      </w:r>
      <w:proofErr w:type="spellEnd"/>
      <w:r w:rsidRPr="005E0F79">
        <w:rPr>
          <w:rFonts w:ascii="Arial" w:hAnsi="Arial" w:cs="Arial"/>
          <w:i/>
          <w:iCs/>
        </w:rPr>
        <w:t xml:space="preserve"> Mamas </w:t>
      </w:r>
      <w:proofErr w:type="spellStart"/>
      <w:r w:rsidRPr="005E0F79">
        <w:rPr>
          <w:rFonts w:ascii="Arial" w:hAnsi="Arial" w:cs="Arial"/>
          <w:i/>
          <w:iCs/>
        </w:rPr>
        <w:t>Seatrans</w:t>
      </w:r>
      <w:proofErr w:type="spellEnd"/>
      <w:r w:rsidRPr="005E0F79">
        <w:rPr>
          <w:rFonts w:ascii="Arial" w:hAnsi="Arial" w:cs="Arial"/>
          <w:i/>
          <w:iCs/>
        </w:rPr>
        <w:t xml:space="preserve"> Mariti</w:t>
      </w:r>
      <w:r w:rsidR="006D6E41">
        <w:rPr>
          <w:rFonts w:ascii="Arial" w:hAnsi="Arial" w:cs="Arial"/>
          <w:i/>
          <w:iCs/>
        </w:rPr>
        <w:t xml:space="preserve">me </w:t>
      </w:r>
      <w:proofErr w:type="gramStart"/>
      <w:r w:rsidR="006D6E41">
        <w:rPr>
          <w:rFonts w:ascii="Arial" w:hAnsi="Arial" w:cs="Arial"/>
          <w:i/>
          <w:iCs/>
        </w:rPr>
        <w:t>v</w:t>
      </w:r>
      <w:proofErr w:type="gramEnd"/>
      <w:r w:rsidR="006D6E41">
        <w:rPr>
          <w:rFonts w:ascii="Arial" w:hAnsi="Arial" w:cs="Arial"/>
          <w:i/>
          <w:iCs/>
        </w:rPr>
        <w:t xml:space="preserve"> Owners, MV </w:t>
      </w:r>
      <w:proofErr w:type="spellStart"/>
      <w:r w:rsidR="006D6E41">
        <w:rPr>
          <w:rFonts w:ascii="Arial" w:hAnsi="Arial" w:cs="Arial"/>
          <w:i/>
          <w:iCs/>
        </w:rPr>
        <w:t>Ais</w:t>
      </w:r>
      <w:proofErr w:type="spellEnd"/>
      <w:r w:rsidR="006D6E41">
        <w:rPr>
          <w:rFonts w:ascii="Arial" w:hAnsi="Arial" w:cs="Arial"/>
          <w:i/>
          <w:iCs/>
        </w:rPr>
        <w:t xml:space="preserve"> </w:t>
      </w:r>
      <w:r w:rsidR="006D6E41" w:rsidRPr="006E0236">
        <w:rPr>
          <w:rFonts w:ascii="Arial" w:hAnsi="Arial" w:cs="Arial"/>
          <w:i/>
          <w:iCs/>
        </w:rPr>
        <w:t>Mamas, and A</w:t>
      </w:r>
      <w:r w:rsidRPr="006E0236">
        <w:rPr>
          <w:rFonts w:ascii="Arial" w:hAnsi="Arial" w:cs="Arial"/>
          <w:i/>
          <w:iCs/>
        </w:rPr>
        <w:t xml:space="preserve">nother </w:t>
      </w:r>
      <w:r w:rsidRPr="006E0236">
        <w:rPr>
          <w:rFonts w:ascii="Arial" w:hAnsi="Arial" w:cs="Arial"/>
        </w:rPr>
        <w:t>2002 (6) SA 150 (C) at 156H-J.</w:t>
      </w:r>
    </w:p>
  </w:footnote>
  <w:footnote w:id="12">
    <w:p w14:paraId="1D528FA9" w14:textId="6EB8174B" w:rsidR="00DC02DB" w:rsidRPr="00891054" w:rsidRDefault="00DC02DB">
      <w:pPr>
        <w:pStyle w:val="FootnoteText"/>
        <w:rPr>
          <w:rFonts w:ascii="Arial" w:hAnsi="Arial" w:cs="Arial"/>
          <w:lang w:val="en-ZA"/>
        </w:rPr>
      </w:pPr>
      <w:r w:rsidRPr="006E0236">
        <w:rPr>
          <w:rStyle w:val="FootnoteReference"/>
          <w:rFonts w:ascii="Arial" w:hAnsi="Arial" w:cs="Arial"/>
        </w:rPr>
        <w:footnoteRef/>
      </w:r>
      <w:r w:rsidRPr="006E0236">
        <w:rPr>
          <w:rFonts w:ascii="Arial" w:hAnsi="Arial" w:cs="Arial"/>
        </w:rPr>
        <w:t xml:space="preserve"> </w:t>
      </w:r>
      <w:proofErr w:type="spellStart"/>
      <w:r w:rsidR="00891054" w:rsidRPr="006E0236">
        <w:rPr>
          <w:rFonts w:ascii="Arial" w:hAnsi="Arial" w:cs="Arial"/>
          <w:i/>
        </w:rPr>
        <w:t>Knoop</w:t>
      </w:r>
      <w:proofErr w:type="spellEnd"/>
      <w:r w:rsidRPr="006E0236">
        <w:rPr>
          <w:rFonts w:ascii="Arial" w:hAnsi="Arial" w:cs="Arial"/>
          <w:lang w:val="en-ZA"/>
        </w:rPr>
        <w:t xml:space="preserve"> </w:t>
      </w:r>
      <w:proofErr w:type="spellStart"/>
      <w:r w:rsidRPr="006E0236">
        <w:rPr>
          <w:rFonts w:ascii="Arial" w:hAnsi="Arial" w:cs="Arial"/>
          <w:lang w:val="en-ZA"/>
        </w:rPr>
        <w:t>fn</w:t>
      </w:r>
      <w:proofErr w:type="spellEnd"/>
      <w:r w:rsidRPr="006E0236">
        <w:rPr>
          <w:rFonts w:ascii="Arial" w:hAnsi="Arial" w:cs="Arial"/>
          <w:lang w:val="en-ZA"/>
        </w:rPr>
        <w:t xml:space="preserve"> 6 </w:t>
      </w:r>
      <w:r w:rsidR="00891054" w:rsidRPr="006E0236">
        <w:rPr>
          <w:rFonts w:ascii="Arial" w:hAnsi="Arial" w:cs="Arial"/>
          <w:lang w:val="en-ZA"/>
        </w:rPr>
        <w:t xml:space="preserve">above </w:t>
      </w:r>
      <w:r w:rsidRPr="006E0236">
        <w:rPr>
          <w:rFonts w:ascii="Arial" w:hAnsi="Arial" w:cs="Arial"/>
          <w:lang w:val="en-ZA"/>
        </w:rPr>
        <w:t>para 47.</w:t>
      </w:r>
    </w:p>
  </w:footnote>
  <w:footnote w:id="13">
    <w:p w14:paraId="76F0A043" w14:textId="3F116B20" w:rsidR="00665570" w:rsidRPr="007E63A0" w:rsidRDefault="00665570" w:rsidP="007E63A0">
      <w:pPr>
        <w:pStyle w:val="Heading2"/>
        <w:shd w:val="clear" w:color="auto" w:fill="FFFFFF"/>
        <w:spacing w:before="0" w:line="240" w:lineRule="auto"/>
        <w:rPr>
          <w:rFonts w:ascii="Arial" w:hAnsi="Arial" w:cs="Arial"/>
          <w:b/>
          <w:bCs/>
          <w:color w:val="auto"/>
          <w:sz w:val="20"/>
          <w:szCs w:val="20"/>
        </w:rPr>
      </w:pPr>
      <w:r w:rsidRPr="007E63A0">
        <w:rPr>
          <w:rStyle w:val="FootnoteReference"/>
          <w:rFonts w:ascii="Arial" w:hAnsi="Arial" w:cs="Arial"/>
          <w:color w:val="auto"/>
          <w:sz w:val="20"/>
          <w:szCs w:val="20"/>
        </w:rPr>
        <w:footnoteRef/>
      </w:r>
      <w:r w:rsidRPr="007E63A0">
        <w:rPr>
          <w:rFonts w:ascii="Arial" w:hAnsi="Arial" w:cs="Arial"/>
          <w:color w:val="auto"/>
          <w:sz w:val="20"/>
          <w:szCs w:val="20"/>
        </w:rPr>
        <w:t xml:space="preserve"> </w:t>
      </w:r>
      <w:r w:rsidRPr="007E63A0">
        <w:rPr>
          <w:rFonts w:ascii="Arial" w:hAnsi="Arial" w:cs="Arial"/>
          <w:i/>
          <w:iCs/>
          <w:color w:val="auto"/>
          <w:sz w:val="20"/>
          <w:szCs w:val="20"/>
        </w:rPr>
        <w:t>MV 'TARIK III' Credit Europe Bank N.V. v The Fund Comprising the Proceeds of the Sale of the MV Tarik III and Others</w:t>
      </w:r>
      <w:r w:rsidRPr="007E63A0">
        <w:rPr>
          <w:rFonts w:ascii="Arial" w:hAnsi="Arial" w:cs="Arial"/>
          <w:color w:val="auto"/>
          <w:sz w:val="20"/>
          <w:szCs w:val="20"/>
        </w:rPr>
        <w:t xml:space="preserve"> [2022] ZASCA</w:t>
      </w:r>
      <w:r w:rsidR="007E63A0">
        <w:rPr>
          <w:rFonts w:ascii="Arial" w:hAnsi="Arial" w:cs="Arial"/>
          <w:color w:val="auto"/>
          <w:sz w:val="20"/>
          <w:szCs w:val="20"/>
        </w:rPr>
        <w:t xml:space="preserve"> 136; [2022] 4 All SA 621 (SCA) para 24–</w:t>
      </w:r>
      <w:r w:rsidRPr="007E63A0">
        <w:rPr>
          <w:rFonts w:ascii="Arial" w:hAnsi="Arial" w:cs="Arial"/>
          <w:color w:val="auto"/>
          <w:sz w:val="20"/>
          <w:szCs w:val="20"/>
        </w:rPr>
        <w:t>34.</w:t>
      </w:r>
    </w:p>
  </w:footnote>
  <w:footnote w:id="14">
    <w:p w14:paraId="1566F340" w14:textId="60B39DFE" w:rsidR="00BA24EF" w:rsidRPr="008B4C43" w:rsidRDefault="00BA24EF">
      <w:pPr>
        <w:pStyle w:val="FootnoteText"/>
        <w:rPr>
          <w:rFonts w:ascii="Arial" w:hAnsi="Arial" w:cs="Arial"/>
          <w:lang w:val="en-ZA"/>
        </w:rPr>
      </w:pPr>
      <w:r w:rsidRPr="006E0236">
        <w:rPr>
          <w:rStyle w:val="FootnoteReference"/>
          <w:rFonts w:ascii="Arial" w:hAnsi="Arial" w:cs="Arial"/>
        </w:rPr>
        <w:footnoteRef/>
      </w:r>
      <w:r w:rsidRPr="006E0236">
        <w:rPr>
          <w:rFonts w:ascii="Arial" w:hAnsi="Arial" w:cs="Arial"/>
        </w:rPr>
        <w:t xml:space="preserve"> </w:t>
      </w:r>
      <w:proofErr w:type="spellStart"/>
      <w:r w:rsidR="008B4C43" w:rsidRPr="006E0236">
        <w:rPr>
          <w:rFonts w:ascii="Arial" w:hAnsi="Arial" w:cs="Arial"/>
          <w:i/>
        </w:rPr>
        <w:t>Afriforum</w:t>
      </w:r>
      <w:proofErr w:type="spellEnd"/>
      <w:r w:rsidR="008B4C43" w:rsidRPr="006E0236">
        <w:rPr>
          <w:rFonts w:ascii="Arial" w:hAnsi="Arial" w:cs="Arial"/>
          <w:i/>
        </w:rPr>
        <w:t xml:space="preserve"> </w:t>
      </w:r>
      <w:proofErr w:type="spellStart"/>
      <w:r w:rsidRPr="006E0236">
        <w:rPr>
          <w:rFonts w:ascii="Arial" w:hAnsi="Arial" w:cs="Arial"/>
          <w:lang w:val="en-ZA"/>
        </w:rPr>
        <w:t>fn</w:t>
      </w:r>
      <w:proofErr w:type="spellEnd"/>
      <w:r w:rsidRPr="006E0236">
        <w:rPr>
          <w:rFonts w:ascii="Arial" w:hAnsi="Arial" w:cs="Arial"/>
          <w:lang w:val="en-ZA"/>
        </w:rPr>
        <w:t xml:space="preserve"> 3</w:t>
      </w:r>
      <w:r w:rsidR="008B4C43" w:rsidRPr="006E0236">
        <w:rPr>
          <w:rFonts w:ascii="Arial" w:hAnsi="Arial" w:cs="Arial"/>
          <w:lang w:val="en-ZA"/>
        </w:rPr>
        <w:t xml:space="preserve"> above</w:t>
      </w:r>
      <w:r w:rsidRPr="006E0236">
        <w:rPr>
          <w:rFonts w:ascii="Arial" w:hAnsi="Arial" w:cs="Arial"/>
          <w:lang w:val="en-ZA"/>
        </w:rPr>
        <w:t xml:space="preserve"> para 10-11.</w:t>
      </w:r>
    </w:p>
  </w:footnote>
  <w:footnote w:id="15">
    <w:p w14:paraId="408832E9" w14:textId="45AEB0C7" w:rsidR="00A768AD" w:rsidRPr="00A768AD" w:rsidRDefault="00A768AD" w:rsidP="00A768AD">
      <w:pPr>
        <w:pStyle w:val="FootnoteText"/>
        <w:spacing w:line="240" w:lineRule="auto"/>
        <w:rPr>
          <w:rFonts w:ascii="Arial" w:hAnsi="Arial" w:cs="Arial"/>
          <w:lang w:val="en-ZA"/>
        </w:rPr>
      </w:pPr>
      <w:r w:rsidRPr="006E0236">
        <w:rPr>
          <w:rStyle w:val="FootnoteReference"/>
        </w:rPr>
        <w:footnoteRef/>
      </w:r>
      <w:r w:rsidRPr="006E0236">
        <w:t xml:space="preserve"> </w:t>
      </w:r>
      <w:proofErr w:type="spellStart"/>
      <w:r w:rsidRPr="006E0236">
        <w:rPr>
          <w:rFonts w:ascii="Arial" w:hAnsi="Arial" w:cs="Arial"/>
          <w:i/>
        </w:rPr>
        <w:t>Incubeta</w:t>
      </w:r>
      <w:proofErr w:type="spellEnd"/>
      <w:r w:rsidRPr="006E0236">
        <w:rPr>
          <w:rFonts w:ascii="Arial" w:hAnsi="Arial" w:cs="Arial"/>
          <w:i/>
        </w:rPr>
        <w:t xml:space="preserve"> Holdings and Another v Ellis and Another</w:t>
      </w:r>
      <w:r w:rsidRPr="006E0236">
        <w:rPr>
          <w:rFonts w:ascii="Arial" w:hAnsi="Arial" w:cs="Arial"/>
        </w:rPr>
        <w:t xml:space="preserve"> [2013] ZAGPJHC 274; 2014 (3) SA 189 (GSJ) para 24.</w:t>
      </w:r>
    </w:p>
  </w:footnote>
  <w:footnote w:id="16">
    <w:p w14:paraId="654E7E7C" w14:textId="7579DDAA" w:rsidR="006D491C" w:rsidRPr="006E0236" w:rsidRDefault="006D491C" w:rsidP="006D491C">
      <w:pPr>
        <w:pStyle w:val="FootnoteText"/>
        <w:spacing w:line="240" w:lineRule="auto"/>
        <w:rPr>
          <w:rFonts w:ascii="Arial" w:hAnsi="Arial" w:cs="Arial"/>
          <w:lang w:val="en-US"/>
        </w:rPr>
      </w:pPr>
      <w:r w:rsidRPr="006E0236">
        <w:rPr>
          <w:rStyle w:val="FootnoteReference"/>
          <w:rFonts w:ascii="Arial" w:hAnsi="Arial" w:cs="Arial"/>
        </w:rPr>
        <w:footnoteRef/>
      </w:r>
      <w:r w:rsidRPr="006E0236">
        <w:rPr>
          <w:rFonts w:ascii="Arial" w:hAnsi="Arial" w:cs="Arial"/>
        </w:rPr>
        <w:t xml:space="preserve"> P</w:t>
      </w:r>
      <w:r w:rsidR="00FB2C2B" w:rsidRPr="006E0236">
        <w:rPr>
          <w:rFonts w:ascii="Arial" w:hAnsi="Arial" w:cs="Arial"/>
        </w:rPr>
        <w:t xml:space="preserve"> </w:t>
      </w:r>
      <w:r w:rsidRPr="006E0236">
        <w:rPr>
          <w:rFonts w:ascii="Arial" w:hAnsi="Arial" w:cs="Arial"/>
        </w:rPr>
        <w:t xml:space="preserve">M </w:t>
      </w:r>
      <w:proofErr w:type="spellStart"/>
      <w:r w:rsidRPr="006E0236">
        <w:rPr>
          <w:rFonts w:ascii="Arial" w:hAnsi="Arial" w:cs="Arial"/>
        </w:rPr>
        <w:t>Perell</w:t>
      </w:r>
      <w:proofErr w:type="spellEnd"/>
      <w:r w:rsidRPr="006E0236">
        <w:rPr>
          <w:rFonts w:ascii="Arial" w:hAnsi="Arial" w:cs="Arial"/>
        </w:rPr>
        <w:t xml:space="preserve"> </w:t>
      </w:r>
      <w:r w:rsidR="00FB2C2B" w:rsidRPr="006E0236">
        <w:rPr>
          <w:rFonts w:ascii="Arial" w:hAnsi="Arial" w:cs="Arial"/>
        </w:rPr>
        <w:t>‘</w:t>
      </w:r>
      <w:r w:rsidRPr="006E0236">
        <w:rPr>
          <w:rFonts w:ascii="Arial" w:hAnsi="Arial" w:cs="Arial"/>
        </w:rPr>
        <w:t>The Interlocutory Injunction and Irreparable Harm</w:t>
      </w:r>
      <w:r w:rsidR="00FB2C2B" w:rsidRPr="006E0236">
        <w:rPr>
          <w:rFonts w:ascii="Arial" w:hAnsi="Arial" w:cs="Arial"/>
        </w:rPr>
        <w:t>’ (1989) 68</w:t>
      </w:r>
      <w:r w:rsidRPr="006E0236">
        <w:rPr>
          <w:rFonts w:ascii="Arial" w:hAnsi="Arial" w:cs="Arial"/>
        </w:rPr>
        <w:t xml:space="preserve"> </w:t>
      </w:r>
      <w:r w:rsidRPr="006E0236">
        <w:rPr>
          <w:rFonts w:ascii="Arial" w:hAnsi="Arial" w:cs="Arial"/>
          <w:i/>
        </w:rPr>
        <w:t>T</w:t>
      </w:r>
      <w:r w:rsidR="00FB2C2B" w:rsidRPr="006E0236">
        <w:rPr>
          <w:rFonts w:ascii="Arial" w:hAnsi="Arial" w:cs="Arial"/>
          <w:i/>
        </w:rPr>
        <w:t>he</w:t>
      </w:r>
      <w:r w:rsidRPr="006E0236">
        <w:rPr>
          <w:rFonts w:ascii="Arial" w:hAnsi="Arial" w:cs="Arial"/>
          <w:i/>
        </w:rPr>
        <w:t xml:space="preserve"> C</w:t>
      </w:r>
      <w:r w:rsidR="00FB2C2B" w:rsidRPr="006E0236">
        <w:rPr>
          <w:rFonts w:ascii="Arial" w:hAnsi="Arial" w:cs="Arial"/>
          <w:i/>
        </w:rPr>
        <w:t>anadian</w:t>
      </w:r>
      <w:r w:rsidRPr="006E0236">
        <w:rPr>
          <w:rFonts w:ascii="Arial" w:hAnsi="Arial" w:cs="Arial"/>
          <w:i/>
        </w:rPr>
        <w:t xml:space="preserve"> B</w:t>
      </w:r>
      <w:r w:rsidR="00FB2C2B" w:rsidRPr="006E0236">
        <w:rPr>
          <w:rFonts w:ascii="Arial" w:hAnsi="Arial" w:cs="Arial"/>
          <w:i/>
        </w:rPr>
        <w:t>ar</w:t>
      </w:r>
      <w:r w:rsidRPr="006E0236">
        <w:rPr>
          <w:rFonts w:ascii="Arial" w:hAnsi="Arial" w:cs="Arial"/>
          <w:i/>
        </w:rPr>
        <w:t xml:space="preserve"> R</w:t>
      </w:r>
      <w:r w:rsidR="00FB2C2B" w:rsidRPr="006E0236">
        <w:rPr>
          <w:rFonts w:ascii="Arial" w:hAnsi="Arial" w:cs="Arial"/>
          <w:i/>
        </w:rPr>
        <w:t>eview</w:t>
      </w:r>
      <w:r w:rsidR="00FB2C2B" w:rsidRPr="006E0236">
        <w:rPr>
          <w:rFonts w:ascii="Arial" w:hAnsi="Arial" w:cs="Arial"/>
        </w:rPr>
        <w:t xml:space="preserve"> 538 at 540.</w:t>
      </w:r>
      <w:r w:rsidRPr="006E0236">
        <w:rPr>
          <w:rFonts w:ascii="Arial" w:hAnsi="Arial" w:cs="Arial"/>
        </w:rPr>
        <w:t xml:space="preserve"> </w:t>
      </w:r>
    </w:p>
  </w:footnote>
  <w:footnote w:id="17">
    <w:p w14:paraId="0F574FB7" w14:textId="37EB3C43" w:rsidR="006D491C" w:rsidRPr="006E0236" w:rsidRDefault="006D491C" w:rsidP="0090230F">
      <w:pPr>
        <w:spacing w:line="240" w:lineRule="auto"/>
        <w:rPr>
          <w:rFonts w:ascii="Arial" w:hAnsi="Arial" w:cs="Arial"/>
          <w:sz w:val="20"/>
          <w:szCs w:val="20"/>
        </w:rPr>
      </w:pPr>
      <w:r w:rsidRPr="006E0236">
        <w:rPr>
          <w:rStyle w:val="FootnoteReference"/>
          <w:rFonts w:ascii="Arial" w:hAnsi="Arial" w:cs="Arial"/>
          <w:sz w:val="20"/>
          <w:szCs w:val="20"/>
        </w:rPr>
        <w:footnoteRef/>
      </w:r>
      <w:r w:rsidRPr="006E0236">
        <w:rPr>
          <w:rFonts w:ascii="Arial" w:hAnsi="Arial" w:cs="Arial"/>
          <w:sz w:val="20"/>
          <w:szCs w:val="20"/>
        </w:rPr>
        <w:t xml:space="preserve"> R</w:t>
      </w:r>
      <w:r w:rsidR="00E16C7A" w:rsidRPr="006E0236">
        <w:rPr>
          <w:rFonts w:ascii="Arial" w:hAnsi="Arial" w:cs="Arial"/>
          <w:sz w:val="20"/>
          <w:szCs w:val="20"/>
        </w:rPr>
        <w:t xml:space="preserve"> </w:t>
      </w:r>
      <w:r w:rsidRPr="006E0236">
        <w:rPr>
          <w:rFonts w:ascii="Arial" w:hAnsi="Arial" w:cs="Arial"/>
          <w:sz w:val="20"/>
          <w:szCs w:val="20"/>
        </w:rPr>
        <w:t xml:space="preserve">J Sharpe </w:t>
      </w:r>
      <w:r w:rsidRPr="006E0236">
        <w:rPr>
          <w:rFonts w:ascii="Arial" w:hAnsi="Arial" w:cs="Arial"/>
          <w:i/>
          <w:sz w:val="20"/>
          <w:szCs w:val="20"/>
        </w:rPr>
        <w:t>Injunctions and</w:t>
      </w:r>
      <w:r w:rsidR="00DF4E98" w:rsidRPr="006E0236">
        <w:rPr>
          <w:rFonts w:ascii="Arial" w:hAnsi="Arial" w:cs="Arial"/>
          <w:i/>
          <w:sz w:val="20"/>
          <w:szCs w:val="20"/>
        </w:rPr>
        <w:t xml:space="preserve"> Specific Performance</w:t>
      </w:r>
      <w:r w:rsidR="00DF4E98" w:rsidRPr="006E0236">
        <w:rPr>
          <w:rFonts w:ascii="Arial" w:hAnsi="Arial" w:cs="Arial"/>
          <w:sz w:val="20"/>
          <w:szCs w:val="20"/>
        </w:rPr>
        <w:t xml:space="preserve"> (1983) </w:t>
      </w:r>
      <w:r w:rsidR="00E16C7A" w:rsidRPr="006E0236">
        <w:rPr>
          <w:rFonts w:ascii="Arial" w:hAnsi="Arial" w:cs="Arial"/>
          <w:sz w:val="20"/>
          <w:szCs w:val="20"/>
        </w:rPr>
        <w:t xml:space="preserve">at </w:t>
      </w:r>
      <w:r w:rsidRPr="006E0236">
        <w:rPr>
          <w:rFonts w:ascii="Arial" w:hAnsi="Arial" w:cs="Arial"/>
          <w:sz w:val="20"/>
          <w:szCs w:val="20"/>
        </w:rPr>
        <w:t>77. Cited in P</w:t>
      </w:r>
      <w:r w:rsidR="00E16C7A" w:rsidRPr="006E0236">
        <w:rPr>
          <w:rFonts w:ascii="Arial" w:hAnsi="Arial" w:cs="Arial"/>
          <w:sz w:val="20"/>
          <w:szCs w:val="20"/>
        </w:rPr>
        <w:t xml:space="preserve"> </w:t>
      </w:r>
      <w:r w:rsidRPr="006E0236">
        <w:rPr>
          <w:rFonts w:ascii="Arial" w:hAnsi="Arial" w:cs="Arial"/>
          <w:sz w:val="20"/>
          <w:szCs w:val="20"/>
        </w:rPr>
        <w:t xml:space="preserve">M </w:t>
      </w:r>
      <w:proofErr w:type="spellStart"/>
      <w:r w:rsidRPr="006E0236">
        <w:rPr>
          <w:rFonts w:ascii="Arial" w:hAnsi="Arial" w:cs="Arial"/>
          <w:sz w:val="20"/>
          <w:szCs w:val="20"/>
        </w:rPr>
        <w:t>Perell</w:t>
      </w:r>
      <w:proofErr w:type="spellEnd"/>
      <w:r w:rsidRPr="006E0236">
        <w:rPr>
          <w:rFonts w:ascii="Arial" w:hAnsi="Arial" w:cs="Arial"/>
          <w:sz w:val="20"/>
          <w:szCs w:val="20"/>
        </w:rPr>
        <w:t xml:space="preserve"> </w:t>
      </w:r>
      <w:r w:rsidR="00E16C7A" w:rsidRPr="006E0236">
        <w:rPr>
          <w:rFonts w:ascii="Arial" w:hAnsi="Arial" w:cs="Arial"/>
          <w:sz w:val="20"/>
          <w:szCs w:val="20"/>
        </w:rPr>
        <w:t>‘</w:t>
      </w:r>
      <w:r w:rsidRPr="006E0236">
        <w:rPr>
          <w:rFonts w:ascii="Arial" w:hAnsi="Arial" w:cs="Arial"/>
          <w:sz w:val="20"/>
          <w:szCs w:val="20"/>
        </w:rPr>
        <w:t>The Interlocutory Injunction and Irreparable Harm</w:t>
      </w:r>
      <w:r w:rsidR="00E16C7A" w:rsidRPr="006E0236">
        <w:rPr>
          <w:rFonts w:ascii="Arial" w:hAnsi="Arial" w:cs="Arial"/>
          <w:sz w:val="20"/>
          <w:szCs w:val="20"/>
        </w:rPr>
        <w:t>’</w:t>
      </w:r>
      <w:r w:rsidRPr="006E0236">
        <w:rPr>
          <w:rFonts w:ascii="Arial" w:hAnsi="Arial" w:cs="Arial"/>
          <w:sz w:val="20"/>
          <w:szCs w:val="20"/>
        </w:rPr>
        <w:t xml:space="preserve"> </w:t>
      </w:r>
      <w:r w:rsidR="00E16C7A" w:rsidRPr="006E0236">
        <w:rPr>
          <w:rFonts w:ascii="Arial" w:hAnsi="Arial" w:cs="Arial"/>
          <w:sz w:val="20"/>
          <w:szCs w:val="20"/>
        </w:rPr>
        <w:t xml:space="preserve">(1989) 68 </w:t>
      </w:r>
      <w:r w:rsidR="00E16C7A" w:rsidRPr="006E0236">
        <w:rPr>
          <w:rFonts w:ascii="Arial" w:hAnsi="Arial" w:cs="Arial"/>
          <w:i/>
          <w:sz w:val="20"/>
          <w:szCs w:val="20"/>
        </w:rPr>
        <w:t>The Canadian Bar Review</w:t>
      </w:r>
      <w:r w:rsidR="00E16C7A" w:rsidRPr="006E0236">
        <w:rPr>
          <w:rFonts w:ascii="Arial" w:hAnsi="Arial" w:cs="Arial"/>
          <w:sz w:val="20"/>
          <w:szCs w:val="20"/>
        </w:rPr>
        <w:t xml:space="preserve"> 538 at 540.</w:t>
      </w:r>
    </w:p>
  </w:footnote>
  <w:footnote w:id="18">
    <w:p w14:paraId="5BDCF7C3" w14:textId="26DFF978" w:rsidR="00665570" w:rsidRPr="006E0236" w:rsidRDefault="00665570" w:rsidP="00A21CFD">
      <w:pPr>
        <w:pStyle w:val="FootnoteText"/>
        <w:spacing w:line="240" w:lineRule="auto"/>
        <w:rPr>
          <w:rFonts w:ascii="Arial" w:hAnsi="Arial" w:cs="Arial"/>
          <w:lang w:val="en-US"/>
        </w:rPr>
      </w:pPr>
      <w:r w:rsidRPr="006E0236">
        <w:rPr>
          <w:rStyle w:val="FootnoteReference"/>
          <w:rFonts w:ascii="Arial" w:hAnsi="Arial" w:cs="Arial"/>
        </w:rPr>
        <w:footnoteRef/>
      </w:r>
      <w:r w:rsidRPr="006E0236">
        <w:rPr>
          <w:rFonts w:ascii="Arial" w:hAnsi="Arial" w:cs="Arial"/>
        </w:rPr>
        <w:t xml:space="preserve"> </w:t>
      </w:r>
      <w:proofErr w:type="spellStart"/>
      <w:r w:rsidRPr="006E0236">
        <w:rPr>
          <w:rFonts w:ascii="Arial" w:hAnsi="Arial" w:cs="Arial"/>
          <w:i/>
          <w:iCs/>
          <w:color w:val="242121"/>
          <w:shd w:val="clear" w:color="auto" w:fill="FFFFFF"/>
        </w:rPr>
        <w:t>Setlogelo</w:t>
      </w:r>
      <w:proofErr w:type="spellEnd"/>
      <w:r w:rsidRPr="006E0236">
        <w:rPr>
          <w:rFonts w:ascii="Arial" w:hAnsi="Arial" w:cs="Arial"/>
          <w:i/>
          <w:iCs/>
          <w:color w:val="242121"/>
          <w:shd w:val="clear" w:color="auto" w:fill="FFFFFF"/>
        </w:rPr>
        <w:t xml:space="preserve"> vs </w:t>
      </w:r>
      <w:proofErr w:type="spellStart"/>
      <w:r w:rsidRPr="006E0236">
        <w:rPr>
          <w:rFonts w:ascii="Arial" w:hAnsi="Arial" w:cs="Arial"/>
          <w:i/>
          <w:iCs/>
          <w:color w:val="242121"/>
          <w:shd w:val="clear" w:color="auto" w:fill="FFFFFF"/>
        </w:rPr>
        <w:t>Setlogelo</w:t>
      </w:r>
      <w:proofErr w:type="spellEnd"/>
      <w:r w:rsidR="00A21CFD" w:rsidRPr="006E0236">
        <w:rPr>
          <w:rFonts w:ascii="Arial" w:hAnsi="Arial" w:cs="Arial"/>
          <w:color w:val="242121"/>
          <w:shd w:val="clear" w:color="auto" w:fill="FFFFFF"/>
        </w:rPr>
        <w:t xml:space="preserve"> </w:t>
      </w:r>
      <w:hyperlink r:id="rId1" w:tooltip="View LawCiteRecord" w:history="1">
        <w:r w:rsidRPr="006E0236">
          <w:rPr>
            <w:rStyle w:val="Hyperlink"/>
            <w:rFonts w:ascii="Arial" w:hAnsi="Arial" w:cs="Arial"/>
            <w:color w:val="auto"/>
            <w:u w:val="none"/>
            <w:shd w:val="clear" w:color="auto" w:fill="FFFFFF"/>
          </w:rPr>
          <w:t>1914 AD 221</w:t>
        </w:r>
      </w:hyperlink>
      <w:r w:rsidR="00A21CFD" w:rsidRPr="006E0236">
        <w:rPr>
          <w:rFonts w:ascii="Arial" w:hAnsi="Arial" w:cs="Arial"/>
          <w:shd w:val="clear" w:color="auto" w:fill="FFFFFF"/>
        </w:rPr>
        <w:t xml:space="preserve"> </w:t>
      </w:r>
      <w:r w:rsidRPr="006E0236">
        <w:rPr>
          <w:rFonts w:ascii="Arial" w:hAnsi="Arial" w:cs="Arial"/>
          <w:color w:val="242121"/>
          <w:shd w:val="clear" w:color="auto" w:fill="FFFFFF"/>
        </w:rPr>
        <w:t>at 227.</w:t>
      </w:r>
    </w:p>
  </w:footnote>
  <w:footnote w:id="19">
    <w:p w14:paraId="29A99F98" w14:textId="46FCA78C" w:rsidR="00665570" w:rsidRPr="00A21CFD" w:rsidRDefault="00665570" w:rsidP="00A21CFD">
      <w:pPr>
        <w:pStyle w:val="FootnoteText"/>
        <w:spacing w:line="240" w:lineRule="auto"/>
        <w:rPr>
          <w:rFonts w:ascii="Arial" w:hAnsi="Arial" w:cs="Arial"/>
          <w:lang w:val="en-US"/>
        </w:rPr>
      </w:pPr>
      <w:r w:rsidRPr="006E0236">
        <w:rPr>
          <w:rStyle w:val="FootnoteReference"/>
          <w:rFonts w:ascii="Arial" w:hAnsi="Arial" w:cs="Arial"/>
        </w:rPr>
        <w:footnoteRef/>
      </w:r>
      <w:r w:rsidR="00DF4E98" w:rsidRPr="006E0236">
        <w:rPr>
          <w:rFonts w:ascii="Arial" w:hAnsi="Arial" w:cs="Arial"/>
        </w:rPr>
        <w:t xml:space="preserve"> </w:t>
      </w:r>
      <w:r w:rsidR="007A72D0" w:rsidRPr="006E0236">
        <w:rPr>
          <w:rFonts w:ascii="Arial" w:hAnsi="Arial" w:cs="Arial"/>
          <w:i/>
        </w:rPr>
        <w:t xml:space="preserve">Hoffmann-La Roche &amp; Co AG and Others </w:t>
      </w:r>
      <w:proofErr w:type="gramStart"/>
      <w:r w:rsidR="007A72D0" w:rsidRPr="006E0236">
        <w:rPr>
          <w:rFonts w:ascii="Arial" w:hAnsi="Arial" w:cs="Arial"/>
          <w:i/>
        </w:rPr>
        <w:t>v</w:t>
      </w:r>
      <w:proofErr w:type="gramEnd"/>
      <w:r w:rsidR="007A72D0" w:rsidRPr="006E0236">
        <w:rPr>
          <w:rFonts w:ascii="Arial" w:hAnsi="Arial" w:cs="Arial"/>
          <w:i/>
        </w:rPr>
        <w:t xml:space="preserve"> Secretary of State for Trade and Industry </w:t>
      </w:r>
      <w:r w:rsidR="00DF4E98" w:rsidRPr="006E0236">
        <w:rPr>
          <w:rFonts w:ascii="Arial" w:hAnsi="Arial" w:cs="Arial"/>
        </w:rPr>
        <w:t>[</w:t>
      </w:r>
      <w:r w:rsidR="00430B1B" w:rsidRPr="006E0236">
        <w:rPr>
          <w:rFonts w:ascii="Arial" w:hAnsi="Arial" w:cs="Arial"/>
        </w:rPr>
        <w:t>1</w:t>
      </w:r>
      <w:r w:rsidR="00DF4E98" w:rsidRPr="006E0236">
        <w:rPr>
          <w:rFonts w:ascii="Arial" w:hAnsi="Arial" w:cs="Arial"/>
        </w:rPr>
        <w:t>975]</w:t>
      </w:r>
      <w:r w:rsidR="00DF4E98" w:rsidRPr="00430B1B">
        <w:rPr>
          <w:rFonts w:ascii="Arial" w:hAnsi="Arial" w:cs="Arial"/>
        </w:rPr>
        <w:t xml:space="preserve"> AC</w:t>
      </w:r>
      <w:r w:rsidR="00A21CFD" w:rsidRPr="00430B1B">
        <w:rPr>
          <w:rFonts w:ascii="Arial" w:hAnsi="Arial" w:cs="Arial"/>
        </w:rPr>
        <w:t xml:space="preserve"> </w:t>
      </w:r>
      <w:r w:rsidR="00DF4E98" w:rsidRPr="00430B1B">
        <w:rPr>
          <w:rFonts w:ascii="Arial" w:hAnsi="Arial" w:cs="Arial"/>
        </w:rPr>
        <w:t>295 at</w:t>
      </w:r>
      <w:r w:rsidRPr="00430B1B">
        <w:rPr>
          <w:rFonts w:ascii="Arial" w:hAnsi="Arial" w:cs="Arial"/>
        </w:rPr>
        <w:t xml:space="preserve"> 35</w:t>
      </w:r>
      <w:r w:rsidR="00DF4E98" w:rsidRPr="00430B1B">
        <w:rPr>
          <w:rFonts w:ascii="Arial" w:hAnsi="Arial" w:cs="Arial"/>
        </w:rPr>
        <w:t>5;</w:t>
      </w:r>
      <w:r w:rsidR="00A21CFD" w:rsidRPr="00430B1B">
        <w:rPr>
          <w:rFonts w:ascii="Arial" w:hAnsi="Arial" w:cs="Arial"/>
        </w:rPr>
        <w:t xml:space="preserve"> [1974</w:t>
      </w:r>
      <w:r w:rsidR="00DF4E98" w:rsidRPr="00430B1B">
        <w:rPr>
          <w:rFonts w:ascii="Arial" w:hAnsi="Arial" w:cs="Arial"/>
        </w:rPr>
        <w:t xml:space="preserve">] 12 All ER 1128 at </w:t>
      </w:r>
      <w:r w:rsidR="007A72D0" w:rsidRPr="00430B1B">
        <w:rPr>
          <w:rFonts w:ascii="Arial" w:hAnsi="Arial" w:cs="Arial"/>
        </w:rPr>
        <w:t>1146 (HL</w:t>
      </w:r>
      <w:r w:rsidR="00A21CFD" w:rsidRPr="00430B1B">
        <w:rPr>
          <w:rFonts w:ascii="Arial" w:hAnsi="Arial" w:cs="Arial"/>
        </w:rPr>
        <w:t>)</w:t>
      </w:r>
      <w:r w:rsidRPr="00430B1B">
        <w:rPr>
          <w:rFonts w:ascii="Arial" w:hAnsi="Arial" w:cs="Arial"/>
        </w:rPr>
        <w:t>.</w:t>
      </w:r>
    </w:p>
  </w:footnote>
  <w:footnote w:id="20">
    <w:p w14:paraId="58A8A311" w14:textId="68E57338" w:rsidR="00B45D54" w:rsidRPr="003F1759" w:rsidRDefault="00B45D54" w:rsidP="003F1759">
      <w:pPr>
        <w:pStyle w:val="FootnoteText"/>
        <w:spacing w:line="240" w:lineRule="auto"/>
        <w:rPr>
          <w:rFonts w:ascii="Arial" w:hAnsi="Arial" w:cs="Arial"/>
          <w:lang w:val="en-US"/>
        </w:rPr>
      </w:pPr>
      <w:r w:rsidRPr="003F1759">
        <w:rPr>
          <w:rStyle w:val="FootnoteReference"/>
          <w:rFonts w:ascii="Arial" w:hAnsi="Arial" w:cs="Arial"/>
        </w:rPr>
        <w:footnoteRef/>
      </w:r>
      <w:r w:rsidRPr="003F1759">
        <w:rPr>
          <w:rFonts w:ascii="Arial" w:hAnsi="Arial" w:cs="Arial"/>
        </w:rPr>
        <w:t xml:space="preserve"> </w:t>
      </w:r>
      <w:r w:rsidRPr="003F1759">
        <w:rPr>
          <w:rFonts w:ascii="Arial" w:hAnsi="Arial" w:cs="Arial"/>
          <w:i/>
        </w:rPr>
        <w:t xml:space="preserve">Millennium Waste Management (Pty) Ltd v Chairperson of the Tender Board: Limpopo Province and Others </w:t>
      </w:r>
      <w:r w:rsidRPr="003F1759">
        <w:rPr>
          <w:rFonts w:ascii="Arial" w:hAnsi="Arial" w:cs="Arial"/>
        </w:rPr>
        <w:t xml:space="preserve">[2007] ZASCA 165; [2007] SCA 165 (RSA); [2008] 2 All SA 145; 2008 (2) SA 481; 2008 (5) BCLR 508; 2008 (2) SA 481 (SCA); </w:t>
      </w:r>
      <w:r w:rsidRPr="003F1759">
        <w:rPr>
          <w:rFonts w:ascii="Arial" w:eastAsia="Arial" w:hAnsi="Arial" w:cs="Arial"/>
          <w:i/>
        </w:rPr>
        <w:t xml:space="preserve">Minister of Mineral Resources and Energy and Others </w:t>
      </w:r>
      <w:proofErr w:type="gramStart"/>
      <w:r w:rsidRPr="003F1759">
        <w:rPr>
          <w:rFonts w:ascii="Arial" w:eastAsia="Arial" w:hAnsi="Arial" w:cs="Arial"/>
          <w:i/>
        </w:rPr>
        <w:t>v</w:t>
      </w:r>
      <w:proofErr w:type="gramEnd"/>
      <w:r w:rsidRPr="003F1759">
        <w:rPr>
          <w:rFonts w:ascii="Arial" w:eastAsia="Arial" w:hAnsi="Arial" w:cs="Arial"/>
          <w:i/>
        </w:rPr>
        <w:t xml:space="preserve"> Sustaining the Wild Coast NPC and Others</w:t>
      </w:r>
      <w:r w:rsidRPr="003F1759">
        <w:rPr>
          <w:rFonts w:ascii="Arial" w:eastAsia="Arial" w:hAnsi="Arial" w:cs="Arial"/>
        </w:rPr>
        <w:t xml:space="preserve"> [2024] ZASCA 84</w:t>
      </w:r>
      <w:r w:rsidR="003F1759">
        <w:rPr>
          <w:rFonts w:ascii="Arial" w:eastAsia="Arial" w:hAnsi="Arial" w:cs="Arial"/>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937589861"/>
      <w:docPartObj>
        <w:docPartGallery w:val="Page Numbers (Top of Page)"/>
        <w:docPartUnique/>
      </w:docPartObj>
    </w:sdtPr>
    <w:sdtEndPr>
      <w:rPr>
        <w:noProof/>
      </w:rPr>
    </w:sdtEndPr>
    <w:sdtContent>
      <w:p w14:paraId="42B76706" w14:textId="46A146D0" w:rsidR="00FC45E9" w:rsidRPr="00C04DFD" w:rsidRDefault="00FC45E9">
        <w:pPr>
          <w:pStyle w:val="Header"/>
          <w:jc w:val="right"/>
          <w:rPr>
            <w:rFonts w:ascii="Arial" w:hAnsi="Arial" w:cs="Arial"/>
          </w:rPr>
        </w:pPr>
        <w:r w:rsidRPr="00C04DFD">
          <w:rPr>
            <w:rFonts w:ascii="Arial" w:hAnsi="Arial" w:cs="Arial"/>
          </w:rPr>
          <w:fldChar w:fldCharType="begin"/>
        </w:r>
        <w:r w:rsidRPr="00C04DFD">
          <w:rPr>
            <w:rFonts w:ascii="Arial" w:hAnsi="Arial" w:cs="Arial"/>
          </w:rPr>
          <w:instrText xml:space="preserve"> PAGE   \* MERGEFORMAT </w:instrText>
        </w:r>
        <w:r w:rsidRPr="00C04DFD">
          <w:rPr>
            <w:rFonts w:ascii="Arial" w:hAnsi="Arial" w:cs="Arial"/>
          </w:rPr>
          <w:fldChar w:fldCharType="separate"/>
        </w:r>
        <w:r w:rsidR="002E3D5C">
          <w:rPr>
            <w:rFonts w:ascii="Arial" w:hAnsi="Arial" w:cs="Arial"/>
            <w:noProof/>
          </w:rPr>
          <w:t>15</w:t>
        </w:r>
        <w:r w:rsidRPr="00C04DFD">
          <w:rPr>
            <w:rFonts w:ascii="Arial" w:hAnsi="Arial" w:cs="Arial"/>
            <w:noProof/>
          </w:rPr>
          <w:fldChar w:fldCharType="end"/>
        </w:r>
      </w:p>
    </w:sdtContent>
  </w:sdt>
  <w:p w14:paraId="27D6BBE1" w14:textId="77777777" w:rsidR="00FC45E9" w:rsidRDefault="00FC45E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41F24"/>
    <w:multiLevelType w:val="hybridMultilevel"/>
    <w:tmpl w:val="AA7A99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49"/>
    <w:rsid w:val="0000626E"/>
    <w:rsid w:val="00007749"/>
    <w:rsid w:val="00010F5C"/>
    <w:rsid w:val="000111ED"/>
    <w:rsid w:val="00015DD7"/>
    <w:rsid w:val="000211CE"/>
    <w:rsid w:val="00022869"/>
    <w:rsid w:val="00022A15"/>
    <w:rsid w:val="00032653"/>
    <w:rsid w:val="00034095"/>
    <w:rsid w:val="0004458A"/>
    <w:rsid w:val="00050668"/>
    <w:rsid w:val="000513D7"/>
    <w:rsid w:val="00054E51"/>
    <w:rsid w:val="000550B0"/>
    <w:rsid w:val="000550FB"/>
    <w:rsid w:val="000554EA"/>
    <w:rsid w:val="00057881"/>
    <w:rsid w:val="000617FC"/>
    <w:rsid w:val="00066442"/>
    <w:rsid w:val="00066980"/>
    <w:rsid w:val="00073D51"/>
    <w:rsid w:val="00074279"/>
    <w:rsid w:val="00075E37"/>
    <w:rsid w:val="00080C4E"/>
    <w:rsid w:val="00081222"/>
    <w:rsid w:val="00082BE8"/>
    <w:rsid w:val="000949A1"/>
    <w:rsid w:val="000955A6"/>
    <w:rsid w:val="0009761C"/>
    <w:rsid w:val="000A5E32"/>
    <w:rsid w:val="000A63AB"/>
    <w:rsid w:val="000A6E5A"/>
    <w:rsid w:val="000B23BA"/>
    <w:rsid w:val="000B5438"/>
    <w:rsid w:val="000C15AB"/>
    <w:rsid w:val="000C2862"/>
    <w:rsid w:val="000D150C"/>
    <w:rsid w:val="000D511E"/>
    <w:rsid w:val="000E0BBD"/>
    <w:rsid w:val="000E2552"/>
    <w:rsid w:val="000E2FE3"/>
    <w:rsid w:val="000E69AA"/>
    <w:rsid w:val="000F5AF0"/>
    <w:rsid w:val="000F7D08"/>
    <w:rsid w:val="0010539D"/>
    <w:rsid w:val="001119F6"/>
    <w:rsid w:val="00114E09"/>
    <w:rsid w:val="001245FF"/>
    <w:rsid w:val="0012528A"/>
    <w:rsid w:val="00127273"/>
    <w:rsid w:val="00134075"/>
    <w:rsid w:val="001342E4"/>
    <w:rsid w:val="00135153"/>
    <w:rsid w:val="00150971"/>
    <w:rsid w:val="001519B4"/>
    <w:rsid w:val="00155D7E"/>
    <w:rsid w:val="00162E06"/>
    <w:rsid w:val="00162E34"/>
    <w:rsid w:val="00163CFE"/>
    <w:rsid w:val="0016579E"/>
    <w:rsid w:val="00165F2D"/>
    <w:rsid w:val="001667F6"/>
    <w:rsid w:val="00172507"/>
    <w:rsid w:val="0017446A"/>
    <w:rsid w:val="00182449"/>
    <w:rsid w:val="001839ED"/>
    <w:rsid w:val="00185118"/>
    <w:rsid w:val="001856C1"/>
    <w:rsid w:val="00187E30"/>
    <w:rsid w:val="001904BA"/>
    <w:rsid w:val="00190FBC"/>
    <w:rsid w:val="001A0167"/>
    <w:rsid w:val="001A0305"/>
    <w:rsid w:val="001A0AF6"/>
    <w:rsid w:val="001A1407"/>
    <w:rsid w:val="001A4F3E"/>
    <w:rsid w:val="001A74CB"/>
    <w:rsid w:val="001A7B2F"/>
    <w:rsid w:val="001A7CF9"/>
    <w:rsid w:val="001B2B55"/>
    <w:rsid w:val="001C28E1"/>
    <w:rsid w:val="001C6DA8"/>
    <w:rsid w:val="001C7386"/>
    <w:rsid w:val="001D5D06"/>
    <w:rsid w:val="001D5EDF"/>
    <w:rsid w:val="001D7C8E"/>
    <w:rsid w:val="001E478E"/>
    <w:rsid w:val="001E4A95"/>
    <w:rsid w:val="001E66E2"/>
    <w:rsid w:val="001E720B"/>
    <w:rsid w:val="001F4E96"/>
    <w:rsid w:val="00202293"/>
    <w:rsid w:val="00202D47"/>
    <w:rsid w:val="00204B78"/>
    <w:rsid w:val="00205C6A"/>
    <w:rsid w:val="00211D38"/>
    <w:rsid w:val="00212B41"/>
    <w:rsid w:val="0022046B"/>
    <w:rsid w:val="0022737F"/>
    <w:rsid w:val="00230D2B"/>
    <w:rsid w:val="002317A4"/>
    <w:rsid w:val="00232028"/>
    <w:rsid w:val="00233D09"/>
    <w:rsid w:val="00234684"/>
    <w:rsid w:val="00234A2C"/>
    <w:rsid w:val="002429D1"/>
    <w:rsid w:val="00253AE9"/>
    <w:rsid w:val="00255896"/>
    <w:rsid w:val="0025741F"/>
    <w:rsid w:val="00265C2E"/>
    <w:rsid w:val="00271C9A"/>
    <w:rsid w:val="002732F5"/>
    <w:rsid w:val="00274DEE"/>
    <w:rsid w:val="00284222"/>
    <w:rsid w:val="0028552B"/>
    <w:rsid w:val="0028770D"/>
    <w:rsid w:val="002927F8"/>
    <w:rsid w:val="002A1ABD"/>
    <w:rsid w:val="002A2E50"/>
    <w:rsid w:val="002A4771"/>
    <w:rsid w:val="002A5319"/>
    <w:rsid w:val="002A5FEC"/>
    <w:rsid w:val="002A64CA"/>
    <w:rsid w:val="002A6905"/>
    <w:rsid w:val="002A711C"/>
    <w:rsid w:val="002B1BF4"/>
    <w:rsid w:val="002B2298"/>
    <w:rsid w:val="002B3C73"/>
    <w:rsid w:val="002C7A15"/>
    <w:rsid w:val="002C7C68"/>
    <w:rsid w:val="002D1EA1"/>
    <w:rsid w:val="002D28EA"/>
    <w:rsid w:val="002D32A8"/>
    <w:rsid w:val="002D32E7"/>
    <w:rsid w:val="002D3901"/>
    <w:rsid w:val="002D4CFD"/>
    <w:rsid w:val="002E2C5C"/>
    <w:rsid w:val="002E3D5C"/>
    <w:rsid w:val="002F15CB"/>
    <w:rsid w:val="002F4320"/>
    <w:rsid w:val="00302027"/>
    <w:rsid w:val="003030C8"/>
    <w:rsid w:val="0030409D"/>
    <w:rsid w:val="0030428B"/>
    <w:rsid w:val="0031632D"/>
    <w:rsid w:val="00317383"/>
    <w:rsid w:val="00322067"/>
    <w:rsid w:val="003233C6"/>
    <w:rsid w:val="00326186"/>
    <w:rsid w:val="0032666F"/>
    <w:rsid w:val="003318A8"/>
    <w:rsid w:val="00347849"/>
    <w:rsid w:val="003504EE"/>
    <w:rsid w:val="00353016"/>
    <w:rsid w:val="003606BD"/>
    <w:rsid w:val="00362604"/>
    <w:rsid w:val="003708F4"/>
    <w:rsid w:val="003721CC"/>
    <w:rsid w:val="00373400"/>
    <w:rsid w:val="003746CA"/>
    <w:rsid w:val="00384337"/>
    <w:rsid w:val="00392EBA"/>
    <w:rsid w:val="00395065"/>
    <w:rsid w:val="00396136"/>
    <w:rsid w:val="00397565"/>
    <w:rsid w:val="003A021A"/>
    <w:rsid w:val="003A31F5"/>
    <w:rsid w:val="003A3211"/>
    <w:rsid w:val="003A4711"/>
    <w:rsid w:val="003B1F8F"/>
    <w:rsid w:val="003C262B"/>
    <w:rsid w:val="003C3725"/>
    <w:rsid w:val="003C3C93"/>
    <w:rsid w:val="003C6560"/>
    <w:rsid w:val="003C6ECA"/>
    <w:rsid w:val="003D04A6"/>
    <w:rsid w:val="003D4581"/>
    <w:rsid w:val="003D7515"/>
    <w:rsid w:val="003D7F37"/>
    <w:rsid w:val="003E2448"/>
    <w:rsid w:val="003E26D9"/>
    <w:rsid w:val="003E609C"/>
    <w:rsid w:val="003E79B5"/>
    <w:rsid w:val="003E7B4C"/>
    <w:rsid w:val="003F1759"/>
    <w:rsid w:val="003F33B3"/>
    <w:rsid w:val="00401131"/>
    <w:rsid w:val="00402A95"/>
    <w:rsid w:val="004039FB"/>
    <w:rsid w:val="004055E2"/>
    <w:rsid w:val="00410741"/>
    <w:rsid w:val="004109B2"/>
    <w:rsid w:val="00422211"/>
    <w:rsid w:val="00422B4E"/>
    <w:rsid w:val="00430B1B"/>
    <w:rsid w:val="0043335F"/>
    <w:rsid w:val="00434150"/>
    <w:rsid w:val="0044234E"/>
    <w:rsid w:val="004537DC"/>
    <w:rsid w:val="00454D29"/>
    <w:rsid w:val="004560AE"/>
    <w:rsid w:val="00456316"/>
    <w:rsid w:val="004663C5"/>
    <w:rsid w:val="00467347"/>
    <w:rsid w:val="0048156A"/>
    <w:rsid w:val="00483B7E"/>
    <w:rsid w:val="00491D54"/>
    <w:rsid w:val="0049380B"/>
    <w:rsid w:val="00493F7E"/>
    <w:rsid w:val="00496908"/>
    <w:rsid w:val="004A5B43"/>
    <w:rsid w:val="004A6149"/>
    <w:rsid w:val="004A7BD9"/>
    <w:rsid w:val="004B72A9"/>
    <w:rsid w:val="004C15BB"/>
    <w:rsid w:val="004C60B4"/>
    <w:rsid w:val="004C7FB3"/>
    <w:rsid w:val="004D2162"/>
    <w:rsid w:val="004D319C"/>
    <w:rsid w:val="004D4CE8"/>
    <w:rsid w:val="004E0CAB"/>
    <w:rsid w:val="004E1FEF"/>
    <w:rsid w:val="004E3671"/>
    <w:rsid w:val="004F1F5F"/>
    <w:rsid w:val="004F5048"/>
    <w:rsid w:val="004F70CA"/>
    <w:rsid w:val="005016E1"/>
    <w:rsid w:val="00505FB5"/>
    <w:rsid w:val="00512635"/>
    <w:rsid w:val="00512F6E"/>
    <w:rsid w:val="005210DB"/>
    <w:rsid w:val="00521E76"/>
    <w:rsid w:val="0052532F"/>
    <w:rsid w:val="005255AA"/>
    <w:rsid w:val="0052669C"/>
    <w:rsid w:val="005354FA"/>
    <w:rsid w:val="00536A4E"/>
    <w:rsid w:val="00540A13"/>
    <w:rsid w:val="00540F41"/>
    <w:rsid w:val="00542B0B"/>
    <w:rsid w:val="0054455D"/>
    <w:rsid w:val="00544F09"/>
    <w:rsid w:val="00545348"/>
    <w:rsid w:val="005458ED"/>
    <w:rsid w:val="005468CE"/>
    <w:rsid w:val="005532B3"/>
    <w:rsid w:val="00553360"/>
    <w:rsid w:val="00561FE9"/>
    <w:rsid w:val="00570BF7"/>
    <w:rsid w:val="00575D1A"/>
    <w:rsid w:val="00576113"/>
    <w:rsid w:val="00577427"/>
    <w:rsid w:val="00577C3B"/>
    <w:rsid w:val="00580CEA"/>
    <w:rsid w:val="00581355"/>
    <w:rsid w:val="005842B7"/>
    <w:rsid w:val="005970AE"/>
    <w:rsid w:val="005A12A7"/>
    <w:rsid w:val="005A1986"/>
    <w:rsid w:val="005B0836"/>
    <w:rsid w:val="005B1A7C"/>
    <w:rsid w:val="005B629E"/>
    <w:rsid w:val="005C0850"/>
    <w:rsid w:val="005C508C"/>
    <w:rsid w:val="005C5312"/>
    <w:rsid w:val="005D3B97"/>
    <w:rsid w:val="005D57DF"/>
    <w:rsid w:val="005E37C7"/>
    <w:rsid w:val="005E4FE8"/>
    <w:rsid w:val="005F0361"/>
    <w:rsid w:val="005F77B4"/>
    <w:rsid w:val="0060123E"/>
    <w:rsid w:val="00603371"/>
    <w:rsid w:val="00605281"/>
    <w:rsid w:val="00606E18"/>
    <w:rsid w:val="0060751C"/>
    <w:rsid w:val="00614283"/>
    <w:rsid w:val="006166BF"/>
    <w:rsid w:val="006170E4"/>
    <w:rsid w:val="00617E52"/>
    <w:rsid w:val="006211BE"/>
    <w:rsid w:val="00623783"/>
    <w:rsid w:val="006246AF"/>
    <w:rsid w:val="00625102"/>
    <w:rsid w:val="00625742"/>
    <w:rsid w:val="006261A3"/>
    <w:rsid w:val="00630681"/>
    <w:rsid w:val="006312E7"/>
    <w:rsid w:val="00633227"/>
    <w:rsid w:val="00633BE0"/>
    <w:rsid w:val="00634144"/>
    <w:rsid w:val="006448EF"/>
    <w:rsid w:val="006465CF"/>
    <w:rsid w:val="00651A9C"/>
    <w:rsid w:val="00664133"/>
    <w:rsid w:val="00665570"/>
    <w:rsid w:val="00671FF2"/>
    <w:rsid w:val="00672B42"/>
    <w:rsid w:val="006807A7"/>
    <w:rsid w:val="006832CE"/>
    <w:rsid w:val="006852F0"/>
    <w:rsid w:val="00695D7D"/>
    <w:rsid w:val="00696713"/>
    <w:rsid w:val="006A16AE"/>
    <w:rsid w:val="006A4102"/>
    <w:rsid w:val="006A7703"/>
    <w:rsid w:val="006A7BC4"/>
    <w:rsid w:val="006B1157"/>
    <w:rsid w:val="006D29E7"/>
    <w:rsid w:val="006D491C"/>
    <w:rsid w:val="006D6E41"/>
    <w:rsid w:val="006E0236"/>
    <w:rsid w:val="006E29CB"/>
    <w:rsid w:val="0070147F"/>
    <w:rsid w:val="00705382"/>
    <w:rsid w:val="00715FB3"/>
    <w:rsid w:val="007163B1"/>
    <w:rsid w:val="00721302"/>
    <w:rsid w:val="0072245B"/>
    <w:rsid w:val="00726771"/>
    <w:rsid w:val="00732A42"/>
    <w:rsid w:val="007331A8"/>
    <w:rsid w:val="00733501"/>
    <w:rsid w:val="00733D59"/>
    <w:rsid w:val="00735D84"/>
    <w:rsid w:val="00736AF6"/>
    <w:rsid w:val="0074721E"/>
    <w:rsid w:val="007474DC"/>
    <w:rsid w:val="00753C49"/>
    <w:rsid w:val="007540D5"/>
    <w:rsid w:val="00754A78"/>
    <w:rsid w:val="00766BC7"/>
    <w:rsid w:val="0077360C"/>
    <w:rsid w:val="007759FF"/>
    <w:rsid w:val="00776FB1"/>
    <w:rsid w:val="007801E0"/>
    <w:rsid w:val="0078208D"/>
    <w:rsid w:val="00784469"/>
    <w:rsid w:val="00786C8D"/>
    <w:rsid w:val="00790CF4"/>
    <w:rsid w:val="007915C5"/>
    <w:rsid w:val="00793F37"/>
    <w:rsid w:val="00796B4F"/>
    <w:rsid w:val="007A1ADF"/>
    <w:rsid w:val="007A72D0"/>
    <w:rsid w:val="007B2327"/>
    <w:rsid w:val="007C2CBD"/>
    <w:rsid w:val="007C6112"/>
    <w:rsid w:val="007D0F72"/>
    <w:rsid w:val="007D64AB"/>
    <w:rsid w:val="007E1191"/>
    <w:rsid w:val="007E14C6"/>
    <w:rsid w:val="007E23B1"/>
    <w:rsid w:val="007E63A0"/>
    <w:rsid w:val="007E79B8"/>
    <w:rsid w:val="007F30EE"/>
    <w:rsid w:val="007F511A"/>
    <w:rsid w:val="0080286F"/>
    <w:rsid w:val="008032E7"/>
    <w:rsid w:val="0080418F"/>
    <w:rsid w:val="00811248"/>
    <w:rsid w:val="008152D3"/>
    <w:rsid w:val="008219E2"/>
    <w:rsid w:val="008222EF"/>
    <w:rsid w:val="00822C7B"/>
    <w:rsid w:val="008230C2"/>
    <w:rsid w:val="00826DD1"/>
    <w:rsid w:val="0083072E"/>
    <w:rsid w:val="008324A2"/>
    <w:rsid w:val="008362F4"/>
    <w:rsid w:val="00841B46"/>
    <w:rsid w:val="00843C7D"/>
    <w:rsid w:val="00844152"/>
    <w:rsid w:val="00844D7F"/>
    <w:rsid w:val="0085451B"/>
    <w:rsid w:val="00860F1E"/>
    <w:rsid w:val="0086157D"/>
    <w:rsid w:val="0086653F"/>
    <w:rsid w:val="00866A85"/>
    <w:rsid w:val="008679E4"/>
    <w:rsid w:val="00875653"/>
    <w:rsid w:val="00881355"/>
    <w:rsid w:val="00884634"/>
    <w:rsid w:val="008852BE"/>
    <w:rsid w:val="00885422"/>
    <w:rsid w:val="008865A5"/>
    <w:rsid w:val="00891054"/>
    <w:rsid w:val="008959D3"/>
    <w:rsid w:val="008B4172"/>
    <w:rsid w:val="008B4C43"/>
    <w:rsid w:val="008B795B"/>
    <w:rsid w:val="008B7DC1"/>
    <w:rsid w:val="008C42CF"/>
    <w:rsid w:val="008C63F5"/>
    <w:rsid w:val="008C7D0D"/>
    <w:rsid w:val="008D26FF"/>
    <w:rsid w:val="008D71E2"/>
    <w:rsid w:val="008E065A"/>
    <w:rsid w:val="008E2DB1"/>
    <w:rsid w:val="008E31D1"/>
    <w:rsid w:val="008E5FFA"/>
    <w:rsid w:val="008E7155"/>
    <w:rsid w:val="008F0F39"/>
    <w:rsid w:val="008F6043"/>
    <w:rsid w:val="008F660C"/>
    <w:rsid w:val="009011BF"/>
    <w:rsid w:val="0090230F"/>
    <w:rsid w:val="00903431"/>
    <w:rsid w:val="009046D1"/>
    <w:rsid w:val="00904EEE"/>
    <w:rsid w:val="00906DA8"/>
    <w:rsid w:val="00910C88"/>
    <w:rsid w:val="0091598D"/>
    <w:rsid w:val="0091598E"/>
    <w:rsid w:val="00915E2A"/>
    <w:rsid w:val="0091730B"/>
    <w:rsid w:val="009178E9"/>
    <w:rsid w:val="0092082A"/>
    <w:rsid w:val="00920A59"/>
    <w:rsid w:val="009219F4"/>
    <w:rsid w:val="00925BE7"/>
    <w:rsid w:val="00937952"/>
    <w:rsid w:val="009404F9"/>
    <w:rsid w:val="00944085"/>
    <w:rsid w:val="00944AEC"/>
    <w:rsid w:val="00953756"/>
    <w:rsid w:val="00955FE3"/>
    <w:rsid w:val="00963B83"/>
    <w:rsid w:val="009668AF"/>
    <w:rsid w:val="00966D44"/>
    <w:rsid w:val="00973D98"/>
    <w:rsid w:val="009756C9"/>
    <w:rsid w:val="00975915"/>
    <w:rsid w:val="0098078B"/>
    <w:rsid w:val="00980F65"/>
    <w:rsid w:val="0098108E"/>
    <w:rsid w:val="0098198D"/>
    <w:rsid w:val="00986F59"/>
    <w:rsid w:val="009904AF"/>
    <w:rsid w:val="00991275"/>
    <w:rsid w:val="00995473"/>
    <w:rsid w:val="009956D2"/>
    <w:rsid w:val="009A287A"/>
    <w:rsid w:val="009B327E"/>
    <w:rsid w:val="009B5113"/>
    <w:rsid w:val="009C11D8"/>
    <w:rsid w:val="009C26E8"/>
    <w:rsid w:val="009D11BF"/>
    <w:rsid w:val="009D7534"/>
    <w:rsid w:val="009E5A43"/>
    <w:rsid w:val="009E6D1C"/>
    <w:rsid w:val="009E7B97"/>
    <w:rsid w:val="009F1F31"/>
    <w:rsid w:val="009F538F"/>
    <w:rsid w:val="009F5756"/>
    <w:rsid w:val="00A001AD"/>
    <w:rsid w:val="00A02953"/>
    <w:rsid w:val="00A049A2"/>
    <w:rsid w:val="00A10BEF"/>
    <w:rsid w:val="00A14218"/>
    <w:rsid w:val="00A15E31"/>
    <w:rsid w:val="00A177A8"/>
    <w:rsid w:val="00A21139"/>
    <w:rsid w:val="00A21CFD"/>
    <w:rsid w:val="00A220A5"/>
    <w:rsid w:val="00A23AE0"/>
    <w:rsid w:val="00A34A6C"/>
    <w:rsid w:val="00A37F1C"/>
    <w:rsid w:val="00A4019D"/>
    <w:rsid w:val="00A42369"/>
    <w:rsid w:val="00A45918"/>
    <w:rsid w:val="00A47252"/>
    <w:rsid w:val="00A51838"/>
    <w:rsid w:val="00A6302A"/>
    <w:rsid w:val="00A632A6"/>
    <w:rsid w:val="00A639AD"/>
    <w:rsid w:val="00A65AF4"/>
    <w:rsid w:val="00A65C95"/>
    <w:rsid w:val="00A66C63"/>
    <w:rsid w:val="00A70B91"/>
    <w:rsid w:val="00A753FC"/>
    <w:rsid w:val="00A768AD"/>
    <w:rsid w:val="00A77F5E"/>
    <w:rsid w:val="00A8165A"/>
    <w:rsid w:val="00A853FB"/>
    <w:rsid w:val="00A862A1"/>
    <w:rsid w:val="00A9386F"/>
    <w:rsid w:val="00A94296"/>
    <w:rsid w:val="00A952EB"/>
    <w:rsid w:val="00A97A3B"/>
    <w:rsid w:val="00AA474B"/>
    <w:rsid w:val="00AB488D"/>
    <w:rsid w:val="00AB5FF3"/>
    <w:rsid w:val="00AC42FF"/>
    <w:rsid w:val="00AC45AF"/>
    <w:rsid w:val="00AC6BDB"/>
    <w:rsid w:val="00AD1BA3"/>
    <w:rsid w:val="00AD2978"/>
    <w:rsid w:val="00AD3567"/>
    <w:rsid w:val="00AD5D22"/>
    <w:rsid w:val="00AD6B99"/>
    <w:rsid w:val="00AD75E6"/>
    <w:rsid w:val="00AD7E24"/>
    <w:rsid w:val="00AE02C0"/>
    <w:rsid w:val="00AE3AB3"/>
    <w:rsid w:val="00AE4111"/>
    <w:rsid w:val="00AE7054"/>
    <w:rsid w:val="00AF47E9"/>
    <w:rsid w:val="00AF778B"/>
    <w:rsid w:val="00AF7A3F"/>
    <w:rsid w:val="00AF7FFC"/>
    <w:rsid w:val="00B00A42"/>
    <w:rsid w:val="00B03CC9"/>
    <w:rsid w:val="00B11876"/>
    <w:rsid w:val="00B15DAF"/>
    <w:rsid w:val="00B20DF1"/>
    <w:rsid w:val="00B27196"/>
    <w:rsid w:val="00B31ADE"/>
    <w:rsid w:val="00B37449"/>
    <w:rsid w:val="00B40946"/>
    <w:rsid w:val="00B45125"/>
    <w:rsid w:val="00B45D54"/>
    <w:rsid w:val="00B47792"/>
    <w:rsid w:val="00B47C02"/>
    <w:rsid w:val="00B54512"/>
    <w:rsid w:val="00B54E54"/>
    <w:rsid w:val="00B54FD2"/>
    <w:rsid w:val="00B55D54"/>
    <w:rsid w:val="00B562C3"/>
    <w:rsid w:val="00B60BF3"/>
    <w:rsid w:val="00B646C7"/>
    <w:rsid w:val="00B664C3"/>
    <w:rsid w:val="00B67691"/>
    <w:rsid w:val="00B73481"/>
    <w:rsid w:val="00B77855"/>
    <w:rsid w:val="00B80064"/>
    <w:rsid w:val="00B81E2A"/>
    <w:rsid w:val="00B84499"/>
    <w:rsid w:val="00B84AA4"/>
    <w:rsid w:val="00B8573B"/>
    <w:rsid w:val="00B86DFE"/>
    <w:rsid w:val="00B93284"/>
    <w:rsid w:val="00B94930"/>
    <w:rsid w:val="00B958B6"/>
    <w:rsid w:val="00BA24EF"/>
    <w:rsid w:val="00BA4855"/>
    <w:rsid w:val="00BA6722"/>
    <w:rsid w:val="00BB0605"/>
    <w:rsid w:val="00BB0CCE"/>
    <w:rsid w:val="00BB195F"/>
    <w:rsid w:val="00BB3F21"/>
    <w:rsid w:val="00BB6CE0"/>
    <w:rsid w:val="00BC6BA0"/>
    <w:rsid w:val="00BC6EF3"/>
    <w:rsid w:val="00BC797C"/>
    <w:rsid w:val="00BD0196"/>
    <w:rsid w:val="00BD1342"/>
    <w:rsid w:val="00BD32DC"/>
    <w:rsid w:val="00BD71FE"/>
    <w:rsid w:val="00BE0747"/>
    <w:rsid w:val="00BF18A6"/>
    <w:rsid w:val="00BF1DBB"/>
    <w:rsid w:val="00BF7436"/>
    <w:rsid w:val="00C0091B"/>
    <w:rsid w:val="00C04DFD"/>
    <w:rsid w:val="00C06659"/>
    <w:rsid w:val="00C069EF"/>
    <w:rsid w:val="00C15862"/>
    <w:rsid w:val="00C17B9A"/>
    <w:rsid w:val="00C17EC9"/>
    <w:rsid w:val="00C2088C"/>
    <w:rsid w:val="00C2170D"/>
    <w:rsid w:val="00C223AC"/>
    <w:rsid w:val="00C313A9"/>
    <w:rsid w:val="00C32837"/>
    <w:rsid w:val="00C36912"/>
    <w:rsid w:val="00C411DB"/>
    <w:rsid w:val="00C43EB7"/>
    <w:rsid w:val="00C50A97"/>
    <w:rsid w:val="00C53F4F"/>
    <w:rsid w:val="00C60614"/>
    <w:rsid w:val="00C65301"/>
    <w:rsid w:val="00C65BA7"/>
    <w:rsid w:val="00C67E49"/>
    <w:rsid w:val="00C7618D"/>
    <w:rsid w:val="00C77D90"/>
    <w:rsid w:val="00C82372"/>
    <w:rsid w:val="00C853EC"/>
    <w:rsid w:val="00C86029"/>
    <w:rsid w:val="00C87CE0"/>
    <w:rsid w:val="00C95C24"/>
    <w:rsid w:val="00CA2C4D"/>
    <w:rsid w:val="00CA70AC"/>
    <w:rsid w:val="00CB0444"/>
    <w:rsid w:val="00CB27CC"/>
    <w:rsid w:val="00CB50A9"/>
    <w:rsid w:val="00CB576A"/>
    <w:rsid w:val="00CC07B7"/>
    <w:rsid w:val="00CC4831"/>
    <w:rsid w:val="00CC5D7F"/>
    <w:rsid w:val="00CC79F3"/>
    <w:rsid w:val="00CD0988"/>
    <w:rsid w:val="00CD36C1"/>
    <w:rsid w:val="00CD520E"/>
    <w:rsid w:val="00CD5421"/>
    <w:rsid w:val="00CD6E1E"/>
    <w:rsid w:val="00CE5C31"/>
    <w:rsid w:val="00CE64C0"/>
    <w:rsid w:val="00CE7361"/>
    <w:rsid w:val="00CF37A9"/>
    <w:rsid w:val="00D01310"/>
    <w:rsid w:val="00D030B4"/>
    <w:rsid w:val="00D0367B"/>
    <w:rsid w:val="00D047B8"/>
    <w:rsid w:val="00D06C4D"/>
    <w:rsid w:val="00D22396"/>
    <w:rsid w:val="00D22F4A"/>
    <w:rsid w:val="00D25E32"/>
    <w:rsid w:val="00D26D3D"/>
    <w:rsid w:val="00D272C7"/>
    <w:rsid w:val="00D36797"/>
    <w:rsid w:val="00D37626"/>
    <w:rsid w:val="00D405E8"/>
    <w:rsid w:val="00D40F8B"/>
    <w:rsid w:val="00D410FF"/>
    <w:rsid w:val="00D47743"/>
    <w:rsid w:val="00D47F8D"/>
    <w:rsid w:val="00D5101D"/>
    <w:rsid w:val="00D5511A"/>
    <w:rsid w:val="00D567A2"/>
    <w:rsid w:val="00D70663"/>
    <w:rsid w:val="00D70E50"/>
    <w:rsid w:val="00D70F7D"/>
    <w:rsid w:val="00D74779"/>
    <w:rsid w:val="00D853D7"/>
    <w:rsid w:val="00D903DF"/>
    <w:rsid w:val="00D953ED"/>
    <w:rsid w:val="00DA1B5D"/>
    <w:rsid w:val="00DA3BCA"/>
    <w:rsid w:val="00DA655B"/>
    <w:rsid w:val="00DB32CD"/>
    <w:rsid w:val="00DB67E9"/>
    <w:rsid w:val="00DC02DB"/>
    <w:rsid w:val="00DC033D"/>
    <w:rsid w:val="00DC4EE7"/>
    <w:rsid w:val="00DC5819"/>
    <w:rsid w:val="00DD2215"/>
    <w:rsid w:val="00DD36B7"/>
    <w:rsid w:val="00DD6BC2"/>
    <w:rsid w:val="00DE1284"/>
    <w:rsid w:val="00DE7BA4"/>
    <w:rsid w:val="00DF0551"/>
    <w:rsid w:val="00DF0E05"/>
    <w:rsid w:val="00DF1846"/>
    <w:rsid w:val="00DF4E51"/>
    <w:rsid w:val="00DF4E98"/>
    <w:rsid w:val="00E045A4"/>
    <w:rsid w:val="00E07DDA"/>
    <w:rsid w:val="00E1078C"/>
    <w:rsid w:val="00E13F5A"/>
    <w:rsid w:val="00E15DE5"/>
    <w:rsid w:val="00E16C7A"/>
    <w:rsid w:val="00E17248"/>
    <w:rsid w:val="00E218DF"/>
    <w:rsid w:val="00E2732F"/>
    <w:rsid w:val="00E27352"/>
    <w:rsid w:val="00E308E4"/>
    <w:rsid w:val="00E319AA"/>
    <w:rsid w:val="00E31DDF"/>
    <w:rsid w:val="00E32659"/>
    <w:rsid w:val="00E373C6"/>
    <w:rsid w:val="00E40759"/>
    <w:rsid w:val="00E40D3A"/>
    <w:rsid w:val="00E50CFC"/>
    <w:rsid w:val="00E52CB7"/>
    <w:rsid w:val="00E54994"/>
    <w:rsid w:val="00E55082"/>
    <w:rsid w:val="00E55710"/>
    <w:rsid w:val="00E66922"/>
    <w:rsid w:val="00E715AA"/>
    <w:rsid w:val="00E7641F"/>
    <w:rsid w:val="00E76500"/>
    <w:rsid w:val="00E7773E"/>
    <w:rsid w:val="00E80D11"/>
    <w:rsid w:val="00E834E0"/>
    <w:rsid w:val="00E94F6E"/>
    <w:rsid w:val="00E97D32"/>
    <w:rsid w:val="00EA515A"/>
    <w:rsid w:val="00EA6650"/>
    <w:rsid w:val="00EB16FF"/>
    <w:rsid w:val="00EB1B8C"/>
    <w:rsid w:val="00EB4422"/>
    <w:rsid w:val="00EB5A37"/>
    <w:rsid w:val="00EB6157"/>
    <w:rsid w:val="00ED19CB"/>
    <w:rsid w:val="00ED3C05"/>
    <w:rsid w:val="00ED3FCC"/>
    <w:rsid w:val="00ED5C67"/>
    <w:rsid w:val="00EE0C40"/>
    <w:rsid w:val="00EE5F55"/>
    <w:rsid w:val="00EF47AF"/>
    <w:rsid w:val="00EF52E0"/>
    <w:rsid w:val="00F02403"/>
    <w:rsid w:val="00F024B4"/>
    <w:rsid w:val="00F03099"/>
    <w:rsid w:val="00F075F3"/>
    <w:rsid w:val="00F137AD"/>
    <w:rsid w:val="00F1551D"/>
    <w:rsid w:val="00F15B66"/>
    <w:rsid w:val="00F24EEC"/>
    <w:rsid w:val="00F33EAE"/>
    <w:rsid w:val="00F3479E"/>
    <w:rsid w:val="00F34A11"/>
    <w:rsid w:val="00F4128B"/>
    <w:rsid w:val="00F41B1C"/>
    <w:rsid w:val="00F45200"/>
    <w:rsid w:val="00F50781"/>
    <w:rsid w:val="00F526CC"/>
    <w:rsid w:val="00F56EBF"/>
    <w:rsid w:val="00F61085"/>
    <w:rsid w:val="00F71BF8"/>
    <w:rsid w:val="00F730F5"/>
    <w:rsid w:val="00F76089"/>
    <w:rsid w:val="00F776D7"/>
    <w:rsid w:val="00F81A64"/>
    <w:rsid w:val="00F820F1"/>
    <w:rsid w:val="00F94D13"/>
    <w:rsid w:val="00F97019"/>
    <w:rsid w:val="00FA088F"/>
    <w:rsid w:val="00FA1EC6"/>
    <w:rsid w:val="00FA2E05"/>
    <w:rsid w:val="00FA64D8"/>
    <w:rsid w:val="00FA7D7F"/>
    <w:rsid w:val="00FB2C2B"/>
    <w:rsid w:val="00FB3510"/>
    <w:rsid w:val="00FB3FF8"/>
    <w:rsid w:val="00FC45E9"/>
    <w:rsid w:val="00FC6A9B"/>
    <w:rsid w:val="00FC7815"/>
    <w:rsid w:val="00FD0821"/>
    <w:rsid w:val="00FD53B9"/>
    <w:rsid w:val="00FD62B8"/>
    <w:rsid w:val="00FE20EF"/>
    <w:rsid w:val="00FE55A6"/>
    <w:rsid w:val="00FE7247"/>
    <w:rsid w:val="00FF0660"/>
    <w:rsid w:val="00FF252B"/>
    <w:rsid w:val="00FF4F1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4618F"/>
  <w15:chartTrackingRefBased/>
  <w15:docId w15:val="{2C0BE234-A526-48ED-8A26-F20976E9A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449"/>
    <w:pPr>
      <w:spacing w:after="0" w:line="360" w:lineRule="auto"/>
      <w:jc w:val="both"/>
    </w:pPr>
    <w:rPr>
      <w:rFonts w:ascii="Times New Roman" w:eastAsia="Times New Roman" w:hAnsi="Times New Roman" w:cs="Times New Roman"/>
      <w:sz w:val="24"/>
      <w:szCs w:val="24"/>
      <w:lang w:val="en-GB" w:eastAsia="en-ZA"/>
    </w:rPr>
  </w:style>
  <w:style w:type="paragraph" w:styleId="Heading2">
    <w:name w:val="heading 2"/>
    <w:basedOn w:val="Normal"/>
    <w:next w:val="Normal"/>
    <w:link w:val="Heading2Char"/>
    <w:uiPriority w:val="9"/>
    <w:unhideWhenUsed/>
    <w:qFormat/>
    <w:rsid w:val="00B31AD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A77F5E"/>
    <w:pPr>
      <w:keepNext/>
      <w:outlineLvl w:val="2"/>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182449"/>
    <w:rPr>
      <w:sz w:val="20"/>
      <w:szCs w:val="20"/>
    </w:rPr>
  </w:style>
  <w:style w:type="character" w:customStyle="1" w:styleId="FootnoteTextChar">
    <w:name w:val="Footnote Text Char"/>
    <w:basedOn w:val="DefaultParagraphFont"/>
    <w:link w:val="FootnoteText"/>
    <w:uiPriority w:val="99"/>
    <w:rsid w:val="00182449"/>
    <w:rPr>
      <w:rFonts w:ascii="Times New Roman" w:eastAsia="Times New Roman" w:hAnsi="Times New Roman" w:cs="Times New Roman"/>
      <w:sz w:val="20"/>
      <w:szCs w:val="20"/>
      <w:lang w:val="en-GB" w:eastAsia="en-ZA"/>
    </w:rPr>
  </w:style>
  <w:style w:type="character" w:styleId="FootnoteReference">
    <w:name w:val="footnote reference"/>
    <w:basedOn w:val="DefaultParagraphFont"/>
    <w:uiPriority w:val="99"/>
    <w:semiHidden/>
    <w:unhideWhenUsed/>
    <w:rsid w:val="00182449"/>
    <w:rPr>
      <w:vertAlign w:val="superscript"/>
    </w:rPr>
  </w:style>
  <w:style w:type="paragraph" w:styleId="ListParagraph">
    <w:name w:val="List Paragraph"/>
    <w:basedOn w:val="Normal"/>
    <w:uiPriority w:val="34"/>
    <w:qFormat/>
    <w:rsid w:val="004537DC"/>
    <w:pPr>
      <w:ind w:left="720"/>
      <w:contextualSpacing/>
    </w:pPr>
  </w:style>
  <w:style w:type="character" w:styleId="Hyperlink">
    <w:name w:val="Hyperlink"/>
    <w:basedOn w:val="DefaultParagraphFont"/>
    <w:uiPriority w:val="99"/>
    <w:unhideWhenUsed/>
    <w:rsid w:val="00F526CC"/>
    <w:rPr>
      <w:color w:val="0000FF"/>
      <w:u w:val="single"/>
    </w:rPr>
  </w:style>
  <w:style w:type="character" w:customStyle="1" w:styleId="Heading3Char">
    <w:name w:val="Heading 3 Char"/>
    <w:basedOn w:val="DefaultParagraphFont"/>
    <w:link w:val="Heading3"/>
    <w:rsid w:val="00A77F5E"/>
    <w:rPr>
      <w:rFonts w:ascii="Arial" w:eastAsia="Times New Roman" w:hAnsi="Arial" w:cs="Arial"/>
      <w:i/>
      <w:iCs/>
      <w:sz w:val="28"/>
      <w:szCs w:val="24"/>
      <w:lang w:val="en-GB" w:eastAsia="en-ZA"/>
    </w:rPr>
  </w:style>
  <w:style w:type="character" w:customStyle="1" w:styleId="Heading2Char">
    <w:name w:val="Heading 2 Char"/>
    <w:basedOn w:val="DefaultParagraphFont"/>
    <w:link w:val="Heading2"/>
    <w:uiPriority w:val="9"/>
    <w:rsid w:val="00B31ADE"/>
    <w:rPr>
      <w:rFonts w:asciiTheme="majorHAnsi" w:eastAsiaTheme="majorEastAsia" w:hAnsiTheme="majorHAnsi" w:cstheme="majorBidi"/>
      <w:color w:val="2E74B5" w:themeColor="accent1" w:themeShade="BF"/>
      <w:sz w:val="26"/>
      <w:szCs w:val="26"/>
      <w:lang w:val="en-GB" w:eastAsia="en-ZA"/>
    </w:rPr>
  </w:style>
  <w:style w:type="character" w:styleId="CommentReference">
    <w:name w:val="annotation reference"/>
    <w:basedOn w:val="DefaultParagraphFont"/>
    <w:uiPriority w:val="99"/>
    <w:semiHidden/>
    <w:unhideWhenUsed/>
    <w:rsid w:val="00AC42FF"/>
    <w:rPr>
      <w:sz w:val="16"/>
      <w:szCs w:val="16"/>
    </w:rPr>
  </w:style>
  <w:style w:type="paragraph" w:styleId="CommentText">
    <w:name w:val="annotation text"/>
    <w:basedOn w:val="Normal"/>
    <w:link w:val="CommentTextChar"/>
    <w:uiPriority w:val="99"/>
    <w:unhideWhenUsed/>
    <w:rsid w:val="00AC42FF"/>
    <w:pPr>
      <w:spacing w:line="240" w:lineRule="auto"/>
    </w:pPr>
    <w:rPr>
      <w:sz w:val="20"/>
      <w:szCs w:val="20"/>
    </w:rPr>
  </w:style>
  <w:style w:type="character" w:customStyle="1" w:styleId="CommentTextChar">
    <w:name w:val="Comment Text Char"/>
    <w:basedOn w:val="DefaultParagraphFont"/>
    <w:link w:val="CommentText"/>
    <w:uiPriority w:val="99"/>
    <w:rsid w:val="00AC42FF"/>
    <w:rPr>
      <w:rFonts w:ascii="Times New Roman" w:eastAsia="Times New Roman" w:hAnsi="Times New Roman" w:cs="Times New Roman"/>
      <w:sz w:val="20"/>
      <w:szCs w:val="20"/>
      <w:lang w:val="en-GB" w:eastAsia="en-ZA"/>
    </w:rPr>
  </w:style>
  <w:style w:type="paragraph" w:styleId="CommentSubject">
    <w:name w:val="annotation subject"/>
    <w:basedOn w:val="CommentText"/>
    <w:next w:val="CommentText"/>
    <w:link w:val="CommentSubjectChar"/>
    <w:uiPriority w:val="99"/>
    <w:semiHidden/>
    <w:unhideWhenUsed/>
    <w:rsid w:val="00AC42FF"/>
    <w:rPr>
      <w:b/>
      <w:bCs/>
    </w:rPr>
  </w:style>
  <w:style w:type="character" w:customStyle="1" w:styleId="CommentSubjectChar">
    <w:name w:val="Comment Subject Char"/>
    <w:basedOn w:val="CommentTextChar"/>
    <w:link w:val="CommentSubject"/>
    <w:uiPriority w:val="99"/>
    <w:semiHidden/>
    <w:rsid w:val="00AC42FF"/>
    <w:rPr>
      <w:rFonts w:ascii="Times New Roman" w:eastAsia="Times New Roman" w:hAnsi="Times New Roman" w:cs="Times New Roman"/>
      <w:b/>
      <w:bCs/>
      <w:sz w:val="20"/>
      <w:szCs w:val="20"/>
      <w:lang w:val="en-GB" w:eastAsia="en-ZA"/>
    </w:rPr>
  </w:style>
  <w:style w:type="paragraph" w:styleId="BalloonText">
    <w:name w:val="Balloon Text"/>
    <w:basedOn w:val="Normal"/>
    <w:link w:val="BalloonTextChar"/>
    <w:uiPriority w:val="99"/>
    <w:semiHidden/>
    <w:unhideWhenUsed/>
    <w:rsid w:val="00AC42F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2FF"/>
    <w:rPr>
      <w:rFonts w:ascii="Segoe UI" w:eastAsia="Times New Roman" w:hAnsi="Segoe UI" w:cs="Segoe UI"/>
      <w:sz w:val="18"/>
      <w:szCs w:val="18"/>
      <w:lang w:val="en-GB" w:eastAsia="en-ZA"/>
    </w:rPr>
  </w:style>
  <w:style w:type="paragraph" w:styleId="Revision">
    <w:name w:val="Revision"/>
    <w:hidden/>
    <w:uiPriority w:val="99"/>
    <w:semiHidden/>
    <w:rsid w:val="005C0850"/>
    <w:pPr>
      <w:spacing w:after="0" w:line="240" w:lineRule="auto"/>
    </w:pPr>
    <w:rPr>
      <w:rFonts w:ascii="Times New Roman" w:eastAsia="Times New Roman" w:hAnsi="Times New Roman" w:cs="Times New Roman"/>
      <w:sz w:val="24"/>
      <w:szCs w:val="24"/>
      <w:lang w:val="en-GB" w:eastAsia="en-ZA"/>
    </w:rPr>
  </w:style>
  <w:style w:type="paragraph" w:styleId="Header">
    <w:name w:val="header"/>
    <w:basedOn w:val="Normal"/>
    <w:link w:val="HeaderChar"/>
    <w:uiPriority w:val="99"/>
    <w:unhideWhenUsed/>
    <w:rsid w:val="00D410FF"/>
    <w:pPr>
      <w:tabs>
        <w:tab w:val="center" w:pos="4513"/>
        <w:tab w:val="right" w:pos="9026"/>
      </w:tabs>
      <w:spacing w:line="240" w:lineRule="auto"/>
    </w:pPr>
  </w:style>
  <w:style w:type="character" w:customStyle="1" w:styleId="HeaderChar">
    <w:name w:val="Header Char"/>
    <w:basedOn w:val="DefaultParagraphFont"/>
    <w:link w:val="Header"/>
    <w:uiPriority w:val="99"/>
    <w:rsid w:val="00D410FF"/>
    <w:rPr>
      <w:rFonts w:ascii="Times New Roman" w:eastAsia="Times New Roman" w:hAnsi="Times New Roman" w:cs="Times New Roman"/>
      <w:sz w:val="24"/>
      <w:szCs w:val="24"/>
      <w:lang w:val="en-GB" w:eastAsia="en-ZA"/>
    </w:rPr>
  </w:style>
  <w:style w:type="paragraph" w:styleId="Footer">
    <w:name w:val="footer"/>
    <w:basedOn w:val="Normal"/>
    <w:link w:val="FooterChar"/>
    <w:uiPriority w:val="99"/>
    <w:unhideWhenUsed/>
    <w:rsid w:val="00D410FF"/>
    <w:pPr>
      <w:tabs>
        <w:tab w:val="center" w:pos="4513"/>
        <w:tab w:val="right" w:pos="9026"/>
      </w:tabs>
      <w:spacing w:line="240" w:lineRule="auto"/>
    </w:pPr>
  </w:style>
  <w:style w:type="character" w:customStyle="1" w:styleId="FooterChar">
    <w:name w:val="Footer Char"/>
    <w:basedOn w:val="DefaultParagraphFont"/>
    <w:link w:val="Footer"/>
    <w:uiPriority w:val="99"/>
    <w:rsid w:val="00D410FF"/>
    <w:rPr>
      <w:rFonts w:ascii="Times New Roman" w:eastAsia="Times New Roman" w:hAnsi="Times New Roman" w:cs="Times New Roman"/>
      <w:sz w:val="24"/>
      <w:szCs w:val="24"/>
      <w:lang w:val="en-GB" w:eastAsia="en-ZA"/>
    </w:rPr>
  </w:style>
  <w:style w:type="paragraph" w:styleId="NormalWeb">
    <w:name w:val="Normal (Web)"/>
    <w:basedOn w:val="Normal"/>
    <w:uiPriority w:val="99"/>
    <w:semiHidden/>
    <w:unhideWhenUsed/>
    <w:rsid w:val="00A632A6"/>
  </w:style>
  <w:style w:type="character" w:customStyle="1" w:styleId="UnresolvedMention1">
    <w:name w:val="Unresolved Mention1"/>
    <w:basedOn w:val="DefaultParagraphFont"/>
    <w:uiPriority w:val="99"/>
    <w:semiHidden/>
    <w:unhideWhenUsed/>
    <w:rsid w:val="00A632A6"/>
    <w:rPr>
      <w:color w:val="605E5C"/>
      <w:shd w:val="clear" w:color="auto" w:fill="E1DFDD"/>
    </w:rPr>
  </w:style>
  <w:style w:type="character" w:customStyle="1" w:styleId="UnresolvedMention2">
    <w:name w:val="Unresolved Mention2"/>
    <w:basedOn w:val="DefaultParagraphFont"/>
    <w:uiPriority w:val="99"/>
    <w:semiHidden/>
    <w:unhideWhenUsed/>
    <w:rsid w:val="006D29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69423">
      <w:bodyDiv w:val="1"/>
      <w:marLeft w:val="0"/>
      <w:marRight w:val="0"/>
      <w:marTop w:val="0"/>
      <w:marBottom w:val="0"/>
      <w:divBdr>
        <w:top w:val="none" w:sz="0" w:space="0" w:color="auto"/>
        <w:left w:val="none" w:sz="0" w:space="0" w:color="auto"/>
        <w:bottom w:val="none" w:sz="0" w:space="0" w:color="auto"/>
        <w:right w:val="none" w:sz="0" w:space="0" w:color="auto"/>
      </w:divBdr>
    </w:div>
    <w:div w:id="92823178">
      <w:bodyDiv w:val="1"/>
      <w:marLeft w:val="0"/>
      <w:marRight w:val="0"/>
      <w:marTop w:val="0"/>
      <w:marBottom w:val="0"/>
      <w:divBdr>
        <w:top w:val="none" w:sz="0" w:space="0" w:color="auto"/>
        <w:left w:val="none" w:sz="0" w:space="0" w:color="auto"/>
        <w:bottom w:val="none" w:sz="0" w:space="0" w:color="auto"/>
        <w:right w:val="none" w:sz="0" w:space="0" w:color="auto"/>
      </w:divBdr>
    </w:div>
    <w:div w:id="319579586">
      <w:bodyDiv w:val="1"/>
      <w:marLeft w:val="0"/>
      <w:marRight w:val="0"/>
      <w:marTop w:val="0"/>
      <w:marBottom w:val="0"/>
      <w:divBdr>
        <w:top w:val="none" w:sz="0" w:space="0" w:color="auto"/>
        <w:left w:val="none" w:sz="0" w:space="0" w:color="auto"/>
        <w:bottom w:val="none" w:sz="0" w:space="0" w:color="auto"/>
        <w:right w:val="none" w:sz="0" w:space="0" w:color="auto"/>
      </w:divBdr>
    </w:div>
    <w:div w:id="443311342">
      <w:bodyDiv w:val="1"/>
      <w:marLeft w:val="0"/>
      <w:marRight w:val="0"/>
      <w:marTop w:val="0"/>
      <w:marBottom w:val="0"/>
      <w:divBdr>
        <w:top w:val="none" w:sz="0" w:space="0" w:color="auto"/>
        <w:left w:val="none" w:sz="0" w:space="0" w:color="auto"/>
        <w:bottom w:val="none" w:sz="0" w:space="0" w:color="auto"/>
        <w:right w:val="none" w:sz="0" w:space="0" w:color="auto"/>
      </w:divBdr>
    </w:div>
    <w:div w:id="522670134">
      <w:bodyDiv w:val="1"/>
      <w:marLeft w:val="0"/>
      <w:marRight w:val="0"/>
      <w:marTop w:val="0"/>
      <w:marBottom w:val="0"/>
      <w:divBdr>
        <w:top w:val="none" w:sz="0" w:space="0" w:color="auto"/>
        <w:left w:val="none" w:sz="0" w:space="0" w:color="auto"/>
        <w:bottom w:val="none" w:sz="0" w:space="0" w:color="auto"/>
        <w:right w:val="none" w:sz="0" w:space="0" w:color="auto"/>
      </w:divBdr>
    </w:div>
    <w:div w:id="635599275">
      <w:bodyDiv w:val="1"/>
      <w:marLeft w:val="0"/>
      <w:marRight w:val="0"/>
      <w:marTop w:val="0"/>
      <w:marBottom w:val="0"/>
      <w:divBdr>
        <w:top w:val="none" w:sz="0" w:space="0" w:color="auto"/>
        <w:left w:val="none" w:sz="0" w:space="0" w:color="auto"/>
        <w:bottom w:val="none" w:sz="0" w:space="0" w:color="auto"/>
        <w:right w:val="none" w:sz="0" w:space="0" w:color="auto"/>
      </w:divBdr>
    </w:div>
    <w:div w:id="937254371">
      <w:bodyDiv w:val="1"/>
      <w:marLeft w:val="0"/>
      <w:marRight w:val="0"/>
      <w:marTop w:val="0"/>
      <w:marBottom w:val="0"/>
      <w:divBdr>
        <w:top w:val="none" w:sz="0" w:space="0" w:color="auto"/>
        <w:left w:val="none" w:sz="0" w:space="0" w:color="auto"/>
        <w:bottom w:val="none" w:sz="0" w:space="0" w:color="auto"/>
        <w:right w:val="none" w:sz="0" w:space="0" w:color="auto"/>
      </w:divBdr>
    </w:div>
    <w:div w:id="1384987316">
      <w:bodyDiv w:val="1"/>
      <w:marLeft w:val="0"/>
      <w:marRight w:val="0"/>
      <w:marTop w:val="0"/>
      <w:marBottom w:val="0"/>
      <w:divBdr>
        <w:top w:val="none" w:sz="0" w:space="0" w:color="auto"/>
        <w:left w:val="none" w:sz="0" w:space="0" w:color="auto"/>
        <w:bottom w:val="none" w:sz="0" w:space="0" w:color="auto"/>
        <w:right w:val="none" w:sz="0" w:space="0" w:color="auto"/>
      </w:divBdr>
    </w:div>
    <w:div w:id="1386486316">
      <w:bodyDiv w:val="1"/>
      <w:marLeft w:val="0"/>
      <w:marRight w:val="0"/>
      <w:marTop w:val="0"/>
      <w:marBottom w:val="0"/>
      <w:divBdr>
        <w:top w:val="none" w:sz="0" w:space="0" w:color="auto"/>
        <w:left w:val="none" w:sz="0" w:space="0" w:color="auto"/>
        <w:bottom w:val="none" w:sz="0" w:space="0" w:color="auto"/>
        <w:right w:val="none" w:sz="0" w:space="0" w:color="auto"/>
      </w:divBdr>
    </w:div>
    <w:div w:id="204637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aflii.org/za/legis/consol_act/sca2013224/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flii.org/za/legis/consol_act/sca2013224/index.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flii.org/za/legis/consol_act/sca2013224/index.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aflii.org/za/legis/consol_act/sca2013224/index.html" TargetMode="External"/><Relationship Id="rId4" Type="http://schemas.openxmlformats.org/officeDocument/2006/relationships/settings" Target="settings.xml"/><Relationship Id="rId9" Type="http://schemas.openxmlformats.org/officeDocument/2006/relationships/hyperlink" Target="http://www.saflii.org/za/legis/consol_act/sca2013224/index.html"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saflii.org/cgi-bin/LawCite?cit=1914%20AD%202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D686E-58FC-4C74-BE30-58BEDE04C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15</Pages>
  <Words>4330</Words>
  <Characters>24686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Judge-V Ponnan</dc:creator>
  <cp:keywords/>
  <dc:description/>
  <cp:lastModifiedBy>Gabrielle Jordaan</cp:lastModifiedBy>
  <cp:revision>5</cp:revision>
  <cp:lastPrinted>2024-06-06T14:07:00Z</cp:lastPrinted>
  <dcterms:created xsi:type="dcterms:W3CDTF">2024-06-06T12:56:00Z</dcterms:created>
  <dcterms:modified xsi:type="dcterms:W3CDTF">2024-06-06T14:07:00Z</dcterms:modified>
</cp:coreProperties>
</file>