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81FBD" w14:textId="77777777" w:rsidR="005F6989" w:rsidRDefault="005F6989" w:rsidP="005F6989">
      <w:pPr>
        <w:rPr>
          <w:color w:val="FF0000"/>
          <w:u w:val="single"/>
          <w:lang w:eastAsia="en-ZA"/>
        </w:rPr>
      </w:pPr>
      <w:r>
        <w:rPr>
          <w:rFonts w:ascii="Arial" w:hAnsi="Arial" w:cs="Arial"/>
          <w:color w:val="FF0000"/>
        </w:rPr>
        <w:t>Editorial note: Certain information has been redacted from this judgment in compliance with the law.</w:t>
      </w:r>
    </w:p>
    <w:p w14:paraId="7F69D8FE" w14:textId="77777777" w:rsidR="00644C3F" w:rsidRPr="00615057" w:rsidRDefault="00644C3F" w:rsidP="00644C3F">
      <w:pPr>
        <w:spacing w:line="360" w:lineRule="auto"/>
        <w:jc w:val="center"/>
        <w:rPr>
          <w:b/>
          <w:bCs/>
          <w:sz w:val="28"/>
          <w:szCs w:val="28"/>
          <w:lang w:val="en-GB" w:eastAsia="en-US"/>
        </w:rPr>
      </w:pPr>
      <w:r w:rsidRPr="00615057">
        <w:rPr>
          <w:b/>
          <w:bCs/>
          <w:noProof/>
          <w:sz w:val="28"/>
          <w:szCs w:val="28"/>
          <w:lang w:eastAsia="en-ZA"/>
        </w:rPr>
        <w:drawing>
          <wp:anchor distT="0" distB="0" distL="114300" distR="114300" simplePos="0" relativeHeight="251659264" behindDoc="1" locked="0" layoutInCell="1" allowOverlap="1" wp14:anchorId="5A2AF233" wp14:editId="3C9A818B">
            <wp:simplePos x="0" y="0"/>
            <wp:positionH relativeFrom="column">
              <wp:posOffset>2400300</wp:posOffset>
            </wp:positionH>
            <wp:positionV relativeFrom="paragraph">
              <wp:posOffset>47625</wp:posOffset>
            </wp:positionV>
            <wp:extent cx="804545" cy="914400"/>
            <wp:effectExtent l="0" t="0" r="0" b="0"/>
            <wp:wrapTight wrapText="bothSides">
              <wp:wrapPolygon edited="0">
                <wp:start x="0" y="0"/>
                <wp:lineTo x="0" y="21150"/>
                <wp:lineTo x="20969" y="21150"/>
                <wp:lineTo x="209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pic:spPr>
                </pic:pic>
              </a:graphicData>
            </a:graphic>
          </wp:anchor>
        </w:drawing>
      </w:r>
    </w:p>
    <w:p w14:paraId="1AB68B1A" w14:textId="77777777" w:rsidR="00644C3F" w:rsidRPr="00615057" w:rsidRDefault="00644C3F" w:rsidP="00644C3F">
      <w:pPr>
        <w:spacing w:line="360" w:lineRule="auto"/>
        <w:jc w:val="center"/>
        <w:rPr>
          <w:b/>
          <w:bCs/>
          <w:sz w:val="28"/>
          <w:szCs w:val="28"/>
          <w:lang w:val="en-GB" w:eastAsia="en-US"/>
        </w:rPr>
      </w:pPr>
    </w:p>
    <w:p w14:paraId="68031D9D" w14:textId="77777777" w:rsidR="00644C3F" w:rsidRPr="00615057" w:rsidRDefault="00644C3F" w:rsidP="00644C3F">
      <w:pPr>
        <w:spacing w:line="360" w:lineRule="auto"/>
        <w:jc w:val="center"/>
        <w:rPr>
          <w:b/>
          <w:bCs/>
          <w:sz w:val="28"/>
          <w:szCs w:val="28"/>
          <w:lang w:val="en-GB" w:eastAsia="en-US"/>
        </w:rPr>
      </w:pPr>
    </w:p>
    <w:p w14:paraId="5A940093" w14:textId="77777777" w:rsidR="00644C3F" w:rsidRPr="00615057" w:rsidRDefault="00644C3F" w:rsidP="00644C3F">
      <w:pPr>
        <w:spacing w:line="276" w:lineRule="auto"/>
        <w:jc w:val="center"/>
        <w:rPr>
          <w:b/>
          <w:bCs/>
          <w:sz w:val="28"/>
          <w:szCs w:val="28"/>
          <w:lang w:val="en-GB" w:eastAsia="en-US"/>
        </w:rPr>
      </w:pPr>
    </w:p>
    <w:p w14:paraId="7AE700DC" w14:textId="77777777" w:rsidR="00644C3F" w:rsidRPr="00615057" w:rsidRDefault="00644C3F" w:rsidP="00644C3F">
      <w:pPr>
        <w:spacing w:line="276" w:lineRule="auto"/>
        <w:jc w:val="center"/>
        <w:rPr>
          <w:b/>
          <w:bCs/>
          <w:sz w:val="28"/>
          <w:szCs w:val="28"/>
          <w:lang w:val="en-GB" w:eastAsia="en-US"/>
        </w:rPr>
      </w:pPr>
      <w:r w:rsidRPr="00615057">
        <w:rPr>
          <w:b/>
          <w:bCs/>
          <w:sz w:val="28"/>
          <w:szCs w:val="28"/>
          <w:lang w:val="en-GB" w:eastAsia="en-US"/>
        </w:rPr>
        <w:t>THE SUPREME COURT OF APPEAL OF SOUTH AFRICA</w:t>
      </w:r>
    </w:p>
    <w:p w14:paraId="0B18E2A0" w14:textId="77777777" w:rsidR="00644C3F" w:rsidRPr="00615057" w:rsidRDefault="00644C3F" w:rsidP="00644C3F">
      <w:pPr>
        <w:keepNext/>
        <w:spacing w:line="276" w:lineRule="auto"/>
        <w:jc w:val="center"/>
        <w:outlineLvl w:val="2"/>
        <w:rPr>
          <w:b/>
          <w:iCs/>
          <w:sz w:val="28"/>
          <w:szCs w:val="28"/>
          <w:lang w:val="en-GB" w:eastAsia="en-US"/>
        </w:rPr>
      </w:pPr>
      <w:r w:rsidRPr="00615057">
        <w:rPr>
          <w:b/>
          <w:iCs/>
          <w:sz w:val="28"/>
          <w:szCs w:val="28"/>
          <w:lang w:val="en-GB" w:eastAsia="en-US"/>
        </w:rPr>
        <w:t>JUDGMENT</w:t>
      </w:r>
    </w:p>
    <w:p w14:paraId="54BABA6A" w14:textId="5D25A62C" w:rsidR="00644C3F" w:rsidRPr="00615057" w:rsidRDefault="00644C3F" w:rsidP="00E02808">
      <w:pPr>
        <w:keepNext/>
        <w:spacing w:line="276" w:lineRule="auto"/>
        <w:ind w:left="5760"/>
        <w:jc w:val="right"/>
        <w:outlineLvl w:val="2"/>
        <w:rPr>
          <w:b/>
          <w:iCs/>
          <w:sz w:val="28"/>
          <w:szCs w:val="28"/>
          <w:lang w:val="en-GB" w:eastAsia="en-US"/>
        </w:rPr>
      </w:pPr>
      <w:r w:rsidRPr="00615057">
        <w:rPr>
          <w:b/>
          <w:sz w:val="28"/>
          <w:szCs w:val="28"/>
          <w:lang w:val="en-GB" w:eastAsia="en-US"/>
        </w:rPr>
        <w:tab/>
        <w:t xml:space="preserve">                                                                                                                                                                                                                                                   Reportable</w:t>
      </w:r>
      <w:r w:rsidR="00E02808">
        <w:rPr>
          <w:b/>
          <w:sz w:val="28"/>
          <w:szCs w:val="28"/>
          <w:lang w:val="en-GB" w:eastAsia="en-US"/>
        </w:rPr>
        <w:t xml:space="preserve"> </w:t>
      </w:r>
      <w:r w:rsidRPr="00615057">
        <w:rPr>
          <w:b/>
          <w:sz w:val="28"/>
          <w:szCs w:val="28"/>
          <w:lang w:val="en-GB" w:eastAsia="en-US"/>
        </w:rPr>
        <w:t xml:space="preserve">                                               </w:t>
      </w:r>
    </w:p>
    <w:p w14:paraId="1A8E4762" w14:textId="77777777" w:rsidR="00644C3F" w:rsidRPr="00615057" w:rsidRDefault="00644C3F" w:rsidP="00644C3F">
      <w:pPr>
        <w:spacing w:line="276" w:lineRule="auto"/>
        <w:jc w:val="right"/>
        <w:rPr>
          <w:sz w:val="28"/>
          <w:szCs w:val="28"/>
          <w:lang w:val="en-GB" w:eastAsia="en-US"/>
        </w:rPr>
      </w:pPr>
      <w:r w:rsidRPr="00615057">
        <w:rPr>
          <w:sz w:val="28"/>
          <w:szCs w:val="28"/>
          <w:lang w:val="en-GB" w:eastAsia="en-US"/>
        </w:rPr>
        <w:t xml:space="preserve">                              Case no: 356/2023</w:t>
      </w:r>
    </w:p>
    <w:p w14:paraId="5F552A08" w14:textId="77777777" w:rsidR="00644C3F" w:rsidRPr="00615057" w:rsidRDefault="00644C3F" w:rsidP="00644C3F">
      <w:pPr>
        <w:spacing w:line="360" w:lineRule="auto"/>
        <w:rPr>
          <w:sz w:val="28"/>
          <w:szCs w:val="28"/>
          <w:lang w:val="en-GB" w:eastAsia="en-US"/>
        </w:rPr>
      </w:pPr>
    </w:p>
    <w:p w14:paraId="613A4DEB" w14:textId="77777777" w:rsidR="00644C3F" w:rsidRPr="00615057" w:rsidRDefault="00644C3F" w:rsidP="00644C3F">
      <w:pPr>
        <w:spacing w:line="360" w:lineRule="auto"/>
        <w:rPr>
          <w:sz w:val="28"/>
          <w:szCs w:val="28"/>
          <w:lang w:val="en-GB" w:eastAsia="en-US"/>
        </w:rPr>
      </w:pPr>
      <w:r w:rsidRPr="00615057">
        <w:rPr>
          <w:sz w:val="28"/>
          <w:szCs w:val="28"/>
          <w:lang w:val="en-GB" w:eastAsia="en-US"/>
        </w:rPr>
        <w:t>In the matter between:</w:t>
      </w:r>
    </w:p>
    <w:p w14:paraId="14CC287C" w14:textId="77777777" w:rsidR="00644C3F" w:rsidRPr="00615057" w:rsidRDefault="00644C3F" w:rsidP="00644C3F">
      <w:pPr>
        <w:spacing w:line="360" w:lineRule="auto"/>
        <w:rPr>
          <w:sz w:val="28"/>
          <w:szCs w:val="28"/>
          <w:lang w:val="en-GB" w:eastAsia="en-US"/>
        </w:rPr>
      </w:pPr>
    </w:p>
    <w:p w14:paraId="7739D70A" w14:textId="71C93F0E" w:rsidR="00644C3F" w:rsidRPr="00615057" w:rsidRDefault="00644C3F" w:rsidP="00644C3F">
      <w:pPr>
        <w:spacing w:line="360" w:lineRule="auto"/>
        <w:rPr>
          <w:b/>
          <w:sz w:val="28"/>
          <w:szCs w:val="28"/>
          <w:lang w:val="en-GB" w:eastAsia="en-US"/>
        </w:rPr>
      </w:pPr>
      <w:r w:rsidRPr="00615057">
        <w:rPr>
          <w:b/>
          <w:bCs/>
          <w:caps/>
          <w:sz w:val="28"/>
          <w:szCs w:val="28"/>
          <w:lang w:val="en-GB" w:eastAsia="en-US"/>
        </w:rPr>
        <w:t>K</w:t>
      </w:r>
      <w:r w:rsidR="00D301E2" w:rsidRPr="00615057">
        <w:rPr>
          <w:b/>
          <w:bCs/>
          <w:caps/>
          <w:sz w:val="28"/>
          <w:szCs w:val="28"/>
          <w:lang w:val="en-GB" w:eastAsia="en-US"/>
        </w:rPr>
        <w:t>SL</w:t>
      </w:r>
      <w:r w:rsidRPr="00615057">
        <w:rPr>
          <w:b/>
          <w:bCs/>
          <w:caps/>
          <w:sz w:val="28"/>
          <w:szCs w:val="28"/>
          <w:lang w:val="en-GB" w:eastAsia="en-US"/>
        </w:rPr>
        <w:tab/>
      </w:r>
      <w:r w:rsidRPr="00615057">
        <w:rPr>
          <w:b/>
          <w:bCs/>
          <w:caps/>
          <w:sz w:val="28"/>
          <w:szCs w:val="28"/>
          <w:lang w:val="en-GB" w:eastAsia="en-US"/>
        </w:rPr>
        <w:tab/>
      </w:r>
      <w:r w:rsidRPr="00615057">
        <w:rPr>
          <w:b/>
          <w:bCs/>
          <w:caps/>
          <w:sz w:val="28"/>
          <w:szCs w:val="28"/>
          <w:lang w:val="en-GB" w:eastAsia="en-US"/>
        </w:rPr>
        <w:tab/>
      </w:r>
      <w:r w:rsidRPr="00615057">
        <w:rPr>
          <w:b/>
          <w:bCs/>
          <w:caps/>
          <w:sz w:val="28"/>
          <w:szCs w:val="28"/>
          <w:lang w:val="en-GB" w:eastAsia="en-US"/>
        </w:rPr>
        <w:tab/>
        <w:t xml:space="preserve">           </w:t>
      </w:r>
      <w:r w:rsidR="00B60CB9" w:rsidRPr="00615057">
        <w:rPr>
          <w:b/>
          <w:bCs/>
          <w:caps/>
          <w:sz w:val="28"/>
          <w:szCs w:val="28"/>
          <w:lang w:val="en-GB" w:eastAsia="en-US"/>
        </w:rPr>
        <w:t xml:space="preserve">                                                   </w:t>
      </w:r>
      <w:r w:rsidRPr="00615057">
        <w:rPr>
          <w:b/>
          <w:bCs/>
          <w:caps/>
          <w:sz w:val="28"/>
          <w:szCs w:val="28"/>
          <w:lang w:val="en-GB" w:eastAsia="en-US"/>
        </w:rPr>
        <w:t xml:space="preserve"> </w:t>
      </w:r>
      <w:r w:rsidRPr="00615057">
        <w:rPr>
          <w:b/>
          <w:sz w:val="28"/>
          <w:szCs w:val="28"/>
          <w:lang w:val="en-GB" w:eastAsia="en-US"/>
        </w:rPr>
        <w:t>APPELLANT</w:t>
      </w:r>
    </w:p>
    <w:p w14:paraId="00FB8B1B" w14:textId="77777777" w:rsidR="00644C3F" w:rsidRPr="00615057" w:rsidRDefault="00644C3F" w:rsidP="00644C3F">
      <w:pPr>
        <w:spacing w:line="360" w:lineRule="auto"/>
        <w:rPr>
          <w:b/>
          <w:sz w:val="28"/>
          <w:szCs w:val="28"/>
          <w:lang w:val="en-GB" w:eastAsia="en-US"/>
        </w:rPr>
      </w:pPr>
    </w:p>
    <w:p w14:paraId="4D1430A6" w14:textId="77777777" w:rsidR="00644C3F" w:rsidRPr="00615057" w:rsidRDefault="00644C3F" w:rsidP="00644C3F">
      <w:pPr>
        <w:spacing w:line="360" w:lineRule="auto"/>
        <w:rPr>
          <w:sz w:val="28"/>
          <w:szCs w:val="28"/>
          <w:lang w:val="en-GB" w:eastAsia="en-US"/>
        </w:rPr>
      </w:pPr>
      <w:r w:rsidRPr="00615057">
        <w:rPr>
          <w:sz w:val="28"/>
          <w:szCs w:val="28"/>
          <w:lang w:val="en-GB" w:eastAsia="en-US"/>
        </w:rPr>
        <w:t>and</w:t>
      </w:r>
    </w:p>
    <w:p w14:paraId="1A9B1FBC" w14:textId="77777777" w:rsidR="00644C3F" w:rsidRPr="00615057" w:rsidRDefault="00644C3F" w:rsidP="00644C3F">
      <w:pPr>
        <w:spacing w:line="360" w:lineRule="auto"/>
        <w:rPr>
          <w:sz w:val="28"/>
          <w:szCs w:val="28"/>
          <w:lang w:val="en-GB" w:eastAsia="en-US"/>
        </w:rPr>
      </w:pPr>
    </w:p>
    <w:p w14:paraId="4C1D1C8E" w14:textId="142BDCFB" w:rsidR="00644C3F" w:rsidRPr="00615057" w:rsidRDefault="00644C3F" w:rsidP="00644C3F">
      <w:pPr>
        <w:spacing w:line="360" w:lineRule="auto"/>
        <w:rPr>
          <w:b/>
          <w:bCs/>
          <w:sz w:val="28"/>
          <w:szCs w:val="28"/>
          <w:lang w:val="en-GB" w:eastAsia="en-US"/>
        </w:rPr>
      </w:pPr>
      <w:r w:rsidRPr="00615057">
        <w:rPr>
          <w:b/>
          <w:bCs/>
          <w:sz w:val="28"/>
          <w:szCs w:val="28"/>
          <w:lang w:val="en-GB" w:eastAsia="en-US"/>
        </w:rPr>
        <w:t>A</w:t>
      </w:r>
      <w:r w:rsidR="00D301E2" w:rsidRPr="00615057">
        <w:rPr>
          <w:b/>
          <w:bCs/>
          <w:sz w:val="28"/>
          <w:szCs w:val="28"/>
          <w:lang w:val="en-GB" w:eastAsia="en-US"/>
        </w:rPr>
        <w:t>L</w:t>
      </w:r>
      <w:r w:rsidRPr="00615057">
        <w:rPr>
          <w:b/>
          <w:bCs/>
          <w:sz w:val="28"/>
          <w:szCs w:val="28"/>
          <w:lang w:val="en-GB" w:eastAsia="en-US"/>
        </w:rPr>
        <w:tab/>
      </w:r>
      <w:r w:rsidRPr="00615057">
        <w:rPr>
          <w:b/>
          <w:bCs/>
          <w:sz w:val="28"/>
          <w:szCs w:val="28"/>
          <w:lang w:val="en-GB" w:eastAsia="en-US"/>
        </w:rPr>
        <w:tab/>
        <w:t xml:space="preserve">                                                 </w:t>
      </w:r>
      <w:r w:rsidR="00B60CB9" w:rsidRPr="00615057">
        <w:rPr>
          <w:b/>
          <w:bCs/>
          <w:sz w:val="28"/>
          <w:szCs w:val="28"/>
          <w:lang w:val="en-GB" w:eastAsia="en-US"/>
        </w:rPr>
        <w:t xml:space="preserve">                               </w:t>
      </w:r>
      <w:r w:rsidRPr="00615057">
        <w:rPr>
          <w:b/>
          <w:bCs/>
          <w:sz w:val="28"/>
          <w:szCs w:val="28"/>
          <w:lang w:val="en-GB" w:eastAsia="en-US"/>
        </w:rPr>
        <w:t xml:space="preserve"> </w:t>
      </w:r>
      <w:r w:rsidRPr="00615057">
        <w:rPr>
          <w:b/>
          <w:sz w:val="28"/>
          <w:szCs w:val="28"/>
          <w:lang w:val="en-GB" w:eastAsia="en-US"/>
        </w:rPr>
        <w:t>RESPONDENT</w:t>
      </w:r>
    </w:p>
    <w:p w14:paraId="13DD4257" w14:textId="77777777" w:rsidR="00644C3F" w:rsidRPr="00615057" w:rsidRDefault="00644C3F" w:rsidP="00644C3F">
      <w:pPr>
        <w:spacing w:line="360" w:lineRule="auto"/>
        <w:rPr>
          <w:sz w:val="28"/>
          <w:szCs w:val="28"/>
          <w:lang w:val="en-GB" w:eastAsia="en-US"/>
        </w:rPr>
      </w:pPr>
    </w:p>
    <w:p w14:paraId="2A46B369" w14:textId="27C5A7F9" w:rsidR="00644C3F" w:rsidRPr="00615057" w:rsidRDefault="00644C3F" w:rsidP="00E02808">
      <w:pPr>
        <w:spacing w:line="360" w:lineRule="auto"/>
        <w:ind w:left="2127" w:hanging="2127"/>
        <w:jc w:val="both"/>
        <w:rPr>
          <w:bCs/>
          <w:sz w:val="28"/>
          <w:szCs w:val="28"/>
          <w:lang w:val="en-GB" w:eastAsia="en-US"/>
        </w:rPr>
      </w:pPr>
      <w:r w:rsidRPr="00615057">
        <w:rPr>
          <w:b/>
          <w:bCs/>
          <w:sz w:val="28"/>
          <w:szCs w:val="28"/>
          <w:lang w:val="en-GB" w:eastAsia="en-US"/>
        </w:rPr>
        <w:t>Neutral citation:</w:t>
      </w:r>
      <w:r w:rsidRPr="00615057">
        <w:rPr>
          <w:b/>
          <w:bCs/>
          <w:sz w:val="28"/>
          <w:szCs w:val="28"/>
          <w:lang w:val="en-GB" w:eastAsia="en-US"/>
        </w:rPr>
        <w:tab/>
      </w:r>
      <w:r w:rsidR="00D301E2" w:rsidRPr="00615057">
        <w:rPr>
          <w:i/>
          <w:iCs/>
          <w:sz w:val="28"/>
          <w:szCs w:val="28"/>
          <w:lang w:val="en-GB" w:eastAsia="en-US"/>
        </w:rPr>
        <w:t>KS</w:t>
      </w:r>
      <w:r w:rsidRPr="00615057">
        <w:rPr>
          <w:i/>
          <w:iCs/>
          <w:sz w:val="28"/>
          <w:szCs w:val="28"/>
          <w:lang w:val="en-GB" w:eastAsia="en-US"/>
        </w:rPr>
        <w:t>L</w:t>
      </w:r>
      <w:r w:rsidRPr="00615057">
        <w:rPr>
          <w:bCs/>
          <w:i/>
          <w:sz w:val="28"/>
          <w:szCs w:val="28"/>
          <w:lang w:val="en-GB" w:eastAsia="en-US"/>
        </w:rPr>
        <w:t xml:space="preserve"> v</w:t>
      </w:r>
      <w:bookmarkStart w:id="0" w:name="_Hlk129533023"/>
      <w:r w:rsidRPr="00615057">
        <w:rPr>
          <w:bCs/>
          <w:i/>
          <w:sz w:val="28"/>
          <w:szCs w:val="28"/>
          <w:lang w:val="en-GB" w:eastAsia="en-US"/>
        </w:rPr>
        <w:t xml:space="preserve"> </w:t>
      </w:r>
      <w:r w:rsidR="00D301E2" w:rsidRPr="00615057">
        <w:rPr>
          <w:bCs/>
          <w:i/>
          <w:sz w:val="28"/>
          <w:szCs w:val="28"/>
          <w:lang w:val="en-GB" w:eastAsia="en-US"/>
        </w:rPr>
        <w:t>A</w:t>
      </w:r>
      <w:r w:rsidRPr="00615057">
        <w:rPr>
          <w:bCs/>
          <w:i/>
          <w:sz w:val="28"/>
          <w:szCs w:val="28"/>
          <w:lang w:val="en-GB" w:eastAsia="en-US"/>
        </w:rPr>
        <w:t xml:space="preserve">L </w:t>
      </w:r>
      <w:bookmarkEnd w:id="0"/>
      <w:r w:rsidRPr="00615057">
        <w:rPr>
          <w:bCs/>
          <w:sz w:val="28"/>
          <w:szCs w:val="28"/>
          <w:lang w:val="en-GB" w:eastAsia="en-US"/>
        </w:rPr>
        <w:t xml:space="preserve">(Case no 356/2023) [2024] ZASCA </w:t>
      </w:r>
      <w:r w:rsidR="001377BD">
        <w:rPr>
          <w:bCs/>
          <w:sz w:val="28"/>
          <w:szCs w:val="28"/>
          <w:lang w:val="en-GB" w:eastAsia="en-US"/>
        </w:rPr>
        <w:t>96</w:t>
      </w:r>
      <w:r w:rsidRPr="00615057">
        <w:rPr>
          <w:bCs/>
          <w:sz w:val="28"/>
          <w:szCs w:val="28"/>
          <w:lang w:val="en-GB" w:eastAsia="en-US"/>
        </w:rPr>
        <w:t xml:space="preserve"> </w:t>
      </w:r>
      <w:r w:rsidR="001377BD">
        <w:rPr>
          <w:bCs/>
          <w:sz w:val="28"/>
          <w:szCs w:val="28"/>
          <w:lang w:val="en-GB" w:eastAsia="en-US"/>
        </w:rPr>
        <w:t xml:space="preserve">                      </w:t>
      </w:r>
      <w:r w:rsidRPr="00615057">
        <w:rPr>
          <w:bCs/>
          <w:sz w:val="28"/>
          <w:szCs w:val="28"/>
          <w:lang w:val="en-GB" w:eastAsia="en-US"/>
        </w:rPr>
        <w:t>(</w:t>
      </w:r>
      <w:r w:rsidR="001377BD">
        <w:rPr>
          <w:bCs/>
          <w:sz w:val="28"/>
          <w:szCs w:val="28"/>
          <w:lang w:val="en-GB" w:eastAsia="en-US"/>
        </w:rPr>
        <w:t>13</w:t>
      </w:r>
      <w:r w:rsidR="00C45C70">
        <w:rPr>
          <w:bCs/>
          <w:sz w:val="28"/>
          <w:szCs w:val="28"/>
          <w:lang w:val="en-GB" w:eastAsia="en-US"/>
        </w:rPr>
        <w:t xml:space="preserve"> June</w:t>
      </w:r>
      <w:r w:rsidR="002E497C" w:rsidRPr="00615057">
        <w:rPr>
          <w:bCs/>
          <w:sz w:val="28"/>
          <w:szCs w:val="28"/>
          <w:lang w:val="en-GB" w:eastAsia="en-US"/>
        </w:rPr>
        <w:t xml:space="preserve"> </w:t>
      </w:r>
      <w:r w:rsidRPr="00615057">
        <w:rPr>
          <w:bCs/>
          <w:sz w:val="28"/>
          <w:szCs w:val="28"/>
          <w:lang w:val="en-GB" w:eastAsia="en-US"/>
        </w:rPr>
        <w:t>2024)</w:t>
      </w:r>
    </w:p>
    <w:p w14:paraId="755D98A3" w14:textId="77777777" w:rsidR="00644C3F" w:rsidRPr="00615057" w:rsidRDefault="00644C3F" w:rsidP="00644C3F">
      <w:pPr>
        <w:spacing w:line="360" w:lineRule="auto"/>
        <w:ind w:left="1440" w:hanging="1440"/>
        <w:jc w:val="both"/>
        <w:rPr>
          <w:sz w:val="28"/>
          <w:szCs w:val="28"/>
          <w:lang w:val="en-GB" w:eastAsia="en-US"/>
        </w:rPr>
      </w:pPr>
      <w:r w:rsidRPr="00615057">
        <w:rPr>
          <w:b/>
          <w:bCs/>
          <w:sz w:val="28"/>
          <w:szCs w:val="28"/>
          <w:lang w:val="en-GB" w:eastAsia="en-US"/>
        </w:rPr>
        <w:t>Coram:</w:t>
      </w:r>
      <w:r w:rsidRPr="00615057">
        <w:rPr>
          <w:sz w:val="28"/>
          <w:szCs w:val="28"/>
          <w:lang w:val="en-GB" w:eastAsia="en-US"/>
        </w:rPr>
        <w:tab/>
      </w:r>
      <w:bookmarkStart w:id="1" w:name="_Hlk129161140"/>
      <w:bookmarkStart w:id="2" w:name="_Hlk129516596"/>
      <w:r w:rsidRPr="00615057">
        <w:rPr>
          <w:sz w:val="28"/>
          <w:szCs w:val="28"/>
          <w:lang w:val="en-GB" w:eastAsia="en-US"/>
        </w:rPr>
        <w:t>ZONDI, MOKGOHLOA, and MABINDLA-BOQWANA JJA</w:t>
      </w:r>
    </w:p>
    <w:bookmarkEnd w:id="1"/>
    <w:bookmarkEnd w:id="2"/>
    <w:p w14:paraId="22B588B9" w14:textId="77777777" w:rsidR="00644C3F" w:rsidRPr="00615057" w:rsidRDefault="00644C3F" w:rsidP="00644C3F">
      <w:pPr>
        <w:spacing w:line="360" w:lineRule="auto"/>
        <w:ind w:left="1418" w:hanging="1418"/>
        <w:rPr>
          <w:sz w:val="28"/>
          <w:szCs w:val="28"/>
          <w:lang w:eastAsia="en-US"/>
        </w:rPr>
      </w:pPr>
      <w:r w:rsidRPr="00615057">
        <w:rPr>
          <w:b/>
          <w:bCs/>
          <w:sz w:val="28"/>
          <w:szCs w:val="28"/>
          <w:lang w:val="en-GB" w:eastAsia="en-US"/>
        </w:rPr>
        <w:t>Heard</w:t>
      </w:r>
      <w:r w:rsidRPr="00615057">
        <w:rPr>
          <w:sz w:val="28"/>
          <w:szCs w:val="28"/>
          <w:lang w:val="en-GB" w:eastAsia="en-US"/>
        </w:rPr>
        <w:t>:</w:t>
      </w:r>
      <w:r w:rsidRPr="00615057">
        <w:rPr>
          <w:sz w:val="28"/>
          <w:szCs w:val="28"/>
          <w:lang w:val="en-GB" w:eastAsia="en-US"/>
        </w:rPr>
        <w:tab/>
      </w:r>
      <w:r w:rsidRPr="00615057">
        <w:rPr>
          <w:sz w:val="28"/>
          <w:szCs w:val="28"/>
          <w:lang w:eastAsia="en-US"/>
        </w:rPr>
        <w:t>27 February 2024</w:t>
      </w:r>
    </w:p>
    <w:p w14:paraId="294ADD14" w14:textId="5020533F" w:rsidR="00644C3F" w:rsidRPr="00615057" w:rsidRDefault="00644C3F" w:rsidP="00E02808">
      <w:pPr>
        <w:spacing w:line="360" w:lineRule="auto"/>
        <w:rPr>
          <w:sz w:val="28"/>
          <w:szCs w:val="28"/>
          <w:lang w:val="en-GB" w:eastAsia="en-US"/>
        </w:rPr>
      </w:pPr>
      <w:r w:rsidRPr="00615057">
        <w:rPr>
          <w:b/>
          <w:bCs/>
          <w:sz w:val="28"/>
          <w:szCs w:val="28"/>
          <w:lang w:val="en-GB" w:eastAsia="en-US"/>
        </w:rPr>
        <w:t>Delivered</w:t>
      </w:r>
      <w:r w:rsidRPr="00615057">
        <w:rPr>
          <w:sz w:val="28"/>
          <w:szCs w:val="28"/>
          <w:lang w:val="en-GB" w:eastAsia="en-US"/>
        </w:rPr>
        <w:t>:</w:t>
      </w:r>
      <w:r w:rsidRPr="00615057">
        <w:rPr>
          <w:sz w:val="28"/>
          <w:szCs w:val="28"/>
          <w:lang w:val="en-GB" w:eastAsia="en-US"/>
        </w:rPr>
        <w:tab/>
      </w:r>
      <w:r w:rsidR="00C54E91" w:rsidRPr="00615057">
        <w:rPr>
          <w:sz w:val="28"/>
          <w:szCs w:val="28"/>
          <w:lang w:val="en-GB" w:eastAsia="en-US"/>
        </w:rPr>
        <w:t xml:space="preserve">The judgment was handed down electronically by circulation to the parties’ representatives by email, publication on the Supreme Court of Appeal website and release to SAFLII. The date and time for hand-down is deemed to be </w:t>
      </w:r>
      <w:r w:rsidR="001377BD">
        <w:rPr>
          <w:sz w:val="28"/>
          <w:szCs w:val="28"/>
          <w:lang w:val="en-GB" w:eastAsia="en-US"/>
        </w:rPr>
        <w:t xml:space="preserve">13 June 2024 at </w:t>
      </w:r>
      <w:r w:rsidR="00E51B64">
        <w:rPr>
          <w:sz w:val="28"/>
          <w:szCs w:val="28"/>
          <w:lang w:val="en-GB" w:eastAsia="en-US"/>
        </w:rPr>
        <w:t>11</w:t>
      </w:r>
      <w:r w:rsidR="00C54E91" w:rsidRPr="00615057">
        <w:rPr>
          <w:sz w:val="28"/>
          <w:szCs w:val="28"/>
          <w:lang w:val="en-GB" w:eastAsia="en-US"/>
        </w:rPr>
        <w:t>h</w:t>
      </w:r>
      <w:r w:rsidR="00E51B64">
        <w:rPr>
          <w:sz w:val="28"/>
          <w:szCs w:val="28"/>
          <w:lang w:val="en-GB" w:eastAsia="en-US"/>
        </w:rPr>
        <w:t>00</w:t>
      </w:r>
      <w:r w:rsidR="001377BD">
        <w:rPr>
          <w:sz w:val="28"/>
          <w:szCs w:val="28"/>
          <w:lang w:val="en-GB" w:eastAsia="en-US"/>
        </w:rPr>
        <w:t>.</w:t>
      </w:r>
    </w:p>
    <w:p w14:paraId="08D9107E" w14:textId="3529AECF" w:rsidR="00C54E91" w:rsidRPr="00615057" w:rsidRDefault="00644C3F" w:rsidP="00C54E91">
      <w:pPr>
        <w:shd w:val="clear" w:color="auto" w:fill="FFFFFF"/>
        <w:tabs>
          <w:tab w:val="left" w:pos="900"/>
        </w:tabs>
        <w:spacing w:line="360" w:lineRule="auto"/>
        <w:jc w:val="both"/>
        <w:rPr>
          <w:bCs/>
          <w:sz w:val="28"/>
          <w:szCs w:val="28"/>
          <w:lang w:val="en-GB" w:eastAsia="en-US"/>
        </w:rPr>
      </w:pPr>
      <w:r w:rsidRPr="00615057">
        <w:rPr>
          <w:b/>
          <w:bCs/>
          <w:sz w:val="28"/>
          <w:szCs w:val="28"/>
          <w:lang w:val="en-GB" w:eastAsia="en-US"/>
        </w:rPr>
        <w:t>Summary:</w:t>
      </w:r>
      <w:r w:rsidRPr="00615057">
        <w:rPr>
          <w:b/>
          <w:bCs/>
          <w:sz w:val="28"/>
          <w:szCs w:val="28"/>
          <w:lang w:val="en-GB" w:eastAsia="en-US"/>
        </w:rPr>
        <w:tab/>
      </w:r>
      <w:r w:rsidRPr="00615057">
        <w:rPr>
          <w:bCs/>
          <w:sz w:val="28"/>
          <w:szCs w:val="28"/>
          <w:lang w:val="en-GB" w:eastAsia="en-US"/>
        </w:rPr>
        <w:t>Civil procedure</w:t>
      </w:r>
      <w:r w:rsidR="001377BD">
        <w:rPr>
          <w:bCs/>
          <w:sz w:val="28"/>
          <w:szCs w:val="28"/>
          <w:lang w:val="en-GB" w:eastAsia="en-US"/>
        </w:rPr>
        <w:t xml:space="preserve"> – anti-dissipation interdict –</w:t>
      </w:r>
      <w:r w:rsidRPr="00615057">
        <w:rPr>
          <w:bCs/>
          <w:sz w:val="28"/>
          <w:szCs w:val="28"/>
          <w:lang w:val="en-GB" w:eastAsia="en-US"/>
        </w:rPr>
        <w:t xml:space="preserve"> whether requirements </w:t>
      </w:r>
      <w:r w:rsidR="00E02808">
        <w:rPr>
          <w:bCs/>
          <w:sz w:val="28"/>
          <w:szCs w:val="28"/>
          <w:lang w:val="en-GB" w:eastAsia="en-US"/>
        </w:rPr>
        <w:t>for</w:t>
      </w:r>
      <w:r w:rsidRPr="00615057">
        <w:rPr>
          <w:bCs/>
          <w:sz w:val="28"/>
          <w:szCs w:val="28"/>
          <w:lang w:val="en-GB" w:eastAsia="en-US"/>
        </w:rPr>
        <w:t xml:space="preserve"> an interim anti-dissipation interdict </w:t>
      </w:r>
      <w:r w:rsidR="00A0218C" w:rsidRPr="00615057">
        <w:rPr>
          <w:bCs/>
          <w:sz w:val="28"/>
          <w:szCs w:val="28"/>
          <w:lang w:val="en-GB" w:eastAsia="en-US"/>
        </w:rPr>
        <w:t>are</w:t>
      </w:r>
      <w:r w:rsidR="00F60FAD" w:rsidRPr="00615057">
        <w:rPr>
          <w:bCs/>
          <w:sz w:val="28"/>
          <w:szCs w:val="28"/>
          <w:lang w:val="en-GB" w:eastAsia="en-US"/>
        </w:rPr>
        <w:t xml:space="preserve"> satisfied </w:t>
      </w:r>
      <w:r w:rsidRPr="00615057">
        <w:rPr>
          <w:bCs/>
          <w:sz w:val="28"/>
          <w:szCs w:val="28"/>
          <w:lang w:val="en-GB" w:eastAsia="en-US"/>
        </w:rPr>
        <w:t>–</w:t>
      </w:r>
      <w:r w:rsidR="00F60FAD" w:rsidRPr="00615057">
        <w:rPr>
          <w:bCs/>
          <w:sz w:val="28"/>
          <w:szCs w:val="28"/>
          <w:lang w:val="en-GB" w:eastAsia="en-US"/>
        </w:rPr>
        <w:t xml:space="preserve"> whether intention </w:t>
      </w:r>
      <w:r w:rsidR="00015354" w:rsidRPr="00615057">
        <w:rPr>
          <w:bCs/>
          <w:sz w:val="28"/>
          <w:szCs w:val="28"/>
          <w:lang w:val="en-GB" w:eastAsia="en-US"/>
        </w:rPr>
        <w:t xml:space="preserve">is </w:t>
      </w:r>
      <w:r w:rsidR="00F60FAD" w:rsidRPr="00615057">
        <w:rPr>
          <w:bCs/>
          <w:sz w:val="28"/>
          <w:szCs w:val="28"/>
          <w:lang w:val="en-GB" w:eastAsia="en-US"/>
        </w:rPr>
        <w:t xml:space="preserve">a </w:t>
      </w:r>
      <w:r w:rsidR="00F60FAD" w:rsidRPr="00615057">
        <w:rPr>
          <w:bCs/>
          <w:sz w:val="28"/>
          <w:szCs w:val="28"/>
          <w:lang w:val="en-GB" w:eastAsia="en-US"/>
        </w:rPr>
        <w:lastRenderedPageBreak/>
        <w:t xml:space="preserve">requirement or a lesser threshold </w:t>
      </w:r>
      <w:r w:rsidR="00E02808">
        <w:rPr>
          <w:bCs/>
          <w:sz w:val="28"/>
          <w:szCs w:val="28"/>
          <w:lang w:val="en-GB" w:eastAsia="en-US"/>
        </w:rPr>
        <w:t xml:space="preserve">is </w:t>
      </w:r>
      <w:r w:rsidR="00F60FAD" w:rsidRPr="00615057">
        <w:rPr>
          <w:bCs/>
          <w:sz w:val="28"/>
          <w:szCs w:val="28"/>
          <w:lang w:val="en-GB" w:eastAsia="en-US"/>
        </w:rPr>
        <w:t xml:space="preserve">applicable – an interim interdict appealable in the interest of justice. </w:t>
      </w:r>
    </w:p>
    <w:p w14:paraId="2016656F" w14:textId="25D9A91A" w:rsidR="00644C3F" w:rsidRPr="00615057" w:rsidRDefault="00644C3F" w:rsidP="00644C3F">
      <w:pPr>
        <w:pBdr>
          <w:bottom w:val="single" w:sz="12" w:space="1" w:color="auto"/>
        </w:pBdr>
        <w:shd w:val="clear" w:color="auto" w:fill="FFFFFF"/>
        <w:tabs>
          <w:tab w:val="left" w:pos="8295"/>
        </w:tabs>
        <w:jc w:val="both"/>
        <w:rPr>
          <w:bCs/>
          <w:sz w:val="28"/>
          <w:szCs w:val="28"/>
          <w:lang w:val="en-US"/>
        </w:rPr>
      </w:pPr>
    </w:p>
    <w:p w14:paraId="163E0D66" w14:textId="77777777" w:rsidR="00644C3F" w:rsidRPr="00615057" w:rsidRDefault="00644C3F" w:rsidP="00644C3F">
      <w:pPr>
        <w:rPr>
          <w:sz w:val="28"/>
          <w:szCs w:val="28"/>
          <w:lang w:val="en-GB" w:eastAsia="en-US"/>
        </w:rPr>
      </w:pPr>
    </w:p>
    <w:p w14:paraId="6594ACC3" w14:textId="77777777" w:rsidR="00644C3F" w:rsidRPr="00615057" w:rsidRDefault="00644C3F" w:rsidP="00644C3F">
      <w:pPr>
        <w:keepNext/>
        <w:jc w:val="center"/>
        <w:outlineLvl w:val="2"/>
        <w:rPr>
          <w:b/>
          <w:iCs/>
          <w:sz w:val="28"/>
          <w:szCs w:val="28"/>
          <w:lang w:val="en-GB" w:eastAsia="en-US"/>
        </w:rPr>
      </w:pPr>
      <w:r w:rsidRPr="00615057">
        <w:rPr>
          <w:b/>
          <w:iCs/>
          <w:sz w:val="28"/>
          <w:szCs w:val="28"/>
          <w:lang w:val="en-GB" w:eastAsia="en-US"/>
        </w:rPr>
        <w:t>ORDER</w:t>
      </w:r>
    </w:p>
    <w:p w14:paraId="13B4A336" w14:textId="77777777" w:rsidR="00644C3F" w:rsidRPr="00615057" w:rsidRDefault="00644C3F" w:rsidP="00644C3F">
      <w:pPr>
        <w:pBdr>
          <w:bottom w:val="single" w:sz="12" w:space="1" w:color="auto"/>
        </w:pBdr>
        <w:shd w:val="clear" w:color="auto" w:fill="FFFFFF"/>
        <w:tabs>
          <w:tab w:val="left" w:pos="8295"/>
        </w:tabs>
        <w:jc w:val="both"/>
        <w:rPr>
          <w:bCs/>
          <w:sz w:val="28"/>
          <w:szCs w:val="28"/>
          <w:lang w:val="en-US"/>
        </w:rPr>
      </w:pPr>
    </w:p>
    <w:p w14:paraId="2A965770" w14:textId="2A3906B0" w:rsidR="00A2014B" w:rsidRPr="00615057" w:rsidRDefault="00644C3F" w:rsidP="00E02808">
      <w:pPr>
        <w:spacing w:line="360" w:lineRule="auto"/>
        <w:rPr>
          <w:bCs/>
          <w:sz w:val="28"/>
          <w:szCs w:val="28"/>
          <w:lang w:val="en-GB" w:eastAsia="en-US"/>
        </w:rPr>
      </w:pPr>
      <w:r w:rsidRPr="00615057">
        <w:rPr>
          <w:b/>
          <w:bCs/>
          <w:sz w:val="28"/>
          <w:szCs w:val="28"/>
          <w:lang w:val="en-GB" w:eastAsia="en-US"/>
        </w:rPr>
        <w:t xml:space="preserve">On appeal from: </w:t>
      </w:r>
      <w:r w:rsidRPr="00615057">
        <w:rPr>
          <w:bCs/>
          <w:sz w:val="28"/>
          <w:szCs w:val="28"/>
          <w:lang w:val="en-GB" w:eastAsia="en-US"/>
        </w:rPr>
        <w:t>Gauteng Division of the High Court, Pretoria (Van der Schyff J</w:t>
      </w:r>
      <w:r w:rsidR="00F60FAD" w:rsidRPr="00615057">
        <w:rPr>
          <w:bCs/>
          <w:sz w:val="28"/>
          <w:szCs w:val="28"/>
          <w:lang w:val="en-GB" w:eastAsia="en-US"/>
        </w:rPr>
        <w:t>,</w:t>
      </w:r>
      <w:r w:rsidRPr="00615057">
        <w:rPr>
          <w:bCs/>
          <w:sz w:val="28"/>
          <w:szCs w:val="28"/>
          <w:lang w:val="en-GB" w:eastAsia="en-US"/>
        </w:rPr>
        <w:t xml:space="preserve"> sitting as court of first instance):</w:t>
      </w:r>
    </w:p>
    <w:p w14:paraId="44DB3967" w14:textId="000ADE7D" w:rsidR="007E43CA" w:rsidRPr="00615057" w:rsidRDefault="00CF3D83" w:rsidP="00E02808">
      <w:pPr>
        <w:spacing w:line="360" w:lineRule="auto"/>
        <w:jc w:val="both"/>
        <w:rPr>
          <w:bCs/>
          <w:sz w:val="28"/>
          <w:szCs w:val="28"/>
          <w:lang w:val="en-GB" w:eastAsia="en-US"/>
        </w:rPr>
      </w:pPr>
      <w:r w:rsidRPr="00615057">
        <w:rPr>
          <w:bCs/>
          <w:sz w:val="28"/>
          <w:szCs w:val="28"/>
          <w:lang w:val="en-GB" w:eastAsia="en-US"/>
        </w:rPr>
        <w:t xml:space="preserve">1. </w:t>
      </w:r>
      <w:r w:rsidR="007E43CA" w:rsidRPr="00615057">
        <w:rPr>
          <w:bCs/>
          <w:sz w:val="28"/>
          <w:szCs w:val="28"/>
          <w:lang w:val="en-GB" w:eastAsia="en-US"/>
        </w:rPr>
        <w:t>The application to submit further evidence is dismissed with costs.</w:t>
      </w:r>
    </w:p>
    <w:p w14:paraId="1143CC8F" w14:textId="5ED0D12A" w:rsidR="00644C3F" w:rsidRPr="00615057" w:rsidRDefault="007E43CA" w:rsidP="00E02808">
      <w:pPr>
        <w:spacing w:line="360" w:lineRule="auto"/>
        <w:ind w:left="284" w:hanging="284"/>
        <w:jc w:val="both"/>
        <w:rPr>
          <w:bCs/>
          <w:sz w:val="28"/>
          <w:szCs w:val="28"/>
          <w:lang w:val="en-GB" w:eastAsia="en-US"/>
        </w:rPr>
      </w:pPr>
      <w:r w:rsidRPr="00615057">
        <w:rPr>
          <w:bCs/>
          <w:sz w:val="28"/>
          <w:szCs w:val="28"/>
          <w:lang w:val="en-GB" w:eastAsia="en-US"/>
        </w:rPr>
        <w:t xml:space="preserve">2. </w:t>
      </w:r>
      <w:r w:rsidR="00644C3F" w:rsidRPr="00615057">
        <w:rPr>
          <w:bCs/>
          <w:sz w:val="28"/>
          <w:szCs w:val="28"/>
          <w:lang w:val="en-GB" w:eastAsia="en-US"/>
        </w:rPr>
        <w:t xml:space="preserve">The appeal is upheld with costs, such costs limited to </w:t>
      </w:r>
      <w:r w:rsidR="00A2014B" w:rsidRPr="00615057">
        <w:rPr>
          <w:bCs/>
          <w:sz w:val="28"/>
          <w:szCs w:val="28"/>
          <w:lang w:val="en-GB" w:eastAsia="en-US"/>
        </w:rPr>
        <w:t xml:space="preserve">the </w:t>
      </w:r>
      <w:r w:rsidR="00776528">
        <w:rPr>
          <w:bCs/>
          <w:sz w:val="28"/>
          <w:szCs w:val="28"/>
          <w:lang w:val="en-GB" w:eastAsia="en-US"/>
        </w:rPr>
        <w:t xml:space="preserve">costs of one </w:t>
      </w:r>
      <w:r w:rsidR="00644C3F" w:rsidRPr="00615057">
        <w:rPr>
          <w:bCs/>
          <w:sz w:val="28"/>
          <w:szCs w:val="28"/>
          <w:lang w:val="en-GB" w:eastAsia="en-US"/>
        </w:rPr>
        <w:t>counsel.</w:t>
      </w:r>
    </w:p>
    <w:p w14:paraId="710B5001" w14:textId="649DCEF9" w:rsidR="00644C3F" w:rsidRPr="00615057" w:rsidRDefault="007E43CA" w:rsidP="0022461F">
      <w:pPr>
        <w:spacing w:line="360" w:lineRule="auto"/>
        <w:ind w:left="284" w:hanging="284"/>
        <w:jc w:val="both"/>
        <w:rPr>
          <w:bCs/>
          <w:sz w:val="28"/>
          <w:szCs w:val="28"/>
          <w:lang w:val="en-GB" w:eastAsia="en-US"/>
        </w:rPr>
      </w:pPr>
      <w:r w:rsidRPr="00615057">
        <w:rPr>
          <w:bCs/>
          <w:sz w:val="28"/>
          <w:szCs w:val="28"/>
          <w:lang w:val="en-GB" w:eastAsia="en-US"/>
        </w:rPr>
        <w:t>3</w:t>
      </w:r>
      <w:r w:rsidR="00CF3D83" w:rsidRPr="00615057">
        <w:rPr>
          <w:bCs/>
          <w:sz w:val="28"/>
          <w:szCs w:val="28"/>
          <w:lang w:val="en-GB" w:eastAsia="en-US"/>
        </w:rPr>
        <w:t xml:space="preserve">. </w:t>
      </w:r>
      <w:r w:rsidR="00644C3F" w:rsidRPr="00615057">
        <w:rPr>
          <w:bCs/>
          <w:sz w:val="28"/>
          <w:szCs w:val="28"/>
          <w:lang w:val="en-GB" w:eastAsia="en-US"/>
        </w:rPr>
        <w:t xml:space="preserve">Paragraphs 5 and 6 of </w:t>
      </w:r>
      <w:r w:rsidR="00A2014B" w:rsidRPr="00615057">
        <w:rPr>
          <w:bCs/>
          <w:sz w:val="28"/>
          <w:szCs w:val="28"/>
          <w:lang w:val="en-GB" w:eastAsia="en-US"/>
        </w:rPr>
        <w:t>the</w:t>
      </w:r>
      <w:r w:rsidR="00644C3F" w:rsidRPr="00615057">
        <w:rPr>
          <w:bCs/>
          <w:sz w:val="28"/>
          <w:szCs w:val="28"/>
          <w:lang w:val="en-GB" w:eastAsia="en-US"/>
        </w:rPr>
        <w:t xml:space="preserve"> order</w:t>
      </w:r>
      <w:r w:rsidR="00A2014B" w:rsidRPr="00615057">
        <w:rPr>
          <w:bCs/>
          <w:sz w:val="28"/>
          <w:szCs w:val="28"/>
          <w:lang w:val="en-GB" w:eastAsia="en-US"/>
        </w:rPr>
        <w:t xml:space="preserve"> of the high court </w:t>
      </w:r>
      <w:r w:rsidR="00644C3F" w:rsidRPr="00615057">
        <w:rPr>
          <w:bCs/>
          <w:sz w:val="28"/>
          <w:szCs w:val="28"/>
          <w:lang w:val="en-GB" w:eastAsia="en-US"/>
        </w:rPr>
        <w:t>are set aside and replaced</w:t>
      </w:r>
      <w:r w:rsidR="00776528">
        <w:rPr>
          <w:bCs/>
          <w:sz w:val="28"/>
          <w:szCs w:val="28"/>
          <w:lang w:val="en-GB" w:eastAsia="en-US"/>
        </w:rPr>
        <w:t xml:space="preserve"> with </w:t>
      </w:r>
      <w:r w:rsidR="00644C3F" w:rsidRPr="00615057">
        <w:rPr>
          <w:bCs/>
          <w:sz w:val="28"/>
          <w:szCs w:val="28"/>
          <w:lang w:val="en-GB" w:eastAsia="en-US"/>
        </w:rPr>
        <w:t>the following:</w:t>
      </w:r>
    </w:p>
    <w:p w14:paraId="5A093032" w14:textId="77777777" w:rsidR="00644C3F" w:rsidRPr="00615057" w:rsidRDefault="00644C3F" w:rsidP="00FF3018">
      <w:pPr>
        <w:spacing w:line="360" w:lineRule="auto"/>
        <w:jc w:val="both"/>
        <w:rPr>
          <w:bCs/>
          <w:sz w:val="28"/>
          <w:szCs w:val="28"/>
          <w:lang w:val="en-GB" w:eastAsia="en-US"/>
        </w:rPr>
      </w:pPr>
      <w:r w:rsidRPr="00615057">
        <w:rPr>
          <w:bCs/>
          <w:sz w:val="28"/>
          <w:szCs w:val="28"/>
          <w:lang w:val="en-GB" w:eastAsia="en-US"/>
        </w:rPr>
        <w:t>‘The anti-dissipation application is dismissed with costs.’</w:t>
      </w:r>
    </w:p>
    <w:p w14:paraId="36EE0A6A" w14:textId="77777777" w:rsidR="007A444A" w:rsidRPr="00615057" w:rsidRDefault="007A444A" w:rsidP="007A444A">
      <w:pPr>
        <w:pBdr>
          <w:bottom w:val="single" w:sz="12" w:space="1" w:color="auto"/>
        </w:pBdr>
        <w:shd w:val="clear" w:color="auto" w:fill="FFFFFF"/>
        <w:tabs>
          <w:tab w:val="left" w:pos="8295"/>
        </w:tabs>
        <w:jc w:val="both"/>
        <w:rPr>
          <w:bCs/>
          <w:sz w:val="28"/>
          <w:szCs w:val="28"/>
          <w:lang w:val="en-US"/>
        </w:rPr>
      </w:pPr>
      <w:r w:rsidRPr="00615057">
        <w:rPr>
          <w:bCs/>
          <w:sz w:val="28"/>
          <w:szCs w:val="28"/>
          <w:lang w:val="en-US"/>
        </w:rPr>
        <w:tab/>
      </w:r>
    </w:p>
    <w:p w14:paraId="6512483E" w14:textId="77777777" w:rsidR="007A444A" w:rsidRPr="00615057" w:rsidRDefault="007A444A" w:rsidP="007A444A">
      <w:pPr>
        <w:rPr>
          <w:sz w:val="28"/>
          <w:szCs w:val="28"/>
          <w:lang w:val="en-GB" w:eastAsia="en-US"/>
        </w:rPr>
      </w:pPr>
    </w:p>
    <w:p w14:paraId="096A5429" w14:textId="6C44FEC6" w:rsidR="007A444A" w:rsidRPr="00615057" w:rsidRDefault="007A444A" w:rsidP="007A444A">
      <w:pPr>
        <w:keepNext/>
        <w:jc w:val="center"/>
        <w:outlineLvl w:val="2"/>
        <w:rPr>
          <w:b/>
          <w:iCs/>
          <w:sz w:val="28"/>
          <w:szCs w:val="28"/>
          <w:lang w:val="en-GB" w:eastAsia="en-US"/>
        </w:rPr>
      </w:pPr>
      <w:r>
        <w:rPr>
          <w:b/>
          <w:iCs/>
          <w:sz w:val="28"/>
          <w:szCs w:val="28"/>
          <w:lang w:val="en-GB" w:eastAsia="en-US"/>
        </w:rPr>
        <w:t>JUDGMENT</w:t>
      </w:r>
    </w:p>
    <w:p w14:paraId="4F2B5002" w14:textId="77777777" w:rsidR="007A444A" w:rsidRPr="00615057" w:rsidRDefault="007A444A" w:rsidP="00306FEC">
      <w:pPr>
        <w:pBdr>
          <w:bottom w:val="single" w:sz="12" w:space="1" w:color="auto"/>
        </w:pBdr>
        <w:shd w:val="clear" w:color="auto" w:fill="FFFFFF"/>
        <w:tabs>
          <w:tab w:val="left" w:pos="8295"/>
        </w:tabs>
        <w:jc w:val="both"/>
        <w:rPr>
          <w:bCs/>
          <w:sz w:val="28"/>
          <w:szCs w:val="28"/>
          <w:lang w:val="en-US"/>
        </w:rPr>
      </w:pPr>
    </w:p>
    <w:p w14:paraId="0B4CE518" w14:textId="66E1CF1E" w:rsidR="00644C3F" w:rsidRDefault="00644C3F" w:rsidP="00E02808">
      <w:pPr>
        <w:spacing w:line="360" w:lineRule="auto"/>
        <w:jc w:val="both"/>
        <w:rPr>
          <w:b/>
          <w:bCs/>
          <w:sz w:val="28"/>
          <w:szCs w:val="28"/>
          <w:lang w:val="en-GB"/>
        </w:rPr>
      </w:pPr>
      <w:r w:rsidRPr="00615057">
        <w:rPr>
          <w:b/>
          <w:bCs/>
          <w:sz w:val="28"/>
          <w:szCs w:val="28"/>
          <w:lang w:val="en-GB"/>
        </w:rPr>
        <w:t>Mokgohloa JA (</w:t>
      </w:r>
      <w:r w:rsidR="00E02808">
        <w:rPr>
          <w:b/>
          <w:bCs/>
          <w:sz w:val="28"/>
          <w:szCs w:val="28"/>
          <w:lang w:val="en-GB"/>
        </w:rPr>
        <w:t xml:space="preserve">Zondi and Mabindla-Boqwana JJA </w:t>
      </w:r>
      <w:r w:rsidRPr="00615057">
        <w:rPr>
          <w:b/>
          <w:bCs/>
          <w:sz w:val="28"/>
          <w:szCs w:val="28"/>
          <w:lang w:val="en-GB"/>
        </w:rPr>
        <w:t>concurring):</w:t>
      </w:r>
    </w:p>
    <w:p w14:paraId="46BE32B1" w14:textId="77777777" w:rsidR="0077545B" w:rsidRPr="00615057" w:rsidRDefault="0077545B" w:rsidP="00E02808">
      <w:pPr>
        <w:spacing w:line="360" w:lineRule="auto"/>
        <w:jc w:val="both"/>
        <w:rPr>
          <w:b/>
          <w:bCs/>
          <w:sz w:val="28"/>
          <w:szCs w:val="28"/>
          <w:lang w:val="en-GB"/>
        </w:rPr>
      </w:pPr>
    </w:p>
    <w:p w14:paraId="5A907AA5" w14:textId="77777777" w:rsidR="00644C3F" w:rsidRPr="00615057" w:rsidRDefault="00644C3F" w:rsidP="00E02808">
      <w:pPr>
        <w:spacing w:line="360" w:lineRule="auto"/>
        <w:jc w:val="both"/>
        <w:rPr>
          <w:b/>
          <w:bCs/>
          <w:sz w:val="28"/>
          <w:szCs w:val="28"/>
          <w:lang w:val="en-GB"/>
        </w:rPr>
      </w:pPr>
      <w:r w:rsidRPr="00615057">
        <w:rPr>
          <w:b/>
          <w:bCs/>
          <w:sz w:val="28"/>
          <w:szCs w:val="28"/>
          <w:lang w:val="en-GB"/>
        </w:rPr>
        <w:t>Introduction</w:t>
      </w:r>
    </w:p>
    <w:p w14:paraId="5167529E" w14:textId="77777777" w:rsidR="00E91704" w:rsidRDefault="00644C3F" w:rsidP="00682B65">
      <w:pPr>
        <w:spacing w:line="360" w:lineRule="auto"/>
        <w:jc w:val="both"/>
        <w:rPr>
          <w:sz w:val="28"/>
          <w:szCs w:val="28"/>
          <w:lang w:val="en-US"/>
        </w:rPr>
      </w:pPr>
      <w:r w:rsidRPr="00615057">
        <w:rPr>
          <w:sz w:val="28"/>
          <w:szCs w:val="28"/>
          <w:lang w:val="en-US"/>
        </w:rPr>
        <w:t>[1]</w:t>
      </w:r>
      <w:r w:rsidRPr="00615057">
        <w:rPr>
          <w:sz w:val="28"/>
          <w:szCs w:val="28"/>
          <w:lang w:val="en-US"/>
        </w:rPr>
        <w:tab/>
        <w:t>The issues for determination i</w:t>
      </w:r>
      <w:r w:rsidR="00E02808">
        <w:rPr>
          <w:sz w:val="28"/>
          <w:szCs w:val="28"/>
          <w:lang w:val="en-US"/>
        </w:rPr>
        <w:t>n</w:t>
      </w:r>
    </w:p>
    <w:p w14:paraId="73BDF8A9" w14:textId="7FD3A13D" w:rsidR="00644C3F" w:rsidRPr="00615057" w:rsidRDefault="00644C3F" w:rsidP="00682B65">
      <w:pPr>
        <w:spacing w:line="360" w:lineRule="auto"/>
        <w:jc w:val="both"/>
        <w:rPr>
          <w:sz w:val="28"/>
          <w:szCs w:val="28"/>
          <w:lang w:val="en-US"/>
        </w:rPr>
      </w:pPr>
      <w:r w:rsidRPr="00615057">
        <w:rPr>
          <w:sz w:val="28"/>
          <w:szCs w:val="28"/>
          <w:lang w:val="en-US"/>
        </w:rPr>
        <w:t xml:space="preserve"> this appeal are threefold. First, whether the respondent succeeded in establishing the requirements of an interim interdict in her application for an anti-dissipation order. Second, whether the high court applied the correct legal principle</w:t>
      </w:r>
      <w:r w:rsidR="00E91704">
        <w:rPr>
          <w:sz w:val="28"/>
          <w:szCs w:val="28"/>
          <w:lang w:val="en-US"/>
        </w:rPr>
        <w:t>s</w:t>
      </w:r>
      <w:r w:rsidRPr="00615057">
        <w:rPr>
          <w:sz w:val="28"/>
          <w:szCs w:val="28"/>
          <w:lang w:val="en-US"/>
        </w:rPr>
        <w:t xml:space="preserve"> pertaining to the order granted. Third, whether an interim interdict order is appealable.</w:t>
      </w:r>
    </w:p>
    <w:p w14:paraId="59F95ABD" w14:textId="77777777" w:rsidR="00644C3F" w:rsidRPr="00615057" w:rsidRDefault="00644C3F" w:rsidP="00C70B62">
      <w:pPr>
        <w:spacing w:line="360" w:lineRule="auto"/>
        <w:jc w:val="both"/>
        <w:rPr>
          <w:sz w:val="28"/>
          <w:szCs w:val="28"/>
          <w:lang w:val="en-US"/>
        </w:rPr>
      </w:pPr>
    </w:p>
    <w:p w14:paraId="4E1ADB80" w14:textId="77777777" w:rsidR="00644C3F" w:rsidRPr="00615057" w:rsidRDefault="00644C3F">
      <w:pPr>
        <w:spacing w:line="360" w:lineRule="auto"/>
        <w:jc w:val="both"/>
        <w:rPr>
          <w:b/>
          <w:sz w:val="28"/>
          <w:szCs w:val="28"/>
          <w:lang w:val="en-US"/>
        </w:rPr>
      </w:pPr>
      <w:r w:rsidRPr="00615057">
        <w:rPr>
          <w:b/>
          <w:sz w:val="28"/>
          <w:szCs w:val="28"/>
          <w:lang w:val="en-US"/>
        </w:rPr>
        <w:t>The facts</w:t>
      </w:r>
    </w:p>
    <w:p w14:paraId="7763AB58" w14:textId="67BCEC8A" w:rsidR="00644C3F" w:rsidRPr="00615057" w:rsidRDefault="00644C3F" w:rsidP="00644C3F">
      <w:pPr>
        <w:spacing w:line="360" w:lineRule="auto"/>
        <w:jc w:val="both"/>
        <w:rPr>
          <w:sz w:val="28"/>
          <w:szCs w:val="28"/>
        </w:rPr>
      </w:pPr>
      <w:r w:rsidRPr="00615057">
        <w:rPr>
          <w:sz w:val="28"/>
          <w:szCs w:val="28"/>
        </w:rPr>
        <w:t>[2]</w:t>
      </w:r>
      <w:r w:rsidRPr="00615057">
        <w:rPr>
          <w:sz w:val="28"/>
          <w:szCs w:val="28"/>
        </w:rPr>
        <w:tab/>
      </w:r>
      <w:r w:rsidRPr="00615057">
        <w:rPr>
          <w:sz w:val="28"/>
          <w:szCs w:val="28"/>
          <w:lang w:val="en-US"/>
        </w:rPr>
        <w:t>The facts giving rise to this appeal are briefly the following. The appellant, K</w:t>
      </w:r>
      <w:r w:rsidR="007E43CA" w:rsidRPr="00615057">
        <w:rPr>
          <w:sz w:val="28"/>
          <w:szCs w:val="28"/>
          <w:lang w:val="en-US"/>
        </w:rPr>
        <w:t>SL</w:t>
      </w:r>
      <w:r w:rsidR="00615057">
        <w:rPr>
          <w:sz w:val="28"/>
          <w:szCs w:val="28"/>
          <w:lang w:val="en-US"/>
        </w:rPr>
        <w:t xml:space="preserve"> </w:t>
      </w:r>
      <w:r w:rsidR="007E43CA" w:rsidRPr="00615057">
        <w:rPr>
          <w:sz w:val="28"/>
          <w:szCs w:val="28"/>
          <w:lang w:val="en-US"/>
        </w:rPr>
        <w:t>(the husband)</w:t>
      </w:r>
      <w:r w:rsidRPr="00615057">
        <w:rPr>
          <w:sz w:val="28"/>
          <w:szCs w:val="28"/>
          <w:lang w:val="en-US"/>
        </w:rPr>
        <w:t xml:space="preserve"> and the respondent, </w:t>
      </w:r>
      <w:r w:rsidR="007E43CA" w:rsidRPr="00615057">
        <w:rPr>
          <w:sz w:val="28"/>
          <w:szCs w:val="28"/>
          <w:lang w:val="en-US"/>
        </w:rPr>
        <w:t>AL (the wife)</w:t>
      </w:r>
      <w:r w:rsidRPr="00615057">
        <w:rPr>
          <w:sz w:val="28"/>
          <w:szCs w:val="28"/>
          <w:lang w:val="en-US"/>
        </w:rPr>
        <w:t xml:space="preserve">, were married to each other </w:t>
      </w:r>
      <w:r w:rsidRPr="00615057">
        <w:rPr>
          <w:sz w:val="28"/>
          <w:szCs w:val="28"/>
          <w:lang w:val="en-US"/>
        </w:rPr>
        <w:lastRenderedPageBreak/>
        <w:t xml:space="preserve">on </w:t>
      </w:r>
      <w:r w:rsidR="00682B65">
        <w:rPr>
          <w:sz w:val="28"/>
          <w:szCs w:val="28"/>
          <w:lang w:val="en-US"/>
        </w:rPr>
        <w:t>3</w:t>
      </w:r>
      <w:r w:rsidRPr="00615057">
        <w:rPr>
          <w:sz w:val="28"/>
          <w:szCs w:val="28"/>
          <w:lang w:val="en-US"/>
        </w:rPr>
        <w:t xml:space="preserve"> April 1992 out of community of property with the inclusion of the accrual system</w:t>
      </w:r>
      <w:r w:rsidR="00A2014B" w:rsidRPr="00615057">
        <w:rPr>
          <w:sz w:val="28"/>
          <w:szCs w:val="28"/>
          <w:lang w:val="en-US"/>
        </w:rPr>
        <w:t xml:space="preserve"> as envisaged in Chapter 1</w:t>
      </w:r>
      <w:r w:rsidR="003C052B" w:rsidRPr="00615057">
        <w:rPr>
          <w:sz w:val="28"/>
          <w:szCs w:val="28"/>
          <w:lang w:val="en-US"/>
        </w:rPr>
        <w:t xml:space="preserve"> of the Matrimonial </w:t>
      </w:r>
      <w:r w:rsidR="00DB4012">
        <w:rPr>
          <w:sz w:val="28"/>
          <w:szCs w:val="28"/>
          <w:lang w:val="en-US"/>
        </w:rPr>
        <w:t xml:space="preserve">Property </w:t>
      </w:r>
      <w:r w:rsidR="003C052B" w:rsidRPr="00615057">
        <w:rPr>
          <w:sz w:val="28"/>
          <w:szCs w:val="28"/>
          <w:lang w:val="en-US"/>
        </w:rPr>
        <w:t>Act 88 of 198</w:t>
      </w:r>
      <w:r w:rsidR="00DB4012">
        <w:rPr>
          <w:sz w:val="28"/>
          <w:szCs w:val="28"/>
          <w:lang w:val="en-US"/>
        </w:rPr>
        <w:t>4</w:t>
      </w:r>
      <w:r w:rsidRPr="00615057">
        <w:rPr>
          <w:sz w:val="28"/>
          <w:szCs w:val="28"/>
          <w:lang w:val="en-US"/>
        </w:rPr>
        <w:t>. They have two major children. The</w:t>
      </w:r>
      <w:r w:rsidR="007E43CA" w:rsidRPr="00615057">
        <w:rPr>
          <w:sz w:val="28"/>
          <w:szCs w:val="28"/>
          <w:lang w:val="en-US"/>
        </w:rPr>
        <w:t>ir</w:t>
      </w:r>
      <w:r w:rsidRPr="00615057">
        <w:rPr>
          <w:sz w:val="28"/>
          <w:szCs w:val="28"/>
          <w:lang w:val="en-US"/>
        </w:rPr>
        <w:t xml:space="preserve"> marriage did not survive and, in </w:t>
      </w:r>
      <w:r w:rsidRPr="00615057">
        <w:rPr>
          <w:sz w:val="28"/>
          <w:szCs w:val="28"/>
        </w:rPr>
        <w:t xml:space="preserve">May 2009, the appellant instituted divorce proceedings against the respondent. The parties attempted to reconcile but were unsuccessful. Ultimately, the </w:t>
      </w:r>
      <w:r w:rsidR="003C052B" w:rsidRPr="00615057">
        <w:rPr>
          <w:sz w:val="28"/>
          <w:szCs w:val="28"/>
        </w:rPr>
        <w:t xml:space="preserve">marriage was dissolved </w:t>
      </w:r>
      <w:r w:rsidRPr="00615057">
        <w:rPr>
          <w:sz w:val="28"/>
          <w:szCs w:val="28"/>
        </w:rPr>
        <w:t>on 14 March 2019. The divorce court granted the decree of divorce and the issue of their propriet</w:t>
      </w:r>
      <w:r w:rsidR="00F34EA3" w:rsidRPr="00615057">
        <w:rPr>
          <w:sz w:val="28"/>
          <w:szCs w:val="28"/>
        </w:rPr>
        <w:t>ar</w:t>
      </w:r>
      <w:r w:rsidRPr="00615057">
        <w:rPr>
          <w:sz w:val="28"/>
          <w:szCs w:val="28"/>
        </w:rPr>
        <w:t>y rights (the accrual) was postponed to be determined at a later stage.</w:t>
      </w:r>
    </w:p>
    <w:p w14:paraId="45B133BF" w14:textId="77777777" w:rsidR="00644C3F" w:rsidRPr="00615057" w:rsidRDefault="00644C3F" w:rsidP="00644C3F">
      <w:pPr>
        <w:spacing w:line="360" w:lineRule="auto"/>
        <w:rPr>
          <w:sz w:val="28"/>
          <w:szCs w:val="28"/>
        </w:rPr>
      </w:pPr>
    </w:p>
    <w:p w14:paraId="3A1B0C11" w14:textId="22FF68C8" w:rsidR="00644C3F" w:rsidRPr="00615057" w:rsidRDefault="00644C3F" w:rsidP="00644C3F">
      <w:pPr>
        <w:spacing w:line="360" w:lineRule="auto"/>
        <w:jc w:val="both"/>
        <w:rPr>
          <w:sz w:val="28"/>
          <w:szCs w:val="28"/>
        </w:rPr>
      </w:pPr>
      <w:r w:rsidRPr="00615057">
        <w:rPr>
          <w:sz w:val="28"/>
          <w:szCs w:val="28"/>
        </w:rPr>
        <w:t>[3]</w:t>
      </w:r>
      <w:r w:rsidRPr="00615057">
        <w:rPr>
          <w:sz w:val="28"/>
          <w:szCs w:val="28"/>
        </w:rPr>
        <w:tab/>
      </w:r>
      <w:r w:rsidR="00BB500F" w:rsidRPr="00615057">
        <w:rPr>
          <w:sz w:val="28"/>
          <w:szCs w:val="28"/>
        </w:rPr>
        <w:t>Whilst</w:t>
      </w:r>
      <w:r w:rsidR="003C052B" w:rsidRPr="00615057">
        <w:rPr>
          <w:sz w:val="28"/>
          <w:szCs w:val="28"/>
        </w:rPr>
        <w:t xml:space="preserve"> </w:t>
      </w:r>
      <w:r w:rsidRPr="00615057">
        <w:rPr>
          <w:sz w:val="28"/>
          <w:szCs w:val="28"/>
        </w:rPr>
        <w:t xml:space="preserve">the divorce </w:t>
      </w:r>
      <w:r w:rsidR="003C052B" w:rsidRPr="00615057">
        <w:rPr>
          <w:sz w:val="28"/>
          <w:szCs w:val="28"/>
        </w:rPr>
        <w:t>was still pending</w:t>
      </w:r>
      <w:r w:rsidR="00015354" w:rsidRPr="00615057">
        <w:rPr>
          <w:sz w:val="28"/>
          <w:szCs w:val="28"/>
        </w:rPr>
        <w:t>,</w:t>
      </w:r>
      <w:r w:rsidRPr="00615057">
        <w:rPr>
          <w:sz w:val="28"/>
          <w:szCs w:val="28"/>
        </w:rPr>
        <w:t xml:space="preserve"> </w:t>
      </w:r>
      <w:r w:rsidR="003C052B" w:rsidRPr="00615057">
        <w:rPr>
          <w:sz w:val="28"/>
          <w:szCs w:val="28"/>
        </w:rPr>
        <w:t xml:space="preserve">on 19 July 2018 </w:t>
      </w:r>
      <w:r w:rsidRPr="00615057">
        <w:rPr>
          <w:sz w:val="28"/>
          <w:szCs w:val="28"/>
        </w:rPr>
        <w:t>the appellant founded a trust named the L</w:t>
      </w:r>
      <w:r w:rsidR="00A86DE6">
        <w:rPr>
          <w:sz w:val="28"/>
          <w:szCs w:val="28"/>
        </w:rPr>
        <w:t>[…]</w:t>
      </w:r>
      <w:r w:rsidRPr="00615057">
        <w:rPr>
          <w:sz w:val="28"/>
          <w:szCs w:val="28"/>
        </w:rPr>
        <w:t xml:space="preserve"> Children Educational Trust and donated an amount of R1 800 000 to the trust</w:t>
      </w:r>
      <w:r w:rsidR="003C052B" w:rsidRPr="00615057">
        <w:rPr>
          <w:sz w:val="28"/>
          <w:szCs w:val="28"/>
        </w:rPr>
        <w:t xml:space="preserve"> with the objective of providing financial support for the parties’ children</w:t>
      </w:r>
      <w:r w:rsidRPr="00615057">
        <w:rPr>
          <w:sz w:val="28"/>
          <w:szCs w:val="28"/>
        </w:rPr>
        <w:t xml:space="preserve">. </w:t>
      </w:r>
      <w:r w:rsidR="003C052B" w:rsidRPr="00615057">
        <w:rPr>
          <w:sz w:val="28"/>
          <w:szCs w:val="28"/>
        </w:rPr>
        <w:t xml:space="preserve">According to the respondent, she only learnt about this in December 2018. </w:t>
      </w:r>
      <w:r w:rsidRPr="00615057">
        <w:rPr>
          <w:sz w:val="28"/>
          <w:szCs w:val="28"/>
        </w:rPr>
        <w:t>During October 2018, the appellant caused an amount of R5 114 740.75 to be invested in a living annuity held with Investec Assets Management Services (Pty) Ltd.</w:t>
      </w:r>
    </w:p>
    <w:p w14:paraId="3AAAAE4F" w14:textId="77777777" w:rsidR="00644C3F" w:rsidRPr="00615057" w:rsidRDefault="00644C3F" w:rsidP="00644C3F">
      <w:pPr>
        <w:spacing w:line="360" w:lineRule="auto"/>
        <w:jc w:val="both"/>
        <w:rPr>
          <w:sz w:val="28"/>
          <w:szCs w:val="28"/>
          <w:lang w:val="en-US"/>
        </w:rPr>
      </w:pPr>
    </w:p>
    <w:p w14:paraId="40EDE723" w14:textId="0FA29C32" w:rsidR="00644C3F" w:rsidRPr="00615057" w:rsidRDefault="00644C3F" w:rsidP="00644C3F">
      <w:pPr>
        <w:spacing w:line="360" w:lineRule="auto"/>
        <w:jc w:val="both"/>
        <w:rPr>
          <w:sz w:val="28"/>
          <w:szCs w:val="28"/>
        </w:rPr>
      </w:pPr>
      <w:r w:rsidRPr="00615057">
        <w:rPr>
          <w:sz w:val="28"/>
          <w:szCs w:val="28"/>
          <w:lang w:val="en-US"/>
        </w:rPr>
        <w:t>[4]</w:t>
      </w:r>
      <w:r w:rsidRPr="00615057">
        <w:rPr>
          <w:sz w:val="28"/>
          <w:szCs w:val="28"/>
        </w:rPr>
        <w:tab/>
        <w:t xml:space="preserve">On 12 December 2018, the appellant presented to the respondent a ‘with prejudice tender’ in terms of </w:t>
      </w:r>
      <w:r w:rsidR="00AF4273">
        <w:rPr>
          <w:sz w:val="28"/>
          <w:szCs w:val="28"/>
        </w:rPr>
        <w:t>r</w:t>
      </w:r>
      <w:r w:rsidRPr="00615057">
        <w:rPr>
          <w:sz w:val="28"/>
          <w:szCs w:val="28"/>
        </w:rPr>
        <w:t>ule</w:t>
      </w:r>
      <w:r w:rsidR="00AF4273">
        <w:rPr>
          <w:sz w:val="28"/>
          <w:szCs w:val="28"/>
        </w:rPr>
        <w:t> </w:t>
      </w:r>
      <w:r w:rsidRPr="00615057">
        <w:rPr>
          <w:sz w:val="28"/>
          <w:szCs w:val="28"/>
        </w:rPr>
        <w:t>34 of the Uniform Rules of Court. The appellant proposed in the tender that an amount of R550 000 be paid by the appellant to the respondent in full and final settlement of her accrual claim. He further proposed that in order for the respondent to properly consider the settlement offer, a power of attorney be prepared by the respondent’s attorneys to be signed by the appellant to enable the respondent to investigate the appellant’s financial position. If the respondent was not satisfied with the settlement offer, the appellant proposed that a referee be appointed.</w:t>
      </w:r>
      <w:r w:rsidR="007E43CA" w:rsidRPr="00615057">
        <w:rPr>
          <w:sz w:val="28"/>
          <w:szCs w:val="28"/>
        </w:rPr>
        <w:t xml:space="preserve"> T</w:t>
      </w:r>
      <w:r w:rsidRPr="00615057">
        <w:rPr>
          <w:sz w:val="28"/>
          <w:szCs w:val="28"/>
        </w:rPr>
        <w:t xml:space="preserve">he respondent rejected this tender. </w:t>
      </w:r>
    </w:p>
    <w:p w14:paraId="01C90CC6" w14:textId="77777777" w:rsidR="006C2191" w:rsidRPr="00615057" w:rsidRDefault="006C2191" w:rsidP="00644C3F">
      <w:pPr>
        <w:spacing w:line="360" w:lineRule="auto"/>
        <w:jc w:val="both"/>
        <w:rPr>
          <w:sz w:val="28"/>
          <w:szCs w:val="28"/>
        </w:rPr>
      </w:pPr>
    </w:p>
    <w:p w14:paraId="0704C0C5" w14:textId="4D05E106" w:rsidR="00C85196" w:rsidRPr="00615057" w:rsidRDefault="00644C3F" w:rsidP="00644C3F">
      <w:pPr>
        <w:spacing w:line="360" w:lineRule="auto"/>
        <w:jc w:val="both"/>
        <w:rPr>
          <w:sz w:val="28"/>
          <w:szCs w:val="28"/>
        </w:rPr>
      </w:pPr>
      <w:r w:rsidRPr="00615057">
        <w:rPr>
          <w:sz w:val="28"/>
          <w:szCs w:val="28"/>
        </w:rPr>
        <w:lastRenderedPageBreak/>
        <w:t>[5]</w:t>
      </w:r>
      <w:r w:rsidRPr="00615057">
        <w:rPr>
          <w:sz w:val="28"/>
          <w:szCs w:val="28"/>
        </w:rPr>
        <w:tab/>
      </w:r>
      <w:r w:rsidR="003C052B" w:rsidRPr="00615057">
        <w:rPr>
          <w:sz w:val="28"/>
          <w:szCs w:val="28"/>
        </w:rPr>
        <w:t>D</w:t>
      </w:r>
      <w:r w:rsidRPr="00615057">
        <w:rPr>
          <w:sz w:val="28"/>
          <w:szCs w:val="28"/>
        </w:rPr>
        <w:t>uring May 2021,</w:t>
      </w:r>
      <w:r w:rsidR="003C052B" w:rsidRPr="00615057">
        <w:rPr>
          <w:sz w:val="28"/>
          <w:szCs w:val="28"/>
        </w:rPr>
        <w:t xml:space="preserve"> two years after the parties’ divorce, </w:t>
      </w:r>
      <w:r w:rsidRPr="00615057">
        <w:rPr>
          <w:sz w:val="28"/>
          <w:szCs w:val="28"/>
        </w:rPr>
        <w:t xml:space="preserve">the appellant sold his immovable property, </w:t>
      </w:r>
      <w:r w:rsidR="0010253D">
        <w:rPr>
          <w:sz w:val="28"/>
          <w:szCs w:val="28"/>
        </w:rPr>
        <w:t>[…]</w:t>
      </w:r>
      <w:bookmarkStart w:id="3" w:name="_GoBack"/>
      <w:bookmarkEnd w:id="3"/>
      <w:r w:rsidRPr="00615057">
        <w:rPr>
          <w:sz w:val="28"/>
          <w:szCs w:val="28"/>
        </w:rPr>
        <w:t xml:space="preserve"> Close, Northwo</w:t>
      </w:r>
      <w:r w:rsidR="00E91704">
        <w:rPr>
          <w:sz w:val="28"/>
          <w:szCs w:val="28"/>
        </w:rPr>
        <w:t>l</w:t>
      </w:r>
      <w:r w:rsidRPr="00615057">
        <w:rPr>
          <w:sz w:val="28"/>
          <w:szCs w:val="28"/>
        </w:rPr>
        <w:t>d, Extension 11, Johannesburg</w:t>
      </w:r>
      <w:r w:rsidR="00CB4FDF" w:rsidRPr="00615057">
        <w:rPr>
          <w:sz w:val="28"/>
          <w:szCs w:val="28"/>
        </w:rPr>
        <w:t xml:space="preserve"> (the property)</w:t>
      </w:r>
      <w:r w:rsidRPr="00615057">
        <w:rPr>
          <w:sz w:val="28"/>
          <w:szCs w:val="28"/>
        </w:rPr>
        <w:t xml:space="preserve">. The respondent became aware of the sale </w:t>
      </w:r>
      <w:r w:rsidR="00CB4FDF" w:rsidRPr="00615057">
        <w:rPr>
          <w:sz w:val="28"/>
          <w:szCs w:val="28"/>
        </w:rPr>
        <w:t xml:space="preserve">in </w:t>
      </w:r>
      <w:r w:rsidRPr="00615057">
        <w:rPr>
          <w:sz w:val="28"/>
          <w:szCs w:val="28"/>
        </w:rPr>
        <w:t>June 2021</w:t>
      </w:r>
      <w:r w:rsidR="00A0218C" w:rsidRPr="00615057">
        <w:rPr>
          <w:sz w:val="28"/>
          <w:szCs w:val="28"/>
        </w:rPr>
        <w:t xml:space="preserve">. </w:t>
      </w:r>
      <w:r w:rsidRPr="00615057">
        <w:rPr>
          <w:sz w:val="28"/>
          <w:szCs w:val="28"/>
        </w:rPr>
        <w:t>As a result, she instituted</w:t>
      </w:r>
      <w:r w:rsidR="00A0218C" w:rsidRPr="00615057">
        <w:rPr>
          <w:sz w:val="28"/>
          <w:szCs w:val="28"/>
        </w:rPr>
        <w:t xml:space="preserve"> </w:t>
      </w:r>
      <w:r w:rsidR="00015354" w:rsidRPr="00615057">
        <w:rPr>
          <w:sz w:val="28"/>
          <w:szCs w:val="28"/>
        </w:rPr>
        <w:t xml:space="preserve">an </w:t>
      </w:r>
      <w:r w:rsidRPr="00615057">
        <w:rPr>
          <w:sz w:val="28"/>
          <w:szCs w:val="28"/>
        </w:rPr>
        <w:t xml:space="preserve">anti-dissipation application in the Gauteng Division of the High Court, Pretoria (the high court) on 1 July 2021. </w:t>
      </w:r>
      <w:r w:rsidR="00CB4FDF" w:rsidRPr="00615057">
        <w:rPr>
          <w:sz w:val="28"/>
          <w:szCs w:val="28"/>
        </w:rPr>
        <w:t>In the application, s</w:t>
      </w:r>
      <w:r w:rsidRPr="00615057">
        <w:rPr>
          <w:sz w:val="28"/>
          <w:szCs w:val="28"/>
        </w:rPr>
        <w:t>he sought an order directing the</w:t>
      </w:r>
      <w:r w:rsidR="00C85196" w:rsidRPr="00615057">
        <w:rPr>
          <w:sz w:val="28"/>
          <w:szCs w:val="28"/>
        </w:rPr>
        <w:t xml:space="preserve"> appellant’s attorneys as </w:t>
      </w:r>
      <w:r w:rsidRPr="00615057">
        <w:rPr>
          <w:sz w:val="28"/>
          <w:szCs w:val="28"/>
        </w:rPr>
        <w:t>conveyancers</w:t>
      </w:r>
      <w:r w:rsidR="00C85196" w:rsidRPr="00615057">
        <w:rPr>
          <w:sz w:val="28"/>
          <w:szCs w:val="28"/>
        </w:rPr>
        <w:t xml:space="preserve"> mandated to give effect to the transfer of the property:</w:t>
      </w:r>
    </w:p>
    <w:p w14:paraId="0C4E88EB" w14:textId="4A74D4A9" w:rsidR="00C85196" w:rsidRPr="00615057" w:rsidRDefault="00C85196" w:rsidP="00644C3F">
      <w:pPr>
        <w:spacing w:line="360" w:lineRule="auto"/>
        <w:jc w:val="both"/>
        <w:rPr>
          <w:color w:val="222222"/>
          <w:shd w:val="clear" w:color="auto" w:fill="FFFFFF"/>
        </w:rPr>
      </w:pPr>
      <w:r w:rsidRPr="00615057">
        <w:t>‘1. . . .</w:t>
      </w:r>
      <w:r w:rsidR="00644C3F" w:rsidRPr="00615057">
        <w:t xml:space="preserve">to retain </w:t>
      </w:r>
      <w:r w:rsidRPr="00615057">
        <w:rPr>
          <w:color w:val="222222"/>
          <w:shd w:val="clear" w:color="auto" w:fill="FFFFFF"/>
        </w:rPr>
        <w:t>the total net proceeds of the sale of the Immovable Property being an amount equivalent to the purchase consideration less the cost of bond cancellation, estate agents commission, taxes and necessary disbursements and imposts (“the Net Proceeds”) in an interest-bearing trust account as envisaged by section 86(3) of the Legal Practice Act 2014, (No. 28 of 2014) pending the determination of the [respondent’s] accrual claim in the divorce action</w:t>
      </w:r>
      <w:r w:rsidR="00382023" w:rsidRPr="00615057">
        <w:rPr>
          <w:color w:val="222222"/>
          <w:shd w:val="clear" w:color="auto" w:fill="FFFFFF"/>
        </w:rPr>
        <w:t>.</w:t>
      </w:r>
      <w:r w:rsidRPr="00615057">
        <w:rPr>
          <w:color w:val="222222"/>
          <w:shd w:val="clear" w:color="auto" w:fill="FFFFFF"/>
        </w:rPr>
        <w:t xml:space="preserve">  </w:t>
      </w:r>
    </w:p>
    <w:p w14:paraId="521040AD" w14:textId="4C0CB4BB" w:rsidR="00C85196" w:rsidRPr="00615057" w:rsidRDefault="00C85196" w:rsidP="00865F6C">
      <w:pPr>
        <w:spacing w:line="360" w:lineRule="auto"/>
        <w:jc w:val="both"/>
        <w:rPr>
          <w:color w:val="222222"/>
          <w:shd w:val="clear" w:color="auto" w:fill="FFFFFF"/>
        </w:rPr>
      </w:pPr>
      <w:r w:rsidRPr="00615057">
        <w:rPr>
          <w:color w:val="222222"/>
          <w:shd w:val="clear" w:color="auto" w:fill="FFFFFF"/>
        </w:rPr>
        <w:t>2</w:t>
      </w:r>
      <w:r w:rsidR="00C70B62">
        <w:rPr>
          <w:color w:val="222222"/>
          <w:shd w:val="clear" w:color="auto" w:fill="FFFFFF"/>
        </w:rPr>
        <w:t>[</w:t>
      </w:r>
      <w:r w:rsidR="00382023" w:rsidRPr="00615057">
        <w:rPr>
          <w:color w:val="222222"/>
          <w:shd w:val="clear" w:color="auto" w:fill="FFFFFF"/>
        </w:rPr>
        <w:t>I</w:t>
      </w:r>
      <w:r w:rsidR="00C70B62">
        <w:rPr>
          <w:color w:val="222222"/>
          <w:shd w:val="clear" w:color="auto" w:fill="FFFFFF"/>
        </w:rPr>
        <w:t>]</w:t>
      </w:r>
      <w:r w:rsidRPr="00615057">
        <w:rPr>
          <w:color w:val="222222"/>
          <w:shd w:val="clear" w:color="auto" w:fill="FFFFFF"/>
        </w:rPr>
        <w:t xml:space="preserve">n the event that the Net Proceeds of the sale of Immovable Property have been paid to the [appellant], or his nominee, at the time of the hearing of this application:- </w:t>
      </w:r>
    </w:p>
    <w:p w14:paraId="1EA2B0B2" w14:textId="1E7E4234" w:rsidR="00382023" w:rsidRPr="00615057" w:rsidRDefault="00C85196" w:rsidP="00382023">
      <w:pPr>
        <w:pStyle w:val="ListParagraph"/>
        <w:spacing w:line="360" w:lineRule="auto"/>
        <w:ind w:left="0"/>
        <w:jc w:val="both"/>
        <w:rPr>
          <w:rFonts w:ascii="Times New Roman" w:hAnsi="Times New Roman" w:cs="Times New Roman"/>
          <w:color w:val="222222"/>
          <w:sz w:val="24"/>
          <w:szCs w:val="24"/>
          <w:shd w:val="clear" w:color="auto" w:fill="FFFFFF"/>
        </w:rPr>
      </w:pPr>
      <w:r w:rsidRPr="00615057">
        <w:rPr>
          <w:rFonts w:ascii="Times New Roman" w:hAnsi="Times New Roman" w:cs="Times New Roman"/>
          <w:color w:val="222222"/>
          <w:sz w:val="24"/>
          <w:szCs w:val="24"/>
          <w:shd w:val="clear" w:color="auto" w:fill="FFFFFF"/>
        </w:rPr>
        <w:t xml:space="preserve">2.1. the [appellant’s attorneys] be directed to furnish the [respondent], care of her attorneys, within 5 (five) days, with a </w:t>
      </w:r>
      <w:r w:rsidR="009612FE">
        <w:rPr>
          <w:rFonts w:ascii="Times New Roman" w:hAnsi="Times New Roman" w:cs="Times New Roman"/>
          <w:color w:val="222222"/>
          <w:sz w:val="24"/>
          <w:szCs w:val="24"/>
          <w:shd w:val="clear" w:color="auto" w:fill="FFFFFF"/>
        </w:rPr>
        <w:t>s</w:t>
      </w:r>
      <w:r w:rsidRPr="00615057">
        <w:rPr>
          <w:rFonts w:ascii="Times New Roman" w:hAnsi="Times New Roman" w:cs="Times New Roman"/>
          <w:color w:val="222222"/>
          <w:sz w:val="24"/>
          <w:szCs w:val="24"/>
          <w:shd w:val="clear" w:color="auto" w:fill="FFFFFF"/>
        </w:rPr>
        <w:t xml:space="preserve">tatement of account reflecting the purchase consideration achieved for the Immovable Property and detailing the disbursement of expenses including but not restricted to bond cancellation, estate agents commission, taxes and necessary disbursements and imposts; </w:t>
      </w:r>
    </w:p>
    <w:p w14:paraId="0584A24D" w14:textId="6CBE7751" w:rsidR="00C85196" w:rsidRPr="00615057" w:rsidRDefault="00C85196" w:rsidP="00865F6C">
      <w:pPr>
        <w:pStyle w:val="ListParagraph"/>
        <w:spacing w:line="360" w:lineRule="auto"/>
        <w:ind w:left="0"/>
        <w:jc w:val="both"/>
        <w:rPr>
          <w:color w:val="222222"/>
          <w:sz w:val="24"/>
          <w:szCs w:val="24"/>
          <w:shd w:val="clear" w:color="auto" w:fill="FFFFFF"/>
        </w:rPr>
      </w:pPr>
      <w:r w:rsidRPr="00615057">
        <w:rPr>
          <w:rFonts w:ascii="Times New Roman" w:hAnsi="Times New Roman" w:cs="Times New Roman"/>
          <w:color w:val="222222"/>
          <w:sz w:val="24"/>
          <w:szCs w:val="24"/>
          <w:shd w:val="clear" w:color="auto" w:fill="FFFFFF"/>
        </w:rPr>
        <w:t>2.2.</w:t>
      </w:r>
      <w:r w:rsidRPr="00615057">
        <w:rPr>
          <w:rFonts w:ascii="Times New Roman" w:hAnsi="Times New Roman" w:cs="Times New Roman"/>
          <w:color w:val="222222"/>
          <w:sz w:val="24"/>
          <w:szCs w:val="24"/>
          <w:shd w:val="clear" w:color="auto" w:fill="FFFFFF"/>
        </w:rPr>
        <w:tab/>
        <w:t>the [appellant] be directed to, within 5 (five) days, pay an amount equivalent to the Net Proceeds to the [appellant’s attorneys] to be retained in an interest-bearing trust account as envisaged by section 86(3) of the Legal Practice Act 2014, (No. 28 of 2014) pending the determination of the [respondent’s] accrual claim in the divorce action.’</w:t>
      </w:r>
    </w:p>
    <w:p w14:paraId="511FF7B0" w14:textId="56F4B85A" w:rsidR="00615057" w:rsidRDefault="00644C3F" w:rsidP="00644C3F">
      <w:pPr>
        <w:spacing w:line="360" w:lineRule="auto"/>
        <w:jc w:val="both"/>
        <w:rPr>
          <w:sz w:val="28"/>
          <w:szCs w:val="28"/>
        </w:rPr>
      </w:pPr>
      <w:r w:rsidRPr="00615057">
        <w:rPr>
          <w:sz w:val="28"/>
          <w:szCs w:val="28"/>
        </w:rPr>
        <w:t xml:space="preserve">The high court granted the relief sought. </w:t>
      </w:r>
      <w:r w:rsidR="00433864" w:rsidRPr="00615057">
        <w:rPr>
          <w:sz w:val="28"/>
          <w:szCs w:val="28"/>
        </w:rPr>
        <w:t>Thereafter the appellant ap</w:t>
      </w:r>
      <w:r w:rsidR="00DE4168" w:rsidRPr="00615057">
        <w:rPr>
          <w:sz w:val="28"/>
          <w:szCs w:val="28"/>
        </w:rPr>
        <w:t xml:space="preserve">plied for leave to appeal. The high court dismissed </w:t>
      </w:r>
      <w:r w:rsidR="00404F0A" w:rsidRPr="00615057">
        <w:rPr>
          <w:sz w:val="28"/>
          <w:szCs w:val="28"/>
        </w:rPr>
        <w:t xml:space="preserve">the application. </w:t>
      </w:r>
      <w:r w:rsidRPr="00615057">
        <w:rPr>
          <w:sz w:val="28"/>
          <w:szCs w:val="28"/>
        </w:rPr>
        <w:t>Th</w:t>
      </w:r>
      <w:r w:rsidR="00E91704">
        <w:rPr>
          <w:sz w:val="28"/>
          <w:szCs w:val="28"/>
        </w:rPr>
        <w:t>e</w:t>
      </w:r>
      <w:r w:rsidRPr="00615057">
        <w:rPr>
          <w:sz w:val="28"/>
          <w:szCs w:val="28"/>
        </w:rPr>
        <w:t xml:space="preserve"> appeal is with leave of this Court.</w:t>
      </w:r>
    </w:p>
    <w:p w14:paraId="031D3A1C" w14:textId="77777777" w:rsidR="00615057" w:rsidRPr="00615057" w:rsidRDefault="00615057" w:rsidP="00644C3F">
      <w:pPr>
        <w:spacing w:line="360" w:lineRule="auto"/>
        <w:jc w:val="both"/>
        <w:rPr>
          <w:sz w:val="28"/>
          <w:szCs w:val="28"/>
        </w:rPr>
      </w:pPr>
    </w:p>
    <w:p w14:paraId="1595DD52" w14:textId="77777777" w:rsidR="00644C3F" w:rsidRPr="00615057" w:rsidRDefault="00644C3F" w:rsidP="00644C3F">
      <w:pPr>
        <w:spacing w:line="360" w:lineRule="auto"/>
        <w:jc w:val="both"/>
        <w:rPr>
          <w:b/>
          <w:sz w:val="28"/>
          <w:szCs w:val="28"/>
        </w:rPr>
      </w:pPr>
      <w:r w:rsidRPr="00615057">
        <w:rPr>
          <w:b/>
          <w:sz w:val="28"/>
          <w:szCs w:val="28"/>
        </w:rPr>
        <w:t>In the high court</w:t>
      </w:r>
    </w:p>
    <w:p w14:paraId="31584A50" w14:textId="333CA299" w:rsidR="00644C3F" w:rsidRPr="00615057" w:rsidRDefault="00644C3F" w:rsidP="00644C3F">
      <w:pPr>
        <w:spacing w:line="360" w:lineRule="auto"/>
        <w:jc w:val="both"/>
        <w:rPr>
          <w:sz w:val="28"/>
          <w:szCs w:val="28"/>
        </w:rPr>
      </w:pPr>
      <w:r w:rsidRPr="00615057">
        <w:rPr>
          <w:sz w:val="28"/>
          <w:szCs w:val="28"/>
        </w:rPr>
        <w:lastRenderedPageBreak/>
        <w:t>[6]</w:t>
      </w:r>
      <w:r w:rsidRPr="00615057">
        <w:rPr>
          <w:sz w:val="28"/>
          <w:szCs w:val="28"/>
        </w:rPr>
        <w:tab/>
        <w:t>In her</w:t>
      </w:r>
      <w:r w:rsidR="00865F6C" w:rsidRPr="00615057">
        <w:rPr>
          <w:sz w:val="28"/>
          <w:szCs w:val="28"/>
        </w:rPr>
        <w:t xml:space="preserve"> </w:t>
      </w:r>
      <w:r w:rsidR="00382023" w:rsidRPr="00615057">
        <w:rPr>
          <w:sz w:val="28"/>
          <w:szCs w:val="28"/>
        </w:rPr>
        <w:t>founding affidavit</w:t>
      </w:r>
      <w:r w:rsidRPr="00615057">
        <w:rPr>
          <w:sz w:val="28"/>
          <w:szCs w:val="28"/>
        </w:rPr>
        <w:t xml:space="preserve">, the respondent </w:t>
      </w:r>
      <w:r w:rsidR="00382023" w:rsidRPr="00615057">
        <w:rPr>
          <w:sz w:val="28"/>
          <w:szCs w:val="28"/>
        </w:rPr>
        <w:t xml:space="preserve">averred </w:t>
      </w:r>
      <w:r w:rsidRPr="00615057">
        <w:rPr>
          <w:sz w:val="28"/>
          <w:szCs w:val="28"/>
        </w:rPr>
        <w:t>that as at a date of divorce, the estate of the appellant ha</w:t>
      </w:r>
      <w:r w:rsidR="00382023" w:rsidRPr="00615057">
        <w:rPr>
          <w:sz w:val="28"/>
          <w:szCs w:val="28"/>
        </w:rPr>
        <w:t>d</w:t>
      </w:r>
      <w:r w:rsidRPr="00615057">
        <w:rPr>
          <w:sz w:val="28"/>
          <w:szCs w:val="28"/>
        </w:rPr>
        <w:t xml:space="preserve"> shown an accrual in excess of the accrual in her estate. This, according to her, </w:t>
      </w:r>
      <w:r w:rsidR="00382023" w:rsidRPr="00615057">
        <w:rPr>
          <w:sz w:val="28"/>
          <w:szCs w:val="28"/>
        </w:rPr>
        <w:t>was</w:t>
      </w:r>
      <w:r w:rsidRPr="00615057">
        <w:rPr>
          <w:sz w:val="28"/>
          <w:szCs w:val="28"/>
        </w:rPr>
        <w:t xml:space="preserve"> evident from the tender that the appellant made to her on 12 December 2018 which ‘constitute</w:t>
      </w:r>
      <w:r w:rsidR="00382023" w:rsidRPr="00615057">
        <w:rPr>
          <w:sz w:val="28"/>
          <w:szCs w:val="28"/>
        </w:rPr>
        <w:t>s</w:t>
      </w:r>
      <w:r w:rsidRPr="00615057">
        <w:rPr>
          <w:sz w:val="28"/>
          <w:szCs w:val="28"/>
        </w:rPr>
        <w:t xml:space="preserve"> clear evidence of the fact that </w:t>
      </w:r>
      <w:r w:rsidR="000162AA">
        <w:rPr>
          <w:sz w:val="28"/>
          <w:szCs w:val="28"/>
        </w:rPr>
        <w:t>[</w:t>
      </w:r>
      <w:r w:rsidRPr="00615057">
        <w:rPr>
          <w:sz w:val="28"/>
          <w:szCs w:val="28"/>
        </w:rPr>
        <w:t>the appellant</w:t>
      </w:r>
      <w:r w:rsidR="000162AA">
        <w:rPr>
          <w:sz w:val="28"/>
          <w:szCs w:val="28"/>
        </w:rPr>
        <w:t>]</w:t>
      </w:r>
      <w:r w:rsidRPr="00615057">
        <w:rPr>
          <w:sz w:val="28"/>
          <w:szCs w:val="28"/>
        </w:rPr>
        <w:t xml:space="preserve"> accepts that his estate had shown greater accrual to </w:t>
      </w:r>
      <w:r w:rsidR="000162AA">
        <w:rPr>
          <w:sz w:val="28"/>
          <w:szCs w:val="28"/>
        </w:rPr>
        <w:t>[</w:t>
      </w:r>
      <w:r w:rsidRPr="00615057">
        <w:rPr>
          <w:sz w:val="28"/>
          <w:szCs w:val="28"/>
        </w:rPr>
        <w:t>her estate</w:t>
      </w:r>
      <w:r w:rsidR="000162AA">
        <w:rPr>
          <w:sz w:val="28"/>
          <w:szCs w:val="28"/>
        </w:rPr>
        <w:t>]</w:t>
      </w:r>
      <w:r w:rsidRPr="00615057">
        <w:rPr>
          <w:sz w:val="28"/>
          <w:szCs w:val="28"/>
        </w:rPr>
        <w:t>’. Consequently, she</w:t>
      </w:r>
      <w:r w:rsidR="00382023" w:rsidRPr="00615057">
        <w:rPr>
          <w:sz w:val="28"/>
          <w:szCs w:val="28"/>
        </w:rPr>
        <w:t xml:space="preserve"> contended that she</w:t>
      </w:r>
      <w:r w:rsidRPr="00615057">
        <w:rPr>
          <w:sz w:val="28"/>
          <w:szCs w:val="28"/>
        </w:rPr>
        <w:t xml:space="preserve"> ha</w:t>
      </w:r>
      <w:r w:rsidR="00382023" w:rsidRPr="00615057">
        <w:rPr>
          <w:sz w:val="28"/>
          <w:szCs w:val="28"/>
        </w:rPr>
        <w:t>d</w:t>
      </w:r>
      <w:r w:rsidRPr="00615057">
        <w:rPr>
          <w:sz w:val="28"/>
          <w:szCs w:val="28"/>
        </w:rPr>
        <w:t xml:space="preserve"> a vested interest in the assets sought to be preserved being the net proceeds of the sale of the appellant’s immovable property. She contended further that the appellant’s conduct prior to the dissolution of the marriage relating to the money donated to the trust and invested in the annuity, gave her concern that the appellant w</w:t>
      </w:r>
      <w:r w:rsidR="00817391" w:rsidRPr="00615057">
        <w:rPr>
          <w:sz w:val="28"/>
          <w:szCs w:val="28"/>
        </w:rPr>
        <w:t>ould</w:t>
      </w:r>
      <w:r w:rsidRPr="00615057">
        <w:rPr>
          <w:sz w:val="28"/>
          <w:szCs w:val="28"/>
        </w:rPr>
        <w:t xml:space="preserve"> dissipate and diminish his assets with the objective of frustrating her claim.</w:t>
      </w:r>
    </w:p>
    <w:p w14:paraId="2327A965" w14:textId="77777777" w:rsidR="00644C3F" w:rsidRPr="00615057" w:rsidRDefault="00644C3F" w:rsidP="00644C3F">
      <w:pPr>
        <w:spacing w:line="360" w:lineRule="auto"/>
        <w:jc w:val="both"/>
        <w:rPr>
          <w:sz w:val="28"/>
          <w:szCs w:val="28"/>
        </w:rPr>
      </w:pPr>
    </w:p>
    <w:p w14:paraId="439A425C" w14:textId="38369E6D" w:rsidR="00644C3F" w:rsidRPr="00615057" w:rsidRDefault="00644C3F" w:rsidP="00644C3F">
      <w:pPr>
        <w:spacing w:line="360" w:lineRule="auto"/>
        <w:jc w:val="both"/>
        <w:rPr>
          <w:b/>
          <w:color w:val="FF0000"/>
          <w:sz w:val="28"/>
          <w:szCs w:val="28"/>
        </w:rPr>
      </w:pPr>
      <w:r w:rsidRPr="00615057">
        <w:rPr>
          <w:sz w:val="28"/>
          <w:szCs w:val="28"/>
        </w:rPr>
        <w:t>[7]</w:t>
      </w:r>
      <w:r w:rsidRPr="00615057">
        <w:rPr>
          <w:sz w:val="28"/>
          <w:szCs w:val="28"/>
        </w:rPr>
        <w:tab/>
      </w:r>
      <w:r w:rsidR="00382023" w:rsidRPr="00615057">
        <w:rPr>
          <w:sz w:val="28"/>
          <w:szCs w:val="28"/>
        </w:rPr>
        <w:t>T</w:t>
      </w:r>
      <w:r w:rsidRPr="00615057">
        <w:rPr>
          <w:sz w:val="28"/>
          <w:szCs w:val="28"/>
        </w:rPr>
        <w:t xml:space="preserve">he appellant </w:t>
      </w:r>
      <w:r w:rsidR="00382023" w:rsidRPr="00615057">
        <w:rPr>
          <w:sz w:val="28"/>
          <w:szCs w:val="28"/>
        </w:rPr>
        <w:t>opposed the application contending</w:t>
      </w:r>
      <w:r w:rsidRPr="00615057">
        <w:rPr>
          <w:sz w:val="28"/>
          <w:szCs w:val="28"/>
        </w:rPr>
        <w:t xml:space="preserve"> that the respondent had not made out a case for the relief sought</w:t>
      </w:r>
      <w:r w:rsidR="00382023" w:rsidRPr="00615057">
        <w:rPr>
          <w:sz w:val="28"/>
          <w:szCs w:val="28"/>
        </w:rPr>
        <w:t>.</w:t>
      </w:r>
      <w:r w:rsidR="00865F6C" w:rsidRPr="00615057">
        <w:rPr>
          <w:sz w:val="28"/>
          <w:szCs w:val="28"/>
        </w:rPr>
        <w:t xml:space="preserve"> </w:t>
      </w:r>
      <w:r w:rsidR="00382023" w:rsidRPr="00615057">
        <w:rPr>
          <w:sz w:val="28"/>
          <w:szCs w:val="28"/>
        </w:rPr>
        <w:t>F</w:t>
      </w:r>
      <w:r w:rsidRPr="00615057">
        <w:rPr>
          <w:sz w:val="28"/>
          <w:szCs w:val="28"/>
        </w:rPr>
        <w:t>irst, that the trust was created for the benefit of the parties’ children. Second, the funds invested in the annuity (which amounted to R5</w:t>
      </w:r>
      <w:r w:rsidR="00231E10">
        <w:rPr>
          <w:sz w:val="28"/>
          <w:szCs w:val="28"/>
        </w:rPr>
        <w:t> </w:t>
      </w:r>
      <w:r w:rsidRPr="00615057">
        <w:rPr>
          <w:sz w:val="28"/>
          <w:szCs w:val="28"/>
        </w:rPr>
        <w:t>million at the time of the application) ha</w:t>
      </w:r>
      <w:r w:rsidR="007E43CA" w:rsidRPr="00615057">
        <w:rPr>
          <w:sz w:val="28"/>
          <w:szCs w:val="28"/>
        </w:rPr>
        <w:t>d</w:t>
      </w:r>
      <w:r w:rsidRPr="00615057">
        <w:rPr>
          <w:sz w:val="28"/>
          <w:szCs w:val="28"/>
        </w:rPr>
        <w:t xml:space="preserve"> not been dissipated and he retain</w:t>
      </w:r>
      <w:r w:rsidR="007E43CA" w:rsidRPr="00615057">
        <w:rPr>
          <w:sz w:val="28"/>
          <w:szCs w:val="28"/>
        </w:rPr>
        <w:t>ed</w:t>
      </w:r>
      <w:r w:rsidRPr="00615057">
        <w:rPr>
          <w:sz w:val="28"/>
          <w:szCs w:val="28"/>
        </w:rPr>
        <w:t xml:space="preserve"> his right to the proceeds thereof. </w:t>
      </w:r>
      <w:r w:rsidR="00262220" w:rsidRPr="00615057">
        <w:rPr>
          <w:sz w:val="28"/>
          <w:szCs w:val="28"/>
        </w:rPr>
        <w:t>Third, t</w:t>
      </w:r>
      <w:r w:rsidRPr="00615057">
        <w:rPr>
          <w:sz w:val="28"/>
          <w:szCs w:val="28"/>
        </w:rPr>
        <w:t>he appellant made a calculation in his opposing affidavit to show that his estate had shown a lesser accrual to that of the respondent</w:t>
      </w:r>
      <w:r w:rsidR="00262220" w:rsidRPr="00615057">
        <w:rPr>
          <w:sz w:val="28"/>
          <w:szCs w:val="28"/>
        </w:rPr>
        <w:t xml:space="preserve"> as at the date of divorce</w:t>
      </w:r>
      <w:r w:rsidRPr="00615057">
        <w:rPr>
          <w:sz w:val="28"/>
          <w:szCs w:val="28"/>
        </w:rPr>
        <w:t xml:space="preserve">. He denied that he sold </w:t>
      </w:r>
      <w:r w:rsidR="00262220" w:rsidRPr="00615057">
        <w:rPr>
          <w:sz w:val="28"/>
          <w:szCs w:val="28"/>
        </w:rPr>
        <w:t>the</w:t>
      </w:r>
      <w:r w:rsidRPr="00615057">
        <w:rPr>
          <w:sz w:val="28"/>
          <w:szCs w:val="28"/>
        </w:rPr>
        <w:t xml:space="preserve"> property with the intention of dissipating his estate</w:t>
      </w:r>
      <w:r w:rsidR="00262220" w:rsidRPr="00615057">
        <w:rPr>
          <w:sz w:val="28"/>
          <w:szCs w:val="28"/>
        </w:rPr>
        <w:t>. He</w:t>
      </w:r>
      <w:r w:rsidRPr="00615057">
        <w:rPr>
          <w:sz w:val="28"/>
          <w:szCs w:val="28"/>
        </w:rPr>
        <w:t xml:space="preserve"> contended that he had debts </w:t>
      </w:r>
      <w:r w:rsidR="00262220" w:rsidRPr="00615057">
        <w:rPr>
          <w:sz w:val="28"/>
          <w:szCs w:val="28"/>
        </w:rPr>
        <w:t xml:space="preserve">to pay </w:t>
      </w:r>
      <w:r w:rsidRPr="00615057">
        <w:rPr>
          <w:sz w:val="28"/>
          <w:szCs w:val="28"/>
        </w:rPr>
        <w:t xml:space="preserve">and had to sell his property to settle them. </w:t>
      </w:r>
    </w:p>
    <w:p w14:paraId="0FF0A5E2" w14:textId="77777777" w:rsidR="00644C3F" w:rsidRPr="00615057" w:rsidRDefault="00644C3F" w:rsidP="00644C3F">
      <w:pPr>
        <w:spacing w:line="360" w:lineRule="auto"/>
        <w:jc w:val="both"/>
        <w:rPr>
          <w:sz w:val="28"/>
          <w:szCs w:val="28"/>
        </w:rPr>
      </w:pPr>
    </w:p>
    <w:p w14:paraId="1E187624" w14:textId="1A51F37E" w:rsidR="00644C3F" w:rsidRPr="00615057" w:rsidRDefault="00644C3F" w:rsidP="00644C3F">
      <w:pPr>
        <w:spacing w:line="360" w:lineRule="auto"/>
        <w:jc w:val="both"/>
        <w:rPr>
          <w:sz w:val="28"/>
          <w:szCs w:val="28"/>
        </w:rPr>
      </w:pPr>
      <w:r w:rsidRPr="00615057">
        <w:rPr>
          <w:sz w:val="28"/>
          <w:szCs w:val="28"/>
        </w:rPr>
        <w:t>[8]</w:t>
      </w:r>
      <w:r w:rsidRPr="00615057">
        <w:rPr>
          <w:sz w:val="28"/>
          <w:szCs w:val="28"/>
        </w:rPr>
        <w:tab/>
      </w:r>
      <w:r w:rsidR="00262220" w:rsidRPr="00615057">
        <w:rPr>
          <w:sz w:val="28"/>
          <w:szCs w:val="28"/>
        </w:rPr>
        <w:t xml:space="preserve">As to whether a </w:t>
      </w:r>
      <w:r w:rsidR="00262220" w:rsidRPr="00615057">
        <w:rPr>
          <w:i/>
          <w:iCs/>
          <w:sz w:val="28"/>
          <w:szCs w:val="28"/>
        </w:rPr>
        <w:t>prima facie</w:t>
      </w:r>
      <w:r w:rsidR="00262220" w:rsidRPr="00615057">
        <w:rPr>
          <w:sz w:val="28"/>
          <w:szCs w:val="28"/>
        </w:rPr>
        <w:t xml:space="preserve"> right</w:t>
      </w:r>
      <w:r w:rsidR="00FE1F3A" w:rsidRPr="00615057">
        <w:rPr>
          <w:sz w:val="28"/>
          <w:szCs w:val="28"/>
        </w:rPr>
        <w:t xml:space="preserve"> to the accrual claim had been established, in</w:t>
      </w:r>
      <w:r w:rsidRPr="00615057">
        <w:rPr>
          <w:sz w:val="28"/>
          <w:szCs w:val="28"/>
        </w:rPr>
        <w:t xml:space="preserve"> granting the anti-dissipation relief</w:t>
      </w:r>
      <w:r w:rsidR="007E43CA" w:rsidRPr="00615057">
        <w:rPr>
          <w:sz w:val="28"/>
          <w:szCs w:val="28"/>
        </w:rPr>
        <w:t>,</w:t>
      </w:r>
      <w:r w:rsidRPr="00615057">
        <w:rPr>
          <w:sz w:val="28"/>
          <w:szCs w:val="28"/>
        </w:rPr>
        <w:t xml:space="preserve"> the high court </w:t>
      </w:r>
      <w:r w:rsidR="00FE1F3A" w:rsidRPr="00615057">
        <w:rPr>
          <w:sz w:val="28"/>
          <w:szCs w:val="28"/>
        </w:rPr>
        <w:t>made the following findings</w:t>
      </w:r>
      <w:r w:rsidRPr="00615057">
        <w:rPr>
          <w:sz w:val="28"/>
          <w:szCs w:val="28"/>
        </w:rPr>
        <w:t>:</w:t>
      </w:r>
    </w:p>
    <w:p w14:paraId="2B790EE8" w14:textId="7F332D9A" w:rsidR="00644C3F" w:rsidRPr="00615057" w:rsidRDefault="00776528" w:rsidP="00644C3F">
      <w:pPr>
        <w:spacing w:line="360" w:lineRule="auto"/>
        <w:jc w:val="both"/>
      </w:pPr>
      <w:r>
        <w:t>‘</w:t>
      </w:r>
      <w:r w:rsidR="004A5023">
        <w:t xml:space="preserve">[46] </w:t>
      </w:r>
      <w:r w:rsidR="00BD706A">
        <w:t xml:space="preserve">. . . </w:t>
      </w:r>
      <w:r w:rsidR="00644C3F" w:rsidRPr="00615057">
        <w:t>The defendant</w:t>
      </w:r>
      <w:r w:rsidR="00FE1F3A" w:rsidRPr="00615057">
        <w:t xml:space="preserve"> [respondent]</w:t>
      </w:r>
      <w:r w:rsidR="00644C3F" w:rsidRPr="00615057">
        <w:t xml:space="preserve"> states that she has an accrual claim against the plaintiff</w:t>
      </w:r>
      <w:r w:rsidR="00FE1F3A" w:rsidRPr="00615057">
        <w:t xml:space="preserve"> [appellant]</w:t>
      </w:r>
      <w:r w:rsidR="00644C3F" w:rsidRPr="00615057">
        <w:t xml:space="preserve"> because her estate has shown no accrual and the plaintiff’s estate has shown an accrual. She does not substantiate this submission with any primary facts</w:t>
      </w:r>
      <w:r w:rsidR="00DB3A2D">
        <w:t>,</w:t>
      </w:r>
      <w:r w:rsidR="00644C3F" w:rsidRPr="00615057">
        <w:t xml:space="preserve"> e.g. referring to the assumed values of the two estates. This blank statement needs, however, to be considered against the context created in the Rule 34 “with- prejudice” offer made by the plaintiff</w:t>
      </w:r>
      <w:r w:rsidR="00DB3A2D">
        <w:t xml:space="preserve">. . . </w:t>
      </w:r>
    </w:p>
    <w:p w14:paraId="5E3DAD3A" w14:textId="6BD21970" w:rsidR="00644C3F" w:rsidRPr="00615057" w:rsidRDefault="004A5023" w:rsidP="00644C3F">
      <w:pPr>
        <w:spacing w:line="360" w:lineRule="auto"/>
        <w:jc w:val="both"/>
      </w:pPr>
      <w:r>
        <w:lastRenderedPageBreak/>
        <w:t xml:space="preserve">[47] </w:t>
      </w:r>
      <w:r w:rsidR="00644C3F" w:rsidRPr="00615057">
        <w:t xml:space="preserve">The plaintiff’s with-prejudice tender is substantiating a view that the defendant has succeeded in proving, albeit </w:t>
      </w:r>
      <w:r w:rsidR="00644C3F" w:rsidRPr="00E02808">
        <w:rPr>
          <w:i/>
        </w:rPr>
        <w:t>prima facie</w:t>
      </w:r>
      <w:r w:rsidR="00644C3F" w:rsidRPr="00615057">
        <w:t>, that the accrual of the plaintiff’s estate exceeds the accrual of her estate.’</w:t>
      </w:r>
    </w:p>
    <w:p w14:paraId="7F2B66D4" w14:textId="77777777" w:rsidR="00644C3F" w:rsidRPr="00615057" w:rsidRDefault="00644C3F" w:rsidP="00644C3F">
      <w:pPr>
        <w:spacing w:line="360" w:lineRule="auto"/>
        <w:jc w:val="both"/>
        <w:rPr>
          <w:sz w:val="28"/>
          <w:szCs w:val="28"/>
        </w:rPr>
      </w:pPr>
    </w:p>
    <w:p w14:paraId="0944EA45" w14:textId="3E2E85C4" w:rsidR="00FE1F3A" w:rsidRPr="00615057" w:rsidRDefault="00615057" w:rsidP="00644C3F">
      <w:pPr>
        <w:spacing w:line="360" w:lineRule="auto"/>
        <w:jc w:val="both"/>
        <w:rPr>
          <w:sz w:val="28"/>
          <w:szCs w:val="28"/>
        </w:rPr>
      </w:pPr>
      <w:r>
        <w:rPr>
          <w:sz w:val="28"/>
          <w:szCs w:val="28"/>
        </w:rPr>
        <w:t>[9]</w:t>
      </w:r>
      <w:r>
        <w:rPr>
          <w:sz w:val="28"/>
          <w:szCs w:val="28"/>
        </w:rPr>
        <w:tab/>
      </w:r>
      <w:r w:rsidR="00FE1F3A" w:rsidRPr="00615057">
        <w:rPr>
          <w:sz w:val="28"/>
          <w:szCs w:val="28"/>
        </w:rPr>
        <w:t xml:space="preserve">The court based this on these two paragraphs </w:t>
      </w:r>
      <w:r w:rsidR="003609BF" w:rsidRPr="00615057">
        <w:rPr>
          <w:sz w:val="28"/>
          <w:szCs w:val="28"/>
        </w:rPr>
        <w:t>appearing in</w:t>
      </w:r>
      <w:r w:rsidR="00FE1F3A" w:rsidRPr="00615057">
        <w:rPr>
          <w:sz w:val="28"/>
          <w:szCs w:val="28"/>
        </w:rPr>
        <w:t xml:space="preserve"> the </w:t>
      </w:r>
      <w:r w:rsidR="00DB486A">
        <w:rPr>
          <w:sz w:val="28"/>
          <w:szCs w:val="28"/>
        </w:rPr>
        <w:t>r</w:t>
      </w:r>
      <w:r w:rsidR="00FE1F3A" w:rsidRPr="00615057">
        <w:rPr>
          <w:sz w:val="28"/>
          <w:szCs w:val="28"/>
        </w:rPr>
        <w:t>ule 34 ‘with prejudice’ offer:</w:t>
      </w:r>
    </w:p>
    <w:p w14:paraId="2C26DA03" w14:textId="149A926C" w:rsidR="00FE1F3A" w:rsidRPr="00615057" w:rsidRDefault="00FE1F3A" w:rsidP="00FE1F3A">
      <w:pPr>
        <w:spacing w:line="360" w:lineRule="auto"/>
        <w:jc w:val="both"/>
        <w:rPr>
          <w:color w:val="222222"/>
          <w:shd w:val="clear" w:color="auto" w:fill="FFFFFF"/>
          <w:lang w:eastAsia="en-US"/>
        </w:rPr>
      </w:pPr>
      <w:r w:rsidRPr="00615057">
        <w:rPr>
          <w:color w:val="222222"/>
          <w:shd w:val="clear" w:color="auto" w:fill="FFFFFF"/>
        </w:rPr>
        <w:t xml:space="preserve">‘In full and final settlement of the accrual claim of the </w:t>
      </w:r>
      <w:r w:rsidR="00D56ECC">
        <w:rPr>
          <w:color w:val="222222"/>
          <w:shd w:val="clear" w:color="auto" w:fill="FFFFFF"/>
        </w:rPr>
        <w:t>D</w:t>
      </w:r>
      <w:r w:rsidRPr="00615057">
        <w:rPr>
          <w:color w:val="222222"/>
          <w:shd w:val="clear" w:color="auto" w:fill="FFFFFF"/>
        </w:rPr>
        <w:t xml:space="preserve">efendant against the </w:t>
      </w:r>
      <w:r w:rsidR="00D56ECC">
        <w:rPr>
          <w:color w:val="222222"/>
          <w:shd w:val="clear" w:color="auto" w:fill="FFFFFF"/>
        </w:rPr>
        <w:t>P</w:t>
      </w:r>
      <w:r w:rsidRPr="00615057">
        <w:rPr>
          <w:color w:val="222222"/>
          <w:shd w:val="clear" w:color="auto" w:fill="FFFFFF"/>
        </w:rPr>
        <w:t xml:space="preserve">laintiff, the </w:t>
      </w:r>
      <w:r w:rsidR="00D56ECC">
        <w:rPr>
          <w:color w:val="222222"/>
          <w:shd w:val="clear" w:color="auto" w:fill="FFFFFF"/>
        </w:rPr>
        <w:t>P</w:t>
      </w:r>
      <w:r w:rsidRPr="00615057">
        <w:rPr>
          <w:color w:val="222222"/>
          <w:shd w:val="clear" w:color="auto" w:fill="FFFFFF"/>
        </w:rPr>
        <w:t xml:space="preserve">laintiff tenders to the </w:t>
      </w:r>
      <w:r w:rsidR="00912E59">
        <w:rPr>
          <w:color w:val="222222"/>
          <w:shd w:val="clear" w:color="auto" w:fill="FFFFFF"/>
        </w:rPr>
        <w:t>D</w:t>
      </w:r>
      <w:r w:rsidRPr="00615057">
        <w:rPr>
          <w:color w:val="222222"/>
          <w:shd w:val="clear" w:color="auto" w:fill="FFFFFF"/>
        </w:rPr>
        <w:t xml:space="preserve">efendant a sum </w:t>
      </w:r>
      <w:r w:rsidR="00912E59">
        <w:rPr>
          <w:color w:val="222222"/>
          <w:shd w:val="clear" w:color="auto" w:fill="FFFFFF"/>
        </w:rPr>
        <w:t xml:space="preserve">in the amount </w:t>
      </w:r>
      <w:r w:rsidRPr="00615057">
        <w:rPr>
          <w:color w:val="222222"/>
          <w:shd w:val="clear" w:color="auto" w:fill="FFFFFF"/>
        </w:rPr>
        <w:t>of R550</w:t>
      </w:r>
      <w:r w:rsidR="00FE72CE">
        <w:rPr>
          <w:color w:val="222222"/>
          <w:shd w:val="clear" w:color="auto" w:fill="FFFFFF"/>
        </w:rPr>
        <w:t> </w:t>
      </w:r>
      <w:r w:rsidRPr="00615057">
        <w:rPr>
          <w:color w:val="222222"/>
          <w:shd w:val="clear" w:color="auto" w:fill="FFFFFF"/>
        </w:rPr>
        <w:t>000</w:t>
      </w:r>
      <w:r w:rsidR="00FE72CE">
        <w:rPr>
          <w:color w:val="222222"/>
          <w:shd w:val="clear" w:color="auto" w:fill="FFFFFF"/>
        </w:rPr>
        <w:t>.00</w:t>
      </w:r>
      <w:r w:rsidRPr="00615057">
        <w:rPr>
          <w:color w:val="222222"/>
          <w:shd w:val="clear" w:color="auto" w:fill="FFFFFF"/>
        </w:rPr>
        <w:t xml:space="preserve"> (</w:t>
      </w:r>
      <w:r w:rsidR="0076691A">
        <w:rPr>
          <w:color w:val="222222"/>
          <w:shd w:val="clear" w:color="auto" w:fill="FFFFFF"/>
        </w:rPr>
        <w:t>f</w:t>
      </w:r>
      <w:r w:rsidRPr="00615057">
        <w:rPr>
          <w:color w:val="222222"/>
          <w:shd w:val="clear" w:color="auto" w:fill="FFFFFF"/>
        </w:rPr>
        <w:t xml:space="preserve">ive hundred and fifty thousand rand) (‘the accrual tender’)’ </w:t>
      </w:r>
    </w:p>
    <w:p w14:paraId="65D7981E" w14:textId="08F004B1" w:rsidR="00FE1F3A" w:rsidRPr="00615057" w:rsidRDefault="00FE1F3A" w:rsidP="00FE1F3A">
      <w:pPr>
        <w:pStyle w:val="ListParagraph"/>
        <w:spacing w:line="360" w:lineRule="auto"/>
        <w:ind w:left="0"/>
        <w:jc w:val="both"/>
        <w:rPr>
          <w:rFonts w:ascii="Times New Roman" w:hAnsi="Times New Roman" w:cs="Times New Roman"/>
          <w:color w:val="222222"/>
          <w:sz w:val="24"/>
          <w:szCs w:val="24"/>
          <w:shd w:val="clear" w:color="auto" w:fill="FFFFFF"/>
        </w:rPr>
      </w:pPr>
      <w:r w:rsidRPr="00615057">
        <w:rPr>
          <w:rFonts w:ascii="Times New Roman" w:hAnsi="Times New Roman" w:cs="Times New Roman"/>
          <w:color w:val="222222"/>
          <w:sz w:val="24"/>
          <w:szCs w:val="24"/>
          <w:shd w:val="clear" w:color="auto" w:fill="FFFFFF"/>
        </w:rPr>
        <w:t>‘if the Defendant believes that the accrual tender is lower than what the Defendant is entitled to in terms of her accrual claim against the Plaintiff, the defendant may refer the matter to referee for the referee to establish the quantum of the Defendant's accrual claim against the Plaintiff</w:t>
      </w:r>
      <w:r w:rsidR="00CE387E">
        <w:rPr>
          <w:rFonts w:ascii="Times New Roman" w:hAnsi="Times New Roman" w:cs="Times New Roman"/>
          <w:color w:val="222222"/>
          <w:sz w:val="24"/>
          <w:szCs w:val="24"/>
          <w:shd w:val="clear" w:color="auto" w:fill="FFFFFF"/>
        </w:rPr>
        <w:t xml:space="preserve">. . . </w:t>
      </w:r>
      <w:r w:rsidRPr="00615057">
        <w:rPr>
          <w:rFonts w:ascii="Times New Roman" w:hAnsi="Times New Roman" w:cs="Times New Roman"/>
          <w:color w:val="222222"/>
          <w:sz w:val="24"/>
          <w:szCs w:val="24"/>
          <w:shd w:val="clear" w:color="auto" w:fill="FFFFFF"/>
        </w:rPr>
        <w:t>’</w:t>
      </w:r>
    </w:p>
    <w:p w14:paraId="7A5CE09B" w14:textId="77777777" w:rsidR="003609BF" w:rsidRPr="00615057" w:rsidRDefault="003609BF" w:rsidP="00FE1F3A">
      <w:pPr>
        <w:pStyle w:val="ListParagraph"/>
        <w:spacing w:line="360" w:lineRule="auto"/>
        <w:ind w:left="0"/>
        <w:jc w:val="both"/>
        <w:rPr>
          <w:rFonts w:ascii="Times New Roman" w:hAnsi="Times New Roman" w:cs="Times New Roman"/>
          <w:color w:val="222222"/>
          <w:sz w:val="24"/>
          <w:szCs w:val="24"/>
          <w:shd w:val="clear" w:color="auto" w:fill="FFFFFF"/>
        </w:rPr>
      </w:pPr>
    </w:p>
    <w:p w14:paraId="6DE844DD" w14:textId="15F9EBE0" w:rsidR="003609BF" w:rsidRPr="00615057" w:rsidRDefault="003240AE" w:rsidP="00FE1F3A">
      <w:pPr>
        <w:pStyle w:val="ListParagraph"/>
        <w:spacing w:line="360" w:lineRule="auto"/>
        <w:ind w:left="0"/>
        <w:jc w:val="both"/>
        <w:rPr>
          <w:rFonts w:ascii="Times New Roman" w:hAnsi="Times New Roman" w:cs="Times New Roman"/>
          <w:sz w:val="28"/>
          <w:szCs w:val="28"/>
        </w:rPr>
      </w:pPr>
      <w:r w:rsidRPr="00615057">
        <w:rPr>
          <w:rFonts w:ascii="Times New Roman" w:hAnsi="Times New Roman" w:cs="Times New Roman"/>
          <w:sz w:val="28"/>
          <w:szCs w:val="28"/>
        </w:rPr>
        <w:t>[10]</w:t>
      </w:r>
      <w:r w:rsidR="00615057">
        <w:rPr>
          <w:rFonts w:ascii="Times New Roman" w:hAnsi="Times New Roman" w:cs="Times New Roman"/>
          <w:sz w:val="28"/>
          <w:szCs w:val="28"/>
        </w:rPr>
        <w:tab/>
      </w:r>
      <w:r w:rsidRPr="00615057">
        <w:rPr>
          <w:rFonts w:ascii="Times New Roman" w:hAnsi="Times New Roman" w:cs="Times New Roman"/>
          <w:sz w:val="28"/>
          <w:szCs w:val="28"/>
        </w:rPr>
        <w:t>On the question of whether there was a well-grounded irreparable apprehension of harm, the court said</w:t>
      </w:r>
      <w:r w:rsidR="009A255E" w:rsidRPr="00615057">
        <w:rPr>
          <w:rFonts w:ascii="Times New Roman" w:hAnsi="Times New Roman" w:cs="Times New Roman"/>
          <w:sz w:val="28"/>
          <w:szCs w:val="28"/>
        </w:rPr>
        <w:t xml:space="preserve"> the following:</w:t>
      </w:r>
    </w:p>
    <w:p w14:paraId="1B467186" w14:textId="7AF0AA67" w:rsidR="00D754D9" w:rsidRPr="00615057" w:rsidRDefault="009A255E" w:rsidP="00D754D9">
      <w:pPr>
        <w:pStyle w:val="ListParagraph"/>
        <w:spacing w:line="360" w:lineRule="auto"/>
        <w:ind w:left="0"/>
        <w:jc w:val="both"/>
        <w:rPr>
          <w:rFonts w:ascii="Times New Roman" w:hAnsi="Times New Roman" w:cs="Times New Roman"/>
          <w:color w:val="222222"/>
          <w:sz w:val="24"/>
          <w:szCs w:val="24"/>
          <w:shd w:val="clear" w:color="auto" w:fill="FFFFFF"/>
        </w:rPr>
      </w:pPr>
      <w:r w:rsidRPr="00615057">
        <w:rPr>
          <w:rFonts w:ascii="Times New Roman" w:hAnsi="Times New Roman" w:cs="Times New Roman"/>
          <w:sz w:val="24"/>
          <w:szCs w:val="24"/>
        </w:rPr>
        <w:t>‘</w:t>
      </w:r>
      <w:r w:rsidR="00D754D9" w:rsidRPr="00615057">
        <w:rPr>
          <w:rFonts w:ascii="Times New Roman" w:hAnsi="Times New Roman" w:cs="Times New Roman"/>
          <w:color w:val="222222"/>
          <w:sz w:val="24"/>
          <w:szCs w:val="24"/>
          <w:shd w:val="clear" w:color="auto" w:fill="FFFFFF"/>
        </w:rPr>
        <w:t xml:space="preserve">If the defendant succeeds in her counterclaim, and the plaintiff is allowed to sell the house without the proceeds being kept in trust, it will significantly frustrate the enforcement of her claim. The plaintiff, who had several assets at his disposal just before the divorce order was granted, </w:t>
      </w:r>
      <w:r w:rsidR="00D754D9" w:rsidRPr="00615057">
        <w:rPr>
          <w:rFonts w:ascii="Times New Roman" w:hAnsi="Times New Roman" w:cs="Times New Roman"/>
          <w:i/>
          <w:iCs/>
          <w:color w:val="222222"/>
          <w:sz w:val="24"/>
          <w:szCs w:val="24"/>
          <w:shd w:val="clear" w:color="auto" w:fill="FFFFFF"/>
        </w:rPr>
        <w:t xml:space="preserve">managed his estate in such a way that although he still benefits, directly or indirectly, from the value of the assets, the assets are removed from his direct control. </w:t>
      </w:r>
      <w:r w:rsidR="00D754D9" w:rsidRPr="00615057">
        <w:rPr>
          <w:rFonts w:ascii="Times New Roman" w:hAnsi="Times New Roman" w:cs="Times New Roman"/>
          <w:color w:val="222222"/>
          <w:sz w:val="24"/>
          <w:szCs w:val="24"/>
          <w:shd w:val="clear" w:color="auto" w:fill="FFFFFF"/>
        </w:rPr>
        <w:t>The prejudice that will be suffered by the defendant if she is successful in her counterclaim and the order is not granted, meets the requirement of a well-grounded apprehension of irreparable harm.’ (Emphasis added.)</w:t>
      </w:r>
    </w:p>
    <w:p w14:paraId="330D9A18" w14:textId="464F41CA" w:rsidR="00615057" w:rsidRDefault="00D754D9" w:rsidP="00FE1F3A">
      <w:pPr>
        <w:pStyle w:val="ListParagraph"/>
        <w:spacing w:line="360" w:lineRule="auto"/>
        <w:ind w:left="0"/>
        <w:jc w:val="both"/>
        <w:rPr>
          <w:rFonts w:ascii="Times New Roman" w:hAnsi="Times New Roman" w:cs="Times New Roman"/>
          <w:sz w:val="28"/>
          <w:szCs w:val="28"/>
        </w:rPr>
      </w:pPr>
      <w:r w:rsidRPr="00615057">
        <w:rPr>
          <w:rFonts w:ascii="Times New Roman" w:hAnsi="Times New Roman" w:cs="Times New Roman"/>
          <w:sz w:val="28"/>
          <w:szCs w:val="28"/>
        </w:rPr>
        <w:t>The court ultimately found that the balance of convenience favoured the respondent, and she had no other remedy.</w:t>
      </w:r>
    </w:p>
    <w:p w14:paraId="699BCEE0" w14:textId="77777777" w:rsidR="001377BD" w:rsidRPr="00615057" w:rsidRDefault="001377BD" w:rsidP="00FE1F3A">
      <w:pPr>
        <w:pStyle w:val="ListParagraph"/>
        <w:spacing w:line="360" w:lineRule="auto"/>
        <w:ind w:left="0"/>
        <w:jc w:val="both"/>
        <w:rPr>
          <w:rFonts w:ascii="Times New Roman" w:hAnsi="Times New Roman" w:cs="Times New Roman"/>
          <w:color w:val="222222"/>
          <w:sz w:val="24"/>
          <w:szCs w:val="24"/>
          <w:shd w:val="clear" w:color="auto" w:fill="FFFFFF"/>
        </w:rPr>
      </w:pPr>
    </w:p>
    <w:p w14:paraId="3F14CE46" w14:textId="4F10FD7A" w:rsidR="00644C3F" w:rsidRPr="00615057" w:rsidRDefault="00644C3F" w:rsidP="00644C3F">
      <w:pPr>
        <w:spacing w:line="360" w:lineRule="auto"/>
        <w:jc w:val="both"/>
        <w:rPr>
          <w:b/>
          <w:sz w:val="28"/>
          <w:szCs w:val="28"/>
        </w:rPr>
      </w:pPr>
      <w:r w:rsidRPr="00615057">
        <w:rPr>
          <w:b/>
          <w:sz w:val="28"/>
          <w:szCs w:val="28"/>
        </w:rPr>
        <w:t>In this Court</w:t>
      </w:r>
    </w:p>
    <w:p w14:paraId="1C3A25A1" w14:textId="1424A2FA" w:rsidR="00644C3F" w:rsidRPr="00615057" w:rsidRDefault="00644C3F" w:rsidP="00644C3F">
      <w:pPr>
        <w:spacing w:line="360" w:lineRule="auto"/>
        <w:jc w:val="both"/>
        <w:rPr>
          <w:sz w:val="28"/>
          <w:szCs w:val="28"/>
        </w:rPr>
      </w:pPr>
      <w:r w:rsidRPr="00615057">
        <w:rPr>
          <w:sz w:val="28"/>
          <w:szCs w:val="28"/>
        </w:rPr>
        <w:t>[</w:t>
      </w:r>
      <w:r w:rsidR="00D754D9" w:rsidRPr="00615057">
        <w:rPr>
          <w:sz w:val="28"/>
          <w:szCs w:val="28"/>
        </w:rPr>
        <w:t>1</w:t>
      </w:r>
      <w:r w:rsidR="00015354" w:rsidRPr="00615057">
        <w:rPr>
          <w:sz w:val="28"/>
          <w:szCs w:val="28"/>
        </w:rPr>
        <w:t>1</w:t>
      </w:r>
      <w:r w:rsidRPr="00615057">
        <w:rPr>
          <w:sz w:val="28"/>
          <w:szCs w:val="28"/>
        </w:rPr>
        <w:t>]</w:t>
      </w:r>
      <w:r w:rsidRPr="00615057">
        <w:rPr>
          <w:sz w:val="28"/>
          <w:szCs w:val="28"/>
        </w:rPr>
        <w:tab/>
        <w:t>The appellant contend</w:t>
      </w:r>
      <w:r w:rsidR="004D4694" w:rsidRPr="00615057">
        <w:rPr>
          <w:sz w:val="28"/>
          <w:szCs w:val="28"/>
        </w:rPr>
        <w:t>ed</w:t>
      </w:r>
      <w:r w:rsidRPr="00615057">
        <w:rPr>
          <w:sz w:val="28"/>
          <w:szCs w:val="28"/>
        </w:rPr>
        <w:t xml:space="preserve"> that (a) the respondent failed to establish the </w:t>
      </w:r>
      <w:r w:rsidRPr="00615057">
        <w:rPr>
          <w:i/>
          <w:iCs/>
          <w:sz w:val="28"/>
          <w:szCs w:val="28"/>
        </w:rPr>
        <w:t>prima facie</w:t>
      </w:r>
      <w:r w:rsidRPr="00615057">
        <w:rPr>
          <w:sz w:val="28"/>
          <w:szCs w:val="28"/>
        </w:rPr>
        <w:t xml:space="preserve"> right for the granting of an anti-dissipation order; and (b) the high court applied the wrong legal principle</w:t>
      </w:r>
      <w:r w:rsidR="004D4694" w:rsidRPr="00615057">
        <w:rPr>
          <w:sz w:val="28"/>
          <w:szCs w:val="28"/>
        </w:rPr>
        <w:t>s</w:t>
      </w:r>
      <w:r w:rsidRPr="00615057">
        <w:rPr>
          <w:sz w:val="28"/>
          <w:szCs w:val="28"/>
        </w:rPr>
        <w:t xml:space="preserve"> in granting the relief sought. </w:t>
      </w:r>
      <w:r w:rsidR="004D4694" w:rsidRPr="00FF3018">
        <w:rPr>
          <w:sz w:val="28"/>
          <w:szCs w:val="28"/>
        </w:rPr>
        <w:t xml:space="preserve">He also </w:t>
      </w:r>
      <w:r w:rsidR="004D4694" w:rsidRPr="00FF3018">
        <w:rPr>
          <w:sz w:val="28"/>
          <w:szCs w:val="28"/>
        </w:rPr>
        <w:lastRenderedPageBreak/>
        <w:t xml:space="preserve">applied for leave to submit further evidence on appeal and submitted that he would be prejudiced if the high court’s order was not upset on appeal. </w:t>
      </w:r>
      <w:r w:rsidRPr="00FF3018">
        <w:rPr>
          <w:sz w:val="28"/>
          <w:szCs w:val="28"/>
        </w:rPr>
        <w:t xml:space="preserve">The respondent on the other hand, </w:t>
      </w:r>
      <w:r w:rsidR="004D4694" w:rsidRPr="00FF3018">
        <w:rPr>
          <w:sz w:val="28"/>
          <w:szCs w:val="28"/>
        </w:rPr>
        <w:t xml:space="preserve">submitted </w:t>
      </w:r>
      <w:r w:rsidRPr="00FF3018">
        <w:rPr>
          <w:sz w:val="28"/>
          <w:szCs w:val="28"/>
        </w:rPr>
        <w:t>that the appellant’s conduct prior to the dissolution of the marriage relating to money donated to the trust and invested into the annuity, reasonably considered, amount</w:t>
      </w:r>
      <w:r w:rsidR="004D4694" w:rsidRPr="00FF3018">
        <w:rPr>
          <w:sz w:val="28"/>
          <w:szCs w:val="28"/>
        </w:rPr>
        <w:t>ed</w:t>
      </w:r>
      <w:r w:rsidRPr="00FF3018">
        <w:rPr>
          <w:sz w:val="28"/>
          <w:szCs w:val="28"/>
        </w:rPr>
        <w:t xml:space="preserve"> to the conduct required for the anti-dissipation interim relief.</w:t>
      </w:r>
      <w:r w:rsidRPr="00615057">
        <w:rPr>
          <w:sz w:val="28"/>
          <w:szCs w:val="28"/>
        </w:rPr>
        <w:t xml:space="preserve"> </w:t>
      </w:r>
    </w:p>
    <w:p w14:paraId="7DC24EED" w14:textId="77777777" w:rsidR="00644C3F" w:rsidRPr="00615057" w:rsidRDefault="00644C3F" w:rsidP="00644C3F">
      <w:pPr>
        <w:spacing w:line="360" w:lineRule="auto"/>
        <w:jc w:val="both"/>
        <w:rPr>
          <w:sz w:val="28"/>
          <w:szCs w:val="28"/>
        </w:rPr>
      </w:pPr>
    </w:p>
    <w:p w14:paraId="225AD834" w14:textId="3291FF89" w:rsidR="00644C3F" w:rsidRPr="00615057" w:rsidRDefault="00644C3F" w:rsidP="00644C3F">
      <w:pPr>
        <w:spacing w:line="360" w:lineRule="auto"/>
        <w:jc w:val="both"/>
        <w:rPr>
          <w:b/>
          <w:sz w:val="28"/>
          <w:szCs w:val="28"/>
        </w:rPr>
      </w:pPr>
      <w:r w:rsidRPr="00615057">
        <w:rPr>
          <w:b/>
          <w:sz w:val="28"/>
          <w:szCs w:val="28"/>
        </w:rPr>
        <w:t>Application to</w:t>
      </w:r>
      <w:r w:rsidR="004D4694" w:rsidRPr="00615057">
        <w:rPr>
          <w:b/>
          <w:sz w:val="28"/>
          <w:szCs w:val="28"/>
        </w:rPr>
        <w:t xml:space="preserve"> introduce</w:t>
      </w:r>
      <w:r w:rsidRPr="00615057">
        <w:rPr>
          <w:b/>
          <w:sz w:val="28"/>
          <w:szCs w:val="28"/>
        </w:rPr>
        <w:t xml:space="preserve"> further evidence</w:t>
      </w:r>
      <w:r w:rsidR="004D4694" w:rsidRPr="00615057">
        <w:rPr>
          <w:b/>
          <w:sz w:val="28"/>
          <w:szCs w:val="28"/>
        </w:rPr>
        <w:t xml:space="preserve"> on appeal</w:t>
      </w:r>
    </w:p>
    <w:p w14:paraId="1D5FD370" w14:textId="7E30114C" w:rsidR="00092B02" w:rsidRDefault="00644C3F" w:rsidP="00644C3F">
      <w:pPr>
        <w:spacing w:line="360" w:lineRule="auto"/>
        <w:jc w:val="both"/>
        <w:rPr>
          <w:sz w:val="28"/>
          <w:szCs w:val="28"/>
        </w:rPr>
      </w:pPr>
      <w:r w:rsidRPr="00615057">
        <w:rPr>
          <w:sz w:val="28"/>
          <w:szCs w:val="28"/>
        </w:rPr>
        <w:t>[1</w:t>
      </w:r>
      <w:r w:rsidR="00015354" w:rsidRPr="00615057">
        <w:rPr>
          <w:sz w:val="28"/>
          <w:szCs w:val="28"/>
        </w:rPr>
        <w:t>2</w:t>
      </w:r>
      <w:r w:rsidRPr="00615057">
        <w:rPr>
          <w:sz w:val="28"/>
          <w:szCs w:val="28"/>
        </w:rPr>
        <w:t>]</w:t>
      </w:r>
      <w:r w:rsidRPr="00615057">
        <w:rPr>
          <w:sz w:val="28"/>
          <w:szCs w:val="28"/>
        </w:rPr>
        <w:tab/>
        <w:t>Before I d</w:t>
      </w:r>
      <w:r w:rsidR="004D4694" w:rsidRPr="00615057">
        <w:rPr>
          <w:sz w:val="28"/>
          <w:szCs w:val="28"/>
        </w:rPr>
        <w:t>iscuss</w:t>
      </w:r>
      <w:r w:rsidRPr="00615057">
        <w:rPr>
          <w:sz w:val="28"/>
          <w:szCs w:val="28"/>
        </w:rPr>
        <w:t xml:space="preserve"> the parties’ contentions on the merits, I deal with the appellant’s application to </w:t>
      </w:r>
      <w:r w:rsidR="004D4694" w:rsidRPr="00615057">
        <w:rPr>
          <w:sz w:val="28"/>
          <w:szCs w:val="28"/>
        </w:rPr>
        <w:t xml:space="preserve">submit </w:t>
      </w:r>
      <w:r w:rsidRPr="00615057">
        <w:rPr>
          <w:sz w:val="28"/>
          <w:szCs w:val="28"/>
        </w:rPr>
        <w:t xml:space="preserve">further evidence on appeal. The evidence which the appellant seeks to introduce is that the property was transferred to the new owners on </w:t>
      </w:r>
      <w:r w:rsidRPr="00FF3018">
        <w:rPr>
          <w:sz w:val="28"/>
          <w:szCs w:val="28"/>
        </w:rPr>
        <w:t>3 March 2022.</w:t>
      </w:r>
      <w:r w:rsidRPr="00615057">
        <w:rPr>
          <w:sz w:val="28"/>
          <w:szCs w:val="28"/>
        </w:rPr>
        <w:t xml:space="preserve"> His attorneys received an amount of R1 680</w:t>
      </w:r>
      <w:r w:rsidR="00015354" w:rsidRPr="00615057">
        <w:rPr>
          <w:sz w:val="28"/>
          <w:szCs w:val="28"/>
        </w:rPr>
        <w:t> </w:t>
      </w:r>
      <w:r w:rsidRPr="00615057">
        <w:rPr>
          <w:sz w:val="28"/>
          <w:szCs w:val="28"/>
        </w:rPr>
        <w:t>000</w:t>
      </w:r>
      <w:r w:rsidR="00015354" w:rsidRPr="00615057">
        <w:rPr>
          <w:sz w:val="28"/>
          <w:szCs w:val="28"/>
        </w:rPr>
        <w:t xml:space="preserve"> </w:t>
      </w:r>
      <w:r w:rsidRPr="00615057">
        <w:rPr>
          <w:sz w:val="28"/>
          <w:szCs w:val="28"/>
        </w:rPr>
        <w:t xml:space="preserve">on the same day. Various deductions were made from this gross amount totalling R614 258.76. He received additional money following the cancellation of the mortgage bond over the property which brought the net sale of the property to </w:t>
      </w:r>
      <w:r w:rsidRPr="00FF3018">
        <w:rPr>
          <w:sz w:val="28"/>
          <w:szCs w:val="28"/>
        </w:rPr>
        <w:t>R1 165 848.36</w:t>
      </w:r>
      <w:r w:rsidRPr="00615057">
        <w:rPr>
          <w:sz w:val="28"/>
          <w:szCs w:val="28"/>
        </w:rPr>
        <w:t xml:space="preserve">. The appellant used part of this money to pay off his creditors and his attorneys. As to why this evidence was not introduced during the trial, the appellant explains that he could not submit </w:t>
      </w:r>
      <w:r w:rsidR="004D4694" w:rsidRPr="00615057">
        <w:rPr>
          <w:sz w:val="28"/>
          <w:szCs w:val="28"/>
        </w:rPr>
        <w:t xml:space="preserve">this </w:t>
      </w:r>
      <w:r w:rsidRPr="00615057">
        <w:rPr>
          <w:sz w:val="28"/>
          <w:szCs w:val="28"/>
        </w:rPr>
        <w:t>evidence in the high court as his answering affidavit was delivered months before th</w:t>
      </w:r>
      <w:r w:rsidR="004D4694" w:rsidRPr="00615057">
        <w:rPr>
          <w:sz w:val="28"/>
          <w:szCs w:val="28"/>
        </w:rPr>
        <w:t>is</w:t>
      </w:r>
      <w:r w:rsidRPr="00615057">
        <w:rPr>
          <w:sz w:val="28"/>
          <w:szCs w:val="28"/>
        </w:rPr>
        <w:t xml:space="preserve"> evidence arose.</w:t>
      </w:r>
    </w:p>
    <w:p w14:paraId="12251158" w14:textId="15148C78" w:rsidR="00644C3F" w:rsidRPr="00615057" w:rsidRDefault="00644C3F" w:rsidP="00644C3F">
      <w:pPr>
        <w:spacing w:line="360" w:lineRule="auto"/>
        <w:jc w:val="both"/>
        <w:rPr>
          <w:sz w:val="28"/>
          <w:szCs w:val="28"/>
        </w:rPr>
      </w:pPr>
    </w:p>
    <w:p w14:paraId="17E44B52" w14:textId="053348A0" w:rsidR="00644C3F" w:rsidRPr="00615057" w:rsidRDefault="00644C3F" w:rsidP="00644C3F">
      <w:pPr>
        <w:spacing w:line="360" w:lineRule="auto"/>
        <w:jc w:val="both"/>
        <w:rPr>
          <w:sz w:val="28"/>
          <w:szCs w:val="28"/>
        </w:rPr>
      </w:pPr>
      <w:r w:rsidRPr="00615057">
        <w:rPr>
          <w:sz w:val="28"/>
          <w:szCs w:val="28"/>
        </w:rPr>
        <w:t>[1</w:t>
      </w:r>
      <w:r w:rsidR="00015354" w:rsidRPr="00615057">
        <w:rPr>
          <w:sz w:val="28"/>
          <w:szCs w:val="28"/>
        </w:rPr>
        <w:t>3</w:t>
      </w:r>
      <w:r w:rsidRPr="00615057">
        <w:rPr>
          <w:sz w:val="28"/>
          <w:szCs w:val="28"/>
        </w:rPr>
        <w:t>]</w:t>
      </w:r>
      <w:r w:rsidRPr="00615057">
        <w:rPr>
          <w:sz w:val="28"/>
          <w:szCs w:val="28"/>
        </w:rPr>
        <w:tab/>
        <w:t>Section 19</w:t>
      </w:r>
      <w:r w:rsidRPr="00615057">
        <w:rPr>
          <w:i/>
          <w:sz w:val="28"/>
          <w:szCs w:val="28"/>
        </w:rPr>
        <w:t>(b)</w:t>
      </w:r>
      <w:r w:rsidRPr="00615057">
        <w:rPr>
          <w:sz w:val="28"/>
          <w:szCs w:val="28"/>
        </w:rPr>
        <w:t xml:space="preserve"> of the Superior Courts Act</w:t>
      </w:r>
      <w:r w:rsidR="00E85B44">
        <w:rPr>
          <w:sz w:val="28"/>
          <w:szCs w:val="28"/>
        </w:rPr>
        <w:t xml:space="preserve"> 10 of 2013, </w:t>
      </w:r>
      <w:r w:rsidRPr="00615057">
        <w:rPr>
          <w:sz w:val="28"/>
          <w:szCs w:val="28"/>
        </w:rPr>
        <w:t xml:space="preserve">empowers this Court to receive further evidence on appeal. The criteria as to whether evidence should be admitted are: the need for finality; the undesirability of permitting a litigant who has been remiss in bringing forth evidence </w:t>
      </w:r>
      <w:r w:rsidR="004D4694" w:rsidRPr="00615057">
        <w:rPr>
          <w:sz w:val="28"/>
          <w:szCs w:val="28"/>
        </w:rPr>
        <w:t xml:space="preserve">and </w:t>
      </w:r>
      <w:r w:rsidRPr="00615057">
        <w:rPr>
          <w:sz w:val="28"/>
          <w:szCs w:val="28"/>
        </w:rPr>
        <w:t>to produce it late in the day; and the need to avoid prejudice.</w:t>
      </w:r>
      <w:r w:rsidR="005326FE" w:rsidRPr="00B046FB">
        <w:rPr>
          <w:rStyle w:val="FootnoteReference"/>
          <w:sz w:val="28"/>
          <w:szCs w:val="28"/>
        </w:rPr>
        <w:footnoteReference w:customMarkFollows="1" w:id="1"/>
        <w:t>1</w:t>
      </w:r>
      <w:r w:rsidRPr="00615057">
        <w:rPr>
          <w:sz w:val="28"/>
          <w:szCs w:val="28"/>
        </w:rPr>
        <w:t xml:space="preserve"> In</w:t>
      </w:r>
      <w:r w:rsidRPr="00615057">
        <w:rPr>
          <w:i/>
          <w:sz w:val="28"/>
          <w:szCs w:val="28"/>
        </w:rPr>
        <w:t xml:space="preserve"> Rail Commuters Action Group and Others v Transnet Ltd t/a Metrorail and Others</w:t>
      </w:r>
      <w:r w:rsidR="005B2626">
        <w:rPr>
          <w:sz w:val="28"/>
          <w:szCs w:val="28"/>
        </w:rPr>
        <w:t>,</w:t>
      </w:r>
      <w:r w:rsidR="005B2626">
        <w:rPr>
          <w:rStyle w:val="FootnoteReference"/>
          <w:sz w:val="28"/>
          <w:szCs w:val="28"/>
        </w:rPr>
        <w:footnoteReference w:customMarkFollows="1" w:id="2"/>
        <w:t>2</w:t>
      </w:r>
      <w:r w:rsidR="005B2626">
        <w:rPr>
          <w:i/>
          <w:sz w:val="28"/>
          <w:szCs w:val="28"/>
        </w:rPr>
        <w:t xml:space="preserve"> </w:t>
      </w:r>
      <w:r w:rsidRPr="00615057">
        <w:rPr>
          <w:sz w:val="28"/>
          <w:szCs w:val="28"/>
        </w:rPr>
        <w:t>the</w:t>
      </w:r>
      <w:r w:rsidRPr="00615057">
        <w:rPr>
          <w:i/>
          <w:sz w:val="28"/>
          <w:szCs w:val="28"/>
        </w:rPr>
        <w:t xml:space="preserve"> C</w:t>
      </w:r>
      <w:r w:rsidRPr="00615057">
        <w:rPr>
          <w:sz w:val="28"/>
          <w:szCs w:val="28"/>
        </w:rPr>
        <w:t>onstitutional Court, referring to s</w:t>
      </w:r>
      <w:r w:rsidR="005B2626">
        <w:rPr>
          <w:sz w:val="28"/>
          <w:szCs w:val="28"/>
        </w:rPr>
        <w:t> </w:t>
      </w:r>
      <w:r w:rsidRPr="00615057">
        <w:rPr>
          <w:sz w:val="28"/>
          <w:szCs w:val="28"/>
        </w:rPr>
        <w:t xml:space="preserve">22 </w:t>
      </w:r>
      <w:r w:rsidRPr="00615057">
        <w:rPr>
          <w:sz w:val="28"/>
          <w:szCs w:val="28"/>
        </w:rPr>
        <w:lastRenderedPageBreak/>
        <w:t>of the repealed Supreme Court Act</w:t>
      </w:r>
      <w:r w:rsidR="00E2098B">
        <w:rPr>
          <w:sz w:val="28"/>
          <w:szCs w:val="28"/>
        </w:rPr>
        <w:t xml:space="preserve"> 59 of 1959</w:t>
      </w:r>
      <w:r w:rsidRPr="00615057">
        <w:rPr>
          <w:sz w:val="28"/>
          <w:szCs w:val="28"/>
        </w:rPr>
        <w:t xml:space="preserve"> which is similar to s</w:t>
      </w:r>
      <w:r w:rsidR="002C6AA1">
        <w:rPr>
          <w:sz w:val="28"/>
          <w:szCs w:val="28"/>
        </w:rPr>
        <w:t> </w:t>
      </w:r>
      <w:r w:rsidRPr="00615057">
        <w:rPr>
          <w:sz w:val="28"/>
          <w:szCs w:val="28"/>
        </w:rPr>
        <w:t>19</w:t>
      </w:r>
      <w:r w:rsidRPr="00615057">
        <w:rPr>
          <w:i/>
          <w:sz w:val="28"/>
          <w:szCs w:val="28"/>
        </w:rPr>
        <w:t>(b)</w:t>
      </w:r>
      <w:r w:rsidRPr="00615057">
        <w:rPr>
          <w:sz w:val="28"/>
          <w:szCs w:val="28"/>
        </w:rPr>
        <w:t xml:space="preserve"> of the Superior Courts Act, cautioned that the power to receive further evidence on appeal should be exercised ‘sparingly’ and that such evidence should only be admitted in ‘exceptional circumstances’. Furthermore, in </w:t>
      </w:r>
      <w:r w:rsidRPr="00615057">
        <w:rPr>
          <w:i/>
          <w:sz w:val="28"/>
          <w:szCs w:val="28"/>
        </w:rPr>
        <w:t>O’Shea NO v Van Zyl NO</w:t>
      </w:r>
      <w:r w:rsidRPr="00615057">
        <w:rPr>
          <w:sz w:val="28"/>
          <w:szCs w:val="28"/>
        </w:rPr>
        <w:t xml:space="preserve"> </w:t>
      </w:r>
      <w:r w:rsidRPr="00615057">
        <w:rPr>
          <w:i/>
          <w:sz w:val="28"/>
          <w:szCs w:val="28"/>
        </w:rPr>
        <w:t xml:space="preserve">and </w:t>
      </w:r>
      <w:r w:rsidR="00234F63">
        <w:rPr>
          <w:i/>
          <w:sz w:val="28"/>
          <w:szCs w:val="28"/>
        </w:rPr>
        <w:t>O</w:t>
      </w:r>
      <w:r w:rsidRPr="00615057">
        <w:rPr>
          <w:i/>
          <w:sz w:val="28"/>
          <w:szCs w:val="28"/>
        </w:rPr>
        <w:t>thers</w:t>
      </w:r>
      <w:r w:rsidR="00234F63">
        <w:rPr>
          <w:sz w:val="28"/>
          <w:szCs w:val="28"/>
        </w:rPr>
        <w:t>,</w:t>
      </w:r>
      <w:r w:rsidR="00234F63">
        <w:rPr>
          <w:rStyle w:val="FootnoteReference"/>
          <w:sz w:val="28"/>
          <w:szCs w:val="28"/>
        </w:rPr>
        <w:footnoteReference w:customMarkFollows="1" w:id="3"/>
        <w:t>3</w:t>
      </w:r>
      <w:r w:rsidRPr="00615057">
        <w:rPr>
          <w:sz w:val="28"/>
          <w:szCs w:val="28"/>
        </w:rPr>
        <w:t xml:space="preserve"> this Court held that one of the criteria for the late admission of the new evidence is that such evidence will be practically conclusive and final in its effect on the issue to which it is directed.</w:t>
      </w:r>
    </w:p>
    <w:p w14:paraId="2C2A446F" w14:textId="77777777" w:rsidR="00644C3F" w:rsidRPr="00615057" w:rsidRDefault="00644C3F" w:rsidP="00644C3F">
      <w:pPr>
        <w:spacing w:line="360" w:lineRule="auto"/>
        <w:jc w:val="both"/>
        <w:rPr>
          <w:sz w:val="28"/>
          <w:szCs w:val="28"/>
        </w:rPr>
      </w:pPr>
    </w:p>
    <w:p w14:paraId="6C902047" w14:textId="1E9D3126" w:rsidR="00644C3F" w:rsidRPr="00615057" w:rsidRDefault="00644C3F" w:rsidP="00644C3F">
      <w:pPr>
        <w:spacing w:line="360" w:lineRule="auto"/>
        <w:jc w:val="both"/>
        <w:rPr>
          <w:sz w:val="28"/>
          <w:szCs w:val="28"/>
        </w:rPr>
      </w:pPr>
      <w:r w:rsidRPr="00615057">
        <w:rPr>
          <w:sz w:val="28"/>
          <w:szCs w:val="28"/>
        </w:rPr>
        <w:t>[1</w:t>
      </w:r>
      <w:r w:rsidR="00015354" w:rsidRPr="00615057">
        <w:rPr>
          <w:sz w:val="28"/>
          <w:szCs w:val="28"/>
        </w:rPr>
        <w:t>4</w:t>
      </w:r>
      <w:r w:rsidRPr="00615057">
        <w:rPr>
          <w:sz w:val="28"/>
          <w:szCs w:val="28"/>
        </w:rPr>
        <w:t>]</w:t>
      </w:r>
      <w:r w:rsidRPr="00615057">
        <w:rPr>
          <w:sz w:val="28"/>
          <w:szCs w:val="28"/>
        </w:rPr>
        <w:tab/>
        <w:t xml:space="preserve">Against this </w:t>
      </w:r>
      <w:r w:rsidR="00513BE3" w:rsidRPr="00615057">
        <w:rPr>
          <w:sz w:val="28"/>
          <w:szCs w:val="28"/>
        </w:rPr>
        <w:t>background I</w:t>
      </w:r>
      <w:r w:rsidR="002B7560" w:rsidRPr="00615057">
        <w:rPr>
          <w:sz w:val="28"/>
          <w:szCs w:val="28"/>
        </w:rPr>
        <w:t xml:space="preserve"> proceed to</w:t>
      </w:r>
      <w:r w:rsidR="00E81D4F" w:rsidRPr="00615057">
        <w:rPr>
          <w:sz w:val="28"/>
          <w:szCs w:val="28"/>
        </w:rPr>
        <w:t xml:space="preserve"> deal with the </w:t>
      </w:r>
      <w:r w:rsidR="00163ED4" w:rsidRPr="00615057">
        <w:rPr>
          <w:sz w:val="28"/>
          <w:szCs w:val="28"/>
        </w:rPr>
        <w:t>appellant</w:t>
      </w:r>
      <w:r w:rsidR="00E81D4F" w:rsidRPr="00615057">
        <w:rPr>
          <w:sz w:val="28"/>
          <w:szCs w:val="28"/>
        </w:rPr>
        <w:t xml:space="preserve">’s application to </w:t>
      </w:r>
      <w:r w:rsidR="00BA19FB" w:rsidRPr="00615057">
        <w:rPr>
          <w:sz w:val="28"/>
          <w:szCs w:val="28"/>
        </w:rPr>
        <w:t>adduce</w:t>
      </w:r>
      <w:r w:rsidR="00E81D4F" w:rsidRPr="00615057">
        <w:rPr>
          <w:sz w:val="28"/>
          <w:szCs w:val="28"/>
        </w:rPr>
        <w:t xml:space="preserve"> new evidence.</w:t>
      </w:r>
      <w:r w:rsidRPr="00615057">
        <w:rPr>
          <w:sz w:val="28"/>
          <w:szCs w:val="28"/>
        </w:rPr>
        <w:t xml:space="preserve">  </w:t>
      </w:r>
      <w:r w:rsidR="000C44A0" w:rsidRPr="00615057">
        <w:rPr>
          <w:sz w:val="28"/>
          <w:szCs w:val="28"/>
        </w:rPr>
        <w:t>T</w:t>
      </w:r>
      <w:r w:rsidRPr="00615057">
        <w:rPr>
          <w:sz w:val="28"/>
          <w:szCs w:val="28"/>
        </w:rPr>
        <w:t xml:space="preserve">here is no merit in the appellant’s application. I discern no ‘exceptional circumstances’ to move this Court to exercise its power, which, it must be borne in mind, should be exercised sparingly. The appellant’s answering affidavit was served on </w:t>
      </w:r>
      <w:r w:rsidRPr="002127EF">
        <w:rPr>
          <w:sz w:val="28"/>
          <w:szCs w:val="28"/>
        </w:rPr>
        <w:t>17 August 2021</w:t>
      </w:r>
      <w:r w:rsidRPr="004E105D">
        <w:rPr>
          <w:sz w:val="28"/>
          <w:szCs w:val="28"/>
        </w:rPr>
        <w:t>.</w:t>
      </w:r>
      <w:r w:rsidRPr="00615057">
        <w:rPr>
          <w:sz w:val="28"/>
          <w:szCs w:val="28"/>
        </w:rPr>
        <w:t xml:space="preserve"> According to him, the property was transferred to the new owners on </w:t>
      </w:r>
      <w:r w:rsidRPr="00FF3018">
        <w:rPr>
          <w:sz w:val="28"/>
          <w:szCs w:val="28"/>
        </w:rPr>
        <w:t>3 March 2022</w:t>
      </w:r>
      <w:r w:rsidRPr="00615057">
        <w:rPr>
          <w:sz w:val="28"/>
          <w:szCs w:val="28"/>
        </w:rPr>
        <w:t xml:space="preserve">. His attorneys received the proceeds of the sale on the same day. He received further amounts from the bank when the bond was cancelled. He used these </w:t>
      </w:r>
      <w:r w:rsidR="004A5023">
        <w:rPr>
          <w:sz w:val="28"/>
          <w:szCs w:val="28"/>
        </w:rPr>
        <w:t>funds</w:t>
      </w:r>
      <w:r w:rsidRPr="00615057">
        <w:rPr>
          <w:sz w:val="28"/>
          <w:szCs w:val="28"/>
        </w:rPr>
        <w:t xml:space="preserve"> to pay his debts and his attorneys between March and April 2022. </w:t>
      </w:r>
      <w:r w:rsidR="00B82AC8" w:rsidRPr="00615057">
        <w:rPr>
          <w:sz w:val="28"/>
          <w:szCs w:val="28"/>
        </w:rPr>
        <w:t>T</w:t>
      </w:r>
      <w:r w:rsidRPr="00615057">
        <w:rPr>
          <w:sz w:val="28"/>
          <w:szCs w:val="28"/>
        </w:rPr>
        <w:t>he application was heard on 23 August 2022 almost four months after this new evidence came to his knowledge. The evidence sought to be introduced should have been presented prior to hearing of the application in the high court</w:t>
      </w:r>
      <w:r w:rsidR="00B82AC8" w:rsidRPr="00615057">
        <w:rPr>
          <w:sz w:val="28"/>
          <w:szCs w:val="28"/>
        </w:rPr>
        <w:t xml:space="preserve"> or at the very least prior to the handing down</w:t>
      </w:r>
      <w:r w:rsidR="00561B4E" w:rsidRPr="00615057">
        <w:rPr>
          <w:sz w:val="28"/>
          <w:szCs w:val="28"/>
        </w:rPr>
        <w:t xml:space="preserve"> of the judgment</w:t>
      </w:r>
      <w:r w:rsidR="007E43CA" w:rsidRPr="00615057">
        <w:rPr>
          <w:sz w:val="28"/>
          <w:szCs w:val="28"/>
        </w:rPr>
        <w:t>,</w:t>
      </w:r>
      <w:r w:rsidR="00561B4E" w:rsidRPr="00615057">
        <w:rPr>
          <w:sz w:val="28"/>
          <w:szCs w:val="28"/>
        </w:rPr>
        <w:t xml:space="preserve"> as the evidence was known and available to the appellant long before then</w:t>
      </w:r>
      <w:r w:rsidRPr="00615057">
        <w:rPr>
          <w:sz w:val="28"/>
          <w:szCs w:val="28"/>
        </w:rPr>
        <w:t>. There is no explanation why that was not done. In my view, the application to adduce further evidence on appeal must be dismissed.</w:t>
      </w:r>
    </w:p>
    <w:p w14:paraId="70332858" w14:textId="77777777" w:rsidR="00644C3F" w:rsidRPr="00615057" w:rsidRDefault="00644C3F" w:rsidP="00644C3F">
      <w:pPr>
        <w:spacing w:line="360" w:lineRule="auto"/>
        <w:jc w:val="both"/>
        <w:rPr>
          <w:sz w:val="28"/>
          <w:szCs w:val="28"/>
        </w:rPr>
      </w:pPr>
    </w:p>
    <w:p w14:paraId="759FAF2D" w14:textId="01F48779" w:rsidR="00644C3F" w:rsidRPr="00615057" w:rsidRDefault="00D13205" w:rsidP="00644C3F">
      <w:pPr>
        <w:spacing w:line="360" w:lineRule="auto"/>
        <w:jc w:val="both"/>
        <w:rPr>
          <w:b/>
          <w:sz w:val="28"/>
          <w:szCs w:val="28"/>
        </w:rPr>
      </w:pPr>
      <w:r w:rsidRPr="00615057">
        <w:rPr>
          <w:b/>
          <w:sz w:val="28"/>
          <w:szCs w:val="28"/>
        </w:rPr>
        <w:t>Anti-dissipation interdict</w:t>
      </w:r>
    </w:p>
    <w:p w14:paraId="0A105141" w14:textId="01179EB2" w:rsidR="00D13205" w:rsidRPr="00615057" w:rsidRDefault="00D13205" w:rsidP="00644C3F">
      <w:pPr>
        <w:spacing w:line="360" w:lineRule="auto"/>
        <w:jc w:val="both"/>
        <w:rPr>
          <w:sz w:val="28"/>
          <w:szCs w:val="28"/>
        </w:rPr>
      </w:pPr>
      <w:r w:rsidRPr="00615057">
        <w:rPr>
          <w:sz w:val="28"/>
          <w:szCs w:val="28"/>
        </w:rPr>
        <w:lastRenderedPageBreak/>
        <w:t>[1</w:t>
      </w:r>
      <w:r w:rsidR="00015354" w:rsidRPr="00615057">
        <w:rPr>
          <w:sz w:val="28"/>
          <w:szCs w:val="28"/>
        </w:rPr>
        <w:t>5</w:t>
      </w:r>
      <w:r w:rsidRPr="00615057">
        <w:rPr>
          <w:sz w:val="28"/>
          <w:szCs w:val="28"/>
        </w:rPr>
        <w:t>]</w:t>
      </w:r>
      <w:r w:rsidR="00234F63">
        <w:rPr>
          <w:sz w:val="28"/>
          <w:szCs w:val="28"/>
        </w:rPr>
        <w:tab/>
      </w:r>
      <w:r w:rsidRPr="00615057">
        <w:rPr>
          <w:sz w:val="28"/>
          <w:szCs w:val="28"/>
        </w:rPr>
        <w:t>An anti-dissipation interdict may be granted where a respondent is believed to be deliberately arranging his affairs in such a way so as to ensure that by the time the applicant is in a position to execute judgment, he will be without assets or sufficient assets on which the applicant expects to execute.</w:t>
      </w:r>
      <w:r w:rsidR="000A4D89" w:rsidRPr="00615057">
        <w:rPr>
          <w:sz w:val="28"/>
          <w:szCs w:val="28"/>
        </w:rPr>
        <w:t xml:space="preserve"> Its purpose is to preserve the asset which is in issue between the parties. The onus is on the applicant for such </w:t>
      </w:r>
      <w:r w:rsidR="0099014F" w:rsidRPr="00615057">
        <w:rPr>
          <w:sz w:val="28"/>
          <w:szCs w:val="28"/>
        </w:rPr>
        <w:t xml:space="preserve">an </w:t>
      </w:r>
      <w:r w:rsidR="000A4D89" w:rsidRPr="00615057">
        <w:rPr>
          <w:sz w:val="28"/>
          <w:szCs w:val="28"/>
        </w:rPr>
        <w:t>interdict to establish the necessary requirements for the grant of the interdict.</w:t>
      </w:r>
    </w:p>
    <w:p w14:paraId="2F09E07D" w14:textId="77777777" w:rsidR="000A4D89" w:rsidRPr="00615057" w:rsidRDefault="000A4D89" w:rsidP="00644C3F">
      <w:pPr>
        <w:spacing w:line="360" w:lineRule="auto"/>
        <w:jc w:val="both"/>
        <w:rPr>
          <w:sz w:val="28"/>
          <w:szCs w:val="28"/>
        </w:rPr>
      </w:pPr>
    </w:p>
    <w:p w14:paraId="28F5E5E4" w14:textId="0F734ADC" w:rsidR="000A4D89" w:rsidRPr="00615057" w:rsidRDefault="000A4D89" w:rsidP="00644C3F">
      <w:pPr>
        <w:spacing w:line="360" w:lineRule="auto"/>
        <w:jc w:val="both"/>
        <w:rPr>
          <w:b/>
          <w:sz w:val="28"/>
          <w:szCs w:val="28"/>
        </w:rPr>
      </w:pPr>
      <w:r w:rsidRPr="00615057">
        <w:rPr>
          <w:b/>
          <w:sz w:val="28"/>
          <w:szCs w:val="28"/>
        </w:rPr>
        <w:t xml:space="preserve">Did the respondent satisfy the requirements </w:t>
      </w:r>
      <w:r w:rsidR="008F144F" w:rsidRPr="00615057">
        <w:rPr>
          <w:b/>
          <w:sz w:val="28"/>
          <w:szCs w:val="28"/>
        </w:rPr>
        <w:t>for</w:t>
      </w:r>
      <w:r w:rsidRPr="00615057">
        <w:rPr>
          <w:b/>
          <w:sz w:val="28"/>
          <w:szCs w:val="28"/>
        </w:rPr>
        <w:t xml:space="preserve"> an anti-dissipation interdict</w:t>
      </w:r>
      <w:r w:rsidR="004A5023">
        <w:rPr>
          <w:b/>
          <w:sz w:val="28"/>
          <w:szCs w:val="28"/>
        </w:rPr>
        <w:t>?</w:t>
      </w:r>
    </w:p>
    <w:p w14:paraId="7C81246E" w14:textId="4302C09F" w:rsidR="00644C3F" w:rsidRPr="00615057" w:rsidRDefault="00FC649E" w:rsidP="00644C3F">
      <w:pPr>
        <w:spacing w:line="360" w:lineRule="auto"/>
        <w:jc w:val="both"/>
        <w:rPr>
          <w:sz w:val="28"/>
          <w:szCs w:val="28"/>
        </w:rPr>
      </w:pPr>
      <w:r w:rsidRPr="00615057">
        <w:rPr>
          <w:sz w:val="28"/>
          <w:szCs w:val="28"/>
        </w:rPr>
        <w:t>[1</w:t>
      </w:r>
      <w:r w:rsidR="00015354" w:rsidRPr="00615057">
        <w:rPr>
          <w:sz w:val="28"/>
          <w:szCs w:val="28"/>
        </w:rPr>
        <w:t>6</w:t>
      </w:r>
      <w:r w:rsidR="00644C3F" w:rsidRPr="00615057">
        <w:rPr>
          <w:sz w:val="28"/>
          <w:szCs w:val="28"/>
        </w:rPr>
        <w:t>]</w:t>
      </w:r>
      <w:r w:rsidR="00644C3F" w:rsidRPr="00615057">
        <w:rPr>
          <w:sz w:val="28"/>
          <w:szCs w:val="28"/>
        </w:rPr>
        <w:tab/>
      </w:r>
      <w:r w:rsidR="007F14CB" w:rsidRPr="00615057">
        <w:rPr>
          <w:sz w:val="28"/>
          <w:szCs w:val="28"/>
        </w:rPr>
        <w:t>T</w:t>
      </w:r>
      <w:r w:rsidR="00644C3F" w:rsidRPr="00615057">
        <w:rPr>
          <w:sz w:val="28"/>
          <w:szCs w:val="28"/>
        </w:rPr>
        <w:t xml:space="preserve">he requirements </w:t>
      </w:r>
      <w:r w:rsidR="008F144F" w:rsidRPr="00615057">
        <w:rPr>
          <w:sz w:val="28"/>
          <w:szCs w:val="28"/>
        </w:rPr>
        <w:t>for</w:t>
      </w:r>
      <w:r w:rsidR="00644C3F" w:rsidRPr="00615057">
        <w:rPr>
          <w:sz w:val="28"/>
          <w:szCs w:val="28"/>
        </w:rPr>
        <w:t xml:space="preserve"> an interim interdict</w:t>
      </w:r>
      <w:r w:rsidR="00644C3F" w:rsidRPr="00615057">
        <w:rPr>
          <w:color w:val="FF0000"/>
          <w:sz w:val="28"/>
          <w:szCs w:val="28"/>
        </w:rPr>
        <w:t xml:space="preserve"> </w:t>
      </w:r>
      <w:r w:rsidR="00644C3F" w:rsidRPr="00615057">
        <w:rPr>
          <w:sz w:val="28"/>
          <w:szCs w:val="28"/>
        </w:rPr>
        <w:t xml:space="preserve">are: (a) a </w:t>
      </w:r>
      <w:r w:rsidR="00644C3F" w:rsidRPr="00E02808">
        <w:rPr>
          <w:i/>
          <w:sz w:val="28"/>
          <w:szCs w:val="28"/>
        </w:rPr>
        <w:t>prima facie</w:t>
      </w:r>
      <w:r w:rsidR="00644C3F" w:rsidRPr="00615057">
        <w:rPr>
          <w:sz w:val="28"/>
          <w:szCs w:val="28"/>
        </w:rPr>
        <w:t xml:space="preserve"> right</w:t>
      </w:r>
      <w:r w:rsidR="004A5023">
        <w:rPr>
          <w:sz w:val="28"/>
          <w:szCs w:val="28"/>
        </w:rPr>
        <w:t>,</w:t>
      </w:r>
      <w:r w:rsidR="00644C3F" w:rsidRPr="00615057">
        <w:rPr>
          <w:sz w:val="28"/>
          <w:szCs w:val="28"/>
        </w:rPr>
        <w:t xml:space="preserve"> even if it is open to some doubt; (b) injury actually committed or reasonably apprehended; (c) the balance of</w:t>
      </w:r>
      <w:r w:rsidR="00511238" w:rsidRPr="00615057">
        <w:rPr>
          <w:sz w:val="28"/>
          <w:szCs w:val="28"/>
        </w:rPr>
        <w:t xml:space="preserve"> </w:t>
      </w:r>
      <w:r w:rsidR="00644C3F" w:rsidRPr="00615057">
        <w:rPr>
          <w:sz w:val="28"/>
          <w:szCs w:val="28"/>
        </w:rPr>
        <w:t>convenience; and (d) the absence of similar protection by any other remedy.</w:t>
      </w:r>
      <w:r w:rsidR="00BB5915">
        <w:rPr>
          <w:rStyle w:val="FootnoteReference"/>
          <w:sz w:val="28"/>
          <w:szCs w:val="28"/>
        </w:rPr>
        <w:footnoteReference w:customMarkFollows="1" w:id="4"/>
        <w:t>4</w:t>
      </w:r>
      <w:r w:rsidR="00644C3F" w:rsidRPr="00615057">
        <w:rPr>
          <w:sz w:val="28"/>
          <w:szCs w:val="28"/>
        </w:rPr>
        <w:t xml:space="preserve"> In </w:t>
      </w:r>
      <w:r w:rsidR="00644C3F" w:rsidRPr="00615057">
        <w:rPr>
          <w:i/>
          <w:sz w:val="28"/>
          <w:szCs w:val="28"/>
        </w:rPr>
        <w:t>Knox D’Arcy Ltd and Others v Jamieson and Others</w:t>
      </w:r>
      <w:r w:rsidR="00351D98">
        <w:rPr>
          <w:rStyle w:val="FootnoteReference"/>
          <w:i/>
          <w:sz w:val="28"/>
          <w:szCs w:val="28"/>
        </w:rPr>
        <w:footnoteReference w:customMarkFollows="1" w:id="5"/>
        <w:t>5</w:t>
      </w:r>
      <w:r w:rsidR="00644C3F" w:rsidRPr="00615057">
        <w:rPr>
          <w:sz w:val="28"/>
          <w:szCs w:val="28"/>
        </w:rPr>
        <w:t xml:space="preserve"> (</w:t>
      </w:r>
      <w:r w:rsidR="00644C3F" w:rsidRPr="00615057">
        <w:rPr>
          <w:i/>
          <w:sz w:val="28"/>
          <w:szCs w:val="28"/>
        </w:rPr>
        <w:t>Knox D’Arcy</w:t>
      </w:r>
      <w:r w:rsidR="00644C3F" w:rsidRPr="00615057">
        <w:rPr>
          <w:sz w:val="28"/>
          <w:szCs w:val="28"/>
        </w:rPr>
        <w:t>) this Court went further and held that an anti-dissipation interdict provides a remedy where an applicant has shown on the established basis of an interim interdict; (a) a claim against a respondent and (b) that the respondent is</w:t>
      </w:r>
      <w:r w:rsidR="00505297" w:rsidRPr="00615057">
        <w:rPr>
          <w:sz w:val="28"/>
          <w:szCs w:val="28"/>
        </w:rPr>
        <w:t xml:space="preserve"> [intentionally]</w:t>
      </w:r>
      <w:r w:rsidR="00644C3F" w:rsidRPr="00615057">
        <w:rPr>
          <w:sz w:val="28"/>
          <w:szCs w:val="28"/>
        </w:rPr>
        <w:t xml:space="preserve"> secreting or dissipating assets, or is likely to do so with the intention of defeating the applicant’s claim.</w:t>
      </w:r>
      <w:r w:rsidR="003F10B9">
        <w:rPr>
          <w:rStyle w:val="FootnoteReference"/>
          <w:sz w:val="28"/>
          <w:szCs w:val="28"/>
        </w:rPr>
        <w:footnoteReference w:customMarkFollows="1" w:id="6"/>
        <w:t>6</w:t>
      </w:r>
      <w:r w:rsidR="00644C3F" w:rsidRPr="00615057">
        <w:rPr>
          <w:sz w:val="28"/>
          <w:szCs w:val="28"/>
        </w:rPr>
        <w:t xml:space="preserve"> These jurisdictional facts to justify the granting of an anti-dissipatory relief were re-affirmed by this Court recently in </w:t>
      </w:r>
      <w:r w:rsidR="00644C3F" w:rsidRPr="00615057">
        <w:rPr>
          <w:i/>
          <w:sz w:val="28"/>
          <w:szCs w:val="28"/>
        </w:rPr>
        <w:t>Bassani Mining (Pty) Ltd v Sebosat (Pty) Ltd and Others</w:t>
      </w:r>
      <w:r w:rsidR="00644C3F" w:rsidRPr="00615057">
        <w:rPr>
          <w:sz w:val="28"/>
          <w:szCs w:val="28"/>
        </w:rPr>
        <w:t>.</w:t>
      </w:r>
      <w:r w:rsidR="00467059">
        <w:rPr>
          <w:rStyle w:val="FootnoteReference"/>
          <w:sz w:val="28"/>
          <w:szCs w:val="28"/>
        </w:rPr>
        <w:footnoteReference w:customMarkFollows="1" w:id="7"/>
        <w:t>7</w:t>
      </w:r>
    </w:p>
    <w:p w14:paraId="4B90DBD3" w14:textId="77777777" w:rsidR="00561B4E" w:rsidRPr="00615057" w:rsidRDefault="00561B4E" w:rsidP="00644C3F">
      <w:pPr>
        <w:spacing w:line="360" w:lineRule="auto"/>
        <w:jc w:val="both"/>
        <w:rPr>
          <w:sz w:val="28"/>
          <w:szCs w:val="28"/>
        </w:rPr>
      </w:pPr>
    </w:p>
    <w:p w14:paraId="458B6612" w14:textId="3E645A06" w:rsidR="00561B4E" w:rsidRPr="00615057" w:rsidRDefault="00561B4E" w:rsidP="00644C3F">
      <w:pPr>
        <w:spacing w:line="360" w:lineRule="auto"/>
        <w:jc w:val="both"/>
        <w:rPr>
          <w:iCs/>
          <w:sz w:val="28"/>
          <w:szCs w:val="28"/>
        </w:rPr>
      </w:pPr>
      <w:r w:rsidRPr="00615057">
        <w:rPr>
          <w:sz w:val="28"/>
          <w:szCs w:val="28"/>
        </w:rPr>
        <w:t>[1</w:t>
      </w:r>
      <w:r w:rsidR="00015354" w:rsidRPr="00615057">
        <w:rPr>
          <w:sz w:val="28"/>
          <w:szCs w:val="28"/>
        </w:rPr>
        <w:t>7</w:t>
      </w:r>
      <w:r w:rsidR="00935443">
        <w:rPr>
          <w:sz w:val="28"/>
          <w:szCs w:val="28"/>
        </w:rPr>
        <w:t>]</w:t>
      </w:r>
      <w:r w:rsidR="00935443">
        <w:rPr>
          <w:sz w:val="28"/>
          <w:szCs w:val="28"/>
        </w:rPr>
        <w:tab/>
      </w:r>
      <w:r w:rsidR="00505297" w:rsidRPr="00615057">
        <w:rPr>
          <w:sz w:val="28"/>
          <w:szCs w:val="28"/>
        </w:rPr>
        <w:t>Importantly, th</w:t>
      </w:r>
      <w:r w:rsidRPr="00615057">
        <w:rPr>
          <w:sz w:val="28"/>
          <w:szCs w:val="28"/>
        </w:rPr>
        <w:t xml:space="preserve">is Court in </w:t>
      </w:r>
      <w:r w:rsidRPr="00615057">
        <w:rPr>
          <w:i/>
          <w:sz w:val="28"/>
          <w:szCs w:val="28"/>
        </w:rPr>
        <w:t>Knox D’Arcy</w:t>
      </w:r>
      <w:r w:rsidRPr="00615057">
        <w:rPr>
          <w:iCs/>
          <w:sz w:val="28"/>
          <w:szCs w:val="28"/>
        </w:rPr>
        <w:t xml:space="preserve"> </w:t>
      </w:r>
      <w:r w:rsidR="0081039A" w:rsidRPr="00615057">
        <w:rPr>
          <w:iCs/>
          <w:sz w:val="28"/>
          <w:szCs w:val="28"/>
        </w:rPr>
        <w:t xml:space="preserve">asked and </w:t>
      </w:r>
      <w:r w:rsidR="00505297" w:rsidRPr="00615057">
        <w:rPr>
          <w:iCs/>
          <w:sz w:val="28"/>
          <w:szCs w:val="28"/>
        </w:rPr>
        <w:t xml:space="preserve">stated </w:t>
      </w:r>
      <w:r w:rsidRPr="00615057">
        <w:rPr>
          <w:iCs/>
          <w:sz w:val="28"/>
          <w:szCs w:val="28"/>
        </w:rPr>
        <w:t>the following:</w:t>
      </w:r>
    </w:p>
    <w:p w14:paraId="71FD64B1" w14:textId="3EA796A2" w:rsidR="00D800FF" w:rsidRPr="00615057" w:rsidRDefault="00561B4E" w:rsidP="00644C3F">
      <w:pPr>
        <w:spacing w:line="360" w:lineRule="auto"/>
        <w:jc w:val="both"/>
        <w:rPr>
          <w:iCs/>
        </w:rPr>
      </w:pPr>
      <w:r w:rsidRPr="00615057">
        <w:rPr>
          <w:iCs/>
          <w:sz w:val="28"/>
          <w:szCs w:val="28"/>
        </w:rPr>
        <w:t>‘</w:t>
      </w:r>
      <w:r w:rsidR="00D800FF" w:rsidRPr="00615057">
        <w:rPr>
          <w:iCs/>
        </w:rPr>
        <w:t xml:space="preserve">The question which arises . . . is whether </w:t>
      </w:r>
      <w:r w:rsidR="00524FC7">
        <w:rPr>
          <w:iCs/>
        </w:rPr>
        <w:t>an</w:t>
      </w:r>
      <w:r w:rsidR="00D800FF" w:rsidRPr="00615057">
        <w:rPr>
          <w:iCs/>
        </w:rPr>
        <w:t xml:space="preserve"> applicant need show a particular state of mind on the part of the respondent</w:t>
      </w:r>
      <w:r w:rsidR="00B87315" w:rsidRPr="00615057">
        <w:rPr>
          <w:iCs/>
        </w:rPr>
        <w:t xml:space="preserve">, </w:t>
      </w:r>
      <w:r w:rsidR="00E11920">
        <w:rPr>
          <w:iCs/>
        </w:rPr>
        <w:t xml:space="preserve">i </w:t>
      </w:r>
      <w:r w:rsidR="00B87315" w:rsidRPr="00615057">
        <w:rPr>
          <w:iCs/>
        </w:rPr>
        <w:t>e</w:t>
      </w:r>
      <w:r w:rsidR="00E11920">
        <w:rPr>
          <w:iCs/>
        </w:rPr>
        <w:t>,</w:t>
      </w:r>
      <w:r w:rsidR="00B87315" w:rsidRPr="00615057">
        <w:rPr>
          <w:iCs/>
        </w:rPr>
        <w:t xml:space="preserve"> that he is getting rid of the funds, or is likely to do so, with the </w:t>
      </w:r>
      <w:r w:rsidR="00B87315" w:rsidRPr="00615057">
        <w:rPr>
          <w:iCs/>
        </w:rPr>
        <w:lastRenderedPageBreak/>
        <w:t>intention of defeating the claims of creditors. Having regard to the purpose of this type of interdict the answer must be, I consider, yes</w:t>
      </w:r>
      <w:r w:rsidR="00886846" w:rsidRPr="00615057">
        <w:rPr>
          <w:iCs/>
        </w:rPr>
        <w:t xml:space="preserve">, </w:t>
      </w:r>
      <w:r w:rsidR="00886846" w:rsidRPr="00615057">
        <w:rPr>
          <w:i/>
        </w:rPr>
        <w:t>except possibly in exceptional cases</w:t>
      </w:r>
      <w:r w:rsidR="00B03818" w:rsidRPr="00615057">
        <w:rPr>
          <w:iCs/>
        </w:rPr>
        <w:t>.</w:t>
      </w:r>
      <w:r w:rsidR="00B87315" w:rsidRPr="00615057">
        <w:rPr>
          <w:iCs/>
        </w:rPr>
        <w:t xml:space="preserve"> </w:t>
      </w:r>
      <w:r w:rsidR="00A22C82" w:rsidRPr="00615057">
        <w:rPr>
          <w:iCs/>
        </w:rPr>
        <w:t>As I have said, the effect of the interdict is to prevent the respondent from freely dealing with his own property</w:t>
      </w:r>
      <w:r w:rsidR="00187C11" w:rsidRPr="00615057">
        <w:rPr>
          <w:iCs/>
        </w:rPr>
        <w:t xml:space="preserve"> to which the applicant lays no claim. Justice may require this restriction in cases where the respondent is shown to be acting </w:t>
      </w:r>
      <w:r w:rsidR="00187C11" w:rsidRPr="00615057">
        <w:rPr>
          <w:i/>
        </w:rPr>
        <w:t xml:space="preserve">mala fide </w:t>
      </w:r>
      <w:r w:rsidR="00187C11" w:rsidRPr="00615057">
        <w:rPr>
          <w:iCs/>
        </w:rPr>
        <w:t>with the intent of preventing execution in respect of the applicant’s claim.</w:t>
      </w:r>
      <w:r w:rsidR="00353E50" w:rsidRPr="00615057">
        <w:rPr>
          <w:iCs/>
        </w:rPr>
        <w:t xml:space="preserve"> However, the</w:t>
      </w:r>
      <w:r w:rsidR="004A5023">
        <w:rPr>
          <w:iCs/>
        </w:rPr>
        <w:t>re</w:t>
      </w:r>
      <w:r w:rsidR="00353E50" w:rsidRPr="00615057">
        <w:rPr>
          <w:iCs/>
        </w:rPr>
        <w:t xml:space="preserve"> would not normally be any justification to compel a respondent to regulate his bona fide expenditure so as to retain funds in his patrimony for the payment of claims (particularly disputed ones) against him. I am not, of course, at the moment dealing with special situations which might arise, for instance, by contract or under the law of insolvency.’</w:t>
      </w:r>
      <w:r w:rsidR="00CD622E">
        <w:rPr>
          <w:rStyle w:val="FootnoteReference"/>
          <w:iCs/>
        </w:rPr>
        <w:footnoteReference w:customMarkFollows="1" w:id="8"/>
        <w:t>8</w:t>
      </w:r>
      <w:r w:rsidR="0049676A">
        <w:rPr>
          <w:iCs/>
        </w:rPr>
        <w:t xml:space="preserve"> (Emphasis added.)</w:t>
      </w:r>
    </w:p>
    <w:p w14:paraId="6A216531" w14:textId="77777777" w:rsidR="00D800FF" w:rsidRPr="00615057" w:rsidRDefault="00D800FF" w:rsidP="00644C3F">
      <w:pPr>
        <w:spacing w:line="360" w:lineRule="auto"/>
        <w:jc w:val="both"/>
        <w:rPr>
          <w:iCs/>
        </w:rPr>
      </w:pPr>
    </w:p>
    <w:p w14:paraId="2EAA938F" w14:textId="234DBFD3" w:rsidR="00D800FF" w:rsidRPr="00615057" w:rsidRDefault="0081039A" w:rsidP="00644C3F">
      <w:pPr>
        <w:spacing w:line="360" w:lineRule="auto"/>
        <w:jc w:val="both"/>
        <w:rPr>
          <w:sz w:val="28"/>
          <w:szCs w:val="28"/>
        </w:rPr>
      </w:pPr>
      <w:r w:rsidRPr="00615057">
        <w:rPr>
          <w:sz w:val="28"/>
          <w:szCs w:val="28"/>
        </w:rPr>
        <w:t>[1</w:t>
      </w:r>
      <w:r w:rsidR="000F08FB" w:rsidRPr="00615057">
        <w:rPr>
          <w:sz w:val="28"/>
          <w:szCs w:val="28"/>
        </w:rPr>
        <w:t>8</w:t>
      </w:r>
      <w:r w:rsidRPr="00615057">
        <w:rPr>
          <w:sz w:val="28"/>
          <w:szCs w:val="28"/>
        </w:rPr>
        <w:t>]</w:t>
      </w:r>
      <w:r w:rsidR="00066203">
        <w:rPr>
          <w:sz w:val="28"/>
          <w:szCs w:val="28"/>
        </w:rPr>
        <w:tab/>
      </w:r>
      <w:r w:rsidRPr="00615057">
        <w:rPr>
          <w:sz w:val="28"/>
          <w:szCs w:val="28"/>
        </w:rPr>
        <w:t>Against th</w:t>
      </w:r>
      <w:r w:rsidR="004A5023">
        <w:rPr>
          <w:sz w:val="28"/>
          <w:szCs w:val="28"/>
        </w:rPr>
        <w:t>e</w:t>
      </w:r>
      <w:r w:rsidRPr="00615057">
        <w:rPr>
          <w:sz w:val="28"/>
          <w:szCs w:val="28"/>
        </w:rPr>
        <w:t xml:space="preserve">se principles, the </w:t>
      </w:r>
      <w:r w:rsidR="00457D7D" w:rsidRPr="00615057">
        <w:rPr>
          <w:sz w:val="28"/>
          <w:szCs w:val="28"/>
        </w:rPr>
        <w:t xml:space="preserve">first </w:t>
      </w:r>
      <w:r w:rsidR="00776528">
        <w:rPr>
          <w:sz w:val="28"/>
          <w:szCs w:val="28"/>
        </w:rPr>
        <w:t>question to</w:t>
      </w:r>
      <w:r w:rsidRPr="00615057">
        <w:rPr>
          <w:sz w:val="28"/>
          <w:szCs w:val="28"/>
        </w:rPr>
        <w:t xml:space="preserve"> determine is whether a </w:t>
      </w:r>
      <w:r w:rsidRPr="00615057">
        <w:rPr>
          <w:i/>
          <w:iCs/>
          <w:sz w:val="28"/>
          <w:szCs w:val="28"/>
        </w:rPr>
        <w:t>prima facie</w:t>
      </w:r>
      <w:r w:rsidRPr="00615057">
        <w:rPr>
          <w:sz w:val="28"/>
          <w:szCs w:val="28"/>
        </w:rPr>
        <w:t xml:space="preserve"> right to an accrual claim</w:t>
      </w:r>
      <w:r w:rsidR="003C151B" w:rsidRPr="00615057">
        <w:rPr>
          <w:sz w:val="28"/>
          <w:szCs w:val="28"/>
        </w:rPr>
        <w:t xml:space="preserve"> has been established in this case. The high court found that the respondent did not substantiate the averment in the founding affidavit that </w:t>
      </w:r>
      <w:r w:rsidR="00223260" w:rsidRPr="00615057">
        <w:rPr>
          <w:sz w:val="28"/>
          <w:szCs w:val="28"/>
        </w:rPr>
        <w:t>s</w:t>
      </w:r>
      <w:r w:rsidR="003C151B" w:rsidRPr="00615057">
        <w:rPr>
          <w:sz w:val="28"/>
          <w:szCs w:val="28"/>
        </w:rPr>
        <w:t xml:space="preserve">he </w:t>
      </w:r>
      <w:r w:rsidR="00223260" w:rsidRPr="00615057">
        <w:rPr>
          <w:sz w:val="28"/>
          <w:szCs w:val="28"/>
        </w:rPr>
        <w:t>has an</w:t>
      </w:r>
      <w:r w:rsidR="003C151B" w:rsidRPr="00615057">
        <w:rPr>
          <w:sz w:val="28"/>
          <w:szCs w:val="28"/>
        </w:rPr>
        <w:t xml:space="preserve"> accrual </w:t>
      </w:r>
      <w:r w:rsidR="00223260" w:rsidRPr="00615057">
        <w:rPr>
          <w:sz w:val="28"/>
          <w:szCs w:val="28"/>
        </w:rPr>
        <w:t xml:space="preserve">claim against the appellant </w:t>
      </w:r>
      <w:r w:rsidR="003C151B" w:rsidRPr="00615057">
        <w:rPr>
          <w:sz w:val="28"/>
          <w:szCs w:val="28"/>
        </w:rPr>
        <w:t xml:space="preserve">by putting any evidence. </w:t>
      </w:r>
      <w:r w:rsidR="004A5023">
        <w:rPr>
          <w:sz w:val="28"/>
          <w:szCs w:val="28"/>
        </w:rPr>
        <w:t>D</w:t>
      </w:r>
      <w:r w:rsidR="00873333" w:rsidRPr="00615057">
        <w:rPr>
          <w:sz w:val="28"/>
          <w:szCs w:val="28"/>
        </w:rPr>
        <w:t>espite</w:t>
      </w:r>
      <w:r w:rsidR="003C151B" w:rsidRPr="00615057">
        <w:rPr>
          <w:sz w:val="28"/>
          <w:szCs w:val="28"/>
        </w:rPr>
        <w:t xml:space="preserve"> that finding, the high court </w:t>
      </w:r>
      <w:r w:rsidR="0041448C" w:rsidRPr="00615057">
        <w:rPr>
          <w:sz w:val="28"/>
          <w:szCs w:val="28"/>
        </w:rPr>
        <w:t>found</w:t>
      </w:r>
      <w:r w:rsidR="00776528">
        <w:rPr>
          <w:sz w:val="28"/>
          <w:szCs w:val="28"/>
        </w:rPr>
        <w:t xml:space="preserve"> that</w:t>
      </w:r>
      <w:r w:rsidR="003C151B" w:rsidRPr="00615057">
        <w:rPr>
          <w:sz w:val="28"/>
          <w:szCs w:val="28"/>
        </w:rPr>
        <w:t xml:space="preserve"> </w:t>
      </w:r>
      <w:r w:rsidR="00824B35" w:rsidRPr="00615057">
        <w:rPr>
          <w:sz w:val="28"/>
          <w:szCs w:val="28"/>
        </w:rPr>
        <w:t>the appellant’s</w:t>
      </w:r>
      <w:r w:rsidR="004C5356" w:rsidRPr="00615057">
        <w:rPr>
          <w:sz w:val="28"/>
          <w:szCs w:val="28"/>
        </w:rPr>
        <w:t xml:space="preserve"> ‘tender is substantiating </w:t>
      </w:r>
      <w:r w:rsidR="00F47165">
        <w:rPr>
          <w:sz w:val="28"/>
          <w:szCs w:val="28"/>
        </w:rPr>
        <w:t>a</w:t>
      </w:r>
      <w:r w:rsidR="00733966" w:rsidRPr="00615057">
        <w:rPr>
          <w:sz w:val="28"/>
          <w:szCs w:val="28"/>
        </w:rPr>
        <w:t xml:space="preserve"> view that the defendant has</w:t>
      </w:r>
      <w:r w:rsidR="00B97390" w:rsidRPr="00615057">
        <w:rPr>
          <w:sz w:val="28"/>
          <w:szCs w:val="28"/>
        </w:rPr>
        <w:t xml:space="preserve"> succeeded in provin</w:t>
      </w:r>
      <w:r w:rsidR="00BE1D47" w:rsidRPr="00615057">
        <w:rPr>
          <w:sz w:val="28"/>
          <w:szCs w:val="28"/>
        </w:rPr>
        <w:t>g</w:t>
      </w:r>
      <w:r w:rsidR="00B97390" w:rsidRPr="00615057">
        <w:rPr>
          <w:sz w:val="28"/>
          <w:szCs w:val="28"/>
        </w:rPr>
        <w:t>, albeit</w:t>
      </w:r>
      <w:r w:rsidR="00B97390" w:rsidRPr="00615057">
        <w:rPr>
          <w:i/>
          <w:iCs/>
          <w:sz w:val="28"/>
          <w:szCs w:val="28"/>
        </w:rPr>
        <w:t xml:space="preserve"> </w:t>
      </w:r>
      <w:r w:rsidR="00B97390" w:rsidRPr="00E02808">
        <w:rPr>
          <w:i/>
          <w:sz w:val="28"/>
          <w:szCs w:val="28"/>
        </w:rPr>
        <w:t>prima facie</w:t>
      </w:r>
      <w:r w:rsidR="00C17A3A" w:rsidRPr="00615057">
        <w:rPr>
          <w:sz w:val="28"/>
          <w:szCs w:val="28"/>
        </w:rPr>
        <w:t>, that the accrual of the p</w:t>
      </w:r>
      <w:r w:rsidR="00DC3215" w:rsidRPr="00615057">
        <w:rPr>
          <w:sz w:val="28"/>
          <w:szCs w:val="28"/>
        </w:rPr>
        <w:t>laintiff’s estate exceeds the accrual of her estate</w:t>
      </w:r>
      <w:r w:rsidR="00BE1D47" w:rsidRPr="00615057">
        <w:rPr>
          <w:sz w:val="28"/>
          <w:szCs w:val="28"/>
        </w:rPr>
        <w:t>’.</w:t>
      </w:r>
      <w:r w:rsidR="00BF62E9" w:rsidRPr="00615057">
        <w:rPr>
          <w:sz w:val="28"/>
          <w:szCs w:val="28"/>
        </w:rPr>
        <w:t xml:space="preserve"> </w:t>
      </w:r>
    </w:p>
    <w:p w14:paraId="79C58940" w14:textId="77777777" w:rsidR="00BF62E9" w:rsidRPr="00615057" w:rsidRDefault="00BF62E9" w:rsidP="00644C3F">
      <w:pPr>
        <w:spacing w:line="360" w:lineRule="auto"/>
        <w:jc w:val="both"/>
        <w:rPr>
          <w:sz w:val="28"/>
          <w:szCs w:val="28"/>
        </w:rPr>
      </w:pPr>
    </w:p>
    <w:p w14:paraId="6A7366AF" w14:textId="022AEBE0" w:rsidR="00BF62E9" w:rsidRPr="00615057" w:rsidRDefault="00BF62E9" w:rsidP="00BF62E9">
      <w:pPr>
        <w:spacing w:line="360" w:lineRule="auto"/>
        <w:jc w:val="both"/>
        <w:rPr>
          <w:sz w:val="28"/>
          <w:szCs w:val="28"/>
        </w:rPr>
      </w:pPr>
      <w:r w:rsidRPr="00615057">
        <w:rPr>
          <w:sz w:val="28"/>
          <w:szCs w:val="28"/>
        </w:rPr>
        <w:t>[1</w:t>
      </w:r>
      <w:r w:rsidR="000F08FB" w:rsidRPr="00615057">
        <w:rPr>
          <w:sz w:val="28"/>
          <w:szCs w:val="28"/>
        </w:rPr>
        <w:t>9</w:t>
      </w:r>
      <w:r w:rsidR="00935443">
        <w:rPr>
          <w:sz w:val="28"/>
          <w:szCs w:val="28"/>
        </w:rPr>
        <w:t>]</w:t>
      </w:r>
      <w:r w:rsidR="00935443">
        <w:rPr>
          <w:sz w:val="28"/>
          <w:szCs w:val="28"/>
        </w:rPr>
        <w:tab/>
      </w:r>
      <w:r w:rsidRPr="00615057">
        <w:rPr>
          <w:sz w:val="28"/>
          <w:szCs w:val="28"/>
        </w:rPr>
        <w:t>This finding cannot be correct</w:t>
      </w:r>
      <w:r w:rsidR="00223260" w:rsidRPr="00615057">
        <w:rPr>
          <w:sz w:val="28"/>
          <w:szCs w:val="28"/>
        </w:rPr>
        <w:t xml:space="preserve"> because a</w:t>
      </w:r>
      <w:r w:rsidRPr="00615057">
        <w:rPr>
          <w:sz w:val="28"/>
          <w:szCs w:val="28"/>
        </w:rPr>
        <w:t xml:space="preserve"> tender in terms of </w:t>
      </w:r>
      <w:r w:rsidR="00163E30">
        <w:rPr>
          <w:sz w:val="28"/>
          <w:szCs w:val="28"/>
        </w:rPr>
        <w:t>r</w:t>
      </w:r>
      <w:r w:rsidRPr="00615057">
        <w:rPr>
          <w:sz w:val="28"/>
          <w:szCs w:val="28"/>
        </w:rPr>
        <w:t>ule 34 whether with or without prejudice</w:t>
      </w:r>
      <w:r w:rsidR="007E43CA" w:rsidRPr="00615057">
        <w:rPr>
          <w:sz w:val="28"/>
          <w:szCs w:val="28"/>
        </w:rPr>
        <w:t>,</w:t>
      </w:r>
      <w:r w:rsidRPr="00615057">
        <w:rPr>
          <w:sz w:val="28"/>
          <w:szCs w:val="28"/>
        </w:rPr>
        <w:t xml:space="preserve"> is an offer to settle and does not amount to an acknowledgment of liability.</w:t>
      </w:r>
      <w:r w:rsidR="001D0EE9">
        <w:rPr>
          <w:rStyle w:val="FootnoteReference"/>
          <w:sz w:val="28"/>
          <w:szCs w:val="28"/>
        </w:rPr>
        <w:footnoteReference w:customMarkFollows="1" w:id="9"/>
        <w:t>9</w:t>
      </w:r>
      <w:r w:rsidRPr="00615057">
        <w:rPr>
          <w:sz w:val="28"/>
          <w:szCs w:val="28"/>
        </w:rPr>
        <w:t xml:space="preserve"> Often offers to settle are made to avoid incurring further costs and to save time. Most importantly, the appellant stated that he made a ‘with prejudice’ offer in order to have this matter settled and to save costs. The high court’s finding has </w:t>
      </w:r>
      <w:r w:rsidR="009B2792">
        <w:rPr>
          <w:sz w:val="28"/>
          <w:szCs w:val="28"/>
        </w:rPr>
        <w:t>the</w:t>
      </w:r>
      <w:r w:rsidRPr="00615057">
        <w:rPr>
          <w:sz w:val="28"/>
          <w:szCs w:val="28"/>
        </w:rPr>
        <w:t xml:space="preserve"> effect of defeating the whole purpose of </w:t>
      </w:r>
      <w:r w:rsidR="00163E30">
        <w:rPr>
          <w:sz w:val="28"/>
          <w:szCs w:val="28"/>
        </w:rPr>
        <w:t>r</w:t>
      </w:r>
      <w:r w:rsidRPr="00615057">
        <w:rPr>
          <w:sz w:val="28"/>
          <w:szCs w:val="28"/>
        </w:rPr>
        <w:t>ule 34.</w:t>
      </w:r>
    </w:p>
    <w:p w14:paraId="1967F6E2" w14:textId="77777777" w:rsidR="00847896" w:rsidRPr="00615057" w:rsidRDefault="00847896" w:rsidP="00BF62E9">
      <w:pPr>
        <w:spacing w:line="360" w:lineRule="auto"/>
        <w:jc w:val="both"/>
        <w:rPr>
          <w:sz w:val="28"/>
          <w:szCs w:val="28"/>
        </w:rPr>
      </w:pPr>
    </w:p>
    <w:p w14:paraId="41668C74" w14:textId="16B71A53" w:rsidR="00847896" w:rsidRPr="00615057" w:rsidRDefault="00847896" w:rsidP="00BF62E9">
      <w:pPr>
        <w:spacing w:line="360" w:lineRule="auto"/>
        <w:jc w:val="both"/>
        <w:rPr>
          <w:sz w:val="28"/>
          <w:szCs w:val="28"/>
        </w:rPr>
      </w:pPr>
      <w:r w:rsidRPr="00615057">
        <w:rPr>
          <w:sz w:val="28"/>
          <w:szCs w:val="28"/>
        </w:rPr>
        <w:t>[</w:t>
      </w:r>
      <w:r w:rsidR="000F08FB" w:rsidRPr="00615057">
        <w:rPr>
          <w:sz w:val="28"/>
          <w:szCs w:val="28"/>
        </w:rPr>
        <w:t>20</w:t>
      </w:r>
      <w:r w:rsidR="00935443">
        <w:rPr>
          <w:sz w:val="28"/>
          <w:szCs w:val="28"/>
        </w:rPr>
        <w:t>]</w:t>
      </w:r>
      <w:r w:rsidR="00935443">
        <w:rPr>
          <w:sz w:val="28"/>
          <w:szCs w:val="28"/>
        </w:rPr>
        <w:tab/>
      </w:r>
      <w:r w:rsidRPr="00615057">
        <w:rPr>
          <w:sz w:val="28"/>
          <w:szCs w:val="28"/>
        </w:rPr>
        <w:t>An assumption</w:t>
      </w:r>
      <w:r w:rsidR="007E43CA" w:rsidRPr="00615057">
        <w:rPr>
          <w:sz w:val="28"/>
          <w:szCs w:val="28"/>
        </w:rPr>
        <w:t xml:space="preserve"> </w:t>
      </w:r>
      <w:r w:rsidR="00396A83">
        <w:rPr>
          <w:sz w:val="28"/>
          <w:szCs w:val="28"/>
        </w:rPr>
        <w:t>cannot be made that a claim has been admitted simply on the basis of</w:t>
      </w:r>
      <w:r w:rsidRPr="00615057">
        <w:rPr>
          <w:sz w:val="28"/>
          <w:szCs w:val="28"/>
        </w:rPr>
        <w:t xml:space="preserve"> the offer to settle. The appellant, in his answering affidavit, denied </w:t>
      </w:r>
      <w:r w:rsidRPr="00615057">
        <w:rPr>
          <w:sz w:val="28"/>
          <w:szCs w:val="28"/>
        </w:rPr>
        <w:lastRenderedPageBreak/>
        <w:t>that the accrual in his estate exceeded that of the respondent. He put up detailed calculations to demonstrate that his accrual was lesser. The respondent did not attempt to contest this in her replying affidavit</w:t>
      </w:r>
      <w:r w:rsidR="00A959E0" w:rsidRPr="00615057">
        <w:rPr>
          <w:sz w:val="28"/>
          <w:szCs w:val="28"/>
        </w:rPr>
        <w:t xml:space="preserve">. The </w:t>
      </w:r>
      <w:r w:rsidR="00366C74" w:rsidRPr="00615057">
        <w:rPr>
          <w:sz w:val="28"/>
          <w:szCs w:val="28"/>
        </w:rPr>
        <w:t xml:space="preserve">first </w:t>
      </w:r>
      <w:r w:rsidR="00A959E0" w:rsidRPr="00615057">
        <w:rPr>
          <w:sz w:val="28"/>
          <w:szCs w:val="28"/>
        </w:rPr>
        <w:t xml:space="preserve">hurdle of whether or not there was a </w:t>
      </w:r>
      <w:r w:rsidR="00A959E0" w:rsidRPr="00615057">
        <w:rPr>
          <w:i/>
          <w:iCs/>
          <w:sz w:val="28"/>
          <w:szCs w:val="28"/>
        </w:rPr>
        <w:t>prima facie</w:t>
      </w:r>
      <w:r w:rsidR="00366C74" w:rsidRPr="00615057">
        <w:rPr>
          <w:sz w:val="28"/>
          <w:szCs w:val="28"/>
        </w:rPr>
        <w:t xml:space="preserve"> right of an accrual claim</w:t>
      </w:r>
      <w:r w:rsidR="007E43CA" w:rsidRPr="00615057">
        <w:rPr>
          <w:sz w:val="28"/>
          <w:szCs w:val="28"/>
        </w:rPr>
        <w:t>,</w:t>
      </w:r>
      <w:r w:rsidR="00366C74" w:rsidRPr="00615057">
        <w:rPr>
          <w:sz w:val="28"/>
          <w:szCs w:val="28"/>
        </w:rPr>
        <w:t xml:space="preserve"> ha</w:t>
      </w:r>
      <w:r w:rsidR="007E43CA" w:rsidRPr="00615057">
        <w:rPr>
          <w:sz w:val="28"/>
          <w:szCs w:val="28"/>
        </w:rPr>
        <w:t>s</w:t>
      </w:r>
      <w:r w:rsidR="00366C74" w:rsidRPr="00615057">
        <w:rPr>
          <w:sz w:val="28"/>
          <w:szCs w:val="28"/>
        </w:rPr>
        <w:t xml:space="preserve"> not been overcome by the respondent. On this point alone, the application ought to have been refused.</w:t>
      </w:r>
    </w:p>
    <w:p w14:paraId="69EA8650" w14:textId="77777777" w:rsidR="00023351" w:rsidRPr="00615057" w:rsidRDefault="00023351" w:rsidP="00BF62E9">
      <w:pPr>
        <w:spacing w:line="360" w:lineRule="auto"/>
        <w:jc w:val="both"/>
        <w:rPr>
          <w:sz w:val="28"/>
          <w:szCs w:val="28"/>
        </w:rPr>
      </w:pPr>
    </w:p>
    <w:p w14:paraId="56947843" w14:textId="175C7BA5" w:rsidR="00817329" w:rsidRPr="00615057" w:rsidRDefault="00366C74" w:rsidP="00644C3F">
      <w:pPr>
        <w:spacing w:line="360" w:lineRule="auto"/>
        <w:jc w:val="both"/>
        <w:rPr>
          <w:sz w:val="28"/>
          <w:szCs w:val="28"/>
        </w:rPr>
      </w:pPr>
      <w:r w:rsidRPr="00615057">
        <w:rPr>
          <w:sz w:val="28"/>
          <w:szCs w:val="28"/>
        </w:rPr>
        <w:t>[2</w:t>
      </w:r>
      <w:r w:rsidR="000F08FB" w:rsidRPr="00615057">
        <w:rPr>
          <w:sz w:val="28"/>
          <w:szCs w:val="28"/>
        </w:rPr>
        <w:t>1</w:t>
      </w:r>
      <w:r w:rsidR="00935443">
        <w:rPr>
          <w:sz w:val="28"/>
          <w:szCs w:val="28"/>
        </w:rPr>
        <w:t>]</w:t>
      </w:r>
      <w:r w:rsidR="00935443">
        <w:rPr>
          <w:sz w:val="28"/>
          <w:szCs w:val="28"/>
        </w:rPr>
        <w:tab/>
      </w:r>
      <w:r w:rsidRPr="00615057">
        <w:rPr>
          <w:sz w:val="28"/>
          <w:szCs w:val="28"/>
        </w:rPr>
        <w:t>The second issue is whether there was any evidence of an intention to render the respondent’s claim hollow. The only averments in this regard</w:t>
      </w:r>
      <w:r w:rsidR="00817329" w:rsidRPr="00615057">
        <w:rPr>
          <w:sz w:val="28"/>
          <w:szCs w:val="28"/>
        </w:rPr>
        <w:t xml:space="preserve"> related to the establishment of the trust and the investment in the annuity. Apart from the fact that dispositions to the trust and the annuity occurred more than two years prior to the institution of the application, they were simply not proximate</w:t>
      </w:r>
      <w:r w:rsidR="00951780" w:rsidRPr="00615057">
        <w:rPr>
          <w:sz w:val="28"/>
          <w:szCs w:val="28"/>
        </w:rPr>
        <w:t xml:space="preserve"> to the sale of the property. Further, the trust was expressly for the children’s financial support. The money in the annuity remains invested in the appellant</w:t>
      </w:r>
      <w:r w:rsidR="007E43CA" w:rsidRPr="00615057">
        <w:rPr>
          <w:sz w:val="28"/>
          <w:szCs w:val="28"/>
        </w:rPr>
        <w:t>’s name</w:t>
      </w:r>
      <w:r w:rsidR="00951780" w:rsidRPr="00615057">
        <w:rPr>
          <w:sz w:val="28"/>
          <w:szCs w:val="28"/>
        </w:rPr>
        <w:t xml:space="preserve"> </w:t>
      </w:r>
      <w:r w:rsidR="00223260" w:rsidRPr="00615057">
        <w:rPr>
          <w:sz w:val="28"/>
          <w:szCs w:val="28"/>
        </w:rPr>
        <w:t xml:space="preserve">and he </w:t>
      </w:r>
      <w:r w:rsidR="00951780" w:rsidRPr="00615057">
        <w:rPr>
          <w:sz w:val="28"/>
          <w:szCs w:val="28"/>
        </w:rPr>
        <w:t xml:space="preserve">has the right to it. It </w:t>
      </w:r>
      <w:r w:rsidR="00223260" w:rsidRPr="00615057">
        <w:rPr>
          <w:sz w:val="28"/>
          <w:szCs w:val="28"/>
        </w:rPr>
        <w:t>did</w:t>
      </w:r>
      <w:r w:rsidR="00951780" w:rsidRPr="00615057">
        <w:rPr>
          <w:sz w:val="28"/>
          <w:szCs w:val="28"/>
        </w:rPr>
        <w:t xml:space="preserve"> not disappear. The respondent was offered an opportunity to forensically examine the appellant’s financial position in the </w:t>
      </w:r>
      <w:r w:rsidR="009A4A90">
        <w:rPr>
          <w:sz w:val="28"/>
          <w:szCs w:val="28"/>
        </w:rPr>
        <w:t>r</w:t>
      </w:r>
      <w:r w:rsidR="009A4A90" w:rsidRPr="00615057">
        <w:rPr>
          <w:sz w:val="28"/>
          <w:szCs w:val="28"/>
        </w:rPr>
        <w:t xml:space="preserve">ule </w:t>
      </w:r>
      <w:r w:rsidR="00951780" w:rsidRPr="00615057">
        <w:rPr>
          <w:sz w:val="28"/>
          <w:szCs w:val="28"/>
        </w:rPr>
        <w:t>34 offer, but she declined to do so.</w:t>
      </w:r>
    </w:p>
    <w:p w14:paraId="50FD738F" w14:textId="77777777" w:rsidR="00223260" w:rsidRPr="00615057" w:rsidRDefault="00223260" w:rsidP="00644C3F">
      <w:pPr>
        <w:spacing w:line="360" w:lineRule="auto"/>
        <w:jc w:val="both"/>
        <w:rPr>
          <w:sz w:val="28"/>
          <w:szCs w:val="28"/>
        </w:rPr>
      </w:pPr>
    </w:p>
    <w:p w14:paraId="3AEDD47C" w14:textId="52002EB3" w:rsidR="00223260" w:rsidRPr="00615057" w:rsidRDefault="00223260" w:rsidP="00223260">
      <w:pPr>
        <w:spacing w:line="360" w:lineRule="auto"/>
        <w:jc w:val="both"/>
        <w:rPr>
          <w:sz w:val="28"/>
          <w:szCs w:val="28"/>
        </w:rPr>
      </w:pPr>
      <w:r w:rsidRPr="00615057">
        <w:rPr>
          <w:sz w:val="28"/>
          <w:szCs w:val="28"/>
        </w:rPr>
        <w:t>[2</w:t>
      </w:r>
      <w:r w:rsidR="000F08FB" w:rsidRPr="00615057">
        <w:rPr>
          <w:sz w:val="28"/>
          <w:szCs w:val="28"/>
        </w:rPr>
        <w:t>2</w:t>
      </w:r>
      <w:r w:rsidR="00935443">
        <w:rPr>
          <w:sz w:val="28"/>
          <w:szCs w:val="28"/>
        </w:rPr>
        <w:t>]</w:t>
      </w:r>
      <w:r w:rsidR="00935443">
        <w:rPr>
          <w:sz w:val="28"/>
          <w:szCs w:val="28"/>
        </w:rPr>
        <w:tab/>
      </w:r>
      <w:r w:rsidRPr="00615057">
        <w:rPr>
          <w:sz w:val="28"/>
          <w:szCs w:val="28"/>
        </w:rPr>
        <w:t>Further, the reason to sell the property is sound. The appellant was 64 years old when the application was lodged. It is common cause that he was no longer employed. The averment that he needed to sell the property to se</w:t>
      </w:r>
      <w:r w:rsidR="00121B3E">
        <w:rPr>
          <w:sz w:val="28"/>
          <w:szCs w:val="28"/>
        </w:rPr>
        <w:t>ttle</w:t>
      </w:r>
      <w:r w:rsidRPr="00615057">
        <w:rPr>
          <w:sz w:val="28"/>
          <w:szCs w:val="28"/>
        </w:rPr>
        <w:t xml:space="preserve"> his debts does not show intent to get rid of his funds in order to defeat the respondent’s claim and render it hollow.</w:t>
      </w:r>
    </w:p>
    <w:p w14:paraId="6E30A7F5" w14:textId="77777777" w:rsidR="00A0218C" w:rsidRPr="00615057" w:rsidRDefault="00A0218C" w:rsidP="00644C3F">
      <w:pPr>
        <w:spacing w:line="360" w:lineRule="auto"/>
        <w:jc w:val="both"/>
        <w:rPr>
          <w:sz w:val="28"/>
          <w:szCs w:val="28"/>
        </w:rPr>
      </w:pPr>
    </w:p>
    <w:p w14:paraId="437CCA37" w14:textId="2F5E8FCC" w:rsidR="009B6DB2" w:rsidRPr="00615057" w:rsidRDefault="00FC649E" w:rsidP="00644C3F">
      <w:pPr>
        <w:spacing w:line="360" w:lineRule="auto"/>
        <w:jc w:val="both"/>
        <w:rPr>
          <w:sz w:val="28"/>
          <w:szCs w:val="28"/>
        </w:rPr>
      </w:pPr>
      <w:r w:rsidRPr="00615057">
        <w:rPr>
          <w:sz w:val="28"/>
          <w:szCs w:val="28"/>
        </w:rPr>
        <w:t>[</w:t>
      </w:r>
      <w:r w:rsidR="00505297" w:rsidRPr="00615057">
        <w:rPr>
          <w:sz w:val="28"/>
          <w:szCs w:val="28"/>
        </w:rPr>
        <w:t>2</w:t>
      </w:r>
      <w:r w:rsidR="000F08FB" w:rsidRPr="00615057">
        <w:rPr>
          <w:sz w:val="28"/>
          <w:szCs w:val="28"/>
        </w:rPr>
        <w:t>3</w:t>
      </w:r>
      <w:r w:rsidR="00644C3F" w:rsidRPr="00615057">
        <w:rPr>
          <w:sz w:val="28"/>
          <w:szCs w:val="28"/>
        </w:rPr>
        <w:t>]</w:t>
      </w:r>
      <w:r w:rsidR="00644C3F" w:rsidRPr="00615057">
        <w:rPr>
          <w:sz w:val="28"/>
          <w:szCs w:val="28"/>
        </w:rPr>
        <w:tab/>
        <w:t>Faced with the difficulty of establishing the jurisdictional requirements for the granting of the reli</w:t>
      </w:r>
      <w:r w:rsidR="0099014F" w:rsidRPr="00615057">
        <w:rPr>
          <w:sz w:val="28"/>
          <w:szCs w:val="28"/>
        </w:rPr>
        <w:t xml:space="preserve">ef sought, the respondent </w:t>
      </w:r>
      <w:r w:rsidR="00505297" w:rsidRPr="00615057">
        <w:rPr>
          <w:sz w:val="28"/>
          <w:szCs w:val="28"/>
        </w:rPr>
        <w:t xml:space="preserve">sought to </w:t>
      </w:r>
      <w:r w:rsidR="0099014F" w:rsidRPr="00615057">
        <w:rPr>
          <w:sz w:val="28"/>
          <w:szCs w:val="28"/>
        </w:rPr>
        <w:t>rel</w:t>
      </w:r>
      <w:r w:rsidR="00505297" w:rsidRPr="00615057">
        <w:rPr>
          <w:sz w:val="28"/>
          <w:szCs w:val="28"/>
        </w:rPr>
        <w:t>y</w:t>
      </w:r>
      <w:r w:rsidR="00644C3F" w:rsidRPr="00615057">
        <w:rPr>
          <w:sz w:val="28"/>
          <w:szCs w:val="28"/>
        </w:rPr>
        <w:t xml:space="preserve"> on</w:t>
      </w:r>
      <w:r w:rsidR="00505297" w:rsidRPr="00615057">
        <w:rPr>
          <w:sz w:val="28"/>
          <w:szCs w:val="28"/>
        </w:rPr>
        <w:t xml:space="preserve"> the statement</w:t>
      </w:r>
      <w:r w:rsidR="00644C3F" w:rsidRPr="00615057">
        <w:rPr>
          <w:sz w:val="28"/>
          <w:szCs w:val="28"/>
        </w:rPr>
        <w:t xml:space="preserve"> </w:t>
      </w:r>
      <w:r w:rsidR="00505297" w:rsidRPr="00615057">
        <w:rPr>
          <w:sz w:val="28"/>
          <w:szCs w:val="28"/>
        </w:rPr>
        <w:t xml:space="preserve">in </w:t>
      </w:r>
      <w:r w:rsidR="00644C3F" w:rsidRPr="00615057">
        <w:rPr>
          <w:i/>
          <w:sz w:val="28"/>
          <w:szCs w:val="28"/>
        </w:rPr>
        <w:t>Knox D’Arcy</w:t>
      </w:r>
      <w:r w:rsidR="00644C3F" w:rsidRPr="00615057">
        <w:rPr>
          <w:sz w:val="28"/>
          <w:szCs w:val="28"/>
        </w:rPr>
        <w:t xml:space="preserve"> that there may be exceptional circumstances in which</w:t>
      </w:r>
      <w:r w:rsidR="00505297" w:rsidRPr="00615057">
        <w:rPr>
          <w:sz w:val="28"/>
          <w:szCs w:val="28"/>
        </w:rPr>
        <w:t xml:space="preserve"> intention to render an applicant’s claim hollow by secreting assets, is not required to be shown</w:t>
      </w:r>
      <w:r w:rsidR="00644C3F" w:rsidRPr="00615057">
        <w:rPr>
          <w:sz w:val="28"/>
          <w:szCs w:val="28"/>
        </w:rPr>
        <w:t xml:space="preserve">. </w:t>
      </w:r>
      <w:r w:rsidR="003A6154" w:rsidRPr="00615057">
        <w:rPr>
          <w:sz w:val="28"/>
          <w:szCs w:val="28"/>
        </w:rPr>
        <w:t>Counsel for the respondent submitted that</w:t>
      </w:r>
      <w:r w:rsidR="004656AE" w:rsidRPr="00615057">
        <w:rPr>
          <w:sz w:val="28"/>
          <w:szCs w:val="28"/>
        </w:rPr>
        <w:t xml:space="preserve"> an anti-dissipation relief in </w:t>
      </w:r>
      <w:r w:rsidR="004656AE" w:rsidRPr="00615057">
        <w:rPr>
          <w:sz w:val="28"/>
          <w:szCs w:val="28"/>
        </w:rPr>
        <w:lastRenderedPageBreak/>
        <w:t>matrimonial matters is such a situation.</w:t>
      </w:r>
      <w:r w:rsidR="009B6DB2" w:rsidRPr="00615057">
        <w:rPr>
          <w:sz w:val="28"/>
          <w:szCs w:val="28"/>
        </w:rPr>
        <w:t xml:space="preserve"> </w:t>
      </w:r>
      <w:r w:rsidR="00A14E40" w:rsidRPr="00615057">
        <w:rPr>
          <w:sz w:val="28"/>
          <w:szCs w:val="28"/>
        </w:rPr>
        <w:t xml:space="preserve">He further submitted that the Court in </w:t>
      </w:r>
      <w:r w:rsidR="00A14E40" w:rsidRPr="00615057">
        <w:rPr>
          <w:i/>
          <w:iCs/>
          <w:sz w:val="28"/>
          <w:szCs w:val="28"/>
        </w:rPr>
        <w:t>Knox D’Arcy</w:t>
      </w:r>
      <w:r w:rsidR="00A14E40" w:rsidRPr="00615057">
        <w:rPr>
          <w:sz w:val="28"/>
          <w:szCs w:val="28"/>
        </w:rPr>
        <w:t xml:space="preserve"> left this issue open</w:t>
      </w:r>
      <w:r w:rsidR="007E43CA" w:rsidRPr="00615057">
        <w:rPr>
          <w:sz w:val="28"/>
          <w:szCs w:val="28"/>
        </w:rPr>
        <w:t>.</w:t>
      </w:r>
      <w:r w:rsidR="007514F9" w:rsidRPr="00615057">
        <w:rPr>
          <w:sz w:val="28"/>
          <w:szCs w:val="28"/>
        </w:rPr>
        <w:t xml:space="preserve"> </w:t>
      </w:r>
      <w:r w:rsidR="007E43CA" w:rsidRPr="00615057">
        <w:rPr>
          <w:sz w:val="28"/>
          <w:szCs w:val="28"/>
        </w:rPr>
        <w:t>He</w:t>
      </w:r>
      <w:r w:rsidR="00A14E40" w:rsidRPr="00615057">
        <w:rPr>
          <w:sz w:val="28"/>
          <w:szCs w:val="28"/>
        </w:rPr>
        <w:t xml:space="preserve"> </w:t>
      </w:r>
      <w:r w:rsidR="009B6DB2" w:rsidRPr="00615057">
        <w:rPr>
          <w:sz w:val="28"/>
          <w:szCs w:val="28"/>
        </w:rPr>
        <w:t xml:space="preserve">referred to several high court judgments, which I discuss below, </w:t>
      </w:r>
      <w:r w:rsidR="007E43CA" w:rsidRPr="00615057">
        <w:rPr>
          <w:sz w:val="28"/>
          <w:szCs w:val="28"/>
        </w:rPr>
        <w:t xml:space="preserve">as </w:t>
      </w:r>
      <w:r w:rsidR="009B6DB2" w:rsidRPr="00615057">
        <w:rPr>
          <w:sz w:val="28"/>
          <w:szCs w:val="28"/>
        </w:rPr>
        <w:t>support</w:t>
      </w:r>
      <w:r w:rsidR="007E43CA" w:rsidRPr="00615057">
        <w:rPr>
          <w:sz w:val="28"/>
          <w:szCs w:val="28"/>
        </w:rPr>
        <w:t xml:space="preserve"> for</w:t>
      </w:r>
      <w:r w:rsidR="009B6DB2" w:rsidRPr="00615057">
        <w:rPr>
          <w:sz w:val="28"/>
          <w:szCs w:val="28"/>
        </w:rPr>
        <w:t xml:space="preserve"> th</w:t>
      </w:r>
      <w:r w:rsidR="00A14E40" w:rsidRPr="00615057">
        <w:rPr>
          <w:sz w:val="28"/>
          <w:szCs w:val="28"/>
        </w:rPr>
        <w:t>e</w:t>
      </w:r>
      <w:r w:rsidR="009B6DB2" w:rsidRPr="00615057">
        <w:rPr>
          <w:sz w:val="28"/>
          <w:szCs w:val="28"/>
        </w:rPr>
        <w:t xml:space="preserve"> view</w:t>
      </w:r>
      <w:r w:rsidR="00A14E40" w:rsidRPr="00615057">
        <w:rPr>
          <w:sz w:val="28"/>
          <w:szCs w:val="28"/>
        </w:rPr>
        <w:t xml:space="preserve"> that it is </w:t>
      </w:r>
      <w:r w:rsidR="007E43CA" w:rsidRPr="00615057">
        <w:rPr>
          <w:sz w:val="28"/>
          <w:szCs w:val="28"/>
        </w:rPr>
        <w:t>‘</w:t>
      </w:r>
      <w:r w:rsidR="00A14E40" w:rsidRPr="00615057">
        <w:rPr>
          <w:sz w:val="28"/>
          <w:szCs w:val="28"/>
        </w:rPr>
        <w:t>the likely effect</w:t>
      </w:r>
      <w:r w:rsidR="007E43CA" w:rsidRPr="00615057">
        <w:rPr>
          <w:sz w:val="28"/>
          <w:szCs w:val="28"/>
        </w:rPr>
        <w:t>’ and not the intention,</w:t>
      </w:r>
      <w:r w:rsidR="00A14E40" w:rsidRPr="00615057">
        <w:rPr>
          <w:sz w:val="28"/>
          <w:szCs w:val="28"/>
        </w:rPr>
        <w:t xml:space="preserve"> </w:t>
      </w:r>
      <w:r w:rsidR="007E43CA" w:rsidRPr="00615057">
        <w:rPr>
          <w:sz w:val="28"/>
          <w:szCs w:val="28"/>
        </w:rPr>
        <w:t xml:space="preserve">which </w:t>
      </w:r>
      <w:r w:rsidR="00A14E40" w:rsidRPr="00615057">
        <w:rPr>
          <w:sz w:val="28"/>
          <w:szCs w:val="28"/>
        </w:rPr>
        <w:t>is important</w:t>
      </w:r>
      <w:r w:rsidR="009B6DB2" w:rsidRPr="00615057">
        <w:rPr>
          <w:sz w:val="28"/>
          <w:szCs w:val="28"/>
        </w:rPr>
        <w:t xml:space="preserve">. </w:t>
      </w:r>
    </w:p>
    <w:p w14:paraId="1F1CCB35" w14:textId="77777777" w:rsidR="00726E46" w:rsidRPr="00615057" w:rsidRDefault="00726E46" w:rsidP="00644C3F">
      <w:pPr>
        <w:spacing w:line="360" w:lineRule="auto"/>
        <w:jc w:val="both"/>
        <w:rPr>
          <w:sz w:val="28"/>
          <w:szCs w:val="28"/>
        </w:rPr>
      </w:pPr>
    </w:p>
    <w:p w14:paraId="5856F3F0" w14:textId="578A72BC" w:rsidR="00943A54" w:rsidRPr="00615057" w:rsidRDefault="004C46A8" w:rsidP="00943A54">
      <w:pPr>
        <w:spacing w:line="360" w:lineRule="auto"/>
        <w:jc w:val="both"/>
        <w:rPr>
          <w:sz w:val="28"/>
          <w:szCs w:val="28"/>
        </w:rPr>
      </w:pPr>
      <w:r w:rsidRPr="00615057">
        <w:rPr>
          <w:sz w:val="28"/>
          <w:szCs w:val="28"/>
        </w:rPr>
        <w:t>[2</w:t>
      </w:r>
      <w:r w:rsidR="000F08FB" w:rsidRPr="00615057">
        <w:rPr>
          <w:sz w:val="28"/>
          <w:szCs w:val="28"/>
        </w:rPr>
        <w:t>4</w:t>
      </w:r>
      <w:r w:rsidR="00223260" w:rsidRPr="00615057">
        <w:rPr>
          <w:sz w:val="28"/>
          <w:szCs w:val="28"/>
        </w:rPr>
        <w:t>]</w:t>
      </w:r>
      <w:r w:rsidR="008C1096">
        <w:rPr>
          <w:sz w:val="28"/>
          <w:szCs w:val="28"/>
        </w:rPr>
        <w:tab/>
      </w:r>
      <w:r w:rsidR="00644C3F" w:rsidRPr="00615057">
        <w:rPr>
          <w:sz w:val="28"/>
          <w:szCs w:val="28"/>
        </w:rPr>
        <w:t>The respondent attempt</w:t>
      </w:r>
      <w:r w:rsidR="00847896" w:rsidRPr="00615057">
        <w:rPr>
          <w:sz w:val="28"/>
          <w:szCs w:val="28"/>
        </w:rPr>
        <w:t>ed</w:t>
      </w:r>
      <w:r w:rsidR="00644C3F" w:rsidRPr="00615057">
        <w:rPr>
          <w:sz w:val="28"/>
          <w:szCs w:val="28"/>
        </w:rPr>
        <w:t xml:space="preserve"> to distinguish the facts in </w:t>
      </w:r>
      <w:r w:rsidR="00644C3F" w:rsidRPr="00615057">
        <w:rPr>
          <w:i/>
          <w:sz w:val="28"/>
          <w:szCs w:val="28"/>
        </w:rPr>
        <w:t>Knox D’Arcy</w:t>
      </w:r>
      <w:r w:rsidR="00644C3F" w:rsidRPr="00615057">
        <w:rPr>
          <w:sz w:val="28"/>
          <w:szCs w:val="28"/>
        </w:rPr>
        <w:t xml:space="preserve"> from the present facts </w:t>
      </w:r>
      <w:r w:rsidR="00847896" w:rsidRPr="00615057">
        <w:rPr>
          <w:sz w:val="28"/>
          <w:szCs w:val="28"/>
        </w:rPr>
        <w:t xml:space="preserve">by </w:t>
      </w:r>
      <w:r w:rsidR="00644C3F" w:rsidRPr="00615057">
        <w:rPr>
          <w:sz w:val="28"/>
          <w:szCs w:val="28"/>
        </w:rPr>
        <w:t>contend</w:t>
      </w:r>
      <w:r w:rsidR="00847896" w:rsidRPr="00615057">
        <w:rPr>
          <w:sz w:val="28"/>
          <w:szCs w:val="28"/>
        </w:rPr>
        <w:t>ing</w:t>
      </w:r>
      <w:r w:rsidR="00644C3F" w:rsidRPr="00615057">
        <w:rPr>
          <w:sz w:val="28"/>
          <w:szCs w:val="28"/>
        </w:rPr>
        <w:t xml:space="preserve"> that </w:t>
      </w:r>
      <w:r w:rsidR="00644C3F" w:rsidRPr="00615057">
        <w:rPr>
          <w:i/>
          <w:sz w:val="28"/>
          <w:szCs w:val="28"/>
        </w:rPr>
        <w:t>Knox D’Arcy</w:t>
      </w:r>
      <w:r w:rsidR="00644C3F" w:rsidRPr="00615057">
        <w:rPr>
          <w:sz w:val="28"/>
          <w:szCs w:val="28"/>
        </w:rPr>
        <w:t xml:space="preserve"> dealt with commercial issues and not matrimonial issues</w:t>
      </w:r>
      <w:r w:rsidR="0099014F" w:rsidRPr="00615057">
        <w:rPr>
          <w:sz w:val="28"/>
          <w:szCs w:val="28"/>
        </w:rPr>
        <w:t xml:space="preserve"> as is in her matter.</w:t>
      </w:r>
      <w:r w:rsidR="00644C3F" w:rsidRPr="00615057">
        <w:rPr>
          <w:sz w:val="28"/>
          <w:szCs w:val="28"/>
        </w:rPr>
        <w:t xml:space="preserve"> She argue</w:t>
      </w:r>
      <w:r w:rsidR="00847896" w:rsidRPr="00615057">
        <w:rPr>
          <w:sz w:val="28"/>
          <w:szCs w:val="28"/>
        </w:rPr>
        <w:t>d</w:t>
      </w:r>
      <w:r w:rsidR="00644C3F" w:rsidRPr="00615057">
        <w:rPr>
          <w:sz w:val="28"/>
          <w:szCs w:val="28"/>
        </w:rPr>
        <w:t xml:space="preserve"> that in her case, she ha</w:t>
      </w:r>
      <w:r w:rsidR="00847896" w:rsidRPr="00615057">
        <w:rPr>
          <w:sz w:val="28"/>
          <w:szCs w:val="28"/>
        </w:rPr>
        <w:t>d</w:t>
      </w:r>
      <w:r w:rsidR="00644C3F" w:rsidRPr="00615057">
        <w:rPr>
          <w:sz w:val="28"/>
          <w:szCs w:val="28"/>
        </w:rPr>
        <w:t xml:space="preserve"> a vested right to claim against the appellant’s estate because of the dissolution of the marriage</w:t>
      </w:r>
      <w:r w:rsidR="007E43CA" w:rsidRPr="00615057">
        <w:rPr>
          <w:sz w:val="28"/>
          <w:szCs w:val="28"/>
        </w:rPr>
        <w:t>,</w:t>
      </w:r>
      <w:r w:rsidR="00644C3F" w:rsidRPr="00615057">
        <w:rPr>
          <w:sz w:val="28"/>
          <w:szCs w:val="28"/>
        </w:rPr>
        <w:t xml:space="preserve"> which was premised upon the ante-nuptial contract.</w:t>
      </w:r>
      <w:r w:rsidR="00396A83">
        <w:rPr>
          <w:sz w:val="28"/>
          <w:szCs w:val="28"/>
        </w:rPr>
        <w:t xml:space="preserve"> She alleged </w:t>
      </w:r>
      <w:r w:rsidR="00644C3F" w:rsidRPr="00615057">
        <w:rPr>
          <w:sz w:val="28"/>
          <w:szCs w:val="28"/>
        </w:rPr>
        <w:t xml:space="preserve">that she has an accrual claim against the appellant’s estate; that the appellant has acknowledged that claim by presenting the </w:t>
      </w:r>
      <w:r w:rsidR="00644C3F" w:rsidRPr="00396A83">
        <w:rPr>
          <w:sz w:val="28"/>
          <w:szCs w:val="28"/>
        </w:rPr>
        <w:t>tender</w:t>
      </w:r>
      <w:r w:rsidR="00644C3F" w:rsidRPr="00B57065">
        <w:rPr>
          <w:sz w:val="28"/>
          <w:szCs w:val="28"/>
        </w:rPr>
        <w:t xml:space="preserve"> </w:t>
      </w:r>
      <w:r w:rsidR="00943A54" w:rsidRPr="00B57065">
        <w:rPr>
          <w:sz w:val="28"/>
          <w:szCs w:val="28"/>
        </w:rPr>
        <w:t>to her</w:t>
      </w:r>
      <w:r w:rsidR="00396A83">
        <w:rPr>
          <w:sz w:val="28"/>
          <w:szCs w:val="28"/>
        </w:rPr>
        <w:t>; and that according to her,</w:t>
      </w:r>
      <w:r w:rsidR="00943A54" w:rsidRPr="00615057">
        <w:rPr>
          <w:sz w:val="28"/>
          <w:szCs w:val="28"/>
        </w:rPr>
        <w:t xml:space="preserve"> fell squarely within the exceptional circumstances referred to in </w:t>
      </w:r>
      <w:r w:rsidR="00943A54" w:rsidRPr="00615057">
        <w:rPr>
          <w:i/>
          <w:sz w:val="28"/>
          <w:szCs w:val="28"/>
        </w:rPr>
        <w:t>Knox D’Arcy</w:t>
      </w:r>
      <w:r w:rsidR="00943A54" w:rsidRPr="00615057">
        <w:rPr>
          <w:sz w:val="28"/>
          <w:szCs w:val="28"/>
        </w:rPr>
        <w:t xml:space="preserve">. </w:t>
      </w:r>
    </w:p>
    <w:p w14:paraId="1AD93673" w14:textId="77777777" w:rsidR="00943A54" w:rsidRPr="00615057" w:rsidRDefault="00943A54" w:rsidP="00943A54">
      <w:pPr>
        <w:spacing w:line="360" w:lineRule="auto"/>
        <w:jc w:val="both"/>
        <w:rPr>
          <w:sz w:val="28"/>
          <w:szCs w:val="28"/>
        </w:rPr>
      </w:pPr>
    </w:p>
    <w:p w14:paraId="4953E98D" w14:textId="66D6E4ED" w:rsidR="00644C3F" w:rsidRPr="00615057" w:rsidRDefault="00943A54" w:rsidP="00943A54">
      <w:pPr>
        <w:spacing w:line="360" w:lineRule="auto"/>
        <w:jc w:val="both"/>
        <w:rPr>
          <w:sz w:val="28"/>
          <w:szCs w:val="28"/>
        </w:rPr>
      </w:pPr>
      <w:r w:rsidRPr="00615057">
        <w:rPr>
          <w:sz w:val="28"/>
          <w:szCs w:val="28"/>
        </w:rPr>
        <w:t>[25]</w:t>
      </w:r>
      <w:r w:rsidRPr="00615057">
        <w:rPr>
          <w:sz w:val="28"/>
          <w:szCs w:val="28"/>
        </w:rPr>
        <w:tab/>
        <w:t xml:space="preserve">The respondent did not base her claim on exceptional circumstances in her founding affidavit. Neither did she allege that the appellant’s conduct was not </w:t>
      </w:r>
      <w:r w:rsidRPr="00615057">
        <w:rPr>
          <w:i/>
          <w:iCs/>
          <w:sz w:val="28"/>
          <w:szCs w:val="28"/>
        </w:rPr>
        <w:t>bona</w:t>
      </w:r>
      <w:r w:rsidR="007B3515">
        <w:rPr>
          <w:i/>
          <w:iCs/>
          <w:sz w:val="28"/>
          <w:szCs w:val="28"/>
        </w:rPr>
        <w:t xml:space="preserve"> fide</w:t>
      </w:r>
      <w:r w:rsidR="00B57065">
        <w:rPr>
          <w:iCs/>
          <w:sz w:val="28"/>
          <w:szCs w:val="28"/>
        </w:rPr>
        <w:t>. In her founding affidavit she alleged</w:t>
      </w:r>
      <w:r w:rsidR="00644C3F" w:rsidRPr="00615057">
        <w:rPr>
          <w:sz w:val="28"/>
          <w:szCs w:val="28"/>
        </w:rPr>
        <w:t xml:space="preserve"> that the appellant w</w:t>
      </w:r>
      <w:r w:rsidR="00B57065">
        <w:rPr>
          <w:sz w:val="28"/>
          <w:szCs w:val="28"/>
        </w:rPr>
        <w:t>ould</w:t>
      </w:r>
      <w:r w:rsidR="00644C3F" w:rsidRPr="00615057">
        <w:rPr>
          <w:sz w:val="28"/>
          <w:szCs w:val="28"/>
        </w:rPr>
        <w:t xml:space="preserve"> dissipate his assets with the objective of frustrating her claim. These are the grounds on which the high court granted the relief she sought. She made her case in her founding affidavit and cannot, at this stage, change the basis of her claim. She </w:t>
      </w:r>
      <w:r w:rsidR="00B57065">
        <w:rPr>
          <w:sz w:val="28"/>
          <w:szCs w:val="28"/>
        </w:rPr>
        <w:t xml:space="preserve">must </w:t>
      </w:r>
      <w:r w:rsidR="00644C3F" w:rsidRPr="00615057">
        <w:rPr>
          <w:sz w:val="28"/>
          <w:szCs w:val="28"/>
        </w:rPr>
        <w:t xml:space="preserve">stand or fall by the allegations she made in her founding </w:t>
      </w:r>
      <w:r w:rsidR="00B57065">
        <w:rPr>
          <w:sz w:val="28"/>
          <w:szCs w:val="28"/>
        </w:rPr>
        <w:t>papers</w:t>
      </w:r>
      <w:r w:rsidR="00644C3F" w:rsidRPr="00615057">
        <w:rPr>
          <w:sz w:val="28"/>
          <w:szCs w:val="28"/>
        </w:rPr>
        <w:t xml:space="preserve"> and cannot</w:t>
      </w:r>
      <w:r w:rsidR="00B57065">
        <w:rPr>
          <w:sz w:val="28"/>
          <w:szCs w:val="28"/>
        </w:rPr>
        <w:t xml:space="preserve"> seek to</w:t>
      </w:r>
      <w:r w:rsidR="00644C3F" w:rsidRPr="00615057">
        <w:rPr>
          <w:sz w:val="28"/>
          <w:szCs w:val="28"/>
        </w:rPr>
        <w:t xml:space="preserve"> make out a </w:t>
      </w:r>
      <w:r w:rsidR="00B57065">
        <w:rPr>
          <w:sz w:val="28"/>
          <w:szCs w:val="28"/>
        </w:rPr>
        <w:t xml:space="preserve">new </w:t>
      </w:r>
      <w:r w:rsidR="00644C3F" w:rsidRPr="00615057">
        <w:rPr>
          <w:sz w:val="28"/>
          <w:szCs w:val="28"/>
        </w:rPr>
        <w:t>case in argument</w:t>
      </w:r>
      <w:r w:rsidR="00B57065">
        <w:rPr>
          <w:sz w:val="28"/>
          <w:szCs w:val="28"/>
        </w:rPr>
        <w:t xml:space="preserve"> and more so on appeal.</w:t>
      </w:r>
    </w:p>
    <w:p w14:paraId="3333B438" w14:textId="77777777" w:rsidR="006C2191" w:rsidRPr="00615057" w:rsidRDefault="006C2191" w:rsidP="00644C3F">
      <w:pPr>
        <w:spacing w:line="360" w:lineRule="auto"/>
        <w:jc w:val="both"/>
        <w:rPr>
          <w:sz w:val="28"/>
          <w:szCs w:val="28"/>
        </w:rPr>
      </w:pPr>
    </w:p>
    <w:p w14:paraId="619594B2" w14:textId="7421FCC5" w:rsidR="00644C3F" w:rsidRPr="00615057" w:rsidRDefault="00FC649E" w:rsidP="00644C3F">
      <w:pPr>
        <w:spacing w:line="360" w:lineRule="auto"/>
        <w:jc w:val="both"/>
        <w:rPr>
          <w:sz w:val="28"/>
          <w:szCs w:val="28"/>
        </w:rPr>
      </w:pPr>
      <w:r w:rsidRPr="00615057">
        <w:rPr>
          <w:sz w:val="28"/>
          <w:szCs w:val="28"/>
        </w:rPr>
        <w:t>[</w:t>
      </w:r>
      <w:r w:rsidR="00A14E40" w:rsidRPr="00615057">
        <w:rPr>
          <w:sz w:val="28"/>
          <w:szCs w:val="28"/>
        </w:rPr>
        <w:t>2</w:t>
      </w:r>
      <w:r w:rsidR="007514F9" w:rsidRPr="00615057">
        <w:rPr>
          <w:sz w:val="28"/>
          <w:szCs w:val="28"/>
        </w:rPr>
        <w:t>6</w:t>
      </w:r>
      <w:r w:rsidR="00935443">
        <w:rPr>
          <w:sz w:val="28"/>
          <w:szCs w:val="28"/>
        </w:rPr>
        <w:t>]</w:t>
      </w:r>
      <w:r w:rsidR="00935443">
        <w:rPr>
          <w:sz w:val="28"/>
          <w:szCs w:val="28"/>
        </w:rPr>
        <w:tab/>
      </w:r>
      <w:r w:rsidR="00726E46" w:rsidRPr="00615057">
        <w:rPr>
          <w:sz w:val="28"/>
          <w:szCs w:val="28"/>
        </w:rPr>
        <w:t>Even so</w:t>
      </w:r>
      <w:r w:rsidR="00644C3F" w:rsidRPr="00615057">
        <w:rPr>
          <w:sz w:val="28"/>
          <w:szCs w:val="28"/>
        </w:rPr>
        <w:t xml:space="preserve">, </w:t>
      </w:r>
      <w:r w:rsidR="00726E46" w:rsidRPr="00615057">
        <w:rPr>
          <w:sz w:val="28"/>
          <w:szCs w:val="28"/>
        </w:rPr>
        <w:t xml:space="preserve">to qualify as </w:t>
      </w:r>
      <w:r w:rsidR="00644C3F" w:rsidRPr="00615057">
        <w:rPr>
          <w:sz w:val="28"/>
          <w:szCs w:val="28"/>
        </w:rPr>
        <w:t>exceptional</w:t>
      </w:r>
      <w:r w:rsidR="00726E46" w:rsidRPr="00615057">
        <w:rPr>
          <w:sz w:val="28"/>
          <w:szCs w:val="28"/>
        </w:rPr>
        <w:t>,</w:t>
      </w:r>
      <w:r w:rsidR="00644C3F" w:rsidRPr="00615057">
        <w:rPr>
          <w:sz w:val="28"/>
          <w:szCs w:val="28"/>
        </w:rPr>
        <w:t xml:space="preserve"> the circumstances must be out of the ordinary and of an unusual nature, something which is excepted in the sense that the general rule does not apply to it; something uncommon, rare or different.</w:t>
      </w:r>
      <w:r w:rsidR="00284DF5">
        <w:rPr>
          <w:rStyle w:val="FootnoteReference"/>
          <w:sz w:val="28"/>
          <w:szCs w:val="28"/>
        </w:rPr>
        <w:footnoteReference w:customMarkFollows="1" w:id="10"/>
        <w:t>10</w:t>
      </w:r>
      <w:r w:rsidR="00644C3F" w:rsidRPr="00615057">
        <w:rPr>
          <w:sz w:val="28"/>
          <w:szCs w:val="28"/>
        </w:rPr>
        <w:t xml:space="preserve"> I </w:t>
      </w:r>
      <w:r w:rsidR="00644C3F" w:rsidRPr="00615057">
        <w:rPr>
          <w:sz w:val="28"/>
          <w:szCs w:val="28"/>
        </w:rPr>
        <w:lastRenderedPageBreak/>
        <w:t xml:space="preserve">am not persuaded that </w:t>
      </w:r>
      <w:r w:rsidR="00726E46" w:rsidRPr="00615057">
        <w:rPr>
          <w:sz w:val="28"/>
          <w:szCs w:val="28"/>
        </w:rPr>
        <w:t xml:space="preserve">enough material was submitted </w:t>
      </w:r>
      <w:r w:rsidR="00B57065">
        <w:rPr>
          <w:sz w:val="28"/>
          <w:szCs w:val="28"/>
        </w:rPr>
        <w:t xml:space="preserve">for the respondent’s case </w:t>
      </w:r>
      <w:r w:rsidR="00726E46" w:rsidRPr="00615057">
        <w:rPr>
          <w:sz w:val="28"/>
          <w:szCs w:val="28"/>
        </w:rPr>
        <w:t xml:space="preserve">to </w:t>
      </w:r>
      <w:r w:rsidR="00644C3F" w:rsidRPr="00615057">
        <w:rPr>
          <w:sz w:val="28"/>
          <w:szCs w:val="28"/>
        </w:rPr>
        <w:t>constitute exceptional</w:t>
      </w:r>
      <w:r w:rsidR="00223260" w:rsidRPr="00615057">
        <w:rPr>
          <w:sz w:val="28"/>
          <w:szCs w:val="28"/>
        </w:rPr>
        <w:t xml:space="preserve"> </w:t>
      </w:r>
      <w:r w:rsidR="00644C3F" w:rsidRPr="00615057">
        <w:rPr>
          <w:sz w:val="28"/>
          <w:szCs w:val="28"/>
        </w:rPr>
        <w:t>circumstances</w:t>
      </w:r>
      <w:r w:rsidR="00726E46" w:rsidRPr="00615057">
        <w:rPr>
          <w:sz w:val="28"/>
          <w:szCs w:val="28"/>
        </w:rPr>
        <w:t>,</w:t>
      </w:r>
      <w:r w:rsidR="00CF3D83" w:rsidRPr="00615057">
        <w:rPr>
          <w:sz w:val="28"/>
          <w:szCs w:val="28"/>
        </w:rPr>
        <w:t xml:space="preserve"> </w:t>
      </w:r>
      <w:r w:rsidR="00644C3F" w:rsidRPr="00615057">
        <w:rPr>
          <w:sz w:val="28"/>
          <w:szCs w:val="28"/>
        </w:rPr>
        <w:t xml:space="preserve">that would justify the application of a lesser threshold than the one stated in </w:t>
      </w:r>
      <w:r w:rsidR="00644C3F" w:rsidRPr="00615057">
        <w:rPr>
          <w:i/>
          <w:sz w:val="28"/>
          <w:szCs w:val="28"/>
        </w:rPr>
        <w:t>Knox D’Arcy</w:t>
      </w:r>
      <w:r w:rsidR="00644C3F" w:rsidRPr="00615057">
        <w:rPr>
          <w:sz w:val="28"/>
          <w:szCs w:val="28"/>
        </w:rPr>
        <w:t xml:space="preserve">. </w:t>
      </w:r>
      <w:r w:rsidR="00726E46" w:rsidRPr="00615057">
        <w:rPr>
          <w:sz w:val="28"/>
          <w:szCs w:val="28"/>
        </w:rPr>
        <w:t>Something more than the allegation that</w:t>
      </w:r>
      <w:r w:rsidR="00E4547D" w:rsidRPr="00615057">
        <w:rPr>
          <w:sz w:val="28"/>
          <w:szCs w:val="28"/>
        </w:rPr>
        <w:t xml:space="preserve"> </w:t>
      </w:r>
      <w:r w:rsidR="00726E46" w:rsidRPr="00615057">
        <w:rPr>
          <w:sz w:val="28"/>
          <w:szCs w:val="28"/>
        </w:rPr>
        <w:t xml:space="preserve">the parties’ </w:t>
      </w:r>
      <w:r w:rsidR="00644C3F" w:rsidRPr="00615057">
        <w:rPr>
          <w:sz w:val="28"/>
          <w:szCs w:val="28"/>
        </w:rPr>
        <w:t>marriage was out of community of property with accrual system</w:t>
      </w:r>
      <w:r w:rsidR="00726E46" w:rsidRPr="00615057">
        <w:rPr>
          <w:sz w:val="28"/>
          <w:szCs w:val="28"/>
        </w:rPr>
        <w:t xml:space="preserve"> may be required</w:t>
      </w:r>
      <w:r w:rsidR="00644C3F" w:rsidRPr="00615057">
        <w:rPr>
          <w:sz w:val="28"/>
          <w:szCs w:val="28"/>
        </w:rPr>
        <w:t xml:space="preserve">. This </w:t>
      </w:r>
      <w:r w:rsidR="00726E46" w:rsidRPr="00615057">
        <w:rPr>
          <w:sz w:val="28"/>
          <w:szCs w:val="28"/>
        </w:rPr>
        <w:t xml:space="preserve">has however not been shown in this case. </w:t>
      </w:r>
    </w:p>
    <w:p w14:paraId="3B5C8A54" w14:textId="1F9C5C43" w:rsidR="00174B0D" w:rsidRPr="00615057" w:rsidRDefault="007E43CA" w:rsidP="00644C3F">
      <w:pPr>
        <w:tabs>
          <w:tab w:val="left" w:pos="8130"/>
        </w:tabs>
        <w:spacing w:line="360" w:lineRule="auto"/>
        <w:jc w:val="both"/>
        <w:rPr>
          <w:sz w:val="28"/>
          <w:szCs w:val="28"/>
        </w:rPr>
      </w:pPr>
      <w:r w:rsidRPr="00615057">
        <w:rPr>
          <w:sz w:val="28"/>
          <w:szCs w:val="28"/>
        </w:rPr>
        <w:t>The findings above render it unnecessary to consider whether the other elements to satisfy an interim interdict had been met.</w:t>
      </w:r>
    </w:p>
    <w:p w14:paraId="42764E06" w14:textId="1F973496" w:rsidR="00644C3F" w:rsidRPr="00615057" w:rsidRDefault="00644C3F" w:rsidP="00644C3F">
      <w:pPr>
        <w:tabs>
          <w:tab w:val="left" w:pos="8130"/>
        </w:tabs>
        <w:spacing w:line="360" w:lineRule="auto"/>
        <w:jc w:val="both"/>
        <w:rPr>
          <w:color w:val="FF0000"/>
          <w:sz w:val="28"/>
          <w:szCs w:val="28"/>
        </w:rPr>
      </w:pPr>
    </w:p>
    <w:p w14:paraId="4F9C2275" w14:textId="482BBBA1" w:rsidR="00644C3F" w:rsidRPr="00615057" w:rsidRDefault="00644C3F" w:rsidP="00644C3F">
      <w:pPr>
        <w:spacing w:line="360" w:lineRule="auto"/>
        <w:jc w:val="both"/>
        <w:rPr>
          <w:b/>
          <w:sz w:val="28"/>
          <w:szCs w:val="28"/>
        </w:rPr>
      </w:pPr>
      <w:r w:rsidRPr="00615057">
        <w:rPr>
          <w:b/>
          <w:sz w:val="28"/>
          <w:szCs w:val="28"/>
        </w:rPr>
        <w:t>Did the high court apply the correct applicable legal principle</w:t>
      </w:r>
      <w:r w:rsidR="003C3323">
        <w:rPr>
          <w:b/>
          <w:sz w:val="28"/>
          <w:szCs w:val="28"/>
        </w:rPr>
        <w:t>?</w:t>
      </w:r>
    </w:p>
    <w:p w14:paraId="33E2BA05" w14:textId="4D786113" w:rsidR="00644C3F" w:rsidRPr="00615057" w:rsidRDefault="00FC649E" w:rsidP="00644C3F">
      <w:pPr>
        <w:spacing w:line="360" w:lineRule="auto"/>
        <w:jc w:val="both"/>
        <w:rPr>
          <w:sz w:val="28"/>
          <w:szCs w:val="28"/>
        </w:rPr>
      </w:pPr>
      <w:r w:rsidRPr="00615057">
        <w:rPr>
          <w:sz w:val="28"/>
          <w:szCs w:val="28"/>
        </w:rPr>
        <w:t>[</w:t>
      </w:r>
      <w:r w:rsidR="00726E46" w:rsidRPr="00615057">
        <w:rPr>
          <w:sz w:val="28"/>
          <w:szCs w:val="28"/>
        </w:rPr>
        <w:t>2</w:t>
      </w:r>
      <w:r w:rsidR="007514F9" w:rsidRPr="00615057">
        <w:rPr>
          <w:sz w:val="28"/>
          <w:szCs w:val="28"/>
        </w:rPr>
        <w:t>7</w:t>
      </w:r>
      <w:r w:rsidR="00644C3F" w:rsidRPr="00615057">
        <w:rPr>
          <w:sz w:val="28"/>
          <w:szCs w:val="28"/>
        </w:rPr>
        <w:t>]</w:t>
      </w:r>
      <w:r w:rsidR="00644C3F" w:rsidRPr="00615057">
        <w:rPr>
          <w:sz w:val="28"/>
          <w:szCs w:val="28"/>
        </w:rPr>
        <w:tab/>
        <w:t xml:space="preserve">The high court did not deem it necessary to apply the requirements as stated in </w:t>
      </w:r>
      <w:r w:rsidR="00644C3F" w:rsidRPr="00615057">
        <w:rPr>
          <w:i/>
          <w:sz w:val="28"/>
          <w:szCs w:val="28"/>
        </w:rPr>
        <w:t>Knox D’Arcy</w:t>
      </w:r>
      <w:r w:rsidR="00644C3F" w:rsidRPr="00615057">
        <w:rPr>
          <w:sz w:val="28"/>
          <w:szCs w:val="28"/>
        </w:rPr>
        <w:t xml:space="preserve">. Instead, it preferred the dictum in </w:t>
      </w:r>
      <w:r w:rsidR="00644C3F" w:rsidRPr="00615057">
        <w:rPr>
          <w:i/>
          <w:sz w:val="28"/>
          <w:szCs w:val="28"/>
        </w:rPr>
        <w:t>JLT v CHT and Another</w:t>
      </w:r>
      <w:r w:rsidR="005327AE" w:rsidRPr="00E02808">
        <w:rPr>
          <w:rStyle w:val="FootnoteReference"/>
          <w:sz w:val="28"/>
          <w:szCs w:val="28"/>
        </w:rPr>
        <w:footnoteReference w:customMarkFollows="1" w:id="11"/>
        <w:t>11</w:t>
      </w:r>
      <w:r w:rsidR="00172CE8">
        <w:rPr>
          <w:rStyle w:val="FootnoteReference"/>
          <w:sz w:val="28"/>
          <w:szCs w:val="28"/>
        </w:rPr>
        <w:t xml:space="preserve"> </w:t>
      </w:r>
      <w:r w:rsidR="00172CE8" w:rsidRPr="00E02808">
        <w:rPr>
          <w:i/>
          <w:sz w:val="28"/>
          <w:szCs w:val="28"/>
        </w:rPr>
        <w:t>(JLT)</w:t>
      </w:r>
      <w:r w:rsidR="00172CE8">
        <w:rPr>
          <w:sz w:val="28"/>
          <w:szCs w:val="28"/>
        </w:rPr>
        <w:t xml:space="preserve"> </w:t>
      </w:r>
      <w:r w:rsidR="00644C3F" w:rsidRPr="00615057">
        <w:rPr>
          <w:sz w:val="28"/>
          <w:szCs w:val="28"/>
        </w:rPr>
        <w:t xml:space="preserve">which held that: </w:t>
      </w:r>
    </w:p>
    <w:p w14:paraId="1C0731A7" w14:textId="59C876E5" w:rsidR="00644C3F" w:rsidRPr="00615057" w:rsidRDefault="00644C3F" w:rsidP="00644C3F">
      <w:pPr>
        <w:spacing w:line="360" w:lineRule="auto"/>
        <w:jc w:val="both"/>
        <w:rPr>
          <w:sz w:val="28"/>
          <w:szCs w:val="28"/>
        </w:rPr>
      </w:pPr>
      <w:r w:rsidRPr="00615057">
        <w:t>‘</w:t>
      </w:r>
      <w:r w:rsidR="00D355BA">
        <w:t xml:space="preserve">. . . </w:t>
      </w:r>
      <w:r w:rsidRPr="00615057">
        <w:t xml:space="preserve">it is not essential to establish an intention on the part of the respondent to frustrate an anticipated judgment </w:t>
      </w:r>
      <w:r w:rsidRPr="00E02808">
        <w:rPr>
          <w:i/>
        </w:rPr>
        <w:t>if the conduct of the respondent is likely to have that effect</w:t>
      </w:r>
      <w:r w:rsidRPr="00615057">
        <w:t>.’</w:t>
      </w:r>
      <w:r w:rsidR="00006FF2">
        <w:rPr>
          <w:rStyle w:val="FootnoteReference"/>
        </w:rPr>
        <w:footnoteReference w:customMarkFollows="1" w:id="12"/>
        <w:t>12</w:t>
      </w:r>
    </w:p>
    <w:p w14:paraId="5B08935B" w14:textId="77777777" w:rsidR="00644C3F" w:rsidRPr="00615057" w:rsidRDefault="00644C3F" w:rsidP="00644C3F">
      <w:pPr>
        <w:spacing w:line="360" w:lineRule="auto"/>
        <w:jc w:val="both"/>
        <w:rPr>
          <w:sz w:val="28"/>
          <w:szCs w:val="28"/>
        </w:rPr>
      </w:pPr>
    </w:p>
    <w:p w14:paraId="7309F308" w14:textId="1987673C" w:rsidR="00644C3F" w:rsidRPr="00615057" w:rsidRDefault="00FC649E" w:rsidP="00644C3F">
      <w:pPr>
        <w:spacing w:line="360" w:lineRule="auto"/>
        <w:jc w:val="both"/>
        <w:rPr>
          <w:sz w:val="28"/>
          <w:szCs w:val="28"/>
        </w:rPr>
      </w:pPr>
      <w:r w:rsidRPr="00615057">
        <w:rPr>
          <w:sz w:val="28"/>
          <w:szCs w:val="28"/>
        </w:rPr>
        <w:t>[2</w:t>
      </w:r>
      <w:r w:rsidR="007514F9" w:rsidRPr="00615057">
        <w:rPr>
          <w:sz w:val="28"/>
          <w:szCs w:val="28"/>
        </w:rPr>
        <w:t>8</w:t>
      </w:r>
      <w:r w:rsidR="00644C3F" w:rsidRPr="00615057">
        <w:rPr>
          <w:sz w:val="28"/>
          <w:szCs w:val="28"/>
        </w:rPr>
        <w:t>]</w:t>
      </w:r>
      <w:r w:rsidR="00644C3F" w:rsidRPr="00615057">
        <w:rPr>
          <w:sz w:val="28"/>
          <w:szCs w:val="28"/>
        </w:rPr>
        <w:tab/>
        <w:t xml:space="preserve">The dictum in </w:t>
      </w:r>
      <w:r w:rsidR="00644C3F" w:rsidRPr="00615057">
        <w:rPr>
          <w:i/>
          <w:sz w:val="28"/>
          <w:szCs w:val="28"/>
        </w:rPr>
        <w:t>JLT</w:t>
      </w:r>
      <w:r w:rsidR="00644C3F" w:rsidRPr="00615057">
        <w:rPr>
          <w:sz w:val="28"/>
          <w:szCs w:val="28"/>
        </w:rPr>
        <w:t xml:space="preserve"> does not reflect the correct legal position. This Court has made it clear in </w:t>
      </w:r>
      <w:r w:rsidR="00644C3F" w:rsidRPr="00615057">
        <w:rPr>
          <w:i/>
          <w:sz w:val="28"/>
          <w:szCs w:val="28"/>
        </w:rPr>
        <w:t>Knox D’Arcy</w:t>
      </w:r>
      <w:r w:rsidR="00644C3F" w:rsidRPr="00615057">
        <w:rPr>
          <w:sz w:val="28"/>
          <w:szCs w:val="28"/>
        </w:rPr>
        <w:t xml:space="preserve"> that an applicant must show that the respondent possessed a particular state of mind in his conduct. </w:t>
      </w:r>
      <w:r w:rsidR="00644C3F" w:rsidRPr="00615057">
        <w:rPr>
          <w:i/>
          <w:sz w:val="28"/>
          <w:szCs w:val="28"/>
        </w:rPr>
        <w:t xml:space="preserve">JLT </w:t>
      </w:r>
      <w:r w:rsidR="00644C3F" w:rsidRPr="00615057">
        <w:rPr>
          <w:sz w:val="28"/>
          <w:szCs w:val="28"/>
        </w:rPr>
        <w:t>has</w:t>
      </w:r>
      <w:r w:rsidR="004C46A8" w:rsidRPr="00615057">
        <w:rPr>
          <w:sz w:val="28"/>
          <w:szCs w:val="28"/>
        </w:rPr>
        <w:t>, unfortunately,</w:t>
      </w:r>
      <w:r w:rsidR="00644C3F" w:rsidRPr="00615057">
        <w:rPr>
          <w:sz w:val="28"/>
          <w:szCs w:val="28"/>
        </w:rPr>
        <w:t xml:space="preserve"> found favour with </w:t>
      </w:r>
      <w:r w:rsidR="004C46A8" w:rsidRPr="00615057">
        <w:rPr>
          <w:sz w:val="28"/>
          <w:szCs w:val="28"/>
        </w:rPr>
        <w:t xml:space="preserve">various </w:t>
      </w:r>
      <w:r w:rsidR="00644C3F" w:rsidRPr="00615057">
        <w:rPr>
          <w:sz w:val="28"/>
          <w:szCs w:val="28"/>
        </w:rPr>
        <w:t xml:space="preserve">divisions of the high court. In </w:t>
      </w:r>
      <w:r w:rsidR="00644C3F" w:rsidRPr="00615057">
        <w:rPr>
          <w:i/>
          <w:sz w:val="28"/>
          <w:szCs w:val="28"/>
        </w:rPr>
        <w:t>Gernetsky</w:t>
      </w:r>
      <w:r w:rsidR="00644C3F" w:rsidRPr="00615057">
        <w:rPr>
          <w:sz w:val="28"/>
          <w:szCs w:val="28"/>
        </w:rPr>
        <w:t xml:space="preserve"> v </w:t>
      </w:r>
      <w:r w:rsidR="00644C3F" w:rsidRPr="00615057">
        <w:rPr>
          <w:i/>
          <w:sz w:val="28"/>
          <w:szCs w:val="28"/>
        </w:rPr>
        <w:t>Gernetsky</w:t>
      </w:r>
      <w:r w:rsidR="00412059" w:rsidRPr="00E02808">
        <w:rPr>
          <w:rStyle w:val="FootnoteReference"/>
          <w:sz w:val="28"/>
          <w:szCs w:val="28"/>
        </w:rPr>
        <w:footnoteReference w:customMarkFollows="1" w:id="13"/>
        <w:t>13</w:t>
      </w:r>
      <w:r w:rsidR="004C46A8" w:rsidRPr="00615057">
        <w:rPr>
          <w:sz w:val="28"/>
          <w:szCs w:val="28"/>
        </w:rPr>
        <w:t xml:space="preserve">the high court </w:t>
      </w:r>
      <w:r w:rsidR="00644C3F" w:rsidRPr="00615057">
        <w:rPr>
          <w:sz w:val="28"/>
          <w:szCs w:val="28"/>
        </w:rPr>
        <w:t>held that it is not a requirement for the applicant to show a fraudulent intent for the relief</w:t>
      </w:r>
      <w:r w:rsidR="007E43CA" w:rsidRPr="00615057">
        <w:rPr>
          <w:sz w:val="28"/>
          <w:szCs w:val="28"/>
        </w:rPr>
        <w:t>,</w:t>
      </w:r>
      <w:r w:rsidR="00644C3F" w:rsidRPr="00615057">
        <w:rPr>
          <w:sz w:val="28"/>
          <w:szCs w:val="28"/>
        </w:rPr>
        <w:t xml:space="preserve"> in a matter where a spouse sought anti-dissipatory relief relevant to an accrual claim. The court considered whether such relief between spouses was not an exceptional circumstance referred to in </w:t>
      </w:r>
      <w:r w:rsidR="00644C3F" w:rsidRPr="00615057">
        <w:rPr>
          <w:i/>
          <w:iCs/>
          <w:sz w:val="28"/>
          <w:szCs w:val="28"/>
        </w:rPr>
        <w:t>Knox D’Arcy</w:t>
      </w:r>
      <w:r w:rsidR="00644C3F" w:rsidRPr="00615057">
        <w:rPr>
          <w:sz w:val="28"/>
          <w:szCs w:val="28"/>
        </w:rPr>
        <w:t xml:space="preserve">. It however did not make a finding on this issue. </w:t>
      </w:r>
      <w:r w:rsidR="00644C3F" w:rsidRPr="00615057">
        <w:rPr>
          <w:i/>
          <w:sz w:val="28"/>
          <w:szCs w:val="28"/>
        </w:rPr>
        <w:t xml:space="preserve">JLT </w:t>
      </w:r>
      <w:r w:rsidR="00644C3F" w:rsidRPr="00615057">
        <w:rPr>
          <w:sz w:val="28"/>
          <w:szCs w:val="28"/>
        </w:rPr>
        <w:t xml:space="preserve">was recently followed and quoted wrongly in </w:t>
      </w:r>
      <w:r w:rsidR="00644C3F" w:rsidRPr="00615057">
        <w:rPr>
          <w:i/>
          <w:sz w:val="28"/>
          <w:szCs w:val="28"/>
        </w:rPr>
        <w:t xml:space="preserve">SM v JM and Another </w:t>
      </w:r>
      <w:r w:rsidR="00644C3F" w:rsidRPr="00615057">
        <w:rPr>
          <w:sz w:val="28"/>
          <w:szCs w:val="28"/>
        </w:rPr>
        <w:t>(</w:t>
      </w:r>
      <w:r w:rsidR="00644C3F" w:rsidRPr="00615057">
        <w:rPr>
          <w:i/>
          <w:sz w:val="28"/>
          <w:szCs w:val="28"/>
        </w:rPr>
        <w:t>SM</w:t>
      </w:r>
      <w:r w:rsidR="00644C3F" w:rsidRPr="00615057">
        <w:rPr>
          <w:sz w:val="28"/>
          <w:szCs w:val="28"/>
        </w:rPr>
        <w:t>)</w:t>
      </w:r>
      <w:r w:rsidR="00E13597">
        <w:rPr>
          <w:rStyle w:val="FootnoteReference"/>
          <w:sz w:val="28"/>
          <w:szCs w:val="28"/>
        </w:rPr>
        <w:footnoteReference w:customMarkFollows="1" w:id="14"/>
        <w:t>14</w:t>
      </w:r>
      <w:r w:rsidR="00644C3F" w:rsidRPr="00615057">
        <w:rPr>
          <w:sz w:val="28"/>
          <w:szCs w:val="28"/>
        </w:rPr>
        <w:t xml:space="preserve"> as though it appears in </w:t>
      </w:r>
      <w:r w:rsidR="00644C3F" w:rsidRPr="00615057">
        <w:rPr>
          <w:i/>
          <w:sz w:val="28"/>
          <w:szCs w:val="28"/>
        </w:rPr>
        <w:t>Knox-D’Arcy</w:t>
      </w:r>
      <w:r w:rsidR="00644C3F" w:rsidRPr="00615057">
        <w:rPr>
          <w:sz w:val="28"/>
          <w:szCs w:val="28"/>
        </w:rPr>
        <w:t>.</w:t>
      </w:r>
    </w:p>
    <w:p w14:paraId="5FBD661A" w14:textId="77777777" w:rsidR="00644C3F" w:rsidRPr="00615057" w:rsidRDefault="00644C3F" w:rsidP="00644C3F">
      <w:pPr>
        <w:spacing w:line="360" w:lineRule="auto"/>
        <w:jc w:val="both"/>
        <w:rPr>
          <w:sz w:val="28"/>
          <w:szCs w:val="28"/>
        </w:rPr>
      </w:pPr>
    </w:p>
    <w:p w14:paraId="0002D861" w14:textId="178A478D" w:rsidR="00644C3F" w:rsidRPr="00615057" w:rsidRDefault="00FC649E" w:rsidP="00644C3F">
      <w:pPr>
        <w:spacing w:line="360" w:lineRule="auto"/>
        <w:jc w:val="both"/>
        <w:rPr>
          <w:sz w:val="28"/>
          <w:szCs w:val="28"/>
        </w:rPr>
      </w:pPr>
      <w:r w:rsidRPr="00615057">
        <w:rPr>
          <w:sz w:val="28"/>
          <w:szCs w:val="28"/>
        </w:rPr>
        <w:t>[</w:t>
      </w:r>
      <w:r w:rsidR="007514F9" w:rsidRPr="00615057">
        <w:rPr>
          <w:sz w:val="28"/>
          <w:szCs w:val="28"/>
        </w:rPr>
        <w:t>29</w:t>
      </w:r>
      <w:r w:rsidR="00935443">
        <w:rPr>
          <w:sz w:val="28"/>
          <w:szCs w:val="28"/>
        </w:rPr>
        <w:t>]</w:t>
      </w:r>
      <w:r w:rsidR="00935443">
        <w:rPr>
          <w:sz w:val="28"/>
          <w:szCs w:val="28"/>
        </w:rPr>
        <w:tab/>
      </w:r>
      <w:r w:rsidR="00644C3F" w:rsidRPr="00615057">
        <w:rPr>
          <w:sz w:val="28"/>
          <w:szCs w:val="28"/>
        </w:rPr>
        <w:t xml:space="preserve">As stated above, </w:t>
      </w:r>
      <w:r w:rsidR="00644C3F" w:rsidRPr="00615057">
        <w:rPr>
          <w:i/>
          <w:sz w:val="28"/>
          <w:szCs w:val="28"/>
        </w:rPr>
        <w:t xml:space="preserve">JLT </w:t>
      </w:r>
      <w:r w:rsidR="00644C3F" w:rsidRPr="00615057">
        <w:rPr>
          <w:sz w:val="28"/>
          <w:szCs w:val="28"/>
        </w:rPr>
        <w:t xml:space="preserve">and the cases </w:t>
      </w:r>
      <w:r w:rsidR="00A62F2C" w:rsidRPr="00615057">
        <w:rPr>
          <w:sz w:val="28"/>
          <w:szCs w:val="28"/>
        </w:rPr>
        <w:t xml:space="preserve">that followed it, </w:t>
      </w:r>
      <w:r w:rsidR="00644C3F" w:rsidRPr="00615057">
        <w:rPr>
          <w:sz w:val="28"/>
          <w:szCs w:val="28"/>
        </w:rPr>
        <w:t>do</w:t>
      </w:r>
      <w:r w:rsidR="00E4547D" w:rsidRPr="00615057">
        <w:rPr>
          <w:sz w:val="28"/>
          <w:szCs w:val="28"/>
        </w:rPr>
        <w:t xml:space="preserve"> </w:t>
      </w:r>
      <w:r w:rsidR="00644C3F" w:rsidRPr="00615057">
        <w:rPr>
          <w:sz w:val="28"/>
          <w:szCs w:val="28"/>
        </w:rPr>
        <w:t xml:space="preserve">not reflect the correct legal position. </w:t>
      </w:r>
      <w:r w:rsidR="00644C3F" w:rsidRPr="00615057">
        <w:rPr>
          <w:i/>
          <w:sz w:val="28"/>
          <w:szCs w:val="28"/>
        </w:rPr>
        <w:t>Knox D’Arcy</w:t>
      </w:r>
      <w:r w:rsidR="00A62F2C" w:rsidRPr="00615057">
        <w:rPr>
          <w:i/>
          <w:sz w:val="28"/>
          <w:szCs w:val="28"/>
        </w:rPr>
        <w:t>,</w:t>
      </w:r>
      <w:r w:rsidR="00644C3F" w:rsidRPr="00615057">
        <w:rPr>
          <w:sz w:val="28"/>
          <w:szCs w:val="28"/>
        </w:rPr>
        <w:t xml:space="preserve"> </w:t>
      </w:r>
      <w:r w:rsidR="00A62F2C" w:rsidRPr="00615057">
        <w:rPr>
          <w:sz w:val="28"/>
          <w:szCs w:val="28"/>
        </w:rPr>
        <w:t>a decision of this Court</w:t>
      </w:r>
      <w:r w:rsidR="007E43CA" w:rsidRPr="00615057">
        <w:rPr>
          <w:sz w:val="28"/>
          <w:szCs w:val="28"/>
        </w:rPr>
        <w:t>,</w:t>
      </w:r>
      <w:r w:rsidR="00A62F2C" w:rsidRPr="00615057">
        <w:rPr>
          <w:sz w:val="28"/>
          <w:szCs w:val="28"/>
        </w:rPr>
        <w:t xml:space="preserve"> </w:t>
      </w:r>
      <w:r w:rsidR="00644C3F" w:rsidRPr="00615057">
        <w:rPr>
          <w:sz w:val="28"/>
          <w:szCs w:val="28"/>
        </w:rPr>
        <w:t xml:space="preserve">settled the matter on the requirement of intent in anti-dissipation applications. The high courts </w:t>
      </w:r>
      <w:r w:rsidR="00A62F2C" w:rsidRPr="00615057">
        <w:rPr>
          <w:sz w:val="28"/>
          <w:szCs w:val="28"/>
        </w:rPr>
        <w:t xml:space="preserve">were </w:t>
      </w:r>
      <w:r w:rsidR="00644C3F" w:rsidRPr="00615057">
        <w:rPr>
          <w:sz w:val="28"/>
          <w:szCs w:val="28"/>
        </w:rPr>
        <w:t>bound to follow the decision of this Court</w:t>
      </w:r>
      <w:r w:rsidR="007E43CA" w:rsidRPr="00615057">
        <w:rPr>
          <w:sz w:val="28"/>
          <w:szCs w:val="28"/>
        </w:rPr>
        <w:t>,</w:t>
      </w:r>
      <w:r w:rsidR="00644C3F" w:rsidRPr="00615057">
        <w:rPr>
          <w:sz w:val="28"/>
          <w:szCs w:val="28"/>
        </w:rPr>
        <w:t xml:space="preserve"> which is precedent. Following precedent is not simply a matter of respect for higher authority, </w:t>
      </w:r>
      <w:r w:rsidR="00FF041E">
        <w:rPr>
          <w:sz w:val="28"/>
          <w:szCs w:val="28"/>
        </w:rPr>
        <w:t>‘[</w:t>
      </w:r>
      <w:r w:rsidR="00A62F2C" w:rsidRPr="00615057">
        <w:rPr>
          <w:sz w:val="28"/>
          <w:szCs w:val="28"/>
        </w:rPr>
        <w:t>i</w:t>
      </w:r>
      <w:r w:rsidR="00FF041E">
        <w:rPr>
          <w:sz w:val="28"/>
          <w:szCs w:val="28"/>
        </w:rPr>
        <w:t>]</w:t>
      </w:r>
      <w:r w:rsidR="00A62F2C" w:rsidRPr="00615057">
        <w:rPr>
          <w:sz w:val="28"/>
          <w:szCs w:val="28"/>
        </w:rPr>
        <w:t xml:space="preserve">t </w:t>
      </w:r>
      <w:r w:rsidR="00644C3F" w:rsidRPr="00615057">
        <w:rPr>
          <w:sz w:val="28"/>
          <w:szCs w:val="28"/>
        </w:rPr>
        <w:t>is a manifestation of the rule of law itself, which in turn is a founding value of our Constitution’.</w:t>
      </w:r>
      <w:r w:rsidR="00B852DB">
        <w:rPr>
          <w:rStyle w:val="FootnoteReference"/>
          <w:sz w:val="28"/>
          <w:szCs w:val="28"/>
        </w:rPr>
        <w:footnoteReference w:customMarkFollows="1" w:id="15"/>
        <w:t>15</w:t>
      </w:r>
    </w:p>
    <w:p w14:paraId="0833A80E" w14:textId="77777777" w:rsidR="00644C3F" w:rsidRPr="00615057" w:rsidRDefault="00644C3F" w:rsidP="00644C3F">
      <w:pPr>
        <w:spacing w:line="360" w:lineRule="auto"/>
        <w:jc w:val="both"/>
        <w:rPr>
          <w:b/>
          <w:sz w:val="28"/>
          <w:szCs w:val="28"/>
        </w:rPr>
      </w:pPr>
      <w:r w:rsidRPr="00615057">
        <w:rPr>
          <w:b/>
          <w:sz w:val="28"/>
          <w:szCs w:val="28"/>
        </w:rPr>
        <w:t xml:space="preserve"> </w:t>
      </w:r>
    </w:p>
    <w:p w14:paraId="3FE57D05" w14:textId="409C15AF" w:rsidR="00644C3F" w:rsidRPr="00615057" w:rsidRDefault="00E4547D" w:rsidP="00644C3F">
      <w:pPr>
        <w:spacing w:line="360" w:lineRule="auto"/>
        <w:jc w:val="both"/>
        <w:rPr>
          <w:sz w:val="28"/>
          <w:szCs w:val="28"/>
        </w:rPr>
      </w:pPr>
      <w:r w:rsidRPr="00615057">
        <w:rPr>
          <w:sz w:val="28"/>
          <w:szCs w:val="28"/>
        </w:rPr>
        <w:t>[</w:t>
      </w:r>
      <w:r w:rsidR="001B52CA" w:rsidRPr="00615057">
        <w:rPr>
          <w:sz w:val="28"/>
          <w:szCs w:val="28"/>
        </w:rPr>
        <w:t>3</w:t>
      </w:r>
      <w:r w:rsidR="007514F9" w:rsidRPr="00615057">
        <w:rPr>
          <w:sz w:val="28"/>
          <w:szCs w:val="28"/>
        </w:rPr>
        <w:t>0</w:t>
      </w:r>
      <w:r w:rsidR="00644C3F" w:rsidRPr="00615057">
        <w:rPr>
          <w:sz w:val="28"/>
          <w:szCs w:val="28"/>
        </w:rPr>
        <w:t>]</w:t>
      </w:r>
      <w:r w:rsidR="00644C3F" w:rsidRPr="00615057">
        <w:rPr>
          <w:sz w:val="28"/>
          <w:szCs w:val="28"/>
        </w:rPr>
        <w:tab/>
        <w:t xml:space="preserve">For </w:t>
      </w:r>
      <w:r w:rsidR="003C3323">
        <w:rPr>
          <w:sz w:val="28"/>
          <w:szCs w:val="28"/>
        </w:rPr>
        <w:t xml:space="preserve">these </w:t>
      </w:r>
      <w:r w:rsidR="00644C3F" w:rsidRPr="00615057">
        <w:rPr>
          <w:sz w:val="28"/>
          <w:szCs w:val="28"/>
        </w:rPr>
        <w:t xml:space="preserve">reasons, I find that the high court </w:t>
      </w:r>
      <w:r w:rsidR="003C3323">
        <w:rPr>
          <w:sz w:val="28"/>
          <w:szCs w:val="28"/>
        </w:rPr>
        <w:t>erred</w:t>
      </w:r>
      <w:r w:rsidR="00644C3F" w:rsidRPr="00615057">
        <w:rPr>
          <w:sz w:val="28"/>
          <w:szCs w:val="28"/>
        </w:rPr>
        <w:t xml:space="preserve"> in granting the relief sought. Th</w:t>
      </w:r>
      <w:r w:rsidR="003C3323">
        <w:rPr>
          <w:sz w:val="28"/>
          <w:szCs w:val="28"/>
        </w:rPr>
        <w:t>e next issue is</w:t>
      </w:r>
      <w:r w:rsidR="00644C3F" w:rsidRPr="00615057">
        <w:rPr>
          <w:sz w:val="28"/>
          <w:szCs w:val="28"/>
        </w:rPr>
        <w:t xml:space="preserve"> whether the relief granted, </w:t>
      </w:r>
      <w:r w:rsidR="004D7E26" w:rsidRPr="00615057">
        <w:rPr>
          <w:sz w:val="28"/>
          <w:szCs w:val="28"/>
        </w:rPr>
        <w:t xml:space="preserve">being </w:t>
      </w:r>
      <w:r w:rsidR="00644C3F" w:rsidRPr="00615057">
        <w:rPr>
          <w:sz w:val="28"/>
          <w:szCs w:val="28"/>
        </w:rPr>
        <w:t>an interim interdict, is appealable.</w:t>
      </w:r>
    </w:p>
    <w:p w14:paraId="61FA0DD1" w14:textId="77777777" w:rsidR="00644C3F" w:rsidRPr="00615057" w:rsidRDefault="00644C3F" w:rsidP="00644C3F">
      <w:pPr>
        <w:spacing w:line="360" w:lineRule="auto"/>
        <w:jc w:val="both"/>
        <w:rPr>
          <w:sz w:val="28"/>
          <w:szCs w:val="28"/>
        </w:rPr>
      </w:pPr>
    </w:p>
    <w:p w14:paraId="496A4C7D" w14:textId="4AC42E08" w:rsidR="00644C3F" w:rsidRPr="00615057" w:rsidRDefault="00644C3F" w:rsidP="00644C3F">
      <w:pPr>
        <w:spacing w:line="360" w:lineRule="auto"/>
        <w:jc w:val="both"/>
        <w:rPr>
          <w:b/>
          <w:sz w:val="28"/>
          <w:szCs w:val="28"/>
        </w:rPr>
      </w:pPr>
      <w:r w:rsidRPr="00615057">
        <w:rPr>
          <w:b/>
          <w:sz w:val="28"/>
          <w:szCs w:val="28"/>
        </w:rPr>
        <w:t>Appealability of an interim interdict</w:t>
      </w:r>
    </w:p>
    <w:p w14:paraId="65DFC9A5" w14:textId="056CF5BA" w:rsidR="004C5BE3" w:rsidRPr="00615057" w:rsidRDefault="00FC649E" w:rsidP="004D7E26">
      <w:pPr>
        <w:spacing w:line="360" w:lineRule="auto"/>
        <w:jc w:val="both"/>
        <w:rPr>
          <w:sz w:val="28"/>
          <w:szCs w:val="28"/>
        </w:rPr>
      </w:pPr>
      <w:r w:rsidRPr="00615057">
        <w:rPr>
          <w:sz w:val="28"/>
          <w:szCs w:val="28"/>
        </w:rPr>
        <w:t>[</w:t>
      </w:r>
      <w:r w:rsidR="00E4547D" w:rsidRPr="00615057">
        <w:rPr>
          <w:sz w:val="28"/>
          <w:szCs w:val="28"/>
        </w:rPr>
        <w:t>3</w:t>
      </w:r>
      <w:r w:rsidR="007514F9" w:rsidRPr="00615057">
        <w:rPr>
          <w:sz w:val="28"/>
          <w:szCs w:val="28"/>
        </w:rPr>
        <w:t>1</w:t>
      </w:r>
      <w:r w:rsidR="00644C3F" w:rsidRPr="00615057">
        <w:rPr>
          <w:sz w:val="28"/>
          <w:szCs w:val="28"/>
        </w:rPr>
        <w:t>]</w:t>
      </w:r>
      <w:r w:rsidR="00644C3F" w:rsidRPr="00615057">
        <w:rPr>
          <w:sz w:val="28"/>
          <w:szCs w:val="28"/>
        </w:rPr>
        <w:tab/>
      </w:r>
      <w:r w:rsidR="004D7E26" w:rsidRPr="00615057">
        <w:rPr>
          <w:sz w:val="28"/>
          <w:szCs w:val="28"/>
        </w:rPr>
        <w:t xml:space="preserve">The Constitutional Court has held that the interests of justice standard </w:t>
      </w:r>
      <w:r w:rsidR="00D00643" w:rsidRPr="00615057">
        <w:rPr>
          <w:sz w:val="28"/>
          <w:szCs w:val="28"/>
        </w:rPr>
        <w:t>ha</w:t>
      </w:r>
      <w:r w:rsidR="003C3323">
        <w:rPr>
          <w:sz w:val="28"/>
          <w:szCs w:val="28"/>
        </w:rPr>
        <w:t>s</w:t>
      </w:r>
      <w:r w:rsidR="004D7E26" w:rsidRPr="00615057">
        <w:rPr>
          <w:sz w:val="28"/>
          <w:szCs w:val="28"/>
        </w:rPr>
        <w:t xml:space="preserve"> subsumed the common law test on appealability of interim orders. </w:t>
      </w:r>
      <w:r w:rsidR="004C5BE3" w:rsidRPr="00615057">
        <w:rPr>
          <w:sz w:val="28"/>
          <w:szCs w:val="28"/>
        </w:rPr>
        <w:t xml:space="preserve">In </w:t>
      </w:r>
      <w:r w:rsidR="004C5BE3" w:rsidRPr="00615057">
        <w:rPr>
          <w:i/>
          <w:iCs/>
          <w:sz w:val="28"/>
          <w:szCs w:val="28"/>
        </w:rPr>
        <w:t>City of Tshwane Metropolitan Municipality v Afriforum and Another</w:t>
      </w:r>
      <w:r w:rsidR="00186664" w:rsidRPr="00E02808">
        <w:rPr>
          <w:rStyle w:val="FootnoteReference"/>
          <w:iCs/>
          <w:sz w:val="28"/>
          <w:szCs w:val="28"/>
        </w:rPr>
        <w:footnoteReference w:customMarkFollows="1" w:id="16"/>
        <w:t>16</w:t>
      </w:r>
      <w:r w:rsidR="004C5BE3" w:rsidRPr="00615057">
        <w:rPr>
          <w:sz w:val="28"/>
          <w:szCs w:val="28"/>
        </w:rPr>
        <w:t xml:space="preserve"> </w:t>
      </w:r>
      <w:r w:rsidR="004D7E26" w:rsidRPr="00615057">
        <w:rPr>
          <w:sz w:val="28"/>
          <w:szCs w:val="28"/>
        </w:rPr>
        <w:t>it held:</w:t>
      </w:r>
      <w:r w:rsidR="004C5BE3" w:rsidRPr="00615057">
        <w:rPr>
          <w:sz w:val="28"/>
          <w:szCs w:val="28"/>
        </w:rPr>
        <w:t xml:space="preserve"> </w:t>
      </w:r>
    </w:p>
    <w:p w14:paraId="50E46F66" w14:textId="6999D312" w:rsidR="004C5BE3" w:rsidRPr="00615057" w:rsidRDefault="00D00643" w:rsidP="00E4547D">
      <w:pPr>
        <w:spacing w:line="360" w:lineRule="auto"/>
        <w:jc w:val="both"/>
        <w:rPr>
          <w:color w:val="000000"/>
          <w:lang w:eastAsia="en-ZA"/>
        </w:rPr>
      </w:pPr>
      <w:r>
        <w:rPr>
          <w:color w:val="000000"/>
        </w:rPr>
        <w:t>‘</w:t>
      </w:r>
      <w:r w:rsidR="004C5BE3" w:rsidRPr="00615057">
        <w:rPr>
          <w:color w:val="000000"/>
        </w:rPr>
        <w:t>The common-law test for appealability has since been denuded of its somewhat inflexible nature. Unsurprisingly so because the common law is not on par with but subservient to the supreme law that prescribes</w:t>
      </w:r>
      <w:r w:rsidR="004D7E26" w:rsidRPr="00615057">
        <w:rPr>
          <w:color w:val="000000"/>
        </w:rPr>
        <w:t xml:space="preserve"> </w:t>
      </w:r>
      <w:r w:rsidR="004C5BE3" w:rsidRPr="00615057">
        <w:rPr>
          <w:color w:val="000000"/>
        </w:rPr>
        <w:t>the interests of justice as the only requirement to be met for the grant of leave to appeal. Unlike before</w:t>
      </w:r>
      <w:r w:rsidR="00340624">
        <w:rPr>
          <w:color w:val="000000"/>
        </w:rPr>
        <w:t>,</w:t>
      </w:r>
      <w:r w:rsidR="004C5BE3" w:rsidRPr="00615057">
        <w:rPr>
          <w:color w:val="000000"/>
        </w:rPr>
        <w:t> </w:t>
      </w:r>
      <w:bookmarkStart w:id="4" w:name="0-0-0-217309"/>
      <w:bookmarkEnd w:id="4"/>
      <w:r w:rsidR="004C5BE3" w:rsidRPr="00615057">
        <w:rPr>
          <w:color w:val="000000"/>
        </w:rPr>
        <w:t>appealability no longer depends largely on whether the interim order appealed against has final effect or is dispositive of a substantial portion of the relief claimed in the main application. All this is now subsumed und</w:t>
      </w:r>
      <w:r w:rsidR="00776528">
        <w:rPr>
          <w:color w:val="000000"/>
        </w:rPr>
        <w:t>er the constitutional interests</w:t>
      </w:r>
      <w:r w:rsidR="004C5BE3" w:rsidRPr="00615057">
        <w:rPr>
          <w:color w:val="000000"/>
        </w:rPr>
        <w:t> of justice standard. The over</w:t>
      </w:r>
      <w:r w:rsidR="00340624">
        <w:rPr>
          <w:color w:val="000000"/>
        </w:rPr>
        <w:t>-</w:t>
      </w:r>
      <w:r w:rsidR="004C5BE3" w:rsidRPr="00615057">
        <w:rPr>
          <w:color w:val="000000"/>
        </w:rPr>
        <w:t>arching role of interests of justice considerations has relativised the final effect of the order or the disposition of the substantial portion of what is pending before the review court, in determining appealability. </w:t>
      </w:r>
      <w:bookmarkStart w:id="5" w:name="0-0-0-217313"/>
      <w:bookmarkEnd w:id="5"/>
      <w:r w:rsidR="004C5BE3" w:rsidRPr="00615057">
        <w:rPr>
          <w:color w:val="000000"/>
        </w:rPr>
        <w:t>The principle was set out in </w:t>
      </w:r>
      <w:r w:rsidR="004C5BE3" w:rsidRPr="00615057">
        <w:rPr>
          <w:i/>
          <w:iCs/>
          <w:color w:val="000000"/>
        </w:rPr>
        <w:t>OUTA</w:t>
      </w:r>
      <w:r w:rsidR="004C5BE3" w:rsidRPr="00615057">
        <w:rPr>
          <w:color w:val="000000"/>
        </w:rPr>
        <w:t> by Moseneke DCJ in these terms:</w:t>
      </w:r>
    </w:p>
    <w:p w14:paraId="6692742B" w14:textId="70206D84" w:rsidR="004C5BE3" w:rsidRPr="00615057" w:rsidRDefault="00340624" w:rsidP="00E4547D">
      <w:pPr>
        <w:spacing w:line="360" w:lineRule="auto"/>
        <w:jc w:val="both"/>
        <w:rPr>
          <w:color w:val="000000"/>
        </w:rPr>
      </w:pPr>
      <w:r>
        <w:rPr>
          <w:color w:val="000000"/>
        </w:rPr>
        <w:lastRenderedPageBreak/>
        <w:t>“</w:t>
      </w:r>
      <w:r w:rsidR="004C5BE3" w:rsidRPr="00615057">
        <w:rPr>
          <w:color w:val="000000"/>
        </w:rPr>
        <w:t xml:space="preserve">This </w:t>
      </w:r>
      <w:r w:rsidR="00706522">
        <w:rPr>
          <w:color w:val="000000"/>
        </w:rPr>
        <w:t>C</w:t>
      </w:r>
      <w:r w:rsidR="004C5BE3" w:rsidRPr="00615057">
        <w:rPr>
          <w:color w:val="000000"/>
        </w:rPr>
        <w:t xml:space="preserve">ourt has granted leave to appeal in relation to interim orders before. It has made it clear that the operative standard is the </w:t>
      </w:r>
      <w:r w:rsidR="00D500D4">
        <w:rPr>
          <w:color w:val="000000"/>
        </w:rPr>
        <w:t>‘</w:t>
      </w:r>
      <w:r w:rsidR="004C5BE3" w:rsidRPr="00615057">
        <w:rPr>
          <w:color w:val="000000"/>
        </w:rPr>
        <w:t>interests of justice</w:t>
      </w:r>
      <w:r w:rsidR="00D500D4">
        <w:rPr>
          <w:color w:val="000000"/>
        </w:rPr>
        <w:t>’</w:t>
      </w:r>
      <w:r w:rsidR="004C5BE3" w:rsidRPr="00615057">
        <w:rPr>
          <w:color w:val="000000"/>
        </w:rPr>
        <w:t>. To that end, it must have regard to and weigh carefully all germane circumstances. Whether an interim order has a final effect or disposes of a substantial portion of the relief sought in a pending review is a relevant and important consideration. Yet, it is not the only or always decisive consideration. It is just</w:t>
      </w:r>
      <w:r w:rsidR="00776528">
        <w:rPr>
          <w:color w:val="000000"/>
        </w:rPr>
        <w:t xml:space="preserve"> as important to assess whether</w:t>
      </w:r>
      <w:r w:rsidR="00F44C9E">
        <w:rPr>
          <w:color w:val="000000"/>
        </w:rPr>
        <w:t xml:space="preserve"> t</w:t>
      </w:r>
      <w:r w:rsidR="004C5BE3" w:rsidRPr="00615057">
        <w:rPr>
          <w:color w:val="000000"/>
        </w:rPr>
        <w:t>he temporary restraining order has an immediate and substantial effect, including whether the harm that flows from it is serious, immediate, ongoing and irreparable</w:t>
      </w:r>
      <w:r>
        <w:rPr>
          <w:color w:val="000000"/>
        </w:rPr>
        <w:t>”</w:t>
      </w:r>
      <w:r w:rsidR="004C5BE3" w:rsidRPr="00615057">
        <w:rPr>
          <w:color w:val="000000"/>
        </w:rPr>
        <w:t>.</w:t>
      </w:r>
      <w:r w:rsidR="00395748">
        <w:rPr>
          <w:color w:val="000000"/>
        </w:rPr>
        <w:t>’</w:t>
      </w:r>
      <w:bookmarkStart w:id="6" w:name="0-0-0-217317"/>
      <w:bookmarkEnd w:id="6"/>
    </w:p>
    <w:p w14:paraId="17BD0A16" w14:textId="5EDF2404" w:rsidR="004C5BE3" w:rsidRPr="00615057" w:rsidRDefault="00E4547D" w:rsidP="00E4547D">
      <w:pPr>
        <w:tabs>
          <w:tab w:val="left" w:pos="1100"/>
        </w:tabs>
        <w:spacing w:line="360" w:lineRule="auto"/>
        <w:jc w:val="both"/>
        <w:rPr>
          <w:sz w:val="28"/>
          <w:szCs w:val="28"/>
        </w:rPr>
      </w:pPr>
      <w:r w:rsidRPr="00615057">
        <w:rPr>
          <w:sz w:val="28"/>
          <w:szCs w:val="28"/>
        </w:rPr>
        <w:tab/>
      </w:r>
    </w:p>
    <w:p w14:paraId="62DBDDA0" w14:textId="3F4CE15B" w:rsidR="004D7E26" w:rsidRPr="00615057" w:rsidRDefault="004D7E26" w:rsidP="00644C3F">
      <w:pPr>
        <w:spacing w:line="360" w:lineRule="auto"/>
        <w:jc w:val="both"/>
        <w:rPr>
          <w:sz w:val="28"/>
          <w:szCs w:val="28"/>
        </w:rPr>
      </w:pPr>
      <w:r w:rsidRPr="00615057">
        <w:rPr>
          <w:sz w:val="28"/>
          <w:szCs w:val="28"/>
        </w:rPr>
        <w:t>[3</w:t>
      </w:r>
      <w:r w:rsidR="007514F9" w:rsidRPr="00615057">
        <w:rPr>
          <w:sz w:val="28"/>
          <w:szCs w:val="28"/>
        </w:rPr>
        <w:t>2</w:t>
      </w:r>
      <w:r w:rsidR="00935443">
        <w:rPr>
          <w:sz w:val="28"/>
          <w:szCs w:val="28"/>
        </w:rPr>
        <w:t>]</w:t>
      </w:r>
      <w:r w:rsidR="001377BD">
        <w:rPr>
          <w:sz w:val="28"/>
          <w:szCs w:val="28"/>
        </w:rPr>
        <w:tab/>
      </w:r>
      <w:r w:rsidRPr="00615057">
        <w:rPr>
          <w:sz w:val="28"/>
          <w:szCs w:val="28"/>
        </w:rPr>
        <w:t xml:space="preserve">This was </w:t>
      </w:r>
      <w:r w:rsidR="003C3323">
        <w:rPr>
          <w:sz w:val="28"/>
          <w:szCs w:val="28"/>
        </w:rPr>
        <w:t>reaffirmed</w:t>
      </w:r>
      <w:r w:rsidRPr="00615057">
        <w:rPr>
          <w:sz w:val="28"/>
          <w:szCs w:val="28"/>
        </w:rPr>
        <w:t xml:space="preserve"> in </w:t>
      </w:r>
      <w:r w:rsidRPr="00615057">
        <w:rPr>
          <w:i/>
          <w:sz w:val="28"/>
          <w:szCs w:val="28"/>
        </w:rPr>
        <w:t>United Democratic Movement and Another v Lebashe Investment Group (Pty) Ltd and Others</w:t>
      </w:r>
      <w:r w:rsidR="002C0355">
        <w:rPr>
          <w:rStyle w:val="FootnoteReference"/>
          <w:sz w:val="28"/>
          <w:szCs w:val="28"/>
        </w:rPr>
        <w:footnoteReference w:customMarkFollows="1" w:id="17"/>
        <w:t>17</w:t>
      </w:r>
      <w:r w:rsidR="00677A58">
        <w:rPr>
          <w:sz w:val="28"/>
          <w:szCs w:val="28"/>
        </w:rPr>
        <w:t xml:space="preserve"> in which the following was stated:</w:t>
      </w:r>
      <w:r w:rsidR="00644C3F" w:rsidRPr="00615057">
        <w:rPr>
          <w:sz w:val="28"/>
          <w:szCs w:val="28"/>
        </w:rPr>
        <w:t xml:space="preserve"> </w:t>
      </w:r>
    </w:p>
    <w:p w14:paraId="0D2885F4" w14:textId="6585542D" w:rsidR="004D7E26" w:rsidRDefault="004D7E26" w:rsidP="00E4547D">
      <w:pPr>
        <w:spacing w:line="360" w:lineRule="auto"/>
        <w:jc w:val="both"/>
        <w:rPr>
          <w:color w:val="000000"/>
        </w:rPr>
      </w:pPr>
      <w:r w:rsidRPr="00E02808">
        <w:rPr>
          <w:color w:val="000000"/>
        </w:rPr>
        <w:t>‘</w:t>
      </w:r>
      <w:r w:rsidR="00677A58">
        <w:rPr>
          <w:color w:val="000000"/>
        </w:rPr>
        <w:t xml:space="preserve">[43] </w:t>
      </w:r>
      <w:r w:rsidRPr="00E02808">
        <w:rPr>
          <w:color w:val="000000"/>
        </w:rPr>
        <w:t>Whether an interim order has final effect or disposes of a substantial portion of the relief sought in a pending review is merely one consideration. </w:t>
      </w:r>
      <w:bookmarkStart w:id="7" w:name="0-0-0-16297"/>
      <w:bookmarkEnd w:id="7"/>
      <w:r w:rsidRPr="00E02808">
        <w:rPr>
          <w:color w:val="000000"/>
        </w:rPr>
        <w:t>Under the common</w:t>
      </w:r>
      <w:r w:rsidR="00D87184">
        <w:rPr>
          <w:color w:val="000000"/>
        </w:rPr>
        <w:t xml:space="preserve"> </w:t>
      </w:r>
      <w:r w:rsidRPr="00E02808">
        <w:rPr>
          <w:color w:val="000000"/>
        </w:rPr>
        <w:t>law principle as laid down in </w:t>
      </w:r>
      <w:r w:rsidRPr="00E02808">
        <w:rPr>
          <w:i/>
          <w:iCs/>
          <w:color w:val="000000"/>
        </w:rPr>
        <w:t>Zweni</w:t>
      </w:r>
      <w:r w:rsidRPr="00E02808">
        <w:rPr>
          <w:color w:val="000000"/>
        </w:rPr>
        <w:t>, if none of the requirements set out therein were met, it was the end of the matter. But now the test of appealability is the interests of justice, and no longer the common</w:t>
      </w:r>
      <w:r w:rsidR="00D87184">
        <w:rPr>
          <w:color w:val="000000"/>
        </w:rPr>
        <w:t> </w:t>
      </w:r>
      <w:r w:rsidRPr="00E02808">
        <w:rPr>
          <w:color w:val="000000"/>
        </w:rPr>
        <w:t>law test as set out in </w:t>
      </w:r>
      <w:r w:rsidRPr="00E02808">
        <w:rPr>
          <w:i/>
          <w:iCs/>
          <w:color w:val="000000"/>
        </w:rPr>
        <w:t>Zweni</w:t>
      </w:r>
      <w:r w:rsidR="00A47F44">
        <w:rPr>
          <w:color w:val="000000"/>
        </w:rPr>
        <w:t>. . . .</w:t>
      </w:r>
      <w:bookmarkStart w:id="8" w:name="0-0-0-16301"/>
      <w:bookmarkEnd w:id="8"/>
    </w:p>
    <w:p w14:paraId="6E376135" w14:textId="2C40D184" w:rsidR="004D7E26" w:rsidRPr="00615057" w:rsidRDefault="00677A58" w:rsidP="00644C3F">
      <w:pPr>
        <w:spacing w:line="360" w:lineRule="auto"/>
        <w:jc w:val="both"/>
        <w:rPr>
          <w:sz w:val="28"/>
          <w:szCs w:val="28"/>
        </w:rPr>
      </w:pPr>
      <w:r>
        <w:rPr>
          <w:color w:val="000000"/>
        </w:rPr>
        <w:t xml:space="preserve">[45] </w:t>
      </w:r>
      <w:r w:rsidR="004D7E26" w:rsidRPr="00E02808">
        <w:rPr>
          <w:color w:val="000000"/>
        </w:rPr>
        <w:t>What is to be considered and is decisive in deciding whether a judgment is appealable, even if the </w:t>
      </w:r>
      <w:r w:rsidR="004D7E26" w:rsidRPr="00E02808">
        <w:rPr>
          <w:i/>
          <w:iCs/>
          <w:color w:val="000000"/>
        </w:rPr>
        <w:t>Zweni</w:t>
      </w:r>
      <w:r w:rsidR="004D7E26" w:rsidRPr="00E02808">
        <w:rPr>
          <w:color w:val="000000"/>
        </w:rPr>
        <w:t> requirements are not fully met, is the interests of justice of a particular case and whether or not an order lacking one or more of the factors set out in </w:t>
      </w:r>
      <w:r w:rsidR="004D7E26" w:rsidRPr="00E02808">
        <w:rPr>
          <w:i/>
          <w:iCs/>
          <w:color w:val="000000"/>
        </w:rPr>
        <w:t>Zweni</w:t>
      </w:r>
      <w:r w:rsidR="004D7E26" w:rsidRPr="00E02808">
        <w:rPr>
          <w:color w:val="000000"/>
        </w:rPr>
        <w:t xml:space="preserve"> constitutes a </w:t>
      </w:r>
      <w:r w:rsidR="007803CB">
        <w:rPr>
          <w:color w:val="000000"/>
        </w:rPr>
        <w:t>“</w:t>
      </w:r>
      <w:r w:rsidR="004D7E26" w:rsidRPr="00E02808">
        <w:rPr>
          <w:color w:val="000000"/>
        </w:rPr>
        <w:t>decision</w:t>
      </w:r>
      <w:r w:rsidR="007803CB">
        <w:rPr>
          <w:color w:val="000000"/>
        </w:rPr>
        <w:t>”</w:t>
      </w:r>
      <w:r w:rsidR="004D7E26" w:rsidRPr="00E02808">
        <w:rPr>
          <w:color w:val="000000"/>
        </w:rPr>
        <w:t xml:space="preserve"> for the purposes of s 16(1)</w:t>
      </w:r>
      <w:r w:rsidR="004D7E26" w:rsidRPr="00E02808">
        <w:rPr>
          <w:iCs/>
          <w:color w:val="000000"/>
        </w:rPr>
        <w:t>(a)</w:t>
      </w:r>
      <w:r w:rsidR="004D7E26" w:rsidRPr="00E02808">
        <w:rPr>
          <w:color w:val="000000"/>
        </w:rPr>
        <w:t> of the Superior Courts Act. </w:t>
      </w:r>
      <w:bookmarkStart w:id="9" w:name="0-0-0-16305"/>
      <w:bookmarkEnd w:id="9"/>
      <w:r w:rsidR="004D7E26" w:rsidRPr="00E02808">
        <w:rPr>
          <w:color w:val="000000"/>
        </w:rPr>
        <w:t>Over and above the common</w:t>
      </w:r>
      <w:r w:rsidR="00503B88">
        <w:rPr>
          <w:color w:val="000000"/>
        </w:rPr>
        <w:t> </w:t>
      </w:r>
      <w:r w:rsidR="004D7E26" w:rsidRPr="00E02808">
        <w:rPr>
          <w:color w:val="000000"/>
        </w:rPr>
        <w:t>law test, it is well established that an interim order may be appealed against if the interests of justice so dictate. </w:t>
      </w:r>
      <w:bookmarkStart w:id="10" w:name="0-0-0-16309"/>
      <w:bookmarkEnd w:id="10"/>
      <w:r w:rsidR="004D7E26" w:rsidRPr="00E02808">
        <w:rPr>
          <w:color w:val="000000"/>
        </w:rPr>
        <w:t>It is thus in the interests of justice that the impugned interim interdict is appealable on the allegation that the interdictory relief in question resulted in the infringement of the right to freedom of expression.’</w:t>
      </w:r>
    </w:p>
    <w:p w14:paraId="534AF18B" w14:textId="3AC0E0C1" w:rsidR="004C63CD" w:rsidRPr="00615057" w:rsidRDefault="004C63CD" w:rsidP="00644C3F">
      <w:pPr>
        <w:spacing w:line="360" w:lineRule="auto"/>
        <w:jc w:val="both"/>
        <w:rPr>
          <w:sz w:val="28"/>
          <w:szCs w:val="28"/>
        </w:rPr>
      </w:pPr>
    </w:p>
    <w:p w14:paraId="43C1A1BE" w14:textId="395FA84F" w:rsidR="00644C3F" w:rsidRPr="00615057" w:rsidRDefault="004C63CD" w:rsidP="00644C3F">
      <w:pPr>
        <w:spacing w:line="360" w:lineRule="auto"/>
        <w:jc w:val="both"/>
        <w:rPr>
          <w:sz w:val="28"/>
          <w:szCs w:val="28"/>
        </w:rPr>
      </w:pPr>
      <w:r w:rsidRPr="00615057">
        <w:rPr>
          <w:sz w:val="28"/>
          <w:szCs w:val="28"/>
        </w:rPr>
        <w:t>[</w:t>
      </w:r>
      <w:r w:rsidR="004D7E26" w:rsidRPr="00615057">
        <w:rPr>
          <w:sz w:val="28"/>
          <w:szCs w:val="28"/>
        </w:rPr>
        <w:t>3</w:t>
      </w:r>
      <w:r w:rsidR="007514F9" w:rsidRPr="00615057">
        <w:rPr>
          <w:sz w:val="28"/>
          <w:szCs w:val="28"/>
        </w:rPr>
        <w:t>3</w:t>
      </w:r>
      <w:r w:rsidR="00644C3F" w:rsidRPr="00615057">
        <w:rPr>
          <w:sz w:val="28"/>
          <w:szCs w:val="28"/>
        </w:rPr>
        <w:t>]</w:t>
      </w:r>
      <w:r w:rsidR="00644C3F" w:rsidRPr="00615057">
        <w:rPr>
          <w:sz w:val="28"/>
          <w:szCs w:val="28"/>
        </w:rPr>
        <w:tab/>
      </w:r>
      <w:r w:rsidR="002229B0">
        <w:rPr>
          <w:sz w:val="28"/>
          <w:szCs w:val="28"/>
        </w:rPr>
        <w:t>The i</w:t>
      </w:r>
      <w:r w:rsidR="00644C3F" w:rsidRPr="00615057">
        <w:rPr>
          <w:sz w:val="28"/>
          <w:szCs w:val="28"/>
        </w:rPr>
        <w:t>nterest</w:t>
      </w:r>
      <w:r w:rsidR="00C81D41" w:rsidRPr="00615057">
        <w:rPr>
          <w:sz w:val="28"/>
          <w:szCs w:val="28"/>
        </w:rPr>
        <w:t>s</w:t>
      </w:r>
      <w:r w:rsidR="00644C3F" w:rsidRPr="00615057">
        <w:rPr>
          <w:sz w:val="28"/>
          <w:szCs w:val="28"/>
        </w:rPr>
        <w:t xml:space="preserve"> of justi</w:t>
      </w:r>
      <w:r w:rsidR="008E1805" w:rsidRPr="00615057">
        <w:rPr>
          <w:sz w:val="28"/>
          <w:szCs w:val="28"/>
        </w:rPr>
        <w:t>ce to have the high court’s order</w:t>
      </w:r>
      <w:r w:rsidR="00644C3F" w:rsidRPr="00615057">
        <w:rPr>
          <w:sz w:val="28"/>
          <w:szCs w:val="28"/>
        </w:rPr>
        <w:t xml:space="preserve"> appealed against</w:t>
      </w:r>
      <w:r w:rsidR="00C81D41" w:rsidRPr="00615057">
        <w:rPr>
          <w:sz w:val="28"/>
          <w:szCs w:val="28"/>
        </w:rPr>
        <w:t xml:space="preserve">, have been amply demonstrated in this matter. </w:t>
      </w:r>
      <w:r w:rsidR="00644C3F" w:rsidRPr="00615057">
        <w:rPr>
          <w:sz w:val="28"/>
          <w:szCs w:val="28"/>
        </w:rPr>
        <w:t xml:space="preserve">First, </w:t>
      </w:r>
      <w:r w:rsidR="00C81D41" w:rsidRPr="00615057">
        <w:rPr>
          <w:sz w:val="28"/>
          <w:szCs w:val="28"/>
        </w:rPr>
        <w:t xml:space="preserve">the high court was wrong to regard the tender in terms of </w:t>
      </w:r>
      <w:r w:rsidR="002229B0">
        <w:rPr>
          <w:sz w:val="28"/>
          <w:szCs w:val="28"/>
        </w:rPr>
        <w:t>r</w:t>
      </w:r>
      <w:r w:rsidR="00C81D41" w:rsidRPr="00615057">
        <w:rPr>
          <w:sz w:val="28"/>
          <w:szCs w:val="28"/>
        </w:rPr>
        <w:t xml:space="preserve">ule 34 as substantiation that the respondent had </w:t>
      </w:r>
      <w:r w:rsidR="00C81D41" w:rsidRPr="00615057">
        <w:rPr>
          <w:i/>
          <w:iCs/>
          <w:sz w:val="28"/>
          <w:szCs w:val="28"/>
        </w:rPr>
        <w:t>prima facie</w:t>
      </w:r>
      <w:r w:rsidR="00C81D41" w:rsidRPr="00615057">
        <w:rPr>
          <w:sz w:val="28"/>
          <w:szCs w:val="28"/>
        </w:rPr>
        <w:t xml:space="preserve"> </w:t>
      </w:r>
      <w:r w:rsidR="00C81D41" w:rsidRPr="00615057">
        <w:rPr>
          <w:sz w:val="28"/>
          <w:szCs w:val="28"/>
        </w:rPr>
        <w:lastRenderedPageBreak/>
        <w:t xml:space="preserve">demonstrated that she had an accrual claim against the appellant. The onus was on the respondent to show that her accrual was less than that of the appellant and she failed to do so. Second, </w:t>
      </w:r>
      <w:r w:rsidR="00644C3F" w:rsidRPr="00615057">
        <w:rPr>
          <w:sz w:val="28"/>
          <w:szCs w:val="28"/>
        </w:rPr>
        <w:t>the high court did not app</w:t>
      </w:r>
      <w:r w:rsidR="0017322F" w:rsidRPr="00615057">
        <w:rPr>
          <w:sz w:val="28"/>
          <w:szCs w:val="28"/>
        </w:rPr>
        <w:t xml:space="preserve">ly the correct legal principle as enunciated in </w:t>
      </w:r>
      <w:r w:rsidR="0017322F" w:rsidRPr="00615057">
        <w:rPr>
          <w:i/>
          <w:iCs/>
          <w:sz w:val="28"/>
          <w:szCs w:val="28"/>
        </w:rPr>
        <w:t>Knox D’Arcy</w:t>
      </w:r>
      <w:r w:rsidR="0017322F" w:rsidRPr="00615057">
        <w:rPr>
          <w:sz w:val="28"/>
          <w:szCs w:val="28"/>
        </w:rPr>
        <w:t xml:space="preserve"> that the respondent has to show that the appellant was dissipating his assets with the intention of defeating her claim. </w:t>
      </w:r>
      <w:r w:rsidR="00644C3F" w:rsidRPr="00615057">
        <w:rPr>
          <w:sz w:val="28"/>
          <w:szCs w:val="28"/>
        </w:rPr>
        <w:t xml:space="preserve">Third, </w:t>
      </w:r>
      <w:r w:rsidR="00C81D41" w:rsidRPr="00615057">
        <w:rPr>
          <w:sz w:val="28"/>
          <w:szCs w:val="28"/>
        </w:rPr>
        <w:t xml:space="preserve">it was important for this </w:t>
      </w:r>
      <w:r w:rsidR="005E283A">
        <w:rPr>
          <w:sz w:val="28"/>
          <w:szCs w:val="28"/>
        </w:rPr>
        <w:t>C</w:t>
      </w:r>
      <w:r w:rsidR="00C81D41" w:rsidRPr="00615057">
        <w:rPr>
          <w:sz w:val="28"/>
          <w:szCs w:val="28"/>
        </w:rPr>
        <w:t>ourt to decide the matter</w:t>
      </w:r>
      <w:r w:rsidR="007E43CA" w:rsidRPr="00615057">
        <w:rPr>
          <w:sz w:val="28"/>
          <w:szCs w:val="28"/>
        </w:rPr>
        <w:t>, i</w:t>
      </w:r>
      <w:r w:rsidR="00C81D41" w:rsidRPr="00615057">
        <w:rPr>
          <w:sz w:val="28"/>
          <w:szCs w:val="28"/>
        </w:rPr>
        <w:t>n view of the high court</w:t>
      </w:r>
      <w:r w:rsidR="007514F9" w:rsidRPr="00615057">
        <w:rPr>
          <w:sz w:val="28"/>
          <w:szCs w:val="28"/>
        </w:rPr>
        <w:t xml:space="preserve"> </w:t>
      </w:r>
      <w:r w:rsidR="00C81D41" w:rsidRPr="00615057">
        <w:rPr>
          <w:sz w:val="28"/>
          <w:szCs w:val="28"/>
        </w:rPr>
        <w:t>judgments that seem to suggest that intention did not need to be shown,</w:t>
      </w:r>
      <w:r w:rsidR="007E43CA" w:rsidRPr="00615057">
        <w:rPr>
          <w:sz w:val="28"/>
          <w:szCs w:val="28"/>
        </w:rPr>
        <w:t xml:space="preserve"> in these kinds of cases</w:t>
      </w:r>
      <w:r w:rsidR="00C81D41" w:rsidRPr="00615057">
        <w:rPr>
          <w:sz w:val="28"/>
          <w:szCs w:val="28"/>
        </w:rPr>
        <w:t xml:space="preserve">. </w:t>
      </w:r>
      <w:r w:rsidR="007E43CA" w:rsidRPr="00615057">
        <w:rPr>
          <w:sz w:val="28"/>
          <w:szCs w:val="28"/>
        </w:rPr>
        <w:t>T</w:t>
      </w:r>
      <w:r w:rsidR="00644C3F" w:rsidRPr="00615057">
        <w:rPr>
          <w:sz w:val="28"/>
          <w:szCs w:val="28"/>
        </w:rPr>
        <w:t xml:space="preserve">o allow </w:t>
      </w:r>
      <w:r w:rsidR="00C81D41" w:rsidRPr="00615057">
        <w:rPr>
          <w:sz w:val="28"/>
          <w:szCs w:val="28"/>
        </w:rPr>
        <w:t xml:space="preserve">the </w:t>
      </w:r>
      <w:r w:rsidR="00644C3F" w:rsidRPr="00615057">
        <w:rPr>
          <w:sz w:val="28"/>
          <w:szCs w:val="28"/>
        </w:rPr>
        <w:t>order</w:t>
      </w:r>
      <w:r w:rsidR="00C81D41" w:rsidRPr="00615057">
        <w:rPr>
          <w:sz w:val="28"/>
          <w:szCs w:val="28"/>
        </w:rPr>
        <w:t xml:space="preserve"> of the high court</w:t>
      </w:r>
      <w:r w:rsidR="00644C3F" w:rsidRPr="00615057">
        <w:rPr>
          <w:sz w:val="28"/>
          <w:szCs w:val="28"/>
        </w:rPr>
        <w:t xml:space="preserve"> to stand will</w:t>
      </w:r>
      <w:r w:rsidR="007E43CA" w:rsidRPr="00615057">
        <w:rPr>
          <w:sz w:val="28"/>
          <w:szCs w:val="28"/>
        </w:rPr>
        <w:t xml:space="preserve">, in these circumstances, </w:t>
      </w:r>
      <w:r w:rsidR="00C81D41" w:rsidRPr="00615057">
        <w:rPr>
          <w:sz w:val="28"/>
          <w:szCs w:val="28"/>
        </w:rPr>
        <w:t>result</w:t>
      </w:r>
      <w:r w:rsidR="005E283A">
        <w:rPr>
          <w:sz w:val="28"/>
          <w:szCs w:val="28"/>
        </w:rPr>
        <w:t>s</w:t>
      </w:r>
      <w:r w:rsidR="00644C3F" w:rsidRPr="00615057">
        <w:rPr>
          <w:sz w:val="28"/>
          <w:szCs w:val="28"/>
        </w:rPr>
        <w:t xml:space="preserve"> </w:t>
      </w:r>
      <w:r w:rsidR="00C81D41" w:rsidRPr="00615057">
        <w:rPr>
          <w:sz w:val="28"/>
          <w:szCs w:val="28"/>
        </w:rPr>
        <w:t>in an in</w:t>
      </w:r>
      <w:r w:rsidR="00644C3F" w:rsidRPr="00615057">
        <w:rPr>
          <w:sz w:val="28"/>
          <w:szCs w:val="28"/>
        </w:rPr>
        <w:t xml:space="preserve">justice. </w:t>
      </w:r>
    </w:p>
    <w:p w14:paraId="0CF71F31" w14:textId="77777777" w:rsidR="000F08FB" w:rsidRPr="00615057" w:rsidRDefault="000F08FB" w:rsidP="00644C3F">
      <w:pPr>
        <w:spacing w:line="360" w:lineRule="auto"/>
        <w:jc w:val="both"/>
        <w:rPr>
          <w:sz w:val="28"/>
          <w:szCs w:val="28"/>
        </w:rPr>
      </w:pPr>
    </w:p>
    <w:p w14:paraId="138E28D7" w14:textId="4A0EDD3A" w:rsidR="000F08FB" w:rsidRPr="00615057" w:rsidRDefault="000F08FB" w:rsidP="00644C3F">
      <w:pPr>
        <w:spacing w:line="360" w:lineRule="auto"/>
        <w:jc w:val="both"/>
        <w:rPr>
          <w:b/>
          <w:sz w:val="28"/>
          <w:szCs w:val="28"/>
        </w:rPr>
      </w:pPr>
      <w:r w:rsidRPr="00615057">
        <w:rPr>
          <w:b/>
          <w:sz w:val="28"/>
          <w:szCs w:val="28"/>
        </w:rPr>
        <w:t>Costs</w:t>
      </w:r>
    </w:p>
    <w:p w14:paraId="597582F6" w14:textId="333D2E4D" w:rsidR="008826DD" w:rsidRDefault="000F08FB" w:rsidP="00644C3F">
      <w:pPr>
        <w:spacing w:line="360" w:lineRule="auto"/>
        <w:jc w:val="both"/>
        <w:rPr>
          <w:sz w:val="28"/>
          <w:szCs w:val="28"/>
        </w:rPr>
      </w:pPr>
      <w:r w:rsidRPr="00615057">
        <w:rPr>
          <w:sz w:val="28"/>
          <w:szCs w:val="28"/>
        </w:rPr>
        <w:t>[3</w:t>
      </w:r>
      <w:r w:rsidR="007514F9" w:rsidRPr="00615057">
        <w:rPr>
          <w:sz w:val="28"/>
          <w:szCs w:val="28"/>
        </w:rPr>
        <w:t>4</w:t>
      </w:r>
      <w:r w:rsidR="00935443">
        <w:rPr>
          <w:sz w:val="28"/>
          <w:szCs w:val="28"/>
        </w:rPr>
        <w:t>]</w:t>
      </w:r>
      <w:r w:rsidR="00935443">
        <w:rPr>
          <w:sz w:val="28"/>
          <w:szCs w:val="28"/>
        </w:rPr>
        <w:tab/>
      </w:r>
      <w:r w:rsidR="00A30044" w:rsidRPr="00615057">
        <w:rPr>
          <w:sz w:val="28"/>
          <w:szCs w:val="28"/>
        </w:rPr>
        <w:t xml:space="preserve">Counsel for the appellant asked for costs including costs consequent </w:t>
      </w:r>
      <w:r w:rsidR="00677A58">
        <w:rPr>
          <w:sz w:val="28"/>
          <w:szCs w:val="28"/>
        </w:rPr>
        <w:t xml:space="preserve">upon </w:t>
      </w:r>
      <w:r w:rsidR="00A30044" w:rsidRPr="00615057">
        <w:rPr>
          <w:sz w:val="28"/>
          <w:szCs w:val="28"/>
        </w:rPr>
        <w:t xml:space="preserve">the employment of two counsel. </w:t>
      </w:r>
      <w:r w:rsidRPr="00615057">
        <w:rPr>
          <w:sz w:val="28"/>
          <w:szCs w:val="28"/>
        </w:rPr>
        <w:t xml:space="preserve">Generally, costs of the appeal, including those of the application for leave to appeal must follow the result. </w:t>
      </w:r>
      <w:r w:rsidR="00A30044" w:rsidRPr="00615057">
        <w:rPr>
          <w:sz w:val="28"/>
          <w:szCs w:val="28"/>
        </w:rPr>
        <w:t>The basic rule is that costs are in the discretion of the court. In exercising that discretion, th</w:t>
      </w:r>
      <w:r w:rsidR="008826DD">
        <w:rPr>
          <w:sz w:val="28"/>
          <w:szCs w:val="28"/>
        </w:rPr>
        <w:t>is C</w:t>
      </w:r>
      <w:r w:rsidR="00A30044" w:rsidRPr="00615057">
        <w:rPr>
          <w:sz w:val="28"/>
          <w:szCs w:val="28"/>
        </w:rPr>
        <w:t>ourt</w:t>
      </w:r>
      <w:r w:rsidR="008826DD">
        <w:rPr>
          <w:sz w:val="28"/>
          <w:szCs w:val="28"/>
        </w:rPr>
        <w:t>,</w:t>
      </w:r>
      <w:r w:rsidR="00A30044" w:rsidRPr="00615057">
        <w:rPr>
          <w:sz w:val="28"/>
          <w:szCs w:val="28"/>
        </w:rPr>
        <w:t xml:space="preserve"> must consider whether it was reasonable to employ two counsel. </w:t>
      </w:r>
      <w:r w:rsidR="008826DD">
        <w:rPr>
          <w:sz w:val="28"/>
          <w:szCs w:val="28"/>
        </w:rPr>
        <w:t>In doing so, it must consider</w:t>
      </w:r>
      <w:r w:rsidR="00A30044" w:rsidRPr="00615057">
        <w:rPr>
          <w:sz w:val="28"/>
          <w:szCs w:val="28"/>
        </w:rPr>
        <w:t xml:space="preserve"> the importance and the complexity of questions of law involved and the number of authorities referred to in the matter. </w:t>
      </w:r>
      <w:r w:rsidR="008826DD">
        <w:rPr>
          <w:sz w:val="28"/>
          <w:szCs w:val="28"/>
        </w:rPr>
        <w:t>In my view, t</w:t>
      </w:r>
      <w:r w:rsidR="00BD4E6C" w:rsidRPr="00615057">
        <w:rPr>
          <w:sz w:val="28"/>
          <w:szCs w:val="28"/>
        </w:rPr>
        <w:t xml:space="preserve">he factual and legal issues argued were not complex </w:t>
      </w:r>
      <w:r w:rsidR="008826DD">
        <w:rPr>
          <w:sz w:val="28"/>
          <w:szCs w:val="28"/>
        </w:rPr>
        <w:t xml:space="preserve">so </w:t>
      </w:r>
      <w:r w:rsidR="007E43CA" w:rsidRPr="00615057">
        <w:rPr>
          <w:sz w:val="28"/>
          <w:szCs w:val="28"/>
        </w:rPr>
        <w:t xml:space="preserve">as </w:t>
      </w:r>
      <w:r w:rsidR="00BD4E6C" w:rsidRPr="00615057">
        <w:rPr>
          <w:sz w:val="28"/>
          <w:szCs w:val="28"/>
        </w:rPr>
        <w:t xml:space="preserve">to warrant the employment of two counsel. </w:t>
      </w:r>
      <w:r w:rsidR="008826DD">
        <w:rPr>
          <w:sz w:val="28"/>
          <w:szCs w:val="28"/>
        </w:rPr>
        <w:t>Accordingly,</w:t>
      </w:r>
      <w:r w:rsidR="00BD4E6C" w:rsidRPr="00615057">
        <w:rPr>
          <w:sz w:val="28"/>
          <w:szCs w:val="28"/>
        </w:rPr>
        <w:t xml:space="preserve"> the appellant’s costs </w:t>
      </w:r>
      <w:r w:rsidR="008826DD">
        <w:rPr>
          <w:sz w:val="28"/>
          <w:szCs w:val="28"/>
        </w:rPr>
        <w:t xml:space="preserve">should </w:t>
      </w:r>
      <w:r w:rsidR="00BD4E6C" w:rsidRPr="00615057">
        <w:rPr>
          <w:sz w:val="28"/>
          <w:szCs w:val="28"/>
        </w:rPr>
        <w:t>be limited to costs consequent to the employment of one counsel.</w:t>
      </w:r>
    </w:p>
    <w:p w14:paraId="22661B14" w14:textId="3CCE4849" w:rsidR="00776528" w:rsidRDefault="00776528" w:rsidP="00644C3F">
      <w:pPr>
        <w:spacing w:line="360" w:lineRule="auto"/>
        <w:jc w:val="both"/>
        <w:rPr>
          <w:sz w:val="28"/>
          <w:szCs w:val="28"/>
        </w:rPr>
      </w:pPr>
    </w:p>
    <w:p w14:paraId="50B7DD4E" w14:textId="0F9A9053" w:rsidR="00B705EA" w:rsidRDefault="00B705EA" w:rsidP="00644C3F">
      <w:pPr>
        <w:spacing w:line="360" w:lineRule="auto"/>
        <w:jc w:val="both"/>
        <w:rPr>
          <w:sz w:val="28"/>
          <w:szCs w:val="28"/>
        </w:rPr>
      </w:pPr>
    </w:p>
    <w:p w14:paraId="379F6E9C" w14:textId="0BC5D60B" w:rsidR="00B705EA" w:rsidRDefault="00B705EA" w:rsidP="00644C3F">
      <w:pPr>
        <w:spacing w:line="360" w:lineRule="auto"/>
        <w:jc w:val="both"/>
        <w:rPr>
          <w:sz w:val="28"/>
          <w:szCs w:val="28"/>
        </w:rPr>
      </w:pPr>
    </w:p>
    <w:p w14:paraId="3FB11599" w14:textId="15AEC94A" w:rsidR="00B705EA" w:rsidRDefault="00B705EA" w:rsidP="00644C3F">
      <w:pPr>
        <w:spacing w:line="360" w:lineRule="auto"/>
        <w:jc w:val="both"/>
        <w:rPr>
          <w:sz w:val="28"/>
          <w:szCs w:val="28"/>
        </w:rPr>
      </w:pPr>
    </w:p>
    <w:p w14:paraId="6D6CCD8F" w14:textId="473BAB22" w:rsidR="00B705EA" w:rsidRDefault="00B705EA" w:rsidP="00644C3F">
      <w:pPr>
        <w:spacing w:line="360" w:lineRule="auto"/>
        <w:jc w:val="both"/>
        <w:rPr>
          <w:sz w:val="28"/>
          <w:szCs w:val="28"/>
        </w:rPr>
      </w:pPr>
    </w:p>
    <w:p w14:paraId="57211516" w14:textId="1E3D496C" w:rsidR="00B705EA" w:rsidRDefault="00B705EA" w:rsidP="00644C3F">
      <w:pPr>
        <w:spacing w:line="360" w:lineRule="auto"/>
        <w:jc w:val="both"/>
        <w:rPr>
          <w:sz w:val="28"/>
          <w:szCs w:val="28"/>
        </w:rPr>
      </w:pPr>
    </w:p>
    <w:p w14:paraId="303670DA" w14:textId="77777777" w:rsidR="00B705EA" w:rsidRPr="00615057" w:rsidRDefault="00B705EA" w:rsidP="00644C3F">
      <w:pPr>
        <w:spacing w:line="360" w:lineRule="auto"/>
        <w:jc w:val="both"/>
        <w:rPr>
          <w:sz w:val="28"/>
          <w:szCs w:val="28"/>
        </w:rPr>
      </w:pPr>
    </w:p>
    <w:p w14:paraId="5E461300" w14:textId="65797AAF" w:rsidR="00C81D41" w:rsidRPr="00615057" w:rsidRDefault="00FC649E" w:rsidP="00E02808">
      <w:pPr>
        <w:spacing w:line="360" w:lineRule="auto"/>
        <w:jc w:val="both"/>
        <w:rPr>
          <w:rFonts w:eastAsiaTheme="minorHAnsi"/>
          <w:sz w:val="28"/>
          <w:szCs w:val="28"/>
        </w:rPr>
      </w:pPr>
      <w:r w:rsidRPr="00615057">
        <w:rPr>
          <w:sz w:val="28"/>
          <w:szCs w:val="28"/>
        </w:rPr>
        <w:lastRenderedPageBreak/>
        <w:t>[</w:t>
      </w:r>
      <w:r w:rsidR="00C81D41" w:rsidRPr="00615057">
        <w:rPr>
          <w:sz w:val="28"/>
          <w:szCs w:val="28"/>
        </w:rPr>
        <w:t>3</w:t>
      </w:r>
      <w:r w:rsidR="001377BD">
        <w:rPr>
          <w:sz w:val="28"/>
          <w:szCs w:val="28"/>
        </w:rPr>
        <w:t>5</w:t>
      </w:r>
      <w:r w:rsidR="00644C3F" w:rsidRPr="00615057">
        <w:rPr>
          <w:sz w:val="28"/>
          <w:szCs w:val="28"/>
        </w:rPr>
        <w:t>]</w:t>
      </w:r>
      <w:r w:rsidR="00644C3F" w:rsidRPr="00615057">
        <w:rPr>
          <w:sz w:val="28"/>
          <w:szCs w:val="28"/>
        </w:rPr>
        <w:tab/>
        <w:t>In the result, the following is made:</w:t>
      </w:r>
    </w:p>
    <w:p w14:paraId="2CC7FF83" w14:textId="77777777" w:rsidR="005848D6" w:rsidRPr="005848D6" w:rsidRDefault="005848D6" w:rsidP="005848D6">
      <w:pPr>
        <w:spacing w:line="360" w:lineRule="auto"/>
        <w:jc w:val="both"/>
        <w:rPr>
          <w:rFonts w:eastAsiaTheme="minorHAnsi"/>
          <w:bCs/>
          <w:sz w:val="28"/>
          <w:szCs w:val="28"/>
          <w:lang w:val="en-GB"/>
        </w:rPr>
      </w:pPr>
      <w:r w:rsidRPr="005848D6">
        <w:rPr>
          <w:rFonts w:eastAsiaTheme="minorHAnsi"/>
          <w:bCs/>
          <w:sz w:val="28"/>
          <w:szCs w:val="28"/>
          <w:lang w:val="en-GB"/>
        </w:rPr>
        <w:t>1. The application to submit further evidence is dismissed with costs.</w:t>
      </w:r>
    </w:p>
    <w:p w14:paraId="0FA1FF90" w14:textId="77777777" w:rsidR="005848D6" w:rsidRPr="005848D6" w:rsidRDefault="005848D6" w:rsidP="005848D6">
      <w:pPr>
        <w:spacing w:line="360" w:lineRule="auto"/>
        <w:jc w:val="both"/>
        <w:rPr>
          <w:rFonts w:eastAsiaTheme="minorHAnsi"/>
          <w:bCs/>
          <w:sz w:val="28"/>
          <w:szCs w:val="28"/>
          <w:lang w:val="en-GB"/>
        </w:rPr>
      </w:pPr>
      <w:r w:rsidRPr="005848D6">
        <w:rPr>
          <w:rFonts w:eastAsiaTheme="minorHAnsi"/>
          <w:bCs/>
          <w:sz w:val="28"/>
          <w:szCs w:val="28"/>
          <w:lang w:val="en-GB"/>
        </w:rPr>
        <w:t>2. The appeal is upheld with costs, such costs limited to the costs of one counsel.</w:t>
      </w:r>
    </w:p>
    <w:p w14:paraId="54D5E8EA" w14:textId="77777777" w:rsidR="005848D6" w:rsidRPr="005848D6" w:rsidRDefault="005848D6" w:rsidP="0022461F">
      <w:pPr>
        <w:spacing w:line="360" w:lineRule="auto"/>
        <w:jc w:val="both"/>
        <w:rPr>
          <w:rFonts w:eastAsiaTheme="minorHAnsi"/>
          <w:bCs/>
          <w:sz w:val="28"/>
          <w:szCs w:val="28"/>
          <w:lang w:val="en-GB"/>
        </w:rPr>
      </w:pPr>
      <w:r w:rsidRPr="005848D6">
        <w:rPr>
          <w:rFonts w:eastAsiaTheme="minorHAnsi"/>
          <w:bCs/>
          <w:sz w:val="28"/>
          <w:szCs w:val="28"/>
          <w:lang w:val="en-GB"/>
        </w:rPr>
        <w:t>3. Paragraphs 5 and 6 of the order of the high court are set aside and replaced with the following:</w:t>
      </w:r>
    </w:p>
    <w:p w14:paraId="54FEBE5D" w14:textId="176D61E3" w:rsidR="00644C3F" w:rsidRPr="00615057" w:rsidRDefault="005848D6" w:rsidP="00E02808">
      <w:pPr>
        <w:spacing w:line="360" w:lineRule="auto"/>
        <w:jc w:val="both"/>
        <w:rPr>
          <w:rFonts w:eastAsiaTheme="minorHAnsi"/>
          <w:sz w:val="28"/>
          <w:szCs w:val="28"/>
        </w:rPr>
      </w:pPr>
      <w:r w:rsidRPr="005848D6">
        <w:rPr>
          <w:rFonts w:eastAsiaTheme="minorHAnsi"/>
          <w:bCs/>
          <w:sz w:val="28"/>
          <w:szCs w:val="28"/>
          <w:lang w:val="en-GB"/>
        </w:rPr>
        <w:t>‘The anti-dissipation application is dismissed with costs.’</w:t>
      </w:r>
    </w:p>
    <w:p w14:paraId="4BD9E0DB" w14:textId="482132A2" w:rsidR="00644C3F" w:rsidRDefault="00644C3F" w:rsidP="00644C3F">
      <w:pPr>
        <w:spacing w:line="360" w:lineRule="auto"/>
        <w:ind w:left="180"/>
        <w:rPr>
          <w:rFonts w:eastAsiaTheme="minorHAnsi"/>
          <w:sz w:val="28"/>
          <w:szCs w:val="28"/>
        </w:rPr>
      </w:pPr>
    </w:p>
    <w:p w14:paraId="3CA0582E" w14:textId="77777777" w:rsidR="00EE7BF0" w:rsidRPr="00615057" w:rsidRDefault="00EE7BF0" w:rsidP="00644C3F">
      <w:pPr>
        <w:spacing w:line="360" w:lineRule="auto"/>
        <w:ind w:left="180"/>
        <w:rPr>
          <w:rFonts w:eastAsiaTheme="minorHAnsi"/>
          <w:sz w:val="28"/>
          <w:szCs w:val="28"/>
        </w:rPr>
      </w:pPr>
    </w:p>
    <w:p w14:paraId="0094210E" w14:textId="77777777" w:rsidR="00644C3F" w:rsidRPr="00615057" w:rsidRDefault="00644C3F" w:rsidP="00644C3F">
      <w:pPr>
        <w:spacing w:line="360" w:lineRule="auto"/>
        <w:jc w:val="right"/>
        <w:rPr>
          <w:sz w:val="28"/>
          <w:szCs w:val="28"/>
          <w:lang w:val="en-US"/>
        </w:rPr>
      </w:pPr>
      <w:r w:rsidRPr="00615057">
        <w:rPr>
          <w:sz w:val="28"/>
          <w:szCs w:val="28"/>
          <w:lang w:val="en-US"/>
        </w:rPr>
        <w:t>____________________</w:t>
      </w:r>
    </w:p>
    <w:p w14:paraId="4DC4D45A" w14:textId="77777777" w:rsidR="00644C3F" w:rsidRPr="00615057" w:rsidRDefault="00644C3F" w:rsidP="00644C3F">
      <w:pPr>
        <w:spacing w:line="360" w:lineRule="auto"/>
        <w:jc w:val="right"/>
        <w:rPr>
          <w:sz w:val="28"/>
          <w:szCs w:val="28"/>
          <w:lang w:val="en-US"/>
        </w:rPr>
      </w:pPr>
      <w:r w:rsidRPr="00615057">
        <w:rPr>
          <w:sz w:val="28"/>
          <w:szCs w:val="28"/>
          <w:lang w:val="en-US"/>
        </w:rPr>
        <w:t>F E MOKGOHLOA</w:t>
      </w:r>
    </w:p>
    <w:p w14:paraId="1313585E" w14:textId="77777777" w:rsidR="00644C3F" w:rsidRPr="00615057" w:rsidRDefault="00644C3F" w:rsidP="00644C3F">
      <w:pPr>
        <w:spacing w:line="360" w:lineRule="auto"/>
        <w:jc w:val="right"/>
        <w:rPr>
          <w:sz w:val="28"/>
          <w:szCs w:val="28"/>
          <w:lang w:val="en-US"/>
        </w:rPr>
      </w:pPr>
      <w:r w:rsidRPr="00615057">
        <w:rPr>
          <w:sz w:val="28"/>
          <w:szCs w:val="28"/>
          <w:lang w:val="en-US"/>
        </w:rPr>
        <w:t>JUDGE OF APPEAL</w:t>
      </w:r>
    </w:p>
    <w:p w14:paraId="114925BF" w14:textId="7F34E5AD" w:rsidR="00644C3F" w:rsidRPr="00615057" w:rsidRDefault="00EE7BF0" w:rsidP="00644C3F">
      <w:pPr>
        <w:spacing w:line="360" w:lineRule="auto"/>
        <w:rPr>
          <w:sz w:val="28"/>
          <w:szCs w:val="28"/>
          <w:lang w:val="en-US"/>
        </w:rPr>
      </w:pPr>
      <w:r>
        <w:rPr>
          <w:sz w:val="28"/>
          <w:szCs w:val="28"/>
          <w:lang w:val="en-US"/>
        </w:rPr>
        <w:br w:type="page"/>
      </w:r>
      <w:r w:rsidR="00644C3F" w:rsidRPr="00615057">
        <w:rPr>
          <w:sz w:val="28"/>
          <w:szCs w:val="28"/>
          <w:lang w:val="en-US"/>
        </w:rPr>
        <w:lastRenderedPageBreak/>
        <w:t>A</w:t>
      </w:r>
      <w:r w:rsidR="004C1034">
        <w:rPr>
          <w:sz w:val="28"/>
          <w:szCs w:val="28"/>
          <w:lang w:val="en-US"/>
        </w:rPr>
        <w:t>PPEARANCES</w:t>
      </w:r>
    </w:p>
    <w:p w14:paraId="3E39BA59" w14:textId="77777777" w:rsidR="00644C3F" w:rsidRPr="00615057" w:rsidRDefault="00644C3F">
      <w:pPr>
        <w:spacing w:line="360" w:lineRule="auto"/>
      </w:pPr>
    </w:p>
    <w:p w14:paraId="47AEB762" w14:textId="5F26A2E5" w:rsidR="00644C3F" w:rsidRPr="00615057" w:rsidRDefault="00644C3F">
      <w:pPr>
        <w:spacing w:line="360" w:lineRule="auto"/>
        <w:ind w:left="2835" w:hanging="2835"/>
        <w:rPr>
          <w:rFonts w:eastAsiaTheme="minorHAnsi"/>
          <w:sz w:val="28"/>
          <w:szCs w:val="28"/>
        </w:rPr>
      </w:pPr>
      <w:r w:rsidRPr="00615057">
        <w:rPr>
          <w:rFonts w:eastAsiaTheme="minorHAnsi"/>
          <w:sz w:val="28"/>
          <w:szCs w:val="28"/>
        </w:rPr>
        <w:t xml:space="preserve">For the </w:t>
      </w:r>
      <w:r w:rsidR="002E497C" w:rsidRPr="00615057">
        <w:rPr>
          <w:rFonts w:eastAsiaTheme="minorHAnsi"/>
          <w:sz w:val="28"/>
          <w:szCs w:val="28"/>
        </w:rPr>
        <w:t>a</w:t>
      </w:r>
      <w:r w:rsidRPr="00615057">
        <w:rPr>
          <w:rFonts w:eastAsiaTheme="minorHAnsi"/>
          <w:sz w:val="28"/>
          <w:szCs w:val="28"/>
        </w:rPr>
        <w:t>ppellant:</w:t>
      </w:r>
      <w:r w:rsidR="00BD4450">
        <w:rPr>
          <w:rFonts w:eastAsiaTheme="minorHAnsi"/>
          <w:sz w:val="28"/>
          <w:szCs w:val="28"/>
        </w:rPr>
        <w:tab/>
      </w:r>
      <w:r w:rsidRPr="00615057">
        <w:rPr>
          <w:rFonts w:eastAsiaTheme="minorHAnsi"/>
          <w:sz w:val="28"/>
          <w:szCs w:val="28"/>
        </w:rPr>
        <w:t>A Bester SC and R Bossman</w:t>
      </w:r>
    </w:p>
    <w:p w14:paraId="14BDF648" w14:textId="1775D391" w:rsidR="00644C3F" w:rsidRPr="00615057" w:rsidRDefault="00644C3F" w:rsidP="00E02808">
      <w:pPr>
        <w:spacing w:line="360" w:lineRule="auto"/>
        <w:ind w:left="2835" w:hanging="2835"/>
        <w:rPr>
          <w:rFonts w:eastAsiaTheme="minorHAnsi"/>
          <w:sz w:val="28"/>
          <w:szCs w:val="28"/>
        </w:rPr>
      </w:pPr>
      <w:r w:rsidRPr="00615057">
        <w:rPr>
          <w:rFonts w:eastAsiaTheme="minorHAnsi"/>
          <w:sz w:val="28"/>
          <w:szCs w:val="28"/>
        </w:rPr>
        <w:t>Instructed by:</w:t>
      </w:r>
      <w:r w:rsidR="00BD4450">
        <w:rPr>
          <w:rFonts w:eastAsiaTheme="minorHAnsi"/>
          <w:sz w:val="28"/>
          <w:szCs w:val="28"/>
        </w:rPr>
        <w:tab/>
      </w:r>
      <w:r w:rsidRPr="00615057">
        <w:rPr>
          <w:rFonts w:eastAsiaTheme="minorHAnsi"/>
          <w:sz w:val="28"/>
          <w:szCs w:val="28"/>
        </w:rPr>
        <w:t>Fairbridges Wertheim Becker Attorneys</w:t>
      </w:r>
      <w:r w:rsidR="00071EC0" w:rsidRPr="00615057">
        <w:rPr>
          <w:rFonts w:eastAsiaTheme="minorHAnsi"/>
          <w:sz w:val="28"/>
          <w:szCs w:val="28"/>
        </w:rPr>
        <w:t>, Johannesburg</w:t>
      </w:r>
    </w:p>
    <w:p w14:paraId="175C3A42" w14:textId="50F96256" w:rsidR="00DB176A" w:rsidRDefault="00644C3F" w:rsidP="00E02808">
      <w:pPr>
        <w:spacing w:line="360" w:lineRule="auto"/>
        <w:ind w:left="3686" w:hanging="851"/>
        <w:rPr>
          <w:rFonts w:eastAsiaTheme="minorHAnsi"/>
          <w:sz w:val="28"/>
          <w:szCs w:val="28"/>
        </w:rPr>
      </w:pPr>
      <w:r w:rsidRPr="00615057">
        <w:rPr>
          <w:rFonts w:eastAsiaTheme="minorHAnsi"/>
          <w:sz w:val="28"/>
          <w:szCs w:val="28"/>
        </w:rPr>
        <w:t>Phats</w:t>
      </w:r>
      <w:r w:rsidR="008826DD">
        <w:rPr>
          <w:rFonts w:eastAsiaTheme="minorHAnsi"/>
          <w:sz w:val="28"/>
          <w:szCs w:val="28"/>
        </w:rPr>
        <w:t>h</w:t>
      </w:r>
      <w:r w:rsidRPr="00615057">
        <w:rPr>
          <w:rFonts w:eastAsiaTheme="minorHAnsi"/>
          <w:sz w:val="28"/>
          <w:szCs w:val="28"/>
        </w:rPr>
        <w:t>oane Henney Attorneys</w:t>
      </w:r>
      <w:r w:rsidR="007325E6" w:rsidRPr="00615057">
        <w:rPr>
          <w:rFonts w:eastAsiaTheme="minorHAnsi"/>
          <w:sz w:val="28"/>
          <w:szCs w:val="28"/>
        </w:rPr>
        <w:t>, Bloemfontein</w:t>
      </w:r>
    </w:p>
    <w:p w14:paraId="569DED2A" w14:textId="521FE446" w:rsidR="00644C3F" w:rsidRPr="00615057" w:rsidRDefault="00644C3F" w:rsidP="00E02808">
      <w:pPr>
        <w:spacing w:line="360" w:lineRule="auto"/>
        <w:ind w:left="3686" w:hanging="851"/>
        <w:rPr>
          <w:rFonts w:eastAsiaTheme="minorHAnsi"/>
          <w:sz w:val="28"/>
          <w:szCs w:val="28"/>
        </w:rPr>
      </w:pPr>
    </w:p>
    <w:p w14:paraId="3727637C" w14:textId="70DBF4D9" w:rsidR="00644C3F" w:rsidRPr="00615057" w:rsidRDefault="00644C3F">
      <w:pPr>
        <w:spacing w:line="360" w:lineRule="auto"/>
        <w:ind w:left="2835" w:hanging="2835"/>
        <w:rPr>
          <w:rFonts w:eastAsiaTheme="minorHAnsi"/>
          <w:sz w:val="28"/>
          <w:szCs w:val="28"/>
        </w:rPr>
      </w:pPr>
      <w:r w:rsidRPr="00615057">
        <w:rPr>
          <w:rFonts w:eastAsiaTheme="minorHAnsi"/>
          <w:sz w:val="28"/>
          <w:szCs w:val="28"/>
        </w:rPr>
        <w:t>For the respondent:</w:t>
      </w:r>
      <w:r w:rsidR="001764FD">
        <w:rPr>
          <w:rFonts w:eastAsiaTheme="minorHAnsi"/>
          <w:sz w:val="28"/>
          <w:szCs w:val="28"/>
        </w:rPr>
        <w:tab/>
      </w:r>
      <w:r w:rsidRPr="00615057">
        <w:rPr>
          <w:rFonts w:eastAsiaTheme="minorHAnsi"/>
          <w:sz w:val="28"/>
          <w:szCs w:val="28"/>
        </w:rPr>
        <w:t>WA de Beer and W</w:t>
      </w:r>
      <w:r w:rsidR="008368EE">
        <w:rPr>
          <w:rFonts w:eastAsiaTheme="minorHAnsi"/>
          <w:sz w:val="28"/>
          <w:szCs w:val="28"/>
        </w:rPr>
        <w:t>.</w:t>
      </w:r>
      <w:r w:rsidRPr="00615057">
        <w:rPr>
          <w:rFonts w:eastAsiaTheme="minorHAnsi"/>
          <w:sz w:val="28"/>
          <w:szCs w:val="28"/>
        </w:rPr>
        <w:t>C Carstens</w:t>
      </w:r>
      <w:r w:rsidRPr="00615057">
        <w:rPr>
          <w:rFonts w:eastAsiaTheme="minorHAnsi"/>
          <w:sz w:val="28"/>
          <w:szCs w:val="28"/>
        </w:rPr>
        <w:tab/>
        <w:t xml:space="preserve"> </w:t>
      </w:r>
    </w:p>
    <w:p w14:paraId="7D206535" w14:textId="2AB9899F" w:rsidR="00644C3F" w:rsidRPr="00615057" w:rsidRDefault="00644C3F" w:rsidP="00E02808">
      <w:pPr>
        <w:spacing w:line="360" w:lineRule="auto"/>
        <w:ind w:left="2835" w:hanging="2835"/>
        <w:rPr>
          <w:rFonts w:eastAsiaTheme="minorHAnsi"/>
          <w:sz w:val="28"/>
          <w:szCs w:val="28"/>
        </w:rPr>
      </w:pPr>
      <w:r w:rsidRPr="00615057">
        <w:rPr>
          <w:rFonts w:eastAsiaTheme="minorHAnsi"/>
          <w:sz w:val="28"/>
          <w:szCs w:val="28"/>
        </w:rPr>
        <w:t>Instructed by:</w:t>
      </w:r>
      <w:r w:rsidR="001764FD">
        <w:rPr>
          <w:rFonts w:eastAsiaTheme="minorHAnsi"/>
          <w:sz w:val="28"/>
          <w:szCs w:val="28"/>
        </w:rPr>
        <w:tab/>
      </w:r>
      <w:r w:rsidRPr="00615057">
        <w:rPr>
          <w:rFonts w:eastAsiaTheme="minorHAnsi"/>
          <w:sz w:val="28"/>
          <w:szCs w:val="28"/>
        </w:rPr>
        <w:t>Shaban Clark Coetzee Attorneys</w:t>
      </w:r>
      <w:r w:rsidR="00071EC0" w:rsidRPr="00615057">
        <w:rPr>
          <w:rFonts w:eastAsiaTheme="minorHAnsi"/>
          <w:sz w:val="28"/>
          <w:szCs w:val="28"/>
        </w:rPr>
        <w:t>, Johannesburg</w:t>
      </w:r>
    </w:p>
    <w:p w14:paraId="5ED7A84D" w14:textId="23BA495B" w:rsidR="00644C3F" w:rsidRDefault="00071EC0" w:rsidP="00E02808">
      <w:pPr>
        <w:spacing w:line="360" w:lineRule="auto"/>
        <w:ind w:left="2835"/>
        <w:rPr>
          <w:rFonts w:eastAsiaTheme="minorHAnsi"/>
          <w:sz w:val="28"/>
          <w:szCs w:val="28"/>
        </w:rPr>
      </w:pPr>
      <w:r w:rsidRPr="00615057">
        <w:rPr>
          <w:rFonts w:eastAsiaTheme="minorHAnsi"/>
          <w:sz w:val="28"/>
          <w:szCs w:val="28"/>
        </w:rPr>
        <w:t>Honey Attorneys</w:t>
      </w:r>
      <w:r w:rsidR="007325E6" w:rsidRPr="00615057">
        <w:rPr>
          <w:rFonts w:eastAsiaTheme="minorHAnsi"/>
          <w:sz w:val="28"/>
          <w:szCs w:val="28"/>
        </w:rPr>
        <w:t>, Bloemfontein</w:t>
      </w:r>
      <w:r w:rsidR="002E497C" w:rsidRPr="00615057">
        <w:rPr>
          <w:rFonts w:eastAsiaTheme="minorHAnsi"/>
          <w:sz w:val="28"/>
          <w:szCs w:val="28"/>
        </w:rPr>
        <w:t>.</w:t>
      </w:r>
    </w:p>
    <w:p w14:paraId="12606A2B" w14:textId="77777777" w:rsidR="00644C3F" w:rsidRDefault="00644C3F" w:rsidP="00E02808">
      <w:pPr>
        <w:shd w:val="clear" w:color="auto" w:fill="FFFFFF"/>
        <w:tabs>
          <w:tab w:val="left" w:pos="900"/>
        </w:tabs>
        <w:spacing w:line="360" w:lineRule="auto"/>
        <w:ind w:hanging="2835"/>
        <w:jc w:val="both"/>
        <w:rPr>
          <w:bCs/>
          <w:sz w:val="28"/>
          <w:szCs w:val="28"/>
          <w:lang w:val="en-GB" w:eastAsia="en-US"/>
        </w:rPr>
      </w:pPr>
    </w:p>
    <w:p w14:paraId="17D59F15" w14:textId="77777777" w:rsidR="00644C3F" w:rsidRDefault="00644C3F" w:rsidP="00E02808">
      <w:pPr>
        <w:shd w:val="clear" w:color="auto" w:fill="FFFFFF"/>
        <w:tabs>
          <w:tab w:val="left" w:pos="900"/>
        </w:tabs>
        <w:spacing w:line="360" w:lineRule="auto"/>
        <w:ind w:hanging="2835"/>
        <w:jc w:val="both"/>
        <w:rPr>
          <w:bCs/>
          <w:sz w:val="28"/>
          <w:szCs w:val="28"/>
          <w:lang w:val="en-GB" w:eastAsia="en-US"/>
        </w:rPr>
      </w:pPr>
    </w:p>
    <w:p w14:paraId="7944A997" w14:textId="77777777" w:rsidR="009C2964" w:rsidRDefault="009C2964"/>
    <w:p w14:paraId="5DF454EF" w14:textId="77777777" w:rsidR="00BD4E6C" w:rsidRDefault="00BD4E6C"/>
    <w:p w14:paraId="016B32CA" w14:textId="77777777" w:rsidR="00BD4E6C" w:rsidRDefault="00BD4E6C"/>
    <w:p w14:paraId="08881A52" w14:textId="77777777" w:rsidR="00BD4E6C" w:rsidRDefault="00BD4E6C"/>
    <w:p w14:paraId="68667256" w14:textId="77777777" w:rsidR="00BD4E6C" w:rsidRDefault="00BD4E6C"/>
    <w:sectPr w:rsidR="00BD4E6C" w:rsidSect="000814D2">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22E5" w14:textId="77777777" w:rsidR="00EE7892" w:rsidRDefault="00EE7892" w:rsidP="00644C3F">
      <w:r>
        <w:separator/>
      </w:r>
    </w:p>
  </w:endnote>
  <w:endnote w:type="continuationSeparator" w:id="0">
    <w:p w14:paraId="139E2822" w14:textId="77777777" w:rsidR="00EE7892" w:rsidRDefault="00EE7892" w:rsidP="0064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6A3A" w14:textId="77777777" w:rsidR="00EE7892" w:rsidRDefault="00EE7892" w:rsidP="00644C3F">
      <w:r>
        <w:separator/>
      </w:r>
    </w:p>
  </w:footnote>
  <w:footnote w:type="continuationSeparator" w:id="0">
    <w:p w14:paraId="6404AD86" w14:textId="77777777" w:rsidR="00EE7892" w:rsidRDefault="00EE7892" w:rsidP="00644C3F">
      <w:r>
        <w:continuationSeparator/>
      </w:r>
    </w:p>
  </w:footnote>
  <w:footnote w:id="1">
    <w:p w14:paraId="3F689184" w14:textId="323BEEC3" w:rsidR="005326FE" w:rsidRPr="00FF3018" w:rsidRDefault="005326FE" w:rsidP="00E02808">
      <w:pPr>
        <w:pStyle w:val="FootnoteText"/>
        <w:jc w:val="both"/>
      </w:pPr>
      <w:r w:rsidRPr="00A47F44">
        <w:rPr>
          <w:rStyle w:val="FootnoteReference"/>
        </w:rPr>
        <w:t>1</w:t>
      </w:r>
      <w:r w:rsidRPr="00A47F44">
        <w:t xml:space="preserve"> </w:t>
      </w:r>
      <w:r w:rsidRPr="00A47F44">
        <w:rPr>
          <w:i/>
          <w:lang w:val="en-US"/>
        </w:rPr>
        <w:t>Colman v Dunbar</w:t>
      </w:r>
      <w:r w:rsidR="00C859FD" w:rsidRPr="00D95082">
        <w:rPr>
          <w:lang w:val="en-US"/>
        </w:rPr>
        <w:t xml:space="preserve"> 1933 AD 141 (A) at 161-162</w:t>
      </w:r>
      <w:r w:rsidRPr="00FF3018">
        <w:rPr>
          <w:lang w:val="en-US"/>
        </w:rPr>
        <w:t>.</w:t>
      </w:r>
    </w:p>
  </w:footnote>
  <w:footnote w:id="2">
    <w:p w14:paraId="4B329245" w14:textId="5581D686" w:rsidR="002C6AA1" w:rsidRPr="00E02808" w:rsidRDefault="005B2626" w:rsidP="00E02808">
      <w:pPr>
        <w:pStyle w:val="FootnoteText"/>
        <w:jc w:val="both"/>
      </w:pPr>
      <w:r w:rsidRPr="00A47F44">
        <w:rPr>
          <w:rStyle w:val="FootnoteReference"/>
        </w:rPr>
        <w:t>2</w:t>
      </w:r>
      <w:r w:rsidRPr="00A47F44">
        <w:t xml:space="preserve"> </w:t>
      </w:r>
      <w:r w:rsidR="002C6AA1" w:rsidRPr="00A47F44">
        <w:rPr>
          <w:i/>
        </w:rPr>
        <w:t xml:space="preserve">Rail Commuters Action Group and Others v Transnet Ltd t/a Metrorail and Others </w:t>
      </w:r>
      <w:r w:rsidR="00FC0C94" w:rsidRPr="00D95082">
        <w:t>[2004] ZACC 20; 2005 (2) SA 359 (CC); 2005 (4) BCLR 301 (CC)</w:t>
      </w:r>
      <w:r w:rsidR="00FC0C94" w:rsidRPr="00FF3018">
        <w:t xml:space="preserve"> </w:t>
      </w:r>
      <w:r w:rsidR="002C6AA1" w:rsidRPr="00FF3018">
        <w:t>paras 41-43.</w:t>
      </w:r>
    </w:p>
    <w:p w14:paraId="71774FCE" w14:textId="1AB95424" w:rsidR="005B2626" w:rsidRPr="002C7270" w:rsidRDefault="005B2626" w:rsidP="00E02808">
      <w:pPr>
        <w:pStyle w:val="FootnoteText"/>
        <w:jc w:val="both"/>
      </w:pPr>
    </w:p>
  </w:footnote>
  <w:footnote w:id="3">
    <w:p w14:paraId="3A84CB11" w14:textId="2D085060" w:rsidR="00234F63" w:rsidRPr="00E02808" w:rsidRDefault="00234F63" w:rsidP="00E02808">
      <w:pPr>
        <w:pStyle w:val="FootnoteText"/>
        <w:jc w:val="both"/>
        <w:rPr>
          <w:lang w:val="en-US"/>
        </w:rPr>
      </w:pPr>
      <w:r w:rsidRPr="00A47F44">
        <w:rPr>
          <w:rStyle w:val="FootnoteReference"/>
        </w:rPr>
        <w:t>3</w:t>
      </w:r>
      <w:r w:rsidRPr="00A47F44">
        <w:t xml:space="preserve"> </w:t>
      </w:r>
      <w:r w:rsidRPr="00D95082">
        <w:rPr>
          <w:i/>
        </w:rPr>
        <w:t xml:space="preserve">O’Shea NO v Van Zyl NO and Others </w:t>
      </w:r>
      <w:r w:rsidRPr="00FF3018">
        <w:t>[2011] ZASCA 156; 2012 (1) SA 90 (SCA); [2012] 1 All SA 303 (SCA) para 9.</w:t>
      </w:r>
    </w:p>
  </w:footnote>
  <w:footnote w:id="4">
    <w:p w14:paraId="244E1BDB" w14:textId="79185F96" w:rsidR="00BB5915" w:rsidRPr="00E02808" w:rsidRDefault="00BB5915" w:rsidP="00E02808">
      <w:pPr>
        <w:pStyle w:val="FootnoteText"/>
        <w:jc w:val="both"/>
        <w:rPr>
          <w:lang w:val="en-US"/>
        </w:rPr>
      </w:pPr>
      <w:r w:rsidRPr="00231E10">
        <w:rPr>
          <w:rStyle w:val="FootnoteReference"/>
        </w:rPr>
        <w:t>4</w:t>
      </w:r>
      <w:r w:rsidRPr="00985B3E">
        <w:t xml:space="preserve"> </w:t>
      </w:r>
      <w:r w:rsidRPr="00A47F44">
        <w:rPr>
          <w:i/>
        </w:rPr>
        <w:t>Setlogelo v Setl</w:t>
      </w:r>
      <w:r w:rsidR="0052557E" w:rsidRPr="00A47F44">
        <w:rPr>
          <w:i/>
        </w:rPr>
        <w:t>o</w:t>
      </w:r>
      <w:r w:rsidRPr="00A47F44">
        <w:rPr>
          <w:i/>
        </w:rPr>
        <w:t>gelo</w:t>
      </w:r>
      <w:r w:rsidRPr="00D95082">
        <w:t xml:space="preserve"> 1914 AD 221 at 227; </w:t>
      </w:r>
      <w:r w:rsidRPr="00FF3018">
        <w:rPr>
          <w:i/>
        </w:rPr>
        <w:t>Webster v Mitchell</w:t>
      </w:r>
      <w:r w:rsidRPr="00FF3018">
        <w:t xml:space="preserve"> 1948 (1) SA 1186 (W) at 1187.</w:t>
      </w:r>
    </w:p>
  </w:footnote>
  <w:footnote w:id="5">
    <w:p w14:paraId="4FB22BA3" w14:textId="02008034" w:rsidR="00351D98" w:rsidRPr="00A47F44" w:rsidRDefault="00351D98" w:rsidP="00E02808">
      <w:pPr>
        <w:pStyle w:val="FootnoteText"/>
        <w:jc w:val="both"/>
      </w:pPr>
      <w:r w:rsidRPr="00A47F44">
        <w:rPr>
          <w:rStyle w:val="FootnoteReference"/>
        </w:rPr>
        <w:t>5</w:t>
      </w:r>
      <w:r w:rsidRPr="00D95082">
        <w:t xml:space="preserve"> </w:t>
      </w:r>
      <w:r w:rsidRPr="00E02808">
        <w:rPr>
          <w:i/>
        </w:rPr>
        <w:t>Knox D'Arcy Ltd. and Others v Jamieson and Others</w:t>
      </w:r>
      <w:r w:rsidRPr="002C7270">
        <w:t xml:space="preserve"> [1996] ZASCA 58; 1996 (4) SA 348 (SCA); [1996] 3 All SA 669 (A)</w:t>
      </w:r>
      <w:r w:rsidRPr="00231E10">
        <w:t xml:space="preserve"> at</w:t>
      </w:r>
      <w:r w:rsidR="00E74A2C" w:rsidRPr="00985B3E">
        <w:t xml:space="preserve"> 31.</w:t>
      </w:r>
    </w:p>
  </w:footnote>
  <w:footnote w:id="6">
    <w:p w14:paraId="4FECB943" w14:textId="78069DBC" w:rsidR="003F10B9" w:rsidRPr="00FF3018" w:rsidRDefault="003F10B9" w:rsidP="00E02808">
      <w:pPr>
        <w:pStyle w:val="FootnoteText"/>
        <w:jc w:val="both"/>
      </w:pPr>
      <w:r w:rsidRPr="00A47F44">
        <w:rPr>
          <w:rStyle w:val="FootnoteReference"/>
        </w:rPr>
        <w:t>6</w:t>
      </w:r>
      <w:r w:rsidRPr="00A47F44">
        <w:t xml:space="preserve"> </w:t>
      </w:r>
      <w:r w:rsidRPr="00D95082">
        <w:t>I</w:t>
      </w:r>
      <w:r w:rsidRPr="00FF3018">
        <w:t>bid at 63.</w:t>
      </w:r>
    </w:p>
  </w:footnote>
  <w:footnote w:id="7">
    <w:p w14:paraId="5A9C47E0" w14:textId="12880440" w:rsidR="00467059" w:rsidRPr="00FF3018" w:rsidRDefault="00467059" w:rsidP="00E02808">
      <w:pPr>
        <w:pStyle w:val="FootnoteText"/>
        <w:jc w:val="both"/>
      </w:pPr>
      <w:r w:rsidRPr="00A47F44">
        <w:rPr>
          <w:rStyle w:val="FootnoteReference"/>
        </w:rPr>
        <w:t>7</w:t>
      </w:r>
      <w:r w:rsidRPr="00A47F44">
        <w:t xml:space="preserve"> </w:t>
      </w:r>
      <w:r w:rsidRPr="00A47F44">
        <w:rPr>
          <w:i/>
        </w:rPr>
        <w:t>Bassani Mining (Pty) Ltd v Sebosat (Pty) Ltd and Others</w:t>
      </w:r>
      <w:r w:rsidRPr="00D95082">
        <w:t xml:space="preserve"> </w:t>
      </w:r>
      <w:r w:rsidRPr="00FF3018">
        <w:t>[2021] ZASCA 126 para 1.</w:t>
      </w:r>
    </w:p>
  </w:footnote>
  <w:footnote w:id="8">
    <w:p w14:paraId="6590D479" w14:textId="30151783" w:rsidR="00CD622E" w:rsidRPr="00FF3018" w:rsidRDefault="00CD622E" w:rsidP="00E02808">
      <w:pPr>
        <w:pStyle w:val="FootnoteText"/>
        <w:jc w:val="both"/>
      </w:pPr>
      <w:r w:rsidRPr="00FF3018">
        <w:rPr>
          <w:rStyle w:val="FootnoteReference"/>
        </w:rPr>
        <w:t>8</w:t>
      </w:r>
      <w:r w:rsidRPr="00FF3018">
        <w:t xml:space="preserve"> </w:t>
      </w:r>
      <w:r w:rsidRPr="00FF3018">
        <w:rPr>
          <w:i/>
        </w:rPr>
        <w:t>Knox D'Arcy</w:t>
      </w:r>
      <w:r w:rsidRPr="00FF3018">
        <w:t xml:space="preserve"> fn 5 at 64.</w:t>
      </w:r>
    </w:p>
  </w:footnote>
  <w:footnote w:id="9">
    <w:p w14:paraId="6DE9370A" w14:textId="60868BE7" w:rsidR="001D0EE9" w:rsidRPr="00FF3018" w:rsidRDefault="001D0EE9" w:rsidP="00E02808">
      <w:pPr>
        <w:pStyle w:val="FootnoteText"/>
        <w:jc w:val="both"/>
      </w:pPr>
      <w:r w:rsidRPr="00985B3E">
        <w:rPr>
          <w:rStyle w:val="FootnoteReference"/>
        </w:rPr>
        <w:t>9</w:t>
      </w:r>
      <w:r w:rsidRPr="00A47F44">
        <w:t xml:space="preserve"> </w:t>
      </w:r>
      <w:r w:rsidRPr="00A47F44">
        <w:rPr>
          <w:i/>
        </w:rPr>
        <w:t>Visser v Visser</w:t>
      </w:r>
      <w:r w:rsidRPr="00A47F44">
        <w:t xml:space="preserve"> </w:t>
      </w:r>
      <w:r w:rsidRPr="00D95082">
        <w:t>[</w:t>
      </w:r>
      <w:r w:rsidRPr="00FF3018">
        <w:t>2012] ZAKZDHC 16; 2012 (4) SA 74 (KZN) para 32.</w:t>
      </w:r>
    </w:p>
  </w:footnote>
  <w:footnote w:id="10">
    <w:p w14:paraId="04925206" w14:textId="716DE99C" w:rsidR="00284DF5" w:rsidRPr="00FF3018" w:rsidRDefault="00284DF5" w:rsidP="00E02808">
      <w:pPr>
        <w:pStyle w:val="FootnoteText"/>
        <w:jc w:val="both"/>
      </w:pPr>
      <w:r w:rsidRPr="00985B3E">
        <w:rPr>
          <w:rStyle w:val="FootnoteReference"/>
        </w:rPr>
        <w:t>10</w:t>
      </w:r>
      <w:r w:rsidRPr="00A47F44">
        <w:t xml:space="preserve"> </w:t>
      </w:r>
      <w:r w:rsidRPr="00A47F44">
        <w:rPr>
          <w:i/>
          <w:lang w:val="en-US"/>
        </w:rPr>
        <w:t>MV Ais Mamas Seatrans Maritime v Owners</w:t>
      </w:r>
      <w:r w:rsidRPr="00D95082">
        <w:rPr>
          <w:i/>
          <w:lang w:val="en-US"/>
        </w:rPr>
        <w:t xml:space="preserve">, MV Ais Mamas and </w:t>
      </w:r>
      <w:r w:rsidRPr="00FF3018">
        <w:rPr>
          <w:i/>
          <w:lang w:val="en-US"/>
        </w:rPr>
        <w:t>Another</w:t>
      </w:r>
      <w:r w:rsidRPr="00FF3018">
        <w:rPr>
          <w:lang w:val="en-US"/>
        </w:rPr>
        <w:t xml:space="preserve"> 2002 (6) SA 150 (C) at 156H-I.</w:t>
      </w:r>
    </w:p>
  </w:footnote>
  <w:footnote w:id="11">
    <w:p w14:paraId="495A1798" w14:textId="4C7D99D1" w:rsidR="005327AE" w:rsidRPr="00E02808" w:rsidRDefault="005327AE" w:rsidP="00E02808">
      <w:pPr>
        <w:pStyle w:val="FootnoteText"/>
        <w:jc w:val="both"/>
        <w:rPr>
          <w:i/>
        </w:rPr>
      </w:pPr>
      <w:r w:rsidRPr="00FF3018">
        <w:rPr>
          <w:rStyle w:val="FootnoteReference"/>
        </w:rPr>
        <w:t>11</w:t>
      </w:r>
      <w:r w:rsidRPr="00FF3018">
        <w:t xml:space="preserve"> </w:t>
      </w:r>
      <w:r w:rsidR="00C32DBA" w:rsidRPr="00FF3018">
        <w:rPr>
          <w:i/>
        </w:rPr>
        <w:t xml:space="preserve">J.L.T v C.H.T </w:t>
      </w:r>
      <w:r w:rsidR="00C32DBA" w:rsidRPr="00E02808">
        <w:t>[2021] ZAECELLC 4</w:t>
      </w:r>
      <w:r w:rsidR="00C32DBA" w:rsidRPr="002C7270">
        <w:t>.</w:t>
      </w:r>
    </w:p>
  </w:footnote>
  <w:footnote w:id="12">
    <w:p w14:paraId="4D8A4C18" w14:textId="1F7EC1E1" w:rsidR="00006FF2" w:rsidRPr="00FF3018" w:rsidRDefault="00006FF2" w:rsidP="00E02808">
      <w:pPr>
        <w:pStyle w:val="FootnoteText"/>
        <w:jc w:val="both"/>
      </w:pPr>
      <w:r w:rsidRPr="00D95082">
        <w:rPr>
          <w:rStyle w:val="FootnoteReference"/>
        </w:rPr>
        <w:t>12</w:t>
      </w:r>
      <w:r w:rsidRPr="00FF3018">
        <w:t xml:space="preserve"> Ibid para 7.</w:t>
      </w:r>
    </w:p>
  </w:footnote>
  <w:footnote w:id="13">
    <w:p w14:paraId="7DAE9ADC" w14:textId="0BDC5551" w:rsidR="00412059" w:rsidRPr="00FF3018" w:rsidRDefault="00412059" w:rsidP="00E02808">
      <w:pPr>
        <w:pStyle w:val="FootnoteText"/>
        <w:jc w:val="both"/>
      </w:pPr>
      <w:r w:rsidRPr="00231E10">
        <w:rPr>
          <w:rStyle w:val="FootnoteReference"/>
        </w:rPr>
        <w:t>13</w:t>
      </w:r>
      <w:r w:rsidRPr="00985B3E">
        <w:t xml:space="preserve"> </w:t>
      </w:r>
      <w:r w:rsidR="00F16989" w:rsidRPr="00A47F44">
        <w:rPr>
          <w:i/>
        </w:rPr>
        <w:t>Gernetzky v Gernetzky and Others</w:t>
      </w:r>
      <w:r w:rsidR="00F16989" w:rsidRPr="00A47F44">
        <w:t xml:space="preserve"> </w:t>
      </w:r>
      <w:r w:rsidR="00F16989" w:rsidRPr="00D95082">
        <w:t xml:space="preserve">[2007] ZAECHC 17 </w:t>
      </w:r>
      <w:r w:rsidR="00F16989" w:rsidRPr="00FF3018">
        <w:t>para 9.</w:t>
      </w:r>
    </w:p>
  </w:footnote>
  <w:footnote w:id="14">
    <w:p w14:paraId="06CA7DCB" w14:textId="45452761" w:rsidR="00E13597" w:rsidRPr="00FF3018" w:rsidRDefault="00E13597" w:rsidP="00E02808">
      <w:pPr>
        <w:pStyle w:val="FootnoteText"/>
        <w:jc w:val="both"/>
      </w:pPr>
      <w:r w:rsidRPr="00A47F44">
        <w:rPr>
          <w:rStyle w:val="FootnoteReference"/>
        </w:rPr>
        <w:t>14</w:t>
      </w:r>
      <w:r w:rsidRPr="00A47F44">
        <w:t xml:space="preserve"> </w:t>
      </w:r>
      <w:r w:rsidRPr="00D95082">
        <w:rPr>
          <w:i/>
        </w:rPr>
        <w:t>S.M v J.M and Another</w:t>
      </w:r>
      <w:r w:rsidRPr="00FF3018">
        <w:t xml:space="preserve"> [2023] ZAGPJHC 723 at para 39.</w:t>
      </w:r>
    </w:p>
  </w:footnote>
  <w:footnote w:id="15">
    <w:p w14:paraId="37FA4680" w14:textId="789CD26F" w:rsidR="00B852DB" w:rsidRPr="00E02808" w:rsidRDefault="00B852DB" w:rsidP="00E02808">
      <w:pPr>
        <w:pStyle w:val="FootnoteText"/>
        <w:jc w:val="both"/>
        <w:rPr>
          <w:lang w:val="en-US"/>
        </w:rPr>
      </w:pPr>
      <w:r w:rsidRPr="00FF3018">
        <w:rPr>
          <w:rStyle w:val="FootnoteReference"/>
        </w:rPr>
        <w:t>15</w:t>
      </w:r>
      <w:r w:rsidRPr="00FF3018">
        <w:t xml:space="preserve"> </w:t>
      </w:r>
      <w:r w:rsidRPr="00FF3018">
        <w:rPr>
          <w:i/>
        </w:rPr>
        <w:t>Ayres and Another v Minister of Justice and Correctional Services and Another</w:t>
      </w:r>
      <w:r w:rsidRPr="00FF3018">
        <w:t xml:space="preserve"> [2022] ZACC 12; 2022 (5) BCLR 523 (CC); 2022 (2) SACR 123 (CC) para 16.</w:t>
      </w:r>
    </w:p>
  </w:footnote>
  <w:footnote w:id="16">
    <w:p w14:paraId="12C07382" w14:textId="55934EAB" w:rsidR="00186664" w:rsidRPr="00FF3018" w:rsidRDefault="00186664" w:rsidP="00E02808">
      <w:pPr>
        <w:pStyle w:val="FootnoteText"/>
        <w:jc w:val="both"/>
      </w:pPr>
      <w:r w:rsidRPr="00D95082">
        <w:rPr>
          <w:rStyle w:val="FootnoteReference"/>
        </w:rPr>
        <w:t>16</w:t>
      </w:r>
      <w:r w:rsidRPr="00D95082">
        <w:t xml:space="preserve"> </w:t>
      </w:r>
      <w:r w:rsidR="001F67A8" w:rsidRPr="00FF3018">
        <w:rPr>
          <w:i/>
        </w:rPr>
        <w:t>City of Tshwane Metropolitan Municipality v Afriforum and Another</w:t>
      </w:r>
      <w:r w:rsidR="001F67A8" w:rsidRPr="00FF3018">
        <w:t xml:space="preserve"> [2016] ZACC 19; 2016 (9) BCLR 1133 (CC); 2016 (6) SA 279 (CC) para 40.</w:t>
      </w:r>
    </w:p>
  </w:footnote>
  <w:footnote w:id="17">
    <w:p w14:paraId="20D04623" w14:textId="77777777" w:rsidR="002C0355" w:rsidRPr="00FF3018" w:rsidRDefault="002C0355" w:rsidP="002C0355">
      <w:pPr>
        <w:pStyle w:val="FootnoteText"/>
        <w:jc w:val="both"/>
      </w:pPr>
      <w:r w:rsidRPr="002C7270">
        <w:rPr>
          <w:rStyle w:val="FootnoteReference"/>
        </w:rPr>
        <w:t>17</w:t>
      </w:r>
      <w:r w:rsidRPr="002C7270">
        <w:t xml:space="preserve"> </w:t>
      </w:r>
      <w:r w:rsidRPr="00231E10">
        <w:rPr>
          <w:i/>
        </w:rPr>
        <w:t xml:space="preserve">United Democratic Movement </w:t>
      </w:r>
      <w:r w:rsidRPr="00985B3E">
        <w:rPr>
          <w:i/>
        </w:rPr>
        <w:t>and Another v Lebash</w:t>
      </w:r>
      <w:r w:rsidRPr="00A47F44">
        <w:rPr>
          <w:i/>
        </w:rPr>
        <w:t>e Investment Group (Pty) Ltd and Others</w:t>
      </w:r>
      <w:r w:rsidRPr="00A47F44">
        <w:t xml:space="preserve"> [2022] ZACC 34; </w:t>
      </w:r>
      <w:r w:rsidRPr="00FF3018">
        <w:t>2022 (12) BCLR 1521 (CC); 2023 (1) SA 353 (CC) paras 43 &amp; 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10"/>
      <w:gridCol w:w="3009"/>
      <w:gridCol w:w="3007"/>
    </w:tblGrid>
    <w:tr w:rsidR="000814D2" w14:paraId="6E2C305F" w14:textId="77777777">
      <w:trPr>
        <w:trHeight w:val="720"/>
      </w:trPr>
      <w:tc>
        <w:tcPr>
          <w:tcW w:w="1667" w:type="pct"/>
        </w:tcPr>
        <w:p w14:paraId="737FD431" w14:textId="77777777" w:rsidR="000814D2" w:rsidRDefault="000814D2">
          <w:pPr>
            <w:pStyle w:val="Header"/>
            <w:rPr>
              <w:color w:val="5B9BD5" w:themeColor="accent1"/>
            </w:rPr>
          </w:pPr>
        </w:p>
      </w:tc>
      <w:tc>
        <w:tcPr>
          <w:tcW w:w="1667" w:type="pct"/>
        </w:tcPr>
        <w:p w14:paraId="09FC435B" w14:textId="77777777" w:rsidR="000814D2" w:rsidRDefault="000814D2">
          <w:pPr>
            <w:pStyle w:val="Header"/>
            <w:jc w:val="center"/>
            <w:rPr>
              <w:color w:val="5B9BD5" w:themeColor="accent1"/>
            </w:rPr>
          </w:pPr>
        </w:p>
      </w:tc>
      <w:tc>
        <w:tcPr>
          <w:tcW w:w="1666" w:type="pct"/>
        </w:tcPr>
        <w:p w14:paraId="2DB0AEBC" w14:textId="77777777" w:rsidR="000814D2" w:rsidRDefault="000814D2">
          <w:pPr>
            <w:pStyle w:val="Header"/>
            <w:jc w:val="right"/>
            <w:rPr>
              <w:color w:val="5B9BD5" w:themeColor="accent1"/>
            </w:rPr>
          </w:pPr>
          <w:r>
            <w:rPr>
              <w:color w:val="5B9BD5" w:themeColor="accent1"/>
            </w:rPr>
            <w:fldChar w:fldCharType="begin"/>
          </w:r>
          <w:r>
            <w:rPr>
              <w:color w:val="5B9BD5" w:themeColor="accent1"/>
            </w:rPr>
            <w:instrText xml:space="preserve"> PAGE   \* MERGEFORMAT </w:instrText>
          </w:r>
          <w:r>
            <w:rPr>
              <w:color w:val="5B9BD5" w:themeColor="accent1"/>
            </w:rPr>
            <w:fldChar w:fldCharType="separate"/>
          </w:r>
          <w:r>
            <w:rPr>
              <w:noProof/>
              <w:color w:val="5B9BD5" w:themeColor="accent1"/>
            </w:rPr>
            <w:t>2</w:t>
          </w:r>
          <w:r>
            <w:rPr>
              <w:color w:val="5B9BD5" w:themeColor="accent1"/>
            </w:rPr>
            <w:fldChar w:fldCharType="end"/>
          </w:r>
        </w:p>
      </w:tc>
    </w:tr>
  </w:tbl>
  <w:p w14:paraId="304890B1" w14:textId="77777777" w:rsidR="000814D2" w:rsidRDefault="000814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10"/>
      <w:gridCol w:w="3009"/>
      <w:gridCol w:w="3007"/>
    </w:tblGrid>
    <w:tr w:rsidR="000814D2" w:rsidRPr="000814D2" w14:paraId="0C1756C9" w14:textId="77777777">
      <w:trPr>
        <w:trHeight w:val="720"/>
      </w:trPr>
      <w:tc>
        <w:tcPr>
          <w:tcW w:w="1667" w:type="pct"/>
        </w:tcPr>
        <w:p w14:paraId="3B147052" w14:textId="77777777" w:rsidR="000814D2" w:rsidRPr="000814D2" w:rsidRDefault="000814D2">
          <w:pPr>
            <w:pStyle w:val="Header"/>
          </w:pPr>
        </w:p>
      </w:tc>
      <w:tc>
        <w:tcPr>
          <w:tcW w:w="1667" w:type="pct"/>
        </w:tcPr>
        <w:p w14:paraId="1A25D13C" w14:textId="77777777" w:rsidR="000814D2" w:rsidRPr="000814D2" w:rsidRDefault="000814D2">
          <w:pPr>
            <w:pStyle w:val="Header"/>
            <w:jc w:val="center"/>
          </w:pPr>
        </w:p>
      </w:tc>
      <w:tc>
        <w:tcPr>
          <w:tcW w:w="1666" w:type="pct"/>
        </w:tcPr>
        <w:p w14:paraId="37D89D4D" w14:textId="4196C2C5" w:rsidR="000814D2" w:rsidRPr="000814D2" w:rsidRDefault="000814D2">
          <w:pPr>
            <w:pStyle w:val="Header"/>
            <w:jc w:val="right"/>
          </w:pPr>
          <w:r w:rsidRPr="000814D2">
            <w:fldChar w:fldCharType="begin"/>
          </w:r>
          <w:r w:rsidRPr="000814D2">
            <w:instrText xml:space="preserve"> PAGE   \* MERGEFORMAT </w:instrText>
          </w:r>
          <w:r w:rsidRPr="000814D2">
            <w:fldChar w:fldCharType="separate"/>
          </w:r>
          <w:r w:rsidR="0010253D">
            <w:rPr>
              <w:noProof/>
            </w:rPr>
            <w:t>18</w:t>
          </w:r>
          <w:r w:rsidRPr="000814D2">
            <w:fldChar w:fldCharType="end"/>
          </w:r>
        </w:p>
      </w:tc>
    </w:tr>
  </w:tbl>
  <w:p w14:paraId="76691F41" w14:textId="77777777" w:rsidR="000814D2" w:rsidRDefault="000814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5A3"/>
    <w:multiLevelType w:val="multilevel"/>
    <w:tmpl w:val="B636AF7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C874E3-F25C-4609-8F73-3D55E77E2E93}"/>
    <w:docVar w:name="dgnword-eventsink" w:val="2184796521920"/>
    <w:docVar w:name="dgnword-lastRevisionsView" w:val="0"/>
  </w:docVars>
  <w:rsids>
    <w:rsidRoot w:val="00644C3F"/>
    <w:rsid w:val="00004F43"/>
    <w:rsid w:val="00006FF2"/>
    <w:rsid w:val="0000738A"/>
    <w:rsid w:val="000103DE"/>
    <w:rsid w:val="00015354"/>
    <w:rsid w:val="000162AA"/>
    <w:rsid w:val="000170D1"/>
    <w:rsid w:val="00023351"/>
    <w:rsid w:val="00033A3C"/>
    <w:rsid w:val="00043EA6"/>
    <w:rsid w:val="00066203"/>
    <w:rsid w:val="00071EC0"/>
    <w:rsid w:val="00074D57"/>
    <w:rsid w:val="0007749D"/>
    <w:rsid w:val="000814D2"/>
    <w:rsid w:val="00092B02"/>
    <w:rsid w:val="000952F9"/>
    <w:rsid w:val="000A4D89"/>
    <w:rsid w:val="000A78C1"/>
    <w:rsid w:val="000C3DB4"/>
    <w:rsid w:val="000C44A0"/>
    <w:rsid w:val="000D2522"/>
    <w:rsid w:val="000E4C2F"/>
    <w:rsid w:val="000F08FB"/>
    <w:rsid w:val="000F2463"/>
    <w:rsid w:val="0010253D"/>
    <w:rsid w:val="001128E1"/>
    <w:rsid w:val="00121B3E"/>
    <w:rsid w:val="00134A4A"/>
    <w:rsid w:val="001365B4"/>
    <w:rsid w:val="001377BD"/>
    <w:rsid w:val="001531D2"/>
    <w:rsid w:val="001626A3"/>
    <w:rsid w:val="00163E30"/>
    <w:rsid w:val="00163ED4"/>
    <w:rsid w:val="00165642"/>
    <w:rsid w:val="00172CE8"/>
    <w:rsid w:val="0017322F"/>
    <w:rsid w:val="00174B0D"/>
    <w:rsid w:val="001764FD"/>
    <w:rsid w:val="00186664"/>
    <w:rsid w:val="00187C11"/>
    <w:rsid w:val="001950B4"/>
    <w:rsid w:val="001A24E7"/>
    <w:rsid w:val="001B52CA"/>
    <w:rsid w:val="001B5C09"/>
    <w:rsid w:val="001B5F8A"/>
    <w:rsid w:val="001C596F"/>
    <w:rsid w:val="001D0EE9"/>
    <w:rsid w:val="001F41AE"/>
    <w:rsid w:val="001F67A8"/>
    <w:rsid w:val="00201A89"/>
    <w:rsid w:val="002127EF"/>
    <w:rsid w:val="00214847"/>
    <w:rsid w:val="002223B0"/>
    <w:rsid w:val="002229B0"/>
    <w:rsid w:val="00223260"/>
    <w:rsid w:val="0022461F"/>
    <w:rsid w:val="00231E10"/>
    <w:rsid w:val="002344F5"/>
    <w:rsid w:val="00234F63"/>
    <w:rsid w:val="00237BCC"/>
    <w:rsid w:val="0024484D"/>
    <w:rsid w:val="0025153F"/>
    <w:rsid w:val="00256532"/>
    <w:rsid w:val="00260635"/>
    <w:rsid w:val="00262220"/>
    <w:rsid w:val="00265693"/>
    <w:rsid w:val="00284DF5"/>
    <w:rsid w:val="002A09EB"/>
    <w:rsid w:val="002B7560"/>
    <w:rsid w:val="002C0355"/>
    <w:rsid w:val="002C6AA1"/>
    <w:rsid w:val="002C7270"/>
    <w:rsid w:val="002E497C"/>
    <w:rsid w:val="00306FEC"/>
    <w:rsid w:val="00310BC1"/>
    <w:rsid w:val="003240AE"/>
    <w:rsid w:val="003343F8"/>
    <w:rsid w:val="0033509B"/>
    <w:rsid w:val="00340624"/>
    <w:rsid w:val="00340A20"/>
    <w:rsid w:val="00351483"/>
    <w:rsid w:val="00351D98"/>
    <w:rsid w:val="00353E50"/>
    <w:rsid w:val="00354A12"/>
    <w:rsid w:val="003609BF"/>
    <w:rsid w:val="00366C74"/>
    <w:rsid w:val="003814A2"/>
    <w:rsid w:val="00382023"/>
    <w:rsid w:val="00395748"/>
    <w:rsid w:val="00396A83"/>
    <w:rsid w:val="003A0130"/>
    <w:rsid w:val="003A10BE"/>
    <w:rsid w:val="003A6154"/>
    <w:rsid w:val="003B09D4"/>
    <w:rsid w:val="003C052B"/>
    <w:rsid w:val="003C151B"/>
    <w:rsid w:val="003C3323"/>
    <w:rsid w:val="003F10B9"/>
    <w:rsid w:val="003F4B82"/>
    <w:rsid w:val="00404F0A"/>
    <w:rsid w:val="00412059"/>
    <w:rsid w:val="00413355"/>
    <w:rsid w:val="0041448C"/>
    <w:rsid w:val="00414BC8"/>
    <w:rsid w:val="00420ADB"/>
    <w:rsid w:val="00433864"/>
    <w:rsid w:val="00457D7D"/>
    <w:rsid w:val="004656AE"/>
    <w:rsid w:val="00467059"/>
    <w:rsid w:val="00471A71"/>
    <w:rsid w:val="00476F65"/>
    <w:rsid w:val="0049676A"/>
    <w:rsid w:val="004A1967"/>
    <w:rsid w:val="004A5023"/>
    <w:rsid w:val="004B52E0"/>
    <w:rsid w:val="004C1034"/>
    <w:rsid w:val="004C46A8"/>
    <w:rsid w:val="004C5356"/>
    <w:rsid w:val="004C5BE3"/>
    <w:rsid w:val="004C63CD"/>
    <w:rsid w:val="004C778F"/>
    <w:rsid w:val="004D243B"/>
    <w:rsid w:val="004D4694"/>
    <w:rsid w:val="004D7E26"/>
    <w:rsid w:val="004E105D"/>
    <w:rsid w:val="004E746E"/>
    <w:rsid w:val="00503B88"/>
    <w:rsid w:val="00505297"/>
    <w:rsid w:val="00511238"/>
    <w:rsid w:val="00513BE3"/>
    <w:rsid w:val="00524FC7"/>
    <w:rsid w:val="0052557E"/>
    <w:rsid w:val="005264AB"/>
    <w:rsid w:val="00527D59"/>
    <w:rsid w:val="005326FE"/>
    <w:rsid w:val="005327AE"/>
    <w:rsid w:val="00561B4E"/>
    <w:rsid w:val="005848D6"/>
    <w:rsid w:val="005A39DF"/>
    <w:rsid w:val="005A49DE"/>
    <w:rsid w:val="005B2626"/>
    <w:rsid w:val="005D1799"/>
    <w:rsid w:val="005E283A"/>
    <w:rsid w:val="005F3353"/>
    <w:rsid w:val="005F6989"/>
    <w:rsid w:val="00615057"/>
    <w:rsid w:val="00623167"/>
    <w:rsid w:val="00641EF1"/>
    <w:rsid w:val="00644C3F"/>
    <w:rsid w:val="006559EA"/>
    <w:rsid w:val="00655E0F"/>
    <w:rsid w:val="00677A58"/>
    <w:rsid w:val="00682B65"/>
    <w:rsid w:val="00683AC3"/>
    <w:rsid w:val="00683FD4"/>
    <w:rsid w:val="006B0F6E"/>
    <w:rsid w:val="006C172A"/>
    <w:rsid w:val="006C2191"/>
    <w:rsid w:val="006C3E7D"/>
    <w:rsid w:val="006D40B2"/>
    <w:rsid w:val="006D71D7"/>
    <w:rsid w:val="006E1DCA"/>
    <w:rsid w:val="00706522"/>
    <w:rsid w:val="00716EB1"/>
    <w:rsid w:val="00726E46"/>
    <w:rsid w:val="007325E6"/>
    <w:rsid w:val="00733966"/>
    <w:rsid w:val="00743AFD"/>
    <w:rsid w:val="00747BF8"/>
    <w:rsid w:val="007514F9"/>
    <w:rsid w:val="0076025C"/>
    <w:rsid w:val="00764F9F"/>
    <w:rsid w:val="0076691A"/>
    <w:rsid w:val="00773B74"/>
    <w:rsid w:val="0077545B"/>
    <w:rsid w:val="00776528"/>
    <w:rsid w:val="007803CB"/>
    <w:rsid w:val="00790483"/>
    <w:rsid w:val="00791A13"/>
    <w:rsid w:val="007923E5"/>
    <w:rsid w:val="00792896"/>
    <w:rsid w:val="00792E4F"/>
    <w:rsid w:val="007A125D"/>
    <w:rsid w:val="007A3D31"/>
    <w:rsid w:val="007A403E"/>
    <w:rsid w:val="007A444A"/>
    <w:rsid w:val="007B3515"/>
    <w:rsid w:val="007C7252"/>
    <w:rsid w:val="007C7AC0"/>
    <w:rsid w:val="007E43CA"/>
    <w:rsid w:val="007F14CB"/>
    <w:rsid w:val="00803CB0"/>
    <w:rsid w:val="0081039A"/>
    <w:rsid w:val="00817329"/>
    <w:rsid w:val="00817391"/>
    <w:rsid w:val="00824B35"/>
    <w:rsid w:val="008368EE"/>
    <w:rsid w:val="00847896"/>
    <w:rsid w:val="0085324A"/>
    <w:rsid w:val="00853DEA"/>
    <w:rsid w:val="00860E96"/>
    <w:rsid w:val="00865F6C"/>
    <w:rsid w:val="00867A90"/>
    <w:rsid w:val="00870C1B"/>
    <w:rsid w:val="00873333"/>
    <w:rsid w:val="00876215"/>
    <w:rsid w:val="008826DD"/>
    <w:rsid w:val="00885C2E"/>
    <w:rsid w:val="00886846"/>
    <w:rsid w:val="008906C7"/>
    <w:rsid w:val="00890BBA"/>
    <w:rsid w:val="008C1096"/>
    <w:rsid w:val="008C5292"/>
    <w:rsid w:val="008D27AB"/>
    <w:rsid w:val="008E1805"/>
    <w:rsid w:val="008E7D3E"/>
    <w:rsid w:val="008F144F"/>
    <w:rsid w:val="00912E59"/>
    <w:rsid w:val="00915533"/>
    <w:rsid w:val="00935443"/>
    <w:rsid w:val="00943A54"/>
    <w:rsid w:val="00951780"/>
    <w:rsid w:val="009612FE"/>
    <w:rsid w:val="00971221"/>
    <w:rsid w:val="00985B3E"/>
    <w:rsid w:val="0099014F"/>
    <w:rsid w:val="009A1946"/>
    <w:rsid w:val="009A255E"/>
    <w:rsid w:val="009A4A90"/>
    <w:rsid w:val="009B2792"/>
    <w:rsid w:val="009B6DB2"/>
    <w:rsid w:val="009C2964"/>
    <w:rsid w:val="009C3DBF"/>
    <w:rsid w:val="009D07B3"/>
    <w:rsid w:val="00A0218C"/>
    <w:rsid w:val="00A14E40"/>
    <w:rsid w:val="00A2014B"/>
    <w:rsid w:val="00A22C82"/>
    <w:rsid w:val="00A23A55"/>
    <w:rsid w:val="00A26BFE"/>
    <w:rsid w:val="00A30044"/>
    <w:rsid w:val="00A42C54"/>
    <w:rsid w:val="00A47F44"/>
    <w:rsid w:val="00A62F2C"/>
    <w:rsid w:val="00A66957"/>
    <w:rsid w:val="00A86746"/>
    <w:rsid w:val="00A86DE6"/>
    <w:rsid w:val="00A959E0"/>
    <w:rsid w:val="00AA5C6B"/>
    <w:rsid w:val="00AB0326"/>
    <w:rsid w:val="00AC37A2"/>
    <w:rsid w:val="00AF4273"/>
    <w:rsid w:val="00B03818"/>
    <w:rsid w:val="00B03D20"/>
    <w:rsid w:val="00B046FB"/>
    <w:rsid w:val="00B149ED"/>
    <w:rsid w:val="00B27598"/>
    <w:rsid w:val="00B367BD"/>
    <w:rsid w:val="00B47C51"/>
    <w:rsid w:val="00B57065"/>
    <w:rsid w:val="00B60CB9"/>
    <w:rsid w:val="00B705EA"/>
    <w:rsid w:val="00B82AC8"/>
    <w:rsid w:val="00B852DB"/>
    <w:rsid w:val="00B87315"/>
    <w:rsid w:val="00B93EBB"/>
    <w:rsid w:val="00B97390"/>
    <w:rsid w:val="00BA19FB"/>
    <w:rsid w:val="00BB500F"/>
    <w:rsid w:val="00BB5915"/>
    <w:rsid w:val="00BB6456"/>
    <w:rsid w:val="00BD4450"/>
    <w:rsid w:val="00BD4E6C"/>
    <w:rsid w:val="00BD706A"/>
    <w:rsid w:val="00BE1D47"/>
    <w:rsid w:val="00BF2E70"/>
    <w:rsid w:val="00BF62E9"/>
    <w:rsid w:val="00C032CC"/>
    <w:rsid w:val="00C17A3A"/>
    <w:rsid w:val="00C32DBA"/>
    <w:rsid w:val="00C35A61"/>
    <w:rsid w:val="00C37321"/>
    <w:rsid w:val="00C45C70"/>
    <w:rsid w:val="00C54E91"/>
    <w:rsid w:val="00C666CC"/>
    <w:rsid w:val="00C70B62"/>
    <w:rsid w:val="00C81D41"/>
    <w:rsid w:val="00C85196"/>
    <w:rsid w:val="00C859FD"/>
    <w:rsid w:val="00CB4FDF"/>
    <w:rsid w:val="00CC3A0A"/>
    <w:rsid w:val="00CC443D"/>
    <w:rsid w:val="00CD622E"/>
    <w:rsid w:val="00CE0F8B"/>
    <w:rsid w:val="00CE2727"/>
    <w:rsid w:val="00CE387E"/>
    <w:rsid w:val="00CE579A"/>
    <w:rsid w:val="00CF0D86"/>
    <w:rsid w:val="00CF3D83"/>
    <w:rsid w:val="00CF4245"/>
    <w:rsid w:val="00CF52E2"/>
    <w:rsid w:val="00D00643"/>
    <w:rsid w:val="00D05570"/>
    <w:rsid w:val="00D13205"/>
    <w:rsid w:val="00D138A6"/>
    <w:rsid w:val="00D301E2"/>
    <w:rsid w:val="00D355BA"/>
    <w:rsid w:val="00D3596A"/>
    <w:rsid w:val="00D500D4"/>
    <w:rsid w:val="00D56ECC"/>
    <w:rsid w:val="00D64CE2"/>
    <w:rsid w:val="00D74511"/>
    <w:rsid w:val="00D754D9"/>
    <w:rsid w:val="00D800FF"/>
    <w:rsid w:val="00D87184"/>
    <w:rsid w:val="00D95082"/>
    <w:rsid w:val="00DA10EE"/>
    <w:rsid w:val="00DA2AB0"/>
    <w:rsid w:val="00DB176A"/>
    <w:rsid w:val="00DB3A2D"/>
    <w:rsid w:val="00DB4012"/>
    <w:rsid w:val="00DB486A"/>
    <w:rsid w:val="00DC1461"/>
    <w:rsid w:val="00DC3215"/>
    <w:rsid w:val="00DC630B"/>
    <w:rsid w:val="00DE4168"/>
    <w:rsid w:val="00DE471F"/>
    <w:rsid w:val="00E02808"/>
    <w:rsid w:val="00E11920"/>
    <w:rsid w:val="00E13597"/>
    <w:rsid w:val="00E2098B"/>
    <w:rsid w:val="00E265C8"/>
    <w:rsid w:val="00E410B6"/>
    <w:rsid w:val="00E4547D"/>
    <w:rsid w:val="00E51B64"/>
    <w:rsid w:val="00E576E4"/>
    <w:rsid w:val="00E614A8"/>
    <w:rsid w:val="00E66E89"/>
    <w:rsid w:val="00E74A2C"/>
    <w:rsid w:val="00E757EF"/>
    <w:rsid w:val="00E81D4F"/>
    <w:rsid w:val="00E85B44"/>
    <w:rsid w:val="00E91704"/>
    <w:rsid w:val="00E930B9"/>
    <w:rsid w:val="00E96880"/>
    <w:rsid w:val="00ED1E1C"/>
    <w:rsid w:val="00ED7A03"/>
    <w:rsid w:val="00EE7892"/>
    <w:rsid w:val="00EE7BF0"/>
    <w:rsid w:val="00EF4953"/>
    <w:rsid w:val="00F1595E"/>
    <w:rsid w:val="00F16989"/>
    <w:rsid w:val="00F16CA9"/>
    <w:rsid w:val="00F225A1"/>
    <w:rsid w:val="00F24B92"/>
    <w:rsid w:val="00F33E3B"/>
    <w:rsid w:val="00F34EA3"/>
    <w:rsid w:val="00F44C9E"/>
    <w:rsid w:val="00F47165"/>
    <w:rsid w:val="00F570EA"/>
    <w:rsid w:val="00F57A52"/>
    <w:rsid w:val="00F60FAD"/>
    <w:rsid w:val="00F7095A"/>
    <w:rsid w:val="00F72367"/>
    <w:rsid w:val="00F90114"/>
    <w:rsid w:val="00FA4DEC"/>
    <w:rsid w:val="00FC0C94"/>
    <w:rsid w:val="00FC649E"/>
    <w:rsid w:val="00FD223B"/>
    <w:rsid w:val="00FE1F3A"/>
    <w:rsid w:val="00FE6F3E"/>
    <w:rsid w:val="00FE72CE"/>
    <w:rsid w:val="00FF041E"/>
    <w:rsid w:val="00FF3018"/>
    <w:rsid w:val="00FF32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B753"/>
  <w15:chartTrackingRefBased/>
  <w15:docId w15:val="{D3A19663-72CB-4F2C-BD07-FD9382EE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4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FC0C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4C3F"/>
    <w:rPr>
      <w:sz w:val="20"/>
      <w:szCs w:val="20"/>
    </w:rPr>
  </w:style>
  <w:style w:type="character" w:customStyle="1" w:styleId="FootnoteTextChar">
    <w:name w:val="Footnote Text Char"/>
    <w:basedOn w:val="DefaultParagraphFont"/>
    <w:link w:val="FootnoteText"/>
    <w:uiPriority w:val="99"/>
    <w:semiHidden/>
    <w:rsid w:val="00644C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44C3F"/>
    <w:rPr>
      <w:vertAlign w:val="superscript"/>
    </w:rPr>
  </w:style>
  <w:style w:type="paragraph" w:styleId="Header">
    <w:name w:val="header"/>
    <w:basedOn w:val="Normal"/>
    <w:link w:val="HeaderChar"/>
    <w:uiPriority w:val="99"/>
    <w:unhideWhenUsed/>
    <w:rsid w:val="000814D2"/>
    <w:pPr>
      <w:tabs>
        <w:tab w:val="center" w:pos="4513"/>
        <w:tab w:val="right" w:pos="9026"/>
      </w:tabs>
    </w:pPr>
  </w:style>
  <w:style w:type="character" w:customStyle="1" w:styleId="HeaderChar">
    <w:name w:val="Header Char"/>
    <w:basedOn w:val="DefaultParagraphFont"/>
    <w:link w:val="Header"/>
    <w:uiPriority w:val="99"/>
    <w:rsid w:val="000814D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814D2"/>
    <w:pPr>
      <w:tabs>
        <w:tab w:val="center" w:pos="4513"/>
        <w:tab w:val="right" w:pos="9026"/>
      </w:tabs>
    </w:pPr>
  </w:style>
  <w:style w:type="character" w:customStyle="1" w:styleId="FooterChar">
    <w:name w:val="Footer Char"/>
    <w:basedOn w:val="DefaultParagraphFont"/>
    <w:link w:val="Footer"/>
    <w:uiPriority w:val="99"/>
    <w:rsid w:val="000814D2"/>
    <w:rPr>
      <w:rFonts w:ascii="Times New Roman" w:eastAsia="Times New Roman" w:hAnsi="Times New Roman" w:cs="Times New Roman"/>
      <w:sz w:val="24"/>
      <w:szCs w:val="24"/>
      <w:lang w:eastAsia="en-GB"/>
    </w:rPr>
  </w:style>
  <w:style w:type="paragraph" w:styleId="Revision">
    <w:name w:val="Revision"/>
    <w:hidden/>
    <w:uiPriority w:val="99"/>
    <w:semiHidden/>
    <w:rsid w:val="006559EA"/>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301E2"/>
    <w:rPr>
      <w:sz w:val="16"/>
      <w:szCs w:val="16"/>
    </w:rPr>
  </w:style>
  <w:style w:type="paragraph" w:styleId="CommentText">
    <w:name w:val="annotation text"/>
    <w:basedOn w:val="Normal"/>
    <w:link w:val="CommentTextChar"/>
    <w:uiPriority w:val="99"/>
    <w:unhideWhenUsed/>
    <w:rsid w:val="00D301E2"/>
    <w:rPr>
      <w:sz w:val="20"/>
      <w:szCs w:val="20"/>
    </w:rPr>
  </w:style>
  <w:style w:type="character" w:customStyle="1" w:styleId="CommentTextChar">
    <w:name w:val="Comment Text Char"/>
    <w:basedOn w:val="DefaultParagraphFont"/>
    <w:link w:val="CommentText"/>
    <w:uiPriority w:val="99"/>
    <w:rsid w:val="00D301E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01E2"/>
    <w:rPr>
      <w:b/>
      <w:bCs/>
    </w:rPr>
  </w:style>
  <w:style w:type="character" w:customStyle="1" w:styleId="CommentSubjectChar">
    <w:name w:val="Comment Subject Char"/>
    <w:basedOn w:val="CommentTextChar"/>
    <w:link w:val="CommentSubject"/>
    <w:uiPriority w:val="99"/>
    <w:semiHidden/>
    <w:rsid w:val="00D301E2"/>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C85196"/>
    <w:pPr>
      <w:spacing w:after="160" w:line="256"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PlaceholderText">
    <w:name w:val="Placeholder Text"/>
    <w:basedOn w:val="DefaultParagraphFont"/>
    <w:uiPriority w:val="99"/>
    <w:semiHidden/>
    <w:rsid w:val="00FE1F3A"/>
    <w:rPr>
      <w:color w:val="666666"/>
    </w:rPr>
  </w:style>
  <w:style w:type="character" w:customStyle="1" w:styleId="mc">
    <w:name w:val="mc"/>
    <w:basedOn w:val="DefaultParagraphFont"/>
    <w:rsid w:val="004C5BE3"/>
  </w:style>
  <w:style w:type="character" w:customStyle="1" w:styleId="g1">
    <w:name w:val="g1"/>
    <w:basedOn w:val="DefaultParagraphFont"/>
    <w:rsid w:val="004C5BE3"/>
  </w:style>
  <w:style w:type="character" w:styleId="Hyperlink">
    <w:name w:val="Hyperlink"/>
    <w:basedOn w:val="DefaultParagraphFont"/>
    <w:uiPriority w:val="99"/>
    <w:semiHidden/>
    <w:unhideWhenUsed/>
    <w:rsid w:val="004C5BE3"/>
    <w:rPr>
      <w:color w:val="0000FF"/>
      <w:u w:val="single"/>
    </w:rPr>
  </w:style>
  <w:style w:type="paragraph" w:styleId="BalloonText">
    <w:name w:val="Balloon Text"/>
    <w:basedOn w:val="Normal"/>
    <w:link w:val="BalloonTextChar"/>
    <w:uiPriority w:val="99"/>
    <w:semiHidden/>
    <w:unhideWhenUsed/>
    <w:rsid w:val="00B60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B9"/>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semiHidden/>
    <w:rsid w:val="00FC0C94"/>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3830">
      <w:bodyDiv w:val="1"/>
      <w:marLeft w:val="0"/>
      <w:marRight w:val="0"/>
      <w:marTop w:val="0"/>
      <w:marBottom w:val="0"/>
      <w:divBdr>
        <w:top w:val="none" w:sz="0" w:space="0" w:color="auto"/>
        <w:left w:val="none" w:sz="0" w:space="0" w:color="auto"/>
        <w:bottom w:val="none" w:sz="0" w:space="0" w:color="auto"/>
        <w:right w:val="none" w:sz="0" w:space="0" w:color="auto"/>
      </w:divBdr>
    </w:div>
    <w:div w:id="55134623">
      <w:bodyDiv w:val="1"/>
      <w:marLeft w:val="0"/>
      <w:marRight w:val="0"/>
      <w:marTop w:val="0"/>
      <w:marBottom w:val="0"/>
      <w:divBdr>
        <w:top w:val="none" w:sz="0" w:space="0" w:color="auto"/>
        <w:left w:val="none" w:sz="0" w:space="0" w:color="auto"/>
        <w:bottom w:val="none" w:sz="0" w:space="0" w:color="auto"/>
        <w:right w:val="none" w:sz="0" w:space="0" w:color="auto"/>
      </w:divBdr>
    </w:div>
    <w:div w:id="215508515">
      <w:bodyDiv w:val="1"/>
      <w:marLeft w:val="0"/>
      <w:marRight w:val="0"/>
      <w:marTop w:val="0"/>
      <w:marBottom w:val="0"/>
      <w:divBdr>
        <w:top w:val="none" w:sz="0" w:space="0" w:color="auto"/>
        <w:left w:val="none" w:sz="0" w:space="0" w:color="auto"/>
        <w:bottom w:val="none" w:sz="0" w:space="0" w:color="auto"/>
        <w:right w:val="none" w:sz="0" w:space="0" w:color="auto"/>
      </w:divBdr>
    </w:div>
    <w:div w:id="252978014">
      <w:bodyDiv w:val="1"/>
      <w:marLeft w:val="0"/>
      <w:marRight w:val="0"/>
      <w:marTop w:val="0"/>
      <w:marBottom w:val="0"/>
      <w:divBdr>
        <w:top w:val="none" w:sz="0" w:space="0" w:color="auto"/>
        <w:left w:val="none" w:sz="0" w:space="0" w:color="auto"/>
        <w:bottom w:val="none" w:sz="0" w:space="0" w:color="auto"/>
        <w:right w:val="none" w:sz="0" w:space="0" w:color="auto"/>
      </w:divBdr>
    </w:div>
    <w:div w:id="356779771">
      <w:bodyDiv w:val="1"/>
      <w:marLeft w:val="0"/>
      <w:marRight w:val="0"/>
      <w:marTop w:val="0"/>
      <w:marBottom w:val="0"/>
      <w:divBdr>
        <w:top w:val="none" w:sz="0" w:space="0" w:color="auto"/>
        <w:left w:val="none" w:sz="0" w:space="0" w:color="auto"/>
        <w:bottom w:val="none" w:sz="0" w:space="0" w:color="auto"/>
        <w:right w:val="none" w:sz="0" w:space="0" w:color="auto"/>
      </w:divBdr>
    </w:div>
    <w:div w:id="553737901">
      <w:bodyDiv w:val="1"/>
      <w:marLeft w:val="0"/>
      <w:marRight w:val="0"/>
      <w:marTop w:val="0"/>
      <w:marBottom w:val="0"/>
      <w:divBdr>
        <w:top w:val="none" w:sz="0" w:space="0" w:color="auto"/>
        <w:left w:val="none" w:sz="0" w:space="0" w:color="auto"/>
        <w:bottom w:val="none" w:sz="0" w:space="0" w:color="auto"/>
        <w:right w:val="none" w:sz="0" w:space="0" w:color="auto"/>
      </w:divBdr>
    </w:div>
    <w:div w:id="695739482">
      <w:bodyDiv w:val="1"/>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120"/>
          <w:marBottom w:val="0"/>
          <w:divBdr>
            <w:top w:val="none" w:sz="0" w:space="0" w:color="auto"/>
            <w:left w:val="none" w:sz="0" w:space="0" w:color="auto"/>
            <w:bottom w:val="none" w:sz="0" w:space="0" w:color="auto"/>
            <w:right w:val="none" w:sz="0" w:space="0" w:color="auto"/>
          </w:divBdr>
        </w:div>
        <w:div w:id="1685788001">
          <w:marLeft w:val="567"/>
          <w:marRight w:val="0"/>
          <w:marTop w:val="60"/>
          <w:marBottom w:val="0"/>
          <w:divBdr>
            <w:top w:val="none" w:sz="0" w:space="0" w:color="auto"/>
            <w:left w:val="none" w:sz="0" w:space="0" w:color="auto"/>
            <w:bottom w:val="none" w:sz="0" w:space="0" w:color="auto"/>
            <w:right w:val="none" w:sz="0" w:space="0" w:color="auto"/>
          </w:divBdr>
        </w:div>
      </w:divsChild>
    </w:div>
    <w:div w:id="1024939418">
      <w:bodyDiv w:val="1"/>
      <w:marLeft w:val="0"/>
      <w:marRight w:val="0"/>
      <w:marTop w:val="0"/>
      <w:marBottom w:val="0"/>
      <w:divBdr>
        <w:top w:val="none" w:sz="0" w:space="0" w:color="auto"/>
        <w:left w:val="none" w:sz="0" w:space="0" w:color="auto"/>
        <w:bottom w:val="none" w:sz="0" w:space="0" w:color="auto"/>
        <w:right w:val="none" w:sz="0" w:space="0" w:color="auto"/>
      </w:divBdr>
    </w:div>
    <w:div w:id="1253929942">
      <w:bodyDiv w:val="1"/>
      <w:marLeft w:val="0"/>
      <w:marRight w:val="0"/>
      <w:marTop w:val="0"/>
      <w:marBottom w:val="0"/>
      <w:divBdr>
        <w:top w:val="none" w:sz="0" w:space="0" w:color="auto"/>
        <w:left w:val="none" w:sz="0" w:space="0" w:color="auto"/>
        <w:bottom w:val="none" w:sz="0" w:space="0" w:color="auto"/>
        <w:right w:val="none" w:sz="0" w:space="0" w:color="auto"/>
      </w:divBdr>
    </w:div>
    <w:div w:id="1263106228">
      <w:bodyDiv w:val="1"/>
      <w:marLeft w:val="0"/>
      <w:marRight w:val="0"/>
      <w:marTop w:val="0"/>
      <w:marBottom w:val="0"/>
      <w:divBdr>
        <w:top w:val="none" w:sz="0" w:space="0" w:color="auto"/>
        <w:left w:val="none" w:sz="0" w:space="0" w:color="auto"/>
        <w:bottom w:val="none" w:sz="0" w:space="0" w:color="auto"/>
        <w:right w:val="none" w:sz="0" w:space="0" w:color="auto"/>
      </w:divBdr>
    </w:div>
    <w:div w:id="1284118768">
      <w:bodyDiv w:val="1"/>
      <w:marLeft w:val="0"/>
      <w:marRight w:val="0"/>
      <w:marTop w:val="0"/>
      <w:marBottom w:val="0"/>
      <w:divBdr>
        <w:top w:val="none" w:sz="0" w:space="0" w:color="auto"/>
        <w:left w:val="none" w:sz="0" w:space="0" w:color="auto"/>
        <w:bottom w:val="none" w:sz="0" w:space="0" w:color="auto"/>
        <w:right w:val="none" w:sz="0" w:space="0" w:color="auto"/>
      </w:divBdr>
      <w:divsChild>
        <w:div w:id="86848712">
          <w:marLeft w:val="0"/>
          <w:marRight w:val="0"/>
          <w:marTop w:val="120"/>
          <w:marBottom w:val="0"/>
          <w:divBdr>
            <w:top w:val="none" w:sz="0" w:space="0" w:color="auto"/>
            <w:left w:val="none" w:sz="0" w:space="0" w:color="auto"/>
            <w:bottom w:val="none" w:sz="0" w:space="0" w:color="auto"/>
            <w:right w:val="none" w:sz="0" w:space="0" w:color="auto"/>
          </w:divBdr>
        </w:div>
        <w:div w:id="1913152752">
          <w:marLeft w:val="0"/>
          <w:marRight w:val="0"/>
          <w:marTop w:val="240"/>
          <w:marBottom w:val="24"/>
          <w:divBdr>
            <w:top w:val="single" w:sz="8" w:space="2" w:color="808080"/>
            <w:left w:val="none" w:sz="0" w:space="0" w:color="auto"/>
            <w:bottom w:val="none" w:sz="0" w:space="0" w:color="auto"/>
            <w:right w:val="none" w:sz="0" w:space="0" w:color="auto"/>
          </w:divBdr>
        </w:div>
        <w:div w:id="1770156085">
          <w:marLeft w:val="0"/>
          <w:marRight w:val="0"/>
          <w:marTop w:val="120"/>
          <w:marBottom w:val="0"/>
          <w:divBdr>
            <w:top w:val="none" w:sz="0" w:space="0" w:color="auto"/>
            <w:left w:val="none" w:sz="0" w:space="0" w:color="auto"/>
            <w:bottom w:val="none" w:sz="0" w:space="0" w:color="auto"/>
            <w:right w:val="none" w:sz="0" w:space="0" w:color="auto"/>
          </w:divBdr>
        </w:div>
        <w:div w:id="1541623390">
          <w:marLeft w:val="0"/>
          <w:marRight w:val="0"/>
          <w:marTop w:val="120"/>
          <w:marBottom w:val="0"/>
          <w:divBdr>
            <w:top w:val="none" w:sz="0" w:space="0" w:color="auto"/>
            <w:left w:val="none" w:sz="0" w:space="0" w:color="auto"/>
            <w:bottom w:val="none" w:sz="0" w:space="0" w:color="auto"/>
            <w:right w:val="none" w:sz="0" w:space="0" w:color="auto"/>
          </w:divBdr>
        </w:div>
        <w:div w:id="447699115">
          <w:marLeft w:val="0"/>
          <w:marRight w:val="0"/>
          <w:marTop w:val="120"/>
          <w:marBottom w:val="0"/>
          <w:divBdr>
            <w:top w:val="none" w:sz="0" w:space="0" w:color="auto"/>
            <w:left w:val="none" w:sz="0" w:space="0" w:color="auto"/>
            <w:bottom w:val="none" w:sz="0" w:space="0" w:color="auto"/>
            <w:right w:val="none" w:sz="0" w:space="0" w:color="auto"/>
          </w:divBdr>
        </w:div>
      </w:divsChild>
    </w:div>
    <w:div w:id="1893229378">
      <w:bodyDiv w:val="1"/>
      <w:marLeft w:val="0"/>
      <w:marRight w:val="0"/>
      <w:marTop w:val="0"/>
      <w:marBottom w:val="0"/>
      <w:divBdr>
        <w:top w:val="none" w:sz="0" w:space="0" w:color="auto"/>
        <w:left w:val="none" w:sz="0" w:space="0" w:color="auto"/>
        <w:bottom w:val="none" w:sz="0" w:space="0" w:color="auto"/>
        <w:right w:val="none" w:sz="0" w:space="0" w:color="auto"/>
      </w:divBdr>
    </w:div>
    <w:div w:id="1913343997">
      <w:bodyDiv w:val="1"/>
      <w:marLeft w:val="0"/>
      <w:marRight w:val="0"/>
      <w:marTop w:val="0"/>
      <w:marBottom w:val="0"/>
      <w:divBdr>
        <w:top w:val="none" w:sz="0" w:space="0" w:color="auto"/>
        <w:left w:val="none" w:sz="0" w:space="0" w:color="auto"/>
        <w:bottom w:val="none" w:sz="0" w:space="0" w:color="auto"/>
        <w:right w:val="none" w:sz="0" w:space="0" w:color="auto"/>
      </w:divBdr>
    </w:div>
    <w:div w:id="2057775508">
      <w:bodyDiv w:val="1"/>
      <w:marLeft w:val="0"/>
      <w:marRight w:val="0"/>
      <w:marTop w:val="0"/>
      <w:marBottom w:val="0"/>
      <w:divBdr>
        <w:top w:val="none" w:sz="0" w:space="0" w:color="auto"/>
        <w:left w:val="none" w:sz="0" w:space="0" w:color="auto"/>
        <w:bottom w:val="none" w:sz="0" w:space="0" w:color="auto"/>
        <w:right w:val="none" w:sz="0" w:space="0" w:color="auto"/>
      </w:divBdr>
    </w:div>
    <w:div w:id="20858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9CC0-E90C-4ED9-86EB-1E8EA49D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Nomtha Magudu</dc:creator>
  <cp:keywords/>
  <dc:description/>
  <cp:lastModifiedBy>Mary Bruce</cp:lastModifiedBy>
  <cp:revision>6</cp:revision>
  <dcterms:created xsi:type="dcterms:W3CDTF">2024-06-12T14:17:00Z</dcterms:created>
  <dcterms:modified xsi:type="dcterms:W3CDTF">2024-06-13T11:59:00Z</dcterms:modified>
</cp:coreProperties>
</file>