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31F" w:rsidRDefault="0042631F" w:rsidP="0042631F">
      <w:pPr>
        <w:spacing w:after="0" w:line="240" w:lineRule="auto"/>
        <w:jc w:val="center"/>
        <w:rPr>
          <w:rFonts w:ascii="Arial" w:hAnsi="Arial" w:cs="Arial"/>
          <w:b/>
          <w:sz w:val="28"/>
          <w:szCs w:val="28"/>
        </w:rPr>
      </w:pPr>
      <w:r w:rsidRPr="006C1E0A">
        <w:rPr>
          <w:rFonts w:ascii="Arial" w:hAnsi="Arial" w:cs="Arial"/>
          <w:noProof/>
          <w:sz w:val="24"/>
          <w:szCs w:val="24"/>
          <w:lang w:eastAsia="en-ZA"/>
        </w:rPr>
        <w:drawing>
          <wp:inline distT="0" distB="0" distL="0" distR="0" wp14:anchorId="00317739" wp14:editId="04B7737E">
            <wp:extent cx="1424763" cy="1424763"/>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19_BS_Special Tribunal_Revised logo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3481" cy="1423481"/>
                    </a:xfrm>
                    <a:prstGeom prst="rect">
                      <a:avLst/>
                    </a:prstGeom>
                  </pic:spPr>
                </pic:pic>
              </a:graphicData>
            </a:graphic>
          </wp:inline>
        </w:drawing>
      </w:r>
    </w:p>
    <w:p w:rsidR="0042631F" w:rsidRPr="00AE178D" w:rsidRDefault="0042631F" w:rsidP="0042631F">
      <w:pPr>
        <w:spacing w:after="0" w:line="240" w:lineRule="auto"/>
        <w:jc w:val="center"/>
        <w:rPr>
          <w:rFonts w:ascii="Arial" w:hAnsi="Arial" w:cs="Arial"/>
          <w:b/>
          <w:sz w:val="28"/>
          <w:szCs w:val="28"/>
        </w:rPr>
      </w:pPr>
      <w:r w:rsidRPr="00AE178D">
        <w:rPr>
          <w:rFonts w:ascii="Arial" w:hAnsi="Arial" w:cs="Arial"/>
          <w:b/>
          <w:sz w:val="28"/>
          <w:szCs w:val="28"/>
        </w:rPr>
        <w:t xml:space="preserve">IN THE SPECIAL TRIBUNAL ESTABLISHED IN TERMS OF SECTION 2 (1) OF THE SPECIAL INVESTIGATIONS UNIT AND </w:t>
      </w:r>
    </w:p>
    <w:p w:rsidR="0042631F" w:rsidRPr="00AE178D" w:rsidRDefault="0042631F" w:rsidP="0042631F">
      <w:pPr>
        <w:spacing w:after="0" w:line="240" w:lineRule="auto"/>
        <w:jc w:val="center"/>
        <w:rPr>
          <w:rFonts w:ascii="Arial" w:hAnsi="Arial" w:cs="Arial"/>
          <w:b/>
          <w:sz w:val="28"/>
          <w:szCs w:val="28"/>
        </w:rPr>
      </w:pPr>
      <w:r>
        <w:rPr>
          <w:rFonts w:ascii="Arial" w:hAnsi="Arial" w:cs="Arial"/>
          <w:b/>
          <w:sz w:val="28"/>
          <w:szCs w:val="28"/>
        </w:rPr>
        <w:t>SPECIAL TRIBUNALS ACT 74 OF 1996</w:t>
      </w:r>
    </w:p>
    <w:p w:rsidR="0042631F" w:rsidRDefault="0042631F" w:rsidP="00FA3E04">
      <w:pPr>
        <w:spacing w:line="360" w:lineRule="auto"/>
        <w:jc w:val="both"/>
        <w:rPr>
          <w:rFonts w:ascii="Arial" w:hAnsi="Arial" w:cs="Arial"/>
          <w:sz w:val="24"/>
          <w:szCs w:val="24"/>
          <w:lang w:val="en-GB"/>
        </w:rPr>
      </w:pPr>
    </w:p>
    <w:p w:rsidR="0042631F" w:rsidRPr="0042631F" w:rsidRDefault="0042631F" w:rsidP="00FA3E04">
      <w:pPr>
        <w:spacing w:line="360" w:lineRule="auto"/>
        <w:jc w:val="both"/>
        <w:rPr>
          <w:rFonts w:ascii="Arial" w:hAnsi="Arial" w:cs="Arial"/>
          <w:lang w:val="en-GB"/>
        </w:rPr>
      </w:pPr>
    </w:p>
    <w:p w:rsidR="0042631F" w:rsidRPr="0042631F" w:rsidRDefault="0042631F" w:rsidP="0042631F">
      <w:pPr>
        <w:tabs>
          <w:tab w:val="right" w:pos="9100"/>
        </w:tabs>
        <w:rPr>
          <w:rFonts w:ascii="Arial" w:hAnsi="Arial" w:cs="Arial"/>
        </w:rPr>
      </w:pPr>
      <w:r w:rsidRPr="0042631F">
        <w:rPr>
          <w:rFonts w:ascii="Arial" w:hAnsi="Arial" w:cs="Arial"/>
        </w:rPr>
        <w:tab/>
        <w:t>CASE NO: GP/17/2020</w:t>
      </w:r>
    </w:p>
    <w:p w:rsidR="0042631F" w:rsidRPr="0042631F" w:rsidRDefault="0042631F" w:rsidP="0042631F">
      <w:pPr>
        <w:tabs>
          <w:tab w:val="right" w:pos="9100"/>
        </w:tabs>
        <w:rPr>
          <w:rFonts w:ascii="Arial" w:hAnsi="Arial" w:cs="Arial"/>
        </w:rPr>
      </w:pPr>
      <w:r w:rsidRPr="0042631F">
        <w:rPr>
          <w:rFonts w:ascii="Arial" w:hAnsi="Arial" w:cs="Arial"/>
        </w:rPr>
        <w:t xml:space="preserve">In the </w:t>
      </w:r>
      <w:r w:rsidR="008355BF">
        <w:rPr>
          <w:rFonts w:ascii="Arial" w:hAnsi="Arial" w:cs="Arial"/>
        </w:rPr>
        <w:t xml:space="preserve">application for leave to appeal </w:t>
      </w:r>
      <w:r w:rsidRPr="0042631F">
        <w:rPr>
          <w:rFonts w:ascii="Arial" w:hAnsi="Arial" w:cs="Arial"/>
        </w:rPr>
        <w:t>between:</w:t>
      </w:r>
    </w:p>
    <w:p w:rsidR="008355BF" w:rsidRPr="0042631F" w:rsidRDefault="008355BF" w:rsidP="008355BF">
      <w:pPr>
        <w:tabs>
          <w:tab w:val="right" w:pos="9026"/>
        </w:tabs>
        <w:rPr>
          <w:rFonts w:ascii="Arial" w:hAnsi="Arial" w:cs="Arial"/>
          <w:bCs/>
        </w:rPr>
      </w:pPr>
      <w:r w:rsidRPr="0042631F">
        <w:rPr>
          <w:rFonts w:ascii="Arial" w:hAnsi="Arial" w:cs="Arial"/>
        </w:rPr>
        <w:t>CALEDON RIVER PROPERTIES (PTY) LTD</w:t>
      </w:r>
      <w:r w:rsidRPr="0042631F">
        <w:rPr>
          <w:rFonts w:ascii="Arial" w:hAnsi="Arial" w:cs="Arial"/>
        </w:rPr>
        <w:tab/>
        <w:t xml:space="preserve">        </w:t>
      </w:r>
      <w:r>
        <w:rPr>
          <w:rFonts w:ascii="Arial" w:hAnsi="Arial" w:cs="Arial"/>
          <w:bCs/>
        </w:rPr>
        <w:t>First Applicant/ First Defendant</w:t>
      </w:r>
    </w:p>
    <w:p w:rsidR="008355BF" w:rsidRPr="0042631F" w:rsidRDefault="008355BF" w:rsidP="008355BF">
      <w:pPr>
        <w:rPr>
          <w:rFonts w:ascii="Arial" w:hAnsi="Arial" w:cs="Arial"/>
        </w:rPr>
      </w:pPr>
      <w:r w:rsidRPr="0042631F">
        <w:rPr>
          <w:rFonts w:ascii="Arial" w:hAnsi="Arial" w:cs="Arial"/>
        </w:rPr>
        <w:t>t/a MAGWA CONSTRUCTION</w:t>
      </w:r>
      <w:r w:rsidRPr="0042631F">
        <w:rPr>
          <w:rFonts w:ascii="Arial" w:hAnsi="Arial" w:cs="Arial"/>
        </w:rPr>
        <w:tab/>
      </w:r>
    </w:p>
    <w:p w:rsidR="008355BF" w:rsidRDefault="008355BF" w:rsidP="008355BF">
      <w:pPr>
        <w:tabs>
          <w:tab w:val="left" w:pos="567"/>
          <w:tab w:val="left" w:pos="851"/>
          <w:tab w:val="left" w:pos="1701"/>
          <w:tab w:val="left" w:pos="2552"/>
          <w:tab w:val="right" w:pos="9026"/>
        </w:tabs>
        <w:spacing w:line="360" w:lineRule="auto"/>
        <w:rPr>
          <w:rFonts w:ascii="Arial" w:hAnsi="Arial" w:cs="Arial"/>
          <w:bCs/>
        </w:rPr>
      </w:pPr>
      <w:r w:rsidRPr="0042631F">
        <w:rPr>
          <w:rFonts w:ascii="Arial" w:hAnsi="Arial" w:cs="Arial"/>
        </w:rPr>
        <w:t>PROFTEAM CC</w:t>
      </w:r>
      <w:r w:rsidRPr="0042631F">
        <w:rPr>
          <w:rFonts w:ascii="Arial" w:hAnsi="Arial" w:cs="Arial"/>
        </w:rPr>
        <w:tab/>
      </w:r>
      <w:r>
        <w:rPr>
          <w:rFonts w:ascii="Arial" w:hAnsi="Arial" w:cs="Arial"/>
          <w:b/>
        </w:rPr>
        <w:tab/>
        <w:t xml:space="preserve">         </w:t>
      </w:r>
      <w:r>
        <w:rPr>
          <w:rFonts w:ascii="Arial" w:hAnsi="Arial" w:cs="Arial"/>
          <w:b/>
        </w:rPr>
        <w:tab/>
      </w:r>
      <w:r>
        <w:rPr>
          <w:rFonts w:ascii="Arial" w:hAnsi="Arial" w:cs="Arial"/>
          <w:bCs/>
        </w:rPr>
        <w:t>Second Applicant/ Second Defendant</w:t>
      </w:r>
    </w:p>
    <w:p w:rsidR="008355BF" w:rsidRPr="0042631F" w:rsidRDefault="008355BF" w:rsidP="008355BF">
      <w:pPr>
        <w:rPr>
          <w:rFonts w:ascii="Arial" w:hAnsi="Arial" w:cs="Arial"/>
          <w:bCs/>
        </w:rPr>
      </w:pPr>
      <w:r w:rsidRPr="0042631F">
        <w:rPr>
          <w:rFonts w:ascii="Arial" w:hAnsi="Arial" w:cs="Arial"/>
          <w:bCs/>
        </w:rPr>
        <w:t>and</w:t>
      </w:r>
    </w:p>
    <w:p w:rsidR="0042631F" w:rsidRPr="0042631F" w:rsidRDefault="0042631F" w:rsidP="0042631F">
      <w:pPr>
        <w:tabs>
          <w:tab w:val="right" w:pos="8931"/>
        </w:tabs>
        <w:rPr>
          <w:rFonts w:ascii="Arial" w:hAnsi="Arial" w:cs="Arial"/>
          <w:bCs/>
        </w:rPr>
      </w:pPr>
      <w:r w:rsidRPr="0042631F">
        <w:rPr>
          <w:rFonts w:ascii="Arial" w:hAnsi="Arial" w:cs="Arial"/>
        </w:rPr>
        <w:t>THE SPECIAL INVESTIGATING UNIT</w:t>
      </w:r>
      <w:r w:rsidRPr="0042631F">
        <w:rPr>
          <w:rFonts w:ascii="Arial" w:hAnsi="Arial" w:cs="Arial"/>
        </w:rPr>
        <w:tab/>
      </w:r>
      <w:r w:rsidR="008355BF">
        <w:rPr>
          <w:rFonts w:ascii="Arial" w:hAnsi="Arial" w:cs="Arial"/>
          <w:bCs/>
        </w:rPr>
        <w:t>First Plaintiff/ First Respondent</w:t>
      </w:r>
    </w:p>
    <w:p w:rsidR="0042631F" w:rsidRPr="0042631F" w:rsidRDefault="0042631F" w:rsidP="0042631F">
      <w:pPr>
        <w:tabs>
          <w:tab w:val="right" w:pos="9026"/>
        </w:tabs>
        <w:rPr>
          <w:rFonts w:ascii="Arial" w:hAnsi="Arial" w:cs="Arial"/>
        </w:rPr>
      </w:pPr>
      <w:r w:rsidRPr="0042631F">
        <w:rPr>
          <w:rFonts w:ascii="Arial" w:hAnsi="Arial" w:cs="Arial"/>
        </w:rPr>
        <w:t>NATIONAL DEPARTMENT OF PUBLIC WORKS</w:t>
      </w:r>
      <w:r w:rsidRPr="0042631F">
        <w:rPr>
          <w:rFonts w:ascii="Arial" w:hAnsi="Arial" w:cs="Arial"/>
        </w:rPr>
        <w:tab/>
        <w:t xml:space="preserve">       </w:t>
      </w:r>
      <w:r w:rsidR="008355BF">
        <w:rPr>
          <w:rFonts w:ascii="Arial" w:hAnsi="Arial" w:cs="Arial"/>
          <w:bCs/>
        </w:rPr>
        <w:t>Second Plaintiff/ Second Defendant</w:t>
      </w:r>
    </w:p>
    <w:p w:rsidR="0042631F" w:rsidRPr="0042631F" w:rsidRDefault="0042631F" w:rsidP="0042631F">
      <w:pPr>
        <w:rPr>
          <w:rFonts w:ascii="Arial" w:hAnsi="Arial" w:cs="Arial"/>
        </w:rPr>
      </w:pPr>
      <w:r w:rsidRPr="0042631F">
        <w:rPr>
          <w:rFonts w:ascii="Arial" w:hAnsi="Arial" w:cs="Arial"/>
        </w:rPr>
        <w:t>AND INFRASTRUCTURE</w:t>
      </w:r>
    </w:p>
    <w:p w:rsidR="0042631F" w:rsidRDefault="0042631F" w:rsidP="0042631F">
      <w:pPr>
        <w:tabs>
          <w:tab w:val="left" w:pos="567"/>
          <w:tab w:val="left" w:pos="851"/>
          <w:tab w:val="left" w:pos="1701"/>
          <w:tab w:val="left" w:pos="2552"/>
          <w:tab w:val="right" w:pos="9026"/>
        </w:tabs>
        <w:spacing w:line="360" w:lineRule="auto"/>
        <w:rPr>
          <w:rFonts w:ascii="Arial" w:eastAsia="Arial" w:hAnsi="Arial" w:cs="Arial"/>
          <w:b/>
          <w:bCs/>
          <w:lang w:val="en-GB" w:eastAsia="en-GB"/>
        </w:rPr>
      </w:pPr>
    </w:p>
    <w:p w:rsidR="0042631F" w:rsidRPr="00AE178D" w:rsidRDefault="0042631F" w:rsidP="0042631F">
      <w:pPr>
        <w:pBdr>
          <w:top w:val="single" w:sz="12" w:space="1" w:color="auto"/>
          <w:bottom w:val="single" w:sz="12" w:space="1" w:color="auto"/>
        </w:pBdr>
        <w:spacing w:line="480" w:lineRule="auto"/>
        <w:jc w:val="center"/>
        <w:rPr>
          <w:rFonts w:ascii="Arial" w:hAnsi="Arial" w:cs="Arial"/>
          <w:b/>
          <w:sz w:val="28"/>
          <w:szCs w:val="28"/>
        </w:rPr>
      </w:pPr>
      <w:r w:rsidRPr="00AE178D">
        <w:rPr>
          <w:rFonts w:ascii="Arial" w:hAnsi="Arial" w:cs="Arial"/>
          <w:b/>
          <w:sz w:val="28"/>
          <w:szCs w:val="28"/>
        </w:rPr>
        <w:t xml:space="preserve">JUDGMENT </w:t>
      </w:r>
    </w:p>
    <w:p w:rsidR="0068603A" w:rsidRDefault="0068603A" w:rsidP="0068603A">
      <w:pPr>
        <w:spacing w:before="480" w:after="480" w:line="360" w:lineRule="auto"/>
        <w:ind w:right="40"/>
        <w:jc w:val="both"/>
        <w:rPr>
          <w:rFonts w:ascii="Arial" w:hAnsi="Arial" w:cs="Arial"/>
          <w:color w:val="000000"/>
          <w:sz w:val="24"/>
          <w:szCs w:val="24"/>
        </w:rPr>
      </w:pPr>
      <w:r w:rsidRPr="0068603A">
        <w:rPr>
          <w:rFonts w:ascii="Arial" w:hAnsi="Arial" w:cs="Arial"/>
          <w:sz w:val="24"/>
          <w:szCs w:val="24"/>
          <w:lang w:val="en-GB"/>
        </w:rPr>
        <w:t xml:space="preserve">Summary – application for leave to appeal to the Full Court of the </w:t>
      </w:r>
      <w:r>
        <w:rPr>
          <w:rFonts w:ascii="Arial" w:hAnsi="Arial" w:cs="Arial"/>
          <w:sz w:val="24"/>
          <w:szCs w:val="24"/>
          <w:lang w:val="en-GB"/>
        </w:rPr>
        <w:t>High Court Division with jurisdiction</w:t>
      </w:r>
      <w:r w:rsidRPr="0068603A">
        <w:rPr>
          <w:rFonts w:ascii="Arial" w:hAnsi="Arial" w:cs="Arial"/>
          <w:sz w:val="24"/>
          <w:szCs w:val="24"/>
          <w:lang w:val="en-GB"/>
        </w:rPr>
        <w:t xml:space="preserve"> against this Tribunal’s judgment</w:t>
      </w:r>
      <w:r>
        <w:rPr>
          <w:rFonts w:ascii="Arial" w:hAnsi="Arial" w:cs="Arial"/>
          <w:sz w:val="24"/>
          <w:szCs w:val="24"/>
          <w:lang w:val="en-GB"/>
        </w:rPr>
        <w:t xml:space="preserve"> -</w:t>
      </w:r>
      <w:r w:rsidRPr="0068603A">
        <w:rPr>
          <w:rFonts w:ascii="Arial" w:hAnsi="Arial" w:cs="Arial"/>
          <w:sz w:val="24"/>
          <w:szCs w:val="24"/>
          <w:lang w:val="en-GB"/>
        </w:rPr>
        <w:t xml:space="preserve"> </w:t>
      </w:r>
      <w:r w:rsidRPr="0068603A">
        <w:rPr>
          <w:rFonts w:ascii="Arial" w:hAnsi="Arial" w:cs="Arial"/>
          <w:sz w:val="24"/>
          <w:szCs w:val="24"/>
        </w:rPr>
        <w:t>Whether</w:t>
      </w:r>
      <w:r w:rsidRPr="0068603A">
        <w:rPr>
          <w:rFonts w:ascii="Arial" w:hAnsi="Arial" w:cs="Arial"/>
          <w:color w:val="000000"/>
          <w:sz w:val="24"/>
          <w:szCs w:val="24"/>
        </w:rPr>
        <w:t xml:space="preserve"> s 8(7) of the Special Investigating Units and Special Tribunals Act 74 of 1996 (“the Act”) and the Regulations and Rules proclaimed in terms of the Act provides for the right to appeal against the Tribunals’ decisions on leave being granted by the T</w:t>
      </w:r>
      <w:r>
        <w:rPr>
          <w:rFonts w:ascii="Arial" w:hAnsi="Arial" w:cs="Arial"/>
          <w:color w:val="000000"/>
          <w:sz w:val="24"/>
          <w:szCs w:val="24"/>
        </w:rPr>
        <w:t xml:space="preserve">ribunal - </w:t>
      </w:r>
      <w:r w:rsidRPr="00FA3E04">
        <w:rPr>
          <w:rFonts w:ascii="Arial" w:hAnsi="Arial" w:cs="Arial"/>
          <w:color w:val="000000"/>
          <w:sz w:val="24"/>
          <w:szCs w:val="24"/>
        </w:rPr>
        <w:t xml:space="preserve">Whether </w:t>
      </w:r>
      <w:r w:rsidRPr="00FA3E04">
        <w:rPr>
          <w:rFonts w:ascii="Arial" w:hAnsi="Arial" w:cs="Arial"/>
          <w:sz w:val="24"/>
          <w:szCs w:val="24"/>
        </w:rPr>
        <w:t>s</w:t>
      </w:r>
      <w:r>
        <w:rPr>
          <w:rFonts w:ascii="Arial" w:hAnsi="Arial" w:cs="Arial"/>
          <w:sz w:val="24"/>
          <w:szCs w:val="24"/>
        </w:rPr>
        <w:t xml:space="preserve"> </w:t>
      </w:r>
      <w:r w:rsidRPr="00FA3E04">
        <w:rPr>
          <w:rFonts w:ascii="Arial" w:hAnsi="Arial" w:cs="Arial"/>
          <w:color w:val="000000"/>
          <w:sz w:val="24"/>
          <w:szCs w:val="24"/>
        </w:rPr>
        <w:lastRenderedPageBreak/>
        <w:t>16 and 17 of the Superior Courts Act</w:t>
      </w:r>
      <w:r>
        <w:rPr>
          <w:rStyle w:val="FootnoteReference"/>
          <w:rFonts w:ascii="Arial" w:hAnsi="Arial" w:cs="Arial"/>
          <w:color w:val="000000"/>
          <w:sz w:val="24"/>
          <w:szCs w:val="24"/>
        </w:rPr>
        <w:footnoteReference w:id="1"/>
      </w:r>
      <w:r w:rsidRPr="00FA3E04">
        <w:rPr>
          <w:rFonts w:ascii="Arial" w:hAnsi="Arial" w:cs="Arial"/>
          <w:color w:val="000000"/>
          <w:sz w:val="24"/>
          <w:szCs w:val="24"/>
        </w:rPr>
        <w:t xml:space="preserve"> are applicable to determine applications for leave to appeal in th</w:t>
      </w:r>
      <w:r>
        <w:rPr>
          <w:rFonts w:ascii="Arial" w:hAnsi="Arial" w:cs="Arial"/>
          <w:color w:val="000000"/>
          <w:sz w:val="24"/>
          <w:szCs w:val="24"/>
        </w:rPr>
        <w:t>e Tribunal.</w:t>
      </w:r>
    </w:p>
    <w:p w:rsidR="0068603A" w:rsidRDefault="0068603A" w:rsidP="0068603A">
      <w:pPr>
        <w:spacing w:before="480" w:after="480" w:line="360" w:lineRule="auto"/>
        <w:ind w:right="40"/>
        <w:jc w:val="both"/>
        <w:rPr>
          <w:rFonts w:ascii="Arial" w:hAnsi="Arial" w:cs="Arial"/>
          <w:color w:val="000000"/>
          <w:sz w:val="24"/>
          <w:szCs w:val="24"/>
        </w:rPr>
      </w:pPr>
      <w:r w:rsidRPr="0068603A">
        <w:rPr>
          <w:rFonts w:ascii="Arial" w:hAnsi="Arial" w:cs="Arial"/>
          <w:i/>
          <w:color w:val="000000"/>
          <w:sz w:val="24"/>
          <w:szCs w:val="24"/>
        </w:rPr>
        <w:t>Held:</w:t>
      </w:r>
      <w:r>
        <w:rPr>
          <w:rFonts w:ascii="Arial" w:hAnsi="Arial" w:cs="Arial"/>
          <w:color w:val="000000"/>
          <w:sz w:val="24"/>
          <w:szCs w:val="24"/>
        </w:rPr>
        <w:t xml:space="preserve"> In terms of s 8(7), parties enjoy an automatic right to appeal </w:t>
      </w:r>
      <w:r w:rsidRPr="0068603A">
        <w:rPr>
          <w:rFonts w:ascii="Arial" w:hAnsi="Arial" w:cs="Arial"/>
          <w:sz w:val="24"/>
          <w:szCs w:val="24"/>
          <w:lang w:val="en-GB"/>
        </w:rPr>
        <w:t xml:space="preserve">to the Full Court of the </w:t>
      </w:r>
      <w:r>
        <w:rPr>
          <w:rFonts w:ascii="Arial" w:hAnsi="Arial" w:cs="Arial"/>
          <w:sz w:val="24"/>
          <w:szCs w:val="24"/>
          <w:lang w:val="en-GB"/>
        </w:rPr>
        <w:t>High Court Division with jurisdiction</w:t>
      </w:r>
      <w:r w:rsidRPr="0068603A">
        <w:rPr>
          <w:rFonts w:ascii="Arial" w:hAnsi="Arial" w:cs="Arial"/>
          <w:sz w:val="24"/>
          <w:szCs w:val="24"/>
          <w:lang w:val="en-GB"/>
        </w:rPr>
        <w:t xml:space="preserve"> against this Tribunal’s judgment</w:t>
      </w:r>
      <w:r>
        <w:rPr>
          <w:rFonts w:ascii="Arial" w:hAnsi="Arial" w:cs="Arial"/>
          <w:color w:val="000000"/>
          <w:sz w:val="24"/>
          <w:szCs w:val="24"/>
        </w:rPr>
        <w:t xml:space="preserve">. </w:t>
      </w:r>
      <w:r w:rsidRPr="00FA3E04">
        <w:rPr>
          <w:rFonts w:ascii="Arial" w:hAnsi="Arial" w:cs="Arial"/>
          <w:sz w:val="24"/>
          <w:szCs w:val="24"/>
        </w:rPr>
        <w:t>s</w:t>
      </w:r>
      <w:r>
        <w:rPr>
          <w:rFonts w:ascii="Arial" w:hAnsi="Arial" w:cs="Arial"/>
          <w:sz w:val="24"/>
          <w:szCs w:val="24"/>
        </w:rPr>
        <w:t xml:space="preserve"> </w:t>
      </w:r>
      <w:r w:rsidRPr="00FA3E04">
        <w:rPr>
          <w:rFonts w:ascii="Arial" w:hAnsi="Arial" w:cs="Arial"/>
          <w:color w:val="000000"/>
          <w:sz w:val="24"/>
          <w:szCs w:val="24"/>
        </w:rPr>
        <w:t>16 and 17 of the Superior Courts Act</w:t>
      </w:r>
      <w:r>
        <w:rPr>
          <w:rStyle w:val="FootnoteReference"/>
          <w:rFonts w:ascii="Arial" w:hAnsi="Arial" w:cs="Arial"/>
          <w:color w:val="000000"/>
          <w:sz w:val="24"/>
          <w:szCs w:val="24"/>
        </w:rPr>
        <w:footnoteReference w:id="2"/>
      </w:r>
      <w:r w:rsidRPr="00FA3E04">
        <w:rPr>
          <w:rFonts w:ascii="Arial" w:hAnsi="Arial" w:cs="Arial"/>
          <w:color w:val="000000"/>
          <w:sz w:val="24"/>
          <w:szCs w:val="24"/>
        </w:rPr>
        <w:t xml:space="preserve"> are </w:t>
      </w:r>
      <w:r>
        <w:rPr>
          <w:rFonts w:ascii="Arial" w:hAnsi="Arial" w:cs="Arial"/>
          <w:color w:val="000000"/>
          <w:sz w:val="24"/>
          <w:szCs w:val="24"/>
        </w:rPr>
        <w:t>in</w:t>
      </w:r>
      <w:r w:rsidRPr="00FA3E04">
        <w:rPr>
          <w:rFonts w:ascii="Arial" w:hAnsi="Arial" w:cs="Arial"/>
          <w:color w:val="000000"/>
          <w:sz w:val="24"/>
          <w:szCs w:val="24"/>
        </w:rPr>
        <w:t>applicable to determine applications for leave to appeal in th</w:t>
      </w:r>
      <w:r>
        <w:rPr>
          <w:rFonts w:ascii="Arial" w:hAnsi="Arial" w:cs="Arial"/>
          <w:color w:val="000000"/>
          <w:sz w:val="24"/>
          <w:szCs w:val="24"/>
        </w:rPr>
        <w:t>e Tribunal.</w:t>
      </w:r>
    </w:p>
    <w:p w:rsidR="0068603A" w:rsidRPr="0068603A" w:rsidRDefault="0068603A" w:rsidP="0068603A">
      <w:pPr>
        <w:spacing w:before="480" w:after="480" w:line="360" w:lineRule="auto"/>
        <w:ind w:right="40"/>
        <w:jc w:val="both"/>
        <w:rPr>
          <w:rFonts w:ascii="Arial" w:hAnsi="Arial" w:cs="Arial"/>
          <w:b/>
          <w:color w:val="000000"/>
          <w:sz w:val="24"/>
          <w:szCs w:val="24"/>
        </w:rPr>
      </w:pPr>
      <w:r w:rsidRPr="0068603A">
        <w:rPr>
          <w:rFonts w:ascii="Arial" w:hAnsi="Arial" w:cs="Arial"/>
          <w:b/>
          <w:color w:val="000000"/>
          <w:sz w:val="24"/>
          <w:szCs w:val="24"/>
        </w:rPr>
        <w:t>MODIBA J:</w:t>
      </w:r>
    </w:p>
    <w:p w:rsidR="0095459D" w:rsidRPr="00FA3E04" w:rsidRDefault="00FA3E04" w:rsidP="00FA3E04">
      <w:pPr>
        <w:spacing w:line="360" w:lineRule="auto"/>
        <w:jc w:val="both"/>
        <w:rPr>
          <w:rFonts w:ascii="Arial" w:hAnsi="Arial" w:cs="Arial"/>
          <w:sz w:val="24"/>
          <w:szCs w:val="24"/>
          <w:lang w:val="en-GB"/>
        </w:rPr>
      </w:pPr>
      <w:r w:rsidRPr="00FA3E04">
        <w:rPr>
          <w:rFonts w:ascii="Arial" w:hAnsi="Arial" w:cs="Arial"/>
          <w:sz w:val="24"/>
          <w:szCs w:val="24"/>
          <w:lang w:val="en-GB"/>
        </w:rPr>
        <w:t>[1]</w:t>
      </w:r>
      <w:r w:rsidRPr="00FA3E04">
        <w:rPr>
          <w:rFonts w:ascii="Arial" w:hAnsi="Arial" w:cs="Arial"/>
          <w:sz w:val="24"/>
          <w:szCs w:val="24"/>
          <w:lang w:val="en-GB"/>
        </w:rPr>
        <w:tab/>
        <w:t xml:space="preserve">The Defendants have applied for leave to appeal </w:t>
      </w:r>
      <w:r w:rsidR="00DD472E" w:rsidRPr="00FA3E04">
        <w:rPr>
          <w:rFonts w:ascii="Arial" w:hAnsi="Arial" w:cs="Arial"/>
          <w:sz w:val="24"/>
          <w:szCs w:val="24"/>
          <w:lang w:val="en-GB"/>
        </w:rPr>
        <w:t xml:space="preserve">to the Full Court of the Gauteng Division </w:t>
      </w:r>
      <w:r w:rsidRPr="00FA3E04">
        <w:rPr>
          <w:rFonts w:ascii="Arial" w:hAnsi="Arial" w:cs="Arial"/>
          <w:sz w:val="24"/>
          <w:szCs w:val="24"/>
          <w:lang w:val="en-GB"/>
        </w:rPr>
        <w:t>against this Tribu</w:t>
      </w:r>
      <w:r w:rsidR="00DD472E">
        <w:rPr>
          <w:rFonts w:ascii="Arial" w:hAnsi="Arial" w:cs="Arial"/>
          <w:sz w:val="24"/>
          <w:szCs w:val="24"/>
          <w:lang w:val="en-GB"/>
        </w:rPr>
        <w:t>nal’s judgment delivered on 9 March 2022</w:t>
      </w:r>
      <w:r w:rsidR="00AC601F">
        <w:rPr>
          <w:rFonts w:ascii="Arial" w:hAnsi="Arial" w:cs="Arial"/>
          <w:sz w:val="24"/>
          <w:szCs w:val="24"/>
          <w:lang w:val="en-GB"/>
        </w:rPr>
        <w:t xml:space="preserve">. The judgment is the second in a sequel of two judgments delivered in this matter. It is therefore convenient to reference it </w:t>
      </w:r>
      <w:r w:rsidR="000D4238" w:rsidRPr="000D4238">
        <w:rPr>
          <w:rFonts w:ascii="Arial" w:hAnsi="Arial" w:cs="Arial"/>
          <w:i/>
          <w:sz w:val="24"/>
          <w:szCs w:val="24"/>
          <w:lang w:val="en-GB"/>
        </w:rPr>
        <w:t>Caledon River 2</w:t>
      </w:r>
      <w:r w:rsidRPr="00FA3E04">
        <w:rPr>
          <w:rFonts w:ascii="Arial" w:hAnsi="Arial" w:cs="Arial"/>
          <w:sz w:val="24"/>
          <w:szCs w:val="24"/>
          <w:lang w:val="en-GB"/>
        </w:rPr>
        <w:t xml:space="preserve">. The Plaintiffs are opposing the application for leave to appeal.  </w:t>
      </w:r>
    </w:p>
    <w:p w:rsidR="00FA3E04" w:rsidRPr="00FA3E04" w:rsidRDefault="00FA3E04" w:rsidP="00FA3E04">
      <w:pPr>
        <w:spacing w:line="360" w:lineRule="auto"/>
        <w:jc w:val="both"/>
        <w:rPr>
          <w:rFonts w:ascii="Arial" w:hAnsi="Arial" w:cs="Arial"/>
          <w:sz w:val="24"/>
          <w:szCs w:val="24"/>
          <w:lang w:val="en-GB"/>
        </w:rPr>
      </w:pPr>
      <w:r w:rsidRPr="00FA3E04">
        <w:rPr>
          <w:rFonts w:ascii="Arial" w:hAnsi="Arial" w:cs="Arial"/>
          <w:sz w:val="24"/>
          <w:szCs w:val="24"/>
          <w:lang w:val="en-GB"/>
        </w:rPr>
        <w:t>[2]</w:t>
      </w:r>
      <w:r w:rsidRPr="00FA3E04">
        <w:rPr>
          <w:rFonts w:ascii="Arial" w:hAnsi="Arial" w:cs="Arial"/>
          <w:sz w:val="24"/>
          <w:szCs w:val="24"/>
          <w:lang w:val="en-GB"/>
        </w:rPr>
        <w:tab/>
      </w:r>
      <w:r w:rsidR="00CA3533">
        <w:rPr>
          <w:rFonts w:ascii="Arial" w:hAnsi="Arial" w:cs="Arial"/>
          <w:sz w:val="24"/>
          <w:szCs w:val="24"/>
          <w:lang w:val="en-GB"/>
        </w:rPr>
        <w:t xml:space="preserve">Both parties filed heads of argument addressing the merits of the application for leave to appeal. </w:t>
      </w:r>
      <w:r w:rsidRPr="00FA3E04">
        <w:rPr>
          <w:rFonts w:ascii="Arial" w:hAnsi="Arial" w:cs="Arial"/>
          <w:sz w:val="24"/>
          <w:szCs w:val="24"/>
          <w:lang w:val="en-GB"/>
        </w:rPr>
        <w:t xml:space="preserve">At the Tribunal’s request, the parties filed </w:t>
      </w:r>
      <w:r w:rsidR="00545DBC">
        <w:rPr>
          <w:rFonts w:ascii="Arial" w:hAnsi="Arial" w:cs="Arial"/>
          <w:sz w:val="24"/>
          <w:szCs w:val="24"/>
          <w:lang w:val="en-GB"/>
        </w:rPr>
        <w:t xml:space="preserve">additional </w:t>
      </w:r>
      <w:r w:rsidRPr="00FA3E04">
        <w:rPr>
          <w:rFonts w:ascii="Arial" w:hAnsi="Arial" w:cs="Arial"/>
          <w:sz w:val="24"/>
          <w:szCs w:val="24"/>
          <w:lang w:val="en-GB"/>
        </w:rPr>
        <w:t>heads of argument addressing the following issues:</w:t>
      </w:r>
    </w:p>
    <w:p w:rsidR="00FA3E04" w:rsidRPr="00FA3E04" w:rsidRDefault="00FA3E04" w:rsidP="00FA3E04">
      <w:pPr>
        <w:pStyle w:val="ListParagraph"/>
        <w:numPr>
          <w:ilvl w:val="1"/>
          <w:numId w:val="2"/>
        </w:numPr>
        <w:spacing w:before="480" w:after="480" w:line="360" w:lineRule="auto"/>
        <w:ind w:right="40"/>
        <w:jc w:val="both"/>
        <w:rPr>
          <w:rFonts w:ascii="Arial" w:hAnsi="Arial" w:cs="Arial"/>
          <w:color w:val="000000"/>
          <w:sz w:val="24"/>
          <w:szCs w:val="24"/>
        </w:rPr>
      </w:pPr>
      <w:r w:rsidRPr="00FA3E04">
        <w:rPr>
          <w:rFonts w:ascii="Arial" w:hAnsi="Arial" w:cs="Arial"/>
          <w:sz w:val="24"/>
          <w:szCs w:val="24"/>
        </w:rPr>
        <w:t>Whether</w:t>
      </w:r>
      <w:r w:rsidRPr="00FA3E04">
        <w:rPr>
          <w:rFonts w:ascii="Arial" w:hAnsi="Arial" w:cs="Arial"/>
          <w:color w:val="000000"/>
          <w:sz w:val="24"/>
          <w:szCs w:val="24"/>
        </w:rPr>
        <w:t xml:space="preserve"> s</w:t>
      </w:r>
      <w:r w:rsidR="008355BF">
        <w:rPr>
          <w:rFonts w:ascii="Arial" w:hAnsi="Arial" w:cs="Arial"/>
          <w:color w:val="000000"/>
          <w:sz w:val="24"/>
          <w:szCs w:val="24"/>
        </w:rPr>
        <w:t xml:space="preserve"> </w:t>
      </w:r>
      <w:r w:rsidRPr="00FA3E04">
        <w:rPr>
          <w:rFonts w:ascii="Arial" w:hAnsi="Arial" w:cs="Arial"/>
          <w:color w:val="000000"/>
          <w:sz w:val="24"/>
          <w:szCs w:val="24"/>
        </w:rPr>
        <w:t>8(7) of the Special Investigating Units and Special Tribunals Act 74 of 1996 (“the Act”) and the Regulation</w:t>
      </w:r>
      <w:r w:rsidR="00545DBC">
        <w:rPr>
          <w:rFonts w:ascii="Arial" w:hAnsi="Arial" w:cs="Arial"/>
          <w:color w:val="000000"/>
          <w:sz w:val="24"/>
          <w:szCs w:val="24"/>
        </w:rPr>
        <w:t>s and Rules proclaimed in terms of the Act</w:t>
      </w:r>
      <w:r w:rsidRPr="00FA3E04">
        <w:rPr>
          <w:rFonts w:ascii="Arial" w:hAnsi="Arial" w:cs="Arial"/>
          <w:color w:val="000000"/>
          <w:sz w:val="24"/>
          <w:szCs w:val="24"/>
        </w:rPr>
        <w:t xml:space="preserve"> </w:t>
      </w:r>
      <w:r w:rsidR="00314AEE">
        <w:rPr>
          <w:rFonts w:ascii="Arial" w:hAnsi="Arial" w:cs="Arial"/>
          <w:color w:val="000000"/>
          <w:sz w:val="24"/>
          <w:szCs w:val="24"/>
        </w:rPr>
        <w:t xml:space="preserve">provides for the right to appeal against the Tribunals’ decisions on leave being granted by the Tribunal; </w:t>
      </w:r>
    </w:p>
    <w:p w:rsidR="00FA3E04" w:rsidRPr="00FA3E04" w:rsidRDefault="00FA3E04" w:rsidP="00FA3E04">
      <w:pPr>
        <w:pStyle w:val="ListParagraph"/>
        <w:numPr>
          <w:ilvl w:val="1"/>
          <w:numId w:val="2"/>
        </w:numPr>
        <w:spacing w:before="480" w:after="480" w:line="360" w:lineRule="auto"/>
        <w:ind w:right="40"/>
        <w:jc w:val="both"/>
        <w:rPr>
          <w:rFonts w:ascii="Arial" w:hAnsi="Arial" w:cs="Arial"/>
          <w:color w:val="000000"/>
          <w:sz w:val="24"/>
          <w:szCs w:val="24"/>
        </w:rPr>
      </w:pPr>
      <w:r w:rsidRPr="00FA3E04">
        <w:rPr>
          <w:rFonts w:ascii="Arial" w:hAnsi="Arial" w:cs="Arial"/>
          <w:color w:val="000000"/>
          <w:sz w:val="24"/>
          <w:szCs w:val="24"/>
        </w:rPr>
        <w:t xml:space="preserve">Whether </w:t>
      </w:r>
      <w:r w:rsidRPr="00FA3E04">
        <w:rPr>
          <w:rFonts w:ascii="Arial" w:hAnsi="Arial" w:cs="Arial"/>
          <w:sz w:val="24"/>
          <w:szCs w:val="24"/>
        </w:rPr>
        <w:t>s</w:t>
      </w:r>
      <w:r w:rsidR="00545DBC">
        <w:rPr>
          <w:rFonts w:ascii="Arial" w:hAnsi="Arial" w:cs="Arial"/>
          <w:sz w:val="24"/>
          <w:szCs w:val="24"/>
        </w:rPr>
        <w:t xml:space="preserve"> </w:t>
      </w:r>
      <w:r w:rsidRPr="00FA3E04">
        <w:rPr>
          <w:rFonts w:ascii="Arial" w:hAnsi="Arial" w:cs="Arial"/>
          <w:color w:val="000000"/>
          <w:sz w:val="24"/>
          <w:szCs w:val="24"/>
        </w:rPr>
        <w:t>16 and 17 of the Superior Courts Act</w:t>
      </w:r>
      <w:r w:rsidR="008355BF">
        <w:rPr>
          <w:rStyle w:val="FootnoteReference"/>
          <w:rFonts w:ascii="Arial" w:hAnsi="Arial" w:cs="Arial"/>
          <w:color w:val="000000"/>
          <w:sz w:val="24"/>
          <w:szCs w:val="24"/>
        </w:rPr>
        <w:footnoteReference w:id="3"/>
      </w:r>
      <w:r w:rsidRPr="00FA3E04">
        <w:rPr>
          <w:rFonts w:ascii="Arial" w:hAnsi="Arial" w:cs="Arial"/>
          <w:color w:val="000000"/>
          <w:sz w:val="24"/>
          <w:szCs w:val="24"/>
        </w:rPr>
        <w:t xml:space="preserve"> are applicable to determine applications for leave to appeal in th</w:t>
      </w:r>
      <w:r w:rsidR="000D4238">
        <w:rPr>
          <w:rFonts w:ascii="Arial" w:hAnsi="Arial" w:cs="Arial"/>
          <w:color w:val="000000"/>
          <w:sz w:val="24"/>
          <w:szCs w:val="24"/>
        </w:rPr>
        <w:t>e</w:t>
      </w:r>
      <w:r w:rsidRPr="00FA3E04">
        <w:rPr>
          <w:rFonts w:ascii="Arial" w:hAnsi="Arial" w:cs="Arial"/>
          <w:color w:val="000000"/>
          <w:sz w:val="24"/>
          <w:szCs w:val="24"/>
        </w:rPr>
        <w:t xml:space="preserve"> Tribunal;</w:t>
      </w:r>
    </w:p>
    <w:p w:rsidR="00EC1417" w:rsidRDefault="00DC33CA" w:rsidP="00CA3533">
      <w:pPr>
        <w:spacing w:after="0" w:line="360" w:lineRule="auto"/>
        <w:ind w:right="40"/>
        <w:jc w:val="both"/>
        <w:rPr>
          <w:rFonts w:ascii="Arial" w:hAnsi="Arial" w:cs="Arial"/>
          <w:color w:val="000000"/>
          <w:sz w:val="24"/>
          <w:szCs w:val="24"/>
        </w:rPr>
      </w:pPr>
      <w:r>
        <w:rPr>
          <w:rFonts w:ascii="Arial" w:hAnsi="Arial" w:cs="Arial"/>
          <w:color w:val="000000"/>
          <w:sz w:val="24"/>
          <w:szCs w:val="24"/>
        </w:rPr>
        <w:t>[3]</w:t>
      </w:r>
      <w:r>
        <w:rPr>
          <w:rFonts w:ascii="Arial" w:hAnsi="Arial" w:cs="Arial"/>
          <w:color w:val="000000"/>
          <w:sz w:val="24"/>
          <w:szCs w:val="24"/>
        </w:rPr>
        <w:tab/>
        <w:t>The Tribunal raised the</w:t>
      </w:r>
      <w:r w:rsidR="00FA3E04">
        <w:rPr>
          <w:rFonts w:ascii="Arial" w:hAnsi="Arial" w:cs="Arial"/>
          <w:color w:val="000000"/>
          <w:sz w:val="24"/>
          <w:szCs w:val="24"/>
        </w:rPr>
        <w:t>s</w:t>
      </w:r>
      <w:r>
        <w:rPr>
          <w:rFonts w:ascii="Arial" w:hAnsi="Arial" w:cs="Arial"/>
          <w:color w:val="000000"/>
          <w:sz w:val="24"/>
          <w:szCs w:val="24"/>
        </w:rPr>
        <w:t>e</w:t>
      </w:r>
      <w:r w:rsidR="00FA3E04">
        <w:rPr>
          <w:rFonts w:ascii="Arial" w:hAnsi="Arial" w:cs="Arial"/>
          <w:color w:val="000000"/>
          <w:sz w:val="24"/>
          <w:szCs w:val="24"/>
        </w:rPr>
        <w:t xml:space="preserve"> question </w:t>
      </w:r>
      <w:r w:rsidR="00FA3E04" w:rsidRPr="00545DBC">
        <w:rPr>
          <w:rFonts w:ascii="Arial" w:hAnsi="Arial" w:cs="Arial"/>
          <w:i/>
          <w:color w:val="000000"/>
          <w:sz w:val="24"/>
          <w:szCs w:val="24"/>
        </w:rPr>
        <w:t>mero motu</w:t>
      </w:r>
      <w:r w:rsidR="00CA3533">
        <w:rPr>
          <w:rFonts w:ascii="Arial" w:hAnsi="Arial" w:cs="Arial"/>
          <w:color w:val="000000"/>
          <w:sz w:val="24"/>
          <w:szCs w:val="24"/>
        </w:rPr>
        <w:t xml:space="preserve"> as they had been hanging for a while</w:t>
      </w:r>
      <w:r w:rsidR="00FA3E04">
        <w:rPr>
          <w:rFonts w:ascii="Arial" w:hAnsi="Arial" w:cs="Arial"/>
          <w:color w:val="000000"/>
          <w:sz w:val="24"/>
          <w:szCs w:val="24"/>
        </w:rPr>
        <w:t xml:space="preserve">. </w:t>
      </w:r>
      <w:r w:rsidR="00CA3533">
        <w:rPr>
          <w:rFonts w:ascii="Arial" w:hAnsi="Arial" w:cs="Arial"/>
          <w:color w:val="000000"/>
          <w:sz w:val="24"/>
          <w:szCs w:val="24"/>
        </w:rPr>
        <w:t>I</w:t>
      </w:r>
      <w:r w:rsidR="00FA3E04">
        <w:rPr>
          <w:rFonts w:ascii="Arial" w:hAnsi="Arial" w:cs="Arial"/>
          <w:color w:val="000000"/>
          <w:sz w:val="24"/>
          <w:szCs w:val="24"/>
        </w:rPr>
        <w:t xml:space="preserve">n an earlier judgment in </w:t>
      </w:r>
      <w:r w:rsidR="00FA3E04" w:rsidRPr="00FA3E04">
        <w:rPr>
          <w:rFonts w:ascii="Arial" w:hAnsi="Arial" w:cs="Arial"/>
          <w:i/>
          <w:color w:val="000000"/>
          <w:sz w:val="24"/>
          <w:szCs w:val="24"/>
        </w:rPr>
        <w:t>Special Investigating Unit and Another v Caledon River Properties (Pty) Ltd t/a Magwa Con</w:t>
      </w:r>
      <w:r w:rsidR="00CA3533">
        <w:rPr>
          <w:rFonts w:ascii="Arial" w:hAnsi="Arial" w:cs="Arial"/>
          <w:i/>
          <w:color w:val="000000"/>
          <w:sz w:val="24"/>
          <w:szCs w:val="24"/>
        </w:rPr>
        <w:t xml:space="preserve">struction and Another (“Caledon </w:t>
      </w:r>
      <w:r w:rsidR="008355BF">
        <w:rPr>
          <w:rFonts w:ascii="Arial" w:hAnsi="Arial" w:cs="Arial"/>
          <w:i/>
          <w:color w:val="000000"/>
          <w:sz w:val="24"/>
          <w:szCs w:val="24"/>
        </w:rPr>
        <w:t xml:space="preserve">River </w:t>
      </w:r>
      <w:r w:rsidR="00CA3533">
        <w:rPr>
          <w:rFonts w:ascii="Arial" w:hAnsi="Arial" w:cs="Arial"/>
          <w:i/>
          <w:color w:val="000000"/>
          <w:sz w:val="24"/>
          <w:szCs w:val="24"/>
        </w:rPr>
        <w:t>1</w:t>
      </w:r>
      <w:r w:rsidR="00FA3E04" w:rsidRPr="00FA3E04">
        <w:rPr>
          <w:rFonts w:ascii="Arial" w:hAnsi="Arial" w:cs="Arial"/>
          <w:i/>
          <w:color w:val="000000"/>
          <w:sz w:val="24"/>
          <w:szCs w:val="24"/>
        </w:rPr>
        <w:t>”)</w:t>
      </w:r>
      <w:r w:rsidR="00CA3533">
        <w:rPr>
          <w:rStyle w:val="FootnoteReference"/>
          <w:rFonts w:ascii="Arial" w:hAnsi="Arial" w:cs="Arial"/>
          <w:i/>
          <w:color w:val="000000"/>
          <w:sz w:val="24"/>
          <w:szCs w:val="24"/>
        </w:rPr>
        <w:footnoteReference w:id="4"/>
      </w:r>
      <w:r w:rsidR="00CA3533">
        <w:rPr>
          <w:rFonts w:ascii="Arial" w:hAnsi="Arial" w:cs="Arial"/>
          <w:i/>
          <w:color w:val="000000"/>
          <w:sz w:val="24"/>
          <w:szCs w:val="24"/>
        </w:rPr>
        <w:t xml:space="preserve">, </w:t>
      </w:r>
      <w:r w:rsidR="00545DBC">
        <w:rPr>
          <w:rFonts w:ascii="Arial" w:hAnsi="Arial" w:cs="Arial"/>
          <w:color w:val="000000"/>
          <w:sz w:val="24"/>
          <w:szCs w:val="24"/>
        </w:rPr>
        <w:t>where the Tribunal</w:t>
      </w:r>
      <w:r w:rsidR="00CA3533">
        <w:rPr>
          <w:rFonts w:ascii="Arial" w:hAnsi="Arial" w:cs="Arial"/>
          <w:color w:val="000000"/>
          <w:sz w:val="24"/>
          <w:szCs w:val="24"/>
        </w:rPr>
        <w:t xml:space="preserve"> </w:t>
      </w:r>
      <w:r w:rsidR="00545DBC">
        <w:rPr>
          <w:rFonts w:ascii="Arial" w:hAnsi="Arial" w:cs="Arial"/>
          <w:color w:val="000000"/>
          <w:sz w:val="24"/>
          <w:szCs w:val="24"/>
        </w:rPr>
        <w:t xml:space="preserve">(per Modiba J) </w:t>
      </w:r>
      <w:r w:rsidR="008355BF">
        <w:rPr>
          <w:rFonts w:ascii="Arial" w:hAnsi="Arial" w:cs="Arial"/>
          <w:color w:val="000000"/>
          <w:sz w:val="24"/>
          <w:szCs w:val="24"/>
        </w:rPr>
        <w:t xml:space="preserve">was </w:t>
      </w:r>
      <w:r w:rsidR="00CA3533">
        <w:rPr>
          <w:rFonts w:ascii="Arial" w:hAnsi="Arial" w:cs="Arial"/>
          <w:color w:val="000000"/>
          <w:sz w:val="24"/>
          <w:szCs w:val="24"/>
        </w:rPr>
        <w:t>called upon to determine the Tribunal</w:t>
      </w:r>
      <w:r w:rsidR="008355BF">
        <w:rPr>
          <w:rFonts w:ascii="Arial" w:hAnsi="Arial" w:cs="Arial"/>
          <w:color w:val="000000"/>
          <w:sz w:val="24"/>
          <w:szCs w:val="24"/>
        </w:rPr>
        <w:t>’</w:t>
      </w:r>
      <w:r w:rsidR="00CA3533">
        <w:rPr>
          <w:rFonts w:ascii="Arial" w:hAnsi="Arial" w:cs="Arial"/>
          <w:color w:val="000000"/>
          <w:sz w:val="24"/>
          <w:szCs w:val="24"/>
        </w:rPr>
        <w:t>s status as a court as well as its constitutional jurisdiction,</w:t>
      </w:r>
      <w:r w:rsidR="00FA3E04" w:rsidRPr="00FA3E04">
        <w:rPr>
          <w:rFonts w:ascii="Arial" w:hAnsi="Arial" w:cs="Arial"/>
          <w:color w:val="000000"/>
          <w:sz w:val="24"/>
          <w:szCs w:val="24"/>
        </w:rPr>
        <w:t xml:space="preserve">  </w:t>
      </w:r>
      <w:r w:rsidR="00545DBC">
        <w:rPr>
          <w:rFonts w:ascii="Arial" w:hAnsi="Arial" w:cs="Arial"/>
          <w:color w:val="000000"/>
          <w:sz w:val="24"/>
          <w:szCs w:val="24"/>
        </w:rPr>
        <w:t>the Tribunal held that it</w:t>
      </w:r>
      <w:r w:rsidR="00CA3533">
        <w:rPr>
          <w:rFonts w:ascii="Arial" w:hAnsi="Arial" w:cs="Arial"/>
          <w:color w:val="000000"/>
          <w:sz w:val="24"/>
          <w:szCs w:val="24"/>
        </w:rPr>
        <w:t xml:space="preserve"> </w:t>
      </w:r>
      <w:r w:rsidR="00FA3E04">
        <w:rPr>
          <w:rFonts w:ascii="Arial" w:hAnsi="Arial" w:cs="Arial"/>
          <w:color w:val="000000"/>
          <w:sz w:val="24"/>
          <w:szCs w:val="24"/>
        </w:rPr>
        <w:t>is a co</w:t>
      </w:r>
      <w:r w:rsidR="00545DBC">
        <w:rPr>
          <w:rFonts w:ascii="Arial" w:hAnsi="Arial" w:cs="Arial"/>
          <w:color w:val="000000"/>
          <w:sz w:val="24"/>
          <w:szCs w:val="24"/>
        </w:rPr>
        <w:t>urt with similar status to the High C</w:t>
      </w:r>
      <w:r w:rsidR="00FA3E04">
        <w:rPr>
          <w:rFonts w:ascii="Arial" w:hAnsi="Arial" w:cs="Arial"/>
          <w:color w:val="000000"/>
          <w:sz w:val="24"/>
          <w:szCs w:val="24"/>
        </w:rPr>
        <w:t xml:space="preserve">ourt as envisaged in </w:t>
      </w:r>
      <w:r w:rsidR="00FA3E04" w:rsidRPr="00FA3E04">
        <w:rPr>
          <w:rFonts w:ascii="Arial" w:hAnsi="Arial" w:cs="Arial"/>
          <w:color w:val="000000"/>
          <w:sz w:val="24"/>
          <w:szCs w:val="24"/>
        </w:rPr>
        <w:t>s</w:t>
      </w:r>
      <w:r w:rsidR="00FA3E04">
        <w:rPr>
          <w:rFonts w:ascii="Arial" w:hAnsi="Arial" w:cs="Arial"/>
          <w:color w:val="000000"/>
          <w:sz w:val="24"/>
          <w:szCs w:val="24"/>
        </w:rPr>
        <w:t xml:space="preserve"> </w:t>
      </w:r>
      <w:r w:rsidR="00FA3E04" w:rsidRPr="00FA3E04">
        <w:rPr>
          <w:rFonts w:ascii="Arial" w:hAnsi="Arial" w:cs="Arial"/>
          <w:color w:val="000000"/>
          <w:sz w:val="24"/>
          <w:szCs w:val="24"/>
        </w:rPr>
        <w:t>65 and 166(e) of the Constitution, 1996 (“the Constitution”)</w:t>
      </w:r>
      <w:r w:rsidR="00FA3E04">
        <w:rPr>
          <w:rFonts w:ascii="Arial" w:hAnsi="Arial" w:cs="Arial"/>
          <w:color w:val="000000"/>
          <w:sz w:val="24"/>
          <w:szCs w:val="24"/>
        </w:rPr>
        <w:t xml:space="preserve"> and consequently, it has the jurisdiction to grant orders in terms of s 172 of the Constitution. </w:t>
      </w:r>
      <w:r w:rsidR="00CA3533">
        <w:rPr>
          <w:rFonts w:ascii="Arial" w:hAnsi="Arial" w:cs="Arial"/>
          <w:color w:val="000000"/>
          <w:sz w:val="24"/>
          <w:szCs w:val="24"/>
        </w:rPr>
        <w:t>While analysing the Tribunal’s powers to de</w:t>
      </w:r>
      <w:r w:rsidR="00545DBC">
        <w:rPr>
          <w:rFonts w:ascii="Arial" w:hAnsi="Arial" w:cs="Arial"/>
          <w:color w:val="000000"/>
          <w:sz w:val="24"/>
          <w:szCs w:val="24"/>
        </w:rPr>
        <w:t>termine its status as a court, the Tribunal made</w:t>
      </w:r>
      <w:r w:rsidR="00CA3533">
        <w:rPr>
          <w:rFonts w:ascii="Arial" w:hAnsi="Arial" w:cs="Arial"/>
          <w:color w:val="000000"/>
          <w:sz w:val="24"/>
          <w:szCs w:val="24"/>
        </w:rPr>
        <w:t xml:space="preserve"> an obiter statement </w:t>
      </w:r>
      <w:r w:rsidR="00545DBC">
        <w:rPr>
          <w:rFonts w:ascii="Arial" w:hAnsi="Arial" w:cs="Arial"/>
          <w:color w:val="000000"/>
          <w:sz w:val="24"/>
          <w:szCs w:val="24"/>
        </w:rPr>
        <w:t xml:space="preserve">in respect of </w:t>
      </w:r>
      <w:r w:rsidR="00CA3533">
        <w:rPr>
          <w:rFonts w:ascii="Arial" w:hAnsi="Arial" w:cs="Arial"/>
          <w:color w:val="000000"/>
          <w:sz w:val="24"/>
          <w:szCs w:val="24"/>
        </w:rPr>
        <w:t xml:space="preserve">appeals against Tribunal’s decisions. </w:t>
      </w:r>
      <w:r w:rsidR="00EC1417">
        <w:rPr>
          <w:rFonts w:ascii="Arial" w:hAnsi="Arial" w:cs="Arial"/>
          <w:color w:val="000000"/>
          <w:sz w:val="24"/>
          <w:szCs w:val="24"/>
        </w:rPr>
        <w:t>It is appropriate to quote the relevant statement:</w:t>
      </w:r>
    </w:p>
    <w:p w:rsidR="00EC1417" w:rsidRPr="00EC1417" w:rsidRDefault="00EC1417" w:rsidP="00CA3533">
      <w:pPr>
        <w:spacing w:after="480" w:line="480" w:lineRule="auto"/>
        <w:ind w:left="850" w:right="40"/>
        <w:jc w:val="both"/>
        <w:rPr>
          <w:rFonts w:ascii="Arial" w:hAnsi="Arial" w:cs="Arial"/>
          <w:color w:val="000000"/>
          <w:sz w:val="24"/>
        </w:rPr>
      </w:pPr>
      <w:r w:rsidRPr="00EC1417">
        <w:rPr>
          <w:rFonts w:ascii="Arial" w:hAnsi="Arial" w:cs="Arial"/>
          <w:i/>
          <w:iCs/>
          <w:color w:val="242121"/>
          <w:sz w:val="24"/>
        </w:rPr>
        <w:t>“[43] The only difference between High Court appeals and Special Tribunal appeals is that s8(7) does not specifically provide for the Special Tribunal to grant leave to appeal.  Further, the section does not provide for direct appeal against a Special Tribunal judgment to the Supreme Court of Appeal in the event that leave to appeal is denied by the Special Tribunal. The latter omission is catered for in s16 (1)(c) of the Superior Courts Act. It provides that any appeal against a decision of a court of similar status to the High Court lies to the Supreme Court of Appeal upon such leave being granted by such other court (read Special Tribunal) or the Supreme Court of Appeal.</w:t>
      </w:r>
      <w:r w:rsidRPr="00EC1417">
        <w:rPr>
          <w:rFonts w:ascii="Arial" w:hAnsi="Arial" w:cs="Arial"/>
          <w:color w:val="242121"/>
          <w:sz w:val="24"/>
        </w:rPr>
        <w:t>”</w:t>
      </w:r>
    </w:p>
    <w:p w:rsidR="003F25C0" w:rsidRDefault="00EC1417" w:rsidP="00FA3E04">
      <w:pPr>
        <w:spacing w:before="480" w:after="480" w:line="360" w:lineRule="auto"/>
        <w:ind w:right="40"/>
        <w:jc w:val="both"/>
        <w:rPr>
          <w:rFonts w:ascii="Arial" w:hAnsi="Arial" w:cs="Arial"/>
          <w:color w:val="000000"/>
          <w:sz w:val="24"/>
          <w:szCs w:val="24"/>
        </w:rPr>
      </w:pPr>
      <w:r>
        <w:rPr>
          <w:rFonts w:ascii="Arial" w:hAnsi="Arial" w:cs="Arial"/>
          <w:color w:val="000000"/>
          <w:sz w:val="24"/>
          <w:szCs w:val="24"/>
        </w:rPr>
        <w:t>[4]</w:t>
      </w:r>
      <w:r>
        <w:rPr>
          <w:rFonts w:ascii="Arial" w:hAnsi="Arial" w:cs="Arial"/>
          <w:color w:val="000000"/>
          <w:sz w:val="24"/>
          <w:szCs w:val="24"/>
        </w:rPr>
        <w:tab/>
        <w:t xml:space="preserve">This Tribunal in other earlier judgments in </w:t>
      </w:r>
      <w:r w:rsidRPr="00EC1417">
        <w:rPr>
          <w:rFonts w:ascii="Arial" w:hAnsi="Arial" w:cs="Arial"/>
          <w:i/>
          <w:color w:val="000000"/>
          <w:sz w:val="24"/>
          <w:szCs w:val="24"/>
        </w:rPr>
        <w:t>Msagala</w:t>
      </w:r>
      <w:r w:rsidR="00CA3533">
        <w:rPr>
          <w:rStyle w:val="FootnoteReference"/>
          <w:rFonts w:ascii="Arial" w:hAnsi="Arial" w:cs="Arial"/>
          <w:i/>
          <w:color w:val="000000"/>
          <w:sz w:val="24"/>
          <w:szCs w:val="24"/>
        </w:rPr>
        <w:footnoteReference w:id="5"/>
      </w:r>
      <w:r>
        <w:rPr>
          <w:rFonts w:ascii="Arial" w:hAnsi="Arial" w:cs="Arial"/>
          <w:color w:val="000000"/>
          <w:sz w:val="24"/>
          <w:szCs w:val="24"/>
        </w:rPr>
        <w:t xml:space="preserve"> and </w:t>
      </w:r>
      <w:r w:rsidRPr="00EC1417">
        <w:rPr>
          <w:rFonts w:ascii="Arial" w:hAnsi="Arial" w:cs="Arial"/>
          <w:i/>
          <w:color w:val="000000"/>
          <w:sz w:val="24"/>
          <w:szCs w:val="24"/>
        </w:rPr>
        <w:t>Ledla</w:t>
      </w:r>
      <w:r w:rsidR="00584DCE">
        <w:rPr>
          <w:rStyle w:val="FootnoteReference"/>
          <w:rFonts w:ascii="Arial" w:hAnsi="Arial" w:cs="Arial"/>
          <w:i/>
          <w:color w:val="000000"/>
          <w:sz w:val="24"/>
          <w:szCs w:val="24"/>
        </w:rPr>
        <w:footnoteReference w:id="6"/>
      </w:r>
      <w:r>
        <w:rPr>
          <w:rFonts w:ascii="Arial" w:hAnsi="Arial" w:cs="Arial"/>
          <w:color w:val="000000"/>
          <w:sz w:val="24"/>
          <w:szCs w:val="24"/>
        </w:rPr>
        <w:t xml:space="preserve"> </w:t>
      </w:r>
      <w:r w:rsidR="00545DBC">
        <w:rPr>
          <w:rFonts w:ascii="Arial" w:hAnsi="Arial" w:cs="Arial"/>
          <w:color w:val="000000"/>
          <w:sz w:val="24"/>
          <w:szCs w:val="24"/>
        </w:rPr>
        <w:t xml:space="preserve">(Mothle J as he then was presided in both matters) </w:t>
      </w:r>
      <w:r>
        <w:rPr>
          <w:rFonts w:ascii="Arial" w:hAnsi="Arial" w:cs="Arial"/>
          <w:color w:val="000000"/>
          <w:sz w:val="24"/>
          <w:szCs w:val="24"/>
        </w:rPr>
        <w:t xml:space="preserve">heard and refused applications for leave to appeal. </w:t>
      </w:r>
      <w:r w:rsidR="00CA3533">
        <w:rPr>
          <w:rFonts w:ascii="Arial" w:hAnsi="Arial" w:cs="Arial"/>
          <w:color w:val="000000"/>
          <w:sz w:val="24"/>
          <w:szCs w:val="24"/>
        </w:rPr>
        <w:t>When an application for leave to appea</w:t>
      </w:r>
      <w:r w:rsidR="00545DBC">
        <w:rPr>
          <w:rFonts w:ascii="Arial" w:hAnsi="Arial" w:cs="Arial"/>
          <w:color w:val="000000"/>
          <w:sz w:val="24"/>
          <w:szCs w:val="24"/>
        </w:rPr>
        <w:t xml:space="preserve">l was filed against a judgment I </w:t>
      </w:r>
      <w:r w:rsidR="00CA3533">
        <w:rPr>
          <w:rFonts w:ascii="Arial" w:hAnsi="Arial" w:cs="Arial"/>
          <w:color w:val="000000"/>
          <w:sz w:val="24"/>
          <w:szCs w:val="24"/>
        </w:rPr>
        <w:t xml:space="preserve">handed down in </w:t>
      </w:r>
      <w:r w:rsidR="00CA3533" w:rsidRPr="00545DBC">
        <w:rPr>
          <w:rFonts w:ascii="Arial" w:hAnsi="Arial" w:cs="Arial"/>
          <w:i/>
          <w:color w:val="000000"/>
          <w:sz w:val="24"/>
          <w:szCs w:val="24"/>
        </w:rPr>
        <w:t>Lehloenya</w:t>
      </w:r>
      <w:r w:rsidR="00CA3533">
        <w:rPr>
          <w:rFonts w:ascii="Arial" w:hAnsi="Arial" w:cs="Arial"/>
          <w:color w:val="000000"/>
          <w:sz w:val="24"/>
          <w:szCs w:val="24"/>
        </w:rPr>
        <w:t>,</w:t>
      </w:r>
      <w:r w:rsidR="00CA3533">
        <w:rPr>
          <w:rStyle w:val="FootnoteReference"/>
          <w:rFonts w:ascii="Arial" w:hAnsi="Arial" w:cs="Arial"/>
          <w:color w:val="000000"/>
          <w:sz w:val="24"/>
          <w:szCs w:val="24"/>
        </w:rPr>
        <w:footnoteReference w:id="7"/>
      </w:r>
      <w:r w:rsidR="00CA3533">
        <w:rPr>
          <w:rFonts w:ascii="Arial" w:hAnsi="Arial" w:cs="Arial"/>
          <w:color w:val="000000"/>
          <w:sz w:val="24"/>
          <w:szCs w:val="24"/>
        </w:rPr>
        <w:t xml:space="preserve"> out of concern that Tribunal Rule 32 provides for </w:t>
      </w:r>
      <w:r w:rsidR="003F25C0">
        <w:rPr>
          <w:rFonts w:ascii="Arial" w:hAnsi="Arial" w:cs="Arial"/>
          <w:color w:val="000000"/>
          <w:sz w:val="24"/>
          <w:szCs w:val="24"/>
        </w:rPr>
        <w:t>leave against Tribunal decision only where leave to appeal is granted whereas the plain reading of s 8(7) suggest</w:t>
      </w:r>
      <w:r w:rsidR="00545DBC">
        <w:rPr>
          <w:rFonts w:ascii="Arial" w:hAnsi="Arial" w:cs="Arial"/>
          <w:color w:val="000000"/>
          <w:sz w:val="24"/>
          <w:szCs w:val="24"/>
        </w:rPr>
        <w:t>s</w:t>
      </w:r>
      <w:r w:rsidR="003F25C0">
        <w:rPr>
          <w:rFonts w:ascii="Arial" w:hAnsi="Arial" w:cs="Arial"/>
          <w:color w:val="000000"/>
          <w:sz w:val="24"/>
          <w:szCs w:val="24"/>
        </w:rPr>
        <w:t xml:space="preserve"> an automatic right of appeal to the Full Court of the High Court with jurisdiction, </w:t>
      </w:r>
      <w:r w:rsidR="00CA3533">
        <w:rPr>
          <w:rFonts w:ascii="Arial" w:hAnsi="Arial" w:cs="Arial"/>
          <w:color w:val="000000"/>
          <w:sz w:val="24"/>
          <w:szCs w:val="24"/>
        </w:rPr>
        <w:t>there will be</w:t>
      </w:r>
      <w:r>
        <w:rPr>
          <w:rFonts w:ascii="Arial" w:hAnsi="Arial" w:cs="Arial"/>
          <w:color w:val="000000"/>
          <w:sz w:val="24"/>
          <w:szCs w:val="24"/>
        </w:rPr>
        <w:t xml:space="preserve"> possible conflicting approaches to applications for leave to appeal, not only by this Tribunal but also by litigants. </w:t>
      </w:r>
      <w:r w:rsidR="00CA3533">
        <w:rPr>
          <w:rFonts w:ascii="Arial" w:hAnsi="Arial" w:cs="Arial"/>
          <w:color w:val="000000"/>
          <w:sz w:val="24"/>
          <w:szCs w:val="24"/>
        </w:rPr>
        <w:t xml:space="preserve">I requested the then Tribunal President, Judge Makhanya to constitute a three-member Tribunal to consider </w:t>
      </w:r>
      <w:r w:rsidR="003F25C0">
        <w:rPr>
          <w:rFonts w:ascii="Arial" w:hAnsi="Arial" w:cs="Arial"/>
          <w:color w:val="000000"/>
          <w:sz w:val="24"/>
          <w:szCs w:val="24"/>
        </w:rPr>
        <w:t xml:space="preserve">the above questions. Judge Makhanya acquiesced the request and issued directives that the application </w:t>
      </w:r>
      <w:r w:rsidR="00545DBC">
        <w:rPr>
          <w:rFonts w:ascii="Arial" w:hAnsi="Arial" w:cs="Arial"/>
          <w:color w:val="000000"/>
          <w:sz w:val="24"/>
          <w:szCs w:val="24"/>
        </w:rPr>
        <w:t xml:space="preserve">for leave to appeal in </w:t>
      </w:r>
      <w:r w:rsidR="00545DBC" w:rsidRPr="008355BF">
        <w:rPr>
          <w:rFonts w:ascii="Arial" w:hAnsi="Arial" w:cs="Arial"/>
          <w:i/>
          <w:color w:val="000000"/>
          <w:sz w:val="24"/>
          <w:szCs w:val="24"/>
        </w:rPr>
        <w:t>Lehloenya</w:t>
      </w:r>
      <w:r w:rsidR="00545DBC">
        <w:rPr>
          <w:rFonts w:ascii="Arial" w:hAnsi="Arial" w:cs="Arial"/>
          <w:color w:val="000000"/>
          <w:sz w:val="24"/>
          <w:szCs w:val="24"/>
        </w:rPr>
        <w:t xml:space="preserve"> </w:t>
      </w:r>
      <w:r w:rsidR="003F25C0">
        <w:rPr>
          <w:rFonts w:ascii="Arial" w:hAnsi="Arial" w:cs="Arial"/>
          <w:color w:val="000000"/>
          <w:sz w:val="24"/>
          <w:szCs w:val="24"/>
        </w:rPr>
        <w:t xml:space="preserve">would be considered by a three-member Tribunal. </w:t>
      </w:r>
    </w:p>
    <w:p w:rsidR="003F25C0" w:rsidRDefault="003F25C0" w:rsidP="003F25C0">
      <w:pPr>
        <w:spacing w:before="480" w:after="480" w:line="360" w:lineRule="auto"/>
        <w:ind w:right="40"/>
        <w:jc w:val="both"/>
        <w:rPr>
          <w:rFonts w:ascii="Arial" w:hAnsi="Arial" w:cs="Arial"/>
          <w:color w:val="000000"/>
          <w:sz w:val="24"/>
          <w:szCs w:val="24"/>
        </w:rPr>
      </w:pPr>
      <w:r>
        <w:rPr>
          <w:rFonts w:ascii="Arial" w:hAnsi="Arial" w:cs="Arial"/>
          <w:color w:val="000000"/>
          <w:sz w:val="24"/>
          <w:szCs w:val="24"/>
        </w:rPr>
        <w:t>[5]</w:t>
      </w:r>
      <w:r>
        <w:rPr>
          <w:rFonts w:ascii="Arial" w:hAnsi="Arial" w:cs="Arial"/>
          <w:color w:val="000000"/>
          <w:sz w:val="24"/>
          <w:szCs w:val="24"/>
        </w:rPr>
        <w:tab/>
      </w:r>
      <w:r w:rsidR="00545DBC">
        <w:rPr>
          <w:rFonts w:ascii="Arial" w:hAnsi="Arial" w:cs="Arial"/>
          <w:color w:val="000000"/>
          <w:sz w:val="24"/>
          <w:szCs w:val="24"/>
        </w:rPr>
        <w:t>Regrettably, due to th</w:t>
      </w:r>
      <w:r w:rsidR="00314AEE">
        <w:rPr>
          <w:rFonts w:ascii="Arial" w:hAnsi="Arial" w:cs="Arial"/>
          <w:color w:val="000000"/>
          <w:sz w:val="24"/>
          <w:szCs w:val="24"/>
        </w:rPr>
        <w:t>e lack of availability of Tribunal members</w:t>
      </w:r>
      <w:r w:rsidR="00545DBC">
        <w:rPr>
          <w:rFonts w:ascii="Arial" w:hAnsi="Arial" w:cs="Arial"/>
          <w:color w:val="000000"/>
          <w:sz w:val="24"/>
          <w:szCs w:val="24"/>
        </w:rPr>
        <w:t xml:space="preserve">, Judge Makhanya </w:t>
      </w:r>
      <w:r w:rsidR="008355BF">
        <w:rPr>
          <w:rFonts w:ascii="Arial" w:hAnsi="Arial" w:cs="Arial"/>
          <w:color w:val="000000"/>
          <w:sz w:val="24"/>
          <w:szCs w:val="24"/>
        </w:rPr>
        <w:t xml:space="preserve">could </w:t>
      </w:r>
      <w:r w:rsidR="00545DBC">
        <w:rPr>
          <w:rFonts w:ascii="Arial" w:hAnsi="Arial" w:cs="Arial"/>
          <w:color w:val="000000"/>
          <w:sz w:val="24"/>
          <w:szCs w:val="24"/>
        </w:rPr>
        <w:t>not co</w:t>
      </w:r>
      <w:r w:rsidR="000D4238">
        <w:rPr>
          <w:rFonts w:ascii="Arial" w:hAnsi="Arial" w:cs="Arial"/>
          <w:color w:val="000000"/>
          <w:sz w:val="24"/>
          <w:szCs w:val="24"/>
        </w:rPr>
        <w:t>nstitute a three-member Tribunal</w:t>
      </w:r>
      <w:r w:rsidR="005F26AD">
        <w:rPr>
          <w:rFonts w:ascii="Arial" w:hAnsi="Arial" w:cs="Arial"/>
          <w:color w:val="000000"/>
          <w:sz w:val="24"/>
          <w:szCs w:val="24"/>
        </w:rPr>
        <w:t xml:space="preserve">. </w:t>
      </w:r>
      <w:r>
        <w:rPr>
          <w:rFonts w:ascii="Arial" w:hAnsi="Arial" w:cs="Arial"/>
          <w:color w:val="000000"/>
          <w:sz w:val="24"/>
          <w:szCs w:val="24"/>
        </w:rPr>
        <w:t xml:space="preserve">Ms Lehloenya </w:t>
      </w:r>
      <w:r w:rsidR="00545DBC">
        <w:rPr>
          <w:rFonts w:ascii="Arial" w:hAnsi="Arial" w:cs="Arial"/>
          <w:color w:val="000000"/>
          <w:sz w:val="24"/>
          <w:szCs w:val="24"/>
        </w:rPr>
        <w:t xml:space="preserve">subsequently </w:t>
      </w:r>
      <w:r>
        <w:rPr>
          <w:rFonts w:ascii="Arial" w:hAnsi="Arial" w:cs="Arial"/>
          <w:color w:val="000000"/>
          <w:sz w:val="24"/>
          <w:szCs w:val="24"/>
        </w:rPr>
        <w:t>abandon</w:t>
      </w:r>
      <w:r w:rsidR="00545DBC">
        <w:rPr>
          <w:rFonts w:ascii="Arial" w:hAnsi="Arial" w:cs="Arial"/>
          <w:color w:val="000000"/>
          <w:sz w:val="24"/>
          <w:szCs w:val="24"/>
        </w:rPr>
        <w:t>ed</w:t>
      </w:r>
      <w:r>
        <w:rPr>
          <w:rFonts w:ascii="Arial" w:hAnsi="Arial" w:cs="Arial"/>
          <w:color w:val="000000"/>
          <w:sz w:val="24"/>
          <w:szCs w:val="24"/>
        </w:rPr>
        <w:t xml:space="preserve"> her application for leave to appeal and approach</w:t>
      </w:r>
      <w:r w:rsidR="00545DBC">
        <w:rPr>
          <w:rFonts w:ascii="Arial" w:hAnsi="Arial" w:cs="Arial"/>
          <w:color w:val="000000"/>
          <w:sz w:val="24"/>
          <w:szCs w:val="24"/>
        </w:rPr>
        <w:t>ed</w:t>
      </w:r>
      <w:r>
        <w:rPr>
          <w:rFonts w:ascii="Arial" w:hAnsi="Arial" w:cs="Arial"/>
          <w:color w:val="000000"/>
          <w:sz w:val="24"/>
          <w:szCs w:val="24"/>
        </w:rPr>
        <w:t xml:space="preserve"> the Full Court on the basis of her automatic right to appeal to that court. </w:t>
      </w:r>
    </w:p>
    <w:p w:rsidR="00EC1417" w:rsidRDefault="003F25C0" w:rsidP="00FA3E04">
      <w:pPr>
        <w:spacing w:before="480" w:after="480" w:line="360" w:lineRule="auto"/>
        <w:ind w:right="40"/>
        <w:jc w:val="both"/>
        <w:rPr>
          <w:rFonts w:ascii="Arial" w:hAnsi="Arial" w:cs="Arial"/>
          <w:color w:val="000000"/>
          <w:sz w:val="24"/>
          <w:szCs w:val="24"/>
        </w:rPr>
      </w:pPr>
      <w:r>
        <w:rPr>
          <w:rFonts w:ascii="Arial" w:hAnsi="Arial" w:cs="Arial"/>
          <w:color w:val="000000"/>
          <w:sz w:val="24"/>
          <w:szCs w:val="24"/>
        </w:rPr>
        <w:t>[6]</w:t>
      </w:r>
      <w:r>
        <w:rPr>
          <w:rFonts w:ascii="Arial" w:hAnsi="Arial" w:cs="Arial"/>
          <w:color w:val="000000"/>
          <w:sz w:val="24"/>
          <w:szCs w:val="24"/>
        </w:rPr>
        <w:tab/>
        <w:t xml:space="preserve">As fate would have it, </w:t>
      </w:r>
      <w:r w:rsidR="00EC1417">
        <w:rPr>
          <w:rFonts w:ascii="Arial" w:hAnsi="Arial" w:cs="Arial"/>
          <w:color w:val="000000"/>
          <w:sz w:val="24"/>
          <w:szCs w:val="24"/>
        </w:rPr>
        <w:t xml:space="preserve">in </w:t>
      </w:r>
      <w:r w:rsidR="00EC1417" w:rsidRPr="00EC1417">
        <w:rPr>
          <w:rFonts w:ascii="Arial" w:hAnsi="Arial" w:cs="Arial"/>
          <w:i/>
          <w:color w:val="000000"/>
          <w:sz w:val="24"/>
          <w:szCs w:val="24"/>
        </w:rPr>
        <w:t>Mpofana</w:t>
      </w:r>
      <w:r w:rsidR="00545DBC">
        <w:rPr>
          <w:rStyle w:val="FootnoteReference"/>
          <w:rFonts w:ascii="Arial" w:hAnsi="Arial" w:cs="Arial"/>
          <w:i/>
          <w:color w:val="000000"/>
          <w:sz w:val="24"/>
          <w:szCs w:val="24"/>
        </w:rPr>
        <w:footnoteReference w:id="8"/>
      </w:r>
      <w:r>
        <w:rPr>
          <w:rFonts w:ascii="Arial" w:hAnsi="Arial" w:cs="Arial"/>
          <w:color w:val="000000"/>
          <w:sz w:val="24"/>
          <w:szCs w:val="24"/>
        </w:rPr>
        <w:t xml:space="preserve"> </w:t>
      </w:r>
      <w:r w:rsidR="00EC1417">
        <w:rPr>
          <w:rFonts w:ascii="Arial" w:hAnsi="Arial" w:cs="Arial"/>
          <w:color w:val="000000"/>
          <w:sz w:val="24"/>
          <w:szCs w:val="24"/>
        </w:rPr>
        <w:t xml:space="preserve">the parties against whom judgment was granted automatically approached the High Court to appeal against the Tribunal’s </w:t>
      </w:r>
      <w:r>
        <w:rPr>
          <w:rFonts w:ascii="Arial" w:hAnsi="Arial" w:cs="Arial"/>
          <w:color w:val="000000"/>
          <w:sz w:val="24"/>
          <w:szCs w:val="24"/>
        </w:rPr>
        <w:t>judgement without seeking leave. They too asserted what they contend is their automatic right to appeal in terms of s 8(7) of the Act. However, in Digital Vibes</w:t>
      </w:r>
      <w:r w:rsidR="00B54F28">
        <w:rPr>
          <w:rStyle w:val="FootnoteReference"/>
          <w:rFonts w:ascii="Arial" w:hAnsi="Arial" w:cs="Arial"/>
          <w:color w:val="000000"/>
          <w:sz w:val="24"/>
          <w:szCs w:val="24"/>
        </w:rPr>
        <w:footnoteReference w:id="9"/>
      </w:r>
      <w:r>
        <w:rPr>
          <w:rFonts w:ascii="Arial" w:hAnsi="Arial" w:cs="Arial"/>
          <w:color w:val="000000"/>
          <w:sz w:val="24"/>
          <w:szCs w:val="24"/>
        </w:rPr>
        <w:t>, Hamilton Ndlovu</w:t>
      </w:r>
      <w:r w:rsidR="00B54F28">
        <w:rPr>
          <w:rStyle w:val="FootnoteReference"/>
          <w:rFonts w:ascii="Arial" w:hAnsi="Arial" w:cs="Arial"/>
          <w:color w:val="000000"/>
          <w:sz w:val="24"/>
          <w:szCs w:val="24"/>
        </w:rPr>
        <w:footnoteReference w:id="10"/>
      </w:r>
      <w:r>
        <w:rPr>
          <w:rFonts w:ascii="Arial" w:hAnsi="Arial" w:cs="Arial"/>
          <w:color w:val="000000"/>
          <w:sz w:val="24"/>
          <w:szCs w:val="24"/>
        </w:rPr>
        <w:t xml:space="preserve"> and LNG Scientific</w:t>
      </w:r>
      <w:r w:rsidR="00B54F28">
        <w:rPr>
          <w:rStyle w:val="FootnoteReference"/>
          <w:rFonts w:ascii="Arial" w:hAnsi="Arial" w:cs="Arial"/>
          <w:color w:val="000000"/>
          <w:sz w:val="24"/>
          <w:szCs w:val="24"/>
        </w:rPr>
        <w:footnoteReference w:id="11"/>
      </w:r>
      <w:r>
        <w:rPr>
          <w:rFonts w:ascii="Arial" w:hAnsi="Arial" w:cs="Arial"/>
          <w:color w:val="000000"/>
          <w:sz w:val="24"/>
          <w:szCs w:val="24"/>
        </w:rPr>
        <w:t xml:space="preserve"> the parties are seeking the Tribunal’s leave to appeal to the Full Court.  </w:t>
      </w:r>
    </w:p>
    <w:p w:rsidR="003F25C0" w:rsidRDefault="00C8341D" w:rsidP="00FA3E04">
      <w:pPr>
        <w:spacing w:before="480" w:after="480" w:line="360" w:lineRule="auto"/>
        <w:ind w:right="40"/>
        <w:jc w:val="both"/>
        <w:rPr>
          <w:rFonts w:ascii="Arial" w:hAnsi="Arial" w:cs="Arial"/>
          <w:color w:val="000000"/>
          <w:sz w:val="24"/>
          <w:szCs w:val="24"/>
        </w:rPr>
      </w:pPr>
      <w:r>
        <w:rPr>
          <w:rFonts w:ascii="Arial" w:hAnsi="Arial" w:cs="Arial"/>
          <w:color w:val="000000"/>
          <w:sz w:val="24"/>
          <w:szCs w:val="24"/>
        </w:rPr>
        <w:t>[7]</w:t>
      </w:r>
      <w:r>
        <w:rPr>
          <w:rFonts w:ascii="Arial" w:hAnsi="Arial" w:cs="Arial"/>
          <w:color w:val="000000"/>
          <w:sz w:val="24"/>
          <w:szCs w:val="24"/>
        </w:rPr>
        <w:tab/>
        <w:t xml:space="preserve">Given that there were no prospects that </w:t>
      </w:r>
      <w:r w:rsidR="00314AEE">
        <w:rPr>
          <w:rFonts w:ascii="Arial" w:hAnsi="Arial" w:cs="Arial"/>
          <w:color w:val="000000"/>
          <w:sz w:val="24"/>
          <w:szCs w:val="24"/>
        </w:rPr>
        <w:t>I w</w:t>
      </w:r>
      <w:r>
        <w:rPr>
          <w:rFonts w:ascii="Arial" w:hAnsi="Arial" w:cs="Arial"/>
          <w:color w:val="000000"/>
          <w:sz w:val="24"/>
          <w:szCs w:val="24"/>
        </w:rPr>
        <w:t>ill be able to constitute a three-member Tribunal to consider the above issues in the short-term</w:t>
      </w:r>
      <w:r w:rsidR="00B54F28">
        <w:rPr>
          <w:rFonts w:ascii="Arial" w:hAnsi="Arial" w:cs="Arial"/>
          <w:color w:val="000000"/>
          <w:sz w:val="24"/>
          <w:szCs w:val="24"/>
        </w:rPr>
        <w:t xml:space="preserve"> due to the l</w:t>
      </w:r>
      <w:r w:rsidR="00314AEE">
        <w:rPr>
          <w:rFonts w:ascii="Arial" w:hAnsi="Arial" w:cs="Arial"/>
          <w:color w:val="000000"/>
          <w:sz w:val="24"/>
          <w:szCs w:val="24"/>
        </w:rPr>
        <w:t xml:space="preserve">ack of availability of Tribunal </w:t>
      </w:r>
      <w:r w:rsidR="00B54F28">
        <w:rPr>
          <w:rFonts w:ascii="Arial" w:hAnsi="Arial" w:cs="Arial"/>
          <w:color w:val="000000"/>
          <w:sz w:val="24"/>
          <w:szCs w:val="24"/>
        </w:rPr>
        <w:t>members</w:t>
      </w:r>
      <w:r>
        <w:rPr>
          <w:rFonts w:ascii="Arial" w:hAnsi="Arial" w:cs="Arial"/>
          <w:color w:val="000000"/>
          <w:sz w:val="24"/>
          <w:szCs w:val="24"/>
        </w:rPr>
        <w:t xml:space="preserve">, I resolved to hear the present application. I however, requested counsel for the parties to submit supplementary heads of argument addressing the above issues. I am indebted to them for their prized assistance. </w:t>
      </w:r>
    </w:p>
    <w:p w:rsidR="00FA3E04" w:rsidRDefault="00C8341D" w:rsidP="006C3930">
      <w:pPr>
        <w:spacing w:before="480" w:after="480" w:line="360" w:lineRule="auto"/>
        <w:ind w:right="40"/>
        <w:jc w:val="both"/>
        <w:rPr>
          <w:rFonts w:ascii="Arial" w:hAnsi="Arial" w:cs="Arial"/>
          <w:color w:val="000000"/>
          <w:sz w:val="24"/>
          <w:szCs w:val="24"/>
        </w:rPr>
      </w:pPr>
      <w:r>
        <w:rPr>
          <w:rFonts w:ascii="Arial" w:hAnsi="Arial" w:cs="Arial"/>
          <w:color w:val="000000"/>
          <w:sz w:val="24"/>
          <w:szCs w:val="24"/>
        </w:rPr>
        <w:t>[8</w:t>
      </w:r>
      <w:r w:rsidR="000D4238">
        <w:rPr>
          <w:rFonts w:ascii="Arial" w:hAnsi="Arial" w:cs="Arial"/>
          <w:color w:val="000000"/>
          <w:sz w:val="24"/>
          <w:szCs w:val="24"/>
        </w:rPr>
        <w:t>]</w:t>
      </w:r>
      <w:r w:rsidR="000D4238">
        <w:rPr>
          <w:rFonts w:ascii="Arial" w:hAnsi="Arial" w:cs="Arial"/>
          <w:color w:val="000000"/>
          <w:sz w:val="24"/>
          <w:szCs w:val="24"/>
        </w:rPr>
        <w:tab/>
        <w:t>The plaintiffs contend</w:t>
      </w:r>
      <w:r w:rsidR="00EC1417" w:rsidRPr="00EC1417">
        <w:rPr>
          <w:rFonts w:ascii="Arial" w:hAnsi="Arial" w:cs="Arial"/>
          <w:color w:val="000000"/>
          <w:sz w:val="24"/>
          <w:szCs w:val="24"/>
        </w:rPr>
        <w:t xml:space="preserve"> that </w:t>
      </w:r>
      <w:r w:rsidR="00EC1417" w:rsidRPr="00EC1417">
        <w:rPr>
          <w:rFonts w:ascii="Arial" w:hAnsi="Arial" w:cs="Arial"/>
          <w:color w:val="000000" w:themeColor="text1"/>
          <w:sz w:val="24"/>
          <w:szCs w:val="24"/>
          <w:lang w:val="en-GB"/>
        </w:rPr>
        <w:t xml:space="preserve">leave to appeal in civil proceedings is a jurisdictional requirement in respect of any judgment or order. Therefore, section 8(7) read with ss </w:t>
      </w:r>
      <w:r w:rsidR="008355BF">
        <w:rPr>
          <w:rFonts w:ascii="Arial" w:hAnsi="Arial" w:cs="Arial"/>
          <w:color w:val="000000" w:themeColor="text1"/>
          <w:sz w:val="24"/>
          <w:szCs w:val="24"/>
          <w:lang w:val="en-GB"/>
        </w:rPr>
        <w:t>16 and 17 of the Superior Court</w:t>
      </w:r>
      <w:r w:rsidR="00EC1417" w:rsidRPr="00EC1417">
        <w:rPr>
          <w:rFonts w:ascii="Arial" w:hAnsi="Arial" w:cs="Arial"/>
          <w:color w:val="000000" w:themeColor="text1"/>
          <w:sz w:val="24"/>
          <w:szCs w:val="24"/>
          <w:lang w:val="en-GB"/>
        </w:rPr>
        <w:t xml:space="preserve">s Act should be interpreted to impose such a jurisdictional requirement. </w:t>
      </w:r>
      <w:r w:rsidR="00FA3E04" w:rsidRPr="00EC1417">
        <w:rPr>
          <w:rFonts w:ascii="Arial" w:hAnsi="Arial" w:cs="Arial"/>
          <w:color w:val="000000"/>
          <w:sz w:val="24"/>
          <w:szCs w:val="24"/>
        </w:rPr>
        <w:t xml:space="preserve"> </w:t>
      </w:r>
      <w:r w:rsidR="006C3930">
        <w:rPr>
          <w:rFonts w:ascii="Arial" w:hAnsi="Arial" w:cs="Arial"/>
          <w:color w:val="000000"/>
          <w:sz w:val="24"/>
          <w:szCs w:val="24"/>
        </w:rPr>
        <w:t xml:space="preserve">Profteam contends that Tribunal </w:t>
      </w:r>
      <w:r w:rsidR="006C3930" w:rsidRPr="006C3930">
        <w:rPr>
          <w:rFonts w:ascii="Arial" w:hAnsi="Arial" w:cs="Arial"/>
          <w:color w:val="000000"/>
          <w:sz w:val="24"/>
          <w:szCs w:val="24"/>
        </w:rPr>
        <w:t xml:space="preserve">Rule 33(3) is </w:t>
      </w:r>
      <w:r w:rsidR="006C3930" w:rsidRPr="00B54F28">
        <w:rPr>
          <w:rFonts w:ascii="Arial" w:hAnsi="Arial" w:cs="Arial"/>
          <w:i/>
          <w:color w:val="000000"/>
          <w:sz w:val="24"/>
          <w:szCs w:val="24"/>
        </w:rPr>
        <w:t>ultra vires</w:t>
      </w:r>
      <w:r w:rsidR="008355BF">
        <w:rPr>
          <w:rFonts w:ascii="Arial" w:hAnsi="Arial" w:cs="Arial"/>
          <w:color w:val="000000"/>
          <w:sz w:val="24"/>
          <w:szCs w:val="24"/>
        </w:rPr>
        <w:t xml:space="preserve"> s</w:t>
      </w:r>
      <w:r w:rsidR="000D4238">
        <w:rPr>
          <w:rFonts w:ascii="Arial" w:hAnsi="Arial" w:cs="Arial"/>
          <w:color w:val="000000"/>
          <w:sz w:val="24"/>
          <w:szCs w:val="24"/>
        </w:rPr>
        <w:t xml:space="preserve"> 9(1) of the </w:t>
      </w:r>
      <w:r w:rsidR="006C3930" w:rsidRPr="006C3930">
        <w:rPr>
          <w:rFonts w:ascii="Arial" w:hAnsi="Arial" w:cs="Arial"/>
          <w:color w:val="000000"/>
          <w:sz w:val="24"/>
          <w:szCs w:val="24"/>
        </w:rPr>
        <w:t>Act in</w:t>
      </w:r>
      <w:r w:rsidR="006C3930">
        <w:rPr>
          <w:rFonts w:ascii="Arial" w:hAnsi="Arial" w:cs="Arial"/>
          <w:color w:val="000000"/>
          <w:sz w:val="24"/>
          <w:szCs w:val="24"/>
        </w:rPr>
        <w:t xml:space="preserve"> </w:t>
      </w:r>
      <w:r w:rsidR="006C3930" w:rsidRPr="006C3930">
        <w:rPr>
          <w:rFonts w:ascii="Arial" w:hAnsi="Arial" w:cs="Arial"/>
          <w:color w:val="000000"/>
          <w:sz w:val="24"/>
          <w:szCs w:val="24"/>
        </w:rPr>
        <w:t>that it attempts to limit the unqual</w:t>
      </w:r>
      <w:r w:rsidR="008355BF">
        <w:rPr>
          <w:rFonts w:ascii="Arial" w:hAnsi="Arial" w:cs="Arial"/>
          <w:color w:val="000000"/>
          <w:sz w:val="24"/>
          <w:szCs w:val="24"/>
        </w:rPr>
        <w:t>ified right to appeal in s</w:t>
      </w:r>
      <w:r w:rsidR="006C3930" w:rsidRPr="006C3930">
        <w:rPr>
          <w:rFonts w:ascii="Arial" w:hAnsi="Arial" w:cs="Arial"/>
          <w:color w:val="000000"/>
          <w:sz w:val="24"/>
          <w:szCs w:val="24"/>
        </w:rPr>
        <w:t xml:space="preserve"> 8(7) of</w:t>
      </w:r>
      <w:r w:rsidR="006C3930">
        <w:rPr>
          <w:rFonts w:ascii="Arial" w:hAnsi="Arial" w:cs="Arial"/>
          <w:color w:val="000000"/>
          <w:sz w:val="24"/>
          <w:szCs w:val="24"/>
        </w:rPr>
        <w:t xml:space="preserve"> </w:t>
      </w:r>
      <w:r w:rsidR="006C3930" w:rsidRPr="006C3930">
        <w:rPr>
          <w:rFonts w:ascii="Arial" w:hAnsi="Arial" w:cs="Arial"/>
          <w:color w:val="000000"/>
          <w:sz w:val="24"/>
          <w:szCs w:val="24"/>
        </w:rPr>
        <w:t>the Ac</w:t>
      </w:r>
      <w:r w:rsidR="006C3930">
        <w:rPr>
          <w:rFonts w:ascii="Arial" w:hAnsi="Arial" w:cs="Arial"/>
          <w:color w:val="000000"/>
          <w:sz w:val="24"/>
          <w:szCs w:val="24"/>
        </w:rPr>
        <w:t xml:space="preserve">t. Caledon River Properties merely made submissions as directed by the Tribunal. It takes no issue with the point the Tribunal raised and demands that its application for leave to appeal, filed in terms of Tribunal Rule 32 be considered as the rule has not been set aside. </w:t>
      </w:r>
    </w:p>
    <w:p w:rsidR="00C960B0" w:rsidRPr="00DC33CA" w:rsidRDefault="00C8341D" w:rsidP="00C960B0">
      <w:pPr>
        <w:spacing w:before="480" w:after="0" w:line="360" w:lineRule="auto"/>
        <w:ind w:right="40"/>
        <w:jc w:val="both"/>
        <w:rPr>
          <w:rFonts w:ascii="Arial" w:hAnsi="Arial" w:cs="Arial"/>
          <w:color w:val="000000"/>
          <w:sz w:val="24"/>
          <w:szCs w:val="24"/>
        </w:rPr>
      </w:pPr>
      <w:r>
        <w:rPr>
          <w:rFonts w:ascii="Arial" w:hAnsi="Arial" w:cs="Arial"/>
          <w:color w:val="000000"/>
          <w:sz w:val="24"/>
          <w:szCs w:val="24"/>
        </w:rPr>
        <w:t>[9</w:t>
      </w:r>
      <w:r w:rsidR="00C960B0" w:rsidRPr="00DC33CA">
        <w:rPr>
          <w:rFonts w:ascii="Arial" w:hAnsi="Arial" w:cs="Arial"/>
          <w:color w:val="000000"/>
          <w:sz w:val="24"/>
          <w:szCs w:val="24"/>
        </w:rPr>
        <w:t>]</w:t>
      </w:r>
      <w:r w:rsidR="00C960B0" w:rsidRPr="00DC33CA">
        <w:rPr>
          <w:rFonts w:ascii="Arial" w:hAnsi="Arial" w:cs="Arial"/>
          <w:color w:val="000000"/>
          <w:sz w:val="24"/>
          <w:szCs w:val="24"/>
        </w:rPr>
        <w:tab/>
        <w:t xml:space="preserve">The wording in s 8(7) is devoid of ambiguity. It provides as follows: </w:t>
      </w:r>
    </w:p>
    <w:p w:rsidR="00C960B0" w:rsidRDefault="00C960B0" w:rsidP="00C960B0">
      <w:pPr>
        <w:spacing w:line="360" w:lineRule="auto"/>
        <w:ind w:left="720" w:right="40"/>
        <w:jc w:val="both"/>
        <w:rPr>
          <w:rFonts w:ascii="Arial" w:hAnsi="Arial" w:cs="Arial"/>
          <w:i/>
          <w:color w:val="000000"/>
          <w:sz w:val="24"/>
          <w:szCs w:val="24"/>
        </w:rPr>
      </w:pPr>
      <w:r w:rsidRPr="00C960B0">
        <w:rPr>
          <w:rFonts w:ascii="Arial" w:hAnsi="Arial" w:cs="Arial"/>
          <w:b/>
          <w:i/>
          <w:color w:val="000000"/>
          <w:sz w:val="24"/>
          <w:szCs w:val="24"/>
        </w:rPr>
        <w:t>“</w:t>
      </w:r>
      <w:r w:rsidRPr="00C960B0">
        <w:rPr>
          <w:rFonts w:ascii="Arial" w:hAnsi="Arial" w:cs="Arial"/>
          <w:i/>
          <w:color w:val="000000"/>
          <w:sz w:val="24"/>
          <w:szCs w:val="24"/>
        </w:rPr>
        <w:t>Any party may appeal against a ruling, decision or order of a Special Tribunal to the Provincial Division of the Supreme Court which has jurisdiction and such an appeal shall be deemed to be an appeal against a decision by a single judge of the Supreme Court: Provided that no appeal shall lie against any ruling, decision or order which, if made by the Supreme Court, would not be subject to appeal.”</w:t>
      </w:r>
    </w:p>
    <w:p w:rsidR="00C960B0" w:rsidRDefault="00C8341D" w:rsidP="00080DBD">
      <w:pPr>
        <w:spacing w:line="360" w:lineRule="auto"/>
        <w:ind w:right="40"/>
        <w:jc w:val="both"/>
        <w:rPr>
          <w:rFonts w:ascii="Arial" w:hAnsi="Arial" w:cs="Arial"/>
          <w:color w:val="000000"/>
          <w:sz w:val="24"/>
          <w:szCs w:val="24"/>
        </w:rPr>
      </w:pPr>
      <w:r>
        <w:rPr>
          <w:rFonts w:ascii="Arial" w:hAnsi="Arial" w:cs="Arial"/>
          <w:color w:val="000000"/>
          <w:sz w:val="24"/>
          <w:szCs w:val="24"/>
        </w:rPr>
        <w:t>[10</w:t>
      </w:r>
      <w:r w:rsidR="00C960B0" w:rsidRPr="00C960B0">
        <w:rPr>
          <w:rFonts w:ascii="Arial" w:hAnsi="Arial" w:cs="Arial"/>
          <w:color w:val="000000"/>
          <w:sz w:val="24"/>
          <w:szCs w:val="24"/>
        </w:rPr>
        <w:t>]</w:t>
      </w:r>
      <w:r w:rsidR="00C960B0" w:rsidRPr="00C960B0">
        <w:rPr>
          <w:rFonts w:ascii="Arial" w:hAnsi="Arial" w:cs="Arial"/>
          <w:color w:val="000000"/>
          <w:sz w:val="24"/>
          <w:szCs w:val="24"/>
        </w:rPr>
        <w:tab/>
        <w:t>S</w:t>
      </w:r>
      <w:r w:rsidR="008355BF">
        <w:rPr>
          <w:rFonts w:ascii="Arial" w:hAnsi="Arial" w:cs="Arial"/>
          <w:color w:val="000000"/>
          <w:sz w:val="24"/>
          <w:szCs w:val="24"/>
        </w:rPr>
        <w:t xml:space="preserve"> </w:t>
      </w:r>
      <w:r w:rsidR="00C960B0" w:rsidRPr="00C960B0">
        <w:rPr>
          <w:rFonts w:ascii="Arial" w:hAnsi="Arial" w:cs="Arial"/>
          <w:color w:val="000000"/>
          <w:sz w:val="24"/>
          <w:szCs w:val="24"/>
        </w:rPr>
        <w:t xml:space="preserve">8(7) expressly provides for the right of a party to appeal against a Tribunal’s </w:t>
      </w:r>
      <w:r>
        <w:rPr>
          <w:rFonts w:ascii="Arial" w:hAnsi="Arial" w:cs="Arial"/>
          <w:color w:val="000000"/>
          <w:sz w:val="24"/>
          <w:szCs w:val="24"/>
        </w:rPr>
        <w:t xml:space="preserve">ruling, decision or </w:t>
      </w:r>
      <w:r w:rsidR="00C960B0" w:rsidRPr="00C960B0">
        <w:rPr>
          <w:rFonts w:ascii="Arial" w:hAnsi="Arial" w:cs="Arial"/>
          <w:color w:val="000000"/>
          <w:sz w:val="24"/>
          <w:szCs w:val="24"/>
        </w:rPr>
        <w:t xml:space="preserve">order to a Division of the High Court with jurisdiction. It has not qualified this right.  It </w:t>
      </w:r>
      <w:r>
        <w:rPr>
          <w:rFonts w:ascii="Arial" w:hAnsi="Arial" w:cs="Arial"/>
          <w:color w:val="000000"/>
          <w:sz w:val="24"/>
          <w:szCs w:val="24"/>
        </w:rPr>
        <w:t xml:space="preserve">only </w:t>
      </w:r>
      <w:r w:rsidR="00C960B0" w:rsidRPr="00C960B0">
        <w:rPr>
          <w:rFonts w:ascii="Arial" w:hAnsi="Arial" w:cs="Arial"/>
          <w:color w:val="000000"/>
          <w:sz w:val="24"/>
          <w:szCs w:val="24"/>
        </w:rPr>
        <w:t>excludes the right in any ruling, decision or order which, if made by the High</w:t>
      </w:r>
      <w:r w:rsidR="00080DBD">
        <w:rPr>
          <w:rFonts w:ascii="Arial" w:hAnsi="Arial" w:cs="Arial"/>
          <w:color w:val="000000"/>
          <w:sz w:val="24"/>
          <w:szCs w:val="24"/>
        </w:rPr>
        <w:t xml:space="preserve"> Court</w:t>
      </w:r>
      <w:r w:rsidR="00C960B0" w:rsidRPr="00C960B0">
        <w:rPr>
          <w:rFonts w:ascii="Arial" w:hAnsi="Arial" w:cs="Arial"/>
          <w:color w:val="000000"/>
          <w:sz w:val="24"/>
          <w:szCs w:val="24"/>
        </w:rPr>
        <w:t>, would not be subject to appeal.</w:t>
      </w:r>
    </w:p>
    <w:p w:rsidR="007A561C" w:rsidRDefault="0003515E" w:rsidP="007A561C">
      <w:pPr>
        <w:spacing w:line="360" w:lineRule="auto"/>
        <w:jc w:val="both"/>
        <w:rPr>
          <w:rFonts w:ascii="Arial" w:hAnsi="Arial" w:cs="Arial"/>
          <w:color w:val="000000"/>
          <w:sz w:val="24"/>
          <w:szCs w:val="24"/>
        </w:rPr>
      </w:pPr>
      <w:r>
        <w:rPr>
          <w:rFonts w:ascii="Arial" w:hAnsi="Arial" w:cs="Arial"/>
          <w:color w:val="000000"/>
          <w:sz w:val="24"/>
          <w:szCs w:val="24"/>
        </w:rPr>
        <w:t>[11</w:t>
      </w:r>
      <w:r w:rsidR="00080DBD">
        <w:rPr>
          <w:rFonts w:ascii="Arial" w:hAnsi="Arial" w:cs="Arial"/>
          <w:color w:val="000000"/>
          <w:sz w:val="24"/>
          <w:szCs w:val="24"/>
        </w:rPr>
        <w:t>]</w:t>
      </w:r>
      <w:r w:rsidR="00080DBD">
        <w:rPr>
          <w:rFonts w:ascii="Arial" w:hAnsi="Arial" w:cs="Arial"/>
          <w:color w:val="000000"/>
          <w:sz w:val="24"/>
          <w:szCs w:val="24"/>
        </w:rPr>
        <w:tab/>
        <w:t>The Tribunal is a creature of statute. It rights must be strictly construed as set out in its enabling legislation.</w:t>
      </w:r>
      <w:r w:rsidR="00080DBD">
        <w:rPr>
          <w:rStyle w:val="FootnoteReference"/>
          <w:rFonts w:ascii="Arial" w:hAnsi="Arial" w:cs="Arial"/>
          <w:color w:val="000000"/>
          <w:sz w:val="24"/>
          <w:szCs w:val="24"/>
        </w:rPr>
        <w:footnoteReference w:id="12"/>
      </w:r>
      <w:r w:rsidR="00080DBD">
        <w:rPr>
          <w:rFonts w:ascii="Arial" w:hAnsi="Arial" w:cs="Arial"/>
          <w:color w:val="000000"/>
          <w:sz w:val="24"/>
          <w:szCs w:val="24"/>
        </w:rPr>
        <w:t xml:space="preserve"> </w:t>
      </w:r>
      <w:r w:rsidR="00B54F28">
        <w:rPr>
          <w:rFonts w:ascii="Arial" w:hAnsi="Arial" w:cs="Arial"/>
          <w:color w:val="000000"/>
          <w:sz w:val="24"/>
          <w:szCs w:val="24"/>
        </w:rPr>
        <w:t xml:space="preserve">In terms of s 9(1), the Tribunal President may make rules to regulate the conduct of proceedings before the Tribunal including the manner in which proceedings </w:t>
      </w:r>
      <w:r w:rsidR="00B54F28" w:rsidRPr="00B54F28">
        <w:rPr>
          <w:rFonts w:ascii="Arial" w:hAnsi="Arial" w:cs="Arial"/>
          <w:color w:val="000000"/>
          <w:sz w:val="24"/>
          <w:szCs w:val="24"/>
        </w:rPr>
        <w:t>are brought before the Tribunal, and the form and content of that process.</w:t>
      </w:r>
      <w:r w:rsidR="00B54F28">
        <w:rPr>
          <w:rFonts w:ascii="Arial" w:hAnsi="Arial" w:cs="Arial"/>
          <w:color w:val="000000"/>
          <w:sz w:val="24"/>
          <w:szCs w:val="24"/>
        </w:rPr>
        <w:t xml:space="preserve"> S 9(1) does not authorise the Tribunal President to divest </w:t>
      </w:r>
      <w:r w:rsidR="008355BF">
        <w:rPr>
          <w:rFonts w:ascii="Arial" w:hAnsi="Arial" w:cs="Arial"/>
          <w:color w:val="000000"/>
          <w:sz w:val="24"/>
          <w:szCs w:val="24"/>
        </w:rPr>
        <w:t xml:space="preserve">parties the </w:t>
      </w:r>
      <w:r w:rsidR="007A561C">
        <w:rPr>
          <w:rFonts w:ascii="Arial" w:hAnsi="Arial" w:cs="Arial"/>
          <w:color w:val="000000"/>
          <w:sz w:val="24"/>
          <w:szCs w:val="24"/>
        </w:rPr>
        <w:t>right</w:t>
      </w:r>
      <w:r w:rsidR="008355BF">
        <w:rPr>
          <w:rFonts w:ascii="Arial" w:hAnsi="Arial" w:cs="Arial"/>
          <w:color w:val="000000"/>
          <w:sz w:val="24"/>
          <w:szCs w:val="24"/>
        </w:rPr>
        <w:t xml:space="preserve"> they</w:t>
      </w:r>
      <w:r w:rsidR="007A561C">
        <w:rPr>
          <w:rFonts w:ascii="Arial" w:hAnsi="Arial" w:cs="Arial"/>
          <w:color w:val="000000"/>
          <w:sz w:val="24"/>
          <w:szCs w:val="24"/>
        </w:rPr>
        <w:t xml:space="preserve"> enjoy in terms of the Act. </w:t>
      </w:r>
      <w:r w:rsidR="00080DBD">
        <w:rPr>
          <w:rFonts w:ascii="Arial" w:hAnsi="Arial" w:cs="Arial"/>
          <w:color w:val="000000"/>
          <w:sz w:val="24"/>
          <w:szCs w:val="24"/>
        </w:rPr>
        <w:t xml:space="preserve"> </w:t>
      </w:r>
    </w:p>
    <w:p w:rsidR="00080DBD" w:rsidRPr="007A561C" w:rsidRDefault="0003515E" w:rsidP="007A561C">
      <w:pPr>
        <w:spacing w:line="360" w:lineRule="auto"/>
        <w:jc w:val="both"/>
        <w:rPr>
          <w:rFonts w:ascii="Verdana" w:hAnsi="Verdana"/>
          <w:color w:val="000000"/>
          <w:sz w:val="20"/>
          <w:szCs w:val="20"/>
        </w:rPr>
      </w:pPr>
      <w:r>
        <w:rPr>
          <w:rFonts w:ascii="Arial" w:hAnsi="Arial" w:cs="Arial"/>
          <w:color w:val="000000"/>
          <w:sz w:val="24"/>
          <w:szCs w:val="24"/>
        </w:rPr>
        <w:t>[12</w:t>
      </w:r>
      <w:r w:rsidR="007A561C">
        <w:rPr>
          <w:rFonts w:ascii="Arial" w:hAnsi="Arial" w:cs="Arial"/>
          <w:color w:val="000000"/>
          <w:sz w:val="24"/>
          <w:szCs w:val="24"/>
        </w:rPr>
        <w:t>]</w:t>
      </w:r>
      <w:r w:rsidR="007A561C">
        <w:rPr>
          <w:rFonts w:ascii="Arial" w:hAnsi="Arial" w:cs="Arial"/>
          <w:color w:val="000000"/>
          <w:sz w:val="24"/>
          <w:szCs w:val="24"/>
        </w:rPr>
        <w:tab/>
      </w:r>
      <w:r w:rsidR="00A60CA7">
        <w:rPr>
          <w:rFonts w:ascii="Arial" w:hAnsi="Arial" w:cs="Arial"/>
          <w:color w:val="000000"/>
          <w:sz w:val="24"/>
          <w:szCs w:val="24"/>
        </w:rPr>
        <w:t>A</w:t>
      </w:r>
      <w:r w:rsidR="007A561C">
        <w:rPr>
          <w:rFonts w:ascii="Arial" w:hAnsi="Arial" w:cs="Arial"/>
          <w:color w:val="000000"/>
          <w:sz w:val="24"/>
          <w:szCs w:val="24"/>
        </w:rPr>
        <w:t xml:space="preserve"> limitation to a litigant’s unqualified automatic right of appeal to the Full Court may not be imposed through a p</w:t>
      </w:r>
      <w:r w:rsidR="00080DBD">
        <w:rPr>
          <w:rFonts w:ascii="Arial" w:hAnsi="Arial" w:cs="Arial"/>
          <w:color w:val="000000"/>
          <w:sz w:val="24"/>
          <w:szCs w:val="24"/>
        </w:rPr>
        <w:t>urposive in</w:t>
      </w:r>
      <w:r w:rsidR="008355BF">
        <w:rPr>
          <w:rFonts w:ascii="Arial" w:hAnsi="Arial" w:cs="Arial"/>
          <w:color w:val="000000"/>
          <w:sz w:val="24"/>
          <w:szCs w:val="24"/>
        </w:rPr>
        <w:t xml:space="preserve">terpretation to s 8(7) as argued on behalf of </w:t>
      </w:r>
      <w:r w:rsidR="00080DBD">
        <w:rPr>
          <w:rFonts w:ascii="Arial" w:hAnsi="Arial" w:cs="Arial"/>
          <w:color w:val="000000"/>
          <w:sz w:val="24"/>
          <w:szCs w:val="24"/>
        </w:rPr>
        <w:t>the plaintiffs</w:t>
      </w:r>
      <w:r w:rsidR="00A60CA7">
        <w:rPr>
          <w:rFonts w:ascii="Arial" w:hAnsi="Arial" w:cs="Arial"/>
          <w:color w:val="000000"/>
          <w:sz w:val="24"/>
          <w:szCs w:val="24"/>
        </w:rPr>
        <w:t xml:space="preserve"> as the provision is unambiguous.</w:t>
      </w:r>
      <w:r w:rsidR="007A561C">
        <w:rPr>
          <w:rFonts w:ascii="Arial" w:hAnsi="Arial" w:cs="Arial"/>
          <w:color w:val="000000"/>
          <w:sz w:val="24"/>
          <w:szCs w:val="24"/>
        </w:rPr>
        <w:t xml:space="preserve"> Further, limiting a litigant’s right to appeal in this manner</w:t>
      </w:r>
      <w:r w:rsidR="00080DBD">
        <w:rPr>
          <w:rFonts w:ascii="Arial" w:hAnsi="Arial" w:cs="Arial"/>
          <w:color w:val="000000"/>
          <w:sz w:val="24"/>
          <w:szCs w:val="24"/>
        </w:rPr>
        <w:t xml:space="preserve"> would create an unintended anomaly. I</w:t>
      </w:r>
      <w:r w:rsidR="00C8341D">
        <w:rPr>
          <w:rFonts w:ascii="Arial" w:hAnsi="Arial" w:cs="Arial"/>
          <w:color w:val="000000"/>
          <w:sz w:val="24"/>
          <w:szCs w:val="24"/>
        </w:rPr>
        <w:t>n the event that the Tribunal re</w:t>
      </w:r>
      <w:r w:rsidR="00080DBD">
        <w:rPr>
          <w:rFonts w:ascii="Arial" w:hAnsi="Arial" w:cs="Arial"/>
          <w:color w:val="000000"/>
          <w:sz w:val="24"/>
          <w:szCs w:val="24"/>
        </w:rPr>
        <w:t>fuses leave to appeal, the Act does not give a party the right to directly appeal to the Supreme Court of Appeal. It appears that such a party would still be bound in terms of s</w:t>
      </w:r>
      <w:r w:rsidR="000D4238">
        <w:rPr>
          <w:rFonts w:ascii="Arial" w:hAnsi="Arial" w:cs="Arial"/>
          <w:color w:val="000000"/>
          <w:sz w:val="24"/>
          <w:szCs w:val="24"/>
        </w:rPr>
        <w:t xml:space="preserve"> </w:t>
      </w:r>
      <w:r w:rsidR="00080DBD">
        <w:rPr>
          <w:rFonts w:ascii="Arial" w:hAnsi="Arial" w:cs="Arial"/>
          <w:color w:val="000000"/>
          <w:sz w:val="24"/>
          <w:szCs w:val="24"/>
        </w:rPr>
        <w:t xml:space="preserve">8(7) to appeal to a </w:t>
      </w:r>
      <w:r w:rsidR="00080DBD" w:rsidRPr="00C960B0">
        <w:rPr>
          <w:rFonts w:ascii="Arial" w:hAnsi="Arial" w:cs="Arial"/>
          <w:color w:val="000000"/>
          <w:sz w:val="24"/>
          <w:szCs w:val="24"/>
        </w:rPr>
        <w:t>Division of the High Court with jurisdiction</w:t>
      </w:r>
      <w:r w:rsidR="00080DBD">
        <w:rPr>
          <w:rFonts w:ascii="Arial" w:hAnsi="Arial" w:cs="Arial"/>
          <w:color w:val="000000"/>
          <w:sz w:val="24"/>
          <w:szCs w:val="24"/>
        </w:rPr>
        <w:t xml:space="preserve">. </w:t>
      </w:r>
    </w:p>
    <w:p w:rsidR="00080DBD" w:rsidRDefault="0003515E" w:rsidP="00080DBD">
      <w:pPr>
        <w:spacing w:line="360" w:lineRule="auto"/>
        <w:ind w:right="40"/>
        <w:jc w:val="both"/>
        <w:rPr>
          <w:rFonts w:ascii="Arial" w:hAnsi="Arial" w:cs="Arial"/>
          <w:color w:val="000000"/>
          <w:sz w:val="24"/>
          <w:szCs w:val="24"/>
        </w:rPr>
      </w:pPr>
      <w:r>
        <w:rPr>
          <w:rFonts w:ascii="Arial" w:hAnsi="Arial" w:cs="Arial"/>
          <w:color w:val="000000"/>
          <w:sz w:val="24"/>
          <w:szCs w:val="24"/>
        </w:rPr>
        <w:t>[13</w:t>
      </w:r>
      <w:r w:rsidR="00080DBD">
        <w:rPr>
          <w:rFonts w:ascii="Arial" w:hAnsi="Arial" w:cs="Arial"/>
          <w:color w:val="000000"/>
          <w:sz w:val="24"/>
          <w:szCs w:val="24"/>
        </w:rPr>
        <w:t>]</w:t>
      </w:r>
      <w:r w:rsidR="00080DBD">
        <w:rPr>
          <w:rFonts w:ascii="Arial" w:hAnsi="Arial" w:cs="Arial"/>
          <w:color w:val="000000"/>
          <w:sz w:val="24"/>
          <w:szCs w:val="24"/>
        </w:rPr>
        <w:tab/>
        <w:t xml:space="preserve">As argued on behalf of Profteam, when the SIU Act was enacted, </w:t>
      </w:r>
      <w:r w:rsidR="00080DBD" w:rsidRPr="00080DBD">
        <w:rPr>
          <w:rFonts w:ascii="Arial" w:hAnsi="Arial" w:cs="Arial"/>
          <w:color w:val="000000"/>
          <w:sz w:val="24"/>
          <w:szCs w:val="24"/>
        </w:rPr>
        <w:t>the Supreme Court</w:t>
      </w:r>
      <w:r w:rsidR="008355BF">
        <w:rPr>
          <w:rFonts w:ascii="Arial" w:hAnsi="Arial" w:cs="Arial"/>
          <w:color w:val="000000"/>
          <w:sz w:val="24"/>
          <w:szCs w:val="24"/>
        </w:rPr>
        <w:t xml:space="preserve"> Act</w:t>
      </w:r>
      <w:r w:rsidR="00C8341D">
        <w:rPr>
          <w:rStyle w:val="FootnoteReference"/>
          <w:rFonts w:ascii="Arial" w:hAnsi="Arial" w:cs="Arial"/>
          <w:color w:val="000000"/>
          <w:sz w:val="24"/>
          <w:szCs w:val="24"/>
        </w:rPr>
        <w:footnoteReference w:id="13"/>
      </w:r>
      <w:r w:rsidR="00080DBD" w:rsidRPr="00080DBD">
        <w:rPr>
          <w:rFonts w:ascii="Arial" w:hAnsi="Arial" w:cs="Arial"/>
          <w:color w:val="000000"/>
          <w:sz w:val="24"/>
          <w:szCs w:val="24"/>
        </w:rPr>
        <w:t xml:space="preserve"> </w:t>
      </w:r>
      <w:r w:rsidR="00080DBD">
        <w:rPr>
          <w:rFonts w:ascii="Arial" w:hAnsi="Arial" w:cs="Arial"/>
          <w:color w:val="000000"/>
          <w:sz w:val="24"/>
          <w:szCs w:val="24"/>
        </w:rPr>
        <w:t>was in operation</w:t>
      </w:r>
      <w:r w:rsidR="00080DBD" w:rsidRPr="00080DBD">
        <w:rPr>
          <w:rFonts w:ascii="Arial" w:hAnsi="Arial" w:cs="Arial"/>
          <w:color w:val="000000"/>
          <w:sz w:val="24"/>
          <w:szCs w:val="24"/>
        </w:rPr>
        <w:t>.</w:t>
      </w:r>
      <w:r w:rsidR="00080DBD">
        <w:rPr>
          <w:rFonts w:ascii="Arial" w:hAnsi="Arial" w:cs="Arial"/>
          <w:color w:val="000000"/>
          <w:sz w:val="24"/>
          <w:szCs w:val="24"/>
        </w:rPr>
        <w:t xml:space="preserve"> </w:t>
      </w:r>
      <w:r w:rsidR="00080DBD" w:rsidRPr="00080DBD">
        <w:rPr>
          <w:rFonts w:ascii="Arial" w:hAnsi="Arial" w:cs="Arial"/>
          <w:color w:val="000000"/>
          <w:sz w:val="24"/>
          <w:szCs w:val="24"/>
        </w:rPr>
        <w:t>Appeals were regulated by Section 20 of that Act. Section 20(4) read as follows:</w:t>
      </w:r>
    </w:p>
    <w:p w:rsidR="00080DBD" w:rsidRDefault="00080DBD" w:rsidP="00080DBD">
      <w:pPr>
        <w:spacing w:line="360" w:lineRule="auto"/>
        <w:ind w:right="40"/>
        <w:jc w:val="both"/>
        <w:rPr>
          <w:rFonts w:ascii="Arial" w:hAnsi="Arial" w:cs="Arial"/>
          <w:i/>
          <w:sz w:val="24"/>
          <w:szCs w:val="24"/>
        </w:rPr>
      </w:pPr>
      <w:r>
        <w:rPr>
          <w:rFonts w:ascii="Arial" w:hAnsi="Arial" w:cs="Arial"/>
          <w:i/>
          <w:sz w:val="24"/>
          <w:szCs w:val="24"/>
        </w:rPr>
        <w:t xml:space="preserve">“(4) </w:t>
      </w:r>
      <w:r w:rsidRPr="00080DBD">
        <w:rPr>
          <w:rFonts w:ascii="Arial" w:hAnsi="Arial" w:cs="Arial"/>
          <w:i/>
          <w:sz w:val="24"/>
          <w:szCs w:val="24"/>
        </w:rPr>
        <w:t xml:space="preserve">No appeal shall lie against a judgment or order of the court of a provincial or local division in any civil proceedings or against any judgment or order of that court given on appeal to it except- </w:t>
      </w:r>
    </w:p>
    <w:p w:rsidR="00080DBD" w:rsidRDefault="00080DBD" w:rsidP="00080DBD">
      <w:pPr>
        <w:spacing w:line="360" w:lineRule="auto"/>
        <w:ind w:left="720" w:right="40"/>
        <w:jc w:val="both"/>
        <w:rPr>
          <w:rFonts w:ascii="Arial" w:hAnsi="Arial" w:cs="Arial"/>
          <w:i/>
          <w:sz w:val="24"/>
          <w:szCs w:val="24"/>
        </w:rPr>
      </w:pPr>
      <w:r w:rsidRPr="00080DBD">
        <w:rPr>
          <w:rFonts w:ascii="Arial" w:hAnsi="Arial" w:cs="Arial"/>
          <w:i/>
          <w:sz w:val="24"/>
          <w:szCs w:val="24"/>
        </w:rPr>
        <w:t xml:space="preserve">(a) in the case of a judgment or order given in any civil proceedings by the full court of such division on appeal to it in terms of subsection (3), with the special leave of the Appellate Division; </w:t>
      </w:r>
    </w:p>
    <w:p w:rsidR="00080DBD" w:rsidRDefault="00080DBD" w:rsidP="00080DBD">
      <w:pPr>
        <w:spacing w:line="360" w:lineRule="auto"/>
        <w:ind w:left="720" w:right="40"/>
        <w:jc w:val="both"/>
        <w:rPr>
          <w:rFonts w:ascii="Arial" w:hAnsi="Arial" w:cs="Arial"/>
          <w:i/>
          <w:sz w:val="24"/>
          <w:szCs w:val="24"/>
        </w:rPr>
      </w:pPr>
      <w:r w:rsidRPr="00080DBD">
        <w:rPr>
          <w:rFonts w:ascii="Arial" w:hAnsi="Arial" w:cs="Arial"/>
          <w:i/>
          <w:sz w:val="24"/>
          <w:szCs w:val="24"/>
        </w:rPr>
        <w:t>(b) in any other case, with leave of the court against whose judgment or order the appeal is to be made or, where such leave has been refused, with the l</w:t>
      </w:r>
      <w:r>
        <w:rPr>
          <w:rFonts w:ascii="Arial" w:hAnsi="Arial" w:cs="Arial"/>
          <w:i/>
          <w:sz w:val="24"/>
          <w:szCs w:val="24"/>
        </w:rPr>
        <w:t>eave of the Appellate Division.</w:t>
      </w:r>
      <w:r w:rsidRPr="00080DBD">
        <w:rPr>
          <w:rFonts w:ascii="Arial" w:hAnsi="Arial" w:cs="Arial"/>
          <w:i/>
          <w:sz w:val="24"/>
          <w:szCs w:val="24"/>
        </w:rPr>
        <w:t xml:space="preserve"> </w:t>
      </w:r>
    </w:p>
    <w:p w:rsidR="00E12716" w:rsidRDefault="0003515E" w:rsidP="00E12716">
      <w:pPr>
        <w:spacing w:line="360" w:lineRule="auto"/>
        <w:ind w:right="40"/>
        <w:jc w:val="both"/>
        <w:rPr>
          <w:rFonts w:ascii="Arial" w:hAnsi="Arial" w:cs="Arial"/>
          <w:sz w:val="24"/>
          <w:szCs w:val="24"/>
        </w:rPr>
      </w:pPr>
      <w:r>
        <w:rPr>
          <w:rFonts w:ascii="Arial" w:hAnsi="Arial" w:cs="Arial"/>
          <w:sz w:val="24"/>
          <w:szCs w:val="24"/>
        </w:rPr>
        <w:t>[14</w:t>
      </w:r>
      <w:r w:rsidR="00E12716">
        <w:rPr>
          <w:rFonts w:ascii="Arial" w:hAnsi="Arial" w:cs="Arial"/>
          <w:sz w:val="24"/>
          <w:szCs w:val="24"/>
        </w:rPr>
        <w:t>]</w:t>
      </w:r>
      <w:r w:rsidR="00E12716">
        <w:rPr>
          <w:rFonts w:ascii="Arial" w:hAnsi="Arial" w:cs="Arial"/>
          <w:sz w:val="24"/>
          <w:szCs w:val="24"/>
        </w:rPr>
        <w:tab/>
      </w:r>
      <w:r w:rsidR="00080DBD" w:rsidRPr="00E12716">
        <w:rPr>
          <w:rFonts w:ascii="Arial" w:hAnsi="Arial" w:cs="Arial"/>
          <w:sz w:val="24"/>
          <w:szCs w:val="24"/>
        </w:rPr>
        <w:t>The Supreme Court Act contained no provision for appeals from courts of a similar status to the High Court.</w:t>
      </w:r>
      <w:r w:rsidR="00E12716">
        <w:rPr>
          <w:rFonts w:ascii="Arial" w:hAnsi="Arial" w:cs="Arial"/>
          <w:sz w:val="24"/>
          <w:szCs w:val="24"/>
        </w:rPr>
        <w:t xml:space="preserve"> </w:t>
      </w:r>
      <w:r w:rsidR="007A58C0">
        <w:rPr>
          <w:rFonts w:ascii="Arial" w:hAnsi="Arial" w:cs="Arial"/>
          <w:sz w:val="24"/>
          <w:szCs w:val="24"/>
        </w:rPr>
        <w:t xml:space="preserve">An </w:t>
      </w:r>
      <w:r w:rsidR="00E12716" w:rsidRPr="00E12716">
        <w:rPr>
          <w:rFonts w:ascii="Arial" w:hAnsi="Arial" w:cs="Arial"/>
          <w:sz w:val="24"/>
          <w:szCs w:val="24"/>
        </w:rPr>
        <w:t xml:space="preserve">Act establishing such </w:t>
      </w:r>
      <w:r w:rsidR="007A58C0">
        <w:rPr>
          <w:rFonts w:ascii="Arial" w:hAnsi="Arial" w:cs="Arial"/>
          <w:sz w:val="24"/>
          <w:szCs w:val="24"/>
        </w:rPr>
        <w:t xml:space="preserve">a </w:t>
      </w:r>
      <w:r w:rsidR="00E12716" w:rsidRPr="00E12716">
        <w:rPr>
          <w:rFonts w:ascii="Arial" w:hAnsi="Arial" w:cs="Arial"/>
          <w:sz w:val="24"/>
          <w:szCs w:val="24"/>
        </w:rPr>
        <w:t>court</w:t>
      </w:r>
      <w:r w:rsidR="00E12716">
        <w:rPr>
          <w:rFonts w:ascii="Arial" w:hAnsi="Arial" w:cs="Arial"/>
          <w:sz w:val="24"/>
          <w:szCs w:val="24"/>
        </w:rPr>
        <w:t xml:space="preserve"> made provision for appeal</w:t>
      </w:r>
      <w:r w:rsidR="007A58C0">
        <w:rPr>
          <w:rFonts w:ascii="Arial" w:hAnsi="Arial" w:cs="Arial"/>
          <w:sz w:val="24"/>
          <w:szCs w:val="24"/>
        </w:rPr>
        <w:t>s</w:t>
      </w:r>
      <w:r w:rsidR="00E12716">
        <w:rPr>
          <w:rFonts w:ascii="Arial" w:hAnsi="Arial" w:cs="Arial"/>
          <w:sz w:val="24"/>
          <w:szCs w:val="24"/>
        </w:rPr>
        <w:t xml:space="preserve"> </w:t>
      </w:r>
      <w:r w:rsidR="00E12716" w:rsidRPr="00E12716">
        <w:rPr>
          <w:rFonts w:ascii="Arial" w:hAnsi="Arial" w:cs="Arial"/>
          <w:sz w:val="24"/>
          <w:szCs w:val="24"/>
        </w:rPr>
        <w:t>and generally required the leave of such c</w:t>
      </w:r>
      <w:r w:rsidR="00E12716">
        <w:rPr>
          <w:rFonts w:ascii="Arial" w:hAnsi="Arial" w:cs="Arial"/>
          <w:sz w:val="24"/>
          <w:szCs w:val="24"/>
        </w:rPr>
        <w:t>ourt to</w:t>
      </w:r>
      <w:r w:rsidR="00C8341D">
        <w:rPr>
          <w:rFonts w:ascii="Arial" w:hAnsi="Arial" w:cs="Arial"/>
          <w:sz w:val="24"/>
          <w:szCs w:val="24"/>
        </w:rPr>
        <w:t xml:space="preserve"> appeal to a superior court. The Labour Court established in terms of the Labour Relations Act</w:t>
      </w:r>
      <w:r w:rsidR="00C8341D">
        <w:rPr>
          <w:rStyle w:val="FootnoteReference"/>
          <w:rFonts w:ascii="Arial" w:hAnsi="Arial" w:cs="Arial"/>
          <w:sz w:val="24"/>
          <w:szCs w:val="24"/>
        </w:rPr>
        <w:footnoteReference w:id="14"/>
      </w:r>
      <w:r w:rsidR="00C8341D">
        <w:rPr>
          <w:rFonts w:ascii="Arial" w:hAnsi="Arial" w:cs="Arial"/>
          <w:sz w:val="24"/>
          <w:szCs w:val="24"/>
        </w:rPr>
        <w:t xml:space="preserve"> and the Land Claims Court established in terms o</w:t>
      </w:r>
      <w:r w:rsidR="00694F85">
        <w:rPr>
          <w:rFonts w:ascii="Arial" w:hAnsi="Arial" w:cs="Arial"/>
          <w:sz w:val="24"/>
          <w:szCs w:val="24"/>
        </w:rPr>
        <w:t>f the Restitution of Land Rights</w:t>
      </w:r>
      <w:r w:rsidR="00C8341D">
        <w:rPr>
          <w:rFonts w:ascii="Arial" w:hAnsi="Arial" w:cs="Arial"/>
          <w:sz w:val="24"/>
          <w:szCs w:val="24"/>
        </w:rPr>
        <w:t xml:space="preserve"> Act</w:t>
      </w:r>
      <w:r w:rsidR="00C8341D">
        <w:rPr>
          <w:rStyle w:val="FootnoteReference"/>
          <w:rFonts w:ascii="Arial" w:hAnsi="Arial" w:cs="Arial"/>
          <w:sz w:val="24"/>
          <w:szCs w:val="24"/>
        </w:rPr>
        <w:footnoteReference w:id="15"/>
      </w:r>
      <w:r w:rsidR="00E12716">
        <w:rPr>
          <w:rFonts w:ascii="Arial" w:hAnsi="Arial" w:cs="Arial"/>
          <w:sz w:val="24"/>
          <w:szCs w:val="24"/>
        </w:rPr>
        <w:t xml:space="preserve"> are examples of such courts. The Act was enacted </w:t>
      </w:r>
      <w:r w:rsidR="00E12716" w:rsidRPr="00E12716">
        <w:rPr>
          <w:rFonts w:ascii="Arial" w:hAnsi="Arial" w:cs="Arial"/>
          <w:sz w:val="24"/>
          <w:szCs w:val="24"/>
        </w:rPr>
        <w:t>during the same era as the L</w:t>
      </w:r>
      <w:r w:rsidR="00E12716">
        <w:rPr>
          <w:rFonts w:ascii="Arial" w:hAnsi="Arial" w:cs="Arial"/>
          <w:sz w:val="24"/>
          <w:szCs w:val="24"/>
        </w:rPr>
        <w:t xml:space="preserve">abour </w:t>
      </w:r>
      <w:r w:rsidR="00E12716" w:rsidRPr="00E12716">
        <w:rPr>
          <w:rFonts w:ascii="Arial" w:hAnsi="Arial" w:cs="Arial"/>
          <w:sz w:val="24"/>
          <w:szCs w:val="24"/>
        </w:rPr>
        <w:t>R</w:t>
      </w:r>
      <w:r w:rsidR="00E12716">
        <w:rPr>
          <w:rFonts w:ascii="Arial" w:hAnsi="Arial" w:cs="Arial"/>
          <w:sz w:val="24"/>
          <w:szCs w:val="24"/>
        </w:rPr>
        <w:t xml:space="preserve">elations </w:t>
      </w:r>
      <w:r w:rsidR="00E12716" w:rsidRPr="00E12716">
        <w:rPr>
          <w:rFonts w:ascii="Arial" w:hAnsi="Arial" w:cs="Arial"/>
          <w:sz w:val="24"/>
          <w:szCs w:val="24"/>
        </w:rPr>
        <w:t>A</w:t>
      </w:r>
      <w:r w:rsidR="00E12716">
        <w:rPr>
          <w:rFonts w:ascii="Arial" w:hAnsi="Arial" w:cs="Arial"/>
          <w:sz w:val="24"/>
          <w:szCs w:val="24"/>
        </w:rPr>
        <w:t xml:space="preserve">ct and the </w:t>
      </w:r>
      <w:r w:rsidR="00E12716" w:rsidRPr="00E12716">
        <w:rPr>
          <w:rFonts w:ascii="Arial" w:hAnsi="Arial" w:cs="Arial"/>
          <w:sz w:val="24"/>
          <w:szCs w:val="24"/>
        </w:rPr>
        <w:t>Restitution of Land Rights Act</w:t>
      </w:r>
      <w:r w:rsidR="007A58C0">
        <w:rPr>
          <w:rFonts w:ascii="Arial" w:hAnsi="Arial" w:cs="Arial"/>
          <w:sz w:val="24"/>
          <w:szCs w:val="24"/>
        </w:rPr>
        <w:t>. T</w:t>
      </w:r>
      <w:r w:rsidR="00694F85" w:rsidRPr="00E12716">
        <w:rPr>
          <w:rFonts w:ascii="Arial" w:hAnsi="Arial" w:cs="Arial"/>
          <w:sz w:val="24"/>
          <w:szCs w:val="24"/>
        </w:rPr>
        <w:t>he L</w:t>
      </w:r>
      <w:r w:rsidR="00694F85">
        <w:rPr>
          <w:rFonts w:ascii="Arial" w:hAnsi="Arial" w:cs="Arial"/>
          <w:sz w:val="24"/>
          <w:szCs w:val="24"/>
        </w:rPr>
        <w:t xml:space="preserve">abour </w:t>
      </w:r>
      <w:r w:rsidR="00694F85" w:rsidRPr="00E12716">
        <w:rPr>
          <w:rFonts w:ascii="Arial" w:hAnsi="Arial" w:cs="Arial"/>
          <w:sz w:val="24"/>
          <w:szCs w:val="24"/>
        </w:rPr>
        <w:t>R</w:t>
      </w:r>
      <w:r w:rsidR="00694F85">
        <w:rPr>
          <w:rFonts w:ascii="Arial" w:hAnsi="Arial" w:cs="Arial"/>
          <w:sz w:val="24"/>
          <w:szCs w:val="24"/>
        </w:rPr>
        <w:t xml:space="preserve">elations </w:t>
      </w:r>
      <w:r w:rsidR="00694F85" w:rsidRPr="00E12716">
        <w:rPr>
          <w:rFonts w:ascii="Arial" w:hAnsi="Arial" w:cs="Arial"/>
          <w:sz w:val="24"/>
          <w:szCs w:val="24"/>
        </w:rPr>
        <w:t>A</w:t>
      </w:r>
      <w:r w:rsidR="00694F85">
        <w:rPr>
          <w:rFonts w:ascii="Arial" w:hAnsi="Arial" w:cs="Arial"/>
          <w:sz w:val="24"/>
          <w:szCs w:val="24"/>
        </w:rPr>
        <w:t xml:space="preserve">ct and the </w:t>
      </w:r>
      <w:r w:rsidR="00694F85" w:rsidRPr="00E12716">
        <w:rPr>
          <w:rFonts w:ascii="Arial" w:hAnsi="Arial" w:cs="Arial"/>
          <w:sz w:val="24"/>
          <w:szCs w:val="24"/>
        </w:rPr>
        <w:t>Restitution of Land Rights Act</w:t>
      </w:r>
      <w:r w:rsidR="00E12716" w:rsidRPr="00E12716">
        <w:rPr>
          <w:rFonts w:ascii="Arial" w:hAnsi="Arial" w:cs="Arial"/>
          <w:sz w:val="24"/>
          <w:szCs w:val="24"/>
        </w:rPr>
        <w:t xml:space="preserve"> </w:t>
      </w:r>
      <w:r w:rsidR="00E12716">
        <w:rPr>
          <w:rFonts w:ascii="Arial" w:hAnsi="Arial" w:cs="Arial"/>
          <w:sz w:val="24"/>
          <w:szCs w:val="24"/>
        </w:rPr>
        <w:t xml:space="preserve">grant a right to appeal but only with leave of the </w:t>
      </w:r>
      <w:r w:rsidR="00694F85">
        <w:rPr>
          <w:rFonts w:ascii="Arial" w:hAnsi="Arial" w:cs="Arial"/>
          <w:sz w:val="24"/>
          <w:szCs w:val="24"/>
        </w:rPr>
        <w:t xml:space="preserve">court established in </w:t>
      </w:r>
      <w:r w:rsidR="007A58C0">
        <w:rPr>
          <w:rFonts w:ascii="Arial" w:hAnsi="Arial" w:cs="Arial"/>
          <w:sz w:val="24"/>
          <w:szCs w:val="24"/>
        </w:rPr>
        <w:t>terms of the respective statute. As already observed,</w:t>
      </w:r>
      <w:r w:rsidR="00694F85">
        <w:rPr>
          <w:rFonts w:ascii="Arial" w:hAnsi="Arial" w:cs="Arial"/>
          <w:sz w:val="24"/>
          <w:szCs w:val="24"/>
        </w:rPr>
        <w:t xml:space="preserve"> the Act does not provide for such a right. </w:t>
      </w:r>
      <w:r w:rsidR="00E12716">
        <w:rPr>
          <w:rFonts w:ascii="Arial" w:hAnsi="Arial" w:cs="Arial"/>
          <w:sz w:val="24"/>
          <w:szCs w:val="24"/>
        </w:rPr>
        <w:t xml:space="preserve">If the legislature intended to similarly qualify the right to appeal against Tribunal’s </w:t>
      </w:r>
      <w:r w:rsidR="00694F85">
        <w:rPr>
          <w:rFonts w:ascii="Arial" w:hAnsi="Arial" w:cs="Arial"/>
          <w:sz w:val="24"/>
          <w:szCs w:val="24"/>
        </w:rPr>
        <w:t>decisions, orders and rulings</w:t>
      </w:r>
      <w:r w:rsidR="00E12716">
        <w:rPr>
          <w:rFonts w:ascii="Arial" w:hAnsi="Arial" w:cs="Arial"/>
          <w:sz w:val="24"/>
          <w:szCs w:val="24"/>
        </w:rPr>
        <w:t>, it would have expressly provided so. The Tribunal derives its powers from the Act and not from the Superior Courts Act.</w:t>
      </w:r>
      <w:r w:rsidR="00694F85">
        <w:rPr>
          <w:rFonts w:ascii="Arial" w:hAnsi="Arial" w:cs="Arial"/>
          <w:sz w:val="24"/>
          <w:szCs w:val="24"/>
        </w:rPr>
        <w:t xml:space="preserve"> Therefore, s16 of the Superior Courts </w:t>
      </w:r>
      <w:r w:rsidR="008355BF">
        <w:rPr>
          <w:rFonts w:ascii="Arial" w:hAnsi="Arial" w:cs="Arial"/>
          <w:sz w:val="24"/>
          <w:szCs w:val="24"/>
        </w:rPr>
        <w:t xml:space="preserve">Act </w:t>
      </w:r>
      <w:r w:rsidR="00694F85">
        <w:rPr>
          <w:rFonts w:ascii="Arial" w:hAnsi="Arial" w:cs="Arial"/>
          <w:sz w:val="24"/>
          <w:szCs w:val="24"/>
        </w:rPr>
        <w:t xml:space="preserve">may not be </w:t>
      </w:r>
      <w:r w:rsidR="00A60CA7">
        <w:rPr>
          <w:rFonts w:ascii="Arial" w:hAnsi="Arial" w:cs="Arial"/>
          <w:sz w:val="24"/>
          <w:szCs w:val="24"/>
        </w:rPr>
        <w:t xml:space="preserve">used </w:t>
      </w:r>
      <w:r w:rsidR="00694F85">
        <w:rPr>
          <w:rFonts w:ascii="Arial" w:hAnsi="Arial" w:cs="Arial"/>
          <w:sz w:val="24"/>
          <w:szCs w:val="24"/>
        </w:rPr>
        <w:t>to qualify a litigant’s right to appeal against the Tribunal’s decisions, orders and rulings.</w:t>
      </w:r>
    </w:p>
    <w:p w:rsidR="00E12716" w:rsidRDefault="00E12716" w:rsidP="00E12716">
      <w:pPr>
        <w:spacing w:line="360" w:lineRule="auto"/>
        <w:ind w:right="40"/>
        <w:jc w:val="both"/>
        <w:rPr>
          <w:rFonts w:ascii="Arial" w:hAnsi="Arial" w:cs="Arial"/>
          <w:sz w:val="24"/>
          <w:szCs w:val="24"/>
        </w:rPr>
      </w:pPr>
      <w:r>
        <w:rPr>
          <w:rFonts w:ascii="Arial" w:hAnsi="Arial" w:cs="Arial"/>
          <w:sz w:val="24"/>
          <w:szCs w:val="24"/>
        </w:rPr>
        <w:t>[1</w:t>
      </w:r>
      <w:r w:rsidR="0003515E">
        <w:rPr>
          <w:rFonts w:ascii="Arial" w:hAnsi="Arial" w:cs="Arial"/>
          <w:sz w:val="24"/>
          <w:szCs w:val="24"/>
        </w:rPr>
        <w:t>5</w:t>
      </w:r>
      <w:r w:rsidR="007A58C0">
        <w:rPr>
          <w:rFonts w:ascii="Arial" w:hAnsi="Arial" w:cs="Arial"/>
          <w:sz w:val="24"/>
          <w:szCs w:val="24"/>
        </w:rPr>
        <w:t xml:space="preserve">] </w:t>
      </w:r>
      <w:r w:rsidR="00314AEE">
        <w:rPr>
          <w:rFonts w:ascii="Arial" w:hAnsi="Arial" w:cs="Arial"/>
          <w:sz w:val="24"/>
          <w:szCs w:val="24"/>
        </w:rPr>
        <w:t>Parties enjoy</w:t>
      </w:r>
      <w:r>
        <w:rPr>
          <w:rFonts w:ascii="Arial" w:hAnsi="Arial" w:cs="Arial"/>
          <w:sz w:val="24"/>
          <w:szCs w:val="24"/>
        </w:rPr>
        <w:t xml:space="preserve"> the autom</w:t>
      </w:r>
      <w:r w:rsidR="00314AEE">
        <w:rPr>
          <w:rFonts w:ascii="Arial" w:hAnsi="Arial" w:cs="Arial"/>
          <w:sz w:val="24"/>
          <w:szCs w:val="24"/>
        </w:rPr>
        <w:t>atic right to appeal against Tribunal’s</w:t>
      </w:r>
      <w:r>
        <w:rPr>
          <w:rFonts w:ascii="Arial" w:hAnsi="Arial" w:cs="Arial"/>
          <w:sz w:val="24"/>
          <w:szCs w:val="24"/>
        </w:rPr>
        <w:t xml:space="preserve"> decisions to the Full Court of a Division of the High Court with jurisdiction</w:t>
      </w:r>
      <w:r w:rsidR="00694F85">
        <w:rPr>
          <w:rFonts w:ascii="Arial" w:hAnsi="Arial" w:cs="Arial"/>
          <w:sz w:val="24"/>
          <w:szCs w:val="24"/>
        </w:rPr>
        <w:t xml:space="preserve"> as provided for in s 8(7)</w:t>
      </w:r>
      <w:r>
        <w:rPr>
          <w:rFonts w:ascii="Arial" w:hAnsi="Arial" w:cs="Arial"/>
          <w:sz w:val="24"/>
          <w:szCs w:val="24"/>
        </w:rPr>
        <w:t xml:space="preserve">. </w:t>
      </w:r>
      <w:r w:rsidR="00314AEE">
        <w:rPr>
          <w:rFonts w:ascii="Arial" w:hAnsi="Arial" w:cs="Arial"/>
          <w:sz w:val="24"/>
          <w:szCs w:val="24"/>
        </w:rPr>
        <w:t xml:space="preserve">They do not require the Tribunal’s leave to appeal against its decisions. </w:t>
      </w:r>
    </w:p>
    <w:p w:rsidR="00C26FDB" w:rsidRDefault="0003515E" w:rsidP="00E12716">
      <w:pPr>
        <w:spacing w:line="360" w:lineRule="auto"/>
        <w:ind w:right="40"/>
        <w:jc w:val="both"/>
        <w:rPr>
          <w:rFonts w:ascii="Arial" w:hAnsi="Arial" w:cs="Arial"/>
          <w:sz w:val="24"/>
          <w:szCs w:val="24"/>
        </w:rPr>
      </w:pPr>
      <w:r>
        <w:rPr>
          <w:rFonts w:ascii="Arial" w:hAnsi="Arial" w:cs="Arial"/>
          <w:sz w:val="24"/>
          <w:szCs w:val="24"/>
        </w:rPr>
        <w:t>[16</w:t>
      </w:r>
      <w:r w:rsidR="00C26FDB">
        <w:rPr>
          <w:rFonts w:ascii="Arial" w:hAnsi="Arial" w:cs="Arial"/>
          <w:sz w:val="24"/>
          <w:szCs w:val="24"/>
        </w:rPr>
        <w:t>]</w:t>
      </w:r>
      <w:r w:rsidR="00C26FDB">
        <w:rPr>
          <w:rFonts w:ascii="Arial" w:hAnsi="Arial" w:cs="Arial"/>
          <w:sz w:val="24"/>
          <w:szCs w:val="24"/>
        </w:rPr>
        <w:tab/>
      </w:r>
      <w:r w:rsidR="0068603A">
        <w:rPr>
          <w:rFonts w:ascii="Arial" w:hAnsi="Arial" w:cs="Arial"/>
          <w:sz w:val="24"/>
          <w:szCs w:val="24"/>
        </w:rPr>
        <w:t xml:space="preserve">Therefore, the present applications are redundant. </w:t>
      </w:r>
      <w:r w:rsidR="00314AEE">
        <w:rPr>
          <w:rFonts w:ascii="Arial" w:hAnsi="Arial" w:cs="Arial"/>
          <w:sz w:val="24"/>
          <w:szCs w:val="24"/>
        </w:rPr>
        <w:t xml:space="preserve">Caledon River Properties’ </w:t>
      </w:r>
      <w:r w:rsidR="0068603A">
        <w:rPr>
          <w:rFonts w:ascii="Arial" w:hAnsi="Arial" w:cs="Arial"/>
          <w:sz w:val="24"/>
          <w:szCs w:val="24"/>
        </w:rPr>
        <w:t>is not entitled to demand that the Tribunal</w:t>
      </w:r>
      <w:r w:rsidR="00C26FDB">
        <w:rPr>
          <w:rFonts w:ascii="Arial" w:hAnsi="Arial" w:cs="Arial"/>
          <w:sz w:val="24"/>
          <w:szCs w:val="24"/>
        </w:rPr>
        <w:t xml:space="preserve"> considers its application for leave to appeal. The fact that Tribunal Rule 32 has not been repealed does not assist Caledon River</w:t>
      </w:r>
      <w:r w:rsidR="0068603A">
        <w:rPr>
          <w:rFonts w:ascii="Arial" w:hAnsi="Arial" w:cs="Arial"/>
          <w:sz w:val="24"/>
          <w:szCs w:val="24"/>
        </w:rPr>
        <w:t xml:space="preserve"> Properties</w:t>
      </w:r>
      <w:r w:rsidR="00C26FDB">
        <w:rPr>
          <w:rFonts w:ascii="Arial" w:hAnsi="Arial" w:cs="Arial"/>
          <w:sz w:val="24"/>
          <w:szCs w:val="24"/>
        </w:rPr>
        <w:t xml:space="preserve">. It followed the procedure in Tribunal Rule 32 to place its application for leave to appeal before the Tribunal but the Tribunal derives no power from this rule to grant such an order.  </w:t>
      </w:r>
    </w:p>
    <w:p w:rsidR="00E12716" w:rsidRDefault="0003515E" w:rsidP="00E12716">
      <w:pPr>
        <w:spacing w:line="360" w:lineRule="auto"/>
        <w:ind w:right="40"/>
        <w:jc w:val="both"/>
        <w:rPr>
          <w:rFonts w:ascii="Arial" w:hAnsi="Arial" w:cs="Arial"/>
          <w:color w:val="000000" w:themeColor="text1"/>
          <w:sz w:val="24"/>
          <w:szCs w:val="24"/>
          <w:lang w:val="en-GB"/>
        </w:rPr>
      </w:pPr>
      <w:r>
        <w:rPr>
          <w:rFonts w:ascii="Arial" w:hAnsi="Arial" w:cs="Arial"/>
          <w:sz w:val="24"/>
          <w:szCs w:val="24"/>
        </w:rPr>
        <w:t>[17</w:t>
      </w:r>
      <w:r w:rsidR="00E12716">
        <w:rPr>
          <w:rFonts w:ascii="Arial" w:hAnsi="Arial" w:cs="Arial"/>
          <w:sz w:val="24"/>
          <w:szCs w:val="24"/>
        </w:rPr>
        <w:t>]</w:t>
      </w:r>
      <w:r w:rsidR="00E12716">
        <w:rPr>
          <w:rFonts w:ascii="Arial" w:hAnsi="Arial" w:cs="Arial"/>
          <w:sz w:val="24"/>
          <w:szCs w:val="24"/>
        </w:rPr>
        <w:tab/>
      </w:r>
      <w:r w:rsidR="00E12716">
        <w:rPr>
          <w:rFonts w:ascii="Arial" w:hAnsi="Arial" w:cs="Arial"/>
          <w:color w:val="000000" w:themeColor="text1"/>
          <w:sz w:val="24"/>
          <w:szCs w:val="24"/>
          <w:lang w:val="en-GB"/>
        </w:rPr>
        <w:t>L</w:t>
      </w:r>
      <w:r w:rsidR="00E12716" w:rsidRPr="00EC1417">
        <w:rPr>
          <w:rFonts w:ascii="Arial" w:hAnsi="Arial" w:cs="Arial"/>
          <w:color w:val="000000" w:themeColor="text1"/>
          <w:sz w:val="24"/>
          <w:szCs w:val="24"/>
          <w:lang w:val="en-GB"/>
        </w:rPr>
        <w:t>eave to appeal in civil proceedings is</w:t>
      </w:r>
      <w:r w:rsidR="00E12716">
        <w:rPr>
          <w:rFonts w:ascii="Arial" w:hAnsi="Arial" w:cs="Arial"/>
          <w:color w:val="000000" w:themeColor="text1"/>
          <w:sz w:val="24"/>
          <w:szCs w:val="24"/>
          <w:lang w:val="en-GB"/>
        </w:rPr>
        <w:t xml:space="preserve"> not, as contended by the </w:t>
      </w:r>
      <w:r w:rsidR="000D4238">
        <w:rPr>
          <w:rFonts w:ascii="Arial" w:hAnsi="Arial" w:cs="Arial"/>
          <w:color w:val="000000" w:themeColor="text1"/>
          <w:sz w:val="24"/>
          <w:szCs w:val="24"/>
          <w:lang w:val="en-GB"/>
        </w:rPr>
        <w:t xml:space="preserve">plaintiffs a </w:t>
      </w:r>
      <w:r w:rsidR="00C26FDB">
        <w:rPr>
          <w:rFonts w:ascii="Arial" w:hAnsi="Arial" w:cs="Arial"/>
          <w:color w:val="000000" w:themeColor="text1"/>
          <w:sz w:val="24"/>
          <w:szCs w:val="24"/>
          <w:lang w:val="en-GB"/>
        </w:rPr>
        <w:t>general</w:t>
      </w:r>
      <w:r w:rsidR="00E12716" w:rsidRPr="00EC1417">
        <w:rPr>
          <w:rFonts w:ascii="Arial" w:hAnsi="Arial" w:cs="Arial"/>
          <w:color w:val="000000" w:themeColor="text1"/>
          <w:sz w:val="24"/>
          <w:szCs w:val="24"/>
          <w:lang w:val="en-GB"/>
        </w:rPr>
        <w:t xml:space="preserve"> jurisdictional requirement</w:t>
      </w:r>
      <w:r w:rsidR="00C26FDB">
        <w:rPr>
          <w:rFonts w:ascii="Arial" w:hAnsi="Arial" w:cs="Arial"/>
          <w:color w:val="000000" w:themeColor="text1"/>
          <w:sz w:val="24"/>
          <w:szCs w:val="24"/>
          <w:lang w:val="en-GB"/>
        </w:rPr>
        <w:t xml:space="preserve">. It is regulated by statute as set out above. </w:t>
      </w:r>
    </w:p>
    <w:p w:rsidR="00A60CA7" w:rsidRDefault="0003515E" w:rsidP="00E12716">
      <w:pPr>
        <w:spacing w:line="360" w:lineRule="auto"/>
        <w:ind w:right="40"/>
        <w:jc w:val="both"/>
        <w:rPr>
          <w:rFonts w:ascii="Arial" w:hAnsi="Arial" w:cs="Arial"/>
          <w:color w:val="000000" w:themeColor="text1"/>
          <w:sz w:val="24"/>
          <w:szCs w:val="24"/>
          <w:lang w:val="en-GB"/>
        </w:rPr>
      </w:pPr>
      <w:r>
        <w:rPr>
          <w:rFonts w:ascii="Arial" w:hAnsi="Arial" w:cs="Arial"/>
          <w:color w:val="000000" w:themeColor="text1"/>
          <w:sz w:val="24"/>
          <w:szCs w:val="24"/>
          <w:lang w:val="en-GB"/>
        </w:rPr>
        <w:t>[18</w:t>
      </w:r>
      <w:r w:rsidR="00C26FDB">
        <w:rPr>
          <w:rFonts w:ascii="Arial" w:hAnsi="Arial" w:cs="Arial"/>
          <w:color w:val="000000" w:themeColor="text1"/>
          <w:sz w:val="24"/>
          <w:szCs w:val="24"/>
          <w:lang w:val="en-GB"/>
        </w:rPr>
        <w:t>]</w:t>
      </w:r>
      <w:r w:rsidR="00C26FDB">
        <w:rPr>
          <w:rFonts w:ascii="Arial" w:hAnsi="Arial" w:cs="Arial"/>
          <w:color w:val="000000" w:themeColor="text1"/>
          <w:sz w:val="24"/>
          <w:szCs w:val="24"/>
          <w:lang w:val="en-GB"/>
        </w:rPr>
        <w:tab/>
        <w:t>In the prem</w:t>
      </w:r>
      <w:r w:rsidR="00694F85">
        <w:rPr>
          <w:rFonts w:ascii="Arial" w:hAnsi="Arial" w:cs="Arial"/>
          <w:color w:val="000000" w:themeColor="text1"/>
          <w:sz w:val="24"/>
          <w:szCs w:val="24"/>
          <w:lang w:val="en-GB"/>
        </w:rPr>
        <w:t>ises, I find that the defendant</w:t>
      </w:r>
      <w:r w:rsidR="00C26FDB">
        <w:rPr>
          <w:rFonts w:ascii="Arial" w:hAnsi="Arial" w:cs="Arial"/>
          <w:color w:val="000000" w:themeColor="text1"/>
          <w:sz w:val="24"/>
          <w:szCs w:val="24"/>
          <w:lang w:val="en-GB"/>
        </w:rPr>
        <w:t>s</w:t>
      </w:r>
      <w:r w:rsidR="00694F85">
        <w:rPr>
          <w:rFonts w:ascii="Arial" w:hAnsi="Arial" w:cs="Arial"/>
          <w:color w:val="000000" w:themeColor="text1"/>
          <w:sz w:val="24"/>
          <w:szCs w:val="24"/>
          <w:lang w:val="en-GB"/>
        </w:rPr>
        <w:t>’</w:t>
      </w:r>
      <w:r w:rsidR="00C26FDB">
        <w:rPr>
          <w:rFonts w:ascii="Arial" w:hAnsi="Arial" w:cs="Arial"/>
          <w:color w:val="000000" w:themeColor="text1"/>
          <w:sz w:val="24"/>
          <w:szCs w:val="24"/>
          <w:lang w:val="en-GB"/>
        </w:rPr>
        <w:t xml:space="preserve"> applications for leave to appeal are not proper before the Tribunal.</w:t>
      </w:r>
      <w:r w:rsidR="008355BF">
        <w:rPr>
          <w:rFonts w:ascii="Arial" w:hAnsi="Arial" w:cs="Arial"/>
          <w:color w:val="000000" w:themeColor="text1"/>
          <w:sz w:val="24"/>
          <w:szCs w:val="24"/>
          <w:lang w:val="en-GB"/>
        </w:rPr>
        <w:t xml:space="preserve"> They stand to be dismissed</w:t>
      </w:r>
      <w:r w:rsidR="000D4238">
        <w:rPr>
          <w:rFonts w:ascii="Arial" w:hAnsi="Arial" w:cs="Arial"/>
          <w:color w:val="000000" w:themeColor="text1"/>
          <w:sz w:val="24"/>
          <w:szCs w:val="24"/>
          <w:lang w:val="en-GB"/>
        </w:rPr>
        <w:t xml:space="preserve">. </w:t>
      </w:r>
    </w:p>
    <w:p w:rsidR="008355BF" w:rsidRDefault="008355BF" w:rsidP="00E12716">
      <w:pPr>
        <w:spacing w:line="360" w:lineRule="auto"/>
        <w:ind w:right="40"/>
        <w:jc w:val="both"/>
        <w:rPr>
          <w:rFonts w:ascii="Arial" w:hAnsi="Arial" w:cs="Arial"/>
          <w:color w:val="000000" w:themeColor="text1"/>
          <w:sz w:val="24"/>
          <w:szCs w:val="24"/>
          <w:lang w:val="en-GB"/>
        </w:rPr>
      </w:pPr>
    </w:p>
    <w:p w:rsidR="00DC33CA" w:rsidRDefault="00DC33CA" w:rsidP="00E12716">
      <w:pPr>
        <w:spacing w:line="360" w:lineRule="auto"/>
        <w:ind w:right="40"/>
        <w:jc w:val="both"/>
        <w:rPr>
          <w:rFonts w:ascii="Arial" w:hAnsi="Arial" w:cs="Arial"/>
          <w:b/>
          <w:sz w:val="24"/>
          <w:szCs w:val="24"/>
        </w:rPr>
      </w:pPr>
      <w:r w:rsidRPr="00DC33CA">
        <w:rPr>
          <w:rFonts w:ascii="Arial" w:hAnsi="Arial" w:cs="Arial"/>
          <w:b/>
          <w:sz w:val="24"/>
          <w:szCs w:val="24"/>
        </w:rPr>
        <w:t>MERITS OF THE APPLICATION FOR LEAVE TO APPEAL</w:t>
      </w:r>
    </w:p>
    <w:p w:rsidR="00694F85" w:rsidRDefault="0003515E" w:rsidP="00E12716">
      <w:pPr>
        <w:spacing w:line="360" w:lineRule="auto"/>
        <w:ind w:right="40"/>
        <w:jc w:val="both"/>
        <w:rPr>
          <w:rFonts w:ascii="Arial" w:hAnsi="Arial" w:cs="Arial"/>
          <w:sz w:val="24"/>
          <w:szCs w:val="24"/>
        </w:rPr>
      </w:pPr>
      <w:r>
        <w:rPr>
          <w:rFonts w:ascii="Arial" w:hAnsi="Arial" w:cs="Arial"/>
          <w:sz w:val="24"/>
          <w:szCs w:val="24"/>
        </w:rPr>
        <w:t>[19</w:t>
      </w:r>
      <w:r w:rsidR="00DC33CA" w:rsidRPr="00CF26A0">
        <w:rPr>
          <w:rFonts w:ascii="Arial" w:hAnsi="Arial" w:cs="Arial"/>
          <w:sz w:val="24"/>
          <w:szCs w:val="24"/>
        </w:rPr>
        <w:t>]</w:t>
      </w:r>
      <w:r w:rsidR="00DC33CA" w:rsidRPr="00CF26A0">
        <w:rPr>
          <w:rFonts w:ascii="Arial" w:hAnsi="Arial" w:cs="Arial"/>
          <w:sz w:val="24"/>
          <w:szCs w:val="24"/>
        </w:rPr>
        <w:tab/>
      </w:r>
      <w:r w:rsidR="00694F85">
        <w:rPr>
          <w:rFonts w:ascii="Arial" w:hAnsi="Arial" w:cs="Arial"/>
          <w:sz w:val="24"/>
          <w:szCs w:val="24"/>
        </w:rPr>
        <w:t xml:space="preserve">Having found that </w:t>
      </w:r>
      <w:r w:rsidR="00694F85">
        <w:rPr>
          <w:rFonts w:ascii="Arial" w:hAnsi="Arial" w:cs="Arial"/>
          <w:color w:val="000000" w:themeColor="text1"/>
          <w:sz w:val="24"/>
          <w:szCs w:val="24"/>
          <w:lang w:val="en-GB"/>
        </w:rPr>
        <w:t>the defendants’ applications for leave to appeal are not proper before the Tribunal, I do not determine the merits of the defendants’ applications for leave to appeal.</w:t>
      </w:r>
      <w:r w:rsidR="00694F85">
        <w:rPr>
          <w:rFonts w:ascii="Arial" w:hAnsi="Arial" w:cs="Arial"/>
          <w:sz w:val="24"/>
          <w:szCs w:val="24"/>
        </w:rPr>
        <w:t xml:space="preserve"> </w:t>
      </w:r>
    </w:p>
    <w:p w:rsidR="008355BF" w:rsidRDefault="0003515E" w:rsidP="00E12716">
      <w:pPr>
        <w:spacing w:line="360" w:lineRule="auto"/>
        <w:ind w:right="40"/>
        <w:jc w:val="both"/>
        <w:rPr>
          <w:rFonts w:ascii="Arial" w:hAnsi="Arial" w:cs="Arial"/>
          <w:sz w:val="24"/>
          <w:szCs w:val="24"/>
        </w:rPr>
      </w:pPr>
      <w:r>
        <w:rPr>
          <w:rFonts w:ascii="Arial" w:hAnsi="Arial" w:cs="Arial"/>
          <w:sz w:val="24"/>
          <w:szCs w:val="24"/>
        </w:rPr>
        <w:t>[20</w:t>
      </w:r>
      <w:r w:rsidR="00694F85">
        <w:rPr>
          <w:rFonts w:ascii="Arial" w:hAnsi="Arial" w:cs="Arial"/>
          <w:sz w:val="24"/>
          <w:szCs w:val="24"/>
        </w:rPr>
        <w:t>]</w:t>
      </w:r>
      <w:r w:rsidR="00694F85">
        <w:rPr>
          <w:rFonts w:ascii="Arial" w:hAnsi="Arial" w:cs="Arial"/>
          <w:sz w:val="24"/>
          <w:szCs w:val="24"/>
        </w:rPr>
        <w:tab/>
        <w:t xml:space="preserve">It is however important that I clarify the basis on which I approached the determination of just and equitable relief in </w:t>
      </w:r>
      <w:r w:rsidR="00694F85" w:rsidRPr="008355BF">
        <w:rPr>
          <w:rFonts w:ascii="Arial" w:hAnsi="Arial" w:cs="Arial"/>
          <w:i/>
          <w:sz w:val="24"/>
          <w:szCs w:val="24"/>
        </w:rPr>
        <w:t>Caledon River 2.</w:t>
      </w:r>
      <w:r w:rsidR="00694F85">
        <w:rPr>
          <w:rFonts w:ascii="Arial" w:hAnsi="Arial" w:cs="Arial"/>
          <w:sz w:val="24"/>
          <w:szCs w:val="24"/>
        </w:rPr>
        <w:t xml:space="preserve"> </w:t>
      </w:r>
      <w:r w:rsidR="00694F85" w:rsidRPr="00CF26A0">
        <w:rPr>
          <w:rFonts w:ascii="Arial" w:hAnsi="Arial" w:cs="Arial"/>
          <w:sz w:val="24"/>
          <w:szCs w:val="24"/>
        </w:rPr>
        <w:t xml:space="preserve">During oral argument in the application for leave to appeal </w:t>
      </w:r>
      <w:r w:rsidR="00694F85">
        <w:rPr>
          <w:rFonts w:ascii="Arial" w:hAnsi="Arial" w:cs="Arial"/>
          <w:sz w:val="24"/>
          <w:szCs w:val="24"/>
        </w:rPr>
        <w:t>I put to the parties that</w:t>
      </w:r>
      <w:r w:rsidR="000D4238">
        <w:rPr>
          <w:rFonts w:ascii="Arial" w:hAnsi="Arial" w:cs="Arial"/>
          <w:sz w:val="24"/>
          <w:szCs w:val="24"/>
        </w:rPr>
        <w:t>,</w:t>
      </w:r>
      <w:r w:rsidR="00694F85">
        <w:rPr>
          <w:rFonts w:ascii="Arial" w:hAnsi="Arial" w:cs="Arial"/>
          <w:sz w:val="24"/>
          <w:szCs w:val="24"/>
        </w:rPr>
        <w:t xml:space="preserve"> </w:t>
      </w:r>
      <w:r w:rsidR="00F777B0">
        <w:rPr>
          <w:rFonts w:ascii="Arial" w:hAnsi="Arial" w:cs="Arial"/>
          <w:sz w:val="24"/>
          <w:szCs w:val="24"/>
        </w:rPr>
        <w:t>based on the submission by couns</w:t>
      </w:r>
      <w:r w:rsidR="000D4238">
        <w:rPr>
          <w:rFonts w:ascii="Arial" w:hAnsi="Arial" w:cs="Arial"/>
          <w:sz w:val="24"/>
          <w:szCs w:val="24"/>
        </w:rPr>
        <w:t>el for Caledon River</w:t>
      </w:r>
      <w:r w:rsidR="00F777B0">
        <w:rPr>
          <w:rFonts w:ascii="Arial" w:hAnsi="Arial" w:cs="Arial"/>
          <w:sz w:val="24"/>
          <w:szCs w:val="24"/>
        </w:rPr>
        <w:t xml:space="preserve"> </w:t>
      </w:r>
      <w:r w:rsidR="0068603A">
        <w:rPr>
          <w:rFonts w:ascii="Arial" w:hAnsi="Arial" w:cs="Arial"/>
          <w:sz w:val="24"/>
          <w:szCs w:val="24"/>
        </w:rPr>
        <w:t xml:space="preserve">Properties </w:t>
      </w:r>
      <w:r w:rsidR="00F777B0">
        <w:rPr>
          <w:rFonts w:ascii="Arial" w:hAnsi="Arial" w:cs="Arial"/>
          <w:sz w:val="24"/>
          <w:szCs w:val="24"/>
        </w:rPr>
        <w:t>when he advanced argument in opposition to the plaintiffs</w:t>
      </w:r>
      <w:r w:rsidR="0068603A">
        <w:rPr>
          <w:rFonts w:ascii="Arial" w:hAnsi="Arial" w:cs="Arial"/>
          <w:sz w:val="24"/>
          <w:szCs w:val="24"/>
        </w:rPr>
        <w:t>’</w:t>
      </w:r>
      <w:r w:rsidR="00F777B0">
        <w:rPr>
          <w:rFonts w:ascii="Arial" w:hAnsi="Arial" w:cs="Arial"/>
          <w:sz w:val="24"/>
          <w:szCs w:val="24"/>
        </w:rPr>
        <w:t xml:space="preserve"> application for a postponement</w:t>
      </w:r>
      <w:r w:rsidR="000D4238">
        <w:rPr>
          <w:rFonts w:ascii="Arial" w:hAnsi="Arial" w:cs="Arial"/>
          <w:sz w:val="24"/>
          <w:szCs w:val="24"/>
        </w:rPr>
        <w:t>,</w:t>
      </w:r>
      <w:r w:rsidR="00F777B0">
        <w:rPr>
          <w:rFonts w:ascii="Arial" w:hAnsi="Arial" w:cs="Arial"/>
          <w:sz w:val="24"/>
          <w:szCs w:val="24"/>
        </w:rPr>
        <w:t xml:space="preserve"> that the matter will not be disposed of in that hearing in any event because the parties had to file expert reports for the determination of just and equitable relief, </w:t>
      </w:r>
      <w:r w:rsidR="00694F85">
        <w:rPr>
          <w:rFonts w:ascii="Arial" w:hAnsi="Arial" w:cs="Arial"/>
          <w:sz w:val="24"/>
          <w:szCs w:val="24"/>
        </w:rPr>
        <w:t xml:space="preserve">I </w:t>
      </w:r>
      <w:r w:rsidR="00694F85" w:rsidRPr="00CF26A0">
        <w:rPr>
          <w:rFonts w:ascii="Arial" w:hAnsi="Arial" w:cs="Arial"/>
          <w:sz w:val="24"/>
          <w:szCs w:val="24"/>
        </w:rPr>
        <w:t>approached the issue of just and equitable relief as a purely legal question</w:t>
      </w:r>
      <w:r w:rsidR="000D4238">
        <w:rPr>
          <w:rFonts w:ascii="Arial" w:hAnsi="Arial" w:cs="Arial"/>
          <w:sz w:val="24"/>
          <w:szCs w:val="24"/>
        </w:rPr>
        <w:t>. F</w:t>
      </w:r>
      <w:r w:rsidR="00694F85" w:rsidRPr="00CF26A0">
        <w:rPr>
          <w:rFonts w:ascii="Arial" w:hAnsi="Arial" w:cs="Arial"/>
          <w:sz w:val="24"/>
          <w:szCs w:val="24"/>
        </w:rPr>
        <w:t>or that reason</w:t>
      </w:r>
      <w:r w:rsidR="000D4238">
        <w:rPr>
          <w:rFonts w:ascii="Arial" w:hAnsi="Arial" w:cs="Arial"/>
          <w:sz w:val="24"/>
          <w:szCs w:val="24"/>
        </w:rPr>
        <w:t>, I</w:t>
      </w:r>
      <w:r w:rsidR="00694F85" w:rsidRPr="00CF26A0">
        <w:rPr>
          <w:rFonts w:ascii="Arial" w:hAnsi="Arial" w:cs="Arial"/>
          <w:sz w:val="24"/>
          <w:szCs w:val="24"/>
        </w:rPr>
        <w:t xml:space="preserve"> did not consider the defendants witness statements and expert reports.</w:t>
      </w:r>
      <w:r w:rsidR="00F777B0">
        <w:rPr>
          <w:rFonts w:ascii="Arial" w:hAnsi="Arial" w:cs="Arial"/>
          <w:sz w:val="24"/>
          <w:szCs w:val="24"/>
        </w:rPr>
        <w:t xml:space="preserve"> Counsel for the parties could not agree on whether </w:t>
      </w:r>
      <w:r w:rsidR="008355BF" w:rsidRPr="00CF26A0">
        <w:rPr>
          <w:rFonts w:ascii="Arial" w:hAnsi="Arial" w:cs="Arial"/>
          <w:sz w:val="24"/>
          <w:szCs w:val="24"/>
        </w:rPr>
        <w:t>the defendants witness statements and expert reports</w:t>
      </w:r>
      <w:r w:rsidR="008355BF">
        <w:rPr>
          <w:rFonts w:ascii="Arial" w:hAnsi="Arial" w:cs="Arial"/>
          <w:sz w:val="24"/>
          <w:szCs w:val="24"/>
        </w:rPr>
        <w:t xml:space="preserve"> had been properly placed before</w:t>
      </w:r>
      <w:r w:rsidR="000D4238">
        <w:rPr>
          <w:rFonts w:ascii="Arial" w:hAnsi="Arial" w:cs="Arial"/>
          <w:sz w:val="24"/>
          <w:szCs w:val="24"/>
        </w:rPr>
        <w:t xml:space="preserve"> the Tribunal. Counsel for the defendants contended that the defendants’ evidence was properly before the Tribunal. Counsel for the p</w:t>
      </w:r>
      <w:r w:rsidR="008355BF">
        <w:rPr>
          <w:rFonts w:ascii="Arial" w:hAnsi="Arial" w:cs="Arial"/>
          <w:sz w:val="24"/>
          <w:szCs w:val="24"/>
        </w:rPr>
        <w:t>laintiffs contended that the defendants had to lead oral evidence and the plaintiffs had the right to cross examine the defendants’ witnesses.</w:t>
      </w:r>
    </w:p>
    <w:p w:rsidR="00DC33CA" w:rsidRPr="00CF26A0" w:rsidRDefault="0003515E" w:rsidP="00E12716">
      <w:pPr>
        <w:spacing w:line="360" w:lineRule="auto"/>
        <w:ind w:right="40"/>
        <w:jc w:val="both"/>
        <w:rPr>
          <w:rFonts w:ascii="Arial" w:hAnsi="Arial" w:cs="Arial"/>
          <w:sz w:val="24"/>
          <w:szCs w:val="24"/>
        </w:rPr>
      </w:pPr>
      <w:r>
        <w:rPr>
          <w:rFonts w:ascii="Arial" w:hAnsi="Arial" w:cs="Arial"/>
          <w:sz w:val="24"/>
          <w:szCs w:val="24"/>
        </w:rPr>
        <w:t>[21</w:t>
      </w:r>
      <w:r w:rsidR="008355BF">
        <w:rPr>
          <w:rFonts w:ascii="Arial" w:hAnsi="Arial" w:cs="Arial"/>
          <w:sz w:val="24"/>
          <w:szCs w:val="24"/>
        </w:rPr>
        <w:t>]</w:t>
      </w:r>
      <w:r w:rsidR="008355BF">
        <w:rPr>
          <w:rFonts w:ascii="Arial" w:hAnsi="Arial" w:cs="Arial"/>
          <w:sz w:val="24"/>
          <w:szCs w:val="24"/>
        </w:rPr>
        <w:tab/>
      </w:r>
      <w:r w:rsidR="00CF26A0" w:rsidRPr="00CF26A0">
        <w:rPr>
          <w:rFonts w:ascii="Arial" w:hAnsi="Arial" w:cs="Arial"/>
          <w:sz w:val="24"/>
          <w:szCs w:val="24"/>
        </w:rPr>
        <w:t>I requested the parties to file a transcribed record in order for me to determine precisely how the parties had formulated the issue before me. The parties agreed with me that it will be necessary for me to have regard to the record in order to determine the issues in the application for leave to appeal in a manner that would assist the court of appeal.  Regrettably, it</w:t>
      </w:r>
      <w:r w:rsidR="000D4238">
        <w:rPr>
          <w:rFonts w:ascii="Arial" w:hAnsi="Arial" w:cs="Arial"/>
          <w:sz w:val="24"/>
          <w:szCs w:val="24"/>
        </w:rPr>
        <w:t xml:space="preserve"> took the parties more than three</w:t>
      </w:r>
      <w:r w:rsidR="00CF26A0" w:rsidRPr="00CF26A0">
        <w:rPr>
          <w:rFonts w:ascii="Arial" w:hAnsi="Arial" w:cs="Arial"/>
          <w:sz w:val="24"/>
          <w:szCs w:val="24"/>
        </w:rPr>
        <w:t xml:space="preserve"> months to file the record. I resorted to listening to the recording in order to dispose of th</w:t>
      </w:r>
      <w:r w:rsidR="000D4238">
        <w:rPr>
          <w:rFonts w:ascii="Arial" w:hAnsi="Arial" w:cs="Arial"/>
          <w:sz w:val="24"/>
          <w:szCs w:val="24"/>
        </w:rPr>
        <w:t xml:space="preserve">e application for leave to appeal without further delay. </w:t>
      </w:r>
      <w:r w:rsidR="00CF26A0" w:rsidRPr="00CF26A0">
        <w:rPr>
          <w:rFonts w:ascii="Arial" w:hAnsi="Arial" w:cs="Arial"/>
          <w:sz w:val="24"/>
          <w:szCs w:val="24"/>
        </w:rPr>
        <w:t xml:space="preserve"> </w:t>
      </w:r>
    </w:p>
    <w:p w:rsidR="00F777B0" w:rsidRDefault="0003515E" w:rsidP="00E12716">
      <w:pPr>
        <w:spacing w:line="360" w:lineRule="auto"/>
        <w:ind w:right="40"/>
        <w:jc w:val="both"/>
        <w:rPr>
          <w:rFonts w:ascii="Arial" w:hAnsi="Arial" w:cs="Arial"/>
          <w:sz w:val="24"/>
          <w:szCs w:val="24"/>
        </w:rPr>
      </w:pPr>
      <w:r>
        <w:rPr>
          <w:rFonts w:ascii="Arial" w:hAnsi="Arial" w:cs="Arial"/>
          <w:sz w:val="24"/>
          <w:szCs w:val="24"/>
        </w:rPr>
        <w:t>[22</w:t>
      </w:r>
      <w:r w:rsidR="00CF26A0" w:rsidRPr="00CF26A0">
        <w:rPr>
          <w:rFonts w:ascii="Arial" w:hAnsi="Arial" w:cs="Arial"/>
          <w:sz w:val="24"/>
          <w:szCs w:val="24"/>
        </w:rPr>
        <w:t>]</w:t>
      </w:r>
      <w:r w:rsidR="00CF26A0" w:rsidRPr="00CF26A0">
        <w:rPr>
          <w:rFonts w:ascii="Arial" w:hAnsi="Arial" w:cs="Arial"/>
          <w:sz w:val="24"/>
          <w:szCs w:val="24"/>
        </w:rPr>
        <w:tab/>
        <w:t>Having listened to the record, I am of the view that I misc</w:t>
      </w:r>
      <w:r w:rsidR="00F777B0">
        <w:rPr>
          <w:rFonts w:ascii="Arial" w:hAnsi="Arial" w:cs="Arial"/>
          <w:sz w:val="24"/>
          <w:szCs w:val="24"/>
        </w:rPr>
        <w:t>onstrued the question before me, t</w:t>
      </w:r>
      <w:r w:rsidR="00CF26A0" w:rsidRPr="00CF26A0">
        <w:rPr>
          <w:rFonts w:ascii="Arial" w:hAnsi="Arial" w:cs="Arial"/>
          <w:sz w:val="24"/>
          <w:szCs w:val="24"/>
        </w:rPr>
        <w:t>hat it was not an entirely legal question and that I ought to have had regard to the defendants</w:t>
      </w:r>
      <w:r w:rsidR="00F777B0">
        <w:rPr>
          <w:rFonts w:ascii="Arial" w:hAnsi="Arial" w:cs="Arial"/>
          <w:sz w:val="24"/>
          <w:szCs w:val="24"/>
        </w:rPr>
        <w:t>’</w:t>
      </w:r>
      <w:r w:rsidR="00CF26A0" w:rsidRPr="00CF26A0">
        <w:rPr>
          <w:rFonts w:ascii="Arial" w:hAnsi="Arial" w:cs="Arial"/>
          <w:sz w:val="24"/>
          <w:szCs w:val="24"/>
        </w:rPr>
        <w:t xml:space="preserve"> witness statements and expert reports when determining </w:t>
      </w:r>
      <w:r w:rsidR="008355BF">
        <w:rPr>
          <w:rFonts w:ascii="Arial" w:hAnsi="Arial" w:cs="Arial"/>
          <w:sz w:val="24"/>
          <w:szCs w:val="24"/>
        </w:rPr>
        <w:t>wh</w:t>
      </w:r>
      <w:r w:rsidR="00CF26A0" w:rsidRPr="00CF26A0">
        <w:rPr>
          <w:rFonts w:ascii="Arial" w:hAnsi="Arial" w:cs="Arial"/>
          <w:sz w:val="24"/>
          <w:szCs w:val="24"/>
        </w:rPr>
        <w:t>ether it is just and equitable for the defend</w:t>
      </w:r>
      <w:r w:rsidR="008355BF">
        <w:rPr>
          <w:rFonts w:ascii="Arial" w:hAnsi="Arial" w:cs="Arial"/>
          <w:sz w:val="24"/>
          <w:szCs w:val="24"/>
        </w:rPr>
        <w:t>ants not to be divested of the</w:t>
      </w:r>
      <w:r w:rsidR="00CF26A0" w:rsidRPr="00CF26A0">
        <w:rPr>
          <w:rFonts w:ascii="Arial" w:hAnsi="Arial" w:cs="Arial"/>
          <w:sz w:val="24"/>
          <w:szCs w:val="24"/>
        </w:rPr>
        <w:t xml:space="preserve"> profits accrued from the </w:t>
      </w:r>
      <w:r w:rsidR="00A60CA7">
        <w:rPr>
          <w:rFonts w:ascii="Arial" w:hAnsi="Arial" w:cs="Arial"/>
          <w:sz w:val="24"/>
          <w:szCs w:val="24"/>
        </w:rPr>
        <w:t xml:space="preserve">impugned </w:t>
      </w:r>
      <w:r w:rsidR="00CF26A0" w:rsidRPr="00CF26A0">
        <w:rPr>
          <w:rFonts w:ascii="Arial" w:hAnsi="Arial" w:cs="Arial"/>
          <w:sz w:val="24"/>
          <w:szCs w:val="24"/>
        </w:rPr>
        <w:t>contract</w:t>
      </w:r>
      <w:r w:rsidR="000D4238">
        <w:rPr>
          <w:rFonts w:ascii="Arial" w:hAnsi="Arial" w:cs="Arial"/>
          <w:sz w:val="24"/>
          <w:szCs w:val="24"/>
        </w:rPr>
        <w:t>,</w:t>
      </w:r>
      <w:r w:rsidR="008355BF">
        <w:rPr>
          <w:rFonts w:ascii="Arial" w:hAnsi="Arial" w:cs="Arial"/>
          <w:sz w:val="24"/>
          <w:szCs w:val="24"/>
        </w:rPr>
        <w:t xml:space="preserve"> as well as the defendants’ counterclaims</w:t>
      </w:r>
      <w:r w:rsidR="00CF26A0" w:rsidRPr="00CF26A0">
        <w:rPr>
          <w:rFonts w:ascii="Arial" w:hAnsi="Arial" w:cs="Arial"/>
          <w:sz w:val="24"/>
          <w:szCs w:val="24"/>
        </w:rPr>
        <w:t xml:space="preserve">. </w:t>
      </w:r>
      <w:r w:rsidR="008355BF">
        <w:rPr>
          <w:rFonts w:ascii="Arial" w:hAnsi="Arial" w:cs="Arial"/>
          <w:sz w:val="24"/>
          <w:szCs w:val="24"/>
        </w:rPr>
        <w:t xml:space="preserve">At the pre-trial conference held between the parties on </w:t>
      </w:r>
      <w:r w:rsidR="008355BF" w:rsidRPr="000D4238">
        <w:rPr>
          <w:rFonts w:ascii="Arial" w:hAnsi="Arial" w:cs="Arial"/>
          <w:sz w:val="24"/>
          <w:szCs w:val="24"/>
        </w:rPr>
        <w:t>20 September 2021, the</w:t>
      </w:r>
      <w:r w:rsidR="008355BF">
        <w:rPr>
          <w:rFonts w:ascii="Arial" w:hAnsi="Arial" w:cs="Arial"/>
          <w:sz w:val="24"/>
          <w:szCs w:val="24"/>
        </w:rPr>
        <w:t xml:space="preserve"> plaintiffs resolved to argue their case on the ba</w:t>
      </w:r>
      <w:r w:rsidR="000D4238">
        <w:rPr>
          <w:rFonts w:ascii="Arial" w:hAnsi="Arial" w:cs="Arial"/>
          <w:sz w:val="24"/>
          <w:szCs w:val="24"/>
        </w:rPr>
        <w:t xml:space="preserve">sis of the defendants’ evidence. During </w:t>
      </w:r>
      <w:r w:rsidR="0068603A">
        <w:rPr>
          <w:rFonts w:ascii="Arial" w:hAnsi="Arial" w:cs="Arial"/>
          <w:sz w:val="24"/>
          <w:szCs w:val="24"/>
        </w:rPr>
        <w:t>the trial, the plaintiffs</w:t>
      </w:r>
      <w:r w:rsidR="000D4238">
        <w:rPr>
          <w:rFonts w:ascii="Arial" w:hAnsi="Arial" w:cs="Arial"/>
          <w:sz w:val="24"/>
          <w:szCs w:val="24"/>
        </w:rPr>
        <w:t xml:space="preserve"> did not assert </w:t>
      </w:r>
      <w:r w:rsidR="008355BF">
        <w:rPr>
          <w:rFonts w:ascii="Arial" w:hAnsi="Arial" w:cs="Arial"/>
          <w:sz w:val="24"/>
          <w:szCs w:val="24"/>
        </w:rPr>
        <w:t>their right to cross examine the defendants’ witnesses</w:t>
      </w:r>
      <w:r w:rsidR="0068603A">
        <w:rPr>
          <w:rFonts w:ascii="Arial" w:hAnsi="Arial" w:cs="Arial"/>
          <w:sz w:val="24"/>
          <w:szCs w:val="24"/>
        </w:rPr>
        <w:t>,</w:t>
      </w:r>
      <w:r w:rsidR="000D4238">
        <w:rPr>
          <w:rFonts w:ascii="Arial" w:hAnsi="Arial" w:cs="Arial"/>
          <w:sz w:val="24"/>
          <w:szCs w:val="24"/>
        </w:rPr>
        <w:t xml:space="preserve"> notwithstanding that they had been lined up to testify</w:t>
      </w:r>
      <w:r w:rsidR="008355BF">
        <w:rPr>
          <w:rFonts w:ascii="Arial" w:hAnsi="Arial" w:cs="Arial"/>
          <w:sz w:val="24"/>
          <w:szCs w:val="24"/>
        </w:rPr>
        <w:t>. T</w:t>
      </w:r>
      <w:r w:rsidR="00F777B0">
        <w:rPr>
          <w:rFonts w:ascii="Arial" w:hAnsi="Arial" w:cs="Arial"/>
          <w:sz w:val="24"/>
          <w:szCs w:val="24"/>
        </w:rPr>
        <w:t xml:space="preserve">he additional expert reports to be filed as argued by counsel for Caledon River </w:t>
      </w:r>
      <w:r w:rsidR="0068603A">
        <w:rPr>
          <w:rFonts w:ascii="Arial" w:hAnsi="Arial" w:cs="Arial"/>
          <w:sz w:val="24"/>
          <w:szCs w:val="24"/>
        </w:rPr>
        <w:t xml:space="preserve">Properties </w:t>
      </w:r>
      <w:r w:rsidR="00F777B0">
        <w:rPr>
          <w:rFonts w:ascii="Arial" w:hAnsi="Arial" w:cs="Arial"/>
          <w:sz w:val="24"/>
          <w:szCs w:val="24"/>
        </w:rPr>
        <w:t xml:space="preserve">are the defendants’ financial statements for the purpose of determining their profits in </w:t>
      </w:r>
      <w:r w:rsidR="008355BF">
        <w:rPr>
          <w:rFonts w:ascii="Arial" w:hAnsi="Arial" w:cs="Arial"/>
          <w:sz w:val="24"/>
          <w:szCs w:val="24"/>
        </w:rPr>
        <w:t>the event that I found that the defendants ought</w:t>
      </w:r>
      <w:r w:rsidR="00F777B0">
        <w:rPr>
          <w:rFonts w:ascii="Arial" w:hAnsi="Arial" w:cs="Arial"/>
          <w:sz w:val="24"/>
          <w:szCs w:val="24"/>
        </w:rPr>
        <w:t xml:space="preserve"> to be divested of their accrued profits. </w:t>
      </w:r>
    </w:p>
    <w:p w:rsidR="00F777B0" w:rsidRDefault="00F777B0" w:rsidP="00E12716">
      <w:pPr>
        <w:spacing w:line="360" w:lineRule="auto"/>
        <w:ind w:right="40"/>
        <w:jc w:val="both"/>
        <w:rPr>
          <w:rFonts w:ascii="Arial" w:hAnsi="Arial" w:cs="Arial"/>
          <w:sz w:val="24"/>
          <w:szCs w:val="24"/>
        </w:rPr>
      </w:pPr>
    </w:p>
    <w:p w:rsidR="00CF26A0" w:rsidRDefault="00F777B0" w:rsidP="00E12716">
      <w:pPr>
        <w:spacing w:line="360" w:lineRule="auto"/>
        <w:ind w:right="40"/>
        <w:jc w:val="both"/>
        <w:rPr>
          <w:rFonts w:ascii="Arial" w:hAnsi="Arial" w:cs="Arial"/>
          <w:b/>
          <w:sz w:val="24"/>
          <w:szCs w:val="24"/>
        </w:rPr>
      </w:pPr>
      <w:r w:rsidRPr="00F777B0">
        <w:rPr>
          <w:rFonts w:ascii="Arial" w:hAnsi="Arial" w:cs="Arial"/>
          <w:b/>
          <w:sz w:val="24"/>
          <w:szCs w:val="24"/>
        </w:rPr>
        <w:t>COST</w:t>
      </w:r>
      <w:r w:rsidR="007A58C0">
        <w:rPr>
          <w:rFonts w:ascii="Arial" w:hAnsi="Arial" w:cs="Arial"/>
          <w:b/>
          <w:sz w:val="24"/>
          <w:szCs w:val="24"/>
        </w:rPr>
        <w:t>S</w:t>
      </w:r>
      <w:r w:rsidR="00CF26A0" w:rsidRPr="00F777B0">
        <w:rPr>
          <w:rFonts w:ascii="Arial" w:hAnsi="Arial" w:cs="Arial"/>
          <w:b/>
          <w:sz w:val="24"/>
          <w:szCs w:val="24"/>
        </w:rPr>
        <w:t xml:space="preserve"> </w:t>
      </w:r>
    </w:p>
    <w:p w:rsidR="00F777B0" w:rsidRDefault="0003515E" w:rsidP="00E12716">
      <w:pPr>
        <w:spacing w:line="360" w:lineRule="auto"/>
        <w:ind w:right="40"/>
        <w:jc w:val="both"/>
        <w:rPr>
          <w:rFonts w:ascii="Arial" w:hAnsi="Arial" w:cs="Arial"/>
          <w:sz w:val="24"/>
          <w:szCs w:val="24"/>
        </w:rPr>
      </w:pPr>
      <w:r>
        <w:rPr>
          <w:rFonts w:ascii="Arial" w:hAnsi="Arial" w:cs="Arial"/>
          <w:sz w:val="24"/>
          <w:szCs w:val="24"/>
        </w:rPr>
        <w:t>[23</w:t>
      </w:r>
      <w:r w:rsidR="00F777B0" w:rsidRPr="00F777B0">
        <w:rPr>
          <w:rFonts w:ascii="Arial" w:hAnsi="Arial" w:cs="Arial"/>
          <w:sz w:val="24"/>
          <w:szCs w:val="24"/>
        </w:rPr>
        <w:t>]</w:t>
      </w:r>
      <w:r w:rsidR="00F777B0">
        <w:rPr>
          <w:rFonts w:ascii="Arial" w:hAnsi="Arial" w:cs="Arial"/>
          <w:sz w:val="24"/>
          <w:szCs w:val="24"/>
        </w:rPr>
        <w:tab/>
        <w:t>Given that the defendants’ application</w:t>
      </w:r>
      <w:r w:rsidR="000D4238">
        <w:rPr>
          <w:rFonts w:ascii="Arial" w:hAnsi="Arial" w:cs="Arial"/>
          <w:sz w:val="24"/>
          <w:szCs w:val="24"/>
        </w:rPr>
        <w:t>s for leave to appeal were</w:t>
      </w:r>
      <w:r w:rsidR="00F777B0">
        <w:rPr>
          <w:rFonts w:ascii="Arial" w:hAnsi="Arial" w:cs="Arial"/>
          <w:sz w:val="24"/>
          <w:szCs w:val="24"/>
        </w:rPr>
        <w:t xml:space="preserve"> disposed of on the basis of issues raised </w:t>
      </w:r>
      <w:r w:rsidR="00F777B0" w:rsidRPr="007A58C0">
        <w:rPr>
          <w:rFonts w:ascii="Arial" w:hAnsi="Arial" w:cs="Arial"/>
          <w:i/>
          <w:sz w:val="24"/>
          <w:szCs w:val="24"/>
        </w:rPr>
        <w:t>mero motu</w:t>
      </w:r>
      <w:r w:rsidR="00F777B0">
        <w:rPr>
          <w:rFonts w:ascii="Arial" w:hAnsi="Arial" w:cs="Arial"/>
          <w:sz w:val="24"/>
          <w:szCs w:val="24"/>
        </w:rPr>
        <w:t xml:space="preserve"> by the Tribunal, it is appropriate that </w:t>
      </w:r>
      <w:r w:rsidR="008355BF">
        <w:rPr>
          <w:rFonts w:ascii="Arial" w:hAnsi="Arial" w:cs="Arial"/>
          <w:sz w:val="24"/>
          <w:szCs w:val="24"/>
        </w:rPr>
        <w:t xml:space="preserve">the costs of the application are costs in the appeal. </w:t>
      </w:r>
      <w:r w:rsidR="00F777B0">
        <w:rPr>
          <w:rFonts w:ascii="Arial" w:hAnsi="Arial" w:cs="Arial"/>
          <w:sz w:val="24"/>
          <w:szCs w:val="24"/>
        </w:rPr>
        <w:t xml:space="preserve"> </w:t>
      </w:r>
    </w:p>
    <w:p w:rsidR="008355BF" w:rsidRDefault="0003515E" w:rsidP="00E12716">
      <w:pPr>
        <w:spacing w:line="360" w:lineRule="auto"/>
        <w:ind w:right="40"/>
        <w:jc w:val="both"/>
        <w:rPr>
          <w:rFonts w:ascii="Arial" w:hAnsi="Arial" w:cs="Arial"/>
          <w:sz w:val="24"/>
          <w:szCs w:val="24"/>
        </w:rPr>
      </w:pPr>
      <w:r>
        <w:rPr>
          <w:rFonts w:ascii="Arial" w:hAnsi="Arial" w:cs="Arial"/>
          <w:sz w:val="24"/>
          <w:szCs w:val="24"/>
        </w:rPr>
        <w:t>[24</w:t>
      </w:r>
      <w:r w:rsidR="008355BF">
        <w:rPr>
          <w:rFonts w:ascii="Arial" w:hAnsi="Arial" w:cs="Arial"/>
          <w:sz w:val="24"/>
          <w:szCs w:val="24"/>
        </w:rPr>
        <w:t>]</w:t>
      </w:r>
      <w:r w:rsidR="008355BF">
        <w:rPr>
          <w:rFonts w:ascii="Arial" w:hAnsi="Arial" w:cs="Arial"/>
          <w:sz w:val="24"/>
          <w:szCs w:val="24"/>
        </w:rPr>
        <w:tab/>
        <w:t>In the premises, the following order is made:</w:t>
      </w:r>
    </w:p>
    <w:p w:rsidR="008355BF" w:rsidRDefault="008355BF" w:rsidP="00E12716">
      <w:pPr>
        <w:spacing w:line="360" w:lineRule="auto"/>
        <w:ind w:right="40"/>
        <w:jc w:val="both"/>
        <w:rPr>
          <w:rFonts w:ascii="Arial" w:hAnsi="Arial" w:cs="Arial"/>
          <w:sz w:val="24"/>
          <w:szCs w:val="24"/>
        </w:rPr>
      </w:pPr>
    </w:p>
    <w:p w:rsidR="0003515E" w:rsidRDefault="0003515E" w:rsidP="00E12716">
      <w:pPr>
        <w:spacing w:line="360" w:lineRule="auto"/>
        <w:ind w:right="40"/>
        <w:jc w:val="both"/>
        <w:rPr>
          <w:rFonts w:ascii="Arial" w:hAnsi="Arial" w:cs="Arial"/>
          <w:sz w:val="24"/>
          <w:szCs w:val="24"/>
        </w:rPr>
      </w:pPr>
    </w:p>
    <w:p w:rsidR="0003515E" w:rsidRDefault="0003515E" w:rsidP="00E12716">
      <w:pPr>
        <w:spacing w:line="360" w:lineRule="auto"/>
        <w:ind w:right="40"/>
        <w:jc w:val="both"/>
        <w:rPr>
          <w:rFonts w:ascii="Arial" w:hAnsi="Arial" w:cs="Arial"/>
          <w:sz w:val="24"/>
          <w:szCs w:val="24"/>
        </w:rPr>
      </w:pPr>
    </w:p>
    <w:p w:rsidR="008355BF" w:rsidRDefault="008355BF" w:rsidP="00E12716">
      <w:pPr>
        <w:spacing w:line="360" w:lineRule="auto"/>
        <w:ind w:right="40"/>
        <w:jc w:val="both"/>
        <w:rPr>
          <w:rFonts w:ascii="Arial" w:hAnsi="Arial" w:cs="Arial"/>
          <w:b/>
          <w:sz w:val="24"/>
          <w:szCs w:val="24"/>
        </w:rPr>
      </w:pPr>
      <w:r w:rsidRPr="008355BF">
        <w:rPr>
          <w:rFonts w:ascii="Arial" w:hAnsi="Arial" w:cs="Arial"/>
          <w:b/>
          <w:sz w:val="24"/>
          <w:szCs w:val="24"/>
        </w:rPr>
        <w:t>ORDER</w:t>
      </w:r>
    </w:p>
    <w:p w:rsidR="0003515E" w:rsidRDefault="000D4238" w:rsidP="008355BF">
      <w:pPr>
        <w:pStyle w:val="ListParagraph"/>
        <w:numPr>
          <w:ilvl w:val="0"/>
          <w:numId w:val="3"/>
        </w:numPr>
        <w:spacing w:line="360" w:lineRule="auto"/>
        <w:ind w:right="40"/>
        <w:jc w:val="both"/>
        <w:rPr>
          <w:rFonts w:ascii="Arial" w:hAnsi="Arial" w:cs="Arial"/>
          <w:sz w:val="24"/>
          <w:szCs w:val="24"/>
        </w:rPr>
      </w:pPr>
      <w:r>
        <w:rPr>
          <w:rFonts w:ascii="Arial" w:hAnsi="Arial" w:cs="Arial"/>
          <w:sz w:val="24"/>
          <w:szCs w:val="24"/>
        </w:rPr>
        <w:t>The first and second defendant</w:t>
      </w:r>
      <w:r w:rsidR="008355BF" w:rsidRPr="008355BF">
        <w:rPr>
          <w:rFonts w:ascii="Arial" w:hAnsi="Arial" w:cs="Arial"/>
          <w:sz w:val="24"/>
          <w:szCs w:val="24"/>
        </w:rPr>
        <w:t>s</w:t>
      </w:r>
      <w:r>
        <w:rPr>
          <w:rFonts w:ascii="Arial" w:hAnsi="Arial" w:cs="Arial"/>
          <w:sz w:val="24"/>
          <w:szCs w:val="24"/>
        </w:rPr>
        <w:t>’</w:t>
      </w:r>
      <w:r w:rsidR="008355BF" w:rsidRPr="008355BF">
        <w:rPr>
          <w:rFonts w:ascii="Arial" w:hAnsi="Arial" w:cs="Arial"/>
          <w:sz w:val="24"/>
          <w:szCs w:val="24"/>
        </w:rPr>
        <w:t xml:space="preserve"> applications for leave to </w:t>
      </w:r>
      <w:r w:rsidR="0003515E">
        <w:rPr>
          <w:rFonts w:ascii="Arial" w:hAnsi="Arial" w:cs="Arial"/>
          <w:sz w:val="24"/>
          <w:szCs w:val="24"/>
        </w:rPr>
        <w:t>appeal are dismissed.</w:t>
      </w:r>
    </w:p>
    <w:p w:rsidR="008355BF" w:rsidRPr="008355BF" w:rsidRDefault="008355BF" w:rsidP="008355BF">
      <w:pPr>
        <w:pStyle w:val="ListParagraph"/>
        <w:numPr>
          <w:ilvl w:val="0"/>
          <w:numId w:val="3"/>
        </w:numPr>
        <w:spacing w:line="360" w:lineRule="auto"/>
        <w:ind w:right="40"/>
        <w:jc w:val="both"/>
        <w:rPr>
          <w:rFonts w:ascii="Arial" w:hAnsi="Arial" w:cs="Arial"/>
          <w:sz w:val="24"/>
          <w:szCs w:val="24"/>
        </w:rPr>
      </w:pPr>
      <w:r w:rsidRPr="008355BF">
        <w:rPr>
          <w:rFonts w:ascii="Arial" w:hAnsi="Arial" w:cs="Arial"/>
          <w:sz w:val="24"/>
          <w:szCs w:val="24"/>
        </w:rPr>
        <w:t>Costs are costs in the appeal.</w:t>
      </w:r>
    </w:p>
    <w:p w:rsidR="00C960B0" w:rsidRDefault="00C960B0" w:rsidP="00AC601F">
      <w:pPr>
        <w:spacing w:line="360" w:lineRule="auto"/>
        <w:ind w:right="40"/>
        <w:jc w:val="right"/>
        <w:rPr>
          <w:rStyle w:val="s2"/>
          <w:rFonts w:ascii="Arial" w:hAnsi="Arial" w:cs="Arial"/>
          <w:noProof/>
          <w:color w:val="000000"/>
        </w:rPr>
      </w:pPr>
    </w:p>
    <w:p w:rsidR="00F93CBF" w:rsidRDefault="00F93CBF" w:rsidP="00AC601F">
      <w:pPr>
        <w:spacing w:line="360" w:lineRule="auto"/>
        <w:ind w:right="40"/>
        <w:jc w:val="right"/>
        <w:rPr>
          <w:rFonts w:ascii="Arial" w:hAnsi="Arial" w:cs="Arial"/>
          <w:b/>
          <w:i/>
          <w:noProof/>
          <w:color w:val="000000"/>
          <w:sz w:val="24"/>
          <w:szCs w:val="24"/>
          <w:lang w:eastAsia="en-ZA"/>
        </w:rPr>
      </w:pPr>
    </w:p>
    <w:p w:rsidR="00655F83" w:rsidRPr="00080DBD" w:rsidRDefault="00655F83" w:rsidP="00AC601F">
      <w:pPr>
        <w:spacing w:line="360" w:lineRule="auto"/>
        <w:ind w:right="40"/>
        <w:jc w:val="right"/>
        <w:rPr>
          <w:rFonts w:ascii="Arial" w:hAnsi="Arial" w:cs="Arial"/>
          <w:b/>
          <w:i/>
          <w:color w:val="000000"/>
          <w:sz w:val="24"/>
          <w:szCs w:val="24"/>
        </w:rPr>
      </w:pPr>
      <w:bookmarkStart w:id="0" w:name="_GoBack"/>
      <w:bookmarkEnd w:id="0"/>
    </w:p>
    <w:p w:rsidR="0042631F" w:rsidRPr="00F918EC" w:rsidRDefault="0042631F" w:rsidP="0042631F">
      <w:pPr>
        <w:pStyle w:val="ListParagraph"/>
        <w:ind w:left="0"/>
        <w:jc w:val="right"/>
        <w:rPr>
          <w:rFonts w:ascii="Arial" w:hAnsi="Arial" w:cs="Arial"/>
          <w:sz w:val="24"/>
          <w:szCs w:val="20"/>
          <w:lang w:val="en-GB" w:eastAsia="en-ZA"/>
        </w:rPr>
      </w:pPr>
      <w:r w:rsidRPr="00F918EC">
        <w:rPr>
          <w:rFonts w:ascii="Arial" w:hAnsi="Arial" w:cs="Arial"/>
          <w:sz w:val="24"/>
          <w:szCs w:val="20"/>
          <w:lang w:val="en-GB" w:eastAsia="en-ZA"/>
        </w:rPr>
        <w:t>________________________________</w:t>
      </w:r>
    </w:p>
    <w:p w:rsidR="0042631F" w:rsidRDefault="0042631F" w:rsidP="0042631F">
      <w:pPr>
        <w:spacing w:before="240" w:after="0" w:line="360" w:lineRule="auto"/>
        <w:ind w:left="2160" w:firstLine="720"/>
        <w:contextualSpacing/>
        <w:jc w:val="center"/>
        <w:rPr>
          <w:rFonts w:ascii="Arial" w:hAnsi="Arial" w:cs="Arial"/>
          <w:b/>
          <w:sz w:val="24"/>
          <w:szCs w:val="20"/>
          <w:lang w:val="en-GB" w:eastAsia="en-ZA"/>
        </w:rPr>
      </w:pPr>
      <w:r>
        <w:rPr>
          <w:rFonts w:ascii="Arial" w:hAnsi="Arial" w:cs="Arial"/>
          <w:b/>
          <w:sz w:val="24"/>
          <w:szCs w:val="20"/>
          <w:lang w:val="en-GB" w:eastAsia="en-ZA"/>
        </w:rPr>
        <w:t xml:space="preserve">     JUDGE</w:t>
      </w:r>
      <w:r w:rsidRPr="00F918EC">
        <w:rPr>
          <w:rFonts w:ascii="Arial" w:hAnsi="Arial" w:cs="Arial"/>
          <w:b/>
          <w:sz w:val="24"/>
          <w:szCs w:val="20"/>
          <w:lang w:val="en-GB" w:eastAsia="en-ZA"/>
        </w:rPr>
        <w:t xml:space="preserve"> L</w:t>
      </w:r>
      <w:r>
        <w:rPr>
          <w:rFonts w:ascii="Arial" w:hAnsi="Arial" w:cs="Arial"/>
          <w:b/>
          <w:sz w:val="24"/>
          <w:szCs w:val="20"/>
          <w:lang w:val="en-GB" w:eastAsia="en-ZA"/>
        </w:rPr>
        <w:t>.</w:t>
      </w:r>
      <w:r w:rsidRPr="00F918EC">
        <w:rPr>
          <w:rFonts w:ascii="Arial" w:hAnsi="Arial" w:cs="Arial"/>
          <w:b/>
          <w:sz w:val="24"/>
          <w:szCs w:val="20"/>
          <w:lang w:val="en-GB" w:eastAsia="en-ZA"/>
        </w:rPr>
        <w:t xml:space="preserve"> T</w:t>
      </w:r>
      <w:r>
        <w:rPr>
          <w:rFonts w:ascii="Arial" w:hAnsi="Arial" w:cs="Arial"/>
          <w:b/>
          <w:sz w:val="24"/>
          <w:szCs w:val="20"/>
          <w:lang w:val="en-GB" w:eastAsia="en-ZA"/>
        </w:rPr>
        <w:t>.</w:t>
      </w:r>
      <w:r w:rsidRPr="00F918EC">
        <w:rPr>
          <w:rFonts w:ascii="Arial" w:hAnsi="Arial" w:cs="Arial"/>
          <w:b/>
          <w:sz w:val="24"/>
          <w:szCs w:val="20"/>
          <w:lang w:val="en-GB" w:eastAsia="en-ZA"/>
        </w:rPr>
        <w:t xml:space="preserve"> MODIBA</w:t>
      </w:r>
    </w:p>
    <w:p w:rsidR="0042631F" w:rsidRDefault="0042631F" w:rsidP="0042631F">
      <w:pPr>
        <w:spacing w:before="240" w:after="0" w:line="360" w:lineRule="auto"/>
        <w:ind w:left="720"/>
        <w:contextualSpacing/>
        <w:jc w:val="right"/>
        <w:rPr>
          <w:rFonts w:ascii="Arial" w:hAnsi="Arial" w:cs="Arial"/>
          <w:b/>
          <w:sz w:val="24"/>
          <w:szCs w:val="20"/>
          <w:lang w:val="en-GB" w:eastAsia="en-ZA"/>
        </w:rPr>
      </w:pPr>
      <w:r>
        <w:rPr>
          <w:rFonts w:ascii="Arial" w:hAnsi="Arial" w:cs="Arial"/>
          <w:b/>
          <w:sz w:val="24"/>
          <w:szCs w:val="20"/>
          <w:lang w:val="en-GB" w:eastAsia="en-ZA"/>
        </w:rPr>
        <w:t xml:space="preserve">        </w:t>
      </w:r>
      <w:r w:rsidRPr="00F918EC">
        <w:rPr>
          <w:rFonts w:ascii="Arial" w:hAnsi="Arial" w:cs="Arial"/>
          <w:b/>
          <w:sz w:val="24"/>
          <w:szCs w:val="20"/>
          <w:lang w:val="en-GB" w:eastAsia="en-ZA"/>
        </w:rPr>
        <w:t xml:space="preserve">                                </w:t>
      </w:r>
      <w:r>
        <w:rPr>
          <w:rFonts w:ascii="Arial" w:hAnsi="Arial" w:cs="Arial"/>
          <w:b/>
          <w:sz w:val="24"/>
          <w:szCs w:val="20"/>
          <w:lang w:val="en-GB" w:eastAsia="en-ZA"/>
        </w:rPr>
        <w:t xml:space="preserve">     PRESIDENT OF THE SPECIAL TRIBUNAL </w:t>
      </w:r>
    </w:p>
    <w:p w:rsidR="0042631F" w:rsidRPr="00AC601F" w:rsidRDefault="0042631F" w:rsidP="0042631F">
      <w:pPr>
        <w:rPr>
          <w:rFonts w:ascii="Arial" w:hAnsi="Arial" w:cs="Arial"/>
          <w:b/>
          <w:sz w:val="24"/>
        </w:rPr>
      </w:pPr>
      <w:r w:rsidRPr="00AC601F">
        <w:rPr>
          <w:rFonts w:ascii="Arial" w:hAnsi="Arial" w:cs="Arial"/>
          <w:b/>
          <w:sz w:val="24"/>
        </w:rPr>
        <w:t>APPEARENCES</w:t>
      </w:r>
    </w:p>
    <w:p w:rsidR="0042631F" w:rsidRPr="00AC601F" w:rsidRDefault="0042631F" w:rsidP="0042631F">
      <w:pPr>
        <w:ind w:left="3600" w:hanging="3600"/>
        <w:rPr>
          <w:rFonts w:ascii="Arial" w:hAnsi="Arial" w:cs="Arial"/>
          <w:sz w:val="24"/>
        </w:rPr>
      </w:pPr>
      <w:r w:rsidRPr="00AC601F">
        <w:rPr>
          <w:rFonts w:ascii="Arial" w:hAnsi="Arial" w:cs="Arial"/>
          <w:sz w:val="24"/>
        </w:rPr>
        <w:t>Counsel for the applicant:</w:t>
      </w:r>
      <w:r w:rsidRPr="00AC601F">
        <w:rPr>
          <w:rFonts w:ascii="Arial" w:hAnsi="Arial" w:cs="Arial"/>
          <w:sz w:val="24"/>
        </w:rPr>
        <w:tab/>
        <w:t>Adv. Ishmael Semenya SC assisted by Adv. Nicole Mayet, instructed by the Office of the State Attorney, Pretoria</w:t>
      </w:r>
    </w:p>
    <w:p w:rsidR="0042631F" w:rsidRPr="00AC601F" w:rsidRDefault="0042631F" w:rsidP="0042631F">
      <w:pPr>
        <w:rPr>
          <w:rFonts w:ascii="Arial" w:hAnsi="Arial" w:cs="Arial"/>
          <w:sz w:val="24"/>
        </w:rPr>
      </w:pPr>
      <w:r w:rsidRPr="00AC601F">
        <w:rPr>
          <w:rFonts w:ascii="Arial" w:hAnsi="Arial" w:cs="Arial"/>
          <w:sz w:val="24"/>
        </w:rPr>
        <w:t>Counsel for the 1</w:t>
      </w:r>
      <w:r w:rsidRPr="00AC601F">
        <w:rPr>
          <w:rFonts w:ascii="Arial" w:hAnsi="Arial" w:cs="Arial"/>
          <w:sz w:val="24"/>
          <w:vertAlign w:val="superscript"/>
        </w:rPr>
        <w:t>st</w:t>
      </w:r>
      <w:r w:rsidRPr="00AC601F">
        <w:rPr>
          <w:rFonts w:ascii="Arial" w:hAnsi="Arial" w:cs="Arial"/>
          <w:sz w:val="24"/>
        </w:rPr>
        <w:t xml:space="preserve"> respondent:</w:t>
      </w:r>
      <w:r w:rsidRPr="00AC601F">
        <w:rPr>
          <w:rFonts w:ascii="Arial" w:hAnsi="Arial" w:cs="Arial"/>
          <w:sz w:val="24"/>
        </w:rPr>
        <w:tab/>
        <w:t>GJ Scheepers SC, instructed by Louw Le Roux Inc</w:t>
      </w:r>
    </w:p>
    <w:p w:rsidR="0042631F" w:rsidRPr="00AC601F" w:rsidRDefault="0042631F" w:rsidP="0042631F">
      <w:pPr>
        <w:rPr>
          <w:rFonts w:ascii="Arial" w:hAnsi="Arial" w:cs="Arial"/>
          <w:sz w:val="24"/>
        </w:rPr>
      </w:pPr>
      <w:r w:rsidRPr="00AC601F">
        <w:rPr>
          <w:rFonts w:ascii="Arial" w:hAnsi="Arial" w:cs="Arial"/>
          <w:sz w:val="24"/>
        </w:rPr>
        <w:t>Counsel for the 2</w:t>
      </w:r>
      <w:r w:rsidRPr="00AC601F">
        <w:rPr>
          <w:rFonts w:ascii="Arial" w:hAnsi="Arial" w:cs="Arial"/>
          <w:sz w:val="24"/>
          <w:vertAlign w:val="superscript"/>
        </w:rPr>
        <w:t>nd</w:t>
      </w:r>
      <w:r w:rsidRPr="00AC601F">
        <w:rPr>
          <w:rFonts w:ascii="Arial" w:hAnsi="Arial" w:cs="Arial"/>
          <w:sz w:val="24"/>
        </w:rPr>
        <w:t xml:space="preserve"> respondent:</w:t>
      </w:r>
      <w:r w:rsidRPr="00AC601F">
        <w:rPr>
          <w:rFonts w:ascii="Arial" w:hAnsi="Arial" w:cs="Arial"/>
          <w:sz w:val="24"/>
        </w:rPr>
        <w:tab/>
        <w:t>E L Theron SC, instructed by Alant, Gell and Martin Inc</w:t>
      </w:r>
    </w:p>
    <w:p w:rsidR="0042631F" w:rsidRPr="00AC601F" w:rsidRDefault="0042631F" w:rsidP="0042631F">
      <w:pPr>
        <w:rPr>
          <w:rFonts w:ascii="Arial" w:hAnsi="Arial" w:cs="Arial"/>
          <w:sz w:val="24"/>
        </w:rPr>
      </w:pPr>
      <w:r w:rsidRPr="00AC601F">
        <w:rPr>
          <w:rFonts w:ascii="Arial" w:hAnsi="Arial" w:cs="Arial"/>
          <w:sz w:val="24"/>
        </w:rPr>
        <w:t xml:space="preserve">Date of hearing: </w:t>
      </w:r>
      <w:r w:rsidRPr="00AC601F">
        <w:rPr>
          <w:rFonts w:ascii="Arial" w:hAnsi="Arial" w:cs="Arial"/>
          <w:sz w:val="24"/>
        </w:rPr>
        <w:tab/>
      </w:r>
      <w:r w:rsidRPr="00AC601F">
        <w:rPr>
          <w:rFonts w:ascii="Arial" w:hAnsi="Arial" w:cs="Arial"/>
          <w:sz w:val="24"/>
        </w:rPr>
        <w:tab/>
      </w:r>
      <w:r w:rsidRPr="00AC601F">
        <w:rPr>
          <w:rFonts w:ascii="Arial" w:hAnsi="Arial" w:cs="Arial"/>
          <w:sz w:val="24"/>
        </w:rPr>
        <w:tab/>
        <w:t xml:space="preserve">19 May 2022 </w:t>
      </w:r>
    </w:p>
    <w:p w:rsidR="0042631F" w:rsidRDefault="0042631F" w:rsidP="0042631F">
      <w:pPr>
        <w:rPr>
          <w:rFonts w:ascii="Arial" w:hAnsi="Arial" w:cs="Arial"/>
          <w:b/>
          <w:sz w:val="28"/>
          <w:szCs w:val="20"/>
          <w:lang w:val="en-GB" w:eastAsia="en-ZA"/>
        </w:rPr>
      </w:pPr>
      <w:r w:rsidRPr="00AC601F">
        <w:rPr>
          <w:rFonts w:ascii="Arial" w:hAnsi="Arial" w:cs="Arial"/>
          <w:sz w:val="24"/>
        </w:rPr>
        <w:t xml:space="preserve">Date of judgment: </w:t>
      </w:r>
      <w:r w:rsidRPr="00AC601F">
        <w:rPr>
          <w:rFonts w:ascii="Arial" w:hAnsi="Arial" w:cs="Arial"/>
          <w:noProof/>
          <w:sz w:val="24"/>
          <w:lang w:eastAsia="en-ZA"/>
        </w:rPr>
        <w:t xml:space="preserve">  </w:t>
      </w:r>
      <w:r w:rsidRPr="00AC601F">
        <w:rPr>
          <w:rFonts w:ascii="Arial" w:hAnsi="Arial" w:cs="Arial"/>
          <w:noProof/>
          <w:sz w:val="24"/>
          <w:lang w:eastAsia="en-ZA"/>
        </w:rPr>
        <w:tab/>
      </w:r>
      <w:r w:rsidRPr="00AC601F">
        <w:rPr>
          <w:rFonts w:ascii="Arial" w:hAnsi="Arial" w:cs="Arial"/>
          <w:noProof/>
          <w:sz w:val="24"/>
          <w:lang w:eastAsia="en-ZA"/>
        </w:rPr>
        <w:tab/>
      </w:r>
      <w:r w:rsidRPr="00AC601F">
        <w:rPr>
          <w:rFonts w:ascii="Arial" w:hAnsi="Arial" w:cs="Arial"/>
          <w:noProof/>
          <w:sz w:val="24"/>
          <w:lang w:eastAsia="en-ZA"/>
        </w:rPr>
        <w:tab/>
      </w:r>
      <w:r w:rsidR="008355BF" w:rsidRPr="00AC601F">
        <w:rPr>
          <w:rFonts w:ascii="Arial" w:hAnsi="Arial" w:cs="Arial"/>
          <w:noProof/>
          <w:sz w:val="24"/>
          <w:lang w:eastAsia="en-ZA"/>
        </w:rPr>
        <w:t>7</w:t>
      </w:r>
      <w:r w:rsidRPr="00AC601F">
        <w:rPr>
          <w:rFonts w:ascii="Arial" w:hAnsi="Arial" w:cs="Arial"/>
          <w:noProof/>
          <w:sz w:val="24"/>
          <w:lang w:eastAsia="en-ZA"/>
        </w:rPr>
        <w:t xml:space="preserve"> September 2022</w:t>
      </w:r>
      <w:r w:rsidRPr="00AC601F">
        <w:rPr>
          <w:rFonts w:ascii="Arial" w:hAnsi="Arial" w:cs="Arial"/>
          <w:b/>
          <w:sz w:val="28"/>
          <w:szCs w:val="20"/>
          <w:lang w:val="en-GB" w:eastAsia="en-ZA"/>
        </w:rPr>
        <w:t xml:space="preserve">    </w:t>
      </w:r>
    </w:p>
    <w:p w:rsidR="0003515E" w:rsidRPr="0003515E" w:rsidRDefault="0003515E" w:rsidP="0042631F">
      <w:pPr>
        <w:rPr>
          <w:rFonts w:ascii="Arial" w:hAnsi="Arial" w:cs="Arial"/>
          <w:sz w:val="24"/>
          <w:szCs w:val="20"/>
          <w:lang w:val="en-GB" w:eastAsia="en-ZA"/>
        </w:rPr>
      </w:pPr>
      <w:r w:rsidRPr="0003515E">
        <w:rPr>
          <w:rFonts w:ascii="Arial" w:hAnsi="Arial" w:cs="Arial"/>
          <w:sz w:val="24"/>
          <w:szCs w:val="20"/>
          <w:lang w:val="en-GB" w:eastAsia="en-ZA"/>
        </w:rPr>
        <w:t xml:space="preserve">Revised: </w:t>
      </w:r>
      <w:r w:rsidRPr="0003515E">
        <w:rPr>
          <w:rFonts w:ascii="Arial" w:hAnsi="Arial" w:cs="Arial"/>
          <w:sz w:val="24"/>
          <w:szCs w:val="20"/>
          <w:lang w:val="en-GB" w:eastAsia="en-ZA"/>
        </w:rPr>
        <w:tab/>
      </w:r>
      <w:r w:rsidRPr="0003515E">
        <w:rPr>
          <w:rFonts w:ascii="Arial" w:hAnsi="Arial" w:cs="Arial"/>
          <w:sz w:val="24"/>
          <w:szCs w:val="20"/>
          <w:lang w:val="en-GB" w:eastAsia="en-ZA"/>
        </w:rPr>
        <w:tab/>
      </w:r>
      <w:r w:rsidRPr="0003515E">
        <w:rPr>
          <w:rFonts w:ascii="Arial" w:hAnsi="Arial" w:cs="Arial"/>
          <w:sz w:val="24"/>
          <w:szCs w:val="20"/>
          <w:lang w:val="en-GB" w:eastAsia="en-ZA"/>
        </w:rPr>
        <w:tab/>
      </w:r>
      <w:r w:rsidRPr="0003515E">
        <w:rPr>
          <w:rFonts w:ascii="Arial" w:hAnsi="Arial" w:cs="Arial"/>
          <w:sz w:val="24"/>
          <w:szCs w:val="20"/>
          <w:lang w:val="en-GB" w:eastAsia="en-ZA"/>
        </w:rPr>
        <w:tab/>
        <w:t>8 September 2022</w:t>
      </w:r>
    </w:p>
    <w:p w:rsidR="00AC601F" w:rsidRDefault="00AC601F" w:rsidP="00AC601F">
      <w:pPr>
        <w:tabs>
          <w:tab w:val="left" w:pos="709"/>
          <w:tab w:val="left" w:pos="1560"/>
          <w:tab w:val="right" w:pos="8931"/>
        </w:tabs>
        <w:spacing w:after="480" w:line="480" w:lineRule="auto"/>
        <w:jc w:val="both"/>
        <w:rPr>
          <w:rFonts w:ascii="Arial" w:eastAsia="Times New Roman" w:hAnsi="Arial" w:cs="Arial"/>
          <w:i/>
          <w:color w:val="222222"/>
          <w:sz w:val="24"/>
          <w:lang w:eastAsia="en-ZA"/>
        </w:rPr>
      </w:pPr>
      <w:r w:rsidRPr="00251CD3">
        <w:rPr>
          <w:rFonts w:ascii="Arial" w:eastAsia="Times New Roman" w:hAnsi="Arial" w:cs="Arial"/>
          <w:b/>
          <w:i/>
          <w:sz w:val="24"/>
          <w:lang w:eastAsia="en-GB"/>
        </w:rPr>
        <w:t>Mode of delivery:</w:t>
      </w:r>
      <w:r w:rsidRPr="00251CD3">
        <w:rPr>
          <w:rFonts w:ascii="Arial" w:eastAsia="Times New Roman" w:hAnsi="Arial" w:cs="Arial"/>
          <w:i/>
          <w:sz w:val="24"/>
          <w:lang w:eastAsia="en-GB"/>
        </w:rPr>
        <w:t xml:space="preserve"> </w:t>
      </w:r>
      <w:r>
        <w:rPr>
          <w:rFonts w:ascii="Arial" w:eastAsia="Times New Roman" w:hAnsi="Arial" w:cs="Arial"/>
          <w:i/>
          <w:sz w:val="24"/>
          <w:lang w:eastAsia="en-GB"/>
        </w:rPr>
        <w:t xml:space="preserve">this judgment was </w:t>
      </w:r>
      <w:r w:rsidRPr="00251CD3">
        <w:rPr>
          <w:rFonts w:ascii="Arial" w:eastAsia="Times New Roman" w:hAnsi="Arial" w:cs="Arial"/>
          <w:i/>
          <w:color w:val="222222"/>
          <w:sz w:val="24"/>
          <w:lang w:eastAsia="en-ZA"/>
        </w:rPr>
        <w:t xml:space="preserve">handed down </w:t>
      </w:r>
      <w:r>
        <w:rPr>
          <w:rFonts w:ascii="Arial" w:eastAsia="Times New Roman" w:hAnsi="Arial" w:cs="Arial"/>
          <w:i/>
          <w:color w:val="222222"/>
          <w:sz w:val="24"/>
          <w:lang w:eastAsia="en-ZA"/>
        </w:rPr>
        <w:t xml:space="preserve">electronically by transmission to the </w:t>
      </w:r>
      <w:r w:rsidRPr="00251CD3">
        <w:rPr>
          <w:rFonts w:ascii="Arial" w:eastAsia="Times New Roman" w:hAnsi="Arial" w:cs="Arial"/>
          <w:i/>
          <w:color w:val="222222"/>
          <w:sz w:val="24"/>
          <w:lang w:eastAsia="en-ZA"/>
        </w:rPr>
        <w:t>parties’ legal representatives by email</w:t>
      </w:r>
      <w:r>
        <w:rPr>
          <w:rFonts w:ascii="Arial" w:eastAsia="Times New Roman" w:hAnsi="Arial" w:cs="Arial"/>
          <w:i/>
          <w:color w:val="222222"/>
          <w:sz w:val="24"/>
          <w:lang w:eastAsia="en-ZA"/>
        </w:rPr>
        <w:t>, uploading on Caselines and releasing to SAFLII. The time for handing down the judgment is deemed to be 10am.</w:t>
      </w:r>
      <w:r w:rsidRPr="00251CD3">
        <w:rPr>
          <w:rFonts w:ascii="Arial" w:eastAsia="Times New Roman" w:hAnsi="Arial" w:cs="Arial"/>
          <w:i/>
          <w:color w:val="222222"/>
          <w:sz w:val="24"/>
          <w:lang w:eastAsia="en-ZA"/>
        </w:rPr>
        <w:t> </w:t>
      </w:r>
    </w:p>
    <w:p w:rsidR="00AC601F" w:rsidRPr="00AC601F" w:rsidRDefault="00AC601F" w:rsidP="0042631F">
      <w:pPr>
        <w:rPr>
          <w:rFonts w:ascii="Arial" w:hAnsi="Arial" w:cs="Arial"/>
          <w:b/>
          <w:sz w:val="28"/>
          <w:szCs w:val="20"/>
          <w:lang w:val="en-GB" w:eastAsia="en-ZA"/>
        </w:rPr>
      </w:pPr>
    </w:p>
    <w:p w:rsidR="00AC601F" w:rsidRPr="00F414A0" w:rsidRDefault="00AC601F" w:rsidP="0042631F">
      <w:pPr>
        <w:rPr>
          <w:rFonts w:ascii="Arial" w:hAnsi="Arial" w:cs="Arial"/>
          <w:b/>
        </w:rPr>
      </w:pPr>
    </w:p>
    <w:p w:rsidR="00FA3E04" w:rsidRPr="00080DBD" w:rsidRDefault="00FA3E04" w:rsidP="00C960B0">
      <w:pPr>
        <w:spacing w:line="360" w:lineRule="auto"/>
        <w:ind w:left="720"/>
        <w:jc w:val="both"/>
        <w:rPr>
          <w:rFonts w:ascii="Arial" w:hAnsi="Arial" w:cs="Arial"/>
          <w:i/>
          <w:sz w:val="24"/>
          <w:szCs w:val="24"/>
          <w:lang w:val="en-GB"/>
        </w:rPr>
      </w:pPr>
    </w:p>
    <w:sectPr w:rsidR="00FA3E04" w:rsidRPr="00080DB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940" w:rsidRDefault="00201940" w:rsidP="00FA3E04">
      <w:pPr>
        <w:spacing w:after="0" w:line="240" w:lineRule="auto"/>
      </w:pPr>
      <w:r>
        <w:separator/>
      </w:r>
    </w:p>
  </w:endnote>
  <w:endnote w:type="continuationSeparator" w:id="0">
    <w:p w:rsidR="00201940" w:rsidRDefault="00201940" w:rsidP="00FA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940" w:rsidRDefault="00201940" w:rsidP="00FA3E04">
      <w:pPr>
        <w:spacing w:after="0" w:line="240" w:lineRule="auto"/>
      </w:pPr>
      <w:r>
        <w:separator/>
      </w:r>
    </w:p>
  </w:footnote>
  <w:footnote w:type="continuationSeparator" w:id="0">
    <w:p w:rsidR="00201940" w:rsidRDefault="00201940" w:rsidP="00FA3E04">
      <w:pPr>
        <w:spacing w:after="0" w:line="240" w:lineRule="auto"/>
      </w:pPr>
      <w:r>
        <w:continuationSeparator/>
      </w:r>
    </w:p>
  </w:footnote>
  <w:footnote w:id="1">
    <w:p w:rsidR="0068603A" w:rsidRPr="008355BF" w:rsidRDefault="0068603A" w:rsidP="0068603A">
      <w:pPr>
        <w:pStyle w:val="FootnoteText"/>
        <w:rPr>
          <w:rFonts w:ascii="Arial" w:hAnsi="Arial" w:cs="Arial"/>
        </w:rPr>
      </w:pPr>
      <w:r w:rsidRPr="008355BF">
        <w:rPr>
          <w:rStyle w:val="FootnoteReference"/>
          <w:rFonts w:ascii="Arial" w:hAnsi="Arial" w:cs="Arial"/>
        </w:rPr>
        <w:footnoteRef/>
      </w:r>
      <w:r w:rsidRPr="008355BF">
        <w:rPr>
          <w:rFonts w:ascii="Arial" w:hAnsi="Arial" w:cs="Arial"/>
        </w:rPr>
        <w:t xml:space="preserve"> Act 10 of 2013. </w:t>
      </w:r>
    </w:p>
  </w:footnote>
  <w:footnote w:id="2">
    <w:p w:rsidR="0068603A" w:rsidRPr="008355BF" w:rsidRDefault="0068603A" w:rsidP="0068603A">
      <w:pPr>
        <w:pStyle w:val="FootnoteText"/>
        <w:rPr>
          <w:rFonts w:ascii="Arial" w:hAnsi="Arial" w:cs="Arial"/>
        </w:rPr>
      </w:pPr>
      <w:r w:rsidRPr="008355BF">
        <w:rPr>
          <w:rStyle w:val="FootnoteReference"/>
          <w:rFonts w:ascii="Arial" w:hAnsi="Arial" w:cs="Arial"/>
        </w:rPr>
        <w:footnoteRef/>
      </w:r>
      <w:r w:rsidRPr="008355BF">
        <w:rPr>
          <w:rFonts w:ascii="Arial" w:hAnsi="Arial" w:cs="Arial"/>
        </w:rPr>
        <w:t xml:space="preserve"> Act 10 of 2013. </w:t>
      </w:r>
    </w:p>
  </w:footnote>
  <w:footnote w:id="3">
    <w:p w:rsidR="008355BF" w:rsidRPr="008355BF" w:rsidRDefault="008355BF">
      <w:pPr>
        <w:pStyle w:val="FootnoteText"/>
        <w:rPr>
          <w:rFonts w:ascii="Arial" w:hAnsi="Arial" w:cs="Arial"/>
        </w:rPr>
      </w:pPr>
      <w:r w:rsidRPr="008355BF">
        <w:rPr>
          <w:rStyle w:val="FootnoteReference"/>
          <w:rFonts w:ascii="Arial" w:hAnsi="Arial" w:cs="Arial"/>
        </w:rPr>
        <w:footnoteRef/>
      </w:r>
      <w:r w:rsidRPr="008355BF">
        <w:rPr>
          <w:rFonts w:ascii="Arial" w:hAnsi="Arial" w:cs="Arial"/>
        </w:rPr>
        <w:t xml:space="preserve"> Act 10 of 2013. </w:t>
      </w:r>
    </w:p>
  </w:footnote>
  <w:footnote w:id="4">
    <w:p w:rsidR="0042631F" w:rsidRPr="0042631F" w:rsidRDefault="00CA3533" w:rsidP="0042631F">
      <w:pPr>
        <w:pStyle w:val="Heading2"/>
        <w:shd w:val="clear" w:color="auto" w:fill="FFFFFF"/>
        <w:spacing w:before="240" w:beforeAutospacing="0" w:after="180" w:afterAutospacing="0" w:line="288" w:lineRule="atLeast"/>
        <w:rPr>
          <w:rFonts w:ascii="Arial" w:hAnsi="Arial" w:cs="Arial"/>
          <w:b w:val="0"/>
          <w:bCs w:val="0"/>
          <w:color w:val="64473A"/>
        </w:rPr>
      </w:pPr>
      <w:r w:rsidRPr="00545DBC">
        <w:rPr>
          <w:rStyle w:val="FootnoteReference"/>
          <w:rFonts w:ascii="Arial" w:hAnsi="Arial" w:cs="Arial"/>
          <w:sz w:val="20"/>
          <w:szCs w:val="20"/>
        </w:rPr>
        <w:footnoteRef/>
      </w:r>
      <w:r w:rsidR="0042631F" w:rsidRPr="00545DBC">
        <w:t xml:space="preserve"> </w:t>
      </w:r>
      <w:r w:rsidR="0042631F" w:rsidRPr="00545DBC">
        <w:rPr>
          <w:rFonts w:ascii="Arial" w:hAnsi="Arial" w:cs="Arial"/>
          <w:b w:val="0"/>
          <w:bCs w:val="0"/>
          <w:i/>
          <w:sz w:val="20"/>
          <w:szCs w:val="20"/>
        </w:rPr>
        <w:t>Special Investigating Unit and Another v Caledon River Properties (Pty) Ltd t/a Magwa Construction and Another</w:t>
      </w:r>
      <w:r w:rsidR="0042631F" w:rsidRPr="00545DBC">
        <w:rPr>
          <w:rFonts w:ascii="Arial" w:hAnsi="Arial" w:cs="Arial"/>
          <w:b w:val="0"/>
          <w:bCs w:val="0"/>
          <w:sz w:val="20"/>
          <w:szCs w:val="20"/>
        </w:rPr>
        <w:t xml:space="preserve"> (</w:t>
      </w:r>
      <w:r w:rsidR="0042631F" w:rsidRPr="0042631F">
        <w:rPr>
          <w:rFonts w:ascii="Arial" w:hAnsi="Arial" w:cs="Arial"/>
          <w:b w:val="0"/>
          <w:bCs w:val="0"/>
          <w:sz w:val="20"/>
          <w:szCs w:val="20"/>
        </w:rPr>
        <w:t>GP/17/2020) [2021] ZAST 4 (26 February 2021</w:t>
      </w:r>
      <w:r w:rsidR="0042631F">
        <w:rPr>
          <w:rFonts w:ascii="Arial" w:hAnsi="Arial" w:cs="Arial"/>
          <w:b w:val="0"/>
          <w:bCs w:val="0"/>
          <w:sz w:val="20"/>
          <w:szCs w:val="20"/>
        </w:rPr>
        <w:t>)</w:t>
      </w:r>
      <w:r w:rsidR="007D0BDA">
        <w:rPr>
          <w:rFonts w:ascii="Arial" w:hAnsi="Arial" w:cs="Arial"/>
          <w:b w:val="0"/>
          <w:bCs w:val="0"/>
          <w:sz w:val="20"/>
          <w:szCs w:val="20"/>
        </w:rPr>
        <w:t>.</w:t>
      </w:r>
    </w:p>
    <w:p w:rsidR="00CA3533" w:rsidRDefault="00CA3533" w:rsidP="00CA3533">
      <w:pPr>
        <w:pStyle w:val="FootnoteText"/>
      </w:pPr>
    </w:p>
    <w:p w:rsidR="00CA3533" w:rsidRDefault="00CA3533">
      <w:pPr>
        <w:pStyle w:val="FootnoteText"/>
      </w:pPr>
    </w:p>
  </w:footnote>
  <w:footnote w:id="5">
    <w:p w:rsidR="00AC5857" w:rsidRPr="00AC5857" w:rsidRDefault="00CA3533" w:rsidP="00545DBC">
      <w:pPr>
        <w:pStyle w:val="Heading3"/>
        <w:shd w:val="clear" w:color="auto" w:fill="FFFFFF"/>
        <w:spacing w:before="0" w:line="240" w:lineRule="auto"/>
      </w:pPr>
      <w:r w:rsidRPr="00584DCE">
        <w:rPr>
          <w:rStyle w:val="FootnoteReference"/>
          <w:rFonts w:ascii="Arial" w:hAnsi="Arial" w:cs="Arial"/>
          <w:color w:val="auto"/>
          <w:sz w:val="20"/>
          <w:szCs w:val="20"/>
        </w:rPr>
        <w:footnoteRef/>
      </w:r>
      <w:r w:rsidR="0042631F" w:rsidRPr="00584DCE">
        <w:rPr>
          <w:rFonts w:ascii="Arial" w:hAnsi="Arial" w:cs="Arial"/>
          <w:color w:val="auto"/>
          <w:sz w:val="20"/>
          <w:szCs w:val="20"/>
        </w:rPr>
        <w:t xml:space="preserve"> </w:t>
      </w:r>
      <w:r w:rsidR="0042631F" w:rsidRPr="00545DBC">
        <w:rPr>
          <w:rFonts w:ascii="Arial" w:hAnsi="Arial" w:cs="Arial"/>
          <w:i/>
          <w:color w:val="auto"/>
          <w:sz w:val="20"/>
          <w:szCs w:val="20"/>
        </w:rPr>
        <w:t>Special Investigating Unit and Another v Msagala</w:t>
      </w:r>
      <w:r w:rsidR="00545DBC">
        <w:rPr>
          <w:rFonts w:ascii="Arial" w:hAnsi="Arial" w:cs="Arial"/>
          <w:i/>
          <w:color w:val="auto"/>
          <w:sz w:val="20"/>
          <w:szCs w:val="20"/>
        </w:rPr>
        <w:t xml:space="preserve"> and Others</w:t>
      </w:r>
      <w:r w:rsidR="0042631F" w:rsidRPr="00584DCE">
        <w:rPr>
          <w:rFonts w:ascii="Arial" w:hAnsi="Arial" w:cs="Arial"/>
          <w:color w:val="auto"/>
          <w:sz w:val="20"/>
          <w:szCs w:val="20"/>
        </w:rPr>
        <w:t xml:space="preserve"> (GP03 of 2020)</w:t>
      </w:r>
      <w:r w:rsidR="00545DBC">
        <w:rPr>
          <w:rFonts w:ascii="Arial" w:hAnsi="Arial" w:cs="Arial"/>
          <w:color w:val="auto"/>
          <w:sz w:val="20"/>
          <w:szCs w:val="20"/>
        </w:rPr>
        <w:t xml:space="preserve"> </w:t>
      </w:r>
      <w:r w:rsidR="007D0BDA">
        <w:rPr>
          <w:rFonts w:ascii="Arial" w:hAnsi="Arial" w:cs="Arial"/>
          <w:color w:val="auto"/>
          <w:sz w:val="20"/>
          <w:szCs w:val="20"/>
        </w:rPr>
        <w:t>handed down on 25 May 2021</w:t>
      </w:r>
      <w:r w:rsidR="00AC5857">
        <w:rPr>
          <w:rFonts w:ascii="Arial" w:hAnsi="Arial" w:cs="Arial"/>
          <w:color w:val="auto"/>
          <w:sz w:val="20"/>
          <w:szCs w:val="20"/>
        </w:rPr>
        <w:t>.</w:t>
      </w:r>
      <w:r w:rsidR="00545DBC">
        <w:rPr>
          <w:rFonts w:ascii="Arial" w:hAnsi="Arial" w:cs="Arial"/>
          <w:color w:val="auto"/>
          <w:sz w:val="20"/>
          <w:szCs w:val="20"/>
        </w:rPr>
        <w:t xml:space="preserve"> </w:t>
      </w:r>
    </w:p>
  </w:footnote>
  <w:footnote w:id="6">
    <w:p w:rsidR="00584DCE" w:rsidRPr="00584DCE" w:rsidRDefault="00584DCE" w:rsidP="00AC5857">
      <w:pPr>
        <w:pStyle w:val="Heading3"/>
        <w:shd w:val="clear" w:color="auto" w:fill="FFFFFF"/>
        <w:spacing w:before="0" w:line="240" w:lineRule="auto"/>
        <w:rPr>
          <w:rFonts w:ascii="Arial" w:hAnsi="Arial" w:cs="Arial"/>
          <w:color w:val="auto"/>
          <w:sz w:val="20"/>
          <w:szCs w:val="20"/>
        </w:rPr>
      </w:pPr>
      <w:r w:rsidRPr="00584DCE">
        <w:rPr>
          <w:rStyle w:val="FootnoteReference"/>
          <w:rFonts w:ascii="Arial" w:hAnsi="Arial" w:cs="Arial"/>
          <w:color w:val="auto"/>
          <w:sz w:val="20"/>
          <w:szCs w:val="20"/>
        </w:rPr>
        <w:footnoteRef/>
      </w:r>
      <w:r w:rsidRPr="00584DCE">
        <w:rPr>
          <w:rFonts w:ascii="Arial" w:hAnsi="Arial" w:cs="Arial"/>
        </w:rPr>
        <w:t xml:space="preserve"> </w:t>
      </w:r>
      <w:r w:rsidRPr="00545DBC">
        <w:rPr>
          <w:rFonts w:ascii="Arial" w:hAnsi="Arial" w:cs="Arial"/>
          <w:i/>
          <w:color w:val="auto"/>
          <w:sz w:val="20"/>
          <w:szCs w:val="20"/>
        </w:rPr>
        <w:t>Ledla Structural Development (Pty) Ltd and Others v Special Investigating Unit</w:t>
      </w:r>
      <w:r w:rsidRPr="00584DCE">
        <w:rPr>
          <w:rFonts w:ascii="Arial" w:hAnsi="Arial" w:cs="Arial"/>
          <w:color w:val="auto"/>
          <w:sz w:val="20"/>
          <w:szCs w:val="20"/>
        </w:rPr>
        <w:t xml:space="preserve"> (GP07 </w:t>
      </w:r>
    </w:p>
    <w:p w:rsidR="00584DCE" w:rsidRPr="00584DCE" w:rsidRDefault="00584DCE" w:rsidP="00B54F28">
      <w:pPr>
        <w:spacing w:after="0" w:line="240" w:lineRule="auto"/>
        <w:rPr>
          <w:rFonts w:ascii="Arial" w:hAnsi="Arial" w:cs="Arial"/>
          <w:sz w:val="20"/>
          <w:szCs w:val="20"/>
        </w:rPr>
      </w:pPr>
      <w:r w:rsidRPr="00584DCE">
        <w:rPr>
          <w:rFonts w:ascii="Arial" w:hAnsi="Arial" w:cs="Arial"/>
          <w:sz w:val="20"/>
          <w:szCs w:val="20"/>
        </w:rPr>
        <w:t xml:space="preserve">  2019) [2021] ZAST 32 (25 May 2021</w:t>
      </w:r>
      <w:r w:rsidRPr="00584DCE">
        <w:rPr>
          <w:rFonts w:ascii="Arial" w:hAnsi="Arial" w:cs="Arial"/>
          <w:color w:val="4A4A4A"/>
          <w:sz w:val="20"/>
          <w:szCs w:val="20"/>
        </w:rPr>
        <w:t>)</w:t>
      </w:r>
      <w:r w:rsidR="00AC5857">
        <w:rPr>
          <w:rFonts w:ascii="Arial" w:hAnsi="Arial" w:cs="Arial"/>
          <w:color w:val="4A4A4A"/>
          <w:sz w:val="20"/>
          <w:szCs w:val="20"/>
        </w:rPr>
        <w:t>.</w:t>
      </w:r>
      <w:r w:rsidR="00B54F28">
        <w:rPr>
          <w:rFonts w:ascii="Arial" w:hAnsi="Arial" w:cs="Arial"/>
          <w:color w:val="4A4A4A"/>
          <w:sz w:val="20"/>
          <w:szCs w:val="20"/>
        </w:rPr>
        <w:t xml:space="preserve"> </w:t>
      </w:r>
    </w:p>
  </w:footnote>
  <w:footnote w:id="7">
    <w:p w:rsidR="00CA3533" w:rsidRDefault="00CA3533" w:rsidP="00B54F28">
      <w:pPr>
        <w:autoSpaceDE w:val="0"/>
        <w:autoSpaceDN w:val="0"/>
        <w:adjustRightInd w:val="0"/>
        <w:spacing w:after="0" w:line="240" w:lineRule="auto"/>
      </w:pPr>
      <w:r w:rsidRPr="00584DCE">
        <w:rPr>
          <w:rStyle w:val="FootnoteReference"/>
          <w:rFonts w:ascii="Arial" w:hAnsi="Arial" w:cs="Arial"/>
        </w:rPr>
        <w:footnoteRef/>
      </w:r>
      <w:r w:rsidR="00584DCE" w:rsidRPr="00B54F28">
        <w:rPr>
          <w:rFonts w:ascii="Arial" w:eastAsia="Times New Roman" w:hAnsi="Arial" w:cs="Arial"/>
          <w:bCs/>
          <w:i/>
          <w:sz w:val="20"/>
          <w:szCs w:val="20"/>
          <w:lang w:eastAsia="en-ZA"/>
        </w:rPr>
        <w:t>Special</w:t>
      </w:r>
      <w:r w:rsidR="00B54F28" w:rsidRPr="00B54F28">
        <w:rPr>
          <w:rFonts w:ascii="Arial" w:eastAsia="Times New Roman" w:hAnsi="Arial" w:cs="Arial"/>
          <w:bCs/>
          <w:i/>
          <w:sz w:val="20"/>
          <w:szCs w:val="20"/>
          <w:lang w:eastAsia="en-ZA"/>
        </w:rPr>
        <w:t xml:space="preserve"> Investigating Unit v Lehloenya</w:t>
      </w:r>
      <w:r w:rsidR="00584DCE" w:rsidRPr="00B54F28">
        <w:rPr>
          <w:rFonts w:ascii="Arial" w:eastAsia="Times New Roman" w:hAnsi="Arial" w:cs="Arial"/>
          <w:bCs/>
          <w:i/>
          <w:sz w:val="20"/>
          <w:szCs w:val="20"/>
          <w:lang w:eastAsia="en-ZA"/>
        </w:rPr>
        <w:t xml:space="preserve"> In Re: Lehloenya v </w:t>
      </w:r>
      <w:r w:rsidR="00B54F28" w:rsidRPr="00B54F28">
        <w:rPr>
          <w:rFonts w:ascii="Arial" w:eastAsia="Times New Roman" w:hAnsi="Arial" w:cs="Arial"/>
          <w:bCs/>
          <w:i/>
          <w:sz w:val="20"/>
          <w:szCs w:val="20"/>
          <w:lang w:eastAsia="en-ZA"/>
        </w:rPr>
        <w:t>Makhura and Others</w:t>
      </w:r>
      <w:r w:rsidR="00B54F28">
        <w:rPr>
          <w:rFonts w:ascii="Arial" w:eastAsia="Times New Roman" w:hAnsi="Arial" w:cs="Arial"/>
          <w:bCs/>
          <w:sz w:val="20"/>
          <w:szCs w:val="20"/>
          <w:lang w:eastAsia="en-ZA"/>
        </w:rPr>
        <w:t xml:space="preserve"> </w:t>
      </w:r>
      <w:r w:rsidR="00584DCE" w:rsidRPr="00E8715A">
        <w:rPr>
          <w:rFonts w:ascii="Arial" w:eastAsia="Times New Roman" w:hAnsi="Arial" w:cs="Arial"/>
          <w:bCs/>
          <w:sz w:val="20"/>
          <w:szCs w:val="20"/>
          <w:lang w:eastAsia="en-ZA"/>
        </w:rPr>
        <w:t>(GP 11 of 2020) [2021] ZAST 28 (25 October 2021)</w:t>
      </w:r>
      <w:r w:rsidR="00AC5857">
        <w:rPr>
          <w:rFonts w:ascii="Arial" w:eastAsia="Times New Roman" w:hAnsi="Arial" w:cs="Arial"/>
          <w:bCs/>
          <w:sz w:val="20"/>
          <w:szCs w:val="20"/>
          <w:lang w:eastAsia="en-ZA"/>
        </w:rPr>
        <w:t>.</w:t>
      </w:r>
      <w:r w:rsidR="00B54F28">
        <w:rPr>
          <w:rFonts w:ascii="Arial" w:eastAsia="Times New Roman" w:hAnsi="Arial" w:cs="Arial"/>
          <w:bCs/>
          <w:sz w:val="20"/>
          <w:szCs w:val="20"/>
          <w:lang w:eastAsia="en-ZA"/>
        </w:rPr>
        <w:t xml:space="preserve"> </w:t>
      </w:r>
    </w:p>
  </w:footnote>
  <w:footnote w:id="8">
    <w:p w:rsidR="002F2436" w:rsidRPr="00F029B4" w:rsidRDefault="00545DBC" w:rsidP="002F2436">
      <w:pPr>
        <w:pStyle w:val="Heading3"/>
        <w:shd w:val="clear" w:color="auto" w:fill="FFFFFF"/>
        <w:spacing w:before="0" w:line="240" w:lineRule="auto"/>
        <w:rPr>
          <w:rFonts w:ascii="Arial" w:hAnsi="Arial" w:cs="Arial"/>
          <w:i/>
          <w:color w:val="auto"/>
          <w:sz w:val="20"/>
          <w:szCs w:val="20"/>
        </w:rPr>
      </w:pPr>
      <w:r w:rsidRPr="002F2436">
        <w:rPr>
          <w:rStyle w:val="FootnoteReference"/>
          <w:rFonts w:ascii="Arial" w:eastAsiaTheme="minorHAnsi" w:hAnsi="Arial" w:cs="Arial"/>
          <w:color w:val="000000" w:themeColor="text1"/>
          <w:sz w:val="22"/>
          <w:szCs w:val="22"/>
        </w:rPr>
        <w:footnoteRef/>
      </w:r>
      <w:r w:rsidR="002F2436" w:rsidRPr="002F2436">
        <w:rPr>
          <w:rStyle w:val="FootnoteReference"/>
          <w:rFonts w:ascii="Arial" w:eastAsiaTheme="minorHAnsi" w:hAnsi="Arial" w:cs="Arial"/>
          <w:color w:val="000000" w:themeColor="text1"/>
          <w:sz w:val="22"/>
          <w:szCs w:val="22"/>
        </w:rPr>
        <w:t xml:space="preserve"> </w:t>
      </w:r>
      <w:r w:rsidR="002F2436" w:rsidRPr="00F029B4">
        <w:rPr>
          <w:rFonts w:ascii="Arial" w:hAnsi="Arial" w:cs="Arial"/>
          <w:i/>
          <w:color w:val="auto"/>
          <w:sz w:val="20"/>
          <w:szCs w:val="20"/>
        </w:rPr>
        <w:t>Special Investigating Unit v Fikile Mpofana (Pty) Ltd and Others (GP13/2021) [2022] ZAST 4 (10 February 2022)</w:t>
      </w:r>
    </w:p>
    <w:p w:rsidR="00545DBC" w:rsidRDefault="00545DBC">
      <w:pPr>
        <w:pStyle w:val="FootnoteText"/>
      </w:pPr>
    </w:p>
  </w:footnote>
  <w:footnote w:id="9">
    <w:p w:rsidR="00B54F28" w:rsidRPr="00B72235" w:rsidRDefault="00B54F28" w:rsidP="00B72235">
      <w:pPr>
        <w:pStyle w:val="Heading2"/>
        <w:shd w:val="clear" w:color="auto" w:fill="FFFFFF"/>
        <w:spacing w:before="0" w:beforeAutospacing="0" w:after="0" w:afterAutospacing="0" w:line="288" w:lineRule="atLeast"/>
        <w:rPr>
          <w:rFonts w:ascii="Arial" w:hAnsi="Arial" w:cs="Arial"/>
          <w:b w:val="0"/>
          <w:i/>
          <w:sz w:val="20"/>
          <w:szCs w:val="20"/>
        </w:rPr>
      </w:pPr>
      <w:r w:rsidRPr="002F2436">
        <w:rPr>
          <w:rFonts w:ascii="Arial" w:hAnsi="Arial" w:cs="Arial"/>
          <w:b w:val="0"/>
          <w:i/>
          <w:sz w:val="20"/>
          <w:szCs w:val="20"/>
        </w:rPr>
        <w:footnoteRef/>
      </w:r>
      <w:r w:rsidR="002F2436">
        <w:rPr>
          <w:rFonts w:ascii="Arial" w:hAnsi="Arial" w:cs="Arial"/>
          <w:b w:val="0"/>
          <w:i/>
          <w:sz w:val="20"/>
          <w:szCs w:val="20"/>
        </w:rPr>
        <w:t xml:space="preserve"> </w:t>
      </w:r>
      <w:r w:rsidR="002F2436" w:rsidRPr="002F2436">
        <w:rPr>
          <w:rFonts w:ascii="Arial" w:hAnsi="Arial" w:cs="Arial"/>
          <w:b w:val="0"/>
          <w:i/>
          <w:sz w:val="20"/>
          <w:szCs w:val="20"/>
        </w:rPr>
        <w:t>Special Investigating Unit v Digital Vibes (Pty) Ltd and Others (KN03/2022) [2022] ZAST 7 (13 April 2022)</w:t>
      </w:r>
    </w:p>
  </w:footnote>
  <w:footnote w:id="10">
    <w:p w:rsidR="00B54F28" w:rsidRPr="00B72235" w:rsidRDefault="00B54F28" w:rsidP="00B72235">
      <w:pPr>
        <w:pStyle w:val="Heading2"/>
        <w:shd w:val="clear" w:color="auto" w:fill="FFFFFF"/>
        <w:spacing w:before="0" w:beforeAutospacing="0" w:after="0" w:afterAutospacing="0" w:line="288" w:lineRule="atLeast"/>
        <w:rPr>
          <w:rFonts w:ascii="Arial" w:hAnsi="Arial" w:cs="Arial"/>
          <w:b w:val="0"/>
          <w:i/>
          <w:sz w:val="20"/>
          <w:szCs w:val="20"/>
        </w:rPr>
      </w:pPr>
      <w:r w:rsidRPr="00B72235">
        <w:rPr>
          <w:rFonts w:ascii="Arial" w:hAnsi="Arial" w:cs="Arial"/>
          <w:b w:val="0"/>
          <w:i/>
          <w:sz w:val="20"/>
          <w:szCs w:val="20"/>
        </w:rPr>
        <w:footnoteRef/>
      </w:r>
      <w:r w:rsidR="00B72235" w:rsidRPr="00B72235">
        <w:rPr>
          <w:rFonts w:ascii="Arial" w:hAnsi="Arial" w:cs="Arial"/>
          <w:b w:val="0"/>
          <w:i/>
          <w:sz w:val="20"/>
          <w:szCs w:val="20"/>
        </w:rPr>
        <w:t>SIU and Another v Ndlovu and Others (GP 19/2021) [2022] ZAST 12 (7 June 2022)</w:t>
      </w:r>
    </w:p>
  </w:footnote>
  <w:footnote w:id="11">
    <w:p w:rsidR="00B72235" w:rsidRPr="00B72235" w:rsidRDefault="00B54F28" w:rsidP="00B72235">
      <w:pPr>
        <w:pStyle w:val="Heading2"/>
        <w:shd w:val="clear" w:color="auto" w:fill="FFFFFF"/>
        <w:spacing w:before="0" w:beforeAutospacing="0" w:after="0" w:afterAutospacing="0" w:line="288" w:lineRule="atLeast"/>
        <w:rPr>
          <w:rFonts w:ascii="Arial" w:hAnsi="Arial" w:cs="Arial"/>
          <w:b w:val="0"/>
          <w:i/>
          <w:sz w:val="20"/>
          <w:szCs w:val="20"/>
        </w:rPr>
      </w:pPr>
      <w:r w:rsidRPr="00B72235">
        <w:rPr>
          <w:rFonts w:ascii="Arial" w:hAnsi="Arial" w:cs="Arial"/>
          <w:b w:val="0"/>
          <w:i/>
          <w:sz w:val="20"/>
          <w:szCs w:val="20"/>
        </w:rPr>
        <w:footnoteRef/>
      </w:r>
      <w:r w:rsidRPr="00B72235">
        <w:rPr>
          <w:rFonts w:ascii="Arial" w:hAnsi="Arial" w:cs="Arial"/>
          <w:b w:val="0"/>
          <w:i/>
          <w:sz w:val="20"/>
          <w:szCs w:val="20"/>
        </w:rPr>
        <w:t xml:space="preserve"> </w:t>
      </w:r>
      <w:r w:rsidR="00B72235" w:rsidRPr="00B72235">
        <w:rPr>
          <w:rFonts w:ascii="Arial" w:hAnsi="Arial" w:cs="Arial"/>
          <w:b w:val="0"/>
          <w:i/>
          <w:sz w:val="20"/>
          <w:szCs w:val="20"/>
        </w:rPr>
        <w:t>SIU and Another v LNG Scientific (Pty) Ltd In re: LNG Scien</w:t>
      </w:r>
      <w:r w:rsidR="008355BF">
        <w:rPr>
          <w:rFonts w:ascii="Arial" w:hAnsi="Arial" w:cs="Arial"/>
          <w:b w:val="0"/>
          <w:i/>
          <w:sz w:val="20"/>
          <w:szCs w:val="20"/>
        </w:rPr>
        <w:t>ti</w:t>
      </w:r>
      <w:r w:rsidR="00B72235" w:rsidRPr="00B72235">
        <w:rPr>
          <w:rFonts w:ascii="Arial" w:hAnsi="Arial" w:cs="Arial"/>
          <w:b w:val="0"/>
          <w:i/>
          <w:sz w:val="20"/>
          <w:szCs w:val="20"/>
        </w:rPr>
        <w:t>fic (Pty) Ltd v SIU and Another (GP03/2022) [2022] ZAST 15 (29 June 2022)</w:t>
      </w:r>
    </w:p>
    <w:p w:rsidR="00B54F28" w:rsidRDefault="00B54F28">
      <w:pPr>
        <w:pStyle w:val="FootnoteText"/>
      </w:pPr>
    </w:p>
  </w:footnote>
  <w:footnote w:id="12">
    <w:p w:rsidR="00080DBD" w:rsidRPr="00445EC0" w:rsidRDefault="00080DBD">
      <w:pPr>
        <w:pStyle w:val="FootnoteText"/>
        <w:rPr>
          <w:rFonts w:asciiTheme="minorHAnsi" w:hAnsiTheme="minorHAnsi" w:cstheme="minorHAnsi"/>
        </w:rPr>
      </w:pPr>
      <w:r>
        <w:rPr>
          <w:rStyle w:val="FootnoteReference"/>
        </w:rPr>
        <w:footnoteRef/>
      </w:r>
      <w:r w:rsidR="00445EC0">
        <w:t xml:space="preserve"> </w:t>
      </w:r>
      <w:r w:rsidR="00445EC0" w:rsidRPr="00445EC0">
        <w:rPr>
          <w:rFonts w:asciiTheme="minorHAnsi" w:hAnsiTheme="minorHAnsi" w:cstheme="minorHAnsi"/>
          <w:i/>
        </w:rPr>
        <w:t>Special Investigating Unit v Nadasen</w:t>
      </w:r>
      <w:r w:rsidR="00445EC0">
        <w:rPr>
          <w:rFonts w:asciiTheme="minorHAnsi" w:hAnsiTheme="minorHAnsi" w:cstheme="minorHAnsi"/>
        </w:rPr>
        <w:t xml:space="preserve"> 2002 (1) SA 605 (SCA</w:t>
      </w:r>
      <w:r w:rsidR="00445EC0" w:rsidRPr="00445EC0">
        <w:rPr>
          <w:rFonts w:asciiTheme="minorHAnsi" w:hAnsiTheme="minorHAnsi" w:cstheme="minorHAnsi"/>
        </w:rPr>
        <w:t>)</w:t>
      </w:r>
      <w:r w:rsidR="00445EC0">
        <w:rPr>
          <w:rFonts w:asciiTheme="minorHAnsi" w:hAnsiTheme="minorHAnsi" w:cstheme="minorHAnsi"/>
        </w:rPr>
        <w:t xml:space="preserve"> at paragraph 5.</w:t>
      </w:r>
    </w:p>
  </w:footnote>
  <w:footnote w:id="13">
    <w:p w:rsidR="00C8341D" w:rsidRPr="00C8341D" w:rsidRDefault="00C8341D" w:rsidP="00C8341D">
      <w:pPr>
        <w:pStyle w:val="FootnoteText"/>
      </w:pPr>
      <w:r>
        <w:rPr>
          <w:rStyle w:val="FootnoteReference"/>
        </w:rPr>
        <w:footnoteRef/>
      </w:r>
      <w:r>
        <w:t xml:space="preserve"> </w:t>
      </w:r>
      <w:r w:rsidRPr="00C8341D">
        <w:t>Act 59 of 1959</w:t>
      </w:r>
      <w:r>
        <w:t>.</w:t>
      </w:r>
    </w:p>
  </w:footnote>
  <w:footnote w:id="14">
    <w:p w:rsidR="00C8341D" w:rsidRDefault="00C8341D">
      <w:pPr>
        <w:pStyle w:val="FootnoteText"/>
      </w:pPr>
      <w:r>
        <w:rPr>
          <w:rStyle w:val="FootnoteReference"/>
        </w:rPr>
        <w:footnoteRef/>
      </w:r>
      <w:r>
        <w:t xml:space="preserve"> Act </w:t>
      </w:r>
      <w:r w:rsidR="00AC5857">
        <w:t>66</w:t>
      </w:r>
      <w:r>
        <w:t xml:space="preserve"> of </w:t>
      </w:r>
      <w:r w:rsidR="00AC5857">
        <w:t>1995</w:t>
      </w:r>
      <w:r>
        <w:t>.</w:t>
      </w:r>
    </w:p>
  </w:footnote>
  <w:footnote w:id="15">
    <w:p w:rsidR="00C8341D" w:rsidRDefault="00C8341D">
      <w:pPr>
        <w:pStyle w:val="FootnoteText"/>
      </w:pPr>
      <w:r>
        <w:rPr>
          <w:rStyle w:val="FootnoteReference"/>
        </w:rPr>
        <w:footnoteRef/>
      </w:r>
      <w:r>
        <w:t xml:space="preserve"> </w:t>
      </w:r>
      <w:r w:rsidR="00694F85">
        <w:t xml:space="preserve">Act </w:t>
      </w:r>
      <w:r w:rsidR="00AC5857">
        <w:t>22</w:t>
      </w:r>
      <w:r w:rsidR="00694F85">
        <w:t xml:space="preserve"> of </w:t>
      </w:r>
      <w:r w:rsidR="00AC5857">
        <w:t>1994</w:t>
      </w:r>
      <w:r w:rsidR="00694F85">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8355BF" w:rsidRDefault="008355B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0194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1940">
          <w:rPr>
            <w:b/>
            <w:bCs/>
            <w:noProof/>
          </w:rPr>
          <w:t>1</w:t>
        </w:r>
        <w:r>
          <w:rPr>
            <w:b/>
            <w:bCs/>
            <w:sz w:val="24"/>
            <w:szCs w:val="24"/>
          </w:rPr>
          <w:fldChar w:fldCharType="end"/>
        </w:r>
      </w:p>
    </w:sdtContent>
  </w:sdt>
  <w:p w:rsidR="008355BF" w:rsidRDefault="008355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814FF"/>
    <w:multiLevelType w:val="multilevel"/>
    <w:tmpl w:val="6C4C33B2"/>
    <w:lvl w:ilvl="0">
      <w:start w:val="2"/>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248" w:hanging="1440"/>
      </w:pPr>
      <w:rPr>
        <w:rFonts w:hint="default"/>
        <w:color w:val="auto"/>
      </w:rPr>
    </w:lvl>
  </w:abstractNum>
  <w:abstractNum w:abstractNumId="1" w15:restartNumberingAfterBreak="0">
    <w:nsid w:val="1C9D71E2"/>
    <w:multiLevelType w:val="multilevel"/>
    <w:tmpl w:val="FA423DFC"/>
    <w:lvl w:ilvl="0">
      <w:start w:val="1"/>
      <w:numFmt w:val="decimal"/>
      <w:lvlText w:val="%1."/>
      <w:lvlJc w:val="left"/>
      <w:pPr>
        <w:tabs>
          <w:tab w:val="num" w:pos="851"/>
        </w:tabs>
        <w:ind w:left="851" w:hanging="851"/>
      </w:pPr>
      <w:rPr>
        <w:rFonts w:hint="default"/>
        <w:b w:val="0"/>
        <w:i w:val="0"/>
        <w:strike w:val="0"/>
        <w:dstrike w:val="0"/>
        <w:color w:val="auto"/>
        <w:sz w:val="24"/>
        <w:szCs w:val="24"/>
        <w:u w:val="none" w:color="000000"/>
        <w:bdr w:val="none" w:sz="0" w:space="0" w:color="auto"/>
        <w:shd w:val="clear" w:color="auto" w:fill="auto"/>
        <w:vertAlign w:val="baseline"/>
      </w:rPr>
    </w:lvl>
    <w:lvl w:ilvl="1">
      <w:start w:val="1"/>
      <w:numFmt w:val="decimal"/>
      <w:lvlText w:val="%1.%2."/>
      <w:lvlJc w:val="left"/>
      <w:pPr>
        <w:tabs>
          <w:tab w:val="num" w:pos="1871"/>
        </w:tabs>
        <w:ind w:left="1871" w:hanging="102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tabs>
          <w:tab w:val="num" w:pos="2835"/>
        </w:tabs>
        <w:ind w:left="2835" w:hanging="964"/>
      </w:pPr>
      <w:rPr>
        <w:rFonts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tabs>
          <w:tab w:val="num" w:pos="4253"/>
        </w:tabs>
        <w:ind w:left="4253" w:hanging="1418"/>
      </w:pPr>
      <w:rPr>
        <w:rFonts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tabs>
          <w:tab w:val="num" w:pos="5954"/>
        </w:tabs>
        <w:ind w:left="5954" w:hanging="1701"/>
      </w:pPr>
      <w:rPr>
        <w:rFonts w:hint="default"/>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tabs>
          <w:tab w:val="num" w:pos="3240"/>
        </w:tabs>
        <w:ind w:left="2736" w:hanging="936"/>
      </w:pPr>
      <w:rPr>
        <w:rFonts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tabs>
          <w:tab w:val="num" w:pos="3960"/>
        </w:tabs>
        <w:ind w:left="3240" w:hanging="1080"/>
      </w:pPr>
      <w:rPr>
        <w:rFonts w:hint="default"/>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tabs>
          <w:tab w:val="num" w:pos="4320"/>
        </w:tabs>
        <w:ind w:left="3744" w:hanging="1224"/>
      </w:pPr>
      <w:rPr>
        <w:rFonts w:hint="default"/>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tabs>
          <w:tab w:val="num" w:pos="5040"/>
        </w:tabs>
        <w:ind w:left="4320" w:hanging="1440"/>
      </w:pPr>
      <w:rPr>
        <w:rFonts w:hint="default"/>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E91447B"/>
    <w:multiLevelType w:val="hybridMultilevel"/>
    <w:tmpl w:val="F9A49F42"/>
    <w:lvl w:ilvl="0" w:tplc="29F2A282">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04"/>
    <w:rsid w:val="0003515E"/>
    <w:rsid w:val="00080DBD"/>
    <w:rsid w:val="000D4238"/>
    <w:rsid w:val="00201940"/>
    <w:rsid w:val="002F2436"/>
    <w:rsid w:val="00314AEE"/>
    <w:rsid w:val="0034601E"/>
    <w:rsid w:val="00354A94"/>
    <w:rsid w:val="003A0802"/>
    <w:rsid w:val="003A17C9"/>
    <w:rsid w:val="003F25C0"/>
    <w:rsid w:val="0042631F"/>
    <w:rsid w:val="00445EC0"/>
    <w:rsid w:val="00545DBC"/>
    <w:rsid w:val="00584DCE"/>
    <w:rsid w:val="00592D50"/>
    <w:rsid w:val="005F26AD"/>
    <w:rsid w:val="00655F83"/>
    <w:rsid w:val="0068603A"/>
    <w:rsid w:val="00694F85"/>
    <w:rsid w:val="006C3930"/>
    <w:rsid w:val="006D03C9"/>
    <w:rsid w:val="007123B8"/>
    <w:rsid w:val="00723F52"/>
    <w:rsid w:val="007A561C"/>
    <w:rsid w:val="007A58C0"/>
    <w:rsid w:val="007D0BDA"/>
    <w:rsid w:val="008355BF"/>
    <w:rsid w:val="008C3E09"/>
    <w:rsid w:val="009B6EBD"/>
    <w:rsid w:val="00A60CA7"/>
    <w:rsid w:val="00AC5857"/>
    <w:rsid w:val="00AC601F"/>
    <w:rsid w:val="00B42CAE"/>
    <w:rsid w:val="00B5373A"/>
    <w:rsid w:val="00B54F28"/>
    <w:rsid w:val="00B72235"/>
    <w:rsid w:val="00C26FDB"/>
    <w:rsid w:val="00C8341D"/>
    <w:rsid w:val="00C960B0"/>
    <w:rsid w:val="00CA3533"/>
    <w:rsid w:val="00CF26A0"/>
    <w:rsid w:val="00DC33CA"/>
    <w:rsid w:val="00DD472E"/>
    <w:rsid w:val="00E12716"/>
    <w:rsid w:val="00EC1417"/>
    <w:rsid w:val="00F52C2E"/>
    <w:rsid w:val="00F777B0"/>
    <w:rsid w:val="00F93CBF"/>
    <w:rsid w:val="00FA3E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BCA1"/>
  <w15:chartTrackingRefBased/>
  <w15:docId w15:val="{86657ABB-0146-44F5-9D05-7B62D95B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2631F"/>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unhideWhenUsed/>
    <w:qFormat/>
    <w:rsid w:val="004263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E04"/>
    <w:pPr>
      <w:ind w:left="720"/>
      <w:contextualSpacing/>
    </w:pPr>
  </w:style>
  <w:style w:type="paragraph" w:styleId="FootnoteText">
    <w:name w:val="footnote text"/>
    <w:aliases w:val="Footnote Text Char1 Char,Footnote Text Char Char Char,Footnote Text Char1 Char Char Char,Footnote Text Char Char,Char Char Char,Char Char,Footnote Text Char Char Char Char Char,Footnote Text Char Char1 Char Char,(NECG) Footnote Text,Car"/>
    <w:basedOn w:val="Normal"/>
    <w:link w:val="FootnoteTextChar"/>
    <w:uiPriority w:val="99"/>
    <w:unhideWhenUsed/>
    <w:qFormat/>
    <w:rsid w:val="00EC1417"/>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Footnote Text Char1 Char Char,Footnote Text Char Char Char Char,Footnote Text Char1 Char Char Char Char,Footnote Text Char Char Char1,Char Char Char Char,Char Char Char1,Footnote Text Char Char Char Char Char Char,Car Char"/>
    <w:basedOn w:val="DefaultParagraphFont"/>
    <w:link w:val="FootnoteText"/>
    <w:uiPriority w:val="99"/>
    <w:qFormat/>
    <w:rsid w:val="00EC1417"/>
    <w:rPr>
      <w:rFonts w:ascii="Times New Roman" w:eastAsia="Times New Roman" w:hAnsi="Times New Roman" w:cs="Times New Roman"/>
      <w:sz w:val="20"/>
      <w:szCs w:val="20"/>
      <w:lang w:val="en-GB" w:eastAsia="en-GB"/>
    </w:rPr>
  </w:style>
  <w:style w:type="character" w:styleId="FootnoteReference">
    <w:name w:val="footnote reference"/>
    <w:aliases w:val="(NECG) Footnote Reference,Ref,de nota al pie,註腳內容,Footnotes refss"/>
    <w:basedOn w:val="DefaultParagraphFont"/>
    <w:uiPriority w:val="99"/>
    <w:unhideWhenUsed/>
    <w:qFormat/>
    <w:rsid w:val="00EC1417"/>
    <w:rPr>
      <w:vertAlign w:val="superscript"/>
    </w:rPr>
  </w:style>
  <w:style w:type="character" w:styleId="Hyperlink">
    <w:name w:val="Hyperlink"/>
    <w:basedOn w:val="DefaultParagraphFont"/>
    <w:uiPriority w:val="99"/>
    <w:semiHidden/>
    <w:unhideWhenUsed/>
    <w:rsid w:val="00C960B0"/>
    <w:rPr>
      <w:color w:val="0000FF"/>
      <w:u w:val="single"/>
    </w:rPr>
  </w:style>
  <w:style w:type="paragraph" w:styleId="BalloonText">
    <w:name w:val="Balloon Text"/>
    <w:basedOn w:val="Normal"/>
    <w:link w:val="BalloonTextChar"/>
    <w:uiPriority w:val="99"/>
    <w:semiHidden/>
    <w:unhideWhenUsed/>
    <w:rsid w:val="00DD4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72E"/>
    <w:rPr>
      <w:rFonts w:ascii="Segoe UI" w:hAnsi="Segoe UI" w:cs="Segoe UI"/>
      <w:sz w:val="18"/>
      <w:szCs w:val="18"/>
    </w:rPr>
  </w:style>
  <w:style w:type="paragraph" w:styleId="Header">
    <w:name w:val="header"/>
    <w:basedOn w:val="Normal"/>
    <w:link w:val="HeaderChar"/>
    <w:uiPriority w:val="99"/>
    <w:unhideWhenUsed/>
    <w:rsid w:val="00426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31F"/>
  </w:style>
  <w:style w:type="paragraph" w:styleId="Footer">
    <w:name w:val="footer"/>
    <w:basedOn w:val="Normal"/>
    <w:link w:val="FooterChar"/>
    <w:uiPriority w:val="99"/>
    <w:unhideWhenUsed/>
    <w:rsid w:val="00426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31F"/>
  </w:style>
  <w:style w:type="character" w:customStyle="1" w:styleId="Heading2Char">
    <w:name w:val="Heading 2 Char"/>
    <w:basedOn w:val="DefaultParagraphFont"/>
    <w:link w:val="Heading2"/>
    <w:uiPriority w:val="9"/>
    <w:rsid w:val="0042631F"/>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42631F"/>
    <w:rPr>
      <w:rFonts w:asciiTheme="majorHAnsi" w:eastAsiaTheme="majorEastAsia" w:hAnsiTheme="majorHAnsi" w:cstheme="majorBidi"/>
      <w:color w:val="1F4D78" w:themeColor="accent1" w:themeShade="7F"/>
      <w:sz w:val="24"/>
      <w:szCs w:val="24"/>
    </w:rPr>
  </w:style>
  <w:style w:type="character" w:customStyle="1" w:styleId="s2">
    <w:name w:val="s2"/>
    <w:basedOn w:val="DefaultParagraphFont"/>
    <w:rsid w:val="00AC6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10844">
      <w:bodyDiv w:val="1"/>
      <w:marLeft w:val="0"/>
      <w:marRight w:val="0"/>
      <w:marTop w:val="0"/>
      <w:marBottom w:val="0"/>
      <w:divBdr>
        <w:top w:val="none" w:sz="0" w:space="0" w:color="auto"/>
        <w:left w:val="none" w:sz="0" w:space="0" w:color="auto"/>
        <w:bottom w:val="none" w:sz="0" w:space="0" w:color="auto"/>
        <w:right w:val="none" w:sz="0" w:space="0" w:color="auto"/>
      </w:divBdr>
      <w:divsChild>
        <w:div w:id="150409292">
          <w:marLeft w:val="0"/>
          <w:marRight w:val="0"/>
          <w:marTop w:val="240"/>
          <w:marBottom w:val="0"/>
          <w:divBdr>
            <w:top w:val="none" w:sz="0" w:space="0" w:color="auto"/>
            <w:left w:val="none" w:sz="0" w:space="0" w:color="auto"/>
            <w:bottom w:val="none" w:sz="0" w:space="0" w:color="auto"/>
            <w:right w:val="none" w:sz="0" w:space="0" w:color="auto"/>
          </w:divBdr>
        </w:div>
        <w:div w:id="765271944">
          <w:marLeft w:val="0"/>
          <w:marRight w:val="0"/>
          <w:marTop w:val="120"/>
          <w:marBottom w:val="0"/>
          <w:divBdr>
            <w:top w:val="none" w:sz="0" w:space="0" w:color="auto"/>
            <w:left w:val="none" w:sz="0" w:space="0" w:color="auto"/>
            <w:bottom w:val="none" w:sz="0" w:space="0" w:color="auto"/>
            <w:right w:val="none" w:sz="0" w:space="0" w:color="auto"/>
          </w:divBdr>
        </w:div>
      </w:divsChild>
    </w:div>
    <w:div w:id="886377746">
      <w:bodyDiv w:val="1"/>
      <w:marLeft w:val="0"/>
      <w:marRight w:val="0"/>
      <w:marTop w:val="0"/>
      <w:marBottom w:val="0"/>
      <w:divBdr>
        <w:top w:val="none" w:sz="0" w:space="0" w:color="auto"/>
        <w:left w:val="none" w:sz="0" w:space="0" w:color="auto"/>
        <w:bottom w:val="none" w:sz="0" w:space="0" w:color="auto"/>
        <w:right w:val="none" w:sz="0" w:space="0" w:color="auto"/>
      </w:divBdr>
    </w:div>
    <w:div w:id="1759205589">
      <w:bodyDiv w:val="1"/>
      <w:marLeft w:val="0"/>
      <w:marRight w:val="0"/>
      <w:marTop w:val="0"/>
      <w:marBottom w:val="0"/>
      <w:divBdr>
        <w:top w:val="none" w:sz="0" w:space="0" w:color="auto"/>
        <w:left w:val="none" w:sz="0" w:space="0" w:color="auto"/>
        <w:bottom w:val="none" w:sz="0" w:space="0" w:color="auto"/>
        <w:right w:val="none" w:sz="0" w:space="0" w:color="auto"/>
      </w:divBdr>
    </w:div>
    <w:div w:id="17878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B2E23-9252-46CA-B2D9-64A5AB0D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Judge-Lebogang Modiba</dc:creator>
  <cp:keywords/>
  <dc:description/>
  <cp:lastModifiedBy>Judge-Lebogang Modiba</cp:lastModifiedBy>
  <cp:revision>4</cp:revision>
  <cp:lastPrinted>2022-09-08T07:45:00Z</cp:lastPrinted>
  <dcterms:created xsi:type="dcterms:W3CDTF">2022-09-08T07:45:00Z</dcterms:created>
  <dcterms:modified xsi:type="dcterms:W3CDTF">2022-09-08T07:45:00Z</dcterms:modified>
</cp:coreProperties>
</file>