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B7" w:rsidRDefault="000A70B7" w:rsidP="00AE178D">
      <w:pPr>
        <w:spacing w:after="0" w:line="240" w:lineRule="auto"/>
        <w:jc w:val="center"/>
        <w:rPr>
          <w:rFonts w:ascii="Arial" w:hAnsi="Arial" w:cs="Arial"/>
          <w:b/>
          <w:sz w:val="28"/>
          <w:szCs w:val="28"/>
          <w:lang w:val="en-ZA"/>
        </w:rPr>
      </w:pPr>
      <w:bookmarkStart w:id="0" w:name="_GoBack"/>
      <w:bookmarkEnd w:id="0"/>
      <w:r w:rsidRPr="006C1E0A">
        <w:rPr>
          <w:rFonts w:ascii="Arial" w:hAnsi="Arial" w:cs="Arial"/>
          <w:noProof/>
          <w:sz w:val="24"/>
          <w:szCs w:val="24"/>
          <w:lang w:val="en-ZA" w:eastAsia="en-ZA"/>
        </w:rPr>
        <w:drawing>
          <wp:inline distT="0" distB="0" distL="0" distR="0" wp14:anchorId="2C110558" wp14:editId="2406D437">
            <wp:extent cx="1424763" cy="14247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481" cy="1423481"/>
                    </a:xfrm>
                    <a:prstGeom prst="rect">
                      <a:avLst/>
                    </a:prstGeom>
                  </pic:spPr>
                </pic:pic>
              </a:graphicData>
            </a:graphic>
          </wp:inline>
        </w:drawing>
      </w:r>
    </w:p>
    <w:p w:rsidR="00AE178D" w:rsidRPr="00AE178D" w:rsidRDefault="00AE178D" w:rsidP="00AE178D">
      <w:pPr>
        <w:spacing w:after="0" w:line="240" w:lineRule="auto"/>
        <w:jc w:val="center"/>
        <w:rPr>
          <w:rFonts w:ascii="Arial" w:hAnsi="Arial" w:cs="Arial"/>
          <w:b/>
          <w:sz w:val="28"/>
          <w:szCs w:val="28"/>
          <w:lang w:val="en-ZA"/>
        </w:rPr>
      </w:pPr>
      <w:r w:rsidRPr="00AE178D">
        <w:rPr>
          <w:rFonts w:ascii="Arial" w:hAnsi="Arial" w:cs="Arial"/>
          <w:b/>
          <w:sz w:val="28"/>
          <w:szCs w:val="28"/>
          <w:lang w:val="en-ZA"/>
        </w:rPr>
        <w:t xml:space="preserve">IN THE SPECIAL TRIBUNAL ESTABLISHED IN TERMS OF SECTION 2 (1) OF THE SPECIAL INVESTIGATIONS UNIT AND </w:t>
      </w:r>
    </w:p>
    <w:p w:rsidR="00AE178D" w:rsidRPr="00AE178D" w:rsidRDefault="00C90F01" w:rsidP="00AE178D">
      <w:pPr>
        <w:spacing w:after="0" w:line="240" w:lineRule="auto"/>
        <w:jc w:val="center"/>
        <w:rPr>
          <w:rFonts w:ascii="Arial" w:hAnsi="Arial" w:cs="Arial"/>
          <w:b/>
          <w:sz w:val="28"/>
          <w:szCs w:val="28"/>
          <w:lang w:val="en-ZA"/>
        </w:rPr>
      </w:pPr>
      <w:r>
        <w:rPr>
          <w:rFonts w:ascii="Arial" w:hAnsi="Arial" w:cs="Arial"/>
          <w:b/>
          <w:sz w:val="28"/>
          <w:szCs w:val="28"/>
          <w:lang w:val="en-ZA"/>
        </w:rPr>
        <w:t>SPECIAL TRIBUNALS ACT 74 OF 1996</w:t>
      </w:r>
    </w:p>
    <w:p w:rsidR="00AE178D" w:rsidRPr="00AE178D" w:rsidRDefault="00AE178D" w:rsidP="00AE178D">
      <w:pPr>
        <w:spacing w:line="360" w:lineRule="auto"/>
        <w:jc w:val="center"/>
        <w:rPr>
          <w:rFonts w:ascii="Arial" w:hAnsi="Arial" w:cs="Arial"/>
          <w:b/>
          <w:lang w:val="en-ZA"/>
        </w:rPr>
      </w:pPr>
      <w:r w:rsidRPr="00AE178D">
        <w:rPr>
          <w:rFonts w:ascii="Arial" w:hAnsi="Arial" w:cs="Arial"/>
          <w:b/>
          <w:lang w:val="en-ZA"/>
        </w:rPr>
        <w:t>(REPUBLIC OF SOUTH AFRICA)</w:t>
      </w:r>
    </w:p>
    <w:p w:rsidR="00AE178D" w:rsidRPr="00AE178D" w:rsidRDefault="0030628D" w:rsidP="00AE178D">
      <w:pPr>
        <w:spacing w:line="360" w:lineRule="auto"/>
        <w:jc w:val="center"/>
        <w:rPr>
          <w:rFonts w:ascii="Arial" w:hAnsi="Arial" w:cs="Arial"/>
          <w:b/>
          <w:lang w:val="en-ZA"/>
        </w:rPr>
      </w:pPr>
      <w:r>
        <w:rPr>
          <w:rFonts w:ascii="Arial" w:hAnsi="Arial" w:cs="Arial"/>
          <w:b/>
          <w:lang w:val="en-ZA"/>
        </w:rPr>
        <w:t>HELD VIRTUALLY</w:t>
      </w:r>
    </w:p>
    <w:p w:rsidR="00AE178D" w:rsidRDefault="00AE178D" w:rsidP="00AE178D">
      <w:pPr>
        <w:tabs>
          <w:tab w:val="right" w:pos="9100"/>
        </w:tabs>
        <w:rPr>
          <w:rFonts w:ascii="Arial" w:hAnsi="Arial" w:cs="Arial"/>
          <w:lang w:val="en-ZA"/>
        </w:rPr>
      </w:pPr>
      <w:r>
        <w:rPr>
          <w:rFonts w:ascii="Arial" w:hAnsi="Arial" w:cs="Arial"/>
          <w:lang w:val="en-ZA"/>
        </w:rPr>
        <w:tab/>
        <w:t xml:space="preserve">CASE </w:t>
      </w:r>
      <w:r w:rsidR="000A70B7">
        <w:rPr>
          <w:rFonts w:ascii="Arial" w:hAnsi="Arial" w:cs="Arial"/>
          <w:lang w:val="en-ZA"/>
        </w:rPr>
        <w:t>NO</w:t>
      </w:r>
      <w:r>
        <w:rPr>
          <w:rFonts w:ascii="Arial" w:hAnsi="Arial" w:cs="Arial"/>
          <w:lang w:val="en-ZA"/>
        </w:rPr>
        <w:t>:</w:t>
      </w:r>
      <w:r w:rsidR="00A9450A">
        <w:rPr>
          <w:rFonts w:ascii="Arial" w:hAnsi="Arial" w:cs="Arial"/>
          <w:b/>
          <w:lang w:val="en-ZA"/>
        </w:rPr>
        <w:t xml:space="preserve"> GP/</w:t>
      </w:r>
      <w:r w:rsidR="006C40D4">
        <w:rPr>
          <w:rFonts w:ascii="Arial" w:hAnsi="Arial" w:cs="Arial"/>
          <w:b/>
          <w:lang w:val="en-ZA"/>
        </w:rPr>
        <w:t>17</w:t>
      </w:r>
      <w:r>
        <w:rPr>
          <w:rFonts w:ascii="Arial" w:hAnsi="Arial" w:cs="Arial"/>
          <w:b/>
          <w:lang w:val="en-ZA"/>
        </w:rPr>
        <w:t>/2020</w:t>
      </w:r>
    </w:p>
    <w:p w:rsidR="00AE178D" w:rsidRDefault="000A70B7" w:rsidP="00AE178D">
      <w:pPr>
        <w:tabs>
          <w:tab w:val="right" w:pos="9100"/>
        </w:tabs>
        <w:rPr>
          <w:rFonts w:ascii="Arial" w:hAnsi="Arial" w:cs="Arial"/>
          <w:lang w:val="en-ZA"/>
        </w:rPr>
      </w:pPr>
      <w:r>
        <w:rPr>
          <w:rFonts w:ascii="Arial" w:hAnsi="Arial" w:cs="Arial"/>
          <w:lang w:val="en-ZA"/>
        </w:rPr>
        <w:t xml:space="preserve">In </w:t>
      </w:r>
      <w:r w:rsidR="00365D86">
        <w:rPr>
          <w:rFonts w:ascii="Arial" w:hAnsi="Arial" w:cs="Arial"/>
          <w:lang w:val="en-ZA"/>
        </w:rPr>
        <w:t xml:space="preserve">the </w:t>
      </w:r>
      <w:r>
        <w:rPr>
          <w:rFonts w:ascii="Arial" w:hAnsi="Arial" w:cs="Arial"/>
          <w:lang w:val="en-ZA"/>
        </w:rPr>
        <w:t>matter between</w:t>
      </w:r>
      <w:r w:rsidR="00AE178D">
        <w:rPr>
          <w:rFonts w:ascii="Arial" w:hAnsi="Arial" w:cs="Arial"/>
          <w:lang w:val="en-ZA"/>
        </w:rPr>
        <w:t>:</w:t>
      </w:r>
    </w:p>
    <w:p w:rsidR="006C40D4" w:rsidRDefault="006C40D4" w:rsidP="006C40D4">
      <w:pPr>
        <w:tabs>
          <w:tab w:val="right" w:pos="8931"/>
        </w:tabs>
        <w:rPr>
          <w:rFonts w:ascii="Arial" w:hAnsi="Arial" w:cs="Arial"/>
          <w:bCs/>
        </w:rPr>
      </w:pPr>
      <w:r>
        <w:rPr>
          <w:rFonts w:ascii="Arial" w:hAnsi="Arial" w:cs="Arial"/>
          <w:b/>
        </w:rPr>
        <w:t>THE SPECIAL INVESTIGATING UNIT</w:t>
      </w:r>
      <w:r>
        <w:rPr>
          <w:rFonts w:ascii="Arial" w:hAnsi="Arial" w:cs="Arial"/>
          <w:b/>
        </w:rPr>
        <w:tab/>
      </w:r>
      <w:r>
        <w:rPr>
          <w:rFonts w:ascii="Arial" w:hAnsi="Arial" w:cs="Arial"/>
          <w:bCs/>
        </w:rPr>
        <w:t>First Applicant</w:t>
      </w:r>
    </w:p>
    <w:p w:rsidR="006C40D4" w:rsidRDefault="000A70B7" w:rsidP="006C40D4">
      <w:pPr>
        <w:tabs>
          <w:tab w:val="right" w:pos="9026"/>
        </w:tabs>
        <w:rPr>
          <w:rFonts w:ascii="Arial" w:hAnsi="Arial" w:cs="Arial"/>
          <w:b/>
        </w:rPr>
      </w:pPr>
      <w:r>
        <w:rPr>
          <w:rFonts w:ascii="Arial" w:hAnsi="Arial" w:cs="Arial"/>
          <w:b/>
        </w:rPr>
        <w:t>NATIONAL</w:t>
      </w:r>
      <w:r w:rsidR="006C40D4">
        <w:rPr>
          <w:rFonts w:ascii="Arial" w:hAnsi="Arial" w:cs="Arial"/>
          <w:b/>
        </w:rPr>
        <w:t xml:space="preserve"> DEPARTMENT OF PUBLIC WORKS</w:t>
      </w:r>
      <w:r w:rsidR="006C40D4">
        <w:rPr>
          <w:rFonts w:ascii="Arial" w:hAnsi="Arial" w:cs="Arial"/>
          <w:b/>
        </w:rPr>
        <w:tab/>
        <w:t xml:space="preserve">       </w:t>
      </w:r>
      <w:r w:rsidR="006C40D4">
        <w:rPr>
          <w:rFonts w:ascii="Arial" w:hAnsi="Arial" w:cs="Arial"/>
          <w:bCs/>
        </w:rPr>
        <w:t>Second Applicant</w:t>
      </w:r>
    </w:p>
    <w:p w:rsidR="006C40D4" w:rsidRDefault="006C40D4" w:rsidP="006C40D4">
      <w:pPr>
        <w:rPr>
          <w:rFonts w:ascii="Arial" w:hAnsi="Arial" w:cs="Arial"/>
          <w:b/>
        </w:rPr>
      </w:pPr>
      <w:r>
        <w:rPr>
          <w:rFonts w:ascii="Arial" w:hAnsi="Arial" w:cs="Arial"/>
          <w:b/>
        </w:rPr>
        <w:t>AND INFRASTRUCTURE</w:t>
      </w:r>
    </w:p>
    <w:p w:rsidR="006C40D4" w:rsidRDefault="006C40D4" w:rsidP="006C40D4">
      <w:pPr>
        <w:rPr>
          <w:rFonts w:ascii="Arial" w:hAnsi="Arial" w:cs="Arial"/>
          <w:bCs/>
        </w:rPr>
      </w:pPr>
      <w:r>
        <w:rPr>
          <w:rFonts w:ascii="Arial" w:hAnsi="Arial" w:cs="Arial"/>
          <w:bCs/>
        </w:rPr>
        <w:t>and</w:t>
      </w:r>
    </w:p>
    <w:p w:rsidR="006C40D4" w:rsidRDefault="006C40D4" w:rsidP="006C40D4">
      <w:pPr>
        <w:tabs>
          <w:tab w:val="right" w:pos="9026"/>
        </w:tabs>
        <w:rPr>
          <w:rFonts w:ascii="Arial" w:hAnsi="Arial" w:cs="Arial"/>
          <w:bCs/>
        </w:rPr>
      </w:pPr>
      <w:r>
        <w:rPr>
          <w:rFonts w:ascii="Arial" w:hAnsi="Arial" w:cs="Arial"/>
          <w:b/>
        </w:rPr>
        <w:t>CALEDON RIVER PROPERTIES (PTY) LTD</w:t>
      </w:r>
      <w:r>
        <w:rPr>
          <w:rFonts w:ascii="Arial" w:hAnsi="Arial" w:cs="Arial"/>
          <w:b/>
        </w:rPr>
        <w:tab/>
        <w:t xml:space="preserve">        </w:t>
      </w:r>
      <w:r>
        <w:rPr>
          <w:rFonts w:ascii="Arial" w:hAnsi="Arial" w:cs="Arial"/>
          <w:bCs/>
        </w:rPr>
        <w:t>First Respondent</w:t>
      </w:r>
    </w:p>
    <w:p w:rsidR="006C40D4" w:rsidRDefault="006C40D4" w:rsidP="006C40D4">
      <w:pPr>
        <w:rPr>
          <w:rFonts w:ascii="Arial" w:hAnsi="Arial" w:cs="Arial"/>
          <w:b/>
        </w:rPr>
      </w:pPr>
      <w:r>
        <w:rPr>
          <w:rFonts w:ascii="Arial" w:hAnsi="Arial" w:cs="Arial"/>
          <w:b/>
        </w:rPr>
        <w:t>t/a MAGWA CONSTRUCTION</w:t>
      </w:r>
      <w:r>
        <w:rPr>
          <w:rFonts w:ascii="Arial" w:hAnsi="Arial" w:cs="Arial"/>
          <w:b/>
        </w:rPr>
        <w:tab/>
      </w:r>
    </w:p>
    <w:p w:rsidR="006C40D4" w:rsidRDefault="006C40D4" w:rsidP="006C40D4">
      <w:pPr>
        <w:tabs>
          <w:tab w:val="left" w:pos="567"/>
          <w:tab w:val="left" w:pos="851"/>
          <w:tab w:val="left" w:pos="1701"/>
          <w:tab w:val="left" w:pos="2552"/>
          <w:tab w:val="right" w:pos="9026"/>
        </w:tabs>
        <w:spacing w:line="360" w:lineRule="auto"/>
        <w:rPr>
          <w:rFonts w:ascii="Arial" w:eastAsia="Arial" w:hAnsi="Arial" w:cs="Arial"/>
          <w:b/>
          <w:bCs/>
          <w:lang w:val="en-GB" w:eastAsia="en-GB"/>
        </w:rPr>
      </w:pPr>
      <w:r>
        <w:rPr>
          <w:rFonts w:ascii="Arial" w:hAnsi="Arial" w:cs="Arial"/>
          <w:b/>
        </w:rPr>
        <w:t>PROFTEAM CC</w:t>
      </w:r>
      <w:r>
        <w:rPr>
          <w:rFonts w:ascii="Arial" w:hAnsi="Arial" w:cs="Arial"/>
          <w:b/>
        </w:rPr>
        <w:tab/>
      </w:r>
      <w:r>
        <w:rPr>
          <w:rFonts w:ascii="Arial" w:hAnsi="Arial" w:cs="Arial"/>
          <w:b/>
        </w:rPr>
        <w:tab/>
        <w:t xml:space="preserve">         </w:t>
      </w:r>
      <w:r>
        <w:rPr>
          <w:rFonts w:ascii="Arial" w:hAnsi="Arial" w:cs="Arial"/>
          <w:b/>
        </w:rPr>
        <w:tab/>
      </w:r>
      <w:r>
        <w:rPr>
          <w:rFonts w:ascii="Arial" w:hAnsi="Arial" w:cs="Arial"/>
          <w:bCs/>
        </w:rPr>
        <w:t>Second Respondent</w:t>
      </w:r>
    </w:p>
    <w:p w:rsidR="00AE178D" w:rsidRPr="00AE178D" w:rsidRDefault="00AE178D" w:rsidP="00AE178D">
      <w:pPr>
        <w:pBdr>
          <w:top w:val="single" w:sz="12" w:space="1" w:color="auto"/>
          <w:bottom w:val="single" w:sz="12" w:space="1" w:color="auto"/>
        </w:pBdr>
        <w:spacing w:line="480" w:lineRule="auto"/>
        <w:jc w:val="center"/>
        <w:rPr>
          <w:rFonts w:ascii="Arial" w:hAnsi="Arial" w:cs="Arial"/>
          <w:b/>
          <w:sz w:val="28"/>
          <w:szCs w:val="28"/>
        </w:rPr>
      </w:pPr>
      <w:r w:rsidRPr="00AE178D">
        <w:rPr>
          <w:rFonts w:ascii="Arial" w:hAnsi="Arial" w:cs="Arial"/>
          <w:b/>
          <w:sz w:val="28"/>
          <w:szCs w:val="28"/>
        </w:rPr>
        <w:t xml:space="preserve">JUDGMENT </w:t>
      </w:r>
    </w:p>
    <w:p w:rsidR="00A9450A" w:rsidRDefault="000A70B7" w:rsidP="000A70B7">
      <w:pPr>
        <w:tabs>
          <w:tab w:val="left" w:pos="709"/>
          <w:tab w:val="left" w:pos="1560"/>
          <w:tab w:val="right" w:pos="8931"/>
        </w:tabs>
        <w:spacing w:after="480" w:line="480" w:lineRule="auto"/>
        <w:jc w:val="both"/>
        <w:rPr>
          <w:rFonts w:ascii="Arial" w:eastAsia="Times New Roman" w:hAnsi="Arial" w:cs="Arial"/>
          <w:i/>
          <w:color w:val="222222"/>
          <w:sz w:val="24"/>
          <w:lang w:eastAsia="en-ZA"/>
        </w:rPr>
      </w:pPr>
      <w:r w:rsidRPr="00251CD3">
        <w:rPr>
          <w:rFonts w:ascii="Arial" w:eastAsia="Times New Roman" w:hAnsi="Arial" w:cs="Arial"/>
          <w:b/>
          <w:i/>
          <w:sz w:val="24"/>
          <w:lang w:eastAsia="en-GB"/>
        </w:rPr>
        <w:t>Mode of delivery:</w:t>
      </w:r>
      <w:r w:rsidRPr="00251CD3">
        <w:rPr>
          <w:rFonts w:ascii="Arial" w:eastAsia="Times New Roman" w:hAnsi="Arial" w:cs="Arial"/>
          <w:i/>
          <w:sz w:val="24"/>
          <w:lang w:eastAsia="en-GB"/>
        </w:rPr>
        <w:t xml:space="preserve"> </w:t>
      </w:r>
      <w:r w:rsidR="00AE1CB7">
        <w:rPr>
          <w:rFonts w:ascii="Arial" w:eastAsia="Times New Roman" w:hAnsi="Arial" w:cs="Arial"/>
          <w:i/>
          <w:sz w:val="24"/>
          <w:lang w:eastAsia="en-GB"/>
        </w:rPr>
        <w:t>this j</w:t>
      </w:r>
      <w:r w:rsidR="007D4444">
        <w:rPr>
          <w:rFonts w:ascii="Arial" w:eastAsia="Times New Roman" w:hAnsi="Arial" w:cs="Arial"/>
          <w:i/>
          <w:sz w:val="24"/>
          <w:lang w:eastAsia="en-GB"/>
        </w:rPr>
        <w:t>udgment wa</w:t>
      </w:r>
      <w:r w:rsidR="00AE1CB7">
        <w:rPr>
          <w:rFonts w:ascii="Arial" w:eastAsia="Times New Roman" w:hAnsi="Arial" w:cs="Arial"/>
          <w:i/>
          <w:sz w:val="24"/>
          <w:lang w:eastAsia="en-GB"/>
        </w:rPr>
        <w:t>s</w:t>
      </w:r>
      <w:r>
        <w:rPr>
          <w:rFonts w:ascii="Arial" w:eastAsia="Times New Roman" w:hAnsi="Arial" w:cs="Arial"/>
          <w:i/>
          <w:sz w:val="24"/>
          <w:lang w:eastAsia="en-GB"/>
        </w:rPr>
        <w:t xml:space="preserve"> </w:t>
      </w:r>
      <w:r w:rsidRPr="00251CD3">
        <w:rPr>
          <w:rFonts w:ascii="Arial" w:eastAsia="Times New Roman" w:hAnsi="Arial" w:cs="Arial"/>
          <w:i/>
          <w:color w:val="222222"/>
          <w:sz w:val="24"/>
          <w:lang w:eastAsia="en-ZA"/>
        </w:rPr>
        <w:t xml:space="preserve">handed down </w:t>
      </w:r>
      <w:r w:rsidR="009E0528">
        <w:rPr>
          <w:rFonts w:ascii="Arial" w:eastAsia="Times New Roman" w:hAnsi="Arial" w:cs="Arial"/>
          <w:i/>
          <w:color w:val="222222"/>
          <w:sz w:val="24"/>
          <w:lang w:eastAsia="en-ZA"/>
        </w:rPr>
        <w:t xml:space="preserve">electronically </w:t>
      </w:r>
      <w:r w:rsidR="009E0528" w:rsidRPr="00251CD3">
        <w:rPr>
          <w:rFonts w:ascii="Arial" w:eastAsia="Times New Roman" w:hAnsi="Arial" w:cs="Arial"/>
          <w:i/>
          <w:color w:val="222222"/>
          <w:sz w:val="24"/>
          <w:lang w:eastAsia="en-ZA"/>
        </w:rPr>
        <w:t xml:space="preserve">on </w:t>
      </w:r>
      <w:r w:rsidR="009E0528">
        <w:rPr>
          <w:rFonts w:ascii="Arial" w:eastAsia="Times New Roman" w:hAnsi="Arial" w:cs="Arial"/>
          <w:i/>
          <w:color w:val="222222"/>
          <w:sz w:val="24"/>
          <w:lang w:eastAsia="en-ZA"/>
        </w:rPr>
        <w:t xml:space="preserve">8 March </w:t>
      </w:r>
      <w:r w:rsidR="009E0528" w:rsidRPr="00251CD3">
        <w:rPr>
          <w:rFonts w:ascii="Arial" w:eastAsia="Times New Roman" w:hAnsi="Arial" w:cs="Arial"/>
          <w:i/>
          <w:color w:val="222222"/>
          <w:sz w:val="24"/>
          <w:lang w:eastAsia="en-ZA"/>
        </w:rPr>
        <w:t>202</w:t>
      </w:r>
      <w:r w:rsidR="00B273AA">
        <w:rPr>
          <w:rFonts w:ascii="Arial" w:eastAsia="Times New Roman" w:hAnsi="Arial" w:cs="Arial"/>
          <w:i/>
          <w:color w:val="222222"/>
          <w:sz w:val="24"/>
          <w:lang w:eastAsia="en-ZA"/>
        </w:rPr>
        <w:t xml:space="preserve">2 by </w:t>
      </w:r>
      <w:r w:rsidR="009E0528">
        <w:rPr>
          <w:rFonts w:ascii="Arial" w:eastAsia="Times New Roman" w:hAnsi="Arial" w:cs="Arial"/>
          <w:i/>
          <w:color w:val="222222"/>
          <w:sz w:val="24"/>
          <w:lang w:eastAsia="en-ZA"/>
        </w:rPr>
        <w:t>t</w:t>
      </w:r>
      <w:r w:rsidR="00B273AA">
        <w:rPr>
          <w:rFonts w:ascii="Arial" w:eastAsia="Times New Roman" w:hAnsi="Arial" w:cs="Arial"/>
          <w:i/>
          <w:color w:val="222222"/>
          <w:sz w:val="24"/>
          <w:lang w:eastAsia="en-ZA"/>
        </w:rPr>
        <w:t>ransmission</w:t>
      </w:r>
      <w:r w:rsidR="009E0528">
        <w:rPr>
          <w:rFonts w:ascii="Arial" w:eastAsia="Times New Roman" w:hAnsi="Arial" w:cs="Arial"/>
          <w:i/>
          <w:color w:val="222222"/>
          <w:sz w:val="24"/>
          <w:lang w:eastAsia="en-ZA"/>
        </w:rPr>
        <w:t xml:space="preserve"> to the </w:t>
      </w:r>
      <w:r w:rsidR="009E0528" w:rsidRPr="00251CD3">
        <w:rPr>
          <w:rFonts w:ascii="Arial" w:eastAsia="Times New Roman" w:hAnsi="Arial" w:cs="Arial"/>
          <w:i/>
          <w:color w:val="222222"/>
          <w:sz w:val="24"/>
          <w:lang w:eastAsia="en-ZA"/>
        </w:rPr>
        <w:t>parties’ legal representatives by email</w:t>
      </w:r>
      <w:r w:rsidR="009E0528">
        <w:rPr>
          <w:rFonts w:ascii="Arial" w:eastAsia="Times New Roman" w:hAnsi="Arial" w:cs="Arial"/>
          <w:i/>
          <w:color w:val="222222"/>
          <w:sz w:val="24"/>
          <w:lang w:eastAsia="en-ZA"/>
        </w:rPr>
        <w:t xml:space="preserve"> and uploading on Caselines</w:t>
      </w:r>
      <w:r w:rsidR="00D502A1">
        <w:rPr>
          <w:rFonts w:ascii="Arial" w:eastAsia="Times New Roman" w:hAnsi="Arial" w:cs="Arial"/>
          <w:i/>
          <w:color w:val="222222"/>
          <w:sz w:val="24"/>
          <w:lang w:eastAsia="en-ZA"/>
        </w:rPr>
        <w:t xml:space="preserve"> and on Saflii</w:t>
      </w:r>
      <w:r w:rsidR="009E0528">
        <w:rPr>
          <w:rFonts w:ascii="Arial" w:eastAsia="Times New Roman" w:hAnsi="Arial" w:cs="Arial"/>
          <w:i/>
          <w:color w:val="222222"/>
          <w:sz w:val="24"/>
          <w:lang w:eastAsia="en-ZA"/>
        </w:rPr>
        <w:t>. The time for handing down the judgment is deemed to be 10am.</w:t>
      </w:r>
      <w:r w:rsidRPr="00251CD3">
        <w:rPr>
          <w:rFonts w:ascii="Arial" w:eastAsia="Times New Roman" w:hAnsi="Arial" w:cs="Arial"/>
          <w:i/>
          <w:color w:val="222222"/>
          <w:sz w:val="24"/>
          <w:lang w:eastAsia="en-ZA"/>
        </w:rPr>
        <w:t> </w:t>
      </w:r>
    </w:p>
    <w:p w:rsidR="00B35DDA" w:rsidRDefault="00B35DDA" w:rsidP="00B35DDA">
      <w:pPr>
        <w:jc w:val="both"/>
        <w:rPr>
          <w:rFonts w:ascii="Arial" w:hAnsi="Arial" w:cs="Arial"/>
          <w:sz w:val="24"/>
        </w:rPr>
      </w:pPr>
      <w:r w:rsidRPr="006B1EA8">
        <w:rPr>
          <w:rFonts w:ascii="Arial" w:hAnsi="Arial" w:cs="Arial"/>
          <w:i/>
          <w:sz w:val="24"/>
        </w:rPr>
        <w:t>Just and equitable remedy in terms of section 172(1)(a) of the Constitution</w:t>
      </w:r>
      <w:r>
        <w:rPr>
          <w:rFonts w:ascii="Arial" w:hAnsi="Arial" w:cs="Arial"/>
          <w:sz w:val="24"/>
        </w:rPr>
        <w:t xml:space="preserve"> – whether the Defendants should be ordered to repay prepaid amounts in full – whether Defendants should be allowed to retain rights vested in terms of invalid contracts – factual basis to establish exceptional circumstances not laid - no profit no loss principle applied. [32] – [48] </w:t>
      </w:r>
    </w:p>
    <w:p w:rsidR="00B35DDA" w:rsidRDefault="00B35DDA" w:rsidP="00B35DDA">
      <w:pPr>
        <w:jc w:val="both"/>
        <w:rPr>
          <w:rFonts w:ascii="Arial" w:hAnsi="Arial" w:cs="Arial"/>
          <w:sz w:val="24"/>
        </w:rPr>
      </w:pPr>
      <w:r>
        <w:rPr>
          <w:rFonts w:ascii="Arial" w:hAnsi="Arial" w:cs="Arial"/>
          <w:sz w:val="24"/>
        </w:rPr>
        <w:lastRenderedPageBreak/>
        <w:t>Facts appear in the judgment.</w:t>
      </w:r>
    </w:p>
    <w:p w:rsidR="00B35DDA" w:rsidRPr="003142A6" w:rsidRDefault="00B35DDA" w:rsidP="00B35DDA">
      <w:pPr>
        <w:jc w:val="both"/>
        <w:rPr>
          <w:rFonts w:ascii="Arial" w:hAnsi="Arial" w:cs="Arial"/>
          <w:sz w:val="24"/>
          <w:szCs w:val="24"/>
        </w:rPr>
      </w:pPr>
      <w:r w:rsidRPr="003142A6">
        <w:rPr>
          <w:rFonts w:ascii="Arial" w:hAnsi="Arial" w:cs="Arial"/>
          <w:i/>
          <w:sz w:val="24"/>
          <w:szCs w:val="24"/>
        </w:rPr>
        <w:t>AllPay Consolidated Investment Holdings (Pty) Ltd and Others v CEO of the South African Social Security Agency and Others</w:t>
      </w:r>
      <w:r w:rsidRPr="003142A6">
        <w:rPr>
          <w:rFonts w:ascii="Arial" w:hAnsi="Arial" w:cs="Arial"/>
          <w:sz w:val="24"/>
          <w:szCs w:val="24"/>
          <w:lang w:val="en-GB"/>
        </w:rPr>
        <w:t xml:space="preserve"> 2014 (1) SA 604 (CC), </w:t>
      </w:r>
      <w:r w:rsidRPr="003142A6">
        <w:rPr>
          <w:rFonts w:ascii="Arial" w:hAnsi="Arial" w:cs="Arial"/>
          <w:i/>
          <w:sz w:val="24"/>
          <w:szCs w:val="24"/>
        </w:rPr>
        <w:t>AllPay Consolidated Investment Holdings (Pty) Ltd and Others v CEO of the South African Social Security Agency and Others</w:t>
      </w:r>
      <w:r w:rsidRPr="003142A6">
        <w:rPr>
          <w:rFonts w:ascii="Arial" w:hAnsi="Arial" w:cs="Arial"/>
          <w:sz w:val="24"/>
          <w:szCs w:val="24"/>
        </w:rPr>
        <w:t xml:space="preserve"> 2014 (4) SA 179 (CC), </w:t>
      </w:r>
      <w:r w:rsidRPr="003142A6">
        <w:rPr>
          <w:rFonts w:ascii="Arial" w:hAnsi="Arial" w:cs="Arial"/>
          <w:i/>
          <w:sz w:val="24"/>
          <w:szCs w:val="24"/>
          <w:lang w:val="en-ZA"/>
        </w:rPr>
        <w:t>Special Investigating Unit and SABC v Vision View Productions CC</w:t>
      </w:r>
      <w:r w:rsidRPr="003142A6">
        <w:rPr>
          <w:rFonts w:ascii="Arial" w:hAnsi="Arial" w:cs="Arial"/>
          <w:sz w:val="24"/>
          <w:szCs w:val="24"/>
          <w:lang w:val="en-ZA"/>
        </w:rPr>
        <w:t xml:space="preserve"> [2020] ZAGPJHC 19 June 2020 and </w:t>
      </w:r>
      <w:r w:rsidRPr="003142A6">
        <w:rPr>
          <w:rFonts w:ascii="Arial" w:hAnsi="Arial" w:cs="Arial"/>
          <w:i/>
          <w:sz w:val="24"/>
          <w:szCs w:val="24"/>
          <w:lang w:val="en-GB"/>
        </w:rPr>
        <w:t>SABC SOC Ltd and Another v Mott MacDonalds SA (Pty) Ltd (29070 of 2018) [2020] ZAGPJHC 5 (08 December 2020) applied.</w:t>
      </w:r>
    </w:p>
    <w:p w:rsidR="00B35DDA" w:rsidRPr="003142A6" w:rsidRDefault="00B35DDA" w:rsidP="00B35DDA">
      <w:pPr>
        <w:pStyle w:val="FootnoteText"/>
        <w:rPr>
          <w:rFonts w:ascii="Arial" w:hAnsi="Arial" w:cs="Arial"/>
          <w:sz w:val="24"/>
          <w:szCs w:val="24"/>
          <w:lang w:val="en-GB"/>
        </w:rPr>
      </w:pPr>
      <w:r w:rsidRPr="003142A6">
        <w:rPr>
          <w:rFonts w:ascii="Arial" w:hAnsi="Arial" w:cs="Arial"/>
          <w:i/>
          <w:sz w:val="24"/>
          <w:szCs w:val="24"/>
          <w:lang w:val="en-GB"/>
        </w:rPr>
        <w:t>State Information Technology SOC Ltd v Gijima Holdings (Pty) Ltd</w:t>
      </w:r>
      <w:r w:rsidRPr="003142A6">
        <w:rPr>
          <w:rFonts w:ascii="Arial" w:hAnsi="Arial" w:cs="Arial"/>
          <w:sz w:val="24"/>
          <w:szCs w:val="24"/>
          <w:lang w:val="en-GB"/>
        </w:rPr>
        <w:t xml:space="preserve"> 2018 (2) SA (CC) referred to. </w:t>
      </w:r>
    </w:p>
    <w:p w:rsidR="00B35DDA" w:rsidRPr="00B35DDA" w:rsidRDefault="00B35DDA" w:rsidP="000A70B7">
      <w:pPr>
        <w:tabs>
          <w:tab w:val="left" w:pos="709"/>
          <w:tab w:val="left" w:pos="1560"/>
          <w:tab w:val="right" w:pos="8931"/>
        </w:tabs>
        <w:spacing w:after="480" w:line="480" w:lineRule="auto"/>
        <w:jc w:val="both"/>
        <w:rPr>
          <w:rFonts w:ascii="Arial" w:eastAsia="Times New Roman" w:hAnsi="Arial" w:cs="Arial"/>
          <w:b/>
          <w:color w:val="222222"/>
          <w:sz w:val="24"/>
          <w:lang w:eastAsia="en-ZA"/>
        </w:rPr>
      </w:pPr>
    </w:p>
    <w:p w:rsidR="00AE178D" w:rsidRPr="0038371F" w:rsidRDefault="000A70B7" w:rsidP="007B1D24">
      <w:pPr>
        <w:spacing w:line="480" w:lineRule="auto"/>
        <w:rPr>
          <w:rFonts w:ascii="Arial" w:hAnsi="Arial" w:cs="Arial"/>
          <w:b/>
          <w:sz w:val="24"/>
        </w:rPr>
      </w:pPr>
      <w:r w:rsidRPr="0038371F">
        <w:rPr>
          <w:rFonts w:ascii="Arial" w:hAnsi="Arial" w:cs="Arial"/>
          <w:b/>
          <w:sz w:val="24"/>
        </w:rPr>
        <w:t>MODIBA J:</w:t>
      </w:r>
    </w:p>
    <w:p w:rsidR="004A5985" w:rsidRDefault="004A5985" w:rsidP="004A5985">
      <w:pPr>
        <w:tabs>
          <w:tab w:val="center" w:pos="4680"/>
        </w:tabs>
        <w:spacing w:line="480" w:lineRule="auto"/>
        <w:rPr>
          <w:rFonts w:ascii="Arial" w:hAnsi="Arial" w:cs="Arial"/>
          <w:b/>
          <w:sz w:val="24"/>
        </w:rPr>
      </w:pPr>
      <w:r w:rsidRPr="0038371F">
        <w:rPr>
          <w:rFonts w:ascii="Arial" w:hAnsi="Arial" w:cs="Arial"/>
          <w:b/>
          <w:sz w:val="24"/>
        </w:rPr>
        <w:t>INTRODUCTION</w:t>
      </w:r>
    </w:p>
    <w:p w:rsidR="004A5985"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[1]</w:t>
      </w:r>
      <w:r>
        <w:rPr>
          <w:rFonts w:ascii="Arial" w:hAnsi="Arial" w:cs="Arial"/>
          <w:sz w:val="24"/>
          <w:lang w:val="en-GB"/>
        </w:rPr>
        <w:tab/>
      </w:r>
      <w:r w:rsidR="004A5985" w:rsidRPr="00576ECA">
        <w:rPr>
          <w:rFonts w:ascii="Arial" w:hAnsi="Arial" w:cs="Arial"/>
          <w:sz w:val="24"/>
          <w:lang w:val="en-GB"/>
        </w:rPr>
        <w:t xml:space="preserve">The sole issue for formulation in the present proceedings is the just and equitable remedy the Tribunal ought to impose in terms of section 172(1)(b) of the Constitution. </w:t>
      </w:r>
    </w:p>
    <w:p w:rsidR="004A5985" w:rsidRDefault="004A5985" w:rsidP="004A5985">
      <w:pPr>
        <w:pStyle w:val="ListParagraph"/>
        <w:spacing w:after="0" w:line="480" w:lineRule="auto"/>
        <w:ind w:left="360"/>
        <w:jc w:val="both"/>
        <w:rPr>
          <w:rFonts w:ascii="Arial" w:hAnsi="Arial" w:cs="Arial"/>
          <w:sz w:val="24"/>
          <w:lang w:val="en-GB"/>
        </w:rPr>
      </w:pPr>
    </w:p>
    <w:p w:rsidR="004A5985" w:rsidRPr="00576ECA" w:rsidRDefault="00576ECA" w:rsidP="00576ECA">
      <w:pPr>
        <w:spacing w:line="480" w:lineRule="auto"/>
        <w:ind w:left="360" w:hanging="360"/>
        <w:jc w:val="both"/>
        <w:rPr>
          <w:rFonts w:ascii="Arial" w:hAnsi="Arial" w:cs="Arial"/>
          <w:sz w:val="24"/>
          <w:lang w:val="en-GB"/>
        </w:rPr>
      </w:pPr>
      <w:r w:rsidRPr="00FC5989">
        <w:rPr>
          <w:rFonts w:ascii="Arial" w:hAnsi="Arial" w:cs="Arial"/>
          <w:sz w:val="24"/>
          <w:lang w:val="en-GB"/>
        </w:rPr>
        <w:t>[2]</w:t>
      </w:r>
      <w:r w:rsidRPr="00FC5989">
        <w:rPr>
          <w:rFonts w:ascii="Arial" w:hAnsi="Arial" w:cs="Arial"/>
          <w:sz w:val="24"/>
          <w:lang w:val="en-GB"/>
        </w:rPr>
        <w:tab/>
      </w:r>
      <w:r w:rsidR="004A5985" w:rsidRPr="00576ECA">
        <w:rPr>
          <w:rFonts w:ascii="Arial" w:hAnsi="Arial" w:cs="Arial"/>
          <w:sz w:val="24"/>
        </w:rPr>
        <w:t>The Special Investigating Unit (“SIU”) and the National Department of Public Works and Infrastructure (“Public Works”) as joint applicants</w:t>
      </w:r>
      <w:r w:rsidR="009F55CA" w:rsidRPr="00576ECA">
        <w:rPr>
          <w:rFonts w:ascii="Arial" w:hAnsi="Arial" w:cs="Arial"/>
          <w:sz w:val="24"/>
        </w:rPr>
        <w:t>,</w:t>
      </w:r>
      <w:r w:rsidR="004A5985" w:rsidRPr="00576ECA">
        <w:rPr>
          <w:rFonts w:ascii="Arial" w:hAnsi="Arial" w:cs="Arial"/>
          <w:sz w:val="24"/>
        </w:rPr>
        <w:t xml:space="preserve"> applied to review and set aside contract number H16/022 and HP14/075 concluded between Public Works and Caledon River Properties (Pty) </w:t>
      </w:r>
      <w:r w:rsidR="009F55CA" w:rsidRPr="00576ECA">
        <w:rPr>
          <w:rFonts w:ascii="Arial" w:hAnsi="Arial" w:cs="Arial"/>
          <w:sz w:val="24"/>
        </w:rPr>
        <w:t xml:space="preserve">Ltd </w:t>
      </w:r>
      <w:r w:rsidR="004A5985" w:rsidRPr="00576ECA">
        <w:rPr>
          <w:rFonts w:ascii="Arial" w:hAnsi="Arial" w:cs="Arial"/>
          <w:sz w:val="24"/>
        </w:rPr>
        <w:t>(Caledon River Properties) and Profteam CC (Profteam)</w:t>
      </w:r>
      <w:r w:rsidR="009F55CA" w:rsidRPr="00576ECA">
        <w:rPr>
          <w:rFonts w:ascii="Arial" w:hAnsi="Arial" w:cs="Arial"/>
          <w:sz w:val="24"/>
        </w:rPr>
        <w:t>,</w:t>
      </w:r>
      <w:r w:rsidR="004A5985" w:rsidRPr="00576ECA">
        <w:rPr>
          <w:rFonts w:ascii="Arial" w:hAnsi="Arial" w:cs="Arial"/>
          <w:sz w:val="24"/>
        </w:rPr>
        <w:t xml:space="preserve"> respectively (“the contracts”). </w:t>
      </w:r>
    </w:p>
    <w:p w:rsidR="004A5985" w:rsidRPr="00FC5989" w:rsidRDefault="004A5985" w:rsidP="004A5985">
      <w:pPr>
        <w:pStyle w:val="ListParagraph"/>
        <w:rPr>
          <w:rFonts w:ascii="Arial" w:hAnsi="Arial" w:cs="Arial"/>
          <w:sz w:val="24"/>
        </w:rPr>
      </w:pPr>
    </w:p>
    <w:p w:rsidR="004A5985" w:rsidRPr="00576ECA" w:rsidRDefault="00576ECA" w:rsidP="00576ECA">
      <w:pPr>
        <w:spacing w:line="480" w:lineRule="auto"/>
        <w:ind w:left="360" w:hanging="360"/>
        <w:jc w:val="both"/>
        <w:rPr>
          <w:rFonts w:ascii="Arial" w:hAnsi="Arial" w:cs="Arial"/>
          <w:sz w:val="24"/>
          <w:lang w:val="en-GB"/>
        </w:rPr>
      </w:pPr>
      <w:r w:rsidRPr="0040705E">
        <w:rPr>
          <w:rFonts w:ascii="Arial" w:hAnsi="Arial" w:cs="Arial"/>
          <w:sz w:val="24"/>
          <w:lang w:val="en-GB"/>
        </w:rPr>
        <w:t>[3]</w:t>
      </w:r>
      <w:r w:rsidRPr="0040705E">
        <w:rPr>
          <w:rFonts w:ascii="Arial" w:hAnsi="Arial" w:cs="Arial"/>
          <w:sz w:val="24"/>
          <w:lang w:val="en-GB"/>
        </w:rPr>
        <w:tab/>
      </w:r>
      <w:r w:rsidR="004A5985" w:rsidRPr="00576ECA">
        <w:rPr>
          <w:rFonts w:ascii="Arial" w:hAnsi="Arial" w:cs="Arial"/>
          <w:sz w:val="24"/>
        </w:rPr>
        <w:t xml:space="preserve">For convenience, I jointly refer to the SIU and Public Works as Plaintiffs and individually by their names. I refer to Caledon River Properties and Profteam as Defendants and individually by their names.  </w:t>
      </w:r>
    </w:p>
    <w:p w:rsidR="004A5985" w:rsidRPr="0040705E" w:rsidRDefault="004A5985" w:rsidP="004A5985">
      <w:pPr>
        <w:pStyle w:val="ListParagraph"/>
        <w:rPr>
          <w:rFonts w:ascii="Arial" w:hAnsi="Arial" w:cs="Arial"/>
          <w:sz w:val="24"/>
          <w:lang w:val="en-GB"/>
        </w:rPr>
      </w:pPr>
    </w:p>
    <w:p w:rsidR="004A5985" w:rsidRPr="00576ECA" w:rsidRDefault="00576ECA" w:rsidP="00576ECA">
      <w:pPr>
        <w:spacing w:line="480" w:lineRule="auto"/>
        <w:ind w:left="360" w:hanging="360"/>
        <w:jc w:val="both"/>
        <w:rPr>
          <w:rFonts w:ascii="Arial" w:hAnsi="Arial" w:cs="Arial"/>
          <w:sz w:val="24"/>
          <w:lang w:val="en-GB"/>
        </w:rPr>
      </w:pPr>
      <w:r w:rsidRPr="008D1AA2">
        <w:rPr>
          <w:rFonts w:ascii="Arial" w:hAnsi="Arial" w:cs="Arial"/>
          <w:sz w:val="24"/>
          <w:lang w:val="en-GB"/>
        </w:rPr>
        <w:t>[4]</w:t>
      </w:r>
      <w:r w:rsidRPr="008D1AA2">
        <w:rPr>
          <w:rFonts w:ascii="Arial" w:hAnsi="Arial" w:cs="Arial"/>
          <w:sz w:val="24"/>
          <w:lang w:val="en-GB"/>
        </w:rPr>
        <w:tab/>
      </w:r>
      <w:r w:rsidR="004A5985" w:rsidRPr="00576ECA">
        <w:rPr>
          <w:rFonts w:ascii="Arial" w:hAnsi="Arial" w:cs="Arial"/>
          <w:sz w:val="24"/>
        </w:rPr>
        <w:t xml:space="preserve">In terms of its contract with Public Works, Profteam would </w:t>
      </w:r>
      <w:r w:rsidR="004A5985" w:rsidRPr="00576ECA">
        <w:rPr>
          <w:rFonts w:ascii="Arial" w:hAnsi="Arial" w:cs="Arial"/>
          <w:noProof/>
          <w:sz w:val="24"/>
          <w:lang w:val="en-ZA" w:eastAsia="en-ZA"/>
        </w:rPr>
        <w:t>construct a 40km borderline fence</w:t>
      </w:r>
      <w:r w:rsidR="009F55CA" w:rsidRPr="00576ECA">
        <w:rPr>
          <w:rFonts w:ascii="Arial" w:hAnsi="Arial" w:cs="Arial"/>
          <w:noProof/>
          <w:sz w:val="24"/>
          <w:lang w:val="en-ZA" w:eastAsia="en-ZA"/>
        </w:rPr>
        <w:t xml:space="preserve"> along</w:t>
      </w:r>
      <w:r w:rsidR="004A5985" w:rsidRPr="00576ECA">
        <w:rPr>
          <w:rFonts w:ascii="Arial" w:hAnsi="Arial" w:cs="Arial"/>
          <w:noProof/>
          <w:sz w:val="24"/>
          <w:lang w:val="en-ZA" w:eastAsia="en-ZA"/>
        </w:rPr>
        <w:t xml:space="preserve"> the Republic of South Africa and the Zimbabwe Beitbridge Border Post, to secure the border in the wake of the period of national disaster occassioned by the Covid19 pandemic. </w:t>
      </w:r>
      <w:r w:rsidR="004A5985" w:rsidRPr="00576ECA">
        <w:rPr>
          <w:rFonts w:ascii="Arial" w:hAnsi="Arial" w:cs="Arial"/>
          <w:sz w:val="24"/>
        </w:rPr>
        <w:t xml:space="preserve">This project is </w:t>
      </w:r>
      <w:r w:rsidR="004A5985" w:rsidRPr="00576ECA">
        <w:rPr>
          <w:rFonts w:ascii="Arial" w:hAnsi="Arial" w:cs="Arial"/>
          <w:noProof/>
          <w:sz w:val="24"/>
          <w:lang w:val="en-ZA" w:eastAsia="en-ZA"/>
        </w:rPr>
        <w:t>colloquially known as the Beitbridge Border Fence Project.</w:t>
      </w:r>
      <w:r w:rsidR="004A5985" w:rsidRPr="00576ECA">
        <w:rPr>
          <w:rFonts w:ascii="Arial" w:hAnsi="Arial" w:cs="Arial"/>
          <w:sz w:val="24"/>
        </w:rPr>
        <w:t xml:space="preserve"> In terms of its contract with Public Works, Caledon River Properties would provide professional services related to the </w:t>
      </w:r>
      <w:r w:rsidR="004A5985" w:rsidRPr="00576ECA">
        <w:rPr>
          <w:rFonts w:ascii="Arial" w:hAnsi="Arial" w:cs="Arial"/>
          <w:noProof/>
          <w:sz w:val="24"/>
          <w:lang w:val="en-ZA" w:eastAsia="en-ZA"/>
        </w:rPr>
        <w:t>Beitbridge Border Fence Project</w:t>
      </w:r>
      <w:r w:rsidR="004A5985" w:rsidRPr="00576ECA">
        <w:rPr>
          <w:rFonts w:ascii="Arial" w:hAnsi="Arial" w:cs="Arial"/>
          <w:sz w:val="24"/>
        </w:rPr>
        <w:t xml:space="preserve">. </w:t>
      </w:r>
    </w:p>
    <w:p w:rsidR="004A5985" w:rsidRPr="009E0528" w:rsidRDefault="004A5985" w:rsidP="004A5985">
      <w:pPr>
        <w:pStyle w:val="ListParagraph"/>
        <w:rPr>
          <w:rFonts w:ascii="Arial" w:hAnsi="Arial" w:cs="Arial"/>
          <w:sz w:val="24"/>
        </w:rPr>
      </w:pPr>
    </w:p>
    <w:p w:rsidR="004A5985" w:rsidRPr="0038371F" w:rsidRDefault="004A5985" w:rsidP="004A5985">
      <w:pPr>
        <w:pStyle w:val="ListParagraph"/>
        <w:rPr>
          <w:rFonts w:ascii="Arial" w:hAnsi="Arial" w:cs="Arial"/>
          <w:sz w:val="24"/>
        </w:rPr>
      </w:pPr>
    </w:p>
    <w:p w:rsidR="004A5985" w:rsidRPr="00576ECA" w:rsidRDefault="00576ECA" w:rsidP="00576ECA">
      <w:pPr>
        <w:spacing w:line="480" w:lineRule="auto"/>
        <w:ind w:left="360" w:hanging="360"/>
        <w:jc w:val="both"/>
        <w:rPr>
          <w:rFonts w:ascii="Arial" w:hAnsi="Arial" w:cs="Arial"/>
          <w:noProof/>
          <w:sz w:val="24"/>
          <w:lang w:val="en-ZA" w:eastAsia="en-ZA"/>
        </w:rPr>
      </w:pPr>
      <w:r>
        <w:rPr>
          <w:rFonts w:ascii="Arial" w:hAnsi="Arial" w:cs="Arial"/>
          <w:noProof/>
          <w:sz w:val="24"/>
          <w:lang w:val="en-ZA" w:eastAsia="en-ZA"/>
        </w:rPr>
        <w:t>[5]</w:t>
      </w:r>
      <w:r>
        <w:rPr>
          <w:rFonts w:ascii="Arial" w:hAnsi="Arial" w:cs="Arial"/>
          <w:noProof/>
          <w:sz w:val="24"/>
          <w:lang w:val="en-ZA" w:eastAsia="en-ZA"/>
        </w:rPr>
        <w:tab/>
      </w:r>
      <w:r w:rsidR="004A5985" w:rsidRPr="00576ECA">
        <w:rPr>
          <w:rFonts w:ascii="Arial" w:hAnsi="Arial" w:cs="Arial"/>
          <w:sz w:val="24"/>
        </w:rPr>
        <w:t xml:space="preserve">Soon after the fence was constructed, it started to fell apart, prompting the SIU to investigate the awarding of the contracts. The SIU derived its authority to investigate the awarding of the contracts from </w:t>
      </w:r>
      <w:r w:rsidR="004A5985" w:rsidRPr="00576ECA">
        <w:rPr>
          <w:rFonts w:ascii="Arial" w:hAnsi="Arial" w:cs="Arial"/>
          <w:noProof/>
          <w:sz w:val="24"/>
          <w:lang w:val="en-ZA" w:eastAsia="en-ZA"/>
        </w:rPr>
        <w:t>proclamation R23 of 2020, published by President Cyril Ramaphosa on 23 July 2020, acting in terms of section 2(1)(a)(ii) of the Special Investigating Units and Special Tribunals Act</w:t>
      </w:r>
      <w:r w:rsidR="004A5985" w:rsidRPr="0038371F">
        <w:rPr>
          <w:rStyle w:val="FootnoteReference"/>
          <w:rFonts w:ascii="Arial" w:hAnsi="Arial" w:cs="Arial"/>
          <w:noProof/>
          <w:sz w:val="24"/>
          <w:lang w:val="en-ZA" w:eastAsia="en-ZA"/>
        </w:rPr>
        <w:footnoteReference w:id="1"/>
      </w:r>
      <w:r w:rsidR="004A5985" w:rsidRPr="00576ECA">
        <w:rPr>
          <w:rFonts w:ascii="Arial" w:hAnsi="Arial" w:cs="Arial"/>
          <w:noProof/>
          <w:sz w:val="24"/>
          <w:lang w:val="en-ZA" w:eastAsia="en-ZA"/>
        </w:rPr>
        <w:t xml:space="preserve"> (“the SIU Act”). The proclamation broadly authorises the SIU to investigate Covid19 related procurement. </w:t>
      </w:r>
    </w:p>
    <w:p w:rsidR="004A5985" w:rsidRPr="009E0528" w:rsidRDefault="004A5985" w:rsidP="004A5985">
      <w:pPr>
        <w:pStyle w:val="ListParagraph"/>
        <w:rPr>
          <w:rFonts w:ascii="Arial" w:hAnsi="Arial" w:cs="Arial"/>
          <w:sz w:val="24"/>
        </w:rPr>
      </w:pPr>
    </w:p>
    <w:p w:rsidR="004A5985" w:rsidRPr="00576ECA" w:rsidRDefault="00576ECA" w:rsidP="00576ECA">
      <w:pPr>
        <w:spacing w:line="480" w:lineRule="auto"/>
        <w:ind w:left="360" w:hanging="360"/>
        <w:jc w:val="both"/>
        <w:rPr>
          <w:rFonts w:ascii="Arial" w:hAnsi="Arial" w:cs="Arial"/>
          <w:noProof/>
          <w:sz w:val="24"/>
          <w:lang w:val="en-ZA" w:eastAsia="en-ZA"/>
        </w:rPr>
      </w:pPr>
      <w:r w:rsidRPr="0038371F">
        <w:rPr>
          <w:rFonts w:ascii="Arial" w:hAnsi="Arial" w:cs="Arial"/>
          <w:noProof/>
          <w:sz w:val="24"/>
          <w:lang w:val="en-ZA" w:eastAsia="en-ZA"/>
        </w:rPr>
        <w:t>[6]</w:t>
      </w:r>
      <w:r w:rsidRPr="0038371F">
        <w:rPr>
          <w:rFonts w:ascii="Arial" w:hAnsi="Arial" w:cs="Arial"/>
          <w:noProof/>
          <w:sz w:val="24"/>
          <w:lang w:val="en-ZA" w:eastAsia="en-ZA"/>
        </w:rPr>
        <w:tab/>
      </w:r>
      <w:r w:rsidR="004A5985" w:rsidRPr="00576ECA">
        <w:rPr>
          <w:rFonts w:ascii="Arial" w:hAnsi="Arial" w:cs="Arial"/>
          <w:sz w:val="24"/>
        </w:rPr>
        <w:t xml:space="preserve">The SIU found various irregularities in the awarding of the contracts. Its case in the review is premised on the contravention of the applicable constitutional, statutory and regulatory provisions. </w:t>
      </w:r>
    </w:p>
    <w:p w:rsidR="004A5985" w:rsidRPr="0038371F" w:rsidRDefault="004A5985" w:rsidP="004A5985">
      <w:pPr>
        <w:pStyle w:val="ListParagraph"/>
        <w:rPr>
          <w:rFonts w:ascii="Arial" w:hAnsi="Arial" w:cs="Arial"/>
          <w:noProof/>
          <w:sz w:val="24"/>
          <w:lang w:val="en-ZA" w:eastAsia="en-ZA"/>
        </w:rPr>
      </w:pPr>
    </w:p>
    <w:p w:rsidR="004A5985" w:rsidRPr="00576ECA" w:rsidRDefault="00576ECA" w:rsidP="00576ECA">
      <w:pPr>
        <w:spacing w:line="480" w:lineRule="auto"/>
        <w:ind w:left="360" w:hanging="360"/>
        <w:jc w:val="both"/>
        <w:rPr>
          <w:rFonts w:ascii="Arial" w:hAnsi="Arial" w:cs="Arial"/>
          <w:sz w:val="24"/>
          <w:lang w:val="en-GB"/>
        </w:rPr>
      </w:pPr>
      <w:r w:rsidRPr="009E0528">
        <w:rPr>
          <w:rFonts w:ascii="Arial" w:hAnsi="Arial" w:cs="Arial"/>
          <w:sz w:val="24"/>
          <w:lang w:val="en-GB"/>
        </w:rPr>
        <w:t>[7]</w:t>
      </w:r>
      <w:r w:rsidRPr="009E0528">
        <w:rPr>
          <w:rFonts w:ascii="Arial" w:hAnsi="Arial" w:cs="Arial"/>
          <w:sz w:val="24"/>
          <w:lang w:val="en-GB"/>
        </w:rPr>
        <w:tab/>
      </w:r>
      <w:r w:rsidR="004A5985" w:rsidRPr="00576ECA">
        <w:rPr>
          <w:rFonts w:ascii="Arial" w:hAnsi="Arial" w:cs="Arial"/>
          <w:noProof/>
          <w:sz w:val="24"/>
          <w:lang w:val="en-ZA" w:eastAsia="en-ZA"/>
        </w:rPr>
        <w:t xml:space="preserve">Initially, the Defendants took issue with the Tribunal’s jurisdiction to set aside the contracts. They contended that the Tribunal is not a court of law. Thus, it lacks jurisdiction to review and pronounce on the constitutionality of the contracts in terms of section 172(1) of the Constitution. The issue was determined on the basis of the parties’ oral and legal submissions. In a judgment handed down on 26 February 2021, </w:t>
      </w:r>
      <w:r w:rsidR="004A5985" w:rsidRPr="00576ECA">
        <w:rPr>
          <w:rFonts w:ascii="Arial" w:hAnsi="Arial" w:cs="Arial"/>
          <w:noProof/>
          <w:sz w:val="24"/>
          <w:lang w:val="en-ZA" w:eastAsia="en-ZA"/>
        </w:rPr>
        <w:lastRenderedPageBreak/>
        <w:t xml:space="preserve">the Tribunal dismissed the point of law and found that the Tribunal is a court of law with the status of the High Court as envisaged in section 166(e) of the Constitution and, has juridisction to declare the contracts unconstitutional in terms of section 172(1).    </w:t>
      </w:r>
    </w:p>
    <w:p w:rsidR="004A5985" w:rsidRPr="0038371F" w:rsidRDefault="004A5985" w:rsidP="004A5985">
      <w:pPr>
        <w:pStyle w:val="ListParagraph"/>
        <w:rPr>
          <w:rFonts w:ascii="Arial" w:hAnsi="Arial" w:cs="Arial"/>
          <w:sz w:val="24"/>
        </w:rPr>
      </w:pPr>
    </w:p>
    <w:p w:rsidR="004A5985" w:rsidRPr="00576ECA" w:rsidRDefault="00576ECA" w:rsidP="00576ECA">
      <w:pPr>
        <w:spacing w:after="0" w:line="480" w:lineRule="auto"/>
        <w:ind w:left="360" w:hanging="360"/>
        <w:jc w:val="both"/>
        <w:rPr>
          <w:rFonts w:ascii="Arial" w:hAnsi="Arial" w:cs="Arial"/>
          <w:sz w:val="24"/>
        </w:rPr>
      </w:pPr>
      <w:r w:rsidRPr="0038371F">
        <w:rPr>
          <w:rFonts w:ascii="Arial" w:hAnsi="Arial" w:cs="Arial"/>
          <w:sz w:val="24"/>
        </w:rPr>
        <w:t>[8]</w:t>
      </w:r>
      <w:r w:rsidRPr="0038371F">
        <w:rPr>
          <w:rFonts w:ascii="Arial" w:hAnsi="Arial" w:cs="Arial"/>
          <w:sz w:val="24"/>
        </w:rPr>
        <w:tab/>
      </w:r>
      <w:r w:rsidR="004A5985" w:rsidRPr="00576ECA">
        <w:rPr>
          <w:rFonts w:ascii="Arial" w:hAnsi="Arial" w:cs="Arial"/>
          <w:sz w:val="24"/>
        </w:rPr>
        <w:t xml:space="preserve">This ruling led to the contracts being set aside by agreement between the parties. Without admitting any malfeasance on their part, the Defendants conceded the review. </w:t>
      </w:r>
      <w:r w:rsidR="004A5985" w:rsidRPr="00576ECA">
        <w:rPr>
          <w:rFonts w:ascii="Arial" w:hAnsi="Arial" w:cs="Arial"/>
          <w:sz w:val="24"/>
          <w:lang w:val="en-GB"/>
        </w:rPr>
        <w:t>On 15 July 2021, the Tribunal granted the order below by agreement between the parties:</w:t>
      </w:r>
    </w:p>
    <w:p w:rsidR="004A5985" w:rsidRPr="0038371F" w:rsidRDefault="004A5985" w:rsidP="004A5985">
      <w:pPr>
        <w:spacing w:before="480" w:after="480" w:line="240" w:lineRule="auto"/>
        <w:ind w:left="360"/>
        <w:jc w:val="both"/>
        <w:rPr>
          <w:rFonts w:ascii="Arial" w:hAnsi="Arial" w:cs="Arial"/>
          <w:i/>
          <w:sz w:val="24"/>
          <w:szCs w:val="24"/>
        </w:rPr>
      </w:pPr>
      <w:r w:rsidRPr="0038371F">
        <w:rPr>
          <w:rFonts w:ascii="Arial" w:hAnsi="Arial" w:cs="Arial"/>
          <w:i/>
          <w:sz w:val="24"/>
          <w:szCs w:val="24"/>
        </w:rPr>
        <w:t>“The contracts entered into between second applicant and the first and second respondents’ respectively is  declared invalid in terms of Section 172(1)(a) of the Constitution due to non-compliance with Section 217 of the Constitution and in particular that the emergency deviation from the prescribed procurement process in terms of Treasury Regulation 16A 6.4; 16A. 6.1 and Regulation 11 of the Disaster Management Act 57 of 2002 did not comply with the procedural requirements that had to be fo</w:t>
      </w:r>
      <w:r>
        <w:rPr>
          <w:rFonts w:ascii="Arial" w:hAnsi="Arial" w:cs="Arial"/>
          <w:i/>
          <w:sz w:val="24"/>
          <w:szCs w:val="24"/>
        </w:rPr>
        <w:t>llowed by the second applicant”</w:t>
      </w:r>
    </w:p>
    <w:p w:rsidR="004A5985" w:rsidRPr="0038371F" w:rsidRDefault="004A5985" w:rsidP="004A5985">
      <w:pPr>
        <w:pStyle w:val="ListParagraph"/>
        <w:spacing w:after="0" w:line="240" w:lineRule="auto"/>
        <w:ind w:left="360"/>
        <w:jc w:val="both"/>
        <w:rPr>
          <w:rFonts w:ascii="Arial" w:hAnsi="Arial" w:cs="Arial"/>
          <w:sz w:val="24"/>
        </w:rPr>
      </w:pPr>
    </w:p>
    <w:p w:rsidR="004A5985"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[9]</w:t>
      </w:r>
      <w:r>
        <w:rPr>
          <w:rFonts w:ascii="Arial" w:hAnsi="Arial" w:cs="Arial"/>
          <w:sz w:val="24"/>
          <w:lang w:val="en-GB"/>
        </w:rPr>
        <w:tab/>
      </w:r>
      <w:r w:rsidR="004A5985" w:rsidRPr="00576ECA">
        <w:rPr>
          <w:rFonts w:ascii="Arial" w:hAnsi="Arial" w:cs="Arial"/>
          <w:sz w:val="24"/>
        </w:rPr>
        <w:t>The parties also agreed to have the remaining disputes</w:t>
      </w:r>
      <w:r w:rsidR="00B273AA" w:rsidRPr="00576ECA">
        <w:rPr>
          <w:rFonts w:ascii="Arial" w:hAnsi="Arial" w:cs="Arial"/>
          <w:sz w:val="24"/>
          <w:szCs w:val="24"/>
        </w:rPr>
        <w:t xml:space="preserve"> subsequent to the finding of constitutional invalidity in terms of Section 172(1)(b) of the Constitution</w:t>
      </w:r>
      <w:r w:rsidR="004A5985" w:rsidRPr="00576ECA">
        <w:rPr>
          <w:rFonts w:ascii="Arial" w:hAnsi="Arial" w:cs="Arial"/>
          <w:sz w:val="24"/>
        </w:rPr>
        <w:t xml:space="preserve">, </w:t>
      </w:r>
      <w:r w:rsidR="004A5985" w:rsidRPr="00576ECA">
        <w:rPr>
          <w:rFonts w:ascii="Arial" w:hAnsi="Arial" w:cs="Arial"/>
          <w:i/>
          <w:sz w:val="24"/>
          <w:szCs w:val="24"/>
        </w:rPr>
        <w:t xml:space="preserve">including </w:t>
      </w:r>
      <w:r w:rsidR="004A5985" w:rsidRPr="00576ECA">
        <w:rPr>
          <w:rFonts w:ascii="Arial" w:hAnsi="Arial" w:cs="Arial"/>
          <w:sz w:val="24"/>
          <w:szCs w:val="24"/>
        </w:rPr>
        <w:t xml:space="preserve">the remedial powers </w:t>
      </w:r>
      <w:r w:rsidR="00B273AA" w:rsidRPr="00576ECA">
        <w:rPr>
          <w:rFonts w:ascii="Arial" w:hAnsi="Arial" w:cs="Arial"/>
          <w:sz w:val="24"/>
          <w:szCs w:val="24"/>
        </w:rPr>
        <w:t xml:space="preserve">of just and equitable relief, </w:t>
      </w:r>
      <w:r w:rsidR="004A5985" w:rsidRPr="00576ECA">
        <w:rPr>
          <w:rFonts w:ascii="Arial" w:hAnsi="Arial" w:cs="Arial"/>
          <w:sz w:val="24"/>
        </w:rPr>
        <w:t xml:space="preserve">referred to trial. </w:t>
      </w:r>
      <w:r w:rsidR="004A5985" w:rsidRPr="00576ECA">
        <w:rPr>
          <w:rFonts w:ascii="Arial" w:hAnsi="Arial" w:cs="Arial"/>
          <w:sz w:val="24"/>
          <w:lang w:val="en-GB"/>
        </w:rPr>
        <w:t>The Tribunal granted directives for the conduct of the tri</w:t>
      </w:r>
      <w:r w:rsidR="00B273AA" w:rsidRPr="00576ECA">
        <w:rPr>
          <w:rFonts w:ascii="Arial" w:hAnsi="Arial" w:cs="Arial"/>
          <w:sz w:val="24"/>
          <w:lang w:val="en-GB"/>
        </w:rPr>
        <w:t>al and</w:t>
      </w:r>
      <w:r w:rsidR="004A5985" w:rsidRPr="00576ECA">
        <w:rPr>
          <w:rFonts w:ascii="Arial" w:hAnsi="Arial" w:cs="Arial"/>
          <w:sz w:val="24"/>
          <w:lang w:val="en-GB"/>
        </w:rPr>
        <w:t xml:space="preserve"> enrolled </w:t>
      </w:r>
      <w:r w:rsidR="00B273AA" w:rsidRPr="00576ECA">
        <w:rPr>
          <w:rFonts w:ascii="Arial" w:hAnsi="Arial" w:cs="Arial"/>
          <w:sz w:val="24"/>
          <w:lang w:val="en-GB"/>
        </w:rPr>
        <w:t>it for hearing on</w:t>
      </w:r>
      <w:r w:rsidR="004A5985" w:rsidRPr="00576ECA">
        <w:rPr>
          <w:rFonts w:ascii="Arial" w:hAnsi="Arial" w:cs="Arial"/>
          <w:sz w:val="24"/>
          <w:lang w:val="en-GB"/>
        </w:rPr>
        <w:t xml:space="preserve"> 4 to 8 October 2021. </w:t>
      </w:r>
    </w:p>
    <w:p w:rsidR="004A5985" w:rsidRPr="009C20CA" w:rsidRDefault="004A5985" w:rsidP="004A5985">
      <w:pPr>
        <w:pStyle w:val="ListParagraph"/>
        <w:rPr>
          <w:rFonts w:ascii="Arial" w:hAnsi="Arial" w:cs="Arial"/>
          <w:sz w:val="24"/>
          <w:lang w:val="en-GB"/>
        </w:rPr>
      </w:pPr>
    </w:p>
    <w:p w:rsidR="004A5985" w:rsidRPr="00576ECA" w:rsidRDefault="00576ECA" w:rsidP="00576ECA">
      <w:pPr>
        <w:spacing w:line="480" w:lineRule="auto"/>
        <w:ind w:left="360" w:hanging="360"/>
        <w:jc w:val="both"/>
        <w:rPr>
          <w:rFonts w:ascii="Arial" w:hAnsi="Arial" w:cs="Arial"/>
          <w:sz w:val="24"/>
          <w:lang w:val="en-GB"/>
        </w:rPr>
      </w:pPr>
      <w:r w:rsidRPr="0038371F">
        <w:rPr>
          <w:rFonts w:ascii="Arial" w:hAnsi="Arial" w:cs="Arial"/>
          <w:sz w:val="24"/>
          <w:lang w:val="en-GB"/>
        </w:rPr>
        <w:t>[10]</w:t>
      </w:r>
      <w:r w:rsidRPr="0038371F">
        <w:rPr>
          <w:rFonts w:ascii="Arial" w:hAnsi="Arial" w:cs="Arial"/>
          <w:sz w:val="24"/>
          <w:lang w:val="en-GB"/>
        </w:rPr>
        <w:tab/>
      </w:r>
      <w:r w:rsidR="004A5985" w:rsidRPr="00576ECA">
        <w:rPr>
          <w:rFonts w:ascii="Arial" w:hAnsi="Arial" w:cs="Arial"/>
          <w:sz w:val="24"/>
          <w:lang w:val="en-GB"/>
        </w:rPr>
        <w:t>At the Judicial Case Management meeting held on 20 September 2021, the SIU through its counsel informed the Tribunal that it will not be filing an expert report and that it will argue its case on the basis of the Defendants’ expert report. Both parties assured the Tribunal that they were ready for trial.</w:t>
      </w:r>
    </w:p>
    <w:p w:rsidR="004A5985" w:rsidRPr="0038371F" w:rsidRDefault="004A5985" w:rsidP="004A5985">
      <w:pPr>
        <w:pStyle w:val="ListParagraph"/>
        <w:rPr>
          <w:rFonts w:ascii="Arial" w:hAnsi="Arial" w:cs="Arial"/>
          <w:sz w:val="24"/>
          <w:lang w:val="en-GB"/>
        </w:rPr>
      </w:pPr>
    </w:p>
    <w:p w:rsidR="004A5985" w:rsidRPr="00576ECA" w:rsidRDefault="00576ECA" w:rsidP="00576ECA">
      <w:pPr>
        <w:spacing w:line="480" w:lineRule="auto"/>
        <w:ind w:left="360" w:hanging="360"/>
        <w:jc w:val="both"/>
        <w:rPr>
          <w:rFonts w:ascii="Arial" w:hAnsi="Arial" w:cs="Arial"/>
          <w:sz w:val="24"/>
          <w:lang w:val="en-GB"/>
        </w:rPr>
      </w:pPr>
      <w:r w:rsidRPr="0038371F">
        <w:rPr>
          <w:rFonts w:ascii="Arial" w:hAnsi="Arial" w:cs="Arial"/>
          <w:sz w:val="24"/>
          <w:lang w:val="en-GB"/>
        </w:rPr>
        <w:lastRenderedPageBreak/>
        <w:t>[11]</w:t>
      </w:r>
      <w:r w:rsidRPr="0038371F">
        <w:rPr>
          <w:rFonts w:ascii="Arial" w:hAnsi="Arial" w:cs="Arial"/>
          <w:sz w:val="24"/>
          <w:lang w:val="en-GB"/>
        </w:rPr>
        <w:tab/>
      </w:r>
      <w:r w:rsidR="004A5985" w:rsidRPr="00576ECA">
        <w:rPr>
          <w:rFonts w:ascii="Arial" w:hAnsi="Arial" w:cs="Arial"/>
          <w:sz w:val="24"/>
          <w:lang w:val="en-GB"/>
        </w:rPr>
        <w:t xml:space="preserve">In a surprising twist, on 1 October 2021, the SIU filed a postponement application. After hearing oral argument on 4 October 2021, I dismissed the application with reasons to follow. </w:t>
      </w:r>
    </w:p>
    <w:p w:rsidR="004A5985" w:rsidRPr="0038371F" w:rsidRDefault="004A5985" w:rsidP="004A5985">
      <w:pPr>
        <w:pStyle w:val="ListParagraph"/>
        <w:rPr>
          <w:rFonts w:ascii="Arial" w:hAnsi="Arial" w:cs="Arial"/>
          <w:sz w:val="24"/>
          <w:lang w:val="en-GB"/>
        </w:rPr>
      </w:pPr>
    </w:p>
    <w:p w:rsidR="004A5985" w:rsidRPr="00576ECA" w:rsidRDefault="00576ECA" w:rsidP="00576ECA">
      <w:pPr>
        <w:spacing w:after="0" w:line="480" w:lineRule="auto"/>
        <w:ind w:left="360" w:hanging="360"/>
        <w:jc w:val="both"/>
        <w:rPr>
          <w:rFonts w:ascii="Arial" w:hAnsi="Arial" w:cs="Arial"/>
          <w:sz w:val="24"/>
          <w:lang w:val="en-GB"/>
        </w:rPr>
      </w:pPr>
      <w:r>
        <w:rPr>
          <w:rFonts w:ascii="Arial" w:hAnsi="Arial" w:cs="Arial"/>
          <w:sz w:val="24"/>
          <w:lang w:val="en-GB"/>
        </w:rPr>
        <w:t>[12]</w:t>
      </w:r>
      <w:r>
        <w:rPr>
          <w:rFonts w:ascii="Arial" w:hAnsi="Arial" w:cs="Arial"/>
          <w:sz w:val="24"/>
          <w:lang w:val="en-GB"/>
        </w:rPr>
        <w:tab/>
      </w:r>
      <w:r w:rsidR="004A5985" w:rsidRPr="00576ECA">
        <w:rPr>
          <w:rFonts w:ascii="Arial" w:hAnsi="Arial" w:cs="Arial"/>
          <w:sz w:val="24"/>
          <w:lang w:val="en-GB"/>
        </w:rPr>
        <w:t>Reasons for the dismissal of the postponement application are a sensible place to start tackling this judgment. Then</w:t>
      </w:r>
      <w:r w:rsidR="00B273AA" w:rsidRPr="00576ECA">
        <w:rPr>
          <w:rFonts w:ascii="Arial" w:hAnsi="Arial" w:cs="Arial"/>
          <w:sz w:val="24"/>
          <w:lang w:val="en-GB"/>
        </w:rPr>
        <w:t>,</w:t>
      </w:r>
      <w:r w:rsidR="004A5985" w:rsidRPr="00576ECA">
        <w:rPr>
          <w:rFonts w:ascii="Arial" w:hAnsi="Arial" w:cs="Arial"/>
          <w:sz w:val="24"/>
          <w:lang w:val="en-GB"/>
        </w:rPr>
        <w:t xml:space="preserve"> I elaborate on the parties’ respective cases as pleaded. Thereafter, with reference to the applicable legal principles and the relevant judicial authorities, I determine and formulate the just an equitable remedy. Then</w:t>
      </w:r>
      <w:r w:rsidR="00B273AA" w:rsidRPr="00576ECA">
        <w:rPr>
          <w:rFonts w:ascii="Arial" w:hAnsi="Arial" w:cs="Arial"/>
          <w:sz w:val="24"/>
          <w:lang w:val="en-GB"/>
        </w:rPr>
        <w:t>,</w:t>
      </w:r>
      <w:r w:rsidR="004A5985" w:rsidRPr="00576ECA">
        <w:rPr>
          <w:rFonts w:ascii="Arial" w:hAnsi="Arial" w:cs="Arial"/>
          <w:sz w:val="24"/>
          <w:lang w:val="en-GB"/>
        </w:rPr>
        <w:t xml:space="preserve"> I deal with the question of costs. Lastly, I set out the Tribunal’s order.  </w:t>
      </w:r>
    </w:p>
    <w:p w:rsidR="00914817" w:rsidRDefault="00914817" w:rsidP="00914817">
      <w:pPr>
        <w:spacing w:after="0" w:line="480" w:lineRule="auto"/>
        <w:jc w:val="both"/>
        <w:rPr>
          <w:rFonts w:ascii="Arial" w:hAnsi="Arial" w:cs="Arial"/>
          <w:sz w:val="24"/>
          <w:lang w:val="en-GB"/>
        </w:rPr>
      </w:pPr>
    </w:p>
    <w:p w:rsidR="00167F80" w:rsidRPr="00167F80" w:rsidRDefault="00167F80" w:rsidP="00167F80">
      <w:pPr>
        <w:spacing w:after="257"/>
        <w:ind w:left="267"/>
        <w:rPr>
          <w:rFonts w:ascii="Arial" w:eastAsia="Arial" w:hAnsi="Arial" w:cs="Arial"/>
          <w:color w:val="000000"/>
          <w:sz w:val="24"/>
          <w:lang w:val="en-ZA" w:eastAsia="en-ZA"/>
        </w:rPr>
      </w:pPr>
      <w:r w:rsidRPr="00167F80">
        <w:rPr>
          <w:rFonts w:ascii="Arial" w:eastAsia="Arial" w:hAnsi="Arial" w:cs="Arial"/>
          <w:b/>
          <w:color w:val="000000"/>
          <w:sz w:val="24"/>
          <w:lang w:val="en-ZA" w:eastAsia="en-ZA"/>
        </w:rPr>
        <w:t xml:space="preserve">REASONS FOR THE DISMISSAL OF THE POSTPONEMENT APPLICATION </w:t>
      </w:r>
    </w:p>
    <w:p w:rsidR="00167F80" w:rsidRPr="00167F80" w:rsidRDefault="00167F80" w:rsidP="00167F80">
      <w:pPr>
        <w:spacing w:after="0"/>
        <w:ind w:left="987"/>
        <w:rPr>
          <w:rFonts w:ascii="Arial" w:eastAsia="Arial" w:hAnsi="Arial" w:cs="Arial"/>
          <w:color w:val="000000"/>
          <w:sz w:val="24"/>
          <w:lang w:val="en-ZA" w:eastAsia="en-ZA"/>
        </w:rPr>
      </w:pPr>
      <w:r w:rsidRPr="00167F80">
        <w:rPr>
          <w:rFonts w:ascii="Arial" w:eastAsia="Arial" w:hAnsi="Arial" w:cs="Arial"/>
          <w:color w:val="000000"/>
          <w:sz w:val="24"/>
          <w:lang w:val="en-ZA" w:eastAsia="en-ZA"/>
        </w:rPr>
        <w:t xml:space="preserve"> </w:t>
      </w: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[13]</w:t>
      </w:r>
      <w:r w:rsidRPr="00167F80">
        <w:rPr>
          <w:rFonts w:ascii="Arial" w:eastAsia="Times New Roman" w:hAnsi="Arial" w:cs="Arial"/>
          <w:color w:val="000000"/>
          <w:sz w:val="24"/>
          <w:szCs w:val="20"/>
          <w:lang w:val="en-ZA" w:eastAsia="en-ZA"/>
        </w:rPr>
        <w:tab/>
      </w:r>
      <w:r w:rsidR="00167F80" w:rsidRPr="00167F80">
        <w:rPr>
          <w:rFonts w:ascii="Arial" w:eastAsia="Times New Roman" w:hAnsi="Arial" w:cs="Arial"/>
          <w:color w:val="000000"/>
          <w:sz w:val="24"/>
          <w:szCs w:val="20"/>
          <w:lang w:val="en-ZA" w:eastAsia="en-ZA"/>
        </w:rPr>
        <w:t xml:space="preserve">To determine the Plaintiffs’ postponement application, I resorted to the trite principles set out below. </w:t>
      </w:r>
    </w:p>
    <w:p w:rsidR="00167F80" w:rsidRPr="00167F80" w:rsidRDefault="00167F80" w:rsidP="00167F80">
      <w:pPr>
        <w:spacing w:before="60" w:after="0" w:line="480" w:lineRule="auto"/>
        <w:ind w:left="627"/>
        <w:contextualSpacing/>
        <w:jc w:val="both"/>
        <w:rPr>
          <w:rFonts w:ascii="Arial" w:eastAsia="Times New Roman" w:hAnsi="Arial" w:cs="Arial"/>
          <w:color w:val="000000"/>
          <w:sz w:val="24"/>
          <w:szCs w:val="20"/>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[14]</w:t>
      </w:r>
      <w:r w:rsidRPr="00167F80">
        <w:rPr>
          <w:rFonts w:ascii="Arial" w:eastAsia="Times New Roman" w:hAnsi="Arial" w:cs="Arial"/>
          <w:color w:val="000000"/>
          <w:sz w:val="24"/>
          <w:szCs w:val="20"/>
          <w:lang w:val="en-ZA" w:eastAsia="en-ZA"/>
        </w:rPr>
        <w:tab/>
      </w:r>
      <w:r w:rsidR="00167F80" w:rsidRPr="00167F80">
        <w:rPr>
          <w:rFonts w:ascii="Arial" w:eastAsia="Times New Roman" w:hAnsi="Arial" w:cs="Arial"/>
          <w:color w:val="000000"/>
          <w:sz w:val="24"/>
          <w:szCs w:val="20"/>
          <w:lang w:val="en-ZA" w:eastAsia="en-ZA"/>
        </w:rPr>
        <w:t>An application for a postponement must be made timeously as soon as the circumstances which might justify such an application become known to the applicant.</w:t>
      </w:r>
      <w:r w:rsidR="00167F80" w:rsidRPr="00167F80">
        <w:rPr>
          <w:rFonts w:ascii="Arial" w:eastAsia="Times New Roman" w:hAnsi="Arial" w:cs="Arial"/>
          <w:color w:val="000000"/>
          <w:sz w:val="24"/>
          <w:szCs w:val="20"/>
          <w:vertAlign w:val="superscript"/>
          <w:lang w:val="en-ZA" w:eastAsia="en-ZA"/>
        </w:rPr>
        <w:footnoteReference w:id="2"/>
      </w:r>
      <w:r w:rsidR="00167F80" w:rsidRPr="00167F80">
        <w:rPr>
          <w:rFonts w:ascii="Arial" w:eastAsia="Times New Roman" w:hAnsi="Arial" w:cs="Arial"/>
          <w:color w:val="000000"/>
          <w:sz w:val="24"/>
          <w:szCs w:val="20"/>
          <w:lang w:val="en-ZA" w:eastAsia="en-ZA"/>
        </w:rPr>
        <w:t xml:space="preserve"> However, where, fairness and justice</w:t>
      </w:r>
      <w:r w:rsidR="00B273AA">
        <w:rPr>
          <w:rFonts w:ascii="Arial" w:eastAsia="Times New Roman" w:hAnsi="Arial" w:cs="Arial"/>
          <w:color w:val="000000"/>
          <w:sz w:val="24"/>
          <w:szCs w:val="20"/>
          <w:lang w:val="en-ZA" w:eastAsia="en-ZA"/>
        </w:rPr>
        <w:t xml:space="preserve"> justifies a postponement, the C</w:t>
      </w:r>
      <w:r w:rsidR="00167F80" w:rsidRPr="00167F80">
        <w:rPr>
          <w:rFonts w:ascii="Arial" w:eastAsia="Times New Roman" w:hAnsi="Arial" w:cs="Arial"/>
          <w:color w:val="000000"/>
          <w:sz w:val="24"/>
          <w:szCs w:val="20"/>
          <w:lang w:val="en-ZA" w:eastAsia="en-ZA"/>
        </w:rPr>
        <w:t>ourt may in an appropriate case allow an application for postponement, even if the application was not timeously made.</w:t>
      </w:r>
      <w:r w:rsidR="00167F80" w:rsidRPr="00167F80">
        <w:rPr>
          <w:rFonts w:ascii="Arial" w:eastAsia="Times New Roman" w:hAnsi="Arial" w:cs="Arial"/>
          <w:color w:val="000000"/>
          <w:sz w:val="24"/>
          <w:szCs w:val="20"/>
          <w:vertAlign w:val="superscript"/>
          <w:lang w:val="en-ZA" w:eastAsia="en-ZA"/>
        </w:rPr>
        <w:footnoteReference w:id="3"/>
      </w:r>
      <w:r w:rsidR="00167F80" w:rsidRPr="00167F80">
        <w:rPr>
          <w:rFonts w:ascii="Arial" w:eastAsia="Times New Roman" w:hAnsi="Arial" w:cs="Arial"/>
          <w:color w:val="000000"/>
          <w:sz w:val="24"/>
          <w:szCs w:val="20"/>
          <w:lang w:val="en-ZA" w:eastAsia="en-ZA"/>
        </w:rPr>
        <w:t xml:space="preserve">  </w:t>
      </w:r>
    </w:p>
    <w:p w:rsidR="00167F80" w:rsidRPr="00167F80" w:rsidRDefault="00167F80" w:rsidP="00167F80">
      <w:pPr>
        <w:spacing w:after="3" w:line="480" w:lineRule="auto"/>
        <w:ind w:left="720" w:right="2" w:hanging="637"/>
        <w:contextualSpacing/>
        <w:jc w:val="both"/>
        <w:rPr>
          <w:rFonts w:ascii="Arial" w:eastAsia="Times New Roman" w:hAnsi="Arial" w:cs="Arial"/>
          <w:color w:val="000000"/>
          <w:sz w:val="24"/>
          <w:szCs w:val="20"/>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lastRenderedPageBreak/>
        <w:t>[15]</w:t>
      </w:r>
      <w:r w:rsidRPr="00167F80">
        <w:rPr>
          <w:rFonts w:ascii="Arial" w:eastAsia="Times New Roman" w:hAnsi="Arial" w:cs="Arial"/>
          <w:color w:val="000000"/>
          <w:sz w:val="24"/>
          <w:szCs w:val="20"/>
          <w:lang w:val="en-ZA" w:eastAsia="en-ZA"/>
        </w:rPr>
        <w:tab/>
      </w:r>
      <w:r w:rsidR="00167F80" w:rsidRPr="00167F80">
        <w:rPr>
          <w:rFonts w:ascii="Arial" w:eastAsia="Times New Roman" w:hAnsi="Arial" w:cs="Arial"/>
          <w:color w:val="000000"/>
          <w:sz w:val="24"/>
          <w:szCs w:val="20"/>
          <w:lang w:val="en-ZA" w:eastAsia="en-ZA"/>
        </w:rPr>
        <w:t>The trial Judge has a discretion to grant or refuse an application for a postponement.</w:t>
      </w:r>
      <w:r w:rsidR="00167F80" w:rsidRPr="00167F80">
        <w:rPr>
          <w:rFonts w:ascii="Arial" w:eastAsia="Times New Roman" w:hAnsi="Arial" w:cs="Arial"/>
          <w:color w:val="000000"/>
          <w:sz w:val="24"/>
          <w:szCs w:val="20"/>
          <w:vertAlign w:val="superscript"/>
          <w:lang w:val="en-ZA" w:eastAsia="en-ZA"/>
        </w:rPr>
        <w:footnoteReference w:id="4"/>
      </w:r>
      <w:r w:rsidR="00167F80" w:rsidRPr="00167F80">
        <w:rPr>
          <w:rFonts w:ascii="Arial" w:eastAsia="Times New Roman" w:hAnsi="Arial" w:cs="Arial"/>
          <w:color w:val="000000"/>
          <w:sz w:val="24"/>
          <w:szCs w:val="20"/>
          <w:lang w:val="en-ZA" w:eastAsia="en-ZA"/>
        </w:rPr>
        <w:t xml:space="preserve"> The discretion must be exercised judicially. It should not be exercised capriciously or upon any wrong principle, but for substantial reasons.</w:t>
      </w:r>
      <w:r w:rsidR="00167F80" w:rsidRPr="00167F80">
        <w:rPr>
          <w:rFonts w:ascii="Arial" w:eastAsia="Times New Roman" w:hAnsi="Arial" w:cs="Arial"/>
          <w:color w:val="000000"/>
          <w:sz w:val="24"/>
          <w:szCs w:val="20"/>
          <w:vertAlign w:val="superscript"/>
          <w:lang w:val="en-ZA" w:eastAsia="en-ZA"/>
        </w:rPr>
        <w:footnoteReference w:id="5"/>
      </w:r>
      <w:r w:rsidR="00167F80" w:rsidRPr="00167F80">
        <w:rPr>
          <w:rFonts w:ascii="Arial" w:eastAsia="Times New Roman" w:hAnsi="Arial" w:cs="Arial"/>
          <w:color w:val="000000"/>
          <w:sz w:val="24"/>
          <w:szCs w:val="20"/>
          <w:lang w:val="en-ZA" w:eastAsia="en-ZA"/>
        </w:rPr>
        <w:t> </w:t>
      </w:r>
      <w:bookmarkStart w:id="1" w:name="0-0-0-23993"/>
      <w:bookmarkEnd w:id="1"/>
      <w:r w:rsidR="00167F80" w:rsidRPr="00167F80">
        <w:rPr>
          <w:rFonts w:ascii="Arial" w:eastAsia="Arial" w:hAnsi="Arial" w:cs="Arial"/>
          <w:color w:val="000000"/>
          <w:sz w:val="24"/>
          <w:szCs w:val="20"/>
          <w:lang w:val="en-ZA" w:eastAsia="en-ZA"/>
        </w:rPr>
        <w:t>Considerations of prejudice will ordinarily constitute the dominant component of the total structure in te</w:t>
      </w:r>
      <w:r w:rsidR="00B273AA">
        <w:rPr>
          <w:rFonts w:ascii="Arial" w:eastAsia="Arial" w:hAnsi="Arial" w:cs="Arial"/>
          <w:color w:val="000000"/>
          <w:sz w:val="24"/>
          <w:szCs w:val="20"/>
          <w:lang w:val="en-ZA" w:eastAsia="en-ZA"/>
        </w:rPr>
        <w:t>rms of which the discretion of the</w:t>
      </w:r>
      <w:r w:rsidR="00167F80" w:rsidRPr="00167F80">
        <w:rPr>
          <w:rFonts w:ascii="Arial" w:eastAsia="Arial" w:hAnsi="Arial" w:cs="Arial"/>
          <w:color w:val="000000"/>
          <w:sz w:val="24"/>
          <w:szCs w:val="20"/>
          <w:lang w:val="en-ZA" w:eastAsia="en-ZA"/>
        </w:rPr>
        <w:t xml:space="preserve"> Court will be exercised.</w:t>
      </w:r>
      <w:r w:rsidR="00167F80" w:rsidRPr="00167F80">
        <w:rPr>
          <w:rFonts w:ascii="Arial" w:eastAsia="Arial" w:hAnsi="Arial" w:cs="Arial"/>
          <w:color w:val="000000"/>
          <w:sz w:val="24"/>
          <w:szCs w:val="20"/>
          <w:vertAlign w:val="superscript"/>
          <w:lang w:val="en-ZA" w:eastAsia="en-ZA"/>
        </w:rPr>
        <w:footnoteReference w:id="6"/>
      </w:r>
      <w:r w:rsidR="00167F80" w:rsidRPr="00167F80">
        <w:rPr>
          <w:rFonts w:ascii="Arial" w:eastAsia="Arial" w:hAnsi="Arial" w:cs="Arial"/>
          <w:color w:val="000000"/>
          <w:sz w:val="24"/>
          <w:szCs w:val="20"/>
          <w:lang w:val="en-ZA" w:eastAsia="en-ZA"/>
        </w:rPr>
        <w:t>  The Court should weigh the prejudi</w:t>
      </w:r>
      <w:r w:rsidR="00B273AA">
        <w:rPr>
          <w:rFonts w:ascii="Arial" w:eastAsia="Arial" w:hAnsi="Arial" w:cs="Arial"/>
          <w:color w:val="000000"/>
          <w:sz w:val="24"/>
          <w:szCs w:val="20"/>
          <w:lang w:val="en-ZA" w:eastAsia="en-ZA"/>
        </w:rPr>
        <w:t>ce which will be caused to the R</w:t>
      </w:r>
      <w:r w:rsidR="00167F80" w:rsidRPr="00167F80">
        <w:rPr>
          <w:rFonts w:ascii="Arial" w:eastAsia="Arial" w:hAnsi="Arial" w:cs="Arial"/>
          <w:color w:val="000000"/>
          <w:sz w:val="24"/>
          <w:szCs w:val="20"/>
          <w:lang w:val="en-ZA" w:eastAsia="en-ZA"/>
        </w:rPr>
        <w:t>espondent if the postponement is granted against the prejudi</w:t>
      </w:r>
      <w:r w:rsidR="00B273AA">
        <w:rPr>
          <w:rFonts w:ascii="Arial" w:eastAsia="Arial" w:hAnsi="Arial" w:cs="Arial"/>
          <w:color w:val="000000"/>
          <w:sz w:val="24"/>
          <w:szCs w:val="20"/>
          <w:lang w:val="en-ZA" w:eastAsia="en-ZA"/>
        </w:rPr>
        <w:t>ce which will be caused to the A</w:t>
      </w:r>
      <w:r w:rsidR="00167F80" w:rsidRPr="00167F80">
        <w:rPr>
          <w:rFonts w:ascii="Arial" w:eastAsia="Arial" w:hAnsi="Arial" w:cs="Arial"/>
          <w:color w:val="000000"/>
          <w:sz w:val="24"/>
          <w:szCs w:val="20"/>
          <w:lang w:val="en-ZA" w:eastAsia="en-ZA"/>
        </w:rPr>
        <w:t>pplicant if it is not.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[16]</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Various factors in the postponement application repelled the exercise of the Tribunal’s discretion in the Plaintiffs</w:t>
      </w:r>
      <w:r w:rsidR="00D502A1">
        <w:rPr>
          <w:rFonts w:ascii="Arial" w:eastAsia="Arial" w:hAnsi="Arial" w:cs="Arial"/>
          <w:color w:val="000000"/>
          <w:sz w:val="24"/>
          <w:lang w:val="en-ZA" w:eastAsia="en-ZA"/>
        </w:rPr>
        <w:t>’</w:t>
      </w:r>
      <w:r w:rsidR="00167F80" w:rsidRPr="00167F80">
        <w:rPr>
          <w:rFonts w:ascii="Arial" w:eastAsia="Arial" w:hAnsi="Arial" w:cs="Arial"/>
          <w:color w:val="000000"/>
          <w:sz w:val="24"/>
          <w:lang w:val="en-ZA" w:eastAsia="en-ZA"/>
        </w:rPr>
        <w:t xml:space="preserve"> favour. </w:t>
      </w: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[17]</w:t>
      </w:r>
      <w:r w:rsidRPr="00167F80">
        <w:rPr>
          <w:rFonts w:ascii="Arial" w:eastAsia="Times New Roman" w:hAnsi="Arial" w:cs="Arial"/>
          <w:color w:val="000000"/>
          <w:sz w:val="24"/>
          <w:szCs w:val="20"/>
          <w:lang w:val="en-ZA" w:eastAsia="en-ZA"/>
        </w:rPr>
        <w:tab/>
      </w:r>
      <w:r w:rsidR="009F55CA">
        <w:rPr>
          <w:rFonts w:ascii="Arial" w:eastAsia="Arial" w:hAnsi="Arial" w:cs="Arial"/>
          <w:color w:val="000000"/>
          <w:sz w:val="24"/>
          <w:lang w:val="en-ZA" w:eastAsia="en-ZA"/>
        </w:rPr>
        <w:t>T</w:t>
      </w:r>
      <w:r w:rsidR="00167F80" w:rsidRPr="00167F80">
        <w:rPr>
          <w:rFonts w:ascii="Arial" w:eastAsia="Arial" w:hAnsi="Arial" w:cs="Arial"/>
          <w:color w:val="000000"/>
          <w:sz w:val="24"/>
          <w:lang w:val="en-ZA" w:eastAsia="en-ZA"/>
        </w:rPr>
        <w:t xml:space="preserve">he application was brought unaccountably late. The reasons for the postponement are not satisfactorily explained. The Plaintiffs have also not established that they will suffer prejudice if the application is not granted.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[18]</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The Plaintiffs sought a postponement of the trial in order</w:t>
      </w:r>
      <w:r w:rsidR="00B273AA">
        <w:rPr>
          <w:rFonts w:ascii="Arial" w:eastAsia="Arial" w:hAnsi="Arial" w:cs="Arial"/>
          <w:color w:val="000000"/>
          <w:sz w:val="24"/>
          <w:lang w:val="en-ZA" w:eastAsia="en-ZA"/>
        </w:rPr>
        <w:t xml:space="preserve"> to file an expert report. In the</w:t>
      </w:r>
      <w:r w:rsidR="00167F80" w:rsidRPr="00167F80">
        <w:rPr>
          <w:rFonts w:ascii="Arial" w:eastAsia="Arial" w:hAnsi="Arial" w:cs="Arial"/>
          <w:color w:val="000000"/>
          <w:sz w:val="24"/>
          <w:lang w:val="en-ZA" w:eastAsia="en-ZA"/>
        </w:rPr>
        <w:t xml:space="preserve"> affidavit filed in support of the applica</w:t>
      </w:r>
      <w:r w:rsidR="00B273AA">
        <w:rPr>
          <w:rFonts w:ascii="Arial" w:eastAsia="Arial" w:hAnsi="Arial" w:cs="Arial"/>
          <w:color w:val="000000"/>
          <w:sz w:val="24"/>
          <w:lang w:val="en-ZA" w:eastAsia="en-ZA"/>
        </w:rPr>
        <w:t>tion for a postponement, their A</w:t>
      </w:r>
      <w:r w:rsidR="00167F80" w:rsidRPr="00167F80">
        <w:rPr>
          <w:rFonts w:ascii="Arial" w:eastAsia="Arial" w:hAnsi="Arial" w:cs="Arial"/>
          <w:color w:val="000000"/>
          <w:sz w:val="24"/>
          <w:lang w:val="en-ZA" w:eastAsia="en-ZA"/>
        </w:rPr>
        <w:t>ttorney explained that she c</w:t>
      </w:r>
      <w:r w:rsidR="00B273AA">
        <w:rPr>
          <w:rFonts w:ascii="Arial" w:eastAsia="Arial" w:hAnsi="Arial" w:cs="Arial"/>
          <w:color w:val="000000"/>
          <w:sz w:val="24"/>
          <w:lang w:val="en-ZA" w:eastAsia="en-ZA"/>
        </w:rPr>
        <w:t>ould not file the report by 21 September 2021</w:t>
      </w:r>
      <w:r w:rsidR="00167F80" w:rsidRPr="00167F80">
        <w:rPr>
          <w:rFonts w:ascii="Arial" w:eastAsia="Arial" w:hAnsi="Arial" w:cs="Arial"/>
          <w:color w:val="000000"/>
          <w:sz w:val="24"/>
          <w:lang w:val="en-ZA" w:eastAsia="en-ZA"/>
        </w:rPr>
        <w:t xml:space="preserve"> because the experts that the SIU procured to compile a technical report for the Beit Bridge Border Post Project were not willing to testify in the trial for fear of their lives. They also did not want to risk placing their corporate entity into disrepute.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lastRenderedPageBreak/>
        <w:t>[19]</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 xml:space="preserve">These turn of events are regrettable because the SIU is heavily reliant on witnesses to fulfil its statutory mandate. Without the participation of witnesses, the State’s efforts to recover monies lost to the fiscus due to procurement irregularities and other unlawful acquisitive acts are doomed.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[20]</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 xml:space="preserve">At the 20 September Judicial Case Management meeting, the Plaintiffs undertook to rely on the reports filed by the Defendants expert. In the postponement application, the Plaintiffs have not explicitly explained how they intended conducting the trial on the basis of the Defendants’ expert report and the reason why they changed the stance they adopted at the Judicial Case Management meeting. The Plaintiffs ought to have been more forthright about the evidence of the Defendants’ expert they wished to place in dispute. </w:t>
      </w: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[21]</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There is no plausible reason why they could not meet this rudimentary requirement.  On the Plaintiffs’ own version, the technical report is already in their possession. Their attorney only experienced difficulty with obtaining the expert’s personal details and credentials for the purpose of meeting the qualification requirements for the admi</w:t>
      </w:r>
      <w:r w:rsidR="00D502A1">
        <w:rPr>
          <w:rFonts w:ascii="Arial" w:eastAsia="Arial" w:hAnsi="Arial" w:cs="Arial"/>
          <w:color w:val="000000"/>
          <w:sz w:val="24"/>
          <w:lang w:val="en-ZA" w:eastAsia="en-ZA"/>
        </w:rPr>
        <w:t>ssion of the expert.  T</w:t>
      </w:r>
      <w:r w:rsidR="00167F80" w:rsidRPr="00167F80">
        <w:rPr>
          <w:rFonts w:ascii="Arial" w:eastAsia="Arial" w:hAnsi="Arial" w:cs="Arial"/>
          <w:color w:val="000000"/>
          <w:sz w:val="24"/>
          <w:lang w:val="en-ZA" w:eastAsia="en-ZA"/>
        </w:rPr>
        <w:t>he postponement application is</w:t>
      </w:r>
      <w:r w:rsidR="00B273AA">
        <w:rPr>
          <w:rFonts w:ascii="Arial" w:eastAsia="Arial" w:hAnsi="Arial" w:cs="Arial"/>
          <w:color w:val="000000"/>
          <w:sz w:val="24"/>
          <w:lang w:val="en-ZA" w:eastAsia="en-ZA"/>
        </w:rPr>
        <w:t xml:space="preserve"> </w:t>
      </w:r>
      <w:r w:rsidR="00D502A1">
        <w:rPr>
          <w:rFonts w:ascii="Arial" w:eastAsia="Arial" w:hAnsi="Arial" w:cs="Arial"/>
          <w:color w:val="000000"/>
          <w:sz w:val="24"/>
          <w:lang w:val="en-ZA" w:eastAsia="en-ZA"/>
        </w:rPr>
        <w:t xml:space="preserve">also </w:t>
      </w:r>
      <w:r w:rsidR="00B273AA">
        <w:rPr>
          <w:rFonts w:ascii="Arial" w:eastAsia="Arial" w:hAnsi="Arial" w:cs="Arial"/>
          <w:color w:val="000000"/>
          <w:sz w:val="24"/>
          <w:lang w:val="en-ZA" w:eastAsia="en-ZA"/>
        </w:rPr>
        <w:t>silent on why the Plaintiffs’ A</w:t>
      </w:r>
      <w:r w:rsidR="00167F80" w:rsidRPr="00167F80">
        <w:rPr>
          <w:rFonts w:ascii="Arial" w:eastAsia="Arial" w:hAnsi="Arial" w:cs="Arial"/>
          <w:color w:val="000000"/>
          <w:sz w:val="24"/>
          <w:lang w:val="en-ZA" w:eastAsia="en-ZA"/>
        </w:rPr>
        <w:t>ttorney did not fi</w:t>
      </w:r>
      <w:r w:rsidR="00B273AA">
        <w:rPr>
          <w:rFonts w:ascii="Arial" w:eastAsia="Arial" w:hAnsi="Arial" w:cs="Arial"/>
          <w:color w:val="000000"/>
          <w:sz w:val="24"/>
          <w:lang w:val="en-ZA" w:eastAsia="en-ZA"/>
        </w:rPr>
        <w:t>le the</w:t>
      </w:r>
      <w:r w:rsidR="00167F80" w:rsidRPr="00167F80">
        <w:rPr>
          <w:rFonts w:ascii="Arial" w:eastAsia="Arial" w:hAnsi="Arial" w:cs="Arial"/>
          <w:color w:val="000000"/>
          <w:sz w:val="24"/>
          <w:lang w:val="en-ZA" w:eastAsia="en-ZA"/>
        </w:rPr>
        <w:t xml:space="preserve"> expert report before the </w:t>
      </w:r>
      <w:r w:rsidR="00D502A1">
        <w:rPr>
          <w:rFonts w:ascii="Arial" w:eastAsia="Arial" w:hAnsi="Arial" w:cs="Arial"/>
          <w:color w:val="000000"/>
          <w:sz w:val="24"/>
          <w:lang w:val="en-ZA" w:eastAsia="en-ZA"/>
        </w:rPr>
        <w:t xml:space="preserve">13 September 2021 </w:t>
      </w:r>
      <w:r w:rsidR="00167F80" w:rsidRPr="00167F80">
        <w:rPr>
          <w:rFonts w:ascii="Arial" w:eastAsia="Arial" w:hAnsi="Arial" w:cs="Arial"/>
          <w:color w:val="000000"/>
          <w:sz w:val="24"/>
          <w:lang w:val="en-ZA" w:eastAsia="en-ZA"/>
        </w:rPr>
        <w:t>and why it only sought the expert</w:t>
      </w:r>
      <w:r w:rsidR="00675302">
        <w:rPr>
          <w:rFonts w:ascii="Arial" w:eastAsia="Arial" w:hAnsi="Arial" w:cs="Arial"/>
          <w:color w:val="000000"/>
          <w:sz w:val="24"/>
          <w:lang w:val="en-ZA" w:eastAsia="en-ZA"/>
        </w:rPr>
        <w:t>’s</w:t>
      </w:r>
      <w:r w:rsidR="00167F80" w:rsidRPr="00167F80">
        <w:rPr>
          <w:rFonts w:ascii="Arial" w:eastAsia="Arial" w:hAnsi="Arial" w:cs="Arial"/>
          <w:color w:val="000000"/>
          <w:sz w:val="24"/>
          <w:lang w:val="en-ZA" w:eastAsia="en-ZA"/>
        </w:rPr>
        <w:t xml:space="preserve"> details a week after the due date.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[22]</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Even more problematic for the Plaintiff is the fact that</w:t>
      </w:r>
      <w:r w:rsidR="00675302">
        <w:rPr>
          <w:rFonts w:ascii="Arial" w:eastAsia="Arial" w:hAnsi="Arial" w:cs="Arial"/>
          <w:color w:val="000000"/>
          <w:sz w:val="24"/>
          <w:lang w:val="en-ZA" w:eastAsia="en-ZA"/>
        </w:rPr>
        <w:t>, consistent with the agreement reached between the parties,</w:t>
      </w:r>
      <w:r w:rsidR="00167F80" w:rsidRPr="00167F80">
        <w:rPr>
          <w:rFonts w:ascii="Arial" w:eastAsia="Arial" w:hAnsi="Arial" w:cs="Arial"/>
          <w:color w:val="000000"/>
          <w:sz w:val="24"/>
          <w:lang w:val="en-ZA" w:eastAsia="en-ZA"/>
        </w:rPr>
        <w:t xml:space="preserve"> the Defendants are also not presenting expert evidence at this stage. They are approaching the determination of just and equitable remedy </w:t>
      </w:r>
      <w:r w:rsidR="00167F80" w:rsidRPr="00167F80">
        <w:rPr>
          <w:rFonts w:ascii="Arial" w:eastAsia="Arial" w:hAnsi="Arial" w:cs="Arial"/>
          <w:color w:val="000000"/>
          <w:sz w:val="24"/>
          <w:lang w:val="en-ZA" w:eastAsia="en-ZA"/>
        </w:rPr>
        <w:lastRenderedPageBreak/>
        <w:t>purely on written and oral submis</w:t>
      </w:r>
      <w:r w:rsidR="00B273AA">
        <w:rPr>
          <w:rFonts w:ascii="Arial" w:eastAsia="Arial" w:hAnsi="Arial" w:cs="Arial"/>
          <w:color w:val="000000"/>
          <w:sz w:val="24"/>
          <w:lang w:val="en-ZA" w:eastAsia="en-ZA"/>
        </w:rPr>
        <w:t xml:space="preserve">sions. Therefore, the Plaintiffs have not established that they will </w:t>
      </w:r>
      <w:r w:rsidR="00167F80" w:rsidRPr="00167F80">
        <w:rPr>
          <w:rFonts w:ascii="Arial" w:eastAsia="Arial" w:hAnsi="Arial" w:cs="Arial"/>
          <w:color w:val="000000"/>
          <w:sz w:val="24"/>
          <w:lang w:val="en-ZA" w:eastAsia="en-ZA"/>
        </w:rPr>
        <w:t xml:space="preserve">suffer any prejudice if </w:t>
      </w:r>
      <w:r w:rsidR="00B273AA">
        <w:rPr>
          <w:rFonts w:ascii="Arial" w:eastAsia="Arial" w:hAnsi="Arial" w:cs="Arial"/>
          <w:color w:val="000000"/>
          <w:sz w:val="24"/>
          <w:lang w:val="en-ZA" w:eastAsia="en-ZA"/>
        </w:rPr>
        <w:t xml:space="preserve">the application for a postponement is refused as the Defendants </w:t>
      </w:r>
      <w:r w:rsidR="00167F80" w:rsidRPr="00167F80">
        <w:rPr>
          <w:rFonts w:ascii="Arial" w:eastAsia="Arial" w:hAnsi="Arial" w:cs="Arial"/>
          <w:color w:val="000000"/>
          <w:sz w:val="24"/>
          <w:lang w:val="en-ZA" w:eastAsia="en-ZA"/>
        </w:rPr>
        <w:t>are</w:t>
      </w:r>
      <w:r w:rsidR="00B273AA">
        <w:rPr>
          <w:rFonts w:ascii="Arial" w:eastAsia="Arial" w:hAnsi="Arial" w:cs="Arial"/>
          <w:color w:val="000000"/>
          <w:sz w:val="24"/>
          <w:lang w:val="en-ZA" w:eastAsia="en-ZA"/>
        </w:rPr>
        <w:t xml:space="preserve"> also</w:t>
      </w:r>
      <w:r w:rsidR="00167F80" w:rsidRPr="00167F80">
        <w:rPr>
          <w:rFonts w:ascii="Arial" w:eastAsia="Arial" w:hAnsi="Arial" w:cs="Arial"/>
          <w:color w:val="000000"/>
          <w:sz w:val="24"/>
          <w:lang w:val="en-ZA" w:eastAsia="en-ZA"/>
        </w:rPr>
        <w:t xml:space="preserve"> yet to quantify the amounts they contend should form part of the just and equitable remedy in the event that the quantification becomes necessary.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[23]</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 xml:space="preserve">It is for these reasons that I dismissed the postponement application with costs.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Pr="00167F80" w:rsidRDefault="00576ECA" w:rsidP="00576ECA">
      <w:pPr>
        <w:spacing w:before="60" w:after="0" w:line="480" w:lineRule="auto"/>
        <w:ind w:left="360" w:right="2" w:hanging="360"/>
        <w:contextualSpacing/>
        <w:jc w:val="both"/>
        <w:rPr>
          <w:rFonts w:ascii="Arial" w:eastAsia="Times New Roman" w:hAnsi="Arial" w:cs="Arial"/>
          <w:color w:val="000000"/>
          <w:sz w:val="24"/>
          <w:szCs w:val="20"/>
          <w:lang w:val="en-ZA" w:eastAsia="en-ZA"/>
        </w:rPr>
      </w:pPr>
      <w:r w:rsidRPr="00167F80">
        <w:rPr>
          <w:rFonts w:ascii="Arial" w:eastAsia="Times New Roman" w:hAnsi="Arial" w:cs="Arial"/>
          <w:color w:val="000000"/>
          <w:sz w:val="24"/>
          <w:szCs w:val="20"/>
          <w:lang w:val="en-ZA" w:eastAsia="en-ZA"/>
        </w:rPr>
        <w:t>[24]</w:t>
      </w:r>
      <w:r w:rsidRPr="00167F80">
        <w:rPr>
          <w:rFonts w:ascii="Arial" w:eastAsia="Times New Roman" w:hAnsi="Arial" w:cs="Arial"/>
          <w:color w:val="000000"/>
          <w:sz w:val="24"/>
          <w:szCs w:val="20"/>
          <w:lang w:val="en-ZA" w:eastAsia="en-ZA"/>
        </w:rPr>
        <w:tab/>
      </w:r>
      <w:r w:rsidR="00167F80" w:rsidRPr="00167F80">
        <w:rPr>
          <w:rFonts w:ascii="Arial" w:eastAsia="Arial" w:hAnsi="Arial" w:cs="Arial"/>
          <w:color w:val="000000"/>
          <w:sz w:val="24"/>
          <w:lang w:val="en-ZA" w:eastAsia="en-ZA"/>
        </w:rPr>
        <w:t xml:space="preserve">The Plaintiffs’ also sought condonation for the late filing of their expert report. It is trite that the test for condonation is the interests of justice. It is in the interests of justice that the just and equitable remedy is properly quantified in order to ameliorate the loss the state stands to suffer as a result of the constitutional breach that led to the cancellation of the contracts. </w:t>
      </w:r>
    </w:p>
    <w:p w:rsidR="00167F80" w:rsidRPr="00167F80" w:rsidRDefault="00167F80" w:rsidP="00167F80">
      <w:pPr>
        <w:spacing w:after="3" w:line="484" w:lineRule="auto"/>
        <w:ind w:left="720" w:right="2" w:hanging="637"/>
        <w:contextualSpacing/>
        <w:jc w:val="both"/>
        <w:rPr>
          <w:rFonts w:ascii="Arial" w:eastAsia="Arial" w:hAnsi="Arial" w:cs="Arial"/>
          <w:color w:val="000000"/>
          <w:sz w:val="24"/>
          <w:lang w:val="en-ZA" w:eastAsia="en-ZA"/>
        </w:rPr>
      </w:pPr>
    </w:p>
    <w:p w:rsidR="00167F80" w:rsidRDefault="00576ECA" w:rsidP="00576ECA">
      <w:pPr>
        <w:spacing w:before="60" w:after="0" w:line="480" w:lineRule="auto"/>
        <w:ind w:left="360" w:right="2" w:hanging="360"/>
        <w:contextualSpacing/>
        <w:jc w:val="both"/>
        <w:rPr>
          <w:rFonts w:ascii="Arial" w:eastAsia="Arial" w:hAnsi="Arial" w:cs="Arial"/>
          <w:color w:val="000000"/>
          <w:sz w:val="24"/>
          <w:lang w:val="en-ZA" w:eastAsia="en-ZA"/>
        </w:rPr>
      </w:pPr>
      <w:r>
        <w:rPr>
          <w:rFonts w:ascii="Arial" w:eastAsia="Arial" w:hAnsi="Arial" w:cs="Arial"/>
          <w:color w:val="000000"/>
          <w:sz w:val="24"/>
          <w:lang w:val="en-ZA" w:eastAsia="en-ZA"/>
        </w:rPr>
        <w:t>[25]</w:t>
      </w:r>
      <w:r>
        <w:rPr>
          <w:rFonts w:ascii="Arial" w:eastAsia="Arial" w:hAnsi="Arial" w:cs="Arial"/>
          <w:color w:val="000000"/>
          <w:sz w:val="24"/>
          <w:lang w:val="en-ZA" w:eastAsia="en-ZA"/>
        </w:rPr>
        <w:tab/>
      </w:r>
      <w:r w:rsidR="00B273AA">
        <w:rPr>
          <w:rFonts w:ascii="Arial" w:eastAsia="Arial" w:hAnsi="Arial" w:cs="Arial"/>
          <w:color w:val="000000"/>
          <w:sz w:val="24"/>
          <w:lang w:val="en-ZA" w:eastAsia="en-ZA"/>
        </w:rPr>
        <w:t>For the</w:t>
      </w:r>
      <w:r w:rsidR="00167F80" w:rsidRPr="00167F80">
        <w:rPr>
          <w:rFonts w:ascii="Arial" w:eastAsia="Arial" w:hAnsi="Arial" w:cs="Arial"/>
          <w:color w:val="000000"/>
          <w:sz w:val="24"/>
          <w:lang w:val="en-ZA" w:eastAsia="en-ZA"/>
        </w:rPr>
        <w:t>s</w:t>
      </w:r>
      <w:r w:rsidR="00B273AA">
        <w:rPr>
          <w:rFonts w:ascii="Arial" w:eastAsia="Arial" w:hAnsi="Arial" w:cs="Arial"/>
          <w:color w:val="000000"/>
          <w:sz w:val="24"/>
          <w:lang w:val="en-ZA" w:eastAsia="en-ZA"/>
        </w:rPr>
        <w:t>e</w:t>
      </w:r>
      <w:r w:rsidR="00167F80" w:rsidRPr="00167F80">
        <w:rPr>
          <w:rFonts w:ascii="Arial" w:eastAsia="Arial" w:hAnsi="Arial" w:cs="Arial"/>
          <w:color w:val="000000"/>
          <w:sz w:val="24"/>
          <w:lang w:val="en-ZA" w:eastAsia="en-ZA"/>
        </w:rPr>
        <w:t xml:space="preserve"> reason</w:t>
      </w:r>
      <w:r w:rsidR="00B273AA">
        <w:rPr>
          <w:rFonts w:ascii="Arial" w:eastAsia="Arial" w:hAnsi="Arial" w:cs="Arial"/>
          <w:color w:val="000000"/>
          <w:sz w:val="24"/>
          <w:lang w:val="en-ZA" w:eastAsia="en-ZA"/>
        </w:rPr>
        <w:t>s</w:t>
      </w:r>
      <w:r w:rsidR="00167F80" w:rsidRPr="00167F80">
        <w:rPr>
          <w:rFonts w:ascii="Arial" w:eastAsia="Arial" w:hAnsi="Arial" w:cs="Arial"/>
          <w:color w:val="000000"/>
          <w:sz w:val="24"/>
          <w:lang w:val="en-ZA" w:eastAsia="en-ZA"/>
        </w:rPr>
        <w:t xml:space="preserve">, </w:t>
      </w:r>
      <w:r w:rsidR="00B273AA">
        <w:rPr>
          <w:rFonts w:ascii="Arial" w:eastAsia="Arial" w:hAnsi="Arial" w:cs="Arial"/>
          <w:color w:val="000000"/>
          <w:sz w:val="24"/>
          <w:lang w:val="en-ZA" w:eastAsia="en-ZA"/>
        </w:rPr>
        <w:t>t</w:t>
      </w:r>
      <w:r w:rsidR="00B273AA" w:rsidRPr="00167F80">
        <w:rPr>
          <w:rFonts w:ascii="Arial" w:eastAsia="Arial" w:hAnsi="Arial" w:cs="Arial"/>
          <w:color w:val="000000"/>
          <w:sz w:val="24"/>
          <w:lang w:val="en-ZA" w:eastAsia="en-ZA"/>
        </w:rPr>
        <w:t>o the extent that the Plaintiffs require the expert report for the purpose of quantifying the</w:t>
      </w:r>
      <w:r w:rsidR="00875D84">
        <w:rPr>
          <w:rFonts w:ascii="Arial" w:eastAsia="Arial" w:hAnsi="Arial" w:cs="Arial"/>
          <w:color w:val="000000"/>
          <w:sz w:val="24"/>
          <w:lang w:val="en-ZA" w:eastAsia="en-ZA"/>
        </w:rPr>
        <w:t xml:space="preserve"> amount that should form part of the</w:t>
      </w:r>
      <w:r w:rsidR="00B273AA" w:rsidRPr="00167F80">
        <w:rPr>
          <w:rFonts w:ascii="Arial" w:eastAsia="Arial" w:hAnsi="Arial" w:cs="Arial"/>
          <w:color w:val="000000"/>
          <w:sz w:val="24"/>
          <w:lang w:val="en-ZA" w:eastAsia="en-ZA"/>
        </w:rPr>
        <w:t xml:space="preserve"> just and equitable relief</w:t>
      </w:r>
      <w:r w:rsidR="00875D84">
        <w:rPr>
          <w:rFonts w:ascii="Arial" w:eastAsia="Arial" w:hAnsi="Arial" w:cs="Arial"/>
          <w:color w:val="000000"/>
          <w:sz w:val="24"/>
          <w:lang w:val="en-ZA" w:eastAsia="en-ZA"/>
        </w:rPr>
        <w:t xml:space="preserve">, it is in the interest of justice that </w:t>
      </w:r>
      <w:r w:rsidR="00167F80" w:rsidRPr="00167F80">
        <w:rPr>
          <w:rFonts w:ascii="Arial" w:eastAsia="Arial" w:hAnsi="Arial" w:cs="Arial"/>
          <w:color w:val="000000"/>
          <w:sz w:val="24"/>
          <w:lang w:val="en-ZA" w:eastAsia="en-ZA"/>
        </w:rPr>
        <w:t xml:space="preserve">condonation for </w:t>
      </w:r>
      <w:r w:rsidR="00875D84">
        <w:rPr>
          <w:rFonts w:ascii="Arial" w:eastAsia="Arial" w:hAnsi="Arial" w:cs="Arial"/>
          <w:color w:val="000000"/>
          <w:sz w:val="24"/>
          <w:lang w:val="en-ZA" w:eastAsia="en-ZA"/>
        </w:rPr>
        <w:t xml:space="preserve">its </w:t>
      </w:r>
      <w:r w:rsidR="00167F80" w:rsidRPr="00167F80">
        <w:rPr>
          <w:rFonts w:ascii="Arial" w:eastAsia="Arial" w:hAnsi="Arial" w:cs="Arial"/>
          <w:color w:val="000000"/>
          <w:sz w:val="24"/>
          <w:lang w:val="en-ZA" w:eastAsia="en-ZA"/>
        </w:rPr>
        <w:t xml:space="preserve">late </w:t>
      </w:r>
      <w:r w:rsidR="00675302">
        <w:rPr>
          <w:rFonts w:ascii="Arial" w:eastAsia="Arial" w:hAnsi="Arial" w:cs="Arial"/>
          <w:color w:val="000000"/>
          <w:sz w:val="24"/>
          <w:lang w:val="en-ZA" w:eastAsia="en-ZA"/>
        </w:rPr>
        <w:t xml:space="preserve">filing </w:t>
      </w:r>
      <w:r w:rsidR="00875D84">
        <w:rPr>
          <w:rFonts w:ascii="Arial" w:eastAsia="Arial" w:hAnsi="Arial" w:cs="Arial"/>
          <w:color w:val="000000"/>
          <w:sz w:val="24"/>
          <w:lang w:val="en-ZA" w:eastAsia="en-ZA"/>
        </w:rPr>
        <w:t>is g</w:t>
      </w:r>
      <w:r w:rsidR="00167F80" w:rsidRPr="00167F80">
        <w:rPr>
          <w:rFonts w:ascii="Arial" w:eastAsia="Arial" w:hAnsi="Arial" w:cs="Arial"/>
          <w:color w:val="000000"/>
          <w:sz w:val="24"/>
          <w:lang w:val="en-ZA" w:eastAsia="en-ZA"/>
        </w:rPr>
        <w:t xml:space="preserve">ranted.  </w:t>
      </w:r>
    </w:p>
    <w:p w:rsidR="00EF5A2E" w:rsidRDefault="00EF5A2E" w:rsidP="00EF5A2E">
      <w:pPr>
        <w:pStyle w:val="ListParagraph"/>
        <w:rPr>
          <w:rFonts w:ascii="Arial" w:eastAsia="Arial" w:hAnsi="Arial" w:cs="Arial"/>
          <w:color w:val="000000"/>
          <w:sz w:val="24"/>
          <w:lang w:val="en-ZA" w:eastAsia="en-ZA"/>
        </w:rPr>
      </w:pPr>
    </w:p>
    <w:p w:rsidR="00546334" w:rsidRDefault="00546334" w:rsidP="00546334">
      <w:pPr>
        <w:spacing w:line="480" w:lineRule="auto"/>
        <w:rPr>
          <w:rFonts w:ascii="Arial" w:hAnsi="Arial" w:cs="Arial"/>
          <w:b/>
          <w:sz w:val="24"/>
          <w:lang w:val="en-GB"/>
        </w:rPr>
      </w:pPr>
      <w:r w:rsidRPr="00272542">
        <w:rPr>
          <w:rFonts w:ascii="Arial" w:hAnsi="Arial" w:cs="Arial"/>
          <w:b/>
          <w:sz w:val="24"/>
          <w:lang w:val="en-GB"/>
        </w:rPr>
        <w:t>THE PARTIES RESPECTIVE CASES AS PLEADED</w:t>
      </w:r>
    </w:p>
    <w:p w:rsidR="0054633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[26]</w:t>
      </w:r>
      <w:r>
        <w:rPr>
          <w:rFonts w:ascii="Arial" w:hAnsi="Arial" w:cs="Arial"/>
          <w:sz w:val="24"/>
          <w:lang w:val="en-GB"/>
        </w:rPr>
        <w:tab/>
      </w:r>
      <w:r w:rsidR="00546334" w:rsidRPr="00576ECA">
        <w:rPr>
          <w:rFonts w:ascii="Arial" w:hAnsi="Arial" w:cs="Arial"/>
          <w:sz w:val="24"/>
          <w:lang w:val="en-GB"/>
        </w:rPr>
        <w:t xml:space="preserve">Pursuant to the Tribunal’s Directives, the SIU filed a declaration, praying for the repayment of the amounts of R21,819,878.28 and R1,843,004,92 Public Works pre-paid to </w:t>
      </w:r>
      <w:r w:rsidR="00D502A1" w:rsidRPr="00576ECA">
        <w:rPr>
          <w:rFonts w:ascii="Arial" w:hAnsi="Arial" w:cs="Arial"/>
          <w:sz w:val="24"/>
          <w:lang w:val="en-GB"/>
        </w:rPr>
        <w:t xml:space="preserve">Profteam CC </w:t>
      </w:r>
      <w:r w:rsidR="00546334" w:rsidRPr="00576ECA">
        <w:rPr>
          <w:rFonts w:ascii="Arial" w:hAnsi="Arial" w:cs="Arial"/>
          <w:sz w:val="24"/>
          <w:lang w:val="en-GB"/>
        </w:rPr>
        <w:t xml:space="preserve">and </w:t>
      </w:r>
      <w:r w:rsidR="00D502A1" w:rsidRPr="00576ECA">
        <w:rPr>
          <w:rFonts w:ascii="Arial" w:hAnsi="Arial" w:cs="Arial"/>
          <w:sz w:val="24"/>
          <w:lang w:val="en-GB"/>
        </w:rPr>
        <w:t xml:space="preserve">Caledon River </w:t>
      </w:r>
      <w:r w:rsidR="00546334" w:rsidRPr="00576ECA">
        <w:rPr>
          <w:rFonts w:ascii="Arial" w:hAnsi="Arial" w:cs="Arial"/>
          <w:sz w:val="24"/>
          <w:lang w:val="en-GB"/>
        </w:rPr>
        <w:t>four days after the contracts were concluded. These payments constitute partial payments in respect of the respective contract amount</w:t>
      </w:r>
      <w:r w:rsidR="00675302" w:rsidRPr="00576ECA">
        <w:rPr>
          <w:rFonts w:ascii="Arial" w:hAnsi="Arial" w:cs="Arial"/>
          <w:sz w:val="24"/>
          <w:lang w:val="en-GB"/>
        </w:rPr>
        <w:t>s</w:t>
      </w:r>
      <w:r w:rsidR="00546334" w:rsidRPr="00576ECA">
        <w:rPr>
          <w:rFonts w:ascii="Arial" w:hAnsi="Arial" w:cs="Arial"/>
          <w:sz w:val="24"/>
          <w:lang w:val="en-GB"/>
        </w:rPr>
        <w:t xml:space="preserve"> of R37,176,843.50 and R3,259,071.48. The SIU alleges that it was irregular </w:t>
      </w:r>
      <w:r w:rsidR="00546334" w:rsidRPr="00576ECA">
        <w:rPr>
          <w:rFonts w:ascii="Arial" w:hAnsi="Arial" w:cs="Arial"/>
          <w:sz w:val="24"/>
          <w:lang w:val="en-GB"/>
        </w:rPr>
        <w:lastRenderedPageBreak/>
        <w:t>for Public Works to have made any payment before the Defendants perform</w:t>
      </w:r>
      <w:r w:rsidR="00875D84" w:rsidRPr="00576ECA">
        <w:rPr>
          <w:rFonts w:ascii="Arial" w:hAnsi="Arial" w:cs="Arial"/>
          <w:sz w:val="24"/>
          <w:lang w:val="en-GB"/>
        </w:rPr>
        <w:t>ed in terms of the contracts. I</w:t>
      </w:r>
      <w:r w:rsidR="00546334" w:rsidRPr="00576ECA">
        <w:rPr>
          <w:rFonts w:ascii="Arial" w:hAnsi="Arial" w:cs="Arial"/>
          <w:sz w:val="24"/>
          <w:lang w:val="en-GB"/>
        </w:rPr>
        <w:t xml:space="preserve">t seeks as just and equitable relief in terms of section 172(1)(b) of the Constitution, a restoration of the status </w:t>
      </w:r>
      <w:r w:rsidR="00546334" w:rsidRPr="00576ECA">
        <w:rPr>
          <w:rFonts w:ascii="Arial" w:hAnsi="Arial" w:cs="Arial"/>
          <w:i/>
          <w:sz w:val="24"/>
          <w:lang w:val="en-GB"/>
        </w:rPr>
        <w:t>quo ante</w:t>
      </w:r>
      <w:r w:rsidR="00546334" w:rsidRPr="00576ECA">
        <w:rPr>
          <w:rFonts w:ascii="Arial" w:hAnsi="Arial" w:cs="Arial"/>
          <w:sz w:val="24"/>
          <w:lang w:val="en-GB"/>
        </w:rPr>
        <w:t xml:space="preserve"> to extingui</w:t>
      </w:r>
      <w:r w:rsidR="00875D84" w:rsidRPr="00576ECA">
        <w:rPr>
          <w:rFonts w:ascii="Arial" w:hAnsi="Arial" w:cs="Arial"/>
          <w:sz w:val="24"/>
          <w:lang w:val="en-GB"/>
        </w:rPr>
        <w:t>sh the parties unlawful conduct.</w:t>
      </w:r>
      <w:r w:rsidR="00546334" w:rsidRPr="00576ECA">
        <w:rPr>
          <w:rFonts w:ascii="Arial" w:hAnsi="Arial" w:cs="Arial"/>
          <w:sz w:val="24"/>
          <w:lang w:val="en-GB"/>
        </w:rPr>
        <w:t xml:space="preserve"> </w:t>
      </w:r>
      <w:r w:rsidR="00875D84" w:rsidRPr="00576ECA">
        <w:rPr>
          <w:rFonts w:ascii="Arial" w:hAnsi="Arial" w:cs="Arial"/>
          <w:sz w:val="24"/>
          <w:lang w:val="en-GB"/>
        </w:rPr>
        <w:t xml:space="preserve">Hence, it prayed for </w:t>
      </w:r>
      <w:r w:rsidR="00546334" w:rsidRPr="00576ECA">
        <w:rPr>
          <w:rFonts w:ascii="Arial" w:hAnsi="Arial" w:cs="Arial"/>
          <w:sz w:val="24"/>
          <w:lang w:val="en-GB"/>
        </w:rPr>
        <w:t xml:space="preserve">an order in terms of which the Defendants are directed to repay to Public Works the amounts it </w:t>
      </w:r>
      <w:r w:rsidR="00875D84" w:rsidRPr="00576ECA">
        <w:rPr>
          <w:rFonts w:ascii="Arial" w:hAnsi="Arial" w:cs="Arial"/>
          <w:sz w:val="24"/>
          <w:lang w:val="en-GB"/>
        </w:rPr>
        <w:t>pre-</w:t>
      </w:r>
      <w:r w:rsidR="00546334" w:rsidRPr="00576ECA">
        <w:rPr>
          <w:rFonts w:ascii="Arial" w:hAnsi="Arial" w:cs="Arial"/>
          <w:sz w:val="24"/>
          <w:lang w:val="en-GB"/>
        </w:rPr>
        <w:t xml:space="preserve">paid them. </w:t>
      </w:r>
    </w:p>
    <w:p w:rsidR="00546334" w:rsidRPr="005A0D48" w:rsidRDefault="00546334" w:rsidP="00546334">
      <w:pPr>
        <w:pStyle w:val="ListParagraph"/>
        <w:rPr>
          <w:rFonts w:ascii="Arial" w:hAnsi="Arial" w:cs="Arial"/>
          <w:sz w:val="24"/>
          <w:lang w:val="en-GB"/>
        </w:rPr>
      </w:pPr>
    </w:p>
    <w:p w:rsidR="0054633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[27]</w:t>
      </w:r>
      <w:r>
        <w:rPr>
          <w:rFonts w:ascii="Arial" w:hAnsi="Arial" w:cs="Arial"/>
          <w:sz w:val="24"/>
          <w:lang w:val="en-GB"/>
        </w:rPr>
        <w:tab/>
      </w:r>
      <w:r w:rsidR="00546334" w:rsidRPr="00576ECA">
        <w:rPr>
          <w:rFonts w:ascii="Arial" w:hAnsi="Arial" w:cs="Arial"/>
          <w:sz w:val="24"/>
          <w:lang w:val="en-GB"/>
        </w:rPr>
        <w:t xml:space="preserve">In the alternative, the SIU seeks an order divesting the Defendants the profits they have derived from the contracts.  </w:t>
      </w:r>
    </w:p>
    <w:p w:rsidR="00546334" w:rsidRPr="0012358F" w:rsidRDefault="00546334" w:rsidP="00546334">
      <w:pPr>
        <w:pStyle w:val="ListParagraph"/>
        <w:rPr>
          <w:rFonts w:ascii="Arial" w:hAnsi="Arial" w:cs="Arial"/>
          <w:sz w:val="24"/>
          <w:lang w:val="en-GB"/>
        </w:rPr>
      </w:pPr>
    </w:p>
    <w:p w:rsidR="0054633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[28]</w:t>
      </w:r>
      <w:r>
        <w:rPr>
          <w:rFonts w:ascii="Arial" w:hAnsi="Arial" w:cs="Arial"/>
          <w:sz w:val="24"/>
          <w:lang w:val="en-GB"/>
        </w:rPr>
        <w:tab/>
      </w:r>
      <w:r w:rsidR="00546334" w:rsidRPr="00576ECA">
        <w:rPr>
          <w:rFonts w:ascii="Arial" w:hAnsi="Arial" w:cs="Arial"/>
          <w:sz w:val="24"/>
          <w:lang w:val="en-GB"/>
        </w:rPr>
        <w:t xml:space="preserve">The Defendants filed separate pleas and counterclaims. In their respective counterclaims, they seek as a just and equitable remedy, an order in terms of which the rights vested in terms of the invalid contracts remain vested and Public Works is </w:t>
      </w:r>
      <w:r w:rsidR="00315EA0" w:rsidRPr="00576ECA">
        <w:rPr>
          <w:rFonts w:ascii="Arial" w:hAnsi="Arial" w:cs="Arial"/>
          <w:sz w:val="24"/>
          <w:lang w:val="en-GB"/>
        </w:rPr>
        <w:t>ordered</w:t>
      </w:r>
      <w:r w:rsidR="00546334" w:rsidRPr="00576ECA">
        <w:rPr>
          <w:rFonts w:ascii="Arial" w:hAnsi="Arial" w:cs="Arial"/>
          <w:sz w:val="24"/>
          <w:lang w:val="en-GB"/>
        </w:rPr>
        <w:t xml:space="preserve"> to make payment to the Defendants of the balance due in terms of the contracts.  </w:t>
      </w:r>
    </w:p>
    <w:p w:rsidR="00546334" w:rsidRDefault="00546334" w:rsidP="00546334">
      <w:pPr>
        <w:pStyle w:val="ListParagraph"/>
        <w:spacing w:line="480" w:lineRule="auto"/>
        <w:ind w:left="360"/>
        <w:jc w:val="both"/>
        <w:rPr>
          <w:rFonts w:ascii="Arial" w:hAnsi="Arial" w:cs="Arial"/>
          <w:sz w:val="24"/>
          <w:lang w:val="en-GB"/>
        </w:rPr>
      </w:pPr>
    </w:p>
    <w:p w:rsidR="00875D8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[29]</w:t>
      </w:r>
      <w:r>
        <w:rPr>
          <w:rFonts w:ascii="Arial" w:hAnsi="Arial" w:cs="Arial"/>
          <w:sz w:val="24"/>
          <w:lang w:val="en-GB"/>
        </w:rPr>
        <w:tab/>
      </w:r>
      <w:r w:rsidR="00875D84" w:rsidRPr="00576ECA">
        <w:rPr>
          <w:rFonts w:ascii="Arial" w:hAnsi="Arial" w:cs="Arial"/>
          <w:sz w:val="24"/>
          <w:lang w:val="en-GB"/>
        </w:rPr>
        <w:t xml:space="preserve">Profteam also pleaded elaborately regarding the difficulties it encountered while implementing the contract under restricted lockdown conditions, the risks it was exposed to and the measures it resorted to ameliorate the risks. </w:t>
      </w:r>
    </w:p>
    <w:p w:rsidR="00875D84" w:rsidRPr="00875D84" w:rsidRDefault="00875D84" w:rsidP="00875D84">
      <w:pPr>
        <w:pStyle w:val="ListParagraph"/>
        <w:rPr>
          <w:rFonts w:ascii="Arial" w:hAnsi="Arial" w:cs="Arial"/>
          <w:sz w:val="24"/>
          <w:lang w:val="en-GB"/>
        </w:rPr>
      </w:pPr>
    </w:p>
    <w:p w:rsidR="0054633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[30]</w:t>
      </w:r>
      <w:r>
        <w:rPr>
          <w:rFonts w:ascii="Arial" w:hAnsi="Arial" w:cs="Arial"/>
          <w:sz w:val="24"/>
          <w:lang w:val="en-GB"/>
        </w:rPr>
        <w:tab/>
      </w:r>
      <w:r w:rsidR="00546334" w:rsidRPr="00576ECA">
        <w:rPr>
          <w:rFonts w:ascii="Arial" w:hAnsi="Arial" w:cs="Arial"/>
          <w:sz w:val="24"/>
          <w:lang w:val="en-GB"/>
        </w:rPr>
        <w:t xml:space="preserve">In the alternative, </w:t>
      </w:r>
      <w:r w:rsidR="00875D84" w:rsidRPr="00576ECA">
        <w:rPr>
          <w:rFonts w:ascii="Arial" w:hAnsi="Arial" w:cs="Arial"/>
          <w:sz w:val="24"/>
          <w:lang w:val="en-GB"/>
        </w:rPr>
        <w:t>Proteam p</w:t>
      </w:r>
      <w:r w:rsidR="00546334" w:rsidRPr="00576ECA">
        <w:rPr>
          <w:rFonts w:ascii="Arial" w:hAnsi="Arial" w:cs="Arial"/>
          <w:sz w:val="24"/>
          <w:lang w:val="en-GB"/>
        </w:rPr>
        <w:t xml:space="preserve">leads that </w:t>
      </w:r>
      <w:r w:rsidR="00875D84" w:rsidRPr="00576ECA">
        <w:rPr>
          <w:rFonts w:ascii="Arial" w:hAnsi="Arial" w:cs="Arial"/>
          <w:sz w:val="24"/>
          <w:lang w:val="en-GB"/>
        </w:rPr>
        <w:t xml:space="preserve">due to </w:t>
      </w:r>
      <w:r w:rsidR="00546334" w:rsidRPr="00576ECA">
        <w:rPr>
          <w:rFonts w:ascii="Arial" w:hAnsi="Arial" w:cs="Arial"/>
          <w:sz w:val="24"/>
          <w:lang w:val="en-GB"/>
        </w:rPr>
        <w:t>the costs involved and the risk to which it was exposed</w:t>
      </w:r>
      <w:r w:rsidR="00675302" w:rsidRPr="00576ECA">
        <w:rPr>
          <w:rFonts w:ascii="Arial" w:hAnsi="Arial" w:cs="Arial"/>
          <w:sz w:val="24"/>
          <w:lang w:val="en-GB"/>
        </w:rPr>
        <w:t>,</w:t>
      </w:r>
      <w:r w:rsidR="00546334" w:rsidRPr="00576ECA">
        <w:rPr>
          <w:rFonts w:ascii="Arial" w:hAnsi="Arial" w:cs="Arial"/>
          <w:sz w:val="24"/>
          <w:lang w:val="en-GB"/>
        </w:rPr>
        <w:t xml:space="preserve"> justifies, in addition to the amount already paid to it, </w:t>
      </w:r>
      <w:r w:rsidR="00675302" w:rsidRPr="00576ECA">
        <w:rPr>
          <w:rFonts w:ascii="Arial" w:hAnsi="Arial" w:cs="Arial"/>
          <w:sz w:val="24"/>
          <w:lang w:val="en-GB"/>
        </w:rPr>
        <w:t xml:space="preserve">an </w:t>
      </w:r>
      <w:r w:rsidR="00546334" w:rsidRPr="00576ECA">
        <w:rPr>
          <w:rFonts w:ascii="Arial" w:hAnsi="Arial" w:cs="Arial"/>
          <w:sz w:val="24"/>
          <w:lang w:val="en-GB"/>
        </w:rPr>
        <w:t>order that Publi</w:t>
      </w:r>
      <w:r w:rsidR="00675302" w:rsidRPr="00576ECA">
        <w:rPr>
          <w:rFonts w:ascii="Arial" w:hAnsi="Arial" w:cs="Arial"/>
          <w:sz w:val="24"/>
          <w:lang w:val="en-GB"/>
        </w:rPr>
        <w:t>c Works pays to it the amount the Tribunal</w:t>
      </w:r>
      <w:r w:rsidR="00546334" w:rsidRPr="00576ECA">
        <w:rPr>
          <w:rFonts w:ascii="Arial" w:hAnsi="Arial" w:cs="Arial"/>
          <w:sz w:val="24"/>
          <w:lang w:val="en-GB"/>
        </w:rPr>
        <w:t xml:space="preserve"> finds to be just and equitable. </w:t>
      </w:r>
    </w:p>
    <w:p w:rsidR="00546334" w:rsidRPr="007108EC" w:rsidRDefault="00546334" w:rsidP="00546334">
      <w:pPr>
        <w:pStyle w:val="ListParagraph"/>
        <w:rPr>
          <w:rFonts w:ascii="Arial" w:hAnsi="Arial" w:cs="Arial"/>
          <w:sz w:val="24"/>
          <w:lang w:val="en-GB"/>
        </w:rPr>
      </w:pPr>
    </w:p>
    <w:p w:rsidR="00F02ED9"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[31]</w:t>
      </w:r>
      <w:r>
        <w:rPr>
          <w:rFonts w:ascii="Arial" w:hAnsi="Arial" w:cs="Arial"/>
          <w:sz w:val="24"/>
          <w:lang w:val="en-GB"/>
        </w:rPr>
        <w:tab/>
      </w:r>
      <w:r w:rsidR="00546334" w:rsidRPr="00576ECA">
        <w:rPr>
          <w:rFonts w:ascii="Arial" w:hAnsi="Arial" w:cs="Arial"/>
          <w:sz w:val="24"/>
          <w:lang w:val="en-GB"/>
        </w:rPr>
        <w:t xml:space="preserve">The Defendants admit that they received the pre-payments as alleged by the Plaintiffs. </w:t>
      </w:r>
      <w:r w:rsidR="00F02ED9" w:rsidRPr="00576ECA">
        <w:rPr>
          <w:rFonts w:ascii="Arial" w:hAnsi="Arial" w:cs="Arial"/>
          <w:sz w:val="24"/>
          <w:lang w:val="en-GB"/>
        </w:rPr>
        <w:t>T</w:t>
      </w:r>
      <w:r w:rsidR="00546334" w:rsidRPr="00576ECA">
        <w:rPr>
          <w:rFonts w:ascii="Arial" w:hAnsi="Arial" w:cs="Arial"/>
          <w:sz w:val="24"/>
          <w:lang w:val="en-GB"/>
        </w:rPr>
        <w:t xml:space="preserve">hey have pleaded that the pre-payments were made at the behest of Public Works </w:t>
      </w:r>
      <w:r w:rsidR="00546334" w:rsidRPr="00576ECA">
        <w:rPr>
          <w:rFonts w:ascii="Arial" w:hAnsi="Arial" w:cs="Arial"/>
          <w:sz w:val="24"/>
          <w:lang w:val="en-GB"/>
        </w:rPr>
        <w:lastRenderedPageBreak/>
        <w:t>officials</w:t>
      </w:r>
      <w:r w:rsidR="00F02ED9" w:rsidRPr="00576ECA">
        <w:rPr>
          <w:rFonts w:ascii="Arial" w:hAnsi="Arial" w:cs="Arial"/>
          <w:sz w:val="24"/>
          <w:lang w:val="en-GB"/>
        </w:rPr>
        <w:t>. T</w:t>
      </w:r>
      <w:r w:rsidR="001D62FE" w:rsidRPr="00576ECA">
        <w:rPr>
          <w:rFonts w:ascii="Arial" w:hAnsi="Arial" w:cs="Arial"/>
          <w:sz w:val="24"/>
          <w:lang w:val="en-GB"/>
        </w:rPr>
        <w:t>he public officials</w:t>
      </w:r>
      <w:r w:rsidR="00F02ED9" w:rsidRPr="00576ECA">
        <w:rPr>
          <w:rFonts w:ascii="Arial" w:hAnsi="Arial" w:cs="Arial"/>
          <w:sz w:val="24"/>
          <w:lang w:val="en-GB"/>
        </w:rPr>
        <w:t xml:space="preserve"> imposed a strict deadline of 20 April 2020. They </w:t>
      </w:r>
      <w:r w:rsidR="00546334" w:rsidRPr="00576ECA">
        <w:rPr>
          <w:rFonts w:ascii="Arial" w:hAnsi="Arial" w:cs="Arial"/>
          <w:sz w:val="24"/>
          <w:lang w:val="en-GB"/>
        </w:rPr>
        <w:t xml:space="preserve">anticipated </w:t>
      </w:r>
      <w:r w:rsidR="00F02ED9" w:rsidRPr="00576ECA">
        <w:rPr>
          <w:rFonts w:ascii="Arial" w:hAnsi="Arial" w:cs="Arial"/>
          <w:sz w:val="24"/>
          <w:lang w:val="en-GB"/>
        </w:rPr>
        <w:t xml:space="preserve">that due to the lockdown declared as part of the period of national disaster, </w:t>
      </w:r>
      <w:r w:rsidR="00546334" w:rsidRPr="00576ECA">
        <w:rPr>
          <w:rFonts w:ascii="Arial" w:hAnsi="Arial" w:cs="Arial"/>
          <w:sz w:val="24"/>
          <w:lang w:val="en-GB"/>
        </w:rPr>
        <w:t xml:space="preserve">the Public Works offices will be closed when payment is due in terms of the contracts. They also pleaded that throughout the contracting process, Public Works officials represented that the contracts were lawful, approved in terms of the prescribed processes and mandated by the Minister of Public Works Ms Patricia De Lille. </w:t>
      </w:r>
    </w:p>
    <w:p w:rsidR="00F02ED9" w:rsidRPr="00F02ED9" w:rsidRDefault="00F02ED9" w:rsidP="00F02ED9">
      <w:pPr>
        <w:pStyle w:val="ListParagraph"/>
        <w:rPr>
          <w:rFonts w:ascii="Arial" w:hAnsi="Arial" w:cs="Arial"/>
          <w:sz w:val="24"/>
          <w:lang w:val="en-GB"/>
        </w:rPr>
      </w:pPr>
    </w:p>
    <w:p w:rsidR="0054633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[32]</w:t>
      </w:r>
      <w:r>
        <w:rPr>
          <w:rFonts w:ascii="Arial" w:hAnsi="Arial" w:cs="Arial"/>
          <w:sz w:val="24"/>
          <w:lang w:val="en-GB"/>
        </w:rPr>
        <w:tab/>
      </w:r>
      <w:r w:rsidR="00F02ED9" w:rsidRPr="00576ECA">
        <w:rPr>
          <w:rFonts w:ascii="Arial" w:hAnsi="Arial" w:cs="Arial"/>
          <w:sz w:val="24"/>
          <w:lang w:val="en-GB"/>
        </w:rPr>
        <w:t>They further pleaded that s</w:t>
      </w:r>
      <w:r w:rsidR="00546334" w:rsidRPr="00576ECA">
        <w:rPr>
          <w:rFonts w:ascii="Arial" w:hAnsi="Arial" w:cs="Arial"/>
          <w:sz w:val="24"/>
          <w:lang w:val="en-GB"/>
        </w:rPr>
        <w:t xml:space="preserve">ubsequent to receiving legal </w:t>
      </w:r>
      <w:r w:rsidR="00D44B8C" w:rsidRPr="00576ECA">
        <w:rPr>
          <w:rFonts w:ascii="Arial" w:hAnsi="Arial" w:cs="Arial"/>
          <w:sz w:val="24"/>
          <w:lang w:val="en-GB"/>
        </w:rPr>
        <w:t>advice</w:t>
      </w:r>
      <w:r w:rsidR="00546334" w:rsidRPr="00576ECA">
        <w:rPr>
          <w:rFonts w:ascii="Arial" w:hAnsi="Arial" w:cs="Arial"/>
          <w:sz w:val="24"/>
          <w:lang w:val="en-GB"/>
        </w:rPr>
        <w:t xml:space="preserve">, they admit </w:t>
      </w:r>
      <w:r w:rsidR="00F02ED9" w:rsidRPr="00576ECA">
        <w:rPr>
          <w:rFonts w:ascii="Arial" w:hAnsi="Arial" w:cs="Arial"/>
          <w:sz w:val="24"/>
          <w:lang w:val="en-GB"/>
        </w:rPr>
        <w:t xml:space="preserve">that the </w:t>
      </w:r>
      <w:r w:rsidR="00546334" w:rsidRPr="00576ECA">
        <w:rPr>
          <w:rFonts w:ascii="Arial" w:hAnsi="Arial" w:cs="Arial"/>
          <w:sz w:val="24"/>
          <w:lang w:val="en-GB"/>
        </w:rPr>
        <w:t xml:space="preserve">procurement process constitutes a breach of section 217 of the Constitution and the applicable Treasury Regulations. </w:t>
      </w:r>
    </w:p>
    <w:p w:rsidR="00546334" w:rsidRPr="00546334" w:rsidRDefault="00546334" w:rsidP="00546334">
      <w:pPr>
        <w:pStyle w:val="ListParagraph"/>
        <w:rPr>
          <w:rFonts w:ascii="Arial" w:hAnsi="Arial" w:cs="Arial"/>
          <w:sz w:val="24"/>
          <w:lang w:val="en-GB"/>
        </w:rPr>
      </w:pPr>
    </w:p>
    <w:p w:rsidR="00546334" w:rsidRPr="00576ECA" w:rsidRDefault="00576ECA" w:rsidP="00576ECA">
      <w:pPr>
        <w:spacing w:line="480" w:lineRule="auto"/>
        <w:ind w:left="360" w:hanging="360"/>
        <w:jc w:val="both"/>
        <w:rPr>
          <w:rFonts w:ascii="Arial" w:hAnsi="Arial" w:cs="Arial"/>
          <w:sz w:val="24"/>
          <w:lang w:val="en-GB"/>
        </w:rPr>
      </w:pPr>
      <w:r>
        <w:rPr>
          <w:rFonts w:ascii="Arial" w:hAnsi="Arial" w:cs="Arial"/>
          <w:sz w:val="24"/>
          <w:lang w:val="en-GB"/>
        </w:rPr>
        <w:t>[33]</w:t>
      </w:r>
      <w:r>
        <w:rPr>
          <w:rFonts w:ascii="Arial" w:hAnsi="Arial" w:cs="Arial"/>
          <w:sz w:val="24"/>
          <w:lang w:val="en-GB"/>
        </w:rPr>
        <w:tab/>
      </w:r>
      <w:r w:rsidR="00546334" w:rsidRPr="00576ECA">
        <w:rPr>
          <w:rFonts w:ascii="Arial" w:hAnsi="Arial" w:cs="Arial"/>
          <w:sz w:val="24"/>
          <w:lang w:val="en-GB"/>
        </w:rPr>
        <w:t xml:space="preserve">However, none of the parties led evidence to establish their respective cases as pleaded. </w:t>
      </w:r>
    </w:p>
    <w:p w:rsidR="00315EA0" w:rsidRDefault="00315EA0"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B35DDA" w:rsidRDefault="00B35DDA" w:rsidP="00E46F92">
      <w:pPr>
        <w:spacing w:after="0" w:line="480" w:lineRule="auto"/>
        <w:rPr>
          <w:rFonts w:ascii="Arial" w:eastAsia="Arial" w:hAnsi="Arial" w:cs="Arial"/>
          <w:b/>
          <w:color w:val="000000"/>
          <w:sz w:val="24"/>
          <w:lang w:val="en-ZA" w:eastAsia="en-ZA"/>
        </w:rPr>
      </w:pPr>
    </w:p>
    <w:p w:rsidR="00E46F92" w:rsidRDefault="00E46F92" w:rsidP="00E46F92">
      <w:pPr>
        <w:spacing w:after="0" w:line="480" w:lineRule="auto"/>
        <w:rPr>
          <w:rFonts w:ascii="Arial" w:eastAsia="Arial" w:hAnsi="Arial" w:cs="Arial"/>
          <w:b/>
          <w:color w:val="000000"/>
          <w:sz w:val="24"/>
          <w:lang w:val="en-ZA" w:eastAsia="en-ZA"/>
        </w:rPr>
      </w:pPr>
      <w:r>
        <w:rPr>
          <w:rFonts w:ascii="Arial" w:eastAsia="Arial" w:hAnsi="Arial" w:cs="Arial"/>
          <w:b/>
          <w:color w:val="000000"/>
          <w:sz w:val="24"/>
          <w:lang w:val="en-ZA" w:eastAsia="en-ZA"/>
        </w:rPr>
        <w:lastRenderedPageBreak/>
        <w:t>JUST AND EQUITABLE REMEDY</w:t>
      </w:r>
    </w:p>
    <w:p w:rsidR="00E46F92" w:rsidRPr="00576ECA" w:rsidRDefault="00576ECA" w:rsidP="00576ECA">
      <w:pPr>
        <w:spacing w:before="240" w:after="0" w:line="480" w:lineRule="auto"/>
        <w:ind w:left="360" w:hanging="360"/>
        <w:jc w:val="both"/>
        <w:rPr>
          <w:rFonts w:ascii="Arial" w:hAnsi="Arial" w:cs="Arial"/>
          <w:i/>
          <w:sz w:val="24"/>
          <w:lang w:val="en-GB"/>
        </w:rPr>
      </w:pPr>
      <w:r w:rsidRPr="00F02ED9">
        <w:rPr>
          <w:rFonts w:ascii="Arial" w:hAnsi="Arial" w:cs="Arial"/>
          <w:sz w:val="24"/>
          <w:lang w:val="en-GB"/>
        </w:rPr>
        <w:t>[34]</w:t>
      </w:r>
      <w:r w:rsidRPr="00F02ED9">
        <w:rPr>
          <w:rFonts w:ascii="Arial" w:hAnsi="Arial" w:cs="Arial"/>
          <w:sz w:val="24"/>
          <w:lang w:val="en-GB"/>
        </w:rPr>
        <w:tab/>
      </w:r>
      <w:r w:rsidR="00E46F92" w:rsidRPr="00576ECA">
        <w:rPr>
          <w:rFonts w:ascii="Arial" w:hAnsi="Arial" w:cs="Arial"/>
          <w:sz w:val="24"/>
          <w:lang w:val="en-GB"/>
        </w:rPr>
        <w:t>In their bid to fully recover the amounts Public Works paid the Defendants under the contracts</w:t>
      </w:r>
      <w:r w:rsidR="00F02ED9" w:rsidRPr="00576ECA">
        <w:rPr>
          <w:rFonts w:ascii="Arial" w:hAnsi="Arial" w:cs="Arial"/>
          <w:sz w:val="24"/>
          <w:lang w:val="en-GB"/>
        </w:rPr>
        <w:t xml:space="preserve">, the Plaintiffs contend </w:t>
      </w:r>
      <w:r w:rsidR="00E46F92" w:rsidRPr="00576ECA">
        <w:rPr>
          <w:rFonts w:ascii="Arial" w:hAnsi="Arial" w:cs="Arial"/>
          <w:sz w:val="24"/>
          <w:lang w:val="en-GB"/>
        </w:rPr>
        <w:t xml:space="preserve">that the contracts are void </w:t>
      </w:r>
      <w:r w:rsidR="00E46F92" w:rsidRPr="00576ECA">
        <w:rPr>
          <w:rFonts w:ascii="Arial" w:hAnsi="Arial" w:cs="Arial"/>
          <w:i/>
          <w:sz w:val="24"/>
          <w:lang w:val="en-GB"/>
        </w:rPr>
        <w:t>ab initio</w:t>
      </w:r>
      <w:r w:rsidR="00E46F92" w:rsidRPr="00576ECA">
        <w:rPr>
          <w:rFonts w:ascii="Arial" w:hAnsi="Arial" w:cs="Arial"/>
          <w:sz w:val="24"/>
          <w:lang w:val="en-GB"/>
        </w:rPr>
        <w:t>, and, as a result, no legal consequences flow from them</w:t>
      </w:r>
      <w:r w:rsidR="00F02ED9" w:rsidRPr="00576ECA">
        <w:rPr>
          <w:rFonts w:ascii="Arial" w:hAnsi="Arial" w:cs="Arial"/>
          <w:sz w:val="24"/>
          <w:lang w:val="en-GB"/>
        </w:rPr>
        <w:t>. As already stated, i</w:t>
      </w:r>
      <w:r w:rsidR="00E46F92" w:rsidRPr="00576ECA">
        <w:rPr>
          <w:rFonts w:ascii="Arial" w:hAnsi="Arial" w:cs="Arial"/>
          <w:sz w:val="24"/>
          <w:lang w:val="en-GB"/>
        </w:rPr>
        <w:t xml:space="preserve">n the alternative, the Plaintiffs contend that the Tribunal should order just and equitable relief in terms of section 172(1)(b) of the Constitution as applied in </w:t>
      </w:r>
      <w:r w:rsidR="00E46F92" w:rsidRPr="00576ECA">
        <w:rPr>
          <w:rFonts w:ascii="Arial" w:hAnsi="Arial" w:cs="Arial"/>
          <w:i/>
          <w:sz w:val="24"/>
          <w:lang w:val="en-GB"/>
        </w:rPr>
        <w:t>Vision View</w:t>
      </w:r>
      <w:r w:rsidR="00E46F92">
        <w:rPr>
          <w:rStyle w:val="FootnoteReference"/>
          <w:rFonts w:ascii="Arial" w:hAnsi="Arial" w:cs="Arial"/>
          <w:i/>
          <w:sz w:val="24"/>
          <w:lang w:val="en-GB"/>
        </w:rPr>
        <w:footnoteReference w:id="7"/>
      </w:r>
      <w:r w:rsidR="00E46F92" w:rsidRPr="00576ECA">
        <w:rPr>
          <w:rFonts w:ascii="Arial" w:hAnsi="Arial" w:cs="Arial"/>
          <w:sz w:val="24"/>
          <w:lang w:val="en-GB"/>
        </w:rPr>
        <w:t xml:space="preserve"> and </w:t>
      </w:r>
      <w:r w:rsidR="00E46F92" w:rsidRPr="00576ECA">
        <w:rPr>
          <w:rFonts w:ascii="Arial" w:hAnsi="Arial" w:cs="Arial"/>
          <w:i/>
          <w:sz w:val="24"/>
          <w:lang w:val="en-GB"/>
        </w:rPr>
        <w:t>Mott MacDonalds</w:t>
      </w:r>
      <w:r w:rsidR="00E46F92">
        <w:rPr>
          <w:rStyle w:val="FootnoteReference"/>
          <w:rFonts w:ascii="Arial" w:hAnsi="Arial" w:cs="Arial"/>
          <w:i/>
          <w:sz w:val="24"/>
          <w:lang w:val="en-GB"/>
        </w:rPr>
        <w:footnoteReference w:id="8"/>
      </w:r>
      <w:r w:rsidR="00E46F92" w:rsidRPr="00576ECA">
        <w:rPr>
          <w:rFonts w:ascii="Arial" w:hAnsi="Arial" w:cs="Arial"/>
          <w:sz w:val="24"/>
          <w:lang w:val="en-GB"/>
        </w:rPr>
        <w:t xml:space="preserve">. </w:t>
      </w:r>
    </w:p>
    <w:p w:rsidR="00E46F92" w:rsidRDefault="00E46F92" w:rsidP="00E46F92">
      <w:pPr>
        <w:pStyle w:val="ListParagraph"/>
        <w:spacing w:line="480" w:lineRule="auto"/>
        <w:ind w:left="360"/>
        <w:jc w:val="both"/>
        <w:rPr>
          <w:rFonts w:ascii="Arial" w:hAnsi="Arial" w:cs="Arial"/>
          <w:i/>
          <w:sz w:val="24"/>
          <w:lang w:val="en-GB"/>
        </w:rPr>
      </w:pPr>
    </w:p>
    <w:p w:rsidR="00E46F92" w:rsidRPr="00576ECA" w:rsidRDefault="00576ECA" w:rsidP="00576ECA">
      <w:pPr>
        <w:spacing w:line="480" w:lineRule="auto"/>
        <w:ind w:left="360" w:hanging="360"/>
        <w:jc w:val="both"/>
        <w:rPr>
          <w:rFonts w:ascii="Arial" w:hAnsi="Arial" w:cs="Arial"/>
          <w:i/>
          <w:sz w:val="24"/>
          <w:lang w:val="en-GB"/>
        </w:rPr>
      </w:pPr>
      <w:r>
        <w:rPr>
          <w:rFonts w:ascii="Arial" w:hAnsi="Arial" w:cs="Arial"/>
          <w:sz w:val="24"/>
          <w:lang w:val="en-GB"/>
        </w:rPr>
        <w:t>[35]</w:t>
      </w:r>
      <w:r>
        <w:rPr>
          <w:rFonts w:ascii="Arial" w:hAnsi="Arial" w:cs="Arial"/>
          <w:sz w:val="24"/>
          <w:lang w:val="en-GB"/>
        </w:rPr>
        <w:tab/>
      </w:r>
      <w:r w:rsidR="00E46F92" w:rsidRPr="00576ECA">
        <w:rPr>
          <w:rFonts w:ascii="Arial" w:hAnsi="Arial" w:cs="Arial"/>
          <w:sz w:val="24"/>
          <w:lang w:val="en-GB"/>
        </w:rPr>
        <w:t xml:space="preserve">In their counterclaim, the Defendants also contend for just and equitable relief. However, on the authority in </w:t>
      </w:r>
      <w:r w:rsidR="00E46F92" w:rsidRPr="00576ECA">
        <w:rPr>
          <w:rFonts w:ascii="Arial" w:hAnsi="Arial" w:cs="Arial"/>
          <w:i/>
          <w:sz w:val="24"/>
          <w:lang w:val="en-GB"/>
        </w:rPr>
        <w:t>Gijima</w:t>
      </w:r>
      <w:r w:rsidR="00E46F92">
        <w:rPr>
          <w:rStyle w:val="FootnoteReference"/>
          <w:rFonts w:ascii="Arial" w:hAnsi="Arial" w:cs="Arial"/>
          <w:i/>
          <w:sz w:val="24"/>
          <w:lang w:val="en-GB"/>
        </w:rPr>
        <w:footnoteReference w:id="9"/>
      </w:r>
      <w:r w:rsidR="00E46F92" w:rsidRPr="00576ECA">
        <w:rPr>
          <w:rFonts w:ascii="Arial" w:hAnsi="Arial" w:cs="Arial"/>
          <w:sz w:val="24"/>
          <w:lang w:val="en-GB"/>
        </w:rPr>
        <w:t xml:space="preserve"> they contend that they should be allowed to retain their vested rights in the contracts.</w:t>
      </w:r>
      <w:r w:rsidR="00E46F92" w:rsidRPr="00576ECA">
        <w:rPr>
          <w:rFonts w:ascii="Arial" w:hAnsi="Arial" w:cs="Arial"/>
          <w:i/>
          <w:sz w:val="24"/>
          <w:lang w:val="en-GB"/>
        </w:rPr>
        <w:t xml:space="preserve"> </w:t>
      </w:r>
      <w:r w:rsidR="00E46F92" w:rsidRPr="00576ECA">
        <w:rPr>
          <w:rFonts w:ascii="Arial" w:hAnsi="Arial" w:cs="Arial"/>
          <w:sz w:val="24"/>
          <w:lang w:val="en-GB"/>
        </w:rPr>
        <w:t>Profteam also contend for an alternative formulation as articulated in paragraph 30 above.</w:t>
      </w:r>
    </w:p>
    <w:p w:rsidR="00E46F92" w:rsidRDefault="00E46F92" w:rsidP="00E46F92">
      <w:pPr>
        <w:pStyle w:val="ListParagraph"/>
        <w:spacing w:line="480" w:lineRule="auto"/>
        <w:ind w:left="360"/>
        <w:jc w:val="both"/>
        <w:rPr>
          <w:rFonts w:ascii="Arial" w:hAnsi="Arial" w:cs="Arial"/>
          <w:i/>
          <w:sz w:val="24"/>
          <w:lang w:val="en-GB"/>
        </w:rPr>
      </w:pPr>
    </w:p>
    <w:p w:rsidR="00E46F92" w:rsidRPr="00576ECA" w:rsidRDefault="00576ECA" w:rsidP="00576ECA">
      <w:pPr>
        <w:spacing w:before="240" w:after="0" w:line="480" w:lineRule="auto"/>
        <w:ind w:left="360" w:hanging="360"/>
        <w:jc w:val="both"/>
        <w:rPr>
          <w:rFonts w:ascii="Arial" w:hAnsi="Arial" w:cs="Arial"/>
          <w:i/>
          <w:sz w:val="24"/>
          <w:lang w:val="en-GB"/>
        </w:rPr>
      </w:pPr>
      <w:r w:rsidRPr="00F02ED9">
        <w:rPr>
          <w:rFonts w:ascii="Arial" w:hAnsi="Arial" w:cs="Arial"/>
          <w:sz w:val="24"/>
          <w:lang w:val="en-GB"/>
        </w:rPr>
        <w:t>[36]</w:t>
      </w:r>
      <w:r w:rsidRPr="00F02ED9">
        <w:rPr>
          <w:rFonts w:ascii="Arial" w:hAnsi="Arial" w:cs="Arial"/>
          <w:sz w:val="24"/>
          <w:lang w:val="en-GB"/>
        </w:rPr>
        <w:tab/>
      </w:r>
      <w:r w:rsidR="00F02ED9" w:rsidRPr="00576ECA">
        <w:rPr>
          <w:rFonts w:ascii="Arial" w:hAnsi="Arial" w:cs="Arial"/>
          <w:sz w:val="24"/>
          <w:lang w:val="en-GB"/>
        </w:rPr>
        <w:t>In respect of their main claim, the Plaintiffs either relied on pre-Constitution authority, authority that is distinguishable on the facts or inconsistent with Constitutional Court pronouncements on just and equitable relief in the context of a government procurement contract. The approach that the P</w:t>
      </w:r>
      <w:r w:rsidR="00E46F92" w:rsidRPr="00576ECA">
        <w:rPr>
          <w:rFonts w:ascii="Arial" w:hAnsi="Arial" w:cs="Arial"/>
          <w:sz w:val="24"/>
          <w:lang w:val="en-GB"/>
        </w:rPr>
        <w:t xml:space="preserve">laintiffs </w:t>
      </w:r>
      <w:r w:rsidR="00F02ED9" w:rsidRPr="00576ECA">
        <w:rPr>
          <w:rFonts w:ascii="Arial" w:hAnsi="Arial" w:cs="Arial"/>
          <w:sz w:val="24"/>
          <w:lang w:val="en-GB"/>
        </w:rPr>
        <w:t xml:space="preserve">are enticing the Tribunal to adopt to formulate just and equitable relief </w:t>
      </w:r>
      <w:r w:rsidR="00E46F92" w:rsidRPr="00576ECA">
        <w:rPr>
          <w:rFonts w:ascii="Arial" w:hAnsi="Arial" w:cs="Arial"/>
          <w:sz w:val="24"/>
          <w:lang w:val="en-GB"/>
        </w:rPr>
        <w:t xml:space="preserve">in </w:t>
      </w:r>
      <w:r w:rsidR="004D7A63" w:rsidRPr="00576ECA">
        <w:rPr>
          <w:rFonts w:ascii="Arial" w:hAnsi="Arial" w:cs="Arial"/>
          <w:sz w:val="24"/>
          <w:lang w:val="en-GB"/>
        </w:rPr>
        <w:t>respect of their main claim is</w:t>
      </w:r>
      <w:r w:rsidR="00E46F92" w:rsidRPr="00576ECA">
        <w:rPr>
          <w:rFonts w:ascii="Arial" w:hAnsi="Arial" w:cs="Arial"/>
          <w:sz w:val="24"/>
          <w:lang w:val="en-GB"/>
        </w:rPr>
        <w:t xml:space="preserve"> </w:t>
      </w:r>
      <w:r w:rsidR="00FB7583" w:rsidRPr="00576ECA">
        <w:rPr>
          <w:rFonts w:ascii="Arial" w:hAnsi="Arial" w:cs="Arial"/>
          <w:sz w:val="24"/>
          <w:lang w:val="en-GB"/>
        </w:rPr>
        <w:t xml:space="preserve">inconsistent </w:t>
      </w:r>
      <w:r w:rsidR="00E46F92" w:rsidRPr="00576ECA">
        <w:rPr>
          <w:rFonts w:ascii="Arial" w:hAnsi="Arial" w:cs="Arial"/>
          <w:sz w:val="24"/>
          <w:lang w:val="en-GB"/>
        </w:rPr>
        <w:t>with the no profit no loss principle as applied in</w:t>
      </w:r>
      <w:r w:rsidR="00FB7583" w:rsidRPr="00576ECA">
        <w:rPr>
          <w:rFonts w:ascii="Arial" w:hAnsi="Arial" w:cs="Arial"/>
          <w:sz w:val="24"/>
          <w:lang w:val="en-GB"/>
        </w:rPr>
        <w:t xml:space="preserve"> the context of government procurement contracts </w:t>
      </w:r>
      <w:r w:rsidR="00E46F92" w:rsidRPr="00576ECA">
        <w:rPr>
          <w:rFonts w:ascii="Arial" w:hAnsi="Arial" w:cs="Arial"/>
          <w:sz w:val="24"/>
          <w:lang w:val="en-GB"/>
        </w:rPr>
        <w:t xml:space="preserve"> </w:t>
      </w:r>
      <w:r w:rsidR="001D62FE" w:rsidRPr="00576ECA">
        <w:rPr>
          <w:rFonts w:ascii="Arial" w:hAnsi="Arial" w:cs="Arial"/>
          <w:sz w:val="24"/>
          <w:lang w:val="en-GB"/>
        </w:rPr>
        <w:t xml:space="preserve">in </w:t>
      </w:r>
      <w:r w:rsidR="00E46F92" w:rsidRPr="00576ECA">
        <w:rPr>
          <w:rFonts w:ascii="Arial" w:hAnsi="Arial" w:cs="Arial"/>
          <w:i/>
          <w:sz w:val="24"/>
          <w:lang w:val="en-GB"/>
        </w:rPr>
        <w:t>All Pay 2.</w:t>
      </w:r>
      <w:r w:rsidR="00E46F92" w:rsidRPr="00576ECA">
        <w:rPr>
          <w:rStyle w:val="FootnoteReference"/>
          <w:rFonts w:ascii="Arial" w:hAnsi="Arial" w:cs="Arial"/>
          <w:sz w:val="24"/>
          <w:lang w:val="en-GB"/>
        </w:rPr>
        <w:t xml:space="preserve"> </w:t>
      </w:r>
      <w:r w:rsidR="00E46F92">
        <w:rPr>
          <w:rStyle w:val="FootnoteReference"/>
          <w:rFonts w:ascii="Arial" w:hAnsi="Arial" w:cs="Arial"/>
          <w:sz w:val="24"/>
          <w:lang w:val="en-GB"/>
        </w:rPr>
        <w:footnoteReference w:id="10"/>
      </w:r>
      <w:r w:rsidR="00E46F92" w:rsidRPr="00576ECA">
        <w:rPr>
          <w:rFonts w:ascii="Arial" w:hAnsi="Arial" w:cs="Arial"/>
          <w:sz w:val="24"/>
          <w:lang w:val="en-GB"/>
        </w:rPr>
        <w:t xml:space="preserve"> </w:t>
      </w:r>
      <w:r w:rsidR="00E46F92" w:rsidRPr="00576ECA">
        <w:rPr>
          <w:rStyle w:val="FootnoteReference"/>
          <w:rFonts w:ascii="Arial" w:hAnsi="Arial" w:cs="Arial"/>
          <w:i/>
          <w:sz w:val="24"/>
          <w:lang w:val="en-GB"/>
        </w:rPr>
        <w:t xml:space="preserve"> </w:t>
      </w:r>
      <w:r w:rsidR="00E46F92" w:rsidRPr="00576ECA">
        <w:rPr>
          <w:rFonts w:ascii="Arial" w:hAnsi="Arial" w:cs="Arial"/>
          <w:sz w:val="24"/>
          <w:lang w:val="en-GB"/>
        </w:rPr>
        <w:t>The no pay principle has become trite.</w:t>
      </w:r>
    </w:p>
    <w:p w:rsidR="00E46F92" w:rsidRPr="00576ECA" w:rsidRDefault="00576ECA" w:rsidP="00576ECA">
      <w:pPr>
        <w:spacing w:line="480" w:lineRule="auto"/>
        <w:ind w:left="360" w:hanging="360"/>
        <w:jc w:val="both"/>
        <w:rPr>
          <w:rFonts w:ascii="Arial" w:hAnsi="Arial" w:cs="Arial"/>
          <w:i/>
          <w:sz w:val="24"/>
          <w:lang w:val="en-GB"/>
        </w:rPr>
      </w:pPr>
      <w:r>
        <w:rPr>
          <w:rFonts w:ascii="Arial" w:hAnsi="Arial" w:cs="Arial"/>
          <w:sz w:val="24"/>
          <w:lang w:val="en-GB"/>
        </w:rPr>
        <w:lastRenderedPageBreak/>
        <w:t>[37]</w:t>
      </w:r>
      <w:r>
        <w:rPr>
          <w:rFonts w:ascii="Arial" w:hAnsi="Arial" w:cs="Arial"/>
          <w:sz w:val="24"/>
          <w:lang w:val="en-GB"/>
        </w:rPr>
        <w:tab/>
      </w:r>
      <w:r w:rsidR="00E46F92" w:rsidRPr="00576ECA">
        <w:rPr>
          <w:rFonts w:ascii="Arial" w:hAnsi="Arial" w:cs="Arial"/>
          <w:sz w:val="24"/>
          <w:lang w:val="en-GB"/>
        </w:rPr>
        <w:t>In All Pay 1</w:t>
      </w:r>
      <w:r w:rsidR="00E46F92">
        <w:rPr>
          <w:rStyle w:val="FootnoteReference"/>
          <w:rFonts w:ascii="Arial" w:hAnsi="Arial" w:cs="Arial"/>
          <w:sz w:val="24"/>
          <w:lang w:val="en-GB"/>
        </w:rPr>
        <w:footnoteReference w:id="11"/>
      </w:r>
      <w:r w:rsidR="00E46F92" w:rsidRPr="00576ECA">
        <w:rPr>
          <w:rFonts w:ascii="Arial" w:hAnsi="Arial" w:cs="Arial"/>
          <w:sz w:val="24"/>
          <w:lang w:val="en-GB"/>
        </w:rPr>
        <w:t>, the Constitutional Court described this principle as follows:</w:t>
      </w:r>
    </w:p>
    <w:p w:rsidR="00E46F92" w:rsidRDefault="00E46F92" w:rsidP="00E46F92">
      <w:pPr>
        <w:pStyle w:val="ListParagraph"/>
        <w:spacing w:line="240" w:lineRule="auto"/>
        <w:ind w:left="360"/>
        <w:jc w:val="both"/>
        <w:rPr>
          <w:rFonts w:ascii="Arial" w:hAnsi="Arial" w:cs="Arial"/>
          <w:i/>
          <w:lang w:val="en-GB"/>
        </w:rPr>
      </w:pPr>
      <w:r>
        <w:rPr>
          <w:rFonts w:ascii="Arial" w:eastAsia="Times New Roman" w:hAnsi="Arial" w:cs="Arial"/>
          <w:i/>
          <w:color w:val="000000"/>
          <w:lang w:eastAsia="en-ZA"/>
        </w:rPr>
        <w:t>“[67] It is true that any invalidation of the existing contract as a result of the invalid tender should not result in any loss to Cash Paymaster. The converse, however, is also true. It has no right to benefit from an unlawful contract.” </w:t>
      </w:r>
    </w:p>
    <w:p w:rsidR="00E46F92" w:rsidRDefault="00E46F92" w:rsidP="00E46F92">
      <w:pPr>
        <w:pStyle w:val="ListParagraph"/>
        <w:rPr>
          <w:rFonts w:ascii="Arial" w:hAnsi="Arial" w:cs="Arial"/>
          <w:sz w:val="24"/>
          <w:lang w:val="en-GB"/>
        </w:rPr>
      </w:pPr>
    </w:p>
    <w:p w:rsidR="00E46F92" w:rsidRPr="00576ECA" w:rsidRDefault="00576ECA" w:rsidP="00576ECA">
      <w:pPr>
        <w:spacing w:line="480" w:lineRule="auto"/>
        <w:ind w:left="360" w:hanging="360"/>
        <w:jc w:val="both"/>
        <w:rPr>
          <w:rFonts w:ascii="Arial" w:hAnsi="Arial" w:cs="Arial"/>
          <w:i/>
          <w:sz w:val="24"/>
          <w:lang w:val="en-GB"/>
        </w:rPr>
      </w:pPr>
      <w:r>
        <w:rPr>
          <w:rFonts w:ascii="Arial" w:hAnsi="Arial" w:cs="Arial"/>
          <w:sz w:val="24"/>
          <w:lang w:val="en-GB"/>
        </w:rPr>
        <w:t>[38]</w:t>
      </w:r>
      <w:r>
        <w:rPr>
          <w:rFonts w:ascii="Arial" w:hAnsi="Arial" w:cs="Arial"/>
          <w:sz w:val="24"/>
          <w:lang w:val="en-GB"/>
        </w:rPr>
        <w:tab/>
      </w:r>
      <w:r w:rsidR="00E46F92" w:rsidRPr="00576ECA">
        <w:rPr>
          <w:rFonts w:ascii="Arial" w:hAnsi="Arial" w:cs="Arial"/>
          <w:sz w:val="24"/>
          <w:lang w:val="en-GB"/>
        </w:rPr>
        <w:t>In All Pay 2, concerning this principle, the Constitutional Court said:</w:t>
      </w:r>
    </w:p>
    <w:p w:rsidR="00E46F92" w:rsidRDefault="004D7A63" w:rsidP="004D7A63">
      <w:pPr>
        <w:pStyle w:val="ListParagraph"/>
        <w:spacing w:line="240" w:lineRule="auto"/>
        <w:ind w:left="360"/>
        <w:jc w:val="both"/>
        <w:rPr>
          <w:rFonts w:ascii="Arial" w:hAnsi="Arial" w:cs="Arial"/>
          <w:i/>
          <w:color w:val="000000"/>
        </w:rPr>
      </w:pPr>
      <w:r>
        <w:rPr>
          <w:rFonts w:ascii="Arial" w:hAnsi="Arial" w:cs="Arial"/>
          <w:i/>
          <w:lang w:val="en-GB"/>
        </w:rPr>
        <w:t xml:space="preserve">“[30] </w:t>
      </w:r>
      <w:r w:rsidR="00E46F92">
        <w:rPr>
          <w:rFonts w:ascii="Arial" w:hAnsi="Arial" w:cs="Arial"/>
          <w:i/>
          <w:color w:val="000000"/>
        </w:rPr>
        <w:t xml:space="preserve">Logic, general legal principle, the Constitution, and the binding authority of this court all pointed to a default position requiring the consequences of invalidity to be corrected or reversed where they can no longer be prevented. </w:t>
      </w:r>
    </w:p>
    <w:p w:rsidR="00E46F92" w:rsidRDefault="00E46F92" w:rsidP="00E46F92">
      <w:pPr>
        <w:pStyle w:val="ListParagraph"/>
        <w:spacing w:line="240" w:lineRule="auto"/>
        <w:ind w:left="1440"/>
        <w:jc w:val="both"/>
        <w:rPr>
          <w:rFonts w:ascii="Arial" w:hAnsi="Arial" w:cs="Arial"/>
          <w:i/>
          <w:color w:val="000000"/>
        </w:rPr>
      </w:pPr>
    </w:p>
    <w:p w:rsidR="00E46F92" w:rsidRDefault="00E46F92" w:rsidP="00E46F92">
      <w:pPr>
        <w:pStyle w:val="ListParagraph"/>
        <w:spacing w:line="240" w:lineRule="auto"/>
        <w:ind w:left="1440"/>
        <w:jc w:val="both"/>
        <w:rPr>
          <w:rFonts w:ascii="Verdana" w:hAnsi="Verdana"/>
          <w:color w:val="000000"/>
          <w:sz w:val="20"/>
          <w:szCs w:val="20"/>
        </w:rPr>
      </w:pPr>
    </w:p>
    <w:p w:rsidR="00E46F92" w:rsidRPr="00576ECA" w:rsidRDefault="00576ECA" w:rsidP="00576ECA">
      <w:pPr>
        <w:spacing w:line="480" w:lineRule="auto"/>
        <w:ind w:left="360" w:hanging="36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46F92" w:rsidRPr="00576ECA">
        <w:rPr>
          <w:rFonts w:ascii="Arial" w:hAnsi="Arial" w:cs="Arial"/>
          <w:sz w:val="24"/>
          <w:szCs w:val="24"/>
          <w:lang w:val="en-GB"/>
        </w:rPr>
        <w:t xml:space="preserve">In </w:t>
      </w:r>
      <w:r w:rsidR="00E46F92" w:rsidRPr="00576ECA">
        <w:rPr>
          <w:rFonts w:ascii="Arial" w:hAnsi="Arial" w:cs="Arial"/>
          <w:i/>
          <w:sz w:val="24"/>
          <w:szCs w:val="24"/>
        </w:rPr>
        <w:t>Steenkamp NO v Provincial Tender Board of the Eastern Cape</w:t>
      </w:r>
      <w:r w:rsidR="00E46F92">
        <w:rPr>
          <w:rStyle w:val="FootnoteReference"/>
          <w:rFonts w:ascii="Arial" w:hAnsi="Arial" w:cs="Arial"/>
          <w:sz w:val="24"/>
          <w:szCs w:val="24"/>
        </w:rPr>
        <w:footnoteReference w:id="12"/>
      </w:r>
      <w:r w:rsidR="00E46F92" w:rsidRPr="00576ECA">
        <w:rPr>
          <w:rFonts w:ascii="Arial" w:hAnsi="Arial" w:cs="Arial"/>
          <w:sz w:val="24"/>
          <w:szCs w:val="24"/>
        </w:rPr>
        <w:t xml:space="preserve"> the Constitutional Court explained that : </w:t>
      </w:r>
    </w:p>
    <w:p w:rsidR="00E46F92" w:rsidRDefault="00E46F92" w:rsidP="00E46F92">
      <w:pPr>
        <w:pStyle w:val="ListParagraph"/>
        <w:spacing w:before="120" w:after="0" w:line="240" w:lineRule="auto"/>
        <w:ind w:left="360"/>
        <w:jc w:val="both"/>
        <w:rPr>
          <w:rFonts w:ascii="Arial" w:eastAsia="Times New Roman" w:hAnsi="Arial" w:cs="Arial"/>
          <w:i/>
          <w:color w:val="000000"/>
          <w:sz w:val="20"/>
          <w:szCs w:val="20"/>
          <w:lang w:val="en-ZA" w:eastAsia="en-ZA"/>
        </w:rPr>
      </w:pPr>
      <w:r>
        <w:rPr>
          <w:rFonts w:ascii="Arial" w:eastAsia="Times New Roman" w:hAnsi="Arial" w:cs="Arial"/>
          <w:i/>
          <w:color w:val="000000"/>
          <w:sz w:val="20"/>
          <w:szCs w:val="20"/>
          <w:lang w:val="en-ZA" w:eastAsia="en-ZA"/>
        </w:rPr>
        <w:t>“[29] It goes without saying that every improper performance of an administrative function would implicate the Constitution and entitle the aggrieved party to appropriate relief.</w:t>
      </w:r>
      <w:bookmarkStart w:id="2" w:name="0-0-0-338301"/>
      <w:bookmarkEnd w:id="2"/>
      <w:r>
        <w:rPr>
          <w:rFonts w:ascii="Arial" w:eastAsia="Times New Roman" w:hAnsi="Arial" w:cs="Arial"/>
          <w:i/>
          <w:color w:val="808080"/>
          <w:sz w:val="20"/>
          <w:szCs w:val="20"/>
          <w:lang w:val="en-ZA" w:eastAsia="en-ZA"/>
        </w:rPr>
        <w:fldChar w:fldCharType="begin"/>
      </w:r>
      <w:r>
        <w:rPr>
          <w:rFonts w:ascii="Arial" w:eastAsia="Times New Roman" w:hAnsi="Arial" w:cs="Arial"/>
          <w:i/>
          <w:color w:val="808080"/>
          <w:sz w:val="20"/>
          <w:szCs w:val="20"/>
          <w:lang w:val="en-ZA" w:eastAsia="en-ZA"/>
        </w:rPr>
        <w:instrText xml:space="preserve"> HYPERLINK "https://jutastat.juta.co.za/nxt/gateway.dll/salr/3/3524/3619/3633?f=templates$fn=document-frameset.htm$q=%5Band%3A%5Bfield,CaseName%3ASteenkamp%5D%20%5Bor%3A%5Bfield,Citation%3A%5Borderedprox,0%3A2007%20(3)%20SA%20121%5D%5D%20%5Bfield,Citation%3A%5Borderedprox,0%3A2007%20(3)%20SACR%20121%5D%5D%20%5Bfield,Citation%3A%5Borderedprox,0%3A2007%20AD%20121%5D%5D%20%5Bfield,Citation%3A%5Borderedprox,0%3A2007%20BIP%20121%5D%5D%20%5Bfield,Citation%3A%5Borderedprox,0%3A2007%20BP%20121%5D%5D%20%5Bfield,Citation%3A%5Borderedprox,0%3A2007%20JDR%20121%5D%5D%20%5Bfield,Citation%3A%5Borderedprox,0%3A2007%20(3)%20ILJ%20121%5D%5D%5D%5D%20$x=server$3.0" \l "end_0-0-0-338303" </w:instrText>
      </w:r>
      <w:r>
        <w:rPr>
          <w:rFonts w:ascii="Arial" w:eastAsia="Times New Roman" w:hAnsi="Arial" w:cs="Arial"/>
          <w:i/>
          <w:color w:val="808080"/>
          <w:sz w:val="20"/>
          <w:szCs w:val="20"/>
          <w:lang w:val="en-ZA" w:eastAsia="en-ZA"/>
        </w:rPr>
        <w:fldChar w:fldCharType="separate"/>
      </w:r>
      <w:r>
        <w:rPr>
          <w:rStyle w:val="Hyperlink"/>
          <w:rFonts w:ascii="Arial" w:eastAsia="Times New Roman" w:hAnsi="Arial" w:cs="Arial"/>
          <w:i/>
          <w:color w:val="808080"/>
          <w:sz w:val="20"/>
          <w:szCs w:val="20"/>
          <w:lang w:val="en-ZA" w:eastAsia="en-ZA"/>
        </w:rPr>
        <w:t>27</w:t>
      </w:r>
      <w:r>
        <w:rPr>
          <w:rFonts w:ascii="Arial" w:eastAsia="Times New Roman" w:hAnsi="Arial" w:cs="Arial"/>
          <w:i/>
          <w:color w:val="808080"/>
          <w:sz w:val="20"/>
          <w:szCs w:val="20"/>
          <w:lang w:val="en-ZA" w:eastAsia="en-ZA"/>
        </w:rPr>
        <w:fldChar w:fldCharType="end"/>
      </w:r>
      <w:r>
        <w:rPr>
          <w:rFonts w:ascii="Arial" w:eastAsia="Times New Roman" w:hAnsi="Arial" w:cs="Arial"/>
          <w:i/>
          <w:color w:val="000000"/>
          <w:sz w:val="20"/>
          <w:szCs w:val="20"/>
          <w:lang w:val="en-ZA" w:eastAsia="en-ZA"/>
        </w:rPr>
        <w:t>  In each case the remedy must fit the injury. The remedy must be fair to those affected by it and yet vindicate effectively the right violated.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public-law remedy is to pre-empt or correct or reverse an improper administrative function. In some instances the remedy takes the form of an order to make or not to make a particular decision or an order declaring rights or an injunction to furnish reasons for an adverse decision. Ultimately the purpose of a public remedy is to afford the prejudiced party administrative justice, to advance efficient and effective public administration compelled by constitutional precepts and at a broader level, to entrench the rule of law.”</w:t>
      </w:r>
    </w:p>
    <w:p w:rsidR="00E46F92" w:rsidRDefault="00E46F92" w:rsidP="00E46F92">
      <w:pPr>
        <w:pStyle w:val="ListParagraph"/>
        <w:spacing w:line="480" w:lineRule="auto"/>
        <w:ind w:left="360"/>
        <w:jc w:val="both"/>
        <w:rPr>
          <w:rFonts w:ascii="Arial" w:hAnsi="Arial" w:cs="Arial"/>
          <w:i/>
          <w:sz w:val="24"/>
          <w:lang w:val="en-GB"/>
        </w:rPr>
      </w:pPr>
    </w:p>
    <w:p w:rsidR="00E46F92" w:rsidRDefault="00576ECA" w:rsidP="00576ECA">
      <w:pPr>
        <w:pStyle w:val="p3"/>
        <w:spacing w:line="480" w:lineRule="auto"/>
        <w:ind w:left="360" w:hanging="360"/>
        <w:jc w:val="both"/>
        <w:rPr>
          <w:rFonts w:ascii="Arial" w:hAnsi="Arial" w:cs="Arial"/>
        </w:rPr>
      </w:pPr>
      <w:r>
        <w:rPr>
          <w:rFonts w:ascii="Arial" w:hAnsi="Arial" w:cs="Arial"/>
        </w:rPr>
        <w:t>[40]</w:t>
      </w:r>
      <w:r>
        <w:rPr>
          <w:rFonts w:ascii="Arial" w:hAnsi="Arial" w:cs="Arial"/>
        </w:rPr>
        <w:tab/>
      </w:r>
      <w:r w:rsidR="00E46F92">
        <w:rPr>
          <w:rFonts w:ascii="Arial" w:hAnsi="Arial" w:cs="Arial"/>
          <w:lang w:val="en-GB"/>
        </w:rPr>
        <w:t xml:space="preserve">Concerning the purpose of just and equitable relief </w:t>
      </w:r>
      <w:r w:rsidR="00E46F92">
        <w:rPr>
          <w:rFonts w:ascii="Arial" w:hAnsi="Arial" w:cs="Arial"/>
        </w:rPr>
        <w:t xml:space="preserve">the Constitutional Court in </w:t>
      </w:r>
      <w:r w:rsidR="00E46F92">
        <w:rPr>
          <w:rFonts w:ascii="Arial" w:hAnsi="Arial" w:cs="Arial"/>
          <w:i/>
        </w:rPr>
        <w:t>Bengwenyama</w:t>
      </w:r>
      <w:r w:rsidR="00E46F92">
        <w:rPr>
          <w:rStyle w:val="FootnoteReference"/>
          <w:rFonts w:ascii="Arial" w:hAnsi="Arial" w:cs="Arial"/>
        </w:rPr>
        <w:footnoteReference w:id="13"/>
      </w:r>
      <w:r w:rsidR="00E46F92">
        <w:rPr>
          <w:rFonts w:ascii="Arial" w:hAnsi="Arial" w:cs="Arial"/>
        </w:rPr>
        <w:t xml:space="preserve"> stated that: </w:t>
      </w:r>
      <w:r w:rsidR="00E46F92">
        <w:rPr>
          <w:rFonts w:ascii="Arial" w:hAnsi="Arial" w:cs="Arial"/>
          <w:i/>
        </w:rPr>
        <w:t xml:space="preserve">“The apparent rigour of declaring conduct in conflict with </w:t>
      </w:r>
      <w:r w:rsidR="00E46F92">
        <w:rPr>
          <w:rFonts w:ascii="Arial" w:hAnsi="Arial" w:cs="Arial"/>
          <w:i/>
        </w:rPr>
        <w:lastRenderedPageBreak/>
        <w:t xml:space="preserve">the Constitution … </w:t>
      </w:r>
      <w:r w:rsidR="004D7A63">
        <w:rPr>
          <w:rFonts w:ascii="Arial" w:hAnsi="Arial" w:cs="Arial"/>
          <w:i/>
        </w:rPr>
        <w:t xml:space="preserve">and </w:t>
      </w:r>
      <w:r w:rsidR="00E46F92">
        <w:rPr>
          <w:rFonts w:ascii="Arial" w:hAnsi="Arial" w:cs="Arial"/>
          <w:i/>
        </w:rPr>
        <w:t xml:space="preserve">unlawful is ameliorated … by providing for a just and equitable remedy in its wake.” </w:t>
      </w:r>
    </w:p>
    <w:p w:rsidR="00E46F92" w:rsidRDefault="00E46F92" w:rsidP="00E46F92">
      <w:pPr>
        <w:pStyle w:val="ListParagraph"/>
        <w:rPr>
          <w:rFonts w:ascii="Arial" w:hAnsi="Arial" w:cs="Arial"/>
          <w:sz w:val="24"/>
          <w:lang w:val="en-GB"/>
        </w:rPr>
      </w:pPr>
    </w:p>
    <w:p w:rsidR="00E46F92" w:rsidRPr="00576ECA" w:rsidRDefault="00576ECA" w:rsidP="00576ECA">
      <w:pPr>
        <w:spacing w:line="480" w:lineRule="auto"/>
        <w:ind w:left="360" w:hanging="360"/>
        <w:jc w:val="both"/>
        <w:rPr>
          <w:rFonts w:ascii="Arial" w:hAnsi="Arial" w:cs="Arial"/>
          <w:i/>
          <w:sz w:val="24"/>
          <w:lang w:val="en-GB"/>
        </w:rPr>
      </w:pPr>
      <w:r w:rsidRPr="004D7A63">
        <w:rPr>
          <w:rFonts w:ascii="Arial" w:hAnsi="Arial" w:cs="Arial"/>
          <w:sz w:val="24"/>
          <w:lang w:val="en-GB"/>
        </w:rPr>
        <w:t>[41]</w:t>
      </w:r>
      <w:r w:rsidRPr="004D7A63">
        <w:rPr>
          <w:rFonts w:ascii="Arial" w:hAnsi="Arial" w:cs="Arial"/>
          <w:sz w:val="24"/>
          <w:lang w:val="en-GB"/>
        </w:rPr>
        <w:tab/>
      </w:r>
      <w:r w:rsidR="00E46F92" w:rsidRPr="00576ECA">
        <w:rPr>
          <w:rFonts w:ascii="Arial" w:hAnsi="Arial" w:cs="Arial"/>
          <w:sz w:val="24"/>
          <w:lang w:val="en-GB"/>
        </w:rPr>
        <w:t>The principle has also been app</w:t>
      </w:r>
      <w:r w:rsidR="001D62FE" w:rsidRPr="00576ECA">
        <w:rPr>
          <w:rFonts w:ascii="Arial" w:hAnsi="Arial" w:cs="Arial"/>
          <w:sz w:val="24"/>
          <w:lang w:val="en-GB"/>
        </w:rPr>
        <w:t>lied in the two Full Court judgments</w:t>
      </w:r>
      <w:r w:rsidR="00E46F92" w:rsidRPr="00576ECA">
        <w:rPr>
          <w:rFonts w:ascii="Arial" w:hAnsi="Arial" w:cs="Arial"/>
          <w:sz w:val="24"/>
          <w:lang w:val="en-GB"/>
        </w:rPr>
        <w:t xml:space="preserve"> relied on by the Plaintiffs. </w:t>
      </w:r>
      <w:r w:rsidR="004D7A63" w:rsidRPr="00576ECA">
        <w:rPr>
          <w:rFonts w:ascii="Arial" w:hAnsi="Arial" w:cs="Arial"/>
          <w:sz w:val="24"/>
          <w:lang w:val="en-GB"/>
        </w:rPr>
        <w:t>By reference to the Constitutional Court authorities cited above, as well as several others</w:t>
      </w:r>
      <w:r w:rsidR="001D62FE" w:rsidRPr="00576ECA">
        <w:rPr>
          <w:rFonts w:ascii="Arial" w:hAnsi="Arial" w:cs="Arial"/>
          <w:sz w:val="24"/>
          <w:lang w:val="en-GB"/>
        </w:rPr>
        <w:t>,</w:t>
      </w:r>
      <w:r w:rsidR="004D7A63" w:rsidRPr="00576ECA">
        <w:rPr>
          <w:rFonts w:ascii="Arial" w:hAnsi="Arial" w:cs="Arial"/>
          <w:sz w:val="24"/>
          <w:lang w:val="en-GB"/>
        </w:rPr>
        <w:t xml:space="preserve"> i</w:t>
      </w:r>
      <w:r w:rsidR="00E46F92" w:rsidRPr="00576ECA">
        <w:rPr>
          <w:rFonts w:ascii="Arial" w:hAnsi="Arial" w:cs="Arial"/>
          <w:sz w:val="24"/>
          <w:lang w:val="en-GB"/>
        </w:rPr>
        <w:t xml:space="preserve">n </w:t>
      </w:r>
      <w:r w:rsidR="00E46F92" w:rsidRPr="00576ECA">
        <w:rPr>
          <w:rFonts w:ascii="Arial" w:hAnsi="Arial" w:cs="Arial"/>
          <w:i/>
          <w:sz w:val="24"/>
          <w:lang w:val="en-GB"/>
        </w:rPr>
        <w:t xml:space="preserve">Mott MacDonalds, </w:t>
      </w:r>
      <w:r w:rsidR="00E46F92" w:rsidRPr="00576ECA">
        <w:rPr>
          <w:rFonts w:ascii="Arial" w:hAnsi="Arial" w:cs="Arial"/>
          <w:sz w:val="24"/>
          <w:lang w:val="en-GB"/>
        </w:rPr>
        <w:t xml:space="preserve">the Court succinctly summarised the </w:t>
      </w:r>
      <w:r w:rsidR="004D7A63" w:rsidRPr="00576ECA">
        <w:rPr>
          <w:rFonts w:ascii="Arial" w:hAnsi="Arial" w:cs="Arial"/>
          <w:sz w:val="24"/>
          <w:lang w:val="en-GB"/>
        </w:rPr>
        <w:t>factors to be considered when determining just and equitable remedy. I quote the relevant extract below:</w:t>
      </w:r>
    </w:p>
    <w:p w:rsidR="00E46F92" w:rsidRDefault="00E46F92" w:rsidP="00E46F92">
      <w:pPr>
        <w:pStyle w:val="p3"/>
        <w:spacing w:before="0" w:beforeAutospacing="0" w:after="0" w:afterAutospacing="0"/>
        <w:ind w:left="720"/>
        <w:jc w:val="both"/>
        <w:rPr>
          <w:rFonts w:ascii="Arial" w:hAnsi="Arial" w:cs="Arial"/>
          <w:i/>
          <w:sz w:val="22"/>
          <w:szCs w:val="22"/>
        </w:rPr>
      </w:pPr>
      <w:r>
        <w:rPr>
          <w:rStyle w:val="s2"/>
          <w:rFonts w:ascii="Arial" w:hAnsi="Arial" w:cs="Arial"/>
          <w:i/>
          <w:sz w:val="22"/>
          <w:szCs w:val="22"/>
        </w:rPr>
        <w:t>“88. The main principles that are relevant to this case may be briefly summarized as follows:</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1.</w:t>
      </w:r>
      <w:r>
        <w:rPr>
          <w:rFonts w:ascii="Arial" w:eastAsia="Times New Roman" w:hAnsi="Arial" w:cs="Arial"/>
          <w:i/>
        </w:rPr>
        <w:tab/>
      </w:r>
      <w:r w:rsidR="00E46F92">
        <w:rPr>
          <w:rStyle w:val="s2"/>
          <w:rFonts w:ascii="Arial" w:eastAsia="Times New Roman" w:hAnsi="Arial" w:cs="Arial"/>
          <w:i/>
        </w:rPr>
        <w:t>A court enjoys a wide discretion under s 172(1)(b) to grant the remedial relief.  It is bound only by considerations of justice and equity. [44]</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2.</w:t>
      </w:r>
      <w:r>
        <w:rPr>
          <w:rFonts w:ascii="Arial" w:eastAsia="Times New Roman" w:hAnsi="Arial" w:cs="Arial"/>
          <w:i/>
        </w:rPr>
        <w:tab/>
      </w:r>
      <w:r w:rsidR="00E46F92">
        <w:rPr>
          <w:rStyle w:val="s2"/>
          <w:rFonts w:ascii="Arial" w:eastAsia="Times New Roman" w:hAnsi="Arial" w:cs="Arial"/>
          <w:i/>
        </w:rPr>
        <w:t>The remedy must be fair to those affected, but it must also vindicate the rights violated.  It must be just and equitable in light of the facts and the implicated constitutional principles. [45]</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3.</w:t>
      </w:r>
      <w:r>
        <w:rPr>
          <w:rFonts w:ascii="Arial" w:eastAsia="Times New Roman" w:hAnsi="Arial" w:cs="Arial"/>
          <w:i/>
        </w:rPr>
        <w:tab/>
      </w:r>
      <w:r w:rsidR="00E46F92">
        <w:rPr>
          <w:rStyle w:val="s2"/>
          <w:rFonts w:ascii="Arial" w:eastAsia="Times New Roman" w:hAnsi="Arial" w:cs="Arial"/>
          <w:i/>
        </w:rPr>
        <w:t>The default position is that the consequences of invalidity must be corrected, where this is still possible, or reversed, if prevention of invalidity is no longer possible. [46]</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4.</w:t>
      </w:r>
      <w:r>
        <w:rPr>
          <w:rFonts w:ascii="Arial" w:eastAsia="Times New Roman" w:hAnsi="Arial" w:cs="Arial"/>
          <w:i/>
        </w:rPr>
        <w:tab/>
      </w:r>
      <w:r w:rsidR="00E46F92">
        <w:rPr>
          <w:rStyle w:val="s2"/>
          <w:rFonts w:ascii="Arial" w:eastAsia="Times New Roman" w:hAnsi="Arial" w:cs="Arial"/>
          <w:i/>
        </w:rPr>
        <w:t>The guiding principle is that of legality, and courts should give full effect to the finding of invalidity in granting remedial relief.  Relief that does not give full effect to the finding of invalidity must be justified in the particular circumstances of the case. [47]</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5.</w:t>
      </w:r>
      <w:r>
        <w:rPr>
          <w:rFonts w:ascii="Arial" w:eastAsia="Times New Roman" w:hAnsi="Arial" w:cs="Arial"/>
          <w:i/>
        </w:rPr>
        <w:tab/>
      </w:r>
      <w:r w:rsidR="00E46F92">
        <w:rPr>
          <w:rStyle w:val="s2"/>
          <w:rFonts w:ascii="Arial" w:eastAsia="Times New Roman" w:hAnsi="Arial" w:cs="Arial"/>
          <w:i/>
        </w:rPr>
        <w:t>The just and equitable inquiry is multi-dimensional, and involves a consideration of factors such as the nature of the irregularity and the role of the respective parties. [48]</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6.</w:t>
      </w:r>
      <w:r>
        <w:rPr>
          <w:rFonts w:ascii="Arial" w:eastAsia="Times New Roman" w:hAnsi="Arial" w:cs="Arial"/>
          <w:i/>
        </w:rPr>
        <w:tab/>
      </w:r>
      <w:r w:rsidR="00E46F92">
        <w:rPr>
          <w:rStyle w:val="s2"/>
          <w:rFonts w:ascii="Arial" w:eastAsia="Times New Roman" w:hAnsi="Arial" w:cs="Arial"/>
          <w:i/>
        </w:rPr>
        <w:t>In the context of public-procurement matters, the primacy of the public interest must be taken into account when the rights of other affected parties are assessed. [49]</w:t>
      </w:r>
    </w:p>
    <w:p w:rsidR="00E46F92" w:rsidRDefault="00576ECA" w:rsidP="00576ECA">
      <w:pPr>
        <w:tabs>
          <w:tab w:val="left" w:pos="2160"/>
        </w:tabs>
        <w:spacing w:after="0" w:line="240" w:lineRule="auto"/>
        <w:ind w:left="2160" w:hanging="360"/>
        <w:jc w:val="both"/>
        <w:rPr>
          <w:rFonts w:ascii="Arial" w:eastAsia="Times New Roman" w:hAnsi="Arial" w:cs="Arial"/>
          <w:i/>
        </w:rPr>
      </w:pPr>
      <w:r>
        <w:rPr>
          <w:rFonts w:ascii="Arial" w:eastAsia="Times New Roman" w:hAnsi="Arial" w:cs="Arial"/>
          <w:i/>
        </w:rPr>
        <w:t>7.</w:t>
      </w:r>
      <w:r>
        <w:rPr>
          <w:rFonts w:ascii="Arial" w:eastAsia="Times New Roman" w:hAnsi="Arial" w:cs="Arial"/>
          <w:i/>
        </w:rPr>
        <w:tab/>
      </w:r>
      <w:r w:rsidR="00E46F92">
        <w:rPr>
          <w:rStyle w:val="s2"/>
          <w:rFonts w:ascii="Arial" w:eastAsia="Times New Roman" w:hAnsi="Arial" w:cs="Arial"/>
          <w:i/>
        </w:rPr>
        <w:t>Even an innocent contractor has no right to benefit from the proceeds of an invalid contract.  This does not mean that it must suffer a loss, but any benefit it did derive should not be beyond public scrutiny. [50]</w:t>
      </w:r>
    </w:p>
    <w:p w:rsidR="00E46F92" w:rsidRDefault="00E46F92" w:rsidP="00E46F92">
      <w:pPr>
        <w:pStyle w:val="p2"/>
        <w:spacing w:before="0" w:beforeAutospacing="0" w:after="0" w:afterAutospacing="0"/>
        <w:ind w:left="720"/>
        <w:jc w:val="both"/>
        <w:rPr>
          <w:rFonts w:ascii="Arial" w:hAnsi="Arial" w:cs="Arial"/>
          <w:i/>
          <w:sz w:val="22"/>
          <w:szCs w:val="22"/>
        </w:rPr>
      </w:pPr>
    </w:p>
    <w:p w:rsidR="00DA13A8" w:rsidRPr="00576ECA" w:rsidRDefault="00576ECA" w:rsidP="00576ECA">
      <w:pPr>
        <w:spacing w:line="480" w:lineRule="auto"/>
        <w:ind w:left="360" w:hanging="360"/>
        <w:jc w:val="both"/>
        <w:rPr>
          <w:rFonts w:ascii="Arial" w:hAnsi="Arial" w:cs="Arial"/>
          <w:sz w:val="24"/>
        </w:rPr>
      </w:pPr>
      <w:r>
        <w:rPr>
          <w:rFonts w:ascii="Arial" w:hAnsi="Arial" w:cs="Arial"/>
          <w:sz w:val="24"/>
        </w:rPr>
        <w:t>[42]</w:t>
      </w:r>
      <w:r>
        <w:rPr>
          <w:rFonts w:ascii="Arial" w:hAnsi="Arial" w:cs="Arial"/>
          <w:sz w:val="24"/>
        </w:rPr>
        <w:tab/>
      </w:r>
      <w:r w:rsidR="00DA13A8" w:rsidRPr="00576ECA">
        <w:rPr>
          <w:rFonts w:ascii="Arial" w:hAnsi="Arial" w:cs="Arial"/>
          <w:sz w:val="24"/>
        </w:rPr>
        <w:t xml:space="preserve">The above principles are equally relevant in the present case. </w:t>
      </w:r>
    </w:p>
    <w:p w:rsidR="00DA13A8" w:rsidRDefault="00DA13A8" w:rsidP="00DA13A8">
      <w:pPr>
        <w:pStyle w:val="ListParagraph"/>
        <w:spacing w:line="480" w:lineRule="auto"/>
        <w:ind w:left="360"/>
        <w:jc w:val="both"/>
        <w:rPr>
          <w:rFonts w:ascii="Arial" w:hAnsi="Arial" w:cs="Arial"/>
          <w:sz w:val="24"/>
        </w:rPr>
      </w:pPr>
    </w:p>
    <w:p w:rsidR="000C3AB3" w:rsidRPr="00576ECA" w:rsidRDefault="00576ECA" w:rsidP="00576ECA">
      <w:pPr>
        <w:spacing w:line="480" w:lineRule="auto"/>
        <w:ind w:left="360" w:hanging="360"/>
        <w:jc w:val="both"/>
        <w:rPr>
          <w:rFonts w:ascii="Arial" w:hAnsi="Arial" w:cs="Arial"/>
          <w:sz w:val="24"/>
        </w:rPr>
      </w:pPr>
      <w:r>
        <w:rPr>
          <w:rFonts w:ascii="Arial" w:hAnsi="Arial" w:cs="Arial"/>
          <w:sz w:val="24"/>
        </w:rPr>
        <w:t>[43]</w:t>
      </w:r>
      <w:r>
        <w:rPr>
          <w:rFonts w:ascii="Arial" w:hAnsi="Arial" w:cs="Arial"/>
          <w:sz w:val="24"/>
        </w:rPr>
        <w:tab/>
      </w:r>
      <w:r w:rsidR="00DA13A8" w:rsidRPr="00576ECA">
        <w:rPr>
          <w:rFonts w:ascii="Arial" w:hAnsi="Arial" w:cs="Arial"/>
          <w:sz w:val="24"/>
        </w:rPr>
        <w:t xml:space="preserve">It is important for each party to lay the factual basis for the Tribunal to exercise its discretionary remedial powers in their favour. Simply pleading the facts without leading </w:t>
      </w:r>
      <w:r w:rsidR="00DA13A8" w:rsidRPr="00576ECA">
        <w:rPr>
          <w:rFonts w:ascii="Arial" w:hAnsi="Arial" w:cs="Arial"/>
          <w:sz w:val="24"/>
        </w:rPr>
        <w:lastRenderedPageBreak/>
        <w:t xml:space="preserve">evidence as the parties have done here, is wholly inadequate. </w:t>
      </w:r>
      <w:r w:rsidR="00E46F92" w:rsidRPr="00576ECA">
        <w:rPr>
          <w:rFonts w:ascii="Arial" w:hAnsi="Arial" w:cs="Arial"/>
          <w:sz w:val="24"/>
        </w:rPr>
        <w:t>Since the review segment of th</w:t>
      </w:r>
      <w:r w:rsidR="000C3AB3" w:rsidRPr="00576ECA">
        <w:rPr>
          <w:rFonts w:ascii="Arial" w:hAnsi="Arial" w:cs="Arial"/>
          <w:sz w:val="24"/>
        </w:rPr>
        <w:t xml:space="preserve">e present proceedings </w:t>
      </w:r>
      <w:r w:rsidR="00E46F92" w:rsidRPr="00576ECA">
        <w:rPr>
          <w:rFonts w:ascii="Arial" w:hAnsi="Arial" w:cs="Arial"/>
          <w:sz w:val="24"/>
        </w:rPr>
        <w:t>was settled by agreement between the parties</w:t>
      </w:r>
      <w:r w:rsidR="004D7A63" w:rsidRPr="00576ECA">
        <w:rPr>
          <w:rFonts w:ascii="Arial" w:hAnsi="Arial" w:cs="Arial"/>
          <w:sz w:val="24"/>
        </w:rPr>
        <w:t>, I am constrained to formulate the just and equitable remedy</w:t>
      </w:r>
      <w:r w:rsidR="00E46F92" w:rsidRPr="00576ECA">
        <w:rPr>
          <w:rFonts w:ascii="Arial" w:hAnsi="Arial" w:cs="Arial"/>
          <w:sz w:val="24"/>
        </w:rPr>
        <w:t xml:space="preserve"> on the basis of the parties’ written and oral submissions, </w:t>
      </w:r>
      <w:r w:rsidR="004D7A63" w:rsidRPr="00576ECA">
        <w:rPr>
          <w:rFonts w:ascii="Arial" w:hAnsi="Arial" w:cs="Arial"/>
          <w:sz w:val="24"/>
        </w:rPr>
        <w:t>as I have</w:t>
      </w:r>
      <w:r w:rsidR="00E46F92" w:rsidRPr="00576ECA">
        <w:rPr>
          <w:rFonts w:ascii="Arial" w:hAnsi="Arial" w:cs="Arial"/>
          <w:sz w:val="24"/>
        </w:rPr>
        <w:t xml:space="preserve"> not bee</w:t>
      </w:r>
      <w:r w:rsidR="004D7A63" w:rsidRPr="00576ECA">
        <w:rPr>
          <w:rFonts w:ascii="Arial" w:hAnsi="Arial" w:cs="Arial"/>
          <w:sz w:val="24"/>
        </w:rPr>
        <w:t>n afforded the relevant evidentiary</w:t>
      </w:r>
      <w:r w:rsidR="00E46F92" w:rsidRPr="00576ECA">
        <w:rPr>
          <w:rFonts w:ascii="Arial" w:hAnsi="Arial" w:cs="Arial"/>
          <w:sz w:val="24"/>
        </w:rPr>
        <w:t xml:space="preserve"> material to </w:t>
      </w:r>
      <w:r w:rsidR="00DA13A8" w:rsidRPr="00576ECA">
        <w:rPr>
          <w:rFonts w:ascii="Arial" w:hAnsi="Arial" w:cs="Arial"/>
          <w:sz w:val="24"/>
        </w:rPr>
        <w:t xml:space="preserve">judicially consider </w:t>
      </w:r>
      <w:r w:rsidR="000C3AB3" w:rsidRPr="00576ECA">
        <w:rPr>
          <w:rFonts w:ascii="Arial" w:hAnsi="Arial" w:cs="Arial"/>
          <w:sz w:val="24"/>
        </w:rPr>
        <w:t>the above</w:t>
      </w:r>
      <w:r w:rsidR="00E46F92" w:rsidRPr="00576ECA">
        <w:rPr>
          <w:rFonts w:ascii="Arial" w:hAnsi="Arial" w:cs="Arial"/>
          <w:sz w:val="24"/>
        </w:rPr>
        <w:t xml:space="preserve"> factors.</w:t>
      </w:r>
      <w:r w:rsidR="000C3AB3" w:rsidRPr="00576ECA">
        <w:rPr>
          <w:rFonts w:ascii="Arial" w:hAnsi="Arial" w:cs="Arial"/>
          <w:sz w:val="24"/>
        </w:rPr>
        <w:t xml:space="preserve"> </w:t>
      </w:r>
    </w:p>
    <w:p w:rsidR="00E46F92" w:rsidRDefault="00E46F92" w:rsidP="00380AFB">
      <w:pPr>
        <w:pStyle w:val="ListParagraph"/>
        <w:spacing w:after="0" w:line="480" w:lineRule="auto"/>
        <w:ind w:left="360"/>
        <w:jc w:val="both"/>
        <w:rPr>
          <w:rFonts w:ascii="Arial" w:hAnsi="Arial" w:cs="Arial"/>
          <w:sz w:val="24"/>
        </w:rPr>
      </w:pPr>
    </w:p>
    <w:p w:rsidR="00DA13A8" w:rsidRPr="00576ECA" w:rsidRDefault="00576ECA" w:rsidP="00576ECA">
      <w:pPr>
        <w:suppressAutoHyphens/>
        <w:spacing w:before="240" w:after="240" w:line="480" w:lineRule="auto"/>
        <w:ind w:left="360" w:hanging="36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A13A8" w:rsidRPr="00576ECA">
        <w:rPr>
          <w:rFonts w:ascii="Arial" w:hAnsi="Arial" w:cs="Arial"/>
          <w:sz w:val="24"/>
        </w:rPr>
        <w:t>As already stated, the Plaintiffs</w:t>
      </w:r>
      <w:r w:rsidR="00315EA0" w:rsidRPr="00576ECA">
        <w:rPr>
          <w:rFonts w:ascii="Arial" w:hAnsi="Arial" w:cs="Arial"/>
          <w:sz w:val="24"/>
        </w:rPr>
        <w:t>’</w:t>
      </w:r>
      <w:r w:rsidR="00DA13A8" w:rsidRPr="00576ECA">
        <w:rPr>
          <w:rFonts w:ascii="Arial" w:hAnsi="Arial" w:cs="Arial"/>
          <w:sz w:val="24"/>
        </w:rPr>
        <w:t xml:space="preserve"> petition to order repayment of the pre-paid amounts </w:t>
      </w:r>
      <w:r w:rsidR="00B76BAF" w:rsidRPr="00576ECA">
        <w:rPr>
          <w:rFonts w:ascii="Arial" w:hAnsi="Arial" w:cs="Arial"/>
          <w:sz w:val="24"/>
        </w:rPr>
        <w:t xml:space="preserve">is inconsistent with the applicable trite legal principle. They have </w:t>
      </w:r>
      <w:r w:rsidR="001D62FE" w:rsidRPr="00576ECA">
        <w:rPr>
          <w:rFonts w:ascii="Arial" w:hAnsi="Arial" w:cs="Arial"/>
          <w:sz w:val="24"/>
        </w:rPr>
        <w:t xml:space="preserve">also </w:t>
      </w:r>
      <w:r w:rsidR="00B76BAF" w:rsidRPr="00576ECA">
        <w:rPr>
          <w:rFonts w:ascii="Arial" w:hAnsi="Arial" w:cs="Arial"/>
          <w:sz w:val="24"/>
        </w:rPr>
        <w:t xml:space="preserve">not established any factual basis on which the Tribunal should exercise its discretionary remedial powers to order repayment of the pre-paid amount </w:t>
      </w:r>
      <w:r w:rsidR="00DA13A8" w:rsidRPr="00576ECA">
        <w:rPr>
          <w:rFonts w:ascii="Arial" w:hAnsi="Arial" w:cs="Arial"/>
          <w:sz w:val="24"/>
        </w:rPr>
        <w:t>or deny the recovery of the reasonable expenses the Defendants incurred to meet their respective obligations under the contracts.</w:t>
      </w:r>
    </w:p>
    <w:p w:rsidR="00DA13A8" w:rsidRPr="00DA13A8" w:rsidRDefault="00DA13A8" w:rsidP="00DA13A8">
      <w:pPr>
        <w:pStyle w:val="ListParagraph"/>
        <w:rPr>
          <w:rFonts w:ascii="Arial" w:hAnsi="Arial" w:cs="Arial"/>
          <w:sz w:val="24"/>
          <w:szCs w:val="24"/>
        </w:rPr>
      </w:pPr>
    </w:p>
    <w:p w:rsidR="00B76BAF" w:rsidRPr="00576ECA" w:rsidRDefault="00576ECA" w:rsidP="00576ECA">
      <w:pPr>
        <w:spacing w:line="480" w:lineRule="auto"/>
        <w:ind w:left="360" w:hanging="360"/>
        <w:jc w:val="both"/>
        <w:rPr>
          <w:rFonts w:ascii="Arial" w:hAnsi="Arial" w:cs="Arial"/>
          <w:sz w:val="24"/>
        </w:rPr>
      </w:pPr>
      <w:r>
        <w:rPr>
          <w:rFonts w:ascii="Arial" w:hAnsi="Arial" w:cs="Arial"/>
          <w:sz w:val="24"/>
        </w:rPr>
        <w:t>[45]</w:t>
      </w:r>
      <w:r>
        <w:rPr>
          <w:rFonts w:ascii="Arial" w:hAnsi="Arial" w:cs="Arial"/>
          <w:sz w:val="24"/>
        </w:rPr>
        <w:tab/>
      </w:r>
      <w:r w:rsidR="00B76BAF" w:rsidRPr="00576ECA">
        <w:rPr>
          <w:rFonts w:ascii="Arial" w:hAnsi="Arial" w:cs="Arial"/>
          <w:sz w:val="24"/>
          <w:szCs w:val="24"/>
        </w:rPr>
        <w:t xml:space="preserve">Profteam has not established on the facts, exceptional circumstances that justify a departure from the no profit principle. Therefore, it has not made out a case for the Tribunal to </w:t>
      </w:r>
      <w:r w:rsidR="00B76BAF" w:rsidRPr="00576ECA">
        <w:rPr>
          <w:rFonts w:ascii="Arial" w:hAnsi="Arial" w:cs="Arial"/>
          <w:sz w:val="24"/>
        </w:rPr>
        <w:t>allow them to retain all their vested rights</w:t>
      </w:r>
      <w:r w:rsidR="00B76BAF" w:rsidRPr="00576ECA">
        <w:rPr>
          <w:rFonts w:ascii="Arial" w:hAnsi="Arial" w:cs="Arial"/>
          <w:sz w:val="24"/>
          <w:szCs w:val="24"/>
        </w:rPr>
        <w:t xml:space="preserve"> as was the case in </w:t>
      </w:r>
      <w:r w:rsidR="00B76BAF" w:rsidRPr="00576ECA">
        <w:rPr>
          <w:rFonts w:ascii="Arial" w:hAnsi="Arial" w:cs="Arial"/>
          <w:i/>
          <w:sz w:val="24"/>
        </w:rPr>
        <w:t>Gijima</w:t>
      </w:r>
      <w:r w:rsidR="00B76BAF" w:rsidRPr="00576ECA">
        <w:rPr>
          <w:rFonts w:ascii="Arial" w:hAnsi="Arial" w:cs="Arial"/>
          <w:sz w:val="24"/>
        </w:rPr>
        <w:t xml:space="preserve">. </w:t>
      </w:r>
    </w:p>
    <w:p w:rsidR="00B76BAF" w:rsidRPr="00B76BAF" w:rsidRDefault="00B76BAF" w:rsidP="00B76BAF">
      <w:pPr>
        <w:pStyle w:val="ListParagraph"/>
        <w:rPr>
          <w:rFonts w:ascii="Arial" w:hAnsi="Arial" w:cs="Arial"/>
          <w:sz w:val="24"/>
          <w:szCs w:val="24"/>
        </w:rPr>
      </w:pPr>
    </w:p>
    <w:p w:rsidR="00380AFB" w:rsidRPr="00576ECA" w:rsidRDefault="00576ECA" w:rsidP="00576ECA">
      <w:pPr>
        <w:suppressAutoHyphens/>
        <w:spacing w:before="240" w:after="240" w:line="480" w:lineRule="auto"/>
        <w:ind w:left="360" w:hanging="36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380AFB" w:rsidRPr="00576ECA">
        <w:rPr>
          <w:rFonts w:ascii="Arial" w:hAnsi="Arial" w:cs="Arial"/>
          <w:sz w:val="24"/>
          <w:szCs w:val="24"/>
        </w:rPr>
        <w:t xml:space="preserve">An exception to </w:t>
      </w:r>
      <w:r w:rsidR="006C109A" w:rsidRPr="00576ECA">
        <w:rPr>
          <w:rFonts w:ascii="Arial" w:hAnsi="Arial" w:cs="Arial"/>
          <w:sz w:val="24"/>
          <w:szCs w:val="24"/>
        </w:rPr>
        <w:t xml:space="preserve">the </w:t>
      </w:r>
      <w:r w:rsidR="00380AFB" w:rsidRPr="00576ECA">
        <w:rPr>
          <w:rFonts w:ascii="Arial" w:hAnsi="Arial" w:cs="Arial"/>
          <w:sz w:val="24"/>
          <w:szCs w:val="24"/>
        </w:rPr>
        <w:t xml:space="preserve">no profit principle was applied in </w:t>
      </w:r>
      <w:r w:rsidR="00380AFB" w:rsidRPr="00576ECA">
        <w:rPr>
          <w:rFonts w:ascii="Arial" w:hAnsi="Arial" w:cs="Arial"/>
          <w:i/>
          <w:sz w:val="24"/>
          <w:szCs w:val="24"/>
        </w:rPr>
        <w:t>Gijima</w:t>
      </w:r>
      <w:r w:rsidR="00380AFB" w:rsidRPr="00576ECA">
        <w:rPr>
          <w:rFonts w:ascii="Arial" w:hAnsi="Arial" w:cs="Arial"/>
          <w:sz w:val="24"/>
          <w:szCs w:val="24"/>
        </w:rPr>
        <w:t xml:space="preserve"> due to the peculiar facts of that case. There, the Constitutional Court ordered that despite a declaration of invalidity, to prevent an unjust outcome, </w:t>
      </w:r>
      <w:r w:rsidR="00380AFB" w:rsidRPr="00576ECA">
        <w:rPr>
          <w:rFonts w:ascii="Arial" w:hAnsi="Arial" w:cs="Arial"/>
          <w:i/>
          <w:sz w:val="24"/>
          <w:szCs w:val="24"/>
        </w:rPr>
        <w:t xml:space="preserve">Gijima </w:t>
      </w:r>
      <w:r w:rsidR="00380AFB" w:rsidRPr="00576ECA">
        <w:rPr>
          <w:rFonts w:ascii="Arial" w:hAnsi="Arial" w:cs="Arial"/>
          <w:sz w:val="24"/>
          <w:szCs w:val="24"/>
        </w:rPr>
        <w:t xml:space="preserve">should not be divested of the profits it would earn from the impugned contract. </w:t>
      </w:r>
      <w:r w:rsidR="00380AFB" w:rsidRPr="00576ECA">
        <w:rPr>
          <w:rFonts w:ascii="Arial" w:hAnsi="Arial" w:cs="Arial"/>
          <w:i/>
          <w:sz w:val="24"/>
          <w:szCs w:val="24"/>
        </w:rPr>
        <w:t xml:space="preserve">Gijima </w:t>
      </w:r>
      <w:r w:rsidR="00380AFB" w:rsidRPr="00576ECA">
        <w:rPr>
          <w:rFonts w:ascii="Arial" w:hAnsi="Arial" w:cs="Arial"/>
          <w:sz w:val="24"/>
          <w:szCs w:val="24"/>
        </w:rPr>
        <w:t xml:space="preserve">had been induced to agree to the termination of a valid contract in exchange for an invalid contract. The Constitutional Court allowed Gijima to retain profits earned from the latter contract to compensate it for the loss it would have suffered as a result of the inducement. </w:t>
      </w:r>
    </w:p>
    <w:p w:rsidR="00380AFB" w:rsidRPr="00193431" w:rsidRDefault="00380AFB" w:rsidP="00380AFB">
      <w:pPr>
        <w:pStyle w:val="ListParagraph"/>
        <w:rPr>
          <w:rFonts w:ascii="Arial" w:hAnsi="Arial" w:cs="Arial"/>
          <w:sz w:val="24"/>
          <w:szCs w:val="24"/>
        </w:rPr>
      </w:pPr>
    </w:p>
    <w:p w:rsidR="00380AFB" w:rsidRPr="00576ECA" w:rsidRDefault="00576ECA" w:rsidP="00576ECA">
      <w:pPr>
        <w:spacing w:line="480" w:lineRule="auto"/>
        <w:ind w:left="360" w:hanging="360"/>
        <w:jc w:val="both"/>
        <w:rPr>
          <w:rFonts w:ascii="Arial" w:hAnsi="Arial" w:cs="Arial"/>
          <w:sz w:val="24"/>
        </w:rPr>
      </w:pPr>
      <w:r>
        <w:rPr>
          <w:rFonts w:ascii="Arial" w:hAnsi="Arial" w:cs="Arial"/>
          <w:sz w:val="24"/>
        </w:rPr>
        <w:t>[47]</w:t>
      </w:r>
      <w:r>
        <w:rPr>
          <w:rFonts w:ascii="Arial" w:hAnsi="Arial" w:cs="Arial"/>
          <w:sz w:val="24"/>
        </w:rPr>
        <w:tab/>
      </w:r>
      <w:r w:rsidR="00380AFB" w:rsidRPr="00576ECA">
        <w:rPr>
          <w:rFonts w:ascii="Arial" w:hAnsi="Arial" w:cs="Arial"/>
          <w:sz w:val="24"/>
        </w:rPr>
        <w:t xml:space="preserve">Therefore, the Plaintiffs’ main claim stands to be dismissed. Their alternative claim stands to be upheld. </w:t>
      </w:r>
      <w:r w:rsidR="006C109A" w:rsidRPr="00576ECA">
        <w:rPr>
          <w:rFonts w:ascii="Arial" w:hAnsi="Arial" w:cs="Arial"/>
          <w:sz w:val="24"/>
        </w:rPr>
        <w:t xml:space="preserve">To the extent the Defendants’ counterclaims are consistent with the Plaintiffs’ alternative claim, they are nugatory. </w:t>
      </w:r>
      <w:r w:rsidR="00380AFB" w:rsidRPr="00576ECA">
        <w:rPr>
          <w:rFonts w:ascii="Arial" w:hAnsi="Arial" w:cs="Arial"/>
          <w:sz w:val="24"/>
        </w:rPr>
        <w:t>T</w:t>
      </w:r>
      <w:r w:rsidR="006C109A" w:rsidRPr="00576ECA">
        <w:rPr>
          <w:rFonts w:ascii="Arial" w:hAnsi="Arial" w:cs="Arial"/>
          <w:sz w:val="24"/>
        </w:rPr>
        <w:t>o the extent they are not, the</w:t>
      </w:r>
      <w:r w:rsidR="00380AFB" w:rsidRPr="00576ECA">
        <w:rPr>
          <w:rFonts w:ascii="Arial" w:hAnsi="Arial" w:cs="Arial"/>
          <w:sz w:val="24"/>
        </w:rPr>
        <w:t xml:space="preserve"> Defendants’ counterclaims </w:t>
      </w:r>
      <w:r w:rsidR="006C109A" w:rsidRPr="00576ECA">
        <w:rPr>
          <w:rFonts w:ascii="Arial" w:hAnsi="Arial" w:cs="Arial"/>
          <w:sz w:val="24"/>
        </w:rPr>
        <w:t xml:space="preserve">stand to be </w:t>
      </w:r>
      <w:r w:rsidR="00380AFB" w:rsidRPr="00576ECA">
        <w:rPr>
          <w:rFonts w:ascii="Arial" w:hAnsi="Arial" w:cs="Arial"/>
          <w:sz w:val="24"/>
        </w:rPr>
        <w:t>dismissed for the reason</w:t>
      </w:r>
      <w:r w:rsidR="00DA13A8" w:rsidRPr="00576ECA">
        <w:rPr>
          <w:rFonts w:ascii="Arial" w:hAnsi="Arial" w:cs="Arial"/>
          <w:sz w:val="24"/>
        </w:rPr>
        <w:t>s</w:t>
      </w:r>
      <w:r w:rsidR="00380AFB" w:rsidRPr="00576ECA">
        <w:rPr>
          <w:rFonts w:ascii="Arial" w:hAnsi="Arial" w:cs="Arial"/>
          <w:sz w:val="24"/>
        </w:rPr>
        <w:t xml:space="preserve"> set out in paragraphs </w:t>
      </w:r>
      <w:r w:rsidR="00DA13A8" w:rsidRPr="00576ECA">
        <w:rPr>
          <w:rFonts w:ascii="Arial" w:hAnsi="Arial" w:cs="Arial"/>
          <w:sz w:val="24"/>
        </w:rPr>
        <w:t>4</w:t>
      </w:r>
      <w:r w:rsidR="00B76BAF" w:rsidRPr="00576ECA">
        <w:rPr>
          <w:rFonts w:ascii="Arial" w:hAnsi="Arial" w:cs="Arial"/>
          <w:sz w:val="24"/>
        </w:rPr>
        <w:t>5</w:t>
      </w:r>
      <w:r w:rsidR="00380AFB" w:rsidRPr="00576ECA">
        <w:rPr>
          <w:rFonts w:ascii="Arial" w:hAnsi="Arial" w:cs="Arial"/>
          <w:sz w:val="24"/>
        </w:rPr>
        <w:t xml:space="preserve"> and </w:t>
      </w:r>
      <w:r w:rsidR="00DA13A8" w:rsidRPr="00576ECA">
        <w:rPr>
          <w:rFonts w:ascii="Arial" w:hAnsi="Arial" w:cs="Arial"/>
          <w:sz w:val="24"/>
        </w:rPr>
        <w:t>4</w:t>
      </w:r>
      <w:r w:rsidR="00B76BAF" w:rsidRPr="00576ECA">
        <w:rPr>
          <w:rFonts w:ascii="Arial" w:hAnsi="Arial" w:cs="Arial"/>
          <w:sz w:val="24"/>
        </w:rPr>
        <w:t>6</w:t>
      </w:r>
      <w:r w:rsidR="00380AFB" w:rsidRPr="00576ECA">
        <w:rPr>
          <w:rFonts w:ascii="Arial" w:hAnsi="Arial" w:cs="Arial"/>
          <w:sz w:val="24"/>
        </w:rPr>
        <w:t xml:space="preserve"> above</w:t>
      </w:r>
      <w:r w:rsidR="006C109A" w:rsidRPr="00576ECA">
        <w:rPr>
          <w:rFonts w:ascii="Arial" w:hAnsi="Arial" w:cs="Arial"/>
          <w:sz w:val="24"/>
        </w:rPr>
        <w:t xml:space="preserve">. </w:t>
      </w:r>
    </w:p>
    <w:p w:rsidR="00E46F92" w:rsidRDefault="00E46F92" w:rsidP="00E46F92">
      <w:pPr>
        <w:pStyle w:val="ListParagraph"/>
        <w:rPr>
          <w:rFonts w:ascii="Arial" w:hAnsi="Arial" w:cs="Arial"/>
          <w:sz w:val="24"/>
        </w:rPr>
      </w:pPr>
    </w:p>
    <w:p w:rsidR="00E46F92" w:rsidRPr="00576ECA" w:rsidRDefault="00576ECA" w:rsidP="00576ECA">
      <w:pPr>
        <w:spacing w:line="480" w:lineRule="auto"/>
        <w:ind w:left="360" w:hanging="360"/>
        <w:jc w:val="both"/>
        <w:rPr>
          <w:rFonts w:ascii="Arial" w:hAnsi="Arial" w:cs="Arial"/>
          <w:sz w:val="24"/>
        </w:rPr>
      </w:pPr>
      <w:r>
        <w:rPr>
          <w:rFonts w:ascii="Arial" w:hAnsi="Arial" w:cs="Arial"/>
          <w:sz w:val="24"/>
        </w:rPr>
        <w:t>[48]</w:t>
      </w:r>
      <w:r>
        <w:rPr>
          <w:rFonts w:ascii="Arial" w:hAnsi="Arial" w:cs="Arial"/>
          <w:sz w:val="24"/>
        </w:rPr>
        <w:tab/>
      </w:r>
      <w:r w:rsidR="00E46F92" w:rsidRPr="00576ECA">
        <w:rPr>
          <w:rFonts w:ascii="Arial" w:hAnsi="Arial" w:cs="Arial"/>
          <w:sz w:val="24"/>
        </w:rPr>
        <w:t xml:space="preserve">It is just and equitable to apply the no profit and no loss principle as enunciated in </w:t>
      </w:r>
      <w:r w:rsidR="00E46F92" w:rsidRPr="00576ECA">
        <w:rPr>
          <w:rFonts w:ascii="Arial" w:hAnsi="Arial" w:cs="Arial"/>
          <w:i/>
          <w:sz w:val="24"/>
        </w:rPr>
        <w:t xml:space="preserve">All Pay 1 </w:t>
      </w:r>
      <w:r w:rsidR="00E46F92" w:rsidRPr="00576ECA">
        <w:rPr>
          <w:rFonts w:ascii="Arial" w:hAnsi="Arial" w:cs="Arial"/>
          <w:sz w:val="24"/>
        </w:rPr>
        <w:t xml:space="preserve">and applied in </w:t>
      </w:r>
      <w:r w:rsidR="00E46F92" w:rsidRPr="00576ECA">
        <w:rPr>
          <w:rFonts w:ascii="Arial" w:hAnsi="Arial" w:cs="Arial"/>
          <w:i/>
          <w:sz w:val="24"/>
        </w:rPr>
        <w:t>All Pay 2, Mott Mac Donald</w:t>
      </w:r>
      <w:r w:rsidR="00E46F92" w:rsidRPr="00576ECA">
        <w:rPr>
          <w:rFonts w:ascii="Arial" w:hAnsi="Arial" w:cs="Arial"/>
          <w:sz w:val="24"/>
        </w:rPr>
        <w:t xml:space="preserve"> and </w:t>
      </w:r>
      <w:r w:rsidR="00E46F92" w:rsidRPr="00576ECA">
        <w:rPr>
          <w:rFonts w:ascii="Arial" w:hAnsi="Arial" w:cs="Arial"/>
          <w:i/>
          <w:sz w:val="24"/>
        </w:rPr>
        <w:t>Vision View.</w:t>
      </w:r>
      <w:r w:rsidR="00E46F92" w:rsidRPr="00576ECA">
        <w:rPr>
          <w:rFonts w:ascii="Arial" w:hAnsi="Arial" w:cs="Arial"/>
          <w:sz w:val="24"/>
        </w:rPr>
        <w:t xml:space="preserve"> </w:t>
      </w:r>
      <w:r w:rsidR="00B76BAF" w:rsidRPr="00576ECA">
        <w:rPr>
          <w:rFonts w:ascii="Arial" w:hAnsi="Arial" w:cs="Arial"/>
          <w:sz w:val="24"/>
        </w:rPr>
        <w:t>In the present circumstances, this relief is fair to all the parties, vindicates the values of fairness, equity, transparency, competitiveness and cost effectiveness that were disturbed when the Defendants were awarded the contracts unlawfully. It also entrenches the rule of law by ensuring that while the Defendants are not left worse of as a result of the invalidation of the contracts, they also do not benefit from unlawful contract</w:t>
      </w:r>
      <w:r w:rsidR="006C109A" w:rsidRPr="00576ECA">
        <w:rPr>
          <w:rFonts w:ascii="Arial" w:hAnsi="Arial" w:cs="Arial"/>
          <w:sz w:val="24"/>
        </w:rPr>
        <w:t>s</w:t>
      </w:r>
      <w:r w:rsidR="00B76BAF" w:rsidRPr="00576ECA">
        <w:rPr>
          <w:rFonts w:ascii="Arial" w:hAnsi="Arial" w:cs="Arial"/>
          <w:sz w:val="24"/>
        </w:rPr>
        <w:t>.</w:t>
      </w:r>
    </w:p>
    <w:p w:rsidR="00A72EE0" w:rsidRPr="00A72EE0" w:rsidRDefault="00A72EE0" w:rsidP="00A72EE0">
      <w:pPr>
        <w:pStyle w:val="ListParagraph"/>
        <w:rPr>
          <w:rFonts w:ascii="Arial" w:hAnsi="Arial" w:cs="Arial"/>
          <w:sz w:val="24"/>
        </w:rPr>
      </w:pPr>
    </w:p>
    <w:p w:rsidR="00A72EE0" w:rsidRPr="00576ECA" w:rsidRDefault="00576ECA" w:rsidP="00576ECA">
      <w:pPr>
        <w:spacing w:line="480" w:lineRule="auto"/>
        <w:ind w:left="360" w:hanging="360"/>
        <w:jc w:val="both"/>
        <w:rPr>
          <w:rFonts w:ascii="Arial" w:hAnsi="Arial" w:cs="Arial"/>
          <w:sz w:val="24"/>
        </w:rPr>
      </w:pPr>
      <w:r>
        <w:rPr>
          <w:rFonts w:ascii="Arial" w:hAnsi="Arial" w:cs="Arial"/>
          <w:sz w:val="24"/>
        </w:rPr>
        <w:t>[49]</w:t>
      </w:r>
      <w:r>
        <w:rPr>
          <w:rFonts w:ascii="Arial" w:hAnsi="Arial" w:cs="Arial"/>
          <w:sz w:val="24"/>
        </w:rPr>
        <w:tab/>
      </w:r>
      <w:r w:rsidR="00A72EE0" w:rsidRPr="00576ECA">
        <w:rPr>
          <w:rFonts w:ascii="Arial" w:hAnsi="Arial" w:cs="Arial"/>
          <w:sz w:val="24"/>
        </w:rPr>
        <w:t>Regrettably, the biggest loser is the State and the public. They have been deprived of the variety of public, social and economic benefits that flow from a solid border track at the Beit Bridge border and are saddled with a deficient border fence.</w:t>
      </w:r>
    </w:p>
    <w:p w:rsidR="00A72EE0" w:rsidRPr="00A72EE0" w:rsidRDefault="00A72EE0" w:rsidP="00A72EE0">
      <w:pPr>
        <w:pStyle w:val="ListParagraph"/>
        <w:rPr>
          <w:rFonts w:ascii="Arial" w:hAnsi="Arial" w:cs="Arial"/>
          <w:sz w:val="24"/>
        </w:rPr>
      </w:pPr>
    </w:p>
    <w:p w:rsidR="00A72EE0" w:rsidRPr="00576ECA" w:rsidRDefault="00576ECA" w:rsidP="00576ECA">
      <w:pPr>
        <w:spacing w:line="480" w:lineRule="auto"/>
        <w:ind w:left="360" w:hanging="360"/>
        <w:jc w:val="both"/>
        <w:rPr>
          <w:rFonts w:ascii="Arial" w:hAnsi="Arial" w:cs="Arial"/>
          <w:sz w:val="24"/>
        </w:rPr>
      </w:pPr>
      <w:r>
        <w:rPr>
          <w:rFonts w:ascii="Arial" w:hAnsi="Arial" w:cs="Arial"/>
          <w:sz w:val="24"/>
        </w:rPr>
        <w:t>[50]</w:t>
      </w:r>
      <w:r>
        <w:rPr>
          <w:rFonts w:ascii="Arial" w:hAnsi="Arial" w:cs="Arial"/>
          <w:sz w:val="24"/>
        </w:rPr>
        <w:tab/>
      </w:r>
      <w:r w:rsidR="00A72EE0" w:rsidRPr="00576ECA">
        <w:rPr>
          <w:rFonts w:ascii="Arial" w:hAnsi="Arial" w:cs="Arial"/>
          <w:sz w:val="24"/>
        </w:rPr>
        <w:t xml:space="preserve">Further corrective measures lie in holding </w:t>
      </w:r>
      <w:r w:rsidR="002C6F43" w:rsidRPr="00576ECA">
        <w:rPr>
          <w:rFonts w:ascii="Arial" w:hAnsi="Arial" w:cs="Arial"/>
          <w:sz w:val="24"/>
        </w:rPr>
        <w:t xml:space="preserve">accountable </w:t>
      </w:r>
      <w:r w:rsidR="00A72EE0" w:rsidRPr="00576ECA">
        <w:rPr>
          <w:rFonts w:ascii="Arial" w:hAnsi="Arial" w:cs="Arial"/>
          <w:sz w:val="24"/>
        </w:rPr>
        <w:t xml:space="preserve">the officials who designed, approved and implemented the Beit Bridge Border Fence Project and its related procurement process and those who failed to take the appropriate steps to enhance the integrity of the fence. Such corrective measures are beyond the scope of the case presented before this Tribunal. </w:t>
      </w:r>
    </w:p>
    <w:p w:rsidR="00E46F92" w:rsidRDefault="00E46F92" w:rsidP="00A72EE0">
      <w:pPr>
        <w:spacing w:after="0" w:line="480" w:lineRule="auto"/>
        <w:jc w:val="both"/>
        <w:rPr>
          <w:rFonts w:ascii="Arial" w:hAnsi="Arial" w:cs="Arial"/>
          <w:sz w:val="24"/>
        </w:rPr>
      </w:pPr>
    </w:p>
    <w:p w:rsidR="00A72EE0" w:rsidRPr="00A72EE0" w:rsidRDefault="00A72EE0" w:rsidP="00E46F92">
      <w:pPr>
        <w:spacing w:line="480" w:lineRule="auto"/>
        <w:jc w:val="both"/>
        <w:rPr>
          <w:rFonts w:ascii="Arial" w:hAnsi="Arial" w:cs="Arial"/>
          <w:b/>
          <w:sz w:val="24"/>
        </w:rPr>
      </w:pPr>
      <w:r w:rsidRPr="00A72EE0">
        <w:rPr>
          <w:rFonts w:ascii="Arial" w:hAnsi="Arial" w:cs="Arial"/>
          <w:b/>
          <w:sz w:val="24"/>
        </w:rPr>
        <w:lastRenderedPageBreak/>
        <w:t xml:space="preserve">COSTS </w:t>
      </w:r>
    </w:p>
    <w:p w:rsidR="00A72EE0" w:rsidRPr="00576ECA" w:rsidRDefault="00576ECA" w:rsidP="00576ECA">
      <w:pPr>
        <w:spacing w:after="0" w:line="480" w:lineRule="auto"/>
        <w:ind w:left="360" w:hanging="360"/>
        <w:jc w:val="both"/>
        <w:rPr>
          <w:rFonts w:ascii="Arial" w:hAnsi="Arial" w:cs="Arial"/>
          <w:sz w:val="24"/>
        </w:rPr>
      </w:pPr>
      <w:r>
        <w:rPr>
          <w:rFonts w:ascii="Arial" w:hAnsi="Arial" w:cs="Arial"/>
          <w:sz w:val="24"/>
        </w:rPr>
        <w:t>[51]</w:t>
      </w:r>
      <w:r>
        <w:rPr>
          <w:rFonts w:ascii="Arial" w:hAnsi="Arial" w:cs="Arial"/>
          <w:sz w:val="24"/>
        </w:rPr>
        <w:tab/>
      </w:r>
      <w:r w:rsidR="00A72EE0" w:rsidRPr="00576ECA">
        <w:rPr>
          <w:rFonts w:ascii="Arial" w:hAnsi="Arial" w:cs="Arial"/>
          <w:sz w:val="24"/>
        </w:rPr>
        <w:t xml:space="preserve">No reasons were advanced as to why in respect of each </w:t>
      </w:r>
      <w:r w:rsidR="00FB7583" w:rsidRPr="00576ECA">
        <w:rPr>
          <w:rFonts w:ascii="Arial" w:hAnsi="Arial" w:cs="Arial"/>
          <w:sz w:val="24"/>
        </w:rPr>
        <w:t>claim</w:t>
      </w:r>
      <w:r w:rsidR="00A72EE0" w:rsidRPr="00576ECA">
        <w:rPr>
          <w:rFonts w:ascii="Arial" w:hAnsi="Arial" w:cs="Arial"/>
          <w:sz w:val="24"/>
        </w:rPr>
        <w:t xml:space="preserve"> considered in the present proceedings, costs should not follow the cause. The same applies were the Plaintiffs sought the Tribunal’s indulgence. </w:t>
      </w:r>
    </w:p>
    <w:p w:rsidR="00A72EE0" w:rsidRPr="00A72EE0" w:rsidRDefault="00A72EE0" w:rsidP="00A72EE0">
      <w:pPr>
        <w:pStyle w:val="ListParagraph"/>
        <w:spacing w:after="0" w:line="480" w:lineRule="auto"/>
        <w:ind w:left="360"/>
        <w:jc w:val="both"/>
        <w:rPr>
          <w:rFonts w:ascii="Arial" w:hAnsi="Arial" w:cs="Arial"/>
          <w:sz w:val="24"/>
        </w:rPr>
      </w:pPr>
      <w:r>
        <w:rPr>
          <w:rFonts w:ascii="Arial" w:hAnsi="Arial" w:cs="Arial"/>
          <w:sz w:val="24"/>
        </w:rPr>
        <w:t xml:space="preserve"> </w:t>
      </w:r>
    </w:p>
    <w:p w:rsidR="00E46F92" w:rsidRDefault="00E46F92" w:rsidP="00E46F92">
      <w:pPr>
        <w:spacing w:line="480" w:lineRule="auto"/>
        <w:jc w:val="both"/>
        <w:rPr>
          <w:rFonts w:ascii="Arial" w:hAnsi="Arial" w:cs="Arial"/>
          <w:b/>
          <w:sz w:val="24"/>
        </w:rPr>
      </w:pPr>
      <w:r>
        <w:rPr>
          <w:rFonts w:ascii="Arial" w:hAnsi="Arial" w:cs="Arial"/>
          <w:b/>
          <w:sz w:val="24"/>
        </w:rPr>
        <w:t>ORDER</w:t>
      </w:r>
    </w:p>
    <w:p w:rsidR="00E46F92" w:rsidRPr="00576ECA" w:rsidRDefault="00576ECA" w:rsidP="00576ECA">
      <w:pPr>
        <w:spacing w:line="480" w:lineRule="auto"/>
        <w:ind w:left="360" w:hanging="360"/>
        <w:jc w:val="both"/>
        <w:rPr>
          <w:rFonts w:ascii="Arial" w:hAnsi="Arial" w:cs="Arial"/>
        </w:rPr>
      </w:pPr>
      <w:r>
        <w:rPr>
          <w:rFonts w:ascii="Arial" w:hAnsi="Arial" w:cs="Arial"/>
        </w:rPr>
        <w:t>[52]</w:t>
      </w:r>
      <w:r>
        <w:rPr>
          <w:rFonts w:ascii="Arial" w:hAnsi="Arial" w:cs="Arial"/>
        </w:rPr>
        <w:tab/>
      </w:r>
      <w:r w:rsidR="00E46F92" w:rsidRPr="00576ECA">
        <w:rPr>
          <w:rFonts w:ascii="Arial" w:hAnsi="Arial" w:cs="Arial"/>
          <w:sz w:val="24"/>
        </w:rPr>
        <w:t>In the premises, the following order is made:</w:t>
      </w:r>
    </w:p>
    <w:p w:rsidR="00E46F92" w:rsidRDefault="00E46F92" w:rsidP="00E46F92"/>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1.</w:t>
      </w:r>
      <w:r>
        <w:rPr>
          <w:rStyle w:val="s2"/>
          <w:rFonts w:ascii="Arial" w:eastAsia="Times New Roman" w:hAnsi="Arial" w:cs="Arial"/>
          <w:sz w:val="24"/>
          <w:szCs w:val="24"/>
        </w:rPr>
        <w:tab/>
      </w:r>
      <w:r w:rsidR="00E46F92">
        <w:rPr>
          <w:rStyle w:val="s2"/>
          <w:rFonts w:ascii="Arial" w:eastAsia="Times New Roman" w:hAnsi="Arial" w:cs="Arial"/>
          <w:sz w:val="24"/>
          <w:szCs w:val="24"/>
        </w:rPr>
        <w:t>The Plaintiffs’ application for condonation for the late filing of their expert report is granted with costs against the Plaintiffs.</w:t>
      </w:r>
    </w:p>
    <w:p w:rsidR="00832476" w:rsidRDefault="00832476" w:rsidP="00832476">
      <w:pPr>
        <w:spacing w:after="0" w:line="480" w:lineRule="auto"/>
        <w:ind w:left="720"/>
        <w:jc w:val="both"/>
        <w:rPr>
          <w:rStyle w:val="s2"/>
          <w:rFonts w:ascii="Arial" w:eastAsia="Times New Roman" w:hAnsi="Arial" w:cs="Arial"/>
          <w:sz w:val="24"/>
          <w:szCs w:val="24"/>
        </w:rPr>
      </w:pP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2.</w:t>
      </w:r>
      <w:r>
        <w:rPr>
          <w:rStyle w:val="s2"/>
          <w:rFonts w:ascii="Arial" w:eastAsia="Times New Roman" w:hAnsi="Arial" w:cs="Arial"/>
          <w:sz w:val="24"/>
          <w:szCs w:val="24"/>
        </w:rPr>
        <w:tab/>
      </w:r>
      <w:r w:rsidR="00E46F92">
        <w:rPr>
          <w:rStyle w:val="s2"/>
          <w:rFonts w:ascii="Arial" w:eastAsia="Times New Roman" w:hAnsi="Arial" w:cs="Arial"/>
          <w:sz w:val="24"/>
          <w:szCs w:val="24"/>
        </w:rPr>
        <w:t>The Plaintiffs are also liable for the Defendants’ cost of the postponement application.</w:t>
      </w:r>
    </w:p>
    <w:p w:rsidR="00E46F92" w:rsidRDefault="00E46F92" w:rsidP="00E46F92">
      <w:pPr>
        <w:spacing w:after="0" w:line="480" w:lineRule="auto"/>
        <w:ind w:left="720"/>
        <w:jc w:val="both"/>
        <w:rPr>
          <w:rStyle w:val="s2"/>
          <w:rFonts w:ascii="Arial" w:eastAsia="Times New Roman" w:hAnsi="Arial" w:cs="Arial"/>
          <w:sz w:val="24"/>
          <w:szCs w:val="24"/>
        </w:rPr>
      </w:pP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3.</w:t>
      </w:r>
      <w:r>
        <w:rPr>
          <w:rStyle w:val="s2"/>
          <w:rFonts w:ascii="Arial" w:eastAsia="Times New Roman" w:hAnsi="Arial" w:cs="Arial"/>
          <w:sz w:val="24"/>
          <w:szCs w:val="24"/>
        </w:rPr>
        <w:tab/>
      </w:r>
      <w:r w:rsidR="00E46F92">
        <w:rPr>
          <w:rStyle w:val="s2"/>
          <w:rFonts w:ascii="Arial" w:eastAsia="Times New Roman" w:hAnsi="Arial" w:cs="Arial"/>
          <w:sz w:val="24"/>
          <w:szCs w:val="24"/>
        </w:rPr>
        <w:t xml:space="preserve">The Plaintiffs’ </w:t>
      </w:r>
      <w:r w:rsidR="00832476">
        <w:rPr>
          <w:rStyle w:val="s2"/>
          <w:rFonts w:ascii="Arial" w:eastAsia="Times New Roman" w:hAnsi="Arial" w:cs="Arial"/>
          <w:sz w:val="24"/>
          <w:szCs w:val="24"/>
        </w:rPr>
        <w:t xml:space="preserve">main claim is dismissed. Their </w:t>
      </w:r>
      <w:r w:rsidR="00E46F92">
        <w:rPr>
          <w:rStyle w:val="s2"/>
          <w:rFonts w:ascii="Arial" w:eastAsia="Times New Roman" w:hAnsi="Arial" w:cs="Arial"/>
          <w:sz w:val="24"/>
          <w:szCs w:val="24"/>
        </w:rPr>
        <w:t>alternative claim is upheld with costs</w:t>
      </w:r>
      <w:r w:rsidR="00832476">
        <w:rPr>
          <w:rStyle w:val="s2"/>
          <w:rFonts w:ascii="Arial" w:eastAsia="Times New Roman" w:hAnsi="Arial" w:cs="Arial"/>
          <w:sz w:val="24"/>
          <w:szCs w:val="24"/>
        </w:rPr>
        <w:t>.</w:t>
      </w:r>
    </w:p>
    <w:p w:rsidR="00E46F92" w:rsidRDefault="00E46F92" w:rsidP="00E46F92">
      <w:pPr>
        <w:pStyle w:val="ListParagraph"/>
        <w:rPr>
          <w:rStyle w:val="s2"/>
          <w:rFonts w:ascii="Arial" w:eastAsia="Times New Roman" w:hAnsi="Arial" w:cs="Arial"/>
          <w:sz w:val="24"/>
          <w:szCs w:val="24"/>
        </w:rPr>
      </w:pP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4.</w:t>
      </w:r>
      <w:r>
        <w:rPr>
          <w:rStyle w:val="s2"/>
          <w:rFonts w:ascii="Arial" w:eastAsia="Times New Roman" w:hAnsi="Arial" w:cs="Arial"/>
          <w:sz w:val="24"/>
          <w:szCs w:val="24"/>
        </w:rPr>
        <w:tab/>
      </w:r>
      <w:r w:rsidR="00E46F92">
        <w:rPr>
          <w:rStyle w:val="s2"/>
          <w:rFonts w:ascii="Arial" w:eastAsia="Times New Roman" w:hAnsi="Arial" w:cs="Arial"/>
          <w:sz w:val="24"/>
          <w:szCs w:val="24"/>
        </w:rPr>
        <w:t>The Defendants respective counterclaims are dismissed with costs.</w:t>
      </w:r>
    </w:p>
    <w:p w:rsidR="00E46F92" w:rsidRDefault="00E46F92" w:rsidP="00E46F92">
      <w:pPr>
        <w:pStyle w:val="ListParagraph"/>
        <w:rPr>
          <w:rStyle w:val="s2"/>
          <w:rFonts w:ascii="Arial" w:eastAsia="Times New Roman" w:hAnsi="Arial" w:cs="Arial"/>
          <w:sz w:val="24"/>
          <w:szCs w:val="24"/>
        </w:rPr>
      </w:pPr>
    </w:p>
    <w:p w:rsidR="00E46F92" w:rsidRDefault="00576ECA" w:rsidP="00576ECA">
      <w:pPr>
        <w:tabs>
          <w:tab w:val="left" w:pos="720"/>
        </w:tabs>
        <w:spacing w:after="0" w:line="480" w:lineRule="auto"/>
        <w:ind w:left="720" w:hanging="360"/>
        <w:jc w:val="both"/>
      </w:pPr>
      <w:r>
        <w:t>5.</w:t>
      </w:r>
      <w:r>
        <w:tab/>
      </w:r>
      <w:r w:rsidR="00E46F92">
        <w:rPr>
          <w:rStyle w:val="s2"/>
          <w:rFonts w:ascii="Arial" w:eastAsia="Times New Roman" w:hAnsi="Arial" w:cs="Arial"/>
          <w:sz w:val="24"/>
          <w:szCs w:val="24"/>
        </w:rPr>
        <w:t xml:space="preserve">The Defendants are divested of the profits earned from </w:t>
      </w:r>
      <w:r w:rsidR="00832476">
        <w:rPr>
          <w:rStyle w:val="s2"/>
          <w:rFonts w:ascii="Arial" w:eastAsia="Times New Roman" w:hAnsi="Arial" w:cs="Arial"/>
          <w:sz w:val="24"/>
          <w:szCs w:val="24"/>
        </w:rPr>
        <w:t xml:space="preserve">the </w:t>
      </w:r>
      <w:r w:rsidR="00E46F92">
        <w:rPr>
          <w:rStyle w:val="s2"/>
          <w:rFonts w:ascii="Arial" w:eastAsia="Times New Roman" w:hAnsi="Arial" w:cs="Arial"/>
          <w:sz w:val="24"/>
          <w:szCs w:val="24"/>
        </w:rPr>
        <w:t xml:space="preserve">contracts concluded under contract number </w:t>
      </w:r>
      <w:r w:rsidR="00E46F92">
        <w:rPr>
          <w:rFonts w:ascii="Arial" w:hAnsi="Arial" w:cs="Arial"/>
          <w:sz w:val="24"/>
          <w:szCs w:val="24"/>
        </w:rPr>
        <w:t>H16/022 and HP14/075</w:t>
      </w:r>
      <w:r w:rsidR="00E46F92">
        <w:rPr>
          <w:rStyle w:val="s2"/>
          <w:rFonts w:ascii="Arial" w:eastAsia="Times New Roman" w:hAnsi="Arial" w:cs="Arial"/>
          <w:sz w:val="24"/>
          <w:szCs w:val="24"/>
        </w:rPr>
        <w:t xml:space="preserve"> </w:t>
      </w:r>
      <w:r w:rsidR="00E46F92">
        <w:rPr>
          <w:rFonts w:ascii="Arial" w:hAnsi="Arial" w:cs="Arial"/>
          <w:sz w:val="24"/>
          <w:szCs w:val="24"/>
        </w:rPr>
        <w:t xml:space="preserve">between the Department of Public Works and Infrastructure (Public Works) </w:t>
      </w:r>
      <w:r w:rsidR="00832476">
        <w:rPr>
          <w:rFonts w:ascii="Arial" w:hAnsi="Arial" w:cs="Arial"/>
          <w:sz w:val="24"/>
          <w:szCs w:val="24"/>
        </w:rPr>
        <w:t xml:space="preserve">and </w:t>
      </w:r>
      <w:r w:rsidR="00E46F92">
        <w:rPr>
          <w:rFonts w:ascii="Arial" w:hAnsi="Arial" w:cs="Arial"/>
          <w:sz w:val="24"/>
          <w:szCs w:val="24"/>
        </w:rPr>
        <w:t xml:space="preserve">the first and second defendants respectively (“the contracts”). </w:t>
      </w:r>
    </w:p>
    <w:p w:rsidR="00E46F92" w:rsidRDefault="00E46F92" w:rsidP="00E46F92">
      <w:pPr>
        <w:spacing w:after="0" w:line="480" w:lineRule="auto"/>
        <w:ind w:left="720"/>
        <w:jc w:val="both"/>
        <w:rPr>
          <w:rStyle w:val="s2"/>
        </w:rPr>
      </w:pP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lastRenderedPageBreak/>
        <w:t>6.</w:t>
      </w:r>
      <w:r>
        <w:rPr>
          <w:rStyle w:val="s2"/>
          <w:rFonts w:ascii="Arial" w:eastAsia="Times New Roman" w:hAnsi="Arial" w:cs="Arial"/>
          <w:sz w:val="24"/>
          <w:szCs w:val="24"/>
        </w:rPr>
        <w:tab/>
      </w:r>
      <w:r w:rsidR="00E46F92">
        <w:rPr>
          <w:rStyle w:val="s2"/>
          <w:rFonts w:ascii="Arial" w:eastAsia="Times New Roman" w:hAnsi="Arial" w:cs="Arial"/>
          <w:sz w:val="24"/>
          <w:szCs w:val="24"/>
        </w:rPr>
        <w:t>Within 30 days of this order, the Defendants shall deliver, by filing on Caselines, audited statements and debatement of account reflecting their respective income and expenditure in the contracts</w:t>
      </w:r>
      <w:r w:rsidR="00FB7583">
        <w:rPr>
          <w:rStyle w:val="s2"/>
          <w:rFonts w:ascii="Arial" w:eastAsia="Times New Roman" w:hAnsi="Arial" w:cs="Arial"/>
          <w:sz w:val="24"/>
          <w:szCs w:val="24"/>
        </w:rPr>
        <w:t>, supported by such expert report(s) as are necessary in the circumstances</w:t>
      </w:r>
      <w:r w:rsidR="00E46F92">
        <w:rPr>
          <w:rStyle w:val="s2"/>
          <w:rFonts w:ascii="Arial" w:eastAsia="Times New Roman" w:hAnsi="Arial" w:cs="Arial"/>
          <w:sz w:val="24"/>
          <w:szCs w:val="24"/>
        </w:rPr>
        <w:t xml:space="preserve">.   </w:t>
      </w:r>
    </w:p>
    <w:p w:rsidR="00E46F92" w:rsidRDefault="00E46F92" w:rsidP="00E46F92">
      <w:pPr>
        <w:spacing w:after="0" w:line="480" w:lineRule="auto"/>
        <w:ind w:left="720"/>
        <w:jc w:val="both"/>
        <w:rPr>
          <w:rStyle w:val="s2"/>
          <w:rFonts w:ascii="Arial" w:eastAsia="Times New Roman" w:hAnsi="Arial" w:cs="Arial"/>
          <w:sz w:val="24"/>
          <w:szCs w:val="24"/>
        </w:rPr>
      </w:pP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7.</w:t>
      </w:r>
      <w:r>
        <w:rPr>
          <w:rStyle w:val="s2"/>
          <w:rFonts w:ascii="Arial" w:eastAsia="Times New Roman" w:hAnsi="Arial" w:cs="Arial"/>
          <w:sz w:val="24"/>
          <w:szCs w:val="24"/>
        </w:rPr>
        <w:tab/>
      </w:r>
      <w:r w:rsidR="00E46F92">
        <w:rPr>
          <w:rStyle w:val="s2"/>
          <w:rFonts w:ascii="Arial" w:eastAsia="Times New Roman" w:hAnsi="Arial" w:cs="Arial"/>
          <w:sz w:val="24"/>
          <w:szCs w:val="24"/>
        </w:rPr>
        <w:t xml:space="preserve">Within 30 days thereafter, the Plaintiffs shall appoint duly qualified expert(s) to compile a report as to the reasonableness of the Defendants’ expenses and file it on Caselines. </w:t>
      </w:r>
    </w:p>
    <w:p w:rsidR="00E46F92" w:rsidRDefault="00E46F92" w:rsidP="00E46F92">
      <w:pPr>
        <w:pStyle w:val="ListParagraph"/>
      </w:pPr>
    </w:p>
    <w:p w:rsidR="00E46F92" w:rsidRDefault="00576ECA" w:rsidP="00576ECA">
      <w:pPr>
        <w:tabs>
          <w:tab w:val="left" w:pos="720"/>
        </w:tabs>
        <w:spacing w:after="0" w:line="480" w:lineRule="auto"/>
        <w:ind w:left="720" w:hanging="360"/>
        <w:jc w:val="both"/>
        <w:rPr>
          <w:rStyle w:val="s2"/>
        </w:rPr>
      </w:pPr>
      <w:r>
        <w:rPr>
          <w:rStyle w:val="s2"/>
        </w:rPr>
        <w:t>8.</w:t>
      </w:r>
      <w:r>
        <w:rPr>
          <w:rStyle w:val="s2"/>
        </w:rPr>
        <w:tab/>
      </w:r>
      <w:r w:rsidR="00FB7583">
        <w:rPr>
          <w:rStyle w:val="s2"/>
          <w:rFonts w:ascii="Arial" w:eastAsia="Times New Roman" w:hAnsi="Arial" w:cs="Arial"/>
          <w:sz w:val="24"/>
          <w:szCs w:val="24"/>
        </w:rPr>
        <w:t>Thereafter, t</w:t>
      </w:r>
      <w:r w:rsidR="00E46F92">
        <w:rPr>
          <w:rStyle w:val="s2"/>
          <w:rFonts w:ascii="Arial" w:eastAsia="Times New Roman" w:hAnsi="Arial" w:cs="Arial"/>
          <w:sz w:val="24"/>
          <w:szCs w:val="24"/>
        </w:rPr>
        <w:t>he parties shall prepare a joint minute between their respective experts within 10 days and file it on Caselines.</w:t>
      </w:r>
    </w:p>
    <w:p w:rsidR="00E46F92" w:rsidRDefault="00E46F92" w:rsidP="00E46F92">
      <w:pPr>
        <w:pStyle w:val="ListParagraph"/>
        <w:rPr>
          <w:rStyle w:val="s2"/>
          <w:rFonts w:ascii="Arial" w:eastAsia="Times New Roman" w:hAnsi="Arial" w:cs="Arial"/>
          <w:sz w:val="24"/>
          <w:szCs w:val="24"/>
        </w:rPr>
      </w:pP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9.</w:t>
      </w:r>
      <w:r>
        <w:rPr>
          <w:rStyle w:val="s2"/>
          <w:rFonts w:ascii="Arial" w:eastAsia="Times New Roman" w:hAnsi="Arial" w:cs="Arial"/>
          <w:sz w:val="24"/>
          <w:szCs w:val="24"/>
        </w:rPr>
        <w:tab/>
      </w:r>
      <w:r w:rsidR="00832476">
        <w:rPr>
          <w:rStyle w:val="s2"/>
          <w:rFonts w:ascii="Arial" w:eastAsia="Times New Roman" w:hAnsi="Arial" w:cs="Arial"/>
          <w:sz w:val="24"/>
          <w:szCs w:val="24"/>
        </w:rPr>
        <w:t>After setting off from the pre-paid amounts the</w:t>
      </w:r>
      <w:r w:rsidR="00E46F92">
        <w:rPr>
          <w:rStyle w:val="s2"/>
          <w:rFonts w:ascii="Arial" w:eastAsia="Times New Roman" w:hAnsi="Arial" w:cs="Arial"/>
          <w:sz w:val="24"/>
          <w:szCs w:val="24"/>
        </w:rPr>
        <w:t xml:space="preserve"> </w:t>
      </w:r>
      <w:r w:rsidR="00832476">
        <w:rPr>
          <w:rStyle w:val="s2"/>
          <w:rFonts w:ascii="Arial" w:eastAsia="Times New Roman" w:hAnsi="Arial" w:cs="Arial"/>
          <w:sz w:val="24"/>
          <w:szCs w:val="24"/>
        </w:rPr>
        <w:t xml:space="preserve">reasonable expenses the </w:t>
      </w:r>
      <w:r w:rsidR="00E46F92">
        <w:rPr>
          <w:rStyle w:val="s2"/>
          <w:rFonts w:ascii="Arial" w:eastAsia="Times New Roman" w:hAnsi="Arial" w:cs="Arial"/>
          <w:sz w:val="24"/>
          <w:szCs w:val="24"/>
        </w:rPr>
        <w:t xml:space="preserve">Defendants </w:t>
      </w:r>
      <w:r w:rsidR="00832476">
        <w:rPr>
          <w:rStyle w:val="s2"/>
          <w:rFonts w:ascii="Arial" w:eastAsia="Times New Roman" w:hAnsi="Arial" w:cs="Arial"/>
          <w:sz w:val="24"/>
          <w:szCs w:val="24"/>
        </w:rPr>
        <w:t xml:space="preserve">incurred to meet their respective obligations in terms of the contracts, they </w:t>
      </w:r>
      <w:r w:rsidR="00E46F92">
        <w:rPr>
          <w:rStyle w:val="s2"/>
          <w:rFonts w:ascii="Arial" w:eastAsia="Times New Roman" w:hAnsi="Arial" w:cs="Arial"/>
          <w:sz w:val="24"/>
          <w:szCs w:val="24"/>
        </w:rPr>
        <w:t>shall</w:t>
      </w:r>
      <w:r w:rsidR="00832476">
        <w:rPr>
          <w:rStyle w:val="s2"/>
          <w:rFonts w:ascii="Arial" w:eastAsia="Times New Roman" w:hAnsi="Arial" w:cs="Arial"/>
          <w:sz w:val="24"/>
          <w:szCs w:val="24"/>
        </w:rPr>
        <w:t>, within 30 days of the period referred to in paragraph 8 of this order,</w:t>
      </w:r>
      <w:r w:rsidR="00E46F92">
        <w:rPr>
          <w:rStyle w:val="s2"/>
          <w:rFonts w:ascii="Arial" w:eastAsia="Times New Roman" w:hAnsi="Arial" w:cs="Arial"/>
          <w:sz w:val="24"/>
          <w:szCs w:val="24"/>
        </w:rPr>
        <w:t xml:space="preserve"> pay to Public Works the </w:t>
      </w:r>
      <w:r w:rsidR="00832476">
        <w:rPr>
          <w:rStyle w:val="s2"/>
          <w:rFonts w:ascii="Arial" w:eastAsia="Times New Roman" w:hAnsi="Arial" w:cs="Arial"/>
          <w:sz w:val="24"/>
          <w:szCs w:val="24"/>
        </w:rPr>
        <w:t xml:space="preserve">amount standing to their debit. </w:t>
      </w:r>
      <w:r w:rsidR="00E46F92">
        <w:rPr>
          <w:rStyle w:val="s2"/>
          <w:rFonts w:ascii="Arial" w:eastAsia="Times New Roman" w:hAnsi="Arial" w:cs="Arial"/>
          <w:sz w:val="24"/>
          <w:szCs w:val="24"/>
        </w:rPr>
        <w:t xml:space="preserve">If the Defendants’ reasonable expenses exceed the pre-paid </w:t>
      </w:r>
      <w:r w:rsidR="00832476">
        <w:rPr>
          <w:rStyle w:val="s2"/>
          <w:rFonts w:ascii="Arial" w:eastAsia="Times New Roman" w:hAnsi="Arial" w:cs="Arial"/>
          <w:sz w:val="24"/>
          <w:szCs w:val="24"/>
        </w:rPr>
        <w:t xml:space="preserve">amounts, Public Works </w:t>
      </w:r>
      <w:r w:rsidR="00E46F92">
        <w:rPr>
          <w:rStyle w:val="s2"/>
          <w:rFonts w:ascii="Arial" w:eastAsia="Times New Roman" w:hAnsi="Arial" w:cs="Arial"/>
          <w:sz w:val="24"/>
          <w:szCs w:val="24"/>
        </w:rPr>
        <w:t xml:space="preserve">shall make payment to the defendants in respect of the </w:t>
      </w:r>
      <w:r w:rsidR="00832476">
        <w:rPr>
          <w:rStyle w:val="s2"/>
          <w:rFonts w:ascii="Arial" w:eastAsia="Times New Roman" w:hAnsi="Arial" w:cs="Arial"/>
          <w:sz w:val="24"/>
          <w:szCs w:val="24"/>
        </w:rPr>
        <w:t xml:space="preserve">amounts standing to their credit. </w:t>
      </w:r>
      <w:r w:rsidR="00E46F92">
        <w:rPr>
          <w:rStyle w:val="s2"/>
          <w:rFonts w:ascii="Arial" w:eastAsia="Times New Roman" w:hAnsi="Arial" w:cs="Arial"/>
          <w:sz w:val="24"/>
          <w:szCs w:val="24"/>
        </w:rPr>
        <w:t xml:space="preserve"> </w:t>
      </w:r>
    </w:p>
    <w:p w:rsidR="00E46F92" w:rsidRDefault="00E46F92" w:rsidP="00E46F92">
      <w:pPr>
        <w:pStyle w:val="ListParagraph"/>
        <w:rPr>
          <w:rStyle w:val="s2"/>
          <w:rFonts w:ascii="Arial" w:eastAsia="Times New Roman" w:hAnsi="Arial" w:cs="Arial"/>
          <w:sz w:val="24"/>
          <w:szCs w:val="24"/>
        </w:rPr>
      </w:pPr>
    </w:p>
    <w:p w:rsidR="00EC6946" w:rsidRPr="00576ECA" w:rsidRDefault="00576ECA" w:rsidP="00576ECA">
      <w:pPr>
        <w:tabs>
          <w:tab w:val="left" w:pos="720"/>
        </w:tabs>
        <w:spacing w:line="480" w:lineRule="auto"/>
        <w:ind w:left="720" w:hanging="36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C6946" w:rsidRPr="00576ECA">
        <w:rPr>
          <w:rFonts w:ascii="Arial" w:hAnsi="Arial" w:cs="Arial"/>
          <w:sz w:val="24"/>
          <w:szCs w:val="24"/>
        </w:rPr>
        <w:t xml:space="preserve">If a dispute arises from the implementation of this order, any party shall approach the Tribunal for an appropriate order on supplemented papers as necessitated by the circumstances.  </w:t>
      </w:r>
    </w:p>
    <w:p w:rsidR="00E46F92" w:rsidRDefault="00576ECA" w:rsidP="00576ECA">
      <w:pPr>
        <w:tabs>
          <w:tab w:val="left" w:pos="720"/>
        </w:tabs>
        <w:spacing w:after="0" w:line="480" w:lineRule="auto"/>
        <w:ind w:left="720" w:hanging="360"/>
        <w:jc w:val="both"/>
        <w:rPr>
          <w:rStyle w:val="s2"/>
          <w:rFonts w:ascii="Arial" w:eastAsia="Times New Roman" w:hAnsi="Arial" w:cs="Arial"/>
          <w:sz w:val="24"/>
          <w:szCs w:val="24"/>
        </w:rPr>
      </w:pPr>
      <w:r>
        <w:rPr>
          <w:rStyle w:val="s2"/>
          <w:rFonts w:ascii="Arial" w:eastAsia="Times New Roman" w:hAnsi="Arial" w:cs="Arial"/>
          <w:sz w:val="24"/>
          <w:szCs w:val="24"/>
        </w:rPr>
        <w:t>11.</w:t>
      </w:r>
      <w:r>
        <w:rPr>
          <w:rStyle w:val="s2"/>
          <w:rFonts w:ascii="Arial" w:eastAsia="Times New Roman" w:hAnsi="Arial" w:cs="Arial"/>
          <w:sz w:val="24"/>
          <w:szCs w:val="24"/>
        </w:rPr>
        <w:tab/>
      </w:r>
      <w:r w:rsidR="00E46F92">
        <w:rPr>
          <w:rStyle w:val="s2"/>
          <w:rFonts w:ascii="Arial" w:eastAsia="Times New Roman" w:hAnsi="Arial" w:cs="Arial"/>
          <w:sz w:val="24"/>
          <w:szCs w:val="24"/>
        </w:rPr>
        <w:t>The above cost orders are inclusive of the costs of two counsel where so employed.</w:t>
      </w:r>
    </w:p>
    <w:p w:rsidR="00E46F92" w:rsidRDefault="00E46F92" w:rsidP="00E46F92">
      <w:pPr>
        <w:pStyle w:val="ListParagraph"/>
      </w:pPr>
    </w:p>
    <w:p w:rsidR="00E46F92" w:rsidRDefault="00E46F92" w:rsidP="006C109A">
      <w:pPr>
        <w:spacing w:after="0" w:line="480" w:lineRule="auto"/>
        <w:ind w:left="720"/>
        <w:jc w:val="right"/>
        <w:rPr>
          <w:rFonts w:ascii="Arial" w:eastAsia="Times New Roman" w:hAnsi="Arial" w:cs="Arial"/>
          <w:noProof/>
          <w:sz w:val="24"/>
          <w:szCs w:val="24"/>
          <w:lang w:val="en-ZA" w:eastAsia="en-ZA"/>
        </w:rPr>
      </w:pPr>
    </w:p>
    <w:p w:rsidR="00FF06EF" w:rsidRDefault="00FF06EF" w:rsidP="006C109A">
      <w:pPr>
        <w:spacing w:after="0" w:line="480" w:lineRule="auto"/>
        <w:ind w:left="720"/>
        <w:jc w:val="right"/>
        <w:rPr>
          <w:rFonts w:ascii="Arial" w:eastAsia="Times New Roman" w:hAnsi="Arial" w:cs="Arial"/>
          <w:noProof/>
          <w:sz w:val="24"/>
          <w:szCs w:val="24"/>
          <w:lang w:val="en-ZA" w:eastAsia="en-ZA"/>
        </w:rPr>
      </w:pPr>
    </w:p>
    <w:p w:rsidR="00E46F92" w:rsidRDefault="00E46F92" w:rsidP="00E46F92">
      <w:pPr>
        <w:pStyle w:val="ListParagraph"/>
        <w:ind w:left="0"/>
        <w:jc w:val="right"/>
        <w:rPr>
          <w:rFonts w:ascii="Arial" w:hAnsi="Arial" w:cs="Arial"/>
          <w:sz w:val="24"/>
          <w:szCs w:val="20"/>
          <w:lang w:val="en-GB" w:eastAsia="en-ZA"/>
        </w:rPr>
      </w:pPr>
      <w:r>
        <w:rPr>
          <w:rFonts w:ascii="Arial" w:hAnsi="Arial" w:cs="Arial"/>
          <w:sz w:val="24"/>
          <w:szCs w:val="20"/>
          <w:lang w:val="en-GB" w:eastAsia="en-ZA"/>
        </w:rPr>
        <w:t>________________________________</w:t>
      </w:r>
    </w:p>
    <w:p w:rsidR="00E46F92" w:rsidRDefault="00E46F92" w:rsidP="00E46F92">
      <w:pPr>
        <w:spacing w:before="240" w:after="0" w:line="360" w:lineRule="auto"/>
        <w:ind w:left="2160" w:firstLine="720"/>
        <w:contextualSpacing/>
        <w:jc w:val="center"/>
        <w:rPr>
          <w:rFonts w:ascii="Arial" w:hAnsi="Arial" w:cs="Arial"/>
          <w:b/>
          <w:sz w:val="24"/>
          <w:szCs w:val="20"/>
          <w:lang w:val="en-GB" w:eastAsia="en-ZA"/>
        </w:rPr>
      </w:pPr>
      <w:r>
        <w:rPr>
          <w:rFonts w:ascii="Arial" w:hAnsi="Arial" w:cs="Arial"/>
          <w:b/>
          <w:sz w:val="24"/>
          <w:szCs w:val="20"/>
          <w:lang w:val="en-GB" w:eastAsia="en-ZA"/>
        </w:rPr>
        <w:t xml:space="preserve">     JUDGE L. T. MODIBA</w:t>
      </w:r>
    </w:p>
    <w:p w:rsidR="00E46F92" w:rsidRDefault="00E46F92" w:rsidP="00E46F92">
      <w:pPr>
        <w:spacing w:before="240" w:after="0" w:line="360" w:lineRule="auto"/>
        <w:ind w:left="720"/>
        <w:contextualSpacing/>
        <w:jc w:val="right"/>
        <w:rPr>
          <w:rFonts w:ascii="Arial" w:hAnsi="Arial" w:cs="Arial"/>
          <w:b/>
          <w:sz w:val="24"/>
          <w:szCs w:val="20"/>
          <w:lang w:val="en-GB" w:eastAsia="en-ZA"/>
        </w:rPr>
      </w:pPr>
      <w:r>
        <w:rPr>
          <w:rFonts w:ascii="Arial" w:hAnsi="Arial" w:cs="Arial"/>
          <w:b/>
          <w:sz w:val="24"/>
          <w:szCs w:val="20"/>
          <w:lang w:val="en-GB" w:eastAsia="en-ZA"/>
        </w:rPr>
        <w:t xml:space="preserve">                                             MEMBER OF THE SPECIAL TRIBUNAL </w:t>
      </w:r>
    </w:p>
    <w:p w:rsidR="00E46F92" w:rsidRDefault="00E46F92" w:rsidP="00E46F92">
      <w:pPr>
        <w:rPr>
          <w:rFonts w:ascii="Arial" w:hAnsi="Arial" w:cs="Arial"/>
          <w:b/>
          <w:sz w:val="24"/>
        </w:rPr>
      </w:pPr>
      <w:r>
        <w:rPr>
          <w:rFonts w:ascii="Arial" w:hAnsi="Arial" w:cs="Arial"/>
          <w:b/>
          <w:sz w:val="24"/>
        </w:rPr>
        <w:t>APPEARENCES</w:t>
      </w:r>
    </w:p>
    <w:p w:rsidR="00E46F92" w:rsidRDefault="00E46F92" w:rsidP="00E46F92">
      <w:pPr>
        <w:ind w:left="3600" w:hanging="3600"/>
        <w:rPr>
          <w:rFonts w:ascii="Arial" w:hAnsi="Arial" w:cs="Arial"/>
          <w:sz w:val="24"/>
        </w:rPr>
      </w:pPr>
      <w:r>
        <w:rPr>
          <w:rFonts w:ascii="Arial" w:hAnsi="Arial" w:cs="Arial"/>
          <w:sz w:val="24"/>
        </w:rPr>
        <w:t>Counsel for the applicant:</w:t>
      </w:r>
      <w:r>
        <w:rPr>
          <w:rFonts w:ascii="Arial" w:hAnsi="Arial" w:cs="Arial"/>
          <w:sz w:val="24"/>
        </w:rPr>
        <w:tab/>
        <w:t>Adv. I</w:t>
      </w:r>
      <w:r w:rsidR="006C109A">
        <w:rPr>
          <w:rFonts w:ascii="Arial" w:hAnsi="Arial" w:cs="Arial"/>
          <w:sz w:val="24"/>
        </w:rPr>
        <w:t xml:space="preserve">. </w:t>
      </w:r>
      <w:r>
        <w:rPr>
          <w:rFonts w:ascii="Arial" w:hAnsi="Arial" w:cs="Arial"/>
          <w:sz w:val="24"/>
        </w:rPr>
        <w:t>Semenya SC assisted by Adv. N</w:t>
      </w:r>
      <w:r w:rsidR="006C109A">
        <w:rPr>
          <w:rFonts w:ascii="Arial" w:hAnsi="Arial" w:cs="Arial"/>
          <w:sz w:val="24"/>
        </w:rPr>
        <w:t xml:space="preserve">. </w:t>
      </w:r>
      <w:r>
        <w:rPr>
          <w:rFonts w:ascii="Arial" w:hAnsi="Arial" w:cs="Arial"/>
          <w:sz w:val="24"/>
        </w:rPr>
        <w:t>Mayet, instructed by the Office of the State Attorney, Pretoria</w:t>
      </w:r>
    </w:p>
    <w:p w:rsidR="00E46F92" w:rsidRDefault="00E46F92" w:rsidP="006C109A">
      <w:pPr>
        <w:ind w:left="3600" w:hanging="3600"/>
        <w:rPr>
          <w:rFonts w:ascii="Arial" w:hAnsi="Arial" w:cs="Arial"/>
          <w:sz w:val="24"/>
        </w:rPr>
      </w:pPr>
      <w:r>
        <w:rPr>
          <w:rFonts w:ascii="Arial" w:hAnsi="Arial" w:cs="Arial"/>
          <w:sz w:val="24"/>
        </w:rPr>
        <w:t>Counsel for the 1</w:t>
      </w:r>
      <w:r>
        <w:rPr>
          <w:rFonts w:ascii="Arial" w:hAnsi="Arial" w:cs="Arial"/>
          <w:sz w:val="24"/>
          <w:vertAlign w:val="superscript"/>
        </w:rPr>
        <w:t>st</w:t>
      </w:r>
      <w:r>
        <w:rPr>
          <w:rFonts w:ascii="Arial" w:hAnsi="Arial" w:cs="Arial"/>
          <w:sz w:val="24"/>
        </w:rPr>
        <w:t xml:space="preserve"> respondent:</w:t>
      </w:r>
      <w:r>
        <w:rPr>
          <w:rFonts w:ascii="Arial" w:hAnsi="Arial" w:cs="Arial"/>
          <w:sz w:val="24"/>
        </w:rPr>
        <w:tab/>
      </w:r>
      <w:r w:rsidR="006C109A">
        <w:rPr>
          <w:rFonts w:ascii="Arial" w:hAnsi="Arial" w:cs="Arial"/>
          <w:sz w:val="24"/>
        </w:rPr>
        <w:t xml:space="preserve">Adv. </w:t>
      </w:r>
      <w:r>
        <w:rPr>
          <w:rFonts w:ascii="Arial" w:hAnsi="Arial" w:cs="Arial"/>
          <w:sz w:val="24"/>
        </w:rPr>
        <w:t>G</w:t>
      </w:r>
      <w:r w:rsidR="006C109A">
        <w:rPr>
          <w:rFonts w:ascii="Arial" w:hAnsi="Arial" w:cs="Arial"/>
          <w:sz w:val="24"/>
        </w:rPr>
        <w:t>.</w:t>
      </w:r>
      <w:r>
        <w:rPr>
          <w:rFonts w:ascii="Arial" w:hAnsi="Arial" w:cs="Arial"/>
          <w:sz w:val="24"/>
        </w:rPr>
        <w:t>J</w:t>
      </w:r>
      <w:r w:rsidR="006C109A">
        <w:rPr>
          <w:rFonts w:ascii="Arial" w:hAnsi="Arial" w:cs="Arial"/>
          <w:sz w:val="24"/>
        </w:rPr>
        <w:t>.</w:t>
      </w:r>
      <w:r>
        <w:rPr>
          <w:rFonts w:ascii="Arial" w:hAnsi="Arial" w:cs="Arial"/>
          <w:sz w:val="24"/>
        </w:rPr>
        <w:t xml:space="preserve"> Scheepers SC, instructed by Louw Le Roux Inc</w:t>
      </w:r>
    </w:p>
    <w:p w:rsidR="00E46F92" w:rsidRDefault="00E46F92" w:rsidP="006C109A">
      <w:pPr>
        <w:ind w:left="3600" w:hanging="3600"/>
        <w:rPr>
          <w:rFonts w:ascii="Arial" w:hAnsi="Arial" w:cs="Arial"/>
          <w:sz w:val="24"/>
        </w:rPr>
      </w:pPr>
      <w:r>
        <w:rPr>
          <w:rFonts w:ascii="Arial" w:hAnsi="Arial" w:cs="Arial"/>
          <w:sz w:val="24"/>
        </w:rPr>
        <w:t>Counsel for the 2</w:t>
      </w:r>
      <w:r>
        <w:rPr>
          <w:rFonts w:ascii="Arial" w:hAnsi="Arial" w:cs="Arial"/>
          <w:sz w:val="24"/>
          <w:vertAlign w:val="superscript"/>
        </w:rPr>
        <w:t>nd</w:t>
      </w:r>
      <w:r>
        <w:rPr>
          <w:rFonts w:ascii="Arial" w:hAnsi="Arial" w:cs="Arial"/>
          <w:sz w:val="24"/>
        </w:rPr>
        <w:t xml:space="preserve"> respondent:</w:t>
      </w:r>
      <w:r>
        <w:rPr>
          <w:rFonts w:ascii="Arial" w:hAnsi="Arial" w:cs="Arial"/>
          <w:sz w:val="24"/>
        </w:rPr>
        <w:tab/>
      </w:r>
      <w:r w:rsidR="006C109A">
        <w:rPr>
          <w:rFonts w:ascii="Arial" w:hAnsi="Arial" w:cs="Arial"/>
          <w:sz w:val="24"/>
        </w:rPr>
        <w:t xml:space="preserve">Adv. </w:t>
      </w:r>
      <w:r>
        <w:rPr>
          <w:rFonts w:ascii="Arial" w:hAnsi="Arial" w:cs="Arial"/>
          <w:sz w:val="24"/>
        </w:rPr>
        <w:t>E</w:t>
      </w:r>
      <w:r w:rsidR="006C109A">
        <w:rPr>
          <w:rFonts w:ascii="Arial" w:hAnsi="Arial" w:cs="Arial"/>
          <w:sz w:val="24"/>
        </w:rPr>
        <w:t>.</w:t>
      </w:r>
      <w:r>
        <w:rPr>
          <w:rFonts w:ascii="Arial" w:hAnsi="Arial" w:cs="Arial"/>
          <w:sz w:val="24"/>
        </w:rPr>
        <w:t>L</w:t>
      </w:r>
      <w:r w:rsidR="006C109A">
        <w:rPr>
          <w:rFonts w:ascii="Arial" w:hAnsi="Arial" w:cs="Arial"/>
          <w:sz w:val="24"/>
        </w:rPr>
        <w:t>.</w:t>
      </w:r>
      <w:r>
        <w:rPr>
          <w:rFonts w:ascii="Arial" w:hAnsi="Arial" w:cs="Arial"/>
          <w:sz w:val="24"/>
        </w:rPr>
        <w:t xml:space="preserve"> Theron SC, instructed by Alant, Gell and Martin Inc</w:t>
      </w:r>
    </w:p>
    <w:p w:rsidR="00E46F92" w:rsidRDefault="00E46F92" w:rsidP="00E46F92">
      <w:pPr>
        <w:rPr>
          <w:rFonts w:ascii="Arial" w:hAnsi="Arial" w:cs="Arial"/>
          <w:sz w:val="24"/>
        </w:rPr>
      </w:pPr>
      <w:r>
        <w:rPr>
          <w:rFonts w:ascii="Arial" w:hAnsi="Arial" w:cs="Arial"/>
          <w:sz w:val="24"/>
        </w:rPr>
        <w:t xml:space="preserve">Date of hearing: </w:t>
      </w:r>
      <w:r>
        <w:rPr>
          <w:rFonts w:ascii="Arial" w:hAnsi="Arial" w:cs="Arial"/>
          <w:sz w:val="24"/>
        </w:rPr>
        <w:tab/>
      </w:r>
      <w:r>
        <w:rPr>
          <w:rFonts w:ascii="Arial" w:hAnsi="Arial" w:cs="Arial"/>
          <w:sz w:val="24"/>
        </w:rPr>
        <w:tab/>
      </w:r>
      <w:r>
        <w:rPr>
          <w:rFonts w:ascii="Arial" w:hAnsi="Arial" w:cs="Arial"/>
          <w:sz w:val="24"/>
        </w:rPr>
        <w:tab/>
        <w:t xml:space="preserve">4 October 2021 </w:t>
      </w:r>
    </w:p>
    <w:p w:rsidR="00F414A0" w:rsidRPr="00C96C20" w:rsidRDefault="00E46F92" w:rsidP="00E46F92">
      <w:pPr>
        <w:rPr>
          <w:rFonts w:ascii="Arial" w:hAnsi="Arial" w:cs="Arial"/>
          <w:b/>
          <w:sz w:val="24"/>
        </w:rPr>
      </w:pPr>
      <w:r>
        <w:rPr>
          <w:rFonts w:ascii="Arial" w:hAnsi="Arial" w:cs="Arial"/>
          <w:sz w:val="24"/>
        </w:rPr>
        <w:t xml:space="preserve">Date of judgment: </w:t>
      </w:r>
      <w:r>
        <w:rPr>
          <w:rFonts w:ascii="Arial" w:hAnsi="Arial" w:cs="Arial"/>
          <w:noProof/>
          <w:sz w:val="24"/>
          <w:lang w:val="en-ZA" w:eastAsia="en-ZA"/>
        </w:rPr>
        <w:t xml:space="preserve">  </w:t>
      </w:r>
      <w:r>
        <w:rPr>
          <w:rFonts w:ascii="Arial" w:hAnsi="Arial" w:cs="Arial"/>
          <w:noProof/>
          <w:sz w:val="24"/>
          <w:lang w:val="en-ZA" w:eastAsia="en-ZA"/>
        </w:rPr>
        <w:tab/>
      </w:r>
      <w:r>
        <w:rPr>
          <w:rFonts w:ascii="Arial" w:hAnsi="Arial" w:cs="Arial"/>
          <w:noProof/>
          <w:sz w:val="24"/>
          <w:lang w:val="en-ZA" w:eastAsia="en-ZA"/>
        </w:rPr>
        <w:tab/>
      </w:r>
      <w:r>
        <w:rPr>
          <w:rFonts w:ascii="Arial" w:hAnsi="Arial" w:cs="Arial"/>
          <w:noProof/>
          <w:sz w:val="24"/>
          <w:lang w:val="en-ZA" w:eastAsia="en-ZA"/>
        </w:rPr>
        <w:tab/>
      </w:r>
      <w:r w:rsidR="00C90F01">
        <w:rPr>
          <w:rFonts w:ascii="Arial" w:hAnsi="Arial" w:cs="Arial"/>
          <w:noProof/>
          <w:sz w:val="24"/>
          <w:szCs w:val="24"/>
          <w:lang w:val="en-ZA" w:eastAsia="en-ZA"/>
        </w:rPr>
        <w:t>8 March 2022</w:t>
      </w:r>
      <w:r w:rsidRPr="00D9506B">
        <w:rPr>
          <w:rFonts w:ascii="Arial" w:hAnsi="Arial" w:cs="Arial"/>
          <w:sz w:val="24"/>
          <w:szCs w:val="24"/>
          <w:lang w:val="en-GB" w:eastAsia="en-ZA"/>
        </w:rPr>
        <w:t xml:space="preserve"> </w:t>
      </w:r>
      <w:r w:rsidR="00C90F01">
        <w:rPr>
          <w:rFonts w:ascii="Arial" w:hAnsi="Arial" w:cs="Arial"/>
          <w:sz w:val="24"/>
          <w:szCs w:val="24"/>
          <w:lang w:val="en-GB" w:eastAsia="en-ZA"/>
        </w:rPr>
        <w:t>as revised on 9 March 2022</w:t>
      </w:r>
      <w:r>
        <w:rPr>
          <w:rFonts w:ascii="Arial" w:hAnsi="Arial" w:cs="Arial"/>
          <w:b/>
          <w:sz w:val="28"/>
          <w:szCs w:val="20"/>
          <w:lang w:val="en-GB" w:eastAsia="en-ZA"/>
        </w:rPr>
        <w:t xml:space="preserve">  </w:t>
      </w:r>
    </w:p>
    <w:sectPr w:rsidR="00F414A0" w:rsidRPr="00C96C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21" w:rsidRDefault="00EA0021" w:rsidP="00C422B6">
      <w:pPr>
        <w:spacing w:after="0" w:line="240" w:lineRule="auto"/>
      </w:pPr>
      <w:r>
        <w:separator/>
      </w:r>
    </w:p>
  </w:endnote>
  <w:endnote w:type="continuationSeparator" w:id="0">
    <w:p w:rsidR="00EA0021" w:rsidRDefault="00EA0021" w:rsidP="00C4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70" w:rsidRDefault="003962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70" w:rsidRDefault="003962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70" w:rsidRDefault="003962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21" w:rsidRDefault="00EA0021" w:rsidP="00C422B6">
      <w:pPr>
        <w:spacing w:after="0" w:line="240" w:lineRule="auto"/>
      </w:pPr>
      <w:r>
        <w:separator/>
      </w:r>
    </w:p>
  </w:footnote>
  <w:footnote w:type="continuationSeparator" w:id="0">
    <w:p w:rsidR="00EA0021" w:rsidRDefault="00EA0021" w:rsidP="00C422B6">
      <w:pPr>
        <w:spacing w:after="0" w:line="240" w:lineRule="auto"/>
      </w:pPr>
      <w:r>
        <w:continuationSeparator/>
      </w:r>
    </w:p>
  </w:footnote>
  <w:footnote w:id="1">
    <w:p w:rsidR="004A5985" w:rsidRPr="00886D0C" w:rsidRDefault="004A5985" w:rsidP="004A5985">
      <w:pPr>
        <w:pStyle w:val="FootnoteText"/>
      </w:pPr>
      <w:r>
        <w:rPr>
          <w:rStyle w:val="FootnoteReference"/>
        </w:rPr>
        <w:footnoteRef/>
      </w:r>
      <w:r>
        <w:t xml:space="preserve"> Act </w:t>
      </w:r>
      <w:r w:rsidRPr="00886D0C">
        <w:rPr>
          <w:lang w:val="en-ZA"/>
        </w:rPr>
        <w:t>74 of 1996</w:t>
      </w:r>
    </w:p>
  </w:footnote>
  <w:footnote w:id="2">
    <w:p w:rsidR="00167F80" w:rsidRPr="00C617E8" w:rsidRDefault="00167F80" w:rsidP="00167F80">
      <w:pPr>
        <w:pStyle w:val="FootnoteText"/>
        <w:rPr>
          <w:lang w:val="en-GB"/>
        </w:rPr>
      </w:pPr>
      <w:r>
        <w:rPr>
          <w:rStyle w:val="FootnoteReference"/>
        </w:rPr>
        <w:footnoteRef/>
      </w:r>
      <w:r>
        <w:t xml:space="preserve"> </w:t>
      </w:r>
      <w:r w:rsidRPr="00C617E8">
        <w:rPr>
          <w:i/>
        </w:rPr>
        <w:t>Greyvenstein v Neethling</w:t>
      </w:r>
      <w:r w:rsidRPr="00C617E8">
        <w:t xml:space="preserve"> 1952 (1) SA 463 (C)</w:t>
      </w:r>
    </w:p>
  </w:footnote>
  <w:footnote w:id="3">
    <w:p w:rsidR="00167F80" w:rsidRPr="00C617E8" w:rsidRDefault="00167F80" w:rsidP="00167F80">
      <w:pPr>
        <w:pStyle w:val="FootnoteText"/>
        <w:rPr>
          <w:lang w:val="en-GB"/>
        </w:rPr>
      </w:pPr>
      <w:r>
        <w:rPr>
          <w:rStyle w:val="FootnoteReference"/>
        </w:rPr>
        <w:footnoteRef/>
      </w:r>
      <w:r>
        <w:t xml:space="preserve"> </w:t>
      </w:r>
      <w:r w:rsidRPr="00C617E8">
        <w:t>Greyvenst</w:t>
      </w:r>
      <w:r>
        <w:t>ein v Neethling (supra at 467F)</w:t>
      </w:r>
    </w:p>
  </w:footnote>
  <w:footnote w:id="4">
    <w:p w:rsidR="00167F80" w:rsidRPr="00046E13" w:rsidRDefault="00167F80" w:rsidP="00167F80">
      <w:pPr>
        <w:pStyle w:val="FootnoteText"/>
        <w:rPr>
          <w:lang w:val="en-GB"/>
        </w:rPr>
      </w:pPr>
      <w:r>
        <w:rPr>
          <w:rStyle w:val="FootnoteReference"/>
        </w:rPr>
        <w:footnoteRef/>
      </w:r>
      <w:r>
        <w:t xml:space="preserve"> </w:t>
      </w:r>
      <w:r w:rsidRPr="00046E13">
        <w:rPr>
          <w:i/>
        </w:rPr>
        <w:t>R v Zackey</w:t>
      </w:r>
      <w:r>
        <w:t xml:space="preserve"> 1945 AD 505</w:t>
      </w:r>
    </w:p>
  </w:footnote>
  <w:footnote w:id="5">
    <w:p w:rsidR="00167F80" w:rsidRPr="00046E13" w:rsidRDefault="00167F80" w:rsidP="00167F80">
      <w:pPr>
        <w:pStyle w:val="FootnoteText"/>
        <w:rPr>
          <w:lang w:val="en-GB"/>
        </w:rPr>
      </w:pPr>
      <w:r>
        <w:rPr>
          <w:rStyle w:val="FootnoteReference"/>
        </w:rPr>
        <w:footnoteRef/>
      </w:r>
      <w:r>
        <w:t xml:space="preserve"> </w:t>
      </w:r>
      <w:r w:rsidRPr="00046E13">
        <w:rPr>
          <w:i/>
        </w:rPr>
        <w:t>Madnitsky v Rosenberg</w:t>
      </w:r>
      <w:r w:rsidRPr="00046E13">
        <w:t xml:space="preserve"> 1949 (2) SA 392 (A) at 398–9; </w:t>
      </w:r>
      <w:r w:rsidRPr="00046E13">
        <w:rPr>
          <w:i/>
        </w:rPr>
        <w:t>Joshua v Joshua</w:t>
      </w:r>
      <w:r w:rsidRPr="00046E13">
        <w:t xml:space="preserve"> 1961 (1) SA 455 (GW) at 457D)</w:t>
      </w:r>
    </w:p>
  </w:footnote>
  <w:footnote w:id="6">
    <w:p w:rsidR="00167F80" w:rsidRPr="00C617E8" w:rsidRDefault="00167F80" w:rsidP="00167F80">
      <w:pPr>
        <w:pStyle w:val="FootnoteText"/>
        <w:rPr>
          <w:lang w:val="en-GB"/>
        </w:rPr>
      </w:pPr>
      <w:r>
        <w:rPr>
          <w:rStyle w:val="FootnoteReference"/>
        </w:rPr>
        <w:footnoteRef/>
      </w:r>
      <w:r>
        <w:t xml:space="preserve"> </w:t>
      </w:r>
      <w:r w:rsidRPr="00C617E8">
        <w:rPr>
          <w:i/>
        </w:rPr>
        <w:t>Nelson Mandela Metropolitan Municipality v Greyvenouw CC</w:t>
      </w:r>
      <w:r w:rsidRPr="00C617E8">
        <w:t xml:space="preserve"> 2004 (2) SA 81 (E) at 90–91</w:t>
      </w:r>
    </w:p>
  </w:footnote>
  <w:footnote w:id="7">
    <w:p w:rsidR="00E46F92" w:rsidRDefault="00E46F92" w:rsidP="00E46F92">
      <w:pPr>
        <w:pStyle w:val="FootnoteText"/>
        <w:rPr>
          <w:rFonts w:cstheme="minorHAnsi"/>
          <w:lang w:val="en-GB"/>
        </w:rPr>
      </w:pPr>
      <w:r>
        <w:rPr>
          <w:rStyle w:val="FootnoteReference"/>
          <w:rFonts w:ascii="Arial" w:hAnsi="Arial" w:cs="Arial"/>
        </w:rPr>
        <w:footnoteRef/>
      </w:r>
      <w:r>
        <w:rPr>
          <w:rFonts w:ascii="Arial" w:hAnsi="Arial" w:cs="Arial"/>
        </w:rPr>
        <w:t xml:space="preserve"> </w:t>
      </w:r>
      <w:r>
        <w:rPr>
          <w:rFonts w:cstheme="minorHAnsi"/>
          <w:i/>
          <w:lang w:val="en-ZA"/>
        </w:rPr>
        <w:t>Special Investigating Unit and SABC v Vision View Productions CC</w:t>
      </w:r>
      <w:r>
        <w:rPr>
          <w:rFonts w:cstheme="minorHAnsi"/>
          <w:lang w:val="en-ZA"/>
        </w:rPr>
        <w:t xml:space="preserve"> [2020] ZAGPJHC 19 June 2020</w:t>
      </w:r>
    </w:p>
  </w:footnote>
  <w:footnote w:id="8">
    <w:p w:rsidR="00E46F92" w:rsidRDefault="00E46F92" w:rsidP="00E46F92">
      <w:pPr>
        <w:pStyle w:val="FootnoteText"/>
        <w:rPr>
          <w:lang w:val="en-GB"/>
        </w:rPr>
      </w:pPr>
      <w:r>
        <w:rPr>
          <w:rFonts w:cstheme="minorHAnsi"/>
          <w:lang w:val="en-GB"/>
        </w:rPr>
        <w:footnoteRef/>
      </w:r>
      <w:r>
        <w:rPr>
          <w:rFonts w:cstheme="minorHAnsi"/>
          <w:lang w:val="en-GB"/>
        </w:rPr>
        <w:t xml:space="preserve"> </w:t>
      </w:r>
      <w:r>
        <w:rPr>
          <w:rFonts w:cstheme="minorHAnsi"/>
          <w:i/>
          <w:lang w:val="en-GB"/>
        </w:rPr>
        <w:t>SABC SOC Ltd and Another v Mott MacDonalds SA (Pty) Ltd (29070 of 2018) [2020] ZAGPJHC 5 (08 December 2020)</w:t>
      </w:r>
    </w:p>
  </w:footnote>
  <w:footnote w:id="9">
    <w:p w:rsidR="00E46F92" w:rsidRDefault="00E46F92" w:rsidP="00E46F92">
      <w:pPr>
        <w:pStyle w:val="FootnoteText"/>
        <w:rPr>
          <w:lang w:val="en-GB"/>
        </w:rPr>
      </w:pPr>
      <w:r>
        <w:rPr>
          <w:rStyle w:val="FootnoteReference"/>
        </w:rPr>
        <w:footnoteRef/>
      </w:r>
      <w:r>
        <w:t xml:space="preserve"> </w:t>
      </w:r>
      <w:r>
        <w:rPr>
          <w:i/>
          <w:lang w:val="en-GB"/>
        </w:rPr>
        <w:t>State Information Technology SOC Ltd v Gijima Holdings (Pty) Ltd</w:t>
      </w:r>
      <w:r>
        <w:rPr>
          <w:lang w:val="en-GB"/>
        </w:rPr>
        <w:t xml:space="preserve"> 2018 (2) SA (CC)</w:t>
      </w:r>
    </w:p>
  </w:footnote>
  <w:footnote w:id="10">
    <w:p w:rsidR="00E46F92" w:rsidRPr="004D7A63" w:rsidRDefault="00E46F92" w:rsidP="004D7A63">
      <w:pPr>
        <w:pStyle w:val="FootnoteText"/>
        <w:jc w:val="both"/>
        <w:rPr>
          <w:rFonts w:cstheme="minorHAnsi"/>
          <w:lang w:val="en-GB"/>
        </w:rPr>
      </w:pPr>
      <w:r>
        <w:rPr>
          <w:rStyle w:val="FootnoteReference"/>
        </w:rPr>
        <w:footnoteRef/>
      </w:r>
      <w:r>
        <w:t xml:space="preserve"> </w:t>
      </w:r>
      <w:r w:rsidRPr="004D7A63">
        <w:rPr>
          <w:rFonts w:cstheme="minorHAnsi"/>
          <w:lang w:val="en-GB"/>
        </w:rPr>
        <w:t xml:space="preserve">The plaintiffs sought to rely on the following judgments: </w:t>
      </w:r>
      <w:r w:rsidRPr="004D7A63">
        <w:rPr>
          <w:rFonts w:cstheme="minorHAnsi"/>
          <w:i/>
          <w:lang w:val="en-GB"/>
        </w:rPr>
        <w:t>City of Johannesburg and Another v Ad Outpost (Pty) Ltd</w:t>
      </w:r>
      <w:r w:rsidRPr="004D7A63">
        <w:rPr>
          <w:rFonts w:cstheme="minorHAnsi"/>
          <w:lang w:val="en-GB"/>
        </w:rPr>
        <w:t xml:space="preserve"> 2012 (4) SA 325 (SCA) para 20; </w:t>
      </w:r>
      <w:r w:rsidRPr="004D7A63">
        <w:rPr>
          <w:rFonts w:cstheme="minorHAnsi"/>
          <w:i/>
          <w:lang w:val="en-GB"/>
        </w:rPr>
        <w:t>Eskom Holdings Ltd and Another v New Reclamation Group (Pty) Ltd</w:t>
      </w:r>
      <w:r w:rsidRPr="004D7A63">
        <w:rPr>
          <w:rFonts w:cstheme="minorHAnsi"/>
          <w:lang w:val="en-GB"/>
        </w:rPr>
        <w:t xml:space="preserve"> 2009 (4) SA 628 (SCA) para 9; </w:t>
      </w:r>
      <w:r w:rsidRPr="004D7A63">
        <w:rPr>
          <w:rFonts w:cstheme="minorHAnsi"/>
          <w:i/>
          <w:lang w:val="en-GB"/>
        </w:rPr>
        <w:t>Seale v Van Rooyen NO and Others; Provincial Government, North West Province v Van Rooyen NO and Others</w:t>
      </w:r>
      <w:r w:rsidRPr="004D7A63">
        <w:rPr>
          <w:rFonts w:cstheme="minorHAnsi"/>
          <w:lang w:val="en-GB"/>
        </w:rPr>
        <w:t xml:space="preserve"> 2008 (4) SA 43 (SCA) paras 13 – 14. All Pay 2 has become known as such as it is the sequel to the Constitutional Court judgment in the merits judgment reported at 2014 (1) SA 604 (CC), which has become known as All Pay 1 of All Pay merits. All Pay 2 is reported at </w:t>
      </w:r>
      <w:r w:rsidRPr="004D7A63">
        <w:rPr>
          <w:rFonts w:cstheme="minorHAnsi"/>
          <w:i/>
        </w:rPr>
        <w:t>AllPay Consolidated Investment Holdings (Pty) Ltd and Others v CEO of the South African Social Security Agency and Others</w:t>
      </w:r>
      <w:r w:rsidRPr="004D7A63">
        <w:rPr>
          <w:rFonts w:cstheme="minorHAnsi"/>
        </w:rPr>
        <w:t xml:space="preserve"> 2014 (4) SA 179 (CC). </w:t>
      </w:r>
    </w:p>
  </w:footnote>
  <w:footnote w:id="11">
    <w:p w:rsidR="00E46F92" w:rsidRPr="004D7A63" w:rsidRDefault="00E46F92" w:rsidP="004D7A63">
      <w:pPr>
        <w:pStyle w:val="FootnoteText"/>
        <w:jc w:val="both"/>
        <w:rPr>
          <w:rFonts w:cstheme="minorHAnsi"/>
          <w:lang w:val="en-GB"/>
        </w:rPr>
      </w:pPr>
      <w:r w:rsidRPr="004D7A63">
        <w:rPr>
          <w:rStyle w:val="FootnoteReference"/>
          <w:rFonts w:cstheme="minorHAnsi"/>
        </w:rPr>
        <w:footnoteRef/>
      </w:r>
      <w:r w:rsidRPr="004D7A63">
        <w:rPr>
          <w:rFonts w:cstheme="minorHAnsi"/>
          <w:lang w:val="en-GB"/>
        </w:rPr>
        <w:t xml:space="preserve"> Citation at fn4 above. </w:t>
      </w:r>
    </w:p>
  </w:footnote>
  <w:footnote w:id="12">
    <w:p w:rsidR="00E46F92" w:rsidRPr="004D7A63" w:rsidRDefault="00E46F92" w:rsidP="004D7A63">
      <w:pPr>
        <w:pStyle w:val="FootnoteText"/>
        <w:jc w:val="both"/>
        <w:rPr>
          <w:rFonts w:cstheme="minorHAnsi"/>
          <w:lang w:val="en-GB"/>
        </w:rPr>
      </w:pPr>
      <w:r w:rsidRPr="004D7A63">
        <w:rPr>
          <w:rStyle w:val="FootnoteReference"/>
          <w:rFonts w:cstheme="minorHAnsi"/>
        </w:rPr>
        <w:footnoteRef/>
      </w:r>
      <w:r w:rsidRPr="004D7A63">
        <w:rPr>
          <w:rFonts w:cstheme="minorHAnsi"/>
        </w:rPr>
        <w:t xml:space="preserve"> 2007 (3) SA 121 (CC) at paragraph 29. </w:t>
      </w:r>
    </w:p>
  </w:footnote>
  <w:footnote w:id="13">
    <w:p w:rsidR="00E46F92" w:rsidRPr="004D7A63" w:rsidRDefault="00E46F92" w:rsidP="00E46F92">
      <w:pPr>
        <w:pStyle w:val="Heading2"/>
        <w:shd w:val="clear" w:color="auto" w:fill="FFFFFF"/>
        <w:spacing w:before="240" w:after="180" w:line="288" w:lineRule="atLeast"/>
        <w:rPr>
          <w:rFonts w:asciiTheme="minorHAnsi" w:hAnsiTheme="minorHAnsi" w:cstheme="minorHAnsi"/>
          <w:sz w:val="22"/>
          <w:szCs w:val="22"/>
          <w:lang w:val="en-GB"/>
        </w:rPr>
      </w:pPr>
      <w:r>
        <w:rPr>
          <w:rFonts w:ascii="Arial" w:eastAsiaTheme="minorHAnsi" w:hAnsi="Arial" w:cs="Arial"/>
          <w:iCs w:val="0"/>
          <w:color w:val="auto"/>
          <w:sz w:val="16"/>
          <w:szCs w:val="16"/>
        </w:rPr>
        <w:footnoteRef/>
      </w:r>
      <w:r>
        <w:rPr>
          <w:rFonts w:ascii="Arial" w:eastAsiaTheme="minorHAnsi" w:hAnsi="Arial" w:cs="Arial"/>
          <w:iCs w:val="0"/>
          <w:color w:val="auto"/>
          <w:sz w:val="16"/>
          <w:szCs w:val="16"/>
        </w:rPr>
        <w:t xml:space="preserve"> </w:t>
      </w:r>
      <w:r w:rsidRPr="004D7A63">
        <w:rPr>
          <w:rStyle w:val="s2"/>
          <w:rFonts w:asciiTheme="minorHAnsi" w:eastAsiaTheme="minorHAnsi" w:hAnsiTheme="minorHAnsi" w:cstheme="minorHAnsi"/>
          <w:i/>
          <w:iCs w:val="0"/>
          <w:color w:val="000000"/>
          <w:sz w:val="22"/>
          <w:szCs w:val="22"/>
          <w:lang w:eastAsia="en-ZA"/>
        </w:rPr>
        <w:t>Bengwenyama Minerals (Pty) Ltd and Others v General Resources (Pty) Ltd and Others</w:t>
      </w:r>
      <w:r w:rsidRPr="004D7A63">
        <w:rPr>
          <w:rStyle w:val="s2"/>
          <w:rFonts w:asciiTheme="minorHAnsi" w:eastAsiaTheme="minorHAnsi" w:hAnsiTheme="minorHAnsi" w:cstheme="minorHAnsi"/>
          <w:iCs w:val="0"/>
          <w:color w:val="000000"/>
          <w:sz w:val="22"/>
          <w:szCs w:val="22"/>
          <w:lang w:eastAsia="en-ZA"/>
        </w:rPr>
        <w:t xml:space="preserve"> (CCT 2011 (4) SA 113 (CC)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70" w:rsidRDefault="003962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70" w:rsidRDefault="00EA0021">
    <w:pPr>
      <w:pStyle w:val="Header"/>
      <w:jc w:val="right"/>
    </w:pPr>
    <w:sdt>
      <w:sdtPr>
        <w:id w:val="-1318336367"/>
        <w:docPartObj>
          <w:docPartGallery w:val="Page Numbers (Top of Page)"/>
          <w:docPartUnique/>
        </w:docPartObj>
      </w:sdtPr>
      <w:sdtEndPr/>
      <w:sdtContent>
        <w:r w:rsidR="00396270">
          <w:t xml:space="preserve">Page </w:t>
        </w:r>
        <w:r w:rsidR="00396270">
          <w:rPr>
            <w:b/>
            <w:bCs/>
            <w:sz w:val="24"/>
            <w:szCs w:val="24"/>
          </w:rPr>
          <w:fldChar w:fldCharType="begin"/>
        </w:r>
        <w:r w:rsidR="00396270">
          <w:rPr>
            <w:b/>
            <w:bCs/>
          </w:rPr>
          <w:instrText xml:space="preserve"> PAGE </w:instrText>
        </w:r>
        <w:r w:rsidR="00396270">
          <w:rPr>
            <w:b/>
            <w:bCs/>
            <w:sz w:val="24"/>
            <w:szCs w:val="24"/>
          </w:rPr>
          <w:fldChar w:fldCharType="separate"/>
        </w:r>
        <w:r w:rsidR="00576ECA">
          <w:rPr>
            <w:b/>
            <w:bCs/>
            <w:noProof/>
          </w:rPr>
          <w:t>1</w:t>
        </w:r>
        <w:r w:rsidR="00396270">
          <w:rPr>
            <w:b/>
            <w:bCs/>
            <w:sz w:val="24"/>
            <w:szCs w:val="24"/>
          </w:rPr>
          <w:fldChar w:fldCharType="end"/>
        </w:r>
        <w:r w:rsidR="00396270">
          <w:t xml:space="preserve"> of </w:t>
        </w:r>
        <w:r w:rsidR="00396270">
          <w:rPr>
            <w:b/>
            <w:bCs/>
            <w:sz w:val="24"/>
            <w:szCs w:val="24"/>
          </w:rPr>
          <w:fldChar w:fldCharType="begin"/>
        </w:r>
        <w:r w:rsidR="00396270">
          <w:rPr>
            <w:b/>
            <w:bCs/>
          </w:rPr>
          <w:instrText xml:space="preserve"> NUMPAGES  </w:instrText>
        </w:r>
        <w:r w:rsidR="00396270">
          <w:rPr>
            <w:b/>
            <w:bCs/>
            <w:sz w:val="24"/>
            <w:szCs w:val="24"/>
          </w:rPr>
          <w:fldChar w:fldCharType="separate"/>
        </w:r>
        <w:r w:rsidR="00576ECA">
          <w:rPr>
            <w:b/>
            <w:bCs/>
            <w:noProof/>
          </w:rPr>
          <w:t>18</w:t>
        </w:r>
        <w:r w:rsidR="00396270">
          <w:rPr>
            <w:b/>
            <w:bCs/>
            <w:sz w:val="24"/>
            <w:szCs w:val="24"/>
          </w:rPr>
          <w:fldChar w:fldCharType="end"/>
        </w:r>
      </w:sdtContent>
    </w:sdt>
  </w:p>
  <w:p w:rsidR="00396270" w:rsidRDefault="003962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70" w:rsidRDefault="00396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130"/>
    <w:multiLevelType w:val="hybridMultilevel"/>
    <w:tmpl w:val="5BEC05F0"/>
    <w:lvl w:ilvl="0" w:tplc="F84ACFCA">
      <w:start w:val="1"/>
      <w:numFmt w:val="decimal"/>
      <w:lvlText w:val="[%1]"/>
      <w:lvlJc w:val="righ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5E0511"/>
    <w:multiLevelType w:val="multilevel"/>
    <w:tmpl w:val="374012E4"/>
    <w:lvl w:ilvl="0">
      <w:start w:val="6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DE60C4"/>
    <w:multiLevelType w:val="multilevel"/>
    <w:tmpl w:val="25BC14E6"/>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DD0AFE"/>
    <w:multiLevelType w:val="multilevel"/>
    <w:tmpl w:val="C6E61880"/>
    <w:lvl w:ilvl="0">
      <w:start w:val="32"/>
      <w:numFmt w:val="decimal"/>
      <w:lvlText w:val="%1"/>
      <w:lvlJc w:val="left"/>
      <w:pPr>
        <w:ind w:left="460" w:hanging="460"/>
      </w:pPr>
    </w:lvl>
    <w:lvl w:ilvl="1">
      <w:start w:val="1"/>
      <w:numFmt w:val="decimal"/>
      <w:lvlText w:val="%1.%2"/>
      <w:lvlJc w:val="left"/>
      <w:pPr>
        <w:ind w:left="820" w:hanging="4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12951B98"/>
    <w:multiLevelType w:val="hybridMultilevel"/>
    <w:tmpl w:val="7EB4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E546E"/>
    <w:multiLevelType w:val="multilevel"/>
    <w:tmpl w:val="8EAA9F10"/>
    <w:lvl w:ilvl="0">
      <w:start w:val="38"/>
      <w:numFmt w:val="decimal"/>
      <w:lvlText w:val="[%1]"/>
      <w:lvlJc w:val="right"/>
      <w:pPr>
        <w:ind w:left="360" w:hanging="360"/>
      </w:pPr>
      <w:rPr>
        <w:rFonts w:hint="default"/>
        <w:b w:val="0"/>
        <w:bCs w:val="0"/>
        <w:i w:val="0"/>
        <w:iCs w:val="0"/>
        <w:sz w:val="24"/>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956B8F"/>
    <w:multiLevelType w:val="multilevel"/>
    <w:tmpl w:val="4D9E23A2"/>
    <w:lvl w:ilvl="0">
      <w:start w:val="26"/>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29294628"/>
    <w:multiLevelType w:val="hybridMultilevel"/>
    <w:tmpl w:val="18724238"/>
    <w:lvl w:ilvl="0" w:tplc="E08622B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14655"/>
    <w:multiLevelType w:val="multilevel"/>
    <w:tmpl w:val="D19E5746"/>
    <w:lvl w:ilvl="0">
      <w:start w:val="90"/>
      <w:numFmt w:val="decimal"/>
      <w:lvlText w:val="[%1]"/>
      <w:lvlJc w:val="righ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2B435ED1"/>
    <w:multiLevelType w:val="hybridMultilevel"/>
    <w:tmpl w:val="735C276E"/>
    <w:lvl w:ilvl="0" w:tplc="92DA1E72">
      <w:start w:val="32"/>
      <w:numFmt w:val="decimal"/>
      <w:lvlText w:val="[%1]"/>
      <w:lvlJc w:val="right"/>
      <w:pPr>
        <w:ind w:left="36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2B4832BF"/>
    <w:multiLevelType w:val="multilevel"/>
    <w:tmpl w:val="04629476"/>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6868FA"/>
    <w:multiLevelType w:val="multilevel"/>
    <w:tmpl w:val="0DC22808"/>
    <w:lvl w:ilvl="0">
      <w:start w:val="24"/>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15:restartNumberingAfterBreak="0">
    <w:nsid w:val="3A2142DE"/>
    <w:multiLevelType w:val="multilevel"/>
    <w:tmpl w:val="13727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D464CF"/>
    <w:multiLevelType w:val="hybridMultilevel"/>
    <w:tmpl w:val="9A60E8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C657698"/>
    <w:multiLevelType w:val="multilevel"/>
    <w:tmpl w:val="C7A46624"/>
    <w:lvl w:ilvl="0">
      <w:start w:val="23"/>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15:restartNumberingAfterBreak="0">
    <w:nsid w:val="4CD55707"/>
    <w:multiLevelType w:val="multilevel"/>
    <w:tmpl w:val="DD2A28DC"/>
    <w:lvl w:ilvl="0">
      <w:start w:val="7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A243F7"/>
    <w:multiLevelType w:val="hybridMultilevel"/>
    <w:tmpl w:val="36D4B61E"/>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8A301F"/>
    <w:multiLevelType w:val="hybridMultilevel"/>
    <w:tmpl w:val="6BA63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6D32C91"/>
    <w:multiLevelType w:val="hybridMultilevel"/>
    <w:tmpl w:val="29167718"/>
    <w:lvl w:ilvl="0" w:tplc="6D08478C">
      <w:start w:val="1"/>
      <w:numFmt w:val="decimal"/>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BBA4014"/>
    <w:multiLevelType w:val="multilevel"/>
    <w:tmpl w:val="05B42BB6"/>
    <w:lvl w:ilvl="0">
      <w:start w:val="9"/>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5CBD0235"/>
    <w:multiLevelType w:val="hybridMultilevel"/>
    <w:tmpl w:val="D92642F8"/>
    <w:lvl w:ilvl="0" w:tplc="20640C2E">
      <w:start w:val="43"/>
      <w:numFmt w:val="decimal"/>
      <w:lvlText w:val="[%1]"/>
      <w:lvlJc w:val="righ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6F338C2"/>
    <w:multiLevelType w:val="multilevel"/>
    <w:tmpl w:val="4C722CEC"/>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75868DF"/>
    <w:multiLevelType w:val="hybridMultilevel"/>
    <w:tmpl w:val="AC42D926"/>
    <w:lvl w:ilvl="0" w:tplc="B3F2F668">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64AFD"/>
    <w:multiLevelType w:val="multilevel"/>
    <w:tmpl w:val="FB0EDB90"/>
    <w:lvl w:ilvl="0">
      <w:start w:val="6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B804A62"/>
    <w:multiLevelType w:val="hybridMultilevel"/>
    <w:tmpl w:val="AB00BEE6"/>
    <w:lvl w:ilvl="0" w:tplc="3F4E231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601"/>
    <w:multiLevelType w:val="multilevel"/>
    <w:tmpl w:val="75280DD6"/>
    <w:lvl w:ilvl="0">
      <w:start w:val="10"/>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72DC22D8"/>
    <w:multiLevelType w:val="hybridMultilevel"/>
    <w:tmpl w:val="C82483EA"/>
    <w:lvl w:ilvl="0" w:tplc="339A0816">
      <w:start w:val="1"/>
      <w:numFmt w:val="decimal"/>
      <w:lvlText w:val="[%1]"/>
      <w:lvlJc w:val="left"/>
      <w:pPr>
        <w:ind w:left="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E48F6A">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763A16">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1E88B0">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A9A52">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6CE978">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E60D42">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25552">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D623C2">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1D2672"/>
    <w:multiLevelType w:val="multilevel"/>
    <w:tmpl w:val="26DE6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14"/>
  </w:num>
  <w:num w:numId="4">
    <w:abstractNumId w:val="19"/>
  </w:num>
  <w:num w:numId="5">
    <w:abstractNumId w:val="25"/>
  </w:num>
  <w:num w:numId="6">
    <w:abstractNumId w:val="10"/>
  </w:num>
  <w:num w:numId="7">
    <w:abstractNumId w:val="21"/>
  </w:num>
  <w:num w:numId="8">
    <w:abstractNumId w:val="22"/>
  </w:num>
  <w:num w:numId="9">
    <w:abstractNumId w:val="23"/>
  </w:num>
  <w:num w:numId="10">
    <w:abstractNumId w:val="2"/>
  </w:num>
  <w:num w:numId="11">
    <w:abstractNumId w:val="24"/>
  </w:num>
  <w:num w:numId="12">
    <w:abstractNumId w:val="11"/>
  </w:num>
  <w:num w:numId="13">
    <w:abstractNumId w:val="6"/>
  </w:num>
  <w:num w:numId="14">
    <w:abstractNumId w:val="15"/>
  </w:num>
  <w:num w:numId="15">
    <w:abstractNumId w:val="1"/>
  </w:num>
  <w:num w:numId="16">
    <w:abstractNumId w:val="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 w:numId="21">
    <w:abstractNumId w:val="26"/>
  </w:num>
  <w:num w:numId="22">
    <w:abstractNumId w:val="0"/>
  </w:num>
  <w:num w:numId="23">
    <w:abstractNumId w:val="9"/>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6"/>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A7"/>
    <w:rsid w:val="00002357"/>
    <w:rsid w:val="00004941"/>
    <w:rsid w:val="000069E3"/>
    <w:rsid w:val="00007D77"/>
    <w:rsid w:val="00016926"/>
    <w:rsid w:val="00017B17"/>
    <w:rsid w:val="00017DB8"/>
    <w:rsid w:val="000245FB"/>
    <w:rsid w:val="000274E7"/>
    <w:rsid w:val="00031EF7"/>
    <w:rsid w:val="000320B1"/>
    <w:rsid w:val="0004242F"/>
    <w:rsid w:val="00044EFA"/>
    <w:rsid w:val="00067C43"/>
    <w:rsid w:val="00075E80"/>
    <w:rsid w:val="00081A37"/>
    <w:rsid w:val="000851AB"/>
    <w:rsid w:val="00097EA0"/>
    <w:rsid w:val="000A21CA"/>
    <w:rsid w:val="000A2DCA"/>
    <w:rsid w:val="000A3E56"/>
    <w:rsid w:val="000A70B7"/>
    <w:rsid w:val="000C3AB3"/>
    <w:rsid w:val="000C7941"/>
    <w:rsid w:val="000C7B41"/>
    <w:rsid w:val="000D0027"/>
    <w:rsid w:val="000E03A7"/>
    <w:rsid w:val="000E25A7"/>
    <w:rsid w:val="000E4D48"/>
    <w:rsid w:val="000F435E"/>
    <w:rsid w:val="000F6270"/>
    <w:rsid w:val="000F62B1"/>
    <w:rsid w:val="00103A5D"/>
    <w:rsid w:val="001040F6"/>
    <w:rsid w:val="001070C4"/>
    <w:rsid w:val="0010760C"/>
    <w:rsid w:val="00123199"/>
    <w:rsid w:val="001370DE"/>
    <w:rsid w:val="0014253F"/>
    <w:rsid w:val="00143C23"/>
    <w:rsid w:val="00147FBD"/>
    <w:rsid w:val="00150ECA"/>
    <w:rsid w:val="00150F41"/>
    <w:rsid w:val="00155560"/>
    <w:rsid w:val="00160BA0"/>
    <w:rsid w:val="0016702C"/>
    <w:rsid w:val="00167F80"/>
    <w:rsid w:val="00185E08"/>
    <w:rsid w:val="001957F1"/>
    <w:rsid w:val="001C3A6C"/>
    <w:rsid w:val="001C44A4"/>
    <w:rsid w:val="001C7CDA"/>
    <w:rsid w:val="001D62FE"/>
    <w:rsid w:val="001D7057"/>
    <w:rsid w:val="001E4057"/>
    <w:rsid w:val="00200B83"/>
    <w:rsid w:val="00205DDF"/>
    <w:rsid w:val="002075DD"/>
    <w:rsid w:val="00226604"/>
    <w:rsid w:val="00247F16"/>
    <w:rsid w:val="002535DC"/>
    <w:rsid w:val="002800A7"/>
    <w:rsid w:val="00286488"/>
    <w:rsid w:val="002873BA"/>
    <w:rsid w:val="00291402"/>
    <w:rsid w:val="002B08D5"/>
    <w:rsid w:val="002B3878"/>
    <w:rsid w:val="002C6F43"/>
    <w:rsid w:val="002D271C"/>
    <w:rsid w:val="002D2F4B"/>
    <w:rsid w:val="002D4878"/>
    <w:rsid w:val="002D4DB3"/>
    <w:rsid w:val="002D6979"/>
    <w:rsid w:val="002D7235"/>
    <w:rsid w:val="002E1EDB"/>
    <w:rsid w:val="002F593B"/>
    <w:rsid w:val="002F7C7D"/>
    <w:rsid w:val="00305781"/>
    <w:rsid w:val="0030628D"/>
    <w:rsid w:val="003063C6"/>
    <w:rsid w:val="00307535"/>
    <w:rsid w:val="00312127"/>
    <w:rsid w:val="00315EA0"/>
    <w:rsid w:val="003232F9"/>
    <w:rsid w:val="0034108D"/>
    <w:rsid w:val="003423A5"/>
    <w:rsid w:val="00343210"/>
    <w:rsid w:val="00347511"/>
    <w:rsid w:val="003542EE"/>
    <w:rsid w:val="00355128"/>
    <w:rsid w:val="00356362"/>
    <w:rsid w:val="00357994"/>
    <w:rsid w:val="00363D43"/>
    <w:rsid w:val="00364875"/>
    <w:rsid w:val="00365D86"/>
    <w:rsid w:val="0037072F"/>
    <w:rsid w:val="00371391"/>
    <w:rsid w:val="00376100"/>
    <w:rsid w:val="003776EA"/>
    <w:rsid w:val="00380AFB"/>
    <w:rsid w:val="0038371F"/>
    <w:rsid w:val="003921DC"/>
    <w:rsid w:val="00393DA9"/>
    <w:rsid w:val="00394203"/>
    <w:rsid w:val="00396270"/>
    <w:rsid w:val="003A3181"/>
    <w:rsid w:val="003B18CC"/>
    <w:rsid w:val="003B1C6D"/>
    <w:rsid w:val="003C267D"/>
    <w:rsid w:val="003E7C93"/>
    <w:rsid w:val="003F1424"/>
    <w:rsid w:val="00401AF9"/>
    <w:rsid w:val="004053F2"/>
    <w:rsid w:val="00406DEA"/>
    <w:rsid w:val="0040796D"/>
    <w:rsid w:val="004105EC"/>
    <w:rsid w:val="00430678"/>
    <w:rsid w:val="00436B2F"/>
    <w:rsid w:val="0043720F"/>
    <w:rsid w:val="00443594"/>
    <w:rsid w:val="004440D6"/>
    <w:rsid w:val="00460C10"/>
    <w:rsid w:val="004731F4"/>
    <w:rsid w:val="00473ABB"/>
    <w:rsid w:val="00484FE2"/>
    <w:rsid w:val="0049404F"/>
    <w:rsid w:val="004A05C5"/>
    <w:rsid w:val="004A1A24"/>
    <w:rsid w:val="004A5985"/>
    <w:rsid w:val="004B5D83"/>
    <w:rsid w:val="004C5FAA"/>
    <w:rsid w:val="004D7A63"/>
    <w:rsid w:val="004E30B9"/>
    <w:rsid w:val="004E4A12"/>
    <w:rsid w:val="004E6F08"/>
    <w:rsid w:val="004F2DBE"/>
    <w:rsid w:val="004F315B"/>
    <w:rsid w:val="004F3B65"/>
    <w:rsid w:val="005066EF"/>
    <w:rsid w:val="00510FF5"/>
    <w:rsid w:val="00526730"/>
    <w:rsid w:val="0053242D"/>
    <w:rsid w:val="00541497"/>
    <w:rsid w:val="00546334"/>
    <w:rsid w:val="005563E0"/>
    <w:rsid w:val="0057366F"/>
    <w:rsid w:val="00576ECA"/>
    <w:rsid w:val="00594EC1"/>
    <w:rsid w:val="005A0D48"/>
    <w:rsid w:val="005B4333"/>
    <w:rsid w:val="005B771E"/>
    <w:rsid w:val="005D25B6"/>
    <w:rsid w:val="005D45A7"/>
    <w:rsid w:val="005E4FA7"/>
    <w:rsid w:val="005E59B1"/>
    <w:rsid w:val="005F0920"/>
    <w:rsid w:val="005F1219"/>
    <w:rsid w:val="005F231C"/>
    <w:rsid w:val="0060663C"/>
    <w:rsid w:val="00606F74"/>
    <w:rsid w:val="00627674"/>
    <w:rsid w:val="00634240"/>
    <w:rsid w:val="00635E94"/>
    <w:rsid w:val="006462CC"/>
    <w:rsid w:val="006560D7"/>
    <w:rsid w:val="0066101A"/>
    <w:rsid w:val="00661D2E"/>
    <w:rsid w:val="00665D95"/>
    <w:rsid w:val="006734B8"/>
    <w:rsid w:val="00675302"/>
    <w:rsid w:val="006821A5"/>
    <w:rsid w:val="00684D63"/>
    <w:rsid w:val="006873D7"/>
    <w:rsid w:val="00695B70"/>
    <w:rsid w:val="006A0F08"/>
    <w:rsid w:val="006A67A8"/>
    <w:rsid w:val="006A762F"/>
    <w:rsid w:val="006B7EA1"/>
    <w:rsid w:val="006C109A"/>
    <w:rsid w:val="006C3D47"/>
    <w:rsid w:val="006C40D4"/>
    <w:rsid w:val="006C4F0D"/>
    <w:rsid w:val="006D3F13"/>
    <w:rsid w:val="006D58AC"/>
    <w:rsid w:val="006E31AD"/>
    <w:rsid w:val="006E4365"/>
    <w:rsid w:val="006E5B4A"/>
    <w:rsid w:val="00705542"/>
    <w:rsid w:val="007108EC"/>
    <w:rsid w:val="0071206A"/>
    <w:rsid w:val="007167DB"/>
    <w:rsid w:val="0072145A"/>
    <w:rsid w:val="00725F14"/>
    <w:rsid w:val="0073536E"/>
    <w:rsid w:val="007366C6"/>
    <w:rsid w:val="00736928"/>
    <w:rsid w:val="0074065F"/>
    <w:rsid w:val="007421C9"/>
    <w:rsid w:val="0074230C"/>
    <w:rsid w:val="0076446E"/>
    <w:rsid w:val="00775F83"/>
    <w:rsid w:val="00784006"/>
    <w:rsid w:val="00785197"/>
    <w:rsid w:val="00785E1A"/>
    <w:rsid w:val="00790E67"/>
    <w:rsid w:val="00793458"/>
    <w:rsid w:val="00793B10"/>
    <w:rsid w:val="007A3BBB"/>
    <w:rsid w:val="007A6A4B"/>
    <w:rsid w:val="007B1D24"/>
    <w:rsid w:val="007B40F6"/>
    <w:rsid w:val="007B4954"/>
    <w:rsid w:val="007B6964"/>
    <w:rsid w:val="007C719E"/>
    <w:rsid w:val="007D4444"/>
    <w:rsid w:val="007D4FA7"/>
    <w:rsid w:val="007E7AE4"/>
    <w:rsid w:val="007F1176"/>
    <w:rsid w:val="007F6158"/>
    <w:rsid w:val="008050D0"/>
    <w:rsid w:val="00805528"/>
    <w:rsid w:val="008058DB"/>
    <w:rsid w:val="0082097F"/>
    <w:rsid w:val="00831882"/>
    <w:rsid w:val="00832476"/>
    <w:rsid w:val="0083562B"/>
    <w:rsid w:val="008419F7"/>
    <w:rsid w:val="00850EAB"/>
    <w:rsid w:val="00851200"/>
    <w:rsid w:val="0085215E"/>
    <w:rsid w:val="0085702F"/>
    <w:rsid w:val="00860451"/>
    <w:rsid w:val="00861ECE"/>
    <w:rsid w:val="008630A4"/>
    <w:rsid w:val="0086520B"/>
    <w:rsid w:val="00873AEB"/>
    <w:rsid w:val="00875D84"/>
    <w:rsid w:val="00881ACA"/>
    <w:rsid w:val="00883306"/>
    <w:rsid w:val="00886D0C"/>
    <w:rsid w:val="00897994"/>
    <w:rsid w:val="008A4A3D"/>
    <w:rsid w:val="008B479F"/>
    <w:rsid w:val="008B62C2"/>
    <w:rsid w:val="008C1A94"/>
    <w:rsid w:val="008C56A6"/>
    <w:rsid w:val="008C6C14"/>
    <w:rsid w:val="008D3918"/>
    <w:rsid w:val="008E035E"/>
    <w:rsid w:val="008E16A9"/>
    <w:rsid w:val="008E21CD"/>
    <w:rsid w:val="008E31DE"/>
    <w:rsid w:val="008F1B55"/>
    <w:rsid w:val="008F2B67"/>
    <w:rsid w:val="008F3358"/>
    <w:rsid w:val="008F78F2"/>
    <w:rsid w:val="00914817"/>
    <w:rsid w:val="00916B91"/>
    <w:rsid w:val="00922166"/>
    <w:rsid w:val="0092362B"/>
    <w:rsid w:val="00926A53"/>
    <w:rsid w:val="009344BE"/>
    <w:rsid w:val="00942248"/>
    <w:rsid w:val="00943D79"/>
    <w:rsid w:val="009451D6"/>
    <w:rsid w:val="009636AE"/>
    <w:rsid w:val="0096674A"/>
    <w:rsid w:val="00982869"/>
    <w:rsid w:val="00990B9C"/>
    <w:rsid w:val="009948E3"/>
    <w:rsid w:val="00994E17"/>
    <w:rsid w:val="009A0752"/>
    <w:rsid w:val="009B0963"/>
    <w:rsid w:val="009B19AA"/>
    <w:rsid w:val="009C20CA"/>
    <w:rsid w:val="009C3F22"/>
    <w:rsid w:val="009D14DB"/>
    <w:rsid w:val="009D4F94"/>
    <w:rsid w:val="009E0528"/>
    <w:rsid w:val="009F55CA"/>
    <w:rsid w:val="00A024E8"/>
    <w:rsid w:val="00A0517C"/>
    <w:rsid w:val="00A069FA"/>
    <w:rsid w:val="00A1687B"/>
    <w:rsid w:val="00A23EEB"/>
    <w:rsid w:val="00A30899"/>
    <w:rsid w:val="00A32A76"/>
    <w:rsid w:val="00A3373D"/>
    <w:rsid w:val="00A36858"/>
    <w:rsid w:val="00A43D84"/>
    <w:rsid w:val="00A50B84"/>
    <w:rsid w:val="00A55BD2"/>
    <w:rsid w:val="00A55ECC"/>
    <w:rsid w:val="00A6336A"/>
    <w:rsid w:val="00A677AA"/>
    <w:rsid w:val="00A72EE0"/>
    <w:rsid w:val="00A73600"/>
    <w:rsid w:val="00A76F5E"/>
    <w:rsid w:val="00A823D3"/>
    <w:rsid w:val="00A82EEE"/>
    <w:rsid w:val="00A91B38"/>
    <w:rsid w:val="00A9450A"/>
    <w:rsid w:val="00AA22EA"/>
    <w:rsid w:val="00AA51A2"/>
    <w:rsid w:val="00AA77BD"/>
    <w:rsid w:val="00AB1726"/>
    <w:rsid w:val="00AB26F1"/>
    <w:rsid w:val="00AB2FCA"/>
    <w:rsid w:val="00AB6B35"/>
    <w:rsid w:val="00AD0EB0"/>
    <w:rsid w:val="00AD0EB9"/>
    <w:rsid w:val="00AD16B2"/>
    <w:rsid w:val="00AE156C"/>
    <w:rsid w:val="00AE178D"/>
    <w:rsid w:val="00AE1CB7"/>
    <w:rsid w:val="00AE499B"/>
    <w:rsid w:val="00AE6624"/>
    <w:rsid w:val="00AE6E14"/>
    <w:rsid w:val="00AF301C"/>
    <w:rsid w:val="00AF60C2"/>
    <w:rsid w:val="00B01B5C"/>
    <w:rsid w:val="00B024AA"/>
    <w:rsid w:val="00B273AA"/>
    <w:rsid w:val="00B35C13"/>
    <w:rsid w:val="00B35DDA"/>
    <w:rsid w:val="00B3609D"/>
    <w:rsid w:val="00B361DF"/>
    <w:rsid w:val="00B37257"/>
    <w:rsid w:val="00B431CC"/>
    <w:rsid w:val="00B67A86"/>
    <w:rsid w:val="00B76BAF"/>
    <w:rsid w:val="00B837DA"/>
    <w:rsid w:val="00B93C13"/>
    <w:rsid w:val="00B9514D"/>
    <w:rsid w:val="00B96AA8"/>
    <w:rsid w:val="00BA0E4F"/>
    <w:rsid w:val="00BB1BC4"/>
    <w:rsid w:val="00BB49CC"/>
    <w:rsid w:val="00BB55DD"/>
    <w:rsid w:val="00BB6CDA"/>
    <w:rsid w:val="00BC0F81"/>
    <w:rsid w:val="00BE6BCB"/>
    <w:rsid w:val="00BE718B"/>
    <w:rsid w:val="00BF2711"/>
    <w:rsid w:val="00C000B6"/>
    <w:rsid w:val="00C0104A"/>
    <w:rsid w:val="00C02CA3"/>
    <w:rsid w:val="00C14A73"/>
    <w:rsid w:val="00C15461"/>
    <w:rsid w:val="00C27D72"/>
    <w:rsid w:val="00C30A48"/>
    <w:rsid w:val="00C33195"/>
    <w:rsid w:val="00C34D3B"/>
    <w:rsid w:val="00C34FEB"/>
    <w:rsid w:val="00C36E8B"/>
    <w:rsid w:val="00C422B6"/>
    <w:rsid w:val="00C43D5E"/>
    <w:rsid w:val="00C6326A"/>
    <w:rsid w:val="00C66636"/>
    <w:rsid w:val="00C7373A"/>
    <w:rsid w:val="00C80FBB"/>
    <w:rsid w:val="00C8243C"/>
    <w:rsid w:val="00C82C66"/>
    <w:rsid w:val="00C83BC6"/>
    <w:rsid w:val="00C859D1"/>
    <w:rsid w:val="00C879D1"/>
    <w:rsid w:val="00C90F01"/>
    <w:rsid w:val="00C936E0"/>
    <w:rsid w:val="00C95C2E"/>
    <w:rsid w:val="00C96C20"/>
    <w:rsid w:val="00CA47AB"/>
    <w:rsid w:val="00CB7D48"/>
    <w:rsid w:val="00CC01D1"/>
    <w:rsid w:val="00CC38B8"/>
    <w:rsid w:val="00CC3C97"/>
    <w:rsid w:val="00CD2943"/>
    <w:rsid w:val="00CD2A0E"/>
    <w:rsid w:val="00CD64C0"/>
    <w:rsid w:val="00CF2C42"/>
    <w:rsid w:val="00CF4051"/>
    <w:rsid w:val="00D036A0"/>
    <w:rsid w:val="00D043F9"/>
    <w:rsid w:val="00D07B04"/>
    <w:rsid w:val="00D11541"/>
    <w:rsid w:val="00D1435B"/>
    <w:rsid w:val="00D1546E"/>
    <w:rsid w:val="00D17210"/>
    <w:rsid w:val="00D23435"/>
    <w:rsid w:val="00D2347A"/>
    <w:rsid w:val="00D2426A"/>
    <w:rsid w:val="00D25A09"/>
    <w:rsid w:val="00D31A1F"/>
    <w:rsid w:val="00D32D88"/>
    <w:rsid w:val="00D44B8C"/>
    <w:rsid w:val="00D4565E"/>
    <w:rsid w:val="00D502A1"/>
    <w:rsid w:val="00D508AC"/>
    <w:rsid w:val="00D6159F"/>
    <w:rsid w:val="00D632E4"/>
    <w:rsid w:val="00D712E3"/>
    <w:rsid w:val="00D71BE7"/>
    <w:rsid w:val="00D82DCE"/>
    <w:rsid w:val="00D91FC5"/>
    <w:rsid w:val="00D9506B"/>
    <w:rsid w:val="00DA13A8"/>
    <w:rsid w:val="00DA451F"/>
    <w:rsid w:val="00DC21CF"/>
    <w:rsid w:val="00DC2E36"/>
    <w:rsid w:val="00DC3A53"/>
    <w:rsid w:val="00DE03BD"/>
    <w:rsid w:val="00DE4E69"/>
    <w:rsid w:val="00DF3004"/>
    <w:rsid w:val="00E02620"/>
    <w:rsid w:val="00E072D4"/>
    <w:rsid w:val="00E12EF1"/>
    <w:rsid w:val="00E163F0"/>
    <w:rsid w:val="00E25A19"/>
    <w:rsid w:val="00E278CC"/>
    <w:rsid w:val="00E30E4D"/>
    <w:rsid w:val="00E44551"/>
    <w:rsid w:val="00E46946"/>
    <w:rsid w:val="00E46F92"/>
    <w:rsid w:val="00E4716A"/>
    <w:rsid w:val="00E54DA0"/>
    <w:rsid w:val="00E55269"/>
    <w:rsid w:val="00E62386"/>
    <w:rsid w:val="00E66E13"/>
    <w:rsid w:val="00E7269A"/>
    <w:rsid w:val="00E746DC"/>
    <w:rsid w:val="00E81156"/>
    <w:rsid w:val="00E83276"/>
    <w:rsid w:val="00E852FD"/>
    <w:rsid w:val="00E85710"/>
    <w:rsid w:val="00E87013"/>
    <w:rsid w:val="00E95BCF"/>
    <w:rsid w:val="00E96DCB"/>
    <w:rsid w:val="00EA0021"/>
    <w:rsid w:val="00EA0AEC"/>
    <w:rsid w:val="00EC0C03"/>
    <w:rsid w:val="00EC128A"/>
    <w:rsid w:val="00EC2453"/>
    <w:rsid w:val="00EC3435"/>
    <w:rsid w:val="00EC3ADC"/>
    <w:rsid w:val="00EC567F"/>
    <w:rsid w:val="00EC6946"/>
    <w:rsid w:val="00EE0272"/>
    <w:rsid w:val="00EF1480"/>
    <w:rsid w:val="00EF1ED4"/>
    <w:rsid w:val="00EF475A"/>
    <w:rsid w:val="00EF5A2E"/>
    <w:rsid w:val="00F02ED9"/>
    <w:rsid w:val="00F23BBF"/>
    <w:rsid w:val="00F265D7"/>
    <w:rsid w:val="00F414A0"/>
    <w:rsid w:val="00F44AB3"/>
    <w:rsid w:val="00F44D59"/>
    <w:rsid w:val="00F61969"/>
    <w:rsid w:val="00F63306"/>
    <w:rsid w:val="00F65AA1"/>
    <w:rsid w:val="00F7177D"/>
    <w:rsid w:val="00F74E3C"/>
    <w:rsid w:val="00F764D5"/>
    <w:rsid w:val="00FA2E36"/>
    <w:rsid w:val="00FA7FCB"/>
    <w:rsid w:val="00FB1897"/>
    <w:rsid w:val="00FB2937"/>
    <w:rsid w:val="00FB7583"/>
    <w:rsid w:val="00FC0697"/>
    <w:rsid w:val="00FC51AB"/>
    <w:rsid w:val="00FF06EF"/>
    <w:rsid w:val="00FF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FCF0F-9E1E-4938-9B10-13C4E2C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64"/>
  </w:style>
  <w:style w:type="paragraph" w:styleId="Heading2">
    <w:name w:val="heading 2"/>
    <w:basedOn w:val="Normal"/>
    <w:next w:val="Normal"/>
    <w:link w:val="Heading2Char"/>
    <w:uiPriority w:val="9"/>
    <w:semiHidden/>
    <w:unhideWhenUsed/>
    <w:qFormat/>
    <w:rsid w:val="00AB2FCA"/>
    <w:pPr>
      <w:keepNext/>
      <w:keepLines/>
      <w:spacing w:before="40" w:after="0" w:line="480" w:lineRule="auto"/>
      <w:jc w:val="both"/>
      <w:outlineLvl w:val="1"/>
    </w:pPr>
    <w:rPr>
      <w:rFonts w:asciiTheme="majorHAnsi" w:eastAsiaTheme="majorEastAsia" w:hAnsiTheme="majorHAnsi" w:cstheme="majorBidi"/>
      <w:iCs/>
      <w:color w:val="2E74B5" w:themeColor="accent1" w:themeShade="BF"/>
      <w:sz w:val="26"/>
      <w:szCs w:val="26"/>
      <w:lang w:val="en-ZA"/>
    </w:rPr>
  </w:style>
  <w:style w:type="paragraph" w:styleId="Heading3">
    <w:name w:val="heading 3"/>
    <w:basedOn w:val="Normal"/>
    <w:next w:val="Normal"/>
    <w:link w:val="Heading3Char"/>
    <w:uiPriority w:val="9"/>
    <w:semiHidden/>
    <w:unhideWhenUsed/>
    <w:qFormat/>
    <w:rsid w:val="0034751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8B"/>
    <w:pPr>
      <w:ind w:left="720"/>
      <w:contextualSpacing/>
    </w:pPr>
  </w:style>
  <w:style w:type="paragraph" w:styleId="NormalWeb">
    <w:name w:val="Normal (Web)"/>
    <w:basedOn w:val="Normal"/>
    <w:uiPriority w:val="99"/>
    <w:semiHidden/>
    <w:unhideWhenUsed/>
    <w:rsid w:val="00002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2357"/>
  </w:style>
  <w:style w:type="paragraph" w:styleId="Header">
    <w:name w:val="header"/>
    <w:basedOn w:val="Normal"/>
    <w:link w:val="HeaderChar"/>
    <w:uiPriority w:val="99"/>
    <w:unhideWhenUsed/>
    <w:rsid w:val="00C4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B6"/>
  </w:style>
  <w:style w:type="paragraph" w:styleId="Footer">
    <w:name w:val="footer"/>
    <w:basedOn w:val="Normal"/>
    <w:link w:val="FooterChar"/>
    <w:uiPriority w:val="99"/>
    <w:unhideWhenUsed/>
    <w:rsid w:val="00C4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B6"/>
  </w:style>
  <w:style w:type="paragraph" w:styleId="FootnoteText">
    <w:name w:val="footnote text"/>
    <w:basedOn w:val="Normal"/>
    <w:link w:val="FootnoteTextChar"/>
    <w:uiPriority w:val="99"/>
    <w:semiHidden/>
    <w:unhideWhenUsed/>
    <w:rsid w:val="00B3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5C13"/>
    <w:rPr>
      <w:sz w:val="20"/>
      <w:szCs w:val="20"/>
    </w:rPr>
  </w:style>
  <w:style w:type="character" w:styleId="FootnoteReference">
    <w:name w:val="footnote reference"/>
    <w:basedOn w:val="DefaultParagraphFont"/>
    <w:uiPriority w:val="99"/>
    <w:semiHidden/>
    <w:unhideWhenUsed/>
    <w:rsid w:val="00B35C13"/>
    <w:rPr>
      <w:vertAlign w:val="superscript"/>
    </w:rPr>
  </w:style>
  <w:style w:type="character" w:styleId="CommentReference">
    <w:name w:val="annotation reference"/>
    <w:basedOn w:val="DefaultParagraphFont"/>
    <w:uiPriority w:val="99"/>
    <w:semiHidden/>
    <w:unhideWhenUsed/>
    <w:rsid w:val="007B1D24"/>
    <w:rPr>
      <w:sz w:val="16"/>
      <w:szCs w:val="16"/>
    </w:rPr>
  </w:style>
  <w:style w:type="paragraph" w:styleId="CommentText">
    <w:name w:val="annotation text"/>
    <w:basedOn w:val="Normal"/>
    <w:link w:val="CommentTextChar"/>
    <w:uiPriority w:val="99"/>
    <w:semiHidden/>
    <w:unhideWhenUsed/>
    <w:rsid w:val="007B1D24"/>
    <w:pPr>
      <w:spacing w:line="240" w:lineRule="auto"/>
    </w:pPr>
    <w:rPr>
      <w:sz w:val="20"/>
      <w:szCs w:val="20"/>
    </w:rPr>
  </w:style>
  <w:style w:type="character" w:customStyle="1" w:styleId="CommentTextChar">
    <w:name w:val="Comment Text Char"/>
    <w:basedOn w:val="DefaultParagraphFont"/>
    <w:link w:val="CommentText"/>
    <w:uiPriority w:val="99"/>
    <w:semiHidden/>
    <w:rsid w:val="007B1D24"/>
    <w:rPr>
      <w:sz w:val="20"/>
      <w:szCs w:val="20"/>
    </w:rPr>
  </w:style>
  <w:style w:type="paragraph" w:styleId="CommentSubject">
    <w:name w:val="annotation subject"/>
    <w:basedOn w:val="CommentText"/>
    <w:next w:val="CommentText"/>
    <w:link w:val="CommentSubjectChar"/>
    <w:uiPriority w:val="99"/>
    <w:semiHidden/>
    <w:unhideWhenUsed/>
    <w:rsid w:val="007B1D24"/>
    <w:rPr>
      <w:b/>
      <w:bCs/>
    </w:rPr>
  </w:style>
  <w:style w:type="character" w:customStyle="1" w:styleId="CommentSubjectChar">
    <w:name w:val="Comment Subject Char"/>
    <w:basedOn w:val="CommentTextChar"/>
    <w:link w:val="CommentSubject"/>
    <w:uiPriority w:val="99"/>
    <w:semiHidden/>
    <w:rsid w:val="007B1D24"/>
    <w:rPr>
      <w:b/>
      <w:bCs/>
      <w:sz w:val="20"/>
      <w:szCs w:val="20"/>
    </w:rPr>
  </w:style>
  <w:style w:type="paragraph" w:styleId="BalloonText">
    <w:name w:val="Balloon Text"/>
    <w:basedOn w:val="Normal"/>
    <w:link w:val="BalloonTextChar"/>
    <w:uiPriority w:val="99"/>
    <w:semiHidden/>
    <w:unhideWhenUsed/>
    <w:rsid w:val="007B1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24"/>
    <w:rPr>
      <w:rFonts w:ascii="Segoe UI" w:hAnsi="Segoe UI" w:cs="Segoe UI"/>
      <w:sz w:val="18"/>
      <w:szCs w:val="18"/>
    </w:rPr>
  </w:style>
  <w:style w:type="paragraph" w:customStyle="1" w:styleId="p1">
    <w:name w:val="p1"/>
    <w:basedOn w:val="Normal"/>
    <w:rsid w:val="00307535"/>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rsid w:val="00307535"/>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307535"/>
  </w:style>
  <w:style w:type="character" w:customStyle="1" w:styleId="s2">
    <w:name w:val="s2"/>
    <w:basedOn w:val="DefaultParagraphFont"/>
    <w:rsid w:val="00307535"/>
  </w:style>
  <w:style w:type="character" w:customStyle="1" w:styleId="s3">
    <w:name w:val="s3"/>
    <w:basedOn w:val="DefaultParagraphFont"/>
    <w:rsid w:val="00307535"/>
  </w:style>
  <w:style w:type="paragraph" w:customStyle="1" w:styleId="p3">
    <w:name w:val="p3"/>
    <w:basedOn w:val="Normal"/>
    <w:rsid w:val="002E1EDB"/>
    <w:pPr>
      <w:spacing w:before="100" w:beforeAutospacing="1" w:after="100" w:afterAutospacing="1" w:line="240" w:lineRule="auto"/>
    </w:pPr>
    <w:rPr>
      <w:rFonts w:ascii="Times New Roman" w:hAnsi="Times New Roman" w:cs="Times New Roman"/>
      <w:sz w:val="24"/>
      <w:szCs w:val="24"/>
      <w:lang w:val="en-ZA" w:eastAsia="en-ZA"/>
    </w:rPr>
  </w:style>
  <w:style w:type="character" w:customStyle="1" w:styleId="Heading2Char">
    <w:name w:val="Heading 2 Char"/>
    <w:basedOn w:val="DefaultParagraphFont"/>
    <w:link w:val="Heading2"/>
    <w:uiPriority w:val="9"/>
    <w:semiHidden/>
    <w:rsid w:val="00AB2FCA"/>
    <w:rPr>
      <w:rFonts w:asciiTheme="majorHAnsi" w:eastAsiaTheme="majorEastAsia" w:hAnsiTheme="majorHAnsi" w:cstheme="majorBidi"/>
      <w:iCs/>
      <w:color w:val="2E74B5" w:themeColor="accent1" w:themeShade="BF"/>
      <w:sz w:val="26"/>
      <w:szCs w:val="26"/>
      <w:lang w:val="en-ZA"/>
    </w:rPr>
  </w:style>
  <w:style w:type="character" w:customStyle="1" w:styleId="Heading3Char">
    <w:name w:val="Heading 3 Char"/>
    <w:basedOn w:val="DefaultParagraphFont"/>
    <w:link w:val="Heading3"/>
    <w:uiPriority w:val="9"/>
    <w:semiHidden/>
    <w:rsid w:val="00347511"/>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E46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8134">
      <w:bodyDiv w:val="1"/>
      <w:marLeft w:val="0"/>
      <w:marRight w:val="0"/>
      <w:marTop w:val="0"/>
      <w:marBottom w:val="0"/>
      <w:divBdr>
        <w:top w:val="none" w:sz="0" w:space="0" w:color="auto"/>
        <w:left w:val="none" w:sz="0" w:space="0" w:color="auto"/>
        <w:bottom w:val="none" w:sz="0" w:space="0" w:color="auto"/>
        <w:right w:val="none" w:sz="0" w:space="0" w:color="auto"/>
      </w:divBdr>
      <w:divsChild>
        <w:div w:id="73092785">
          <w:marLeft w:val="-115"/>
          <w:marRight w:val="0"/>
          <w:marTop w:val="0"/>
          <w:marBottom w:val="0"/>
          <w:divBdr>
            <w:top w:val="none" w:sz="0" w:space="0" w:color="auto"/>
            <w:left w:val="none" w:sz="0" w:space="0" w:color="auto"/>
            <w:bottom w:val="none" w:sz="0" w:space="0" w:color="auto"/>
            <w:right w:val="none" w:sz="0" w:space="0" w:color="auto"/>
          </w:divBdr>
        </w:div>
      </w:divsChild>
    </w:div>
    <w:div w:id="331181238">
      <w:bodyDiv w:val="1"/>
      <w:marLeft w:val="0"/>
      <w:marRight w:val="0"/>
      <w:marTop w:val="0"/>
      <w:marBottom w:val="0"/>
      <w:divBdr>
        <w:top w:val="none" w:sz="0" w:space="0" w:color="auto"/>
        <w:left w:val="none" w:sz="0" w:space="0" w:color="auto"/>
        <w:bottom w:val="none" w:sz="0" w:space="0" w:color="auto"/>
        <w:right w:val="none" w:sz="0" w:space="0" w:color="auto"/>
      </w:divBdr>
    </w:div>
    <w:div w:id="589854761">
      <w:bodyDiv w:val="1"/>
      <w:marLeft w:val="0"/>
      <w:marRight w:val="0"/>
      <w:marTop w:val="0"/>
      <w:marBottom w:val="0"/>
      <w:divBdr>
        <w:top w:val="none" w:sz="0" w:space="0" w:color="auto"/>
        <w:left w:val="none" w:sz="0" w:space="0" w:color="auto"/>
        <w:bottom w:val="none" w:sz="0" w:space="0" w:color="auto"/>
        <w:right w:val="none" w:sz="0" w:space="0" w:color="auto"/>
      </w:divBdr>
    </w:div>
    <w:div w:id="691035451">
      <w:bodyDiv w:val="1"/>
      <w:marLeft w:val="0"/>
      <w:marRight w:val="0"/>
      <w:marTop w:val="0"/>
      <w:marBottom w:val="0"/>
      <w:divBdr>
        <w:top w:val="none" w:sz="0" w:space="0" w:color="auto"/>
        <w:left w:val="none" w:sz="0" w:space="0" w:color="auto"/>
        <w:bottom w:val="none" w:sz="0" w:space="0" w:color="auto"/>
        <w:right w:val="none" w:sz="0" w:space="0" w:color="auto"/>
      </w:divBdr>
    </w:div>
    <w:div w:id="772283193">
      <w:bodyDiv w:val="1"/>
      <w:marLeft w:val="0"/>
      <w:marRight w:val="0"/>
      <w:marTop w:val="0"/>
      <w:marBottom w:val="0"/>
      <w:divBdr>
        <w:top w:val="none" w:sz="0" w:space="0" w:color="auto"/>
        <w:left w:val="none" w:sz="0" w:space="0" w:color="auto"/>
        <w:bottom w:val="none" w:sz="0" w:space="0" w:color="auto"/>
        <w:right w:val="none" w:sz="0" w:space="0" w:color="auto"/>
      </w:divBdr>
    </w:div>
    <w:div w:id="1131749931">
      <w:bodyDiv w:val="1"/>
      <w:marLeft w:val="0"/>
      <w:marRight w:val="0"/>
      <w:marTop w:val="0"/>
      <w:marBottom w:val="0"/>
      <w:divBdr>
        <w:top w:val="none" w:sz="0" w:space="0" w:color="auto"/>
        <w:left w:val="none" w:sz="0" w:space="0" w:color="auto"/>
        <w:bottom w:val="none" w:sz="0" w:space="0" w:color="auto"/>
        <w:right w:val="none" w:sz="0" w:space="0" w:color="auto"/>
      </w:divBdr>
    </w:div>
    <w:div w:id="1261840406">
      <w:bodyDiv w:val="1"/>
      <w:marLeft w:val="0"/>
      <w:marRight w:val="0"/>
      <w:marTop w:val="0"/>
      <w:marBottom w:val="0"/>
      <w:divBdr>
        <w:top w:val="none" w:sz="0" w:space="0" w:color="auto"/>
        <w:left w:val="none" w:sz="0" w:space="0" w:color="auto"/>
        <w:bottom w:val="none" w:sz="0" w:space="0" w:color="auto"/>
        <w:right w:val="none" w:sz="0" w:space="0" w:color="auto"/>
      </w:divBdr>
    </w:div>
    <w:div w:id="1327172396">
      <w:bodyDiv w:val="1"/>
      <w:marLeft w:val="0"/>
      <w:marRight w:val="0"/>
      <w:marTop w:val="0"/>
      <w:marBottom w:val="0"/>
      <w:divBdr>
        <w:top w:val="none" w:sz="0" w:space="0" w:color="auto"/>
        <w:left w:val="none" w:sz="0" w:space="0" w:color="auto"/>
        <w:bottom w:val="none" w:sz="0" w:space="0" w:color="auto"/>
        <w:right w:val="none" w:sz="0" w:space="0" w:color="auto"/>
      </w:divBdr>
    </w:div>
    <w:div w:id="1847162971">
      <w:bodyDiv w:val="1"/>
      <w:marLeft w:val="0"/>
      <w:marRight w:val="0"/>
      <w:marTop w:val="0"/>
      <w:marBottom w:val="0"/>
      <w:divBdr>
        <w:top w:val="none" w:sz="0" w:space="0" w:color="auto"/>
        <w:left w:val="none" w:sz="0" w:space="0" w:color="auto"/>
        <w:bottom w:val="none" w:sz="0" w:space="0" w:color="auto"/>
        <w:right w:val="none" w:sz="0" w:space="0" w:color="auto"/>
      </w:divBdr>
    </w:div>
    <w:div w:id="1859192109">
      <w:bodyDiv w:val="1"/>
      <w:marLeft w:val="0"/>
      <w:marRight w:val="0"/>
      <w:marTop w:val="0"/>
      <w:marBottom w:val="0"/>
      <w:divBdr>
        <w:top w:val="none" w:sz="0" w:space="0" w:color="auto"/>
        <w:left w:val="none" w:sz="0" w:space="0" w:color="auto"/>
        <w:bottom w:val="none" w:sz="0" w:space="0" w:color="auto"/>
        <w:right w:val="none" w:sz="0" w:space="0" w:color="auto"/>
      </w:divBdr>
    </w:div>
    <w:div w:id="1870533221">
      <w:bodyDiv w:val="1"/>
      <w:marLeft w:val="0"/>
      <w:marRight w:val="0"/>
      <w:marTop w:val="0"/>
      <w:marBottom w:val="0"/>
      <w:divBdr>
        <w:top w:val="none" w:sz="0" w:space="0" w:color="auto"/>
        <w:left w:val="none" w:sz="0" w:space="0" w:color="auto"/>
        <w:bottom w:val="none" w:sz="0" w:space="0" w:color="auto"/>
        <w:right w:val="none" w:sz="0" w:space="0" w:color="auto"/>
      </w:divBdr>
    </w:div>
    <w:div w:id="1936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F664-3993-4AE4-8976-9B1035F1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Mary Bruce</cp:lastModifiedBy>
  <cp:revision>4</cp:revision>
  <cp:lastPrinted>2022-03-09T12:41:00Z</cp:lastPrinted>
  <dcterms:created xsi:type="dcterms:W3CDTF">2022-03-09T12:38:00Z</dcterms:created>
  <dcterms:modified xsi:type="dcterms:W3CDTF">2023-12-27T15:24:00Z</dcterms:modified>
</cp:coreProperties>
</file>