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110" w:rsidRPr="007F12BA" w:rsidRDefault="00230110" w:rsidP="00230110">
      <w:pPr>
        <w:tabs>
          <w:tab w:val="center" w:pos="4512"/>
        </w:tabs>
        <w:autoSpaceDE w:val="0"/>
        <w:autoSpaceDN w:val="0"/>
        <w:adjustRightInd w:val="0"/>
        <w:jc w:val="center"/>
        <w:rPr>
          <w:rFonts w:ascii="Arial" w:hAnsi="Arial" w:cs="Arial"/>
        </w:rPr>
      </w:pPr>
      <w:r w:rsidRPr="007F12BA">
        <w:rPr>
          <w:rFonts w:ascii="Arial" w:hAnsi="Arial" w:cs="Arial"/>
          <w:noProof/>
        </w:rPr>
        <w:drawing>
          <wp:inline distT="0" distB="0" distL="0" distR="0" wp14:anchorId="050A27D4" wp14:editId="71A69614">
            <wp:extent cx="1424763" cy="1424763"/>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19_BS_Special Tribunal_Revised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3481" cy="1423481"/>
                    </a:xfrm>
                    <a:prstGeom prst="rect">
                      <a:avLst/>
                    </a:prstGeom>
                  </pic:spPr>
                </pic:pic>
              </a:graphicData>
            </a:graphic>
          </wp:inline>
        </w:drawing>
      </w:r>
    </w:p>
    <w:p w:rsidR="00230110" w:rsidRPr="007F12BA" w:rsidRDefault="00230110" w:rsidP="00230110">
      <w:pPr>
        <w:tabs>
          <w:tab w:val="center" w:pos="4512"/>
        </w:tabs>
        <w:autoSpaceDE w:val="0"/>
        <w:autoSpaceDN w:val="0"/>
        <w:adjustRightInd w:val="0"/>
        <w:jc w:val="right"/>
        <w:rPr>
          <w:rFonts w:ascii="Arial" w:hAnsi="Arial" w:cs="Arial"/>
        </w:rPr>
      </w:pPr>
      <w:bookmarkStart w:id="0" w:name="CaseNo"/>
      <w:bookmarkEnd w:id="0"/>
      <w:r w:rsidRPr="007F12BA">
        <w:rPr>
          <w:rFonts w:ascii="Arial" w:hAnsi="Arial" w:cs="Arial"/>
        </w:rPr>
        <w:t xml:space="preserve">    </w:t>
      </w:r>
    </w:p>
    <w:p w:rsidR="00230110" w:rsidRPr="007F12BA" w:rsidRDefault="00230110" w:rsidP="00230110">
      <w:pPr>
        <w:jc w:val="center"/>
        <w:rPr>
          <w:rFonts w:ascii="Arial" w:hAnsi="Arial" w:cs="Arial"/>
          <w:b/>
        </w:rPr>
      </w:pPr>
      <w:r w:rsidRPr="007F12BA">
        <w:rPr>
          <w:rFonts w:ascii="Arial" w:hAnsi="Arial" w:cs="Arial"/>
          <w:b/>
        </w:rPr>
        <w:t xml:space="preserve">IN THE SPECIAL TRIBUNAL ESTABLISHED IN TERMS OF SECTION 2 (1) OF THE SPECIAL INVESTIGATING UNITS AND </w:t>
      </w:r>
    </w:p>
    <w:p w:rsidR="00230110" w:rsidRPr="007F12BA" w:rsidRDefault="00230110" w:rsidP="00230110">
      <w:pPr>
        <w:jc w:val="center"/>
        <w:rPr>
          <w:rFonts w:ascii="Arial" w:hAnsi="Arial" w:cs="Arial"/>
          <w:b/>
        </w:rPr>
      </w:pPr>
      <w:r w:rsidRPr="007F12BA">
        <w:rPr>
          <w:rFonts w:ascii="Arial" w:hAnsi="Arial" w:cs="Arial"/>
          <w:b/>
        </w:rPr>
        <w:t>SPECIAL TRIBUNALS ACT 74 OF 1996</w:t>
      </w:r>
    </w:p>
    <w:p w:rsidR="00230110" w:rsidRPr="007F12BA" w:rsidRDefault="00230110" w:rsidP="00230110">
      <w:pPr>
        <w:spacing w:line="360" w:lineRule="auto"/>
        <w:jc w:val="center"/>
        <w:rPr>
          <w:rFonts w:ascii="Arial" w:hAnsi="Arial" w:cs="Arial"/>
          <w:b/>
        </w:rPr>
      </w:pPr>
      <w:r w:rsidRPr="007F12BA">
        <w:rPr>
          <w:rFonts w:ascii="Arial" w:hAnsi="Arial" w:cs="Arial"/>
          <w:b/>
        </w:rPr>
        <w:t>(REPUBLIC OF SOUTH AFRICA)</w:t>
      </w:r>
    </w:p>
    <w:p w:rsidR="00230110" w:rsidRDefault="00230110" w:rsidP="00230110">
      <w:pPr>
        <w:pStyle w:val="GW23"/>
        <w:tabs>
          <w:tab w:val="clear" w:pos="0"/>
          <w:tab w:val="clear" w:pos="576"/>
          <w:tab w:val="clear" w:pos="1296"/>
          <w:tab w:val="clear" w:pos="2736"/>
          <w:tab w:val="clear" w:pos="4176"/>
          <w:tab w:val="right" w:pos="9072"/>
        </w:tabs>
        <w:spacing w:before="240" w:after="240" w:line="480" w:lineRule="auto"/>
        <w:ind w:right="1422"/>
        <w:jc w:val="right"/>
        <w:rPr>
          <w:rFonts w:cs="Arial"/>
          <w:b/>
          <w:color w:val="000000" w:themeColor="text1"/>
          <w:szCs w:val="24"/>
          <w:lang w:val="en-ZA"/>
        </w:rPr>
      </w:pPr>
      <w:r w:rsidRPr="007F12BA">
        <w:rPr>
          <w:rFonts w:cs="Arial"/>
          <w:bCs/>
          <w:color w:val="000000" w:themeColor="text1"/>
          <w:szCs w:val="24"/>
          <w:lang w:val="en-ZA"/>
        </w:rPr>
        <w:t xml:space="preserve">             </w:t>
      </w:r>
      <w:r w:rsidRPr="007F12BA">
        <w:rPr>
          <w:rFonts w:cs="Arial"/>
          <w:bCs/>
          <w:color w:val="000000" w:themeColor="text1"/>
          <w:szCs w:val="24"/>
          <w:lang w:val="en-ZA"/>
        </w:rPr>
        <w:tab/>
        <w:t xml:space="preserve">CASE NUMBER: </w:t>
      </w:r>
      <w:r w:rsidRPr="007F12BA">
        <w:rPr>
          <w:rFonts w:cs="Arial"/>
          <w:b/>
          <w:color w:val="000000" w:themeColor="text1"/>
          <w:szCs w:val="24"/>
          <w:lang w:val="en-ZA"/>
        </w:rPr>
        <w:t>GP 19/2021</w:t>
      </w:r>
    </w:p>
    <w:p w:rsidR="00230110" w:rsidRPr="007F12BA" w:rsidRDefault="00230110" w:rsidP="00230110">
      <w:pPr>
        <w:spacing w:before="240" w:after="240" w:line="480" w:lineRule="auto"/>
        <w:rPr>
          <w:rFonts w:ascii="Arial" w:hAnsi="Arial" w:cs="Arial"/>
          <w:bCs/>
          <w:color w:val="000000" w:themeColor="text1"/>
        </w:rPr>
      </w:pPr>
      <w:r w:rsidRPr="007F12BA">
        <w:rPr>
          <w:rFonts w:ascii="Arial" w:hAnsi="Arial" w:cs="Arial"/>
          <w:bCs/>
          <w:color w:val="000000" w:themeColor="text1"/>
        </w:rPr>
        <w:t>In the matter between:</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977"/>
      </w:tblGrid>
      <w:tr w:rsidR="00230110" w:rsidRPr="007F12BA" w:rsidTr="008933D4">
        <w:trPr>
          <w:trHeight w:val="495"/>
        </w:trPr>
        <w:tc>
          <w:tcPr>
            <w:tcW w:w="6096" w:type="dxa"/>
            <w:tcBorders>
              <w:top w:val="nil"/>
              <w:left w:val="nil"/>
              <w:bottom w:val="nil"/>
              <w:right w:val="nil"/>
            </w:tcBorders>
          </w:tcPr>
          <w:p w:rsidR="00230110" w:rsidRPr="007F12BA" w:rsidRDefault="00230110" w:rsidP="008933D4">
            <w:pPr>
              <w:spacing w:after="120"/>
              <w:rPr>
                <w:rFonts w:ascii="Arial" w:hAnsi="Arial" w:cs="Arial"/>
                <w:b/>
              </w:rPr>
            </w:pPr>
            <w:r w:rsidRPr="007F12BA">
              <w:rPr>
                <w:rFonts w:ascii="Arial" w:hAnsi="Arial" w:cs="Arial"/>
                <w:b/>
              </w:rPr>
              <w:t>SPECIAL INVESTIGATING UNIT</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r w:rsidRPr="007F12BA">
              <w:rPr>
                <w:rFonts w:ascii="Arial" w:hAnsi="Arial" w:cs="Arial"/>
              </w:rPr>
              <w:t>First Applicant</w:t>
            </w:r>
          </w:p>
        </w:tc>
      </w:tr>
      <w:tr w:rsidR="00230110" w:rsidRPr="007F12BA" w:rsidTr="008933D4">
        <w:trPr>
          <w:trHeight w:val="495"/>
        </w:trPr>
        <w:tc>
          <w:tcPr>
            <w:tcW w:w="6096" w:type="dxa"/>
            <w:tcBorders>
              <w:top w:val="nil"/>
              <w:left w:val="nil"/>
              <w:bottom w:val="nil"/>
              <w:right w:val="nil"/>
            </w:tcBorders>
          </w:tcPr>
          <w:p w:rsidR="00230110" w:rsidRPr="007F12BA" w:rsidRDefault="00230110" w:rsidP="008933D4">
            <w:pPr>
              <w:spacing w:after="120"/>
              <w:rPr>
                <w:rFonts w:ascii="Arial" w:hAnsi="Arial" w:cs="Arial"/>
                <w:b/>
              </w:rPr>
            </w:pPr>
            <w:r w:rsidRPr="007F12BA">
              <w:rPr>
                <w:rFonts w:ascii="Arial" w:hAnsi="Arial" w:cs="Arial"/>
                <w:b/>
              </w:rPr>
              <w:t>NATIONAL HEALTH LABORATORY SERVICE</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r w:rsidRPr="007F12BA">
              <w:rPr>
                <w:rFonts w:ascii="Arial" w:hAnsi="Arial" w:cs="Arial"/>
              </w:rPr>
              <w:t>Second Applicant</w:t>
            </w:r>
          </w:p>
        </w:tc>
      </w:tr>
      <w:tr w:rsidR="00230110" w:rsidRPr="007F12BA" w:rsidTr="008933D4">
        <w:trPr>
          <w:trHeight w:val="495"/>
        </w:trPr>
        <w:tc>
          <w:tcPr>
            <w:tcW w:w="6096" w:type="dxa"/>
            <w:tcBorders>
              <w:top w:val="nil"/>
              <w:left w:val="nil"/>
              <w:bottom w:val="nil"/>
              <w:right w:val="nil"/>
            </w:tcBorders>
          </w:tcPr>
          <w:p w:rsidR="00230110" w:rsidRPr="007F12BA" w:rsidRDefault="00230110" w:rsidP="008933D4">
            <w:pPr>
              <w:spacing w:after="120"/>
              <w:rPr>
                <w:rFonts w:ascii="Arial" w:hAnsi="Arial" w:cs="Arial"/>
                <w:bCs/>
              </w:rPr>
            </w:pPr>
            <w:r w:rsidRPr="007F12BA">
              <w:rPr>
                <w:rFonts w:ascii="Arial" w:hAnsi="Arial" w:cs="Arial"/>
                <w:bCs/>
              </w:rPr>
              <w:t>And</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p>
        </w:tc>
      </w:tr>
      <w:tr w:rsidR="00230110" w:rsidRPr="007F12BA" w:rsidTr="008933D4">
        <w:trPr>
          <w:trHeight w:val="495"/>
        </w:trPr>
        <w:tc>
          <w:tcPr>
            <w:tcW w:w="6096" w:type="dxa"/>
            <w:tcBorders>
              <w:top w:val="nil"/>
              <w:left w:val="nil"/>
              <w:bottom w:val="nil"/>
              <w:right w:val="nil"/>
            </w:tcBorders>
          </w:tcPr>
          <w:p w:rsidR="00230110" w:rsidRPr="007F12BA" w:rsidRDefault="00230110" w:rsidP="008933D4">
            <w:pPr>
              <w:spacing w:after="120"/>
              <w:rPr>
                <w:rFonts w:ascii="Arial" w:hAnsi="Arial" w:cs="Arial"/>
                <w:b/>
              </w:rPr>
            </w:pPr>
            <w:r w:rsidRPr="007F12BA">
              <w:rPr>
                <w:rFonts w:ascii="Arial" w:hAnsi="Arial" w:cs="Arial"/>
                <w:b/>
              </w:rPr>
              <w:t xml:space="preserve">THABISO HAMILTON NDLOVU </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r w:rsidRPr="007F12BA">
              <w:rPr>
                <w:rFonts w:ascii="Arial" w:hAnsi="Arial" w:cs="Arial"/>
              </w:rPr>
              <w:t>First Respondent</w:t>
            </w:r>
          </w:p>
        </w:tc>
      </w:tr>
      <w:tr w:rsidR="00230110" w:rsidRPr="007F12BA" w:rsidTr="008933D4">
        <w:tc>
          <w:tcPr>
            <w:tcW w:w="6096" w:type="dxa"/>
            <w:tcBorders>
              <w:top w:val="nil"/>
              <w:left w:val="nil"/>
              <w:bottom w:val="nil"/>
              <w:right w:val="nil"/>
            </w:tcBorders>
          </w:tcPr>
          <w:p w:rsidR="00230110" w:rsidRPr="007F12BA" w:rsidRDefault="00230110" w:rsidP="008933D4">
            <w:pPr>
              <w:spacing w:after="120"/>
              <w:rPr>
                <w:rFonts w:ascii="Arial" w:hAnsi="Arial" w:cs="Arial"/>
                <w:b/>
              </w:rPr>
            </w:pPr>
            <w:r w:rsidRPr="007F12BA">
              <w:rPr>
                <w:rFonts w:ascii="Arial" w:hAnsi="Arial" w:cs="Arial"/>
                <w:b/>
              </w:rPr>
              <w:t xml:space="preserve">ZAISAN KAIHATSU (PTY) LTD </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r w:rsidRPr="007F12BA">
              <w:rPr>
                <w:rFonts w:ascii="Arial" w:hAnsi="Arial" w:cs="Arial"/>
              </w:rPr>
              <w:t>Second Respondent</w:t>
            </w:r>
          </w:p>
        </w:tc>
      </w:tr>
      <w:tr w:rsidR="00230110" w:rsidRPr="007F12BA" w:rsidTr="008933D4">
        <w:trPr>
          <w:trHeight w:val="464"/>
        </w:trPr>
        <w:tc>
          <w:tcPr>
            <w:tcW w:w="6096" w:type="dxa"/>
            <w:tcBorders>
              <w:top w:val="nil"/>
              <w:left w:val="nil"/>
              <w:bottom w:val="nil"/>
              <w:right w:val="nil"/>
            </w:tcBorders>
          </w:tcPr>
          <w:p w:rsidR="00230110" w:rsidRPr="007F12BA" w:rsidRDefault="00230110" w:rsidP="008933D4">
            <w:pPr>
              <w:spacing w:after="120"/>
              <w:rPr>
                <w:rFonts w:ascii="Arial" w:hAnsi="Arial" w:cs="Arial"/>
                <w:b/>
              </w:rPr>
            </w:pPr>
            <w:r w:rsidRPr="007F12BA">
              <w:rPr>
                <w:rFonts w:ascii="Arial" w:hAnsi="Arial" w:cs="Arial"/>
                <w:b/>
              </w:rPr>
              <w:t xml:space="preserve">REGISTRAR OF DEEDS, PRETORIA </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r w:rsidRPr="007F12BA">
              <w:rPr>
                <w:rFonts w:ascii="Arial" w:hAnsi="Arial" w:cs="Arial"/>
              </w:rPr>
              <w:t>Third Respondent</w:t>
            </w:r>
          </w:p>
        </w:tc>
      </w:tr>
      <w:tr w:rsidR="00230110" w:rsidRPr="007F12BA" w:rsidTr="008933D4">
        <w:trPr>
          <w:trHeight w:val="464"/>
        </w:trPr>
        <w:tc>
          <w:tcPr>
            <w:tcW w:w="6096" w:type="dxa"/>
            <w:tcBorders>
              <w:top w:val="nil"/>
              <w:left w:val="nil"/>
              <w:bottom w:val="nil"/>
              <w:right w:val="nil"/>
            </w:tcBorders>
          </w:tcPr>
          <w:p w:rsidR="00230110" w:rsidRPr="007F12BA" w:rsidRDefault="00230110" w:rsidP="008933D4">
            <w:pPr>
              <w:spacing w:after="120"/>
              <w:rPr>
                <w:rFonts w:ascii="Arial" w:hAnsi="Arial" w:cs="Arial"/>
                <w:b/>
              </w:rPr>
            </w:pPr>
            <w:r w:rsidRPr="007F12BA">
              <w:rPr>
                <w:rFonts w:ascii="Arial" w:hAnsi="Arial" w:cs="Arial"/>
                <w:b/>
              </w:rPr>
              <w:t>BUGATTI SECURITY SERVICES AND PROJECTS (PTY) LTD</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r w:rsidRPr="007F12BA">
              <w:rPr>
                <w:rFonts w:ascii="Arial" w:hAnsi="Arial" w:cs="Arial"/>
              </w:rPr>
              <w:t>Fourth Respondent</w:t>
            </w:r>
          </w:p>
        </w:tc>
      </w:tr>
      <w:tr w:rsidR="00230110" w:rsidRPr="007F12BA" w:rsidTr="008933D4">
        <w:trPr>
          <w:trHeight w:val="698"/>
        </w:trPr>
        <w:tc>
          <w:tcPr>
            <w:tcW w:w="6096" w:type="dxa"/>
            <w:tcBorders>
              <w:top w:val="nil"/>
              <w:left w:val="nil"/>
              <w:bottom w:val="nil"/>
              <w:right w:val="nil"/>
            </w:tcBorders>
          </w:tcPr>
          <w:p w:rsidR="00230110" w:rsidRPr="007F12BA" w:rsidRDefault="00230110" w:rsidP="008933D4">
            <w:pPr>
              <w:spacing w:after="120"/>
              <w:rPr>
                <w:rFonts w:ascii="Arial" w:hAnsi="Arial" w:cs="Arial"/>
                <w:b/>
              </w:rPr>
            </w:pPr>
            <w:r w:rsidRPr="007F12BA">
              <w:rPr>
                <w:rFonts w:ascii="Arial" w:hAnsi="Arial" w:cs="Arial"/>
                <w:b/>
              </w:rPr>
              <w:t>VICTOR NKHWASHU ATTORNEYS INC</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r w:rsidRPr="007F12BA">
              <w:rPr>
                <w:rFonts w:ascii="Arial" w:hAnsi="Arial" w:cs="Arial"/>
              </w:rPr>
              <w:t>Fifth Respondent</w:t>
            </w:r>
          </w:p>
        </w:tc>
      </w:tr>
      <w:tr w:rsidR="00230110" w:rsidRPr="007F12BA" w:rsidTr="008933D4">
        <w:trPr>
          <w:trHeight w:val="698"/>
        </w:trPr>
        <w:tc>
          <w:tcPr>
            <w:tcW w:w="6096" w:type="dxa"/>
            <w:tcBorders>
              <w:top w:val="nil"/>
              <w:left w:val="nil"/>
              <w:bottom w:val="nil"/>
              <w:right w:val="nil"/>
            </w:tcBorders>
          </w:tcPr>
          <w:p w:rsidR="00230110" w:rsidRPr="007F12BA" w:rsidRDefault="00230110" w:rsidP="008933D4">
            <w:pPr>
              <w:spacing w:after="120"/>
              <w:rPr>
                <w:rFonts w:ascii="Arial" w:hAnsi="Arial" w:cs="Arial"/>
                <w:b/>
                <w:color w:val="000000" w:themeColor="text1"/>
              </w:rPr>
            </w:pPr>
            <w:r w:rsidRPr="007F12BA">
              <w:rPr>
                <w:rFonts w:ascii="Arial" w:hAnsi="Arial" w:cs="Arial"/>
                <w:b/>
                <w:color w:val="000000" w:themeColor="text1"/>
              </w:rPr>
              <w:t xml:space="preserve">ZAHEER CASSIM NO </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r w:rsidRPr="007F12BA">
              <w:rPr>
                <w:rFonts w:ascii="Arial" w:hAnsi="Arial" w:cs="Arial"/>
              </w:rPr>
              <w:t>Sixth Respondent</w:t>
            </w:r>
          </w:p>
        </w:tc>
      </w:tr>
      <w:tr w:rsidR="00230110" w:rsidRPr="007F12BA" w:rsidTr="008933D4">
        <w:trPr>
          <w:trHeight w:val="566"/>
        </w:trPr>
        <w:tc>
          <w:tcPr>
            <w:tcW w:w="6096" w:type="dxa"/>
            <w:tcBorders>
              <w:top w:val="nil"/>
              <w:left w:val="nil"/>
              <w:bottom w:val="nil"/>
              <w:right w:val="nil"/>
            </w:tcBorders>
          </w:tcPr>
          <w:p w:rsidR="00230110" w:rsidRPr="007F12BA" w:rsidRDefault="00230110" w:rsidP="008933D4">
            <w:pPr>
              <w:spacing w:after="120"/>
              <w:rPr>
                <w:rFonts w:ascii="Arial" w:hAnsi="Arial" w:cs="Arial"/>
                <w:b/>
              </w:rPr>
            </w:pPr>
            <w:r w:rsidRPr="007F12BA">
              <w:rPr>
                <w:rFonts w:ascii="Arial" w:hAnsi="Arial" w:cs="Arial"/>
                <w:b/>
              </w:rPr>
              <w:t xml:space="preserve">COMMISSIONER OF THE SOUTH AFRICAN REVENUE SERVICES </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r w:rsidRPr="007F12BA">
              <w:rPr>
                <w:rFonts w:ascii="Arial" w:hAnsi="Arial" w:cs="Arial"/>
              </w:rPr>
              <w:t>Seventh Respondent</w:t>
            </w:r>
          </w:p>
        </w:tc>
      </w:tr>
      <w:tr w:rsidR="00230110" w:rsidRPr="007F12BA" w:rsidTr="008933D4">
        <w:trPr>
          <w:trHeight w:val="566"/>
        </w:trPr>
        <w:tc>
          <w:tcPr>
            <w:tcW w:w="6096" w:type="dxa"/>
            <w:tcBorders>
              <w:top w:val="nil"/>
              <w:left w:val="nil"/>
              <w:bottom w:val="nil"/>
              <w:right w:val="nil"/>
            </w:tcBorders>
          </w:tcPr>
          <w:p w:rsidR="00230110" w:rsidRPr="007F12BA" w:rsidRDefault="00230110" w:rsidP="008933D4">
            <w:pPr>
              <w:spacing w:after="120"/>
              <w:rPr>
                <w:rFonts w:ascii="Arial" w:hAnsi="Arial" w:cs="Arial"/>
                <w:b/>
              </w:rPr>
            </w:pPr>
            <w:r w:rsidRPr="007F12BA">
              <w:rPr>
                <w:rFonts w:ascii="Arial" w:hAnsi="Arial" w:cs="Arial"/>
                <w:b/>
              </w:rPr>
              <w:t>AKANNII TRADING AND PROJECTS (PTY) LTD</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r w:rsidRPr="007F12BA">
              <w:rPr>
                <w:rFonts w:ascii="Arial" w:hAnsi="Arial" w:cs="Arial"/>
              </w:rPr>
              <w:t>Eighth Respondent</w:t>
            </w:r>
          </w:p>
        </w:tc>
      </w:tr>
      <w:tr w:rsidR="00230110" w:rsidRPr="007F12BA" w:rsidTr="008933D4">
        <w:trPr>
          <w:trHeight w:val="566"/>
        </w:trPr>
        <w:tc>
          <w:tcPr>
            <w:tcW w:w="6096" w:type="dxa"/>
            <w:tcBorders>
              <w:top w:val="nil"/>
              <w:left w:val="nil"/>
              <w:bottom w:val="nil"/>
              <w:right w:val="nil"/>
            </w:tcBorders>
          </w:tcPr>
          <w:p w:rsidR="00230110" w:rsidRPr="007F12BA" w:rsidRDefault="00230110" w:rsidP="008933D4">
            <w:pPr>
              <w:spacing w:after="120"/>
              <w:rPr>
                <w:rFonts w:ascii="Arial" w:hAnsi="Arial" w:cs="Arial"/>
                <w:b/>
              </w:rPr>
            </w:pPr>
            <w:r w:rsidRPr="007F12BA">
              <w:rPr>
                <w:rFonts w:ascii="Arial" w:hAnsi="Arial" w:cs="Arial"/>
                <w:b/>
              </w:rPr>
              <w:t>HAMILTONN HOLDINGS (PTY) LTD</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r w:rsidRPr="007F12BA">
              <w:rPr>
                <w:rFonts w:ascii="Arial" w:hAnsi="Arial" w:cs="Arial"/>
              </w:rPr>
              <w:t>Ninth Respondent</w:t>
            </w:r>
            <w:r w:rsidRPr="007F12BA" w:rsidDel="004C3A7C">
              <w:rPr>
                <w:rFonts w:ascii="Arial" w:hAnsi="Arial" w:cs="Arial"/>
              </w:rPr>
              <w:t xml:space="preserve"> </w:t>
            </w:r>
          </w:p>
        </w:tc>
      </w:tr>
      <w:tr w:rsidR="00230110" w:rsidRPr="007F12BA" w:rsidTr="008933D4">
        <w:trPr>
          <w:trHeight w:val="566"/>
        </w:trPr>
        <w:tc>
          <w:tcPr>
            <w:tcW w:w="6096" w:type="dxa"/>
            <w:tcBorders>
              <w:top w:val="nil"/>
              <w:left w:val="nil"/>
              <w:bottom w:val="nil"/>
              <w:right w:val="nil"/>
            </w:tcBorders>
          </w:tcPr>
          <w:p w:rsidR="00230110" w:rsidRPr="007F12BA" w:rsidRDefault="00230110" w:rsidP="008933D4">
            <w:pPr>
              <w:pStyle w:val="Firstlevelpara"/>
              <w:numPr>
                <w:ilvl w:val="0"/>
                <w:numId w:val="0"/>
              </w:numPr>
              <w:pBdr>
                <w:top w:val="nil"/>
                <w:left w:val="nil"/>
                <w:bottom w:val="nil"/>
                <w:right w:val="nil"/>
                <w:between w:val="nil"/>
                <w:bar w:val="nil"/>
              </w:pBdr>
              <w:spacing w:before="0" w:line="240" w:lineRule="auto"/>
              <w:rPr>
                <w:rFonts w:ascii="Arial" w:hAnsi="Arial" w:cs="Arial"/>
                <w:szCs w:val="24"/>
              </w:rPr>
            </w:pPr>
            <w:r w:rsidRPr="007F12BA">
              <w:rPr>
                <w:rFonts w:ascii="Arial" w:hAnsi="Arial" w:cs="Arial"/>
                <w:b/>
                <w:szCs w:val="24"/>
              </w:rPr>
              <w:t xml:space="preserve">HAMILTONN PROJECTS CC </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r w:rsidRPr="007F12BA">
              <w:rPr>
                <w:rFonts w:ascii="Arial" w:hAnsi="Arial" w:cs="Arial"/>
              </w:rPr>
              <w:t>Tenth Respondent</w:t>
            </w:r>
            <w:r w:rsidRPr="007F12BA" w:rsidDel="004C3A7C">
              <w:rPr>
                <w:rFonts w:ascii="Arial" w:hAnsi="Arial" w:cs="Arial"/>
              </w:rPr>
              <w:t xml:space="preserve"> </w:t>
            </w:r>
          </w:p>
        </w:tc>
      </w:tr>
      <w:tr w:rsidR="00230110" w:rsidRPr="007F12BA" w:rsidTr="008933D4">
        <w:trPr>
          <w:trHeight w:val="566"/>
        </w:trPr>
        <w:tc>
          <w:tcPr>
            <w:tcW w:w="6096" w:type="dxa"/>
            <w:tcBorders>
              <w:top w:val="nil"/>
              <w:left w:val="nil"/>
              <w:bottom w:val="nil"/>
              <w:right w:val="nil"/>
            </w:tcBorders>
          </w:tcPr>
          <w:p w:rsidR="00230110" w:rsidRPr="007F12BA" w:rsidRDefault="00230110" w:rsidP="008933D4">
            <w:pPr>
              <w:spacing w:after="120"/>
              <w:rPr>
                <w:rFonts w:ascii="Arial" w:hAnsi="Arial" w:cs="Arial"/>
                <w:b/>
              </w:rPr>
            </w:pPr>
            <w:r w:rsidRPr="007F12BA">
              <w:rPr>
                <w:rFonts w:ascii="Arial" w:hAnsi="Arial" w:cs="Arial"/>
                <w:b/>
              </w:rPr>
              <w:t>MOK PLUS ONE (PTY) LTD</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r w:rsidRPr="007F12BA">
              <w:rPr>
                <w:rFonts w:ascii="Arial" w:hAnsi="Arial" w:cs="Arial"/>
              </w:rPr>
              <w:t>Eleventh Respondent</w:t>
            </w:r>
            <w:r w:rsidRPr="007F12BA" w:rsidDel="004C3A7C">
              <w:rPr>
                <w:rFonts w:ascii="Arial" w:hAnsi="Arial" w:cs="Arial"/>
              </w:rPr>
              <w:t xml:space="preserve"> </w:t>
            </w:r>
          </w:p>
        </w:tc>
      </w:tr>
      <w:tr w:rsidR="00230110" w:rsidRPr="007F12BA" w:rsidTr="008933D4">
        <w:trPr>
          <w:trHeight w:val="566"/>
        </w:trPr>
        <w:tc>
          <w:tcPr>
            <w:tcW w:w="6096" w:type="dxa"/>
            <w:tcBorders>
              <w:top w:val="nil"/>
              <w:left w:val="nil"/>
              <w:bottom w:val="nil"/>
              <w:right w:val="nil"/>
            </w:tcBorders>
          </w:tcPr>
          <w:p w:rsidR="00230110" w:rsidRPr="007F12BA" w:rsidRDefault="00230110" w:rsidP="008933D4">
            <w:pPr>
              <w:spacing w:after="120"/>
              <w:rPr>
                <w:rFonts w:ascii="Arial" w:hAnsi="Arial" w:cs="Arial"/>
                <w:b/>
              </w:rPr>
            </w:pPr>
            <w:r w:rsidRPr="007F12BA">
              <w:rPr>
                <w:rFonts w:ascii="Arial" w:hAnsi="Arial" w:cs="Arial"/>
                <w:b/>
              </w:rPr>
              <w:lastRenderedPageBreak/>
              <w:t>ABOMPETHA (PTY) LTD</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r w:rsidRPr="007F12BA">
              <w:rPr>
                <w:rFonts w:ascii="Arial" w:hAnsi="Arial" w:cs="Arial"/>
              </w:rPr>
              <w:t>Twelfth Respondent</w:t>
            </w:r>
          </w:p>
        </w:tc>
      </w:tr>
      <w:tr w:rsidR="00230110" w:rsidRPr="007F12BA" w:rsidTr="008933D4">
        <w:trPr>
          <w:trHeight w:val="566"/>
        </w:trPr>
        <w:tc>
          <w:tcPr>
            <w:tcW w:w="6096" w:type="dxa"/>
            <w:tcBorders>
              <w:top w:val="nil"/>
              <w:left w:val="nil"/>
              <w:bottom w:val="nil"/>
              <w:right w:val="nil"/>
            </w:tcBorders>
          </w:tcPr>
          <w:p w:rsidR="00230110" w:rsidRPr="007F12BA" w:rsidRDefault="00230110" w:rsidP="008933D4">
            <w:pPr>
              <w:spacing w:after="120"/>
              <w:rPr>
                <w:rFonts w:ascii="Arial" w:hAnsi="Arial" w:cs="Arial"/>
                <w:b/>
              </w:rPr>
            </w:pPr>
            <w:r w:rsidRPr="007F12BA">
              <w:rPr>
                <w:rFonts w:ascii="Arial" w:hAnsi="Arial" w:cs="Arial"/>
                <w:b/>
              </w:rPr>
              <w:t>FELIHAM (PTY) LTD</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r w:rsidRPr="007F12BA">
              <w:rPr>
                <w:rFonts w:ascii="Arial" w:hAnsi="Arial" w:cs="Arial"/>
              </w:rPr>
              <w:t>Thirteenth Respondent</w:t>
            </w:r>
          </w:p>
        </w:tc>
      </w:tr>
      <w:tr w:rsidR="00230110" w:rsidRPr="007F12BA" w:rsidTr="008933D4">
        <w:trPr>
          <w:trHeight w:val="566"/>
        </w:trPr>
        <w:tc>
          <w:tcPr>
            <w:tcW w:w="6096" w:type="dxa"/>
            <w:tcBorders>
              <w:top w:val="nil"/>
              <w:left w:val="nil"/>
              <w:bottom w:val="nil"/>
              <w:right w:val="nil"/>
            </w:tcBorders>
          </w:tcPr>
          <w:p w:rsidR="00230110" w:rsidRPr="007F12BA" w:rsidRDefault="00230110" w:rsidP="008933D4">
            <w:pPr>
              <w:spacing w:after="120"/>
              <w:rPr>
                <w:rFonts w:ascii="Arial" w:hAnsi="Arial" w:cs="Arial"/>
                <w:b/>
              </w:rPr>
            </w:pPr>
            <w:r w:rsidRPr="007F12BA">
              <w:rPr>
                <w:rFonts w:ascii="Arial" w:hAnsi="Arial" w:cs="Arial"/>
                <w:b/>
              </w:rPr>
              <w:t>JORITANS LOGISTICS (PTY) LTD</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r w:rsidRPr="007F12BA">
              <w:rPr>
                <w:rFonts w:ascii="Arial" w:hAnsi="Arial" w:cs="Arial"/>
              </w:rPr>
              <w:t>Fourteenth Respondent</w:t>
            </w:r>
          </w:p>
        </w:tc>
      </w:tr>
      <w:tr w:rsidR="00230110" w:rsidRPr="007F12BA" w:rsidTr="008933D4">
        <w:trPr>
          <w:trHeight w:val="566"/>
        </w:trPr>
        <w:tc>
          <w:tcPr>
            <w:tcW w:w="6096" w:type="dxa"/>
            <w:tcBorders>
              <w:top w:val="nil"/>
              <w:left w:val="nil"/>
              <w:bottom w:val="nil"/>
              <w:right w:val="nil"/>
            </w:tcBorders>
          </w:tcPr>
          <w:p w:rsidR="00230110" w:rsidRPr="007F12BA" w:rsidRDefault="00230110" w:rsidP="008933D4">
            <w:pPr>
              <w:spacing w:after="120"/>
              <w:rPr>
                <w:rFonts w:ascii="Arial" w:hAnsi="Arial" w:cs="Arial"/>
                <w:b/>
              </w:rPr>
            </w:pPr>
            <w:r w:rsidRPr="007F12BA">
              <w:rPr>
                <w:rFonts w:ascii="Arial" w:hAnsi="Arial" w:cs="Arial"/>
                <w:b/>
              </w:rPr>
              <w:t>PERSTO (PTY) LTD</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r w:rsidRPr="007F12BA">
              <w:rPr>
                <w:rFonts w:ascii="Arial" w:hAnsi="Arial" w:cs="Arial"/>
              </w:rPr>
              <w:t>Fifteenth Respondent</w:t>
            </w:r>
          </w:p>
        </w:tc>
      </w:tr>
      <w:tr w:rsidR="00230110" w:rsidRPr="007F12BA" w:rsidTr="008933D4">
        <w:trPr>
          <w:trHeight w:val="434"/>
        </w:trPr>
        <w:tc>
          <w:tcPr>
            <w:tcW w:w="6096" w:type="dxa"/>
            <w:tcBorders>
              <w:top w:val="nil"/>
              <w:left w:val="nil"/>
              <w:bottom w:val="nil"/>
              <w:right w:val="nil"/>
            </w:tcBorders>
          </w:tcPr>
          <w:p w:rsidR="00230110" w:rsidRPr="007F12BA" w:rsidRDefault="00230110" w:rsidP="008933D4">
            <w:pPr>
              <w:spacing w:after="120"/>
              <w:rPr>
                <w:rFonts w:ascii="Arial" w:hAnsi="Arial" w:cs="Arial"/>
                <w:b/>
                <w:color w:val="000000" w:themeColor="text1"/>
              </w:rPr>
            </w:pPr>
            <w:r w:rsidRPr="007F12BA">
              <w:rPr>
                <w:rFonts w:ascii="Arial" w:hAnsi="Arial" w:cs="Arial"/>
                <w:b/>
                <w:color w:val="000000" w:themeColor="text1"/>
              </w:rPr>
              <w:t>KGODUMO MOKONE TRADING ENTERPRISE (PTY) LTD</w:t>
            </w:r>
          </w:p>
        </w:tc>
        <w:tc>
          <w:tcPr>
            <w:tcW w:w="2977" w:type="dxa"/>
            <w:tcBorders>
              <w:top w:val="nil"/>
              <w:left w:val="nil"/>
              <w:bottom w:val="nil"/>
              <w:right w:val="nil"/>
            </w:tcBorders>
          </w:tcPr>
          <w:p w:rsidR="00230110" w:rsidRPr="007F12BA" w:rsidRDefault="00230110" w:rsidP="008933D4">
            <w:pPr>
              <w:spacing w:after="120"/>
              <w:jc w:val="right"/>
              <w:rPr>
                <w:rFonts w:ascii="Arial" w:hAnsi="Arial" w:cs="Arial"/>
              </w:rPr>
            </w:pPr>
            <w:r w:rsidRPr="007F12BA">
              <w:rPr>
                <w:rFonts w:ascii="Arial" w:hAnsi="Arial" w:cs="Arial"/>
              </w:rPr>
              <w:t>Sixteenth Respondent</w:t>
            </w:r>
          </w:p>
        </w:tc>
      </w:tr>
    </w:tbl>
    <w:p w:rsidR="00230110" w:rsidRPr="007F12BA" w:rsidRDefault="00230110" w:rsidP="00230110">
      <w:pPr>
        <w:rPr>
          <w:rFonts w:ascii="Arial" w:hAnsi="Arial" w:cs="Arial"/>
        </w:rPr>
      </w:pPr>
    </w:p>
    <w:tbl>
      <w:tblPr>
        <w:tblStyle w:val="TableGrid"/>
        <w:tblW w:w="0" w:type="auto"/>
        <w:tblInd w:w="-142" w:type="dxa"/>
        <w:tblLook w:val="04A0" w:firstRow="1" w:lastRow="0" w:firstColumn="1" w:lastColumn="0" w:noHBand="0" w:noVBand="1"/>
      </w:tblPr>
      <w:tblGrid>
        <w:gridCol w:w="9073"/>
      </w:tblGrid>
      <w:tr w:rsidR="00230110" w:rsidRPr="007F12BA" w:rsidTr="008933D4">
        <w:tc>
          <w:tcPr>
            <w:tcW w:w="9073" w:type="dxa"/>
            <w:tcBorders>
              <w:top w:val="single" w:sz="4" w:space="0" w:color="auto"/>
              <w:left w:val="nil"/>
              <w:bottom w:val="single" w:sz="4" w:space="0" w:color="auto"/>
              <w:right w:val="nil"/>
            </w:tcBorders>
          </w:tcPr>
          <w:p w:rsidR="00230110" w:rsidRPr="007F12BA" w:rsidRDefault="00230110" w:rsidP="008933D4">
            <w:pPr>
              <w:spacing w:before="240" w:after="240" w:line="480" w:lineRule="auto"/>
              <w:jc w:val="center"/>
              <w:rPr>
                <w:rFonts w:ascii="Arial" w:hAnsi="Arial" w:cs="Arial"/>
                <w:b/>
              </w:rPr>
            </w:pPr>
            <w:r>
              <w:rPr>
                <w:rFonts w:ascii="Arial" w:hAnsi="Arial" w:cs="Arial"/>
                <w:b/>
              </w:rPr>
              <w:t>REASONS FOR THE ORDER</w:t>
            </w:r>
          </w:p>
        </w:tc>
      </w:tr>
    </w:tbl>
    <w:p w:rsidR="00230110" w:rsidRDefault="00230110" w:rsidP="00230110">
      <w:pPr>
        <w:pStyle w:val="p2"/>
        <w:spacing w:before="0" w:beforeAutospacing="0" w:after="0" w:afterAutospacing="0" w:line="360" w:lineRule="auto"/>
        <w:jc w:val="both"/>
        <w:rPr>
          <w:rFonts w:ascii="Arial" w:hAnsi="Arial" w:cs="Arial"/>
          <w:color w:val="000000"/>
        </w:rPr>
      </w:pPr>
    </w:p>
    <w:p w:rsidR="00230110" w:rsidRDefault="00230110" w:rsidP="00230110">
      <w:pPr>
        <w:pStyle w:val="p2"/>
        <w:spacing w:before="0" w:beforeAutospacing="0" w:after="0" w:afterAutospacing="0" w:line="360" w:lineRule="auto"/>
        <w:jc w:val="both"/>
        <w:rPr>
          <w:rFonts w:ascii="Arial" w:hAnsi="Arial" w:cs="Arial"/>
          <w:b/>
          <w:color w:val="000000"/>
        </w:rPr>
      </w:pPr>
      <w:r w:rsidRPr="00230110">
        <w:rPr>
          <w:rFonts w:ascii="Arial" w:hAnsi="Arial" w:cs="Arial"/>
          <w:b/>
          <w:color w:val="000000"/>
        </w:rPr>
        <w:t>INTRODUCTION</w:t>
      </w:r>
    </w:p>
    <w:p w:rsidR="00230110" w:rsidRPr="00230110" w:rsidRDefault="00230110" w:rsidP="00230110">
      <w:pPr>
        <w:pStyle w:val="p2"/>
        <w:spacing w:before="0" w:beforeAutospacing="0" w:after="0" w:afterAutospacing="0" w:line="360" w:lineRule="auto"/>
        <w:jc w:val="both"/>
        <w:rPr>
          <w:rFonts w:ascii="Arial" w:hAnsi="Arial" w:cs="Arial"/>
          <w:b/>
          <w:color w:val="000000"/>
        </w:rPr>
      </w:pPr>
    </w:p>
    <w:p w:rsidR="00230110" w:rsidRDefault="00230110" w:rsidP="00230110">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[1]</w:t>
      </w:r>
      <w:r>
        <w:rPr>
          <w:rStyle w:val="s2"/>
          <w:rFonts w:ascii="Arial" w:hAnsi="Arial" w:cs="Arial"/>
          <w:color w:val="000000"/>
        </w:rPr>
        <w:tab/>
        <w:t>On 23 August 2022</w:t>
      </w:r>
      <w:r w:rsidRPr="00230110">
        <w:rPr>
          <w:rStyle w:val="s2"/>
          <w:rFonts w:ascii="Arial" w:hAnsi="Arial" w:cs="Arial"/>
          <w:color w:val="000000"/>
        </w:rPr>
        <w:t>, I granted the order below with reasons to follow:</w:t>
      </w:r>
    </w:p>
    <w:p w:rsidR="00230110" w:rsidRPr="00230110" w:rsidRDefault="00230110" w:rsidP="00230110">
      <w:pPr>
        <w:pStyle w:val="Firstlevelpara"/>
        <w:numPr>
          <w:ilvl w:val="0"/>
          <w:numId w:val="0"/>
        </w:numPr>
        <w:ind w:left="851" w:hanging="851"/>
        <w:rPr>
          <w:rFonts w:ascii="Arial" w:hAnsi="Arial" w:cs="Arial"/>
          <w:i/>
          <w:szCs w:val="24"/>
        </w:rPr>
      </w:pPr>
      <w:r w:rsidRPr="00230110">
        <w:rPr>
          <w:rFonts w:ascii="Arial" w:hAnsi="Arial" w:cs="Arial"/>
          <w:b/>
          <w:i/>
          <w:szCs w:val="24"/>
        </w:rPr>
        <w:t xml:space="preserve">“HAVING </w:t>
      </w:r>
      <w:r w:rsidRPr="00230110">
        <w:rPr>
          <w:rFonts w:ascii="Arial" w:hAnsi="Arial" w:cs="Arial"/>
          <w:i/>
          <w:szCs w:val="24"/>
        </w:rPr>
        <w:t>read and considered the papers filed of record, it is hereby ordered that:</w:t>
      </w:r>
    </w:p>
    <w:p w:rsidR="00230110" w:rsidRPr="00230110" w:rsidRDefault="00230110" w:rsidP="00230110">
      <w:pPr>
        <w:pStyle w:val="Firstlevelpara"/>
        <w:numPr>
          <w:ilvl w:val="0"/>
          <w:numId w:val="6"/>
        </w:numPr>
        <w:rPr>
          <w:rFonts w:ascii="Arial" w:hAnsi="Arial" w:cs="Arial"/>
          <w:bCs/>
          <w:i/>
          <w:szCs w:val="24"/>
        </w:rPr>
      </w:pPr>
      <w:r w:rsidRPr="00230110">
        <w:rPr>
          <w:rFonts w:ascii="Arial" w:hAnsi="Arial" w:cs="Arial"/>
          <w:bCs/>
          <w:i/>
          <w:szCs w:val="24"/>
        </w:rPr>
        <w:t xml:space="preserve">The forms, service and ordinary time periods provided for in the Special Tribunal Rules are </w:t>
      </w:r>
      <w:r w:rsidRPr="00230110">
        <w:rPr>
          <w:rFonts w:ascii="Arial" w:hAnsi="Arial" w:cs="Arial"/>
          <w:i/>
          <w:szCs w:val="24"/>
        </w:rPr>
        <w:t>dispensed</w:t>
      </w:r>
      <w:r w:rsidRPr="00230110">
        <w:rPr>
          <w:rFonts w:ascii="Arial" w:hAnsi="Arial" w:cs="Arial"/>
          <w:bCs/>
          <w:i/>
          <w:szCs w:val="24"/>
        </w:rPr>
        <w:t xml:space="preserve"> with and the matter is dealt with as one of urgency in terms of Rule 12.  </w:t>
      </w:r>
    </w:p>
    <w:p w:rsidR="00230110" w:rsidRPr="00230110" w:rsidRDefault="00230110" w:rsidP="00230110">
      <w:pPr>
        <w:pStyle w:val="Firstlevelpara"/>
        <w:numPr>
          <w:ilvl w:val="0"/>
          <w:numId w:val="6"/>
        </w:numPr>
        <w:rPr>
          <w:rFonts w:ascii="Arial" w:hAnsi="Arial" w:cs="Arial"/>
          <w:i/>
          <w:szCs w:val="24"/>
        </w:rPr>
      </w:pPr>
      <w:r w:rsidRPr="00230110">
        <w:rPr>
          <w:rFonts w:ascii="Arial" w:hAnsi="Arial" w:cs="Arial"/>
          <w:i/>
          <w:szCs w:val="24"/>
        </w:rPr>
        <w:t>The applicants are authorised to take steps contemplated in paragraphs 6.1, 6.2, 6.3, 6.3.2 and 6.3.3 of the Special Tribunal’s order of 7 June 2022 under case number GP 19/2021 (“</w:t>
      </w:r>
      <w:r w:rsidRPr="00230110">
        <w:rPr>
          <w:rFonts w:ascii="Arial" w:hAnsi="Arial" w:cs="Arial"/>
          <w:b/>
          <w:bCs/>
          <w:i/>
          <w:szCs w:val="24"/>
        </w:rPr>
        <w:t>the Special Tribunal’s order</w:t>
      </w:r>
      <w:r w:rsidRPr="00230110">
        <w:rPr>
          <w:rFonts w:ascii="Arial" w:hAnsi="Arial" w:cs="Arial"/>
          <w:i/>
          <w:szCs w:val="24"/>
        </w:rPr>
        <w:t>”) to the extent necessary to obtain possession, control and access the forfeited assets listed in paragraph 5 of the Special Tribunal’s order and to preserve the assets pending finalisation of the application dated 28 June 2022 by the first, ninth, tenth and thirteenth respondents for leave to appeal and pending finalisation of any further application for leave to appeal or appeal to any other court.</w:t>
      </w:r>
    </w:p>
    <w:p w:rsidR="00230110" w:rsidRPr="00230110" w:rsidRDefault="00230110" w:rsidP="00230110">
      <w:pPr>
        <w:pStyle w:val="Firstlevelpara"/>
        <w:numPr>
          <w:ilvl w:val="0"/>
          <w:numId w:val="6"/>
        </w:numPr>
        <w:rPr>
          <w:rFonts w:ascii="Arial" w:hAnsi="Arial" w:cs="Arial"/>
          <w:i/>
          <w:szCs w:val="24"/>
        </w:rPr>
      </w:pPr>
      <w:r w:rsidRPr="00230110">
        <w:rPr>
          <w:rFonts w:ascii="Arial" w:hAnsi="Arial" w:cs="Arial"/>
          <w:i/>
          <w:szCs w:val="24"/>
        </w:rPr>
        <w:lastRenderedPageBreak/>
        <w:t>This order is only granted for the purpose specified in paragraph 2 above and does not authorise the curator bonis to take ownership of the forfeited assets on behalf of the State and to sell them as provided for in paragraph 6 of the Special Tribunal’s order pending finalisation of the application dated 28 June 2022 by the first, ninth, tenth and thirteenth respondents for leave to appeal and pending finalisation of any further application for leave to appeal or appeal to any other court.</w:t>
      </w:r>
    </w:p>
    <w:p w:rsidR="00230110" w:rsidRPr="00230110" w:rsidRDefault="00230110" w:rsidP="00230110">
      <w:pPr>
        <w:pStyle w:val="Firstlevelpara"/>
        <w:numPr>
          <w:ilvl w:val="0"/>
          <w:numId w:val="6"/>
        </w:numPr>
        <w:rPr>
          <w:rFonts w:ascii="Arial" w:hAnsi="Arial" w:cs="Arial"/>
          <w:i/>
          <w:szCs w:val="24"/>
        </w:rPr>
      </w:pPr>
      <w:r w:rsidRPr="00230110">
        <w:rPr>
          <w:rFonts w:ascii="Arial" w:hAnsi="Arial" w:cs="Arial"/>
          <w:i/>
          <w:szCs w:val="24"/>
        </w:rPr>
        <w:t xml:space="preserve">The curator bonis shall invest and preserve the proceeds of the rentals collected in terms of paragraph 6.3.3 of the Special Tribunal’s order in an interest bearing Trust Account pending finalisation of the application dated 28 June 2022 by the first, ninth, tenth and thirteenth respondents for leave to appeal and pending finalisation of any further application for leave to appeal or appeal to any other court when such funds shall, unless otherwise directed by the court be dealt with in terms of paragraph 5 of the Special Tribunal’s order. </w:t>
      </w:r>
    </w:p>
    <w:p w:rsidR="00230110" w:rsidRPr="00230110" w:rsidRDefault="00230110" w:rsidP="00230110">
      <w:pPr>
        <w:pStyle w:val="Firstlevelpara"/>
        <w:numPr>
          <w:ilvl w:val="0"/>
          <w:numId w:val="6"/>
        </w:numPr>
        <w:rPr>
          <w:rFonts w:ascii="Arial" w:hAnsi="Arial" w:cs="Arial"/>
          <w:i/>
          <w:szCs w:val="24"/>
        </w:rPr>
      </w:pPr>
      <w:r w:rsidRPr="00230110">
        <w:rPr>
          <w:rFonts w:ascii="Arial" w:hAnsi="Arial" w:cs="Arial"/>
          <w:i/>
          <w:szCs w:val="24"/>
        </w:rPr>
        <w:t xml:space="preserve">The Special Tribunal’s order is declared to be immediately operative and executable to the extent necessary to give effect to paragraph 2 to 4 above. </w:t>
      </w:r>
    </w:p>
    <w:p w:rsidR="00230110" w:rsidRPr="00230110" w:rsidRDefault="00230110" w:rsidP="00230110">
      <w:pPr>
        <w:pStyle w:val="Firstlevelpara"/>
        <w:numPr>
          <w:ilvl w:val="0"/>
          <w:numId w:val="6"/>
        </w:numPr>
        <w:rPr>
          <w:rFonts w:ascii="Arial" w:hAnsi="Arial" w:cs="Arial"/>
          <w:i/>
          <w:szCs w:val="24"/>
        </w:rPr>
      </w:pPr>
      <w:r w:rsidRPr="00230110">
        <w:rPr>
          <w:rFonts w:ascii="Arial" w:hAnsi="Arial" w:cs="Arial"/>
          <w:i/>
          <w:szCs w:val="24"/>
        </w:rPr>
        <w:t xml:space="preserve">The applicants’ costs must be paid by the first and ninth respondents, including the costs of two counsel.  </w:t>
      </w:r>
    </w:p>
    <w:p w:rsidR="00230110" w:rsidRPr="00230110" w:rsidRDefault="00230110" w:rsidP="00230110">
      <w:pPr>
        <w:pStyle w:val="Firstlevelpara"/>
        <w:numPr>
          <w:ilvl w:val="0"/>
          <w:numId w:val="6"/>
        </w:numPr>
        <w:rPr>
          <w:rFonts w:ascii="Arial" w:hAnsi="Arial" w:cs="Arial"/>
          <w:i/>
          <w:szCs w:val="24"/>
        </w:rPr>
      </w:pPr>
      <w:r w:rsidRPr="00230110">
        <w:rPr>
          <w:rFonts w:ascii="Arial" w:hAnsi="Arial" w:cs="Arial"/>
          <w:i/>
          <w:szCs w:val="24"/>
        </w:rPr>
        <w:t xml:space="preserve">Reasons for the order shall be furnished in due course.” </w:t>
      </w:r>
    </w:p>
    <w:p w:rsidR="00796D0D" w:rsidRDefault="00796D0D" w:rsidP="00230110">
      <w:pPr>
        <w:pStyle w:val="p3"/>
        <w:spacing w:before="0" w:beforeAutospacing="0" w:after="0" w:afterAutospacing="0" w:line="360" w:lineRule="auto"/>
        <w:jc w:val="both"/>
        <w:rPr>
          <w:rStyle w:val="s2"/>
          <w:rFonts w:ascii="Arial" w:hAnsi="Arial" w:cs="Arial"/>
          <w:color w:val="000000"/>
        </w:rPr>
      </w:pPr>
    </w:p>
    <w:p w:rsidR="00230110" w:rsidRPr="00230110" w:rsidRDefault="00230110" w:rsidP="00230110">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[2]</w:t>
      </w:r>
      <w:r>
        <w:rPr>
          <w:rStyle w:val="s2"/>
          <w:rFonts w:ascii="Arial" w:hAnsi="Arial" w:cs="Arial"/>
          <w:color w:val="000000"/>
        </w:rPr>
        <w:tab/>
      </w:r>
      <w:r w:rsidR="00625EB5">
        <w:rPr>
          <w:rStyle w:val="s2"/>
          <w:rFonts w:ascii="Arial" w:hAnsi="Arial" w:cs="Arial"/>
          <w:color w:val="000000"/>
        </w:rPr>
        <w:t xml:space="preserve">I set out reasons for the orders below. </w:t>
      </w:r>
      <w:r w:rsidRPr="00230110">
        <w:rPr>
          <w:rStyle w:val="s2"/>
          <w:rFonts w:ascii="Arial" w:hAnsi="Arial" w:cs="Arial"/>
          <w:color w:val="000000"/>
        </w:rPr>
        <w:t xml:space="preserve">For convenience, I refer to the above order as the s18(3) order. </w:t>
      </w:r>
      <w:r w:rsidR="00C903E5">
        <w:rPr>
          <w:rStyle w:val="s2"/>
          <w:rFonts w:ascii="Arial" w:hAnsi="Arial" w:cs="Arial"/>
          <w:color w:val="000000"/>
        </w:rPr>
        <w:t xml:space="preserve">Unless otherwise specified, </w:t>
      </w:r>
      <w:r w:rsidR="00222D4B">
        <w:rPr>
          <w:rStyle w:val="s2"/>
          <w:rFonts w:ascii="Arial" w:hAnsi="Arial" w:cs="Arial"/>
          <w:color w:val="000000"/>
        </w:rPr>
        <w:t xml:space="preserve">in these reasons, </w:t>
      </w:r>
      <w:r w:rsidR="00C903E5">
        <w:rPr>
          <w:rStyle w:val="s2"/>
          <w:rFonts w:ascii="Arial" w:hAnsi="Arial" w:cs="Arial"/>
          <w:color w:val="000000"/>
        </w:rPr>
        <w:t>I r</w:t>
      </w:r>
      <w:r w:rsidR="00B53ECC">
        <w:rPr>
          <w:rStyle w:val="s2"/>
          <w:rFonts w:ascii="Arial" w:hAnsi="Arial" w:cs="Arial"/>
          <w:color w:val="000000"/>
        </w:rPr>
        <w:t>eference all other orders by their date</w:t>
      </w:r>
      <w:r w:rsidR="00222D4B">
        <w:rPr>
          <w:rStyle w:val="s2"/>
          <w:rFonts w:ascii="Arial" w:hAnsi="Arial" w:cs="Arial"/>
          <w:color w:val="000000"/>
        </w:rPr>
        <w:t>s</w:t>
      </w:r>
      <w:r w:rsidR="00B53ECC">
        <w:rPr>
          <w:rStyle w:val="s2"/>
          <w:rFonts w:ascii="Arial" w:hAnsi="Arial" w:cs="Arial"/>
          <w:color w:val="000000"/>
        </w:rPr>
        <w:t xml:space="preserve"> </w:t>
      </w:r>
      <w:r w:rsidR="00222D4B">
        <w:rPr>
          <w:rStyle w:val="s2"/>
          <w:rFonts w:ascii="Arial" w:hAnsi="Arial" w:cs="Arial"/>
          <w:color w:val="000000"/>
        </w:rPr>
        <w:t>e</w:t>
      </w:r>
      <w:r w:rsidR="00B53ECC">
        <w:rPr>
          <w:rStyle w:val="s2"/>
          <w:rFonts w:ascii="Arial" w:hAnsi="Arial" w:cs="Arial"/>
          <w:color w:val="000000"/>
        </w:rPr>
        <w:t>.</w:t>
      </w:r>
      <w:r w:rsidR="00222D4B">
        <w:rPr>
          <w:rStyle w:val="s2"/>
          <w:rFonts w:ascii="Arial" w:hAnsi="Arial" w:cs="Arial"/>
          <w:color w:val="000000"/>
        </w:rPr>
        <w:t>g.</w:t>
      </w:r>
      <w:r w:rsidR="00B53ECC">
        <w:rPr>
          <w:rStyle w:val="s2"/>
          <w:rFonts w:ascii="Arial" w:hAnsi="Arial" w:cs="Arial"/>
          <w:color w:val="000000"/>
        </w:rPr>
        <w:t>, “the 7 June order”.</w:t>
      </w:r>
    </w:p>
    <w:p w:rsidR="00230110" w:rsidRPr="00230110" w:rsidRDefault="00230110" w:rsidP="00230110">
      <w:pPr>
        <w:pStyle w:val="p2"/>
        <w:spacing w:before="0" w:beforeAutospacing="0" w:after="0" w:afterAutospacing="0" w:line="360" w:lineRule="auto"/>
        <w:jc w:val="both"/>
        <w:rPr>
          <w:rFonts w:ascii="Arial" w:hAnsi="Arial" w:cs="Arial"/>
          <w:color w:val="000000"/>
        </w:rPr>
      </w:pPr>
    </w:p>
    <w:p w:rsidR="00230110" w:rsidRDefault="00230110" w:rsidP="00230110">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lastRenderedPageBreak/>
        <w:t>[3]</w:t>
      </w:r>
      <w:r>
        <w:rPr>
          <w:rStyle w:val="s2"/>
          <w:rFonts w:ascii="Arial" w:hAnsi="Arial" w:cs="Arial"/>
          <w:color w:val="000000"/>
        </w:rPr>
        <w:tab/>
      </w:r>
      <w:r w:rsidRPr="00230110">
        <w:rPr>
          <w:rStyle w:val="s2"/>
          <w:rFonts w:ascii="Arial" w:hAnsi="Arial" w:cs="Arial"/>
          <w:color w:val="000000"/>
        </w:rPr>
        <w:t>The Special Investigation Unit (</w:t>
      </w:r>
      <w:r w:rsidR="00E3194C">
        <w:rPr>
          <w:rStyle w:val="s2"/>
          <w:rFonts w:ascii="Arial" w:hAnsi="Arial" w:cs="Arial"/>
          <w:color w:val="000000"/>
        </w:rPr>
        <w:t>“</w:t>
      </w:r>
      <w:r w:rsidRPr="00230110">
        <w:rPr>
          <w:rStyle w:val="s2"/>
          <w:rFonts w:ascii="Arial" w:hAnsi="Arial" w:cs="Arial"/>
          <w:color w:val="000000"/>
        </w:rPr>
        <w:t>SUI</w:t>
      </w:r>
      <w:r w:rsidR="00E3194C">
        <w:rPr>
          <w:rStyle w:val="s2"/>
          <w:rFonts w:ascii="Arial" w:hAnsi="Arial" w:cs="Arial"/>
          <w:color w:val="000000"/>
        </w:rPr>
        <w:t>”</w:t>
      </w:r>
      <w:r w:rsidRPr="00230110">
        <w:rPr>
          <w:rStyle w:val="s2"/>
          <w:rFonts w:ascii="Arial" w:hAnsi="Arial" w:cs="Arial"/>
          <w:color w:val="000000"/>
        </w:rPr>
        <w:t>) and the National Health Laboratory Service (</w:t>
      </w:r>
      <w:r w:rsidR="00E3194C">
        <w:rPr>
          <w:rStyle w:val="s2"/>
          <w:rFonts w:ascii="Arial" w:hAnsi="Arial" w:cs="Arial"/>
          <w:color w:val="000000"/>
        </w:rPr>
        <w:t>“</w:t>
      </w:r>
      <w:r w:rsidRPr="00230110">
        <w:rPr>
          <w:rStyle w:val="s2"/>
          <w:rFonts w:ascii="Arial" w:hAnsi="Arial" w:cs="Arial"/>
          <w:color w:val="000000"/>
        </w:rPr>
        <w:t>NHLS</w:t>
      </w:r>
      <w:r w:rsidR="00E3194C">
        <w:rPr>
          <w:rStyle w:val="s2"/>
          <w:rFonts w:ascii="Arial" w:hAnsi="Arial" w:cs="Arial"/>
          <w:color w:val="000000"/>
        </w:rPr>
        <w:t>”</w:t>
      </w:r>
      <w:r w:rsidRPr="00230110">
        <w:rPr>
          <w:rStyle w:val="s2"/>
          <w:rFonts w:ascii="Arial" w:hAnsi="Arial" w:cs="Arial"/>
          <w:color w:val="000000"/>
        </w:rPr>
        <w:t>) (</w:t>
      </w:r>
      <w:r w:rsidR="00204092">
        <w:rPr>
          <w:rStyle w:val="s2"/>
          <w:rFonts w:ascii="Arial" w:hAnsi="Arial" w:cs="Arial"/>
          <w:color w:val="000000"/>
        </w:rPr>
        <w:t>“</w:t>
      </w:r>
      <w:r w:rsidRPr="00230110">
        <w:rPr>
          <w:rStyle w:val="s2"/>
          <w:rFonts w:ascii="Arial" w:hAnsi="Arial" w:cs="Arial"/>
          <w:color w:val="000000"/>
        </w:rPr>
        <w:t>the applicants</w:t>
      </w:r>
      <w:r w:rsidR="00204092">
        <w:rPr>
          <w:rStyle w:val="s2"/>
          <w:rFonts w:ascii="Arial" w:hAnsi="Arial" w:cs="Arial"/>
          <w:color w:val="000000"/>
        </w:rPr>
        <w:t>”</w:t>
      </w:r>
      <w:r w:rsidRPr="00230110">
        <w:rPr>
          <w:rStyle w:val="s2"/>
          <w:rFonts w:ascii="Arial" w:hAnsi="Arial" w:cs="Arial"/>
          <w:color w:val="000000"/>
        </w:rPr>
        <w:t xml:space="preserve">) </w:t>
      </w:r>
      <w:r w:rsidR="00204092">
        <w:rPr>
          <w:rStyle w:val="s2"/>
          <w:rFonts w:ascii="Arial" w:hAnsi="Arial" w:cs="Arial"/>
          <w:color w:val="000000"/>
        </w:rPr>
        <w:t xml:space="preserve">jointly </w:t>
      </w:r>
      <w:r w:rsidRPr="00230110">
        <w:rPr>
          <w:rStyle w:val="s2"/>
          <w:rFonts w:ascii="Arial" w:hAnsi="Arial" w:cs="Arial"/>
          <w:color w:val="000000"/>
        </w:rPr>
        <w:t>applied for an order in terms of s18(3) of the Superior Court’s Act</w:t>
      </w:r>
      <w:r>
        <w:rPr>
          <w:rStyle w:val="FootnoteReference"/>
          <w:rFonts w:ascii="Arial" w:hAnsi="Arial" w:cs="Arial"/>
          <w:color w:val="000000"/>
        </w:rPr>
        <w:footnoteReference w:id="1"/>
      </w:r>
      <w:r w:rsidRPr="00230110">
        <w:rPr>
          <w:rStyle w:val="s2"/>
          <w:rFonts w:ascii="Arial" w:hAnsi="Arial" w:cs="Arial"/>
          <w:color w:val="000000"/>
        </w:rPr>
        <w:t xml:space="preserve"> to execute part of the order I granted in their favour on 7 June 2022</w:t>
      </w:r>
      <w:r>
        <w:rPr>
          <w:rStyle w:val="s2"/>
          <w:rFonts w:ascii="Arial" w:hAnsi="Arial" w:cs="Arial"/>
          <w:color w:val="000000"/>
        </w:rPr>
        <w:t xml:space="preserve"> </w:t>
      </w:r>
      <w:r w:rsidRPr="00230110">
        <w:rPr>
          <w:rStyle w:val="s2"/>
          <w:rFonts w:ascii="Arial" w:hAnsi="Arial" w:cs="Arial"/>
          <w:color w:val="000000"/>
        </w:rPr>
        <w:t xml:space="preserve"> pending the final determination of the application for leave to appeal the 7 June order brought by Hamilton Ndlovu (</w:t>
      </w:r>
      <w:r w:rsidR="007E61A1">
        <w:rPr>
          <w:rStyle w:val="s2"/>
          <w:rFonts w:ascii="Arial" w:hAnsi="Arial" w:cs="Arial"/>
          <w:color w:val="000000"/>
        </w:rPr>
        <w:t>“</w:t>
      </w:r>
      <w:r w:rsidRPr="00230110">
        <w:rPr>
          <w:rStyle w:val="s2"/>
          <w:rFonts w:ascii="Arial" w:hAnsi="Arial" w:cs="Arial"/>
          <w:color w:val="000000"/>
        </w:rPr>
        <w:t>Mr Ndlovu</w:t>
      </w:r>
      <w:r w:rsidR="007E61A1">
        <w:rPr>
          <w:rStyle w:val="s2"/>
          <w:rFonts w:ascii="Arial" w:hAnsi="Arial" w:cs="Arial"/>
          <w:color w:val="000000"/>
        </w:rPr>
        <w:t>”</w:t>
      </w:r>
      <w:r w:rsidRPr="00230110">
        <w:rPr>
          <w:rStyle w:val="s2"/>
          <w:rFonts w:ascii="Arial" w:hAnsi="Arial" w:cs="Arial"/>
          <w:color w:val="000000"/>
        </w:rPr>
        <w:t>) and other respondents (</w:t>
      </w:r>
      <w:r w:rsidR="00222D4B">
        <w:rPr>
          <w:rStyle w:val="s2"/>
          <w:rFonts w:ascii="Arial" w:hAnsi="Arial" w:cs="Arial"/>
          <w:color w:val="000000"/>
        </w:rPr>
        <w:t>“</w:t>
      </w:r>
      <w:r w:rsidRPr="00230110">
        <w:rPr>
          <w:rStyle w:val="s2"/>
          <w:rFonts w:ascii="Arial" w:hAnsi="Arial" w:cs="Arial"/>
          <w:color w:val="000000"/>
        </w:rPr>
        <w:t>the Ndlovu respondents</w:t>
      </w:r>
      <w:r w:rsidR="00222D4B">
        <w:rPr>
          <w:rStyle w:val="s2"/>
          <w:rFonts w:ascii="Arial" w:hAnsi="Arial" w:cs="Arial"/>
          <w:color w:val="000000"/>
        </w:rPr>
        <w:t>”</w:t>
      </w:r>
      <w:r w:rsidRPr="00230110">
        <w:rPr>
          <w:rStyle w:val="s2"/>
          <w:rFonts w:ascii="Arial" w:hAnsi="Arial" w:cs="Arial"/>
          <w:color w:val="000000"/>
        </w:rPr>
        <w:t>)</w:t>
      </w:r>
      <w:r w:rsidR="00E3194C">
        <w:rPr>
          <w:rStyle w:val="s2"/>
          <w:rFonts w:ascii="Arial" w:hAnsi="Arial" w:cs="Arial"/>
          <w:color w:val="000000"/>
        </w:rPr>
        <w:t xml:space="preserve"> on 28 June 2022</w:t>
      </w:r>
      <w:r w:rsidRPr="00230110">
        <w:rPr>
          <w:rStyle w:val="s2"/>
          <w:rFonts w:ascii="Arial" w:hAnsi="Arial" w:cs="Arial"/>
          <w:color w:val="000000"/>
        </w:rPr>
        <w:t>.</w:t>
      </w:r>
      <w:r w:rsidR="00FC07EB">
        <w:rPr>
          <w:rStyle w:val="s2"/>
          <w:rFonts w:ascii="Arial" w:hAnsi="Arial" w:cs="Arial"/>
          <w:color w:val="000000"/>
        </w:rPr>
        <w:t xml:space="preserve"> The Ndlovu respondents oppose the application.</w:t>
      </w:r>
      <w:r w:rsidRPr="00230110">
        <w:rPr>
          <w:rStyle w:val="s2"/>
          <w:rFonts w:ascii="Arial" w:hAnsi="Arial" w:cs="Arial"/>
          <w:color w:val="000000"/>
        </w:rPr>
        <w:t xml:space="preserve"> </w:t>
      </w:r>
    </w:p>
    <w:p w:rsidR="00230110" w:rsidRDefault="00230110" w:rsidP="00230110">
      <w:pPr>
        <w:pStyle w:val="p3"/>
        <w:spacing w:before="0" w:beforeAutospacing="0" w:after="0" w:afterAutospacing="0" w:line="360" w:lineRule="auto"/>
        <w:jc w:val="both"/>
        <w:rPr>
          <w:rStyle w:val="s2"/>
          <w:rFonts w:ascii="Arial" w:hAnsi="Arial" w:cs="Arial"/>
          <w:color w:val="000000"/>
        </w:rPr>
      </w:pPr>
    </w:p>
    <w:p w:rsidR="00230110" w:rsidRPr="00230110" w:rsidRDefault="00FC07EB" w:rsidP="00230110">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[4</w:t>
      </w:r>
      <w:r w:rsidR="00230110">
        <w:rPr>
          <w:rStyle w:val="s2"/>
          <w:rFonts w:ascii="Arial" w:hAnsi="Arial" w:cs="Arial"/>
          <w:color w:val="000000"/>
        </w:rPr>
        <w:t>]</w:t>
      </w:r>
      <w:r w:rsidR="00230110">
        <w:rPr>
          <w:rStyle w:val="s2"/>
          <w:rFonts w:ascii="Arial" w:hAnsi="Arial" w:cs="Arial"/>
          <w:color w:val="000000"/>
        </w:rPr>
        <w:tab/>
        <w:t xml:space="preserve">With the parties’ agreement, </w:t>
      </w:r>
      <w:r w:rsidR="00230110" w:rsidRPr="00230110">
        <w:rPr>
          <w:rStyle w:val="s2"/>
          <w:rFonts w:ascii="Arial" w:hAnsi="Arial" w:cs="Arial"/>
          <w:color w:val="000000"/>
        </w:rPr>
        <w:t>I determined this application on the basis of the papers filed.</w:t>
      </w:r>
      <w:r w:rsidR="00204092">
        <w:rPr>
          <w:rStyle w:val="s2"/>
          <w:rFonts w:ascii="Arial" w:hAnsi="Arial" w:cs="Arial"/>
          <w:color w:val="000000"/>
        </w:rPr>
        <w:t xml:space="preserve"> It is important to mention that when I granted the s18(3) order, I was yet to determine the application for leave to appeal. I dismissed it on </w:t>
      </w:r>
      <w:r w:rsidR="00B53ECC">
        <w:rPr>
          <w:rStyle w:val="s2"/>
          <w:rFonts w:ascii="Arial" w:hAnsi="Arial" w:cs="Arial"/>
          <w:color w:val="000000"/>
        </w:rPr>
        <w:t>7 September 2022</w:t>
      </w:r>
      <w:r w:rsidR="00204092">
        <w:rPr>
          <w:rStyle w:val="s2"/>
          <w:rFonts w:ascii="Arial" w:hAnsi="Arial" w:cs="Arial"/>
          <w:color w:val="000000"/>
        </w:rPr>
        <w:t xml:space="preserve"> on the basis that the Tribunal lacks jurisdiction over it since</w:t>
      </w:r>
      <w:r w:rsidR="00B53ECC">
        <w:rPr>
          <w:rStyle w:val="s2"/>
          <w:rFonts w:ascii="Arial" w:hAnsi="Arial" w:cs="Arial"/>
          <w:color w:val="000000"/>
        </w:rPr>
        <w:t>,</w:t>
      </w:r>
      <w:r w:rsidR="00204092">
        <w:rPr>
          <w:rStyle w:val="s2"/>
          <w:rFonts w:ascii="Arial" w:hAnsi="Arial" w:cs="Arial"/>
          <w:color w:val="000000"/>
        </w:rPr>
        <w:t xml:space="preserve"> in terms of s8(7) of the Special Investigating </w:t>
      </w:r>
      <w:r w:rsidR="00222D4B">
        <w:rPr>
          <w:rStyle w:val="s2"/>
          <w:rFonts w:ascii="Arial" w:hAnsi="Arial" w:cs="Arial"/>
          <w:color w:val="000000"/>
        </w:rPr>
        <w:t>Unit and Special Tribunal’s Act</w:t>
      </w:r>
      <w:r w:rsidR="00204092">
        <w:rPr>
          <w:rStyle w:val="FootnoteReference"/>
          <w:rFonts w:ascii="Arial" w:hAnsi="Arial" w:cs="Arial"/>
          <w:color w:val="000000"/>
        </w:rPr>
        <w:footnoteReference w:id="2"/>
      </w:r>
      <w:r w:rsidR="00222D4B">
        <w:rPr>
          <w:rStyle w:val="s2"/>
          <w:rFonts w:ascii="Arial" w:hAnsi="Arial" w:cs="Arial"/>
          <w:color w:val="000000"/>
        </w:rPr>
        <w:t xml:space="preserve"> (“the SIU Act”),</w:t>
      </w:r>
      <w:r w:rsidR="00204092">
        <w:rPr>
          <w:rStyle w:val="s2"/>
          <w:rFonts w:ascii="Arial" w:hAnsi="Arial" w:cs="Arial"/>
          <w:color w:val="000000"/>
        </w:rPr>
        <w:t xml:space="preserve"> the Ndlovu respondents enjoy the automatic right to appeal to the High Court with jurisdiction.</w:t>
      </w:r>
      <w:r w:rsidR="00230110" w:rsidRPr="00230110">
        <w:rPr>
          <w:rStyle w:val="s2"/>
          <w:rFonts w:ascii="Arial" w:hAnsi="Arial" w:cs="Arial"/>
          <w:color w:val="000000"/>
        </w:rPr>
        <w:t> </w:t>
      </w:r>
    </w:p>
    <w:p w:rsidR="00230110" w:rsidRDefault="00230110" w:rsidP="00230110">
      <w:pPr>
        <w:pStyle w:val="p3"/>
        <w:spacing w:before="0" w:beforeAutospacing="0" w:after="0" w:afterAutospacing="0" w:line="360" w:lineRule="auto"/>
        <w:jc w:val="both"/>
        <w:rPr>
          <w:rStyle w:val="s2"/>
          <w:rFonts w:ascii="Arial" w:hAnsi="Arial" w:cs="Arial"/>
          <w:color w:val="000000"/>
        </w:rPr>
      </w:pPr>
    </w:p>
    <w:p w:rsidR="00230110" w:rsidRPr="00230110" w:rsidRDefault="00FC07EB" w:rsidP="00FC07EB">
      <w:pPr>
        <w:pStyle w:val="p3"/>
        <w:spacing w:before="0" w:beforeAutospacing="0" w:after="0" w:afterAutospacing="0" w:line="360" w:lineRule="auto"/>
        <w:jc w:val="both"/>
        <w:rPr>
          <w:rFonts w:ascii="Arial" w:eastAsia="Times New Roman" w:hAnsi="Arial" w:cs="Arial"/>
          <w:color w:val="000000"/>
        </w:rPr>
      </w:pPr>
      <w:r>
        <w:rPr>
          <w:rStyle w:val="s2"/>
          <w:rFonts w:ascii="Arial" w:hAnsi="Arial" w:cs="Arial"/>
          <w:color w:val="000000"/>
        </w:rPr>
        <w:t>[5]</w:t>
      </w:r>
      <w:r>
        <w:rPr>
          <w:rStyle w:val="s2"/>
          <w:rFonts w:ascii="Arial" w:hAnsi="Arial" w:cs="Arial"/>
          <w:color w:val="000000"/>
        </w:rPr>
        <w:tab/>
      </w:r>
      <w:r w:rsidR="00230110" w:rsidRPr="00230110">
        <w:rPr>
          <w:rStyle w:val="s2"/>
          <w:rFonts w:ascii="Arial" w:hAnsi="Arial" w:cs="Arial"/>
          <w:color w:val="000000"/>
        </w:rPr>
        <w:t>The applicants contend</w:t>
      </w:r>
      <w:r w:rsidR="00B53ECC">
        <w:rPr>
          <w:rStyle w:val="s2"/>
          <w:rFonts w:ascii="Arial" w:hAnsi="Arial" w:cs="Arial"/>
          <w:color w:val="000000"/>
        </w:rPr>
        <w:t>ed</w:t>
      </w:r>
      <w:r w:rsidR="00230110" w:rsidRPr="00230110">
        <w:rPr>
          <w:rStyle w:val="s2"/>
          <w:rFonts w:ascii="Arial" w:hAnsi="Arial" w:cs="Arial"/>
          <w:color w:val="000000"/>
        </w:rPr>
        <w:t xml:space="preserve"> that the 7 June order was suspended as a consequence of the application for leave to appeal.</w:t>
      </w:r>
      <w:r w:rsidR="00230110">
        <w:rPr>
          <w:rStyle w:val="s2"/>
          <w:rFonts w:ascii="Arial" w:hAnsi="Arial" w:cs="Arial"/>
          <w:color w:val="000000"/>
        </w:rPr>
        <w:t xml:space="preserve"> </w:t>
      </w:r>
      <w:r w:rsidR="00E3194C">
        <w:rPr>
          <w:rStyle w:val="s2"/>
          <w:rFonts w:ascii="Arial" w:hAnsi="Arial" w:cs="Arial"/>
          <w:color w:val="000000"/>
        </w:rPr>
        <w:t xml:space="preserve">They </w:t>
      </w:r>
      <w:r>
        <w:rPr>
          <w:rStyle w:val="s2"/>
          <w:rFonts w:ascii="Arial" w:hAnsi="Arial" w:cs="Arial"/>
          <w:color w:val="000000"/>
        </w:rPr>
        <w:t xml:space="preserve">sought the s18(3) order on the basis that </w:t>
      </w:r>
      <w:r w:rsidR="00222D4B">
        <w:rPr>
          <w:rStyle w:val="s2"/>
          <w:rFonts w:ascii="Arial" w:eastAsia="Times New Roman" w:hAnsi="Arial" w:cs="Arial"/>
          <w:color w:val="000000"/>
        </w:rPr>
        <w:t>it would</w:t>
      </w:r>
      <w:r w:rsidR="00230110" w:rsidRPr="00230110">
        <w:rPr>
          <w:rStyle w:val="s2"/>
          <w:rFonts w:ascii="Arial" w:eastAsia="Times New Roman" w:hAnsi="Arial" w:cs="Arial"/>
          <w:color w:val="000000"/>
        </w:rPr>
        <w:t xml:space="preserve"> preserve the status </w:t>
      </w:r>
      <w:r w:rsidR="00230110" w:rsidRPr="00FC00E1">
        <w:rPr>
          <w:rStyle w:val="s2"/>
          <w:rFonts w:ascii="Arial" w:eastAsia="Times New Roman" w:hAnsi="Arial" w:cs="Arial"/>
          <w:i/>
          <w:color w:val="000000"/>
        </w:rPr>
        <w:t xml:space="preserve">quo </w:t>
      </w:r>
      <w:r w:rsidR="00230110" w:rsidRPr="00230110">
        <w:rPr>
          <w:rStyle w:val="s2"/>
          <w:rFonts w:ascii="Arial" w:eastAsia="Times New Roman" w:hAnsi="Arial" w:cs="Arial"/>
          <w:color w:val="000000"/>
        </w:rPr>
        <w:t>that prevailed prior to 7 June 2022</w:t>
      </w:r>
      <w:r>
        <w:rPr>
          <w:rStyle w:val="s2"/>
          <w:rFonts w:ascii="Arial" w:eastAsia="Times New Roman" w:hAnsi="Arial" w:cs="Arial"/>
          <w:color w:val="000000"/>
        </w:rPr>
        <w:t>; they would</w:t>
      </w:r>
      <w:r w:rsidR="00230110" w:rsidRPr="00230110">
        <w:rPr>
          <w:rStyle w:val="s2"/>
          <w:rFonts w:ascii="Arial" w:eastAsia="Times New Roman" w:hAnsi="Arial" w:cs="Arial"/>
          <w:color w:val="000000"/>
        </w:rPr>
        <w:t xml:space="preserve"> suffer irreparable harm if the </w:t>
      </w:r>
      <w:r w:rsidRPr="00230110">
        <w:rPr>
          <w:rStyle w:val="s2"/>
          <w:rFonts w:ascii="Arial" w:eastAsia="Times New Roman" w:hAnsi="Arial" w:cs="Arial"/>
          <w:color w:val="000000"/>
        </w:rPr>
        <w:t xml:space="preserve">Ndlovu respondents </w:t>
      </w:r>
      <w:r w:rsidR="00C903E5">
        <w:rPr>
          <w:rStyle w:val="s2"/>
          <w:rFonts w:ascii="Arial" w:eastAsia="Times New Roman" w:hAnsi="Arial" w:cs="Arial"/>
          <w:color w:val="000000"/>
        </w:rPr>
        <w:t>retain</w:t>
      </w:r>
      <w:r w:rsidR="00222D4B">
        <w:rPr>
          <w:rStyle w:val="s2"/>
          <w:rFonts w:ascii="Arial" w:eastAsia="Times New Roman" w:hAnsi="Arial" w:cs="Arial"/>
          <w:color w:val="000000"/>
        </w:rPr>
        <w:t>ed</w:t>
      </w:r>
      <w:r>
        <w:rPr>
          <w:rStyle w:val="s2"/>
          <w:rFonts w:ascii="Arial" w:eastAsia="Times New Roman" w:hAnsi="Arial" w:cs="Arial"/>
          <w:color w:val="000000"/>
        </w:rPr>
        <w:t xml:space="preserve"> possession and control of the </w:t>
      </w:r>
      <w:r w:rsidR="00230110" w:rsidRPr="00230110">
        <w:rPr>
          <w:rStyle w:val="s2"/>
          <w:rFonts w:ascii="Arial" w:eastAsia="Times New Roman" w:hAnsi="Arial" w:cs="Arial"/>
          <w:color w:val="000000"/>
        </w:rPr>
        <w:t>preserved assets</w:t>
      </w:r>
      <w:r>
        <w:rPr>
          <w:rStyle w:val="s2"/>
          <w:rFonts w:ascii="Arial" w:eastAsia="Times New Roman" w:hAnsi="Arial" w:cs="Arial"/>
          <w:color w:val="000000"/>
        </w:rPr>
        <w:t xml:space="preserve">; </w:t>
      </w:r>
      <w:r w:rsidR="00230110" w:rsidRPr="00230110">
        <w:rPr>
          <w:rStyle w:val="s2"/>
          <w:rFonts w:ascii="Arial" w:eastAsia="Times New Roman" w:hAnsi="Arial" w:cs="Arial"/>
          <w:color w:val="000000"/>
        </w:rPr>
        <w:t>the Ndlovu respondents have n</w:t>
      </w:r>
      <w:r>
        <w:rPr>
          <w:rStyle w:val="s2"/>
          <w:rFonts w:ascii="Arial" w:eastAsia="Times New Roman" w:hAnsi="Arial" w:cs="Arial"/>
          <w:color w:val="000000"/>
        </w:rPr>
        <w:t xml:space="preserve">o prospect of success on appeal and </w:t>
      </w:r>
      <w:r w:rsidR="00230110" w:rsidRPr="00230110">
        <w:rPr>
          <w:rStyle w:val="s2"/>
          <w:rFonts w:ascii="Arial" w:eastAsia="Times New Roman" w:hAnsi="Arial" w:cs="Arial"/>
          <w:color w:val="000000"/>
        </w:rPr>
        <w:t>the application is simply a delaying tactic.</w:t>
      </w:r>
    </w:p>
    <w:p w:rsidR="00230110" w:rsidRPr="00230110" w:rsidRDefault="00230110" w:rsidP="00230110">
      <w:pPr>
        <w:pStyle w:val="p2"/>
        <w:spacing w:before="0" w:beforeAutospacing="0" w:after="0" w:afterAutospacing="0" w:line="360" w:lineRule="auto"/>
        <w:jc w:val="both"/>
        <w:rPr>
          <w:rFonts w:ascii="Arial" w:hAnsi="Arial" w:cs="Arial"/>
          <w:color w:val="000000"/>
        </w:rPr>
      </w:pPr>
    </w:p>
    <w:p w:rsidR="00FC07EB" w:rsidRDefault="00E3194C" w:rsidP="00FC07EB">
      <w:pPr>
        <w:pStyle w:val="p3"/>
        <w:spacing w:before="0" w:beforeAutospacing="0" w:after="0" w:afterAutospacing="0" w:line="360" w:lineRule="auto"/>
        <w:jc w:val="both"/>
        <w:rPr>
          <w:rStyle w:val="s2"/>
          <w:rFonts w:ascii="Arial" w:eastAsia="Times New Roman" w:hAnsi="Arial" w:cs="Arial"/>
          <w:color w:val="000000"/>
        </w:rPr>
      </w:pPr>
      <w:r>
        <w:rPr>
          <w:rStyle w:val="s2"/>
          <w:rFonts w:ascii="Arial" w:hAnsi="Arial" w:cs="Arial"/>
          <w:color w:val="000000"/>
        </w:rPr>
        <w:t>[6</w:t>
      </w:r>
      <w:r w:rsidR="00FC07EB">
        <w:rPr>
          <w:rStyle w:val="s2"/>
          <w:rFonts w:ascii="Arial" w:hAnsi="Arial" w:cs="Arial"/>
          <w:color w:val="000000"/>
        </w:rPr>
        <w:t>]</w:t>
      </w:r>
      <w:r w:rsidR="00FC07EB">
        <w:rPr>
          <w:rStyle w:val="s2"/>
          <w:rFonts w:ascii="Arial" w:hAnsi="Arial" w:cs="Arial"/>
          <w:color w:val="000000"/>
        </w:rPr>
        <w:tab/>
      </w:r>
      <w:r w:rsidR="00230110" w:rsidRPr="00230110">
        <w:rPr>
          <w:rStyle w:val="s2"/>
          <w:rFonts w:ascii="Arial" w:hAnsi="Arial" w:cs="Arial"/>
          <w:color w:val="000000"/>
        </w:rPr>
        <w:t xml:space="preserve">The </w:t>
      </w:r>
      <w:r w:rsidR="00FC07EB">
        <w:rPr>
          <w:rStyle w:val="s2"/>
          <w:rFonts w:ascii="Arial" w:hAnsi="Arial" w:cs="Arial"/>
          <w:color w:val="000000"/>
        </w:rPr>
        <w:t>Ndlovu respondents</w:t>
      </w:r>
      <w:r w:rsidR="00230110" w:rsidRPr="00230110">
        <w:rPr>
          <w:rStyle w:val="s2"/>
          <w:rFonts w:ascii="Arial" w:hAnsi="Arial" w:cs="Arial"/>
          <w:color w:val="000000"/>
        </w:rPr>
        <w:t xml:space="preserve"> resist</w:t>
      </w:r>
      <w:r w:rsidR="00FC07EB">
        <w:rPr>
          <w:rStyle w:val="s2"/>
          <w:rFonts w:ascii="Arial" w:hAnsi="Arial" w:cs="Arial"/>
          <w:color w:val="000000"/>
        </w:rPr>
        <w:t xml:space="preserve">ed </w:t>
      </w:r>
      <w:r w:rsidR="00230110" w:rsidRPr="00230110">
        <w:rPr>
          <w:rStyle w:val="s2"/>
          <w:rFonts w:ascii="Arial" w:hAnsi="Arial" w:cs="Arial"/>
          <w:color w:val="000000"/>
        </w:rPr>
        <w:t>th</w:t>
      </w:r>
      <w:r w:rsidR="00FC07EB">
        <w:rPr>
          <w:rStyle w:val="s2"/>
          <w:rFonts w:ascii="Arial" w:hAnsi="Arial" w:cs="Arial"/>
          <w:color w:val="000000"/>
        </w:rPr>
        <w:t xml:space="preserve">e application on the basis that </w:t>
      </w:r>
      <w:r w:rsidR="00230110" w:rsidRPr="00230110">
        <w:rPr>
          <w:rStyle w:val="s2"/>
          <w:rFonts w:ascii="Arial" w:eastAsia="Times New Roman" w:hAnsi="Arial" w:cs="Arial"/>
          <w:color w:val="000000"/>
        </w:rPr>
        <w:t>the first preservation order was granted on 18 August 2021. It is not the applicants’ case that the preservation orders did not serve their intended purpose and that the applicants have suffered harm as a result thereof. </w:t>
      </w:r>
      <w:r w:rsidR="00FC07EB">
        <w:rPr>
          <w:rStyle w:val="s2"/>
          <w:rFonts w:ascii="Arial" w:eastAsia="Times New Roman" w:hAnsi="Arial" w:cs="Arial"/>
          <w:color w:val="000000"/>
        </w:rPr>
        <w:t xml:space="preserve"> T</w:t>
      </w:r>
      <w:r w:rsidR="00230110" w:rsidRPr="00230110">
        <w:rPr>
          <w:rStyle w:val="s2"/>
          <w:rFonts w:ascii="Arial" w:eastAsia="Times New Roman" w:hAnsi="Arial" w:cs="Arial"/>
          <w:color w:val="000000"/>
        </w:rPr>
        <w:t>he section 18(3) order sought by the applicants will give effect to the forfeiture of the preserved assets while the dispute between the parties is pending. </w:t>
      </w:r>
      <w:r w:rsidR="00FC07EB">
        <w:rPr>
          <w:rStyle w:val="s2"/>
          <w:rFonts w:ascii="Arial" w:eastAsia="Times New Roman" w:hAnsi="Arial" w:cs="Arial"/>
          <w:color w:val="000000"/>
        </w:rPr>
        <w:t>T</w:t>
      </w:r>
      <w:r w:rsidR="00230110" w:rsidRPr="00230110">
        <w:rPr>
          <w:rStyle w:val="s2"/>
          <w:rFonts w:ascii="Arial" w:eastAsia="Times New Roman" w:hAnsi="Arial" w:cs="Arial"/>
          <w:color w:val="000000"/>
        </w:rPr>
        <w:t xml:space="preserve">he SIU Act does not provide for the forfeiture of assets in pending cases. On the authority in </w:t>
      </w:r>
      <w:r w:rsidR="00230110" w:rsidRPr="00FC07EB">
        <w:rPr>
          <w:rStyle w:val="s2"/>
          <w:rFonts w:ascii="Arial" w:eastAsia="Times New Roman" w:hAnsi="Arial" w:cs="Arial"/>
          <w:i/>
          <w:color w:val="000000"/>
        </w:rPr>
        <w:t>Ledla Structural Development (Pty) Ltd v SIU</w:t>
      </w:r>
      <w:r w:rsidR="00FC07EB">
        <w:rPr>
          <w:rStyle w:val="FootnoteReference"/>
          <w:rFonts w:ascii="Arial" w:eastAsia="Times New Roman" w:hAnsi="Arial" w:cs="Arial"/>
          <w:i/>
          <w:color w:val="000000"/>
        </w:rPr>
        <w:footnoteReference w:id="3"/>
      </w:r>
      <w:r w:rsidR="00222D4B">
        <w:rPr>
          <w:rStyle w:val="s2"/>
          <w:rFonts w:ascii="Arial" w:eastAsia="Times New Roman" w:hAnsi="Arial" w:cs="Arial"/>
          <w:i/>
          <w:color w:val="000000"/>
        </w:rPr>
        <w:t xml:space="preserve"> (“Ledla”)</w:t>
      </w:r>
      <w:r w:rsidR="00230110" w:rsidRPr="00230110">
        <w:rPr>
          <w:rStyle w:val="s2"/>
          <w:rFonts w:ascii="Arial" w:eastAsia="Times New Roman" w:hAnsi="Arial" w:cs="Arial"/>
          <w:color w:val="000000"/>
        </w:rPr>
        <w:t xml:space="preserve">, the Superior Courts Act does not apply </w:t>
      </w:r>
      <w:r w:rsidR="00AE7223">
        <w:rPr>
          <w:rStyle w:val="s2"/>
          <w:rFonts w:ascii="Arial" w:eastAsia="Times New Roman" w:hAnsi="Arial" w:cs="Arial"/>
          <w:color w:val="000000"/>
        </w:rPr>
        <w:t xml:space="preserve">in </w:t>
      </w:r>
      <w:r w:rsidR="00230110" w:rsidRPr="00230110">
        <w:rPr>
          <w:rStyle w:val="s2"/>
          <w:rFonts w:ascii="Arial" w:eastAsia="Times New Roman" w:hAnsi="Arial" w:cs="Arial"/>
          <w:color w:val="000000"/>
        </w:rPr>
        <w:t>Tribunal</w:t>
      </w:r>
      <w:r w:rsidR="00AE7223">
        <w:rPr>
          <w:rStyle w:val="s2"/>
          <w:rFonts w:ascii="Arial" w:eastAsia="Times New Roman" w:hAnsi="Arial" w:cs="Arial"/>
          <w:color w:val="000000"/>
        </w:rPr>
        <w:t xml:space="preserve"> matters</w:t>
      </w:r>
      <w:r w:rsidR="00230110" w:rsidRPr="00230110">
        <w:rPr>
          <w:rStyle w:val="s2"/>
          <w:rFonts w:ascii="Arial" w:eastAsia="Times New Roman" w:hAnsi="Arial" w:cs="Arial"/>
          <w:color w:val="000000"/>
        </w:rPr>
        <w:t>.</w:t>
      </w:r>
      <w:r w:rsidR="00AE7223">
        <w:rPr>
          <w:rStyle w:val="s2"/>
          <w:rFonts w:ascii="Arial" w:eastAsia="Times New Roman" w:hAnsi="Arial" w:cs="Arial"/>
          <w:color w:val="000000"/>
        </w:rPr>
        <w:t xml:space="preserve"> </w:t>
      </w:r>
    </w:p>
    <w:p w:rsidR="00FC07EB" w:rsidRDefault="00FC07EB" w:rsidP="00FC07EB">
      <w:pPr>
        <w:pStyle w:val="p3"/>
        <w:spacing w:before="0" w:beforeAutospacing="0" w:after="0" w:afterAutospacing="0" w:line="360" w:lineRule="auto"/>
        <w:jc w:val="both"/>
        <w:rPr>
          <w:rStyle w:val="s2"/>
          <w:rFonts w:ascii="Arial" w:eastAsia="Times New Roman" w:hAnsi="Arial" w:cs="Arial"/>
          <w:color w:val="000000"/>
        </w:rPr>
      </w:pPr>
    </w:p>
    <w:p w:rsidR="00FC07EB" w:rsidRDefault="00E3194C" w:rsidP="00FC07EB">
      <w:pPr>
        <w:pStyle w:val="p3"/>
        <w:spacing w:before="0" w:beforeAutospacing="0" w:after="0" w:afterAutospacing="0" w:line="360" w:lineRule="auto"/>
        <w:jc w:val="both"/>
        <w:rPr>
          <w:rStyle w:val="s2"/>
          <w:rFonts w:ascii="Arial" w:eastAsia="Times New Roman" w:hAnsi="Arial" w:cs="Arial"/>
          <w:color w:val="000000"/>
        </w:rPr>
      </w:pPr>
      <w:r>
        <w:rPr>
          <w:rStyle w:val="s2"/>
          <w:rFonts w:ascii="Arial" w:eastAsia="Times New Roman" w:hAnsi="Arial" w:cs="Arial"/>
          <w:color w:val="000000"/>
        </w:rPr>
        <w:lastRenderedPageBreak/>
        <w:t>[7</w:t>
      </w:r>
      <w:r w:rsidR="00FC07EB">
        <w:rPr>
          <w:rStyle w:val="s2"/>
          <w:rFonts w:ascii="Arial" w:eastAsia="Times New Roman" w:hAnsi="Arial" w:cs="Arial"/>
          <w:color w:val="000000"/>
        </w:rPr>
        <w:t>]</w:t>
      </w:r>
      <w:r w:rsidR="00FC07EB">
        <w:rPr>
          <w:rStyle w:val="s2"/>
          <w:rFonts w:ascii="Arial" w:eastAsia="Times New Roman" w:hAnsi="Arial" w:cs="Arial"/>
          <w:color w:val="000000"/>
        </w:rPr>
        <w:tab/>
        <w:t>Having regard to the applicants’ basis for the application and the Ndlovu respondents’ grounds of opposition, the following issues arose for determination:</w:t>
      </w:r>
    </w:p>
    <w:p w:rsidR="00FC07EB" w:rsidRDefault="00FC07EB" w:rsidP="00FC07EB">
      <w:pPr>
        <w:pStyle w:val="p3"/>
        <w:spacing w:before="0" w:beforeAutospacing="0" w:after="0" w:afterAutospacing="0" w:line="360" w:lineRule="auto"/>
        <w:jc w:val="both"/>
        <w:rPr>
          <w:rStyle w:val="s2"/>
          <w:rFonts w:ascii="Arial" w:eastAsia="Times New Roman" w:hAnsi="Arial" w:cs="Arial"/>
          <w:color w:val="000000"/>
        </w:rPr>
      </w:pPr>
      <w:r>
        <w:rPr>
          <w:rStyle w:val="s2"/>
          <w:rFonts w:ascii="Arial" w:eastAsia="Times New Roman" w:hAnsi="Arial" w:cs="Arial"/>
          <w:color w:val="000000"/>
        </w:rPr>
        <w:tab/>
      </w:r>
      <w:r w:rsidR="00E3194C">
        <w:rPr>
          <w:rStyle w:val="s2"/>
          <w:rFonts w:ascii="Arial" w:eastAsia="Times New Roman" w:hAnsi="Arial" w:cs="Arial"/>
          <w:color w:val="000000"/>
        </w:rPr>
        <w:t>7</w:t>
      </w:r>
      <w:r>
        <w:rPr>
          <w:rStyle w:val="s2"/>
          <w:rFonts w:ascii="Arial" w:eastAsia="Times New Roman" w:hAnsi="Arial" w:cs="Arial"/>
          <w:color w:val="000000"/>
        </w:rPr>
        <w:t xml:space="preserve">.1 </w:t>
      </w:r>
      <w:r>
        <w:rPr>
          <w:rStyle w:val="s2"/>
          <w:rFonts w:ascii="Arial" w:eastAsia="Times New Roman" w:hAnsi="Arial" w:cs="Arial"/>
          <w:color w:val="000000"/>
        </w:rPr>
        <w:tab/>
        <w:t xml:space="preserve">the </w:t>
      </w:r>
      <w:r w:rsidRPr="00FC00E1">
        <w:rPr>
          <w:rStyle w:val="s2"/>
          <w:rFonts w:ascii="Arial" w:eastAsia="Times New Roman" w:hAnsi="Arial" w:cs="Arial"/>
          <w:color w:val="000000"/>
        </w:rPr>
        <w:t>status</w:t>
      </w:r>
      <w:r w:rsidRPr="00FC07EB">
        <w:rPr>
          <w:rStyle w:val="s2"/>
          <w:rFonts w:ascii="Arial" w:eastAsia="Times New Roman" w:hAnsi="Arial" w:cs="Arial"/>
          <w:i/>
          <w:color w:val="000000"/>
        </w:rPr>
        <w:t xml:space="preserve"> quo</w:t>
      </w:r>
      <w:r>
        <w:rPr>
          <w:rStyle w:val="s2"/>
          <w:rFonts w:ascii="Arial" w:eastAsia="Times New Roman" w:hAnsi="Arial" w:cs="Arial"/>
          <w:color w:val="000000"/>
        </w:rPr>
        <w:t xml:space="preserve"> prior to 7 June 2022;</w:t>
      </w:r>
    </w:p>
    <w:p w:rsidR="00E3194C" w:rsidRDefault="00E3194C" w:rsidP="00937EA3">
      <w:pPr>
        <w:pStyle w:val="p3"/>
        <w:spacing w:before="0" w:beforeAutospacing="0" w:after="0" w:afterAutospacing="0" w:line="360" w:lineRule="auto"/>
        <w:ind w:left="720" w:hanging="720"/>
        <w:jc w:val="both"/>
        <w:rPr>
          <w:rStyle w:val="s2"/>
          <w:rFonts w:ascii="Arial" w:eastAsia="Times New Roman" w:hAnsi="Arial" w:cs="Arial"/>
          <w:color w:val="000000"/>
        </w:rPr>
      </w:pPr>
      <w:r>
        <w:rPr>
          <w:rStyle w:val="s2"/>
          <w:rFonts w:ascii="Arial" w:eastAsia="Times New Roman" w:hAnsi="Arial" w:cs="Arial"/>
          <w:color w:val="000000"/>
        </w:rPr>
        <w:tab/>
        <w:t>7</w:t>
      </w:r>
      <w:r w:rsidR="00FC07EB">
        <w:rPr>
          <w:rStyle w:val="s2"/>
          <w:rFonts w:ascii="Arial" w:eastAsia="Times New Roman" w:hAnsi="Arial" w:cs="Arial"/>
          <w:color w:val="000000"/>
        </w:rPr>
        <w:t>.2</w:t>
      </w:r>
      <w:r w:rsidR="00FC07EB">
        <w:rPr>
          <w:rStyle w:val="s2"/>
          <w:rFonts w:ascii="Arial" w:eastAsia="Times New Roman" w:hAnsi="Arial" w:cs="Arial"/>
          <w:color w:val="000000"/>
        </w:rPr>
        <w:tab/>
      </w:r>
      <w:r w:rsidR="00937EA3">
        <w:rPr>
          <w:rStyle w:val="s2"/>
          <w:rFonts w:ascii="Arial" w:eastAsia="Times New Roman" w:hAnsi="Arial" w:cs="Arial"/>
          <w:color w:val="000000"/>
        </w:rPr>
        <w:t>whether the applicants would suffer irreparable harm if the s18(3) order was not granted</w:t>
      </w:r>
      <w:r w:rsidR="00222D4B">
        <w:rPr>
          <w:rStyle w:val="s2"/>
          <w:rFonts w:ascii="Arial" w:eastAsia="Times New Roman" w:hAnsi="Arial" w:cs="Arial"/>
          <w:color w:val="000000"/>
        </w:rPr>
        <w:t xml:space="preserve"> and the prospects of success on appeal</w:t>
      </w:r>
      <w:r w:rsidR="00937EA3">
        <w:rPr>
          <w:rStyle w:val="s2"/>
          <w:rFonts w:ascii="Arial" w:eastAsia="Times New Roman" w:hAnsi="Arial" w:cs="Arial"/>
          <w:color w:val="000000"/>
        </w:rPr>
        <w:t>;</w:t>
      </w:r>
      <w:r w:rsidRPr="00E3194C">
        <w:rPr>
          <w:rStyle w:val="s2"/>
          <w:rFonts w:ascii="Arial" w:eastAsia="Times New Roman" w:hAnsi="Arial" w:cs="Arial"/>
          <w:color w:val="000000"/>
        </w:rPr>
        <w:t xml:space="preserve"> </w:t>
      </w:r>
    </w:p>
    <w:p w:rsidR="00FC07EB" w:rsidRDefault="00E3194C" w:rsidP="00E3194C">
      <w:pPr>
        <w:pStyle w:val="p3"/>
        <w:spacing w:before="0" w:beforeAutospacing="0" w:after="0" w:afterAutospacing="0" w:line="360" w:lineRule="auto"/>
        <w:ind w:left="720"/>
        <w:jc w:val="both"/>
        <w:rPr>
          <w:rStyle w:val="s2"/>
          <w:rFonts w:ascii="Arial" w:eastAsia="Times New Roman" w:hAnsi="Arial" w:cs="Arial"/>
          <w:color w:val="000000"/>
        </w:rPr>
      </w:pPr>
      <w:r>
        <w:rPr>
          <w:rStyle w:val="s2"/>
          <w:rFonts w:ascii="Arial" w:eastAsia="Times New Roman" w:hAnsi="Arial" w:cs="Arial"/>
          <w:color w:val="000000"/>
        </w:rPr>
        <w:t>7.3</w:t>
      </w:r>
      <w:r>
        <w:rPr>
          <w:rStyle w:val="s2"/>
          <w:rFonts w:ascii="Arial" w:eastAsia="Times New Roman" w:hAnsi="Arial" w:cs="Arial"/>
          <w:color w:val="000000"/>
        </w:rPr>
        <w:tab/>
        <w:t>prospects of success on appeal;</w:t>
      </w:r>
    </w:p>
    <w:p w:rsidR="00B53ECC" w:rsidRDefault="00E3194C" w:rsidP="00937EA3">
      <w:pPr>
        <w:pStyle w:val="p3"/>
        <w:spacing w:before="0" w:beforeAutospacing="0" w:after="0" w:afterAutospacing="0" w:line="360" w:lineRule="auto"/>
        <w:ind w:left="720" w:hanging="720"/>
        <w:jc w:val="both"/>
        <w:rPr>
          <w:rStyle w:val="s2"/>
          <w:rFonts w:ascii="Arial" w:eastAsia="Times New Roman" w:hAnsi="Arial" w:cs="Arial"/>
          <w:color w:val="000000"/>
        </w:rPr>
      </w:pPr>
      <w:r>
        <w:rPr>
          <w:rStyle w:val="s2"/>
          <w:rFonts w:ascii="Arial" w:eastAsia="Times New Roman" w:hAnsi="Arial" w:cs="Arial"/>
          <w:color w:val="000000"/>
        </w:rPr>
        <w:tab/>
        <w:t>7.4</w:t>
      </w:r>
      <w:r w:rsidR="00937EA3">
        <w:rPr>
          <w:rStyle w:val="s2"/>
          <w:rFonts w:ascii="Arial" w:eastAsia="Times New Roman" w:hAnsi="Arial" w:cs="Arial"/>
          <w:color w:val="000000"/>
        </w:rPr>
        <w:tab/>
        <w:t>the application of the Superior Courts Act in Tribunal matters</w:t>
      </w:r>
      <w:r>
        <w:rPr>
          <w:rStyle w:val="s2"/>
          <w:rFonts w:ascii="Arial" w:eastAsia="Times New Roman" w:hAnsi="Arial" w:cs="Arial"/>
          <w:color w:val="000000"/>
        </w:rPr>
        <w:t>.</w:t>
      </w:r>
    </w:p>
    <w:p w:rsidR="00937EA3" w:rsidRDefault="00B53ECC" w:rsidP="00937EA3">
      <w:pPr>
        <w:pStyle w:val="p3"/>
        <w:spacing w:before="0" w:beforeAutospacing="0" w:after="0" w:afterAutospacing="0" w:line="360" w:lineRule="auto"/>
        <w:ind w:left="720" w:hanging="720"/>
        <w:jc w:val="both"/>
        <w:rPr>
          <w:rStyle w:val="s2"/>
          <w:rFonts w:ascii="Arial" w:eastAsia="Times New Roman" w:hAnsi="Arial" w:cs="Arial"/>
          <w:color w:val="000000"/>
        </w:rPr>
      </w:pPr>
      <w:r>
        <w:rPr>
          <w:rStyle w:val="s2"/>
          <w:rFonts w:ascii="Arial" w:eastAsia="Times New Roman" w:hAnsi="Arial" w:cs="Arial"/>
          <w:color w:val="000000"/>
        </w:rPr>
        <w:tab/>
      </w:r>
    </w:p>
    <w:p w:rsidR="00937EA3" w:rsidRDefault="00E3194C" w:rsidP="00937EA3">
      <w:pPr>
        <w:pStyle w:val="p3"/>
        <w:spacing w:before="0" w:beforeAutospacing="0" w:after="0" w:afterAutospacing="0" w:line="360" w:lineRule="auto"/>
        <w:ind w:left="720" w:hanging="720"/>
        <w:jc w:val="both"/>
        <w:rPr>
          <w:rStyle w:val="s2"/>
          <w:rFonts w:ascii="Arial" w:eastAsia="Times New Roman" w:hAnsi="Arial" w:cs="Arial"/>
          <w:color w:val="000000"/>
        </w:rPr>
      </w:pPr>
      <w:r>
        <w:rPr>
          <w:rStyle w:val="s2"/>
          <w:rFonts w:ascii="Arial" w:eastAsia="Times New Roman" w:hAnsi="Arial" w:cs="Arial"/>
          <w:color w:val="000000"/>
        </w:rPr>
        <w:t>[8</w:t>
      </w:r>
      <w:r w:rsidR="00937EA3">
        <w:rPr>
          <w:rStyle w:val="s2"/>
          <w:rFonts w:ascii="Arial" w:eastAsia="Times New Roman" w:hAnsi="Arial" w:cs="Arial"/>
          <w:color w:val="000000"/>
        </w:rPr>
        <w:t>]</w:t>
      </w:r>
      <w:r w:rsidR="00937EA3">
        <w:rPr>
          <w:rStyle w:val="s2"/>
          <w:rFonts w:ascii="Arial" w:eastAsia="Times New Roman" w:hAnsi="Arial" w:cs="Arial"/>
          <w:color w:val="000000"/>
        </w:rPr>
        <w:tab/>
        <w:t xml:space="preserve">I set out reasons for the </w:t>
      </w:r>
      <w:r w:rsidR="00B53ECC">
        <w:rPr>
          <w:rStyle w:val="s2"/>
          <w:rFonts w:ascii="Arial" w:eastAsia="Times New Roman" w:hAnsi="Arial" w:cs="Arial"/>
          <w:color w:val="000000"/>
        </w:rPr>
        <w:t xml:space="preserve">s18(3) </w:t>
      </w:r>
      <w:r w:rsidR="00937EA3">
        <w:rPr>
          <w:rStyle w:val="s2"/>
          <w:rFonts w:ascii="Arial" w:eastAsia="Times New Roman" w:hAnsi="Arial" w:cs="Arial"/>
          <w:color w:val="000000"/>
        </w:rPr>
        <w:t>order below with reference to the above issues.</w:t>
      </w:r>
    </w:p>
    <w:p w:rsidR="00230110" w:rsidRPr="00230110" w:rsidRDefault="00FC07EB" w:rsidP="00222D4B">
      <w:pPr>
        <w:pStyle w:val="p3"/>
        <w:spacing w:before="0" w:beforeAutospacing="0" w:after="0" w:afterAutospacing="0" w:line="360" w:lineRule="auto"/>
        <w:jc w:val="both"/>
        <w:rPr>
          <w:rFonts w:ascii="Arial" w:hAnsi="Arial" w:cs="Arial"/>
          <w:color w:val="000000"/>
        </w:rPr>
      </w:pPr>
      <w:r>
        <w:rPr>
          <w:rStyle w:val="s2"/>
          <w:rFonts w:ascii="Arial" w:eastAsia="Times New Roman" w:hAnsi="Arial" w:cs="Arial"/>
          <w:color w:val="000000"/>
        </w:rPr>
        <w:t xml:space="preserve"> </w:t>
      </w:r>
      <w:r w:rsidR="00230110" w:rsidRPr="00230110">
        <w:rPr>
          <w:rStyle w:val="s2"/>
          <w:rFonts w:ascii="Arial" w:eastAsia="Times New Roman" w:hAnsi="Arial" w:cs="Arial"/>
          <w:color w:val="000000"/>
        </w:rPr>
        <w:t> </w:t>
      </w:r>
    </w:p>
    <w:p w:rsidR="00230110" w:rsidRPr="00937EA3" w:rsidRDefault="00937EA3" w:rsidP="00230110">
      <w:pPr>
        <w:pStyle w:val="p3"/>
        <w:spacing w:before="0" w:beforeAutospacing="0" w:after="0" w:afterAutospacing="0" w:line="360" w:lineRule="auto"/>
        <w:jc w:val="both"/>
        <w:rPr>
          <w:rFonts w:ascii="Arial" w:hAnsi="Arial" w:cs="Arial"/>
          <w:b/>
          <w:color w:val="000000"/>
        </w:rPr>
      </w:pPr>
      <w:r w:rsidRPr="00937EA3">
        <w:rPr>
          <w:rStyle w:val="s2"/>
          <w:rFonts w:ascii="Arial" w:hAnsi="Arial" w:cs="Arial"/>
          <w:b/>
          <w:color w:val="000000"/>
        </w:rPr>
        <w:t xml:space="preserve">THE </w:t>
      </w:r>
      <w:r w:rsidRPr="00FC00E1">
        <w:rPr>
          <w:rStyle w:val="s2"/>
          <w:rFonts w:ascii="Arial" w:hAnsi="Arial" w:cs="Arial"/>
          <w:b/>
          <w:color w:val="000000"/>
        </w:rPr>
        <w:t xml:space="preserve">STATUS </w:t>
      </w:r>
      <w:r w:rsidRPr="00937EA3">
        <w:rPr>
          <w:rStyle w:val="s2"/>
          <w:rFonts w:ascii="Arial" w:hAnsi="Arial" w:cs="Arial"/>
          <w:b/>
          <w:i/>
          <w:color w:val="000000"/>
        </w:rPr>
        <w:t>QUO</w:t>
      </w:r>
      <w:r w:rsidRPr="00937EA3">
        <w:rPr>
          <w:rStyle w:val="s2"/>
          <w:rFonts w:ascii="Arial" w:hAnsi="Arial" w:cs="Arial"/>
          <w:b/>
          <w:color w:val="000000"/>
        </w:rPr>
        <w:t xml:space="preserve"> PRIOR TO 7 JUNE 2022</w:t>
      </w:r>
    </w:p>
    <w:p w:rsidR="000F20C4" w:rsidRDefault="00E3194C" w:rsidP="00F17F7E">
      <w:pPr>
        <w:pStyle w:val="Firstlevelpara"/>
        <w:numPr>
          <w:ilvl w:val="0"/>
          <w:numId w:val="0"/>
        </w:numPr>
        <w:pBdr>
          <w:top w:val="nil"/>
          <w:left w:val="nil"/>
          <w:bottom w:val="nil"/>
          <w:right w:val="nil"/>
          <w:between w:val="nil"/>
          <w:bar w:val="nil"/>
        </w:pBdr>
        <w:spacing w:after="240" w:line="360" w:lineRule="auto"/>
        <w:rPr>
          <w:rStyle w:val="s2"/>
          <w:rFonts w:ascii="Arial" w:hAnsi="Arial" w:cs="Arial"/>
          <w:color w:val="000000"/>
          <w:szCs w:val="24"/>
        </w:rPr>
      </w:pPr>
      <w:r>
        <w:rPr>
          <w:rStyle w:val="s2"/>
          <w:rFonts w:ascii="Arial" w:hAnsi="Arial" w:cs="Arial"/>
          <w:color w:val="000000"/>
        </w:rPr>
        <w:t>[9</w:t>
      </w:r>
      <w:r w:rsidR="0014130B">
        <w:rPr>
          <w:rStyle w:val="s2"/>
          <w:rFonts w:ascii="Arial" w:hAnsi="Arial" w:cs="Arial"/>
          <w:color w:val="000000"/>
        </w:rPr>
        <w:t>]</w:t>
      </w:r>
      <w:r w:rsidR="0014130B">
        <w:rPr>
          <w:rStyle w:val="s2"/>
          <w:rFonts w:ascii="Arial" w:hAnsi="Arial" w:cs="Arial"/>
          <w:color w:val="000000"/>
        </w:rPr>
        <w:tab/>
      </w:r>
      <w:r w:rsidR="00230110" w:rsidRPr="00230110">
        <w:rPr>
          <w:rStyle w:val="s2"/>
          <w:rFonts w:ascii="Arial" w:hAnsi="Arial" w:cs="Arial"/>
          <w:color w:val="000000"/>
          <w:szCs w:val="24"/>
        </w:rPr>
        <w:t xml:space="preserve">On </w:t>
      </w:r>
      <w:r w:rsidR="00283910">
        <w:rPr>
          <w:rStyle w:val="s2"/>
          <w:rFonts w:ascii="Arial" w:hAnsi="Arial" w:cs="Arial"/>
          <w:color w:val="000000"/>
        </w:rPr>
        <w:t>18</w:t>
      </w:r>
      <w:r w:rsidR="001D59F8">
        <w:rPr>
          <w:rStyle w:val="s2"/>
          <w:rFonts w:ascii="Arial" w:hAnsi="Arial" w:cs="Arial"/>
          <w:color w:val="000000"/>
        </w:rPr>
        <w:t xml:space="preserve"> August 2021</w:t>
      </w:r>
      <w:r w:rsidR="00230110" w:rsidRPr="00230110">
        <w:rPr>
          <w:rStyle w:val="s2"/>
          <w:rFonts w:ascii="Arial" w:hAnsi="Arial" w:cs="Arial"/>
          <w:color w:val="000000"/>
          <w:szCs w:val="24"/>
        </w:rPr>
        <w:t>, the S</w:t>
      </w:r>
      <w:r w:rsidR="008015E2">
        <w:rPr>
          <w:rStyle w:val="s2"/>
          <w:rFonts w:ascii="Arial" w:hAnsi="Arial" w:cs="Arial"/>
          <w:color w:val="000000"/>
          <w:szCs w:val="24"/>
        </w:rPr>
        <w:t>IU</w:t>
      </w:r>
      <w:r w:rsidR="00230110" w:rsidRPr="00230110">
        <w:rPr>
          <w:rStyle w:val="s2"/>
          <w:rFonts w:ascii="Arial" w:hAnsi="Arial" w:cs="Arial"/>
          <w:color w:val="000000"/>
          <w:szCs w:val="24"/>
        </w:rPr>
        <w:t xml:space="preserve"> sought and was granted </w:t>
      </w:r>
      <w:r w:rsidR="00937EA3">
        <w:rPr>
          <w:rStyle w:val="s2"/>
          <w:rFonts w:ascii="Arial" w:hAnsi="Arial" w:cs="Arial"/>
          <w:color w:val="000000"/>
        </w:rPr>
        <w:t xml:space="preserve">an order </w:t>
      </w:r>
      <w:r w:rsidR="00230110" w:rsidRPr="00230110">
        <w:rPr>
          <w:rStyle w:val="s2"/>
          <w:rFonts w:ascii="Arial" w:hAnsi="Arial" w:cs="Arial"/>
          <w:color w:val="000000"/>
          <w:szCs w:val="24"/>
        </w:rPr>
        <w:t xml:space="preserve">preserving </w:t>
      </w:r>
      <w:r w:rsidR="0014130B">
        <w:rPr>
          <w:rStyle w:val="s2"/>
          <w:rFonts w:ascii="Arial" w:hAnsi="Arial" w:cs="Arial"/>
          <w:color w:val="000000"/>
        </w:rPr>
        <w:t xml:space="preserve">four properties registered in favour of the second respondent </w:t>
      </w:r>
      <w:r w:rsidR="0014130B" w:rsidRPr="001D59F8">
        <w:rPr>
          <w:rFonts w:ascii="Arial" w:hAnsi="Arial" w:cs="Arial"/>
        </w:rPr>
        <w:t>Zaisan Kaihatsu (Pty) Ltd (</w:t>
      </w:r>
      <w:r w:rsidR="00222D4B">
        <w:rPr>
          <w:rFonts w:ascii="Arial" w:hAnsi="Arial" w:cs="Arial"/>
        </w:rPr>
        <w:t>“</w:t>
      </w:r>
      <w:r w:rsidR="0014130B" w:rsidRPr="001D59F8">
        <w:rPr>
          <w:rFonts w:ascii="Arial" w:hAnsi="Arial" w:cs="Arial"/>
        </w:rPr>
        <w:t>Zaisan</w:t>
      </w:r>
      <w:r w:rsidR="00222D4B">
        <w:rPr>
          <w:rFonts w:ascii="Arial" w:hAnsi="Arial" w:cs="Arial"/>
        </w:rPr>
        <w:t>”</w:t>
      </w:r>
      <w:r w:rsidR="0014130B" w:rsidRPr="001D59F8">
        <w:rPr>
          <w:rFonts w:ascii="Arial" w:hAnsi="Arial" w:cs="Arial"/>
        </w:rPr>
        <w:t xml:space="preserve">) and funds the Fifth Respondent Victor Nkhwashu Attorneys Inc </w:t>
      </w:r>
      <w:r w:rsidR="0014130B">
        <w:rPr>
          <w:rStyle w:val="s2"/>
          <w:rFonts w:ascii="Arial" w:hAnsi="Arial" w:cs="Arial"/>
          <w:color w:val="000000"/>
        </w:rPr>
        <w:t>held in trust on behalf of sever</w:t>
      </w:r>
      <w:r w:rsidR="00230110" w:rsidRPr="00230110">
        <w:rPr>
          <w:rStyle w:val="s2"/>
          <w:rFonts w:ascii="Arial" w:hAnsi="Arial" w:cs="Arial"/>
          <w:color w:val="000000"/>
          <w:szCs w:val="24"/>
        </w:rPr>
        <w:t xml:space="preserve">al Ndlovu respondents. </w:t>
      </w:r>
    </w:p>
    <w:p w:rsidR="000F20C4" w:rsidRDefault="000F20C4" w:rsidP="000F20C4">
      <w:pPr>
        <w:pStyle w:val="Firstlevelpara"/>
        <w:numPr>
          <w:ilvl w:val="0"/>
          <w:numId w:val="0"/>
        </w:numPr>
        <w:pBdr>
          <w:top w:val="nil"/>
          <w:left w:val="nil"/>
          <w:bottom w:val="nil"/>
          <w:right w:val="nil"/>
          <w:between w:val="nil"/>
          <w:bar w:val="nil"/>
        </w:pBdr>
        <w:spacing w:before="0" w:line="360" w:lineRule="auto"/>
        <w:rPr>
          <w:rStyle w:val="s2"/>
          <w:rFonts w:ascii="Arial" w:hAnsi="Arial" w:cs="Arial"/>
          <w:color w:val="000000"/>
          <w:szCs w:val="24"/>
        </w:rPr>
      </w:pPr>
    </w:p>
    <w:p w:rsidR="000F20C4" w:rsidRDefault="00E3194C" w:rsidP="000F20C4">
      <w:pPr>
        <w:spacing w:after="120" w:line="360" w:lineRule="auto"/>
        <w:jc w:val="both"/>
        <w:rPr>
          <w:rFonts w:ascii="Arial" w:hAnsi="Arial" w:cs="Arial"/>
          <w:bCs/>
        </w:rPr>
      </w:pPr>
      <w:r>
        <w:rPr>
          <w:rFonts w:ascii="Arial" w:hAnsi="Arial" w:cs="Arial"/>
          <w:bCs/>
        </w:rPr>
        <w:t>[10</w:t>
      </w:r>
      <w:r w:rsidR="000F20C4" w:rsidRPr="00796D0D">
        <w:rPr>
          <w:rFonts w:ascii="Arial" w:hAnsi="Arial" w:cs="Arial"/>
          <w:bCs/>
        </w:rPr>
        <w:t>]</w:t>
      </w:r>
      <w:r w:rsidR="000F20C4" w:rsidRPr="00796D0D">
        <w:rPr>
          <w:rFonts w:ascii="Arial" w:hAnsi="Arial" w:cs="Arial"/>
          <w:bCs/>
        </w:rPr>
        <w:tab/>
        <w:t xml:space="preserve">On 4 October 2021, the applicants sought and were granted a second preservation order to preserve </w:t>
      </w:r>
      <w:r w:rsidR="000F20C4" w:rsidRPr="00230110">
        <w:rPr>
          <w:rStyle w:val="s2"/>
          <w:rFonts w:ascii="Arial" w:hAnsi="Arial" w:cs="Arial"/>
          <w:color w:val="000000"/>
        </w:rPr>
        <w:t xml:space="preserve">Scania trucks owned by </w:t>
      </w:r>
      <w:r w:rsidR="00625EB5">
        <w:rPr>
          <w:rStyle w:val="s2"/>
          <w:rFonts w:ascii="Arial" w:hAnsi="Arial" w:cs="Arial"/>
          <w:color w:val="000000"/>
        </w:rPr>
        <w:t>the eighth respondent Akanni Trading and Projects (Pty) Ltd (“Akanni”)</w:t>
      </w:r>
      <w:r w:rsidR="000F20C4">
        <w:rPr>
          <w:rStyle w:val="s2"/>
          <w:rFonts w:ascii="Arial" w:hAnsi="Arial" w:cs="Arial"/>
          <w:color w:val="000000"/>
        </w:rPr>
        <w:t xml:space="preserve"> on the basis that they were allegedly acquired with proceeds of unlawful activities derived from the impugned tenders. </w:t>
      </w:r>
    </w:p>
    <w:p w:rsidR="000F20C4" w:rsidRDefault="000F20C4" w:rsidP="000F20C4">
      <w:pPr>
        <w:pStyle w:val="Firstlevelpara"/>
        <w:numPr>
          <w:ilvl w:val="0"/>
          <w:numId w:val="0"/>
        </w:numPr>
        <w:pBdr>
          <w:top w:val="nil"/>
          <w:left w:val="nil"/>
          <w:bottom w:val="nil"/>
          <w:right w:val="nil"/>
          <w:between w:val="nil"/>
          <w:bar w:val="nil"/>
        </w:pBdr>
        <w:spacing w:before="0" w:line="360" w:lineRule="auto"/>
        <w:rPr>
          <w:rStyle w:val="s2"/>
          <w:rFonts w:ascii="Arial" w:hAnsi="Arial" w:cs="Arial"/>
          <w:color w:val="000000"/>
          <w:szCs w:val="24"/>
        </w:rPr>
      </w:pPr>
    </w:p>
    <w:p w:rsidR="00F17F7E" w:rsidRDefault="00E3194C" w:rsidP="00F17F7E">
      <w:pPr>
        <w:pStyle w:val="Firstlevelpara"/>
        <w:numPr>
          <w:ilvl w:val="0"/>
          <w:numId w:val="0"/>
        </w:numPr>
        <w:pBdr>
          <w:top w:val="nil"/>
          <w:left w:val="nil"/>
          <w:bottom w:val="nil"/>
          <w:right w:val="nil"/>
          <w:between w:val="nil"/>
          <w:bar w:val="nil"/>
        </w:pBdr>
        <w:spacing w:after="240" w:line="360" w:lineRule="auto"/>
        <w:rPr>
          <w:rFonts w:ascii="Arial" w:hAnsi="Arial" w:cs="Arial"/>
          <w:szCs w:val="24"/>
        </w:rPr>
      </w:pPr>
      <w:r>
        <w:rPr>
          <w:rStyle w:val="s2"/>
          <w:rFonts w:ascii="Arial" w:hAnsi="Arial" w:cs="Arial"/>
          <w:color w:val="000000"/>
          <w:szCs w:val="24"/>
        </w:rPr>
        <w:t>[11</w:t>
      </w:r>
      <w:r w:rsidR="000F20C4">
        <w:rPr>
          <w:rStyle w:val="s2"/>
          <w:rFonts w:ascii="Arial" w:hAnsi="Arial" w:cs="Arial"/>
          <w:color w:val="000000"/>
          <w:szCs w:val="24"/>
        </w:rPr>
        <w:t>]</w:t>
      </w:r>
      <w:r w:rsidR="000F20C4">
        <w:rPr>
          <w:rStyle w:val="s2"/>
          <w:rFonts w:ascii="Arial" w:hAnsi="Arial" w:cs="Arial"/>
          <w:color w:val="000000"/>
          <w:szCs w:val="24"/>
        </w:rPr>
        <w:tab/>
      </w:r>
      <w:r w:rsidR="001D59F8">
        <w:rPr>
          <w:rStyle w:val="s2"/>
          <w:rFonts w:ascii="Arial" w:hAnsi="Arial" w:cs="Arial"/>
          <w:color w:val="000000"/>
        </w:rPr>
        <w:t xml:space="preserve">On </w:t>
      </w:r>
      <w:r w:rsidR="008015E2">
        <w:rPr>
          <w:rStyle w:val="s2"/>
          <w:rFonts w:ascii="Arial" w:hAnsi="Arial" w:cs="Arial"/>
          <w:color w:val="000000"/>
        </w:rPr>
        <w:t>03 February 202</w:t>
      </w:r>
      <w:r w:rsidR="00B53ECC">
        <w:rPr>
          <w:rStyle w:val="s2"/>
          <w:rFonts w:ascii="Arial" w:hAnsi="Arial" w:cs="Arial"/>
          <w:color w:val="000000"/>
        </w:rPr>
        <w:t>2</w:t>
      </w:r>
      <w:r w:rsidR="001D59F8">
        <w:rPr>
          <w:rStyle w:val="s2"/>
          <w:rFonts w:ascii="Arial" w:hAnsi="Arial" w:cs="Arial"/>
          <w:color w:val="000000"/>
        </w:rPr>
        <w:t>, the appli</w:t>
      </w:r>
      <w:r w:rsidR="000F20C4">
        <w:rPr>
          <w:rStyle w:val="s2"/>
          <w:rFonts w:ascii="Arial" w:hAnsi="Arial" w:cs="Arial"/>
          <w:color w:val="000000"/>
        </w:rPr>
        <w:t>cants sought and were granted a third preservation</w:t>
      </w:r>
      <w:r w:rsidR="001D59F8">
        <w:rPr>
          <w:rStyle w:val="s2"/>
          <w:rFonts w:ascii="Arial" w:hAnsi="Arial" w:cs="Arial"/>
          <w:color w:val="000000"/>
        </w:rPr>
        <w:t xml:space="preserve"> order joining the ninth to</w:t>
      </w:r>
      <w:r w:rsidR="00F17F7E">
        <w:rPr>
          <w:rStyle w:val="s2"/>
          <w:rFonts w:ascii="Arial" w:hAnsi="Arial" w:cs="Arial"/>
          <w:color w:val="000000"/>
        </w:rPr>
        <w:t xml:space="preserve"> thirteenth</w:t>
      </w:r>
      <w:r w:rsidR="001D59F8">
        <w:rPr>
          <w:rStyle w:val="s2"/>
          <w:rFonts w:ascii="Arial" w:hAnsi="Arial" w:cs="Arial"/>
          <w:color w:val="000000"/>
        </w:rPr>
        <w:t xml:space="preserve"> respondents to the application that led to the granting of the </w:t>
      </w:r>
      <w:r w:rsidR="00283910">
        <w:rPr>
          <w:rStyle w:val="s2"/>
          <w:rFonts w:ascii="Arial" w:hAnsi="Arial" w:cs="Arial"/>
          <w:color w:val="000000"/>
        </w:rPr>
        <w:t>18</w:t>
      </w:r>
      <w:r w:rsidR="001D59F8">
        <w:rPr>
          <w:rStyle w:val="s2"/>
          <w:rFonts w:ascii="Arial" w:hAnsi="Arial" w:cs="Arial"/>
          <w:color w:val="000000"/>
        </w:rPr>
        <w:t xml:space="preserve"> August order and supplementing the </w:t>
      </w:r>
      <w:r w:rsidR="00283910">
        <w:rPr>
          <w:rStyle w:val="s2"/>
          <w:rFonts w:ascii="Arial" w:hAnsi="Arial" w:cs="Arial"/>
          <w:color w:val="000000"/>
        </w:rPr>
        <w:t>latter</w:t>
      </w:r>
      <w:r w:rsidR="008123FE">
        <w:rPr>
          <w:rStyle w:val="s2"/>
          <w:rFonts w:ascii="Arial" w:hAnsi="Arial" w:cs="Arial"/>
          <w:color w:val="000000"/>
        </w:rPr>
        <w:t xml:space="preserve"> order by interdicting the Ndlovu respondents from dealing in any manner with funds </w:t>
      </w:r>
      <w:r w:rsidR="008123FE">
        <w:rPr>
          <w:rFonts w:ascii="Arial" w:hAnsi="Arial" w:cs="Arial"/>
        </w:rPr>
        <w:t xml:space="preserve">and </w:t>
      </w:r>
      <w:r w:rsidR="008123FE">
        <w:rPr>
          <w:rFonts w:ascii="Arial" w:hAnsi="Arial" w:cs="Arial"/>
          <w:szCs w:val="24"/>
        </w:rPr>
        <w:t>the property the seventh respondent</w:t>
      </w:r>
      <w:r w:rsidR="008123FE">
        <w:rPr>
          <w:rFonts w:ascii="Arial" w:hAnsi="Arial" w:cs="Arial"/>
        </w:rPr>
        <w:t>, the South African Revenue Service (</w:t>
      </w:r>
      <w:r w:rsidR="00222D4B">
        <w:rPr>
          <w:rFonts w:ascii="Arial" w:hAnsi="Arial" w:cs="Arial"/>
        </w:rPr>
        <w:t>“</w:t>
      </w:r>
      <w:r w:rsidR="008123FE">
        <w:rPr>
          <w:rFonts w:ascii="Arial" w:hAnsi="Arial" w:cs="Arial"/>
        </w:rPr>
        <w:t>SARS</w:t>
      </w:r>
      <w:r w:rsidR="00222D4B">
        <w:rPr>
          <w:rFonts w:ascii="Arial" w:hAnsi="Arial" w:cs="Arial"/>
        </w:rPr>
        <w:t>”</w:t>
      </w:r>
      <w:r w:rsidR="008123FE">
        <w:rPr>
          <w:rFonts w:ascii="Arial" w:hAnsi="Arial" w:cs="Arial"/>
        </w:rPr>
        <w:t>)</w:t>
      </w:r>
      <w:r w:rsidR="008123FE">
        <w:rPr>
          <w:rFonts w:ascii="Arial" w:hAnsi="Arial" w:cs="Arial"/>
          <w:szCs w:val="24"/>
        </w:rPr>
        <w:t xml:space="preserve"> </w:t>
      </w:r>
      <w:r w:rsidR="008123FE">
        <w:rPr>
          <w:rFonts w:ascii="Arial" w:hAnsi="Arial" w:cs="Arial"/>
        </w:rPr>
        <w:t xml:space="preserve">preserved under </w:t>
      </w:r>
      <w:r w:rsidR="008123FE">
        <w:rPr>
          <w:rFonts w:ascii="Arial" w:hAnsi="Arial" w:cs="Arial"/>
          <w:szCs w:val="24"/>
        </w:rPr>
        <w:t xml:space="preserve">the </w:t>
      </w:r>
      <w:r w:rsidR="008123FE" w:rsidRPr="001247B0">
        <w:rPr>
          <w:rFonts w:ascii="Arial" w:hAnsi="Arial" w:cs="Arial"/>
          <w:szCs w:val="24"/>
        </w:rPr>
        <w:t>order granted by the Gauteng Division of the High Court under case number 2020/35696</w:t>
      </w:r>
      <w:r w:rsidR="008123FE">
        <w:rPr>
          <w:rFonts w:ascii="Arial" w:hAnsi="Arial" w:cs="Arial"/>
        </w:rPr>
        <w:t xml:space="preserve"> </w:t>
      </w:r>
      <w:r w:rsidR="008123FE" w:rsidRPr="008123FE">
        <w:rPr>
          <w:rFonts w:ascii="Arial" w:hAnsi="Arial" w:cs="Arial"/>
        </w:rPr>
        <w:t>(</w:t>
      </w:r>
      <w:r w:rsidR="00222D4B">
        <w:rPr>
          <w:rFonts w:ascii="Arial" w:hAnsi="Arial" w:cs="Arial"/>
        </w:rPr>
        <w:t>“</w:t>
      </w:r>
      <w:r w:rsidR="008123FE" w:rsidRPr="008123FE">
        <w:rPr>
          <w:rFonts w:ascii="Arial" w:hAnsi="Arial" w:cs="Arial"/>
          <w:bCs/>
          <w:szCs w:val="24"/>
        </w:rPr>
        <w:t xml:space="preserve">the </w:t>
      </w:r>
      <w:r w:rsidR="008123FE" w:rsidRPr="008123FE">
        <w:rPr>
          <w:rFonts w:ascii="Arial" w:hAnsi="Arial" w:cs="Arial"/>
          <w:bCs/>
        </w:rPr>
        <w:t xml:space="preserve">SARS </w:t>
      </w:r>
      <w:r w:rsidR="008123FE" w:rsidRPr="008123FE">
        <w:rPr>
          <w:rFonts w:ascii="Arial" w:hAnsi="Arial" w:cs="Arial"/>
          <w:bCs/>
          <w:szCs w:val="24"/>
        </w:rPr>
        <w:t>order</w:t>
      </w:r>
      <w:r w:rsidR="00222D4B">
        <w:rPr>
          <w:rFonts w:ascii="Arial" w:hAnsi="Arial" w:cs="Arial"/>
          <w:bCs/>
          <w:szCs w:val="24"/>
        </w:rPr>
        <w:t>”</w:t>
      </w:r>
      <w:r w:rsidR="008123FE">
        <w:rPr>
          <w:rFonts w:ascii="Arial" w:hAnsi="Arial" w:cs="Arial"/>
          <w:bCs/>
        </w:rPr>
        <w:t>)</w:t>
      </w:r>
      <w:r w:rsidR="00283910">
        <w:rPr>
          <w:rFonts w:ascii="Arial" w:hAnsi="Arial" w:cs="Arial"/>
          <w:bCs/>
        </w:rPr>
        <w:t>. The 3 February order</w:t>
      </w:r>
      <w:r w:rsidR="008123FE">
        <w:rPr>
          <w:rFonts w:ascii="Arial" w:hAnsi="Arial" w:cs="Arial"/>
          <w:bCs/>
        </w:rPr>
        <w:t xml:space="preserve"> </w:t>
      </w:r>
      <w:r w:rsidR="00283910">
        <w:rPr>
          <w:rFonts w:ascii="Arial" w:hAnsi="Arial" w:cs="Arial"/>
          <w:bCs/>
        </w:rPr>
        <w:t xml:space="preserve">also </w:t>
      </w:r>
      <w:r w:rsidR="008123FE">
        <w:rPr>
          <w:rFonts w:ascii="Arial" w:hAnsi="Arial" w:cs="Arial"/>
          <w:bCs/>
        </w:rPr>
        <w:t>order</w:t>
      </w:r>
      <w:r w:rsidR="00283910">
        <w:rPr>
          <w:rFonts w:ascii="Arial" w:hAnsi="Arial" w:cs="Arial"/>
          <w:bCs/>
        </w:rPr>
        <w:t xml:space="preserve">ed </w:t>
      </w:r>
      <w:r w:rsidR="008123FE">
        <w:rPr>
          <w:rFonts w:ascii="Arial" w:hAnsi="Arial" w:cs="Arial"/>
          <w:bCs/>
        </w:rPr>
        <w:t xml:space="preserve">SARS to pay to the applicants or a </w:t>
      </w:r>
      <w:r w:rsidR="008123FE" w:rsidRPr="00625EB5">
        <w:rPr>
          <w:rFonts w:ascii="Arial" w:hAnsi="Arial" w:cs="Arial"/>
          <w:bCs/>
          <w:i/>
        </w:rPr>
        <w:t>curator bonis</w:t>
      </w:r>
      <w:r w:rsidR="008123FE">
        <w:rPr>
          <w:rFonts w:ascii="Arial" w:hAnsi="Arial" w:cs="Arial"/>
          <w:bCs/>
        </w:rPr>
        <w:t xml:space="preserve"> appointed by them any funds </w:t>
      </w:r>
      <w:r w:rsidR="00F17F7E">
        <w:rPr>
          <w:rFonts w:ascii="Arial" w:hAnsi="Arial" w:cs="Arial"/>
          <w:bCs/>
        </w:rPr>
        <w:t>and hand over any</w:t>
      </w:r>
      <w:r w:rsidR="008123FE">
        <w:rPr>
          <w:rFonts w:ascii="Arial" w:hAnsi="Arial" w:cs="Arial"/>
          <w:bCs/>
        </w:rPr>
        <w:t xml:space="preserve"> property remaining under the SARS order </w:t>
      </w:r>
      <w:r w:rsidR="00AE7223">
        <w:rPr>
          <w:rFonts w:ascii="Arial" w:hAnsi="Arial" w:cs="Arial"/>
          <w:bCs/>
        </w:rPr>
        <w:t>after the Ndlovu respondent</w:t>
      </w:r>
      <w:r w:rsidR="00F17F7E">
        <w:rPr>
          <w:rFonts w:ascii="Arial" w:hAnsi="Arial" w:cs="Arial"/>
          <w:bCs/>
        </w:rPr>
        <w:t>s</w:t>
      </w:r>
      <w:r w:rsidR="00AE7223">
        <w:rPr>
          <w:rFonts w:ascii="Arial" w:hAnsi="Arial" w:cs="Arial"/>
          <w:bCs/>
        </w:rPr>
        <w:t>’</w:t>
      </w:r>
      <w:r w:rsidR="00F17F7E">
        <w:rPr>
          <w:rFonts w:ascii="Arial" w:hAnsi="Arial" w:cs="Arial"/>
          <w:bCs/>
        </w:rPr>
        <w:t xml:space="preserve"> tax liability has been </w:t>
      </w:r>
      <w:r w:rsidR="00F17F7E" w:rsidRPr="000A5CDA">
        <w:rPr>
          <w:rFonts w:ascii="Arial" w:hAnsi="Arial" w:cs="Arial"/>
          <w:szCs w:val="24"/>
        </w:rPr>
        <w:t xml:space="preserve">satisfied </w:t>
      </w:r>
      <w:r w:rsidR="00F17F7E">
        <w:rPr>
          <w:rFonts w:ascii="Arial" w:hAnsi="Arial" w:cs="Arial"/>
          <w:szCs w:val="24"/>
        </w:rPr>
        <w:t xml:space="preserve">to satisfy the judgment debt that arise from any order for forfeiture granted in terms of the 7 June order.  </w:t>
      </w:r>
    </w:p>
    <w:p w:rsidR="005C5836" w:rsidRDefault="00E3194C" w:rsidP="005C5836">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lastRenderedPageBreak/>
        <w:t>[12</w:t>
      </w:r>
      <w:r w:rsidR="005C5836">
        <w:rPr>
          <w:rStyle w:val="s2"/>
          <w:rFonts w:ascii="Arial" w:hAnsi="Arial" w:cs="Arial"/>
          <w:color w:val="000000"/>
        </w:rPr>
        <w:t>]</w:t>
      </w:r>
      <w:r w:rsidR="005C5836">
        <w:rPr>
          <w:rStyle w:val="s2"/>
          <w:rFonts w:ascii="Arial" w:hAnsi="Arial" w:cs="Arial"/>
          <w:color w:val="000000"/>
        </w:rPr>
        <w:tab/>
        <w:t>The preservation orders</w:t>
      </w:r>
      <w:r w:rsidR="005C5836" w:rsidRPr="00230110">
        <w:rPr>
          <w:rStyle w:val="s2"/>
          <w:rFonts w:ascii="Arial" w:hAnsi="Arial" w:cs="Arial"/>
          <w:color w:val="000000"/>
        </w:rPr>
        <w:t xml:space="preserve"> also authorise the SIU to appoint a </w:t>
      </w:r>
      <w:r w:rsidR="005C5836" w:rsidRPr="005C5836">
        <w:rPr>
          <w:rStyle w:val="s2"/>
          <w:rFonts w:ascii="Arial" w:hAnsi="Arial" w:cs="Arial"/>
          <w:i/>
          <w:color w:val="000000"/>
        </w:rPr>
        <w:t>curator bonis</w:t>
      </w:r>
      <w:r w:rsidR="005C5836" w:rsidRPr="00230110">
        <w:rPr>
          <w:rStyle w:val="s2"/>
          <w:rFonts w:ascii="Arial" w:hAnsi="Arial" w:cs="Arial"/>
          <w:color w:val="000000"/>
        </w:rPr>
        <w:t xml:space="preserve"> to take steps to preserve assets that are </w:t>
      </w:r>
      <w:r w:rsidR="000F20C4">
        <w:rPr>
          <w:rStyle w:val="s2"/>
          <w:rFonts w:ascii="Arial" w:hAnsi="Arial" w:cs="Arial"/>
          <w:color w:val="000000"/>
        </w:rPr>
        <w:t xml:space="preserve">subject to </w:t>
      </w:r>
      <w:r w:rsidR="005C5836">
        <w:rPr>
          <w:rStyle w:val="s2"/>
          <w:rFonts w:ascii="Arial" w:hAnsi="Arial" w:cs="Arial"/>
          <w:color w:val="000000"/>
        </w:rPr>
        <w:t xml:space="preserve">the respective preservation orders. </w:t>
      </w:r>
      <w:r>
        <w:rPr>
          <w:rStyle w:val="s2"/>
          <w:rFonts w:ascii="Arial" w:hAnsi="Arial" w:cs="Arial"/>
          <w:color w:val="000000"/>
        </w:rPr>
        <w:t>The preservation orders</w:t>
      </w:r>
      <w:r w:rsidR="005C5836" w:rsidRPr="00230110">
        <w:rPr>
          <w:rStyle w:val="s2"/>
          <w:rFonts w:ascii="Arial" w:hAnsi="Arial" w:cs="Arial"/>
          <w:color w:val="000000"/>
        </w:rPr>
        <w:t xml:space="preserve"> expressly apply pending the final determination of the main application. </w:t>
      </w:r>
    </w:p>
    <w:p w:rsidR="00283910" w:rsidRPr="00230110" w:rsidRDefault="00283910" w:rsidP="005C5836">
      <w:pPr>
        <w:pStyle w:val="p3"/>
        <w:spacing w:before="0" w:beforeAutospacing="0" w:after="0" w:afterAutospacing="0" w:line="360" w:lineRule="auto"/>
        <w:jc w:val="both"/>
        <w:rPr>
          <w:rFonts w:ascii="Arial" w:hAnsi="Arial" w:cs="Arial"/>
          <w:color w:val="000000"/>
        </w:rPr>
      </w:pPr>
    </w:p>
    <w:p w:rsidR="000F20C4" w:rsidRDefault="00E3194C" w:rsidP="000F20C4">
      <w:pPr>
        <w:spacing w:after="120" w:line="360" w:lineRule="auto"/>
        <w:jc w:val="both"/>
        <w:rPr>
          <w:rFonts w:ascii="Arial" w:hAnsi="Arial" w:cs="Arial"/>
          <w:bCs/>
        </w:rPr>
      </w:pPr>
      <w:r>
        <w:rPr>
          <w:rFonts w:ascii="Arial" w:hAnsi="Arial" w:cs="Arial"/>
          <w:bCs/>
        </w:rPr>
        <w:t>[13</w:t>
      </w:r>
      <w:r w:rsidR="000F20C4">
        <w:rPr>
          <w:rFonts w:ascii="Arial" w:hAnsi="Arial" w:cs="Arial"/>
          <w:bCs/>
        </w:rPr>
        <w:t>]</w:t>
      </w:r>
      <w:r w:rsidR="000F20C4">
        <w:rPr>
          <w:rFonts w:ascii="Arial" w:hAnsi="Arial" w:cs="Arial"/>
          <w:bCs/>
        </w:rPr>
        <w:tab/>
        <w:t xml:space="preserve">The preservation orders addressed above were granted </w:t>
      </w:r>
      <w:r w:rsidR="000F20C4" w:rsidRPr="00F17F7E">
        <w:rPr>
          <w:rFonts w:ascii="Arial" w:hAnsi="Arial" w:cs="Arial"/>
          <w:bCs/>
          <w:i/>
        </w:rPr>
        <w:t>ex parte</w:t>
      </w:r>
      <w:r w:rsidR="000F20C4">
        <w:rPr>
          <w:rFonts w:ascii="Arial" w:hAnsi="Arial" w:cs="Arial"/>
          <w:bCs/>
        </w:rPr>
        <w:t xml:space="preserve">. The cited respondents could have the </w:t>
      </w:r>
      <w:r>
        <w:rPr>
          <w:rFonts w:ascii="Arial" w:hAnsi="Arial" w:cs="Arial"/>
          <w:bCs/>
        </w:rPr>
        <w:t xml:space="preserve">preservation </w:t>
      </w:r>
      <w:r w:rsidR="000F20C4">
        <w:rPr>
          <w:rFonts w:ascii="Arial" w:hAnsi="Arial" w:cs="Arial"/>
          <w:bCs/>
        </w:rPr>
        <w:t>orders reconsidered in terms of Tribunal Rule 12(9). None of them did.</w:t>
      </w:r>
    </w:p>
    <w:p w:rsidR="000F20C4" w:rsidRPr="0014130B" w:rsidRDefault="000F20C4" w:rsidP="000F20C4">
      <w:pPr>
        <w:spacing w:after="120" w:line="360" w:lineRule="auto"/>
        <w:jc w:val="both"/>
        <w:rPr>
          <w:rStyle w:val="s2"/>
          <w:rFonts w:ascii="Arial" w:hAnsi="Arial" w:cs="Arial"/>
          <w:b/>
        </w:rPr>
      </w:pPr>
    </w:p>
    <w:p w:rsidR="005C5836" w:rsidRPr="00230110" w:rsidRDefault="005C5836" w:rsidP="000F20C4">
      <w:pPr>
        <w:pStyle w:val="p3"/>
        <w:spacing w:before="0" w:beforeAutospacing="0" w:after="0" w:afterAutospacing="0" w:line="360" w:lineRule="auto"/>
        <w:jc w:val="both"/>
        <w:rPr>
          <w:rFonts w:ascii="Arial" w:hAnsi="Arial" w:cs="Arial"/>
          <w:color w:val="000000"/>
        </w:rPr>
      </w:pPr>
      <w:r>
        <w:rPr>
          <w:rFonts w:ascii="Arial" w:hAnsi="Arial" w:cs="Arial"/>
          <w:color w:val="000000"/>
        </w:rPr>
        <w:t>[</w:t>
      </w:r>
      <w:r w:rsidR="00E3194C">
        <w:rPr>
          <w:rFonts w:ascii="Arial" w:hAnsi="Arial" w:cs="Arial"/>
          <w:color w:val="000000"/>
        </w:rPr>
        <w:t>14</w:t>
      </w:r>
      <w:r>
        <w:rPr>
          <w:rFonts w:ascii="Arial" w:hAnsi="Arial" w:cs="Arial"/>
          <w:color w:val="000000"/>
        </w:rPr>
        <w:t>]</w:t>
      </w:r>
      <w:r>
        <w:rPr>
          <w:rFonts w:ascii="Arial" w:hAnsi="Arial" w:cs="Arial"/>
          <w:color w:val="000000"/>
        </w:rPr>
        <w:tab/>
        <w:t>In October 2021</w:t>
      </w:r>
      <w:r w:rsidRPr="00230110">
        <w:rPr>
          <w:rStyle w:val="s2"/>
          <w:rFonts w:ascii="Arial" w:hAnsi="Arial" w:cs="Arial"/>
          <w:color w:val="000000"/>
        </w:rPr>
        <w:t xml:space="preserve">, the </w:t>
      </w:r>
      <w:r w:rsidRPr="00362220">
        <w:rPr>
          <w:rStyle w:val="s2"/>
          <w:rFonts w:ascii="Arial" w:hAnsi="Arial" w:cs="Arial"/>
          <w:i/>
          <w:color w:val="000000"/>
        </w:rPr>
        <w:t>applicants</w:t>
      </w:r>
      <w:r w:rsidRPr="00230110">
        <w:rPr>
          <w:rStyle w:val="s2"/>
          <w:rFonts w:ascii="Arial" w:hAnsi="Arial" w:cs="Arial"/>
          <w:color w:val="000000"/>
        </w:rPr>
        <w:t xml:space="preserve"> brought the main application. Several Ndlovu respondents opposed it. The application </w:t>
      </w:r>
      <w:r w:rsidR="000F20C4">
        <w:rPr>
          <w:rStyle w:val="s2"/>
          <w:rFonts w:ascii="Arial" w:hAnsi="Arial" w:cs="Arial"/>
          <w:color w:val="000000"/>
        </w:rPr>
        <w:t xml:space="preserve">resulted in the </w:t>
      </w:r>
      <w:r w:rsidRPr="00230110">
        <w:rPr>
          <w:rStyle w:val="s2"/>
          <w:rFonts w:ascii="Arial" w:hAnsi="Arial" w:cs="Arial"/>
          <w:color w:val="000000"/>
        </w:rPr>
        <w:t>7 June order</w:t>
      </w:r>
      <w:r w:rsidR="000F20C4">
        <w:rPr>
          <w:rStyle w:val="s2"/>
          <w:rFonts w:ascii="Arial" w:hAnsi="Arial" w:cs="Arial"/>
          <w:color w:val="000000"/>
        </w:rPr>
        <w:t xml:space="preserve"> being granted</w:t>
      </w:r>
      <w:r w:rsidRPr="00230110">
        <w:rPr>
          <w:rStyle w:val="s2"/>
          <w:rFonts w:ascii="Arial" w:hAnsi="Arial" w:cs="Arial"/>
          <w:color w:val="000000"/>
        </w:rPr>
        <w:t xml:space="preserve">. </w:t>
      </w:r>
      <w:r>
        <w:rPr>
          <w:rStyle w:val="s2"/>
          <w:rFonts w:ascii="Arial" w:hAnsi="Arial" w:cs="Arial"/>
          <w:color w:val="000000"/>
        </w:rPr>
        <w:t xml:space="preserve"> </w:t>
      </w:r>
      <w:r w:rsidR="00E3194C">
        <w:rPr>
          <w:rStyle w:val="s2"/>
          <w:rFonts w:ascii="Arial" w:hAnsi="Arial" w:cs="Arial"/>
          <w:color w:val="000000"/>
        </w:rPr>
        <w:t>The applicants contend that i</w:t>
      </w:r>
      <w:r>
        <w:rPr>
          <w:rStyle w:val="s2"/>
          <w:rFonts w:ascii="Arial" w:hAnsi="Arial" w:cs="Arial"/>
          <w:color w:val="000000"/>
        </w:rPr>
        <w:t>n terms of section 18(1)</w:t>
      </w:r>
      <w:r w:rsidRPr="00230110">
        <w:rPr>
          <w:rStyle w:val="s2"/>
          <w:rFonts w:ascii="Arial" w:hAnsi="Arial" w:cs="Arial"/>
          <w:color w:val="000000"/>
        </w:rPr>
        <w:t xml:space="preserve"> of the Superior Court’s Act, the application for leave to appeal automatically suspends the execution of the 7 June order. It is for this reason that the applicants brought the application in terms of s18(3) for leave to execute </w:t>
      </w:r>
      <w:r w:rsidR="00E3194C">
        <w:rPr>
          <w:rStyle w:val="s2"/>
          <w:rFonts w:ascii="Arial" w:hAnsi="Arial" w:cs="Arial"/>
          <w:color w:val="000000"/>
        </w:rPr>
        <w:t xml:space="preserve">the specified </w:t>
      </w:r>
      <w:r w:rsidRPr="00230110">
        <w:rPr>
          <w:rStyle w:val="s2"/>
          <w:rFonts w:ascii="Arial" w:hAnsi="Arial" w:cs="Arial"/>
          <w:color w:val="000000"/>
        </w:rPr>
        <w:t>part</w:t>
      </w:r>
      <w:r w:rsidR="00E3194C">
        <w:rPr>
          <w:rStyle w:val="s2"/>
          <w:rFonts w:ascii="Arial" w:hAnsi="Arial" w:cs="Arial"/>
          <w:color w:val="000000"/>
        </w:rPr>
        <w:t>s</w:t>
      </w:r>
      <w:r w:rsidRPr="00230110">
        <w:rPr>
          <w:rStyle w:val="s2"/>
          <w:rFonts w:ascii="Arial" w:hAnsi="Arial" w:cs="Arial"/>
          <w:color w:val="000000"/>
        </w:rPr>
        <w:t xml:space="preserve"> of the 7 June order notwithstanding the application for leave to appeal. </w:t>
      </w:r>
      <w:r w:rsidR="00E3194C">
        <w:rPr>
          <w:rStyle w:val="s2"/>
          <w:rFonts w:ascii="Arial" w:hAnsi="Arial" w:cs="Arial"/>
          <w:color w:val="000000"/>
        </w:rPr>
        <w:t xml:space="preserve">The Ndlovu respondents agree that the application for leave to appeal suspended the 7 June order. However, they rely on a different legal basis. They contend that on the authority in </w:t>
      </w:r>
      <w:r w:rsidR="00E3194C" w:rsidRPr="00362220">
        <w:rPr>
          <w:rStyle w:val="s2"/>
          <w:rFonts w:ascii="Arial" w:hAnsi="Arial" w:cs="Arial"/>
          <w:i/>
          <w:color w:val="000000"/>
        </w:rPr>
        <w:t>Ledla</w:t>
      </w:r>
      <w:r w:rsidR="00E3194C">
        <w:rPr>
          <w:rStyle w:val="s2"/>
          <w:rFonts w:ascii="Arial" w:hAnsi="Arial" w:cs="Arial"/>
          <w:color w:val="000000"/>
        </w:rPr>
        <w:t xml:space="preserve">, the Superior Courts Act does not apply in Tribunal matters. </w:t>
      </w:r>
    </w:p>
    <w:p w:rsidR="00283910" w:rsidRDefault="00283910" w:rsidP="00230110">
      <w:pPr>
        <w:pStyle w:val="p3"/>
        <w:spacing w:before="0" w:beforeAutospacing="0" w:after="0" w:afterAutospacing="0" w:line="360" w:lineRule="auto"/>
        <w:jc w:val="both"/>
        <w:rPr>
          <w:rStyle w:val="s2"/>
          <w:rFonts w:ascii="Arial" w:hAnsi="Arial" w:cs="Arial"/>
          <w:color w:val="000000"/>
        </w:rPr>
      </w:pPr>
    </w:p>
    <w:p w:rsidR="000F20C4" w:rsidRPr="00230110" w:rsidRDefault="005C5836" w:rsidP="000F20C4">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[1</w:t>
      </w:r>
      <w:r w:rsidR="00E3194C">
        <w:rPr>
          <w:rStyle w:val="s2"/>
          <w:rFonts w:ascii="Arial" w:hAnsi="Arial" w:cs="Arial"/>
          <w:color w:val="000000"/>
        </w:rPr>
        <w:t>5</w:t>
      </w:r>
      <w:r w:rsidR="00F17F7E">
        <w:rPr>
          <w:rStyle w:val="s2"/>
          <w:rFonts w:ascii="Arial" w:hAnsi="Arial" w:cs="Arial"/>
          <w:color w:val="000000"/>
        </w:rPr>
        <w:t>]</w:t>
      </w:r>
      <w:r w:rsidR="00F17F7E">
        <w:rPr>
          <w:rStyle w:val="s2"/>
          <w:rFonts w:ascii="Arial" w:hAnsi="Arial" w:cs="Arial"/>
          <w:color w:val="000000"/>
        </w:rPr>
        <w:tab/>
      </w:r>
      <w:r>
        <w:rPr>
          <w:rStyle w:val="s2"/>
          <w:rFonts w:ascii="Arial" w:hAnsi="Arial" w:cs="Arial"/>
          <w:color w:val="000000"/>
        </w:rPr>
        <w:t xml:space="preserve">The preservation orders were prevailing when the 7 June order was granted. They are not amended by the 7 June order. The 7 June order disposed of the preserved assets by way of a forfeiture order. Since the 7 June order was subsequently appealed against, it was automatically suspended when the application for leave to appeal was filed. </w:t>
      </w:r>
      <w:r w:rsidR="000F20C4">
        <w:rPr>
          <w:rStyle w:val="s2"/>
          <w:rFonts w:ascii="Arial" w:hAnsi="Arial" w:cs="Arial"/>
          <w:color w:val="000000"/>
        </w:rPr>
        <w:t>The preservation orders</w:t>
      </w:r>
      <w:r w:rsidR="000F20C4" w:rsidRPr="00230110">
        <w:rPr>
          <w:rStyle w:val="s2"/>
          <w:rFonts w:ascii="Arial" w:hAnsi="Arial" w:cs="Arial"/>
          <w:color w:val="000000"/>
        </w:rPr>
        <w:t xml:space="preserve"> remained operative and are not in any way disturbed by the application for leave to appeal. </w:t>
      </w:r>
      <w:r w:rsidR="00924011">
        <w:rPr>
          <w:rStyle w:val="s2"/>
          <w:rFonts w:ascii="Arial" w:hAnsi="Arial" w:cs="Arial"/>
          <w:color w:val="000000"/>
        </w:rPr>
        <w:t>Therefore, the assets preserved in terms of the preservation orders remained preserved. The s18(3) order</w:t>
      </w:r>
      <w:r w:rsidR="000F20C4" w:rsidRPr="00230110">
        <w:rPr>
          <w:rStyle w:val="s2"/>
          <w:rFonts w:ascii="Arial" w:hAnsi="Arial" w:cs="Arial"/>
          <w:color w:val="000000"/>
        </w:rPr>
        <w:t xml:space="preserve"> seeks to entrench the </w:t>
      </w:r>
      <w:r w:rsidR="000F20C4" w:rsidRPr="00452091">
        <w:rPr>
          <w:rStyle w:val="s2"/>
          <w:rFonts w:ascii="Arial" w:hAnsi="Arial" w:cs="Arial"/>
          <w:i/>
          <w:color w:val="000000"/>
        </w:rPr>
        <w:t>status quo</w:t>
      </w:r>
      <w:r w:rsidR="000F20C4" w:rsidRPr="00230110">
        <w:rPr>
          <w:rStyle w:val="s2"/>
          <w:rFonts w:ascii="Arial" w:hAnsi="Arial" w:cs="Arial"/>
          <w:color w:val="000000"/>
        </w:rPr>
        <w:t xml:space="preserve"> tha</w:t>
      </w:r>
      <w:r w:rsidR="00924011">
        <w:rPr>
          <w:rStyle w:val="s2"/>
          <w:rFonts w:ascii="Arial" w:hAnsi="Arial" w:cs="Arial"/>
          <w:color w:val="000000"/>
        </w:rPr>
        <w:t>t prevailed since the preservation orders</w:t>
      </w:r>
      <w:r w:rsidR="000F20C4" w:rsidRPr="00230110">
        <w:rPr>
          <w:rStyle w:val="s2"/>
          <w:rFonts w:ascii="Arial" w:hAnsi="Arial" w:cs="Arial"/>
          <w:color w:val="000000"/>
        </w:rPr>
        <w:t xml:space="preserve"> were grante</w:t>
      </w:r>
      <w:r w:rsidR="00924011">
        <w:rPr>
          <w:rStyle w:val="s2"/>
          <w:rFonts w:ascii="Arial" w:hAnsi="Arial" w:cs="Arial"/>
          <w:color w:val="000000"/>
        </w:rPr>
        <w:t>d.</w:t>
      </w:r>
    </w:p>
    <w:p w:rsidR="005C5836" w:rsidRDefault="005C5836" w:rsidP="00230110">
      <w:pPr>
        <w:pStyle w:val="p3"/>
        <w:spacing w:before="0" w:beforeAutospacing="0" w:after="0" w:afterAutospacing="0" w:line="360" w:lineRule="auto"/>
        <w:jc w:val="both"/>
        <w:rPr>
          <w:rStyle w:val="s2"/>
          <w:rFonts w:ascii="Arial" w:hAnsi="Arial" w:cs="Arial"/>
          <w:color w:val="000000"/>
        </w:rPr>
      </w:pPr>
    </w:p>
    <w:p w:rsidR="0014130B" w:rsidRDefault="005C5836" w:rsidP="00230110">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 xml:space="preserve"> </w:t>
      </w:r>
    </w:p>
    <w:p w:rsidR="00230110" w:rsidRDefault="005C5836" w:rsidP="00230110">
      <w:pPr>
        <w:pStyle w:val="p2"/>
        <w:spacing w:before="0" w:beforeAutospacing="0" w:after="0" w:afterAutospacing="0" w:line="360" w:lineRule="auto"/>
        <w:jc w:val="both"/>
        <w:rPr>
          <w:rStyle w:val="s2"/>
          <w:rFonts w:ascii="Arial" w:eastAsia="Times New Roman" w:hAnsi="Arial" w:cs="Arial"/>
          <w:b/>
          <w:color w:val="000000"/>
        </w:rPr>
      </w:pPr>
      <w:r w:rsidRPr="005C5836">
        <w:rPr>
          <w:rStyle w:val="s2"/>
          <w:rFonts w:ascii="Arial" w:eastAsia="Times New Roman" w:hAnsi="Arial" w:cs="Arial"/>
          <w:b/>
          <w:color w:val="000000"/>
        </w:rPr>
        <w:lastRenderedPageBreak/>
        <w:t>WHETHER THE APPLICANTS WOULD SUFFER IRREPARABLE HARM IF THE S18(3) ORDER WAS NOT GRANTED</w:t>
      </w:r>
      <w:r w:rsidR="00031922">
        <w:rPr>
          <w:rStyle w:val="s2"/>
          <w:rFonts w:ascii="Arial" w:eastAsia="Times New Roman" w:hAnsi="Arial" w:cs="Arial"/>
          <w:b/>
          <w:color w:val="000000"/>
        </w:rPr>
        <w:t xml:space="preserve"> AND PROSPECTS OF SUCCESS ON APPEAL</w:t>
      </w:r>
    </w:p>
    <w:p w:rsidR="005C5836" w:rsidRDefault="005C5836" w:rsidP="00230110">
      <w:pPr>
        <w:pStyle w:val="p2"/>
        <w:spacing w:before="0" w:beforeAutospacing="0" w:after="0" w:afterAutospacing="0" w:line="360" w:lineRule="auto"/>
        <w:jc w:val="both"/>
        <w:rPr>
          <w:rStyle w:val="s2"/>
          <w:rFonts w:ascii="Arial" w:eastAsia="Times New Roman" w:hAnsi="Arial" w:cs="Arial"/>
          <w:b/>
          <w:color w:val="000000"/>
        </w:rPr>
      </w:pPr>
    </w:p>
    <w:p w:rsidR="00452091" w:rsidRPr="00452091" w:rsidRDefault="005C5836" w:rsidP="00230110">
      <w:pPr>
        <w:pStyle w:val="p2"/>
        <w:spacing w:before="0" w:beforeAutospacing="0" w:after="0" w:afterAutospacing="0" w:line="360" w:lineRule="auto"/>
        <w:jc w:val="both"/>
        <w:rPr>
          <w:rStyle w:val="s2"/>
          <w:rFonts w:ascii="Arial" w:eastAsia="Times New Roman" w:hAnsi="Arial" w:cs="Arial"/>
          <w:color w:val="000000"/>
        </w:rPr>
      </w:pPr>
      <w:r w:rsidRPr="00452091">
        <w:rPr>
          <w:rStyle w:val="s2"/>
          <w:rFonts w:ascii="Arial" w:eastAsia="Times New Roman" w:hAnsi="Arial" w:cs="Arial"/>
          <w:color w:val="000000"/>
        </w:rPr>
        <w:t>[1</w:t>
      </w:r>
      <w:r w:rsidR="00E3194C">
        <w:rPr>
          <w:rStyle w:val="s2"/>
          <w:rFonts w:ascii="Arial" w:eastAsia="Times New Roman" w:hAnsi="Arial" w:cs="Arial"/>
          <w:color w:val="000000"/>
        </w:rPr>
        <w:t>6</w:t>
      </w:r>
      <w:r w:rsidRPr="00452091">
        <w:rPr>
          <w:rStyle w:val="s2"/>
          <w:rFonts w:ascii="Arial" w:eastAsia="Times New Roman" w:hAnsi="Arial" w:cs="Arial"/>
          <w:color w:val="000000"/>
        </w:rPr>
        <w:t>]</w:t>
      </w:r>
      <w:r w:rsidRPr="00452091">
        <w:rPr>
          <w:rStyle w:val="s2"/>
          <w:rFonts w:ascii="Arial" w:eastAsia="Times New Roman" w:hAnsi="Arial" w:cs="Arial"/>
          <w:color w:val="000000"/>
        </w:rPr>
        <w:tab/>
        <w:t>The applicants contend</w:t>
      </w:r>
      <w:r w:rsidR="00087CF7">
        <w:rPr>
          <w:rStyle w:val="s2"/>
          <w:rFonts w:ascii="Arial" w:eastAsia="Times New Roman" w:hAnsi="Arial" w:cs="Arial"/>
          <w:color w:val="000000"/>
        </w:rPr>
        <w:t>ed</w:t>
      </w:r>
      <w:r w:rsidRPr="00452091">
        <w:rPr>
          <w:rStyle w:val="s2"/>
          <w:rFonts w:ascii="Arial" w:eastAsia="Times New Roman" w:hAnsi="Arial" w:cs="Arial"/>
          <w:color w:val="000000"/>
        </w:rPr>
        <w:t xml:space="preserve"> that they w</w:t>
      </w:r>
      <w:r w:rsidR="00087CF7">
        <w:rPr>
          <w:rStyle w:val="s2"/>
          <w:rFonts w:ascii="Arial" w:eastAsia="Times New Roman" w:hAnsi="Arial" w:cs="Arial"/>
          <w:color w:val="000000"/>
        </w:rPr>
        <w:t>ou</w:t>
      </w:r>
      <w:r w:rsidRPr="00452091">
        <w:rPr>
          <w:rStyle w:val="s2"/>
          <w:rFonts w:ascii="Arial" w:eastAsia="Times New Roman" w:hAnsi="Arial" w:cs="Arial"/>
          <w:color w:val="000000"/>
        </w:rPr>
        <w:t>l</w:t>
      </w:r>
      <w:r w:rsidR="00087CF7">
        <w:rPr>
          <w:rStyle w:val="s2"/>
          <w:rFonts w:ascii="Arial" w:eastAsia="Times New Roman" w:hAnsi="Arial" w:cs="Arial"/>
          <w:color w:val="000000"/>
        </w:rPr>
        <w:t>d</w:t>
      </w:r>
      <w:r w:rsidR="00E3194C">
        <w:rPr>
          <w:rStyle w:val="s2"/>
          <w:rFonts w:ascii="Arial" w:eastAsia="Times New Roman" w:hAnsi="Arial" w:cs="Arial"/>
          <w:color w:val="000000"/>
        </w:rPr>
        <w:t xml:space="preserve"> suffer irreparable harm if the s18(3) order was not granted and the appeal has no prospects of success</w:t>
      </w:r>
      <w:r w:rsidRPr="00452091">
        <w:rPr>
          <w:rStyle w:val="s2"/>
          <w:rFonts w:ascii="Arial" w:eastAsia="Times New Roman" w:hAnsi="Arial" w:cs="Arial"/>
          <w:color w:val="000000"/>
        </w:rPr>
        <w:t>. The respondents contend</w:t>
      </w:r>
      <w:r w:rsidR="00087CF7">
        <w:rPr>
          <w:rStyle w:val="s2"/>
          <w:rFonts w:ascii="Arial" w:eastAsia="Times New Roman" w:hAnsi="Arial" w:cs="Arial"/>
          <w:color w:val="000000"/>
        </w:rPr>
        <w:t>ed</w:t>
      </w:r>
      <w:r w:rsidRPr="00452091">
        <w:rPr>
          <w:rStyle w:val="s2"/>
          <w:rFonts w:ascii="Arial" w:eastAsia="Times New Roman" w:hAnsi="Arial" w:cs="Arial"/>
          <w:color w:val="000000"/>
        </w:rPr>
        <w:t xml:space="preserve"> that the preserved immovable assets remained in their possession since the preservation orders were granted, th</w:t>
      </w:r>
      <w:r w:rsidR="00452091" w:rsidRPr="00452091">
        <w:rPr>
          <w:rStyle w:val="s2"/>
          <w:rFonts w:ascii="Arial" w:eastAsia="Times New Roman" w:hAnsi="Arial" w:cs="Arial"/>
          <w:color w:val="000000"/>
        </w:rPr>
        <w:t>ere ha</w:t>
      </w:r>
      <w:r w:rsidR="00087CF7">
        <w:rPr>
          <w:rStyle w:val="s2"/>
          <w:rFonts w:ascii="Arial" w:eastAsia="Times New Roman" w:hAnsi="Arial" w:cs="Arial"/>
          <w:color w:val="000000"/>
        </w:rPr>
        <w:t>d</w:t>
      </w:r>
      <w:r w:rsidR="00452091" w:rsidRPr="00452091">
        <w:rPr>
          <w:rStyle w:val="s2"/>
          <w:rFonts w:ascii="Arial" w:eastAsia="Times New Roman" w:hAnsi="Arial" w:cs="Arial"/>
          <w:color w:val="000000"/>
        </w:rPr>
        <w:t xml:space="preserve"> not been any change in circumstances, the applicants’ contention that they would suffer irreparable harm if the s18(3) order </w:t>
      </w:r>
      <w:r w:rsidR="00087CF7">
        <w:rPr>
          <w:rStyle w:val="s2"/>
          <w:rFonts w:ascii="Arial" w:eastAsia="Times New Roman" w:hAnsi="Arial" w:cs="Arial"/>
          <w:color w:val="000000"/>
        </w:rPr>
        <w:t>was</w:t>
      </w:r>
      <w:r w:rsidR="00452091" w:rsidRPr="00452091">
        <w:rPr>
          <w:rStyle w:val="s2"/>
          <w:rFonts w:ascii="Arial" w:eastAsia="Times New Roman" w:hAnsi="Arial" w:cs="Arial"/>
          <w:color w:val="000000"/>
        </w:rPr>
        <w:t xml:space="preserve"> not</w:t>
      </w:r>
      <w:r w:rsidR="00452091">
        <w:rPr>
          <w:rStyle w:val="s2"/>
          <w:rFonts w:ascii="Arial" w:eastAsia="Times New Roman" w:hAnsi="Arial" w:cs="Arial"/>
          <w:color w:val="000000"/>
        </w:rPr>
        <w:t xml:space="preserve"> granted lack</w:t>
      </w:r>
      <w:r w:rsidR="00087CF7">
        <w:rPr>
          <w:rStyle w:val="s2"/>
          <w:rFonts w:ascii="Arial" w:eastAsia="Times New Roman" w:hAnsi="Arial" w:cs="Arial"/>
          <w:color w:val="000000"/>
        </w:rPr>
        <w:t>ed</w:t>
      </w:r>
      <w:r w:rsidR="00452091">
        <w:rPr>
          <w:rStyle w:val="s2"/>
          <w:rFonts w:ascii="Arial" w:eastAsia="Times New Roman" w:hAnsi="Arial" w:cs="Arial"/>
          <w:color w:val="000000"/>
        </w:rPr>
        <w:t xml:space="preserve"> a factual basis</w:t>
      </w:r>
      <w:r w:rsidR="00087CF7">
        <w:rPr>
          <w:rStyle w:val="s2"/>
          <w:rFonts w:ascii="Arial" w:eastAsia="Times New Roman" w:hAnsi="Arial" w:cs="Arial"/>
          <w:color w:val="000000"/>
        </w:rPr>
        <w:t xml:space="preserve">. The Ndlovu respondents further contended that </w:t>
      </w:r>
      <w:r w:rsidR="00452091">
        <w:rPr>
          <w:rStyle w:val="s2"/>
          <w:rFonts w:ascii="Arial" w:eastAsia="Times New Roman" w:hAnsi="Arial" w:cs="Arial"/>
          <w:color w:val="000000"/>
        </w:rPr>
        <w:t>if granted, to the</w:t>
      </w:r>
      <w:r w:rsidR="00087CF7">
        <w:rPr>
          <w:rStyle w:val="s2"/>
          <w:rFonts w:ascii="Arial" w:eastAsia="Times New Roman" w:hAnsi="Arial" w:cs="Arial"/>
          <w:color w:val="000000"/>
        </w:rPr>
        <w:t xml:space="preserve">ir </w:t>
      </w:r>
      <w:r w:rsidR="00452091">
        <w:rPr>
          <w:rStyle w:val="s2"/>
          <w:rFonts w:ascii="Arial" w:eastAsia="Times New Roman" w:hAnsi="Arial" w:cs="Arial"/>
          <w:color w:val="000000"/>
        </w:rPr>
        <w:t>prejudice, the s18(3) order would authorise forfeiture of the preserved assets notw</w:t>
      </w:r>
      <w:r w:rsidR="00E3194C">
        <w:rPr>
          <w:rStyle w:val="s2"/>
          <w:rFonts w:ascii="Arial" w:eastAsia="Times New Roman" w:hAnsi="Arial" w:cs="Arial"/>
          <w:color w:val="000000"/>
        </w:rPr>
        <w:t>ithstanding the pending appeal in respect of which they have good prospects of success.</w:t>
      </w:r>
    </w:p>
    <w:p w:rsidR="00452091" w:rsidRDefault="00452091" w:rsidP="00230110">
      <w:pPr>
        <w:pStyle w:val="p2"/>
        <w:spacing w:before="0" w:beforeAutospacing="0" w:after="0" w:afterAutospacing="0" w:line="360" w:lineRule="auto"/>
        <w:jc w:val="both"/>
        <w:rPr>
          <w:rStyle w:val="s2"/>
          <w:rFonts w:ascii="Arial" w:eastAsia="Times New Roman" w:hAnsi="Arial" w:cs="Arial"/>
          <w:color w:val="000000"/>
        </w:rPr>
      </w:pPr>
    </w:p>
    <w:p w:rsidR="00452091" w:rsidRDefault="00452091" w:rsidP="00230110">
      <w:pPr>
        <w:pStyle w:val="p2"/>
        <w:spacing w:before="0" w:beforeAutospacing="0" w:after="0" w:afterAutospacing="0" w:line="360" w:lineRule="auto"/>
        <w:jc w:val="both"/>
        <w:rPr>
          <w:rStyle w:val="s2"/>
          <w:rFonts w:ascii="Arial" w:eastAsia="Times New Roman" w:hAnsi="Arial" w:cs="Arial"/>
          <w:color w:val="000000"/>
        </w:rPr>
      </w:pPr>
      <w:r w:rsidRPr="00452091">
        <w:rPr>
          <w:rStyle w:val="s2"/>
          <w:rFonts w:ascii="Arial" w:eastAsia="Times New Roman" w:hAnsi="Arial" w:cs="Arial"/>
          <w:color w:val="000000"/>
        </w:rPr>
        <w:t>[1</w:t>
      </w:r>
      <w:r w:rsidR="00E3194C">
        <w:rPr>
          <w:rStyle w:val="s2"/>
          <w:rFonts w:ascii="Arial" w:eastAsia="Times New Roman" w:hAnsi="Arial" w:cs="Arial"/>
          <w:color w:val="000000"/>
        </w:rPr>
        <w:t>7</w:t>
      </w:r>
      <w:r w:rsidRPr="00452091">
        <w:rPr>
          <w:rStyle w:val="s2"/>
          <w:rFonts w:ascii="Arial" w:eastAsia="Times New Roman" w:hAnsi="Arial" w:cs="Arial"/>
          <w:color w:val="000000"/>
        </w:rPr>
        <w:t>]</w:t>
      </w:r>
      <w:r>
        <w:rPr>
          <w:rStyle w:val="s2"/>
          <w:rFonts w:ascii="Arial" w:eastAsia="Times New Roman" w:hAnsi="Arial" w:cs="Arial"/>
          <w:color w:val="000000"/>
        </w:rPr>
        <w:tab/>
        <w:t xml:space="preserve">The Ndlovu respondents miss the point. The s18(3) order does not authorise forfeiture of the preserved assets. </w:t>
      </w:r>
      <w:r w:rsidR="00087CF7">
        <w:rPr>
          <w:rStyle w:val="s2"/>
          <w:rFonts w:ascii="Arial" w:eastAsia="Times New Roman" w:hAnsi="Arial" w:cs="Arial"/>
          <w:color w:val="000000"/>
        </w:rPr>
        <w:t xml:space="preserve">Neither does it authorise the execution of the forfeiture injunction which forms part of the 7 June order. </w:t>
      </w:r>
      <w:r>
        <w:rPr>
          <w:rStyle w:val="s2"/>
          <w:rFonts w:ascii="Arial" w:eastAsia="Times New Roman" w:hAnsi="Arial" w:cs="Arial"/>
          <w:color w:val="000000"/>
        </w:rPr>
        <w:t>The forf</w:t>
      </w:r>
      <w:r w:rsidR="00AE7223">
        <w:rPr>
          <w:rStyle w:val="s2"/>
          <w:rFonts w:ascii="Arial" w:eastAsia="Times New Roman" w:hAnsi="Arial" w:cs="Arial"/>
          <w:color w:val="000000"/>
        </w:rPr>
        <w:t>eiture of the preserved assets a</w:t>
      </w:r>
      <w:r>
        <w:rPr>
          <w:rStyle w:val="s2"/>
          <w:rFonts w:ascii="Arial" w:eastAsia="Times New Roman" w:hAnsi="Arial" w:cs="Arial"/>
          <w:color w:val="000000"/>
        </w:rPr>
        <w:t>s provided for in the 7 June order is suspended in terms of s18(1) pending appeal.</w:t>
      </w:r>
      <w:r w:rsidR="00673D86">
        <w:rPr>
          <w:rStyle w:val="s2"/>
          <w:rFonts w:ascii="Arial" w:eastAsia="Times New Roman" w:hAnsi="Arial" w:cs="Arial"/>
          <w:color w:val="000000"/>
        </w:rPr>
        <w:t xml:space="preserve"> Therefore, the applicants </w:t>
      </w:r>
      <w:r w:rsidR="00AE7223">
        <w:rPr>
          <w:rStyle w:val="s2"/>
          <w:rFonts w:ascii="Arial" w:eastAsia="Times New Roman" w:hAnsi="Arial" w:cs="Arial"/>
          <w:color w:val="000000"/>
        </w:rPr>
        <w:t>m</w:t>
      </w:r>
      <w:r w:rsidR="00673D86">
        <w:rPr>
          <w:rStyle w:val="s2"/>
          <w:rFonts w:ascii="Arial" w:eastAsia="Times New Roman" w:hAnsi="Arial" w:cs="Arial"/>
          <w:color w:val="000000"/>
        </w:rPr>
        <w:t>ay not execute the forfeiture order pending appeal.</w:t>
      </w:r>
      <w:r>
        <w:rPr>
          <w:rStyle w:val="s2"/>
          <w:rFonts w:ascii="Arial" w:eastAsia="Times New Roman" w:hAnsi="Arial" w:cs="Arial"/>
          <w:color w:val="000000"/>
        </w:rPr>
        <w:t xml:space="preserve"> </w:t>
      </w:r>
    </w:p>
    <w:p w:rsidR="00452091" w:rsidRDefault="00452091" w:rsidP="00230110">
      <w:pPr>
        <w:pStyle w:val="p2"/>
        <w:spacing w:before="0" w:beforeAutospacing="0" w:after="0" w:afterAutospacing="0" w:line="360" w:lineRule="auto"/>
        <w:jc w:val="both"/>
        <w:rPr>
          <w:rStyle w:val="s2"/>
          <w:rFonts w:ascii="Arial" w:eastAsia="Times New Roman" w:hAnsi="Arial" w:cs="Arial"/>
          <w:color w:val="000000"/>
        </w:rPr>
      </w:pPr>
    </w:p>
    <w:p w:rsidR="00452091" w:rsidRDefault="00452091" w:rsidP="00230110">
      <w:pPr>
        <w:pStyle w:val="p2"/>
        <w:spacing w:before="0" w:beforeAutospacing="0" w:after="0" w:afterAutospacing="0" w:line="360" w:lineRule="auto"/>
        <w:jc w:val="both"/>
        <w:rPr>
          <w:rStyle w:val="s2"/>
          <w:rFonts w:ascii="Arial" w:eastAsia="Times New Roman" w:hAnsi="Arial" w:cs="Arial"/>
          <w:color w:val="000000"/>
        </w:rPr>
      </w:pPr>
      <w:r>
        <w:rPr>
          <w:rStyle w:val="s2"/>
          <w:rFonts w:ascii="Arial" w:eastAsia="Times New Roman" w:hAnsi="Arial" w:cs="Arial"/>
          <w:color w:val="000000"/>
        </w:rPr>
        <w:t>[1</w:t>
      </w:r>
      <w:r w:rsidR="007F7156">
        <w:rPr>
          <w:rStyle w:val="s2"/>
          <w:rFonts w:ascii="Arial" w:eastAsia="Times New Roman" w:hAnsi="Arial" w:cs="Arial"/>
          <w:color w:val="000000"/>
        </w:rPr>
        <w:t>8</w:t>
      </w:r>
      <w:r>
        <w:rPr>
          <w:rStyle w:val="s2"/>
          <w:rFonts w:ascii="Arial" w:eastAsia="Times New Roman" w:hAnsi="Arial" w:cs="Arial"/>
          <w:color w:val="000000"/>
        </w:rPr>
        <w:t>]</w:t>
      </w:r>
      <w:r>
        <w:rPr>
          <w:rStyle w:val="s2"/>
          <w:rFonts w:ascii="Arial" w:eastAsia="Times New Roman" w:hAnsi="Arial" w:cs="Arial"/>
          <w:color w:val="000000"/>
        </w:rPr>
        <w:tab/>
        <w:t>The Ndlovu respondents ha</w:t>
      </w:r>
      <w:r w:rsidR="00031922">
        <w:rPr>
          <w:rStyle w:val="s2"/>
          <w:rFonts w:ascii="Arial" w:eastAsia="Times New Roman" w:hAnsi="Arial" w:cs="Arial"/>
          <w:color w:val="000000"/>
        </w:rPr>
        <w:t>d</w:t>
      </w:r>
      <w:r>
        <w:rPr>
          <w:rStyle w:val="s2"/>
          <w:rFonts w:ascii="Arial" w:eastAsia="Times New Roman" w:hAnsi="Arial" w:cs="Arial"/>
          <w:color w:val="000000"/>
        </w:rPr>
        <w:t xml:space="preserve"> not surrendered </w:t>
      </w:r>
      <w:r w:rsidR="00FB2B16">
        <w:rPr>
          <w:rStyle w:val="s2"/>
          <w:rFonts w:ascii="Arial" w:eastAsia="Times New Roman" w:hAnsi="Arial" w:cs="Arial"/>
          <w:color w:val="000000"/>
        </w:rPr>
        <w:t>some of the</w:t>
      </w:r>
      <w:r w:rsidR="007F7156">
        <w:rPr>
          <w:rStyle w:val="s2"/>
          <w:rFonts w:ascii="Arial" w:eastAsia="Times New Roman" w:hAnsi="Arial" w:cs="Arial"/>
          <w:color w:val="000000"/>
        </w:rPr>
        <w:t xml:space="preserve"> assets subject to the preservation</w:t>
      </w:r>
      <w:r>
        <w:rPr>
          <w:rStyle w:val="s2"/>
          <w:rFonts w:ascii="Arial" w:eastAsia="Times New Roman" w:hAnsi="Arial" w:cs="Arial"/>
          <w:color w:val="000000"/>
        </w:rPr>
        <w:t xml:space="preserve"> order</w:t>
      </w:r>
      <w:r w:rsidR="007F7156">
        <w:rPr>
          <w:rStyle w:val="s2"/>
          <w:rFonts w:ascii="Arial" w:eastAsia="Times New Roman" w:hAnsi="Arial" w:cs="Arial"/>
          <w:color w:val="000000"/>
        </w:rPr>
        <w:t>s</w:t>
      </w:r>
      <w:r>
        <w:rPr>
          <w:rStyle w:val="s2"/>
          <w:rFonts w:ascii="Arial" w:eastAsia="Times New Roman" w:hAnsi="Arial" w:cs="Arial"/>
          <w:color w:val="000000"/>
        </w:rPr>
        <w:t xml:space="preserve"> to the </w:t>
      </w:r>
      <w:r w:rsidRPr="007F7156">
        <w:rPr>
          <w:rStyle w:val="s2"/>
          <w:rFonts w:ascii="Arial" w:eastAsia="Times New Roman" w:hAnsi="Arial" w:cs="Arial"/>
          <w:i/>
          <w:color w:val="000000"/>
        </w:rPr>
        <w:t>curator bonis.</w:t>
      </w:r>
      <w:r>
        <w:rPr>
          <w:rStyle w:val="s2"/>
          <w:rFonts w:ascii="Arial" w:eastAsia="Times New Roman" w:hAnsi="Arial" w:cs="Arial"/>
          <w:color w:val="000000"/>
        </w:rPr>
        <w:t xml:space="preserve"> </w:t>
      </w:r>
      <w:r w:rsidR="00FB2B16" w:rsidRPr="00230110">
        <w:rPr>
          <w:rStyle w:val="s2"/>
          <w:rFonts w:ascii="Arial" w:hAnsi="Arial" w:cs="Arial"/>
          <w:color w:val="000000"/>
        </w:rPr>
        <w:t xml:space="preserve">Assets yet to be entrusted to the </w:t>
      </w:r>
      <w:r w:rsidR="00FB2B16" w:rsidRPr="00FB2B16">
        <w:rPr>
          <w:rStyle w:val="s2"/>
          <w:rFonts w:ascii="Arial" w:hAnsi="Arial" w:cs="Arial"/>
          <w:i/>
          <w:color w:val="000000"/>
        </w:rPr>
        <w:t>curator bonis</w:t>
      </w:r>
      <w:r w:rsidR="00FB2B16" w:rsidRPr="00230110">
        <w:rPr>
          <w:rStyle w:val="s2"/>
          <w:rFonts w:ascii="Arial" w:hAnsi="Arial" w:cs="Arial"/>
          <w:color w:val="000000"/>
        </w:rPr>
        <w:t xml:space="preserve"> are four immovable properties owned by Zaisan and Scania tru</w:t>
      </w:r>
      <w:r w:rsidR="00031922">
        <w:rPr>
          <w:rStyle w:val="s2"/>
          <w:rFonts w:ascii="Arial" w:hAnsi="Arial" w:cs="Arial"/>
          <w:color w:val="000000"/>
        </w:rPr>
        <w:t>cks owned by</w:t>
      </w:r>
      <w:r w:rsidR="00625EB5">
        <w:rPr>
          <w:rStyle w:val="s2"/>
          <w:rFonts w:ascii="Arial" w:hAnsi="Arial" w:cs="Arial"/>
          <w:color w:val="000000"/>
        </w:rPr>
        <w:t xml:space="preserve"> Akanni</w:t>
      </w:r>
      <w:r w:rsidR="00031922">
        <w:rPr>
          <w:rStyle w:val="s2"/>
          <w:rFonts w:ascii="Arial" w:hAnsi="Arial" w:cs="Arial"/>
          <w:color w:val="000000"/>
        </w:rPr>
        <w:t>. The SIU had</w:t>
      </w:r>
      <w:r w:rsidR="00FB2B16" w:rsidRPr="00230110">
        <w:rPr>
          <w:rStyle w:val="s2"/>
          <w:rFonts w:ascii="Arial" w:hAnsi="Arial" w:cs="Arial"/>
          <w:color w:val="000000"/>
        </w:rPr>
        <w:t xml:space="preserve"> not been able to trace these assets. </w:t>
      </w:r>
      <w:r>
        <w:rPr>
          <w:rStyle w:val="s2"/>
          <w:rFonts w:ascii="Arial" w:eastAsia="Times New Roman" w:hAnsi="Arial" w:cs="Arial"/>
          <w:color w:val="000000"/>
        </w:rPr>
        <w:t>As a result, the</w:t>
      </w:r>
      <w:r w:rsidR="00673D86">
        <w:rPr>
          <w:rStyle w:val="s2"/>
          <w:rFonts w:ascii="Arial" w:eastAsia="Times New Roman" w:hAnsi="Arial" w:cs="Arial"/>
          <w:color w:val="000000"/>
        </w:rPr>
        <w:t xml:space="preserve"> Ndlovu respondents</w:t>
      </w:r>
      <w:r>
        <w:rPr>
          <w:rStyle w:val="s2"/>
          <w:rFonts w:ascii="Arial" w:eastAsia="Times New Roman" w:hAnsi="Arial" w:cs="Arial"/>
          <w:color w:val="000000"/>
        </w:rPr>
        <w:t xml:space="preserve"> </w:t>
      </w:r>
      <w:r w:rsidR="00673D86">
        <w:rPr>
          <w:rStyle w:val="s2"/>
          <w:rFonts w:ascii="Arial" w:eastAsia="Times New Roman" w:hAnsi="Arial" w:cs="Arial"/>
          <w:color w:val="000000"/>
        </w:rPr>
        <w:t xml:space="preserve">were </w:t>
      </w:r>
      <w:r w:rsidR="00FB2B16">
        <w:rPr>
          <w:rStyle w:val="s2"/>
          <w:rFonts w:ascii="Arial" w:eastAsia="Times New Roman" w:hAnsi="Arial" w:cs="Arial"/>
          <w:color w:val="000000"/>
        </w:rPr>
        <w:t xml:space="preserve">frustrating the very purpose of the preservation orders. They </w:t>
      </w:r>
      <w:r w:rsidR="00673D86">
        <w:rPr>
          <w:rStyle w:val="s2"/>
          <w:rFonts w:ascii="Arial" w:eastAsia="Times New Roman" w:hAnsi="Arial" w:cs="Arial"/>
          <w:color w:val="000000"/>
        </w:rPr>
        <w:t>were</w:t>
      </w:r>
      <w:r>
        <w:rPr>
          <w:rStyle w:val="s2"/>
          <w:rFonts w:ascii="Arial" w:eastAsia="Times New Roman" w:hAnsi="Arial" w:cs="Arial"/>
          <w:color w:val="000000"/>
        </w:rPr>
        <w:t xml:space="preserve"> in contempt of the relevant preservation orders and d</w:t>
      </w:r>
      <w:r w:rsidR="00673D86">
        <w:rPr>
          <w:rStyle w:val="s2"/>
          <w:rFonts w:ascii="Arial" w:eastAsia="Times New Roman" w:hAnsi="Arial" w:cs="Arial"/>
          <w:color w:val="000000"/>
        </w:rPr>
        <w:t>id</w:t>
      </w:r>
      <w:r>
        <w:rPr>
          <w:rStyle w:val="s2"/>
          <w:rFonts w:ascii="Arial" w:eastAsia="Times New Roman" w:hAnsi="Arial" w:cs="Arial"/>
          <w:color w:val="000000"/>
        </w:rPr>
        <w:t xml:space="preserve"> not stand before this Tribunal with clean hands. </w:t>
      </w:r>
    </w:p>
    <w:p w:rsidR="005C5836" w:rsidRPr="00452091" w:rsidRDefault="00452091" w:rsidP="00230110">
      <w:pPr>
        <w:pStyle w:val="p2"/>
        <w:spacing w:before="0" w:beforeAutospacing="0" w:after="0" w:afterAutospacing="0" w:line="360" w:lineRule="auto"/>
        <w:jc w:val="both"/>
        <w:rPr>
          <w:rFonts w:ascii="Arial" w:hAnsi="Arial" w:cs="Arial"/>
          <w:color w:val="000000"/>
        </w:rPr>
      </w:pPr>
      <w:r>
        <w:rPr>
          <w:rStyle w:val="s2"/>
          <w:rFonts w:ascii="Arial" w:eastAsia="Times New Roman" w:hAnsi="Arial" w:cs="Arial"/>
          <w:color w:val="000000"/>
        </w:rPr>
        <w:t xml:space="preserve"> </w:t>
      </w:r>
      <w:r w:rsidRPr="00452091">
        <w:rPr>
          <w:rStyle w:val="s2"/>
          <w:rFonts w:ascii="Arial" w:eastAsia="Times New Roman" w:hAnsi="Arial" w:cs="Arial"/>
          <w:color w:val="000000"/>
        </w:rPr>
        <w:tab/>
        <w:t xml:space="preserve"> </w:t>
      </w:r>
      <w:r w:rsidR="005C5836" w:rsidRPr="00452091">
        <w:rPr>
          <w:rStyle w:val="s2"/>
          <w:rFonts w:ascii="Arial" w:eastAsia="Times New Roman" w:hAnsi="Arial" w:cs="Arial"/>
          <w:color w:val="000000"/>
        </w:rPr>
        <w:t xml:space="preserve"> </w:t>
      </w:r>
    </w:p>
    <w:p w:rsidR="00230110" w:rsidRPr="003944A7" w:rsidRDefault="00452091" w:rsidP="003944A7">
      <w:pPr>
        <w:pStyle w:val="p3"/>
        <w:spacing w:before="0" w:beforeAutospacing="0" w:after="0" w:afterAutospacing="0" w:line="360" w:lineRule="auto"/>
        <w:jc w:val="both"/>
        <w:rPr>
          <w:rFonts w:ascii="Arial" w:hAnsi="Arial" w:cs="Arial"/>
          <w:i/>
          <w:color w:val="000000"/>
        </w:rPr>
      </w:pPr>
      <w:r>
        <w:rPr>
          <w:rStyle w:val="s2"/>
          <w:rFonts w:ascii="Arial" w:hAnsi="Arial" w:cs="Arial"/>
          <w:color w:val="000000"/>
        </w:rPr>
        <w:t>[</w:t>
      </w:r>
      <w:r w:rsidR="007F7156">
        <w:rPr>
          <w:rStyle w:val="s2"/>
          <w:rFonts w:ascii="Arial" w:hAnsi="Arial" w:cs="Arial"/>
          <w:color w:val="000000"/>
        </w:rPr>
        <w:t>19</w:t>
      </w:r>
      <w:r>
        <w:rPr>
          <w:rStyle w:val="s2"/>
          <w:rFonts w:ascii="Arial" w:hAnsi="Arial" w:cs="Arial"/>
          <w:color w:val="000000"/>
        </w:rPr>
        <w:t>]</w:t>
      </w:r>
      <w:r>
        <w:rPr>
          <w:rStyle w:val="s2"/>
          <w:rFonts w:ascii="Arial" w:hAnsi="Arial" w:cs="Arial"/>
          <w:color w:val="000000"/>
        </w:rPr>
        <w:tab/>
        <w:t>The purpose of the preservation orders</w:t>
      </w:r>
      <w:r w:rsidR="00230110" w:rsidRPr="00230110">
        <w:rPr>
          <w:rStyle w:val="s2"/>
          <w:rFonts w:ascii="Arial" w:hAnsi="Arial" w:cs="Arial"/>
          <w:color w:val="000000"/>
        </w:rPr>
        <w:t xml:space="preserve"> is to preserve specifi</w:t>
      </w:r>
      <w:r w:rsidR="007F7156">
        <w:rPr>
          <w:rStyle w:val="s2"/>
          <w:rFonts w:ascii="Arial" w:hAnsi="Arial" w:cs="Arial"/>
          <w:color w:val="000000"/>
        </w:rPr>
        <w:t>c</w:t>
      </w:r>
      <w:r w:rsidR="00230110" w:rsidRPr="00230110">
        <w:rPr>
          <w:rStyle w:val="s2"/>
          <w:rFonts w:ascii="Arial" w:hAnsi="Arial" w:cs="Arial"/>
          <w:color w:val="000000"/>
        </w:rPr>
        <w:t xml:space="preserve"> assets belonging to several Ndlovu respondents to protect the</w:t>
      </w:r>
      <w:r>
        <w:rPr>
          <w:rStyle w:val="s2"/>
          <w:rFonts w:ascii="Arial" w:hAnsi="Arial" w:cs="Arial"/>
          <w:color w:val="000000"/>
        </w:rPr>
        <w:t>m</w:t>
      </w:r>
      <w:r w:rsidR="00230110" w:rsidRPr="00230110">
        <w:rPr>
          <w:rStyle w:val="s2"/>
          <w:rFonts w:ascii="Arial" w:hAnsi="Arial" w:cs="Arial"/>
          <w:color w:val="000000"/>
        </w:rPr>
        <w:t xml:space="preserve"> against damage or loss of value pending their final forfeiture and to appoint a </w:t>
      </w:r>
      <w:r w:rsidR="00230110" w:rsidRPr="00452091">
        <w:rPr>
          <w:rStyle w:val="s2"/>
          <w:rFonts w:ascii="Arial" w:hAnsi="Arial" w:cs="Arial"/>
          <w:i/>
          <w:color w:val="000000"/>
        </w:rPr>
        <w:t>curator bonis</w:t>
      </w:r>
      <w:r w:rsidR="00230110" w:rsidRPr="00230110">
        <w:rPr>
          <w:rStyle w:val="s2"/>
          <w:rFonts w:ascii="Arial" w:hAnsi="Arial" w:cs="Arial"/>
          <w:color w:val="000000"/>
        </w:rPr>
        <w:t xml:space="preserve"> </w:t>
      </w:r>
      <w:r>
        <w:rPr>
          <w:rStyle w:val="s2"/>
          <w:rFonts w:ascii="Arial" w:hAnsi="Arial" w:cs="Arial"/>
          <w:color w:val="000000"/>
        </w:rPr>
        <w:t>to give effect to the preservation orders. The preservation orders will</w:t>
      </w:r>
      <w:r w:rsidR="00230110" w:rsidRPr="00230110">
        <w:rPr>
          <w:rStyle w:val="s2"/>
          <w:rFonts w:ascii="Arial" w:hAnsi="Arial" w:cs="Arial"/>
          <w:color w:val="000000"/>
        </w:rPr>
        <w:t xml:space="preserve"> endure pending final determination </w:t>
      </w:r>
      <w:r w:rsidR="00230110" w:rsidRPr="00230110">
        <w:rPr>
          <w:rStyle w:val="s2"/>
          <w:rFonts w:ascii="Arial" w:hAnsi="Arial" w:cs="Arial"/>
          <w:color w:val="000000"/>
        </w:rPr>
        <w:lastRenderedPageBreak/>
        <w:t>of the review application. </w:t>
      </w:r>
      <w:r w:rsidR="003944A7">
        <w:rPr>
          <w:rStyle w:val="s2"/>
          <w:rFonts w:ascii="Arial" w:hAnsi="Arial" w:cs="Arial"/>
          <w:color w:val="000000"/>
        </w:rPr>
        <w:t xml:space="preserve">The </w:t>
      </w:r>
      <w:r w:rsidR="003944A7" w:rsidRPr="00230110">
        <w:rPr>
          <w:rStyle w:val="s2"/>
          <w:rFonts w:ascii="Arial" w:hAnsi="Arial" w:cs="Arial"/>
          <w:color w:val="000000"/>
        </w:rPr>
        <w:t>Ndlovu respondents</w:t>
      </w:r>
      <w:r w:rsidR="003944A7">
        <w:rPr>
          <w:rStyle w:val="s2"/>
          <w:rFonts w:ascii="Arial" w:hAnsi="Arial" w:cs="Arial"/>
          <w:color w:val="000000"/>
        </w:rPr>
        <w:t xml:space="preserve"> have no legal basis to resist the preserved assets being placed in the custody and control of the </w:t>
      </w:r>
      <w:r w:rsidR="003944A7" w:rsidRPr="003944A7">
        <w:rPr>
          <w:rStyle w:val="s2"/>
          <w:rFonts w:ascii="Arial" w:hAnsi="Arial" w:cs="Arial"/>
          <w:i/>
          <w:color w:val="000000"/>
        </w:rPr>
        <w:t>curator bonis.</w:t>
      </w:r>
    </w:p>
    <w:p w:rsidR="00230110" w:rsidRPr="00230110" w:rsidRDefault="00230110" w:rsidP="00230110">
      <w:pPr>
        <w:pStyle w:val="p2"/>
        <w:spacing w:before="0" w:beforeAutospacing="0" w:after="0" w:afterAutospacing="0" w:line="360" w:lineRule="auto"/>
        <w:jc w:val="both"/>
        <w:rPr>
          <w:rFonts w:ascii="Arial" w:hAnsi="Arial" w:cs="Arial"/>
          <w:color w:val="000000"/>
        </w:rPr>
      </w:pPr>
    </w:p>
    <w:p w:rsidR="003944A7" w:rsidRDefault="00452091" w:rsidP="00230110">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[2</w:t>
      </w:r>
      <w:r w:rsidR="007F7156">
        <w:rPr>
          <w:rStyle w:val="s2"/>
          <w:rFonts w:ascii="Arial" w:hAnsi="Arial" w:cs="Arial"/>
          <w:color w:val="000000"/>
        </w:rPr>
        <w:t>0</w:t>
      </w:r>
      <w:r>
        <w:rPr>
          <w:rStyle w:val="s2"/>
          <w:rFonts w:ascii="Arial" w:hAnsi="Arial" w:cs="Arial"/>
          <w:color w:val="000000"/>
        </w:rPr>
        <w:t>]</w:t>
      </w:r>
      <w:r>
        <w:rPr>
          <w:rStyle w:val="s2"/>
          <w:rFonts w:ascii="Arial" w:hAnsi="Arial" w:cs="Arial"/>
          <w:color w:val="000000"/>
        </w:rPr>
        <w:tab/>
      </w:r>
      <w:r w:rsidR="00FB2B16">
        <w:rPr>
          <w:rStyle w:val="s2"/>
          <w:rFonts w:ascii="Arial" w:hAnsi="Arial" w:cs="Arial"/>
          <w:color w:val="000000"/>
        </w:rPr>
        <w:t>The preservation orders</w:t>
      </w:r>
      <w:r w:rsidR="00230110" w:rsidRPr="00230110">
        <w:rPr>
          <w:rStyle w:val="s2"/>
          <w:rFonts w:ascii="Arial" w:hAnsi="Arial" w:cs="Arial"/>
          <w:color w:val="000000"/>
        </w:rPr>
        <w:t xml:space="preserve"> were granted because the applicants established</w:t>
      </w:r>
      <w:r w:rsidR="00673D86">
        <w:rPr>
          <w:rStyle w:val="s2"/>
          <w:rFonts w:ascii="Arial" w:hAnsi="Arial" w:cs="Arial"/>
          <w:color w:val="000000"/>
        </w:rPr>
        <w:t xml:space="preserve"> </w:t>
      </w:r>
      <w:r w:rsidR="00230110" w:rsidRPr="00230110">
        <w:rPr>
          <w:rStyle w:val="s4"/>
          <w:rFonts w:ascii="Arial" w:hAnsi="Arial" w:cs="Arial"/>
          <w:i/>
          <w:iCs/>
          <w:color w:val="000000"/>
        </w:rPr>
        <w:t>prima facie</w:t>
      </w:r>
      <w:r w:rsidR="00230110" w:rsidRPr="00230110">
        <w:rPr>
          <w:rStyle w:val="s2"/>
          <w:rFonts w:ascii="Arial" w:hAnsi="Arial" w:cs="Arial"/>
          <w:color w:val="000000"/>
        </w:rPr>
        <w:t> </w:t>
      </w:r>
      <w:r w:rsidR="00673D86">
        <w:rPr>
          <w:rStyle w:val="s2"/>
          <w:rFonts w:ascii="Arial" w:hAnsi="Arial" w:cs="Arial"/>
          <w:color w:val="000000"/>
        </w:rPr>
        <w:t xml:space="preserve">that </w:t>
      </w:r>
      <w:r w:rsidR="00230110" w:rsidRPr="00230110">
        <w:rPr>
          <w:rStyle w:val="s2"/>
          <w:rFonts w:ascii="Arial" w:hAnsi="Arial" w:cs="Arial"/>
          <w:color w:val="000000"/>
        </w:rPr>
        <w:t>the preserved assets were acquired from fraudulent tenders and were therefore proceeds of unlawful activities. Very serious allegations of procurement fraud are made against Mr Ndlovu and several Ndlovu respondents in the review application. The</w:t>
      </w:r>
      <w:r w:rsidR="005468FC">
        <w:rPr>
          <w:rStyle w:val="s2"/>
          <w:rFonts w:ascii="Arial" w:hAnsi="Arial" w:cs="Arial"/>
          <w:color w:val="000000"/>
        </w:rPr>
        <w:t xml:space="preserve">y </w:t>
      </w:r>
      <w:r w:rsidR="007F7156">
        <w:rPr>
          <w:rStyle w:val="s2"/>
          <w:rFonts w:ascii="Arial" w:hAnsi="Arial" w:cs="Arial"/>
          <w:color w:val="000000"/>
        </w:rPr>
        <w:t xml:space="preserve">did not </w:t>
      </w:r>
      <w:r w:rsidR="00230110" w:rsidRPr="00230110">
        <w:rPr>
          <w:rStyle w:val="s2"/>
          <w:rFonts w:ascii="Arial" w:hAnsi="Arial" w:cs="Arial"/>
          <w:color w:val="000000"/>
        </w:rPr>
        <w:t>dispute the</w:t>
      </w:r>
      <w:r w:rsidR="007F7156">
        <w:rPr>
          <w:rStyle w:val="s2"/>
          <w:rFonts w:ascii="Arial" w:hAnsi="Arial" w:cs="Arial"/>
          <w:color w:val="000000"/>
        </w:rPr>
        <w:t xml:space="preserve"> allegations</w:t>
      </w:r>
      <w:r w:rsidR="00230110" w:rsidRPr="00230110">
        <w:rPr>
          <w:rStyle w:val="s2"/>
          <w:rFonts w:ascii="Arial" w:hAnsi="Arial" w:cs="Arial"/>
          <w:color w:val="000000"/>
        </w:rPr>
        <w:t xml:space="preserve">. </w:t>
      </w:r>
      <w:r w:rsidR="003944A7">
        <w:rPr>
          <w:rStyle w:val="s2"/>
          <w:rFonts w:ascii="Arial" w:hAnsi="Arial" w:cs="Arial"/>
          <w:color w:val="000000"/>
        </w:rPr>
        <w:t>T</w:t>
      </w:r>
      <w:r w:rsidR="00230110" w:rsidRPr="00230110">
        <w:rPr>
          <w:rStyle w:val="s2"/>
          <w:rFonts w:ascii="Arial" w:hAnsi="Arial" w:cs="Arial"/>
          <w:color w:val="000000"/>
        </w:rPr>
        <w:t>he</w:t>
      </w:r>
      <w:r w:rsidR="003944A7">
        <w:rPr>
          <w:rStyle w:val="s2"/>
          <w:rFonts w:ascii="Arial" w:hAnsi="Arial" w:cs="Arial"/>
          <w:color w:val="000000"/>
        </w:rPr>
        <w:t>y</w:t>
      </w:r>
      <w:r w:rsidR="00230110" w:rsidRPr="00230110">
        <w:rPr>
          <w:rStyle w:val="s2"/>
          <w:rFonts w:ascii="Arial" w:hAnsi="Arial" w:cs="Arial"/>
          <w:color w:val="000000"/>
        </w:rPr>
        <w:t xml:space="preserve"> mainly disput</w:t>
      </w:r>
      <w:r w:rsidR="003944A7">
        <w:rPr>
          <w:rStyle w:val="s2"/>
          <w:rFonts w:ascii="Arial" w:hAnsi="Arial" w:cs="Arial"/>
          <w:color w:val="000000"/>
        </w:rPr>
        <w:t xml:space="preserve">ed </w:t>
      </w:r>
      <w:r w:rsidR="00230110" w:rsidRPr="00230110">
        <w:rPr>
          <w:rStyle w:val="s2"/>
          <w:rFonts w:ascii="Arial" w:hAnsi="Arial" w:cs="Arial"/>
          <w:color w:val="000000"/>
        </w:rPr>
        <w:t>the applicants</w:t>
      </w:r>
      <w:r w:rsidR="005468FC">
        <w:rPr>
          <w:rStyle w:val="s2"/>
          <w:rFonts w:ascii="Arial" w:hAnsi="Arial" w:cs="Arial"/>
          <w:color w:val="000000"/>
        </w:rPr>
        <w:t>’</w:t>
      </w:r>
      <w:r w:rsidR="007F7156">
        <w:rPr>
          <w:rStyle w:val="s2"/>
          <w:rFonts w:ascii="Arial" w:hAnsi="Arial" w:cs="Arial"/>
          <w:color w:val="000000"/>
        </w:rPr>
        <w:t xml:space="preserve"> entitlement to</w:t>
      </w:r>
      <w:r w:rsidR="00230110" w:rsidRPr="00230110">
        <w:rPr>
          <w:rStyle w:val="s2"/>
          <w:rFonts w:ascii="Arial" w:hAnsi="Arial" w:cs="Arial"/>
          <w:color w:val="000000"/>
        </w:rPr>
        <w:t xml:space="preserve"> a</w:t>
      </w:r>
      <w:r w:rsidR="007F7156">
        <w:rPr>
          <w:rStyle w:val="s2"/>
          <w:rFonts w:ascii="Arial" w:hAnsi="Arial" w:cs="Arial"/>
          <w:color w:val="000000"/>
        </w:rPr>
        <w:t xml:space="preserve"> </w:t>
      </w:r>
      <w:r w:rsidR="00230110" w:rsidRPr="00230110">
        <w:rPr>
          <w:rStyle w:val="s2"/>
          <w:rFonts w:ascii="Arial" w:hAnsi="Arial" w:cs="Arial"/>
          <w:color w:val="000000"/>
        </w:rPr>
        <w:t>forfeiture</w:t>
      </w:r>
      <w:r w:rsidR="007F7156">
        <w:rPr>
          <w:rStyle w:val="s2"/>
          <w:rFonts w:ascii="Arial" w:hAnsi="Arial" w:cs="Arial"/>
          <w:color w:val="000000"/>
        </w:rPr>
        <w:t xml:space="preserve"> order</w:t>
      </w:r>
      <w:r w:rsidR="00230110" w:rsidRPr="00230110">
        <w:rPr>
          <w:rStyle w:val="s2"/>
          <w:rFonts w:ascii="Arial" w:hAnsi="Arial" w:cs="Arial"/>
          <w:color w:val="000000"/>
        </w:rPr>
        <w:t>. They conten</w:t>
      </w:r>
      <w:r w:rsidR="00673D86">
        <w:rPr>
          <w:rStyle w:val="s2"/>
          <w:rFonts w:ascii="Arial" w:hAnsi="Arial" w:cs="Arial"/>
          <w:color w:val="000000"/>
        </w:rPr>
        <w:t>d</w:t>
      </w:r>
      <w:r w:rsidR="003944A7">
        <w:rPr>
          <w:rStyle w:val="s2"/>
          <w:rFonts w:ascii="Arial" w:hAnsi="Arial" w:cs="Arial"/>
          <w:color w:val="000000"/>
        </w:rPr>
        <w:t>ed</w:t>
      </w:r>
      <w:r w:rsidR="00673D86">
        <w:rPr>
          <w:rStyle w:val="s2"/>
          <w:rFonts w:ascii="Arial" w:hAnsi="Arial" w:cs="Arial"/>
          <w:color w:val="000000"/>
        </w:rPr>
        <w:t xml:space="preserve"> </w:t>
      </w:r>
      <w:r w:rsidR="00230110" w:rsidRPr="00230110">
        <w:rPr>
          <w:rStyle w:val="s2"/>
          <w:rFonts w:ascii="Arial" w:hAnsi="Arial" w:cs="Arial"/>
          <w:color w:val="000000"/>
        </w:rPr>
        <w:t>for the right to a statement and debatement of account to establish the profits the Ndlovu respondents derived from the impugned tenders. </w:t>
      </w:r>
      <w:r w:rsidR="005468FC">
        <w:rPr>
          <w:rStyle w:val="s2"/>
          <w:rFonts w:ascii="Arial" w:hAnsi="Arial" w:cs="Arial"/>
          <w:color w:val="000000"/>
        </w:rPr>
        <w:t>They contend</w:t>
      </w:r>
      <w:r w:rsidR="003944A7">
        <w:rPr>
          <w:rStyle w:val="s2"/>
          <w:rFonts w:ascii="Arial" w:hAnsi="Arial" w:cs="Arial"/>
          <w:color w:val="000000"/>
        </w:rPr>
        <w:t>ed</w:t>
      </w:r>
      <w:r w:rsidR="005468FC">
        <w:rPr>
          <w:rStyle w:val="s2"/>
          <w:rFonts w:ascii="Arial" w:hAnsi="Arial" w:cs="Arial"/>
          <w:color w:val="000000"/>
        </w:rPr>
        <w:t xml:space="preserve"> that they could not prove their expenses because the relevant documents have been seized as part of the investigation conducted by the </w:t>
      </w:r>
      <w:r w:rsidR="00673D86">
        <w:rPr>
          <w:rStyle w:val="s2"/>
          <w:rFonts w:ascii="Arial" w:hAnsi="Arial" w:cs="Arial"/>
          <w:color w:val="000000"/>
        </w:rPr>
        <w:t xml:space="preserve">South African Police Services’ Directorate for Priority Crime Investigation. </w:t>
      </w:r>
    </w:p>
    <w:p w:rsidR="003944A7" w:rsidRDefault="003944A7" w:rsidP="00230110">
      <w:pPr>
        <w:pStyle w:val="p3"/>
        <w:spacing w:before="0" w:beforeAutospacing="0" w:after="0" w:afterAutospacing="0" w:line="360" w:lineRule="auto"/>
        <w:jc w:val="both"/>
        <w:rPr>
          <w:rStyle w:val="s2"/>
          <w:rFonts w:ascii="Arial" w:hAnsi="Arial" w:cs="Arial"/>
          <w:color w:val="000000"/>
        </w:rPr>
      </w:pPr>
    </w:p>
    <w:p w:rsidR="003944A7" w:rsidRPr="00230110" w:rsidRDefault="007F7156" w:rsidP="003944A7">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[21</w:t>
      </w:r>
      <w:r w:rsidR="003944A7">
        <w:rPr>
          <w:rStyle w:val="s2"/>
          <w:rFonts w:ascii="Arial" w:hAnsi="Arial" w:cs="Arial"/>
          <w:color w:val="000000"/>
        </w:rPr>
        <w:t>]</w:t>
      </w:r>
      <w:r w:rsidR="003944A7">
        <w:rPr>
          <w:rStyle w:val="s2"/>
          <w:rFonts w:ascii="Arial" w:hAnsi="Arial" w:cs="Arial"/>
          <w:color w:val="000000"/>
        </w:rPr>
        <w:tab/>
      </w:r>
      <w:r w:rsidR="003944A7" w:rsidRPr="00230110">
        <w:rPr>
          <w:rStyle w:val="s2"/>
          <w:rFonts w:ascii="Arial" w:hAnsi="Arial" w:cs="Arial"/>
          <w:color w:val="000000"/>
        </w:rPr>
        <w:t xml:space="preserve">The dispute regarding the delivery or non-delivery of the procured items was determined in favour of the Ndlovu respondents. Hence, the costs associated with the acquisition of these items were deducted from the amount the relevant Ndlovu </w:t>
      </w:r>
      <w:r w:rsidR="003944A7">
        <w:rPr>
          <w:rStyle w:val="s2"/>
          <w:rFonts w:ascii="Arial" w:hAnsi="Arial" w:cs="Arial"/>
          <w:color w:val="000000"/>
        </w:rPr>
        <w:t xml:space="preserve">respondents </w:t>
      </w:r>
      <w:r w:rsidR="003944A7" w:rsidRPr="00230110">
        <w:rPr>
          <w:rStyle w:val="s2"/>
          <w:rFonts w:ascii="Arial" w:hAnsi="Arial" w:cs="Arial"/>
          <w:color w:val="000000"/>
        </w:rPr>
        <w:t xml:space="preserve">were ordered to </w:t>
      </w:r>
      <w:r w:rsidR="003944A7">
        <w:rPr>
          <w:rStyle w:val="s2"/>
          <w:rFonts w:ascii="Arial" w:hAnsi="Arial" w:cs="Arial"/>
          <w:color w:val="000000"/>
        </w:rPr>
        <w:t xml:space="preserve">forfeit </w:t>
      </w:r>
      <w:r w:rsidR="003944A7" w:rsidRPr="00230110">
        <w:rPr>
          <w:rStyle w:val="s2"/>
          <w:rFonts w:ascii="Arial" w:hAnsi="Arial" w:cs="Arial"/>
          <w:color w:val="000000"/>
        </w:rPr>
        <w:t>to the applicants in terms of the 7 June order. </w:t>
      </w:r>
    </w:p>
    <w:p w:rsidR="003944A7" w:rsidRDefault="003944A7" w:rsidP="00230110">
      <w:pPr>
        <w:pStyle w:val="p3"/>
        <w:spacing w:before="0" w:beforeAutospacing="0" w:after="0" w:afterAutospacing="0" w:line="360" w:lineRule="auto"/>
        <w:jc w:val="both"/>
        <w:rPr>
          <w:rStyle w:val="s2"/>
          <w:rFonts w:ascii="Arial" w:hAnsi="Arial" w:cs="Arial"/>
          <w:color w:val="000000"/>
        </w:rPr>
      </w:pPr>
    </w:p>
    <w:p w:rsidR="005468FC" w:rsidRDefault="007F7156" w:rsidP="00230110">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[22</w:t>
      </w:r>
      <w:r w:rsidR="003944A7">
        <w:rPr>
          <w:rStyle w:val="s2"/>
          <w:rFonts w:ascii="Arial" w:hAnsi="Arial" w:cs="Arial"/>
          <w:color w:val="000000"/>
        </w:rPr>
        <w:t>]</w:t>
      </w:r>
      <w:r w:rsidR="003944A7">
        <w:rPr>
          <w:rStyle w:val="s2"/>
          <w:rFonts w:ascii="Arial" w:hAnsi="Arial" w:cs="Arial"/>
          <w:color w:val="000000"/>
        </w:rPr>
        <w:tab/>
        <w:t>S</w:t>
      </w:r>
      <w:r w:rsidR="005468FC">
        <w:rPr>
          <w:rStyle w:val="s2"/>
          <w:rFonts w:ascii="Arial" w:hAnsi="Arial" w:cs="Arial"/>
          <w:color w:val="000000"/>
        </w:rPr>
        <w:t xml:space="preserve">ince Mr Ndlovu has not </w:t>
      </w:r>
      <w:r w:rsidR="00230110" w:rsidRPr="00230110">
        <w:rPr>
          <w:rStyle w:val="s2"/>
          <w:rFonts w:ascii="Arial" w:hAnsi="Arial" w:cs="Arial"/>
          <w:color w:val="000000"/>
        </w:rPr>
        <w:t>disputed the allegation that 90% of the proceeds of the tender were for his personal benefit</w:t>
      </w:r>
      <w:r w:rsidR="005468FC">
        <w:rPr>
          <w:rStyle w:val="s2"/>
          <w:rFonts w:ascii="Arial" w:hAnsi="Arial" w:cs="Arial"/>
          <w:color w:val="000000"/>
        </w:rPr>
        <w:t xml:space="preserve"> and not spen</w:t>
      </w:r>
      <w:r w:rsidR="00673D86">
        <w:rPr>
          <w:rStyle w:val="s2"/>
          <w:rFonts w:ascii="Arial" w:hAnsi="Arial" w:cs="Arial"/>
          <w:color w:val="000000"/>
        </w:rPr>
        <w:t>t</w:t>
      </w:r>
      <w:r w:rsidR="005468FC">
        <w:rPr>
          <w:rStyle w:val="s2"/>
          <w:rFonts w:ascii="Arial" w:hAnsi="Arial" w:cs="Arial"/>
          <w:color w:val="000000"/>
        </w:rPr>
        <w:t xml:space="preserve"> to acquire the procured items, </w:t>
      </w:r>
      <w:r w:rsidR="00673D86">
        <w:rPr>
          <w:rStyle w:val="s2"/>
          <w:rFonts w:ascii="Arial" w:hAnsi="Arial" w:cs="Arial"/>
          <w:color w:val="000000"/>
        </w:rPr>
        <w:t>t</w:t>
      </w:r>
      <w:r w:rsidR="005468FC">
        <w:rPr>
          <w:rStyle w:val="s2"/>
          <w:rFonts w:ascii="Arial" w:hAnsi="Arial" w:cs="Arial"/>
          <w:color w:val="000000"/>
        </w:rPr>
        <w:t xml:space="preserve">he pending appeal </w:t>
      </w:r>
      <w:r w:rsidR="003944A7">
        <w:rPr>
          <w:rStyle w:val="s2"/>
          <w:rFonts w:ascii="Arial" w:hAnsi="Arial" w:cs="Arial"/>
          <w:color w:val="000000"/>
        </w:rPr>
        <w:t>may lack a practical effect</w:t>
      </w:r>
      <w:r w:rsidR="00230110" w:rsidRPr="00230110">
        <w:rPr>
          <w:rStyle w:val="s2"/>
          <w:rFonts w:ascii="Arial" w:hAnsi="Arial" w:cs="Arial"/>
          <w:color w:val="000000"/>
        </w:rPr>
        <w:t xml:space="preserve">. </w:t>
      </w:r>
      <w:r w:rsidR="005468FC">
        <w:rPr>
          <w:rStyle w:val="s2"/>
          <w:rFonts w:ascii="Arial" w:hAnsi="Arial" w:cs="Arial"/>
          <w:color w:val="000000"/>
        </w:rPr>
        <w:t>E</w:t>
      </w:r>
      <w:r w:rsidR="00230110" w:rsidRPr="00230110">
        <w:rPr>
          <w:rStyle w:val="s2"/>
          <w:rFonts w:ascii="Arial" w:hAnsi="Arial" w:cs="Arial"/>
          <w:color w:val="000000"/>
        </w:rPr>
        <w:t xml:space="preserve">ven if the court of appeal finds that the Ndlovu respondents are entitled to a statement and debatement of account, </w:t>
      </w:r>
      <w:r w:rsidR="003944A7">
        <w:rPr>
          <w:rStyle w:val="s2"/>
          <w:rFonts w:ascii="Arial" w:hAnsi="Arial" w:cs="Arial"/>
          <w:color w:val="000000"/>
        </w:rPr>
        <w:t xml:space="preserve">there are no prospects that the appeal court will allow him to retain </w:t>
      </w:r>
      <w:r w:rsidR="005468FC">
        <w:rPr>
          <w:rStyle w:val="s2"/>
          <w:rFonts w:ascii="Arial" w:hAnsi="Arial" w:cs="Arial"/>
          <w:color w:val="000000"/>
        </w:rPr>
        <w:t xml:space="preserve">the </w:t>
      </w:r>
      <w:r w:rsidR="00230110" w:rsidRPr="00230110">
        <w:rPr>
          <w:rStyle w:val="s2"/>
          <w:rFonts w:ascii="Arial" w:hAnsi="Arial" w:cs="Arial"/>
          <w:color w:val="000000"/>
        </w:rPr>
        <w:t>benefit</w:t>
      </w:r>
      <w:r>
        <w:rPr>
          <w:rStyle w:val="s2"/>
          <w:rFonts w:ascii="Arial" w:hAnsi="Arial" w:cs="Arial"/>
          <w:color w:val="000000"/>
        </w:rPr>
        <w:t>s</w:t>
      </w:r>
      <w:r w:rsidR="005468FC">
        <w:rPr>
          <w:rStyle w:val="s2"/>
          <w:rFonts w:ascii="Arial" w:hAnsi="Arial" w:cs="Arial"/>
          <w:color w:val="000000"/>
        </w:rPr>
        <w:t xml:space="preserve"> he derived </w:t>
      </w:r>
      <w:r w:rsidR="00230110" w:rsidRPr="00230110">
        <w:rPr>
          <w:rStyle w:val="s2"/>
          <w:rFonts w:ascii="Arial" w:hAnsi="Arial" w:cs="Arial"/>
          <w:color w:val="000000"/>
        </w:rPr>
        <w:t>from the fraudul</w:t>
      </w:r>
      <w:r w:rsidR="003944A7">
        <w:rPr>
          <w:rStyle w:val="s2"/>
          <w:rFonts w:ascii="Arial" w:hAnsi="Arial" w:cs="Arial"/>
          <w:color w:val="000000"/>
        </w:rPr>
        <w:t xml:space="preserve">ent tenders as such benefits </w:t>
      </w:r>
      <w:r w:rsidR="00AE7223">
        <w:rPr>
          <w:rStyle w:val="s2"/>
          <w:rFonts w:ascii="Arial" w:hAnsi="Arial" w:cs="Arial"/>
          <w:color w:val="000000"/>
        </w:rPr>
        <w:t xml:space="preserve">allegedly </w:t>
      </w:r>
      <w:r w:rsidR="003944A7">
        <w:rPr>
          <w:rStyle w:val="s2"/>
          <w:rFonts w:ascii="Arial" w:hAnsi="Arial" w:cs="Arial"/>
          <w:color w:val="000000"/>
        </w:rPr>
        <w:t>constitute proceeds of unlawful activities.</w:t>
      </w:r>
    </w:p>
    <w:p w:rsidR="005468FC" w:rsidRDefault="005468FC" w:rsidP="00230110">
      <w:pPr>
        <w:pStyle w:val="p3"/>
        <w:spacing w:before="0" w:beforeAutospacing="0" w:after="0" w:afterAutospacing="0" w:line="360" w:lineRule="auto"/>
        <w:jc w:val="both"/>
        <w:rPr>
          <w:rStyle w:val="s2"/>
          <w:rFonts w:ascii="Arial" w:hAnsi="Arial" w:cs="Arial"/>
          <w:color w:val="000000"/>
        </w:rPr>
      </w:pPr>
    </w:p>
    <w:p w:rsidR="00230110" w:rsidRPr="00230110" w:rsidRDefault="005468FC" w:rsidP="00230110">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[2</w:t>
      </w:r>
      <w:r w:rsidR="007F7156">
        <w:rPr>
          <w:rStyle w:val="s2"/>
          <w:rFonts w:ascii="Arial" w:hAnsi="Arial" w:cs="Arial"/>
          <w:color w:val="000000"/>
        </w:rPr>
        <w:t>3</w:t>
      </w:r>
      <w:r>
        <w:rPr>
          <w:rStyle w:val="s2"/>
          <w:rFonts w:ascii="Arial" w:hAnsi="Arial" w:cs="Arial"/>
          <w:color w:val="000000"/>
        </w:rPr>
        <w:t>]</w:t>
      </w:r>
      <w:r>
        <w:rPr>
          <w:rStyle w:val="s2"/>
          <w:rFonts w:ascii="Arial" w:hAnsi="Arial" w:cs="Arial"/>
          <w:color w:val="000000"/>
        </w:rPr>
        <w:tab/>
        <w:t xml:space="preserve">If </w:t>
      </w:r>
      <w:r w:rsidR="00673D86">
        <w:rPr>
          <w:rStyle w:val="s2"/>
          <w:rFonts w:ascii="Arial" w:hAnsi="Arial" w:cs="Arial"/>
          <w:color w:val="000000"/>
        </w:rPr>
        <w:t>Mr Ndlovu</w:t>
      </w:r>
      <w:r>
        <w:rPr>
          <w:rStyle w:val="s2"/>
          <w:rFonts w:ascii="Arial" w:hAnsi="Arial" w:cs="Arial"/>
          <w:color w:val="000000"/>
        </w:rPr>
        <w:t xml:space="preserve"> </w:t>
      </w:r>
      <w:r w:rsidR="00673D86">
        <w:rPr>
          <w:rStyle w:val="s2"/>
          <w:rFonts w:ascii="Arial" w:hAnsi="Arial" w:cs="Arial"/>
          <w:color w:val="000000"/>
        </w:rPr>
        <w:t xml:space="preserve">is allowed to file a statement and debatement of account and succeeds in </w:t>
      </w:r>
      <w:r>
        <w:rPr>
          <w:rStyle w:val="s2"/>
          <w:rFonts w:ascii="Arial" w:hAnsi="Arial" w:cs="Arial"/>
          <w:color w:val="000000"/>
        </w:rPr>
        <w:t>prov</w:t>
      </w:r>
      <w:r w:rsidR="00673D86">
        <w:rPr>
          <w:rStyle w:val="s2"/>
          <w:rFonts w:ascii="Arial" w:hAnsi="Arial" w:cs="Arial"/>
          <w:color w:val="000000"/>
        </w:rPr>
        <w:t>ing that</w:t>
      </w:r>
      <w:r>
        <w:rPr>
          <w:rStyle w:val="s2"/>
          <w:rFonts w:ascii="Arial" w:hAnsi="Arial" w:cs="Arial"/>
          <w:color w:val="000000"/>
        </w:rPr>
        <w:t xml:space="preserve"> he incurred additional expenses which the applicants did not tak</w:t>
      </w:r>
      <w:r w:rsidR="00673D86">
        <w:rPr>
          <w:rStyle w:val="s2"/>
          <w:rFonts w:ascii="Arial" w:hAnsi="Arial" w:cs="Arial"/>
          <w:color w:val="000000"/>
        </w:rPr>
        <w:t>e</w:t>
      </w:r>
      <w:r>
        <w:rPr>
          <w:rStyle w:val="s2"/>
          <w:rFonts w:ascii="Arial" w:hAnsi="Arial" w:cs="Arial"/>
          <w:color w:val="000000"/>
        </w:rPr>
        <w:t xml:space="preserve"> into account when determining </w:t>
      </w:r>
      <w:r w:rsidR="003944A7">
        <w:rPr>
          <w:rStyle w:val="s2"/>
          <w:rFonts w:ascii="Arial" w:hAnsi="Arial" w:cs="Arial"/>
          <w:color w:val="000000"/>
        </w:rPr>
        <w:t>the amount to be forfeited, Mr Ndlovu</w:t>
      </w:r>
      <w:r>
        <w:rPr>
          <w:rStyle w:val="s2"/>
          <w:rFonts w:ascii="Arial" w:hAnsi="Arial" w:cs="Arial"/>
          <w:color w:val="000000"/>
        </w:rPr>
        <w:t xml:space="preserve"> will be entitled to retain such amounts. To that extent, some of the preserved fu</w:t>
      </w:r>
      <w:r w:rsidR="003944A7">
        <w:rPr>
          <w:rStyle w:val="s2"/>
          <w:rFonts w:ascii="Arial" w:hAnsi="Arial" w:cs="Arial"/>
          <w:color w:val="000000"/>
        </w:rPr>
        <w:t>nds will be paid back to him. However, on</w:t>
      </w:r>
      <w:r>
        <w:rPr>
          <w:rStyle w:val="s2"/>
          <w:rFonts w:ascii="Arial" w:hAnsi="Arial" w:cs="Arial"/>
          <w:color w:val="000000"/>
        </w:rPr>
        <w:t xml:space="preserve"> the facts before the Tribunal, this is highly improbable. </w:t>
      </w:r>
      <w:r w:rsidR="00230110" w:rsidRPr="00230110">
        <w:rPr>
          <w:rStyle w:val="s2"/>
          <w:rFonts w:ascii="Arial" w:hAnsi="Arial" w:cs="Arial"/>
          <w:color w:val="000000"/>
        </w:rPr>
        <w:t xml:space="preserve">The preserved assets </w:t>
      </w:r>
      <w:r w:rsidRPr="00230110">
        <w:rPr>
          <w:rStyle w:val="s2"/>
          <w:rFonts w:ascii="Arial" w:hAnsi="Arial" w:cs="Arial"/>
          <w:color w:val="000000"/>
        </w:rPr>
        <w:t>represent</w:t>
      </w:r>
      <w:r w:rsidR="00230110" w:rsidRPr="00230110">
        <w:rPr>
          <w:rStyle w:val="s2"/>
          <w:rFonts w:ascii="Arial" w:hAnsi="Arial" w:cs="Arial"/>
          <w:color w:val="000000"/>
        </w:rPr>
        <w:t xml:space="preserve"> R40 million of the benefits derived from the fraudulent tenders. Mr Ndlovu has not accounted </w:t>
      </w:r>
      <w:r w:rsidR="00673D86">
        <w:rPr>
          <w:rStyle w:val="s2"/>
          <w:rFonts w:ascii="Arial" w:hAnsi="Arial" w:cs="Arial"/>
          <w:color w:val="000000"/>
        </w:rPr>
        <w:t xml:space="preserve">for approximately </w:t>
      </w:r>
      <w:r w:rsidR="00230110" w:rsidRPr="00230110">
        <w:rPr>
          <w:rStyle w:val="s2"/>
          <w:rFonts w:ascii="Arial" w:hAnsi="Arial" w:cs="Arial"/>
          <w:color w:val="000000"/>
        </w:rPr>
        <w:t xml:space="preserve">R54 million he and some of </w:t>
      </w:r>
      <w:r w:rsidR="00230110" w:rsidRPr="00230110">
        <w:rPr>
          <w:rStyle w:val="s2"/>
          <w:rFonts w:ascii="Arial" w:hAnsi="Arial" w:cs="Arial"/>
          <w:color w:val="000000"/>
        </w:rPr>
        <w:lastRenderedPageBreak/>
        <w:t>the Ndlovu respondents received</w:t>
      </w:r>
      <w:r>
        <w:rPr>
          <w:rStyle w:val="s2"/>
          <w:rFonts w:ascii="Arial" w:hAnsi="Arial" w:cs="Arial"/>
          <w:color w:val="000000"/>
        </w:rPr>
        <w:t xml:space="preserve"> from the </w:t>
      </w:r>
      <w:r w:rsidR="000209A3">
        <w:rPr>
          <w:rStyle w:val="s2"/>
          <w:rFonts w:ascii="Arial" w:hAnsi="Arial" w:cs="Arial"/>
          <w:color w:val="000000"/>
        </w:rPr>
        <w:t>impugned</w:t>
      </w:r>
      <w:r>
        <w:rPr>
          <w:rStyle w:val="s2"/>
          <w:rFonts w:ascii="Arial" w:hAnsi="Arial" w:cs="Arial"/>
          <w:color w:val="000000"/>
        </w:rPr>
        <w:t xml:space="preserve"> tenders. It is highly </w:t>
      </w:r>
      <w:r w:rsidR="00117C72">
        <w:rPr>
          <w:rStyle w:val="s2"/>
          <w:rFonts w:ascii="Arial" w:hAnsi="Arial" w:cs="Arial"/>
          <w:color w:val="000000"/>
        </w:rPr>
        <w:t>im</w:t>
      </w:r>
      <w:r>
        <w:rPr>
          <w:rStyle w:val="s2"/>
          <w:rFonts w:ascii="Arial" w:hAnsi="Arial" w:cs="Arial"/>
          <w:color w:val="000000"/>
        </w:rPr>
        <w:t>probable</w:t>
      </w:r>
      <w:r w:rsidR="00117C72">
        <w:rPr>
          <w:rStyle w:val="s2"/>
          <w:rFonts w:ascii="Arial" w:hAnsi="Arial" w:cs="Arial"/>
          <w:color w:val="000000"/>
        </w:rPr>
        <w:t xml:space="preserve"> </w:t>
      </w:r>
      <w:r w:rsidR="007F7156">
        <w:rPr>
          <w:rStyle w:val="s2"/>
          <w:rFonts w:ascii="Arial" w:hAnsi="Arial" w:cs="Arial"/>
          <w:color w:val="000000"/>
        </w:rPr>
        <w:t>that he would prove</w:t>
      </w:r>
      <w:r w:rsidR="00117C72">
        <w:rPr>
          <w:rStyle w:val="s2"/>
          <w:rFonts w:ascii="Arial" w:hAnsi="Arial" w:cs="Arial"/>
          <w:color w:val="000000"/>
        </w:rPr>
        <w:t xml:space="preserve"> input expenses in this amount. It is rather more probable</w:t>
      </w:r>
      <w:r>
        <w:rPr>
          <w:rStyle w:val="s2"/>
          <w:rFonts w:ascii="Arial" w:hAnsi="Arial" w:cs="Arial"/>
          <w:color w:val="000000"/>
        </w:rPr>
        <w:t xml:space="preserve"> that he</w:t>
      </w:r>
      <w:r w:rsidR="00230110" w:rsidRPr="00230110">
        <w:rPr>
          <w:rStyle w:val="s2"/>
          <w:rFonts w:ascii="Arial" w:hAnsi="Arial" w:cs="Arial"/>
          <w:color w:val="000000"/>
        </w:rPr>
        <w:t xml:space="preserve"> would need to pay back to the applicants substantially more than the preserved assets</w:t>
      </w:r>
      <w:r>
        <w:rPr>
          <w:rStyle w:val="s2"/>
          <w:rFonts w:ascii="Arial" w:hAnsi="Arial" w:cs="Arial"/>
          <w:color w:val="000000"/>
        </w:rPr>
        <w:t xml:space="preserve">. </w:t>
      </w:r>
      <w:r w:rsidR="00230110" w:rsidRPr="00230110">
        <w:rPr>
          <w:rStyle w:val="s2"/>
          <w:rFonts w:ascii="Arial" w:hAnsi="Arial" w:cs="Arial"/>
          <w:color w:val="000000"/>
        </w:rPr>
        <w:t> </w:t>
      </w:r>
    </w:p>
    <w:p w:rsidR="00230110" w:rsidRPr="00230110" w:rsidRDefault="00230110" w:rsidP="00230110">
      <w:pPr>
        <w:pStyle w:val="p2"/>
        <w:spacing w:before="0" w:beforeAutospacing="0" w:after="0" w:afterAutospacing="0" w:line="360" w:lineRule="auto"/>
        <w:jc w:val="both"/>
        <w:rPr>
          <w:rFonts w:ascii="Arial" w:hAnsi="Arial" w:cs="Arial"/>
          <w:color w:val="000000"/>
        </w:rPr>
      </w:pPr>
    </w:p>
    <w:p w:rsidR="00230110" w:rsidRPr="00230110" w:rsidRDefault="005468FC" w:rsidP="00230110">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[2</w:t>
      </w:r>
      <w:r w:rsidR="007F7156">
        <w:rPr>
          <w:rStyle w:val="s2"/>
          <w:rFonts w:ascii="Arial" w:hAnsi="Arial" w:cs="Arial"/>
          <w:color w:val="000000"/>
        </w:rPr>
        <w:t>4</w:t>
      </w:r>
      <w:r>
        <w:rPr>
          <w:rStyle w:val="s2"/>
          <w:rFonts w:ascii="Arial" w:hAnsi="Arial" w:cs="Arial"/>
          <w:color w:val="000000"/>
        </w:rPr>
        <w:t>]</w:t>
      </w:r>
      <w:r>
        <w:rPr>
          <w:rStyle w:val="s2"/>
          <w:rFonts w:ascii="Arial" w:hAnsi="Arial" w:cs="Arial"/>
          <w:color w:val="000000"/>
        </w:rPr>
        <w:tab/>
      </w:r>
      <w:r w:rsidR="00230110" w:rsidRPr="00230110">
        <w:rPr>
          <w:rStyle w:val="s2"/>
          <w:rFonts w:ascii="Arial" w:hAnsi="Arial" w:cs="Arial"/>
          <w:color w:val="000000"/>
        </w:rPr>
        <w:t xml:space="preserve">Further, </w:t>
      </w:r>
      <w:r w:rsidR="00117C72">
        <w:rPr>
          <w:rStyle w:val="s2"/>
          <w:rFonts w:ascii="Arial" w:hAnsi="Arial" w:cs="Arial"/>
          <w:color w:val="000000"/>
        </w:rPr>
        <w:t xml:space="preserve">Mr Ndlovu’s </w:t>
      </w:r>
      <w:r w:rsidR="00230110" w:rsidRPr="00230110">
        <w:rPr>
          <w:rStyle w:val="s2"/>
          <w:rFonts w:ascii="Arial" w:hAnsi="Arial" w:cs="Arial"/>
          <w:color w:val="000000"/>
        </w:rPr>
        <w:t xml:space="preserve">failure to provide a version regarding the R54 million the applicants were not able to trace demonstrates his propensity to conceal or dissipate large sums of money in a short space of time. </w:t>
      </w:r>
      <w:r w:rsidR="008F40D9">
        <w:rPr>
          <w:rStyle w:val="s2"/>
          <w:rFonts w:ascii="Arial" w:hAnsi="Arial" w:cs="Arial"/>
          <w:color w:val="000000"/>
        </w:rPr>
        <w:t>So is the fact that the f</w:t>
      </w:r>
      <w:r w:rsidR="00AE7223">
        <w:rPr>
          <w:rStyle w:val="s2"/>
          <w:rFonts w:ascii="Arial" w:hAnsi="Arial" w:cs="Arial"/>
          <w:color w:val="000000"/>
        </w:rPr>
        <w:t>our preserved immovable properties</w:t>
      </w:r>
      <w:r w:rsidR="007F7156">
        <w:rPr>
          <w:rStyle w:val="s2"/>
          <w:rFonts w:ascii="Arial" w:hAnsi="Arial" w:cs="Arial"/>
          <w:color w:val="000000"/>
        </w:rPr>
        <w:t xml:space="preserve"> and the Scania trucks</w:t>
      </w:r>
      <w:r w:rsidR="008F40D9">
        <w:rPr>
          <w:rStyle w:val="s2"/>
          <w:rFonts w:ascii="Arial" w:hAnsi="Arial" w:cs="Arial"/>
          <w:color w:val="000000"/>
        </w:rPr>
        <w:t xml:space="preserve"> have be</w:t>
      </w:r>
      <w:r w:rsidR="007F7156">
        <w:rPr>
          <w:rStyle w:val="s2"/>
          <w:rFonts w:ascii="Arial" w:hAnsi="Arial" w:cs="Arial"/>
          <w:color w:val="000000"/>
        </w:rPr>
        <w:t>en registered in the name of third parties</w:t>
      </w:r>
      <w:r w:rsidR="00117C72">
        <w:rPr>
          <w:rStyle w:val="s2"/>
          <w:rFonts w:ascii="Arial" w:hAnsi="Arial" w:cs="Arial"/>
          <w:color w:val="000000"/>
        </w:rPr>
        <w:t xml:space="preserve"> and he had failed to comply with the preservation orders</w:t>
      </w:r>
      <w:r w:rsidR="008F40D9">
        <w:rPr>
          <w:rStyle w:val="s2"/>
          <w:rFonts w:ascii="Arial" w:hAnsi="Arial" w:cs="Arial"/>
          <w:color w:val="000000"/>
        </w:rPr>
        <w:t>. These circumstances</w:t>
      </w:r>
      <w:r w:rsidR="008F40D9" w:rsidRPr="00230110">
        <w:rPr>
          <w:rStyle w:val="s2"/>
          <w:rFonts w:ascii="Arial" w:hAnsi="Arial" w:cs="Arial"/>
          <w:color w:val="000000"/>
        </w:rPr>
        <w:t xml:space="preserve"> display</w:t>
      </w:r>
      <w:r w:rsidR="00117C72">
        <w:rPr>
          <w:rStyle w:val="s2"/>
          <w:rFonts w:ascii="Arial" w:hAnsi="Arial" w:cs="Arial"/>
          <w:color w:val="000000"/>
        </w:rPr>
        <w:t xml:space="preserve"> bad faith on his part. If he retained control of the</w:t>
      </w:r>
      <w:r w:rsidR="00230110" w:rsidRPr="00230110">
        <w:rPr>
          <w:rStyle w:val="s2"/>
          <w:rFonts w:ascii="Arial" w:hAnsi="Arial" w:cs="Arial"/>
          <w:color w:val="000000"/>
        </w:rPr>
        <w:t xml:space="preserve"> preserved assets</w:t>
      </w:r>
      <w:r w:rsidR="00117C72">
        <w:rPr>
          <w:rStyle w:val="s2"/>
          <w:rFonts w:ascii="Arial" w:hAnsi="Arial" w:cs="Arial"/>
          <w:color w:val="000000"/>
        </w:rPr>
        <w:t xml:space="preserve">, </w:t>
      </w:r>
      <w:r w:rsidR="00230110" w:rsidRPr="00230110">
        <w:rPr>
          <w:rStyle w:val="s2"/>
          <w:rFonts w:ascii="Arial" w:hAnsi="Arial" w:cs="Arial"/>
          <w:color w:val="000000"/>
        </w:rPr>
        <w:t>it is hi</w:t>
      </w:r>
      <w:r w:rsidR="007F7156">
        <w:rPr>
          <w:rStyle w:val="s2"/>
          <w:rFonts w:ascii="Arial" w:hAnsi="Arial" w:cs="Arial"/>
          <w:color w:val="000000"/>
        </w:rPr>
        <w:t xml:space="preserve">ghly </w:t>
      </w:r>
      <w:r w:rsidR="00AE7223">
        <w:rPr>
          <w:rStyle w:val="s2"/>
          <w:rFonts w:ascii="Arial" w:hAnsi="Arial" w:cs="Arial"/>
          <w:color w:val="000000"/>
        </w:rPr>
        <w:t>probable</w:t>
      </w:r>
      <w:r w:rsidR="00117C72">
        <w:rPr>
          <w:rStyle w:val="s2"/>
          <w:rFonts w:ascii="Arial" w:hAnsi="Arial" w:cs="Arial"/>
          <w:color w:val="000000"/>
        </w:rPr>
        <w:t xml:space="preserve"> that Mr Ndlovu would</w:t>
      </w:r>
      <w:r w:rsidR="00230110" w:rsidRPr="00230110">
        <w:rPr>
          <w:rStyle w:val="s2"/>
          <w:rFonts w:ascii="Arial" w:hAnsi="Arial" w:cs="Arial"/>
          <w:color w:val="000000"/>
        </w:rPr>
        <w:t xml:space="preserve"> continue to dissipate and conceal the assets,</w:t>
      </w:r>
      <w:r w:rsidR="00117C72">
        <w:rPr>
          <w:rStyle w:val="s2"/>
          <w:rFonts w:ascii="Arial" w:hAnsi="Arial" w:cs="Arial"/>
          <w:color w:val="000000"/>
        </w:rPr>
        <w:t xml:space="preserve"> thus</w:t>
      </w:r>
      <w:r w:rsidR="00230110" w:rsidRPr="00230110">
        <w:rPr>
          <w:rStyle w:val="s2"/>
          <w:rFonts w:ascii="Arial" w:hAnsi="Arial" w:cs="Arial"/>
          <w:color w:val="000000"/>
        </w:rPr>
        <w:t xml:space="preserve"> frustrating the </w:t>
      </w:r>
      <w:r w:rsidR="008F40D9" w:rsidRPr="00230110">
        <w:rPr>
          <w:rStyle w:val="s2"/>
          <w:rFonts w:ascii="Arial" w:hAnsi="Arial" w:cs="Arial"/>
          <w:color w:val="000000"/>
        </w:rPr>
        <w:t>applicants’</w:t>
      </w:r>
      <w:r w:rsidR="00230110" w:rsidRPr="00230110">
        <w:rPr>
          <w:rStyle w:val="s2"/>
          <w:rFonts w:ascii="Arial" w:hAnsi="Arial" w:cs="Arial"/>
          <w:color w:val="000000"/>
        </w:rPr>
        <w:t xml:space="preserve"> efforts to recover the maximum of the monies lost as a result of the </w:t>
      </w:r>
      <w:r w:rsidR="00AE7223">
        <w:rPr>
          <w:rStyle w:val="s2"/>
          <w:rFonts w:ascii="Arial" w:hAnsi="Arial" w:cs="Arial"/>
          <w:color w:val="000000"/>
        </w:rPr>
        <w:t xml:space="preserve">alleged </w:t>
      </w:r>
      <w:r w:rsidR="00230110" w:rsidRPr="00230110">
        <w:rPr>
          <w:rStyle w:val="s2"/>
          <w:rFonts w:ascii="Arial" w:hAnsi="Arial" w:cs="Arial"/>
          <w:color w:val="000000"/>
        </w:rPr>
        <w:t>fraudulent tenders. These circumstances justify viewing Mr Ndlovu’s conduct with suspicion and caution. </w:t>
      </w:r>
    </w:p>
    <w:p w:rsidR="00230110" w:rsidRPr="00230110" w:rsidRDefault="00230110" w:rsidP="00230110">
      <w:pPr>
        <w:pStyle w:val="p2"/>
        <w:spacing w:before="0" w:beforeAutospacing="0" w:after="0" w:afterAutospacing="0" w:line="360" w:lineRule="auto"/>
        <w:jc w:val="both"/>
        <w:rPr>
          <w:rFonts w:ascii="Arial" w:hAnsi="Arial" w:cs="Arial"/>
          <w:color w:val="000000"/>
        </w:rPr>
      </w:pPr>
    </w:p>
    <w:p w:rsidR="00230110" w:rsidRPr="00230110" w:rsidRDefault="008F40D9" w:rsidP="00230110">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[2</w:t>
      </w:r>
      <w:r w:rsidR="007F7156">
        <w:rPr>
          <w:rStyle w:val="s2"/>
          <w:rFonts w:ascii="Arial" w:hAnsi="Arial" w:cs="Arial"/>
          <w:color w:val="000000"/>
        </w:rPr>
        <w:t>5</w:t>
      </w:r>
      <w:r>
        <w:rPr>
          <w:rStyle w:val="s2"/>
          <w:rFonts w:ascii="Arial" w:hAnsi="Arial" w:cs="Arial"/>
          <w:color w:val="000000"/>
        </w:rPr>
        <w:t>]</w:t>
      </w:r>
      <w:r>
        <w:rPr>
          <w:rStyle w:val="s2"/>
          <w:rFonts w:ascii="Arial" w:hAnsi="Arial" w:cs="Arial"/>
          <w:color w:val="000000"/>
        </w:rPr>
        <w:tab/>
      </w:r>
      <w:r w:rsidR="00230110" w:rsidRPr="00230110">
        <w:rPr>
          <w:rStyle w:val="s2"/>
          <w:rFonts w:ascii="Arial" w:hAnsi="Arial" w:cs="Arial"/>
          <w:color w:val="000000"/>
        </w:rPr>
        <w:t>The fact that the Tribunal’s judicial review powers in terms of section 172 of the Constitution are currently impugned before the Constitutional Court is of no moment. This does not entitle the Ndlo</w:t>
      </w:r>
      <w:r w:rsidR="00117C72">
        <w:rPr>
          <w:rStyle w:val="s2"/>
          <w:rFonts w:ascii="Arial" w:hAnsi="Arial" w:cs="Arial"/>
          <w:color w:val="000000"/>
        </w:rPr>
        <w:t>vu respondents to remain in contempt of the preservation orders.</w:t>
      </w:r>
      <w:r w:rsidR="00230110" w:rsidRPr="00230110">
        <w:rPr>
          <w:rStyle w:val="s2"/>
          <w:rFonts w:ascii="Arial" w:hAnsi="Arial" w:cs="Arial"/>
          <w:color w:val="000000"/>
        </w:rPr>
        <w:t> </w:t>
      </w:r>
    </w:p>
    <w:p w:rsidR="00230110" w:rsidRPr="00230110" w:rsidRDefault="00230110" w:rsidP="00230110">
      <w:pPr>
        <w:pStyle w:val="p2"/>
        <w:spacing w:before="0" w:beforeAutospacing="0" w:after="0" w:afterAutospacing="0" w:line="360" w:lineRule="auto"/>
        <w:jc w:val="both"/>
        <w:rPr>
          <w:rFonts w:ascii="Arial" w:hAnsi="Arial" w:cs="Arial"/>
          <w:color w:val="000000"/>
        </w:rPr>
      </w:pPr>
    </w:p>
    <w:p w:rsidR="00230110" w:rsidRPr="00230110" w:rsidRDefault="008F40D9" w:rsidP="00117C72">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[2</w:t>
      </w:r>
      <w:r w:rsidR="007F7156">
        <w:rPr>
          <w:rStyle w:val="s2"/>
          <w:rFonts w:ascii="Arial" w:hAnsi="Arial" w:cs="Arial"/>
          <w:color w:val="000000"/>
        </w:rPr>
        <w:t>6</w:t>
      </w:r>
      <w:r>
        <w:rPr>
          <w:rStyle w:val="s2"/>
          <w:rFonts w:ascii="Arial" w:hAnsi="Arial" w:cs="Arial"/>
          <w:color w:val="000000"/>
        </w:rPr>
        <w:t>]</w:t>
      </w:r>
      <w:r>
        <w:rPr>
          <w:rStyle w:val="s2"/>
          <w:rFonts w:ascii="Arial" w:hAnsi="Arial" w:cs="Arial"/>
          <w:color w:val="000000"/>
        </w:rPr>
        <w:tab/>
      </w:r>
      <w:r w:rsidR="00230110" w:rsidRPr="00230110">
        <w:rPr>
          <w:rStyle w:val="s2"/>
          <w:rFonts w:ascii="Arial" w:hAnsi="Arial" w:cs="Arial"/>
          <w:color w:val="000000"/>
        </w:rPr>
        <w:t>Therefore, the Ndlovu respondents w</w:t>
      </w:r>
      <w:r w:rsidR="002D47D0">
        <w:rPr>
          <w:rStyle w:val="s2"/>
          <w:rFonts w:ascii="Arial" w:hAnsi="Arial" w:cs="Arial"/>
          <w:color w:val="000000"/>
        </w:rPr>
        <w:t>ou</w:t>
      </w:r>
      <w:r w:rsidR="00230110" w:rsidRPr="00230110">
        <w:rPr>
          <w:rStyle w:val="s2"/>
          <w:rFonts w:ascii="Arial" w:hAnsi="Arial" w:cs="Arial"/>
          <w:color w:val="000000"/>
        </w:rPr>
        <w:t>l</w:t>
      </w:r>
      <w:r w:rsidR="002D47D0">
        <w:rPr>
          <w:rStyle w:val="s2"/>
          <w:rFonts w:ascii="Arial" w:hAnsi="Arial" w:cs="Arial"/>
          <w:color w:val="000000"/>
        </w:rPr>
        <w:t>d</w:t>
      </w:r>
      <w:r w:rsidR="00230110" w:rsidRPr="00230110">
        <w:rPr>
          <w:rStyle w:val="s2"/>
          <w:rFonts w:ascii="Arial" w:hAnsi="Arial" w:cs="Arial"/>
          <w:color w:val="000000"/>
        </w:rPr>
        <w:t xml:space="preserve"> not suffer harm if the appl</w:t>
      </w:r>
      <w:r w:rsidR="00117C72">
        <w:rPr>
          <w:rStyle w:val="s2"/>
          <w:rFonts w:ascii="Arial" w:hAnsi="Arial" w:cs="Arial"/>
          <w:color w:val="000000"/>
        </w:rPr>
        <w:t xml:space="preserve">ication is granted. </w:t>
      </w:r>
      <w:r w:rsidR="002D47D0">
        <w:rPr>
          <w:rStyle w:val="s2"/>
          <w:rFonts w:ascii="Arial" w:hAnsi="Arial" w:cs="Arial"/>
          <w:color w:val="000000"/>
        </w:rPr>
        <w:t xml:space="preserve">They </w:t>
      </w:r>
      <w:r w:rsidR="00230110" w:rsidRPr="00230110">
        <w:rPr>
          <w:rStyle w:val="s2"/>
          <w:rFonts w:ascii="Arial" w:hAnsi="Arial" w:cs="Arial"/>
          <w:color w:val="000000"/>
        </w:rPr>
        <w:t>remain restricted from dealing with, accessing, controlling and/ or disposing of the preserved assets including cash held in bank account</w:t>
      </w:r>
      <w:r w:rsidR="00117C72">
        <w:rPr>
          <w:rStyle w:val="s2"/>
          <w:rFonts w:ascii="Arial" w:hAnsi="Arial" w:cs="Arial"/>
          <w:color w:val="000000"/>
        </w:rPr>
        <w:t>s just as they</w:t>
      </w:r>
      <w:r w:rsidR="00230110" w:rsidRPr="00230110">
        <w:rPr>
          <w:rStyle w:val="s2"/>
          <w:rFonts w:ascii="Arial" w:hAnsi="Arial" w:cs="Arial"/>
          <w:color w:val="000000"/>
        </w:rPr>
        <w:t xml:space="preserve"> w</w:t>
      </w:r>
      <w:r w:rsidR="00117C72">
        <w:rPr>
          <w:rStyle w:val="s2"/>
          <w:rFonts w:ascii="Arial" w:hAnsi="Arial" w:cs="Arial"/>
          <w:color w:val="000000"/>
        </w:rPr>
        <w:t>ere</w:t>
      </w:r>
      <w:r w:rsidR="00230110" w:rsidRPr="00230110">
        <w:rPr>
          <w:rStyle w:val="s2"/>
          <w:rFonts w:ascii="Arial" w:hAnsi="Arial" w:cs="Arial"/>
          <w:color w:val="000000"/>
        </w:rPr>
        <w:t xml:space="preserve"> before the 7 June order was granted. </w:t>
      </w:r>
      <w:r w:rsidR="00117C72">
        <w:rPr>
          <w:rStyle w:val="s2"/>
          <w:rFonts w:ascii="Arial" w:hAnsi="Arial" w:cs="Arial"/>
          <w:color w:val="000000"/>
        </w:rPr>
        <w:t>They are</w:t>
      </w:r>
      <w:r w:rsidR="00117C72" w:rsidRPr="00230110">
        <w:rPr>
          <w:rStyle w:val="s2"/>
          <w:rFonts w:ascii="Arial" w:hAnsi="Arial" w:cs="Arial"/>
          <w:color w:val="000000"/>
        </w:rPr>
        <w:t xml:space="preserve"> not prevented </w:t>
      </w:r>
      <w:r w:rsidR="00370FAC">
        <w:rPr>
          <w:rStyle w:val="s2"/>
          <w:rFonts w:ascii="Arial" w:hAnsi="Arial" w:cs="Arial"/>
          <w:color w:val="000000"/>
        </w:rPr>
        <w:t xml:space="preserve">from </w:t>
      </w:r>
      <w:r w:rsidR="00117C72" w:rsidRPr="00230110">
        <w:rPr>
          <w:rStyle w:val="s2"/>
          <w:rFonts w:ascii="Arial" w:hAnsi="Arial" w:cs="Arial"/>
          <w:color w:val="000000"/>
        </w:rPr>
        <w:t>using the</w:t>
      </w:r>
      <w:r w:rsidR="00117C72">
        <w:rPr>
          <w:rStyle w:val="s2"/>
          <w:rFonts w:ascii="Arial" w:hAnsi="Arial" w:cs="Arial"/>
          <w:color w:val="000000"/>
        </w:rPr>
        <w:t xml:space="preserve"> preserved immovable</w:t>
      </w:r>
      <w:r w:rsidR="00117C72" w:rsidRPr="00230110">
        <w:rPr>
          <w:rStyle w:val="s2"/>
          <w:rFonts w:ascii="Arial" w:hAnsi="Arial" w:cs="Arial"/>
          <w:color w:val="000000"/>
        </w:rPr>
        <w:t xml:space="preserve"> properties</w:t>
      </w:r>
      <w:r w:rsidR="00117C72">
        <w:rPr>
          <w:rStyle w:val="s2"/>
          <w:rFonts w:ascii="Arial" w:hAnsi="Arial" w:cs="Arial"/>
          <w:color w:val="000000"/>
        </w:rPr>
        <w:t>.</w:t>
      </w:r>
    </w:p>
    <w:p w:rsidR="00230110" w:rsidRPr="00230110" w:rsidRDefault="00230110" w:rsidP="00230110">
      <w:pPr>
        <w:pStyle w:val="p2"/>
        <w:spacing w:before="0" w:beforeAutospacing="0" w:after="0" w:afterAutospacing="0" w:line="360" w:lineRule="auto"/>
        <w:jc w:val="both"/>
        <w:rPr>
          <w:rFonts w:ascii="Arial" w:hAnsi="Arial" w:cs="Arial"/>
          <w:color w:val="000000"/>
        </w:rPr>
      </w:pPr>
    </w:p>
    <w:p w:rsidR="00230110" w:rsidRPr="008F40D9" w:rsidRDefault="008F40D9" w:rsidP="00230110">
      <w:pPr>
        <w:pStyle w:val="p3"/>
        <w:spacing w:before="0" w:beforeAutospacing="0" w:after="0" w:afterAutospacing="0" w:line="360" w:lineRule="auto"/>
        <w:jc w:val="both"/>
        <w:rPr>
          <w:rFonts w:ascii="Arial" w:hAnsi="Arial" w:cs="Arial"/>
          <w:i/>
          <w:color w:val="000000"/>
        </w:rPr>
      </w:pPr>
      <w:r>
        <w:rPr>
          <w:rStyle w:val="s2"/>
          <w:rFonts w:ascii="Arial" w:hAnsi="Arial" w:cs="Arial"/>
          <w:color w:val="000000"/>
        </w:rPr>
        <w:t>[</w:t>
      </w:r>
      <w:r w:rsidR="00370FAC">
        <w:rPr>
          <w:rStyle w:val="s2"/>
          <w:rFonts w:ascii="Arial" w:hAnsi="Arial" w:cs="Arial"/>
          <w:color w:val="000000"/>
        </w:rPr>
        <w:t>27</w:t>
      </w:r>
      <w:r>
        <w:rPr>
          <w:rStyle w:val="s2"/>
          <w:rFonts w:ascii="Arial" w:hAnsi="Arial" w:cs="Arial"/>
          <w:color w:val="000000"/>
        </w:rPr>
        <w:t>]</w:t>
      </w:r>
      <w:r>
        <w:rPr>
          <w:rStyle w:val="s2"/>
          <w:rFonts w:ascii="Arial" w:hAnsi="Arial" w:cs="Arial"/>
          <w:color w:val="000000"/>
        </w:rPr>
        <w:tab/>
      </w:r>
      <w:r w:rsidR="00230110" w:rsidRPr="00230110">
        <w:rPr>
          <w:rStyle w:val="s2"/>
          <w:rFonts w:ascii="Arial" w:hAnsi="Arial" w:cs="Arial"/>
          <w:color w:val="000000"/>
        </w:rPr>
        <w:t xml:space="preserve">Since the Ndlovu respondents have not disputed the applicants’ version that the preserved assets are proceeds of unlawful activities, it is not in the interest of justice </w:t>
      </w:r>
      <w:r w:rsidR="00D16339">
        <w:rPr>
          <w:rStyle w:val="s2"/>
          <w:rFonts w:ascii="Arial" w:hAnsi="Arial" w:cs="Arial"/>
          <w:color w:val="000000"/>
        </w:rPr>
        <w:t>that they are allow</w:t>
      </w:r>
      <w:r w:rsidR="00370FAC">
        <w:rPr>
          <w:rStyle w:val="s2"/>
          <w:rFonts w:ascii="Arial" w:hAnsi="Arial" w:cs="Arial"/>
          <w:color w:val="000000"/>
        </w:rPr>
        <w:t>ed</w:t>
      </w:r>
      <w:r w:rsidR="00D16339">
        <w:rPr>
          <w:rStyle w:val="s2"/>
          <w:rFonts w:ascii="Arial" w:hAnsi="Arial" w:cs="Arial"/>
          <w:color w:val="000000"/>
        </w:rPr>
        <w:t xml:space="preserve"> to retain </w:t>
      </w:r>
      <w:r w:rsidR="00230110" w:rsidRPr="00230110">
        <w:rPr>
          <w:rStyle w:val="s2"/>
          <w:rFonts w:ascii="Arial" w:hAnsi="Arial" w:cs="Arial"/>
          <w:color w:val="000000"/>
        </w:rPr>
        <w:t>possession of the preserved assets</w:t>
      </w:r>
      <w:r w:rsidR="00D16339">
        <w:rPr>
          <w:rStyle w:val="s2"/>
          <w:rFonts w:ascii="Arial" w:hAnsi="Arial" w:cs="Arial"/>
          <w:color w:val="000000"/>
        </w:rPr>
        <w:t xml:space="preserve">. </w:t>
      </w:r>
      <w:r w:rsidR="00230110" w:rsidRPr="008F40D9">
        <w:rPr>
          <w:rStyle w:val="s2"/>
          <w:rFonts w:ascii="Arial" w:hAnsi="Arial" w:cs="Arial"/>
          <w:i/>
          <w:color w:val="000000"/>
        </w:rPr>
        <w:t> </w:t>
      </w:r>
    </w:p>
    <w:p w:rsidR="00D16339" w:rsidRDefault="00D16339" w:rsidP="00230110">
      <w:pPr>
        <w:pStyle w:val="p3"/>
        <w:spacing w:before="0" w:beforeAutospacing="0" w:after="0" w:afterAutospacing="0" w:line="360" w:lineRule="auto"/>
        <w:jc w:val="both"/>
        <w:rPr>
          <w:rStyle w:val="s5"/>
          <w:rFonts w:ascii="Arial" w:hAnsi="Arial" w:cs="Arial"/>
          <w:b/>
          <w:bCs/>
        </w:rPr>
      </w:pPr>
    </w:p>
    <w:p w:rsidR="00370FAC" w:rsidRDefault="00370FAC" w:rsidP="00230110">
      <w:pPr>
        <w:pStyle w:val="p3"/>
        <w:spacing w:before="0" w:beforeAutospacing="0" w:after="0" w:afterAutospacing="0" w:line="360" w:lineRule="auto"/>
        <w:jc w:val="both"/>
        <w:rPr>
          <w:rStyle w:val="s5"/>
          <w:rFonts w:ascii="Arial" w:hAnsi="Arial" w:cs="Arial"/>
          <w:b/>
          <w:bCs/>
        </w:rPr>
      </w:pPr>
    </w:p>
    <w:p w:rsidR="00370FAC" w:rsidRDefault="00370FAC" w:rsidP="00230110">
      <w:pPr>
        <w:pStyle w:val="p3"/>
        <w:spacing w:before="0" w:beforeAutospacing="0" w:after="0" w:afterAutospacing="0" w:line="360" w:lineRule="auto"/>
        <w:jc w:val="both"/>
        <w:rPr>
          <w:rStyle w:val="s5"/>
          <w:rFonts w:ascii="Arial" w:hAnsi="Arial" w:cs="Arial"/>
          <w:b/>
          <w:bCs/>
        </w:rPr>
      </w:pPr>
    </w:p>
    <w:p w:rsidR="00370FAC" w:rsidRDefault="00370FAC" w:rsidP="00230110">
      <w:pPr>
        <w:pStyle w:val="p3"/>
        <w:spacing w:before="0" w:beforeAutospacing="0" w:after="0" w:afterAutospacing="0" w:line="360" w:lineRule="auto"/>
        <w:jc w:val="both"/>
        <w:rPr>
          <w:rStyle w:val="s5"/>
          <w:rFonts w:ascii="Arial" w:hAnsi="Arial" w:cs="Arial"/>
          <w:b/>
          <w:bCs/>
        </w:rPr>
      </w:pPr>
    </w:p>
    <w:p w:rsidR="00370FAC" w:rsidRDefault="00370FAC" w:rsidP="00230110">
      <w:pPr>
        <w:pStyle w:val="p3"/>
        <w:spacing w:before="0" w:beforeAutospacing="0" w:after="0" w:afterAutospacing="0" w:line="360" w:lineRule="auto"/>
        <w:jc w:val="both"/>
        <w:rPr>
          <w:rStyle w:val="s5"/>
          <w:rFonts w:ascii="Arial" w:hAnsi="Arial" w:cs="Arial"/>
          <w:b/>
          <w:bCs/>
        </w:rPr>
      </w:pPr>
    </w:p>
    <w:p w:rsidR="00230110" w:rsidRPr="00230110" w:rsidRDefault="00230110" w:rsidP="00230110">
      <w:pPr>
        <w:pStyle w:val="p3"/>
        <w:spacing w:before="0" w:beforeAutospacing="0" w:after="0" w:afterAutospacing="0" w:line="360" w:lineRule="auto"/>
        <w:jc w:val="both"/>
        <w:rPr>
          <w:rFonts w:ascii="Arial" w:hAnsi="Arial" w:cs="Arial"/>
          <w:color w:val="000000"/>
        </w:rPr>
      </w:pPr>
      <w:r w:rsidRPr="00230110">
        <w:rPr>
          <w:rStyle w:val="s5"/>
          <w:rFonts w:ascii="Arial" w:hAnsi="Arial" w:cs="Arial"/>
          <w:b/>
          <w:bCs/>
        </w:rPr>
        <w:t>WHETHER THE SUPERIOR COURTS ACT APPLIES IN THE TRIBUNAL </w:t>
      </w:r>
    </w:p>
    <w:p w:rsidR="00230110" w:rsidRPr="00230110" w:rsidRDefault="00230110" w:rsidP="00230110">
      <w:pPr>
        <w:pStyle w:val="p2"/>
        <w:spacing w:before="0" w:beforeAutospacing="0" w:after="0" w:afterAutospacing="0" w:line="360" w:lineRule="auto"/>
        <w:jc w:val="both"/>
        <w:rPr>
          <w:rFonts w:ascii="Arial" w:hAnsi="Arial" w:cs="Arial"/>
          <w:color w:val="000000"/>
        </w:rPr>
      </w:pPr>
    </w:p>
    <w:p w:rsidR="00230110" w:rsidRPr="00230110" w:rsidRDefault="008F40D9" w:rsidP="00230110">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w:t>
      </w:r>
      <w:r w:rsidR="00370FAC">
        <w:rPr>
          <w:rStyle w:val="s2"/>
          <w:rFonts w:ascii="Arial" w:hAnsi="Arial" w:cs="Arial"/>
          <w:color w:val="000000"/>
        </w:rPr>
        <w:t>28</w:t>
      </w:r>
      <w:r>
        <w:rPr>
          <w:rStyle w:val="s2"/>
          <w:rFonts w:ascii="Arial" w:hAnsi="Arial" w:cs="Arial"/>
          <w:color w:val="000000"/>
        </w:rPr>
        <w:t>]</w:t>
      </w:r>
      <w:r>
        <w:rPr>
          <w:rStyle w:val="s2"/>
          <w:rFonts w:ascii="Arial" w:hAnsi="Arial" w:cs="Arial"/>
          <w:color w:val="000000"/>
        </w:rPr>
        <w:tab/>
      </w:r>
      <w:r w:rsidR="00230110" w:rsidRPr="00230110">
        <w:rPr>
          <w:rStyle w:val="s2"/>
          <w:rFonts w:ascii="Arial" w:hAnsi="Arial" w:cs="Arial"/>
          <w:color w:val="000000"/>
        </w:rPr>
        <w:t xml:space="preserve">The Ndlovu respondents contend, on the authority in </w:t>
      </w:r>
      <w:r w:rsidR="00230110" w:rsidRPr="00FC00E1">
        <w:rPr>
          <w:rStyle w:val="s2"/>
          <w:rFonts w:ascii="Arial" w:hAnsi="Arial" w:cs="Arial"/>
          <w:i/>
          <w:color w:val="000000"/>
        </w:rPr>
        <w:t>Ledla</w:t>
      </w:r>
      <w:r w:rsidR="00230110" w:rsidRPr="00230110">
        <w:rPr>
          <w:rStyle w:val="s2"/>
          <w:rFonts w:ascii="Arial" w:hAnsi="Arial" w:cs="Arial"/>
          <w:color w:val="000000"/>
        </w:rPr>
        <w:t>, that it does not. The applicants contend that it does. </w:t>
      </w:r>
    </w:p>
    <w:p w:rsidR="00230110" w:rsidRPr="00230110" w:rsidRDefault="00230110" w:rsidP="00230110">
      <w:pPr>
        <w:pStyle w:val="p2"/>
        <w:spacing w:before="0" w:beforeAutospacing="0" w:after="0" w:afterAutospacing="0" w:line="360" w:lineRule="auto"/>
        <w:jc w:val="both"/>
        <w:rPr>
          <w:rFonts w:ascii="Arial" w:hAnsi="Arial" w:cs="Arial"/>
          <w:color w:val="000000"/>
        </w:rPr>
      </w:pPr>
    </w:p>
    <w:p w:rsidR="00230110" w:rsidRPr="00230110" w:rsidRDefault="008F40D9" w:rsidP="00230110">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w:t>
      </w:r>
      <w:r w:rsidR="00370FAC">
        <w:rPr>
          <w:rStyle w:val="s2"/>
          <w:rFonts w:ascii="Arial" w:hAnsi="Arial" w:cs="Arial"/>
          <w:color w:val="000000"/>
        </w:rPr>
        <w:t>29</w:t>
      </w:r>
      <w:r>
        <w:rPr>
          <w:rStyle w:val="s2"/>
          <w:rFonts w:ascii="Arial" w:hAnsi="Arial" w:cs="Arial"/>
          <w:color w:val="000000"/>
        </w:rPr>
        <w:t>]</w:t>
      </w:r>
      <w:r>
        <w:rPr>
          <w:rStyle w:val="s2"/>
          <w:rFonts w:ascii="Arial" w:hAnsi="Arial" w:cs="Arial"/>
          <w:color w:val="000000"/>
        </w:rPr>
        <w:tab/>
      </w:r>
      <w:r w:rsidR="00230110" w:rsidRPr="00230110">
        <w:rPr>
          <w:rStyle w:val="s2"/>
          <w:rFonts w:ascii="Arial" w:hAnsi="Arial" w:cs="Arial"/>
          <w:color w:val="000000"/>
        </w:rPr>
        <w:t xml:space="preserve">In </w:t>
      </w:r>
      <w:r w:rsidR="00230110" w:rsidRPr="00FC00E1">
        <w:rPr>
          <w:rStyle w:val="s2"/>
          <w:rFonts w:ascii="Arial" w:hAnsi="Arial" w:cs="Arial"/>
          <w:i/>
          <w:color w:val="000000"/>
        </w:rPr>
        <w:t>Ledla</w:t>
      </w:r>
      <w:r w:rsidR="00230110" w:rsidRPr="00230110">
        <w:rPr>
          <w:rStyle w:val="s2"/>
          <w:rFonts w:ascii="Arial" w:hAnsi="Arial" w:cs="Arial"/>
          <w:color w:val="000000"/>
        </w:rPr>
        <w:t xml:space="preserve">, s8(2) </w:t>
      </w:r>
      <w:r w:rsidR="002D47D0">
        <w:rPr>
          <w:rStyle w:val="s2"/>
          <w:rFonts w:ascii="Arial" w:hAnsi="Arial" w:cs="Arial"/>
          <w:color w:val="000000"/>
        </w:rPr>
        <w:t xml:space="preserve">of the SIU Act </w:t>
      </w:r>
      <w:r w:rsidR="00230110" w:rsidRPr="00230110">
        <w:rPr>
          <w:rStyle w:val="s2"/>
          <w:rFonts w:ascii="Arial" w:hAnsi="Arial" w:cs="Arial"/>
          <w:color w:val="000000"/>
        </w:rPr>
        <w:t>was held to be authority for the Tribunal’s power to grant the immediate exe</w:t>
      </w:r>
      <w:r w:rsidR="002D47D0">
        <w:rPr>
          <w:rStyle w:val="s2"/>
          <w:rFonts w:ascii="Arial" w:hAnsi="Arial" w:cs="Arial"/>
          <w:color w:val="000000"/>
        </w:rPr>
        <w:t>cution</w:t>
      </w:r>
      <w:r w:rsidR="00230110" w:rsidRPr="00230110">
        <w:rPr>
          <w:rStyle w:val="s2"/>
          <w:rFonts w:ascii="Arial" w:hAnsi="Arial" w:cs="Arial"/>
          <w:color w:val="000000"/>
        </w:rPr>
        <w:t xml:space="preserve"> an order. There</w:t>
      </w:r>
      <w:r w:rsidR="00370FAC">
        <w:rPr>
          <w:rStyle w:val="s2"/>
          <w:rFonts w:ascii="Arial" w:hAnsi="Arial" w:cs="Arial"/>
          <w:color w:val="000000"/>
        </w:rPr>
        <w:t xml:space="preserve">, the applicants did not rely on s2(3) of the Superior Courts Act. </w:t>
      </w:r>
      <w:r w:rsidR="00230110" w:rsidRPr="00230110">
        <w:rPr>
          <w:rStyle w:val="s2"/>
          <w:rFonts w:ascii="Arial" w:hAnsi="Arial" w:cs="Arial"/>
          <w:color w:val="000000"/>
        </w:rPr>
        <w:t> </w:t>
      </w:r>
      <w:r w:rsidR="00370FAC">
        <w:rPr>
          <w:rStyle w:val="s2"/>
          <w:rFonts w:ascii="Arial" w:hAnsi="Arial" w:cs="Arial"/>
          <w:color w:val="000000"/>
        </w:rPr>
        <w:t xml:space="preserve">Here, the applicants expressly </w:t>
      </w:r>
      <w:r w:rsidR="00230110" w:rsidRPr="00230110">
        <w:rPr>
          <w:rStyle w:val="s2"/>
          <w:rFonts w:ascii="Arial" w:hAnsi="Arial" w:cs="Arial"/>
          <w:color w:val="000000"/>
        </w:rPr>
        <w:t xml:space="preserve">opted to rely on s2(3) of the Superior Courts Act to contend for </w:t>
      </w:r>
      <w:r w:rsidR="00D16339">
        <w:rPr>
          <w:rStyle w:val="s2"/>
          <w:rFonts w:ascii="Arial" w:hAnsi="Arial" w:cs="Arial"/>
          <w:color w:val="000000"/>
        </w:rPr>
        <w:t>an order in terms</w:t>
      </w:r>
      <w:r w:rsidR="00230110" w:rsidRPr="00230110">
        <w:rPr>
          <w:rStyle w:val="s2"/>
          <w:rFonts w:ascii="Arial" w:hAnsi="Arial" w:cs="Arial"/>
          <w:color w:val="000000"/>
        </w:rPr>
        <w:t xml:space="preserve"> of s18(3). </w:t>
      </w:r>
    </w:p>
    <w:p w:rsidR="00230110" w:rsidRPr="00230110" w:rsidRDefault="00230110" w:rsidP="00230110">
      <w:pPr>
        <w:pStyle w:val="p2"/>
        <w:spacing w:before="0" w:beforeAutospacing="0" w:after="0" w:afterAutospacing="0" w:line="360" w:lineRule="auto"/>
        <w:jc w:val="both"/>
        <w:rPr>
          <w:rFonts w:ascii="Arial" w:hAnsi="Arial" w:cs="Arial"/>
          <w:color w:val="000000"/>
        </w:rPr>
      </w:pPr>
    </w:p>
    <w:p w:rsidR="00230110" w:rsidRPr="00230110" w:rsidRDefault="008F40D9" w:rsidP="00230110">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[3</w:t>
      </w:r>
      <w:r w:rsidR="00370FAC">
        <w:rPr>
          <w:rStyle w:val="s2"/>
          <w:rFonts w:ascii="Arial" w:hAnsi="Arial" w:cs="Arial"/>
          <w:color w:val="000000"/>
        </w:rPr>
        <w:t>0</w:t>
      </w:r>
      <w:r>
        <w:rPr>
          <w:rStyle w:val="s2"/>
          <w:rFonts w:ascii="Arial" w:hAnsi="Arial" w:cs="Arial"/>
          <w:color w:val="000000"/>
        </w:rPr>
        <w:t>]</w:t>
      </w:r>
      <w:r>
        <w:rPr>
          <w:rStyle w:val="s2"/>
          <w:rFonts w:ascii="Arial" w:hAnsi="Arial" w:cs="Arial"/>
          <w:color w:val="000000"/>
        </w:rPr>
        <w:tab/>
      </w:r>
      <w:r w:rsidR="00230110" w:rsidRPr="00230110">
        <w:rPr>
          <w:rStyle w:val="s2"/>
          <w:rFonts w:ascii="Arial" w:hAnsi="Arial" w:cs="Arial"/>
          <w:color w:val="000000"/>
        </w:rPr>
        <w:t>As argued by the applicants:</w:t>
      </w:r>
    </w:p>
    <w:p w:rsidR="00370FAC" w:rsidRDefault="00230110" w:rsidP="00362220">
      <w:pPr>
        <w:pStyle w:val="ListParagraph"/>
        <w:numPr>
          <w:ilvl w:val="1"/>
          <w:numId w:val="11"/>
        </w:numPr>
        <w:spacing w:line="360" w:lineRule="auto"/>
        <w:jc w:val="both"/>
        <w:rPr>
          <w:rStyle w:val="s2"/>
          <w:rFonts w:ascii="Arial" w:eastAsia="Times New Roman" w:hAnsi="Arial" w:cs="Arial"/>
          <w:color w:val="000000"/>
        </w:rPr>
      </w:pPr>
      <w:r w:rsidRPr="00AE7223">
        <w:rPr>
          <w:rStyle w:val="s2"/>
          <w:rFonts w:ascii="Arial" w:eastAsia="Times New Roman" w:hAnsi="Arial" w:cs="Arial"/>
          <w:color w:val="000000"/>
        </w:rPr>
        <w:t xml:space="preserve">on the authority in </w:t>
      </w:r>
      <w:r w:rsidR="00362220" w:rsidRPr="00AE7223">
        <w:rPr>
          <w:rStyle w:val="s2"/>
          <w:rFonts w:ascii="Arial" w:eastAsia="Times New Roman" w:hAnsi="Arial" w:cs="Arial"/>
          <w:i/>
          <w:color w:val="000000"/>
        </w:rPr>
        <w:t>Special Investigating Unit v Nadasen and Another</w:t>
      </w:r>
      <w:r w:rsidR="00362220" w:rsidRPr="00AE7223">
        <w:rPr>
          <w:rStyle w:val="FootnoteReference"/>
          <w:rFonts w:ascii="Arial" w:eastAsia="Times New Roman" w:hAnsi="Arial" w:cs="Arial"/>
          <w:i/>
          <w:color w:val="000000"/>
        </w:rPr>
        <w:footnoteReference w:id="4"/>
      </w:r>
      <w:r w:rsidR="00362220" w:rsidRPr="00AE7223">
        <w:rPr>
          <w:rStyle w:val="s2"/>
          <w:rFonts w:ascii="Arial" w:eastAsia="Times New Roman" w:hAnsi="Arial" w:cs="Arial"/>
          <w:color w:val="000000"/>
        </w:rPr>
        <w:t xml:space="preserve"> (“</w:t>
      </w:r>
      <w:r w:rsidR="002D47D0" w:rsidRPr="00AE7223">
        <w:rPr>
          <w:rStyle w:val="s2"/>
          <w:rFonts w:ascii="Arial" w:eastAsia="Times New Roman" w:hAnsi="Arial" w:cs="Arial"/>
          <w:i/>
          <w:color w:val="000000"/>
        </w:rPr>
        <w:t>Nadasen</w:t>
      </w:r>
      <w:r w:rsidR="00362220" w:rsidRPr="00AE7223">
        <w:rPr>
          <w:rStyle w:val="s2"/>
          <w:rFonts w:ascii="Arial" w:eastAsia="Times New Roman" w:hAnsi="Arial" w:cs="Arial"/>
          <w:i/>
          <w:color w:val="000000"/>
        </w:rPr>
        <w:t>”)</w:t>
      </w:r>
      <w:r w:rsidRPr="00370FAC">
        <w:rPr>
          <w:rStyle w:val="s2"/>
          <w:rFonts w:ascii="Arial" w:eastAsia="Times New Roman" w:hAnsi="Arial" w:cs="Arial"/>
          <w:color w:val="000000"/>
        </w:rPr>
        <w:t xml:space="preserve"> properly interpreted, the Tribunal is a court of a status similar to the High Court;</w:t>
      </w:r>
    </w:p>
    <w:p w:rsidR="00370FAC" w:rsidRDefault="00230110" w:rsidP="00370FAC">
      <w:pPr>
        <w:pStyle w:val="ListParagraph"/>
        <w:numPr>
          <w:ilvl w:val="1"/>
          <w:numId w:val="11"/>
        </w:numPr>
        <w:spacing w:line="360" w:lineRule="auto"/>
        <w:jc w:val="both"/>
        <w:rPr>
          <w:rStyle w:val="s2"/>
          <w:rFonts w:ascii="Arial" w:eastAsia="Times New Roman" w:hAnsi="Arial" w:cs="Arial"/>
          <w:color w:val="000000"/>
        </w:rPr>
      </w:pPr>
      <w:r w:rsidRPr="00370FAC">
        <w:rPr>
          <w:rStyle w:val="s2"/>
          <w:rFonts w:ascii="Arial" w:eastAsia="Times New Roman" w:hAnsi="Arial" w:cs="Arial"/>
          <w:color w:val="000000"/>
        </w:rPr>
        <w:t>s1 of the Superior Courts Act defines a Superior Court to include any court of a status similar to the High Court;</w:t>
      </w:r>
    </w:p>
    <w:p w:rsidR="00370FAC" w:rsidRDefault="00230110" w:rsidP="00370FAC">
      <w:pPr>
        <w:pStyle w:val="ListParagraph"/>
        <w:numPr>
          <w:ilvl w:val="1"/>
          <w:numId w:val="11"/>
        </w:numPr>
        <w:spacing w:line="360" w:lineRule="auto"/>
        <w:jc w:val="both"/>
        <w:rPr>
          <w:rStyle w:val="s2"/>
          <w:rFonts w:ascii="Arial" w:eastAsia="Times New Roman" w:hAnsi="Arial" w:cs="Arial"/>
          <w:color w:val="000000"/>
        </w:rPr>
      </w:pPr>
      <w:r w:rsidRPr="00370FAC">
        <w:rPr>
          <w:rStyle w:val="s2"/>
          <w:rFonts w:ascii="Arial" w:eastAsia="Times New Roman" w:hAnsi="Arial" w:cs="Arial"/>
          <w:color w:val="000000"/>
        </w:rPr>
        <w:t>s</w:t>
      </w:r>
      <w:r w:rsidR="00D16339" w:rsidRPr="00370FAC">
        <w:rPr>
          <w:rStyle w:val="s2"/>
          <w:rFonts w:ascii="Arial" w:eastAsia="Times New Roman" w:hAnsi="Arial" w:cs="Arial"/>
          <w:color w:val="000000"/>
        </w:rPr>
        <w:t>2(</w:t>
      </w:r>
      <w:r w:rsidRPr="00370FAC">
        <w:rPr>
          <w:rStyle w:val="s2"/>
          <w:rFonts w:ascii="Arial" w:eastAsia="Times New Roman" w:hAnsi="Arial" w:cs="Arial"/>
          <w:color w:val="000000"/>
        </w:rPr>
        <w:t>3</w:t>
      </w:r>
      <w:r w:rsidR="00D16339" w:rsidRPr="00370FAC">
        <w:rPr>
          <w:rStyle w:val="s2"/>
          <w:rFonts w:ascii="Arial" w:eastAsia="Times New Roman" w:hAnsi="Arial" w:cs="Arial"/>
          <w:color w:val="000000"/>
        </w:rPr>
        <w:t>)</w:t>
      </w:r>
      <w:r w:rsidRPr="00370FAC">
        <w:rPr>
          <w:rStyle w:val="s2"/>
          <w:rFonts w:ascii="Arial" w:eastAsia="Times New Roman" w:hAnsi="Arial" w:cs="Arial"/>
          <w:color w:val="000000"/>
        </w:rPr>
        <w:t xml:space="preserve"> of the Superior Courts Act provides that its provisions are complimentary to any specific legislation pertaining to courts to which that Act applies but in the event of a conflict between this Act and such legislation, such legislation much prevail</w:t>
      </w:r>
      <w:r w:rsidR="002D47D0" w:rsidRPr="00370FAC">
        <w:rPr>
          <w:rStyle w:val="s2"/>
          <w:rFonts w:ascii="Arial" w:eastAsia="Times New Roman" w:hAnsi="Arial" w:cs="Arial"/>
          <w:color w:val="000000"/>
        </w:rPr>
        <w:t>s;</w:t>
      </w:r>
      <w:r w:rsidRPr="00370FAC">
        <w:rPr>
          <w:rStyle w:val="s2"/>
          <w:rFonts w:ascii="Arial" w:eastAsia="Times New Roman" w:hAnsi="Arial" w:cs="Arial"/>
          <w:color w:val="000000"/>
        </w:rPr>
        <w:t> </w:t>
      </w:r>
    </w:p>
    <w:p w:rsidR="00230110" w:rsidRPr="00370FAC" w:rsidRDefault="00230110" w:rsidP="00370FAC">
      <w:pPr>
        <w:pStyle w:val="ListParagraph"/>
        <w:numPr>
          <w:ilvl w:val="1"/>
          <w:numId w:val="11"/>
        </w:numPr>
        <w:spacing w:line="360" w:lineRule="auto"/>
        <w:jc w:val="both"/>
        <w:rPr>
          <w:rStyle w:val="s2"/>
          <w:rFonts w:ascii="Arial" w:eastAsia="Times New Roman" w:hAnsi="Arial" w:cs="Arial"/>
          <w:color w:val="000000"/>
        </w:rPr>
      </w:pPr>
      <w:r w:rsidRPr="00370FAC">
        <w:rPr>
          <w:rStyle w:val="s2"/>
          <w:rFonts w:ascii="Arial" w:eastAsia="Times New Roman" w:hAnsi="Arial" w:cs="Arial"/>
          <w:color w:val="000000"/>
        </w:rPr>
        <w:t>the present facts do not give rise to any conflict between the Superior Courts Act and the SIU Act. </w:t>
      </w:r>
    </w:p>
    <w:p w:rsidR="00796D0D" w:rsidRDefault="00796D0D" w:rsidP="00FC00E1">
      <w:pPr>
        <w:spacing w:line="360" w:lineRule="auto"/>
        <w:jc w:val="both"/>
        <w:rPr>
          <w:rFonts w:ascii="Arial" w:eastAsia="Times New Roman" w:hAnsi="Arial" w:cs="Arial"/>
          <w:color w:val="000000"/>
        </w:rPr>
      </w:pPr>
    </w:p>
    <w:p w:rsidR="002D47D0" w:rsidRPr="00FC00E1" w:rsidRDefault="00370FAC" w:rsidP="00FC00E1">
      <w:pPr>
        <w:spacing w:line="360" w:lineRule="auto"/>
        <w:jc w:val="both"/>
        <w:rPr>
          <w:rFonts w:ascii="Arial" w:eastAsia="Times New Roman" w:hAnsi="Arial" w:cs="Arial"/>
          <w:color w:val="000000"/>
        </w:rPr>
      </w:pPr>
      <w:r>
        <w:rPr>
          <w:rFonts w:ascii="Arial" w:eastAsia="Times New Roman" w:hAnsi="Arial" w:cs="Arial"/>
          <w:color w:val="000000"/>
        </w:rPr>
        <w:t>[31</w:t>
      </w:r>
      <w:r w:rsidR="002D47D0">
        <w:rPr>
          <w:rFonts w:ascii="Arial" w:eastAsia="Times New Roman" w:hAnsi="Arial" w:cs="Arial"/>
          <w:color w:val="000000"/>
        </w:rPr>
        <w:t>]</w:t>
      </w:r>
      <w:r w:rsidR="002D47D0">
        <w:rPr>
          <w:rFonts w:ascii="Arial" w:eastAsia="Times New Roman" w:hAnsi="Arial" w:cs="Arial"/>
          <w:color w:val="000000"/>
        </w:rPr>
        <w:tab/>
      </w:r>
      <w:r>
        <w:rPr>
          <w:rFonts w:ascii="Arial" w:eastAsia="Times New Roman" w:hAnsi="Arial" w:cs="Arial"/>
          <w:color w:val="000000"/>
        </w:rPr>
        <w:t xml:space="preserve">I find that </w:t>
      </w:r>
      <w:r w:rsidR="002D47D0">
        <w:rPr>
          <w:rFonts w:ascii="Arial" w:eastAsia="Times New Roman" w:hAnsi="Arial" w:cs="Arial"/>
          <w:color w:val="000000"/>
        </w:rPr>
        <w:t>the applicants are entitled to seek relief in terms of s18(3) of the Superior Courts Act.</w:t>
      </w:r>
    </w:p>
    <w:p w:rsidR="00230110" w:rsidRDefault="00230110" w:rsidP="00230110">
      <w:pPr>
        <w:pStyle w:val="p2"/>
        <w:spacing w:before="0" w:beforeAutospacing="0" w:after="0" w:afterAutospacing="0" w:line="360" w:lineRule="auto"/>
        <w:jc w:val="both"/>
        <w:rPr>
          <w:rFonts w:ascii="Arial" w:hAnsi="Arial" w:cs="Arial"/>
          <w:color w:val="000000"/>
        </w:rPr>
      </w:pPr>
    </w:p>
    <w:p w:rsidR="008F40D9" w:rsidRPr="00FC00E1" w:rsidRDefault="008F40D9" w:rsidP="00230110">
      <w:pPr>
        <w:pStyle w:val="p2"/>
        <w:spacing w:before="0" w:beforeAutospacing="0" w:after="0" w:afterAutospacing="0" w:line="360" w:lineRule="auto"/>
        <w:jc w:val="both"/>
        <w:rPr>
          <w:rFonts w:ascii="Arial" w:hAnsi="Arial" w:cs="Arial"/>
          <w:b/>
          <w:color w:val="000000"/>
        </w:rPr>
      </w:pPr>
      <w:r w:rsidRPr="00FC00E1">
        <w:rPr>
          <w:rFonts w:ascii="Arial" w:hAnsi="Arial" w:cs="Arial"/>
          <w:b/>
          <w:color w:val="000000"/>
        </w:rPr>
        <w:t xml:space="preserve">URGENCY </w:t>
      </w:r>
    </w:p>
    <w:p w:rsidR="008F40D9" w:rsidRDefault="008F40D9" w:rsidP="00230110">
      <w:pPr>
        <w:pStyle w:val="p2"/>
        <w:spacing w:before="0" w:beforeAutospacing="0" w:after="0" w:afterAutospacing="0" w:line="360" w:lineRule="auto"/>
        <w:jc w:val="both"/>
        <w:rPr>
          <w:rFonts w:ascii="Arial" w:hAnsi="Arial" w:cs="Arial"/>
          <w:color w:val="000000"/>
        </w:rPr>
      </w:pPr>
    </w:p>
    <w:p w:rsidR="00AE7223" w:rsidRDefault="008F40D9" w:rsidP="008F40D9">
      <w:pPr>
        <w:pStyle w:val="p3"/>
        <w:spacing w:before="0" w:beforeAutospacing="0" w:after="0" w:afterAutospacing="0" w:line="360" w:lineRule="auto"/>
        <w:jc w:val="both"/>
        <w:rPr>
          <w:rStyle w:val="s2"/>
          <w:rFonts w:ascii="Arial" w:hAnsi="Arial" w:cs="Arial"/>
          <w:color w:val="000000"/>
        </w:rPr>
      </w:pPr>
      <w:r>
        <w:rPr>
          <w:rStyle w:val="s2"/>
          <w:rFonts w:ascii="Arial" w:hAnsi="Arial" w:cs="Arial"/>
          <w:color w:val="000000"/>
        </w:rPr>
        <w:t>[3</w:t>
      </w:r>
      <w:r w:rsidR="00370FAC">
        <w:rPr>
          <w:rStyle w:val="s2"/>
          <w:rFonts w:ascii="Arial" w:hAnsi="Arial" w:cs="Arial"/>
          <w:color w:val="000000"/>
        </w:rPr>
        <w:t>2</w:t>
      </w:r>
      <w:r>
        <w:rPr>
          <w:rStyle w:val="s2"/>
          <w:rFonts w:ascii="Arial" w:hAnsi="Arial" w:cs="Arial"/>
          <w:color w:val="000000"/>
        </w:rPr>
        <w:t>]</w:t>
      </w:r>
      <w:r>
        <w:rPr>
          <w:rStyle w:val="s2"/>
          <w:rFonts w:ascii="Arial" w:hAnsi="Arial" w:cs="Arial"/>
          <w:color w:val="000000"/>
        </w:rPr>
        <w:tab/>
      </w:r>
      <w:r w:rsidRPr="00230110">
        <w:rPr>
          <w:rStyle w:val="s2"/>
          <w:rFonts w:ascii="Arial" w:hAnsi="Arial" w:cs="Arial"/>
          <w:color w:val="000000"/>
        </w:rPr>
        <w:t xml:space="preserve">The Ndlovu respondents’ contention that the application is not urgent lacks merit. They have not tendered in the present application to </w:t>
      </w:r>
      <w:r w:rsidR="00370FAC">
        <w:rPr>
          <w:rStyle w:val="s2"/>
          <w:rFonts w:ascii="Arial" w:hAnsi="Arial" w:cs="Arial"/>
          <w:color w:val="000000"/>
        </w:rPr>
        <w:t xml:space="preserve">comply with the preservation orders by </w:t>
      </w:r>
      <w:r w:rsidRPr="00230110">
        <w:rPr>
          <w:rStyle w:val="s2"/>
          <w:rFonts w:ascii="Arial" w:hAnsi="Arial" w:cs="Arial"/>
          <w:color w:val="000000"/>
        </w:rPr>
        <w:t>surrender</w:t>
      </w:r>
      <w:r w:rsidR="00370FAC">
        <w:rPr>
          <w:rStyle w:val="s2"/>
          <w:rFonts w:ascii="Arial" w:hAnsi="Arial" w:cs="Arial"/>
          <w:color w:val="000000"/>
        </w:rPr>
        <w:t>ing</w:t>
      </w:r>
      <w:r w:rsidRPr="00230110">
        <w:rPr>
          <w:rStyle w:val="s2"/>
          <w:rFonts w:ascii="Arial" w:hAnsi="Arial" w:cs="Arial"/>
          <w:color w:val="000000"/>
        </w:rPr>
        <w:t xml:space="preserve"> to the </w:t>
      </w:r>
      <w:r w:rsidRPr="00370FAC">
        <w:rPr>
          <w:rStyle w:val="s2"/>
          <w:rFonts w:ascii="Arial" w:hAnsi="Arial" w:cs="Arial"/>
          <w:i/>
          <w:color w:val="000000"/>
        </w:rPr>
        <w:t>curator bonis</w:t>
      </w:r>
      <w:r w:rsidRPr="00230110">
        <w:rPr>
          <w:rStyle w:val="s2"/>
          <w:rFonts w:ascii="Arial" w:hAnsi="Arial" w:cs="Arial"/>
          <w:color w:val="000000"/>
        </w:rPr>
        <w:t xml:space="preserve"> control of the assets that </w:t>
      </w:r>
      <w:r w:rsidR="002D47D0">
        <w:rPr>
          <w:rStyle w:val="s2"/>
          <w:rFonts w:ascii="Arial" w:hAnsi="Arial" w:cs="Arial"/>
          <w:color w:val="000000"/>
        </w:rPr>
        <w:t xml:space="preserve">they </w:t>
      </w:r>
      <w:r w:rsidR="002D47D0">
        <w:rPr>
          <w:rStyle w:val="s2"/>
          <w:rFonts w:ascii="Arial" w:hAnsi="Arial" w:cs="Arial"/>
          <w:color w:val="000000"/>
        </w:rPr>
        <w:lastRenderedPageBreak/>
        <w:t xml:space="preserve">are </w:t>
      </w:r>
      <w:r w:rsidRPr="00230110">
        <w:rPr>
          <w:rStyle w:val="s2"/>
          <w:rFonts w:ascii="Arial" w:hAnsi="Arial" w:cs="Arial"/>
          <w:color w:val="000000"/>
        </w:rPr>
        <w:t>yet to entrust to him. The intended appeal might take more than two years to dispose of, particularly if the Ndlovu respondents opt to exhaust the appellate processes at their disposal. In that time, the preserved assets will be vulnerable to disposal through loss or damage.</w:t>
      </w:r>
    </w:p>
    <w:p w:rsidR="008F40D9" w:rsidRPr="00230110" w:rsidRDefault="008F40D9" w:rsidP="008F40D9">
      <w:pPr>
        <w:pStyle w:val="p3"/>
        <w:spacing w:before="0" w:beforeAutospacing="0" w:after="0" w:afterAutospacing="0" w:line="360" w:lineRule="auto"/>
        <w:jc w:val="both"/>
        <w:rPr>
          <w:rFonts w:ascii="Arial" w:hAnsi="Arial" w:cs="Arial"/>
          <w:color w:val="000000"/>
        </w:rPr>
      </w:pPr>
      <w:r w:rsidRPr="00230110">
        <w:rPr>
          <w:rStyle w:val="s2"/>
          <w:rFonts w:ascii="Arial" w:hAnsi="Arial" w:cs="Arial"/>
          <w:color w:val="000000"/>
        </w:rPr>
        <w:t> </w:t>
      </w:r>
    </w:p>
    <w:p w:rsidR="008F40D9" w:rsidRPr="00230110" w:rsidRDefault="008F40D9" w:rsidP="008F40D9">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[3</w:t>
      </w:r>
      <w:r w:rsidR="00370FAC">
        <w:rPr>
          <w:rStyle w:val="s2"/>
          <w:rFonts w:ascii="Arial" w:hAnsi="Arial" w:cs="Arial"/>
          <w:color w:val="000000"/>
        </w:rPr>
        <w:t>3</w:t>
      </w:r>
      <w:r>
        <w:rPr>
          <w:rStyle w:val="s2"/>
          <w:rFonts w:ascii="Arial" w:hAnsi="Arial" w:cs="Arial"/>
          <w:color w:val="000000"/>
        </w:rPr>
        <w:t>]</w:t>
      </w:r>
      <w:r>
        <w:rPr>
          <w:rStyle w:val="s2"/>
          <w:rFonts w:ascii="Arial" w:hAnsi="Arial" w:cs="Arial"/>
          <w:color w:val="000000"/>
        </w:rPr>
        <w:tab/>
      </w:r>
      <w:r w:rsidRPr="00230110">
        <w:rPr>
          <w:rStyle w:val="s2"/>
          <w:rFonts w:ascii="Arial" w:hAnsi="Arial" w:cs="Arial"/>
          <w:color w:val="000000"/>
        </w:rPr>
        <w:t>These circumstances are exceptional, justifying the granting of the application. </w:t>
      </w:r>
    </w:p>
    <w:p w:rsidR="00370FAC" w:rsidRDefault="00370FAC" w:rsidP="00230110">
      <w:pPr>
        <w:pStyle w:val="p2"/>
        <w:spacing w:before="0" w:beforeAutospacing="0" w:after="0" w:afterAutospacing="0" w:line="360" w:lineRule="auto"/>
        <w:jc w:val="both"/>
        <w:rPr>
          <w:rFonts w:ascii="Arial" w:hAnsi="Arial" w:cs="Arial"/>
          <w:b/>
          <w:color w:val="000000"/>
        </w:rPr>
      </w:pPr>
    </w:p>
    <w:p w:rsidR="008F40D9" w:rsidRPr="008F40D9" w:rsidRDefault="008F40D9" w:rsidP="00230110">
      <w:pPr>
        <w:pStyle w:val="p2"/>
        <w:spacing w:before="0" w:beforeAutospacing="0" w:after="0" w:afterAutospacing="0" w:line="360" w:lineRule="auto"/>
        <w:jc w:val="both"/>
        <w:rPr>
          <w:rFonts w:ascii="Arial" w:hAnsi="Arial" w:cs="Arial"/>
          <w:b/>
          <w:color w:val="000000"/>
        </w:rPr>
      </w:pPr>
      <w:r w:rsidRPr="008F40D9">
        <w:rPr>
          <w:rFonts w:ascii="Arial" w:hAnsi="Arial" w:cs="Arial"/>
          <w:b/>
          <w:color w:val="000000"/>
        </w:rPr>
        <w:t>CONCLUSION</w:t>
      </w:r>
    </w:p>
    <w:p w:rsidR="008F40D9" w:rsidRPr="00230110" w:rsidRDefault="008F40D9" w:rsidP="00230110">
      <w:pPr>
        <w:pStyle w:val="p2"/>
        <w:spacing w:before="0" w:beforeAutospacing="0" w:after="0" w:afterAutospacing="0" w:line="360" w:lineRule="auto"/>
        <w:jc w:val="both"/>
        <w:rPr>
          <w:rFonts w:ascii="Arial" w:hAnsi="Arial" w:cs="Arial"/>
          <w:color w:val="000000"/>
        </w:rPr>
      </w:pPr>
    </w:p>
    <w:p w:rsidR="00230110" w:rsidRPr="00230110" w:rsidRDefault="008F40D9" w:rsidP="00230110">
      <w:pPr>
        <w:pStyle w:val="p3"/>
        <w:spacing w:before="0" w:beforeAutospacing="0" w:after="0" w:afterAutospacing="0" w:line="360" w:lineRule="auto"/>
        <w:jc w:val="both"/>
        <w:rPr>
          <w:rFonts w:ascii="Arial" w:hAnsi="Arial" w:cs="Arial"/>
          <w:color w:val="000000"/>
        </w:rPr>
      </w:pPr>
      <w:r>
        <w:rPr>
          <w:rStyle w:val="s2"/>
          <w:rFonts w:ascii="Arial" w:hAnsi="Arial" w:cs="Arial"/>
          <w:color w:val="000000"/>
        </w:rPr>
        <w:t>[3</w:t>
      </w:r>
      <w:r w:rsidR="00370FAC">
        <w:rPr>
          <w:rStyle w:val="s2"/>
          <w:rFonts w:ascii="Arial" w:hAnsi="Arial" w:cs="Arial"/>
          <w:color w:val="000000"/>
        </w:rPr>
        <w:t>4</w:t>
      </w:r>
      <w:r>
        <w:rPr>
          <w:rStyle w:val="s2"/>
          <w:rFonts w:ascii="Arial" w:hAnsi="Arial" w:cs="Arial"/>
          <w:color w:val="000000"/>
        </w:rPr>
        <w:t>]</w:t>
      </w:r>
      <w:r>
        <w:rPr>
          <w:rStyle w:val="s2"/>
          <w:rFonts w:ascii="Arial" w:hAnsi="Arial" w:cs="Arial"/>
          <w:color w:val="000000"/>
        </w:rPr>
        <w:tab/>
      </w:r>
      <w:r w:rsidR="00230110" w:rsidRPr="00230110">
        <w:rPr>
          <w:rStyle w:val="s2"/>
          <w:rFonts w:ascii="Arial" w:hAnsi="Arial" w:cs="Arial"/>
          <w:color w:val="000000"/>
        </w:rPr>
        <w:t>The applicants made out a proper case for the granting of the order in terms of s18(3) of the Superior Courts Act. </w:t>
      </w:r>
    </w:p>
    <w:p w:rsidR="00230110" w:rsidRDefault="00230110" w:rsidP="00625EB5">
      <w:pPr>
        <w:spacing w:line="360" w:lineRule="auto"/>
        <w:jc w:val="right"/>
        <w:rPr>
          <w:rFonts w:ascii="Arial" w:eastAsia="Times New Roman" w:hAnsi="Arial" w:cs="Arial"/>
        </w:rPr>
      </w:pPr>
      <w:bookmarkStart w:id="1" w:name="_GoBack"/>
      <w:bookmarkEnd w:id="1"/>
    </w:p>
    <w:p w:rsidR="006649AF" w:rsidRPr="00ED0C22" w:rsidRDefault="00495E3E" w:rsidP="00FC00E1">
      <w:pPr>
        <w:jc w:val="center"/>
        <w:rPr>
          <w:rFonts w:ascii="Arial" w:hAnsi="Arial" w:cs="Arial"/>
          <w:b/>
          <w:bCs/>
          <w:u w:val="single"/>
          <w:lang w:val="en-GB"/>
        </w:rPr>
      </w:pPr>
      <w:r>
        <w:rPr>
          <w:rFonts w:ascii="Arial" w:eastAsia="Times New Roman" w:hAnsi="Arial" w:cs="Arial"/>
        </w:rPr>
        <w:t xml:space="preserve">                                           </w:t>
      </w:r>
      <w:r w:rsidR="00625EB5">
        <w:rPr>
          <w:rFonts w:ascii="Arial" w:eastAsia="Times New Roman" w:hAnsi="Arial" w:cs="Arial"/>
        </w:rPr>
        <w:t xml:space="preserve">             </w:t>
      </w:r>
      <w:r>
        <w:rPr>
          <w:rFonts w:ascii="Arial" w:hAnsi="Arial" w:cs="Arial"/>
          <w:b/>
          <w:bCs/>
          <w:u w:val="single"/>
          <w:lang w:val="en-GB"/>
        </w:rPr>
        <w:t>______</w:t>
      </w:r>
      <w:r w:rsidR="006649AF" w:rsidRPr="00ED0C22">
        <w:rPr>
          <w:rFonts w:ascii="Arial" w:hAnsi="Arial" w:cs="Arial"/>
          <w:b/>
          <w:bCs/>
          <w:u w:val="single"/>
          <w:lang w:val="en-GB"/>
        </w:rPr>
        <w:tab/>
      </w:r>
      <w:r w:rsidR="006649AF">
        <w:rPr>
          <w:rFonts w:ascii="Arial" w:hAnsi="Arial" w:cs="Arial"/>
          <w:b/>
          <w:bCs/>
          <w:u w:val="single"/>
          <w:lang w:val="en-GB"/>
        </w:rPr>
        <w:t>_________________</w:t>
      </w:r>
      <w:r w:rsidR="00625EB5">
        <w:rPr>
          <w:rFonts w:ascii="Arial" w:hAnsi="Arial" w:cs="Arial"/>
          <w:b/>
          <w:bCs/>
          <w:u w:val="single"/>
          <w:lang w:val="en-GB"/>
        </w:rPr>
        <w:t>_________</w:t>
      </w:r>
    </w:p>
    <w:p w:rsidR="006649AF" w:rsidRPr="00ED0C22" w:rsidRDefault="00495E3E" w:rsidP="00625EB5">
      <w:pPr>
        <w:spacing w:line="276" w:lineRule="auto"/>
        <w:ind w:left="2160" w:firstLine="720"/>
        <w:jc w:val="right"/>
        <w:rPr>
          <w:rFonts w:ascii="Arial" w:hAnsi="Arial" w:cs="Arial"/>
          <w:b/>
          <w:lang w:val="en-GB"/>
        </w:rPr>
      </w:pPr>
      <w:r>
        <w:rPr>
          <w:rFonts w:ascii="Arial" w:hAnsi="Arial" w:cs="Arial"/>
          <w:b/>
          <w:lang w:val="en-GB"/>
        </w:rPr>
        <w:t xml:space="preserve">                 </w:t>
      </w:r>
      <w:r w:rsidR="006649AF">
        <w:rPr>
          <w:rFonts w:ascii="Arial" w:hAnsi="Arial" w:cs="Arial"/>
          <w:b/>
          <w:lang w:val="en-GB"/>
        </w:rPr>
        <w:t>JUDGE L</w:t>
      </w:r>
      <w:r>
        <w:rPr>
          <w:rFonts w:ascii="Arial" w:hAnsi="Arial" w:cs="Arial"/>
          <w:b/>
          <w:lang w:val="en-GB"/>
        </w:rPr>
        <w:t>.</w:t>
      </w:r>
      <w:r w:rsidR="006649AF">
        <w:rPr>
          <w:rFonts w:ascii="Arial" w:hAnsi="Arial" w:cs="Arial"/>
          <w:b/>
          <w:lang w:val="en-GB"/>
        </w:rPr>
        <w:t>T M</w:t>
      </w:r>
      <w:r w:rsidR="006649AF" w:rsidRPr="00ED0C22">
        <w:rPr>
          <w:rFonts w:ascii="Arial" w:hAnsi="Arial" w:cs="Arial"/>
          <w:b/>
          <w:lang w:val="en-GB"/>
        </w:rPr>
        <w:t>ODIBA</w:t>
      </w:r>
    </w:p>
    <w:p w:rsidR="006649AF" w:rsidRPr="00ED0C22" w:rsidRDefault="00495E3E" w:rsidP="00625EB5">
      <w:pPr>
        <w:spacing w:line="276" w:lineRule="auto"/>
        <w:ind w:left="1440" w:firstLine="720"/>
        <w:jc w:val="right"/>
        <w:rPr>
          <w:rFonts w:ascii="Arial" w:hAnsi="Arial" w:cs="Arial"/>
          <w:b/>
          <w:bCs/>
          <w:lang w:val="en-GB"/>
        </w:rPr>
      </w:pPr>
      <w:r>
        <w:rPr>
          <w:rFonts w:ascii="Arial" w:hAnsi="Arial" w:cs="Arial"/>
          <w:b/>
          <w:lang w:val="en-GB"/>
        </w:rPr>
        <w:t xml:space="preserve">                       PRESIDENT </w:t>
      </w:r>
      <w:r w:rsidR="006649AF" w:rsidRPr="00ED0C22">
        <w:rPr>
          <w:rFonts w:ascii="Arial" w:hAnsi="Arial" w:cs="Arial"/>
          <w:b/>
          <w:lang w:val="en-GB"/>
        </w:rPr>
        <w:t>OF THE SPECIAL TRIBUNAL</w:t>
      </w:r>
    </w:p>
    <w:p w:rsidR="006649AF" w:rsidRPr="00230110" w:rsidRDefault="006649AF" w:rsidP="00230110">
      <w:pPr>
        <w:spacing w:line="360" w:lineRule="auto"/>
        <w:jc w:val="both"/>
        <w:rPr>
          <w:rFonts w:ascii="Arial" w:eastAsia="Times New Roman" w:hAnsi="Arial" w:cs="Arial"/>
        </w:rPr>
      </w:pPr>
    </w:p>
    <w:p w:rsidR="0095459D" w:rsidRPr="00FC00E1" w:rsidRDefault="007A4A6B" w:rsidP="00230110">
      <w:pPr>
        <w:spacing w:line="360" w:lineRule="auto"/>
        <w:jc w:val="both"/>
        <w:rPr>
          <w:rFonts w:ascii="Arial" w:hAnsi="Arial" w:cs="Arial"/>
          <w:b/>
        </w:rPr>
      </w:pPr>
      <w:r w:rsidRPr="00FC00E1">
        <w:rPr>
          <w:rFonts w:ascii="Arial" w:hAnsi="Arial" w:cs="Arial"/>
          <w:b/>
        </w:rPr>
        <w:t xml:space="preserve">APPEARANCES </w:t>
      </w:r>
    </w:p>
    <w:p w:rsidR="006649AF" w:rsidRDefault="006649AF" w:rsidP="00FC00E1">
      <w:pPr>
        <w:spacing w:line="480" w:lineRule="auto"/>
        <w:jc w:val="both"/>
        <w:rPr>
          <w:rFonts w:ascii="Arial" w:hAnsi="Arial" w:cs="Arial"/>
        </w:rPr>
      </w:pPr>
      <w:r>
        <w:rPr>
          <w:rFonts w:ascii="Arial" w:hAnsi="Arial" w:cs="Arial"/>
        </w:rPr>
        <w:t>Counsel for the applicants:</w:t>
      </w:r>
      <w:r>
        <w:rPr>
          <w:rFonts w:ascii="Arial" w:hAnsi="Arial" w:cs="Arial"/>
        </w:rPr>
        <w:tab/>
      </w:r>
      <w:r>
        <w:rPr>
          <w:rFonts w:ascii="Arial" w:hAnsi="Arial" w:cs="Arial"/>
        </w:rPr>
        <w:tab/>
      </w:r>
      <w:r w:rsidRPr="00ED0C22">
        <w:rPr>
          <w:rFonts w:ascii="Arial" w:hAnsi="Arial" w:cs="Arial"/>
        </w:rPr>
        <w:t>Adv.</w:t>
      </w:r>
      <w:r w:rsidRPr="00ED0C22">
        <w:rPr>
          <w:rFonts w:ascii="Arial" w:hAnsi="Arial" w:cs="Arial"/>
          <w:color w:val="000000"/>
        </w:rPr>
        <w:t xml:space="preserve"> </w:t>
      </w:r>
      <w:r>
        <w:rPr>
          <w:rStyle w:val="s2"/>
          <w:rFonts w:ascii="Arial" w:hAnsi="Arial" w:cs="Arial"/>
          <w:color w:val="000000"/>
        </w:rPr>
        <w:t>B</w:t>
      </w:r>
      <w:r w:rsidRPr="00ED0C22">
        <w:rPr>
          <w:rStyle w:val="s2"/>
          <w:rFonts w:ascii="Arial" w:hAnsi="Arial" w:cs="Arial"/>
          <w:color w:val="000000"/>
        </w:rPr>
        <w:t xml:space="preserve"> Roux SC</w:t>
      </w:r>
      <w:r>
        <w:rPr>
          <w:rFonts w:ascii="Arial" w:hAnsi="Arial" w:cs="Arial"/>
        </w:rPr>
        <w:t>, assisted by Adv. I Currie and Adv. J Singh.</w:t>
      </w:r>
    </w:p>
    <w:p w:rsidR="006649AF" w:rsidRDefault="006649AF" w:rsidP="00FC00E1">
      <w:pPr>
        <w:spacing w:line="480" w:lineRule="auto"/>
        <w:jc w:val="both"/>
        <w:rPr>
          <w:rFonts w:ascii="Arial" w:hAnsi="Arial" w:cs="Arial"/>
        </w:rPr>
      </w:pPr>
      <w:r>
        <w:rPr>
          <w:rFonts w:ascii="Arial" w:hAnsi="Arial" w:cs="Arial"/>
        </w:rPr>
        <w:t xml:space="preserve">Attorney for the Applicants: </w:t>
      </w:r>
      <w:r>
        <w:rPr>
          <w:rFonts w:ascii="Arial" w:hAnsi="Arial" w:cs="Arial"/>
        </w:rPr>
        <w:tab/>
        <w:t>Mr R</w:t>
      </w:r>
      <w:r w:rsidRPr="00ED0C22">
        <w:rPr>
          <w:rFonts w:ascii="Arial" w:hAnsi="Arial" w:cs="Arial"/>
        </w:rPr>
        <w:t xml:space="preserve"> Mood</w:t>
      </w:r>
      <w:r>
        <w:rPr>
          <w:rFonts w:ascii="Arial" w:hAnsi="Arial" w:cs="Arial"/>
        </w:rPr>
        <w:t>ley, Cliffe Dekker Hofmeyr Inc.</w:t>
      </w:r>
    </w:p>
    <w:p w:rsidR="006649AF" w:rsidRPr="00ED0C22" w:rsidRDefault="006649AF" w:rsidP="006649AF">
      <w:pPr>
        <w:spacing w:before="240" w:after="240"/>
        <w:rPr>
          <w:rFonts w:ascii="Arial" w:hAnsi="Arial" w:cs="Arial"/>
          <w:b/>
          <w:bCs/>
        </w:rPr>
      </w:pPr>
      <w:r>
        <w:rPr>
          <w:rFonts w:ascii="Arial" w:hAnsi="Arial" w:cs="Arial"/>
        </w:rPr>
        <w:t>Counsel for the Respondents:</w:t>
      </w:r>
      <w:r>
        <w:rPr>
          <w:rFonts w:ascii="Arial" w:hAnsi="Arial" w:cs="Arial"/>
        </w:rPr>
        <w:tab/>
        <w:t xml:space="preserve">Adv. Mphaga assisted by, SC Adv. ME Manala </w:t>
      </w:r>
    </w:p>
    <w:p w:rsidR="007A4A6B" w:rsidRDefault="006649AF" w:rsidP="006649AF">
      <w:pPr>
        <w:spacing w:line="480" w:lineRule="auto"/>
        <w:jc w:val="both"/>
        <w:rPr>
          <w:rFonts w:ascii="Arial" w:hAnsi="Arial" w:cs="Arial"/>
        </w:rPr>
      </w:pPr>
      <w:r w:rsidRPr="00ED0C22">
        <w:rPr>
          <w:rFonts w:ascii="Arial" w:hAnsi="Arial" w:cs="Arial"/>
        </w:rPr>
        <w:t>A</w:t>
      </w:r>
      <w:r>
        <w:rPr>
          <w:rFonts w:ascii="Arial" w:hAnsi="Arial" w:cs="Arial"/>
        </w:rPr>
        <w:t>ttorney for the Respondents:</w:t>
      </w:r>
      <w:r>
        <w:rPr>
          <w:rFonts w:ascii="Arial" w:hAnsi="Arial" w:cs="Arial"/>
        </w:rPr>
        <w:tab/>
        <w:t>Mr T Manala, Manala &amp; CO Incorporated</w:t>
      </w:r>
    </w:p>
    <w:p w:rsidR="006649AF" w:rsidRDefault="006649AF" w:rsidP="00FC00E1">
      <w:pPr>
        <w:spacing w:line="480" w:lineRule="auto"/>
        <w:jc w:val="both"/>
        <w:rPr>
          <w:rFonts w:ascii="Arial" w:hAnsi="Arial" w:cs="Arial"/>
        </w:rPr>
      </w:pPr>
      <w:r w:rsidRPr="00ED0C22">
        <w:rPr>
          <w:rFonts w:ascii="Arial" w:hAnsi="Arial" w:cs="Arial"/>
        </w:rPr>
        <w:t xml:space="preserve">Date of hearing: </w:t>
      </w:r>
      <w:r w:rsidRPr="00ED0C22">
        <w:rPr>
          <w:rFonts w:ascii="Arial" w:hAnsi="Arial" w:cs="Arial"/>
        </w:rPr>
        <w:tab/>
        <w:t>Not applica</w:t>
      </w:r>
      <w:r>
        <w:rPr>
          <w:rFonts w:ascii="Arial" w:hAnsi="Arial" w:cs="Arial"/>
        </w:rPr>
        <w:t>ble. Application determined on w</w:t>
      </w:r>
      <w:r w:rsidRPr="00ED0C22">
        <w:rPr>
          <w:rFonts w:ascii="Arial" w:hAnsi="Arial" w:cs="Arial"/>
        </w:rPr>
        <w:t>ri</w:t>
      </w:r>
      <w:r>
        <w:rPr>
          <w:rFonts w:ascii="Arial" w:hAnsi="Arial" w:cs="Arial"/>
        </w:rPr>
        <w:t>tten s</w:t>
      </w:r>
      <w:r w:rsidRPr="00ED0C22">
        <w:rPr>
          <w:rFonts w:ascii="Arial" w:hAnsi="Arial" w:cs="Arial"/>
        </w:rPr>
        <w:t>ubmissions.</w:t>
      </w:r>
    </w:p>
    <w:p w:rsidR="00EA18A2" w:rsidRDefault="00EA18A2" w:rsidP="00EA18A2">
      <w:pPr>
        <w:tabs>
          <w:tab w:val="left" w:pos="709"/>
          <w:tab w:val="left" w:pos="1560"/>
          <w:tab w:val="right" w:pos="8931"/>
        </w:tabs>
        <w:spacing w:after="480" w:line="480" w:lineRule="auto"/>
        <w:jc w:val="both"/>
        <w:rPr>
          <w:rFonts w:ascii="Arial" w:eastAsia="Times New Roman" w:hAnsi="Arial" w:cs="Arial"/>
          <w:i/>
          <w:color w:val="222222"/>
        </w:rPr>
      </w:pPr>
      <w:r w:rsidRPr="00251CD3">
        <w:rPr>
          <w:rFonts w:ascii="Arial" w:eastAsia="Times New Roman" w:hAnsi="Arial" w:cs="Arial"/>
          <w:b/>
          <w:i/>
          <w:lang w:eastAsia="en-GB"/>
        </w:rPr>
        <w:t>Mode of delivery:</w:t>
      </w:r>
      <w:r w:rsidRPr="00251CD3">
        <w:rPr>
          <w:rFonts w:ascii="Arial" w:eastAsia="Times New Roman" w:hAnsi="Arial" w:cs="Arial"/>
          <w:i/>
          <w:lang w:eastAsia="en-GB"/>
        </w:rPr>
        <w:t xml:space="preserve"> </w:t>
      </w:r>
      <w:r>
        <w:rPr>
          <w:rFonts w:ascii="Arial" w:eastAsia="Times New Roman" w:hAnsi="Arial" w:cs="Arial"/>
          <w:i/>
          <w:lang w:eastAsia="en-GB"/>
        </w:rPr>
        <w:t xml:space="preserve">these reasons were </w:t>
      </w:r>
      <w:r>
        <w:rPr>
          <w:rFonts w:ascii="Arial" w:eastAsia="Times New Roman" w:hAnsi="Arial" w:cs="Arial"/>
          <w:i/>
          <w:color w:val="222222"/>
        </w:rPr>
        <w:t>circulated</w:t>
      </w:r>
      <w:r w:rsidRPr="00251CD3">
        <w:rPr>
          <w:rFonts w:ascii="Arial" w:eastAsia="Times New Roman" w:hAnsi="Arial" w:cs="Arial"/>
          <w:i/>
          <w:color w:val="222222"/>
        </w:rPr>
        <w:t xml:space="preserve"> to the parties</w:t>
      </w:r>
      <w:r>
        <w:rPr>
          <w:rFonts w:ascii="Arial" w:eastAsia="Times New Roman" w:hAnsi="Arial" w:cs="Arial"/>
          <w:i/>
          <w:color w:val="222222"/>
        </w:rPr>
        <w:t xml:space="preserve">’ legal representatives by email, released to SAFLII and uploaded to Caselines at 2pm on 31 January 2023.  </w:t>
      </w:r>
    </w:p>
    <w:p w:rsidR="00EA18A2" w:rsidRPr="008F40D9" w:rsidRDefault="00EA18A2" w:rsidP="00FC00E1">
      <w:pPr>
        <w:spacing w:line="480" w:lineRule="auto"/>
        <w:jc w:val="both"/>
        <w:rPr>
          <w:rFonts w:ascii="Arial" w:hAnsi="Arial" w:cs="Arial"/>
        </w:rPr>
      </w:pPr>
    </w:p>
    <w:sectPr w:rsidR="00EA18A2" w:rsidRPr="008F40D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FB1" w:rsidRDefault="00FC2FB1" w:rsidP="00230110">
      <w:r>
        <w:separator/>
      </w:r>
    </w:p>
  </w:endnote>
  <w:endnote w:type="continuationSeparator" w:id="0">
    <w:p w:rsidR="00FC2FB1" w:rsidRDefault="00FC2FB1" w:rsidP="0023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FB1" w:rsidRDefault="00FC2FB1" w:rsidP="00230110">
      <w:r>
        <w:separator/>
      </w:r>
    </w:p>
  </w:footnote>
  <w:footnote w:type="continuationSeparator" w:id="0">
    <w:p w:rsidR="00FC2FB1" w:rsidRDefault="00FC2FB1" w:rsidP="00230110">
      <w:r>
        <w:continuationSeparator/>
      </w:r>
    </w:p>
  </w:footnote>
  <w:footnote w:id="1">
    <w:p w:rsidR="00230110" w:rsidRPr="00230110" w:rsidRDefault="00230110">
      <w:pPr>
        <w:pStyle w:val="FootnoteText"/>
        <w:rPr>
          <w:lang w:val="en-GB"/>
        </w:rPr>
      </w:pPr>
      <w:r>
        <w:rPr>
          <w:rStyle w:val="FootnoteReference"/>
        </w:rPr>
        <w:footnoteRef/>
      </w:r>
      <w:r>
        <w:t xml:space="preserve"> </w:t>
      </w:r>
      <w:r>
        <w:rPr>
          <w:lang w:val="en-GB"/>
        </w:rPr>
        <w:t>Act no. 10 of 2013.</w:t>
      </w:r>
    </w:p>
  </w:footnote>
  <w:footnote w:id="2">
    <w:p w:rsidR="00204092" w:rsidRPr="00FC00E1" w:rsidRDefault="00204092">
      <w:pPr>
        <w:pStyle w:val="FootnoteText"/>
        <w:rPr>
          <w:lang w:val="en-GB"/>
        </w:rPr>
      </w:pPr>
      <w:r>
        <w:rPr>
          <w:rStyle w:val="FootnoteReference"/>
        </w:rPr>
        <w:footnoteRef/>
      </w:r>
      <w:r>
        <w:t xml:space="preserve"> </w:t>
      </w:r>
      <w:r>
        <w:rPr>
          <w:lang w:val="en-GB"/>
        </w:rPr>
        <w:t>Act 74 of 1996.</w:t>
      </w:r>
    </w:p>
  </w:footnote>
  <w:footnote w:id="3">
    <w:p w:rsidR="00FC07EB" w:rsidRPr="00FC07EB" w:rsidRDefault="00FC07EB">
      <w:pPr>
        <w:pStyle w:val="FootnoteText"/>
        <w:rPr>
          <w:lang w:val="en-GB"/>
        </w:rPr>
      </w:pPr>
      <w:r>
        <w:rPr>
          <w:rStyle w:val="FootnoteReference"/>
        </w:rPr>
        <w:footnoteRef/>
      </w:r>
      <w:r>
        <w:t xml:space="preserve"> [C</w:t>
      </w:r>
      <w:r w:rsidRPr="00FC07EB">
        <w:t>ase no. GP 07/2020] 17/23 February 2022</w:t>
      </w:r>
    </w:p>
  </w:footnote>
  <w:footnote w:id="4">
    <w:p w:rsidR="00362220" w:rsidRPr="00362220" w:rsidRDefault="00362220">
      <w:pPr>
        <w:pStyle w:val="FootnoteText"/>
        <w:rPr>
          <w:lang w:val="en-GB"/>
        </w:rPr>
      </w:pPr>
      <w:r>
        <w:rPr>
          <w:rStyle w:val="FootnoteReference"/>
        </w:rPr>
        <w:footnoteRef/>
      </w:r>
      <w:r>
        <w:t xml:space="preserve"> </w:t>
      </w:r>
      <w:r w:rsidRPr="00362220">
        <w:t>2002 (4) SA 605 (SCA)</w:t>
      </w:r>
      <w:r>
        <w:t xml:space="preserve">. </w:t>
      </w:r>
      <w:r w:rsidRPr="0036222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8F40D9" w:rsidRDefault="008F40D9">
        <w:pPr>
          <w:pStyle w:val="Header"/>
          <w:jc w:val="right"/>
        </w:pPr>
        <w:r>
          <w:t xml:space="preserve">Page </w:t>
        </w:r>
        <w:r>
          <w:rPr>
            <w:b/>
            <w:bCs/>
          </w:rPr>
          <w:fldChar w:fldCharType="begin"/>
        </w:r>
        <w:r>
          <w:rPr>
            <w:b/>
            <w:bCs/>
          </w:rPr>
          <w:instrText xml:space="preserve"> PAGE </w:instrText>
        </w:r>
        <w:r>
          <w:rPr>
            <w:b/>
            <w:bCs/>
          </w:rPr>
          <w:fldChar w:fldCharType="separate"/>
        </w:r>
        <w:r w:rsidR="00E82F03">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E82F03">
          <w:rPr>
            <w:b/>
            <w:bCs/>
            <w:noProof/>
          </w:rPr>
          <w:t>11</w:t>
        </w:r>
        <w:r>
          <w:rPr>
            <w:b/>
            <w:bCs/>
          </w:rPr>
          <w:fldChar w:fldCharType="end"/>
        </w:r>
      </w:p>
    </w:sdtContent>
  </w:sdt>
  <w:p w:rsidR="008F40D9" w:rsidRDefault="008F4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37C34"/>
    <w:multiLevelType w:val="multilevel"/>
    <w:tmpl w:val="70DC1D10"/>
    <w:lvl w:ilvl="0">
      <w:start w:val="3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2477282A"/>
    <w:multiLevelType w:val="multilevel"/>
    <w:tmpl w:val="8826A032"/>
    <w:styleLink w:val="ImportedStyle1"/>
    <w:lvl w:ilvl="0">
      <w:start w:val="1"/>
      <w:numFmt w:val="decimal"/>
      <w:pStyle w:val="Firstlevelpara"/>
      <w:lvlText w:val="%1."/>
      <w:lvlJc w:val="left"/>
      <w:pPr>
        <w:ind w:left="851"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701"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552" w:hanging="8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52"/>
        </w:tabs>
        <w:ind w:left="2552"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2552"/>
        </w:tabs>
        <w:ind w:left="2552"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2552"/>
        </w:tabs>
        <w:ind w:left="4064" w:hanging="1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2552"/>
        </w:tabs>
        <w:ind w:left="4568" w:hanging="1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2552"/>
        </w:tabs>
        <w:ind w:left="5072" w:hanging="15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2552"/>
        </w:tabs>
        <w:ind w:left="5648" w:hanging="17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64E2C6F"/>
    <w:multiLevelType w:val="hybridMultilevel"/>
    <w:tmpl w:val="1F3206A2"/>
    <w:lvl w:ilvl="0" w:tplc="2BACCB70">
      <w:start w:val="17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C978BE"/>
    <w:multiLevelType w:val="multilevel"/>
    <w:tmpl w:val="AF9ECA08"/>
    <w:lvl w:ilvl="0">
      <w:start w:val="3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316D62F8"/>
    <w:multiLevelType w:val="multilevel"/>
    <w:tmpl w:val="32A8B07C"/>
    <w:lvl w:ilvl="0">
      <w:start w:val="3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35CF75B9"/>
    <w:multiLevelType w:val="multilevel"/>
    <w:tmpl w:val="8826A032"/>
    <w:numStyleLink w:val="ImportedStyle1"/>
  </w:abstractNum>
  <w:abstractNum w:abstractNumId="6">
    <w:nsid w:val="4948230C"/>
    <w:multiLevelType w:val="multilevel"/>
    <w:tmpl w:val="7B8AB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6BC3C41"/>
    <w:multiLevelType w:val="multilevel"/>
    <w:tmpl w:val="81DEC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54F2BDB"/>
    <w:multiLevelType w:val="multilevel"/>
    <w:tmpl w:val="5C4C2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A7E7DE3"/>
    <w:multiLevelType w:val="multilevel"/>
    <w:tmpl w:val="75442676"/>
    <w:lvl w:ilvl="0">
      <w:start w:val="30"/>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6"/>
  </w:num>
  <w:num w:numId="3">
    <w:abstractNumId w:val="8"/>
  </w:num>
  <w:num w:numId="4">
    <w:abstractNumId w:val="1"/>
  </w:num>
  <w:num w:numId="5">
    <w:abstractNumId w:val="5"/>
    <w:lvlOverride w:ilvl="0">
      <w:lvl w:ilvl="0">
        <w:start w:val="1"/>
        <w:numFmt w:val="decimal"/>
        <w:pStyle w:val="Firstlevelpara"/>
        <w:lvlText w:val="%1."/>
        <w:lvlJc w:val="left"/>
        <w:pPr>
          <w:ind w:left="851" w:hanging="851"/>
        </w:pPr>
        <w:rPr>
          <w:rFonts w:ascii="Arial" w:hAnsi="Arial" w:cs="Arial" w:hint="default"/>
          <w:b w:val="0"/>
          <w:i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1.%2."/>
        <w:lvlJc w:val="left"/>
        <w:pPr>
          <w:ind w:left="1701" w:hanging="850"/>
        </w:pPr>
        <w:rPr>
          <w:rFonts w:ascii="Arial" w:hAnsi="Arial" w:cs="Arial" w:hint="default"/>
          <w:b w:val="0"/>
          <w:i w:val="0"/>
          <w:caps w:val="0"/>
          <w:smallCaps w:val="0"/>
          <w:strike w:val="0"/>
          <w:dstrike w:val="0"/>
          <w:outline w:val="0"/>
          <w:emboss w:val="0"/>
          <w:imprint w:val="0"/>
          <w:color w:val="000000" w:themeColor="text1"/>
          <w:spacing w:val="0"/>
          <w:w w:val="100"/>
          <w:kern w:val="0"/>
          <w:position w:val="0"/>
          <w:sz w:val="24"/>
          <w:szCs w:val="24"/>
          <w:highlight w:val="none"/>
          <w:vertAlign w:val="baseline"/>
        </w:rPr>
      </w:lvl>
    </w:lvlOverride>
    <w:lvlOverride w:ilvl="2">
      <w:lvl w:ilvl="2">
        <w:start w:val="1"/>
        <w:numFmt w:val="decimal"/>
        <w:lvlText w:val="%1.%2.%3."/>
        <w:lvlJc w:val="left"/>
        <w:pPr>
          <w:ind w:left="2552" w:hanging="851"/>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5"/>
    <w:lvlOverride w:ilvl="0">
      <w:lvl w:ilvl="0">
        <w:start w:val="1"/>
        <w:numFmt w:val="decimal"/>
        <w:pStyle w:val="Firstlevelpara"/>
        <w:lvlText w:val="%1."/>
        <w:lvlJc w:val="left"/>
        <w:pPr>
          <w:ind w:left="851" w:hanging="851"/>
        </w:pPr>
        <w:rPr>
          <w:rFonts w:ascii="Arial" w:hAnsi="Arial" w:cs="Arial" w:hint="default"/>
          <w:b w:val="0"/>
          <w:i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1.%2."/>
        <w:lvlJc w:val="left"/>
        <w:pPr>
          <w:ind w:left="1701" w:hanging="850"/>
        </w:pPr>
        <w:rPr>
          <w:rFonts w:ascii="Arial" w:hAnsi="Arial" w:cs="Arial" w:hint="default"/>
          <w:b w:val="0"/>
          <w:i w:val="0"/>
          <w:caps w:val="0"/>
          <w:smallCaps w:val="0"/>
          <w:strike w:val="0"/>
          <w:dstrike w:val="0"/>
          <w:outline w:val="0"/>
          <w:emboss w:val="0"/>
          <w:imprint w:val="0"/>
          <w:color w:val="000000" w:themeColor="text1"/>
          <w:spacing w:val="0"/>
          <w:w w:val="100"/>
          <w:kern w:val="0"/>
          <w:position w:val="0"/>
          <w:sz w:val="24"/>
          <w:szCs w:val="24"/>
          <w:highlight w:val="none"/>
          <w:vertAlign w:val="baseline"/>
        </w:rPr>
      </w:lvl>
    </w:lvlOverride>
    <w:lvlOverride w:ilvl="2">
      <w:lvl w:ilvl="2">
        <w:start w:val="1"/>
        <w:numFmt w:val="decimal"/>
        <w:lvlText w:val="%1.%2.%3."/>
        <w:lvlJc w:val="left"/>
        <w:pPr>
          <w:ind w:left="2552" w:hanging="851"/>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2"/>
  </w:num>
  <w:num w:numId="8">
    <w:abstractNumId w:val="0"/>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10"/>
    <w:rsid w:val="000209A3"/>
    <w:rsid w:val="00031922"/>
    <w:rsid w:val="00087CF7"/>
    <w:rsid w:val="000F20C4"/>
    <w:rsid w:val="00117C72"/>
    <w:rsid w:val="0014130B"/>
    <w:rsid w:val="00144A0D"/>
    <w:rsid w:val="001D59F8"/>
    <w:rsid w:val="001E6EF2"/>
    <w:rsid w:val="00204092"/>
    <w:rsid w:val="00222D4B"/>
    <w:rsid w:val="00230110"/>
    <w:rsid w:val="00240192"/>
    <w:rsid w:val="0024030F"/>
    <w:rsid w:val="00283910"/>
    <w:rsid w:val="002D47D0"/>
    <w:rsid w:val="002E132D"/>
    <w:rsid w:val="00362220"/>
    <w:rsid w:val="00370FAC"/>
    <w:rsid w:val="003944A7"/>
    <w:rsid w:val="003A17C9"/>
    <w:rsid w:val="00452091"/>
    <w:rsid w:val="00495E3E"/>
    <w:rsid w:val="005468FC"/>
    <w:rsid w:val="005510D6"/>
    <w:rsid w:val="005C5836"/>
    <w:rsid w:val="00625D7D"/>
    <w:rsid w:val="00625EB5"/>
    <w:rsid w:val="006649AF"/>
    <w:rsid w:val="00673D86"/>
    <w:rsid w:val="00694B3A"/>
    <w:rsid w:val="00723F52"/>
    <w:rsid w:val="00796D0D"/>
    <w:rsid w:val="007A4A6B"/>
    <w:rsid w:val="007E61A1"/>
    <w:rsid w:val="007F7156"/>
    <w:rsid w:val="008015E2"/>
    <w:rsid w:val="008123FE"/>
    <w:rsid w:val="008B0DCA"/>
    <w:rsid w:val="008F40D9"/>
    <w:rsid w:val="00924011"/>
    <w:rsid w:val="00937EA3"/>
    <w:rsid w:val="00AE7223"/>
    <w:rsid w:val="00B53ECC"/>
    <w:rsid w:val="00BE5165"/>
    <w:rsid w:val="00C903E5"/>
    <w:rsid w:val="00D16339"/>
    <w:rsid w:val="00E3194C"/>
    <w:rsid w:val="00E52404"/>
    <w:rsid w:val="00E82F03"/>
    <w:rsid w:val="00EA18A2"/>
    <w:rsid w:val="00F17F7E"/>
    <w:rsid w:val="00FB2B16"/>
    <w:rsid w:val="00FC00E1"/>
    <w:rsid w:val="00FC07EB"/>
    <w:rsid w:val="00FC2F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BBA09-5FEF-4825-BF6A-657C1D32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10"/>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30110"/>
    <w:pPr>
      <w:spacing w:before="100" w:beforeAutospacing="1" w:after="100" w:afterAutospacing="1"/>
    </w:pPr>
  </w:style>
  <w:style w:type="paragraph" w:customStyle="1" w:styleId="p2">
    <w:name w:val="p2"/>
    <w:basedOn w:val="Normal"/>
    <w:rsid w:val="00230110"/>
    <w:pPr>
      <w:spacing w:before="100" w:beforeAutospacing="1" w:after="100" w:afterAutospacing="1"/>
    </w:pPr>
  </w:style>
  <w:style w:type="paragraph" w:customStyle="1" w:styleId="p3">
    <w:name w:val="p3"/>
    <w:basedOn w:val="Normal"/>
    <w:rsid w:val="00230110"/>
    <w:pPr>
      <w:spacing w:before="100" w:beforeAutospacing="1" w:after="100" w:afterAutospacing="1"/>
    </w:pPr>
  </w:style>
  <w:style w:type="character" w:customStyle="1" w:styleId="s1">
    <w:name w:val="s1"/>
    <w:basedOn w:val="DefaultParagraphFont"/>
    <w:rsid w:val="00230110"/>
  </w:style>
  <w:style w:type="character" w:customStyle="1" w:styleId="s2">
    <w:name w:val="s2"/>
    <w:basedOn w:val="DefaultParagraphFont"/>
    <w:rsid w:val="00230110"/>
  </w:style>
  <w:style w:type="character" w:customStyle="1" w:styleId="apple-converted-space">
    <w:name w:val="apple-converted-space"/>
    <w:basedOn w:val="DefaultParagraphFont"/>
    <w:rsid w:val="00230110"/>
  </w:style>
  <w:style w:type="character" w:customStyle="1" w:styleId="s4">
    <w:name w:val="s4"/>
    <w:basedOn w:val="DefaultParagraphFont"/>
    <w:rsid w:val="00230110"/>
  </w:style>
  <w:style w:type="character" w:customStyle="1" w:styleId="s5">
    <w:name w:val="s5"/>
    <w:basedOn w:val="DefaultParagraphFont"/>
    <w:rsid w:val="00230110"/>
  </w:style>
  <w:style w:type="numbering" w:customStyle="1" w:styleId="ImportedStyle1">
    <w:name w:val="Imported Style 1"/>
    <w:rsid w:val="00230110"/>
    <w:pPr>
      <w:numPr>
        <w:numId w:val="4"/>
      </w:numPr>
    </w:pPr>
  </w:style>
  <w:style w:type="paragraph" w:customStyle="1" w:styleId="Firstlevelpara">
    <w:name w:val="First level para"/>
    <w:basedOn w:val="Normal"/>
    <w:rsid w:val="00230110"/>
    <w:pPr>
      <w:numPr>
        <w:numId w:val="5"/>
      </w:numPr>
      <w:spacing w:before="240" w:line="480" w:lineRule="auto"/>
      <w:jc w:val="both"/>
    </w:pPr>
    <w:rPr>
      <w:rFonts w:eastAsia="Times New Roman"/>
      <w:szCs w:val="20"/>
      <w:lang w:val="en-GB" w:eastAsia="en-GB"/>
    </w:rPr>
  </w:style>
  <w:style w:type="paragraph" w:customStyle="1" w:styleId="GW23">
    <w:name w:val="GW2.3"/>
    <w:basedOn w:val="Normal"/>
    <w:rsid w:val="00230110"/>
    <w:pPr>
      <w:tabs>
        <w:tab w:val="left" w:pos="0"/>
        <w:tab w:val="right" w:pos="576"/>
        <w:tab w:val="right" w:pos="1296"/>
        <w:tab w:val="right" w:pos="2736"/>
        <w:tab w:val="left" w:pos="4176"/>
      </w:tabs>
      <w:spacing w:line="360" w:lineRule="auto"/>
      <w:ind w:right="425"/>
      <w:jc w:val="both"/>
    </w:pPr>
    <w:rPr>
      <w:rFonts w:ascii="Arial" w:eastAsia="Times New Roman" w:hAnsi="Arial"/>
      <w:snapToGrid w:val="0"/>
      <w:szCs w:val="20"/>
      <w:lang w:val="en-GB" w:eastAsia="en-US"/>
    </w:rPr>
  </w:style>
  <w:style w:type="table" w:styleId="TableGrid">
    <w:name w:val="Table Grid"/>
    <w:basedOn w:val="TableNormal"/>
    <w:uiPriority w:val="1"/>
    <w:rsid w:val="0023011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30110"/>
    <w:rPr>
      <w:sz w:val="20"/>
      <w:szCs w:val="20"/>
    </w:rPr>
  </w:style>
  <w:style w:type="character" w:customStyle="1" w:styleId="FootnoteTextChar">
    <w:name w:val="Footnote Text Char"/>
    <w:basedOn w:val="DefaultParagraphFont"/>
    <w:link w:val="FootnoteText"/>
    <w:uiPriority w:val="99"/>
    <w:semiHidden/>
    <w:rsid w:val="00230110"/>
    <w:rPr>
      <w:rFonts w:ascii="Times New Roman" w:hAnsi="Times New Roman" w:cs="Times New Roman"/>
      <w:sz w:val="20"/>
      <w:szCs w:val="20"/>
      <w:lang w:eastAsia="en-ZA"/>
    </w:rPr>
  </w:style>
  <w:style w:type="character" w:styleId="FootnoteReference">
    <w:name w:val="footnote reference"/>
    <w:basedOn w:val="DefaultParagraphFont"/>
    <w:uiPriority w:val="99"/>
    <w:semiHidden/>
    <w:unhideWhenUsed/>
    <w:rsid w:val="00230110"/>
    <w:rPr>
      <w:vertAlign w:val="superscript"/>
    </w:rPr>
  </w:style>
  <w:style w:type="paragraph" w:styleId="ListParagraph">
    <w:name w:val="List Paragraph"/>
    <w:basedOn w:val="Normal"/>
    <w:uiPriority w:val="34"/>
    <w:qFormat/>
    <w:rsid w:val="008F40D9"/>
    <w:pPr>
      <w:ind w:left="720"/>
      <w:contextualSpacing/>
    </w:pPr>
  </w:style>
  <w:style w:type="paragraph" w:styleId="Header">
    <w:name w:val="header"/>
    <w:basedOn w:val="Normal"/>
    <w:link w:val="HeaderChar"/>
    <w:uiPriority w:val="99"/>
    <w:unhideWhenUsed/>
    <w:rsid w:val="008F40D9"/>
    <w:pPr>
      <w:tabs>
        <w:tab w:val="center" w:pos="4513"/>
        <w:tab w:val="right" w:pos="9026"/>
      </w:tabs>
    </w:pPr>
  </w:style>
  <w:style w:type="character" w:customStyle="1" w:styleId="HeaderChar">
    <w:name w:val="Header Char"/>
    <w:basedOn w:val="DefaultParagraphFont"/>
    <w:link w:val="Header"/>
    <w:uiPriority w:val="99"/>
    <w:rsid w:val="008F40D9"/>
    <w:rPr>
      <w:rFonts w:ascii="Times New Roman" w:hAnsi="Times New Roman" w:cs="Times New Roman"/>
      <w:sz w:val="24"/>
      <w:szCs w:val="24"/>
      <w:lang w:eastAsia="en-ZA"/>
    </w:rPr>
  </w:style>
  <w:style w:type="paragraph" w:styleId="Footer">
    <w:name w:val="footer"/>
    <w:basedOn w:val="Normal"/>
    <w:link w:val="FooterChar"/>
    <w:uiPriority w:val="99"/>
    <w:unhideWhenUsed/>
    <w:rsid w:val="008F40D9"/>
    <w:pPr>
      <w:tabs>
        <w:tab w:val="center" w:pos="4513"/>
        <w:tab w:val="right" w:pos="9026"/>
      </w:tabs>
    </w:pPr>
  </w:style>
  <w:style w:type="character" w:customStyle="1" w:styleId="FooterChar">
    <w:name w:val="Footer Char"/>
    <w:basedOn w:val="DefaultParagraphFont"/>
    <w:link w:val="Footer"/>
    <w:uiPriority w:val="99"/>
    <w:rsid w:val="008F40D9"/>
    <w:rPr>
      <w:rFonts w:ascii="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204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092"/>
    <w:rPr>
      <w:rFonts w:ascii="Segoe UI"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B20F0-620C-402A-A56F-5FF2C409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Judge-Lebogang Modiba</dc:creator>
  <cp:keywords/>
  <dc:description/>
  <cp:lastModifiedBy>Mashitisho Mpho</cp:lastModifiedBy>
  <cp:revision>2</cp:revision>
  <cp:lastPrinted>2023-01-31T10:01:00Z</cp:lastPrinted>
  <dcterms:created xsi:type="dcterms:W3CDTF">2023-01-31T10:30:00Z</dcterms:created>
  <dcterms:modified xsi:type="dcterms:W3CDTF">2023-01-31T10:30:00Z</dcterms:modified>
</cp:coreProperties>
</file>