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C7" w:rsidRPr="00D257CD" w:rsidRDefault="002D71C7" w:rsidP="00545F31">
      <w:pPr>
        <w:spacing w:line="360" w:lineRule="auto"/>
        <w:jc w:val="center"/>
        <w:rPr>
          <w:rFonts w:ascii="Arial" w:hAnsi="Arial" w:cs="Arial"/>
          <w:sz w:val="24"/>
          <w:szCs w:val="24"/>
        </w:rPr>
      </w:pPr>
      <w:r w:rsidRPr="00D257CD">
        <w:rPr>
          <w:rFonts w:ascii="Arial" w:hAnsi="Arial" w:cs="Arial"/>
          <w:noProof/>
          <w:sz w:val="24"/>
          <w:szCs w:val="24"/>
          <w:lang w:eastAsia="en-ZA"/>
        </w:rPr>
        <w:drawing>
          <wp:inline distT="0" distB="0" distL="0" distR="0" wp14:anchorId="283FE4D6" wp14:editId="363ABD2F">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rsidR="002D71C7" w:rsidRPr="00D257CD" w:rsidRDefault="002D71C7" w:rsidP="00545F31">
      <w:pPr>
        <w:spacing w:after="0" w:line="240" w:lineRule="auto"/>
        <w:jc w:val="center"/>
        <w:rPr>
          <w:rFonts w:ascii="Arial" w:hAnsi="Arial" w:cs="Arial"/>
          <w:b/>
          <w:sz w:val="24"/>
          <w:szCs w:val="24"/>
        </w:rPr>
      </w:pPr>
      <w:r w:rsidRPr="00D257CD">
        <w:rPr>
          <w:rFonts w:ascii="Arial" w:hAnsi="Arial" w:cs="Arial"/>
          <w:b/>
          <w:sz w:val="24"/>
          <w:szCs w:val="24"/>
        </w:rPr>
        <w:t>IN THE SPECIAL TRIBUNAL ESTABLISHED IN TERMS OF SECTION 2 (1) OF THE SPECIAL INVESTIGATIONS UNIT AND</w:t>
      </w:r>
    </w:p>
    <w:p w:rsidR="002D71C7" w:rsidRPr="00D257CD" w:rsidRDefault="002D71C7" w:rsidP="00545F31">
      <w:pPr>
        <w:spacing w:after="0" w:line="240" w:lineRule="auto"/>
        <w:jc w:val="center"/>
        <w:rPr>
          <w:rFonts w:ascii="Arial" w:hAnsi="Arial" w:cs="Arial"/>
          <w:b/>
          <w:sz w:val="24"/>
          <w:szCs w:val="24"/>
        </w:rPr>
      </w:pPr>
      <w:r w:rsidRPr="00D257CD">
        <w:rPr>
          <w:rFonts w:ascii="Arial" w:hAnsi="Arial" w:cs="Arial"/>
          <w:b/>
          <w:sz w:val="24"/>
          <w:szCs w:val="24"/>
        </w:rPr>
        <w:t>SPECIAL TRIBUNALS ACT 74 OF 1996</w:t>
      </w:r>
    </w:p>
    <w:p w:rsidR="002D71C7" w:rsidRPr="00D257CD" w:rsidRDefault="002D71C7" w:rsidP="00545F31">
      <w:pPr>
        <w:spacing w:line="240" w:lineRule="auto"/>
        <w:jc w:val="center"/>
        <w:rPr>
          <w:rFonts w:ascii="Arial" w:hAnsi="Arial" w:cs="Arial"/>
          <w:sz w:val="24"/>
          <w:szCs w:val="24"/>
        </w:rPr>
      </w:pPr>
      <w:r w:rsidRPr="00D257CD">
        <w:rPr>
          <w:rFonts w:ascii="Arial" w:hAnsi="Arial" w:cs="Arial"/>
          <w:b/>
          <w:sz w:val="24"/>
          <w:szCs w:val="24"/>
        </w:rPr>
        <w:t>(REPUBLIC OF SOUTH AFRICA)</w:t>
      </w:r>
    </w:p>
    <w:p w:rsidR="002D71C7" w:rsidRPr="00D257CD" w:rsidRDefault="002D71C7" w:rsidP="00D257CD">
      <w:pPr>
        <w:spacing w:line="360" w:lineRule="auto"/>
        <w:ind w:firstLine="720"/>
        <w:jc w:val="both"/>
        <w:rPr>
          <w:rFonts w:ascii="Arial" w:hAnsi="Arial" w:cs="Arial"/>
          <w:sz w:val="24"/>
          <w:szCs w:val="24"/>
        </w:rPr>
      </w:pPr>
      <w:r w:rsidRPr="00D257CD">
        <w:rPr>
          <w:rFonts w:ascii="Arial" w:hAnsi="Arial" w:cs="Arial"/>
          <w:sz w:val="24"/>
          <w:szCs w:val="24"/>
        </w:rPr>
        <w:t xml:space="preserve">                                                                             </w:t>
      </w:r>
      <w:r w:rsidRPr="00D257CD">
        <w:rPr>
          <w:rFonts w:ascii="Arial" w:hAnsi="Arial" w:cs="Arial"/>
          <w:bCs/>
          <w:color w:val="000000" w:themeColor="text1"/>
          <w:sz w:val="24"/>
          <w:szCs w:val="24"/>
        </w:rPr>
        <w:t>CASE NUMBER: GP03/2022</w:t>
      </w: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In a matter between:</w:t>
      </w: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Special Investigating Unit</w:t>
      </w:r>
      <w:r w:rsidRPr="00D257CD">
        <w:rPr>
          <w:rFonts w:ascii="Arial" w:hAnsi="Arial" w:cs="Arial"/>
          <w:sz w:val="24"/>
          <w:szCs w:val="24"/>
        </w:rPr>
        <w:tab/>
      </w:r>
      <w:r w:rsidRPr="00D257CD">
        <w:rPr>
          <w:rFonts w:ascii="Arial" w:hAnsi="Arial" w:cs="Arial"/>
          <w:sz w:val="24"/>
          <w:szCs w:val="24"/>
        </w:rPr>
        <w:tab/>
      </w:r>
      <w:r w:rsidRPr="00D257CD">
        <w:rPr>
          <w:rFonts w:ascii="Arial" w:hAnsi="Arial" w:cs="Arial"/>
          <w:sz w:val="24"/>
          <w:szCs w:val="24"/>
        </w:rPr>
        <w:tab/>
      </w:r>
      <w:r w:rsidRPr="00D257CD">
        <w:rPr>
          <w:rFonts w:ascii="Arial" w:hAnsi="Arial" w:cs="Arial"/>
          <w:sz w:val="24"/>
          <w:szCs w:val="24"/>
        </w:rPr>
        <w:tab/>
      </w:r>
      <w:r w:rsidRPr="00D257CD">
        <w:rPr>
          <w:rFonts w:ascii="Arial" w:hAnsi="Arial" w:cs="Arial"/>
          <w:sz w:val="24"/>
          <w:szCs w:val="24"/>
        </w:rPr>
        <w:tab/>
        <w:t>First Applicant</w:t>
      </w: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MEC: Gauteng Department of Health</w:t>
      </w:r>
      <w:r w:rsidRPr="00D257CD">
        <w:rPr>
          <w:rFonts w:ascii="Arial" w:hAnsi="Arial" w:cs="Arial"/>
          <w:sz w:val="24"/>
          <w:szCs w:val="24"/>
        </w:rPr>
        <w:tab/>
      </w:r>
      <w:r w:rsidRPr="00D257CD">
        <w:rPr>
          <w:rFonts w:ascii="Arial" w:hAnsi="Arial" w:cs="Arial"/>
          <w:sz w:val="24"/>
          <w:szCs w:val="24"/>
        </w:rPr>
        <w:tab/>
      </w:r>
      <w:r w:rsidRPr="00D257CD">
        <w:rPr>
          <w:rFonts w:ascii="Arial" w:hAnsi="Arial" w:cs="Arial"/>
          <w:sz w:val="24"/>
          <w:szCs w:val="24"/>
        </w:rPr>
        <w:tab/>
        <w:t>Second Applicant</w:t>
      </w: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 xml:space="preserve">and </w:t>
      </w:r>
    </w:p>
    <w:p w:rsidR="002D71C7" w:rsidRPr="00D257CD" w:rsidRDefault="002D71C7" w:rsidP="00D257CD">
      <w:pPr>
        <w:spacing w:after="0" w:line="360" w:lineRule="auto"/>
        <w:jc w:val="both"/>
        <w:rPr>
          <w:rFonts w:ascii="Arial" w:hAnsi="Arial" w:cs="Arial"/>
          <w:sz w:val="24"/>
          <w:szCs w:val="24"/>
        </w:rPr>
      </w:pPr>
      <w:r w:rsidRPr="00D257CD">
        <w:rPr>
          <w:rFonts w:ascii="Arial" w:hAnsi="Arial" w:cs="Arial"/>
          <w:sz w:val="24"/>
          <w:szCs w:val="24"/>
        </w:rPr>
        <w:t>LNG Scientific (PTY) Ltd</w:t>
      </w:r>
      <w:r w:rsidRPr="00D257CD">
        <w:rPr>
          <w:rFonts w:ascii="Arial" w:hAnsi="Arial" w:cs="Arial"/>
          <w:sz w:val="24"/>
          <w:szCs w:val="24"/>
        </w:rPr>
        <w:tab/>
      </w:r>
      <w:r w:rsidRPr="00D257CD">
        <w:rPr>
          <w:rFonts w:ascii="Arial" w:hAnsi="Arial" w:cs="Arial"/>
          <w:sz w:val="24"/>
          <w:szCs w:val="24"/>
        </w:rPr>
        <w:tab/>
      </w:r>
      <w:r w:rsidRPr="00D257CD">
        <w:rPr>
          <w:rFonts w:ascii="Arial" w:hAnsi="Arial" w:cs="Arial"/>
          <w:sz w:val="24"/>
          <w:szCs w:val="24"/>
        </w:rPr>
        <w:tab/>
      </w:r>
      <w:r w:rsidRPr="00D257CD">
        <w:rPr>
          <w:rFonts w:ascii="Arial" w:hAnsi="Arial" w:cs="Arial"/>
          <w:sz w:val="24"/>
          <w:szCs w:val="24"/>
        </w:rPr>
        <w:tab/>
      </w:r>
      <w:r w:rsidRPr="00D257CD">
        <w:rPr>
          <w:rFonts w:ascii="Arial" w:hAnsi="Arial" w:cs="Arial"/>
          <w:sz w:val="24"/>
          <w:szCs w:val="24"/>
        </w:rPr>
        <w:tab/>
        <w:t>First Respondent</w:t>
      </w:r>
    </w:p>
    <w:p w:rsidR="002D71C7" w:rsidRPr="00D257CD" w:rsidRDefault="002D71C7" w:rsidP="00D257CD">
      <w:pPr>
        <w:spacing w:after="0" w:line="360" w:lineRule="auto"/>
        <w:jc w:val="both"/>
        <w:rPr>
          <w:rFonts w:ascii="Arial" w:hAnsi="Arial" w:cs="Arial"/>
          <w:sz w:val="24"/>
          <w:szCs w:val="24"/>
        </w:rPr>
      </w:pPr>
      <w:r w:rsidRPr="00D257CD">
        <w:rPr>
          <w:rFonts w:ascii="Arial" w:hAnsi="Arial" w:cs="Arial"/>
          <w:sz w:val="24"/>
          <w:szCs w:val="24"/>
        </w:rPr>
        <w:t>(Registration number: 2014/009577/07)</w:t>
      </w:r>
    </w:p>
    <w:p w:rsidR="002D71C7" w:rsidRPr="00D257CD" w:rsidRDefault="002D71C7" w:rsidP="00D257CD">
      <w:pPr>
        <w:tabs>
          <w:tab w:val="right" w:pos="9100"/>
        </w:tabs>
        <w:spacing w:line="360" w:lineRule="auto"/>
        <w:jc w:val="both"/>
        <w:rPr>
          <w:rFonts w:ascii="Arial" w:hAnsi="Arial" w:cs="Arial"/>
          <w:sz w:val="24"/>
          <w:szCs w:val="24"/>
        </w:rPr>
      </w:pPr>
      <w:r w:rsidRPr="00D257CD">
        <w:rPr>
          <w:rFonts w:ascii="Arial" w:hAnsi="Arial" w:cs="Arial"/>
          <w:sz w:val="24"/>
          <w:szCs w:val="24"/>
        </w:rPr>
        <w:tab/>
      </w:r>
    </w:p>
    <w:p w:rsidR="002D71C7" w:rsidRPr="00D257CD" w:rsidRDefault="002D71C7" w:rsidP="00D257CD">
      <w:pPr>
        <w:pBdr>
          <w:top w:val="single" w:sz="12" w:space="1" w:color="auto"/>
          <w:bottom w:val="single" w:sz="12" w:space="1" w:color="auto"/>
        </w:pBdr>
        <w:spacing w:line="360" w:lineRule="auto"/>
        <w:jc w:val="both"/>
        <w:rPr>
          <w:rFonts w:ascii="Arial" w:hAnsi="Arial" w:cs="Arial"/>
          <w:b/>
          <w:sz w:val="24"/>
          <w:szCs w:val="24"/>
        </w:rPr>
      </w:pPr>
    </w:p>
    <w:p w:rsidR="002D71C7" w:rsidRPr="00D257CD" w:rsidRDefault="002D71C7" w:rsidP="00545F31">
      <w:pPr>
        <w:pBdr>
          <w:top w:val="single" w:sz="12" w:space="1" w:color="auto"/>
          <w:bottom w:val="single" w:sz="12" w:space="1" w:color="auto"/>
        </w:pBdr>
        <w:spacing w:line="360" w:lineRule="auto"/>
        <w:jc w:val="center"/>
        <w:rPr>
          <w:rFonts w:ascii="Arial" w:hAnsi="Arial" w:cs="Arial"/>
          <w:b/>
          <w:sz w:val="24"/>
          <w:szCs w:val="24"/>
        </w:rPr>
      </w:pPr>
      <w:r w:rsidRPr="00D257CD">
        <w:rPr>
          <w:rFonts w:ascii="Arial" w:hAnsi="Arial" w:cs="Arial"/>
          <w:b/>
          <w:sz w:val="24"/>
          <w:szCs w:val="24"/>
        </w:rPr>
        <w:t>JUDGMENT</w:t>
      </w:r>
    </w:p>
    <w:p w:rsidR="002D71C7" w:rsidRDefault="002D71C7" w:rsidP="00D257CD">
      <w:pPr>
        <w:pStyle w:val="Para2"/>
        <w:numPr>
          <w:ilvl w:val="0"/>
          <w:numId w:val="0"/>
        </w:numPr>
        <w:spacing w:before="0" w:after="0" w:line="360" w:lineRule="auto"/>
      </w:pPr>
    </w:p>
    <w:p w:rsidR="00785C66" w:rsidRPr="00785C66" w:rsidRDefault="00785C66" w:rsidP="00D257CD">
      <w:pPr>
        <w:pStyle w:val="Para2"/>
        <w:numPr>
          <w:ilvl w:val="0"/>
          <w:numId w:val="0"/>
        </w:numPr>
        <w:spacing w:before="0" w:after="0" w:line="360" w:lineRule="auto"/>
        <w:rPr>
          <w:i/>
        </w:rPr>
      </w:pPr>
      <w:r w:rsidRPr="00785C66">
        <w:rPr>
          <w:i/>
        </w:rPr>
        <w:t>Summary – Civil procedure - whether the present circumstances are proper for the exercise of the Tribunal’s discretion in terms of Tribunal Rule 28(1) to invoke Uniform Rule 49(2) to address a lacuna in the Tribunal Rules to regulate an appeal against the Tribunal’s decision to the Full Court.</w:t>
      </w:r>
    </w:p>
    <w:p w:rsidR="00785C66" w:rsidRDefault="00785C66" w:rsidP="00D257CD">
      <w:pPr>
        <w:pStyle w:val="Para2"/>
        <w:numPr>
          <w:ilvl w:val="0"/>
          <w:numId w:val="0"/>
        </w:numPr>
        <w:spacing w:before="0" w:after="0" w:line="360" w:lineRule="auto"/>
        <w:rPr>
          <w:b/>
        </w:rPr>
      </w:pPr>
    </w:p>
    <w:p w:rsidR="00785C66" w:rsidRDefault="00785C66" w:rsidP="00D257CD">
      <w:pPr>
        <w:pStyle w:val="Para2"/>
        <w:numPr>
          <w:ilvl w:val="0"/>
          <w:numId w:val="0"/>
        </w:numPr>
        <w:spacing w:before="0" w:after="0" w:line="360" w:lineRule="auto"/>
        <w:rPr>
          <w:b/>
        </w:rPr>
      </w:pPr>
    </w:p>
    <w:p w:rsidR="00785C66" w:rsidRDefault="00785C66" w:rsidP="00D257CD">
      <w:pPr>
        <w:pStyle w:val="Para2"/>
        <w:numPr>
          <w:ilvl w:val="0"/>
          <w:numId w:val="0"/>
        </w:numPr>
        <w:spacing w:before="0" w:after="0" w:line="360" w:lineRule="auto"/>
        <w:rPr>
          <w:b/>
        </w:rPr>
      </w:pPr>
    </w:p>
    <w:p w:rsidR="00785C66" w:rsidRDefault="00785C66" w:rsidP="00D257CD">
      <w:pPr>
        <w:pStyle w:val="Para2"/>
        <w:numPr>
          <w:ilvl w:val="0"/>
          <w:numId w:val="0"/>
        </w:numPr>
        <w:spacing w:before="0" w:after="0" w:line="360" w:lineRule="auto"/>
        <w:rPr>
          <w:b/>
        </w:rPr>
      </w:pPr>
    </w:p>
    <w:p w:rsidR="00785C66" w:rsidRDefault="00785C66" w:rsidP="00D257CD">
      <w:pPr>
        <w:pStyle w:val="Para2"/>
        <w:numPr>
          <w:ilvl w:val="0"/>
          <w:numId w:val="0"/>
        </w:numPr>
        <w:spacing w:before="0" w:after="0" w:line="360" w:lineRule="auto"/>
        <w:rPr>
          <w:b/>
        </w:rPr>
      </w:pPr>
    </w:p>
    <w:p w:rsidR="00545F31" w:rsidRPr="00545F31" w:rsidRDefault="00545F31" w:rsidP="00D257CD">
      <w:pPr>
        <w:pStyle w:val="Para2"/>
        <w:numPr>
          <w:ilvl w:val="0"/>
          <w:numId w:val="0"/>
        </w:numPr>
        <w:spacing w:before="0" w:after="0" w:line="360" w:lineRule="auto"/>
        <w:rPr>
          <w:b/>
        </w:rPr>
      </w:pPr>
      <w:r w:rsidRPr="00545F31">
        <w:rPr>
          <w:b/>
        </w:rPr>
        <w:lastRenderedPageBreak/>
        <w:t>MODIBA J:</w:t>
      </w:r>
    </w:p>
    <w:p w:rsidR="00785C66" w:rsidRDefault="00785C66" w:rsidP="00D257CD">
      <w:pPr>
        <w:pStyle w:val="Para2"/>
        <w:numPr>
          <w:ilvl w:val="0"/>
          <w:numId w:val="0"/>
        </w:numPr>
        <w:spacing w:before="0" w:after="0" w:line="360" w:lineRule="auto"/>
        <w:rPr>
          <w:b/>
        </w:rPr>
      </w:pPr>
    </w:p>
    <w:p w:rsidR="00071B75" w:rsidRPr="00D257CD" w:rsidRDefault="00071B75" w:rsidP="00D257CD">
      <w:pPr>
        <w:pStyle w:val="Para2"/>
        <w:numPr>
          <w:ilvl w:val="0"/>
          <w:numId w:val="0"/>
        </w:numPr>
        <w:spacing w:before="0" w:after="0" w:line="360" w:lineRule="auto"/>
        <w:rPr>
          <w:b/>
        </w:rPr>
      </w:pPr>
      <w:r w:rsidRPr="00D257CD">
        <w:rPr>
          <w:b/>
        </w:rPr>
        <w:t>INTRODUCTION</w:t>
      </w:r>
      <w:r w:rsidRPr="00D257CD">
        <w:rPr>
          <w:b/>
        </w:rPr>
        <w:br/>
      </w:r>
    </w:p>
    <w:p w:rsidR="00071B75" w:rsidRPr="00D257CD" w:rsidRDefault="000C57DB" w:rsidP="00D257CD">
      <w:pPr>
        <w:pStyle w:val="Para2"/>
        <w:numPr>
          <w:ilvl w:val="0"/>
          <w:numId w:val="0"/>
        </w:numPr>
        <w:spacing w:before="0" w:after="0" w:line="360" w:lineRule="auto"/>
      </w:pPr>
      <w:r w:rsidRPr="00D257CD">
        <w:t>[1]</w:t>
      </w:r>
      <w:r w:rsidRPr="00D257CD">
        <w:tab/>
      </w:r>
      <w:r w:rsidR="00071B75" w:rsidRPr="00D257CD">
        <w:t xml:space="preserve">The issues set out below arose between the parties at </w:t>
      </w:r>
      <w:r w:rsidR="000E15D8">
        <w:t xml:space="preserve">a </w:t>
      </w:r>
      <w:r w:rsidR="00071B75" w:rsidRPr="00D257CD">
        <w:t>case management meeting held on 10 November 2022</w:t>
      </w:r>
      <w:r w:rsidR="00D102E9" w:rsidRPr="00D257CD">
        <w:t>:</w:t>
      </w:r>
    </w:p>
    <w:p w:rsidR="00071B75" w:rsidRPr="00D257CD" w:rsidRDefault="000C57DB" w:rsidP="00D257CD">
      <w:pPr>
        <w:pStyle w:val="Para2"/>
        <w:numPr>
          <w:ilvl w:val="0"/>
          <w:numId w:val="0"/>
        </w:numPr>
        <w:spacing w:before="0" w:after="0" w:line="360" w:lineRule="auto"/>
        <w:ind w:left="720" w:hanging="720"/>
      </w:pPr>
      <w:r w:rsidRPr="00D257CD">
        <w:t>1.1</w:t>
      </w:r>
      <w:r w:rsidRPr="00D257CD">
        <w:tab/>
      </w:r>
      <w:r w:rsidR="00071B75" w:rsidRPr="00D257CD">
        <w:t xml:space="preserve">the period by which </w:t>
      </w:r>
      <w:r w:rsidR="000E15D8" w:rsidRPr="00D257CD">
        <w:t>the respondent, LNG Scientific (Pty) Ltd (“LNG Scientific”)</w:t>
      </w:r>
      <w:r w:rsidR="000E15D8">
        <w:t xml:space="preserve"> </w:t>
      </w:r>
      <w:r w:rsidR="00071B75" w:rsidRPr="00D257CD">
        <w:t xml:space="preserve">ought to have filed its notice to appeal with the </w:t>
      </w:r>
      <w:r w:rsidR="00D102E9" w:rsidRPr="00D257CD">
        <w:t>High Court having jurisdiction;</w:t>
      </w:r>
    </w:p>
    <w:p w:rsidR="00071B75" w:rsidRPr="00D257CD" w:rsidRDefault="000C57DB" w:rsidP="00D257CD">
      <w:pPr>
        <w:pStyle w:val="Para2"/>
        <w:numPr>
          <w:ilvl w:val="0"/>
          <w:numId w:val="0"/>
        </w:numPr>
        <w:spacing w:before="0" w:after="0" w:line="360" w:lineRule="auto"/>
      </w:pPr>
      <w:r w:rsidRPr="00D257CD">
        <w:t>1.2</w:t>
      </w:r>
      <w:r w:rsidRPr="00D257CD">
        <w:tab/>
      </w:r>
      <w:r w:rsidR="00D102E9" w:rsidRPr="00D257CD">
        <w:t xml:space="preserve">whether the Tribunal’s 7 September </w:t>
      </w:r>
      <w:r w:rsidR="00071B75" w:rsidRPr="00D257CD">
        <w:t xml:space="preserve"> 2022 order is suspended in terms of s18(1) of the Superior Court’s Act</w:t>
      </w:r>
      <w:r w:rsidRPr="00D257CD">
        <w:rPr>
          <w:rStyle w:val="FootnoteReference"/>
        </w:rPr>
        <w:footnoteReference w:id="1"/>
      </w:r>
      <w:r w:rsidR="00071B75" w:rsidRPr="00D257CD">
        <w:t xml:space="preserve"> under the present circumstances.</w:t>
      </w:r>
    </w:p>
    <w:p w:rsidR="00071B75" w:rsidRPr="00D257CD" w:rsidRDefault="00071B75" w:rsidP="00D257CD">
      <w:pPr>
        <w:pStyle w:val="Para2"/>
        <w:numPr>
          <w:ilvl w:val="0"/>
          <w:numId w:val="0"/>
        </w:numPr>
        <w:spacing w:before="0" w:after="0" w:line="360" w:lineRule="auto"/>
      </w:pPr>
    </w:p>
    <w:p w:rsidR="00545F31" w:rsidRDefault="000C57DB" w:rsidP="00D257CD">
      <w:pPr>
        <w:pStyle w:val="Para2"/>
        <w:numPr>
          <w:ilvl w:val="0"/>
          <w:numId w:val="0"/>
        </w:numPr>
        <w:spacing w:before="0" w:after="0" w:line="360" w:lineRule="auto"/>
      </w:pPr>
      <w:r w:rsidRPr="00D257CD">
        <w:t>[2]</w:t>
      </w:r>
      <w:r w:rsidRPr="00D257CD">
        <w:tab/>
        <w:t>Since the parties held opposing</w:t>
      </w:r>
      <w:r w:rsidR="00071B75" w:rsidRPr="00D257CD">
        <w:t xml:space="preserve"> views </w:t>
      </w:r>
      <w:r w:rsidRPr="00D257CD">
        <w:t>on</w:t>
      </w:r>
      <w:r w:rsidR="00071B75" w:rsidRPr="00D257CD">
        <w:t xml:space="preserve"> the above issues and given their novelty and importance in other matters likely to arise before the Tribunal, I considered it necessary to render a reasoned ruling on the above issues. I then invited the parties to file written submissions. They did. I found the parties written submissions extremely useful to determine the above issues. I am grateful to the parties’ respective legal teams for their assistance. </w:t>
      </w:r>
    </w:p>
    <w:p w:rsidR="00071B75" w:rsidRPr="00D257CD" w:rsidRDefault="00071B75" w:rsidP="00D257CD">
      <w:pPr>
        <w:pStyle w:val="Para2"/>
        <w:numPr>
          <w:ilvl w:val="0"/>
          <w:numId w:val="0"/>
        </w:numPr>
        <w:spacing w:before="0" w:after="0" w:line="360" w:lineRule="auto"/>
      </w:pPr>
      <w:r w:rsidRPr="00D257CD">
        <w:br/>
      </w:r>
      <w:r w:rsidR="000C57DB" w:rsidRPr="00D257CD">
        <w:t>[3]</w:t>
      </w:r>
      <w:r w:rsidR="000C57DB" w:rsidRPr="00D257CD">
        <w:tab/>
      </w:r>
      <w:r w:rsidRPr="00D257CD">
        <w:t xml:space="preserve">I </w:t>
      </w:r>
      <w:r w:rsidR="00FD25E9" w:rsidRPr="00D257CD">
        <w:t xml:space="preserve">firstly set out the background facts. Then, I </w:t>
      </w:r>
      <w:r w:rsidRPr="00D257CD">
        <w:t>proceed to determine the above issues</w:t>
      </w:r>
      <w:r w:rsidR="00FD25E9" w:rsidRPr="00D257CD">
        <w:t xml:space="preserve">. </w:t>
      </w:r>
    </w:p>
    <w:p w:rsidR="00071B75" w:rsidRPr="00D257CD" w:rsidRDefault="00071B75" w:rsidP="00D257CD">
      <w:pPr>
        <w:pStyle w:val="Para2"/>
        <w:numPr>
          <w:ilvl w:val="0"/>
          <w:numId w:val="0"/>
        </w:numPr>
        <w:spacing w:before="0" w:after="0" w:line="360" w:lineRule="auto"/>
      </w:pPr>
    </w:p>
    <w:p w:rsidR="00071B75" w:rsidRPr="00D257CD" w:rsidRDefault="00071B75" w:rsidP="00D257CD">
      <w:pPr>
        <w:pStyle w:val="Para2"/>
        <w:numPr>
          <w:ilvl w:val="0"/>
          <w:numId w:val="0"/>
        </w:numPr>
        <w:spacing w:before="0" w:after="0" w:line="360" w:lineRule="auto"/>
        <w:rPr>
          <w:b/>
        </w:rPr>
      </w:pPr>
      <w:r w:rsidRPr="00D257CD">
        <w:rPr>
          <w:b/>
        </w:rPr>
        <w:t>BACKGROUND FACTS</w:t>
      </w:r>
    </w:p>
    <w:p w:rsidR="00071B75" w:rsidRPr="00D257CD" w:rsidRDefault="00071B75" w:rsidP="00D257CD">
      <w:pPr>
        <w:pStyle w:val="Para2"/>
        <w:numPr>
          <w:ilvl w:val="0"/>
          <w:numId w:val="0"/>
        </w:numPr>
        <w:spacing w:before="0" w:after="0" w:line="360" w:lineRule="auto"/>
      </w:pPr>
    </w:p>
    <w:p w:rsidR="000C57DB" w:rsidRPr="00D257CD" w:rsidRDefault="000C57DB" w:rsidP="00D257CD">
      <w:pPr>
        <w:pStyle w:val="Para2"/>
        <w:numPr>
          <w:ilvl w:val="0"/>
          <w:numId w:val="0"/>
        </w:numPr>
        <w:spacing w:before="0" w:after="0" w:line="360" w:lineRule="auto"/>
      </w:pPr>
      <w:r w:rsidRPr="00D257CD">
        <w:t>[4]</w:t>
      </w:r>
      <w:r w:rsidRPr="00D257CD">
        <w:tab/>
      </w:r>
      <w:r w:rsidR="00071B75" w:rsidRPr="00D257CD">
        <w:t>On 11 April 2022, the first app</w:t>
      </w:r>
      <w:r w:rsidR="000E15D8">
        <w:t>licant, the Special Investigati</w:t>
      </w:r>
      <w:r w:rsidR="00071B75" w:rsidRPr="00D257CD">
        <w:t>n</w:t>
      </w:r>
      <w:r w:rsidR="000E15D8">
        <w:t>g</w:t>
      </w:r>
      <w:r w:rsidR="00071B75" w:rsidRPr="00D257CD">
        <w:t xml:space="preserve"> Unit (“SIU”) and the second applicant, the Member of the Executive Council for Health: Gauteng Province (“the MEC”) filed an application in the Special Trib</w:t>
      </w:r>
      <w:r w:rsidR="002D71C7" w:rsidRPr="00D257CD">
        <w:t xml:space="preserve">unal to review and set aside </w:t>
      </w:r>
      <w:r w:rsidR="0009336A" w:rsidRPr="00D257CD">
        <w:t>a decision taken by</w:t>
      </w:r>
      <w:r w:rsidRPr="00D257CD">
        <w:t xml:space="preserve"> </w:t>
      </w:r>
      <w:r w:rsidR="0009336A" w:rsidRPr="00D257CD">
        <w:t>the</w:t>
      </w:r>
      <w:r w:rsidRPr="00D257CD">
        <w:t xml:space="preserve"> Gauteng</w:t>
      </w:r>
      <w:r w:rsidR="0009336A" w:rsidRPr="00D257CD">
        <w:t xml:space="preserve"> Department</w:t>
      </w:r>
      <w:r w:rsidRPr="00D257CD">
        <w:t xml:space="preserve"> of H</w:t>
      </w:r>
      <w:r w:rsidR="000E15D8">
        <w:t>ealth’s former Chief Financial O</w:t>
      </w:r>
      <w:r w:rsidRPr="00D257CD">
        <w:t xml:space="preserve">fficer, Ms Lehloenya </w:t>
      </w:r>
      <w:r w:rsidR="0009336A" w:rsidRPr="00D257CD">
        <w:t>to procure</w:t>
      </w:r>
      <w:r w:rsidRPr="00D257CD">
        <w:t xml:space="preserve"> various personal protective equipment (“PPE”) items</w:t>
      </w:r>
      <w:r w:rsidR="0009336A" w:rsidRPr="00D257CD">
        <w:t xml:space="preserve"> from </w:t>
      </w:r>
      <w:r w:rsidR="00071B75" w:rsidRPr="00D257CD">
        <w:t>LNG Scientific</w:t>
      </w:r>
      <w:r w:rsidR="000E15D8">
        <w:t>.</w:t>
      </w:r>
      <w:r w:rsidRPr="00D257CD">
        <w:t xml:space="preserve"> LNG</w:t>
      </w:r>
      <w:r w:rsidR="00071B75" w:rsidRPr="00D257CD">
        <w:t xml:space="preserve"> </w:t>
      </w:r>
      <w:r w:rsidRPr="00D257CD">
        <w:t xml:space="preserve">Scientific filed a notice of </w:t>
      </w:r>
      <w:r w:rsidR="000E15D8">
        <w:t xml:space="preserve">intention to </w:t>
      </w:r>
      <w:r w:rsidR="00071B75" w:rsidRPr="00D257CD">
        <w:t>oppose</w:t>
      </w:r>
      <w:r w:rsidRPr="00D257CD">
        <w:t xml:space="preserve">. It is yet to file an answering affidavit. </w:t>
      </w:r>
    </w:p>
    <w:p w:rsidR="00785C66" w:rsidRDefault="00071B75" w:rsidP="00D257CD">
      <w:pPr>
        <w:pStyle w:val="Para2"/>
        <w:numPr>
          <w:ilvl w:val="0"/>
          <w:numId w:val="0"/>
        </w:numPr>
        <w:spacing w:before="0" w:after="0" w:line="360" w:lineRule="auto"/>
      </w:pPr>
      <w:r w:rsidRPr="00D257CD">
        <w:t xml:space="preserve"> </w:t>
      </w:r>
      <w:r w:rsidRPr="00D257CD">
        <w:br/>
      </w:r>
    </w:p>
    <w:p w:rsidR="00B85559" w:rsidRDefault="000C57DB" w:rsidP="00D257CD">
      <w:pPr>
        <w:pStyle w:val="Para2"/>
        <w:numPr>
          <w:ilvl w:val="0"/>
          <w:numId w:val="0"/>
        </w:numPr>
        <w:spacing w:before="0" w:after="0" w:line="360" w:lineRule="auto"/>
      </w:pPr>
      <w:r w:rsidRPr="00D257CD">
        <w:t>[5]</w:t>
      </w:r>
      <w:r w:rsidRPr="00D257CD">
        <w:tab/>
        <w:t>LNG Scientific</w:t>
      </w:r>
      <w:r w:rsidR="00071B75" w:rsidRPr="00D257CD">
        <w:t xml:space="preserve"> filed a notice in terms of Uniform Rule 53(1)</w:t>
      </w:r>
      <w:r w:rsidRPr="00D257CD">
        <w:t xml:space="preserve"> calling on the applicants to file a record of the impugned decision</w:t>
      </w:r>
      <w:r w:rsidR="00071B75" w:rsidRPr="00D257CD">
        <w:t xml:space="preserve">. When the applicants refused to </w:t>
      </w:r>
      <w:r w:rsidRPr="00D257CD">
        <w:t>comply with its request</w:t>
      </w:r>
      <w:r w:rsidR="00071B75" w:rsidRPr="00D257CD">
        <w:t>, LNG Scientific brought an application to compel. The applicants opposed it. In a judgment hand</w:t>
      </w:r>
      <w:r w:rsidRPr="00D257CD">
        <w:t>ed down on 29 June 2022, I</w:t>
      </w:r>
      <w:r w:rsidR="00071B75" w:rsidRPr="00D257CD">
        <w:t xml:space="preserve"> refused to invoke Uniform Rule 53(1) and ordered the applicants to discover the record of the impugned decision</w:t>
      </w:r>
      <w:r w:rsidRPr="00D257CD">
        <w:t xml:space="preserve"> in terms of Tribunal Rules 28(1) read with Tribunal Rule 17(4) and Uniform Rule 35 (13) (1) and (2)</w:t>
      </w:r>
      <w:r w:rsidR="00071B75" w:rsidRPr="00D257CD">
        <w:t xml:space="preserve">. LNG subsequently filed an application for leave to appeal the </w:t>
      </w:r>
      <w:r w:rsidRPr="00D257CD">
        <w:t xml:space="preserve">29 June judgment and </w:t>
      </w:r>
      <w:r w:rsidR="00071B75" w:rsidRPr="00D257CD">
        <w:t>order. On 7 September 2022, I dismissed the application on the basis that in terms of s8(7) of the S</w:t>
      </w:r>
      <w:r w:rsidR="000E15D8">
        <w:t>pecial Investigating Units and Special Tribunals Act</w:t>
      </w:r>
      <w:r w:rsidR="000E15D8">
        <w:rPr>
          <w:rStyle w:val="FootnoteReference"/>
        </w:rPr>
        <w:footnoteReference w:id="2"/>
      </w:r>
      <w:r w:rsidR="000E15D8">
        <w:t>,</w:t>
      </w:r>
      <w:r w:rsidR="00071B75" w:rsidRPr="00D257CD">
        <w:t xml:space="preserve"> LNG Scientific has an automatic right of appeal to the High Court having jurisdiction. </w:t>
      </w:r>
    </w:p>
    <w:p w:rsidR="000C57DB" w:rsidRPr="00D257CD" w:rsidRDefault="00071B75" w:rsidP="00D257CD">
      <w:pPr>
        <w:pStyle w:val="Para2"/>
        <w:numPr>
          <w:ilvl w:val="0"/>
          <w:numId w:val="0"/>
        </w:numPr>
        <w:spacing w:before="0" w:after="0" w:line="360" w:lineRule="auto"/>
      </w:pPr>
      <w:r w:rsidRPr="00D257CD">
        <w:br/>
      </w:r>
      <w:r w:rsidR="000C57DB" w:rsidRPr="00D257CD">
        <w:t>[6]</w:t>
      </w:r>
      <w:r w:rsidR="000C57DB" w:rsidRPr="00D257CD">
        <w:tab/>
      </w:r>
      <w:r w:rsidRPr="00D257CD">
        <w:t xml:space="preserve">On 02 November 2022, LNG Scientific filed its </w:t>
      </w:r>
      <w:r w:rsidR="00B85559">
        <w:t>notice of appeal in the High Court. The applicants responded by fi</w:t>
      </w:r>
      <w:r w:rsidR="00FD25E9" w:rsidRPr="00D257CD">
        <w:t xml:space="preserve">ling an application in terms of Uniform Rule 30 and 30A to set aside </w:t>
      </w:r>
      <w:r w:rsidR="00B85559">
        <w:t xml:space="preserve">LNG Scientific’s notice of </w:t>
      </w:r>
      <w:r w:rsidR="00FD25E9" w:rsidRPr="00D257CD">
        <w:t>appeal for the reason that it was filed out of time and no condonation application had been filed.</w:t>
      </w:r>
      <w:r w:rsidRPr="00D257CD">
        <w:t xml:space="preserve"> </w:t>
      </w:r>
    </w:p>
    <w:p w:rsidR="00D257CD" w:rsidRDefault="00D257CD" w:rsidP="00D257CD">
      <w:pPr>
        <w:pStyle w:val="Para2"/>
        <w:numPr>
          <w:ilvl w:val="0"/>
          <w:numId w:val="0"/>
        </w:numPr>
        <w:spacing w:before="0" w:after="0" w:line="360" w:lineRule="auto"/>
      </w:pPr>
    </w:p>
    <w:p w:rsidR="00FD25E9" w:rsidRPr="00D257CD" w:rsidRDefault="00FD25E9" w:rsidP="00D257CD">
      <w:pPr>
        <w:pStyle w:val="Para2"/>
        <w:numPr>
          <w:ilvl w:val="0"/>
          <w:numId w:val="0"/>
        </w:numPr>
        <w:spacing w:before="0" w:after="0" w:line="360" w:lineRule="auto"/>
      </w:pPr>
      <w:r w:rsidRPr="00D257CD">
        <w:t>[7]</w:t>
      </w:r>
      <w:r w:rsidRPr="00D257CD">
        <w:tab/>
      </w:r>
      <w:r w:rsidR="00071B75" w:rsidRPr="00D257CD">
        <w:t>At the case management meeting held on 10 November 2022, counsel for the applicants requested me to issue directives for the further conduct of the main application because, until the Full Court grants LNG Scientific condonation for delivering its notice to appeal late, there is no proper appeal pending before the High Court</w:t>
      </w:r>
      <w:r w:rsidRPr="00D257CD">
        <w:t xml:space="preserve">. </w:t>
      </w:r>
    </w:p>
    <w:p w:rsidR="00FD25E9" w:rsidRPr="00D257CD" w:rsidRDefault="00FD25E9" w:rsidP="00D257CD">
      <w:pPr>
        <w:pStyle w:val="Para2"/>
        <w:numPr>
          <w:ilvl w:val="0"/>
          <w:numId w:val="0"/>
        </w:numPr>
        <w:spacing w:before="0" w:after="0" w:line="360" w:lineRule="auto"/>
      </w:pPr>
    </w:p>
    <w:p w:rsidR="00FD25E9" w:rsidRPr="00D257CD" w:rsidRDefault="00D257CD" w:rsidP="00D257CD">
      <w:pPr>
        <w:pStyle w:val="Para2"/>
        <w:numPr>
          <w:ilvl w:val="0"/>
          <w:numId w:val="0"/>
        </w:numPr>
        <w:spacing w:before="0" w:after="0" w:line="360" w:lineRule="auto"/>
      </w:pPr>
      <w:r>
        <w:t>[8</w:t>
      </w:r>
      <w:r w:rsidR="00FD25E9" w:rsidRPr="00D257CD">
        <w:t>]</w:t>
      </w:r>
      <w:r w:rsidR="00FD25E9" w:rsidRPr="00D257CD">
        <w:tab/>
      </w:r>
      <w:r w:rsidR="00071B75" w:rsidRPr="00D257CD">
        <w:t xml:space="preserve">LNG Scientific has since filed an application for condonation before the Full Court. It contends that in that application, it has shown good cause why the time bar should be extended. Therefore, the main application ought not to proceed until its condonation application and appeal has been disposed of. </w:t>
      </w:r>
    </w:p>
    <w:p w:rsidR="00FD25E9" w:rsidRPr="00D257CD" w:rsidRDefault="00071B75" w:rsidP="00D257CD">
      <w:pPr>
        <w:pStyle w:val="Para2"/>
        <w:numPr>
          <w:ilvl w:val="0"/>
          <w:numId w:val="0"/>
        </w:numPr>
        <w:spacing w:before="0" w:after="0" w:line="360" w:lineRule="auto"/>
      </w:pPr>
      <w:r w:rsidRPr="00D257CD">
        <w:br/>
      </w:r>
      <w:r w:rsidR="00D257CD">
        <w:t>[9</w:t>
      </w:r>
      <w:r w:rsidR="00FD25E9" w:rsidRPr="00D257CD">
        <w:t>]</w:t>
      </w:r>
      <w:r w:rsidR="00FD25E9" w:rsidRPr="00D257CD">
        <w:tab/>
        <w:t>In its written submissions, LNG Scientific did not deal with the second issue.</w:t>
      </w:r>
    </w:p>
    <w:p w:rsidR="00785C66" w:rsidRDefault="00071B75" w:rsidP="00D257CD">
      <w:pPr>
        <w:pStyle w:val="Para2"/>
        <w:numPr>
          <w:ilvl w:val="0"/>
          <w:numId w:val="0"/>
        </w:numPr>
        <w:spacing w:before="0" w:after="0" w:line="360" w:lineRule="auto"/>
        <w:rPr>
          <w:b/>
        </w:rPr>
      </w:pPr>
      <w:r w:rsidRPr="00D257CD">
        <w:br/>
      </w:r>
    </w:p>
    <w:p w:rsidR="00071B75" w:rsidRPr="00D257CD" w:rsidRDefault="00071B75" w:rsidP="00D257CD">
      <w:pPr>
        <w:pStyle w:val="Para2"/>
        <w:numPr>
          <w:ilvl w:val="0"/>
          <w:numId w:val="0"/>
        </w:numPr>
        <w:spacing w:before="0" w:after="0" w:line="360" w:lineRule="auto"/>
        <w:rPr>
          <w:b/>
        </w:rPr>
      </w:pPr>
      <w:r w:rsidRPr="00D257CD">
        <w:rPr>
          <w:b/>
        </w:rPr>
        <w:t xml:space="preserve">THE PERIOD BY </w:t>
      </w:r>
      <w:r w:rsidR="00B85559">
        <w:rPr>
          <w:b/>
        </w:rPr>
        <w:t xml:space="preserve">WHICH </w:t>
      </w:r>
      <w:r w:rsidRPr="00D257CD">
        <w:rPr>
          <w:b/>
        </w:rPr>
        <w:t xml:space="preserve">AN APPEAL AGAINST THE TRIBUNAL’S DECISION OUGHT </w:t>
      </w:r>
      <w:r w:rsidR="00B85559">
        <w:rPr>
          <w:b/>
        </w:rPr>
        <w:t>TO BE FILED WITH THE FULL COURT</w:t>
      </w:r>
    </w:p>
    <w:p w:rsidR="00071B75" w:rsidRPr="00D257CD" w:rsidRDefault="00071B75" w:rsidP="00D257CD">
      <w:pPr>
        <w:pStyle w:val="Para2"/>
        <w:numPr>
          <w:ilvl w:val="0"/>
          <w:numId w:val="0"/>
        </w:numPr>
        <w:spacing w:before="0" w:after="0" w:line="360" w:lineRule="auto"/>
      </w:pPr>
    </w:p>
    <w:p w:rsidR="00D257CD" w:rsidRPr="00D257CD" w:rsidRDefault="00D257CD" w:rsidP="00D257CD">
      <w:pPr>
        <w:spacing w:line="360" w:lineRule="auto"/>
        <w:jc w:val="both"/>
        <w:rPr>
          <w:rFonts w:ascii="Arial" w:hAnsi="Arial" w:cs="Arial"/>
          <w:i/>
          <w:sz w:val="24"/>
          <w:szCs w:val="24"/>
        </w:rPr>
      </w:pPr>
      <w:r w:rsidRPr="00D257CD">
        <w:rPr>
          <w:rFonts w:ascii="Arial" w:hAnsi="Arial" w:cs="Arial"/>
          <w:sz w:val="24"/>
          <w:szCs w:val="24"/>
        </w:rPr>
        <w:t>[1</w:t>
      </w:r>
      <w:r>
        <w:rPr>
          <w:rFonts w:ascii="Arial" w:hAnsi="Arial" w:cs="Arial"/>
          <w:sz w:val="24"/>
          <w:szCs w:val="24"/>
        </w:rPr>
        <w:t>0</w:t>
      </w:r>
      <w:r w:rsidRPr="00D257CD">
        <w:rPr>
          <w:rFonts w:ascii="Arial" w:hAnsi="Arial" w:cs="Arial"/>
          <w:sz w:val="24"/>
          <w:szCs w:val="24"/>
        </w:rPr>
        <w:t>]</w:t>
      </w:r>
      <w:r w:rsidR="00FD25E9" w:rsidRPr="00D257CD">
        <w:rPr>
          <w:rFonts w:ascii="Arial" w:hAnsi="Arial" w:cs="Arial"/>
          <w:sz w:val="24"/>
          <w:szCs w:val="24"/>
        </w:rPr>
        <w:tab/>
      </w:r>
      <w:r w:rsidR="00071B75" w:rsidRPr="00D257CD">
        <w:rPr>
          <w:rFonts w:ascii="Arial" w:hAnsi="Arial" w:cs="Arial"/>
          <w:sz w:val="24"/>
          <w:szCs w:val="24"/>
        </w:rPr>
        <w:t xml:space="preserve">The Tribunal Rules are silent on the period within which </w:t>
      </w:r>
      <w:r w:rsidRPr="00D257CD">
        <w:rPr>
          <w:rFonts w:ascii="Arial" w:hAnsi="Arial" w:cs="Arial"/>
          <w:sz w:val="24"/>
          <w:szCs w:val="24"/>
        </w:rPr>
        <w:t>a party ought to exercise its automatic right to appeal by filing a notice to appeal with the Full Court having jurisdiction. Tribunal Rule 28(1) gives</w:t>
      </w:r>
      <w:r w:rsidR="00071B75" w:rsidRPr="00D257CD">
        <w:rPr>
          <w:rFonts w:ascii="Arial" w:hAnsi="Arial" w:cs="Arial"/>
          <w:sz w:val="24"/>
          <w:szCs w:val="24"/>
        </w:rPr>
        <w:t xml:space="preserve"> the Tribunal</w:t>
      </w:r>
      <w:r w:rsidRPr="00D257CD">
        <w:rPr>
          <w:rFonts w:ascii="Arial" w:hAnsi="Arial" w:cs="Arial"/>
          <w:sz w:val="24"/>
          <w:szCs w:val="24"/>
        </w:rPr>
        <w:t xml:space="preserve"> a discretion</w:t>
      </w:r>
      <w:r w:rsidR="00071B75" w:rsidRPr="00D257CD">
        <w:rPr>
          <w:rFonts w:ascii="Arial" w:hAnsi="Arial" w:cs="Arial"/>
          <w:sz w:val="24"/>
          <w:szCs w:val="24"/>
        </w:rPr>
        <w:t xml:space="preserve"> to invoke the Uniform Rules to address this </w:t>
      </w:r>
      <w:r w:rsidRPr="00D257CD">
        <w:rPr>
          <w:rFonts w:ascii="Arial" w:hAnsi="Arial" w:cs="Arial"/>
          <w:i/>
          <w:sz w:val="24"/>
          <w:szCs w:val="24"/>
        </w:rPr>
        <w:t xml:space="preserve">lacuna. </w:t>
      </w:r>
    </w:p>
    <w:p w:rsidR="00D257CD" w:rsidRPr="006C74A6" w:rsidRDefault="00D257CD" w:rsidP="006C74A6">
      <w:pPr>
        <w:spacing w:after="0" w:line="360" w:lineRule="auto"/>
        <w:jc w:val="both"/>
        <w:rPr>
          <w:rFonts w:ascii="Arial" w:hAnsi="Arial" w:cs="Arial"/>
          <w:sz w:val="24"/>
          <w:szCs w:val="24"/>
        </w:rPr>
      </w:pPr>
    </w:p>
    <w:p w:rsidR="00D257CD" w:rsidRDefault="00D257CD" w:rsidP="00D257CD">
      <w:pPr>
        <w:spacing w:line="360" w:lineRule="auto"/>
        <w:jc w:val="both"/>
        <w:rPr>
          <w:rFonts w:ascii="Arial" w:hAnsi="Arial" w:cs="Arial"/>
          <w:sz w:val="24"/>
          <w:szCs w:val="24"/>
        </w:rPr>
      </w:pPr>
      <w:r>
        <w:rPr>
          <w:rFonts w:ascii="Arial" w:hAnsi="Arial" w:cs="Arial"/>
          <w:sz w:val="24"/>
          <w:szCs w:val="24"/>
        </w:rPr>
        <w:t>[11</w:t>
      </w:r>
      <w:r w:rsidRPr="00D257CD">
        <w:rPr>
          <w:rFonts w:ascii="Arial" w:hAnsi="Arial" w:cs="Arial"/>
          <w:sz w:val="24"/>
          <w:szCs w:val="24"/>
        </w:rPr>
        <w:t>]</w:t>
      </w:r>
      <w:r w:rsidRPr="00D257CD">
        <w:rPr>
          <w:rFonts w:ascii="Arial" w:hAnsi="Arial" w:cs="Arial"/>
          <w:sz w:val="24"/>
          <w:szCs w:val="24"/>
        </w:rPr>
        <w:tab/>
      </w:r>
      <w:r w:rsidR="00071B75" w:rsidRPr="00D257CD">
        <w:rPr>
          <w:rFonts w:ascii="Arial" w:hAnsi="Arial" w:cs="Arial"/>
          <w:sz w:val="24"/>
          <w:szCs w:val="24"/>
        </w:rPr>
        <w:t>Uniform Rule 49(2) regulates the procedure for filing a notice of appeal to the Full Court were leave to appeal is granted. It requires that such notice is filed within 20 days after the date on which leave was granted. It further provides that the 20</w:t>
      </w:r>
      <w:r>
        <w:rPr>
          <w:rFonts w:ascii="Arial" w:hAnsi="Arial" w:cs="Arial"/>
          <w:sz w:val="24"/>
          <w:szCs w:val="24"/>
        </w:rPr>
        <w:t>-</w:t>
      </w:r>
      <w:r w:rsidR="00071B75" w:rsidRPr="00D257CD">
        <w:rPr>
          <w:rFonts w:ascii="Arial" w:hAnsi="Arial" w:cs="Arial"/>
          <w:sz w:val="24"/>
          <w:szCs w:val="24"/>
        </w:rPr>
        <w:t>day period may be extended on good cause shown.</w:t>
      </w:r>
    </w:p>
    <w:p w:rsidR="00785C66" w:rsidRDefault="00785C66" w:rsidP="00D257CD">
      <w:pPr>
        <w:pStyle w:val="Para2"/>
        <w:numPr>
          <w:ilvl w:val="0"/>
          <w:numId w:val="0"/>
        </w:numPr>
        <w:spacing w:before="0" w:after="0" w:line="360" w:lineRule="auto"/>
      </w:pPr>
    </w:p>
    <w:p w:rsidR="00D257CD" w:rsidRDefault="00D257CD" w:rsidP="00D257CD">
      <w:pPr>
        <w:pStyle w:val="Para2"/>
        <w:numPr>
          <w:ilvl w:val="0"/>
          <w:numId w:val="0"/>
        </w:numPr>
        <w:spacing w:before="0" w:after="0" w:line="360" w:lineRule="auto"/>
      </w:pPr>
      <w:r>
        <w:t>[12</w:t>
      </w:r>
      <w:r w:rsidRPr="00D257CD">
        <w:t>]</w:t>
      </w:r>
      <w:r w:rsidRPr="00D257CD">
        <w:tab/>
        <w:t>In its written submissions, LNG Scientific contends that the 20-day period applies in instances w</w:t>
      </w:r>
      <w:r>
        <w:t>h</w:t>
      </w:r>
      <w:r w:rsidRPr="00D257CD">
        <w:t>ere leave to appeal to the Full Court was granted. In this case, it does not apply because LNG Scientific’</w:t>
      </w:r>
      <w:r>
        <w:t>s</w:t>
      </w:r>
      <w:r w:rsidRPr="00D257CD">
        <w:t xml:space="preserve"> application for leave to appeal was dis</w:t>
      </w:r>
      <w:r>
        <w:t>missed. Further, even if the 20-</w:t>
      </w:r>
      <w:r w:rsidRPr="00D257CD">
        <w:t xml:space="preserve">day period is applicable, in terms of Uniform Rule 49(2), it may be extended on good cause shown. </w:t>
      </w:r>
    </w:p>
    <w:p w:rsidR="003619BC" w:rsidRDefault="00071B75" w:rsidP="00D257CD">
      <w:pPr>
        <w:spacing w:line="360" w:lineRule="auto"/>
        <w:jc w:val="both"/>
        <w:rPr>
          <w:rFonts w:ascii="Arial" w:hAnsi="Arial" w:cs="Arial"/>
          <w:sz w:val="24"/>
          <w:szCs w:val="24"/>
        </w:rPr>
      </w:pPr>
      <w:r w:rsidRPr="00D257CD">
        <w:rPr>
          <w:rFonts w:ascii="Arial" w:hAnsi="Arial" w:cs="Arial"/>
          <w:sz w:val="24"/>
          <w:szCs w:val="24"/>
        </w:rPr>
        <w:br/>
      </w:r>
      <w:r w:rsidR="00D257CD">
        <w:rPr>
          <w:rFonts w:ascii="Arial" w:hAnsi="Arial" w:cs="Arial"/>
          <w:sz w:val="24"/>
          <w:szCs w:val="24"/>
        </w:rPr>
        <w:t>[13]</w:t>
      </w:r>
      <w:r w:rsidR="00D257CD">
        <w:rPr>
          <w:rFonts w:ascii="Arial" w:hAnsi="Arial" w:cs="Arial"/>
          <w:sz w:val="24"/>
          <w:szCs w:val="24"/>
        </w:rPr>
        <w:tab/>
      </w:r>
      <w:r w:rsidRPr="00D257CD">
        <w:rPr>
          <w:rFonts w:ascii="Arial" w:hAnsi="Arial" w:cs="Arial"/>
          <w:sz w:val="24"/>
          <w:szCs w:val="24"/>
        </w:rPr>
        <w:t xml:space="preserve">The commonality between the procedure Uniform Rule 49(2) </w:t>
      </w:r>
      <w:r w:rsidR="003619BC">
        <w:rPr>
          <w:rFonts w:ascii="Arial" w:hAnsi="Arial" w:cs="Arial"/>
          <w:sz w:val="24"/>
          <w:szCs w:val="24"/>
        </w:rPr>
        <w:t xml:space="preserve">regulates </w:t>
      </w:r>
      <w:r w:rsidRPr="00D257CD">
        <w:rPr>
          <w:rFonts w:ascii="Arial" w:hAnsi="Arial" w:cs="Arial"/>
          <w:sz w:val="24"/>
          <w:szCs w:val="24"/>
        </w:rPr>
        <w:t>and the present matter is that they both relate to an appeal against th</w:t>
      </w:r>
      <w:r w:rsidR="003619BC">
        <w:rPr>
          <w:rFonts w:ascii="Arial" w:hAnsi="Arial" w:cs="Arial"/>
          <w:sz w:val="24"/>
          <w:szCs w:val="24"/>
        </w:rPr>
        <w:t xml:space="preserve">e decision of a single Judge. </w:t>
      </w:r>
    </w:p>
    <w:p w:rsidR="003619BC" w:rsidRDefault="003619BC" w:rsidP="00785C66">
      <w:pPr>
        <w:spacing w:after="0" w:line="360" w:lineRule="auto"/>
        <w:jc w:val="both"/>
        <w:rPr>
          <w:rFonts w:ascii="Arial" w:hAnsi="Arial" w:cs="Arial"/>
          <w:sz w:val="24"/>
          <w:szCs w:val="24"/>
        </w:rPr>
      </w:pPr>
    </w:p>
    <w:p w:rsidR="00F36A42" w:rsidRDefault="003619BC" w:rsidP="00D257CD">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71B75" w:rsidRPr="00D257CD">
        <w:rPr>
          <w:rFonts w:ascii="Arial" w:hAnsi="Arial" w:cs="Arial"/>
          <w:sz w:val="24"/>
          <w:szCs w:val="24"/>
        </w:rPr>
        <w:t>There is a dissimilarity between the procedure Rule 49(2) regulates and the present fact</w:t>
      </w:r>
      <w:r>
        <w:rPr>
          <w:rFonts w:ascii="Arial" w:hAnsi="Arial" w:cs="Arial"/>
          <w:sz w:val="24"/>
          <w:szCs w:val="24"/>
        </w:rPr>
        <w:t>s</w:t>
      </w:r>
      <w:r w:rsidR="00071B75" w:rsidRPr="00D257CD">
        <w:rPr>
          <w:rFonts w:ascii="Arial" w:hAnsi="Arial" w:cs="Arial"/>
          <w:sz w:val="24"/>
          <w:szCs w:val="24"/>
        </w:rPr>
        <w:t xml:space="preserve"> which LNG Scientific seeks to take advantage of. In terms of s17(6)(a) of the Superior Courts Act, the right of a party intending to appeal against the decision of a single judge</w:t>
      </w:r>
      <w:r w:rsidR="004E7C7D">
        <w:rPr>
          <w:rFonts w:ascii="Arial" w:hAnsi="Arial" w:cs="Arial"/>
          <w:sz w:val="24"/>
          <w:szCs w:val="24"/>
        </w:rPr>
        <w:t xml:space="preserve"> to the Full Court</w:t>
      </w:r>
      <w:r w:rsidR="00071B75" w:rsidRPr="00D257CD">
        <w:rPr>
          <w:rFonts w:ascii="Arial" w:hAnsi="Arial" w:cs="Arial"/>
          <w:sz w:val="24"/>
          <w:szCs w:val="24"/>
        </w:rPr>
        <w:t xml:space="preserve"> only arises when leave to appeal is granted. </w:t>
      </w:r>
      <w:r w:rsidR="007E4F25">
        <w:rPr>
          <w:rFonts w:ascii="Arial" w:hAnsi="Arial" w:cs="Arial"/>
          <w:sz w:val="24"/>
          <w:szCs w:val="24"/>
        </w:rPr>
        <w:t>Hence, i</w:t>
      </w:r>
      <w:r w:rsidR="00071B75" w:rsidRPr="00D257CD">
        <w:rPr>
          <w:rFonts w:ascii="Arial" w:hAnsi="Arial" w:cs="Arial"/>
          <w:sz w:val="24"/>
          <w:szCs w:val="24"/>
        </w:rPr>
        <w:t xml:space="preserve">n terms of Uniform Rule 49(2), the dies for filing the notice of appeal to the Full Court starts running on the date leave to appeal is granted. </w:t>
      </w:r>
      <w:r w:rsidR="004E7C7D">
        <w:rPr>
          <w:rFonts w:ascii="Arial" w:hAnsi="Arial" w:cs="Arial"/>
          <w:sz w:val="24"/>
          <w:szCs w:val="24"/>
        </w:rPr>
        <w:t>Here, as ordered on 7 September 2022, LNG Scientific enjoys an automatic right to appeal the Tribunal’s decision to the Full Court.</w:t>
      </w:r>
    </w:p>
    <w:p w:rsidR="003619BC" w:rsidRDefault="003619BC" w:rsidP="003619BC">
      <w:pPr>
        <w:spacing w:after="0" w:line="360" w:lineRule="auto"/>
        <w:jc w:val="both"/>
        <w:rPr>
          <w:rFonts w:ascii="Arial" w:hAnsi="Arial" w:cs="Arial"/>
          <w:sz w:val="24"/>
          <w:szCs w:val="24"/>
        </w:rPr>
      </w:pPr>
    </w:p>
    <w:p w:rsidR="00F36A42" w:rsidRDefault="003619BC" w:rsidP="00F36A42">
      <w:pPr>
        <w:spacing w:line="360" w:lineRule="auto"/>
        <w:jc w:val="both"/>
        <w:rPr>
          <w:rFonts w:ascii="Arial" w:hAnsi="Arial" w:cs="Arial"/>
          <w:sz w:val="24"/>
          <w:szCs w:val="24"/>
        </w:rPr>
      </w:pPr>
      <w:r>
        <w:rPr>
          <w:rFonts w:ascii="Arial" w:hAnsi="Arial" w:cs="Arial"/>
          <w:sz w:val="24"/>
          <w:szCs w:val="24"/>
        </w:rPr>
        <w:t>[15</w:t>
      </w:r>
      <w:r w:rsidR="00F36A42">
        <w:rPr>
          <w:rFonts w:ascii="Arial" w:hAnsi="Arial" w:cs="Arial"/>
          <w:sz w:val="24"/>
          <w:szCs w:val="24"/>
        </w:rPr>
        <w:t>]</w:t>
      </w:r>
      <w:r w:rsidR="00F36A42">
        <w:rPr>
          <w:rFonts w:ascii="Arial" w:hAnsi="Arial" w:cs="Arial"/>
          <w:sz w:val="24"/>
          <w:szCs w:val="24"/>
        </w:rPr>
        <w:tab/>
      </w:r>
      <w:r w:rsidR="00F36A42" w:rsidRPr="00D257CD">
        <w:rPr>
          <w:rFonts w:ascii="Arial" w:hAnsi="Arial" w:cs="Arial"/>
          <w:sz w:val="24"/>
          <w:szCs w:val="24"/>
        </w:rPr>
        <w:t xml:space="preserve">LNG Scientific’s contention is untenable. It has advanced no solution to the present </w:t>
      </w:r>
      <w:r w:rsidR="00F36A42" w:rsidRPr="00D257CD">
        <w:rPr>
          <w:rFonts w:ascii="Arial" w:hAnsi="Arial" w:cs="Arial"/>
          <w:i/>
          <w:sz w:val="24"/>
          <w:szCs w:val="24"/>
        </w:rPr>
        <w:t>lacuna</w:t>
      </w:r>
      <w:r w:rsidR="00F36A42" w:rsidRPr="00D257CD">
        <w:rPr>
          <w:rFonts w:ascii="Arial" w:hAnsi="Arial" w:cs="Arial"/>
          <w:sz w:val="24"/>
          <w:szCs w:val="24"/>
        </w:rPr>
        <w:t xml:space="preserve">. It has also not advanced reasons why the Tribunal’s discretion should not be exercised in the applicants favour by invoking Tribunal Rule 28(1) to render Uniform Rule 49(2) applicable in the present circumstances. </w:t>
      </w:r>
      <w:r w:rsidR="00F36A42">
        <w:rPr>
          <w:rFonts w:ascii="Arial" w:hAnsi="Arial" w:cs="Arial"/>
          <w:sz w:val="24"/>
          <w:szCs w:val="24"/>
        </w:rPr>
        <w:t xml:space="preserve">Upholding its contention is not in the interest of justice as it would result in a party having an open ended period in which to note an appeal. It would also frustrate the SIU Act’s objective to have Tribunal matters resolved expeditiously.  </w:t>
      </w:r>
    </w:p>
    <w:p w:rsidR="00F36A42" w:rsidRDefault="00F36A42" w:rsidP="003619BC">
      <w:pPr>
        <w:spacing w:after="0" w:line="360" w:lineRule="auto"/>
        <w:jc w:val="both"/>
        <w:rPr>
          <w:rFonts w:ascii="Arial" w:hAnsi="Arial" w:cs="Arial"/>
          <w:sz w:val="24"/>
          <w:szCs w:val="24"/>
        </w:rPr>
      </w:pPr>
    </w:p>
    <w:p w:rsidR="00D257CD" w:rsidRDefault="003619BC" w:rsidP="00D257CD">
      <w:pPr>
        <w:spacing w:line="360" w:lineRule="auto"/>
        <w:jc w:val="both"/>
        <w:rPr>
          <w:rFonts w:ascii="Arial" w:hAnsi="Arial" w:cs="Arial"/>
          <w:sz w:val="24"/>
          <w:szCs w:val="24"/>
        </w:rPr>
      </w:pPr>
      <w:r>
        <w:rPr>
          <w:rFonts w:ascii="Arial" w:hAnsi="Arial" w:cs="Arial"/>
          <w:sz w:val="24"/>
          <w:szCs w:val="24"/>
        </w:rPr>
        <w:t>[16</w:t>
      </w:r>
      <w:r w:rsidR="00F36A42">
        <w:rPr>
          <w:rFonts w:ascii="Arial" w:hAnsi="Arial" w:cs="Arial"/>
          <w:sz w:val="24"/>
          <w:szCs w:val="24"/>
        </w:rPr>
        <w:t>]</w:t>
      </w:r>
      <w:r w:rsidR="00F36A42">
        <w:rPr>
          <w:rFonts w:ascii="Arial" w:hAnsi="Arial" w:cs="Arial"/>
          <w:sz w:val="24"/>
          <w:szCs w:val="24"/>
        </w:rPr>
        <w:tab/>
      </w:r>
      <w:r w:rsidR="00071B75" w:rsidRPr="00D257CD">
        <w:rPr>
          <w:rFonts w:ascii="Arial" w:hAnsi="Arial" w:cs="Arial"/>
          <w:sz w:val="24"/>
          <w:szCs w:val="24"/>
        </w:rPr>
        <w:t>Since in terms of s8(7)</w:t>
      </w:r>
      <w:r w:rsidR="00D257CD">
        <w:rPr>
          <w:rFonts w:ascii="Arial" w:hAnsi="Arial" w:cs="Arial"/>
          <w:sz w:val="24"/>
          <w:szCs w:val="24"/>
        </w:rPr>
        <w:t xml:space="preserve"> of the SIU Act</w:t>
      </w:r>
      <w:r w:rsidR="00071B75" w:rsidRPr="00D257CD">
        <w:rPr>
          <w:rFonts w:ascii="Arial" w:hAnsi="Arial" w:cs="Arial"/>
          <w:sz w:val="24"/>
          <w:szCs w:val="24"/>
        </w:rPr>
        <w:t xml:space="preserve"> parties enjoy the automatic right of appeal to the Full Court, </w:t>
      </w:r>
      <w:r w:rsidR="007E4F25">
        <w:rPr>
          <w:rFonts w:ascii="Arial" w:hAnsi="Arial" w:cs="Arial"/>
          <w:sz w:val="24"/>
          <w:szCs w:val="24"/>
        </w:rPr>
        <w:t xml:space="preserve">and given the lack of a Tribunal Rule regulating the procedure for lodging an appeal with the Full Court, </w:t>
      </w:r>
      <w:r w:rsidR="004E7C7D">
        <w:rPr>
          <w:rFonts w:ascii="Arial" w:hAnsi="Arial" w:cs="Arial"/>
          <w:sz w:val="24"/>
          <w:szCs w:val="24"/>
        </w:rPr>
        <w:t xml:space="preserve">purposively interpreted, </w:t>
      </w:r>
      <w:r w:rsidR="007E4F25">
        <w:rPr>
          <w:rFonts w:ascii="Arial" w:hAnsi="Arial" w:cs="Arial"/>
          <w:sz w:val="24"/>
          <w:szCs w:val="24"/>
        </w:rPr>
        <w:t xml:space="preserve">Uniform Rule 49(2) is the rule that best addresses this </w:t>
      </w:r>
      <w:r w:rsidR="007E4F25" w:rsidRPr="00F36A42">
        <w:rPr>
          <w:rFonts w:ascii="Arial" w:hAnsi="Arial" w:cs="Arial"/>
          <w:i/>
          <w:sz w:val="24"/>
          <w:szCs w:val="24"/>
        </w:rPr>
        <w:t>lacuna.</w:t>
      </w:r>
      <w:r w:rsidR="007E4F25">
        <w:rPr>
          <w:rFonts w:ascii="Arial" w:hAnsi="Arial" w:cs="Arial"/>
          <w:sz w:val="24"/>
          <w:szCs w:val="24"/>
        </w:rPr>
        <w:t xml:space="preserve"> T</w:t>
      </w:r>
      <w:r w:rsidR="00071B75" w:rsidRPr="00D257CD">
        <w:rPr>
          <w:rFonts w:ascii="Arial" w:hAnsi="Arial" w:cs="Arial"/>
          <w:sz w:val="24"/>
          <w:szCs w:val="24"/>
        </w:rPr>
        <w:t>he date for fili</w:t>
      </w:r>
      <w:r w:rsidR="00D257CD">
        <w:rPr>
          <w:rFonts w:ascii="Arial" w:hAnsi="Arial" w:cs="Arial"/>
          <w:sz w:val="24"/>
          <w:szCs w:val="24"/>
        </w:rPr>
        <w:t xml:space="preserve">ng </w:t>
      </w:r>
      <w:r w:rsidR="00F36A42">
        <w:rPr>
          <w:rFonts w:ascii="Arial" w:hAnsi="Arial" w:cs="Arial"/>
          <w:sz w:val="24"/>
          <w:szCs w:val="24"/>
        </w:rPr>
        <w:t>the notice of appeal in the Full</w:t>
      </w:r>
      <w:r w:rsidR="00D257CD">
        <w:rPr>
          <w:rFonts w:ascii="Arial" w:hAnsi="Arial" w:cs="Arial"/>
          <w:sz w:val="24"/>
          <w:szCs w:val="24"/>
        </w:rPr>
        <w:t xml:space="preserve"> C</w:t>
      </w:r>
      <w:r w:rsidR="007E4F25">
        <w:rPr>
          <w:rFonts w:ascii="Arial" w:hAnsi="Arial" w:cs="Arial"/>
          <w:sz w:val="24"/>
          <w:szCs w:val="24"/>
        </w:rPr>
        <w:t>ourt ought to be</w:t>
      </w:r>
      <w:r w:rsidR="00071B75" w:rsidRPr="00D257CD">
        <w:rPr>
          <w:rFonts w:ascii="Arial" w:hAnsi="Arial" w:cs="Arial"/>
          <w:sz w:val="24"/>
          <w:szCs w:val="24"/>
        </w:rPr>
        <w:t xml:space="preserve"> reckoned from the date the </w:t>
      </w:r>
      <w:r w:rsidR="007E4F25">
        <w:rPr>
          <w:rFonts w:ascii="Arial" w:hAnsi="Arial" w:cs="Arial"/>
          <w:sz w:val="24"/>
          <w:szCs w:val="24"/>
        </w:rPr>
        <w:t xml:space="preserve">Tribunal’s </w:t>
      </w:r>
      <w:r w:rsidR="00071B75" w:rsidRPr="00D257CD">
        <w:rPr>
          <w:rFonts w:ascii="Arial" w:hAnsi="Arial" w:cs="Arial"/>
          <w:sz w:val="24"/>
          <w:szCs w:val="24"/>
        </w:rPr>
        <w:t>judgment</w:t>
      </w:r>
      <w:r w:rsidR="007E4F25">
        <w:rPr>
          <w:rFonts w:ascii="Arial" w:hAnsi="Arial" w:cs="Arial"/>
          <w:sz w:val="24"/>
          <w:szCs w:val="24"/>
        </w:rPr>
        <w:t xml:space="preserve"> or </w:t>
      </w:r>
      <w:r w:rsidR="00F36A42">
        <w:rPr>
          <w:rFonts w:ascii="Arial" w:hAnsi="Arial" w:cs="Arial"/>
          <w:sz w:val="24"/>
          <w:szCs w:val="24"/>
        </w:rPr>
        <w:t xml:space="preserve">order </w:t>
      </w:r>
      <w:r w:rsidR="00F36A42" w:rsidRPr="00D257CD">
        <w:rPr>
          <w:rFonts w:ascii="Arial" w:hAnsi="Arial" w:cs="Arial"/>
          <w:sz w:val="24"/>
          <w:szCs w:val="24"/>
        </w:rPr>
        <w:t>being</w:t>
      </w:r>
      <w:r w:rsidR="00071B75" w:rsidRPr="00D257CD">
        <w:rPr>
          <w:rFonts w:ascii="Arial" w:hAnsi="Arial" w:cs="Arial"/>
          <w:sz w:val="24"/>
          <w:szCs w:val="24"/>
        </w:rPr>
        <w:t xml:space="preserve"> appealed </w:t>
      </w:r>
      <w:r w:rsidR="00F36A42">
        <w:rPr>
          <w:rFonts w:ascii="Arial" w:hAnsi="Arial" w:cs="Arial"/>
          <w:sz w:val="24"/>
          <w:szCs w:val="24"/>
        </w:rPr>
        <w:t xml:space="preserve">against </w:t>
      </w:r>
      <w:r w:rsidR="00071B75" w:rsidRPr="00D257CD">
        <w:rPr>
          <w:rFonts w:ascii="Arial" w:hAnsi="Arial" w:cs="Arial"/>
          <w:sz w:val="24"/>
          <w:szCs w:val="24"/>
        </w:rPr>
        <w:t xml:space="preserve">is delivered or if only an order was granted and reasons only handed down at a later date, the reckoning date ought to be the date </w:t>
      </w:r>
      <w:r w:rsidR="004E7C7D">
        <w:rPr>
          <w:rFonts w:ascii="Arial" w:hAnsi="Arial" w:cs="Arial"/>
          <w:sz w:val="24"/>
          <w:szCs w:val="24"/>
        </w:rPr>
        <w:t>on which the reasons were handed down</w:t>
      </w:r>
      <w:r w:rsidR="00071B75" w:rsidRPr="00D257CD">
        <w:rPr>
          <w:rFonts w:ascii="Arial" w:hAnsi="Arial" w:cs="Arial"/>
          <w:sz w:val="24"/>
          <w:szCs w:val="24"/>
        </w:rPr>
        <w:t>.</w:t>
      </w:r>
    </w:p>
    <w:p w:rsidR="00BB5F58" w:rsidRDefault="00071B75" w:rsidP="00F36A42">
      <w:pPr>
        <w:spacing w:line="360" w:lineRule="auto"/>
        <w:jc w:val="both"/>
        <w:rPr>
          <w:rFonts w:ascii="Arial" w:hAnsi="Arial" w:cs="Arial"/>
          <w:sz w:val="24"/>
          <w:szCs w:val="24"/>
        </w:rPr>
      </w:pPr>
      <w:r w:rsidRPr="00D257CD">
        <w:rPr>
          <w:rFonts w:ascii="Arial" w:hAnsi="Arial" w:cs="Arial"/>
          <w:sz w:val="24"/>
          <w:szCs w:val="24"/>
        </w:rPr>
        <w:t xml:space="preserve"> </w:t>
      </w:r>
      <w:r w:rsidRPr="00D257CD">
        <w:rPr>
          <w:rFonts w:ascii="Arial" w:hAnsi="Arial" w:cs="Arial"/>
          <w:sz w:val="24"/>
          <w:szCs w:val="24"/>
        </w:rPr>
        <w:br/>
      </w:r>
      <w:r w:rsidR="003619BC">
        <w:rPr>
          <w:rFonts w:ascii="Arial" w:hAnsi="Arial" w:cs="Arial"/>
          <w:sz w:val="24"/>
          <w:szCs w:val="24"/>
        </w:rPr>
        <w:t>[17</w:t>
      </w:r>
      <w:r w:rsidR="00D257CD">
        <w:rPr>
          <w:rFonts w:ascii="Arial" w:hAnsi="Arial" w:cs="Arial"/>
          <w:sz w:val="24"/>
          <w:szCs w:val="24"/>
        </w:rPr>
        <w:t>]</w:t>
      </w:r>
      <w:r w:rsidR="00D257CD">
        <w:rPr>
          <w:rFonts w:ascii="Arial" w:hAnsi="Arial" w:cs="Arial"/>
          <w:sz w:val="24"/>
          <w:szCs w:val="24"/>
        </w:rPr>
        <w:tab/>
      </w:r>
      <w:r w:rsidRPr="00D257CD">
        <w:rPr>
          <w:rFonts w:ascii="Arial" w:hAnsi="Arial" w:cs="Arial"/>
          <w:sz w:val="24"/>
          <w:szCs w:val="24"/>
        </w:rPr>
        <w:t xml:space="preserve">Having considered the present facts and the parties written submissions, I find that the present circumstances are proper to invoke Tribunal Rule 28(1) to render Uniform Rule 49(2) applicable in the present circumstances. </w:t>
      </w:r>
      <w:r w:rsidR="00F36A42">
        <w:rPr>
          <w:rFonts w:ascii="Arial" w:hAnsi="Arial" w:cs="Arial"/>
          <w:sz w:val="24"/>
          <w:szCs w:val="24"/>
        </w:rPr>
        <w:t>Since LNG Scientific had sought leave to appeal from the Tribunal on the basis of the practice that prevailed then, a purposive interpretation of Uniform Rule 49(2) requires that t</w:t>
      </w:r>
      <w:r w:rsidR="00F36A42" w:rsidRPr="00D257CD">
        <w:rPr>
          <w:rFonts w:ascii="Arial" w:hAnsi="Arial" w:cs="Arial"/>
          <w:sz w:val="24"/>
          <w:szCs w:val="24"/>
        </w:rPr>
        <w:t xml:space="preserve">he </w:t>
      </w:r>
      <w:r w:rsidR="00F36A42">
        <w:rPr>
          <w:rFonts w:ascii="Arial" w:hAnsi="Arial" w:cs="Arial"/>
          <w:sz w:val="24"/>
          <w:szCs w:val="24"/>
        </w:rPr>
        <w:t xml:space="preserve">dies </w:t>
      </w:r>
      <w:r w:rsidR="00F36A42" w:rsidRPr="00D257CD">
        <w:rPr>
          <w:rFonts w:ascii="Arial" w:hAnsi="Arial" w:cs="Arial"/>
          <w:sz w:val="24"/>
          <w:szCs w:val="24"/>
        </w:rPr>
        <w:t>for fili</w:t>
      </w:r>
      <w:r w:rsidR="00F36A42">
        <w:rPr>
          <w:rFonts w:ascii="Arial" w:hAnsi="Arial" w:cs="Arial"/>
          <w:sz w:val="24"/>
          <w:szCs w:val="24"/>
        </w:rPr>
        <w:t>ng the notice of appeal in the Full Court be to be</w:t>
      </w:r>
      <w:r w:rsidR="00F36A42" w:rsidRPr="00D257CD">
        <w:rPr>
          <w:rFonts w:ascii="Arial" w:hAnsi="Arial" w:cs="Arial"/>
          <w:sz w:val="24"/>
          <w:szCs w:val="24"/>
        </w:rPr>
        <w:t xml:space="preserve"> reckoned from the date the </w:t>
      </w:r>
      <w:r w:rsidR="00F36A42">
        <w:rPr>
          <w:rFonts w:ascii="Arial" w:hAnsi="Arial" w:cs="Arial"/>
          <w:sz w:val="24"/>
          <w:szCs w:val="24"/>
        </w:rPr>
        <w:t>Tribunal’s order dismissing its application for leave to appeal was granted.</w:t>
      </w:r>
    </w:p>
    <w:p w:rsidR="00F36A42" w:rsidRDefault="00F36A42" w:rsidP="00D257CD">
      <w:pPr>
        <w:spacing w:line="360" w:lineRule="auto"/>
        <w:jc w:val="both"/>
        <w:rPr>
          <w:rFonts w:ascii="Arial" w:hAnsi="Arial" w:cs="Arial"/>
          <w:sz w:val="24"/>
          <w:szCs w:val="24"/>
        </w:rPr>
      </w:pPr>
    </w:p>
    <w:p w:rsidR="00BB5F58" w:rsidRDefault="00F36A42" w:rsidP="00D257CD">
      <w:pPr>
        <w:spacing w:line="360" w:lineRule="auto"/>
        <w:jc w:val="both"/>
        <w:rPr>
          <w:rFonts w:ascii="Arial" w:hAnsi="Arial" w:cs="Arial"/>
          <w:sz w:val="24"/>
          <w:szCs w:val="24"/>
        </w:rPr>
      </w:pPr>
      <w:r>
        <w:rPr>
          <w:rFonts w:ascii="Arial" w:hAnsi="Arial" w:cs="Arial"/>
          <w:sz w:val="24"/>
          <w:szCs w:val="24"/>
        </w:rPr>
        <w:t>[1</w:t>
      </w:r>
      <w:r w:rsidR="007218F7">
        <w:rPr>
          <w:rFonts w:ascii="Arial" w:hAnsi="Arial" w:cs="Arial"/>
          <w:sz w:val="24"/>
          <w:szCs w:val="24"/>
        </w:rPr>
        <w:t>8</w:t>
      </w:r>
      <w:r w:rsidR="00BB5F58">
        <w:rPr>
          <w:rFonts w:ascii="Arial" w:hAnsi="Arial" w:cs="Arial"/>
          <w:sz w:val="24"/>
          <w:szCs w:val="24"/>
        </w:rPr>
        <w:t>]</w:t>
      </w:r>
      <w:r w:rsidR="00BB5F58">
        <w:rPr>
          <w:rFonts w:ascii="Arial" w:hAnsi="Arial" w:cs="Arial"/>
          <w:sz w:val="24"/>
          <w:szCs w:val="24"/>
        </w:rPr>
        <w:tab/>
      </w:r>
      <w:r>
        <w:rPr>
          <w:rFonts w:ascii="Arial" w:hAnsi="Arial" w:cs="Arial"/>
          <w:sz w:val="24"/>
          <w:szCs w:val="24"/>
        </w:rPr>
        <w:t>T</w:t>
      </w:r>
      <w:r w:rsidR="00071B75" w:rsidRPr="00D257CD">
        <w:rPr>
          <w:rFonts w:ascii="Arial" w:hAnsi="Arial" w:cs="Arial"/>
          <w:sz w:val="24"/>
          <w:szCs w:val="24"/>
        </w:rPr>
        <w:t>herefore</w:t>
      </w:r>
      <w:r>
        <w:rPr>
          <w:rFonts w:ascii="Arial" w:hAnsi="Arial" w:cs="Arial"/>
          <w:sz w:val="24"/>
          <w:szCs w:val="24"/>
        </w:rPr>
        <w:t xml:space="preserve">, </w:t>
      </w:r>
      <w:r w:rsidR="00071B75" w:rsidRPr="00D257CD">
        <w:rPr>
          <w:rFonts w:ascii="Arial" w:hAnsi="Arial" w:cs="Arial"/>
          <w:sz w:val="24"/>
          <w:szCs w:val="24"/>
        </w:rPr>
        <w:t xml:space="preserve">LNG Scientific ought to have filed its notice to appeal to the </w:t>
      </w:r>
      <w:r w:rsidR="001E0A04" w:rsidRPr="00D257CD">
        <w:rPr>
          <w:rFonts w:ascii="Arial" w:hAnsi="Arial" w:cs="Arial"/>
          <w:sz w:val="24"/>
          <w:szCs w:val="24"/>
        </w:rPr>
        <w:t>Full Court within 20 days of 7 September 2022</w:t>
      </w:r>
      <w:r w:rsidR="00071B75" w:rsidRPr="00D257CD">
        <w:rPr>
          <w:rFonts w:ascii="Arial" w:hAnsi="Arial" w:cs="Arial"/>
          <w:sz w:val="24"/>
          <w:szCs w:val="24"/>
        </w:rPr>
        <w:t xml:space="preserve"> as required in terms of Uniform Rule 49(2). Since it failed to do so, as argued on behalf of the applicants on the authority in </w:t>
      </w:r>
      <w:r w:rsidR="00071B75" w:rsidRPr="00BB5F58">
        <w:rPr>
          <w:rFonts w:ascii="Arial" w:hAnsi="Arial" w:cs="Arial"/>
          <w:i/>
          <w:sz w:val="24"/>
          <w:szCs w:val="24"/>
        </w:rPr>
        <w:t>Myeni v Organisation Outdoing Tax Abuse NPC</w:t>
      </w:r>
      <w:r w:rsidR="00BB5F58">
        <w:rPr>
          <w:rStyle w:val="FootnoteReference"/>
          <w:rFonts w:ascii="Arial" w:hAnsi="Arial" w:cs="Arial"/>
          <w:i/>
          <w:sz w:val="24"/>
          <w:szCs w:val="24"/>
        </w:rPr>
        <w:footnoteReference w:id="3"/>
      </w:r>
      <w:r w:rsidR="00071B75" w:rsidRPr="00D257CD">
        <w:rPr>
          <w:rFonts w:ascii="Arial" w:hAnsi="Arial" w:cs="Arial"/>
          <w:sz w:val="24"/>
          <w:szCs w:val="24"/>
        </w:rPr>
        <w:t xml:space="preserve">, until the period in Uniform Rule 49(2) is extended on good cause shown, there is no proper appeal pending before the Full Court. </w:t>
      </w:r>
      <w:r w:rsidR="00071B75" w:rsidRPr="00D257CD">
        <w:rPr>
          <w:rFonts w:ascii="Arial" w:hAnsi="Arial" w:cs="Arial"/>
          <w:sz w:val="24"/>
          <w:szCs w:val="24"/>
        </w:rPr>
        <w:br/>
      </w:r>
      <w:r w:rsidR="00071B75" w:rsidRPr="00D257CD">
        <w:rPr>
          <w:rFonts w:ascii="Arial" w:hAnsi="Arial" w:cs="Arial"/>
          <w:sz w:val="24"/>
          <w:szCs w:val="24"/>
        </w:rPr>
        <w:br/>
      </w:r>
      <w:r w:rsidR="007218F7">
        <w:rPr>
          <w:rFonts w:ascii="Arial" w:hAnsi="Arial" w:cs="Arial"/>
          <w:sz w:val="24"/>
          <w:szCs w:val="24"/>
        </w:rPr>
        <w:t>[19</w:t>
      </w:r>
      <w:r w:rsidR="00BB5F58">
        <w:rPr>
          <w:rFonts w:ascii="Arial" w:hAnsi="Arial" w:cs="Arial"/>
          <w:sz w:val="24"/>
          <w:szCs w:val="24"/>
        </w:rPr>
        <w:t>]</w:t>
      </w:r>
      <w:r w:rsidR="00BB5F58">
        <w:rPr>
          <w:rFonts w:ascii="Arial" w:hAnsi="Arial" w:cs="Arial"/>
          <w:sz w:val="24"/>
          <w:szCs w:val="24"/>
        </w:rPr>
        <w:tab/>
      </w:r>
      <w:r w:rsidR="00071B75" w:rsidRPr="00D257CD">
        <w:rPr>
          <w:rFonts w:ascii="Arial" w:hAnsi="Arial" w:cs="Arial"/>
          <w:sz w:val="24"/>
          <w:szCs w:val="24"/>
        </w:rPr>
        <w:t xml:space="preserve">For the purpose of the </w:t>
      </w:r>
      <w:r w:rsidR="00BB5F58">
        <w:rPr>
          <w:rFonts w:ascii="Arial" w:hAnsi="Arial" w:cs="Arial"/>
          <w:sz w:val="24"/>
          <w:szCs w:val="24"/>
        </w:rPr>
        <w:t xml:space="preserve">above issue, </w:t>
      </w:r>
      <w:r w:rsidR="00071B75" w:rsidRPr="00D257CD">
        <w:rPr>
          <w:rFonts w:ascii="Arial" w:hAnsi="Arial" w:cs="Arial"/>
          <w:sz w:val="24"/>
          <w:szCs w:val="24"/>
        </w:rPr>
        <w:t xml:space="preserve">the applicants’ Uniform Rule 30 and 30A application is inconsequential. </w:t>
      </w:r>
    </w:p>
    <w:p w:rsidR="00BB5F58" w:rsidRDefault="00071B75" w:rsidP="00F36A42">
      <w:pPr>
        <w:spacing w:line="360" w:lineRule="auto"/>
        <w:jc w:val="both"/>
        <w:rPr>
          <w:rFonts w:ascii="Arial" w:hAnsi="Arial" w:cs="Arial"/>
          <w:sz w:val="24"/>
          <w:szCs w:val="24"/>
        </w:rPr>
      </w:pPr>
      <w:r w:rsidRPr="00D257CD">
        <w:rPr>
          <w:rFonts w:ascii="Arial" w:hAnsi="Arial" w:cs="Arial"/>
          <w:sz w:val="24"/>
          <w:szCs w:val="24"/>
        </w:rPr>
        <w:br/>
      </w:r>
      <w:r w:rsidR="007218F7">
        <w:rPr>
          <w:rFonts w:ascii="Arial" w:hAnsi="Arial" w:cs="Arial"/>
          <w:sz w:val="24"/>
          <w:szCs w:val="24"/>
        </w:rPr>
        <w:t>[20</w:t>
      </w:r>
      <w:r w:rsidR="00BB5F58">
        <w:rPr>
          <w:rFonts w:ascii="Arial" w:hAnsi="Arial" w:cs="Arial"/>
          <w:sz w:val="24"/>
          <w:szCs w:val="24"/>
        </w:rPr>
        <w:t>]</w:t>
      </w:r>
      <w:r w:rsidR="00BB5F58">
        <w:rPr>
          <w:rFonts w:ascii="Arial" w:hAnsi="Arial" w:cs="Arial"/>
          <w:sz w:val="24"/>
          <w:szCs w:val="24"/>
        </w:rPr>
        <w:tab/>
        <w:t xml:space="preserve">To succeed in its </w:t>
      </w:r>
      <w:r w:rsidRPr="00D257CD">
        <w:rPr>
          <w:rFonts w:ascii="Arial" w:hAnsi="Arial" w:cs="Arial"/>
          <w:sz w:val="24"/>
          <w:szCs w:val="24"/>
        </w:rPr>
        <w:t>condonation</w:t>
      </w:r>
      <w:r w:rsidR="00BB5F58">
        <w:rPr>
          <w:rFonts w:ascii="Arial" w:hAnsi="Arial" w:cs="Arial"/>
          <w:sz w:val="24"/>
          <w:szCs w:val="24"/>
        </w:rPr>
        <w:t xml:space="preserve"> application, </w:t>
      </w:r>
      <w:r w:rsidR="00BB5F58" w:rsidRPr="00D257CD">
        <w:rPr>
          <w:rFonts w:ascii="Arial" w:hAnsi="Arial" w:cs="Arial"/>
          <w:sz w:val="24"/>
          <w:szCs w:val="24"/>
        </w:rPr>
        <w:t xml:space="preserve">LNG Scientific </w:t>
      </w:r>
      <w:r w:rsidRPr="00D257CD">
        <w:rPr>
          <w:rFonts w:ascii="Arial" w:hAnsi="Arial" w:cs="Arial"/>
          <w:sz w:val="24"/>
          <w:szCs w:val="24"/>
        </w:rPr>
        <w:t>will have to provide a full explanation for the delay and show that it has p</w:t>
      </w:r>
      <w:r w:rsidR="00BB5F58">
        <w:rPr>
          <w:rFonts w:ascii="Arial" w:hAnsi="Arial" w:cs="Arial"/>
          <w:sz w:val="24"/>
          <w:szCs w:val="24"/>
        </w:rPr>
        <w:t>rospects of success on appeal.</w:t>
      </w:r>
      <w:r w:rsidR="00BB5F58">
        <w:rPr>
          <w:rFonts w:ascii="Arial" w:hAnsi="Arial" w:cs="Arial"/>
          <w:sz w:val="24"/>
          <w:szCs w:val="24"/>
        </w:rPr>
        <w:br/>
      </w:r>
      <w:r w:rsidRPr="00D257CD">
        <w:rPr>
          <w:rFonts w:ascii="Arial" w:hAnsi="Arial" w:cs="Arial"/>
          <w:sz w:val="24"/>
          <w:szCs w:val="24"/>
        </w:rPr>
        <w:t xml:space="preserve">In its written submissions, LNG Scientific simply states that its </w:t>
      </w:r>
      <w:r w:rsidR="00BB5F58">
        <w:rPr>
          <w:rFonts w:ascii="Arial" w:hAnsi="Arial" w:cs="Arial"/>
          <w:sz w:val="24"/>
          <w:szCs w:val="24"/>
        </w:rPr>
        <w:t xml:space="preserve">notice </w:t>
      </w:r>
      <w:r w:rsidRPr="00D257CD">
        <w:rPr>
          <w:rFonts w:ascii="Arial" w:hAnsi="Arial" w:cs="Arial"/>
          <w:sz w:val="24"/>
          <w:szCs w:val="24"/>
        </w:rPr>
        <w:t>of appeal was only late by 19 days.</w:t>
      </w:r>
    </w:p>
    <w:p w:rsidR="00F36A42" w:rsidRDefault="00F36A42" w:rsidP="00785C66">
      <w:pPr>
        <w:spacing w:after="0" w:line="360" w:lineRule="auto"/>
        <w:jc w:val="both"/>
        <w:rPr>
          <w:rFonts w:ascii="Arial" w:hAnsi="Arial" w:cs="Arial"/>
          <w:sz w:val="24"/>
          <w:szCs w:val="24"/>
        </w:rPr>
      </w:pPr>
    </w:p>
    <w:p w:rsidR="00E06D60" w:rsidRPr="007218F7" w:rsidRDefault="007218F7" w:rsidP="006C74A6">
      <w:pPr>
        <w:spacing w:before="240" w:after="0" w:line="360" w:lineRule="auto"/>
        <w:jc w:val="both"/>
        <w:rPr>
          <w:rFonts w:ascii="Arial" w:hAnsi="Arial" w:cs="Arial"/>
          <w:sz w:val="24"/>
        </w:rPr>
      </w:pPr>
      <w:r>
        <w:rPr>
          <w:rFonts w:ascii="Arial" w:hAnsi="Arial" w:cs="Arial"/>
          <w:sz w:val="24"/>
          <w:szCs w:val="24"/>
        </w:rPr>
        <w:t>[21</w:t>
      </w:r>
      <w:r w:rsidR="00BB5F58" w:rsidRPr="006C74A6">
        <w:rPr>
          <w:rFonts w:ascii="Arial" w:hAnsi="Arial" w:cs="Arial"/>
          <w:sz w:val="24"/>
          <w:szCs w:val="24"/>
        </w:rPr>
        <w:t>]</w:t>
      </w:r>
      <w:r w:rsidR="00BB5F58" w:rsidRPr="006C74A6">
        <w:rPr>
          <w:rFonts w:ascii="Arial" w:hAnsi="Arial" w:cs="Arial"/>
          <w:sz w:val="24"/>
          <w:szCs w:val="24"/>
        </w:rPr>
        <w:tab/>
      </w:r>
      <w:r w:rsidR="00071B75" w:rsidRPr="006C74A6">
        <w:rPr>
          <w:rFonts w:ascii="Arial" w:hAnsi="Arial" w:cs="Arial"/>
          <w:sz w:val="24"/>
          <w:szCs w:val="24"/>
        </w:rPr>
        <w:t xml:space="preserve">LNG Scientific seeks to appeal a judgment dealing with an issue in respect of which the Tribunal exercised a discretion in the wide sense. </w:t>
      </w:r>
      <w:r w:rsidR="00E06D60" w:rsidRPr="007218F7">
        <w:rPr>
          <w:rFonts w:ascii="Arial" w:hAnsi="Arial" w:cs="Arial"/>
          <w:sz w:val="24"/>
        </w:rPr>
        <w:t xml:space="preserve">There is no reasonable prospect of </w:t>
      </w:r>
      <w:r>
        <w:rPr>
          <w:rFonts w:ascii="Arial" w:hAnsi="Arial" w:cs="Arial"/>
          <w:sz w:val="24"/>
        </w:rPr>
        <w:t>an appe</w:t>
      </w:r>
      <w:r w:rsidR="004E7C7D">
        <w:rPr>
          <w:rFonts w:ascii="Arial" w:hAnsi="Arial" w:cs="Arial"/>
          <w:sz w:val="24"/>
        </w:rPr>
        <w:t>a</w:t>
      </w:r>
      <w:r>
        <w:rPr>
          <w:rFonts w:ascii="Arial" w:hAnsi="Arial" w:cs="Arial"/>
          <w:sz w:val="24"/>
        </w:rPr>
        <w:t>l court holding that</w:t>
      </w:r>
      <w:r w:rsidR="00E06D60" w:rsidRPr="007218F7">
        <w:rPr>
          <w:rFonts w:ascii="Arial" w:hAnsi="Arial" w:cs="Arial"/>
          <w:sz w:val="24"/>
        </w:rPr>
        <w:t xml:space="preserve"> in dismissing LNG’s application to compel, and </w:t>
      </w:r>
      <w:r>
        <w:rPr>
          <w:rFonts w:ascii="Arial" w:hAnsi="Arial" w:cs="Arial"/>
          <w:sz w:val="24"/>
        </w:rPr>
        <w:t>by</w:t>
      </w:r>
      <w:r w:rsidR="00E06D60" w:rsidRPr="007218F7">
        <w:rPr>
          <w:rFonts w:ascii="Arial" w:hAnsi="Arial" w:cs="Arial"/>
          <w:sz w:val="24"/>
        </w:rPr>
        <w:t xml:space="preserve"> ordering that the Applicants provide the record of the impugned decision in terms of Tribunal Rule 17(4) read with Uniform Rules 35(13), (1) and (2), the Tribunal did not exercise the discretion conferred on it by Tribunal Rule 28(1) judicially or committed any of the other irregularities which permit an appe</w:t>
      </w:r>
      <w:r w:rsidR="004E7C7D">
        <w:rPr>
          <w:rFonts w:ascii="Arial" w:hAnsi="Arial" w:cs="Arial"/>
          <w:sz w:val="24"/>
        </w:rPr>
        <w:t>a</w:t>
      </w:r>
      <w:r w:rsidR="00E06D60" w:rsidRPr="007218F7">
        <w:rPr>
          <w:rFonts w:ascii="Arial" w:hAnsi="Arial" w:cs="Arial"/>
          <w:sz w:val="24"/>
        </w:rPr>
        <w:t xml:space="preserve">l court to interfere.  </w:t>
      </w:r>
    </w:p>
    <w:p w:rsidR="00E06D60" w:rsidRDefault="00E06D60" w:rsidP="006C74A6">
      <w:pPr>
        <w:spacing w:line="360" w:lineRule="auto"/>
        <w:jc w:val="both"/>
        <w:rPr>
          <w:rFonts w:ascii="Arial" w:hAnsi="Arial" w:cs="Arial"/>
          <w:sz w:val="24"/>
          <w:szCs w:val="24"/>
        </w:rPr>
      </w:pPr>
    </w:p>
    <w:p w:rsidR="00E06D60" w:rsidRDefault="00785C66" w:rsidP="006C74A6">
      <w:pPr>
        <w:spacing w:line="360" w:lineRule="auto"/>
        <w:jc w:val="both"/>
        <w:rPr>
          <w:rFonts w:ascii="Arial" w:hAnsi="Arial" w:cs="Arial"/>
          <w:sz w:val="24"/>
          <w:szCs w:val="24"/>
        </w:rPr>
      </w:pPr>
      <w:r>
        <w:rPr>
          <w:rFonts w:ascii="Arial" w:hAnsi="Arial" w:cs="Arial"/>
          <w:sz w:val="24"/>
          <w:szCs w:val="24"/>
        </w:rPr>
        <w:t>[22</w:t>
      </w:r>
      <w:r w:rsidR="00BB5F58">
        <w:rPr>
          <w:rFonts w:ascii="Arial" w:hAnsi="Arial" w:cs="Arial"/>
          <w:sz w:val="24"/>
          <w:szCs w:val="24"/>
        </w:rPr>
        <w:t>]</w:t>
      </w:r>
      <w:r w:rsidR="00BB5F58">
        <w:rPr>
          <w:rFonts w:ascii="Arial" w:hAnsi="Arial" w:cs="Arial"/>
          <w:sz w:val="24"/>
          <w:szCs w:val="24"/>
        </w:rPr>
        <w:tab/>
      </w:r>
      <w:r w:rsidR="00E06D60">
        <w:rPr>
          <w:rFonts w:ascii="Arial" w:hAnsi="Arial" w:cs="Arial"/>
          <w:sz w:val="24"/>
          <w:szCs w:val="24"/>
        </w:rPr>
        <w:t>Even if the Full Court upholds the appeal in the interests of justice as argued on behalf of LNG Scientific,</w:t>
      </w:r>
      <w:r w:rsidR="00071B75" w:rsidRPr="00D257CD">
        <w:rPr>
          <w:rFonts w:ascii="Arial" w:hAnsi="Arial" w:cs="Arial"/>
          <w:sz w:val="24"/>
          <w:szCs w:val="24"/>
        </w:rPr>
        <w:t xml:space="preserve"> </w:t>
      </w:r>
      <w:r w:rsidR="00E06D60">
        <w:rPr>
          <w:rFonts w:ascii="Arial" w:hAnsi="Arial" w:cs="Arial"/>
          <w:sz w:val="24"/>
          <w:szCs w:val="24"/>
        </w:rPr>
        <w:t xml:space="preserve">for the purpose of the pending review application, the appeal will not have a </w:t>
      </w:r>
      <w:r w:rsidR="00071B75" w:rsidRPr="00D257CD">
        <w:rPr>
          <w:rFonts w:ascii="Arial" w:hAnsi="Arial" w:cs="Arial"/>
          <w:sz w:val="24"/>
          <w:szCs w:val="24"/>
        </w:rPr>
        <w:t>practical effect</w:t>
      </w:r>
      <w:r w:rsidR="00E06D60">
        <w:rPr>
          <w:rFonts w:ascii="Arial" w:hAnsi="Arial" w:cs="Arial"/>
          <w:sz w:val="24"/>
          <w:szCs w:val="24"/>
        </w:rPr>
        <w:t xml:space="preserve">. </w:t>
      </w:r>
      <w:r w:rsidR="00071B75" w:rsidRPr="00D257CD">
        <w:rPr>
          <w:rFonts w:ascii="Arial" w:hAnsi="Arial" w:cs="Arial"/>
          <w:sz w:val="24"/>
          <w:szCs w:val="24"/>
        </w:rPr>
        <w:t>LNG Scientific is in possession of the record it seeks the Full Court to order the applicants to file</w:t>
      </w:r>
      <w:r w:rsidR="00E06D60">
        <w:rPr>
          <w:rFonts w:ascii="Arial" w:hAnsi="Arial" w:cs="Arial"/>
          <w:sz w:val="24"/>
          <w:szCs w:val="24"/>
        </w:rPr>
        <w:t xml:space="preserve"> in terms of Uniform Rule 53(1)</w:t>
      </w:r>
      <w:r w:rsidR="00071B75" w:rsidRPr="00D257CD">
        <w:rPr>
          <w:rFonts w:ascii="Arial" w:hAnsi="Arial" w:cs="Arial"/>
          <w:sz w:val="24"/>
          <w:szCs w:val="24"/>
        </w:rPr>
        <w:t xml:space="preserve"> as the applicants have discovered it in compliance with the Tribunal’s June 2022 judgment. </w:t>
      </w:r>
      <w:r w:rsidR="00E06D60">
        <w:rPr>
          <w:rFonts w:ascii="Arial" w:hAnsi="Arial" w:cs="Arial"/>
          <w:sz w:val="24"/>
          <w:szCs w:val="24"/>
        </w:rPr>
        <w:t>I</w:t>
      </w:r>
      <w:r w:rsidR="00BB5F58">
        <w:rPr>
          <w:rFonts w:ascii="Arial" w:hAnsi="Arial" w:cs="Arial"/>
          <w:sz w:val="24"/>
          <w:szCs w:val="24"/>
        </w:rPr>
        <w:t xml:space="preserve">t is not its case that the record is inadequate. </w:t>
      </w:r>
      <w:r w:rsidR="00E06D60">
        <w:rPr>
          <w:rFonts w:ascii="Arial" w:hAnsi="Arial" w:cs="Arial"/>
          <w:sz w:val="24"/>
          <w:szCs w:val="24"/>
        </w:rPr>
        <w:t xml:space="preserve">The appeal relates to an interlocutory issue. </w:t>
      </w:r>
      <w:r w:rsidR="00BB5F58">
        <w:rPr>
          <w:rFonts w:ascii="Arial" w:hAnsi="Arial" w:cs="Arial"/>
          <w:sz w:val="24"/>
          <w:szCs w:val="24"/>
        </w:rPr>
        <w:t xml:space="preserve">It is unclear how the dictum in </w:t>
      </w:r>
      <w:r w:rsidR="00BB5F58" w:rsidRPr="00BB5F58">
        <w:rPr>
          <w:rFonts w:ascii="Arial" w:hAnsi="Arial" w:cs="Arial"/>
          <w:i/>
          <w:sz w:val="24"/>
          <w:szCs w:val="24"/>
        </w:rPr>
        <w:t>Mamadi and Another v Premier of Limpopo Province and Others</w:t>
      </w:r>
      <w:r w:rsidR="00BB5F58">
        <w:rPr>
          <w:rStyle w:val="FootnoteReference"/>
          <w:rFonts w:ascii="Arial" w:hAnsi="Arial" w:cs="Arial"/>
          <w:sz w:val="24"/>
          <w:szCs w:val="24"/>
        </w:rPr>
        <w:footnoteReference w:id="4"/>
      </w:r>
      <w:r w:rsidR="00BB5F58">
        <w:rPr>
          <w:rFonts w:ascii="Arial" w:hAnsi="Arial" w:cs="Arial"/>
          <w:sz w:val="24"/>
          <w:szCs w:val="24"/>
        </w:rPr>
        <w:t xml:space="preserve"> </w:t>
      </w:r>
      <w:r w:rsidR="007218F7">
        <w:rPr>
          <w:rFonts w:ascii="Arial" w:hAnsi="Arial" w:cs="Arial"/>
          <w:sz w:val="24"/>
          <w:szCs w:val="24"/>
        </w:rPr>
        <w:t xml:space="preserve">on </w:t>
      </w:r>
      <w:r w:rsidR="00E06D60">
        <w:rPr>
          <w:rFonts w:ascii="Arial" w:hAnsi="Arial" w:cs="Arial"/>
          <w:sz w:val="24"/>
          <w:szCs w:val="24"/>
        </w:rPr>
        <w:t xml:space="preserve">which LNG Scientific relies on </w:t>
      </w:r>
      <w:r w:rsidR="00BB5F58">
        <w:rPr>
          <w:rFonts w:ascii="Arial" w:hAnsi="Arial" w:cs="Arial"/>
          <w:sz w:val="24"/>
          <w:szCs w:val="24"/>
        </w:rPr>
        <w:t xml:space="preserve">will </w:t>
      </w:r>
      <w:r w:rsidR="00E06D60">
        <w:rPr>
          <w:rFonts w:ascii="Arial" w:hAnsi="Arial" w:cs="Arial"/>
          <w:sz w:val="24"/>
          <w:szCs w:val="24"/>
        </w:rPr>
        <w:t>yield a different practical outcome on appeal.</w:t>
      </w:r>
      <w:r w:rsidR="007218F7">
        <w:rPr>
          <w:rFonts w:ascii="Arial" w:hAnsi="Arial" w:cs="Arial"/>
          <w:sz w:val="24"/>
          <w:szCs w:val="24"/>
        </w:rPr>
        <w:t xml:space="preserve"> Worse so, as matters stand, there is no proper appeal pending before the Full Court. </w:t>
      </w:r>
    </w:p>
    <w:p w:rsidR="00BB5F58" w:rsidRDefault="00BB5F58" w:rsidP="006C74A6">
      <w:pPr>
        <w:spacing w:line="360" w:lineRule="auto"/>
        <w:jc w:val="both"/>
        <w:rPr>
          <w:rFonts w:ascii="Arial" w:hAnsi="Arial" w:cs="Arial"/>
          <w:sz w:val="24"/>
          <w:szCs w:val="24"/>
        </w:rPr>
      </w:pPr>
    </w:p>
    <w:p w:rsidR="009706F2" w:rsidRPr="00D257CD" w:rsidRDefault="00785C66" w:rsidP="006C74A6">
      <w:pPr>
        <w:spacing w:line="360" w:lineRule="auto"/>
        <w:jc w:val="both"/>
        <w:rPr>
          <w:rFonts w:ascii="Arial" w:hAnsi="Arial" w:cs="Arial"/>
          <w:sz w:val="24"/>
          <w:szCs w:val="24"/>
        </w:rPr>
      </w:pPr>
      <w:r>
        <w:rPr>
          <w:rFonts w:ascii="Arial" w:hAnsi="Arial" w:cs="Arial"/>
          <w:sz w:val="24"/>
          <w:szCs w:val="24"/>
        </w:rPr>
        <w:t>[23</w:t>
      </w:r>
      <w:r w:rsidR="00BB5F58">
        <w:rPr>
          <w:rFonts w:ascii="Arial" w:hAnsi="Arial" w:cs="Arial"/>
          <w:sz w:val="24"/>
          <w:szCs w:val="24"/>
        </w:rPr>
        <w:t>]</w:t>
      </w:r>
      <w:r w:rsidR="00BB5F58">
        <w:rPr>
          <w:rFonts w:ascii="Arial" w:hAnsi="Arial" w:cs="Arial"/>
          <w:sz w:val="24"/>
          <w:szCs w:val="24"/>
        </w:rPr>
        <w:tab/>
      </w:r>
      <w:r w:rsidR="00071B75" w:rsidRPr="00D257CD">
        <w:rPr>
          <w:rFonts w:ascii="Arial" w:hAnsi="Arial" w:cs="Arial"/>
          <w:sz w:val="24"/>
          <w:szCs w:val="24"/>
        </w:rPr>
        <w:t>In the premises, the applicants’ request for directives for the further conduct of the review application to be issued is granted.</w:t>
      </w:r>
    </w:p>
    <w:p w:rsidR="00071B75" w:rsidRPr="00D257CD" w:rsidRDefault="00F7103B" w:rsidP="006C74A6">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71B75" w:rsidRPr="00D257CD">
        <w:rPr>
          <w:rFonts w:ascii="Arial" w:hAnsi="Arial" w:cs="Arial"/>
          <w:sz w:val="24"/>
          <w:szCs w:val="24"/>
        </w:rPr>
        <w:t xml:space="preserve">The following </w:t>
      </w:r>
      <w:r>
        <w:rPr>
          <w:rFonts w:ascii="Arial" w:hAnsi="Arial" w:cs="Arial"/>
          <w:sz w:val="24"/>
          <w:szCs w:val="24"/>
        </w:rPr>
        <w:t xml:space="preserve">directives are issued: </w:t>
      </w:r>
    </w:p>
    <w:p w:rsidR="00071B75" w:rsidRPr="00D257CD" w:rsidRDefault="00F7103B" w:rsidP="006C74A6">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respondent</w:t>
      </w:r>
      <w:r w:rsidR="00071B75" w:rsidRPr="00D257CD">
        <w:rPr>
          <w:rFonts w:ascii="Arial" w:hAnsi="Arial" w:cs="Arial"/>
          <w:sz w:val="24"/>
          <w:szCs w:val="24"/>
        </w:rPr>
        <w:t xml:space="preserve"> shall deliver its answering affidavit, if any, by 6 March 2023. </w:t>
      </w:r>
    </w:p>
    <w:p w:rsidR="00071B75" w:rsidRPr="00D257CD" w:rsidRDefault="00071B75" w:rsidP="006C74A6">
      <w:pPr>
        <w:pStyle w:val="ListParagraph"/>
        <w:spacing w:line="360" w:lineRule="auto"/>
        <w:jc w:val="both"/>
        <w:rPr>
          <w:rFonts w:ascii="Arial" w:hAnsi="Arial" w:cs="Arial"/>
          <w:sz w:val="24"/>
          <w:szCs w:val="24"/>
        </w:rPr>
      </w:pPr>
    </w:p>
    <w:p w:rsidR="00071B75" w:rsidRPr="00D257CD" w:rsidRDefault="00071B75" w:rsidP="006C74A6">
      <w:pPr>
        <w:pStyle w:val="ListParagraph"/>
        <w:numPr>
          <w:ilvl w:val="0"/>
          <w:numId w:val="2"/>
        </w:numPr>
        <w:spacing w:line="360" w:lineRule="auto"/>
        <w:jc w:val="both"/>
        <w:rPr>
          <w:rFonts w:ascii="Arial" w:hAnsi="Arial" w:cs="Arial"/>
          <w:sz w:val="24"/>
          <w:szCs w:val="24"/>
        </w:rPr>
      </w:pPr>
      <w:r w:rsidRPr="00D257CD">
        <w:rPr>
          <w:rFonts w:ascii="Arial" w:hAnsi="Arial" w:cs="Arial"/>
          <w:sz w:val="24"/>
          <w:szCs w:val="24"/>
        </w:rPr>
        <w:t xml:space="preserve">The applicants shall deliver their replying affidavit by 24 March 2023. </w:t>
      </w:r>
    </w:p>
    <w:p w:rsidR="00071B75" w:rsidRPr="00D257CD" w:rsidRDefault="00071B75" w:rsidP="006C74A6">
      <w:pPr>
        <w:pStyle w:val="ListParagraph"/>
        <w:spacing w:line="360" w:lineRule="auto"/>
        <w:jc w:val="both"/>
        <w:rPr>
          <w:rFonts w:ascii="Arial" w:hAnsi="Arial" w:cs="Arial"/>
          <w:sz w:val="24"/>
          <w:szCs w:val="24"/>
        </w:rPr>
      </w:pPr>
    </w:p>
    <w:p w:rsidR="002D71C7" w:rsidRPr="00D257CD" w:rsidRDefault="00071B75" w:rsidP="006C74A6">
      <w:pPr>
        <w:pStyle w:val="ListParagraph"/>
        <w:numPr>
          <w:ilvl w:val="0"/>
          <w:numId w:val="2"/>
        </w:numPr>
        <w:spacing w:line="360" w:lineRule="auto"/>
        <w:jc w:val="both"/>
        <w:rPr>
          <w:rFonts w:ascii="Arial" w:hAnsi="Arial" w:cs="Arial"/>
          <w:sz w:val="24"/>
          <w:szCs w:val="24"/>
        </w:rPr>
      </w:pPr>
      <w:r w:rsidRPr="00D257CD">
        <w:rPr>
          <w:rFonts w:ascii="Arial" w:hAnsi="Arial" w:cs="Arial"/>
          <w:sz w:val="24"/>
          <w:szCs w:val="24"/>
        </w:rPr>
        <w:t>The applicants shall deliver</w:t>
      </w:r>
      <w:r w:rsidR="002D71C7" w:rsidRPr="00D257CD">
        <w:rPr>
          <w:rFonts w:ascii="Arial" w:hAnsi="Arial" w:cs="Arial"/>
          <w:sz w:val="24"/>
          <w:szCs w:val="24"/>
        </w:rPr>
        <w:t xml:space="preserve"> their heads of argument by 7 April 2023.</w:t>
      </w:r>
    </w:p>
    <w:p w:rsidR="002D71C7" w:rsidRPr="00D257CD" w:rsidRDefault="002D71C7" w:rsidP="006C74A6">
      <w:pPr>
        <w:pStyle w:val="ListParagraph"/>
        <w:spacing w:line="360" w:lineRule="auto"/>
        <w:jc w:val="both"/>
        <w:rPr>
          <w:rFonts w:ascii="Arial" w:hAnsi="Arial" w:cs="Arial"/>
          <w:sz w:val="24"/>
          <w:szCs w:val="24"/>
        </w:rPr>
      </w:pPr>
    </w:p>
    <w:p w:rsidR="002D71C7" w:rsidRDefault="00F7103B" w:rsidP="006C74A6">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respondent</w:t>
      </w:r>
      <w:r w:rsidR="002D71C7" w:rsidRPr="00D257CD">
        <w:rPr>
          <w:rFonts w:ascii="Arial" w:hAnsi="Arial" w:cs="Arial"/>
          <w:sz w:val="24"/>
          <w:szCs w:val="24"/>
        </w:rPr>
        <w:t xml:space="preserve"> shall deliver its heads of argument by 21 April 2023. </w:t>
      </w:r>
    </w:p>
    <w:p w:rsidR="00BB5F58" w:rsidRPr="00BB5F58" w:rsidRDefault="00BB5F58" w:rsidP="006C74A6">
      <w:pPr>
        <w:pStyle w:val="ListParagraph"/>
        <w:spacing w:line="360" w:lineRule="auto"/>
        <w:rPr>
          <w:rFonts w:ascii="Arial" w:hAnsi="Arial" w:cs="Arial"/>
          <w:sz w:val="24"/>
          <w:szCs w:val="24"/>
        </w:rPr>
      </w:pPr>
    </w:p>
    <w:p w:rsidR="00BB5F58" w:rsidRPr="00D257CD" w:rsidRDefault="00BB5F58" w:rsidP="006C74A6">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registrar is directed to arrange a with the parties a date of hearing in the second term 2022. </w:t>
      </w:r>
    </w:p>
    <w:p w:rsidR="00071B75" w:rsidRPr="00D257CD" w:rsidRDefault="00071B75" w:rsidP="00D257CD">
      <w:pPr>
        <w:pStyle w:val="ListParagraph"/>
        <w:spacing w:line="360" w:lineRule="auto"/>
        <w:jc w:val="both"/>
        <w:rPr>
          <w:rFonts w:ascii="Arial" w:hAnsi="Arial" w:cs="Arial"/>
          <w:sz w:val="24"/>
          <w:szCs w:val="24"/>
        </w:rPr>
      </w:pPr>
    </w:p>
    <w:p w:rsidR="002D71C7" w:rsidRDefault="002D71C7" w:rsidP="00A0255E">
      <w:pPr>
        <w:pStyle w:val="ListParagraph"/>
        <w:spacing w:line="360" w:lineRule="auto"/>
        <w:jc w:val="right"/>
        <w:rPr>
          <w:noProof/>
          <w:lang w:eastAsia="en-ZA"/>
        </w:rPr>
      </w:pPr>
    </w:p>
    <w:p w:rsidR="003A1918" w:rsidRDefault="003A1918" w:rsidP="00A0255E">
      <w:pPr>
        <w:pStyle w:val="ListParagraph"/>
        <w:spacing w:line="360" w:lineRule="auto"/>
        <w:jc w:val="right"/>
        <w:rPr>
          <w:noProof/>
          <w:lang w:eastAsia="en-ZA"/>
        </w:rPr>
      </w:pPr>
    </w:p>
    <w:p w:rsidR="003A1918" w:rsidRDefault="003A1918" w:rsidP="00A0255E">
      <w:pPr>
        <w:pStyle w:val="ListParagraph"/>
        <w:spacing w:line="360" w:lineRule="auto"/>
        <w:jc w:val="right"/>
        <w:rPr>
          <w:noProof/>
        </w:rPr>
      </w:pPr>
      <w:bookmarkStart w:id="0" w:name="_GoBack"/>
      <w:bookmarkEnd w:id="0"/>
    </w:p>
    <w:p w:rsidR="002D71C7" w:rsidRPr="00D257CD" w:rsidRDefault="002D71C7" w:rsidP="00545F31">
      <w:pPr>
        <w:pStyle w:val="Indent"/>
        <w:numPr>
          <w:ilvl w:val="0"/>
          <w:numId w:val="0"/>
        </w:numPr>
        <w:spacing w:after="0" w:line="360" w:lineRule="auto"/>
        <w:jc w:val="right"/>
        <w:rPr>
          <w:rFonts w:cs="Arial"/>
          <w:sz w:val="24"/>
          <w:szCs w:val="24"/>
        </w:rPr>
      </w:pPr>
      <w:r w:rsidRPr="00D257CD">
        <w:rPr>
          <w:rFonts w:cs="Arial"/>
          <w:sz w:val="24"/>
          <w:szCs w:val="24"/>
        </w:rPr>
        <w:t>____________________________</w:t>
      </w:r>
    </w:p>
    <w:p w:rsidR="002D71C7" w:rsidRPr="00D257CD" w:rsidRDefault="002D71C7" w:rsidP="00545F31">
      <w:pPr>
        <w:pStyle w:val="Indent"/>
        <w:numPr>
          <w:ilvl w:val="0"/>
          <w:numId w:val="0"/>
        </w:numPr>
        <w:spacing w:after="0" w:line="360" w:lineRule="auto"/>
        <w:jc w:val="right"/>
        <w:rPr>
          <w:rFonts w:cs="Arial"/>
          <w:b/>
          <w:bCs/>
          <w:sz w:val="24"/>
          <w:szCs w:val="24"/>
        </w:rPr>
      </w:pPr>
      <w:r w:rsidRPr="00D257CD">
        <w:rPr>
          <w:rFonts w:cs="Arial"/>
          <w:b/>
          <w:bCs/>
          <w:sz w:val="24"/>
          <w:szCs w:val="24"/>
        </w:rPr>
        <w:t>JUDGE L.T. MODIBA</w:t>
      </w:r>
    </w:p>
    <w:p w:rsidR="002D71C7" w:rsidRPr="00D257CD" w:rsidRDefault="002D71C7" w:rsidP="00545F31">
      <w:pPr>
        <w:pStyle w:val="Indent"/>
        <w:numPr>
          <w:ilvl w:val="0"/>
          <w:numId w:val="0"/>
        </w:numPr>
        <w:spacing w:after="0" w:line="360" w:lineRule="auto"/>
        <w:jc w:val="right"/>
        <w:rPr>
          <w:rFonts w:cs="Arial"/>
          <w:b/>
          <w:bCs/>
          <w:sz w:val="24"/>
          <w:szCs w:val="24"/>
        </w:rPr>
      </w:pPr>
      <w:r w:rsidRPr="00D257CD">
        <w:rPr>
          <w:rFonts w:cs="Arial"/>
          <w:b/>
          <w:bCs/>
          <w:sz w:val="24"/>
          <w:szCs w:val="24"/>
        </w:rPr>
        <w:t>PRESIDENT OF THE SPECIAL TRIBUNAL</w:t>
      </w:r>
    </w:p>
    <w:p w:rsidR="002D71C7" w:rsidRPr="00D257CD" w:rsidRDefault="002D71C7" w:rsidP="00D257CD">
      <w:pPr>
        <w:pStyle w:val="Thirdlevelpara"/>
        <w:numPr>
          <w:ilvl w:val="0"/>
          <w:numId w:val="0"/>
        </w:numPr>
        <w:spacing w:before="0" w:after="0" w:line="360" w:lineRule="auto"/>
        <w:rPr>
          <w:szCs w:val="24"/>
        </w:rPr>
      </w:pPr>
    </w:p>
    <w:p w:rsidR="002D71C7" w:rsidRPr="00D257CD" w:rsidRDefault="002D71C7" w:rsidP="00D257CD">
      <w:pPr>
        <w:pStyle w:val="Thirdlevelpara"/>
        <w:numPr>
          <w:ilvl w:val="0"/>
          <w:numId w:val="0"/>
        </w:numPr>
        <w:spacing w:before="0" w:after="0" w:line="360" w:lineRule="auto"/>
        <w:rPr>
          <w:b/>
          <w:szCs w:val="24"/>
        </w:rPr>
      </w:pPr>
      <w:r w:rsidRPr="00D257CD">
        <w:rPr>
          <w:b/>
          <w:szCs w:val="24"/>
        </w:rPr>
        <w:t xml:space="preserve">APPEARANCES </w:t>
      </w:r>
    </w:p>
    <w:p w:rsidR="002D71C7" w:rsidRPr="00D257CD" w:rsidRDefault="002D71C7" w:rsidP="00D257CD">
      <w:pPr>
        <w:pStyle w:val="Thirdlevelpara"/>
        <w:numPr>
          <w:ilvl w:val="0"/>
          <w:numId w:val="0"/>
        </w:numPr>
        <w:spacing w:before="0" w:after="0" w:line="360" w:lineRule="auto"/>
        <w:rPr>
          <w:b/>
          <w:szCs w:val="24"/>
        </w:rPr>
      </w:pP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Counsel for the 1</w:t>
      </w:r>
      <w:r w:rsidRPr="00D257CD">
        <w:rPr>
          <w:rFonts w:ascii="Arial" w:hAnsi="Arial" w:cs="Arial"/>
          <w:sz w:val="24"/>
          <w:szCs w:val="24"/>
          <w:vertAlign w:val="superscript"/>
        </w:rPr>
        <w:t>st</w:t>
      </w:r>
      <w:r w:rsidRPr="00D257CD">
        <w:rPr>
          <w:rFonts w:ascii="Arial" w:hAnsi="Arial" w:cs="Arial"/>
          <w:sz w:val="24"/>
          <w:szCs w:val="24"/>
        </w:rPr>
        <w:t xml:space="preserve"> and 2</w:t>
      </w:r>
      <w:r w:rsidRPr="00D257CD">
        <w:rPr>
          <w:rFonts w:ascii="Arial" w:hAnsi="Arial" w:cs="Arial"/>
          <w:sz w:val="24"/>
          <w:szCs w:val="24"/>
          <w:vertAlign w:val="superscript"/>
        </w:rPr>
        <w:t>nd</w:t>
      </w:r>
      <w:r w:rsidRPr="00D257CD">
        <w:rPr>
          <w:rFonts w:ascii="Arial" w:hAnsi="Arial" w:cs="Arial"/>
          <w:sz w:val="24"/>
          <w:szCs w:val="24"/>
        </w:rPr>
        <w:t xml:space="preserve"> applicant: Adv. AM Breitenbach SC, assisted by Adv. S Khoza</w:t>
      </w: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Attorney for the applicant: Ms S Zondi, State Attorney, Pretoria</w:t>
      </w:r>
    </w:p>
    <w:p w:rsidR="002D71C7" w:rsidRPr="00D257CD" w:rsidRDefault="002D71C7" w:rsidP="00D257CD">
      <w:pPr>
        <w:spacing w:line="360" w:lineRule="auto"/>
        <w:jc w:val="both"/>
        <w:rPr>
          <w:rFonts w:ascii="Arial" w:hAnsi="Arial" w:cs="Arial"/>
          <w:b/>
          <w:sz w:val="24"/>
          <w:szCs w:val="24"/>
        </w:rPr>
      </w:pP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Counsel for respondent: JA Motepe SC, assisted by Adv. I Hlalethoa</w:t>
      </w:r>
    </w:p>
    <w:p w:rsidR="002D71C7" w:rsidRPr="00D257CD" w:rsidRDefault="002D71C7" w:rsidP="00D257CD">
      <w:pPr>
        <w:spacing w:line="360" w:lineRule="auto"/>
        <w:jc w:val="both"/>
        <w:rPr>
          <w:rFonts w:ascii="Arial" w:hAnsi="Arial" w:cs="Arial"/>
          <w:sz w:val="24"/>
          <w:szCs w:val="24"/>
        </w:rPr>
      </w:pPr>
      <w:r w:rsidRPr="00D257CD">
        <w:rPr>
          <w:rFonts w:ascii="Arial" w:hAnsi="Arial" w:cs="Arial"/>
          <w:sz w:val="24"/>
          <w:szCs w:val="24"/>
        </w:rPr>
        <w:t>Attorney for the respondent: Mr M Ngozo, Diale Mogashoa Attorneys</w:t>
      </w:r>
    </w:p>
    <w:p w:rsidR="002D71C7" w:rsidRPr="00D257CD" w:rsidRDefault="002D71C7" w:rsidP="00D257CD">
      <w:pPr>
        <w:spacing w:line="360" w:lineRule="auto"/>
        <w:jc w:val="both"/>
        <w:rPr>
          <w:rFonts w:ascii="Arial" w:hAnsi="Arial" w:cs="Arial"/>
          <w:sz w:val="24"/>
          <w:szCs w:val="24"/>
        </w:rPr>
      </w:pPr>
    </w:p>
    <w:p w:rsidR="002D71C7" w:rsidRPr="00D257CD" w:rsidRDefault="002D71C7" w:rsidP="00D257CD">
      <w:pPr>
        <w:spacing w:line="360" w:lineRule="auto"/>
        <w:jc w:val="both"/>
        <w:rPr>
          <w:rFonts w:ascii="Arial" w:hAnsi="Arial" w:cs="Arial"/>
          <w:sz w:val="24"/>
          <w:szCs w:val="24"/>
        </w:rPr>
      </w:pPr>
      <w:r w:rsidRPr="00D257CD">
        <w:rPr>
          <w:rFonts w:ascii="Arial" w:hAnsi="Arial" w:cs="Arial"/>
          <w:b/>
          <w:sz w:val="24"/>
          <w:szCs w:val="24"/>
        </w:rPr>
        <w:t xml:space="preserve">Date of hearing: </w:t>
      </w:r>
      <w:r w:rsidRPr="00D257CD">
        <w:rPr>
          <w:rFonts w:ascii="Arial" w:hAnsi="Arial" w:cs="Arial"/>
          <w:sz w:val="24"/>
          <w:szCs w:val="24"/>
        </w:rPr>
        <w:t>Not applicable. Application determined on written submissions. Last date for filing submissions: 18 November 2022</w:t>
      </w:r>
    </w:p>
    <w:p w:rsidR="002D71C7" w:rsidRPr="00D257CD" w:rsidRDefault="002D71C7" w:rsidP="00D257CD">
      <w:pPr>
        <w:spacing w:line="360" w:lineRule="auto"/>
        <w:jc w:val="both"/>
        <w:rPr>
          <w:rFonts w:ascii="Arial" w:hAnsi="Arial" w:cs="Arial"/>
          <w:sz w:val="24"/>
          <w:szCs w:val="24"/>
        </w:rPr>
      </w:pPr>
      <w:r w:rsidRPr="00D257CD">
        <w:rPr>
          <w:rFonts w:ascii="Arial" w:hAnsi="Arial" w:cs="Arial"/>
          <w:b/>
          <w:sz w:val="24"/>
          <w:szCs w:val="24"/>
        </w:rPr>
        <w:t>Date of judgment:</w:t>
      </w:r>
      <w:r w:rsidR="00545F31">
        <w:rPr>
          <w:rFonts w:ascii="Arial" w:hAnsi="Arial" w:cs="Arial"/>
          <w:sz w:val="24"/>
          <w:szCs w:val="24"/>
        </w:rPr>
        <w:t xml:space="preserve"> 3</w:t>
      </w:r>
      <w:r w:rsidRPr="00D257CD">
        <w:rPr>
          <w:rFonts w:ascii="Arial" w:hAnsi="Arial" w:cs="Arial"/>
          <w:sz w:val="24"/>
          <w:szCs w:val="24"/>
        </w:rPr>
        <w:t xml:space="preserve"> February 2023</w:t>
      </w:r>
    </w:p>
    <w:p w:rsidR="002D71C7" w:rsidRPr="00D257CD" w:rsidRDefault="00D07B76" w:rsidP="00D257CD">
      <w:pPr>
        <w:spacing w:after="0" w:line="360" w:lineRule="auto"/>
        <w:jc w:val="both"/>
        <w:rPr>
          <w:rFonts w:ascii="Arial" w:hAnsi="Arial" w:cs="Arial"/>
          <w:sz w:val="24"/>
          <w:szCs w:val="24"/>
        </w:rPr>
      </w:pPr>
      <w:r w:rsidRPr="00251CD3">
        <w:rPr>
          <w:rFonts w:ascii="Arial" w:eastAsia="Times New Roman" w:hAnsi="Arial" w:cs="Arial"/>
          <w:b/>
          <w:i/>
          <w:lang w:eastAsia="en-GB"/>
        </w:rPr>
        <w:t>Mode of delivery:</w:t>
      </w:r>
      <w:r w:rsidR="009F07BE">
        <w:rPr>
          <w:rFonts w:ascii="Arial" w:eastAsia="Times New Roman" w:hAnsi="Arial" w:cs="Arial"/>
          <w:b/>
          <w:i/>
          <w:lang w:eastAsia="en-GB"/>
        </w:rPr>
        <w:t xml:space="preserve"> </w:t>
      </w:r>
      <w:r w:rsidR="009F07BE">
        <w:rPr>
          <w:rFonts w:ascii="Arial" w:eastAsia="Times New Roman" w:hAnsi="Arial" w:cs="Arial"/>
          <w:i/>
          <w:sz w:val="24"/>
          <w:szCs w:val="24"/>
          <w:lang w:eastAsia="en-GB"/>
        </w:rPr>
        <w:t>this</w:t>
      </w:r>
      <w:r w:rsidRPr="009F07BE">
        <w:rPr>
          <w:rFonts w:ascii="Arial" w:eastAsia="Times New Roman" w:hAnsi="Arial" w:cs="Arial"/>
          <w:i/>
          <w:sz w:val="24"/>
          <w:szCs w:val="24"/>
          <w:lang w:eastAsia="en-GB"/>
        </w:rPr>
        <w:t xml:space="preserve"> </w:t>
      </w:r>
      <w:r w:rsidR="009F07BE" w:rsidRPr="009F07BE">
        <w:rPr>
          <w:rFonts w:ascii="Arial" w:eastAsia="Times New Roman" w:hAnsi="Arial" w:cs="Arial"/>
          <w:i/>
          <w:sz w:val="24"/>
          <w:szCs w:val="24"/>
          <w:lang w:eastAsia="en-GB"/>
        </w:rPr>
        <w:t>Judgement was</w:t>
      </w:r>
      <w:r w:rsidRPr="009F07BE">
        <w:rPr>
          <w:rFonts w:ascii="Arial" w:eastAsia="Times New Roman" w:hAnsi="Arial" w:cs="Arial"/>
          <w:i/>
          <w:sz w:val="24"/>
          <w:szCs w:val="24"/>
          <w:lang w:eastAsia="en-GB"/>
        </w:rPr>
        <w:t xml:space="preserve"> </w:t>
      </w:r>
      <w:r w:rsidRPr="009F07BE">
        <w:rPr>
          <w:rFonts w:ascii="Arial" w:eastAsia="Times New Roman" w:hAnsi="Arial" w:cs="Arial"/>
          <w:i/>
          <w:color w:val="222222"/>
          <w:sz w:val="24"/>
          <w:szCs w:val="24"/>
        </w:rPr>
        <w:t>circulated to the parties’ legal representatives by email, released to SAFLII a</w:t>
      </w:r>
      <w:r w:rsidR="006F5097">
        <w:rPr>
          <w:rFonts w:ascii="Arial" w:eastAsia="Times New Roman" w:hAnsi="Arial" w:cs="Arial"/>
          <w:i/>
          <w:color w:val="222222"/>
          <w:sz w:val="24"/>
          <w:szCs w:val="24"/>
        </w:rPr>
        <w:t>nd uploaded to Caselines at 4pm</w:t>
      </w:r>
      <w:r w:rsidRPr="009F07BE">
        <w:rPr>
          <w:rFonts w:ascii="Arial" w:eastAsia="Times New Roman" w:hAnsi="Arial" w:cs="Arial"/>
          <w:i/>
          <w:color w:val="222222"/>
          <w:sz w:val="24"/>
          <w:szCs w:val="24"/>
        </w:rPr>
        <w:t xml:space="preserve"> on 03 February 2023</w:t>
      </w:r>
      <w:r w:rsidR="009F07BE">
        <w:rPr>
          <w:rFonts w:ascii="Arial" w:eastAsia="Times New Roman" w:hAnsi="Arial" w:cs="Arial"/>
          <w:i/>
          <w:color w:val="222222"/>
          <w:sz w:val="24"/>
          <w:szCs w:val="24"/>
        </w:rPr>
        <w:t xml:space="preserve">. </w:t>
      </w:r>
    </w:p>
    <w:p w:rsidR="002D71C7" w:rsidRPr="00D257CD" w:rsidRDefault="002D71C7" w:rsidP="00D257CD">
      <w:pPr>
        <w:pStyle w:val="ListParagraph"/>
        <w:spacing w:line="360" w:lineRule="auto"/>
        <w:jc w:val="both"/>
        <w:rPr>
          <w:rFonts w:ascii="Arial" w:hAnsi="Arial" w:cs="Arial"/>
          <w:sz w:val="24"/>
          <w:szCs w:val="24"/>
        </w:rPr>
      </w:pPr>
    </w:p>
    <w:p w:rsidR="00071B75" w:rsidRPr="00D257CD" w:rsidRDefault="00071B75" w:rsidP="00D257CD">
      <w:pPr>
        <w:spacing w:line="360" w:lineRule="auto"/>
        <w:jc w:val="both"/>
        <w:rPr>
          <w:rFonts w:ascii="Arial" w:hAnsi="Arial" w:cs="Arial"/>
          <w:sz w:val="24"/>
          <w:szCs w:val="24"/>
        </w:rPr>
      </w:pPr>
    </w:p>
    <w:sectPr w:rsidR="00071B75" w:rsidRPr="00D257C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B3" w:rsidRDefault="007566B3" w:rsidP="000C57DB">
      <w:pPr>
        <w:spacing w:after="0" w:line="240" w:lineRule="auto"/>
      </w:pPr>
      <w:r>
        <w:separator/>
      </w:r>
    </w:p>
  </w:endnote>
  <w:endnote w:type="continuationSeparator" w:id="0">
    <w:p w:rsidR="007566B3" w:rsidRDefault="007566B3" w:rsidP="000C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B3" w:rsidRDefault="007566B3" w:rsidP="000C57DB">
      <w:pPr>
        <w:spacing w:after="0" w:line="240" w:lineRule="auto"/>
      </w:pPr>
      <w:r>
        <w:separator/>
      </w:r>
    </w:p>
  </w:footnote>
  <w:footnote w:type="continuationSeparator" w:id="0">
    <w:p w:rsidR="007566B3" w:rsidRDefault="007566B3" w:rsidP="000C57DB">
      <w:pPr>
        <w:spacing w:after="0" w:line="240" w:lineRule="auto"/>
      </w:pPr>
      <w:r>
        <w:continuationSeparator/>
      </w:r>
    </w:p>
  </w:footnote>
  <w:footnote w:id="1">
    <w:p w:rsidR="000C57DB" w:rsidRPr="000C57DB" w:rsidRDefault="000C57DB">
      <w:pPr>
        <w:pStyle w:val="FootnoteText"/>
        <w:rPr>
          <w:lang w:val="en-GB"/>
        </w:rPr>
      </w:pPr>
      <w:r>
        <w:rPr>
          <w:rStyle w:val="FootnoteReference"/>
        </w:rPr>
        <w:footnoteRef/>
      </w:r>
      <w:r>
        <w:t xml:space="preserve"> </w:t>
      </w:r>
      <w:r>
        <w:rPr>
          <w:lang w:val="en-GB"/>
        </w:rPr>
        <w:t>Act 10 of 2013.</w:t>
      </w:r>
    </w:p>
  </w:footnote>
  <w:footnote w:id="2">
    <w:p w:rsidR="000E15D8" w:rsidRPr="000E15D8" w:rsidRDefault="000E15D8">
      <w:pPr>
        <w:pStyle w:val="FootnoteText"/>
        <w:rPr>
          <w:lang w:val="en-GB"/>
        </w:rPr>
      </w:pPr>
      <w:r>
        <w:rPr>
          <w:rStyle w:val="FootnoteReference"/>
        </w:rPr>
        <w:footnoteRef/>
      </w:r>
      <w:r>
        <w:t xml:space="preserve"> </w:t>
      </w:r>
      <w:r>
        <w:rPr>
          <w:lang w:val="en-GB"/>
        </w:rPr>
        <w:t>Act 74 of 1996.</w:t>
      </w:r>
    </w:p>
  </w:footnote>
  <w:footnote w:id="3">
    <w:p w:rsidR="00BB5F58" w:rsidRPr="00BB5F58" w:rsidRDefault="00BB5F58">
      <w:pPr>
        <w:pStyle w:val="FootnoteText"/>
        <w:rPr>
          <w:rFonts w:ascii="Arial" w:hAnsi="Arial" w:cs="Arial"/>
          <w:b/>
          <w:lang w:val="en-GB"/>
        </w:rPr>
      </w:pPr>
      <w:r w:rsidRPr="00BB5F58">
        <w:rPr>
          <w:rStyle w:val="FootnoteReference"/>
          <w:rFonts w:ascii="Arial" w:hAnsi="Arial" w:cs="Arial"/>
        </w:rPr>
        <w:footnoteRef/>
      </w:r>
      <w:r w:rsidRPr="00BB5F58">
        <w:rPr>
          <w:rFonts w:ascii="Arial" w:hAnsi="Arial" w:cs="Arial"/>
        </w:rPr>
        <w:t xml:space="preserve"> </w:t>
      </w:r>
      <w:r w:rsidRPr="00BB5F58">
        <w:rPr>
          <w:rFonts w:ascii="Arial" w:hAnsi="Arial" w:cs="Arial"/>
          <w:sz w:val="24"/>
          <w:szCs w:val="24"/>
        </w:rPr>
        <w:t xml:space="preserve">[2021] ZAGPHPHC 56 (15 February 2021) paragraphs 19 and 25 to 26. </w:t>
      </w:r>
    </w:p>
  </w:footnote>
  <w:footnote w:id="4">
    <w:p w:rsidR="00BB5F58" w:rsidRPr="00BB5F58" w:rsidRDefault="00BB5F58">
      <w:pPr>
        <w:pStyle w:val="FootnoteText"/>
        <w:rPr>
          <w:lang w:val="en-GB"/>
        </w:rPr>
      </w:pPr>
      <w:r>
        <w:rPr>
          <w:rStyle w:val="FootnoteReference"/>
        </w:rPr>
        <w:footnoteRef/>
      </w:r>
      <w:r>
        <w:t xml:space="preserve"> </w:t>
      </w:r>
      <w:r>
        <w:rPr>
          <w:lang w:val="en-GB"/>
        </w:rPr>
        <w:t xml:space="preserve">[2022] ZACC 26.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E7C7D" w:rsidRDefault="004E7C7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6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6B3">
          <w:rPr>
            <w:b/>
            <w:bCs/>
            <w:noProof/>
          </w:rPr>
          <w:t>1</w:t>
        </w:r>
        <w:r>
          <w:rPr>
            <w:b/>
            <w:bCs/>
            <w:sz w:val="24"/>
            <w:szCs w:val="24"/>
          </w:rPr>
          <w:fldChar w:fldCharType="end"/>
        </w:r>
      </w:p>
    </w:sdtContent>
  </w:sdt>
  <w:p w:rsidR="004E7C7D" w:rsidRDefault="004E7C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56093"/>
    <w:multiLevelType w:val="multilevel"/>
    <w:tmpl w:val="0608DFEC"/>
    <w:lvl w:ilvl="0">
      <w:start w:val="1"/>
      <w:numFmt w:val="decimal"/>
      <w:pStyle w:val="Firstlevelpara"/>
      <w:lvlText w:val="%1."/>
      <w:lvlJc w:val="left"/>
      <w:pPr>
        <w:ind w:left="360" w:hanging="360"/>
      </w:pPr>
      <w:rPr>
        <w:b w:val="0"/>
        <w:bCs/>
        <w:i w:val="0"/>
        <w:iCs w:val="0"/>
        <w:sz w:val="24"/>
        <w:szCs w:val="24"/>
      </w:rPr>
    </w:lvl>
    <w:lvl w:ilvl="1">
      <w:start w:val="1"/>
      <w:numFmt w:val="decimal"/>
      <w:pStyle w:val="Secondlevelpara"/>
      <w:lvlText w:val="%1.%2."/>
      <w:lvlJc w:val="left"/>
      <w:pPr>
        <w:ind w:left="792" w:hanging="432"/>
      </w:pPr>
      <w:rPr>
        <w:rFonts w:ascii="Arial" w:hAnsi="Arial" w:cs="Arial" w:hint="default"/>
        <w:sz w:val="24"/>
        <w:szCs w:val="24"/>
      </w:rPr>
    </w:lvl>
    <w:lvl w:ilvl="2">
      <w:start w:val="1"/>
      <w:numFmt w:val="decimal"/>
      <w:pStyle w:val="Thirdlevelpara"/>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36541C"/>
    <w:multiLevelType w:val="multilevel"/>
    <w:tmpl w:val="ABD0D0C8"/>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i w:val="0"/>
        <w:iCs/>
      </w:rPr>
    </w:lvl>
    <w:lvl w:ilvl="2">
      <w:start w:val="1"/>
      <w:numFmt w:val="decimal"/>
      <w:lvlText w:val="%1.%2.%3"/>
      <w:lvlJc w:val="left"/>
      <w:pPr>
        <w:tabs>
          <w:tab w:val="num" w:pos="2835"/>
        </w:tabs>
        <w:ind w:left="2835" w:hanging="1134"/>
      </w:pPr>
      <w:rPr>
        <w:rFonts w:hint="default"/>
        <w:i w:val="0"/>
        <w:iCs/>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 w15:restartNumberingAfterBreak="0">
    <w:nsid w:val="6D2A3BD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D33D1A"/>
    <w:multiLevelType w:val="hybridMultilevel"/>
    <w:tmpl w:val="91A29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C66B64"/>
    <w:multiLevelType w:val="multilevel"/>
    <w:tmpl w:val="0A967096"/>
    <w:lvl w:ilvl="0">
      <w:start w:val="1"/>
      <w:numFmt w:val="decimal"/>
      <w:pStyle w:val="List"/>
      <w:lvlText w:val="%1."/>
      <w:lvlJc w:val="left"/>
      <w:pPr>
        <w:ind w:left="851" w:hanging="851"/>
      </w:pPr>
      <w:rPr>
        <w:rFonts w:ascii="Arial" w:eastAsiaTheme="minorHAnsi" w:hAnsi="Arial" w:cs="Arial" w:hint="default"/>
        <w:b w:val="0"/>
        <w:bCs/>
      </w:rPr>
    </w:lvl>
    <w:lvl w:ilvl="1">
      <w:start w:val="1"/>
      <w:numFmt w:val="decimal"/>
      <w:pStyle w:val="Para2"/>
      <w:lvlText w:val="%1.%2."/>
      <w:lvlJc w:val="left"/>
      <w:pPr>
        <w:tabs>
          <w:tab w:val="num" w:pos="2835"/>
        </w:tabs>
        <w:ind w:left="3685" w:hanging="850"/>
      </w:pPr>
      <w:rPr>
        <w:rFonts w:hint="default"/>
        <w:b w:val="0"/>
        <w:bCs w:val="0"/>
      </w:rPr>
    </w:lvl>
    <w:lvl w:ilvl="2">
      <w:start w:val="1"/>
      <w:numFmt w:val="decimal"/>
      <w:lvlText w:val="%1.%2.%3."/>
      <w:lvlJc w:val="left"/>
      <w:pPr>
        <w:ind w:left="2693"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75"/>
    <w:rsid w:val="00071B75"/>
    <w:rsid w:val="000851F8"/>
    <w:rsid w:val="0009336A"/>
    <w:rsid w:val="000C57DB"/>
    <w:rsid w:val="000E15D8"/>
    <w:rsid w:val="001E0A04"/>
    <w:rsid w:val="00270D4F"/>
    <w:rsid w:val="002D71C7"/>
    <w:rsid w:val="003619BC"/>
    <w:rsid w:val="0036594C"/>
    <w:rsid w:val="003A1918"/>
    <w:rsid w:val="004E7C7D"/>
    <w:rsid w:val="005210B6"/>
    <w:rsid w:val="00545F31"/>
    <w:rsid w:val="005D65B5"/>
    <w:rsid w:val="006C74A6"/>
    <w:rsid w:val="006F5097"/>
    <w:rsid w:val="00715E05"/>
    <w:rsid w:val="007218F7"/>
    <w:rsid w:val="007566B3"/>
    <w:rsid w:val="00785C66"/>
    <w:rsid w:val="007E4F25"/>
    <w:rsid w:val="009706F2"/>
    <w:rsid w:val="009F07BE"/>
    <w:rsid w:val="00A0255E"/>
    <w:rsid w:val="00A807B8"/>
    <w:rsid w:val="00B67AD8"/>
    <w:rsid w:val="00B85559"/>
    <w:rsid w:val="00BB5F58"/>
    <w:rsid w:val="00D07B76"/>
    <w:rsid w:val="00D102E9"/>
    <w:rsid w:val="00D257CD"/>
    <w:rsid w:val="00E06D60"/>
    <w:rsid w:val="00F36A42"/>
    <w:rsid w:val="00F7103B"/>
    <w:rsid w:val="00FD2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B68A"/>
  <w15:chartTrackingRefBased/>
  <w15:docId w15:val="{61B82F27-4AAF-4F71-B2CB-77090255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List"/>
    <w:link w:val="Para2Char"/>
    <w:qFormat/>
    <w:rsid w:val="00071B75"/>
    <w:pPr>
      <w:numPr>
        <w:ilvl w:val="1"/>
      </w:numPr>
    </w:pPr>
  </w:style>
  <w:style w:type="paragraph" w:styleId="List">
    <w:name w:val="List"/>
    <w:basedOn w:val="Normal"/>
    <w:uiPriority w:val="99"/>
    <w:unhideWhenUsed/>
    <w:rsid w:val="00071B75"/>
    <w:pPr>
      <w:numPr>
        <w:numId w:val="1"/>
      </w:numPr>
      <w:spacing w:before="240" w:after="240" w:line="480" w:lineRule="auto"/>
      <w:jc w:val="both"/>
    </w:pPr>
    <w:rPr>
      <w:rFonts w:ascii="Arial" w:hAnsi="Arial" w:cs="Arial"/>
      <w:sz w:val="24"/>
      <w:szCs w:val="24"/>
      <w:lang w:val="en-GB"/>
    </w:rPr>
  </w:style>
  <w:style w:type="character" w:customStyle="1" w:styleId="Para2Char">
    <w:name w:val="Para2 Char"/>
    <w:basedOn w:val="DefaultParagraphFont"/>
    <w:link w:val="Para2"/>
    <w:rsid w:val="00071B75"/>
    <w:rPr>
      <w:rFonts w:ascii="Arial" w:hAnsi="Arial" w:cs="Arial"/>
      <w:sz w:val="24"/>
      <w:szCs w:val="24"/>
      <w:lang w:val="en-GB"/>
    </w:rPr>
  </w:style>
  <w:style w:type="paragraph" w:styleId="ListParagraph">
    <w:name w:val="List Paragraph"/>
    <w:basedOn w:val="Normal"/>
    <w:link w:val="ListParagraphChar"/>
    <w:uiPriority w:val="34"/>
    <w:qFormat/>
    <w:rsid w:val="00071B75"/>
    <w:pPr>
      <w:ind w:left="720"/>
      <w:contextualSpacing/>
    </w:pPr>
  </w:style>
  <w:style w:type="paragraph" w:customStyle="1" w:styleId="Firstlevelpara">
    <w:name w:val="First level para"/>
    <w:basedOn w:val="ListParagraph"/>
    <w:rsid w:val="002D71C7"/>
    <w:pPr>
      <w:numPr>
        <w:numId w:val="3"/>
      </w:numPr>
      <w:tabs>
        <w:tab w:val="num" w:pos="360"/>
      </w:tabs>
      <w:spacing w:before="240" w:after="240" w:line="480" w:lineRule="auto"/>
      <w:ind w:left="720" w:firstLine="0"/>
      <w:contextualSpacing w:val="0"/>
      <w:jc w:val="both"/>
    </w:pPr>
    <w:rPr>
      <w:rFonts w:ascii="Arial" w:hAnsi="Arial" w:cs="Arial"/>
      <w:sz w:val="24"/>
      <w:szCs w:val="24"/>
      <w:lang w:val="en-US"/>
    </w:rPr>
  </w:style>
  <w:style w:type="paragraph" w:customStyle="1" w:styleId="Secondlevelpara">
    <w:name w:val="Second level para"/>
    <w:basedOn w:val="ListParagraph"/>
    <w:qFormat/>
    <w:rsid w:val="002D71C7"/>
    <w:pPr>
      <w:numPr>
        <w:ilvl w:val="1"/>
        <w:numId w:val="3"/>
      </w:numPr>
      <w:tabs>
        <w:tab w:val="num" w:pos="360"/>
      </w:tabs>
      <w:spacing w:before="240" w:after="240" w:line="480" w:lineRule="auto"/>
      <w:ind w:left="1276" w:hanging="715"/>
      <w:contextualSpacing w:val="0"/>
      <w:jc w:val="both"/>
    </w:pPr>
    <w:rPr>
      <w:rFonts w:ascii="Arial" w:hAnsi="Arial" w:cs="Arial"/>
      <w:sz w:val="24"/>
      <w:szCs w:val="24"/>
      <w:lang w:val="en-US"/>
    </w:rPr>
  </w:style>
  <w:style w:type="paragraph" w:customStyle="1" w:styleId="Thirdlevelpara">
    <w:name w:val="Third level para"/>
    <w:basedOn w:val="ListParagraph"/>
    <w:qFormat/>
    <w:rsid w:val="002D71C7"/>
    <w:pPr>
      <w:numPr>
        <w:ilvl w:val="2"/>
        <w:numId w:val="3"/>
      </w:numPr>
      <w:tabs>
        <w:tab w:val="num" w:pos="360"/>
      </w:tabs>
      <w:spacing w:before="240" w:after="240" w:line="480" w:lineRule="auto"/>
      <w:ind w:left="2268" w:hanging="1134"/>
      <w:contextualSpacing w:val="0"/>
      <w:jc w:val="both"/>
    </w:pPr>
    <w:rPr>
      <w:rFonts w:ascii="Arial" w:hAnsi="Arial" w:cs="Arial"/>
      <w:color w:val="000000" w:themeColor="text1"/>
      <w:sz w:val="24"/>
      <w:szCs w:val="28"/>
      <w:lang w:val="en-US"/>
    </w:rPr>
  </w:style>
  <w:style w:type="paragraph" w:customStyle="1" w:styleId="Indent">
    <w:name w:val="Indent"/>
    <w:basedOn w:val="Normal"/>
    <w:rsid w:val="002D71C7"/>
    <w:pPr>
      <w:widowControl w:val="0"/>
      <w:numPr>
        <w:numId w:val="4"/>
      </w:numPr>
      <w:tabs>
        <w:tab w:val="clear" w:pos="850"/>
      </w:tabs>
      <w:spacing w:after="480" w:line="480" w:lineRule="auto"/>
      <w:jc w:val="both"/>
    </w:pPr>
    <w:rPr>
      <w:rFonts w:ascii="Arial" w:eastAsia="Times New Roman" w:hAnsi="Arial" w:cs="Times New Roman"/>
      <w:kern w:val="25"/>
      <w:sz w:val="25"/>
      <w:szCs w:val="20"/>
      <w:lang w:val="en-GB" w:eastAsia="en-GB"/>
    </w:rPr>
  </w:style>
  <w:style w:type="paragraph" w:styleId="FootnoteText">
    <w:name w:val="footnote text"/>
    <w:basedOn w:val="Normal"/>
    <w:link w:val="FootnoteTextChar"/>
    <w:uiPriority w:val="99"/>
    <w:semiHidden/>
    <w:unhideWhenUsed/>
    <w:rsid w:val="000C5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7DB"/>
    <w:rPr>
      <w:sz w:val="20"/>
      <w:szCs w:val="20"/>
    </w:rPr>
  </w:style>
  <w:style w:type="character" w:styleId="FootnoteReference">
    <w:name w:val="footnote reference"/>
    <w:basedOn w:val="DefaultParagraphFont"/>
    <w:uiPriority w:val="99"/>
    <w:semiHidden/>
    <w:unhideWhenUsed/>
    <w:rsid w:val="000C57DB"/>
    <w:rPr>
      <w:vertAlign w:val="superscript"/>
    </w:rPr>
  </w:style>
  <w:style w:type="character" w:customStyle="1" w:styleId="ListParagraphChar">
    <w:name w:val="List Paragraph Char"/>
    <w:basedOn w:val="DefaultParagraphFont"/>
    <w:link w:val="ListParagraph"/>
    <w:uiPriority w:val="34"/>
    <w:rsid w:val="00D07B76"/>
  </w:style>
  <w:style w:type="paragraph" w:styleId="BalloonText">
    <w:name w:val="Balloon Text"/>
    <w:basedOn w:val="Normal"/>
    <w:link w:val="BalloonTextChar"/>
    <w:uiPriority w:val="99"/>
    <w:semiHidden/>
    <w:unhideWhenUsed/>
    <w:rsid w:val="006C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A6"/>
    <w:rPr>
      <w:rFonts w:ascii="Segoe UI" w:hAnsi="Segoe UI" w:cs="Segoe UI"/>
      <w:sz w:val="18"/>
      <w:szCs w:val="18"/>
    </w:rPr>
  </w:style>
  <w:style w:type="paragraph" w:styleId="Header">
    <w:name w:val="header"/>
    <w:basedOn w:val="Normal"/>
    <w:link w:val="HeaderChar"/>
    <w:uiPriority w:val="99"/>
    <w:unhideWhenUsed/>
    <w:rsid w:val="004E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C7D"/>
  </w:style>
  <w:style w:type="paragraph" w:styleId="Footer">
    <w:name w:val="footer"/>
    <w:basedOn w:val="Normal"/>
    <w:link w:val="FooterChar"/>
    <w:uiPriority w:val="99"/>
    <w:unhideWhenUsed/>
    <w:rsid w:val="004E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69B5-E4F8-41F0-BFEF-9B322890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Mashitisho Mpho</dc:creator>
  <cp:keywords/>
  <dc:description/>
  <cp:lastModifiedBy>Judge-Lebogang Modiba</cp:lastModifiedBy>
  <cp:revision>12</cp:revision>
  <cp:lastPrinted>2023-02-03T12:15:00Z</cp:lastPrinted>
  <dcterms:created xsi:type="dcterms:W3CDTF">2023-02-03T10:35:00Z</dcterms:created>
  <dcterms:modified xsi:type="dcterms:W3CDTF">2023-02-03T12:16:00Z</dcterms:modified>
</cp:coreProperties>
</file>