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D6" w:rsidRPr="00FA7D34" w:rsidRDefault="006601D6" w:rsidP="006601D6">
      <w:pPr>
        <w:jc w:val="center"/>
        <w:rPr>
          <w:rFonts w:ascii="Arial" w:hAnsi="Arial" w:cs="Arial"/>
          <w:sz w:val="24"/>
          <w:szCs w:val="24"/>
        </w:rPr>
      </w:pPr>
      <w:r w:rsidRPr="00FA7D34">
        <w:rPr>
          <w:rFonts w:ascii="Arial" w:hAnsi="Arial" w:cs="Arial"/>
          <w:noProof/>
          <w:sz w:val="24"/>
          <w:szCs w:val="24"/>
          <w:lang w:val="en-US"/>
        </w:rPr>
        <w:drawing>
          <wp:inline distT="0" distB="0" distL="0" distR="0" wp14:anchorId="72B3B88B" wp14:editId="73BBA4AE">
            <wp:extent cx="2157572" cy="1797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583" cy="1792153"/>
                    </a:xfrm>
                    <a:prstGeom prst="rect">
                      <a:avLst/>
                    </a:prstGeom>
                  </pic:spPr>
                </pic:pic>
              </a:graphicData>
            </a:graphic>
          </wp:inline>
        </w:drawing>
      </w:r>
    </w:p>
    <w:p w:rsidR="006601D6" w:rsidRPr="00FA7D34" w:rsidRDefault="006601D6" w:rsidP="006601D6">
      <w:pPr>
        <w:spacing w:after="0" w:line="240" w:lineRule="auto"/>
        <w:jc w:val="center"/>
        <w:rPr>
          <w:rFonts w:ascii="Arial" w:hAnsi="Arial" w:cs="Arial"/>
          <w:b/>
          <w:sz w:val="24"/>
          <w:szCs w:val="24"/>
        </w:rPr>
      </w:pPr>
      <w:r w:rsidRPr="00FA7D34">
        <w:rPr>
          <w:rFonts w:ascii="Arial" w:hAnsi="Arial" w:cs="Arial"/>
          <w:b/>
          <w:sz w:val="24"/>
          <w:szCs w:val="24"/>
        </w:rPr>
        <w:t xml:space="preserve">IN THE SPECIAL TRIBUNAL ESTABLISHED IN TERMS OF SECTION 2 (1) OF THE SPECIAL INVESTIGATIONS UNIT AND </w:t>
      </w:r>
    </w:p>
    <w:p w:rsidR="006601D6" w:rsidRPr="00FA7D34" w:rsidRDefault="009E0B1C" w:rsidP="006601D6">
      <w:pPr>
        <w:spacing w:after="0" w:line="240" w:lineRule="auto"/>
        <w:jc w:val="center"/>
        <w:rPr>
          <w:rFonts w:ascii="Arial" w:hAnsi="Arial" w:cs="Arial"/>
          <w:b/>
          <w:sz w:val="24"/>
          <w:szCs w:val="24"/>
        </w:rPr>
      </w:pPr>
      <w:r w:rsidRPr="00FA7D34">
        <w:rPr>
          <w:rFonts w:ascii="Arial" w:hAnsi="Arial" w:cs="Arial"/>
          <w:b/>
          <w:sz w:val="24"/>
          <w:szCs w:val="24"/>
        </w:rPr>
        <w:t>SPECIAL TRIBUNALS ACT 74 OF 1996</w:t>
      </w:r>
    </w:p>
    <w:p w:rsidR="00C9161C" w:rsidRPr="00FA7D34" w:rsidRDefault="00C9161C" w:rsidP="006601D6">
      <w:pPr>
        <w:spacing w:after="0" w:line="240" w:lineRule="auto"/>
        <w:jc w:val="center"/>
        <w:rPr>
          <w:rFonts w:ascii="Arial" w:hAnsi="Arial" w:cs="Arial"/>
          <w:b/>
          <w:sz w:val="24"/>
          <w:szCs w:val="24"/>
        </w:rPr>
      </w:pPr>
    </w:p>
    <w:p w:rsidR="006601D6" w:rsidRPr="00FA7D34" w:rsidRDefault="006601D6" w:rsidP="006601D6">
      <w:pPr>
        <w:spacing w:line="360" w:lineRule="auto"/>
        <w:jc w:val="center"/>
        <w:rPr>
          <w:rFonts w:ascii="Arial" w:hAnsi="Arial" w:cs="Arial"/>
          <w:b/>
          <w:sz w:val="24"/>
          <w:szCs w:val="24"/>
        </w:rPr>
      </w:pPr>
      <w:r w:rsidRPr="00FA7D34">
        <w:rPr>
          <w:rFonts w:ascii="Arial" w:hAnsi="Arial" w:cs="Arial"/>
          <w:b/>
          <w:sz w:val="24"/>
          <w:szCs w:val="24"/>
        </w:rPr>
        <w:t>(REPUBLIC OF SOUTH AFRICA)</w:t>
      </w:r>
    </w:p>
    <w:p w:rsidR="00DC7D2C" w:rsidRPr="00FA7D34" w:rsidRDefault="00DC7D2C" w:rsidP="0094657B">
      <w:pPr>
        <w:spacing w:after="254" w:line="259" w:lineRule="auto"/>
        <w:ind w:right="53"/>
        <w:jc w:val="right"/>
        <w:rPr>
          <w:rFonts w:ascii="Arial" w:hAnsi="Arial" w:cs="Arial"/>
          <w:b/>
          <w:sz w:val="24"/>
          <w:szCs w:val="24"/>
        </w:rPr>
      </w:pPr>
      <w:r w:rsidRPr="00FA7D34">
        <w:rPr>
          <w:rFonts w:ascii="Arial" w:hAnsi="Arial" w:cs="Arial"/>
          <w:b/>
          <w:sz w:val="24"/>
          <w:szCs w:val="24"/>
        </w:rPr>
        <w:t xml:space="preserve"> </w:t>
      </w:r>
      <w:r w:rsidR="00261247" w:rsidRPr="00FA7D34">
        <w:rPr>
          <w:rFonts w:ascii="Arial" w:hAnsi="Arial" w:cs="Arial"/>
          <w:b/>
          <w:sz w:val="24"/>
          <w:szCs w:val="24"/>
        </w:rPr>
        <w:t>CASE NUMBER: GP07/2019</w:t>
      </w:r>
      <w:r w:rsidRPr="00FA7D34">
        <w:rPr>
          <w:rFonts w:ascii="Arial" w:hAnsi="Arial" w:cs="Arial"/>
          <w:b/>
          <w:sz w:val="24"/>
          <w:szCs w:val="24"/>
        </w:rPr>
        <w:t xml:space="preserve"> </w:t>
      </w:r>
    </w:p>
    <w:p w:rsidR="00FA7D34" w:rsidRPr="00FA7D34" w:rsidRDefault="00FA7D34" w:rsidP="00FA7D34">
      <w:pPr>
        <w:tabs>
          <w:tab w:val="left" w:pos="610"/>
        </w:tabs>
        <w:spacing w:before="240" w:after="254" w:line="259" w:lineRule="auto"/>
        <w:ind w:right="53"/>
        <w:rPr>
          <w:rFonts w:ascii="Arial" w:hAnsi="Arial" w:cs="Arial"/>
          <w:sz w:val="24"/>
          <w:szCs w:val="24"/>
        </w:rPr>
      </w:pPr>
      <w:r w:rsidRPr="00FA7D34">
        <w:rPr>
          <w:rFonts w:ascii="Arial" w:hAnsi="Arial" w:cs="Arial"/>
          <w:sz w:val="24"/>
          <w:szCs w:val="24"/>
        </w:rPr>
        <w:tab/>
      </w:r>
    </w:p>
    <w:p w:rsidR="00FA7D34" w:rsidRPr="00FA7D34" w:rsidRDefault="00FA7D34" w:rsidP="00FA7D34">
      <w:pPr>
        <w:widowControl w:val="0"/>
        <w:spacing w:before="240" w:line="240" w:lineRule="auto"/>
        <w:jc w:val="both"/>
        <w:rPr>
          <w:rFonts w:ascii="Arial" w:hAnsi="Arial" w:cs="Arial"/>
          <w:sz w:val="24"/>
          <w:szCs w:val="24"/>
        </w:rPr>
      </w:pPr>
      <w:r w:rsidRPr="00FA7D34">
        <w:rPr>
          <w:rFonts w:ascii="Arial" w:hAnsi="Arial" w:cs="Arial"/>
          <w:sz w:val="24"/>
          <w:szCs w:val="24"/>
        </w:rPr>
        <w:t>In the matter between: -</w:t>
      </w:r>
    </w:p>
    <w:p w:rsidR="00FA7D34" w:rsidRPr="00FA7D34" w:rsidRDefault="00FA7D34" w:rsidP="00FA7D34">
      <w:pPr>
        <w:widowControl w:val="0"/>
        <w:spacing w:before="240" w:line="240" w:lineRule="auto"/>
        <w:jc w:val="both"/>
        <w:rPr>
          <w:rFonts w:ascii="Arial" w:hAnsi="Arial" w:cs="Arial"/>
          <w:sz w:val="24"/>
          <w:szCs w:val="24"/>
        </w:rPr>
      </w:pPr>
    </w:p>
    <w:p w:rsidR="00FA7D34" w:rsidRPr="00FA7D34" w:rsidRDefault="00FA7D34" w:rsidP="00FA7D34">
      <w:pPr>
        <w:widowControl w:val="0"/>
        <w:tabs>
          <w:tab w:val="right" w:pos="9000"/>
        </w:tabs>
        <w:spacing w:before="240" w:line="240" w:lineRule="auto"/>
        <w:jc w:val="both"/>
        <w:rPr>
          <w:rFonts w:ascii="Arial" w:hAnsi="Arial" w:cs="Arial"/>
          <w:sz w:val="24"/>
          <w:szCs w:val="24"/>
        </w:rPr>
      </w:pPr>
      <w:r>
        <w:rPr>
          <w:rFonts w:ascii="Arial" w:hAnsi="Arial" w:cs="Arial"/>
          <w:sz w:val="24"/>
          <w:szCs w:val="24"/>
        </w:rPr>
        <w:t>Special Investigating Unit</w:t>
      </w:r>
      <w:r>
        <w:rPr>
          <w:rFonts w:ascii="Arial" w:hAnsi="Arial" w:cs="Arial"/>
          <w:sz w:val="24"/>
          <w:szCs w:val="24"/>
        </w:rPr>
        <w:tab/>
        <w:t>A</w:t>
      </w:r>
      <w:r w:rsidRPr="00FA7D34">
        <w:rPr>
          <w:rFonts w:ascii="Arial" w:hAnsi="Arial" w:cs="Arial"/>
          <w:sz w:val="24"/>
          <w:szCs w:val="24"/>
        </w:rPr>
        <w:t>pplicant</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sidRPr="00FA7D34">
        <w:rPr>
          <w:rFonts w:ascii="Arial" w:hAnsi="Arial" w:cs="Arial"/>
          <w:sz w:val="24"/>
          <w:szCs w:val="24"/>
        </w:rPr>
        <w:t>and</w:t>
      </w:r>
    </w:p>
    <w:p w:rsidR="00FA7D34" w:rsidRPr="00FA7D34" w:rsidRDefault="00FA7D34" w:rsidP="00FA7D34">
      <w:pPr>
        <w:widowControl w:val="0"/>
        <w:tabs>
          <w:tab w:val="right" w:pos="9000"/>
        </w:tabs>
        <w:spacing w:before="240" w:line="240" w:lineRule="auto"/>
        <w:jc w:val="both"/>
        <w:rPr>
          <w:rFonts w:ascii="Arial" w:hAnsi="Arial" w:cs="Arial"/>
          <w:sz w:val="24"/>
          <w:szCs w:val="24"/>
        </w:rPr>
      </w:pPr>
      <w:bookmarkStart w:id="0" w:name="_GoBack"/>
      <w:r>
        <w:rPr>
          <w:rFonts w:ascii="Arial" w:hAnsi="Arial" w:cs="Arial"/>
          <w:sz w:val="24"/>
          <w:szCs w:val="24"/>
        </w:rPr>
        <w:t>Cultiver I</w:t>
      </w:r>
      <w:r w:rsidRPr="00FA7D34">
        <w:rPr>
          <w:rFonts w:ascii="Arial" w:hAnsi="Arial" w:cs="Arial"/>
          <w:sz w:val="24"/>
          <w:szCs w:val="24"/>
        </w:rPr>
        <w:t>nvestments</w:t>
      </w:r>
      <w:bookmarkEnd w:id="0"/>
      <w:r w:rsidRPr="00FA7D34">
        <w:rPr>
          <w:rFonts w:ascii="Arial" w:hAnsi="Arial" w:cs="Arial"/>
          <w:sz w:val="24"/>
          <w:szCs w:val="24"/>
        </w:rPr>
        <w:t xml:space="preserve"> (PTY) LTD</w:t>
      </w:r>
      <w:r w:rsidRPr="00FA7D34">
        <w:rPr>
          <w:rFonts w:ascii="Arial" w:hAnsi="Arial" w:cs="Arial"/>
          <w:sz w:val="24"/>
          <w:szCs w:val="24"/>
        </w:rPr>
        <w:tab/>
        <w:t>1</w:t>
      </w:r>
      <w:r w:rsidRPr="00FA7D34">
        <w:rPr>
          <w:rFonts w:ascii="Arial" w:hAnsi="Arial" w:cs="Arial"/>
          <w:sz w:val="24"/>
          <w:szCs w:val="24"/>
          <w:vertAlign w:val="superscript"/>
        </w:rPr>
        <w:t>st</w:t>
      </w:r>
      <w:r>
        <w:rPr>
          <w:rFonts w:ascii="Arial" w:hAnsi="Arial" w:cs="Arial"/>
          <w:sz w:val="24"/>
          <w:szCs w:val="24"/>
        </w:rPr>
        <w:t xml:space="preserve"> R</w:t>
      </w:r>
      <w:r w:rsidRPr="00FA7D34">
        <w:rPr>
          <w:rFonts w:ascii="Arial" w:hAnsi="Arial" w:cs="Arial"/>
          <w:sz w:val="24"/>
          <w:szCs w:val="24"/>
        </w:rPr>
        <w:t>espondent</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Pr>
          <w:rFonts w:ascii="Arial" w:hAnsi="Arial" w:cs="Arial"/>
          <w:sz w:val="24"/>
          <w:szCs w:val="24"/>
        </w:rPr>
        <w:t>The Minister of the D</w:t>
      </w:r>
      <w:r w:rsidRPr="00FA7D34">
        <w:rPr>
          <w:rFonts w:ascii="Arial" w:hAnsi="Arial" w:cs="Arial"/>
          <w:sz w:val="24"/>
          <w:szCs w:val="24"/>
        </w:rPr>
        <w:t>epartment of</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Pr>
          <w:rFonts w:ascii="Arial" w:hAnsi="Arial" w:cs="Arial"/>
          <w:sz w:val="24"/>
          <w:szCs w:val="24"/>
        </w:rPr>
        <w:t>Agriculture, Land Reform and R</w:t>
      </w:r>
      <w:r w:rsidRPr="00FA7D34">
        <w:rPr>
          <w:rFonts w:ascii="Arial" w:hAnsi="Arial" w:cs="Arial"/>
          <w:sz w:val="24"/>
          <w:szCs w:val="24"/>
        </w:rPr>
        <w:t>ural</w:t>
      </w:r>
    </w:p>
    <w:p w:rsidR="00FA7D34" w:rsidRPr="00FA7D34" w:rsidRDefault="00FA7D34" w:rsidP="00FA7D34">
      <w:pPr>
        <w:widowControl w:val="0"/>
        <w:tabs>
          <w:tab w:val="right" w:pos="9000"/>
        </w:tabs>
        <w:spacing w:before="240" w:line="240" w:lineRule="auto"/>
        <w:jc w:val="both"/>
        <w:rPr>
          <w:rFonts w:ascii="Arial" w:hAnsi="Arial" w:cs="Arial"/>
          <w:sz w:val="24"/>
          <w:szCs w:val="24"/>
        </w:rPr>
      </w:pPr>
      <w:r>
        <w:rPr>
          <w:rFonts w:ascii="Arial" w:hAnsi="Arial" w:cs="Arial"/>
          <w:sz w:val="24"/>
          <w:szCs w:val="24"/>
        </w:rPr>
        <w:t>D</w:t>
      </w:r>
      <w:r w:rsidRPr="00FA7D34">
        <w:rPr>
          <w:rFonts w:ascii="Arial" w:hAnsi="Arial" w:cs="Arial"/>
          <w:sz w:val="24"/>
          <w:szCs w:val="24"/>
        </w:rPr>
        <w:t>evelopment</w:t>
      </w:r>
      <w:r w:rsidRPr="00FA7D34">
        <w:rPr>
          <w:rFonts w:ascii="Arial" w:hAnsi="Arial" w:cs="Arial"/>
          <w:sz w:val="24"/>
          <w:szCs w:val="24"/>
        </w:rPr>
        <w:tab/>
        <w:t>2</w:t>
      </w:r>
      <w:r w:rsidRPr="00FA7D34">
        <w:rPr>
          <w:rFonts w:ascii="Arial" w:hAnsi="Arial" w:cs="Arial"/>
          <w:sz w:val="24"/>
          <w:szCs w:val="24"/>
          <w:vertAlign w:val="superscript"/>
        </w:rPr>
        <w:t xml:space="preserve">nd </w:t>
      </w:r>
      <w:r>
        <w:rPr>
          <w:rFonts w:ascii="Arial" w:hAnsi="Arial" w:cs="Arial"/>
          <w:sz w:val="24"/>
          <w:szCs w:val="24"/>
        </w:rPr>
        <w:t>R</w:t>
      </w:r>
      <w:r w:rsidRPr="00FA7D34">
        <w:rPr>
          <w:rFonts w:ascii="Arial" w:hAnsi="Arial" w:cs="Arial"/>
          <w:sz w:val="24"/>
          <w:szCs w:val="24"/>
        </w:rPr>
        <w:t>espondent</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Pr>
          <w:rFonts w:ascii="Arial" w:hAnsi="Arial" w:cs="Arial"/>
          <w:sz w:val="24"/>
          <w:szCs w:val="24"/>
        </w:rPr>
        <w:t>The Director-General:  The D</w:t>
      </w:r>
      <w:r w:rsidRPr="00FA7D34">
        <w:rPr>
          <w:rFonts w:ascii="Arial" w:hAnsi="Arial" w:cs="Arial"/>
          <w:sz w:val="24"/>
          <w:szCs w:val="24"/>
        </w:rPr>
        <w:t>epartment of</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Pr>
          <w:rFonts w:ascii="Arial" w:hAnsi="Arial" w:cs="Arial"/>
          <w:sz w:val="24"/>
          <w:szCs w:val="24"/>
        </w:rPr>
        <w:t>A</w:t>
      </w:r>
      <w:r w:rsidRPr="00FA7D34">
        <w:rPr>
          <w:rFonts w:ascii="Arial" w:hAnsi="Arial" w:cs="Arial"/>
          <w:sz w:val="24"/>
          <w:szCs w:val="24"/>
        </w:rPr>
        <w:t>gricu</w:t>
      </w:r>
      <w:r>
        <w:rPr>
          <w:rFonts w:ascii="Arial" w:hAnsi="Arial" w:cs="Arial"/>
          <w:sz w:val="24"/>
          <w:szCs w:val="24"/>
        </w:rPr>
        <w:t>lture, Land Reform and R</w:t>
      </w:r>
      <w:r w:rsidRPr="00FA7D34">
        <w:rPr>
          <w:rFonts w:ascii="Arial" w:hAnsi="Arial" w:cs="Arial"/>
          <w:sz w:val="24"/>
          <w:szCs w:val="24"/>
        </w:rPr>
        <w:t xml:space="preserve">ural </w:t>
      </w:r>
    </w:p>
    <w:p w:rsidR="00FA7D34" w:rsidRPr="00FA7D34" w:rsidRDefault="00FA7D34" w:rsidP="00FA7D34">
      <w:pPr>
        <w:widowControl w:val="0"/>
        <w:tabs>
          <w:tab w:val="right" w:pos="9000"/>
        </w:tabs>
        <w:spacing w:before="240" w:line="240" w:lineRule="auto"/>
        <w:jc w:val="both"/>
        <w:rPr>
          <w:rFonts w:ascii="Arial" w:hAnsi="Arial" w:cs="Arial"/>
          <w:sz w:val="24"/>
          <w:szCs w:val="24"/>
        </w:rPr>
      </w:pPr>
      <w:r>
        <w:rPr>
          <w:rFonts w:ascii="Arial" w:hAnsi="Arial" w:cs="Arial"/>
          <w:sz w:val="24"/>
          <w:szCs w:val="24"/>
        </w:rPr>
        <w:t>D</w:t>
      </w:r>
      <w:r w:rsidRPr="00FA7D34">
        <w:rPr>
          <w:rFonts w:ascii="Arial" w:hAnsi="Arial" w:cs="Arial"/>
          <w:sz w:val="24"/>
          <w:szCs w:val="24"/>
        </w:rPr>
        <w:t>evelopment</w:t>
      </w:r>
      <w:r w:rsidRPr="00FA7D34">
        <w:rPr>
          <w:rFonts w:ascii="Arial" w:hAnsi="Arial" w:cs="Arial"/>
          <w:sz w:val="24"/>
          <w:szCs w:val="24"/>
        </w:rPr>
        <w:tab/>
        <w:t>3</w:t>
      </w:r>
      <w:r w:rsidRPr="00FA7D34">
        <w:rPr>
          <w:rFonts w:ascii="Arial" w:hAnsi="Arial" w:cs="Arial"/>
          <w:sz w:val="24"/>
          <w:szCs w:val="24"/>
          <w:vertAlign w:val="superscript"/>
        </w:rPr>
        <w:t>rd</w:t>
      </w:r>
      <w:r>
        <w:rPr>
          <w:rFonts w:ascii="Arial" w:hAnsi="Arial" w:cs="Arial"/>
          <w:sz w:val="24"/>
          <w:szCs w:val="24"/>
        </w:rPr>
        <w:t xml:space="preserve"> R</w:t>
      </w:r>
      <w:r w:rsidRPr="00FA7D34">
        <w:rPr>
          <w:rFonts w:ascii="Arial" w:hAnsi="Arial" w:cs="Arial"/>
          <w:sz w:val="24"/>
          <w:szCs w:val="24"/>
        </w:rPr>
        <w:t>espondent</w:t>
      </w:r>
    </w:p>
    <w:p w:rsidR="00FA7D34" w:rsidRPr="00FA7D34" w:rsidRDefault="00FA7D34" w:rsidP="00FA7D34">
      <w:pPr>
        <w:widowControl w:val="0"/>
        <w:tabs>
          <w:tab w:val="right" w:pos="8313"/>
        </w:tabs>
        <w:spacing w:before="240" w:line="240" w:lineRule="auto"/>
        <w:jc w:val="both"/>
        <w:rPr>
          <w:rFonts w:ascii="Arial" w:hAnsi="Arial" w:cs="Arial"/>
          <w:sz w:val="24"/>
          <w:szCs w:val="24"/>
        </w:rPr>
      </w:pPr>
      <w:r w:rsidRPr="00FA7D34">
        <w:rPr>
          <w:rFonts w:ascii="Arial" w:hAnsi="Arial" w:cs="Arial"/>
          <w:sz w:val="24"/>
          <w:szCs w:val="24"/>
        </w:rPr>
        <w:t>The</w:t>
      </w:r>
      <w:r>
        <w:rPr>
          <w:rFonts w:ascii="Arial" w:hAnsi="Arial" w:cs="Arial"/>
          <w:sz w:val="24"/>
          <w:szCs w:val="24"/>
        </w:rPr>
        <w:t xml:space="preserve"> Department of Agriculture, L</w:t>
      </w:r>
      <w:r w:rsidRPr="00FA7D34">
        <w:rPr>
          <w:rFonts w:ascii="Arial" w:hAnsi="Arial" w:cs="Arial"/>
          <w:sz w:val="24"/>
          <w:szCs w:val="24"/>
        </w:rPr>
        <w:t>and</w:t>
      </w:r>
    </w:p>
    <w:p w:rsidR="00FA7D34" w:rsidRPr="00FA7D34" w:rsidRDefault="00FA7D34" w:rsidP="00FA7D34">
      <w:pPr>
        <w:widowControl w:val="0"/>
        <w:tabs>
          <w:tab w:val="right" w:pos="8910"/>
        </w:tabs>
        <w:spacing w:before="240" w:line="240" w:lineRule="auto"/>
        <w:jc w:val="both"/>
        <w:rPr>
          <w:rFonts w:ascii="Arial" w:hAnsi="Arial" w:cs="Arial"/>
          <w:sz w:val="24"/>
          <w:szCs w:val="24"/>
        </w:rPr>
      </w:pPr>
      <w:r w:rsidRPr="00FA7D34">
        <w:rPr>
          <w:rFonts w:ascii="Arial" w:hAnsi="Arial" w:cs="Arial"/>
          <w:sz w:val="24"/>
          <w:szCs w:val="24"/>
        </w:rPr>
        <w:t>Reform</w:t>
      </w:r>
      <w:r>
        <w:rPr>
          <w:rFonts w:ascii="Arial" w:hAnsi="Arial" w:cs="Arial"/>
          <w:sz w:val="24"/>
          <w:szCs w:val="24"/>
        </w:rPr>
        <w:t xml:space="preserve"> and Rural D</w:t>
      </w:r>
      <w:r w:rsidRPr="00FA7D34">
        <w:rPr>
          <w:rFonts w:ascii="Arial" w:hAnsi="Arial" w:cs="Arial"/>
          <w:sz w:val="24"/>
          <w:szCs w:val="24"/>
        </w:rPr>
        <w:t>evelopment</w:t>
      </w:r>
      <w:r w:rsidRPr="00FA7D34">
        <w:rPr>
          <w:rFonts w:ascii="Arial" w:hAnsi="Arial" w:cs="Arial"/>
          <w:sz w:val="24"/>
          <w:szCs w:val="24"/>
        </w:rPr>
        <w:tab/>
        <w:t>4</w:t>
      </w:r>
      <w:r w:rsidRPr="00FA7D34">
        <w:rPr>
          <w:rFonts w:ascii="Arial" w:hAnsi="Arial" w:cs="Arial"/>
          <w:sz w:val="24"/>
          <w:szCs w:val="24"/>
          <w:vertAlign w:val="superscript"/>
        </w:rPr>
        <w:t>th</w:t>
      </w:r>
      <w:r w:rsidRPr="00FA7D34">
        <w:rPr>
          <w:rFonts w:ascii="Arial" w:hAnsi="Arial" w:cs="Arial"/>
          <w:sz w:val="24"/>
          <w:szCs w:val="24"/>
        </w:rPr>
        <w:t xml:space="preserve"> Respondent</w:t>
      </w:r>
    </w:p>
    <w:p w:rsidR="00FA7D34" w:rsidRPr="00FA7D34" w:rsidRDefault="00FA7D34" w:rsidP="00DC7D2C">
      <w:pPr>
        <w:spacing w:after="254" w:line="259" w:lineRule="auto"/>
        <w:ind w:right="53"/>
        <w:jc w:val="right"/>
        <w:rPr>
          <w:rFonts w:ascii="Arial" w:hAnsi="Arial" w:cs="Arial"/>
          <w:sz w:val="24"/>
          <w:szCs w:val="24"/>
        </w:rPr>
      </w:pPr>
    </w:p>
    <w:p w:rsidR="00FA7D34" w:rsidRPr="00FA7D34" w:rsidRDefault="00FA7D34" w:rsidP="00DC7D2C">
      <w:pPr>
        <w:spacing w:after="254" w:line="259" w:lineRule="auto"/>
        <w:ind w:right="53"/>
        <w:jc w:val="right"/>
        <w:rPr>
          <w:rFonts w:ascii="Arial" w:hAnsi="Arial" w:cs="Arial"/>
          <w:sz w:val="24"/>
          <w:szCs w:val="24"/>
        </w:rPr>
      </w:pPr>
    </w:p>
    <w:p w:rsidR="00C2675E" w:rsidRPr="00FA7D34" w:rsidRDefault="00C2675E" w:rsidP="00C2675E">
      <w:pPr>
        <w:pBdr>
          <w:top w:val="single" w:sz="4" w:space="1" w:color="auto"/>
          <w:left w:val="nil"/>
          <w:bottom w:val="single" w:sz="4" w:space="1" w:color="auto"/>
          <w:right w:val="nil"/>
          <w:between w:val="nil"/>
          <w:bar w:val="nil"/>
        </w:pBdr>
        <w:tabs>
          <w:tab w:val="left" w:pos="6237"/>
        </w:tabs>
        <w:spacing w:line="360" w:lineRule="auto"/>
        <w:ind w:right="96"/>
        <w:jc w:val="center"/>
        <w:rPr>
          <w:rFonts w:ascii="Arial" w:hAnsi="Arial" w:cs="Arial"/>
          <w:b/>
          <w:bCs/>
          <w:sz w:val="24"/>
          <w:szCs w:val="24"/>
        </w:rPr>
      </w:pPr>
    </w:p>
    <w:p w:rsidR="00933FD1" w:rsidRPr="00FA7D34" w:rsidRDefault="00C2675E" w:rsidP="00C2675E">
      <w:pPr>
        <w:pBdr>
          <w:top w:val="single" w:sz="4" w:space="1" w:color="auto"/>
          <w:left w:val="nil"/>
          <w:bottom w:val="single" w:sz="4" w:space="1" w:color="auto"/>
          <w:right w:val="nil"/>
          <w:between w:val="nil"/>
          <w:bar w:val="nil"/>
        </w:pBdr>
        <w:tabs>
          <w:tab w:val="left" w:pos="6237"/>
        </w:tabs>
        <w:spacing w:after="0" w:line="240" w:lineRule="auto"/>
        <w:ind w:right="96"/>
        <w:jc w:val="center"/>
        <w:rPr>
          <w:rFonts w:ascii="Arial" w:hAnsi="Arial" w:cs="Arial"/>
          <w:b/>
          <w:bCs/>
          <w:sz w:val="24"/>
          <w:szCs w:val="24"/>
        </w:rPr>
      </w:pPr>
      <w:r w:rsidRPr="00FA7D34">
        <w:rPr>
          <w:rFonts w:ascii="Arial" w:hAnsi="Arial" w:cs="Arial"/>
          <w:b/>
          <w:bCs/>
          <w:sz w:val="24"/>
          <w:szCs w:val="24"/>
        </w:rPr>
        <w:t>JUDGMENT</w:t>
      </w:r>
    </w:p>
    <w:p w:rsidR="00C2675E" w:rsidRDefault="00C2675E" w:rsidP="00C2675E">
      <w:pPr>
        <w:spacing w:after="0" w:line="480" w:lineRule="auto"/>
        <w:jc w:val="both"/>
        <w:rPr>
          <w:rStyle w:val="s2"/>
          <w:rFonts w:ascii="Arial" w:eastAsia="Times New Roman" w:hAnsi="Arial" w:cs="Arial"/>
          <w:color w:val="000000"/>
          <w:sz w:val="24"/>
          <w:szCs w:val="24"/>
        </w:rPr>
      </w:pPr>
    </w:p>
    <w:p w:rsidR="00A41FE5" w:rsidRDefault="00134211" w:rsidP="00C2675E">
      <w:pPr>
        <w:spacing w:after="0" w:line="480" w:lineRule="auto"/>
        <w:jc w:val="both"/>
        <w:rPr>
          <w:rStyle w:val="s2"/>
          <w:rFonts w:ascii="Arial" w:eastAsia="Times New Roman" w:hAnsi="Arial" w:cs="Arial"/>
          <w:b/>
          <w:color w:val="000000"/>
          <w:sz w:val="24"/>
          <w:szCs w:val="24"/>
        </w:rPr>
      </w:pPr>
      <w:r>
        <w:rPr>
          <w:rStyle w:val="s2"/>
          <w:rFonts w:ascii="Arial" w:eastAsia="Times New Roman" w:hAnsi="Arial" w:cs="Arial"/>
          <w:b/>
          <w:color w:val="000000"/>
          <w:sz w:val="24"/>
          <w:szCs w:val="24"/>
        </w:rPr>
        <w:t>Summary</w:t>
      </w:r>
    </w:p>
    <w:p w:rsidR="00134211" w:rsidRDefault="00134211" w:rsidP="00C2675E">
      <w:pPr>
        <w:spacing w:after="0" w:line="480" w:lineRule="auto"/>
        <w:jc w:val="both"/>
        <w:rPr>
          <w:rStyle w:val="s2"/>
          <w:rFonts w:ascii="Arial" w:eastAsia="Times New Roman" w:hAnsi="Arial" w:cs="Arial"/>
          <w:color w:val="000000"/>
          <w:sz w:val="24"/>
          <w:szCs w:val="24"/>
        </w:rPr>
      </w:pPr>
      <w:r w:rsidRPr="00134211">
        <w:rPr>
          <w:rStyle w:val="s2"/>
          <w:rFonts w:ascii="Arial" w:eastAsia="Times New Roman" w:hAnsi="Arial" w:cs="Arial"/>
          <w:i/>
          <w:color w:val="000000"/>
          <w:sz w:val="24"/>
          <w:szCs w:val="24"/>
        </w:rPr>
        <w:t>Review of administrative decisions</w:t>
      </w:r>
      <w:r w:rsidRPr="00134211">
        <w:rPr>
          <w:rStyle w:val="s2"/>
          <w:rFonts w:ascii="Arial" w:eastAsia="Times New Roman" w:hAnsi="Arial" w:cs="Arial"/>
          <w:color w:val="000000"/>
          <w:sz w:val="24"/>
          <w:szCs w:val="24"/>
        </w:rPr>
        <w:t xml:space="preserve"> – whether the Special Investigation Unit (SIU) makes out a case for the impugned administrative decisions to be reviewed and set aside.</w:t>
      </w:r>
    </w:p>
    <w:p w:rsidR="00134211" w:rsidRPr="00134211" w:rsidRDefault="00134211" w:rsidP="00C2675E">
      <w:pPr>
        <w:spacing w:after="0" w:line="480" w:lineRule="auto"/>
        <w:jc w:val="both"/>
        <w:rPr>
          <w:rStyle w:val="s2"/>
          <w:rFonts w:ascii="Arial" w:eastAsia="Times New Roman" w:hAnsi="Arial" w:cs="Arial"/>
          <w:color w:val="000000"/>
          <w:sz w:val="24"/>
          <w:szCs w:val="24"/>
        </w:rPr>
      </w:pPr>
      <w:r w:rsidRPr="00134211">
        <w:rPr>
          <w:rStyle w:val="s2"/>
          <w:rFonts w:ascii="Arial" w:eastAsia="Times New Roman" w:hAnsi="Arial" w:cs="Arial"/>
          <w:i/>
          <w:color w:val="000000"/>
          <w:sz w:val="24"/>
          <w:szCs w:val="24"/>
        </w:rPr>
        <w:t xml:space="preserve">Held </w:t>
      </w:r>
      <w:r>
        <w:rPr>
          <w:rStyle w:val="s2"/>
          <w:rFonts w:ascii="Arial" w:eastAsia="Times New Roman" w:hAnsi="Arial" w:cs="Arial"/>
          <w:color w:val="000000"/>
          <w:sz w:val="24"/>
          <w:szCs w:val="24"/>
        </w:rPr>
        <w:t>– The impugned decisions are irregular and unlawful.</w:t>
      </w:r>
    </w:p>
    <w:p w:rsidR="00134211" w:rsidRPr="00134211" w:rsidRDefault="00134211" w:rsidP="00C2675E">
      <w:pPr>
        <w:spacing w:after="0" w:line="480" w:lineRule="auto"/>
        <w:jc w:val="both"/>
        <w:rPr>
          <w:rStyle w:val="s2"/>
          <w:rFonts w:ascii="Arial" w:eastAsia="Times New Roman" w:hAnsi="Arial" w:cs="Arial"/>
          <w:color w:val="000000"/>
          <w:sz w:val="24"/>
          <w:szCs w:val="24"/>
        </w:rPr>
      </w:pPr>
      <w:r w:rsidRPr="00134211">
        <w:rPr>
          <w:rStyle w:val="s2"/>
          <w:rFonts w:ascii="Arial" w:eastAsia="Times New Roman" w:hAnsi="Arial" w:cs="Arial"/>
          <w:i/>
          <w:color w:val="000000"/>
          <w:sz w:val="24"/>
          <w:szCs w:val="24"/>
        </w:rPr>
        <w:t>Just and equitable remedy</w:t>
      </w:r>
      <w:r w:rsidRPr="00134211">
        <w:rPr>
          <w:rStyle w:val="s2"/>
          <w:rFonts w:ascii="Arial" w:eastAsia="Times New Roman" w:hAnsi="Arial" w:cs="Arial"/>
          <w:color w:val="000000"/>
          <w:sz w:val="24"/>
          <w:szCs w:val="24"/>
        </w:rPr>
        <w:t xml:space="preserve"> – the SIU sought just and equitable remedy in terms of s172(1)(b) of the Constitution. Whether the Tribunal has jurisdiction to grant such a remedy in light of the Constitutional Court decision in Ledla. The T</w:t>
      </w:r>
      <w:r>
        <w:rPr>
          <w:rStyle w:val="s2"/>
          <w:rFonts w:ascii="Arial" w:eastAsia="Times New Roman" w:hAnsi="Arial" w:cs="Arial"/>
          <w:color w:val="000000"/>
          <w:sz w:val="24"/>
          <w:szCs w:val="24"/>
        </w:rPr>
        <w:t>ribunal not having been</w:t>
      </w:r>
      <w:r w:rsidRPr="00134211">
        <w:rPr>
          <w:rStyle w:val="s2"/>
          <w:rFonts w:ascii="Arial" w:eastAsia="Times New Roman" w:hAnsi="Arial" w:cs="Arial"/>
          <w:color w:val="000000"/>
          <w:sz w:val="24"/>
          <w:szCs w:val="24"/>
        </w:rPr>
        <w:t xml:space="preserve"> furnished with the information it requires to determine the appropriate remedial relief, directives are issued for the further conduct of the matter. </w:t>
      </w:r>
    </w:p>
    <w:p w:rsidR="00134211" w:rsidRDefault="00134211" w:rsidP="00C2675E">
      <w:pPr>
        <w:spacing w:after="0" w:line="480" w:lineRule="auto"/>
        <w:jc w:val="both"/>
        <w:rPr>
          <w:rStyle w:val="s2"/>
          <w:rFonts w:ascii="Arial" w:eastAsia="Times New Roman" w:hAnsi="Arial" w:cs="Arial"/>
          <w:b/>
          <w:color w:val="000000"/>
          <w:sz w:val="24"/>
          <w:szCs w:val="24"/>
        </w:rPr>
      </w:pPr>
    </w:p>
    <w:p w:rsidR="00515339" w:rsidRPr="00515339" w:rsidRDefault="00515339" w:rsidP="00C2675E">
      <w:pPr>
        <w:spacing w:after="0" w:line="480" w:lineRule="auto"/>
        <w:jc w:val="both"/>
        <w:rPr>
          <w:rStyle w:val="s2"/>
          <w:rFonts w:ascii="Arial" w:eastAsia="Times New Roman" w:hAnsi="Arial" w:cs="Arial"/>
          <w:b/>
          <w:color w:val="000000"/>
          <w:sz w:val="24"/>
          <w:szCs w:val="24"/>
        </w:rPr>
      </w:pPr>
      <w:r w:rsidRPr="00515339">
        <w:rPr>
          <w:rStyle w:val="s2"/>
          <w:rFonts w:ascii="Arial" w:eastAsia="Times New Roman" w:hAnsi="Arial" w:cs="Arial"/>
          <w:b/>
          <w:color w:val="000000"/>
          <w:sz w:val="24"/>
          <w:szCs w:val="24"/>
        </w:rPr>
        <w:t>MODIBA J</w:t>
      </w:r>
    </w:p>
    <w:p w:rsidR="00CF18A5" w:rsidRPr="00CC773F" w:rsidRDefault="00CF18A5" w:rsidP="00CF18A5">
      <w:pPr>
        <w:pStyle w:val="XClause1Head"/>
        <w:numPr>
          <w:ilvl w:val="0"/>
          <w:numId w:val="0"/>
        </w:numPr>
        <w:rPr>
          <w:rFonts w:ascii="Arial" w:hAnsi="Arial" w:cs="Arial"/>
          <w:b/>
          <w:sz w:val="24"/>
          <w:szCs w:val="24"/>
          <w:lang w:val="en-US" w:eastAsia="en-ZA"/>
        </w:rPr>
      </w:pPr>
      <w:r w:rsidRPr="00CC773F">
        <w:rPr>
          <w:rFonts w:ascii="Arial" w:hAnsi="Arial" w:cs="Arial"/>
          <w:b/>
          <w:sz w:val="24"/>
          <w:szCs w:val="24"/>
          <w:lang w:val="en-US" w:eastAsia="en-ZA"/>
        </w:rPr>
        <w:t>INTRODUCTION</w:t>
      </w:r>
    </w:p>
    <w:p w:rsidR="00A17A54" w:rsidRDefault="00CF18A5" w:rsidP="00CF18A5">
      <w:pPr>
        <w:pStyle w:val="XClause1Head"/>
        <w:numPr>
          <w:ilvl w:val="0"/>
          <w:numId w:val="0"/>
        </w:numPr>
        <w:rPr>
          <w:rFonts w:ascii="Arial" w:hAnsi="Arial" w:cs="Arial"/>
          <w:sz w:val="24"/>
          <w:szCs w:val="24"/>
          <w:lang w:eastAsia="en-ZA"/>
        </w:rPr>
      </w:pPr>
      <w:r w:rsidRPr="00CC773F">
        <w:rPr>
          <w:rFonts w:ascii="Arial" w:hAnsi="Arial" w:cs="Arial"/>
          <w:sz w:val="24"/>
          <w:szCs w:val="24"/>
          <w:lang w:val="en-US" w:eastAsia="en-ZA"/>
        </w:rPr>
        <w:t>[1]</w:t>
      </w:r>
      <w:r w:rsidRPr="00CC773F">
        <w:rPr>
          <w:rFonts w:ascii="Arial" w:hAnsi="Arial" w:cs="Arial"/>
          <w:sz w:val="24"/>
          <w:szCs w:val="24"/>
          <w:lang w:val="en-US" w:eastAsia="en-ZA"/>
        </w:rPr>
        <w:tab/>
      </w:r>
      <w:r w:rsidR="00A17A54">
        <w:rPr>
          <w:rFonts w:ascii="Arial" w:hAnsi="Arial" w:cs="Arial"/>
          <w:sz w:val="24"/>
          <w:szCs w:val="24"/>
          <w:lang w:val="en-US" w:eastAsia="en-ZA"/>
        </w:rPr>
        <w:t>Initially, t</w:t>
      </w:r>
      <w:r w:rsidRPr="00CC773F">
        <w:rPr>
          <w:rFonts w:ascii="Arial" w:hAnsi="Arial" w:cs="Arial"/>
          <w:sz w:val="24"/>
          <w:szCs w:val="24"/>
          <w:lang w:val="en-US" w:eastAsia="en-ZA"/>
        </w:rPr>
        <w:t xml:space="preserve">he Special Investigating Unit (“SIU”) </w:t>
      </w:r>
      <w:r w:rsidRPr="00CC773F">
        <w:rPr>
          <w:rFonts w:ascii="Arial" w:hAnsi="Arial" w:cs="Arial"/>
          <w:sz w:val="24"/>
          <w:szCs w:val="24"/>
          <w:lang w:eastAsia="en-ZA"/>
        </w:rPr>
        <w:t>s</w:t>
      </w:r>
      <w:r w:rsidR="00A17A54">
        <w:rPr>
          <w:rFonts w:ascii="Arial" w:hAnsi="Arial" w:cs="Arial"/>
          <w:sz w:val="24"/>
          <w:szCs w:val="24"/>
          <w:lang w:val="en-GB" w:eastAsia="en-ZA"/>
        </w:rPr>
        <w:t xml:space="preserve">ought </w:t>
      </w:r>
      <w:r w:rsidRPr="00CC773F">
        <w:rPr>
          <w:rFonts w:ascii="Arial" w:hAnsi="Arial" w:cs="Arial"/>
          <w:sz w:val="24"/>
          <w:szCs w:val="24"/>
          <w:lang w:eastAsia="en-ZA"/>
        </w:rPr>
        <w:t>to revie</w:t>
      </w:r>
      <w:r>
        <w:rPr>
          <w:rFonts w:ascii="Arial" w:hAnsi="Arial" w:cs="Arial"/>
          <w:sz w:val="24"/>
          <w:szCs w:val="24"/>
          <w:lang w:eastAsia="en-ZA"/>
        </w:rPr>
        <w:t>w and set aside three decisions</w:t>
      </w:r>
      <w:r w:rsidRPr="00CC773F">
        <w:rPr>
          <w:rFonts w:ascii="Arial" w:hAnsi="Arial" w:cs="Arial"/>
          <w:sz w:val="24"/>
          <w:szCs w:val="24"/>
          <w:lang w:val="en-GB" w:eastAsia="en-ZA"/>
        </w:rPr>
        <w:t xml:space="preserve">. </w:t>
      </w:r>
      <w:r w:rsidRPr="00CC773F">
        <w:rPr>
          <w:rFonts w:ascii="Arial" w:hAnsi="Arial" w:cs="Arial"/>
          <w:sz w:val="24"/>
          <w:szCs w:val="24"/>
          <w:lang w:eastAsia="en-ZA"/>
        </w:rPr>
        <w:t>The first is the decision by the Department</w:t>
      </w:r>
      <w:r w:rsidRPr="00CC773F">
        <w:rPr>
          <w:rFonts w:ascii="Arial" w:hAnsi="Arial" w:cs="Arial"/>
          <w:sz w:val="24"/>
          <w:szCs w:val="24"/>
          <w:lang w:val="en-GB" w:eastAsia="en-ZA"/>
        </w:rPr>
        <w:t xml:space="preserve"> of Rural Development and Land Reform (“the Department”)</w:t>
      </w:r>
      <w:r w:rsidRPr="00CC773F">
        <w:rPr>
          <w:rFonts w:ascii="Arial" w:hAnsi="Arial" w:cs="Arial"/>
          <w:sz w:val="24"/>
          <w:szCs w:val="24"/>
          <w:lang w:eastAsia="en-ZA"/>
        </w:rPr>
        <w:t xml:space="preserve"> to appoint Cultiver </w:t>
      </w:r>
      <w:r w:rsidRPr="00CC773F">
        <w:rPr>
          <w:rFonts w:ascii="Arial" w:hAnsi="Arial" w:cs="Arial"/>
          <w:sz w:val="24"/>
          <w:szCs w:val="24"/>
          <w:lang w:val="en-GB" w:eastAsia="en-ZA"/>
        </w:rPr>
        <w:t xml:space="preserve">Investments (Pty) Ltd (“Cultiver”) </w:t>
      </w:r>
      <w:r w:rsidRPr="00CC773F">
        <w:rPr>
          <w:rFonts w:ascii="Arial" w:hAnsi="Arial" w:cs="Arial"/>
          <w:sz w:val="24"/>
          <w:szCs w:val="24"/>
          <w:lang w:eastAsia="en-ZA"/>
        </w:rPr>
        <w:t xml:space="preserve">as a beneficiary on its </w:t>
      </w:r>
      <w:r w:rsidR="00A17A54">
        <w:rPr>
          <w:rFonts w:ascii="Arial" w:hAnsi="Arial" w:cs="Arial"/>
          <w:sz w:val="24"/>
          <w:szCs w:val="24"/>
          <w:lang w:val="en-GB" w:eastAsia="en-ZA"/>
        </w:rPr>
        <w:t xml:space="preserve">provincial </w:t>
      </w:r>
      <w:r w:rsidRPr="00CC773F">
        <w:rPr>
          <w:rFonts w:ascii="Arial" w:hAnsi="Arial" w:cs="Arial"/>
          <w:sz w:val="24"/>
          <w:szCs w:val="24"/>
          <w:lang w:eastAsia="en-ZA"/>
        </w:rPr>
        <w:t xml:space="preserve">land acquisition </w:t>
      </w:r>
      <w:r w:rsidR="00A17A54">
        <w:rPr>
          <w:rFonts w:ascii="Arial" w:hAnsi="Arial" w:cs="Arial"/>
          <w:sz w:val="24"/>
          <w:szCs w:val="24"/>
          <w:lang w:val="en-GB" w:eastAsia="en-ZA"/>
        </w:rPr>
        <w:t xml:space="preserve">strategy (“PLAS”) </w:t>
      </w:r>
      <w:r w:rsidR="00A17A54">
        <w:rPr>
          <w:rFonts w:ascii="Arial" w:hAnsi="Arial" w:cs="Arial"/>
          <w:sz w:val="24"/>
          <w:szCs w:val="24"/>
          <w:lang w:eastAsia="en-ZA"/>
        </w:rPr>
        <w:t>programme</w:t>
      </w:r>
      <w:r w:rsidRPr="00CC773F">
        <w:rPr>
          <w:rFonts w:ascii="Arial" w:hAnsi="Arial" w:cs="Arial"/>
          <w:sz w:val="24"/>
          <w:szCs w:val="24"/>
          <w:lang w:eastAsia="en-ZA"/>
        </w:rPr>
        <w:t>.</w:t>
      </w:r>
      <w:r w:rsidRPr="00CC773F">
        <w:rPr>
          <w:rFonts w:ascii="Arial" w:hAnsi="Arial" w:cs="Arial"/>
          <w:sz w:val="24"/>
          <w:szCs w:val="24"/>
          <w:lang w:val="en-GB" w:eastAsia="en-ZA"/>
        </w:rPr>
        <w:t xml:space="preserve"> </w:t>
      </w:r>
      <w:r w:rsidRPr="00CC773F">
        <w:rPr>
          <w:rFonts w:ascii="Arial" w:hAnsi="Arial" w:cs="Arial"/>
          <w:sz w:val="24"/>
          <w:szCs w:val="24"/>
          <w:lang w:eastAsia="en-ZA"/>
        </w:rPr>
        <w:t xml:space="preserve">The second is the decision by </w:t>
      </w:r>
      <w:r w:rsidR="00D47B04" w:rsidRPr="00CC773F">
        <w:rPr>
          <w:rFonts w:ascii="Arial" w:hAnsi="Arial" w:cs="Arial"/>
          <w:sz w:val="24"/>
          <w:szCs w:val="24"/>
          <w:lang w:val="en-GB" w:eastAsia="en-ZA"/>
        </w:rPr>
        <w:t>Maite Nkoana-Mashabane</w:t>
      </w:r>
      <w:r w:rsidR="00134211">
        <w:rPr>
          <w:rFonts w:ascii="Arial" w:hAnsi="Arial" w:cs="Arial"/>
          <w:sz w:val="24"/>
          <w:szCs w:val="24"/>
          <w:lang w:val="en-GB" w:eastAsia="en-ZA"/>
        </w:rPr>
        <w:t>,</w:t>
      </w:r>
      <w:r w:rsidR="00D47B04" w:rsidRPr="00CC773F">
        <w:rPr>
          <w:rFonts w:ascii="Arial" w:hAnsi="Arial" w:cs="Arial"/>
          <w:sz w:val="24"/>
          <w:szCs w:val="24"/>
          <w:lang w:eastAsia="en-ZA"/>
        </w:rPr>
        <w:t xml:space="preserve"> </w:t>
      </w:r>
      <w:r w:rsidRPr="00CC773F">
        <w:rPr>
          <w:rFonts w:ascii="Arial" w:hAnsi="Arial" w:cs="Arial"/>
          <w:sz w:val="24"/>
          <w:szCs w:val="24"/>
          <w:lang w:eastAsia="en-ZA"/>
        </w:rPr>
        <w:t xml:space="preserve">the </w:t>
      </w:r>
      <w:r w:rsidR="00D47B04">
        <w:rPr>
          <w:rFonts w:ascii="Arial" w:hAnsi="Arial" w:cs="Arial"/>
          <w:sz w:val="24"/>
          <w:szCs w:val="24"/>
          <w:lang w:val="en-GB" w:eastAsia="en-ZA"/>
        </w:rPr>
        <w:t xml:space="preserve">then </w:t>
      </w:r>
      <w:r w:rsidRPr="00CC773F">
        <w:rPr>
          <w:rFonts w:ascii="Arial" w:hAnsi="Arial" w:cs="Arial"/>
          <w:sz w:val="24"/>
          <w:szCs w:val="24"/>
          <w:lang w:eastAsia="en-ZA"/>
        </w:rPr>
        <w:t xml:space="preserve">Minister </w:t>
      </w:r>
      <w:r w:rsidR="0039461E" w:rsidRPr="00CC773F">
        <w:rPr>
          <w:rFonts w:ascii="Arial" w:hAnsi="Arial" w:cs="Arial"/>
          <w:sz w:val="24"/>
          <w:szCs w:val="24"/>
          <w:lang w:val="en-GB" w:eastAsia="en-ZA"/>
        </w:rPr>
        <w:t>of Rural Development and Land Reform</w:t>
      </w:r>
      <w:r w:rsidR="0039461E" w:rsidRPr="00CC773F">
        <w:rPr>
          <w:rFonts w:ascii="Arial" w:hAnsi="Arial" w:cs="Arial"/>
          <w:sz w:val="24"/>
          <w:szCs w:val="24"/>
          <w:lang w:eastAsia="en-ZA"/>
        </w:rPr>
        <w:t xml:space="preserve"> </w:t>
      </w:r>
      <w:r w:rsidR="00D47B04">
        <w:rPr>
          <w:rFonts w:ascii="Arial" w:hAnsi="Arial" w:cs="Arial"/>
          <w:sz w:val="24"/>
          <w:szCs w:val="24"/>
          <w:lang w:val="en-GB" w:eastAsia="en-ZA"/>
        </w:rPr>
        <w:t>(“</w:t>
      </w:r>
      <w:r w:rsidR="0039461E">
        <w:rPr>
          <w:rFonts w:ascii="Arial" w:hAnsi="Arial" w:cs="Arial"/>
          <w:sz w:val="24"/>
          <w:szCs w:val="24"/>
          <w:lang w:val="en-GB" w:eastAsia="en-ZA"/>
        </w:rPr>
        <w:t>Minister</w:t>
      </w:r>
      <w:r w:rsidR="00D47B04">
        <w:rPr>
          <w:rFonts w:ascii="Arial" w:hAnsi="Arial" w:cs="Arial"/>
          <w:sz w:val="24"/>
          <w:szCs w:val="24"/>
          <w:lang w:val="en-GB" w:eastAsia="en-ZA"/>
        </w:rPr>
        <w:t xml:space="preserve"> Nkoana-Mashabane</w:t>
      </w:r>
      <w:r w:rsidR="0039461E">
        <w:rPr>
          <w:rFonts w:ascii="Arial" w:hAnsi="Arial" w:cs="Arial"/>
          <w:sz w:val="24"/>
          <w:szCs w:val="24"/>
          <w:lang w:val="en-GB" w:eastAsia="en-ZA"/>
        </w:rPr>
        <w:t xml:space="preserve">”) </w:t>
      </w:r>
      <w:r w:rsidRPr="00CC773F">
        <w:rPr>
          <w:rFonts w:ascii="Arial" w:hAnsi="Arial" w:cs="Arial"/>
          <w:sz w:val="24"/>
          <w:szCs w:val="24"/>
          <w:lang w:eastAsia="en-ZA"/>
        </w:rPr>
        <w:t xml:space="preserve">ordering that the </w:t>
      </w:r>
      <w:r w:rsidRPr="00CC773F">
        <w:rPr>
          <w:rFonts w:ascii="Arial" w:hAnsi="Arial" w:cs="Arial"/>
          <w:sz w:val="24"/>
          <w:szCs w:val="24"/>
          <w:lang w:val="en-GB" w:eastAsia="en-ZA"/>
        </w:rPr>
        <w:t xml:space="preserve">Department conclude a lease agreement with Cultiver. </w:t>
      </w:r>
      <w:r w:rsidRPr="00CC773F">
        <w:rPr>
          <w:rFonts w:ascii="Arial" w:hAnsi="Arial" w:cs="Arial"/>
          <w:sz w:val="24"/>
          <w:szCs w:val="24"/>
          <w:lang w:eastAsia="en-ZA"/>
        </w:rPr>
        <w:t xml:space="preserve">The third is the lease agreement the Department and Cultiver concluded on 11 January 2019. </w:t>
      </w:r>
    </w:p>
    <w:p w:rsidR="00D47B04" w:rsidRDefault="00D47B04" w:rsidP="00CF18A5">
      <w:pPr>
        <w:pStyle w:val="XClause1Head"/>
        <w:numPr>
          <w:ilvl w:val="0"/>
          <w:numId w:val="0"/>
        </w:numPr>
        <w:rPr>
          <w:rFonts w:ascii="Arial" w:hAnsi="Arial" w:cs="Arial"/>
          <w:sz w:val="24"/>
          <w:szCs w:val="24"/>
          <w:lang w:val="en-GB" w:eastAsia="en-ZA"/>
        </w:rPr>
      </w:pPr>
    </w:p>
    <w:p w:rsidR="00CF18A5" w:rsidRPr="00CF18A5" w:rsidRDefault="00A17A54"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w:t>
      </w:r>
      <w:r>
        <w:rPr>
          <w:rFonts w:ascii="Arial" w:hAnsi="Arial" w:cs="Arial"/>
          <w:sz w:val="24"/>
          <w:szCs w:val="24"/>
          <w:lang w:val="en-GB" w:eastAsia="en-ZA"/>
        </w:rPr>
        <w:tab/>
        <w:t xml:space="preserve">In its heads of argument, the SIU abandoned the review of the first decision. On invitation by this Tribunal, it filed an amended notice of motion excluding the </w:t>
      </w:r>
      <w:r>
        <w:rPr>
          <w:rFonts w:ascii="Arial" w:hAnsi="Arial" w:cs="Arial"/>
          <w:sz w:val="24"/>
          <w:szCs w:val="24"/>
          <w:lang w:val="en-GB" w:eastAsia="en-ZA"/>
        </w:rPr>
        <w:lastRenderedPageBreak/>
        <w:t xml:space="preserve">relevant prayer. In the result, it is only the second and third decisions that are in issue in these proceedings. </w:t>
      </w:r>
      <w:r w:rsidR="00CF18A5" w:rsidRPr="00CC773F">
        <w:rPr>
          <w:rFonts w:ascii="Arial" w:hAnsi="Arial" w:cs="Arial"/>
          <w:sz w:val="24"/>
          <w:szCs w:val="24"/>
          <w:lang w:eastAsia="en-ZA"/>
        </w:rPr>
        <w:t xml:space="preserve">I collectively refer to these decisions as the impugned decisions. </w:t>
      </w:r>
      <w:r w:rsidR="00CF18A5">
        <w:rPr>
          <w:rFonts w:ascii="Arial" w:hAnsi="Arial" w:cs="Arial"/>
          <w:sz w:val="24"/>
          <w:szCs w:val="24"/>
          <w:lang w:val="en-GB" w:eastAsia="en-ZA"/>
        </w:rPr>
        <w:t>I individually refer to them as the second and third decision</w:t>
      </w:r>
      <w:r w:rsidR="00D47B04">
        <w:rPr>
          <w:rFonts w:ascii="Arial" w:hAnsi="Arial" w:cs="Arial"/>
          <w:sz w:val="24"/>
          <w:szCs w:val="24"/>
          <w:lang w:val="en-GB" w:eastAsia="en-ZA"/>
        </w:rPr>
        <w:t>, alternatively the impugned lease agreement</w:t>
      </w:r>
      <w:r w:rsidR="00CF18A5">
        <w:rPr>
          <w:rFonts w:ascii="Arial" w:hAnsi="Arial" w:cs="Arial"/>
          <w:sz w:val="24"/>
          <w:szCs w:val="24"/>
          <w:lang w:val="en-GB" w:eastAsia="en-ZA"/>
        </w:rPr>
        <w:t xml:space="preserve"> respectively.</w:t>
      </w:r>
    </w:p>
    <w:p w:rsidR="00CF18A5" w:rsidRPr="00CC773F" w:rsidRDefault="00CF18A5" w:rsidP="00CF18A5">
      <w:pPr>
        <w:pStyle w:val="XClause1Head"/>
        <w:numPr>
          <w:ilvl w:val="0"/>
          <w:numId w:val="0"/>
        </w:numPr>
        <w:ind w:left="720" w:hanging="720"/>
        <w:rPr>
          <w:rFonts w:ascii="Arial" w:hAnsi="Arial" w:cs="Arial"/>
          <w:sz w:val="24"/>
          <w:szCs w:val="24"/>
          <w:lang w:eastAsia="en-ZA"/>
        </w:rPr>
      </w:pPr>
    </w:p>
    <w:p w:rsidR="00CF18A5" w:rsidRPr="00CC773F" w:rsidRDefault="00DD26C3" w:rsidP="00CF18A5">
      <w:pPr>
        <w:pStyle w:val="XClause1Head"/>
        <w:numPr>
          <w:ilvl w:val="0"/>
          <w:numId w:val="0"/>
        </w:numPr>
        <w:rPr>
          <w:rFonts w:ascii="Arial" w:hAnsi="Arial" w:cs="Arial"/>
          <w:sz w:val="24"/>
          <w:szCs w:val="24"/>
          <w:lang w:eastAsia="en-ZA"/>
        </w:rPr>
      </w:pPr>
      <w:r>
        <w:rPr>
          <w:rFonts w:ascii="Arial" w:hAnsi="Arial" w:cs="Arial"/>
          <w:sz w:val="24"/>
          <w:szCs w:val="24"/>
          <w:lang w:val="en-GB" w:eastAsia="en-ZA"/>
        </w:rPr>
        <w:t>[3</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sidR="00CF18A5" w:rsidRPr="00CC773F">
        <w:rPr>
          <w:rFonts w:ascii="Arial" w:hAnsi="Arial" w:cs="Arial"/>
          <w:sz w:val="24"/>
          <w:szCs w:val="24"/>
          <w:lang w:eastAsia="en-ZA"/>
        </w:rPr>
        <w:t>The SIU also seeks condonation for bringing the application late. It only seeks legal costs in the even</w:t>
      </w:r>
      <w:r w:rsidR="00CF18A5" w:rsidRPr="00CC773F">
        <w:rPr>
          <w:rFonts w:ascii="Arial" w:hAnsi="Arial" w:cs="Arial"/>
          <w:sz w:val="24"/>
          <w:szCs w:val="24"/>
          <w:lang w:val="en-GB" w:eastAsia="en-ZA"/>
        </w:rPr>
        <w:t>t</w:t>
      </w:r>
      <w:r w:rsidR="00CF18A5" w:rsidRPr="00CC773F">
        <w:rPr>
          <w:rFonts w:ascii="Arial" w:hAnsi="Arial" w:cs="Arial"/>
          <w:sz w:val="24"/>
          <w:szCs w:val="24"/>
          <w:lang w:eastAsia="en-ZA"/>
        </w:rPr>
        <w:t xml:space="preserve"> of opposition.</w:t>
      </w:r>
    </w:p>
    <w:p w:rsidR="00CF18A5" w:rsidRPr="00CC773F" w:rsidRDefault="00CF18A5" w:rsidP="00CF18A5">
      <w:pPr>
        <w:pStyle w:val="XClause1Head"/>
        <w:numPr>
          <w:ilvl w:val="0"/>
          <w:numId w:val="0"/>
        </w:numPr>
        <w:ind w:left="720" w:hanging="720"/>
        <w:rPr>
          <w:rFonts w:ascii="Arial" w:hAnsi="Arial" w:cs="Arial"/>
          <w:sz w:val="24"/>
          <w:szCs w:val="24"/>
          <w:lang w:eastAsia="en-ZA"/>
        </w:rPr>
      </w:pPr>
    </w:p>
    <w:p w:rsidR="00CF18A5" w:rsidRPr="00CF18A5" w:rsidRDefault="00DD26C3" w:rsidP="00A17A54">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[4</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sidR="00CF18A5">
        <w:rPr>
          <w:rFonts w:ascii="Arial" w:hAnsi="Arial" w:cs="Arial"/>
          <w:sz w:val="24"/>
          <w:szCs w:val="24"/>
          <w:lang w:val="en-GB" w:eastAsia="en-ZA"/>
        </w:rPr>
        <w:t>Surprisingly, t</w:t>
      </w:r>
      <w:r w:rsidR="00CF18A5" w:rsidRPr="00CC773F">
        <w:rPr>
          <w:rFonts w:ascii="Arial" w:hAnsi="Arial" w:cs="Arial"/>
          <w:sz w:val="24"/>
          <w:szCs w:val="24"/>
          <w:lang w:eastAsia="en-ZA"/>
        </w:rPr>
        <w:t xml:space="preserve">he Department and its cited officials are </w:t>
      </w:r>
      <w:r w:rsidR="00CF18A5">
        <w:rPr>
          <w:rFonts w:ascii="Arial" w:hAnsi="Arial" w:cs="Arial"/>
          <w:sz w:val="24"/>
          <w:szCs w:val="24"/>
          <w:lang w:eastAsia="en-ZA"/>
        </w:rPr>
        <w:t xml:space="preserve">not opposing the application. </w:t>
      </w:r>
      <w:r w:rsidR="00CF18A5">
        <w:rPr>
          <w:rFonts w:ascii="Arial" w:hAnsi="Arial" w:cs="Arial"/>
          <w:sz w:val="24"/>
          <w:szCs w:val="24"/>
          <w:lang w:val="en-GB" w:eastAsia="en-ZA"/>
        </w:rPr>
        <w:t>I will later state reasons why I f</w:t>
      </w:r>
      <w:r w:rsidR="00AE7C7A">
        <w:rPr>
          <w:rFonts w:ascii="Arial" w:hAnsi="Arial" w:cs="Arial"/>
          <w:sz w:val="24"/>
          <w:szCs w:val="24"/>
          <w:lang w:val="en-GB" w:eastAsia="en-ZA"/>
        </w:rPr>
        <w:t>rown upon</w:t>
      </w:r>
      <w:r w:rsidR="00CF18A5">
        <w:rPr>
          <w:rFonts w:ascii="Arial" w:hAnsi="Arial" w:cs="Arial"/>
          <w:sz w:val="24"/>
          <w:szCs w:val="24"/>
          <w:lang w:val="en-GB" w:eastAsia="en-ZA"/>
        </w:rPr>
        <w:t xml:space="preserve"> the supine position the Department </w:t>
      </w:r>
      <w:r w:rsidR="00A17A54">
        <w:rPr>
          <w:rFonts w:ascii="Arial" w:hAnsi="Arial" w:cs="Arial"/>
          <w:sz w:val="24"/>
          <w:szCs w:val="24"/>
          <w:lang w:val="en-GB" w:eastAsia="en-ZA"/>
        </w:rPr>
        <w:t>adopted in</w:t>
      </w:r>
      <w:r w:rsidR="00CF18A5">
        <w:rPr>
          <w:rFonts w:ascii="Arial" w:hAnsi="Arial" w:cs="Arial"/>
          <w:sz w:val="24"/>
          <w:szCs w:val="24"/>
          <w:lang w:val="en-GB" w:eastAsia="en-ZA"/>
        </w:rPr>
        <w:t xml:space="preserve"> this </w:t>
      </w:r>
      <w:r w:rsidR="00AE7C7A">
        <w:rPr>
          <w:rFonts w:ascii="Arial" w:hAnsi="Arial" w:cs="Arial"/>
          <w:sz w:val="24"/>
          <w:szCs w:val="24"/>
          <w:lang w:val="en-GB" w:eastAsia="en-ZA"/>
        </w:rPr>
        <w:t>application</w:t>
      </w:r>
      <w:r w:rsidR="00CF18A5">
        <w:rPr>
          <w:rFonts w:ascii="Arial" w:hAnsi="Arial" w:cs="Arial"/>
          <w:sz w:val="24"/>
          <w:szCs w:val="24"/>
          <w:lang w:val="en-GB" w:eastAsia="en-ZA"/>
        </w:rPr>
        <w:t>. The application</w:t>
      </w:r>
      <w:r w:rsidR="00CF18A5" w:rsidRPr="00CC773F">
        <w:rPr>
          <w:rFonts w:ascii="Arial" w:hAnsi="Arial" w:cs="Arial"/>
          <w:sz w:val="24"/>
          <w:szCs w:val="24"/>
          <w:lang w:eastAsia="en-ZA"/>
        </w:rPr>
        <w:t xml:space="preserve"> is only opposed by C</w:t>
      </w:r>
      <w:r w:rsidR="00CF18A5" w:rsidRPr="00CC773F">
        <w:rPr>
          <w:rFonts w:ascii="Arial" w:hAnsi="Arial" w:cs="Arial"/>
          <w:sz w:val="24"/>
          <w:szCs w:val="24"/>
          <w:lang w:val="en-GB" w:eastAsia="en-ZA"/>
        </w:rPr>
        <w:t>ultiver</w:t>
      </w:r>
      <w:r w:rsidR="00CF18A5" w:rsidRPr="00CC773F">
        <w:rPr>
          <w:rFonts w:ascii="Arial" w:hAnsi="Arial" w:cs="Arial"/>
          <w:sz w:val="24"/>
          <w:szCs w:val="24"/>
          <w:lang w:eastAsia="en-ZA"/>
        </w:rPr>
        <w:t>.</w:t>
      </w:r>
      <w:r w:rsidR="00CF18A5">
        <w:rPr>
          <w:rFonts w:ascii="Arial" w:hAnsi="Arial" w:cs="Arial"/>
          <w:sz w:val="24"/>
          <w:szCs w:val="24"/>
          <w:lang w:val="en-GB" w:eastAsia="en-ZA"/>
        </w:rPr>
        <w:t xml:space="preserve"> </w:t>
      </w:r>
    </w:p>
    <w:p w:rsidR="00EF6EC8" w:rsidRDefault="00DD26C3" w:rsidP="00EF6EC8">
      <w:pPr>
        <w:spacing w:line="360" w:lineRule="auto"/>
        <w:jc w:val="both"/>
        <w:rPr>
          <w:rFonts w:ascii="Arial" w:hAnsi="Arial" w:cs="Arial"/>
          <w:sz w:val="24"/>
          <w:szCs w:val="24"/>
        </w:rPr>
      </w:pPr>
      <w:r>
        <w:rPr>
          <w:rFonts w:ascii="Arial" w:hAnsi="Arial" w:cs="Arial"/>
          <w:sz w:val="24"/>
          <w:szCs w:val="24"/>
          <w:lang w:val="en-GB" w:eastAsia="en-ZA"/>
        </w:rPr>
        <w:t>[5</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sidR="00EF6EC8">
        <w:rPr>
          <w:rFonts w:ascii="Arial" w:hAnsi="Arial" w:cs="Arial"/>
          <w:sz w:val="24"/>
          <w:szCs w:val="24"/>
          <w:lang w:val="en-GB" w:eastAsia="en-ZA"/>
        </w:rPr>
        <w:t xml:space="preserve">The SIU derives its </w:t>
      </w:r>
      <w:r w:rsidR="00EF6EC8" w:rsidRPr="009103B0">
        <w:rPr>
          <w:rFonts w:ascii="Arial" w:hAnsi="Arial" w:cs="Arial"/>
          <w:i/>
          <w:sz w:val="24"/>
          <w:szCs w:val="24"/>
          <w:lang w:val="en-GB" w:eastAsia="en-ZA"/>
        </w:rPr>
        <w:t>locus standi</w:t>
      </w:r>
      <w:r w:rsidR="00EF6EC8">
        <w:rPr>
          <w:rFonts w:ascii="Arial" w:hAnsi="Arial" w:cs="Arial"/>
          <w:sz w:val="24"/>
          <w:szCs w:val="24"/>
          <w:lang w:val="en-GB" w:eastAsia="en-ZA"/>
        </w:rPr>
        <w:t xml:space="preserve"> to bring this </w:t>
      </w:r>
      <w:r w:rsidR="009C1111">
        <w:rPr>
          <w:rFonts w:ascii="Arial" w:hAnsi="Arial" w:cs="Arial"/>
          <w:sz w:val="24"/>
          <w:szCs w:val="24"/>
          <w:lang w:val="en-GB" w:eastAsia="en-ZA"/>
        </w:rPr>
        <w:t>application</w:t>
      </w:r>
      <w:r w:rsidR="00EF6EC8">
        <w:rPr>
          <w:rFonts w:ascii="Arial" w:hAnsi="Arial" w:cs="Arial"/>
          <w:sz w:val="24"/>
          <w:szCs w:val="24"/>
          <w:lang w:val="en-GB" w:eastAsia="en-ZA"/>
        </w:rPr>
        <w:t xml:space="preserve"> from </w:t>
      </w:r>
      <w:r w:rsidR="00EF6EC8">
        <w:rPr>
          <w:rFonts w:ascii="Arial" w:hAnsi="Arial" w:cs="Arial"/>
          <w:sz w:val="24"/>
          <w:szCs w:val="24"/>
        </w:rPr>
        <w:t>s 2(2)</w:t>
      </w:r>
      <w:r w:rsidR="00AE7C7A">
        <w:rPr>
          <w:rStyle w:val="FootnoteReference"/>
          <w:sz w:val="24"/>
        </w:rPr>
        <w:footnoteReference w:id="1"/>
      </w:r>
      <w:r w:rsidR="00EF6EC8">
        <w:rPr>
          <w:rFonts w:ascii="Arial" w:hAnsi="Arial" w:cs="Arial"/>
          <w:sz w:val="24"/>
          <w:szCs w:val="24"/>
        </w:rPr>
        <w:t xml:space="preserve"> read with </w:t>
      </w:r>
      <w:r w:rsidR="00D47B04">
        <w:rPr>
          <w:rFonts w:ascii="Arial" w:hAnsi="Arial" w:cs="Arial"/>
          <w:sz w:val="24"/>
          <w:szCs w:val="24"/>
        </w:rPr>
        <w:t xml:space="preserve">s </w:t>
      </w:r>
      <w:r w:rsidR="00EF6EC8">
        <w:rPr>
          <w:rFonts w:ascii="Arial" w:hAnsi="Arial" w:cs="Arial"/>
          <w:sz w:val="24"/>
          <w:szCs w:val="24"/>
        </w:rPr>
        <w:t>4(1)(c)</w:t>
      </w:r>
      <w:r w:rsidR="00AE7C7A">
        <w:rPr>
          <w:rStyle w:val="FootnoteReference"/>
          <w:sz w:val="24"/>
        </w:rPr>
        <w:footnoteReference w:id="2"/>
      </w:r>
      <w:r w:rsidR="00EF6EC8">
        <w:rPr>
          <w:rFonts w:ascii="Arial" w:hAnsi="Arial" w:cs="Arial"/>
          <w:sz w:val="24"/>
          <w:szCs w:val="24"/>
        </w:rPr>
        <w:t xml:space="preserve"> and </w:t>
      </w:r>
      <w:r w:rsidR="00D47B04">
        <w:rPr>
          <w:rFonts w:ascii="Arial" w:hAnsi="Arial" w:cs="Arial"/>
          <w:sz w:val="24"/>
          <w:szCs w:val="24"/>
        </w:rPr>
        <w:t xml:space="preserve">s </w:t>
      </w:r>
      <w:r w:rsidR="00EF6EC8">
        <w:rPr>
          <w:rFonts w:ascii="Arial" w:hAnsi="Arial" w:cs="Arial"/>
          <w:sz w:val="24"/>
          <w:szCs w:val="24"/>
        </w:rPr>
        <w:t>5(5)</w:t>
      </w:r>
      <w:r w:rsidR="00AE7C7A">
        <w:rPr>
          <w:rStyle w:val="FootnoteReference"/>
          <w:sz w:val="24"/>
        </w:rPr>
        <w:footnoteReference w:id="3"/>
      </w:r>
      <w:r w:rsidR="00EF6EC8">
        <w:rPr>
          <w:rFonts w:ascii="Arial" w:hAnsi="Arial" w:cs="Arial"/>
          <w:sz w:val="24"/>
          <w:szCs w:val="24"/>
        </w:rPr>
        <w:t xml:space="preserve"> </w:t>
      </w:r>
      <w:r w:rsidR="00EF6EC8" w:rsidRPr="003F1081">
        <w:rPr>
          <w:rFonts w:ascii="Arial" w:hAnsi="Arial" w:cs="Arial"/>
          <w:sz w:val="24"/>
          <w:szCs w:val="24"/>
        </w:rPr>
        <w:t xml:space="preserve">of the </w:t>
      </w:r>
      <w:r w:rsidR="00EF6EC8">
        <w:rPr>
          <w:rFonts w:ascii="Arial" w:hAnsi="Arial" w:cs="Arial"/>
          <w:sz w:val="24"/>
          <w:szCs w:val="24"/>
        </w:rPr>
        <w:t>Special Investigating Unit and the Special Tribunals Act</w:t>
      </w:r>
      <w:r w:rsidR="00EF6EC8">
        <w:rPr>
          <w:rStyle w:val="FootnoteReference"/>
          <w:sz w:val="24"/>
        </w:rPr>
        <w:footnoteReference w:id="4"/>
      </w:r>
      <w:r w:rsidR="00D47B04">
        <w:rPr>
          <w:rFonts w:ascii="Arial" w:hAnsi="Arial" w:cs="Arial"/>
          <w:sz w:val="24"/>
          <w:szCs w:val="24"/>
        </w:rPr>
        <w:t xml:space="preserve"> (“SIU Act”)</w:t>
      </w:r>
      <w:r w:rsidR="00EF6EC8">
        <w:rPr>
          <w:rFonts w:ascii="Arial" w:hAnsi="Arial" w:cs="Arial"/>
          <w:sz w:val="24"/>
          <w:szCs w:val="24"/>
        </w:rPr>
        <w:t xml:space="preserve"> as well as </w:t>
      </w:r>
      <w:r w:rsidR="00EF6EC8" w:rsidRPr="00EF6EC8">
        <w:rPr>
          <w:rFonts w:ascii="Arial" w:hAnsi="Arial" w:cs="Arial"/>
          <w:sz w:val="24"/>
          <w:szCs w:val="24"/>
        </w:rPr>
        <w:t>Proclamation R.24</w:t>
      </w:r>
      <w:r w:rsidR="00EF6EC8" w:rsidRPr="00EF6EC8">
        <w:rPr>
          <w:rStyle w:val="FootnoteReference"/>
          <w:sz w:val="24"/>
        </w:rPr>
        <w:footnoteReference w:id="5"/>
      </w:r>
      <w:r w:rsidR="00EF6EC8" w:rsidRPr="00EF6EC8">
        <w:rPr>
          <w:rFonts w:ascii="Arial" w:hAnsi="Arial" w:cs="Arial"/>
          <w:sz w:val="24"/>
          <w:szCs w:val="24"/>
        </w:rPr>
        <w:t xml:space="preserve"> to i</w:t>
      </w:r>
      <w:r w:rsidR="00EF6EC8">
        <w:rPr>
          <w:rFonts w:ascii="Arial" w:hAnsi="Arial" w:cs="Arial"/>
          <w:sz w:val="24"/>
          <w:szCs w:val="24"/>
        </w:rPr>
        <w:t xml:space="preserve">nvestigate </w:t>
      </w:r>
      <w:r w:rsidR="00D47B04">
        <w:rPr>
          <w:rFonts w:ascii="Arial" w:hAnsi="Arial" w:cs="Arial"/>
          <w:sz w:val="24"/>
          <w:szCs w:val="24"/>
        </w:rPr>
        <w:t>irregularities, malpractices, corruption and fraud in the</w:t>
      </w:r>
      <w:r w:rsidR="00EF6EC8">
        <w:rPr>
          <w:rFonts w:ascii="Arial" w:hAnsi="Arial" w:cs="Arial"/>
          <w:sz w:val="24"/>
          <w:szCs w:val="24"/>
        </w:rPr>
        <w:t xml:space="preserve"> acquisition and leasing of Mike’s Chicken and </w:t>
      </w:r>
      <w:r w:rsidR="00D47B04">
        <w:rPr>
          <w:rFonts w:ascii="Arial" w:hAnsi="Arial" w:cs="Arial"/>
          <w:sz w:val="24"/>
          <w:szCs w:val="24"/>
        </w:rPr>
        <w:t>other named</w:t>
      </w:r>
      <w:r w:rsidR="00EF6EC8">
        <w:rPr>
          <w:rFonts w:ascii="Arial" w:hAnsi="Arial" w:cs="Arial"/>
          <w:sz w:val="24"/>
          <w:szCs w:val="24"/>
        </w:rPr>
        <w:t xml:space="preserve"> </w:t>
      </w:r>
      <w:r w:rsidR="00D47B04">
        <w:rPr>
          <w:rFonts w:ascii="Arial" w:hAnsi="Arial" w:cs="Arial"/>
          <w:sz w:val="24"/>
          <w:szCs w:val="24"/>
        </w:rPr>
        <w:t>entities and/ or immovable properties and assets and the appointment of beneficiaries and strategic partners in the named entities</w:t>
      </w:r>
      <w:r w:rsidR="002A525E">
        <w:rPr>
          <w:rFonts w:ascii="Arial" w:hAnsi="Arial" w:cs="Arial"/>
          <w:sz w:val="24"/>
          <w:szCs w:val="24"/>
        </w:rPr>
        <w:t xml:space="preserve"> which took place between January 2009 and the date of publication of the Proclamation,</w:t>
      </w:r>
      <w:r w:rsidR="00EF6EC8">
        <w:rPr>
          <w:rFonts w:ascii="Arial" w:hAnsi="Arial" w:cs="Arial"/>
          <w:sz w:val="24"/>
          <w:szCs w:val="24"/>
        </w:rPr>
        <w:t xml:space="preserve"> collect evidence regarding acts and/ or omissions which are relevant to its investigation and institute civil proceedings in a Special Tribunal or any Court of law for any relief to which the Department is entitled.</w:t>
      </w:r>
      <w:r w:rsidR="00EF6EC8">
        <w:rPr>
          <w:rStyle w:val="FootnoteReference"/>
          <w:rFonts w:ascii="Arial" w:hAnsi="Arial"/>
          <w:sz w:val="24"/>
        </w:rPr>
        <w:footnoteReference w:id="6"/>
      </w:r>
      <w:r w:rsidR="00EF6EC8">
        <w:rPr>
          <w:rFonts w:ascii="Arial" w:hAnsi="Arial" w:cs="Arial"/>
          <w:sz w:val="24"/>
          <w:szCs w:val="24"/>
        </w:rPr>
        <w:t xml:space="preserve"> </w:t>
      </w:r>
    </w:p>
    <w:p w:rsidR="00CF18A5" w:rsidRDefault="00CF18A5" w:rsidP="00CF18A5">
      <w:pPr>
        <w:pStyle w:val="XClause1Head"/>
        <w:numPr>
          <w:ilvl w:val="0"/>
          <w:numId w:val="0"/>
        </w:numPr>
        <w:rPr>
          <w:rFonts w:ascii="Arial" w:hAnsi="Arial" w:cs="Arial"/>
          <w:sz w:val="24"/>
          <w:szCs w:val="24"/>
          <w:lang w:eastAsia="en-ZA"/>
        </w:rPr>
      </w:pPr>
    </w:p>
    <w:p w:rsidR="00CF18A5" w:rsidRPr="00CC773F"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w:t>
      </w:r>
      <w:r w:rsidR="00CF18A5">
        <w:rPr>
          <w:rFonts w:ascii="Arial" w:hAnsi="Arial" w:cs="Arial"/>
          <w:sz w:val="24"/>
          <w:szCs w:val="24"/>
          <w:lang w:val="en-GB" w:eastAsia="en-ZA"/>
        </w:rPr>
        <w:t>]</w:t>
      </w:r>
      <w:r w:rsidR="00CF18A5">
        <w:rPr>
          <w:rFonts w:ascii="Arial" w:hAnsi="Arial" w:cs="Arial"/>
          <w:sz w:val="24"/>
          <w:szCs w:val="24"/>
          <w:lang w:val="en-GB" w:eastAsia="en-ZA"/>
        </w:rPr>
        <w:tab/>
      </w:r>
      <w:r w:rsidR="00CF18A5" w:rsidRPr="00CC773F">
        <w:rPr>
          <w:rFonts w:ascii="Arial" w:hAnsi="Arial" w:cs="Arial"/>
          <w:sz w:val="24"/>
          <w:szCs w:val="24"/>
          <w:lang w:val="en-GB" w:eastAsia="en-ZA"/>
        </w:rPr>
        <w:t>The</w:t>
      </w:r>
      <w:r w:rsidR="00CF18A5">
        <w:rPr>
          <w:rFonts w:ascii="Arial" w:hAnsi="Arial" w:cs="Arial"/>
          <w:sz w:val="24"/>
          <w:szCs w:val="24"/>
          <w:lang w:val="en-GB" w:eastAsia="en-ZA"/>
        </w:rPr>
        <w:t xml:space="preserve"> SIU’s</w:t>
      </w:r>
      <w:r w:rsidR="00CF18A5" w:rsidRPr="00CC773F">
        <w:rPr>
          <w:rFonts w:ascii="Arial" w:hAnsi="Arial" w:cs="Arial"/>
          <w:sz w:val="24"/>
          <w:szCs w:val="24"/>
          <w:lang w:val="en-GB" w:eastAsia="en-ZA"/>
        </w:rPr>
        <w:t xml:space="preserve"> basis for the application is that the instruction by Minister Maite Nkoana-Mashabane to the Department to withdraw its opposition of </w:t>
      </w:r>
      <w:r w:rsidR="0039461E">
        <w:rPr>
          <w:rFonts w:ascii="Arial" w:hAnsi="Arial" w:cs="Arial"/>
          <w:sz w:val="24"/>
          <w:szCs w:val="24"/>
          <w:lang w:val="en-GB" w:eastAsia="en-ZA"/>
        </w:rPr>
        <w:t xml:space="preserve">the </w:t>
      </w:r>
      <w:r w:rsidR="00CF18A5" w:rsidRPr="00CC773F">
        <w:rPr>
          <w:rFonts w:ascii="Arial" w:hAnsi="Arial" w:cs="Arial"/>
          <w:sz w:val="24"/>
          <w:szCs w:val="24"/>
          <w:lang w:val="en-GB" w:eastAsia="en-ZA"/>
        </w:rPr>
        <w:t xml:space="preserve">application Cultiver brought in the Polokwane High Court to compel the Department to make </w:t>
      </w:r>
      <w:r w:rsidR="00CF18A5" w:rsidRPr="00CC773F">
        <w:rPr>
          <w:rFonts w:ascii="Arial" w:hAnsi="Arial" w:cs="Arial"/>
          <w:sz w:val="24"/>
          <w:szCs w:val="24"/>
          <w:lang w:val="en-GB" w:eastAsia="en-ZA"/>
        </w:rPr>
        <w:lastRenderedPageBreak/>
        <w:t>available to it P</w:t>
      </w:r>
      <w:r w:rsidR="0039461E">
        <w:rPr>
          <w:rFonts w:ascii="Arial" w:hAnsi="Arial" w:cs="Arial"/>
          <w:sz w:val="24"/>
          <w:szCs w:val="24"/>
          <w:lang w:val="en-GB" w:eastAsia="en-ZA"/>
        </w:rPr>
        <w:t xml:space="preserve">rovincial </w:t>
      </w:r>
      <w:r w:rsidR="00CF18A5" w:rsidRPr="00CC773F">
        <w:rPr>
          <w:rFonts w:ascii="Arial" w:hAnsi="Arial" w:cs="Arial"/>
          <w:sz w:val="24"/>
          <w:szCs w:val="24"/>
          <w:lang w:val="en-GB" w:eastAsia="en-ZA"/>
        </w:rPr>
        <w:t>L</w:t>
      </w:r>
      <w:r w:rsidR="0039461E">
        <w:rPr>
          <w:rFonts w:ascii="Arial" w:hAnsi="Arial" w:cs="Arial"/>
          <w:sz w:val="24"/>
          <w:szCs w:val="24"/>
          <w:lang w:val="en-GB" w:eastAsia="en-ZA"/>
        </w:rPr>
        <w:t xml:space="preserve">and </w:t>
      </w:r>
      <w:r w:rsidR="00CF18A5" w:rsidRPr="00CC773F">
        <w:rPr>
          <w:rFonts w:ascii="Arial" w:hAnsi="Arial" w:cs="Arial"/>
          <w:sz w:val="24"/>
          <w:szCs w:val="24"/>
          <w:lang w:val="en-GB" w:eastAsia="en-ZA"/>
        </w:rPr>
        <w:t>A</w:t>
      </w:r>
      <w:r w:rsidR="0039461E">
        <w:rPr>
          <w:rFonts w:ascii="Arial" w:hAnsi="Arial" w:cs="Arial"/>
          <w:sz w:val="24"/>
          <w:szCs w:val="24"/>
          <w:lang w:val="en-GB" w:eastAsia="en-ZA"/>
        </w:rPr>
        <w:t xml:space="preserve">cquisition </w:t>
      </w:r>
      <w:r w:rsidR="00CF18A5" w:rsidRPr="00CC773F">
        <w:rPr>
          <w:rFonts w:ascii="Arial" w:hAnsi="Arial" w:cs="Arial"/>
          <w:sz w:val="24"/>
          <w:szCs w:val="24"/>
          <w:lang w:val="en-GB" w:eastAsia="en-ZA"/>
        </w:rPr>
        <w:t>S</w:t>
      </w:r>
      <w:r w:rsidR="0039461E">
        <w:rPr>
          <w:rFonts w:ascii="Arial" w:hAnsi="Arial" w:cs="Arial"/>
          <w:sz w:val="24"/>
          <w:szCs w:val="24"/>
          <w:lang w:val="en-GB" w:eastAsia="en-ZA"/>
        </w:rPr>
        <w:t>trategy (“PLAS”)</w:t>
      </w:r>
      <w:r w:rsidR="00CF18A5" w:rsidRPr="00CC773F">
        <w:rPr>
          <w:rFonts w:ascii="Arial" w:hAnsi="Arial" w:cs="Arial"/>
          <w:sz w:val="24"/>
          <w:szCs w:val="24"/>
          <w:lang w:val="en-GB" w:eastAsia="en-ZA"/>
        </w:rPr>
        <w:t xml:space="preserve"> benefits </w:t>
      </w:r>
      <w:r w:rsidR="00A17A54">
        <w:rPr>
          <w:rFonts w:ascii="Arial" w:hAnsi="Arial" w:cs="Arial"/>
          <w:sz w:val="24"/>
          <w:szCs w:val="24"/>
          <w:lang w:val="en-GB" w:eastAsia="en-ZA"/>
        </w:rPr>
        <w:t xml:space="preserve">is irrational and </w:t>
      </w:r>
      <w:r w:rsidR="00CF18A5" w:rsidRPr="00CC773F">
        <w:rPr>
          <w:rFonts w:ascii="Arial" w:hAnsi="Arial" w:cs="Arial"/>
          <w:sz w:val="24"/>
          <w:szCs w:val="24"/>
          <w:lang w:val="en-GB" w:eastAsia="en-ZA"/>
        </w:rPr>
        <w:t>constitutes inappropriate political interference</w:t>
      </w:r>
      <w:r w:rsidR="00AE7C7A">
        <w:rPr>
          <w:rFonts w:ascii="Arial" w:hAnsi="Arial" w:cs="Arial"/>
          <w:sz w:val="24"/>
          <w:szCs w:val="24"/>
          <w:lang w:val="en-GB" w:eastAsia="en-ZA"/>
        </w:rPr>
        <w:t xml:space="preserve">. As a result, </w:t>
      </w:r>
      <w:r w:rsidR="00CF18A5" w:rsidRPr="00CC773F">
        <w:rPr>
          <w:rFonts w:ascii="Arial" w:hAnsi="Arial" w:cs="Arial"/>
          <w:sz w:val="24"/>
          <w:szCs w:val="24"/>
          <w:lang w:val="en-GB" w:eastAsia="en-ZA"/>
        </w:rPr>
        <w:t xml:space="preserve">the lease agreement the Department subsequently concluded with Cultiver is irregular.  </w:t>
      </w:r>
    </w:p>
    <w:p w:rsidR="00CF18A5" w:rsidRPr="00CC773F" w:rsidRDefault="00CF18A5" w:rsidP="00CF18A5">
      <w:pPr>
        <w:pStyle w:val="XClause1Head"/>
        <w:numPr>
          <w:ilvl w:val="0"/>
          <w:numId w:val="0"/>
        </w:numPr>
        <w:rPr>
          <w:rFonts w:ascii="Arial" w:hAnsi="Arial" w:cs="Arial"/>
          <w:sz w:val="24"/>
          <w:szCs w:val="24"/>
          <w:lang w:val="en-GB" w:eastAsia="en-ZA"/>
        </w:rPr>
      </w:pPr>
    </w:p>
    <w:p w:rsidR="003B4286" w:rsidRPr="00CF18A5" w:rsidRDefault="00DD26C3" w:rsidP="003B4286">
      <w:pPr>
        <w:pStyle w:val="XClause1Head"/>
        <w:numPr>
          <w:ilvl w:val="0"/>
          <w:numId w:val="0"/>
        </w:numPr>
        <w:rPr>
          <w:rFonts w:ascii="Arial" w:hAnsi="Arial" w:cs="Arial"/>
          <w:sz w:val="24"/>
          <w:szCs w:val="24"/>
          <w:lang w:eastAsia="en-ZA"/>
        </w:rPr>
      </w:pPr>
      <w:r>
        <w:rPr>
          <w:rFonts w:ascii="Arial" w:hAnsi="Arial" w:cs="Arial"/>
          <w:sz w:val="24"/>
          <w:szCs w:val="24"/>
          <w:lang w:val="en-GB" w:eastAsia="en-ZA"/>
        </w:rPr>
        <w:t>[7</w:t>
      </w:r>
      <w:r w:rsidR="00CF18A5" w:rsidRPr="00CF18A5">
        <w:rPr>
          <w:rFonts w:ascii="Arial" w:hAnsi="Arial" w:cs="Arial"/>
          <w:sz w:val="24"/>
          <w:szCs w:val="24"/>
          <w:lang w:val="en-GB" w:eastAsia="en-ZA"/>
        </w:rPr>
        <w:t>]</w:t>
      </w:r>
      <w:r w:rsidR="00CF18A5" w:rsidRPr="00CF18A5">
        <w:rPr>
          <w:rFonts w:ascii="Arial" w:hAnsi="Arial" w:cs="Arial"/>
          <w:sz w:val="24"/>
          <w:szCs w:val="24"/>
          <w:lang w:val="en-GB" w:eastAsia="en-ZA"/>
        </w:rPr>
        <w:tab/>
      </w:r>
      <w:r w:rsidR="00CF18A5" w:rsidRPr="00CF18A5">
        <w:rPr>
          <w:rFonts w:ascii="Arial" w:hAnsi="Arial" w:cs="Arial"/>
          <w:sz w:val="24"/>
          <w:szCs w:val="24"/>
          <w:lang w:eastAsia="en-ZA"/>
        </w:rPr>
        <w:t>Cultiver</w:t>
      </w:r>
      <w:r w:rsidR="00CF18A5" w:rsidRPr="00CF18A5">
        <w:rPr>
          <w:rFonts w:ascii="Arial" w:hAnsi="Arial" w:cs="Arial"/>
          <w:sz w:val="24"/>
          <w:szCs w:val="24"/>
          <w:lang w:val="en-GB" w:eastAsia="en-ZA"/>
        </w:rPr>
        <w:t xml:space="preserve"> contends that the undu</w:t>
      </w:r>
      <w:r w:rsidR="0039461E">
        <w:rPr>
          <w:rFonts w:ascii="Arial" w:hAnsi="Arial" w:cs="Arial"/>
          <w:sz w:val="24"/>
          <w:szCs w:val="24"/>
          <w:lang w:val="en-GB" w:eastAsia="en-ZA"/>
        </w:rPr>
        <w:t xml:space="preserve">e </w:t>
      </w:r>
      <w:r w:rsidR="00CF18A5" w:rsidRPr="00CF18A5">
        <w:rPr>
          <w:rFonts w:ascii="Arial" w:hAnsi="Arial" w:cs="Arial"/>
          <w:sz w:val="24"/>
          <w:szCs w:val="24"/>
          <w:lang w:val="en-GB" w:eastAsia="en-ZA"/>
        </w:rPr>
        <w:t xml:space="preserve">delay in bringing the application should not be condoned, </w:t>
      </w:r>
      <w:r w:rsidR="00CF18A5" w:rsidRPr="00CF18A5">
        <w:rPr>
          <w:rFonts w:ascii="Arial" w:hAnsi="Arial" w:cs="Arial"/>
          <w:sz w:val="24"/>
          <w:szCs w:val="24"/>
          <w:lang w:eastAsia="en-ZA"/>
        </w:rPr>
        <w:t>the impugned decisions are vaguely described</w:t>
      </w:r>
      <w:r w:rsidR="00CF18A5" w:rsidRPr="00CF18A5">
        <w:rPr>
          <w:rFonts w:ascii="Arial" w:hAnsi="Arial" w:cs="Arial"/>
          <w:sz w:val="24"/>
          <w:szCs w:val="24"/>
          <w:lang w:val="en-GB" w:eastAsia="en-ZA"/>
        </w:rPr>
        <w:t xml:space="preserve"> and</w:t>
      </w:r>
      <w:r w:rsidR="00CF18A5" w:rsidRPr="00CF18A5">
        <w:rPr>
          <w:rFonts w:ascii="Arial" w:hAnsi="Arial" w:cs="Arial"/>
          <w:sz w:val="24"/>
          <w:szCs w:val="24"/>
          <w:lang w:eastAsia="en-ZA"/>
        </w:rPr>
        <w:t xml:space="preserve"> the Department has </w:t>
      </w:r>
      <w:r w:rsidR="0039461E">
        <w:rPr>
          <w:rFonts w:ascii="Arial" w:hAnsi="Arial" w:cs="Arial"/>
          <w:sz w:val="24"/>
          <w:szCs w:val="24"/>
          <w:lang w:val="en-GB" w:eastAsia="en-ZA"/>
        </w:rPr>
        <w:t xml:space="preserve">not </w:t>
      </w:r>
      <w:r w:rsidR="00CF18A5" w:rsidRPr="00CF18A5">
        <w:rPr>
          <w:rFonts w:ascii="Arial" w:hAnsi="Arial" w:cs="Arial"/>
          <w:sz w:val="24"/>
          <w:szCs w:val="24"/>
          <w:lang w:eastAsia="en-ZA"/>
        </w:rPr>
        <w:t xml:space="preserve">established the evidentiary basis to sustain the SIU’s grounds of review. </w:t>
      </w:r>
      <w:r w:rsidR="00CF18A5" w:rsidRPr="00CF18A5">
        <w:rPr>
          <w:rFonts w:ascii="Arial" w:hAnsi="Arial" w:cs="Arial"/>
          <w:sz w:val="24"/>
          <w:szCs w:val="24"/>
          <w:lang w:val="en-GB" w:eastAsia="en-ZA"/>
        </w:rPr>
        <w:t>Cultiver</w:t>
      </w:r>
      <w:r w:rsidR="00CF18A5" w:rsidRPr="00CF18A5">
        <w:rPr>
          <w:rFonts w:ascii="Arial" w:hAnsi="Arial" w:cs="Arial"/>
          <w:sz w:val="24"/>
          <w:szCs w:val="24"/>
          <w:lang w:eastAsia="en-ZA"/>
        </w:rPr>
        <w:t xml:space="preserve"> also complains of irremediable and far reaching prejudice in the event that the impugned decisions are reviewed and set aside. </w:t>
      </w:r>
      <w:r w:rsidR="003B4286" w:rsidRPr="00CF18A5">
        <w:rPr>
          <w:rFonts w:ascii="Arial" w:hAnsi="Arial" w:cs="Arial"/>
          <w:sz w:val="24"/>
          <w:szCs w:val="24"/>
          <w:lang w:eastAsia="en-ZA"/>
        </w:rPr>
        <w:t>The prejudice would extend to its 175 employees, customers and suppliers. It will have a negative effect on national food security, the national poultry supply food chain and the local economy in which its farming operations play an important role. The prejudice will also extend to the state which spent R137 million acquiring the land and assets in Mikes Chicke</w:t>
      </w:r>
      <w:r w:rsidR="00134211">
        <w:rPr>
          <w:rFonts w:ascii="Arial" w:hAnsi="Arial" w:cs="Arial"/>
          <w:sz w:val="24"/>
          <w:szCs w:val="24"/>
          <w:lang w:eastAsia="en-ZA"/>
        </w:rPr>
        <w:t>n. The SIU has made no submissions</w:t>
      </w:r>
      <w:r w:rsidR="003B4286" w:rsidRPr="00CF18A5">
        <w:rPr>
          <w:rFonts w:ascii="Arial" w:hAnsi="Arial" w:cs="Arial"/>
          <w:sz w:val="24"/>
          <w:szCs w:val="24"/>
          <w:lang w:eastAsia="en-ZA"/>
        </w:rPr>
        <w:t xml:space="preserve"> regarding the winding up of the farming operations and for compensating Cultiver for its investment and improvements made on the land and its efforts to maintain the farming enterprise despite the State’s failure to fulfil various obligations and to facilitate the support the business it purchased required to succeed as a farming enterprise. </w:t>
      </w:r>
    </w:p>
    <w:p w:rsidR="00D47B04" w:rsidRDefault="00D47B04" w:rsidP="00CF18A5">
      <w:pPr>
        <w:pStyle w:val="XClause1Head"/>
        <w:numPr>
          <w:ilvl w:val="0"/>
          <w:numId w:val="0"/>
        </w:numPr>
        <w:rPr>
          <w:rFonts w:ascii="Arial" w:hAnsi="Arial" w:cs="Arial"/>
          <w:sz w:val="24"/>
          <w:szCs w:val="24"/>
          <w:lang w:eastAsia="en-ZA"/>
        </w:rPr>
      </w:pPr>
    </w:p>
    <w:p w:rsidR="00CF18A5" w:rsidRPr="009103B0"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eastAsia="en-ZA"/>
        </w:rPr>
        <w:t>[8</w:t>
      </w:r>
      <w:r w:rsidR="00CF18A5" w:rsidRPr="00CF18A5">
        <w:rPr>
          <w:rFonts w:ascii="Arial" w:hAnsi="Arial" w:cs="Arial"/>
          <w:sz w:val="24"/>
          <w:szCs w:val="24"/>
          <w:lang w:eastAsia="en-ZA"/>
        </w:rPr>
        <w:t>]</w:t>
      </w:r>
      <w:r w:rsidR="00CF18A5" w:rsidRPr="00CF18A5">
        <w:rPr>
          <w:rFonts w:ascii="Arial" w:hAnsi="Arial" w:cs="Arial"/>
          <w:sz w:val="24"/>
          <w:szCs w:val="24"/>
          <w:lang w:eastAsia="en-ZA"/>
        </w:rPr>
        <w:tab/>
      </w:r>
      <w:r w:rsidR="00CF18A5" w:rsidRPr="00CF18A5">
        <w:rPr>
          <w:rFonts w:ascii="Arial" w:hAnsi="Arial" w:cs="Arial"/>
          <w:sz w:val="24"/>
          <w:szCs w:val="24"/>
          <w:lang w:val="en-GB" w:eastAsia="en-ZA"/>
        </w:rPr>
        <w:t>Cultiver</w:t>
      </w:r>
      <w:r w:rsidR="00CF18A5" w:rsidRPr="00CF18A5">
        <w:rPr>
          <w:rFonts w:ascii="Arial" w:hAnsi="Arial" w:cs="Arial"/>
          <w:sz w:val="24"/>
          <w:szCs w:val="24"/>
          <w:lang w:eastAsia="en-ZA"/>
        </w:rPr>
        <w:t xml:space="preserve"> has noted the pending challenge to the Tribunal’s jurisdiction in terms of s 172 of the Constitution, has opted not to raise the same challenge in the present proceedings but has reserved its right to raise it in another forum, on appeal or in the even that in the pending challenge, the Tribunal is found to lack such jurisdiction.</w:t>
      </w:r>
      <w:r w:rsidR="003B4286">
        <w:rPr>
          <w:rFonts w:ascii="Arial" w:hAnsi="Arial" w:cs="Arial"/>
          <w:sz w:val="24"/>
          <w:szCs w:val="24"/>
          <w:lang w:val="en-GB" w:eastAsia="en-ZA"/>
        </w:rPr>
        <w:t xml:space="preserve"> Cultiver has not crafted the jurisdiction challenge it intends to bring. </w:t>
      </w:r>
      <w:r w:rsidR="00AE7C7A">
        <w:rPr>
          <w:rFonts w:ascii="Arial" w:hAnsi="Arial" w:cs="Arial"/>
          <w:sz w:val="24"/>
          <w:szCs w:val="24"/>
          <w:lang w:val="en-GB" w:eastAsia="en-ZA"/>
        </w:rPr>
        <w:t>I</w:t>
      </w:r>
      <w:r w:rsidR="003B4286">
        <w:rPr>
          <w:rFonts w:ascii="Arial" w:hAnsi="Arial" w:cs="Arial"/>
          <w:sz w:val="24"/>
          <w:szCs w:val="24"/>
          <w:lang w:val="en-GB" w:eastAsia="en-ZA"/>
        </w:rPr>
        <w:t xml:space="preserve">t is important to note that the Tribunal’s jurisdiction over legality reviews as well as its wide powers </w:t>
      </w:r>
      <w:r w:rsidR="00D552D9">
        <w:rPr>
          <w:rFonts w:ascii="Arial" w:hAnsi="Arial" w:cs="Arial"/>
          <w:sz w:val="24"/>
          <w:szCs w:val="24"/>
          <w:lang w:val="en-GB" w:eastAsia="en-ZA"/>
        </w:rPr>
        <w:t>as derived from its enabling statute, the Special Investigating Unit and Special Tribunals Act</w:t>
      </w:r>
      <w:r w:rsidR="00D552D9">
        <w:rPr>
          <w:rStyle w:val="FootnoteReference"/>
          <w:sz w:val="24"/>
          <w:lang w:val="en-GB" w:eastAsia="en-ZA"/>
        </w:rPr>
        <w:footnoteReference w:id="7"/>
      </w:r>
      <w:r w:rsidR="00D552D9">
        <w:rPr>
          <w:rFonts w:ascii="Arial" w:hAnsi="Arial" w:cs="Arial"/>
          <w:sz w:val="24"/>
          <w:szCs w:val="24"/>
          <w:lang w:val="en-GB" w:eastAsia="en-ZA"/>
        </w:rPr>
        <w:t xml:space="preserve"> </w:t>
      </w:r>
      <w:r w:rsidR="003B4286">
        <w:rPr>
          <w:rFonts w:ascii="Arial" w:hAnsi="Arial" w:cs="Arial"/>
          <w:sz w:val="24"/>
          <w:szCs w:val="24"/>
          <w:lang w:val="en-GB" w:eastAsia="en-ZA"/>
        </w:rPr>
        <w:t xml:space="preserve">was affirmed by the Constitutional Court in </w:t>
      </w:r>
      <w:r w:rsidR="003B4286" w:rsidRPr="009103B0">
        <w:rPr>
          <w:rFonts w:ascii="Arial" w:hAnsi="Arial" w:cs="Arial"/>
          <w:i/>
          <w:sz w:val="24"/>
          <w:szCs w:val="24"/>
          <w:lang w:val="en-GB" w:eastAsia="en-ZA"/>
        </w:rPr>
        <w:t>Ledla.</w:t>
      </w:r>
      <w:r w:rsidR="003B4286">
        <w:rPr>
          <w:rStyle w:val="FootnoteReference"/>
          <w:i/>
          <w:sz w:val="24"/>
          <w:lang w:val="en-GB" w:eastAsia="en-ZA"/>
        </w:rPr>
        <w:footnoteReference w:id="8"/>
      </w:r>
      <w:r w:rsidR="003B4286" w:rsidRPr="009103B0">
        <w:rPr>
          <w:rFonts w:ascii="Arial" w:hAnsi="Arial" w:cs="Arial"/>
          <w:i/>
          <w:sz w:val="24"/>
          <w:szCs w:val="24"/>
          <w:lang w:val="en-GB" w:eastAsia="en-ZA"/>
        </w:rPr>
        <w:t xml:space="preserve"> </w:t>
      </w:r>
    </w:p>
    <w:p w:rsidR="00CF18A5" w:rsidRPr="00CC773F" w:rsidRDefault="00CF18A5" w:rsidP="00CF18A5">
      <w:pPr>
        <w:pStyle w:val="XClause1Head"/>
        <w:numPr>
          <w:ilvl w:val="0"/>
          <w:numId w:val="0"/>
        </w:numPr>
        <w:rPr>
          <w:rFonts w:ascii="Arial" w:hAnsi="Arial" w:cs="Arial"/>
          <w:sz w:val="24"/>
          <w:szCs w:val="24"/>
          <w:lang w:val="en-GB" w:eastAsia="en-ZA"/>
        </w:rPr>
      </w:pPr>
    </w:p>
    <w:p w:rsidR="00CF18A5"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lastRenderedPageBreak/>
        <w:t>[9</w:t>
      </w:r>
      <w:r w:rsidR="00CF18A5" w:rsidRPr="00CF18A5">
        <w:rPr>
          <w:rFonts w:ascii="Arial" w:hAnsi="Arial" w:cs="Arial"/>
          <w:sz w:val="24"/>
          <w:szCs w:val="24"/>
          <w:lang w:val="en-GB" w:eastAsia="en-ZA"/>
        </w:rPr>
        <w:t>]</w:t>
      </w:r>
      <w:r w:rsidR="00CF18A5" w:rsidRPr="00CF18A5">
        <w:rPr>
          <w:rFonts w:ascii="Arial" w:hAnsi="Arial" w:cs="Arial"/>
          <w:sz w:val="24"/>
          <w:szCs w:val="24"/>
          <w:lang w:val="en-GB" w:eastAsia="en-ZA"/>
        </w:rPr>
        <w:tab/>
      </w:r>
      <w:r w:rsidR="00CF18A5" w:rsidRPr="00CF18A5">
        <w:rPr>
          <w:rFonts w:ascii="Arial" w:hAnsi="Arial" w:cs="Arial"/>
          <w:sz w:val="24"/>
          <w:szCs w:val="24"/>
          <w:lang w:eastAsia="en-ZA"/>
        </w:rPr>
        <w:t>In the event that the Tribunal reviews and sets aside the impugned decisions, Cultiver seeks a just and equitable remedy in terms of s 172 of the Constitution that would enable it to retain its accrued rights</w:t>
      </w:r>
      <w:r w:rsidR="00D47B04">
        <w:rPr>
          <w:rFonts w:ascii="Arial" w:hAnsi="Arial" w:cs="Arial"/>
          <w:sz w:val="24"/>
          <w:szCs w:val="24"/>
          <w:lang w:val="en-GB" w:eastAsia="en-ZA"/>
        </w:rPr>
        <w:t xml:space="preserve"> in terms of the impugned lease agreement</w:t>
      </w:r>
      <w:r w:rsidR="00CF18A5" w:rsidRPr="00CF18A5">
        <w:rPr>
          <w:rFonts w:ascii="Arial" w:hAnsi="Arial" w:cs="Arial"/>
          <w:sz w:val="24"/>
          <w:szCs w:val="24"/>
          <w:lang w:eastAsia="en-ZA"/>
        </w:rPr>
        <w:t xml:space="preserve">. </w:t>
      </w:r>
      <w:r w:rsidR="00D552D9">
        <w:rPr>
          <w:rFonts w:ascii="Arial" w:hAnsi="Arial" w:cs="Arial"/>
          <w:sz w:val="24"/>
          <w:szCs w:val="24"/>
          <w:lang w:val="en-GB" w:eastAsia="en-ZA"/>
        </w:rPr>
        <w:t>Save for contesting Cultiver’s quest not to be divested of future rights accrued from the impugned decisions, t</w:t>
      </w:r>
      <w:r w:rsidR="00CF18A5">
        <w:rPr>
          <w:rFonts w:ascii="Arial" w:hAnsi="Arial" w:cs="Arial"/>
          <w:sz w:val="24"/>
          <w:szCs w:val="24"/>
          <w:lang w:val="en-GB" w:eastAsia="en-ZA"/>
        </w:rPr>
        <w:t>he SIU has not addressed the Tribunal on the remedy. Neither has Department as the owner of the Mikes Chicken’s assets.</w:t>
      </w:r>
    </w:p>
    <w:p w:rsidR="00515339" w:rsidRDefault="00515339" w:rsidP="00CF18A5">
      <w:pPr>
        <w:pStyle w:val="XClause1Head"/>
        <w:numPr>
          <w:ilvl w:val="0"/>
          <w:numId w:val="0"/>
        </w:numPr>
        <w:rPr>
          <w:rFonts w:ascii="Arial" w:hAnsi="Arial" w:cs="Arial"/>
          <w:sz w:val="24"/>
          <w:szCs w:val="24"/>
          <w:lang w:val="en-GB" w:eastAsia="en-ZA"/>
        </w:rPr>
      </w:pPr>
    </w:p>
    <w:p w:rsidR="00CF18A5"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[10</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This judgment follows the following structure: I briefly set out the background facts and the regulatory framework relied on by the SIU. Then</w:t>
      </w:r>
      <w:r w:rsidR="00CF18A5">
        <w:rPr>
          <w:rFonts w:ascii="Arial" w:hAnsi="Arial" w:cs="Arial"/>
          <w:sz w:val="24"/>
          <w:szCs w:val="24"/>
          <w:lang w:val="en-GB" w:eastAsia="en-ZA"/>
        </w:rPr>
        <w:t xml:space="preserve">, </w:t>
      </w:r>
      <w:r w:rsidR="00CF18A5" w:rsidRPr="00CC773F">
        <w:rPr>
          <w:rFonts w:ascii="Arial" w:hAnsi="Arial" w:cs="Arial"/>
          <w:sz w:val="24"/>
          <w:szCs w:val="24"/>
          <w:lang w:val="en-GB" w:eastAsia="en-ZA"/>
        </w:rPr>
        <w:t xml:space="preserve">I consider </w:t>
      </w:r>
      <w:r w:rsidR="00CF18A5" w:rsidRPr="00CF18A5">
        <w:rPr>
          <w:rFonts w:ascii="Arial" w:hAnsi="Arial" w:cs="Arial"/>
          <w:sz w:val="24"/>
          <w:szCs w:val="24"/>
          <w:lang w:val="en-GB" w:eastAsia="en-ZA"/>
        </w:rPr>
        <w:t>whether the delay in bringing the application should be condoned</w:t>
      </w:r>
      <w:r w:rsidR="00CF18A5">
        <w:rPr>
          <w:rFonts w:ascii="Arial" w:hAnsi="Arial" w:cs="Arial"/>
          <w:sz w:val="24"/>
          <w:szCs w:val="24"/>
          <w:lang w:val="en-GB" w:eastAsia="en-ZA"/>
        </w:rPr>
        <w:t xml:space="preserve"> </w:t>
      </w:r>
      <w:r w:rsidR="00AE7C7A">
        <w:rPr>
          <w:rFonts w:ascii="Arial" w:hAnsi="Arial" w:cs="Arial"/>
          <w:sz w:val="24"/>
          <w:szCs w:val="24"/>
          <w:lang w:val="en-GB" w:eastAsia="en-ZA"/>
        </w:rPr>
        <w:t xml:space="preserve">or overlooked </w:t>
      </w:r>
      <w:r w:rsidR="00CF18A5">
        <w:rPr>
          <w:rFonts w:ascii="Arial" w:hAnsi="Arial" w:cs="Arial"/>
          <w:sz w:val="24"/>
          <w:szCs w:val="24"/>
          <w:lang w:val="en-GB" w:eastAsia="en-ZA"/>
        </w:rPr>
        <w:t xml:space="preserve">and whether the SIU makes out a case for the review of the impugned decisions </w:t>
      </w:r>
      <w:r w:rsidR="00CF18A5" w:rsidRPr="00CC773F">
        <w:rPr>
          <w:rFonts w:ascii="Arial" w:hAnsi="Arial" w:cs="Arial"/>
          <w:sz w:val="24"/>
          <w:szCs w:val="24"/>
          <w:lang w:val="en-GB" w:eastAsia="en-ZA"/>
        </w:rPr>
        <w:t>with reference to the applicable statutor</w:t>
      </w:r>
      <w:r w:rsidR="00CF18A5">
        <w:rPr>
          <w:rFonts w:ascii="Arial" w:hAnsi="Arial" w:cs="Arial"/>
          <w:sz w:val="24"/>
          <w:szCs w:val="24"/>
          <w:lang w:val="en-GB" w:eastAsia="en-ZA"/>
        </w:rPr>
        <w:t>y and regulatory framework. Lastly,</w:t>
      </w:r>
      <w:r w:rsidR="00CF18A5" w:rsidRPr="00CC773F">
        <w:rPr>
          <w:rFonts w:ascii="Arial" w:hAnsi="Arial" w:cs="Arial"/>
          <w:sz w:val="24"/>
          <w:szCs w:val="24"/>
          <w:lang w:val="en-GB" w:eastAsia="en-ZA"/>
        </w:rPr>
        <w:t xml:space="preserve"> I </w:t>
      </w:r>
      <w:r w:rsidR="003B4286">
        <w:rPr>
          <w:rFonts w:ascii="Arial" w:hAnsi="Arial" w:cs="Arial"/>
          <w:sz w:val="24"/>
          <w:szCs w:val="24"/>
          <w:lang w:val="en-GB" w:eastAsia="en-ZA"/>
        </w:rPr>
        <w:t>issue directives regarding the determination of</w:t>
      </w:r>
      <w:r w:rsidR="00CF18A5" w:rsidRPr="00CC773F">
        <w:rPr>
          <w:rFonts w:ascii="Arial" w:hAnsi="Arial" w:cs="Arial"/>
          <w:sz w:val="24"/>
          <w:szCs w:val="24"/>
          <w:lang w:val="en-GB" w:eastAsia="en-ZA"/>
        </w:rPr>
        <w:t xml:space="preserve"> just and equitable relief</w:t>
      </w:r>
      <w:r w:rsidR="00D47B04">
        <w:rPr>
          <w:rFonts w:ascii="Arial" w:hAnsi="Arial" w:cs="Arial"/>
          <w:sz w:val="24"/>
          <w:szCs w:val="24"/>
          <w:lang w:val="en-GB" w:eastAsia="en-ZA"/>
        </w:rPr>
        <w:t xml:space="preserve">. I reserve </w:t>
      </w:r>
      <w:r w:rsidR="00CF18A5" w:rsidRPr="00CC773F">
        <w:rPr>
          <w:rFonts w:ascii="Arial" w:hAnsi="Arial" w:cs="Arial"/>
          <w:sz w:val="24"/>
          <w:szCs w:val="24"/>
          <w:lang w:val="en-GB" w:eastAsia="en-ZA"/>
        </w:rPr>
        <w:t>legal costs</w:t>
      </w:r>
      <w:r w:rsidR="00D47B04">
        <w:rPr>
          <w:rFonts w:ascii="Arial" w:hAnsi="Arial" w:cs="Arial"/>
          <w:sz w:val="24"/>
          <w:szCs w:val="24"/>
          <w:lang w:val="en-GB" w:eastAsia="en-ZA"/>
        </w:rPr>
        <w:t xml:space="preserve"> for determination together with the just and equitable relief.</w:t>
      </w:r>
    </w:p>
    <w:p w:rsidR="00134211" w:rsidRDefault="00134211" w:rsidP="00CF18A5">
      <w:pPr>
        <w:pStyle w:val="XClause1Head"/>
        <w:numPr>
          <w:ilvl w:val="0"/>
          <w:numId w:val="0"/>
        </w:numPr>
        <w:ind w:left="720" w:hanging="720"/>
        <w:rPr>
          <w:rFonts w:ascii="Arial" w:hAnsi="Arial" w:cs="Arial"/>
          <w:b/>
          <w:sz w:val="24"/>
          <w:szCs w:val="24"/>
          <w:lang w:eastAsia="en-ZA"/>
        </w:rPr>
      </w:pPr>
    </w:p>
    <w:p w:rsidR="00CF18A5" w:rsidRPr="00CC773F" w:rsidRDefault="00CF18A5" w:rsidP="00CF18A5">
      <w:pPr>
        <w:pStyle w:val="XClause1Head"/>
        <w:numPr>
          <w:ilvl w:val="0"/>
          <w:numId w:val="0"/>
        </w:numPr>
        <w:ind w:left="720" w:hanging="720"/>
        <w:rPr>
          <w:rFonts w:ascii="Arial" w:hAnsi="Arial" w:cs="Arial"/>
          <w:b/>
          <w:sz w:val="24"/>
          <w:szCs w:val="24"/>
          <w:lang w:eastAsia="en-ZA"/>
        </w:rPr>
      </w:pPr>
      <w:r w:rsidRPr="00CC773F">
        <w:rPr>
          <w:rFonts w:ascii="Arial" w:hAnsi="Arial" w:cs="Arial"/>
          <w:b/>
          <w:sz w:val="24"/>
          <w:szCs w:val="24"/>
          <w:lang w:eastAsia="en-ZA"/>
        </w:rPr>
        <w:t>BACKGROUND FACTS</w:t>
      </w:r>
    </w:p>
    <w:p w:rsidR="00CF18A5" w:rsidRPr="00CC773F" w:rsidRDefault="00DD26C3" w:rsidP="00CF18A5">
      <w:pPr>
        <w:pStyle w:val="XClause1Head"/>
        <w:numPr>
          <w:ilvl w:val="0"/>
          <w:numId w:val="0"/>
        </w:numPr>
        <w:rPr>
          <w:rFonts w:ascii="Arial" w:hAnsi="Arial" w:cs="Arial"/>
          <w:sz w:val="24"/>
          <w:szCs w:val="24"/>
          <w:lang w:val="en-GB" w:eastAsia="en-ZA"/>
        </w:rPr>
      </w:pPr>
      <w:r>
        <w:rPr>
          <w:rStyle w:val="s1"/>
          <w:rFonts w:ascii="Arial" w:hAnsi="Arial" w:cs="Arial"/>
          <w:color w:val="000000"/>
          <w:sz w:val="24"/>
          <w:szCs w:val="24"/>
          <w:lang w:val="en-GB"/>
        </w:rPr>
        <w:t>[11</w:t>
      </w:r>
      <w:r w:rsidR="00CF18A5" w:rsidRPr="00CC773F">
        <w:rPr>
          <w:rStyle w:val="s1"/>
          <w:rFonts w:ascii="Arial" w:hAnsi="Arial" w:cs="Arial"/>
          <w:color w:val="000000"/>
          <w:sz w:val="24"/>
          <w:szCs w:val="24"/>
          <w:lang w:val="en-GB"/>
        </w:rPr>
        <w:t>]</w:t>
      </w:r>
      <w:r w:rsidR="00CF18A5" w:rsidRPr="00CC773F">
        <w:rPr>
          <w:rStyle w:val="s1"/>
          <w:rFonts w:ascii="Arial" w:hAnsi="Arial" w:cs="Arial"/>
          <w:color w:val="000000"/>
          <w:sz w:val="24"/>
          <w:szCs w:val="24"/>
          <w:lang w:val="en-GB"/>
        </w:rPr>
        <w:tab/>
      </w:r>
      <w:r w:rsidR="00CF18A5" w:rsidRPr="00CC773F">
        <w:rPr>
          <w:rStyle w:val="s1"/>
          <w:rFonts w:ascii="Arial" w:hAnsi="Arial" w:cs="Arial"/>
          <w:color w:val="000000"/>
          <w:sz w:val="24"/>
          <w:szCs w:val="24"/>
        </w:rPr>
        <w:t>On</w:t>
      </w:r>
      <w:r w:rsidR="00CF18A5" w:rsidRPr="00CC773F">
        <w:rPr>
          <w:rStyle w:val="s1"/>
          <w:rFonts w:ascii="Arial" w:hAnsi="Arial" w:cs="Arial"/>
          <w:color w:val="000000"/>
          <w:sz w:val="24"/>
          <w:szCs w:val="24"/>
          <w:lang w:val="en-GB"/>
        </w:rPr>
        <w:t xml:space="preserve"> </w:t>
      </w:r>
      <w:r w:rsidR="00CF18A5" w:rsidRPr="00CC773F">
        <w:rPr>
          <w:rStyle w:val="s1"/>
          <w:rFonts w:ascii="Arial" w:hAnsi="Arial" w:cs="Arial"/>
          <w:color w:val="000000"/>
          <w:sz w:val="24"/>
          <w:szCs w:val="24"/>
        </w:rPr>
        <w:t>2 May 2013</w:t>
      </w:r>
      <w:r w:rsidR="00CF18A5" w:rsidRPr="00CC773F">
        <w:rPr>
          <w:rStyle w:val="s1"/>
          <w:rFonts w:ascii="Arial" w:hAnsi="Arial" w:cs="Arial"/>
          <w:color w:val="000000"/>
          <w:sz w:val="24"/>
          <w:szCs w:val="24"/>
          <w:lang w:val="en-GB"/>
        </w:rPr>
        <w:t>,</w:t>
      </w:r>
      <w:r w:rsidR="00CF18A5" w:rsidRPr="00CC773F">
        <w:rPr>
          <w:rFonts w:ascii="Arial" w:hAnsi="Arial" w:cs="Arial"/>
          <w:sz w:val="24"/>
          <w:szCs w:val="24"/>
          <w:lang w:eastAsia="en-ZA"/>
        </w:rPr>
        <w:t xml:space="preserve"> </w:t>
      </w:r>
      <w:r w:rsidR="00CF18A5" w:rsidRPr="00CC773F">
        <w:rPr>
          <w:rStyle w:val="s1"/>
          <w:rFonts w:ascii="Arial" w:hAnsi="Arial" w:cs="Arial"/>
          <w:color w:val="000000"/>
          <w:sz w:val="24"/>
          <w:szCs w:val="24"/>
          <w:lang w:val="en-GB"/>
        </w:rPr>
        <w:t>t</w:t>
      </w:r>
      <w:r w:rsidR="00CF18A5" w:rsidRPr="00CC773F">
        <w:rPr>
          <w:rStyle w:val="s1"/>
          <w:rFonts w:ascii="Arial" w:hAnsi="Arial" w:cs="Arial"/>
          <w:color w:val="000000"/>
          <w:sz w:val="24"/>
          <w:szCs w:val="24"/>
        </w:rPr>
        <w:t xml:space="preserve">he Department and Mike’s Chicken concluded </w:t>
      </w:r>
      <w:r w:rsidR="00CF18A5" w:rsidRPr="00CC773F">
        <w:rPr>
          <w:rStyle w:val="s1"/>
          <w:rFonts w:ascii="Arial" w:hAnsi="Arial" w:cs="Arial"/>
          <w:color w:val="000000"/>
          <w:sz w:val="24"/>
          <w:szCs w:val="24"/>
          <w:lang w:val="en-GB"/>
        </w:rPr>
        <w:t xml:space="preserve">an </w:t>
      </w:r>
      <w:r w:rsidR="00CF18A5" w:rsidRPr="00CC773F">
        <w:rPr>
          <w:rStyle w:val="s1"/>
          <w:rFonts w:ascii="Arial" w:hAnsi="Arial" w:cs="Arial"/>
          <w:color w:val="000000"/>
          <w:sz w:val="24"/>
          <w:szCs w:val="24"/>
        </w:rPr>
        <w:t xml:space="preserve">agreement </w:t>
      </w:r>
      <w:r w:rsidR="00CF18A5" w:rsidRPr="00CC773F">
        <w:rPr>
          <w:rStyle w:val="s1"/>
          <w:rFonts w:ascii="Arial" w:hAnsi="Arial" w:cs="Arial"/>
          <w:color w:val="000000"/>
          <w:sz w:val="24"/>
          <w:szCs w:val="24"/>
          <w:lang w:val="en-GB"/>
        </w:rPr>
        <w:t xml:space="preserve">for the </w:t>
      </w:r>
      <w:r w:rsidR="00CF18A5" w:rsidRPr="00CC773F">
        <w:rPr>
          <w:rStyle w:val="s1"/>
          <w:rFonts w:ascii="Arial" w:hAnsi="Arial" w:cs="Arial"/>
          <w:color w:val="000000"/>
          <w:sz w:val="24"/>
          <w:szCs w:val="24"/>
        </w:rPr>
        <w:t xml:space="preserve">sale </w:t>
      </w:r>
      <w:r w:rsidR="00CF18A5" w:rsidRPr="00CC773F">
        <w:rPr>
          <w:rStyle w:val="s1"/>
          <w:rFonts w:ascii="Arial" w:hAnsi="Arial" w:cs="Arial"/>
          <w:color w:val="000000"/>
          <w:sz w:val="24"/>
          <w:szCs w:val="24"/>
          <w:lang w:val="en-GB"/>
        </w:rPr>
        <w:t>of</w:t>
      </w:r>
      <w:r w:rsidR="00CF18A5" w:rsidRPr="00CC773F">
        <w:rPr>
          <w:rFonts w:ascii="Arial" w:hAnsi="Arial" w:cs="Arial"/>
          <w:sz w:val="24"/>
          <w:szCs w:val="24"/>
          <w:lang w:eastAsia="en-ZA"/>
        </w:rPr>
        <w:t xml:space="preserve"> 9 immovable properties based in Farm Doornbult in Limpopo province</w:t>
      </w:r>
      <w:r w:rsidR="00CF18A5" w:rsidRPr="00CC773F">
        <w:rPr>
          <w:rFonts w:ascii="Arial" w:hAnsi="Arial" w:cs="Arial"/>
          <w:sz w:val="24"/>
          <w:szCs w:val="24"/>
          <w:lang w:val="en-GB" w:eastAsia="en-ZA"/>
        </w:rPr>
        <w:t>.</w:t>
      </w:r>
      <w:r w:rsidR="00CF18A5" w:rsidRPr="00CC773F">
        <w:rPr>
          <w:rFonts w:ascii="Arial" w:hAnsi="Arial" w:cs="Arial"/>
          <w:sz w:val="24"/>
          <w:szCs w:val="24"/>
          <w:lang w:eastAsia="en-ZA"/>
        </w:rPr>
        <w:t xml:space="preserve"> The immovable properties comprise chicken hatchery farms</w:t>
      </w:r>
      <w:r w:rsidR="00CF18A5" w:rsidRPr="00CC773F">
        <w:rPr>
          <w:rFonts w:ascii="Arial" w:hAnsi="Arial" w:cs="Arial"/>
          <w:sz w:val="24"/>
          <w:szCs w:val="24"/>
          <w:lang w:val="en-GB" w:eastAsia="en-ZA"/>
        </w:rPr>
        <w:t xml:space="preserve"> which the Department acquired as a going concern for a </w:t>
      </w:r>
      <w:r w:rsidR="00CF18A5" w:rsidRPr="00CC773F">
        <w:rPr>
          <w:rFonts w:ascii="Arial" w:hAnsi="Arial" w:cs="Arial"/>
          <w:sz w:val="24"/>
          <w:szCs w:val="24"/>
          <w:lang w:eastAsia="en-ZA"/>
        </w:rPr>
        <w:t xml:space="preserve">VAT exclusive </w:t>
      </w:r>
      <w:r w:rsidR="00CF18A5" w:rsidRPr="00CC773F">
        <w:rPr>
          <w:rFonts w:ascii="Arial" w:hAnsi="Arial" w:cs="Arial"/>
          <w:sz w:val="24"/>
          <w:szCs w:val="24"/>
          <w:lang w:val="en-GB" w:eastAsia="en-ZA"/>
        </w:rPr>
        <w:t>purchase price of</w:t>
      </w:r>
      <w:r w:rsidR="00CF18A5" w:rsidRPr="00CC773F">
        <w:rPr>
          <w:rFonts w:ascii="Arial" w:hAnsi="Arial" w:cs="Arial"/>
          <w:sz w:val="24"/>
          <w:szCs w:val="24"/>
          <w:lang w:eastAsia="en-ZA"/>
        </w:rPr>
        <w:t xml:space="preserve"> R137 million.</w:t>
      </w:r>
      <w:r w:rsidR="00CF18A5" w:rsidRPr="00CC773F">
        <w:rPr>
          <w:rStyle w:val="s1"/>
          <w:rFonts w:ascii="Arial" w:hAnsi="Arial" w:cs="Arial"/>
          <w:color w:val="000000"/>
          <w:sz w:val="24"/>
          <w:szCs w:val="24"/>
        </w:rPr>
        <w:t xml:space="preserve"> The Department paid the </w:t>
      </w:r>
      <w:r w:rsidR="008A7EC4">
        <w:rPr>
          <w:rStyle w:val="s1"/>
          <w:rFonts w:ascii="Arial" w:hAnsi="Arial" w:cs="Arial"/>
          <w:color w:val="000000"/>
          <w:sz w:val="24"/>
          <w:szCs w:val="24"/>
          <w:lang w:val="en-GB"/>
        </w:rPr>
        <w:t xml:space="preserve">full </w:t>
      </w:r>
      <w:r w:rsidR="00CF18A5" w:rsidRPr="00CC773F">
        <w:rPr>
          <w:rStyle w:val="s1"/>
          <w:rFonts w:ascii="Arial" w:hAnsi="Arial" w:cs="Arial"/>
          <w:color w:val="000000"/>
          <w:sz w:val="24"/>
          <w:szCs w:val="24"/>
        </w:rPr>
        <w:t>purchase price</w:t>
      </w:r>
      <w:r w:rsidR="008A7EC4">
        <w:rPr>
          <w:rStyle w:val="s1"/>
          <w:rFonts w:ascii="Arial" w:hAnsi="Arial" w:cs="Arial"/>
          <w:color w:val="000000"/>
          <w:sz w:val="24"/>
          <w:szCs w:val="24"/>
          <w:lang w:val="en-GB"/>
        </w:rPr>
        <w:t xml:space="preserve"> </w:t>
      </w:r>
      <w:r w:rsidR="00CF18A5" w:rsidRPr="00CC773F">
        <w:rPr>
          <w:rStyle w:val="s1"/>
          <w:rFonts w:ascii="Arial" w:hAnsi="Arial" w:cs="Arial"/>
          <w:color w:val="000000"/>
          <w:sz w:val="24"/>
          <w:szCs w:val="24"/>
        </w:rPr>
        <w:t>to Mike</w:t>
      </w:r>
      <w:r w:rsidR="008A7EC4">
        <w:rPr>
          <w:rStyle w:val="s1"/>
          <w:rFonts w:ascii="Arial" w:hAnsi="Arial" w:cs="Arial"/>
          <w:color w:val="000000"/>
          <w:sz w:val="24"/>
          <w:szCs w:val="24"/>
          <w:lang w:val="en-GB"/>
        </w:rPr>
        <w:t>’</w:t>
      </w:r>
      <w:r w:rsidR="00CF18A5" w:rsidRPr="00CC773F">
        <w:rPr>
          <w:rStyle w:val="s1"/>
          <w:rFonts w:ascii="Arial" w:hAnsi="Arial" w:cs="Arial"/>
          <w:color w:val="000000"/>
          <w:sz w:val="24"/>
          <w:szCs w:val="24"/>
        </w:rPr>
        <w:t xml:space="preserve">s Chicken. </w:t>
      </w:r>
      <w:r w:rsidR="00CF18A5" w:rsidRPr="00CC773F">
        <w:rPr>
          <w:rStyle w:val="s1"/>
          <w:rFonts w:ascii="Arial" w:hAnsi="Arial" w:cs="Arial"/>
          <w:color w:val="000000"/>
          <w:sz w:val="24"/>
          <w:szCs w:val="24"/>
          <w:lang w:val="en-GB"/>
        </w:rPr>
        <w:t>At the time</w:t>
      </w:r>
      <w:r w:rsidR="003B4286">
        <w:rPr>
          <w:rStyle w:val="s1"/>
          <w:rFonts w:ascii="Arial" w:hAnsi="Arial" w:cs="Arial"/>
          <w:color w:val="000000"/>
          <w:sz w:val="24"/>
          <w:szCs w:val="24"/>
          <w:lang w:val="en-GB"/>
        </w:rPr>
        <w:t>,</w:t>
      </w:r>
      <w:r w:rsidR="00CF18A5" w:rsidRPr="00CC773F">
        <w:rPr>
          <w:rStyle w:val="s1"/>
          <w:rFonts w:ascii="Arial" w:hAnsi="Arial" w:cs="Arial"/>
          <w:color w:val="000000"/>
          <w:sz w:val="24"/>
          <w:szCs w:val="24"/>
          <w:lang w:val="en-GB"/>
        </w:rPr>
        <w:t xml:space="preserve"> Cultiver was not a shareholder in Mike’s Chicken. </w:t>
      </w:r>
    </w:p>
    <w:p w:rsidR="00CF18A5" w:rsidRPr="00CC773F" w:rsidRDefault="00CF18A5" w:rsidP="00CF18A5">
      <w:pPr>
        <w:pStyle w:val="XClause1Head"/>
        <w:numPr>
          <w:ilvl w:val="0"/>
          <w:numId w:val="0"/>
        </w:numPr>
        <w:ind w:left="720" w:hanging="720"/>
        <w:rPr>
          <w:rFonts w:ascii="Arial" w:hAnsi="Arial" w:cs="Arial"/>
          <w:b/>
          <w:sz w:val="24"/>
          <w:szCs w:val="24"/>
          <w:lang w:eastAsia="en-ZA"/>
        </w:rPr>
      </w:pPr>
    </w:p>
    <w:p w:rsidR="00CF18A5" w:rsidRPr="00CC773F"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[12</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In terms of a shareholder agreement concluded between</w:t>
      </w:r>
      <w:r w:rsidR="008A7EC4">
        <w:rPr>
          <w:rFonts w:ascii="Arial" w:hAnsi="Arial" w:cs="Arial"/>
          <w:sz w:val="24"/>
          <w:szCs w:val="24"/>
          <w:lang w:val="en-GB" w:eastAsia="en-ZA"/>
        </w:rPr>
        <w:t xml:space="preserve"> the Mike’s Chicken, its shareholders Michael-John Nunes (“Mr Nunes”) and Christiaan Jacobus Albertus Kirstein (“Mr Kirstein”) and Cultiver represented by Muziwempi Twala</w:t>
      </w:r>
      <w:r w:rsidR="003307D1">
        <w:rPr>
          <w:rFonts w:ascii="Arial" w:hAnsi="Arial" w:cs="Arial"/>
          <w:sz w:val="24"/>
          <w:szCs w:val="24"/>
          <w:lang w:val="en-GB" w:eastAsia="en-ZA"/>
        </w:rPr>
        <w:t xml:space="preserve"> </w:t>
      </w:r>
      <w:r w:rsidR="000A0EA8">
        <w:rPr>
          <w:rFonts w:ascii="Arial" w:hAnsi="Arial" w:cs="Arial"/>
          <w:sz w:val="24"/>
          <w:szCs w:val="24"/>
          <w:lang w:val="en-GB" w:eastAsia="en-ZA"/>
        </w:rPr>
        <w:t xml:space="preserve">(Mr Twala”) </w:t>
      </w:r>
      <w:r w:rsidR="003307D1">
        <w:rPr>
          <w:rFonts w:ascii="Arial" w:hAnsi="Arial" w:cs="Arial"/>
          <w:sz w:val="24"/>
          <w:szCs w:val="24"/>
          <w:lang w:val="en-GB" w:eastAsia="en-ZA"/>
        </w:rPr>
        <w:t>on 12 June 2013</w:t>
      </w:r>
      <w:r w:rsidR="00CF18A5" w:rsidRPr="00CC773F">
        <w:rPr>
          <w:rFonts w:ascii="Arial" w:hAnsi="Arial" w:cs="Arial"/>
          <w:sz w:val="24"/>
          <w:szCs w:val="24"/>
          <w:lang w:val="en-GB" w:eastAsia="en-ZA"/>
        </w:rPr>
        <w:t>, Cul</w:t>
      </w:r>
      <w:r w:rsidR="00D552D9">
        <w:rPr>
          <w:rFonts w:ascii="Arial" w:hAnsi="Arial" w:cs="Arial"/>
          <w:sz w:val="24"/>
          <w:szCs w:val="24"/>
          <w:lang w:val="en-GB" w:eastAsia="en-ZA"/>
        </w:rPr>
        <w:t>tiver acquired 80% shareholding</w:t>
      </w:r>
      <w:r w:rsidR="00CF18A5" w:rsidRPr="00CC773F">
        <w:rPr>
          <w:rFonts w:ascii="Arial" w:hAnsi="Arial" w:cs="Arial"/>
          <w:sz w:val="24"/>
          <w:szCs w:val="24"/>
          <w:lang w:val="en-GB" w:eastAsia="en-ZA"/>
        </w:rPr>
        <w:t xml:space="preserve"> </w:t>
      </w:r>
      <w:r w:rsidR="003B4286" w:rsidRPr="00CC773F">
        <w:rPr>
          <w:rFonts w:ascii="Arial" w:hAnsi="Arial" w:cs="Arial"/>
          <w:sz w:val="24"/>
          <w:szCs w:val="24"/>
          <w:lang w:val="en-GB" w:eastAsia="en-ZA"/>
        </w:rPr>
        <w:t>in Mike’s Chicken</w:t>
      </w:r>
      <w:r w:rsidR="00D552D9">
        <w:rPr>
          <w:rFonts w:ascii="Arial" w:hAnsi="Arial" w:cs="Arial"/>
          <w:sz w:val="24"/>
          <w:szCs w:val="24"/>
          <w:lang w:val="en-GB" w:eastAsia="en-ZA"/>
        </w:rPr>
        <w:t>. Its stake was</w:t>
      </w:r>
      <w:r w:rsidR="003B4286" w:rsidRPr="00CC773F">
        <w:rPr>
          <w:rFonts w:ascii="Arial" w:hAnsi="Arial" w:cs="Arial"/>
          <w:sz w:val="24"/>
          <w:szCs w:val="24"/>
          <w:lang w:val="en-GB" w:eastAsia="en-ZA"/>
        </w:rPr>
        <w:t xml:space="preserve"> </w:t>
      </w:r>
      <w:r w:rsidR="00CF18A5" w:rsidRPr="00CC773F">
        <w:rPr>
          <w:rFonts w:ascii="Arial" w:hAnsi="Arial" w:cs="Arial"/>
          <w:sz w:val="24"/>
          <w:szCs w:val="24"/>
          <w:lang w:val="en-GB" w:eastAsia="en-ZA"/>
        </w:rPr>
        <w:t>later increased to 90%</w:t>
      </w:r>
      <w:r w:rsidR="008A7EC4">
        <w:rPr>
          <w:rFonts w:ascii="Arial" w:hAnsi="Arial" w:cs="Arial"/>
          <w:sz w:val="24"/>
          <w:szCs w:val="24"/>
          <w:lang w:val="en-GB" w:eastAsia="en-ZA"/>
        </w:rPr>
        <w:t>. Messrs Nunes and Kirstein</w:t>
      </w:r>
      <w:r w:rsidR="00CF18A5" w:rsidRPr="00CC773F">
        <w:rPr>
          <w:rFonts w:ascii="Arial" w:hAnsi="Arial" w:cs="Arial"/>
          <w:sz w:val="24"/>
          <w:szCs w:val="24"/>
          <w:lang w:val="en-GB" w:eastAsia="en-ZA"/>
        </w:rPr>
        <w:t xml:space="preserve"> retained the remaining </w:t>
      </w:r>
      <w:r w:rsidR="003B4286">
        <w:rPr>
          <w:rFonts w:ascii="Arial" w:hAnsi="Arial" w:cs="Arial"/>
          <w:sz w:val="24"/>
          <w:szCs w:val="24"/>
          <w:lang w:val="en-GB" w:eastAsia="en-ZA"/>
        </w:rPr>
        <w:t>1</w:t>
      </w:r>
      <w:r w:rsidR="00CF18A5" w:rsidRPr="00CC773F">
        <w:rPr>
          <w:rFonts w:ascii="Arial" w:hAnsi="Arial" w:cs="Arial"/>
          <w:sz w:val="24"/>
          <w:szCs w:val="24"/>
          <w:lang w:val="en-GB" w:eastAsia="en-ZA"/>
        </w:rPr>
        <w:t>0%</w:t>
      </w:r>
      <w:r w:rsidR="003B4286">
        <w:rPr>
          <w:rFonts w:ascii="Arial" w:hAnsi="Arial" w:cs="Arial"/>
          <w:sz w:val="24"/>
          <w:szCs w:val="24"/>
          <w:lang w:val="en-GB" w:eastAsia="en-ZA"/>
        </w:rPr>
        <w:t xml:space="preserve"> shares</w:t>
      </w:r>
      <w:r w:rsidR="003B4286" w:rsidRPr="003B4286">
        <w:rPr>
          <w:rFonts w:ascii="Arial" w:hAnsi="Arial" w:cs="Arial"/>
          <w:sz w:val="24"/>
          <w:szCs w:val="24"/>
          <w:lang w:val="en-GB" w:eastAsia="en-ZA"/>
        </w:rPr>
        <w:t xml:space="preserve"> </w:t>
      </w:r>
      <w:r w:rsidR="003B4286">
        <w:rPr>
          <w:rFonts w:ascii="Arial" w:hAnsi="Arial" w:cs="Arial"/>
          <w:sz w:val="24"/>
          <w:szCs w:val="24"/>
          <w:lang w:val="en-GB" w:eastAsia="en-ZA"/>
        </w:rPr>
        <w:t>each</w:t>
      </w:r>
      <w:r w:rsidR="00CF18A5" w:rsidRPr="00CC773F">
        <w:rPr>
          <w:rFonts w:ascii="Arial" w:hAnsi="Arial" w:cs="Arial"/>
          <w:sz w:val="24"/>
          <w:szCs w:val="24"/>
          <w:lang w:val="en-GB" w:eastAsia="en-ZA"/>
        </w:rPr>
        <w:t xml:space="preserve">, later decreased to </w:t>
      </w:r>
      <w:r w:rsidR="003B4286">
        <w:rPr>
          <w:rFonts w:ascii="Arial" w:hAnsi="Arial" w:cs="Arial"/>
          <w:sz w:val="24"/>
          <w:szCs w:val="24"/>
          <w:lang w:val="en-GB" w:eastAsia="en-ZA"/>
        </w:rPr>
        <w:t>5</w:t>
      </w:r>
      <w:r w:rsidR="00CF18A5" w:rsidRPr="00CC773F">
        <w:rPr>
          <w:rFonts w:ascii="Arial" w:hAnsi="Arial" w:cs="Arial"/>
          <w:sz w:val="24"/>
          <w:szCs w:val="24"/>
          <w:lang w:val="en-GB" w:eastAsia="en-ZA"/>
        </w:rPr>
        <w:t>%</w:t>
      </w:r>
      <w:r w:rsidR="003B4286">
        <w:rPr>
          <w:rFonts w:ascii="Arial" w:hAnsi="Arial" w:cs="Arial"/>
          <w:sz w:val="24"/>
          <w:szCs w:val="24"/>
          <w:lang w:val="en-GB" w:eastAsia="en-ZA"/>
        </w:rPr>
        <w:t>.</w:t>
      </w:r>
      <w:r w:rsidR="00CF18A5" w:rsidRPr="00CC773F">
        <w:rPr>
          <w:rFonts w:ascii="Arial" w:hAnsi="Arial" w:cs="Arial"/>
          <w:sz w:val="24"/>
          <w:szCs w:val="24"/>
          <w:lang w:val="en-GB" w:eastAsia="en-ZA"/>
        </w:rPr>
        <w:t xml:space="preserve"> </w:t>
      </w:r>
      <w:r w:rsidR="003307D1" w:rsidRPr="00CC773F">
        <w:rPr>
          <w:rFonts w:ascii="Arial" w:hAnsi="Arial" w:cs="Arial"/>
          <w:sz w:val="24"/>
          <w:szCs w:val="24"/>
          <w:lang w:val="en-GB" w:eastAsia="en-ZA"/>
        </w:rPr>
        <w:t xml:space="preserve">Subsequently, the Department approved Cultiver as a </w:t>
      </w:r>
      <w:r w:rsidR="003307D1">
        <w:rPr>
          <w:rFonts w:ascii="Arial" w:hAnsi="Arial" w:cs="Arial"/>
          <w:sz w:val="24"/>
          <w:szCs w:val="24"/>
          <w:lang w:val="en-GB" w:eastAsia="en-ZA"/>
        </w:rPr>
        <w:lastRenderedPageBreak/>
        <w:t xml:space="preserve">PLAS </w:t>
      </w:r>
      <w:r w:rsidR="003307D1" w:rsidRPr="00CC773F">
        <w:rPr>
          <w:rFonts w:ascii="Arial" w:hAnsi="Arial" w:cs="Arial"/>
          <w:sz w:val="24"/>
          <w:szCs w:val="24"/>
          <w:lang w:val="en-GB" w:eastAsia="en-ZA"/>
        </w:rPr>
        <w:t>beneficiary and entered into a one-year caretaker agreement with it in respect of the Mike’s Chicken farm.</w:t>
      </w:r>
      <w:r w:rsidR="003307D1">
        <w:rPr>
          <w:rFonts w:ascii="Arial" w:hAnsi="Arial" w:cs="Arial"/>
          <w:sz w:val="24"/>
          <w:szCs w:val="24"/>
          <w:lang w:val="en-GB" w:eastAsia="en-ZA"/>
        </w:rPr>
        <w:t xml:space="preserve"> Cultiver took occupation of </w:t>
      </w:r>
      <w:r w:rsidR="003307D1" w:rsidRPr="00CC773F">
        <w:rPr>
          <w:rFonts w:ascii="Arial" w:hAnsi="Arial" w:cs="Arial"/>
          <w:sz w:val="24"/>
          <w:szCs w:val="24"/>
          <w:lang w:val="en-GB" w:eastAsia="en-ZA"/>
        </w:rPr>
        <w:t>Mike’s Chicken farm</w:t>
      </w:r>
      <w:r w:rsidR="003307D1">
        <w:rPr>
          <w:rFonts w:ascii="Arial" w:hAnsi="Arial" w:cs="Arial"/>
          <w:sz w:val="24"/>
          <w:szCs w:val="24"/>
          <w:lang w:val="en-GB" w:eastAsia="en-ZA"/>
        </w:rPr>
        <w:t xml:space="preserve"> and its operations.</w:t>
      </w:r>
    </w:p>
    <w:p w:rsidR="00CF18A5" w:rsidRPr="00CC773F" w:rsidRDefault="00CF18A5" w:rsidP="00CF18A5">
      <w:pPr>
        <w:pStyle w:val="XClause1Head"/>
        <w:numPr>
          <w:ilvl w:val="0"/>
          <w:numId w:val="0"/>
        </w:numPr>
        <w:rPr>
          <w:rFonts w:ascii="Arial" w:hAnsi="Arial" w:cs="Arial"/>
          <w:sz w:val="24"/>
          <w:szCs w:val="24"/>
          <w:lang w:val="en-GB" w:eastAsia="en-ZA"/>
        </w:rPr>
      </w:pPr>
    </w:p>
    <w:p w:rsidR="003B4286" w:rsidRDefault="00DD26C3" w:rsidP="009A47D4">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[13</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After these events,</w:t>
      </w:r>
      <w:r w:rsidR="00A17A54">
        <w:rPr>
          <w:rFonts w:ascii="Arial" w:hAnsi="Arial" w:cs="Arial"/>
          <w:sz w:val="24"/>
          <w:szCs w:val="24"/>
          <w:lang w:val="en-GB" w:eastAsia="en-ZA"/>
        </w:rPr>
        <w:t xml:space="preserve"> </w:t>
      </w:r>
      <w:r w:rsidR="009A47D4">
        <w:rPr>
          <w:rFonts w:ascii="Arial" w:hAnsi="Arial" w:cs="Arial"/>
          <w:sz w:val="24"/>
          <w:szCs w:val="24"/>
          <w:lang w:val="en-GB" w:eastAsia="en-ZA"/>
        </w:rPr>
        <w:t xml:space="preserve">specifically in February 2014, </w:t>
      </w:r>
      <w:r w:rsidR="00A17A54">
        <w:rPr>
          <w:rFonts w:ascii="Arial" w:hAnsi="Arial" w:cs="Arial"/>
          <w:sz w:val="24"/>
          <w:szCs w:val="24"/>
          <w:lang w:val="en-GB" w:eastAsia="en-ZA"/>
        </w:rPr>
        <w:t>the</w:t>
      </w:r>
      <w:r w:rsidR="009A47D4">
        <w:rPr>
          <w:rFonts w:ascii="Arial" w:hAnsi="Arial" w:cs="Arial"/>
          <w:sz w:val="24"/>
          <w:szCs w:val="24"/>
          <w:lang w:val="en-GB" w:eastAsia="en-ZA"/>
        </w:rPr>
        <w:t xml:space="preserve"> Ministerial Coordinating Committee c</w:t>
      </w:r>
      <w:r w:rsidR="00A17A54">
        <w:rPr>
          <w:rFonts w:ascii="Arial" w:hAnsi="Arial" w:cs="Arial"/>
          <w:sz w:val="24"/>
          <w:szCs w:val="24"/>
          <w:lang w:val="en-GB" w:eastAsia="en-ZA"/>
        </w:rPr>
        <w:t>ommissioned two</w:t>
      </w:r>
      <w:r w:rsidR="00CF18A5" w:rsidRPr="00CC773F">
        <w:rPr>
          <w:rFonts w:ascii="Arial" w:hAnsi="Arial" w:cs="Arial"/>
          <w:sz w:val="24"/>
          <w:szCs w:val="24"/>
          <w:lang w:val="en-GB" w:eastAsia="en-ZA"/>
        </w:rPr>
        <w:t xml:space="preserve"> investigations into the acquisition of Mike’s Chicken and the approval of Cultiver as a PLAS beneficiary. One is an external investigation conducted by Deloitte and Touche. The second is an internal investigation conducted by the Department. The</w:t>
      </w:r>
      <w:r w:rsidR="00A17A54">
        <w:rPr>
          <w:rFonts w:ascii="Arial" w:hAnsi="Arial" w:cs="Arial"/>
          <w:sz w:val="24"/>
          <w:szCs w:val="24"/>
          <w:lang w:val="en-GB" w:eastAsia="en-ZA"/>
        </w:rPr>
        <w:t xml:space="preserve">reafter, the Department commissioned the </w:t>
      </w:r>
      <w:r w:rsidR="00CF18A5" w:rsidRPr="00CC773F">
        <w:rPr>
          <w:rFonts w:ascii="Arial" w:hAnsi="Arial" w:cs="Arial"/>
          <w:sz w:val="24"/>
          <w:szCs w:val="24"/>
          <w:lang w:val="en-GB" w:eastAsia="en-ZA"/>
        </w:rPr>
        <w:t>National Empowerment Fun (“NEF”)</w:t>
      </w:r>
      <w:r w:rsidR="00A17A54">
        <w:rPr>
          <w:rFonts w:ascii="Arial" w:hAnsi="Arial" w:cs="Arial"/>
          <w:sz w:val="24"/>
          <w:szCs w:val="24"/>
          <w:lang w:val="en-GB" w:eastAsia="en-ZA"/>
        </w:rPr>
        <w:t xml:space="preserve"> to conduct a due diligence exercise on Mike’s Chickens</w:t>
      </w:r>
      <w:r w:rsidR="00CF18A5" w:rsidRPr="00CC773F">
        <w:rPr>
          <w:rFonts w:ascii="Arial" w:hAnsi="Arial" w:cs="Arial"/>
          <w:sz w:val="24"/>
          <w:szCs w:val="24"/>
          <w:lang w:val="en-GB" w:eastAsia="en-ZA"/>
        </w:rPr>
        <w:t xml:space="preserve">. </w:t>
      </w:r>
      <w:r>
        <w:rPr>
          <w:rFonts w:ascii="Arial" w:hAnsi="Arial" w:cs="Arial"/>
          <w:sz w:val="24"/>
          <w:szCs w:val="24"/>
          <w:lang w:val="en-GB" w:eastAsia="en-ZA"/>
        </w:rPr>
        <w:t xml:space="preserve">Cultiver had applied for grant funding for Mike’s Chicken’s operations. The due diligence </w:t>
      </w:r>
      <w:r w:rsidR="00134211">
        <w:rPr>
          <w:rFonts w:ascii="Arial" w:hAnsi="Arial" w:cs="Arial"/>
          <w:sz w:val="24"/>
          <w:szCs w:val="24"/>
          <w:lang w:val="en-GB" w:eastAsia="en-ZA"/>
        </w:rPr>
        <w:t xml:space="preserve">exercise </w:t>
      </w:r>
      <w:r>
        <w:rPr>
          <w:rFonts w:ascii="Arial" w:hAnsi="Arial" w:cs="Arial"/>
          <w:sz w:val="24"/>
          <w:szCs w:val="24"/>
          <w:lang w:val="en-GB" w:eastAsia="en-ZA"/>
        </w:rPr>
        <w:t xml:space="preserve">would assist the Department to determine whether it should approve Cultiver’s request for grant funding. </w:t>
      </w:r>
      <w:r w:rsidR="009A47D4" w:rsidRPr="00CC773F">
        <w:rPr>
          <w:rFonts w:ascii="Arial" w:hAnsi="Arial" w:cs="Arial"/>
          <w:sz w:val="24"/>
          <w:szCs w:val="24"/>
          <w:lang w:val="en-GB" w:eastAsia="en-ZA"/>
        </w:rPr>
        <w:t xml:space="preserve">At the time, Minister </w:t>
      </w:r>
      <w:r w:rsidR="009A47D4">
        <w:rPr>
          <w:rFonts w:ascii="Arial" w:hAnsi="Arial" w:cs="Arial"/>
          <w:sz w:val="24"/>
          <w:szCs w:val="24"/>
          <w:lang w:val="en-GB" w:eastAsia="en-ZA"/>
        </w:rPr>
        <w:t xml:space="preserve">Gugile </w:t>
      </w:r>
      <w:r w:rsidR="009A47D4" w:rsidRPr="00CC773F">
        <w:rPr>
          <w:rFonts w:ascii="Arial" w:hAnsi="Arial" w:cs="Arial"/>
          <w:sz w:val="24"/>
          <w:szCs w:val="24"/>
          <w:lang w:val="en-GB" w:eastAsia="en-ZA"/>
        </w:rPr>
        <w:t>Nkwinti</w:t>
      </w:r>
      <w:r w:rsidR="009A47D4">
        <w:rPr>
          <w:rFonts w:ascii="Arial" w:hAnsi="Arial" w:cs="Arial"/>
          <w:sz w:val="24"/>
          <w:szCs w:val="24"/>
          <w:lang w:val="en-GB" w:eastAsia="en-ZA"/>
        </w:rPr>
        <w:t xml:space="preserve"> (“Minister Nkwinti”) </w:t>
      </w:r>
      <w:r w:rsidR="009A47D4" w:rsidRPr="00CC773F">
        <w:rPr>
          <w:rFonts w:ascii="Arial" w:hAnsi="Arial" w:cs="Arial"/>
          <w:sz w:val="24"/>
          <w:szCs w:val="24"/>
          <w:lang w:val="en-GB" w:eastAsia="en-ZA"/>
        </w:rPr>
        <w:t>was the Department’s incumbent Minister.</w:t>
      </w:r>
    </w:p>
    <w:p w:rsidR="003B4286" w:rsidRDefault="003B4286" w:rsidP="00273C95">
      <w:pPr>
        <w:pStyle w:val="XClause1Head"/>
        <w:numPr>
          <w:ilvl w:val="0"/>
          <w:numId w:val="0"/>
        </w:numPr>
        <w:spacing w:before="0"/>
        <w:rPr>
          <w:rFonts w:ascii="Arial" w:hAnsi="Arial" w:cs="Arial"/>
          <w:sz w:val="24"/>
          <w:szCs w:val="24"/>
          <w:lang w:val="en-GB" w:eastAsia="en-ZA"/>
        </w:rPr>
      </w:pPr>
    </w:p>
    <w:p w:rsidR="00CF18A5" w:rsidRDefault="003B4286"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[14]</w:t>
      </w:r>
      <w:r>
        <w:rPr>
          <w:rFonts w:ascii="Arial" w:hAnsi="Arial" w:cs="Arial"/>
          <w:sz w:val="24"/>
          <w:szCs w:val="24"/>
          <w:lang w:val="en-GB" w:eastAsia="en-ZA"/>
        </w:rPr>
        <w:tab/>
      </w:r>
      <w:r w:rsidR="000A0EA8">
        <w:rPr>
          <w:rFonts w:ascii="Arial" w:hAnsi="Arial" w:cs="Arial"/>
          <w:sz w:val="24"/>
          <w:szCs w:val="24"/>
          <w:lang w:val="en-GB" w:eastAsia="en-ZA"/>
        </w:rPr>
        <w:t xml:space="preserve">The investigations </w:t>
      </w:r>
      <w:r w:rsidR="00CF18A5" w:rsidRPr="00CC773F">
        <w:rPr>
          <w:rFonts w:ascii="Arial" w:hAnsi="Arial" w:cs="Arial"/>
          <w:sz w:val="24"/>
          <w:szCs w:val="24"/>
          <w:lang w:val="en-GB" w:eastAsia="en-ZA"/>
        </w:rPr>
        <w:t>Deloitte and the Department</w:t>
      </w:r>
      <w:r w:rsidR="000A0EA8">
        <w:rPr>
          <w:rFonts w:ascii="Arial" w:hAnsi="Arial" w:cs="Arial"/>
          <w:sz w:val="24"/>
          <w:szCs w:val="24"/>
          <w:lang w:val="en-GB" w:eastAsia="en-ZA"/>
        </w:rPr>
        <w:t xml:space="preserve"> conducted </w:t>
      </w:r>
      <w:r w:rsidR="00CF18A5" w:rsidRPr="00CC773F">
        <w:rPr>
          <w:rFonts w:ascii="Arial" w:hAnsi="Arial" w:cs="Arial"/>
          <w:sz w:val="24"/>
          <w:szCs w:val="24"/>
          <w:lang w:val="en-GB" w:eastAsia="en-ZA"/>
        </w:rPr>
        <w:t xml:space="preserve">found irregularities in the acquisition of Mike’s Chicken and the approval of Cultiver as a PLAS beneficiary. </w:t>
      </w:r>
    </w:p>
    <w:p w:rsidR="00CD56CD" w:rsidRPr="00CC773F" w:rsidRDefault="00CD56CD" w:rsidP="00CF18A5">
      <w:pPr>
        <w:pStyle w:val="XClause1Head"/>
        <w:numPr>
          <w:ilvl w:val="0"/>
          <w:numId w:val="0"/>
        </w:numPr>
        <w:rPr>
          <w:rFonts w:ascii="Arial" w:hAnsi="Arial" w:cs="Arial"/>
          <w:sz w:val="24"/>
          <w:szCs w:val="24"/>
          <w:lang w:val="en-GB" w:eastAsia="en-ZA"/>
        </w:rPr>
      </w:pPr>
    </w:p>
    <w:p w:rsidR="00DD26C3" w:rsidRDefault="00DD26C3" w:rsidP="00DD26C3">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w:t>
      </w:r>
      <w:r w:rsidR="00CD56CD">
        <w:rPr>
          <w:rFonts w:ascii="Arial" w:hAnsi="Arial" w:cs="Arial"/>
          <w:sz w:val="24"/>
          <w:szCs w:val="24"/>
          <w:lang w:val="en-GB" w:eastAsia="en-ZA"/>
        </w:rPr>
        <w:t>5</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Pr>
          <w:rFonts w:ascii="Arial" w:hAnsi="Arial" w:cs="Arial"/>
          <w:sz w:val="24"/>
          <w:szCs w:val="24"/>
          <w:lang w:val="en-GB" w:eastAsia="en-ZA"/>
        </w:rPr>
        <w:t>The NEF found that Mike’s Chicken is not a viable enterprise. It made recommendations regarding measure</w:t>
      </w:r>
      <w:r w:rsidR="003307D1">
        <w:rPr>
          <w:rFonts w:ascii="Arial" w:hAnsi="Arial" w:cs="Arial"/>
          <w:sz w:val="24"/>
          <w:szCs w:val="24"/>
          <w:lang w:val="en-GB" w:eastAsia="en-ZA"/>
        </w:rPr>
        <w:t>s</w:t>
      </w:r>
      <w:r>
        <w:rPr>
          <w:rFonts w:ascii="Arial" w:hAnsi="Arial" w:cs="Arial"/>
          <w:sz w:val="24"/>
          <w:szCs w:val="24"/>
          <w:lang w:val="en-GB" w:eastAsia="en-ZA"/>
        </w:rPr>
        <w:t xml:space="preserve"> to be taken to address this.</w:t>
      </w:r>
      <w:r w:rsidRPr="00DD26C3">
        <w:rPr>
          <w:rFonts w:ascii="Arial" w:hAnsi="Arial" w:cs="Arial"/>
          <w:sz w:val="24"/>
          <w:szCs w:val="24"/>
          <w:lang w:val="en-GB" w:eastAsia="en-ZA"/>
        </w:rPr>
        <w:t xml:space="preserve"> </w:t>
      </w:r>
      <w:r w:rsidR="00CD56CD">
        <w:rPr>
          <w:rFonts w:ascii="Arial" w:hAnsi="Arial" w:cs="Arial"/>
          <w:sz w:val="24"/>
          <w:szCs w:val="24"/>
          <w:lang w:val="en-GB" w:eastAsia="en-ZA"/>
        </w:rPr>
        <w:t>As a result, t</w:t>
      </w:r>
      <w:r>
        <w:rPr>
          <w:rFonts w:ascii="Arial" w:hAnsi="Arial" w:cs="Arial"/>
          <w:sz w:val="24"/>
          <w:szCs w:val="24"/>
          <w:lang w:val="en-GB" w:eastAsia="en-ZA"/>
        </w:rPr>
        <w:t>he Department</w:t>
      </w:r>
      <w:r w:rsidR="00CD56CD">
        <w:rPr>
          <w:rFonts w:ascii="Arial" w:hAnsi="Arial" w:cs="Arial"/>
          <w:sz w:val="24"/>
          <w:szCs w:val="24"/>
          <w:lang w:val="en-GB" w:eastAsia="en-ZA"/>
        </w:rPr>
        <w:t xml:space="preserve"> </w:t>
      </w:r>
      <w:r>
        <w:rPr>
          <w:rFonts w:ascii="Arial" w:hAnsi="Arial" w:cs="Arial"/>
          <w:sz w:val="24"/>
          <w:szCs w:val="24"/>
          <w:lang w:val="en-GB" w:eastAsia="en-ZA"/>
        </w:rPr>
        <w:t>declined Cultiver’s</w:t>
      </w:r>
      <w:r w:rsidRPr="00CC773F">
        <w:rPr>
          <w:rFonts w:ascii="Arial" w:hAnsi="Arial" w:cs="Arial"/>
          <w:sz w:val="24"/>
          <w:szCs w:val="24"/>
          <w:lang w:val="en-GB" w:eastAsia="en-ZA"/>
        </w:rPr>
        <w:t xml:space="preserve"> application for grant funding.</w:t>
      </w:r>
      <w:r>
        <w:rPr>
          <w:rFonts w:ascii="Arial" w:hAnsi="Arial" w:cs="Arial"/>
          <w:sz w:val="24"/>
          <w:szCs w:val="24"/>
          <w:lang w:val="en-GB" w:eastAsia="en-ZA"/>
        </w:rPr>
        <w:t xml:space="preserve"> </w:t>
      </w:r>
      <w:r w:rsidRPr="00CC773F">
        <w:rPr>
          <w:rFonts w:ascii="Arial" w:hAnsi="Arial" w:cs="Arial"/>
          <w:sz w:val="24"/>
          <w:szCs w:val="24"/>
          <w:lang w:val="en-GB" w:eastAsia="en-ZA"/>
        </w:rPr>
        <w:t>In the meantime, the caretaker agreement expired. The Department refused to enter into a long term lease agreement with Cultiver.</w:t>
      </w:r>
      <w:r w:rsidR="003307D1">
        <w:rPr>
          <w:rFonts w:ascii="Arial" w:hAnsi="Arial" w:cs="Arial"/>
          <w:sz w:val="24"/>
          <w:szCs w:val="24"/>
          <w:lang w:val="en-GB" w:eastAsia="en-ZA"/>
        </w:rPr>
        <w:t xml:space="preserve"> Cultiver went into business rescue.</w:t>
      </w:r>
    </w:p>
    <w:p w:rsidR="00DD26C3" w:rsidRDefault="00DD26C3" w:rsidP="009A47D4">
      <w:pPr>
        <w:pStyle w:val="XClause1Head"/>
        <w:numPr>
          <w:ilvl w:val="0"/>
          <w:numId w:val="0"/>
        </w:numPr>
        <w:spacing w:after="0"/>
        <w:rPr>
          <w:rFonts w:ascii="Arial" w:hAnsi="Arial" w:cs="Arial"/>
          <w:sz w:val="24"/>
          <w:szCs w:val="24"/>
          <w:lang w:val="en-GB" w:eastAsia="en-ZA"/>
        </w:rPr>
      </w:pPr>
    </w:p>
    <w:p w:rsidR="009A47D4" w:rsidRDefault="00DD26C3" w:rsidP="009A47D4">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w:t>
      </w:r>
      <w:r w:rsidR="00CD56CD">
        <w:rPr>
          <w:rFonts w:ascii="Arial" w:hAnsi="Arial" w:cs="Arial"/>
          <w:sz w:val="24"/>
          <w:szCs w:val="24"/>
          <w:lang w:val="en-GB" w:eastAsia="en-ZA"/>
        </w:rPr>
        <w:t>6</w:t>
      </w:r>
      <w:r>
        <w:rPr>
          <w:rFonts w:ascii="Arial" w:hAnsi="Arial" w:cs="Arial"/>
          <w:sz w:val="24"/>
          <w:szCs w:val="24"/>
          <w:lang w:val="en-GB" w:eastAsia="en-ZA"/>
        </w:rPr>
        <w:t>]</w:t>
      </w:r>
      <w:r>
        <w:rPr>
          <w:rFonts w:ascii="Arial" w:hAnsi="Arial" w:cs="Arial"/>
          <w:sz w:val="24"/>
          <w:szCs w:val="24"/>
          <w:lang w:val="en-GB" w:eastAsia="en-ZA"/>
        </w:rPr>
        <w:tab/>
      </w:r>
      <w:r w:rsidR="00CF18A5" w:rsidRPr="00CC773F">
        <w:rPr>
          <w:rFonts w:ascii="Arial" w:hAnsi="Arial" w:cs="Arial"/>
          <w:sz w:val="24"/>
          <w:szCs w:val="24"/>
          <w:lang w:val="en-GB" w:eastAsia="en-ZA"/>
        </w:rPr>
        <w:t>In January 2017, Cultiver</w:t>
      </w:r>
      <w:r w:rsidR="003307D1">
        <w:rPr>
          <w:rFonts w:ascii="Arial" w:hAnsi="Arial" w:cs="Arial"/>
          <w:sz w:val="24"/>
          <w:szCs w:val="24"/>
          <w:lang w:val="en-GB" w:eastAsia="en-ZA"/>
        </w:rPr>
        <w:t>, its business rescue practitioner</w:t>
      </w:r>
      <w:r w:rsidR="00CF18A5" w:rsidRPr="00CC773F">
        <w:rPr>
          <w:rFonts w:ascii="Arial" w:hAnsi="Arial" w:cs="Arial"/>
          <w:sz w:val="24"/>
          <w:szCs w:val="24"/>
          <w:lang w:val="en-GB" w:eastAsia="en-ZA"/>
        </w:rPr>
        <w:t xml:space="preserve"> and Mike’s Chicken instituted an urgent application to compel the Department to extend PLAS benefits to Cultiver. The Department o</w:t>
      </w:r>
      <w:r w:rsidR="009A47D4">
        <w:rPr>
          <w:rFonts w:ascii="Arial" w:hAnsi="Arial" w:cs="Arial"/>
          <w:sz w:val="24"/>
          <w:szCs w:val="24"/>
          <w:lang w:val="en-GB" w:eastAsia="en-ZA"/>
        </w:rPr>
        <w:t xml:space="preserve">pposed the application on the basis of the findings from the Deloitte, Department’s and NEF investigations. </w:t>
      </w:r>
    </w:p>
    <w:p w:rsidR="00CF18A5" w:rsidRPr="00CC773F" w:rsidRDefault="00DD26C3" w:rsidP="00CF18A5">
      <w:pPr>
        <w:pStyle w:val="p1"/>
        <w:spacing w:before="0" w:beforeAutospacing="0" w:after="0" w:afterAutospacing="0" w:line="360" w:lineRule="auto"/>
        <w:jc w:val="both"/>
        <w:rPr>
          <w:rStyle w:val="s1"/>
          <w:rFonts w:ascii="Arial" w:hAnsi="Arial" w:cs="Arial"/>
          <w:color w:val="000000"/>
        </w:rPr>
      </w:pPr>
      <w:r>
        <w:rPr>
          <w:rStyle w:val="s1"/>
          <w:rFonts w:ascii="Arial" w:hAnsi="Arial" w:cs="Arial"/>
          <w:color w:val="000000"/>
        </w:rPr>
        <w:lastRenderedPageBreak/>
        <w:t>[1</w:t>
      </w:r>
      <w:r w:rsidR="009A47D4">
        <w:rPr>
          <w:rStyle w:val="s1"/>
          <w:rFonts w:ascii="Arial" w:hAnsi="Arial" w:cs="Arial"/>
          <w:color w:val="000000"/>
        </w:rPr>
        <w:t>7</w:t>
      </w:r>
      <w:r w:rsidR="00CF18A5" w:rsidRPr="00CC773F">
        <w:rPr>
          <w:rStyle w:val="s1"/>
          <w:rFonts w:ascii="Arial" w:hAnsi="Arial" w:cs="Arial"/>
          <w:color w:val="000000"/>
        </w:rPr>
        <w:t>]</w:t>
      </w:r>
      <w:r w:rsidR="00CF18A5" w:rsidRPr="00CC773F">
        <w:rPr>
          <w:rStyle w:val="s1"/>
          <w:rFonts w:ascii="Arial" w:hAnsi="Arial" w:cs="Arial"/>
          <w:color w:val="000000"/>
        </w:rPr>
        <w:tab/>
        <w:t xml:space="preserve">On </w:t>
      </w:r>
      <w:r w:rsidR="009A47D4">
        <w:rPr>
          <w:rStyle w:val="s1"/>
          <w:rFonts w:ascii="Arial" w:hAnsi="Arial" w:cs="Arial"/>
          <w:color w:val="000000"/>
        </w:rPr>
        <w:t xml:space="preserve">24 July 2017, Proclamation R.24 </w:t>
      </w:r>
      <w:r w:rsidR="00D6009F">
        <w:rPr>
          <w:rStyle w:val="s1"/>
          <w:rFonts w:ascii="Arial" w:hAnsi="Arial" w:cs="Arial"/>
          <w:color w:val="000000"/>
        </w:rPr>
        <w:t>w</w:t>
      </w:r>
      <w:r w:rsidR="00CF18A5" w:rsidRPr="00CC773F">
        <w:rPr>
          <w:rStyle w:val="s1"/>
          <w:rFonts w:ascii="Arial" w:hAnsi="Arial" w:cs="Arial"/>
          <w:color w:val="000000"/>
        </w:rPr>
        <w:t>as published, authorising the S</w:t>
      </w:r>
      <w:r w:rsidR="00F90339">
        <w:rPr>
          <w:rStyle w:val="s1"/>
          <w:rFonts w:ascii="Arial" w:hAnsi="Arial" w:cs="Arial"/>
          <w:color w:val="000000"/>
        </w:rPr>
        <w:t>IU</w:t>
      </w:r>
      <w:r w:rsidR="00CF18A5" w:rsidRPr="00CC773F">
        <w:rPr>
          <w:rStyle w:val="s1"/>
          <w:rFonts w:ascii="Arial" w:hAnsi="Arial" w:cs="Arial"/>
          <w:color w:val="000000"/>
        </w:rPr>
        <w:t xml:space="preserve"> to investigate the affairs of the Department including the acquisition of Mike</w:t>
      </w:r>
      <w:r w:rsidR="00F90339">
        <w:rPr>
          <w:rStyle w:val="s1"/>
          <w:rFonts w:ascii="Arial" w:hAnsi="Arial" w:cs="Arial"/>
          <w:color w:val="000000"/>
        </w:rPr>
        <w:t>’</w:t>
      </w:r>
      <w:r w:rsidR="00CF18A5" w:rsidRPr="00CC773F">
        <w:rPr>
          <w:rStyle w:val="s1"/>
          <w:rFonts w:ascii="Arial" w:hAnsi="Arial" w:cs="Arial"/>
          <w:color w:val="000000"/>
        </w:rPr>
        <w:t xml:space="preserve">s Chicken and the selection of </w:t>
      </w:r>
      <w:r w:rsidR="003307D1">
        <w:rPr>
          <w:rStyle w:val="s1"/>
          <w:rFonts w:ascii="Arial" w:hAnsi="Arial" w:cs="Arial"/>
          <w:color w:val="000000"/>
        </w:rPr>
        <w:t xml:space="preserve">its </w:t>
      </w:r>
      <w:r w:rsidR="00CF18A5" w:rsidRPr="00CC773F">
        <w:rPr>
          <w:rStyle w:val="s1"/>
          <w:rFonts w:ascii="Arial" w:hAnsi="Arial" w:cs="Arial"/>
          <w:color w:val="000000"/>
        </w:rPr>
        <w:t>beneficiaries and partners under the PLAS program</w:t>
      </w:r>
      <w:r w:rsidR="00D6009F">
        <w:rPr>
          <w:rStyle w:val="s1"/>
          <w:rFonts w:ascii="Arial" w:hAnsi="Arial" w:cs="Arial"/>
          <w:color w:val="000000"/>
        </w:rPr>
        <w:t>me</w:t>
      </w:r>
      <w:r w:rsidR="00CF18A5" w:rsidRPr="00CC773F">
        <w:rPr>
          <w:rStyle w:val="s1"/>
          <w:rFonts w:ascii="Arial" w:hAnsi="Arial" w:cs="Arial"/>
          <w:color w:val="000000"/>
        </w:rPr>
        <w:t xml:space="preserve">. </w:t>
      </w:r>
    </w:p>
    <w:p w:rsidR="00CF18A5" w:rsidRPr="00CC773F" w:rsidRDefault="00CF18A5" w:rsidP="00CF18A5">
      <w:pPr>
        <w:pStyle w:val="p1"/>
        <w:spacing w:before="0" w:beforeAutospacing="0" w:after="0" w:afterAutospacing="0" w:line="360" w:lineRule="auto"/>
        <w:jc w:val="both"/>
        <w:rPr>
          <w:rStyle w:val="s1"/>
          <w:rFonts w:ascii="Arial" w:hAnsi="Arial" w:cs="Arial"/>
          <w:color w:val="000000"/>
        </w:rPr>
      </w:pPr>
    </w:p>
    <w:p w:rsidR="00CF18A5"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w:t>
      </w:r>
      <w:r w:rsidR="009A47D4">
        <w:rPr>
          <w:rFonts w:ascii="Arial" w:hAnsi="Arial" w:cs="Arial"/>
          <w:sz w:val="24"/>
          <w:szCs w:val="24"/>
          <w:lang w:val="en-GB" w:eastAsia="en-ZA"/>
        </w:rPr>
        <w:t>8</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Pr>
          <w:rFonts w:ascii="Arial" w:hAnsi="Arial" w:cs="Arial"/>
          <w:sz w:val="24"/>
          <w:szCs w:val="24"/>
          <w:lang w:val="en-GB" w:eastAsia="en-ZA"/>
        </w:rPr>
        <w:t>I</w:t>
      </w:r>
      <w:r w:rsidR="00CF18A5" w:rsidRPr="00CC773F">
        <w:rPr>
          <w:rFonts w:ascii="Arial" w:hAnsi="Arial" w:cs="Arial"/>
          <w:sz w:val="24"/>
          <w:szCs w:val="24"/>
          <w:lang w:val="en-GB" w:eastAsia="en-ZA"/>
        </w:rPr>
        <w:t xml:space="preserve">n February 2018, Minister Nkoana-Mashabane replaced Minister Nkwinti. </w:t>
      </w:r>
      <w:r w:rsidR="00273C95">
        <w:rPr>
          <w:rFonts w:ascii="Arial" w:hAnsi="Arial" w:cs="Arial"/>
          <w:sz w:val="24"/>
          <w:szCs w:val="24"/>
          <w:lang w:val="en-GB" w:eastAsia="en-ZA"/>
        </w:rPr>
        <w:t xml:space="preserve">During 2018, the </w:t>
      </w:r>
      <w:r w:rsidR="00D6009F">
        <w:rPr>
          <w:rFonts w:ascii="Arial" w:hAnsi="Arial" w:cs="Arial"/>
          <w:sz w:val="24"/>
          <w:szCs w:val="24"/>
          <w:lang w:val="en-GB" w:eastAsia="en-ZA"/>
        </w:rPr>
        <w:t xml:space="preserve">Polokwane </w:t>
      </w:r>
      <w:r w:rsidR="00273C95">
        <w:rPr>
          <w:rFonts w:ascii="Arial" w:hAnsi="Arial" w:cs="Arial"/>
          <w:sz w:val="24"/>
          <w:szCs w:val="24"/>
          <w:lang w:val="en-GB" w:eastAsia="en-ZA"/>
        </w:rPr>
        <w:t xml:space="preserve">application which at that point had become a fully ventilated application, </w:t>
      </w:r>
      <w:r w:rsidR="00273C95" w:rsidRPr="00CC773F">
        <w:rPr>
          <w:rFonts w:ascii="Arial" w:hAnsi="Arial" w:cs="Arial"/>
          <w:sz w:val="24"/>
          <w:szCs w:val="24"/>
          <w:lang w:val="en-GB" w:eastAsia="en-ZA"/>
        </w:rPr>
        <w:t>was referred to oral evidence.</w:t>
      </w:r>
      <w:r w:rsidR="00273C95">
        <w:rPr>
          <w:rFonts w:ascii="Arial" w:hAnsi="Arial" w:cs="Arial"/>
          <w:sz w:val="24"/>
          <w:szCs w:val="24"/>
          <w:lang w:val="en-GB" w:eastAsia="en-ZA"/>
        </w:rPr>
        <w:t xml:space="preserve"> </w:t>
      </w:r>
      <w:r w:rsidR="0091549F">
        <w:rPr>
          <w:rFonts w:ascii="Arial" w:hAnsi="Arial" w:cs="Arial"/>
          <w:sz w:val="24"/>
          <w:szCs w:val="24"/>
          <w:lang w:val="en-GB" w:eastAsia="en-ZA"/>
        </w:rPr>
        <w:t xml:space="preserve">In August 2018, </w:t>
      </w:r>
      <w:r w:rsidR="00CD56CD">
        <w:rPr>
          <w:rFonts w:ascii="Arial" w:hAnsi="Arial" w:cs="Arial"/>
          <w:sz w:val="24"/>
          <w:szCs w:val="24"/>
          <w:lang w:val="en-GB" w:eastAsia="en-ZA"/>
        </w:rPr>
        <w:t xml:space="preserve">Cultiver’s Mr Twala addressed a letter to </w:t>
      </w:r>
      <w:r w:rsidR="00CD56CD" w:rsidRPr="00CC773F">
        <w:rPr>
          <w:rFonts w:ascii="Arial" w:hAnsi="Arial" w:cs="Arial"/>
          <w:sz w:val="24"/>
          <w:szCs w:val="24"/>
          <w:lang w:val="en-GB" w:eastAsia="en-ZA"/>
        </w:rPr>
        <w:t xml:space="preserve">Minister Nkoana-Mashabane </w:t>
      </w:r>
      <w:r w:rsidR="00CD56CD">
        <w:rPr>
          <w:rFonts w:ascii="Arial" w:hAnsi="Arial" w:cs="Arial"/>
          <w:sz w:val="24"/>
          <w:szCs w:val="24"/>
          <w:lang w:val="en-GB" w:eastAsia="en-ZA"/>
        </w:rPr>
        <w:t>to intervene in its dispute with the Department. He tendered to withdraw the Polokwane application if the Department entered into a long term lea</w:t>
      </w:r>
      <w:r w:rsidR="00D6009F">
        <w:rPr>
          <w:rFonts w:ascii="Arial" w:hAnsi="Arial" w:cs="Arial"/>
          <w:sz w:val="24"/>
          <w:szCs w:val="24"/>
          <w:lang w:val="en-GB" w:eastAsia="en-ZA"/>
        </w:rPr>
        <w:t xml:space="preserve">se with Cultiver. Subsequently and before the Polokwane application was heard, </w:t>
      </w:r>
      <w:r w:rsidR="00CD56CD" w:rsidRPr="00CC773F">
        <w:rPr>
          <w:rFonts w:ascii="Arial" w:hAnsi="Arial" w:cs="Arial"/>
          <w:sz w:val="24"/>
          <w:szCs w:val="24"/>
          <w:lang w:val="en-GB" w:eastAsia="en-ZA"/>
        </w:rPr>
        <w:t xml:space="preserve">Minister Nkoana-Mashabane </w:t>
      </w:r>
      <w:r w:rsidR="00273C95">
        <w:rPr>
          <w:rFonts w:ascii="Arial" w:hAnsi="Arial" w:cs="Arial"/>
          <w:sz w:val="24"/>
          <w:szCs w:val="24"/>
          <w:lang w:val="en-GB" w:eastAsia="en-ZA"/>
        </w:rPr>
        <w:t xml:space="preserve">took the second decision, </w:t>
      </w:r>
      <w:r w:rsidR="00CF18A5" w:rsidRPr="00CC773F">
        <w:rPr>
          <w:rFonts w:ascii="Arial" w:hAnsi="Arial" w:cs="Arial"/>
          <w:sz w:val="24"/>
          <w:szCs w:val="24"/>
          <w:lang w:val="en-GB" w:eastAsia="en-ZA"/>
        </w:rPr>
        <w:t>instruct</w:t>
      </w:r>
      <w:r w:rsidR="00273C95">
        <w:rPr>
          <w:rFonts w:ascii="Arial" w:hAnsi="Arial" w:cs="Arial"/>
          <w:sz w:val="24"/>
          <w:szCs w:val="24"/>
          <w:lang w:val="en-GB" w:eastAsia="en-ZA"/>
        </w:rPr>
        <w:t xml:space="preserve">ing </w:t>
      </w:r>
      <w:r w:rsidR="00CF18A5" w:rsidRPr="00CC773F">
        <w:rPr>
          <w:rFonts w:ascii="Arial" w:hAnsi="Arial" w:cs="Arial"/>
          <w:sz w:val="24"/>
          <w:szCs w:val="24"/>
          <w:lang w:val="en-GB" w:eastAsia="en-ZA"/>
        </w:rPr>
        <w:t>the Department to withdraw its opposition of the Polokwane application and regularise the lease between the Department and Cultiver.</w:t>
      </w:r>
      <w:r w:rsidR="0091549F">
        <w:rPr>
          <w:rFonts w:ascii="Arial" w:hAnsi="Arial" w:cs="Arial"/>
          <w:sz w:val="24"/>
          <w:szCs w:val="24"/>
          <w:lang w:val="en-GB" w:eastAsia="en-ZA"/>
        </w:rPr>
        <w:t xml:space="preserve"> </w:t>
      </w:r>
    </w:p>
    <w:p w:rsidR="00D6009F" w:rsidRPr="00CC773F" w:rsidRDefault="00D6009F" w:rsidP="00CF18A5">
      <w:pPr>
        <w:pStyle w:val="XClause1Head"/>
        <w:numPr>
          <w:ilvl w:val="0"/>
          <w:numId w:val="0"/>
        </w:numPr>
        <w:rPr>
          <w:rFonts w:ascii="Arial" w:hAnsi="Arial" w:cs="Arial"/>
          <w:sz w:val="24"/>
          <w:szCs w:val="24"/>
          <w:lang w:val="en-GB" w:eastAsia="en-ZA"/>
        </w:rPr>
      </w:pPr>
    </w:p>
    <w:p w:rsidR="00CF18A5"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[1</w:t>
      </w:r>
      <w:r w:rsidR="00CD56CD">
        <w:rPr>
          <w:rFonts w:ascii="Arial" w:hAnsi="Arial" w:cs="Arial"/>
          <w:sz w:val="24"/>
          <w:szCs w:val="24"/>
          <w:lang w:val="en-GB" w:eastAsia="en-ZA"/>
        </w:rPr>
        <w:t>9</w:t>
      </w:r>
      <w:r>
        <w:rPr>
          <w:rFonts w:ascii="Arial" w:hAnsi="Arial" w:cs="Arial"/>
          <w:sz w:val="24"/>
          <w:szCs w:val="24"/>
          <w:lang w:val="en-GB" w:eastAsia="en-ZA"/>
        </w:rPr>
        <w:t>]</w:t>
      </w:r>
      <w:r>
        <w:rPr>
          <w:rFonts w:ascii="Arial" w:hAnsi="Arial" w:cs="Arial"/>
          <w:sz w:val="24"/>
          <w:szCs w:val="24"/>
          <w:lang w:val="en-GB" w:eastAsia="en-ZA"/>
        </w:rPr>
        <w:tab/>
        <w:t>On 11 January 2019</w:t>
      </w:r>
      <w:r w:rsidR="00CF18A5" w:rsidRPr="00CC773F">
        <w:rPr>
          <w:rFonts w:ascii="Arial" w:hAnsi="Arial" w:cs="Arial"/>
          <w:sz w:val="24"/>
          <w:szCs w:val="24"/>
          <w:lang w:val="en-GB" w:eastAsia="en-ZA"/>
        </w:rPr>
        <w:t xml:space="preserve">, the Department concluded </w:t>
      </w:r>
      <w:r w:rsidR="00134211">
        <w:rPr>
          <w:rFonts w:ascii="Arial" w:hAnsi="Arial" w:cs="Arial"/>
          <w:sz w:val="24"/>
          <w:szCs w:val="24"/>
          <w:lang w:val="en-GB" w:eastAsia="en-ZA"/>
        </w:rPr>
        <w:t xml:space="preserve">the impugned </w:t>
      </w:r>
      <w:r w:rsidR="00CF18A5" w:rsidRPr="00CC773F">
        <w:rPr>
          <w:rFonts w:ascii="Arial" w:hAnsi="Arial" w:cs="Arial"/>
          <w:sz w:val="24"/>
          <w:szCs w:val="24"/>
          <w:lang w:val="en-GB" w:eastAsia="en-ZA"/>
        </w:rPr>
        <w:t>lease agreement with Cultiver.</w:t>
      </w:r>
    </w:p>
    <w:p w:rsidR="00D6009F" w:rsidRDefault="00D6009F" w:rsidP="00CF18A5">
      <w:pPr>
        <w:pStyle w:val="XClause1Head"/>
        <w:numPr>
          <w:ilvl w:val="0"/>
          <w:numId w:val="0"/>
        </w:numPr>
        <w:rPr>
          <w:rFonts w:ascii="Arial" w:hAnsi="Arial" w:cs="Arial"/>
          <w:sz w:val="24"/>
          <w:szCs w:val="24"/>
          <w:lang w:val="en-GB" w:eastAsia="en-ZA"/>
        </w:rPr>
      </w:pPr>
    </w:p>
    <w:p w:rsidR="003307D1" w:rsidRPr="00CC773F" w:rsidRDefault="003307D1"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[20]</w:t>
      </w:r>
      <w:r>
        <w:rPr>
          <w:rFonts w:ascii="Arial" w:hAnsi="Arial" w:cs="Arial"/>
          <w:sz w:val="24"/>
          <w:szCs w:val="24"/>
          <w:lang w:val="en-GB" w:eastAsia="en-ZA"/>
        </w:rPr>
        <w:tab/>
        <w:t xml:space="preserve">In March 2019, the SIU learnt of the developments described in paragraphs </w:t>
      </w:r>
      <w:r w:rsidR="002811F9">
        <w:rPr>
          <w:rFonts w:ascii="Arial" w:hAnsi="Arial" w:cs="Arial"/>
          <w:sz w:val="24"/>
          <w:szCs w:val="24"/>
          <w:lang w:val="en-GB" w:eastAsia="en-ZA"/>
        </w:rPr>
        <w:t>18 and 19 above. After investigating the circumstances under which the impugned decisions were made, the SIU instituted the present application in November 2019.</w:t>
      </w:r>
    </w:p>
    <w:p w:rsidR="001D409C" w:rsidRPr="00CC773F" w:rsidRDefault="001D409C" w:rsidP="00CF18A5">
      <w:pPr>
        <w:pStyle w:val="XClause1Head"/>
        <w:numPr>
          <w:ilvl w:val="0"/>
          <w:numId w:val="0"/>
        </w:numPr>
        <w:rPr>
          <w:rStyle w:val="s1"/>
          <w:rFonts w:ascii="Arial" w:hAnsi="Arial" w:cs="Arial"/>
          <w:color w:val="000000"/>
          <w:sz w:val="24"/>
          <w:szCs w:val="24"/>
        </w:rPr>
      </w:pPr>
    </w:p>
    <w:p w:rsidR="00CF18A5" w:rsidRPr="00CC773F" w:rsidRDefault="00CF18A5" w:rsidP="00CF18A5">
      <w:pPr>
        <w:pStyle w:val="XClause1Head"/>
        <w:numPr>
          <w:ilvl w:val="0"/>
          <w:numId w:val="0"/>
        </w:numPr>
        <w:rPr>
          <w:rFonts w:ascii="Arial" w:hAnsi="Arial" w:cs="Arial"/>
          <w:b/>
          <w:sz w:val="24"/>
          <w:szCs w:val="24"/>
          <w:lang w:val="en-GB" w:eastAsia="en-ZA"/>
        </w:rPr>
      </w:pPr>
      <w:r w:rsidRPr="00CC773F">
        <w:rPr>
          <w:rFonts w:ascii="Arial" w:hAnsi="Arial" w:cs="Arial"/>
          <w:b/>
          <w:sz w:val="24"/>
          <w:szCs w:val="24"/>
          <w:lang w:val="en-GB" w:eastAsia="en-ZA"/>
        </w:rPr>
        <w:t>REGULATORY FRAMEWORK</w:t>
      </w:r>
    </w:p>
    <w:p w:rsidR="00CF18A5" w:rsidRPr="00CC773F"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w:t>
      </w:r>
      <w:r w:rsidR="002811F9">
        <w:rPr>
          <w:rFonts w:ascii="Arial" w:hAnsi="Arial" w:cs="Arial"/>
          <w:sz w:val="24"/>
          <w:szCs w:val="24"/>
          <w:lang w:val="en-GB" w:eastAsia="en-ZA"/>
        </w:rPr>
        <w:t>21</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The SIU relies on the regulatory framework set out below.</w:t>
      </w:r>
    </w:p>
    <w:p w:rsidR="00CF18A5" w:rsidRPr="00CC773F" w:rsidRDefault="00CF18A5" w:rsidP="00CF18A5">
      <w:pPr>
        <w:pStyle w:val="XClause1Head"/>
        <w:numPr>
          <w:ilvl w:val="0"/>
          <w:numId w:val="0"/>
        </w:numPr>
        <w:rPr>
          <w:rFonts w:ascii="Arial" w:hAnsi="Arial" w:cs="Arial"/>
          <w:sz w:val="24"/>
          <w:szCs w:val="24"/>
          <w:lang w:val="en-GB" w:eastAsia="en-ZA"/>
        </w:rPr>
      </w:pPr>
    </w:p>
    <w:p w:rsidR="00C8325D" w:rsidRDefault="00DD26C3"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w:t>
      </w:r>
      <w:r w:rsidR="002811F9">
        <w:rPr>
          <w:rFonts w:ascii="Arial" w:hAnsi="Arial" w:cs="Arial"/>
          <w:sz w:val="24"/>
          <w:szCs w:val="24"/>
          <w:lang w:val="en-GB" w:eastAsia="en-ZA"/>
        </w:rPr>
        <w:t>2</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S 10 of the Provision of Land Assistance (“PLAS”) Act</w:t>
      </w:r>
      <w:r w:rsidR="00CF18A5" w:rsidRPr="00CC773F">
        <w:rPr>
          <w:rStyle w:val="FootnoteReference"/>
          <w:rFonts w:ascii="Arial" w:hAnsi="Arial"/>
          <w:sz w:val="24"/>
          <w:lang w:val="en-GB" w:eastAsia="en-ZA"/>
        </w:rPr>
        <w:footnoteReference w:id="9"/>
      </w:r>
      <w:r w:rsidR="00CF18A5" w:rsidRPr="00CC773F">
        <w:rPr>
          <w:rFonts w:ascii="Arial" w:hAnsi="Arial" w:cs="Arial"/>
          <w:sz w:val="24"/>
          <w:szCs w:val="24"/>
          <w:lang w:val="en-GB" w:eastAsia="en-ZA"/>
        </w:rPr>
        <w:t xml:space="preserve"> provides as follows: </w:t>
      </w:r>
    </w:p>
    <w:p w:rsidR="00CF18A5" w:rsidRPr="00CC773F" w:rsidRDefault="00CF18A5" w:rsidP="009103B0">
      <w:pPr>
        <w:pStyle w:val="XClause1Head"/>
        <w:numPr>
          <w:ilvl w:val="0"/>
          <w:numId w:val="0"/>
        </w:numPr>
        <w:rPr>
          <w:rFonts w:ascii="Arial" w:hAnsi="Arial" w:cs="Arial"/>
          <w:b/>
          <w:bCs/>
          <w:sz w:val="24"/>
          <w:szCs w:val="24"/>
        </w:rPr>
      </w:pPr>
      <w:r w:rsidRPr="00CC773F">
        <w:rPr>
          <w:rFonts w:ascii="Arial" w:hAnsi="Arial" w:cs="Arial"/>
          <w:b/>
          <w:bCs/>
          <w:sz w:val="24"/>
          <w:szCs w:val="24"/>
        </w:rPr>
        <w:lastRenderedPageBreak/>
        <w:t>“Provision of property for land reform purposes</w:t>
      </w:r>
    </w:p>
    <w:bookmarkStart w:id="1" w:name="0-0-0-427099"/>
    <w:bookmarkEnd w:id="1"/>
    <w:p w:rsidR="00CF18A5" w:rsidRPr="00CC773F" w:rsidRDefault="00CF18A5" w:rsidP="00CF18A5">
      <w:pPr>
        <w:jc w:val="both"/>
        <w:rPr>
          <w:rFonts w:ascii="Arial" w:hAnsi="Arial" w:cs="Arial"/>
          <w:sz w:val="24"/>
          <w:szCs w:val="24"/>
        </w:rPr>
      </w:pPr>
      <w:r w:rsidRPr="00CC773F">
        <w:rPr>
          <w:rFonts w:ascii="Arial" w:hAnsi="Arial" w:cs="Arial"/>
          <w:sz w:val="24"/>
          <w:szCs w:val="24"/>
        </w:rPr>
        <w:fldChar w:fldCharType="begin"/>
      </w:r>
      <w:r w:rsidRPr="00CC773F">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126y1993s10(1)%27%5d&amp;xhitlist_md=target-id=0-0-0-427101" \t "main" </w:instrText>
      </w:r>
      <w:r w:rsidRPr="00CC773F">
        <w:rPr>
          <w:rFonts w:ascii="Arial" w:hAnsi="Arial" w:cs="Arial"/>
          <w:sz w:val="24"/>
          <w:szCs w:val="24"/>
        </w:rPr>
        <w:fldChar w:fldCharType="separate"/>
      </w:r>
      <w:r w:rsidRPr="00CC773F">
        <w:rPr>
          <w:rStyle w:val="Hyperlink"/>
          <w:rFonts w:ascii="Arial" w:hAnsi="Arial" w:cs="Arial"/>
          <w:sz w:val="24"/>
          <w:szCs w:val="24"/>
        </w:rPr>
        <w:t>(1)</w:t>
      </w:r>
      <w:r w:rsidRPr="00CC773F">
        <w:rPr>
          <w:rFonts w:ascii="Arial" w:hAnsi="Arial" w:cs="Arial"/>
          <w:sz w:val="24"/>
          <w:szCs w:val="24"/>
        </w:rPr>
        <w:fldChar w:fldCharType="end"/>
      </w:r>
      <w:r w:rsidRPr="00CC773F">
        <w:rPr>
          <w:rFonts w:ascii="Arial" w:hAnsi="Arial" w:cs="Arial"/>
          <w:sz w:val="24"/>
          <w:szCs w:val="24"/>
        </w:rPr>
        <w:t> The Minister may, from money appropriated by Parliament for the purpose of this Act-</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 w:name="0-0-0-427103"/>
      <w:bookmarkEnd w:id="2"/>
      <w:r w:rsidRPr="00CC773F">
        <w:rPr>
          <w:rFonts w:ascii="Arial" w:hAnsi="Arial" w:cs="Arial"/>
          <w:i/>
          <w:iCs/>
          <w:sz w:val="24"/>
          <w:szCs w:val="24"/>
        </w:rPr>
        <w:t>(a)</w:t>
      </w:r>
      <w:r w:rsidRPr="00CC773F">
        <w:rPr>
          <w:rFonts w:ascii="Arial" w:hAnsi="Arial" w:cs="Arial"/>
          <w:sz w:val="24"/>
          <w:szCs w:val="24"/>
        </w:rPr>
        <w:t>   acquire property; and</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3" w:name="0-0-0-427105"/>
      <w:bookmarkEnd w:id="3"/>
      <w:r w:rsidRPr="00CC773F">
        <w:rPr>
          <w:rFonts w:ascii="Arial" w:hAnsi="Arial" w:cs="Arial"/>
          <w:i/>
          <w:iCs/>
          <w:sz w:val="24"/>
          <w:szCs w:val="24"/>
        </w:rPr>
        <w:t>(b)</w:t>
      </w:r>
      <w:r w:rsidRPr="00CC773F">
        <w:rPr>
          <w:rFonts w:ascii="Arial" w:hAnsi="Arial" w:cs="Arial"/>
          <w:sz w:val="24"/>
          <w:szCs w:val="24"/>
        </w:rPr>
        <w:t>   on such conditions as he or she may determine-</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4" w:name="0-0-0-427107"/>
      <w:bookmarkEnd w:id="4"/>
      <w:r w:rsidRPr="00CC773F">
        <w:rPr>
          <w:rFonts w:ascii="Arial" w:hAnsi="Arial" w:cs="Arial"/>
          <w:sz w:val="24"/>
          <w:szCs w:val="24"/>
        </w:rPr>
        <w:t>(i)   make available state land administered or controlled by him or her or made available to him or her;</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5" w:name="0-0-0-427109"/>
      <w:bookmarkEnd w:id="5"/>
      <w:r w:rsidRPr="00CC773F">
        <w:rPr>
          <w:rFonts w:ascii="Arial" w:hAnsi="Arial" w:cs="Arial"/>
          <w:sz w:val="24"/>
          <w:szCs w:val="24"/>
        </w:rPr>
        <w:t>(ii)   maintain, plan, develop or improve property or cause such maintenance, planning, development or improvement to be conducted by a person or body with whom or which he or she has concluded a written agreement for that purpose;</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6" w:name="0-0-0-427111"/>
      <w:bookmarkEnd w:id="6"/>
      <w:r w:rsidRPr="00CC773F">
        <w:rPr>
          <w:rFonts w:ascii="Arial" w:hAnsi="Arial" w:cs="Arial"/>
          <w:sz w:val="24"/>
          <w:szCs w:val="24"/>
        </w:rPr>
        <w:t>(iii)   provide financial assistance by way of an advance, subsidy, grant or otherwise to any person for the acquisition, maintenance, planning, development or improvement of property and for capacity building, skills development, training and empowerment; or</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7" w:name="0-0-0-427113"/>
      <w:bookmarkEnd w:id="7"/>
      <w:r w:rsidRPr="00CC773F">
        <w:rPr>
          <w:rFonts w:ascii="Arial" w:hAnsi="Arial" w:cs="Arial"/>
          <w:sz w:val="24"/>
          <w:szCs w:val="24"/>
        </w:rPr>
        <w:t>(iv)   in writing authorise the transfer of funds to-</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8" w:name="0-0-0-427115"/>
      <w:bookmarkEnd w:id="8"/>
      <w:r w:rsidRPr="00CC773F">
        <w:rPr>
          <w:rFonts w:ascii="Arial" w:hAnsi="Arial" w:cs="Arial"/>
          <w:i/>
          <w:iCs/>
          <w:sz w:val="24"/>
          <w:szCs w:val="24"/>
        </w:rPr>
        <w:t>(aa)</w:t>
      </w:r>
      <w:r w:rsidRPr="00CC773F">
        <w:rPr>
          <w:rFonts w:ascii="Arial" w:hAnsi="Arial" w:cs="Arial"/>
          <w:sz w:val="24"/>
          <w:szCs w:val="24"/>
        </w:rPr>
        <w:t> a provincial government;</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9" w:name="0-0-0-427117"/>
      <w:bookmarkEnd w:id="9"/>
      <w:r w:rsidRPr="00CC773F">
        <w:rPr>
          <w:rFonts w:ascii="Arial" w:hAnsi="Arial" w:cs="Arial"/>
          <w:i/>
          <w:iCs/>
          <w:sz w:val="24"/>
          <w:szCs w:val="24"/>
        </w:rPr>
        <w:t>(bb)</w:t>
      </w:r>
      <w:r w:rsidRPr="00CC773F">
        <w:rPr>
          <w:rFonts w:ascii="Arial" w:hAnsi="Arial" w:cs="Arial"/>
          <w:sz w:val="24"/>
          <w:szCs w:val="24"/>
        </w:rPr>
        <w:t> a municipality;</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0" w:name="0-0-0-427119"/>
      <w:bookmarkEnd w:id="10"/>
      <w:r w:rsidRPr="00CC773F">
        <w:rPr>
          <w:rFonts w:ascii="Arial" w:hAnsi="Arial" w:cs="Arial"/>
          <w:i/>
          <w:iCs/>
          <w:sz w:val="24"/>
          <w:szCs w:val="24"/>
        </w:rPr>
        <w:t>(cc)</w:t>
      </w:r>
      <w:r w:rsidRPr="00CC773F">
        <w:rPr>
          <w:rFonts w:ascii="Arial" w:hAnsi="Arial" w:cs="Arial"/>
          <w:sz w:val="24"/>
          <w:szCs w:val="24"/>
        </w:rPr>
        <w:t>   any other organ of state; or</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1" w:name="0-0-0-427121"/>
      <w:bookmarkEnd w:id="11"/>
      <w:r w:rsidRPr="00CC773F">
        <w:rPr>
          <w:rFonts w:ascii="Arial" w:hAnsi="Arial" w:cs="Arial"/>
          <w:i/>
          <w:iCs/>
          <w:sz w:val="24"/>
          <w:szCs w:val="24"/>
        </w:rPr>
        <w:t>(did)</w:t>
      </w:r>
      <w:r w:rsidRPr="00CC773F">
        <w:rPr>
          <w:rFonts w:ascii="Arial" w:hAnsi="Arial" w:cs="Arial"/>
          <w:sz w:val="24"/>
          <w:szCs w:val="24"/>
        </w:rPr>
        <w:t> any other person or body recognised by the Minister for such purposes,</w:t>
      </w:r>
    </w:p>
    <w:p w:rsidR="00CF18A5" w:rsidRPr="00CC773F" w:rsidRDefault="00CF18A5" w:rsidP="00CF18A5">
      <w:pPr>
        <w:jc w:val="both"/>
        <w:rPr>
          <w:rFonts w:ascii="Arial" w:hAnsi="Arial" w:cs="Arial"/>
          <w:sz w:val="24"/>
          <w:szCs w:val="24"/>
        </w:rPr>
      </w:pPr>
      <w:r w:rsidRPr="00CC773F">
        <w:rPr>
          <w:rFonts w:ascii="Arial" w:hAnsi="Arial" w:cs="Arial"/>
          <w:sz w:val="24"/>
          <w:szCs w:val="24"/>
        </w:rPr>
        <w:t>which he or she considers suitable for the achievement of the objects of this Act, whether in general, in cases of a particular nature or in specific cases.</w:t>
      </w:r>
    </w:p>
    <w:p w:rsidR="00CF18A5" w:rsidRPr="00CC773F" w:rsidRDefault="00CF18A5" w:rsidP="00CF18A5">
      <w:pPr>
        <w:jc w:val="both"/>
        <w:rPr>
          <w:rFonts w:ascii="Arial" w:hAnsi="Arial" w:cs="Arial"/>
          <w:sz w:val="24"/>
          <w:szCs w:val="24"/>
        </w:rPr>
      </w:pPr>
      <w:bookmarkStart w:id="12" w:name="0-0-0-427123"/>
      <w:bookmarkStart w:id="13" w:name="0-0-0-427133"/>
      <w:bookmarkStart w:id="14" w:name="0-0-0-427143"/>
      <w:bookmarkEnd w:id="12"/>
      <w:bookmarkEnd w:id="13"/>
      <w:bookmarkEnd w:id="14"/>
    </w:p>
    <w:p w:rsidR="00CF18A5" w:rsidRPr="00CC773F" w:rsidRDefault="00DD26C3" w:rsidP="00CF18A5">
      <w:pPr>
        <w:jc w:val="both"/>
        <w:rPr>
          <w:rFonts w:ascii="Arial" w:hAnsi="Arial" w:cs="Arial"/>
          <w:sz w:val="24"/>
          <w:szCs w:val="24"/>
        </w:rPr>
      </w:pPr>
      <w:r>
        <w:rPr>
          <w:rFonts w:ascii="Arial" w:hAnsi="Arial" w:cs="Arial"/>
          <w:sz w:val="24"/>
          <w:szCs w:val="24"/>
        </w:rPr>
        <w:t>[2</w:t>
      </w:r>
      <w:r w:rsidR="002811F9">
        <w:rPr>
          <w:rFonts w:ascii="Arial" w:hAnsi="Arial" w:cs="Arial"/>
          <w:sz w:val="24"/>
          <w:szCs w:val="24"/>
        </w:rPr>
        <w:t>3</w:t>
      </w:r>
      <w:r w:rsidR="00CF18A5" w:rsidRPr="00CC773F">
        <w:rPr>
          <w:rFonts w:ascii="Arial" w:hAnsi="Arial" w:cs="Arial"/>
          <w:sz w:val="24"/>
          <w:szCs w:val="24"/>
        </w:rPr>
        <w:t xml:space="preserve">]    S 15(1)(a) and (b) of the PLAS Act provides as follows:  </w:t>
      </w:r>
    </w:p>
    <w:p w:rsidR="00CF18A5" w:rsidRPr="00CC773F" w:rsidRDefault="00CF18A5" w:rsidP="00CF18A5">
      <w:pPr>
        <w:jc w:val="both"/>
        <w:rPr>
          <w:rFonts w:ascii="Arial" w:hAnsi="Arial" w:cs="Arial"/>
          <w:sz w:val="24"/>
          <w:szCs w:val="24"/>
        </w:rPr>
      </w:pPr>
      <w:r w:rsidRPr="00CC773F">
        <w:rPr>
          <w:rFonts w:ascii="Arial" w:hAnsi="Arial" w:cs="Arial"/>
          <w:sz w:val="24"/>
          <w:szCs w:val="24"/>
        </w:rPr>
        <w:t>“15 Delegation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(1) The Minister may, on such conditions as he or she may determine-</w:t>
      </w:r>
    </w:p>
    <w:p w:rsidR="00CF18A5" w:rsidRPr="00CC773F" w:rsidRDefault="00CF18A5" w:rsidP="00CF18A5">
      <w:pPr>
        <w:jc w:val="both"/>
        <w:rPr>
          <w:rFonts w:ascii="Arial" w:hAnsi="Arial" w:cs="Arial"/>
          <w:sz w:val="24"/>
          <w:szCs w:val="24"/>
        </w:rPr>
      </w:pPr>
      <w:r w:rsidRPr="00CC773F">
        <w:rPr>
          <w:rFonts w:ascii="Arial" w:hAnsi="Arial" w:cs="Arial"/>
          <w:sz w:val="24"/>
          <w:szCs w:val="24"/>
        </w:rPr>
        <w:t xml:space="preserve">   (a)   delegate to any officer in the Department of Rural Development and Land Reform any power conferred upon the Minister by this Act, except the power under section 14 to make regulations;</w:t>
      </w:r>
    </w:p>
    <w:p w:rsidR="00CF18A5" w:rsidRPr="00CC773F" w:rsidRDefault="00CF18A5" w:rsidP="00CF18A5">
      <w:pPr>
        <w:jc w:val="both"/>
        <w:rPr>
          <w:rFonts w:ascii="Arial" w:hAnsi="Arial" w:cs="Arial"/>
          <w:sz w:val="24"/>
          <w:szCs w:val="24"/>
        </w:rPr>
      </w:pPr>
      <w:r w:rsidRPr="00CC773F">
        <w:rPr>
          <w:rFonts w:ascii="Arial" w:hAnsi="Arial" w:cs="Arial"/>
          <w:sz w:val="24"/>
          <w:szCs w:val="24"/>
        </w:rPr>
        <w:t>(b) authorise any such officer to perform any duty imposed upon the Minister by this Act</w:t>
      </w:r>
    </w:p>
    <w:p w:rsidR="00CF18A5" w:rsidRPr="00CC773F" w:rsidRDefault="00CF18A5" w:rsidP="00CF18A5">
      <w:pPr>
        <w:jc w:val="both"/>
        <w:rPr>
          <w:rFonts w:ascii="Arial" w:hAnsi="Arial" w:cs="Arial"/>
          <w:sz w:val="24"/>
          <w:szCs w:val="24"/>
        </w:rPr>
      </w:pPr>
    </w:p>
    <w:p w:rsidR="00CF18A5" w:rsidRPr="00CC773F" w:rsidRDefault="00DD26C3" w:rsidP="004F347A">
      <w:pPr>
        <w:spacing w:line="360" w:lineRule="auto"/>
        <w:jc w:val="both"/>
        <w:rPr>
          <w:rFonts w:ascii="Arial" w:hAnsi="Arial" w:cs="Arial"/>
          <w:sz w:val="24"/>
          <w:szCs w:val="24"/>
        </w:rPr>
      </w:pPr>
      <w:r>
        <w:rPr>
          <w:rFonts w:ascii="Arial" w:hAnsi="Arial" w:cs="Arial"/>
          <w:sz w:val="24"/>
          <w:szCs w:val="24"/>
        </w:rPr>
        <w:lastRenderedPageBreak/>
        <w:t>[2</w:t>
      </w:r>
      <w:r w:rsidR="002811F9">
        <w:rPr>
          <w:rFonts w:ascii="Arial" w:hAnsi="Arial" w:cs="Arial"/>
          <w:sz w:val="24"/>
          <w:szCs w:val="24"/>
        </w:rPr>
        <w:t>4</w:t>
      </w:r>
      <w:r w:rsidR="00CF18A5" w:rsidRPr="00CC773F">
        <w:rPr>
          <w:rFonts w:ascii="Arial" w:hAnsi="Arial" w:cs="Arial"/>
          <w:sz w:val="24"/>
          <w:szCs w:val="24"/>
        </w:rPr>
        <w:t>]</w:t>
      </w:r>
      <w:r w:rsidR="00CF18A5" w:rsidRPr="00CC773F">
        <w:rPr>
          <w:rFonts w:ascii="Arial" w:hAnsi="Arial" w:cs="Arial"/>
          <w:sz w:val="24"/>
          <w:szCs w:val="24"/>
        </w:rPr>
        <w:tab/>
      </w:r>
      <w:r w:rsidR="00CF18A5" w:rsidRPr="00D34AAC">
        <w:rPr>
          <w:rFonts w:ascii="Arial" w:hAnsi="Arial" w:cs="Arial"/>
          <w:sz w:val="24"/>
          <w:szCs w:val="24"/>
        </w:rPr>
        <w:t>In terms</w:t>
      </w:r>
      <w:r w:rsidR="002811F9" w:rsidRPr="00D34AAC">
        <w:rPr>
          <w:rFonts w:ascii="Arial" w:hAnsi="Arial" w:cs="Arial"/>
          <w:sz w:val="24"/>
          <w:szCs w:val="24"/>
        </w:rPr>
        <w:t xml:space="preserve"> of the Delegation of Authority Minister</w:t>
      </w:r>
      <w:r w:rsidR="002811F9">
        <w:rPr>
          <w:rFonts w:ascii="Arial" w:hAnsi="Arial" w:cs="Arial"/>
          <w:sz w:val="24"/>
          <w:szCs w:val="24"/>
        </w:rPr>
        <w:t xml:space="preserve"> Nkoana-Mashabane signed on 23 July 2018, </w:t>
      </w:r>
      <w:r w:rsidR="00D34AAC">
        <w:rPr>
          <w:rFonts w:ascii="Arial" w:hAnsi="Arial" w:cs="Arial"/>
          <w:sz w:val="24"/>
          <w:szCs w:val="24"/>
        </w:rPr>
        <w:t xml:space="preserve">delegated certain powers she enjoys in terms of the PLAS Act to specified departmental officials and structures. </w:t>
      </w:r>
    </w:p>
    <w:p w:rsidR="00CF18A5" w:rsidRPr="00CC773F" w:rsidRDefault="00CF18A5" w:rsidP="00CF18A5">
      <w:pPr>
        <w:jc w:val="both"/>
        <w:rPr>
          <w:rFonts w:ascii="Arial" w:hAnsi="Arial" w:cs="Arial"/>
          <w:sz w:val="24"/>
          <w:szCs w:val="24"/>
        </w:rPr>
      </w:pPr>
    </w:p>
    <w:p w:rsidR="00CF18A5" w:rsidRPr="00CC773F" w:rsidRDefault="00DD26C3" w:rsidP="004F347A">
      <w:pPr>
        <w:spacing w:line="360" w:lineRule="auto"/>
        <w:jc w:val="both"/>
        <w:rPr>
          <w:rFonts w:ascii="Arial" w:hAnsi="Arial" w:cs="Arial"/>
          <w:sz w:val="24"/>
          <w:szCs w:val="24"/>
        </w:rPr>
      </w:pPr>
      <w:r>
        <w:rPr>
          <w:rFonts w:ascii="Arial" w:hAnsi="Arial" w:cs="Arial"/>
          <w:sz w:val="24"/>
          <w:szCs w:val="24"/>
        </w:rPr>
        <w:t>[2</w:t>
      </w:r>
      <w:r w:rsidR="00D34AAC">
        <w:rPr>
          <w:rFonts w:ascii="Arial" w:hAnsi="Arial" w:cs="Arial"/>
          <w:sz w:val="24"/>
          <w:szCs w:val="24"/>
        </w:rPr>
        <w:t>5</w:t>
      </w:r>
      <w:r w:rsidR="00CF18A5" w:rsidRPr="00CC773F">
        <w:rPr>
          <w:rFonts w:ascii="Arial" w:hAnsi="Arial" w:cs="Arial"/>
          <w:sz w:val="24"/>
          <w:szCs w:val="24"/>
        </w:rPr>
        <w:t>]     In its preamble, the Public Finance Management Act (“PFMA”) states the objective of the PFMA as follows:</w:t>
      </w:r>
    </w:p>
    <w:p w:rsidR="00CF18A5" w:rsidRPr="00CC773F" w:rsidRDefault="00DD26C3" w:rsidP="00CF18A5">
      <w:pPr>
        <w:jc w:val="both"/>
        <w:rPr>
          <w:rFonts w:ascii="Arial" w:hAnsi="Arial" w:cs="Arial"/>
          <w:sz w:val="24"/>
          <w:szCs w:val="24"/>
        </w:rPr>
      </w:pPr>
      <w:r>
        <w:rPr>
          <w:rFonts w:ascii="Arial" w:hAnsi="Arial" w:cs="Arial"/>
          <w:sz w:val="24"/>
          <w:szCs w:val="24"/>
        </w:rPr>
        <w:t>“</w:t>
      </w:r>
      <w:r w:rsidR="00CF18A5" w:rsidRPr="00CC773F">
        <w:rPr>
          <w:rFonts w:ascii="Arial" w:hAnsi="Arial" w:cs="Arial"/>
          <w:sz w:val="24"/>
          <w:szCs w:val="24"/>
        </w:rPr>
        <w:t>To regulate financial management in the national government and provincial governments; to ensure that all revenue, expenditure, assets and liabilities of those governments are managed efficiently and effectively; to provide for the responsibilities of persons entrusted with financial management in those governments; and to provide for matters connected therewith.</w:t>
      </w:r>
      <w:r>
        <w:rPr>
          <w:rFonts w:ascii="Arial" w:hAnsi="Arial" w:cs="Arial"/>
          <w:sz w:val="24"/>
          <w:szCs w:val="24"/>
        </w:rPr>
        <w:t>”</w:t>
      </w:r>
    </w:p>
    <w:p w:rsidR="00CF18A5" w:rsidRPr="00CC773F" w:rsidRDefault="00CF18A5" w:rsidP="00CF18A5">
      <w:pPr>
        <w:jc w:val="both"/>
        <w:rPr>
          <w:rFonts w:ascii="Arial" w:hAnsi="Arial" w:cs="Arial"/>
          <w:sz w:val="24"/>
          <w:szCs w:val="24"/>
        </w:rPr>
      </w:pPr>
    </w:p>
    <w:p w:rsidR="00CF18A5" w:rsidRPr="00CC773F" w:rsidRDefault="00DD26C3" w:rsidP="00CF18A5">
      <w:pPr>
        <w:jc w:val="both"/>
        <w:rPr>
          <w:rFonts w:ascii="Arial" w:hAnsi="Arial" w:cs="Arial"/>
          <w:sz w:val="24"/>
          <w:szCs w:val="24"/>
        </w:rPr>
      </w:pPr>
      <w:r>
        <w:rPr>
          <w:rFonts w:ascii="Arial" w:hAnsi="Arial" w:cs="Arial"/>
          <w:sz w:val="24"/>
          <w:szCs w:val="24"/>
        </w:rPr>
        <w:t>[2</w:t>
      </w:r>
      <w:r w:rsidR="00D34AAC">
        <w:rPr>
          <w:rFonts w:ascii="Arial" w:hAnsi="Arial" w:cs="Arial"/>
          <w:sz w:val="24"/>
          <w:szCs w:val="24"/>
        </w:rPr>
        <w:t>6</w:t>
      </w:r>
      <w:r w:rsidR="00CF18A5" w:rsidRPr="00CC773F">
        <w:rPr>
          <w:rFonts w:ascii="Arial" w:hAnsi="Arial" w:cs="Arial"/>
          <w:sz w:val="24"/>
          <w:szCs w:val="24"/>
        </w:rPr>
        <w:t>]    The SIU specifically relies on the following provisions of the PFMA:</w:t>
      </w:r>
    </w:p>
    <w:p w:rsidR="00CF18A5" w:rsidRPr="00CC773F" w:rsidRDefault="00CF18A5" w:rsidP="00CF18A5">
      <w:pPr>
        <w:jc w:val="both"/>
        <w:rPr>
          <w:rFonts w:ascii="Arial" w:hAnsi="Arial" w:cs="Arial"/>
          <w:b/>
          <w:bCs/>
          <w:sz w:val="24"/>
          <w:szCs w:val="24"/>
        </w:rPr>
      </w:pPr>
      <w:r w:rsidRPr="00CC773F">
        <w:rPr>
          <w:rFonts w:ascii="Arial" w:hAnsi="Arial" w:cs="Arial"/>
          <w:sz w:val="24"/>
          <w:szCs w:val="24"/>
        </w:rPr>
        <w:t xml:space="preserve">“S38 </w:t>
      </w:r>
      <w:r w:rsidRPr="00CC773F">
        <w:rPr>
          <w:rFonts w:ascii="Arial" w:hAnsi="Arial" w:cs="Arial"/>
          <w:b/>
          <w:bCs/>
          <w:sz w:val="24"/>
          <w:szCs w:val="24"/>
        </w:rPr>
        <w:t>General responsibilities of accounting officers</w:t>
      </w:r>
    </w:p>
    <w:p w:rsidR="00CF18A5" w:rsidRPr="00CC773F" w:rsidRDefault="00CF18A5" w:rsidP="00CF18A5">
      <w:pPr>
        <w:jc w:val="both"/>
        <w:rPr>
          <w:rFonts w:ascii="Arial" w:hAnsi="Arial" w:cs="Arial"/>
          <w:sz w:val="24"/>
          <w:szCs w:val="24"/>
        </w:rPr>
      </w:pPr>
      <w:bookmarkStart w:id="15" w:name="0-0-0-479625"/>
      <w:bookmarkEnd w:id="15"/>
      <w:r w:rsidRPr="00CC773F">
        <w:rPr>
          <w:rFonts w:ascii="Arial" w:hAnsi="Arial" w:cs="Arial"/>
          <w:sz w:val="24"/>
          <w:szCs w:val="24"/>
        </w:rPr>
        <w:t>(1) The accounting officer for a department, trading entity or constitutional institution-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6" w:name="0-0-0-479627"/>
      <w:bookmarkEnd w:id="16"/>
      <w:r w:rsidRPr="00CC773F">
        <w:rPr>
          <w:rFonts w:ascii="Arial" w:hAnsi="Arial" w:cs="Arial"/>
          <w:i/>
          <w:iCs/>
          <w:sz w:val="24"/>
          <w:szCs w:val="24"/>
        </w:rPr>
        <w:t>(a)</w:t>
      </w:r>
      <w:r w:rsidRPr="00CC773F">
        <w:rPr>
          <w:rFonts w:ascii="Arial" w:hAnsi="Arial" w:cs="Arial"/>
          <w:sz w:val="24"/>
          <w:szCs w:val="24"/>
        </w:rPr>
        <w:t>   must ensure that that department, trading entity or constitutional institution has and maintains-</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7" w:name="0-0-0-479629"/>
      <w:bookmarkEnd w:id="17"/>
      <w:r w:rsidRPr="00CC773F">
        <w:rPr>
          <w:rFonts w:ascii="Arial" w:hAnsi="Arial" w:cs="Arial"/>
          <w:sz w:val="24"/>
          <w:szCs w:val="24"/>
        </w:rPr>
        <w:t>(i)   effective, efficient and transparent systems of financial and risk management and internal control;</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8" w:name="0-0-0-479631"/>
      <w:bookmarkEnd w:id="18"/>
      <w:r w:rsidRPr="00CC773F">
        <w:rPr>
          <w:rFonts w:ascii="Arial" w:hAnsi="Arial" w:cs="Arial"/>
          <w:sz w:val="24"/>
          <w:szCs w:val="24"/>
        </w:rPr>
        <w:t>(ii)   a system of internal audit under the control and direction of an audit committee complying with and operating in accordance with regulations and instructions prescribed in terms of sections 76 and 77;</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19" w:name="0-0-0-479633"/>
      <w:bookmarkEnd w:id="19"/>
      <w:r w:rsidRPr="00CC773F">
        <w:rPr>
          <w:rFonts w:ascii="Arial" w:hAnsi="Arial" w:cs="Arial"/>
          <w:sz w:val="24"/>
          <w:szCs w:val="24"/>
        </w:rPr>
        <w:fldChar w:fldCharType="begin"/>
      </w:r>
      <w:r w:rsidRPr="00CC773F">
        <w:rPr>
          <w:rFonts w:ascii="Arial" w:hAnsi="Arial" w:cs="Arial"/>
          <w:sz w:val="24"/>
          <w:szCs w:val="24"/>
        </w:rPr>
        <w:instrText xml:space="preserve"> HYPERLINK "https://jutastat.juta.co.za/nxt/foliolinks.asp?f=xhitlist&amp;xhitlist_x=Advanced&amp;xhitlist_vpc=first&amp;xhitlist_xsl=querylink.xsl&amp;xhitlist_sel=title;path;content-type;home-title&amp;xhitlist_d=%7bstatreg%7d&amp;xhitlist_q=%5bfield%20folio-destination-name:%27LJC_a1y1999s38(1)(a)(iii)%27%5d&amp;xhitlist_md=target-id=0-0-0-479635" \t "main" </w:instrText>
      </w:r>
      <w:r w:rsidRPr="00CC773F">
        <w:rPr>
          <w:rFonts w:ascii="Arial" w:hAnsi="Arial" w:cs="Arial"/>
          <w:sz w:val="24"/>
          <w:szCs w:val="24"/>
        </w:rPr>
        <w:fldChar w:fldCharType="separate"/>
      </w:r>
      <w:r w:rsidRPr="00CC773F">
        <w:rPr>
          <w:rStyle w:val="Hyperlink"/>
          <w:rFonts w:ascii="Arial" w:hAnsi="Arial" w:cs="Arial"/>
          <w:sz w:val="24"/>
          <w:szCs w:val="24"/>
        </w:rPr>
        <w:t>(iii)</w:t>
      </w:r>
      <w:r w:rsidRPr="00CC773F">
        <w:rPr>
          <w:rFonts w:ascii="Arial" w:hAnsi="Arial" w:cs="Arial"/>
          <w:sz w:val="24"/>
          <w:szCs w:val="24"/>
        </w:rPr>
        <w:fldChar w:fldCharType="end"/>
      </w:r>
      <w:r w:rsidRPr="00CC773F">
        <w:rPr>
          <w:rFonts w:ascii="Arial" w:hAnsi="Arial" w:cs="Arial"/>
          <w:sz w:val="24"/>
          <w:szCs w:val="24"/>
        </w:rPr>
        <w:t>   an appropriate procurement and provisioning system which is fair, equitable, transparent, competitive and cost-effective;</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0" w:name="0-0-0-479637"/>
      <w:bookmarkEnd w:id="20"/>
      <w:r w:rsidRPr="00CC773F">
        <w:rPr>
          <w:rFonts w:ascii="Arial" w:hAnsi="Arial" w:cs="Arial"/>
          <w:sz w:val="24"/>
          <w:szCs w:val="24"/>
        </w:rPr>
        <w:t>(iv)   a system for properly evaluating all major capital projects prior to a final decision on the project;</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1" w:name="0-0-0-479639"/>
      <w:bookmarkEnd w:id="21"/>
      <w:r w:rsidRPr="00CC773F">
        <w:rPr>
          <w:rFonts w:ascii="Arial" w:hAnsi="Arial" w:cs="Arial"/>
          <w:i/>
          <w:iCs/>
          <w:sz w:val="24"/>
          <w:szCs w:val="24"/>
        </w:rPr>
        <w:t>(b)</w:t>
      </w:r>
      <w:r w:rsidRPr="00CC773F">
        <w:rPr>
          <w:rFonts w:ascii="Arial" w:hAnsi="Arial" w:cs="Arial"/>
          <w:sz w:val="24"/>
          <w:szCs w:val="24"/>
        </w:rPr>
        <w:t>   is responsible for the effective, efficient, economical and transparent use of the resources of the department, trading entity or constitutional institution;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2" w:name="0-0-0-479641"/>
      <w:bookmarkEnd w:id="22"/>
      <w:r w:rsidRPr="00CC773F">
        <w:rPr>
          <w:rFonts w:ascii="Arial" w:hAnsi="Arial" w:cs="Arial"/>
          <w:i/>
          <w:iCs/>
          <w:sz w:val="24"/>
          <w:szCs w:val="24"/>
        </w:rPr>
        <w:t>(c)</w:t>
      </w:r>
      <w:r w:rsidRPr="00CC773F">
        <w:rPr>
          <w:rFonts w:ascii="Arial" w:hAnsi="Arial" w:cs="Arial"/>
          <w:sz w:val="24"/>
          <w:szCs w:val="24"/>
        </w:rPr>
        <w:t>   must take effective and appropriate steps to-</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3" w:name="0-0-0-479643"/>
      <w:bookmarkEnd w:id="23"/>
      <w:r w:rsidRPr="00CC773F">
        <w:rPr>
          <w:rFonts w:ascii="Arial" w:hAnsi="Arial" w:cs="Arial"/>
          <w:sz w:val="24"/>
          <w:szCs w:val="24"/>
        </w:rPr>
        <w:t>(i)   collect all money due to the department, trading entity or constitutional institution;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4" w:name="0-0-0-479645"/>
      <w:bookmarkEnd w:id="24"/>
      <w:r w:rsidRPr="00CC773F">
        <w:rPr>
          <w:rFonts w:ascii="Arial" w:hAnsi="Arial" w:cs="Arial"/>
          <w:sz w:val="24"/>
          <w:szCs w:val="24"/>
        </w:rPr>
        <w:t>(ii)   prevent unauthorised, irregular and fruitless and wasteful expenditure and losses resulting from criminal conduct</w:t>
      </w:r>
    </w:p>
    <w:p w:rsidR="00CF18A5" w:rsidRPr="00CC773F" w:rsidRDefault="00CF18A5" w:rsidP="00CF18A5">
      <w:pPr>
        <w:jc w:val="both"/>
        <w:rPr>
          <w:rFonts w:ascii="Arial" w:hAnsi="Arial" w:cs="Arial"/>
          <w:sz w:val="24"/>
          <w:szCs w:val="24"/>
        </w:rPr>
      </w:pPr>
    </w:p>
    <w:p w:rsidR="00CF18A5" w:rsidRPr="00CC773F" w:rsidRDefault="00CF18A5" w:rsidP="00CF18A5">
      <w:pPr>
        <w:jc w:val="both"/>
        <w:rPr>
          <w:rFonts w:ascii="Arial" w:hAnsi="Arial" w:cs="Arial"/>
          <w:b/>
          <w:bCs/>
          <w:sz w:val="24"/>
          <w:szCs w:val="24"/>
        </w:rPr>
      </w:pPr>
      <w:r w:rsidRPr="00CC773F">
        <w:rPr>
          <w:rFonts w:ascii="Arial" w:hAnsi="Arial" w:cs="Arial"/>
          <w:sz w:val="24"/>
          <w:szCs w:val="24"/>
        </w:rPr>
        <w:t xml:space="preserve">“S 45 </w:t>
      </w:r>
      <w:r w:rsidRPr="00CC773F">
        <w:rPr>
          <w:rFonts w:ascii="Arial" w:hAnsi="Arial" w:cs="Arial"/>
          <w:b/>
          <w:bCs/>
          <w:sz w:val="24"/>
          <w:szCs w:val="24"/>
        </w:rPr>
        <w:t>Responsibilities of other officials</w:t>
      </w:r>
    </w:p>
    <w:p w:rsidR="00CF18A5" w:rsidRPr="00CC773F" w:rsidRDefault="00CF18A5" w:rsidP="00CF18A5">
      <w:pPr>
        <w:pStyle w:val="ListParagraph"/>
        <w:numPr>
          <w:ilvl w:val="0"/>
          <w:numId w:val="8"/>
        </w:numPr>
        <w:jc w:val="both"/>
        <w:rPr>
          <w:rFonts w:ascii="Arial" w:hAnsi="Arial" w:cs="Arial"/>
          <w:sz w:val="24"/>
          <w:szCs w:val="24"/>
        </w:rPr>
      </w:pPr>
      <w:r w:rsidRPr="00CC773F">
        <w:rPr>
          <w:rFonts w:ascii="Arial" w:hAnsi="Arial" w:cs="Arial"/>
          <w:sz w:val="24"/>
          <w:szCs w:val="24"/>
        </w:rPr>
        <w:t>An official in a department, trading entity or constitutional institution-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5" w:name="0-0-0-479811"/>
      <w:bookmarkEnd w:id="25"/>
      <w:r w:rsidRPr="00CC773F">
        <w:rPr>
          <w:rFonts w:ascii="Arial" w:hAnsi="Arial" w:cs="Arial"/>
          <w:i/>
          <w:iCs/>
          <w:sz w:val="24"/>
          <w:szCs w:val="24"/>
        </w:rPr>
        <w:t>(a)</w:t>
      </w:r>
      <w:r w:rsidRPr="00CC773F">
        <w:rPr>
          <w:rFonts w:ascii="Arial" w:hAnsi="Arial" w:cs="Arial"/>
          <w:sz w:val="24"/>
          <w:szCs w:val="24"/>
        </w:rPr>
        <w:t>   must ensure that the system of financial management and internal control established for that department, trading entity or constitutional institution is carried out within the area of responsibility of that official;</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6" w:name="0-0-0-479813"/>
      <w:bookmarkEnd w:id="26"/>
      <w:r w:rsidRPr="00CC773F">
        <w:rPr>
          <w:rFonts w:ascii="Arial" w:hAnsi="Arial" w:cs="Arial"/>
          <w:i/>
          <w:iCs/>
          <w:sz w:val="24"/>
          <w:szCs w:val="24"/>
        </w:rPr>
        <w:t>(b)</w:t>
      </w:r>
      <w:r w:rsidRPr="00CC773F">
        <w:rPr>
          <w:rFonts w:ascii="Arial" w:hAnsi="Arial" w:cs="Arial"/>
          <w:sz w:val="24"/>
          <w:szCs w:val="24"/>
        </w:rPr>
        <w:t>   is responsible for the effective, efficient, economical and transparent use of financial and other resources within that official's area of responsibility;</w:t>
      </w:r>
    </w:p>
    <w:p w:rsidR="00CF18A5" w:rsidRPr="00CC773F" w:rsidRDefault="00CF18A5" w:rsidP="00CF18A5">
      <w:pPr>
        <w:jc w:val="both"/>
        <w:rPr>
          <w:rFonts w:ascii="Arial" w:hAnsi="Arial" w:cs="Arial"/>
          <w:sz w:val="24"/>
          <w:szCs w:val="24"/>
        </w:rPr>
      </w:pPr>
      <w:r w:rsidRPr="00CC773F">
        <w:rPr>
          <w:rFonts w:ascii="Arial" w:hAnsi="Arial" w:cs="Arial"/>
          <w:sz w:val="24"/>
          <w:szCs w:val="24"/>
        </w:rPr>
        <w:t>   </w:t>
      </w:r>
      <w:bookmarkStart w:id="27" w:name="0-0-0-479815"/>
      <w:bookmarkEnd w:id="27"/>
      <w:r w:rsidRPr="00CC773F">
        <w:rPr>
          <w:rFonts w:ascii="Arial" w:hAnsi="Arial" w:cs="Arial"/>
          <w:i/>
          <w:iCs/>
          <w:sz w:val="24"/>
          <w:szCs w:val="24"/>
        </w:rPr>
        <w:t>(c)</w:t>
      </w:r>
      <w:r w:rsidRPr="00CC773F">
        <w:rPr>
          <w:rFonts w:ascii="Arial" w:hAnsi="Arial" w:cs="Arial"/>
          <w:sz w:val="24"/>
          <w:szCs w:val="24"/>
        </w:rPr>
        <w:t>   must take effective and appropriate steps to prevent, within that official's area of responsibility, any unauthorised expenditure, irregular expenditure and fruitless and wasteful expenditure and any under collection of revenue due</w:t>
      </w:r>
    </w:p>
    <w:p w:rsidR="00CF18A5" w:rsidRPr="00CC773F" w:rsidRDefault="00CF18A5" w:rsidP="00CF18A5">
      <w:pPr>
        <w:jc w:val="both"/>
        <w:rPr>
          <w:rFonts w:ascii="Arial" w:hAnsi="Arial" w:cs="Arial"/>
          <w:sz w:val="24"/>
          <w:szCs w:val="24"/>
        </w:rPr>
      </w:pPr>
    </w:p>
    <w:p w:rsidR="00CF18A5" w:rsidRPr="00CC773F" w:rsidRDefault="00CF18A5" w:rsidP="00CF18A5">
      <w:pPr>
        <w:jc w:val="both"/>
        <w:rPr>
          <w:rFonts w:ascii="Arial" w:hAnsi="Arial" w:cs="Arial"/>
          <w:sz w:val="24"/>
          <w:szCs w:val="24"/>
        </w:rPr>
      </w:pPr>
      <w:r w:rsidRPr="00CC773F">
        <w:rPr>
          <w:rFonts w:ascii="Arial" w:hAnsi="Arial" w:cs="Arial"/>
          <w:sz w:val="24"/>
          <w:szCs w:val="24"/>
        </w:rPr>
        <w:t xml:space="preserve"> [2</w:t>
      </w:r>
      <w:r w:rsidR="00D34AAC">
        <w:rPr>
          <w:rFonts w:ascii="Arial" w:hAnsi="Arial" w:cs="Arial"/>
          <w:sz w:val="24"/>
          <w:szCs w:val="24"/>
        </w:rPr>
        <w:t>7</w:t>
      </w:r>
      <w:r w:rsidRPr="00CC773F">
        <w:rPr>
          <w:rFonts w:ascii="Arial" w:hAnsi="Arial" w:cs="Arial"/>
          <w:sz w:val="24"/>
          <w:szCs w:val="24"/>
        </w:rPr>
        <w:t>]    The SIU relies on the following provisions in the Constitution:</w:t>
      </w:r>
    </w:p>
    <w:p w:rsidR="00CF18A5" w:rsidRPr="00CC773F" w:rsidRDefault="00CF18A5" w:rsidP="00CF18A5">
      <w:pPr>
        <w:jc w:val="both"/>
        <w:rPr>
          <w:rFonts w:ascii="Arial" w:hAnsi="Arial" w:cs="Arial"/>
          <w:sz w:val="24"/>
          <w:szCs w:val="24"/>
        </w:rPr>
      </w:pPr>
      <w:r w:rsidRPr="00CC773F">
        <w:rPr>
          <w:rFonts w:ascii="Arial" w:hAnsi="Arial" w:cs="Arial"/>
          <w:sz w:val="24"/>
          <w:szCs w:val="24"/>
        </w:rPr>
        <w:t>“S 1</w:t>
      </w:r>
    </w:p>
    <w:p w:rsidR="00CF18A5" w:rsidRPr="00CC773F" w:rsidRDefault="00CF18A5" w:rsidP="00CF18A5">
      <w:pPr>
        <w:jc w:val="both"/>
        <w:rPr>
          <w:rFonts w:ascii="Arial" w:hAnsi="Arial" w:cs="Arial"/>
          <w:sz w:val="24"/>
          <w:szCs w:val="24"/>
        </w:rPr>
      </w:pPr>
      <w:r w:rsidRPr="00CC773F">
        <w:rPr>
          <w:rFonts w:ascii="Arial" w:hAnsi="Arial" w:cs="Arial"/>
          <w:sz w:val="24"/>
          <w:szCs w:val="24"/>
        </w:rPr>
        <w:t>The Republic of South Africa is one, sovereign, democratic state founded on the following values</w:t>
      </w:r>
    </w:p>
    <w:p w:rsidR="00CF18A5" w:rsidRPr="00CC773F" w:rsidRDefault="00CF18A5" w:rsidP="00CF18A5">
      <w:pPr>
        <w:jc w:val="both"/>
        <w:rPr>
          <w:rFonts w:ascii="Arial" w:hAnsi="Arial" w:cs="Arial"/>
          <w:sz w:val="24"/>
          <w:szCs w:val="24"/>
        </w:rPr>
      </w:pPr>
      <w:r w:rsidRPr="00CC773F">
        <w:rPr>
          <w:rFonts w:ascii="Arial" w:hAnsi="Arial" w:cs="Arial"/>
          <w:sz w:val="24"/>
          <w:szCs w:val="24"/>
        </w:rPr>
        <w:t xml:space="preserve"> (a) Human dignity, the achievement of equality and the advancement of human rights and freedoms.</w:t>
      </w:r>
    </w:p>
    <w:p w:rsidR="00CF18A5" w:rsidRPr="00CC773F" w:rsidRDefault="00CF18A5" w:rsidP="00CF18A5">
      <w:pPr>
        <w:jc w:val="both"/>
        <w:rPr>
          <w:rFonts w:ascii="Arial" w:hAnsi="Arial" w:cs="Arial"/>
          <w:sz w:val="24"/>
          <w:szCs w:val="24"/>
        </w:rPr>
      </w:pPr>
      <w:r w:rsidRPr="00CC773F">
        <w:rPr>
          <w:rFonts w:ascii="Arial" w:hAnsi="Arial" w:cs="Arial"/>
          <w:sz w:val="24"/>
          <w:szCs w:val="24"/>
        </w:rPr>
        <w:t xml:space="preserve"> (b) Non-racialism and non-sexism.</w:t>
      </w:r>
    </w:p>
    <w:p w:rsidR="00CF18A5" w:rsidRPr="00CC773F" w:rsidRDefault="00CF18A5" w:rsidP="00CF18A5">
      <w:pPr>
        <w:jc w:val="both"/>
        <w:rPr>
          <w:rFonts w:ascii="Arial" w:hAnsi="Arial" w:cs="Arial"/>
          <w:sz w:val="24"/>
          <w:szCs w:val="24"/>
        </w:rPr>
      </w:pPr>
      <w:r w:rsidRPr="00CC773F">
        <w:rPr>
          <w:rFonts w:ascii="Arial" w:hAnsi="Arial" w:cs="Arial"/>
          <w:sz w:val="24"/>
          <w:szCs w:val="24"/>
        </w:rPr>
        <w:t xml:space="preserve"> (c) Supremacy of the constitution and the rule of law.</w:t>
      </w:r>
    </w:p>
    <w:p w:rsidR="00CF18A5" w:rsidRPr="00CC773F" w:rsidRDefault="00CF18A5" w:rsidP="00CF18A5">
      <w:pPr>
        <w:jc w:val="both"/>
        <w:rPr>
          <w:rFonts w:ascii="Arial" w:hAnsi="Arial" w:cs="Arial"/>
          <w:sz w:val="24"/>
          <w:szCs w:val="24"/>
        </w:rPr>
      </w:pP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“S 2</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Equality includes the full and equal enjoyment of all rights and freedoms. To promote the achievement of equality, legislative and other measures designed to protect or advance persons, or categories of persons, disadvantaged by unfair discrimination may be taken.</w:t>
      </w:r>
    </w:p>
    <w:p w:rsidR="00CF18A5" w:rsidRPr="00CC773F" w:rsidRDefault="00CF18A5" w:rsidP="00E76038">
      <w:pPr>
        <w:spacing w:line="360" w:lineRule="auto"/>
        <w:jc w:val="both"/>
        <w:rPr>
          <w:rFonts w:ascii="Arial" w:hAnsi="Arial" w:cs="Arial"/>
          <w:sz w:val="24"/>
          <w:szCs w:val="24"/>
        </w:rPr>
      </w:pP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 xml:space="preserve">“S195 </w:t>
      </w:r>
      <w:r w:rsidRPr="00CC773F">
        <w:rPr>
          <w:rFonts w:ascii="Arial" w:hAnsi="Arial" w:cs="Arial"/>
          <w:b/>
          <w:bCs/>
          <w:sz w:val="24"/>
          <w:szCs w:val="24"/>
        </w:rPr>
        <w:t>Basic values and principles governing public administration</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195. (1) Public administration must be governed by the democratic values and principles enshrined in the Constitution, including the following principles:</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lastRenderedPageBreak/>
        <w:t>(a) A high standard of professional ethics must be promoted and maintained.</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(b) Efficient, economic and effective use of resources must be promoted.</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(c) Public administration must be development-oriented.</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(d) Services must be provided impartially, fairly, equitably and without bias.</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(e) People’s needs must be responded to, and the public must be encouraged to participate in policy-making.</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(f) Public administration must be accountable.</w:t>
      </w:r>
    </w:p>
    <w:p w:rsidR="00CF18A5" w:rsidRPr="00CC773F" w:rsidRDefault="00CF18A5" w:rsidP="00E76038">
      <w:pPr>
        <w:spacing w:line="360" w:lineRule="auto"/>
        <w:jc w:val="both"/>
        <w:rPr>
          <w:rFonts w:ascii="Arial" w:hAnsi="Arial" w:cs="Arial"/>
          <w:sz w:val="24"/>
          <w:szCs w:val="24"/>
        </w:rPr>
      </w:pPr>
      <w:r w:rsidRPr="00CC773F">
        <w:rPr>
          <w:rFonts w:ascii="Arial" w:hAnsi="Arial" w:cs="Arial"/>
          <w:sz w:val="24"/>
          <w:szCs w:val="24"/>
        </w:rPr>
        <w:t>(g) Transparency must be fostered by providing the public with timely, accessible and accurate information.</w:t>
      </w:r>
    </w:p>
    <w:p w:rsidR="00CF18A5" w:rsidRPr="00CC773F" w:rsidRDefault="00CF18A5" w:rsidP="00CF18A5">
      <w:pPr>
        <w:jc w:val="both"/>
        <w:rPr>
          <w:rFonts w:ascii="Arial" w:hAnsi="Arial" w:cs="Arial"/>
          <w:sz w:val="24"/>
          <w:szCs w:val="24"/>
        </w:rPr>
      </w:pPr>
    </w:p>
    <w:p w:rsidR="004F347A" w:rsidRDefault="004F347A" w:rsidP="004F347A">
      <w:pPr>
        <w:pStyle w:val="p3"/>
        <w:spacing w:before="0" w:beforeAutospacing="0" w:after="0" w:afterAutospacing="0" w:line="360" w:lineRule="auto"/>
        <w:jc w:val="both"/>
        <w:rPr>
          <w:rFonts w:ascii="Arial" w:hAnsi="Arial" w:cs="Arial"/>
          <w:color w:val="000000"/>
        </w:rPr>
      </w:pPr>
      <w:r>
        <w:rPr>
          <w:rFonts w:ascii="Arial" w:hAnsi="Arial" w:cs="Arial"/>
          <w:lang w:val="en-GB"/>
        </w:rPr>
        <w:t>[28]</w:t>
      </w:r>
      <w:r>
        <w:rPr>
          <w:rFonts w:ascii="Arial" w:hAnsi="Arial" w:cs="Arial"/>
          <w:lang w:val="en-GB"/>
        </w:rPr>
        <w:tab/>
        <w:t xml:space="preserve">In terms of section 172(1)(a) and (b) of the Constitution, </w:t>
      </w:r>
      <w:r w:rsidRPr="00726DDA">
        <w:rPr>
          <w:rFonts w:ascii="Arial" w:hAnsi="Arial" w:cs="Arial"/>
          <w:color w:val="000000"/>
        </w:rPr>
        <w:t>when deciding a constitutional matter within its power, a court must declare that any law or conduct that is inconsistent with the Constitution is invalid to the extent of its inconsistency; and may make any order that is just and equitable, including— an order limiting the retrospective effect of the declaration of invalidity or an order suspending the declaration of invalidity for any period and on any conditions, to allow the competent authority to correct the defect.</w:t>
      </w:r>
      <w:r>
        <w:rPr>
          <w:rStyle w:val="FootnoteReference"/>
          <w:rFonts w:ascii="Arial" w:hAnsi="Arial"/>
          <w:color w:val="000000"/>
        </w:rPr>
        <w:footnoteReference w:id="10"/>
      </w:r>
    </w:p>
    <w:p w:rsidR="004F347A" w:rsidRDefault="004F347A" w:rsidP="00CF18A5">
      <w:pPr>
        <w:pStyle w:val="XClause1Head"/>
        <w:numPr>
          <w:ilvl w:val="0"/>
          <w:numId w:val="0"/>
        </w:numPr>
        <w:rPr>
          <w:rFonts w:ascii="Arial" w:hAnsi="Arial" w:cs="Arial"/>
          <w:sz w:val="24"/>
          <w:szCs w:val="24"/>
          <w:lang w:val="en-GB" w:eastAsia="en-ZA"/>
        </w:rPr>
      </w:pPr>
    </w:p>
    <w:p w:rsidR="00CF18A5" w:rsidRPr="00CC773F" w:rsidRDefault="00CF18A5" w:rsidP="00CF18A5">
      <w:pPr>
        <w:pStyle w:val="XClause1Head"/>
        <w:numPr>
          <w:ilvl w:val="0"/>
          <w:numId w:val="0"/>
        </w:numPr>
        <w:rPr>
          <w:rFonts w:ascii="Arial" w:hAnsi="Arial" w:cs="Arial"/>
          <w:sz w:val="24"/>
          <w:szCs w:val="24"/>
          <w:lang w:val="en-GB" w:eastAsia="en-ZA"/>
        </w:rPr>
      </w:pPr>
      <w:r w:rsidRPr="00CC773F">
        <w:rPr>
          <w:rFonts w:ascii="Arial" w:hAnsi="Arial" w:cs="Arial"/>
          <w:sz w:val="24"/>
          <w:szCs w:val="24"/>
          <w:lang w:val="en-GB" w:eastAsia="en-ZA"/>
        </w:rPr>
        <w:t>[</w:t>
      </w:r>
      <w:r w:rsidR="00DD26C3">
        <w:rPr>
          <w:rFonts w:ascii="Arial" w:hAnsi="Arial" w:cs="Arial"/>
          <w:sz w:val="24"/>
          <w:szCs w:val="24"/>
          <w:lang w:val="en-GB" w:eastAsia="en-ZA"/>
        </w:rPr>
        <w:t>2</w:t>
      </w:r>
      <w:r w:rsidR="004F347A">
        <w:rPr>
          <w:rFonts w:ascii="Arial" w:hAnsi="Arial" w:cs="Arial"/>
          <w:sz w:val="24"/>
          <w:szCs w:val="24"/>
          <w:lang w:val="en-GB" w:eastAsia="en-ZA"/>
        </w:rPr>
        <w:t>9</w:t>
      </w:r>
      <w:r w:rsidR="00DD26C3">
        <w:rPr>
          <w:rFonts w:ascii="Arial" w:hAnsi="Arial" w:cs="Arial"/>
          <w:sz w:val="24"/>
          <w:szCs w:val="24"/>
          <w:lang w:val="en-GB" w:eastAsia="en-ZA"/>
        </w:rPr>
        <w:t>]</w:t>
      </w:r>
      <w:r w:rsidRPr="00CC773F">
        <w:rPr>
          <w:rFonts w:ascii="Arial" w:hAnsi="Arial" w:cs="Arial"/>
          <w:sz w:val="24"/>
          <w:szCs w:val="24"/>
          <w:lang w:val="en-GB" w:eastAsia="en-ZA"/>
        </w:rPr>
        <w:tab/>
        <w:t>PLAS beneficiaries had to be selected and approved in accordance with the process set out in the PLAS Manual.</w:t>
      </w:r>
      <w:r w:rsidR="00C8325D">
        <w:rPr>
          <w:rFonts w:ascii="Arial" w:hAnsi="Arial" w:cs="Arial"/>
          <w:sz w:val="24"/>
          <w:szCs w:val="24"/>
          <w:lang w:val="en-GB" w:eastAsia="en-ZA"/>
        </w:rPr>
        <w:t xml:space="preserve"> </w:t>
      </w:r>
      <w:r w:rsidRPr="00CC773F">
        <w:rPr>
          <w:rFonts w:ascii="Arial" w:hAnsi="Arial" w:cs="Arial"/>
          <w:sz w:val="24"/>
          <w:szCs w:val="24"/>
          <w:lang w:val="en-GB" w:eastAsia="en-ZA"/>
        </w:rPr>
        <w:t xml:space="preserve">An appropriate and viable project and emerging farmers had to be identified to ensure the success of the project and to prevent fruitless and wasteful expenditure associated with a failed land reform project. To meet </w:t>
      </w:r>
      <w:r w:rsidR="00D552D9">
        <w:rPr>
          <w:rFonts w:ascii="Arial" w:hAnsi="Arial" w:cs="Arial"/>
          <w:sz w:val="24"/>
          <w:szCs w:val="24"/>
          <w:lang w:val="en-GB" w:eastAsia="en-ZA"/>
        </w:rPr>
        <w:t xml:space="preserve">this </w:t>
      </w:r>
      <w:r w:rsidRPr="00CC773F">
        <w:rPr>
          <w:rFonts w:ascii="Arial" w:hAnsi="Arial" w:cs="Arial"/>
          <w:sz w:val="24"/>
          <w:szCs w:val="24"/>
          <w:lang w:val="en-GB" w:eastAsia="en-ZA"/>
        </w:rPr>
        <w:t xml:space="preserve">objective, the following control measures as set out </w:t>
      </w:r>
      <w:r w:rsidR="00C8325D">
        <w:rPr>
          <w:rFonts w:ascii="Arial" w:hAnsi="Arial" w:cs="Arial"/>
          <w:sz w:val="24"/>
          <w:szCs w:val="24"/>
          <w:lang w:val="en-GB" w:eastAsia="en-ZA"/>
        </w:rPr>
        <w:t xml:space="preserve">in the PLAS Manual </w:t>
      </w:r>
      <w:r w:rsidRPr="00CC773F">
        <w:rPr>
          <w:rFonts w:ascii="Arial" w:hAnsi="Arial" w:cs="Arial"/>
          <w:sz w:val="24"/>
          <w:szCs w:val="24"/>
          <w:lang w:val="en-GB" w:eastAsia="en-ZA"/>
        </w:rPr>
        <w:t xml:space="preserve">had to be complied with: </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.1</w:t>
      </w:r>
      <w:r w:rsidR="00CF18A5" w:rsidRPr="00CC773F">
        <w:rPr>
          <w:rFonts w:ascii="Arial" w:hAnsi="Arial" w:cs="Arial"/>
          <w:sz w:val="24"/>
          <w:szCs w:val="24"/>
          <w:lang w:val="en-GB" w:eastAsia="en-ZA"/>
        </w:rPr>
        <w:tab/>
        <w:t>the relevant Provincial Land Reform Office (</w:t>
      </w:r>
      <w:r w:rsidR="00C8325D">
        <w:rPr>
          <w:rFonts w:ascii="Arial" w:hAnsi="Arial" w:cs="Arial"/>
          <w:sz w:val="24"/>
          <w:szCs w:val="24"/>
          <w:lang w:val="en-GB" w:eastAsia="en-ZA"/>
        </w:rPr>
        <w:t>“</w:t>
      </w:r>
      <w:r w:rsidR="00CF18A5" w:rsidRPr="00CC773F">
        <w:rPr>
          <w:rFonts w:ascii="Arial" w:hAnsi="Arial" w:cs="Arial"/>
          <w:sz w:val="24"/>
          <w:szCs w:val="24"/>
          <w:lang w:val="en-GB" w:eastAsia="en-ZA"/>
        </w:rPr>
        <w:t>PRLO</w:t>
      </w:r>
      <w:r w:rsidR="00C8325D">
        <w:rPr>
          <w:rFonts w:ascii="Arial" w:hAnsi="Arial" w:cs="Arial"/>
          <w:sz w:val="24"/>
          <w:szCs w:val="24"/>
          <w:lang w:val="en-GB" w:eastAsia="en-ZA"/>
        </w:rPr>
        <w:t>”</w:t>
      </w:r>
      <w:r w:rsidR="00CF18A5" w:rsidRPr="00CC773F">
        <w:rPr>
          <w:rFonts w:ascii="Arial" w:hAnsi="Arial" w:cs="Arial"/>
          <w:sz w:val="24"/>
          <w:szCs w:val="24"/>
          <w:lang w:val="en-GB" w:eastAsia="en-ZA"/>
        </w:rPr>
        <w:t xml:space="preserve">) had to conduct a feasibility study in respect of each project to assess the viability, feasibility, sustainability of the </w:t>
      </w:r>
      <w:r w:rsidR="00CF18A5" w:rsidRPr="00CC773F">
        <w:rPr>
          <w:rFonts w:ascii="Arial" w:hAnsi="Arial" w:cs="Arial"/>
          <w:sz w:val="24"/>
          <w:szCs w:val="24"/>
          <w:lang w:val="en-GB" w:eastAsia="en-ZA"/>
        </w:rPr>
        <w:lastRenderedPageBreak/>
        <w:t>project. It could commission a private entity or the provincial department of agriculture to conduct the study;</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 xml:space="preserve">.2 </w:t>
      </w:r>
      <w:r>
        <w:rPr>
          <w:rFonts w:ascii="Arial" w:hAnsi="Arial" w:cs="Arial"/>
          <w:sz w:val="24"/>
          <w:szCs w:val="24"/>
          <w:lang w:val="en-GB" w:eastAsia="en-ZA"/>
        </w:rPr>
        <w:tab/>
      </w:r>
      <w:r w:rsidR="00CF18A5" w:rsidRPr="00CC773F">
        <w:rPr>
          <w:rFonts w:ascii="Arial" w:hAnsi="Arial" w:cs="Arial"/>
          <w:sz w:val="24"/>
          <w:szCs w:val="24"/>
          <w:lang w:val="en-GB" w:eastAsia="en-ZA"/>
        </w:rPr>
        <w:t>proper business plans had to be compiled in respect of the project and submitted to the Department for consideration;</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 xml:space="preserve">.3 </w:t>
      </w:r>
      <w:r>
        <w:rPr>
          <w:rFonts w:ascii="Arial" w:hAnsi="Arial" w:cs="Arial"/>
          <w:sz w:val="24"/>
          <w:szCs w:val="24"/>
          <w:lang w:val="en-GB" w:eastAsia="en-ZA"/>
        </w:rPr>
        <w:tab/>
      </w:r>
      <w:r w:rsidR="00C8325D">
        <w:rPr>
          <w:rFonts w:ascii="Arial" w:hAnsi="Arial" w:cs="Arial"/>
          <w:sz w:val="24"/>
          <w:szCs w:val="24"/>
          <w:lang w:val="en-GB" w:eastAsia="en-ZA"/>
        </w:rPr>
        <w:t xml:space="preserve">a </w:t>
      </w:r>
      <w:r w:rsidR="00CF18A5" w:rsidRPr="00CC773F">
        <w:rPr>
          <w:rFonts w:ascii="Arial" w:hAnsi="Arial" w:cs="Arial"/>
          <w:sz w:val="24"/>
          <w:szCs w:val="24"/>
          <w:lang w:val="en-GB" w:eastAsia="en-ZA"/>
        </w:rPr>
        <w:t>suitable emerging farmer applicant committed and dedicated to farming and with knowledge and experience of farming had to be identified in accordance with the following criteria</w:t>
      </w:r>
      <w:r w:rsidR="00C8325D">
        <w:rPr>
          <w:rFonts w:ascii="Arial" w:hAnsi="Arial" w:cs="Arial"/>
          <w:sz w:val="24"/>
          <w:szCs w:val="24"/>
          <w:lang w:val="en-GB" w:eastAsia="en-ZA"/>
        </w:rPr>
        <w:t>:</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29.3.1</w:t>
      </w:r>
      <w:r>
        <w:rPr>
          <w:rFonts w:ascii="Arial" w:hAnsi="Arial" w:cs="Arial"/>
          <w:sz w:val="24"/>
          <w:szCs w:val="24"/>
          <w:lang w:val="en-GB" w:eastAsia="en-ZA"/>
        </w:rPr>
        <w:tab/>
        <w:t>the applicant for PLAS benefits</w:t>
      </w:r>
      <w:r w:rsidR="00CF18A5" w:rsidRPr="00CC773F">
        <w:rPr>
          <w:rFonts w:ascii="Arial" w:hAnsi="Arial" w:cs="Arial"/>
          <w:sz w:val="24"/>
          <w:szCs w:val="24"/>
          <w:lang w:val="en-GB" w:eastAsia="en-ZA"/>
        </w:rPr>
        <w:t xml:space="preserve"> had to complete a situation</w:t>
      </w:r>
      <w:r w:rsidR="005E048B">
        <w:rPr>
          <w:rFonts w:ascii="Arial" w:hAnsi="Arial" w:cs="Arial"/>
          <w:sz w:val="24"/>
          <w:szCs w:val="24"/>
          <w:lang w:val="en-GB" w:eastAsia="en-ZA"/>
        </w:rPr>
        <w:t>al</w:t>
      </w:r>
      <w:r w:rsidR="00CF18A5" w:rsidRPr="00CC773F">
        <w:rPr>
          <w:rFonts w:ascii="Arial" w:hAnsi="Arial" w:cs="Arial"/>
          <w:sz w:val="24"/>
          <w:szCs w:val="24"/>
          <w:lang w:val="en-GB" w:eastAsia="en-ZA"/>
        </w:rPr>
        <w:t xml:space="preserve"> assessment questionnaire including a wealt</w:t>
      </w:r>
      <w:r>
        <w:rPr>
          <w:rFonts w:ascii="Arial" w:hAnsi="Arial" w:cs="Arial"/>
          <w:sz w:val="24"/>
          <w:szCs w:val="24"/>
          <w:lang w:val="en-GB" w:eastAsia="en-ZA"/>
        </w:rPr>
        <w:t xml:space="preserve">h ranking exercise tool and </w:t>
      </w:r>
      <w:r w:rsidR="00CF18A5" w:rsidRPr="00CC773F">
        <w:rPr>
          <w:rFonts w:ascii="Arial" w:hAnsi="Arial" w:cs="Arial"/>
          <w:sz w:val="24"/>
          <w:szCs w:val="24"/>
          <w:lang w:val="en-GB" w:eastAsia="en-ZA"/>
        </w:rPr>
        <w:t>a skills audit tool;</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.3.2</w:t>
      </w:r>
      <w:r w:rsidR="00CF18A5" w:rsidRPr="00CC773F">
        <w:rPr>
          <w:rFonts w:ascii="Arial" w:hAnsi="Arial" w:cs="Arial"/>
          <w:sz w:val="24"/>
          <w:szCs w:val="24"/>
          <w:lang w:val="en-GB" w:eastAsia="en-ZA"/>
        </w:rPr>
        <w:tab/>
      </w:r>
      <w:r>
        <w:rPr>
          <w:rFonts w:ascii="Arial" w:hAnsi="Arial" w:cs="Arial"/>
          <w:sz w:val="24"/>
          <w:szCs w:val="24"/>
          <w:lang w:val="en-GB" w:eastAsia="en-ZA"/>
        </w:rPr>
        <w:t>the applicant for PLAS benefits</w:t>
      </w:r>
      <w:r w:rsidRPr="00CC773F">
        <w:rPr>
          <w:rFonts w:ascii="Arial" w:hAnsi="Arial" w:cs="Arial"/>
          <w:sz w:val="24"/>
          <w:szCs w:val="24"/>
          <w:lang w:val="en-GB" w:eastAsia="en-ZA"/>
        </w:rPr>
        <w:t xml:space="preserve"> </w:t>
      </w:r>
      <w:r w:rsidR="00CF18A5" w:rsidRPr="00CC773F">
        <w:rPr>
          <w:rFonts w:ascii="Arial" w:hAnsi="Arial" w:cs="Arial"/>
          <w:sz w:val="24"/>
          <w:szCs w:val="24"/>
          <w:lang w:val="en-GB" w:eastAsia="en-ZA"/>
        </w:rPr>
        <w:t>ought to meet pro-poor guidelines;</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 xml:space="preserve">.3.3 </w:t>
      </w:r>
      <w:r>
        <w:rPr>
          <w:rFonts w:ascii="Arial" w:hAnsi="Arial" w:cs="Arial"/>
          <w:sz w:val="24"/>
          <w:szCs w:val="24"/>
          <w:lang w:val="en-GB" w:eastAsia="en-ZA"/>
        </w:rPr>
        <w:t>the applicant for PLAS benefits</w:t>
      </w:r>
      <w:r w:rsidRPr="00CC773F">
        <w:rPr>
          <w:rFonts w:ascii="Arial" w:hAnsi="Arial" w:cs="Arial"/>
          <w:sz w:val="24"/>
          <w:szCs w:val="24"/>
          <w:lang w:val="en-GB" w:eastAsia="en-ZA"/>
        </w:rPr>
        <w:t xml:space="preserve"> </w:t>
      </w:r>
      <w:r w:rsidR="00CF18A5" w:rsidRPr="00CC773F">
        <w:rPr>
          <w:rFonts w:ascii="Arial" w:hAnsi="Arial" w:cs="Arial"/>
          <w:sz w:val="24"/>
          <w:szCs w:val="24"/>
          <w:lang w:val="en-GB" w:eastAsia="en-ZA"/>
        </w:rPr>
        <w:t>who meet the prescribed criteria had to be registered on a database maintained by the PLRO;</w:t>
      </w:r>
    </w:p>
    <w:p w:rsidR="00CF18A5" w:rsidRPr="00CC773F" w:rsidRDefault="004F347A"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29</w:t>
      </w:r>
      <w:r w:rsidR="00CF18A5" w:rsidRPr="00CC773F">
        <w:rPr>
          <w:rFonts w:ascii="Arial" w:hAnsi="Arial" w:cs="Arial"/>
          <w:sz w:val="24"/>
          <w:szCs w:val="24"/>
          <w:lang w:val="en-GB" w:eastAsia="en-ZA"/>
        </w:rPr>
        <w:t xml:space="preserve">.3.4 as and when land became available, </w:t>
      </w:r>
      <w:r>
        <w:rPr>
          <w:rFonts w:ascii="Arial" w:hAnsi="Arial" w:cs="Arial"/>
          <w:sz w:val="24"/>
          <w:szCs w:val="24"/>
          <w:lang w:val="en-GB" w:eastAsia="en-ZA"/>
        </w:rPr>
        <w:t>the applicant(s) for PLAS benefits</w:t>
      </w:r>
      <w:r w:rsidRPr="00CC773F">
        <w:rPr>
          <w:rFonts w:ascii="Arial" w:hAnsi="Arial" w:cs="Arial"/>
          <w:sz w:val="24"/>
          <w:szCs w:val="24"/>
          <w:lang w:val="en-GB" w:eastAsia="en-ZA"/>
        </w:rPr>
        <w:t xml:space="preserve"> </w:t>
      </w:r>
      <w:r w:rsidR="00CF18A5" w:rsidRPr="00CC773F">
        <w:rPr>
          <w:rFonts w:ascii="Arial" w:hAnsi="Arial" w:cs="Arial"/>
          <w:sz w:val="24"/>
          <w:szCs w:val="24"/>
          <w:lang w:val="en-GB" w:eastAsia="en-ZA"/>
        </w:rPr>
        <w:t>would be allocated land in accordance with their farming experiences and skills.</w:t>
      </w:r>
    </w:p>
    <w:p w:rsidR="00097D87" w:rsidRDefault="00097D87" w:rsidP="00CF18A5">
      <w:pPr>
        <w:pStyle w:val="XClause1Head"/>
        <w:numPr>
          <w:ilvl w:val="0"/>
          <w:numId w:val="0"/>
        </w:numPr>
        <w:rPr>
          <w:rFonts w:ascii="Arial" w:hAnsi="Arial" w:cs="Arial"/>
          <w:sz w:val="24"/>
          <w:szCs w:val="24"/>
          <w:lang w:val="en-GB" w:eastAsia="en-ZA"/>
        </w:rPr>
      </w:pPr>
    </w:p>
    <w:p w:rsidR="00CF18A5" w:rsidRPr="00CC773F" w:rsidRDefault="00D34AAC"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[30</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t>In line with the Plascon Evans rule</w:t>
      </w:r>
      <w:r w:rsidR="004F347A">
        <w:rPr>
          <w:rStyle w:val="FootnoteReference"/>
          <w:sz w:val="24"/>
          <w:lang w:val="en-GB" w:eastAsia="en-ZA"/>
        </w:rPr>
        <w:footnoteReference w:id="11"/>
      </w:r>
      <w:r w:rsidR="00CF18A5" w:rsidRPr="00CC773F">
        <w:rPr>
          <w:rFonts w:ascii="Arial" w:hAnsi="Arial" w:cs="Arial"/>
          <w:sz w:val="24"/>
          <w:szCs w:val="24"/>
          <w:lang w:val="en-GB" w:eastAsia="en-ZA"/>
        </w:rPr>
        <w:t>, I determine the application on Cultiver’s versio</w:t>
      </w:r>
      <w:r w:rsidR="005E048B">
        <w:rPr>
          <w:rFonts w:ascii="Arial" w:hAnsi="Arial" w:cs="Arial"/>
          <w:sz w:val="24"/>
          <w:szCs w:val="24"/>
          <w:lang w:val="en-GB" w:eastAsia="en-ZA"/>
        </w:rPr>
        <w:t>n together with SIU</w:t>
      </w:r>
      <w:r w:rsidR="00CF18A5" w:rsidRPr="00CC773F">
        <w:rPr>
          <w:rFonts w:ascii="Arial" w:hAnsi="Arial" w:cs="Arial"/>
          <w:sz w:val="24"/>
          <w:szCs w:val="24"/>
          <w:lang w:val="en-GB" w:eastAsia="en-ZA"/>
        </w:rPr>
        <w:t>’s version which Cultiver does not dispute. Where Cultiver barely disputes or disputes the SIU’s version on a version so far-fetched that I may not reasonably rely on it, I rely on the SIU’s version.</w:t>
      </w:r>
    </w:p>
    <w:p w:rsidR="001D409C" w:rsidRPr="00CC773F" w:rsidRDefault="001D409C" w:rsidP="00F83999">
      <w:pPr>
        <w:pStyle w:val="XClause1Head"/>
        <w:numPr>
          <w:ilvl w:val="0"/>
          <w:numId w:val="0"/>
        </w:numPr>
        <w:spacing w:before="0" w:after="0"/>
        <w:rPr>
          <w:rFonts w:ascii="Arial" w:hAnsi="Arial" w:cs="Arial"/>
          <w:sz w:val="24"/>
          <w:szCs w:val="24"/>
          <w:lang w:val="en-GB" w:eastAsia="en-ZA"/>
        </w:rPr>
      </w:pPr>
    </w:p>
    <w:p w:rsidR="00134211" w:rsidRDefault="00134211" w:rsidP="00CF18A5">
      <w:pPr>
        <w:pStyle w:val="XClause1Head"/>
        <w:numPr>
          <w:ilvl w:val="0"/>
          <w:numId w:val="0"/>
        </w:numPr>
        <w:rPr>
          <w:rFonts w:ascii="Arial" w:hAnsi="Arial" w:cs="Arial"/>
          <w:b/>
          <w:sz w:val="24"/>
          <w:szCs w:val="24"/>
          <w:lang w:val="en-GB" w:eastAsia="en-ZA"/>
        </w:rPr>
      </w:pPr>
    </w:p>
    <w:p w:rsidR="00CF18A5" w:rsidRPr="00CC773F" w:rsidRDefault="00CF18A5" w:rsidP="00CF18A5">
      <w:pPr>
        <w:pStyle w:val="XClause1Head"/>
        <w:numPr>
          <w:ilvl w:val="0"/>
          <w:numId w:val="0"/>
        </w:numPr>
        <w:rPr>
          <w:rFonts w:ascii="Arial" w:hAnsi="Arial" w:cs="Arial"/>
          <w:b/>
          <w:sz w:val="24"/>
          <w:szCs w:val="24"/>
          <w:lang w:val="en-GB" w:eastAsia="en-ZA"/>
        </w:rPr>
      </w:pPr>
      <w:r w:rsidRPr="00CC773F">
        <w:rPr>
          <w:rFonts w:ascii="Arial" w:hAnsi="Arial" w:cs="Arial"/>
          <w:b/>
          <w:sz w:val="24"/>
          <w:szCs w:val="24"/>
          <w:lang w:val="en-GB" w:eastAsia="en-ZA"/>
        </w:rPr>
        <w:t>WHETHER THE DELAY IN BRINGING THE APPLICATION SHOULD BE CONDONED</w:t>
      </w:r>
    </w:p>
    <w:p w:rsidR="0067710A" w:rsidRDefault="00D34AAC" w:rsidP="00CF18A5">
      <w:pPr>
        <w:spacing w:after="0" w:line="360" w:lineRule="auto"/>
        <w:jc w:val="both"/>
        <w:rPr>
          <w:rFonts w:ascii="Arial" w:hAnsi="Arial" w:cs="Arial"/>
          <w:sz w:val="24"/>
          <w:szCs w:val="24"/>
        </w:rPr>
      </w:pPr>
      <w:r>
        <w:rPr>
          <w:rFonts w:ascii="Arial" w:hAnsi="Arial" w:cs="Arial"/>
          <w:sz w:val="24"/>
          <w:szCs w:val="24"/>
          <w:lang w:val="en-GB" w:eastAsia="en-ZA"/>
        </w:rPr>
        <w:lastRenderedPageBreak/>
        <w:t>[31</w:t>
      </w:r>
      <w:r w:rsidR="00CF18A5" w:rsidRPr="00CC773F">
        <w:rPr>
          <w:rFonts w:ascii="Arial" w:hAnsi="Arial" w:cs="Arial"/>
          <w:sz w:val="24"/>
          <w:szCs w:val="24"/>
          <w:lang w:val="en-GB" w:eastAsia="en-ZA"/>
        </w:rPr>
        <w:t>]</w:t>
      </w:r>
      <w:r w:rsidR="00CF18A5" w:rsidRPr="00CC773F">
        <w:rPr>
          <w:rFonts w:ascii="Arial" w:hAnsi="Arial" w:cs="Arial"/>
          <w:sz w:val="24"/>
          <w:szCs w:val="24"/>
          <w:lang w:val="en-GB" w:eastAsia="en-ZA"/>
        </w:rPr>
        <w:tab/>
      </w:r>
      <w:r w:rsidR="00CF18A5" w:rsidRPr="00CC773F">
        <w:rPr>
          <w:rFonts w:ascii="Arial" w:hAnsi="Arial" w:cs="Arial"/>
          <w:sz w:val="24"/>
          <w:szCs w:val="24"/>
        </w:rPr>
        <w:t>Unlike a review brought under the Promotion of Administrative Justice Act</w:t>
      </w:r>
      <w:r w:rsidR="001D409C">
        <w:rPr>
          <w:rStyle w:val="FootnoteReference"/>
          <w:sz w:val="24"/>
        </w:rPr>
        <w:footnoteReference w:id="12"/>
      </w:r>
      <w:r w:rsidR="00CF18A5" w:rsidRPr="00CC773F">
        <w:rPr>
          <w:rFonts w:ascii="Arial" w:hAnsi="Arial" w:cs="Arial"/>
          <w:sz w:val="24"/>
          <w:szCs w:val="24"/>
        </w:rPr>
        <w:t xml:space="preserve"> (PAJA), there i</w:t>
      </w:r>
      <w:r w:rsidR="005E048B">
        <w:rPr>
          <w:rFonts w:ascii="Arial" w:hAnsi="Arial" w:cs="Arial"/>
          <w:sz w:val="24"/>
          <w:szCs w:val="24"/>
        </w:rPr>
        <w:t>s no fixed time for bringing a</w:t>
      </w:r>
      <w:r w:rsidR="00CF18A5" w:rsidRPr="00CC773F">
        <w:rPr>
          <w:rFonts w:ascii="Arial" w:hAnsi="Arial" w:cs="Arial"/>
          <w:sz w:val="24"/>
          <w:szCs w:val="24"/>
        </w:rPr>
        <w:t xml:space="preserve"> review </w:t>
      </w:r>
      <w:r w:rsidR="005E048B">
        <w:rPr>
          <w:rFonts w:ascii="Arial" w:hAnsi="Arial" w:cs="Arial"/>
          <w:sz w:val="24"/>
          <w:szCs w:val="24"/>
        </w:rPr>
        <w:t xml:space="preserve">application </w:t>
      </w:r>
      <w:r w:rsidR="00CF18A5" w:rsidRPr="00CC773F">
        <w:rPr>
          <w:rFonts w:ascii="Arial" w:hAnsi="Arial" w:cs="Arial"/>
          <w:sz w:val="24"/>
          <w:szCs w:val="24"/>
        </w:rPr>
        <w:t>under the principle of legality. A party which bring</w:t>
      </w:r>
      <w:r w:rsidR="0067710A">
        <w:rPr>
          <w:rFonts w:ascii="Arial" w:hAnsi="Arial" w:cs="Arial"/>
          <w:sz w:val="24"/>
          <w:szCs w:val="24"/>
        </w:rPr>
        <w:t>s</w:t>
      </w:r>
      <w:r w:rsidR="00CF18A5" w:rsidRPr="00CC773F">
        <w:rPr>
          <w:rFonts w:ascii="Arial" w:hAnsi="Arial" w:cs="Arial"/>
          <w:sz w:val="24"/>
          <w:szCs w:val="24"/>
        </w:rPr>
        <w:t xml:space="preserve"> review proceedings in terms of the principle of legality is required to do so within a reasonable time.</w:t>
      </w:r>
      <w:r w:rsidR="00CF18A5" w:rsidRPr="00CC773F">
        <w:rPr>
          <w:rStyle w:val="FootnoteReference"/>
          <w:rFonts w:ascii="Arial" w:hAnsi="Arial"/>
          <w:sz w:val="24"/>
        </w:rPr>
        <w:footnoteReference w:id="13"/>
      </w:r>
      <w:r w:rsidR="00CF18A5" w:rsidRPr="00CC773F">
        <w:rPr>
          <w:rFonts w:ascii="Arial" w:hAnsi="Arial" w:cs="Arial"/>
          <w:sz w:val="24"/>
          <w:szCs w:val="24"/>
        </w:rPr>
        <w:t xml:space="preserve">  </w:t>
      </w:r>
      <w:r w:rsidR="0067710A">
        <w:rPr>
          <w:rFonts w:ascii="Arial" w:hAnsi="Arial" w:cs="Arial"/>
          <w:sz w:val="24"/>
          <w:szCs w:val="24"/>
        </w:rPr>
        <w:t xml:space="preserve">Determining whether a review </w:t>
      </w:r>
      <w:r w:rsidR="00CF18A5" w:rsidRPr="00CC773F">
        <w:rPr>
          <w:rFonts w:ascii="Arial" w:hAnsi="Arial" w:cs="Arial"/>
          <w:sz w:val="24"/>
          <w:szCs w:val="24"/>
        </w:rPr>
        <w:t>application</w:t>
      </w:r>
      <w:r w:rsidR="0067710A">
        <w:rPr>
          <w:rFonts w:ascii="Arial" w:hAnsi="Arial" w:cs="Arial"/>
          <w:sz w:val="24"/>
          <w:szCs w:val="24"/>
        </w:rPr>
        <w:t xml:space="preserve"> was brought within a reasonable time </w:t>
      </w:r>
      <w:r w:rsidR="009471C7">
        <w:rPr>
          <w:rFonts w:ascii="Arial" w:hAnsi="Arial" w:cs="Arial"/>
          <w:sz w:val="24"/>
          <w:szCs w:val="24"/>
        </w:rPr>
        <w:t>involves</w:t>
      </w:r>
      <w:r w:rsidR="00CF18A5" w:rsidRPr="00CC773F">
        <w:rPr>
          <w:rFonts w:ascii="Arial" w:hAnsi="Arial" w:cs="Arial"/>
          <w:sz w:val="24"/>
          <w:szCs w:val="24"/>
        </w:rPr>
        <w:t xml:space="preserve"> a two-stage enquiry.</w:t>
      </w:r>
      <w:r w:rsidR="00CF18A5" w:rsidRPr="00CC773F">
        <w:rPr>
          <w:rStyle w:val="FootnoteReference"/>
          <w:rFonts w:ascii="Arial" w:hAnsi="Arial"/>
          <w:sz w:val="24"/>
        </w:rPr>
        <w:footnoteReference w:id="14"/>
      </w:r>
      <w:r w:rsidR="0067710A">
        <w:rPr>
          <w:rFonts w:ascii="Arial" w:hAnsi="Arial" w:cs="Arial"/>
          <w:sz w:val="24"/>
          <w:szCs w:val="24"/>
        </w:rPr>
        <w:t xml:space="preserve"> </w:t>
      </w:r>
      <w:r w:rsidR="0067710A">
        <w:rPr>
          <w:rFonts w:ascii="Arial" w:hAnsi="Arial" w:cs="Arial"/>
          <w:iCs/>
          <w:sz w:val="24"/>
          <w:szCs w:val="24"/>
        </w:rPr>
        <w:t>F</w:t>
      </w:r>
      <w:r w:rsidR="00CF18A5" w:rsidRPr="0067710A">
        <w:rPr>
          <w:rFonts w:ascii="Arial" w:hAnsi="Arial" w:cs="Arial"/>
          <w:sz w:val="24"/>
          <w:szCs w:val="24"/>
        </w:rPr>
        <w:t>irstly</w:t>
      </w:r>
      <w:r w:rsidR="00CF18A5" w:rsidRPr="00CC773F">
        <w:rPr>
          <w:rFonts w:ascii="Arial" w:hAnsi="Arial" w:cs="Arial"/>
          <w:sz w:val="24"/>
          <w:szCs w:val="24"/>
        </w:rPr>
        <w:t xml:space="preserve">, it must be determined whether there was an unreasonable or undue delay and secondly, if so, whether the </w:t>
      </w:r>
      <w:r w:rsidR="00941C88">
        <w:rPr>
          <w:rFonts w:ascii="Arial" w:hAnsi="Arial" w:cs="Arial"/>
          <w:sz w:val="24"/>
          <w:szCs w:val="24"/>
        </w:rPr>
        <w:t xml:space="preserve">Tribunal </w:t>
      </w:r>
      <w:r w:rsidR="00CF18A5" w:rsidRPr="00CC773F">
        <w:rPr>
          <w:rFonts w:ascii="Arial" w:hAnsi="Arial" w:cs="Arial"/>
          <w:sz w:val="24"/>
          <w:szCs w:val="24"/>
        </w:rPr>
        <w:t xml:space="preserve">should </w:t>
      </w:r>
      <w:r w:rsidR="009471C7">
        <w:rPr>
          <w:rFonts w:ascii="Arial" w:hAnsi="Arial" w:cs="Arial"/>
          <w:sz w:val="24"/>
          <w:szCs w:val="24"/>
        </w:rPr>
        <w:t xml:space="preserve">nonetheless </w:t>
      </w:r>
      <w:r w:rsidR="00CF18A5" w:rsidRPr="00CC773F">
        <w:rPr>
          <w:rFonts w:ascii="Arial" w:hAnsi="Arial" w:cs="Arial"/>
          <w:sz w:val="24"/>
          <w:szCs w:val="24"/>
        </w:rPr>
        <w:t>exercise its discr</w:t>
      </w:r>
      <w:r w:rsidR="00F83999">
        <w:rPr>
          <w:rFonts w:ascii="Arial" w:hAnsi="Arial" w:cs="Arial"/>
          <w:sz w:val="24"/>
          <w:szCs w:val="24"/>
        </w:rPr>
        <w:t>etion to overlook the delay</w:t>
      </w:r>
      <w:r w:rsidR="00CF18A5" w:rsidRPr="00CC773F">
        <w:rPr>
          <w:rFonts w:ascii="Arial" w:hAnsi="Arial" w:cs="Arial"/>
          <w:sz w:val="24"/>
          <w:szCs w:val="24"/>
        </w:rPr>
        <w:t>.</w:t>
      </w:r>
      <w:r w:rsidR="00CF18A5" w:rsidRPr="00CC773F">
        <w:rPr>
          <w:rStyle w:val="FootnoteReference"/>
          <w:rFonts w:ascii="Arial" w:hAnsi="Arial"/>
          <w:sz w:val="24"/>
        </w:rPr>
        <w:footnoteReference w:id="15"/>
      </w:r>
      <w:r w:rsidR="00CF18A5" w:rsidRPr="00CC773F">
        <w:rPr>
          <w:rFonts w:ascii="Arial" w:hAnsi="Arial" w:cs="Arial"/>
          <w:sz w:val="24"/>
          <w:szCs w:val="24"/>
        </w:rPr>
        <w:t xml:space="preserve"> </w:t>
      </w:r>
    </w:p>
    <w:p w:rsidR="0067710A" w:rsidRDefault="0067710A" w:rsidP="00CF18A5">
      <w:pPr>
        <w:spacing w:after="0" w:line="360" w:lineRule="auto"/>
        <w:jc w:val="both"/>
        <w:rPr>
          <w:rFonts w:ascii="Arial" w:hAnsi="Arial" w:cs="Arial"/>
          <w:sz w:val="24"/>
          <w:szCs w:val="24"/>
        </w:rPr>
      </w:pPr>
    </w:p>
    <w:p w:rsidR="00941C88" w:rsidRDefault="00D34AAC" w:rsidP="00CF18A5">
      <w:pPr>
        <w:spacing w:after="0" w:line="360" w:lineRule="auto"/>
        <w:jc w:val="both"/>
        <w:rPr>
          <w:rFonts w:ascii="Arial" w:hAnsi="Arial" w:cs="Arial"/>
          <w:sz w:val="24"/>
          <w:szCs w:val="24"/>
        </w:rPr>
      </w:pPr>
      <w:r>
        <w:rPr>
          <w:rFonts w:ascii="Arial" w:hAnsi="Arial" w:cs="Arial"/>
          <w:sz w:val="24"/>
          <w:szCs w:val="24"/>
        </w:rPr>
        <w:t>[32</w:t>
      </w:r>
      <w:r w:rsidR="0067710A">
        <w:rPr>
          <w:rFonts w:ascii="Arial" w:hAnsi="Arial" w:cs="Arial"/>
          <w:sz w:val="24"/>
          <w:szCs w:val="24"/>
        </w:rPr>
        <w:t>]</w:t>
      </w:r>
      <w:r w:rsidR="0067710A">
        <w:rPr>
          <w:rFonts w:ascii="Arial" w:hAnsi="Arial" w:cs="Arial"/>
          <w:sz w:val="24"/>
          <w:szCs w:val="24"/>
        </w:rPr>
        <w:tab/>
        <w:t xml:space="preserve">In </w:t>
      </w:r>
      <w:r w:rsidR="0067710A" w:rsidRPr="00F83999">
        <w:rPr>
          <w:rFonts w:ascii="Arial" w:hAnsi="Arial" w:cs="Arial"/>
          <w:i/>
          <w:sz w:val="24"/>
          <w:szCs w:val="24"/>
        </w:rPr>
        <w:t>Buffalo City</w:t>
      </w:r>
      <w:r w:rsidR="009471C7">
        <w:rPr>
          <w:rStyle w:val="FootnoteReference"/>
          <w:sz w:val="24"/>
        </w:rPr>
        <w:footnoteReference w:id="16"/>
      </w:r>
      <w:r w:rsidR="0067710A">
        <w:rPr>
          <w:rFonts w:ascii="Arial" w:hAnsi="Arial" w:cs="Arial"/>
          <w:sz w:val="24"/>
          <w:szCs w:val="24"/>
        </w:rPr>
        <w:t>, t</w:t>
      </w:r>
      <w:r w:rsidR="00CF18A5" w:rsidRPr="00CC773F">
        <w:rPr>
          <w:rFonts w:ascii="Arial" w:hAnsi="Arial" w:cs="Arial"/>
          <w:sz w:val="24"/>
          <w:szCs w:val="24"/>
        </w:rPr>
        <w:t xml:space="preserve">he Constitutional Court explained that the first stage involves a factual enquiry upon which a value judgment is made, having regard to all the circumstances of the matter. </w:t>
      </w:r>
      <w:r w:rsidR="00941C88">
        <w:rPr>
          <w:rFonts w:ascii="Arial" w:hAnsi="Arial" w:cs="Arial"/>
          <w:sz w:val="24"/>
          <w:szCs w:val="24"/>
        </w:rPr>
        <w:t>When determining whether the delay was un</w:t>
      </w:r>
      <w:r w:rsidR="00CF18A5" w:rsidRPr="00CC773F">
        <w:rPr>
          <w:rFonts w:ascii="Arial" w:hAnsi="Arial" w:cs="Arial"/>
          <w:sz w:val="24"/>
          <w:szCs w:val="24"/>
        </w:rPr>
        <w:t>reasonable</w:t>
      </w:r>
      <w:r w:rsidR="00941C88">
        <w:rPr>
          <w:rFonts w:ascii="Arial" w:hAnsi="Arial" w:cs="Arial"/>
          <w:sz w:val="24"/>
          <w:szCs w:val="24"/>
        </w:rPr>
        <w:t>, the</w:t>
      </w:r>
      <w:r w:rsidR="00CF18A5" w:rsidRPr="00CC773F">
        <w:rPr>
          <w:rFonts w:ascii="Arial" w:hAnsi="Arial" w:cs="Arial"/>
          <w:sz w:val="24"/>
          <w:szCs w:val="24"/>
        </w:rPr>
        <w:t xml:space="preserve"> explanation for the delay</w:t>
      </w:r>
      <w:r w:rsidR="00941C88">
        <w:rPr>
          <w:rFonts w:ascii="Arial" w:hAnsi="Arial" w:cs="Arial"/>
          <w:sz w:val="24"/>
          <w:szCs w:val="24"/>
        </w:rPr>
        <w:t xml:space="preserve"> is considered</w:t>
      </w:r>
      <w:r w:rsidR="00CF18A5" w:rsidRPr="00CC773F">
        <w:rPr>
          <w:rFonts w:ascii="Arial" w:hAnsi="Arial" w:cs="Arial"/>
          <w:sz w:val="24"/>
          <w:szCs w:val="24"/>
        </w:rPr>
        <w:t>.</w:t>
      </w:r>
      <w:r w:rsidR="00941C88">
        <w:rPr>
          <w:rFonts w:ascii="Arial" w:hAnsi="Arial" w:cs="Arial"/>
          <w:sz w:val="24"/>
          <w:szCs w:val="24"/>
        </w:rPr>
        <w:t xml:space="preserve"> A full explanation for and reasons for the delay ought to be set out.</w:t>
      </w:r>
      <w:r w:rsidR="00CF18A5" w:rsidRPr="00CC773F">
        <w:rPr>
          <w:rFonts w:ascii="Arial" w:hAnsi="Arial" w:cs="Arial"/>
          <w:sz w:val="24"/>
          <w:szCs w:val="24"/>
        </w:rPr>
        <w:t xml:space="preserve"> </w:t>
      </w:r>
      <w:r w:rsidR="00941C88">
        <w:rPr>
          <w:rFonts w:ascii="Arial" w:hAnsi="Arial" w:cs="Arial"/>
          <w:sz w:val="24"/>
          <w:szCs w:val="24"/>
        </w:rPr>
        <w:t>T</w:t>
      </w:r>
      <w:r w:rsidR="00CF18A5" w:rsidRPr="00CC773F">
        <w:rPr>
          <w:rFonts w:ascii="Arial" w:hAnsi="Arial" w:cs="Arial"/>
          <w:sz w:val="24"/>
          <w:szCs w:val="24"/>
        </w:rPr>
        <w:t>he exp</w:t>
      </w:r>
      <w:r w:rsidR="00F83999">
        <w:rPr>
          <w:rFonts w:ascii="Arial" w:hAnsi="Arial" w:cs="Arial"/>
          <w:sz w:val="24"/>
          <w:szCs w:val="24"/>
        </w:rPr>
        <w:t>lanation must cover the entire period</w:t>
      </w:r>
      <w:r w:rsidR="00CF18A5" w:rsidRPr="00CC773F">
        <w:rPr>
          <w:rFonts w:ascii="Arial" w:hAnsi="Arial" w:cs="Arial"/>
          <w:sz w:val="24"/>
          <w:szCs w:val="24"/>
        </w:rPr>
        <w:t xml:space="preserve"> of the delay. </w:t>
      </w:r>
    </w:p>
    <w:p w:rsidR="00941C88" w:rsidRDefault="00941C88" w:rsidP="00CF18A5">
      <w:pPr>
        <w:spacing w:after="0" w:line="360" w:lineRule="auto"/>
        <w:jc w:val="both"/>
        <w:rPr>
          <w:rFonts w:ascii="Arial" w:hAnsi="Arial" w:cs="Arial"/>
          <w:sz w:val="24"/>
          <w:szCs w:val="24"/>
        </w:rPr>
      </w:pPr>
    </w:p>
    <w:p w:rsidR="00CF18A5" w:rsidRPr="00CC773F" w:rsidRDefault="00DD26C3" w:rsidP="00CF18A5">
      <w:pPr>
        <w:spacing w:after="0" w:line="360" w:lineRule="auto"/>
        <w:jc w:val="both"/>
        <w:rPr>
          <w:rFonts w:ascii="Arial" w:hAnsi="Arial" w:cs="Arial"/>
          <w:sz w:val="24"/>
          <w:szCs w:val="24"/>
        </w:rPr>
      </w:pPr>
      <w:r>
        <w:rPr>
          <w:rFonts w:ascii="Arial" w:hAnsi="Arial" w:cs="Arial"/>
          <w:sz w:val="24"/>
          <w:szCs w:val="24"/>
        </w:rPr>
        <w:t>[3</w:t>
      </w:r>
      <w:r w:rsidR="009471C7">
        <w:rPr>
          <w:rFonts w:ascii="Arial" w:hAnsi="Arial" w:cs="Arial"/>
          <w:sz w:val="24"/>
          <w:szCs w:val="24"/>
        </w:rPr>
        <w:t>3</w:t>
      </w:r>
      <w:r w:rsidR="00CF18A5" w:rsidRPr="00CC773F">
        <w:rPr>
          <w:rFonts w:ascii="Arial" w:hAnsi="Arial" w:cs="Arial"/>
          <w:sz w:val="24"/>
          <w:szCs w:val="24"/>
        </w:rPr>
        <w:t>]</w:t>
      </w:r>
      <w:r w:rsidR="00CF18A5" w:rsidRPr="00CC773F">
        <w:rPr>
          <w:rFonts w:ascii="Arial" w:hAnsi="Arial" w:cs="Arial"/>
          <w:sz w:val="24"/>
          <w:szCs w:val="24"/>
        </w:rPr>
        <w:tab/>
        <w:t>The second stage</w:t>
      </w:r>
      <w:r w:rsidR="00A25498">
        <w:rPr>
          <w:rFonts w:ascii="Arial" w:hAnsi="Arial" w:cs="Arial"/>
          <w:sz w:val="24"/>
          <w:szCs w:val="24"/>
        </w:rPr>
        <w:t xml:space="preserve"> of the enquiry </w:t>
      </w:r>
      <w:r w:rsidR="00CF18A5" w:rsidRPr="00CC773F">
        <w:rPr>
          <w:rFonts w:ascii="Arial" w:hAnsi="Arial" w:cs="Arial"/>
          <w:sz w:val="24"/>
          <w:szCs w:val="24"/>
        </w:rPr>
        <w:t>is a flexible one</w:t>
      </w:r>
      <w:r w:rsidR="00A25498">
        <w:rPr>
          <w:rFonts w:ascii="Arial" w:hAnsi="Arial" w:cs="Arial"/>
          <w:sz w:val="24"/>
          <w:szCs w:val="24"/>
        </w:rPr>
        <w:t xml:space="preserve">. It involves </w:t>
      </w:r>
      <w:r w:rsidR="00134211">
        <w:rPr>
          <w:rFonts w:ascii="Arial" w:hAnsi="Arial" w:cs="Arial"/>
          <w:sz w:val="24"/>
          <w:szCs w:val="24"/>
        </w:rPr>
        <w:t>the</w:t>
      </w:r>
      <w:r w:rsidR="00F83999">
        <w:rPr>
          <w:rFonts w:ascii="Arial" w:hAnsi="Arial" w:cs="Arial"/>
          <w:sz w:val="24"/>
          <w:szCs w:val="24"/>
        </w:rPr>
        <w:t xml:space="preserve"> </w:t>
      </w:r>
      <w:r w:rsidR="00CF18A5" w:rsidRPr="00CC773F">
        <w:rPr>
          <w:rFonts w:ascii="Arial" w:hAnsi="Arial" w:cs="Arial"/>
          <w:sz w:val="24"/>
          <w:szCs w:val="24"/>
        </w:rPr>
        <w:t xml:space="preserve">evaluation </w:t>
      </w:r>
      <w:r w:rsidR="00F83999">
        <w:rPr>
          <w:rFonts w:ascii="Arial" w:hAnsi="Arial" w:cs="Arial"/>
          <w:sz w:val="24"/>
          <w:szCs w:val="24"/>
        </w:rPr>
        <w:t xml:space="preserve">of </w:t>
      </w:r>
      <w:r w:rsidR="00CF18A5" w:rsidRPr="00CC773F">
        <w:rPr>
          <w:rFonts w:ascii="Arial" w:hAnsi="Arial" w:cs="Arial"/>
          <w:sz w:val="24"/>
          <w:szCs w:val="24"/>
        </w:rPr>
        <w:t xml:space="preserve">a number of factors such as </w:t>
      </w:r>
      <w:r w:rsidR="00941C88">
        <w:rPr>
          <w:rFonts w:ascii="Arial" w:hAnsi="Arial" w:cs="Arial"/>
          <w:sz w:val="24"/>
          <w:szCs w:val="24"/>
        </w:rPr>
        <w:t xml:space="preserve">the </w:t>
      </w:r>
      <w:r w:rsidR="00941C88" w:rsidRPr="00CC773F">
        <w:rPr>
          <w:rFonts w:ascii="Arial" w:hAnsi="Arial" w:cs="Arial"/>
          <w:sz w:val="24"/>
          <w:szCs w:val="24"/>
        </w:rPr>
        <w:t>nature of the impugned decision</w:t>
      </w:r>
      <w:r w:rsidR="00941C88">
        <w:rPr>
          <w:rFonts w:ascii="Arial" w:hAnsi="Arial" w:cs="Arial"/>
          <w:sz w:val="24"/>
          <w:szCs w:val="24"/>
        </w:rPr>
        <w:t>,</w:t>
      </w:r>
      <w:r w:rsidR="00941C88" w:rsidRPr="00CC773F">
        <w:rPr>
          <w:rFonts w:ascii="Arial" w:hAnsi="Arial" w:cs="Arial"/>
          <w:sz w:val="24"/>
          <w:szCs w:val="24"/>
        </w:rPr>
        <w:t xml:space="preserve"> the Court’s duty in terms of s172(1) of the Constitution to declare conduct which is inconsistent with the Constitution unconstitutional to the extent of its inconsistency</w:t>
      </w:r>
      <w:r w:rsidR="00941C88">
        <w:rPr>
          <w:rFonts w:ascii="Arial" w:hAnsi="Arial" w:cs="Arial"/>
          <w:sz w:val="24"/>
          <w:szCs w:val="24"/>
        </w:rPr>
        <w:t>,</w:t>
      </w:r>
      <w:r w:rsidR="00941C88" w:rsidRPr="00CC773F">
        <w:rPr>
          <w:rFonts w:ascii="Arial" w:hAnsi="Arial" w:cs="Arial"/>
          <w:sz w:val="24"/>
          <w:szCs w:val="24"/>
        </w:rPr>
        <w:t xml:space="preserve"> </w:t>
      </w:r>
      <w:r w:rsidR="00CF18A5" w:rsidRPr="00CC773F">
        <w:rPr>
          <w:rFonts w:ascii="Arial" w:hAnsi="Arial" w:cs="Arial"/>
          <w:sz w:val="24"/>
          <w:szCs w:val="24"/>
        </w:rPr>
        <w:t>the possible consequences of setting aside the impugned decision</w:t>
      </w:r>
      <w:r w:rsidR="00941C88">
        <w:rPr>
          <w:rFonts w:ascii="Arial" w:hAnsi="Arial" w:cs="Arial"/>
          <w:sz w:val="24"/>
          <w:szCs w:val="24"/>
        </w:rPr>
        <w:t xml:space="preserve"> including </w:t>
      </w:r>
      <w:r w:rsidR="00941C88" w:rsidRPr="00CC773F">
        <w:rPr>
          <w:rFonts w:ascii="Arial" w:hAnsi="Arial" w:cs="Arial"/>
          <w:sz w:val="24"/>
          <w:szCs w:val="24"/>
        </w:rPr>
        <w:t>potential prejudice to affected parties</w:t>
      </w:r>
      <w:r w:rsidR="00F83999">
        <w:rPr>
          <w:rFonts w:ascii="Arial" w:hAnsi="Arial" w:cs="Arial"/>
          <w:sz w:val="24"/>
          <w:szCs w:val="24"/>
        </w:rPr>
        <w:t xml:space="preserve"> and whether the prejudice</w:t>
      </w:r>
      <w:r w:rsidR="00CF18A5" w:rsidRPr="00CC773F">
        <w:rPr>
          <w:rFonts w:ascii="Arial" w:hAnsi="Arial" w:cs="Arial"/>
          <w:sz w:val="24"/>
          <w:szCs w:val="24"/>
        </w:rPr>
        <w:t xml:space="preserve"> may be ameliorated by grant</w:t>
      </w:r>
      <w:r w:rsidR="00F83999">
        <w:rPr>
          <w:rFonts w:ascii="Arial" w:hAnsi="Arial" w:cs="Arial"/>
          <w:sz w:val="24"/>
          <w:szCs w:val="24"/>
        </w:rPr>
        <w:t>ing</w:t>
      </w:r>
      <w:r w:rsidR="00CF18A5" w:rsidRPr="00CC773F">
        <w:rPr>
          <w:rFonts w:ascii="Arial" w:hAnsi="Arial" w:cs="Arial"/>
          <w:sz w:val="24"/>
          <w:szCs w:val="24"/>
        </w:rPr>
        <w:t xml:space="preserve"> a just and equitable remedy. </w:t>
      </w:r>
      <w:r w:rsidR="00F83999">
        <w:rPr>
          <w:rFonts w:ascii="Arial" w:hAnsi="Arial" w:cs="Arial"/>
          <w:sz w:val="24"/>
          <w:szCs w:val="24"/>
        </w:rPr>
        <w:t xml:space="preserve">Some of the relevant factors will require the merits of the review to be traversed. </w:t>
      </w:r>
      <w:r w:rsidR="00941C88">
        <w:rPr>
          <w:rFonts w:ascii="Arial" w:hAnsi="Arial" w:cs="Arial"/>
          <w:sz w:val="24"/>
          <w:szCs w:val="24"/>
        </w:rPr>
        <w:t xml:space="preserve">The interests of justice are an overriding factor in this enquiry. </w:t>
      </w:r>
    </w:p>
    <w:p w:rsidR="00CF18A5" w:rsidRPr="00CC773F" w:rsidRDefault="00CF18A5" w:rsidP="00CF18A5">
      <w:pPr>
        <w:spacing w:after="0" w:line="360" w:lineRule="auto"/>
        <w:jc w:val="both"/>
        <w:rPr>
          <w:rFonts w:ascii="Arial" w:hAnsi="Arial" w:cs="Arial"/>
          <w:sz w:val="24"/>
          <w:szCs w:val="24"/>
        </w:rPr>
      </w:pPr>
      <w:r w:rsidRPr="00CC773F">
        <w:rPr>
          <w:rFonts w:ascii="Arial" w:hAnsi="Arial" w:cs="Arial"/>
          <w:sz w:val="24"/>
          <w:szCs w:val="24"/>
        </w:rPr>
        <w:t xml:space="preserve"> </w:t>
      </w:r>
    </w:p>
    <w:p w:rsidR="00941C88" w:rsidRDefault="00097D87" w:rsidP="00CF18A5">
      <w:pPr>
        <w:spacing w:after="0" w:line="360" w:lineRule="auto"/>
        <w:jc w:val="both"/>
        <w:rPr>
          <w:rFonts w:ascii="Arial" w:hAnsi="Arial" w:cs="Arial"/>
          <w:sz w:val="24"/>
          <w:szCs w:val="24"/>
        </w:rPr>
      </w:pPr>
      <w:r>
        <w:rPr>
          <w:rFonts w:ascii="Arial" w:hAnsi="Arial" w:cs="Arial"/>
          <w:sz w:val="24"/>
          <w:szCs w:val="24"/>
        </w:rPr>
        <w:t>[3</w:t>
      </w:r>
      <w:r w:rsidR="009471C7">
        <w:rPr>
          <w:rFonts w:ascii="Arial" w:hAnsi="Arial" w:cs="Arial"/>
          <w:sz w:val="24"/>
          <w:szCs w:val="24"/>
        </w:rPr>
        <w:t>4</w:t>
      </w:r>
      <w:r w:rsidR="00CF18A5" w:rsidRPr="00CC773F">
        <w:rPr>
          <w:rFonts w:ascii="Arial" w:hAnsi="Arial" w:cs="Arial"/>
          <w:sz w:val="24"/>
          <w:szCs w:val="24"/>
        </w:rPr>
        <w:t>]</w:t>
      </w:r>
      <w:r w:rsidR="00CF18A5" w:rsidRPr="00CC773F">
        <w:rPr>
          <w:rFonts w:ascii="Arial" w:hAnsi="Arial" w:cs="Arial"/>
          <w:sz w:val="24"/>
          <w:szCs w:val="24"/>
        </w:rPr>
        <w:tab/>
        <w:t>The proclamation authorising the SIU to investigate this and other projects implemented under th</w:t>
      </w:r>
      <w:r w:rsidR="00DD26C3">
        <w:rPr>
          <w:rFonts w:ascii="Arial" w:hAnsi="Arial" w:cs="Arial"/>
          <w:sz w:val="24"/>
          <w:szCs w:val="24"/>
        </w:rPr>
        <w:t>e PLAS program</w:t>
      </w:r>
      <w:r w:rsidR="004F347A">
        <w:rPr>
          <w:rFonts w:ascii="Arial" w:hAnsi="Arial" w:cs="Arial"/>
          <w:sz w:val="24"/>
          <w:szCs w:val="24"/>
        </w:rPr>
        <w:t>me</w:t>
      </w:r>
      <w:r w:rsidR="00DD26C3">
        <w:rPr>
          <w:rFonts w:ascii="Arial" w:hAnsi="Arial" w:cs="Arial"/>
          <w:sz w:val="24"/>
          <w:szCs w:val="24"/>
        </w:rPr>
        <w:t xml:space="preserve"> was issued in July 2018</w:t>
      </w:r>
      <w:r w:rsidR="00CF18A5" w:rsidRPr="00CC773F">
        <w:rPr>
          <w:rFonts w:ascii="Arial" w:hAnsi="Arial" w:cs="Arial"/>
          <w:sz w:val="24"/>
          <w:szCs w:val="24"/>
        </w:rPr>
        <w:t xml:space="preserve">. </w:t>
      </w:r>
      <w:r w:rsidR="00A25498">
        <w:rPr>
          <w:rFonts w:ascii="Arial" w:hAnsi="Arial" w:cs="Arial"/>
          <w:sz w:val="24"/>
          <w:szCs w:val="24"/>
        </w:rPr>
        <w:t>The SIU</w:t>
      </w:r>
      <w:r w:rsidR="00DD26C3">
        <w:rPr>
          <w:rFonts w:ascii="Arial" w:hAnsi="Arial" w:cs="Arial"/>
          <w:sz w:val="24"/>
          <w:szCs w:val="24"/>
        </w:rPr>
        <w:t xml:space="preserve"> only became aware of the impugned decisions in March 2019. </w:t>
      </w:r>
      <w:r w:rsidR="00CF18A5" w:rsidRPr="00CC773F">
        <w:rPr>
          <w:rFonts w:ascii="Arial" w:hAnsi="Arial" w:cs="Arial"/>
          <w:sz w:val="24"/>
          <w:szCs w:val="24"/>
        </w:rPr>
        <w:t>It broug</w:t>
      </w:r>
      <w:r w:rsidR="00DD26C3">
        <w:rPr>
          <w:rFonts w:ascii="Arial" w:hAnsi="Arial" w:cs="Arial"/>
          <w:sz w:val="24"/>
          <w:szCs w:val="24"/>
        </w:rPr>
        <w:t>ht this application in November 2019</w:t>
      </w:r>
      <w:r w:rsidR="00CF18A5" w:rsidRPr="00CC773F">
        <w:rPr>
          <w:rFonts w:ascii="Arial" w:hAnsi="Arial" w:cs="Arial"/>
          <w:sz w:val="24"/>
          <w:szCs w:val="24"/>
        </w:rPr>
        <w:t xml:space="preserve">. </w:t>
      </w:r>
    </w:p>
    <w:p w:rsidR="00941C88" w:rsidRDefault="00941C88" w:rsidP="00CF18A5">
      <w:pPr>
        <w:spacing w:after="0" w:line="360" w:lineRule="auto"/>
        <w:jc w:val="both"/>
        <w:rPr>
          <w:rFonts w:ascii="Arial" w:hAnsi="Arial" w:cs="Arial"/>
          <w:sz w:val="24"/>
          <w:szCs w:val="24"/>
        </w:rPr>
      </w:pPr>
    </w:p>
    <w:p w:rsidR="00CF18A5" w:rsidRPr="00CC773F" w:rsidRDefault="00941C88" w:rsidP="00CF18A5">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F18A5" w:rsidRPr="00CC773F">
        <w:rPr>
          <w:rFonts w:ascii="Arial" w:hAnsi="Arial" w:cs="Arial"/>
          <w:sz w:val="24"/>
          <w:szCs w:val="24"/>
        </w:rPr>
        <w:t>In its founding affidavit, the SIU fails to give reasons for the delay. It relies on good prospects of succ</w:t>
      </w:r>
      <w:r w:rsidR="00F83999">
        <w:rPr>
          <w:rFonts w:ascii="Arial" w:hAnsi="Arial" w:cs="Arial"/>
          <w:sz w:val="24"/>
          <w:szCs w:val="24"/>
        </w:rPr>
        <w:t>ess and the interest of justice</w:t>
      </w:r>
      <w:r w:rsidR="00CF18A5" w:rsidRPr="00CC773F">
        <w:rPr>
          <w:rFonts w:ascii="Arial" w:hAnsi="Arial" w:cs="Arial"/>
          <w:sz w:val="24"/>
          <w:szCs w:val="24"/>
        </w:rPr>
        <w:t xml:space="preserve"> in light of evidence of serious maladministration and blatant disregard for the rule of law which </w:t>
      </w:r>
      <w:r w:rsidR="00F83999">
        <w:rPr>
          <w:rFonts w:ascii="Arial" w:hAnsi="Arial" w:cs="Arial"/>
          <w:sz w:val="24"/>
          <w:szCs w:val="24"/>
        </w:rPr>
        <w:t xml:space="preserve">it contends </w:t>
      </w:r>
      <w:r w:rsidR="00CF18A5" w:rsidRPr="00CC773F">
        <w:rPr>
          <w:rFonts w:ascii="Arial" w:hAnsi="Arial" w:cs="Arial"/>
          <w:sz w:val="24"/>
          <w:szCs w:val="24"/>
        </w:rPr>
        <w:t>points to corruption</w:t>
      </w:r>
      <w:r w:rsidR="00F83999">
        <w:rPr>
          <w:rFonts w:ascii="Arial" w:hAnsi="Arial" w:cs="Arial"/>
          <w:sz w:val="24"/>
          <w:szCs w:val="24"/>
        </w:rPr>
        <w:t xml:space="preserve"> in the affairs under investigation</w:t>
      </w:r>
      <w:r w:rsidR="00CF18A5" w:rsidRPr="00CC773F">
        <w:rPr>
          <w:rFonts w:ascii="Arial" w:hAnsi="Arial" w:cs="Arial"/>
          <w:sz w:val="24"/>
          <w:szCs w:val="24"/>
        </w:rPr>
        <w:t>. It also contends that there is no prejudice to Cultiver if the delay is condoned.</w:t>
      </w:r>
    </w:p>
    <w:p w:rsidR="00CF18A5" w:rsidRDefault="00CF18A5" w:rsidP="00CF18A5">
      <w:pPr>
        <w:spacing w:after="0" w:line="360" w:lineRule="auto"/>
        <w:jc w:val="both"/>
        <w:rPr>
          <w:rFonts w:ascii="Arial" w:hAnsi="Arial" w:cs="Arial"/>
          <w:sz w:val="24"/>
          <w:szCs w:val="24"/>
        </w:rPr>
      </w:pPr>
    </w:p>
    <w:p w:rsidR="00941C88" w:rsidRDefault="00941C88" w:rsidP="00CF18A5">
      <w:pPr>
        <w:spacing w:after="0" w:line="360" w:lineRule="auto"/>
        <w:jc w:val="both"/>
        <w:rPr>
          <w:rFonts w:ascii="Arial" w:hAnsi="Arial" w:cs="Arial"/>
          <w:sz w:val="24"/>
          <w:szCs w:val="24"/>
        </w:rPr>
      </w:pPr>
      <w:r>
        <w:rPr>
          <w:rFonts w:ascii="Arial" w:hAnsi="Arial" w:cs="Arial"/>
          <w:sz w:val="24"/>
          <w:szCs w:val="24"/>
        </w:rPr>
        <w:t>[36</w:t>
      </w:r>
      <w:r w:rsidR="00CF18A5" w:rsidRPr="00CC773F">
        <w:rPr>
          <w:rFonts w:ascii="Arial" w:hAnsi="Arial" w:cs="Arial"/>
          <w:sz w:val="24"/>
          <w:szCs w:val="24"/>
        </w:rPr>
        <w:t>]</w:t>
      </w:r>
      <w:r w:rsidR="00CF18A5" w:rsidRPr="00CC773F">
        <w:rPr>
          <w:rFonts w:ascii="Arial" w:hAnsi="Arial" w:cs="Arial"/>
          <w:sz w:val="24"/>
          <w:szCs w:val="24"/>
        </w:rPr>
        <w:tab/>
        <w:t xml:space="preserve">Cultiver only opposes the application for condonation on the basis of </w:t>
      </w:r>
      <w:r w:rsidR="003B4286">
        <w:rPr>
          <w:rFonts w:ascii="Arial" w:hAnsi="Arial" w:cs="Arial"/>
          <w:sz w:val="24"/>
          <w:szCs w:val="24"/>
        </w:rPr>
        <w:t xml:space="preserve">the </w:t>
      </w:r>
      <w:r w:rsidR="00CF18A5" w:rsidRPr="00CC773F">
        <w:rPr>
          <w:rFonts w:ascii="Arial" w:hAnsi="Arial" w:cs="Arial"/>
          <w:sz w:val="24"/>
          <w:szCs w:val="24"/>
        </w:rPr>
        <w:t xml:space="preserve">prejudice already dealt with in paragraph </w:t>
      </w:r>
      <w:r w:rsidR="00A25498">
        <w:rPr>
          <w:rFonts w:ascii="Arial" w:hAnsi="Arial" w:cs="Arial"/>
          <w:sz w:val="24"/>
          <w:szCs w:val="24"/>
        </w:rPr>
        <w:t>7</w:t>
      </w:r>
      <w:r w:rsidR="00CF18A5" w:rsidRPr="00CC773F">
        <w:rPr>
          <w:rFonts w:ascii="Arial" w:hAnsi="Arial" w:cs="Arial"/>
          <w:sz w:val="24"/>
          <w:szCs w:val="24"/>
        </w:rPr>
        <w:t xml:space="preserve"> of this judgment. It takes no issue with the SIU’s failure to set out a full explanation for the delay.</w:t>
      </w:r>
      <w:r w:rsidR="00A25498">
        <w:rPr>
          <w:rFonts w:ascii="Arial" w:hAnsi="Arial" w:cs="Arial"/>
          <w:sz w:val="24"/>
          <w:szCs w:val="24"/>
        </w:rPr>
        <w:t xml:space="preserve"> This is probably because the SIU delayed by only two months in respect of the period provided for in PAJA. </w:t>
      </w:r>
    </w:p>
    <w:p w:rsidR="00941C88" w:rsidRDefault="00941C88" w:rsidP="00CF18A5">
      <w:pPr>
        <w:spacing w:after="0" w:line="360" w:lineRule="auto"/>
        <w:jc w:val="both"/>
        <w:rPr>
          <w:rFonts w:ascii="Arial" w:hAnsi="Arial" w:cs="Arial"/>
          <w:sz w:val="24"/>
          <w:szCs w:val="24"/>
        </w:rPr>
      </w:pPr>
    </w:p>
    <w:p w:rsidR="00CF18A5" w:rsidRPr="00CC773F" w:rsidRDefault="009B569D" w:rsidP="00CF18A5">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CF18A5" w:rsidRPr="00CC773F">
        <w:rPr>
          <w:rFonts w:ascii="Arial" w:hAnsi="Arial" w:cs="Arial"/>
          <w:sz w:val="24"/>
          <w:szCs w:val="24"/>
        </w:rPr>
        <w:t>In its replying affidavit, in the context of explaining the difficulties it encountered to obtain source documents that support its case, the SIU explains the resource constraints under which it is conducting investigations that fall withi</w:t>
      </w:r>
      <w:r>
        <w:rPr>
          <w:rFonts w:ascii="Arial" w:hAnsi="Arial" w:cs="Arial"/>
          <w:sz w:val="24"/>
          <w:szCs w:val="24"/>
        </w:rPr>
        <w:t>n the scope of Proclamation R.24</w:t>
      </w:r>
      <w:r w:rsidR="00CF18A5" w:rsidRPr="00CC773F">
        <w:rPr>
          <w:rFonts w:ascii="Arial" w:hAnsi="Arial" w:cs="Arial"/>
          <w:sz w:val="24"/>
          <w:szCs w:val="24"/>
        </w:rPr>
        <w:t>. In its supplementary affidavit, Cultiver did</w:t>
      </w:r>
      <w:r w:rsidR="00717571">
        <w:rPr>
          <w:rFonts w:ascii="Arial" w:hAnsi="Arial" w:cs="Arial"/>
          <w:sz w:val="24"/>
          <w:szCs w:val="24"/>
        </w:rPr>
        <w:t xml:space="preserve"> not dispute these </w:t>
      </w:r>
      <w:r w:rsidR="00C51346">
        <w:rPr>
          <w:rFonts w:ascii="Arial" w:hAnsi="Arial" w:cs="Arial"/>
          <w:sz w:val="24"/>
          <w:szCs w:val="24"/>
        </w:rPr>
        <w:t>allegations</w:t>
      </w:r>
      <w:r w:rsidR="00A25498">
        <w:rPr>
          <w:rFonts w:ascii="Arial" w:hAnsi="Arial" w:cs="Arial"/>
          <w:sz w:val="24"/>
          <w:szCs w:val="24"/>
        </w:rPr>
        <w:t>, nor did it take issue with the fact that these issues are only dealt with in reply.</w:t>
      </w:r>
    </w:p>
    <w:p w:rsidR="00CF18A5" w:rsidRDefault="00CF18A5" w:rsidP="00CF18A5">
      <w:pPr>
        <w:spacing w:after="0" w:line="360" w:lineRule="auto"/>
        <w:jc w:val="both"/>
        <w:rPr>
          <w:rFonts w:ascii="Arial" w:hAnsi="Arial" w:cs="Arial"/>
          <w:sz w:val="24"/>
          <w:szCs w:val="24"/>
        </w:rPr>
      </w:pPr>
    </w:p>
    <w:p w:rsidR="00717571" w:rsidRDefault="009B569D" w:rsidP="00CF18A5">
      <w:pPr>
        <w:spacing w:after="0" w:line="360" w:lineRule="auto"/>
        <w:jc w:val="both"/>
        <w:rPr>
          <w:rFonts w:ascii="Arial" w:hAnsi="Arial" w:cs="Arial"/>
          <w:sz w:val="24"/>
          <w:szCs w:val="24"/>
        </w:rPr>
      </w:pPr>
      <w:r>
        <w:rPr>
          <w:rFonts w:ascii="Arial" w:hAnsi="Arial" w:cs="Arial"/>
          <w:sz w:val="24"/>
          <w:szCs w:val="24"/>
        </w:rPr>
        <w:t>[38</w:t>
      </w:r>
      <w:r w:rsidR="00CF18A5" w:rsidRPr="00CC773F">
        <w:rPr>
          <w:rFonts w:ascii="Arial" w:hAnsi="Arial" w:cs="Arial"/>
          <w:sz w:val="24"/>
          <w:szCs w:val="24"/>
        </w:rPr>
        <w:t>]</w:t>
      </w:r>
      <w:r w:rsidR="00717571">
        <w:rPr>
          <w:rFonts w:ascii="Arial" w:hAnsi="Arial" w:cs="Arial"/>
          <w:sz w:val="24"/>
          <w:szCs w:val="24"/>
        </w:rPr>
        <w:tab/>
        <w:t>The Department became aware of the grounds of review in</w:t>
      </w:r>
      <w:r w:rsidR="000046D4">
        <w:rPr>
          <w:rFonts w:ascii="Arial" w:hAnsi="Arial" w:cs="Arial"/>
          <w:sz w:val="24"/>
          <w:szCs w:val="24"/>
        </w:rPr>
        <w:t xml:space="preserve"> respect of the first decision</w:t>
      </w:r>
      <w:r w:rsidR="00E60EEA">
        <w:rPr>
          <w:rFonts w:ascii="Arial" w:hAnsi="Arial" w:cs="Arial"/>
          <w:sz w:val="24"/>
          <w:szCs w:val="24"/>
        </w:rPr>
        <w:t xml:space="preserve"> 23 September </w:t>
      </w:r>
      <w:r w:rsidR="00D47B04">
        <w:rPr>
          <w:rFonts w:ascii="Arial" w:hAnsi="Arial" w:cs="Arial"/>
          <w:sz w:val="24"/>
          <w:szCs w:val="24"/>
        </w:rPr>
        <w:t>2014 when</w:t>
      </w:r>
      <w:r w:rsidR="00717571">
        <w:rPr>
          <w:rFonts w:ascii="Arial" w:hAnsi="Arial" w:cs="Arial"/>
          <w:sz w:val="24"/>
          <w:szCs w:val="24"/>
        </w:rPr>
        <w:t xml:space="preserve"> it received the </w:t>
      </w:r>
      <w:r w:rsidR="004F347A">
        <w:rPr>
          <w:rFonts w:ascii="Arial" w:hAnsi="Arial" w:cs="Arial"/>
          <w:sz w:val="24"/>
          <w:szCs w:val="24"/>
        </w:rPr>
        <w:t xml:space="preserve">report on the </w:t>
      </w:r>
      <w:r w:rsidR="00717571">
        <w:rPr>
          <w:rFonts w:ascii="Arial" w:hAnsi="Arial" w:cs="Arial"/>
          <w:sz w:val="24"/>
          <w:szCs w:val="24"/>
        </w:rPr>
        <w:t xml:space="preserve">Deloitte </w:t>
      </w:r>
      <w:r w:rsidR="004F347A">
        <w:rPr>
          <w:rFonts w:ascii="Arial" w:hAnsi="Arial" w:cs="Arial"/>
          <w:sz w:val="24"/>
          <w:szCs w:val="24"/>
        </w:rPr>
        <w:t>investigation. The Department’s</w:t>
      </w:r>
      <w:r w:rsidR="00717571">
        <w:rPr>
          <w:rFonts w:ascii="Arial" w:hAnsi="Arial" w:cs="Arial"/>
          <w:sz w:val="24"/>
          <w:szCs w:val="24"/>
        </w:rPr>
        <w:t xml:space="preserve"> investigation was finalized in </w:t>
      </w:r>
      <w:r w:rsidR="00D6268A">
        <w:rPr>
          <w:rFonts w:ascii="Arial" w:hAnsi="Arial" w:cs="Arial"/>
          <w:sz w:val="24"/>
          <w:szCs w:val="24"/>
        </w:rPr>
        <w:t>December 2013</w:t>
      </w:r>
      <w:r w:rsidR="004F347A">
        <w:rPr>
          <w:rFonts w:ascii="Arial" w:hAnsi="Arial" w:cs="Arial"/>
          <w:sz w:val="24"/>
          <w:szCs w:val="24"/>
        </w:rPr>
        <w:t>. At that</w:t>
      </w:r>
      <w:r w:rsidR="00717571">
        <w:rPr>
          <w:rFonts w:ascii="Arial" w:hAnsi="Arial" w:cs="Arial"/>
          <w:sz w:val="24"/>
          <w:szCs w:val="24"/>
        </w:rPr>
        <w:t xml:space="preserve"> stage, the only decision that had been taken is the first decision. On the basis of the findings in the</w:t>
      </w:r>
      <w:r w:rsidR="00A25498">
        <w:rPr>
          <w:rFonts w:ascii="Arial" w:hAnsi="Arial" w:cs="Arial"/>
          <w:sz w:val="24"/>
          <w:szCs w:val="24"/>
        </w:rPr>
        <w:t>se</w:t>
      </w:r>
      <w:r w:rsidR="00717571">
        <w:rPr>
          <w:rFonts w:ascii="Arial" w:hAnsi="Arial" w:cs="Arial"/>
          <w:sz w:val="24"/>
          <w:szCs w:val="24"/>
        </w:rPr>
        <w:t xml:space="preserve"> two investigations as well as the </w:t>
      </w:r>
      <w:r w:rsidR="003B13B3">
        <w:rPr>
          <w:rFonts w:ascii="Arial" w:hAnsi="Arial" w:cs="Arial"/>
          <w:sz w:val="24"/>
          <w:szCs w:val="24"/>
        </w:rPr>
        <w:t>NEF due diligence report, the Department</w:t>
      </w:r>
      <w:r w:rsidR="00717571">
        <w:rPr>
          <w:rFonts w:ascii="Arial" w:hAnsi="Arial" w:cs="Arial"/>
          <w:sz w:val="24"/>
          <w:szCs w:val="24"/>
        </w:rPr>
        <w:t xml:space="preserve"> resisted taking the impugned </w:t>
      </w:r>
      <w:r w:rsidR="000046D4">
        <w:rPr>
          <w:rFonts w:ascii="Arial" w:hAnsi="Arial" w:cs="Arial"/>
          <w:sz w:val="24"/>
          <w:szCs w:val="24"/>
        </w:rPr>
        <w:t xml:space="preserve">(second and third) </w:t>
      </w:r>
      <w:r w:rsidR="00717571">
        <w:rPr>
          <w:rFonts w:ascii="Arial" w:hAnsi="Arial" w:cs="Arial"/>
          <w:sz w:val="24"/>
          <w:szCs w:val="24"/>
        </w:rPr>
        <w:t xml:space="preserve">decisions. Hence it opposed the Polokwane applications. </w:t>
      </w:r>
    </w:p>
    <w:p w:rsidR="00717571" w:rsidRDefault="00717571" w:rsidP="00CF18A5">
      <w:pPr>
        <w:spacing w:after="0" w:line="360" w:lineRule="auto"/>
        <w:jc w:val="both"/>
        <w:rPr>
          <w:rFonts w:ascii="Arial" w:hAnsi="Arial" w:cs="Arial"/>
          <w:sz w:val="24"/>
          <w:szCs w:val="24"/>
        </w:rPr>
      </w:pPr>
    </w:p>
    <w:p w:rsidR="00F83999" w:rsidRDefault="0059658E" w:rsidP="00F83999">
      <w:pPr>
        <w:spacing w:after="0" w:line="360" w:lineRule="auto"/>
        <w:jc w:val="both"/>
        <w:rPr>
          <w:rFonts w:ascii="Arial" w:hAnsi="Arial" w:cs="Arial"/>
          <w:sz w:val="24"/>
          <w:szCs w:val="24"/>
        </w:rPr>
      </w:pPr>
      <w:r>
        <w:rPr>
          <w:rFonts w:ascii="Arial" w:hAnsi="Arial" w:cs="Arial"/>
          <w:sz w:val="24"/>
          <w:szCs w:val="24"/>
        </w:rPr>
        <w:t>[39</w:t>
      </w:r>
      <w:r w:rsidR="00717571">
        <w:rPr>
          <w:rFonts w:ascii="Arial" w:hAnsi="Arial" w:cs="Arial"/>
          <w:sz w:val="24"/>
          <w:szCs w:val="24"/>
        </w:rPr>
        <w:t>]</w:t>
      </w:r>
      <w:r w:rsidR="00717571">
        <w:rPr>
          <w:rFonts w:ascii="Arial" w:hAnsi="Arial" w:cs="Arial"/>
          <w:sz w:val="24"/>
          <w:szCs w:val="24"/>
        </w:rPr>
        <w:tab/>
        <w:t>The clock against the Department could not have started running when the impugned decisions were taken</w:t>
      </w:r>
      <w:r w:rsidR="009B569D">
        <w:rPr>
          <w:rFonts w:ascii="Arial" w:hAnsi="Arial" w:cs="Arial"/>
          <w:sz w:val="24"/>
          <w:szCs w:val="24"/>
        </w:rPr>
        <w:t xml:space="preserve"> in December 2018 and January 2019</w:t>
      </w:r>
      <w:r w:rsidR="00717571">
        <w:rPr>
          <w:rFonts w:ascii="Arial" w:hAnsi="Arial" w:cs="Arial"/>
          <w:sz w:val="24"/>
          <w:szCs w:val="24"/>
        </w:rPr>
        <w:t xml:space="preserve">. On the conspectus of the evidence before the Tribunal, the Departmental officials who were aware of the impugned decisions </w:t>
      </w:r>
      <w:r w:rsidR="000046D4">
        <w:rPr>
          <w:rFonts w:ascii="Arial" w:hAnsi="Arial" w:cs="Arial"/>
          <w:sz w:val="24"/>
          <w:szCs w:val="24"/>
        </w:rPr>
        <w:t>and implemented</w:t>
      </w:r>
      <w:r w:rsidR="00717571">
        <w:rPr>
          <w:rFonts w:ascii="Arial" w:hAnsi="Arial" w:cs="Arial"/>
          <w:sz w:val="24"/>
          <w:szCs w:val="24"/>
        </w:rPr>
        <w:t xml:space="preserve"> them were not aware of the alleged grounds of review. </w:t>
      </w:r>
      <w:r w:rsidR="00F83999">
        <w:rPr>
          <w:rFonts w:ascii="Arial" w:hAnsi="Arial" w:cs="Arial"/>
          <w:sz w:val="24"/>
          <w:szCs w:val="24"/>
        </w:rPr>
        <w:t xml:space="preserve">When interviewed by the SIU, Ms Sadiki and Mr Mngwengwe indicated that they were not aware of the issues in the Polokwane application the </w:t>
      </w:r>
      <w:r w:rsidR="00F83999">
        <w:rPr>
          <w:rFonts w:ascii="Arial" w:hAnsi="Arial" w:cs="Arial"/>
          <w:sz w:val="24"/>
          <w:szCs w:val="24"/>
        </w:rPr>
        <w:lastRenderedPageBreak/>
        <w:t xml:space="preserve">merits of which form the basis for the SIU’s contention that the second decision is irrational. </w:t>
      </w:r>
    </w:p>
    <w:p w:rsidR="00F83999" w:rsidRDefault="00F83999" w:rsidP="00F83999">
      <w:pPr>
        <w:spacing w:after="0" w:line="360" w:lineRule="auto"/>
        <w:jc w:val="both"/>
        <w:rPr>
          <w:rFonts w:ascii="Arial" w:hAnsi="Arial" w:cs="Arial"/>
          <w:sz w:val="24"/>
          <w:szCs w:val="24"/>
        </w:rPr>
      </w:pPr>
    </w:p>
    <w:p w:rsidR="00F83999" w:rsidRDefault="0059658E" w:rsidP="00CF18A5">
      <w:pPr>
        <w:spacing w:after="0" w:line="360" w:lineRule="auto"/>
        <w:jc w:val="both"/>
        <w:rPr>
          <w:rFonts w:ascii="Arial" w:hAnsi="Arial" w:cs="Arial"/>
          <w:sz w:val="24"/>
          <w:szCs w:val="24"/>
        </w:rPr>
      </w:pPr>
      <w:r>
        <w:rPr>
          <w:rFonts w:ascii="Arial" w:hAnsi="Arial" w:cs="Arial"/>
          <w:sz w:val="24"/>
          <w:szCs w:val="24"/>
        </w:rPr>
        <w:t>[40</w:t>
      </w:r>
      <w:r w:rsidR="003B13B3">
        <w:rPr>
          <w:rFonts w:ascii="Arial" w:hAnsi="Arial" w:cs="Arial"/>
          <w:sz w:val="24"/>
          <w:szCs w:val="24"/>
        </w:rPr>
        <w:t>]</w:t>
      </w:r>
      <w:r w:rsidR="003B13B3">
        <w:rPr>
          <w:rFonts w:ascii="Arial" w:hAnsi="Arial" w:cs="Arial"/>
          <w:sz w:val="24"/>
          <w:szCs w:val="24"/>
        </w:rPr>
        <w:tab/>
      </w:r>
      <w:r w:rsidR="009B569D">
        <w:rPr>
          <w:rFonts w:ascii="Arial" w:hAnsi="Arial" w:cs="Arial"/>
          <w:sz w:val="24"/>
          <w:szCs w:val="24"/>
        </w:rPr>
        <w:t xml:space="preserve">Therefore, </w:t>
      </w:r>
      <w:r w:rsidR="00F83999">
        <w:rPr>
          <w:rFonts w:ascii="Arial" w:hAnsi="Arial" w:cs="Arial"/>
          <w:sz w:val="24"/>
          <w:szCs w:val="24"/>
        </w:rPr>
        <w:t>the Department</w:t>
      </w:r>
      <w:r w:rsidR="009B569D">
        <w:rPr>
          <w:rFonts w:ascii="Arial" w:hAnsi="Arial" w:cs="Arial"/>
          <w:sz w:val="24"/>
          <w:szCs w:val="24"/>
        </w:rPr>
        <w:t xml:space="preserve"> could not have instituted this application. </w:t>
      </w:r>
      <w:r w:rsidR="00EB1BF0">
        <w:rPr>
          <w:rFonts w:ascii="Arial" w:hAnsi="Arial" w:cs="Arial"/>
          <w:sz w:val="24"/>
          <w:szCs w:val="24"/>
        </w:rPr>
        <w:t xml:space="preserve">The clock only started running against the Department when the SIU addressed an email to Ms Sadiki, Mr Mngwengwe and others in March 2019 questioning the basis on which the second decision was made. </w:t>
      </w:r>
    </w:p>
    <w:p w:rsidR="00F83999" w:rsidRDefault="00F83999" w:rsidP="00CF18A5">
      <w:pPr>
        <w:spacing w:after="0" w:line="360" w:lineRule="auto"/>
        <w:jc w:val="both"/>
        <w:rPr>
          <w:rFonts w:ascii="Arial" w:hAnsi="Arial" w:cs="Arial"/>
          <w:sz w:val="24"/>
          <w:szCs w:val="24"/>
        </w:rPr>
      </w:pPr>
    </w:p>
    <w:p w:rsidR="003B13B3" w:rsidRDefault="0059658E" w:rsidP="00CF18A5">
      <w:pPr>
        <w:spacing w:after="0" w:line="360" w:lineRule="auto"/>
        <w:jc w:val="both"/>
        <w:rPr>
          <w:rFonts w:ascii="Arial" w:hAnsi="Arial" w:cs="Arial"/>
          <w:sz w:val="24"/>
          <w:szCs w:val="24"/>
        </w:rPr>
      </w:pPr>
      <w:r>
        <w:rPr>
          <w:rFonts w:ascii="Arial" w:hAnsi="Arial" w:cs="Arial"/>
          <w:sz w:val="24"/>
          <w:szCs w:val="24"/>
        </w:rPr>
        <w:t>[41</w:t>
      </w:r>
      <w:r w:rsidR="00717571">
        <w:rPr>
          <w:rFonts w:ascii="Arial" w:hAnsi="Arial" w:cs="Arial"/>
          <w:sz w:val="24"/>
          <w:szCs w:val="24"/>
        </w:rPr>
        <w:t>]</w:t>
      </w:r>
      <w:r w:rsidR="00717571">
        <w:rPr>
          <w:rFonts w:ascii="Arial" w:hAnsi="Arial" w:cs="Arial"/>
          <w:sz w:val="24"/>
          <w:szCs w:val="24"/>
        </w:rPr>
        <w:tab/>
      </w:r>
      <w:r w:rsidR="009B569D">
        <w:rPr>
          <w:rFonts w:ascii="Arial" w:hAnsi="Arial" w:cs="Arial"/>
          <w:sz w:val="24"/>
          <w:szCs w:val="24"/>
        </w:rPr>
        <w:t>T</w:t>
      </w:r>
      <w:r w:rsidR="00717571">
        <w:rPr>
          <w:rFonts w:ascii="Arial" w:hAnsi="Arial" w:cs="Arial"/>
          <w:sz w:val="24"/>
          <w:szCs w:val="24"/>
        </w:rPr>
        <w:t xml:space="preserve">he clock only started ticking for the SIU in March 2019 when it became aware that the impugned decisions had been taken. </w:t>
      </w:r>
      <w:r w:rsidR="0076279C">
        <w:rPr>
          <w:rFonts w:ascii="Arial" w:hAnsi="Arial" w:cs="Arial"/>
          <w:sz w:val="24"/>
          <w:szCs w:val="24"/>
        </w:rPr>
        <w:t xml:space="preserve">It instituted the application approximately 8 months later. </w:t>
      </w:r>
      <w:r w:rsidR="009B569D">
        <w:rPr>
          <w:rFonts w:ascii="Arial" w:hAnsi="Arial" w:cs="Arial"/>
          <w:sz w:val="24"/>
          <w:szCs w:val="24"/>
        </w:rPr>
        <w:t>The</w:t>
      </w:r>
      <w:r w:rsidR="0076279C">
        <w:rPr>
          <w:rFonts w:ascii="Arial" w:hAnsi="Arial" w:cs="Arial"/>
          <w:sz w:val="24"/>
          <w:szCs w:val="24"/>
        </w:rPr>
        <w:t xml:space="preserve"> 2 month</w:t>
      </w:r>
      <w:r w:rsidR="009B569D">
        <w:rPr>
          <w:rFonts w:ascii="Arial" w:hAnsi="Arial" w:cs="Arial"/>
          <w:sz w:val="24"/>
          <w:szCs w:val="24"/>
        </w:rPr>
        <w:t>’</w:t>
      </w:r>
      <w:r w:rsidR="0076279C">
        <w:rPr>
          <w:rFonts w:ascii="Arial" w:hAnsi="Arial" w:cs="Arial"/>
          <w:sz w:val="24"/>
          <w:szCs w:val="24"/>
        </w:rPr>
        <w:t>s</w:t>
      </w:r>
      <w:r w:rsidR="009B569D">
        <w:rPr>
          <w:rFonts w:ascii="Arial" w:hAnsi="Arial" w:cs="Arial"/>
          <w:sz w:val="24"/>
          <w:szCs w:val="24"/>
        </w:rPr>
        <w:t xml:space="preserve"> delay</w:t>
      </w:r>
      <w:r w:rsidR="0076279C">
        <w:rPr>
          <w:rFonts w:ascii="Arial" w:hAnsi="Arial" w:cs="Arial"/>
          <w:sz w:val="24"/>
          <w:szCs w:val="24"/>
        </w:rPr>
        <w:t xml:space="preserve"> after the period prescribed in terms of the Promotion of Administrative Justice Act </w:t>
      </w:r>
      <w:r w:rsidR="003B13B3">
        <w:rPr>
          <w:rFonts w:ascii="Arial" w:hAnsi="Arial" w:cs="Arial"/>
          <w:sz w:val="24"/>
          <w:szCs w:val="24"/>
        </w:rPr>
        <w:t>can hardly be taken to be unreasonable.</w:t>
      </w:r>
    </w:p>
    <w:p w:rsidR="003B13B3" w:rsidRDefault="003B13B3" w:rsidP="00CF18A5">
      <w:pPr>
        <w:spacing w:after="0" w:line="360" w:lineRule="auto"/>
        <w:jc w:val="both"/>
        <w:rPr>
          <w:rFonts w:ascii="Arial" w:hAnsi="Arial" w:cs="Arial"/>
          <w:sz w:val="24"/>
          <w:szCs w:val="24"/>
        </w:rPr>
      </w:pPr>
    </w:p>
    <w:p w:rsidR="00CF18A5" w:rsidRPr="00CC773F" w:rsidRDefault="0059658E" w:rsidP="00CF18A5">
      <w:pPr>
        <w:spacing w:after="0" w:line="360" w:lineRule="auto"/>
        <w:jc w:val="both"/>
        <w:rPr>
          <w:rFonts w:ascii="Arial" w:hAnsi="Arial" w:cs="Arial"/>
          <w:sz w:val="24"/>
          <w:szCs w:val="24"/>
        </w:rPr>
      </w:pPr>
      <w:r>
        <w:rPr>
          <w:rFonts w:ascii="Arial" w:hAnsi="Arial" w:cs="Arial"/>
          <w:sz w:val="24"/>
          <w:szCs w:val="24"/>
        </w:rPr>
        <w:t>[42</w:t>
      </w:r>
      <w:r w:rsidR="0076279C">
        <w:rPr>
          <w:rFonts w:ascii="Arial" w:hAnsi="Arial" w:cs="Arial"/>
          <w:sz w:val="24"/>
          <w:szCs w:val="24"/>
        </w:rPr>
        <w:t>]</w:t>
      </w:r>
      <w:r w:rsidR="0076279C">
        <w:rPr>
          <w:rFonts w:ascii="Arial" w:hAnsi="Arial" w:cs="Arial"/>
          <w:sz w:val="24"/>
          <w:szCs w:val="24"/>
        </w:rPr>
        <w:tab/>
        <w:t xml:space="preserve">In any event, </w:t>
      </w:r>
      <w:r w:rsidR="00CF18A5" w:rsidRPr="00CC773F">
        <w:rPr>
          <w:rFonts w:ascii="Arial" w:hAnsi="Arial" w:cs="Arial"/>
          <w:sz w:val="24"/>
          <w:szCs w:val="24"/>
        </w:rPr>
        <w:t>as I find below, the serious maladministration and disregard for constitutional obligations and the rule of law justify an exer</w:t>
      </w:r>
      <w:r w:rsidR="003B13B3">
        <w:rPr>
          <w:rFonts w:ascii="Arial" w:hAnsi="Arial" w:cs="Arial"/>
          <w:sz w:val="24"/>
          <w:szCs w:val="24"/>
        </w:rPr>
        <w:t>cise of my discretion to overlook</w:t>
      </w:r>
      <w:r w:rsidR="00CF18A5" w:rsidRPr="00CC773F">
        <w:rPr>
          <w:rFonts w:ascii="Arial" w:hAnsi="Arial" w:cs="Arial"/>
          <w:sz w:val="24"/>
          <w:szCs w:val="24"/>
        </w:rPr>
        <w:t xml:space="preserve"> the delay. </w:t>
      </w:r>
      <w:r w:rsidR="000046D4">
        <w:rPr>
          <w:rFonts w:ascii="Arial" w:hAnsi="Arial" w:cs="Arial"/>
          <w:sz w:val="24"/>
          <w:szCs w:val="24"/>
        </w:rPr>
        <w:t xml:space="preserve">Any prejudice that Cultiver stands to suffer will be ameliorated by the </w:t>
      </w:r>
      <w:r w:rsidR="00134211">
        <w:rPr>
          <w:rFonts w:ascii="Arial" w:hAnsi="Arial" w:cs="Arial"/>
          <w:sz w:val="24"/>
          <w:szCs w:val="24"/>
        </w:rPr>
        <w:t>appropriate remedy</w:t>
      </w:r>
      <w:r w:rsidR="000046D4">
        <w:rPr>
          <w:rFonts w:ascii="Arial" w:hAnsi="Arial" w:cs="Arial"/>
          <w:sz w:val="24"/>
          <w:szCs w:val="24"/>
        </w:rPr>
        <w:t xml:space="preserve"> to be granted by the Tribunal.</w:t>
      </w:r>
    </w:p>
    <w:p w:rsidR="00CF18A5" w:rsidRDefault="00CF18A5" w:rsidP="00CF18A5">
      <w:pPr>
        <w:pStyle w:val="XClause1Head"/>
        <w:numPr>
          <w:ilvl w:val="0"/>
          <w:numId w:val="0"/>
        </w:numPr>
        <w:rPr>
          <w:rFonts w:ascii="Arial" w:hAnsi="Arial" w:cs="Arial"/>
          <w:b/>
          <w:sz w:val="24"/>
          <w:szCs w:val="24"/>
          <w:lang w:val="en-GB" w:eastAsia="en-ZA"/>
        </w:rPr>
      </w:pPr>
    </w:p>
    <w:p w:rsidR="000046D4" w:rsidRDefault="0059658E" w:rsidP="00CF18A5">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[43</w:t>
      </w:r>
      <w:r w:rsidR="000046D4" w:rsidRPr="000046D4">
        <w:rPr>
          <w:rFonts w:ascii="Arial" w:hAnsi="Arial" w:cs="Arial"/>
          <w:sz w:val="24"/>
          <w:szCs w:val="24"/>
          <w:lang w:val="en-GB" w:eastAsia="en-ZA"/>
        </w:rPr>
        <w:t>]</w:t>
      </w:r>
      <w:r w:rsidR="000046D4" w:rsidRPr="000046D4">
        <w:rPr>
          <w:rFonts w:ascii="Arial" w:hAnsi="Arial" w:cs="Arial"/>
          <w:sz w:val="24"/>
          <w:szCs w:val="24"/>
          <w:lang w:val="en-GB" w:eastAsia="en-ZA"/>
        </w:rPr>
        <w:tab/>
        <w:t xml:space="preserve">Therefore, I am satisfied that the SIU has made out a case for the delay in bringing the application </w:t>
      </w:r>
      <w:r w:rsidR="00C51346">
        <w:rPr>
          <w:rFonts w:ascii="Arial" w:hAnsi="Arial" w:cs="Arial"/>
          <w:sz w:val="24"/>
          <w:szCs w:val="24"/>
          <w:lang w:val="en-GB" w:eastAsia="en-ZA"/>
        </w:rPr>
        <w:t xml:space="preserve">to </w:t>
      </w:r>
      <w:r w:rsidR="003B13B3">
        <w:rPr>
          <w:rFonts w:ascii="Arial" w:hAnsi="Arial" w:cs="Arial"/>
          <w:sz w:val="24"/>
          <w:szCs w:val="24"/>
          <w:lang w:val="en-GB" w:eastAsia="en-ZA"/>
        </w:rPr>
        <w:t xml:space="preserve">either </w:t>
      </w:r>
      <w:r w:rsidR="000046D4" w:rsidRPr="000046D4">
        <w:rPr>
          <w:rFonts w:ascii="Arial" w:hAnsi="Arial" w:cs="Arial"/>
          <w:sz w:val="24"/>
          <w:szCs w:val="24"/>
          <w:lang w:val="en-GB" w:eastAsia="en-ZA"/>
        </w:rPr>
        <w:t>be condoned</w:t>
      </w:r>
      <w:r w:rsidR="003B13B3">
        <w:rPr>
          <w:rFonts w:ascii="Arial" w:hAnsi="Arial" w:cs="Arial"/>
          <w:sz w:val="24"/>
          <w:szCs w:val="24"/>
          <w:lang w:val="en-GB" w:eastAsia="en-ZA"/>
        </w:rPr>
        <w:t xml:space="preserve"> </w:t>
      </w:r>
      <w:r w:rsidR="00C51346">
        <w:rPr>
          <w:rFonts w:ascii="Arial" w:hAnsi="Arial" w:cs="Arial"/>
          <w:sz w:val="24"/>
          <w:szCs w:val="24"/>
          <w:lang w:val="en-GB" w:eastAsia="en-ZA"/>
        </w:rPr>
        <w:t>and/</w:t>
      </w:r>
      <w:r w:rsidR="003B13B3">
        <w:rPr>
          <w:rFonts w:ascii="Arial" w:hAnsi="Arial" w:cs="Arial"/>
          <w:sz w:val="24"/>
          <w:szCs w:val="24"/>
          <w:lang w:val="en-GB" w:eastAsia="en-ZA"/>
        </w:rPr>
        <w:t>or overlooked</w:t>
      </w:r>
      <w:r w:rsidR="000046D4" w:rsidRPr="000046D4">
        <w:rPr>
          <w:rFonts w:ascii="Arial" w:hAnsi="Arial" w:cs="Arial"/>
          <w:sz w:val="24"/>
          <w:szCs w:val="24"/>
          <w:lang w:val="en-GB" w:eastAsia="en-ZA"/>
        </w:rPr>
        <w:t xml:space="preserve">. </w:t>
      </w:r>
    </w:p>
    <w:p w:rsidR="000046D4" w:rsidRDefault="000046D4" w:rsidP="00CF18A5">
      <w:pPr>
        <w:pStyle w:val="XClause1Head"/>
        <w:numPr>
          <w:ilvl w:val="0"/>
          <w:numId w:val="0"/>
        </w:numPr>
        <w:rPr>
          <w:rFonts w:ascii="Arial" w:hAnsi="Arial" w:cs="Arial"/>
          <w:sz w:val="24"/>
          <w:szCs w:val="24"/>
          <w:lang w:val="en-GB" w:eastAsia="en-ZA"/>
        </w:rPr>
      </w:pPr>
    </w:p>
    <w:p w:rsidR="00467E0A" w:rsidRDefault="00467E0A" w:rsidP="00467E0A">
      <w:pPr>
        <w:pStyle w:val="XClause1Head"/>
        <w:numPr>
          <w:ilvl w:val="0"/>
          <w:numId w:val="0"/>
        </w:numPr>
        <w:rPr>
          <w:rFonts w:ascii="Arial" w:hAnsi="Arial" w:cs="Arial"/>
          <w:b/>
          <w:sz w:val="24"/>
          <w:szCs w:val="24"/>
          <w:lang w:val="en-GB" w:eastAsia="en-ZA"/>
        </w:rPr>
      </w:pPr>
      <w:r w:rsidRPr="00CC773F">
        <w:rPr>
          <w:rFonts w:ascii="Arial" w:hAnsi="Arial" w:cs="Arial"/>
          <w:b/>
          <w:sz w:val="24"/>
          <w:szCs w:val="24"/>
          <w:lang w:val="en-GB" w:eastAsia="en-ZA"/>
        </w:rPr>
        <w:t xml:space="preserve">THE MERITS   </w:t>
      </w:r>
    </w:p>
    <w:p w:rsidR="00467E0A" w:rsidRPr="00CC773F" w:rsidRDefault="00467E0A" w:rsidP="00467E0A">
      <w:pPr>
        <w:pStyle w:val="XClause1Head"/>
        <w:numPr>
          <w:ilvl w:val="0"/>
          <w:numId w:val="0"/>
        </w:numPr>
        <w:rPr>
          <w:rFonts w:ascii="Arial" w:hAnsi="Arial" w:cs="Arial"/>
          <w:b/>
          <w:i/>
          <w:sz w:val="24"/>
          <w:szCs w:val="24"/>
          <w:lang w:val="en-GB" w:eastAsia="en-ZA"/>
        </w:rPr>
      </w:pPr>
      <w:r>
        <w:rPr>
          <w:rFonts w:ascii="Arial" w:hAnsi="Arial" w:cs="Arial"/>
          <w:b/>
          <w:i/>
          <w:sz w:val="24"/>
          <w:szCs w:val="24"/>
          <w:lang w:val="en-GB" w:eastAsia="en-ZA"/>
        </w:rPr>
        <w:t>The Second</w:t>
      </w:r>
      <w:r w:rsidRPr="00CC773F">
        <w:rPr>
          <w:rFonts w:ascii="Arial" w:hAnsi="Arial" w:cs="Arial"/>
          <w:b/>
          <w:i/>
          <w:sz w:val="24"/>
          <w:szCs w:val="24"/>
          <w:lang w:val="en-GB" w:eastAsia="en-ZA"/>
        </w:rPr>
        <w:t xml:space="preserve"> Decision</w:t>
      </w:r>
    </w:p>
    <w:p w:rsidR="00467E0A" w:rsidRDefault="0059658E" w:rsidP="00467E0A">
      <w:pPr>
        <w:pStyle w:val="XClause2Sub"/>
        <w:numPr>
          <w:ilvl w:val="0"/>
          <w:numId w:val="0"/>
        </w:numPr>
        <w:rPr>
          <w:rFonts w:ascii="Arial" w:hAnsi="Arial" w:cs="Arial"/>
          <w:sz w:val="24"/>
          <w:szCs w:val="24"/>
          <w:lang w:val="en-GB" w:eastAsia="en-ZA"/>
        </w:rPr>
      </w:pPr>
      <w:r>
        <w:rPr>
          <w:rFonts w:ascii="Arial" w:hAnsi="Arial" w:cs="Arial"/>
          <w:sz w:val="24"/>
          <w:szCs w:val="24"/>
          <w:lang w:val="en-GB" w:eastAsia="en-ZA"/>
        </w:rPr>
        <w:t>[44</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r>
      <w:r w:rsidR="00467E0A">
        <w:rPr>
          <w:rFonts w:ascii="Arial" w:hAnsi="Arial" w:cs="Arial"/>
          <w:sz w:val="24"/>
          <w:szCs w:val="24"/>
          <w:lang w:val="en-GB" w:eastAsia="en-ZA"/>
        </w:rPr>
        <w:t xml:space="preserve">The SIU contends that the second decision stands to be reviewed and set aside as it is irrational. </w:t>
      </w:r>
    </w:p>
    <w:p w:rsidR="00467E0A" w:rsidRDefault="00467E0A" w:rsidP="00467E0A">
      <w:pPr>
        <w:pStyle w:val="PlainText"/>
        <w:spacing w:after="40" w:line="360" w:lineRule="auto"/>
        <w:jc w:val="both"/>
        <w:rPr>
          <w:sz w:val="24"/>
          <w:szCs w:val="24"/>
        </w:rPr>
      </w:pPr>
    </w:p>
    <w:p w:rsidR="00467E0A" w:rsidRDefault="0059658E" w:rsidP="00467E0A">
      <w:pPr>
        <w:pStyle w:val="PlainText"/>
        <w:spacing w:after="40" w:line="360" w:lineRule="auto"/>
        <w:jc w:val="both"/>
        <w:rPr>
          <w:sz w:val="24"/>
          <w:szCs w:val="24"/>
        </w:rPr>
      </w:pPr>
      <w:r>
        <w:rPr>
          <w:sz w:val="24"/>
          <w:szCs w:val="24"/>
        </w:rPr>
        <w:t>[45</w:t>
      </w:r>
      <w:r w:rsidR="00467E0A">
        <w:rPr>
          <w:sz w:val="24"/>
          <w:szCs w:val="24"/>
        </w:rPr>
        <w:t>]</w:t>
      </w:r>
      <w:r w:rsidR="00467E0A">
        <w:rPr>
          <w:sz w:val="24"/>
          <w:szCs w:val="24"/>
        </w:rPr>
        <w:tab/>
        <w:t>When determining whether the second decision is irrational, I derive guidance from the principles set out below:</w:t>
      </w:r>
    </w:p>
    <w:p w:rsidR="0059658E" w:rsidRDefault="00467E0A" w:rsidP="0059658E">
      <w:pPr>
        <w:pStyle w:val="PlainText"/>
        <w:numPr>
          <w:ilvl w:val="1"/>
          <w:numId w:val="22"/>
        </w:numPr>
        <w:spacing w:after="40" w:line="360" w:lineRule="auto"/>
        <w:jc w:val="both"/>
        <w:rPr>
          <w:sz w:val="24"/>
          <w:szCs w:val="24"/>
        </w:rPr>
      </w:pPr>
      <w:r>
        <w:rPr>
          <w:sz w:val="24"/>
          <w:szCs w:val="24"/>
        </w:rPr>
        <w:t>all exercise of public power must be rational;</w:t>
      </w:r>
    </w:p>
    <w:p w:rsidR="0059658E" w:rsidRDefault="00467E0A" w:rsidP="0059658E">
      <w:pPr>
        <w:pStyle w:val="PlainText"/>
        <w:numPr>
          <w:ilvl w:val="1"/>
          <w:numId w:val="22"/>
        </w:numPr>
        <w:spacing w:after="40" w:line="360" w:lineRule="auto"/>
        <w:jc w:val="both"/>
        <w:rPr>
          <w:sz w:val="24"/>
          <w:szCs w:val="24"/>
        </w:rPr>
      </w:pPr>
      <w:r w:rsidRPr="0059658E">
        <w:rPr>
          <w:sz w:val="24"/>
          <w:szCs w:val="24"/>
        </w:rPr>
        <w:lastRenderedPageBreak/>
        <w:t>the requirement of rationality obliges courts to engage in an evaluation of the relationship between the means employed to reach a decision on the one hand, and the purpose for which the power to make the decision was conferred, on the other;</w:t>
      </w:r>
    </w:p>
    <w:p w:rsidR="0059658E" w:rsidRDefault="00467E0A" w:rsidP="0059658E">
      <w:pPr>
        <w:pStyle w:val="PlainText"/>
        <w:numPr>
          <w:ilvl w:val="1"/>
          <w:numId w:val="22"/>
        </w:numPr>
        <w:spacing w:after="40" w:line="360" w:lineRule="auto"/>
        <w:jc w:val="both"/>
        <w:rPr>
          <w:sz w:val="24"/>
          <w:szCs w:val="24"/>
        </w:rPr>
      </w:pPr>
      <w:r w:rsidRPr="0059658E">
        <w:rPr>
          <w:sz w:val="24"/>
          <w:szCs w:val="24"/>
        </w:rPr>
        <w:t>each and every step in the process of reaching the decision must be rationally related to the outcome;</w:t>
      </w:r>
    </w:p>
    <w:p w:rsidR="0059658E" w:rsidRDefault="00467E0A" w:rsidP="0059658E">
      <w:pPr>
        <w:pStyle w:val="PlainText"/>
        <w:numPr>
          <w:ilvl w:val="1"/>
          <w:numId w:val="22"/>
        </w:numPr>
        <w:spacing w:after="40" w:line="360" w:lineRule="auto"/>
        <w:jc w:val="both"/>
        <w:rPr>
          <w:sz w:val="24"/>
          <w:szCs w:val="24"/>
        </w:rPr>
      </w:pPr>
      <w:r w:rsidRPr="0059658E">
        <w:rPr>
          <w:sz w:val="24"/>
          <w:szCs w:val="24"/>
        </w:rPr>
        <w:t>a failure to take into account relevant material that colours the entire process with irrationality will render the decision irrational;</w:t>
      </w:r>
    </w:p>
    <w:p w:rsidR="00467E0A" w:rsidRPr="0059658E" w:rsidRDefault="00467E0A" w:rsidP="0059658E">
      <w:pPr>
        <w:pStyle w:val="PlainText"/>
        <w:numPr>
          <w:ilvl w:val="1"/>
          <w:numId w:val="22"/>
        </w:numPr>
        <w:spacing w:after="40" w:line="360" w:lineRule="auto"/>
        <w:jc w:val="both"/>
        <w:rPr>
          <w:sz w:val="24"/>
          <w:szCs w:val="24"/>
        </w:rPr>
      </w:pPr>
      <w:r w:rsidRPr="0059658E">
        <w:rPr>
          <w:sz w:val="24"/>
          <w:szCs w:val="24"/>
        </w:rPr>
        <w:t>the rationality test is the least invasive form of legal scrutiny and its applicability in respect of executive decisions flows from an acceptance and recognition of the separation of powers, not the converse.</w:t>
      </w:r>
      <w:r>
        <w:rPr>
          <w:rStyle w:val="FootnoteReference"/>
          <w:sz w:val="24"/>
        </w:rPr>
        <w:footnoteReference w:id="17"/>
      </w:r>
      <w:r w:rsidRPr="0059658E">
        <w:rPr>
          <w:sz w:val="24"/>
          <w:szCs w:val="24"/>
        </w:rPr>
        <w:t xml:space="preserve"> </w:t>
      </w:r>
    </w:p>
    <w:p w:rsidR="00467E0A" w:rsidRDefault="00467E0A" w:rsidP="00467E0A">
      <w:pPr>
        <w:pStyle w:val="XClause2Sub"/>
        <w:numPr>
          <w:ilvl w:val="0"/>
          <w:numId w:val="0"/>
        </w:numPr>
        <w:spacing w:after="0"/>
        <w:rPr>
          <w:rFonts w:ascii="Arial" w:hAnsi="Arial" w:cs="Arial"/>
          <w:sz w:val="24"/>
          <w:szCs w:val="24"/>
          <w:lang w:val="en-GB" w:eastAsia="en-ZA"/>
        </w:rPr>
      </w:pPr>
    </w:p>
    <w:p w:rsidR="00467E0A" w:rsidRDefault="0059658E" w:rsidP="00467E0A">
      <w:pPr>
        <w:pStyle w:val="XClause2Sub"/>
        <w:numPr>
          <w:ilvl w:val="0"/>
          <w:numId w:val="0"/>
        </w:numPr>
        <w:rPr>
          <w:rFonts w:ascii="Arial" w:hAnsi="Arial" w:cs="Arial"/>
          <w:sz w:val="24"/>
          <w:szCs w:val="24"/>
          <w:lang w:val="en-GB" w:eastAsia="en-ZA"/>
        </w:rPr>
      </w:pPr>
      <w:r>
        <w:rPr>
          <w:rFonts w:ascii="Arial" w:hAnsi="Arial" w:cs="Arial"/>
          <w:sz w:val="24"/>
          <w:szCs w:val="24"/>
          <w:lang w:val="en-GB" w:eastAsia="en-ZA"/>
        </w:rPr>
        <w:t>[46</w:t>
      </w:r>
      <w:r w:rsidR="00467E0A">
        <w:rPr>
          <w:rFonts w:ascii="Arial" w:hAnsi="Arial" w:cs="Arial"/>
          <w:sz w:val="24"/>
          <w:szCs w:val="24"/>
          <w:lang w:val="en-GB" w:eastAsia="en-ZA"/>
        </w:rPr>
        <w:t>]</w:t>
      </w:r>
      <w:r w:rsidR="00467E0A">
        <w:rPr>
          <w:rFonts w:ascii="Arial" w:hAnsi="Arial" w:cs="Arial"/>
          <w:sz w:val="24"/>
          <w:szCs w:val="24"/>
          <w:lang w:val="en-GB" w:eastAsia="en-ZA"/>
        </w:rPr>
        <w:tab/>
        <w:t>When the second decision was taken, the Department had commissioned the Deloitte and internal investigations referenced above. On the basis of the findings from the</w:t>
      </w:r>
      <w:r w:rsidR="008A5270">
        <w:rPr>
          <w:rFonts w:ascii="Arial" w:hAnsi="Arial" w:cs="Arial"/>
          <w:sz w:val="24"/>
          <w:szCs w:val="24"/>
          <w:lang w:val="en-GB" w:eastAsia="en-ZA"/>
        </w:rPr>
        <w:t>se investigations, the Department</w:t>
      </w:r>
      <w:r w:rsidR="00467E0A">
        <w:rPr>
          <w:rFonts w:ascii="Arial" w:hAnsi="Arial" w:cs="Arial"/>
          <w:sz w:val="24"/>
          <w:szCs w:val="24"/>
          <w:lang w:val="en-GB" w:eastAsia="en-ZA"/>
        </w:rPr>
        <w:t xml:space="preserve"> refused to extend PLAS benefits to Cultiver. Cultiver, Mike’s Chicken and its business rescue practitioner sought an order in the Limpopo High Court compelling the Department to extend PLAS benefits to Cultiver. The Department opposed the application. The Department’s senior counsel had addressed a legal opinion to the Department, advising it of the merits of its opposition and was of the opinion that the Department enjoyed strong prospects of success. Proclamation R.24 had been issued. The SIU had commenced its investigation into the acquisition of Mike’s Chicken and the appointment of Cultiver as a PLAS beneficiary. All these events took place when Minister Nkwinti was the incumbent Minister of Rural Development and Land Reform.</w:t>
      </w:r>
    </w:p>
    <w:p w:rsidR="00467E0A" w:rsidRDefault="00467E0A" w:rsidP="00467E0A">
      <w:pPr>
        <w:pStyle w:val="XClause2Sub"/>
        <w:numPr>
          <w:ilvl w:val="0"/>
          <w:numId w:val="0"/>
        </w:numPr>
        <w:rPr>
          <w:rFonts w:ascii="Arial" w:hAnsi="Arial" w:cs="Arial"/>
          <w:sz w:val="24"/>
          <w:szCs w:val="24"/>
          <w:lang w:val="en-GB" w:eastAsia="en-ZA"/>
        </w:rPr>
      </w:pPr>
    </w:p>
    <w:p w:rsidR="00467E0A" w:rsidRPr="00CC773F" w:rsidRDefault="0059658E" w:rsidP="00467E0A">
      <w:pPr>
        <w:pStyle w:val="XClause2Sub"/>
        <w:numPr>
          <w:ilvl w:val="0"/>
          <w:numId w:val="0"/>
        </w:numPr>
        <w:rPr>
          <w:rFonts w:ascii="Arial" w:hAnsi="Arial" w:cs="Arial"/>
          <w:sz w:val="24"/>
          <w:szCs w:val="24"/>
          <w:lang w:val="en-GB" w:eastAsia="en-ZA"/>
        </w:rPr>
      </w:pPr>
      <w:r>
        <w:rPr>
          <w:rFonts w:ascii="Arial" w:hAnsi="Arial" w:cs="Arial"/>
          <w:sz w:val="24"/>
          <w:szCs w:val="24"/>
          <w:lang w:val="en-GB" w:eastAsia="en-ZA"/>
        </w:rPr>
        <w:t>[47</w:t>
      </w:r>
      <w:r w:rsidR="00467E0A">
        <w:rPr>
          <w:rFonts w:ascii="Arial" w:hAnsi="Arial" w:cs="Arial"/>
          <w:sz w:val="24"/>
          <w:szCs w:val="24"/>
          <w:lang w:val="en-GB" w:eastAsia="en-ZA"/>
        </w:rPr>
        <w:t>]</w:t>
      </w:r>
      <w:r w:rsidR="00467E0A">
        <w:rPr>
          <w:rFonts w:ascii="Arial" w:hAnsi="Arial" w:cs="Arial"/>
          <w:sz w:val="24"/>
          <w:szCs w:val="24"/>
          <w:lang w:val="en-GB" w:eastAsia="en-ZA"/>
        </w:rPr>
        <w:tab/>
        <w:t xml:space="preserve">After Minister Nkoana-Mashabane replaced Minister Nkwinti, Mr Twala wrote to Minister Nkoana-Mashabane asking her to intervene as Cultiver would like to settle the Polokwane application on the basis that the Department acquiesce its demands. Minister Nkoana-Mashabane instructed the Department to withdraw its opposition of </w:t>
      </w:r>
      <w:r w:rsidR="00467E0A">
        <w:rPr>
          <w:rFonts w:ascii="Arial" w:hAnsi="Arial" w:cs="Arial"/>
          <w:sz w:val="24"/>
          <w:szCs w:val="24"/>
          <w:lang w:val="en-GB" w:eastAsia="en-ZA"/>
        </w:rPr>
        <w:lastRenderedPageBreak/>
        <w:t xml:space="preserve">the Polokwane application and regularise Cultiver’s occupation of the leased premises. </w:t>
      </w:r>
      <w:r w:rsidR="00467E0A" w:rsidRPr="00CC773F">
        <w:rPr>
          <w:rFonts w:ascii="Arial" w:hAnsi="Arial" w:cs="Arial"/>
          <w:sz w:val="24"/>
          <w:szCs w:val="24"/>
          <w:lang w:val="en-GB" w:eastAsia="en-ZA"/>
        </w:rPr>
        <w:t>It is unfortunate that the SIU never interviewed Mi</w:t>
      </w:r>
      <w:r w:rsidR="00C51E9C">
        <w:rPr>
          <w:rFonts w:ascii="Arial" w:hAnsi="Arial" w:cs="Arial"/>
          <w:sz w:val="24"/>
          <w:szCs w:val="24"/>
          <w:lang w:val="en-GB" w:eastAsia="en-ZA"/>
        </w:rPr>
        <w:t>nister Nkoana-Mashabane. However</w:t>
      </w:r>
      <w:r w:rsidR="00467E0A" w:rsidRPr="00CC773F">
        <w:rPr>
          <w:rFonts w:ascii="Arial" w:hAnsi="Arial" w:cs="Arial"/>
          <w:sz w:val="24"/>
          <w:szCs w:val="24"/>
          <w:lang w:val="en-GB" w:eastAsia="en-ZA"/>
        </w:rPr>
        <w:t>, this omission is not fa</w:t>
      </w:r>
      <w:r w:rsidR="00467E0A">
        <w:rPr>
          <w:rFonts w:ascii="Arial" w:hAnsi="Arial" w:cs="Arial"/>
          <w:sz w:val="24"/>
          <w:szCs w:val="24"/>
          <w:lang w:val="en-GB" w:eastAsia="en-ZA"/>
        </w:rPr>
        <w:t>tal to the present application as t</w:t>
      </w:r>
      <w:r w:rsidR="00467E0A" w:rsidRPr="00CC773F">
        <w:rPr>
          <w:rFonts w:ascii="Arial" w:hAnsi="Arial" w:cs="Arial"/>
          <w:sz w:val="24"/>
          <w:szCs w:val="24"/>
          <w:lang w:val="en-GB" w:eastAsia="en-ZA"/>
        </w:rPr>
        <w:t>he SIU did not lie supine.</w:t>
      </w:r>
      <w:r w:rsidR="00467E0A">
        <w:rPr>
          <w:rFonts w:ascii="Arial" w:hAnsi="Arial" w:cs="Arial"/>
          <w:sz w:val="24"/>
          <w:szCs w:val="24"/>
          <w:lang w:val="en-GB" w:eastAsia="en-ZA"/>
        </w:rPr>
        <w:t xml:space="preserve"> </w:t>
      </w:r>
      <w:r w:rsidR="00C51E9C">
        <w:rPr>
          <w:rFonts w:ascii="Arial" w:hAnsi="Arial" w:cs="Arial"/>
          <w:sz w:val="24"/>
          <w:szCs w:val="24"/>
          <w:lang w:val="en-GB" w:eastAsia="en-ZA"/>
        </w:rPr>
        <w:t>Further, t</w:t>
      </w:r>
      <w:r w:rsidR="00467E0A">
        <w:rPr>
          <w:rFonts w:ascii="Arial" w:hAnsi="Arial" w:cs="Arial"/>
          <w:sz w:val="24"/>
          <w:szCs w:val="24"/>
          <w:lang w:val="en-GB" w:eastAsia="en-ZA"/>
        </w:rPr>
        <w:t>he omission</w:t>
      </w:r>
      <w:r w:rsidR="00467E0A" w:rsidRPr="00CC773F">
        <w:rPr>
          <w:rFonts w:ascii="Arial" w:hAnsi="Arial" w:cs="Arial"/>
          <w:sz w:val="24"/>
          <w:szCs w:val="24"/>
          <w:lang w:val="en-GB" w:eastAsia="en-ZA"/>
        </w:rPr>
        <w:t xml:space="preserve"> does not san</w:t>
      </w:r>
      <w:r w:rsidR="002D0BF2">
        <w:rPr>
          <w:rFonts w:ascii="Arial" w:hAnsi="Arial" w:cs="Arial"/>
          <w:sz w:val="24"/>
          <w:szCs w:val="24"/>
          <w:lang w:val="en-GB" w:eastAsia="en-ZA"/>
        </w:rPr>
        <w:t>itize the second decision</w:t>
      </w:r>
      <w:r w:rsidR="00467E0A" w:rsidRPr="00CC773F">
        <w:rPr>
          <w:rFonts w:ascii="Arial" w:hAnsi="Arial" w:cs="Arial"/>
          <w:sz w:val="24"/>
          <w:szCs w:val="24"/>
          <w:lang w:val="en-GB" w:eastAsia="en-ZA"/>
        </w:rPr>
        <w:t xml:space="preserve"> in the face of the </w:t>
      </w:r>
      <w:r w:rsidR="008A5270" w:rsidRPr="00CC773F">
        <w:rPr>
          <w:rFonts w:ascii="Arial" w:hAnsi="Arial" w:cs="Arial"/>
          <w:sz w:val="24"/>
          <w:szCs w:val="24"/>
          <w:lang w:val="en-GB" w:eastAsia="en-ZA"/>
        </w:rPr>
        <w:t>anomalous</w:t>
      </w:r>
      <w:r w:rsidR="00467E0A" w:rsidRPr="00CC773F">
        <w:rPr>
          <w:rFonts w:ascii="Arial" w:hAnsi="Arial" w:cs="Arial"/>
          <w:sz w:val="24"/>
          <w:szCs w:val="24"/>
          <w:lang w:val="en-GB" w:eastAsia="en-ZA"/>
        </w:rPr>
        <w:t xml:space="preserve"> circumstances </w:t>
      </w:r>
      <w:r w:rsidR="00467E0A">
        <w:rPr>
          <w:rFonts w:ascii="Arial" w:hAnsi="Arial" w:cs="Arial"/>
          <w:sz w:val="24"/>
          <w:szCs w:val="24"/>
          <w:lang w:val="en-GB" w:eastAsia="en-ZA"/>
        </w:rPr>
        <w:t xml:space="preserve">(sketched out above) </w:t>
      </w:r>
      <w:r w:rsidR="00467E0A" w:rsidRPr="00CC773F">
        <w:rPr>
          <w:rFonts w:ascii="Arial" w:hAnsi="Arial" w:cs="Arial"/>
          <w:sz w:val="24"/>
          <w:szCs w:val="24"/>
          <w:lang w:val="en-GB" w:eastAsia="en-ZA"/>
        </w:rPr>
        <w:t>under which it was ma</w:t>
      </w:r>
      <w:r w:rsidR="00C51E9C">
        <w:rPr>
          <w:rFonts w:ascii="Arial" w:hAnsi="Arial" w:cs="Arial"/>
          <w:sz w:val="24"/>
          <w:szCs w:val="24"/>
          <w:lang w:val="en-GB" w:eastAsia="en-ZA"/>
        </w:rPr>
        <w:t>de, which taints it</w:t>
      </w:r>
      <w:r w:rsidR="00467E0A" w:rsidRPr="00CC773F">
        <w:rPr>
          <w:rFonts w:ascii="Arial" w:hAnsi="Arial" w:cs="Arial"/>
          <w:sz w:val="24"/>
          <w:szCs w:val="24"/>
          <w:lang w:val="en-GB" w:eastAsia="en-ZA"/>
        </w:rPr>
        <w:t xml:space="preserve"> with irrationality. </w:t>
      </w:r>
    </w:p>
    <w:p w:rsidR="00467E0A" w:rsidRPr="00CC773F" w:rsidRDefault="00467E0A" w:rsidP="00467E0A">
      <w:pPr>
        <w:pStyle w:val="XClause1Head"/>
        <w:numPr>
          <w:ilvl w:val="0"/>
          <w:numId w:val="0"/>
        </w:numPr>
        <w:rPr>
          <w:rFonts w:ascii="Arial" w:hAnsi="Arial" w:cs="Arial"/>
          <w:sz w:val="24"/>
          <w:szCs w:val="24"/>
          <w:lang w:val="en-GB" w:eastAsia="en-ZA"/>
        </w:rPr>
      </w:pPr>
    </w:p>
    <w:p w:rsidR="00467E0A" w:rsidRPr="00CC773F"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[48</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r>
      <w:r w:rsidR="00467E0A">
        <w:rPr>
          <w:rFonts w:ascii="Arial" w:hAnsi="Arial" w:cs="Arial"/>
          <w:sz w:val="24"/>
          <w:szCs w:val="24"/>
          <w:lang w:val="en-GB" w:eastAsia="en-ZA"/>
        </w:rPr>
        <w:t>The SIU</w:t>
      </w:r>
      <w:r w:rsidR="00467E0A" w:rsidRPr="00CC773F">
        <w:rPr>
          <w:rFonts w:ascii="Arial" w:hAnsi="Arial" w:cs="Arial"/>
          <w:sz w:val="24"/>
          <w:szCs w:val="24"/>
          <w:lang w:val="en-GB" w:eastAsia="en-ZA"/>
        </w:rPr>
        <w:t xml:space="preserve"> immediately addressed an email to </w:t>
      </w:r>
      <w:r w:rsidR="00467E0A">
        <w:rPr>
          <w:rFonts w:ascii="Arial" w:hAnsi="Arial" w:cs="Arial"/>
          <w:sz w:val="24"/>
          <w:szCs w:val="24"/>
          <w:lang w:val="en-GB" w:eastAsia="en-ZA"/>
        </w:rPr>
        <w:t xml:space="preserve">the head of Ministry </w:t>
      </w:r>
      <w:r w:rsidR="00467E0A" w:rsidRPr="00CC773F">
        <w:rPr>
          <w:rFonts w:ascii="Arial" w:hAnsi="Arial" w:cs="Arial"/>
          <w:sz w:val="24"/>
          <w:szCs w:val="24"/>
          <w:lang w:val="en-GB" w:eastAsia="en-ZA"/>
        </w:rPr>
        <w:t>Mr Mokono, copying the Acting Director General</w:t>
      </w:r>
      <w:r w:rsidR="00467E0A">
        <w:rPr>
          <w:rFonts w:ascii="Arial" w:hAnsi="Arial" w:cs="Arial"/>
          <w:sz w:val="24"/>
          <w:szCs w:val="24"/>
          <w:lang w:val="en-GB" w:eastAsia="en-ZA"/>
        </w:rPr>
        <w:t xml:space="preserve"> Ms Sadiki</w:t>
      </w:r>
      <w:r w:rsidR="00467E0A" w:rsidRPr="00CC773F">
        <w:rPr>
          <w:rFonts w:ascii="Arial" w:hAnsi="Arial" w:cs="Arial"/>
          <w:sz w:val="24"/>
          <w:szCs w:val="24"/>
          <w:lang w:val="en-GB" w:eastAsia="en-ZA"/>
        </w:rPr>
        <w:t xml:space="preserve"> and the Chief Director: Legal Services, with reference to the merits of the Department’s grounds of opposition in the Polokwane application, calling for full reasons for the </w:t>
      </w:r>
      <w:r w:rsidR="002D0BF2">
        <w:rPr>
          <w:rFonts w:ascii="Arial" w:hAnsi="Arial" w:cs="Arial"/>
          <w:sz w:val="24"/>
          <w:szCs w:val="24"/>
          <w:lang w:val="en-GB" w:eastAsia="en-ZA"/>
        </w:rPr>
        <w:t xml:space="preserve">second decision </w:t>
      </w:r>
      <w:r w:rsidR="00467E0A">
        <w:rPr>
          <w:rFonts w:ascii="Arial" w:hAnsi="Arial" w:cs="Arial"/>
          <w:sz w:val="24"/>
          <w:szCs w:val="24"/>
          <w:lang w:val="en-GB" w:eastAsia="en-ZA"/>
        </w:rPr>
        <w:t>and threatening to impugn</w:t>
      </w:r>
      <w:r w:rsidR="00467E0A" w:rsidRPr="00CC773F">
        <w:rPr>
          <w:rFonts w:ascii="Arial" w:hAnsi="Arial" w:cs="Arial"/>
          <w:sz w:val="24"/>
          <w:szCs w:val="24"/>
          <w:lang w:val="en-GB" w:eastAsia="en-ZA"/>
        </w:rPr>
        <w:t xml:space="preserve"> the lease agreement to have it set aside together with any settlement agreement subsequently concluded between the </w:t>
      </w:r>
      <w:r w:rsidR="00467E0A">
        <w:rPr>
          <w:rFonts w:ascii="Arial" w:hAnsi="Arial" w:cs="Arial"/>
          <w:sz w:val="24"/>
          <w:szCs w:val="24"/>
          <w:lang w:val="en-GB" w:eastAsia="en-ZA"/>
        </w:rPr>
        <w:t>Department and Cultiver</w:t>
      </w:r>
      <w:r w:rsidR="00467E0A" w:rsidRPr="00CC773F">
        <w:rPr>
          <w:rFonts w:ascii="Arial" w:hAnsi="Arial" w:cs="Arial"/>
          <w:sz w:val="24"/>
          <w:szCs w:val="24"/>
          <w:lang w:val="en-GB" w:eastAsia="en-ZA"/>
        </w:rPr>
        <w:t>. The Departmental officials to which the email was</w:t>
      </w:r>
      <w:r w:rsidR="00467E0A">
        <w:rPr>
          <w:rFonts w:ascii="Arial" w:hAnsi="Arial" w:cs="Arial"/>
          <w:sz w:val="24"/>
          <w:szCs w:val="24"/>
          <w:lang w:val="en-GB" w:eastAsia="en-ZA"/>
        </w:rPr>
        <w:t xml:space="preserve"> addressed </w:t>
      </w:r>
      <w:r w:rsidR="002D0BF2">
        <w:rPr>
          <w:rFonts w:ascii="Arial" w:hAnsi="Arial" w:cs="Arial"/>
          <w:sz w:val="24"/>
          <w:szCs w:val="24"/>
          <w:lang w:val="en-GB" w:eastAsia="en-ZA"/>
        </w:rPr>
        <w:t xml:space="preserve">and copied </w:t>
      </w:r>
      <w:r w:rsidR="00467E0A">
        <w:rPr>
          <w:rFonts w:ascii="Arial" w:hAnsi="Arial" w:cs="Arial"/>
          <w:sz w:val="24"/>
          <w:szCs w:val="24"/>
          <w:lang w:val="en-GB" w:eastAsia="en-ZA"/>
        </w:rPr>
        <w:t>did not respond to the email</w:t>
      </w:r>
      <w:r w:rsidR="00E76038">
        <w:rPr>
          <w:rFonts w:ascii="Arial" w:hAnsi="Arial" w:cs="Arial"/>
          <w:sz w:val="24"/>
          <w:szCs w:val="24"/>
          <w:lang w:val="en-GB" w:eastAsia="en-ZA"/>
        </w:rPr>
        <w:t>. Mr Mokono and Ms Sadiki</w:t>
      </w:r>
      <w:r w:rsidR="00467E0A" w:rsidRPr="00CC773F">
        <w:rPr>
          <w:rFonts w:ascii="Arial" w:hAnsi="Arial" w:cs="Arial"/>
          <w:sz w:val="24"/>
          <w:szCs w:val="24"/>
          <w:lang w:val="en-GB" w:eastAsia="en-ZA"/>
        </w:rPr>
        <w:t xml:space="preserve"> only engaged the SIU after it had subpoenaed them in terms of s5(2)(b) and (c) of the SIU Act. </w:t>
      </w:r>
      <w:r w:rsidR="008A5270">
        <w:rPr>
          <w:rFonts w:ascii="Arial" w:hAnsi="Arial" w:cs="Arial"/>
          <w:sz w:val="24"/>
          <w:szCs w:val="24"/>
          <w:lang w:val="en-GB" w:eastAsia="en-ZA"/>
        </w:rPr>
        <w:t>When questioned by the SIU, Mr Mokono and Ms Sadiki</w:t>
      </w:r>
      <w:r w:rsidR="00467E0A" w:rsidRPr="00CC773F">
        <w:rPr>
          <w:rFonts w:ascii="Arial" w:hAnsi="Arial" w:cs="Arial"/>
          <w:sz w:val="24"/>
          <w:szCs w:val="24"/>
          <w:lang w:val="en-GB" w:eastAsia="en-ZA"/>
        </w:rPr>
        <w:t xml:space="preserve"> confirmed that all the parties involved were aware that the SIU is investigating the matter, </w:t>
      </w:r>
      <w:r w:rsidR="00467E0A">
        <w:rPr>
          <w:rFonts w:ascii="Arial" w:hAnsi="Arial" w:cs="Arial"/>
          <w:sz w:val="24"/>
          <w:szCs w:val="24"/>
          <w:lang w:val="en-GB" w:eastAsia="en-ZA"/>
        </w:rPr>
        <w:t>acted on Minister Nkoana-</w:t>
      </w:r>
      <w:r w:rsidR="00467E0A" w:rsidRPr="00CC773F">
        <w:rPr>
          <w:rFonts w:ascii="Arial" w:hAnsi="Arial" w:cs="Arial"/>
          <w:sz w:val="24"/>
          <w:szCs w:val="24"/>
          <w:lang w:val="en-GB" w:eastAsia="en-ZA"/>
        </w:rPr>
        <w:t>Mashabane</w:t>
      </w:r>
      <w:r w:rsidR="008A5270">
        <w:rPr>
          <w:rFonts w:ascii="Arial" w:hAnsi="Arial" w:cs="Arial"/>
          <w:sz w:val="24"/>
          <w:szCs w:val="24"/>
          <w:lang w:val="en-GB" w:eastAsia="en-ZA"/>
        </w:rPr>
        <w:t>’s instruction</w:t>
      </w:r>
      <w:r w:rsidR="00467E0A" w:rsidRPr="00CC773F">
        <w:rPr>
          <w:rFonts w:ascii="Arial" w:hAnsi="Arial" w:cs="Arial"/>
          <w:sz w:val="24"/>
          <w:szCs w:val="24"/>
          <w:lang w:val="en-GB" w:eastAsia="en-ZA"/>
        </w:rPr>
        <w:t xml:space="preserve"> without knowledge of her reasons for the </w:t>
      </w:r>
      <w:r w:rsidR="00471287">
        <w:rPr>
          <w:rFonts w:ascii="Arial" w:hAnsi="Arial" w:cs="Arial"/>
          <w:sz w:val="24"/>
          <w:szCs w:val="24"/>
          <w:lang w:val="en-GB" w:eastAsia="en-ZA"/>
        </w:rPr>
        <w:t xml:space="preserve">second decision </w:t>
      </w:r>
      <w:r w:rsidR="00E76038">
        <w:rPr>
          <w:rFonts w:ascii="Arial" w:hAnsi="Arial" w:cs="Arial"/>
          <w:sz w:val="24"/>
          <w:szCs w:val="24"/>
          <w:lang w:val="en-GB" w:eastAsia="en-ZA"/>
        </w:rPr>
        <w:t xml:space="preserve">and </w:t>
      </w:r>
      <w:r w:rsidR="00467E0A" w:rsidRPr="00CC773F">
        <w:rPr>
          <w:rFonts w:ascii="Arial" w:hAnsi="Arial" w:cs="Arial"/>
          <w:sz w:val="24"/>
          <w:szCs w:val="24"/>
          <w:lang w:val="en-GB" w:eastAsia="en-ZA"/>
        </w:rPr>
        <w:t xml:space="preserve">were not familiar with the details of the Polokwane application and the legal opinion provided to the Department by its counsel. </w:t>
      </w:r>
    </w:p>
    <w:p w:rsidR="00467E0A" w:rsidRPr="00CC773F"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[49</w:t>
      </w:r>
      <w:r w:rsidR="00E76038">
        <w:rPr>
          <w:rFonts w:ascii="Arial" w:hAnsi="Arial" w:cs="Arial"/>
          <w:sz w:val="24"/>
          <w:szCs w:val="24"/>
          <w:lang w:val="en-GB" w:eastAsia="en-ZA"/>
        </w:rPr>
        <w:t>]</w:t>
      </w:r>
      <w:r w:rsidR="00E76038">
        <w:rPr>
          <w:rFonts w:ascii="Arial" w:hAnsi="Arial" w:cs="Arial"/>
          <w:sz w:val="24"/>
          <w:szCs w:val="24"/>
          <w:lang w:val="en-GB" w:eastAsia="en-ZA"/>
        </w:rPr>
        <w:tab/>
        <w:t>The departmental officials further</w:t>
      </w:r>
      <w:r w:rsidR="00467E0A" w:rsidRPr="00CC773F">
        <w:rPr>
          <w:rFonts w:ascii="Arial" w:hAnsi="Arial" w:cs="Arial"/>
          <w:sz w:val="24"/>
          <w:szCs w:val="24"/>
          <w:lang w:val="en-GB" w:eastAsia="en-ZA"/>
        </w:rPr>
        <w:t xml:space="preserve"> indicated that they considered the </w:t>
      </w:r>
      <w:r w:rsidR="00471287">
        <w:rPr>
          <w:rFonts w:ascii="Arial" w:hAnsi="Arial" w:cs="Arial"/>
          <w:sz w:val="24"/>
          <w:szCs w:val="24"/>
          <w:lang w:val="en-GB" w:eastAsia="en-ZA"/>
        </w:rPr>
        <w:t xml:space="preserve">second decision lawful due to </w:t>
      </w:r>
      <w:r w:rsidR="00467E0A" w:rsidRPr="00CC773F">
        <w:rPr>
          <w:rFonts w:ascii="Arial" w:hAnsi="Arial" w:cs="Arial"/>
          <w:sz w:val="24"/>
          <w:szCs w:val="24"/>
          <w:lang w:val="en-GB" w:eastAsia="en-ZA"/>
        </w:rPr>
        <w:t xml:space="preserve">pending amendments to the PLAS </w:t>
      </w:r>
      <w:r w:rsidR="00471287">
        <w:rPr>
          <w:rFonts w:ascii="Arial" w:hAnsi="Arial" w:cs="Arial"/>
          <w:sz w:val="24"/>
          <w:szCs w:val="24"/>
          <w:lang w:val="en-GB" w:eastAsia="en-ZA"/>
        </w:rPr>
        <w:t xml:space="preserve">Manual </w:t>
      </w:r>
      <w:r w:rsidR="00467E0A" w:rsidRPr="00CC773F">
        <w:rPr>
          <w:rFonts w:ascii="Arial" w:hAnsi="Arial" w:cs="Arial"/>
          <w:sz w:val="24"/>
          <w:szCs w:val="24"/>
          <w:lang w:val="en-GB" w:eastAsia="en-ZA"/>
        </w:rPr>
        <w:t xml:space="preserve">and the interim arrangements that had been put in place. But the </w:t>
      </w:r>
      <w:r w:rsidR="00471287">
        <w:rPr>
          <w:rFonts w:ascii="Arial" w:hAnsi="Arial" w:cs="Arial"/>
          <w:sz w:val="24"/>
          <w:szCs w:val="24"/>
          <w:lang w:val="en-GB" w:eastAsia="en-ZA"/>
        </w:rPr>
        <w:t xml:space="preserve">pending </w:t>
      </w:r>
      <w:r w:rsidR="00467E0A" w:rsidRPr="00CC773F">
        <w:rPr>
          <w:rFonts w:ascii="Arial" w:hAnsi="Arial" w:cs="Arial"/>
          <w:sz w:val="24"/>
          <w:szCs w:val="24"/>
          <w:lang w:val="en-GB" w:eastAsia="en-ZA"/>
        </w:rPr>
        <w:t>amendments only related to the calculation of the rental. The rest of the PLAS</w:t>
      </w:r>
      <w:r w:rsidR="00467E0A">
        <w:rPr>
          <w:rFonts w:ascii="Arial" w:hAnsi="Arial" w:cs="Arial"/>
          <w:sz w:val="24"/>
          <w:szCs w:val="24"/>
          <w:lang w:val="en-GB" w:eastAsia="en-ZA"/>
        </w:rPr>
        <w:t xml:space="preserve"> policy </w:t>
      </w:r>
      <w:r w:rsidR="00471287">
        <w:rPr>
          <w:rFonts w:ascii="Arial" w:hAnsi="Arial" w:cs="Arial"/>
          <w:sz w:val="24"/>
          <w:szCs w:val="24"/>
          <w:lang w:val="en-GB" w:eastAsia="en-ZA"/>
        </w:rPr>
        <w:t xml:space="preserve">would </w:t>
      </w:r>
      <w:r w:rsidR="00467E0A">
        <w:rPr>
          <w:rFonts w:ascii="Arial" w:hAnsi="Arial" w:cs="Arial"/>
          <w:sz w:val="24"/>
          <w:szCs w:val="24"/>
          <w:lang w:val="en-GB" w:eastAsia="en-ZA"/>
        </w:rPr>
        <w:t xml:space="preserve">remain </w:t>
      </w:r>
      <w:r w:rsidR="00471287">
        <w:rPr>
          <w:rFonts w:ascii="Arial" w:hAnsi="Arial" w:cs="Arial"/>
          <w:sz w:val="24"/>
          <w:szCs w:val="24"/>
          <w:lang w:val="en-GB" w:eastAsia="en-ZA"/>
        </w:rPr>
        <w:t>in existence</w:t>
      </w:r>
      <w:r w:rsidR="00C51E9C">
        <w:rPr>
          <w:rFonts w:ascii="Arial" w:hAnsi="Arial" w:cs="Arial"/>
          <w:sz w:val="24"/>
          <w:szCs w:val="24"/>
          <w:lang w:val="en-GB" w:eastAsia="en-ZA"/>
        </w:rPr>
        <w:t>. As a result</w:t>
      </w:r>
      <w:r w:rsidR="00467E0A" w:rsidRPr="00CC773F">
        <w:rPr>
          <w:rFonts w:ascii="Arial" w:hAnsi="Arial" w:cs="Arial"/>
          <w:sz w:val="24"/>
          <w:szCs w:val="24"/>
          <w:lang w:val="en-GB" w:eastAsia="en-ZA"/>
        </w:rPr>
        <w:t xml:space="preserve">, Cultiver’s </w:t>
      </w:r>
      <w:r w:rsidR="00467E0A">
        <w:rPr>
          <w:rFonts w:ascii="Arial" w:hAnsi="Arial" w:cs="Arial"/>
          <w:sz w:val="24"/>
          <w:szCs w:val="24"/>
          <w:lang w:val="en-GB" w:eastAsia="en-ZA"/>
        </w:rPr>
        <w:t xml:space="preserve">alleged irregular </w:t>
      </w:r>
      <w:r w:rsidR="00467E0A" w:rsidRPr="00CC773F">
        <w:rPr>
          <w:rFonts w:ascii="Arial" w:hAnsi="Arial" w:cs="Arial"/>
          <w:sz w:val="24"/>
          <w:szCs w:val="24"/>
          <w:lang w:val="en-GB" w:eastAsia="en-ZA"/>
        </w:rPr>
        <w:t xml:space="preserve">appointment as a </w:t>
      </w:r>
      <w:r w:rsidR="00467E0A">
        <w:rPr>
          <w:rFonts w:ascii="Arial" w:hAnsi="Arial" w:cs="Arial"/>
          <w:sz w:val="24"/>
          <w:szCs w:val="24"/>
          <w:lang w:val="en-GB" w:eastAsia="en-ZA"/>
        </w:rPr>
        <w:t xml:space="preserve">PLAS </w:t>
      </w:r>
      <w:r w:rsidR="00467E0A" w:rsidRPr="00CC773F">
        <w:rPr>
          <w:rFonts w:ascii="Arial" w:hAnsi="Arial" w:cs="Arial"/>
          <w:sz w:val="24"/>
          <w:szCs w:val="24"/>
          <w:lang w:val="en-GB" w:eastAsia="en-ZA"/>
        </w:rPr>
        <w:t>beneficiary would not be regularised by the pending amendments to the PLAS manual. As contended on behalf of the SIU, the profess</w:t>
      </w:r>
      <w:r w:rsidR="00467E0A">
        <w:rPr>
          <w:rFonts w:ascii="Arial" w:hAnsi="Arial" w:cs="Arial"/>
          <w:sz w:val="24"/>
          <w:szCs w:val="24"/>
          <w:lang w:val="en-GB" w:eastAsia="en-ZA"/>
        </w:rPr>
        <w:t>ed ignorance of these officials indicates that</w:t>
      </w:r>
      <w:r w:rsidR="00467E0A" w:rsidRPr="00CC773F">
        <w:rPr>
          <w:rFonts w:ascii="Arial" w:hAnsi="Arial" w:cs="Arial"/>
          <w:sz w:val="24"/>
          <w:szCs w:val="24"/>
          <w:lang w:val="en-GB" w:eastAsia="en-ZA"/>
        </w:rPr>
        <w:t xml:space="preserve"> they did not apply their minds when</w:t>
      </w:r>
      <w:r w:rsidR="00467E0A">
        <w:rPr>
          <w:rFonts w:ascii="Arial" w:hAnsi="Arial" w:cs="Arial"/>
          <w:sz w:val="24"/>
          <w:szCs w:val="24"/>
          <w:lang w:val="en-GB" w:eastAsia="en-ZA"/>
        </w:rPr>
        <w:t xml:space="preserve"> they executed </w:t>
      </w:r>
      <w:r w:rsidR="00471287">
        <w:rPr>
          <w:rFonts w:ascii="Arial" w:hAnsi="Arial" w:cs="Arial"/>
          <w:sz w:val="24"/>
          <w:szCs w:val="24"/>
          <w:lang w:val="en-GB" w:eastAsia="en-ZA"/>
        </w:rPr>
        <w:t xml:space="preserve">the second decision. </w:t>
      </w:r>
      <w:r w:rsidR="00467E0A" w:rsidRPr="00CC773F">
        <w:rPr>
          <w:rFonts w:ascii="Arial" w:hAnsi="Arial" w:cs="Arial"/>
          <w:sz w:val="24"/>
          <w:szCs w:val="24"/>
          <w:lang w:val="en-GB" w:eastAsia="en-ZA"/>
        </w:rPr>
        <w:t xml:space="preserve">Even when legal </w:t>
      </w:r>
      <w:r w:rsidR="00467E0A" w:rsidRPr="00CC773F">
        <w:rPr>
          <w:rFonts w:ascii="Arial" w:hAnsi="Arial" w:cs="Arial"/>
          <w:sz w:val="24"/>
          <w:szCs w:val="24"/>
          <w:lang w:val="en-GB" w:eastAsia="en-ZA"/>
        </w:rPr>
        <w:lastRenderedPageBreak/>
        <w:t xml:space="preserve">considerations were brought to their attention, they disregarded them in favour of the Minister’s instruction and/ or political events. </w:t>
      </w:r>
    </w:p>
    <w:p w:rsidR="00467E0A"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[50</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r>
      <w:r w:rsidR="00467E0A">
        <w:rPr>
          <w:rFonts w:ascii="Arial" w:hAnsi="Arial" w:cs="Arial"/>
          <w:sz w:val="24"/>
          <w:szCs w:val="24"/>
          <w:lang w:val="en-GB" w:eastAsia="en-ZA"/>
        </w:rPr>
        <w:t>On the conspectus of the evidence before the Tribunal, t</w:t>
      </w:r>
      <w:r w:rsidR="00467E0A" w:rsidRPr="00CC773F">
        <w:rPr>
          <w:rFonts w:ascii="Arial" w:hAnsi="Arial" w:cs="Arial"/>
          <w:sz w:val="24"/>
          <w:szCs w:val="24"/>
          <w:lang w:val="en-GB" w:eastAsia="en-ZA"/>
        </w:rPr>
        <w:t xml:space="preserve">he decision to withdraw the </w:t>
      </w:r>
      <w:r w:rsidR="00467E0A">
        <w:rPr>
          <w:rFonts w:ascii="Arial" w:hAnsi="Arial" w:cs="Arial"/>
          <w:sz w:val="24"/>
          <w:szCs w:val="24"/>
          <w:lang w:val="en-GB" w:eastAsia="en-ZA"/>
        </w:rPr>
        <w:t xml:space="preserve">Polokwane </w:t>
      </w:r>
      <w:r w:rsidR="00B20B39">
        <w:rPr>
          <w:rFonts w:ascii="Arial" w:hAnsi="Arial" w:cs="Arial"/>
          <w:sz w:val="24"/>
          <w:szCs w:val="24"/>
          <w:lang w:val="en-GB" w:eastAsia="en-ZA"/>
        </w:rPr>
        <w:t xml:space="preserve">application </w:t>
      </w:r>
      <w:r w:rsidR="008A5270">
        <w:rPr>
          <w:rFonts w:ascii="Arial" w:hAnsi="Arial" w:cs="Arial"/>
          <w:sz w:val="24"/>
          <w:szCs w:val="24"/>
          <w:lang w:val="en-GB" w:eastAsia="en-ZA"/>
        </w:rPr>
        <w:t>is not rationally connected to the Department’s refusal to extend PLAS benefits to Cultiver and to oppose Cultiver’s efforts in the Polokwane application to compel it to do so.</w:t>
      </w:r>
      <w:r w:rsidR="00467E0A" w:rsidRPr="00CC773F">
        <w:rPr>
          <w:rFonts w:ascii="Arial" w:hAnsi="Arial" w:cs="Arial"/>
          <w:sz w:val="24"/>
          <w:szCs w:val="24"/>
          <w:lang w:val="en-GB" w:eastAsia="en-ZA"/>
        </w:rPr>
        <w:t xml:space="preserve"> The Polokwane application was cl</w:t>
      </w:r>
      <w:r w:rsidR="00467E0A">
        <w:rPr>
          <w:rFonts w:ascii="Arial" w:hAnsi="Arial" w:cs="Arial"/>
          <w:sz w:val="24"/>
          <w:szCs w:val="24"/>
          <w:lang w:val="en-GB" w:eastAsia="en-ZA"/>
        </w:rPr>
        <w:t xml:space="preserve">early opposed on legal grounds of which the relevant departmental officials were unaware. </w:t>
      </w:r>
      <w:r w:rsidR="00467E0A" w:rsidRPr="00CC773F">
        <w:rPr>
          <w:rFonts w:ascii="Arial" w:hAnsi="Arial" w:cs="Arial"/>
          <w:sz w:val="24"/>
          <w:szCs w:val="24"/>
          <w:lang w:val="en-GB" w:eastAsia="en-ZA"/>
        </w:rPr>
        <w:t xml:space="preserve">When this was pointed out to </w:t>
      </w:r>
      <w:r w:rsidR="00467E0A">
        <w:rPr>
          <w:rFonts w:ascii="Arial" w:hAnsi="Arial" w:cs="Arial"/>
          <w:sz w:val="24"/>
          <w:szCs w:val="24"/>
          <w:lang w:val="en-GB" w:eastAsia="en-ZA"/>
        </w:rPr>
        <w:t>Mr Mokono</w:t>
      </w:r>
      <w:r w:rsidR="00467E0A" w:rsidRPr="00CC773F">
        <w:rPr>
          <w:rFonts w:ascii="Arial" w:hAnsi="Arial" w:cs="Arial"/>
          <w:sz w:val="24"/>
          <w:szCs w:val="24"/>
          <w:lang w:val="en-GB" w:eastAsia="en-ZA"/>
        </w:rPr>
        <w:t>, his response that the legal opinion provided by the Department’s counsel in Polokwane had been overtaken by political events also point t</w:t>
      </w:r>
      <w:r w:rsidR="00471287">
        <w:rPr>
          <w:rFonts w:ascii="Arial" w:hAnsi="Arial" w:cs="Arial"/>
          <w:sz w:val="24"/>
          <w:szCs w:val="24"/>
          <w:lang w:val="en-GB" w:eastAsia="en-ZA"/>
        </w:rPr>
        <w:t>o the irrationality of the second</w:t>
      </w:r>
      <w:r w:rsidR="00467E0A">
        <w:rPr>
          <w:rFonts w:ascii="Arial" w:hAnsi="Arial" w:cs="Arial"/>
          <w:sz w:val="24"/>
          <w:szCs w:val="24"/>
          <w:lang w:val="en-GB" w:eastAsia="en-ZA"/>
        </w:rPr>
        <w:t xml:space="preserve"> decision. </w:t>
      </w:r>
    </w:p>
    <w:p w:rsidR="00467E0A" w:rsidRDefault="00467E0A" w:rsidP="00467E0A">
      <w:pPr>
        <w:pStyle w:val="XClause1Head"/>
        <w:numPr>
          <w:ilvl w:val="0"/>
          <w:numId w:val="0"/>
        </w:numPr>
        <w:rPr>
          <w:rFonts w:ascii="Arial" w:hAnsi="Arial" w:cs="Arial"/>
          <w:sz w:val="24"/>
          <w:szCs w:val="24"/>
          <w:lang w:val="en-GB" w:eastAsia="en-ZA"/>
        </w:rPr>
      </w:pPr>
    </w:p>
    <w:p w:rsidR="00471287" w:rsidRPr="00CC773F" w:rsidRDefault="0059658E" w:rsidP="00E76038">
      <w:pPr>
        <w:spacing w:line="360" w:lineRule="auto"/>
        <w:jc w:val="both"/>
        <w:rPr>
          <w:rFonts w:ascii="Arial" w:hAnsi="Arial" w:cs="Arial"/>
          <w:sz w:val="24"/>
          <w:szCs w:val="24"/>
        </w:rPr>
      </w:pPr>
      <w:r>
        <w:rPr>
          <w:rFonts w:ascii="Arial" w:hAnsi="Arial" w:cs="Arial"/>
          <w:sz w:val="24"/>
          <w:szCs w:val="24"/>
          <w:lang w:val="en-GB" w:eastAsia="en-ZA"/>
        </w:rPr>
        <w:t>[51</w:t>
      </w:r>
      <w:r w:rsidR="00467E0A">
        <w:rPr>
          <w:rFonts w:ascii="Arial" w:hAnsi="Arial" w:cs="Arial"/>
          <w:sz w:val="24"/>
          <w:szCs w:val="24"/>
          <w:lang w:val="en-GB" w:eastAsia="en-ZA"/>
        </w:rPr>
        <w:t>]</w:t>
      </w:r>
      <w:r w:rsidR="00467E0A">
        <w:rPr>
          <w:rFonts w:ascii="Arial" w:hAnsi="Arial" w:cs="Arial"/>
          <w:sz w:val="24"/>
          <w:szCs w:val="24"/>
          <w:lang w:val="en-GB" w:eastAsia="en-ZA"/>
        </w:rPr>
        <w:tab/>
      </w:r>
      <w:r w:rsidR="00E76038">
        <w:rPr>
          <w:rFonts w:ascii="Arial" w:hAnsi="Arial" w:cs="Arial"/>
          <w:sz w:val="24"/>
          <w:szCs w:val="24"/>
          <w:lang w:val="en-GB" w:eastAsia="en-ZA"/>
        </w:rPr>
        <w:t xml:space="preserve">By taking the second decision under the circumstances sketched out above, not only did </w:t>
      </w:r>
      <w:r w:rsidR="00467E0A">
        <w:rPr>
          <w:rFonts w:ascii="Arial" w:hAnsi="Arial" w:cs="Arial"/>
          <w:sz w:val="24"/>
          <w:szCs w:val="24"/>
          <w:lang w:val="en-GB" w:eastAsia="en-ZA"/>
        </w:rPr>
        <w:t>Minister Nkoana-</w:t>
      </w:r>
      <w:r w:rsidR="00467E0A" w:rsidRPr="00CC773F">
        <w:rPr>
          <w:rFonts w:ascii="Arial" w:hAnsi="Arial" w:cs="Arial"/>
          <w:sz w:val="24"/>
          <w:szCs w:val="24"/>
          <w:lang w:val="en-GB" w:eastAsia="en-ZA"/>
        </w:rPr>
        <w:t xml:space="preserve">Mashabane </w:t>
      </w:r>
      <w:r w:rsidR="00E76038">
        <w:rPr>
          <w:rFonts w:ascii="Arial" w:hAnsi="Arial" w:cs="Arial"/>
          <w:sz w:val="24"/>
          <w:szCs w:val="24"/>
          <w:lang w:val="en-GB" w:eastAsia="en-ZA"/>
        </w:rPr>
        <w:t>frustrate the due process that was in progress as a result of the Polokwane application and the SIU investigation, she flouted the constitutional values that underpin public administration as set out in s195 of the Constitution by failing to act</w:t>
      </w:r>
      <w:r w:rsidR="00E76038" w:rsidRPr="00CC773F">
        <w:rPr>
          <w:rFonts w:ascii="Arial" w:hAnsi="Arial" w:cs="Arial"/>
          <w:sz w:val="24"/>
          <w:szCs w:val="24"/>
        </w:rPr>
        <w:t xml:space="preserve"> impartially, fai</w:t>
      </w:r>
      <w:r w:rsidR="00E76038">
        <w:rPr>
          <w:rFonts w:ascii="Arial" w:hAnsi="Arial" w:cs="Arial"/>
          <w:sz w:val="24"/>
          <w:szCs w:val="24"/>
        </w:rPr>
        <w:t xml:space="preserve">rly, equitably and without bias. </w:t>
      </w:r>
    </w:p>
    <w:p w:rsidR="00467E0A" w:rsidRPr="00CC773F"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[52</w:t>
      </w:r>
      <w:r w:rsidR="00F7432D">
        <w:rPr>
          <w:rFonts w:ascii="Arial" w:hAnsi="Arial" w:cs="Arial"/>
          <w:sz w:val="24"/>
          <w:szCs w:val="24"/>
          <w:lang w:val="en-GB" w:eastAsia="en-ZA"/>
        </w:rPr>
        <w:t>]</w:t>
      </w:r>
      <w:r w:rsidR="00F7432D">
        <w:rPr>
          <w:rFonts w:ascii="Arial" w:hAnsi="Arial" w:cs="Arial"/>
          <w:sz w:val="24"/>
          <w:szCs w:val="24"/>
          <w:lang w:val="en-GB" w:eastAsia="en-ZA"/>
        </w:rPr>
        <w:tab/>
        <w:t xml:space="preserve">Minister Nkoana-Mashabane </w:t>
      </w:r>
      <w:r w:rsidR="00467E0A" w:rsidRPr="00CC773F">
        <w:rPr>
          <w:rFonts w:ascii="Arial" w:hAnsi="Arial" w:cs="Arial"/>
          <w:sz w:val="24"/>
          <w:szCs w:val="24"/>
          <w:lang w:val="en-GB" w:eastAsia="en-ZA"/>
        </w:rPr>
        <w:t xml:space="preserve">has since been replaced other Ministers who are not opposing the application to set aside </w:t>
      </w:r>
      <w:r w:rsidR="00F7432D">
        <w:rPr>
          <w:rFonts w:ascii="Arial" w:hAnsi="Arial" w:cs="Arial"/>
          <w:sz w:val="24"/>
          <w:szCs w:val="24"/>
          <w:lang w:val="en-GB" w:eastAsia="en-ZA"/>
        </w:rPr>
        <w:t xml:space="preserve">the second decision. </w:t>
      </w:r>
      <w:r w:rsidR="00467E0A" w:rsidRPr="00CC773F">
        <w:rPr>
          <w:rFonts w:ascii="Arial" w:hAnsi="Arial" w:cs="Arial"/>
          <w:sz w:val="24"/>
          <w:szCs w:val="24"/>
          <w:lang w:val="en-GB" w:eastAsia="en-ZA"/>
        </w:rPr>
        <w:t xml:space="preserve">It is improbable that </w:t>
      </w:r>
      <w:r w:rsidR="00471287">
        <w:rPr>
          <w:rFonts w:ascii="Arial" w:hAnsi="Arial" w:cs="Arial"/>
          <w:sz w:val="24"/>
          <w:szCs w:val="24"/>
          <w:lang w:val="en-GB" w:eastAsia="en-ZA"/>
        </w:rPr>
        <w:t>Ministers who replaced Minister Nkoana-Mashabane</w:t>
      </w:r>
      <w:r w:rsidR="00DF0518">
        <w:rPr>
          <w:rFonts w:ascii="Arial" w:hAnsi="Arial" w:cs="Arial"/>
          <w:sz w:val="24"/>
          <w:szCs w:val="24"/>
          <w:lang w:val="en-GB" w:eastAsia="en-ZA"/>
        </w:rPr>
        <w:t xml:space="preserve"> and the Department </w:t>
      </w:r>
      <w:r w:rsidR="00F7432D">
        <w:rPr>
          <w:rFonts w:ascii="Arial" w:hAnsi="Arial" w:cs="Arial"/>
          <w:sz w:val="24"/>
          <w:szCs w:val="24"/>
          <w:lang w:val="en-GB" w:eastAsia="en-ZA"/>
        </w:rPr>
        <w:t>would not defend the second decision</w:t>
      </w:r>
      <w:r w:rsidR="00467E0A" w:rsidRPr="00CC773F">
        <w:rPr>
          <w:rFonts w:ascii="Arial" w:hAnsi="Arial" w:cs="Arial"/>
          <w:sz w:val="24"/>
          <w:szCs w:val="24"/>
          <w:lang w:val="en-GB" w:eastAsia="en-ZA"/>
        </w:rPr>
        <w:t xml:space="preserve"> if it was rational and in the interest of the PLAS program</w:t>
      </w:r>
      <w:r w:rsidR="00467E0A">
        <w:rPr>
          <w:rFonts w:ascii="Arial" w:hAnsi="Arial" w:cs="Arial"/>
          <w:sz w:val="24"/>
          <w:szCs w:val="24"/>
          <w:lang w:val="en-GB" w:eastAsia="en-ZA"/>
        </w:rPr>
        <w:t>me</w:t>
      </w:r>
      <w:r w:rsidR="00467E0A" w:rsidRPr="00CC773F">
        <w:rPr>
          <w:rFonts w:ascii="Arial" w:hAnsi="Arial" w:cs="Arial"/>
          <w:sz w:val="24"/>
          <w:szCs w:val="24"/>
          <w:lang w:val="en-GB" w:eastAsia="en-ZA"/>
        </w:rPr>
        <w:t xml:space="preserve"> and the fiscus. </w:t>
      </w:r>
    </w:p>
    <w:p w:rsidR="00467E0A" w:rsidRPr="00CC773F" w:rsidRDefault="00467E0A" w:rsidP="00467E0A">
      <w:pPr>
        <w:pStyle w:val="XClause1Head"/>
        <w:numPr>
          <w:ilvl w:val="0"/>
          <w:numId w:val="0"/>
        </w:numPr>
        <w:rPr>
          <w:rFonts w:ascii="Arial" w:hAnsi="Arial" w:cs="Arial"/>
          <w:b/>
          <w:sz w:val="24"/>
          <w:szCs w:val="24"/>
          <w:lang w:val="en-GB" w:eastAsia="en-ZA"/>
        </w:rPr>
      </w:pPr>
    </w:p>
    <w:p w:rsidR="00467E0A" w:rsidRDefault="0059658E" w:rsidP="00467E0A">
      <w:pPr>
        <w:pStyle w:val="XClause2Sub"/>
        <w:numPr>
          <w:ilvl w:val="0"/>
          <w:numId w:val="0"/>
        </w:numPr>
        <w:rPr>
          <w:rFonts w:ascii="Arial" w:hAnsi="Arial" w:cs="Arial"/>
          <w:sz w:val="24"/>
          <w:szCs w:val="24"/>
          <w:lang w:val="en-US" w:eastAsia="en-ZA"/>
        </w:rPr>
      </w:pPr>
      <w:r>
        <w:rPr>
          <w:rFonts w:ascii="Arial" w:hAnsi="Arial" w:cs="Arial"/>
          <w:sz w:val="24"/>
          <w:szCs w:val="24"/>
          <w:lang w:val="en-US" w:eastAsia="en-ZA"/>
        </w:rPr>
        <w:t>[53</w:t>
      </w:r>
      <w:r w:rsidR="00467E0A" w:rsidRPr="00CC773F">
        <w:rPr>
          <w:rFonts w:ascii="Arial" w:hAnsi="Arial" w:cs="Arial"/>
          <w:sz w:val="24"/>
          <w:szCs w:val="24"/>
          <w:lang w:val="en-US" w:eastAsia="en-ZA"/>
        </w:rPr>
        <w:t>]</w:t>
      </w:r>
      <w:r w:rsidR="00467E0A" w:rsidRPr="00CC773F">
        <w:rPr>
          <w:rFonts w:ascii="Arial" w:hAnsi="Arial" w:cs="Arial"/>
          <w:sz w:val="24"/>
          <w:szCs w:val="24"/>
          <w:lang w:val="en-US" w:eastAsia="en-ZA"/>
        </w:rPr>
        <w:tab/>
        <w:t>Cultiver</w:t>
      </w:r>
      <w:r w:rsidR="00467E0A">
        <w:rPr>
          <w:rFonts w:ascii="Arial" w:hAnsi="Arial" w:cs="Arial"/>
          <w:sz w:val="24"/>
          <w:szCs w:val="24"/>
          <w:lang w:val="en-US" w:eastAsia="en-ZA"/>
        </w:rPr>
        <w:t>’s</w:t>
      </w:r>
      <w:r w:rsidR="00467E0A" w:rsidRPr="00CC773F">
        <w:rPr>
          <w:rFonts w:ascii="Arial" w:hAnsi="Arial" w:cs="Arial"/>
          <w:sz w:val="24"/>
          <w:szCs w:val="24"/>
          <w:lang w:val="en-US" w:eastAsia="en-ZA"/>
        </w:rPr>
        <w:t xml:space="preserve"> complain</w:t>
      </w:r>
      <w:r w:rsidR="00467E0A">
        <w:rPr>
          <w:rFonts w:ascii="Arial" w:hAnsi="Arial" w:cs="Arial"/>
          <w:sz w:val="24"/>
          <w:szCs w:val="24"/>
          <w:lang w:val="en-US" w:eastAsia="en-ZA"/>
        </w:rPr>
        <w:t>t</w:t>
      </w:r>
      <w:r w:rsidR="00467E0A" w:rsidRPr="00CC773F">
        <w:rPr>
          <w:rFonts w:ascii="Arial" w:hAnsi="Arial" w:cs="Arial"/>
          <w:sz w:val="24"/>
          <w:szCs w:val="24"/>
          <w:lang w:val="en-US" w:eastAsia="en-ZA"/>
        </w:rPr>
        <w:t xml:space="preserve"> that the SIU improperly relies on affidavits adduced in the Polokwane matter, which are in any event based on hearsay evidence as the deponent Ms Archery had no direct knowledge of Cultiver’s appointment</w:t>
      </w:r>
      <w:r w:rsidR="00467E0A">
        <w:rPr>
          <w:rFonts w:ascii="Arial" w:hAnsi="Arial" w:cs="Arial"/>
          <w:sz w:val="24"/>
          <w:szCs w:val="24"/>
          <w:lang w:val="en-US" w:eastAsia="en-ZA"/>
        </w:rPr>
        <w:t xml:space="preserve"> does not enhance its case in these proceedings.</w:t>
      </w:r>
      <w:r w:rsidR="00467E0A" w:rsidRPr="00CC773F">
        <w:rPr>
          <w:rFonts w:ascii="Arial" w:hAnsi="Arial" w:cs="Arial"/>
          <w:sz w:val="24"/>
          <w:szCs w:val="24"/>
          <w:lang w:val="en-US" w:eastAsia="en-ZA"/>
        </w:rPr>
        <w:t xml:space="preserve"> </w:t>
      </w:r>
      <w:r w:rsidR="00467E0A">
        <w:rPr>
          <w:rFonts w:ascii="Arial" w:hAnsi="Arial" w:cs="Arial"/>
          <w:sz w:val="24"/>
          <w:szCs w:val="24"/>
          <w:lang w:val="en-US" w:eastAsia="en-ZA"/>
        </w:rPr>
        <w:t xml:space="preserve">Cultiver has </w:t>
      </w:r>
      <w:r w:rsidR="00467E0A" w:rsidRPr="00CC773F">
        <w:rPr>
          <w:rFonts w:ascii="Arial" w:hAnsi="Arial" w:cs="Arial"/>
          <w:sz w:val="24"/>
          <w:szCs w:val="24"/>
          <w:lang w:val="en-US" w:eastAsia="en-ZA"/>
        </w:rPr>
        <w:t>put up a version</w:t>
      </w:r>
      <w:r w:rsidR="00467E0A">
        <w:rPr>
          <w:rFonts w:ascii="Arial" w:hAnsi="Arial" w:cs="Arial"/>
          <w:sz w:val="24"/>
          <w:szCs w:val="24"/>
          <w:lang w:val="en-US" w:eastAsia="en-ZA"/>
        </w:rPr>
        <w:t xml:space="preserve"> in these proceedings regarding how it</w:t>
      </w:r>
      <w:r w:rsidR="00467E0A" w:rsidRPr="00CC773F">
        <w:rPr>
          <w:rFonts w:ascii="Arial" w:hAnsi="Arial" w:cs="Arial"/>
          <w:sz w:val="24"/>
          <w:szCs w:val="24"/>
          <w:lang w:val="en-US" w:eastAsia="en-ZA"/>
        </w:rPr>
        <w:t xml:space="preserve"> was appointed as a PLAS beneficiary. </w:t>
      </w:r>
      <w:r w:rsidR="00467E0A">
        <w:rPr>
          <w:rFonts w:ascii="Arial" w:hAnsi="Arial" w:cs="Arial"/>
          <w:sz w:val="24"/>
          <w:szCs w:val="24"/>
          <w:lang w:val="en-US" w:eastAsia="en-ZA"/>
        </w:rPr>
        <w:t>When Cultiver’s version is considered with the SIU’s undisputed allegations, it c</w:t>
      </w:r>
      <w:r w:rsidR="00DF0518">
        <w:rPr>
          <w:rFonts w:ascii="Arial" w:hAnsi="Arial" w:cs="Arial"/>
          <w:sz w:val="24"/>
          <w:szCs w:val="24"/>
          <w:lang w:val="en-US" w:eastAsia="en-ZA"/>
        </w:rPr>
        <w:t xml:space="preserve">onfirms the strong merits of the </w:t>
      </w:r>
      <w:r w:rsidR="00DF0518">
        <w:rPr>
          <w:rFonts w:ascii="Arial" w:hAnsi="Arial" w:cs="Arial"/>
          <w:sz w:val="24"/>
          <w:szCs w:val="24"/>
          <w:lang w:val="en-US" w:eastAsia="en-ZA"/>
        </w:rPr>
        <w:lastRenderedPageBreak/>
        <w:t>Department’s</w:t>
      </w:r>
      <w:r w:rsidR="00467E0A">
        <w:rPr>
          <w:rFonts w:ascii="Arial" w:hAnsi="Arial" w:cs="Arial"/>
          <w:sz w:val="24"/>
          <w:szCs w:val="24"/>
          <w:lang w:val="en-US" w:eastAsia="en-ZA"/>
        </w:rPr>
        <w:t xml:space="preserve"> basis for opposing the Polokwane application. This further supports the SIU’s contention </w:t>
      </w:r>
      <w:r w:rsidR="00DF0518">
        <w:rPr>
          <w:rFonts w:ascii="Arial" w:hAnsi="Arial" w:cs="Arial"/>
          <w:sz w:val="24"/>
          <w:szCs w:val="24"/>
          <w:lang w:val="en-US" w:eastAsia="en-ZA"/>
        </w:rPr>
        <w:t xml:space="preserve">and this Tribunal’s finding </w:t>
      </w:r>
      <w:r w:rsidR="00467E0A">
        <w:rPr>
          <w:rFonts w:ascii="Arial" w:hAnsi="Arial" w:cs="Arial"/>
          <w:sz w:val="24"/>
          <w:szCs w:val="24"/>
          <w:lang w:val="en-US" w:eastAsia="en-ZA"/>
        </w:rPr>
        <w:t xml:space="preserve">that </w:t>
      </w:r>
      <w:r w:rsidR="00471287">
        <w:rPr>
          <w:rFonts w:ascii="Arial" w:hAnsi="Arial" w:cs="Arial"/>
          <w:sz w:val="24"/>
          <w:szCs w:val="24"/>
          <w:lang w:val="en-US" w:eastAsia="en-ZA"/>
        </w:rPr>
        <w:t xml:space="preserve">the second decision </w:t>
      </w:r>
      <w:r w:rsidR="00467E0A">
        <w:rPr>
          <w:rFonts w:ascii="Arial" w:hAnsi="Arial" w:cs="Arial"/>
          <w:sz w:val="24"/>
          <w:szCs w:val="24"/>
          <w:lang w:val="en-US" w:eastAsia="en-ZA"/>
        </w:rPr>
        <w:t>was irrational.</w:t>
      </w:r>
    </w:p>
    <w:p w:rsidR="00467E0A" w:rsidRPr="00CC773F" w:rsidRDefault="00467E0A" w:rsidP="00467E0A">
      <w:pPr>
        <w:pStyle w:val="XClause2Sub"/>
        <w:numPr>
          <w:ilvl w:val="0"/>
          <w:numId w:val="0"/>
        </w:numPr>
        <w:rPr>
          <w:rFonts w:ascii="Arial" w:hAnsi="Arial" w:cs="Arial"/>
          <w:sz w:val="24"/>
          <w:szCs w:val="24"/>
          <w:lang w:val="en-US" w:eastAsia="en-ZA"/>
        </w:rPr>
      </w:pPr>
      <w:r>
        <w:rPr>
          <w:rFonts w:ascii="Arial" w:hAnsi="Arial" w:cs="Arial"/>
          <w:sz w:val="24"/>
          <w:szCs w:val="24"/>
          <w:lang w:val="en-US" w:eastAsia="en-ZA"/>
        </w:rPr>
        <w:t xml:space="preserve"> </w:t>
      </w:r>
    </w:p>
    <w:p w:rsidR="00467E0A" w:rsidRPr="00CC773F"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[54</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t>In its answering affidavit deposed to by its director Mr Twala, Cultiver explains the circumstances that led to its app</w:t>
      </w:r>
      <w:r w:rsidR="00467E0A">
        <w:rPr>
          <w:rFonts w:ascii="Arial" w:hAnsi="Arial" w:cs="Arial"/>
          <w:sz w:val="24"/>
          <w:szCs w:val="24"/>
          <w:lang w:val="en-GB" w:eastAsia="en-ZA"/>
        </w:rPr>
        <w:t xml:space="preserve">roval as a PLAS beneficiary.  </w:t>
      </w:r>
      <w:r w:rsidR="00467E0A" w:rsidRPr="00CC773F">
        <w:rPr>
          <w:rStyle w:val="s1"/>
          <w:rFonts w:ascii="Arial" w:hAnsi="Arial" w:cs="Arial"/>
          <w:color w:val="000000"/>
          <w:sz w:val="24"/>
          <w:szCs w:val="24"/>
        </w:rPr>
        <w:t>In 2006, Mr Twala ventured into farming as a cattle farmer on two leased farms near Witbank</w:t>
      </w:r>
      <w:r w:rsidR="00C51E9C">
        <w:rPr>
          <w:rStyle w:val="s1"/>
          <w:rFonts w:ascii="Arial" w:hAnsi="Arial" w:cs="Arial"/>
          <w:color w:val="000000"/>
          <w:sz w:val="24"/>
          <w:szCs w:val="24"/>
          <w:lang w:val="en-GB"/>
        </w:rPr>
        <w:t>,</w:t>
      </w:r>
      <w:r w:rsidR="00467E0A" w:rsidRPr="00CC773F">
        <w:rPr>
          <w:rStyle w:val="s1"/>
          <w:rFonts w:ascii="Arial" w:hAnsi="Arial" w:cs="Arial"/>
          <w:color w:val="000000"/>
          <w:sz w:val="24"/>
          <w:szCs w:val="24"/>
        </w:rPr>
        <w:t xml:space="preserve"> Mpumalanga. He then started small-scale chicken farming on one of the farms. He became aware of the government’s PLAS programme launched in 2007, catering for emerging and commercial farmers. Through the programme, the State acquires land, lease it for a trial period and </w:t>
      </w:r>
      <w:r w:rsidR="00467E0A" w:rsidRPr="00CC773F">
        <w:rPr>
          <w:rStyle w:val="s1"/>
          <w:rFonts w:ascii="Arial" w:hAnsi="Arial" w:cs="Arial"/>
          <w:color w:val="000000"/>
          <w:sz w:val="24"/>
          <w:szCs w:val="24"/>
          <w:lang w:val="en-GB"/>
        </w:rPr>
        <w:t xml:space="preserve">sell it to the lessee </w:t>
      </w:r>
      <w:r w:rsidR="00467E0A" w:rsidRPr="00CC773F">
        <w:rPr>
          <w:rStyle w:val="s1"/>
          <w:rFonts w:ascii="Arial" w:hAnsi="Arial" w:cs="Arial"/>
          <w:color w:val="000000"/>
          <w:sz w:val="24"/>
          <w:szCs w:val="24"/>
        </w:rPr>
        <w:t>with State grant assistance if the trial is successful. </w:t>
      </w:r>
    </w:p>
    <w:p w:rsidR="00467E0A" w:rsidRPr="00CC773F" w:rsidRDefault="00467E0A" w:rsidP="00467E0A">
      <w:pPr>
        <w:pStyle w:val="p2"/>
        <w:spacing w:before="0" w:beforeAutospacing="0" w:after="0" w:afterAutospacing="0" w:line="360" w:lineRule="auto"/>
        <w:jc w:val="both"/>
        <w:rPr>
          <w:rFonts w:ascii="Arial" w:hAnsi="Arial" w:cs="Arial"/>
          <w:color w:val="000000"/>
        </w:rPr>
      </w:pPr>
    </w:p>
    <w:p w:rsidR="00467E0A" w:rsidRPr="00CC773F" w:rsidRDefault="0059658E" w:rsidP="00467E0A">
      <w:pPr>
        <w:pStyle w:val="p1"/>
        <w:spacing w:before="0" w:beforeAutospacing="0" w:after="0" w:afterAutospacing="0" w:line="360" w:lineRule="auto"/>
        <w:jc w:val="both"/>
        <w:rPr>
          <w:rStyle w:val="s1"/>
          <w:rFonts w:ascii="Arial" w:hAnsi="Arial" w:cs="Arial"/>
          <w:color w:val="000000"/>
        </w:rPr>
      </w:pPr>
      <w:r>
        <w:rPr>
          <w:rStyle w:val="s1"/>
          <w:rFonts w:ascii="Arial" w:hAnsi="Arial" w:cs="Arial"/>
          <w:color w:val="000000"/>
        </w:rPr>
        <w:t>[55</w:t>
      </w:r>
      <w:r w:rsidR="00467E0A" w:rsidRPr="00CC773F">
        <w:rPr>
          <w:rStyle w:val="s1"/>
          <w:rFonts w:ascii="Arial" w:hAnsi="Arial" w:cs="Arial"/>
          <w:color w:val="000000"/>
        </w:rPr>
        <w:t>]</w:t>
      </w:r>
      <w:r w:rsidR="00467E0A" w:rsidRPr="00CC773F">
        <w:rPr>
          <w:rStyle w:val="s1"/>
          <w:rFonts w:ascii="Arial" w:hAnsi="Arial" w:cs="Arial"/>
          <w:color w:val="000000"/>
        </w:rPr>
        <w:tab/>
        <w:t>In 2009, having successfully applied to be a benefici</w:t>
      </w:r>
      <w:r w:rsidR="00467E0A">
        <w:rPr>
          <w:rStyle w:val="s1"/>
          <w:rFonts w:ascii="Arial" w:hAnsi="Arial" w:cs="Arial"/>
          <w:color w:val="000000"/>
        </w:rPr>
        <w:t>ary under the PLAS programme, Mr Twala</w:t>
      </w:r>
      <w:r w:rsidR="00467E0A" w:rsidRPr="00CC773F">
        <w:rPr>
          <w:rStyle w:val="s1"/>
          <w:rFonts w:ascii="Arial" w:hAnsi="Arial" w:cs="Arial"/>
          <w:color w:val="000000"/>
        </w:rPr>
        <w:t xml:space="preserve"> proposed that the Department acquire a cattle farm in Delmas and lease it to him. His proposal was successful. The Department acquired and leased the farm to him. The cattle farming enterprise was successful. </w:t>
      </w:r>
    </w:p>
    <w:p w:rsidR="00467E0A" w:rsidRPr="00CC773F" w:rsidRDefault="00467E0A" w:rsidP="00467E0A">
      <w:pPr>
        <w:pStyle w:val="p1"/>
        <w:spacing w:before="0" w:beforeAutospacing="0" w:after="0" w:afterAutospacing="0" w:line="360" w:lineRule="auto"/>
        <w:jc w:val="both"/>
        <w:rPr>
          <w:rStyle w:val="s1"/>
          <w:rFonts w:ascii="Arial" w:hAnsi="Arial" w:cs="Arial"/>
          <w:color w:val="000000"/>
        </w:rPr>
      </w:pPr>
    </w:p>
    <w:p w:rsidR="00DF0518" w:rsidRDefault="00DF0518" w:rsidP="00467E0A">
      <w:pPr>
        <w:pStyle w:val="p1"/>
        <w:spacing w:before="0" w:beforeAutospacing="0" w:after="0" w:afterAutospacing="0" w:line="360" w:lineRule="auto"/>
        <w:jc w:val="both"/>
        <w:rPr>
          <w:rStyle w:val="s1"/>
          <w:rFonts w:ascii="Arial" w:hAnsi="Arial" w:cs="Arial"/>
          <w:color w:val="000000"/>
        </w:rPr>
      </w:pPr>
    </w:p>
    <w:p w:rsidR="00467E0A" w:rsidRPr="00CC773F" w:rsidRDefault="0059658E" w:rsidP="00467E0A">
      <w:pPr>
        <w:pStyle w:val="p1"/>
        <w:spacing w:before="0" w:beforeAutospacing="0" w:after="0" w:afterAutospacing="0" w:line="360" w:lineRule="auto"/>
        <w:jc w:val="both"/>
        <w:rPr>
          <w:rFonts w:ascii="Arial" w:hAnsi="Arial" w:cs="Arial"/>
          <w:color w:val="000000"/>
        </w:rPr>
      </w:pPr>
      <w:r>
        <w:rPr>
          <w:rStyle w:val="s1"/>
          <w:rFonts w:ascii="Arial" w:hAnsi="Arial" w:cs="Arial"/>
          <w:color w:val="000000"/>
        </w:rPr>
        <w:t>[56</w:t>
      </w:r>
      <w:r w:rsidR="00467E0A" w:rsidRPr="00CC773F">
        <w:rPr>
          <w:rStyle w:val="s1"/>
          <w:rFonts w:ascii="Arial" w:hAnsi="Arial" w:cs="Arial"/>
          <w:color w:val="000000"/>
        </w:rPr>
        <w:t>]</w:t>
      </w:r>
      <w:r w:rsidR="00467E0A" w:rsidRPr="00CC773F">
        <w:rPr>
          <w:rStyle w:val="s1"/>
          <w:rFonts w:ascii="Arial" w:hAnsi="Arial" w:cs="Arial"/>
          <w:color w:val="000000"/>
        </w:rPr>
        <w:tab/>
        <w:t xml:space="preserve">It is important to </w:t>
      </w:r>
      <w:r w:rsidR="00467E0A">
        <w:rPr>
          <w:rStyle w:val="s1"/>
          <w:rFonts w:ascii="Arial" w:hAnsi="Arial" w:cs="Arial"/>
          <w:color w:val="000000"/>
        </w:rPr>
        <w:t xml:space="preserve">point out </w:t>
      </w:r>
      <w:r w:rsidR="00467E0A" w:rsidRPr="00CC773F">
        <w:rPr>
          <w:rStyle w:val="s1"/>
          <w:rFonts w:ascii="Arial" w:hAnsi="Arial" w:cs="Arial"/>
          <w:color w:val="000000"/>
        </w:rPr>
        <w:t xml:space="preserve">that Mr Twala’s appointment as a PLAS beneficiary </w:t>
      </w:r>
      <w:r w:rsidR="00467E0A">
        <w:rPr>
          <w:rStyle w:val="s1"/>
          <w:rFonts w:ascii="Arial" w:hAnsi="Arial" w:cs="Arial"/>
          <w:color w:val="000000"/>
        </w:rPr>
        <w:t xml:space="preserve">in respect of </w:t>
      </w:r>
      <w:r w:rsidR="00467E0A" w:rsidRPr="00CC773F">
        <w:rPr>
          <w:rStyle w:val="s1"/>
          <w:rFonts w:ascii="Arial" w:hAnsi="Arial" w:cs="Arial"/>
          <w:color w:val="000000"/>
        </w:rPr>
        <w:t xml:space="preserve">the lease of the Delmas farms </w:t>
      </w:r>
      <w:r w:rsidR="00467E0A">
        <w:rPr>
          <w:rStyle w:val="s1"/>
          <w:rFonts w:ascii="Arial" w:hAnsi="Arial" w:cs="Arial"/>
          <w:color w:val="000000"/>
        </w:rPr>
        <w:t>i</w:t>
      </w:r>
      <w:r w:rsidR="00467E0A" w:rsidRPr="00CC773F">
        <w:rPr>
          <w:rStyle w:val="s1"/>
          <w:rFonts w:ascii="Arial" w:hAnsi="Arial" w:cs="Arial"/>
          <w:color w:val="000000"/>
        </w:rPr>
        <w:t>s not an issue in these proceedings.</w:t>
      </w:r>
    </w:p>
    <w:p w:rsidR="00467E0A" w:rsidRPr="00CC773F" w:rsidRDefault="00467E0A" w:rsidP="00467E0A">
      <w:pPr>
        <w:pStyle w:val="p2"/>
        <w:spacing w:before="0" w:beforeAutospacing="0" w:after="0" w:afterAutospacing="0" w:line="360" w:lineRule="auto"/>
        <w:jc w:val="both"/>
        <w:rPr>
          <w:rFonts w:ascii="Arial" w:hAnsi="Arial" w:cs="Arial"/>
          <w:color w:val="000000"/>
        </w:rPr>
      </w:pPr>
    </w:p>
    <w:p w:rsidR="00467E0A" w:rsidRPr="00CC773F" w:rsidRDefault="0059658E" w:rsidP="00467E0A">
      <w:pPr>
        <w:pStyle w:val="p1"/>
        <w:spacing w:before="0" w:beforeAutospacing="0" w:after="0" w:afterAutospacing="0" w:line="360" w:lineRule="auto"/>
        <w:jc w:val="both"/>
        <w:rPr>
          <w:rFonts w:ascii="Arial" w:hAnsi="Arial" w:cs="Arial"/>
          <w:color w:val="000000"/>
        </w:rPr>
      </w:pPr>
      <w:r>
        <w:rPr>
          <w:rStyle w:val="s1"/>
          <w:rFonts w:ascii="Arial" w:hAnsi="Arial" w:cs="Arial"/>
          <w:color w:val="000000"/>
        </w:rPr>
        <w:t>[57</w:t>
      </w:r>
      <w:r w:rsidR="00467E0A" w:rsidRPr="00CC773F">
        <w:rPr>
          <w:rStyle w:val="s1"/>
          <w:rFonts w:ascii="Arial" w:hAnsi="Arial" w:cs="Arial"/>
          <w:color w:val="000000"/>
        </w:rPr>
        <w:t>]</w:t>
      </w:r>
      <w:r w:rsidR="00467E0A" w:rsidRPr="00CC773F">
        <w:rPr>
          <w:rStyle w:val="s1"/>
          <w:rFonts w:ascii="Arial" w:hAnsi="Arial" w:cs="Arial"/>
          <w:color w:val="000000"/>
        </w:rPr>
        <w:tab/>
        <w:t>In 2012, Mr Twala learnt of the sale of Polokwane-based Mike’s Chicken farm through a friend who knew one of the owners of the chicken farm. Since he was also interested in chicken farming, his friend put him in touch with one of th</w:t>
      </w:r>
      <w:r w:rsidR="00471287">
        <w:rPr>
          <w:rStyle w:val="s1"/>
          <w:rFonts w:ascii="Arial" w:hAnsi="Arial" w:cs="Arial"/>
          <w:color w:val="000000"/>
        </w:rPr>
        <w:t>e owners of the chicken farm. Mr Twala</w:t>
      </w:r>
      <w:r w:rsidR="00467E0A" w:rsidRPr="00CC773F">
        <w:rPr>
          <w:rStyle w:val="s1"/>
          <w:rFonts w:ascii="Arial" w:hAnsi="Arial" w:cs="Arial"/>
          <w:color w:val="000000"/>
        </w:rPr>
        <w:t xml:space="preserve"> subsequently travelled to Limpopo to see the farm. There</w:t>
      </w:r>
      <w:r w:rsidR="00471287">
        <w:rPr>
          <w:rStyle w:val="s1"/>
          <w:rFonts w:ascii="Arial" w:hAnsi="Arial" w:cs="Arial"/>
          <w:color w:val="000000"/>
        </w:rPr>
        <w:t>,</w:t>
      </w:r>
      <w:r w:rsidR="00467E0A" w:rsidRPr="00CC773F">
        <w:rPr>
          <w:rStyle w:val="s1"/>
          <w:rFonts w:ascii="Arial" w:hAnsi="Arial" w:cs="Arial"/>
          <w:color w:val="000000"/>
        </w:rPr>
        <w:t xml:space="preserve"> he met with the farm owners M</w:t>
      </w:r>
      <w:r w:rsidR="00467E0A">
        <w:rPr>
          <w:rStyle w:val="s1"/>
          <w:rFonts w:ascii="Arial" w:hAnsi="Arial" w:cs="Arial"/>
          <w:color w:val="000000"/>
        </w:rPr>
        <w:t>essr</w:t>
      </w:r>
      <w:r w:rsidR="00467E0A" w:rsidRPr="00CC773F">
        <w:rPr>
          <w:rStyle w:val="s1"/>
          <w:rFonts w:ascii="Arial" w:hAnsi="Arial" w:cs="Arial"/>
          <w:color w:val="000000"/>
        </w:rPr>
        <w:t>s</w:t>
      </w:r>
      <w:r w:rsidR="00467E0A">
        <w:rPr>
          <w:rStyle w:val="s1"/>
          <w:rFonts w:ascii="Arial" w:hAnsi="Arial" w:cs="Arial"/>
          <w:color w:val="000000"/>
        </w:rPr>
        <w:t xml:space="preserve"> </w:t>
      </w:r>
      <w:r w:rsidR="00467E0A" w:rsidRPr="00CC773F">
        <w:rPr>
          <w:rStyle w:val="s1"/>
          <w:rFonts w:ascii="Arial" w:hAnsi="Arial" w:cs="Arial"/>
          <w:color w:val="000000"/>
        </w:rPr>
        <w:t>Nunes</w:t>
      </w:r>
      <w:r w:rsidR="00467E0A">
        <w:rPr>
          <w:rStyle w:val="s1"/>
          <w:rFonts w:ascii="Arial" w:hAnsi="Arial" w:cs="Arial"/>
          <w:color w:val="000000"/>
        </w:rPr>
        <w:t xml:space="preserve"> an</w:t>
      </w:r>
      <w:r w:rsidR="00467E0A" w:rsidRPr="00CC773F">
        <w:rPr>
          <w:rStyle w:val="s1"/>
          <w:rFonts w:ascii="Arial" w:hAnsi="Arial" w:cs="Arial"/>
          <w:color w:val="000000"/>
        </w:rPr>
        <w:t>d Kirsten who confirmed that they were looking to sell either a stake in or the whole business. </w:t>
      </w:r>
    </w:p>
    <w:p w:rsidR="00467E0A" w:rsidRPr="00CC773F" w:rsidRDefault="00467E0A" w:rsidP="00467E0A">
      <w:pPr>
        <w:pStyle w:val="p1"/>
        <w:spacing w:before="0" w:beforeAutospacing="0" w:after="0" w:afterAutospacing="0" w:line="360" w:lineRule="auto"/>
        <w:jc w:val="both"/>
        <w:rPr>
          <w:rStyle w:val="s1"/>
          <w:rFonts w:ascii="Arial" w:hAnsi="Arial" w:cs="Arial"/>
          <w:color w:val="000000"/>
        </w:rPr>
      </w:pPr>
    </w:p>
    <w:p w:rsidR="00467E0A" w:rsidRPr="00CC773F" w:rsidRDefault="0059658E" w:rsidP="00467E0A">
      <w:pPr>
        <w:pStyle w:val="p1"/>
        <w:spacing w:before="0" w:beforeAutospacing="0" w:after="0" w:afterAutospacing="0" w:line="360" w:lineRule="auto"/>
        <w:jc w:val="both"/>
        <w:rPr>
          <w:rStyle w:val="s1"/>
          <w:rFonts w:ascii="Arial" w:hAnsi="Arial" w:cs="Arial"/>
          <w:color w:val="000000"/>
        </w:rPr>
      </w:pPr>
      <w:r>
        <w:rPr>
          <w:rStyle w:val="s1"/>
          <w:rFonts w:ascii="Arial" w:hAnsi="Arial" w:cs="Arial"/>
          <w:color w:val="000000"/>
        </w:rPr>
        <w:t>[58</w:t>
      </w:r>
      <w:r w:rsidR="00467E0A" w:rsidRPr="00CC773F">
        <w:rPr>
          <w:rStyle w:val="s1"/>
          <w:rFonts w:ascii="Arial" w:hAnsi="Arial" w:cs="Arial"/>
          <w:color w:val="000000"/>
        </w:rPr>
        <w:t>]</w:t>
      </w:r>
      <w:r w:rsidR="00467E0A" w:rsidRPr="00CC773F">
        <w:rPr>
          <w:rStyle w:val="s1"/>
          <w:rFonts w:ascii="Arial" w:hAnsi="Arial" w:cs="Arial"/>
          <w:color w:val="000000"/>
        </w:rPr>
        <w:tab/>
        <w:t>His contacts in the Department put him in touch with Mr Milton Tshililo (“Mr Tshililo”) who was responsible for the Department’s land reform programmes in Polokwane. In Au</w:t>
      </w:r>
      <w:r w:rsidR="00471287">
        <w:rPr>
          <w:rStyle w:val="s1"/>
          <w:rFonts w:ascii="Arial" w:hAnsi="Arial" w:cs="Arial"/>
          <w:color w:val="000000"/>
        </w:rPr>
        <w:t>gust 2012 Mr Twala</w:t>
      </w:r>
      <w:r w:rsidR="00467E0A" w:rsidRPr="00CC773F">
        <w:rPr>
          <w:rStyle w:val="s1"/>
          <w:rFonts w:ascii="Arial" w:hAnsi="Arial" w:cs="Arial"/>
          <w:color w:val="000000"/>
        </w:rPr>
        <w:t xml:space="preserve"> travelled to Polokwane to meet with Mr Tshililo. H</w:t>
      </w:r>
      <w:r>
        <w:rPr>
          <w:rStyle w:val="s1"/>
          <w:rFonts w:ascii="Arial" w:hAnsi="Arial" w:cs="Arial"/>
          <w:color w:val="000000"/>
        </w:rPr>
        <w:t>e made a similar proposal to Mr Tshililo</w:t>
      </w:r>
      <w:r w:rsidR="00467E0A" w:rsidRPr="00CC773F">
        <w:rPr>
          <w:rStyle w:val="s1"/>
          <w:rFonts w:ascii="Arial" w:hAnsi="Arial" w:cs="Arial"/>
          <w:color w:val="000000"/>
        </w:rPr>
        <w:t xml:space="preserve"> that he made when he acquired the lease of </w:t>
      </w:r>
      <w:r w:rsidR="00467E0A" w:rsidRPr="00CC773F">
        <w:rPr>
          <w:rStyle w:val="s1"/>
          <w:rFonts w:ascii="Arial" w:hAnsi="Arial" w:cs="Arial"/>
          <w:color w:val="000000"/>
        </w:rPr>
        <w:lastRenderedPageBreak/>
        <w:t>the cattle farm in</w:t>
      </w:r>
      <w:r w:rsidR="00467E0A">
        <w:rPr>
          <w:rStyle w:val="s1"/>
          <w:rFonts w:ascii="Arial" w:hAnsi="Arial" w:cs="Arial"/>
          <w:color w:val="000000"/>
        </w:rPr>
        <w:t xml:space="preserve"> Delmas in</w:t>
      </w:r>
      <w:r w:rsidR="00467E0A" w:rsidRPr="00CC773F">
        <w:rPr>
          <w:rStyle w:val="s1"/>
          <w:rFonts w:ascii="Arial" w:hAnsi="Arial" w:cs="Arial"/>
          <w:color w:val="000000"/>
        </w:rPr>
        <w:t xml:space="preserve"> 2009. Mr Tshililo gave him a two-paged application form to complete. He did so and delivered the completed form to the PLRO Limpopo for Mr Tshililo’s attention. He followed up with Mr Tshililo </w:t>
      </w:r>
      <w:r w:rsidR="00467E0A">
        <w:rPr>
          <w:rStyle w:val="s1"/>
          <w:rFonts w:ascii="Arial" w:hAnsi="Arial" w:cs="Arial"/>
          <w:color w:val="000000"/>
        </w:rPr>
        <w:t xml:space="preserve">by email </w:t>
      </w:r>
      <w:r w:rsidR="00467E0A" w:rsidRPr="00CC773F">
        <w:rPr>
          <w:rStyle w:val="s1"/>
          <w:rFonts w:ascii="Arial" w:hAnsi="Arial" w:cs="Arial"/>
          <w:color w:val="000000"/>
        </w:rPr>
        <w:t xml:space="preserve">on 12 September 2012, </w:t>
      </w:r>
      <w:r w:rsidR="00467E0A">
        <w:rPr>
          <w:rStyle w:val="s1"/>
          <w:rFonts w:ascii="Arial" w:hAnsi="Arial" w:cs="Arial"/>
          <w:color w:val="000000"/>
        </w:rPr>
        <w:t>attaching the form and requesting</w:t>
      </w:r>
      <w:r w:rsidR="00467E0A" w:rsidRPr="00CC773F">
        <w:rPr>
          <w:rStyle w:val="s1"/>
          <w:rFonts w:ascii="Arial" w:hAnsi="Arial" w:cs="Arial"/>
          <w:color w:val="000000"/>
        </w:rPr>
        <w:t xml:space="preserve"> that he is placed on the list for Mike’s Chicken property.</w:t>
      </w:r>
      <w:r w:rsidR="00467E0A">
        <w:rPr>
          <w:rStyle w:val="s1"/>
          <w:rFonts w:ascii="Arial" w:hAnsi="Arial" w:cs="Arial"/>
          <w:color w:val="000000"/>
        </w:rPr>
        <w:t xml:space="preserve"> It appears that Mr Tshililo had</w:t>
      </w:r>
      <w:r>
        <w:rPr>
          <w:rStyle w:val="s1"/>
          <w:rFonts w:ascii="Arial" w:hAnsi="Arial" w:cs="Arial"/>
          <w:color w:val="000000"/>
        </w:rPr>
        <w:t xml:space="preserve"> not receive the form Mr Twala had</w:t>
      </w:r>
      <w:r w:rsidR="00467E0A" w:rsidRPr="00CC773F">
        <w:rPr>
          <w:rStyle w:val="s1"/>
          <w:rFonts w:ascii="Arial" w:hAnsi="Arial" w:cs="Arial"/>
          <w:color w:val="000000"/>
        </w:rPr>
        <w:t xml:space="preserve"> delivered to his office.  Subsequent</w:t>
      </w:r>
      <w:r w:rsidR="00467E0A">
        <w:rPr>
          <w:rStyle w:val="s1"/>
          <w:rFonts w:ascii="Arial" w:hAnsi="Arial" w:cs="Arial"/>
          <w:color w:val="000000"/>
        </w:rPr>
        <w:t>ly Mr Tshililo asked Mr Twala</w:t>
      </w:r>
      <w:r>
        <w:rPr>
          <w:rStyle w:val="s1"/>
          <w:rFonts w:ascii="Arial" w:hAnsi="Arial" w:cs="Arial"/>
          <w:color w:val="000000"/>
        </w:rPr>
        <w:t xml:space="preserve"> to submit a business plan. Mr Tshililo later requested Mr Twala</w:t>
      </w:r>
      <w:r w:rsidR="00467E0A" w:rsidRPr="00CC773F">
        <w:rPr>
          <w:rStyle w:val="s1"/>
          <w:rFonts w:ascii="Arial" w:hAnsi="Arial" w:cs="Arial"/>
          <w:color w:val="000000"/>
        </w:rPr>
        <w:t xml:space="preserve"> to submit a revised business plan.</w:t>
      </w:r>
    </w:p>
    <w:p w:rsidR="00467E0A" w:rsidRPr="00CC773F" w:rsidRDefault="00467E0A" w:rsidP="00467E0A">
      <w:pPr>
        <w:pStyle w:val="p1"/>
        <w:spacing w:before="0" w:beforeAutospacing="0" w:after="0" w:afterAutospacing="0" w:line="360" w:lineRule="auto"/>
        <w:jc w:val="both"/>
        <w:rPr>
          <w:rStyle w:val="s1"/>
          <w:rFonts w:ascii="Arial" w:hAnsi="Arial" w:cs="Arial"/>
          <w:color w:val="000000"/>
        </w:rPr>
      </w:pPr>
    </w:p>
    <w:p w:rsidR="00467E0A" w:rsidRPr="00CC773F" w:rsidRDefault="0059658E" w:rsidP="00467E0A">
      <w:pPr>
        <w:pStyle w:val="p1"/>
        <w:spacing w:before="0" w:beforeAutospacing="0" w:after="0" w:afterAutospacing="0" w:line="360" w:lineRule="auto"/>
        <w:jc w:val="both"/>
        <w:rPr>
          <w:rFonts w:ascii="Arial" w:hAnsi="Arial" w:cs="Arial"/>
          <w:color w:val="000000"/>
        </w:rPr>
      </w:pPr>
      <w:r>
        <w:rPr>
          <w:rStyle w:val="s1"/>
          <w:rFonts w:ascii="Arial" w:hAnsi="Arial" w:cs="Arial"/>
          <w:color w:val="000000"/>
        </w:rPr>
        <w:t>[59</w:t>
      </w:r>
      <w:r w:rsidR="00467E0A" w:rsidRPr="00CC773F">
        <w:rPr>
          <w:rStyle w:val="s1"/>
          <w:rFonts w:ascii="Arial" w:hAnsi="Arial" w:cs="Arial"/>
          <w:color w:val="000000"/>
        </w:rPr>
        <w:t>]</w:t>
      </w:r>
      <w:r w:rsidR="00467E0A" w:rsidRPr="00CC773F">
        <w:rPr>
          <w:rStyle w:val="s1"/>
          <w:rFonts w:ascii="Arial" w:hAnsi="Arial" w:cs="Arial"/>
          <w:color w:val="000000"/>
        </w:rPr>
        <w:tab/>
        <w:t>In May 2</w:t>
      </w:r>
      <w:r w:rsidR="00467E0A">
        <w:rPr>
          <w:rStyle w:val="s1"/>
          <w:rFonts w:ascii="Arial" w:hAnsi="Arial" w:cs="Arial"/>
          <w:color w:val="000000"/>
        </w:rPr>
        <w:t>013, the Department informed Mr Twala</w:t>
      </w:r>
      <w:r w:rsidR="00467E0A" w:rsidRPr="00CC773F">
        <w:rPr>
          <w:rStyle w:val="s1"/>
          <w:rFonts w:ascii="Arial" w:hAnsi="Arial" w:cs="Arial"/>
          <w:color w:val="000000"/>
        </w:rPr>
        <w:t xml:space="preserve"> that it has approved Cultiver’s business plan. On 9 July 2013, the day the transfer of Mike’s Chicken property took place, a brief ceremony was held at which the Department’s Mr Mahlangu declared that Cultiver was responsible for the farm going forward. Subsequently, the Department’s legal department concluded a one-year caretaker lease agreement with Cultiver. It was signed in January 2014</w:t>
      </w:r>
      <w:r w:rsidR="00F324A9">
        <w:rPr>
          <w:rStyle w:val="s1"/>
          <w:rFonts w:ascii="Arial" w:hAnsi="Arial" w:cs="Arial"/>
          <w:color w:val="000000"/>
        </w:rPr>
        <w:t>,</w:t>
      </w:r>
      <w:r w:rsidR="00467E0A" w:rsidRPr="00CC773F">
        <w:rPr>
          <w:rStyle w:val="s1"/>
          <w:rFonts w:ascii="Arial" w:hAnsi="Arial" w:cs="Arial"/>
          <w:color w:val="000000"/>
        </w:rPr>
        <w:t xml:space="preserve"> backdated to 8 July 2013. </w:t>
      </w:r>
    </w:p>
    <w:p w:rsidR="00467E0A" w:rsidRPr="00CC773F"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[60</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t>Cultiver’s version is consistent with the evidence it sought discarded as hearsay evidence. Mr Twala proactively approached the Limpopo PLRO to express his interest in Mike’s Chicken and request that the Department acquire it and lease it to him under the PLAS program. He evidently was not allocated the Mike’s Chicken farm on the basis of his appointment as a PLAS beneficiary in respect of the Delmas farms as he was required to complete a two-paged application form which was provided to him by Mr Tshililo. He has attached this form as annexure MT7 to his ans</w:t>
      </w:r>
      <w:r w:rsidR="00F324A9">
        <w:rPr>
          <w:rFonts w:ascii="Arial" w:hAnsi="Arial" w:cs="Arial"/>
          <w:sz w:val="24"/>
          <w:szCs w:val="24"/>
          <w:lang w:val="en-GB" w:eastAsia="en-ZA"/>
        </w:rPr>
        <w:t xml:space="preserve">wering affidavit. The form bears the </w:t>
      </w:r>
      <w:r w:rsidR="00467E0A" w:rsidRPr="00CC773F">
        <w:rPr>
          <w:rFonts w:ascii="Arial" w:hAnsi="Arial" w:cs="Arial"/>
          <w:sz w:val="24"/>
          <w:szCs w:val="24"/>
          <w:lang w:val="en-GB" w:eastAsia="en-ZA"/>
        </w:rPr>
        <w:t>title, “Application to lease agricultural state land without the option to buy”. In terms of the PLAS Manual, an applica</w:t>
      </w:r>
      <w:r w:rsidR="00467E0A">
        <w:rPr>
          <w:rFonts w:ascii="Arial" w:hAnsi="Arial" w:cs="Arial"/>
          <w:sz w:val="24"/>
          <w:szCs w:val="24"/>
          <w:lang w:val="en-GB" w:eastAsia="en-ZA"/>
        </w:rPr>
        <w:t xml:space="preserve">nt for PLAS benefits </w:t>
      </w:r>
      <w:r w:rsidR="00467E0A" w:rsidRPr="00CC773F">
        <w:rPr>
          <w:rFonts w:ascii="Arial" w:hAnsi="Arial" w:cs="Arial"/>
          <w:sz w:val="24"/>
          <w:szCs w:val="24"/>
          <w:lang w:val="en-GB" w:eastAsia="en-ZA"/>
        </w:rPr>
        <w:t xml:space="preserve">completes a beneficiary questionnaire. The aim of the questionnaire is to assist with the assessment of the applicant. This is clearly not the form Mr Twala completed. </w:t>
      </w:r>
    </w:p>
    <w:p w:rsidR="00467E0A"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[61</w:t>
      </w:r>
      <w:r w:rsidR="00467E0A">
        <w:rPr>
          <w:rFonts w:ascii="Arial" w:hAnsi="Arial" w:cs="Arial"/>
          <w:sz w:val="24"/>
          <w:szCs w:val="24"/>
          <w:lang w:val="en-GB" w:eastAsia="en-ZA"/>
        </w:rPr>
        <w:t>]</w:t>
      </w:r>
      <w:r w:rsidR="00467E0A">
        <w:rPr>
          <w:rFonts w:ascii="Arial" w:hAnsi="Arial" w:cs="Arial"/>
          <w:sz w:val="24"/>
          <w:szCs w:val="24"/>
          <w:lang w:val="en-GB" w:eastAsia="en-ZA"/>
        </w:rPr>
        <w:tab/>
        <w:t>When he completed</w:t>
      </w:r>
      <w:r w:rsidR="00467E0A" w:rsidRPr="00CC773F">
        <w:rPr>
          <w:rFonts w:ascii="Arial" w:hAnsi="Arial" w:cs="Arial"/>
          <w:sz w:val="24"/>
          <w:szCs w:val="24"/>
          <w:lang w:val="en-GB" w:eastAsia="en-ZA"/>
        </w:rPr>
        <w:t xml:space="preserve"> MT7, Mr Twala only stated that he is a cattle farmer. He did not mention that he is a poultry farmer. This brings to question the basis on which his suitability to lease the Mike’s Chicken farms was determined. In any event, on Cultiver’s own version, Mr Twala was not properly assessed and found to meet the </w:t>
      </w:r>
      <w:r w:rsidR="00467E0A" w:rsidRPr="00CC773F">
        <w:rPr>
          <w:rFonts w:ascii="Arial" w:hAnsi="Arial" w:cs="Arial"/>
          <w:sz w:val="24"/>
          <w:szCs w:val="24"/>
          <w:lang w:val="en-GB" w:eastAsia="en-ZA"/>
        </w:rPr>
        <w:lastRenderedPageBreak/>
        <w:t xml:space="preserve">prescribed criteria as a PLAS beneficiary. </w:t>
      </w:r>
      <w:r w:rsidR="00467E0A">
        <w:rPr>
          <w:rFonts w:ascii="Arial" w:hAnsi="Arial" w:cs="Arial"/>
          <w:sz w:val="24"/>
          <w:szCs w:val="24"/>
          <w:lang w:val="en-GB" w:eastAsia="en-ZA"/>
        </w:rPr>
        <w:t>It is also not its version that Mr Twala or Cultiver</w:t>
      </w:r>
      <w:r w:rsidR="00467E0A" w:rsidRPr="00CC773F">
        <w:rPr>
          <w:rFonts w:ascii="Arial" w:hAnsi="Arial" w:cs="Arial"/>
          <w:sz w:val="24"/>
          <w:szCs w:val="24"/>
          <w:lang w:val="en-GB" w:eastAsia="en-ZA"/>
        </w:rPr>
        <w:t xml:space="preserve"> was placed on the PLAS benefi</w:t>
      </w:r>
      <w:r>
        <w:rPr>
          <w:rFonts w:ascii="Arial" w:hAnsi="Arial" w:cs="Arial"/>
          <w:sz w:val="24"/>
          <w:szCs w:val="24"/>
          <w:lang w:val="en-GB" w:eastAsia="en-ZA"/>
        </w:rPr>
        <w:t>ciary database after they were</w:t>
      </w:r>
      <w:r w:rsidR="00F324A9">
        <w:rPr>
          <w:rFonts w:ascii="Arial" w:hAnsi="Arial" w:cs="Arial"/>
          <w:sz w:val="24"/>
          <w:szCs w:val="24"/>
          <w:lang w:val="en-GB" w:eastAsia="en-ZA"/>
        </w:rPr>
        <w:t xml:space="preserve"> duly approved as </w:t>
      </w:r>
      <w:r w:rsidR="00467E0A" w:rsidRPr="00CC773F">
        <w:rPr>
          <w:rFonts w:ascii="Arial" w:hAnsi="Arial" w:cs="Arial"/>
          <w:sz w:val="24"/>
          <w:szCs w:val="24"/>
          <w:lang w:val="en-GB" w:eastAsia="en-ZA"/>
        </w:rPr>
        <w:t>PLAS beneficiar</w:t>
      </w:r>
      <w:r w:rsidR="00F324A9">
        <w:rPr>
          <w:rFonts w:ascii="Arial" w:hAnsi="Arial" w:cs="Arial"/>
          <w:sz w:val="24"/>
          <w:szCs w:val="24"/>
          <w:lang w:val="en-GB" w:eastAsia="en-ZA"/>
        </w:rPr>
        <w:t>(ies)</w:t>
      </w:r>
      <w:r w:rsidR="00467E0A" w:rsidRPr="00CC773F">
        <w:rPr>
          <w:rFonts w:ascii="Arial" w:hAnsi="Arial" w:cs="Arial"/>
          <w:sz w:val="24"/>
          <w:szCs w:val="24"/>
          <w:lang w:val="en-GB" w:eastAsia="en-ZA"/>
        </w:rPr>
        <w:t xml:space="preserve">. It is unclear whether, when he followed up with Mr Tshililo and asked him to place him on the </w:t>
      </w:r>
      <w:r w:rsidR="00467E0A" w:rsidRPr="00F656D6">
        <w:rPr>
          <w:rFonts w:ascii="Arial" w:hAnsi="Arial" w:cs="Arial"/>
          <w:i/>
          <w:sz w:val="24"/>
          <w:szCs w:val="24"/>
          <w:lang w:val="en-GB" w:eastAsia="en-ZA"/>
        </w:rPr>
        <w:t>“PLAS list”,</w:t>
      </w:r>
      <w:r w:rsidR="00467E0A" w:rsidRPr="00CC773F">
        <w:rPr>
          <w:rFonts w:ascii="Arial" w:hAnsi="Arial" w:cs="Arial"/>
          <w:i/>
          <w:sz w:val="24"/>
          <w:szCs w:val="24"/>
          <w:lang w:val="en-GB" w:eastAsia="en-ZA"/>
        </w:rPr>
        <w:t xml:space="preserve"> he did so. </w:t>
      </w:r>
      <w:r w:rsidR="00467E0A" w:rsidRPr="00CC773F">
        <w:rPr>
          <w:rFonts w:ascii="Arial" w:hAnsi="Arial" w:cs="Arial"/>
          <w:sz w:val="24"/>
          <w:szCs w:val="24"/>
          <w:lang w:val="en-GB" w:eastAsia="en-ZA"/>
        </w:rPr>
        <w:t xml:space="preserve">The only evidence of his approval as a PLAS beneficiary is LA3 which was </w:t>
      </w:r>
      <w:r w:rsidR="00467E0A">
        <w:rPr>
          <w:rFonts w:ascii="Arial" w:hAnsi="Arial" w:cs="Arial"/>
          <w:sz w:val="24"/>
          <w:szCs w:val="24"/>
          <w:lang w:val="en-GB" w:eastAsia="en-ZA"/>
        </w:rPr>
        <w:t>signed on</w:t>
      </w:r>
      <w:r w:rsidR="00467E0A" w:rsidRPr="00CC773F">
        <w:rPr>
          <w:rFonts w:ascii="Arial" w:hAnsi="Arial" w:cs="Arial"/>
          <w:sz w:val="24"/>
          <w:szCs w:val="24"/>
          <w:lang w:val="en-GB" w:eastAsia="en-ZA"/>
        </w:rPr>
        <w:t xml:space="preserve"> </w:t>
      </w:r>
      <w:r w:rsidR="00467E0A">
        <w:rPr>
          <w:rFonts w:ascii="Arial" w:hAnsi="Arial" w:cs="Arial"/>
          <w:sz w:val="24"/>
          <w:szCs w:val="24"/>
          <w:lang w:val="en-GB" w:eastAsia="en-ZA"/>
        </w:rPr>
        <w:t>17 May 2013</w:t>
      </w:r>
      <w:r w:rsidR="00467E0A" w:rsidRPr="00CC773F">
        <w:rPr>
          <w:rFonts w:ascii="Arial" w:hAnsi="Arial" w:cs="Arial"/>
          <w:sz w:val="24"/>
          <w:szCs w:val="24"/>
          <w:lang w:val="en-GB" w:eastAsia="en-ZA"/>
        </w:rPr>
        <w:t xml:space="preserve">. </w:t>
      </w:r>
    </w:p>
    <w:p w:rsidR="00467E0A"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[62</w:t>
      </w:r>
      <w:r w:rsidR="00467E0A">
        <w:rPr>
          <w:rFonts w:ascii="Arial" w:hAnsi="Arial" w:cs="Arial"/>
          <w:sz w:val="24"/>
          <w:szCs w:val="24"/>
          <w:lang w:val="en-GB" w:eastAsia="en-ZA"/>
        </w:rPr>
        <w:t>]</w:t>
      </w:r>
      <w:r w:rsidR="00467E0A">
        <w:rPr>
          <w:rFonts w:ascii="Arial" w:hAnsi="Arial" w:cs="Arial"/>
          <w:sz w:val="24"/>
          <w:szCs w:val="24"/>
          <w:lang w:val="en-GB" w:eastAsia="en-ZA"/>
        </w:rPr>
        <w:tab/>
        <w:t xml:space="preserve">On Mr Twala’s version </w:t>
      </w:r>
      <w:r w:rsidR="00467E0A" w:rsidRPr="00CC773F">
        <w:rPr>
          <w:rFonts w:ascii="Arial" w:hAnsi="Arial" w:cs="Arial"/>
          <w:sz w:val="24"/>
          <w:szCs w:val="24"/>
          <w:lang w:val="en-GB" w:eastAsia="en-ZA"/>
        </w:rPr>
        <w:t xml:space="preserve">no other </w:t>
      </w:r>
      <w:r w:rsidR="00467E0A">
        <w:rPr>
          <w:rFonts w:ascii="Arial" w:hAnsi="Arial" w:cs="Arial"/>
          <w:sz w:val="24"/>
          <w:szCs w:val="24"/>
          <w:lang w:val="en-GB" w:eastAsia="en-ZA"/>
        </w:rPr>
        <w:t xml:space="preserve">prescribed </w:t>
      </w:r>
      <w:r w:rsidR="00467E0A" w:rsidRPr="00CC773F">
        <w:rPr>
          <w:rFonts w:ascii="Arial" w:hAnsi="Arial" w:cs="Arial"/>
          <w:sz w:val="24"/>
          <w:szCs w:val="24"/>
          <w:lang w:val="en-GB" w:eastAsia="en-ZA"/>
        </w:rPr>
        <w:t xml:space="preserve">procedures were followed. </w:t>
      </w:r>
      <w:r w:rsidR="00467E0A">
        <w:rPr>
          <w:rFonts w:ascii="Arial" w:hAnsi="Arial" w:cs="Arial"/>
          <w:sz w:val="24"/>
          <w:szCs w:val="24"/>
          <w:lang w:val="en-GB" w:eastAsia="en-ZA"/>
        </w:rPr>
        <w:t>Cultiver is also cryptic with informatio</w:t>
      </w:r>
      <w:r w:rsidR="00F324A9">
        <w:rPr>
          <w:rFonts w:ascii="Arial" w:hAnsi="Arial" w:cs="Arial"/>
          <w:sz w:val="24"/>
          <w:szCs w:val="24"/>
          <w:lang w:val="en-GB" w:eastAsia="en-ZA"/>
        </w:rPr>
        <w:t>n. It has</w:t>
      </w:r>
      <w:r w:rsidR="00467E0A">
        <w:rPr>
          <w:rFonts w:ascii="Arial" w:hAnsi="Arial" w:cs="Arial"/>
          <w:sz w:val="24"/>
          <w:szCs w:val="24"/>
          <w:lang w:val="en-GB" w:eastAsia="en-ZA"/>
        </w:rPr>
        <w:t xml:space="preserve"> said nothing about the NEF du</w:t>
      </w:r>
      <w:r w:rsidR="00F324A9">
        <w:rPr>
          <w:rFonts w:ascii="Arial" w:hAnsi="Arial" w:cs="Arial"/>
          <w:sz w:val="24"/>
          <w:szCs w:val="24"/>
          <w:lang w:val="en-GB" w:eastAsia="en-ZA"/>
        </w:rPr>
        <w:t>e diligence and the fact that the NEF</w:t>
      </w:r>
      <w:r w:rsidR="00467E0A">
        <w:rPr>
          <w:rFonts w:ascii="Arial" w:hAnsi="Arial" w:cs="Arial"/>
          <w:sz w:val="24"/>
          <w:szCs w:val="24"/>
          <w:lang w:val="en-GB" w:eastAsia="en-ZA"/>
        </w:rPr>
        <w:t xml:space="preserve"> did not recommend that the Department fund Mike’s Chicken’s operations. It is improbable that Mr Twala does not know the outc</w:t>
      </w:r>
      <w:r w:rsidR="00F324A9">
        <w:rPr>
          <w:rFonts w:ascii="Arial" w:hAnsi="Arial" w:cs="Arial"/>
          <w:sz w:val="24"/>
          <w:szCs w:val="24"/>
          <w:lang w:val="en-GB" w:eastAsia="en-ZA"/>
        </w:rPr>
        <w:t>ome of the due diligence when that endeavour</w:t>
      </w:r>
      <w:r w:rsidR="00467E0A">
        <w:rPr>
          <w:rFonts w:ascii="Arial" w:hAnsi="Arial" w:cs="Arial"/>
          <w:sz w:val="24"/>
          <w:szCs w:val="24"/>
          <w:lang w:val="en-GB" w:eastAsia="en-ZA"/>
        </w:rPr>
        <w:t xml:space="preserve"> was prompted by Cultiver</w:t>
      </w:r>
      <w:r w:rsidR="00F324A9">
        <w:rPr>
          <w:rFonts w:ascii="Arial" w:hAnsi="Arial" w:cs="Arial"/>
          <w:sz w:val="24"/>
          <w:szCs w:val="24"/>
          <w:lang w:val="en-GB" w:eastAsia="en-ZA"/>
        </w:rPr>
        <w:t>’s</w:t>
      </w:r>
      <w:r w:rsidR="00467E0A">
        <w:rPr>
          <w:rFonts w:ascii="Arial" w:hAnsi="Arial" w:cs="Arial"/>
          <w:sz w:val="24"/>
          <w:szCs w:val="24"/>
          <w:lang w:val="en-GB" w:eastAsia="en-ZA"/>
        </w:rPr>
        <w:t xml:space="preserve"> application for grant funding.  </w:t>
      </w:r>
    </w:p>
    <w:p w:rsidR="00467E0A" w:rsidRDefault="00467E0A" w:rsidP="00467E0A">
      <w:pPr>
        <w:pStyle w:val="XClause1Head"/>
        <w:numPr>
          <w:ilvl w:val="0"/>
          <w:numId w:val="0"/>
        </w:numPr>
        <w:rPr>
          <w:rFonts w:ascii="Arial" w:hAnsi="Arial" w:cs="Arial"/>
          <w:sz w:val="24"/>
          <w:szCs w:val="24"/>
          <w:lang w:val="en-GB" w:eastAsia="en-ZA"/>
        </w:rPr>
      </w:pPr>
    </w:p>
    <w:p w:rsidR="00DF0518" w:rsidRDefault="0059658E" w:rsidP="00DF0518">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[63</w:t>
      </w:r>
      <w:r w:rsidR="00DF0518" w:rsidRPr="00CC773F">
        <w:rPr>
          <w:rFonts w:ascii="Arial" w:hAnsi="Arial" w:cs="Arial"/>
          <w:sz w:val="24"/>
          <w:szCs w:val="24"/>
          <w:lang w:val="en-GB" w:eastAsia="en-ZA"/>
        </w:rPr>
        <w:t>]</w:t>
      </w:r>
      <w:r w:rsidR="00DF0518" w:rsidRPr="00CC773F">
        <w:rPr>
          <w:rFonts w:ascii="Arial" w:hAnsi="Arial" w:cs="Arial"/>
          <w:sz w:val="24"/>
          <w:szCs w:val="24"/>
          <w:lang w:val="en-GB" w:eastAsia="en-ZA"/>
        </w:rPr>
        <w:tab/>
        <w:t>It is also irrelevant</w:t>
      </w:r>
      <w:r w:rsidR="00DF0518">
        <w:rPr>
          <w:rFonts w:ascii="Arial" w:hAnsi="Arial" w:cs="Arial"/>
          <w:sz w:val="24"/>
          <w:szCs w:val="24"/>
          <w:lang w:val="en-GB" w:eastAsia="en-ZA"/>
        </w:rPr>
        <w:t xml:space="preserve"> as contended on behalf of Cultiver</w:t>
      </w:r>
      <w:r w:rsidR="00DF0518" w:rsidRPr="00CC773F">
        <w:rPr>
          <w:rFonts w:ascii="Arial" w:hAnsi="Arial" w:cs="Arial"/>
          <w:sz w:val="24"/>
          <w:szCs w:val="24"/>
          <w:lang w:val="en-GB" w:eastAsia="en-ZA"/>
        </w:rPr>
        <w:t xml:space="preserve"> that Deloitte had recommended that Cultiver’s occupation of Mike’s Chickens farm be regularised. It is clear that the Department did not accept this recommendation but instead refused to conclude a long term agreement with Cultiver based on its</w:t>
      </w:r>
      <w:r w:rsidR="00DF0518">
        <w:rPr>
          <w:rFonts w:ascii="Arial" w:hAnsi="Arial" w:cs="Arial"/>
          <w:sz w:val="24"/>
          <w:szCs w:val="24"/>
          <w:lang w:val="en-GB" w:eastAsia="en-ZA"/>
        </w:rPr>
        <w:t xml:space="preserve"> alleged </w:t>
      </w:r>
      <w:r w:rsidR="00DF0518" w:rsidRPr="00CC773F">
        <w:rPr>
          <w:rFonts w:ascii="Arial" w:hAnsi="Arial" w:cs="Arial"/>
          <w:sz w:val="24"/>
          <w:szCs w:val="24"/>
          <w:lang w:val="en-GB" w:eastAsia="en-ZA"/>
        </w:rPr>
        <w:t>irregular appointment as a PLAS beneficia</w:t>
      </w:r>
      <w:r w:rsidR="00DF0518">
        <w:rPr>
          <w:rFonts w:ascii="Arial" w:hAnsi="Arial" w:cs="Arial"/>
          <w:sz w:val="24"/>
          <w:szCs w:val="24"/>
          <w:lang w:val="en-GB" w:eastAsia="en-ZA"/>
        </w:rPr>
        <w:t>ry, amongst other factors</w:t>
      </w:r>
      <w:r w:rsidR="00DF0518" w:rsidRPr="00CC773F">
        <w:rPr>
          <w:rFonts w:ascii="Arial" w:hAnsi="Arial" w:cs="Arial"/>
          <w:sz w:val="24"/>
          <w:szCs w:val="24"/>
          <w:lang w:val="en-GB" w:eastAsia="en-ZA"/>
        </w:rPr>
        <w:t xml:space="preserve">. </w:t>
      </w:r>
    </w:p>
    <w:p w:rsidR="0059658E" w:rsidRDefault="0059658E" w:rsidP="00DF0518">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[64</w:t>
      </w:r>
      <w:r w:rsidR="00467E0A">
        <w:rPr>
          <w:rFonts w:ascii="Arial" w:hAnsi="Arial" w:cs="Arial"/>
          <w:sz w:val="24"/>
          <w:szCs w:val="24"/>
          <w:lang w:val="en-GB" w:eastAsia="en-ZA"/>
        </w:rPr>
        <w:t>]</w:t>
      </w:r>
      <w:r w:rsidR="00467E0A">
        <w:rPr>
          <w:rFonts w:ascii="Arial" w:hAnsi="Arial" w:cs="Arial"/>
          <w:sz w:val="24"/>
          <w:szCs w:val="24"/>
          <w:lang w:val="en-GB" w:eastAsia="en-ZA"/>
        </w:rPr>
        <w:tab/>
        <w:t xml:space="preserve">Cultiver’s </w:t>
      </w:r>
      <w:r w:rsidR="00467E0A" w:rsidRPr="00CC773F">
        <w:rPr>
          <w:rFonts w:ascii="Arial" w:hAnsi="Arial" w:cs="Arial"/>
          <w:sz w:val="24"/>
          <w:szCs w:val="24"/>
          <w:lang w:val="en-GB" w:eastAsia="en-ZA"/>
        </w:rPr>
        <w:t>conten</w:t>
      </w:r>
      <w:r w:rsidR="00467E0A">
        <w:rPr>
          <w:rFonts w:ascii="Arial" w:hAnsi="Arial" w:cs="Arial"/>
          <w:sz w:val="24"/>
          <w:szCs w:val="24"/>
          <w:lang w:val="en-GB" w:eastAsia="en-ZA"/>
        </w:rPr>
        <w:t xml:space="preserve">tion </w:t>
      </w:r>
      <w:r w:rsidR="00467E0A" w:rsidRPr="00CC773F">
        <w:rPr>
          <w:rFonts w:ascii="Arial" w:hAnsi="Arial" w:cs="Arial"/>
          <w:sz w:val="24"/>
          <w:szCs w:val="24"/>
          <w:lang w:val="en-GB" w:eastAsia="en-ZA"/>
        </w:rPr>
        <w:t>that since 2013</w:t>
      </w:r>
      <w:r w:rsidR="00467E0A">
        <w:rPr>
          <w:rFonts w:ascii="Arial" w:hAnsi="Arial" w:cs="Arial"/>
          <w:sz w:val="24"/>
          <w:szCs w:val="24"/>
          <w:lang w:val="en-GB" w:eastAsia="en-ZA"/>
        </w:rPr>
        <w:t xml:space="preserve"> it </w:t>
      </w:r>
      <w:r w:rsidR="00467E0A" w:rsidRPr="00CC773F">
        <w:rPr>
          <w:rFonts w:ascii="Arial" w:hAnsi="Arial" w:cs="Arial"/>
          <w:sz w:val="24"/>
          <w:szCs w:val="24"/>
          <w:lang w:val="en-GB" w:eastAsia="en-ZA"/>
        </w:rPr>
        <w:t xml:space="preserve">was in the position of a </w:t>
      </w:r>
      <w:r w:rsidR="00467E0A" w:rsidRPr="00DF0518">
        <w:rPr>
          <w:rFonts w:ascii="Arial" w:hAnsi="Arial" w:cs="Arial"/>
          <w:i/>
          <w:sz w:val="24"/>
          <w:szCs w:val="24"/>
          <w:lang w:val="en-GB" w:eastAsia="en-ZA"/>
        </w:rPr>
        <w:t>de facto</w:t>
      </w:r>
      <w:r w:rsidR="00467E0A" w:rsidRPr="00CC773F">
        <w:rPr>
          <w:rFonts w:ascii="Arial" w:hAnsi="Arial" w:cs="Arial"/>
          <w:sz w:val="24"/>
          <w:szCs w:val="24"/>
          <w:lang w:val="en-GB" w:eastAsia="en-ZA"/>
        </w:rPr>
        <w:t xml:space="preserve"> lessee</w:t>
      </w:r>
      <w:r w:rsidR="00467E0A">
        <w:rPr>
          <w:rFonts w:ascii="Arial" w:hAnsi="Arial" w:cs="Arial"/>
          <w:sz w:val="24"/>
          <w:szCs w:val="24"/>
          <w:lang w:val="en-GB" w:eastAsia="en-ZA"/>
        </w:rPr>
        <w:t xml:space="preserve"> and that </w:t>
      </w:r>
      <w:r w:rsidR="00467E0A" w:rsidRPr="00CC773F">
        <w:rPr>
          <w:rFonts w:ascii="Arial" w:hAnsi="Arial" w:cs="Arial"/>
          <w:sz w:val="24"/>
          <w:szCs w:val="24"/>
          <w:lang w:val="en-GB" w:eastAsia="en-ZA"/>
        </w:rPr>
        <w:t xml:space="preserve">on a proper conspectus of all the facts and circumstances, the decision to conclude the impugned lease </w:t>
      </w:r>
      <w:r w:rsidR="00467E0A">
        <w:rPr>
          <w:rFonts w:ascii="Arial" w:hAnsi="Arial" w:cs="Arial"/>
          <w:sz w:val="24"/>
          <w:szCs w:val="24"/>
          <w:lang w:val="en-GB" w:eastAsia="en-ZA"/>
        </w:rPr>
        <w:t xml:space="preserve">agreement </w:t>
      </w:r>
      <w:r>
        <w:rPr>
          <w:rFonts w:ascii="Arial" w:hAnsi="Arial" w:cs="Arial"/>
          <w:sz w:val="24"/>
          <w:szCs w:val="24"/>
          <w:lang w:val="en-GB" w:eastAsia="en-ZA"/>
        </w:rPr>
        <w:t>was rational and serv</w:t>
      </w:r>
      <w:r w:rsidR="00467E0A" w:rsidRPr="00CC773F">
        <w:rPr>
          <w:rFonts w:ascii="Arial" w:hAnsi="Arial" w:cs="Arial"/>
          <w:sz w:val="24"/>
          <w:szCs w:val="24"/>
          <w:lang w:val="en-GB" w:eastAsia="en-ZA"/>
        </w:rPr>
        <w:t>e</w:t>
      </w:r>
      <w:r>
        <w:rPr>
          <w:rFonts w:ascii="Arial" w:hAnsi="Arial" w:cs="Arial"/>
          <w:sz w:val="24"/>
          <w:szCs w:val="24"/>
          <w:lang w:val="en-GB" w:eastAsia="en-ZA"/>
        </w:rPr>
        <w:t>s</w:t>
      </w:r>
      <w:r w:rsidR="00467E0A" w:rsidRPr="00CC773F">
        <w:rPr>
          <w:rFonts w:ascii="Arial" w:hAnsi="Arial" w:cs="Arial"/>
          <w:sz w:val="24"/>
          <w:szCs w:val="24"/>
          <w:lang w:val="en-GB" w:eastAsia="en-ZA"/>
        </w:rPr>
        <w:t xml:space="preserve"> the interest of the PLAS program</w:t>
      </w:r>
      <w:r>
        <w:rPr>
          <w:rFonts w:ascii="Arial" w:hAnsi="Arial" w:cs="Arial"/>
          <w:sz w:val="24"/>
          <w:szCs w:val="24"/>
          <w:lang w:val="en-GB" w:eastAsia="en-ZA"/>
        </w:rPr>
        <w:t>me</w:t>
      </w:r>
      <w:r w:rsidR="00467E0A" w:rsidRPr="00CC773F">
        <w:rPr>
          <w:rFonts w:ascii="Arial" w:hAnsi="Arial" w:cs="Arial"/>
          <w:sz w:val="24"/>
          <w:szCs w:val="24"/>
          <w:lang w:val="en-GB" w:eastAsia="en-ZA"/>
        </w:rPr>
        <w:t xml:space="preserve"> and the fiscus</w:t>
      </w:r>
      <w:r w:rsidR="00467E0A">
        <w:rPr>
          <w:rFonts w:ascii="Arial" w:hAnsi="Arial" w:cs="Arial"/>
          <w:sz w:val="24"/>
          <w:szCs w:val="24"/>
          <w:lang w:val="en-GB" w:eastAsia="en-ZA"/>
        </w:rPr>
        <w:t xml:space="preserve"> lacks merit</w:t>
      </w:r>
      <w:r w:rsidR="00467E0A" w:rsidRPr="00CC773F">
        <w:rPr>
          <w:rFonts w:ascii="Arial" w:hAnsi="Arial" w:cs="Arial"/>
          <w:sz w:val="24"/>
          <w:szCs w:val="24"/>
          <w:lang w:val="en-GB" w:eastAsia="en-ZA"/>
        </w:rPr>
        <w:t xml:space="preserve">. </w:t>
      </w:r>
      <w:r>
        <w:rPr>
          <w:rFonts w:ascii="Arial" w:hAnsi="Arial" w:cs="Arial"/>
          <w:sz w:val="24"/>
          <w:szCs w:val="24"/>
          <w:lang w:val="en-GB" w:eastAsia="en-ZA"/>
        </w:rPr>
        <w:t xml:space="preserve">It is highly improbable that Mr Twala </w:t>
      </w:r>
      <w:r w:rsidR="00841B3C">
        <w:rPr>
          <w:rFonts w:ascii="Arial" w:hAnsi="Arial" w:cs="Arial"/>
          <w:sz w:val="24"/>
          <w:szCs w:val="24"/>
          <w:lang w:val="en-GB" w:eastAsia="en-ZA"/>
        </w:rPr>
        <w:t xml:space="preserve">would </w:t>
      </w:r>
      <w:r w:rsidR="00467E0A">
        <w:rPr>
          <w:rFonts w:ascii="Arial" w:hAnsi="Arial" w:cs="Arial"/>
          <w:sz w:val="24"/>
          <w:szCs w:val="24"/>
          <w:lang w:val="en-GB" w:eastAsia="en-ZA"/>
        </w:rPr>
        <w:t xml:space="preserve">have by-passed the Departmental officials whom he had engaged up to that point and sought Minister Nkoana-Mashabane’s intervention if the Department was </w:t>
      </w:r>
      <w:r w:rsidR="00841B3C">
        <w:rPr>
          <w:rFonts w:ascii="Arial" w:hAnsi="Arial" w:cs="Arial"/>
          <w:sz w:val="24"/>
          <w:szCs w:val="24"/>
          <w:lang w:val="en-GB" w:eastAsia="en-ZA"/>
        </w:rPr>
        <w:t>in agreement</w:t>
      </w:r>
      <w:r w:rsidR="00467E0A" w:rsidRPr="00841B3C">
        <w:rPr>
          <w:rFonts w:ascii="Arial" w:hAnsi="Arial" w:cs="Arial"/>
          <w:i/>
          <w:sz w:val="24"/>
          <w:szCs w:val="24"/>
          <w:lang w:val="en-GB" w:eastAsia="en-ZA"/>
        </w:rPr>
        <w:t xml:space="preserve"> </w:t>
      </w:r>
      <w:r w:rsidR="00467E0A">
        <w:rPr>
          <w:rFonts w:ascii="Arial" w:hAnsi="Arial" w:cs="Arial"/>
          <w:sz w:val="24"/>
          <w:szCs w:val="24"/>
          <w:lang w:val="en-GB" w:eastAsia="en-ZA"/>
        </w:rPr>
        <w:t>that concluding a lease agreement with Cultiver served the interests of the PLAS programme and the fiscus.</w:t>
      </w:r>
      <w:r w:rsidR="00841B3C">
        <w:rPr>
          <w:rFonts w:ascii="Arial" w:hAnsi="Arial" w:cs="Arial"/>
          <w:sz w:val="24"/>
          <w:szCs w:val="24"/>
          <w:lang w:val="en-GB" w:eastAsia="en-ZA"/>
        </w:rPr>
        <w:t xml:space="preserve"> If it did, Minister Nkoana-Mashabane’s intervention was hardly warranted and for the reasons already stated justified.</w:t>
      </w:r>
      <w:r w:rsidR="00467E0A">
        <w:rPr>
          <w:rFonts w:ascii="Arial" w:hAnsi="Arial" w:cs="Arial"/>
          <w:sz w:val="24"/>
          <w:szCs w:val="24"/>
          <w:lang w:val="en-GB" w:eastAsia="en-ZA"/>
        </w:rPr>
        <w:t xml:space="preserve"> </w:t>
      </w:r>
    </w:p>
    <w:p w:rsidR="00467E0A" w:rsidRDefault="00467E0A" w:rsidP="00467E0A">
      <w:pPr>
        <w:pStyle w:val="XClause1Head"/>
        <w:numPr>
          <w:ilvl w:val="0"/>
          <w:numId w:val="0"/>
        </w:numPr>
        <w:rPr>
          <w:rFonts w:ascii="Arial" w:hAnsi="Arial" w:cs="Arial"/>
          <w:sz w:val="24"/>
          <w:szCs w:val="24"/>
          <w:lang w:val="en-GB" w:eastAsia="en-ZA"/>
        </w:rPr>
      </w:pPr>
    </w:p>
    <w:p w:rsidR="00467E0A" w:rsidRPr="00CC773F"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lastRenderedPageBreak/>
        <w:t>[65</w:t>
      </w:r>
      <w:r w:rsidR="00DF0518">
        <w:rPr>
          <w:rFonts w:ascii="Arial" w:hAnsi="Arial" w:cs="Arial"/>
          <w:sz w:val="24"/>
          <w:szCs w:val="24"/>
          <w:lang w:val="en-GB" w:eastAsia="en-ZA"/>
        </w:rPr>
        <w:t>]</w:t>
      </w:r>
      <w:r w:rsidR="00DF0518">
        <w:rPr>
          <w:rFonts w:ascii="Arial" w:hAnsi="Arial" w:cs="Arial"/>
          <w:sz w:val="24"/>
          <w:szCs w:val="24"/>
          <w:lang w:val="en-GB" w:eastAsia="en-ZA"/>
        </w:rPr>
        <w:tab/>
        <w:t xml:space="preserve">For these reasons, the second decision stands to be </w:t>
      </w:r>
      <w:r w:rsidR="00467E0A">
        <w:rPr>
          <w:rFonts w:ascii="Arial" w:hAnsi="Arial" w:cs="Arial"/>
          <w:sz w:val="24"/>
          <w:szCs w:val="24"/>
          <w:lang w:val="en-GB" w:eastAsia="en-ZA"/>
        </w:rPr>
        <w:t>reviewed</w:t>
      </w:r>
      <w:r w:rsidR="00DF0518">
        <w:rPr>
          <w:rFonts w:ascii="Arial" w:hAnsi="Arial" w:cs="Arial"/>
          <w:sz w:val="24"/>
          <w:szCs w:val="24"/>
          <w:lang w:val="en-GB" w:eastAsia="en-ZA"/>
        </w:rPr>
        <w:t xml:space="preserve"> as it was taken irrationally.</w:t>
      </w:r>
    </w:p>
    <w:p w:rsidR="00467E0A" w:rsidRPr="00CC773F" w:rsidRDefault="00467E0A" w:rsidP="00467E0A">
      <w:pPr>
        <w:pStyle w:val="XClause1Head"/>
        <w:numPr>
          <w:ilvl w:val="0"/>
          <w:numId w:val="0"/>
        </w:numPr>
        <w:rPr>
          <w:rFonts w:ascii="Arial" w:hAnsi="Arial" w:cs="Arial"/>
          <w:sz w:val="24"/>
          <w:szCs w:val="24"/>
          <w:lang w:val="en-GB" w:eastAsia="en-ZA"/>
        </w:rPr>
      </w:pPr>
    </w:p>
    <w:p w:rsidR="00467E0A" w:rsidRPr="00CC773F" w:rsidRDefault="00467E0A" w:rsidP="00467E0A">
      <w:pPr>
        <w:pStyle w:val="XClause1Head"/>
        <w:numPr>
          <w:ilvl w:val="0"/>
          <w:numId w:val="0"/>
        </w:numPr>
        <w:rPr>
          <w:rFonts w:ascii="Arial" w:hAnsi="Arial" w:cs="Arial"/>
          <w:b/>
          <w:sz w:val="24"/>
          <w:szCs w:val="24"/>
          <w:lang w:val="en-GB" w:eastAsia="en-ZA"/>
        </w:rPr>
      </w:pPr>
      <w:r w:rsidRPr="00EF6EC8">
        <w:rPr>
          <w:rFonts w:ascii="Arial" w:hAnsi="Arial" w:cs="Arial"/>
          <w:b/>
          <w:sz w:val="24"/>
          <w:szCs w:val="24"/>
          <w:lang w:val="en-GB" w:eastAsia="en-ZA"/>
        </w:rPr>
        <w:t>T</w:t>
      </w:r>
      <w:r>
        <w:rPr>
          <w:rFonts w:ascii="Arial" w:hAnsi="Arial" w:cs="Arial"/>
          <w:b/>
          <w:sz w:val="24"/>
          <w:szCs w:val="24"/>
          <w:lang w:val="en-GB" w:eastAsia="en-ZA"/>
        </w:rPr>
        <w:t xml:space="preserve">he third decision </w:t>
      </w: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[66</w:t>
      </w:r>
      <w:r w:rsidR="00467E0A" w:rsidRPr="00CC773F">
        <w:rPr>
          <w:rFonts w:ascii="Arial" w:hAnsi="Arial" w:cs="Arial"/>
          <w:sz w:val="24"/>
          <w:szCs w:val="24"/>
          <w:lang w:val="en-GB" w:eastAsia="en-ZA"/>
        </w:rPr>
        <w:t>]</w:t>
      </w:r>
      <w:r w:rsidR="00467E0A" w:rsidRPr="00CC773F">
        <w:rPr>
          <w:rFonts w:ascii="Arial" w:hAnsi="Arial" w:cs="Arial"/>
          <w:sz w:val="24"/>
          <w:szCs w:val="24"/>
          <w:lang w:val="en-GB" w:eastAsia="en-ZA"/>
        </w:rPr>
        <w:tab/>
        <w:t>The irr</w:t>
      </w:r>
      <w:r w:rsidR="00467E0A">
        <w:rPr>
          <w:rFonts w:ascii="Arial" w:hAnsi="Arial" w:cs="Arial"/>
          <w:sz w:val="24"/>
          <w:szCs w:val="24"/>
          <w:lang w:val="en-GB" w:eastAsia="en-ZA"/>
        </w:rPr>
        <w:t xml:space="preserve">ationality </w:t>
      </w:r>
      <w:r w:rsidR="00467E0A" w:rsidRPr="00CC773F">
        <w:rPr>
          <w:rFonts w:ascii="Arial" w:hAnsi="Arial" w:cs="Arial"/>
          <w:sz w:val="24"/>
          <w:szCs w:val="24"/>
          <w:lang w:val="en-GB" w:eastAsia="en-ZA"/>
        </w:rPr>
        <w:t xml:space="preserve">that </w:t>
      </w:r>
      <w:r w:rsidR="00467E0A">
        <w:rPr>
          <w:rFonts w:ascii="Arial" w:hAnsi="Arial" w:cs="Arial"/>
          <w:sz w:val="24"/>
          <w:szCs w:val="24"/>
          <w:lang w:val="en-GB" w:eastAsia="en-ZA"/>
        </w:rPr>
        <w:t xml:space="preserve">underpins </w:t>
      </w:r>
      <w:r w:rsidR="00841B3C">
        <w:rPr>
          <w:rFonts w:ascii="Arial" w:hAnsi="Arial" w:cs="Arial"/>
          <w:sz w:val="24"/>
          <w:szCs w:val="24"/>
          <w:lang w:val="en-GB" w:eastAsia="en-ZA"/>
        </w:rPr>
        <w:t>the second decision taints</w:t>
      </w:r>
      <w:r w:rsidR="00467E0A" w:rsidRPr="00CC773F">
        <w:rPr>
          <w:rFonts w:ascii="Arial" w:hAnsi="Arial" w:cs="Arial"/>
          <w:sz w:val="24"/>
          <w:szCs w:val="24"/>
          <w:lang w:val="en-GB" w:eastAsia="en-ZA"/>
        </w:rPr>
        <w:t xml:space="preserve"> the imp</w:t>
      </w:r>
      <w:r w:rsidR="00467E0A">
        <w:rPr>
          <w:rFonts w:ascii="Arial" w:hAnsi="Arial" w:cs="Arial"/>
          <w:sz w:val="24"/>
          <w:szCs w:val="24"/>
          <w:lang w:val="en-GB" w:eastAsia="en-ZA"/>
        </w:rPr>
        <w:t xml:space="preserve">ugned lease agreement </w:t>
      </w:r>
      <w:r w:rsidR="00841B3C">
        <w:rPr>
          <w:rFonts w:ascii="Arial" w:hAnsi="Arial" w:cs="Arial"/>
          <w:sz w:val="24"/>
          <w:szCs w:val="24"/>
          <w:lang w:val="en-GB" w:eastAsia="en-ZA"/>
        </w:rPr>
        <w:t xml:space="preserve">with </w:t>
      </w:r>
      <w:r w:rsidR="00467E0A">
        <w:rPr>
          <w:rFonts w:ascii="Arial" w:hAnsi="Arial" w:cs="Arial"/>
          <w:sz w:val="24"/>
          <w:szCs w:val="24"/>
          <w:lang w:val="en-GB" w:eastAsia="en-ZA"/>
        </w:rPr>
        <w:t>irregular</w:t>
      </w:r>
      <w:r w:rsidR="00841B3C">
        <w:rPr>
          <w:rFonts w:ascii="Arial" w:hAnsi="Arial" w:cs="Arial"/>
          <w:sz w:val="24"/>
          <w:szCs w:val="24"/>
          <w:lang w:val="en-GB" w:eastAsia="en-ZA"/>
        </w:rPr>
        <w:t>ity</w:t>
      </w:r>
      <w:r w:rsidR="00467E0A">
        <w:rPr>
          <w:rFonts w:ascii="Arial" w:hAnsi="Arial" w:cs="Arial"/>
          <w:sz w:val="24"/>
          <w:szCs w:val="24"/>
          <w:lang w:val="en-GB" w:eastAsia="en-ZA"/>
        </w:rPr>
        <w:t xml:space="preserve">. Therefore, </w:t>
      </w:r>
      <w:r w:rsidR="00841B3C">
        <w:rPr>
          <w:rFonts w:ascii="Arial" w:hAnsi="Arial" w:cs="Arial"/>
          <w:sz w:val="24"/>
          <w:szCs w:val="24"/>
          <w:lang w:val="en-GB" w:eastAsia="en-ZA"/>
        </w:rPr>
        <w:t xml:space="preserve">contrary to the argument advanced on behalf of Cultiver, </w:t>
      </w:r>
      <w:r w:rsidR="00467E0A">
        <w:rPr>
          <w:rFonts w:ascii="Arial" w:hAnsi="Arial" w:cs="Arial"/>
          <w:sz w:val="24"/>
          <w:szCs w:val="24"/>
          <w:lang w:val="en-GB" w:eastAsia="en-ZA"/>
        </w:rPr>
        <w:t>the third decision may not escape review on the basis that the Department was simply implementing its 2013 decision to approve Cultiver as a beneficiary on the PLAS programme.</w:t>
      </w:r>
    </w:p>
    <w:p w:rsidR="00467E0A" w:rsidRDefault="00467E0A" w:rsidP="00467E0A">
      <w:pPr>
        <w:pStyle w:val="XClause1Head"/>
        <w:numPr>
          <w:ilvl w:val="0"/>
          <w:numId w:val="0"/>
        </w:numPr>
        <w:rPr>
          <w:rFonts w:ascii="Arial" w:hAnsi="Arial" w:cs="Arial"/>
          <w:sz w:val="24"/>
          <w:szCs w:val="24"/>
          <w:lang w:val="en-GB" w:eastAsia="en-ZA"/>
        </w:rPr>
      </w:pPr>
    </w:p>
    <w:p w:rsidR="00467E0A" w:rsidRDefault="00467E0A" w:rsidP="00467E0A">
      <w:pPr>
        <w:pStyle w:val="XClause1Head"/>
        <w:numPr>
          <w:ilvl w:val="0"/>
          <w:numId w:val="0"/>
        </w:numPr>
        <w:rPr>
          <w:rFonts w:ascii="Arial" w:hAnsi="Arial" w:cs="Arial"/>
          <w:sz w:val="24"/>
          <w:szCs w:val="24"/>
          <w:lang w:val="en-GB" w:eastAsia="en-ZA"/>
        </w:rPr>
      </w:pPr>
      <w:r w:rsidRPr="00CC773F">
        <w:rPr>
          <w:rFonts w:ascii="Arial" w:hAnsi="Arial" w:cs="Arial"/>
          <w:sz w:val="24"/>
          <w:szCs w:val="24"/>
          <w:lang w:val="en-GB" w:eastAsia="en-ZA"/>
        </w:rPr>
        <w:t>[</w:t>
      </w:r>
      <w:r w:rsidR="0059658E">
        <w:rPr>
          <w:rFonts w:ascii="Arial" w:hAnsi="Arial" w:cs="Arial"/>
          <w:sz w:val="24"/>
          <w:szCs w:val="24"/>
          <w:lang w:val="en-GB" w:eastAsia="en-ZA"/>
        </w:rPr>
        <w:t>67</w:t>
      </w:r>
      <w:r w:rsidRPr="00CC773F">
        <w:rPr>
          <w:rFonts w:ascii="Arial" w:hAnsi="Arial" w:cs="Arial"/>
          <w:sz w:val="24"/>
          <w:szCs w:val="24"/>
          <w:lang w:val="en-GB" w:eastAsia="en-ZA"/>
        </w:rPr>
        <w:t>]</w:t>
      </w:r>
      <w:r w:rsidRPr="00CC773F">
        <w:rPr>
          <w:rFonts w:ascii="Arial" w:hAnsi="Arial" w:cs="Arial"/>
          <w:sz w:val="24"/>
          <w:szCs w:val="24"/>
          <w:lang w:val="en-GB" w:eastAsia="en-ZA"/>
        </w:rPr>
        <w:tab/>
        <w:t>Cultiver</w:t>
      </w:r>
      <w:r w:rsidR="00841B3C">
        <w:rPr>
          <w:rFonts w:ascii="Arial" w:hAnsi="Arial" w:cs="Arial"/>
          <w:sz w:val="24"/>
          <w:szCs w:val="24"/>
          <w:lang w:val="en-GB" w:eastAsia="en-ZA"/>
        </w:rPr>
        <w:t>’s</w:t>
      </w:r>
      <w:r w:rsidRPr="00CC773F">
        <w:rPr>
          <w:rFonts w:ascii="Arial" w:hAnsi="Arial" w:cs="Arial"/>
          <w:sz w:val="24"/>
          <w:szCs w:val="24"/>
          <w:lang w:val="en-GB" w:eastAsia="en-ZA"/>
        </w:rPr>
        <w:t xml:space="preserve"> conten</w:t>
      </w:r>
      <w:r>
        <w:rPr>
          <w:rFonts w:ascii="Arial" w:hAnsi="Arial" w:cs="Arial"/>
          <w:sz w:val="24"/>
          <w:szCs w:val="24"/>
          <w:lang w:val="en-GB" w:eastAsia="en-ZA"/>
        </w:rPr>
        <w:t xml:space="preserve">tion </w:t>
      </w:r>
      <w:r w:rsidRPr="00CC773F">
        <w:rPr>
          <w:rFonts w:ascii="Arial" w:hAnsi="Arial" w:cs="Arial"/>
          <w:sz w:val="24"/>
          <w:szCs w:val="24"/>
          <w:lang w:val="en-GB" w:eastAsia="en-ZA"/>
        </w:rPr>
        <w:t>that the impugned lease agreement is identical to that Mr Mngwengwe was due to sign on behalf of the Department in 2016</w:t>
      </w:r>
      <w:r>
        <w:rPr>
          <w:rFonts w:ascii="Arial" w:hAnsi="Arial" w:cs="Arial"/>
          <w:sz w:val="24"/>
          <w:szCs w:val="24"/>
          <w:lang w:val="en-GB" w:eastAsia="en-ZA"/>
        </w:rPr>
        <w:t xml:space="preserve"> is </w:t>
      </w:r>
      <w:r w:rsidR="00841B3C">
        <w:rPr>
          <w:rFonts w:ascii="Arial" w:hAnsi="Arial" w:cs="Arial"/>
          <w:sz w:val="24"/>
          <w:szCs w:val="24"/>
          <w:lang w:val="en-GB" w:eastAsia="en-ZA"/>
        </w:rPr>
        <w:t xml:space="preserve">also </w:t>
      </w:r>
      <w:r>
        <w:rPr>
          <w:rFonts w:ascii="Arial" w:hAnsi="Arial" w:cs="Arial"/>
          <w:sz w:val="24"/>
          <w:szCs w:val="24"/>
          <w:lang w:val="en-GB" w:eastAsia="en-ZA"/>
        </w:rPr>
        <w:t>of no moment</w:t>
      </w:r>
      <w:r w:rsidRPr="00CC773F">
        <w:rPr>
          <w:rFonts w:ascii="Arial" w:hAnsi="Arial" w:cs="Arial"/>
          <w:sz w:val="24"/>
          <w:szCs w:val="24"/>
          <w:lang w:val="en-GB" w:eastAsia="en-ZA"/>
        </w:rPr>
        <w:t xml:space="preserve">. Mr Mngwengwe had been authorised by the </w:t>
      </w:r>
      <w:r>
        <w:rPr>
          <w:rFonts w:ascii="Arial" w:hAnsi="Arial" w:cs="Arial"/>
          <w:sz w:val="24"/>
          <w:szCs w:val="24"/>
          <w:lang w:val="en-GB" w:eastAsia="en-ZA"/>
        </w:rPr>
        <w:t>NLARCC on 25 May 2013 to sign the lease agreement</w:t>
      </w:r>
      <w:r w:rsidRPr="00CC773F">
        <w:rPr>
          <w:rFonts w:ascii="Arial" w:hAnsi="Arial" w:cs="Arial"/>
          <w:sz w:val="24"/>
          <w:szCs w:val="24"/>
          <w:lang w:val="en-GB" w:eastAsia="en-ZA"/>
        </w:rPr>
        <w:t xml:space="preserve"> when it approved Cultiver’s appointment as a beneficiary. </w:t>
      </w:r>
      <w:r>
        <w:rPr>
          <w:rFonts w:ascii="Arial" w:hAnsi="Arial" w:cs="Arial"/>
          <w:sz w:val="24"/>
          <w:szCs w:val="24"/>
          <w:lang w:val="en-GB" w:eastAsia="en-ZA"/>
        </w:rPr>
        <w:t xml:space="preserve">It is improbable that the NLARCC was aware of the alleged irregular process followed to approve Mr Twala and/ or Cultiver as a PLAS beneficiary. </w:t>
      </w:r>
      <w:r w:rsidR="0059658E">
        <w:rPr>
          <w:rFonts w:ascii="Arial" w:hAnsi="Arial" w:cs="Arial"/>
          <w:sz w:val="24"/>
          <w:szCs w:val="24"/>
          <w:lang w:val="en-GB" w:eastAsia="en-ZA"/>
        </w:rPr>
        <w:t>Further, t</w:t>
      </w:r>
      <w:r>
        <w:rPr>
          <w:rFonts w:ascii="Arial" w:hAnsi="Arial" w:cs="Arial"/>
          <w:sz w:val="24"/>
          <w:szCs w:val="24"/>
          <w:lang w:val="en-GB" w:eastAsia="en-ZA"/>
        </w:rPr>
        <w:t>he NLARCC’s approval was conditional upon Mr Twala being confirmed not to be a lessee of a PLAS farm in Mpumalanga. On his version in these pro</w:t>
      </w:r>
      <w:r w:rsidR="00DF0518">
        <w:rPr>
          <w:rFonts w:ascii="Arial" w:hAnsi="Arial" w:cs="Arial"/>
          <w:sz w:val="24"/>
          <w:szCs w:val="24"/>
          <w:lang w:val="en-GB" w:eastAsia="en-ZA"/>
        </w:rPr>
        <w:t xml:space="preserve">ceedings, he did not meet this </w:t>
      </w:r>
      <w:r>
        <w:rPr>
          <w:rFonts w:ascii="Arial" w:hAnsi="Arial" w:cs="Arial"/>
          <w:sz w:val="24"/>
          <w:szCs w:val="24"/>
          <w:lang w:val="en-GB" w:eastAsia="en-ZA"/>
        </w:rPr>
        <w:t>condition precedent.</w:t>
      </w:r>
    </w:p>
    <w:p w:rsidR="00467E0A"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[68</w:t>
      </w:r>
      <w:r w:rsidR="00467E0A">
        <w:rPr>
          <w:rFonts w:ascii="Arial" w:hAnsi="Arial" w:cs="Arial"/>
          <w:sz w:val="24"/>
          <w:szCs w:val="24"/>
          <w:lang w:val="en-GB" w:eastAsia="en-ZA"/>
        </w:rPr>
        <w:t>]</w:t>
      </w:r>
      <w:r w:rsidR="00467E0A">
        <w:rPr>
          <w:rFonts w:ascii="Arial" w:hAnsi="Arial" w:cs="Arial"/>
          <w:sz w:val="24"/>
          <w:szCs w:val="24"/>
          <w:lang w:val="en-GB" w:eastAsia="en-ZA"/>
        </w:rPr>
        <w:tab/>
        <w:t xml:space="preserve">In any event, the NLARCC decision was not implemented because the Department went as far as opposing Cultiver’s efforts to enforce its purported </w:t>
      </w:r>
      <w:r>
        <w:rPr>
          <w:rFonts w:ascii="Arial" w:hAnsi="Arial" w:cs="Arial"/>
          <w:sz w:val="24"/>
          <w:szCs w:val="24"/>
          <w:lang w:val="en-GB" w:eastAsia="en-ZA"/>
        </w:rPr>
        <w:t xml:space="preserve">accrued </w:t>
      </w:r>
      <w:r w:rsidR="00467E0A">
        <w:rPr>
          <w:rFonts w:ascii="Arial" w:hAnsi="Arial" w:cs="Arial"/>
          <w:sz w:val="24"/>
          <w:szCs w:val="24"/>
          <w:lang w:val="en-GB" w:eastAsia="en-ZA"/>
        </w:rPr>
        <w:t>rights as a PLAS beneficiary in the Polokwane application.</w:t>
      </w:r>
    </w:p>
    <w:p w:rsidR="00467E0A" w:rsidRDefault="00467E0A" w:rsidP="00467E0A">
      <w:pPr>
        <w:pStyle w:val="XClause1Head"/>
        <w:numPr>
          <w:ilvl w:val="0"/>
          <w:numId w:val="0"/>
        </w:numPr>
        <w:rPr>
          <w:rFonts w:ascii="Arial" w:hAnsi="Arial" w:cs="Arial"/>
          <w:sz w:val="24"/>
          <w:szCs w:val="24"/>
          <w:lang w:val="en-GB" w:eastAsia="en-ZA"/>
        </w:rPr>
      </w:pPr>
    </w:p>
    <w:p w:rsidR="00467E0A"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[69</w:t>
      </w:r>
      <w:r w:rsidR="00467E0A">
        <w:rPr>
          <w:rFonts w:ascii="Arial" w:hAnsi="Arial" w:cs="Arial"/>
          <w:sz w:val="24"/>
          <w:szCs w:val="24"/>
          <w:lang w:val="en-GB" w:eastAsia="en-ZA"/>
        </w:rPr>
        <w:t>]</w:t>
      </w:r>
      <w:r w:rsidR="00467E0A">
        <w:rPr>
          <w:rFonts w:ascii="Arial" w:hAnsi="Arial" w:cs="Arial"/>
          <w:sz w:val="24"/>
          <w:szCs w:val="24"/>
          <w:lang w:val="en-GB" w:eastAsia="en-ZA"/>
        </w:rPr>
        <w:tab/>
        <w:t>In the premises, I find that the conclusion of the impugned lease agreement was irregular.</w:t>
      </w:r>
    </w:p>
    <w:p w:rsidR="00467E0A" w:rsidRDefault="00467E0A" w:rsidP="00467E0A"/>
    <w:p w:rsidR="00CF18A5" w:rsidRPr="00CC773F" w:rsidRDefault="00CF18A5" w:rsidP="00CF18A5">
      <w:pPr>
        <w:pStyle w:val="XClause1Head"/>
        <w:numPr>
          <w:ilvl w:val="0"/>
          <w:numId w:val="0"/>
        </w:numPr>
        <w:ind w:left="720" w:hanging="720"/>
        <w:rPr>
          <w:rFonts w:ascii="Arial" w:hAnsi="Arial" w:cs="Arial"/>
          <w:b/>
          <w:sz w:val="24"/>
          <w:szCs w:val="24"/>
          <w:lang w:val="en-GB" w:eastAsia="en-ZA"/>
        </w:rPr>
      </w:pPr>
      <w:r w:rsidRPr="00CC773F">
        <w:rPr>
          <w:rFonts w:ascii="Arial" w:hAnsi="Arial" w:cs="Arial"/>
          <w:b/>
          <w:sz w:val="24"/>
          <w:szCs w:val="24"/>
          <w:lang w:val="en-GB" w:eastAsia="en-ZA"/>
        </w:rPr>
        <w:lastRenderedPageBreak/>
        <w:t>REMEDY</w:t>
      </w:r>
    </w:p>
    <w:p w:rsidR="00713623" w:rsidRPr="00D47E19"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[70</w:t>
      </w:r>
      <w:r w:rsidR="00467E0A" w:rsidRPr="00D47E19">
        <w:rPr>
          <w:rFonts w:ascii="Arial" w:hAnsi="Arial" w:cs="Arial"/>
          <w:sz w:val="24"/>
          <w:szCs w:val="24"/>
          <w:lang w:val="en-GB" w:eastAsia="en-ZA"/>
        </w:rPr>
        <w:t>]</w:t>
      </w:r>
      <w:r w:rsidR="00713623" w:rsidRPr="00D47E19">
        <w:rPr>
          <w:rFonts w:ascii="Arial" w:hAnsi="Arial" w:cs="Arial"/>
          <w:sz w:val="24"/>
          <w:szCs w:val="24"/>
          <w:lang w:val="en-GB" w:eastAsia="en-ZA"/>
        </w:rPr>
        <w:tab/>
        <w:t>In the event that the Tribunal finds that the impugned decisions fall to be reviewed, the parties proposed consequential relief based on section 172(1)(b) of the Constitution.</w:t>
      </w:r>
    </w:p>
    <w:p w:rsidR="0059658E" w:rsidRDefault="0059658E" w:rsidP="00467E0A">
      <w:pPr>
        <w:pStyle w:val="XClause1Head"/>
        <w:numPr>
          <w:ilvl w:val="0"/>
          <w:numId w:val="0"/>
        </w:numPr>
        <w:rPr>
          <w:rFonts w:ascii="Arial" w:hAnsi="Arial" w:cs="Arial"/>
          <w:sz w:val="24"/>
          <w:szCs w:val="24"/>
          <w:lang w:val="en-GB" w:eastAsia="en-ZA"/>
        </w:rPr>
      </w:pPr>
    </w:p>
    <w:p w:rsidR="006F7624" w:rsidRPr="00D47E19" w:rsidRDefault="0059658E"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[71</w:t>
      </w:r>
      <w:r w:rsidR="00713623" w:rsidRPr="00D47E19">
        <w:rPr>
          <w:rFonts w:ascii="Arial" w:hAnsi="Arial" w:cs="Arial"/>
          <w:sz w:val="24"/>
          <w:szCs w:val="24"/>
          <w:lang w:val="en-GB" w:eastAsia="en-ZA"/>
        </w:rPr>
        <w:t>]</w:t>
      </w:r>
      <w:r w:rsidR="00713623" w:rsidRPr="00D47E19">
        <w:rPr>
          <w:rFonts w:ascii="Arial" w:hAnsi="Arial" w:cs="Arial"/>
          <w:sz w:val="24"/>
          <w:szCs w:val="24"/>
          <w:lang w:val="en-GB" w:eastAsia="en-ZA"/>
        </w:rPr>
        <w:tab/>
      </w:r>
      <w:r>
        <w:rPr>
          <w:rFonts w:ascii="Arial" w:hAnsi="Arial" w:cs="Arial"/>
          <w:sz w:val="24"/>
          <w:szCs w:val="24"/>
          <w:lang w:val="en-GB" w:eastAsia="en-ZA"/>
        </w:rPr>
        <w:t>T</w:t>
      </w:r>
      <w:r w:rsidR="00713623" w:rsidRPr="00D47E19">
        <w:rPr>
          <w:rFonts w:ascii="Arial" w:hAnsi="Arial" w:cs="Arial"/>
          <w:sz w:val="24"/>
          <w:szCs w:val="24"/>
          <w:lang w:val="en-GB" w:eastAsia="en-ZA"/>
        </w:rPr>
        <w:t xml:space="preserve">he Constitutional Court </w:t>
      </w:r>
      <w:r>
        <w:rPr>
          <w:rFonts w:ascii="Arial" w:hAnsi="Arial" w:cs="Arial"/>
          <w:sz w:val="24"/>
          <w:szCs w:val="24"/>
          <w:lang w:val="en-GB" w:eastAsia="en-ZA"/>
        </w:rPr>
        <w:t xml:space="preserve">has since </w:t>
      </w:r>
      <w:r w:rsidR="00713623" w:rsidRPr="00D47E19">
        <w:rPr>
          <w:rFonts w:ascii="Arial" w:hAnsi="Arial" w:cs="Arial"/>
          <w:sz w:val="24"/>
          <w:szCs w:val="24"/>
          <w:lang w:val="en-GB" w:eastAsia="en-ZA"/>
        </w:rPr>
        <w:t xml:space="preserve">pronounced on the Tribunal’s jurisdiction in respect of legality reviews in </w:t>
      </w:r>
      <w:r w:rsidR="00713623" w:rsidRPr="00D47E19">
        <w:rPr>
          <w:rFonts w:ascii="Arial" w:hAnsi="Arial" w:cs="Arial"/>
          <w:i/>
          <w:sz w:val="24"/>
          <w:szCs w:val="24"/>
          <w:lang w:val="en-GB" w:eastAsia="en-ZA"/>
        </w:rPr>
        <w:t>Ledla</w:t>
      </w:r>
      <w:r w:rsidR="00713623" w:rsidRPr="00D47E19">
        <w:rPr>
          <w:rFonts w:ascii="Arial" w:hAnsi="Arial" w:cs="Arial"/>
          <w:sz w:val="24"/>
          <w:szCs w:val="24"/>
          <w:lang w:val="en-GB" w:eastAsia="en-ZA"/>
        </w:rPr>
        <w:t>.</w:t>
      </w:r>
      <w:r w:rsidR="00713623" w:rsidRPr="00D47E19">
        <w:rPr>
          <w:rStyle w:val="FootnoteReference"/>
          <w:rFonts w:ascii="Arial" w:hAnsi="Arial"/>
          <w:sz w:val="24"/>
          <w:lang w:val="en-GB" w:eastAsia="en-ZA"/>
        </w:rPr>
        <w:footnoteReference w:id="18"/>
      </w:r>
      <w:r w:rsidR="00713623" w:rsidRPr="00D47E19">
        <w:rPr>
          <w:rFonts w:ascii="Arial" w:hAnsi="Arial" w:cs="Arial"/>
          <w:sz w:val="24"/>
          <w:szCs w:val="24"/>
          <w:lang w:val="en-GB" w:eastAsia="en-ZA"/>
        </w:rPr>
        <w:t xml:space="preserve"> It ruled that:  </w:t>
      </w:r>
    </w:p>
    <w:p w:rsidR="002D752F" w:rsidRPr="00D47E19" w:rsidRDefault="002D752F" w:rsidP="002D752F">
      <w:pPr>
        <w:pStyle w:val="JUDGMENTNUMBERED"/>
        <w:numPr>
          <w:ilvl w:val="0"/>
          <w:numId w:val="0"/>
        </w:numPr>
        <w:ind w:left="720"/>
        <w:rPr>
          <w:rFonts w:ascii="Arial" w:hAnsi="Arial" w:cs="Arial"/>
          <w:sz w:val="24"/>
          <w:szCs w:val="24"/>
        </w:rPr>
      </w:pPr>
      <w:r w:rsidRPr="00D47E19">
        <w:rPr>
          <w:rFonts w:ascii="Arial" w:hAnsi="Arial" w:cs="Arial"/>
          <w:sz w:val="24"/>
          <w:szCs w:val="24"/>
        </w:rPr>
        <w:t>“[69]</w:t>
      </w:r>
      <w:r w:rsidRPr="00D47E19">
        <w:rPr>
          <w:rFonts w:ascii="Arial" w:hAnsi="Arial" w:cs="Arial"/>
          <w:sz w:val="24"/>
          <w:szCs w:val="24"/>
        </w:rPr>
        <w:tab/>
        <w:t>In the result, I conclude that the Special Tribunal is not a court.  However, it has the power to adjudicate legality reviews.”</w:t>
      </w:r>
    </w:p>
    <w:p w:rsidR="002D752F" w:rsidRPr="00D47E19" w:rsidRDefault="002D752F" w:rsidP="002D752F">
      <w:pPr>
        <w:pStyle w:val="JUDGMENTCONTINUED"/>
        <w:rPr>
          <w:rFonts w:ascii="Arial" w:hAnsi="Arial" w:cs="Arial"/>
          <w:sz w:val="24"/>
          <w:szCs w:val="24"/>
        </w:rPr>
      </w:pPr>
    </w:p>
    <w:p w:rsidR="002D752F" w:rsidRPr="00D47E19" w:rsidRDefault="0059658E" w:rsidP="002D752F">
      <w:pPr>
        <w:pStyle w:val="JUDGMENTNUMBERED"/>
        <w:numPr>
          <w:ilvl w:val="0"/>
          <w:numId w:val="0"/>
        </w:numPr>
        <w:rPr>
          <w:rFonts w:ascii="Arial" w:hAnsi="Arial" w:cs="Arial"/>
          <w:sz w:val="24"/>
          <w:szCs w:val="24"/>
        </w:rPr>
      </w:pPr>
      <w:r>
        <w:rPr>
          <w:rFonts w:ascii="Arial" w:hAnsi="Arial" w:cs="Arial"/>
          <w:sz w:val="24"/>
          <w:szCs w:val="24"/>
        </w:rPr>
        <w:t>[72</w:t>
      </w:r>
      <w:r w:rsidR="002D752F" w:rsidRPr="00D47E19">
        <w:rPr>
          <w:rFonts w:ascii="Arial" w:hAnsi="Arial" w:cs="Arial"/>
          <w:sz w:val="24"/>
          <w:szCs w:val="24"/>
        </w:rPr>
        <w:t>]</w:t>
      </w:r>
      <w:r w:rsidR="002D752F" w:rsidRPr="00D47E19">
        <w:rPr>
          <w:rFonts w:ascii="Arial" w:hAnsi="Arial" w:cs="Arial"/>
          <w:sz w:val="24"/>
          <w:szCs w:val="24"/>
        </w:rPr>
        <w:tab/>
        <w:t xml:space="preserve">The finding that the Tribunal is not a court </w:t>
      </w:r>
      <w:r w:rsidR="00841B3C">
        <w:rPr>
          <w:rFonts w:ascii="Arial" w:hAnsi="Arial" w:cs="Arial"/>
          <w:sz w:val="24"/>
          <w:szCs w:val="24"/>
        </w:rPr>
        <w:t>raises the</w:t>
      </w:r>
      <w:r w:rsidR="002D752F" w:rsidRPr="00D47E19">
        <w:rPr>
          <w:rFonts w:ascii="Arial" w:hAnsi="Arial" w:cs="Arial"/>
          <w:sz w:val="24"/>
          <w:szCs w:val="24"/>
        </w:rPr>
        <w:t xml:space="preserve"> question whether it enjoys jurisdiction in terms of s172 of the Constitution.</w:t>
      </w:r>
      <w:r>
        <w:rPr>
          <w:rFonts w:ascii="Arial" w:hAnsi="Arial" w:cs="Arial"/>
          <w:sz w:val="24"/>
          <w:szCs w:val="24"/>
        </w:rPr>
        <w:t xml:space="preserve"> This is not a question I have been called upon to decide in this application.</w:t>
      </w:r>
      <w:r w:rsidR="002D752F" w:rsidRPr="00D47E19">
        <w:rPr>
          <w:rFonts w:ascii="Arial" w:hAnsi="Arial" w:cs="Arial"/>
          <w:sz w:val="24"/>
          <w:szCs w:val="24"/>
        </w:rPr>
        <w:t xml:space="preserve"> </w:t>
      </w:r>
    </w:p>
    <w:p w:rsidR="002D752F" w:rsidRPr="00D47E19" w:rsidRDefault="002D752F" w:rsidP="002D752F">
      <w:pPr>
        <w:pStyle w:val="JUDGMENTCONTINUED"/>
        <w:rPr>
          <w:rFonts w:ascii="Arial" w:hAnsi="Arial" w:cs="Arial"/>
          <w:sz w:val="24"/>
          <w:szCs w:val="24"/>
        </w:rPr>
      </w:pPr>
    </w:p>
    <w:p w:rsidR="002D752F" w:rsidRPr="00D47E19" w:rsidRDefault="00BD3010" w:rsidP="002D752F">
      <w:pPr>
        <w:pStyle w:val="JUDGMENTNUMBERED"/>
        <w:numPr>
          <w:ilvl w:val="0"/>
          <w:numId w:val="0"/>
        </w:numPr>
        <w:rPr>
          <w:rFonts w:ascii="Arial" w:hAnsi="Arial" w:cs="Arial"/>
          <w:sz w:val="24"/>
          <w:szCs w:val="24"/>
        </w:rPr>
      </w:pPr>
      <w:r>
        <w:rPr>
          <w:rFonts w:ascii="Arial" w:hAnsi="Arial" w:cs="Arial"/>
          <w:sz w:val="24"/>
          <w:szCs w:val="24"/>
        </w:rPr>
        <w:t>[73</w:t>
      </w:r>
      <w:r w:rsidR="002D752F" w:rsidRPr="00D47E19">
        <w:rPr>
          <w:rFonts w:ascii="Arial" w:hAnsi="Arial" w:cs="Arial"/>
          <w:sz w:val="24"/>
          <w:szCs w:val="24"/>
        </w:rPr>
        <w:t>]</w:t>
      </w:r>
      <w:r w:rsidR="002D752F" w:rsidRPr="00D47E19">
        <w:rPr>
          <w:rFonts w:ascii="Arial" w:hAnsi="Arial" w:cs="Arial"/>
          <w:sz w:val="24"/>
          <w:szCs w:val="24"/>
        </w:rPr>
        <w:tab/>
        <w:t>The Constitutional Court expressly recognised the Tribunal’s powers to adjudicate legality reviews and its wide remedial powers in terms of the SIU Act. In this regard it stated as follows:</w:t>
      </w:r>
    </w:p>
    <w:p w:rsidR="00D47E19" w:rsidRDefault="00D47E19" w:rsidP="00052D41">
      <w:pPr>
        <w:pStyle w:val="JUDGMENTNUMBERED"/>
        <w:numPr>
          <w:ilvl w:val="0"/>
          <w:numId w:val="0"/>
        </w:numPr>
        <w:ind w:left="680"/>
      </w:pPr>
    </w:p>
    <w:p w:rsidR="00052D41" w:rsidRPr="00841B3C" w:rsidRDefault="00052D41" w:rsidP="00052D41">
      <w:pPr>
        <w:pStyle w:val="JUDGMENTNUMBERED"/>
        <w:numPr>
          <w:ilvl w:val="0"/>
          <w:numId w:val="0"/>
        </w:numPr>
        <w:ind w:left="680"/>
        <w:rPr>
          <w:rFonts w:ascii="Arial" w:hAnsi="Arial" w:cs="Arial"/>
          <w:sz w:val="24"/>
        </w:rPr>
      </w:pPr>
      <w:r w:rsidRPr="00841B3C">
        <w:rPr>
          <w:rFonts w:ascii="Arial" w:hAnsi="Arial" w:cs="Arial"/>
          <w:sz w:val="24"/>
        </w:rPr>
        <w:t>“[64]</w:t>
      </w:r>
      <w:r w:rsidRPr="00841B3C">
        <w:rPr>
          <w:rFonts w:ascii="Arial" w:hAnsi="Arial" w:cs="Arial"/>
          <w:sz w:val="24"/>
        </w:rPr>
        <w:tab/>
        <w:t xml:space="preserve">Therefore, it is clear from the </w:t>
      </w:r>
      <w:r w:rsidRPr="00841B3C">
        <w:rPr>
          <w:rFonts w:ascii="Arial" w:hAnsi="Arial" w:cs="Arial"/>
          <w:i/>
          <w:sz w:val="24"/>
        </w:rPr>
        <w:t>Group Five</w:t>
      </w:r>
      <w:r w:rsidRPr="00841B3C">
        <w:rPr>
          <w:rFonts w:ascii="Arial" w:hAnsi="Arial" w:cs="Arial"/>
          <w:sz w:val="24"/>
        </w:rPr>
        <w:t xml:space="preserve"> decision that we must consider the legislation establishing the Special Tribunal to determine whether it is empowered to make findings in respect of a legality review.</w:t>
      </w:r>
    </w:p>
    <w:p w:rsidR="00052D41" w:rsidRPr="00841B3C" w:rsidRDefault="00052D41" w:rsidP="00052D41">
      <w:pPr>
        <w:pStyle w:val="JUDGMENTCONTINUED"/>
        <w:rPr>
          <w:rFonts w:ascii="Arial" w:hAnsi="Arial" w:cs="Arial"/>
          <w:sz w:val="24"/>
        </w:rPr>
      </w:pPr>
    </w:p>
    <w:p w:rsidR="00052D41" w:rsidRPr="00841B3C" w:rsidRDefault="00052D41" w:rsidP="00052D41">
      <w:pPr>
        <w:pStyle w:val="JUDGMENTNUMBERED"/>
        <w:numPr>
          <w:ilvl w:val="0"/>
          <w:numId w:val="0"/>
        </w:numPr>
        <w:ind w:left="680"/>
        <w:rPr>
          <w:rFonts w:ascii="Arial" w:hAnsi="Arial" w:cs="Arial"/>
          <w:sz w:val="24"/>
        </w:rPr>
      </w:pPr>
      <w:r w:rsidRPr="00841B3C">
        <w:rPr>
          <w:rFonts w:ascii="Arial" w:hAnsi="Arial" w:cs="Arial"/>
          <w:sz w:val="24"/>
        </w:rPr>
        <w:t>“[65]</w:t>
      </w:r>
      <w:r w:rsidRPr="00841B3C">
        <w:rPr>
          <w:rFonts w:ascii="Arial" w:hAnsi="Arial" w:cs="Arial"/>
          <w:sz w:val="24"/>
        </w:rPr>
        <w:tab/>
        <w:t>In this regard we must consider the provisions of the SIU Act.  The relevant section in the case of the Special Tribunal is section 8(2) of the SIU Act which provides:</w:t>
      </w:r>
    </w:p>
    <w:p w:rsidR="00052D41" w:rsidRPr="0003433F" w:rsidRDefault="00052D41" w:rsidP="00052D41">
      <w:pPr>
        <w:pStyle w:val="QUOTATION"/>
        <w:rPr>
          <w:rFonts w:ascii="Arial" w:hAnsi="Arial" w:cs="Arial"/>
        </w:rPr>
      </w:pPr>
    </w:p>
    <w:p w:rsidR="00052D41" w:rsidRPr="0003433F" w:rsidRDefault="00052D41" w:rsidP="00052D41">
      <w:pPr>
        <w:pStyle w:val="QUOTATION"/>
        <w:ind w:left="1040"/>
        <w:rPr>
          <w:rFonts w:ascii="Arial" w:hAnsi="Arial" w:cs="Arial"/>
        </w:rPr>
      </w:pPr>
      <w:r w:rsidRPr="0003433F">
        <w:rPr>
          <w:rFonts w:ascii="Arial" w:hAnsi="Arial" w:cs="Arial"/>
        </w:rPr>
        <w:t xml:space="preserve">“A Special Tribunal shall have jurisdiction to adjudicate upon any civil proceedings brought before it by a Special Investigating Unit in its own name or on behalf of a State institution or any interested party as defined </w:t>
      </w:r>
      <w:r w:rsidRPr="0003433F">
        <w:rPr>
          <w:rFonts w:ascii="Arial" w:hAnsi="Arial" w:cs="Arial"/>
        </w:rPr>
        <w:lastRenderedPageBreak/>
        <w:t>by the regulations, emanating from the investigation by such Special Investigating Unit.”</w:t>
      </w:r>
    </w:p>
    <w:p w:rsidR="00052D41" w:rsidRPr="0003433F" w:rsidRDefault="00052D41" w:rsidP="00052D41">
      <w:pPr>
        <w:pStyle w:val="JUDGMENTCONTINUED"/>
        <w:rPr>
          <w:rFonts w:ascii="Arial" w:hAnsi="Arial" w:cs="Arial"/>
        </w:rPr>
      </w:pPr>
    </w:p>
    <w:p w:rsidR="00052D41" w:rsidRPr="00841B3C" w:rsidRDefault="00052D41" w:rsidP="00052D41">
      <w:pPr>
        <w:pStyle w:val="JUDGMENTNUMBERED"/>
        <w:numPr>
          <w:ilvl w:val="0"/>
          <w:numId w:val="0"/>
        </w:numPr>
        <w:ind w:left="720"/>
        <w:rPr>
          <w:rFonts w:ascii="Arial" w:hAnsi="Arial" w:cs="Arial"/>
          <w:sz w:val="24"/>
        </w:rPr>
      </w:pPr>
      <w:r w:rsidRPr="00841B3C">
        <w:rPr>
          <w:rFonts w:ascii="Arial" w:hAnsi="Arial" w:cs="Arial"/>
          <w:sz w:val="24"/>
        </w:rPr>
        <w:t>“[66]</w:t>
      </w:r>
      <w:r w:rsidRPr="00841B3C">
        <w:rPr>
          <w:rFonts w:ascii="Arial" w:hAnsi="Arial" w:cs="Arial"/>
          <w:sz w:val="24"/>
        </w:rPr>
        <w:tab/>
      </w:r>
      <w:r w:rsidR="00D47E19" w:rsidRPr="00841B3C">
        <w:rPr>
          <w:rFonts w:ascii="Arial" w:hAnsi="Arial" w:cs="Arial"/>
          <w:sz w:val="24"/>
        </w:rPr>
        <w:t>…</w:t>
      </w:r>
      <w:r w:rsidRPr="00841B3C">
        <w:rPr>
          <w:rFonts w:ascii="Arial" w:hAnsi="Arial" w:cs="Arial"/>
          <w:sz w:val="24"/>
        </w:rPr>
        <w:t>there is no provision in the SIU Act which limits the powers of the Special Tribunal like section 62 of the Competition Act. The Special Tribunal’s power of legality reviews emanates from its broad remedial powers in section 8 of the SIU Act.  The wide language employed in that section (“</w:t>
      </w:r>
      <w:r w:rsidRPr="00841B3C">
        <w:rPr>
          <w:rFonts w:ascii="Arial" w:hAnsi="Arial" w:cs="Arial"/>
          <w:i/>
          <w:sz w:val="24"/>
        </w:rPr>
        <w:t>any</w:t>
      </w:r>
      <w:r w:rsidRPr="00841B3C">
        <w:rPr>
          <w:rFonts w:ascii="Arial" w:hAnsi="Arial" w:cs="Arial"/>
          <w:sz w:val="24"/>
        </w:rPr>
        <w:t xml:space="preserve"> civil proceedings”) points to the power of legality review not being excluded from its power to adjudicate civil proceedings.</w:t>
      </w:r>
      <w:r w:rsidRPr="00841B3C">
        <w:rPr>
          <w:rStyle w:val="FootnoteReference"/>
          <w:rFonts w:ascii="Arial" w:hAnsi="Arial"/>
          <w:sz w:val="24"/>
        </w:rPr>
        <w:footnoteReference w:id="19"/>
      </w:r>
    </w:p>
    <w:p w:rsidR="00052D41" w:rsidRPr="00841B3C" w:rsidRDefault="00052D41" w:rsidP="00052D41">
      <w:pPr>
        <w:pStyle w:val="JUDGMENTNUMBERED"/>
        <w:numPr>
          <w:ilvl w:val="0"/>
          <w:numId w:val="0"/>
        </w:numPr>
        <w:rPr>
          <w:rFonts w:ascii="Arial" w:hAnsi="Arial" w:cs="Arial"/>
          <w:sz w:val="24"/>
        </w:rPr>
      </w:pPr>
    </w:p>
    <w:p w:rsidR="00052D41" w:rsidRPr="00841B3C" w:rsidRDefault="002D752F" w:rsidP="002D752F">
      <w:pPr>
        <w:pStyle w:val="JUDGMENTNUMBERED"/>
        <w:numPr>
          <w:ilvl w:val="0"/>
          <w:numId w:val="0"/>
        </w:numPr>
        <w:ind w:left="720"/>
        <w:rPr>
          <w:rFonts w:ascii="Arial" w:hAnsi="Arial" w:cs="Arial"/>
          <w:sz w:val="24"/>
        </w:rPr>
      </w:pPr>
      <w:r w:rsidRPr="00841B3C">
        <w:rPr>
          <w:rFonts w:ascii="Arial" w:hAnsi="Arial" w:cs="Arial"/>
          <w:sz w:val="24"/>
        </w:rPr>
        <w:t>“</w:t>
      </w:r>
      <w:r w:rsidR="00052D41" w:rsidRPr="00841B3C">
        <w:rPr>
          <w:rFonts w:ascii="Arial" w:hAnsi="Arial" w:cs="Arial"/>
          <w:sz w:val="24"/>
        </w:rPr>
        <w:t>[65]</w:t>
      </w:r>
      <w:r w:rsidR="00052D41" w:rsidRPr="00841B3C">
        <w:rPr>
          <w:rFonts w:ascii="Arial" w:hAnsi="Arial" w:cs="Arial"/>
          <w:sz w:val="24"/>
        </w:rPr>
        <w:tab/>
        <w:t>Secondly, the preamble of the SIU Act and section 4 make it abundantly clear that the Act has as its objective, amongst others, the establishment of structures, including the Special Tribunal, to address the rampant corruption in all forms of malfeasance in our country.  The preamble of the SIU Act outlines its purpose as to</w:t>
      </w:r>
      <w:r w:rsidR="00841B3C">
        <w:rPr>
          <w:rFonts w:ascii="Arial" w:hAnsi="Arial" w:cs="Arial"/>
          <w:sz w:val="24"/>
        </w:rPr>
        <w:t xml:space="preserve"> </w:t>
      </w:r>
      <w:r w:rsidR="00052D41" w:rsidRPr="00841B3C">
        <w:rPr>
          <w:rFonts w:ascii="Arial" w:hAnsi="Arial" w:cs="Arial"/>
          <w:sz w:val="24"/>
        </w:rPr>
        <w:t>—</w:t>
      </w:r>
    </w:p>
    <w:p w:rsidR="00052D41" w:rsidRPr="0003433F" w:rsidRDefault="00052D41" w:rsidP="00052D41">
      <w:pPr>
        <w:pStyle w:val="QUOTATION"/>
        <w:rPr>
          <w:rFonts w:ascii="Arial" w:hAnsi="Arial" w:cs="Arial"/>
        </w:rPr>
      </w:pPr>
    </w:p>
    <w:p w:rsidR="00052D41" w:rsidRPr="0003433F" w:rsidRDefault="00052D41" w:rsidP="00D47E19">
      <w:pPr>
        <w:pStyle w:val="QUOTATION"/>
        <w:ind w:left="1440"/>
        <w:rPr>
          <w:rFonts w:ascii="Arial" w:hAnsi="Arial" w:cs="Arial"/>
        </w:rPr>
      </w:pPr>
      <w:r w:rsidRPr="0003433F">
        <w:rPr>
          <w:rFonts w:ascii="Arial" w:hAnsi="Arial" w:cs="Arial"/>
        </w:rPr>
        <w:t>“provide for the establishment of Special Investigating Units for the purpose of investigating serious malpractices or maladministration in connection with the administration of State institutions, State assets and public money as well as any conduct which may seriously harm the interests of the public and of instituting and conducting civil proceedings in any court of law or a Special Tribunal in its own name or on behalf of State institutions; to provide for the revenue and expenditure of Special Investigating Units; to provide for the establishment of Special Tribunals so as to adjudicate upon civil matters emanating from investigations by Special Investigating Units; and to provide for matters incidental thereto.”</w:t>
      </w:r>
    </w:p>
    <w:p w:rsidR="00052D41" w:rsidRPr="0003433F" w:rsidRDefault="00052D41" w:rsidP="00052D41">
      <w:pPr>
        <w:pStyle w:val="JUDGMENTCONTINUED"/>
        <w:rPr>
          <w:rFonts w:ascii="Arial" w:hAnsi="Arial" w:cs="Arial"/>
        </w:rPr>
      </w:pPr>
    </w:p>
    <w:p w:rsidR="00052D41" w:rsidRPr="00841B3C" w:rsidRDefault="00D47E19" w:rsidP="002D752F">
      <w:pPr>
        <w:pStyle w:val="JUDGMENTNUMBERED"/>
        <w:numPr>
          <w:ilvl w:val="0"/>
          <w:numId w:val="0"/>
        </w:numPr>
        <w:ind w:left="680"/>
        <w:rPr>
          <w:rFonts w:ascii="Arial" w:hAnsi="Arial" w:cs="Arial"/>
          <w:sz w:val="24"/>
        </w:rPr>
      </w:pPr>
      <w:r w:rsidRPr="00841B3C">
        <w:rPr>
          <w:rFonts w:ascii="Arial" w:hAnsi="Arial" w:cs="Arial"/>
          <w:sz w:val="24"/>
        </w:rPr>
        <w:t>“</w:t>
      </w:r>
      <w:r w:rsidR="002D752F" w:rsidRPr="00841B3C">
        <w:rPr>
          <w:rFonts w:ascii="Arial" w:hAnsi="Arial" w:cs="Arial"/>
          <w:sz w:val="24"/>
        </w:rPr>
        <w:t>[66]</w:t>
      </w:r>
      <w:r w:rsidR="002D752F" w:rsidRPr="00841B3C">
        <w:rPr>
          <w:rFonts w:ascii="Arial" w:hAnsi="Arial" w:cs="Arial"/>
          <w:sz w:val="24"/>
        </w:rPr>
        <w:tab/>
      </w:r>
      <w:r w:rsidR="00052D41" w:rsidRPr="00841B3C">
        <w:rPr>
          <w:rFonts w:ascii="Arial" w:hAnsi="Arial" w:cs="Arial"/>
          <w:sz w:val="24"/>
        </w:rPr>
        <w:t>The functions of the SIU are set out in section 4(1)(c) of the SIU Act as follows:</w:t>
      </w:r>
    </w:p>
    <w:p w:rsidR="00052D41" w:rsidRPr="0003433F" w:rsidRDefault="00052D41" w:rsidP="00052D41">
      <w:pPr>
        <w:pStyle w:val="QUOTATION"/>
        <w:rPr>
          <w:rFonts w:ascii="Arial" w:hAnsi="Arial" w:cs="Arial"/>
        </w:rPr>
      </w:pPr>
    </w:p>
    <w:p w:rsidR="00052D41" w:rsidRPr="0003433F" w:rsidRDefault="00052D41" w:rsidP="00052D41">
      <w:pPr>
        <w:pStyle w:val="QUOTATION"/>
        <w:spacing w:after="120"/>
        <w:rPr>
          <w:rFonts w:ascii="Arial" w:hAnsi="Arial" w:cs="Arial"/>
        </w:rPr>
      </w:pPr>
      <w:r w:rsidRPr="0003433F">
        <w:rPr>
          <w:rFonts w:ascii="Arial" w:hAnsi="Arial" w:cs="Arial"/>
        </w:rPr>
        <w:t>“to institute and conduct civil proceedings in a Special Tribunal or any court of law for—</w:t>
      </w:r>
    </w:p>
    <w:p w:rsidR="00052D41" w:rsidRPr="0003433F" w:rsidRDefault="00052D41" w:rsidP="00052D41">
      <w:pPr>
        <w:pStyle w:val="QUOTATION"/>
        <w:ind w:left="2160" w:hanging="720"/>
        <w:rPr>
          <w:rFonts w:ascii="Arial" w:hAnsi="Arial" w:cs="Arial"/>
        </w:rPr>
      </w:pPr>
      <w:r w:rsidRPr="0003433F">
        <w:rPr>
          <w:rFonts w:ascii="Arial" w:hAnsi="Arial" w:cs="Arial"/>
        </w:rPr>
        <w:lastRenderedPageBreak/>
        <w:t>(i)</w:t>
      </w:r>
      <w:r w:rsidRPr="0003433F">
        <w:rPr>
          <w:rFonts w:ascii="Arial" w:hAnsi="Arial" w:cs="Arial"/>
        </w:rPr>
        <w:tab/>
        <w:t>any relief to which the State institution concerned is entitled, including the recovery of any damages or losses and the prevention of potential damages or losses which may be suffered by such a State institution;</w:t>
      </w:r>
    </w:p>
    <w:p w:rsidR="00052D41" w:rsidRPr="0003433F" w:rsidRDefault="00052D41" w:rsidP="00052D41">
      <w:pPr>
        <w:pStyle w:val="QUOTATION"/>
        <w:ind w:left="1440"/>
        <w:rPr>
          <w:rFonts w:ascii="Arial" w:hAnsi="Arial" w:cs="Arial"/>
        </w:rPr>
      </w:pPr>
      <w:r w:rsidRPr="0003433F">
        <w:rPr>
          <w:rFonts w:ascii="Arial" w:hAnsi="Arial" w:cs="Arial"/>
        </w:rPr>
        <w:t>(ii)</w:t>
      </w:r>
      <w:r w:rsidRPr="0003433F">
        <w:rPr>
          <w:rFonts w:ascii="Arial" w:hAnsi="Arial" w:cs="Arial"/>
        </w:rPr>
        <w:tab/>
        <w:t>any relief relevant to any investigation; or</w:t>
      </w:r>
    </w:p>
    <w:p w:rsidR="00052D41" w:rsidRPr="0003433F" w:rsidRDefault="00052D41" w:rsidP="00052D41">
      <w:pPr>
        <w:pStyle w:val="QUOTATION"/>
        <w:ind w:left="1440"/>
        <w:rPr>
          <w:rFonts w:ascii="Arial" w:hAnsi="Arial" w:cs="Arial"/>
        </w:rPr>
      </w:pPr>
      <w:r w:rsidRPr="0003433F">
        <w:rPr>
          <w:rFonts w:ascii="Arial" w:hAnsi="Arial" w:cs="Arial"/>
        </w:rPr>
        <w:t>(iii)</w:t>
      </w:r>
      <w:r w:rsidRPr="0003433F">
        <w:rPr>
          <w:rFonts w:ascii="Arial" w:hAnsi="Arial" w:cs="Arial"/>
        </w:rPr>
        <w:tab/>
        <w:t>any relief relevant to the interests of a Special Investigating Unit.”</w:t>
      </w:r>
    </w:p>
    <w:p w:rsidR="00052D41" w:rsidRPr="0003433F" w:rsidRDefault="00052D41" w:rsidP="00052D41">
      <w:pPr>
        <w:pStyle w:val="JUDGMENTNUMBERED"/>
        <w:numPr>
          <w:ilvl w:val="0"/>
          <w:numId w:val="0"/>
        </w:numPr>
        <w:spacing w:after="120"/>
        <w:rPr>
          <w:rFonts w:ascii="Arial" w:hAnsi="Arial" w:cs="Arial"/>
        </w:rPr>
      </w:pPr>
    </w:p>
    <w:p w:rsidR="00052D41" w:rsidRPr="00841B3C" w:rsidRDefault="002D752F" w:rsidP="002D752F">
      <w:pPr>
        <w:pStyle w:val="JUDGMENTNUMBERED"/>
        <w:numPr>
          <w:ilvl w:val="0"/>
          <w:numId w:val="0"/>
        </w:numPr>
        <w:ind w:left="720"/>
        <w:rPr>
          <w:rFonts w:ascii="Arial" w:hAnsi="Arial" w:cs="Arial"/>
          <w:sz w:val="24"/>
          <w:szCs w:val="26"/>
        </w:rPr>
      </w:pPr>
      <w:r w:rsidRPr="00841B3C">
        <w:rPr>
          <w:rFonts w:ascii="Arial" w:hAnsi="Arial" w:cs="Arial"/>
          <w:sz w:val="24"/>
        </w:rPr>
        <w:t>“[67]</w:t>
      </w:r>
      <w:r w:rsidRPr="00841B3C">
        <w:rPr>
          <w:rFonts w:ascii="Arial" w:hAnsi="Arial" w:cs="Arial"/>
          <w:sz w:val="24"/>
        </w:rPr>
        <w:tab/>
      </w:r>
      <w:r w:rsidR="00052D41" w:rsidRPr="00841B3C">
        <w:rPr>
          <w:rFonts w:ascii="Arial" w:hAnsi="Arial" w:cs="Arial"/>
          <w:sz w:val="24"/>
        </w:rPr>
        <w:t>From the preamble and section 4 of the SIU Act, it is clear that the legislative intention was to cast a wide net over the scope of the proceedings the Special Tribunal is empowered to adjudicate upon.  Therefore, a legality review is not excluded from the ambit of the jurisdiction of the Special Tribunal as there is no carve-out of the powers of the Special Tribunal to adjudicate over civil proceedings.</w:t>
      </w:r>
    </w:p>
    <w:p w:rsidR="00052D41" w:rsidRPr="0003433F" w:rsidRDefault="00052D41" w:rsidP="00052D41">
      <w:pPr>
        <w:pStyle w:val="JUDGMENTNUMBERED"/>
        <w:numPr>
          <w:ilvl w:val="0"/>
          <w:numId w:val="0"/>
        </w:numPr>
        <w:rPr>
          <w:rFonts w:ascii="Arial" w:hAnsi="Arial" w:cs="Arial"/>
          <w:szCs w:val="26"/>
        </w:rPr>
      </w:pPr>
    </w:p>
    <w:p w:rsidR="00052D41" w:rsidRPr="00841B3C" w:rsidRDefault="002D752F" w:rsidP="002D752F">
      <w:pPr>
        <w:pStyle w:val="JUDGMENTNUMBERED"/>
        <w:numPr>
          <w:ilvl w:val="0"/>
          <w:numId w:val="0"/>
        </w:numPr>
        <w:ind w:left="720"/>
        <w:rPr>
          <w:rFonts w:ascii="Arial" w:hAnsi="Arial" w:cs="Arial"/>
          <w:sz w:val="24"/>
        </w:rPr>
      </w:pPr>
      <w:r w:rsidRPr="00841B3C">
        <w:rPr>
          <w:rFonts w:ascii="Arial" w:hAnsi="Arial" w:cs="Arial"/>
          <w:sz w:val="24"/>
        </w:rPr>
        <w:t>“[68]</w:t>
      </w:r>
      <w:r w:rsidRPr="00841B3C">
        <w:rPr>
          <w:rFonts w:ascii="Arial" w:hAnsi="Arial" w:cs="Arial"/>
          <w:sz w:val="24"/>
        </w:rPr>
        <w:tab/>
      </w:r>
      <w:r w:rsidR="00D47E19" w:rsidRPr="00841B3C">
        <w:rPr>
          <w:rFonts w:ascii="Arial" w:hAnsi="Arial" w:cs="Arial"/>
          <w:sz w:val="24"/>
        </w:rPr>
        <w:t>…</w:t>
      </w:r>
      <w:r w:rsidR="00052D41" w:rsidRPr="00841B3C">
        <w:rPr>
          <w:rFonts w:ascii="Arial" w:hAnsi="Arial" w:cs="Arial"/>
          <w:sz w:val="24"/>
        </w:rPr>
        <w:t xml:space="preserve">  Accordingly, the Special Tribunal has the jurisdiction to adjudicate reviews brought by the SIU and to grant an order setting aside an unlawful procurement contract.</w:t>
      </w:r>
    </w:p>
    <w:p w:rsidR="00052D41" w:rsidRPr="00E17965" w:rsidRDefault="00052D41" w:rsidP="00052D41">
      <w:pPr>
        <w:pStyle w:val="JUDGMENTCONTINUED"/>
      </w:pPr>
    </w:p>
    <w:p w:rsidR="0003433F" w:rsidRDefault="00134211"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[74</w:t>
      </w:r>
      <w:r w:rsidR="00D47E19">
        <w:rPr>
          <w:rFonts w:ascii="Arial" w:hAnsi="Arial" w:cs="Arial"/>
          <w:sz w:val="24"/>
          <w:szCs w:val="24"/>
          <w:lang w:val="en-GB" w:eastAsia="en-ZA"/>
        </w:rPr>
        <w:t>]</w:t>
      </w:r>
      <w:r w:rsidR="00D47E19">
        <w:rPr>
          <w:rFonts w:ascii="Arial" w:hAnsi="Arial" w:cs="Arial"/>
          <w:sz w:val="24"/>
          <w:szCs w:val="24"/>
          <w:lang w:val="en-GB" w:eastAsia="en-ZA"/>
        </w:rPr>
        <w:tab/>
      </w:r>
      <w:r w:rsidR="00BD3010">
        <w:rPr>
          <w:rFonts w:ascii="Arial" w:hAnsi="Arial" w:cs="Arial"/>
          <w:sz w:val="24"/>
          <w:szCs w:val="24"/>
          <w:lang w:val="en-GB" w:eastAsia="en-ZA"/>
        </w:rPr>
        <w:t>For the reasons set out below, i</w:t>
      </w:r>
      <w:r w:rsidR="0003433F">
        <w:rPr>
          <w:rFonts w:ascii="Arial" w:hAnsi="Arial" w:cs="Arial"/>
          <w:sz w:val="24"/>
          <w:szCs w:val="24"/>
          <w:lang w:val="en-GB" w:eastAsia="en-ZA"/>
        </w:rPr>
        <w:t>t is prudent that I invite the parties to address me on the Tribunal remedial powers</w:t>
      </w:r>
      <w:r w:rsidR="00841B3C">
        <w:rPr>
          <w:rFonts w:ascii="Arial" w:hAnsi="Arial" w:cs="Arial"/>
          <w:sz w:val="24"/>
          <w:szCs w:val="24"/>
          <w:lang w:val="en-GB" w:eastAsia="en-ZA"/>
        </w:rPr>
        <w:t xml:space="preserve"> in terms of s8(2) of the SIU Act</w:t>
      </w:r>
      <w:r w:rsidR="0003433F">
        <w:rPr>
          <w:rFonts w:ascii="Arial" w:hAnsi="Arial" w:cs="Arial"/>
          <w:sz w:val="24"/>
          <w:szCs w:val="24"/>
          <w:lang w:val="en-GB" w:eastAsia="en-ZA"/>
        </w:rPr>
        <w:t xml:space="preserve"> with reference to the judgment in Ledla</w:t>
      </w:r>
      <w:r w:rsidR="00841B3C">
        <w:rPr>
          <w:rFonts w:ascii="Arial" w:hAnsi="Arial" w:cs="Arial"/>
          <w:sz w:val="24"/>
          <w:szCs w:val="24"/>
          <w:lang w:val="en-GB" w:eastAsia="en-ZA"/>
        </w:rPr>
        <w:t xml:space="preserve"> </w:t>
      </w:r>
      <w:r w:rsidR="0003433F">
        <w:rPr>
          <w:rFonts w:ascii="Arial" w:hAnsi="Arial" w:cs="Arial"/>
          <w:sz w:val="24"/>
          <w:szCs w:val="24"/>
          <w:lang w:val="en-GB" w:eastAsia="en-ZA"/>
        </w:rPr>
        <w:t xml:space="preserve">and </w:t>
      </w:r>
      <w:r w:rsidR="00BD3010">
        <w:rPr>
          <w:rFonts w:ascii="Arial" w:hAnsi="Arial" w:cs="Arial"/>
          <w:sz w:val="24"/>
          <w:szCs w:val="24"/>
          <w:lang w:val="en-GB" w:eastAsia="en-ZA"/>
        </w:rPr>
        <w:t xml:space="preserve">call on the Department </w:t>
      </w:r>
      <w:r w:rsidR="0003433F">
        <w:rPr>
          <w:rFonts w:ascii="Arial" w:hAnsi="Arial" w:cs="Arial"/>
          <w:sz w:val="24"/>
          <w:szCs w:val="24"/>
          <w:lang w:val="en-GB" w:eastAsia="en-ZA"/>
        </w:rPr>
        <w:t xml:space="preserve">to place before the Tribunal </w:t>
      </w:r>
      <w:r w:rsidR="00BD3010">
        <w:rPr>
          <w:rFonts w:ascii="Arial" w:hAnsi="Arial" w:cs="Arial"/>
          <w:sz w:val="24"/>
          <w:szCs w:val="24"/>
          <w:lang w:val="en-GB" w:eastAsia="en-ZA"/>
        </w:rPr>
        <w:t xml:space="preserve">the relevant information at its disposal </w:t>
      </w:r>
      <w:r w:rsidR="00841B3C">
        <w:rPr>
          <w:rFonts w:ascii="Arial" w:hAnsi="Arial" w:cs="Arial"/>
          <w:sz w:val="24"/>
          <w:szCs w:val="24"/>
          <w:lang w:val="en-GB" w:eastAsia="en-ZA"/>
        </w:rPr>
        <w:t>to craft the</w:t>
      </w:r>
      <w:r w:rsidR="0003433F">
        <w:rPr>
          <w:rFonts w:ascii="Arial" w:hAnsi="Arial" w:cs="Arial"/>
          <w:sz w:val="24"/>
          <w:szCs w:val="24"/>
          <w:lang w:val="en-GB" w:eastAsia="en-ZA"/>
        </w:rPr>
        <w:t xml:space="preserve"> appropriate remed</w:t>
      </w:r>
      <w:r w:rsidR="00841B3C">
        <w:rPr>
          <w:rFonts w:ascii="Arial" w:hAnsi="Arial" w:cs="Arial"/>
          <w:sz w:val="24"/>
          <w:szCs w:val="24"/>
          <w:lang w:val="en-GB" w:eastAsia="en-ZA"/>
        </w:rPr>
        <w:t>y</w:t>
      </w:r>
      <w:r w:rsidR="0003433F">
        <w:rPr>
          <w:rFonts w:ascii="Arial" w:hAnsi="Arial" w:cs="Arial"/>
          <w:sz w:val="24"/>
          <w:szCs w:val="24"/>
          <w:lang w:val="en-GB" w:eastAsia="en-ZA"/>
        </w:rPr>
        <w:t>.</w:t>
      </w:r>
    </w:p>
    <w:p w:rsidR="0003433F" w:rsidRDefault="0003433F" w:rsidP="00467E0A">
      <w:pPr>
        <w:pStyle w:val="XClause1Head"/>
        <w:numPr>
          <w:ilvl w:val="0"/>
          <w:numId w:val="0"/>
        </w:numPr>
        <w:rPr>
          <w:rFonts w:ascii="Arial" w:hAnsi="Arial" w:cs="Arial"/>
          <w:sz w:val="24"/>
          <w:szCs w:val="24"/>
          <w:lang w:val="en-GB" w:eastAsia="en-ZA"/>
        </w:rPr>
      </w:pPr>
    </w:p>
    <w:p w:rsidR="00713623" w:rsidRDefault="00134211"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[75</w:t>
      </w:r>
      <w:r w:rsidR="0003433F">
        <w:rPr>
          <w:rFonts w:ascii="Arial" w:hAnsi="Arial" w:cs="Arial"/>
          <w:sz w:val="24"/>
          <w:szCs w:val="24"/>
          <w:lang w:val="en-GB" w:eastAsia="en-ZA"/>
        </w:rPr>
        <w:t>]</w:t>
      </w:r>
      <w:r w:rsidR="0003433F">
        <w:rPr>
          <w:rFonts w:ascii="Arial" w:hAnsi="Arial" w:cs="Arial"/>
          <w:sz w:val="24"/>
          <w:szCs w:val="24"/>
          <w:lang w:val="en-GB" w:eastAsia="en-ZA"/>
        </w:rPr>
        <w:tab/>
      </w:r>
      <w:r w:rsidR="00D47E19">
        <w:rPr>
          <w:rFonts w:ascii="Arial" w:hAnsi="Arial" w:cs="Arial"/>
          <w:sz w:val="24"/>
          <w:szCs w:val="24"/>
          <w:lang w:val="en-GB" w:eastAsia="en-ZA"/>
        </w:rPr>
        <w:t>In terms of s4(1)(c) of the SIU Act, the consequential relief at the Tribunal’s disposal is not limited to the recovery of damages a state institution may suffer. It ext</w:t>
      </w:r>
      <w:r w:rsidR="0003433F">
        <w:rPr>
          <w:rFonts w:ascii="Arial" w:hAnsi="Arial" w:cs="Arial"/>
          <w:sz w:val="24"/>
          <w:szCs w:val="24"/>
          <w:lang w:val="en-GB" w:eastAsia="en-ZA"/>
        </w:rPr>
        <w:t xml:space="preserve">ends to its prevention. Here </w:t>
      </w:r>
      <w:r w:rsidR="00D47E19">
        <w:rPr>
          <w:rFonts w:ascii="Arial" w:hAnsi="Arial" w:cs="Arial"/>
          <w:sz w:val="24"/>
          <w:szCs w:val="24"/>
          <w:lang w:val="en-GB" w:eastAsia="en-ZA"/>
        </w:rPr>
        <w:t>lies my concern in respect of the information the SIU and Cultiver have placed before the Tribunal to determine consequential relief.</w:t>
      </w:r>
    </w:p>
    <w:p w:rsidR="00713623" w:rsidRDefault="00467E0A"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 xml:space="preserve"> </w:t>
      </w:r>
    </w:p>
    <w:p w:rsidR="00DA36AA" w:rsidRDefault="00134211"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[76</w:t>
      </w:r>
      <w:r w:rsidR="00D47E19">
        <w:rPr>
          <w:rFonts w:ascii="Arial" w:hAnsi="Arial" w:cs="Arial"/>
          <w:sz w:val="24"/>
          <w:szCs w:val="24"/>
          <w:lang w:val="en-GB" w:eastAsia="en-ZA"/>
        </w:rPr>
        <w:t>]</w:t>
      </w:r>
      <w:r w:rsidR="00D47E19">
        <w:rPr>
          <w:rFonts w:ascii="Arial" w:hAnsi="Arial" w:cs="Arial"/>
          <w:sz w:val="24"/>
          <w:szCs w:val="24"/>
          <w:lang w:val="en-GB" w:eastAsia="en-ZA"/>
        </w:rPr>
        <w:tab/>
      </w:r>
      <w:r w:rsidR="00467E0A">
        <w:rPr>
          <w:rFonts w:ascii="Arial" w:hAnsi="Arial" w:cs="Arial"/>
          <w:sz w:val="24"/>
          <w:szCs w:val="24"/>
          <w:lang w:val="en-GB" w:eastAsia="en-ZA"/>
        </w:rPr>
        <w:t xml:space="preserve">The SIU seeks the impugned lease agreement set aside. However, it has sought no relief to address Mike’s Chicken and Cultiver’s continued occupation of the </w:t>
      </w:r>
      <w:r w:rsidR="00467E0A">
        <w:rPr>
          <w:rFonts w:ascii="Arial" w:hAnsi="Arial" w:cs="Arial"/>
          <w:sz w:val="24"/>
          <w:szCs w:val="24"/>
          <w:lang w:val="en-GB" w:eastAsia="en-ZA"/>
        </w:rPr>
        <w:lastRenderedPageBreak/>
        <w:t xml:space="preserve">properties from which the Mike’s Chicken farm operates. </w:t>
      </w:r>
      <w:r w:rsidR="00DA36AA">
        <w:rPr>
          <w:rFonts w:ascii="Arial" w:hAnsi="Arial" w:cs="Arial"/>
          <w:sz w:val="24"/>
          <w:szCs w:val="24"/>
          <w:lang w:val="en-GB" w:eastAsia="en-ZA"/>
        </w:rPr>
        <w:t>It has also not placed any information before the Tribunal</w:t>
      </w:r>
      <w:r w:rsidR="0027045A">
        <w:rPr>
          <w:rFonts w:ascii="Arial" w:hAnsi="Arial" w:cs="Arial"/>
          <w:sz w:val="24"/>
          <w:szCs w:val="24"/>
          <w:lang w:val="en-GB" w:eastAsia="en-ZA"/>
        </w:rPr>
        <w:t xml:space="preserve"> to determine a suitable remedy to give effect to the Tribunal’s decision to review </w:t>
      </w:r>
      <w:r w:rsidR="00D47E19">
        <w:rPr>
          <w:rFonts w:ascii="Arial" w:hAnsi="Arial" w:cs="Arial"/>
          <w:sz w:val="24"/>
          <w:szCs w:val="24"/>
          <w:lang w:val="en-GB" w:eastAsia="en-ZA"/>
        </w:rPr>
        <w:t>and</w:t>
      </w:r>
      <w:r w:rsidR="007B524A">
        <w:rPr>
          <w:rFonts w:ascii="Arial" w:hAnsi="Arial" w:cs="Arial"/>
          <w:sz w:val="24"/>
          <w:szCs w:val="24"/>
          <w:lang w:val="en-GB" w:eastAsia="en-ZA"/>
        </w:rPr>
        <w:t xml:space="preserve"> whether it is appropriate to</w:t>
      </w:r>
      <w:r w:rsidR="00D47E19">
        <w:rPr>
          <w:rFonts w:ascii="Arial" w:hAnsi="Arial" w:cs="Arial"/>
          <w:sz w:val="24"/>
          <w:szCs w:val="24"/>
          <w:lang w:val="en-GB" w:eastAsia="en-ZA"/>
        </w:rPr>
        <w:t xml:space="preserve"> set aside </w:t>
      </w:r>
      <w:r w:rsidR="0027045A">
        <w:rPr>
          <w:rFonts w:ascii="Arial" w:hAnsi="Arial" w:cs="Arial"/>
          <w:sz w:val="24"/>
          <w:szCs w:val="24"/>
          <w:lang w:val="en-GB" w:eastAsia="en-ZA"/>
        </w:rPr>
        <w:t xml:space="preserve">the impugned decisions. The </w:t>
      </w:r>
      <w:r w:rsidR="00D47E19">
        <w:rPr>
          <w:rFonts w:ascii="Arial" w:hAnsi="Arial" w:cs="Arial"/>
          <w:sz w:val="24"/>
          <w:szCs w:val="24"/>
          <w:lang w:val="en-GB" w:eastAsia="en-ZA"/>
        </w:rPr>
        <w:t>effect of th</w:t>
      </w:r>
      <w:r w:rsidR="007B524A">
        <w:rPr>
          <w:rFonts w:ascii="Arial" w:hAnsi="Arial" w:cs="Arial"/>
          <w:sz w:val="24"/>
          <w:szCs w:val="24"/>
          <w:lang w:val="en-GB" w:eastAsia="en-ZA"/>
        </w:rPr>
        <w:t xml:space="preserve">ese omissions </w:t>
      </w:r>
      <w:r w:rsidR="00D47E19">
        <w:rPr>
          <w:rFonts w:ascii="Arial" w:hAnsi="Arial" w:cs="Arial"/>
          <w:sz w:val="24"/>
          <w:szCs w:val="24"/>
          <w:lang w:val="en-GB" w:eastAsia="en-ZA"/>
        </w:rPr>
        <w:t xml:space="preserve">is that </w:t>
      </w:r>
      <w:r w:rsidR="00965A92">
        <w:rPr>
          <w:rFonts w:ascii="Arial" w:hAnsi="Arial" w:cs="Arial"/>
          <w:sz w:val="24"/>
          <w:szCs w:val="24"/>
          <w:lang w:val="en-GB" w:eastAsia="en-ZA"/>
        </w:rPr>
        <w:t xml:space="preserve">Cultiver and Mike’s Chicken </w:t>
      </w:r>
      <w:r w:rsidR="00D47E19">
        <w:rPr>
          <w:rFonts w:ascii="Arial" w:hAnsi="Arial" w:cs="Arial"/>
          <w:sz w:val="24"/>
          <w:szCs w:val="24"/>
          <w:lang w:val="en-GB" w:eastAsia="en-ZA"/>
        </w:rPr>
        <w:t>will be in unlawful occupation of the leased premises and possession of any movable assets the State acquired when it purchased Mike’s Chicken.</w:t>
      </w:r>
      <w:r w:rsidR="00965A92">
        <w:rPr>
          <w:rFonts w:ascii="Arial" w:hAnsi="Arial" w:cs="Arial"/>
          <w:sz w:val="24"/>
          <w:szCs w:val="24"/>
          <w:lang w:val="en-GB" w:eastAsia="en-ZA"/>
        </w:rPr>
        <w:t xml:space="preserve"> This scenario is untenable as it exposes the Department to potential loss. It </w:t>
      </w:r>
      <w:r w:rsidR="007B524A">
        <w:rPr>
          <w:rFonts w:ascii="Arial" w:hAnsi="Arial" w:cs="Arial"/>
          <w:sz w:val="24"/>
          <w:szCs w:val="24"/>
          <w:lang w:val="en-GB" w:eastAsia="en-ZA"/>
        </w:rPr>
        <w:t xml:space="preserve">may </w:t>
      </w:r>
      <w:r w:rsidR="00965A92">
        <w:rPr>
          <w:rFonts w:ascii="Arial" w:hAnsi="Arial" w:cs="Arial"/>
          <w:sz w:val="24"/>
          <w:szCs w:val="24"/>
          <w:lang w:val="en-GB" w:eastAsia="en-ZA"/>
        </w:rPr>
        <w:t>render Cultiver and Mike’s Chicken, its employees and stakeholders to the potential prejudice Cultiver has complained of.</w:t>
      </w:r>
    </w:p>
    <w:p w:rsidR="0027045A" w:rsidRDefault="0027045A" w:rsidP="00467E0A">
      <w:pPr>
        <w:pStyle w:val="XClause1Head"/>
        <w:numPr>
          <w:ilvl w:val="0"/>
          <w:numId w:val="0"/>
        </w:numPr>
        <w:rPr>
          <w:rFonts w:ascii="Arial" w:hAnsi="Arial" w:cs="Arial"/>
          <w:sz w:val="24"/>
          <w:szCs w:val="24"/>
          <w:lang w:val="en-GB" w:eastAsia="en-ZA"/>
        </w:rPr>
      </w:pPr>
    </w:p>
    <w:p w:rsidR="00E64F0D" w:rsidRDefault="00134211" w:rsidP="00E64F0D">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[77</w:t>
      </w:r>
      <w:r w:rsidR="00E64F0D">
        <w:rPr>
          <w:rFonts w:ascii="Arial" w:hAnsi="Arial" w:cs="Arial"/>
          <w:sz w:val="24"/>
          <w:szCs w:val="24"/>
          <w:lang w:val="en-GB" w:eastAsia="en-ZA"/>
        </w:rPr>
        <w:t>]</w:t>
      </w:r>
      <w:r w:rsidR="00E64F0D">
        <w:rPr>
          <w:rFonts w:ascii="Arial" w:hAnsi="Arial" w:cs="Arial"/>
          <w:sz w:val="24"/>
          <w:szCs w:val="24"/>
          <w:lang w:val="en-GB" w:eastAsia="en-ZA"/>
        </w:rPr>
        <w:tab/>
        <w:t xml:space="preserve">Cultiver has made bald allegations regarding the prejudice various stakeholders would suffer if the lease agreement is set aside. For example, it complains about prejudice to the national poultry supply chain and the local economy in which Mike’s Chicken operates but has placed no information before the Tribunal to support these claims. </w:t>
      </w:r>
    </w:p>
    <w:p w:rsidR="00E64F0D" w:rsidRDefault="00E64F0D" w:rsidP="00E64F0D">
      <w:pPr>
        <w:pStyle w:val="XClause1Head"/>
        <w:numPr>
          <w:ilvl w:val="0"/>
          <w:numId w:val="0"/>
        </w:numPr>
        <w:rPr>
          <w:rFonts w:ascii="Arial" w:hAnsi="Arial" w:cs="Arial"/>
          <w:sz w:val="24"/>
          <w:szCs w:val="24"/>
          <w:lang w:val="en-GB" w:eastAsia="en-ZA"/>
        </w:rPr>
      </w:pPr>
    </w:p>
    <w:p w:rsidR="00E64F0D" w:rsidRDefault="00FC387C" w:rsidP="00DA36A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[78</w:t>
      </w:r>
      <w:r w:rsidR="00DA36AA">
        <w:rPr>
          <w:rFonts w:ascii="Arial" w:hAnsi="Arial" w:cs="Arial"/>
          <w:sz w:val="24"/>
          <w:szCs w:val="24"/>
          <w:lang w:val="en-GB" w:eastAsia="en-ZA"/>
        </w:rPr>
        <w:t>]</w:t>
      </w:r>
      <w:r w:rsidR="00DA36AA">
        <w:rPr>
          <w:rFonts w:ascii="Arial" w:hAnsi="Arial" w:cs="Arial"/>
          <w:sz w:val="24"/>
          <w:szCs w:val="24"/>
          <w:lang w:val="en-GB" w:eastAsia="en-ZA"/>
        </w:rPr>
        <w:tab/>
        <w:t xml:space="preserve">Cultiver contends that it should not be divested of the rights it acquired from the impugned lease agreement. </w:t>
      </w:r>
      <w:r w:rsidR="00E64F0D">
        <w:rPr>
          <w:rFonts w:ascii="Arial" w:hAnsi="Arial" w:cs="Arial"/>
          <w:sz w:val="24"/>
          <w:szCs w:val="24"/>
          <w:lang w:val="en-GB" w:eastAsia="en-ZA"/>
        </w:rPr>
        <w:t>But, a</w:t>
      </w:r>
      <w:r w:rsidR="00DA36AA">
        <w:rPr>
          <w:rFonts w:ascii="Arial" w:hAnsi="Arial" w:cs="Arial"/>
          <w:sz w:val="24"/>
          <w:szCs w:val="24"/>
          <w:lang w:val="en-GB" w:eastAsia="en-ZA"/>
        </w:rPr>
        <w:t xml:space="preserve">t all material times since the Polokwane application was instituted, Mike’s Chicken was in business rescue because the Department had refused to fund its operations. Inexplicably, its business has turned around and it is yielding a profit. </w:t>
      </w:r>
      <w:r w:rsidR="00E64F0D">
        <w:rPr>
          <w:rFonts w:ascii="Arial" w:hAnsi="Arial" w:cs="Arial"/>
          <w:sz w:val="24"/>
          <w:szCs w:val="24"/>
          <w:lang w:val="en-GB" w:eastAsia="en-ZA"/>
        </w:rPr>
        <w:t xml:space="preserve">However, it probably remains in business rescue because it has not placed any evidence before the Tribunal confirming that it has been discharged from business rescue. Its business rescue practitioner has not confirmed its changed </w:t>
      </w:r>
      <w:r w:rsidR="00BD3010">
        <w:rPr>
          <w:rFonts w:ascii="Arial" w:hAnsi="Arial" w:cs="Arial"/>
          <w:sz w:val="24"/>
          <w:szCs w:val="24"/>
          <w:lang w:val="en-GB" w:eastAsia="en-ZA"/>
        </w:rPr>
        <w:t xml:space="preserve">legal status and </w:t>
      </w:r>
      <w:r w:rsidR="00E64F0D">
        <w:rPr>
          <w:rFonts w:ascii="Arial" w:hAnsi="Arial" w:cs="Arial"/>
          <w:sz w:val="24"/>
          <w:szCs w:val="24"/>
          <w:lang w:val="en-GB" w:eastAsia="en-ZA"/>
        </w:rPr>
        <w:t xml:space="preserve">financial position in these proceedings. </w:t>
      </w:r>
    </w:p>
    <w:p w:rsidR="00E64F0D" w:rsidRDefault="00E64F0D" w:rsidP="00DA36AA">
      <w:pPr>
        <w:pStyle w:val="XClause1Head"/>
        <w:numPr>
          <w:ilvl w:val="0"/>
          <w:numId w:val="0"/>
        </w:numPr>
        <w:rPr>
          <w:rFonts w:ascii="Arial" w:hAnsi="Arial" w:cs="Arial"/>
          <w:sz w:val="24"/>
          <w:szCs w:val="24"/>
          <w:lang w:val="en-GB" w:eastAsia="en-ZA"/>
        </w:rPr>
      </w:pPr>
    </w:p>
    <w:p w:rsidR="00E64F0D" w:rsidRDefault="00FC387C" w:rsidP="00DA36A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[79</w:t>
      </w:r>
      <w:r w:rsidR="00E64F0D">
        <w:rPr>
          <w:rFonts w:ascii="Arial" w:hAnsi="Arial" w:cs="Arial"/>
          <w:sz w:val="24"/>
          <w:szCs w:val="24"/>
          <w:lang w:val="en-GB" w:eastAsia="en-ZA"/>
        </w:rPr>
        <w:t>]</w:t>
      </w:r>
      <w:r w:rsidR="00E64F0D">
        <w:rPr>
          <w:rFonts w:ascii="Arial" w:hAnsi="Arial" w:cs="Arial"/>
          <w:sz w:val="24"/>
          <w:szCs w:val="24"/>
          <w:lang w:val="en-GB" w:eastAsia="en-ZA"/>
        </w:rPr>
        <w:tab/>
        <w:t>I am therefore unable to rely on the evidence disclose by Cultiver regarding the appropriate consequential relief.</w:t>
      </w:r>
    </w:p>
    <w:p w:rsidR="00E64F0D" w:rsidRDefault="00E64F0D" w:rsidP="00DA36AA">
      <w:pPr>
        <w:pStyle w:val="XClause1Head"/>
        <w:numPr>
          <w:ilvl w:val="0"/>
          <w:numId w:val="0"/>
        </w:numPr>
        <w:rPr>
          <w:rFonts w:ascii="Arial" w:hAnsi="Arial" w:cs="Arial"/>
          <w:sz w:val="24"/>
          <w:szCs w:val="24"/>
          <w:lang w:val="en-GB" w:eastAsia="en-ZA"/>
        </w:rPr>
      </w:pPr>
    </w:p>
    <w:p w:rsidR="0027045A" w:rsidRDefault="00FC387C" w:rsidP="0027045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[80</w:t>
      </w:r>
      <w:r w:rsidR="00E64F0D">
        <w:rPr>
          <w:rFonts w:ascii="Arial" w:hAnsi="Arial" w:cs="Arial"/>
          <w:sz w:val="24"/>
          <w:szCs w:val="24"/>
          <w:lang w:val="en-GB" w:eastAsia="en-ZA"/>
        </w:rPr>
        <w:t>]</w:t>
      </w:r>
      <w:r w:rsidR="00E64F0D">
        <w:rPr>
          <w:rFonts w:ascii="Arial" w:hAnsi="Arial" w:cs="Arial"/>
          <w:sz w:val="24"/>
          <w:szCs w:val="24"/>
          <w:lang w:val="en-GB" w:eastAsia="en-ZA"/>
        </w:rPr>
        <w:tab/>
      </w:r>
      <w:r w:rsidR="00DA36AA">
        <w:rPr>
          <w:rFonts w:ascii="Arial" w:hAnsi="Arial" w:cs="Arial"/>
          <w:sz w:val="24"/>
          <w:szCs w:val="24"/>
          <w:lang w:val="en-GB" w:eastAsia="en-ZA"/>
        </w:rPr>
        <w:t xml:space="preserve">The Department has a duty in terms of the PLAS manual to monitor Mike’s Chicken’s performance in order to safeguard the state’s investment into the Mike’s </w:t>
      </w:r>
      <w:r w:rsidR="00DA36AA">
        <w:rPr>
          <w:rFonts w:ascii="Arial" w:hAnsi="Arial" w:cs="Arial"/>
          <w:sz w:val="24"/>
          <w:szCs w:val="24"/>
          <w:lang w:val="en-GB" w:eastAsia="en-ZA"/>
        </w:rPr>
        <w:lastRenderedPageBreak/>
        <w:t xml:space="preserve">Chicken enterprise and the State owned assets it uses. </w:t>
      </w:r>
      <w:r w:rsidR="00E64F0D">
        <w:rPr>
          <w:rFonts w:ascii="Arial" w:hAnsi="Arial" w:cs="Arial"/>
          <w:sz w:val="24"/>
          <w:szCs w:val="24"/>
          <w:lang w:val="en-GB" w:eastAsia="en-ZA"/>
        </w:rPr>
        <w:t>It has not placed any information before the Tribunal in this regard.</w:t>
      </w:r>
      <w:r w:rsidR="007B524A">
        <w:rPr>
          <w:rFonts w:ascii="Arial" w:hAnsi="Arial" w:cs="Arial"/>
          <w:sz w:val="24"/>
          <w:szCs w:val="24"/>
          <w:lang w:val="en-GB" w:eastAsia="en-ZA"/>
        </w:rPr>
        <w:t xml:space="preserve"> </w:t>
      </w:r>
      <w:r w:rsidR="00DA36AA">
        <w:rPr>
          <w:rFonts w:ascii="Arial" w:hAnsi="Arial" w:cs="Arial"/>
          <w:sz w:val="24"/>
          <w:szCs w:val="24"/>
          <w:lang w:val="en-GB" w:eastAsia="en-ZA"/>
        </w:rPr>
        <w:t>The Tribunal frowns upon the indifference displayed by the Department by not entering the fray to address the Tribunal on a</w:t>
      </w:r>
      <w:r w:rsidR="00E64F0D">
        <w:rPr>
          <w:rFonts w:ascii="Arial" w:hAnsi="Arial" w:cs="Arial"/>
          <w:sz w:val="24"/>
          <w:szCs w:val="24"/>
          <w:lang w:val="en-GB" w:eastAsia="en-ZA"/>
        </w:rPr>
        <w:t>n appropriate remedy to prevent loss to the state as envisaged in s4(1)(c) of the SIU</w:t>
      </w:r>
      <w:r w:rsidR="00BD3010">
        <w:rPr>
          <w:rFonts w:ascii="Arial" w:hAnsi="Arial" w:cs="Arial"/>
          <w:sz w:val="24"/>
          <w:szCs w:val="24"/>
          <w:lang w:val="en-GB" w:eastAsia="en-ZA"/>
        </w:rPr>
        <w:t xml:space="preserve"> Act</w:t>
      </w:r>
      <w:r w:rsidR="00DA36AA">
        <w:rPr>
          <w:rFonts w:ascii="Arial" w:hAnsi="Arial" w:cs="Arial"/>
          <w:sz w:val="24"/>
          <w:szCs w:val="24"/>
          <w:lang w:val="en-GB" w:eastAsia="en-ZA"/>
        </w:rPr>
        <w:t xml:space="preserve">. Since the Department was impugning Cultiver’s rights in the Polokwane application, the supine position it has adopted in these proceedings is most bizarre. At the very least, it ought to address the Tribunal on whether not setting aside the impugned agreement serves the objectives of the PLAS programme and if not, </w:t>
      </w:r>
      <w:r w:rsidR="00E64F0D">
        <w:rPr>
          <w:rFonts w:ascii="Arial" w:hAnsi="Arial" w:cs="Arial"/>
          <w:sz w:val="24"/>
          <w:szCs w:val="24"/>
          <w:lang w:val="en-GB" w:eastAsia="en-ZA"/>
        </w:rPr>
        <w:t>what is the most appropriate relief</w:t>
      </w:r>
      <w:r w:rsidR="00DA36AA">
        <w:rPr>
          <w:rFonts w:ascii="Arial" w:hAnsi="Arial" w:cs="Arial"/>
          <w:sz w:val="24"/>
          <w:szCs w:val="24"/>
          <w:lang w:val="en-GB" w:eastAsia="en-ZA"/>
        </w:rPr>
        <w:t xml:space="preserve"> that would do so. </w:t>
      </w:r>
    </w:p>
    <w:p w:rsidR="00DA36AA" w:rsidRDefault="00DA36AA" w:rsidP="00DA36AA">
      <w:pPr>
        <w:pStyle w:val="XClause1Head"/>
        <w:numPr>
          <w:ilvl w:val="0"/>
          <w:numId w:val="0"/>
        </w:numPr>
        <w:rPr>
          <w:rFonts w:ascii="Arial" w:hAnsi="Arial" w:cs="Arial"/>
          <w:sz w:val="24"/>
          <w:szCs w:val="24"/>
          <w:lang w:val="en-GB" w:eastAsia="en-ZA"/>
        </w:rPr>
      </w:pPr>
    </w:p>
    <w:p w:rsidR="00DA36AA" w:rsidRDefault="00FC387C"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[81</w:t>
      </w:r>
      <w:r w:rsidR="00DA36AA">
        <w:rPr>
          <w:rFonts w:ascii="Arial" w:hAnsi="Arial" w:cs="Arial"/>
          <w:sz w:val="24"/>
          <w:szCs w:val="24"/>
          <w:lang w:val="en-GB" w:eastAsia="en-ZA"/>
        </w:rPr>
        <w:t>]</w:t>
      </w:r>
      <w:r w:rsidR="00DA36AA">
        <w:rPr>
          <w:rFonts w:ascii="Arial" w:hAnsi="Arial" w:cs="Arial"/>
          <w:sz w:val="24"/>
          <w:szCs w:val="24"/>
          <w:lang w:val="en-GB" w:eastAsia="en-ZA"/>
        </w:rPr>
        <w:tab/>
        <w:t xml:space="preserve">For these reasons, the Tribunal has not been placed with sufficient information to </w:t>
      </w:r>
      <w:r w:rsidR="0027045A">
        <w:rPr>
          <w:rFonts w:ascii="Arial" w:hAnsi="Arial" w:cs="Arial"/>
          <w:sz w:val="24"/>
          <w:szCs w:val="24"/>
          <w:lang w:val="en-GB" w:eastAsia="en-ZA"/>
        </w:rPr>
        <w:t xml:space="preserve">give effect to its order to review the impugned decisions by </w:t>
      </w:r>
      <w:r w:rsidR="00DA36AA">
        <w:rPr>
          <w:rFonts w:ascii="Arial" w:hAnsi="Arial" w:cs="Arial"/>
          <w:sz w:val="24"/>
          <w:szCs w:val="24"/>
          <w:lang w:val="en-GB" w:eastAsia="en-ZA"/>
        </w:rPr>
        <w:t>determin</w:t>
      </w:r>
      <w:r w:rsidR="0027045A">
        <w:rPr>
          <w:rFonts w:ascii="Arial" w:hAnsi="Arial" w:cs="Arial"/>
          <w:sz w:val="24"/>
          <w:szCs w:val="24"/>
          <w:lang w:val="en-GB" w:eastAsia="en-ZA"/>
        </w:rPr>
        <w:t xml:space="preserve">ing </w:t>
      </w:r>
      <w:r w:rsidR="00DA36AA">
        <w:rPr>
          <w:rFonts w:ascii="Arial" w:hAnsi="Arial" w:cs="Arial"/>
          <w:sz w:val="24"/>
          <w:szCs w:val="24"/>
          <w:lang w:val="en-GB" w:eastAsia="en-ZA"/>
        </w:rPr>
        <w:t xml:space="preserve">whether it should set the impugned lease agreement aside and the suitable remedy to </w:t>
      </w:r>
      <w:r w:rsidR="007B524A">
        <w:rPr>
          <w:rFonts w:ascii="Arial" w:hAnsi="Arial" w:cs="Arial"/>
          <w:sz w:val="24"/>
          <w:szCs w:val="24"/>
          <w:lang w:val="en-GB" w:eastAsia="en-ZA"/>
        </w:rPr>
        <w:t xml:space="preserve">it should order to </w:t>
      </w:r>
      <w:r w:rsidR="00DA36AA">
        <w:rPr>
          <w:rFonts w:ascii="Arial" w:hAnsi="Arial" w:cs="Arial"/>
          <w:sz w:val="24"/>
          <w:szCs w:val="24"/>
          <w:lang w:val="en-GB" w:eastAsia="en-ZA"/>
        </w:rPr>
        <w:t xml:space="preserve">accommodate the interests of all the parties but most importantly to ensure that the State does not suffer loss as a result of the Tribunal’s order. </w:t>
      </w:r>
    </w:p>
    <w:p w:rsidR="00DA36AA" w:rsidRDefault="00DA36AA" w:rsidP="00467E0A">
      <w:pPr>
        <w:pStyle w:val="XClause1Head"/>
        <w:numPr>
          <w:ilvl w:val="0"/>
          <w:numId w:val="0"/>
        </w:numPr>
        <w:rPr>
          <w:rFonts w:ascii="Arial" w:hAnsi="Arial" w:cs="Arial"/>
          <w:sz w:val="24"/>
          <w:szCs w:val="24"/>
          <w:lang w:val="en-GB" w:eastAsia="en-ZA"/>
        </w:rPr>
      </w:pPr>
    </w:p>
    <w:p w:rsidR="00DA36AA" w:rsidRDefault="00FC387C" w:rsidP="00467E0A">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[82</w:t>
      </w:r>
      <w:r w:rsidR="00DA36AA">
        <w:rPr>
          <w:rFonts w:ascii="Arial" w:hAnsi="Arial" w:cs="Arial"/>
          <w:sz w:val="24"/>
          <w:szCs w:val="24"/>
          <w:lang w:val="en-GB" w:eastAsia="en-ZA"/>
        </w:rPr>
        <w:t>]</w:t>
      </w:r>
      <w:r w:rsidR="00DA36AA">
        <w:rPr>
          <w:rFonts w:ascii="Arial" w:hAnsi="Arial" w:cs="Arial"/>
          <w:sz w:val="24"/>
          <w:szCs w:val="24"/>
          <w:lang w:val="en-GB" w:eastAsia="en-ZA"/>
        </w:rPr>
        <w:tab/>
      </w:r>
      <w:r w:rsidR="00E64F0D">
        <w:rPr>
          <w:rFonts w:ascii="Arial" w:hAnsi="Arial" w:cs="Arial"/>
          <w:sz w:val="24"/>
          <w:szCs w:val="24"/>
          <w:lang w:val="en-GB" w:eastAsia="en-ZA"/>
        </w:rPr>
        <w:t>T</w:t>
      </w:r>
      <w:r w:rsidR="00AA4501">
        <w:rPr>
          <w:rFonts w:ascii="Arial" w:hAnsi="Arial" w:cs="Arial"/>
          <w:sz w:val="24"/>
          <w:szCs w:val="24"/>
          <w:lang w:val="en-GB" w:eastAsia="en-ZA"/>
        </w:rPr>
        <w:t xml:space="preserve">he further conduct of the matter to </w:t>
      </w:r>
      <w:r w:rsidR="00BD3010">
        <w:rPr>
          <w:rFonts w:ascii="Arial" w:hAnsi="Arial" w:cs="Arial"/>
          <w:sz w:val="24"/>
          <w:szCs w:val="24"/>
          <w:lang w:val="en-GB" w:eastAsia="en-ZA"/>
        </w:rPr>
        <w:t xml:space="preserve">address the issues raised above </w:t>
      </w:r>
      <w:r w:rsidR="00AA4501">
        <w:rPr>
          <w:rFonts w:ascii="Arial" w:hAnsi="Arial" w:cs="Arial"/>
          <w:sz w:val="24"/>
          <w:szCs w:val="24"/>
          <w:lang w:val="en-GB" w:eastAsia="en-ZA"/>
        </w:rPr>
        <w:t>will be determined at</w:t>
      </w:r>
      <w:r w:rsidR="00DA36AA">
        <w:rPr>
          <w:rFonts w:ascii="Arial" w:hAnsi="Arial" w:cs="Arial"/>
          <w:sz w:val="24"/>
          <w:szCs w:val="24"/>
          <w:lang w:val="en-GB" w:eastAsia="en-ZA"/>
        </w:rPr>
        <w:t xml:space="preserve"> a case management meeting </w:t>
      </w:r>
      <w:r w:rsidR="00AA4501">
        <w:rPr>
          <w:rFonts w:ascii="Arial" w:hAnsi="Arial" w:cs="Arial"/>
          <w:sz w:val="24"/>
          <w:szCs w:val="24"/>
          <w:lang w:val="en-GB" w:eastAsia="en-ZA"/>
        </w:rPr>
        <w:t xml:space="preserve">to be convened </w:t>
      </w:r>
      <w:r w:rsidR="00DA36AA">
        <w:rPr>
          <w:rFonts w:ascii="Arial" w:hAnsi="Arial" w:cs="Arial"/>
          <w:sz w:val="24"/>
          <w:szCs w:val="24"/>
          <w:lang w:val="en-GB" w:eastAsia="en-ZA"/>
        </w:rPr>
        <w:t>with the parties</w:t>
      </w:r>
      <w:r w:rsidR="00BD3010">
        <w:rPr>
          <w:rFonts w:ascii="Arial" w:hAnsi="Arial" w:cs="Arial"/>
          <w:sz w:val="24"/>
          <w:szCs w:val="24"/>
          <w:lang w:val="en-GB" w:eastAsia="en-ZA"/>
        </w:rPr>
        <w:t xml:space="preserve">. </w:t>
      </w:r>
      <w:r w:rsidR="00E64F0D">
        <w:rPr>
          <w:rFonts w:ascii="Arial" w:hAnsi="Arial" w:cs="Arial"/>
          <w:sz w:val="24"/>
          <w:szCs w:val="24"/>
          <w:lang w:val="en-GB" w:eastAsia="en-ZA"/>
        </w:rPr>
        <w:t xml:space="preserve">  </w:t>
      </w:r>
      <w:r w:rsidR="00AA4501">
        <w:rPr>
          <w:rFonts w:ascii="Arial" w:hAnsi="Arial" w:cs="Arial"/>
          <w:sz w:val="24"/>
          <w:szCs w:val="24"/>
          <w:lang w:val="en-GB" w:eastAsia="en-ZA"/>
        </w:rPr>
        <w:t xml:space="preserve"> </w:t>
      </w:r>
      <w:r w:rsidR="00DA36AA">
        <w:rPr>
          <w:rFonts w:ascii="Arial" w:hAnsi="Arial" w:cs="Arial"/>
          <w:sz w:val="24"/>
          <w:szCs w:val="24"/>
          <w:lang w:val="en-GB" w:eastAsia="en-ZA"/>
        </w:rPr>
        <w:t xml:space="preserve"> </w:t>
      </w:r>
    </w:p>
    <w:p w:rsidR="00E64F0D" w:rsidRDefault="00E64F0D" w:rsidP="00467E0A">
      <w:pPr>
        <w:pStyle w:val="XClause1Head"/>
        <w:numPr>
          <w:ilvl w:val="0"/>
          <w:numId w:val="0"/>
        </w:numPr>
        <w:rPr>
          <w:rFonts w:ascii="Arial" w:hAnsi="Arial" w:cs="Arial"/>
          <w:sz w:val="24"/>
          <w:szCs w:val="24"/>
          <w:lang w:val="en-GB" w:eastAsia="en-ZA"/>
        </w:rPr>
      </w:pPr>
    </w:p>
    <w:p w:rsidR="00CF18A5" w:rsidRPr="00CC773F" w:rsidRDefault="00CF18A5" w:rsidP="00CF18A5">
      <w:pPr>
        <w:pStyle w:val="XClause1Head"/>
        <w:numPr>
          <w:ilvl w:val="0"/>
          <w:numId w:val="0"/>
        </w:numPr>
        <w:ind w:left="720" w:hanging="720"/>
        <w:rPr>
          <w:rFonts w:ascii="Arial" w:hAnsi="Arial" w:cs="Arial"/>
          <w:b/>
          <w:sz w:val="24"/>
          <w:szCs w:val="24"/>
          <w:lang w:val="en-GB" w:eastAsia="en-ZA"/>
        </w:rPr>
      </w:pPr>
      <w:r w:rsidRPr="00CC773F">
        <w:rPr>
          <w:rFonts w:ascii="Arial" w:hAnsi="Arial" w:cs="Arial"/>
          <w:b/>
          <w:sz w:val="24"/>
          <w:szCs w:val="24"/>
          <w:lang w:val="en-GB" w:eastAsia="en-ZA"/>
        </w:rPr>
        <w:t>COST</w:t>
      </w:r>
    </w:p>
    <w:p w:rsidR="00CF18A5" w:rsidRDefault="00FC387C" w:rsidP="00CF18A5">
      <w:pPr>
        <w:pStyle w:val="XClause1Head"/>
        <w:numPr>
          <w:ilvl w:val="0"/>
          <w:numId w:val="0"/>
        </w:numPr>
        <w:ind w:left="720" w:hanging="720"/>
        <w:rPr>
          <w:rFonts w:ascii="Arial" w:hAnsi="Arial" w:cs="Arial"/>
          <w:sz w:val="24"/>
          <w:szCs w:val="24"/>
          <w:lang w:val="en-GB" w:eastAsia="en-ZA"/>
        </w:rPr>
      </w:pPr>
      <w:r>
        <w:rPr>
          <w:rFonts w:ascii="Arial" w:hAnsi="Arial" w:cs="Arial"/>
          <w:sz w:val="24"/>
          <w:szCs w:val="24"/>
          <w:lang w:val="en-GB" w:eastAsia="en-ZA"/>
        </w:rPr>
        <w:t>[83</w:t>
      </w:r>
      <w:r w:rsidR="00DA36AA">
        <w:rPr>
          <w:rFonts w:ascii="Arial" w:hAnsi="Arial" w:cs="Arial"/>
          <w:sz w:val="24"/>
          <w:szCs w:val="24"/>
          <w:lang w:val="en-GB" w:eastAsia="en-ZA"/>
        </w:rPr>
        <w:t>]</w:t>
      </w:r>
      <w:r w:rsidR="00DA36AA">
        <w:rPr>
          <w:rFonts w:ascii="Arial" w:hAnsi="Arial" w:cs="Arial"/>
          <w:sz w:val="24"/>
          <w:szCs w:val="24"/>
          <w:lang w:val="en-GB" w:eastAsia="en-ZA"/>
        </w:rPr>
        <w:tab/>
        <w:t>Costs are reserved for determination</w:t>
      </w:r>
      <w:r w:rsidR="00E64F0D">
        <w:rPr>
          <w:rFonts w:ascii="Arial" w:hAnsi="Arial" w:cs="Arial"/>
          <w:sz w:val="24"/>
          <w:szCs w:val="24"/>
          <w:lang w:val="en-GB" w:eastAsia="en-ZA"/>
        </w:rPr>
        <w:t xml:space="preserve"> together with the </w:t>
      </w:r>
      <w:r w:rsidR="00BD3010">
        <w:rPr>
          <w:rFonts w:ascii="Arial" w:hAnsi="Arial" w:cs="Arial"/>
          <w:sz w:val="24"/>
          <w:szCs w:val="24"/>
          <w:lang w:val="en-GB" w:eastAsia="en-ZA"/>
        </w:rPr>
        <w:t xml:space="preserve">appropriate redial </w:t>
      </w:r>
      <w:r w:rsidR="00E64F0D">
        <w:rPr>
          <w:rFonts w:ascii="Arial" w:hAnsi="Arial" w:cs="Arial"/>
          <w:sz w:val="24"/>
          <w:szCs w:val="24"/>
          <w:lang w:val="en-GB" w:eastAsia="en-ZA"/>
        </w:rPr>
        <w:t>relief.</w:t>
      </w:r>
    </w:p>
    <w:p w:rsidR="00CF18A5" w:rsidRDefault="00CF18A5" w:rsidP="00CF18A5">
      <w:pPr>
        <w:pStyle w:val="XClause1Head"/>
        <w:numPr>
          <w:ilvl w:val="0"/>
          <w:numId w:val="0"/>
        </w:numPr>
        <w:ind w:left="720" w:hanging="720"/>
        <w:rPr>
          <w:rFonts w:ascii="Arial" w:hAnsi="Arial" w:cs="Arial"/>
          <w:sz w:val="24"/>
          <w:szCs w:val="24"/>
          <w:lang w:val="en-GB" w:eastAsia="en-ZA"/>
        </w:rPr>
      </w:pPr>
    </w:p>
    <w:p w:rsidR="00FB14A0" w:rsidRPr="00FB14A0" w:rsidRDefault="00FB14A0" w:rsidP="00CF18A5">
      <w:pPr>
        <w:pStyle w:val="XClause1Head"/>
        <w:numPr>
          <w:ilvl w:val="0"/>
          <w:numId w:val="0"/>
        </w:numPr>
        <w:ind w:left="720" w:hanging="720"/>
        <w:rPr>
          <w:rFonts w:ascii="Arial" w:hAnsi="Arial" w:cs="Arial"/>
          <w:b/>
          <w:sz w:val="24"/>
          <w:szCs w:val="24"/>
          <w:lang w:val="en-GB" w:eastAsia="en-ZA"/>
        </w:rPr>
      </w:pPr>
      <w:r w:rsidRPr="00FB14A0">
        <w:rPr>
          <w:rFonts w:ascii="Arial" w:hAnsi="Arial" w:cs="Arial"/>
          <w:b/>
          <w:sz w:val="24"/>
          <w:szCs w:val="24"/>
          <w:lang w:val="en-GB" w:eastAsia="en-ZA"/>
        </w:rPr>
        <w:t>DELAY IN HANDING DOWN THIS JUDGMENT</w:t>
      </w:r>
    </w:p>
    <w:p w:rsidR="00FB14A0" w:rsidRDefault="00FC387C" w:rsidP="00FB14A0">
      <w:pPr>
        <w:pStyle w:val="XClause1Head"/>
        <w:numPr>
          <w:ilvl w:val="0"/>
          <w:numId w:val="0"/>
        </w:numPr>
        <w:rPr>
          <w:rFonts w:ascii="Arial" w:hAnsi="Arial" w:cs="Arial"/>
          <w:sz w:val="24"/>
          <w:szCs w:val="24"/>
          <w:lang w:val="en-GB" w:eastAsia="en-ZA"/>
        </w:rPr>
      </w:pPr>
      <w:r>
        <w:rPr>
          <w:rFonts w:ascii="Arial" w:hAnsi="Arial" w:cs="Arial"/>
          <w:sz w:val="24"/>
          <w:szCs w:val="24"/>
          <w:lang w:val="en-GB" w:eastAsia="en-ZA"/>
        </w:rPr>
        <w:t>[84</w:t>
      </w:r>
      <w:r w:rsidR="00FB14A0">
        <w:rPr>
          <w:rFonts w:ascii="Arial" w:hAnsi="Arial" w:cs="Arial"/>
          <w:sz w:val="24"/>
          <w:szCs w:val="24"/>
          <w:lang w:val="en-GB" w:eastAsia="en-ZA"/>
        </w:rPr>
        <w:t>]</w:t>
      </w:r>
      <w:r w:rsidR="00FB14A0">
        <w:rPr>
          <w:rFonts w:ascii="Arial" w:hAnsi="Arial" w:cs="Arial"/>
          <w:sz w:val="24"/>
          <w:szCs w:val="24"/>
          <w:lang w:val="en-GB" w:eastAsia="en-ZA"/>
        </w:rPr>
        <w:tab/>
        <w:t xml:space="preserve">The delay in handing down is judgment is acknowledged and greatly regretted. It is occasioned by severe resource constraints, the most serious of which is judicial resources under which the Tribunal functions. The Tribunal apologises for any prejudice the parties </w:t>
      </w:r>
      <w:r w:rsidR="00191654">
        <w:rPr>
          <w:rFonts w:ascii="Arial" w:hAnsi="Arial" w:cs="Arial"/>
          <w:sz w:val="24"/>
          <w:szCs w:val="24"/>
          <w:lang w:val="en-GB" w:eastAsia="en-ZA"/>
        </w:rPr>
        <w:t xml:space="preserve">may </w:t>
      </w:r>
      <w:r w:rsidR="00FB14A0">
        <w:rPr>
          <w:rFonts w:ascii="Arial" w:hAnsi="Arial" w:cs="Arial"/>
          <w:sz w:val="24"/>
          <w:szCs w:val="24"/>
          <w:lang w:val="en-GB" w:eastAsia="en-ZA"/>
        </w:rPr>
        <w:t xml:space="preserve">have suffered as a result of the delay in handing down this judgment.   </w:t>
      </w:r>
    </w:p>
    <w:p w:rsidR="00CF18A5" w:rsidRDefault="00FC387C" w:rsidP="00CF18A5">
      <w:pPr>
        <w:pStyle w:val="XClause1Head"/>
        <w:numPr>
          <w:ilvl w:val="0"/>
          <w:numId w:val="0"/>
        </w:numPr>
        <w:ind w:left="720" w:hanging="720"/>
        <w:rPr>
          <w:rFonts w:ascii="Arial" w:hAnsi="Arial" w:cs="Arial"/>
          <w:sz w:val="24"/>
          <w:szCs w:val="24"/>
          <w:lang w:val="en-GB" w:eastAsia="en-ZA"/>
        </w:rPr>
      </w:pPr>
      <w:r>
        <w:rPr>
          <w:rFonts w:ascii="Arial" w:hAnsi="Arial" w:cs="Arial"/>
          <w:sz w:val="24"/>
          <w:szCs w:val="24"/>
          <w:lang w:val="en-GB" w:eastAsia="en-ZA"/>
        </w:rPr>
        <w:lastRenderedPageBreak/>
        <w:t>[85</w:t>
      </w:r>
      <w:r w:rsidR="00CF18A5">
        <w:rPr>
          <w:rFonts w:ascii="Arial" w:hAnsi="Arial" w:cs="Arial"/>
          <w:sz w:val="24"/>
          <w:szCs w:val="24"/>
          <w:lang w:val="en-GB" w:eastAsia="en-ZA"/>
        </w:rPr>
        <w:t>]</w:t>
      </w:r>
      <w:r w:rsidR="00CF18A5">
        <w:rPr>
          <w:rFonts w:ascii="Arial" w:hAnsi="Arial" w:cs="Arial"/>
          <w:sz w:val="24"/>
          <w:szCs w:val="24"/>
          <w:lang w:val="en-GB" w:eastAsia="en-ZA"/>
        </w:rPr>
        <w:tab/>
        <w:t>In the premises, the following order is made:</w:t>
      </w:r>
    </w:p>
    <w:p w:rsidR="00CF18A5" w:rsidRDefault="00CF18A5" w:rsidP="00CF18A5">
      <w:pPr>
        <w:pStyle w:val="XClause1Head"/>
        <w:numPr>
          <w:ilvl w:val="0"/>
          <w:numId w:val="0"/>
        </w:numPr>
        <w:ind w:left="720" w:hanging="720"/>
        <w:rPr>
          <w:rFonts w:ascii="Arial" w:hAnsi="Arial" w:cs="Arial"/>
          <w:sz w:val="24"/>
          <w:szCs w:val="24"/>
          <w:lang w:val="en-GB" w:eastAsia="en-ZA"/>
        </w:rPr>
      </w:pPr>
    </w:p>
    <w:p w:rsidR="00CF18A5" w:rsidRDefault="00CF18A5" w:rsidP="00C2675E">
      <w:pPr>
        <w:spacing w:after="0" w:line="480" w:lineRule="auto"/>
        <w:jc w:val="both"/>
        <w:rPr>
          <w:rStyle w:val="s2"/>
          <w:rFonts w:ascii="Arial" w:eastAsia="Times New Roman" w:hAnsi="Arial" w:cs="Arial"/>
          <w:b/>
          <w:color w:val="000000"/>
          <w:sz w:val="24"/>
          <w:szCs w:val="24"/>
        </w:rPr>
      </w:pPr>
      <w:r w:rsidRPr="00CF18A5">
        <w:rPr>
          <w:rStyle w:val="s2"/>
          <w:rFonts w:ascii="Arial" w:eastAsia="Times New Roman" w:hAnsi="Arial" w:cs="Arial"/>
          <w:b/>
          <w:color w:val="000000"/>
          <w:sz w:val="24"/>
          <w:szCs w:val="24"/>
        </w:rPr>
        <w:t>ORDER</w:t>
      </w:r>
    </w:p>
    <w:p w:rsidR="006416AF" w:rsidRDefault="006416AF" w:rsidP="006416AF">
      <w:pPr>
        <w:pStyle w:val="ListParagraph"/>
        <w:widowControl w:val="0"/>
        <w:numPr>
          <w:ilvl w:val="0"/>
          <w:numId w:val="15"/>
        </w:numPr>
        <w:spacing w:after="0" w:line="360" w:lineRule="auto"/>
        <w:jc w:val="both"/>
        <w:rPr>
          <w:rFonts w:ascii="Arial" w:hAnsi="Arial" w:cs="Arial"/>
          <w:sz w:val="24"/>
          <w:szCs w:val="24"/>
        </w:rPr>
      </w:pPr>
      <w:r w:rsidRPr="006416AF">
        <w:rPr>
          <w:rFonts w:ascii="Arial" w:hAnsi="Arial" w:cs="Arial"/>
          <w:sz w:val="24"/>
          <w:szCs w:val="24"/>
        </w:rPr>
        <w:t xml:space="preserve">The decision of the Minister of Rural Development and Land Reform to order the lease agreement referred to in (2) below is </w:t>
      </w:r>
      <w:r w:rsidR="00BD3010">
        <w:rPr>
          <w:rFonts w:ascii="Arial" w:hAnsi="Arial" w:cs="Arial"/>
          <w:sz w:val="24"/>
          <w:szCs w:val="24"/>
        </w:rPr>
        <w:t>declared irregular and unlawful;</w:t>
      </w:r>
    </w:p>
    <w:p w:rsidR="006416AF" w:rsidRDefault="006416AF" w:rsidP="006416AF">
      <w:pPr>
        <w:pStyle w:val="ListParagraph"/>
        <w:widowControl w:val="0"/>
        <w:spacing w:after="0" w:line="360" w:lineRule="auto"/>
        <w:jc w:val="both"/>
        <w:rPr>
          <w:rFonts w:ascii="Arial" w:hAnsi="Arial" w:cs="Arial"/>
          <w:sz w:val="24"/>
          <w:szCs w:val="24"/>
        </w:rPr>
      </w:pPr>
    </w:p>
    <w:p w:rsidR="006416AF" w:rsidRPr="006416AF" w:rsidRDefault="006416AF" w:rsidP="006416AF">
      <w:pPr>
        <w:pStyle w:val="ListParagraph"/>
        <w:widowControl w:val="0"/>
        <w:numPr>
          <w:ilvl w:val="0"/>
          <w:numId w:val="15"/>
        </w:numPr>
        <w:spacing w:after="0" w:line="360" w:lineRule="auto"/>
        <w:jc w:val="both"/>
        <w:rPr>
          <w:rFonts w:ascii="Arial" w:hAnsi="Arial" w:cs="Arial"/>
          <w:sz w:val="24"/>
          <w:szCs w:val="24"/>
        </w:rPr>
      </w:pPr>
      <w:r w:rsidRPr="006416AF">
        <w:rPr>
          <w:rFonts w:ascii="Arial" w:hAnsi="Arial" w:cs="Arial"/>
          <w:sz w:val="24"/>
          <w:szCs w:val="24"/>
          <w:lang w:val="en-ZA"/>
        </w:rPr>
        <w:t xml:space="preserve">The lease agreement entered into between the Department of Rural Development and Land Reform and the first respondent dated 11 January 2019 is declared </w:t>
      </w:r>
      <w:r w:rsidR="00BD3010">
        <w:rPr>
          <w:rFonts w:ascii="Arial" w:hAnsi="Arial" w:cs="Arial"/>
          <w:sz w:val="24"/>
          <w:szCs w:val="24"/>
          <w:lang w:val="en-ZA"/>
        </w:rPr>
        <w:t>irregular and unlawful;</w:t>
      </w:r>
    </w:p>
    <w:p w:rsidR="006416AF" w:rsidRPr="006416AF" w:rsidRDefault="006416AF" w:rsidP="006416AF">
      <w:pPr>
        <w:pStyle w:val="ListParagraph"/>
        <w:rPr>
          <w:rFonts w:ascii="Arial" w:hAnsi="Arial" w:cs="Arial"/>
          <w:sz w:val="24"/>
          <w:szCs w:val="24"/>
        </w:rPr>
      </w:pPr>
    </w:p>
    <w:p w:rsidR="006416AF" w:rsidRPr="006416AF" w:rsidRDefault="006416AF" w:rsidP="006416AF">
      <w:pPr>
        <w:pStyle w:val="ListParagraph"/>
        <w:widowControl w:val="0"/>
        <w:spacing w:after="0" w:line="360" w:lineRule="auto"/>
        <w:jc w:val="both"/>
        <w:rPr>
          <w:rFonts w:ascii="Arial" w:hAnsi="Arial" w:cs="Arial"/>
          <w:sz w:val="24"/>
          <w:szCs w:val="24"/>
        </w:rPr>
      </w:pPr>
    </w:p>
    <w:p w:rsidR="006416AF" w:rsidRPr="00191654" w:rsidRDefault="006416AF" w:rsidP="00636FD6">
      <w:pPr>
        <w:pStyle w:val="ListParagraph"/>
        <w:widowControl w:val="0"/>
        <w:numPr>
          <w:ilvl w:val="0"/>
          <w:numId w:val="15"/>
        </w:numPr>
        <w:spacing w:after="0" w:line="360" w:lineRule="auto"/>
        <w:jc w:val="both"/>
        <w:rPr>
          <w:rFonts w:ascii="Arial" w:hAnsi="Arial" w:cs="Arial"/>
          <w:sz w:val="24"/>
          <w:szCs w:val="24"/>
          <w:lang w:val="en-ZA"/>
        </w:rPr>
      </w:pPr>
      <w:r w:rsidRPr="00191654">
        <w:rPr>
          <w:rFonts w:ascii="Arial" w:hAnsi="Arial" w:cs="Arial"/>
          <w:sz w:val="24"/>
          <w:szCs w:val="24"/>
          <w:lang w:val="en-ZA"/>
        </w:rPr>
        <w:t xml:space="preserve">The </w:t>
      </w:r>
      <w:r w:rsidR="003E456B" w:rsidRPr="00191654">
        <w:rPr>
          <w:rFonts w:ascii="Arial" w:hAnsi="Arial" w:cs="Arial"/>
          <w:sz w:val="24"/>
          <w:szCs w:val="24"/>
          <w:lang w:val="en-ZA"/>
        </w:rPr>
        <w:t>Tribunal Registrar is directed to convene a case management meeting with the parties to determine the further conduct of the matter</w:t>
      </w:r>
      <w:r w:rsidR="00B20B39" w:rsidRPr="00191654">
        <w:rPr>
          <w:rFonts w:ascii="Arial" w:hAnsi="Arial" w:cs="Arial"/>
          <w:sz w:val="24"/>
          <w:szCs w:val="24"/>
          <w:lang w:val="en-ZA"/>
        </w:rPr>
        <w:t xml:space="preserve"> for the determination of the appropriate consequential remedy in terms of s4(1)(c)</w:t>
      </w:r>
      <w:r w:rsidR="00BD3010" w:rsidRPr="00191654">
        <w:rPr>
          <w:rFonts w:ascii="Arial" w:hAnsi="Arial" w:cs="Arial"/>
          <w:sz w:val="24"/>
          <w:szCs w:val="24"/>
          <w:lang w:val="en-ZA"/>
        </w:rPr>
        <w:t xml:space="preserve"> read with s8(2)</w:t>
      </w:r>
      <w:r w:rsidR="00B20B39" w:rsidRPr="00191654">
        <w:rPr>
          <w:rFonts w:ascii="Arial" w:hAnsi="Arial" w:cs="Arial"/>
          <w:sz w:val="24"/>
          <w:szCs w:val="24"/>
          <w:lang w:val="en-ZA"/>
        </w:rPr>
        <w:t xml:space="preserve"> of the SIU Act.</w:t>
      </w:r>
      <w:r w:rsidR="003E456B" w:rsidRPr="00191654">
        <w:rPr>
          <w:rFonts w:ascii="Arial" w:hAnsi="Arial" w:cs="Arial"/>
          <w:sz w:val="24"/>
          <w:szCs w:val="24"/>
          <w:lang w:val="en-ZA"/>
        </w:rPr>
        <w:t xml:space="preserve"> </w:t>
      </w:r>
    </w:p>
    <w:p w:rsidR="00BD4E71" w:rsidRDefault="00BD4E71" w:rsidP="0094657B">
      <w:pPr>
        <w:jc w:val="right"/>
        <w:rPr>
          <w:rFonts w:ascii="Arial" w:hAnsi="Arial" w:cs="Arial"/>
          <w:noProof/>
          <w:lang w:eastAsia="en-ZA"/>
        </w:rPr>
      </w:pPr>
    </w:p>
    <w:p w:rsidR="008762F7" w:rsidRPr="00FA7D34" w:rsidRDefault="008762F7" w:rsidP="0094657B">
      <w:pPr>
        <w:jc w:val="right"/>
        <w:rPr>
          <w:rFonts w:ascii="Arial" w:hAnsi="Arial" w:cs="Arial"/>
          <w:noProof/>
          <w:sz w:val="24"/>
          <w:szCs w:val="24"/>
          <w:lang w:eastAsia="en-ZA"/>
        </w:rPr>
      </w:pPr>
    </w:p>
    <w:p w:rsidR="006601D6" w:rsidRPr="00FA7D34" w:rsidRDefault="006601D6" w:rsidP="006601D6">
      <w:pPr>
        <w:pStyle w:val="ListParagraph"/>
        <w:ind w:left="0"/>
        <w:jc w:val="right"/>
        <w:rPr>
          <w:rFonts w:ascii="Arial" w:hAnsi="Arial" w:cs="Arial"/>
          <w:sz w:val="24"/>
          <w:szCs w:val="24"/>
          <w:lang w:val="en-GB" w:eastAsia="en-ZA"/>
        </w:rPr>
      </w:pPr>
      <w:r w:rsidRPr="00FA7D34">
        <w:rPr>
          <w:rFonts w:ascii="Arial" w:hAnsi="Arial" w:cs="Arial"/>
          <w:sz w:val="24"/>
          <w:szCs w:val="24"/>
          <w:lang w:val="en-GB" w:eastAsia="en-ZA"/>
        </w:rPr>
        <w:t>________________________________</w:t>
      </w:r>
    </w:p>
    <w:p w:rsidR="006601D6" w:rsidRPr="00FA7D34" w:rsidRDefault="00BE0EDA" w:rsidP="006601D6">
      <w:pPr>
        <w:spacing w:before="240" w:after="0" w:line="360" w:lineRule="auto"/>
        <w:ind w:left="1412" w:firstLine="720"/>
        <w:contextualSpacing/>
        <w:jc w:val="right"/>
        <w:rPr>
          <w:rFonts w:ascii="Arial" w:hAnsi="Arial" w:cs="Arial"/>
          <w:b/>
          <w:sz w:val="24"/>
          <w:szCs w:val="24"/>
          <w:lang w:val="en-GB" w:eastAsia="en-ZA"/>
        </w:rPr>
      </w:pPr>
      <w:r w:rsidRPr="00FA7D34">
        <w:rPr>
          <w:rFonts w:ascii="Arial" w:hAnsi="Arial" w:cs="Arial"/>
          <w:b/>
          <w:sz w:val="24"/>
          <w:szCs w:val="24"/>
          <w:lang w:val="en-GB" w:eastAsia="en-ZA"/>
        </w:rPr>
        <w:t xml:space="preserve">     </w:t>
      </w:r>
      <w:r w:rsidR="00C2675E" w:rsidRPr="00FA7D34">
        <w:rPr>
          <w:rFonts w:ascii="Arial" w:hAnsi="Arial" w:cs="Arial"/>
          <w:b/>
          <w:sz w:val="24"/>
          <w:szCs w:val="24"/>
          <w:lang w:val="en-GB" w:eastAsia="en-ZA"/>
        </w:rPr>
        <w:t xml:space="preserve">JUDGE L </w:t>
      </w:r>
      <w:r w:rsidRPr="00FA7D34">
        <w:rPr>
          <w:rFonts w:ascii="Arial" w:hAnsi="Arial" w:cs="Arial"/>
          <w:b/>
          <w:sz w:val="24"/>
          <w:szCs w:val="24"/>
          <w:lang w:val="en-GB" w:eastAsia="en-ZA"/>
        </w:rPr>
        <w:t>T MODIBA</w:t>
      </w:r>
    </w:p>
    <w:p w:rsidR="00312830" w:rsidRPr="00FA7D34" w:rsidRDefault="006601D6" w:rsidP="006601D6">
      <w:pPr>
        <w:spacing w:before="240" w:after="0" w:line="360" w:lineRule="auto"/>
        <w:ind w:left="720"/>
        <w:contextualSpacing/>
        <w:jc w:val="right"/>
        <w:rPr>
          <w:rFonts w:ascii="Arial" w:hAnsi="Arial" w:cs="Arial"/>
          <w:b/>
          <w:sz w:val="24"/>
          <w:szCs w:val="24"/>
          <w:lang w:val="en-GB" w:eastAsia="en-ZA"/>
        </w:rPr>
      </w:pPr>
      <w:r w:rsidRPr="00FA7D34">
        <w:rPr>
          <w:rFonts w:ascii="Arial" w:hAnsi="Arial" w:cs="Arial"/>
          <w:b/>
          <w:sz w:val="24"/>
          <w:szCs w:val="24"/>
          <w:lang w:val="en-GB" w:eastAsia="en-ZA"/>
        </w:rPr>
        <w:t xml:space="preserve">                                MEMBER OF THE SPECIAL TRIBUNAL</w:t>
      </w:r>
    </w:p>
    <w:p w:rsidR="00312830" w:rsidRPr="00FA7D34" w:rsidRDefault="00312830" w:rsidP="006601D6">
      <w:pPr>
        <w:spacing w:before="240" w:after="0" w:line="360" w:lineRule="auto"/>
        <w:ind w:left="720"/>
        <w:contextualSpacing/>
        <w:jc w:val="right"/>
        <w:rPr>
          <w:rFonts w:ascii="Arial" w:hAnsi="Arial" w:cs="Arial"/>
          <w:b/>
          <w:sz w:val="24"/>
          <w:szCs w:val="24"/>
          <w:lang w:val="en-GB" w:eastAsia="en-ZA"/>
        </w:rPr>
      </w:pPr>
    </w:p>
    <w:p w:rsidR="006601D6" w:rsidRPr="00FA7D34" w:rsidRDefault="006601D6" w:rsidP="006601D6">
      <w:pPr>
        <w:spacing w:before="240" w:after="0" w:line="360" w:lineRule="auto"/>
        <w:ind w:left="720"/>
        <w:contextualSpacing/>
        <w:jc w:val="right"/>
        <w:rPr>
          <w:rFonts w:ascii="Arial" w:hAnsi="Arial" w:cs="Arial"/>
          <w:b/>
          <w:sz w:val="24"/>
          <w:szCs w:val="24"/>
          <w:lang w:val="en-GB" w:eastAsia="en-ZA"/>
        </w:rPr>
      </w:pPr>
      <w:r w:rsidRPr="00FA7D34">
        <w:rPr>
          <w:rFonts w:ascii="Arial" w:hAnsi="Arial" w:cs="Arial"/>
          <w:b/>
          <w:sz w:val="24"/>
          <w:szCs w:val="24"/>
          <w:lang w:val="en-GB" w:eastAsia="en-ZA"/>
        </w:rPr>
        <w:t xml:space="preserve"> </w:t>
      </w:r>
    </w:p>
    <w:p w:rsidR="006601D6" w:rsidRPr="00FA7D34" w:rsidRDefault="006601D6" w:rsidP="006601D6">
      <w:pPr>
        <w:spacing w:line="480" w:lineRule="auto"/>
        <w:jc w:val="both"/>
        <w:rPr>
          <w:rFonts w:ascii="Arial" w:hAnsi="Arial" w:cs="Arial"/>
          <w:b/>
          <w:sz w:val="24"/>
          <w:szCs w:val="24"/>
        </w:rPr>
      </w:pPr>
      <w:r w:rsidRPr="00FA7D34">
        <w:rPr>
          <w:rFonts w:ascii="Arial" w:hAnsi="Arial" w:cs="Arial"/>
          <w:b/>
          <w:sz w:val="24"/>
          <w:szCs w:val="24"/>
        </w:rPr>
        <w:t>APPEARENCES</w:t>
      </w:r>
    </w:p>
    <w:p w:rsidR="006601D6" w:rsidRPr="00FA7D34" w:rsidRDefault="006601D6" w:rsidP="00CF18A5">
      <w:pPr>
        <w:pStyle w:val="ListParagraph"/>
        <w:spacing w:line="360" w:lineRule="auto"/>
        <w:ind w:left="4320" w:hanging="4320"/>
        <w:jc w:val="both"/>
        <w:rPr>
          <w:rFonts w:ascii="Arial" w:hAnsi="Arial" w:cs="Arial"/>
          <w:sz w:val="24"/>
          <w:szCs w:val="24"/>
        </w:rPr>
      </w:pPr>
      <w:r w:rsidRPr="00FA7D34">
        <w:rPr>
          <w:rFonts w:ascii="Arial" w:hAnsi="Arial" w:cs="Arial"/>
          <w:sz w:val="24"/>
          <w:szCs w:val="24"/>
        </w:rPr>
        <w:t xml:space="preserve">Counsel for the </w:t>
      </w:r>
      <w:r w:rsidR="00933FD1" w:rsidRPr="00FA7D34">
        <w:rPr>
          <w:rFonts w:ascii="Arial" w:hAnsi="Arial" w:cs="Arial"/>
          <w:sz w:val="24"/>
          <w:szCs w:val="24"/>
        </w:rPr>
        <w:t>Applicants</w:t>
      </w:r>
      <w:r w:rsidRPr="00FA7D34">
        <w:rPr>
          <w:rFonts w:ascii="Arial" w:hAnsi="Arial" w:cs="Arial"/>
          <w:sz w:val="24"/>
          <w:szCs w:val="24"/>
        </w:rPr>
        <w:t>:</w:t>
      </w:r>
      <w:r w:rsidRPr="00FA7D34">
        <w:rPr>
          <w:rFonts w:ascii="Arial" w:hAnsi="Arial" w:cs="Arial"/>
          <w:sz w:val="24"/>
          <w:szCs w:val="24"/>
        </w:rPr>
        <w:tab/>
      </w:r>
      <w:r w:rsidR="007F7F36" w:rsidRPr="00FA7D34">
        <w:rPr>
          <w:rFonts w:ascii="Arial" w:hAnsi="Arial" w:cs="Arial"/>
          <w:sz w:val="24"/>
          <w:szCs w:val="24"/>
        </w:rPr>
        <w:t>Adv.</w:t>
      </w:r>
      <w:r w:rsidR="00261247" w:rsidRPr="00FA7D34">
        <w:rPr>
          <w:rFonts w:ascii="Arial" w:hAnsi="Arial" w:cs="Arial"/>
          <w:sz w:val="24"/>
          <w:szCs w:val="24"/>
        </w:rPr>
        <w:t xml:space="preserve"> RJ Raath SC</w:t>
      </w:r>
      <w:r w:rsidR="00FA7D34" w:rsidRPr="00FA7D34">
        <w:rPr>
          <w:rFonts w:ascii="Arial" w:hAnsi="Arial" w:cs="Arial"/>
          <w:sz w:val="24"/>
          <w:szCs w:val="24"/>
        </w:rPr>
        <w:t xml:space="preserve">, assisted by Adv. D </w:t>
      </w:r>
      <w:r w:rsidR="00261247" w:rsidRPr="00FA7D34">
        <w:rPr>
          <w:rFonts w:ascii="Arial" w:hAnsi="Arial" w:cs="Arial"/>
          <w:sz w:val="24"/>
          <w:szCs w:val="24"/>
        </w:rPr>
        <w:t>Mtsweni</w:t>
      </w:r>
      <w:r w:rsidRPr="00FA7D34">
        <w:rPr>
          <w:rFonts w:ascii="Arial" w:hAnsi="Arial" w:cs="Arial"/>
          <w:sz w:val="24"/>
          <w:szCs w:val="24"/>
        </w:rPr>
        <w:tab/>
      </w:r>
    </w:p>
    <w:p w:rsidR="006601D6" w:rsidRPr="00FA7D34" w:rsidRDefault="006601D6" w:rsidP="00CF18A5">
      <w:pPr>
        <w:pStyle w:val="ListParagraph"/>
        <w:spacing w:line="360" w:lineRule="auto"/>
        <w:ind w:left="0"/>
        <w:jc w:val="both"/>
        <w:rPr>
          <w:rFonts w:ascii="Arial" w:hAnsi="Arial" w:cs="Arial"/>
          <w:sz w:val="24"/>
          <w:szCs w:val="24"/>
          <w:lang w:val="en-ZA"/>
        </w:rPr>
      </w:pPr>
      <w:r w:rsidRPr="00FA7D34">
        <w:rPr>
          <w:rFonts w:ascii="Arial" w:hAnsi="Arial" w:cs="Arial"/>
          <w:sz w:val="24"/>
          <w:szCs w:val="24"/>
        </w:rPr>
        <w:t xml:space="preserve">Attorney for the </w:t>
      </w:r>
      <w:r w:rsidR="00933FD1" w:rsidRPr="00FA7D34">
        <w:rPr>
          <w:rFonts w:ascii="Arial" w:hAnsi="Arial" w:cs="Arial"/>
          <w:sz w:val="24"/>
          <w:szCs w:val="24"/>
        </w:rPr>
        <w:t>Applicants</w:t>
      </w:r>
      <w:r w:rsidR="003737D9" w:rsidRPr="00FA7D34">
        <w:rPr>
          <w:rFonts w:ascii="Arial" w:hAnsi="Arial" w:cs="Arial"/>
          <w:sz w:val="24"/>
          <w:szCs w:val="24"/>
        </w:rPr>
        <w:t>:</w:t>
      </w:r>
      <w:r w:rsidR="003737D9" w:rsidRPr="00FA7D34">
        <w:rPr>
          <w:rFonts w:ascii="Arial" w:hAnsi="Arial" w:cs="Arial"/>
          <w:sz w:val="24"/>
          <w:szCs w:val="24"/>
        </w:rPr>
        <w:tab/>
      </w:r>
      <w:r w:rsidR="003737D9" w:rsidRPr="00FA7D34">
        <w:rPr>
          <w:rFonts w:ascii="Arial" w:hAnsi="Arial" w:cs="Arial"/>
          <w:sz w:val="24"/>
          <w:szCs w:val="24"/>
        </w:rPr>
        <w:tab/>
      </w:r>
      <w:r w:rsidR="00261247" w:rsidRPr="00FA7D34">
        <w:rPr>
          <w:rFonts w:ascii="Arial" w:hAnsi="Arial" w:cs="Arial"/>
          <w:sz w:val="24"/>
          <w:szCs w:val="24"/>
        </w:rPr>
        <w:t xml:space="preserve">Ms. S Zondi, Office of the State Attorney, Pretoria  </w:t>
      </w:r>
    </w:p>
    <w:p w:rsidR="003737D9" w:rsidRPr="00FA7D34" w:rsidRDefault="003737D9" w:rsidP="00CF18A5">
      <w:pPr>
        <w:pStyle w:val="ListParagraph"/>
        <w:spacing w:line="360" w:lineRule="auto"/>
        <w:ind w:left="0"/>
        <w:jc w:val="both"/>
        <w:rPr>
          <w:rFonts w:ascii="Arial" w:hAnsi="Arial" w:cs="Arial"/>
          <w:sz w:val="24"/>
          <w:szCs w:val="24"/>
        </w:rPr>
      </w:pPr>
    </w:p>
    <w:p w:rsidR="00261247" w:rsidRPr="00FA7D34" w:rsidRDefault="00933FD1" w:rsidP="00CF18A5">
      <w:pPr>
        <w:pStyle w:val="XClause1Head"/>
        <w:numPr>
          <w:ilvl w:val="0"/>
          <w:numId w:val="0"/>
        </w:numPr>
        <w:spacing w:before="0" w:after="0" w:line="240" w:lineRule="auto"/>
        <w:rPr>
          <w:rFonts w:ascii="Arial" w:eastAsiaTheme="minorHAnsi" w:hAnsi="Arial" w:cs="Arial"/>
          <w:sz w:val="24"/>
          <w:szCs w:val="24"/>
          <w:lang w:val="en-US"/>
        </w:rPr>
      </w:pPr>
      <w:r w:rsidRPr="00FA7D34">
        <w:rPr>
          <w:rFonts w:ascii="Arial" w:eastAsiaTheme="minorHAnsi" w:hAnsi="Arial" w:cs="Arial"/>
          <w:sz w:val="24"/>
          <w:szCs w:val="24"/>
          <w:lang w:val="en-US"/>
        </w:rPr>
        <w:t xml:space="preserve">Counsel for the </w:t>
      </w:r>
      <w:r w:rsidR="003413F7" w:rsidRPr="00FA7D34">
        <w:rPr>
          <w:rFonts w:ascii="Arial" w:eastAsiaTheme="minorHAnsi" w:hAnsi="Arial" w:cs="Arial"/>
          <w:sz w:val="24"/>
          <w:szCs w:val="24"/>
          <w:lang w:val="en-US"/>
        </w:rPr>
        <w:t>1st</w:t>
      </w:r>
      <w:r w:rsidR="003737D9" w:rsidRPr="00FA7D34">
        <w:rPr>
          <w:rFonts w:ascii="Arial" w:eastAsiaTheme="minorHAnsi" w:hAnsi="Arial" w:cs="Arial"/>
          <w:sz w:val="24"/>
          <w:szCs w:val="24"/>
          <w:lang w:val="en-US"/>
        </w:rPr>
        <w:t xml:space="preserve"> </w:t>
      </w:r>
      <w:r w:rsidRPr="00FA7D34">
        <w:rPr>
          <w:rFonts w:ascii="Arial" w:eastAsiaTheme="minorHAnsi" w:hAnsi="Arial" w:cs="Arial"/>
          <w:sz w:val="24"/>
          <w:szCs w:val="24"/>
          <w:lang w:val="en-US"/>
        </w:rPr>
        <w:t>respondent:</w:t>
      </w:r>
      <w:r w:rsidR="00261247" w:rsidRPr="00FA7D34">
        <w:rPr>
          <w:rFonts w:ascii="Arial" w:eastAsiaTheme="minorHAnsi" w:hAnsi="Arial" w:cs="Arial"/>
          <w:sz w:val="24"/>
          <w:szCs w:val="24"/>
          <w:lang w:val="en-US"/>
        </w:rPr>
        <w:tab/>
      </w:r>
      <w:r w:rsidR="003413F7" w:rsidRPr="00FA7D34">
        <w:rPr>
          <w:rFonts w:ascii="Arial" w:eastAsiaTheme="minorHAnsi" w:hAnsi="Arial" w:cs="Arial"/>
          <w:sz w:val="24"/>
          <w:szCs w:val="24"/>
          <w:lang w:val="en-US"/>
        </w:rPr>
        <w:tab/>
      </w:r>
      <w:r w:rsidR="00261247" w:rsidRPr="00FA7D34">
        <w:rPr>
          <w:rFonts w:ascii="Arial" w:eastAsiaTheme="minorHAnsi" w:hAnsi="Arial" w:cs="Arial"/>
          <w:sz w:val="24"/>
          <w:szCs w:val="24"/>
          <w:lang w:val="en-US"/>
        </w:rPr>
        <w:t>Adv. S Stein SC, assisted by Adv. IB Currie</w:t>
      </w:r>
    </w:p>
    <w:p w:rsidR="00261247" w:rsidRPr="00FA7D34" w:rsidRDefault="00261247" w:rsidP="00CF18A5">
      <w:pPr>
        <w:pStyle w:val="XClause1Head"/>
        <w:numPr>
          <w:ilvl w:val="0"/>
          <w:numId w:val="0"/>
        </w:numPr>
        <w:spacing w:before="0" w:after="0" w:line="240" w:lineRule="auto"/>
        <w:jc w:val="right"/>
        <w:rPr>
          <w:rFonts w:ascii="Arial" w:eastAsiaTheme="minorHAnsi" w:hAnsi="Arial" w:cs="Arial"/>
          <w:sz w:val="24"/>
          <w:szCs w:val="24"/>
          <w:lang w:val="en-US"/>
        </w:rPr>
      </w:pPr>
    </w:p>
    <w:p w:rsidR="003737D9" w:rsidRPr="00FA7D34" w:rsidRDefault="003737D9" w:rsidP="00CF18A5">
      <w:pPr>
        <w:pStyle w:val="ListParagraph"/>
        <w:spacing w:line="360" w:lineRule="auto"/>
        <w:ind w:left="4320" w:hanging="4320"/>
        <w:jc w:val="both"/>
        <w:rPr>
          <w:rFonts w:ascii="Arial" w:hAnsi="Arial" w:cs="Arial"/>
          <w:sz w:val="24"/>
          <w:szCs w:val="24"/>
        </w:rPr>
      </w:pPr>
    </w:p>
    <w:p w:rsidR="003737D9" w:rsidRPr="00FA7D34" w:rsidRDefault="00DC7D2C" w:rsidP="00CF18A5">
      <w:pPr>
        <w:pStyle w:val="ListParagraph"/>
        <w:spacing w:line="360" w:lineRule="auto"/>
        <w:ind w:left="4320" w:hanging="4320"/>
        <w:jc w:val="both"/>
        <w:rPr>
          <w:rFonts w:ascii="Arial" w:hAnsi="Arial" w:cs="Arial"/>
          <w:sz w:val="24"/>
          <w:szCs w:val="24"/>
        </w:rPr>
      </w:pPr>
      <w:r w:rsidRPr="00FA7D34">
        <w:rPr>
          <w:rFonts w:ascii="Arial" w:hAnsi="Arial" w:cs="Arial"/>
          <w:sz w:val="24"/>
          <w:szCs w:val="24"/>
        </w:rPr>
        <w:lastRenderedPageBreak/>
        <w:t xml:space="preserve">Attorney </w:t>
      </w:r>
      <w:r w:rsidR="00933FD1" w:rsidRPr="00FA7D34">
        <w:rPr>
          <w:rFonts w:ascii="Arial" w:hAnsi="Arial" w:cs="Arial"/>
          <w:sz w:val="24"/>
          <w:szCs w:val="24"/>
        </w:rPr>
        <w:t>the</w:t>
      </w:r>
      <w:r w:rsidRPr="00FA7D34">
        <w:rPr>
          <w:rFonts w:ascii="Arial" w:hAnsi="Arial" w:cs="Arial"/>
          <w:sz w:val="24"/>
          <w:szCs w:val="24"/>
        </w:rPr>
        <w:t xml:space="preserve"> </w:t>
      </w:r>
      <w:r w:rsidR="003737D9" w:rsidRPr="00FA7D34">
        <w:rPr>
          <w:rFonts w:ascii="Arial" w:hAnsi="Arial" w:cs="Arial"/>
          <w:sz w:val="24"/>
          <w:szCs w:val="24"/>
        </w:rPr>
        <w:t>1</w:t>
      </w:r>
      <w:r w:rsidR="003737D9" w:rsidRPr="00FA7D34">
        <w:rPr>
          <w:rFonts w:ascii="Arial" w:hAnsi="Arial" w:cs="Arial"/>
          <w:sz w:val="24"/>
          <w:szCs w:val="24"/>
          <w:vertAlign w:val="superscript"/>
        </w:rPr>
        <w:t>st</w:t>
      </w:r>
      <w:r w:rsidR="003737D9" w:rsidRPr="00FA7D34">
        <w:rPr>
          <w:rFonts w:ascii="Arial" w:hAnsi="Arial" w:cs="Arial"/>
          <w:sz w:val="24"/>
          <w:szCs w:val="24"/>
        </w:rPr>
        <w:t xml:space="preserve"> respondent:</w:t>
      </w:r>
      <w:r w:rsidR="00261247" w:rsidRPr="00FA7D34">
        <w:rPr>
          <w:rFonts w:ascii="Arial" w:hAnsi="Arial" w:cs="Arial"/>
          <w:sz w:val="24"/>
          <w:szCs w:val="24"/>
        </w:rPr>
        <w:tab/>
        <w:t>Mr. Alex Eliott, Eliott Attorneys T/A Blackbox Law</w:t>
      </w:r>
      <w:r w:rsidR="00261247" w:rsidRPr="00FA7D34">
        <w:rPr>
          <w:rFonts w:ascii="Arial" w:hAnsi="Arial" w:cs="Arial"/>
          <w:sz w:val="24"/>
          <w:szCs w:val="24"/>
        </w:rPr>
        <w:tab/>
      </w:r>
      <w:r w:rsidR="003737D9" w:rsidRPr="00FA7D34">
        <w:rPr>
          <w:rFonts w:ascii="Arial" w:hAnsi="Arial" w:cs="Arial"/>
          <w:sz w:val="24"/>
          <w:szCs w:val="24"/>
        </w:rPr>
        <w:tab/>
        <w:t xml:space="preserve"> </w:t>
      </w:r>
    </w:p>
    <w:p w:rsidR="006601D6" w:rsidRPr="00FA7D34" w:rsidRDefault="003413F7" w:rsidP="00CF18A5">
      <w:pPr>
        <w:pStyle w:val="ListParagraph"/>
        <w:spacing w:line="360" w:lineRule="auto"/>
        <w:ind w:left="0"/>
        <w:jc w:val="both"/>
        <w:rPr>
          <w:rFonts w:ascii="Arial" w:hAnsi="Arial" w:cs="Arial"/>
          <w:sz w:val="24"/>
          <w:szCs w:val="24"/>
        </w:rPr>
      </w:pPr>
      <w:r w:rsidRPr="00FA7D34">
        <w:rPr>
          <w:rFonts w:ascii="Arial" w:hAnsi="Arial" w:cs="Arial"/>
          <w:sz w:val="24"/>
          <w:szCs w:val="24"/>
        </w:rPr>
        <w:tab/>
      </w:r>
      <w:r w:rsidRPr="00FA7D34">
        <w:rPr>
          <w:rFonts w:ascii="Arial" w:hAnsi="Arial" w:cs="Arial"/>
          <w:sz w:val="24"/>
          <w:szCs w:val="24"/>
        </w:rPr>
        <w:tab/>
      </w:r>
      <w:r w:rsidRPr="00FA7D34">
        <w:rPr>
          <w:rFonts w:ascii="Arial" w:hAnsi="Arial" w:cs="Arial"/>
          <w:sz w:val="24"/>
          <w:szCs w:val="24"/>
        </w:rPr>
        <w:tab/>
      </w:r>
      <w:r w:rsidRPr="00FA7D34">
        <w:rPr>
          <w:rFonts w:ascii="Arial" w:hAnsi="Arial" w:cs="Arial"/>
          <w:sz w:val="24"/>
          <w:szCs w:val="24"/>
        </w:rPr>
        <w:tab/>
      </w:r>
      <w:r w:rsidR="006601D6" w:rsidRPr="00FA7D34">
        <w:rPr>
          <w:rFonts w:ascii="Arial" w:hAnsi="Arial" w:cs="Arial"/>
          <w:sz w:val="24"/>
          <w:szCs w:val="24"/>
        </w:rPr>
        <w:tab/>
      </w:r>
      <w:r w:rsidR="006601D6" w:rsidRPr="00FA7D34">
        <w:rPr>
          <w:rFonts w:ascii="Arial" w:hAnsi="Arial" w:cs="Arial"/>
          <w:sz w:val="24"/>
          <w:szCs w:val="24"/>
        </w:rPr>
        <w:tab/>
        <w:t xml:space="preserve"> </w:t>
      </w:r>
    </w:p>
    <w:p w:rsidR="006601D6" w:rsidRPr="00FA7D34" w:rsidRDefault="006601D6" w:rsidP="00CF18A5">
      <w:pPr>
        <w:pStyle w:val="ListParagraph"/>
        <w:spacing w:line="480" w:lineRule="auto"/>
        <w:ind w:left="0"/>
        <w:jc w:val="both"/>
        <w:rPr>
          <w:rFonts w:ascii="Arial" w:hAnsi="Arial" w:cs="Arial"/>
          <w:sz w:val="24"/>
          <w:szCs w:val="24"/>
        </w:rPr>
      </w:pPr>
      <w:r w:rsidRPr="00FA7D34">
        <w:rPr>
          <w:rFonts w:ascii="Arial" w:hAnsi="Arial" w:cs="Arial"/>
          <w:sz w:val="24"/>
          <w:szCs w:val="24"/>
        </w:rPr>
        <w:t xml:space="preserve">Date of hearing: </w:t>
      </w:r>
      <w:r w:rsidRPr="00FA7D34">
        <w:rPr>
          <w:rFonts w:ascii="Arial" w:hAnsi="Arial" w:cs="Arial"/>
          <w:sz w:val="24"/>
          <w:szCs w:val="24"/>
        </w:rPr>
        <w:tab/>
      </w:r>
      <w:r w:rsidRPr="00FA7D34">
        <w:rPr>
          <w:rFonts w:ascii="Arial" w:hAnsi="Arial" w:cs="Arial"/>
          <w:sz w:val="24"/>
          <w:szCs w:val="24"/>
        </w:rPr>
        <w:tab/>
      </w:r>
      <w:r w:rsidRPr="00FA7D34">
        <w:rPr>
          <w:rFonts w:ascii="Arial" w:hAnsi="Arial" w:cs="Arial"/>
          <w:sz w:val="24"/>
          <w:szCs w:val="24"/>
        </w:rPr>
        <w:tab/>
      </w:r>
      <w:r w:rsidRPr="00FA7D34">
        <w:rPr>
          <w:rFonts w:ascii="Arial" w:hAnsi="Arial" w:cs="Arial"/>
          <w:sz w:val="24"/>
          <w:szCs w:val="24"/>
        </w:rPr>
        <w:tab/>
      </w:r>
      <w:r w:rsidR="00261247" w:rsidRPr="00FA7D34">
        <w:rPr>
          <w:rFonts w:ascii="Arial" w:hAnsi="Arial" w:cs="Arial"/>
          <w:sz w:val="24"/>
          <w:szCs w:val="24"/>
        </w:rPr>
        <w:t>16 May 2022</w:t>
      </w:r>
    </w:p>
    <w:p w:rsidR="006601D6" w:rsidRPr="00FA7D34" w:rsidRDefault="00C2675E" w:rsidP="00CF18A5">
      <w:pPr>
        <w:pStyle w:val="ListParagraph"/>
        <w:spacing w:line="480" w:lineRule="auto"/>
        <w:ind w:left="0"/>
        <w:jc w:val="both"/>
        <w:rPr>
          <w:rFonts w:ascii="Arial" w:hAnsi="Arial" w:cs="Arial"/>
          <w:sz w:val="24"/>
          <w:szCs w:val="24"/>
        </w:rPr>
      </w:pPr>
      <w:r w:rsidRPr="00FA7D34">
        <w:rPr>
          <w:rFonts w:ascii="Arial" w:hAnsi="Arial" w:cs="Arial"/>
          <w:sz w:val="24"/>
          <w:szCs w:val="24"/>
        </w:rPr>
        <w:t>Date of j</w:t>
      </w:r>
      <w:r w:rsidR="00CF02BE" w:rsidRPr="00FA7D34">
        <w:rPr>
          <w:rFonts w:ascii="Arial" w:hAnsi="Arial" w:cs="Arial"/>
          <w:sz w:val="24"/>
          <w:szCs w:val="24"/>
        </w:rPr>
        <w:t>udgment</w:t>
      </w:r>
      <w:r w:rsidR="006601D6" w:rsidRPr="00FA7D34">
        <w:rPr>
          <w:rFonts w:ascii="Arial" w:hAnsi="Arial" w:cs="Arial"/>
          <w:sz w:val="24"/>
          <w:szCs w:val="24"/>
        </w:rPr>
        <w:t>:</w:t>
      </w:r>
      <w:r w:rsidR="006601D6" w:rsidRPr="00FA7D34">
        <w:rPr>
          <w:rFonts w:ascii="Arial" w:hAnsi="Arial" w:cs="Arial"/>
          <w:sz w:val="24"/>
          <w:szCs w:val="24"/>
        </w:rPr>
        <w:tab/>
        <w:t xml:space="preserve"> </w:t>
      </w:r>
      <w:r w:rsidR="006601D6" w:rsidRPr="00FA7D34">
        <w:rPr>
          <w:rFonts w:ascii="Arial" w:hAnsi="Arial" w:cs="Arial"/>
          <w:sz w:val="24"/>
          <w:szCs w:val="24"/>
        </w:rPr>
        <w:tab/>
        <w:t xml:space="preserve">  </w:t>
      </w:r>
      <w:r w:rsidR="00FA7D34" w:rsidRPr="00FA7D34">
        <w:rPr>
          <w:rFonts w:ascii="Arial" w:hAnsi="Arial" w:cs="Arial"/>
          <w:sz w:val="24"/>
          <w:szCs w:val="24"/>
        </w:rPr>
        <w:tab/>
      </w:r>
      <w:r w:rsidR="00FA7D34" w:rsidRPr="00FA7D34">
        <w:rPr>
          <w:rFonts w:ascii="Arial" w:hAnsi="Arial" w:cs="Arial"/>
          <w:sz w:val="24"/>
          <w:szCs w:val="24"/>
        </w:rPr>
        <w:tab/>
      </w:r>
      <w:r w:rsidR="00FB14A0">
        <w:rPr>
          <w:rFonts w:ascii="Arial" w:hAnsi="Arial" w:cs="Arial"/>
          <w:sz w:val="24"/>
          <w:szCs w:val="24"/>
        </w:rPr>
        <w:t>19 April</w:t>
      </w:r>
      <w:r w:rsidR="00390586">
        <w:rPr>
          <w:rFonts w:ascii="Arial" w:hAnsi="Arial" w:cs="Arial"/>
          <w:sz w:val="24"/>
          <w:szCs w:val="24"/>
        </w:rPr>
        <w:t xml:space="preserve"> </w:t>
      </w:r>
      <w:r w:rsidR="00587215">
        <w:rPr>
          <w:rFonts w:ascii="Arial" w:hAnsi="Arial" w:cs="Arial"/>
          <w:sz w:val="24"/>
          <w:szCs w:val="24"/>
        </w:rPr>
        <w:t>2023</w:t>
      </w:r>
    </w:p>
    <w:p w:rsidR="003E456B" w:rsidRPr="00CF18A5" w:rsidRDefault="003E456B" w:rsidP="003E456B">
      <w:pPr>
        <w:spacing w:after="0" w:line="480" w:lineRule="auto"/>
        <w:jc w:val="both"/>
        <w:rPr>
          <w:rStyle w:val="s2"/>
          <w:rFonts w:ascii="Arial" w:eastAsia="Times New Roman" w:hAnsi="Arial" w:cs="Arial"/>
          <w:b/>
          <w:color w:val="000000"/>
          <w:sz w:val="24"/>
          <w:szCs w:val="24"/>
        </w:rPr>
      </w:pPr>
    </w:p>
    <w:p w:rsidR="006601D6" w:rsidRPr="00FA7D34" w:rsidRDefault="003E456B" w:rsidP="00FB14A0">
      <w:pPr>
        <w:tabs>
          <w:tab w:val="left" w:pos="709"/>
          <w:tab w:val="left" w:pos="1560"/>
          <w:tab w:val="right" w:pos="8931"/>
        </w:tabs>
        <w:spacing w:after="480" w:line="480" w:lineRule="auto"/>
        <w:jc w:val="both"/>
        <w:rPr>
          <w:rFonts w:ascii="Arial" w:hAnsi="Arial" w:cs="Arial"/>
          <w:sz w:val="24"/>
          <w:szCs w:val="24"/>
        </w:rPr>
      </w:pPr>
      <w:r w:rsidRPr="00FA7D34">
        <w:rPr>
          <w:rFonts w:ascii="Arial" w:eastAsia="Times New Roman" w:hAnsi="Arial" w:cs="Arial"/>
          <w:b/>
          <w:i/>
          <w:sz w:val="24"/>
          <w:szCs w:val="24"/>
          <w:lang w:eastAsia="en-GB"/>
        </w:rPr>
        <w:t>Mode of delivery:</w:t>
      </w:r>
      <w:r w:rsidRPr="00FA7D34">
        <w:rPr>
          <w:rFonts w:ascii="Arial" w:eastAsia="Times New Roman" w:hAnsi="Arial" w:cs="Arial"/>
          <w:i/>
          <w:sz w:val="24"/>
          <w:szCs w:val="24"/>
          <w:lang w:eastAsia="en-GB"/>
        </w:rPr>
        <w:t xml:space="preserve"> this judgment is </w:t>
      </w:r>
      <w:r w:rsidRPr="00FA7D34">
        <w:rPr>
          <w:rFonts w:ascii="Arial" w:eastAsia="Times New Roman" w:hAnsi="Arial" w:cs="Arial"/>
          <w:i/>
          <w:color w:val="222222"/>
          <w:sz w:val="24"/>
          <w:szCs w:val="24"/>
          <w:lang w:eastAsia="en-ZA"/>
        </w:rPr>
        <w:t>handed down by sending it by email to the parties’ legal representatives</w:t>
      </w:r>
      <w:r w:rsidR="00FB14A0">
        <w:rPr>
          <w:rFonts w:ascii="Arial" w:eastAsia="Times New Roman" w:hAnsi="Arial" w:cs="Arial"/>
          <w:i/>
          <w:color w:val="222222"/>
          <w:sz w:val="24"/>
          <w:szCs w:val="24"/>
          <w:lang w:eastAsia="en-ZA"/>
        </w:rPr>
        <w:t>,</w:t>
      </w:r>
      <w:r w:rsidRPr="00FA7D34">
        <w:rPr>
          <w:rFonts w:ascii="Arial" w:eastAsia="Times New Roman" w:hAnsi="Arial" w:cs="Arial"/>
          <w:i/>
          <w:color w:val="222222"/>
          <w:sz w:val="24"/>
          <w:szCs w:val="24"/>
          <w:lang w:eastAsia="en-ZA"/>
        </w:rPr>
        <w:t xml:space="preserve"> loading on Caselines</w:t>
      </w:r>
      <w:r w:rsidR="00FB14A0">
        <w:rPr>
          <w:rFonts w:ascii="Arial" w:eastAsia="Times New Roman" w:hAnsi="Arial" w:cs="Arial"/>
          <w:i/>
          <w:color w:val="222222"/>
          <w:sz w:val="24"/>
          <w:szCs w:val="24"/>
          <w:lang w:eastAsia="en-ZA"/>
        </w:rPr>
        <w:t xml:space="preserve"> and release to SAFLII and AFRICALII</w:t>
      </w:r>
      <w:r w:rsidRPr="00FA7D34">
        <w:rPr>
          <w:rFonts w:ascii="Arial" w:eastAsia="Times New Roman" w:hAnsi="Arial" w:cs="Arial"/>
          <w:i/>
          <w:color w:val="222222"/>
          <w:sz w:val="24"/>
          <w:szCs w:val="24"/>
          <w:lang w:eastAsia="en-ZA"/>
        </w:rPr>
        <w:t xml:space="preserve">. The date and time for delivery is deemed to be </w:t>
      </w:r>
      <w:r>
        <w:rPr>
          <w:rFonts w:ascii="Arial" w:eastAsia="Times New Roman" w:hAnsi="Arial" w:cs="Arial"/>
          <w:i/>
          <w:color w:val="222222"/>
          <w:sz w:val="24"/>
          <w:szCs w:val="24"/>
          <w:lang w:eastAsia="en-ZA"/>
        </w:rPr>
        <w:t>10 am.</w:t>
      </w:r>
      <w:r w:rsidR="00FB14A0">
        <w:rPr>
          <w:rFonts w:ascii="Arial" w:eastAsia="Times New Roman" w:hAnsi="Arial" w:cs="Arial"/>
          <w:i/>
          <w:color w:val="222222"/>
          <w:sz w:val="24"/>
          <w:szCs w:val="24"/>
          <w:lang w:eastAsia="en-ZA"/>
        </w:rPr>
        <w:t xml:space="preserve"> </w:t>
      </w:r>
    </w:p>
    <w:sectPr w:rsidR="006601D6" w:rsidRPr="00FA7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75" w:rsidRDefault="00E04875" w:rsidP="00C2675E">
      <w:pPr>
        <w:spacing w:after="0" w:line="240" w:lineRule="auto"/>
      </w:pPr>
      <w:r>
        <w:separator/>
      </w:r>
    </w:p>
  </w:endnote>
  <w:endnote w:type="continuationSeparator" w:id="0">
    <w:p w:rsidR="00E04875" w:rsidRDefault="00E04875" w:rsidP="00C2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75" w:rsidRDefault="00E04875" w:rsidP="00C2675E">
      <w:pPr>
        <w:spacing w:after="0" w:line="240" w:lineRule="auto"/>
      </w:pPr>
      <w:r>
        <w:separator/>
      </w:r>
    </w:p>
  </w:footnote>
  <w:footnote w:type="continuationSeparator" w:id="0">
    <w:p w:rsidR="00E04875" w:rsidRDefault="00E04875" w:rsidP="00C2675E">
      <w:pPr>
        <w:spacing w:after="0" w:line="240" w:lineRule="auto"/>
      </w:pPr>
      <w:r>
        <w:continuationSeparator/>
      </w:r>
    </w:p>
  </w:footnote>
  <w:footnote w:id="1">
    <w:p w:rsidR="00AE7C7A" w:rsidRPr="00AE7C7A" w:rsidRDefault="00AE7C7A">
      <w:pPr>
        <w:pStyle w:val="FootnoteText"/>
        <w:rPr>
          <w:lang w:val="en-GB"/>
        </w:rPr>
      </w:pPr>
      <w:r>
        <w:rPr>
          <w:rStyle w:val="FootnoteReference"/>
        </w:rPr>
        <w:footnoteRef/>
      </w:r>
      <w:r>
        <w:t xml:space="preserve"> </w:t>
      </w:r>
      <w:r>
        <w:rPr>
          <w:lang w:val="en-GB"/>
        </w:rPr>
        <w:t xml:space="preserve">Please quote this provision here. </w:t>
      </w:r>
    </w:p>
  </w:footnote>
  <w:footnote w:id="2">
    <w:p w:rsidR="00AE7C7A" w:rsidRPr="00AE7C7A" w:rsidRDefault="00AE7C7A">
      <w:pPr>
        <w:pStyle w:val="FootnoteText"/>
        <w:rPr>
          <w:lang w:val="en-GB"/>
        </w:rPr>
      </w:pPr>
      <w:r>
        <w:rPr>
          <w:rStyle w:val="FootnoteReference"/>
        </w:rPr>
        <w:footnoteRef/>
      </w:r>
      <w:r>
        <w:t xml:space="preserve"> </w:t>
      </w:r>
      <w:r>
        <w:rPr>
          <w:lang w:val="en-GB"/>
        </w:rPr>
        <w:t xml:space="preserve">Please quote this provision here. </w:t>
      </w:r>
    </w:p>
  </w:footnote>
  <w:footnote w:id="3">
    <w:p w:rsidR="00AE7C7A" w:rsidRPr="00AE7C7A" w:rsidRDefault="00AE7C7A">
      <w:pPr>
        <w:pStyle w:val="FootnoteText"/>
        <w:rPr>
          <w:lang w:val="en-GB"/>
        </w:rPr>
      </w:pPr>
      <w:r>
        <w:rPr>
          <w:rStyle w:val="FootnoteReference"/>
        </w:rPr>
        <w:footnoteRef/>
      </w:r>
      <w:r>
        <w:t xml:space="preserve"> </w:t>
      </w:r>
      <w:r>
        <w:rPr>
          <w:lang w:val="en-GB"/>
        </w:rPr>
        <w:t xml:space="preserve">Please quote this provision here. </w:t>
      </w:r>
    </w:p>
  </w:footnote>
  <w:footnote w:id="4">
    <w:p w:rsidR="0064577A" w:rsidRPr="00EF6EC8" w:rsidRDefault="0064577A">
      <w:pPr>
        <w:pStyle w:val="FootnoteText"/>
        <w:rPr>
          <w:lang w:val="en-GB"/>
        </w:rPr>
      </w:pPr>
      <w:r>
        <w:rPr>
          <w:rStyle w:val="FootnoteReference"/>
        </w:rPr>
        <w:footnoteRef/>
      </w:r>
      <w:r>
        <w:t xml:space="preserve"> </w:t>
      </w:r>
      <w:r>
        <w:rPr>
          <w:lang w:val="en-GB"/>
        </w:rPr>
        <w:t>Act 74 of 1996.</w:t>
      </w:r>
    </w:p>
  </w:footnote>
  <w:footnote w:id="5">
    <w:p w:rsidR="0064577A" w:rsidRPr="00EF6EC8" w:rsidRDefault="0064577A" w:rsidP="00EF6EC8">
      <w:pPr>
        <w:pStyle w:val="FootnoteText"/>
        <w:rPr>
          <w:lang w:val="en-GB"/>
        </w:rPr>
      </w:pPr>
      <w:r>
        <w:rPr>
          <w:rStyle w:val="FootnoteReference"/>
        </w:rPr>
        <w:footnoteRef/>
      </w:r>
      <w:r>
        <w:t xml:space="preserve"> </w:t>
      </w:r>
      <w:r>
        <w:rPr>
          <w:lang w:val="en-GB"/>
        </w:rPr>
        <w:t xml:space="preserve">Published on </w:t>
      </w:r>
      <w:r w:rsidRPr="00CC773F">
        <w:rPr>
          <w:rStyle w:val="s1"/>
          <w:rFonts w:ascii="Arial" w:hAnsi="Arial" w:cs="Arial"/>
          <w:color w:val="000000"/>
        </w:rPr>
        <w:t>24 July 2017</w:t>
      </w:r>
      <w:r>
        <w:rPr>
          <w:rStyle w:val="s1"/>
          <w:rFonts w:ascii="Arial" w:hAnsi="Arial" w:cs="Arial"/>
          <w:color w:val="000000"/>
          <w:lang w:val="en-GB"/>
        </w:rPr>
        <w:t xml:space="preserve"> in </w:t>
      </w:r>
      <w:r w:rsidRPr="00D47B04">
        <w:rPr>
          <w:rStyle w:val="s1"/>
          <w:rFonts w:ascii="Arial" w:hAnsi="Arial" w:cs="Arial"/>
          <w:color w:val="000000"/>
          <w:lang w:val="en-GB"/>
        </w:rPr>
        <w:t>Government Gazette number 41000.</w:t>
      </w:r>
    </w:p>
  </w:footnote>
  <w:footnote w:id="6">
    <w:p w:rsidR="0064577A" w:rsidRPr="00255535" w:rsidRDefault="0064577A" w:rsidP="00EF6EC8">
      <w:pPr>
        <w:pStyle w:val="FootnoteText"/>
      </w:pPr>
      <w:r>
        <w:rPr>
          <w:rStyle w:val="FootnoteReference"/>
          <w:rFonts w:eastAsiaTheme="majorEastAsia"/>
        </w:rPr>
        <w:footnoteRef/>
      </w:r>
      <w:r>
        <w:t xml:space="preserve"> S</w:t>
      </w:r>
      <w:r w:rsidRPr="00255535">
        <w:t xml:space="preserve"> 4(1)(a)</w:t>
      </w:r>
      <w:r>
        <w:t xml:space="preserve">, </w:t>
      </w:r>
      <w:r w:rsidRPr="00255535">
        <w:t>(b)</w:t>
      </w:r>
      <w:r>
        <w:t xml:space="preserve"> and (c)(i) of the SIU Act.</w:t>
      </w:r>
    </w:p>
  </w:footnote>
  <w:footnote w:id="7">
    <w:p w:rsidR="00D552D9" w:rsidRPr="00D552D9" w:rsidRDefault="00D552D9">
      <w:pPr>
        <w:pStyle w:val="FootnoteText"/>
        <w:rPr>
          <w:lang w:val="en-GB"/>
        </w:rPr>
      </w:pPr>
      <w:r>
        <w:rPr>
          <w:rStyle w:val="FootnoteReference"/>
        </w:rPr>
        <w:footnoteRef/>
      </w:r>
      <w:r>
        <w:t xml:space="preserve"> </w:t>
      </w:r>
      <w:r>
        <w:rPr>
          <w:lang w:val="en-GB"/>
        </w:rPr>
        <w:t>Act 74 of 1996.</w:t>
      </w:r>
    </w:p>
  </w:footnote>
  <w:footnote w:id="8">
    <w:p w:rsidR="0064577A" w:rsidRPr="00D47B04" w:rsidRDefault="0064577A">
      <w:pPr>
        <w:pStyle w:val="FootnoteText"/>
        <w:rPr>
          <w:lang w:val="en-GB"/>
        </w:rPr>
      </w:pPr>
      <w:r>
        <w:rPr>
          <w:rStyle w:val="FootnoteReference"/>
        </w:rPr>
        <w:footnoteRef/>
      </w:r>
      <w:r>
        <w:t xml:space="preserve"> </w:t>
      </w:r>
      <w:r w:rsidRPr="00D47B04">
        <w:rPr>
          <w:i/>
        </w:rPr>
        <w:t>Ledla Structural Development (Pty) Ltd and Others v Special Investigating Unit</w:t>
      </w:r>
      <w:r>
        <w:t xml:space="preserve"> [2023] ZACC 8</w:t>
      </w:r>
      <w:r>
        <w:rPr>
          <w:lang w:val="en-GB"/>
        </w:rPr>
        <w:t>.</w:t>
      </w:r>
    </w:p>
  </w:footnote>
  <w:footnote w:id="9">
    <w:p w:rsidR="0064577A" w:rsidRPr="009348FA" w:rsidRDefault="0064577A" w:rsidP="00CF18A5">
      <w:pPr>
        <w:pStyle w:val="FootnoteText"/>
        <w:rPr>
          <w:lang w:val="en-GB"/>
        </w:rPr>
      </w:pPr>
      <w:r>
        <w:rPr>
          <w:rStyle w:val="FootnoteReference"/>
        </w:rPr>
        <w:footnoteRef/>
      </w:r>
      <w:r>
        <w:t xml:space="preserve"> </w:t>
      </w:r>
      <w:r>
        <w:rPr>
          <w:lang w:val="en-GB"/>
        </w:rPr>
        <w:t>Act 126 of 1994.</w:t>
      </w:r>
    </w:p>
  </w:footnote>
  <w:footnote w:id="10">
    <w:p w:rsidR="004F347A" w:rsidRPr="00505D60" w:rsidRDefault="004F347A" w:rsidP="004F347A">
      <w:pPr>
        <w:pStyle w:val="FootnoteText"/>
        <w:rPr>
          <w:lang w:val="en-GB"/>
        </w:rPr>
      </w:pPr>
      <w:r>
        <w:rPr>
          <w:rStyle w:val="FootnoteReference"/>
        </w:rPr>
        <w:footnoteRef/>
      </w:r>
      <w:r>
        <w:t xml:space="preserve"> </w:t>
      </w:r>
      <w:r>
        <w:rPr>
          <w:lang w:val="en-GB"/>
        </w:rPr>
        <w:t>Section 172(1) of the Constitution.</w:t>
      </w:r>
    </w:p>
  </w:footnote>
  <w:footnote w:id="11">
    <w:p w:rsidR="004F347A" w:rsidRPr="004F347A" w:rsidRDefault="004F347A">
      <w:pPr>
        <w:pStyle w:val="FootnoteText"/>
        <w:rPr>
          <w:lang w:val="en-GB"/>
        </w:rPr>
      </w:pPr>
      <w:r>
        <w:rPr>
          <w:rStyle w:val="FootnoteReference"/>
        </w:rPr>
        <w:footnoteRef/>
      </w:r>
      <w:r>
        <w:t xml:space="preserve"> </w:t>
      </w:r>
      <w:r w:rsidRPr="00523BE1">
        <w:rPr>
          <w:rFonts w:cstheme="minorHAnsi"/>
          <w:lang w:val="en-GB"/>
        </w:rPr>
        <w:t xml:space="preserve">See </w:t>
      </w:r>
      <w:r>
        <w:rPr>
          <w:rFonts w:cstheme="minorHAnsi"/>
          <w:i/>
        </w:rPr>
        <w:t>Plascon Evans Paints Limited v</w:t>
      </w:r>
      <w:r w:rsidRPr="00523BE1">
        <w:rPr>
          <w:rFonts w:cstheme="minorHAnsi"/>
          <w:i/>
        </w:rPr>
        <w:t xml:space="preserve"> Van Reibeeck Paints (Pty) Limited</w:t>
      </w:r>
      <w:r>
        <w:rPr>
          <w:rFonts w:cstheme="minorHAnsi"/>
        </w:rPr>
        <w:t xml:space="preserve"> 1984 (3) SA</w:t>
      </w:r>
      <w:r w:rsidRPr="00523BE1">
        <w:rPr>
          <w:rFonts w:cstheme="minorHAnsi"/>
        </w:rPr>
        <w:t xml:space="preserve"> 623 (A)</w:t>
      </w:r>
      <w:r>
        <w:rPr>
          <w:rFonts w:cstheme="minorHAnsi"/>
        </w:rPr>
        <w:t xml:space="preserve"> and </w:t>
      </w:r>
      <w:r w:rsidRPr="00523BE1">
        <w:rPr>
          <w:rFonts w:cstheme="minorHAnsi"/>
          <w:i/>
        </w:rPr>
        <w:t>Ro</w:t>
      </w:r>
      <w:r>
        <w:rPr>
          <w:rFonts w:cstheme="minorHAnsi"/>
          <w:i/>
        </w:rPr>
        <w:t>om Hire Co (Pty) Limited V Jepp</w:t>
      </w:r>
      <w:r w:rsidRPr="00523BE1">
        <w:rPr>
          <w:rFonts w:cstheme="minorHAnsi"/>
          <w:i/>
        </w:rPr>
        <w:t>e Street Mansions (Pty) Limited</w:t>
      </w:r>
      <w:r w:rsidRPr="00523BE1">
        <w:rPr>
          <w:rFonts w:cstheme="minorHAnsi"/>
        </w:rPr>
        <w:t xml:space="preserve"> 1949 (3) SA 1155 (T) AT 1163</w:t>
      </w:r>
      <w:r>
        <w:rPr>
          <w:rFonts w:cstheme="minorHAnsi"/>
        </w:rPr>
        <w:t xml:space="preserve">. </w:t>
      </w:r>
    </w:p>
  </w:footnote>
  <w:footnote w:id="12">
    <w:p w:rsidR="0064577A" w:rsidRPr="009103B0" w:rsidRDefault="0064577A" w:rsidP="00F83999">
      <w:pPr>
        <w:pStyle w:val="FootnoteText"/>
        <w:jc w:val="both"/>
        <w:rPr>
          <w:lang w:val="en-GB"/>
        </w:rPr>
      </w:pPr>
      <w:r>
        <w:rPr>
          <w:rStyle w:val="FootnoteReference"/>
        </w:rPr>
        <w:footnoteRef/>
      </w:r>
      <w:r>
        <w:t xml:space="preserve"> </w:t>
      </w:r>
      <w:r>
        <w:rPr>
          <w:lang w:val="en-GB"/>
        </w:rPr>
        <w:t>Act 3 of 2000.</w:t>
      </w:r>
    </w:p>
  </w:footnote>
  <w:footnote w:id="13">
    <w:p w:rsidR="0064577A" w:rsidRPr="00A46208" w:rsidRDefault="0064577A" w:rsidP="00F83999">
      <w:pPr>
        <w:pStyle w:val="FootnoteText"/>
        <w:jc w:val="both"/>
        <w:rPr>
          <w:rFonts w:ascii="Arial" w:hAnsi="Arial" w:cs="Arial"/>
          <w:lang w:val="en-ZA"/>
        </w:rPr>
      </w:pPr>
      <w:r w:rsidRPr="00A46208">
        <w:rPr>
          <w:rStyle w:val="FootnoteReference"/>
          <w:rFonts w:ascii="Arial" w:hAnsi="Arial"/>
        </w:rPr>
        <w:footnoteRef/>
      </w:r>
      <w:bookmarkStart w:id="28" w:name="_Hlk115336097"/>
      <w:bookmarkStart w:id="29" w:name="_Hlk115336260"/>
      <w:r>
        <w:rPr>
          <w:rFonts w:ascii="Arial" w:hAnsi="Arial" w:cs="Arial"/>
          <w:i/>
          <w:iCs/>
          <w:lang w:val="en-ZA"/>
        </w:rPr>
        <w:t xml:space="preserve"> </w:t>
      </w:r>
      <w:r w:rsidRPr="00A46208">
        <w:rPr>
          <w:rFonts w:ascii="Arial" w:hAnsi="Arial" w:cs="Arial"/>
          <w:i/>
          <w:iCs/>
          <w:lang w:val="en-ZA"/>
        </w:rPr>
        <w:t>Buffalo City Metropolitan Municipality v Asla Construction (Pty) Limited</w:t>
      </w:r>
      <w:r w:rsidRPr="00A46208">
        <w:rPr>
          <w:rFonts w:ascii="Arial" w:hAnsi="Arial" w:cs="Arial"/>
        </w:rPr>
        <w:t xml:space="preserve"> </w:t>
      </w:r>
      <w:bookmarkEnd w:id="28"/>
      <w:r w:rsidRPr="00A46208">
        <w:rPr>
          <w:rFonts w:ascii="Arial" w:hAnsi="Arial" w:cs="Arial"/>
        </w:rPr>
        <w:t xml:space="preserve">para </w:t>
      </w:r>
      <w:r>
        <w:rPr>
          <w:rFonts w:ascii="Arial" w:hAnsi="Arial" w:cs="Arial"/>
          <w:lang w:val="en-GB"/>
        </w:rPr>
        <w:t>11-12</w:t>
      </w:r>
      <w:bookmarkEnd w:id="29"/>
      <w:r w:rsidRPr="00A46208">
        <w:rPr>
          <w:rFonts w:ascii="Arial" w:hAnsi="Arial" w:cs="Arial"/>
        </w:rPr>
        <w:t>.</w:t>
      </w:r>
    </w:p>
  </w:footnote>
  <w:footnote w:id="14">
    <w:p w:rsidR="0064577A" w:rsidRPr="00C92E59" w:rsidRDefault="0064577A" w:rsidP="00F83999">
      <w:pPr>
        <w:pStyle w:val="FootnoteText"/>
        <w:jc w:val="both"/>
        <w:rPr>
          <w:rFonts w:ascii="Arial" w:hAnsi="Arial" w:cs="Arial"/>
          <w:lang w:val="en-ZA"/>
        </w:rPr>
      </w:pPr>
      <w:r w:rsidRPr="00C92E59">
        <w:rPr>
          <w:rStyle w:val="FootnoteReference"/>
          <w:rFonts w:ascii="Arial" w:hAnsi="Arial"/>
        </w:rPr>
        <w:footnoteRef/>
      </w:r>
      <w:r w:rsidRPr="00C92E59">
        <w:rPr>
          <w:rFonts w:ascii="Arial" w:hAnsi="Arial" w:cs="Arial"/>
        </w:rPr>
        <w:t xml:space="preserve"> </w:t>
      </w:r>
      <w:r w:rsidRPr="00C92E59">
        <w:rPr>
          <w:rFonts w:ascii="Arial" w:hAnsi="Arial" w:cs="Arial"/>
          <w:i/>
          <w:iCs/>
        </w:rPr>
        <w:t>Gqwetha v Transkei Development Corporations Ltd and Others</w:t>
      </w:r>
      <w:r w:rsidRPr="00C92E59">
        <w:rPr>
          <w:rFonts w:ascii="Arial" w:hAnsi="Arial" w:cs="Arial"/>
        </w:rPr>
        <w:t xml:space="preserve"> which was adopted in </w:t>
      </w:r>
      <w:r w:rsidRPr="00C92E59">
        <w:rPr>
          <w:rFonts w:ascii="Arial" w:hAnsi="Arial" w:cs="Arial"/>
          <w:i/>
          <w:iCs/>
        </w:rPr>
        <w:t>Khumalo and Another v Member of the Executive Council for Education: KwaZulu Natal</w:t>
      </w:r>
      <w:r w:rsidRPr="00C92E59">
        <w:rPr>
          <w:rFonts w:ascii="Arial" w:hAnsi="Arial" w:cs="Arial"/>
        </w:rPr>
        <w:t xml:space="preserve"> [2013] ZACC 49; 2014 (3) BCLR 333 (CC); (2014) 35 ILJ 613 (CC); 2014 (5) SA 579 (CC).</w:t>
      </w:r>
    </w:p>
  </w:footnote>
  <w:footnote w:id="15">
    <w:p w:rsidR="0064577A" w:rsidRPr="00C92E59" w:rsidRDefault="0064577A" w:rsidP="00F83999">
      <w:pPr>
        <w:pStyle w:val="FootnoteText"/>
        <w:jc w:val="both"/>
        <w:rPr>
          <w:lang w:val="en-ZA"/>
        </w:rPr>
      </w:pPr>
      <w:r w:rsidRPr="00C92E59">
        <w:rPr>
          <w:rStyle w:val="FootnoteReference"/>
          <w:rFonts w:ascii="Arial" w:hAnsi="Arial"/>
        </w:rPr>
        <w:footnoteRef/>
      </w:r>
      <w:r w:rsidRPr="00C92E59">
        <w:rPr>
          <w:rFonts w:ascii="Arial" w:hAnsi="Arial" w:cs="Arial"/>
        </w:rPr>
        <w:t xml:space="preserve"> </w:t>
      </w:r>
      <w:bookmarkStart w:id="30" w:name="_Hlk115336830"/>
      <w:r w:rsidRPr="00C92E59">
        <w:rPr>
          <w:rFonts w:ascii="Arial" w:hAnsi="Arial" w:cs="Arial"/>
          <w:i/>
          <w:iCs/>
          <w:lang w:val="en-ZA"/>
        </w:rPr>
        <w:t>Buffalo City</w:t>
      </w:r>
      <w:r>
        <w:rPr>
          <w:rFonts w:ascii="Arial" w:hAnsi="Arial" w:cs="Arial"/>
          <w:i/>
          <w:iCs/>
          <w:lang w:val="en-ZA"/>
        </w:rPr>
        <w:t xml:space="preserve"> Metropolitan Municipality see fn8</w:t>
      </w:r>
      <w:r w:rsidRPr="00C92E59">
        <w:rPr>
          <w:rFonts w:ascii="Arial" w:hAnsi="Arial" w:cs="Arial"/>
        </w:rPr>
        <w:t xml:space="preserve"> </w:t>
      </w:r>
      <w:bookmarkEnd w:id="30"/>
      <w:r>
        <w:rPr>
          <w:rFonts w:ascii="Arial" w:hAnsi="Arial" w:cs="Arial"/>
          <w:lang w:val="en-GB"/>
        </w:rPr>
        <w:t xml:space="preserve">at </w:t>
      </w:r>
      <w:r>
        <w:rPr>
          <w:rFonts w:ascii="Arial" w:hAnsi="Arial" w:cs="Arial"/>
        </w:rPr>
        <w:t>para 11-14</w:t>
      </w:r>
      <w:r w:rsidRPr="00C92E59">
        <w:rPr>
          <w:rFonts w:ascii="Arial" w:hAnsi="Arial" w:cs="Arial"/>
        </w:rPr>
        <w:t>.</w:t>
      </w:r>
    </w:p>
  </w:footnote>
  <w:footnote w:id="16">
    <w:p w:rsidR="0064577A" w:rsidRPr="009471C7" w:rsidRDefault="0064577A" w:rsidP="00F83999">
      <w:pPr>
        <w:pStyle w:val="FootnoteText"/>
        <w:jc w:val="both"/>
        <w:rPr>
          <w:lang w:val="en-GB"/>
        </w:rPr>
      </w:pPr>
      <w:r>
        <w:rPr>
          <w:rStyle w:val="FootnoteReference"/>
        </w:rPr>
        <w:footnoteRef/>
      </w:r>
      <w:r>
        <w:t xml:space="preserve"> </w:t>
      </w:r>
      <w:r>
        <w:rPr>
          <w:lang w:val="en-GB"/>
        </w:rPr>
        <w:t>Fn8.</w:t>
      </w:r>
    </w:p>
  </w:footnote>
  <w:footnote w:id="17">
    <w:p w:rsidR="00467E0A" w:rsidRPr="00B831D5" w:rsidRDefault="00467E0A" w:rsidP="00467E0A">
      <w:pPr>
        <w:pStyle w:val="FootnoteText"/>
        <w:rPr>
          <w:rFonts w:ascii="Arial" w:hAnsi="Arial" w:cs="Arial"/>
          <w:lang w:val="en-GB"/>
        </w:rPr>
      </w:pPr>
      <w:r w:rsidRPr="00B831D5">
        <w:rPr>
          <w:rStyle w:val="FootnoteReference"/>
          <w:rFonts w:ascii="Arial" w:hAnsi="Arial"/>
        </w:rPr>
        <w:footnoteRef/>
      </w:r>
      <w:r w:rsidRPr="00B831D5">
        <w:rPr>
          <w:rFonts w:ascii="Arial" w:hAnsi="Arial" w:cs="Arial"/>
        </w:rPr>
        <w:t xml:space="preserve"> </w:t>
      </w:r>
      <w:r w:rsidRPr="00B831D5">
        <w:rPr>
          <w:rFonts w:ascii="Arial" w:hAnsi="Arial" w:cs="Arial"/>
          <w:lang w:val="en-GB"/>
        </w:rPr>
        <w:t xml:space="preserve">See </w:t>
      </w:r>
      <w:r w:rsidRPr="00B831D5">
        <w:rPr>
          <w:rFonts w:ascii="Arial" w:hAnsi="Arial" w:cs="Arial"/>
          <w:i/>
          <w:lang w:val="en-GB"/>
        </w:rPr>
        <w:t>Democratic Alliance v President of the Republic of South Africa and Others</w:t>
      </w:r>
      <w:r w:rsidRPr="00B831D5">
        <w:rPr>
          <w:rFonts w:ascii="Arial" w:hAnsi="Arial" w:cs="Arial"/>
          <w:lang w:val="en-GB"/>
        </w:rPr>
        <w:t xml:space="preserve"> 2013 (1) SA 248 (CC) at para 30.  </w:t>
      </w:r>
    </w:p>
  </w:footnote>
  <w:footnote w:id="18">
    <w:p w:rsidR="00713623" w:rsidRPr="00713623" w:rsidRDefault="00713623">
      <w:pPr>
        <w:pStyle w:val="FootnoteText"/>
        <w:rPr>
          <w:lang w:val="en-GB"/>
        </w:rPr>
      </w:pPr>
      <w:r>
        <w:rPr>
          <w:rStyle w:val="FootnoteReference"/>
        </w:rPr>
        <w:footnoteRef/>
      </w:r>
      <w:r>
        <w:t xml:space="preserve"> </w:t>
      </w:r>
      <w:r>
        <w:rPr>
          <w:lang w:val="en-GB"/>
        </w:rPr>
        <w:t>Add citation.</w:t>
      </w:r>
    </w:p>
  </w:footnote>
  <w:footnote w:id="19">
    <w:p w:rsidR="00052D41" w:rsidRDefault="00052D41" w:rsidP="00052D41">
      <w:pPr>
        <w:pStyle w:val="FootnoteText"/>
      </w:pPr>
      <w:r>
        <w:rPr>
          <w:rStyle w:val="FootnoteReference"/>
        </w:rPr>
        <w:footnoteRef/>
      </w:r>
      <w:r>
        <w:t xml:space="preserve"> </w:t>
      </w:r>
      <w:r>
        <w:rPr>
          <w:lang w:val="en-US"/>
        </w:rPr>
        <w:t>My emphasis.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4577A" w:rsidRDefault="0064577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64D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64D5">
          <w:rPr>
            <w:b/>
            <w:bCs/>
            <w:noProof/>
          </w:rPr>
          <w:t>29</w:t>
        </w:r>
        <w:r>
          <w:rPr>
            <w:b/>
            <w:bCs/>
            <w:sz w:val="24"/>
            <w:szCs w:val="24"/>
          </w:rPr>
          <w:fldChar w:fldCharType="end"/>
        </w:r>
      </w:p>
    </w:sdtContent>
  </w:sdt>
  <w:p w:rsidR="0064577A" w:rsidRDefault="0064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FFFFFFFF"/>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790749"/>
    <w:multiLevelType w:val="multilevel"/>
    <w:tmpl w:val="56FC78FE"/>
    <w:lvl w:ilvl="0">
      <w:start w:val="6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CF4A19"/>
    <w:multiLevelType w:val="multilevel"/>
    <w:tmpl w:val="D7289708"/>
    <w:lvl w:ilvl="0">
      <w:start w:val="22"/>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B3612C"/>
    <w:multiLevelType w:val="multilevel"/>
    <w:tmpl w:val="3DCE8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532919"/>
    <w:multiLevelType w:val="multilevel"/>
    <w:tmpl w:val="6DB2BB86"/>
    <w:name w:val="WP List 132"/>
    <w:lvl w:ilvl="0">
      <w:start w:val="1"/>
      <w:numFmt w:val="decimal"/>
      <w:lvlText w:val="%1."/>
      <w:lvlJc w:val="left"/>
      <w:pPr>
        <w:tabs>
          <w:tab w:val="num" w:pos="4389"/>
        </w:tabs>
        <w:ind w:left="964" w:firstLine="3118"/>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1021"/>
        </w:tabs>
        <w:ind w:left="1944" w:hanging="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3D41DE"/>
    <w:multiLevelType w:val="multilevel"/>
    <w:tmpl w:val="2CE245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AFB13A5"/>
    <w:multiLevelType w:val="multilevel"/>
    <w:tmpl w:val="9408970C"/>
    <w:lvl w:ilvl="0">
      <w:start w:val="6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942E1B"/>
    <w:multiLevelType w:val="multilevel"/>
    <w:tmpl w:val="E3F26520"/>
    <w:lvl w:ilvl="0">
      <w:start w:val="68"/>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3A47A1"/>
    <w:multiLevelType w:val="multilevel"/>
    <w:tmpl w:val="51CA216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4B77D9B"/>
    <w:multiLevelType w:val="multilevel"/>
    <w:tmpl w:val="DF3457C4"/>
    <w:lvl w:ilvl="0">
      <w:start w:val="67"/>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C54413"/>
    <w:multiLevelType w:val="multilevel"/>
    <w:tmpl w:val="8D9634BA"/>
    <w:lvl w:ilvl="0">
      <w:start w:val="4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A393D7B"/>
    <w:multiLevelType w:val="hybridMultilevel"/>
    <w:tmpl w:val="97A2B7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C244A62"/>
    <w:multiLevelType w:val="multilevel"/>
    <w:tmpl w:val="ACD031F4"/>
    <w:lvl w:ilvl="0">
      <w:start w:val="4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4B01DD0"/>
    <w:multiLevelType w:val="multilevel"/>
    <w:tmpl w:val="C65E92B8"/>
    <w:lvl w:ilvl="0">
      <w:start w:val="7"/>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4">
    <w:nsid w:val="55C112AB"/>
    <w:multiLevelType w:val="multilevel"/>
    <w:tmpl w:val="33580264"/>
    <w:lvl w:ilvl="0">
      <w:start w:val="30"/>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A2E5AA5"/>
    <w:multiLevelType w:val="multilevel"/>
    <w:tmpl w:val="76FAB00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CE45FF1"/>
    <w:multiLevelType w:val="multilevel"/>
    <w:tmpl w:val="57CA53C8"/>
    <w:lvl w:ilvl="0">
      <w:start w:val="1"/>
      <w:numFmt w:val="decimal"/>
      <w:pStyle w:val="XClause1Head"/>
      <w:isLgl/>
      <w:lvlText w:val="%1."/>
      <w:lvlJc w:val="left"/>
      <w:pPr>
        <w:tabs>
          <w:tab w:val="num" w:pos="720"/>
        </w:tabs>
        <w:ind w:left="720" w:hanging="720"/>
      </w:pPr>
      <w:rPr>
        <w:rFonts w:hint="default"/>
        <w:b w:val="0"/>
        <w:bCs w:val="0"/>
        <w:sz w:val="26"/>
        <w:szCs w:val="26"/>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sz w:val="26"/>
        <w:szCs w:val="26"/>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7">
    <w:nsid w:val="6495662E"/>
    <w:multiLevelType w:val="multilevel"/>
    <w:tmpl w:val="92DEB578"/>
    <w:lvl w:ilvl="0">
      <w:start w:val="4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54966EB"/>
    <w:multiLevelType w:val="multilevel"/>
    <w:tmpl w:val="492808BE"/>
    <w:lvl w:ilvl="0">
      <w:start w:val="63"/>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7E1CDE"/>
    <w:multiLevelType w:val="multilevel"/>
    <w:tmpl w:val="611CD83A"/>
    <w:lvl w:ilvl="0">
      <w:start w:val="6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AFB6A78"/>
    <w:multiLevelType w:val="hybridMultilevel"/>
    <w:tmpl w:val="782A5DBC"/>
    <w:lvl w:ilvl="0" w:tplc="6D08478C">
      <w:start w:val="1"/>
      <w:numFmt w:val="decimal"/>
      <w:lvlText w:val="[%1]"/>
      <w:lvlJc w:val="right"/>
      <w:pPr>
        <w:ind w:left="720" w:hanging="360"/>
      </w:pPr>
      <w:rPr>
        <w:rFonts w:hint="default"/>
      </w:rPr>
    </w:lvl>
    <w:lvl w:ilvl="1" w:tplc="7868A4AA">
      <w:start w:val="1"/>
      <w:numFmt w:val="decimal"/>
      <w:lvlText w:val="(%2)"/>
      <w:lvlJc w:val="left"/>
      <w:pPr>
        <w:ind w:left="1460" w:hanging="380"/>
      </w:pPr>
      <w:rPr>
        <w:rFonts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8C157AE"/>
    <w:multiLevelType w:val="hybridMultilevel"/>
    <w:tmpl w:val="0C4E91F4"/>
    <w:lvl w:ilvl="0" w:tplc="5F7A3D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5"/>
  </w:num>
  <w:num w:numId="5">
    <w:abstractNumId w:val="13"/>
  </w:num>
  <w:num w:numId="6">
    <w:abstractNumId w:val="8"/>
  </w:num>
  <w:num w:numId="7">
    <w:abstractNumId w:val="16"/>
  </w:num>
  <w:num w:numId="8">
    <w:abstractNumId w:val="21"/>
  </w:num>
  <w:num w:numId="9">
    <w:abstractNumId w:val="6"/>
  </w:num>
  <w:num w:numId="10">
    <w:abstractNumId w:val="18"/>
  </w:num>
  <w:num w:numId="11">
    <w:abstractNumId w:val="14"/>
  </w:num>
  <w:num w:numId="12">
    <w:abstractNumId w:val="19"/>
  </w:num>
  <w:num w:numId="13">
    <w:abstractNumId w:val="9"/>
  </w:num>
  <w:num w:numId="14">
    <w:abstractNumId w:val="4"/>
  </w:num>
  <w:num w:numId="15">
    <w:abstractNumId w:val="11"/>
  </w:num>
  <w:num w:numId="16">
    <w:abstractNumId w:val="7"/>
  </w:num>
  <w:num w:numId="17">
    <w:abstractNumId w:val="2"/>
  </w:num>
  <w:num w:numId="18">
    <w:abstractNumId w:val="17"/>
  </w:num>
  <w:num w:numId="19">
    <w:abstractNumId w:val="12"/>
  </w:num>
  <w:num w:numId="20">
    <w:abstractNumId w:val="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6"/>
    <w:rsid w:val="000046D4"/>
    <w:rsid w:val="0003433F"/>
    <w:rsid w:val="00052D41"/>
    <w:rsid w:val="00065538"/>
    <w:rsid w:val="000813F3"/>
    <w:rsid w:val="00087A68"/>
    <w:rsid w:val="00097D87"/>
    <w:rsid w:val="000A0EA8"/>
    <w:rsid w:val="00110BB9"/>
    <w:rsid w:val="0011491D"/>
    <w:rsid w:val="001171CD"/>
    <w:rsid w:val="00134211"/>
    <w:rsid w:val="001807F9"/>
    <w:rsid w:val="00191654"/>
    <w:rsid w:val="001D409C"/>
    <w:rsid w:val="00246552"/>
    <w:rsid w:val="00261247"/>
    <w:rsid w:val="0027045A"/>
    <w:rsid w:val="00273C95"/>
    <w:rsid w:val="002811F9"/>
    <w:rsid w:val="002A525E"/>
    <w:rsid w:val="002D0BF2"/>
    <w:rsid w:val="002D752F"/>
    <w:rsid w:val="00310964"/>
    <w:rsid w:val="00312830"/>
    <w:rsid w:val="003307D1"/>
    <w:rsid w:val="003413F7"/>
    <w:rsid w:val="003737D9"/>
    <w:rsid w:val="00390586"/>
    <w:rsid w:val="0039461E"/>
    <w:rsid w:val="003B13B3"/>
    <w:rsid w:val="003B4286"/>
    <w:rsid w:val="003E2F16"/>
    <w:rsid w:val="003E3388"/>
    <w:rsid w:val="003E456B"/>
    <w:rsid w:val="0043383A"/>
    <w:rsid w:val="00467E0A"/>
    <w:rsid w:val="00471287"/>
    <w:rsid w:val="004C1CB3"/>
    <w:rsid w:val="004E0A28"/>
    <w:rsid w:val="004E1E8A"/>
    <w:rsid w:val="004F347A"/>
    <w:rsid w:val="00512DEE"/>
    <w:rsid w:val="00515339"/>
    <w:rsid w:val="0053162B"/>
    <w:rsid w:val="00533366"/>
    <w:rsid w:val="00560D50"/>
    <w:rsid w:val="00584F60"/>
    <w:rsid w:val="00587215"/>
    <w:rsid w:val="0059658E"/>
    <w:rsid w:val="005D10F4"/>
    <w:rsid w:val="005E048B"/>
    <w:rsid w:val="005E34D2"/>
    <w:rsid w:val="005E3EA4"/>
    <w:rsid w:val="00607747"/>
    <w:rsid w:val="006416AF"/>
    <w:rsid w:val="0064577A"/>
    <w:rsid w:val="006601D6"/>
    <w:rsid w:val="006672F1"/>
    <w:rsid w:val="0067710A"/>
    <w:rsid w:val="006B0AF6"/>
    <w:rsid w:val="006B2EE3"/>
    <w:rsid w:val="006E35CE"/>
    <w:rsid w:val="006F7624"/>
    <w:rsid w:val="00713623"/>
    <w:rsid w:val="00717571"/>
    <w:rsid w:val="00722DBB"/>
    <w:rsid w:val="00742C92"/>
    <w:rsid w:val="00744AB5"/>
    <w:rsid w:val="0076279C"/>
    <w:rsid w:val="0076688E"/>
    <w:rsid w:val="007B2CDD"/>
    <w:rsid w:val="007B524A"/>
    <w:rsid w:val="007F0179"/>
    <w:rsid w:val="007F7F36"/>
    <w:rsid w:val="00813C0B"/>
    <w:rsid w:val="00841B3C"/>
    <w:rsid w:val="008762F7"/>
    <w:rsid w:val="00882D11"/>
    <w:rsid w:val="008A5270"/>
    <w:rsid w:val="008A7EC4"/>
    <w:rsid w:val="008B7B3C"/>
    <w:rsid w:val="008D6958"/>
    <w:rsid w:val="008D7D73"/>
    <w:rsid w:val="00904F3A"/>
    <w:rsid w:val="009103B0"/>
    <w:rsid w:val="0091549F"/>
    <w:rsid w:val="00923F99"/>
    <w:rsid w:val="0093279E"/>
    <w:rsid w:val="00933FD1"/>
    <w:rsid w:val="00941C88"/>
    <w:rsid w:val="0094657B"/>
    <w:rsid w:val="009471C7"/>
    <w:rsid w:val="0095082C"/>
    <w:rsid w:val="00965A92"/>
    <w:rsid w:val="009842A0"/>
    <w:rsid w:val="0098603B"/>
    <w:rsid w:val="009A392F"/>
    <w:rsid w:val="009A47D4"/>
    <w:rsid w:val="009B569D"/>
    <w:rsid w:val="009C1111"/>
    <w:rsid w:val="009E0B1C"/>
    <w:rsid w:val="00A17A54"/>
    <w:rsid w:val="00A20894"/>
    <w:rsid w:val="00A25498"/>
    <w:rsid w:val="00A41FE5"/>
    <w:rsid w:val="00A541C2"/>
    <w:rsid w:val="00A62B12"/>
    <w:rsid w:val="00A64D0D"/>
    <w:rsid w:val="00AA2546"/>
    <w:rsid w:val="00AA4501"/>
    <w:rsid w:val="00AC161F"/>
    <w:rsid w:val="00AC7557"/>
    <w:rsid w:val="00AD5CA5"/>
    <w:rsid w:val="00AE43D5"/>
    <w:rsid w:val="00AE7C7A"/>
    <w:rsid w:val="00AF2EBD"/>
    <w:rsid w:val="00B02699"/>
    <w:rsid w:val="00B04DFF"/>
    <w:rsid w:val="00B20B39"/>
    <w:rsid w:val="00B32BC6"/>
    <w:rsid w:val="00B5042C"/>
    <w:rsid w:val="00B63126"/>
    <w:rsid w:val="00B753DB"/>
    <w:rsid w:val="00B870D9"/>
    <w:rsid w:val="00B90E89"/>
    <w:rsid w:val="00BB0658"/>
    <w:rsid w:val="00BC7BF0"/>
    <w:rsid w:val="00BD3010"/>
    <w:rsid w:val="00BD4E71"/>
    <w:rsid w:val="00BE0EDA"/>
    <w:rsid w:val="00BF64D5"/>
    <w:rsid w:val="00C2675E"/>
    <w:rsid w:val="00C51346"/>
    <w:rsid w:val="00C51E9C"/>
    <w:rsid w:val="00C8325D"/>
    <w:rsid w:val="00C9161C"/>
    <w:rsid w:val="00CB3C3C"/>
    <w:rsid w:val="00CD35A2"/>
    <w:rsid w:val="00CD56CD"/>
    <w:rsid w:val="00CF02BE"/>
    <w:rsid w:val="00CF18A5"/>
    <w:rsid w:val="00D34AAC"/>
    <w:rsid w:val="00D47B04"/>
    <w:rsid w:val="00D47E19"/>
    <w:rsid w:val="00D552D9"/>
    <w:rsid w:val="00D6009F"/>
    <w:rsid w:val="00D6268A"/>
    <w:rsid w:val="00D722FB"/>
    <w:rsid w:val="00D8605F"/>
    <w:rsid w:val="00DA36AA"/>
    <w:rsid w:val="00DB5A77"/>
    <w:rsid w:val="00DB6D9A"/>
    <w:rsid w:val="00DC7D2C"/>
    <w:rsid w:val="00DD26C3"/>
    <w:rsid w:val="00DF0518"/>
    <w:rsid w:val="00E04875"/>
    <w:rsid w:val="00E60EEA"/>
    <w:rsid w:val="00E64F0D"/>
    <w:rsid w:val="00E76038"/>
    <w:rsid w:val="00E97E6B"/>
    <w:rsid w:val="00EB1BF0"/>
    <w:rsid w:val="00EF57F8"/>
    <w:rsid w:val="00EF6EC8"/>
    <w:rsid w:val="00F11CE3"/>
    <w:rsid w:val="00F23D02"/>
    <w:rsid w:val="00F324A9"/>
    <w:rsid w:val="00F45402"/>
    <w:rsid w:val="00F65991"/>
    <w:rsid w:val="00F7432D"/>
    <w:rsid w:val="00F83527"/>
    <w:rsid w:val="00F83999"/>
    <w:rsid w:val="00F847FC"/>
    <w:rsid w:val="00F85D49"/>
    <w:rsid w:val="00F87313"/>
    <w:rsid w:val="00F90339"/>
    <w:rsid w:val="00FA3123"/>
    <w:rsid w:val="00FA7D34"/>
    <w:rsid w:val="00FB14A0"/>
    <w:rsid w:val="00FC387C"/>
    <w:rsid w:val="00FD65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BE31F-B857-4A8F-B571-992576BA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413F7"/>
    <w:pPr>
      <w:keepNext/>
      <w:keepLines/>
      <w:spacing w:before="40" w:after="0" w:line="480" w:lineRule="auto"/>
      <w:jc w:val="both"/>
      <w:outlineLvl w:val="1"/>
    </w:pPr>
    <w:rPr>
      <w:rFonts w:asciiTheme="majorHAnsi" w:eastAsiaTheme="majorEastAsia" w:hAnsiTheme="majorHAnsi" w:cstheme="majorBidi"/>
      <w:i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D6"/>
    <w:rPr>
      <w:rFonts w:ascii="Tahoma" w:hAnsi="Tahoma" w:cs="Tahoma"/>
      <w:sz w:val="16"/>
      <w:szCs w:val="16"/>
    </w:rPr>
  </w:style>
  <w:style w:type="paragraph" w:customStyle="1" w:styleId="BowNormalAltN">
    <w:name w:val="Bow_Normal Alt+N"/>
    <w:basedOn w:val="Normal"/>
    <w:link w:val="BowNormalAltNChar"/>
    <w:rsid w:val="006601D6"/>
    <w:pPr>
      <w:spacing w:after="0" w:line="240" w:lineRule="auto"/>
    </w:pPr>
    <w:rPr>
      <w:rFonts w:ascii="Arial" w:eastAsiaTheme="minorEastAsia" w:hAnsi="Arial" w:cs="Arial"/>
      <w:sz w:val="24"/>
      <w:szCs w:val="24"/>
      <w:lang w:val="en-US"/>
    </w:rPr>
  </w:style>
  <w:style w:type="character" w:customStyle="1" w:styleId="BowNormalAltNChar">
    <w:name w:val="Bow_Normal Alt+N Char"/>
    <w:basedOn w:val="DefaultParagraphFont"/>
    <w:link w:val="BowNormalAltN"/>
    <w:rsid w:val="006601D6"/>
    <w:rPr>
      <w:rFonts w:ascii="Arial" w:eastAsiaTheme="minorEastAsia" w:hAnsi="Arial" w:cs="Arial"/>
      <w:sz w:val="24"/>
      <w:szCs w:val="24"/>
      <w:lang w:val="en-US"/>
    </w:rPr>
  </w:style>
  <w:style w:type="paragraph" w:styleId="ListParagraph">
    <w:name w:val="List Paragraph"/>
    <w:basedOn w:val="Normal"/>
    <w:uiPriority w:val="34"/>
    <w:qFormat/>
    <w:rsid w:val="006601D6"/>
    <w:pPr>
      <w:spacing w:after="160" w:line="259" w:lineRule="auto"/>
      <w:ind w:left="720"/>
      <w:contextualSpacing/>
    </w:pPr>
    <w:rPr>
      <w:lang w:val="en-US"/>
    </w:rPr>
  </w:style>
  <w:style w:type="table" w:styleId="TableGrid">
    <w:name w:val="Table Grid"/>
    <w:basedOn w:val="TableNormal"/>
    <w:uiPriority w:val="39"/>
    <w:rsid w:val="00C9161C"/>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D2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413F7"/>
    <w:rPr>
      <w:rFonts w:asciiTheme="majorHAnsi" w:eastAsiaTheme="majorEastAsia" w:hAnsiTheme="majorHAnsi" w:cstheme="majorBidi"/>
      <w:iCs/>
      <w:color w:val="365F91" w:themeColor="accent1" w:themeShade="BF"/>
      <w:sz w:val="26"/>
      <w:szCs w:val="26"/>
    </w:rPr>
  </w:style>
  <w:style w:type="paragraph" w:customStyle="1" w:styleId="p3">
    <w:name w:val="p3"/>
    <w:basedOn w:val="Normal"/>
    <w:rsid w:val="009E0B1C"/>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4">
    <w:name w:val="p4"/>
    <w:basedOn w:val="Normal"/>
    <w:rsid w:val="009E0B1C"/>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2">
    <w:name w:val="s2"/>
    <w:basedOn w:val="DefaultParagraphFont"/>
    <w:rsid w:val="009E0B1C"/>
  </w:style>
  <w:style w:type="character" w:customStyle="1" w:styleId="apple-converted-space">
    <w:name w:val="apple-converted-space"/>
    <w:basedOn w:val="DefaultParagraphFont"/>
    <w:rsid w:val="009E0B1C"/>
  </w:style>
  <w:style w:type="character" w:customStyle="1" w:styleId="s3">
    <w:name w:val="s3"/>
    <w:basedOn w:val="DefaultParagraphFont"/>
    <w:rsid w:val="009E0B1C"/>
  </w:style>
  <w:style w:type="character" w:customStyle="1" w:styleId="s4">
    <w:name w:val="s4"/>
    <w:basedOn w:val="DefaultParagraphFont"/>
    <w:rsid w:val="009E0B1C"/>
  </w:style>
  <w:style w:type="character" w:customStyle="1" w:styleId="s5">
    <w:name w:val="s5"/>
    <w:basedOn w:val="DefaultParagraphFont"/>
    <w:rsid w:val="009E0B1C"/>
  </w:style>
  <w:style w:type="paragraph" w:styleId="Header">
    <w:name w:val="header"/>
    <w:basedOn w:val="Normal"/>
    <w:link w:val="HeaderChar"/>
    <w:uiPriority w:val="99"/>
    <w:unhideWhenUsed/>
    <w:rsid w:val="00C26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75E"/>
  </w:style>
  <w:style w:type="paragraph" w:styleId="Footer">
    <w:name w:val="footer"/>
    <w:basedOn w:val="Normal"/>
    <w:link w:val="FooterChar"/>
    <w:uiPriority w:val="99"/>
    <w:unhideWhenUsed/>
    <w:rsid w:val="00C26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75E"/>
  </w:style>
  <w:style w:type="paragraph" w:customStyle="1" w:styleId="XClause1Head">
    <w:name w:val="XClause1Head"/>
    <w:basedOn w:val="Normal"/>
    <w:link w:val="XClause1HeadChar"/>
    <w:rsid w:val="00261247"/>
    <w:pPr>
      <w:numPr>
        <w:numId w:val="7"/>
      </w:numPr>
      <w:spacing w:before="240" w:after="240" w:line="360" w:lineRule="auto"/>
      <w:jc w:val="both"/>
    </w:pPr>
    <w:rPr>
      <w:rFonts w:ascii="Calibri" w:eastAsia="Calibri" w:hAnsi="Calibri" w:cs="Times New Roman"/>
      <w:sz w:val="26"/>
      <w:szCs w:val="26"/>
      <w:lang w:val="x-none"/>
    </w:rPr>
  </w:style>
  <w:style w:type="paragraph" w:customStyle="1" w:styleId="XClause2Sub">
    <w:name w:val="XClause2Sub"/>
    <w:basedOn w:val="Normal"/>
    <w:rsid w:val="00261247"/>
    <w:pPr>
      <w:numPr>
        <w:ilvl w:val="1"/>
        <w:numId w:val="7"/>
      </w:numPr>
      <w:spacing w:before="240" w:after="240" w:line="360" w:lineRule="auto"/>
      <w:jc w:val="both"/>
    </w:pPr>
    <w:rPr>
      <w:rFonts w:ascii="Calibri" w:eastAsia="Calibri" w:hAnsi="Calibri" w:cs="Times New Roman"/>
      <w:sz w:val="26"/>
      <w:szCs w:val="26"/>
    </w:rPr>
  </w:style>
  <w:style w:type="paragraph" w:customStyle="1" w:styleId="XClause3Sub">
    <w:name w:val="XClause3Sub"/>
    <w:basedOn w:val="Normal"/>
    <w:rsid w:val="00261247"/>
    <w:pPr>
      <w:numPr>
        <w:ilvl w:val="2"/>
        <w:numId w:val="7"/>
      </w:numPr>
      <w:spacing w:before="240" w:after="240" w:line="360" w:lineRule="auto"/>
      <w:jc w:val="both"/>
    </w:pPr>
    <w:rPr>
      <w:rFonts w:ascii="Calibri" w:eastAsia="Calibri" w:hAnsi="Calibri" w:cs="Times New Roman"/>
      <w:sz w:val="26"/>
      <w:szCs w:val="26"/>
    </w:rPr>
  </w:style>
  <w:style w:type="paragraph" w:customStyle="1" w:styleId="XClause4Sub">
    <w:name w:val="XClause4Sub"/>
    <w:basedOn w:val="Normal"/>
    <w:rsid w:val="00261247"/>
    <w:pPr>
      <w:numPr>
        <w:ilvl w:val="3"/>
        <w:numId w:val="7"/>
      </w:numPr>
      <w:tabs>
        <w:tab w:val="clear" w:pos="3600"/>
        <w:tab w:val="num" w:pos="2836"/>
      </w:tabs>
      <w:spacing w:after="0" w:line="240" w:lineRule="auto"/>
      <w:ind w:left="2836" w:hanging="709"/>
      <w:jc w:val="both"/>
    </w:pPr>
    <w:rPr>
      <w:rFonts w:ascii="Calibri" w:eastAsia="Calibri" w:hAnsi="Calibri" w:cs="Times New Roman"/>
      <w:sz w:val="24"/>
    </w:rPr>
  </w:style>
  <w:style w:type="paragraph" w:customStyle="1" w:styleId="XClause5Sub">
    <w:name w:val="XClause5Sub"/>
    <w:basedOn w:val="Normal"/>
    <w:rsid w:val="00261247"/>
    <w:pPr>
      <w:numPr>
        <w:ilvl w:val="4"/>
        <w:numId w:val="7"/>
      </w:numPr>
      <w:tabs>
        <w:tab w:val="clear" w:pos="5041"/>
        <w:tab w:val="num" w:pos="3545"/>
      </w:tabs>
      <w:spacing w:after="0" w:line="240" w:lineRule="auto"/>
      <w:ind w:left="3545" w:hanging="709"/>
      <w:jc w:val="both"/>
    </w:pPr>
    <w:rPr>
      <w:rFonts w:ascii="Calibri" w:eastAsia="Calibri" w:hAnsi="Calibri" w:cs="Times New Roman"/>
      <w:sz w:val="24"/>
    </w:rPr>
  </w:style>
  <w:style w:type="paragraph" w:customStyle="1" w:styleId="XClause6Sub">
    <w:name w:val="XClause6Sub"/>
    <w:basedOn w:val="Normal"/>
    <w:rsid w:val="00261247"/>
    <w:pPr>
      <w:numPr>
        <w:ilvl w:val="5"/>
        <w:numId w:val="7"/>
      </w:numPr>
      <w:tabs>
        <w:tab w:val="clear" w:pos="6481"/>
        <w:tab w:val="num" w:pos="4254"/>
      </w:tabs>
      <w:spacing w:after="0" w:line="240" w:lineRule="auto"/>
      <w:ind w:left="4254" w:hanging="709"/>
      <w:jc w:val="both"/>
    </w:pPr>
    <w:rPr>
      <w:rFonts w:ascii="Calibri" w:eastAsia="Calibri" w:hAnsi="Calibri" w:cs="Times New Roman"/>
      <w:sz w:val="24"/>
    </w:rPr>
  </w:style>
  <w:style w:type="paragraph" w:customStyle="1" w:styleId="XClause7Sub">
    <w:name w:val="XClause7Sub"/>
    <w:basedOn w:val="Normal"/>
    <w:rsid w:val="00261247"/>
    <w:pPr>
      <w:numPr>
        <w:ilvl w:val="6"/>
        <w:numId w:val="7"/>
      </w:numPr>
      <w:tabs>
        <w:tab w:val="clear" w:pos="7201"/>
        <w:tab w:val="num" w:pos="4963"/>
      </w:tabs>
      <w:spacing w:after="0" w:line="240" w:lineRule="auto"/>
      <w:ind w:left="4963" w:hanging="709"/>
      <w:jc w:val="both"/>
    </w:pPr>
    <w:rPr>
      <w:rFonts w:ascii="Calibri" w:eastAsia="Calibri" w:hAnsi="Calibri" w:cs="Times New Roman"/>
      <w:sz w:val="24"/>
    </w:rPr>
  </w:style>
  <w:style w:type="paragraph" w:customStyle="1" w:styleId="XClause8Sub">
    <w:name w:val="XClause8Sub"/>
    <w:basedOn w:val="Normal"/>
    <w:rsid w:val="00261247"/>
    <w:pPr>
      <w:numPr>
        <w:ilvl w:val="7"/>
        <w:numId w:val="7"/>
      </w:numPr>
      <w:tabs>
        <w:tab w:val="clear" w:pos="7921"/>
        <w:tab w:val="num" w:pos="5672"/>
      </w:tabs>
      <w:spacing w:after="0" w:line="240" w:lineRule="auto"/>
      <w:ind w:left="5672" w:hanging="709"/>
      <w:jc w:val="both"/>
    </w:pPr>
    <w:rPr>
      <w:rFonts w:ascii="Calibri" w:eastAsia="Calibri" w:hAnsi="Calibri" w:cs="Times New Roman"/>
      <w:sz w:val="24"/>
    </w:rPr>
  </w:style>
  <w:style w:type="paragraph" w:customStyle="1" w:styleId="XClause9Sub">
    <w:name w:val="XClause9Sub"/>
    <w:basedOn w:val="Normal"/>
    <w:rsid w:val="00261247"/>
    <w:pPr>
      <w:numPr>
        <w:ilvl w:val="8"/>
        <w:numId w:val="7"/>
      </w:numPr>
      <w:tabs>
        <w:tab w:val="clear" w:pos="8222"/>
        <w:tab w:val="num" w:pos="6392"/>
      </w:tabs>
      <w:spacing w:after="0" w:line="240" w:lineRule="auto"/>
      <w:ind w:left="6392" w:hanging="720"/>
      <w:jc w:val="both"/>
    </w:pPr>
    <w:rPr>
      <w:rFonts w:ascii="Calibri" w:eastAsia="Calibri" w:hAnsi="Calibri" w:cs="Times New Roman"/>
      <w:sz w:val="24"/>
    </w:rPr>
  </w:style>
  <w:style w:type="character" w:customStyle="1" w:styleId="XClause1HeadChar">
    <w:name w:val="XClause1Head Char"/>
    <w:link w:val="XClause1Head"/>
    <w:rsid w:val="00261247"/>
    <w:rPr>
      <w:rFonts w:ascii="Calibri" w:eastAsia="Calibri" w:hAnsi="Calibri" w:cs="Times New Roman"/>
      <w:sz w:val="26"/>
      <w:szCs w:val="26"/>
      <w:lang w:val="x-none"/>
    </w:rPr>
  </w:style>
  <w:style w:type="paragraph" w:styleId="FootnoteText">
    <w:name w:val="footnote text"/>
    <w:aliases w:val="Footnote Text Char1 Char,Footnote Text Char Char Char,Footnote Text Char1 Char Char Char,Footnote Text Char Char Char Char Char,Footnote Text Char1 Char Char Char Char Char,Char,Footnote Text Char1,Footnote Text Char Char,Char Char Char,fn"/>
    <w:basedOn w:val="Normal"/>
    <w:link w:val="FootnoteTextChar"/>
    <w:uiPriority w:val="99"/>
    <w:qFormat/>
    <w:rsid w:val="00CF18A5"/>
    <w:pPr>
      <w:spacing w:after="0" w:line="240" w:lineRule="auto"/>
    </w:pPr>
    <w:rPr>
      <w:rFonts w:ascii="Calibri" w:eastAsia="Times New Roman" w:hAnsi="Calibri" w:cs="Times New Roman"/>
      <w:szCs w:val="20"/>
      <w:lang w:val="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Char Char,Footnote Text Char1 Char1"/>
    <w:basedOn w:val="DefaultParagraphFont"/>
    <w:link w:val="FootnoteText"/>
    <w:uiPriority w:val="99"/>
    <w:rsid w:val="00CF18A5"/>
    <w:rPr>
      <w:rFonts w:ascii="Calibri" w:eastAsia="Times New Roman" w:hAnsi="Calibri" w:cs="Times New Roman"/>
      <w:szCs w:val="20"/>
      <w:lang w:val="x-none"/>
    </w:rPr>
  </w:style>
  <w:style w:type="character" w:styleId="FootnoteReference">
    <w:name w:val="footnote reference"/>
    <w:aliases w:val="(NECG) Footnote Reference,Ref,de nota al pie,註腳內容,Footnote symbol,Style 12,Footnote,Footnotes refss,Appel note de bas de page,Footnote Reference + Superscript,fr,Heading 6 Char1,do not use4 Char1"/>
    <w:uiPriority w:val="99"/>
    <w:rsid w:val="00CF18A5"/>
    <w:rPr>
      <w:rFonts w:ascii="Calibri" w:hAnsi="Calibri" w:cs="Arial"/>
      <w:szCs w:val="24"/>
      <w:vertAlign w:val="superscript"/>
    </w:rPr>
  </w:style>
  <w:style w:type="paragraph" w:customStyle="1" w:styleId="p1">
    <w:name w:val="p1"/>
    <w:basedOn w:val="Normal"/>
    <w:rsid w:val="00CF18A5"/>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2">
    <w:name w:val="p2"/>
    <w:basedOn w:val="Normal"/>
    <w:rsid w:val="00CF18A5"/>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CF18A5"/>
  </w:style>
  <w:style w:type="character" w:styleId="Hyperlink">
    <w:name w:val="Hyperlink"/>
    <w:basedOn w:val="DefaultParagraphFont"/>
    <w:uiPriority w:val="99"/>
    <w:unhideWhenUsed/>
    <w:rsid w:val="00CF18A5"/>
    <w:rPr>
      <w:color w:val="0000FF" w:themeColor="hyperlink"/>
      <w:u w:val="single"/>
    </w:rPr>
  </w:style>
  <w:style w:type="paragraph" w:styleId="PlainText">
    <w:name w:val="Plain Text"/>
    <w:basedOn w:val="Normal"/>
    <w:link w:val="PlainTextChar"/>
    <w:uiPriority w:val="99"/>
    <w:unhideWhenUsed/>
    <w:rsid w:val="00EB1BF0"/>
    <w:pPr>
      <w:spacing w:after="0" w:line="240" w:lineRule="auto"/>
    </w:pPr>
    <w:rPr>
      <w:rFonts w:ascii="Arial" w:hAnsi="Arial"/>
      <w:sz w:val="40"/>
      <w:szCs w:val="21"/>
    </w:rPr>
  </w:style>
  <w:style w:type="character" w:customStyle="1" w:styleId="PlainTextChar">
    <w:name w:val="Plain Text Char"/>
    <w:basedOn w:val="DefaultParagraphFont"/>
    <w:link w:val="PlainText"/>
    <w:uiPriority w:val="99"/>
    <w:rsid w:val="00EB1BF0"/>
    <w:rPr>
      <w:rFonts w:ascii="Arial" w:hAnsi="Arial"/>
      <w:sz w:val="40"/>
      <w:szCs w:val="21"/>
    </w:rPr>
  </w:style>
  <w:style w:type="paragraph" w:customStyle="1" w:styleId="JUDGMENTNUMBERED">
    <w:name w:val="JUDGMENT NUMBERED"/>
    <w:basedOn w:val="Normal"/>
    <w:next w:val="JUDGMENTCONTINUED"/>
    <w:link w:val="JUDGMENTNUMBEREDChar"/>
    <w:qFormat/>
    <w:rsid w:val="00052D41"/>
    <w:pPr>
      <w:numPr>
        <w:numId w:val="21"/>
      </w:numPr>
      <w:spacing w:after="0" w:line="36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052D41"/>
    <w:pPr>
      <w:numPr>
        <w:numId w:val="0"/>
      </w:numPr>
    </w:pPr>
  </w:style>
  <w:style w:type="paragraph" w:customStyle="1" w:styleId="QUOTATION">
    <w:name w:val="QUOTATION"/>
    <w:basedOn w:val="Normal"/>
    <w:next w:val="JUDGMENTCONTINUED"/>
    <w:qFormat/>
    <w:rsid w:val="00052D41"/>
    <w:pPr>
      <w:spacing w:after="0" w:line="360" w:lineRule="auto"/>
      <w:ind w:left="720" w:right="720"/>
      <w:jc w:val="both"/>
    </w:pPr>
    <w:rPr>
      <w:rFonts w:ascii="Times New Roman" w:eastAsia="Times New Roman" w:hAnsi="Times New Roman" w:cs="Times New Roman"/>
    </w:rPr>
  </w:style>
  <w:style w:type="character" w:customStyle="1" w:styleId="JUDGMENTNUMBEREDChar">
    <w:name w:val="JUDGMENT NUMBERED Char"/>
    <w:basedOn w:val="DefaultParagraphFont"/>
    <w:link w:val="JUDGMENTNUMBERED"/>
    <w:locked/>
    <w:rsid w:val="00052D41"/>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21470">
      <w:bodyDiv w:val="1"/>
      <w:marLeft w:val="0"/>
      <w:marRight w:val="0"/>
      <w:marTop w:val="0"/>
      <w:marBottom w:val="0"/>
      <w:divBdr>
        <w:top w:val="none" w:sz="0" w:space="0" w:color="auto"/>
        <w:left w:val="none" w:sz="0" w:space="0" w:color="auto"/>
        <w:bottom w:val="none" w:sz="0" w:space="0" w:color="auto"/>
        <w:right w:val="none" w:sz="0" w:space="0" w:color="auto"/>
      </w:divBdr>
    </w:div>
    <w:div w:id="409696369">
      <w:bodyDiv w:val="1"/>
      <w:marLeft w:val="0"/>
      <w:marRight w:val="0"/>
      <w:marTop w:val="0"/>
      <w:marBottom w:val="0"/>
      <w:divBdr>
        <w:top w:val="none" w:sz="0" w:space="0" w:color="auto"/>
        <w:left w:val="none" w:sz="0" w:space="0" w:color="auto"/>
        <w:bottom w:val="none" w:sz="0" w:space="0" w:color="auto"/>
        <w:right w:val="none" w:sz="0" w:space="0" w:color="auto"/>
      </w:divBdr>
    </w:div>
    <w:div w:id="791902657">
      <w:bodyDiv w:val="1"/>
      <w:marLeft w:val="0"/>
      <w:marRight w:val="0"/>
      <w:marTop w:val="0"/>
      <w:marBottom w:val="0"/>
      <w:divBdr>
        <w:top w:val="none" w:sz="0" w:space="0" w:color="auto"/>
        <w:left w:val="none" w:sz="0" w:space="0" w:color="auto"/>
        <w:bottom w:val="none" w:sz="0" w:space="0" w:color="auto"/>
        <w:right w:val="none" w:sz="0" w:space="0" w:color="auto"/>
      </w:divBdr>
    </w:div>
    <w:div w:id="945649166">
      <w:bodyDiv w:val="1"/>
      <w:marLeft w:val="0"/>
      <w:marRight w:val="0"/>
      <w:marTop w:val="0"/>
      <w:marBottom w:val="0"/>
      <w:divBdr>
        <w:top w:val="none" w:sz="0" w:space="0" w:color="auto"/>
        <w:left w:val="none" w:sz="0" w:space="0" w:color="auto"/>
        <w:bottom w:val="none" w:sz="0" w:space="0" w:color="auto"/>
        <w:right w:val="none" w:sz="0" w:space="0" w:color="auto"/>
      </w:divBdr>
    </w:div>
    <w:div w:id="1111709098">
      <w:bodyDiv w:val="1"/>
      <w:marLeft w:val="0"/>
      <w:marRight w:val="0"/>
      <w:marTop w:val="0"/>
      <w:marBottom w:val="0"/>
      <w:divBdr>
        <w:top w:val="none" w:sz="0" w:space="0" w:color="auto"/>
        <w:left w:val="none" w:sz="0" w:space="0" w:color="auto"/>
        <w:bottom w:val="none" w:sz="0" w:space="0" w:color="auto"/>
        <w:right w:val="none" w:sz="0" w:space="0" w:color="auto"/>
      </w:divBdr>
    </w:div>
    <w:div w:id="17599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5B97-78F7-4D81-8FBE-25D08617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7434</Words>
  <Characters>42375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Mashitisho Mpho</dc:creator>
  <cp:lastModifiedBy>Mokone</cp:lastModifiedBy>
  <cp:revision>2</cp:revision>
  <cp:lastPrinted>2023-04-19T07:12:00Z</cp:lastPrinted>
  <dcterms:created xsi:type="dcterms:W3CDTF">2023-04-19T08:45:00Z</dcterms:created>
  <dcterms:modified xsi:type="dcterms:W3CDTF">2023-04-19T08:45:00Z</dcterms:modified>
</cp:coreProperties>
</file>