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18047" w14:textId="550D18A5" w:rsidR="00890EE9" w:rsidRPr="00F533A8" w:rsidRDefault="00890EE9" w:rsidP="00E212A8">
      <w:pPr>
        <w:spacing w:line="360" w:lineRule="auto"/>
        <w:jc w:val="center"/>
        <w:rPr>
          <w:rFonts w:ascii="Arial" w:hAnsi="Arial" w:cs="Arial"/>
          <w:sz w:val="24"/>
          <w:szCs w:val="24"/>
        </w:rPr>
      </w:pPr>
      <w:bookmarkStart w:id="0" w:name="_GoBack"/>
      <w:bookmarkEnd w:id="0"/>
      <w:r w:rsidRPr="00F533A8">
        <w:rPr>
          <w:rFonts w:ascii="Arial" w:hAnsi="Arial" w:cs="Arial"/>
          <w:noProof/>
          <w:sz w:val="24"/>
          <w:szCs w:val="24"/>
          <w:lang w:eastAsia="en-ZA"/>
        </w:rPr>
        <w:drawing>
          <wp:inline distT="0" distB="0" distL="0" distR="0" wp14:anchorId="2ADC383A" wp14:editId="4B8F5718">
            <wp:extent cx="2159000" cy="1797050"/>
            <wp:effectExtent l="0" t="0" r="0" b="0"/>
            <wp:docPr id="8996930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1797050"/>
                    </a:xfrm>
                    <a:prstGeom prst="rect">
                      <a:avLst/>
                    </a:prstGeom>
                    <a:noFill/>
                    <a:ln>
                      <a:noFill/>
                    </a:ln>
                  </pic:spPr>
                </pic:pic>
              </a:graphicData>
            </a:graphic>
          </wp:inline>
        </w:drawing>
      </w:r>
    </w:p>
    <w:p w14:paraId="1102E13D" w14:textId="7794003C" w:rsidR="00890EE9" w:rsidRPr="00F533A8" w:rsidRDefault="00890EE9" w:rsidP="00E212A8">
      <w:pPr>
        <w:spacing w:line="360" w:lineRule="auto"/>
        <w:jc w:val="center"/>
        <w:rPr>
          <w:rFonts w:ascii="Arial" w:hAnsi="Arial" w:cs="Arial"/>
          <w:b/>
          <w:bCs/>
          <w:sz w:val="24"/>
          <w:szCs w:val="24"/>
        </w:rPr>
      </w:pPr>
      <w:r w:rsidRPr="00F533A8">
        <w:rPr>
          <w:rFonts w:ascii="Arial" w:hAnsi="Arial" w:cs="Arial"/>
          <w:b/>
          <w:bCs/>
          <w:sz w:val="24"/>
          <w:szCs w:val="24"/>
        </w:rPr>
        <w:t>IN THE SPECIAL TRIBUNAL ESTABLISHED IN TERMS OF SECTION 2 (1) OF THE SPECIAL INVESTIGATI</w:t>
      </w:r>
      <w:r w:rsidR="00830F3A" w:rsidRPr="00F533A8">
        <w:rPr>
          <w:rFonts w:ascii="Arial" w:hAnsi="Arial" w:cs="Arial"/>
          <w:b/>
          <w:bCs/>
          <w:sz w:val="24"/>
          <w:szCs w:val="24"/>
        </w:rPr>
        <w:t>NG</w:t>
      </w:r>
      <w:r w:rsidRPr="00F533A8">
        <w:rPr>
          <w:rFonts w:ascii="Arial" w:hAnsi="Arial" w:cs="Arial"/>
          <w:b/>
          <w:bCs/>
          <w:sz w:val="24"/>
          <w:szCs w:val="24"/>
        </w:rPr>
        <w:t xml:space="preserve"> UNIT</w:t>
      </w:r>
      <w:r w:rsidR="00830F3A" w:rsidRPr="00F533A8">
        <w:rPr>
          <w:rFonts w:ascii="Arial" w:hAnsi="Arial" w:cs="Arial"/>
          <w:b/>
          <w:bCs/>
          <w:sz w:val="24"/>
          <w:szCs w:val="24"/>
        </w:rPr>
        <w:t>S</w:t>
      </w:r>
      <w:r w:rsidRPr="00F533A8">
        <w:rPr>
          <w:rFonts w:ascii="Arial" w:hAnsi="Arial" w:cs="Arial"/>
          <w:b/>
          <w:bCs/>
          <w:sz w:val="24"/>
          <w:szCs w:val="24"/>
        </w:rPr>
        <w:t xml:space="preserve"> AND</w:t>
      </w:r>
    </w:p>
    <w:p w14:paraId="3687928A" w14:textId="77777777" w:rsidR="00890EE9" w:rsidRPr="00F533A8" w:rsidRDefault="00890EE9" w:rsidP="00E212A8">
      <w:pPr>
        <w:spacing w:line="360" w:lineRule="auto"/>
        <w:jc w:val="center"/>
        <w:rPr>
          <w:rFonts w:ascii="Arial" w:hAnsi="Arial" w:cs="Arial"/>
          <w:b/>
          <w:bCs/>
          <w:sz w:val="24"/>
          <w:szCs w:val="24"/>
        </w:rPr>
      </w:pPr>
      <w:r w:rsidRPr="00F533A8">
        <w:rPr>
          <w:rFonts w:ascii="Arial" w:hAnsi="Arial" w:cs="Arial"/>
          <w:b/>
          <w:bCs/>
          <w:sz w:val="24"/>
          <w:szCs w:val="24"/>
        </w:rPr>
        <w:t>SPECIAL TRIBUNALS ACT 74 OF 1996</w:t>
      </w:r>
    </w:p>
    <w:p w14:paraId="0A0D8683" w14:textId="77777777" w:rsidR="00890EE9" w:rsidRPr="00F533A8" w:rsidRDefault="00890EE9" w:rsidP="00E212A8">
      <w:pPr>
        <w:spacing w:line="360" w:lineRule="auto"/>
        <w:jc w:val="center"/>
        <w:rPr>
          <w:rFonts w:ascii="Arial" w:hAnsi="Arial" w:cs="Arial"/>
          <w:b/>
          <w:bCs/>
          <w:sz w:val="24"/>
          <w:szCs w:val="24"/>
        </w:rPr>
      </w:pPr>
      <w:r w:rsidRPr="00F533A8">
        <w:rPr>
          <w:rFonts w:ascii="Arial" w:hAnsi="Arial" w:cs="Arial"/>
          <w:b/>
          <w:bCs/>
          <w:sz w:val="24"/>
          <w:szCs w:val="24"/>
        </w:rPr>
        <w:t>(REPUBLIC OF SOUTH AFRICA)</w:t>
      </w:r>
    </w:p>
    <w:p w14:paraId="261AAE71" w14:textId="77777777" w:rsidR="00890EE9" w:rsidRPr="00F533A8" w:rsidRDefault="00890EE9" w:rsidP="00E212A8">
      <w:pPr>
        <w:widowControl w:val="0"/>
        <w:spacing w:line="360" w:lineRule="auto"/>
        <w:ind w:left="5245" w:firstLine="515"/>
        <w:rPr>
          <w:rFonts w:ascii="Arial" w:hAnsi="Arial" w:cs="Arial"/>
          <w:b/>
          <w:bCs/>
          <w:sz w:val="24"/>
          <w:szCs w:val="24"/>
        </w:rPr>
      </w:pPr>
      <w:r w:rsidRPr="00F533A8">
        <w:rPr>
          <w:rFonts w:ascii="Arial" w:hAnsi="Arial" w:cs="Arial"/>
          <w:b/>
          <w:bCs/>
          <w:sz w:val="24"/>
          <w:szCs w:val="24"/>
        </w:rPr>
        <w:t>CASE NO: KN/01/2021</w:t>
      </w:r>
    </w:p>
    <w:p w14:paraId="0AC952F5" w14:textId="77777777" w:rsidR="00890EE9" w:rsidRPr="00F533A8" w:rsidRDefault="00890EE9" w:rsidP="00E212A8">
      <w:pPr>
        <w:widowControl w:val="0"/>
        <w:spacing w:after="0" w:line="360" w:lineRule="auto"/>
        <w:rPr>
          <w:rFonts w:ascii="Arial" w:hAnsi="Arial" w:cs="Arial"/>
          <w:sz w:val="24"/>
          <w:szCs w:val="24"/>
        </w:rPr>
      </w:pPr>
      <w:r w:rsidRPr="00F533A8">
        <w:rPr>
          <w:rFonts w:ascii="Arial" w:hAnsi="Arial" w:cs="Arial"/>
          <w:sz w:val="24"/>
          <w:szCs w:val="24"/>
        </w:rPr>
        <w:t>In the matter between:</w:t>
      </w:r>
    </w:p>
    <w:p w14:paraId="13052B6C" w14:textId="19FEC1EB" w:rsidR="0012477D" w:rsidRPr="00F533A8" w:rsidRDefault="0012477D" w:rsidP="00E212A8">
      <w:pPr>
        <w:tabs>
          <w:tab w:val="right" w:pos="8364"/>
        </w:tabs>
        <w:spacing w:after="0" w:line="360" w:lineRule="auto"/>
        <w:rPr>
          <w:rFonts w:ascii="Arial" w:hAnsi="Arial" w:cs="Arial"/>
          <w:sz w:val="24"/>
          <w:szCs w:val="24"/>
          <w:lang w:val="en-GB"/>
        </w:rPr>
      </w:pPr>
      <w:r w:rsidRPr="00F533A8">
        <w:rPr>
          <w:rFonts w:ascii="Arial" w:hAnsi="Arial" w:cs="Arial"/>
          <w:sz w:val="24"/>
          <w:szCs w:val="24"/>
          <w:lang w:val="en-GB"/>
        </w:rPr>
        <w:t>Special Investigating Unit                                              Applicant</w:t>
      </w:r>
    </w:p>
    <w:p w14:paraId="1A01F69F" w14:textId="77777777" w:rsidR="00830F3A" w:rsidRPr="00F533A8" w:rsidRDefault="00830F3A" w:rsidP="00E212A8">
      <w:pPr>
        <w:tabs>
          <w:tab w:val="right" w:pos="7371"/>
        </w:tabs>
        <w:spacing w:after="0" w:line="360" w:lineRule="auto"/>
        <w:rPr>
          <w:rFonts w:ascii="Arial" w:hAnsi="Arial" w:cs="Arial"/>
          <w:sz w:val="24"/>
          <w:szCs w:val="24"/>
          <w:lang w:val="en-GB"/>
        </w:rPr>
      </w:pPr>
    </w:p>
    <w:p w14:paraId="3756D6B1" w14:textId="728CAE27" w:rsidR="00890EE9" w:rsidRPr="00F533A8" w:rsidRDefault="0012477D" w:rsidP="00E212A8">
      <w:pPr>
        <w:tabs>
          <w:tab w:val="right" w:pos="7371"/>
        </w:tabs>
        <w:spacing w:after="0" w:line="360" w:lineRule="auto"/>
        <w:rPr>
          <w:rFonts w:ascii="Arial" w:hAnsi="Arial" w:cs="Arial"/>
          <w:sz w:val="24"/>
          <w:szCs w:val="24"/>
          <w:lang w:val="en-GB"/>
        </w:rPr>
      </w:pPr>
      <w:r w:rsidRPr="00F533A8">
        <w:rPr>
          <w:rFonts w:ascii="Arial" w:hAnsi="Arial" w:cs="Arial"/>
          <w:sz w:val="24"/>
          <w:szCs w:val="24"/>
          <w:lang w:val="en-GB"/>
        </w:rPr>
        <w:t>a</w:t>
      </w:r>
      <w:r w:rsidR="00890EE9" w:rsidRPr="00F533A8">
        <w:rPr>
          <w:rFonts w:ascii="Arial" w:hAnsi="Arial" w:cs="Arial"/>
          <w:sz w:val="24"/>
          <w:szCs w:val="24"/>
          <w:lang w:val="en-GB"/>
        </w:rPr>
        <w:t>nd</w:t>
      </w:r>
    </w:p>
    <w:p w14:paraId="4CC398DD" w14:textId="77777777" w:rsidR="00830F3A" w:rsidRPr="00F533A8" w:rsidRDefault="00830F3A" w:rsidP="00E212A8">
      <w:pPr>
        <w:tabs>
          <w:tab w:val="right" w:pos="8364"/>
        </w:tabs>
        <w:spacing w:after="0" w:line="360" w:lineRule="auto"/>
        <w:rPr>
          <w:rFonts w:ascii="Arial" w:hAnsi="Arial" w:cs="Arial"/>
          <w:sz w:val="24"/>
          <w:szCs w:val="24"/>
          <w:lang w:val="en-GB"/>
        </w:rPr>
      </w:pPr>
    </w:p>
    <w:p w14:paraId="3BC79B43" w14:textId="585EED54" w:rsidR="0012477D" w:rsidRPr="00F533A8" w:rsidRDefault="0012477D" w:rsidP="00E212A8">
      <w:pPr>
        <w:tabs>
          <w:tab w:val="right" w:pos="8364"/>
        </w:tabs>
        <w:spacing w:after="0" w:line="360" w:lineRule="auto"/>
        <w:rPr>
          <w:rFonts w:ascii="Arial" w:hAnsi="Arial" w:cs="Arial"/>
          <w:sz w:val="24"/>
          <w:szCs w:val="24"/>
          <w:lang w:val="en-GB"/>
        </w:rPr>
      </w:pPr>
      <w:r w:rsidRPr="00F533A8">
        <w:rPr>
          <w:rFonts w:ascii="Arial" w:hAnsi="Arial" w:cs="Arial"/>
          <w:sz w:val="24"/>
          <w:szCs w:val="24"/>
          <w:lang w:val="en-GB"/>
        </w:rPr>
        <w:t>Member of The Executive Council For</w:t>
      </w:r>
    </w:p>
    <w:p w14:paraId="739C404A" w14:textId="6E099B20" w:rsidR="0012477D" w:rsidRPr="00F533A8" w:rsidRDefault="0012477D" w:rsidP="00E212A8">
      <w:pPr>
        <w:tabs>
          <w:tab w:val="right" w:pos="8364"/>
        </w:tabs>
        <w:spacing w:after="0" w:line="360" w:lineRule="auto"/>
        <w:rPr>
          <w:rFonts w:ascii="Arial" w:hAnsi="Arial" w:cs="Arial"/>
          <w:sz w:val="24"/>
          <w:szCs w:val="24"/>
          <w:lang w:val="en-GB"/>
        </w:rPr>
      </w:pPr>
      <w:r w:rsidRPr="00F533A8">
        <w:rPr>
          <w:rFonts w:ascii="Arial" w:hAnsi="Arial" w:cs="Arial"/>
          <w:sz w:val="24"/>
          <w:szCs w:val="24"/>
          <w:lang w:val="en-GB"/>
        </w:rPr>
        <w:t xml:space="preserve">The Department of Transport, </w:t>
      </w:r>
      <w:r w:rsidRPr="00F533A8">
        <w:rPr>
          <w:rFonts w:ascii="Arial" w:hAnsi="Arial" w:cs="Arial"/>
          <w:sz w:val="24"/>
          <w:szCs w:val="24"/>
          <w:lang w:val="en-GB"/>
        </w:rPr>
        <w:tab/>
      </w:r>
    </w:p>
    <w:p w14:paraId="361FEAA5" w14:textId="4E65925D" w:rsidR="00890EE9" w:rsidRPr="00F533A8" w:rsidRDefault="0012477D" w:rsidP="00E212A8">
      <w:pPr>
        <w:widowControl w:val="0"/>
        <w:spacing w:after="0" w:line="360" w:lineRule="auto"/>
        <w:rPr>
          <w:rFonts w:ascii="Arial" w:hAnsi="Arial" w:cs="Arial"/>
          <w:sz w:val="24"/>
          <w:szCs w:val="24"/>
          <w:lang w:val="en-GB"/>
        </w:rPr>
      </w:pPr>
      <w:r w:rsidRPr="00F533A8">
        <w:rPr>
          <w:rFonts w:ascii="Arial" w:hAnsi="Arial" w:cs="Arial"/>
          <w:sz w:val="24"/>
          <w:szCs w:val="24"/>
          <w:lang w:val="en-GB"/>
        </w:rPr>
        <w:t xml:space="preserve">Kwazulu-Natal </w:t>
      </w:r>
      <w:r w:rsidRPr="00F533A8">
        <w:rPr>
          <w:rFonts w:ascii="Arial" w:hAnsi="Arial" w:cs="Arial"/>
          <w:sz w:val="24"/>
          <w:szCs w:val="24"/>
          <w:lang w:val="en-GB"/>
        </w:rPr>
        <w:tab/>
      </w:r>
      <w:r w:rsidRPr="00F533A8">
        <w:rPr>
          <w:rFonts w:ascii="Arial" w:hAnsi="Arial" w:cs="Arial"/>
          <w:sz w:val="24"/>
          <w:szCs w:val="24"/>
          <w:lang w:val="en-GB"/>
        </w:rPr>
        <w:tab/>
      </w:r>
      <w:r w:rsidRPr="00F533A8">
        <w:rPr>
          <w:rFonts w:ascii="Arial" w:hAnsi="Arial" w:cs="Arial"/>
          <w:sz w:val="24"/>
          <w:szCs w:val="24"/>
          <w:lang w:val="en-GB"/>
        </w:rPr>
        <w:tab/>
      </w:r>
      <w:r w:rsidRPr="00F533A8">
        <w:rPr>
          <w:rFonts w:ascii="Arial" w:hAnsi="Arial" w:cs="Arial"/>
          <w:sz w:val="24"/>
          <w:szCs w:val="24"/>
          <w:lang w:val="en-GB"/>
        </w:rPr>
        <w:tab/>
      </w:r>
      <w:r w:rsidRPr="00F533A8">
        <w:rPr>
          <w:rFonts w:ascii="Arial" w:hAnsi="Arial" w:cs="Arial"/>
          <w:sz w:val="24"/>
          <w:szCs w:val="24"/>
          <w:lang w:val="en-GB"/>
        </w:rPr>
        <w:tab/>
      </w:r>
      <w:r w:rsidR="00890EE9" w:rsidRPr="00F533A8">
        <w:rPr>
          <w:rFonts w:ascii="Arial" w:hAnsi="Arial" w:cs="Arial"/>
          <w:sz w:val="24"/>
          <w:szCs w:val="24"/>
          <w:lang w:val="en-GB"/>
        </w:rPr>
        <w:tab/>
        <w:t>First Respondent</w:t>
      </w:r>
    </w:p>
    <w:p w14:paraId="649833B0" w14:textId="77777777" w:rsidR="00830F3A" w:rsidRPr="00F533A8" w:rsidRDefault="00830F3A" w:rsidP="00E212A8">
      <w:pPr>
        <w:tabs>
          <w:tab w:val="right" w:pos="8364"/>
        </w:tabs>
        <w:spacing w:after="0" w:line="360" w:lineRule="auto"/>
        <w:rPr>
          <w:rFonts w:ascii="Arial" w:hAnsi="Arial" w:cs="Arial"/>
          <w:sz w:val="24"/>
          <w:szCs w:val="24"/>
          <w:lang w:val="en-GB"/>
        </w:rPr>
      </w:pPr>
    </w:p>
    <w:p w14:paraId="2CB3D686" w14:textId="06CC3EF7" w:rsidR="00890EE9" w:rsidRPr="00F533A8" w:rsidRDefault="00890EE9" w:rsidP="00E212A8">
      <w:pPr>
        <w:tabs>
          <w:tab w:val="right" w:pos="8364"/>
        </w:tabs>
        <w:spacing w:after="0" w:line="360" w:lineRule="auto"/>
        <w:rPr>
          <w:rFonts w:ascii="Arial" w:hAnsi="Arial" w:cs="Arial"/>
          <w:sz w:val="24"/>
          <w:szCs w:val="24"/>
          <w:lang w:val="en-GB"/>
        </w:rPr>
      </w:pPr>
      <w:r w:rsidRPr="00F533A8">
        <w:rPr>
          <w:rFonts w:ascii="Arial" w:hAnsi="Arial" w:cs="Arial"/>
          <w:sz w:val="24"/>
          <w:szCs w:val="24"/>
          <w:lang w:val="en-GB"/>
        </w:rPr>
        <w:t>Nexor 312 (Proprietary) Limited</w:t>
      </w:r>
    </w:p>
    <w:p w14:paraId="0A39A76E" w14:textId="77777777" w:rsidR="00890EE9" w:rsidRPr="00F533A8" w:rsidRDefault="00890EE9" w:rsidP="00E212A8">
      <w:pPr>
        <w:tabs>
          <w:tab w:val="right" w:pos="8364"/>
        </w:tabs>
        <w:spacing w:after="0" w:line="360" w:lineRule="auto"/>
        <w:rPr>
          <w:rFonts w:ascii="Arial" w:hAnsi="Arial" w:cs="Arial"/>
          <w:sz w:val="24"/>
          <w:szCs w:val="24"/>
          <w:lang w:val="en-GB"/>
        </w:rPr>
      </w:pPr>
      <w:r w:rsidRPr="00F533A8">
        <w:rPr>
          <w:rFonts w:ascii="Arial" w:hAnsi="Arial" w:cs="Arial"/>
          <w:sz w:val="24"/>
          <w:szCs w:val="24"/>
          <w:lang w:val="en-GB"/>
        </w:rPr>
        <w:t>Trading As V N A Consulting</w:t>
      </w:r>
      <w:r w:rsidRPr="00F533A8">
        <w:rPr>
          <w:rFonts w:ascii="Arial" w:hAnsi="Arial" w:cs="Arial"/>
          <w:sz w:val="24"/>
          <w:szCs w:val="24"/>
          <w:lang w:val="en-GB"/>
        </w:rPr>
        <w:tab/>
        <w:t>Second Respondent</w:t>
      </w:r>
    </w:p>
    <w:p w14:paraId="35293460" w14:textId="77777777" w:rsidR="00830F3A" w:rsidRPr="00F533A8" w:rsidRDefault="00830F3A" w:rsidP="00E212A8">
      <w:pPr>
        <w:pBdr>
          <w:bottom w:val="single" w:sz="4" w:space="1" w:color="auto"/>
        </w:pBdr>
        <w:spacing w:line="360" w:lineRule="auto"/>
        <w:rPr>
          <w:rFonts w:ascii="Arial" w:hAnsi="Arial" w:cs="Arial"/>
          <w:b/>
          <w:bCs/>
          <w:sz w:val="24"/>
          <w:szCs w:val="24"/>
        </w:rPr>
      </w:pPr>
    </w:p>
    <w:p w14:paraId="30CCF889" w14:textId="3E03DC5A" w:rsidR="0012477D" w:rsidRPr="00F533A8" w:rsidRDefault="0012477D" w:rsidP="00E212A8">
      <w:pPr>
        <w:pBdr>
          <w:bottom w:val="single" w:sz="4" w:space="1" w:color="auto"/>
        </w:pBdr>
        <w:spacing w:line="360" w:lineRule="auto"/>
        <w:rPr>
          <w:rFonts w:ascii="Arial" w:hAnsi="Arial" w:cs="Arial"/>
          <w:b/>
          <w:bCs/>
          <w:sz w:val="24"/>
          <w:szCs w:val="24"/>
        </w:rPr>
      </w:pPr>
      <w:r w:rsidRPr="00F533A8">
        <w:rPr>
          <w:rFonts w:ascii="Arial" w:hAnsi="Arial" w:cs="Arial"/>
          <w:b/>
          <w:bCs/>
          <w:sz w:val="24"/>
          <w:szCs w:val="24"/>
        </w:rPr>
        <w:t>Summary</w:t>
      </w:r>
    </w:p>
    <w:p w14:paraId="22695029" w14:textId="6DE11EA1" w:rsidR="006019DE" w:rsidRPr="00F533A8" w:rsidRDefault="006019DE" w:rsidP="00E212A8">
      <w:pPr>
        <w:pBdr>
          <w:bottom w:val="single" w:sz="4" w:space="1" w:color="auto"/>
        </w:pBdr>
        <w:spacing w:line="360" w:lineRule="auto"/>
        <w:jc w:val="both"/>
        <w:rPr>
          <w:rFonts w:ascii="Arial" w:hAnsi="Arial" w:cs="Arial"/>
          <w:sz w:val="24"/>
          <w:szCs w:val="24"/>
        </w:rPr>
      </w:pPr>
      <w:r w:rsidRPr="00F533A8">
        <w:rPr>
          <w:rFonts w:ascii="Arial" w:hAnsi="Arial" w:cs="Arial"/>
          <w:i/>
          <w:iCs/>
          <w:sz w:val="24"/>
          <w:szCs w:val="24"/>
        </w:rPr>
        <w:t>Administrative Law</w:t>
      </w:r>
      <w:r w:rsidRPr="00F533A8">
        <w:rPr>
          <w:rFonts w:ascii="Arial" w:hAnsi="Arial" w:cs="Arial"/>
          <w:sz w:val="24"/>
          <w:szCs w:val="24"/>
        </w:rPr>
        <w:t xml:space="preserve"> – legality review – unreasonable delay</w:t>
      </w:r>
      <w:r w:rsidR="00DF214F" w:rsidRPr="00F533A8">
        <w:rPr>
          <w:rFonts w:ascii="Arial" w:hAnsi="Arial" w:cs="Arial"/>
          <w:sz w:val="24"/>
          <w:szCs w:val="24"/>
        </w:rPr>
        <w:t xml:space="preserve"> – whether the Department of Transport, Kwa Zulu Natal irregularly awarded a tender to Nexor 312 (Pty) Ltd and whether the tender falls to be reviewed and set aside – whether the Special Investigating Unit’s report into the awarding of this tender is irrational and falls to be review</w:t>
      </w:r>
      <w:r w:rsidR="005B58A5" w:rsidRPr="00F533A8">
        <w:rPr>
          <w:rFonts w:ascii="Arial" w:hAnsi="Arial" w:cs="Arial"/>
          <w:sz w:val="24"/>
          <w:szCs w:val="24"/>
        </w:rPr>
        <w:t>ed</w:t>
      </w:r>
      <w:r w:rsidR="00DF214F" w:rsidRPr="00F533A8">
        <w:rPr>
          <w:rFonts w:ascii="Arial" w:hAnsi="Arial" w:cs="Arial"/>
          <w:sz w:val="24"/>
          <w:szCs w:val="24"/>
        </w:rPr>
        <w:t xml:space="preserve"> and set aside. </w:t>
      </w:r>
    </w:p>
    <w:p w14:paraId="66728C9D" w14:textId="77777777" w:rsidR="00456A75" w:rsidRDefault="00456A75" w:rsidP="00E212A8">
      <w:pPr>
        <w:pBdr>
          <w:bottom w:val="single" w:sz="12" w:space="1" w:color="auto"/>
        </w:pBdr>
        <w:spacing w:line="360" w:lineRule="auto"/>
        <w:jc w:val="center"/>
        <w:rPr>
          <w:rFonts w:ascii="Arial" w:hAnsi="Arial" w:cs="Arial"/>
          <w:b/>
          <w:bCs/>
          <w:sz w:val="24"/>
          <w:szCs w:val="24"/>
        </w:rPr>
      </w:pPr>
    </w:p>
    <w:p w14:paraId="35EACE96" w14:textId="4C474D70" w:rsidR="00DF214F" w:rsidRPr="00F533A8" w:rsidRDefault="00DF214F" w:rsidP="00E212A8">
      <w:pPr>
        <w:pBdr>
          <w:bottom w:val="single" w:sz="12" w:space="1" w:color="auto"/>
        </w:pBdr>
        <w:spacing w:line="360" w:lineRule="auto"/>
        <w:jc w:val="center"/>
        <w:rPr>
          <w:rFonts w:ascii="Arial" w:hAnsi="Arial" w:cs="Arial"/>
          <w:b/>
          <w:bCs/>
          <w:sz w:val="24"/>
          <w:szCs w:val="24"/>
        </w:rPr>
      </w:pPr>
      <w:r w:rsidRPr="00F533A8">
        <w:rPr>
          <w:rFonts w:ascii="Arial" w:hAnsi="Arial" w:cs="Arial"/>
          <w:b/>
          <w:bCs/>
          <w:sz w:val="24"/>
          <w:szCs w:val="24"/>
        </w:rPr>
        <w:t>JUDGMENT</w:t>
      </w:r>
    </w:p>
    <w:p w14:paraId="7ABB00E6" w14:textId="354D9AB6" w:rsidR="00890EE9" w:rsidRDefault="0012477D" w:rsidP="00E212A8">
      <w:pPr>
        <w:spacing w:line="360" w:lineRule="auto"/>
        <w:rPr>
          <w:rFonts w:ascii="Arial" w:hAnsi="Arial" w:cs="Arial"/>
          <w:b/>
          <w:bCs/>
          <w:sz w:val="24"/>
          <w:szCs w:val="24"/>
          <w:lang w:val="en-US"/>
        </w:rPr>
      </w:pPr>
      <w:r w:rsidRPr="00F533A8">
        <w:rPr>
          <w:rFonts w:ascii="Arial" w:hAnsi="Arial" w:cs="Arial"/>
          <w:b/>
          <w:bCs/>
          <w:sz w:val="24"/>
          <w:szCs w:val="24"/>
          <w:lang w:val="en-US"/>
        </w:rPr>
        <w:t xml:space="preserve">MODIBA J: </w:t>
      </w:r>
    </w:p>
    <w:p w14:paraId="56A004A0" w14:textId="77777777" w:rsidR="00456A75" w:rsidRPr="00F533A8" w:rsidRDefault="00456A75" w:rsidP="00E212A8">
      <w:pPr>
        <w:spacing w:line="360" w:lineRule="auto"/>
        <w:rPr>
          <w:rFonts w:ascii="Arial" w:hAnsi="Arial" w:cs="Arial"/>
          <w:b/>
          <w:bCs/>
          <w:sz w:val="24"/>
          <w:szCs w:val="24"/>
          <w:lang w:val="en-US"/>
        </w:rPr>
      </w:pPr>
    </w:p>
    <w:p w14:paraId="550875D8" w14:textId="3D8E4040" w:rsidR="001A01AB" w:rsidRPr="00F533A8" w:rsidRDefault="001A01AB" w:rsidP="00E212A8">
      <w:pPr>
        <w:tabs>
          <w:tab w:val="left" w:pos="1701"/>
          <w:tab w:val="left" w:pos="2552"/>
        </w:tabs>
        <w:spacing w:line="360" w:lineRule="auto"/>
        <w:jc w:val="both"/>
        <w:rPr>
          <w:rFonts w:ascii="Arial" w:hAnsi="Arial" w:cs="Arial"/>
          <w:b/>
          <w:bCs/>
          <w:sz w:val="24"/>
          <w:szCs w:val="24"/>
          <w:lang w:val="en-GB"/>
        </w:rPr>
      </w:pPr>
      <w:r w:rsidRPr="00F533A8">
        <w:rPr>
          <w:rFonts w:ascii="Arial" w:hAnsi="Arial" w:cs="Arial"/>
          <w:b/>
          <w:bCs/>
          <w:sz w:val="24"/>
          <w:szCs w:val="24"/>
          <w:lang w:val="en-GB"/>
        </w:rPr>
        <w:t>INTRODUCTION</w:t>
      </w:r>
    </w:p>
    <w:p w14:paraId="662FD335" w14:textId="03CB48BF" w:rsidR="00452A74" w:rsidRPr="00F533A8" w:rsidRDefault="00D448D2" w:rsidP="00E212A8">
      <w:pPr>
        <w:tabs>
          <w:tab w:val="left" w:pos="1701"/>
          <w:tab w:val="left" w:pos="2552"/>
        </w:tabs>
        <w:spacing w:line="360" w:lineRule="auto"/>
        <w:jc w:val="both"/>
        <w:rPr>
          <w:rFonts w:ascii="Arial" w:hAnsi="Arial" w:cs="Arial"/>
          <w:sz w:val="24"/>
          <w:szCs w:val="24"/>
        </w:rPr>
      </w:pPr>
      <w:r w:rsidRPr="00F533A8">
        <w:rPr>
          <w:rFonts w:ascii="Arial" w:hAnsi="Arial" w:cs="Arial"/>
          <w:sz w:val="24"/>
          <w:szCs w:val="24"/>
          <w:lang w:val="en-GB"/>
        </w:rPr>
        <w:t>[1</w:t>
      </w:r>
      <w:r w:rsidR="00452A74" w:rsidRPr="00F533A8">
        <w:rPr>
          <w:rFonts w:ascii="Arial" w:hAnsi="Arial" w:cs="Arial"/>
          <w:sz w:val="24"/>
          <w:szCs w:val="24"/>
          <w:lang w:val="en-GB"/>
        </w:rPr>
        <w:t>]</w:t>
      </w:r>
      <w:r w:rsidR="008329CC">
        <w:rPr>
          <w:rFonts w:ascii="Arial" w:hAnsi="Arial" w:cs="Arial"/>
          <w:sz w:val="24"/>
          <w:szCs w:val="24"/>
          <w:lang w:val="en-GB"/>
        </w:rPr>
        <w:t xml:space="preserve">   </w:t>
      </w:r>
      <w:r w:rsidRPr="00F533A8">
        <w:rPr>
          <w:rFonts w:ascii="Arial" w:hAnsi="Arial" w:cs="Arial"/>
          <w:sz w:val="24"/>
          <w:szCs w:val="24"/>
          <w:lang w:val="en-GB"/>
        </w:rPr>
        <w:t xml:space="preserve">The </w:t>
      </w:r>
      <w:r w:rsidR="00DF214F" w:rsidRPr="00F533A8">
        <w:rPr>
          <w:rFonts w:ascii="Arial" w:hAnsi="Arial" w:cs="Arial"/>
          <w:sz w:val="24"/>
          <w:szCs w:val="24"/>
          <w:lang w:val="en-GB"/>
        </w:rPr>
        <w:t>Special Investigating Unit (“the SIU”)</w:t>
      </w:r>
      <w:r w:rsidRPr="00F533A8">
        <w:rPr>
          <w:rFonts w:ascii="Arial" w:hAnsi="Arial" w:cs="Arial"/>
          <w:sz w:val="24"/>
          <w:szCs w:val="24"/>
          <w:lang w:val="en-GB"/>
        </w:rPr>
        <w:t xml:space="preserve"> </w:t>
      </w:r>
      <w:r w:rsidR="00DF214F" w:rsidRPr="00F533A8">
        <w:rPr>
          <w:rFonts w:ascii="Arial" w:hAnsi="Arial" w:cs="Arial"/>
          <w:sz w:val="24"/>
          <w:szCs w:val="24"/>
          <w:lang w:val="en-GB"/>
        </w:rPr>
        <w:t xml:space="preserve">as applicant, </w:t>
      </w:r>
      <w:r w:rsidRPr="00F533A8">
        <w:rPr>
          <w:rFonts w:ascii="Arial" w:hAnsi="Arial" w:cs="Arial"/>
          <w:sz w:val="24"/>
          <w:szCs w:val="24"/>
          <w:lang w:val="en-GB"/>
        </w:rPr>
        <w:t xml:space="preserve">seeks to review and set aside the first respondent’s </w:t>
      </w:r>
      <w:r w:rsidR="007739FD" w:rsidRPr="00F533A8">
        <w:rPr>
          <w:rFonts w:ascii="Arial" w:hAnsi="Arial" w:cs="Arial"/>
          <w:sz w:val="24"/>
          <w:szCs w:val="24"/>
          <w:lang w:val="en-GB"/>
        </w:rPr>
        <w:t xml:space="preserve">26 April 2018 </w:t>
      </w:r>
      <w:r w:rsidRPr="00F533A8">
        <w:rPr>
          <w:rFonts w:ascii="Arial" w:hAnsi="Arial" w:cs="Arial"/>
          <w:sz w:val="24"/>
          <w:szCs w:val="24"/>
          <w:lang w:val="en-GB"/>
        </w:rPr>
        <w:t xml:space="preserve">decision to </w:t>
      </w:r>
      <w:r w:rsidRPr="00F533A8">
        <w:rPr>
          <w:rFonts w:ascii="Arial" w:hAnsi="Arial" w:cs="Arial"/>
          <w:sz w:val="24"/>
          <w:szCs w:val="24"/>
        </w:rPr>
        <w:t>award a tender to</w:t>
      </w:r>
      <w:r w:rsidR="00DF214F" w:rsidRPr="00F533A8">
        <w:rPr>
          <w:rFonts w:ascii="Arial" w:hAnsi="Arial" w:cs="Arial"/>
          <w:sz w:val="24"/>
          <w:szCs w:val="24"/>
        </w:rPr>
        <w:t xml:space="preserve"> Nexor 312 (Pty) Ltd Trading as VNA Consulting (‘Nexor”),</w:t>
      </w:r>
      <w:r w:rsidRPr="00F533A8">
        <w:rPr>
          <w:rFonts w:ascii="Arial" w:hAnsi="Arial" w:cs="Arial"/>
          <w:sz w:val="24"/>
          <w:szCs w:val="24"/>
        </w:rPr>
        <w:t xml:space="preserve"> the second respondent for the provision of an Infrastructure Delivery Management System (“</w:t>
      </w:r>
      <w:r w:rsidRPr="00F533A8">
        <w:rPr>
          <w:rFonts w:ascii="Arial" w:hAnsi="Arial" w:cs="Arial"/>
          <w:i/>
          <w:iCs/>
          <w:sz w:val="24"/>
          <w:szCs w:val="24"/>
        </w:rPr>
        <w:t>IDMS</w:t>
      </w:r>
      <w:r w:rsidRPr="00F533A8">
        <w:rPr>
          <w:rFonts w:ascii="Arial" w:hAnsi="Arial" w:cs="Arial"/>
          <w:sz w:val="24"/>
          <w:szCs w:val="24"/>
        </w:rPr>
        <w:t>’) and a Road Asset Management System “(</w:t>
      </w:r>
      <w:r w:rsidRPr="00F533A8">
        <w:rPr>
          <w:rFonts w:ascii="Arial" w:hAnsi="Arial" w:cs="Arial"/>
          <w:i/>
          <w:sz w:val="24"/>
          <w:szCs w:val="24"/>
        </w:rPr>
        <w:t>RAMS</w:t>
      </w:r>
      <w:r w:rsidRPr="00F533A8">
        <w:rPr>
          <w:rFonts w:ascii="Arial" w:hAnsi="Arial" w:cs="Arial"/>
          <w:sz w:val="24"/>
          <w:szCs w:val="24"/>
        </w:rPr>
        <w:t>”) in line with the Division of Revenue Act (“</w:t>
      </w:r>
      <w:r w:rsidRPr="00F533A8">
        <w:rPr>
          <w:rFonts w:ascii="Arial" w:hAnsi="Arial" w:cs="Arial"/>
          <w:i/>
          <w:iCs/>
          <w:sz w:val="24"/>
          <w:szCs w:val="24"/>
        </w:rPr>
        <w:t>DoRA</w:t>
      </w:r>
      <w:r w:rsidRPr="00F533A8">
        <w:rPr>
          <w:rFonts w:ascii="Arial" w:hAnsi="Arial" w:cs="Arial"/>
          <w:sz w:val="24"/>
          <w:szCs w:val="24"/>
        </w:rPr>
        <w:t>”) requirements</w:t>
      </w:r>
      <w:r w:rsidR="00121749" w:rsidRPr="00F533A8">
        <w:rPr>
          <w:rFonts w:ascii="Arial" w:hAnsi="Arial" w:cs="Arial"/>
          <w:sz w:val="24"/>
          <w:szCs w:val="24"/>
        </w:rPr>
        <w:t xml:space="preserve"> (“the ten</w:t>
      </w:r>
      <w:r w:rsidRPr="00F533A8">
        <w:rPr>
          <w:rFonts w:ascii="Arial" w:hAnsi="Arial" w:cs="Arial"/>
          <w:sz w:val="24"/>
          <w:szCs w:val="24"/>
        </w:rPr>
        <w:t xml:space="preserve">der”). It also seeks an order that </w:t>
      </w:r>
      <w:r w:rsidR="00DF214F" w:rsidRPr="00F533A8">
        <w:rPr>
          <w:rFonts w:ascii="Arial" w:hAnsi="Arial" w:cs="Arial"/>
          <w:sz w:val="24"/>
          <w:szCs w:val="24"/>
        </w:rPr>
        <w:t xml:space="preserve">Nexor </w:t>
      </w:r>
      <w:r w:rsidRPr="00F533A8">
        <w:rPr>
          <w:rFonts w:ascii="Arial" w:hAnsi="Arial" w:cs="Arial"/>
          <w:sz w:val="24"/>
          <w:szCs w:val="24"/>
        </w:rPr>
        <w:t xml:space="preserve">repays the </w:t>
      </w:r>
      <w:r w:rsidR="00DF214F" w:rsidRPr="00F533A8">
        <w:rPr>
          <w:rFonts w:ascii="Arial" w:hAnsi="Arial" w:cs="Arial"/>
          <w:sz w:val="24"/>
          <w:szCs w:val="24"/>
        </w:rPr>
        <w:t>SIU</w:t>
      </w:r>
      <w:r w:rsidRPr="00F533A8">
        <w:rPr>
          <w:rFonts w:ascii="Arial" w:hAnsi="Arial" w:cs="Arial"/>
          <w:sz w:val="24"/>
          <w:szCs w:val="24"/>
        </w:rPr>
        <w:t>, alternatively National Treasury an amount of R25 412 700,00</w:t>
      </w:r>
      <w:r w:rsidR="00830F3A" w:rsidRPr="00F533A8">
        <w:rPr>
          <w:rFonts w:ascii="Arial" w:hAnsi="Arial" w:cs="Arial"/>
          <w:sz w:val="24"/>
          <w:szCs w:val="24"/>
        </w:rPr>
        <w:t xml:space="preserve"> and</w:t>
      </w:r>
      <w:r w:rsidRPr="00F533A8">
        <w:rPr>
          <w:rFonts w:ascii="Arial" w:hAnsi="Arial" w:cs="Arial"/>
          <w:sz w:val="24"/>
          <w:szCs w:val="24"/>
        </w:rPr>
        <w:t xml:space="preserve"> </w:t>
      </w:r>
      <w:r w:rsidR="00DF214F" w:rsidRPr="00F533A8">
        <w:rPr>
          <w:rFonts w:ascii="Arial" w:hAnsi="Arial" w:cs="Arial"/>
          <w:sz w:val="24"/>
          <w:szCs w:val="24"/>
        </w:rPr>
        <w:t>a</w:t>
      </w:r>
      <w:r w:rsidRPr="00F533A8">
        <w:rPr>
          <w:rFonts w:ascii="Arial" w:hAnsi="Arial" w:cs="Arial"/>
          <w:sz w:val="24"/>
          <w:szCs w:val="24"/>
        </w:rPr>
        <w:t xml:space="preserve">n amount of R44 228 652,00. In the alternative, the </w:t>
      </w:r>
      <w:r w:rsidR="00DF214F" w:rsidRPr="00F533A8">
        <w:rPr>
          <w:rFonts w:ascii="Arial" w:hAnsi="Arial" w:cs="Arial"/>
          <w:sz w:val="24"/>
          <w:szCs w:val="24"/>
        </w:rPr>
        <w:t xml:space="preserve">SIU </w:t>
      </w:r>
      <w:r w:rsidRPr="00F533A8">
        <w:rPr>
          <w:rFonts w:ascii="Arial" w:hAnsi="Arial" w:cs="Arial"/>
          <w:sz w:val="24"/>
          <w:szCs w:val="24"/>
        </w:rPr>
        <w:t xml:space="preserve">seeks an order for just and equitable relief in terms of which </w:t>
      </w:r>
      <w:r w:rsidR="00DF214F" w:rsidRPr="00F533A8">
        <w:rPr>
          <w:rFonts w:ascii="Arial" w:hAnsi="Arial" w:cs="Arial"/>
          <w:sz w:val="24"/>
          <w:szCs w:val="24"/>
        </w:rPr>
        <w:t>Nexor accounts for</w:t>
      </w:r>
      <w:r w:rsidRPr="00F533A8">
        <w:rPr>
          <w:rFonts w:ascii="Arial" w:hAnsi="Arial" w:cs="Arial"/>
          <w:sz w:val="24"/>
          <w:szCs w:val="24"/>
        </w:rPr>
        <w:t xml:space="preserve"> all amounts paid to it under the tender,</w:t>
      </w:r>
      <w:r w:rsidR="001A01AB" w:rsidRPr="00F533A8">
        <w:rPr>
          <w:rFonts w:ascii="Arial" w:hAnsi="Arial" w:cs="Arial"/>
          <w:sz w:val="24"/>
          <w:szCs w:val="24"/>
        </w:rPr>
        <w:t xml:space="preserve"> </w:t>
      </w:r>
      <w:r w:rsidR="00DF214F" w:rsidRPr="00F533A8">
        <w:rPr>
          <w:rFonts w:ascii="Arial" w:hAnsi="Arial" w:cs="Arial"/>
          <w:sz w:val="24"/>
          <w:szCs w:val="24"/>
        </w:rPr>
        <w:t xml:space="preserve">by rendering </w:t>
      </w:r>
      <w:r w:rsidRPr="00F533A8">
        <w:rPr>
          <w:rFonts w:ascii="Arial" w:hAnsi="Arial" w:cs="Arial"/>
          <w:sz w:val="24"/>
          <w:szCs w:val="24"/>
        </w:rPr>
        <w:t>a full account of all payments it received under the tender and its reasonable expenses supported by necessary vouchers, provides a reconciliation of the said amounts</w:t>
      </w:r>
      <w:r w:rsidR="00452A74" w:rsidRPr="00F533A8">
        <w:rPr>
          <w:rFonts w:ascii="Arial" w:hAnsi="Arial" w:cs="Arial"/>
          <w:sz w:val="24"/>
          <w:szCs w:val="24"/>
        </w:rPr>
        <w:t xml:space="preserve"> </w:t>
      </w:r>
      <w:r w:rsidR="00121749" w:rsidRPr="00F533A8">
        <w:rPr>
          <w:rFonts w:ascii="Arial" w:hAnsi="Arial" w:cs="Arial"/>
          <w:sz w:val="24"/>
          <w:szCs w:val="24"/>
        </w:rPr>
        <w:t xml:space="preserve">and </w:t>
      </w:r>
      <w:r w:rsidR="00452A74" w:rsidRPr="00F533A8">
        <w:rPr>
          <w:rFonts w:ascii="Arial" w:hAnsi="Arial" w:cs="Arial"/>
          <w:sz w:val="24"/>
          <w:szCs w:val="24"/>
        </w:rPr>
        <w:t xml:space="preserve">pays to the </w:t>
      </w:r>
      <w:r w:rsidR="00DF214F" w:rsidRPr="00F533A8">
        <w:rPr>
          <w:rFonts w:ascii="Arial" w:hAnsi="Arial" w:cs="Arial"/>
          <w:sz w:val="24"/>
          <w:szCs w:val="24"/>
        </w:rPr>
        <w:t xml:space="preserve">SIU alternatively, National Treasury </w:t>
      </w:r>
      <w:r w:rsidR="00452A74" w:rsidRPr="00F533A8">
        <w:rPr>
          <w:rFonts w:ascii="Arial" w:hAnsi="Arial" w:cs="Arial"/>
          <w:sz w:val="24"/>
          <w:szCs w:val="24"/>
        </w:rPr>
        <w:t xml:space="preserve">whatever profits </w:t>
      </w:r>
      <w:r w:rsidR="00DF214F" w:rsidRPr="00F533A8">
        <w:rPr>
          <w:rFonts w:ascii="Arial" w:hAnsi="Arial" w:cs="Arial"/>
          <w:sz w:val="24"/>
          <w:szCs w:val="24"/>
        </w:rPr>
        <w:t xml:space="preserve">Nexor </w:t>
      </w:r>
      <w:r w:rsidR="00452A74" w:rsidRPr="00F533A8">
        <w:rPr>
          <w:rFonts w:ascii="Arial" w:hAnsi="Arial" w:cs="Arial"/>
          <w:sz w:val="24"/>
          <w:szCs w:val="24"/>
        </w:rPr>
        <w:t>earned “</w:t>
      </w:r>
      <w:r w:rsidR="00452A74" w:rsidRPr="00F533A8">
        <w:rPr>
          <w:rFonts w:ascii="Arial" w:hAnsi="Arial" w:cs="Arial"/>
          <w:i/>
          <w:sz w:val="24"/>
          <w:szCs w:val="24"/>
        </w:rPr>
        <w:t>upon debatement of the account”</w:t>
      </w:r>
      <w:r w:rsidR="00121749" w:rsidRPr="00F533A8">
        <w:rPr>
          <w:rFonts w:ascii="Arial" w:hAnsi="Arial" w:cs="Arial"/>
          <w:i/>
          <w:sz w:val="24"/>
          <w:szCs w:val="24"/>
        </w:rPr>
        <w:t xml:space="preserve">. </w:t>
      </w:r>
      <w:r w:rsidR="00121749" w:rsidRPr="00F533A8">
        <w:rPr>
          <w:rFonts w:ascii="Arial" w:hAnsi="Arial" w:cs="Arial"/>
          <w:iCs/>
          <w:sz w:val="24"/>
          <w:szCs w:val="24"/>
        </w:rPr>
        <w:t xml:space="preserve">In the further alternative, the </w:t>
      </w:r>
      <w:r w:rsidR="00DF214F" w:rsidRPr="00F533A8">
        <w:rPr>
          <w:rFonts w:ascii="Arial" w:hAnsi="Arial" w:cs="Arial"/>
          <w:iCs/>
          <w:sz w:val="24"/>
          <w:szCs w:val="24"/>
        </w:rPr>
        <w:t xml:space="preserve">SIU </w:t>
      </w:r>
      <w:r w:rsidR="00121749" w:rsidRPr="00F533A8">
        <w:rPr>
          <w:rFonts w:ascii="Arial" w:hAnsi="Arial" w:cs="Arial"/>
          <w:iCs/>
          <w:sz w:val="24"/>
          <w:szCs w:val="24"/>
        </w:rPr>
        <w:t xml:space="preserve">prays that </w:t>
      </w:r>
      <w:r w:rsidR="00452A74" w:rsidRPr="00F533A8">
        <w:rPr>
          <w:rFonts w:ascii="Arial" w:hAnsi="Arial" w:cs="Arial"/>
          <w:sz w:val="24"/>
          <w:szCs w:val="24"/>
        </w:rPr>
        <w:t>the Tribunal grant such relief as it deems just and equitable in the circumstances.</w:t>
      </w:r>
    </w:p>
    <w:p w14:paraId="79BA5876" w14:textId="77777777" w:rsidR="003F4484" w:rsidRPr="00F533A8" w:rsidRDefault="003F4484" w:rsidP="00E212A8">
      <w:pPr>
        <w:tabs>
          <w:tab w:val="left" w:pos="1701"/>
          <w:tab w:val="left" w:pos="2552"/>
        </w:tabs>
        <w:spacing w:line="360" w:lineRule="auto"/>
        <w:jc w:val="both"/>
        <w:rPr>
          <w:rFonts w:ascii="Arial" w:hAnsi="Arial" w:cs="Arial"/>
          <w:sz w:val="24"/>
          <w:szCs w:val="24"/>
        </w:rPr>
      </w:pPr>
    </w:p>
    <w:p w14:paraId="6322AA82" w14:textId="43CCC448" w:rsidR="002F3C31" w:rsidRPr="00F533A8" w:rsidRDefault="002F3C31" w:rsidP="00E212A8">
      <w:pPr>
        <w:tabs>
          <w:tab w:val="left" w:pos="1701"/>
          <w:tab w:val="left" w:pos="2552"/>
        </w:tabs>
        <w:spacing w:line="360" w:lineRule="auto"/>
        <w:jc w:val="both"/>
        <w:rPr>
          <w:rFonts w:ascii="Arial" w:hAnsi="Arial" w:cs="Arial"/>
          <w:sz w:val="24"/>
          <w:szCs w:val="24"/>
        </w:rPr>
      </w:pPr>
      <w:r w:rsidRPr="00F533A8">
        <w:rPr>
          <w:rFonts w:ascii="Arial" w:hAnsi="Arial" w:cs="Arial"/>
          <w:sz w:val="24"/>
          <w:szCs w:val="24"/>
        </w:rPr>
        <w:t>[2]</w:t>
      </w:r>
      <w:r w:rsidR="008329CC">
        <w:rPr>
          <w:rFonts w:ascii="Arial" w:hAnsi="Arial" w:cs="Arial"/>
          <w:sz w:val="24"/>
          <w:szCs w:val="24"/>
        </w:rPr>
        <w:t xml:space="preserve">   </w:t>
      </w:r>
      <w:r w:rsidRPr="00F533A8">
        <w:rPr>
          <w:rFonts w:ascii="Arial" w:hAnsi="Arial" w:cs="Arial"/>
          <w:sz w:val="24"/>
          <w:szCs w:val="24"/>
        </w:rPr>
        <w:t>For convenience, I refer to the applicant as the SIU. I refer to the first respondent as the MEC.</w:t>
      </w:r>
      <w:r w:rsidR="00DF214F" w:rsidRPr="00F533A8">
        <w:rPr>
          <w:rFonts w:ascii="Arial" w:hAnsi="Arial" w:cs="Arial"/>
          <w:sz w:val="24"/>
          <w:szCs w:val="24"/>
        </w:rPr>
        <w:t xml:space="preserve"> Where it is necessary to </w:t>
      </w:r>
      <w:r w:rsidR="000D7C33" w:rsidRPr="00F533A8">
        <w:rPr>
          <w:rFonts w:ascii="Arial" w:hAnsi="Arial" w:cs="Arial"/>
          <w:sz w:val="24"/>
          <w:szCs w:val="24"/>
        </w:rPr>
        <w:t>refer</w:t>
      </w:r>
      <w:r w:rsidR="00DF214F" w:rsidRPr="00F533A8">
        <w:rPr>
          <w:rFonts w:ascii="Arial" w:hAnsi="Arial" w:cs="Arial"/>
          <w:sz w:val="24"/>
          <w:szCs w:val="24"/>
        </w:rPr>
        <w:t xml:space="preserve"> to the Department of </w:t>
      </w:r>
      <w:r w:rsidR="000D7C33" w:rsidRPr="00F533A8">
        <w:rPr>
          <w:rFonts w:ascii="Arial" w:hAnsi="Arial" w:cs="Arial"/>
          <w:sz w:val="24"/>
          <w:szCs w:val="24"/>
        </w:rPr>
        <w:t>T</w:t>
      </w:r>
      <w:r w:rsidR="00DF214F" w:rsidRPr="00F533A8">
        <w:rPr>
          <w:rFonts w:ascii="Arial" w:hAnsi="Arial" w:cs="Arial"/>
          <w:sz w:val="24"/>
          <w:szCs w:val="24"/>
        </w:rPr>
        <w:t>ransport</w:t>
      </w:r>
      <w:r w:rsidR="000D7C33" w:rsidRPr="00F533A8">
        <w:rPr>
          <w:rFonts w:ascii="Arial" w:hAnsi="Arial" w:cs="Arial"/>
          <w:sz w:val="24"/>
          <w:szCs w:val="24"/>
        </w:rPr>
        <w:t>,</w:t>
      </w:r>
      <w:r w:rsidR="00DF214F" w:rsidRPr="00F533A8">
        <w:rPr>
          <w:rFonts w:ascii="Arial" w:hAnsi="Arial" w:cs="Arial"/>
          <w:sz w:val="24"/>
          <w:szCs w:val="24"/>
        </w:rPr>
        <w:t xml:space="preserve"> Kwa Zulu Natal, I </w:t>
      </w:r>
      <w:r w:rsidR="000D7C33" w:rsidRPr="00F533A8">
        <w:rPr>
          <w:rFonts w:ascii="Arial" w:hAnsi="Arial" w:cs="Arial"/>
          <w:sz w:val="24"/>
          <w:szCs w:val="24"/>
        </w:rPr>
        <w:t>refer to it as DOT.</w:t>
      </w:r>
      <w:r w:rsidRPr="00F533A8">
        <w:rPr>
          <w:rFonts w:ascii="Arial" w:hAnsi="Arial" w:cs="Arial"/>
          <w:sz w:val="24"/>
          <w:szCs w:val="24"/>
        </w:rPr>
        <w:t xml:space="preserve"> I refer to the second respondent as Nexor. I refer to this application as the review application.</w:t>
      </w:r>
    </w:p>
    <w:p w14:paraId="53089D2E" w14:textId="77777777" w:rsidR="003F4484" w:rsidRPr="00F533A8" w:rsidRDefault="003F4484" w:rsidP="00E212A8">
      <w:pPr>
        <w:tabs>
          <w:tab w:val="left" w:pos="1701"/>
          <w:tab w:val="left" w:pos="2552"/>
        </w:tabs>
        <w:spacing w:line="360" w:lineRule="auto"/>
        <w:jc w:val="both"/>
        <w:rPr>
          <w:rFonts w:ascii="Arial" w:hAnsi="Arial" w:cs="Arial"/>
          <w:sz w:val="24"/>
          <w:szCs w:val="24"/>
        </w:rPr>
      </w:pPr>
    </w:p>
    <w:p w14:paraId="2220E947" w14:textId="26112737" w:rsidR="007739FD" w:rsidRPr="00F533A8" w:rsidRDefault="007739FD" w:rsidP="00E212A8">
      <w:pPr>
        <w:tabs>
          <w:tab w:val="left" w:pos="1701"/>
          <w:tab w:val="left" w:pos="2552"/>
        </w:tabs>
        <w:spacing w:line="360" w:lineRule="auto"/>
        <w:jc w:val="both"/>
        <w:rPr>
          <w:rFonts w:ascii="Arial" w:hAnsi="Arial" w:cs="Arial"/>
          <w:sz w:val="24"/>
          <w:szCs w:val="24"/>
        </w:rPr>
      </w:pPr>
      <w:r w:rsidRPr="00F533A8">
        <w:rPr>
          <w:rFonts w:ascii="Arial" w:hAnsi="Arial" w:cs="Arial"/>
          <w:sz w:val="24"/>
          <w:szCs w:val="24"/>
        </w:rPr>
        <w:t>[</w:t>
      </w:r>
      <w:r w:rsidR="002F3C31" w:rsidRPr="00F533A8">
        <w:rPr>
          <w:rFonts w:ascii="Arial" w:hAnsi="Arial" w:cs="Arial"/>
          <w:sz w:val="24"/>
          <w:szCs w:val="24"/>
        </w:rPr>
        <w:t>3</w:t>
      </w:r>
      <w:r w:rsidRPr="00F533A8">
        <w:rPr>
          <w:rFonts w:ascii="Arial" w:hAnsi="Arial" w:cs="Arial"/>
          <w:sz w:val="24"/>
          <w:szCs w:val="24"/>
        </w:rPr>
        <w:t>]</w:t>
      </w:r>
      <w:r w:rsidR="008329CC">
        <w:rPr>
          <w:rFonts w:ascii="Arial" w:hAnsi="Arial" w:cs="Arial"/>
          <w:sz w:val="24"/>
          <w:szCs w:val="24"/>
        </w:rPr>
        <w:t xml:space="preserve">   </w:t>
      </w:r>
      <w:r w:rsidRPr="00F533A8">
        <w:rPr>
          <w:rFonts w:ascii="Arial" w:hAnsi="Arial" w:cs="Arial"/>
          <w:sz w:val="24"/>
          <w:szCs w:val="24"/>
        </w:rPr>
        <w:t xml:space="preserve">Proclamation R.36 </w:t>
      </w:r>
      <w:r w:rsidR="002F3C31" w:rsidRPr="00F533A8">
        <w:rPr>
          <w:rFonts w:ascii="Arial" w:hAnsi="Arial" w:cs="Arial"/>
          <w:sz w:val="24"/>
          <w:szCs w:val="24"/>
        </w:rPr>
        <w:t xml:space="preserve">issued by </w:t>
      </w:r>
      <w:r w:rsidR="00121749" w:rsidRPr="00F533A8">
        <w:rPr>
          <w:rFonts w:ascii="Arial" w:hAnsi="Arial" w:cs="Arial"/>
          <w:sz w:val="24"/>
          <w:szCs w:val="24"/>
        </w:rPr>
        <w:t>the President of the Republic of South Africa (“the President”)</w:t>
      </w:r>
      <w:r w:rsidR="002F3C31" w:rsidRPr="00F533A8">
        <w:rPr>
          <w:rFonts w:ascii="Arial" w:hAnsi="Arial" w:cs="Arial"/>
          <w:sz w:val="24"/>
          <w:szCs w:val="24"/>
        </w:rPr>
        <w:t xml:space="preserve"> on 18 December 2018</w:t>
      </w:r>
      <w:r w:rsidR="00456A75">
        <w:rPr>
          <w:rFonts w:ascii="Arial" w:hAnsi="Arial" w:cs="Arial"/>
          <w:sz w:val="24"/>
          <w:szCs w:val="24"/>
        </w:rPr>
        <w:t>,</w:t>
      </w:r>
      <w:r w:rsidR="00121749" w:rsidRPr="00F533A8">
        <w:rPr>
          <w:rFonts w:ascii="Arial" w:hAnsi="Arial" w:cs="Arial"/>
          <w:sz w:val="24"/>
          <w:szCs w:val="24"/>
        </w:rPr>
        <w:t xml:space="preserve"> authoris</w:t>
      </w:r>
      <w:r w:rsidR="002F3C31" w:rsidRPr="00F533A8">
        <w:rPr>
          <w:rFonts w:ascii="Arial" w:hAnsi="Arial" w:cs="Arial"/>
          <w:sz w:val="24"/>
          <w:szCs w:val="24"/>
        </w:rPr>
        <w:t xml:space="preserve">es </w:t>
      </w:r>
      <w:r w:rsidR="00121749" w:rsidRPr="00F533A8">
        <w:rPr>
          <w:rFonts w:ascii="Arial" w:hAnsi="Arial" w:cs="Arial"/>
          <w:sz w:val="24"/>
          <w:szCs w:val="24"/>
        </w:rPr>
        <w:t>the SIU to investigate the process that led to the awarding of the tender</w:t>
      </w:r>
      <w:r w:rsidRPr="00F533A8">
        <w:rPr>
          <w:rFonts w:ascii="Arial" w:hAnsi="Arial" w:cs="Arial"/>
          <w:sz w:val="24"/>
          <w:szCs w:val="24"/>
        </w:rPr>
        <w:t xml:space="preserve">. </w:t>
      </w:r>
      <w:r w:rsidR="002F3C31" w:rsidRPr="00F533A8">
        <w:rPr>
          <w:rFonts w:ascii="Arial" w:hAnsi="Arial" w:cs="Arial"/>
          <w:sz w:val="24"/>
          <w:szCs w:val="24"/>
        </w:rPr>
        <w:t>The SIU</w:t>
      </w:r>
      <w:r w:rsidRPr="00F533A8">
        <w:rPr>
          <w:rFonts w:ascii="Arial" w:hAnsi="Arial" w:cs="Arial"/>
          <w:sz w:val="24"/>
          <w:szCs w:val="24"/>
        </w:rPr>
        <w:t xml:space="preserve"> contends that when it investigated the process that led to the awarding of the tender, it found various irregularities. It grounds its case on the alleged irregularities. It contends that when it awarded the tender, </w:t>
      </w:r>
      <w:r w:rsidR="00EA7584" w:rsidRPr="00F533A8">
        <w:rPr>
          <w:rFonts w:ascii="Arial" w:hAnsi="Arial" w:cs="Arial"/>
          <w:sz w:val="24"/>
          <w:szCs w:val="24"/>
        </w:rPr>
        <w:t>DOT</w:t>
      </w:r>
      <w:r w:rsidRPr="00F533A8">
        <w:rPr>
          <w:rFonts w:ascii="Arial" w:hAnsi="Arial" w:cs="Arial"/>
          <w:sz w:val="24"/>
          <w:szCs w:val="24"/>
        </w:rPr>
        <w:t xml:space="preserve"> contravened various procurement statutory provisions and regulations. As a </w:t>
      </w:r>
      <w:r w:rsidR="008C7CCB" w:rsidRPr="00F533A8">
        <w:rPr>
          <w:rFonts w:ascii="Arial" w:hAnsi="Arial" w:cs="Arial"/>
          <w:sz w:val="24"/>
          <w:szCs w:val="24"/>
        </w:rPr>
        <w:t>result,</w:t>
      </w:r>
      <w:r w:rsidRPr="00F533A8">
        <w:rPr>
          <w:rFonts w:ascii="Arial" w:hAnsi="Arial" w:cs="Arial"/>
          <w:sz w:val="24"/>
          <w:szCs w:val="24"/>
        </w:rPr>
        <w:t xml:space="preserve"> the procurement process breaches s</w:t>
      </w:r>
      <w:r w:rsidR="00456A75">
        <w:rPr>
          <w:rFonts w:ascii="Arial" w:hAnsi="Arial" w:cs="Arial"/>
          <w:sz w:val="24"/>
          <w:szCs w:val="24"/>
        </w:rPr>
        <w:t xml:space="preserve">ection </w:t>
      </w:r>
      <w:r w:rsidRPr="00F533A8">
        <w:rPr>
          <w:rFonts w:ascii="Arial" w:hAnsi="Arial" w:cs="Arial"/>
          <w:sz w:val="24"/>
          <w:szCs w:val="24"/>
        </w:rPr>
        <w:t>217 of the Constitution which provides that when</w:t>
      </w:r>
      <w:r w:rsidR="00121749" w:rsidRPr="00F533A8">
        <w:rPr>
          <w:rFonts w:ascii="Arial" w:hAnsi="Arial" w:cs="Arial"/>
          <w:sz w:val="24"/>
          <w:szCs w:val="24"/>
        </w:rPr>
        <w:t xml:space="preserve"> an organ of state procures </w:t>
      </w:r>
      <w:r w:rsidRPr="00F533A8">
        <w:rPr>
          <w:rFonts w:ascii="Arial" w:hAnsi="Arial" w:cs="Arial"/>
          <w:sz w:val="24"/>
          <w:szCs w:val="24"/>
        </w:rPr>
        <w:t>good</w:t>
      </w:r>
      <w:r w:rsidR="00121749" w:rsidRPr="00F533A8">
        <w:rPr>
          <w:rFonts w:ascii="Arial" w:hAnsi="Arial" w:cs="Arial"/>
          <w:sz w:val="24"/>
          <w:szCs w:val="24"/>
        </w:rPr>
        <w:t>s</w:t>
      </w:r>
      <w:r w:rsidRPr="00F533A8">
        <w:rPr>
          <w:rFonts w:ascii="Arial" w:hAnsi="Arial" w:cs="Arial"/>
          <w:sz w:val="24"/>
          <w:szCs w:val="24"/>
        </w:rPr>
        <w:t xml:space="preserve"> and services</w:t>
      </w:r>
      <w:r w:rsidR="00121749" w:rsidRPr="00F533A8">
        <w:rPr>
          <w:rFonts w:ascii="Arial" w:hAnsi="Arial" w:cs="Arial"/>
          <w:sz w:val="24"/>
          <w:szCs w:val="24"/>
        </w:rPr>
        <w:t xml:space="preserve">, it </w:t>
      </w:r>
      <w:r w:rsidRPr="00F533A8">
        <w:rPr>
          <w:rFonts w:ascii="Arial" w:hAnsi="Arial" w:cs="Arial"/>
          <w:sz w:val="24"/>
          <w:szCs w:val="24"/>
        </w:rPr>
        <w:t xml:space="preserve">must </w:t>
      </w:r>
      <w:r w:rsidR="00121749" w:rsidRPr="00F533A8">
        <w:rPr>
          <w:rFonts w:ascii="Arial" w:hAnsi="Arial" w:cs="Arial"/>
          <w:sz w:val="24"/>
          <w:szCs w:val="24"/>
        </w:rPr>
        <w:t xml:space="preserve">do so </w:t>
      </w:r>
      <w:r w:rsidRPr="00F533A8">
        <w:rPr>
          <w:rFonts w:ascii="Arial" w:hAnsi="Arial" w:cs="Arial"/>
          <w:sz w:val="24"/>
          <w:szCs w:val="24"/>
        </w:rPr>
        <w:t xml:space="preserve">in accordance with a system that is fair, equitable, transparent, </w:t>
      </w:r>
      <w:r w:rsidR="008C7CCB" w:rsidRPr="00F533A8">
        <w:rPr>
          <w:rFonts w:ascii="Arial" w:hAnsi="Arial" w:cs="Arial"/>
          <w:sz w:val="24"/>
          <w:szCs w:val="24"/>
        </w:rPr>
        <w:t>competitive,</w:t>
      </w:r>
      <w:r w:rsidRPr="00F533A8">
        <w:rPr>
          <w:rFonts w:ascii="Arial" w:hAnsi="Arial" w:cs="Arial"/>
          <w:sz w:val="24"/>
          <w:szCs w:val="24"/>
        </w:rPr>
        <w:t xml:space="preserve"> and cost effective.  </w:t>
      </w:r>
      <w:r w:rsidR="008C7CCB" w:rsidRPr="00F533A8">
        <w:rPr>
          <w:rFonts w:ascii="Arial" w:hAnsi="Arial" w:cs="Arial"/>
          <w:sz w:val="24"/>
          <w:szCs w:val="24"/>
        </w:rPr>
        <w:t>It also contends that</w:t>
      </w:r>
      <w:r w:rsidR="006A2F08" w:rsidRPr="00F533A8">
        <w:rPr>
          <w:rFonts w:ascii="Arial" w:hAnsi="Arial" w:cs="Arial"/>
          <w:sz w:val="24"/>
          <w:szCs w:val="24"/>
        </w:rPr>
        <w:t xml:space="preserve"> when it submitted its claims for various services, </w:t>
      </w:r>
      <w:r w:rsidR="00456A75">
        <w:rPr>
          <w:rFonts w:ascii="Arial" w:hAnsi="Arial" w:cs="Arial"/>
          <w:sz w:val="24"/>
          <w:szCs w:val="24"/>
        </w:rPr>
        <w:t xml:space="preserve">Nexor </w:t>
      </w:r>
      <w:r w:rsidR="006A2F08" w:rsidRPr="00F533A8">
        <w:rPr>
          <w:rFonts w:ascii="Arial" w:hAnsi="Arial" w:cs="Arial"/>
          <w:sz w:val="24"/>
          <w:szCs w:val="24"/>
        </w:rPr>
        <w:t>exaggerated them and/ or claim</w:t>
      </w:r>
      <w:r w:rsidR="002F3C31" w:rsidRPr="00F533A8">
        <w:rPr>
          <w:rFonts w:ascii="Arial" w:hAnsi="Arial" w:cs="Arial"/>
          <w:sz w:val="24"/>
          <w:szCs w:val="24"/>
        </w:rPr>
        <w:t>ed</w:t>
      </w:r>
      <w:r w:rsidR="006A2F08" w:rsidRPr="00F533A8">
        <w:rPr>
          <w:rFonts w:ascii="Arial" w:hAnsi="Arial" w:cs="Arial"/>
          <w:sz w:val="24"/>
          <w:szCs w:val="24"/>
        </w:rPr>
        <w:t xml:space="preserve"> for services not rendered.</w:t>
      </w:r>
    </w:p>
    <w:p w14:paraId="1386308B" w14:textId="77777777" w:rsidR="002F3C31" w:rsidRPr="00F533A8" w:rsidRDefault="002F3C31" w:rsidP="00E212A8">
      <w:pPr>
        <w:tabs>
          <w:tab w:val="left" w:pos="1701"/>
          <w:tab w:val="left" w:pos="2552"/>
        </w:tabs>
        <w:spacing w:line="360" w:lineRule="auto"/>
        <w:jc w:val="both"/>
        <w:rPr>
          <w:rFonts w:ascii="Arial" w:hAnsi="Arial" w:cs="Arial"/>
          <w:sz w:val="24"/>
          <w:szCs w:val="24"/>
        </w:rPr>
      </w:pPr>
    </w:p>
    <w:p w14:paraId="4CEE9D38" w14:textId="34D8A20A" w:rsidR="00117CB4" w:rsidRPr="00F533A8" w:rsidRDefault="008C7CCB" w:rsidP="00E212A8">
      <w:pPr>
        <w:pStyle w:val="p1"/>
        <w:spacing w:line="360" w:lineRule="auto"/>
        <w:jc w:val="both"/>
        <w:rPr>
          <w:rStyle w:val="s1"/>
          <w:rFonts w:ascii="Arial" w:hAnsi="Arial" w:cs="Arial"/>
          <w:sz w:val="24"/>
          <w:szCs w:val="24"/>
        </w:rPr>
      </w:pPr>
      <w:r w:rsidRPr="00F533A8">
        <w:rPr>
          <w:rFonts w:ascii="Arial" w:hAnsi="Arial" w:cs="Arial"/>
          <w:sz w:val="24"/>
          <w:szCs w:val="24"/>
        </w:rPr>
        <w:lastRenderedPageBreak/>
        <w:t>[</w:t>
      </w:r>
      <w:r w:rsidR="002F3C31" w:rsidRPr="00F533A8">
        <w:rPr>
          <w:rFonts w:ascii="Arial" w:hAnsi="Arial" w:cs="Arial"/>
          <w:sz w:val="24"/>
          <w:szCs w:val="24"/>
        </w:rPr>
        <w:t>4</w:t>
      </w:r>
      <w:r w:rsidRPr="00F533A8">
        <w:rPr>
          <w:rFonts w:ascii="Arial" w:hAnsi="Arial" w:cs="Arial"/>
          <w:sz w:val="24"/>
          <w:szCs w:val="24"/>
        </w:rPr>
        <w:t>]</w:t>
      </w:r>
      <w:r w:rsidR="008329CC">
        <w:rPr>
          <w:rFonts w:ascii="Arial" w:hAnsi="Arial" w:cs="Arial"/>
          <w:sz w:val="24"/>
          <w:szCs w:val="24"/>
        </w:rPr>
        <w:t xml:space="preserve">   </w:t>
      </w:r>
      <w:r w:rsidR="002F3C31" w:rsidRPr="00F533A8">
        <w:rPr>
          <w:rFonts w:ascii="Arial" w:hAnsi="Arial" w:cs="Arial"/>
          <w:sz w:val="24"/>
          <w:szCs w:val="24"/>
        </w:rPr>
        <w:t>Nexor</w:t>
      </w:r>
      <w:r w:rsidR="00452A74" w:rsidRPr="00F533A8">
        <w:rPr>
          <w:rFonts w:ascii="Arial" w:hAnsi="Arial" w:cs="Arial"/>
          <w:sz w:val="24"/>
          <w:szCs w:val="24"/>
        </w:rPr>
        <w:t xml:space="preserve"> vigorously opposes the application</w:t>
      </w:r>
      <w:r w:rsidR="009C766C" w:rsidRPr="00F533A8">
        <w:rPr>
          <w:rFonts w:ascii="Arial" w:hAnsi="Arial" w:cs="Arial"/>
          <w:sz w:val="24"/>
          <w:szCs w:val="24"/>
        </w:rPr>
        <w:t xml:space="preserve"> on various grounds</w:t>
      </w:r>
      <w:r w:rsidRPr="00F533A8">
        <w:rPr>
          <w:rFonts w:ascii="Arial" w:hAnsi="Arial" w:cs="Arial"/>
          <w:sz w:val="24"/>
          <w:szCs w:val="24"/>
        </w:rPr>
        <w:t xml:space="preserve">. </w:t>
      </w:r>
      <w:r w:rsidR="006A2F08" w:rsidRPr="00F533A8">
        <w:rPr>
          <w:rFonts w:ascii="Arial" w:hAnsi="Arial" w:cs="Arial"/>
          <w:sz w:val="24"/>
          <w:szCs w:val="24"/>
        </w:rPr>
        <w:t>I</w:t>
      </w:r>
      <w:r w:rsidRPr="00F533A8">
        <w:rPr>
          <w:rFonts w:ascii="Arial" w:hAnsi="Arial" w:cs="Arial"/>
          <w:sz w:val="24"/>
          <w:szCs w:val="24"/>
        </w:rPr>
        <w:t xml:space="preserve">t has raised various points </w:t>
      </w:r>
      <w:r w:rsidRPr="00F533A8">
        <w:rPr>
          <w:rFonts w:ascii="Arial" w:hAnsi="Arial" w:cs="Arial"/>
          <w:i/>
          <w:iCs/>
          <w:sz w:val="24"/>
          <w:szCs w:val="24"/>
        </w:rPr>
        <w:t>in limine</w:t>
      </w:r>
      <w:r w:rsidRPr="00F533A8">
        <w:rPr>
          <w:rFonts w:ascii="Arial" w:hAnsi="Arial" w:cs="Arial"/>
          <w:sz w:val="24"/>
          <w:szCs w:val="24"/>
        </w:rPr>
        <w:t xml:space="preserve">. It also opposes the application on the merits. </w:t>
      </w:r>
      <w:r w:rsidR="00117CB4" w:rsidRPr="00F533A8">
        <w:rPr>
          <w:rFonts w:ascii="Arial" w:hAnsi="Arial" w:cs="Arial"/>
          <w:sz w:val="24"/>
          <w:szCs w:val="24"/>
        </w:rPr>
        <w:t xml:space="preserve">It </w:t>
      </w:r>
      <w:r w:rsidR="00117CB4" w:rsidRPr="00F533A8">
        <w:rPr>
          <w:rStyle w:val="s1"/>
          <w:rFonts w:ascii="Arial" w:hAnsi="Arial" w:cs="Arial"/>
          <w:sz w:val="24"/>
          <w:szCs w:val="24"/>
        </w:rPr>
        <w:t xml:space="preserve">contends that the tender was adjudicated following a lawful tender process.  </w:t>
      </w:r>
    </w:p>
    <w:p w14:paraId="6F4BD8B4" w14:textId="77777777" w:rsidR="00452A74" w:rsidRPr="00F533A8" w:rsidRDefault="00452A74" w:rsidP="00E212A8">
      <w:pPr>
        <w:tabs>
          <w:tab w:val="left" w:pos="1701"/>
          <w:tab w:val="left" w:pos="2552"/>
        </w:tabs>
        <w:spacing w:line="360" w:lineRule="auto"/>
        <w:jc w:val="both"/>
        <w:rPr>
          <w:rFonts w:ascii="Arial" w:hAnsi="Arial" w:cs="Arial"/>
          <w:sz w:val="24"/>
          <w:szCs w:val="24"/>
        </w:rPr>
      </w:pPr>
    </w:p>
    <w:p w14:paraId="307C21A5" w14:textId="28A3384F" w:rsidR="00452A74" w:rsidRPr="00F533A8" w:rsidRDefault="00452A74" w:rsidP="00E212A8">
      <w:pPr>
        <w:tabs>
          <w:tab w:val="left" w:pos="1701"/>
          <w:tab w:val="left" w:pos="2552"/>
        </w:tabs>
        <w:spacing w:line="360" w:lineRule="auto"/>
        <w:jc w:val="both"/>
        <w:rPr>
          <w:rFonts w:ascii="Arial" w:hAnsi="Arial" w:cs="Arial"/>
          <w:sz w:val="24"/>
          <w:szCs w:val="24"/>
        </w:rPr>
      </w:pPr>
      <w:r w:rsidRPr="00F533A8">
        <w:rPr>
          <w:rFonts w:ascii="Arial" w:hAnsi="Arial" w:cs="Arial"/>
          <w:sz w:val="24"/>
          <w:szCs w:val="24"/>
        </w:rPr>
        <w:t>[</w:t>
      </w:r>
      <w:r w:rsidR="002F3C31" w:rsidRPr="00F533A8">
        <w:rPr>
          <w:rFonts w:ascii="Arial" w:hAnsi="Arial" w:cs="Arial"/>
          <w:sz w:val="24"/>
          <w:szCs w:val="24"/>
        </w:rPr>
        <w:t>5</w:t>
      </w:r>
      <w:r w:rsidRPr="00F533A8">
        <w:rPr>
          <w:rFonts w:ascii="Arial" w:hAnsi="Arial" w:cs="Arial"/>
          <w:sz w:val="24"/>
          <w:szCs w:val="24"/>
        </w:rPr>
        <w:t>]</w:t>
      </w:r>
      <w:r w:rsidR="008329CC">
        <w:rPr>
          <w:rFonts w:ascii="Arial" w:hAnsi="Arial" w:cs="Arial"/>
          <w:sz w:val="24"/>
          <w:szCs w:val="24"/>
        </w:rPr>
        <w:t xml:space="preserve">   </w:t>
      </w:r>
      <w:r w:rsidRPr="00F533A8">
        <w:rPr>
          <w:rFonts w:ascii="Arial" w:hAnsi="Arial" w:cs="Arial"/>
          <w:sz w:val="24"/>
          <w:szCs w:val="24"/>
        </w:rPr>
        <w:t xml:space="preserve">The </w:t>
      </w:r>
      <w:r w:rsidR="002F3C31" w:rsidRPr="00F533A8">
        <w:rPr>
          <w:rFonts w:ascii="Arial" w:hAnsi="Arial" w:cs="Arial"/>
          <w:sz w:val="24"/>
          <w:szCs w:val="24"/>
        </w:rPr>
        <w:t>MEC</w:t>
      </w:r>
      <w:r w:rsidRPr="00F533A8">
        <w:rPr>
          <w:rFonts w:ascii="Arial" w:hAnsi="Arial" w:cs="Arial"/>
          <w:sz w:val="24"/>
          <w:szCs w:val="24"/>
        </w:rPr>
        <w:t xml:space="preserve"> initially filed a notice to abide. When the application was ripe and enrolled for hearing in April 2023, the </w:t>
      </w:r>
      <w:r w:rsidR="002F3C31" w:rsidRPr="00F533A8">
        <w:rPr>
          <w:rFonts w:ascii="Arial" w:hAnsi="Arial" w:cs="Arial"/>
          <w:sz w:val="24"/>
          <w:szCs w:val="24"/>
        </w:rPr>
        <w:t>MEC</w:t>
      </w:r>
      <w:r w:rsidRPr="00F533A8">
        <w:rPr>
          <w:rFonts w:ascii="Arial" w:hAnsi="Arial" w:cs="Arial"/>
          <w:sz w:val="24"/>
          <w:szCs w:val="24"/>
        </w:rPr>
        <w:t xml:space="preserve"> changed </w:t>
      </w:r>
      <w:r w:rsidR="002F3C31" w:rsidRPr="00F533A8">
        <w:rPr>
          <w:rFonts w:ascii="Arial" w:hAnsi="Arial" w:cs="Arial"/>
          <w:sz w:val="24"/>
          <w:szCs w:val="24"/>
        </w:rPr>
        <w:t>his</w:t>
      </w:r>
      <w:r w:rsidRPr="00F533A8">
        <w:rPr>
          <w:rFonts w:ascii="Arial" w:hAnsi="Arial" w:cs="Arial"/>
          <w:sz w:val="24"/>
          <w:szCs w:val="24"/>
        </w:rPr>
        <w:t xml:space="preserve"> decision and decided to file opposing papers. </w:t>
      </w:r>
      <w:r w:rsidR="002F3C31" w:rsidRPr="00F533A8">
        <w:rPr>
          <w:rFonts w:ascii="Arial" w:hAnsi="Arial" w:cs="Arial"/>
          <w:sz w:val="24"/>
          <w:szCs w:val="24"/>
        </w:rPr>
        <w:t>He</w:t>
      </w:r>
      <w:r w:rsidRPr="00F533A8">
        <w:rPr>
          <w:rFonts w:ascii="Arial" w:hAnsi="Arial" w:cs="Arial"/>
          <w:sz w:val="24"/>
          <w:szCs w:val="24"/>
        </w:rPr>
        <w:t xml:space="preserve"> successfully sought a postponement for that purpose</w:t>
      </w:r>
      <w:r w:rsidR="002F3C31" w:rsidRPr="00F533A8">
        <w:rPr>
          <w:rFonts w:ascii="Arial" w:hAnsi="Arial" w:cs="Arial"/>
          <w:sz w:val="24"/>
          <w:szCs w:val="24"/>
        </w:rPr>
        <w:t>. He was</w:t>
      </w:r>
      <w:r w:rsidRPr="00F533A8">
        <w:rPr>
          <w:rFonts w:ascii="Arial" w:hAnsi="Arial" w:cs="Arial"/>
          <w:sz w:val="24"/>
          <w:szCs w:val="24"/>
        </w:rPr>
        <w:t xml:space="preserve"> ordered to pay </w:t>
      </w:r>
      <w:r w:rsidR="002F3C31" w:rsidRPr="00F533A8">
        <w:rPr>
          <w:rFonts w:ascii="Arial" w:hAnsi="Arial" w:cs="Arial"/>
          <w:sz w:val="24"/>
          <w:szCs w:val="24"/>
        </w:rPr>
        <w:t>Nexor</w:t>
      </w:r>
      <w:r w:rsidRPr="00F533A8">
        <w:rPr>
          <w:rFonts w:ascii="Arial" w:hAnsi="Arial" w:cs="Arial"/>
          <w:sz w:val="24"/>
          <w:szCs w:val="24"/>
        </w:rPr>
        <w:t xml:space="preserve">’s wasted costs on a punitive scale. The </w:t>
      </w:r>
      <w:r w:rsidR="002F3C31" w:rsidRPr="00F533A8">
        <w:rPr>
          <w:rFonts w:ascii="Arial" w:hAnsi="Arial" w:cs="Arial"/>
          <w:sz w:val="24"/>
          <w:szCs w:val="24"/>
        </w:rPr>
        <w:t>SIU</w:t>
      </w:r>
      <w:r w:rsidRPr="00F533A8">
        <w:rPr>
          <w:rFonts w:ascii="Arial" w:hAnsi="Arial" w:cs="Arial"/>
          <w:sz w:val="24"/>
          <w:szCs w:val="24"/>
        </w:rPr>
        <w:t xml:space="preserve">’s wasted costs if any, were reserved for determination with the </w:t>
      </w:r>
      <w:r w:rsidR="002F3C31" w:rsidRPr="00F533A8">
        <w:rPr>
          <w:rFonts w:ascii="Arial" w:hAnsi="Arial" w:cs="Arial"/>
          <w:sz w:val="24"/>
          <w:szCs w:val="24"/>
        </w:rPr>
        <w:t>review</w:t>
      </w:r>
      <w:r w:rsidRPr="00F533A8">
        <w:rPr>
          <w:rFonts w:ascii="Arial" w:hAnsi="Arial" w:cs="Arial"/>
          <w:sz w:val="24"/>
          <w:szCs w:val="24"/>
        </w:rPr>
        <w:t xml:space="preserve"> application.</w:t>
      </w:r>
    </w:p>
    <w:p w14:paraId="096D71CF" w14:textId="77777777" w:rsidR="000D7C33" w:rsidRPr="00F533A8" w:rsidRDefault="000D7C33" w:rsidP="00E212A8">
      <w:pPr>
        <w:tabs>
          <w:tab w:val="left" w:pos="1701"/>
          <w:tab w:val="left" w:pos="2552"/>
        </w:tabs>
        <w:spacing w:line="360" w:lineRule="auto"/>
        <w:jc w:val="both"/>
        <w:rPr>
          <w:rFonts w:ascii="Arial" w:hAnsi="Arial" w:cs="Arial"/>
          <w:sz w:val="24"/>
          <w:szCs w:val="24"/>
        </w:rPr>
      </w:pPr>
    </w:p>
    <w:p w14:paraId="792675DA" w14:textId="6A2C22DD" w:rsidR="000D7C33" w:rsidRPr="00F533A8" w:rsidRDefault="000D7C33" w:rsidP="00E212A8">
      <w:pPr>
        <w:tabs>
          <w:tab w:val="left" w:pos="1701"/>
          <w:tab w:val="left" w:pos="2552"/>
        </w:tabs>
        <w:spacing w:line="360" w:lineRule="auto"/>
        <w:jc w:val="both"/>
        <w:rPr>
          <w:rFonts w:ascii="Arial" w:hAnsi="Arial" w:cs="Arial"/>
          <w:sz w:val="24"/>
          <w:szCs w:val="24"/>
        </w:rPr>
      </w:pPr>
      <w:r w:rsidRPr="00F533A8">
        <w:rPr>
          <w:rFonts w:ascii="Arial" w:hAnsi="Arial" w:cs="Arial"/>
          <w:sz w:val="24"/>
          <w:szCs w:val="24"/>
        </w:rPr>
        <w:t>[</w:t>
      </w:r>
      <w:r w:rsidR="00434445" w:rsidRPr="00F533A8">
        <w:rPr>
          <w:rFonts w:ascii="Arial" w:hAnsi="Arial" w:cs="Arial"/>
          <w:sz w:val="24"/>
          <w:szCs w:val="24"/>
        </w:rPr>
        <w:t>6</w:t>
      </w:r>
      <w:r w:rsidRPr="00F533A8">
        <w:rPr>
          <w:rFonts w:ascii="Arial" w:hAnsi="Arial" w:cs="Arial"/>
          <w:sz w:val="24"/>
          <w:szCs w:val="24"/>
        </w:rPr>
        <w:t>]</w:t>
      </w:r>
      <w:r w:rsidR="008329CC">
        <w:rPr>
          <w:rFonts w:ascii="Arial" w:hAnsi="Arial" w:cs="Arial"/>
          <w:sz w:val="24"/>
          <w:szCs w:val="24"/>
        </w:rPr>
        <w:t xml:space="preserve">   </w:t>
      </w:r>
      <w:r w:rsidRPr="00F533A8">
        <w:rPr>
          <w:rFonts w:ascii="Arial" w:hAnsi="Arial" w:cs="Arial"/>
          <w:sz w:val="24"/>
          <w:szCs w:val="24"/>
        </w:rPr>
        <w:t xml:space="preserve">Nexor </w:t>
      </w:r>
      <w:r w:rsidR="009C766C" w:rsidRPr="00F533A8">
        <w:rPr>
          <w:rFonts w:ascii="Arial" w:hAnsi="Arial" w:cs="Arial"/>
          <w:sz w:val="24"/>
          <w:szCs w:val="24"/>
        </w:rPr>
        <w:t xml:space="preserve">had </w:t>
      </w:r>
      <w:r w:rsidRPr="00F533A8">
        <w:rPr>
          <w:rFonts w:ascii="Arial" w:hAnsi="Arial" w:cs="Arial"/>
          <w:sz w:val="24"/>
          <w:szCs w:val="24"/>
        </w:rPr>
        <w:t xml:space="preserve">brought an application to compel the filing of </w:t>
      </w:r>
      <w:r w:rsidR="008C1523" w:rsidRPr="00F533A8">
        <w:rPr>
          <w:rFonts w:ascii="Arial" w:hAnsi="Arial" w:cs="Arial"/>
          <w:sz w:val="24"/>
          <w:szCs w:val="24"/>
        </w:rPr>
        <w:t xml:space="preserve">additional </w:t>
      </w:r>
      <w:r w:rsidR="009C766C" w:rsidRPr="00F533A8">
        <w:rPr>
          <w:rFonts w:ascii="Arial" w:hAnsi="Arial" w:cs="Arial"/>
          <w:sz w:val="24"/>
          <w:szCs w:val="24"/>
        </w:rPr>
        <w:t xml:space="preserve">material </w:t>
      </w:r>
      <w:r w:rsidR="008C1523" w:rsidRPr="00F533A8">
        <w:rPr>
          <w:rFonts w:ascii="Arial" w:hAnsi="Arial" w:cs="Arial"/>
          <w:sz w:val="24"/>
          <w:szCs w:val="24"/>
        </w:rPr>
        <w:t xml:space="preserve">that </w:t>
      </w:r>
      <w:r w:rsidR="006008E2" w:rsidRPr="00F533A8">
        <w:rPr>
          <w:rFonts w:ascii="Arial" w:hAnsi="Arial" w:cs="Arial"/>
          <w:sz w:val="24"/>
          <w:szCs w:val="24"/>
        </w:rPr>
        <w:t xml:space="preserve">purportedly </w:t>
      </w:r>
      <w:r w:rsidR="008C1523" w:rsidRPr="00F533A8">
        <w:rPr>
          <w:rFonts w:ascii="Arial" w:hAnsi="Arial" w:cs="Arial"/>
          <w:sz w:val="24"/>
          <w:szCs w:val="24"/>
        </w:rPr>
        <w:t xml:space="preserve">form part of </w:t>
      </w:r>
      <w:r w:rsidRPr="00F533A8">
        <w:rPr>
          <w:rFonts w:ascii="Arial" w:hAnsi="Arial" w:cs="Arial"/>
          <w:sz w:val="24"/>
          <w:szCs w:val="24"/>
        </w:rPr>
        <w:t xml:space="preserve">the record of the impugned tender. </w:t>
      </w:r>
      <w:r w:rsidR="00081955" w:rsidRPr="00F533A8">
        <w:rPr>
          <w:rFonts w:ascii="Arial" w:hAnsi="Arial" w:cs="Arial"/>
          <w:sz w:val="24"/>
          <w:szCs w:val="24"/>
        </w:rPr>
        <w:t xml:space="preserve">The SIU </w:t>
      </w:r>
      <w:r w:rsidR="000B6850" w:rsidRPr="00F533A8">
        <w:rPr>
          <w:rFonts w:ascii="Arial" w:hAnsi="Arial" w:cs="Arial"/>
          <w:sz w:val="24"/>
          <w:szCs w:val="24"/>
        </w:rPr>
        <w:t xml:space="preserve">partially </w:t>
      </w:r>
      <w:r w:rsidRPr="00F533A8">
        <w:rPr>
          <w:rFonts w:ascii="Arial" w:hAnsi="Arial" w:cs="Arial"/>
          <w:sz w:val="24"/>
          <w:szCs w:val="24"/>
        </w:rPr>
        <w:t xml:space="preserve">complied with </w:t>
      </w:r>
      <w:r w:rsidR="008C1523" w:rsidRPr="00F533A8">
        <w:rPr>
          <w:rFonts w:ascii="Arial" w:hAnsi="Arial" w:cs="Arial"/>
          <w:sz w:val="24"/>
          <w:szCs w:val="24"/>
        </w:rPr>
        <w:t>Nexor’s</w:t>
      </w:r>
      <w:r w:rsidRPr="00F533A8">
        <w:rPr>
          <w:rFonts w:ascii="Arial" w:hAnsi="Arial" w:cs="Arial"/>
          <w:sz w:val="24"/>
          <w:szCs w:val="24"/>
        </w:rPr>
        <w:t xml:space="preserve"> request </w:t>
      </w:r>
      <w:r w:rsidR="008C1523" w:rsidRPr="00F533A8">
        <w:rPr>
          <w:rFonts w:ascii="Arial" w:hAnsi="Arial" w:cs="Arial"/>
          <w:sz w:val="24"/>
          <w:szCs w:val="24"/>
        </w:rPr>
        <w:t xml:space="preserve">for </w:t>
      </w:r>
      <w:r w:rsidR="006008E2" w:rsidRPr="00F533A8">
        <w:rPr>
          <w:rFonts w:ascii="Arial" w:hAnsi="Arial" w:cs="Arial"/>
          <w:sz w:val="24"/>
          <w:szCs w:val="24"/>
        </w:rPr>
        <w:t xml:space="preserve">the </w:t>
      </w:r>
      <w:r w:rsidR="009C766C" w:rsidRPr="00F533A8">
        <w:rPr>
          <w:rFonts w:ascii="Arial" w:hAnsi="Arial" w:cs="Arial"/>
          <w:sz w:val="24"/>
          <w:szCs w:val="24"/>
        </w:rPr>
        <w:t xml:space="preserve">material </w:t>
      </w:r>
      <w:r w:rsidRPr="00F533A8">
        <w:rPr>
          <w:rFonts w:ascii="Arial" w:hAnsi="Arial" w:cs="Arial"/>
          <w:sz w:val="24"/>
          <w:szCs w:val="24"/>
        </w:rPr>
        <w:t>after Nexor had instituted the application</w:t>
      </w:r>
      <w:r w:rsidR="00456A75">
        <w:rPr>
          <w:rFonts w:ascii="Arial" w:hAnsi="Arial" w:cs="Arial"/>
          <w:sz w:val="24"/>
          <w:szCs w:val="24"/>
        </w:rPr>
        <w:t xml:space="preserve"> to compel</w:t>
      </w:r>
      <w:r w:rsidR="000B6850" w:rsidRPr="00F533A8">
        <w:rPr>
          <w:rFonts w:ascii="Arial" w:hAnsi="Arial" w:cs="Arial"/>
          <w:sz w:val="24"/>
          <w:szCs w:val="24"/>
        </w:rPr>
        <w:t>, disclosing only those documents it contends it has in its possession</w:t>
      </w:r>
      <w:r w:rsidRPr="00F533A8">
        <w:rPr>
          <w:rFonts w:ascii="Arial" w:hAnsi="Arial" w:cs="Arial"/>
          <w:sz w:val="24"/>
          <w:szCs w:val="24"/>
        </w:rPr>
        <w:t>.</w:t>
      </w:r>
      <w:r w:rsidR="000B6850" w:rsidRPr="00F533A8">
        <w:rPr>
          <w:rFonts w:ascii="Arial" w:hAnsi="Arial" w:cs="Arial"/>
          <w:sz w:val="24"/>
          <w:szCs w:val="24"/>
        </w:rPr>
        <w:t xml:space="preserve"> It also filed an explanatory affidavit in which it only opposes the costs of the application. Nexor seeks such costs on a punitive scale.</w:t>
      </w:r>
      <w:r w:rsidRPr="00F533A8">
        <w:rPr>
          <w:rFonts w:ascii="Arial" w:hAnsi="Arial" w:cs="Arial"/>
          <w:sz w:val="24"/>
          <w:szCs w:val="24"/>
        </w:rPr>
        <w:t xml:space="preserve"> As a result, the costs of that application were reserved. They stand to be determined in this application. </w:t>
      </w:r>
    </w:p>
    <w:p w14:paraId="6593B234" w14:textId="77777777" w:rsidR="009C766C" w:rsidRPr="00F533A8" w:rsidRDefault="009C766C" w:rsidP="00E212A8">
      <w:pPr>
        <w:tabs>
          <w:tab w:val="left" w:pos="1701"/>
          <w:tab w:val="left" w:pos="2552"/>
        </w:tabs>
        <w:spacing w:line="360" w:lineRule="auto"/>
        <w:jc w:val="both"/>
        <w:rPr>
          <w:rFonts w:ascii="Arial" w:hAnsi="Arial" w:cs="Arial"/>
          <w:sz w:val="24"/>
          <w:szCs w:val="24"/>
        </w:rPr>
      </w:pPr>
    </w:p>
    <w:p w14:paraId="70E8A2DC" w14:textId="36E42281" w:rsidR="00452A74" w:rsidRPr="00F533A8" w:rsidRDefault="00452A74" w:rsidP="00E212A8">
      <w:pPr>
        <w:tabs>
          <w:tab w:val="left" w:pos="1701"/>
          <w:tab w:val="left" w:pos="2552"/>
        </w:tabs>
        <w:spacing w:line="360" w:lineRule="auto"/>
        <w:jc w:val="both"/>
        <w:rPr>
          <w:rFonts w:ascii="Arial" w:hAnsi="Arial" w:cs="Arial"/>
          <w:sz w:val="24"/>
          <w:szCs w:val="24"/>
        </w:rPr>
      </w:pPr>
      <w:r w:rsidRPr="00F533A8">
        <w:rPr>
          <w:rFonts w:ascii="Arial" w:hAnsi="Arial" w:cs="Arial"/>
          <w:sz w:val="24"/>
          <w:szCs w:val="24"/>
        </w:rPr>
        <w:t>[</w:t>
      </w:r>
      <w:r w:rsidR="00434445" w:rsidRPr="00F533A8">
        <w:rPr>
          <w:rFonts w:ascii="Arial" w:hAnsi="Arial" w:cs="Arial"/>
          <w:sz w:val="24"/>
          <w:szCs w:val="24"/>
        </w:rPr>
        <w:t>7</w:t>
      </w:r>
      <w:r w:rsidRPr="00F533A8">
        <w:rPr>
          <w:rFonts w:ascii="Arial" w:hAnsi="Arial" w:cs="Arial"/>
          <w:sz w:val="24"/>
          <w:szCs w:val="24"/>
        </w:rPr>
        <w:t>]</w:t>
      </w:r>
      <w:r w:rsidR="008329CC">
        <w:rPr>
          <w:rFonts w:ascii="Arial" w:hAnsi="Arial" w:cs="Arial"/>
          <w:sz w:val="24"/>
          <w:szCs w:val="24"/>
        </w:rPr>
        <w:t xml:space="preserve">  </w:t>
      </w:r>
      <w:r w:rsidRPr="00F533A8">
        <w:rPr>
          <w:rFonts w:ascii="Arial" w:hAnsi="Arial" w:cs="Arial"/>
          <w:sz w:val="24"/>
          <w:szCs w:val="24"/>
        </w:rPr>
        <w:t xml:space="preserve">Not only did the </w:t>
      </w:r>
      <w:r w:rsidR="002F3C31" w:rsidRPr="00F533A8">
        <w:rPr>
          <w:rFonts w:ascii="Arial" w:hAnsi="Arial" w:cs="Arial"/>
          <w:sz w:val="24"/>
          <w:szCs w:val="24"/>
        </w:rPr>
        <w:t>MEC</w:t>
      </w:r>
      <w:r w:rsidRPr="00F533A8">
        <w:rPr>
          <w:rFonts w:ascii="Arial" w:hAnsi="Arial" w:cs="Arial"/>
          <w:sz w:val="24"/>
          <w:szCs w:val="24"/>
        </w:rPr>
        <w:t xml:space="preserve"> file opposing papers</w:t>
      </w:r>
      <w:r w:rsidR="006A2F08" w:rsidRPr="00F533A8">
        <w:rPr>
          <w:rFonts w:ascii="Arial" w:hAnsi="Arial" w:cs="Arial"/>
          <w:sz w:val="24"/>
          <w:szCs w:val="24"/>
        </w:rPr>
        <w:t>,</w:t>
      </w:r>
      <w:r w:rsidRPr="00F533A8">
        <w:rPr>
          <w:rFonts w:ascii="Arial" w:hAnsi="Arial" w:cs="Arial"/>
          <w:sz w:val="24"/>
          <w:szCs w:val="24"/>
        </w:rPr>
        <w:t xml:space="preserve"> </w:t>
      </w:r>
      <w:r w:rsidR="008C1523" w:rsidRPr="00F533A8">
        <w:rPr>
          <w:rFonts w:ascii="Arial" w:hAnsi="Arial" w:cs="Arial"/>
          <w:sz w:val="24"/>
          <w:szCs w:val="24"/>
        </w:rPr>
        <w:t>but he</w:t>
      </w:r>
      <w:r w:rsidRPr="00F533A8">
        <w:rPr>
          <w:rFonts w:ascii="Arial" w:hAnsi="Arial" w:cs="Arial"/>
          <w:sz w:val="24"/>
          <w:szCs w:val="24"/>
        </w:rPr>
        <w:t xml:space="preserve"> also filed a counterapplication. </w:t>
      </w:r>
      <w:r w:rsidR="002F3C31" w:rsidRPr="00F533A8">
        <w:rPr>
          <w:rFonts w:ascii="Arial" w:hAnsi="Arial" w:cs="Arial"/>
          <w:sz w:val="24"/>
          <w:szCs w:val="24"/>
        </w:rPr>
        <w:t>He</w:t>
      </w:r>
      <w:r w:rsidRPr="00F533A8">
        <w:rPr>
          <w:rFonts w:ascii="Arial" w:hAnsi="Arial" w:cs="Arial"/>
          <w:sz w:val="24"/>
          <w:szCs w:val="24"/>
        </w:rPr>
        <w:t xml:space="preserve"> seeks an order reviewing the </w:t>
      </w:r>
      <w:r w:rsidR="002F3C31" w:rsidRPr="00F533A8">
        <w:rPr>
          <w:rFonts w:ascii="Arial" w:hAnsi="Arial" w:cs="Arial"/>
          <w:sz w:val="24"/>
          <w:szCs w:val="24"/>
        </w:rPr>
        <w:t>SIU</w:t>
      </w:r>
      <w:r w:rsidRPr="00F533A8">
        <w:rPr>
          <w:rFonts w:ascii="Arial" w:hAnsi="Arial" w:cs="Arial"/>
          <w:sz w:val="24"/>
          <w:szCs w:val="24"/>
        </w:rPr>
        <w:t>’s report on the investigation into the procurement process</w:t>
      </w:r>
      <w:r w:rsidR="002F3C31" w:rsidRPr="00F533A8">
        <w:rPr>
          <w:rFonts w:ascii="Arial" w:hAnsi="Arial" w:cs="Arial"/>
          <w:sz w:val="24"/>
          <w:szCs w:val="24"/>
        </w:rPr>
        <w:t xml:space="preserve"> that led to the awarding of the tender</w:t>
      </w:r>
      <w:r w:rsidR="00456A75">
        <w:rPr>
          <w:rFonts w:ascii="Arial" w:hAnsi="Arial" w:cs="Arial"/>
          <w:sz w:val="24"/>
          <w:szCs w:val="24"/>
        </w:rPr>
        <w:t xml:space="preserve"> reviewed and set aside</w:t>
      </w:r>
      <w:r w:rsidR="002F3C31" w:rsidRPr="00F533A8">
        <w:rPr>
          <w:rFonts w:ascii="Arial" w:hAnsi="Arial" w:cs="Arial"/>
          <w:sz w:val="24"/>
          <w:szCs w:val="24"/>
        </w:rPr>
        <w:t>. Nexor</w:t>
      </w:r>
      <w:r w:rsidRPr="00F533A8">
        <w:rPr>
          <w:rFonts w:ascii="Arial" w:hAnsi="Arial" w:cs="Arial"/>
          <w:sz w:val="24"/>
          <w:szCs w:val="24"/>
        </w:rPr>
        <w:t xml:space="preserve"> does not oppose the counterapplication. The </w:t>
      </w:r>
      <w:r w:rsidR="002F3C31" w:rsidRPr="00F533A8">
        <w:rPr>
          <w:rFonts w:ascii="Arial" w:hAnsi="Arial" w:cs="Arial"/>
          <w:sz w:val="24"/>
          <w:szCs w:val="24"/>
        </w:rPr>
        <w:t>SIU</w:t>
      </w:r>
      <w:r w:rsidRPr="00F533A8">
        <w:rPr>
          <w:rFonts w:ascii="Arial" w:hAnsi="Arial" w:cs="Arial"/>
          <w:sz w:val="24"/>
          <w:szCs w:val="24"/>
        </w:rPr>
        <w:t xml:space="preserve"> does. I will deal with the</w:t>
      </w:r>
      <w:r w:rsidR="002F3C31" w:rsidRPr="00F533A8">
        <w:rPr>
          <w:rFonts w:ascii="Arial" w:hAnsi="Arial" w:cs="Arial"/>
          <w:sz w:val="24"/>
          <w:szCs w:val="24"/>
        </w:rPr>
        <w:t xml:space="preserve"> MEC’s grounds of review and the</w:t>
      </w:r>
      <w:r w:rsidRPr="00F533A8">
        <w:rPr>
          <w:rFonts w:ascii="Arial" w:hAnsi="Arial" w:cs="Arial"/>
          <w:sz w:val="24"/>
          <w:szCs w:val="24"/>
        </w:rPr>
        <w:t xml:space="preserve"> </w:t>
      </w:r>
      <w:r w:rsidR="002F3C31" w:rsidRPr="00F533A8">
        <w:rPr>
          <w:rFonts w:ascii="Arial" w:hAnsi="Arial" w:cs="Arial"/>
          <w:sz w:val="24"/>
          <w:szCs w:val="24"/>
        </w:rPr>
        <w:t>SIU</w:t>
      </w:r>
      <w:r w:rsidRPr="00F533A8">
        <w:rPr>
          <w:rFonts w:ascii="Arial" w:hAnsi="Arial" w:cs="Arial"/>
          <w:sz w:val="24"/>
          <w:szCs w:val="24"/>
        </w:rPr>
        <w:t xml:space="preserve">’s grounds of opposition at the appropriate time. </w:t>
      </w:r>
      <w:r w:rsidR="00434445" w:rsidRPr="00F533A8">
        <w:rPr>
          <w:rFonts w:ascii="Arial" w:hAnsi="Arial" w:cs="Arial"/>
          <w:sz w:val="24"/>
          <w:szCs w:val="24"/>
        </w:rPr>
        <w:t>I conveniently refer to this application as the counterapplication.</w:t>
      </w:r>
      <w:r w:rsidRPr="00F533A8">
        <w:rPr>
          <w:rFonts w:ascii="Arial" w:hAnsi="Arial" w:cs="Arial"/>
          <w:sz w:val="24"/>
          <w:szCs w:val="24"/>
        </w:rPr>
        <w:t xml:space="preserve">   </w:t>
      </w:r>
    </w:p>
    <w:p w14:paraId="2C5DF93E" w14:textId="77777777" w:rsidR="00704957" w:rsidRPr="00F533A8" w:rsidRDefault="00704957" w:rsidP="00E212A8">
      <w:pPr>
        <w:tabs>
          <w:tab w:val="left" w:pos="1701"/>
          <w:tab w:val="left" w:pos="2552"/>
        </w:tabs>
        <w:spacing w:line="360" w:lineRule="auto"/>
        <w:jc w:val="both"/>
        <w:rPr>
          <w:rFonts w:ascii="Arial" w:hAnsi="Arial" w:cs="Arial"/>
          <w:sz w:val="24"/>
          <w:szCs w:val="24"/>
        </w:rPr>
      </w:pPr>
    </w:p>
    <w:p w14:paraId="7826A535" w14:textId="7DE30271" w:rsidR="001A01AB" w:rsidRPr="00F533A8" w:rsidRDefault="008C7CCB" w:rsidP="00E212A8">
      <w:pPr>
        <w:tabs>
          <w:tab w:val="left" w:pos="1701"/>
          <w:tab w:val="left" w:pos="2552"/>
        </w:tabs>
        <w:spacing w:line="360" w:lineRule="auto"/>
        <w:jc w:val="both"/>
        <w:rPr>
          <w:rFonts w:ascii="Arial" w:hAnsi="Arial" w:cs="Arial"/>
          <w:sz w:val="24"/>
          <w:szCs w:val="24"/>
        </w:rPr>
      </w:pPr>
      <w:r w:rsidRPr="00F533A8">
        <w:rPr>
          <w:rFonts w:ascii="Arial" w:hAnsi="Arial" w:cs="Arial"/>
          <w:sz w:val="24"/>
          <w:szCs w:val="24"/>
        </w:rPr>
        <w:t>[</w:t>
      </w:r>
      <w:r w:rsidR="00434445" w:rsidRPr="00F533A8">
        <w:rPr>
          <w:rFonts w:ascii="Arial" w:hAnsi="Arial" w:cs="Arial"/>
          <w:sz w:val="24"/>
          <w:szCs w:val="24"/>
        </w:rPr>
        <w:t>8</w:t>
      </w:r>
      <w:r w:rsidRPr="00F533A8">
        <w:rPr>
          <w:rFonts w:ascii="Arial" w:hAnsi="Arial" w:cs="Arial"/>
          <w:sz w:val="24"/>
          <w:szCs w:val="24"/>
        </w:rPr>
        <w:t xml:space="preserve">] </w:t>
      </w:r>
      <w:r w:rsidR="008329CC">
        <w:rPr>
          <w:rFonts w:ascii="Arial" w:hAnsi="Arial" w:cs="Arial"/>
          <w:sz w:val="24"/>
          <w:szCs w:val="24"/>
        </w:rPr>
        <w:t xml:space="preserve">   </w:t>
      </w:r>
      <w:r w:rsidRPr="00F533A8">
        <w:rPr>
          <w:rFonts w:ascii="Arial" w:hAnsi="Arial" w:cs="Arial"/>
          <w:sz w:val="24"/>
          <w:szCs w:val="24"/>
        </w:rPr>
        <w:t xml:space="preserve">This judgment follows the following structure. I first deal with the review application. I start by outlining the history of the impugned procurement process. Then, I outline the </w:t>
      </w:r>
      <w:r w:rsidR="002F3C31" w:rsidRPr="00F533A8">
        <w:rPr>
          <w:rFonts w:ascii="Arial" w:hAnsi="Arial" w:cs="Arial"/>
          <w:sz w:val="24"/>
          <w:szCs w:val="24"/>
        </w:rPr>
        <w:t>SIU</w:t>
      </w:r>
      <w:r w:rsidRPr="00F533A8">
        <w:rPr>
          <w:rFonts w:ascii="Arial" w:hAnsi="Arial" w:cs="Arial"/>
          <w:sz w:val="24"/>
          <w:szCs w:val="24"/>
        </w:rPr>
        <w:t>’</w:t>
      </w:r>
      <w:r w:rsidR="002F3C31" w:rsidRPr="00F533A8">
        <w:rPr>
          <w:rFonts w:ascii="Arial" w:hAnsi="Arial" w:cs="Arial"/>
          <w:sz w:val="24"/>
          <w:szCs w:val="24"/>
        </w:rPr>
        <w:t>s</w:t>
      </w:r>
      <w:r w:rsidRPr="00F533A8">
        <w:rPr>
          <w:rFonts w:ascii="Arial" w:hAnsi="Arial" w:cs="Arial"/>
          <w:sz w:val="24"/>
          <w:szCs w:val="24"/>
        </w:rPr>
        <w:t xml:space="preserve"> grounds of review and </w:t>
      </w:r>
      <w:r w:rsidR="002F3C31" w:rsidRPr="00F533A8">
        <w:rPr>
          <w:rFonts w:ascii="Arial" w:hAnsi="Arial" w:cs="Arial"/>
          <w:sz w:val="24"/>
          <w:szCs w:val="24"/>
        </w:rPr>
        <w:t>MEC</w:t>
      </w:r>
      <w:r w:rsidRPr="00F533A8">
        <w:rPr>
          <w:rFonts w:ascii="Arial" w:hAnsi="Arial" w:cs="Arial"/>
          <w:sz w:val="24"/>
          <w:szCs w:val="24"/>
        </w:rPr>
        <w:t xml:space="preserve">’s points </w:t>
      </w:r>
      <w:r w:rsidRPr="00F533A8">
        <w:rPr>
          <w:rFonts w:ascii="Arial" w:hAnsi="Arial" w:cs="Arial"/>
          <w:i/>
          <w:iCs/>
          <w:sz w:val="24"/>
          <w:szCs w:val="24"/>
        </w:rPr>
        <w:t>in limine</w:t>
      </w:r>
      <w:r w:rsidRPr="00F533A8">
        <w:rPr>
          <w:rFonts w:ascii="Arial" w:hAnsi="Arial" w:cs="Arial"/>
          <w:sz w:val="24"/>
          <w:szCs w:val="24"/>
        </w:rPr>
        <w:t xml:space="preserve"> and grounds of opposition. I </w:t>
      </w:r>
      <w:r w:rsidR="006A2F08" w:rsidRPr="00F533A8">
        <w:rPr>
          <w:rFonts w:ascii="Arial" w:hAnsi="Arial" w:cs="Arial"/>
          <w:sz w:val="24"/>
          <w:szCs w:val="24"/>
        </w:rPr>
        <w:t xml:space="preserve">then </w:t>
      </w:r>
      <w:r w:rsidRPr="00F533A8">
        <w:rPr>
          <w:rFonts w:ascii="Arial" w:hAnsi="Arial" w:cs="Arial"/>
          <w:sz w:val="24"/>
          <w:szCs w:val="24"/>
        </w:rPr>
        <w:t xml:space="preserve">outline the constitutional, </w:t>
      </w:r>
      <w:r w:rsidR="008C1523" w:rsidRPr="00F533A8">
        <w:rPr>
          <w:rFonts w:ascii="Arial" w:hAnsi="Arial" w:cs="Arial"/>
          <w:sz w:val="24"/>
          <w:szCs w:val="24"/>
        </w:rPr>
        <w:t>statutory,</w:t>
      </w:r>
      <w:r w:rsidRPr="00F533A8">
        <w:rPr>
          <w:rFonts w:ascii="Arial" w:hAnsi="Arial" w:cs="Arial"/>
          <w:sz w:val="24"/>
          <w:szCs w:val="24"/>
        </w:rPr>
        <w:t xml:space="preserve"> and regulatory provision relied on by the </w:t>
      </w:r>
      <w:r w:rsidR="002F3C31" w:rsidRPr="00F533A8">
        <w:rPr>
          <w:rFonts w:ascii="Arial" w:hAnsi="Arial" w:cs="Arial"/>
          <w:sz w:val="24"/>
          <w:szCs w:val="24"/>
        </w:rPr>
        <w:t>SIU</w:t>
      </w:r>
      <w:r w:rsidRPr="00F533A8">
        <w:rPr>
          <w:rFonts w:ascii="Arial" w:hAnsi="Arial" w:cs="Arial"/>
          <w:sz w:val="24"/>
          <w:szCs w:val="24"/>
        </w:rPr>
        <w:t xml:space="preserve">. The </w:t>
      </w:r>
      <w:r w:rsidR="002F3C31" w:rsidRPr="00F533A8">
        <w:rPr>
          <w:rFonts w:ascii="Arial" w:hAnsi="Arial" w:cs="Arial"/>
          <w:sz w:val="24"/>
          <w:szCs w:val="24"/>
        </w:rPr>
        <w:t>SIU</w:t>
      </w:r>
      <w:r w:rsidRPr="00F533A8">
        <w:rPr>
          <w:rFonts w:ascii="Arial" w:hAnsi="Arial" w:cs="Arial"/>
          <w:sz w:val="24"/>
          <w:szCs w:val="24"/>
        </w:rPr>
        <w:t xml:space="preserve"> delayed </w:t>
      </w:r>
      <w:r w:rsidR="001A01AB" w:rsidRPr="00F533A8">
        <w:rPr>
          <w:rFonts w:ascii="Arial" w:hAnsi="Arial" w:cs="Arial"/>
          <w:sz w:val="24"/>
          <w:szCs w:val="24"/>
        </w:rPr>
        <w:t>bringing</w:t>
      </w:r>
      <w:r w:rsidRPr="00F533A8">
        <w:rPr>
          <w:rFonts w:ascii="Arial" w:hAnsi="Arial" w:cs="Arial"/>
          <w:sz w:val="24"/>
          <w:szCs w:val="24"/>
        </w:rPr>
        <w:t xml:space="preserve"> the application. </w:t>
      </w:r>
      <w:r w:rsidR="001A01AB" w:rsidRPr="00F533A8">
        <w:rPr>
          <w:rFonts w:ascii="Arial" w:hAnsi="Arial" w:cs="Arial"/>
          <w:sz w:val="24"/>
          <w:szCs w:val="24"/>
        </w:rPr>
        <w:t xml:space="preserve">It seeks an order condoning the delay. Regrettably, for the </w:t>
      </w:r>
      <w:r w:rsidR="002F3C31" w:rsidRPr="00F533A8">
        <w:rPr>
          <w:rFonts w:ascii="Arial" w:hAnsi="Arial" w:cs="Arial"/>
          <w:sz w:val="24"/>
          <w:szCs w:val="24"/>
        </w:rPr>
        <w:t>SIU</w:t>
      </w:r>
      <w:r w:rsidR="001A01AB" w:rsidRPr="00F533A8">
        <w:rPr>
          <w:rFonts w:ascii="Arial" w:hAnsi="Arial" w:cs="Arial"/>
          <w:sz w:val="24"/>
          <w:szCs w:val="24"/>
        </w:rPr>
        <w:t xml:space="preserve">, I find that it fails to make out a proper case for condonation. I then consider whether the delay can be disregarded in the interests of justice. The latter enquiry requires that I traverse the merits. Again, regrettably for the </w:t>
      </w:r>
      <w:r w:rsidR="002F3C31" w:rsidRPr="00F533A8">
        <w:rPr>
          <w:rFonts w:ascii="Arial" w:hAnsi="Arial" w:cs="Arial"/>
          <w:sz w:val="24"/>
          <w:szCs w:val="24"/>
        </w:rPr>
        <w:t>SIU</w:t>
      </w:r>
      <w:r w:rsidR="001A01AB" w:rsidRPr="00F533A8">
        <w:rPr>
          <w:rFonts w:ascii="Arial" w:hAnsi="Arial" w:cs="Arial"/>
          <w:sz w:val="24"/>
          <w:szCs w:val="24"/>
        </w:rPr>
        <w:t xml:space="preserve">, since I find that it lacks prospects </w:t>
      </w:r>
      <w:r w:rsidR="001A01AB" w:rsidRPr="00F533A8">
        <w:rPr>
          <w:rFonts w:ascii="Arial" w:hAnsi="Arial" w:cs="Arial"/>
          <w:sz w:val="24"/>
          <w:szCs w:val="24"/>
        </w:rPr>
        <w:lastRenderedPageBreak/>
        <w:t>of success on the merits</w:t>
      </w:r>
      <w:r w:rsidR="006008E2" w:rsidRPr="00F533A8">
        <w:rPr>
          <w:rFonts w:ascii="Arial" w:hAnsi="Arial" w:cs="Arial"/>
          <w:sz w:val="24"/>
          <w:szCs w:val="24"/>
        </w:rPr>
        <w:t>,</w:t>
      </w:r>
      <w:r w:rsidR="002F3C31" w:rsidRPr="00F533A8">
        <w:rPr>
          <w:rFonts w:ascii="Arial" w:hAnsi="Arial" w:cs="Arial"/>
          <w:sz w:val="24"/>
          <w:szCs w:val="24"/>
        </w:rPr>
        <w:t xml:space="preserve"> I also find that</w:t>
      </w:r>
      <w:r w:rsidR="001A01AB" w:rsidRPr="00F533A8">
        <w:rPr>
          <w:rFonts w:ascii="Arial" w:hAnsi="Arial" w:cs="Arial"/>
          <w:sz w:val="24"/>
          <w:szCs w:val="24"/>
        </w:rPr>
        <w:t xml:space="preserve"> it would not serve the interests of justice to overlook the delay. I then consider the costs of the review application.</w:t>
      </w:r>
    </w:p>
    <w:p w14:paraId="03A8F6B6" w14:textId="77777777" w:rsidR="001A01AB" w:rsidRPr="00F533A8" w:rsidRDefault="001A01AB" w:rsidP="00E212A8">
      <w:pPr>
        <w:tabs>
          <w:tab w:val="left" w:pos="1701"/>
          <w:tab w:val="left" w:pos="2552"/>
        </w:tabs>
        <w:spacing w:line="360" w:lineRule="auto"/>
        <w:jc w:val="both"/>
        <w:rPr>
          <w:rFonts w:ascii="Arial" w:hAnsi="Arial" w:cs="Arial"/>
          <w:sz w:val="24"/>
          <w:szCs w:val="24"/>
        </w:rPr>
      </w:pPr>
    </w:p>
    <w:p w14:paraId="6635AA85" w14:textId="6ECB7D1B" w:rsidR="006A2F08" w:rsidRPr="00F533A8" w:rsidRDefault="001A01AB" w:rsidP="00E212A8">
      <w:pPr>
        <w:tabs>
          <w:tab w:val="left" w:pos="1701"/>
          <w:tab w:val="left" w:pos="2552"/>
        </w:tabs>
        <w:spacing w:line="360" w:lineRule="auto"/>
        <w:jc w:val="both"/>
        <w:rPr>
          <w:rFonts w:ascii="Arial" w:hAnsi="Arial" w:cs="Arial"/>
          <w:sz w:val="24"/>
          <w:szCs w:val="24"/>
        </w:rPr>
      </w:pPr>
      <w:r w:rsidRPr="00F533A8">
        <w:rPr>
          <w:rFonts w:ascii="Arial" w:hAnsi="Arial" w:cs="Arial"/>
          <w:sz w:val="24"/>
          <w:szCs w:val="24"/>
        </w:rPr>
        <w:t>[</w:t>
      </w:r>
      <w:r w:rsidR="00434445" w:rsidRPr="00F533A8">
        <w:rPr>
          <w:rFonts w:ascii="Arial" w:hAnsi="Arial" w:cs="Arial"/>
          <w:sz w:val="24"/>
          <w:szCs w:val="24"/>
        </w:rPr>
        <w:t>9</w:t>
      </w:r>
      <w:r w:rsidRPr="00F533A8">
        <w:rPr>
          <w:rFonts w:ascii="Arial" w:hAnsi="Arial" w:cs="Arial"/>
          <w:sz w:val="24"/>
          <w:szCs w:val="24"/>
        </w:rPr>
        <w:t xml:space="preserve">] </w:t>
      </w:r>
      <w:r w:rsidR="008329CC">
        <w:rPr>
          <w:rFonts w:ascii="Arial" w:hAnsi="Arial" w:cs="Arial"/>
          <w:sz w:val="24"/>
          <w:szCs w:val="24"/>
        </w:rPr>
        <w:t xml:space="preserve">   </w:t>
      </w:r>
      <w:r w:rsidR="006A2F08" w:rsidRPr="00F533A8">
        <w:rPr>
          <w:rFonts w:ascii="Arial" w:hAnsi="Arial" w:cs="Arial"/>
          <w:sz w:val="24"/>
          <w:szCs w:val="24"/>
        </w:rPr>
        <w:t xml:space="preserve">Secondly, </w:t>
      </w:r>
      <w:r w:rsidRPr="00F533A8">
        <w:rPr>
          <w:rFonts w:ascii="Arial" w:hAnsi="Arial" w:cs="Arial"/>
          <w:sz w:val="24"/>
          <w:szCs w:val="24"/>
        </w:rPr>
        <w:t xml:space="preserve">I consider the counterapplication. It is also brought late. The </w:t>
      </w:r>
      <w:r w:rsidR="0089356D" w:rsidRPr="00F533A8">
        <w:rPr>
          <w:rFonts w:ascii="Arial" w:hAnsi="Arial" w:cs="Arial"/>
          <w:sz w:val="24"/>
          <w:szCs w:val="24"/>
        </w:rPr>
        <w:t>MEC</w:t>
      </w:r>
      <w:r w:rsidRPr="00F533A8">
        <w:rPr>
          <w:rFonts w:ascii="Arial" w:hAnsi="Arial" w:cs="Arial"/>
          <w:sz w:val="24"/>
          <w:szCs w:val="24"/>
        </w:rPr>
        <w:t xml:space="preserve"> seeks condonation, alternatively that the delay is condoned in the interests of justice. Regrettably, the counterapplication stands to suffer the same fate as the review application. </w:t>
      </w:r>
      <w:r w:rsidR="00456A75">
        <w:rPr>
          <w:rFonts w:ascii="Arial" w:hAnsi="Arial" w:cs="Arial"/>
          <w:sz w:val="24"/>
          <w:szCs w:val="24"/>
        </w:rPr>
        <w:t>As I find in this judgment, a</w:t>
      </w:r>
      <w:r w:rsidRPr="00F533A8">
        <w:rPr>
          <w:rFonts w:ascii="Arial" w:hAnsi="Arial" w:cs="Arial"/>
          <w:sz w:val="24"/>
          <w:szCs w:val="24"/>
        </w:rPr>
        <w:t xml:space="preserve"> proper case for an order for condonation is not made out.  </w:t>
      </w:r>
      <w:r w:rsidR="00456A75">
        <w:rPr>
          <w:rFonts w:ascii="Arial" w:hAnsi="Arial" w:cs="Arial"/>
          <w:sz w:val="24"/>
          <w:szCs w:val="24"/>
        </w:rPr>
        <w:t xml:space="preserve">I also find that it would </w:t>
      </w:r>
      <w:r w:rsidRPr="00F533A8">
        <w:rPr>
          <w:rFonts w:ascii="Arial" w:hAnsi="Arial" w:cs="Arial"/>
          <w:sz w:val="24"/>
          <w:szCs w:val="24"/>
        </w:rPr>
        <w:t xml:space="preserve">not serve the interests of justice to overlook the delay. </w:t>
      </w:r>
    </w:p>
    <w:p w14:paraId="0C9CE0AD" w14:textId="77777777" w:rsidR="006A2F08" w:rsidRDefault="006A2F08" w:rsidP="00E212A8">
      <w:pPr>
        <w:tabs>
          <w:tab w:val="left" w:pos="1701"/>
          <w:tab w:val="left" w:pos="2552"/>
        </w:tabs>
        <w:spacing w:line="360" w:lineRule="auto"/>
        <w:jc w:val="both"/>
        <w:rPr>
          <w:rFonts w:ascii="Arial" w:hAnsi="Arial" w:cs="Arial"/>
          <w:sz w:val="24"/>
          <w:szCs w:val="24"/>
        </w:rPr>
      </w:pPr>
    </w:p>
    <w:p w14:paraId="12B1CBCF" w14:textId="5938A4B9" w:rsidR="00B12EBE" w:rsidRDefault="008329CC" w:rsidP="00B12EBE">
      <w:pPr>
        <w:tabs>
          <w:tab w:val="left" w:pos="1701"/>
          <w:tab w:val="left" w:pos="2552"/>
        </w:tabs>
        <w:spacing w:line="360" w:lineRule="auto"/>
        <w:jc w:val="both"/>
        <w:rPr>
          <w:rFonts w:ascii="Arial" w:hAnsi="Arial" w:cs="Arial"/>
          <w:sz w:val="24"/>
          <w:szCs w:val="24"/>
        </w:rPr>
      </w:pPr>
      <w:r>
        <w:rPr>
          <w:rFonts w:ascii="Arial" w:hAnsi="Arial" w:cs="Arial"/>
          <w:sz w:val="24"/>
          <w:szCs w:val="24"/>
        </w:rPr>
        <w:t xml:space="preserve">[10]    Although I dismiss both the review application and counterapplication for the reason that the SIU and the MEC delayed bringing these applications, I consider all the issues that arise in these applications to avoid any of the issues being considered by the appeal court for the first time should any of the unsuccessful parties resort to an </w:t>
      </w:r>
      <w:r w:rsidR="00B12EBE">
        <w:rPr>
          <w:rFonts w:ascii="Arial" w:hAnsi="Arial" w:cs="Arial"/>
          <w:sz w:val="24"/>
          <w:szCs w:val="24"/>
        </w:rPr>
        <w:t>appeal.</w:t>
      </w:r>
      <w:r w:rsidR="00B12EBE">
        <w:rPr>
          <w:rStyle w:val="FootnoteReference"/>
          <w:sz w:val="24"/>
        </w:rPr>
        <w:footnoteReference w:id="1"/>
      </w:r>
      <w:r w:rsidR="00B12EBE">
        <w:rPr>
          <w:rFonts w:ascii="Arial" w:hAnsi="Arial" w:cs="Arial"/>
          <w:sz w:val="24"/>
          <w:szCs w:val="24"/>
        </w:rPr>
        <w:t xml:space="preserve"> </w:t>
      </w:r>
    </w:p>
    <w:p w14:paraId="50FC8DD8" w14:textId="49E46D69" w:rsidR="008329CC" w:rsidRPr="00F533A8" w:rsidRDefault="008329CC" w:rsidP="00E212A8">
      <w:pPr>
        <w:tabs>
          <w:tab w:val="left" w:pos="1701"/>
          <w:tab w:val="left" w:pos="2552"/>
        </w:tabs>
        <w:spacing w:line="360" w:lineRule="auto"/>
        <w:jc w:val="both"/>
        <w:rPr>
          <w:rFonts w:ascii="Arial" w:hAnsi="Arial" w:cs="Arial"/>
          <w:sz w:val="24"/>
          <w:szCs w:val="24"/>
        </w:rPr>
      </w:pPr>
    </w:p>
    <w:p w14:paraId="08FD66FB" w14:textId="6958C30B" w:rsidR="001A01AB" w:rsidRPr="00F533A8" w:rsidRDefault="006A2F08" w:rsidP="00E212A8">
      <w:pPr>
        <w:tabs>
          <w:tab w:val="left" w:pos="1701"/>
          <w:tab w:val="left" w:pos="2552"/>
        </w:tabs>
        <w:spacing w:line="360" w:lineRule="auto"/>
        <w:jc w:val="both"/>
        <w:rPr>
          <w:rFonts w:ascii="Arial" w:hAnsi="Arial" w:cs="Arial"/>
          <w:sz w:val="24"/>
          <w:szCs w:val="24"/>
        </w:rPr>
      </w:pPr>
      <w:r w:rsidRPr="00F533A8">
        <w:rPr>
          <w:rFonts w:ascii="Arial" w:hAnsi="Arial" w:cs="Arial"/>
          <w:sz w:val="24"/>
          <w:szCs w:val="24"/>
        </w:rPr>
        <w:t>[</w:t>
      </w:r>
      <w:r w:rsidR="00434445" w:rsidRPr="00F533A8">
        <w:rPr>
          <w:rFonts w:ascii="Arial" w:hAnsi="Arial" w:cs="Arial"/>
          <w:sz w:val="24"/>
          <w:szCs w:val="24"/>
        </w:rPr>
        <w:t>1</w:t>
      </w:r>
      <w:r w:rsidR="008329CC">
        <w:rPr>
          <w:rFonts w:ascii="Arial" w:hAnsi="Arial" w:cs="Arial"/>
          <w:sz w:val="24"/>
          <w:szCs w:val="24"/>
        </w:rPr>
        <w:t>1</w:t>
      </w:r>
      <w:r w:rsidRPr="00F533A8">
        <w:rPr>
          <w:rFonts w:ascii="Arial" w:hAnsi="Arial" w:cs="Arial"/>
          <w:sz w:val="24"/>
          <w:szCs w:val="24"/>
        </w:rPr>
        <w:t xml:space="preserve">] </w:t>
      </w:r>
      <w:r w:rsidR="008329CC">
        <w:rPr>
          <w:rFonts w:ascii="Arial" w:hAnsi="Arial" w:cs="Arial"/>
          <w:sz w:val="24"/>
          <w:szCs w:val="24"/>
        </w:rPr>
        <w:t xml:space="preserve">   </w:t>
      </w:r>
      <w:r w:rsidRPr="00F533A8">
        <w:rPr>
          <w:rFonts w:ascii="Arial" w:hAnsi="Arial" w:cs="Arial"/>
          <w:sz w:val="24"/>
          <w:szCs w:val="24"/>
        </w:rPr>
        <w:t xml:space="preserve">Lastly, </w:t>
      </w:r>
      <w:r w:rsidR="001A01AB" w:rsidRPr="00F533A8">
        <w:rPr>
          <w:rFonts w:ascii="Arial" w:hAnsi="Arial" w:cs="Arial"/>
          <w:sz w:val="24"/>
          <w:szCs w:val="24"/>
        </w:rPr>
        <w:t xml:space="preserve">I consider the </w:t>
      </w:r>
      <w:r w:rsidRPr="00F533A8">
        <w:rPr>
          <w:rFonts w:ascii="Arial" w:hAnsi="Arial" w:cs="Arial"/>
          <w:sz w:val="24"/>
          <w:szCs w:val="24"/>
        </w:rPr>
        <w:t xml:space="preserve">question of </w:t>
      </w:r>
      <w:r w:rsidR="001A01AB" w:rsidRPr="00F533A8">
        <w:rPr>
          <w:rFonts w:ascii="Arial" w:hAnsi="Arial" w:cs="Arial"/>
          <w:sz w:val="24"/>
          <w:szCs w:val="24"/>
        </w:rPr>
        <w:t>costs</w:t>
      </w:r>
      <w:r w:rsidRPr="00F533A8">
        <w:rPr>
          <w:rFonts w:ascii="Arial" w:hAnsi="Arial" w:cs="Arial"/>
          <w:sz w:val="24"/>
          <w:szCs w:val="24"/>
        </w:rPr>
        <w:t>. In doing so, I first deal with the costs of the review application, followed by the costs</w:t>
      </w:r>
      <w:r w:rsidR="001A01AB" w:rsidRPr="00F533A8">
        <w:rPr>
          <w:rFonts w:ascii="Arial" w:hAnsi="Arial" w:cs="Arial"/>
          <w:sz w:val="24"/>
          <w:szCs w:val="24"/>
        </w:rPr>
        <w:t xml:space="preserve"> of the counterapplication as well as the </w:t>
      </w:r>
      <w:r w:rsidR="0089356D" w:rsidRPr="00F533A8">
        <w:rPr>
          <w:rFonts w:ascii="Arial" w:hAnsi="Arial" w:cs="Arial"/>
          <w:sz w:val="24"/>
          <w:szCs w:val="24"/>
        </w:rPr>
        <w:t xml:space="preserve">SIU’s </w:t>
      </w:r>
      <w:r w:rsidR="001A01AB" w:rsidRPr="00F533A8">
        <w:rPr>
          <w:rFonts w:ascii="Arial" w:hAnsi="Arial" w:cs="Arial"/>
          <w:sz w:val="24"/>
          <w:szCs w:val="24"/>
        </w:rPr>
        <w:t>reserved costs of 18 April 2023.</w:t>
      </w:r>
      <w:r w:rsidRPr="00F533A8">
        <w:rPr>
          <w:rFonts w:ascii="Arial" w:hAnsi="Arial" w:cs="Arial"/>
          <w:sz w:val="24"/>
          <w:szCs w:val="24"/>
        </w:rPr>
        <w:t xml:space="preserve"> Then, I deal with the </w:t>
      </w:r>
      <w:r w:rsidR="001A01AB" w:rsidRPr="00F533A8">
        <w:rPr>
          <w:rFonts w:ascii="Arial" w:hAnsi="Arial" w:cs="Arial"/>
          <w:sz w:val="24"/>
          <w:szCs w:val="24"/>
        </w:rPr>
        <w:t xml:space="preserve">reserved costs of </w:t>
      </w:r>
      <w:r w:rsidR="0089356D" w:rsidRPr="00F533A8">
        <w:rPr>
          <w:rFonts w:ascii="Arial" w:hAnsi="Arial" w:cs="Arial"/>
          <w:sz w:val="24"/>
          <w:szCs w:val="24"/>
        </w:rPr>
        <w:t xml:space="preserve">Nexor’s </w:t>
      </w:r>
      <w:r w:rsidR="001A01AB" w:rsidRPr="00F533A8">
        <w:rPr>
          <w:rFonts w:ascii="Arial" w:hAnsi="Arial" w:cs="Arial"/>
          <w:sz w:val="24"/>
          <w:szCs w:val="24"/>
        </w:rPr>
        <w:t xml:space="preserve"> application to compel. </w:t>
      </w:r>
      <w:r w:rsidRPr="00F533A8">
        <w:rPr>
          <w:rFonts w:ascii="Arial" w:hAnsi="Arial" w:cs="Arial"/>
          <w:sz w:val="24"/>
          <w:szCs w:val="24"/>
        </w:rPr>
        <w:t>An order concludes the judgment.</w:t>
      </w:r>
      <w:r w:rsidR="001A01AB" w:rsidRPr="00F533A8">
        <w:rPr>
          <w:rFonts w:ascii="Arial" w:hAnsi="Arial" w:cs="Arial"/>
          <w:sz w:val="24"/>
          <w:szCs w:val="24"/>
        </w:rPr>
        <w:t xml:space="preserve"> </w:t>
      </w:r>
    </w:p>
    <w:p w14:paraId="2D0BE796" w14:textId="7C646E9E" w:rsidR="00D448D2" w:rsidRPr="00F533A8" w:rsidRDefault="00D448D2" w:rsidP="00E212A8">
      <w:pPr>
        <w:tabs>
          <w:tab w:val="left" w:pos="1701"/>
          <w:tab w:val="left" w:pos="2552"/>
        </w:tabs>
        <w:spacing w:line="360" w:lineRule="auto"/>
        <w:jc w:val="both"/>
        <w:rPr>
          <w:rFonts w:ascii="Arial" w:hAnsi="Arial" w:cs="Arial"/>
          <w:sz w:val="24"/>
          <w:szCs w:val="24"/>
        </w:rPr>
      </w:pPr>
    </w:p>
    <w:p w14:paraId="10E94E29" w14:textId="6014B1AA" w:rsidR="001A01AB" w:rsidRPr="00F533A8" w:rsidRDefault="001A01AB" w:rsidP="00E212A8">
      <w:pPr>
        <w:tabs>
          <w:tab w:val="left" w:pos="1701"/>
          <w:tab w:val="left" w:pos="2552"/>
        </w:tabs>
        <w:spacing w:line="360" w:lineRule="auto"/>
        <w:jc w:val="both"/>
        <w:rPr>
          <w:rFonts w:ascii="Arial" w:hAnsi="Arial" w:cs="Arial"/>
          <w:b/>
          <w:bCs/>
          <w:sz w:val="24"/>
          <w:szCs w:val="24"/>
        </w:rPr>
      </w:pPr>
      <w:r w:rsidRPr="00F533A8">
        <w:rPr>
          <w:rFonts w:ascii="Arial" w:hAnsi="Arial" w:cs="Arial"/>
          <w:b/>
          <w:bCs/>
          <w:sz w:val="24"/>
          <w:szCs w:val="24"/>
        </w:rPr>
        <w:t>REVIEW APPLICATION</w:t>
      </w:r>
    </w:p>
    <w:p w14:paraId="4DEC3A15" w14:textId="3002D416" w:rsidR="001A01AB" w:rsidRPr="00F533A8" w:rsidRDefault="00434445" w:rsidP="00E212A8">
      <w:pPr>
        <w:tabs>
          <w:tab w:val="left" w:pos="1701"/>
          <w:tab w:val="left" w:pos="2552"/>
        </w:tabs>
        <w:spacing w:line="360" w:lineRule="auto"/>
        <w:jc w:val="both"/>
        <w:rPr>
          <w:rFonts w:ascii="Arial" w:hAnsi="Arial" w:cs="Arial"/>
          <w:sz w:val="24"/>
          <w:szCs w:val="24"/>
        </w:rPr>
      </w:pPr>
      <w:r w:rsidRPr="00F533A8">
        <w:rPr>
          <w:rFonts w:ascii="Arial" w:hAnsi="Arial" w:cs="Arial"/>
          <w:sz w:val="24"/>
          <w:szCs w:val="24"/>
        </w:rPr>
        <w:t>[1</w:t>
      </w:r>
      <w:r w:rsidR="008329CC">
        <w:rPr>
          <w:rFonts w:ascii="Arial" w:hAnsi="Arial" w:cs="Arial"/>
          <w:sz w:val="24"/>
          <w:szCs w:val="24"/>
        </w:rPr>
        <w:t>2</w:t>
      </w:r>
      <w:r w:rsidRPr="00F533A8">
        <w:rPr>
          <w:rFonts w:ascii="Arial" w:hAnsi="Arial" w:cs="Arial"/>
          <w:sz w:val="24"/>
          <w:szCs w:val="24"/>
        </w:rPr>
        <w:t>]</w:t>
      </w:r>
      <w:r w:rsidR="008329CC">
        <w:rPr>
          <w:rFonts w:ascii="Arial" w:hAnsi="Arial" w:cs="Arial"/>
          <w:sz w:val="24"/>
          <w:szCs w:val="24"/>
        </w:rPr>
        <w:t xml:space="preserve">    </w:t>
      </w:r>
      <w:r w:rsidRPr="00F533A8">
        <w:rPr>
          <w:rFonts w:ascii="Arial" w:hAnsi="Arial" w:cs="Arial"/>
          <w:sz w:val="24"/>
          <w:szCs w:val="24"/>
        </w:rPr>
        <w:t>In its answering affidavit, Nexor elaborately deals with the history of the procurement process. In reply, save for taking issue with the way Nexor obtained documents from DOT</w:t>
      </w:r>
      <w:r w:rsidR="00EA7584" w:rsidRPr="00F533A8">
        <w:rPr>
          <w:rFonts w:ascii="Arial" w:hAnsi="Arial" w:cs="Arial"/>
          <w:sz w:val="24"/>
          <w:szCs w:val="24"/>
        </w:rPr>
        <w:t xml:space="preserve"> and for relying on inadmissible hearsay</w:t>
      </w:r>
      <w:r w:rsidRPr="00F533A8">
        <w:rPr>
          <w:rFonts w:ascii="Arial" w:hAnsi="Arial" w:cs="Arial"/>
          <w:sz w:val="24"/>
          <w:szCs w:val="24"/>
        </w:rPr>
        <w:t xml:space="preserve">, </w:t>
      </w:r>
      <w:r w:rsidR="00EA7584" w:rsidRPr="00F533A8">
        <w:rPr>
          <w:rFonts w:ascii="Arial" w:hAnsi="Arial" w:cs="Arial"/>
          <w:sz w:val="24"/>
          <w:szCs w:val="24"/>
        </w:rPr>
        <w:t>t</w:t>
      </w:r>
      <w:r w:rsidRPr="00F533A8">
        <w:rPr>
          <w:rFonts w:ascii="Arial" w:hAnsi="Arial" w:cs="Arial"/>
          <w:sz w:val="24"/>
          <w:szCs w:val="24"/>
        </w:rPr>
        <w:t>he SIU does not</w:t>
      </w:r>
      <w:r w:rsidR="00456A75">
        <w:rPr>
          <w:rFonts w:ascii="Arial" w:hAnsi="Arial" w:cs="Arial"/>
          <w:sz w:val="24"/>
          <w:szCs w:val="24"/>
        </w:rPr>
        <w:t xml:space="preserve"> raise a material</w:t>
      </w:r>
      <w:r w:rsidRPr="00F533A8">
        <w:rPr>
          <w:rFonts w:ascii="Arial" w:hAnsi="Arial" w:cs="Arial"/>
          <w:sz w:val="24"/>
          <w:szCs w:val="24"/>
        </w:rPr>
        <w:t xml:space="preserve"> dispute</w:t>
      </w:r>
      <w:r w:rsidR="00456A75">
        <w:rPr>
          <w:rFonts w:ascii="Arial" w:hAnsi="Arial" w:cs="Arial"/>
          <w:sz w:val="24"/>
          <w:szCs w:val="24"/>
        </w:rPr>
        <w:t xml:space="preserve"> on</w:t>
      </w:r>
      <w:r w:rsidRPr="00F533A8">
        <w:rPr>
          <w:rFonts w:ascii="Arial" w:hAnsi="Arial" w:cs="Arial"/>
          <w:sz w:val="24"/>
          <w:szCs w:val="24"/>
        </w:rPr>
        <w:t xml:space="preserve"> the history</w:t>
      </w:r>
      <w:r w:rsidR="006008E2" w:rsidRPr="00F533A8">
        <w:rPr>
          <w:rFonts w:ascii="Arial" w:hAnsi="Arial" w:cs="Arial"/>
          <w:sz w:val="24"/>
          <w:szCs w:val="24"/>
        </w:rPr>
        <w:t xml:space="preserve"> of the tender</w:t>
      </w:r>
      <w:r w:rsidR="00456A75">
        <w:rPr>
          <w:rFonts w:ascii="Arial" w:hAnsi="Arial" w:cs="Arial"/>
          <w:sz w:val="24"/>
          <w:szCs w:val="24"/>
        </w:rPr>
        <w:t xml:space="preserve"> as set out by Nexor</w:t>
      </w:r>
      <w:r w:rsidRPr="00F533A8">
        <w:rPr>
          <w:rFonts w:ascii="Arial" w:hAnsi="Arial" w:cs="Arial"/>
          <w:sz w:val="24"/>
          <w:szCs w:val="24"/>
        </w:rPr>
        <w:t xml:space="preserve">. </w:t>
      </w:r>
      <w:r w:rsidR="00785FFA" w:rsidRPr="00F533A8">
        <w:rPr>
          <w:rFonts w:ascii="Arial" w:hAnsi="Arial" w:cs="Arial"/>
          <w:sz w:val="24"/>
          <w:szCs w:val="24"/>
        </w:rPr>
        <w:t xml:space="preserve">There is no merit in SIU’s objection to the admissibility of this evidence. It is based on an affidavit </w:t>
      </w:r>
      <w:r w:rsidR="00DE08EE">
        <w:rPr>
          <w:rFonts w:ascii="Arial" w:hAnsi="Arial" w:cs="Arial"/>
          <w:sz w:val="24"/>
          <w:szCs w:val="24"/>
        </w:rPr>
        <w:t xml:space="preserve">a DOT official, </w:t>
      </w:r>
      <w:r w:rsidR="00785FFA" w:rsidRPr="00F533A8">
        <w:rPr>
          <w:rFonts w:ascii="Arial" w:hAnsi="Arial" w:cs="Arial"/>
          <w:sz w:val="24"/>
          <w:szCs w:val="24"/>
        </w:rPr>
        <w:t>Mr Thabang Nkosi furnished to Nexor. It is an annexure to Nexor’s answering affidavit.</w:t>
      </w:r>
      <w:r w:rsidR="00456A75">
        <w:rPr>
          <w:rFonts w:ascii="Arial" w:hAnsi="Arial" w:cs="Arial"/>
          <w:sz w:val="24"/>
          <w:szCs w:val="24"/>
        </w:rPr>
        <w:t xml:space="preserve"> But more importantly, when he entered the fray, the MEC confirmed it.</w:t>
      </w:r>
      <w:r w:rsidR="00785FFA" w:rsidRPr="00F533A8">
        <w:rPr>
          <w:rFonts w:ascii="Arial" w:hAnsi="Arial" w:cs="Arial"/>
          <w:sz w:val="24"/>
          <w:szCs w:val="24"/>
        </w:rPr>
        <w:t xml:space="preserve"> Th</w:t>
      </w:r>
      <w:r w:rsidR="00456A75">
        <w:rPr>
          <w:rFonts w:ascii="Arial" w:hAnsi="Arial" w:cs="Arial"/>
          <w:sz w:val="24"/>
          <w:szCs w:val="24"/>
        </w:rPr>
        <w:t>erefore, this</w:t>
      </w:r>
      <w:r w:rsidR="00785FFA" w:rsidRPr="00F533A8">
        <w:rPr>
          <w:rFonts w:ascii="Arial" w:hAnsi="Arial" w:cs="Arial"/>
          <w:sz w:val="24"/>
          <w:szCs w:val="24"/>
        </w:rPr>
        <w:t xml:space="preserve"> evidence is perfectly admissible. </w:t>
      </w:r>
      <w:r w:rsidR="00456A75">
        <w:rPr>
          <w:rFonts w:ascii="Arial" w:hAnsi="Arial" w:cs="Arial"/>
          <w:sz w:val="24"/>
          <w:szCs w:val="24"/>
        </w:rPr>
        <w:t>The v</w:t>
      </w:r>
      <w:r w:rsidR="006F04EB" w:rsidRPr="00F533A8">
        <w:rPr>
          <w:rFonts w:ascii="Arial" w:hAnsi="Arial" w:cs="Arial"/>
          <w:sz w:val="24"/>
          <w:szCs w:val="24"/>
        </w:rPr>
        <w:t xml:space="preserve">ersion </w:t>
      </w:r>
      <w:r w:rsidR="00456A75">
        <w:rPr>
          <w:rFonts w:ascii="Arial" w:hAnsi="Arial" w:cs="Arial"/>
          <w:sz w:val="24"/>
          <w:szCs w:val="24"/>
        </w:rPr>
        <w:t xml:space="preserve">of Nexor and the MEC </w:t>
      </w:r>
      <w:r w:rsidR="006F04EB" w:rsidRPr="00F533A8">
        <w:rPr>
          <w:rFonts w:ascii="Arial" w:hAnsi="Arial" w:cs="Arial"/>
          <w:sz w:val="24"/>
          <w:szCs w:val="24"/>
        </w:rPr>
        <w:t xml:space="preserve">regarding the history of the tender places some of the grounds of review relied on by the SIU, </w:t>
      </w:r>
      <w:r w:rsidR="00EA7584" w:rsidRPr="00F533A8">
        <w:rPr>
          <w:rFonts w:ascii="Arial" w:hAnsi="Arial" w:cs="Arial"/>
          <w:sz w:val="24"/>
          <w:szCs w:val="24"/>
        </w:rPr>
        <w:t>which I deal with later in this judgment</w:t>
      </w:r>
      <w:r w:rsidR="00A26A59" w:rsidRPr="00F533A8" w:rsidDel="00A26A59">
        <w:rPr>
          <w:rFonts w:ascii="Arial" w:hAnsi="Arial" w:cs="Arial"/>
          <w:sz w:val="24"/>
          <w:szCs w:val="24"/>
        </w:rPr>
        <w:t xml:space="preserve"> </w:t>
      </w:r>
      <w:r w:rsidR="006F04EB" w:rsidRPr="00F533A8">
        <w:rPr>
          <w:rFonts w:ascii="Arial" w:hAnsi="Arial" w:cs="Arial"/>
          <w:sz w:val="24"/>
          <w:szCs w:val="24"/>
        </w:rPr>
        <w:t xml:space="preserve"> </w:t>
      </w:r>
      <w:r w:rsidR="006F04EB" w:rsidRPr="00F533A8">
        <w:rPr>
          <w:rFonts w:ascii="Arial" w:hAnsi="Arial" w:cs="Arial"/>
          <w:sz w:val="24"/>
          <w:szCs w:val="24"/>
        </w:rPr>
        <w:lastRenderedPageBreak/>
        <w:t xml:space="preserve">in dispute. In line with the seminal Plascon Evan’s rule, to the extant not seriously disputed by the SIU, </w:t>
      </w:r>
      <w:r w:rsidR="00456A75">
        <w:rPr>
          <w:rFonts w:ascii="Arial" w:hAnsi="Arial" w:cs="Arial"/>
          <w:sz w:val="24"/>
          <w:szCs w:val="24"/>
        </w:rPr>
        <w:t>the</w:t>
      </w:r>
      <w:r w:rsidR="006F04EB" w:rsidRPr="00F533A8">
        <w:rPr>
          <w:rFonts w:ascii="Arial" w:hAnsi="Arial" w:cs="Arial"/>
          <w:sz w:val="24"/>
          <w:szCs w:val="24"/>
        </w:rPr>
        <w:t xml:space="preserve"> version</w:t>
      </w:r>
      <w:r w:rsidR="00456A75">
        <w:rPr>
          <w:rFonts w:ascii="Arial" w:hAnsi="Arial" w:cs="Arial"/>
          <w:sz w:val="24"/>
          <w:szCs w:val="24"/>
        </w:rPr>
        <w:t xml:space="preserve"> of Nexor and the MEC</w:t>
      </w:r>
      <w:r w:rsidR="006F04EB" w:rsidRPr="00F533A8">
        <w:rPr>
          <w:rFonts w:ascii="Arial" w:hAnsi="Arial" w:cs="Arial"/>
          <w:sz w:val="24"/>
          <w:szCs w:val="24"/>
        </w:rPr>
        <w:t xml:space="preserve"> is determinative</w:t>
      </w:r>
      <w:r w:rsidR="00EA7584" w:rsidRPr="00F533A8">
        <w:rPr>
          <w:rFonts w:ascii="Arial" w:hAnsi="Arial" w:cs="Arial"/>
          <w:sz w:val="24"/>
          <w:szCs w:val="24"/>
        </w:rPr>
        <w:t xml:space="preserve"> of the factual issues that arise in this application</w:t>
      </w:r>
      <w:r w:rsidR="006F04EB" w:rsidRPr="00F533A8">
        <w:rPr>
          <w:rFonts w:ascii="Arial" w:hAnsi="Arial" w:cs="Arial"/>
          <w:sz w:val="24"/>
          <w:szCs w:val="24"/>
        </w:rPr>
        <w:t>.</w:t>
      </w:r>
    </w:p>
    <w:p w14:paraId="268CCB00" w14:textId="77777777" w:rsidR="00C06E57" w:rsidRPr="00F533A8" w:rsidRDefault="00C06E57" w:rsidP="00E212A8">
      <w:pPr>
        <w:pStyle w:val="p1"/>
        <w:spacing w:line="360" w:lineRule="auto"/>
        <w:jc w:val="both"/>
        <w:rPr>
          <w:rFonts w:ascii="Arial" w:hAnsi="Arial" w:cs="Arial"/>
          <w:sz w:val="24"/>
          <w:szCs w:val="24"/>
        </w:rPr>
      </w:pPr>
    </w:p>
    <w:p w14:paraId="449FF7F6" w14:textId="6ACE02E3" w:rsidR="00C06E57" w:rsidRPr="00F533A8" w:rsidRDefault="00434445" w:rsidP="00E212A8">
      <w:pPr>
        <w:pStyle w:val="p1"/>
        <w:spacing w:line="360" w:lineRule="auto"/>
        <w:jc w:val="both"/>
        <w:rPr>
          <w:rFonts w:ascii="Arial" w:hAnsi="Arial" w:cs="Arial"/>
          <w:sz w:val="24"/>
          <w:szCs w:val="24"/>
        </w:rPr>
      </w:pPr>
      <w:r w:rsidRPr="00F533A8">
        <w:rPr>
          <w:rFonts w:ascii="Arial" w:hAnsi="Arial" w:cs="Arial"/>
          <w:sz w:val="24"/>
          <w:szCs w:val="24"/>
        </w:rPr>
        <w:t>[1</w:t>
      </w:r>
      <w:r w:rsidR="008329CC">
        <w:rPr>
          <w:rFonts w:ascii="Arial" w:hAnsi="Arial" w:cs="Arial"/>
          <w:sz w:val="24"/>
          <w:szCs w:val="24"/>
        </w:rPr>
        <w:t>3</w:t>
      </w:r>
      <w:r w:rsidRPr="00F533A8">
        <w:rPr>
          <w:rFonts w:ascii="Arial" w:hAnsi="Arial" w:cs="Arial"/>
          <w:sz w:val="24"/>
          <w:szCs w:val="24"/>
        </w:rPr>
        <w:t>]</w:t>
      </w:r>
      <w:r w:rsidR="008329CC">
        <w:rPr>
          <w:rFonts w:ascii="Arial" w:hAnsi="Arial" w:cs="Arial"/>
          <w:sz w:val="24"/>
          <w:szCs w:val="24"/>
        </w:rPr>
        <w:tab/>
      </w:r>
      <w:r w:rsidRPr="00F533A8">
        <w:rPr>
          <w:rFonts w:ascii="Arial" w:hAnsi="Arial" w:cs="Arial"/>
          <w:sz w:val="24"/>
          <w:szCs w:val="24"/>
        </w:rPr>
        <w:t xml:space="preserve">Nexor alleges </w:t>
      </w:r>
      <w:r w:rsidR="00C06E57" w:rsidRPr="00F533A8">
        <w:rPr>
          <w:rFonts w:ascii="Arial" w:hAnsi="Arial" w:cs="Arial"/>
          <w:sz w:val="24"/>
          <w:szCs w:val="24"/>
        </w:rPr>
        <w:t>that i</w:t>
      </w:r>
      <w:r w:rsidR="00C06E57" w:rsidRPr="00F533A8">
        <w:rPr>
          <w:rStyle w:val="s1"/>
          <w:rFonts w:ascii="Arial" w:hAnsi="Arial" w:cs="Arial"/>
          <w:sz w:val="24"/>
          <w:szCs w:val="24"/>
        </w:rPr>
        <w:t xml:space="preserve">n January 2013, an independent service provider named, Moteko, provided </w:t>
      </w:r>
      <w:r w:rsidR="00EA7584" w:rsidRPr="00F533A8">
        <w:rPr>
          <w:rStyle w:val="s1"/>
          <w:rFonts w:ascii="Arial" w:hAnsi="Arial" w:cs="Arial"/>
          <w:sz w:val="24"/>
          <w:szCs w:val="24"/>
        </w:rPr>
        <w:t>DOT</w:t>
      </w:r>
      <w:r w:rsidR="00C06E57" w:rsidRPr="00F533A8">
        <w:rPr>
          <w:rStyle w:val="s1"/>
          <w:rFonts w:ascii="Arial" w:hAnsi="Arial" w:cs="Arial"/>
          <w:sz w:val="24"/>
          <w:szCs w:val="24"/>
        </w:rPr>
        <w:t xml:space="preserve"> with</w:t>
      </w:r>
      <w:r w:rsidR="00C06E57" w:rsidRPr="00F533A8">
        <w:rPr>
          <w:rFonts w:ascii="Arial" w:hAnsi="Arial" w:cs="Arial"/>
          <w:sz w:val="24"/>
          <w:szCs w:val="24"/>
        </w:rPr>
        <w:t xml:space="preserve"> a </w:t>
      </w:r>
      <w:r w:rsidR="00C06E57" w:rsidRPr="00F533A8">
        <w:rPr>
          <w:rStyle w:val="s1"/>
          <w:rFonts w:ascii="Arial" w:hAnsi="Arial" w:cs="Arial"/>
          <w:sz w:val="24"/>
          <w:szCs w:val="24"/>
        </w:rPr>
        <w:t xml:space="preserve">status </w:t>
      </w:r>
      <w:r w:rsidR="00C06E57" w:rsidRPr="00F533A8">
        <w:rPr>
          <w:rStyle w:val="s1"/>
          <w:rFonts w:ascii="Arial" w:hAnsi="Arial" w:cs="Arial"/>
          <w:i/>
          <w:iCs/>
          <w:sz w:val="24"/>
          <w:szCs w:val="24"/>
        </w:rPr>
        <w:t xml:space="preserve">quo </w:t>
      </w:r>
      <w:r w:rsidR="00C06E57" w:rsidRPr="00F533A8">
        <w:rPr>
          <w:rStyle w:val="s1"/>
          <w:rFonts w:ascii="Arial" w:hAnsi="Arial" w:cs="Arial"/>
          <w:sz w:val="24"/>
          <w:szCs w:val="24"/>
        </w:rPr>
        <w:t>report in respect of all [</w:t>
      </w:r>
      <w:r w:rsidR="00EA7584" w:rsidRPr="00F533A8">
        <w:rPr>
          <w:rStyle w:val="s1"/>
          <w:rFonts w:ascii="Arial" w:hAnsi="Arial" w:cs="Arial"/>
          <w:sz w:val="24"/>
          <w:szCs w:val="24"/>
        </w:rPr>
        <w:t>DOT</w:t>
      </w:r>
      <w:r w:rsidR="00C06E57" w:rsidRPr="00F533A8">
        <w:rPr>
          <w:rStyle w:val="s1"/>
          <w:rFonts w:ascii="Arial" w:hAnsi="Arial" w:cs="Arial"/>
          <w:sz w:val="24"/>
          <w:szCs w:val="24"/>
        </w:rPr>
        <w:t>’s] current and pending projects.</w:t>
      </w:r>
      <w:r w:rsidR="00C06E57" w:rsidRPr="00F533A8">
        <w:rPr>
          <w:rFonts w:ascii="Arial" w:hAnsi="Arial" w:cs="Arial"/>
          <w:sz w:val="24"/>
          <w:szCs w:val="24"/>
        </w:rPr>
        <w:t xml:space="preserve"> </w:t>
      </w:r>
      <w:r w:rsidR="00C06E57" w:rsidRPr="00F533A8">
        <w:rPr>
          <w:rStyle w:val="s1"/>
          <w:rFonts w:ascii="Arial" w:hAnsi="Arial" w:cs="Arial"/>
          <w:sz w:val="24"/>
          <w:szCs w:val="24"/>
        </w:rPr>
        <w:t xml:space="preserve">On 29 April 2015, a </w:t>
      </w:r>
      <w:r w:rsidR="00EA7584" w:rsidRPr="00F533A8">
        <w:rPr>
          <w:rStyle w:val="s1"/>
          <w:rFonts w:ascii="Arial" w:hAnsi="Arial" w:cs="Arial"/>
          <w:sz w:val="24"/>
          <w:szCs w:val="24"/>
        </w:rPr>
        <w:t>DOT</w:t>
      </w:r>
      <w:r w:rsidR="00C06E57" w:rsidRPr="00F533A8">
        <w:rPr>
          <w:rStyle w:val="s1"/>
          <w:rFonts w:ascii="Arial" w:hAnsi="Arial" w:cs="Arial"/>
          <w:sz w:val="24"/>
          <w:szCs w:val="24"/>
        </w:rPr>
        <w:t xml:space="preserve"> official</w:t>
      </w:r>
      <w:r w:rsidR="006008E2" w:rsidRPr="00F533A8">
        <w:rPr>
          <w:rStyle w:val="s1"/>
          <w:rFonts w:ascii="Arial" w:hAnsi="Arial" w:cs="Arial"/>
          <w:sz w:val="24"/>
          <w:szCs w:val="24"/>
        </w:rPr>
        <w:t xml:space="preserve">, </w:t>
      </w:r>
      <w:r w:rsidR="00C06E57" w:rsidRPr="00F533A8">
        <w:rPr>
          <w:rStyle w:val="s1"/>
          <w:rFonts w:ascii="Arial" w:hAnsi="Arial" w:cs="Arial"/>
          <w:sz w:val="24"/>
          <w:szCs w:val="24"/>
        </w:rPr>
        <w:t>Mr. S.S. Nkosi,  approved a financial analysis on the use of consultants for the T</w:t>
      </w:r>
      <w:r w:rsidR="009C766C" w:rsidRPr="00F533A8">
        <w:rPr>
          <w:rStyle w:val="s1"/>
          <w:rFonts w:ascii="Arial" w:hAnsi="Arial" w:cs="Arial"/>
          <w:sz w:val="24"/>
          <w:szCs w:val="24"/>
        </w:rPr>
        <w:t xml:space="preserve">ransport </w:t>
      </w:r>
      <w:r w:rsidR="00C06E57" w:rsidRPr="00F533A8">
        <w:rPr>
          <w:rStyle w:val="s1"/>
          <w:rFonts w:ascii="Arial" w:hAnsi="Arial" w:cs="Arial"/>
          <w:sz w:val="24"/>
          <w:szCs w:val="24"/>
        </w:rPr>
        <w:t>I</w:t>
      </w:r>
      <w:r w:rsidR="009C766C" w:rsidRPr="00F533A8">
        <w:rPr>
          <w:rStyle w:val="s1"/>
          <w:rFonts w:ascii="Arial" w:hAnsi="Arial" w:cs="Arial"/>
          <w:sz w:val="24"/>
          <w:szCs w:val="24"/>
        </w:rPr>
        <w:t xml:space="preserve">nformation </w:t>
      </w:r>
      <w:r w:rsidR="00C06E57" w:rsidRPr="00F533A8">
        <w:rPr>
          <w:rStyle w:val="s1"/>
          <w:rFonts w:ascii="Arial" w:hAnsi="Arial" w:cs="Arial"/>
          <w:sz w:val="24"/>
          <w:szCs w:val="24"/>
        </w:rPr>
        <w:t>R</w:t>
      </w:r>
      <w:r w:rsidR="009C766C" w:rsidRPr="00F533A8">
        <w:rPr>
          <w:rStyle w:val="s1"/>
          <w:rFonts w:ascii="Arial" w:hAnsi="Arial" w:cs="Arial"/>
          <w:sz w:val="24"/>
          <w:szCs w:val="24"/>
        </w:rPr>
        <w:t xml:space="preserve">esearch </w:t>
      </w:r>
      <w:r w:rsidR="00C06E57" w:rsidRPr="00F533A8">
        <w:rPr>
          <w:rStyle w:val="s1"/>
          <w:rFonts w:ascii="Arial" w:hAnsi="Arial" w:cs="Arial"/>
          <w:sz w:val="24"/>
          <w:szCs w:val="24"/>
        </w:rPr>
        <w:t>S</w:t>
      </w:r>
      <w:r w:rsidR="009C766C" w:rsidRPr="00F533A8">
        <w:rPr>
          <w:rStyle w:val="s1"/>
          <w:rFonts w:ascii="Arial" w:hAnsi="Arial" w:cs="Arial"/>
          <w:sz w:val="24"/>
          <w:szCs w:val="24"/>
        </w:rPr>
        <w:t>ervices (“TIRS”)</w:t>
      </w:r>
      <w:r w:rsidR="00C06E57" w:rsidRPr="00F533A8">
        <w:rPr>
          <w:rStyle w:val="s1"/>
          <w:rFonts w:ascii="Arial" w:hAnsi="Arial" w:cs="Arial"/>
          <w:sz w:val="24"/>
          <w:szCs w:val="24"/>
        </w:rPr>
        <w:t xml:space="preserve">. The analysis reflected, </w:t>
      </w:r>
      <w:r w:rsidR="00C06E57" w:rsidRPr="00F533A8">
        <w:rPr>
          <w:rStyle w:val="s1"/>
          <w:rFonts w:ascii="Arial" w:hAnsi="Arial" w:cs="Arial"/>
          <w:i/>
          <w:iCs/>
          <w:sz w:val="24"/>
          <w:szCs w:val="24"/>
        </w:rPr>
        <w:t>inter alia</w:t>
      </w:r>
      <w:r w:rsidR="00C06E57" w:rsidRPr="00F533A8">
        <w:rPr>
          <w:rStyle w:val="s1"/>
          <w:rFonts w:ascii="Arial" w:hAnsi="Arial" w:cs="Arial"/>
          <w:sz w:val="24"/>
          <w:szCs w:val="24"/>
        </w:rPr>
        <w:t xml:space="preserve">, that the </w:t>
      </w:r>
      <w:r w:rsidR="00EA7584" w:rsidRPr="00F533A8">
        <w:rPr>
          <w:rStyle w:val="s1"/>
          <w:rFonts w:ascii="Arial" w:hAnsi="Arial" w:cs="Arial"/>
          <w:sz w:val="24"/>
          <w:szCs w:val="24"/>
        </w:rPr>
        <w:t>DOT</w:t>
      </w:r>
      <w:r w:rsidR="00C06E57" w:rsidRPr="00F533A8">
        <w:rPr>
          <w:rStyle w:val="s1"/>
          <w:rFonts w:ascii="Arial" w:hAnsi="Arial" w:cs="Arial"/>
          <w:sz w:val="24"/>
          <w:szCs w:val="24"/>
        </w:rPr>
        <w:t xml:space="preserve"> expended 15% or R900 million per annum on professional fees and that the implementation of the proposed IDMS and RAMS model would reduce this bill by more than 10% or at least R100 million per annum. The proposal was founded on the consideration that </w:t>
      </w:r>
      <w:r w:rsidR="00EA7584" w:rsidRPr="00F533A8">
        <w:rPr>
          <w:rStyle w:val="s1"/>
          <w:rFonts w:ascii="Arial" w:hAnsi="Arial" w:cs="Arial"/>
          <w:sz w:val="24"/>
          <w:szCs w:val="24"/>
        </w:rPr>
        <w:t>DOT</w:t>
      </w:r>
      <w:r w:rsidR="00C06E57" w:rsidRPr="00F533A8">
        <w:rPr>
          <w:rStyle w:val="s1"/>
          <w:rFonts w:ascii="Arial" w:hAnsi="Arial" w:cs="Arial"/>
          <w:sz w:val="24"/>
          <w:szCs w:val="24"/>
        </w:rPr>
        <w:t xml:space="preserve"> did not have the necessary </w:t>
      </w:r>
      <w:r w:rsidR="009C766C" w:rsidRPr="00F533A8">
        <w:rPr>
          <w:rStyle w:val="s1"/>
          <w:rFonts w:ascii="Arial" w:hAnsi="Arial" w:cs="Arial"/>
          <w:sz w:val="24"/>
          <w:szCs w:val="24"/>
        </w:rPr>
        <w:t xml:space="preserve">in-house </w:t>
      </w:r>
      <w:r w:rsidR="00C06E57" w:rsidRPr="00F533A8">
        <w:rPr>
          <w:rStyle w:val="s1"/>
          <w:rFonts w:ascii="Arial" w:hAnsi="Arial" w:cs="Arial"/>
          <w:sz w:val="24"/>
          <w:szCs w:val="24"/>
        </w:rPr>
        <w:t xml:space="preserve">skills to meet the requirements of the proposed model. </w:t>
      </w:r>
    </w:p>
    <w:p w14:paraId="47F8714F" w14:textId="77777777" w:rsidR="00C06E57" w:rsidRPr="00F533A8" w:rsidRDefault="00C06E57" w:rsidP="00E212A8">
      <w:pPr>
        <w:pStyle w:val="p2"/>
        <w:spacing w:line="360" w:lineRule="auto"/>
        <w:jc w:val="both"/>
        <w:rPr>
          <w:rFonts w:ascii="Arial" w:hAnsi="Arial" w:cs="Arial"/>
          <w:sz w:val="24"/>
          <w:szCs w:val="24"/>
        </w:rPr>
      </w:pPr>
    </w:p>
    <w:p w14:paraId="211FAE7B" w14:textId="4AE9FA49" w:rsidR="00C06E57" w:rsidRPr="00F533A8" w:rsidRDefault="00C06E57" w:rsidP="00E212A8">
      <w:pPr>
        <w:pStyle w:val="p1"/>
        <w:spacing w:line="360" w:lineRule="auto"/>
        <w:jc w:val="both"/>
        <w:rPr>
          <w:rFonts w:ascii="Arial" w:hAnsi="Arial" w:cs="Arial"/>
          <w:sz w:val="24"/>
          <w:szCs w:val="24"/>
        </w:rPr>
      </w:pPr>
      <w:r w:rsidRPr="00F533A8">
        <w:rPr>
          <w:rStyle w:val="s1"/>
          <w:rFonts w:ascii="Arial" w:hAnsi="Arial" w:cs="Arial"/>
          <w:sz w:val="24"/>
          <w:szCs w:val="24"/>
        </w:rPr>
        <w:t>[1</w:t>
      </w:r>
      <w:r w:rsidR="008329CC">
        <w:rPr>
          <w:rStyle w:val="s1"/>
          <w:rFonts w:ascii="Arial" w:hAnsi="Arial" w:cs="Arial"/>
          <w:sz w:val="24"/>
          <w:szCs w:val="24"/>
        </w:rPr>
        <w:t>4</w:t>
      </w:r>
      <w:r w:rsidRPr="00F533A8">
        <w:rPr>
          <w:rStyle w:val="s1"/>
          <w:rFonts w:ascii="Arial" w:hAnsi="Arial" w:cs="Arial"/>
          <w:sz w:val="24"/>
          <w:szCs w:val="24"/>
        </w:rPr>
        <w:t>]</w:t>
      </w:r>
      <w:r w:rsidRPr="00F533A8">
        <w:rPr>
          <w:rStyle w:val="s1"/>
          <w:rFonts w:ascii="Arial" w:hAnsi="Arial" w:cs="Arial"/>
          <w:sz w:val="24"/>
          <w:szCs w:val="24"/>
        </w:rPr>
        <w:tab/>
        <w:t xml:space="preserve">On 15 August 2016, </w:t>
      </w:r>
      <w:r w:rsidR="00EA7584" w:rsidRPr="00F533A8">
        <w:rPr>
          <w:rStyle w:val="s1"/>
          <w:rFonts w:ascii="Arial" w:hAnsi="Arial" w:cs="Arial"/>
          <w:sz w:val="24"/>
          <w:szCs w:val="24"/>
        </w:rPr>
        <w:t>DOT</w:t>
      </w:r>
      <w:r w:rsidRPr="00F533A8">
        <w:rPr>
          <w:rStyle w:val="s1"/>
          <w:rFonts w:ascii="Arial" w:hAnsi="Arial" w:cs="Arial"/>
          <w:sz w:val="24"/>
          <w:szCs w:val="24"/>
        </w:rPr>
        <w:t xml:space="preserve"> undertook a skills audit or analysis a view to identifying the shortage of professional skills within its establishment. On 9 November 2016 a detailed submission was made to the </w:t>
      </w:r>
      <w:r w:rsidR="00EA7584" w:rsidRPr="00F533A8">
        <w:rPr>
          <w:rStyle w:val="s1"/>
          <w:rFonts w:ascii="Arial" w:hAnsi="Arial" w:cs="Arial"/>
          <w:sz w:val="24"/>
          <w:szCs w:val="24"/>
        </w:rPr>
        <w:t>DOT</w:t>
      </w:r>
      <w:r w:rsidRPr="00F533A8">
        <w:rPr>
          <w:rStyle w:val="s1"/>
          <w:rFonts w:ascii="Arial" w:hAnsi="Arial" w:cs="Arial"/>
          <w:sz w:val="24"/>
          <w:szCs w:val="24"/>
        </w:rPr>
        <w:t xml:space="preserve"> Bid Specification Committee (“BSC”) for the appointment of a service provider for the provision of an IDMS and RAMS for </w:t>
      </w:r>
      <w:r w:rsidR="00EA7584" w:rsidRPr="00F533A8">
        <w:rPr>
          <w:rStyle w:val="s1"/>
          <w:rFonts w:ascii="Arial" w:hAnsi="Arial" w:cs="Arial"/>
          <w:sz w:val="24"/>
          <w:szCs w:val="24"/>
        </w:rPr>
        <w:t>DOT</w:t>
      </w:r>
      <w:r w:rsidRPr="00F533A8">
        <w:rPr>
          <w:rStyle w:val="s1"/>
          <w:rFonts w:ascii="Arial" w:hAnsi="Arial" w:cs="Arial"/>
          <w:sz w:val="24"/>
          <w:szCs w:val="24"/>
        </w:rPr>
        <w:t>. The submission reflected the reciprocal inter-relationship between the IDMS and RAMS and the lack of capacity within DOT to fulfil the services required. Details of the proposed budget were set out therein. BSC approved the submission.</w:t>
      </w:r>
    </w:p>
    <w:p w14:paraId="45C91D74" w14:textId="77777777" w:rsidR="00C06E57" w:rsidRPr="00F533A8" w:rsidRDefault="00C06E57" w:rsidP="00E212A8">
      <w:pPr>
        <w:pStyle w:val="p1"/>
        <w:spacing w:line="360" w:lineRule="auto"/>
        <w:jc w:val="both"/>
        <w:rPr>
          <w:rStyle w:val="s1"/>
          <w:rFonts w:ascii="Arial" w:hAnsi="Arial" w:cs="Arial"/>
          <w:sz w:val="24"/>
          <w:szCs w:val="24"/>
        </w:rPr>
      </w:pPr>
    </w:p>
    <w:p w14:paraId="577562CC" w14:textId="10166631" w:rsidR="00C06E57" w:rsidRPr="00F533A8" w:rsidRDefault="00C06E57" w:rsidP="00E212A8">
      <w:pPr>
        <w:pStyle w:val="p1"/>
        <w:spacing w:line="360" w:lineRule="auto"/>
        <w:jc w:val="both"/>
        <w:rPr>
          <w:rFonts w:ascii="Arial" w:hAnsi="Arial" w:cs="Arial"/>
          <w:sz w:val="24"/>
          <w:szCs w:val="24"/>
        </w:rPr>
      </w:pPr>
      <w:r w:rsidRPr="00F533A8">
        <w:rPr>
          <w:rStyle w:val="s1"/>
          <w:rFonts w:ascii="Arial" w:hAnsi="Arial" w:cs="Arial"/>
          <w:sz w:val="24"/>
          <w:szCs w:val="24"/>
        </w:rPr>
        <w:t>[1</w:t>
      </w:r>
      <w:r w:rsidR="008329CC">
        <w:rPr>
          <w:rStyle w:val="s1"/>
          <w:rFonts w:ascii="Arial" w:hAnsi="Arial" w:cs="Arial"/>
          <w:sz w:val="24"/>
          <w:szCs w:val="24"/>
        </w:rPr>
        <w:t>5</w:t>
      </w:r>
      <w:r w:rsidRPr="00F533A8">
        <w:rPr>
          <w:rStyle w:val="s1"/>
          <w:rFonts w:ascii="Arial" w:hAnsi="Arial" w:cs="Arial"/>
          <w:sz w:val="24"/>
          <w:szCs w:val="24"/>
        </w:rPr>
        <w:t>]</w:t>
      </w:r>
      <w:r w:rsidRPr="00F533A8">
        <w:rPr>
          <w:rStyle w:val="s1"/>
          <w:rFonts w:ascii="Arial" w:hAnsi="Arial" w:cs="Arial"/>
          <w:sz w:val="24"/>
          <w:szCs w:val="24"/>
        </w:rPr>
        <w:tab/>
        <w:t xml:space="preserve">Subsequently, a tender was advertised. I conveniently refer to this tender as the original tender. The advertisement attracted 3 bids from </w:t>
      </w:r>
      <w:r w:rsidR="00DE08EE">
        <w:rPr>
          <w:rStyle w:val="s1"/>
          <w:rFonts w:ascii="Arial" w:hAnsi="Arial" w:cs="Arial"/>
          <w:sz w:val="24"/>
          <w:szCs w:val="24"/>
        </w:rPr>
        <w:t xml:space="preserve">two </w:t>
      </w:r>
      <w:r w:rsidRPr="00F533A8">
        <w:rPr>
          <w:rStyle w:val="s1"/>
          <w:rFonts w:ascii="Arial" w:hAnsi="Arial" w:cs="Arial"/>
          <w:sz w:val="24"/>
          <w:szCs w:val="24"/>
        </w:rPr>
        <w:t>entit</w:t>
      </w:r>
      <w:r w:rsidR="00DE08EE">
        <w:rPr>
          <w:rStyle w:val="s1"/>
          <w:rFonts w:ascii="Arial" w:hAnsi="Arial" w:cs="Arial"/>
          <w:sz w:val="24"/>
          <w:szCs w:val="24"/>
        </w:rPr>
        <w:t>ies</w:t>
      </w:r>
      <w:r w:rsidRPr="00F533A8">
        <w:rPr>
          <w:rStyle w:val="s1"/>
          <w:rFonts w:ascii="Arial" w:hAnsi="Arial" w:cs="Arial"/>
          <w:sz w:val="24"/>
          <w:szCs w:val="24"/>
        </w:rPr>
        <w:t xml:space="preserve"> and Nexor. </w:t>
      </w:r>
    </w:p>
    <w:p w14:paraId="4D5C1C34" w14:textId="77777777" w:rsidR="00C06E57" w:rsidRPr="00F533A8" w:rsidRDefault="00C06E57" w:rsidP="00E212A8">
      <w:pPr>
        <w:pStyle w:val="p1"/>
        <w:spacing w:line="360" w:lineRule="auto"/>
        <w:jc w:val="both"/>
        <w:rPr>
          <w:rStyle w:val="s1"/>
          <w:rFonts w:ascii="Arial" w:hAnsi="Arial" w:cs="Arial"/>
          <w:sz w:val="24"/>
          <w:szCs w:val="24"/>
        </w:rPr>
      </w:pPr>
    </w:p>
    <w:p w14:paraId="61B2C68A" w14:textId="31415AD1" w:rsidR="00C06E57" w:rsidRPr="00F533A8" w:rsidRDefault="00C06E57" w:rsidP="00E212A8">
      <w:pPr>
        <w:pStyle w:val="p1"/>
        <w:spacing w:line="360" w:lineRule="auto"/>
        <w:jc w:val="both"/>
        <w:rPr>
          <w:rFonts w:ascii="Arial" w:hAnsi="Arial" w:cs="Arial"/>
          <w:sz w:val="24"/>
          <w:szCs w:val="24"/>
        </w:rPr>
      </w:pPr>
      <w:r w:rsidRPr="00F533A8">
        <w:rPr>
          <w:rStyle w:val="s1"/>
          <w:rFonts w:ascii="Arial" w:hAnsi="Arial" w:cs="Arial"/>
          <w:sz w:val="24"/>
          <w:szCs w:val="24"/>
        </w:rPr>
        <w:t>[1</w:t>
      </w:r>
      <w:r w:rsidR="008329CC">
        <w:rPr>
          <w:rStyle w:val="s1"/>
          <w:rFonts w:ascii="Arial" w:hAnsi="Arial" w:cs="Arial"/>
          <w:sz w:val="24"/>
          <w:szCs w:val="24"/>
        </w:rPr>
        <w:t>6</w:t>
      </w:r>
      <w:r w:rsidRPr="00F533A8">
        <w:rPr>
          <w:rStyle w:val="s1"/>
          <w:rFonts w:ascii="Arial" w:hAnsi="Arial" w:cs="Arial"/>
          <w:sz w:val="24"/>
          <w:szCs w:val="24"/>
        </w:rPr>
        <w:t>]</w:t>
      </w:r>
      <w:r w:rsidRPr="00F533A8">
        <w:rPr>
          <w:rStyle w:val="s1"/>
          <w:rFonts w:ascii="Arial" w:hAnsi="Arial" w:cs="Arial"/>
          <w:sz w:val="24"/>
          <w:szCs w:val="24"/>
        </w:rPr>
        <w:tab/>
        <w:t xml:space="preserve">On 21 June 2017, a day before the closing date of the original tender, </w:t>
      </w:r>
      <w:r w:rsidR="00EA7584" w:rsidRPr="00F533A8">
        <w:rPr>
          <w:rStyle w:val="s1"/>
          <w:rFonts w:ascii="Arial" w:hAnsi="Arial" w:cs="Arial"/>
          <w:sz w:val="24"/>
          <w:szCs w:val="24"/>
        </w:rPr>
        <w:t>DOT</w:t>
      </w:r>
      <w:r w:rsidRPr="00F533A8">
        <w:rPr>
          <w:rStyle w:val="s1"/>
          <w:rFonts w:ascii="Arial" w:hAnsi="Arial" w:cs="Arial"/>
          <w:sz w:val="24"/>
          <w:szCs w:val="24"/>
        </w:rPr>
        <w:t xml:space="preserve">  received a letter from National Treasury raising concerns as to whether the original tender was biased and crafted to benefit certain bidders. </w:t>
      </w:r>
      <w:r w:rsidR="00EA7584" w:rsidRPr="00F533A8">
        <w:rPr>
          <w:rStyle w:val="s1"/>
          <w:rFonts w:ascii="Arial" w:hAnsi="Arial" w:cs="Arial"/>
          <w:sz w:val="24"/>
          <w:szCs w:val="24"/>
        </w:rPr>
        <w:t>DOT</w:t>
      </w:r>
      <w:r w:rsidRPr="00F533A8">
        <w:rPr>
          <w:rStyle w:val="s1"/>
          <w:rFonts w:ascii="Arial" w:hAnsi="Arial" w:cs="Arial"/>
          <w:sz w:val="24"/>
          <w:szCs w:val="24"/>
        </w:rPr>
        <w:t xml:space="preserve"> replied to National Treasury on 5 July 2017, addressing National Treasury’s concerns and making an undertaking </w:t>
      </w:r>
      <w:r w:rsidR="006008E2" w:rsidRPr="00F533A8">
        <w:rPr>
          <w:rStyle w:val="s1"/>
          <w:rFonts w:ascii="Arial" w:hAnsi="Arial" w:cs="Arial"/>
          <w:sz w:val="24"/>
          <w:szCs w:val="24"/>
        </w:rPr>
        <w:t xml:space="preserve">to </w:t>
      </w:r>
      <w:r w:rsidRPr="00F533A8">
        <w:rPr>
          <w:rStyle w:val="s1"/>
          <w:rFonts w:ascii="Arial" w:hAnsi="Arial" w:cs="Arial"/>
          <w:sz w:val="24"/>
          <w:szCs w:val="24"/>
        </w:rPr>
        <w:t>re-advertise the tender, taking the National Treasury’s concerns into account.</w:t>
      </w:r>
    </w:p>
    <w:p w14:paraId="22777932" w14:textId="77777777" w:rsidR="00C06E57" w:rsidRPr="00F533A8" w:rsidRDefault="00C06E57" w:rsidP="00E212A8">
      <w:pPr>
        <w:pStyle w:val="p1"/>
        <w:spacing w:line="360" w:lineRule="auto"/>
        <w:jc w:val="both"/>
        <w:rPr>
          <w:rStyle w:val="s1"/>
          <w:rFonts w:ascii="Arial" w:hAnsi="Arial" w:cs="Arial"/>
          <w:sz w:val="24"/>
          <w:szCs w:val="24"/>
        </w:rPr>
      </w:pPr>
    </w:p>
    <w:p w14:paraId="7F53CBAC" w14:textId="1A4B1A86" w:rsidR="00C06E57" w:rsidRPr="00F533A8" w:rsidRDefault="00C06E57" w:rsidP="00E212A8">
      <w:pPr>
        <w:pStyle w:val="p1"/>
        <w:spacing w:line="360" w:lineRule="auto"/>
        <w:jc w:val="both"/>
        <w:rPr>
          <w:rStyle w:val="s1"/>
          <w:rFonts w:ascii="Arial" w:hAnsi="Arial" w:cs="Arial"/>
          <w:sz w:val="24"/>
          <w:szCs w:val="24"/>
        </w:rPr>
      </w:pPr>
      <w:r w:rsidRPr="00F533A8">
        <w:rPr>
          <w:rStyle w:val="s1"/>
          <w:rFonts w:ascii="Arial" w:hAnsi="Arial" w:cs="Arial"/>
          <w:sz w:val="24"/>
          <w:szCs w:val="24"/>
        </w:rPr>
        <w:t>[1</w:t>
      </w:r>
      <w:r w:rsidR="008329CC">
        <w:rPr>
          <w:rStyle w:val="s1"/>
          <w:rFonts w:ascii="Arial" w:hAnsi="Arial" w:cs="Arial"/>
          <w:sz w:val="24"/>
          <w:szCs w:val="24"/>
        </w:rPr>
        <w:t>7</w:t>
      </w:r>
      <w:r w:rsidRPr="00F533A8">
        <w:rPr>
          <w:rStyle w:val="s1"/>
          <w:rFonts w:ascii="Arial" w:hAnsi="Arial" w:cs="Arial"/>
          <w:sz w:val="24"/>
          <w:szCs w:val="24"/>
        </w:rPr>
        <w:t>]</w:t>
      </w:r>
      <w:r w:rsidRPr="00F533A8">
        <w:rPr>
          <w:rStyle w:val="s1"/>
          <w:rFonts w:ascii="Arial" w:hAnsi="Arial" w:cs="Arial"/>
          <w:sz w:val="24"/>
          <w:szCs w:val="24"/>
        </w:rPr>
        <w:tab/>
        <w:t xml:space="preserve">On 31 July 2017 the </w:t>
      </w:r>
      <w:r w:rsidR="00EA7584" w:rsidRPr="00F533A8">
        <w:rPr>
          <w:rStyle w:val="s1"/>
          <w:rFonts w:ascii="Arial" w:hAnsi="Arial" w:cs="Arial"/>
          <w:sz w:val="24"/>
          <w:szCs w:val="24"/>
        </w:rPr>
        <w:t>DOT</w:t>
      </w:r>
      <w:r w:rsidRPr="00F533A8">
        <w:rPr>
          <w:rStyle w:val="s1"/>
          <w:rFonts w:ascii="Arial" w:hAnsi="Arial" w:cs="Arial"/>
          <w:sz w:val="24"/>
          <w:szCs w:val="24"/>
        </w:rPr>
        <w:t xml:space="preserve">’s Bid Adjudication Committee (“BAC”)  approved the cancellation of the original tender and authorised the advertisement of an amended tender, considering the concerns raised by </w:t>
      </w:r>
      <w:r w:rsidR="00CA0A89" w:rsidRPr="00F533A8">
        <w:rPr>
          <w:rStyle w:val="s1"/>
          <w:rFonts w:ascii="Arial" w:hAnsi="Arial" w:cs="Arial"/>
          <w:sz w:val="24"/>
          <w:szCs w:val="24"/>
        </w:rPr>
        <w:t>N</w:t>
      </w:r>
      <w:r w:rsidRPr="00F533A8">
        <w:rPr>
          <w:rStyle w:val="s1"/>
          <w:rFonts w:ascii="Arial" w:hAnsi="Arial" w:cs="Arial"/>
          <w:sz w:val="24"/>
          <w:szCs w:val="24"/>
        </w:rPr>
        <w:t xml:space="preserve">ational </w:t>
      </w:r>
      <w:r w:rsidR="00CA0A89" w:rsidRPr="00F533A8">
        <w:rPr>
          <w:rStyle w:val="s1"/>
          <w:rFonts w:ascii="Arial" w:hAnsi="Arial" w:cs="Arial"/>
          <w:sz w:val="24"/>
          <w:szCs w:val="24"/>
        </w:rPr>
        <w:t>T</w:t>
      </w:r>
      <w:r w:rsidRPr="00F533A8">
        <w:rPr>
          <w:rStyle w:val="s1"/>
          <w:rFonts w:ascii="Arial" w:hAnsi="Arial" w:cs="Arial"/>
          <w:sz w:val="24"/>
          <w:szCs w:val="24"/>
        </w:rPr>
        <w:t>reasury.</w:t>
      </w:r>
      <w:r w:rsidRPr="00F533A8">
        <w:rPr>
          <w:rFonts w:ascii="Arial" w:hAnsi="Arial" w:cs="Arial"/>
          <w:sz w:val="24"/>
          <w:szCs w:val="24"/>
        </w:rPr>
        <w:t xml:space="preserve"> Subsequently, </w:t>
      </w:r>
      <w:r w:rsidR="00EA7584" w:rsidRPr="00F533A8">
        <w:rPr>
          <w:rFonts w:ascii="Arial" w:hAnsi="Arial" w:cs="Arial"/>
          <w:sz w:val="24"/>
          <w:szCs w:val="24"/>
        </w:rPr>
        <w:t>DOT</w:t>
      </w:r>
      <w:r w:rsidRPr="00F533A8">
        <w:rPr>
          <w:rFonts w:ascii="Arial" w:hAnsi="Arial" w:cs="Arial"/>
          <w:sz w:val="24"/>
          <w:szCs w:val="24"/>
        </w:rPr>
        <w:t xml:space="preserve"> sent </w:t>
      </w:r>
      <w:r w:rsidRPr="00F533A8">
        <w:rPr>
          <w:rStyle w:val="s1"/>
          <w:rFonts w:ascii="Arial" w:hAnsi="Arial" w:cs="Arial"/>
          <w:sz w:val="24"/>
          <w:szCs w:val="24"/>
        </w:rPr>
        <w:t>the amended tender to National Treasury. National Treasury confirmed that it ha</w:t>
      </w:r>
      <w:r w:rsidR="006008E2" w:rsidRPr="00F533A8">
        <w:rPr>
          <w:rStyle w:val="s1"/>
          <w:rFonts w:ascii="Arial" w:hAnsi="Arial" w:cs="Arial"/>
          <w:sz w:val="24"/>
          <w:szCs w:val="24"/>
        </w:rPr>
        <w:t>d</w:t>
      </w:r>
      <w:r w:rsidRPr="00F533A8">
        <w:rPr>
          <w:rStyle w:val="s1"/>
          <w:rFonts w:ascii="Arial" w:hAnsi="Arial" w:cs="Arial"/>
          <w:sz w:val="24"/>
          <w:szCs w:val="24"/>
        </w:rPr>
        <w:t xml:space="preserve"> no </w:t>
      </w:r>
      <w:r w:rsidRPr="00F533A8">
        <w:rPr>
          <w:rStyle w:val="s1"/>
          <w:rFonts w:ascii="Arial" w:hAnsi="Arial" w:cs="Arial"/>
          <w:sz w:val="24"/>
          <w:szCs w:val="24"/>
        </w:rPr>
        <w:lastRenderedPageBreak/>
        <w:t xml:space="preserve">further concerns in relation to the reissued tender.  </w:t>
      </w:r>
      <w:r w:rsidR="00EA7584" w:rsidRPr="00F533A8">
        <w:rPr>
          <w:rStyle w:val="s1"/>
          <w:rFonts w:ascii="Arial" w:hAnsi="Arial" w:cs="Arial"/>
          <w:sz w:val="24"/>
          <w:szCs w:val="24"/>
        </w:rPr>
        <w:t>DOT</w:t>
      </w:r>
      <w:r w:rsidRPr="00F533A8">
        <w:rPr>
          <w:rStyle w:val="s1"/>
          <w:rFonts w:ascii="Arial" w:hAnsi="Arial" w:cs="Arial"/>
          <w:sz w:val="24"/>
          <w:szCs w:val="24"/>
        </w:rPr>
        <w:t xml:space="preserve"> advertised the amended tender on 18 August 2017. This is the tender impugned in these proceedings. </w:t>
      </w:r>
    </w:p>
    <w:p w14:paraId="4CB98A2F" w14:textId="77777777" w:rsidR="00C06E57" w:rsidRPr="00F533A8" w:rsidRDefault="00C06E57" w:rsidP="00E212A8">
      <w:pPr>
        <w:pStyle w:val="p1"/>
        <w:spacing w:line="360" w:lineRule="auto"/>
        <w:jc w:val="both"/>
        <w:rPr>
          <w:rFonts w:ascii="Arial" w:hAnsi="Arial" w:cs="Arial"/>
          <w:sz w:val="24"/>
          <w:szCs w:val="24"/>
        </w:rPr>
      </w:pPr>
    </w:p>
    <w:p w14:paraId="6A778E18" w14:textId="01554F49" w:rsidR="00C06E57" w:rsidRPr="00F533A8" w:rsidRDefault="00C06E57" w:rsidP="00E212A8">
      <w:pPr>
        <w:pStyle w:val="p1"/>
        <w:spacing w:line="360" w:lineRule="auto"/>
        <w:jc w:val="both"/>
        <w:rPr>
          <w:rStyle w:val="s1"/>
          <w:rFonts w:ascii="Arial" w:hAnsi="Arial" w:cs="Arial"/>
          <w:sz w:val="24"/>
          <w:szCs w:val="24"/>
        </w:rPr>
      </w:pPr>
      <w:r w:rsidRPr="00F533A8">
        <w:rPr>
          <w:rStyle w:val="s1"/>
          <w:rFonts w:ascii="Arial" w:hAnsi="Arial" w:cs="Arial"/>
          <w:sz w:val="24"/>
          <w:szCs w:val="24"/>
        </w:rPr>
        <w:t>[1</w:t>
      </w:r>
      <w:r w:rsidR="008329CC">
        <w:rPr>
          <w:rStyle w:val="s1"/>
          <w:rFonts w:ascii="Arial" w:hAnsi="Arial" w:cs="Arial"/>
          <w:sz w:val="24"/>
          <w:szCs w:val="24"/>
        </w:rPr>
        <w:t>8</w:t>
      </w:r>
      <w:r w:rsidRPr="00F533A8">
        <w:rPr>
          <w:rStyle w:val="s1"/>
          <w:rFonts w:ascii="Arial" w:hAnsi="Arial" w:cs="Arial"/>
          <w:sz w:val="24"/>
          <w:szCs w:val="24"/>
        </w:rPr>
        <w:t>]</w:t>
      </w:r>
      <w:r w:rsidRPr="00F533A8">
        <w:rPr>
          <w:rStyle w:val="s1"/>
          <w:rFonts w:ascii="Arial" w:hAnsi="Arial" w:cs="Arial"/>
          <w:sz w:val="24"/>
          <w:szCs w:val="24"/>
        </w:rPr>
        <w:tab/>
        <w:t xml:space="preserve">9 tenderers, including Nexor, submitted bids in response to the tender. </w:t>
      </w:r>
      <w:r w:rsidR="00EA7584" w:rsidRPr="00F533A8">
        <w:rPr>
          <w:rFonts w:ascii="Arial" w:hAnsi="Arial" w:cs="Arial"/>
          <w:sz w:val="24"/>
          <w:szCs w:val="24"/>
        </w:rPr>
        <w:t>DOT</w:t>
      </w:r>
      <w:r w:rsidRPr="00F533A8">
        <w:rPr>
          <w:rFonts w:ascii="Arial" w:hAnsi="Arial" w:cs="Arial"/>
          <w:sz w:val="24"/>
          <w:szCs w:val="24"/>
        </w:rPr>
        <w:t xml:space="preserve">’s Technical Bid Evaluation Committee (“TBEC”) evaluated the bids on 13 March 2018. </w:t>
      </w:r>
      <w:r w:rsidRPr="00F533A8">
        <w:rPr>
          <w:rStyle w:val="s1"/>
          <w:rFonts w:ascii="Arial" w:hAnsi="Arial" w:cs="Arial"/>
          <w:sz w:val="24"/>
          <w:szCs w:val="24"/>
        </w:rPr>
        <w:t>The evaluation was undertaken in accordance with the scoresheet that was incorporated in the tender document. According to the minutes of TBEC’s 13 March 2018 meeting, 5 bids of the 9 bids were disqualified as being non-responsive. As a result, only the remaining 4 bids were assessed for functionality. Of these 4 bids, only 2 [one being Nexor</w:t>
      </w:r>
      <w:r w:rsidR="00117CB4" w:rsidRPr="00F533A8">
        <w:rPr>
          <w:rStyle w:val="s1"/>
          <w:rFonts w:ascii="Arial" w:hAnsi="Arial" w:cs="Arial"/>
          <w:sz w:val="24"/>
          <w:szCs w:val="24"/>
        </w:rPr>
        <w:t>’s</w:t>
      </w:r>
      <w:r w:rsidRPr="00F533A8">
        <w:rPr>
          <w:rStyle w:val="s1"/>
          <w:rFonts w:ascii="Arial" w:hAnsi="Arial" w:cs="Arial"/>
          <w:sz w:val="24"/>
          <w:szCs w:val="24"/>
        </w:rPr>
        <w:t>] met the 70% threshold for functionality and were assessed for preference points.</w:t>
      </w:r>
    </w:p>
    <w:p w14:paraId="07930DBB" w14:textId="77777777" w:rsidR="00C06E57" w:rsidRPr="00F533A8" w:rsidRDefault="00C06E57" w:rsidP="00E212A8">
      <w:pPr>
        <w:pStyle w:val="p1"/>
        <w:spacing w:line="360" w:lineRule="auto"/>
        <w:jc w:val="both"/>
        <w:rPr>
          <w:rFonts w:ascii="Arial" w:hAnsi="Arial" w:cs="Arial"/>
          <w:sz w:val="24"/>
          <w:szCs w:val="24"/>
        </w:rPr>
      </w:pPr>
    </w:p>
    <w:p w14:paraId="2F827EB3" w14:textId="786F859F" w:rsidR="00C06E57" w:rsidRPr="00F533A8" w:rsidRDefault="00C06E57" w:rsidP="00E212A8">
      <w:pPr>
        <w:pStyle w:val="p1"/>
        <w:spacing w:line="360" w:lineRule="auto"/>
        <w:jc w:val="both"/>
        <w:rPr>
          <w:rStyle w:val="s1"/>
          <w:rFonts w:ascii="Arial" w:hAnsi="Arial" w:cs="Arial"/>
          <w:sz w:val="24"/>
          <w:szCs w:val="24"/>
        </w:rPr>
      </w:pPr>
      <w:r w:rsidRPr="00F533A8">
        <w:rPr>
          <w:rStyle w:val="s1"/>
          <w:rFonts w:ascii="Arial" w:hAnsi="Arial" w:cs="Arial"/>
          <w:sz w:val="24"/>
          <w:szCs w:val="24"/>
        </w:rPr>
        <w:t>[19]</w:t>
      </w:r>
      <w:r w:rsidRPr="00F533A8">
        <w:rPr>
          <w:rStyle w:val="s1"/>
          <w:rFonts w:ascii="Arial" w:hAnsi="Arial" w:cs="Arial"/>
          <w:sz w:val="24"/>
          <w:szCs w:val="24"/>
        </w:rPr>
        <w:tab/>
        <w:t xml:space="preserve">TBEC met again on 19 March 2018 and noted that the other bidder who met the functionality threshold did not price certain items specified in the pricing schedule. Its bid pricing schedule was accordingly incomplete and deemed non-responsive. This left Nexor’s bid uncontested. The tender was awarded to </w:t>
      </w:r>
      <w:r w:rsidR="00117CB4" w:rsidRPr="00F533A8">
        <w:rPr>
          <w:rStyle w:val="s1"/>
          <w:rFonts w:ascii="Arial" w:hAnsi="Arial" w:cs="Arial"/>
          <w:sz w:val="24"/>
          <w:szCs w:val="24"/>
        </w:rPr>
        <w:t>Nexor</w:t>
      </w:r>
      <w:r w:rsidRPr="00F533A8">
        <w:rPr>
          <w:rStyle w:val="s1"/>
          <w:rFonts w:ascii="Arial" w:hAnsi="Arial" w:cs="Arial"/>
          <w:sz w:val="24"/>
          <w:szCs w:val="24"/>
        </w:rPr>
        <w:t xml:space="preserve"> because its bid met all the tender requirements. </w:t>
      </w:r>
      <w:r w:rsidR="00EA7584" w:rsidRPr="00F533A8">
        <w:rPr>
          <w:rStyle w:val="s1"/>
          <w:rFonts w:ascii="Arial" w:hAnsi="Arial" w:cs="Arial"/>
          <w:sz w:val="24"/>
          <w:szCs w:val="24"/>
        </w:rPr>
        <w:t>DOT</w:t>
      </w:r>
      <w:r w:rsidRPr="00F533A8">
        <w:rPr>
          <w:rStyle w:val="s1"/>
          <w:rFonts w:ascii="Arial" w:hAnsi="Arial" w:cs="Arial"/>
          <w:sz w:val="24"/>
          <w:szCs w:val="24"/>
        </w:rPr>
        <w:t xml:space="preserve"> advertised the awarding  of the tender to Nexor in the Government Tender Bulletin on 6 April 201</w:t>
      </w:r>
      <w:r w:rsidR="00CA0A89" w:rsidRPr="00F533A8">
        <w:rPr>
          <w:rStyle w:val="s1"/>
          <w:rFonts w:ascii="Arial" w:hAnsi="Arial" w:cs="Arial"/>
          <w:sz w:val="24"/>
          <w:szCs w:val="24"/>
        </w:rPr>
        <w:t>8</w:t>
      </w:r>
      <w:r w:rsidRPr="00F533A8">
        <w:rPr>
          <w:rStyle w:val="s1"/>
          <w:rFonts w:ascii="Arial" w:hAnsi="Arial" w:cs="Arial"/>
          <w:sz w:val="24"/>
          <w:szCs w:val="24"/>
        </w:rPr>
        <w:t>. No appeals were noted against the awarding of the tender.</w:t>
      </w:r>
      <w:r w:rsidRPr="00F533A8">
        <w:rPr>
          <w:rFonts w:ascii="Arial" w:hAnsi="Arial" w:cs="Arial"/>
          <w:sz w:val="24"/>
          <w:szCs w:val="24"/>
        </w:rPr>
        <w:t xml:space="preserve"> </w:t>
      </w:r>
      <w:r w:rsidR="00EA7584" w:rsidRPr="00F533A8">
        <w:rPr>
          <w:rFonts w:ascii="Arial" w:hAnsi="Arial" w:cs="Arial"/>
          <w:sz w:val="24"/>
          <w:szCs w:val="24"/>
        </w:rPr>
        <w:t>DOT</w:t>
      </w:r>
      <w:r w:rsidRPr="00F533A8">
        <w:rPr>
          <w:rFonts w:ascii="Arial" w:hAnsi="Arial" w:cs="Arial"/>
          <w:sz w:val="24"/>
          <w:szCs w:val="24"/>
        </w:rPr>
        <w:t xml:space="preserve"> addressed a</w:t>
      </w:r>
      <w:r w:rsidRPr="00F533A8">
        <w:rPr>
          <w:rStyle w:val="s1"/>
          <w:rFonts w:ascii="Arial" w:hAnsi="Arial" w:cs="Arial"/>
          <w:sz w:val="24"/>
          <w:szCs w:val="24"/>
        </w:rPr>
        <w:t xml:space="preserve"> letter of award to Nexor on 18 April 2018. </w:t>
      </w:r>
    </w:p>
    <w:p w14:paraId="0BE4A93E" w14:textId="77777777" w:rsidR="00117CB4" w:rsidRPr="00F533A8" w:rsidRDefault="00117CB4" w:rsidP="00E212A8">
      <w:pPr>
        <w:pStyle w:val="p1"/>
        <w:spacing w:line="360" w:lineRule="auto"/>
        <w:jc w:val="both"/>
        <w:rPr>
          <w:rStyle w:val="s1"/>
          <w:rFonts w:ascii="Arial" w:hAnsi="Arial" w:cs="Arial"/>
          <w:sz w:val="24"/>
          <w:szCs w:val="24"/>
        </w:rPr>
      </w:pPr>
    </w:p>
    <w:p w14:paraId="002ABC63" w14:textId="77FC42DF" w:rsidR="00C06E57" w:rsidRPr="00F533A8" w:rsidRDefault="00C06E57" w:rsidP="00E212A8">
      <w:pPr>
        <w:pStyle w:val="p1"/>
        <w:spacing w:line="360" w:lineRule="auto"/>
        <w:jc w:val="both"/>
        <w:rPr>
          <w:rFonts w:ascii="Arial" w:hAnsi="Arial" w:cs="Arial"/>
          <w:sz w:val="24"/>
          <w:szCs w:val="24"/>
        </w:rPr>
      </w:pPr>
      <w:r w:rsidRPr="00F533A8">
        <w:rPr>
          <w:rStyle w:val="s1"/>
          <w:rFonts w:ascii="Arial" w:hAnsi="Arial" w:cs="Arial"/>
          <w:sz w:val="24"/>
          <w:szCs w:val="24"/>
        </w:rPr>
        <w:t>[20]</w:t>
      </w:r>
      <w:r w:rsidRPr="00F533A8">
        <w:rPr>
          <w:rStyle w:val="s1"/>
          <w:rFonts w:ascii="Arial" w:hAnsi="Arial" w:cs="Arial"/>
          <w:sz w:val="24"/>
          <w:szCs w:val="24"/>
        </w:rPr>
        <w:tab/>
        <w:t xml:space="preserve">On 23 April 2018, </w:t>
      </w:r>
      <w:r w:rsidR="00785FFA" w:rsidRPr="00F533A8">
        <w:rPr>
          <w:rStyle w:val="s1"/>
          <w:rFonts w:ascii="Arial" w:hAnsi="Arial" w:cs="Arial"/>
          <w:sz w:val="24"/>
          <w:szCs w:val="24"/>
        </w:rPr>
        <w:t>the Consulting Engineers Council of South Africa (“</w:t>
      </w:r>
      <w:r w:rsidRPr="00F533A8">
        <w:rPr>
          <w:rStyle w:val="s1"/>
          <w:rFonts w:ascii="Arial" w:hAnsi="Arial" w:cs="Arial"/>
          <w:sz w:val="24"/>
          <w:szCs w:val="24"/>
        </w:rPr>
        <w:t>CESA</w:t>
      </w:r>
      <w:r w:rsidR="00785FFA" w:rsidRPr="00F533A8">
        <w:rPr>
          <w:rStyle w:val="s1"/>
          <w:rFonts w:ascii="Arial" w:hAnsi="Arial" w:cs="Arial"/>
          <w:sz w:val="24"/>
          <w:szCs w:val="24"/>
        </w:rPr>
        <w:t>”)</w:t>
      </w:r>
      <w:r w:rsidRPr="00F533A8">
        <w:rPr>
          <w:rStyle w:val="s1"/>
          <w:rFonts w:ascii="Arial" w:hAnsi="Arial" w:cs="Arial"/>
          <w:sz w:val="24"/>
          <w:szCs w:val="24"/>
        </w:rPr>
        <w:t xml:space="preserve"> addressed a letter dated 23 April 2018 to </w:t>
      </w:r>
      <w:r w:rsidR="00EA7584" w:rsidRPr="00F533A8">
        <w:rPr>
          <w:rStyle w:val="s1"/>
          <w:rFonts w:ascii="Arial" w:hAnsi="Arial" w:cs="Arial"/>
          <w:sz w:val="24"/>
          <w:szCs w:val="24"/>
        </w:rPr>
        <w:t>DOT</w:t>
      </w:r>
      <w:r w:rsidRPr="00F533A8">
        <w:rPr>
          <w:rStyle w:val="s1"/>
          <w:rFonts w:ascii="Arial" w:hAnsi="Arial" w:cs="Arial"/>
          <w:sz w:val="24"/>
          <w:szCs w:val="24"/>
        </w:rPr>
        <w:t xml:space="preserve"> </w:t>
      </w:r>
      <w:r w:rsidR="00DE08EE" w:rsidRPr="00F533A8">
        <w:rPr>
          <w:rStyle w:val="s1"/>
          <w:rFonts w:ascii="Arial" w:hAnsi="Arial" w:cs="Arial"/>
          <w:sz w:val="24"/>
          <w:szCs w:val="24"/>
        </w:rPr>
        <w:t>qu</w:t>
      </w:r>
      <w:r w:rsidR="00DE08EE">
        <w:rPr>
          <w:rStyle w:val="s1"/>
          <w:rFonts w:ascii="Arial" w:hAnsi="Arial" w:cs="Arial"/>
          <w:sz w:val="24"/>
          <w:szCs w:val="24"/>
        </w:rPr>
        <w:t>e</w:t>
      </w:r>
      <w:r w:rsidR="00DE08EE" w:rsidRPr="00F533A8">
        <w:rPr>
          <w:rStyle w:val="s1"/>
          <w:rFonts w:ascii="Arial" w:hAnsi="Arial" w:cs="Arial"/>
          <w:sz w:val="24"/>
          <w:szCs w:val="24"/>
        </w:rPr>
        <w:t>rying</w:t>
      </w:r>
      <w:r w:rsidRPr="00F533A8">
        <w:rPr>
          <w:rStyle w:val="s1"/>
          <w:rFonts w:ascii="Arial" w:hAnsi="Arial" w:cs="Arial"/>
          <w:sz w:val="24"/>
          <w:szCs w:val="24"/>
        </w:rPr>
        <w:t xml:space="preserve"> the awarding of the tender to Nexor on the basis that it is not listed as one of the entities that bid for the tender. </w:t>
      </w:r>
      <w:r w:rsidR="00EA7584" w:rsidRPr="00F533A8">
        <w:rPr>
          <w:rStyle w:val="s1"/>
          <w:rFonts w:ascii="Arial" w:hAnsi="Arial" w:cs="Arial"/>
          <w:sz w:val="24"/>
          <w:szCs w:val="24"/>
        </w:rPr>
        <w:t>DOT</w:t>
      </w:r>
      <w:r w:rsidRPr="00F533A8">
        <w:rPr>
          <w:rStyle w:val="s1"/>
          <w:rFonts w:ascii="Arial" w:hAnsi="Arial" w:cs="Arial"/>
          <w:sz w:val="24"/>
          <w:szCs w:val="24"/>
        </w:rPr>
        <w:t xml:space="preserve"> responded to CESA that Nexor is listed by its trading name VNA Consulting. CESA addressed no further correspondence to </w:t>
      </w:r>
      <w:r w:rsidR="00EA7584" w:rsidRPr="00F533A8">
        <w:rPr>
          <w:rStyle w:val="s1"/>
          <w:rFonts w:ascii="Arial" w:hAnsi="Arial" w:cs="Arial"/>
          <w:sz w:val="24"/>
          <w:szCs w:val="24"/>
        </w:rPr>
        <w:t>DOT</w:t>
      </w:r>
      <w:r w:rsidRPr="00F533A8">
        <w:rPr>
          <w:rStyle w:val="s1"/>
          <w:rFonts w:ascii="Arial" w:hAnsi="Arial" w:cs="Arial"/>
          <w:sz w:val="24"/>
          <w:szCs w:val="24"/>
        </w:rPr>
        <w:t>. It also did not apply for the review of the tender.</w:t>
      </w:r>
    </w:p>
    <w:p w14:paraId="380762E0" w14:textId="77777777" w:rsidR="00704957" w:rsidRPr="00F533A8" w:rsidRDefault="00704957" w:rsidP="00E212A8">
      <w:pPr>
        <w:pStyle w:val="p1"/>
        <w:spacing w:line="360" w:lineRule="auto"/>
        <w:jc w:val="both"/>
        <w:rPr>
          <w:rFonts w:ascii="Arial" w:hAnsi="Arial" w:cs="Arial"/>
          <w:sz w:val="24"/>
          <w:szCs w:val="24"/>
        </w:rPr>
      </w:pPr>
    </w:p>
    <w:p w14:paraId="7305E73D" w14:textId="2C2F922C" w:rsidR="00C06E57" w:rsidRPr="00F533A8" w:rsidRDefault="00C06E57" w:rsidP="00E212A8">
      <w:pPr>
        <w:pStyle w:val="p1"/>
        <w:spacing w:line="360" w:lineRule="auto"/>
        <w:jc w:val="both"/>
        <w:rPr>
          <w:rStyle w:val="s1"/>
          <w:rFonts w:ascii="Arial" w:hAnsi="Arial" w:cs="Arial"/>
          <w:sz w:val="24"/>
          <w:szCs w:val="24"/>
        </w:rPr>
      </w:pPr>
      <w:r w:rsidRPr="00F533A8">
        <w:rPr>
          <w:rFonts w:ascii="Arial" w:hAnsi="Arial" w:cs="Arial"/>
          <w:sz w:val="24"/>
          <w:szCs w:val="24"/>
        </w:rPr>
        <w:t>[21]</w:t>
      </w:r>
      <w:r w:rsidRPr="00F533A8">
        <w:rPr>
          <w:rFonts w:ascii="Arial" w:hAnsi="Arial" w:cs="Arial"/>
          <w:sz w:val="24"/>
          <w:szCs w:val="24"/>
        </w:rPr>
        <w:tab/>
        <w:t xml:space="preserve">On 26 April 2018, DOT concluded a contract with Nexor pursuant to the awarding of the tender. Nexor proceeding to </w:t>
      </w:r>
      <w:r w:rsidR="00EA7584" w:rsidRPr="00F533A8">
        <w:rPr>
          <w:rFonts w:ascii="Arial" w:hAnsi="Arial" w:cs="Arial"/>
          <w:sz w:val="24"/>
          <w:szCs w:val="24"/>
        </w:rPr>
        <w:t>fulfil</w:t>
      </w:r>
      <w:r w:rsidRPr="00F533A8">
        <w:rPr>
          <w:rFonts w:ascii="Arial" w:hAnsi="Arial" w:cs="Arial"/>
          <w:sz w:val="24"/>
          <w:szCs w:val="24"/>
        </w:rPr>
        <w:t xml:space="preserve"> its obligations in terms of the contract. At no stage did the DOT </w:t>
      </w:r>
      <w:r w:rsidRPr="00F533A8">
        <w:rPr>
          <w:rStyle w:val="s1"/>
          <w:rFonts w:ascii="Arial" w:hAnsi="Arial" w:cs="Arial"/>
          <w:sz w:val="24"/>
          <w:szCs w:val="24"/>
        </w:rPr>
        <w:t xml:space="preserve">document any material complaint with Nexor regarding </w:t>
      </w:r>
      <w:r w:rsidR="00117CB4" w:rsidRPr="00F533A8">
        <w:rPr>
          <w:rStyle w:val="s1"/>
          <w:rFonts w:ascii="Arial" w:hAnsi="Arial" w:cs="Arial"/>
          <w:sz w:val="24"/>
          <w:szCs w:val="24"/>
        </w:rPr>
        <w:t>lack of</w:t>
      </w:r>
      <w:r w:rsidRPr="00F533A8">
        <w:rPr>
          <w:rStyle w:val="s1"/>
          <w:rFonts w:ascii="Arial" w:hAnsi="Arial" w:cs="Arial"/>
          <w:sz w:val="24"/>
          <w:szCs w:val="24"/>
        </w:rPr>
        <w:t xml:space="preserve"> compliance with its obligations under the contract. On 4 June 2021 National Treasury addressed a letter to DOT noting its great success with its implementation of the IDMS programme.</w:t>
      </w:r>
    </w:p>
    <w:p w14:paraId="4012AFE0" w14:textId="77777777" w:rsidR="00C06E57" w:rsidRDefault="00C06E57" w:rsidP="00E212A8">
      <w:pPr>
        <w:spacing w:line="360" w:lineRule="auto"/>
        <w:jc w:val="both"/>
        <w:rPr>
          <w:rFonts w:ascii="Arial" w:hAnsi="Arial" w:cs="Arial"/>
          <w:sz w:val="24"/>
          <w:szCs w:val="24"/>
        </w:rPr>
      </w:pPr>
    </w:p>
    <w:p w14:paraId="4F5A27BD" w14:textId="77777777" w:rsidR="00396285" w:rsidRDefault="00396285" w:rsidP="00E212A8">
      <w:pPr>
        <w:spacing w:line="360" w:lineRule="auto"/>
        <w:jc w:val="both"/>
        <w:rPr>
          <w:rFonts w:ascii="Arial" w:hAnsi="Arial" w:cs="Arial"/>
          <w:sz w:val="24"/>
          <w:szCs w:val="24"/>
        </w:rPr>
      </w:pPr>
    </w:p>
    <w:p w14:paraId="0CAEE9FA" w14:textId="77777777" w:rsidR="00396285" w:rsidRDefault="00396285" w:rsidP="00E212A8">
      <w:pPr>
        <w:spacing w:line="360" w:lineRule="auto"/>
        <w:jc w:val="both"/>
        <w:rPr>
          <w:rFonts w:ascii="Arial" w:hAnsi="Arial" w:cs="Arial"/>
          <w:sz w:val="24"/>
          <w:szCs w:val="24"/>
        </w:rPr>
      </w:pPr>
    </w:p>
    <w:p w14:paraId="5B2F9C11" w14:textId="77777777" w:rsidR="00396285" w:rsidRDefault="00396285" w:rsidP="00E212A8">
      <w:pPr>
        <w:spacing w:line="360" w:lineRule="auto"/>
        <w:jc w:val="both"/>
        <w:rPr>
          <w:rFonts w:ascii="Arial" w:hAnsi="Arial" w:cs="Arial"/>
          <w:sz w:val="24"/>
          <w:szCs w:val="24"/>
        </w:rPr>
      </w:pPr>
    </w:p>
    <w:p w14:paraId="2DE859AD" w14:textId="2CA83B99" w:rsidR="001A01AB" w:rsidRPr="00F533A8" w:rsidRDefault="001A01AB" w:rsidP="00E212A8">
      <w:pPr>
        <w:tabs>
          <w:tab w:val="left" w:pos="851"/>
        </w:tabs>
        <w:spacing w:line="360" w:lineRule="auto"/>
        <w:jc w:val="both"/>
        <w:rPr>
          <w:rFonts w:ascii="Arial" w:hAnsi="Arial" w:cs="Arial"/>
          <w:b/>
          <w:bCs/>
          <w:sz w:val="24"/>
          <w:szCs w:val="24"/>
        </w:rPr>
      </w:pPr>
      <w:r w:rsidRPr="00F533A8">
        <w:rPr>
          <w:rFonts w:ascii="Arial" w:hAnsi="Arial" w:cs="Arial"/>
          <w:b/>
          <w:bCs/>
          <w:sz w:val="24"/>
          <w:szCs w:val="24"/>
        </w:rPr>
        <w:lastRenderedPageBreak/>
        <w:t>Grounds of review and grounds of opposition</w:t>
      </w:r>
    </w:p>
    <w:p w14:paraId="2AD64132" w14:textId="045D4A4E" w:rsidR="00C06E57" w:rsidRPr="00F533A8" w:rsidRDefault="00C06E57" w:rsidP="00E212A8">
      <w:pPr>
        <w:tabs>
          <w:tab w:val="left" w:pos="851"/>
        </w:tabs>
        <w:spacing w:line="360" w:lineRule="auto"/>
        <w:jc w:val="both"/>
        <w:rPr>
          <w:rFonts w:ascii="Arial" w:hAnsi="Arial" w:cs="Arial"/>
          <w:sz w:val="24"/>
          <w:szCs w:val="24"/>
        </w:rPr>
      </w:pPr>
      <w:r w:rsidRPr="00F533A8">
        <w:rPr>
          <w:rFonts w:ascii="Arial" w:hAnsi="Arial" w:cs="Arial"/>
          <w:sz w:val="24"/>
          <w:szCs w:val="24"/>
        </w:rPr>
        <w:t>[22]</w:t>
      </w:r>
      <w:r w:rsidR="00332204" w:rsidRPr="00F533A8">
        <w:rPr>
          <w:rFonts w:ascii="Arial" w:hAnsi="Arial" w:cs="Arial"/>
          <w:sz w:val="24"/>
          <w:szCs w:val="24"/>
        </w:rPr>
        <w:t xml:space="preserve"> </w:t>
      </w:r>
      <w:r w:rsidRPr="00F533A8">
        <w:rPr>
          <w:rFonts w:ascii="Arial" w:hAnsi="Arial" w:cs="Arial"/>
          <w:sz w:val="24"/>
          <w:szCs w:val="24"/>
        </w:rPr>
        <w:t>The SIU relies on the following grounds of review.</w:t>
      </w:r>
    </w:p>
    <w:p w14:paraId="0072BA11" w14:textId="12514692" w:rsidR="00017B92" w:rsidRPr="009F468E" w:rsidRDefault="009F468E" w:rsidP="009F468E">
      <w:pPr>
        <w:tabs>
          <w:tab w:val="left" w:pos="1822"/>
        </w:tabs>
        <w:spacing w:line="360" w:lineRule="auto"/>
        <w:ind w:left="460" w:right="260" w:hanging="460"/>
        <w:jc w:val="both"/>
        <w:rPr>
          <w:rFonts w:ascii="Arial" w:hAnsi="Arial"/>
          <w:sz w:val="24"/>
          <w:szCs w:val="24"/>
        </w:rPr>
      </w:pPr>
      <w:r w:rsidRPr="00F533A8">
        <w:rPr>
          <w:rFonts w:ascii="Arial" w:eastAsia="Arial" w:hAnsi="Arial" w:cs="Arial"/>
          <w:kern w:val="0"/>
          <w:sz w:val="24"/>
          <w:szCs w:val="24"/>
          <w:lang w:val="en-US"/>
          <w14:ligatures w14:val="none"/>
        </w:rPr>
        <w:t>22.1</w:t>
      </w:r>
      <w:r w:rsidRPr="00F533A8">
        <w:rPr>
          <w:rFonts w:ascii="Arial" w:eastAsia="Arial" w:hAnsi="Arial" w:cs="Arial"/>
          <w:kern w:val="0"/>
          <w:sz w:val="24"/>
          <w:szCs w:val="24"/>
          <w:lang w:val="en-US"/>
          <w14:ligatures w14:val="none"/>
        </w:rPr>
        <w:tab/>
      </w:r>
      <w:r w:rsidR="00017B92" w:rsidRPr="009F468E">
        <w:rPr>
          <w:rFonts w:ascii="Arial" w:hAnsi="Arial"/>
          <w:sz w:val="24"/>
          <w:szCs w:val="24"/>
        </w:rPr>
        <w:t>DOT officials involved in the procurement process for the award</w:t>
      </w:r>
      <w:r w:rsidR="00017B92" w:rsidRPr="009F468E">
        <w:rPr>
          <w:rFonts w:ascii="Arial" w:hAnsi="Arial"/>
          <w:spacing w:val="1"/>
          <w:sz w:val="24"/>
          <w:szCs w:val="24"/>
        </w:rPr>
        <w:t xml:space="preserve"> </w:t>
      </w:r>
      <w:r w:rsidR="00017B92" w:rsidRPr="009F468E">
        <w:rPr>
          <w:rFonts w:ascii="Arial" w:hAnsi="Arial"/>
          <w:sz w:val="24"/>
          <w:szCs w:val="24"/>
        </w:rPr>
        <w:t>of the tender acted in contravention of prescribed legislation,</w:t>
      </w:r>
      <w:r w:rsidR="00017B92" w:rsidRPr="009F468E">
        <w:rPr>
          <w:rFonts w:ascii="Arial" w:hAnsi="Arial"/>
          <w:spacing w:val="1"/>
          <w:sz w:val="24"/>
          <w:szCs w:val="24"/>
        </w:rPr>
        <w:t xml:space="preserve"> </w:t>
      </w:r>
      <w:r w:rsidR="00017B92" w:rsidRPr="009F468E">
        <w:rPr>
          <w:rFonts w:ascii="Arial" w:hAnsi="Arial"/>
          <w:sz w:val="24"/>
          <w:szCs w:val="24"/>
        </w:rPr>
        <w:t>policies</w:t>
      </w:r>
      <w:r w:rsidR="00017B92" w:rsidRPr="009F468E">
        <w:rPr>
          <w:rFonts w:ascii="Arial" w:hAnsi="Arial"/>
          <w:spacing w:val="1"/>
          <w:sz w:val="24"/>
          <w:szCs w:val="24"/>
        </w:rPr>
        <w:t xml:space="preserve"> </w:t>
      </w:r>
      <w:r w:rsidR="00017B92" w:rsidRPr="009F468E">
        <w:rPr>
          <w:rFonts w:ascii="Arial" w:hAnsi="Arial"/>
          <w:sz w:val="24"/>
          <w:szCs w:val="24"/>
        </w:rPr>
        <w:t>and</w:t>
      </w:r>
      <w:r w:rsidR="00017B92" w:rsidRPr="009F468E">
        <w:rPr>
          <w:rFonts w:ascii="Arial" w:hAnsi="Arial"/>
          <w:spacing w:val="1"/>
          <w:sz w:val="24"/>
          <w:szCs w:val="24"/>
        </w:rPr>
        <w:t xml:space="preserve"> </w:t>
      </w:r>
      <w:r w:rsidR="00017B92" w:rsidRPr="009F468E">
        <w:rPr>
          <w:rFonts w:ascii="Arial" w:hAnsi="Arial"/>
          <w:sz w:val="24"/>
          <w:szCs w:val="24"/>
        </w:rPr>
        <w:t>procedures.</w:t>
      </w:r>
    </w:p>
    <w:p w14:paraId="06A942C2" w14:textId="48FF074E" w:rsidR="00017B92" w:rsidRPr="009F468E" w:rsidRDefault="009F468E" w:rsidP="009F468E">
      <w:pPr>
        <w:tabs>
          <w:tab w:val="left" w:pos="1822"/>
        </w:tabs>
        <w:spacing w:before="80" w:line="360" w:lineRule="auto"/>
        <w:ind w:left="460" w:right="256" w:hanging="460"/>
        <w:jc w:val="both"/>
        <w:rPr>
          <w:rFonts w:ascii="Arial" w:hAnsi="Arial"/>
          <w:sz w:val="24"/>
          <w:szCs w:val="24"/>
        </w:rPr>
      </w:pPr>
      <w:r w:rsidRPr="00F533A8">
        <w:rPr>
          <w:rFonts w:ascii="Arial" w:eastAsia="Arial" w:hAnsi="Arial" w:cs="Arial"/>
          <w:kern w:val="0"/>
          <w:sz w:val="24"/>
          <w:szCs w:val="24"/>
          <w:lang w:val="en-US"/>
          <w14:ligatures w14:val="none"/>
        </w:rPr>
        <w:t>22.2</w:t>
      </w:r>
      <w:r w:rsidRPr="00F533A8">
        <w:rPr>
          <w:rFonts w:ascii="Arial" w:eastAsia="Arial" w:hAnsi="Arial" w:cs="Arial"/>
          <w:kern w:val="0"/>
          <w:sz w:val="24"/>
          <w:szCs w:val="24"/>
          <w:lang w:val="en-US"/>
          <w14:ligatures w14:val="none"/>
        </w:rPr>
        <w:tab/>
      </w:r>
      <w:r w:rsidR="00017B92" w:rsidRPr="009F468E">
        <w:rPr>
          <w:rFonts w:ascii="Arial" w:hAnsi="Arial"/>
          <w:sz w:val="24"/>
          <w:szCs w:val="24"/>
        </w:rPr>
        <w:t>The pairing of the IDMS program with the RAM resulted in</w:t>
      </w:r>
      <w:r w:rsidR="00017B92" w:rsidRPr="009F468E">
        <w:rPr>
          <w:rFonts w:ascii="Arial" w:hAnsi="Arial"/>
          <w:spacing w:val="1"/>
          <w:sz w:val="24"/>
          <w:szCs w:val="24"/>
        </w:rPr>
        <w:t xml:space="preserve"> </w:t>
      </w:r>
      <w:r w:rsidR="00017B92" w:rsidRPr="009F468E">
        <w:rPr>
          <w:rFonts w:ascii="Arial" w:hAnsi="Arial"/>
          <w:sz w:val="24"/>
          <w:szCs w:val="24"/>
        </w:rPr>
        <w:t>only one tenderer allegedly meeting all the needs required. This</w:t>
      </w:r>
      <w:r w:rsidR="00017B92" w:rsidRPr="009F468E">
        <w:rPr>
          <w:rFonts w:ascii="Arial" w:hAnsi="Arial"/>
          <w:spacing w:val="-70"/>
          <w:sz w:val="24"/>
          <w:szCs w:val="24"/>
        </w:rPr>
        <w:t xml:space="preserve"> </w:t>
      </w:r>
      <w:r w:rsidR="00332204" w:rsidRPr="009F468E">
        <w:rPr>
          <w:rFonts w:ascii="Arial" w:hAnsi="Arial"/>
          <w:spacing w:val="-70"/>
          <w:sz w:val="24"/>
          <w:szCs w:val="24"/>
        </w:rPr>
        <w:t xml:space="preserve">            </w:t>
      </w:r>
      <w:r w:rsidR="00017B92" w:rsidRPr="009F468E">
        <w:rPr>
          <w:rFonts w:ascii="Arial" w:hAnsi="Arial"/>
          <w:sz w:val="24"/>
          <w:szCs w:val="24"/>
        </w:rPr>
        <w:t>resulted</w:t>
      </w:r>
      <w:r w:rsidR="00017B92" w:rsidRPr="009F468E">
        <w:rPr>
          <w:rFonts w:ascii="Arial" w:hAnsi="Arial"/>
          <w:spacing w:val="-13"/>
          <w:sz w:val="24"/>
          <w:szCs w:val="24"/>
        </w:rPr>
        <w:t xml:space="preserve"> </w:t>
      </w:r>
      <w:r w:rsidR="00017B92" w:rsidRPr="009F468E">
        <w:rPr>
          <w:rFonts w:ascii="Arial" w:hAnsi="Arial"/>
          <w:sz w:val="24"/>
          <w:szCs w:val="24"/>
        </w:rPr>
        <w:t>in</w:t>
      </w:r>
      <w:r w:rsidR="00017B92" w:rsidRPr="009F468E">
        <w:rPr>
          <w:rFonts w:ascii="Arial" w:hAnsi="Arial"/>
          <w:spacing w:val="-11"/>
          <w:sz w:val="24"/>
          <w:szCs w:val="24"/>
        </w:rPr>
        <w:t xml:space="preserve"> </w:t>
      </w:r>
      <w:r w:rsidR="00017B92" w:rsidRPr="009F468E">
        <w:rPr>
          <w:rFonts w:ascii="Arial" w:hAnsi="Arial"/>
          <w:sz w:val="24"/>
          <w:szCs w:val="24"/>
        </w:rPr>
        <w:t>contravention</w:t>
      </w:r>
      <w:r w:rsidR="00017B92" w:rsidRPr="009F468E">
        <w:rPr>
          <w:rFonts w:ascii="Arial" w:hAnsi="Arial"/>
          <w:spacing w:val="-12"/>
          <w:sz w:val="24"/>
          <w:szCs w:val="24"/>
        </w:rPr>
        <w:t xml:space="preserve"> </w:t>
      </w:r>
      <w:r w:rsidR="00017B92" w:rsidRPr="009F468E">
        <w:rPr>
          <w:rFonts w:ascii="Arial" w:hAnsi="Arial"/>
          <w:sz w:val="24"/>
          <w:szCs w:val="24"/>
        </w:rPr>
        <w:t>of</w:t>
      </w:r>
      <w:r w:rsidR="00017B92" w:rsidRPr="009F468E">
        <w:rPr>
          <w:rFonts w:ascii="Arial" w:hAnsi="Arial"/>
          <w:spacing w:val="-12"/>
          <w:sz w:val="24"/>
          <w:szCs w:val="24"/>
        </w:rPr>
        <w:t xml:space="preserve"> </w:t>
      </w:r>
      <w:r w:rsidR="00017B92" w:rsidRPr="009F468E">
        <w:rPr>
          <w:rFonts w:ascii="Arial" w:hAnsi="Arial"/>
          <w:sz w:val="24"/>
          <w:szCs w:val="24"/>
        </w:rPr>
        <w:t>Sections</w:t>
      </w:r>
      <w:r w:rsidR="00017B92" w:rsidRPr="009F468E">
        <w:rPr>
          <w:rFonts w:ascii="Arial" w:hAnsi="Arial"/>
          <w:spacing w:val="-12"/>
          <w:sz w:val="24"/>
          <w:szCs w:val="24"/>
        </w:rPr>
        <w:t xml:space="preserve"> </w:t>
      </w:r>
      <w:r w:rsidR="00017B92" w:rsidRPr="009F468E">
        <w:rPr>
          <w:rFonts w:ascii="Arial" w:hAnsi="Arial"/>
          <w:sz w:val="24"/>
          <w:szCs w:val="24"/>
        </w:rPr>
        <w:t>38</w:t>
      </w:r>
      <w:r w:rsidR="00017B92" w:rsidRPr="009F468E">
        <w:rPr>
          <w:rFonts w:ascii="Arial" w:hAnsi="Arial"/>
          <w:spacing w:val="-12"/>
          <w:sz w:val="24"/>
          <w:szCs w:val="24"/>
        </w:rPr>
        <w:t xml:space="preserve"> </w:t>
      </w:r>
      <w:r w:rsidR="00017B92" w:rsidRPr="009F468E">
        <w:rPr>
          <w:rFonts w:ascii="Arial" w:hAnsi="Arial"/>
          <w:sz w:val="24"/>
          <w:szCs w:val="24"/>
        </w:rPr>
        <w:t>and</w:t>
      </w:r>
      <w:r w:rsidR="00017B92" w:rsidRPr="009F468E">
        <w:rPr>
          <w:rFonts w:ascii="Arial" w:hAnsi="Arial"/>
          <w:spacing w:val="-12"/>
          <w:sz w:val="24"/>
          <w:szCs w:val="24"/>
        </w:rPr>
        <w:t xml:space="preserve"> </w:t>
      </w:r>
      <w:r w:rsidR="00017B92" w:rsidRPr="009F468E">
        <w:rPr>
          <w:rFonts w:ascii="Arial" w:hAnsi="Arial"/>
          <w:sz w:val="24"/>
          <w:szCs w:val="24"/>
        </w:rPr>
        <w:t>45</w:t>
      </w:r>
      <w:r w:rsidR="00017B92" w:rsidRPr="009F468E">
        <w:rPr>
          <w:rFonts w:ascii="Arial" w:hAnsi="Arial"/>
          <w:spacing w:val="-12"/>
          <w:sz w:val="24"/>
          <w:szCs w:val="24"/>
        </w:rPr>
        <w:t xml:space="preserve"> </w:t>
      </w:r>
      <w:r w:rsidR="00017B92" w:rsidRPr="009F468E">
        <w:rPr>
          <w:rFonts w:ascii="Arial" w:hAnsi="Arial"/>
          <w:sz w:val="24"/>
          <w:szCs w:val="24"/>
        </w:rPr>
        <w:t>of</w:t>
      </w:r>
      <w:r w:rsidR="00017B92" w:rsidRPr="009F468E">
        <w:rPr>
          <w:rFonts w:ascii="Arial" w:hAnsi="Arial"/>
          <w:spacing w:val="-12"/>
          <w:sz w:val="24"/>
          <w:szCs w:val="24"/>
        </w:rPr>
        <w:t xml:space="preserve"> </w:t>
      </w:r>
      <w:r w:rsidR="00017B92" w:rsidRPr="009F468E">
        <w:rPr>
          <w:rFonts w:ascii="Arial" w:hAnsi="Arial"/>
          <w:sz w:val="24"/>
          <w:szCs w:val="24"/>
        </w:rPr>
        <w:t>the</w:t>
      </w:r>
      <w:r w:rsidR="00017B92" w:rsidRPr="009F468E">
        <w:rPr>
          <w:rFonts w:ascii="Arial" w:hAnsi="Arial"/>
          <w:spacing w:val="-13"/>
          <w:sz w:val="24"/>
          <w:szCs w:val="24"/>
        </w:rPr>
        <w:t xml:space="preserve"> </w:t>
      </w:r>
      <w:r w:rsidR="00017B92" w:rsidRPr="009F468E">
        <w:rPr>
          <w:rFonts w:ascii="Arial" w:hAnsi="Arial"/>
          <w:sz w:val="24"/>
          <w:szCs w:val="24"/>
        </w:rPr>
        <w:t>PFMA</w:t>
      </w:r>
      <w:r w:rsidR="00017B92" w:rsidRPr="009F468E">
        <w:rPr>
          <w:rFonts w:ascii="Arial" w:hAnsi="Arial"/>
          <w:spacing w:val="-12"/>
          <w:sz w:val="24"/>
          <w:szCs w:val="24"/>
        </w:rPr>
        <w:t xml:space="preserve"> </w:t>
      </w:r>
      <w:r w:rsidR="00017B92" w:rsidRPr="009F468E">
        <w:rPr>
          <w:rFonts w:ascii="Arial" w:hAnsi="Arial"/>
          <w:sz w:val="24"/>
          <w:szCs w:val="24"/>
        </w:rPr>
        <w:t>and</w:t>
      </w:r>
      <w:r w:rsidR="00E31B7C" w:rsidRPr="009F468E">
        <w:rPr>
          <w:rFonts w:ascii="Arial" w:hAnsi="Arial"/>
          <w:sz w:val="24"/>
          <w:szCs w:val="24"/>
        </w:rPr>
        <w:t>,</w:t>
      </w:r>
      <w:r w:rsidR="00017B92" w:rsidRPr="009F468E">
        <w:rPr>
          <w:rFonts w:ascii="Arial" w:hAnsi="Arial"/>
          <w:sz w:val="24"/>
          <w:szCs w:val="24"/>
        </w:rPr>
        <w:t xml:space="preserve"> </w:t>
      </w:r>
      <w:r w:rsidR="00017B92" w:rsidRPr="009F468E">
        <w:rPr>
          <w:rFonts w:ascii="Arial" w:hAnsi="Arial"/>
          <w:spacing w:val="-69"/>
          <w:sz w:val="24"/>
          <w:szCs w:val="24"/>
        </w:rPr>
        <w:t xml:space="preserve"> </w:t>
      </w:r>
      <w:r w:rsidR="00017B92" w:rsidRPr="009F468E">
        <w:rPr>
          <w:rFonts w:ascii="Arial" w:hAnsi="Arial"/>
          <w:sz w:val="24"/>
          <w:szCs w:val="24"/>
        </w:rPr>
        <w:t>thus</w:t>
      </w:r>
      <w:r w:rsidR="00017B92" w:rsidRPr="009F468E">
        <w:rPr>
          <w:rFonts w:ascii="Arial" w:hAnsi="Arial"/>
          <w:spacing w:val="-3"/>
          <w:sz w:val="24"/>
          <w:szCs w:val="24"/>
        </w:rPr>
        <w:t xml:space="preserve"> </w:t>
      </w:r>
      <w:r w:rsidR="00017B92" w:rsidRPr="009F468E">
        <w:rPr>
          <w:rFonts w:ascii="Arial" w:hAnsi="Arial"/>
          <w:sz w:val="24"/>
          <w:szCs w:val="24"/>
        </w:rPr>
        <w:t>a</w:t>
      </w:r>
      <w:r w:rsidR="00017B92" w:rsidRPr="009F468E">
        <w:rPr>
          <w:rFonts w:ascii="Arial" w:hAnsi="Arial"/>
          <w:spacing w:val="-3"/>
          <w:sz w:val="24"/>
          <w:szCs w:val="24"/>
        </w:rPr>
        <w:t xml:space="preserve"> </w:t>
      </w:r>
      <w:r w:rsidR="00017B92" w:rsidRPr="009F468E">
        <w:rPr>
          <w:rFonts w:ascii="Arial" w:hAnsi="Arial"/>
          <w:sz w:val="24"/>
          <w:szCs w:val="24"/>
        </w:rPr>
        <w:t>contravention</w:t>
      </w:r>
      <w:r w:rsidR="00017B92" w:rsidRPr="009F468E">
        <w:rPr>
          <w:rFonts w:ascii="Arial" w:hAnsi="Arial"/>
          <w:spacing w:val="-1"/>
          <w:sz w:val="24"/>
          <w:szCs w:val="24"/>
        </w:rPr>
        <w:t xml:space="preserve"> </w:t>
      </w:r>
      <w:r w:rsidR="00017B92" w:rsidRPr="009F468E">
        <w:rPr>
          <w:rFonts w:ascii="Arial" w:hAnsi="Arial"/>
          <w:sz w:val="24"/>
          <w:szCs w:val="24"/>
        </w:rPr>
        <w:t>of</w:t>
      </w:r>
      <w:r w:rsidR="00017B92" w:rsidRPr="009F468E">
        <w:rPr>
          <w:rFonts w:ascii="Arial" w:hAnsi="Arial"/>
          <w:spacing w:val="-3"/>
          <w:sz w:val="24"/>
          <w:szCs w:val="24"/>
        </w:rPr>
        <w:t xml:space="preserve"> </w:t>
      </w:r>
      <w:r w:rsidR="00017B92" w:rsidRPr="009F468E">
        <w:rPr>
          <w:rFonts w:ascii="Arial" w:hAnsi="Arial"/>
          <w:sz w:val="24"/>
          <w:szCs w:val="24"/>
        </w:rPr>
        <w:t>Section</w:t>
      </w:r>
      <w:r w:rsidR="00017B92" w:rsidRPr="009F468E">
        <w:rPr>
          <w:rFonts w:ascii="Arial" w:hAnsi="Arial"/>
          <w:spacing w:val="-3"/>
          <w:sz w:val="24"/>
          <w:szCs w:val="24"/>
        </w:rPr>
        <w:t xml:space="preserve"> </w:t>
      </w:r>
      <w:r w:rsidR="00017B92" w:rsidRPr="009F468E">
        <w:rPr>
          <w:rFonts w:ascii="Arial" w:hAnsi="Arial"/>
          <w:sz w:val="24"/>
          <w:szCs w:val="24"/>
        </w:rPr>
        <w:t>217(1)</w:t>
      </w:r>
      <w:r w:rsidR="00017B92" w:rsidRPr="009F468E">
        <w:rPr>
          <w:rFonts w:ascii="Arial" w:hAnsi="Arial"/>
          <w:spacing w:val="-3"/>
          <w:sz w:val="24"/>
          <w:szCs w:val="24"/>
        </w:rPr>
        <w:t xml:space="preserve"> </w:t>
      </w:r>
      <w:r w:rsidR="00017B92" w:rsidRPr="009F468E">
        <w:rPr>
          <w:rFonts w:ascii="Arial" w:hAnsi="Arial"/>
          <w:sz w:val="24"/>
          <w:szCs w:val="24"/>
        </w:rPr>
        <w:t>of</w:t>
      </w:r>
      <w:r w:rsidR="00017B92" w:rsidRPr="009F468E">
        <w:rPr>
          <w:rFonts w:ascii="Arial" w:hAnsi="Arial"/>
          <w:spacing w:val="-3"/>
          <w:sz w:val="24"/>
          <w:szCs w:val="24"/>
        </w:rPr>
        <w:t xml:space="preserve"> </w:t>
      </w:r>
      <w:r w:rsidR="00017B92" w:rsidRPr="009F468E">
        <w:rPr>
          <w:rFonts w:ascii="Arial" w:hAnsi="Arial"/>
          <w:sz w:val="24"/>
          <w:szCs w:val="24"/>
        </w:rPr>
        <w:t>the</w:t>
      </w:r>
      <w:r w:rsidR="00017B92" w:rsidRPr="009F468E">
        <w:rPr>
          <w:rFonts w:ascii="Arial" w:hAnsi="Arial"/>
          <w:spacing w:val="-3"/>
          <w:sz w:val="24"/>
          <w:szCs w:val="24"/>
        </w:rPr>
        <w:t xml:space="preserve"> </w:t>
      </w:r>
      <w:r w:rsidR="00017B92" w:rsidRPr="009F468E">
        <w:rPr>
          <w:rFonts w:ascii="Arial" w:hAnsi="Arial"/>
          <w:sz w:val="24"/>
          <w:szCs w:val="24"/>
        </w:rPr>
        <w:t>Constitution.</w:t>
      </w:r>
    </w:p>
    <w:p w14:paraId="2D5739A1" w14:textId="38A4F15A" w:rsidR="00017B92" w:rsidRPr="009F468E" w:rsidRDefault="009F468E" w:rsidP="009F468E">
      <w:pPr>
        <w:tabs>
          <w:tab w:val="left" w:pos="1822"/>
        </w:tabs>
        <w:spacing w:line="360" w:lineRule="auto"/>
        <w:ind w:left="460" w:right="254" w:hanging="460"/>
        <w:jc w:val="both"/>
        <w:rPr>
          <w:rFonts w:ascii="Arial" w:hAnsi="Arial"/>
          <w:sz w:val="24"/>
          <w:szCs w:val="24"/>
        </w:rPr>
      </w:pPr>
      <w:r w:rsidRPr="00F533A8">
        <w:rPr>
          <w:rFonts w:ascii="Arial" w:eastAsia="Arial" w:hAnsi="Arial" w:cs="Arial"/>
          <w:kern w:val="0"/>
          <w:sz w:val="24"/>
          <w:szCs w:val="24"/>
          <w:lang w:val="en-US"/>
          <w14:ligatures w14:val="none"/>
        </w:rPr>
        <w:t>22.3</w:t>
      </w:r>
      <w:r w:rsidRPr="00F533A8">
        <w:rPr>
          <w:rFonts w:ascii="Arial" w:eastAsia="Arial" w:hAnsi="Arial" w:cs="Arial"/>
          <w:kern w:val="0"/>
          <w:sz w:val="24"/>
          <w:szCs w:val="24"/>
          <w:lang w:val="en-US"/>
          <w14:ligatures w14:val="none"/>
        </w:rPr>
        <w:tab/>
      </w:r>
      <w:r w:rsidR="00017B92" w:rsidRPr="009F468E">
        <w:rPr>
          <w:rFonts w:ascii="Arial" w:hAnsi="Arial"/>
          <w:w w:val="95"/>
          <w:sz w:val="24"/>
          <w:szCs w:val="24"/>
        </w:rPr>
        <w:t>National Treasury raised concerns with the tender advertisement</w:t>
      </w:r>
      <w:r w:rsidR="00017B92" w:rsidRPr="009F468E">
        <w:rPr>
          <w:rFonts w:ascii="Arial" w:hAnsi="Arial"/>
          <w:spacing w:val="1"/>
          <w:w w:val="95"/>
          <w:sz w:val="24"/>
          <w:szCs w:val="24"/>
        </w:rPr>
        <w:t xml:space="preserve"> </w:t>
      </w:r>
      <w:r w:rsidR="00017B92" w:rsidRPr="009F468E">
        <w:rPr>
          <w:rFonts w:ascii="Arial" w:hAnsi="Arial"/>
          <w:sz w:val="24"/>
          <w:szCs w:val="24"/>
        </w:rPr>
        <w:t>whereafter</w:t>
      </w:r>
      <w:r w:rsidR="00017B92" w:rsidRPr="009F468E">
        <w:rPr>
          <w:rFonts w:ascii="Arial" w:hAnsi="Arial"/>
          <w:spacing w:val="1"/>
          <w:sz w:val="24"/>
          <w:szCs w:val="24"/>
        </w:rPr>
        <w:t xml:space="preserve"> </w:t>
      </w:r>
      <w:r w:rsidR="00017B92" w:rsidRPr="009F468E">
        <w:rPr>
          <w:rFonts w:ascii="Arial" w:hAnsi="Arial"/>
          <w:sz w:val="24"/>
          <w:szCs w:val="24"/>
        </w:rPr>
        <w:t>the</w:t>
      </w:r>
      <w:r w:rsidR="00017B92" w:rsidRPr="009F468E">
        <w:rPr>
          <w:rFonts w:ascii="Arial" w:hAnsi="Arial"/>
          <w:spacing w:val="1"/>
          <w:sz w:val="24"/>
          <w:szCs w:val="24"/>
        </w:rPr>
        <w:t xml:space="preserve"> </w:t>
      </w:r>
      <w:r w:rsidR="00017B92" w:rsidRPr="009F468E">
        <w:rPr>
          <w:rFonts w:ascii="Arial" w:hAnsi="Arial"/>
          <w:sz w:val="24"/>
          <w:szCs w:val="24"/>
        </w:rPr>
        <w:t>advertisement</w:t>
      </w:r>
      <w:r w:rsidR="00017B92" w:rsidRPr="009F468E">
        <w:rPr>
          <w:rFonts w:ascii="Arial" w:hAnsi="Arial"/>
          <w:spacing w:val="1"/>
          <w:sz w:val="24"/>
          <w:szCs w:val="24"/>
        </w:rPr>
        <w:t xml:space="preserve"> </w:t>
      </w:r>
      <w:r w:rsidR="00017B92" w:rsidRPr="009F468E">
        <w:rPr>
          <w:rFonts w:ascii="Arial" w:hAnsi="Arial"/>
          <w:sz w:val="24"/>
          <w:szCs w:val="24"/>
        </w:rPr>
        <w:t>was</w:t>
      </w:r>
      <w:r w:rsidR="00017B92" w:rsidRPr="009F468E">
        <w:rPr>
          <w:rFonts w:ascii="Arial" w:hAnsi="Arial"/>
          <w:spacing w:val="1"/>
          <w:sz w:val="24"/>
          <w:szCs w:val="24"/>
        </w:rPr>
        <w:t xml:space="preserve"> </w:t>
      </w:r>
      <w:r w:rsidR="00017B92" w:rsidRPr="009F468E">
        <w:rPr>
          <w:rFonts w:ascii="Arial" w:hAnsi="Arial"/>
          <w:sz w:val="24"/>
          <w:szCs w:val="24"/>
        </w:rPr>
        <w:t>withdrawn.</w:t>
      </w:r>
      <w:r w:rsidR="00017B92" w:rsidRPr="009F468E">
        <w:rPr>
          <w:rFonts w:ascii="Arial" w:hAnsi="Arial"/>
          <w:spacing w:val="1"/>
          <w:sz w:val="24"/>
          <w:szCs w:val="24"/>
        </w:rPr>
        <w:t xml:space="preserve"> </w:t>
      </w:r>
      <w:r w:rsidR="00017B92" w:rsidRPr="009F468E">
        <w:rPr>
          <w:rFonts w:ascii="Arial" w:hAnsi="Arial"/>
          <w:sz w:val="24"/>
          <w:szCs w:val="24"/>
        </w:rPr>
        <w:t>The</w:t>
      </w:r>
      <w:r w:rsidR="00017B92" w:rsidRPr="009F468E">
        <w:rPr>
          <w:rFonts w:ascii="Arial" w:hAnsi="Arial"/>
          <w:spacing w:val="1"/>
          <w:sz w:val="24"/>
          <w:szCs w:val="24"/>
        </w:rPr>
        <w:t xml:space="preserve"> </w:t>
      </w:r>
      <w:r w:rsidR="00017B92" w:rsidRPr="009F468E">
        <w:rPr>
          <w:rFonts w:ascii="Arial" w:hAnsi="Arial"/>
          <w:sz w:val="24"/>
          <w:szCs w:val="24"/>
        </w:rPr>
        <w:t>concerns</w:t>
      </w:r>
      <w:r w:rsidR="00E31B7C" w:rsidRPr="009F468E">
        <w:rPr>
          <w:rFonts w:ascii="Arial" w:hAnsi="Arial"/>
          <w:sz w:val="24"/>
          <w:szCs w:val="24"/>
        </w:rPr>
        <w:t xml:space="preserve"> </w:t>
      </w:r>
      <w:r w:rsidR="00017B92" w:rsidRPr="009F468E">
        <w:rPr>
          <w:rFonts w:ascii="Arial" w:hAnsi="Arial"/>
          <w:spacing w:val="-70"/>
          <w:sz w:val="24"/>
          <w:szCs w:val="24"/>
        </w:rPr>
        <w:t xml:space="preserve"> </w:t>
      </w:r>
      <w:r w:rsidR="00017B92" w:rsidRPr="009F468E">
        <w:rPr>
          <w:rFonts w:ascii="Arial" w:hAnsi="Arial"/>
          <w:sz w:val="24"/>
          <w:szCs w:val="24"/>
        </w:rPr>
        <w:t>were not adequately addressed before re-advertisement to the</w:t>
      </w:r>
      <w:r w:rsidR="00017B92" w:rsidRPr="009F468E">
        <w:rPr>
          <w:rFonts w:ascii="Arial" w:hAnsi="Arial"/>
          <w:spacing w:val="1"/>
          <w:sz w:val="24"/>
          <w:szCs w:val="24"/>
        </w:rPr>
        <w:t xml:space="preserve"> </w:t>
      </w:r>
      <w:r w:rsidR="00017B92" w:rsidRPr="009F468E">
        <w:rPr>
          <w:rFonts w:ascii="Arial" w:hAnsi="Arial"/>
          <w:sz w:val="24"/>
          <w:szCs w:val="24"/>
        </w:rPr>
        <w:t>extent</w:t>
      </w:r>
      <w:r w:rsidR="00017B92" w:rsidRPr="009F468E">
        <w:rPr>
          <w:rFonts w:ascii="Arial" w:hAnsi="Arial"/>
          <w:spacing w:val="-4"/>
          <w:sz w:val="24"/>
          <w:szCs w:val="24"/>
        </w:rPr>
        <w:t xml:space="preserve"> </w:t>
      </w:r>
      <w:r w:rsidR="00017B92" w:rsidRPr="009F468E">
        <w:rPr>
          <w:rFonts w:ascii="Arial" w:hAnsi="Arial"/>
          <w:sz w:val="24"/>
          <w:szCs w:val="24"/>
        </w:rPr>
        <w:t>that</w:t>
      </w:r>
      <w:r w:rsidR="00017B92" w:rsidRPr="009F468E">
        <w:rPr>
          <w:rFonts w:ascii="Arial" w:hAnsi="Arial"/>
          <w:spacing w:val="-3"/>
          <w:sz w:val="24"/>
          <w:szCs w:val="24"/>
        </w:rPr>
        <w:t xml:space="preserve"> </w:t>
      </w:r>
      <w:r w:rsidR="00017B92" w:rsidRPr="009F468E">
        <w:rPr>
          <w:rFonts w:ascii="Arial" w:hAnsi="Arial"/>
          <w:sz w:val="24"/>
          <w:szCs w:val="24"/>
        </w:rPr>
        <w:t>the</w:t>
      </w:r>
      <w:r w:rsidR="00017B92" w:rsidRPr="009F468E">
        <w:rPr>
          <w:rFonts w:ascii="Arial" w:hAnsi="Arial"/>
          <w:spacing w:val="-3"/>
          <w:sz w:val="24"/>
          <w:szCs w:val="24"/>
        </w:rPr>
        <w:t xml:space="preserve"> </w:t>
      </w:r>
      <w:r w:rsidR="00017B92" w:rsidRPr="009F468E">
        <w:rPr>
          <w:rFonts w:ascii="Arial" w:hAnsi="Arial"/>
          <w:sz w:val="24"/>
          <w:szCs w:val="24"/>
        </w:rPr>
        <w:t>proof</w:t>
      </w:r>
      <w:r w:rsidR="00017B92" w:rsidRPr="009F468E">
        <w:rPr>
          <w:rFonts w:ascii="Arial" w:hAnsi="Arial"/>
          <w:spacing w:val="-4"/>
          <w:sz w:val="24"/>
          <w:szCs w:val="24"/>
        </w:rPr>
        <w:t xml:space="preserve"> </w:t>
      </w:r>
      <w:r w:rsidR="00017B92" w:rsidRPr="009F468E">
        <w:rPr>
          <w:rFonts w:ascii="Arial" w:hAnsi="Arial"/>
          <w:sz w:val="24"/>
          <w:szCs w:val="24"/>
        </w:rPr>
        <w:t>of</w:t>
      </w:r>
      <w:r w:rsidR="00017B92" w:rsidRPr="009F468E">
        <w:rPr>
          <w:rFonts w:ascii="Arial" w:hAnsi="Arial"/>
          <w:spacing w:val="-6"/>
          <w:sz w:val="24"/>
          <w:szCs w:val="24"/>
        </w:rPr>
        <w:t xml:space="preserve"> </w:t>
      </w:r>
      <w:r w:rsidR="00017B92" w:rsidRPr="009F468E">
        <w:rPr>
          <w:rFonts w:ascii="Arial" w:hAnsi="Arial"/>
          <w:sz w:val="24"/>
          <w:szCs w:val="24"/>
        </w:rPr>
        <w:t>ownership</w:t>
      </w:r>
      <w:r w:rsidR="00017B92" w:rsidRPr="009F468E">
        <w:rPr>
          <w:rFonts w:ascii="Arial" w:hAnsi="Arial"/>
          <w:spacing w:val="-5"/>
          <w:sz w:val="24"/>
          <w:szCs w:val="24"/>
        </w:rPr>
        <w:t xml:space="preserve"> </w:t>
      </w:r>
      <w:r w:rsidR="00017B92" w:rsidRPr="009F468E">
        <w:rPr>
          <w:rFonts w:ascii="Arial" w:hAnsi="Arial"/>
          <w:sz w:val="24"/>
          <w:szCs w:val="24"/>
        </w:rPr>
        <w:t>of</w:t>
      </w:r>
      <w:r w:rsidR="00017B92" w:rsidRPr="009F468E">
        <w:rPr>
          <w:rFonts w:ascii="Arial" w:hAnsi="Arial"/>
          <w:spacing w:val="-3"/>
          <w:sz w:val="24"/>
          <w:szCs w:val="24"/>
        </w:rPr>
        <w:t xml:space="preserve"> </w:t>
      </w:r>
      <w:r w:rsidR="00017B92" w:rsidRPr="009F468E">
        <w:rPr>
          <w:rFonts w:ascii="Arial" w:hAnsi="Arial"/>
          <w:sz w:val="24"/>
          <w:szCs w:val="24"/>
        </w:rPr>
        <w:t>equipment</w:t>
      </w:r>
      <w:r w:rsidR="00017B92" w:rsidRPr="009F468E">
        <w:rPr>
          <w:rFonts w:ascii="Arial" w:hAnsi="Arial"/>
          <w:spacing w:val="-3"/>
          <w:sz w:val="24"/>
          <w:szCs w:val="24"/>
        </w:rPr>
        <w:t xml:space="preserve"> </w:t>
      </w:r>
      <w:r w:rsidR="00017B92" w:rsidRPr="009F468E">
        <w:rPr>
          <w:rFonts w:ascii="Arial" w:hAnsi="Arial"/>
          <w:sz w:val="24"/>
          <w:szCs w:val="24"/>
        </w:rPr>
        <w:t>and condition</w:t>
      </w:r>
      <w:r w:rsidR="00017B92" w:rsidRPr="009F468E">
        <w:rPr>
          <w:rFonts w:ascii="Arial" w:hAnsi="Arial"/>
          <w:spacing w:val="-1"/>
          <w:sz w:val="24"/>
          <w:szCs w:val="24"/>
        </w:rPr>
        <w:t xml:space="preserve"> </w:t>
      </w:r>
      <w:r w:rsidR="00017B92" w:rsidRPr="009F468E">
        <w:rPr>
          <w:rFonts w:ascii="Arial" w:hAnsi="Arial"/>
          <w:sz w:val="24"/>
          <w:szCs w:val="24"/>
        </w:rPr>
        <w:t>of</w:t>
      </w:r>
      <w:r w:rsidR="00017B92" w:rsidRPr="009F468E">
        <w:rPr>
          <w:rFonts w:ascii="Arial" w:hAnsi="Arial"/>
          <w:spacing w:val="-70"/>
          <w:sz w:val="24"/>
          <w:szCs w:val="24"/>
        </w:rPr>
        <w:t xml:space="preserve">    </w:t>
      </w:r>
      <w:r w:rsidR="00017B92" w:rsidRPr="009F468E">
        <w:rPr>
          <w:rFonts w:ascii="Arial" w:hAnsi="Arial"/>
          <w:sz w:val="24"/>
          <w:szCs w:val="24"/>
        </w:rPr>
        <w:t xml:space="preserve"> eligibility that service providers must have their head office in</w:t>
      </w:r>
      <w:r w:rsidR="00017B92" w:rsidRPr="009F468E">
        <w:rPr>
          <w:rFonts w:ascii="Arial" w:hAnsi="Arial"/>
          <w:spacing w:val="1"/>
          <w:sz w:val="24"/>
          <w:szCs w:val="24"/>
        </w:rPr>
        <w:t xml:space="preserve"> </w:t>
      </w:r>
      <w:r w:rsidR="00017B92" w:rsidRPr="009F468E">
        <w:rPr>
          <w:rFonts w:ascii="Arial" w:hAnsi="Arial"/>
          <w:sz w:val="24"/>
          <w:szCs w:val="24"/>
        </w:rPr>
        <w:t>KwaZulu</w:t>
      </w:r>
      <w:r w:rsidR="00017B92" w:rsidRPr="009F468E">
        <w:rPr>
          <w:rFonts w:ascii="Arial" w:hAnsi="Arial"/>
          <w:spacing w:val="1"/>
          <w:sz w:val="24"/>
          <w:szCs w:val="24"/>
        </w:rPr>
        <w:t xml:space="preserve"> </w:t>
      </w:r>
      <w:r w:rsidR="00017B92" w:rsidRPr="009F468E">
        <w:rPr>
          <w:rFonts w:ascii="Arial" w:hAnsi="Arial"/>
          <w:sz w:val="24"/>
          <w:szCs w:val="24"/>
        </w:rPr>
        <w:t>Natal</w:t>
      </w:r>
      <w:r w:rsidR="00017B92" w:rsidRPr="009F468E">
        <w:rPr>
          <w:rFonts w:ascii="Arial" w:hAnsi="Arial"/>
          <w:spacing w:val="1"/>
          <w:sz w:val="24"/>
          <w:szCs w:val="24"/>
        </w:rPr>
        <w:t xml:space="preserve"> </w:t>
      </w:r>
      <w:r w:rsidR="00017B92" w:rsidRPr="009F468E">
        <w:rPr>
          <w:rFonts w:ascii="Arial" w:hAnsi="Arial"/>
          <w:sz w:val="24"/>
          <w:szCs w:val="24"/>
        </w:rPr>
        <w:t>where</w:t>
      </w:r>
      <w:r w:rsidR="00017B92" w:rsidRPr="009F468E">
        <w:rPr>
          <w:rFonts w:ascii="Arial" w:hAnsi="Arial"/>
          <w:spacing w:val="1"/>
          <w:sz w:val="24"/>
          <w:szCs w:val="24"/>
        </w:rPr>
        <w:t xml:space="preserve"> </w:t>
      </w:r>
      <w:r w:rsidR="00017B92" w:rsidRPr="009F468E">
        <w:rPr>
          <w:rFonts w:ascii="Arial" w:hAnsi="Arial"/>
          <w:sz w:val="24"/>
          <w:szCs w:val="24"/>
        </w:rPr>
        <w:t>preference</w:t>
      </w:r>
      <w:r w:rsidR="00017B92" w:rsidRPr="009F468E">
        <w:rPr>
          <w:rFonts w:ascii="Arial" w:hAnsi="Arial"/>
          <w:spacing w:val="1"/>
          <w:sz w:val="24"/>
          <w:szCs w:val="24"/>
        </w:rPr>
        <w:t xml:space="preserve"> </w:t>
      </w:r>
      <w:r w:rsidR="00017B92" w:rsidRPr="009F468E">
        <w:rPr>
          <w:rFonts w:ascii="Arial" w:hAnsi="Arial"/>
          <w:sz w:val="24"/>
          <w:szCs w:val="24"/>
        </w:rPr>
        <w:t>will</w:t>
      </w:r>
      <w:r w:rsidR="00017B92" w:rsidRPr="009F468E">
        <w:rPr>
          <w:rFonts w:ascii="Arial" w:hAnsi="Arial"/>
          <w:spacing w:val="1"/>
          <w:sz w:val="24"/>
          <w:szCs w:val="24"/>
        </w:rPr>
        <w:t xml:space="preserve"> </w:t>
      </w:r>
      <w:r w:rsidR="00017B92" w:rsidRPr="009F468E">
        <w:rPr>
          <w:rFonts w:ascii="Arial" w:hAnsi="Arial"/>
          <w:sz w:val="24"/>
          <w:szCs w:val="24"/>
        </w:rPr>
        <w:t>be</w:t>
      </w:r>
      <w:r w:rsidR="00017B92" w:rsidRPr="009F468E">
        <w:rPr>
          <w:rFonts w:ascii="Arial" w:hAnsi="Arial"/>
          <w:spacing w:val="1"/>
          <w:sz w:val="24"/>
          <w:szCs w:val="24"/>
        </w:rPr>
        <w:t xml:space="preserve"> </w:t>
      </w:r>
      <w:r w:rsidR="00017B92" w:rsidRPr="009F468E">
        <w:rPr>
          <w:rFonts w:ascii="Arial" w:hAnsi="Arial"/>
          <w:sz w:val="24"/>
          <w:szCs w:val="24"/>
        </w:rPr>
        <w:t>given</w:t>
      </w:r>
      <w:r w:rsidR="00017B92" w:rsidRPr="009F468E">
        <w:rPr>
          <w:rFonts w:ascii="Arial" w:hAnsi="Arial"/>
          <w:spacing w:val="1"/>
          <w:sz w:val="24"/>
          <w:szCs w:val="24"/>
        </w:rPr>
        <w:t xml:space="preserve"> </w:t>
      </w:r>
      <w:r w:rsidR="00017B92" w:rsidRPr="009F468E">
        <w:rPr>
          <w:rFonts w:ascii="Arial" w:hAnsi="Arial"/>
          <w:sz w:val="24"/>
          <w:szCs w:val="24"/>
        </w:rPr>
        <w:t>to</w:t>
      </w:r>
      <w:r w:rsidR="00017B92" w:rsidRPr="009F468E">
        <w:rPr>
          <w:rFonts w:ascii="Arial" w:hAnsi="Arial"/>
          <w:spacing w:val="1"/>
          <w:sz w:val="24"/>
          <w:szCs w:val="24"/>
        </w:rPr>
        <w:t xml:space="preserve"> </w:t>
      </w:r>
      <w:r w:rsidR="00017B92" w:rsidRPr="009F468E">
        <w:rPr>
          <w:rFonts w:ascii="Arial" w:hAnsi="Arial"/>
          <w:sz w:val="24"/>
          <w:szCs w:val="24"/>
        </w:rPr>
        <w:t>tenderers</w:t>
      </w:r>
      <w:r w:rsidR="00E31B7C" w:rsidRPr="009F468E">
        <w:rPr>
          <w:rFonts w:ascii="Arial" w:hAnsi="Arial"/>
          <w:sz w:val="24"/>
          <w:szCs w:val="24"/>
        </w:rPr>
        <w:t xml:space="preserve"> </w:t>
      </w:r>
      <w:r w:rsidR="00017B92" w:rsidRPr="009F468E">
        <w:rPr>
          <w:rFonts w:ascii="Arial" w:hAnsi="Arial"/>
          <w:spacing w:val="-70"/>
          <w:sz w:val="24"/>
          <w:szCs w:val="24"/>
        </w:rPr>
        <w:t xml:space="preserve">     </w:t>
      </w:r>
      <w:r w:rsidR="00017B92" w:rsidRPr="009F468E">
        <w:rPr>
          <w:rFonts w:ascii="Arial" w:hAnsi="Arial"/>
          <w:sz w:val="24"/>
          <w:szCs w:val="24"/>
        </w:rPr>
        <w:t>operating within KwaZulu-Natal having an established base in</w:t>
      </w:r>
      <w:r w:rsidR="00017B92" w:rsidRPr="009F468E">
        <w:rPr>
          <w:rFonts w:ascii="Arial" w:hAnsi="Arial"/>
          <w:spacing w:val="1"/>
          <w:sz w:val="24"/>
          <w:szCs w:val="24"/>
        </w:rPr>
        <w:t xml:space="preserve"> </w:t>
      </w:r>
      <w:r w:rsidR="00017B92" w:rsidRPr="009F468E">
        <w:rPr>
          <w:rFonts w:ascii="Arial" w:hAnsi="Arial"/>
          <w:sz w:val="24"/>
          <w:szCs w:val="24"/>
        </w:rPr>
        <w:t>KwaZulu-Natal Province (for the past 5 years) remained in the</w:t>
      </w:r>
      <w:r w:rsidR="00017B92" w:rsidRPr="009F468E">
        <w:rPr>
          <w:rFonts w:ascii="Arial" w:hAnsi="Arial"/>
          <w:spacing w:val="1"/>
          <w:sz w:val="24"/>
          <w:szCs w:val="24"/>
        </w:rPr>
        <w:t xml:space="preserve"> </w:t>
      </w:r>
      <w:r w:rsidR="00017B92" w:rsidRPr="009F468E">
        <w:rPr>
          <w:rFonts w:ascii="Arial" w:hAnsi="Arial"/>
          <w:spacing w:val="-1"/>
          <w:sz w:val="24"/>
          <w:szCs w:val="24"/>
        </w:rPr>
        <w:t>qualification</w:t>
      </w:r>
      <w:r w:rsidR="00017B92" w:rsidRPr="009F468E">
        <w:rPr>
          <w:rFonts w:ascii="Arial" w:hAnsi="Arial"/>
          <w:spacing w:val="-17"/>
          <w:sz w:val="24"/>
          <w:szCs w:val="24"/>
        </w:rPr>
        <w:t xml:space="preserve"> </w:t>
      </w:r>
      <w:r w:rsidR="00017B92" w:rsidRPr="009F468E">
        <w:rPr>
          <w:rFonts w:ascii="Arial" w:hAnsi="Arial"/>
          <w:spacing w:val="-1"/>
          <w:sz w:val="24"/>
          <w:szCs w:val="24"/>
        </w:rPr>
        <w:t>criteria</w:t>
      </w:r>
      <w:r w:rsidR="00017B92" w:rsidRPr="009F468E">
        <w:rPr>
          <w:rFonts w:ascii="Arial" w:hAnsi="Arial"/>
          <w:spacing w:val="-17"/>
          <w:sz w:val="24"/>
          <w:szCs w:val="24"/>
        </w:rPr>
        <w:t xml:space="preserve"> </w:t>
      </w:r>
      <w:r w:rsidR="00017B92" w:rsidRPr="009F468E">
        <w:rPr>
          <w:rFonts w:ascii="Arial" w:hAnsi="Arial"/>
          <w:spacing w:val="-1"/>
          <w:sz w:val="24"/>
          <w:szCs w:val="24"/>
        </w:rPr>
        <w:t>contained</w:t>
      </w:r>
      <w:r w:rsidR="00017B92" w:rsidRPr="009F468E">
        <w:rPr>
          <w:rFonts w:ascii="Arial" w:hAnsi="Arial"/>
          <w:spacing w:val="-17"/>
          <w:sz w:val="24"/>
          <w:szCs w:val="24"/>
        </w:rPr>
        <w:t xml:space="preserve"> </w:t>
      </w:r>
      <w:r w:rsidR="00017B92" w:rsidRPr="009F468E">
        <w:rPr>
          <w:rFonts w:ascii="Arial" w:hAnsi="Arial"/>
          <w:sz w:val="24"/>
          <w:szCs w:val="24"/>
        </w:rPr>
        <w:t>in</w:t>
      </w:r>
      <w:r w:rsidR="00017B92" w:rsidRPr="009F468E">
        <w:rPr>
          <w:rFonts w:ascii="Arial" w:hAnsi="Arial"/>
          <w:spacing w:val="-17"/>
          <w:sz w:val="24"/>
          <w:szCs w:val="24"/>
        </w:rPr>
        <w:t xml:space="preserve"> </w:t>
      </w:r>
      <w:r w:rsidR="00017B92" w:rsidRPr="009F468E">
        <w:rPr>
          <w:rFonts w:ascii="Arial" w:hAnsi="Arial"/>
          <w:sz w:val="24"/>
          <w:szCs w:val="24"/>
        </w:rPr>
        <w:t>C3.11.1</w:t>
      </w:r>
      <w:r w:rsidR="00017B92" w:rsidRPr="009F468E">
        <w:rPr>
          <w:rFonts w:ascii="Arial" w:hAnsi="Arial"/>
          <w:spacing w:val="-15"/>
          <w:sz w:val="24"/>
          <w:szCs w:val="24"/>
        </w:rPr>
        <w:t xml:space="preserve"> </w:t>
      </w:r>
      <w:r w:rsidR="00017B92" w:rsidRPr="009F468E">
        <w:rPr>
          <w:rFonts w:ascii="Arial" w:hAnsi="Arial"/>
          <w:sz w:val="24"/>
          <w:szCs w:val="24"/>
        </w:rPr>
        <w:t>of</w:t>
      </w:r>
      <w:r w:rsidR="00017B92" w:rsidRPr="009F468E">
        <w:rPr>
          <w:rFonts w:ascii="Arial" w:hAnsi="Arial"/>
          <w:spacing w:val="-16"/>
          <w:sz w:val="24"/>
          <w:szCs w:val="24"/>
        </w:rPr>
        <w:t xml:space="preserve"> </w:t>
      </w:r>
      <w:r w:rsidR="00017B92" w:rsidRPr="009F468E">
        <w:rPr>
          <w:rFonts w:ascii="Arial" w:hAnsi="Arial"/>
          <w:sz w:val="24"/>
          <w:szCs w:val="24"/>
        </w:rPr>
        <w:t>the</w:t>
      </w:r>
      <w:r w:rsidR="00017B92" w:rsidRPr="009F468E">
        <w:rPr>
          <w:rFonts w:ascii="Arial" w:hAnsi="Arial"/>
          <w:spacing w:val="-17"/>
          <w:sz w:val="24"/>
          <w:szCs w:val="24"/>
        </w:rPr>
        <w:t xml:space="preserve"> </w:t>
      </w:r>
      <w:r w:rsidR="00017B92" w:rsidRPr="009F468E">
        <w:rPr>
          <w:rFonts w:ascii="Arial" w:hAnsi="Arial"/>
          <w:sz w:val="24"/>
          <w:szCs w:val="24"/>
        </w:rPr>
        <w:t>amended</w:t>
      </w:r>
      <w:r w:rsidR="00017B92" w:rsidRPr="009F468E">
        <w:rPr>
          <w:rFonts w:ascii="Arial" w:hAnsi="Arial"/>
          <w:spacing w:val="-15"/>
          <w:sz w:val="24"/>
          <w:szCs w:val="24"/>
        </w:rPr>
        <w:t xml:space="preserve"> </w:t>
      </w:r>
      <w:r w:rsidR="00017B92" w:rsidRPr="009F468E">
        <w:rPr>
          <w:rFonts w:ascii="Arial" w:hAnsi="Arial"/>
          <w:sz w:val="24"/>
          <w:szCs w:val="24"/>
        </w:rPr>
        <w:t>tender.</w:t>
      </w:r>
    </w:p>
    <w:p w14:paraId="69BF9359" w14:textId="1E6116A5" w:rsidR="002925AD" w:rsidRPr="009F468E" w:rsidRDefault="009F468E" w:rsidP="009F468E">
      <w:pPr>
        <w:tabs>
          <w:tab w:val="left" w:pos="1822"/>
        </w:tabs>
        <w:spacing w:line="360" w:lineRule="auto"/>
        <w:ind w:left="460" w:right="254" w:hanging="460"/>
        <w:jc w:val="both"/>
        <w:rPr>
          <w:rFonts w:ascii="Arial" w:hAnsi="Arial"/>
          <w:sz w:val="24"/>
          <w:szCs w:val="24"/>
        </w:rPr>
      </w:pPr>
      <w:r w:rsidRPr="002925AD">
        <w:rPr>
          <w:rFonts w:ascii="Arial" w:eastAsia="Arial" w:hAnsi="Arial" w:cs="Arial"/>
          <w:kern w:val="0"/>
          <w:sz w:val="24"/>
          <w:szCs w:val="24"/>
          <w:lang w:val="en-US"/>
          <w14:ligatures w14:val="none"/>
        </w:rPr>
        <w:t>22.4</w:t>
      </w:r>
      <w:r w:rsidRPr="002925AD">
        <w:rPr>
          <w:rFonts w:ascii="Arial" w:eastAsia="Arial" w:hAnsi="Arial" w:cs="Arial"/>
          <w:kern w:val="0"/>
          <w:sz w:val="24"/>
          <w:szCs w:val="24"/>
          <w:lang w:val="en-US"/>
          <w14:ligatures w14:val="none"/>
        </w:rPr>
        <w:tab/>
      </w:r>
      <w:r w:rsidR="00017B92" w:rsidRPr="009F468E">
        <w:rPr>
          <w:rFonts w:ascii="Arial" w:hAnsi="Arial"/>
          <w:sz w:val="24"/>
          <w:szCs w:val="24"/>
        </w:rPr>
        <w:t>There</w:t>
      </w:r>
      <w:r w:rsidR="00017B92" w:rsidRPr="009F468E">
        <w:rPr>
          <w:rFonts w:ascii="Arial" w:hAnsi="Arial"/>
          <w:spacing w:val="1"/>
          <w:sz w:val="24"/>
          <w:szCs w:val="24"/>
        </w:rPr>
        <w:t xml:space="preserve"> </w:t>
      </w:r>
      <w:r w:rsidR="00017B92" w:rsidRPr="009F468E">
        <w:rPr>
          <w:rFonts w:ascii="Arial" w:hAnsi="Arial"/>
          <w:sz w:val="24"/>
          <w:szCs w:val="24"/>
        </w:rPr>
        <w:t>was</w:t>
      </w:r>
      <w:r w:rsidR="00017B92" w:rsidRPr="009F468E">
        <w:rPr>
          <w:rFonts w:ascii="Arial" w:hAnsi="Arial"/>
          <w:spacing w:val="1"/>
          <w:sz w:val="24"/>
          <w:szCs w:val="24"/>
        </w:rPr>
        <w:t xml:space="preserve"> </w:t>
      </w:r>
      <w:r w:rsidR="00017B92" w:rsidRPr="009F468E">
        <w:rPr>
          <w:rFonts w:ascii="Arial" w:hAnsi="Arial"/>
          <w:sz w:val="24"/>
          <w:szCs w:val="24"/>
        </w:rPr>
        <w:t>no</w:t>
      </w:r>
      <w:r w:rsidR="00017B92" w:rsidRPr="009F468E">
        <w:rPr>
          <w:rFonts w:ascii="Arial" w:hAnsi="Arial"/>
          <w:spacing w:val="1"/>
          <w:sz w:val="24"/>
          <w:szCs w:val="24"/>
        </w:rPr>
        <w:t xml:space="preserve"> </w:t>
      </w:r>
      <w:r w:rsidR="00017B92" w:rsidRPr="009F468E">
        <w:rPr>
          <w:rFonts w:ascii="Arial" w:hAnsi="Arial"/>
          <w:sz w:val="24"/>
          <w:szCs w:val="24"/>
        </w:rPr>
        <w:t>gap</w:t>
      </w:r>
      <w:r w:rsidR="00017B92" w:rsidRPr="009F468E">
        <w:rPr>
          <w:rFonts w:ascii="Arial" w:hAnsi="Arial"/>
          <w:spacing w:val="1"/>
          <w:sz w:val="24"/>
          <w:szCs w:val="24"/>
        </w:rPr>
        <w:t xml:space="preserve"> </w:t>
      </w:r>
      <w:r w:rsidR="00017B92" w:rsidRPr="009F468E">
        <w:rPr>
          <w:rFonts w:ascii="Arial" w:hAnsi="Arial"/>
          <w:sz w:val="24"/>
          <w:szCs w:val="24"/>
        </w:rPr>
        <w:t>analysis</w:t>
      </w:r>
      <w:r w:rsidR="00017B92" w:rsidRPr="009F468E">
        <w:rPr>
          <w:rFonts w:ascii="Arial" w:hAnsi="Arial"/>
          <w:spacing w:val="1"/>
          <w:sz w:val="24"/>
          <w:szCs w:val="24"/>
        </w:rPr>
        <w:t xml:space="preserve"> </w:t>
      </w:r>
      <w:r w:rsidR="00017B92" w:rsidRPr="009F468E">
        <w:rPr>
          <w:rFonts w:ascii="Arial" w:hAnsi="Arial"/>
          <w:sz w:val="24"/>
          <w:szCs w:val="24"/>
        </w:rPr>
        <w:t>conducted</w:t>
      </w:r>
      <w:r w:rsidR="00017B92" w:rsidRPr="009F468E">
        <w:rPr>
          <w:rFonts w:ascii="Arial" w:hAnsi="Arial"/>
          <w:spacing w:val="1"/>
          <w:sz w:val="24"/>
          <w:szCs w:val="24"/>
        </w:rPr>
        <w:t xml:space="preserve"> </w:t>
      </w:r>
      <w:r w:rsidR="00017B92" w:rsidRPr="009F468E">
        <w:rPr>
          <w:rFonts w:ascii="Arial" w:hAnsi="Arial"/>
          <w:sz w:val="24"/>
          <w:szCs w:val="24"/>
        </w:rPr>
        <w:t>to establish whether DOT has the requisite</w:t>
      </w:r>
      <w:r w:rsidR="00017B92" w:rsidRPr="009F468E">
        <w:rPr>
          <w:rFonts w:ascii="Arial" w:hAnsi="Arial"/>
          <w:spacing w:val="1"/>
          <w:sz w:val="24"/>
          <w:szCs w:val="24"/>
        </w:rPr>
        <w:t xml:space="preserve"> </w:t>
      </w:r>
      <w:r w:rsidR="00017B92" w:rsidRPr="009F468E">
        <w:rPr>
          <w:rFonts w:ascii="Arial" w:hAnsi="Arial"/>
          <w:sz w:val="24"/>
          <w:szCs w:val="24"/>
        </w:rPr>
        <w:t>skills</w:t>
      </w:r>
      <w:r w:rsidR="00017B92" w:rsidRPr="009F468E">
        <w:rPr>
          <w:rFonts w:ascii="Arial" w:hAnsi="Arial"/>
          <w:spacing w:val="1"/>
          <w:sz w:val="24"/>
          <w:szCs w:val="24"/>
        </w:rPr>
        <w:t xml:space="preserve"> to implement the project as required in terms of the prevailing Treasury Instructions.</w:t>
      </w:r>
    </w:p>
    <w:p w14:paraId="77C31898" w14:textId="1CFF364A" w:rsidR="00017B92" w:rsidRPr="009F468E" w:rsidRDefault="009F468E" w:rsidP="009F468E">
      <w:pPr>
        <w:tabs>
          <w:tab w:val="left" w:pos="1822"/>
        </w:tabs>
        <w:spacing w:line="360" w:lineRule="auto"/>
        <w:ind w:left="460" w:right="254" w:hanging="460"/>
        <w:jc w:val="both"/>
        <w:rPr>
          <w:rFonts w:ascii="Arial" w:hAnsi="Arial"/>
          <w:sz w:val="24"/>
          <w:szCs w:val="24"/>
        </w:rPr>
      </w:pPr>
      <w:r w:rsidRPr="002925AD">
        <w:rPr>
          <w:rFonts w:ascii="Arial" w:eastAsia="Arial" w:hAnsi="Arial" w:cs="Arial"/>
          <w:kern w:val="0"/>
          <w:sz w:val="24"/>
          <w:szCs w:val="24"/>
          <w:lang w:val="en-US"/>
          <w14:ligatures w14:val="none"/>
        </w:rPr>
        <w:t>22.5</w:t>
      </w:r>
      <w:r w:rsidRPr="002925AD">
        <w:rPr>
          <w:rFonts w:ascii="Arial" w:eastAsia="Arial" w:hAnsi="Arial" w:cs="Arial"/>
          <w:kern w:val="0"/>
          <w:sz w:val="24"/>
          <w:szCs w:val="24"/>
          <w:lang w:val="en-US"/>
          <w14:ligatures w14:val="none"/>
        </w:rPr>
        <w:tab/>
      </w:r>
      <w:r w:rsidR="00017B92" w:rsidRPr="009F468E">
        <w:rPr>
          <w:rFonts w:ascii="Arial" w:hAnsi="Arial"/>
          <w:w w:val="95"/>
          <w:sz w:val="24"/>
          <w:szCs w:val="24"/>
        </w:rPr>
        <w:t>The score sheet and evaluation criteria were predetermined. The</w:t>
      </w:r>
      <w:r w:rsidR="00017B92" w:rsidRPr="009F468E">
        <w:rPr>
          <w:rFonts w:ascii="Arial" w:hAnsi="Arial"/>
          <w:spacing w:val="1"/>
          <w:w w:val="95"/>
          <w:sz w:val="24"/>
          <w:szCs w:val="24"/>
        </w:rPr>
        <w:t xml:space="preserve"> </w:t>
      </w:r>
      <w:r w:rsidR="00017B92" w:rsidRPr="009F468E">
        <w:rPr>
          <w:rFonts w:ascii="Arial" w:hAnsi="Arial"/>
          <w:sz w:val="24"/>
          <w:szCs w:val="24"/>
        </w:rPr>
        <w:t xml:space="preserve">scoresheet and the scoring criteria were developed by </w:t>
      </w:r>
      <w:r w:rsidR="00E31B7C" w:rsidRPr="009F468E">
        <w:rPr>
          <w:rFonts w:ascii="Arial" w:hAnsi="Arial"/>
          <w:sz w:val="24"/>
          <w:szCs w:val="24"/>
        </w:rPr>
        <w:t>Mr</w:t>
      </w:r>
      <w:r w:rsidR="00017B92" w:rsidRPr="009F468E">
        <w:rPr>
          <w:rFonts w:ascii="Arial" w:hAnsi="Arial"/>
          <w:spacing w:val="6"/>
          <w:sz w:val="24"/>
          <w:szCs w:val="24"/>
        </w:rPr>
        <w:t xml:space="preserve"> </w:t>
      </w:r>
      <w:r w:rsidR="00017B92" w:rsidRPr="009F468E">
        <w:rPr>
          <w:rFonts w:ascii="Arial" w:hAnsi="Arial"/>
          <w:sz w:val="24"/>
          <w:szCs w:val="24"/>
        </w:rPr>
        <w:t>T</w:t>
      </w:r>
      <w:r w:rsidR="00E31B7C" w:rsidRPr="009F468E">
        <w:rPr>
          <w:rFonts w:ascii="Arial" w:hAnsi="Arial"/>
          <w:sz w:val="24"/>
          <w:szCs w:val="24"/>
        </w:rPr>
        <w:t xml:space="preserve">habang Nkosi, a DOT Supply Chain Management (“SCM”) official </w:t>
      </w:r>
      <w:r w:rsidR="00017B92" w:rsidRPr="009F468E">
        <w:rPr>
          <w:rFonts w:ascii="Arial" w:hAnsi="Arial"/>
          <w:sz w:val="24"/>
          <w:szCs w:val="24"/>
        </w:rPr>
        <w:t>and</w:t>
      </w:r>
      <w:r w:rsidR="00017B92" w:rsidRPr="009F468E">
        <w:rPr>
          <w:rFonts w:ascii="Arial" w:hAnsi="Arial"/>
          <w:spacing w:val="5"/>
          <w:sz w:val="24"/>
          <w:szCs w:val="24"/>
        </w:rPr>
        <w:t xml:space="preserve"> </w:t>
      </w:r>
      <w:r w:rsidR="00017B92" w:rsidRPr="009F468E">
        <w:rPr>
          <w:rFonts w:ascii="Arial" w:hAnsi="Arial"/>
          <w:sz w:val="24"/>
          <w:szCs w:val="24"/>
        </w:rPr>
        <w:t>given</w:t>
      </w:r>
      <w:r w:rsidR="00017B92" w:rsidRPr="009F468E">
        <w:rPr>
          <w:rFonts w:ascii="Arial" w:hAnsi="Arial"/>
          <w:spacing w:val="5"/>
          <w:sz w:val="24"/>
          <w:szCs w:val="24"/>
        </w:rPr>
        <w:t xml:space="preserve"> </w:t>
      </w:r>
      <w:r w:rsidR="00017B92" w:rsidRPr="009F468E">
        <w:rPr>
          <w:rFonts w:ascii="Arial" w:hAnsi="Arial"/>
          <w:sz w:val="24"/>
          <w:szCs w:val="24"/>
        </w:rPr>
        <w:t>to</w:t>
      </w:r>
      <w:r w:rsidR="00017B92" w:rsidRPr="009F468E">
        <w:rPr>
          <w:rFonts w:ascii="Arial" w:hAnsi="Arial"/>
          <w:spacing w:val="6"/>
          <w:sz w:val="24"/>
          <w:szCs w:val="24"/>
        </w:rPr>
        <w:t xml:space="preserve"> </w:t>
      </w:r>
      <w:r w:rsidR="00017B92" w:rsidRPr="009F468E">
        <w:rPr>
          <w:rFonts w:ascii="Arial" w:hAnsi="Arial"/>
          <w:sz w:val="24"/>
          <w:szCs w:val="24"/>
        </w:rPr>
        <w:t>TBEC.</w:t>
      </w:r>
      <w:r w:rsidR="00017B92" w:rsidRPr="009F468E">
        <w:rPr>
          <w:rFonts w:ascii="Arial" w:hAnsi="Arial"/>
          <w:spacing w:val="10"/>
          <w:sz w:val="24"/>
          <w:szCs w:val="24"/>
        </w:rPr>
        <w:t xml:space="preserve"> </w:t>
      </w:r>
    </w:p>
    <w:p w14:paraId="12938472" w14:textId="62C64913" w:rsidR="00017B92" w:rsidRPr="009F468E" w:rsidRDefault="009F468E" w:rsidP="009F468E">
      <w:pPr>
        <w:tabs>
          <w:tab w:val="left" w:pos="1822"/>
        </w:tabs>
        <w:spacing w:before="1" w:line="360" w:lineRule="auto"/>
        <w:ind w:left="460" w:right="256" w:hanging="460"/>
        <w:jc w:val="both"/>
        <w:rPr>
          <w:rFonts w:ascii="Arial" w:hAnsi="Arial"/>
          <w:sz w:val="24"/>
          <w:szCs w:val="24"/>
        </w:rPr>
      </w:pPr>
      <w:r w:rsidRPr="00F533A8">
        <w:rPr>
          <w:rFonts w:ascii="Arial" w:eastAsia="Arial" w:hAnsi="Arial" w:cs="Arial"/>
          <w:kern w:val="0"/>
          <w:sz w:val="24"/>
          <w:szCs w:val="24"/>
          <w:lang w:val="en-US"/>
          <w14:ligatures w14:val="none"/>
        </w:rPr>
        <w:t>22.6</w:t>
      </w:r>
      <w:r w:rsidRPr="00F533A8">
        <w:rPr>
          <w:rFonts w:ascii="Arial" w:eastAsia="Arial" w:hAnsi="Arial" w:cs="Arial"/>
          <w:kern w:val="0"/>
          <w:sz w:val="24"/>
          <w:szCs w:val="24"/>
          <w:lang w:val="en-US"/>
          <w14:ligatures w14:val="none"/>
        </w:rPr>
        <w:tab/>
      </w:r>
      <w:r w:rsidR="00017B92" w:rsidRPr="009F468E">
        <w:rPr>
          <w:rFonts w:ascii="Arial" w:hAnsi="Arial"/>
          <w:sz w:val="24"/>
          <w:szCs w:val="24"/>
        </w:rPr>
        <w:t>The Auditor-General of South Africa (“AGSA”) also found that</w:t>
      </w:r>
      <w:r w:rsidR="00017B92" w:rsidRPr="009F468E">
        <w:rPr>
          <w:rFonts w:ascii="Arial" w:hAnsi="Arial"/>
          <w:spacing w:val="1"/>
          <w:sz w:val="24"/>
          <w:szCs w:val="24"/>
        </w:rPr>
        <w:t xml:space="preserve"> </w:t>
      </w:r>
      <w:r w:rsidR="00017B92" w:rsidRPr="009F468E">
        <w:rPr>
          <w:rFonts w:ascii="Arial" w:hAnsi="Arial"/>
          <w:sz w:val="24"/>
          <w:szCs w:val="24"/>
        </w:rPr>
        <w:t>the</w:t>
      </w:r>
      <w:r w:rsidR="00017B92" w:rsidRPr="009F468E">
        <w:rPr>
          <w:rFonts w:ascii="Arial" w:hAnsi="Arial"/>
          <w:spacing w:val="1"/>
          <w:sz w:val="24"/>
          <w:szCs w:val="24"/>
        </w:rPr>
        <w:t xml:space="preserve"> </w:t>
      </w:r>
      <w:r w:rsidR="00E31B7C" w:rsidRPr="009F468E">
        <w:rPr>
          <w:rFonts w:ascii="Arial" w:hAnsi="Arial"/>
          <w:sz w:val="24"/>
          <w:szCs w:val="24"/>
        </w:rPr>
        <w:t xml:space="preserve">tender </w:t>
      </w:r>
      <w:r w:rsidR="00017B92" w:rsidRPr="009F468E">
        <w:rPr>
          <w:rFonts w:ascii="Arial" w:hAnsi="Arial"/>
          <w:sz w:val="24"/>
          <w:szCs w:val="24"/>
        </w:rPr>
        <w:t>was</w:t>
      </w:r>
      <w:r w:rsidR="00017B92" w:rsidRPr="009F468E">
        <w:rPr>
          <w:rFonts w:ascii="Arial" w:hAnsi="Arial"/>
          <w:spacing w:val="1"/>
          <w:sz w:val="24"/>
          <w:szCs w:val="24"/>
        </w:rPr>
        <w:t xml:space="preserve"> </w:t>
      </w:r>
      <w:r w:rsidR="00017B92" w:rsidRPr="009F468E">
        <w:rPr>
          <w:rFonts w:ascii="Arial" w:hAnsi="Arial"/>
          <w:sz w:val="24"/>
          <w:szCs w:val="24"/>
        </w:rPr>
        <w:t>irregularly</w:t>
      </w:r>
      <w:r w:rsidR="00017B92" w:rsidRPr="009F468E">
        <w:rPr>
          <w:rFonts w:ascii="Arial" w:hAnsi="Arial"/>
          <w:spacing w:val="1"/>
          <w:sz w:val="24"/>
          <w:szCs w:val="24"/>
        </w:rPr>
        <w:t xml:space="preserve"> </w:t>
      </w:r>
      <w:r w:rsidR="00017B92" w:rsidRPr="009F468E">
        <w:rPr>
          <w:rFonts w:ascii="Arial" w:hAnsi="Arial"/>
          <w:sz w:val="24"/>
          <w:szCs w:val="24"/>
        </w:rPr>
        <w:t>awarded</w:t>
      </w:r>
      <w:r w:rsidR="00017B92" w:rsidRPr="009F468E">
        <w:rPr>
          <w:rFonts w:ascii="Arial" w:hAnsi="Arial"/>
          <w:spacing w:val="1"/>
          <w:sz w:val="24"/>
          <w:szCs w:val="24"/>
        </w:rPr>
        <w:t xml:space="preserve"> </w:t>
      </w:r>
      <w:r w:rsidR="00017B92" w:rsidRPr="009F468E">
        <w:rPr>
          <w:rFonts w:ascii="Arial" w:hAnsi="Arial"/>
          <w:sz w:val="24"/>
          <w:szCs w:val="24"/>
        </w:rPr>
        <w:t>to</w:t>
      </w:r>
      <w:r w:rsidR="00017B92" w:rsidRPr="009F468E">
        <w:rPr>
          <w:rFonts w:ascii="Arial" w:hAnsi="Arial"/>
          <w:spacing w:val="1"/>
          <w:sz w:val="24"/>
          <w:szCs w:val="24"/>
        </w:rPr>
        <w:t xml:space="preserve"> </w:t>
      </w:r>
      <w:r w:rsidR="00E31B7C" w:rsidRPr="009F468E">
        <w:rPr>
          <w:rFonts w:ascii="Arial" w:hAnsi="Arial"/>
          <w:spacing w:val="1"/>
          <w:sz w:val="24"/>
          <w:szCs w:val="24"/>
        </w:rPr>
        <w:t xml:space="preserve">Nexor. </w:t>
      </w:r>
    </w:p>
    <w:p w14:paraId="68E96D75" w14:textId="3CC01B6C" w:rsidR="00017B92" w:rsidRPr="009F468E" w:rsidRDefault="009F468E" w:rsidP="009F468E">
      <w:pPr>
        <w:tabs>
          <w:tab w:val="left" w:pos="1822"/>
        </w:tabs>
        <w:spacing w:before="10" w:line="360" w:lineRule="auto"/>
        <w:ind w:left="460" w:right="256" w:hanging="460"/>
        <w:jc w:val="both"/>
        <w:rPr>
          <w:rFonts w:ascii="Arial" w:hAnsi="Arial"/>
          <w:sz w:val="24"/>
          <w:szCs w:val="24"/>
        </w:rPr>
      </w:pPr>
      <w:r w:rsidRPr="00F533A8">
        <w:rPr>
          <w:rFonts w:ascii="Arial" w:eastAsia="Arial" w:hAnsi="Arial" w:cs="Arial"/>
          <w:kern w:val="0"/>
          <w:sz w:val="24"/>
          <w:szCs w:val="24"/>
          <w:lang w:val="en-US"/>
          <w14:ligatures w14:val="none"/>
        </w:rPr>
        <w:t>22.7</w:t>
      </w:r>
      <w:r w:rsidRPr="00F533A8">
        <w:rPr>
          <w:rFonts w:ascii="Arial" w:eastAsia="Arial" w:hAnsi="Arial" w:cs="Arial"/>
          <w:kern w:val="0"/>
          <w:sz w:val="24"/>
          <w:szCs w:val="24"/>
          <w:lang w:val="en-US"/>
          <w14:ligatures w14:val="none"/>
        </w:rPr>
        <w:tab/>
      </w:r>
      <w:r w:rsidR="00017B92" w:rsidRPr="009F468E">
        <w:rPr>
          <w:rFonts w:ascii="Arial" w:hAnsi="Arial"/>
          <w:sz w:val="24"/>
          <w:szCs w:val="24"/>
        </w:rPr>
        <w:t xml:space="preserve"> In December 2018, Nexor irregularly claimed payment in the amount of R25 412</w:t>
      </w:r>
      <w:r w:rsidR="00017B92" w:rsidRPr="009F468E">
        <w:rPr>
          <w:rFonts w:ascii="Arial" w:hAnsi="Arial"/>
          <w:spacing w:val="1"/>
          <w:sz w:val="24"/>
          <w:szCs w:val="24"/>
        </w:rPr>
        <w:t xml:space="preserve"> </w:t>
      </w:r>
      <w:r w:rsidR="00017B92" w:rsidRPr="009F468E">
        <w:rPr>
          <w:rFonts w:ascii="Arial" w:hAnsi="Arial"/>
          <w:sz w:val="24"/>
          <w:szCs w:val="24"/>
        </w:rPr>
        <w:t>700 for</w:t>
      </w:r>
      <w:r w:rsidR="00017B92" w:rsidRPr="009F468E">
        <w:rPr>
          <w:rFonts w:ascii="Arial" w:hAnsi="Arial"/>
          <w:spacing w:val="1"/>
          <w:sz w:val="24"/>
          <w:szCs w:val="24"/>
        </w:rPr>
        <w:t xml:space="preserve"> </w:t>
      </w:r>
      <w:r w:rsidR="00017B92" w:rsidRPr="009F468E">
        <w:rPr>
          <w:rFonts w:ascii="Arial" w:hAnsi="Arial"/>
          <w:sz w:val="24"/>
          <w:szCs w:val="24"/>
        </w:rPr>
        <w:t>bridges and culverts.  Since the inspection of bridges formed part of the project scope, Nexor double-charged</w:t>
      </w:r>
      <w:r w:rsidR="00017B92" w:rsidRPr="009F468E">
        <w:rPr>
          <w:rFonts w:ascii="Arial" w:hAnsi="Arial"/>
          <w:spacing w:val="-15"/>
          <w:sz w:val="24"/>
          <w:szCs w:val="24"/>
        </w:rPr>
        <w:t xml:space="preserve"> DOT for this item. </w:t>
      </w:r>
    </w:p>
    <w:p w14:paraId="3DF50433" w14:textId="5F36F5FE" w:rsidR="00017B92" w:rsidRPr="009F468E" w:rsidRDefault="009F468E" w:rsidP="009F468E">
      <w:pPr>
        <w:tabs>
          <w:tab w:val="left" w:pos="1822"/>
        </w:tabs>
        <w:spacing w:before="1" w:line="360" w:lineRule="auto"/>
        <w:ind w:left="460" w:right="254" w:hanging="460"/>
        <w:jc w:val="both"/>
        <w:rPr>
          <w:rFonts w:ascii="Arial" w:hAnsi="Arial"/>
          <w:sz w:val="24"/>
          <w:szCs w:val="24"/>
        </w:rPr>
        <w:sectPr w:rsidR="00017B92" w:rsidRPr="009F468E" w:rsidSect="00CB5614">
          <w:headerReference w:type="default" r:id="rId9"/>
          <w:pgSz w:w="11910" w:h="16850"/>
          <w:pgMar w:top="1460" w:right="1180" w:bottom="280" w:left="1320" w:header="728" w:footer="0" w:gutter="0"/>
          <w:cols w:space="720"/>
        </w:sectPr>
      </w:pPr>
      <w:r w:rsidRPr="00F533A8">
        <w:rPr>
          <w:rFonts w:ascii="Arial" w:eastAsia="Arial" w:hAnsi="Arial" w:cs="Arial"/>
          <w:kern w:val="0"/>
          <w:sz w:val="24"/>
          <w:szCs w:val="24"/>
          <w:lang w:val="en-US"/>
          <w14:ligatures w14:val="none"/>
        </w:rPr>
        <w:t>22.8</w:t>
      </w:r>
      <w:r w:rsidRPr="00F533A8">
        <w:rPr>
          <w:rFonts w:ascii="Arial" w:eastAsia="Arial" w:hAnsi="Arial" w:cs="Arial"/>
          <w:kern w:val="0"/>
          <w:sz w:val="24"/>
          <w:szCs w:val="24"/>
          <w:lang w:val="en-US"/>
          <w14:ligatures w14:val="none"/>
        </w:rPr>
        <w:tab/>
      </w:r>
      <w:r w:rsidR="00017B92" w:rsidRPr="009F468E">
        <w:rPr>
          <w:rFonts w:ascii="Arial" w:hAnsi="Arial"/>
          <w:sz w:val="24"/>
          <w:szCs w:val="24"/>
        </w:rPr>
        <w:t xml:space="preserve"> Nexor irregularly claimed payment in an</w:t>
      </w:r>
      <w:r w:rsidR="00017B92" w:rsidRPr="009F468E">
        <w:rPr>
          <w:rFonts w:ascii="Arial" w:hAnsi="Arial"/>
          <w:spacing w:val="1"/>
          <w:sz w:val="24"/>
          <w:szCs w:val="24"/>
        </w:rPr>
        <w:t xml:space="preserve"> </w:t>
      </w:r>
      <w:r w:rsidR="00017B92" w:rsidRPr="009F468E">
        <w:rPr>
          <w:rFonts w:ascii="Arial" w:hAnsi="Arial"/>
          <w:sz w:val="24"/>
          <w:szCs w:val="24"/>
        </w:rPr>
        <w:t>amount</w:t>
      </w:r>
      <w:r w:rsidR="00017B92" w:rsidRPr="009F468E">
        <w:rPr>
          <w:rFonts w:ascii="Arial" w:hAnsi="Arial"/>
          <w:spacing w:val="3"/>
          <w:sz w:val="24"/>
          <w:szCs w:val="24"/>
        </w:rPr>
        <w:t xml:space="preserve"> </w:t>
      </w:r>
      <w:r w:rsidR="00017B92" w:rsidRPr="009F468E">
        <w:rPr>
          <w:rFonts w:ascii="Arial" w:hAnsi="Arial"/>
          <w:sz w:val="24"/>
          <w:szCs w:val="24"/>
        </w:rPr>
        <w:t>of</w:t>
      </w:r>
      <w:r w:rsidR="00017B92" w:rsidRPr="009F468E">
        <w:rPr>
          <w:rFonts w:ascii="Arial" w:hAnsi="Arial"/>
          <w:spacing w:val="2"/>
          <w:sz w:val="24"/>
          <w:szCs w:val="24"/>
        </w:rPr>
        <w:t xml:space="preserve"> </w:t>
      </w:r>
      <w:r w:rsidR="00017B92" w:rsidRPr="009F468E">
        <w:rPr>
          <w:rFonts w:ascii="Arial" w:hAnsi="Arial"/>
          <w:sz w:val="24"/>
          <w:szCs w:val="24"/>
        </w:rPr>
        <w:t>R44</w:t>
      </w:r>
      <w:r w:rsidR="00017B92" w:rsidRPr="009F468E">
        <w:rPr>
          <w:rFonts w:ascii="Arial" w:hAnsi="Arial"/>
          <w:spacing w:val="4"/>
          <w:sz w:val="24"/>
          <w:szCs w:val="24"/>
        </w:rPr>
        <w:t xml:space="preserve"> </w:t>
      </w:r>
      <w:r w:rsidR="00017B92" w:rsidRPr="009F468E">
        <w:rPr>
          <w:rFonts w:ascii="Arial" w:hAnsi="Arial"/>
          <w:sz w:val="24"/>
          <w:szCs w:val="24"/>
        </w:rPr>
        <w:t>228</w:t>
      </w:r>
    </w:p>
    <w:p w14:paraId="674C85A5" w14:textId="6B6ED1A5" w:rsidR="00017B92" w:rsidRPr="00F533A8" w:rsidRDefault="00017B92" w:rsidP="00E212A8">
      <w:pPr>
        <w:tabs>
          <w:tab w:val="left" w:pos="1822"/>
        </w:tabs>
        <w:spacing w:before="1" w:line="360" w:lineRule="auto"/>
        <w:ind w:right="254"/>
        <w:jc w:val="both"/>
        <w:rPr>
          <w:rFonts w:ascii="Arial" w:hAnsi="Arial" w:cs="Arial"/>
          <w:sz w:val="24"/>
          <w:szCs w:val="24"/>
        </w:rPr>
      </w:pPr>
      <w:r w:rsidRPr="00F533A8">
        <w:rPr>
          <w:rFonts w:ascii="Arial" w:hAnsi="Arial" w:cs="Arial"/>
          <w:sz w:val="24"/>
          <w:szCs w:val="24"/>
        </w:rPr>
        <w:lastRenderedPageBreak/>
        <w:t xml:space="preserve">652 for the period 26 March 2020 to 30 April 2020 </w:t>
      </w:r>
      <w:r w:rsidR="00332204" w:rsidRPr="00F533A8">
        <w:rPr>
          <w:rFonts w:ascii="Arial" w:hAnsi="Arial" w:cs="Arial"/>
          <w:sz w:val="24"/>
          <w:szCs w:val="24"/>
        </w:rPr>
        <w:t xml:space="preserve">under circumstances where it did not render any services under the contract because DOT has suspended the services </w:t>
      </w:r>
      <w:r w:rsidR="00E31B7C" w:rsidRPr="00F533A8">
        <w:rPr>
          <w:rFonts w:ascii="Arial" w:hAnsi="Arial" w:cs="Arial"/>
          <w:sz w:val="24"/>
          <w:szCs w:val="24"/>
        </w:rPr>
        <w:t>because of</w:t>
      </w:r>
      <w:r w:rsidR="00332204" w:rsidRPr="00F533A8">
        <w:rPr>
          <w:rFonts w:ascii="Arial" w:hAnsi="Arial" w:cs="Arial"/>
          <w:sz w:val="24"/>
          <w:szCs w:val="24"/>
        </w:rPr>
        <w:t xml:space="preserve"> the Covid-19 level 5 lockdown. </w:t>
      </w:r>
    </w:p>
    <w:p w14:paraId="7C297353" w14:textId="77777777" w:rsidR="002925AD" w:rsidRDefault="002925AD" w:rsidP="00E212A8">
      <w:pPr>
        <w:tabs>
          <w:tab w:val="left" w:pos="851"/>
        </w:tabs>
        <w:spacing w:line="360" w:lineRule="auto"/>
        <w:jc w:val="both"/>
        <w:rPr>
          <w:rFonts w:ascii="Arial" w:hAnsi="Arial" w:cs="Arial"/>
          <w:sz w:val="24"/>
          <w:szCs w:val="24"/>
        </w:rPr>
      </w:pPr>
    </w:p>
    <w:p w14:paraId="57E0A9EE" w14:textId="7584A135" w:rsidR="00C06E57" w:rsidRPr="00F533A8" w:rsidRDefault="00C06E57" w:rsidP="00E212A8">
      <w:pPr>
        <w:tabs>
          <w:tab w:val="left" w:pos="851"/>
        </w:tabs>
        <w:spacing w:line="360" w:lineRule="auto"/>
        <w:jc w:val="both"/>
        <w:rPr>
          <w:rFonts w:ascii="Arial" w:hAnsi="Arial" w:cs="Arial"/>
          <w:sz w:val="24"/>
          <w:szCs w:val="24"/>
        </w:rPr>
      </w:pPr>
      <w:r w:rsidRPr="00F533A8">
        <w:rPr>
          <w:rFonts w:ascii="Arial" w:hAnsi="Arial" w:cs="Arial"/>
          <w:sz w:val="24"/>
          <w:szCs w:val="24"/>
        </w:rPr>
        <w:t>[23]</w:t>
      </w:r>
      <w:r w:rsidRPr="00F533A8">
        <w:rPr>
          <w:rFonts w:ascii="Arial" w:hAnsi="Arial" w:cs="Arial"/>
          <w:sz w:val="24"/>
          <w:szCs w:val="24"/>
        </w:rPr>
        <w:tab/>
      </w:r>
      <w:r w:rsidR="00B764B3" w:rsidRPr="00F533A8">
        <w:rPr>
          <w:rFonts w:ascii="Arial" w:hAnsi="Arial" w:cs="Arial"/>
          <w:sz w:val="24"/>
          <w:szCs w:val="24"/>
        </w:rPr>
        <w:t xml:space="preserve">For reasons I consider at a pertinent point in this judgment, Nexor contends that there is no merit to these grounds of review. </w:t>
      </w:r>
      <w:r w:rsidR="00E31B7C">
        <w:rPr>
          <w:rFonts w:ascii="Arial" w:hAnsi="Arial" w:cs="Arial"/>
          <w:sz w:val="24"/>
          <w:szCs w:val="24"/>
        </w:rPr>
        <w:t xml:space="preserve">Both respondents have also </w:t>
      </w:r>
      <w:r w:rsidR="00B764B3" w:rsidRPr="00F533A8">
        <w:rPr>
          <w:rFonts w:ascii="Arial" w:hAnsi="Arial" w:cs="Arial"/>
          <w:sz w:val="24"/>
          <w:szCs w:val="24"/>
        </w:rPr>
        <w:t>raised</w:t>
      </w:r>
      <w:r w:rsidR="00E31B7C">
        <w:rPr>
          <w:rFonts w:ascii="Arial" w:hAnsi="Arial" w:cs="Arial"/>
          <w:sz w:val="24"/>
          <w:szCs w:val="24"/>
        </w:rPr>
        <w:t xml:space="preserve"> several point in </w:t>
      </w:r>
      <w:r w:rsidR="00E31B7C" w:rsidRPr="00E31B7C">
        <w:rPr>
          <w:rFonts w:ascii="Arial" w:hAnsi="Arial" w:cs="Arial"/>
          <w:i/>
          <w:iCs/>
          <w:sz w:val="24"/>
          <w:szCs w:val="24"/>
        </w:rPr>
        <w:t>limine.</w:t>
      </w:r>
      <w:r w:rsidR="00E31B7C">
        <w:rPr>
          <w:rFonts w:ascii="Arial" w:hAnsi="Arial" w:cs="Arial"/>
          <w:sz w:val="24"/>
          <w:szCs w:val="24"/>
        </w:rPr>
        <w:t xml:space="preserve"> I consider DOT’s under the counter application because they relate to that application. I list Nexor’s below</w:t>
      </w:r>
      <w:r w:rsidR="00B764B3" w:rsidRPr="00F533A8">
        <w:rPr>
          <w:rFonts w:ascii="Arial" w:hAnsi="Arial" w:cs="Arial"/>
          <w:sz w:val="24"/>
          <w:szCs w:val="24"/>
        </w:rPr>
        <w:t>:</w:t>
      </w:r>
    </w:p>
    <w:p w14:paraId="31DE6CFB" w14:textId="5EDB2CB2" w:rsidR="0043261F" w:rsidRPr="00F533A8" w:rsidRDefault="0043261F" w:rsidP="00E212A8">
      <w:pPr>
        <w:tabs>
          <w:tab w:val="left" w:pos="851"/>
        </w:tabs>
        <w:spacing w:line="360" w:lineRule="auto"/>
        <w:jc w:val="both"/>
        <w:rPr>
          <w:rFonts w:ascii="Arial" w:hAnsi="Arial" w:cs="Arial"/>
          <w:sz w:val="24"/>
          <w:szCs w:val="24"/>
        </w:rPr>
      </w:pPr>
      <w:r w:rsidRPr="00F533A8">
        <w:rPr>
          <w:rFonts w:ascii="Arial" w:hAnsi="Arial" w:cs="Arial"/>
          <w:sz w:val="24"/>
          <w:szCs w:val="24"/>
        </w:rPr>
        <w:t>23.1</w:t>
      </w:r>
      <w:r w:rsidRPr="00F533A8">
        <w:rPr>
          <w:rFonts w:ascii="Arial" w:hAnsi="Arial" w:cs="Arial"/>
          <w:sz w:val="24"/>
          <w:szCs w:val="24"/>
        </w:rPr>
        <w:tab/>
        <w:t xml:space="preserve">whether the SIU is entitled to any relief under the </w:t>
      </w:r>
      <w:r w:rsidR="00D24DD3" w:rsidRPr="00F533A8">
        <w:rPr>
          <w:rFonts w:ascii="Arial" w:hAnsi="Arial" w:cs="Arial"/>
          <w:sz w:val="24"/>
          <w:szCs w:val="24"/>
        </w:rPr>
        <w:t>Promotion of Administrative Justice Act</w:t>
      </w:r>
      <w:r w:rsidR="00D24DD3" w:rsidRPr="00F533A8">
        <w:rPr>
          <w:rStyle w:val="FootnoteReference"/>
          <w:rFonts w:ascii="Arial" w:hAnsi="Arial"/>
          <w:sz w:val="24"/>
        </w:rPr>
        <w:footnoteReference w:id="2"/>
      </w:r>
      <w:r w:rsidR="00D24DD3" w:rsidRPr="00F533A8">
        <w:rPr>
          <w:rFonts w:ascii="Arial" w:hAnsi="Arial" w:cs="Arial"/>
          <w:sz w:val="24"/>
          <w:szCs w:val="24"/>
        </w:rPr>
        <w:t xml:space="preserve"> </w:t>
      </w:r>
      <w:r w:rsidRPr="00F533A8">
        <w:rPr>
          <w:rFonts w:ascii="Arial" w:hAnsi="Arial" w:cs="Arial"/>
          <w:sz w:val="24"/>
          <w:szCs w:val="24"/>
        </w:rPr>
        <w:t>(“PAJA”).</w:t>
      </w:r>
    </w:p>
    <w:p w14:paraId="05DA1C57" w14:textId="298C37C7" w:rsidR="0043261F" w:rsidRPr="00F533A8" w:rsidRDefault="0043261F" w:rsidP="00E212A8">
      <w:pPr>
        <w:tabs>
          <w:tab w:val="left" w:pos="851"/>
        </w:tabs>
        <w:spacing w:line="360" w:lineRule="auto"/>
        <w:jc w:val="both"/>
        <w:rPr>
          <w:rFonts w:ascii="Arial" w:hAnsi="Arial" w:cs="Arial"/>
          <w:sz w:val="24"/>
          <w:szCs w:val="24"/>
        </w:rPr>
      </w:pPr>
      <w:r w:rsidRPr="00F533A8">
        <w:rPr>
          <w:rFonts w:ascii="Arial" w:hAnsi="Arial" w:cs="Arial"/>
          <w:sz w:val="24"/>
          <w:szCs w:val="24"/>
        </w:rPr>
        <w:t>23.2</w:t>
      </w:r>
      <w:r w:rsidRPr="00F533A8">
        <w:rPr>
          <w:rFonts w:ascii="Arial" w:hAnsi="Arial" w:cs="Arial"/>
          <w:sz w:val="24"/>
          <w:szCs w:val="24"/>
        </w:rPr>
        <w:tab/>
        <w:t>whether the SIU is entitled to any relief under the principle of legality.</w:t>
      </w:r>
    </w:p>
    <w:p w14:paraId="70573BAB" w14:textId="2FE56692" w:rsidR="00D36359" w:rsidRPr="00F533A8" w:rsidRDefault="00D36359" w:rsidP="00E212A8">
      <w:pPr>
        <w:tabs>
          <w:tab w:val="left" w:pos="851"/>
        </w:tabs>
        <w:spacing w:line="360" w:lineRule="auto"/>
        <w:jc w:val="both"/>
        <w:rPr>
          <w:rFonts w:ascii="Arial" w:hAnsi="Arial" w:cs="Arial"/>
          <w:sz w:val="24"/>
          <w:szCs w:val="24"/>
        </w:rPr>
      </w:pPr>
      <w:r>
        <w:rPr>
          <w:rFonts w:ascii="Arial" w:hAnsi="Arial" w:cs="Arial"/>
          <w:sz w:val="24"/>
          <w:szCs w:val="24"/>
        </w:rPr>
        <w:t>23.3</w:t>
      </w:r>
      <w:r>
        <w:rPr>
          <w:rFonts w:ascii="Arial" w:hAnsi="Arial" w:cs="Arial"/>
          <w:sz w:val="24"/>
          <w:szCs w:val="24"/>
        </w:rPr>
        <w:tab/>
        <w:t>whether the SIU delayed to bring the review application.</w:t>
      </w:r>
    </w:p>
    <w:p w14:paraId="217AF3AD" w14:textId="33611EBF" w:rsidR="00D36359" w:rsidRDefault="00D36359" w:rsidP="00E212A8">
      <w:pPr>
        <w:tabs>
          <w:tab w:val="left" w:pos="851"/>
        </w:tabs>
        <w:spacing w:line="360" w:lineRule="auto"/>
        <w:jc w:val="both"/>
        <w:rPr>
          <w:rFonts w:ascii="Arial" w:hAnsi="Arial" w:cs="Arial"/>
          <w:sz w:val="24"/>
          <w:szCs w:val="24"/>
        </w:rPr>
      </w:pPr>
      <w:r w:rsidRPr="00F533A8">
        <w:rPr>
          <w:rFonts w:ascii="Arial" w:hAnsi="Arial" w:cs="Arial"/>
          <w:sz w:val="24"/>
          <w:szCs w:val="24"/>
        </w:rPr>
        <w:t>23.</w:t>
      </w:r>
      <w:r>
        <w:rPr>
          <w:rFonts w:ascii="Arial" w:hAnsi="Arial" w:cs="Arial"/>
          <w:sz w:val="24"/>
          <w:szCs w:val="24"/>
        </w:rPr>
        <w:t>4</w:t>
      </w:r>
      <w:r w:rsidRPr="00F533A8">
        <w:rPr>
          <w:rFonts w:ascii="Arial" w:hAnsi="Arial" w:cs="Arial"/>
          <w:sz w:val="24"/>
          <w:szCs w:val="24"/>
        </w:rPr>
        <w:tab/>
        <w:t>whether certain allegations by the SIU stand to be struck put as inadmissible evidence.</w:t>
      </w:r>
    </w:p>
    <w:p w14:paraId="00773DE0" w14:textId="77777777" w:rsidR="00C06E57" w:rsidRPr="00F533A8" w:rsidRDefault="00C06E57" w:rsidP="00E212A8">
      <w:pPr>
        <w:tabs>
          <w:tab w:val="left" w:pos="851"/>
        </w:tabs>
        <w:spacing w:line="360" w:lineRule="auto"/>
        <w:jc w:val="both"/>
        <w:rPr>
          <w:rFonts w:ascii="Arial" w:hAnsi="Arial" w:cs="Arial"/>
          <w:sz w:val="24"/>
          <w:szCs w:val="24"/>
        </w:rPr>
      </w:pPr>
    </w:p>
    <w:p w14:paraId="1F690254" w14:textId="77BC3404" w:rsidR="001A01AB" w:rsidRPr="00F533A8" w:rsidRDefault="0075090F" w:rsidP="00E212A8">
      <w:pPr>
        <w:tabs>
          <w:tab w:val="left" w:pos="851"/>
        </w:tabs>
        <w:spacing w:line="360" w:lineRule="auto"/>
        <w:jc w:val="both"/>
        <w:rPr>
          <w:rFonts w:ascii="Arial" w:hAnsi="Arial" w:cs="Arial"/>
          <w:b/>
          <w:bCs/>
          <w:sz w:val="24"/>
          <w:szCs w:val="24"/>
        </w:rPr>
      </w:pPr>
      <w:r w:rsidRPr="00F533A8">
        <w:rPr>
          <w:rFonts w:ascii="Arial" w:hAnsi="Arial" w:cs="Arial"/>
          <w:b/>
          <w:bCs/>
          <w:sz w:val="24"/>
          <w:szCs w:val="24"/>
        </w:rPr>
        <w:t xml:space="preserve">Applicable constitutional, </w:t>
      </w:r>
      <w:r w:rsidR="00C06E57" w:rsidRPr="00F533A8">
        <w:rPr>
          <w:rFonts w:ascii="Arial" w:hAnsi="Arial" w:cs="Arial"/>
          <w:b/>
          <w:bCs/>
          <w:sz w:val="24"/>
          <w:szCs w:val="24"/>
        </w:rPr>
        <w:t>statutory,</w:t>
      </w:r>
      <w:r w:rsidRPr="00F533A8">
        <w:rPr>
          <w:rFonts w:ascii="Arial" w:hAnsi="Arial" w:cs="Arial"/>
          <w:b/>
          <w:bCs/>
          <w:sz w:val="24"/>
          <w:szCs w:val="24"/>
        </w:rPr>
        <w:t xml:space="preserve"> and regulatory provisions</w:t>
      </w:r>
    </w:p>
    <w:p w14:paraId="4CDBDDEE" w14:textId="4990EF4E"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C06E57" w:rsidRPr="00F533A8">
        <w:rPr>
          <w:rFonts w:ascii="Arial" w:hAnsi="Arial" w:cs="Arial"/>
          <w:sz w:val="24"/>
          <w:szCs w:val="24"/>
        </w:rPr>
        <w:t>24</w:t>
      </w:r>
      <w:r w:rsidRPr="00F533A8">
        <w:rPr>
          <w:rFonts w:ascii="Arial" w:hAnsi="Arial" w:cs="Arial"/>
          <w:sz w:val="24"/>
          <w:szCs w:val="24"/>
        </w:rPr>
        <w:t>]</w:t>
      </w:r>
      <w:r w:rsidRPr="00F533A8">
        <w:rPr>
          <w:rFonts w:ascii="Arial" w:hAnsi="Arial" w:cs="Arial"/>
          <w:sz w:val="24"/>
          <w:szCs w:val="24"/>
        </w:rPr>
        <w:tab/>
        <w:t xml:space="preserve">The SIU relies on the </w:t>
      </w:r>
      <w:r w:rsidR="00C06E57" w:rsidRPr="00F533A8">
        <w:rPr>
          <w:rFonts w:ascii="Arial" w:hAnsi="Arial" w:cs="Arial"/>
          <w:sz w:val="24"/>
          <w:szCs w:val="24"/>
        </w:rPr>
        <w:t xml:space="preserve">procurement </w:t>
      </w:r>
      <w:r w:rsidRPr="00F533A8">
        <w:rPr>
          <w:rFonts w:ascii="Arial" w:hAnsi="Arial" w:cs="Arial"/>
          <w:sz w:val="24"/>
          <w:szCs w:val="24"/>
        </w:rPr>
        <w:t>regulatory framework set out below</w:t>
      </w:r>
      <w:r w:rsidR="00C06E57" w:rsidRPr="00F533A8">
        <w:rPr>
          <w:rFonts w:ascii="Arial" w:hAnsi="Arial" w:cs="Arial"/>
          <w:sz w:val="24"/>
          <w:szCs w:val="24"/>
        </w:rPr>
        <w:t>.</w:t>
      </w:r>
      <w:r w:rsidRPr="00F533A8">
        <w:rPr>
          <w:rFonts w:ascii="Arial" w:hAnsi="Arial" w:cs="Arial"/>
          <w:sz w:val="24"/>
          <w:szCs w:val="24"/>
        </w:rPr>
        <w:t xml:space="preserve"> </w:t>
      </w:r>
    </w:p>
    <w:p w14:paraId="3EC43787" w14:textId="77777777" w:rsidR="003907D5" w:rsidRPr="00F533A8" w:rsidRDefault="003907D5" w:rsidP="00E212A8">
      <w:pPr>
        <w:tabs>
          <w:tab w:val="left" w:pos="851"/>
        </w:tabs>
        <w:spacing w:line="360" w:lineRule="auto"/>
        <w:jc w:val="both"/>
        <w:rPr>
          <w:rFonts w:ascii="Arial" w:hAnsi="Arial" w:cs="Arial"/>
          <w:sz w:val="24"/>
          <w:szCs w:val="24"/>
        </w:rPr>
      </w:pPr>
    </w:p>
    <w:p w14:paraId="3D870FBB" w14:textId="286B6032" w:rsidR="00773EF7" w:rsidRPr="00F533A8" w:rsidRDefault="00773EF7" w:rsidP="00E212A8">
      <w:pPr>
        <w:tabs>
          <w:tab w:val="left" w:pos="851"/>
        </w:tabs>
        <w:spacing w:line="360" w:lineRule="auto"/>
        <w:jc w:val="both"/>
        <w:rPr>
          <w:rFonts w:ascii="Arial" w:hAnsi="Arial" w:cs="Arial"/>
          <w:i/>
          <w:iCs/>
          <w:sz w:val="24"/>
          <w:szCs w:val="24"/>
        </w:rPr>
      </w:pPr>
      <w:r w:rsidRPr="00F533A8">
        <w:rPr>
          <w:rFonts w:ascii="Arial" w:hAnsi="Arial" w:cs="Arial"/>
          <w:i/>
          <w:iCs/>
          <w:sz w:val="24"/>
          <w:szCs w:val="24"/>
        </w:rPr>
        <w:t xml:space="preserve">The Constitution of the Republic of South </w:t>
      </w:r>
      <w:r w:rsidR="00CA0A89" w:rsidRPr="00F533A8">
        <w:rPr>
          <w:rFonts w:ascii="Arial" w:hAnsi="Arial" w:cs="Arial"/>
          <w:i/>
          <w:iCs/>
          <w:sz w:val="24"/>
          <w:szCs w:val="24"/>
        </w:rPr>
        <w:t xml:space="preserve">Africa </w:t>
      </w:r>
      <w:r w:rsidRPr="00F533A8">
        <w:rPr>
          <w:rFonts w:ascii="Arial" w:hAnsi="Arial" w:cs="Arial"/>
          <w:i/>
          <w:iCs/>
          <w:sz w:val="24"/>
          <w:szCs w:val="24"/>
        </w:rPr>
        <w:t>Act, No.108 of 1996</w:t>
      </w:r>
    </w:p>
    <w:p w14:paraId="1002DD96" w14:textId="3D8F4D43"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3907D5" w:rsidRPr="00F533A8">
        <w:rPr>
          <w:rFonts w:ascii="Arial" w:hAnsi="Arial" w:cs="Arial"/>
          <w:sz w:val="24"/>
          <w:szCs w:val="24"/>
        </w:rPr>
        <w:t>25</w:t>
      </w:r>
      <w:r w:rsidRPr="00F533A8">
        <w:rPr>
          <w:rFonts w:ascii="Arial" w:hAnsi="Arial" w:cs="Arial"/>
          <w:sz w:val="24"/>
          <w:szCs w:val="24"/>
        </w:rPr>
        <w:t>]</w:t>
      </w:r>
      <w:r w:rsidRPr="00F533A8">
        <w:rPr>
          <w:rFonts w:ascii="Arial" w:hAnsi="Arial" w:cs="Arial"/>
          <w:sz w:val="24"/>
          <w:szCs w:val="24"/>
        </w:rPr>
        <w:tab/>
        <w:t>Section 173 which provides as follows:</w:t>
      </w:r>
    </w:p>
    <w:p w14:paraId="58FB8B33" w14:textId="77777777"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“The Constitutional Court, the Supreme Court of Appeal and the High Court of South Africa each has the inherent power to protect and regulate their own process, and to develop the common law, taking into account the interests of justice.”</w:t>
      </w:r>
    </w:p>
    <w:p w14:paraId="4517F6D9" w14:textId="77777777" w:rsidR="00773EF7" w:rsidRPr="00F533A8" w:rsidRDefault="00773EF7" w:rsidP="00E212A8">
      <w:pPr>
        <w:tabs>
          <w:tab w:val="left" w:pos="851"/>
        </w:tabs>
        <w:spacing w:line="360" w:lineRule="auto"/>
        <w:jc w:val="both"/>
        <w:rPr>
          <w:rFonts w:ascii="Arial" w:hAnsi="Arial" w:cs="Arial"/>
          <w:sz w:val="24"/>
          <w:szCs w:val="24"/>
        </w:rPr>
      </w:pPr>
    </w:p>
    <w:p w14:paraId="4365BC12" w14:textId="766A0419"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3907D5" w:rsidRPr="00F533A8">
        <w:rPr>
          <w:rFonts w:ascii="Arial" w:hAnsi="Arial" w:cs="Arial"/>
          <w:sz w:val="24"/>
          <w:szCs w:val="24"/>
        </w:rPr>
        <w:t>26</w:t>
      </w:r>
      <w:r w:rsidRPr="00F533A8">
        <w:rPr>
          <w:rFonts w:ascii="Arial" w:hAnsi="Arial" w:cs="Arial"/>
          <w:sz w:val="24"/>
          <w:szCs w:val="24"/>
        </w:rPr>
        <w:t>]</w:t>
      </w:r>
      <w:r w:rsidRPr="00F533A8">
        <w:rPr>
          <w:rFonts w:ascii="Arial" w:hAnsi="Arial" w:cs="Arial"/>
          <w:sz w:val="24"/>
          <w:szCs w:val="24"/>
        </w:rPr>
        <w:tab/>
        <w:t>Section 217 which provides as follows:</w:t>
      </w:r>
    </w:p>
    <w:p w14:paraId="0B215CCD" w14:textId="77777777"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“When an organ of state in the national, provincial or local sphere of government, or any other institution identified in national legislation, contracts for goods or services, it must do so in accordance with a system which is fair, equitable, transparent, competitive and cost-effective.”</w:t>
      </w:r>
    </w:p>
    <w:p w14:paraId="19F1C957" w14:textId="77777777" w:rsidR="00773EF7" w:rsidRPr="00F533A8" w:rsidRDefault="00773EF7" w:rsidP="00E212A8">
      <w:pPr>
        <w:tabs>
          <w:tab w:val="left" w:pos="851"/>
        </w:tabs>
        <w:spacing w:line="360" w:lineRule="auto"/>
        <w:jc w:val="both"/>
        <w:rPr>
          <w:rFonts w:ascii="Arial" w:hAnsi="Arial" w:cs="Arial"/>
          <w:sz w:val="24"/>
          <w:szCs w:val="24"/>
        </w:rPr>
      </w:pPr>
    </w:p>
    <w:p w14:paraId="6BC5D02A" w14:textId="77777777" w:rsidR="00773EF7" w:rsidRPr="00F533A8" w:rsidRDefault="00773EF7" w:rsidP="00E212A8">
      <w:pPr>
        <w:tabs>
          <w:tab w:val="left" w:pos="851"/>
        </w:tabs>
        <w:spacing w:line="360" w:lineRule="auto"/>
        <w:jc w:val="both"/>
        <w:rPr>
          <w:rFonts w:ascii="Arial" w:hAnsi="Arial" w:cs="Arial"/>
          <w:i/>
          <w:iCs/>
          <w:sz w:val="24"/>
          <w:szCs w:val="24"/>
        </w:rPr>
      </w:pPr>
      <w:r w:rsidRPr="00F533A8">
        <w:rPr>
          <w:rFonts w:ascii="Arial" w:hAnsi="Arial" w:cs="Arial"/>
          <w:i/>
          <w:iCs/>
          <w:sz w:val="24"/>
          <w:szCs w:val="24"/>
        </w:rPr>
        <w:t>The Public Finance Management Act, No. 1 of 1999</w:t>
      </w:r>
    </w:p>
    <w:p w14:paraId="1ECFD8FD" w14:textId="14281E50"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3907D5" w:rsidRPr="00F533A8">
        <w:rPr>
          <w:rFonts w:ascii="Arial" w:hAnsi="Arial" w:cs="Arial"/>
          <w:sz w:val="24"/>
          <w:szCs w:val="24"/>
        </w:rPr>
        <w:t>27</w:t>
      </w:r>
      <w:r w:rsidRPr="00F533A8">
        <w:rPr>
          <w:rFonts w:ascii="Arial" w:hAnsi="Arial" w:cs="Arial"/>
          <w:sz w:val="24"/>
          <w:szCs w:val="24"/>
        </w:rPr>
        <w:t>]</w:t>
      </w:r>
      <w:r w:rsidRPr="00F533A8">
        <w:rPr>
          <w:rFonts w:ascii="Arial" w:hAnsi="Arial" w:cs="Arial"/>
          <w:sz w:val="24"/>
          <w:szCs w:val="24"/>
        </w:rPr>
        <w:tab/>
        <w:t>Section 38(1)(a)</w:t>
      </w:r>
      <w:r w:rsidR="003907D5" w:rsidRPr="00F533A8">
        <w:rPr>
          <w:rFonts w:ascii="Arial" w:hAnsi="Arial" w:cs="Arial"/>
          <w:sz w:val="24"/>
          <w:szCs w:val="24"/>
        </w:rPr>
        <w:t xml:space="preserve"> which</w:t>
      </w:r>
      <w:r w:rsidRPr="00F533A8">
        <w:rPr>
          <w:rFonts w:ascii="Arial" w:hAnsi="Arial" w:cs="Arial"/>
          <w:sz w:val="24"/>
          <w:szCs w:val="24"/>
        </w:rPr>
        <w:t xml:space="preserve"> provides as follows: </w:t>
      </w:r>
    </w:p>
    <w:p w14:paraId="26C433F5" w14:textId="621F9CC1"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“(1)</w:t>
      </w:r>
      <w:r w:rsidRPr="00F533A8">
        <w:rPr>
          <w:rFonts w:ascii="Arial" w:hAnsi="Arial" w:cs="Arial"/>
          <w:sz w:val="24"/>
          <w:szCs w:val="24"/>
        </w:rPr>
        <w:tab/>
        <w:t xml:space="preserve">The accounting officer for a department, trading entity or constitution institution </w:t>
      </w:r>
    </w:p>
    <w:p w14:paraId="2DA931FF" w14:textId="77777777"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(a)</w:t>
      </w:r>
      <w:r w:rsidRPr="00F533A8">
        <w:rPr>
          <w:rFonts w:ascii="Arial" w:hAnsi="Arial" w:cs="Arial"/>
          <w:sz w:val="24"/>
          <w:szCs w:val="24"/>
        </w:rPr>
        <w:tab/>
        <w:t>must ensure that that department, trading entity or constitutional institution has and maintains –</w:t>
      </w:r>
    </w:p>
    <w:p w14:paraId="613BD812" w14:textId="5FBA68E6"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(i)</w:t>
      </w:r>
      <w:r w:rsidRPr="00F533A8">
        <w:rPr>
          <w:rFonts w:ascii="Arial" w:hAnsi="Arial" w:cs="Arial"/>
          <w:sz w:val="24"/>
          <w:szCs w:val="24"/>
        </w:rPr>
        <w:tab/>
        <w:t xml:space="preserve">effective, </w:t>
      </w:r>
      <w:r w:rsidR="008C1523" w:rsidRPr="00F533A8">
        <w:rPr>
          <w:rFonts w:ascii="Arial" w:hAnsi="Arial" w:cs="Arial"/>
          <w:sz w:val="24"/>
          <w:szCs w:val="24"/>
        </w:rPr>
        <w:t>efficient,</w:t>
      </w:r>
      <w:r w:rsidRPr="00F533A8">
        <w:rPr>
          <w:rFonts w:ascii="Arial" w:hAnsi="Arial" w:cs="Arial"/>
          <w:sz w:val="24"/>
          <w:szCs w:val="24"/>
        </w:rPr>
        <w:t xml:space="preserve"> and transparent systems of financial and risk management and internal control;</w:t>
      </w:r>
    </w:p>
    <w:p w14:paraId="6FDACDEE" w14:textId="77777777"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(ii)</w:t>
      </w:r>
      <w:r w:rsidRPr="00F533A8">
        <w:rPr>
          <w:rFonts w:ascii="Arial" w:hAnsi="Arial" w:cs="Arial"/>
          <w:sz w:val="24"/>
          <w:szCs w:val="24"/>
        </w:rPr>
        <w:tab/>
        <w:t>a system of internal audit under the control and direction of an audit committee complying with and operating in accordance with regulations and instructions prescribed in terms of sections 76 and 77;</w:t>
      </w:r>
    </w:p>
    <w:p w14:paraId="01E0FD34" w14:textId="0D5737AB"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(iii)</w:t>
      </w:r>
      <w:r w:rsidRPr="00F533A8">
        <w:rPr>
          <w:rFonts w:ascii="Arial" w:hAnsi="Arial" w:cs="Arial"/>
          <w:sz w:val="24"/>
          <w:szCs w:val="24"/>
        </w:rPr>
        <w:tab/>
        <w:t xml:space="preserve">an appropriate procurement and provisioning system which is fair, equitable, </w:t>
      </w:r>
      <w:r w:rsidR="008C1523" w:rsidRPr="00F533A8">
        <w:rPr>
          <w:rFonts w:ascii="Arial" w:hAnsi="Arial" w:cs="Arial"/>
          <w:sz w:val="24"/>
          <w:szCs w:val="24"/>
        </w:rPr>
        <w:t>transparent,</w:t>
      </w:r>
      <w:r w:rsidRPr="00F533A8">
        <w:rPr>
          <w:rFonts w:ascii="Arial" w:hAnsi="Arial" w:cs="Arial"/>
          <w:sz w:val="24"/>
          <w:szCs w:val="24"/>
        </w:rPr>
        <w:t xml:space="preserve"> and cost-effective.”</w:t>
      </w:r>
    </w:p>
    <w:p w14:paraId="3C1E3BDE" w14:textId="77777777" w:rsidR="003907D5" w:rsidRPr="00F533A8" w:rsidRDefault="003907D5" w:rsidP="00E212A8">
      <w:pPr>
        <w:tabs>
          <w:tab w:val="left" w:pos="851"/>
        </w:tabs>
        <w:spacing w:line="360" w:lineRule="auto"/>
        <w:jc w:val="both"/>
        <w:rPr>
          <w:rFonts w:ascii="Arial" w:hAnsi="Arial" w:cs="Arial"/>
          <w:sz w:val="24"/>
          <w:szCs w:val="24"/>
        </w:rPr>
      </w:pPr>
    </w:p>
    <w:p w14:paraId="54FAE3F3" w14:textId="5B04546C"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3907D5" w:rsidRPr="00F533A8">
        <w:rPr>
          <w:rFonts w:ascii="Arial" w:hAnsi="Arial" w:cs="Arial"/>
          <w:sz w:val="24"/>
          <w:szCs w:val="24"/>
        </w:rPr>
        <w:t>28</w:t>
      </w:r>
      <w:r w:rsidRPr="00F533A8">
        <w:rPr>
          <w:rFonts w:ascii="Arial" w:hAnsi="Arial" w:cs="Arial"/>
          <w:sz w:val="24"/>
          <w:szCs w:val="24"/>
        </w:rPr>
        <w:t>]</w:t>
      </w:r>
      <w:r w:rsidRPr="00F533A8">
        <w:rPr>
          <w:rFonts w:ascii="Arial" w:hAnsi="Arial" w:cs="Arial"/>
          <w:sz w:val="24"/>
          <w:szCs w:val="24"/>
        </w:rPr>
        <w:tab/>
        <w:t>Section 1 provides as follows:</w:t>
      </w:r>
    </w:p>
    <w:p w14:paraId="3807C41C" w14:textId="77777777"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i/>
          <w:iCs/>
          <w:sz w:val="24"/>
          <w:szCs w:val="24"/>
        </w:rPr>
        <w:t>“Irregular expenditure</w:t>
      </w:r>
      <w:r w:rsidRPr="00F533A8">
        <w:rPr>
          <w:rFonts w:ascii="Arial" w:hAnsi="Arial" w:cs="Arial"/>
          <w:sz w:val="24"/>
          <w:szCs w:val="24"/>
        </w:rPr>
        <w:t xml:space="preserve"> means expenditure other than unauthorised expenditure, incurred in contravention of or that is not in accordance with a requirement of any applicable legislation, including:</w:t>
      </w:r>
    </w:p>
    <w:p w14:paraId="6B6F404E" w14:textId="77777777"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(a)</w:t>
      </w:r>
      <w:r w:rsidRPr="00F533A8">
        <w:rPr>
          <w:rFonts w:ascii="Arial" w:hAnsi="Arial" w:cs="Arial"/>
          <w:sz w:val="24"/>
          <w:szCs w:val="24"/>
        </w:rPr>
        <w:tab/>
        <w:t xml:space="preserve"> this act or</w:t>
      </w:r>
    </w:p>
    <w:p w14:paraId="59121878" w14:textId="77777777"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(b)</w:t>
      </w:r>
      <w:r w:rsidRPr="00F533A8">
        <w:rPr>
          <w:rFonts w:ascii="Arial" w:hAnsi="Arial" w:cs="Arial"/>
          <w:sz w:val="24"/>
          <w:szCs w:val="24"/>
        </w:rPr>
        <w:tab/>
        <w:t>….</w:t>
      </w:r>
    </w:p>
    <w:p w14:paraId="3CECC0B6" w14:textId="6207BB6D"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(c)</w:t>
      </w:r>
      <w:r w:rsidRPr="00F533A8">
        <w:rPr>
          <w:rFonts w:ascii="Arial" w:hAnsi="Arial" w:cs="Arial"/>
          <w:sz w:val="24"/>
          <w:szCs w:val="24"/>
        </w:rPr>
        <w:tab/>
        <w:t>any provincial legislation providing for procurement procedures in that provincial government.</w:t>
      </w:r>
    </w:p>
    <w:p w14:paraId="4BC27A08" w14:textId="5DAE2A46"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i/>
          <w:iCs/>
          <w:sz w:val="24"/>
          <w:szCs w:val="24"/>
        </w:rPr>
        <w:t>Fruitless and wasteful expenditure</w:t>
      </w:r>
      <w:r w:rsidRPr="00F533A8">
        <w:rPr>
          <w:rFonts w:ascii="Arial" w:hAnsi="Arial" w:cs="Arial"/>
          <w:sz w:val="24"/>
          <w:szCs w:val="24"/>
        </w:rPr>
        <w:t xml:space="preserve"> means expenditure which was made in vain and would have been avoided had reasonable care been exercised.</w:t>
      </w:r>
    </w:p>
    <w:p w14:paraId="1A4E3CE1" w14:textId="7DBBB12B"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i/>
          <w:iCs/>
          <w:sz w:val="24"/>
          <w:szCs w:val="24"/>
        </w:rPr>
        <w:t>Unauthorised expenditure</w:t>
      </w:r>
      <w:r w:rsidRPr="00F533A8">
        <w:rPr>
          <w:rFonts w:ascii="Arial" w:hAnsi="Arial" w:cs="Arial"/>
          <w:sz w:val="24"/>
          <w:szCs w:val="24"/>
        </w:rPr>
        <w:t xml:space="preserve"> means:</w:t>
      </w:r>
    </w:p>
    <w:p w14:paraId="468256D5" w14:textId="77777777"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(a)</w:t>
      </w:r>
      <w:r w:rsidRPr="00F533A8">
        <w:rPr>
          <w:rFonts w:ascii="Arial" w:hAnsi="Arial" w:cs="Arial"/>
          <w:sz w:val="24"/>
          <w:szCs w:val="24"/>
        </w:rPr>
        <w:tab/>
        <w:t>over-spending of a vote or a main division within a vote;</w:t>
      </w:r>
    </w:p>
    <w:p w14:paraId="61F10FEA" w14:textId="77777777"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(b)</w:t>
      </w:r>
      <w:r w:rsidRPr="00F533A8">
        <w:rPr>
          <w:rFonts w:ascii="Arial" w:hAnsi="Arial" w:cs="Arial"/>
          <w:sz w:val="24"/>
          <w:szCs w:val="24"/>
        </w:rPr>
        <w:tab/>
        <w:t>expenditure not in accordance with the purpose of a vote or, in the case of a main division, not in accordance with the purpose of the main division.”</w:t>
      </w:r>
    </w:p>
    <w:p w14:paraId="77FC7D3D" w14:textId="77777777" w:rsidR="00773EF7" w:rsidRPr="00F533A8" w:rsidRDefault="00773EF7" w:rsidP="00E212A8">
      <w:pPr>
        <w:tabs>
          <w:tab w:val="left" w:pos="851"/>
        </w:tabs>
        <w:spacing w:line="360" w:lineRule="auto"/>
        <w:jc w:val="both"/>
        <w:rPr>
          <w:rFonts w:ascii="Arial" w:hAnsi="Arial" w:cs="Arial"/>
          <w:sz w:val="24"/>
          <w:szCs w:val="24"/>
        </w:rPr>
      </w:pPr>
    </w:p>
    <w:p w14:paraId="2C5D8951" w14:textId="16982288"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ED6B02" w:rsidRPr="00F533A8">
        <w:rPr>
          <w:rFonts w:ascii="Arial" w:hAnsi="Arial" w:cs="Arial"/>
          <w:sz w:val="24"/>
          <w:szCs w:val="24"/>
        </w:rPr>
        <w:t>29</w:t>
      </w:r>
      <w:r w:rsidRPr="00F533A8">
        <w:rPr>
          <w:rFonts w:ascii="Arial" w:hAnsi="Arial" w:cs="Arial"/>
          <w:sz w:val="24"/>
          <w:szCs w:val="24"/>
        </w:rPr>
        <w:t>]</w:t>
      </w:r>
      <w:r w:rsidRPr="00F533A8">
        <w:rPr>
          <w:rFonts w:ascii="Arial" w:hAnsi="Arial" w:cs="Arial"/>
          <w:sz w:val="24"/>
          <w:szCs w:val="24"/>
        </w:rPr>
        <w:tab/>
        <w:t>Section 45 provides as follows:</w:t>
      </w:r>
    </w:p>
    <w:p w14:paraId="1B69C185" w14:textId="77777777" w:rsidR="00773EF7" w:rsidRPr="00F533A8" w:rsidRDefault="00773EF7" w:rsidP="00E212A8">
      <w:pPr>
        <w:tabs>
          <w:tab w:val="left" w:pos="851"/>
        </w:tabs>
        <w:spacing w:line="360" w:lineRule="auto"/>
        <w:jc w:val="both"/>
        <w:rPr>
          <w:rFonts w:ascii="Arial" w:hAnsi="Arial" w:cs="Arial"/>
          <w:sz w:val="24"/>
          <w:szCs w:val="24"/>
          <w:u w:val="single"/>
        </w:rPr>
      </w:pPr>
      <w:r w:rsidRPr="00F533A8">
        <w:rPr>
          <w:rFonts w:ascii="Arial" w:hAnsi="Arial" w:cs="Arial"/>
          <w:sz w:val="24"/>
          <w:szCs w:val="24"/>
        </w:rPr>
        <w:t>“45.</w:t>
      </w:r>
      <w:r w:rsidRPr="00F533A8">
        <w:rPr>
          <w:rFonts w:ascii="Arial" w:hAnsi="Arial" w:cs="Arial"/>
          <w:sz w:val="24"/>
          <w:szCs w:val="24"/>
        </w:rPr>
        <w:tab/>
      </w:r>
      <w:r w:rsidRPr="00F533A8">
        <w:rPr>
          <w:rFonts w:ascii="Arial" w:hAnsi="Arial" w:cs="Arial"/>
          <w:sz w:val="24"/>
          <w:szCs w:val="24"/>
          <w:u w:val="single"/>
        </w:rPr>
        <w:t>Responsibilities of other officials</w:t>
      </w:r>
    </w:p>
    <w:p w14:paraId="4331BDAB" w14:textId="77777777"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An official in a department, trading entity or constitutional institution-</w:t>
      </w:r>
    </w:p>
    <w:p w14:paraId="2C1404E7" w14:textId="77777777"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(a)</w:t>
      </w:r>
      <w:r w:rsidRPr="00F533A8">
        <w:rPr>
          <w:rFonts w:ascii="Arial" w:hAnsi="Arial" w:cs="Arial"/>
          <w:sz w:val="24"/>
          <w:szCs w:val="24"/>
        </w:rPr>
        <w:tab/>
        <w:t>must ensure that the system of financial management and internal control established for that department, trading entity or constitutional institution is carried out within the area of responsibility of that official;</w:t>
      </w:r>
    </w:p>
    <w:p w14:paraId="632820E4" w14:textId="65FF551D"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(b)</w:t>
      </w:r>
      <w:r w:rsidRPr="00F533A8">
        <w:rPr>
          <w:rFonts w:ascii="Arial" w:hAnsi="Arial" w:cs="Arial"/>
          <w:sz w:val="24"/>
          <w:szCs w:val="24"/>
        </w:rPr>
        <w:tab/>
        <w:t xml:space="preserve">is responsible for the effective, efficient, </w:t>
      </w:r>
      <w:r w:rsidR="008C1523" w:rsidRPr="00F533A8">
        <w:rPr>
          <w:rFonts w:ascii="Arial" w:hAnsi="Arial" w:cs="Arial"/>
          <w:sz w:val="24"/>
          <w:szCs w:val="24"/>
        </w:rPr>
        <w:t>economical,</w:t>
      </w:r>
      <w:r w:rsidRPr="00F533A8">
        <w:rPr>
          <w:rFonts w:ascii="Arial" w:hAnsi="Arial" w:cs="Arial"/>
          <w:sz w:val="24"/>
          <w:szCs w:val="24"/>
        </w:rPr>
        <w:t xml:space="preserve"> and transparent use of financial and other resources within that official's area of responsibility;</w:t>
      </w:r>
    </w:p>
    <w:p w14:paraId="53F357C1" w14:textId="0F712A01"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(c)</w:t>
      </w:r>
      <w:r w:rsidRPr="00F533A8">
        <w:rPr>
          <w:rFonts w:ascii="Arial" w:hAnsi="Arial" w:cs="Arial"/>
          <w:sz w:val="24"/>
          <w:szCs w:val="24"/>
        </w:rPr>
        <w:tab/>
        <w:t xml:space="preserve">must take effective and appropriate steps to prevent, within that official's area of responsibility, any unauthorised expenditure, irregular </w:t>
      </w:r>
      <w:r w:rsidR="008C1523" w:rsidRPr="00F533A8">
        <w:rPr>
          <w:rFonts w:ascii="Arial" w:hAnsi="Arial" w:cs="Arial"/>
          <w:sz w:val="24"/>
          <w:szCs w:val="24"/>
        </w:rPr>
        <w:t>expenditure,</w:t>
      </w:r>
      <w:r w:rsidRPr="00F533A8">
        <w:rPr>
          <w:rFonts w:ascii="Arial" w:hAnsi="Arial" w:cs="Arial"/>
          <w:sz w:val="24"/>
          <w:szCs w:val="24"/>
        </w:rPr>
        <w:t xml:space="preserve"> and fruitless and wasteful expenditure and any under collection of revenue due;</w:t>
      </w:r>
    </w:p>
    <w:p w14:paraId="25709320" w14:textId="77777777"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(d)</w:t>
      </w:r>
      <w:r w:rsidRPr="00F533A8">
        <w:rPr>
          <w:rFonts w:ascii="Arial" w:hAnsi="Arial" w:cs="Arial"/>
          <w:sz w:val="24"/>
          <w:szCs w:val="24"/>
        </w:rPr>
        <w:tab/>
        <w:t>must comply with the provisions of this Act to the extent applicable to that official, including any delegations and instructions in terms of section 44; and</w:t>
      </w:r>
    </w:p>
    <w:p w14:paraId="3DAB0602" w14:textId="77777777"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(e)</w:t>
      </w:r>
      <w:r w:rsidRPr="00F533A8">
        <w:rPr>
          <w:rFonts w:ascii="Arial" w:hAnsi="Arial" w:cs="Arial"/>
          <w:sz w:val="24"/>
          <w:szCs w:val="24"/>
        </w:rPr>
        <w:tab/>
        <w:t>is responsible for the management, including the safeguarding, of the assets and the management of the liabilities within that official's area of responsibility.”</w:t>
      </w:r>
    </w:p>
    <w:p w14:paraId="65124414" w14:textId="77777777" w:rsidR="00773EF7" w:rsidRPr="00F533A8" w:rsidRDefault="00773EF7" w:rsidP="00E212A8">
      <w:pPr>
        <w:tabs>
          <w:tab w:val="left" w:pos="851"/>
        </w:tabs>
        <w:spacing w:line="360" w:lineRule="auto"/>
        <w:jc w:val="both"/>
        <w:rPr>
          <w:rFonts w:ascii="Arial" w:hAnsi="Arial" w:cs="Arial"/>
          <w:sz w:val="24"/>
          <w:szCs w:val="24"/>
        </w:rPr>
      </w:pPr>
    </w:p>
    <w:p w14:paraId="08CAACCE" w14:textId="4702044F"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ED6B02" w:rsidRPr="00F533A8">
        <w:rPr>
          <w:rFonts w:ascii="Arial" w:hAnsi="Arial" w:cs="Arial"/>
          <w:sz w:val="24"/>
          <w:szCs w:val="24"/>
        </w:rPr>
        <w:t>30</w:t>
      </w:r>
      <w:r w:rsidRPr="00F533A8">
        <w:rPr>
          <w:rFonts w:ascii="Arial" w:hAnsi="Arial" w:cs="Arial"/>
          <w:sz w:val="24"/>
          <w:szCs w:val="24"/>
        </w:rPr>
        <w:t>]</w:t>
      </w:r>
      <w:r w:rsidRPr="00F533A8">
        <w:rPr>
          <w:rFonts w:ascii="Arial" w:hAnsi="Arial" w:cs="Arial"/>
          <w:sz w:val="24"/>
          <w:szCs w:val="24"/>
        </w:rPr>
        <w:tab/>
        <w:t>Section 76(4)</w:t>
      </w:r>
      <w:r w:rsidR="00864F4B" w:rsidRPr="00F533A8">
        <w:rPr>
          <w:rFonts w:ascii="Arial" w:hAnsi="Arial" w:cs="Arial"/>
          <w:sz w:val="24"/>
          <w:szCs w:val="24"/>
        </w:rPr>
        <w:t>(c)</w:t>
      </w:r>
      <w:r w:rsidRPr="00F533A8">
        <w:rPr>
          <w:rFonts w:ascii="Arial" w:hAnsi="Arial" w:cs="Arial"/>
          <w:sz w:val="24"/>
          <w:szCs w:val="24"/>
        </w:rPr>
        <w:t xml:space="preserve"> provides as follows:</w:t>
      </w:r>
    </w:p>
    <w:p w14:paraId="6253FFC6" w14:textId="77777777" w:rsidR="00773EF7" w:rsidRPr="00F533A8" w:rsidRDefault="00773EF7" w:rsidP="00E212A8">
      <w:pPr>
        <w:tabs>
          <w:tab w:val="left" w:pos="851"/>
        </w:tabs>
        <w:spacing w:line="360" w:lineRule="auto"/>
        <w:jc w:val="both"/>
        <w:rPr>
          <w:rFonts w:ascii="Arial" w:hAnsi="Arial" w:cs="Arial"/>
          <w:sz w:val="24"/>
          <w:szCs w:val="24"/>
          <w:u w:val="single"/>
        </w:rPr>
      </w:pPr>
      <w:r w:rsidRPr="00F533A8">
        <w:rPr>
          <w:rFonts w:ascii="Arial" w:hAnsi="Arial" w:cs="Arial"/>
          <w:sz w:val="24"/>
          <w:szCs w:val="24"/>
        </w:rPr>
        <w:t>“76</w:t>
      </w:r>
      <w:r w:rsidRPr="00F533A8">
        <w:rPr>
          <w:rFonts w:ascii="Arial" w:hAnsi="Arial" w:cs="Arial"/>
          <w:sz w:val="24"/>
          <w:szCs w:val="24"/>
        </w:rPr>
        <w:tab/>
      </w:r>
      <w:r w:rsidRPr="00F533A8">
        <w:rPr>
          <w:rFonts w:ascii="Arial" w:hAnsi="Arial" w:cs="Arial"/>
          <w:sz w:val="24"/>
          <w:szCs w:val="24"/>
          <w:u w:val="single"/>
        </w:rPr>
        <w:t>Treasury regulations and instructions</w:t>
      </w:r>
    </w:p>
    <w:p w14:paraId="4B883DD3" w14:textId="77777777"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(4)</w:t>
      </w:r>
      <w:r w:rsidRPr="00F533A8">
        <w:rPr>
          <w:rFonts w:ascii="Arial" w:hAnsi="Arial" w:cs="Arial"/>
          <w:sz w:val="24"/>
          <w:szCs w:val="24"/>
        </w:rPr>
        <w:tab/>
        <w:t>The National Treasury may make regulations or issue instructions applicable to all institutions to which this Act applies concerning-</w:t>
      </w:r>
    </w:p>
    <w:p w14:paraId="44B89AE6" w14:textId="77777777"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(a)</w:t>
      </w:r>
      <w:r w:rsidRPr="00F533A8">
        <w:rPr>
          <w:rFonts w:ascii="Arial" w:hAnsi="Arial" w:cs="Arial"/>
          <w:sz w:val="24"/>
          <w:szCs w:val="24"/>
        </w:rPr>
        <w:tab/>
        <w:t>….</w:t>
      </w:r>
    </w:p>
    <w:p w14:paraId="791B3BD3" w14:textId="77777777"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(b)</w:t>
      </w:r>
      <w:r w:rsidRPr="00F533A8">
        <w:rPr>
          <w:rFonts w:ascii="Arial" w:hAnsi="Arial" w:cs="Arial"/>
          <w:sz w:val="24"/>
          <w:szCs w:val="24"/>
        </w:rPr>
        <w:tab/>
        <w:t>….</w:t>
      </w:r>
    </w:p>
    <w:p w14:paraId="24D2F86D" w14:textId="0365347F" w:rsidR="00773EF7" w:rsidRPr="00F533A8" w:rsidRDefault="00ED6B02" w:rsidP="00E212A8">
      <w:pPr>
        <w:tabs>
          <w:tab w:val="left" w:pos="851"/>
        </w:tabs>
        <w:spacing w:line="360" w:lineRule="auto"/>
        <w:jc w:val="both"/>
        <w:rPr>
          <w:rFonts w:ascii="Arial" w:hAnsi="Arial" w:cs="Arial"/>
          <w:sz w:val="24"/>
          <w:szCs w:val="24"/>
        </w:rPr>
      </w:pPr>
      <w:r w:rsidRPr="00F533A8">
        <w:rPr>
          <w:rFonts w:ascii="Arial" w:hAnsi="Arial" w:cs="Arial"/>
          <w:sz w:val="24"/>
          <w:szCs w:val="24"/>
        </w:rPr>
        <w:t>(c)</w:t>
      </w:r>
      <w:r w:rsidRPr="00F533A8">
        <w:rPr>
          <w:rFonts w:ascii="Arial" w:hAnsi="Arial" w:cs="Arial"/>
          <w:sz w:val="24"/>
          <w:szCs w:val="24"/>
        </w:rPr>
        <w:tab/>
      </w:r>
      <w:r w:rsidR="00773EF7" w:rsidRPr="00F533A8">
        <w:rPr>
          <w:rFonts w:ascii="Arial" w:hAnsi="Arial" w:cs="Arial"/>
          <w:sz w:val="24"/>
          <w:szCs w:val="24"/>
        </w:rPr>
        <w:t xml:space="preserve">the determination of a framework for an appropriate procurement and provisioning system which is fair, equitable, transparent, </w:t>
      </w:r>
      <w:r w:rsidR="008C1523" w:rsidRPr="00F533A8">
        <w:rPr>
          <w:rFonts w:ascii="Arial" w:hAnsi="Arial" w:cs="Arial"/>
          <w:sz w:val="24"/>
          <w:szCs w:val="24"/>
        </w:rPr>
        <w:t>competitive,</w:t>
      </w:r>
      <w:r w:rsidR="00773EF7" w:rsidRPr="00F533A8">
        <w:rPr>
          <w:rFonts w:ascii="Arial" w:hAnsi="Arial" w:cs="Arial"/>
          <w:sz w:val="24"/>
          <w:szCs w:val="24"/>
        </w:rPr>
        <w:t xml:space="preserve"> and cost-effective”</w:t>
      </w:r>
    </w:p>
    <w:p w14:paraId="4C91414B" w14:textId="77777777" w:rsidR="00773EF7" w:rsidRPr="00F533A8" w:rsidRDefault="00773EF7" w:rsidP="00E212A8">
      <w:pPr>
        <w:tabs>
          <w:tab w:val="left" w:pos="851"/>
        </w:tabs>
        <w:spacing w:line="360" w:lineRule="auto"/>
        <w:jc w:val="both"/>
        <w:rPr>
          <w:rFonts w:ascii="Arial" w:hAnsi="Arial" w:cs="Arial"/>
          <w:sz w:val="24"/>
          <w:szCs w:val="24"/>
        </w:rPr>
      </w:pPr>
    </w:p>
    <w:p w14:paraId="7B82AFF6" w14:textId="77777777" w:rsidR="00773EF7" w:rsidRPr="00F533A8" w:rsidRDefault="00773EF7" w:rsidP="00E212A8">
      <w:pPr>
        <w:tabs>
          <w:tab w:val="left" w:pos="851"/>
        </w:tabs>
        <w:spacing w:line="360" w:lineRule="auto"/>
        <w:jc w:val="both"/>
        <w:rPr>
          <w:rFonts w:ascii="Arial" w:hAnsi="Arial" w:cs="Arial"/>
          <w:i/>
          <w:iCs/>
          <w:sz w:val="24"/>
          <w:szCs w:val="24"/>
        </w:rPr>
      </w:pPr>
      <w:r w:rsidRPr="00F533A8">
        <w:rPr>
          <w:rFonts w:ascii="Arial" w:hAnsi="Arial" w:cs="Arial"/>
          <w:i/>
          <w:iCs/>
          <w:sz w:val="24"/>
          <w:szCs w:val="24"/>
        </w:rPr>
        <w:t xml:space="preserve">The Preferential Procurement Regulations, 2017 </w:t>
      </w:r>
    </w:p>
    <w:p w14:paraId="13445BFF" w14:textId="77777777" w:rsidR="00ED6B02" w:rsidRPr="00F533A8" w:rsidRDefault="00ED6B02" w:rsidP="00E212A8">
      <w:pPr>
        <w:tabs>
          <w:tab w:val="left" w:pos="851"/>
        </w:tabs>
        <w:spacing w:line="360" w:lineRule="auto"/>
        <w:jc w:val="both"/>
        <w:rPr>
          <w:rFonts w:ascii="Arial" w:hAnsi="Arial" w:cs="Arial"/>
          <w:sz w:val="24"/>
          <w:szCs w:val="24"/>
        </w:rPr>
      </w:pPr>
      <w:r w:rsidRPr="00F533A8">
        <w:rPr>
          <w:rFonts w:ascii="Arial" w:hAnsi="Arial" w:cs="Arial"/>
          <w:sz w:val="24"/>
          <w:szCs w:val="24"/>
        </w:rPr>
        <w:t>[31]</w:t>
      </w:r>
      <w:r w:rsidRPr="00F533A8">
        <w:rPr>
          <w:rFonts w:ascii="Arial" w:hAnsi="Arial" w:cs="Arial"/>
          <w:sz w:val="24"/>
          <w:szCs w:val="24"/>
        </w:rPr>
        <w:tab/>
        <w:t>Item 5 provides as follows:</w:t>
      </w:r>
    </w:p>
    <w:p w14:paraId="5FA568C6" w14:textId="5773DF24" w:rsidR="00773EF7" w:rsidRPr="00F533A8" w:rsidRDefault="00773EF7" w:rsidP="00E212A8">
      <w:pPr>
        <w:tabs>
          <w:tab w:val="left" w:pos="851"/>
        </w:tabs>
        <w:spacing w:line="360" w:lineRule="auto"/>
        <w:jc w:val="both"/>
        <w:rPr>
          <w:rFonts w:ascii="Arial" w:hAnsi="Arial" w:cs="Arial"/>
          <w:sz w:val="24"/>
          <w:szCs w:val="24"/>
          <w:u w:val="single"/>
        </w:rPr>
      </w:pPr>
      <w:r w:rsidRPr="00F533A8">
        <w:rPr>
          <w:rFonts w:ascii="Arial" w:hAnsi="Arial" w:cs="Arial"/>
          <w:i/>
          <w:iCs/>
          <w:sz w:val="24"/>
          <w:szCs w:val="24"/>
        </w:rPr>
        <w:t xml:space="preserve">“5  </w:t>
      </w:r>
      <w:r w:rsidRPr="00F533A8">
        <w:rPr>
          <w:rFonts w:ascii="Arial" w:hAnsi="Arial" w:cs="Arial"/>
          <w:i/>
          <w:iCs/>
          <w:sz w:val="24"/>
          <w:szCs w:val="24"/>
        </w:rPr>
        <w:tab/>
      </w:r>
      <w:r w:rsidRPr="00F533A8">
        <w:rPr>
          <w:rFonts w:ascii="Arial" w:hAnsi="Arial" w:cs="Arial"/>
          <w:sz w:val="24"/>
          <w:szCs w:val="24"/>
          <w:u w:val="single"/>
        </w:rPr>
        <w:t>Tenders to be evaluated on functionality</w:t>
      </w:r>
    </w:p>
    <w:p w14:paraId="67B1703C" w14:textId="77777777"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 xml:space="preserve">(1) </w:t>
      </w:r>
      <w:r w:rsidRPr="00F533A8">
        <w:rPr>
          <w:rFonts w:ascii="Arial" w:hAnsi="Arial" w:cs="Arial"/>
          <w:sz w:val="24"/>
          <w:szCs w:val="24"/>
        </w:rPr>
        <w:tab/>
        <w:t>An organ of state must state in the tender documents if the tender will be evaluated on functionality.</w:t>
      </w:r>
    </w:p>
    <w:p w14:paraId="2BF65342" w14:textId="77777777"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 xml:space="preserve">(2) </w:t>
      </w:r>
      <w:r w:rsidRPr="00F533A8">
        <w:rPr>
          <w:rFonts w:ascii="Arial" w:hAnsi="Arial" w:cs="Arial"/>
          <w:sz w:val="24"/>
          <w:szCs w:val="24"/>
        </w:rPr>
        <w:tab/>
        <w:t>The evaluation criteria for measuring functionality must be objective.</w:t>
      </w:r>
    </w:p>
    <w:p w14:paraId="1A820D45" w14:textId="77777777"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 xml:space="preserve">(3) </w:t>
      </w:r>
      <w:r w:rsidRPr="00F533A8">
        <w:rPr>
          <w:rFonts w:ascii="Arial" w:hAnsi="Arial" w:cs="Arial"/>
          <w:sz w:val="24"/>
          <w:szCs w:val="24"/>
        </w:rPr>
        <w:tab/>
        <w:t>The tender documents must specify-</w:t>
      </w:r>
    </w:p>
    <w:p w14:paraId="67F5F788" w14:textId="77777777"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(a)    the evaluation criteria for measuring functionality;</w:t>
      </w:r>
    </w:p>
    <w:p w14:paraId="6994D051" w14:textId="5C9B8E3A"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 xml:space="preserve">(b)    the points for each criteria and, if any, each </w:t>
      </w:r>
      <w:r w:rsidR="00590510" w:rsidRPr="00F533A8">
        <w:rPr>
          <w:rFonts w:ascii="Arial" w:hAnsi="Arial" w:cs="Arial"/>
          <w:sz w:val="24"/>
          <w:szCs w:val="24"/>
        </w:rPr>
        <w:t>sub criterion</w:t>
      </w:r>
      <w:r w:rsidRPr="00F533A8">
        <w:rPr>
          <w:rFonts w:ascii="Arial" w:hAnsi="Arial" w:cs="Arial"/>
          <w:sz w:val="24"/>
          <w:szCs w:val="24"/>
        </w:rPr>
        <w:t>; and</w:t>
      </w:r>
    </w:p>
    <w:p w14:paraId="216A1E77" w14:textId="49B5A5CD"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(c)    the minimum qualifying score for functionality.”</w:t>
      </w:r>
    </w:p>
    <w:p w14:paraId="7F1F7DC3" w14:textId="77777777" w:rsidR="00773EF7" w:rsidRPr="00F533A8" w:rsidRDefault="00773EF7" w:rsidP="00E212A8">
      <w:pPr>
        <w:tabs>
          <w:tab w:val="left" w:pos="851"/>
        </w:tabs>
        <w:spacing w:line="360" w:lineRule="auto"/>
        <w:jc w:val="both"/>
        <w:rPr>
          <w:rFonts w:ascii="Arial" w:hAnsi="Arial" w:cs="Arial"/>
          <w:sz w:val="24"/>
          <w:szCs w:val="24"/>
        </w:rPr>
      </w:pPr>
    </w:p>
    <w:p w14:paraId="7628AD6E" w14:textId="77777777" w:rsidR="00773EF7" w:rsidRPr="00F533A8" w:rsidRDefault="00773EF7" w:rsidP="00E212A8">
      <w:pPr>
        <w:tabs>
          <w:tab w:val="left" w:pos="851"/>
        </w:tabs>
        <w:spacing w:line="360" w:lineRule="auto"/>
        <w:jc w:val="both"/>
        <w:rPr>
          <w:rFonts w:ascii="Arial" w:hAnsi="Arial" w:cs="Arial"/>
          <w:i/>
          <w:iCs/>
          <w:sz w:val="24"/>
          <w:szCs w:val="24"/>
        </w:rPr>
      </w:pPr>
      <w:r w:rsidRPr="00F533A8">
        <w:rPr>
          <w:rFonts w:ascii="Arial" w:hAnsi="Arial" w:cs="Arial"/>
          <w:i/>
          <w:iCs/>
          <w:sz w:val="24"/>
          <w:szCs w:val="24"/>
        </w:rPr>
        <w:t xml:space="preserve">The Treasury Regulations  </w:t>
      </w:r>
    </w:p>
    <w:p w14:paraId="11923E17" w14:textId="53B2D30B" w:rsidR="00773EF7" w:rsidRPr="00F533A8" w:rsidRDefault="00ED6B02" w:rsidP="00E212A8">
      <w:pPr>
        <w:tabs>
          <w:tab w:val="left" w:pos="851"/>
        </w:tabs>
        <w:spacing w:line="360" w:lineRule="auto"/>
        <w:jc w:val="both"/>
        <w:rPr>
          <w:rFonts w:ascii="Arial" w:hAnsi="Arial" w:cs="Arial"/>
          <w:sz w:val="24"/>
          <w:szCs w:val="24"/>
        </w:rPr>
      </w:pPr>
      <w:r w:rsidRPr="00F533A8">
        <w:rPr>
          <w:rFonts w:ascii="Arial" w:hAnsi="Arial" w:cs="Arial"/>
          <w:sz w:val="24"/>
          <w:szCs w:val="24"/>
        </w:rPr>
        <w:t>[32]</w:t>
      </w:r>
      <w:r w:rsidRPr="00F533A8">
        <w:rPr>
          <w:rFonts w:ascii="Arial" w:hAnsi="Arial" w:cs="Arial"/>
          <w:sz w:val="24"/>
          <w:szCs w:val="24"/>
        </w:rPr>
        <w:tab/>
        <w:t xml:space="preserve">Regulation </w:t>
      </w:r>
      <w:r w:rsidR="00773EF7" w:rsidRPr="00F533A8">
        <w:rPr>
          <w:rFonts w:ascii="Arial" w:hAnsi="Arial" w:cs="Arial"/>
          <w:sz w:val="24"/>
          <w:szCs w:val="24"/>
        </w:rPr>
        <w:t>16A.4</w:t>
      </w:r>
      <w:r w:rsidRPr="00F533A8">
        <w:rPr>
          <w:rFonts w:ascii="Arial" w:hAnsi="Arial" w:cs="Arial"/>
          <w:sz w:val="24"/>
          <w:szCs w:val="24"/>
        </w:rPr>
        <w:t xml:space="preserve"> regulates the e</w:t>
      </w:r>
      <w:r w:rsidR="00773EF7" w:rsidRPr="00F533A8">
        <w:rPr>
          <w:rFonts w:ascii="Arial" w:hAnsi="Arial" w:cs="Arial"/>
          <w:sz w:val="24"/>
          <w:szCs w:val="24"/>
        </w:rPr>
        <w:t>stablishment of supply chain management units</w:t>
      </w:r>
      <w:r w:rsidRPr="00F533A8">
        <w:rPr>
          <w:rFonts w:ascii="Arial" w:hAnsi="Arial" w:cs="Arial"/>
          <w:sz w:val="24"/>
          <w:szCs w:val="24"/>
        </w:rPr>
        <w:t>. It provides as follows:</w:t>
      </w:r>
    </w:p>
    <w:p w14:paraId="3264A5D7" w14:textId="19929FBD" w:rsidR="00773EF7" w:rsidRPr="00F533A8" w:rsidRDefault="00ED6B02"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773EF7" w:rsidRPr="00F533A8">
        <w:rPr>
          <w:rFonts w:ascii="Arial" w:hAnsi="Arial" w:cs="Arial"/>
          <w:sz w:val="24"/>
          <w:szCs w:val="24"/>
        </w:rPr>
        <w:t xml:space="preserve">16A.4.1 </w:t>
      </w:r>
      <w:r w:rsidRPr="00F533A8">
        <w:rPr>
          <w:rFonts w:ascii="Arial" w:hAnsi="Arial" w:cs="Arial"/>
          <w:sz w:val="24"/>
          <w:szCs w:val="24"/>
        </w:rPr>
        <w:t>T</w:t>
      </w:r>
      <w:r w:rsidR="00773EF7" w:rsidRPr="00F533A8">
        <w:rPr>
          <w:rFonts w:ascii="Arial" w:hAnsi="Arial" w:cs="Arial"/>
          <w:sz w:val="24"/>
          <w:szCs w:val="24"/>
        </w:rPr>
        <w:t>he accounting officer or accounting authority must establish a separate supply chain management unit within the office of that institution's chief financial officer, to implement the institution's supply chain management system”</w:t>
      </w:r>
    </w:p>
    <w:p w14:paraId="5A3AE665" w14:textId="77777777" w:rsidR="00773EF7" w:rsidRPr="00F533A8" w:rsidRDefault="00773EF7" w:rsidP="00E212A8">
      <w:pPr>
        <w:tabs>
          <w:tab w:val="left" w:pos="851"/>
        </w:tabs>
        <w:spacing w:line="360" w:lineRule="auto"/>
        <w:jc w:val="both"/>
        <w:rPr>
          <w:rFonts w:ascii="Arial" w:hAnsi="Arial" w:cs="Arial"/>
          <w:sz w:val="24"/>
          <w:szCs w:val="24"/>
        </w:rPr>
      </w:pPr>
    </w:p>
    <w:p w14:paraId="20A5A0DC" w14:textId="77777777" w:rsidR="00773EF7" w:rsidRPr="00F533A8" w:rsidRDefault="00773EF7" w:rsidP="00E212A8">
      <w:pPr>
        <w:tabs>
          <w:tab w:val="left" w:pos="851"/>
        </w:tabs>
        <w:spacing w:line="360" w:lineRule="auto"/>
        <w:jc w:val="both"/>
        <w:rPr>
          <w:rFonts w:ascii="Arial" w:hAnsi="Arial" w:cs="Arial"/>
          <w:i/>
          <w:iCs/>
          <w:sz w:val="24"/>
          <w:szCs w:val="24"/>
        </w:rPr>
      </w:pPr>
      <w:r w:rsidRPr="00F533A8">
        <w:rPr>
          <w:rFonts w:ascii="Arial" w:hAnsi="Arial" w:cs="Arial"/>
          <w:i/>
          <w:iCs/>
          <w:sz w:val="24"/>
          <w:szCs w:val="24"/>
        </w:rPr>
        <w:t xml:space="preserve">The KZN DoT Supply Chain Management Policy  </w:t>
      </w:r>
    </w:p>
    <w:p w14:paraId="1083FD13" w14:textId="4E3F547A" w:rsidR="00773EF7" w:rsidRPr="00F533A8" w:rsidRDefault="00ED6B02" w:rsidP="00E212A8">
      <w:pPr>
        <w:tabs>
          <w:tab w:val="left" w:pos="851"/>
        </w:tabs>
        <w:spacing w:line="360" w:lineRule="auto"/>
        <w:jc w:val="both"/>
        <w:rPr>
          <w:rFonts w:ascii="Arial" w:hAnsi="Arial" w:cs="Arial"/>
          <w:sz w:val="24"/>
          <w:szCs w:val="24"/>
        </w:rPr>
      </w:pPr>
      <w:r w:rsidRPr="00F533A8">
        <w:rPr>
          <w:rFonts w:ascii="Arial" w:hAnsi="Arial" w:cs="Arial"/>
          <w:sz w:val="24"/>
          <w:szCs w:val="24"/>
        </w:rPr>
        <w:t>[33]</w:t>
      </w:r>
      <w:r w:rsidRPr="00F533A8">
        <w:rPr>
          <w:rFonts w:ascii="Arial" w:hAnsi="Arial" w:cs="Arial"/>
          <w:sz w:val="24"/>
          <w:szCs w:val="24"/>
        </w:rPr>
        <w:tab/>
        <w:t xml:space="preserve">Item 15 deal with bid specifications. It provides as follows: </w:t>
      </w:r>
    </w:p>
    <w:p w14:paraId="7B600418" w14:textId="2C590094" w:rsidR="00864F4B" w:rsidRPr="00F533A8" w:rsidRDefault="00864F4B" w:rsidP="00E212A8">
      <w:pPr>
        <w:tabs>
          <w:tab w:val="left" w:pos="851"/>
        </w:tabs>
        <w:spacing w:line="360" w:lineRule="auto"/>
        <w:jc w:val="both"/>
        <w:rPr>
          <w:rFonts w:ascii="Arial" w:hAnsi="Arial" w:cs="Arial"/>
          <w:sz w:val="24"/>
          <w:szCs w:val="24"/>
          <w:u w:val="single"/>
        </w:rPr>
      </w:pPr>
      <w:r w:rsidRPr="00F533A8">
        <w:rPr>
          <w:rFonts w:ascii="Arial" w:hAnsi="Arial" w:cs="Arial"/>
          <w:sz w:val="24"/>
          <w:szCs w:val="24"/>
        </w:rPr>
        <w:t xml:space="preserve">“15. </w:t>
      </w:r>
      <w:r w:rsidRPr="00F533A8">
        <w:rPr>
          <w:rFonts w:ascii="Arial" w:hAnsi="Arial" w:cs="Arial"/>
          <w:sz w:val="24"/>
          <w:szCs w:val="24"/>
          <w:u w:val="single"/>
        </w:rPr>
        <w:t>Specifications:</w:t>
      </w:r>
    </w:p>
    <w:p w14:paraId="6E71D3B0" w14:textId="285F32DF"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1</w:t>
      </w:r>
      <w:r w:rsidR="00ED6B02" w:rsidRPr="00F533A8">
        <w:rPr>
          <w:rFonts w:ascii="Arial" w:hAnsi="Arial" w:cs="Arial"/>
          <w:sz w:val="24"/>
          <w:szCs w:val="24"/>
        </w:rPr>
        <w:t>5.1</w:t>
      </w:r>
      <w:r w:rsidR="00ED6B02" w:rsidRPr="00F533A8">
        <w:rPr>
          <w:rFonts w:ascii="Arial" w:hAnsi="Arial" w:cs="Arial"/>
          <w:sz w:val="24"/>
          <w:szCs w:val="24"/>
        </w:rPr>
        <w:tab/>
      </w:r>
      <w:r w:rsidRPr="00F533A8">
        <w:rPr>
          <w:rFonts w:ascii="Arial" w:hAnsi="Arial" w:cs="Arial"/>
          <w:sz w:val="24"/>
          <w:szCs w:val="24"/>
        </w:rPr>
        <w:t>must be drafted in an unbiased manner to allow all potential suppliers to offer their goods or services</w:t>
      </w:r>
      <w:r w:rsidR="00864F4B" w:rsidRPr="00F533A8">
        <w:rPr>
          <w:rFonts w:ascii="Arial" w:hAnsi="Arial" w:cs="Arial"/>
          <w:sz w:val="24"/>
          <w:szCs w:val="24"/>
        </w:rPr>
        <w:t>.</w:t>
      </w:r>
    </w:p>
    <w:p w14:paraId="7B5BBD8D" w14:textId="56AC39B6"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15.2</w:t>
      </w:r>
      <w:r w:rsidRPr="00F533A8">
        <w:rPr>
          <w:rFonts w:ascii="Arial" w:hAnsi="Arial" w:cs="Arial"/>
          <w:sz w:val="24"/>
          <w:szCs w:val="24"/>
        </w:rPr>
        <w:tab/>
        <w:t xml:space="preserve">must </w:t>
      </w:r>
      <w:r w:rsidR="008C1523" w:rsidRPr="00F533A8">
        <w:rPr>
          <w:rFonts w:ascii="Arial" w:hAnsi="Arial" w:cs="Arial"/>
          <w:sz w:val="24"/>
          <w:szCs w:val="24"/>
        </w:rPr>
        <w:t>consider</w:t>
      </w:r>
      <w:r w:rsidRPr="00F533A8">
        <w:rPr>
          <w:rFonts w:ascii="Arial" w:hAnsi="Arial" w:cs="Arial"/>
          <w:sz w:val="24"/>
          <w:szCs w:val="24"/>
        </w:rPr>
        <w:t xml:space="preserve"> any accepted standards such as those issued by Standards South Africa, the International Standards Organisation, or an authority accredited or recognised by the South African National Accreditation System with which the equipment or material or workmanship should comply</w:t>
      </w:r>
      <w:r w:rsidR="00864F4B" w:rsidRPr="00F533A8">
        <w:rPr>
          <w:rFonts w:ascii="Arial" w:hAnsi="Arial" w:cs="Arial"/>
          <w:sz w:val="24"/>
          <w:szCs w:val="24"/>
        </w:rPr>
        <w:t>.</w:t>
      </w:r>
    </w:p>
    <w:p w14:paraId="00133F57" w14:textId="558E839C" w:rsidR="00ED6B02"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15.3</w:t>
      </w:r>
      <w:r w:rsidRPr="00F533A8">
        <w:rPr>
          <w:rFonts w:ascii="Arial" w:hAnsi="Arial" w:cs="Arial"/>
          <w:sz w:val="24"/>
          <w:szCs w:val="24"/>
        </w:rPr>
        <w:tab/>
        <w:t>must, where possible, be described in terms of performance required rather than in terms of descriptive characteristics for design</w:t>
      </w:r>
      <w:r w:rsidR="00864F4B" w:rsidRPr="00F533A8">
        <w:rPr>
          <w:rFonts w:ascii="Arial" w:hAnsi="Arial" w:cs="Arial"/>
          <w:sz w:val="24"/>
          <w:szCs w:val="24"/>
        </w:rPr>
        <w:t>.</w:t>
      </w:r>
    </w:p>
    <w:p w14:paraId="5A1AA43A" w14:textId="282ED183"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15.4</w:t>
      </w:r>
      <w:r w:rsidRPr="00F533A8">
        <w:rPr>
          <w:rFonts w:ascii="Arial" w:hAnsi="Arial" w:cs="Arial"/>
          <w:sz w:val="24"/>
          <w:szCs w:val="24"/>
        </w:rPr>
        <w:tab/>
        <w:t xml:space="preserve">may not create trade barriers in contract requirements in the forms of specifications, plans, drawings, designs, testing and test methods, packaging, </w:t>
      </w:r>
      <w:r w:rsidR="008C1523" w:rsidRPr="00F533A8">
        <w:rPr>
          <w:rFonts w:ascii="Arial" w:hAnsi="Arial" w:cs="Arial"/>
          <w:sz w:val="24"/>
          <w:szCs w:val="24"/>
        </w:rPr>
        <w:t>marking,</w:t>
      </w:r>
      <w:r w:rsidRPr="00F533A8">
        <w:rPr>
          <w:rFonts w:ascii="Arial" w:hAnsi="Arial" w:cs="Arial"/>
          <w:sz w:val="24"/>
          <w:szCs w:val="24"/>
        </w:rPr>
        <w:t xml:space="preserve"> or </w:t>
      </w:r>
      <w:r w:rsidR="00864F4B" w:rsidRPr="00F533A8">
        <w:rPr>
          <w:rFonts w:ascii="Arial" w:hAnsi="Arial" w:cs="Arial"/>
          <w:sz w:val="24"/>
          <w:szCs w:val="24"/>
        </w:rPr>
        <w:t>labelling</w:t>
      </w:r>
      <w:r w:rsidRPr="00F533A8">
        <w:rPr>
          <w:rFonts w:ascii="Arial" w:hAnsi="Arial" w:cs="Arial"/>
          <w:sz w:val="24"/>
          <w:szCs w:val="24"/>
        </w:rPr>
        <w:t xml:space="preserve"> of conformity </w:t>
      </w:r>
      <w:r w:rsidR="00864F4B" w:rsidRPr="00F533A8">
        <w:rPr>
          <w:rFonts w:ascii="Arial" w:hAnsi="Arial" w:cs="Arial"/>
          <w:sz w:val="24"/>
          <w:szCs w:val="24"/>
        </w:rPr>
        <w:t>certification.</w:t>
      </w:r>
    </w:p>
    <w:p w14:paraId="6E8B53A1" w14:textId="6641021F"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15.5</w:t>
      </w:r>
      <w:r w:rsidRPr="00F533A8">
        <w:rPr>
          <w:rFonts w:ascii="Arial" w:hAnsi="Arial" w:cs="Arial"/>
          <w:sz w:val="24"/>
          <w:szCs w:val="24"/>
        </w:rPr>
        <w:tab/>
        <w:t xml:space="preserve">may not </w:t>
      </w:r>
      <w:r w:rsidR="008C1523" w:rsidRPr="00F533A8">
        <w:rPr>
          <w:rFonts w:ascii="Arial" w:hAnsi="Arial" w:cs="Arial"/>
          <w:sz w:val="24"/>
          <w:szCs w:val="24"/>
        </w:rPr>
        <w:t>refer</w:t>
      </w:r>
      <w:r w:rsidRPr="00F533A8">
        <w:rPr>
          <w:rFonts w:ascii="Arial" w:hAnsi="Arial" w:cs="Arial"/>
          <w:sz w:val="24"/>
          <w:szCs w:val="24"/>
        </w:rPr>
        <w:t xml:space="preserve"> to any particular </w:t>
      </w:r>
      <w:r w:rsidR="00590510" w:rsidRPr="00F533A8">
        <w:rPr>
          <w:rFonts w:ascii="Arial" w:hAnsi="Arial" w:cs="Arial"/>
          <w:sz w:val="24"/>
          <w:szCs w:val="24"/>
        </w:rPr>
        <w:t>trademark</w:t>
      </w:r>
      <w:r w:rsidRPr="00F533A8">
        <w:rPr>
          <w:rFonts w:ascii="Arial" w:hAnsi="Arial" w:cs="Arial"/>
          <w:sz w:val="24"/>
          <w:szCs w:val="24"/>
        </w:rPr>
        <w:t xml:space="preserve">, name, patent, design, type, specific </w:t>
      </w:r>
      <w:r w:rsidR="008C1523" w:rsidRPr="00F533A8">
        <w:rPr>
          <w:rFonts w:ascii="Arial" w:hAnsi="Arial" w:cs="Arial"/>
          <w:sz w:val="24"/>
          <w:szCs w:val="24"/>
        </w:rPr>
        <w:t>origin,</w:t>
      </w:r>
      <w:r w:rsidRPr="00F533A8">
        <w:rPr>
          <w:rFonts w:ascii="Arial" w:hAnsi="Arial" w:cs="Arial"/>
          <w:sz w:val="24"/>
          <w:szCs w:val="24"/>
        </w:rPr>
        <w:t xml:space="preserve"> or producer unless there is no other sufficiently precise or intelligible way of describing the characteristics of the work, in which case such reference must be accompanied by the word "equivalent"</w:t>
      </w:r>
      <w:r w:rsidR="00864F4B" w:rsidRPr="00F533A8">
        <w:rPr>
          <w:rFonts w:ascii="Arial" w:hAnsi="Arial" w:cs="Arial"/>
          <w:sz w:val="24"/>
          <w:szCs w:val="24"/>
        </w:rPr>
        <w:t>.</w:t>
      </w:r>
    </w:p>
    <w:p w14:paraId="0A82F781" w14:textId="1CB4AB76"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15.6</w:t>
      </w:r>
      <w:r w:rsidRPr="00F533A8">
        <w:rPr>
          <w:rFonts w:ascii="Arial" w:hAnsi="Arial" w:cs="Arial"/>
          <w:sz w:val="24"/>
          <w:szCs w:val="24"/>
        </w:rPr>
        <w:tab/>
        <w:t>must indicate functionality criteria (where required) and the PPPFA points system to be utilised; and</w:t>
      </w:r>
    </w:p>
    <w:p w14:paraId="704CBB96" w14:textId="6253798C" w:rsidR="00773EF7"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15.7</w:t>
      </w:r>
      <w:r w:rsidRPr="00F533A8">
        <w:rPr>
          <w:rFonts w:ascii="Arial" w:hAnsi="Arial" w:cs="Arial"/>
          <w:sz w:val="24"/>
          <w:szCs w:val="24"/>
        </w:rPr>
        <w:tab/>
        <w:t>must be approved by the SSC and SAC In terms of the General Delegations of Authority prior to publication of the invitation for bids.”</w:t>
      </w:r>
    </w:p>
    <w:p w14:paraId="6A2E7928" w14:textId="77777777" w:rsidR="00864F4B" w:rsidRPr="00F533A8" w:rsidRDefault="00864F4B" w:rsidP="00E212A8">
      <w:pPr>
        <w:tabs>
          <w:tab w:val="left" w:pos="851"/>
        </w:tabs>
        <w:spacing w:line="360" w:lineRule="auto"/>
        <w:jc w:val="both"/>
        <w:rPr>
          <w:rFonts w:ascii="Arial" w:hAnsi="Arial" w:cs="Arial"/>
          <w:sz w:val="24"/>
          <w:szCs w:val="24"/>
        </w:rPr>
      </w:pPr>
    </w:p>
    <w:p w14:paraId="4AC55F0E" w14:textId="13EAE2F4" w:rsidR="00773EF7" w:rsidRPr="00F533A8" w:rsidRDefault="00864F4B" w:rsidP="00E212A8">
      <w:pPr>
        <w:tabs>
          <w:tab w:val="left" w:pos="851"/>
        </w:tabs>
        <w:spacing w:line="360" w:lineRule="auto"/>
        <w:jc w:val="both"/>
        <w:rPr>
          <w:rFonts w:ascii="Arial" w:hAnsi="Arial" w:cs="Arial"/>
          <w:i/>
          <w:iCs/>
          <w:sz w:val="24"/>
          <w:szCs w:val="24"/>
        </w:rPr>
      </w:pPr>
      <w:r w:rsidRPr="00F533A8">
        <w:rPr>
          <w:rFonts w:ascii="Arial" w:hAnsi="Arial" w:cs="Arial"/>
          <w:i/>
          <w:iCs/>
          <w:sz w:val="24"/>
          <w:szCs w:val="24"/>
        </w:rPr>
        <w:t>National Treasury Guidelines and Practice Notes</w:t>
      </w:r>
    </w:p>
    <w:p w14:paraId="42517302" w14:textId="77777777" w:rsidR="00864F4B" w:rsidRPr="00F533A8" w:rsidRDefault="00773EF7"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864F4B" w:rsidRPr="00F533A8">
        <w:rPr>
          <w:rFonts w:ascii="Arial" w:hAnsi="Arial" w:cs="Arial"/>
          <w:sz w:val="24"/>
          <w:szCs w:val="24"/>
        </w:rPr>
        <w:t>34</w:t>
      </w:r>
      <w:r w:rsidRPr="00F533A8">
        <w:rPr>
          <w:rFonts w:ascii="Arial" w:hAnsi="Arial" w:cs="Arial"/>
          <w:sz w:val="24"/>
          <w:szCs w:val="24"/>
        </w:rPr>
        <w:t>]</w:t>
      </w:r>
      <w:r w:rsidRPr="00F533A8">
        <w:rPr>
          <w:rFonts w:ascii="Arial" w:hAnsi="Arial" w:cs="Arial"/>
          <w:sz w:val="24"/>
          <w:szCs w:val="24"/>
        </w:rPr>
        <w:tab/>
        <w:t xml:space="preserve">The SIU also relies on various National Treasury Guidelines and Practice Notes. Given the basis on which I determine the review application, save for the General Procurement Guidelines, I do not consider it necessary to delve into these. </w:t>
      </w:r>
    </w:p>
    <w:p w14:paraId="61879AF1" w14:textId="77777777" w:rsidR="00864F4B" w:rsidRPr="00F533A8" w:rsidRDefault="00864F4B" w:rsidP="00E212A8">
      <w:pPr>
        <w:tabs>
          <w:tab w:val="left" w:pos="851"/>
        </w:tabs>
        <w:spacing w:line="360" w:lineRule="auto"/>
        <w:jc w:val="both"/>
        <w:rPr>
          <w:rFonts w:ascii="Arial" w:hAnsi="Arial" w:cs="Arial"/>
          <w:sz w:val="24"/>
          <w:szCs w:val="24"/>
        </w:rPr>
      </w:pPr>
    </w:p>
    <w:p w14:paraId="10DC75C7" w14:textId="0BB69C62" w:rsidR="00773EF7" w:rsidRPr="00F533A8" w:rsidRDefault="00864F4B" w:rsidP="00E212A8">
      <w:pPr>
        <w:tabs>
          <w:tab w:val="left" w:pos="851"/>
        </w:tabs>
        <w:spacing w:line="360" w:lineRule="auto"/>
        <w:jc w:val="both"/>
        <w:rPr>
          <w:rFonts w:ascii="Arial" w:hAnsi="Arial" w:cs="Arial"/>
          <w:sz w:val="24"/>
          <w:szCs w:val="24"/>
        </w:rPr>
      </w:pPr>
      <w:r w:rsidRPr="00F533A8">
        <w:rPr>
          <w:rFonts w:ascii="Arial" w:hAnsi="Arial" w:cs="Arial"/>
          <w:sz w:val="24"/>
          <w:szCs w:val="24"/>
        </w:rPr>
        <w:t>[35]</w:t>
      </w:r>
      <w:r w:rsidRPr="00F533A8">
        <w:rPr>
          <w:rFonts w:ascii="Arial" w:hAnsi="Arial" w:cs="Arial"/>
          <w:sz w:val="24"/>
          <w:szCs w:val="24"/>
        </w:rPr>
        <w:tab/>
      </w:r>
      <w:r w:rsidR="00773EF7" w:rsidRPr="00F533A8">
        <w:rPr>
          <w:rFonts w:ascii="Arial" w:hAnsi="Arial" w:cs="Arial"/>
          <w:sz w:val="24"/>
          <w:szCs w:val="24"/>
        </w:rPr>
        <w:t xml:space="preserve">The General Procurement Guidelines stipulate five (5) pillars of procurement namely: </w:t>
      </w:r>
    </w:p>
    <w:p w14:paraId="1643492D" w14:textId="6594B3C8" w:rsidR="00773EF7" w:rsidRPr="00F533A8" w:rsidRDefault="00864F4B" w:rsidP="00E212A8">
      <w:pPr>
        <w:tabs>
          <w:tab w:val="left" w:pos="851"/>
        </w:tabs>
        <w:spacing w:line="360" w:lineRule="auto"/>
        <w:jc w:val="both"/>
        <w:rPr>
          <w:rFonts w:ascii="Arial" w:hAnsi="Arial" w:cs="Arial"/>
          <w:sz w:val="24"/>
          <w:szCs w:val="24"/>
        </w:rPr>
      </w:pPr>
      <w:r w:rsidRPr="00F533A8">
        <w:rPr>
          <w:rFonts w:ascii="Arial" w:hAnsi="Arial" w:cs="Arial"/>
          <w:sz w:val="24"/>
          <w:szCs w:val="24"/>
        </w:rPr>
        <w:t>35.1</w:t>
      </w:r>
      <w:r w:rsidRPr="00F533A8">
        <w:rPr>
          <w:rFonts w:ascii="Arial" w:hAnsi="Arial" w:cs="Arial"/>
          <w:sz w:val="24"/>
          <w:szCs w:val="24"/>
        </w:rPr>
        <w:tab/>
      </w:r>
      <w:r w:rsidR="00773EF7" w:rsidRPr="00F533A8">
        <w:rPr>
          <w:rFonts w:ascii="Arial" w:hAnsi="Arial" w:cs="Arial"/>
          <w:sz w:val="24"/>
          <w:szCs w:val="24"/>
        </w:rPr>
        <w:t>value for money:</w:t>
      </w:r>
    </w:p>
    <w:p w14:paraId="300F4173" w14:textId="77777777" w:rsidR="00864F4B" w:rsidRPr="00F533A8" w:rsidRDefault="00864F4B" w:rsidP="00E212A8">
      <w:pPr>
        <w:tabs>
          <w:tab w:val="left" w:pos="851"/>
        </w:tabs>
        <w:spacing w:line="360" w:lineRule="auto"/>
        <w:jc w:val="both"/>
        <w:rPr>
          <w:rFonts w:ascii="Arial" w:hAnsi="Arial" w:cs="Arial"/>
          <w:sz w:val="24"/>
          <w:szCs w:val="24"/>
        </w:rPr>
      </w:pPr>
      <w:r w:rsidRPr="00F533A8">
        <w:rPr>
          <w:rFonts w:ascii="Arial" w:hAnsi="Arial" w:cs="Arial"/>
          <w:sz w:val="24"/>
          <w:szCs w:val="24"/>
        </w:rPr>
        <w:t>35.1.1</w:t>
      </w:r>
      <w:r w:rsidRPr="00F533A8">
        <w:rPr>
          <w:rFonts w:ascii="Arial" w:hAnsi="Arial" w:cs="Arial"/>
          <w:sz w:val="24"/>
          <w:szCs w:val="24"/>
        </w:rPr>
        <w:tab/>
        <w:t>T</w:t>
      </w:r>
      <w:r w:rsidR="00773EF7" w:rsidRPr="00F533A8">
        <w:rPr>
          <w:rFonts w:ascii="Arial" w:hAnsi="Arial" w:cs="Arial"/>
          <w:sz w:val="24"/>
          <w:szCs w:val="24"/>
        </w:rPr>
        <w:t>his is an essential test against which a department must justify a procurement outcome.  Price alone is often not a reliable indicator and departments will not necessarily obtain the best value for money by accepting the lowest price offer that meets mandatory requirements.  Best value for money means the best available outcome when all relevant costs and benefits over the procurement cycle are considered.</w:t>
      </w:r>
    </w:p>
    <w:p w14:paraId="1E6EEC5C" w14:textId="0C664DA2" w:rsidR="00773EF7" w:rsidRPr="00F533A8" w:rsidRDefault="00864F4B" w:rsidP="00E212A8">
      <w:pPr>
        <w:tabs>
          <w:tab w:val="left" w:pos="851"/>
        </w:tabs>
        <w:spacing w:line="360" w:lineRule="auto"/>
        <w:jc w:val="both"/>
        <w:rPr>
          <w:rFonts w:ascii="Arial" w:hAnsi="Arial" w:cs="Arial"/>
          <w:sz w:val="24"/>
          <w:szCs w:val="24"/>
        </w:rPr>
      </w:pPr>
      <w:r w:rsidRPr="00F533A8">
        <w:rPr>
          <w:rFonts w:ascii="Arial" w:hAnsi="Arial" w:cs="Arial"/>
          <w:sz w:val="24"/>
          <w:szCs w:val="24"/>
        </w:rPr>
        <w:t>35.1.2</w:t>
      </w:r>
      <w:r w:rsidRPr="00F533A8">
        <w:rPr>
          <w:rFonts w:ascii="Arial" w:hAnsi="Arial" w:cs="Arial"/>
          <w:sz w:val="24"/>
          <w:szCs w:val="24"/>
        </w:rPr>
        <w:tab/>
      </w:r>
      <w:r w:rsidR="00773EF7" w:rsidRPr="00F533A8">
        <w:rPr>
          <w:rFonts w:ascii="Arial" w:hAnsi="Arial" w:cs="Arial"/>
          <w:sz w:val="24"/>
          <w:szCs w:val="24"/>
        </w:rPr>
        <w:t>The procurement function itself must also provide value for money and must be carried out in a cost-effective way.  Procurement organisations, whether centrally located or devolved to individual departments, should:</w:t>
      </w:r>
    </w:p>
    <w:p w14:paraId="4488C7AD" w14:textId="07FA92D5" w:rsidR="00773EF7" w:rsidRPr="00F533A8" w:rsidRDefault="00864F4B" w:rsidP="00E212A8">
      <w:pPr>
        <w:tabs>
          <w:tab w:val="left" w:pos="851"/>
        </w:tabs>
        <w:spacing w:line="360" w:lineRule="auto"/>
        <w:jc w:val="both"/>
        <w:rPr>
          <w:rFonts w:ascii="Arial" w:hAnsi="Arial" w:cs="Arial"/>
          <w:sz w:val="24"/>
          <w:szCs w:val="24"/>
        </w:rPr>
      </w:pPr>
      <w:r w:rsidRPr="00F533A8">
        <w:rPr>
          <w:rFonts w:ascii="Arial" w:hAnsi="Arial" w:cs="Arial"/>
          <w:sz w:val="24"/>
          <w:szCs w:val="24"/>
        </w:rPr>
        <w:t>(a)</w:t>
      </w:r>
      <w:r w:rsidRPr="00F533A8">
        <w:rPr>
          <w:rFonts w:ascii="Arial" w:hAnsi="Arial" w:cs="Arial"/>
          <w:sz w:val="24"/>
          <w:szCs w:val="24"/>
        </w:rPr>
        <w:tab/>
      </w:r>
      <w:r w:rsidR="00773EF7" w:rsidRPr="00F533A8">
        <w:rPr>
          <w:rFonts w:ascii="Arial" w:hAnsi="Arial" w:cs="Arial"/>
          <w:sz w:val="24"/>
          <w:szCs w:val="24"/>
        </w:rPr>
        <w:t>avoid any unnecessary costs and delays for themselves or suppliers;</w:t>
      </w:r>
    </w:p>
    <w:p w14:paraId="4E6118CE" w14:textId="6B2CF956" w:rsidR="00773EF7" w:rsidRPr="00F533A8" w:rsidRDefault="00864F4B" w:rsidP="00E212A8">
      <w:pPr>
        <w:tabs>
          <w:tab w:val="left" w:pos="851"/>
        </w:tabs>
        <w:spacing w:line="360" w:lineRule="auto"/>
        <w:jc w:val="both"/>
        <w:rPr>
          <w:rFonts w:ascii="Arial" w:hAnsi="Arial" w:cs="Arial"/>
          <w:sz w:val="24"/>
          <w:szCs w:val="24"/>
        </w:rPr>
      </w:pPr>
      <w:r w:rsidRPr="00F533A8">
        <w:rPr>
          <w:rFonts w:ascii="Arial" w:hAnsi="Arial" w:cs="Arial"/>
          <w:sz w:val="24"/>
          <w:szCs w:val="24"/>
        </w:rPr>
        <w:t>(b)</w:t>
      </w:r>
      <w:r w:rsidRPr="00F533A8">
        <w:rPr>
          <w:rFonts w:ascii="Arial" w:hAnsi="Arial" w:cs="Arial"/>
          <w:sz w:val="24"/>
          <w:szCs w:val="24"/>
        </w:rPr>
        <w:tab/>
      </w:r>
      <w:r w:rsidR="00773EF7" w:rsidRPr="00F533A8">
        <w:rPr>
          <w:rFonts w:ascii="Arial" w:hAnsi="Arial" w:cs="Arial"/>
          <w:sz w:val="24"/>
          <w:szCs w:val="24"/>
        </w:rPr>
        <w:t>monitor the supply arrangements and reconsider them if they cease to provide the expected benefits; and</w:t>
      </w:r>
    </w:p>
    <w:p w14:paraId="7E017252" w14:textId="5231F1C2" w:rsidR="00773EF7" w:rsidRPr="00F533A8" w:rsidRDefault="00864F4B" w:rsidP="00E212A8">
      <w:pPr>
        <w:tabs>
          <w:tab w:val="left" w:pos="851"/>
        </w:tabs>
        <w:spacing w:line="360" w:lineRule="auto"/>
        <w:jc w:val="both"/>
        <w:rPr>
          <w:rFonts w:ascii="Arial" w:hAnsi="Arial" w:cs="Arial"/>
          <w:sz w:val="24"/>
          <w:szCs w:val="24"/>
        </w:rPr>
      </w:pPr>
      <w:r w:rsidRPr="00F533A8">
        <w:rPr>
          <w:rFonts w:ascii="Arial" w:hAnsi="Arial" w:cs="Arial"/>
          <w:sz w:val="24"/>
          <w:szCs w:val="24"/>
        </w:rPr>
        <w:t>(c)</w:t>
      </w:r>
      <w:r w:rsidRPr="00F533A8">
        <w:rPr>
          <w:rFonts w:ascii="Arial" w:hAnsi="Arial" w:cs="Arial"/>
          <w:sz w:val="24"/>
          <w:szCs w:val="24"/>
        </w:rPr>
        <w:tab/>
      </w:r>
      <w:r w:rsidR="00773EF7" w:rsidRPr="00F533A8">
        <w:rPr>
          <w:rFonts w:ascii="Arial" w:hAnsi="Arial" w:cs="Arial"/>
          <w:sz w:val="24"/>
          <w:szCs w:val="24"/>
        </w:rPr>
        <w:t>ensure continuous improvement in the efficiency of internal processes and systems.</w:t>
      </w:r>
    </w:p>
    <w:p w14:paraId="4145D74D" w14:textId="6C092757" w:rsidR="00773EF7" w:rsidRPr="00F533A8" w:rsidRDefault="00864F4B" w:rsidP="00E212A8">
      <w:pPr>
        <w:tabs>
          <w:tab w:val="left" w:pos="851"/>
        </w:tabs>
        <w:spacing w:line="360" w:lineRule="auto"/>
        <w:jc w:val="both"/>
        <w:rPr>
          <w:rFonts w:ascii="Arial" w:hAnsi="Arial" w:cs="Arial"/>
          <w:sz w:val="24"/>
          <w:szCs w:val="24"/>
        </w:rPr>
      </w:pPr>
      <w:r w:rsidRPr="00F533A8">
        <w:rPr>
          <w:rFonts w:ascii="Arial" w:hAnsi="Arial" w:cs="Arial"/>
          <w:sz w:val="24"/>
          <w:szCs w:val="24"/>
        </w:rPr>
        <w:t>35.1.3</w:t>
      </w:r>
      <w:r w:rsidRPr="00F533A8">
        <w:rPr>
          <w:rFonts w:ascii="Arial" w:hAnsi="Arial" w:cs="Arial"/>
          <w:sz w:val="24"/>
          <w:szCs w:val="24"/>
        </w:rPr>
        <w:tab/>
      </w:r>
      <w:r w:rsidR="00773EF7" w:rsidRPr="00F533A8">
        <w:rPr>
          <w:rFonts w:ascii="Arial" w:hAnsi="Arial" w:cs="Arial"/>
          <w:sz w:val="24"/>
          <w:szCs w:val="24"/>
        </w:rPr>
        <w:t>open and effective competition;</w:t>
      </w:r>
    </w:p>
    <w:p w14:paraId="49C9690E" w14:textId="6B641CA1" w:rsidR="00773EF7" w:rsidRPr="00F533A8" w:rsidRDefault="00864F4B" w:rsidP="00E212A8">
      <w:pPr>
        <w:tabs>
          <w:tab w:val="left" w:pos="851"/>
        </w:tabs>
        <w:spacing w:line="360" w:lineRule="auto"/>
        <w:jc w:val="both"/>
        <w:rPr>
          <w:rFonts w:ascii="Arial" w:hAnsi="Arial" w:cs="Arial"/>
          <w:sz w:val="24"/>
          <w:szCs w:val="24"/>
        </w:rPr>
      </w:pPr>
      <w:r w:rsidRPr="00F533A8">
        <w:rPr>
          <w:rFonts w:ascii="Arial" w:hAnsi="Arial" w:cs="Arial"/>
          <w:sz w:val="24"/>
          <w:szCs w:val="24"/>
        </w:rPr>
        <w:t>35.1.4</w:t>
      </w:r>
      <w:r w:rsidRPr="00F533A8">
        <w:rPr>
          <w:rFonts w:ascii="Arial" w:hAnsi="Arial" w:cs="Arial"/>
          <w:sz w:val="24"/>
          <w:szCs w:val="24"/>
        </w:rPr>
        <w:tab/>
      </w:r>
      <w:r w:rsidR="00773EF7" w:rsidRPr="00F533A8">
        <w:rPr>
          <w:rFonts w:ascii="Arial" w:hAnsi="Arial" w:cs="Arial"/>
          <w:sz w:val="24"/>
          <w:szCs w:val="24"/>
        </w:rPr>
        <w:t>ethics and fair dealing;</w:t>
      </w:r>
    </w:p>
    <w:p w14:paraId="1F2D1C8A" w14:textId="61CD7FD5" w:rsidR="00773EF7" w:rsidRPr="00F533A8" w:rsidRDefault="00864F4B" w:rsidP="00E212A8">
      <w:pPr>
        <w:tabs>
          <w:tab w:val="left" w:pos="851"/>
        </w:tabs>
        <w:spacing w:line="360" w:lineRule="auto"/>
        <w:jc w:val="both"/>
        <w:rPr>
          <w:rFonts w:ascii="Arial" w:hAnsi="Arial" w:cs="Arial"/>
          <w:sz w:val="24"/>
          <w:szCs w:val="24"/>
        </w:rPr>
      </w:pPr>
      <w:r w:rsidRPr="00F533A8">
        <w:rPr>
          <w:rFonts w:ascii="Arial" w:hAnsi="Arial" w:cs="Arial"/>
          <w:sz w:val="24"/>
          <w:szCs w:val="24"/>
        </w:rPr>
        <w:t>35.1.5</w:t>
      </w:r>
      <w:r w:rsidRPr="00F533A8">
        <w:rPr>
          <w:rFonts w:ascii="Arial" w:hAnsi="Arial" w:cs="Arial"/>
          <w:sz w:val="24"/>
          <w:szCs w:val="24"/>
        </w:rPr>
        <w:tab/>
      </w:r>
      <w:r w:rsidR="00773EF7" w:rsidRPr="00F533A8">
        <w:rPr>
          <w:rFonts w:ascii="Arial" w:hAnsi="Arial" w:cs="Arial"/>
          <w:sz w:val="24"/>
          <w:szCs w:val="24"/>
        </w:rPr>
        <w:t>accountability and reporting; and</w:t>
      </w:r>
    </w:p>
    <w:p w14:paraId="1B2558C8" w14:textId="166CABCE" w:rsidR="00773EF7" w:rsidRPr="00F533A8" w:rsidRDefault="00864F4B" w:rsidP="00E212A8">
      <w:pPr>
        <w:tabs>
          <w:tab w:val="left" w:pos="851"/>
        </w:tabs>
        <w:spacing w:line="360" w:lineRule="auto"/>
        <w:jc w:val="both"/>
        <w:rPr>
          <w:rFonts w:ascii="Arial" w:hAnsi="Arial" w:cs="Arial"/>
          <w:sz w:val="24"/>
          <w:szCs w:val="24"/>
        </w:rPr>
      </w:pPr>
      <w:r w:rsidRPr="00F533A8">
        <w:rPr>
          <w:rFonts w:ascii="Arial" w:hAnsi="Arial" w:cs="Arial"/>
          <w:sz w:val="24"/>
          <w:szCs w:val="24"/>
        </w:rPr>
        <w:t>35.1.6</w:t>
      </w:r>
      <w:r w:rsidRPr="00F533A8">
        <w:rPr>
          <w:rFonts w:ascii="Arial" w:hAnsi="Arial" w:cs="Arial"/>
          <w:sz w:val="24"/>
          <w:szCs w:val="24"/>
        </w:rPr>
        <w:tab/>
      </w:r>
      <w:r w:rsidR="00773EF7" w:rsidRPr="00F533A8">
        <w:rPr>
          <w:rFonts w:ascii="Arial" w:hAnsi="Arial" w:cs="Arial"/>
          <w:sz w:val="24"/>
          <w:szCs w:val="24"/>
        </w:rPr>
        <w:t>equity.</w:t>
      </w:r>
    </w:p>
    <w:p w14:paraId="73842572" w14:textId="77777777" w:rsidR="00D24DD3" w:rsidRDefault="00D24DD3" w:rsidP="00E212A8">
      <w:pPr>
        <w:tabs>
          <w:tab w:val="left" w:pos="851"/>
        </w:tabs>
        <w:spacing w:line="360" w:lineRule="auto"/>
        <w:jc w:val="both"/>
        <w:rPr>
          <w:rFonts w:ascii="Arial" w:hAnsi="Arial" w:cs="Arial"/>
          <w:sz w:val="24"/>
          <w:szCs w:val="24"/>
        </w:rPr>
      </w:pPr>
    </w:p>
    <w:p w14:paraId="5D45C5F5" w14:textId="718CB512" w:rsidR="00B5013C" w:rsidRDefault="00B5013C" w:rsidP="00E212A8">
      <w:pPr>
        <w:tabs>
          <w:tab w:val="left" w:pos="851"/>
        </w:tabs>
        <w:spacing w:line="360" w:lineRule="auto"/>
        <w:jc w:val="both"/>
        <w:rPr>
          <w:rFonts w:ascii="Arial" w:hAnsi="Arial" w:cs="Arial"/>
          <w:b/>
          <w:bCs/>
          <w:sz w:val="24"/>
          <w:szCs w:val="24"/>
        </w:rPr>
      </w:pPr>
      <w:r w:rsidRPr="00B5013C">
        <w:rPr>
          <w:rFonts w:ascii="Arial" w:hAnsi="Arial" w:cs="Arial"/>
          <w:b/>
          <w:bCs/>
          <w:sz w:val="24"/>
          <w:szCs w:val="24"/>
        </w:rPr>
        <w:t>Nexor’s application to strike out</w:t>
      </w:r>
    </w:p>
    <w:p w14:paraId="24983ABD" w14:textId="0E9CB912" w:rsidR="00B5013C" w:rsidRPr="00F533A8" w:rsidRDefault="00B5013C" w:rsidP="00E212A8">
      <w:pPr>
        <w:tabs>
          <w:tab w:val="left" w:pos="851"/>
        </w:tabs>
        <w:spacing w:line="360" w:lineRule="auto"/>
        <w:jc w:val="both"/>
        <w:rPr>
          <w:rFonts w:ascii="Arial" w:hAnsi="Arial" w:cs="Arial"/>
          <w:sz w:val="24"/>
          <w:szCs w:val="24"/>
        </w:rPr>
      </w:pPr>
      <w:r w:rsidRPr="00F533A8">
        <w:rPr>
          <w:rFonts w:ascii="Arial" w:hAnsi="Arial" w:cs="Arial"/>
          <w:sz w:val="24"/>
          <w:szCs w:val="24"/>
        </w:rPr>
        <w:t>[3</w:t>
      </w:r>
      <w:r>
        <w:rPr>
          <w:rFonts w:ascii="Arial" w:hAnsi="Arial" w:cs="Arial"/>
          <w:sz w:val="24"/>
          <w:szCs w:val="24"/>
        </w:rPr>
        <w:t>6</w:t>
      </w:r>
      <w:r w:rsidRPr="00F533A8">
        <w:rPr>
          <w:rFonts w:ascii="Arial" w:hAnsi="Arial" w:cs="Arial"/>
          <w:sz w:val="24"/>
          <w:szCs w:val="24"/>
        </w:rPr>
        <w:t>]</w:t>
      </w:r>
      <w:r w:rsidRPr="00F533A8">
        <w:rPr>
          <w:rFonts w:ascii="Arial" w:hAnsi="Arial" w:cs="Arial"/>
          <w:sz w:val="24"/>
          <w:szCs w:val="24"/>
        </w:rPr>
        <w:tab/>
        <w:t>Nexor seeks several material in the SIU’s founding affidavit struck out. They are as follows:3</w:t>
      </w:r>
      <w:r>
        <w:rPr>
          <w:rFonts w:ascii="Arial" w:hAnsi="Arial" w:cs="Arial"/>
          <w:sz w:val="24"/>
          <w:szCs w:val="24"/>
        </w:rPr>
        <w:t>6</w:t>
      </w:r>
      <w:r w:rsidRPr="00F533A8">
        <w:rPr>
          <w:rFonts w:ascii="Arial" w:hAnsi="Arial" w:cs="Arial"/>
          <w:sz w:val="24"/>
          <w:szCs w:val="24"/>
        </w:rPr>
        <w:t xml:space="preserve">.1 Paragraph 46 to 49 – the facts alleged in this paragraph are common cause between the parties. They are a truncated evidence Mr Thabang Nkosi set out in an affidavit he furnished to Nexor, which the latter attached to its answering affidavit. </w:t>
      </w:r>
      <w:r>
        <w:rPr>
          <w:rFonts w:ascii="Arial" w:hAnsi="Arial" w:cs="Arial"/>
          <w:sz w:val="24"/>
          <w:szCs w:val="24"/>
        </w:rPr>
        <w:t>Therefore, Nexor’s request stands to be dismissed.</w:t>
      </w:r>
    </w:p>
    <w:p w14:paraId="7F12338E" w14:textId="0979B117" w:rsidR="00B5013C" w:rsidRPr="00F533A8" w:rsidRDefault="00B5013C" w:rsidP="00E212A8">
      <w:pPr>
        <w:tabs>
          <w:tab w:val="left" w:pos="851"/>
        </w:tabs>
        <w:spacing w:line="360" w:lineRule="auto"/>
        <w:jc w:val="both"/>
        <w:rPr>
          <w:rFonts w:ascii="Arial" w:hAnsi="Arial" w:cs="Arial"/>
          <w:sz w:val="24"/>
          <w:szCs w:val="24"/>
        </w:rPr>
      </w:pPr>
      <w:r w:rsidRPr="00F533A8">
        <w:rPr>
          <w:rFonts w:ascii="Arial" w:hAnsi="Arial" w:cs="Arial"/>
          <w:sz w:val="24"/>
          <w:szCs w:val="24"/>
        </w:rPr>
        <w:t>3</w:t>
      </w:r>
      <w:r>
        <w:rPr>
          <w:rFonts w:ascii="Arial" w:hAnsi="Arial" w:cs="Arial"/>
          <w:sz w:val="24"/>
          <w:szCs w:val="24"/>
        </w:rPr>
        <w:t>6</w:t>
      </w:r>
      <w:r w:rsidRPr="00F533A8">
        <w:rPr>
          <w:rFonts w:ascii="Arial" w:hAnsi="Arial" w:cs="Arial"/>
          <w:sz w:val="24"/>
          <w:szCs w:val="24"/>
        </w:rPr>
        <w:t xml:space="preserve">.2 Paragraphs 66.5 to 66.6 fall to be struck out. The source of these facts is not </w:t>
      </w:r>
      <w:r w:rsidR="00396285" w:rsidRPr="00F533A8">
        <w:rPr>
          <w:rFonts w:ascii="Arial" w:hAnsi="Arial" w:cs="Arial"/>
          <w:sz w:val="24"/>
          <w:szCs w:val="24"/>
        </w:rPr>
        <w:t>identified,</w:t>
      </w:r>
      <w:r w:rsidRPr="00F533A8">
        <w:rPr>
          <w:rFonts w:ascii="Arial" w:hAnsi="Arial" w:cs="Arial"/>
          <w:sz w:val="24"/>
          <w:szCs w:val="24"/>
        </w:rPr>
        <w:t xml:space="preserve"> and the depositor’s affidavit is not filed and/or referenced in SIU’s founding affidavit. </w:t>
      </w:r>
    </w:p>
    <w:p w14:paraId="7850D90D" w14:textId="6B8C65A4" w:rsidR="00B5013C" w:rsidRPr="00F533A8" w:rsidRDefault="00B5013C" w:rsidP="00E212A8">
      <w:pPr>
        <w:tabs>
          <w:tab w:val="left" w:pos="851"/>
        </w:tabs>
        <w:spacing w:line="360" w:lineRule="auto"/>
        <w:jc w:val="both"/>
        <w:rPr>
          <w:rFonts w:ascii="Arial" w:hAnsi="Arial" w:cs="Arial"/>
          <w:sz w:val="24"/>
          <w:szCs w:val="24"/>
        </w:rPr>
      </w:pPr>
      <w:r w:rsidRPr="00F533A8">
        <w:rPr>
          <w:rFonts w:ascii="Arial" w:hAnsi="Arial" w:cs="Arial"/>
          <w:sz w:val="24"/>
          <w:szCs w:val="24"/>
        </w:rPr>
        <w:t>3</w:t>
      </w:r>
      <w:r>
        <w:rPr>
          <w:rFonts w:ascii="Arial" w:hAnsi="Arial" w:cs="Arial"/>
          <w:sz w:val="24"/>
          <w:szCs w:val="24"/>
        </w:rPr>
        <w:t>6</w:t>
      </w:r>
      <w:r w:rsidRPr="00F533A8">
        <w:rPr>
          <w:rFonts w:ascii="Arial" w:hAnsi="Arial" w:cs="Arial"/>
          <w:sz w:val="24"/>
          <w:szCs w:val="24"/>
        </w:rPr>
        <w:t xml:space="preserve">.3 No proper case is made out for striking out the rest of the sub paragraphs in paragraph 66. The facts set out in the relevant affidavits do not sustain the SIU’s case on the basis of the Plascon Evan’s rule. According to Nexor, pairing IDMS and RAMS is consistent with national government policy. The SIU’s has not seriously disputed this. </w:t>
      </w:r>
    </w:p>
    <w:p w14:paraId="50A3BB56" w14:textId="7A2B2F8B" w:rsidR="00B5013C" w:rsidRPr="00F533A8" w:rsidRDefault="00B5013C" w:rsidP="00E212A8">
      <w:pPr>
        <w:tabs>
          <w:tab w:val="left" w:pos="851"/>
        </w:tabs>
        <w:spacing w:line="360" w:lineRule="auto"/>
        <w:jc w:val="both"/>
        <w:rPr>
          <w:rFonts w:ascii="Arial" w:hAnsi="Arial" w:cs="Arial"/>
          <w:sz w:val="24"/>
          <w:szCs w:val="24"/>
        </w:rPr>
      </w:pPr>
      <w:r w:rsidRPr="00F533A8">
        <w:rPr>
          <w:rFonts w:ascii="Arial" w:hAnsi="Arial" w:cs="Arial"/>
          <w:sz w:val="24"/>
          <w:szCs w:val="24"/>
        </w:rPr>
        <w:t>3</w:t>
      </w:r>
      <w:r>
        <w:rPr>
          <w:rFonts w:ascii="Arial" w:hAnsi="Arial" w:cs="Arial"/>
          <w:sz w:val="24"/>
          <w:szCs w:val="24"/>
        </w:rPr>
        <w:t>6</w:t>
      </w:r>
      <w:r w:rsidRPr="00F533A8">
        <w:rPr>
          <w:rFonts w:ascii="Arial" w:hAnsi="Arial" w:cs="Arial"/>
          <w:sz w:val="24"/>
          <w:szCs w:val="24"/>
        </w:rPr>
        <w:t xml:space="preserve">.4 Paragraphs 72.5 and 72.6 – there are no paragraphs in the founding and supplementary founding affidavits that bear these numbers. The SIU takes no issue with the numbering. It used the same number reference in its heads of argument. It appears the relevant paragraphs are 75 and 76. They deal with payments Nexor received from DOT in respect of Invoice No. IDMS 007 for Bridges and Culverts. The SIU’s response to Nexor’s attacked is simply that this is what its investigation revealed. The payments themselves are not in dispute between the parties. It is the reason for the payments that is contested. I consider this dispute in the relevant section in this judgment. Therefore, a request for the striking out on these paragraphs is refused.    </w:t>
      </w:r>
    </w:p>
    <w:p w14:paraId="3456B692" w14:textId="31EB5CE5" w:rsidR="00B5013C" w:rsidRDefault="00B5013C" w:rsidP="00E212A8">
      <w:pPr>
        <w:tabs>
          <w:tab w:val="left" w:pos="851"/>
        </w:tabs>
        <w:spacing w:line="360" w:lineRule="auto"/>
        <w:jc w:val="both"/>
        <w:rPr>
          <w:rFonts w:ascii="Arial" w:hAnsi="Arial" w:cs="Arial"/>
          <w:sz w:val="24"/>
          <w:szCs w:val="24"/>
        </w:rPr>
      </w:pPr>
      <w:r w:rsidRPr="00F533A8">
        <w:rPr>
          <w:rFonts w:ascii="Arial" w:hAnsi="Arial" w:cs="Arial"/>
          <w:sz w:val="24"/>
          <w:szCs w:val="24"/>
        </w:rPr>
        <w:t>3</w:t>
      </w:r>
      <w:r>
        <w:rPr>
          <w:rFonts w:ascii="Arial" w:hAnsi="Arial" w:cs="Arial"/>
          <w:sz w:val="24"/>
          <w:szCs w:val="24"/>
        </w:rPr>
        <w:t>6</w:t>
      </w:r>
      <w:r w:rsidRPr="00F533A8">
        <w:rPr>
          <w:rFonts w:ascii="Arial" w:hAnsi="Arial" w:cs="Arial"/>
          <w:sz w:val="24"/>
          <w:szCs w:val="24"/>
        </w:rPr>
        <w:t xml:space="preserve">.5 </w:t>
      </w:r>
      <w:r w:rsidR="00701E48">
        <w:rPr>
          <w:rFonts w:ascii="Arial" w:hAnsi="Arial" w:cs="Arial"/>
          <w:sz w:val="24"/>
          <w:szCs w:val="24"/>
        </w:rPr>
        <w:t>AGSA</w:t>
      </w:r>
      <w:r w:rsidRPr="00F533A8">
        <w:rPr>
          <w:rFonts w:ascii="Arial" w:hAnsi="Arial" w:cs="Arial"/>
          <w:sz w:val="24"/>
          <w:szCs w:val="24"/>
        </w:rPr>
        <w:t>’s Report: Annexure VM 29</w:t>
      </w:r>
      <w:r w:rsidR="004F47D3">
        <w:rPr>
          <w:rFonts w:ascii="Arial" w:hAnsi="Arial" w:cs="Arial"/>
          <w:sz w:val="24"/>
          <w:szCs w:val="24"/>
        </w:rPr>
        <w:t xml:space="preserve"> – Nexor wants it struck out because </w:t>
      </w:r>
      <w:r w:rsidRPr="00F533A8">
        <w:rPr>
          <w:rFonts w:ascii="Arial" w:hAnsi="Arial" w:cs="Arial"/>
          <w:sz w:val="24"/>
          <w:szCs w:val="24"/>
        </w:rPr>
        <w:t>it has not been sworn to and contains opinion evidence.</w:t>
      </w:r>
      <w:r w:rsidR="004F47D3" w:rsidRPr="00F533A8">
        <w:rPr>
          <w:rFonts w:ascii="Arial" w:hAnsi="Arial" w:cs="Arial"/>
          <w:sz w:val="24"/>
          <w:szCs w:val="24"/>
        </w:rPr>
        <w:t xml:space="preserve"> But, it has not identified the relevant part</w:t>
      </w:r>
      <w:r w:rsidR="004F47D3">
        <w:rPr>
          <w:rFonts w:ascii="Arial" w:hAnsi="Arial" w:cs="Arial"/>
          <w:sz w:val="24"/>
          <w:szCs w:val="24"/>
        </w:rPr>
        <w:t>s of AGSA’s report which contain opinion evidence</w:t>
      </w:r>
      <w:r w:rsidR="004F47D3" w:rsidRPr="00F533A8">
        <w:rPr>
          <w:rFonts w:ascii="Arial" w:hAnsi="Arial" w:cs="Arial"/>
          <w:sz w:val="24"/>
          <w:szCs w:val="24"/>
        </w:rPr>
        <w:t>.</w:t>
      </w:r>
      <w:r w:rsidR="004F47D3">
        <w:rPr>
          <w:rFonts w:ascii="Arial" w:hAnsi="Arial" w:cs="Arial"/>
          <w:sz w:val="24"/>
          <w:szCs w:val="24"/>
        </w:rPr>
        <w:t xml:space="preserve"> </w:t>
      </w:r>
      <w:r w:rsidRPr="00F533A8">
        <w:rPr>
          <w:rFonts w:ascii="Arial" w:hAnsi="Arial" w:cs="Arial"/>
          <w:sz w:val="24"/>
          <w:szCs w:val="24"/>
        </w:rPr>
        <w:t xml:space="preserve">SIU correctly contests this request on the basis that the report is a public document. However, </w:t>
      </w:r>
      <w:r w:rsidR="00296E61">
        <w:rPr>
          <w:rFonts w:ascii="Arial" w:hAnsi="Arial" w:cs="Arial"/>
          <w:sz w:val="24"/>
          <w:szCs w:val="24"/>
        </w:rPr>
        <w:t xml:space="preserve">AGSA’s </w:t>
      </w:r>
      <w:r w:rsidRPr="00F533A8">
        <w:rPr>
          <w:rFonts w:ascii="Arial" w:hAnsi="Arial" w:cs="Arial"/>
          <w:sz w:val="24"/>
          <w:szCs w:val="24"/>
        </w:rPr>
        <w:t xml:space="preserve">findings and recommendations are not binding on this Tribunal. </w:t>
      </w:r>
      <w:r w:rsidR="004F47D3">
        <w:rPr>
          <w:rFonts w:ascii="Arial" w:hAnsi="Arial" w:cs="Arial"/>
          <w:sz w:val="24"/>
          <w:szCs w:val="24"/>
        </w:rPr>
        <w:t>Further, a</w:t>
      </w:r>
      <w:r>
        <w:rPr>
          <w:rFonts w:ascii="Arial" w:hAnsi="Arial" w:cs="Arial"/>
          <w:sz w:val="24"/>
          <w:szCs w:val="24"/>
        </w:rPr>
        <w:t xml:space="preserve">ny opinion evidence contained in AGSA’s report sought to be relied on by the SIU is inadmissible. </w:t>
      </w:r>
      <w:r w:rsidRPr="00F533A8">
        <w:rPr>
          <w:rFonts w:ascii="Arial" w:hAnsi="Arial" w:cs="Arial"/>
          <w:sz w:val="24"/>
          <w:szCs w:val="24"/>
        </w:rPr>
        <w:t xml:space="preserve">Thus, </w:t>
      </w:r>
      <w:r w:rsidR="004F47D3">
        <w:rPr>
          <w:rFonts w:ascii="Arial" w:hAnsi="Arial" w:cs="Arial"/>
          <w:sz w:val="24"/>
          <w:szCs w:val="24"/>
        </w:rPr>
        <w:t>Nexor</w:t>
      </w:r>
      <w:r w:rsidRPr="00F533A8">
        <w:rPr>
          <w:rFonts w:ascii="Arial" w:hAnsi="Arial" w:cs="Arial"/>
          <w:sz w:val="24"/>
          <w:szCs w:val="24"/>
        </w:rPr>
        <w:t xml:space="preserve"> has not made out a proper case for the report to be struck out.   </w:t>
      </w:r>
    </w:p>
    <w:p w14:paraId="15900977" w14:textId="5D310F2C" w:rsidR="00F44A7E" w:rsidRPr="00F533A8" w:rsidRDefault="00F44A7E" w:rsidP="00F44A7E">
      <w:pPr>
        <w:spacing w:line="360" w:lineRule="auto"/>
        <w:jc w:val="both"/>
        <w:rPr>
          <w:rFonts w:ascii="Arial" w:hAnsi="Arial" w:cs="Arial"/>
          <w:sz w:val="24"/>
          <w:szCs w:val="24"/>
          <w:lang w:val="en-GB"/>
        </w:rPr>
      </w:pPr>
      <w:r>
        <w:rPr>
          <w:rFonts w:ascii="Arial" w:hAnsi="Arial" w:cs="Arial"/>
          <w:sz w:val="24"/>
          <w:szCs w:val="24"/>
        </w:rPr>
        <w:t xml:space="preserve">36.6 </w:t>
      </w:r>
      <w:r w:rsidRPr="00F533A8">
        <w:rPr>
          <w:rFonts w:ascii="Arial" w:hAnsi="Arial" w:cs="Arial"/>
          <w:sz w:val="24"/>
          <w:szCs w:val="24"/>
          <w:lang w:val="en-GB"/>
        </w:rPr>
        <w:t>Nexor seeks paragraph 68 in the founding affidavit where th</w:t>
      </w:r>
      <w:r w:rsidR="00A26880">
        <w:rPr>
          <w:rFonts w:ascii="Arial" w:hAnsi="Arial" w:cs="Arial"/>
          <w:sz w:val="24"/>
          <w:szCs w:val="24"/>
          <w:lang w:val="en-GB"/>
        </w:rPr>
        <w:t xml:space="preserve">e allegation regarding the irregular payment of bridges and culverts is made </w:t>
      </w:r>
      <w:r w:rsidRPr="00F533A8">
        <w:rPr>
          <w:rFonts w:ascii="Arial" w:hAnsi="Arial" w:cs="Arial"/>
          <w:sz w:val="24"/>
          <w:szCs w:val="24"/>
          <w:lang w:val="en-GB"/>
        </w:rPr>
        <w:t xml:space="preserve">on the basis that it constitutes opinion evidence by </w:t>
      </w:r>
      <w:r>
        <w:rPr>
          <w:rFonts w:ascii="Arial" w:hAnsi="Arial" w:cs="Arial"/>
          <w:sz w:val="24"/>
          <w:szCs w:val="24"/>
          <w:lang w:val="en-GB"/>
        </w:rPr>
        <w:t>AGSA</w:t>
      </w:r>
      <w:r w:rsidRPr="00F533A8">
        <w:rPr>
          <w:rFonts w:ascii="Arial" w:hAnsi="Arial" w:cs="Arial"/>
          <w:sz w:val="24"/>
          <w:szCs w:val="24"/>
          <w:lang w:val="en-GB"/>
        </w:rPr>
        <w:t xml:space="preserve">. It also seeks the allegations in paragraphs 69 to 72 of the founding affidavit on the basis that the deponent to the SIU’s founding affidavit lacks the necessary expertise to express the opinion he makes in these paragraphs. </w:t>
      </w:r>
      <w:r w:rsidR="00A26880">
        <w:rPr>
          <w:rFonts w:ascii="Arial" w:hAnsi="Arial" w:cs="Arial"/>
          <w:sz w:val="24"/>
          <w:szCs w:val="24"/>
          <w:lang w:val="en-GB"/>
        </w:rPr>
        <w:t xml:space="preserve">These paragraphs fall to be struck for the reasons set out by Nexor. </w:t>
      </w:r>
    </w:p>
    <w:p w14:paraId="1E0126FC" w14:textId="77777777" w:rsidR="00F44A7E" w:rsidRDefault="00F44A7E" w:rsidP="00E212A8">
      <w:pPr>
        <w:tabs>
          <w:tab w:val="left" w:pos="851"/>
        </w:tabs>
        <w:spacing w:line="360" w:lineRule="auto"/>
        <w:jc w:val="both"/>
        <w:rPr>
          <w:rFonts w:ascii="Arial" w:hAnsi="Arial" w:cs="Arial"/>
          <w:sz w:val="24"/>
          <w:szCs w:val="24"/>
        </w:rPr>
      </w:pPr>
    </w:p>
    <w:p w14:paraId="7DA6E131" w14:textId="78E90210" w:rsidR="00B5013C" w:rsidRPr="00F533A8" w:rsidRDefault="00B5013C" w:rsidP="00E212A8">
      <w:pPr>
        <w:tabs>
          <w:tab w:val="left" w:pos="851"/>
        </w:tabs>
        <w:spacing w:line="360" w:lineRule="auto"/>
        <w:jc w:val="both"/>
        <w:rPr>
          <w:rFonts w:ascii="Arial" w:hAnsi="Arial" w:cs="Arial"/>
          <w:sz w:val="24"/>
          <w:szCs w:val="24"/>
        </w:rPr>
      </w:pPr>
      <w:r w:rsidRPr="00F533A8">
        <w:rPr>
          <w:rFonts w:ascii="Arial" w:hAnsi="Arial" w:cs="Arial"/>
          <w:sz w:val="24"/>
          <w:szCs w:val="24"/>
        </w:rPr>
        <w:t>[3</w:t>
      </w:r>
      <w:r>
        <w:rPr>
          <w:rFonts w:ascii="Arial" w:hAnsi="Arial" w:cs="Arial"/>
          <w:sz w:val="24"/>
          <w:szCs w:val="24"/>
        </w:rPr>
        <w:t>7</w:t>
      </w:r>
      <w:r w:rsidRPr="00F533A8">
        <w:rPr>
          <w:rFonts w:ascii="Arial" w:hAnsi="Arial" w:cs="Arial"/>
          <w:sz w:val="24"/>
          <w:szCs w:val="24"/>
        </w:rPr>
        <w:t>]</w:t>
      </w:r>
      <w:r w:rsidRPr="00F533A8">
        <w:rPr>
          <w:rFonts w:ascii="Arial" w:hAnsi="Arial" w:cs="Arial"/>
          <w:sz w:val="24"/>
          <w:szCs w:val="24"/>
        </w:rPr>
        <w:tab/>
        <w:t xml:space="preserve">There is material Nexor seeks struck out on the basis that the SIU attached it without identifying the specific extracts thereof in which it places reliance. This Tribunal’s decision on costs ought to adequately address any prejudice Nexor stands to suffer as a result. Thus, the request is refused.   </w:t>
      </w:r>
    </w:p>
    <w:p w14:paraId="49A9A87D" w14:textId="7B38F9B5" w:rsidR="00D24DD3" w:rsidRPr="00E31B7C" w:rsidRDefault="00D36359" w:rsidP="00E212A8">
      <w:pPr>
        <w:tabs>
          <w:tab w:val="left" w:pos="851"/>
        </w:tabs>
        <w:spacing w:line="360" w:lineRule="auto"/>
        <w:jc w:val="both"/>
        <w:rPr>
          <w:rFonts w:ascii="Arial" w:hAnsi="Arial" w:cs="Arial"/>
          <w:b/>
          <w:bCs/>
          <w:i/>
          <w:iCs/>
          <w:sz w:val="24"/>
          <w:szCs w:val="24"/>
        </w:rPr>
      </w:pPr>
      <w:r>
        <w:rPr>
          <w:rFonts w:ascii="Arial" w:hAnsi="Arial" w:cs="Arial"/>
          <w:b/>
          <w:bCs/>
          <w:sz w:val="24"/>
          <w:szCs w:val="24"/>
        </w:rPr>
        <w:t xml:space="preserve">PAJA and the Principle of Legality </w:t>
      </w:r>
    </w:p>
    <w:p w14:paraId="1A2A9A12" w14:textId="36543C4D" w:rsidR="00D24DD3" w:rsidRPr="00F533A8" w:rsidRDefault="00D24DD3" w:rsidP="00E212A8">
      <w:pPr>
        <w:tabs>
          <w:tab w:val="left" w:pos="851"/>
        </w:tabs>
        <w:spacing w:line="360" w:lineRule="auto"/>
        <w:jc w:val="both"/>
        <w:rPr>
          <w:rFonts w:ascii="Arial" w:hAnsi="Arial" w:cs="Arial"/>
          <w:i/>
          <w:iCs/>
          <w:sz w:val="24"/>
          <w:szCs w:val="24"/>
        </w:rPr>
      </w:pPr>
      <w:r w:rsidRPr="00F533A8">
        <w:rPr>
          <w:rFonts w:ascii="Arial" w:hAnsi="Arial" w:cs="Arial"/>
          <w:sz w:val="24"/>
          <w:szCs w:val="24"/>
        </w:rPr>
        <w:t>[3</w:t>
      </w:r>
      <w:r w:rsidR="00B5013C">
        <w:rPr>
          <w:rFonts w:ascii="Arial" w:hAnsi="Arial" w:cs="Arial"/>
          <w:sz w:val="24"/>
          <w:szCs w:val="24"/>
        </w:rPr>
        <w:t>8</w:t>
      </w:r>
      <w:r w:rsidRPr="00F533A8">
        <w:rPr>
          <w:rFonts w:ascii="Arial" w:hAnsi="Arial" w:cs="Arial"/>
          <w:sz w:val="24"/>
          <w:szCs w:val="24"/>
        </w:rPr>
        <w:t>]</w:t>
      </w:r>
      <w:r w:rsidR="00704957" w:rsidRPr="00F533A8">
        <w:rPr>
          <w:rFonts w:ascii="Arial" w:hAnsi="Arial" w:cs="Arial"/>
          <w:sz w:val="24"/>
          <w:szCs w:val="24"/>
        </w:rPr>
        <w:tab/>
      </w:r>
      <w:r w:rsidRPr="00F533A8">
        <w:rPr>
          <w:rFonts w:ascii="Arial" w:hAnsi="Arial" w:cs="Arial"/>
          <w:sz w:val="24"/>
          <w:szCs w:val="24"/>
        </w:rPr>
        <w:t xml:space="preserve">As already indicated, the review application turns on the SIU’s delay in bringing it. Therefore, engaging elaborately with the other points in </w:t>
      </w:r>
      <w:r w:rsidRPr="00F533A8">
        <w:rPr>
          <w:rFonts w:ascii="Arial" w:hAnsi="Arial" w:cs="Arial"/>
          <w:i/>
          <w:iCs/>
          <w:sz w:val="24"/>
          <w:szCs w:val="24"/>
        </w:rPr>
        <w:t xml:space="preserve">limine </w:t>
      </w:r>
      <w:r w:rsidRPr="00F533A8">
        <w:rPr>
          <w:rFonts w:ascii="Arial" w:hAnsi="Arial" w:cs="Arial"/>
          <w:sz w:val="24"/>
          <w:szCs w:val="24"/>
        </w:rPr>
        <w:t xml:space="preserve">raised by Nexor will not add much value to this judgment. In any event, the points in limine </w:t>
      </w:r>
      <w:r w:rsidR="000F1C7D" w:rsidRPr="00F533A8">
        <w:rPr>
          <w:rFonts w:ascii="Arial" w:hAnsi="Arial" w:cs="Arial"/>
          <w:sz w:val="24"/>
          <w:szCs w:val="24"/>
        </w:rPr>
        <w:t xml:space="preserve">outlined in 23.1 and 23.2 above </w:t>
      </w:r>
      <w:r w:rsidRPr="00F533A8">
        <w:rPr>
          <w:rFonts w:ascii="Arial" w:hAnsi="Arial" w:cs="Arial"/>
          <w:sz w:val="24"/>
          <w:szCs w:val="24"/>
        </w:rPr>
        <w:t xml:space="preserve">lack merit. It has become trite as held in </w:t>
      </w:r>
      <w:r w:rsidR="00EA4D5F" w:rsidRPr="00F533A8">
        <w:rPr>
          <w:rFonts w:ascii="Arial" w:hAnsi="Arial" w:cs="Arial"/>
          <w:i/>
          <w:iCs/>
          <w:sz w:val="24"/>
          <w:szCs w:val="24"/>
        </w:rPr>
        <w:t>Gijima Holdings</w:t>
      </w:r>
      <w:r w:rsidRPr="00F533A8">
        <w:rPr>
          <w:rStyle w:val="FootnoteReference"/>
          <w:rFonts w:ascii="Arial" w:hAnsi="Arial"/>
          <w:sz w:val="24"/>
        </w:rPr>
        <w:footnoteReference w:id="3"/>
      </w:r>
      <w:r w:rsidRPr="00F533A8">
        <w:rPr>
          <w:rFonts w:ascii="Arial" w:hAnsi="Arial" w:cs="Arial"/>
          <w:sz w:val="24"/>
          <w:szCs w:val="24"/>
        </w:rPr>
        <w:t xml:space="preserve">, that since an organ of state lacks the right to just administrative action, it may not bring a review application in terms of PAJA. </w:t>
      </w:r>
      <w:r w:rsidR="00EA4D5F" w:rsidRPr="00F533A8">
        <w:rPr>
          <w:rFonts w:ascii="Arial" w:hAnsi="Arial" w:cs="Arial"/>
          <w:sz w:val="24"/>
          <w:szCs w:val="24"/>
        </w:rPr>
        <w:t xml:space="preserve">In terms of the Constitutional Court judgment in </w:t>
      </w:r>
      <w:r w:rsidR="00EA4D5F" w:rsidRPr="00F533A8">
        <w:rPr>
          <w:rFonts w:ascii="Arial" w:hAnsi="Arial" w:cs="Arial"/>
          <w:i/>
          <w:iCs/>
          <w:sz w:val="24"/>
          <w:szCs w:val="24"/>
        </w:rPr>
        <w:t>Ledla</w:t>
      </w:r>
      <w:r w:rsidR="00734BBC">
        <w:rPr>
          <w:rStyle w:val="FootnoteReference"/>
          <w:i/>
          <w:iCs/>
          <w:sz w:val="24"/>
        </w:rPr>
        <w:footnoteReference w:id="4"/>
      </w:r>
      <w:r w:rsidR="00EA4D5F" w:rsidRPr="00F533A8">
        <w:rPr>
          <w:rFonts w:ascii="Arial" w:hAnsi="Arial" w:cs="Arial"/>
          <w:sz w:val="24"/>
          <w:szCs w:val="24"/>
        </w:rPr>
        <w:t xml:space="preserve">, the Tribunal lacks constitutional jurisdiction as it is not a court. However, its powers in terms of section 8 of its enabling statute are wide enough to incorporate legality reviews. I therefore adjudicate the review application </w:t>
      </w:r>
      <w:r w:rsidR="00734BBC" w:rsidRPr="00F533A8">
        <w:rPr>
          <w:rFonts w:ascii="Arial" w:hAnsi="Arial" w:cs="Arial"/>
          <w:sz w:val="24"/>
          <w:szCs w:val="24"/>
        </w:rPr>
        <w:t>based on</w:t>
      </w:r>
      <w:r w:rsidR="00EA4D5F" w:rsidRPr="00F533A8">
        <w:rPr>
          <w:rFonts w:ascii="Arial" w:hAnsi="Arial" w:cs="Arial"/>
          <w:sz w:val="24"/>
          <w:szCs w:val="24"/>
        </w:rPr>
        <w:t xml:space="preserve"> the </w:t>
      </w:r>
      <w:r w:rsidR="00EA4D5F" w:rsidRPr="00B5013C">
        <w:rPr>
          <w:rFonts w:ascii="Arial" w:hAnsi="Arial" w:cs="Arial"/>
          <w:i/>
          <w:iCs/>
          <w:sz w:val="24"/>
          <w:szCs w:val="24"/>
        </w:rPr>
        <w:t>dict</w:t>
      </w:r>
      <w:r w:rsidR="00734BBC" w:rsidRPr="00B5013C">
        <w:rPr>
          <w:rFonts w:ascii="Arial" w:hAnsi="Arial" w:cs="Arial"/>
          <w:i/>
          <w:iCs/>
          <w:sz w:val="24"/>
          <w:szCs w:val="24"/>
        </w:rPr>
        <w:t>a</w:t>
      </w:r>
      <w:r w:rsidR="00734BBC">
        <w:rPr>
          <w:rFonts w:ascii="Arial" w:hAnsi="Arial" w:cs="Arial"/>
          <w:sz w:val="24"/>
          <w:szCs w:val="24"/>
        </w:rPr>
        <w:t xml:space="preserve"> in these two judgments. </w:t>
      </w:r>
      <w:r w:rsidR="00EA4D5F" w:rsidRPr="00F533A8">
        <w:rPr>
          <w:rFonts w:ascii="Arial" w:hAnsi="Arial" w:cs="Arial"/>
          <w:i/>
          <w:iCs/>
          <w:sz w:val="24"/>
          <w:szCs w:val="24"/>
        </w:rPr>
        <w:t xml:space="preserve"> </w:t>
      </w:r>
    </w:p>
    <w:p w14:paraId="02CBA39D" w14:textId="77777777" w:rsidR="00773EF7" w:rsidRPr="00F533A8" w:rsidRDefault="00773EF7" w:rsidP="00E212A8">
      <w:pPr>
        <w:tabs>
          <w:tab w:val="left" w:pos="851"/>
        </w:tabs>
        <w:spacing w:line="360" w:lineRule="auto"/>
        <w:jc w:val="both"/>
        <w:rPr>
          <w:rFonts w:ascii="Arial" w:hAnsi="Arial" w:cs="Arial"/>
          <w:b/>
          <w:bCs/>
          <w:sz w:val="24"/>
          <w:szCs w:val="24"/>
        </w:rPr>
      </w:pPr>
    </w:p>
    <w:p w14:paraId="0CF8790F" w14:textId="19A49AC2" w:rsidR="0075090F" w:rsidRPr="00F533A8" w:rsidRDefault="0075090F" w:rsidP="00E212A8">
      <w:pPr>
        <w:tabs>
          <w:tab w:val="left" w:pos="851"/>
        </w:tabs>
        <w:spacing w:line="360" w:lineRule="auto"/>
        <w:jc w:val="both"/>
        <w:rPr>
          <w:rFonts w:ascii="Arial" w:hAnsi="Arial" w:cs="Arial"/>
          <w:b/>
          <w:bCs/>
          <w:sz w:val="24"/>
          <w:szCs w:val="24"/>
        </w:rPr>
      </w:pPr>
      <w:r w:rsidRPr="00F533A8">
        <w:rPr>
          <w:rFonts w:ascii="Arial" w:hAnsi="Arial" w:cs="Arial"/>
          <w:b/>
          <w:bCs/>
          <w:sz w:val="24"/>
          <w:szCs w:val="24"/>
        </w:rPr>
        <w:t>The delay in bringing the application</w:t>
      </w:r>
    </w:p>
    <w:p w14:paraId="49D36877" w14:textId="2D3CC17E" w:rsidR="00890EE9" w:rsidRPr="00F533A8" w:rsidRDefault="00890EE9"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AB402B" w:rsidRPr="00F533A8">
        <w:rPr>
          <w:rFonts w:ascii="Arial" w:hAnsi="Arial" w:cs="Arial"/>
          <w:sz w:val="24"/>
          <w:szCs w:val="24"/>
        </w:rPr>
        <w:t>3</w:t>
      </w:r>
      <w:r w:rsidR="00704957" w:rsidRPr="00F533A8">
        <w:rPr>
          <w:rFonts w:ascii="Arial" w:hAnsi="Arial" w:cs="Arial"/>
          <w:sz w:val="24"/>
          <w:szCs w:val="24"/>
        </w:rPr>
        <w:t>9</w:t>
      </w:r>
      <w:r w:rsidRPr="00F533A8">
        <w:rPr>
          <w:rFonts w:ascii="Arial" w:hAnsi="Arial" w:cs="Arial"/>
          <w:sz w:val="24"/>
          <w:szCs w:val="24"/>
        </w:rPr>
        <w:t>]</w:t>
      </w:r>
      <w:r w:rsidR="00396285">
        <w:rPr>
          <w:rFonts w:ascii="Arial" w:hAnsi="Arial" w:cs="Arial"/>
          <w:sz w:val="24"/>
          <w:szCs w:val="24"/>
        </w:rPr>
        <w:tab/>
      </w:r>
      <w:r w:rsidRPr="00F533A8">
        <w:rPr>
          <w:rFonts w:ascii="Arial" w:hAnsi="Arial" w:cs="Arial"/>
          <w:sz w:val="24"/>
          <w:szCs w:val="24"/>
        </w:rPr>
        <w:t>I resort to the principles outlined below to determine whether the SIU delayed bring</w:t>
      </w:r>
      <w:r w:rsidR="00AB402B" w:rsidRPr="00F533A8">
        <w:rPr>
          <w:rFonts w:ascii="Arial" w:hAnsi="Arial" w:cs="Arial"/>
          <w:sz w:val="24"/>
          <w:szCs w:val="24"/>
        </w:rPr>
        <w:t>ing</w:t>
      </w:r>
      <w:r w:rsidRPr="00F533A8">
        <w:rPr>
          <w:rFonts w:ascii="Arial" w:hAnsi="Arial" w:cs="Arial"/>
          <w:sz w:val="24"/>
          <w:szCs w:val="24"/>
        </w:rPr>
        <w:t xml:space="preserve"> the review application.</w:t>
      </w:r>
    </w:p>
    <w:p w14:paraId="29AEE9D1" w14:textId="77777777" w:rsidR="00642E95" w:rsidRPr="00F533A8" w:rsidRDefault="00642E95" w:rsidP="00E212A8">
      <w:pPr>
        <w:spacing w:after="0" w:line="360" w:lineRule="auto"/>
        <w:jc w:val="both"/>
        <w:rPr>
          <w:rFonts w:ascii="Arial" w:hAnsi="Arial" w:cs="Arial"/>
          <w:sz w:val="24"/>
          <w:szCs w:val="24"/>
          <w:lang w:val="en-GB" w:eastAsia="en-ZA"/>
        </w:rPr>
      </w:pPr>
    </w:p>
    <w:p w14:paraId="6166D9D7" w14:textId="05FD5A7C" w:rsidR="00642E95" w:rsidRPr="00F533A8" w:rsidRDefault="00642E95" w:rsidP="00E212A8">
      <w:pPr>
        <w:spacing w:after="0" w:line="360" w:lineRule="auto"/>
        <w:jc w:val="both"/>
        <w:rPr>
          <w:rFonts w:ascii="Arial" w:hAnsi="Arial" w:cs="Arial"/>
          <w:sz w:val="24"/>
          <w:szCs w:val="24"/>
        </w:rPr>
      </w:pPr>
      <w:r w:rsidRPr="00F533A8">
        <w:rPr>
          <w:rFonts w:ascii="Arial" w:hAnsi="Arial" w:cs="Arial"/>
          <w:sz w:val="24"/>
          <w:szCs w:val="24"/>
          <w:lang w:val="en-GB" w:eastAsia="en-ZA"/>
        </w:rPr>
        <w:t>[</w:t>
      </w:r>
      <w:r w:rsidR="00704957" w:rsidRPr="00F533A8">
        <w:rPr>
          <w:rFonts w:ascii="Arial" w:hAnsi="Arial" w:cs="Arial"/>
          <w:sz w:val="24"/>
          <w:szCs w:val="24"/>
          <w:lang w:val="en-GB" w:eastAsia="en-ZA"/>
        </w:rPr>
        <w:t>40</w:t>
      </w:r>
      <w:r w:rsidRPr="00F533A8">
        <w:rPr>
          <w:rFonts w:ascii="Arial" w:hAnsi="Arial" w:cs="Arial"/>
          <w:sz w:val="24"/>
          <w:szCs w:val="24"/>
          <w:lang w:val="en-GB" w:eastAsia="en-ZA"/>
        </w:rPr>
        <w:t>]</w:t>
      </w:r>
      <w:r w:rsidR="00396285">
        <w:rPr>
          <w:rFonts w:ascii="Arial" w:hAnsi="Arial" w:cs="Arial"/>
          <w:sz w:val="24"/>
          <w:szCs w:val="24"/>
          <w:lang w:val="en-GB" w:eastAsia="en-ZA"/>
        </w:rPr>
        <w:tab/>
      </w:r>
      <w:r w:rsidRPr="00F533A8">
        <w:rPr>
          <w:rFonts w:ascii="Arial" w:hAnsi="Arial" w:cs="Arial"/>
          <w:sz w:val="24"/>
          <w:szCs w:val="24"/>
        </w:rPr>
        <w:t>Unlike a review brought under PAJA, there is no fixed time specified for bringing the review under the principle of legality. A party which brings review proceedings in terms of the principle of legality is required to do so within a reasonable time.</w:t>
      </w:r>
      <w:r w:rsidRPr="00F533A8">
        <w:rPr>
          <w:rStyle w:val="FootnoteReference"/>
          <w:rFonts w:ascii="Arial" w:hAnsi="Arial"/>
          <w:sz w:val="24"/>
        </w:rPr>
        <w:footnoteReference w:id="5"/>
      </w:r>
      <w:r w:rsidRPr="00F533A8">
        <w:rPr>
          <w:rFonts w:ascii="Arial" w:hAnsi="Arial" w:cs="Arial"/>
          <w:sz w:val="24"/>
          <w:szCs w:val="24"/>
        </w:rPr>
        <w:t xml:space="preserve">  Determining whether a review application was brought within a reasonable time involves a two-stage enquiry.</w:t>
      </w:r>
      <w:r w:rsidRPr="00F533A8">
        <w:rPr>
          <w:rStyle w:val="FootnoteReference"/>
          <w:rFonts w:ascii="Arial" w:hAnsi="Arial"/>
          <w:sz w:val="24"/>
        </w:rPr>
        <w:footnoteReference w:id="6"/>
      </w:r>
      <w:r w:rsidRPr="00F533A8">
        <w:rPr>
          <w:rFonts w:ascii="Arial" w:hAnsi="Arial" w:cs="Arial"/>
          <w:sz w:val="24"/>
          <w:szCs w:val="24"/>
        </w:rPr>
        <w:t xml:space="preserve"> </w:t>
      </w:r>
      <w:r w:rsidRPr="00F533A8">
        <w:rPr>
          <w:rFonts w:ascii="Arial" w:hAnsi="Arial" w:cs="Arial"/>
          <w:iCs/>
          <w:sz w:val="24"/>
          <w:szCs w:val="24"/>
        </w:rPr>
        <w:t>F</w:t>
      </w:r>
      <w:r w:rsidRPr="00F533A8">
        <w:rPr>
          <w:rFonts w:ascii="Arial" w:hAnsi="Arial" w:cs="Arial"/>
          <w:sz w:val="24"/>
          <w:szCs w:val="24"/>
        </w:rPr>
        <w:t>irstly, it must be determined whether there was an unreasonable or undue delay and secondly, if so, whether the Tribunal should nonetheless exercise its discretion to overlook the delay and determine the merits of the application.</w:t>
      </w:r>
      <w:r w:rsidRPr="00F533A8">
        <w:rPr>
          <w:rStyle w:val="FootnoteReference"/>
          <w:rFonts w:ascii="Arial" w:hAnsi="Arial"/>
          <w:sz w:val="24"/>
        </w:rPr>
        <w:footnoteReference w:id="7"/>
      </w:r>
      <w:r w:rsidRPr="00F533A8">
        <w:rPr>
          <w:rFonts w:ascii="Arial" w:hAnsi="Arial" w:cs="Arial"/>
          <w:sz w:val="24"/>
          <w:szCs w:val="24"/>
        </w:rPr>
        <w:t xml:space="preserve"> </w:t>
      </w:r>
    </w:p>
    <w:p w14:paraId="41BFEC44" w14:textId="77777777" w:rsidR="00642E95" w:rsidRPr="00F533A8" w:rsidRDefault="00642E95" w:rsidP="00E212A8">
      <w:pPr>
        <w:spacing w:after="0" w:line="360" w:lineRule="auto"/>
        <w:jc w:val="both"/>
        <w:rPr>
          <w:rFonts w:ascii="Arial" w:hAnsi="Arial" w:cs="Arial"/>
          <w:sz w:val="24"/>
          <w:szCs w:val="24"/>
        </w:rPr>
      </w:pPr>
    </w:p>
    <w:p w14:paraId="7AD7BA67" w14:textId="7DBCED2B" w:rsidR="00642E95" w:rsidRPr="00F533A8" w:rsidRDefault="00642E95" w:rsidP="00E212A8">
      <w:pPr>
        <w:spacing w:after="0" w:line="360" w:lineRule="auto"/>
        <w:jc w:val="both"/>
        <w:rPr>
          <w:rFonts w:ascii="Arial" w:hAnsi="Arial" w:cs="Arial"/>
          <w:sz w:val="24"/>
          <w:szCs w:val="24"/>
        </w:rPr>
      </w:pPr>
      <w:r w:rsidRPr="00F533A8">
        <w:rPr>
          <w:rFonts w:ascii="Arial" w:hAnsi="Arial" w:cs="Arial"/>
          <w:sz w:val="24"/>
          <w:szCs w:val="24"/>
        </w:rPr>
        <w:t>[</w:t>
      </w:r>
      <w:r w:rsidR="00704957" w:rsidRPr="00F533A8">
        <w:rPr>
          <w:rFonts w:ascii="Arial" w:hAnsi="Arial" w:cs="Arial"/>
          <w:sz w:val="24"/>
          <w:szCs w:val="24"/>
        </w:rPr>
        <w:t>41</w:t>
      </w:r>
      <w:r w:rsidRPr="00F533A8">
        <w:rPr>
          <w:rFonts w:ascii="Arial" w:hAnsi="Arial" w:cs="Arial"/>
          <w:sz w:val="24"/>
          <w:szCs w:val="24"/>
        </w:rPr>
        <w:t>]</w:t>
      </w:r>
      <w:r w:rsidR="00396285">
        <w:rPr>
          <w:rFonts w:ascii="Arial" w:hAnsi="Arial" w:cs="Arial"/>
          <w:sz w:val="24"/>
          <w:szCs w:val="24"/>
        </w:rPr>
        <w:tab/>
      </w:r>
      <w:r w:rsidRPr="00F533A8">
        <w:rPr>
          <w:rFonts w:ascii="Arial" w:hAnsi="Arial" w:cs="Arial"/>
          <w:sz w:val="24"/>
          <w:szCs w:val="24"/>
        </w:rPr>
        <w:t xml:space="preserve">In </w:t>
      </w:r>
      <w:r w:rsidRPr="00F533A8">
        <w:rPr>
          <w:rFonts w:ascii="Arial" w:hAnsi="Arial" w:cs="Arial"/>
          <w:i/>
          <w:iCs/>
          <w:sz w:val="24"/>
          <w:szCs w:val="24"/>
        </w:rPr>
        <w:t>Buffalo City</w:t>
      </w:r>
      <w:r w:rsidRPr="00F533A8">
        <w:rPr>
          <w:rStyle w:val="FootnoteReference"/>
          <w:rFonts w:ascii="Arial" w:hAnsi="Arial"/>
          <w:sz w:val="24"/>
        </w:rPr>
        <w:footnoteReference w:id="8"/>
      </w:r>
      <w:r w:rsidRPr="00F533A8">
        <w:rPr>
          <w:rFonts w:ascii="Arial" w:hAnsi="Arial" w:cs="Arial"/>
          <w:sz w:val="24"/>
          <w:szCs w:val="24"/>
        </w:rPr>
        <w:t xml:space="preserve">, the Constitutional Court explained that the first stage involves a factual enquiry upon which a value judgment is made, having regard to all the circumstances of the matter. When determining whether the delay was unreasonable, the explanation for the delay is considered. A full explanation and reasons for the delay ought to be set out. The explanation must cover the entirety of the delay. </w:t>
      </w:r>
    </w:p>
    <w:p w14:paraId="4116E91E" w14:textId="77777777" w:rsidR="00642E95" w:rsidRPr="00F533A8" w:rsidRDefault="00642E95" w:rsidP="00E212A8">
      <w:pPr>
        <w:spacing w:after="0" w:line="360" w:lineRule="auto"/>
        <w:jc w:val="both"/>
        <w:rPr>
          <w:rFonts w:ascii="Arial" w:hAnsi="Arial" w:cs="Arial"/>
          <w:sz w:val="24"/>
          <w:szCs w:val="24"/>
        </w:rPr>
      </w:pPr>
    </w:p>
    <w:p w14:paraId="26FA0CBA" w14:textId="5CF25F92" w:rsidR="00642E95" w:rsidRPr="00F533A8" w:rsidRDefault="00642E95" w:rsidP="00E212A8">
      <w:pPr>
        <w:spacing w:after="0" w:line="360" w:lineRule="auto"/>
        <w:jc w:val="both"/>
        <w:rPr>
          <w:rFonts w:ascii="Arial" w:hAnsi="Arial" w:cs="Arial"/>
          <w:sz w:val="24"/>
          <w:szCs w:val="24"/>
        </w:rPr>
      </w:pPr>
      <w:r w:rsidRPr="00F533A8">
        <w:rPr>
          <w:rFonts w:ascii="Arial" w:hAnsi="Arial" w:cs="Arial"/>
          <w:sz w:val="24"/>
          <w:szCs w:val="24"/>
        </w:rPr>
        <w:t>[</w:t>
      </w:r>
      <w:r w:rsidR="00704957" w:rsidRPr="00F533A8">
        <w:rPr>
          <w:rFonts w:ascii="Arial" w:hAnsi="Arial" w:cs="Arial"/>
          <w:sz w:val="24"/>
          <w:szCs w:val="24"/>
        </w:rPr>
        <w:t>42</w:t>
      </w:r>
      <w:r w:rsidRPr="00F533A8">
        <w:rPr>
          <w:rFonts w:ascii="Arial" w:hAnsi="Arial" w:cs="Arial"/>
          <w:sz w:val="24"/>
          <w:szCs w:val="24"/>
        </w:rPr>
        <w:t>]</w:t>
      </w:r>
      <w:r w:rsidR="00396285">
        <w:rPr>
          <w:rFonts w:ascii="Arial" w:hAnsi="Arial" w:cs="Arial"/>
          <w:sz w:val="24"/>
          <w:szCs w:val="24"/>
        </w:rPr>
        <w:tab/>
      </w:r>
      <w:r w:rsidRPr="00F533A8">
        <w:rPr>
          <w:rFonts w:ascii="Arial" w:hAnsi="Arial" w:cs="Arial"/>
          <w:sz w:val="24"/>
          <w:szCs w:val="24"/>
        </w:rPr>
        <w:t xml:space="preserve">The second stage of the enquiry into the reasonableness of the delay is a flexible one. It involves a legal evaluation taking into account a number of factors such as the nature of the impugned decision, the </w:t>
      </w:r>
      <w:r w:rsidR="00296E61">
        <w:rPr>
          <w:rFonts w:ascii="Arial" w:hAnsi="Arial" w:cs="Arial"/>
          <w:sz w:val="24"/>
          <w:szCs w:val="24"/>
        </w:rPr>
        <w:t xml:space="preserve">Tribunal’s </w:t>
      </w:r>
      <w:r w:rsidRPr="00F533A8">
        <w:rPr>
          <w:rFonts w:ascii="Arial" w:hAnsi="Arial" w:cs="Arial"/>
          <w:sz w:val="24"/>
          <w:szCs w:val="24"/>
        </w:rPr>
        <w:t>duty in terms of s</w:t>
      </w:r>
      <w:r w:rsidR="00296E61">
        <w:rPr>
          <w:rFonts w:ascii="Arial" w:hAnsi="Arial" w:cs="Arial"/>
          <w:sz w:val="24"/>
          <w:szCs w:val="24"/>
        </w:rPr>
        <w:t xml:space="preserve">ection 8 of its enabling statute to review and set aside an unlawfully awarded tender, </w:t>
      </w:r>
      <w:r w:rsidRPr="00F533A8">
        <w:rPr>
          <w:rFonts w:ascii="Arial" w:hAnsi="Arial" w:cs="Arial"/>
          <w:sz w:val="24"/>
          <w:szCs w:val="24"/>
        </w:rPr>
        <w:t xml:space="preserve">the possible consequences of setting aside the impugned decision including potential prejudice to affected parties and whether such may be ameliorated by the court’s power to grant a just and equitable remedy. The interests of justice are an overriding factor in this enquiry. Some of the relevant factors will require the merits of the review to be traversed. </w:t>
      </w:r>
    </w:p>
    <w:p w14:paraId="61C6F377" w14:textId="77777777" w:rsidR="00642E95" w:rsidRPr="00F533A8" w:rsidRDefault="00642E95" w:rsidP="00E212A8">
      <w:pPr>
        <w:spacing w:after="0" w:line="360" w:lineRule="auto"/>
        <w:jc w:val="both"/>
        <w:rPr>
          <w:rFonts w:ascii="Arial" w:hAnsi="Arial" w:cs="Arial"/>
          <w:sz w:val="24"/>
          <w:szCs w:val="24"/>
        </w:rPr>
      </w:pPr>
      <w:r w:rsidRPr="00F533A8">
        <w:rPr>
          <w:rFonts w:ascii="Arial" w:hAnsi="Arial" w:cs="Arial"/>
          <w:sz w:val="24"/>
          <w:szCs w:val="24"/>
        </w:rPr>
        <w:t xml:space="preserve"> </w:t>
      </w:r>
    </w:p>
    <w:p w14:paraId="0ADF1CE6" w14:textId="6C36371F" w:rsidR="00642E95" w:rsidRPr="00F533A8" w:rsidRDefault="00642E95"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AB402B" w:rsidRPr="00F533A8">
        <w:rPr>
          <w:rFonts w:ascii="Arial" w:hAnsi="Arial" w:cs="Arial"/>
          <w:sz w:val="24"/>
          <w:szCs w:val="24"/>
        </w:rPr>
        <w:t>4</w:t>
      </w:r>
      <w:r w:rsidR="00704957" w:rsidRPr="00F533A8">
        <w:rPr>
          <w:rFonts w:ascii="Arial" w:hAnsi="Arial" w:cs="Arial"/>
          <w:sz w:val="24"/>
          <w:szCs w:val="24"/>
        </w:rPr>
        <w:t>3</w:t>
      </w:r>
      <w:r w:rsidRPr="00F533A8">
        <w:rPr>
          <w:rFonts w:ascii="Arial" w:hAnsi="Arial" w:cs="Arial"/>
          <w:sz w:val="24"/>
          <w:szCs w:val="24"/>
        </w:rPr>
        <w:t>]</w:t>
      </w:r>
      <w:r w:rsidR="00396285">
        <w:rPr>
          <w:rFonts w:ascii="Arial" w:hAnsi="Arial" w:cs="Arial"/>
          <w:sz w:val="24"/>
          <w:szCs w:val="24"/>
        </w:rPr>
        <w:tab/>
      </w:r>
      <w:r w:rsidRPr="00F533A8">
        <w:rPr>
          <w:rFonts w:ascii="Arial" w:hAnsi="Arial" w:cs="Arial"/>
          <w:sz w:val="24"/>
          <w:szCs w:val="24"/>
        </w:rPr>
        <w:t>Since the SIU seeks condonation for the delay, I also consider whether it has made out a proper case for such an order. The factors that need to be considered when granting condonation are as follows :</w:t>
      </w:r>
    </w:p>
    <w:p w14:paraId="211922FD" w14:textId="3DD228FF" w:rsidR="00704957" w:rsidRPr="009F468E" w:rsidRDefault="009F468E" w:rsidP="009F468E">
      <w:pPr>
        <w:tabs>
          <w:tab w:val="left" w:pos="851"/>
        </w:tabs>
        <w:spacing w:line="360" w:lineRule="auto"/>
        <w:ind w:left="460" w:hanging="460"/>
        <w:jc w:val="both"/>
        <w:rPr>
          <w:rFonts w:ascii="Arial" w:hAnsi="Arial"/>
          <w:sz w:val="24"/>
          <w:szCs w:val="24"/>
        </w:rPr>
      </w:pPr>
      <w:r w:rsidRPr="00F533A8">
        <w:rPr>
          <w:rFonts w:ascii="Arial" w:eastAsia="Arial" w:hAnsi="Arial" w:cs="Arial"/>
          <w:kern w:val="0"/>
          <w:sz w:val="24"/>
          <w:szCs w:val="24"/>
          <w:lang w:val="en-US"/>
          <w14:ligatures w14:val="none"/>
        </w:rPr>
        <w:t>43.1</w:t>
      </w:r>
      <w:r w:rsidRPr="00F533A8">
        <w:rPr>
          <w:rFonts w:ascii="Arial" w:eastAsia="Arial" w:hAnsi="Arial" w:cs="Arial"/>
          <w:kern w:val="0"/>
          <w:sz w:val="24"/>
          <w:szCs w:val="24"/>
          <w:lang w:val="en-US"/>
          <w14:ligatures w14:val="none"/>
        </w:rPr>
        <w:tab/>
      </w:r>
      <w:r w:rsidR="00642E95" w:rsidRPr="009F468E">
        <w:rPr>
          <w:rFonts w:ascii="Arial" w:hAnsi="Arial"/>
          <w:sz w:val="24"/>
          <w:szCs w:val="24"/>
        </w:rPr>
        <w:t>The nature of the relief sought.</w:t>
      </w:r>
    </w:p>
    <w:p w14:paraId="084960DD" w14:textId="71D90EFC" w:rsidR="00704957" w:rsidRPr="009F468E" w:rsidRDefault="009F468E" w:rsidP="009F468E">
      <w:pPr>
        <w:tabs>
          <w:tab w:val="left" w:pos="851"/>
        </w:tabs>
        <w:spacing w:line="360" w:lineRule="auto"/>
        <w:ind w:left="460" w:hanging="460"/>
        <w:jc w:val="both"/>
        <w:rPr>
          <w:rFonts w:ascii="Arial" w:hAnsi="Arial"/>
          <w:sz w:val="24"/>
          <w:szCs w:val="24"/>
        </w:rPr>
      </w:pPr>
      <w:r w:rsidRPr="00F533A8">
        <w:rPr>
          <w:rFonts w:ascii="Arial" w:eastAsia="Arial" w:hAnsi="Arial" w:cs="Arial"/>
          <w:kern w:val="0"/>
          <w:sz w:val="24"/>
          <w:szCs w:val="24"/>
          <w:lang w:val="en-US"/>
          <w14:ligatures w14:val="none"/>
        </w:rPr>
        <w:t>43.2</w:t>
      </w:r>
      <w:r w:rsidRPr="00F533A8">
        <w:rPr>
          <w:rFonts w:ascii="Arial" w:eastAsia="Arial" w:hAnsi="Arial" w:cs="Arial"/>
          <w:kern w:val="0"/>
          <w:sz w:val="24"/>
          <w:szCs w:val="24"/>
          <w:lang w:val="en-US"/>
          <w14:ligatures w14:val="none"/>
        </w:rPr>
        <w:tab/>
      </w:r>
      <w:r w:rsidR="00642E95" w:rsidRPr="009F468E">
        <w:rPr>
          <w:rFonts w:ascii="Arial" w:hAnsi="Arial"/>
          <w:sz w:val="24"/>
          <w:szCs w:val="24"/>
        </w:rPr>
        <w:t>The extent and cause of the delay.</w:t>
      </w:r>
    </w:p>
    <w:p w14:paraId="134A5DC4" w14:textId="7C63DF87" w:rsidR="00704957" w:rsidRPr="009F468E" w:rsidRDefault="009F468E" w:rsidP="009F468E">
      <w:pPr>
        <w:tabs>
          <w:tab w:val="left" w:pos="851"/>
        </w:tabs>
        <w:spacing w:line="360" w:lineRule="auto"/>
        <w:ind w:left="460" w:hanging="460"/>
        <w:jc w:val="both"/>
        <w:rPr>
          <w:rFonts w:ascii="Arial" w:hAnsi="Arial"/>
          <w:sz w:val="24"/>
          <w:szCs w:val="24"/>
        </w:rPr>
      </w:pPr>
      <w:r w:rsidRPr="00F533A8">
        <w:rPr>
          <w:rFonts w:ascii="Arial" w:eastAsia="Arial" w:hAnsi="Arial" w:cs="Arial"/>
          <w:kern w:val="0"/>
          <w:sz w:val="24"/>
          <w:szCs w:val="24"/>
          <w:lang w:val="en-US"/>
          <w14:ligatures w14:val="none"/>
        </w:rPr>
        <w:t>43.3</w:t>
      </w:r>
      <w:r w:rsidRPr="00F533A8">
        <w:rPr>
          <w:rFonts w:ascii="Arial" w:eastAsia="Arial" w:hAnsi="Arial" w:cs="Arial"/>
          <w:kern w:val="0"/>
          <w:sz w:val="24"/>
          <w:szCs w:val="24"/>
          <w:lang w:val="en-US"/>
          <w14:ligatures w14:val="none"/>
        </w:rPr>
        <w:tab/>
      </w:r>
      <w:r w:rsidR="00642E95" w:rsidRPr="009F468E">
        <w:rPr>
          <w:rFonts w:ascii="Arial" w:hAnsi="Arial"/>
          <w:sz w:val="24"/>
          <w:szCs w:val="24"/>
        </w:rPr>
        <w:t>The effect of the delay on the administration of justice and other litigants.</w:t>
      </w:r>
    </w:p>
    <w:p w14:paraId="26BF9889" w14:textId="2D88A0B5" w:rsidR="00704957" w:rsidRPr="009F468E" w:rsidRDefault="009F468E" w:rsidP="009F468E">
      <w:pPr>
        <w:tabs>
          <w:tab w:val="left" w:pos="851"/>
        </w:tabs>
        <w:spacing w:line="360" w:lineRule="auto"/>
        <w:ind w:left="460" w:hanging="460"/>
        <w:jc w:val="both"/>
        <w:rPr>
          <w:rFonts w:ascii="Arial" w:hAnsi="Arial"/>
          <w:sz w:val="24"/>
          <w:szCs w:val="24"/>
        </w:rPr>
      </w:pPr>
      <w:r w:rsidRPr="00F533A8">
        <w:rPr>
          <w:rFonts w:ascii="Arial" w:eastAsia="Arial" w:hAnsi="Arial" w:cs="Arial"/>
          <w:kern w:val="0"/>
          <w:sz w:val="24"/>
          <w:szCs w:val="24"/>
          <w:lang w:val="en-US"/>
          <w14:ligatures w14:val="none"/>
        </w:rPr>
        <w:t>43.4</w:t>
      </w:r>
      <w:r w:rsidRPr="00F533A8">
        <w:rPr>
          <w:rFonts w:ascii="Arial" w:eastAsia="Arial" w:hAnsi="Arial" w:cs="Arial"/>
          <w:kern w:val="0"/>
          <w:sz w:val="24"/>
          <w:szCs w:val="24"/>
          <w:lang w:val="en-US"/>
          <w14:ligatures w14:val="none"/>
        </w:rPr>
        <w:tab/>
      </w:r>
      <w:r w:rsidR="00642E95" w:rsidRPr="009F468E">
        <w:rPr>
          <w:rFonts w:ascii="Arial" w:hAnsi="Arial"/>
          <w:sz w:val="24"/>
          <w:szCs w:val="24"/>
        </w:rPr>
        <w:t>The reasonableness of the explanation for the delay.</w:t>
      </w:r>
    </w:p>
    <w:p w14:paraId="4504A5C2" w14:textId="320A1F34" w:rsidR="00704957" w:rsidRPr="009F468E" w:rsidRDefault="009F468E" w:rsidP="009F468E">
      <w:pPr>
        <w:tabs>
          <w:tab w:val="left" w:pos="851"/>
        </w:tabs>
        <w:spacing w:line="360" w:lineRule="auto"/>
        <w:ind w:left="460" w:hanging="460"/>
        <w:jc w:val="both"/>
        <w:rPr>
          <w:rFonts w:ascii="Arial" w:hAnsi="Arial"/>
          <w:sz w:val="24"/>
          <w:szCs w:val="24"/>
        </w:rPr>
      </w:pPr>
      <w:r w:rsidRPr="00F533A8">
        <w:rPr>
          <w:rFonts w:ascii="Arial" w:eastAsia="Arial" w:hAnsi="Arial" w:cs="Arial"/>
          <w:kern w:val="0"/>
          <w:sz w:val="24"/>
          <w:szCs w:val="24"/>
          <w:lang w:val="en-US"/>
          <w14:ligatures w14:val="none"/>
        </w:rPr>
        <w:t>43.5</w:t>
      </w:r>
      <w:r w:rsidRPr="00F533A8">
        <w:rPr>
          <w:rFonts w:ascii="Arial" w:eastAsia="Arial" w:hAnsi="Arial" w:cs="Arial"/>
          <w:kern w:val="0"/>
          <w:sz w:val="24"/>
          <w:szCs w:val="24"/>
          <w:lang w:val="en-US"/>
          <w14:ligatures w14:val="none"/>
        </w:rPr>
        <w:tab/>
      </w:r>
      <w:r w:rsidR="00642E95" w:rsidRPr="009F468E">
        <w:rPr>
          <w:rFonts w:ascii="Arial" w:hAnsi="Arial"/>
          <w:sz w:val="24"/>
          <w:szCs w:val="24"/>
        </w:rPr>
        <w:t xml:space="preserve">The importance of the issue to be raised. </w:t>
      </w:r>
    </w:p>
    <w:p w14:paraId="0792EC07" w14:textId="1BA4214F" w:rsidR="00642E95" w:rsidRPr="009F468E" w:rsidRDefault="009F468E" w:rsidP="009F468E">
      <w:pPr>
        <w:tabs>
          <w:tab w:val="left" w:pos="851"/>
        </w:tabs>
        <w:spacing w:line="360" w:lineRule="auto"/>
        <w:ind w:left="460" w:hanging="460"/>
        <w:jc w:val="both"/>
        <w:rPr>
          <w:rFonts w:ascii="Arial" w:hAnsi="Arial"/>
          <w:sz w:val="24"/>
          <w:szCs w:val="24"/>
        </w:rPr>
      </w:pPr>
      <w:r w:rsidRPr="00F533A8">
        <w:rPr>
          <w:rFonts w:ascii="Arial" w:eastAsia="Arial" w:hAnsi="Arial" w:cs="Arial"/>
          <w:kern w:val="0"/>
          <w:sz w:val="24"/>
          <w:szCs w:val="24"/>
          <w:lang w:val="en-US"/>
          <w14:ligatures w14:val="none"/>
        </w:rPr>
        <w:t>43.6</w:t>
      </w:r>
      <w:r w:rsidRPr="00F533A8">
        <w:rPr>
          <w:rFonts w:ascii="Arial" w:eastAsia="Arial" w:hAnsi="Arial" w:cs="Arial"/>
          <w:kern w:val="0"/>
          <w:sz w:val="24"/>
          <w:szCs w:val="24"/>
          <w:lang w:val="en-US"/>
          <w14:ligatures w14:val="none"/>
        </w:rPr>
        <w:tab/>
      </w:r>
      <w:r w:rsidR="00642E95" w:rsidRPr="009F468E">
        <w:rPr>
          <w:rFonts w:ascii="Arial" w:hAnsi="Arial"/>
          <w:sz w:val="24"/>
          <w:szCs w:val="24"/>
        </w:rPr>
        <w:t>The prospects of success.</w:t>
      </w:r>
    </w:p>
    <w:p w14:paraId="277652EE" w14:textId="77777777" w:rsidR="00890EE9" w:rsidRPr="00F533A8" w:rsidRDefault="00890EE9" w:rsidP="00E212A8">
      <w:pPr>
        <w:tabs>
          <w:tab w:val="left" w:pos="851"/>
        </w:tabs>
        <w:spacing w:line="360" w:lineRule="auto"/>
        <w:jc w:val="both"/>
        <w:rPr>
          <w:rFonts w:ascii="Arial" w:hAnsi="Arial" w:cs="Arial"/>
          <w:sz w:val="24"/>
          <w:szCs w:val="24"/>
        </w:rPr>
      </w:pPr>
    </w:p>
    <w:p w14:paraId="673ECC79" w14:textId="114C53C8" w:rsidR="00647D96" w:rsidRPr="00296E61" w:rsidRDefault="00890EE9" w:rsidP="00E212A8">
      <w:pPr>
        <w:tabs>
          <w:tab w:val="left" w:pos="851"/>
        </w:tabs>
        <w:spacing w:line="360" w:lineRule="auto"/>
        <w:jc w:val="both"/>
        <w:rPr>
          <w:rFonts w:ascii="Arial" w:hAnsi="Arial" w:cs="Arial"/>
          <w:i/>
          <w:iCs/>
          <w:sz w:val="24"/>
          <w:szCs w:val="24"/>
        </w:rPr>
      </w:pPr>
      <w:r w:rsidRPr="00F533A8">
        <w:rPr>
          <w:rFonts w:ascii="Arial" w:hAnsi="Arial" w:cs="Arial"/>
          <w:sz w:val="24"/>
          <w:szCs w:val="24"/>
        </w:rPr>
        <w:t>[</w:t>
      </w:r>
      <w:r w:rsidR="00AB402B" w:rsidRPr="00F533A8">
        <w:rPr>
          <w:rFonts w:ascii="Arial" w:hAnsi="Arial" w:cs="Arial"/>
          <w:sz w:val="24"/>
          <w:szCs w:val="24"/>
        </w:rPr>
        <w:t>4</w:t>
      </w:r>
      <w:r w:rsidR="00704957" w:rsidRPr="00F533A8">
        <w:rPr>
          <w:rFonts w:ascii="Arial" w:hAnsi="Arial" w:cs="Arial"/>
          <w:sz w:val="24"/>
          <w:szCs w:val="24"/>
        </w:rPr>
        <w:t>4</w:t>
      </w:r>
      <w:r w:rsidRPr="00F533A8">
        <w:rPr>
          <w:rFonts w:ascii="Arial" w:hAnsi="Arial" w:cs="Arial"/>
          <w:sz w:val="24"/>
          <w:szCs w:val="24"/>
        </w:rPr>
        <w:t>]</w:t>
      </w:r>
      <w:r w:rsidR="00396285">
        <w:rPr>
          <w:rFonts w:ascii="Arial" w:hAnsi="Arial" w:cs="Arial"/>
          <w:sz w:val="24"/>
          <w:szCs w:val="24"/>
        </w:rPr>
        <w:tab/>
      </w:r>
      <w:r w:rsidR="00647D96" w:rsidRPr="00F533A8">
        <w:rPr>
          <w:rFonts w:ascii="Arial" w:hAnsi="Arial" w:cs="Arial"/>
          <w:sz w:val="24"/>
          <w:szCs w:val="24"/>
        </w:rPr>
        <w:t xml:space="preserve">Proclamation R.36 of 2018 was issued on 18 December 2018. The SIU only instituted the present application on 25 March 2021. This </w:t>
      </w:r>
      <w:r w:rsidR="00E95B0A" w:rsidRPr="00F533A8">
        <w:rPr>
          <w:rFonts w:ascii="Arial" w:hAnsi="Arial" w:cs="Arial"/>
          <w:sz w:val="24"/>
          <w:szCs w:val="24"/>
        </w:rPr>
        <w:t xml:space="preserve">is </w:t>
      </w:r>
      <w:r w:rsidR="00647D96" w:rsidRPr="00F533A8">
        <w:rPr>
          <w:rFonts w:ascii="Arial" w:hAnsi="Arial" w:cs="Arial"/>
          <w:sz w:val="24"/>
          <w:szCs w:val="24"/>
        </w:rPr>
        <w:t xml:space="preserve">two years and three months after the proclamation was issued. In its founding affidavit, the SIU </w:t>
      </w:r>
      <w:r w:rsidR="00E95B0A" w:rsidRPr="00F533A8">
        <w:rPr>
          <w:rFonts w:ascii="Arial" w:hAnsi="Arial" w:cs="Arial"/>
          <w:sz w:val="24"/>
          <w:szCs w:val="24"/>
        </w:rPr>
        <w:t>fails to explain</w:t>
      </w:r>
      <w:r w:rsidR="00EF78B0" w:rsidRPr="00F533A8">
        <w:rPr>
          <w:rFonts w:ascii="Arial" w:hAnsi="Arial" w:cs="Arial"/>
          <w:sz w:val="24"/>
          <w:szCs w:val="24"/>
        </w:rPr>
        <w:t xml:space="preserve"> the delay</w:t>
      </w:r>
      <w:r w:rsidR="00647D96" w:rsidRPr="00F533A8">
        <w:rPr>
          <w:rFonts w:ascii="Arial" w:hAnsi="Arial" w:cs="Arial"/>
          <w:sz w:val="24"/>
          <w:szCs w:val="24"/>
        </w:rPr>
        <w:t xml:space="preserve">. </w:t>
      </w:r>
      <w:r w:rsidR="00EF78B0" w:rsidRPr="00F533A8">
        <w:rPr>
          <w:rFonts w:ascii="Arial" w:hAnsi="Arial" w:cs="Arial"/>
          <w:sz w:val="24"/>
          <w:szCs w:val="24"/>
        </w:rPr>
        <w:t xml:space="preserve">At that stage, it had made no application for condonation. </w:t>
      </w:r>
      <w:r w:rsidR="00647D96" w:rsidRPr="00F533A8">
        <w:rPr>
          <w:rFonts w:ascii="Arial" w:hAnsi="Arial" w:cs="Arial"/>
          <w:sz w:val="24"/>
          <w:szCs w:val="24"/>
        </w:rPr>
        <w:t xml:space="preserve">It only addressed the issue in reply to the second respondent’s point in </w:t>
      </w:r>
      <w:r w:rsidR="00647D96" w:rsidRPr="00296E61">
        <w:rPr>
          <w:rFonts w:ascii="Arial" w:hAnsi="Arial" w:cs="Arial"/>
          <w:i/>
          <w:iCs/>
          <w:sz w:val="24"/>
          <w:szCs w:val="24"/>
        </w:rPr>
        <w:t>limine</w:t>
      </w:r>
      <w:r w:rsidR="00EF78B0" w:rsidRPr="00296E61">
        <w:rPr>
          <w:rFonts w:ascii="Arial" w:hAnsi="Arial" w:cs="Arial"/>
          <w:i/>
          <w:iCs/>
          <w:sz w:val="24"/>
          <w:szCs w:val="24"/>
        </w:rPr>
        <w:t xml:space="preserve">. </w:t>
      </w:r>
    </w:p>
    <w:p w14:paraId="4FC900FC" w14:textId="2BD57F70" w:rsidR="00413054" w:rsidRPr="00F533A8" w:rsidRDefault="00EF78B0"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AB402B" w:rsidRPr="00F533A8">
        <w:rPr>
          <w:rFonts w:ascii="Arial" w:hAnsi="Arial" w:cs="Arial"/>
          <w:sz w:val="24"/>
          <w:szCs w:val="24"/>
        </w:rPr>
        <w:t>4</w:t>
      </w:r>
      <w:r w:rsidR="00704957" w:rsidRPr="00F533A8">
        <w:rPr>
          <w:rFonts w:ascii="Arial" w:hAnsi="Arial" w:cs="Arial"/>
          <w:sz w:val="24"/>
          <w:szCs w:val="24"/>
        </w:rPr>
        <w:t>5</w:t>
      </w:r>
      <w:r w:rsidRPr="00F533A8">
        <w:rPr>
          <w:rFonts w:ascii="Arial" w:hAnsi="Arial" w:cs="Arial"/>
          <w:sz w:val="24"/>
          <w:szCs w:val="24"/>
        </w:rPr>
        <w:t>]</w:t>
      </w:r>
      <w:r w:rsidR="00396285">
        <w:rPr>
          <w:rFonts w:ascii="Arial" w:hAnsi="Arial" w:cs="Arial"/>
          <w:sz w:val="24"/>
          <w:szCs w:val="24"/>
        </w:rPr>
        <w:tab/>
      </w:r>
      <w:r w:rsidRPr="00F533A8">
        <w:rPr>
          <w:rFonts w:ascii="Arial" w:hAnsi="Arial" w:cs="Arial"/>
          <w:sz w:val="24"/>
          <w:szCs w:val="24"/>
        </w:rPr>
        <w:t xml:space="preserve">When </w:t>
      </w:r>
      <w:r w:rsidR="00E95B0A" w:rsidRPr="00F533A8">
        <w:rPr>
          <w:rFonts w:ascii="Arial" w:hAnsi="Arial" w:cs="Arial"/>
          <w:sz w:val="24"/>
          <w:szCs w:val="24"/>
        </w:rPr>
        <w:t xml:space="preserve">the SIU </w:t>
      </w:r>
      <w:r w:rsidRPr="00F533A8">
        <w:rPr>
          <w:rFonts w:ascii="Arial" w:hAnsi="Arial" w:cs="Arial"/>
          <w:sz w:val="24"/>
          <w:szCs w:val="24"/>
        </w:rPr>
        <w:t xml:space="preserve">ultimately </w:t>
      </w:r>
      <w:r w:rsidR="008C1523" w:rsidRPr="00F533A8">
        <w:rPr>
          <w:rFonts w:ascii="Arial" w:hAnsi="Arial" w:cs="Arial"/>
          <w:sz w:val="24"/>
          <w:szCs w:val="24"/>
        </w:rPr>
        <w:t>explained</w:t>
      </w:r>
      <w:r w:rsidRPr="00F533A8">
        <w:rPr>
          <w:rFonts w:ascii="Arial" w:hAnsi="Arial" w:cs="Arial"/>
          <w:sz w:val="24"/>
          <w:szCs w:val="24"/>
        </w:rPr>
        <w:t xml:space="preserve"> the delay, it said that the investigation began in February 2019 because most SIU members were on leave during December 2018 and January 2019. It </w:t>
      </w:r>
      <w:r w:rsidR="00413054" w:rsidRPr="00F533A8">
        <w:rPr>
          <w:rFonts w:ascii="Arial" w:hAnsi="Arial" w:cs="Arial"/>
          <w:sz w:val="24"/>
          <w:szCs w:val="24"/>
        </w:rPr>
        <w:t>explains that several</w:t>
      </w:r>
      <w:r w:rsidR="00E95B0A" w:rsidRPr="00F533A8">
        <w:rPr>
          <w:rFonts w:ascii="Arial" w:hAnsi="Arial" w:cs="Arial"/>
          <w:sz w:val="24"/>
          <w:szCs w:val="24"/>
        </w:rPr>
        <w:t xml:space="preserve"> other</w:t>
      </w:r>
      <w:r w:rsidR="00413054" w:rsidRPr="00F533A8">
        <w:rPr>
          <w:rFonts w:ascii="Arial" w:hAnsi="Arial" w:cs="Arial"/>
          <w:sz w:val="24"/>
          <w:szCs w:val="24"/>
        </w:rPr>
        <w:t xml:space="preserve"> factors caused the delay</w:t>
      </w:r>
      <w:r w:rsidR="00E95B0A" w:rsidRPr="00F533A8">
        <w:rPr>
          <w:rFonts w:ascii="Arial" w:hAnsi="Arial" w:cs="Arial"/>
          <w:sz w:val="24"/>
          <w:szCs w:val="24"/>
        </w:rPr>
        <w:t>. They are as follows:</w:t>
      </w:r>
    </w:p>
    <w:p w14:paraId="6A1216EA" w14:textId="481C468E" w:rsidR="00704957" w:rsidRPr="009F468E" w:rsidRDefault="009F468E" w:rsidP="009F468E">
      <w:pPr>
        <w:tabs>
          <w:tab w:val="left" w:pos="851"/>
        </w:tabs>
        <w:spacing w:line="360" w:lineRule="auto"/>
        <w:ind w:left="460" w:hanging="460"/>
        <w:jc w:val="both"/>
        <w:rPr>
          <w:rFonts w:ascii="Arial" w:hAnsi="Arial"/>
          <w:sz w:val="24"/>
          <w:szCs w:val="24"/>
        </w:rPr>
      </w:pPr>
      <w:r w:rsidRPr="00F533A8">
        <w:rPr>
          <w:rFonts w:ascii="Arial" w:eastAsia="Arial" w:hAnsi="Arial" w:cs="Arial"/>
          <w:kern w:val="0"/>
          <w:sz w:val="24"/>
          <w:szCs w:val="24"/>
          <w:lang w:val="en-US"/>
          <w14:ligatures w14:val="none"/>
        </w:rPr>
        <w:t>45.1</w:t>
      </w:r>
      <w:r w:rsidRPr="00F533A8">
        <w:rPr>
          <w:rFonts w:ascii="Arial" w:eastAsia="Arial" w:hAnsi="Arial" w:cs="Arial"/>
          <w:kern w:val="0"/>
          <w:sz w:val="24"/>
          <w:szCs w:val="24"/>
          <w:lang w:val="en-US"/>
          <w14:ligatures w14:val="none"/>
        </w:rPr>
        <w:tab/>
      </w:r>
      <w:r w:rsidR="00AB402B" w:rsidRPr="009F468E">
        <w:rPr>
          <w:rFonts w:ascii="Arial" w:hAnsi="Arial"/>
          <w:sz w:val="24"/>
          <w:szCs w:val="24"/>
        </w:rPr>
        <w:t>SI</w:t>
      </w:r>
      <w:r w:rsidR="00E95B0A" w:rsidRPr="009F468E">
        <w:rPr>
          <w:rFonts w:ascii="Arial" w:hAnsi="Arial"/>
          <w:sz w:val="24"/>
          <w:szCs w:val="24"/>
        </w:rPr>
        <w:t xml:space="preserve">U </w:t>
      </w:r>
      <w:r w:rsidR="00413054" w:rsidRPr="009F468E">
        <w:rPr>
          <w:rFonts w:ascii="Arial" w:hAnsi="Arial"/>
          <w:sz w:val="24"/>
          <w:szCs w:val="24"/>
        </w:rPr>
        <w:t>investigations are by</w:t>
      </w:r>
      <w:r w:rsidR="00E95B0A" w:rsidRPr="009F468E">
        <w:rPr>
          <w:rFonts w:ascii="Arial" w:hAnsi="Arial"/>
          <w:sz w:val="24"/>
          <w:szCs w:val="24"/>
        </w:rPr>
        <w:t xml:space="preserve"> their </w:t>
      </w:r>
      <w:r w:rsidR="00413054" w:rsidRPr="009F468E">
        <w:rPr>
          <w:rFonts w:ascii="Arial" w:hAnsi="Arial"/>
          <w:sz w:val="24"/>
          <w:szCs w:val="24"/>
        </w:rPr>
        <w:t xml:space="preserve">very nature protracted. </w:t>
      </w:r>
    </w:p>
    <w:p w14:paraId="38112031" w14:textId="56DC0178" w:rsidR="00704957" w:rsidRPr="009F468E" w:rsidRDefault="009F468E" w:rsidP="009F468E">
      <w:pPr>
        <w:tabs>
          <w:tab w:val="left" w:pos="851"/>
        </w:tabs>
        <w:spacing w:line="360" w:lineRule="auto"/>
        <w:ind w:left="460" w:hanging="460"/>
        <w:jc w:val="both"/>
        <w:rPr>
          <w:rFonts w:ascii="Arial" w:hAnsi="Arial"/>
          <w:sz w:val="24"/>
          <w:szCs w:val="24"/>
        </w:rPr>
      </w:pPr>
      <w:r w:rsidRPr="00F533A8">
        <w:rPr>
          <w:rFonts w:ascii="Arial" w:eastAsia="Arial" w:hAnsi="Arial" w:cs="Arial"/>
          <w:kern w:val="0"/>
          <w:sz w:val="24"/>
          <w:szCs w:val="24"/>
          <w:lang w:val="en-US"/>
          <w14:ligatures w14:val="none"/>
        </w:rPr>
        <w:t>45.2</w:t>
      </w:r>
      <w:r w:rsidRPr="00F533A8">
        <w:rPr>
          <w:rFonts w:ascii="Arial" w:eastAsia="Arial" w:hAnsi="Arial" w:cs="Arial"/>
          <w:kern w:val="0"/>
          <w:sz w:val="24"/>
          <w:szCs w:val="24"/>
          <w:lang w:val="en-US"/>
          <w14:ligatures w14:val="none"/>
        </w:rPr>
        <w:tab/>
      </w:r>
      <w:r w:rsidR="00E95B0A" w:rsidRPr="009F468E">
        <w:rPr>
          <w:rFonts w:ascii="Arial" w:hAnsi="Arial"/>
          <w:sz w:val="24"/>
          <w:szCs w:val="24"/>
        </w:rPr>
        <w:t>L</w:t>
      </w:r>
      <w:r w:rsidR="00413054" w:rsidRPr="009F468E">
        <w:rPr>
          <w:rFonts w:ascii="Arial" w:hAnsi="Arial"/>
          <w:sz w:val="24"/>
          <w:szCs w:val="24"/>
        </w:rPr>
        <w:t>ack of</w:t>
      </w:r>
      <w:r w:rsidR="00EF78B0" w:rsidRPr="009F468E">
        <w:rPr>
          <w:rFonts w:ascii="Arial" w:hAnsi="Arial"/>
          <w:sz w:val="24"/>
          <w:szCs w:val="24"/>
        </w:rPr>
        <w:t xml:space="preserve"> cooperation from the </w:t>
      </w:r>
      <w:r w:rsidR="00AB402B" w:rsidRPr="009F468E">
        <w:rPr>
          <w:rFonts w:ascii="Arial" w:hAnsi="Arial"/>
          <w:sz w:val="24"/>
          <w:szCs w:val="24"/>
        </w:rPr>
        <w:t xml:space="preserve">DOT </w:t>
      </w:r>
      <w:r w:rsidR="00EF78B0" w:rsidRPr="009F468E">
        <w:rPr>
          <w:rFonts w:ascii="Arial" w:hAnsi="Arial"/>
          <w:sz w:val="24"/>
          <w:szCs w:val="24"/>
        </w:rPr>
        <w:t>its officials</w:t>
      </w:r>
      <w:r w:rsidR="00413054" w:rsidRPr="009F468E">
        <w:rPr>
          <w:rFonts w:ascii="Arial" w:hAnsi="Arial"/>
          <w:sz w:val="24"/>
          <w:szCs w:val="24"/>
        </w:rPr>
        <w:t xml:space="preserve"> </w:t>
      </w:r>
      <w:r w:rsidR="00E95B0A" w:rsidRPr="009F468E">
        <w:rPr>
          <w:rFonts w:ascii="Arial" w:hAnsi="Arial"/>
          <w:sz w:val="24"/>
          <w:szCs w:val="24"/>
        </w:rPr>
        <w:t xml:space="preserve">who </w:t>
      </w:r>
      <w:r w:rsidR="008C1523" w:rsidRPr="009F468E">
        <w:rPr>
          <w:rFonts w:ascii="Arial" w:hAnsi="Arial"/>
          <w:sz w:val="24"/>
          <w:szCs w:val="24"/>
        </w:rPr>
        <w:t>are</w:t>
      </w:r>
      <w:r w:rsidR="00413054" w:rsidRPr="009F468E">
        <w:rPr>
          <w:rFonts w:ascii="Arial" w:hAnsi="Arial"/>
          <w:sz w:val="24"/>
          <w:szCs w:val="24"/>
        </w:rPr>
        <w:t xml:space="preserve"> in league with </w:t>
      </w:r>
      <w:r w:rsidR="00E95B0A" w:rsidRPr="009F468E">
        <w:rPr>
          <w:rFonts w:ascii="Arial" w:hAnsi="Arial"/>
          <w:sz w:val="24"/>
          <w:szCs w:val="24"/>
        </w:rPr>
        <w:t>Nexor a</w:t>
      </w:r>
      <w:r w:rsidR="00413054" w:rsidRPr="009F468E">
        <w:rPr>
          <w:rFonts w:ascii="Arial" w:hAnsi="Arial"/>
          <w:sz w:val="24"/>
          <w:szCs w:val="24"/>
        </w:rPr>
        <w:t xml:space="preserve">nd are themselves subject to disciplinary proceedings. </w:t>
      </w:r>
    </w:p>
    <w:p w14:paraId="19C2A25C" w14:textId="5F2D72BC" w:rsidR="00E95B0A" w:rsidRPr="009F468E" w:rsidRDefault="009F468E" w:rsidP="009F468E">
      <w:pPr>
        <w:tabs>
          <w:tab w:val="left" w:pos="851"/>
        </w:tabs>
        <w:spacing w:line="360" w:lineRule="auto"/>
        <w:ind w:left="460" w:hanging="460"/>
        <w:jc w:val="both"/>
        <w:rPr>
          <w:rFonts w:ascii="Arial" w:hAnsi="Arial"/>
          <w:sz w:val="24"/>
          <w:szCs w:val="24"/>
        </w:rPr>
      </w:pPr>
      <w:r w:rsidRPr="00F533A8">
        <w:rPr>
          <w:rFonts w:ascii="Arial" w:eastAsia="Arial" w:hAnsi="Arial" w:cs="Arial"/>
          <w:kern w:val="0"/>
          <w:sz w:val="24"/>
          <w:szCs w:val="24"/>
          <w:lang w:val="en-US"/>
          <w14:ligatures w14:val="none"/>
        </w:rPr>
        <w:t>45.3</w:t>
      </w:r>
      <w:r w:rsidRPr="00F533A8">
        <w:rPr>
          <w:rFonts w:ascii="Arial" w:eastAsia="Arial" w:hAnsi="Arial" w:cs="Arial"/>
          <w:kern w:val="0"/>
          <w:sz w:val="24"/>
          <w:szCs w:val="24"/>
          <w:lang w:val="en-US"/>
          <w14:ligatures w14:val="none"/>
        </w:rPr>
        <w:tab/>
      </w:r>
      <w:r w:rsidR="00537053" w:rsidRPr="009F468E">
        <w:rPr>
          <w:rFonts w:ascii="Arial" w:hAnsi="Arial"/>
          <w:sz w:val="24"/>
          <w:szCs w:val="24"/>
        </w:rPr>
        <w:t>The declaration of the state of national disaster in March 2020</w:t>
      </w:r>
      <w:r w:rsidR="00E95B0A" w:rsidRPr="009F468E">
        <w:rPr>
          <w:rFonts w:ascii="Arial" w:hAnsi="Arial"/>
          <w:sz w:val="24"/>
          <w:szCs w:val="24"/>
        </w:rPr>
        <w:t>.</w:t>
      </w:r>
    </w:p>
    <w:p w14:paraId="17177145" w14:textId="77777777" w:rsidR="00E95B0A" w:rsidRPr="00F533A8" w:rsidRDefault="00E95B0A" w:rsidP="00E212A8">
      <w:pPr>
        <w:tabs>
          <w:tab w:val="left" w:pos="851"/>
        </w:tabs>
        <w:spacing w:line="360" w:lineRule="auto"/>
        <w:ind w:left="360"/>
        <w:jc w:val="both"/>
        <w:rPr>
          <w:rFonts w:ascii="Arial" w:hAnsi="Arial" w:cs="Arial"/>
          <w:sz w:val="24"/>
          <w:szCs w:val="24"/>
        </w:rPr>
      </w:pPr>
    </w:p>
    <w:p w14:paraId="7E19802E" w14:textId="21C286D8" w:rsidR="00E95B0A" w:rsidRPr="00F533A8" w:rsidRDefault="00AB402B" w:rsidP="00E212A8">
      <w:pPr>
        <w:tabs>
          <w:tab w:val="left" w:pos="851"/>
        </w:tabs>
        <w:spacing w:line="360" w:lineRule="auto"/>
        <w:jc w:val="both"/>
        <w:rPr>
          <w:rFonts w:ascii="Arial" w:hAnsi="Arial" w:cs="Arial"/>
          <w:sz w:val="24"/>
          <w:szCs w:val="24"/>
        </w:rPr>
      </w:pPr>
      <w:r w:rsidRPr="00F533A8">
        <w:rPr>
          <w:rFonts w:ascii="Arial" w:hAnsi="Arial" w:cs="Arial"/>
          <w:sz w:val="24"/>
          <w:szCs w:val="24"/>
        </w:rPr>
        <w:t>[4</w:t>
      </w:r>
      <w:r w:rsidR="00704957" w:rsidRPr="00F533A8">
        <w:rPr>
          <w:rFonts w:ascii="Arial" w:hAnsi="Arial" w:cs="Arial"/>
          <w:sz w:val="24"/>
          <w:szCs w:val="24"/>
        </w:rPr>
        <w:t xml:space="preserve">6] </w:t>
      </w:r>
      <w:r w:rsidR="00396285">
        <w:rPr>
          <w:rFonts w:ascii="Arial" w:hAnsi="Arial" w:cs="Arial"/>
          <w:sz w:val="24"/>
          <w:szCs w:val="24"/>
        </w:rPr>
        <w:tab/>
      </w:r>
      <w:r w:rsidRPr="00F533A8">
        <w:rPr>
          <w:rFonts w:ascii="Arial" w:hAnsi="Arial" w:cs="Arial"/>
          <w:sz w:val="24"/>
          <w:szCs w:val="24"/>
        </w:rPr>
        <w:t xml:space="preserve">Considering </w:t>
      </w:r>
      <w:r w:rsidR="00E95B0A" w:rsidRPr="00F533A8">
        <w:rPr>
          <w:rFonts w:ascii="Arial" w:hAnsi="Arial" w:cs="Arial"/>
          <w:sz w:val="24"/>
          <w:szCs w:val="24"/>
        </w:rPr>
        <w:t xml:space="preserve">the activities the SIU undertook to investigate the tender, it does not support </w:t>
      </w:r>
      <w:r w:rsidRPr="00F533A8">
        <w:rPr>
          <w:rFonts w:ascii="Arial" w:hAnsi="Arial" w:cs="Arial"/>
          <w:sz w:val="24"/>
          <w:szCs w:val="24"/>
        </w:rPr>
        <w:t xml:space="preserve">its contention that its investigation into the tender was protracted. </w:t>
      </w:r>
      <w:r w:rsidR="00E95B0A" w:rsidRPr="00F533A8">
        <w:rPr>
          <w:rFonts w:ascii="Arial" w:hAnsi="Arial" w:cs="Arial"/>
          <w:sz w:val="24"/>
          <w:szCs w:val="24"/>
        </w:rPr>
        <w:t xml:space="preserve">The SIU largely relied on the findings </w:t>
      </w:r>
      <w:r w:rsidR="00701E48">
        <w:rPr>
          <w:rFonts w:ascii="Arial" w:hAnsi="Arial" w:cs="Arial"/>
          <w:sz w:val="24"/>
          <w:szCs w:val="24"/>
        </w:rPr>
        <w:t>AGSA</w:t>
      </w:r>
      <w:r w:rsidR="00296E61">
        <w:rPr>
          <w:rFonts w:ascii="Arial" w:hAnsi="Arial" w:cs="Arial"/>
          <w:sz w:val="24"/>
          <w:szCs w:val="24"/>
        </w:rPr>
        <w:t xml:space="preserve"> </w:t>
      </w:r>
      <w:r w:rsidR="00E95B0A" w:rsidRPr="00F533A8">
        <w:rPr>
          <w:rFonts w:ascii="Arial" w:hAnsi="Arial" w:cs="Arial"/>
          <w:sz w:val="24"/>
          <w:szCs w:val="24"/>
        </w:rPr>
        <w:t xml:space="preserve">made in the Final Management Report dated 29 July 2019. When it conducted its own investigations, it interviewed </w:t>
      </w:r>
      <w:r w:rsidRPr="00F533A8">
        <w:rPr>
          <w:rFonts w:ascii="Arial" w:hAnsi="Arial" w:cs="Arial"/>
          <w:sz w:val="24"/>
          <w:szCs w:val="24"/>
        </w:rPr>
        <w:t>several</w:t>
      </w:r>
      <w:r w:rsidR="00E95B0A" w:rsidRPr="00F533A8">
        <w:rPr>
          <w:rFonts w:ascii="Arial" w:hAnsi="Arial" w:cs="Arial"/>
          <w:sz w:val="24"/>
          <w:szCs w:val="24"/>
        </w:rPr>
        <w:t xml:space="preserve"> </w:t>
      </w:r>
      <w:r w:rsidRPr="00F533A8">
        <w:rPr>
          <w:rFonts w:ascii="Arial" w:hAnsi="Arial" w:cs="Arial"/>
          <w:sz w:val="24"/>
          <w:szCs w:val="24"/>
        </w:rPr>
        <w:t xml:space="preserve">DOT </w:t>
      </w:r>
      <w:r w:rsidR="00E95B0A" w:rsidRPr="00F533A8">
        <w:rPr>
          <w:rFonts w:ascii="Arial" w:hAnsi="Arial" w:cs="Arial"/>
          <w:sz w:val="24"/>
          <w:szCs w:val="24"/>
        </w:rPr>
        <w:t xml:space="preserve">officials. During these interviews, it largely focused on </w:t>
      </w:r>
      <w:r w:rsidR="00296E61">
        <w:rPr>
          <w:rFonts w:ascii="Arial" w:hAnsi="Arial" w:cs="Arial"/>
          <w:sz w:val="24"/>
          <w:szCs w:val="24"/>
        </w:rPr>
        <w:t xml:space="preserve">AGSA’s </w:t>
      </w:r>
      <w:r w:rsidR="00E95B0A" w:rsidRPr="00F533A8">
        <w:rPr>
          <w:rFonts w:ascii="Arial" w:hAnsi="Arial" w:cs="Arial"/>
          <w:sz w:val="24"/>
          <w:szCs w:val="24"/>
        </w:rPr>
        <w:t>finding</w:t>
      </w:r>
      <w:r w:rsidRPr="00F533A8">
        <w:rPr>
          <w:rFonts w:ascii="Arial" w:hAnsi="Arial" w:cs="Arial"/>
          <w:sz w:val="24"/>
          <w:szCs w:val="24"/>
        </w:rPr>
        <w:t>s</w:t>
      </w:r>
      <w:r w:rsidR="00E95B0A" w:rsidRPr="00F533A8">
        <w:rPr>
          <w:rFonts w:ascii="Arial" w:hAnsi="Arial" w:cs="Arial"/>
          <w:sz w:val="24"/>
          <w:szCs w:val="24"/>
        </w:rPr>
        <w:t xml:space="preserve">. It also studied invoices. It discloses that it called for and studied bank accounts but fails to take the Tribunal into its confidence regarding its findings. The bank accounts could not have caused the delay because the SIU does not rely on them in this application. </w:t>
      </w:r>
      <w:r w:rsidR="00296E61">
        <w:rPr>
          <w:rFonts w:ascii="Arial" w:hAnsi="Arial" w:cs="Arial"/>
          <w:sz w:val="24"/>
          <w:szCs w:val="24"/>
        </w:rPr>
        <w:t>A</w:t>
      </w:r>
      <w:r w:rsidR="002F1C2C" w:rsidRPr="00F533A8">
        <w:rPr>
          <w:rFonts w:ascii="Arial" w:hAnsi="Arial" w:cs="Arial"/>
          <w:sz w:val="24"/>
          <w:szCs w:val="24"/>
        </w:rPr>
        <w:t xml:space="preserve">s contended on behalf of Nexor, </w:t>
      </w:r>
      <w:r w:rsidR="00701E48">
        <w:rPr>
          <w:rFonts w:ascii="Arial" w:hAnsi="Arial" w:cs="Arial"/>
          <w:sz w:val="24"/>
          <w:szCs w:val="24"/>
        </w:rPr>
        <w:t>AGSA</w:t>
      </w:r>
      <w:r w:rsidR="002F1C2C" w:rsidRPr="00F533A8">
        <w:rPr>
          <w:rFonts w:ascii="Arial" w:hAnsi="Arial" w:cs="Arial"/>
          <w:sz w:val="24"/>
          <w:szCs w:val="24"/>
        </w:rPr>
        <w:t xml:space="preserve">’s findings constitute inadmissible opinion evidence. They are also not binding on this Tribunal. </w:t>
      </w:r>
    </w:p>
    <w:p w14:paraId="470EFA1C" w14:textId="77777777" w:rsidR="003A1837" w:rsidRPr="00F533A8" w:rsidRDefault="003A1837" w:rsidP="00E212A8">
      <w:pPr>
        <w:tabs>
          <w:tab w:val="left" w:pos="851"/>
        </w:tabs>
        <w:spacing w:line="360" w:lineRule="auto"/>
        <w:jc w:val="both"/>
        <w:rPr>
          <w:rFonts w:ascii="Arial" w:hAnsi="Arial" w:cs="Arial"/>
          <w:sz w:val="24"/>
          <w:szCs w:val="24"/>
        </w:rPr>
      </w:pPr>
    </w:p>
    <w:p w14:paraId="78772844" w14:textId="4499EEC2" w:rsidR="00E95B0A" w:rsidRPr="00F533A8" w:rsidRDefault="00E95B0A"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AB402B" w:rsidRPr="00F533A8">
        <w:rPr>
          <w:rFonts w:ascii="Arial" w:hAnsi="Arial" w:cs="Arial"/>
          <w:sz w:val="24"/>
          <w:szCs w:val="24"/>
        </w:rPr>
        <w:t>4</w:t>
      </w:r>
      <w:r w:rsidR="00704957" w:rsidRPr="00F533A8">
        <w:rPr>
          <w:rFonts w:ascii="Arial" w:hAnsi="Arial" w:cs="Arial"/>
          <w:sz w:val="24"/>
          <w:szCs w:val="24"/>
        </w:rPr>
        <w:t>7</w:t>
      </w:r>
      <w:r w:rsidRPr="00F533A8">
        <w:rPr>
          <w:rFonts w:ascii="Arial" w:hAnsi="Arial" w:cs="Arial"/>
          <w:sz w:val="24"/>
          <w:szCs w:val="24"/>
        </w:rPr>
        <w:t>]</w:t>
      </w:r>
      <w:r w:rsidR="00396285">
        <w:rPr>
          <w:rFonts w:ascii="Arial" w:hAnsi="Arial" w:cs="Arial"/>
          <w:sz w:val="24"/>
          <w:szCs w:val="24"/>
        </w:rPr>
        <w:tab/>
      </w:r>
      <w:r w:rsidRPr="00F533A8">
        <w:rPr>
          <w:rFonts w:ascii="Arial" w:hAnsi="Arial" w:cs="Arial"/>
          <w:sz w:val="24"/>
          <w:szCs w:val="24"/>
        </w:rPr>
        <w:t xml:space="preserve">The </w:t>
      </w:r>
      <w:r w:rsidR="00AB402B" w:rsidRPr="00F533A8">
        <w:rPr>
          <w:rFonts w:ascii="Arial" w:hAnsi="Arial" w:cs="Arial"/>
          <w:sz w:val="24"/>
          <w:szCs w:val="24"/>
        </w:rPr>
        <w:t xml:space="preserve">DOT </w:t>
      </w:r>
      <w:r w:rsidRPr="00F533A8">
        <w:rPr>
          <w:rFonts w:ascii="Arial" w:hAnsi="Arial" w:cs="Arial"/>
          <w:sz w:val="24"/>
          <w:szCs w:val="24"/>
        </w:rPr>
        <w:t>disciplinary proceedings</w:t>
      </w:r>
      <w:r w:rsidR="00AB402B" w:rsidRPr="00F533A8">
        <w:rPr>
          <w:rFonts w:ascii="Arial" w:hAnsi="Arial" w:cs="Arial"/>
          <w:sz w:val="24"/>
          <w:szCs w:val="24"/>
        </w:rPr>
        <w:t xml:space="preserve"> against implicated officials</w:t>
      </w:r>
      <w:r w:rsidRPr="00F533A8">
        <w:rPr>
          <w:rFonts w:ascii="Arial" w:hAnsi="Arial" w:cs="Arial"/>
          <w:sz w:val="24"/>
          <w:szCs w:val="24"/>
        </w:rPr>
        <w:t xml:space="preserve"> could also not have caused a delay because they emanated from the recommendations the SIU made in its investigative report.</w:t>
      </w:r>
    </w:p>
    <w:p w14:paraId="7ABCFB27" w14:textId="77777777" w:rsidR="002F1C2C" w:rsidRPr="00F533A8" w:rsidRDefault="002F1C2C" w:rsidP="00E212A8">
      <w:pPr>
        <w:tabs>
          <w:tab w:val="left" w:pos="851"/>
        </w:tabs>
        <w:spacing w:line="360" w:lineRule="auto"/>
        <w:jc w:val="both"/>
        <w:rPr>
          <w:rFonts w:ascii="Arial" w:hAnsi="Arial" w:cs="Arial"/>
          <w:sz w:val="24"/>
          <w:szCs w:val="24"/>
        </w:rPr>
      </w:pPr>
    </w:p>
    <w:p w14:paraId="2D136E44" w14:textId="44EADABD" w:rsidR="00E95B0A" w:rsidRPr="00F533A8" w:rsidRDefault="00E95B0A"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AB402B" w:rsidRPr="00F533A8">
        <w:rPr>
          <w:rFonts w:ascii="Arial" w:hAnsi="Arial" w:cs="Arial"/>
          <w:sz w:val="24"/>
          <w:szCs w:val="24"/>
        </w:rPr>
        <w:t>4</w:t>
      </w:r>
      <w:r w:rsidR="00704957" w:rsidRPr="00F533A8">
        <w:rPr>
          <w:rFonts w:ascii="Arial" w:hAnsi="Arial" w:cs="Arial"/>
          <w:sz w:val="24"/>
          <w:szCs w:val="24"/>
        </w:rPr>
        <w:t>8</w:t>
      </w:r>
      <w:r w:rsidRPr="00F533A8">
        <w:rPr>
          <w:rFonts w:ascii="Arial" w:hAnsi="Arial" w:cs="Arial"/>
          <w:sz w:val="24"/>
          <w:szCs w:val="24"/>
        </w:rPr>
        <w:t>]</w:t>
      </w:r>
      <w:r w:rsidR="00396285">
        <w:rPr>
          <w:rFonts w:ascii="Arial" w:hAnsi="Arial" w:cs="Arial"/>
          <w:sz w:val="24"/>
          <w:szCs w:val="24"/>
        </w:rPr>
        <w:tab/>
      </w:r>
      <w:r w:rsidRPr="00F533A8">
        <w:rPr>
          <w:rFonts w:ascii="Arial" w:hAnsi="Arial" w:cs="Arial"/>
          <w:sz w:val="24"/>
          <w:szCs w:val="24"/>
        </w:rPr>
        <w:t>The SIU fails to explain in what manner the Covid</w:t>
      </w:r>
      <w:r w:rsidR="00AB402B" w:rsidRPr="00F533A8">
        <w:rPr>
          <w:rFonts w:ascii="Arial" w:hAnsi="Arial" w:cs="Arial"/>
          <w:sz w:val="24"/>
          <w:szCs w:val="24"/>
        </w:rPr>
        <w:t>-</w:t>
      </w:r>
      <w:r w:rsidRPr="00F533A8">
        <w:rPr>
          <w:rFonts w:ascii="Arial" w:hAnsi="Arial" w:cs="Arial"/>
          <w:sz w:val="24"/>
          <w:szCs w:val="24"/>
        </w:rPr>
        <w:t xml:space="preserve">19 pandemic contributed to the delay. The hard lockdown proclaimed in response to the Covid 19 pandemic only endured for approximately three weeks.  </w:t>
      </w:r>
    </w:p>
    <w:p w14:paraId="1AB93F7E" w14:textId="2A73FD31" w:rsidR="00647D96" w:rsidRPr="00F533A8" w:rsidRDefault="00647D96" w:rsidP="00E212A8">
      <w:pPr>
        <w:tabs>
          <w:tab w:val="left" w:pos="851"/>
        </w:tabs>
        <w:spacing w:line="360" w:lineRule="auto"/>
        <w:jc w:val="both"/>
        <w:rPr>
          <w:rFonts w:ascii="Arial" w:hAnsi="Arial" w:cs="Arial"/>
          <w:sz w:val="24"/>
          <w:szCs w:val="24"/>
        </w:rPr>
      </w:pPr>
    </w:p>
    <w:p w14:paraId="2097DC1F" w14:textId="38FA3CEF" w:rsidR="00AC232A" w:rsidRPr="00F533A8" w:rsidRDefault="00647D96"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AB402B" w:rsidRPr="00F533A8">
        <w:rPr>
          <w:rFonts w:ascii="Arial" w:hAnsi="Arial" w:cs="Arial"/>
          <w:sz w:val="24"/>
          <w:szCs w:val="24"/>
        </w:rPr>
        <w:t>4</w:t>
      </w:r>
      <w:r w:rsidR="00704957" w:rsidRPr="00F533A8">
        <w:rPr>
          <w:rFonts w:ascii="Arial" w:hAnsi="Arial" w:cs="Arial"/>
          <w:sz w:val="24"/>
          <w:szCs w:val="24"/>
        </w:rPr>
        <w:t>9</w:t>
      </w:r>
      <w:r w:rsidR="00537053" w:rsidRPr="00F533A8">
        <w:rPr>
          <w:rFonts w:ascii="Arial" w:hAnsi="Arial" w:cs="Arial"/>
          <w:sz w:val="24"/>
          <w:szCs w:val="24"/>
        </w:rPr>
        <w:t>]</w:t>
      </w:r>
      <w:r w:rsidR="00396285">
        <w:rPr>
          <w:rFonts w:ascii="Arial" w:hAnsi="Arial" w:cs="Arial"/>
          <w:sz w:val="24"/>
          <w:szCs w:val="24"/>
        </w:rPr>
        <w:tab/>
      </w:r>
      <w:r w:rsidR="00537053" w:rsidRPr="00F533A8">
        <w:rPr>
          <w:rFonts w:ascii="Arial" w:hAnsi="Arial" w:cs="Arial"/>
          <w:sz w:val="24"/>
          <w:szCs w:val="24"/>
        </w:rPr>
        <w:t>Therefore, the SIU</w:t>
      </w:r>
      <w:r w:rsidR="00E95B0A" w:rsidRPr="00F533A8">
        <w:rPr>
          <w:rFonts w:ascii="Arial" w:hAnsi="Arial" w:cs="Arial"/>
          <w:sz w:val="24"/>
          <w:szCs w:val="24"/>
        </w:rPr>
        <w:t>’s</w:t>
      </w:r>
      <w:r w:rsidR="00537053" w:rsidRPr="00F533A8">
        <w:rPr>
          <w:rFonts w:ascii="Arial" w:hAnsi="Arial" w:cs="Arial"/>
          <w:sz w:val="24"/>
          <w:szCs w:val="24"/>
        </w:rPr>
        <w:t xml:space="preserve"> explanation is not only scanty, </w:t>
      </w:r>
      <w:r w:rsidR="008C1523" w:rsidRPr="00F533A8">
        <w:rPr>
          <w:rFonts w:ascii="Arial" w:hAnsi="Arial" w:cs="Arial"/>
          <w:sz w:val="24"/>
          <w:szCs w:val="24"/>
        </w:rPr>
        <w:t>but it also</w:t>
      </w:r>
      <w:r w:rsidR="00537053" w:rsidRPr="00F533A8">
        <w:rPr>
          <w:rFonts w:ascii="Arial" w:hAnsi="Arial" w:cs="Arial"/>
          <w:sz w:val="24"/>
          <w:szCs w:val="24"/>
        </w:rPr>
        <w:t xml:space="preserve"> provides no </w:t>
      </w:r>
      <w:r w:rsidR="003F38E0" w:rsidRPr="00F533A8">
        <w:rPr>
          <w:rFonts w:ascii="Arial" w:hAnsi="Arial" w:cs="Arial"/>
          <w:sz w:val="24"/>
          <w:szCs w:val="24"/>
        </w:rPr>
        <w:t xml:space="preserve">reasons on which to find that the delay was </w:t>
      </w:r>
      <w:r w:rsidR="00537053" w:rsidRPr="00F533A8">
        <w:rPr>
          <w:rFonts w:ascii="Arial" w:hAnsi="Arial" w:cs="Arial"/>
          <w:sz w:val="24"/>
          <w:szCs w:val="24"/>
        </w:rPr>
        <w:t>justifi</w:t>
      </w:r>
      <w:r w:rsidR="003F38E0" w:rsidRPr="00F533A8">
        <w:rPr>
          <w:rFonts w:ascii="Arial" w:hAnsi="Arial" w:cs="Arial"/>
          <w:sz w:val="24"/>
          <w:szCs w:val="24"/>
        </w:rPr>
        <w:t xml:space="preserve">ed. </w:t>
      </w:r>
      <w:r w:rsidR="00537053" w:rsidRPr="00F533A8">
        <w:rPr>
          <w:rFonts w:ascii="Arial" w:hAnsi="Arial" w:cs="Arial"/>
          <w:sz w:val="24"/>
          <w:szCs w:val="24"/>
        </w:rPr>
        <w:t>But even more seriously, the SIU fails to fully account for the period of the delay.  In the absence of a ful</w:t>
      </w:r>
      <w:r w:rsidR="00E95B0A" w:rsidRPr="00F533A8">
        <w:rPr>
          <w:rFonts w:ascii="Arial" w:hAnsi="Arial" w:cs="Arial"/>
          <w:sz w:val="24"/>
          <w:szCs w:val="24"/>
        </w:rPr>
        <w:t>l explanation</w:t>
      </w:r>
      <w:r w:rsidR="00AC232A" w:rsidRPr="00F533A8">
        <w:rPr>
          <w:rFonts w:ascii="Arial" w:hAnsi="Arial" w:cs="Arial"/>
          <w:sz w:val="24"/>
          <w:szCs w:val="24"/>
        </w:rPr>
        <w:t>, it is impossible to determine whether the delay was reasonable. I am therefore constrained to find that the delay was unreasonable.</w:t>
      </w:r>
    </w:p>
    <w:p w14:paraId="5C41F76D" w14:textId="77777777" w:rsidR="00AC232A" w:rsidRPr="00F533A8" w:rsidRDefault="00AC232A" w:rsidP="00E212A8">
      <w:pPr>
        <w:tabs>
          <w:tab w:val="left" w:pos="851"/>
        </w:tabs>
        <w:spacing w:line="360" w:lineRule="auto"/>
        <w:jc w:val="both"/>
        <w:rPr>
          <w:rFonts w:ascii="Arial" w:hAnsi="Arial" w:cs="Arial"/>
          <w:sz w:val="24"/>
          <w:szCs w:val="24"/>
        </w:rPr>
      </w:pPr>
    </w:p>
    <w:p w14:paraId="3B298A95" w14:textId="7339FBE0" w:rsidR="006158D2" w:rsidRPr="00F533A8" w:rsidRDefault="00AC232A"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704957" w:rsidRPr="00F533A8">
        <w:rPr>
          <w:rFonts w:ascii="Arial" w:hAnsi="Arial" w:cs="Arial"/>
          <w:sz w:val="24"/>
          <w:szCs w:val="24"/>
        </w:rPr>
        <w:t>50</w:t>
      </w:r>
      <w:r w:rsidRPr="00F533A8">
        <w:rPr>
          <w:rFonts w:ascii="Arial" w:hAnsi="Arial" w:cs="Arial"/>
          <w:sz w:val="24"/>
          <w:szCs w:val="24"/>
        </w:rPr>
        <w:t>]</w:t>
      </w:r>
      <w:r w:rsidR="00396285">
        <w:rPr>
          <w:rFonts w:ascii="Arial" w:hAnsi="Arial" w:cs="Arial"/>
          <w:sz w:val="24"/>
          <w:szCs w:val="24"/>
        </w:rPr>
        <w:tab/>
      </w:r>
      <w:r w:rsidR="007D0863" w:rsidRPr="00F533A8">
        <w:rPr>
          <w:rFonts w:ascii="Arial" w:hAnsi="Arial" w:cs="Arial"/>
          <w:sz w:val="24"/>
          <w:szCs w:val="24"/>
        </w:rPr>
        <w:t xml:space="preserve">From the facts made available or objectively available factors, there must be a basis for a court to exercise its discretion to overlook the delay. </w:t>
      </w:r>
      <w:r w:rsidR="006158D2" w:rsidRPr="00F533A8">
        <w:rPr>
          <w:rFonts w:ascii="Arial" w:hAnsi="Arial" w:cs="Arial"/>
          <w:sz w:val="24"/>
          <w:szCs w:val="24"/>
        </w:rPr>
        <w:t xml:space="preserve">For reasons set out below, </w:t>
      </w:r>
      <w:r w:rsidR="00E95B0A" w:rsidRPr="00F533A8">
        <w:rPr>
          <w:rFonts w:ascii="Arial" w:hAnsi="Arial" w:cs="Arial"/>
          <w:sz w:val="24"/>
          <w:szCs w:val="24"/>
        </w:rPr>
        <w:t xml:space="preserve">I </w:t>
      </w:r>
      <w:r w:rsidR="007D0863" w:rsidRPr="00F533A8">
        <w:rPr>
          <w:rFonts w:ascii="Arial" w:hAnsi="Arial" w:cs="Arial"/>
          <w:sz w:val="24"/>
          <w:szCs w:val="24"/>
        </w:rPr>
        <w:t xml:space="preserve">find that the circumstances of the review are not proper for the </w:t>
      </w:r>
      <w:r w:rsidR="006158D2" w:rsidRPr="00F533A8">
        <w:rPr>
          <w:rFonts w:ascii="Arial" w:hAnsi="Arial" w:cs="Arial"/>
          <w:sz w:val="24"/>
          <w:szCs w:val="24"/>
        </w:rPr>
        <w:t xml:space="preserve">exercise </w:t>
      </w:r>
      <w:r w:rsidR="007D0863" w:rsidRPr="00F533A8">
        <w:rPr>
          <w:rFonts w:ascii="Arial" w:hAnsi="Arial" w:cs="Arial"/>
          <w:sz w:val="24"/>
          <w:szCs w:val="24"/>
        </w:rPr>
        <w:t xml:space="preserve">of </w:t>
      </w:r>
      <w:r w:rsidR="006158D2" w:rsidRPr="00F533A8">
        <w:rPr>
          <w:rFonts w:ascii="Arial" w:hAnsi="Arial" w:cs="Arial"/>
          <w:sz w:val="24"/>
          <w:szCs w:val="24"/>
        </w:rPr>
        <w:t>my discretion to overlook the delay.</w:t>
      </w:r>
    </w:p>
    <w:p w14:paraId="7CDB90DA" w14:textId="77777777" w:rsidR="002E07EF" w:rsidRPr="00F533A8" w:rsidRDefault="002E07EF" w:rsidP="00E212A8">
      <w:pPr>
        <w:tabs>
          <w:tab w:val="left" w:pos="851"/>
        </w:tabs>
        <w:spacing w:line="360" w:lineRule="auto"/>
        <w:jc w:val="both"/>
        <w:rPr>
          <w:rFonts w:ascii="Arial" w:hAnsi="Arial" w:cs="Arial"/>
          <w:sz w:val="24"/>
          <w:szCs w:val="24"/>
        </w:rPr>
      </w:pPr>
    </w:p>
    <w:p w14:paraId="65050D8C" w14:textId="6E019B30" w:rsidR="002E07EF" w:rsidRPr="00F533A8" w:rsidRDefault="002E07EF" w:rsidP="00E212A8">
      <w:pPr>
        <w:tabs>
          <w:tab w:val="left" w:pos="851"/>
          <w:tab w:val="left" w:pos="1701"/>
        </w:tabs>
        <w:spacing w:line="360" w:lineRule="auto"/>
        <w:jc w:val="both"/>
        <w:rPr>
          <w:rFonts w:ascii="Arial" w:hAnsi="Arial" w:cs="Arial"/>
          <w:sz w:val="24"/>
          <w:szCs w:val="24"/>
        </w:rPr>
      </w:pPr>
      <w:r w:rsidRPr="00F533A8">
        <w:rPr>
          <w:rFonts w:ascii="Arial" w:hAnsi="Arial" w:cs="Arial"/>
          <w:sz w:val="24"/>
          <w:szCs w:val="24"/>
        </w:rPr>
        <w:t>[</w:t>
      </w:r>
      <w:r w:rsidR="00704957" w:rsidRPr="00F533A8">
        <w:rPr>
          <w:rFonts w:ascii="Arial" w:hAnsi="Arial" w:cs="Arial"/>
          <w:sz w:val="24"/>
          <w:szCs w:val="24"/>
        </w:rPr>
        <w:t>51</w:t>
      </w:r>
      <w:r w:rsidRPr="00F533A8">
        <w:rPr>
          <w:rFonts w:ascii="Arial" w:hAnsi="Arial" w:cs="Arial"/>
          <w:sz w:val="24"/>
          <w:szCs w:val="24"/>
        </w:rPr>
        <w:t>]</w:t>
      </w:r>
      <w:r w:rsidR="00396285">
        <w:rPr>
          <w:rFonts w:ascii="Arial" w:hAnsi="Arial" w:cs="Arial"/>
          <w:sz w:val="24"/>
          <w:szCs w:val="24"/>
        </w:rPr>
        <w:tab/>
      </w:r>
      <w:r w:rsidRPr="00F533A8">
        <w:rPr>
          <w:rFonts w:ascii="Arial" w:hAnsi="Arial" w:cs="Arial"/>
          <w:sz w:val="24"/>
          <w:szCs w:val="24"/>
        </w:rPr>
        <w:t>The rule against delay in instituting review proceedings is based on sound judicial policy that includes an understanding of the strong public interest in both certainty and finality. It serves to curb the potential prejudice that would ensue if the lawfulness of the decision remains uncertain.  Protracted delays could give rise to calamitous effects.  Not just for those who rely upon the decision but also for the efficient functioning of the decision-making body itself.</w:t>
      </w:r>
      <w:r w:rsidRPr="00F533A8">
        <w:rPr>
          <w:rFonts w:ascii="Arial" w:hAnsi="Arial" w:cs="Arial"/>
          <w:sz w:val="24"/>
          <w:szCs w:val="24"/>
          <w:vertAlign w:val="superscript"/>
        </w:rPr>
        <w:t xml:space="preserve"> </w:t>
      </w:r>
      <w:r w:rsidRPr="00F533A8">
        <w:rPr>
          <w:rFonts w:ascii="Arial" w:hAnsi="Arial" w:cs="Arial"/>
          <w:sz w:val="24"/>
          <w:szCs w:val="24"/>
          <w:vertAlign w:val="superscript"/>
        </w:rPr>
        <w:footnoteReference w:id="9"/>
      </w:r>
      <w:r w:rsidRPr="00F533A8">
        <w:rPr>
          <w:rFonts w:ascii="Arial" w:hAnsi="Arial" w:cs="Arial"/>
          <w:sz w:val="24"/>
          <w:szCs w:val="24"/>
        </w:rPr>
        <w:t xml:space="preserve">  Once a decision (such as the awarding of a tender</w:t>
      </w:r>
      <w:r w:rsidR="00296E61">
        <w:rPr>
          <w:rFonts w:ascii="Arial" w:hAnsi="Arial" w:cs="Arial"/>
          <w:sz w:val="24"/>
          <w:szCs w:val="24"/>
        </w:rPr>
        <w:t>)</w:t>
      </w:r>
      <w:r w:rsidRPr="00F533A8">
        <w:rPr>
          <w:rFonts w:ascii="Arial" w:hAnsi="Arial" w:cs="Arial"/>
          <w:sz w:val="24"/>
          <w:szCs w:val="24"/>
        </w:rPr>
        <w:t xml:space="preserve"> is taken, actions </w:t>
      </w:r>
      <w:r w:rsidR="00E95B0A" w:rsidRPr="00F533A8">
        <w:rPr>
          <w:rFonts w:ascii="Arial" w:hAnsi="Arial" w:cs="Arial"/>
          <w:sz w:val="24"/>
          <w:szCs w:val="24"/>
        </w:rPr>
        <w:t xml:space="preserve">taken </w:t>
      </w:r>
      <w:r w:rsidRPr="00F533A8">
        <w:rPr>
          <w:rFonts w:ascii="Arial" w:hAnsi="Arial" w:cs="Arial"/>
          <w:sz w:val="24"/>
          <w:szCs w:val="24"/>
        </w:rPr>
        <w:t xml:space="preserve">on the assumption of the lawfulness of a particular decision and the undoing of the decision threatens a myriad of consequent actions. </w:t>
      </w:r>
    </w:p>
    <w:p w14:paraId="3D6610D3" w14:textId="77777777" w:rsidR="00C9498A" w:rsidRPr="00F533A8" w:rsidRDefault="00C9498A" w:rsidP="00E212A8">
      <w:pPr>
        <w:tabs>
          <w:tab w:val="left" w:pos="851"/>
          <w:tab w:val="left" w:pos="1701"/>
        </w:tabs>
        <w:spacing w:line="360" w:lineRule="auto"/>
        <w:jc w:val="both"/>
        <w:rPr>
          <w:rFonts w:ascii="Arial" w:hAnsi="Arial" w:cs="Arial"/>
          <w:sz w:val="24"/>
          <w:szCs w:val="24"/>
        </w:rPr>
      </w:pPr>
    </w:p>
    <w:p w14:paraId="39F4E40A" w14:textId="1F9BFCFE" w:rsidR="002E07EF" w:rsidRPr="00F533A8" w:rsidRDefault="002E07EF" w:rsidP="00E212A8">
      <w:pPr>
        <w:tabs>
          <w:tab w:val="left" w:pos="851"/>
          <w:tab w:val="left" w:pos="1701"/>
        </w:tabs>
        <w:spacing w:line="360" w:lineRule="auto"/>
        <w:jc w:val="both"/>
        <w:rPr>
          <w:rFonts w:ascii="Arial" w:hAnsi="Arial" w:cs="Arial"/>
          <w:sz w:val="24"/>
          <w:szCs w:val="24"/>
        </w:rPr>
      </w:pPr>
      <w:r w:rsidRPr="00F533A8">
        <w:rPr>
          <w:rFonts w:ascii="Arial" w:hAnsi="Arial" w:cs="Arial"/>
          <w:sz w:val="24"/>
          <w:szCs w:val="24"/>
        </w:rPr>
        <w:t>[</w:t>
      </w:r>
      <w:r w:rsidR="00704957" w:rsidRPr="00F533A8">
        <w:rPr>
          <w:rFonts w:ascii="Arial" w:hAnsi="Arial" w:cs="Arial"/>
          <w:sz w:val="24"/>
          <w:szCs w:val="24"/>
        </w:rPr>
        <w:t>52</w:t>
      </w:r>
      <w:r w:rsidRPr="00F533A8">
        <w:rPr>
          <w:rFonts w:ascii="Arial" w:hAnsi="Arial" w:cs="Arial"/>
          <w:sz w:val="24"/>
          <w:szCs w:val="24"/>
        </w:rPr>
        <w:t>]</w:t>
      </w:r>
      <w:r w:rsidR="00396285">
        <w:rPr>
          <w:rFonts w:ascii="Arial" w:hAnsi="Arial" w:cs="Arial"/>
          <w:sz w:val="24"/>
          <w:szCs w:val="24"/>
        </w:rPr>
        <w:tab/>
      </w:r>
      <w:r w:rsidRPr="00F533A8">
        <w:rPr>
          <w:rFonts w:ascii="Arial" w:hAnsi="Arial" w:cs="Arial"/>
          <w:sz w:val="24"/>
          <w:szCs w:val="24"/>
        </w:rPr>
        <w:t xml:space="preserve">When considering whether to overlook the delay, </w:t>
      </w:r>
      <w:r w:rsidR="00AB402B" w:rsidRPr="00F533A8">
        <w:rPr>
          <w:rFonts w:ascii="Arial" w:hAnsi="Arial" w:cs="Arial"/>
          <w:sz w:val="24"/>
          <w:szCs w:val="24"/>
        </w:rPr>
        <w:t xml:space="preserve">courts are </w:t>
      </w:r>
      <w:r w:rsidRPr="00F533A8">
        <w:rPr>
          <w:rFonts w:ascii="Arial" w:hAnsi="Arial" w:cs="Arial"/>
          <w:sz w:val="24"/>
          <w:szCs w:val="24"/>
        </w:rPr>
        <w:t xml:space="preserve">guided </w:t>
      </w:r>
      <w:r w:rsidR="00E95B0A" w:rsidRPr="00F533A8">
        <w:rPr>
          <w:rFonts w:ascii="Arial" w:hAnsi="Arial" w:cs="Arial"/>
          <w:sz w:val="24"/>
          <w:szCs w:val="24"/>
        </w:rPr>
        <w:t>by</w:t>
      </w:r>
      <w:r w:rsidRPr="00F533A8">
        <w:rPr>
          <w:rFonts w:ascii="Arial" w:hAnsi="Arial" w:cs="Arial"/>
          <w:sz w:val="24"/>
          <w:szCs w:val="24"/>
        </w:rPr>
        <w:t xml:space="preserve"> the following considerations:  </w:t>
      </w:r>
    </w:p>
    <w:p w14:paraId="23643B2C" w14:textId="7902300E" w:rsidR="00704957" w:rsidRPr="009F468E" w:rsidRDefault="009F468E" w:rsidP="009F468E">
      <w:pPr>
        <w:tabs>
          <w:tab w:val="left" w:pos="851"/>
          <w:tab w:val="left" w:pos="1701"/>
        </w:tabs>
        <w:spacing w:line="360" w:lineRule="auto"/>
        <w:ind w:left="460" w:hanging="460"/>
        <w:jc w:val="both"/>
        <w:rPr>
          <w:rFonts w:ascii="Arial" w:hAnsi="Arial"/>
          <w:sz w:val="24"/>
          <w:szCs w:val="24"/>
        </w:rPr>
      </w:pPr>
      <w:r w:rsidRPr="00F533A8">
        <w:rPr>
          <w:rFonts w:ascii="Arial" w:eastAsia="Arial" w:hAnsi="Arial" w:cs="Arial"/>
          <w:kern w:val="0"/>
          <w:sz w:val="24"/>
          <w:szCs w:val="24"/>
          <w:lang w:val="en-US"/>
          <w14:ligatures w14:val="none"/>
        </w:rPr>
        <w:t>52.1</w:t>
      </w:r>
      <w:r w:rsidRPr="00F533A8">
        <w:rPr>
          <w:rFonts w:ascii="Arial" w:eastAsia="Arial" w:hAnsi="Arial" w:cs="Arial"/>
          <w:kern w:val="0"/>
          <w:sz w:val="24"/>
          <w:szCs w:val="24"/>
          <w:lang w:val="en-US"/>
          <w14:ligatures w14:val="none"/>
        </w:rPr>
        <w:tab/>
      </w:r>
      <w:r w:rsidR="002E07EF" w:rsidRPr="009F468E">
        <w:rPr>
          <w:rFonts w:ascii="Arial" w:hAnsi="Arial"/>
          <w:sz w:val="24"/>
          <w:szCs w:val="24"/>
        </w:rPr>
        <w:t>potential prejudice to affected parties as well as the possible consequences of setting aside the impugned decision</w:t>
      </w:r>
      <w:r w:rsidR="008C1523" w:rsidRPr="009F468E">
        <w:rPr>
          <w:rFonts w:ascii="Arial" w:hAnsi="Arial"/>
          <w:sz w:val="24"/>
          <w:szCs w:val="24"/>
        </w:rPr>
        <w:t xml:space="preserve">. </w:t>
      </w:r>
    </w:p>
    <w:p w14:paraId="3CA818B3" w14:textId="01A776BA" w:rsidR="00704957" w:rsidRPr="009F468E" w:rsidRDefault="009F468E" w:rsidP="009F468E">
      <w:pPr>
        <w:tabs>
          <w:tab w:val="left" w:pos="851"/>
          <w:tab w:val="left" w:pos="1701"/>
        </w:tabs>
        <w:spacing w:line="360" w:lineRule="auto"/>
        <w:ind w:left="460" w:hanging="460"/>
        <w:jc w:val="both"/>
        <w:rPr>
          <w:rFonts w:ascii="Arial" w:hAnsi="Arial"/>
          <w:sz w:val="24"/>
          <w:szCs w:val="24"/>
        </w:rPr>
      </w:pPr>
      <w:r w:rsidRPr="00F533A8">
        <w:rPr>
          <w:rFonts w:ascii="Arial" w:eastAsia="Arial" w:hAnsi="Arial" w:cs="Arial"/>
          <w:kern w:val="0"/>
          <w:sz w:val="24"/>
          <w:szCs w:val="24"/>
          <w:lang w:val="en-US"/>
          <w14:ligatures w14:val="none"/>
        </w:rPr>
        <w:t>52.2</w:t>
      </w:r>
      <w:r w:rsidRPr="00F533A8">
        <w:rPr>
          <w:rFonts w:ascii="Arial" w:eastAsia="Arial" w:hAnsi="Arial" w:cs="Arial"/>
          <w:kern w:val="0"/>
          <w:sz w:val="24"/>
          <w:szCs w:val="24"/>
          <w:lang w:val="en-US"/>
          <w14:ligatures w14:val="none"/>
        </w:rPr>
        <w:tab/>
      </w:r>
      <w:r w:rsidR="002E07EF" w:rsidRPr="009F468E">
        <w:rPr>
          <w:rFonts w:ascii="Arial" w:hAnsi="Arial"/>
          <w:sz w:val="24"/>
          <w:szCs w:val="24"/>
        </w:rPr>
        <w:t xml:space="preserve">whether the Tribunal’s power to grant a just and equitable remedy and this ought to be </w:t>
      </w:r>
      <w:r w:rsidR="003A18FB" w:rsidRPr="009F468E">
        <w:rPr>
          <w:rFonts w:ascii="Arial" w:hAnsi="Arial"/>
          <w:sz w:val="24"/>
          <w:szCs w:val="24"/>
        </w:rPr>
        <w:t>considered</w:t>
      </w:r>
      <w:r w:rsidR="002E07EF" w:rsidRPr="009F468E">
        <w:rPr>
          <w:rFonts w:ascii="Arial" w:hAnsi="Arial"/>
          <w:sz w:val="24"/>
          <w:szCs w:val="24"/>
        </w:rPr>
        <w:t>.</w:t>
      </w:r>
    </w:p>
    <w:p w14:paraId="611E213B" w14:textId="35E0AD4F" w:rsidR="00704957" w:rsidRPr="009F468E" w:rsidRDefault="009F468E" w:rsidP="009F468E">
      <w:pPr>
        <w:tabs>
          <w:tab w:val="left" w:pos="851"/>
          <w:tab w:val="left" w:pos="1701"/>
        </w:tabs>
        <w:spacing w:line="360" w:lineRule="auto"/>
        <w:ind w:left="460" w:hanging="460"/>
        <w:jc w:val="both"/>
        <w:rPr>
          <w:rFonts w:ascii="Arial" w:hAnsi="Arial"/>
          <w:sz w:val="24"/>
          <w:szCs w:val="24"/>
        </w:rPr>
      </w:pPr>
      <w:r w:rsidRPr="00296E61">
        <w:rPr>
          <w:rFonts w:ascii="Arial" w:eastAsia="Arial" w:hAnsi="Arial" w:cs="Arial"/>
          <w:kern w:val="0"/>
          <w:sz w:val="24"/>
          <w:szCs w:val="24"/>
          <w:lang w:val="en-US"/>
          <w14:ligatures w14:val="none"/>
        </w:rPr>
        <w:t>52.3</w:t>
      </w:r>
      <w:r w:rsidRPr="00296E61">
        <w:rPr>
          <w:rFonts w:ascii="Arial" w:eastAsia="Arial" w:hAnsi="Arial" w:cs="Arial"/>
          <w:kern w:val="0"/>
          <w:sz w:val="24"/>
          <w:szCs w:val="24"/>
          <w:lang w:val="en-US"/>
          <w14:ligatures w14:val="none"/>
        </w:rPr>
        <w:tab/>
      </w:r>
      <w:r w:rsidR="002E07EF" w:rsidRPr="009F468E">
        <w:rPr>
          <w:rFonts w:ascii="Arial" w:hAnsi="Arial"/>
          <w:sz w:val="24"/>
          <w:szCs w:val="24"/>
        </w:rPr>
        <w:t>the nature of the impugned decision.</w:t>
      </w:r>
      <w:r w:rsidR="00296E61" w:rsidRPr="009F468E">
        <w:rPr>
          <w:rFonts w:ascii="Arial" w:hAnsi="Arial"/>
          <w:sz w:val="24"/>
          <w:szCs w:val="24"/>
        </w:rPr>
        <w:t xml:space="preserve"> </w:t>
      </w:r>
      <w:r w:rsidR="002E07EF" w:rsidRPr="009F468E">
        <w:rPr>
          <w:rFonts w:ascii="Arial" w:hAnsi="Arial"/>
          <w:sz w:val="24"/>
          <w:szCs w:val="24"/>
        </w:rPr>
        <w:t xml:space="preserve">This, </w:t>
      </w:r>
      <w:r w:rsidR="002E07EF" w:rsidRPr="009F468E">
        <w:rPr>
          <w:rFonts w:ascii="Arial" w:hAnsi="Arial"/>
          <w:sz w:val="24"/>
          <w:szCs w:val="24"/>
        </w:rPr>
        <w:br/>
        <w:t>requires a consideration of the merits of the legal challenge against that decision</w:t>
      </w:r>
      <w:r w:rsidR="003A18FB" w:rsidRPr="009F468E">
        <w:rPr>
          <w:rFonts w:ascii="Arial" w:hAnsi="Arial"/>
          <w:sz w:val="24"/>
          <w:szCs w:val="24"/>
        </w:rPr>
        <w:t>.</w:t>
      </w:r>
    </w:p>
    <w:p w14:paraId="2E8B2C5F" w14:textId="1EF1F0BD" w:rsidR="002E07EF" w:rsidRPr="009F468E" w:rsidRDefault="009F468E" w:rsidP="009F468E">
      <w:pPr>
        <w:tabs>
          <w:tab w:val="left" w:pos="851"/>
          <w:tab w:val="left" w:pos="1701"/>
        </w:tabs>
        <w:spacing w:line="360" w:lineRule="auto"/>
        <w:ind w:left="460" w:hanging="460"/>
        <w:jc w:val="both"/>
        <w:rPr>
          <w:rFonts w:ascii="Arial" w:hAnsi="Arial"/>
          <w:sz w:val="24"/>
          <w:szCs w:val="24"/>
        </w:rPr>
      </w:pPr>
      <w:r w:rsidRPr="00F533A8">
        <w:rPr>
          <w:rFonts w:ascii="Arial" w:eastAsia="Arial" w:hAnsi="Arial" w:cs="Arial"/>
          <w:kern w:val="0"/>
          <w:sz w:val="24"/>
          <w:szCs w:val="24"/>
          <w:lang w:val="en-US"/>
          <w14:ligatures w14:val="none"/>
        </w:rPr>
        <w:t>52.4</w:t>
      </w:r>
      <w:r w:rsidRPr="00F533A8">
        <w:rPr>
          <w:rFonts w:ascii="Arial" w:eastAsia="Arial" w:hAnsi="Arial" w:cs="Arial"/>
          <w:kern w:val="0"/>
          <w:sz w:val="24"/>
          <w:szCs w:val="24"/>
          <w:lang w:val="en-US"/>
          <w14:ligatures w14:val="none"/>
        </w:rPr>
        <w:tab/>
      </w:r>
      <w:r w:rsidR="002E07EF" w:rsidRPr="009F468E">
        <w:rPr>
          <w:rFonts w:ascii="Arial" w:hAnsi="Arial"/>
          <w:sz w:val="24"/>
          <w:szCs w:val="24"/>
        </w:rPr>
        <w:t>the conduct of an applicant</w:t>
      </w:r>
      <w:r w:rsidR="008C1523" w:rsidRPr="009F468E">
        <w:rPr>
          <w:rFonts w:ascii="Arial" w:hAnsi="Arial"/>
          <w:sz w:val="24"/>
          <w:szCs w:val="24"/>
        </w:rPr>
        <w:t xml:space="preserve">. </w:t>
      </w:r>
    </w:p>
    <w:p w14:paraId="60792A0E" w14:textId="2C3214D3" w:rsidR="002E07EF" w:rsidRPr="00F533A8" w:rsidRDefault="002E07EF" w:rsidP="00E212A8">
      <w:pPr>
        <w:tabs>
          <w:tab w:val="left" w:pos="851"/>
          <w:tab w:val="left" w:pos="1701"/>
        </w:tabs>
        <w:spacing w:line="360" w:lineRule="auto"/>
        <w:jc w:val="both"/>
        <w:rPr>
          <w:rFonts w:ascii="Arial" w:hAnsi="Arial" w:cs="Arial"/>
          <w:sz w:val="24"/>
          <w:szCs w:val="24"/>
        </w:rPr>
      </w:pPr>
    </w:p>
    <w:p w14:paraId="15DE633F" w14:textId="72A72575" w:rsidR="003A18FB" w:rsidRPr="00F533A8" w:rsidRDefault="003A18FB" w:rsidP="00E212A8">
      <w:pPr>
        <w:tabs>
          <w:tab w:val="left" w:pos="851"/>
          <w:tab w:val="left" w:pos="1701"/>
        </w:tabs>
        <w:spacing w:line="360" w:lineRule="auto"/>
        <w:jc w:val="both"/>
        <w:rPr>
          <w:rFonts w:ascii="Arial" w:hAnsi="Arial" w:cs="Arial"/>
          <w:sz w:val="24"/>
          <w:szCs w:val="24"/>
        </w:rPr>
      </w:pPr>
      <w:r w:rsidRPr="00F533A8">
        <w:rPr>
          <w:rFonts w:ascii="Arial" w:hAnsi="Arial" w:cs="Arial"/>
          <w:sz w:val="24"/>
          <w:szCs w:val="24"/>
        </w:rPr>
        <w:t>[</w:t>
      </w:r>
      <w:r w:rsidR="00AB402B" w:rsidRPr="00F533A8">
        <w:rPr>
          <w:rFonts w:ascii="Arial" w:hAnsi="Arial" w:cs="Arial"/>
          <w:sz w:val="24"/>
          <w:szCs w:val="24"/>
        </w:rPr>
        <w:t>5</w:t>
      </w:r>
      <w:r w:rsidR="00704957" w:rsidRPr="00F533A8">
        <w:rPr>
          <w:rFonts w:ascii="Arial" w:hAnsi="Arial" w:cs="Arial"/>
          <w:sz w:val="24"/>
          <w:szCs w:val="24"/>
        </w:rPr>
        <w:t>3</w:t>
      </w:r>
      <w:r w:rsidRPr="00F533A8">
        <w:rPr>
          <w:rFonts w:ascii="Arial" w:hAnsi="Arial" w:cs="Arial"/>
          <w:sz w:val="24"/>
          <w:szCs w:val="24"/>
        </w:rPr>
        <w:t>]</w:t>
      </w:r>
      <w:r w:rsidRPr="00F533A8">
        <w:rPr>
          <w:rFonts w:ascii="Arial" w:hAnsi="Arial" w:cs="Arial"/>
          <w:sz w:val="24"/>
          <w:szCs w:val="24"/>
        </w:rPr>
        <w:tab/>
        <w:t xml:space="preserve">The SIU badly alleges that none of the respondents would suffer prejudice if the tender is reviewed and set aside. </w:t>
      </w:r>
      <w:r w:rsidR="00E95B0A" w:rsidRPr="00F533A8">
        <w:rPr>
          <w:rFonts w:ascii="Arial" w:hAnsi="Arial" w:cs="Arial"/>
          <w:sz w:val="24"/>
          <w:szCs w:val="24"/>
        </w:rPr>
        <w:t>I find that t</w:t>
      </w:r>
      <w:r w:rsidRPr="00F533A8">
        <w:rPr>
          <w:rFonts w:ascii="Arial" w:hAnsi="Arial" w:cs="Arial"/>
          <w:sz w:val="24"/>
          <w:szCs w:val="24"/>
        </w:rPr>
        <w:t xml:space="preserve">he potential prejudice to the </w:t>
      </w:r>
      <w:r w:rsidR="00AB402B" w:rsidRPr="00F533A8">
        <w:rPr>
          <w:rFonts w:ascii="Arial" w:hAnsi="Arial" w:cs="Arial"/>
          <w:sz w:val="24"/>
          <w:szCs w:val="24"/>
        </w:rPr>
        <w:t>DOT</w:t>
      </w:r>
      <w:r w:rsidRPr="00F533A8">
        <w:rPr>
          <w:rFonts w:ascii="Arial" w:hAnsi="Arial" w:cs="Arial"/>
          <w:sz w:val="24"/>
          <w:szCs w:val="24"/>
        </w:rPr>
        <w:t>, Nexor and its directors, subcontractor</w:t>
      </w:r>
      <w:r w:rsidR="00E95B0A" w:rsidRPr="00F533A8">
        <w:rPr>
          <w:rFonts w:ascii="Arial" w:hAnsi="Arial" w:cs="Arial"/>
          <w:sz w:val="24"/>
          <w:szCs w:val="24"/>
        </w:rPr>
        <w:t>s</w:t>
      </w:r>
      <w:r w:rsidRPr="00F533A8">
        <w:rPr>
          <w:rFonts w:ascii="Arial" w:hAnsi="Arial" w:cs="Arial"/>
          <w:sz w:val="24"/>
          <w:szCs w:val="24"/>
        </w:rPr>
        <w:t xml:space="preserve"> and employees is huge</w:t>
      </w:r>
      <w:r w:rsidR="00AB402B" w:rsidRPr="00F533A8">
        <w:rPr>
          <w:rFonts w:ascii="Arial" w:hAnsi="Arial" w:cs="Arial"/>
          <w:sz w:val="24"/>
          <w:szCs w:val="24"/>
        </w:rPr>
        <w:t>. Potential</w:t>
      </w:r>
      <w:r w:rsidRPr="00F533A8">
        <w:rPr>
          <w:rFonts w:ascii="Arial" w:hAnsi="Arial" w:cs="Arial"/>
          <w:sz w:val="24"/>
          <w:szCs w:val="24"/>
        </w:rPr>
        <w:t xml:space="preserve"> prejudice</w:t>
      </w:r>
      <w:r w:rsidR="00AB402B" w:rsidRPr="00F533A8">
        <w:rPr>
          <w:rFonts w:ascii="Arial" w:hAnsi="Arial" w:cs="Arial"/>
          <w:sz w:val="24"/>
          <w:szCs w:val="24"/>
        </w:rPr>
        <w:t xml:space="preserve"> substantially</w:t>
      </w:r>
      <w:r w:rsidRPr="00F533A8">
        <w:rPr>
          <w:rFonts w:ascii="Arial" w:hAnsi="Arial" w:cs="Arial"/>
          <w:sz w:val="24"/>
          <w:szCs w:val="24"/>
        </w:rPr>
        <w:t xml:space="preserve"> lies in the </w:t>
      </w:r>
      <w:r w:rsidR="00AB402B" w:rsidRPr="00F533A8">
        <w:rPr>
          <w:rFonts w:ascii="Arial" w:hAnsi="Arial" w:cs="Arial"/>
          <w:sz w:val="24"/>
          <w:szCs w:val="24"/>
        </w:rPr>
        <w:t>DOT</w:t>
      </w:r>
      <w:r w:rsidRPr="00F533A8">
        <w:rPr>
          <w:rFonts w:ascii="Arial" w:hAnsi="Arial" w:cs="Arial"/>
          <w:sz w:val="24"/>
          <w:szCs w:val="24"/>
        </w:rPr>
        <w:t>, its official and Nexor and its officials being implicated in an irregular tender</w:t>
      </w:r>
      <w:r w:rsidR="00AB402B" w:rsidRPr="00F533A8">
        <w:rPr>
          <w:rFonts w:ascii="Arial" w:hAnsi="Arial" w:cs="Arial"/>
          <w:sz w:val="24"/>
          <w:szCs w:val="24"/>
        </w:rPr>
        <w:t xml:space="preserve"> on grounds that are devoid of merit</w:t>
      </w:r>
      <w:r w:rsidRPr="00F533A8">
        <w:rPr>
          <w:rFonts w:ascii="Arial" w:hAnsi="Arial" w:cs="Arial"/>
          <w:sz w:val="24"/>
          <w:szCs w:val="24"/>
        </w:rPr>
        <w:t xml:space="preserve">. </w:t>
      </w:r>
      <w:r w:rsidR="00AC23B2" w:rsidRPr="00F533A8">
        <w:rPr>
          <w:rFonts w:ascii="Arial" w:hAnsi="Arial" w:cs="Arial"/>
          <w:sz w:val="24"/>
          <w:szCs w:val="24"/>
        </w:rPr>
        <w:t>This</w:t>
      </w:r>
      <w:r w:rsidRPr="00F533A8">
        <w:rPr>
          <w:rFonts w:ascii="Arial" w:hAnsi="Arial" w:cs="Arial"/>
          <w:sz w:val="24"/>
          <w:szCs w:val="24"/>
        </w:rPr>
        <w:t xml:space="preserve"> may cause an enduring blot on the professional and organization profiles of these parties. </w:t>
      </w:r>
      <w:r w:rsidR="00AC23B2" w:rsidRPr="00F533A8">
        <w:rPr>
          <w:rFonts w:ascii="Arial" w:hAnsi="Arial" w:cs="Arial"/>
          <w:sz w:val="24"/>
          <w:szCs w:val="24"/>
        </w:rPr>
        <w:t>Nexor also contends that the post</w:t>
      </w:r>
      <w:r w:rsidR="00296E61">
        <w:rPr>
          <w:rFonts w:ascii="Arial" w:hAnsi="Arial" w:cs="Arial"/>
          <w:sz w:val="24"/>
          <w:szCs w:val="24"/>
        </w:rPr>
        <w:t>-</w:t>
      </w:r>
      <w:r w:rsidR="00AC23B2" w:rsidRPr="00F533A8">
        <w:rPr>
          <w:rFonts w:ascii="Arial" w:hAnsi="Arial" w:cs="Arial"/>
          <w:sz w:val="24"/>
          <w:szCs w:val="24"/>
        </w:rPr>
        <w:t xml:space="preserve"> implementation unravelling of a major infrastructure project worth billions of dollars, implemented over 5 years will undoubtedly be time consuming.  </w:t>
      </w:r>
    </w:p>
    <w:p w14:paraId="4BF08ABE" w14:textId="77777777" w:rsidR="00AC23B2" w:rsidRPr="00F533A8" w:rsidRDefault="00AC23B2" w:rsidP="00E212A8">
      <w:pPr>
        <w:tabs>
          <w:tab w:val="left" w:pos="851"/>
        </w:tabs>
        <w:spacing w:line="360" w:lineRule="auto"/>
        <w:jc w:val="both"/>
        <w:rPr>
          <w:rFonts w:ascii="Arial" w:hAnsi="Arial" w:cs="Arial"/>
          <w:sz w:val="24"/>
          <w:szCs w:val="24"/>
        </w:rPr>
      </w:pPr>
    </w:p>
    <w:p w14:paraId="6507C7E7" w14:textId="52FFF267" w:rsidR="00647D96" w:rsidRPr="00F533A8" w:rsidRDefault="006158D2"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AC23B2" w:rsidRPr="00F533A8">
        <w:rPr>
          <w:rFonts w:ascii="Arial" w:hAnsi="Arial" w:cs="Arial"/>
          <w:sz w:val="24"/>
          <w:szCs w:val="24"/>
        </w:rPr>
        <w:t>5</w:t>
      </w:r>
      <w:r w:rsidR="00704957" w:rsidRPr="00F533A8">
        <w:rPr>
          <w:rFonts w:ascii="Arial" w:hAnsi="Arial" w:cs="Arial"/>
          <w:sz w:val="24"/>
          <w:szCs w:val="24"/>
        </w:rPr>
        <w:t>4</w:t>
      </w:r>
      <w:r w:rsidRPr="00F533A8">
        <w:rPr>
          <w:rFonts w:ascii="Arial" w:hAnsi="Arial" w:cs="Arial"/>
          <w:sz w:val="24"/>
          <w:szCs w:val="24"/>
        </w:rPr>
        <w:t>]</w:t>
      </w:r>
      <w:r w:rsidRPr="00F533A8">
        <w:rPr>
          <w:rFonts w:ascii="Arial" w:hAnsi="Arial" w:cs="Arial"/>
          <w:sz w:val="24"/>
          <w:szCs w:val="24"/>
        </w:rPr>
        <w:tab/>
      </w:r>
      <w:r w:rsidR="00AC23B2" w:rsidRPr="00F533A8">
        <w:rPr>
          <w:rFonts w:ascii="Arial" w:hAnsi="Arial" w:cs="Arial"/>
          <w:sz w:val="24"/>
          <w:szCs w:val="24"/>
        </w:rPr>
        <w:t>W</w:t>
      </w:r>
      <w:r w:rsidRPr="00F533A8">
        <w:rPr>
          <w:rFonts w:ascii="Arial" w:hAnsi="Arial" w:cs="Arial"/>
          <w:sz w:val="24"/>
          <w:szCs w:val="24"/>
        </w:rPr>
        <w:t xml:space="preserve">ithin six months of the tender being awarded, the Proclamation authorizing the SIU to investigate it was issued. The tender period was five years. </w:t>
      </w:r>
      <w:r w:rsidR="00296E61">
        <w:rPr>
          <w:rFonts w:ascii="Arial" w:hAnsi="Arial" w:cs="Arial"/>
          <w:sz w:val="24"/>
          <w:szCs w:val="24"/>
        </w:rPr>
        <w:t>The SIU</w:t>
      </w:r>
      <w:r w:rsidRPr="00F533A8">
        <w:rPr>
          <w:rFonts w:ascii="Arial" w:hAnsi="Arial" w:cs="Arial"/>
          <w:sz w:val="24"/>
          <w:szCs w:val="24"/>
        </w:rPr>
        <w:t xml:space="preserve"> did not consider it necessary to mitigate potential loss to the state by interdicting the implementation of the tender. It only attempted to get </w:t>
      </w:r>
      <w:r w:rsidR="00296E61">
        <w:rPr>
          <w:rFonts w:ascii="Arial" w:hAnsi="Arial" w:cs="Arial"/>
          <w:sz w:val="24"/>
          <w:szCs w:val="24"/>
        </w:rPr>
        <w:t xml:space="preserve">DOT </w:t>
      </w:r>
      <w:r w:rsidRPr="00F533A8">
        <w:rPr>
          <w:rFonts w:ascii="Arial" w:hAnsi="Arial" w:cs="Arial"/>
          <w:sz w:val="24"/>
          <w:szCs w:val="24"/>
        </w:rPr>
        <w:t xml:space="preserve">to terminate the contract with Nexor </w:t>
      </w:r>
      <w:r w:rsidR="008C1523" w:rsidRPr="00F533A8">
        <w:rPr>
          <w:rFonts w:ascii="Arial" w:hAnsi="Arial" w:cs="Arial"/>
          <w:sz w:val="24"/>
          <w:szCs w:val="24"/>
        </w:rPr>
        <w:t>on</w:t>
      </w:r>
      <w:r w:rsidRPr="00F533A8">
        <w:rPr>
          <w:rFonts w:ascii="Arial" w:hAnsi="Arial" w:cs="Arial"/>
          <w:sz w:val="24"/>
          <w:szCs w:val="24"/>
        </w:rPr>
        <w:t xml:space="preserve"> </w:t>
      </w:r>
      <w:r w:rsidR="000D23FB" w:rsidRPr="00F533A8">
        <w:rPr>
          <w:rFonts w:ascii="Arial" w:hAnsi="Arial" w:cs="Arial"/>
          <w:sz w:val="24"/>
          <w:szCs w:val="24"/>
        </w:rPr>
        <w:t>1 July 2021</w:t>
      </w:r>
      <w:r w:rsidRPr="00F533A8">
        <w:rPr>
          <w:rFonts w:ascii="Arial" w:hAnsi="Arial" w:cs="Arial"/>
          <w:sz w:val="24"/>
          <w:szCs w:val="24"/>
        </w:rPr>
        <w:t xml:space="preserve">. When Nexor protested, if the SIU was confident of its case, it would have still sought to interdict the further implementation of the tender. It did not do so. In the meantime, Nexor continued to incur expenses and employ resources to meet its obligations in terms of the tender. Similarly, </w:t>
      </w:r>
      <w:r w:rsidR="00AC23B2" w:rsidRPr="00F533A8">
        <w:rPr>
          <w:rFonts w:ascii="Arial" w:hAnsi="Arial" w:cs="Arial"/>
          <w:sz w:val="24"/>
          <w:szCs w:val="24"/>
        </w:rPr>
        <w:t>DOT</w:t>
      </w:r>
      <w:r w:rsidRPr="00F533A8">
        <w:rPr>
          <w:rFonts w:ascii="Arial" w:hAnsi="Arial" w:cs="Arial"/>
          <w:sz w:val="24"/>
          <w:szCs w:val="24"/>
        </w:rPr>
        <w:t xml:space="preserve"> met its obligations to Nexor including making payments.  The tender expired by affixion of time in March 2023. The prejudice that Nexor and </w:t>
      </w:r>
      <w:r w:rsidR="00AC23B2" w:rsidRPr="00F533A8">
        <w:rPr>
          <w:rFonts w:ascii="Arial" w:hAnsi="Arial" w:cs="Arial"/>
          <w:sz w:val="24"/>
          <w:szCs w:val="24"/>
        </w:rPr>
        <w:t xml:space="preserve">DOT </w:t>
      </w:r>
      <w:r w:rsidRPr="00F533A8">
        <w:rPr>
          <w:rFonts w:ascii="Arial" w:hAnsi="Arial" w:cs="Arial"/>
          <w:sz w:val="24"/>
          <w:szCs w:val="24"/>
        </w:rPr>
        <w:t xml:space="preserve">stands to suffer </w:t>
      </w:r>
      <w:r w:rsidR="00F16978" w:rsidRPr="00F533A8">
        <w:rPr>
          <w:rFonts w:ascii="Arial" w:hAnsi="Arial" w:cs="Arial"/>
          <w:sz w:val="24"/>
          <w:szCs w:val="24"/>
        </w:rPr>
        <w:t xml:space="preserve">is blatant. </w:t>
      </w:r>
    </w:p>
    <w:p w14:paraId="0E7A2C1A" w14:textId="77777777" w:rsidR="00AC23B2" w:rsidRPr="00F533A8" w:rsidRDefault="00AC23B2" w:rsidP="00E212A8">
      <w:pPr>
        <w:tabs>
          <w:tab w:val="left" w:pos="851"/>
          <w:tab w:val="left" w:pos="1701"/>
        </w:tabs>
        <w:spacing w:line="360" w:lineRule="auto"/>
        <w:jc w:val="both"/>
        <w:rPr>
          <w:rFonts w:ascii="Arial" w:hAnsi="Arial" w:cs="Arial"/>
          <w:sz w:val="24"/>
          <w:szCs w:val="24"/>
        </w:rPr>
      </w:pPr>
    </w:p>
    <w:p w14:paraId="011C6646" w14:textId="08BBFC6A" w:rsidR="004E6A6A" w:rsidRPr="00F533A8" w:rsidRDefault="004E6A6A" w:rsidP="00E212A8">
      <w:pPr>
        <w:tabs>
          <w:tab w:val="left" w:pos="851"/>
          <w:tab w:val="left" w:pos="1701"/>
        </w:tabs>
        <w:spacing w:line="360" w:lineRule="auto"/>
        <w:jc w:val="both"/>
        <w:rPr>
          <w:rFonts w:ascii="Arial" w:hAnsi="Arial" w:cs="Arial"/>
          <w:sz w:val="24"/>
          <w:szCs w:val="24"/>
        </w:rPr>
      </w:pPr>
      <w:r w:rsidRPr="00F533A8">
        <w:rPr>
          <w:rFonts w:ascii="Arial" w:hAnsi="Arial" w:cs="Arial"/>
          <w:sz w:val="24"/>
          <w:szCs w:val="24"/>
        </w:rPr>
        <w:t>[</w:t>
      </w:r>
      <w:r w:rsidR="00AC23B2" w:rsidRPr="00F533A8">
        <w:rPr>
          <w:rFonts w:ascii="Arial" w:hAnsi="Arial" w:cs="Arial"/>
          <w:sz w:val="24"/>
          <w:szCs w:val="24"/>
        </w:rPr>
        <w:t>5</w:t>
      </w:r>
      <w:r w:rsidR="00704957" w:rsidRPr="00F533A8">
        <w:rPr>
          <w:rFonts w:ascii="Arial" w:hAnsi="Arial" w:cs="Arial"/>
          <w:sz w:val="24"/>
          <w:szCs w:val="24"/>
        </w:rPr>
        <w:t>5</w:t>
      </w:r>
      <w:r w:rsidRPr="00F533A8">
        <w:rPr>
          <w:rFonts w:ascii="Arial" w:hAnsi="Arial" w:cs="Arial"/>
          <w:sz w:val="24"/>
          <w:szCs w:val="24"/>
        </w:rPr>
        <w:t>]</w:t>
      </w:r>
      <w:r w:rsidRPr="00F533A8">
        <w:rPr>
          <w:rFonts w:ascii="Arial" w:hAnsi="Arial" w:cs="Arial"/>
          <w:sz w:val="24"/>
          <w:szCs w:val="24"/>
        </w:rPr>
        <w:tab/>
        <w:t xml:space="preserve">Unravelling profits earned from a R2 billion tender implemented over a five- year period will no doubt be financially prejudicial as it is likely to be a costly and time- consuming exercise. </w:t>
      </w:r>
    </w:p>
    <w:p w14:paraId="45EA61AA" w14:textId="77777777" w:rsidR="00AC23B2" w:rsidRPr="00F533A8" w:rsidRDefault="00AC23B2" w:rsidP="00E212A8">
      <w:pPr>
        <w:tabs>
          <w:tab w:val="left" w:pos="851"/>
        </w:tabs>
        <w:spacing w:line="360" w:lineRule="auto"/>
        <w:jc w:val="both"/>
        <w:rPr>
          <w:rFonts w:ascii="Arial" w:hAnsi="Arial" w:cs="Arial"/>
          <w:sz w:val="24"/>
          <w:szCs w:val="24"/>
        </w:rPr>
      </w:pPr>
    </w:p>
    <w:p w14:paraId="5A015B67" w14:textId="5E17E987" w:rsidR="004E6A6A" w:rsidRPr="00F533A8" w:rsidRDefault="004E6A6A"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AC23B2" w:rsidRPr="00F533A8">
        <w:rPr>
          <w:rFonts w:ascii="Arial" w:hAnsi="Arial" w:cs="Arial"/>
          <w:sz w:val="24"/>
          <w:szCs w:val="24"/>
        </w:rPr>
        <w:t>5</w:t>
      </w:r>
      <w:r w:rsidR="00704957" w:rsidRPr="00F533A8">
        <w:rPr>
          <w:rFonts w:ascii="Arial" w:hAnsi="Arial" w:cs="Arial"/>
          <w:sz w:val="24"/>
          <w:szCs w:val="24"/>
        </w:rPr>
        <w:t>6</w:t>
      </w:r>
      <w:r w:rsidRPr="00F533A8">
        <w:rPr>
          <w:rFonts w:ascii="Arial" w:hAnsi="Arial" w:cs="Arial"/>
          <w:sz w:val="24"/>
          <w:szCs w:val="24"/>
        </w:rPr>
        <w:t>]</w:t>
      </w:r>
      <w:r w:rsidRPr="00F533A8">
        <w:rPr>
          <w:rFonts w:ascii="Arial" w:hAnsi="Arial" w:cs="Arial"/>
          <w:sz w:val="24"/>
          <w:szCs w:val="24"/>
        </w:rPr>
        <w:tab/>
        <w:t xml:space="preserve">The last factor requires that I traverse the merits of the review application. I do so in the next section of this judgment. </w:t>
      </w:r>
    </w:p>
    <w:p w14:paraId="32F9F7DB" w14:textId="77777777" w:rsidR="00647D96" w:rsidRDefault="00647D96" w:rsidP="00E212A8">
      <w:pPr>
        <w:tabs>
          <w:tab w:val="left" w:pos="851"/>
        </w:tabs>
        <w:spacing w:line="360" w:lineRule="auto"/>
        <w:jc w:val="both"/>
        <w:rPr>
          <w:rFonts w:ascii="Arial" w:hAnsi="Arial" w:cs="Arial"/>
          <w:sz w:val="24"/>
          <w:szCs w:val="24"/>
        </w:rPr>
      </w:pPr>
    </w:p>
    <w:p w14:paraId="05B7D76A" w14:textId="77777777" w:rsidR="00396285" w:rsidRDefault="00396285" w:rsidP="00E212A8">
      <w:pPr>
        <w:tabs>
          <w:tab w:val="left" w:pos="851"/>
        </w:tabs>
        <w:spacing w:line="360" w:lineRule="auto"/>
        <w:jc w:val="both"/>
        <w:rPr>
          <w:rFonts w:ascii="Arial" w:hAnsi="Arial" w:cs="Arial"/>
          <w:sz w:val="24"/>
          <w:szCs w:val="24"/>
        </w:rPr>
      </w:pPr>
    </w:p>
    <w:p w14:paraId="53E7D828" w14:textId="77777777" w:rsidR="00396285" w:rsidRDefault="00396285" w:rsidP="00E212A8">
      <w:pPr>
        <w:tabs>
          <w:tab w:val="left" w:pos="851"/>
        </w:tabs>
        <w:spacing w:line="360" w:lineRule="auto"/>
        <w:jc w:val="both"/>
        <w:rPr>
          <w:rFonts w:ascii="Arial" w:hAnsi="Arial" w:cs="Arial"/>
          <w:sz w:val="24"/>
          <w:szCs w:val="24"/>
        </w:rPr>
      </w:pPr>
    </w:p>
    <w:p w14:paraId="715314DF" w14:textId="77777777" w:rsidR="00396285" w:rsidRPr="00F533A8" w:rsidRDefault="00396285" w:rsidP="00E212A8">
      <w:pPr>
        <w:tabs>
          <w:tab w:val="left" w:pos="851"/>
        </w:tabs>
        <w:spacing w:line="360" w:lineRule="auto"/>
        <w:jc w:val="both"/>
        <w:rPr>
          <w:rFonts w:ascii="Arial" w:hAnsi="Arial" w:cs="Arial"/>
          <w:sz w:val="24"/>
          <w:szCs w:val="24"/>
        </w:rPr>
      </w:pPr>
    </w:p>
    <w:p w14:paraId="0306E5DB" w14:textId="77777777" w:rsidR="004E6A6A" w:rsidRPr="00F533A8" w:rsidRDefault="004E6A6A" w:rsidP="00E212A8">
      <w:pPr>
        <w:tabs>
          <w:tab w:val="left" w:pos="851"/>
        </w:tabs>
        <w:spacing w:line="360" w:lineRule="auto"/>
        <w:jc w:val="both"/>
        <w:rPr>
          <w:rFonts w:ascii="Arial" w:hAnsi="Arial" w:cs="Arial"/>
          <w:b/>
          <w:bCs/>
          <w:sz w:val="24"/>
          <w:szCs w:val="24"/>
        </w:rPr>
      </w:pPr>
      <w:r w:rsidRPr="00F533A8">
        <w:rPr>
          <w:rFonts w:ascii="Arial" w:hAnsi="Arial" w:cs="Arial"/>
          <w:b/>
          <w:bCs/>
          <w:sz w:val="24"/>
          <w:szCs w:val="24"/>
        </w:rPr>
        <w:t>The merits</w:t>
      </w:r>
    </w:p>
    <w:p w14:paraId="0B5D9A09" w14:textId="77777777" w:rsidR="001218F2" w:rsidRPr="00F533A8" w:rsidRDefault="001218F2" w:rsidP="00E212A8">
      <w:pPr>
        <w:tabs>
          <w:tab w:val="left" w:pos="1041"/>
        </w:tabs>
        <w:spacing w:before="208" w:line="360" w:lineRule="auto"/>
        <w:ind w:right="132"/>
        <w:jc w:val="both"/>
        <w:rPr>
          <w:rFonts w:ascii="Arial" w:hAnsi="Arial" w:cs="Arial"/>
          <w:i/>
          <w:iCs/>
          <w:sz w:val="24"/>
          <w:szCs w:val="24"/>
        </w:rPr>
      </w:pPr>
      <w:r w:rsidRPr="00F533A8">
        <w:rPr>
          <w:rFonts w:ascii="Arial" w:hAnsi="Arial" w:cs="Arial"/>
          <w:i/>
          <w:iCs/>
          <w:sz w:val="24"/>
          <w:szCs w:val="24"/>
        </w:rPr>
        <w:t>Pairing of the IDMS and RAMS project</w:t>
      </w:r>
    </w:p>
    <w:p w14:paraId="20EB0411" w14:textId="1688A285" w:rsidR="001218F2" w:rsidRPr="00F533A8" w:rsidRDefault="001218F2" w:rsidP="00E212A8">
      <w:pPr>
        <w:tabs>
          <w:tab w:val="left" w:pos="1041"/>
        </w:tabs>
        <w:spacing w:before="92" w:line="360" w:lineRule="auto"/>
        <w:ind w:right="133"/>
        <w:jc w:val="both"/>
        <w:rPr>
          <w:rFonts w:ascii="Arial" w:hAnsi="Arial" w:cs="Arial"/>
          <w:sz w:val="24"/>
          <w:szCs w:val="24"/>
        </w:rPr>
      </w:pPr>
      <w:r w:rsidRPr="00F533A8">
        <w:rPr>
          <w:rFonts w:ascii="Arial" w:hAnsi="Arial" w:cs="Arial"/>
          <w:sz w:val="24"/>
          <w:szCs w:val="24"/>
        </w:rPr>
        <w:t>[5</w:t>
      </w:r>
      <w:r w:rsidR="00704957" w:rsidRPr="00F533A8">
        <w:rPr>
          <w:rFonts w:ascii="Arial" w:hAnsi="Arial" w:cs="Arial"/>
          <w:sz w:val="24"/>
          <w:szCs w:val="24"/>
        </w:rPr>
        <w:t>7</w:t>
      </w:r>
      <w:r w:rsidRPr="00F533A8">
        <w:rPr>
          <w:rFonts w:ascii="Arial" w:hAnsi="Arial" w:cs="Arial"/>
          <w:sz w:val="24"/>
          <w:szCs w:val="24"/>
        </w:rPr>
        <w:t>]</w:t>
      </w:r>
      <w:r w:rsidR="00396285">
        <w:rPr>
          <w:rFonts w:ascii="Arial" w:hAnsi="Arial" w:cs="Arial"/>
          <w:sz w:val="24"/>
          <w:szCs w:val="24"/>
        </w:rPr>
        <w:tab/>
      </w:r>
      <w:r w:rsidRPr="00F533A8">
        <w:rPr>
          <w:rFonts w:ascii="Arial" w:hAnsi="Arial" w:cs="Arial"/>
          <w:sz w:val="24"/>
          <w:szCs w:val="24"/>
        </w:rPr>
        <w:t xml:space="preserve">The SIU alleges </w:t>
      </w:r>
      <w:r w:rsidR="00EE73AC">
        <w:rPr>
          <w:rFonts w:ascii="Arial" w:hAnsi="Arial" w:cs="Arial"/>
          <w:sz w:val="24"/>
          <w:szCs w:val="24"/>
        </w:rPr>
        <w:t xml:space="preserve">that </w:t>
      </w:r>
      <w:r w:rsidRPr="00F533A8">
        <w:rPr>
          <w:rFonts w:ascii="Arial" w:hAnsi="Arial" w:cs="Arial"/>
          <w:sz w:val="24"/>
          <w:szCs w:val="24"/>
        </w:rPr>
        <w:t xml:space="preserve">DOT paired the IDMS programme with the RAMS programme, </w:t>
      </w:r>
      <w:r w:rsidRPr="00F533A8">
        <w:rPr>
          <w:rFonts w:ascii="Arial" w:hAnsi="Arial" w:cs="Arial"/>
          <w:spacing w:val="-64"/>
          <w:sz w:val="24"/>
          <w:szCs w:val="24"/>
        </w:rPr>
        <w:t xml:space="preserve"> </w:t>
      </w:r>
      <w:r w:rsidRPr="00F533A8">
        <w:rPr>
          <w:rFonts w:ascii="Arial" w:hAnsi="Arial" w:cs="Arial"/>
          <w:sz w:val="24"/>
          <w:szCs w:val="24"/>
        </w:rPr>
        <w:t xml:space="preserve">thereby amending </w:t>
      </w:r>
      <w:r w:rsidR="00EE73AC">
        <w:rPr>
          <w:rFonts w:ascii="Arial" w:hAnsi="Arial" w:cs="Arial"/>
          <w:sz w:val="24"/>
          <w:szCs w:val="24"/>
        </w:rPr>
        <w:t xml:space="preserve">the </w:t>
      </w:r>
      <w:r w:rsidRPr="00F533A8">
        <w:rPr>
          <w:rFonts w:ascii="Arial" w:hAnsi="Arial" w:cs="Arial"/>
          <w:sz w:val="24"/>
          <w:szCs w:val="24"/>
        </w:rPr>
        <w:t>focus of the IDMS programme</w:t>
      </w:r>
      <w:r w:rsidR="00EE73AC">
        <w:rPr>
          <w:rFonts w:ascii="Arial" w:hAnsi="Arial" w:cs="Arial"/>
          <w:sz w:val="24"/>
          <w:szCs w:val="24"/>
        </w:rPr>
        <w:t xml:space="preserve">. This </w:t>
      </w:r>
      <w:r w:rsidRPr="00F533A8">
        <w:rPr>
          <w:rFonts w:ascii="Arial" w:hAnsi="Arial" w:cs="Arial"/>
          <w:sz w:val="24"/>
          <w:szCs w:val="24"/>
        </w:rPr>
        <w:t>resulted in only one</w:t>
      </w:r>
      <w:r w:rsidRPr="00F533A8">
        <w:rPr>
          <w:rFonts w:ascii="Arial" w:hAnsi="Arial" w:cs="Arial"/>
          <w:spacing w:val="1"/>
          <w:sz w:val="24"/>
          <w:szCs w:val="24"/>
        </w:rPr>
        <w:t xml:space="preserve"> </w:t>
      </w:r>
      <w:r w:rsidRPr="00F533A8">
        <w:rPr>
          <w:rFonts w:ascii="Arial" w:hAnsi="Arial" w:cs="Arial"/>
          <w:sz w:val="24"/>
          <w:szCs w:val="24"/>
        </w:rPr>
        <w:t>tenderer</w:t>
      </w:r>
      <w:r w:rsidRPr="00F533A8">
        <w:rPr>
          <w:rFonts w:ascii="Arial" w:hAnsi="Arial" w:cs="Arial"/>
          <w:spacing w:val="-13"/>
          <w:sz w:val="24"/>
          <w:szCs w:val="24"/>
        </w:rPr>
        <w:t xml:space="preserve"> </w:t>
      </w:r>
      <w:r w:rsidRPr="00F533A8">
        <w:rPr>
          <w:rFonts w:ascii="Arial" w:hAnsi="Arial" w:cs="Arial"/>
          <w:sz w:val="24"/>
          <w:szCs w:val="24"/>
        </w:rPr>
        <w:t>meeting</w:t>
      </w:r>
      <w:r w:rsidRPr="00F533A8">
        <w:rPr>
          <w:rFonts w:ascii="Arial" w:hAnsi="Arial" w:cs="Arial"/>
          <w:spacing w:val="-12"/>
          <w:sz w:val="24"/>
          <w:szCs w:val="24"/>
        </w:rPr>
        <w:t xml:space="preserve"> </w:t>
      </w:r>
      <w:r w:rsidRPr="00F533A8">
        <w:rPr>
          <w:rFonts w:ascii="Arial" w:hAnsi="Arial" w:cs="Arial"/>
          <w:sz w:val="24"/>
          <w:szCs w:val="24"/>
        </w:rPr>
        <w:t>all</w:t>
      </w:r>
      <w:r w:rsidRPr="00F533A8">
        <w:rPr>
          <w:rFonts w:ascii="Arial" w:hAnsi="Arial" w:cs="Arial"/>
          <w:spacing w:val="-14"/>
          <w:sz w:val="24"/>
          <w:szCs w:val="24"/>
        </w:rPr>
        <w:t xml:space="preserve"> </w:t>
      </w:r>
      <w:r w:rsidRPr="00F533A8">
        <w:rPr>
          <w:rFonts w:ascii="Arial" w:hAnsi="Arial" w:cs="Arial"/>
          <w:sz w:val="24"/>
          <w:szCs w:val="24"/>
        </w:rPr>
        <w:t>the</w:t>
      </w:r>
      <w:r w:rsidRPr="00F533A8">
        <w:rPr>
          <w:rFonts w:ascii="Arial" w:hAnsi="Arial" w:cs="Arial"/>
          <w:spacing w:val="-9"/>
          <w:sz w:val="24"/>
          <w:szCs w:val="24"/>
        </w:rPr>
        <w:t xml:space="preserve"> </w:t>
      </w:r>
      <w:r w:rsidRPr="00F533A8">
        <w:rPr>
          <w:rFonts w:ascii="Arial" w:hAnsi="Arial" w:cs="Arial"/>
          <w:sz w:val="24"/>
          <w:szCs w:val="24"/>
        </w:rPr>
        <w:t>needs</w:t>
      </w:r>
      <w:r w:rsidRPr="00F533A8">
        <w:rPr>
          <w:rFonts w:ascii="Arial" w:hAnsi="Arial" w:cs="Arial"/>
          <w:spacing w:val="-12"/>
          <w:sz w:val="24"/>
          <w:szCs w:val="24"/>
        </w:rPr>
        <w:t xml:space="preserve"> </w:t>
      </w:r>
      <w:r w:rsidRPr="00F533A8">
        <w:rPr>
          <w:rFonts w:ascii="Arial" w:hAnsi="Arial" w:cs="Arial"/>
          <w:sz w:val="24"/>
          <w:szCs w:val="24"/>
        </w:rPr>
        <w:t>required,</w:t>
      </w:r>
      <w:r w:rsidRPr="00F533A8">
        <w:rPr>
          <w:rFonts w:ascii="Arial" w:hAnsi="Arial" w:cs="Arial"/>
          <w:spacing w:val="-12"/>
          <w:sz w:val="24"/>
          <w:szCs w:val="24"/>
        </w:rPr>
        <w:t xml:space="preserve"> </w:t>
      </w:r>
      <w:r w:rsidRPr="00F533A8">
        <w:rPr>
          <w:rFonts w:ascii="Arial" w:hAnsi="Arial" w:cs="Arial"/>
          <w:sz w:val="24"/>
          <w:szCs w:val="24"/>
        </w:rPr>
        <w:t>even</w:t>
      </w:r>
      <w:r w:rsidRPr="00F533A8">
        <w:rPr>
          <w:rFonts w:ascii="Arial" w:hAnsi="Arial" w:cs="Arial"/>
          <w:spacing w:val="-12"/>
          <w:sz w:val="24"/>
          <w:szCs w:val="24"/>
        </w:rPr>
        <w:t xml:space="preserve"> </w:t>
      </w:r>
      <w:r w:rsidRPr="00F533A8">
        <w:rPr>
          <w:rFonts w:ascii="Arial" w:hAnsi="Arial" w:cs="Arial"/>
          <w:sz w:val="24"/>
          <w:szCs w:val="24"/>
        </w:rPr>
        <w:t>though</w:t>
      </w:r>
      <w:r w:rsidRPr="00F533A8">
        <w:rPr>
          <w:rFonts w:ascii="Arial" w:hAnsi="Arial" w:cs="Arial"/>
          <w:spacing w:val="-9"/>
          <w:sz w:val="24"/>
          <w:szCs w:val="24"/>
        </w:rPr>
        <w:t xml:space="preserve"> </w:t>
      </w:r>
      <w:r w:rsidRPr="00F533A8">
        <w:rPr>
          <w:rFonts w:ascii="Arial" w:hAnsi="Arial" w:cs="Arial"/>
          <w:sz w:val="24"/>
          <w:szCs w:val="24"/>
        </w:rPr>
        <w:t>several</w:t>
      </w:r>
      <w:r w:rsidRPr="00F533A8">
        <w:rPr>
          <w:rFonts w:ascii="Arial" w:hAnsi="Arial" w:cs="Arial"/>
          <w:spacing w:val="-10"/>
          <w:sz w:val="24"/>
          <w:szCs w:val="24"/>
        </w:rPr>
        <w:t xml:space="preserve"> </w:t>
      </w:r>
      <w:r w:rsidRPr="00F533A8">
        <w:rPr>
          <w:rFonts w:ascii="Arial" w:hAnsi="Arial" w:cs="Arial"/>
          <w:sz w:val="24"/>
          <w:szCs w:val="24"/>
        </w:rPr>
        <w:t>tenderers</w:t>
      </w:r>
      <w:r w:rsidRPr="00F533A8">
        <w:rPr>
          <w:rFonts w:ascii="Arial" w:hAnsi="Arial" w:cs="Arial"/>
          <w:spacing w:val="-11"/>
          <w:sz w:val="24"/>
          <w:szCs w:val="24"/>
        </w:rPr>
        <w:t xml:space="preserve"> </w:t>
      </w:r>
      <w:r w:rsidRPr="00F533A8">
        <w:rPr>
          <w:rFonts w:ascii="Arial" w:hAnsi="Arial" w:cs="Arial"/>
          <w:sz w:val="24"/>
          <w:szCs w:val="24"/>
        </w:rPr>
        <w:t>could</w:t>
      </w:r>
      <w:r w:rsidRPr="00F533A8">
        <w:rPr>
          <w:rFonts w:ascii="Arial" w:hAnsi="Arial" w:cs="Arial"/>
          <w:spacing w:val="-64"/>
          <w:sz w:val="24"/>
          <w:szCs w:val="24"/>
        </w:rPr>
        <w:t xml:space="preserve"> </w:t>
      </w:r>
      <w:r w:rsidRPr="00F533A8">
        <w:rPr>
          <w:rFonts w:ascii="Arial" w:hAnsi="Arial" w:cs="Arial"/>
          <w:sz w:val="24"/>
          <w:szCs w:val="24"/>
        </w:rPr>
        <w:t>have fairly competed on an equal footing solely for the IDMS contract. The</w:t>
      </w:r>
      <w:r w:rsidRPr="00F533A8">
        <w:rPr>
          <w:rFonts w:ascii="Arial" w:hAnsi="Arial" w:cs="Arial"/>
          <w:spacing w:val="1"/>
          <w:sz w:val="24"/>
          <w:szCs w:val="24"/>
        </w:rPr>
        <w:t xml:space="preserve"> </w:t>
      </w:r>
      <w:r w:rsidRPr="00F533A8">
        <w:rPr>
          <w:rFonts w:ascii="Arial" w:hAnsi="Arial" w:cs="Arial"/>
          <w:sz w:val="24"/>
          <w:szCs w:val="24"/>
        </w:rPr>
        <w:t>RAMS programme and the equipment required for the</w:t>
      </w:r>
      <w:r w:rsidRPr="00F533A8">
        <w:rPr>
          <w:rFonts w:ascii="Arial" w:hAnsi="Arial" w:cs="Arial"/>
          <w:spacing w:val="1"/>
          <w:sz w:val="24"/>
          <w:szCs w:val="24"/>
        </w:rPr>
        <w:t xml:space="preserve"> </w:t>
      </w:r>
      <w:r w:rsidRPr="00F533A8">
        <w:rPr>
          <w:rFonts w:ascii="Arial" w:hAnsi="Arial" w:cs="Arial"/>
          <w:sz w:val="24"/>
          <w:szCs w:val="24"/>
        </w:rPr>
        <w:t>collection</w:t>
      </w:r>
      <w:r w:rsidRPr="00F533A8">
        <w:rPr>
          <w:rFonts w:ascii="Arial" w:hAnsi="Arial" w:cs="Arial"/>
          <w:spacing w:val="-13"/>
          <w:sz w:val="24"/>
          <w:szCs w:val="24"/>
        </w:rPr>
        <w:t xml:space="preserve"> </w:t>
      </w:r>
      <w:r w:rsidRPr="00F533A8">
        <w:rPr>
          <w:rFonts w:ascii="Arial" w:hAnsi="Arial" w:cs="Arial"/>
          <w:sz w:val="24"/>
          <w:szCs w:val="24"/>
        </w:rPr>
        <w:t>of</w:t>
      </w:r>
      <w:r w:rsidRPr="00F533A8">
        <w:rPr>
          <w:rFonts w:ascii="Arial" w:hAnsi="Arial" w:cs="Arial"/>
          <w:spacing w:val="-8"/>
          <w:sz w:val="24"/>
          <w:szCs w:val="24"/>
        </w:rPr>
        <w:t xml:space="preserve"> </w:t>
      </w:r>
      <w:r w:rsidRPr="00F533A8">
        <w:rPr>
          <w:rFonts w:ascii="Arial" w:hAnsi="Arial" w:cs="Arial"/>
          <w:sz w:val="24"/>
          <w:szCs w:val="24"/>
        </w:rPr>
        <w:t>data,</w:t>
      </w:r>
      <w:r w:rsidRPr="00F533A8">
        <w:rPr>
          <w:rFonts w:ascii="Arial" w:hAnsi="Arial" w:cs="Arial"/>
          <w:spacing w:val="-11"/>
          <w:sz w:val="24"/>
          <w:szCs w:val="24"/>
        </w:rPr>
        <w:t xml:space="preserve"> </w:t>
      </w:r>
      <w:r w:rsidRPr="00F533A8">
        <w:rPr>
          <w:rFonts w:ascii="Arial" w:hAnsi="Arial" w:cs="Arial"/>
          <w:sz w:val="24"/>
          <w:szCs w:val="24"/>
        </w:rPr>
        <w:t>with</w:t>
      </w:r>
      <w:r w:rsidRPr="00F533A8">
        <w:rPr>
          <w:rFonts w:ascii="Arial" w:hAnsi="Arial" w:cs="Arial"/>
          <w:spacing w:val="-10"/>
          <w:sz w:val="24"/>
          <w:szCs w:val="24"/>
        </w:rPr>
        <w:t xml:space="preserve"> </w:t>
      </w:r>
      <w:r w:rsidRPr="00F533A8">
        <w:rPr>
          <w:rFonts w:ascii="Arial" w:hAnsi="Arial" w:cs="Arial"/>
          <w:sz w:val="24"/>
          <w:szCs w:val="24"/>
        </w:rPr>
        <w:t>greater</w:t>
      </w:r>
      <w:r w:rsidRPr="00F533A8">
        <w:rPr>
          <w:rFonts w:ascii="Arial" w:hAnsi="Arial" w:cs="Arial"/>
          <w:spacing w:val="-15"/>
          <w:sz w:val="24"/>
          <w:szCs w:val="24"/>
        </w:rPr>
        <w:t xml:space="preserve"> </w:t>
      </w:r>
      <w:r w:rsidRPr="00F533A8">
        <w:rPr>
          <w:rFonts w:ascii="Arial" w:hAnsi="Arial" w:cs="Arial"/>
          <w:sz w:val="24"/>
          <w:szCs w:val="24"/>
        </w:rPr>
        <w:t>focus</w:t>
      </w:r>
      <w:r w:rsidRPr="00F533A8">
        <w:rPr>
          <w:rFonts w:ascii="Arial" w:hAnsi="Arial" w:cs="Arial"/>
          <w:spacing w:val="-13"/>
          <w:sz w:val="24"/>
          <w:szCs w:val="24"/>
        </w:rPr>
        <w:t xml:space="preserve"> </w:t>
      </w:r>
      <w:r w:rsidRPr="00F533A8">
        <w:rPr>
          <w:rFonts w:ascii="Arial" w:hAnsi="Arial" w:cs="Arial"/>
          <w:sz w:val="24"/>
          <w:szCs w:val="24"/>
        </w:rPr>
        <w:t>added</w:t>
      </w:r>
      <w:r w:rsidRPr="00F533A8">
        <w:rPr>
          <w:rFonts w:ascii="Arial" w:hAnsi="Arial" w:cs="Arial"/>
          <w:spacing w:val="-12"/>
          <w:sz w:val="24"/>
          <w:szCs w:val="24"/>
        </w:rPr>
        <w:t xml:space="preserve"> </w:t>
      </w:r>
      <w:r w:rsidRPr="00F533A8">
        <w:rPr>
          <w:rFonts w:ascii="Arial" w:hAnsi="Arial" w:cs="Arial"/>
          <w:sz w:val="24"/>
          <w:szCs w:val="24"/>
        </w:rPr>
        <w:t>to</w:t>
      </w:r>
      <w:r w:rsidRPr="00F533A8">
        <w:rPr>
          <w:rFonts w:ascii="Arial" w:hAnsi="Arial" w:cs="Arial"/>
          <w:spacing w:val="-13"/>
          <w:sz w:val="24"/>
          <w:szCs w:val="24"/>
        </w:rPr>
        <w:t xml:space="preserve"> </w:t>
      </w:r>
      <w:r w:rsidRPr="00F533A8">
        <w:rPr>
          <w:rFonts w:ascii="Arial" w:hAnsi="Arial" w:cs="Arial"/>
          <w:sz w:val="24"/>
          <w:szCs w:val="24"/>
        </w:rPr>
        <w:t>this</w:t>
      </w:r>
      <w:r w:rsidRPr="00F533A8">
        <w:rPr>
          <w:rFonts w:ascii="Arial" w:hAnsi="Arial" w:cs="Arial"/>
          <w:spacing w:val="-11"/>
          <w:sz w:val="24"/>
          <w:szCs w:val="24"/>
        </w:rPr>
        <w:t xml:space="preserve"> </w:t>
      </w:r>
      <w:r w:rsidRPr="00F533A8">
        <w:rPr>
          <w:rFonts w:ascii="Arial" w:hAnsi="Arial" w:cs="Arial"/>
          <w:sz w:val="24"/>
          <w:szCs w:val="24"/>
        </w:rPr>
        <w:t>aspect,</w:t>
      </w:r>
      <w:r w:rsidRPr="00F533A8">
        <w:rPr>
          <w:rFonts w:ascii="Arial" w:hAnsi="Arial" w:cs="Arial"/>
          <w:spacing w:val="-13"/>
          <w:sz w:val="24"/>
          <w:szCs w:val="24"/>
        </w:rPr>
        <w:t xml:space="preserve"> </w:t>
      </w:r>
      <w:r w:rsidRPr="00F533A8">
        <w:rPr>
          <w:rFonts w:ascii="Arial" w:hAnsi="Arial" w:cs="Arial"/>
          <w:sz w:val="24"/>
          <w:szCs w:val="24"/>
        </w:rPr>
        <w:t>turned</w:t>
      </w:r>
      <w:r w:rsidRPr="00F533A8">
        <w:rPr>
          <w:rFonts w:ascii="Arial" w:hAnsi="Arial" w:cs="Arial"/>
          <w:spacing w:val="-10"/>
          <w:sz w:val="24"/>
          <w:szCs w:val="24"/>
        </w:rPr>
        <w:t xml:space="preserve"> </w:t>
      </w:r>
      <w:r w:rsidRPr="00F533A8">
        <w:rPr>
          <w:rFonts w:ascii="Arial" w:hAnsi="Arial" w:cs="Arial"/>
          <w:sz w:val="24"/>
          <w:szCs w:val="24"/>
        </w:rPr>
        <w:t>out</w:t>
      </w:r>
      <w:r w:rsidRPr="00F533A8">
        <w:rPr>
          <w:rFonts w:ascii="Arial" w:hAnsi="Arial" w:cs="Arial"/>
          <w:spacing w:val="-13"/>
          <w:sz w:val="24"/>
          <w:szCs w:val="24"/>
        </w:rPr>
        <w:t xml:space="preserve"> </w:t>
      </w:r>
      <w:r w:rsidRPr="00F533A8">
        <w:rPr>
          <w:rFonts w:ascii="Arial" w:hAnsi="Arial" w:cs="Arial"/>
          <w:sz w:val="24"/>
          <w:szCs w:val="24"/>
        </w:rPr>
        <w:t>to</w:t>
      </w:r>
      <w:r w:rsidRPr="00F533A8">
        <w:rPr>
          <w:rFonts w:ascii="Arial" w:hAnsi="Arial" w:cs="Arial"/>
          <w:spacing w:val="-9"/>
          <w:sz w:val="24"/>
          <w:szCs w:val="24"/>
        </w:rPr>
        <w:t xml:space="preserve"> </w:t>
      </w:r>
      <w:r w:rsidRPr="00F533A8">
        <w:rPr>
          <w:rFonts w:ascii="Arial" w:hAnsi="Arial" w:cs="Arial"/>
          <w:sz w:val="24"/>
          <w:szCs w:val="24"/>
        </w:rPr>
        <w:t>be</w:t>
      </w:r>
      <w:r w:rsidRPr="00F533A8">
        <w:rPr>
          <w:rFonts w:ascii="Arial" w:hAnsi="Arial" w:cs="Arial"/>
          <w:spacing w:val="-10"/>
          <w:sz w:val="24"/>
          <w:szCs w:val="24"/>
        </w:rPr>
        <w:t xml:space="preserve"> </w:t>
      </w:r>
      <w:r w:rsidRPr="00F533A8">
        <w:rPr>
          <w:rFonts w:ascii="Arial" w:hAnsi="Arial" w:cs="Arial"/>
          <w:sz w:val="24"/>
          <w:szCs w:val="24"/>
        </w:rPr>
        <w:t xml:space="preserve">the </w:t>
      </w:r>
      <w:r w:rsidRPr="00F533A8">
        <w:rPr>
          <w:rFonts w:ascii="Arial" w:hAnsi="Arial" w:cs="Arial"/>
          <w:spacing w:val="-65"/>
          <w:sz w:val="24"/>
          <w:szCs w:val="24"/>
        </w:rPr>
        <w:t xml:space="preserve"> </w:t>
      </w:r>
      <w:r w:rsidRPr="00F533A8">
        <w:rPr>
          <w:rFonts w:ascii="Arial" w:hAnsi="Arial" w:cs="Arial"/>
          <w:sz w:val="24"/>
          <w:szCs w:val="24"/>
        </w:rPr>
        <w:t>deciding factor in this tender. There was no need for these two programmes</w:t>
      </w:r>
      <w:r w:rsidRPr="00F533A8">
        <w:rPr>
          <w:rFonts w:ascii="Arial" w:hAnsi="Arial" w:cs="Arial"/>
          <w:spacing w:val="1"/>
          <w:sz w:val="24"/>
          <w:szCs w:val="24"/>
        </w:rPr>
        <w:t xml:space="preserve"> </w:t>
      </w:r>
      <w:r w:rsidRPr="00F533A8">
        <w:rPr>
          <w:rFonts w:ascii="Arial" w:hAnsi="Arial" w:cs="Arial"/>
          <w:sz w:val="24"/>
          <w:szCs w:val="24"/>
        </w:rPr>
        <w:t>to be</w:t>
      </w:r>
      <w:r w:rsidRPr="00F533A8">
        <w:rPr>
          <w:rFonts w:ascii="Arial" w:hAnsi="Arial" w:cs="Arial"/>
          <w:spacing w:val="-1"/>
          <w:sz w:val="24"/>
          <w:szCs w:val="24"/>
        </w:rPr>
        <w:t xml:space="preserve"> </w:t>
      </w:r>
      <w:r w:rsidRPr="00F533A8">
        <w:rPr>
          <w:rFonts w:ascii="Arial" w:hAnsi="Arial" w:cs="Arial"/>
          <w:sz w:val="24"/>
          <w:szCs w:val="24"/>
        </w:rPr>
        <w:t>paired.</w:t>
      </w:r>
      <w:r w:rsidRPr="00F533A8">
        <w:rPr>
          <w:rFonts w:ascii="Arial" w:hAnsi="Arial" w:cs="Arial"/>
          <w:spacing w:val="-3"/>
          <w:sz w:val="24"/>
          <w:szCs w:val="24"/>
        </w:rPr>
        <w:t xml:space="preserve"> </w:t>
      </w:r>
      <w:r w:rsidRPr="00F533A8">
        <w:rPr>
          <w:rFonts w:ascii="Arial" w:hAnsi="Arial" w:cs="Arial"/>
          <w:sz w:val="24"/>
          <w:szCs w:val="24"/>
        </w:rPr>
        <w:t>This</w:t>
      </w:r>
      <w:r w:rsidRPr="00F533A8">
        <w:rPr>
          <w:rFonts w:ascii="Arial" w:hAnsi="Arial" w:cs="Arial"/>
          <w:spacing w:val="-1"/>
          <w:sz w:val="24"/>
          <w:szCs w:val="24"/>
        </w:rPr>
        <w:t xml:space="preserve"> </w:t>
      </w:r>
      <w:r w:rsidRPr="00F533A8">
        <w:rPr>
          <w:rFonts w:ascii="Arial" w:hAnsi="Arial" w:cs="Arial"/>
          <w:sz w:val="24"/>
          <w:szCs w:val="24"/>
        </w:rPr>
        <w:t>resulted</w:t>
      </w:r>
      <w:r w:rsidRPr="00F533A8">
        <w:rPr>
          <w:rFonts w:ascii="Arial" w:hAnsi="Arial" w:cs="Arial"/>
          <w:spacing w:val="3"/>
          <w:sz w:val="24"/>
          <w:szCs w:val="24"/>
        </w:rPr>
        <w:t xml:space="preserve"> </w:t>
      </w:r>
      <w:r w:rsidRPr="00F533A8">
        <w:rPr>
          <w:rFonts w:ascii="Arial" w:hAnsi="Arial" w:cs="Arial"/>
          <w:sz w:val="24"/>
          <w:szCs w:val="24"/>
        </w:rPr>
        <w:t>in</w:t>
      </w:r>
      <w:r w:rsidRPr="00F533A8">
        <w:rPr>
          <w:rFonts w:ascii="Arial" w:hAnsi="Arial" w:cs="Arial"/>
          <w:spacing w:val="-2"/>
          <w:sz w:val="24"/>
          <w:szCs w:val="24"/>
        </w:rPr>
        <w:t xml:space="preserve"> </w:t>
      </w:r>
      <w:r w:rsidRPr="00F533A8">
        <w:rPr>
          <w:rFonts w:ascii="Arial" w:hAnsi="Arial" w:cs="Arial"/>
          <w:sz w:val="24"/>
          <w:szCs w:val="24"/>
        </w:rPr>
        <w:t>contravention</w:t>
      </w:r>
      <w:r w:rsidRPr="00F533A8">
        <w:rPr>
          <w:rFonts w:ascii="Arial" w:hAnsi="Arial" w:cs="Arial"/>
          <w:spacing w:val="-3"/>
          <w:sz w:val="24"/>
          <w:szCs w:val="24"/>
        </w:rPr>
        <w:t xml:space="preserve"> </w:t>
      </w:r>
      <w:r w:rsidRPr="00F533A8">
        <w:rPr>
          <w:rFonts w:ascii="Arial" w:hAnsi="Arial" w:cs="Arial"/>
          <w:sz w:val="24"/>
          <w:szCs w:val="24"/>
        </w:rPr>
        <w:t>of</w:t>
      </w:r>
      <w:r w:rsidRPr="00F533A8">
        <w:rPr>
          <w:rFonts w:ascii="Arial" w:hAnsi="Arial" w:cs="Arial"/>
          <w:spacing w:val="-1"/>
          <w:sz w:val="24"/>
          <w:szCs w:val="24"/>
        </w:rPr>
        <w:t xml:space="preserve"> DOT SCM Policy and consequently, </w:t>
      </w:r>
      <w:r w:rsidRPr="00F533A8">
        <w:rPr>
          <w:rFonts w:ascii="Arial" w:hAnsi="Arial" w:cs="Arial"/>
          <w:sz w:val="24"/>
          <w:szCs w:val="24"/>
        </w:rPr>
        <w:t>section</w:t>
      </w:r>
      <w:r w:rsidRPr="00F533A8">
        <w:rPr>
          <w:rFonts w:ascii="Arial" w:hAnsi="Arial" w:cs="Arial"/>
          <w:spacing w:val="-3"/>
          <w:sz w:val="24"/>
          <w:szCs w:val="24"/>
        </w:rPr>
        <w:t xml:space="preserve"> </w:t>
      </w:r>
      <w:r w:rsidRPr="00F533A8">
        <w:rPr>
          <w:rFonts w:ascii="Arial" w:hAnsi="Arial" w:cs="Arial"/>
          <w:sz w:val="24"/>
          <w:szCs w:val="24"/>
        </w:rPr>
        <w:t>45</w:t>
      </w:r>
      <w:r w:rsidRPr="00F533A8">
        <w:rPr>
          <w:rFonts w:ascii="Arial" w:hAnsi="Arial" w:cs="Arial"/>
          <w:spacing w:val="-3"/>
          <w:sz w:val="24"/>
          <w:szCs w:val="24"/>
        </w:rPr>
        <w:t xml:space="preserve"> </w:t>
      </w:r>
      <w:r w:rsidRPr="00F533A8">
        <w:rPr>
          <w:rFonts w:ascii="Arial" w:hAnsi="Arial" w:cs="Arial"/>
          <w:sz w:val="24"/>
          <w:szCs w:val="24"/>
        </w:rPr>
        <w:t>of</w:t>
      </w:r>
      <w:r w:rsidRPr="00F533A8">
        <w:rPr>
          <w:rFonts w:ascii="Arial" w:hAnsi="Arial" w:cs="Arial"/>
          <w:spacing w:val="2"/>
          <w:sz w:val="24"/>
          <w:szCs w:val="24"/>
        </w:rPr>
        <w:t xml:space="preserve"> </w:t>
      </w:r>
      <w:r w:rsidRPr="00F533A8">
        <w:rPr>
          <w:rFonts w:ascii="Arial" w:hAnsi="Arial" w:cs="Arial"/>
          <w:sz w:val="24"/>
          <w:szCs w:val="24"/>
        </w:rPr>
        <w:t>the</w:t>
      </w:r>
      <w:r w:rsidRPr="00F533A8">
        <w:rPr>
          <w:rFonts w:ascii="Arial" w:hAnsi="Arial" w:cs="Arial"/>
          <w:spacing w:val="-3"/>
          <w:sz w:val="24"/>
          <w:szCs w:val="24"/>
        </w:rPr>
        <w:t xml:space="preserve"> </w:t>
      </w:r>
      <w:r w:rsidRPr="00F533A8">
        <w:rPr>
          <w:rFonts w:ascii="Arial" w:hAnsi="Arial" w:cs="Arial"/>
          <w:sz w:val="24"/>
          <w:szCs w:val="24"/>
        </w:rPr>
        <w:t>PFMA.</w:t>
      </w:r>
    </w:p>
    <w:p w14:paraId="7307CDE0" w14:textId="77777777" w:rsidR="001218F2" w:rsidRPr="00F533A8" w:rsidRDefault="001218F2" w:rsidP="00E212A8">
      <w:pPr>
        <w:tabs>
          <w:tab w:val="left" w:pos="1041"/>
        </w:tabs>
        <w:spacing w:before="92" w:line="360" w:lineRule="auto"/>
        <w:ind w:right="133"/>
        <w:jc w:val="both"/>
        <w:rPr>
          <w:rFonts w:ascii="Arial" w:hAnsi="Arial" w:cs="Arial"/>
          <w:sz w:val="24"/>
          <w:szCs w:val="24"/>
        </w:rPr>
      </w:pPr>
    </w:p>
    <w:p w14:paraId="0D71F214" w14:textId="3D42C71E" w:rsidR="001218F2" w:rsidRPr="00F533A8" w:rsidRDefault="001218F2" w:rsidP="00E212A8">
      <w:pPr>
        <w:tabs>
          <w:tab w:val="left" w:pos="851"/>
        </w:tabs>
        <w:spacing w:line="360" w:lineRule="auto"/>
        <w:jc w:val="both"/>
        <w:rPr>
          <w:rFonts w:ascii="Arial" w:hAnsi="Arial" w:cs="Arial"/>
          <w:sz w:val="24"/>
          <w:szCs w:val="24"/>
        </w:rPr>
      </w:pPr>
      <w:r w:rsidRPr="00F533A8">
        <w:rPr>
          <w:rFonts w:ascii="Arial" w:hAnsi="Arial" w:cs="Arial"/>
          <w:sz w:val="24"/>
          <w:szCs w:val="24"/>
        </w:rPr>
        <w:t>[5</w:t>
      </w:r>
      <w:r w:rsidR="00704957" w:rsidRPr="00F533A8">
        <w:rPr>
          <w:rFonts w:ascii="Arial" w:hAnsi="Arial" w:cs="Arial"/>
          <w:sz w:val="24"/>
          <w:szCs w:val="24"/>
        </w:rPr>
        <w:t>8</w:t>
      </w:r>
      <w:r w:rsidRPr="00F533A8">
        <w:rPr>
          <w:rFonts w:ascii="Arial" w:hAnsi="Arial" w:cs="Arial"/>
          <w:sz w:val="24"/>
          <w:szCs w:val="24"/>
        </w:rPr>
        <w:t>]</w:t>
      </w:r>
      <w:r w:rsidR="00396285">
        <w:rPr>
          <w:rFonts w:ascii="Arial" w:hAnsi="Arial" w:cs="Arial"/>
          <w:sz w:val="24"/>
          <w:szCs w:val="24"/>
        </w:rPr>
        <w:tab/>
      </w:r>
      <w:r w:rsidRPr="00F533A8">
        <w:rPr>
          <w:rFonts w:ascii="Arial" w:hAnsi="Arial" w:cs="Arial"/>
          <w:sz w:val="24"/>
          <w:szCs w:val="24"/>
        </w:rPr>
        <w:t xml:space="preserve">In response to this allegation, Nexor contends, with reference to National Treasury’s SIDMS and the SIPDM, that the RAMS was an integral component of the IDMS. In reply, the SIU investigator fails to rebut this averment. He contends that the deponent to Nexor’s answering affidavit is not a RAMS and IDMS expert and defer to affidavits by certain DOT officials without specifically dealing with their versions.  Then, again SIU resorts to casting aspersions on Nexor by alleging that it lacked RAMS and IDMS expertise and in-sourced it from a company that is not based in KZN. The SIU cites no statutory or regulatory prohibition against this strategy. It is silent on precisely what component of the tender the in-sourced services addressed and why such in-sourcing is irregular. </w:t>
      </w:r>
    </w:p>
    <w:p w14:paraId="6760ABBA" w14:textId="77777777" w:rsidR="001218F2" w:rsidRPr="00F533A8" w:rsidRDefault="001218F2" w:rsidP="00E212A8">
      <w:pPr>
        <w:tabs>
          <w:tab w:val="left" w:pos="851"/>
        </w:tabs>
        <w:spacing w:line="360" w:lineRule="auto"/>
        <w:jc w:val="both"/>
        <w:rPr>
          <w:rFonts w:ascii="Arial" w:hAnsi="Arial" w:cs="Arial"/>
          <w:sz w:val="24"/>
          <w:szCs w:val="24"/>
        </w:rPr>
      </w:pPr>
    </w:p>
    <w:p w14:paraId="02A8DCD6" w14:textId="607B16E0" w:rsidR="001218F2" w:rsidRPr="00F533A8" w:rsidRDefault="001218F2" w:rsidP="00E212A8">
      <w:pPr>
        <w:tabs>
          <w:tab w:val="left" w:pos="851"/>
        </w:tabs>
        <w:spacing w:line="360" w:lineRule="auto"/>
        <w:jc w:val="both"/>
        <w:rPr>
          <w:rFonts w:ascii="Arial" w:hAnsi="Arial" w:cs="Arial"/>
          <w:sz w:val="24"/>
          <w:szCs w:val="24"/>
        </w:rPr>
      </w:pPr>
      <w:r w:rsidRPr="00F533A8">
        <w:rPr>
          <w:rFonts w:ascii="Arial" w:hAnsi="Arial" w:cs="Arial"/>
          <w:sz w:val="24"/>
          <w:szCs w:val="24"/>
        </w:rPr>
        <w:t>[5</w:t>
      </w:r>
      <w:r w:rsidR="00704957" w:rsidRPr="00F533A8">
        <w:rPr>
          <w:rFonts w:ascii="Arial" w:hAnsi="Arial" w:cs="Arial"/>
          <w:sz w:val="24"/>
          <w:szCs w:val="24"/>
        </w:rPr>
        <w:t>9</w:t>
      </w:r>
      <w:r w:rsidRPr="00F533A8">
        <w:rPr>
          <w:rFonts w:ascii="Arial" w:hAnsi="Arial" w:cs="Arial"/>
          <w:sz w:val="24"/>
          <w:szCs w:val="24"/>
        </w:rPr>
        <w:t>]</w:t>
      </w:r>
      <w:r w:rsidR="00396285">
        <w:rPr>
          <w:rFonts w:ascii="Arial" w:hAnsi="Arial" w:cs="Arial"/>
          <w:sz w:val="24"/>
          <w:szCs w:val="24"/>
        </w:rPr>
        <w:tab/>
      </w:r>
      <w:r w:rsidRPr="00F533A8">
        <w:rPr>
          <w:rFonts w:ascii="Arial" w:hAnsi="Arial" w:cs="Arial"/>
          <w:sz w:val="24"/>
          <w:szCs w:val="24"/>
        </w:rPr>
        <w:t xml:space="preserve">Nexor also relies on affidavits by Lulamo Msondezi Futshane, the Chief Director of the National Department of Transport responsible for Road Engineering Standards and Road Asset Management, and Lincoln Letsoaela Matli, the Managing Director of Mosebo Consulting. </w:t>
      </w:r>
    </w:p>
    <w:p w14:paraId="232C9E30" w14:textId="77777777" w:rsidR="001218F2" w:rsidRPr="00F533A8" w:rsidRDefault="001218F2" w:rsidP="00E212A8">
      <w:pPr>
        <w:tabs>
          <w:tab w:val="left" w:pos="851"/>
        </w:tabs>
        <w:spacing w:line="360" w:lineRule="auto"/>
        <w:jc w:val="both"/>
        <w:rPr>
          <w:rFonts w:ascii="Arial" w:hAnsi="Arial" w:cs="Arial"/>
          <w:sz w:val="24"/>
          <w:szCs w:val="24"/>
        </w:rPr>
      </w:pPr>
    </w:p>
    <w:p w14:paraId="20DE9772" w14:textId="600F1BEC" w:rsidR="001218F2" w:rsidRPr="00F533A8" w:rsidRDefault="001218F2"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704957" w:rsidRPr="00F533A8">
        <w:rPr>
          <w:rFonts w:ascii="Arial" w:hAnsi="Arial" w:cs="Arial"/>
          <w:sz w:val="24"/>
          <w:szCs w:val="24"/>
        </w:rPr>
        <w:t>60</w:t>
      </w:r>
      <w:r w:rsidRPr="00F533A8">
        <w:rPr>
          <w:rFonts w:ascii="Arial" w:hAnsi="Arial" w:cs="Arial"/>
          <w:sz w:val="24"/>
          <w:szCs w:val="24"/>
        </w:rPr>
        <w:t>]</w:t>
      </w:r>
      <w:r w:rsidRPr="00F533A8">
        <w:rPr>
          <w:rFonts w:ascii="Arial" w:hAnsi="Arial" w:cs="Arial"/>
          <w:sz w:val="24"/>
          <w:szCs w:val="24"/>
        </w:rPr>
        <w:tab/>
      </w:r>
      <w:r w:rsidR="008701C7" w:rsidRPr="00F533A8">
        <w:rPr>
          <w:rFonts w:ascii="Arial" w:hAnsi="Arial" w:cs="Arial"/>
          <w:sz w:val="24"/>
          <w:szCs w:val="24"/>
        </w:rPr>
        <w:t xml:space="preserve">In its answering affidavit, </w:t>
      </w:r>
      <w:r w:rsidRPr="00F533A8">
        <w:rPr>
          <w:rFonts w:ascii="Arial" w:hAnsi="Arial" w:cs="Arial"/>
          <w:sz w:val="24"/>
          <w:szCs w:val="24"/>
        </w:rPr>
        <w:t>DOT also disputes this allegation</w:t>
      </w:r>
      <w:r w:rsidR="008701C7" w:rsidRPr="00F533A8">
        <w:rPr>
          <w:rFonts w:ascii="Arial" w:hAnsi="Arial" w:cs="Arial"/>
          <w:sz w:val="24"/>
          <w:szCs w:val="24"/>
        </w:rPr>
        <w:t xml:space="preserve"> on the same basis as Nexor. It specifically plead that it is not DOT that paired these programmes.</w:t>
      </w:r>
    </w:p>
    <w:p w14:paraId="39E31E9A" w14:textId="77777777" w:rsidR="008701C7" w:rsidRPr="00F533A8" w:rsidRDefault="008701C7" w:rsidP="00E212A8">
      <w:pPr>
        <w:tabs>
          <w:tab w:val="left" w:pos="851"/>
        </w:tabs>
        <w:spacing w:line="360" w:lineRule="auto"/>
        <w:jc w:val="both"/>
        <w:rPr>
          <w:rFonts w:ascii="Arial" w:hAnsi="Arial" w:cs="Arial"/>
          <w:sz w:val="24"/>
          <w:szCs w:val="24"/>
        </w:rPr>
      </w:pPr>
    </w:p>
    <w:p w14:paraId="2EF96EED" w14:textId="6AE080AC" w:rsidR="008701C7" w:rsidRPr="00F533A8" w:rsidRDefault="001218F2"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704957" w:rsidRPr="00F533A8">
        <w:rPr>
          <w:rFonts w:ascii="Arial" w:hAnsi="Arial" w:cs="Arial"/>
          <w:sz w:val="24"/>
          <w:szCs w:val="24"/>
        </w:rPr>
        <w:t>61</w:t>
      </w:r>
      <w:r w:rsidRPr="00F533A8">
        <w:rPr>
          <w:rFonts w:ascii="Arial" w:hAnsi="Arial" w:cs="Arial"/>
          <w:sz w:val="24"/>
          <w:szCs w:val="24"/>
        </w:rPr>
        <w:t xml:space="preserve">] The SIU has failed to make out a case that pairing these two programmes were solely paired to benefit Nexor. </w:t>
      </w:r>
      <w:r w:rsidR="008701C7" w:rsidRPr="00F533A8">
        <w:rPr>
          <w:rFonts w:ascii="Arial" w:hAnsi="Arial" w:cs="Arial"/>
          <w:sz w:val="24"/>
          <w:szCs w:val="24"/>
        </w:rPr>
        <w:t xml:space="preserve">In reply, it disturbingly did not address these allegations. </w:t>
      </w:r>
    </w:p>
    <w:p w14:paraId="418747EA" w14:textId="77777777" w:rsidR="008701C7" w:rsidRPr="00F533A8" w:rsidRDefault="008701C7" w:rsidP="00E212A8">
      <w:pPr>
        <w:tabs>
          <w:tab w:val="left" w:pos="851"/>
        </w:tabs>
        <w:spacing w:line="360" w:lineRule="auto"/>
        <w:jc w:val="both"/>
        <w:rPr>
          <w:rFonts w:ascii="Arial" w:hAnsi="Arial" w:cs="Arial"/>
          <w:sz w:val="24"/>
          <w:szCs w:val="24"/>
        </w:rPr>
      </w:pPr>
    </w:p>
    <w:p w14:paraId="01BD63DF" w14:textId="03EB2CC4" w:rsidR="001218F2" w:rsidRPr="00F533A8" w:rsidRDefault="008701C7"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704957" w:rsidRPr="00F533A8">
        <w:rPr>
          <w:rFonts w:ascii="Arial" w:hAnsi="Arial" w:cs="Arial"/>
          <w:sz w:val="24"/>
          <w:szCs w:val="24"/>
        </w:rPr>
        <w:t>62</w:t>
      </w:r>
      <w:r w:rsidRPr="00F533A8">
        <w:rPr>
          <w:rFonts w:ascii="Arial" w:hAnsi="Arial" w:cs="Arial"/>
          <w:sz w:val="24"/>
          <w:szCs w:val="24"/>
        </w:rPr>
        <w:t>]</w:t>
      </w:r>
      <w:r w:rsidRPr="00F533A8">
        <w:rPr>
          <w:rFonts w:ascii="Arial" w:hAnsi="Arial" w:cs="Arial"/>
          <w:sz w:val="24"/>
          <w:szCs w:val="24"/>
        </w:rPr>
        <w:tab/>
        <w:t xml:space="preserve">As contended by Nexor, </w:t>
      </w:r>
      <w:r w:rsidR="001218F2" w:rsidRPr="00F533A8">
        <w:rPr>
          <w:rFonts w:ascii="Arial" w:hAnsi="Arial" w:cs="Arial"/>
          <w:sz w:val="24"/>
          <w:szCs w:val="24"/>
        </w:rPr>
        <w:t>9 companies bid for the tender. They would not have done so if they did not meet the tender requirements. The fact that there is a company that did not bid because it lacked the expertise for these two programmes does not render the procurement process uncompetitive.</w:t>
      </w:r>
      <w:r w:rsidRPr="00F533A8">
        <w:rPr>
          <w:rFonts w:ascii="Arial" w:hAnsi="Arial" w:cs="Arial"/>
          <w:sz w:val="24"/>
          <w:szCs w:val="24"/>
        </w:rPr>
        <w:t xml:space="preserve"> But, more importantly, pairing these programmes is supported by national policy</w:t>
      </w:r>
      <w:r w:rsidR="00EE73AC">
        <w:rPr>
          <w:rFonts w:ascii="Arial" w:hAnsi="Arial" w:cs="Arial"/>
          <w:sz w:val="24"/>
          <w:szCs w:val="24"/>
        </w:rPr>
        <w:t xml:space="preserve"> as per National Treasury’s SIDMS and SIDMS and as confirmed by National Department of Transport officials referenced in paragraph 59 above.</w:t>
      </w:r>
      <w:r w:rsidRPr="00F533A8">
        <w:rPr>
          <w:rFonts w:ascii="Arial" w:hAnsi="Arial" w:cs="Arial"/>
          <w:sz w:val="24"/>
          <w:szCs w:val="24"/>
        </w:rPr>
        <w:t xml:space="preserve"> </w:t>
      </w:r>
    </w:p>
    <w:p w14:paraId="45245631" w14:textId="77777777" w:rsidR="001218F2" w:rsidRPr="00F533A8" w:rsidRDefault="001218F2" w:rsidP="00E212A8">
      <w:pPr>
        <w:tabs>
          <w:tab w:val="left" w:pos="1041"/>
        </w:tabs>
        <w:spacing w:before="208" w:line="360" w:lineRule="auto"/>
        <w:ind w:right="132"/>
        <w:jc w:val="both"/>
        <w:rPr>
          <w:rFonts w:ascii="Arial" w:hAnsi="Arial" w:cs="Arial"/>
          <w:sz w:val="24"/>
          <w:szCs w:val="24"/>
        </w:rPr>
      </w:pPr>
    </w:p>
    <w:p w14:paraId="1E0B5DA9" w14:textId="77777777" w:rsidR="001218F2" w:rsidRPr="00F533A8" w:rsidRDefault="001218F2" w:rsidP="00E212A8">
      <w:pPr>
        <w:tabs>
          <w:tab w:val="left" w:pos="1041"/>
        </w:tabs>
        <w:spacing w:before="208" w:line="360" w:lineRule="auto"/>
        <w:ind w:right="132"/>
        <w:jc w:val="both"/>
        <w:rPr>
          <w:rFonts w:ascii="Arial" w:hAnsi="Arial" w:cs="Arial"/>
          <w:i/>
          <w:iCs/>
          <w:sz w:val="24"/>
          <w:szCs w:val="24"/>
        </w:rPr>
      </w:pPr>
      <w:r w:rsidRPr="00F533A8">
        <w:rPr>
          <w:rFonts w:ascii="Arial" w:hAnsi="Arial" w:cs="Arial"/>
          <w:i/>
          <w:iCs/>
          <w:sz w:val="24"/>
          <w:szCs w:val="24"/>
        </w:rPr>
        <w:t>Failure to address queries by National Treasury</w:t>
      </w:r>
    </w:p>
    <w:p w14:paraId="3514D74A" w14:textId="6DB55B1A" w:rsidR="001218F2" w:rsidRPr="00F533A8" w:rsidRDefault="001218F2" w:rsidP="00E212A8">
      <w:pPr>
        <w:tabs>
          <w:tab w:val="left" w:pos="1041"/>
        </w:tabs>
        <w:spacing w:before="208" w:line="360" w:lineRule="auto"/>
        <w:ind w:right="132"/>
        <w:jc w:val="both"/>
        <w:rPr>
          <w:rFonts w:ascii="Arial" w:hAnsi="Arial" w:cs="Arial"/>
          <w:sz w:val="24"/>
          <w:szCs w:val="24"/>
        </w:rPr>
      </w:pPr>
      <w:r w:rsidRPr="00F533A8">
        <w:rPr>
          <w:rFonts w:ascii="Arial" w:hAnsi="Arial" w:cs="Arial"/>
          <w:sz w:val="24"/>
          <w:szCs w:val="24"/>
        </w:rPr>
        <w:t>[6</w:t>
      </w:r>
      <w:r w:rsidR="00704957" w:rsidRPr="00F533A8">
        <w:rPr>
          <w:rFonts w:ascii="Arial" w:hAnsi="Arial" w:cs="Arial"/>
          <w:sz w:val="24"/>
          <w:szCs w:val="24"/>
        </w:rPr>
        <w:t>3</w:t>
      </w:r>
      <w:r w:rsidRPr="00F533A8">
        <w:rPr>
          <w:rFonts w:ascii="Arial" w:hAnsi="Arial" w:cs="Arial"/>
          <w:sz w:val="24"/>
          <w:szCs w:val="24"/>
        </w:rPr>
        <w:t>]</w:t>
      </w:r>
      <w:r w:rsidR="00396285">
        <w:rPr>
          <w:rFonts w:ascii="Arial" w:hAnsi="Arial" w:cs="Arial"/>
          <w:sz w:val="24"/>
          <w:szCs w:val="24"/>
        </w:rPr>
        <w:tab/>
      </w:r>
      <w:r w:rsidRPr="00F533A8">
        <w:rPr>
          <w:rFonts w:ascii="Arial" w:hAnsi="Arial" w:cs="Arial"/>
          <w:sz w:val="24"/>
          <w:szCs w:val="24"/>
        </w:rPr>
        <w:t>This is another finding by A</w:t>
      </w:r>
      <w:r w:rsidR="00296E61">
        <w:rPr>
          <w:rFonts w:ascii="Arial" w:hAnsi="Arial" w:cs="Arial"/>
          <w:sz w:val="24"/>
          <w:szCs w:val="24"/>
        </w:rPr>
        <w:t xml:space="preserve">GSA </w:t>
      </w:r>
      <w:r w:rsidRPr="00F533A8">
        <w:rPr>
          <w:rFonts w:ascii="Arial" w:hAnsi="Arial" w:cs="Arial"/>
          <w:sz w:val="24"/>
          <w:szCs w:val="24"/>
        </w:rPr>
        <w:t>which the SIU seeks to inappropriately rely on without properly investigating it and placing evidence before the Tribunal. With reference to documents from the record of the tender or documents relied on by the SIU</w:t>
      </w:r>
      <w:r w:rsidR="00FB1036" w:rsidRPr="00F533A8">
        <w:rPr>
          <w:rFonts w:ascii="Arial" w:hAnsi="Arial" w:cs="Arial"/>
          <w:sz w:val="24"/>
          <w:szCs w:val="24"/>
        </w:rPr>
        <w:t>, Nexor and DOT</w:t>
      </w:r>
      <w:r w:rsidRPr="00F533A8">
        <w:rPr>
          <w:rFonts w:ascii="Arial" w:hAnsi="Arial" w:cs="Arial"/>
          <w:sz w:val="24"/>
          <w:szCs w:val="24"/>
        </w:rPr>
        <w:t xml:space="preserve"> demonstrate that DOT did address queries by National Treasury</w:t>
      </w:r>
      <w:r w:rsidR="00FB1036" w:rsidRPr="00F533A8">
        <w:rPr>
          <w:rFonts w:ascii="Arial" w:hAnsi="Arial" w:cs="Arial"/>
          <w:sz w:val="24"/>
          <w:szCs w:val="24"/>
        </w:rPr>
        <w:t xml:space="preserve">. In reply to DOT’s answering affidavit, SIU merely regurgitated the allegation without rebutting DOT’s answer. In reply to Nexor’s answering affidavit, </w:t>
      </w:r>
      <w:r w:rsidRPr="00F533A8">
        <w:rPr>
          <w:rFonts w:ascii="Arial" w:hAnsi="Arial" w:cs="Arial"/>
          <w:sz w:val="24"/>
          <w:szCs w:val="24"/>
        </w:rPr>
        <w:t xml:space="preserve"> the SIU again questioned </w:t>
      </w:r>
      <w:r w:rsidR="009C5B97">
        <w:rPr>
          <w:rFonts w:ascii="Arial" w:hAnsi="Arial" w:cs="Arial"/>
          <w:sz w:val="24"/>
          <w:szCs w:val="24"/>
        </w:rPr>
        <w:t>Nexor’s competency to</w:t>
      </w:r>
      <w:r w:rsidRPr="00F533A8">
        <w:rPr>
          <w:rFonts w:ascii="Arial" w:hAnsi="Arial" w:cs="Arial"/>
          <w:sz w:val="24"/>
          <w:szCs w:val="24"/>
        </w:rPr>
        <w:t xml:space="preserve"> </w:t>
      </w:r>
      <w:r w:rsidR="00FB1036" w:rsidRPr="00F533A8">
        <w:rPr>
          <w:rFonts w:ascii="Arial" w:hAnsi="Arial" w:cs="Arial"/>
          <w:sz w:val="24"/>
          <w:szCs w:val="24"/>
        </w:rPr>
        <w:t xml:space="preserve">place a version in response to issues within the personal knowledge of DOT’s </w:t>
      </w:r>
      <w:r w:rsidRPr="00F533A8">
        <w:rPr>
          <w:rFonts w:ascii="Arial" w:hAnsi="Arial" w:cs="Arial"/>
          <w:sz w:val="24"/>
          <w:szCs w:val="24"/>
        </w:rPr>
        <w:t xml:space="preserve"> </w:t>
      </w:r>
      <w:r w:rsidR="00FB1036" w:rsidRPr="00F533A8">
        <w:rPr>
          <w:rFonts w:ascii="Arial" w:hAnsi="Arial" w:cs="Arial"/>
          <w:sz w:val="24"/>
          <w:szCs w:val="24"/>
        </w:rPr>
        <w:t>officials</w:t>
      </w:r>
      <w:r w:rsidR="009C5B97">
        <w:rPr>
          <w:rFonts w:ascii="Arial" w:hAnsi="Arial" w:cs="Arial"/>
          <w:sz w:val="24"/>
          <w:szCs w:val="24"/>
        </w:rPr>
        <w:t xml:space="preserve"> without</w:t>
      </w:r>
      <w:r w:rsidR="00FB1036" w:rsidRPr="00F533A8">
        <w:rPr>
          <w:rFonts w:ascii="Arial" w:hAnsi="Arial" w:cs="Arial"/>
          <w:sz w:val="24"/>
          <w:szCs w:val="24"/>
        </w:rPr>
        <w:t xml:space="preserve"> </w:t>
      </w:r>
      <w:r w:rsidRPr="00F533A8">
        <w:rPr>
          <w:rFonts w:ascii="Arial" w:hAnsi="Arial" w:cs="Arial"/>
          <w:sz w:val="24"/>
          <w:szCs w:val="24"/>
        </w:rPr>
        <w:t>rebutting Nexor’s version.</w:t>
      </w:r>
      <w:r w:rsidR="00FB1036" w:rsidRPr="00F533A8">
        <w:rPr>
          <w:rFonts w:ascii="Arial" w:hAnsi="Arial" w:cs="Arial"/>
          <w:sz w:val="24"/>
          <w:szCs w:val="24"/>
        </w:rPr>
        <w:t xml:space="preserve"> </w:t>
      </w:r>
    </w:p>
    <w:p w14:paraId="7B9402E1" w14:textId="77777777" w:rsidR="001218F2" w:rsidRPr="00F533A8" w:rsidRDefault="001218F2" w:rsidP="00E212A8">
      <w:pPr>
        <w:tabs>
          <w:tab w:val="left" w:pos="1041"/>
        </w:tabs>
        <w:spacing w:before="208" w:line="360" w:lineRule="auto"/>
        <w:ind w:right="132"/>
        <w:jc w:val="both"/>
        <w:rPr>
          <w:rFonts w:ascii="Arial" w:hAnsi="Arial" w:cs="Arial"/>
          <w:sz w:val="24"/>
          <w:szCs w:val="24"/>
        </w:rPr>
      </w:pPr>
    </w:p>
    <w:p w14:paraId="783F5923" w14:textId="5A2E8BDA" w:rsidR="001218F2" w:rsidRPr="00F533A8" w:rsidRDefault="001218F2" w:rsidP="00E212A8">
      <w:pPr>
        <w:tabs>
          <w:tab w:val="left" w:pos="1041"/>
        </w:tabs>
        <w:spacing w:before="208" w:line="360" w:lineRule="auto"/>
        <w:ind w:right="132"/>
        <w:jc w:val="both"/>
        <w:rPr>
          <w:rFonts w:ascii="Arial" w:hAnsi="Arial" w:cs="Arial"/>
          <w:sz w:val="24"/>
          <w:szCs w:val="24"/>
        </w:rPr>
      </w:pPr>
      <w:r w:rsidRPr="00F533A8">
        <w:rPr>
          <w:rFonts w:ascii="Arial" w:hAnsi="Arial" w:cs="Arial"/>
          <w:sz w:val="24"/>
          <w:szCs w:val="24"/>
        </w:rPr>
        <w:t>[</w:t>
      </w:r>
      <w:r w:rsidR="00704957" w:rsidRPr="00F533A8">
        <w:rPr>
          <w:rFonts w:ascii="Arial" w:hAnsi="Arial" w:cs="Arial"/>
          <w:sz w:val="24"/>
          <w:szCs w:val="24"/>
        </w:rPr>
        <w:t>64</w:t>
      </w:r>
      <w:r w:rsidRPr="00F533A8">
        <w:rPr>
          <w:rFonts w:ascii="Arial" w:hAnsi="Arial" w:cs="Arial"/>
          <w:sz w:val="24"/>
          <w:szCs w:val="24"/>
        </w:rPr>
        <w:t>]</w:t>
      </w:r>
      <w:r w:rsidR="00396285">
        <w:rPr>
          <w:rFonts w:ascii="Arial" w:hAnsi="Arial" w:cs="Arial"/>
          <w:sz w:val="24"/>
          <w:szCs w:val="24"/>
        </w:rPr>
        <w:tab/>
      </w:r>
      <w:r w:rsidRPr="00F533A8">
        <w:rPr>
          <w:rFonts w:ascii="Arial" w:hAnsi="Arial" w:cs="Arial"/>
          <w:sz w:val="24"/>
          <w:szCs w:val="24"/>
        </w:rPr>
        <w:t xml:space="preserve">The SIU failed to impugn Nexor’s version, supported by documents DOT disclosed in its record of the tender that it did address National Treasury’s concerns. </w:t>
      </w:r>
      <w:r w:rsidR="00FB1036" w:rsidRPr="00F533A8">
        <w:rPr>
          <w:rFonts w:ascii="Arial" w:hAnsi="Arial" w:cs="Arial"/>
          <w:sz w:val="24"/>
          <w:szCs w:val="24"/>
        </w:rPr>
        <w:t xml:space="preserve">Worse so, DOT confirmed this version in its answering affidavit. </w:t>
      </w:r>
    </w:p>
    <w:p w14:paraId="097769D9" w14:textId="77777777" w:rsidR="001218F2" w:rsidRDefault="001218F2" w:rsidP="00E212A8">
      <w:pPr>
        <w:tabs>
          <w:tab w:val="left" w:pos="851"/>
        </w:tabs>
        <w:spacing w:line="360" w:lineRule="auto"/>
        <w:jc w:val="both"/>
        <w:rPr>
          <w:rFonts w:ascii="Arial" w:hAnsi="Arial" w:cs="Arial"/>
          <w:sz w:val="24"/>
          <w:szCs w:val="24"/>
        </w:rPr>
      </w:pPr>
    </w:p>
    <w:p w14:paraId="1B148AB5" w14:textId="77777777" w:rsidR="002925AD" w:rsidRDefault="002925AD" w:rsidP="00E212A8">
      <w:pPr>
        <w:tabs>
          <w:tab w:val="left" w:pos="851"/>
        </w:tabs>
        <w:spacing w:line="360" w:lineRule="auto"/>
        <w:jc w:val="both"/>
        <w:rPr>
          <w:rFonts w:ascii="Arial" w:hAnsi="Arial" w:cs="Arial"/>
          <w:sz w:val="24"/>
          <w:szCs w:val="24"/>
        </w:rPr>
      </w:pPr>
    </w:p>
    <w:p w14:paraId="47D5A818" w14:textId="77777777" w:rsidR="002925AD" w:rsidRDefault="002925AD" w:rsidP="00E212A8">
      <w:pPr>
        <w:tabs>
          <w:tab w:val="left" w:pos="851"/>
        </w:tabs>
        <w:spacing w:line="360" w:lineRule="auto"/>
        <w:jc w:val="both"/>
        <w:rPr>
          <w:rFonts w:ascii="Arial" w:hAnsi="Arial" w:cs="Arial"/>
          <w:sz w:val="24"/>
          <w:szCs w:val="24"/>
        </w:rPr>
      </w:pPr>
    </w:p>
    <w:p w14:paraId="5B4F62F3" w14:textId="77777777" w:rsidR="002925AD" w:rsidRPr="00F533A8" w:rsidRDefault="002925AD" w:rsidP="00E212A8">
      <w:pPr>
        <w:tabs>
          <w:tab w:val="left" w:pos="851"/>
        </w:tabs>
        <w:spacing w:line="360" w:lineRule="auto"/>
        <w:jc w:val="both"/>
        <w:rPr>
          <w:rFonts w:ascii="Arial" w:hAnsi="Arial" w:cs="Arial"/>
          <w:sz w:val="24"/>
          <w:szCs w:val="24"/>
        </w:rPr>
      </w:pPr>
    </w:p>
    <w:p w14:paraId="4F568E04" w14:textId="77777777" w:rsidR="001218F2" w:rsidRPr="00F533A8" w:rsidRDefault="001218F2" w:rsidP="00E212A8">
      <w:pPr>
        <w:tabs>
          <w:tab w:val="left" w:pos="851"/>
        </w:tabs>
        <w:spacing w:line="360" w:lineRule="auto"/>
        <w:jc w:val="both"/>
        <w:rPr>
          <w:rFonts w:ascii="Arial" w:hAnsi="Arial" w:cs="Arial"/>
          <w:i/>
          <w:iCs/>
          <w:sz w:val="24"/>
          <w:szCs w:val="24"/>
        </w:rPr>
      </w:pPr>
      <w:r w:rsidRPr="00F533A8">
        <w:rPr>
          <w:rFonts w:ascii="Arial" w:hAnsi="Arial" w:cs="Arial"/>
          <w:i/>
          <w:iCs/>
          <w:sz w:val="24"/>
          <w:szCs w:val="24"/>
        </w:rPr>
        <w:t xml:space="preserve">Failure to conduct a gap analysis </w:t>
      </w:r>
    </w:p>
    <w:p w14:paraId="469303E6" w14:textId="61022681" w:rsidR="001218F2" w:rsidRPr="00F533A8" w:rsidRDefault="001218F2"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704957" w:rsidRPr="00F533A8">
        <w:rPr>
          <w:rFonts w:ascii="Arial" w:hAnsi="Arial" w:cs="Arial"/>
          <w:sz w:val="24"/>
          <w:szCs w:val="24"/>
        </w:rPr>
        <w:t>65</w:t>
      </w:r>
      <w:r w:rsidRPr="00F533A8">
        <w:rPr>
          <w:rFonts w:ascii="Arial" w:hAnsi="Arial" w:cs="Arial"/>
          <w:sz w:val="24"/>
          <w:szCs w:val="24"/>
        </w:rPr>
        <w:t>]</w:t>
      </w:r>
      <w:r w:rsidRPr="00F533A8">
        <w:rPr>
          <w:rFonts w:ascii="Arial" w:hAnsi="Arial" w:cs="Arial"/>
          <w:sz w:val="24"/>
          <w:szCs w:val="24"/>
        </w:rPr>
        <w:tab/>
        <w:t xml:space="preserve">In its founding affidavit, the SIU alleges that </w:t>
      </w:r>
      <w:r w:rsidR="00050994">
        <w:rPr>
          <w:rFonts w:ascii="Arial" w:hAnsi="Arial" w:cs="Arial"/>
          <w:sz w:val="24"/>
          <w:szCs w:val="24"/>
        </w:rPr>
        <w:t>DOT’s</w:t>
      </w:r>
      <w:r w:rsidRPr="00F533A8">
        <w:rPr>
          <w:rFonts w:ascii="Arial" w:hAnsi="Arial" w:cs="Arial"/>
          <w:sz w:val="24"/>
          <w:szCs w:val="24"/>
        </w:rPr>
        <w:t xml:space="preserve"> Deputy Director General TIRS failed to conduct a comprehensive gap analysis to determine whether DOT had the requisite skills and resources in full time employment to perform the duties contracted to Nexor.  </w:t>
      </w:r>
    </w:p>
    <w:p w14:paraId="11095D3C" w14:textId="77777777" w:rsidR="001218F2" w:rsidRPr="00F533A8" w:rsidRDefault="001218F2" w:rsidP="00E212A8">
      <w:pPr>
        <w:tabs>
          <w:tab w:val="left" w:pos="851"/>
        </w:tabs>
        <w:spacing w:line="360" w:lineRule="auto"/>
        <w:jc w:val="both"/>
        <w:rPr>
          <w:rFonts w:ascii="Arial" w:hAnsi="Arial" w:cs="Arial"/>
          <w:sz w:val="24"/>
          <w:szCs w:val="24"/>
        </w:rPr>
      </w:pPr>
    </w:p>
    <w:p w14:paraId="2F4A6FA2" w14:textId="343D4784" w:rsidR="001218F2" w:rsidRPr="00F533A8" w:rsidRDefault="001218F2"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704957" w:rsidRPr="00F533A8">
        <w:rPr>
          <w:rFonts w:ascii="Arial" w:hAnsi="Arial" w:cs="Arial"/>
          <w:sz w:val="24"/>
          <w:szCs w:val="24"/>
        </w:rPr>
        <w:t>66</w:t>
      </w:r>
      <w:r w:rsidRPr="00F533A8">
        <w:rPr>
          <w:rFonts w:ascii="Arial" w:hAnsi="Arial" w:cs="Arial"/>
          <w:sz w:val="24"/>
          <w:szCs w:val="24"/>
        </w:rPr>
        <w:t>]</w:t>
      </w:r>
      <w:r w:rsidRPr="00F533A8">
        <w:rPr>
          <w:rFonts w:ascii="Arial" w:hAnsi="Arial" w:cs="Arial"/>
          <w:sz w:val="24"/>
          <w:szCs w:val="24"/>
        </w:rPr>
        <w:tab/>
        <w:t xml:space="preserve">In its supplementary founding affidavit, the SIU reiterates the above allegation. It further alleges that Nexor’s tender was not cost effective. Hence, </w:t>
      </w:r>
      <w:r w:rsidR="00701E48">
        <w:rPr>
          <w:rFonts w:ascii="Arial" w:hAnsi="Arial" w:cs="Arial"/>
          <w:sz w:val="24"/>
          <w:szCs w:val="24"/>
        </w:rPr>
        <w:t>AGSA</w:t>
      </w:r>
      <w:r w:rsidR="00296E61">
        <w:rPr>
          <w:rFonts w:ascii="Arial" w:hAnsi="Arial" w:cs="Arial"/>
          <w:sz w:val="24"/>
          <w:szCs w:val="24"/>
        </w:rPr>
        <w:t xml:space="preserve"> </w:t>
      </w:r>
      <w:r w:rsidRPr="00F533A8">
        <w:rPr>
          <w:rFonts w:ascii="Arial" w:hAnsi="Arial" w:cs="Arial"/>
          <w:sz w:val="24"/>
          <w:szCs w:val="24"/>
        </w:rPr>
        <w:t xml:space="preserve">found that it contravened s38(1)(a)(ii) of the PFMA and TIN 1 of 2013/2014. Numerously, the SIU sought skills information from </w:t>
      </w:r>
      <w:r w:rsidR="00050994">
        <w:rPr>
          <w:rFonts w:ascii="Arial" w:hAnsi="Arial" w:cs="Arial"/>
          <w:sz w:val="24"/>
          <w:szCs w:val="24"/>
        </w:rPr>
        <w:t xml:space="preserve">Mr </w:t>
      </w:r>
      <w:r w:rsidRPr="00F533A8">
        <w:rPr>
          <w:rFonts w:ascii="Arial" w:hAnsi="Arial" w:cs="Arial"/>
          <w:sz w:val="24"/>
          <w:szCs w:val="24"/>
        </w:rPr>
        <w:t>T</w:t>
      </w:r>
      <w:r w:rsidR="00050994">
        <w:rPr>
          <w:rFonts w:ascii="Arial" w:hAnsi="Arial" w:cs="Arial"/>
          <w:sz w:val="24"/>
          <w:szCs w:val="24"/>
        </w:rPr>
        <w:t>habang</w:t>
      </w:r>
      <w:r w:rsidRPr="00F533A8">
        <w:rPr>
          <w:rFonts w:ascii="Arial" w:hAnsi="Arial" w:cs="Arial"/>
          <w:sz w:val="24"/>
          <w:szCs w:val="24"/>
        </w:rPr>
        <w:t xml:space="preserve"> Nkosi and </w:t>
      </w:r>
      <w:r w:rsidR="00050994">
        <w:rPr>
          <w:rFonts w:ascii="Arial" w:hAnsi="Arial" w:cs="Arial"/>
          <w:sz w:val="24"/>
          <w:szCs w:val="24"/>
        </w:rPr>
        <w:t xml:space="preserve">Mr </w:t>
      </w:r>
      <w:r w:rsidRPr="00F533A8">
        <w:rPr>
          <w:rFonts w:ascii="Arial" w:hAnsi="Arial" w:cs="Arial"/>
          <w:sz w:val="24"/>
          <w:szCs w:val="24"/>
        </w:rPr>
        <w:t>S</w:t>
      </w:r>
      <w:r w:rsidR="00050994">
        <w:rPr>
          <w:rFonts w:ascii="Arial" w:hAnsi="Arial" w:cs="Arial"/>
          <w:sz w:val="24"/>
          <w:szCs w:val="24"/>
        </w:rPr>
        <w:t>.</w:t>
      </w:r>
      <w:r w:rsidRPr="00F533A8">
        <w:rPr>
          <w:rFonts w:ascii="Arial" w:hAnsi="Arial" w:cs="Arial"/>
          <w:sz w:val="24"/>
          <w:szCs w:val="24"/>
        </w:rPr>
        <w:t>S</w:t>
      </w:r>
      <w:r w:rsidR="00050994">
        <w:rPr>
          <w:rFonts w:ascii="Arial" w:hAnsi="Arial" w:cs="Arial"/>
          <w:sz w:val="24"/>
          <w:szCs w:val="24"/>
        </w:rPr>
        <w:t>.</w:t>
      </w:r>
      <w:r w:rsidRPr="00F533A8">
        <w:rPr>
          <w:rFonts w:ascii="Arial" w:hAnsi="Arial" w:cs="Arial"/>
          <w:sz w:val="24"/>
          <w:szCs w:val="24"/>
        </w:rPr>
        <w:t xml:space="preserve"> Nkosi. They </w:t>
      </w:r>
      <w:r w:rsidR="00050994">
        <w:rPr>
          <w:rFonts w:ascii="Arial" w:hAnsi="Arial" w:cs="Arial"/>
          <w:sz w:val="24"/>
          <w:szCs w:val="24"/>
        </w:rPr>
        <w:t xml:space="preserve">did </w:t>
      </w:r>
      <w:r w:rsidRPr="00F533A8">
        <w:rPr>
          <w:rFonts w:ascii="Arial" w:hAnsi="Arial" w:cs="Arial"/>
          <w:sz w:val="24"/>
          <w:szCs w:val="24"/>
        </w:rPr>
        <w:t>not provide it</w:t>
      </w:r>
      <w:r w:rsidR="00050994">
        <w:rPr>
          <w:rFonts w:ascii="Arial" w:hAnsi="Arial" w:cs="Arial"/>
          <w:sz w:val="24"/>
          <w:szCs w:val="24"/>
        </w:rPr>
        <w:t>. It was also not</w:t>
      </w:r>
      <w:r w:rsidRPr="00F533A8">
        <w:rPr>
          <w:rFonts w:ascii="Arial" w:hAnsi="Arial" w:cs="Arial"/>
          <w:sz w:val="24"/>
          <w:szCs w:val="24"/>
        </w:rPr>
        <w:t xml:space="preserve"> include</w:t>
      </w:r>
      <w:r w:rsidR="00050994">
        <w:rPr>
          <w:rFonts w:ascii="Arial" w:hAnsi="Arial" w:cs="Arial"/>
          <w:sz w:val="24"/>
          <w:szCs w:val="24"/>
        </w:rPr>
        <w:t>d</w:t>
      </w:r>
      <w:r w:rsidRPr="00F533A8">
        <w:rPr>
          <w:rFonts w:ascii="Arial" w:hAnsi="Arial" w:cs="Arial"/>
          <w:sz w:val="24"/>
          <w:szCs w:val="24"/>
        </w:rPr>
        <w:t xml:space="preserve"> in the record of the impugned decision. They were subjected to a disciplinary enquiry. One of the charges relates to their failure to conduct a gap analysis and compile a business case in respect of the tender. </w:t>
      </w:r>
    </w:p>
    <w:p w14:paraId="55A97377" w14:textId="77777777" w:rsidR="001218F2" w:rsidRDefault="001218F2" w:rsidP="00E212A8">
      <w:pPr>
        <w:tabs>
          <w:tab w:val="left" w:pos="851"/>
        </w:tabs>
        <w:spacing w:line="360" w:lineRule="auto"/>
        <w:jc w:val="both"/>
        <w:rPr>
          <w:rFonts w:ascii="Arial" w:hAnsi="Arial" w:cs="Arial"/>
          <w:sz w:val="24"/>
          <w:szCs w:val="24"/>
        </w:rPr>
      </w:pPr>
    </w:p>
    <w:p w14:paraId="345CD01D" w14:textId="4CF5B96A" w:rsidR="00050994" w:rsidRPr="00F533A8" w:rsidRDefault="00050994"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Pr>
          <w:rFonts w:ascii="Arial" w:hAnsi="Arial" w:cs="Arial"/>
          <w:sz w:val="24"/>
          <w:szCs w:val="24"/>
        </w:rPr>
        <w:t>67</w:t>
      </w:r>
      <w:r w:rsidRPr="00F533A8">
        <w:rPr>
          <w:rFonts w:ascii="Arial" w:hAnsi="Arial" w:cs="Arial"/>
          <w:sz w:val="24"/>
          <w:szCs w:val="24"/>
        </w:rPr>
        <w:t>]</w:t>
      </w:r>
      <w:r w:rsidRPr="00F533A8">
        <w:rPr>
          <w:rFonts w:ascii="Arial" w:hAnsi="Arial" w:cs="Arial"/>
          <w:sz w:val="24"/>
          <w:szCs w:val="24"/>
        </w:rPr>
        <w:tab/>
        <w:t xml:space="preserve">To substantiate this allegation, the SIU relies on a document entitled “Discrepancies during the planning of the procurement in which </w:t>
      </w:r>
      <w:r>
        <w:rPr>
          <w:rFonts w:ascii="Arial" w:hAnsi="Arial" w:cs="Arial"/>
          <w:sz w:val="24"/>
          <w:szCs w:val="24"/>
        </w:rPr>
        <w:t xml:space="preserve">AGSA </w:t>
      </w:r>
      <w:r w:rsidRPr="00F533A8">
        <w:rPr>
          <w:rFonts w:ascii="Arial" w:hAnsi="Arial" w:cs="Arial"/>
          <w:sz w:val="24"/>
          <w:szCs w:val="24"/>
        </w:rPr>
        <w:t xml:space="preserve">queried lack of compliance with Treasury Note 1 and s38(1)(a)(ii) of the PFMA and the Department’s response thereto, which the SIU failed to attach to its application. It does not take the Tribunal into its confidence regarding whether it was aware of this documents and why it did not disclose them.  </w:t>
      </w:r>
    </w:p>
    <w:p w14:paraId="09E86AFB" w14:textId="77777777" w:rsidR="00050994" w:rsidRDefault="00050994" w:rsidP="00E212A8">
      <w:pPr>
        <w:tabs>
          <w:tab w:val="left" w:pos="851"/>
        </w:tabs>
        <w:spacing w:line="360" w:lineRule="auto"/>
        <w:jc w:val="both"/>
        <w:rPr>
          <w:rFonts w:ascii="Arial" w:hAnsi="Arial" w:cs="Arial"/>
          <w:sz w:val="24"/>
          <w:szCs w:val="24"/>
        </w:rPr>
      </w:pPr>
    </w:p>
    <w:p w14:paraId="1B9D1A4F" w14:textId="1BCB6F6D" w:rsidR="00050994" w:rsidRPr="00F533A8" w:rsidRDefault="00050994" w:rsidP="00E212A8">
      <w:pPr>
        <w:tabs>
          <w:tab w:val="left" w:pos="851"/>
        </w:tabs>
        <w:spacing w:line="360" w:lineRule="auto"/>
        <w:jc w:val="both"/>
        <w:rPr>
          <w:rFonts w:ascii="Arial" w:hAnsi="Arial" w:cs="Arial"/>
          <w:sz w:val="24"/>
          <w:szCs w:val="24"/>
        </w:rPr>
      </w:pPr>
      <w:r w:rsidRPr="00F533A8">
        <w:rPr>
          <w:rFonts w:ascii="Arial" w:hAnsi="Arial" w:cs="Arial"/>
          <w:sz w:val="24"/>
          <w:szCs w:val="24"/>
        </w:rPr>
        <w:t>[6</w:t>
      </w:r>
      <w:r>
        <w:rPr>
          <w:rFonts w:ascii="Arial" w:hAnsi="Arial" w:cs="Arial"/>
          <w:sz w:val="24"/>
          <w:szCs w:val="24"/>
        </w:rPr>
        <w:t>8</w:t>
      </w:r>
      <w:r w:rsidRPr="00F533A8">
        <w:rPr>
          <w:rFonts w:ascii="Arial" w:hAnsi="Arial" w:cs="Arial"/>
          <w:sz w:val="24"/>
          <w:szCs w:val="24"/>
        </w:rPr>
        <w:t>]</w:t>
      </w:r>
      <w:r w:rsidRPr="00F533A8">
        <w:rPr>
          <w:rFonts w:ascii="Arial" w:hAnsi="Arial" w:cs="Arial"/>
          <w:sz w:val="24"/>
          <w:szCs w:val="24"/>
        </w:rPr>
        <w:tab/>
        <w:t xml:space="preserve">This allegation is badly made. Documents relied on by Nexor which ought to only be privy to DOT are not specified. The record of the tender has been disclosed in these proceedings at Nexor’s instance. The fact that Nexor has been conducting consulting work with DOT since 2007 does not render the tender irregular. </w:t>
      </w:r>
    </w:p>
    <w:p w14:paraId="180F3CD3" w14:textId="77777777" w:rsidR="00050994" w:rsidRDefault="00050994" w:rsidP="00E212A8">
      <w:pPr>
        <w:tabs>
          <w:tab w:val="left" w:pos="851"/>
        </w:tabs>
        <w:spacing w:line="360" w:lineRule="auto"/>
        <w:jc w:val="both"/>
        <w:rPr>
          <w:rFonts w:ascii="Arial" w:hAnsi="Arial" w:cs="Arial"/>
          <w:sz w:val="24"/>
          <w:szCs w:val="24"/>
        </w:rPr>
      </w:pPr>
    </w:p>
    <w:p w14:paraId="7A50B730" w14:textId="1B091AC6" w:rsidR="00050994" w:rsidRPr="00F533A8" w:rsidRDefault="00050994" w:rsidP="00E212A8">
      <w:pPr>
        <w:tabs>
          <w:tab w:val="left" w:pos="851"/>
        </w:tabs>
        <w:spacing w:line="360" w:lineRule="auto"/>
        <w:jc w:val="both"/>
        <w:rPr>
          <w:rFonts w:ascii="Arial" w:hAnsi="Arial" w:cs="Arial"/>
          <w:sz w:val="24"/>
          <w:szCs w:val="24"/>
        </w:rPr>
      </w:pPr>
      <w:r w:rsidRPr="00F533A8">
        <w:rPr>
          <w:rFonts w:ascii="Arial" w:hAnsi="Arial" w:cs="Arial"/>
          <w:sz w:val="24"/>
          <w:szCs w:val="24"/>
        </w:rPr>
        <w:t>[6</w:t>
      </w:r>
      <w:r>
        <w:rPr>
          <w:rFonts w:ascii="Arial" w:hAnsi="Arial" w:cs="Arial"/>
          <w:sz w:val="24"/>
          <w:szCs w:val="24"/>
        </w:rPr>
        <w:t>9</w:t>
      </w:r>
      <w:r w:rsidRPr="00F533A8">
        <w:rPr>
          <w:rFonts w:ascii="Arial" w:hAnsi="Arial" w:cs="Arial"/>
          <w:sz w:val="24"/>
          <w:szCs w:val="24"/>
        </w:rPr>
        <w:t xml:space="preserve">] </w:t>
      </w:r>
      <w:r w:rsidRPr="00F533A8">
        <w:rPr>
          <w:rFonts w:ascii="Arial" w:hAnsi="Arial" w:cs="Arial"/>
          <w:sz w:val="24"/>
          <w:szCs w:val="24"/>
        </w:rPr>
        <w:tab/>
        <w:t xml:space="preserve">In reply, without dealing with the evidence Nexor put up to refute the allegation that DOT failed to conduct a gap analysis, the SIU investigator cast aspersions on Nexor and its Chief Executive Officer Managing Director </w:t>
      </w:r>
      <w:r w:rsidRPr="00F533A8">
        <w:rPr>
          <w:rFonts w:ascii="Arial" w:hAnsi="Arial" w:cs="Arial"/>
          <w:bCs/>
          <w:sz w:val="24"/>
          <w:szCs w:val="24"/>
        </w:rPr>
        <w:t>Vikash Bharathlal Narsai</w:t>
      </w:r>
      <w:r w:rsidRPr="00F533A8">
        <w:rPr>
          <w:rFonts w:ascii="Arial" w:hAnsi="Arial" w:cs="Arial"/>
          <w:sz w:val="24"/>
          <w:szCs w:val="24"/>
        </w:rPr>
        <w:t xml:space="preserve"> (“Mr Narsai”). It accuses Mr Narsai of failing to disclose to the Tribunal that he worked on various DOT contracts since 2007 prior to being awarded the tender and previously worked with Mr S.S. Nkosi. Hence, Nexor had access to documents that should only be privy to DOT. </w:t>
      </w:r>
    </w:p>
    <w:p w14:paraId="0CC4F0A6" w14:textId="77777777" w:rsidR="00050994" w:rsidRPr="00F533A8" w:rsidRDefault="00050994" w:rsidP="00E212A8">
      <w:pPr>
        <w:tabs>
          <w:tab w:val="left" w:pos="851"/>
        </w:tabs>
        <w:spacing w:line="360" w:lineRule="auto"/>
        <w:jc w:val="both"/>
        <w:rPr>
          <w:rFonts w:ascii="Arial" w:hAnsi="Arial" w:cs="Arial"/>
          <w:sz w:val="24"/>
          <w:szCs w:val="24"/>
        </w:rPr>
      </w:pPr>
    </w:p>
    <w:p w14:paraId="01DCD574" w14:textId="7D54068F" w:rsidR="001218F2" w:rsidRPr="00F533A8" w:rsidRDefault="001218F2"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050994">
        <w:rPr>
          <w:rFonts w:ascii="Arial" w:hAnsi="Arial" w:cs="Arial"/>
          <w:sz w:val="24"/>
          <w:szCs w:val="24"/>
        </w:rPr>
        <w:t>70</w:t>
      </w:r>
      <w:r w:rsidRPr="00F533A8">
        <w:rPr>
          <w:rFonts w:ascii="Arial" w:hAnsi="Arial" w:cs="Arial"/>
          <w:sz w:val="24"/>
          <w:szCs w:val="24"/>
        </w:rPr>
        <w:t>]</w:t>
      </w:r>
      <w:r w:rsidRPr="00F533A8">
        <w:rPr>
          <w:rFonts w:ascii="Arial" w:hAnsi="Arial" w:cs="Arial"/>
          <w:sz w:val="24"/>
          <w:szCs w:val="24"/>
        </w:rPr>
        <w:tab/>
        <w:t xml:space="preserve">I determine this issue on the </w:t>
      </w:r>
      <w:r w:rsidR="0010374C" w:rsidRPr="00F533A8">
        <w:rPr>
          <w:rFonts w:ascii="Arial" w:hAnsi="Arial" w:cs="Arial"/>
          <w:sz w:val="24"/>
          <w:szCs w:val="24"/>
        </w:rPr>
        <w:t>responden</w:t>
      </w:r>
      <w:r w:rsidRPr="00F533A8">
        <w:rPr>
          <w:rFonts w:ascii="Arial" w:hAnsi="Arial" w:cs="Arial"/>
          <w:sz w:val="24"/>
          <w:szCs w:val="24"/>
        </w:rPr>
        <w:t xml:space="preserve">t’s version. </w:t>
      </w:r>
      <w:r w:rsidR="0010374C" w:rsidRPr="00F533A8">
        <w:rPr>
          <w:rFonts w:ascii="Arial" w:hAnsi="Arial" w:cs="Arial"/>
          <w:sz w:val="24"/>
          <w:szCs w:val="24"/>
        </w:rPr>
        <w:t xml:space="preserve">According to Nexor, </w:t>
      </w:r>
      <w:r w:rsidRPr="00F533A8">
        <w:rPr>
          <w:rFonts w:ascii="Arial" w:hAnsi="Arial" w:cs="Arial"/>
          <w:sz w:val="24"/>
          <w:szCs w:val="24"/>
        </w:rPr>
        <w:t>the SIU inappropriately placed reliance on  TIN 1 of 2013/2014. It had been repealed when the tender was issued. Nexor further alleges that Mr S.S. Nkosi conducted a skills audit on 15 August 2016 to identify skills gaps within DOT. The skills audit formed the basis for a motivation Mr S.S. Nkosi made to the DOT Bid Committee for the provision of IDMS and RAMS services</w:t>
      </w:r>
      <w:r w:rsidR="00050994">
        <w:rPr>
          <w:rFonts w:ascii="Arial" w:hAnsi="Arial" w:cs="Arial"/>
          <w:sz w:val="24"/>
          <w:szCs w:val="24"/>
        </w:rPr>
        <w:t xml:space="preserve">. </w:t>
      </w:r>
      <w:r w:rsidR="0010374C" w:rsidRPr="00F533A8">
        <w:rPr>
          <w:rFonts w:ascii="Arial" w:hAnsi="Arial" w:cs="Arial"/>
          <w:sz w:val="24"/>
          <w:szCs w:val="24"/>
        </w:rPr>
        <w:t xml:space="preserve">In its answering affidavit, DOT places repliance on the submission its head of department made to the Bid Committee, recommending the appointment of consultants to provide DOT with the skills resources required for the project, which it needed to implement the proposed project. It further contends that the DOT SCM policy did not specifically require that a report on the skills gap analysis be compiled. </w:t>
      </w:r>
    </w:p>
    <w:p w14:paraId="0D57DC92" w14:textId="3145D74F" w:rsidR="001218F2" w:rsidRPr="00F533A8" w:rsidRDefault="001218F2" w:rsidP="00E212A8">
      <w:pPr>
        <w:tabs>
          <w:tab w:val="left" w:pos="851"/>
        </w:tabs>
        <w:spacing w:line="360" w:lineRule="auto"/>
        <w:jc w:val="both"/>
        <w:rPr>
          <w:rFonts w:ascii="Arial" w:hAnsi="Arial" w:cs="Arial"/>
          <w:sz w:val="24"/>
          <w:szCs w:val="24"/>
        </w:rPr>
      </w:pPr>
      <w:r w:rsidRPr="00F533A8">
        <w:rPr>
          <w:rFonts w:ascii="Arial" w:hAnsi="Arial" w:cs="Arial"/>
          <w:sz w:val="24"/>
          <w:szCs w:val="24"/>
        </w:rPr>
        <w:t xml:space="preserve"> </w:t>
      </w:r>
    </w:p>
    <w:p w14:paraId="7EB59125" w14:textId="19E68624" w:rsidR="001218F2" w:rsidRPr="00F533A8" w:rsidRDefault="001218F2"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450C87" w:rsidRPr="00F533A8">
        <w:rPr>
          <w:rFonts w:ascii="Arial" w:hAnsi="Arial" w:cs="Arial"/>
          <w:sz w:val="24"/>
          <w:szCs w:val="24"/>
        </w:rPr>
        <w:t>7</w:t>
      </w:r>
      <w:r w:rsidR="00704957" w:rsidRPr="00F533A8">
        <w:rPr>
          <w:rFonts w:ascii="Arial" w:hAnsi="Arial" w:cs="Arial"/>
          <w:sz w:val="24"/>
          <w:szCs w:val="24"/>
        </w:rPr>
        <w:t>1</w:t>
      </w:r>
      <w:r w:rsidRPr="00F533A8">
        <w:rPr>
          <w:rFonts w:ascii="Arial" w:hAnsi="Arial" w:cs="Arial"/>
          <w:sz w:val="24"/>
          <w:szCs w:val="24"/>
        </w:rPr>
        <w:t>]</w:t>
      </w:r>
      <w:r w:rsidRPr="00F533A8">
        <w:rPr>
          <w:rFonts w:ascii="Arial" w:hAnsi="Arial" w:cs="Arial"/>
          <w:sz w:val="24"/>
          <w:szCs w:val="24"/>
        </w:rPr>
        <w:tab/>
        <w:t xml:space="preserve">At paragraphs 391 to 433 of its answering affidavit, Nexor sets out a detailed analysis of </w:t>
      </w:r>
      <w:r w:rsidR="00701E48">
        <w:rPr>
          <w:rFonts w:ascii="Arial" w:hAnsi="Arial" w:cs="Arial"/>
          <w:sz w:val="24"/>
          <w:szCs w:val="24"/>
        </w:rPr>
        <w:t>AGSA</w:t>
      </w:r>
      <w:r w:rsidRPr="00F533A8">
        <w:rPr>
          <w:rFonts w:ascii="Arial" w:hAnsi="Arial" w:cs="Arial"/>
          <w:sz w:val="24"/>
          <w:szCs w:val="24"/>
        </w:rPr>
        <w:t xml:space="preserve">’s queries, the DOT’s responses thereto and </w:t>
      </w:r>
      <w:r w:rsidR="00701E48">
        <w:rPr>
          <w:rFonts w:ascii="Arial" w:hAnsi="Arial" w:cs="Arial"/>
          <w:sz w:val="24"/>
          <w:szCs w:val="24"/>
        </w:rPr>
        <w:t>AGSA</w:t>
      </w:r>
      <w:r w:rsidR="00296E61">
        <w:rPr>
          <w:rFonts w:ascii="Arial" w:hAnsi="Arial" w:cs="Arial"/>
          <w:sz w:val="24"/>
          <w:szCs w:val="24"/>
        </w:rPr>
        <w:t xml:space="preserve">’s </w:t>
      </w:r>
      <w:r w:rsidRPr="00F533A8">
        <w:rPr>
          <w:rFonts w:ascii="Arial" w:hAnsi="Arial" w:cs="Arial"/>
          <w:sz w:val="24"/>
          <w:szCs w:val="24"/>
        </w:rPr>
        <w:t xml:space="preserve">conclusions. Nexor contends that </w:t>
      </w:r>
      <w:r w:rsidR="00701E48">
        <w:rPr>
          <w:rFonts w:ascii="Arial" w:hAnsi="Arial" w:cs="Arial"/>
          <w:sz w:val="24"/>
          <w:szCs w:val="24"/>
        </w:rPr>
        <w:t>AGSA</w:t>
      </w:r>
      <w:r w:rsidRPr="00F533A8">
        <w:rPr>
          <w:rFonts w:ascii="Arial" w:hAnsi="Arial" w:cs="Arial"/>
          <w:sz w:val="24"/>
          <w:szCs w:val="24"/>
        </w:rPr>
        <w:t xml:space="preserve">’s report, findings, and conclusions are contradictory, confusing, and unclear. Pertinently, it contends that </w:t>
      </w:r>
      <w:r w:rsidR="00701E48">
        <w:rPr>
          <w:rFonts w:ascii="Arial" w:hAnsi="Arial" w:cs="Arial"/>
          <w:sz w:val="24"/>
          <w:szCs w:val="24"/>
        </w:rPr>
        <w:t>AGSA</w:t>
      </w:r>
      <w:r w:rsidR="00296E61" w:rsidRPr="00F533A8">
        <w:rPr>
          <w:rFonts w:ascii="Arial" w:hAnsi="Arial" w:cs="Arial"/>
          <w:sz w:val="24"/>
          <w:szCs w:val="24"/>
        </w:rPr>
        <w:t xml:space="preserve"> </w:t>
      </w:r>
      <w:r w:rsidRPr="00F533A8">
        <w:rPr>
          <w:rFonts w:ascii="Arial" w:hAnsi="Arial" w:cs="Arial"/>
          <w:sz w:val="24"/>
          <w:szCs w:val="24"/>
        </w:rPr>
        <w:t xml:space="preserve">misdirected herself by basing her findings on the repealed TIN 1 of 2013/14. She ought to have relied on Treasury Instruction Note 3 of 2017/18 (“TIN 3 2017/18”) which came into effect on 15 May 2017 and was thus the applicable regulation when the tender was planned. Nexor analyses the provisions of this Treasury Note and questions whether it applies to the services to be rendered in terms of the tender as it refers to claims that don’t apply to the tender. </w:t>
      </w:r>
    </w:p>
    <w:p w14:paraId="168E3CEB" w14:textId="77777777" w:rsidR="001218F2" w:rsidRPr="00F533A8" w:rsidRDefault="001218F2" w:rsidP="00E212A8">
      <w:pPr>
        <w:tabs>
          <w:tab w:val="left" w:pos="851"/>
        </w:tabs>
        <w:spacing w:line="360" w:lineRule="auto"/>
        <w:jc w:val="both"/>
        <w:rPr>
          <w:rFonts w:ascii="Arial" w:hAnsi="Arial" w:cs="Arial"/>
          <w:sz w:val="24"/>
          <w:szCs w:val="24"/>
        </w:rPr>
      </w:pPr>
    </w:p>
    <w:p w14:paraId="69C3BC3D" w14:textId="254E17ED" w:rsidR="001218F2" w:rsidRPr="00F533A8" w:rsidRDefault="001218F2"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450C87" w:rsidRPr="00F533A8">
        <w:rPr>
          <w:rFonts w:ascii="Arial" w:hAnsi="Arial" w:cs="Arial"/>
          <w:sz w:val="24"/>
          <w:szCs w:val="24"/>
        </w:rPr>
        <w:t>7</w:t>
      </w:r>
      <w:r w:rsidR="00704957" w:rsidRPr="00F533A8">
        <w:rPr>
          <w:rFonts w:ascii="Arial" w:hAnsi="Arial" w:cs="Arial"/>
          <w:sz w:val="24"/>
          <w:szCs w:val="24"/>
        </w:rPr>
        <w:t>2</w:t>
      </w:r>
      <w:r w:rsidRPr="00F533A8">
        <w:rPr>
          <w:rFonts w:ascii="Arial" w:hAnsi="Arial" w:cs="Arial"/>
          <w:sz w:val="24"/>
          <w:szCs w:val="24"/>
        </w:rPr>
        <w:t>]</w:t>
      </w:r>
      <w:r w:rsidRPr="00F533A8">
        <w:rPr>
          <w:rFonts w:ascii="Arial" w:hAnsi="Arial" w:cs="Arial"/>
          <w:sz w:val="24"/>
          <w:szCs w:val="24"/>
        </w:rPr>
        <w:tab/>
        <w:t xml:space="preserve">The SIU’s response to this allegation is that the DOT should place a version on these issues. The DOT has not challenged </w:t>
      </w:r>
      <w:r w:rsidR="00701E48">
        <w:rPr>
          <w:rFonts w:ascii="Arial" w:hAnsi="Arial" w:cs="Arial"/>
          <w:sz w:val="24"/>
          <w:szCs w:val="24"/>
        </w:rPr>
        <w:t>AGSA</w:t>
      </w:r>
      <w:r w:rsidRPr="00F533A8">
        <w:rPr>
          <w:rFonts w:ascii="Arial" w:hAnsi="Arial" w:cs="Arial"/>
          <w:sz w:val="24"/>
          <w:szCs w:val="24"/>
        </w:rPr>
        <w:t xml:space="preserve">’s report. It therefore stands. It is up to the Tribunal to decide what to make of it. </w:t>
      </w:r>
    </w:p>
    <w:p w14:paraId="15196B32" w14:textId="77777777" w:rsidR="001218F2" w:rsidRPr="00F533A8" w:rsidRDefault="001218F2" w:rsidP="00E212A8">
      <w:pPr>
        <w:tabs>
          <w:tab w:val="left" w:pos="851"/>
        </w:tabs>
        <w:spacing w:line="360" w:lineRule="auto"/>
        <w:jc w:val="both"/>
        <w:rPr>
          <w:rFonts w:ascii="Arial" w:hAnsi="Arial" w:cs="Arial"/>
          <w:sz w:val="24"/>
          <w:szCs w:val="24"/>
        </w:rPr>
      </w:pPr>
    </w:p>
    <w:p w14:paraId="0B321A62" w14:textId="3F7287C6" w:rsidR="001218F2" w:rsidRPr="00F533A8" w:rsidRDefault="001218F2"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704957" w:rsidRPr="00F533A8">
        <w:rPr>
          <w:rFonts w:ascii="Arial" w:hAnsi="Arial" w:cs="Arial"/>
          <w:sz w:val="24"/>
          <w:szCs w:val="24"/>
        </w:rPr>
        <w:t>73</w:t>
      </w:r>
      <w:r w:rsidRPr="00F533A8">
        <w:rPr>
          <w:rFonts w:ascii="Arial" w:hAnsi="Arial" w:cs="Arial"/>
          <w:sz w:val="24"/>
          <w:szCs w:val="24"/>
        </w:rPr>
        <w:t>]</w:t>
      </w:r>
      <w:r w:rsidRPr="00F533A8">
        <w:rPr>
          <w:rFonts w:ascii="Arial" w:hAnsi="Arial" w:cs="Arial"/>
          <w:sz w:val="24"/>
          <w:szCs w:val="24"/>
        </w:rPr>
        <w:tab/>
        <w:t xml:space="preserve">When Nexor rebutted the SIU allegation that DOT failed to conduct a gap analysis, </w:t>
      </w:r>
      <w:r w:rsidR="00CD2F47">
        <w:rPr>
          <w:rFonts w:ascii="Arial" w:hAnsi="Arial" w:cs="Arial"/>
          <w:sz w:val="24"/>
          <w:szCs w:val="24"/>
        </w:rPr>
        <w:t xml:space="preserve">in reply, </w:t>
      </w:r>
      <w:r w:rsidR="00050994">
        <w:rPr>
          <w:rFonts w:ascii="Arial" w:hAnsi="Arial" w:cs="Arial"/>
          <w:sz w:val="24"/>
          <w:szCs w:val="24"/>
        </w:rPr>
        <w:t>the</w:t>
      </w:r>
      <w:r w:rsidRPr="00F533A8">
        <w:rPr>
          <w:rFonts w:ascii="Arial" w:hAnsi="Arial" w:cs="Arial"/>
          <w:sz w:val="24"/>
          <w:szCs w:val="24"/>
        </w:rPr>
        <w:t xml:space="preserve"> </w:t>
      </w:r>
      <w:r w:rsidR="00050994">
        <w:rPr>
          <w:rFonts w:ascii="Arial" w:hAnsi="Arial" w:cs="Arial"/>
          <w:sz w:val="24"/>
          <w:szCs w:val="24"/>
        </w:rPr>
        <w:t xml:space="preserve">SIU </w:t>
      </w:r>
      <w:r w:rsidRPr="00F533A8">
        <w:rPr>
          <w:rFonts w:ascii="Arial" w:hAnsi="Arial" w:cs="Arial"/>
          <w:sz w:val="24"/>
          <w:szCs w:val="24"/>
        </w:rPr>
        <w:t xml:space="preserve">resorted holes </w:t>
      </w:r>
      <w:r w:rsidR="00701E48">
        <w:rPr>
          <w:rFonts w:ascii="Arial" w:hAnsi="Arial" w:cs="Arial"/>
          <w:sz w:val="24"/>
          <w:szCs w:val="24"/>
        </w:rPr>
        <w:t>AGSA</w:t>
      </w:r>
      <w:r w:rsidRPr="00F533A8">
        <w:rPr>
          <w:rFonts w:ascii="Arial" w:hAnsi="Arial" w:cs="Arial"/>
          <w:sz w:val="24"/>
          <w:szCs w:val="24"/>
        </w:rPr>
        <w:t xml:space="preserve"> sought to poke into the gap analysis.</w:t>
      </w:r>
      <w:r w:rsidR="00CD2F47">
        <w:rPr>
          <w:rFonts w:ascii="Arial" w:hAnsi="Arial" w:cs="Arial"/>
          <w:sz w:val="24"/>
          <w:szCs w:val="24"/>
        </w:rPr>
        <w:t xml:space="preserve"> This represents a deviation from its case as set out in its founding papers. Its case is that no gap analysis was conducted. It case is not that a deficient gap analysis was conducted. Therefore, i</w:t>
      </w:r>
      <w:r w:rsidRPr="00F533A8">
        <w:rPr>
          <w:rFonts w:ascii="Arial" w:hAnsi="Arial" w:cs="Arial"/>
          <w:sz w:val="24"/>
          <w:szCs w:val="24"/>
        </w:rPr>
        <w:t xml:space="preserve">ts response that </w:t>
      </w:r>
      <w:r w:rsidR="00701E48">
        <w:rPr>
          <w:rFonts w:ascii="Arial" w:hAnsi="Arial" w:cs="Arial"/>
          <w:sz w:val="24"/>
          <w:szCs w:val="24"/>
        </w:rPr>
        <w:t>AGSA</w:t>
      </w:r>
      <w:r w:rsidRPr="00F533A8">
        <w:rPr>
          <w:rFonts w:ascii="Arial" w:hAnsi="Arial" w:cs="Arial"/>
          <w:sz w:val="24"/>
          <w:szCs w:val="24"/>
        </w:rPr>
        <w:t>’s report stands does not justify a finding that the DOT failed to conduct a gap analysis.</w:t>
      </w:r>
      <w:r w:rsidR="00CD2F47">
        <w:rPr>
          <w:rFonts w:ascii="Arial" w:hAnsi="Arial" w:cs="Arial"/>
          <w:sz w:val="24"/>
          <w:szCs w:val="24"/>
        </w:rPr>
        <w:t xml:space="preserve"> </w:t>
      </w:r>
    </w:p>
    <w:p w14:paraId="1C2AE471" w14:textId="77777777" w:rsidR="001218F2" w:rsidRPr="00F533A8" w:rsidRDefault="001218F2" w:rsidP="00E212A8">
      <w:pPr>
        <w:tabs>
          <w:tab w:val="left" w:pos="851"/>
        </w:tabs>
        <w:spacing w:line="360" w:lineRule="auto"/>
        <w:jc w:val="both"/>
        <w:rPr>
          <w:rFonts w:ascii="Arial" w:hAnsi="Arial" w:cs="Arial"/>
          <w:sz w:val="24"/>
          <w:szCs w:val="24"/>
        </w:rPr>
      </w:pPr>
    </w:p>
    <w:p w14:paraId="348A776D" w14:textId="6F5E9471" w:rsidR="001218F2" w:rsidRPr="00F533A8" w:rsidRDefault="001218F2"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704957" w:rsidRPr="00F533A8">
        <w:rPr>
          <w:rFonts w:ascii="Arial" w:hAnsi="Arial" w:cs="Arial"/>
          <w:sz w:val="24"/>
          <w:szCs w:val="24"/>
        </w:rPr>
        <w:t>74</w:t>
      </w:r>
      <w:r w:rsidRPr="00F533A8">
        <w:rPr>
          <w:rFonts w:ascii="Arial" w:hAnsi="Arial" w:cs="Arial"/>
          <w:sz w:val="24"/>
          <w:szCs w:val="24"/>
        </w:rPr>
        <w:t>]</w:t>
      </w:r>
      <w:r w:rsidRPr="00F533A8">
        <w:rPr>
          <w:rFonts w:ascii="Arial" w:hAnsi="Arial" w:cs="Arial"/>
          <w:sz w:val="24"/>
          <w:szCs w:val="24"/>
        </w:rPr>
        <w:tab/>
        <w:t xml:space="preserve">The SIU’s reliance on </w:t>
      </w:r>
      <w:r w:rsidR="00701E48">
        <w:rPr>
          <w:rFonts w:ascii="Arial" w:hAnsi="Arial" w:cs="Arial"/>
          <w:sz w:val="24"/>
          <w:szCs w:val="24"/>
        </w:rPr>
        <w:t>AGSA</w:t>
      </w:r>
      <w:r w:rsidRPr="00F533A8">
        <w:rPr>
          <w:rFonts w:ascii="Arial" w:hAnsi="Arial" w:cs="Arial"/>
          <w:sz w:val="24"/>
          <w:szCs w:val="24"/>
        </w:rPr>
        <w:t xml:space="preserve">’s findings is misplaced. They are based on a repealed Treasury Instructions. The SIU has not laid a factual basis for a finding that Treasury Note 3 of 2017/18 was applicable and DOT’s gap analysis failed to comply with it. In any event, </w:t>
      </w:r>
      <w:r w:rsidR="00701E48">
        <w:rPr>
          <w:rFonts w:ascii="Arial" w:hAnsi="Arial" w:cs="Arial"/>
          <w:sz w:val="24"/>
          <w:szCs w:val="24"/>
        </w:rPr>
        <w:t>AGSA</w:t>
      </w:r>
      <w:r w:rsidRPr="00F533A8">
        <w:rPr>
          <w:rFonts w:ascii="Arial" w:hAnsi="Arial" w:cs="Arial"/>
          <w:sz w:val="24"/>
          <w:szCs w:val="24"/>
        </w:rPr>
        <w:t xml:space="preserve">’s findings do not stand as evidence before the Tribunal. </w:t>
      </w:r>
      <w:r w:rsidR="00CD2F47">
        <w:rPr>
          <w:rFonts w:ascii="Arial" w:hAnsi="Arial" w:cs="Arial"/>
          <w:sz w:val="24"/>
          <w:szCs w:val="24"/>
        </w:rPr>
        <w:t xml:space="preserve">The fact that </w:t>
      </w:r>
      <w:r w:rsidRPr="00F533A8">
        <w:rPr>
          <w:rFonts w:ascii="Arial" w:hAnsi="Arial" w:cs="Arial"/>
          <w:sz w:val="24"/>
          <w:szCs w:val="24"/>
        </w:rPr>
        <w:t>Mr S.S. Nkosi has been subjected to a disciplinary enquiry for his role in the tender</w:t>
      </w:r>
      <w:r w:rsidR="00CD2F47">
        <w:rPr>
          <w:rFonts w:ascii="Arial" w:hAnsi="Arial" w:cs="Arial"/>
          <w:sz w:val="24"/>
          <w:szCs w:val="24"/>
        </w:rPr>
        <w:t xml:space="preserve"> does not take this allegation further</w:t>
      </w:r>
      <w:r w:rsidRPr="00F533A8">
        <w:rPr>
          <w:rFonts w:ascii="Arial" w:hAnsi="Arial" w:cs="Arial"/>
          <w:sz w:val="24"/>
          <w:szCs w:val="24"/>
        </w:rPr>
        <w:t xml:space="preserve">. These factors do not sustain a finding that the DOT failed to conduct a gap analysis prior to embarking on a tender process therefore failing to adopt cost containment measures as required by s38(1)(a)(ii) of the PFMA. The SIU ought to place the necessary evidence before the Tribunal to sustain a finding that DOT contravened the statutory and regulatory provisions it relies on. It has failed to do so. </w:t>
      </w:r>
    </w:p>
    <w:p w14:paraId="3F14692A" w14:textId="77777777" w:rsidR="001218F2" w:rsidRPr="00F533A8" w:rsidRDefault="001218F2" w:rsidP="00E212A8">
      <w:pPr>
        <w:tabs>
          <w:tab w:val="left" w:pos="851"/>
        </w:tabs>
        <w:spacing w:line="360" w:lineRule="auto"/>
        <w:jc w:val="both"/>
        <w:rPr>
          <w:rFonts w:ascii="Arial" w:hAnsi="Arial" w:cs="Arial"/>
          <w:sz w:val="24"/>
          <w:szCs w:val="24"/>
        </w:rPr>
      </w:pPr>
    </w:p>
    <w:p w14:paraId="0D133E90" w14:textId="5CEDB4A0" w:rsidR="001218F2" w:rsidRPr="00F533A8" w:rsidRDefault="001218F2"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704957" w:rsidRPr="00F533A8">
        <w:rPr>
          <w:rFonts w:ascii="Arial" w:hAnsi="Arial" w:cs="Arial"/>
          <w:sz w:val="24"/>
          <w:szCs w:val="24"/>
        </w:rPr>
        <w:t>75</w:t>
      </w:r>
      <w:r w:rsidRPr="00F533A8">
        <w:rPr>
          <w:rFonts w:ascii="Arial" w:hAnsi="Arial" w:cs="Arial"/>
          <w:sz w:val="24"/>
          <w:szCs w:val="24"/>
        </w:rPr>
        <w:t>]</w:t>
      </w:r>
      <w:r w:rsidRPr="00F533A8">
        <w:rPr>
          <w:rFonts w:ascii="Arial" w:hAnsi="Arial" w:cs="Arial"/>
          <w:sz w:val="24"/>
          <w:szCs w:val="24"/>
        </w:rPr>
        <w:tab/>
      </w:r>
      <w:r w:rsidR="0010374C" w:rsidRPr="00F533A8">
        <w:rPr>
          <w:rFonts w:ascii="Arial" w:hAnsi="Arial" w:cs="Arial"/>
          <w:sz w:val="24"/>
          <w:szCs w:val="24"/>
        </w:rPr>
        <w:t xml:space="preserve">But even more, disturbingly, the SIU made no attempt to dispute the version DOT set out in its answering affidavit. </w:t>
      </w:r>
      <w:r w:rsidRPr="00F533A8">
        <w:rPr>
          <w:rFonts w:ascii="Arial" w:hAnsi="Arial" w:cs="Arial"/>
          <w:sz w:val="24"/>
          <w:szCs w:val="24"/>
        </w:rPr>
        <w:t xml:space="preserve">It ought to have properly investigated </w:t>
      </w:r>
      <w:r w:rsidR="00701E48">
        <w:rPr>
          <w:rFonts w:ascii="Arial" w:hAnsi="Arial" w:cs="Arial"/>
          <w:sz w:val="24"/>
          <w:szCs w:val="24"/>
        </w:rPr>
        <w:t>AGSA</w:t>
      </w:r>
      <w:r w:rsidRPr="00F533A8">
        <w:rPr>
          <w:rFonts w:ascii="Arial" w:hAnsi="Arial" w:cs="Arial"/>
          <w:sz w:val="24"/>
          <w:szCs w:val="24"/>
        </w:rPr>
        <w:t xml:space="preserve">s complaints and placed reliable evidence before the Tribunal. Its investigation of this ground of review is inadequate. </w:t>
      </w:r>
    </w:p>
    <w:p w14:paraId="3653C6AC" w14:textId="77777777" w:rsidR="001218F2" w:rsidRPr="00F533A8" w:rsidRDefault="001218F2" w:rsidP="00E212A8">
      <w:pPr>
        <w:tabs>
          <w:tab w:val="left" w:pos="851"/>
        </w:tabs>
        <w:spacing w:line="360" w:lineRule="auto"/>
        <w:jc w:val="both"/>
        <w:rPr>
          <w:rFonts w:ascii="Arial" w:hAnsi="Arial" w:cs="Arial"/>
          <w:sz w:val="24"/>
          <w:szCs w:val="24"/>
        </w:rPr>
      </w:pPr>
    </w:p>
    <w:p w14:paraId="6935E45A" w14:textId="521DEF8E" w:rsidR="00354282" w:rsidRPr="00F533A8" w:rsidRDefault="00354282" w:rsidP="00E212A8">
      <w:pPr>
        <w:tabs>
          <w:tab w:val="left" w:pos="851"/>
        </w:tabs>
        <w:spacing w:line="360" w:lineRule="auto"/>
        <w:jc w:val="both"/>
        <w:rPr>
          <w:rFonts w:ascii="Arial" w:hAnsi="Arial" w:cs="Arial"/>
          <w:i/>
          <w:iCs/>
          <w:sz w:val="24"/>
          <w:szCs w:val="24"/>
        </w:rPr>
      </w:pPr>
      <w:r w:rsidRPr="00F533A8">
        <w:rPr>
          <w:rFonts w:ascii="Arial" w:hAnsi="Arial" w:cs="Arial"/>
          <w:i/>
          <w:iCs/>
          <w:sz w:val="24"/>
          <w:szCs w:val="24"/>
        </w:rPr>
        <w:t>Functionality evaluation</w:t>
      </w:r>
    </w:p>
    <w:p w14:paraId="4900480E" w14:textId="1BADC862" w:rsidR="00354282" w:rsidRPr="00F533A8" w:rsidRDefault="00354282"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704957" w:rsidRPr="00F533A8">
        <w:rPr>
          <w:rFonts w:ascii="Arial" w:hAnsi="Arial" w:cs="Arial"/>
          <w:sz w:val="24"/>
          <w:szCs w:val="24"/>
        </w:rPr>
        <w:t>76</w:t>
      </w:r>
      <w:r w:rsidRPr="00F533A8">
        <w:rPr>
          <w:rFonts w:ascii="Arial" w:hAnsi="Arial" w:cs="Arial"/>
          <w:sz w:val="24"/>
          <w:szCs w:val="24"/>
        </w:rPr>
        <w:t>]</w:t>
      </w:r>
      <w:r w:rsidR="00396285">
        <w:rPr>
          <w:rFonts w:ascii="Arial" w:hAnsi="Arial" w:cs="Arial"/>
          <w:sz w:val="24"/>
          <w:szCs w:val="24"/>
        </w:rPr>
        <w:tab/>
      </w:r>
      <w:r w:rsidRPr="00F533A8">
        <w:rPr>
          <w:rFonts w:ascii="Arial" w:hAnsi="Arial" w:cs="Arial"/>
          <w:sz w:val="24"/>
          <w:szCs w:val="24"/>
        </w:rPr>
        <w:t xml:space="preserve">Notably, the SIU does not raise this ground of review in its founding affidavit. </w:t>
      </w:r>
      <w:r w:rsidR="00BA18E3" w:rsidRPr="00F533A8">
        <w:rPr>
          <w:rFonts w:ascii="Arial" w:hAnsi="Arial" w:cs="Arial"/>
          <w:sz w:val="24"/>
          <w:szCs w:val="24"/>
        </w:rPr>
        <w:t xml:space="preserve">In its supplementary founding affidavit, it cites the following finding by </w:t>
      </w:r>
      <w:r w:rsidR="00701E48">
        <w:rPr>
          <w:rFonts w:ascii="Arial" w:hAnsi="Arial" w:cs="Arial"/>
          <w:sz w:val="24"/>
          <w:szCs w:val="24"/>
        </w:rPr>
        <w:t>AGSA</w:t>
      </w:r>
      <w:r w:rsidR="00BA18E3" w:rsidRPr="00F533A8">
        <w:rPr>
          <w:rFonts w:ascii="Arial" w:hAnsi="Arial" w:cs="Arial"/>
          <w:sz w:val="24"/>
          <w:szCs w:val="24"/>
        </w:rPr>
        <w:t>:</w:t>
      </w:r>
    </w:p>
    <w:p w14:paraId="71B66F51" w14:textId="2A779F41" w:rsidR="00BA18E3" w:rsidRPr="00F533A8" w:rsidRDefault="00BA18E3" w:rsidP="00E212A8">
      <w:pPr>
        <w:tabs>
          <w:tab w:val="left" w:pos="1041"/>
        </w:tabs>
        <w:spacing w:before="208" w:line="360" w:lineRule="auto"/>
        <w:ind w:right="132"/>
        <w:jc w:val="both"/>
        <w:rPr>
          <w:rFonts w:ascii="Arial" w:hAnsi="Arial" w:cs="Arial"/>
          <w:sz w:val="24"/>
          <w:szCs w:val="24"/>
        </w:rPr>
      </w:pPr>
      <w:r w:rsidRPr="00F533A8">
        <w:rPr>
          <w:rFonts w:ascii="Arial" w:hAnsi="Arial" w:cs="Arial"/>
          <w:sz w:val="24"/>
          <w:szCs w:val="24"/>
        </w:rPr>
        <w:t>“There</w:t>
      </w:r>
      <w:r w:rsidRPr="00F533A8">
        <w:rPr>
          <w:rFonts w:ascii="Arial" w:hAnsi="Arial" w:cs="Arial"/>
          <w:spacing w:val="-9"/>
          <w:sz w:val="24"/>
          <w:szCs w:val="24"/>
        </w:rPr>
        <w:t xml:space="preserve"> </w:t>
      </w:r>
      <w:r w:rsidRPr="00F533A8">
        <w:rPr>
          <w:rFonts w:ascii="Arial" w:hAnsi="Arial" w:cs="Arial"/>
          <w:sz w:val="24"/>
          <w:szCs w:val="24"/>
        </w:rPr>
        <w:t>were</w:t>
      </w:r>
      <w:r w:rsidRPr="00F533A8">
        <w:rPr>
          <w:rFonts w:ascii="Arial" w:hAnsi="Arial" w:cs="Arial"/>
          <w:spacing w:val="-9"/>
          <w:sz w:val="24"/>
          <w:szCs w:val="24"/>
        </w:rPr>
        <w:t xml:space="preserve"> </w:t>
      </w:r>
      <w:r w:rsidRPr="00F533A8">
        <w:rPr>
          <w:rFonts w:ascii="Arial" w:hAnsi="Arial" w:cs="Arial"/>
          <w:sz w:val="24"/>
          <w:szCs w:val="24"/>
        </w:rPr>
        <w:t>discrepancies</w:t>
      </w:r>
      <w:r w:rsidRPr="00F533A8">
        <w:rPr>
          <w:rFonts w:ascii="Arial" w:hAnsi="Arial" w:cs="Arial"/>
          <w:spacing w:val="-9"/>
          <w:sz w:val="24"/>
          <w:szCs w:val="24"/>
        </w:rPr>
        <w:t xml:space="preserve"> </w:t>
      </w:r>
      <w:r w:rsidRPr="00F533A8">
        <w:rPr>
          <w:rFonts w:ascii="Arial" w:hAnsi="Arial" w:cs="Arial"/>
          <w:sz w:val="24"/>
          <w:szCs w:val="24"/>
        </w:rPr>
        <w:t>during</w:t>
      </w:r>
      <w:r w:rsidRPr="00F533A8">
        <w:rPr>
          <w:rFonts w:ascii="Arial" w:hAnsi="Arial" w:cs="Arial"/>
          <w:spacing w:val="-11"/>
          <w:sz w:val="24"/>
          <w:szCs w:val="24"/>
        </w:rPr>
        <w:t xml:space="preserve"> </w:t>
      </w:r>
      <w:r w:rsidRPr="00F533A8">
        <w:rPr>
          <w:rFonts w:ascii="Arial" w:hAnsi="Arial" w:cs="Arial"/>
          <w:sz w:val="24"/>
          <w:szCs w:val="24"/>
        </w:rPr>
        <w:t>functionality</w:t>
      </w:r>
      <w:r w:rsidRPr="00F533A8">
        <w:rPr>
          <w:rFonts w:ascii="Arial" w:hAnsi="Arial" w:cs="Arial"/>
          <w:spacing w:val="-11"/>
          <w:sz w:val="24"/>
          <w:szCs w:val="24"/>
        </w:rPr>
        <w:t xml:space="preserve"> </w:t>
      </w:r>
      <w:r w:rsidRPr="00F533A8">
        <w:rPr>
          <w:rFonts w:ascii="Arial" w:hAnsi="Arial" w:cs="Arial"/>
          <w:sz w:val="24"/>
          <w:szCs w:val="24"/>
        </w:rPr>
        <w:t>evaluation</w:t>
      </w:r>
      <w:r w:rsidRPr="00F533A8">
        <w:rPr>
          <w:rFonts w:ascii="Arial" w:hAnsi="Arial" w:cs="Arial"/>
          <w:spacing w:val="-8"/>
          <w:sz w:val="24"/>
          <w:szCs w:val="24"/>
        </w:rPr>
        <w:t xml:space="preserve"> </w:t>
      </w:r>
      <w:r w:rsidRPr="00F533A8">
        <w:rPr>
          <w:rFonts w:ascii="Arial" w:hAnsi="Arial" w:cs="Arial"/>
          <w:sz w:val="24"/>
          <w:szCs w:val="24"/>
        </w:rPr>
        <w:t>in</w:t>
      </w:r>
      <w:r w:rsidRPr="00F533A8">
        <w:rPr>
          <w:rFonts w:ascii="Arial" w:hAnsi="Arial" w:cs="Arial"/>
          <w:spacing w:val="-9"/>
          <w:sz w:val="24"/>
          <w:szCs w:val="24"/>
        </w:rPr>
        <w:t xml:space="preserve"> </w:t>
      </w:r>
      <w:r w:rsidRPr="00F533A8">
        <w:rPr>
          <w:rFonts w:ascii="Arial" w:hAnsi="Arial" w:cs="Arial"/>
          <w:sz w:val="24"/>
          <w:szCs w:val="24"/>
        </w:rPr>
        <w:t>that</w:t>
      </w:r>
      <w:r w:rsidRPr="00F533A8">
        <w:rPr>
          <w:rFonts w:ascii="Arial" w:hAnsi="Arial" w:cs="Arial"/>
          <w:spacing w:val="-11"/>
          <w:sz w:val="24"/>
          <w:szCs w:val="24"/>
        </w:rPr>
        <w:t xml:space="preserve"> </w:t>
      </w:r>
      <w:r w:rsidRPr="00F533A8">
        <w:rPr>
          <w:rFonts w:ascii="Arial" w:hAnsi="Arial" w:cs="Arial"/>
          <w:sz w:val="24"/>
          <w:szCs w:val="24"/>
        </w:rPr>
        <w:t>the</w:t>
      </w:r>
      <w:r w:rsidRPr="00F533A8">
        <w:rPr>
          <w:rFonts w:ascii="Arial" w:hAnsi="Arial" w:cs="Arial"/>
          <w:spacing w:val="-8"/>
          <w:sz w:val="24"/>
          <w:szCs w:val="24"/>
        </w:rPr>
        <w:t xml:space="preserve"> </w:t>
      </w:r>
      <w:r w:rsidRPr="00F533A8">
        <w:rPr>
          <w:rFonts w:ascii="Arial" w:hAnsi="Arial" w:cs="Arial"/>
          <w:sz w:val="24"/>
          <w:szCs w:val="24"/>
        </w:rPr>
        <w:t>scores</w:t>
      </w:r>
      <w:r w:rsidRPr="00F533A8">
        <w:rPr>
          <w:rFonts w:ascii="Arial" w:hAnsi="Arial" w:cs="Arial"/>
          <w:spacing w:val="-8"/>
          <w:sz w:val="24"/>
          <w:szCs w:val="24"/>
        </w:rPr>
        <w:t xml:space="preserve"> </w:t>
      </w:r>
      <w:r w:rsidRPr="00F533A8">
        <w:rPr>
          <w:rFonts w:ascii="Arial" w:hAnsi="Arial" w:cs="Arial"/>
          <w:sz w:val="24"/>
          <w:szCs w:val="24"/>
        </w:rPr>
        <w:t>as</w:t>
      </w:r>
      <w:r w:rsidRPr="00F533A8">
        <w:rPr>
          <w:rFonts w:ascii="Arial" w:hAnsi="Arial" w:cs="Arial"/>
          <w:spacing w:val="-65"/>
          <w:sz w:val="24"/>
          <w:szCs w:val="24"/>
        </w:rPr>
        <w:t xml:space="preserve"> </w:t>
      </w:r>
      <w:r w:rsidRPr="00F533A8">
        <w:rPr>
          <w:rFonts w:ascii="Arial" w:hAnsi="Arial" w:cs="Arial"/>
          <w:sz w:val="24"/>
          <w:szCs w:val="24"/>
        </w:rPr>
        <w:t>allocated by the BEC are inconsistent and not in line with the sub</w:t>
      </w:r>
      <w:r w:rsidRPr="00F533A8">
        <w:rPr>
          <w:rFonts w:ascii="Arial" w:hAnsi="Arial" w:cs="Arial"/>
          <w:color w:val="FF0000"/>
          <w:sz w:val="24"/>
          <w:szCs w:val="24"/>
        </w:rPr>
        <w:t>-</w:t>
      </w:r>
      <w:r w:rsidRPr="00F533A8">
        <w:rPr>
          <w:rFonts w:ascii="Arial" w:hAnsi="Arial" w:cs="Arial"/>
          <w:sz w:val="24"/>
          <w:szCs w:val="24"/>
        </w:rPr>
        <w:t>criterion</w:t>
      </w:r>
      <w:r w:rsidRPr="00F533A8">
        <w:rPr>
          <w:rFonts w:ascii="Arial" w:hAnsi="Arial" w:cs="Arial"/>
          <w:spacing w:val="1"/>
          <w:sz w:val="24"/>
          <w:szCs w:val="24"/>
        </w:rPr>
        <w:t xml:space="preserve"> </w:t>
      </w:r>
      <w:r w:rsidRPr="00F533A8">
        <w:rPr>
          <w:rFonts w:ascii="Arial" w:hAnsi="Arial" w:cs="Arial"/>
          <w:sz w:val="24"/>
          <w:szCs w:val="24"/>
        </w:rPr>
        <w:t>provided in the bid documents. The BEC allocated scores differently and this</w:t>
      </w:r>
      <w:r w:rsidR="00704957" w:rsidRPr="00F533A8">
        <w:rPr>
          <w:rFonts w:ascii="Arial" w:hAnsi="Arial" w:cs="Arial"/>
          <w:sz w:val="24"/>
          <w:szCs w:val="24"/>
        </w:rPr>
        <w:t xml:space="preserve"> </w:t>
      </w:r>
      <w:r w:rsidRPr="00F533A8">
        <w:rPr>
          <w:rFonts w:ascii="Arial" w:hAnsi="Arial" w:cs="Arial"/>
          <w:spacing w:val="-64"/>
          <w:sz w:val="24"/>
          <w:szCs w:val="24"/>
        </w:rPr>
        <w:t xml:space="preserve"> </w:t>
      </w:r>
      <w:r w:rsidRPr="00F533A8">
        <w:rPr>
          <w:rFonts w:ascii="Arial" w:hAnsi="Arial" w:cs="Arial"/>
          <w:sz w:val="24"/>
          <w:szCs w:val="24"/>
        </w:rPr>
        <w:t>is</w:t>
      </w:r>
      <w:r w:rsidRPr="00F533A8">
        <w:rPr>
          <w:rFonts w:ascii="Arial" w:hAnsi="Arial" w:cs="Arial"/>
          <w:spacing w:val="1"/>
          <w:sz w:val="24"/>
          <w:szCs w:val="24"/>
        </w:rPr>
        <w:t xml:space="preserve"> </w:t>
      </w:r>
      <w:r w:rsidRPr="00F533A8">
        <w:rPr>
          <w:rFonts w:ascii="Arial" w:hAnsi="Arial" w:cs="Arial"/>
          <w:sz w:val="24"/>
          <w:szCs w:val="24"/>
        </w:rPr>
        <w:t>indicative</w:t>
      </w:r>
      <w:r w:rsidRPr="00F533A8">
        <w:rPr>
          <w:rFonts w:ascii="Arial" w:hAnsi="Arial" w:cs="Arial"/>
          <w:spacing w:val="1"/>
          <w:sz w:val="24"/>
          <w:szCs w:val="24"/>
        </w:rPr>
        <w:t xml:space="preserve"> </w:t>
      </w:r>
      <w:r w:rsidRPr="00F533A8">
        <w:rPr>
          <w:rFonts w:ascii="Arial" w:hAnsi="Arial" w:cs="Arial"/>
          <w:sz w:val="24"/>
          <w:szCs w:val="24"/>
        </w:rPr>
        <w:t>of</w:t>
      </w:r>
      <w:r w:rsidRPr="00F533A8">
        <w:rPr>
          <w:rFonts w:ascii="Arial" w:hAnsi="Arial" w:cs="Arial"/>
          <w:spacing w:val="1"/>
          <w:sz w:val="24"/>
          <w:szCs w:val="24"/>
        </w:rPr>
        <w:t xml:space="preserve"> </w:t>
      </w:r>
      <w:r w:rsidRPr="00F533A8">
        <w:rPr>
          <w:rFonts w:ascii="Arial" w:hAnsi="Arial" w:cs="Arial"/>
          <w:sz w:val="24"/>
          <w:szCs w:val="24"/>
        </w:rPr>
        <w:t>a</w:t>
      </w:r>
      <w:r w:rsidRPr="00F533A8">
        <w:rPr>
          <w:rFonts w:ascii="Arial" w:hAnsi="Arial" w:cs="Arial"/>
          <w:spacing w:val="1"/>
          <w:sz w:val="24"/>
          <w:szCs w:val="24"/>
        </w:rPr>
        <w:t xml:space="preserve"> </w:t>
      </w:r>
      <w:r w:rsidRPr="00F533A8">
        <w:rPr>
          <w:rFonts w:ascii="Arial" w:hAnsi="Arial" w:cs="Arial"/>
          <w:sz w:val="24"/>
          <w:szCs w:val="24"/>
        </w:rPr>
        <w:t>subjective</w:t>
      </w:r>
      <w:r w:rsidRPr="00F533A8">
        <w:rPr>
          <w:rFonts w:ascii="Arial" w:hAnsi="Arial" w:cs="Arial"/>
          <w:spacing w:val="1"/>
          <w:sz w:val="24"/>
          <w:szCs w:val="24"/>
        </w:rPr>
        <w:t xml:space="preserve"> </w:t>
      </w:r>
      <w:r w:rsidRPr="00F533A8">
        <w:rPr>
          <w:rFonts w:ascii="Arial" w:hAnsi="Arial" w:cs="Arial"/>
          <w:sz w:val="24"/>
          <w:szCs w:val="24"/>
        </w:rPr>
        <w:t>evaluation</w:t>
      </w:r>
      <w:r w:rsidRPr="00F533A8">
        <w:rPr>
          <w:rFonts w:ascii="Arial" w:hAnsi="Arial" w:cs="Arial"/>
          <w:spacing w:val="1"/>
          <w:sz w:val="24"/>
          <w:szCs w:val="24"/>
        </w:rPr>
        <w:t xml:space="preserve"> </w:t>
      </w:r>
      <w:r w:rsidRPr="00F533A8">
        <w:rPr>
          <w:rFonts w:ascii="Arial" w:hAnsi="Arial" w:cs="Arial"/>
          <w:sz w:val="24"/>
          <w:szCs w:val="24"/>
        </w:rPr>
        <w:t>process.</w:t>
      </w:r>
      <w:r w:rsidRPr="00F533A8">
        <w:rPr>
          <w:rFonts w:ascii="Arial" w:hAnsi="Arial" w:cs="Arial"/>
          <w:spacing w:val="1"/>
          <w:sz w:val="24"/>
          <w:szCs w:val="24"/>
        </w:rPr>
        <w:t xml:space="preserve"> </w:t>
      </w:r>
      <w:r w:rsidRPr="00F533A8">
        <w:rPr>
          <w:rFonts w:ascii="Arial" w:hAnsi="Arial" w:cs="Arial"/>
          <w:sz w:val="24"/>
          <w:szCs w:val="24"/>
        </w:rPr>
        <w:t>There</w:t>
      </w:r>
      <w:r w:rsidRPr="00F533A8">
        <w:rPr>
          <w:rFonts w:ascii="Arial" w:hAnsi="Arial" w:cs="Arial"/>
          <w:spacing w:val="1"/>
          <w:sz w:val="24"/>
          <w:szCs w:val="24"/>
        </w:rPr>
        <w:t xml:space="preserve"> </w:t>
      </w:r>
      <w:r w:rsidRPr="00F533A8">
        <w:rPr>
          <w:rFonts w:ascii="Arial" w:hAnsi="Arial" w:cs="Arial"/>
          <w:sz w:val="24"/>
          <w:szCs w:val="24"/>
        </w:rPr>
        <w:t>has</w:t>
      </w:r>
      <w:r w:rsidRPr="00F533A8">
        <w:rPr>
          <w:rFonts w:ascii="Arial" w:hAnsi="Arial" w:cs="Arial"/>
          <w:spacing w:val="1"/>
          <w:sz w:val="24"/>
          <w:szCs w:val="24"/>
        </w:rPr>
        <w:t xml:space="preserve"> </w:t>
      </w:r>
      <w:r w:rsidRPr="00F533A8">
        <w:rPr>
          <w:rFonts w:ascii="Arial" w:hAnsi="Arial" w:cs="Arial"/>
          <w:sz w:val="24"/>
          <w:szCs w:val="24"/>
        </w:rPr>
        <w:t>been</w:t>
      </w:r>
      <w:r w:rsidRPr="00F533A8">
        <w:rPr>
          <w:rFonts w:ascii="Arial" w:hAnsi="Arial" w:cs="Arial"/>
          <w:spacing w:val="1"/>
          <w:sz w:val="24"/>
          <w:szCs w:val="24"/>
        </w:rPr>
        <w:t xml:space="preserve"> </w:t>
      </w:r>
      <w:r w:rsidRPr="00F533A8">
        <w:rPr>
          <w:rFonts w:ascii="Arial" w:hAnsi="Arial" w:cs="Arial"/>
          <w:sz w:val="24"/>
          <w:szCs w:val="24"/>
        </w:rPr>
        <w:t>non-</w:t>
      </w:r>
      <w:r w:rsidRPr="00F533A8">
        <w:rPr>
          <w:rFonts w:ascii="Arial" w:hAnsi="Arial" w:cs="Arial"/>
          <w:spacing w:val="1"/>
          <w:sz w:val="24"/>
          <w:szCs w:val="24"/>
        </w:rPr>
        <w:t xml:space="preserve"> </w:t>
      </w:r>
      <w:r w:rsidRPr="00F533A8">
        <w:rPr>
          <w:rFonts w:ascii="Arial" w:hAnsi="Arial" w:cs="Arial"/>
          <w:sz w:val="24"/>
          <w:szCs w:val="24"/>
        </w:rPr>
        <w:t>compliance</w:t>
      </w:r>
      <w:r w:rsidRPr="00F533A8">
        <w:rPr>
          <w:rFonts w:ascii="Arial" w:hAnsi="Arial" w:cs="Arial"/>
          <w:spacing w:val="-7"/>
          <w:sz w:val="24"/>
          <w:szCs w:val="24"/>
        </w:rPr>
        <w:t xml:space="preserve"> </w:t>
      </w:r>
      <w:r w:rsidRPr="00F533A8">
        <w:rPr>
          <w:rFonts w:ascii="Arial" w:hAnsi="Arial" w:cs="Arial"/>
          <w:sz w:val="24"/>
          <w:szCs w:val="24"/>
        </w:rPr>
        <w:t>with</w:t>
      </w:r>
      <w:r w:rsidRPr="00F533A8">
        <w:rPr>
          <w:rFonts w:ascii="Arial" w:hAnsi="Arial" w:cs="Arial"/>
          <w:spacing w:val="-5"/>
          <w:sz w:val="24"/>
          <w:szCs w:val="24"/>
        </w:rPr>
        <w:t xml:space="preserve"> </w:t>
      </w:r>
      <w:r w:rsidRPr="00F533A8">
        <w:rPr>
          <w:rFonts w:ascii="Arial" w:hAnsi="Arial" w:cs="Arial"/>
          <w:sz w:val="24"/>
          <w:szCs w:val="24"/>
        </w:rPr>
        <w:t>Section</w:t>
      </w:r>
      <w:r w:rsidRPr="00F533A8">
        <w:rPr>
          <w:rFonts w:ascii="Arial" w:hAnsi="Arial" w:cs="Arial"/>
          <w:spacing w:val="-4"/>
          <w:sz w:val="24"/>
          <w:szCs w:val="24"/>
        </w:rPr>
        <w:t xml:space="preserve"> </w:t>
      </w:r>
      <w:r w:rsidRPr="00F533A8">
        <w:rPr>
          <w:rFonts w:ascii="Arial" w:hAnsi="Arial" w:cs="Arial"/>
          <w:sz w:val="24"/>
          <w:szCs w:val="24"/>
        </w:rPr>
        <w:t>5</w:t>
      </w:r>
      <w:r w:rsidRPr="00F533A8">
        <w:rPr>
          <w:rFonts w:ascii="Arial" w:hAnsi="Arial" w:cs="Arial"/>
          <w:spacing w:val="-4"/>
          <w:sz w:val="24"/>
          <w:szCs w:val="24"/>
        </w:rPr>
        <w:t xml:space="preserve"> </w:t>
      </w:r>
      <w:r w:rsidRPr="00F533A8">
        <w:rPr>
          <w:rFonts w:ascii="Arial" w:hAnsi="Arial" w:cs="Arial"/>
          <w:sz w:val="24"/>
          <w:szCs w:val="24"/>
        </w:rPr>
        <w:t>(1-3)</w:t>
      </w:r>
      <w:r w:rsidRPr="00F533A8">
        <w:rPr>
          <w:rFonts w:ascii="Arial" w:hAnsi="Arial" w:cs="Arial"/>
          <w:spacing w:val="-5"/>
          <w:sz w:val="24"/>
          <w:szCs w:val="24"/>
        </w:rPr>
        <w:t xml:space="preserve"> </w:t>
      </w:r>
      <w:r w:rsidRPr="00F533A8">
        <w:rPr>
          <w:rFonts w:ascii="Arial" w:hAnsi="Arial" w:cs="Arial"/>
          <w:sz w:val="24"/>
          <w:szCs w:val="24"/>
        </w:rPr>
        <w:t>of</w:t>
      </w:r>
      <w:r w:rsidRPr="00F533A8">
        <w:rPr>
          <w:rFonts w:ascii="Arial" w:hAnsi="Arial" w:cs="Arial"/>
          <w:spacing w:val="-5"/>
          <w:sz w:val="24"/>
          <w:szCs w:val="24"/>
        </w:rPr>
        <w:t xml:space="preserve"> </w:t>
      </w:r>
      <w:r w:rsidRPr="00F533A8">
        <w:rPr>
          <w:rFonts w:ascii="Arial" w:hAnsi="Arial" w:cs="Arial"/>
          <w:sz w:val="24"/>
          <w:szCs w:val="24"/>
        </w:rPr>
        <w:t>the</w:t>
      </w:r>
      <w:r w:rsidRPr="00F533A8">
        <w:rPr>
          <w:rFonts w:ascii="Arial" w:hAnsi="Arial" w:cs="Arial"/>
          <w:spacing w:val="-6"/>
          <w:sz w:val="24"/>
          <w:szCs w:val="24"/>
        </w:rPr>
        <w:t xml:space="preserve"> </w:t>
      </w:r>
      <w:r w:rsidRPr="00F533A8">
        <w:rPr>
          <w:rFonts w:ascii="Arial" w:hAnsi="Arial" w:cs="Arial"/>
          <w:sz w:val="24"/>
          <w:szCs w:val="24"/>
        </w:rPr>
        <w:t>Preferential</w:t>
      </w:r>
      <w:r w:rsidRPr="00F533A8">
        <w:rPr>
          <w:rFonts w:ascii="Arial" w:hAnsi="Arial" w:cs="Arial"/>
          <w:spacing w:val="-6"/>
          <w:sz w:val="24"/>
          <w:szCs w:val="24"/>
        </w:rPr>
        <w:t xml:space="preserve"> </w:t>
      </w:r>
      <w:r w:rsidRPr="00F533A8">
        <w:rPr>
          <w:rFonts w:ascii="Arial" w:hAnsi="Arial" w:cs="Arial"/>
          <w:sz w:val="24"/>
          <w:szCs w:val="24"/>
        </w:rPr>
        <w:t>Procurement</w:t>
      </w:r>
      <w:r w:rsidRPr="00F533A8">
        <w:rPr>
          <w:rFonts w:ascii="Arial" w:hAnsi="Arial" w:cs="Arial"/>
          <w:spacing w:val="-6"/>
          <w:sz w:val="24"/>
          <w:szCs w:val="24"/>
        </w:rPr>
        <w:t xml:space="preserve"> </w:t>
      </w:r>
      <w:r w:rsidRPr="00F533A8">
        <w:rPr>
          <w:rFonts w:ascii="Arial" w:hAnsi="Arial" w:cs="Arial"/>
          <w:sz w:val="24"/>
          <w:szCs w:val="24"/>
        </w:rPr>
        <w:t>Regulations,</w:t>
      </w:r>
      <w:r w:rsidR="00950183" w:rsidRPr="00F533A8">
        <w:rPr>
          <w:rFonts w:ascii="Arial" w:hAnsi="Arial" w:cs="Arial"/>
          <w:sz w:val="24"/>
          <w:szCs w:val="24"/>
        </w:rPr>
        <w:t xml:space="preserve"> </w:t>
      </w:r>
      <w:r w:rsidRPr="00F533A8">
        <w:rPr>
          <w:rFonts w:ascii="Arial" w:hAnsi="Arial" w:cs="Arial"/>
          <w:sz w:val="24"/>
          <w:szCs w:val="24"/>
        </w:rPr>
        <w:t>which requires an objective process and for the tender documents to state</w:t>
      </w:r>
      <w:r w:rsidRPr="00F533A8">
        <w:rPr>
          <w:rFonts w:ascii="Arial" w:hAnsi="Arial" w:cs="Arial"/>
          <w:spacing w:val="1"/>
          <w:sz w:val="24"/>
          <w:szCs w:val="24"/>
        </w:rPr>
        <w:t xml:space="preserve"> </w:t>
      </w:r>
      <w:r w:rsidRPr="00F533A8">
        <w:rPr>
          <w:rFonts w:ascii="Arial" w:hAnsi="Arial" w:cs="Arial"/>
          <w:sz w:val="24"/>
          <w:szCs w:val="24"/>
        </w:rPr>
        <w:t>whether the tender will be evaluated on functionality and to specify the</w:t>
      </w:r>
      <w:r w:rsidRPr="00F533A8">
        <w:rPr>
          <w:rFonts w:ascii="Arial" w:hAnsi="Arial" w:cs="Arial"/>
          <w:spacing w:val="1"/>
          <w:sz w:val="24"/>
          <w:szCs w:val="24"/>
        </w:rPr>
        <w:t xml:space="preserve"> </w:t>
      </w:r>
      <w:r w:rsidRPr="00F533A8">
        <w:rPr>
          <w:rFonts w:ascii="Arial" w:hAnsi="Arial" w:cs="Arial"/>
          <w:sz w:val="24"/>
          <w:szCs w:val="24"/>
        </w:rPr>
        <w:t>evaluation criteria for functionality, the points for each sub-criterion and the</w:t>
      </w:r>
      <w:r w:rsidRPr="00F533A8">
        <w:rPr>
          <w:rFonts w:ascii="Arial" w:hAnsi="Arial" w:cs="Arial"/>
          <w:spacing w:val="1"/>
          <w:sz w:val="24"/>
          <w:szCs w:val="24"/>
        </w:rPr>
        <w:t xml:space="preserve"> </w:t>
      </w:r>
      <w:r w:rsidRPr="00F533A8">
        <w:rPr>
          <w:rFonts w:ascii="Arial" w:hAnsi="Arial" w:cs="Arial"/>
          <w:sz w:val="24"/>
          <w:szCs w:val="24"/>
        </w:rPr>
        <w:t>minimum</w:t>
      </w:r>
      <w:r w:rsidRPr="00F533A8">
        <w:rPr>
          <w:rFonts w:ascii="Arial" w:hAnsi="Arial" w:cs="Arial"/>
          <w:spacing w:val="-2"/>
          <w:sz w:val="24"/>
          <w:szCs w:val="24"/>
        </w:rPr>
        <w:t xml:space="preserve"> </w:t>
      </w:r>
      <w:r w:rsidRPr="00F533A8">
        <w:rPr>
          <w:rFonts w:ascii="Arial" w:hAnsi="Arial" w:cs="Arial"/>
          <w:sz w:val="24"/>
          <w:szCs w:val="24"/>
        </w:rPr>
        <w:t>qualifying</w:t>
      </w:r>
      <w:r w:rsidRPr="00F533A8">
        <w:rPr>
          <w:rFonts w:ascii="Arial" w:hAnsi="Arial" w:cs="Arial"/>
          <w:spacing w:val="-1"/>
          <w:sz w:val="24"/>
          <w:szCs w:val="24"/>
        </w:rPr>
        <w:t xml:space="preserve"> </w:t>
      </w:r>
      <w:r w:rsidRPr="00F533A8">
        <w:rPr>
          <w:rFonts w:ascii="Arial" w:hAnsi="Arial" w:cs="Arial"/>
          <w:sz w:val="24"/>
          <w:szCs w:val="24"/>
        </w:rPr>
        <w:t>score</w:t>
      </w:r>
      <w:r w:rsidRPr="00F533A8">
        <w:rPr>
          <w:rFonts w:ascii="Arial" w:hAnsi="Arial" w:cs="Arial"/>
          <w:spacing w:val="-2"/>
          <w:sz w:val="24"/>
          <w:szCs w:val="24"/>
        </w:rPr>
        <w:t xml:space="preserve"> </w:t>
      </w:r>
      <w:r w:rsidRPr="00F533A8">
        <w:rPr>
          <w:rFonts w:ascii="Arial" w:hAnsi="Arial" w:cs="Arial"/>
          <w:sz w:val="24"/>
          <w:szCs w:val="24"/>
        </w:rPr>
        <w:t>for</w:t>
      </w:r>
      <w:r w:rsidRPr="00F533A8">
        <w:rPr>
          <w:rFonts w:ascii="Arial" w:hAnsi="Arial" w:cs="Arial"/>
          <w:spacing w:val="-3"/>
          <w:sz w:val="24"/>
          <w:szCs w:val="24"/>
        </w:rPr>
        <w:t xml:space="preserve"> </w:t>
      </w:r>
      <w:r w:rsidRPr="00F533A8">
        <w:rPr>
          <w:rFonts w:ascii="Arial" w:hAnsi="Arial" w:cs="Arial"/>
          <w:sz w:val="24"/>
          <w:szCs w:val="24"/>
        </w:rPr>
        <w:t>functionality.”</w:t>
      </w:r>
    </w:p>
    <w:p w14:paraId="79F19080" w14:textId="77777777" w:rsidR="00C9498A" w:rsidRPr="00F533A8" w:rsidRDefault="00C9498A" w:rsidP="00E212A8">
      <w:pPr>
        <w:tabs>
          <w:tab w:val="left" w:pos="851"/>
        </w:tabs>
        <w:spacing w:line="360" w:lineRule="auto"/>
        <w:jc w:val="both"/>
        <w:rPr>
          <w:rFonts w:ascii="Arial" w:hAnsi="Arial" w:cs="Arial"/>
          <w:sz w:val="24"/>
          <w:szCs w:val="24"/>
        </w:rPr>
      </w:pPr>
    </w:p>
    <w:p w14:paraId="1E210C8E" w14:textId="499478F9" w:rsidR="00440306" w:rsidRPr="00F533A8" w:rsidRDefault="00950183"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704957" w:rsidRPr="00F533A8">
        <w:rPr>
          <w:rFonts w:ascii="Arial" w:hAnsi="Arial" w:cs="Arial"/>
          <w:sz w:val="24"/>
          <w:szCs w:val="24"/>
        </w:rPr>
        <w:t>77</w:t>
      </w:r>
      <w:r w:rsidRPr="00F533A8">
        <w:rPr>
          <w:rFonts w:ascii="Arial" w:hAnsi="Arial" w:cs="Arial"/>
          <w:sz w:val="24"/>
          <w:szCs w:val="24"/>
        </w:rPr>
        <w:t>]</w:t>
      </w:r>
      <w:r w:rsidR="00396285">
        <w:rPr>
          <w:rFonts w:ascii="Arial" w:hAnsi="Arial" w:cs="Arial"/>
          <w:sz w:val="24"/>
          <w:szCs w:val="24"/>
        </w:rPr>
        <w:tab/>
      </w:r>
      <w:r w:rsidRPr="00F533A8">
        <w:rPr>
          <w:rFonts w:ascii="Arial" w:hAnsi="Arial" w:cs="Arial"/>
          <w:sz w:val="24"/>
          <w:szCs w:val="24"/>
        </w:rPr>
        <w:t>Its supplementary founding affidavit does not reflect that the SIU investigated this finding. It seeks to rely on it without placing any evidence before the Tribunal that would justify such a finding by the Tribunal. Nonetheless, Nexor answered to this unsubstantiated allegation. It had called on the SIU to discover minutes of the Tender Evaluation Committee meeting convened on 13 March 2018 and the score sheets of the members who served on the Functionality Evaluation Panel in terms of Uniform Rule 35(12). These documents reflect the evaluation criteria which were utilised in the functionality assessments were the very criteria prescribed in the amended tender document</w:t>
      </w:r>
      <w:r w:rsidR="00E212A8">
        <w:rPr>
          <w:rFonts w:ascii="Arial" w:hAnsi="Arial" w:cs="Arial"/>
          <w:sz w:val="24"/>
          <w:szCs w:val="24"/>
        </w:rPr>
        <w:t xml:space="preserve"> as set out</w:t>
      </w:r>
      <w:r w:rsidRPr="00F533A8">
        <w:rPr>
          <w:rFonts w:ascii="Arial" w:hAnsi="Arial" w:cs="Arial"/>
          <w:sz w:val="24"/>
          <w:szCs w:val="24"/>
        </w:rPr>
        <w:t>.  Nexor contends that it is therefore misleading and dishonest for</w:t>
      </w:r>
      <w:r w:rsidRPr="00F533A8">
        <w:rPr>
          <w:rFonts w:ascii="Arial" w:hAnsi="Arial" w:cs="Arial"/>
          <w:b/>
          <w:bCs/>
          <w:sz w:val="24"/>
          <w:szCs w:val="24"/>
        </w:rPr>
        <w:t xml:space="preserve"> </w:t>
      </w:r>
      <w:r w:rsidR="00440306" w:rsidRPr="00F533A8">
        <w:rPr>
          <w:rFonts w:ascii="Arial" w:hAnsi="Arial" w:cs="Arial"/>
          <w:sz w:val="24"/>
          <w:szCs w:val="24"/>
        </w:rPr>
        <w:t xml:space="preserve">SIU investigator </w:t>
      </w:r>
      <w:r w:rsidRPr="00F533A8">
        <w:rPr>
          <w:rFonts w:ascii="Arial" w:hAnsi="Arial" w:cs="Arial"/>
          <w:sz w:val="24"/>
          <w:szCs w:val="24"/>
        </w:rPr>
        <w:t xml:space="preserve">to suggest that </w:t>
      </w:r>
      <w:r w:rsidR="00440306" w:rsidRPr="00F533A8">
        <w:rPr>
          <w:rFonts w:ascii="Arial" w:hAnsi="Arial" w:cs="Arial"/>
          <w:sz w:val="24"/>
          <w:szCs w:val="24"/>
        </w:rPr>
        <w:t xml:space="preserve">Mr S.S. </w:t>
      </w:r>
      <w:r w:rsidRPr="00F533A8">
        <w:rPr>
          <w:rFonts w:ascii="Arial" w:hAnsi="Arial" w:cs="Arial"/>
          <w:sz w:val="24"/>
          <w:szCs w:val="24"/>
        </w:rPr>
        <w:t xml:space="preserve">Nkosi prescribed amended evaluation criteria.  </w:t>
      </w:r>
    </w:p>
    <w:p w14:paraId="07B381BB" w14:textId="77777777" w:rsidR="00440306" w:rsidRPr="00F533A8" w:rsidRDefault="00440306" w:rsidP="00E212A8">
      <w:pPr>
        <w:tabs>
          <w:tab w:val="left" w:pos="851"/>
        </w:tabs>
        <w:spacing w:line="360" w:lineRule="auto"/>
        <w:jc w:val="both"/>
        <w:rPr>
          <w:rFonts w:ascii="Arial" w:hAnsi="Arial" w:cs="Arial"/>
          <w:sz w:val="24"/>
          <w:szCs w:val="24"/>
        </w:rPr>
      </w:pPr>
    </w:p>
    <w:p w14:paraId="024EE350" w14:textId="5AA61909" w:rsidR="004876C9" w:rsidRPr="00F533A8" w:rsidRDefault="00440306"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704957" w:rsidRPr="00F533A8">
        <w:rPr>
          <w:rFonts w:ascii="Arial" w:hAnsi="Arial" w:cs="Arial"/>
          <w:sz w:val="24"/>
          <w:szCs w:val="24"/>
        </w:rPr>
        <w:t>78</w:t>
      </w:r>
      <w:r w:rsidRPr="00F533A8">
        <w:rPr>
          <w:rFonts w:ascii="Arial" w:hAnsi="Arial" w:cs="Arial"/>
          <w:sz w:val="24"/>
          <w:szCs w:val="24"/>
        </w:rPr>
        <w:t>]</w:t>
      </w:r>
      <w:r w:rsidR="00396285">
        <w:rPr>
          <w:rFonts w:ascii="Arial" w:hAnsi="Arial" w:cs="Arial"/>
          <w:sz w:val="24"/>
          <w:szCs w:val="24"/>
        </w:rPr>
        <w:tab/>
      </w:r>
      <w:r w:rsidR="00950183" w:rsidRPr="00F533A8">
        <w:rPr>
          <w:rFonts w:ascii="Arial" w:hAnsi="Arial" w:cs="Arial"/>
          <w:sz w:val="24"/>
          <w:szCs w:val="24"/>
        </w:rPr>
        <w:t xml:space="preserve">The functionality criteria of the amended tender were reflected </w:t>
      </w:r>
      <w:r w:rsidR="00704957" w:rsidRPr="00F533A8">
        <w:rPr>
          <w:rFonts w:ascii="Arial" w:hAnsi="Arial" w:cs="Arial"/>
          <w:sz w:val="24"/>
          <w:szCs w:val="24"/>
        </w:rPr>
        <w:t>in the relevant tender document as</w:t>
      </w:r>
      <w:r w:rsidR="00950183" w:rsidRPr="00F533A8">
        <w:rPr>
          <w:rFonts w:ascii="Arial" w:hAnsi="Arial" w:cs="Arial"/>
          <w:sz w:val="24"/>
          <w:szCs w:val="24"/>
        </w:rPr>
        <w:t xml:space="preserve"> evident from annexure “VM9:104”.  In house resources made up only 6% of the evaluation criteria and survey equipment only 14% thereof. Evaluation Schedules 1 to 6 referred to in the amended</w:t>
      </w:r>
      <w:r w:rsidRPr="00F533A8">
        <w:rPr>
          <w:rFonts w:ascii="Arial" w:hAnsi="Arial" w:cs="Arial"/>
          <w:sz w:val="24"/>
          <w:szCs w:val="24"/>
        </w:rPr>
        <w:t xml:space="preserve"> </w:t>
      </w:r>
      <w:r w:rsidR="00950183" w:rsidRPr="00F533A8">
        <w:rPr>
          <w:rFonts w:ascii="Arial" w:hAnsi="Arial" w:cs="Arial"/>
          <w:sz w:val="24"/>
          <w:szCs w:val="24"/>
        </w:rPr>
        <w:t xml:space="preserve">tender “VM9:104” and “VM9:129-136” which were part of the amended tender were also relied upon in the functionality assessment thereof. Annexure “VM9:104” and “VM9:105” reflected that the scores of each of the evaluators would be averaged, </w:t>
      </w:r>
      <w:r w:rsidR="008C1523" w:rsidRPr="00F533A8">
        <w:rPr>
          <w:rFonts w:ascii="Arial" w:hAnsi="Arial" w:cs="Arial"/>
          <w:sz w:val="24"/>
          <w:szCs w:val="24"/>
        </w:rPr>
        <w:t>weighted,</w:t>
      </w:r>
      <w:r w:rsidR="00950183" w:rsidRPr="00F533A8">
        <w:rPr>
          <w:rFonts w:ascii="Arial" w:hAnsi="Arial" w:cs="Arial"/>
          <w:sz w:val="24"/>
          <w:szCs w:val="24"/>
        </w:rPr>
        <w:t xml:space="preserve"> and then totalled to obtain the final scores.</w:t>
      </w:r>
      <w:r w:rsidRPr="00F533A8">
        <w:rPr>
          <w:rFonts w:ascii="Arial" w:hAnsi="Arial" w:cs="Arial"/>
          <w:sz w:val="24"/>
          <w:szCs w:val="24"/>
        </w:rPr>
        <w:t xml:space="preserve"> </w:t>
      </w:r>
      <w:r w:rsidR="00E014F0" w:rsidRPr="00F533A8">
        <w:rPr>
          <w:rFonts w:ascii="Arial" w:hAnsi="Arial" w:cs="Arial"/>
          <w:sz w:val="24"/>
          <w:szCs w:val="24"/>
        </w:rPr>
        <w:t>A</w:t>
      </w:r>
      <w:r w:rsidR="00950183" w:rsidRPr="00F533A8">
        <w:rPr>
          <w:rFonts w:ascii="Arial" w:hAnsi="Arial" w:cs="Arial"/>
          <w:sz w:val="24"/>
          <w:szCs w:val="24"/>
        </w:rPr>
        <w:t xml:space="preserve">nnexure “VM15:194-219”, </w:t>
      </w:r>
      <w:r w:rsidR="00E014F0" w:rsidRPr="00F533A8">
        <w:rPr>
          <w:rFonts w:ascii="Arial" w:hAnsi="Arial" w:cs="Arial"/>
          <w:sz w:val="24"/>
          <w:szCs w:val="24"/>
        </w:rPr>
        <w:t xml:space="preserve">reflects that </w:t>
      </w:r>
      <w:r w:rsidR="00950183" w:rsidRPr="00F533A8">
        <w:rPr>
          <w:rFonts w:ascii="Arial" w:hAnsi="Arial" w:cs="Arial"/>
          <w:sz w:val="24"/>
          <w:szCs w:val="24"/>
        </w:rPr>
        <w:t>the said criteria w</w:t>
      </w:r>
      <w:r w:rsidR="00E014F0" w:rsidRPr="00F533A8">
        <w:rPr>
          <w:rFonts w:ascii="Arial" w:hAnsi="Arial" w:cs="Arial"/>
          <w:sz w:val="24"/>
          <w:szCs w:val="24"/>
        </w:rPr>
        <w:t>ere</w:t>
      </w:r>
      <w:r w:rsidR="00950183" w:rsidRPr="00F533A8">
        <w:rPr>
          <w:rFonts w:ascii="Arial" w:hAnsi="Arial" w:cs="Arial"/>
          <w:sz w:val="24"/>
          <w:szCs w:val="24"/>
        </w:rPr>
        <w:t xml:space="preserve"> relied upon in the functionality assessment of the four (4) qualifying </w:t>
      </w:r>
      <w:r w:rsidR="00704957" w:rsidRPr="00F533A8">
        <w:rPr>
          <w:rFonts w:ascii="Arial" w:hAnsi="Arial" w:cs="Arial"/>
          <w:sz w:val="24"/>
          <w:szCs w:val="24"/>
        </w:rPr>
        <w:t>bids</w:t>
      </w:r>
      <w:r w:rsidR="00950183" w:rsidRPr="00F533A8">
        <w:rPr>
          <w:rFonts w:ascii="Arial" w:hAnsi="Arial" w:cs="Arial"/>
          <w:sz w:val="24"/>
          <w:szCs w:val="24"/>
        </w:rPr>
        <w:t xml:space="preserve"> that were assessed for functionality.</w:t>
      </w:r>
    </w:p>
    <w:p w14:paraId="096457EE" w14:textId="77777777" w:rsidR="004876C9" w:rsidRPr="00F533A8" w:rsidRDefault="004876C9" w:rsidP="00E212A8">
      <w:pPr>
        <w:tabs>
          <w:tab w:val="left" w:pos="851"/>
        </w:tabs>
        <w:spacing w:line="360" w:lineRule="auto"/>
        <w:jc w:val="both"/>
        <w:rPr>
          <w:rFonts w:ascii="Arial" w:hAnsi="Arial" w:cs="Arial"/>
          <w:sz w:val="24"/>
          <w:szCs w:val="24"/>
        </w:rPr>
      </w:pPr>
    </w:p>
    <w:p w14:paraId="61F3C2BD" w14:textId="019B49F7" w:rsidR="004876C9" w:rsidRPr="00F533A8" w:rsidRDefault="004876C9" w:rsidP="00E212A8">
      <w:pPr>
        <w:tabs>
          <w:tab w:val="left" w:pos="1041"/>
        </w:tabs>
        <w:spacing w:before="208" w:line="360" w:lineRule="auto"/>
        <w:ind w:right="132"/>
        <w:jc w:val="both"/>
        <w:rPr>
          <w:rFonts w:ascii="Arial" w:hAnsi="Arial" w:cs="Arial"/>
          <w:sz w:val="24"/>
          <w:szCs w:val="24"/>
        </w:rPr>
      </w:pPr>
      <w:r w:rsidRPr="00F533A8">
        <w:rPr>
          <w:rFonts w:ascii="Arial" w:hAnsi="Arial" w:cs="Arial"/>
          <w:sz w:val="24"/>
          <w:szCs w:val="24"/>
        </w:rPr>
        <w:t>[79]</w:t>
      </w:r>
      <w:r w:rsidR="00396285">
        <w:rPr>
          <w:rFonts w:ascii="Arial" w:hAnsi="Arial" w:cs="Arial"/>
          <w:sz w:val="24"/>
          <w:szCs w:val="24"/>
        </w:rPr>
        <w:tab/>
      </w:r>
      <w:r w:rsidRPr="00F533A8">
        <w:rPr>
          <w:rFonts w:ascii="Arial" w:hAnsi="Arial" w:cs="Arial"/>
          <w:sz w:val="24"/>
          <w:szCs w:val="24"/>
        </w:rPr>
        <w:t xml:space="preserve">The SIU simply dismissed Nexor’s version by questioning its qualification to rely on this evidence, contending that it is inappropriately speaking for the DOT. Only in its supplementary replying affidavit does it seek to rely on the affidavit of Ntombela who apparently deals adequately with the issue of score sheets without specifically stating what it found in its investigation in respect of the relevant issues. Pertinently, the SIU has failed to deal with Nexor version drawn from the DOT’s documents referenced above.  </w:t>
      </w:r>
    </w:p>
    <w:p w14:paraId="54051497" w14:textId="77777777" w:rsidR="004876C9" w:rsidRPr="00F533A8" w:rsidRDefault="004876C9" w:rsidP="00E212A8">
      <w:pPr>
        <w:tabs>
          <w:tab w:val="left" w:pos="851"/>
        </w:tabs>
        <w:spacing w:line="360" w:lineRule="auto"/>
        <w:jc w:val="both"/>
        <w:rPr>
          <w:rFonts w:ascii="Arial" w:hAnsi="Arial" w:cs="Arial"/>
          <w:sz w:val="24"/>
          <w:szCs w:val="24"/>
        </w:rPr>
      </w:pPr>
    </w:p>
    <w:p w14:paraId="3351E6A7" w14:textId="04F35014" w:rsidR="004876C9" w:rsidRPr="00F533A8" w:rsidRDefault="00704957"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4876C9" w:rsidRPr="00F533A8">
        <w:rPr>
          <w:rFonts w:ascii="Arial" w:hAnsi="Arial" w:cs="Arial"/>
          <w:sz w:val="24"/>
          <w:szCs w:val="24"/>
        </w:rPr>
        <w:t>80</w:t>
      </w:r>
      <w:r w:rsidRPr="00F533A8">
        <w:rPr>
          <w:rFonts w:ascii="Arial" w:hAnsi="Arial" w:cs="Arial"/>
          <w:sz w:val="24"/>
          <w:szCs w:val="24"/>
        </w:rPr>
        <w:t>]</w:t>
      </w:r>
      <w:r w:rsidRPr="00F533A8">
        <w:rPr>
          <w:rFonts w:ascii="Arial" w:hAnsi="Arial" w:cs="Arial"/>
          <w:sz w:val="24"/>
          <w:szCs w:val="24"/>
        </w:rPr>
        <w:tab/>
        <w:t xml:space="preserve">According to </w:t>
      </w:r>
      <w:r w:rsidR="004876C9" w:rsidRPr="00F533A8">
        <w:rPr>
          <w:rFonts w:ascii="Arial" w:hAnsi="Arial" w:cs="Arial"/>
          <w:sz w:val="24"/>
          <w:szCs w:val="24"/>
        </w:rPr>
        <w:t xml:space="preserve">DOT, when the SIU investigator interviewed him, Mr Thabang Nkosi explained what transpired in the TBEC meeting when the tender was evaluated. When it made its findings, the SIU has ignored both the minutes and the explanation. The SIU findings are inconsistent with Mr Thabang Nkosi’s version.  </w:t>
      </w:r>
    </w:p>
    <w:p w14:paraId="47CE850A" w14:textId="77777777" w:rsidR="004876C9" w:rsidRPr="00F533A8" w:rsidRDefault="004876C9" w:rsidP="00E212A8">
      <w:pPr>
        <w:tabs>
          <w:tab w:val="left" w:pos="851"/>
        </w:tabs>
        <w:spacing w:line="360" w:lineRule="auto"/>
        <w:jc w:val="both"/>
        <w:rPr>
          <w:rFonts w:ascii="Arial" w:hAnsi="Arial" w:cs="Arial"/>
          <w:sz w:val="24"/>
          <w:szCs w:val="24"/>
        </w:rPr>
      </w:pPr>
    </w:p>
    <w:p w14:paraId="4BEE2197" w14:textId="6D6412C2" w:rsidR="00704957" w:rsidRPr="00F533A8" w:rsidRDefault="00704957" w:rsidP="00E212A8">
      <w:pPr>
        <w:tabs>
          <w:tab w:val="left" w:pos="1041"/>
        </w:tabs>
        <w:spacing w:before="208" w:line="360" w:lineRule="auto"/>
        <w:ind w:right="132"/>
        <w:jc w:val="both"/>
        <w:rPr>
          <w:rFonts w:ascii="Arial" w:hAnsi="Arial" w:cs="Arial"/>
          <w:sz w:val="24"/>
          <w:szCs w:val="24"/>
        </w:rPr>
      </w:pPr>
      <w:r w:rsidRPr="00F533A8">
        <w:rPr>
          <w:rFonts w:ascii="Arial" w:hAnsi="Arial" w:cs="Arial"/>
          <w:sz w:val="24"/>
          <w:szCs w:val="24"/>
        </w:rPr>
        <w:t>[8</w:t>
      </w:r>
      <w:r w:rsidR="004876C9" w:rsidRPr="00F533A8">
        <w:rPr>
          <w:rFonts w:ascii="Arial" w:hAnsi="Arial" w:cs="Arial"/>
          <w:sz w:val="24"/>
          <w:szCs w:val="24"/>
        </w:rPr>
        <w:t>1</w:t>
      </w:r>
      <w:r w:rsidRPr="00F533A8">
        <w:rPr>
          <w:rFonts w:ascii="Arial" w:hAnsi="Arial" w:cs="Arial"/>
          <w:sz w:val="24"/>
          <w:szCs w:val="24"/>
        </w:rPr>
        <w:t>]</w:t>
      </w:r>
      <w:r w:rsidRPr="00F533A8">
        <w:rPr>
          <w:rFonts w:ascii="Arial" w:hAnsi="Arial" w:cs="Arial"/>
          <w:sz w:val="24"/>
          <w:szCs w:val="24"/>
        </w:rPr>
        <w:tab/>
      </w:r>
      <w:r w:rsidR="004876C9" w:rsidRPr="00F533A8">
        <w:rPr>
          <w:rFonts w:ascii="Arial" w:hAnsi="Arial" w:cs="Arial"/>
          <w:sz w:val="24"/>
          <w:szCs w:val="24"/>
        </w:rPr>
        <w:t xml:space="preserve">In reply, the SIU reiterates its reliance on </w:t>
      </w:r>
      <w:r w:rsidR="00701E48">
        <w:rPr>
          <w:rFonts w:ascii="Arial" w:hAnsi="Arial" w:cs="Arial"/>
          <w:sz w:val="24"/>
          <w:szCs w:val="24"/>
        </w:rPr>
        <w:t>AGSA</w:t>
      </w:r>
      <w:r w:rsidR="004876C9" w:rsidRPr="00F533A8">
        <w:rPr>
          <w:rFonts w:ascii="Arial" w:hAnsi="Arial" w:cs="Arial"/>
          <w:sz w:val="24"/>
          <w:szCs w:val="24"/>
        </w:rPr>
        <w:t xml:space="preserve">’s report, whose findings, as already stated, are not binding on this Tribunal. </w:t>
      </w:r>
    </w:p>
    <w:p w14:paraId="3D416670" w14:textId="77777777" w:rsidR="004876C9" w:rsidRPr="00F533A8" w:rsidRDefault="004876C9" w:rsidP="00E212A8">
      <w:pPr>
        <w:tabs>
          <w:tab w:val="left" w:pos="1041"/>
        </w:tabs>
        <w:spacing w:before="208" w:line="360" w:lineRule="auto"/>
        <w:ind w:right="132"/>
        <w:jc w:val="both"/>
        <w:rPr>
          <w:rFonts w:ascii="Arial" w:hAnsi="Arial" w:cs="Arial"/>
          <w:sz w:val="24"/>
          <w:szCs w:val="24"/>
        </w:rPr>
      </w:pPr>
    </w:p>
    <w:p w14:paraId="52F19B3C" w14:textId="3E4A859E" w:rsidR="004876C9" w:rsidRPr="00F533A8" w:rsidRDefault="004876C9" w:rsidP="00E212A8">
      <w:pPr>
        <w:tabs>
          <w:tab w:val="left" w:pos="1041"/>
        </w:tabs>
        <w:spacing w:before="208" w:line="360" w:lineRule="auto"/>
        <w:ind w:right="132"/>
        <w:jc w:val="both"/>
        <w:rPr>
          <w:rFonts w:ascii="Arial" w:hAnsi="Arial" w:cs="Arial"/>
          <w:sz w:val="24"/>
          <w:szCs w:val="24"/>
        </w:rPr>
      </w:pPr>
      <w:r w:rsidRPr="00F533A8">
        <w:rPr>
          <w:rFonts w:ascii="Arial" w:hAnsi="Arial" w:cs="Arial"/>
          <w:sz w:val="24"/>
          <w:szCs w:val="24"/>
        </w:rPr>
        <w:t>[82]</w:t>
      </w:r>
      <w:r w:rsidRPr="00F533A8">
        <w:rPr>
          <w:rFonts w:ascii="Arial" w:hAnsi="Arial" w:cs="Arial"/>
          <w:sz w:val="24"/>
          <w:szCs w:val="24"/>
        </w:rPr>
        <w:tab/>
        <w:t xml:space="preserve">In line with the Plascon’s Evan’s rule, I accept Nexor’s and DOT’s version as set out above. </w:t>
      </w:r>
    </w:p>
    <w:p w14:paraId="79BE6059" w14:textId="77777777" w:rsidR="004876C9" w:rsidRPr="00F533A8" w:rsidRDefault="004876C9" w:rsidP="00E212A8">
      <w:pPr>
        <w:tabs>
          <w:tab w:val="left" w:pos="1041"/>
        </w:tabs>
        <w:spacing w:before="208" w:line="360" w:lineRule="auto"/>
        <w:ind w:right="132"/>
        <w:jc w:val="both"/>
        <w:rPr>
          <w:rFonts w:ascii="Arial" w:hAnsi="Arial" w:cs="Arial"/>
          <w:sz w:val="24"/>
          <w:szCs w:val="24"/>
        </w:rPr>
      </w:pPr>
    </w:p>
    <w:p w14:paraId="3A22EF86" w14:textId="4255BB89" w:rsidR="009C766C" w:rsidRPr="00F533A8" w:rsidRDefault="00296E61" w:rsidP="00E212A8">
      <w:pPr>
        <w:tabs>
          <w:tab w:val="left" w:pos="851"/>
        </w:tabs>
        <w:spacing w:line="360" w:lineRule="auto"/>
        <w:jc w:val="both"/>
        <w:rPr>
          <w:rFonts w:ascii="Arial" w:hAnsi="Arial" w:cs="Arial"/>
          <w:i/>
          <w:iCs/>
          <w:sz w:val="24"/>
          <w:szCs w:val="24"/>
        </w:rPr>
      </w:pPr>
      <w:r>
        <w:rPr>
          <w:rFonts w:ascii="Arial" w:hAnsi="Arial" w:cs="Arial"/>
          <w:i/>
          <w:iCs/>
          <w:sz w:val="24"/>
          <w:szCs w:val="24"/>
        </w:rPr>
        <w:t>AGSA</w:t>
      </w:r>
      <w:r w:rsidR="001218F2" w:rsidRPr="00F533A8">
        <w:rPr>
          <w:rFonts w:ascii="Arial" w:hAnsi="Arial" w:cs="Arial"/>
          <w:i/>
          <w:iCs/>
          <w:sz w:val="24"/>
          <w:szCs w:val="24"/>
        </w:rPr>
        <w:t>’s findings</w:t>
      </w:r>
    </w:p>
    <w:p w14:paraId="3A3CA878" w14:textId="3B399946" w:rsidR="00F32BC4" w:rsidRPr="00A91E0A" w:rsidRDefault="004876C9" w:rsidP="00A91E0A">
      <w:pPr>
        <w:tabs>
          <w:tab w:val="left" w:pos="568"/>
        </w:tabs>
        <w:spacing w:before="92" w:line="360" w:lineRule="auto"/>
        <w:ind w:right="132"/>
        <w:jc w:val="both"/>
        <w:rPr>
          <w:rFonts w:ascii="Arial" w:hAnsi="Arial" w:cs="Arial"/>
          <w:sz w:val="24"/>
          <w:szCs w:val="24"/>
        </w:rPr>
      </w:pPr>
      <w:r w:rsidRPr="00F533A8">
        <w:rPr>
          <w:rFonts w:ascii="Arial" w:hAnsi="Arial" w:cs="Arial"/>
          <w:sz w:val="24"/>
          <w:szCs w:val="24"/>
        </w:rPr>
        <w:t>[83]</w:t>
      </w:r>
      <w:r w:rsidR="00396285">
        <w:rPr>
          <w:rFonts w:ascii="Arial" w:hAnsi="Arial" w:cs="Arial"/>
          <w:sz w:val="24"/>
          <w:szCs w:val="24"/>
        </w:rPr>
        <w:tab/>
      </w:r>
      <w:r w:rsidR="00F32BC4" w:rsidRPr="00F533A8">
        <w:rPr>
          <w:rFonts w:ascii="Arial" w:hAnsi="Arial" w:cs="Arial"/>
          <w:sz w:val="24"/>
          <w:szCs w:val="24"/>
        </w:rPr>
        <w:t>In its founding affidavit, the SIU alleges that on</w:t>
      </w:r>
      <w:r w:rsidR="00F32BC4" w:rsidRPr="00F533A8">
        <w:rPr>
          <w:rFonts w:ascii="Arial" w:hAnsi="Arial" w:cs="Arial"/>
          <w:spacing w:val="1"/>
          <w:sz w:val="24"/>
          <w:szCs w:val="24"/>
        </w:rPr>
        <w:t xml:space="preserve"> </w:t>
      </w:r>
      <w:r w:rsidR="00F32BC4" w:rsidRPr="00F533A8">
        <w:rPr>
          <w:rFonts w:ascii="Arial" w:hAnsi="Arial" w:cs="Arial"/>
          <w:sz w:val="24"/>
          <w:szCs w:val="24"/>
        </w:rPr>
        <w:t>or</w:t>
      </w:r>
      <w:r w:rsidR="00F32BC4" w:rsidRPr="00F533A8">
        <w:rPr>
          <w:rFonts w:ascii="Arial" w:hAnsi="Arial" w:cs="Arial"/>
          <w:spacing w:val="1"/>
          <w:sz w:val="24"/>
          <w:szCs w:val="24"/>
        </w:rPr>
        <w:t xml:space="preserve"> </w:t>
      </w:r>
      <w:r w:rsidR="00F32BC4" w:rsidRPr="00F533A8">
        <w:rPr>
          <w:rFonts w:ascii="Arial" w:hAnsi="Arial" w:cs="Arial"/>
          <w:sz w:val="24"/>
          <w:szCs w:val="24"/>
        </w:rPr>
        <w:t>about</w:t>
      </w:r>
      <w:r w:rsidR="00F32BC4" w:rsidRPr="00F533A8">
        <w:rPr>
          <w:rFonts w:ascii="Arial" w:hAnsi="Arial" w:cs="Arial"/>
          <w:spacing w:val="1"/>
          <w:sz w:val="24"/>
          <w:szCs w:val="24"/>
        </w:rPr>
        <w:t xml:space="preserve"> </w:t>
      </w:r>
      <w:r w:rsidR="00F32BC4" w:rsidRPr="00F533A8">
        <w:rPr>
          <w:rFonts w:ascii="Arial" w:hAnsi="Arial" w:cs="Arial"/>
          <w:sz w:val="24"/>
          <w:szCs w:val="24"/>
        </w:rPr>
        <w:t>29</w:t>
      </w:r>
      <w:r w:rsidR="00F32BC4" w:rsidRPr="00F533A8">
        <w:rPr>
          <w:rFonts w:ascii="Arial" w:hAnsi="Arial" w:cs="Arial"/>
          <w:spacing w:val="1"/>
          <w:sz w:val="24"/>
          <w:szCs w:val="24"/>
        </w:rPr>
        <w:t xml:space="preserve"> </w:t>
      </w:r>
      <w:r w:rsidR="00F32BC4" w:rsidRPr="00F533A8">
        <w:rPr>
          <w:rFonts w:ascii="Arial" w:hAnsi="Arial" w:cs="Arial"/>
          <w:sz w:val="24"/>
          <w:szCs w:val="24"/>
        </w:rPr>
        <w:t>July</w:t>
      </w:r>
      <w:r w:rsidR="00F32BC4" w:rsidRPr="00F533A8">
        <w:rPr>
          <w:rFonts w:ascii="Arial" w:hAnsi="Arial" w:cs="Arial"/>
          <w:spacing w:val="1"/>
          <w:sz w:val="24"/>
          <w:szCs w:val="24"/>
        </w:rPr>
        <w:t xml:space="preserve"> </w:t>
      </w:r>
      <w:r w:rsidR="00F32BC4" w:rsidRPr="00F533A8">
        <w:rPr>
          <w:rFonts w:ascii="Arial" w:hAnsi="Arial" w:cs="Arial"/>
          <w:sz w:val="24"/>
          <w:szCs w:val="24"/>
        </w:rPr>
        <w:t>2019,</w:t>
      </w:r>
      <w:r w:rsidR="00F32BC4" w:rsidRPr="00F533A8">
        <w:rPr>
          <w:rFonts w:ascii="Arial" w:hAnsi="Arial" w:cs="Arial"/>
          <w:spacing w:val="1"/>
          <w:sz w:val="24"/>
          <w:szCs w:val="24"/>
        </w:rPr>
        <w:t xml:space="preserve"> </w:t>
      </w:r>
      <w:r w:rsidR="00701E48">
        <w:rPr>
          <w:rFonts w:ascii="Arial" w:hAnsi="Arial" w:cs="Arial"/>
          <w:sz w:val="24"/>
          <w:szCs w:val="24"/>
        </w:rPr>
        <w:t>AGSA</w:t>
      </w:r>
      <w:r w:rsidR="00F32BC4" w:rsidRPr="00F533A8">
        <w:rPr>
          <w:rFonts w:ascii="Arial" w:hAnsi="Arial" w:cs="Arial"/>
          <w:spacing w:val="1"/>
          <w:sz w:val="24"/>
          <w:szCs w:val="24"/>
        </w:rPr>
        <w:t xml:space="preserve"> </w:t>
      </w:r>
      <w:r w:rsidR="00F32BC4" w:rsidRPr="00F533A8">
        <w:rPr>
          <w:rFonts w:ascii="Arial" w:hAnsi="Arial" w:cs="Arial"/>
          <w:sz w:val="24"/>
          <w:szCs w:val="24"/>
        </w:rPr>
        <w:t>submitted</w:t>
      </w:r>
      <w:r w:rsidR="00F32BC4" w:rsidRPr="00F533A8">
        <w:rPr>
          <w:rFonts w:ascii="Arial" w:hAnsi="Arial" w:cs="Arial"/>
          <w:spacing w:val="1"/>
          <w:sz w:val="24"/>
          <w:szCs w:val="24"/>
        </w:rPr>
        <w:t xml:space="preserve"> </w:t>
      </w:r>
      <w:r w:rsidR="00F32BC4" w:rsidRPr="00F533A8">
        <w:rPr>
          <w:rFonts w:ascii="Arial" w:hAnsi="Arial" w:cs="Arial"/>
          <w:sz w:val="24"/>
          <w:szCs w:val="24"/>
        </w:rPr>
        <w:t>his</w:t>
      </w:r>
      <w:r w:rsidR="00F32BC4" w:rsidRPr="00F533A8">
        <w:rPr>
          <w:rFonts w:ascii="Arial" w:hAnsi="Arial" w:cs="Arial"/>
          <w:spacing w:val="1"/>
          <w:sz w:val="24"/>
          <w:szCs w:val="24"/>
        </w:rPr>
        <w:t xml:space="preserve"> </w:t>
      </w:r>
      <w:r w:rsidR="00F32BC4" w:rsidRPr="00F533A8">
        <w:rPr>
          <w:rFonts w:ascii="Arial" w:hAnsi="Arial" w:cs="Arial"/>
          <w:sz w:val="24"/>
          <w:szCs w:val="24"/>
        </w:rPr>
        <w:t>Final</w:t>
      </w:r>
      <w:r w:rsidR="00F32BC4" w:rsidRPr="00F533A8">
        <w:rPr>
          <w:rFonts w:ascii="Arial" w:hAnsi="Arial" w:cs="Arial"/>
          <w:spacing w:val="1"/>
          <w:sz w:val="24"/>
          <w:szCs w:val="24"/>
        </w:rPr>
        <w:t xml:space="preserve"> </w:t>
      </w:r>
      <w:r w:rsidR="00F32BC4" w:rsidRPr="00F533A8">
        <w:rPr>
          <w:rFonts w:ascii="Arial" w:hAnsi="Arial" w:cs="Arial"/>
          <w:sz w:val="24"/>
          <w:szCs w:val="24"/>
        </w:rPr>
        <w:t>Management Report to the DOT detailing several queries and responses and ma</w:t>
      </w:r>
      <w:r w:rsidR="00E212A8">
        <w:rPr>
          <w:rFonts w:ascii="Arial" w:hAnsi="Arial" w:cs="Arial"/>
          <w:sz w:val="24"/>
          <w:szCs w:val="24"/>
        </w:rPr>
        <w:t xml:space="preserve">de findings regarding the gap analysis and evaluation of the tender as addressed above. </w:t>
      </w:r>
      <w:r w:rsidR="00F32BC4" w:rsidRPr="00F533A8">
        <w:rPr>
          <w:rFonts w:ascii="Arial" w:hAnsi="Arial" w:cs="Arial"/>
          <w:spacing w:val="-3"/>
          <w:sz w:val="24"/>
          <w:szCs w:val="24"/>
        </w:rPr>
        <w:t xml:space="preserve"> </w:t>
      </w:r>
      <w:r w:rsidR="00E212A8">
        <w:rPr>
          <w:rFonts w:ascii="Arial" w:hAnsi="Arial" w:cs="Arial"/>
          <w:spacing w:val="-3"/>
          <w:sz w:val="24"/>
          <w:szCs w:val="24"/>
        </w:rPr>
        <w:t>AGSA also found that t</w:t>
      </w:r>
      <w:r w:rsidR="00F32BC4" w:rsidRPr="00F533A8">
        <w:rPr>
          <w:rFonts w:ascii="Arial" w:hAnsi="Arial"/>
          <w:sz w:val="24"/>
          <w:szCs w:val="24"/>
        </w:rPr>
        <w:t xml:space="preserve">here were discrepancies relating to the variation of the contract in that </w:t>
      </w:r>
      <w:r w:rsidR="00E212A8">
        <w:rPr>
          <w:rFonts w:ascii="Arial" w:hAnsi="Arial"/>
          <w:sz w:val="24"/>
          <w:szCs w:val="24"/>
        </w:rPr>
        <w:t xml:space="preserve">DOT </w:t>
      </w:r>
      <w:r w:rsidR="00F32BC4" w:rsidRPr="00F533A8">
        <w:rPr>
          <w:rFonts w:ascii="Arial" w:hAnsi="Arial"/>
          <w:sz w:val="24"/>
          <w:szCs w:val="24"/>
        </w:rPr>
        <w:t>followed a process for a variation to</w:t>
      </w:r>
      <w:r w:rsidR="00F32BC4" w:rsidRPr="00F533A8">
        <w:rPr>
          <w:rFonts w:ascii="Arial" w:hAnsi="Arial"/>
          <w:spacing w:val="1"/>
          <w:sz w:val="24"/>
          <w:szCs w:val="24"/>
        </w:rPr>
        <w:t xml:space="preserve"> </w:t>
      </w:r>
      <w:r w:rsidR="00F32BC4" w:rsidRPr="00F533A8">
        <w:rPr>
          <w:rFonts w:ascii="Arial" w:hAnsi="Arial"/>
          <w:sz w:val="24"/>
          <w:szCs w:val="24"/>
        </w:rPr>
        <w:t>tender number ZNT 1400-17T</w:t>
      </w:r>
      <w:r w:rsidR="00A91E0A">
        <w:rPr>
          <w:rFonts w:ascii="Arial" w:hAnsi="Arial"/>
          <w:sz w:val="24"/>
          <w:szCs w:val="24"/>
        </w:rPr>
        <w:t xml:space="preserve"> and</w:t>
      </w:r>
      <w:r w:rsidR="00F32BC4" w:rsidRPr="00F533A8">
        <w:rPr>
          <w:rFonts w:ascii="Arial" w:hAnsi="Arial"/>
          <w:sz w:val="24"/>
          <w:szCs w:val="24"/>
        </w:rPr>
        <w:t xml:space="preserve"> for the in</w:t>
      </w:r>
      <w:r w:rsidR="00A91E0A">
        <w:rPr>
          <w:rFonts w:ascii="Arial" w:hAnsi="Arial"/>
          <w:sz w:val="24"/>
          <w:szCs w:val="24"/>
        </w:rPr>
        <w:t>-</w:t>
      </w:r>
      <w:r w:rsidR="00F32BC4" w:rsidRPr="00F533A8">
        <w:rPr>
          <w:rFonts w:ascii="Arial" w:hAnsi="Arial"/>
          <w:sz w:val="24"/>
          <w:szCs w:val="24"/>
        </w:rPr>
        <w:t>sourcing of specialists’ services for</w:t>
      </w:r>
      <w:r w:rsidR="00F32BC4" w:rsidRPr="00F533A8">
        <w:rPr>
          <w:rFonts w:ascii="Arial" w:hAnsi="Arial"/>
          <w:spacing w:val="1"/>
          <w:sz w:val="24"/>
          <w:szCs w:val="24"/>
        </w:rPr>
        <w:t xml:space="preserve"> </w:t>
      </w:r>
      <w:r w:rsidR="00F32BC4" w:rsidRPr="00F533A8">
        <w:rPr>
          <w:rFonts w:ascii="Arial" w:hAnsi="Arial"/>
          <w:sz w:val="24"/>
          <w:szCs w:val="24"/>
        </w:rPr>
        <w:t>assistance</w:t>
      </w:r>
      <w:r w:rsidR="00F32BC4" w:rsidRPr="00F533A8">
        <w:rPr>
          <w:rFonts w:ascii="Arial" w:hAnsi="Arial"/>
          <w:spacing w:val="40"/>
          <w:sz w:val="24"/>
          <w:szCs w:val="24"/>
        </w:rPr>
        <w:t xml:space="preserve"> </w:t>
      </w:r>
      <w:r w:rsidR="00A91E0A">
        <w:rPr>
          <w:rFonts w:ascii="Arial" w:hAnsi="Arial"/>
          <w:spacing w:val="40"/>
          <w:sz w:val="24"/>
          <w:szCs w:val="24"/>
        </w:rPr>
        <w:t xml:space="preserve">to </w:t>
      </w:r>
      <w:r w:rsidR="00F32BC4" w:rsidRPr="00F533A8">
        <w:rPr>
          <w:rFonts w:ascii="Arial" w:hAnsi="Arial"/>
          <w:spacing w:val="39"/>
          <w:sz w:val="24"/>
          <w:szCs w:val="24"/>
        </w:rPr>
        <w:t xml:space="preserve"> </w:t>
      </w:r>
      <w:r w:rsidR="00F32BC4" w:rsidRPr="00F533A8">
        <w:rPr>
          <w:rFonts w:ascii="Arial" w:hAnsi="Arial"/>
          <w:sz w:val="24"/>
          <w:szCs w:val="24"/>
        </w:rPr>
        <w:t>addressing</w:t>
      </w:r>
      <w:r w:rsidR="00F32BC4" w:rsidRPr="00F533A8">
        <w:rPr>
          <w:rFonts w:ascii="Arial" w:hAnsi="Arial"/>
          <w:spacing w:val="38"/>
          <w:sz w:val="24"/>
          <w:szCs w:val="24"/>
        </w:rPr>
        <w:t xml:space="preserve"> </w:t>
      </w:r>
      <w:r w:rsidR="00F32BC4" w:rsidRPr="00F533A8">
        <w:rPr>
          <w:rFonts w:ascii="Arial" w:hAnsi="Arial"/>
          <w:sz w:val="24"/>
          <w:szCs w:val="24"/>
        </w:rPr>
        <w:t>the</w:t>
      </w:r>
      <w:r w:rsidR="00F32BC4" w:rsidRPr="00F533A8">
        <w:rPr>
          <w:rFonts w:ascii="Arial" w:hAnsi="Arial"/>
          <w:spacing w:val="40"/>
          <w:sz w:val="24"/>
          <w:szCs w:val="24"/>
        </w:rPr>
        <w:t xml:space="preserve"> </w:t>
      </w:r>
      <w:r w:rsidR="00F32BC4" w:rsidRPr="00F533A8">
        <w:rPr>
          <w:rFonts w:ascii="Arial" w:hAnsi="Arial"/>
          <w:sz w:val="24"/>
          <w:szCs w:val="24"/>
        </w:rPr>
        <w:t>issues</w:t>
      </w:r>
      <w:r w:rsidR="00F32BC4" w:rsidRPr="00F533A8">
        <w:rPr>
          <w:rFonts w:ascii="Arial" w:hAnsi="Arial"/>
          <w:spacing w:val="39"/>
          <w:sz w:val="24"/>
          <w:szCs w:val="24"/>
        </w:rPr>
        <w:t xml:space="preserve"> </w:t>
      </w:r>
      <w:r w:rsidR="00A91E0A">
        <w:rPr>
          <w:rFonts w:ascii="Arial" w:hAnsi="Arial"/>
          <w:spacing w:val="39"/>
          <w:sz w:val="24"/>
          <w:szCs w:val="24"/>
        </w:rPr>
        <w:t xml:space="preserve">relating </w:t>
      </w:r>
      <w:r w:rsidR="00F32BC4" w:rsidRPr="00F533A8">
        <w:rPr>
          <w:rFonts w:ascii="Arial" w:hAnsi="Arial"/>
          <w:sz w:val="24"/>
          <w:szCs w:val="24"/>
        </w:rPr>
        <w:t>to</w:t>
      </w:r>
      <w:r w:rsidR="00F32BC4" w:rsidRPr="00F533A8">
        <w:rPr>
          <w:rFonts w:ascii="Arial" w:hAnsi="Arial"/>
          <w:spacing w:val="40"/>
          <w:sz w:val="24"/>
          <w:szCs w:val="24"/>
        </w:rPr>
        <w:t xml:space="preserve"> </w:t>
      </w:r>
      <w:r w:rsidR="00F32BC4" w:rsidRPr="00F533A8">
        <w:rPr>
          <w:rFonts w:ascii="Arial" w:hAnsi="Arial"/>
          <w:sz w:val="24"/>
          <w:szCs w:val="24"/>
        </w:rPr>
        <w:t>irregular</w:t>
      </w:r>
      <w:r w:rsidR="00F32BC4" w:rsidRPr="00F533A8">
        <w:rPr>
          <w:rFonts w:ascii="Arial" w:hAnsi="Arial"/>
          <w:spacing w:val="39"/>
          <w:sz w:val="24"/>
          <w:szCs w:val="24"/>
        </w:rPr>
        <w:t xml:space="preserve"> </w:t>
      </w:r>
      <w:r w:rsidR="00F32BC4" w:rsidRPr="00F533A8">
        <w:rPr>
          <w:rFonts w:ascii="Arial" w:hAnsi="Arial"/>
          <w:sz w:val="24"/>
          <w:szCs w:val="24"/>
        </w:rPr>
        <w:t>expenditure</w:t>
      </w:r>
      <w:r w:rsidR="00F32BC4" w:rsidRPr="00A91E0A">
        <w:rPr>
          <w:rFonts w:ascii="Arial" w:hAnsi="Arial" w:cs="Arial"/>
          <w:sz w:val="24"/>
          <w:szCs w:val="24"/>
        </w:rPr>
        <w:t>,</w:t>
      </w:r>
      <w:r w:rsidR="00A91E0A" w:rsidRPr="00A91E0A">
        <w:rPr>
          <w:rFonts w:ascii="Arial" w:hAnsi="Arial" w:cs="Arial"/>
          <w:sz w:val="24"/>
          <w:szCs w:val="24"/>
        </w:rPr>
        <w:t xml:space="preserve">  </w:t>
      </w:r>
      <w:r w:rsidR="00F32BC4" w:rsidRPr="00A91E0A">
        <w:rPr>
          <w:rFonts w:ascii="Arial" w:hAnsi="Arial" w:cs="Arial"/>
          <w:sz w:val="24"/>
          <w:szCs w:val="24"/>
        </w:rPr>
        <w:t>accruals, payables and commitments. The contract was varied at an amount</w:t>
      </w:r>
      <w:r w:rsidR="00F32BC4" w:rsidRPr="00A91E0A">
        <w:rPr>
          <w:rFonts w:ascii="Arial" w:hAnsi="Arial" w:cs="Arial"/>
          <w:spacing w:val="-64"/>
          <w:sz w:val="24"/>
          <w:szCs w:val="24"/>
        </w:rPr>
        <w:t xml:space="preserve"> </w:t>
      </w:r>
      <w:r w:rsidR="00F32BC4" w:rsidRPr="00A91E0A">
        <w:rPr>
          <w:rFonts w:ascii="Arial" w:hAnsi="Arial" w:cs="Arial"/>
          <w:sz w:val="24"/>
          <w:szCs w:val="24"/>
        </w:rPr>
        <w:t xml:space="preserve">of </w:t>
      </w:r>
      <w:r w:rsidR="00F32BC4" w:rsidRPr="00A91E0A">
        <w:rPr>
          <w:rFonts w:ascii="Arial" w:hAnsi="Arial" w:cs="Arial"/>
          <w:b/>
          <w:sz w:val="24"/>
          <w:szCs w:val="24"/>
        </w:rPr>
        <w:t xml:space="preserve">R 14 658 348.50 </w:t>
      </w:r>
      <w:r w:rsidR="00F32BC4" w:rsidRPr="00A91E0A">
        <w:rPr>
          <w:rFonts w:ascii="Arial" w:hAnsi="Arial" w:cs="Arial"/>
          <w:sz w:val="24"/>
          <w:szCs w:val="24"/>
        </w:rPr>
        <w:t xml:space="preserve">based on </w:t>
      </w:r>
      <w:r w:rsidR="00A91E0A" w:rsidRPr="00A91E0A">
        <w:rPr>
          <w:rFonts w:ascii="Arial" w:hAnsi="Arial" w:cs="Arial"/>
          <w:sz w:val="24"/>
          <w:szCs w:val="24"/>
        </w:rPr>
        <w:t>an emergency</w:t>
      </w:r>
      <w:r w:rsidR="00F32BC4" w:rsidRPr="00A91E0A">
        <w:rPr>
          <w:rFonts w:ascii="Arial" w:hAnsi="Arial" w:cs="Arial"/>
          <w:sz w:val="24"/>
          <w:szCs w:val="24"/>
        </w:rPr>
        <w:t>. According to AG</w:t>
      </w:r>
      <w:r w:rsidR="00A91E0A" w:rsidRPr="00A91E0A">
        <w:rPr>
          <w:rFonts w:ascii="Arial" w:hAnsi="Arial" w:cs="Arial"/>
          <w:sz w:val="24"/>
          <w:szCs w:val="24"/>
        </w:rPr>
        <w:t>SA</w:t>
      </w:r>
      <w:r w:rsidR="00F32BC4" w:rsidRPr="00A91E0A">
        <w:rPr>
          <w:rFonts w:ascii="Arial" w:hAnsi="Arial" w:cs="Arial"/>
          <w:sz w:val="24"/>
          <w:szCs w:val="24"/>
        </w:rPr>
        <w:t>, this was in</w:t>
      </w:r>
      <w:r w:rsidR="00F32BC4" w:rsidRPr="00A91E0A">
        <w:rPr>
          <w:rFonts w:ascii="Arial" w:hAnsi="Arial" w:cs="Arial"/>
          <w:spacing w:val="1"/>
          <w:sz w:val="24"/>
          <w:szCs w:val="24"/>
        </w:rPr>
        <w:t xml:space="preserve"> </w:t>
      </w:r>
      <w:r w:rsidR="00F32BC4" w:rsidRPr="00A91E0A">
        <w:rPr>
          <w:rFonts w:ascii="Arial" w:hAnsi="Arial" w:cs="Arial"/>
          <w:sz w:val="24"/>
          <w:szCs w:val="24"/>
        </w:rPr>
        <w:t>contravention of section 38 (1) (a) (iii) of the PFMA as it was not competitive</w:t>
      </w:r>
      <w:r w:rsidR="00F32BC4" w:rsidRPr="00A91E0A">
        <w:rPr>
          <w:rFonts w:ascii="Arial" w:hAnsi="Arial" w:cs="Arial"/>
          <w:spacing w:val="1"/>
          <w:sz w:val="24"/>
          <w:szCs w:val="24"/>
        </w:rPr>
        <w:t xml:space="preserve"> </w:t>
      </w:r>
      <w:r w:rsidR="00F32BC4" w:rsidRPr="00A91E0A">
        <w:rPr>
          <w:rFonts w:ascii="Arial" w:hAnsi="Arial" w:cs="Arial"/>
          <w:sz w:val="24"/>
          <w:szCs w:val="24"/>
        </w:rPr>
        <w:t>and cost effective and in contravention of Treasury Regulations 16A.6.4 as</w:t>
      </w:r>
      <w:r w:rsidR="00F32BC4" w:rsidRPr="00A91E0A">
        <w:rPr>
          <w:rFonts w:ascii="Arial" w:hAnsi="Arial" w:cs="Arial"/>
          <w:spacing w:val="1"/>
          <w:sz w:val="24"/>
          <w:szCs w:val="24"/>
        </w:rPr>
        <w:t xml:space="preserve"> </w:t>
      </w:r>
      <w:r w:rsidR="00F32BC4" w:rsidRPr="00A91E0A">
        <w:rPr>
          <w:rFonts w:ascii="Arial" w:hAnsi="Arial" w:cs="Arial"/>
          <w:sz w:val="24"/>
          <w:szCs w:val="24"/>
        </w:rPr>
        <w:t xml:space="preserve">no emergency existed </w:t>
      </w:r>
      <w:r w:rsidR="00A91E0A" w:rsidRPr="00A91E0A">
        <w:rPr>
          <w:rFonts w:ascii="Arial" w:hAnsi="Arial" w:cs="Arial"/>
          <w:sz w:val="24"/>
          <w:szCs w:val="24"/>
        </w:rPr>
        <w:t>as envisaged in p</w:t>
      </w:r>
      <w:r w:rsidR="00F32BC4" w:rsidRPr="00A91E0A">
        <w:rPr>
          <w:rFonts w:ascii="Arial" w:hAnsi="Arial" w:cs="Arial"/>
          <w:sz w:val="24"/>
          <w:szCs w:val="24"/>
        </w:rPr>
        <w:t>aragraph 8.2 of Treasury Instruction Note</w:t>
      </w:r>
      <w:r w:rsidR="00F32BC4" w:rsidRPr="00A91E0A">
        <w:rPr>
          <w:rFonts w:ascii="Arial" w:hAnsi="Arial" w:cs="Arial"/>
          <w:spacing w:val="-64"/>
          <w:sz w:val="24"/>
          <w:szCs w:val="24"/>
        </w:rPr>
        <w:t xml:space="preserve"> </w:t>
      </w:r>
      <w:r w:rsidR="00F32BC4" w:rsidRPr="00A91E0A">
        <w:rPr>
          <w:rFonts w:ascii="Arial" w:hAnsi="Arial" w:cs="Arial"/>
          <w:sz w:val="24"/>
          <w:szCs w:val="24"/>
        </w:rPr>
        <w:t>3</w:t>
      </w:r>
      <w:r w:rsidR="00F32BC4" w:rsidRPr="00A91E0A">
        <w:rPr>
          <w:rFonts w:ascii="Arial" w:hAnsi="Arial" w:cs="Arial"/>
          <w:spacing w:val="-1"/>
          <w:sz w:val="24"/>
          <w:szCs w:val="24"/>
        </w:rPr>
        <w:t xml:space="preserve"> </w:t>
      </w:r>
      <w:r w:rsidR="00F32BC4" w:rsidRPr="00A91E0A">
        <w:rPr>
          <w:rFonts w:ascii="Arial" w:hAnsi="Arial" w:cs="Arial"/>
          <w:sz w:val="24"/>
          <w:szCs w:val="24"/>
        </w:rPr>
        <w:t>of 2016-2017.</w:t>
      </w:r>
      <w:r w:rsidR="00A91E0A">
        <w:rPr>
          <w:rFonts w:ascii="Arial" w:hAnsi="Arial" w:cs="Arial"/>
          <w:sz w:val="24"/>
          <w:szCs w:val="24"/>
        </w:rPr>
        <w:t xml:space="preserve"> </w:t>
      </w:r>
      <w:r w:rsidR="00A91E0A" w:rsidRPr="00A91E0A">
        <w:rPr>
          <w:rFonts w:ascii="Arial" w:hAnsi="Arial" w:cs="Arial"/>
          <w:sz w:val="24"/>
          <w:szCs w:val="24"/>
        </w:rPr>
        <w:t>Further</w:t>
      </w:r>
      <w:r w:rsidR="00A91E0A">
        <w:rPr>
          <w:rFonts w:ascii="Arial" w:hAnsi="Arial" w:cs="Arial"/>
          <w:sz w:val="24"/>
          <w:szCs w:val="24"/>
        </w:rPr>
        <w:t>,</w:t>
      </w:r>
      <w:r w:rsidR="00A91E0A" w:rsidRPr="00A91E0A">
        <w:rPr>
          <w:rFonts w:ascii="Arial" w:hAnsi="Arial" w:cs="Arial"/>
          <w:sz w:val="24"/>
          <w:szCs w:val="24"/>
        </w:rPr>
        <w:t xml:space="preserve"> AGSA found that there were </w:t>
      </w:r>
      <w:r w:rsidR="00A91E0A">
        <w:rPr>
          <w:rFonts w:ascii="Arial" w:hAnsi="Arial" w:cs="Arial"/>
          <w:spacing w:val="-1"/>
          <w:sz w:val="24"/>
          <w:szCs w:val="24"/>
        </w:rPr>
        <w:t>i</w:t>
      </w:r>
      <w:r w:rsidR="00F32BC4" w:rsidRPr="00A91E0A">
        <w:rPr>
          <w:rFonts w:ascii="Arial" w:hAnsi="Arial" w:cs="Arial"/>
          <w:spacing w:val="-1"/>
          <w:sz w:val="24"/>
          <w:szCs w:val="24"/>
        </w:rPr>
        <w:t>nternal</w:t>
      </w:r>
      <w:r w:rsidR="00F32BC4" w:rsidRPr="00A91E0A">
        <w:rPr>
          <w:rFonts w:ascii="Arial" w:hAnsi="Arial" w:cs="Arial"/>
          <w:spacing w:val="-17"/>
          <w:sz w:val="24"/>
          <w:szCs w:val="24"/>
        </w:rPr>
        <w:t xml:space="preserve"> </w:t>
      </w:r>
      <w:r w:rsidR="00F32BC4" w:rsidRPr="00A91E0A">
        <w:rPr>
          <w:rFonts w:ascii="Arial" w:hAnsi="Arial" w:cs="Arial"/>
          <w:spacing w:val="-1"/>
          <w:sz w:val="24"/>
          <w:szCs w:val="24"/>
        </w:rPr>
        <w:t>control</w:t>
      </w:r>
      <w:r w:rsidR="00F32BC4" w:rsidRPr="00A91E0A">
        <w:rPr>
          <w:rFonts w:ascii="Arial" w:hAnsi="Arial" w:cs="Arial"/>
          <w:spacing w:val="-16"/>
          <w:sz w:val="24"/>
          <w:szCs w:val="24"/>
        </w:rPr>
        <w:t xml:space="preserve"> </w:t>
      </w:r>
      <w:r w:rsidR="00F32BC4" w:rsidRPr="00A91E0A">
        <w:rPr>
          <w:rFonts w:ascii="Arial" w:hAnsi="Arial" w:cs="Arial"/>
          <w:spacing w:val="-1"/>
          <w:sz w:val="24"/>
          <w:szCs w:val="24"/>
        </w:rPr>
        <w:t>deficienc</w:t>
      </w:r>
      <w:r w:rsidR="00A91E0A" w:rsidRPr="00A91E0A">
        <w:rPr>
          <w:rFonts w:ascii="Arial" w:hAnsi="Arial" w:cs="Arial"/>
          <w:spacing w:val="-1"/>
          <w:sz w:val="24"/>
          <w:szCs w:val="24"/>
        </w:rPr>
        <w:t xml:space="preserve">ies </w:t>
      </w:r>
      <w:r w:rsidR="00F32BC4" w:rsidRPr="00A91E0A">
        <w:rPr>
          <w:rFonts w:ascii="Arial" w:hAnsi="Arial" w:cs="Arial"/>
          <w:sz w:val="24"/>
          <w:szCs w:val="24"/>
        </w:rPr>
        <w:t>in</w:t>
      </w:r>
      <w:r w:rsidR="00F32BC4" w:rsidRPr="00A91E0A">
        <w:rPr>
          <w:rFonts w:ascii="Arial" w:hAnsi="Arial" w:cs="Arial"/>
          <w:spacing w:val="-15"/>
          <w:sz w:val="24"/>
          <w:szCs w:val="24"/>
        </w:rPr>
        <w:t xml:space="preserve"> </w:t>
      </w:r>
      <w:r w:rsidR="00A91E0A" w:rsidRPr="00A91E0A">
        <w:rPr>
          <w:rFonts w:ascii="Arial" w:hAnsi="Arial" w:cs="Arial"/>
          <w:spacing w:val="-15"/>
          <w:sz w:val="24"/>
          <w:szCs w:val="24"/>
        </w:rPr>
        <w:t xml:space="preserve">that DOT’s </w:t>
      </w:r>
      <w:r w:rsidR="00F32BC4" w:rsidRPr="00A91E0A">
        <w:rPr>
          <w:rFonts w:ascii="Arial" w:hAnsi="Arial" w:cs="Arial"/>
          <w:sz w:val="24"/>
          <w:szCs w:val="24"/>
        </w:rPr>
        <w:t>Management</w:t>
      </w:r>
      <w:r w:rsidR="00F32BC4" w:rsidRPr="00A91E0A">
        <w:rPr>
          <w:rFonts w:ascii="Arial" w:hAnsi="Arial" w:cs="Arial"/>
          <w:spacing w:val="-18"/>
          <w:sz w:val="24"/>
          <w:szCs w:val="24"/>
        </w:rPr>
        <w:t xml:space="preserve"> </w:t>
      </w:r>
      <w:r w:rsidR="00F32BC4" w:rsidRPr="00A91E0A">
        <w:rPr>
          <w:rFonts w:ascii="Arial" w:hAnsi="Arial" w:cs="Arial"/>
          <w:sz w:val="24"/>
          <w:szCs w:val="24"/>
        </w:rPr>
        <w:t>did</w:t>
      </w:r>
      <w:r w:rsidR="00F32BC4" w:rsidRPr="00A91E0A">
        <w:rPr>
          <w:rFonts w:ascii="Arial" w:hAnsi="Arial" w:cs="Arial"/>
          <w:spacing w:val="-15"/>
          <w:sz w:val="24"/>
          <w:szCs w:val="24"/>
        </w:rPr>
        <w:t xml:space="preserve"> </w:t>
      </w:r>
      <w:r w:rsidR="00F32BC4" w:rsidRPr="00A91E0A">
        <w:rPr>
          <w:rFonts w:ascii="Arial" w:hAnsi="Arial" w:cs="Arial"/>
          <w:sz w:val="24"/>
          <w:szCs w:val="24"/>
        </w:rPr>
        <w:t>not</w:t>
      </w:r>
      <w:r w:rsidR="00F32BC4" w:rsidRPr="00A91E0A">
        <w:rPr>
          <w:rFonts w:ascii="Arial" w:hAnsi="Arial" w:cs="Arial"/>
          <w:spacing w:val="-15"/>
          <w:sz w:val="24"/>
          <w:szCs w:val="24"/>
        </w:rPr>
        <w:t xml:space="preserve"> </w:t>
      </w:r>
      <w:r w:rsidR="00F32BC4" w:rsidRPr="00A91E0A">
        <w:rPr>
          <w:rFonts w:ascii="Arial" w:hAnsi="Arial" w:cs="Arial"/>
          <w:sz w:val="24"/>
          <w:szCs w:val="24"/>
        </w:rPr>
        <w:t>review</w:t>
      </w:r>
      <w:r w:rsidR="00F32BC4" w:rsidRPr="00A91E0A">
        <w:rPr>
          <w:rFonts w:ascii="Arial" w:hAnsi="Arial" w:cs="Arial"/>
          <w:spacing w:val="-65"/>
          <w:sz w:val="24"/>
          <w:szCs w:val="24"/>
        </w:rPr>
        <w:t xml:space="preserve"> </w:t>
      </w:r>
      <w:r w:rsidR="00A91E0A" w:rsidRPr="00A91E0A">
        <w:rPr>
          <w:rFonts w:ascii="Arial" w:hAnsi="Arial" w:cs="Arial"/>
          <w:spacing w:val="-65"/>
          <w:sz w:val="24"/>
          <w:szCs w:val="24"/>
        </w:rPr>
        <w:t xml:space="preserve">    </w:t>
      </w:r>
      <w:r w:rsidR="00F32BC4" w:rsidRPr="00A91E0A">
        <w:rPr>
          <w:rFonts w:ascii="Arial" w:hAnsi="Arial" w:cs="Arial"/>
          <w:sz w:val="24"/>
          <w:szCs w:val="24"/>
        </w:rPr>
        <w:t xml:space="preserve">and monitor compliance with applicable laws and regulations. There was </w:t>
      </w:r>
      <w:r w:rsidR="00A91E0A">
        <w:rPr>
          <w:rFonts w:ascii="Arial" w:hAnsi="Arial" w:cs="Arial"/>
          <w:sz w:val="24"/>
          <w:szCs w:val="24"/>
        </w:rPr>
        <w:t xml:space="preserve">also </w:t>
      </w:r>
      <w:r w:rsidR="00F32BC4" w:rsidRPr="00A91E0A">
        <w:rPr>
          <w:rFonts w:ascii="Arial" w:hAnsi="Arial" w:cs="Arial"/>
          <w:sz w:val="24"/>
          <w:szCs w:val="24"/>
        </w:rPr>
        <w:t>a</w:t>
      </w:r>
      <w:r w:rsidR="00F32BC4" w:rsidRPr="00A91E0A">
        <w:rPr>
          <w:rFonts w:ascii="Arial" w:hAnsi="Arial" w:cs="Arial"/>
          <w:spacing w:val="1"/>
          <w:sz w:val="24"/>
          <w:szCs w:val="24"/>
        </w:rPr>
        <w:t xml:space="preserve"> </w:t>
      </w:r>
      <w:r w:rsidR="00F32BC4" w:rsidRPr="00A91E0A">
        <w:rPr>
          <w:rFonts w:ascii="Arial" w:hAnsi="Arial" w:cs="Arial"/>
          <w:sz w:val="24"/>
          <w:szCs w:val="24"/>
        </w:rPr>
        <w:t xml:space="preserve">lack of adequate oversight in respect of the SCM process. </w:t>
      </w:r>
    </w:p>
    <w:p w14:paraId="11450F27" w14:textId="77777777" w:rsidR="00F32BC4" w:rsidRPr="00F533A8" w:rsidRDefault="00F32BC4" w:rsidP="00E212A8">
      <w:pPr>
        <w:pStyle w:val="BodyText"/>
        <w:spacing w:before="79" w:line="360" w:lineRule="auto"/>
        <w:ind w:right="133"/>
        <w:jc w:val="both"/>
      </w:pPr>
    </w:p>
    <w:p w14:paraId="62CD102E" w14:textId="77777777" w:rsidR="00F32BC4" w:rsidRPr="00F533A8" w:rsidRDefault="00F32BC4" w:rsidP="00E212A8">
      <w:pPr>
        <w:pStyle w:val="BodyText"/>
        <w:spacing w:before="79" w:line="360" w:lineRule="auto"/>
        <w:ind w:right="133"/>
        <w:jc w:val="both"/>
      </w:pPr>
      <w:r w:rsidRPr="00F533A8">
        <w:t>[84]</w:t>
      </w:r>
      <w:r w:rsidRPr="00F533A8">
        <w:tab/>
        <w:t>The</w:t>
      </w:r>
      <w:r w:rsidRPr="00F533A8">
        <w:rPr>
          <w:spacing w:val="128"/>
        </w:rPr>
        <w:t xml:space="preserve"> </w:t>
      </w:r>
      <w:r w:rsidRPr="00F533A8">
        <w:t>AG</w:t>
      </w:r>
      <w:r w:rsidRPr="00F533A8">
        <w:rPr>
          <w:spacing w:val="128"/>
        </w:rPr>
        <w:t xml:space="preserve"> </w:t>
      </w:r>
      <w:r w:rsidRPr="00F533A8">
        <w:t>made</w:t>
      </w:r>
      <w:r w:rsidRPr="00F533A8">
        <w:rPr>
          <w:spacing w:val="128"/>
        </w:rPr>
        <w:t xml:space="preserve"> </w:t>
      </w:r>
      <w:r w:rsidRPr="00F533A8">
        <w:t>the</w:t>
      </w:r>
      <w:r w:rsidRPr="00F533A8">
        <w:rPr>
          <w:spacing w:val="126"/>
        </w:rPr>
        <w:t xml:space="preserve"> </w:t>
      </w:r>
      <w:r w:rsidRPr="00F533A8">
        <w:t>following</w:t>
      </w:r>
      <w:r w:rsidRPr="00F533A8">
        <w:rPr>
          <w:spacing w:val="126"/>
        </w:rPr>
        <w:t xml:space="preserve"> </w:t>
      </w:r>
      <w:r w:rsidRPr="00F533A8">
        <w:t>recommendations to</w:t>
      </w:r>
      <w:r w:rsidRPr="00F533A8">
        <w:rPr>
          <w:spacing w:val="63"/>
        </w:rPr>
        <w:t xml:space="preserve"> </w:t>
      </w:r>
      <w:r w:rsidRPr="00F533A8">
        <w:t>the</w:t>
      </w:r>
      <w:r w:rsidRPr="00F533A8">
        <w:rPr>
          <w:spacing w:val="60"/>
        </w:rPr>
        <w:t xml:space="preserve"> DOT</w:t>
      </w:r>
      <w:r w:rsidRPr="00F533A8">
        <w:rPr>
          <w:spacing w:val="-64"/>
        </w:rPr>
        <w:t xml:space="preserve"> </w:t>
      </w:r>
      <w:r w:rsidRPr="00F533A8">
        <w:t>Management:</w:t>
      </w:r>
    </w:p>
    <w:p w14:paraId="221B9FC2" w14:textId="585F72F8" w:rsidR="00F32BC4" w:rsidRPr="00F533A8" w:rsidRDefault="009F468E" w:rsidP="009F468E">
      <w:pPr>
        <w:pStyle w:val="BodyText"/>
        <w:spacing w:before="79" w:line="360" w:lineRule="auto"/>
        <w:ind w:left="460" w:right="133" w:hanging="460"/>
        <w:jc w:val="both"/>
      </w:pPr>
      <w:r w:rsidRPr="00F533A8">
        <w:t>84.1</w:t>
      </w:r>
      <w:r w:rsidRPr="00F533A8">
        <w:tab/>
      </w:r>
      <w:r w:rsidR="00F32BC4" w:rsidRPr="00F533A8">
        <w:t>SCM</w:t>
      </w:r>
      <w:r w:rsidR="00F32BC4" w:rsidRPr="00F533A8">
        <w:rPr>
          <w:spacing w:val="-4"/>
        </w:rPr>
        <w:t xml:space="preserve"> </w:t>
      </w:r>
      <w:r w:rsidR="00F32BC4" w:rsidRPr="00F533A8">
        <w:t>prescripts</w:t>
      </w:r>
      <w:r w:rsidR="00F32BC4" w:rsidRPr="00F533A8">
        <w:rPr>
          <w:spacing w:val="-4"/>
        </w:rPr>
        <w:t xml:space="preserve"> </w:t>
      </w:r>
      <w:r w:rsidR="00F32BC4" w:rsidRPr="00F533A8">
        <w:t>must</w:t>
      </w:r>
      <w:r w:rsidR="00F32BC4" w:rsidRPr="00F533A8">
        <w:rPr>
          <w:spacing w:val="-1"/>
        </w:rPr>
        <w:t xml:space="preserve"> </w:t>
      </w:r>
      <w:r w:rsidR="00F32BC4" w:rsidRPr="00F533A8">
        <w:t>be</w:t>
      </w:r>
      <w:r w:rsidR="00F32BC4" w:rsidRPr="00F533A8">
        <w:rPr>
          <w:spacing w:val="-2"/>
        </w:rPr>
        <w:t xml:space="preserve"> </w:t>
      </w:r>
      <w:r w:rsidR="00F32BC4" w:rsidRPr="00F533A8">
        <w:t>complied</w:t>
      </w:r>
      <w:r w:rsidR="00F32BC4" w:rsidRPr="00F533A8">
        <w:rPr>
          <w:spacing w:val="-2"/>
        </w:rPr>
        <w:t xml:space="preserve"> </w:t>
      </w:r>
      <w:r w:rsidR="00F32BC4" w:rsidRPr="00F533A8">
        <w:t>with</w:t>
      </w:r>
      <w:r w:rsidR="00F32BC4" w:rsidRPr="00F533A8">
        <w:rPr>
          <w:spacing w:val="-1"/>
        </w:rPr>
        <w:t xml:space="preserve"> </w:t>
      </w:r>
      <w:r w:rsidR="00F32BC4" w:rsidRPr="00F533A8">
        <w:t>during</w:t>
      </w:r>
      <w:r w:rsidR="00F32BC4" w:rsidRPr="00F533A8">
        <w:rPr>
          <w:spacing w:val="-4"/>
        </w:rPr>
        <w:t xml:space="preserve"> </w:t>
      </w:r>
      <w:r w:rsidR="00F32BC4" w:rsidRPr="00F533A8">
        <w:t>the</w:t>
      </w:r>
      <w:r w:rsidR="00F32BC4" w:rsidRPr="00F533A8">
        <w:rPr>
          <w:spacing w:val="-2"/>
        </w:rPr>
        <w:t xml:space="preserve"> </w:t>
      </w:r>
      <w:r w:rsidR="00F32BC4" w:rsidRPr="00F533A8">
        <w:t>procurement</w:t>
      </w:r>
      <w:r w:rsidR="00F32BC4" w:rsidRPr="00F533A8">
        <w:rPr>
          <w:spacing w:val="-3"/>
        </w:rPr>
        <w:t xml:space="preserve"> </w:t>
      </w:r>
      <w:r w:rsidR="00F32BC4" w:rsidRPr="00F533A8">
        <w:t>process.</w:t>
      </w:r>
    </w:p>
    <w:p w14:paraId="68E83241" w14:textId="1048EAAC" w:rsidR="00F32BC4" w:rsidRPr="00F533A8" w:rsidRDefault="009F468E" w:rsidP="009F468E">
      <w:pPr>
        <w:pStyle w:val="BodyText"/>
        <w:spacing w:before="79" w:line="360" w:lineRule="auto"/>
        <w:ind w:left="460" w:right="133" w:hanging="460"/>
        <w:jc w:val="both"/>
      </w:pPr>
      <w:r w:rsidRPr="00F533A8">
        <w:t>84.2</w:t>
      </w:r>
      <w:r w:rsidRPr="00F533A8">
        <w:tab/>
      </w:r>
      <w:r w:rsidR="00F32BC4" w:rsidRPr="00F533A8">
        <w:t>Nexor’s appointment is regarded as</w:t>
      </w:r>
      <w:r w:rsidR="00F32BC4" w:rsidRPr="00F533A8">
        <w:rPr>
          <w:spacing w:val="1"/>
        </w:rPr>
        <w:t xml:space="preserve"> </w:t>
      </w:r>
      <w:r w:rsidR="00F32BC4" w:rsidRPr="00F533A8">
        <w:t>irregular</w:t>
      </w:r>
      <w:r w:rsidR="00F32BC4" w:rsidRPr="00F533A8">
        <w:rPr>
          <w:spacing w:val="1"/>
        </w:rPr>
        <w:t xml:space="preserve"> </w:t>
      </w:r>
      <w:r w:rsidR="00F32BC4" w:rsidRPr="00F533A8">
        <w:t>and</w:t>
      </w:r>
      <w:r w:rsidR="00F32BC4" w:rsidRPr="00F533A8">
        <w:rPr>
          <w:spacing w:val="1"/>
        </w:rPr>
        <w:t xml:space="preserve"> </w:t>
      </w:r>
      <w:r w:rsidR="00F32BC4" w:rsidRPr="00F533A8">
        <w:t>all</w:t>
      </w:r>
      <w:r w:rsidR="00F32BC4" w:rsidRPr="00F533A8">
        <w:rPr>
          <w:spacing w:val="1"/>
        </w:rPr>
        <w:t xml:space="preserve"> </w:t>
      </w:r>
      <w:r w:rsidR="00F32BC4" w:rsidRPr="00F533A8">
        <w:t>payments</w:t>
      </w:r>
      <w:r w:rsidR="00F32BC4" w:rsidRPr="00F533A8">
        <w:rPr>
          <w:spacing w:val="1"/>
        </w:rPr>
        <w:t xml:space="preserve"> </w:t>
      </w:r>
      <w:r w:rsidR="00F32BC4" w:rsidRPr="00F533A8">
        <w:t>made</w:t>
      </w:r>
      <w:r w:rsidR="00F32BC4" w:rsidRPr="00F533A8">
        <w:rPr>
          <w:spacing w:val="1"/>
        </w:rPr>
        <w:t xml:space="preserve"> </w:t>
      </w:r>
      <w:r w:rsidR="00F32BC4" w:rsidRPr="00F533A8">
        <w:t>should</w:t>
      </w:r>
      <w:r w:rsidR="00F32BC4" w:rsidRPr="00F533A8">
        <w:rPr>
          <w:spacing w:val="1"/>
        </w:rPr>
        <w:t xml:space="preserve"> </w:t>
      </w:r>
      <w:r w:rsidR="00F32BC4" w:rsidRPr="00F533A8">
        <w:t>be</w:t>
      </w:r>
      <w:r w:rsidR="00F32BC4" w:rsidRPr="00F533A8">
        <w:rPr>
          <w:spacing w:val="1"/>
        </w:rPr>
        <w:t xml:space="preserve"> </w:t>
      </w:r>
      <w:r w:rsidR="00F32BC4" w:rsidRPr="00F533A8">
        <w:t>disclosed</w:t>
      </w:r>
      <w:r w:rsidR="00F32BC4" w:rsidRPr="00F533A8">
        <w:rPr>
          <w:spacing w:val="1"/>
        </w:rPr>
        <w:t xml:space="preserve"> </w:t>
      </w:r>
      <w:r w:rsidR="00F32BC4" w:rsidRPr="00F533A8">
        <w:t>in</w:t>
      </w:r>
      <w:r w:rsidR="00F32BC4" w:rsidRPr="00F533A8">
        <w:rPr>
          <w:spacing w:val="1"/>
        </w:rPr>
        <w:t xml:space="preserve"> </w:t>
      </w:r>
      <w:r w:rsidR="00F32BC4" w:rsidRPr="00F533A8">
        <w:t>the</w:t>
      </w:r>
      <w:r w:rsidR="00F32BC4" w:rsidRPr="00F533A8">
        <w:rPr>
          <w:spacing w:val="1"/>
        </w:rPr>
        <w:t xml:space="preserve"> </w:t>
      </w:r>
      <w:r w:rsidR="00F32BC4" w:rsidRPr="00F533A8">
        <w:t>financial</w:t>
      </w:r>
      <w:r w:rsidR="00F32BC4" w:rsidRPr="00F533A8">
        <w:rPr>
          <w:spacing w:val="1"/>
        </w:rPr>
        <w:t xml:space="preserve"> </w:t>
      </w:r>
      <w:r w:rsidR="00F32BC4" w:rsidRPr="00F533A8">
        <w:t>statements.</w:t>
      </w:r>
    </w:p>
    <w:p w14:paraId="5A46792C" w14:textId="1089C4A0" w:rsidR="00F32BC4" w:rsidRPr="00F533A8" w:rsidRDefault="009F468E" w:rsidP="009F468E">
      <w:pPr>
        <w:pStyle w:val="BodyText"/>
        <w:spacing w:before="79" w:line="360" w:lineRule="auto"/>
        <w:ind w:left="460" w:right="133" w:hanging="460"/>
        <w:jc w:val="both"/>
      </w:pPr>
      <w:r w:rsidRPr="00F533A8">
        <w:t>84.3</w:t>
      </w:r>
      <w:r w:rsidRPr="00F533A8">
        <w:tab/>
      </w:r>
      <w:r w:rsidR="00F32BC4" w:rsidRPr="00F533A8">
        <w:t>DOT management to consider investigating the reason why the recommendations</w:t>
      </w:r>
      <w:r w:rsidR="00F32BC4" w:rsidRPr="00F533A8">
        <w:rPr>
          <w:spacing w:val="1"/>
        </w:rPr>
        <w:t xml:space="preserve"> </w:t>
      </w:r>
      <w:r w:rsidR="00F32BC4" w:rsidRPr="00F533A8">
        <w:t>by</w:t>
      </w:r>
      <w:r w:rsidR="00F32BC4" w:rsidRPr="00F533A8">
        <w:rPr>
          <w:spacing w:val="-4"/>
        </w:rPr>
        <w:t xml:space="preserve"> </w:t>
      </w:r>
      <w:r w:rsidR="00F32BC4" w:rsidRPr="00F533A8">
        <w:t>the National</w:t>
      </w:r>
      <w:r w:rsidR="00F32BC4" w:rsidRPr="00F533A8">
        <w:rPr>
          <w:spacing w:val="-3"/>
        </w:rPr>
        <w:t xml:space="preserve"> </w:t>
      </w:r>
      <w:r w:rsidR="00F32BC4" w:rsidRPr="00F533A8">
        <w:t>Treasury</w:t>
      </w:r>
      <w:r w:rsidR="00F32BC4" w:rsidRPr="00F533A8">
        <w:rPr>
          <w:spacing w:val="-1"/>
        </w:rPr>
        <w:t xml:space="preserve"> </w:t>
      </w:r>
      <w:r w:rsidR="002925AD" w:rsidRPr="00F533A8">
        <w:t>were</w:t>
      </w:r>
      <w:r w:rsidR="00F32BC4" w:rsidRPr="00F533A8">
        <w:t xml:space="preserve"> not</w:t>
      </w:r>
      <w:r w:rsidR="00F32BC4" w:rsidRPr="00F533A8">
        <w:rPr>
          <w:spacing w:val="-1"/>
        </w:rPr>
        <w:t xml:space="preserve"> </w:t>
      </w:r>
      <w:r w:rsidR="00F32BC4" w:rsidRPr="00F533A8">
        <w:t>adhered</w:t>
      </w:r>
      <w:r w:rsidR="00F32BC4" w:rsidRPr="00F533A8">
        <w:rPr>
          <w:spacing w:val="-2"/>
        </w:rPr>
        <w:t xml:space="preserve"> </w:t>
      </w:r>
      <w:r w:rsidR="00F32BC4" w:rsidRPr="00F533A8">
        <w:t>to.</w:t>
      </w:r>
    </w:p>
    <w:p w14:paraId="5CA384CB" w14:textId="77777777" w:rsidR="00F32BC4" w:rsidRPr="00F533A8" w:rsidRDefault="00F32BC4" w:rsidP="00E212A8">
      <w:pPr>
        <w:pStyle w:val="BodyText"/>
        <w:spacing w:line="360" w:lineRule="auto"/>
      </w:pPr>
    </w:p>
    <w:p w14:paraId="674AA98E" w14:textId="15FA8CA1" w:rsidR="00F32BC4" w:rsidRPr="00F533A8" w:rsidRDefault="00F32BC4" w:rsidP="00E212A8">
      <w:pPr>
        <w:tabs>
          <w:tab w:val="left" w:pos="568"/>
        </w:tabs>
        <w:spacing w:line="360" w:lineRule="auto"/>
        <w:ind w:right="135"/>
        <w:jc w:val="both"/>
        <w:rPr>
          <w:rFonts w:ascii="Arial" w:hAnsi="Arial" w:cs="Arial"/>
          <w:sz w:val="24"/>
          <w:szCs w:val="24"/>
        </w:rPr>
      </w:pPr>
      <w:r w:rsidRPr="00F533A8">
        <w:rPr>
          <w:rFonts w:ascii="Arial" w:hAnsi="Arial" w:cs="Arial"/>
          <w:sz w:val="24"/>
          <w:szCs w:val="24"/>
        </w:rPr>
        <w:t>[85]</w:t>
      </w:r>
      <w:r w:rsidR="00396285">
        <w:rPr>
          <w:rFonts w:ascii="Arial" w:hAnsi="Arial" w:cs="Arial"/>
          <w:sz w:val="24"/>
          <w:szCs w:val="24"/>
        </w:rPr>
        <w:tab/>
      </w:r>
      <w:r w:rsidRPr="00F533A8">
        <w:rPr>
          <w:rFonts w:ascii="Arial" w:hAnsi="Arial" w:cs="Arial"/>
          <w:sz w:val="24"/>
          <w:szCs w:val="24"/>
        </w:rPr>
        <w:t xml:space="preserve">The SIU alleges that </w:t>
      </w:r>
      <w:r w:rsidR="00701E48">
        <w:rPr>
          <w:rFonts w:ascii="Arial" w:hAnsi="Arial" w:cs="Arial"/>
          <w:sz w:val="24"/>
          <w:szCs w:val="24"/>
        </w:rPr>
        <w:t>AGSA</w:t>
      </w:r>
      <w:r w:rsidR="00F533A8" w:rsidRPr="00F533A8">
        <w:rPr>
          <w:rFonts w:ascii="Arial" w:hAnsi="Arial" w:cs="Arial"/>
          <w:sz w:val="24"/>
          <w:szCs w:val="24"/>
        </w:rPr>
        <w:t xml:space="preserve">’s </w:t>
      </w:r>
      <w:r w:rsidRPr="00F533A8">
        <w:rPr>
          <w:rFonts w:ascii="Arial" w:hAnsi="Arial" w:cs="Arial"/>
          <w:sz w:val="24"/>
          <w:szCs w:val="24"/>
        </w:rPr>
        <w:t>findings</w:t>
      </w:r>
      <w:r w:rsidRPr="00F533A8">
        <w:rPr>
          <w:rFonts w:ascii="Arial" w:hAnsi="Arial" w:cs="Arial"/>
          <w:spacing w:val="17"/>
          <w:sz w:val="24"/>
          <w:szCs w:val="24"/>
        </w:rPr>
        <w:t xml:space="preserve"> </w:t>
      </w:r>
      <w:r w:rsidRPr="00F533A8">
        <w:rPr>
          <w:rFonts w:ascii="Arial" w:hAnsi="Arial" w:cs="Arial"/>
          <w:sz w:val="24"/>
          <w:szCs w:val="24"/>
        </w:rPr>
        <w:t>confirm</w:t>
      </w:r>
      <w:r w:rsidRPr="00F533A8">
        <w:rPr>
          <w:rFonts w:ascii="Arial" w:hAnsi="Arial" w:cs="Arial"/>
          <w:spacing w:val="19"/>
          <w:sz w:val="24"/>
          <w:szCs w:val="24"/>
        </w:rPr>
        <w:t xml:space="preserve"> </w:t>
      </w:r>
      <w:r w:rsidRPr="00F533A8">
        <w:rPr>
          <w:rFonts w:ascii="Arial" w:hAnsi="Arial" w:cs="Arial"/>
          <w:sz w:val="24"/>
          <w:szCs w:val="24"/>
        </w:rPr>
        <w:t>that</w:t>
      </w:r>
      <w:r w:rsidRPr="00F533A8">
        <w:rPr>
          <w:rFonts w:ascii="Arial" w:hAnsi="Arial" w:cs="Arial"/>
          <w:spacing w:val="19"/>
          <w:sz w:val="24"/>
          <w:szCs w:val="24"/>
        </w:rPr>
        <w:t xml:space="preserve"> </w:t>
      </w:r>
      <w:r w:rsidRPr="00F533A8">
        <w:rPr>
          <w:rFonts w:ascii="Arial" w:hAnsi="Arial" w:cs="Arial"/>
          <w:sz w:val="24"/>
          <w:szCs w:val="24"/>
        </w:rPr>
        <w:t>there</w:t>
      </w:r>
      <w:r w:rsidRPr="00F533A8">
        <w:rPr>
          <w:rFonts w:ascii="Arial" w:hAnsi="Arial" w:cs="Arial"/>
          <w:spacing w:val="17"/>
          <w:sz w:val="24"/>
          <w:szCs w:val="24"/>
        </w:rPr>
        <w:t xml:space="preserve"> </w:t>
      </w:r>
      <w:r w:rsidRPr="00F533A8">
        <w:rPr>
          <w:rFonts w:ascii="Arial" w:hAnsi="Arial" w:cs="Arial"/>
          <w:sz w:val="24"/>
          <w:szCs w:val="24"/>
        </w:rPr>
        <w:t>were</w:t>
      </w:r>
      <w:r w:rsidRPr="00F533A8">
        <w:rPr>
          <w:rFonts w:ascii="Arial" w:hAnsi="Arial" w:cs="Arial"/>
          <w:spacing w:val="20"/>
          <w:sz w:val="24"/>
          <w:szCs w:val="24"/>
        </w:rPr>
        <w:t xml:space="preserve"> </w:t>
      </w:r>
      <w:r w:rsidRPr="00F533A8">
        <w:rPr>
          <w:rFonts w:ascii="Arial" w:hAnsi="Arial" w:cs="Arial"/>
          <w:sz w:val="24"/>
          <w:szCs w:val="24"/>
        </w:rPr>
        <w:t>irregularities</w:t>
      </w:r>
      <w:r w:rsidRPr="00F533A8">
        <w:rPr>
          <w:rFonts w:ascii="Arial" w:hAnsi="Arial" w:cs="Arial"/>
          <w:spacing w:val="19"/>
          <w:sz w:val="24"/>
          <w:szCs w:val="24"/>
        </w:rPr>
        <w:t xml:space="preserve"> </w:t>
      </w:r>
      <w:r w:rsidRPr="00F533A8">
        <w:rPr>
          <w:rFonts w:ascii="Arial" w:hAnsi="Arial" w:cs="Arial"/>
          <w:sz w:val="24"/>
          <w:szCs w:val="24"/>
        </w:rPr>
        <w:t>in</w:t>
      </w:r>
      <w:r w:rsidRPr="00F533A8">
        <w:rPr>
          <w:rFonts w:ascii="Arial" w:hAnsi="Arial" w:cs="Arial"/>
          <w:spacing w:val="18"/>
          <w:sz w:val="24"/>
          <w:szCs w:val="24"/>
        </w:rPr>
        <w:t xml:space="preserve"> </w:t>
      </w:r>
      <w:r w:rsidRPr="00F533A8">
        <w:rPr>
          <w:rFonts w:ascii="Arial" w:hAnsi="Arial" w:cs="Arial"/>
          <w:sz w:val="24"/>
          <w:szCs w:val="24"/>
        </w:rPr>
        <w:t>the</w:t>
      </w:r>
      <w:r w:rsidRPr="00F533A8">
        <w:rPr>
          <w:rFonts w:ascii="Arial" w:hAnsi="Arial" w:cs="Arial"/>
          <w:spacing w:val="18"/>
          <w:sz w:val="24"/>
          <w:szCs w:val="24"/>
        </w:rPr>
        <w:t xml:space="preserve"> </w:t>
      </w:r>
      <w:r w:rsidRPr="00F533A8">
        <w:rPr>
          <w:rFonts w:ascii="Arial" w:hAnsi="Arial" w:cs="Arial"/>
          <w:sz w:val="24"/>
          <w:szCs w:val="24"/>
        </w:rPr>
        <w:t>procurement</w:t>
      </w:r>
      <w:r w:rsidR="00F533A8" w:rsidRPr="00F533A8">
        <w:rPr>
          <w:rFonts w:ascii="Arial" w:hAnsi="Arial" w:cs="Arial"/>
          <w:sz w:val="24"/>
          <w:szCs w:val="24"/>
        </w:rPr>
        <w:t xml:space="preserve"> </w:t>
      </w:r>
      <w:r w:rsidRPr="00F533A8">
        <w:rPr>
          <w:rFonts w:ascii="Arial" w:hAnsi="Arial" w:cs="Arial"/>
          <w:spacing w:val="-64"/>
          <w:sz w:val="24"/>
          <w:szCs w:val="24"/>
        </w:rPr>
        <w:t xml:space="preserve"> </w:t>
      </w:r>
      <w:r w:rsidRPr="00F533A8">
        <w:rPr>
          <w:rFonts w:ascii="Arial" w:hAnsi="Arial" w:cs="Arial"/>
          <w:sz w:val="24"/>
          <w:szCs w:val="24"/>
        </w:rPr>
        <w:t>process</w:t>
      </w:r>
      <w:r w:rsidRPr="00F533A8">
        <w:rPr>
          <w:rFonts w:ascii="Arial" w:hAnsi="Arial" w:cs="Arial"/>
          <w:color w:val="FF0000"/>
          <w:sz w:val="24"/>
          <w:szCs w:val="24"/>
        </w:rPr>
        <w:t>,</w:t>
      </w:r>
      <w:r w:rsidRPr="00F533A8">
        <w:rPr>
          <w:rFonts w:ascii="Arial" w:hAnsi="Arial" w:cs="Arial"/>
          <w:color w:val="FF0000"/>
          <w:spacing w:val="-1"/>
          <w:sz w:val="24"/>
          <w:szCs w:val="24"/>
        </w:rPr>
        <w:t xml:space="preserve"> </w:t>
      </w:r>
      <w:r w:rsidRPr="00F533A8">
        <w:rPr>
          <w:rFonts w:ascii="Arial" w:hAnsi="Arial" w:cs="Arial"/>
          <w:sz w:val="24"/>
          <w:szCs w:val="24"/>
        </w:rPr>
        <w:t>hence</w:t>
      </w:r>
      <w:r w:rsidRPr="00F533A8">
        <w:rPr>
          <w:rFonts w:ascii="Arial" w:hAnsi="Arial" w:cs="Arial"/>
          <w:spacing w:val="-1"/>
          <w:sz w:val="24"/>
          <w:szCs w:val="24"/>
        </w:rPr>
        <w:t xml:space="preserve"> </w:t>
      </w:r>
      <w:r w:rsidRPr="00F533A8">
        <w:rPr>
          <w:rFonts w:ascii="Arial" w:hAnsi="Arial" w:cs="Arial"/>
          <w:sz w:val="24"/>
          <w:szCs w:val="24"/>
        </w:rPr>
        <w:t>the</w:t>
      </w:r>
      <w:r w:rsidRPr="00F533A8">
        <w:rPr>
          <w:rFonts w:ascii="Arial" w:hAnsi="Arial" w:cs="Arial"/>
          <w:spacing w:val="-2"/>
          <w:sz w:val="24"/>
          <w:szCs w:val="24"/>
        </w:rPr>
        <w:t xml:space="preserve"> </w:t>
      </w:r>
      <w:r w:rsidRPr="00F533A8">
        <w:rPr>
          <w:rFonts w:ascii="Arial" w:hAnsi="Arial" w:cs="Arial"/>
          <w:sz w:val="24"/>
          <w:szCs w:val="24"/>
        </w:rPr>
        <w:t>decision</w:t>
      </w:r>
      <w:r w:rsidRPr="00F533A8">
        <w:rPr>
          <w:rFonts w:ascii="Arial" w:hAnsi="Arial" w:cs="Arial"/>
          <w:spacing w:val="1"/>
          <w:sz w:val="24"/>
          <w:szCs w:val="24"/>
        </w:rPr>
        <w:t xml:space="preserve"> </w:t>
      </w:r>
      <w:r w:rsidRPr="00F533A8">
        <w:rPr>
          <w:rFonts w:ascii="Arial" w:hAnsi="Arial" w:cs="Arial"/>
          <w:sz w:val="24"/>
          <w:szCs w:val="24"/>
        </w:rPr>
        <w:t>to</w:t>
      </w:r>
      <w:r w:rsidRPr="00F533A8">
        <w:rPr>
          <w:rFonts w:ascii="Arial" w:hAnsi="Arial" w:cs="Arial"/>
          <w:spacing w:val="1"/>
          <w:sz w:val="24"/>
          <w:szCs w:val="24"/>
        </w:rPr>
        <w:t xml:space="preserve"> </w:t>
      </w:r>
      <w:r w:rsidRPr="00F533A8">
        <w:rPr>
          <w:rFonts w:ascii="Arial" w:hAnsi="Arial" w:cs="Arial"/>
          <w:sz w:val="24"/>
          <w:szCs w:val="24"/>
        </w:rPr>
        <w:t>award</w:t>
      </w:r>
      <w:r w:rsidRPr="00F533A8">
        <w:rPr>
          <w:rFonts w:ascii="Arial" w:hAnsi="Arial" w:cs="Arial"/>
          <w:spacing w:val="-2"/>
          <w:sz w:val="24"/>
          <w:szCs w:val="24"/>
        </w:rPr>
        <w:t xml:space="preserve"> </w:t>
      </w:r>
      <w:r w:rsidRPr="00F533A8">
        <w:rPr>
          <w:rFonts w:ascii="Arial" w:hAnsi="Arial" w:cs="Arial"/>
          <w:sz w:val="24"/>
          <w:szCs w:val="24"/>
        </w:rPr>
        <w:t>the</w:t>
      </w:r>
      <w:r w:rsidRPr="00F533A8">
        <w:rPr>
          <w:rFonts w:ascii="Arial" w:hAnsi="Arial" w:cs="Arial"/>
          <w:spacing w:val="-1"/>
          <w:sz w:val="24"/>
          <w:szCs w:val="24"/>
        </w:rPr>
        <w:t xml:space="preserve"> </w:t>
      </w:r>
      <w:r w:rsidRPr="00F533A8">
        <w:rPr>
          <w:rFonts w:ascii="Arial" w:hAnsi="Arial" w:cs="Arial"/>
          <w:sz w:val="24"/>
          <w:szCs w:val="24"/>
        </w:rPr>
        <w:t>tender</w:t>
      </w:r>
      <w:r w:rsidRPr="00F533A8">
        <w:rPr>
          <w:rFonts w:ascii="Arial" w:hAnsi="Arial" w:cs="Arial"/>
          <w:spacing w:val="-1"/>
          <w:sz w:val="24"/>
          <w:szCs w:val="24"/>
        </w:rPr>
        <w:t xml:space="preserve"> </w:t>
      </w:r>
      <w:r w:rsidR="00F533A8" w:rsidRPr="00F533A8">
        <w:rPr>
          <w:rFonts w:ascii="Arial" w:hAnsi="Arial" w:cs="Arial"/>
          <w:sz w:val="24"/>
          <w:szCs w:val="24"/>
        </w:rPr>
        <w:t>Nexor</w:t>
      </w:r>
      <w:r w:rsidRPr="00F533A8">
        <w:rPr>
          <w:rFonts w:ascii="Arial" w:hAnsi="Arial" w:cs="Arial"/>
          <w:spacing w:val="5"/>
          <w:sz w:val="24"/>
          <w:szCs w:val="24"/>
        </w:rPr>
        <w:t xml:space="preserve"> </w:t>
      </w:r>
      <w:r w:rsidRPr="00F533A8">
        <w:rPr>
          <w:rFonts w:ascii="Arial" w:hAnsi="Arial" w:cs="Arial"/>
          <w:sz w:val="24"/>
          <w:szCs w:val="24"/>
        </w:rPr>
        <w:t>falls</w:t>
      </w:r>
      <w:r w:rsidRPr="00F533A8">
        <w:rPr>
          <w:rFonts w:ascii="Arial" w:hAnsi="Arial" w:cs="Arial"/>
          <w:spacing w:val="-2"/>
          <w:sz w:val="24"/>
          <w:szCs w:val="24"/>
        </w:rPr>
        <w:t xml:space="preserve"> </w:t>
      </w:r>
      <w:r w:rsidRPr="00F533A8">
        <w:rPr>
          <w:rFonts w:ascii="Arial" w:hAnsi="Arial" w:cs="Arial"/>
          <w:sz w:val="24"/>
          <w:szCs w:val="24"/>
        </w:rPr>
        <w:t>to</w:t>
      </w:r>
      <w:r w:rsidR="00F533A8" w:rsidRPr="00F533A8">
        <w:rPr>
          <w:rFonts w:ascii="Arial" w:hAnsi="Arial" w:cs="Arial"/>
          <w:sz w:val="24"/>
          <w:szCs w:val="24"/>
        </w:rPr>
        <w:t xml:space="preserve"> </w:t>
      </w:r>
      <w:r w:rsidRPr="00F533A8">
        <w:rPr>
          <w:rFonts w:ascii="Arial" w:hAnsi="Arial" w:cs="Arial"/>
          <w:sz w:val="24"/>
          <w:szCs w:val="24"/>
        </w:rPr>
        <w:t>be</w:t>
      </w:r>
      <w:r w:rsidRPr="00F533A8">
        <w:rPr>
          <w:rFonts w:ascii="Arial" w:hAnsi="Arial" w:cs="Arial"/>
          <w:spacing w:val="-3"/>
          <w:sz w:val="24"/>
          <w:szCs w:val="24"/>
        </w:rPr>
        <w:t xml:space="preserve"> </w:t>
      </w:r>
      <w:r w:rsidRPr="00F533A8">
        <w:rPr>
          <w:rFonts w:ascii="Arial" w:hAnsi="Arial" w:cs="Arial"/>
          <w:sz w:val="24"/>
          <w:szCs w:val="24"/>
        </w:rPr>
        <w:t>reviewed.</w:t>
      </w:r>
    </w:p>
    <w:p w14:paraId="6092E5BC" w14:textId="77777777" w:rsidR="00F533A8" w:rsidRPr="00F533A8" w:rsidRDefault="00F533A8" w:rsidP="00E212A8">
      <w:pPr>
        <w:tabs>
          <w:tab w:val="left" w:pos="568"/>
        </w:tabs>
        <w:spacing w:line="360" w:lineRule="auto"/>
        <w:ind w:right="135"/>
        <w:jc w:val="both"/>
        <w:rPr>
          <w:rFonts w:ascii="Arial" w:hAnsi="Arial" w:cs="Arial"/>
          <w:sz w:val="24"/>
          <w:szCs w:val="24"/>
        </w:rPr>
      </w:pPr>
    </w:p>
    <w:p w14:paraId="331E560D" w14:textId="20AE1252" w:rsidR="00F533A8" w:rsidRPr="00F533A8" w:rsidRDefault="00F533A8" w:rsidP="00E212A8">
      <w:pPr>
        <w:tabs>
          <w:tab w:val="left" w:pos="568"/>
        </w:tabs>
        <w:spacing w:line="360" w:lineRule="auto"/>
        <w:ind w:right="135"/>
        <w:jc w:val="both"/>
        <w:rPr>
          <w:rFonts w:ascii="Arial" w:hAnsi="Arial" w:cs="Arial"/>
          <w:sz w:val="24"/>
          <w:szCs w:val="24"/>
        </w:rPr>
      </w:pPr>
      <w:r w:rsidRPr="00F533A8">
        <w:rPr>
          <w:rFonts w:ascii="Arial" w:hAnsi="Arial" w:cs="Arial"/>
          <w:sz w:val="24"/>
          <w:szCs w:val="24"/>
        </w:rPr>
        <w:t>[86]</w:t>
      </w:r>
      <w:r w:rsidRPr="00F533A8">
        <w:rPr>
          <w:rFonts w:ascii="Arial" w:hAnsi="Arial" w:cs="Arial"/>
          <w:sz w:val="24"/>
          <w:szCs w:val="24"/>
        </w:rPr>
        <w:tab/>
        <w:t xml:space="preserve">As contended by DOT, the SIU’s reliance on </w:t>
      </w:r>
      <w:r w:rsidR="00701E48">
        <w:rPr>
          <w:rFonts w:ascii="Arial" w:hAnsi="Arial" w:cs="Arial"/>
          <w:sz w:val="24"/>
          <w:szCs w:val="24"/>
        </w:rPr>
        <w:t>AGSA</w:t>
      </w:r>
      <w:r w:rsidRPr="00F533A8">
        <w:rPr>
          <w:rFonts w:ascii="Arial" w:hAnsi="Arial" w:cs="Arial"/>
          <w:sz w:val="24"/>
          <w:szCs w:val="24"/>
        </w:rPr>
        <w:t xml:space="preserve">’s findings is misplaced. It did not properly investigate them. It did not consider DOT’s response to the findings, which reflects that </w:t>
      </w:r>
      <w:r w:rsidR="00701E48">
        <w:rPr>
          <w:rFonts w:ascii="Arial" w:hAnsi="Arial" w:cs="Arial"/>
          <w:sz w:val="24"/>
          <w:szCs w:val="24"/>
        </w:rPr>
        <w:t>AGSA</w:t>
      </w:r>
      <w:r w:rsidRPr="00F533A8">
        <w:rPr>
          <w:rFonts w:ascii="Arial" w:hAnsi="Arial" w:cs="Arial"/>
          <w:sz w:val="24"/>
          <w:szCs w:val="24"/>
        </w:rPr>
        <w:t>’s findings are incorrect. The SIU has no mandate to act on the findings in terms of the SIU Act as they do</w:t>
      </w:r>
      <w:r w:rsidR="00A91E0A">
        <w:rPr>
          <w:rFonts w:ascii="Arial" w:hAnsi="Arial" w:cs="Arial"/>
          <w:sz w:val="24"/>
          <w:szCs w:val="24"/>
        </w:rPr>
        <w:t xml:space="preserve"> </w:t>
      </w:r>
      <w:r w:rsidRPr="00F533A8">
        <w:rPr>
          <w:rFonts w:ascii="Arial" w:hAnsi="Arial" w:cs="Arial"/>
          <w:sz w:val="24"/>
          <w:szCs w:val="24"/>
        </w:rPr>
        <w:t>n</w:t>
      </w:r>
      <w:r w:rsidR="00A91E0A">
        <w:rPr>
          <w:rFonts w:ascii="Arial" w:hAnsi="Arial" w:cs="Arial"/>
          <w:sz w:val="24"/>
          <w:szCs w:val="24"/>
        </w:rPr>
        <w:t>o</w:t>
      </w:r>
      <w:r w:rsidRPr="00F533A8">
        <w:rPr>
          <w:rFonts w:ascii="Arial" w:hAnsi="Arial" w:cs="Arial"/>
          <w:sz w:val="24"/>
          <w:szCs w:val="24"/>
        </w:rPr>
        <w:t xml:space="preserve">t emanate from its investigation. Further, </w:t>
      </w:r>
      <w:r w:rsidR="00701E48">
        <w:rPr>
          <w:rFonts w:ascii="Arial" w:hAnsi="Arial" w:cs="Arial"/>
          <w:sz w:val="24"/>
          <w:szCs w:val="24"/>
        </w:rPr>
        <w:t>AGSA</w:t>
      </w:r>
      <w:r w:rsidRPr="00F533A8">
        <w:rPr>
          <w:rFonts w:ascii="Arial" w:hAnsi="Arial" w:cs="Arial"/>
          <w:sz w:val="24"/>
          <w:szCs w:val="24"/>
        </w:rPr>
        <w:t xml:space="preserve"> has not referred the findings to the SIU for further action in terms of  section 5A of the Public Audit Act, 25 of 2004 (“the PAA”).</w:t>
      </w:r>
      <w:r w:rsidR="00A91E0A">
        <w:rPr>
          <w:rFonts w:ascii="Arial" w:hAnsi="Arial" w:cs="Arial"/>
          <w:sz w:val="24"/>
          <w:szCs w:val="24"/>
        </w:rPr>
        <w:t xml:space="preserve"> I am constrained to rely on the positions DOT and Nexor take in respect of the AGSA’s report. </w:t>
      </w:r>
    </w:p>
    <w:p w14:paraId="3657A4EC" w14:textId="77777777" w:rsidR="00F32BC4" w:rsidRPr="00F533A8" w:rsidRDefault="00F32BC4" w:rsidP="00E212A8">
      <w:pPr>
        <w:pStyle w:val="BodyText"/>
        <w:spacing w:line="360" w:lineRule="auto"/>
      </w:pPr>
    </w:p>
    <w:p w14:paraId="60DC604D" w14:textId="12592F35" w:rsidR="009C766C" w:rsidRPr="00F533A8" w:rsidRDefault="001218F2" w:rsidP="00E212A8">
      <w:pPr>
        <w:tabs>
          <w:tab w:val="left" w:pos="1701"/>
          <w:tab w:val="left" w:pos="2552"/>
        </w:tabs>
        <w:spacing w:line="360" w:lineRule="auto"/>
        <w:jc w:val="both"/>
        <w:rPr>
          <w:rFonts w:ascii="Arial" w:hAnsi="Arial" w:cs="Arial"/>
          <w:b/>
          <w:bCs/>
          <w:i/>
          <w:iCs/>
          <w:sz w:val="24"/>
          <w:szCs w:val="24"/>
        </w:rPr>
      </w:pPr>
      <w:r w:rsidRPr="00F533A8">
        <w:rPr>
          <w:rFonts w:ascii="Arial" w:hAnsi="Arial" w:cs="Arial"/>
          <w:b/>
          <w:bCs/>
          <w:i/>
          <w:iCs/>
          <w:sz w:val="24"/>
          <w:szCs w:val="24"/>
        </w:rPr>
        <w:t>Double charging and Claim for Services not Rendered</w:t>
      </w:r>
    </w:p>
    <w:p w14:paraId="26D9E175" w14:textId="38B7EB31" w:rsidR="00536E47" w:rsidRPr="00F533A8" w:rsidRDefault="00536E47" w:rsidP="00E212A8">
      <w:pPr>
        <w:spacing w:line="360" w:lineRule="auto"/>
        <w:jc w:val="both"/>
        <w:rPr>
          <w:rFonts w:ascii="Arial" w:hAnsi="Arial" w:cs="Arial"/>
          <w:i/>
          <w:iCs/>
          <w:sz w:val="24"/>
          <w:szCs w:val="24"/>
          <w:lang w:val="en-GB"/>
        </w:rPr>
      </w:pPr>
      <w:r w:rsidRPr="00F533A8">
        <w:rPr>
          <w:rFonts w:ascii="Arial" w:hAnsi="Arial" w:cs="Arial"/>
          <w:i/>
          <w:iCs/>
          <w:sz w:val="24"/>
          <w:szCs w:val="24"/>
          <w:lang w:val="en-GB"/>
        </w:rPr>
        <w:t>Payment for Bridges and Culverts</w:t>
      </w:r>
    </w:p>
    <w:p w14:paraId="0FAB1A7A" w14:textId="7D41B422" w:rsidR="00536E47" w:rsidRPr="00F533A8" w:rsidRDefault="00536E47" w:rsidP="00E212A8">
      <w:pPr>
        <w:spacing w:line="360" w:lineRule="auto"/>
        <w:jc w:val="both"/>
        <w:rPr>
          <w:rFonts w:ascii="Arial" w:hAnsi="Arial" w:cs="Arial"/>
          <w:sz w:val="24"/>
          <w:szCs w:val="24"/>
          <w:lang w:val="en-GB"/>
        </w:rPr>
      </w:pPr>
      <w:r w:rsidRPr="00F533A8">
        <w:rPr>
          <w:rFonts w:ascii="Arial" w:hAnsi="Arial" w:cs="Arial"/>
          <w:sz w:val="24"/>
          <w:szCs w:val="24"/>
          <w:lang w:val="en-GB"/>
        </w:rPr>
        <w:t>[</w:t>
      </w:r>
      <w:r w:rsidR="00F44A7E">
        <w:rPr>
          <w:rFonts w:ascii="Arial" w:hAnsi="Arial" w:cs="Arial"/>
          <w:sz w:val="24"/>
          <w:szCs w:val="24"/>
          <w:lang w:val="en-GB"/>
        </w:rPr>
        <w:t>8</w:t>
      </w:r>
      <w:r w:rsidRPr="00F533A8">
        <w:rPr>
          <w:rFonts w:ascii="Arial" w:hAnsi="Arial" w:cs="Arial"/>
          <w:sz w:val="24"/>
          <w:szCs w:val="24"/>
          <w:lang w:val="en-GB"/>
        </w:rPr>
        <w:t>7]</w:t>
      </w:r>
      <w:r w:rsidRPr="00F533A8">
        <w:rPr>
          <w:rFonts w:ascii="Arial" w:hAnsi="Arial" w:cs="Arial"/>
          <w:sz w:val="24"/>
          <w:szCs w:val="24"/>
          <w:lang w:val="en-GB"/>
        </w:rPr>
        <w:tab/>
        <w:t xml:space="preserve">The SIU alleges that on 18 December 2018 Nexor claimed, and DOT paid to Nexor an amount of R25,412, 700 in professional fees for the inspection of Bridges and Culverts. On 9 January 2019, Nexor again claimed for the same item an amount of R35,000,00 which DOT also paid. </w:t>
      </w:r>
      <w:r w:rsidR="00F44A7E">
        <w:rPr>
          <w:rFonts w:ascii="Arial" w:hAnsi="Arial" w:cs="Arial"/>
          <w:sz w:val="24"/>
          <w:szCs w:val="24"/>
          <w:lang w:val="en-GB"/>
        </w:rPr>
        <w:t xml:space="preserve">Therefore, </w:t>
      </w:r>
      <w:r w:rsidRPr="00F533A8">
        <w:rPr>
          <w:rFonts w:ascii="Arial" w:hAnsi="Arial" w:cs="Arial"/>
          <w:sz w:val="24"/>
          <w:szCs w:val="24"/>
          <w:lang w:val="en-GB"/>
        </w:rPr>
        <w:t xml:space="preserve">Nexor double charged for this item. </w:t>
      </w:r>
      <w:r w:rsidR="00F44A7E">
        <w:rPr>
          <w:rFonts w:ascii="Arial" w:hAnsi="Arial" w:cs="Arial"/>
          <w:sz w:val="24"/>
          <w:szCs w:val="24"/>
          <w:lang w:val="en-GB"/>
        </w:rPr>
        <w:t>This item</w:t>
      </w:r>
      <w:r w:rsidRPr="00F533A8">
        <w:rPr>
          <w:rFonts w:ascii="Arial" w:hAnsi="Arial" w:cs="Arial"/>
          <w:sz w:val="24"/>
          <w:szCs w:val="24"/>
          <w:lang w:val="en-GB"/>
        </w:rPr>
        <w:t xml:space="preserve"> was part of the contract and should have been covered in the payment for R35,000,000. Alternatively, in the event that the inspection of bridges was not part of the contract, a variation of the contract ought to have been </w:t>
      </w:r>
      <w:r w:rsidR="00396285">
        <w:rPr>
          <w:rFonts w:ascii="Arial" w:hAnsi="Arial" w:cs="Arial"/>
          <w:sz w:val="24"/>
          <w:szCs w:val="24"/>
          <w:lang w:val="en-GB"/>
        </w:rPr>
        <w:t>made</w:t>
      </w:r>
      <w:r w:rsidRPr="00F533A8">
        <w:rPr>
          <w:rFonts w:ascii="Arial" w:hAnsi="Arial" w:cs="Arial"/>
          <w:sz w:val="24"/>
          <w:szCs w:val="24"/>
          <w:lang w:val="en-GB"/>
        </w:rPr>
        <w:t xml:space="preserve"> or a new tender issued. Therefore, the amount of R25,412,700 was irregularly claimed. It constitutes fruitless and wasteful expenditure in terms of section 45 of the PFMA.  </w:t>
      </w:r>
    </w:p>
    <w:p w14:paraId="32236D0C" w14:textId="77777777" w:rsidR="00536E47" w:rsidRPr="00F533A8" w:rsidRDefault="00536E47" w:rsidP="00E212A8">
      <w:pPr>
        <w:spacing w:line="360" w:lineRule="auto"/>
        <w:jc w:val="both"/>
        <w:rPr>
          <w:rFonts w:ascii="Arial" w:hAnsi="Arial" w:cs="Arial"/>
          <w:sz w:val="24"/>
          <w:szCs w:val="24"/>
          <w:lang w:val="en-GB"/>
        </w:rPr>
      </w:pPr>
    </w:p>
    <w:p w14:paraId="6CCE9E8E" w14:textId="44B531A8" w:rsidR="00536E47" w:rsidRPr="00F533A8" w:rsidRDefault="00536E47" w:rsidP="00E212A8">
      <w:pPr>
        <w:spacing w:line="360" w:lineRule="auto"/>
        <w:jc w:val="both"/>
        <w:rPr>
          <w:rFonts w:ascii="Arial" w:hAnsi="Arial" w:cs="Arial"/>
          <w:sz w:val="24"/>
          <w:szCs w:val="24"/>
          <w:lang w:val="en-GB"/>
        </w:rPr>
      </w:pPr>
      <w:r w:rsidRPr="00F533A8">
        <w:rPr>
          <w:rFonts w:ascii="Arial" w:hAnsi="Arial" w:cs="Arial"/>
          <w:sz w:val="24"/>
          <w:szCs w:val="24"/>
          <w:lang w:val="en-GB"/>
        </w:rPr>
        <w:t>[</w:t>
      </w:r>
      <w:r w:rsidR="00F44A7E">
        <w:rPr>
          <w:rFonts w:ascii="Arial" w:hAnsi="Arial" w:cs="Arial"/>
          <w:sz w:val="24"/>
          <w:szCs w:val="24"/>
          <w:lang w:val="en-GB"/>
        </w:rPr>
        <w:t>89</w:t>
      </w:r>
      <w:r w:rsidRPr="00F533A8">
        <w:rPr>
          <w:rFonts w:ascii="Arial" w:hAnsi="Arial" w:cs="Arial"/>
          <w:sz w:val="24"/>
          <w:szCs w:val="24"/>
          <w:lang w:val="en-GB"/>
        </w:rPr>
        <w:t>]</w:t>
      </w:r>
      <w:r w:rsidRPr="00F533A8">
        <w:rPr>
          <w:rFonts w:ascii="Arial" w:hAnsi="Arial" w:cs="Arial"/>
          <w:sz w:val="24"/>
          <w:szCs w:val="24"/>
          <w:lang w:val="en-GB"/>
        </w:rPr>
        <w:tab/>
        <w:t xml:space="preserve">Nexor disputes that the payments were irregular. DOT </w:t>
      </w:r>
      <w:r w:rsidR="00F44A7E">
        <w:rPr>
          <w:rFonts w:ascii="Arial" w:hAnsi="Arial" w:cs="Arial"/>
          <w:sz w:val="24"/>
          <w:szCs w:val="24"/>
          <w:lang w:val="en-GB"/>
        </w:rPr>
        <w:t xml:space="preserve">also disputes this. </w:t>
      </w:r>
    </w:p>
    <w:p w14:paraId="4DA59CB4" w14:textId="77777777" w:rsidR="00536E47" w:rsidRPr="00F533A8" w:rsidRDefault="00536E47" w:rsidP="00E212A8">
      <w:pPr>
        <w:spacing w:line="360" w:lineRule="auto"/>
        <w:jc w:val="both"/>
        <w:rPr>
          <w:rFonts w:ascii="Arial" w:hAnsi="Arial" w:cs="Arial"/>
          <w:sz w:val="24"/>
          <w:szCs w:val="24"/>
          <w:lang w:val="en-GB"/>
        </w:rPr>
      </w:pPr>
    </w:p>
    <w:p w14:paraId="65798D9D" w14:textId="236B88B9" w:rsidR="00536E47" w:rsidRPr="00F533A8" w:rsidRDefault="00536E47" w:rsidP="00E212A8">
      <w:pPr>
        <w:spacing w:line="360" w:lineRule="auto"/>
        <w:jc w:val="both"/>
        <w:rPr>
          <w:rFonts w:ascii="Arial" w:hAnsi="Arial" w:cs="Arial"/>
          <w:sz w:val="24"/>
          <w:szCs w:val="24"/>
          <w:lang w:val="en-GB"/>
        </w:rPr>
      </w:pPr>
      <w:r w:rsidRPr="00F533A8">
        <w:rPr>
          <w:rFonts w:ascii="Arial" w:hAnsi="Arial" w:cs="Arial"/>
          <w:sz w:val="24"/>
          <w:szCs w:val="24"/>
          <w:lang w:val="en-GB"/>
        </w:rPr>
        <w:t>[</w:t>
      </w:r>
      <w:r w:rsidR="00F44A7E">
        <w:rPr>
          <w:rFonts w:ascii="Arial" w:hAnsi="Arial" w:cs="Arial"/>
          <w:sz w:val="24"/>
          <w:szCs w:val="24"/>
          <w:lang w:val="en-GB"/>
        </w:rPr>
        <w:t>90</w:t>
      </w:r>
      <w:r w:rsidRPr="00F533A8">
        <w:rPr>
          <w:rFonts w:ascii="Arial" w:hAnsi="Arial" w:cs="Arial"/>
          <w:sz w:val="24"/>
          <w:szCs w:val="24"/>
          <w:lang w:val="en-GB"/>
        </w:rPr>
        <w:t>]</w:t>
      </w:r>
      <w:r w:rsidRPr="00F533A8">
        <w:rPr>
          <w:rFonts w:ascii="Arial" w:hAnsi="Arial" w:cs="Arial"/>
          <w:sz w:val="24"/>
          <w:szCs w:val="24"/>
          <w:lang w:val="en-GB"/>
        </w:rPr>
        <w:tab/>
      </w:r>
      <w:r w:rsidR="00F44A7E">
        <w:rPr>
          <w:rFonts w:ascii="Arial" w:hAnsi="Arial" w:cs="Arial"/>
          <w:sz w:val="24"/>
          <w:szCs w:val="24"/>
          <w:lang w:val="en-GB"/>
        </w:rPr>
        <w:t xml:space="preserve">According to </w:t>
      </w:r>
      <w:r w:rsidRPr="00F533A8">
        <w:rPr>
          <w:rFonts w:ascii="Arial" w:hAnsi="Arial" w:cs="Arial"/>
          <w:sz w:val="24"/>
          <w:szCs w:val="24"/>
          <w:lang w:val="en-GB"/>
        </w:rPr>
        <w:t>Nexor</w:t>
      </w:r>
      <w:r w:rsidR="00F44A7E">
        <w:rPr>
          <w:rFonts w:ascii="Arial" w:hAnsi="Arial" w:cs="Arial"/>
          <w:sz w:val="24"/>
          <w:szCs w:val="24"/>
          <w:lang w:val="en-GB"/>
        </w:rPr>
        <w:t>, the</w:t>
      </w:r>
      <w:r w:rsidRPr="00F533A8">
        <w:rPr>
          <w:rFonts w:ascii="Arial" w:hAnsi="Arial" w:cs="Arial"/>
          <w:sz w:val="24"/>
          <w:szCs w:val="24"/>
          <w:lang w:val="en-GB"/>
        </w:rPr>
        <w:t xml:space="preserve"> tender made provision for the inspection of 1,000 bridges per annum. An allowance for the inspection of a further 5,000 bridges was made given that the tender is for a period of 5 years. After Nexor was appointed, DOT informed it that it had a ba</w:t>
      </w:r>
      <w:r w:rsidR="00A26880">
        <w:rPr>
          <w:rFonts w:ascii="Arial" w:hAnsi="Arial" w:cs="Arial"/>
          <w:sz w:val="24"/>
          <w:szCs w:val="24"/>
          <w:lang w:val="en-GB"/>
        </w:rPr>
        <w:t>ck-</w:t>
      </w:r>
      <w:r w:rsidRPr="00F533A8">
        <w:rPr>
          <w:rFonts w:ascii="Arial" w:hAnsi="Arial" w:cs="Arial"/>
          <w:sz w:val="24"/>
          <w:szCs w:val="24"/>
          <w:lang w:val="en-GB"/>
        </w:rPr>
        <w:t xml:space="preserve">lock for the inspection of bridges. It required Nexor to fast-track its work to enable it to comply with its RAMP submission for 2018. 3,683 bridges were identified for this purpose and inspected between June and September 2018. An invoice attached as VM:39 for R25,412,700 was claimed in December 2018. DOT duly paid it. </w:t>
      </w:r>
    </w:p>
    <w:p w14:paraId="033AB347" w14:textId="77777777" w:rsidR="00536E47" w:rsidRPr="00F533A8" w:rsidRDefault="00536E47" w:rsidP="00E212A8">
      <w:pPr>
        <w:spacing w:line="360" w:lineRule="auto"/>
        <w:jc w:val="both"/>
        <w:rPr>
          <w:rFonts w:ascii="Arial" w:hAnsi="Arial" w:cs="Arial"/>
          <w:sz w:val="24"/>
          <w:szCs w:val="24"/>
          <w:lang w:val="en-GB"/>
        </w:rPr>
      </w:pPr>
    </w:p>
    <w:p w14:paraId="7DFC6C34" w14:textId="259EA894" w:rsidR="00536E47" w:rsidRPr="00F533A8" w:rsidRDefault="00536E47" w:rsidP="00E212A8">
      <w:pPr>
        <w:spacing w:line="360" w:lineRule="auto"/>
        <w:jc w:val="both"/>
        <w:rPr>
          <w:rFonts w:ascii="Arial" w:hAnsi="Arial" w:cs="Arial"/>
          <w:sz w:val="24"/>
          <w:szCs w:val="24"/>
          <w:lang w:val="en-GB"/>
        </w:rPr>
      </w:pPr>
      <w:r w:rsidRPr="00F533A8">
        <w:rPr>
          <w:rFonts w:ascii="Arial" w:hAnsi="Arial" w:cs="Arial"/>
          <w:sz w:val="24"/>
          <w:szCs w:val="24"/>
          <w:lang w:val="en-GB"/>
        </w:rPr>
        <w:t>[</w:t>
      </w:r>
      <w:r w:rsidR="00F44A7E">
        <w:rPr>
          <w:rFonts w:ascii="Arial" w:hAnsi="Arial" w:cs="Arial"/>
          <w:sz w:val="24"/>
          <w:szCs w:val="24"/>
          <w:lang w:val="en-GB"/>
        </w:rPr>
        <w:t>91</w:t>
      </w:r>
      <w:r w:rsidRPr="00F533A8">
        <w:rPr>
          <w:rFonts w:ascii="Arial" w:hAnsi="Arial" w:cs="Arial"/>
          <w:sz w:val="24"/>
          <w:szCs w:val="24"/>
          <w:lang w:val="en-GB"/>
        </w:rPr>
        <w:t>]</w:t>
      </w:r>
      <w:r w:rsidRPr="00F533A8">
        <w:rPr>
          <w:rFonts w:ascii="Arial" w:hAnsi="Arial" w:cs="Arial"/>
          <w:sz w:val="24"/>
          <w:szCs w:val="24"/>
          <w:lang w:val="en-GB"/>
        </w:rPr>
        <w:tab/>
        <w:t xml:space="preserve">According to DOT, even if these payments were irregular, they do not render the awarding of the tender irregular as the payment was made after the tender had been awarded. The SIU has not furnished evidence that the two invoices relate to the inspection of the same bridges. It has not properly investigated this issue or engaged DOT in that regard.  </w:t>
      </w:r>
    </w:p>
    <w:p w14:paraId="57CFF6AF" w14:textId="77777777" w:rsidR="00536E47" w:rsidRPr="00F533A8" w:rsidRDefault="00536E47" w:rsidP="00E212A8">
      <w:pPr>
        <w:spacing w:line="360" w:lineRule="auto"/>
        <w:jc w:val="both"/>
        <w:rPr>
          <w:rFonts w:ascii="Arial" w:hAnsi="Arial" w:cs="Arial"/>
          <w:sz w:val="24"/>
          <w:szCs w:val="24"/>
          <w:lang w:val="en-GB"/>
        </w:rPr>
      </w:pPr>
    </w:p>
    <w:p w14:paraId="603788CA" w14:textId="1946358C" w:rsidR="00536E47" w:rsidRPr="00F533A8" w:rsidRDefault="00536E47" w:rsidP="00E212A8">
      <w:pPr>
        <w:spacing w:line="360" w:lineRule="auto"/>
        <w:jc w:val="both"/>
        <w:rPr>
          <w:rFonts w:ascii="Arial" w:hAnsi="Arial" w:cs="Arial"/>
          <w:sz w:val="24"/>
          <w:szCs w:val="24"/>
          <w:lang w:val="en-GB"/>
        </w:rPr>
      </w:pPr>
      <w:r w:rsidRPr="00F533A8">
        <w:rPr>
          <w:rFonts w:ascii="Arial" w:hAnsi="Arial" w:cs="Arial"/>
          <w:sz w:val="24"/>
          <w:szCs w:val="24"/>
          <w:lang w:val="en-GB"/>
        </w:rPr>
        <w:t>[</w:t>
      </w:r>
      <w:r w:rsidR="00F44A7E">
        <w:rPr>
          <w:rFonts w:ascii="Arial" w:hAnsi="Arial" w:cs="Arial"/>
          <w:sz w:val="24"/>
          <w:szCs w:val="24"/>
          <w:lang w:val="en-GB"/>
        </w:rPr>
        <w:t>92</w:t>
      </w:r>
      <w:r w:rsidRPr="00F533A8">
        <w:rPr>
          <w:rFonts w:ascii="Arial" w:hAnsi="Arial" w:cs="Arial"/>
          <w:sz w:val="24"/>
          <w:szCs w:val="24"/>
          <w:lang w:val="en-GB"/>
        </w:rPr>
        <w:t>]</w:t>
      </w:r>
      <w:r w:rsidRPr="00F533A8">
        <w:rPr>
          <w:rFonts w:ascii="Arial" w:hAnsi="Arial" w:cs="Arial"/>
          <w:sz w:val="24"/>
          <w:szCs w:val="24"/>
          <w:lang w:val="en-GB"/>
        </w:rPr>
        <w:tab/>
      </w:r>
      <w:r w:rsidR="00A26880">
        <w:rPr>
          <w:rFonts w:ascii="Arial" w:hAnsi="Arial" w:cs="Arial"/>
          <w:sz w:val="24"/>
          <w:szCs w:val="24"/>
          <w:lang w:val="en-GB"/>
        </w:rPr>
        <w:t>I have already ruled that p</w:t>
      </w:r>
      <w:r w:rsidRPr="00F533A8">
        <w:rPr>
          <w:rFonts w:ascii="Arial" w:hAnsi="Arial" w:cs="Arial"/>
          <w:sz w:val="24"/>
          <w:szCs w:val="24"/>
          <w:lang w:val="en-GB"/>
        </w:rPr>
        <w:t>aragraphs 68 to 71 in the founding affidavit</w:t>
      </w:r>
      <w:r w:rsidR="00A26880">
        <w:rPr>
          <w:rFonts w:ascii="Arial" w:hAnsi="Arial" w:cs="Arial"/>
          <w:sz w:val="24"/>
          <w:szCs w:val="24"/>
          <w:lang w:val="en-GB"/>
        </w:rPr>
        <w:t xml:space="preserve"> where these allegations are made </w:t>
      </w:r>
      <w:r w:rsidRPr="00F533A8">
        <w:rPr>
          <w:rFonts w:ascii="Arial" w:hAnsi="Arial" w:cs="Arial"/>
          <w:sz w:val="24"/>
          <w:szCs w:val="24"/>
          <w:lang w:val="en-GB"/>
        </w:rPr>
        <w:t xml:space="preserve"> falls to be struck out as sought by Nexor. In any event, the allegations made in these paragraph fall to be determined in Nexor and DOT’s version as set out above.</w:t>
      </w:r>
    </w:p>
    <w:p w14:paraId="4D8798D4" w14:textId="77777777" w:rsidR="00536E47" w:rsidRDefault="00536E47" w:rsidP="00E212A8">
      <w:pPr>
        <w:spacing w:line="360" w:lineRule="auto"/>
        <w:jc w:val="both"/>
        <w:rPr>
          <w:rFonts w:ascii="Arial" w:hAnsi="Arial" w:cs="Arial"/>
          <w:sz w:val="24"/>
          <w:szCs w:val="24"/>
          <w:lang w:val="en-GB"/>
        </w:rPr>
      </w:pPr>
    </w:p>
    <w:p w14:paraId="45B0F17D" w14:textId="77777777" w:rsidR="00396285" w:rsidRDefault="00396285" w:rsidP="00E212A8">
      <w:pPr>
        <w:spacing w:line="360" w:lineRule="auto"/>
        <w:jc w:val="both"/>
        <w:rPr>
          <w:rFonts w:ascii="Arial" w:hAnsi="Arial" w:cs="Arial"/>
          <w:sz w:val="24"/>
          <w:szCs w:val="24"/>
          <w:lang w:val="en-GB"/>
        </w:rPr>
      </w:pPr>
    </w:p>
    <w:p w14:paraId="50119134" w14:textId="77777777" w:rsidR="00396285" w:rsidRDefault="00396285" w:rsidP="00E212A8">
      <w:pPr>
        <w:spacing w:line="360" w:lineRule="auto"/>
        <w:jc w:val="both"/>
        <w:rPr>
          <w:rFonts w:ascii="Arial" w:hAnsi="Arial" w:cs="Arial"/>
          <w:sz w:val="24"/>
          <w:szCs w:val="24"/>
          <w:lang w:val="en-GB"/>
        </w:rPr>
      </w:pPr>
    </w:p>
    <w:p w14:paraId="65FEE8FC" w14:textId="0F4B76B2" w:rsidR="00536E47" w:rsidRPr="00F533A8" w:rsidRDefault="00536E47" w:rsidP="00E212A8">
      <w:pPr>
        <w:spacing w:line="360" w:lineRule="auto"/>
        <w:jc w:val="both"/>
        <w:rPr>
          <w:rFonts w:ascii="Arial" w:hAnsi="Arial" w:cs="Arial"/>
          <w:i/>
          <w:iCs/>
          <w:sz w:val="24"/>
          <w:szCs w:val="24"/>
          <w:lang w:val="en-GB"/>
        </w:rPr>
      </w:pPr>
      <w:r w:rsidRPr="00F533A8">
        <w:rPr>
          <w:rFonts w:ascii="Arial" w:hAnsi="Arial" w:cs="Arial"/>
          <w:i/>
          <w:iCs/>
          <w:sz w:val="24"/>
          <w:szCs w:val="24"/>
          <w:lang w:val="en-GB"/>
        </w:rPr>
        <w:t>Payments made during Lockdown</w:t>
      </w:r>
    </w:p>
    <w:p w14:paraId="7F3D01EE" w14:textId="3DF397D0" w:rsidR="00536E47" w:rsidRPr="00F533A8" w:rsidRDefault="00536E47" w:rsidP="00E212A8">
      <w:pPr>
        <w:spacing w:line="360" w:lineRule="auto"/>
        <w:jc w:val="both"/>
        <w:rPr>
          <w:rFonts w:ascii="Arial" w:hAnsi="Arial" w:cs="Arial"/>
          <w:sz w:val="24"/>
          <w:szCs w:val="24"/>
          <w:lang w:val="en-GB"/>
        </w:rPr>
      </w:pPr>
      <w:r w:rsidRPr="00F533A8">
        <w:rPr>
          <w:rFonts w:ascii="Arial" w:hAnsi="Arial" w:cs="Arial"/>
          <w:sz w:val="24"/>
          <w:szCs w:val="24"/>
          <w:lang w:val="en-GB"/>
        </w:rPr>
        <w:t>[</w:t>
      </w:r>
      <w:r w:rsidR="00A26880">
        <w:rPr>
          <w:rFonts w:ascii="Arial" w:hAnsi="Arial" w:cs="Arial"/>
          <w:sz w:val="24"/>
          <w:szCs w:val="24"/>
          <w:lang w:val="en-GB"/>
        </w:rPr>
        <w:t>93</w:t>
      </w:r>
      <w:r w:rsidRPr="00F533A8">
        <w:rPr>
          <w:rFonts w:ascii="Arial" w:hAnsi="Arial" w:cs="Arial"/>
          <w:sz w:val="24"/>
          <w:szCs w:val="24"/>
          <w:lang w:val="en-GB"/>
        </w:rPr>
        <w:t>]</w:t>
      </w:r>
      <w:r w:rsidRPr="00F533A8">
        <w:rPr>
          <w:rFonts w:ascii="Arial" w:hAnsi="Arial" w:cs="Arial"/>
          <w:sz w:val="24"/>
          <w:szCs w:val="24"/>
          <w:lang w:val="en-GB"/>
        </w:rPr>
        <w:tab/>
        <w:t xml:space="preserve">The SIU alleges that Nexor irregularly claimed payment for services rendered during the Covid-19 Lockdown period between 25 March and 30 April 2020 under circumstances where DOT had issued an instruction suspending all construction sites and demanding that all such sites be decommissioned. </w:t>
      </w:r>
    </w:p>
    <w:p w14:paraId="6280075D" w14:textId="77777777" w:rsidR="00536E47" w:rsidRPr="00F533A8" w:rsidRDefault="00536E47" w:rsidP="00E212A8">
      <w:pPr>
        <w:spacing w:line="360" w:lineRule="auto"/>
        <w:jc w:val="both"/>
        <w:rPr>
          <w:rFonts w:ascii="Arial" w:hAnsi="Arial" w:cs="Arial"/>
          <w:sz w:val="24"/>
          <w:szCs w:val="24"/>
          <w:lang w:val="en-GB"/>
        </w:rPr>
      </w:pPr>
    </w:p>
    <w:p w14:paraId="36C1776D" w14:textId="77777777" w:rsidR="00963108" w:rsidRDefault="00536E47" w:rsidP="00E212A8">
      <w:pPr>
        <w:spacing w:line="360" w:lineRule="auto"/>
        <w:jc w:val="both"/>
        <w:rPr>
          <w:rFonts w:ascii="Arial" w:eastAsia="Arial" w:hAnsi="Arial" w:cs="Arial"/>
          <w:bCs/>
          <w:kern w:val="0"/>
          <w:sz w:val="24"/>
          <w:szCs w:val="24"/>
          <w:lang w:val="en-US"/>
          <w14:ligatures w14:val="none"/>
        </w:rPr>
      </w:pPr>
      <w:r w:rsidRPr="00F533A8">
        <w:rPr>
          <w:rFonts w:ascii="Arial" w:eastAsia="Arial" w:hAnsi="Arial" w:cs="Arial"/>
          <w:kern w:val="0"/>
          <w:sz w:val="24"/>
          <w:szCs w:val="24"/>
          <w:lang w:val="en-US"/>
          <w14:ligatures w14:val="none"/>
        </w:rPr>
        <w:t>[</w:t>
      </w:r>
      <w:r w:rsidR="00A26880">
        <w:rPr>
          <w:rFonts w:ascii="Arial" w:eastAsia="Arial" w:hAnsi="Arial" w:cs="Arial"/>
          <w:kern w:val="0"/>
          <w:sz w:val="24"/>
          <w:szCs w:val="24"/>
          <w:lang w:val="en-US"/>
          <w14:ligatures w14:val="none"/>
        </w:rPr>
        <w:t>94</w:t>
      </w:r>
      <w:r w:rsidRPr="00F533A8">
        <w:rPr>
          <w:rFonts w:ascii="Arial" w:eastAsia="Arial" w:hAnsi="Arial" w:cs="Arial"/>
          <w:kern w:val="0"/>
          <w:sz w:val="24"/>
          <w:szCs w:val="24"/>
          <w:lang w:val="en-US"/>
          <w14:ligatures w14:val="none"/>
        </w:rPr>
        <w:t>]</w:t>
      </w:r>
      <w:r w:rsidRPr="00F533A8">
        <w:rPr>
          <w:rFonts w:ascii="Arial" w:eastAsia="Arial" w:hAnsi="Arial" w:cs="Arial"/>
          <w:kern w:val="0"/>
          <w:sz w:val="24"/>
          <w:szCs w:val="24"/>
          <w:lang w:val="en-US"/>
          <w14:ligatures w14:val="none"/>
        </w:rPr>
        <w:tab/>
      </w:r>
      <w:r w:rsidR="00963108">
        <w:rPr>
          <w:rFonts w:ascii="Arial" w:eastAsia="Arial" w:hAnsi="Arial" w:cs="Arial"/>
          <w:kern w:val="0"/>
          <w:sz w:val="24"/>
          <w:szCs w:val="24"/>
          <w:lang w:val="en-US"/>
          <w14:ligatures w14:val="none"/>
        </w:rPr>
        <w:t>It is common cause that on</w:t>
      </w:r>
      <w:r w:rsidRPr="00F533A8">
        <w:rPr>
          <w:rFonts w:ascii="Arial" w:eastAsia="Arial" w:hAnsi="Arial" w:cs="Arial"/>
          <w:spacing w:val="1"/>
          <w:kern w:val="0"/>
          <w:sz w:val="24"/>
          <w:szCs w:val="24"/>
          <w:lang w:val="en-US"/>
          <w14:ligatures w14:val="none"/>
        </w:rPr>
        <w:t xml:space="preserve"> </w:t>
      </w:r>
      <w:r w:rsidRPr="00F533A8">
        <w:rPr>
          <w:rFonts w:ascii="Arial" w:eastAsia="Arial" w:hAnsi="Arial" w:cs="Arial"/>
          <w:kern w:val="0"/>
          <w:sz w:val="24"/>
          <w:szCs w:val="24"/>
          <w:lang w:val="en-US"/>
          <w14:ligatures w14:val="none"/>
        </w:rPr>
        <w:t>19</w:t>
      </w:r>
      <w:r w:rsidRPr="00F533A8">
        <w:rPr>
          <w:rFonts w:ascii="Arial" w:eastAsia="Arial" w:hAnsi="Arial" w:cs="Arial"/>
          <w:spacing w:val="1"/>
          <w:kern w:val="0"/>
          <w:sz w:val="24"/>
          <w:szCs w:val="24"/>
          <w:lang w:val="en-US"/>
          <w14:ligatures w14:val="none"/>
        </w:rPr>
        <w:t xml:space="preserve"> </w:t>
      </w:r>
      <w:r w:rsidRPr="00F533A8">
        <w:rPr>
          <w:rFonts w:ascii="Arial" w:eastAsia="Arial" w:hAnsi="Arial" w:cs="Arial"/>
          <w:kern w:val="0"/>
          <w:sz w:val="24"/>
          <w:szCs w:val="24"/>
          <w:lang w:val="en-US"/>
          <w14:ligatures w14:val="none"/>
        </w:rPr>
        <w:t>March</w:t>
      </w:r>
      <w:r w:rsidRPr="00F533A8">
        <w:rPr>
          <w:rFonts w:ascii="Arial" w:eastAsia="Arial" w:hAnsi="Arial" w:cs="Arial"/>
          <w:spacing w:val="66"/>
          <w:kern w:val="0"/>
          <w:sz w:val="24"/>
          <w:szCs w:val="24"/>
          <w:lang w:val="en-US"/>
          <w14:ligatures w14:val="none"/>
        </w:rPr>
        <w:t xml:space="preserve"> </w:t>
      </w:r>
      <w:r w:rsidRPr="00F533A8">
        <w:rPr>
          <w:rFonts w:ascii="Arial" w:eastAsia="Arial" w:hAnsi="Arial" w:cs="Arial"/>
          <w:kern w:val="0"/>
          <w:sz w:val="24"/>
          <w:szCs w:val="24"/>
          <w:lang w:val="en-US"/>
          <w14:ligatures w14:val="none"/>
        </w:rPr>
        <w:t>2020,</w:t>
      </w:r>
      <w:r w:rsidRPr="00F533A8">
        <w:rPr>
          <w:rFonts w:ascii="Arial" w:eastAsia="Arial" w:hAnsi="Arial" w:cs="Arial"/>
          <w:spacing w:val="67"/>
          <w:kern w:val="0"/>
          <w:sz w:val="24"/>
          <w:szCs w:val="24"/>
          <w:lang w:val="en-US"/>
          <w14:ligatures w14:val="none"/>
        </w:rPr>
        <w:t xml:space="preserve"> DOT paid Nexor </w:t>
      </w:r>
      <w:r w:rsidRPr="00F533A8">
        <w:rPr>
          <w:rFonts w:ascii="Arial" w:eastAsia="Arial" w:hAnsi="Arial" w:cs="Arial"/>
          <w:kern w:val="0"/>
          <w:sz w:val="24"/>
          <w:szCs w:val="24"/>
          <w:lang w:val="en-US"/>
          <w14:ligatures w14:val="none"/>
        </w:rPr>
        <w:t>an</w:t>
      </w:r>
      <w:r w:rsidRPr="00F533A8">
        <w:rPr>
          <w:rFonts w:ascii="Arial" w:eastAsia="Arial" w:hAnsi="Arial" w:cs="Arial"/>
          <w:spacing w:val="67"/>
          <w:kern w:val="0"/>
          <w:sz w:val="24"/>
          <w:szCs w:val="24"/>
          <w:lang w:val="en-US"/>
          <w14:ligatures w14:val="none"/>
        </w:rPr>
        <w:t xml:space="preserve"> </w:t>
      </w:r>
      <w:r w:rsidRPr="00F533A8">
        <w:rPr>
          <w:rFonts w:ascii="Arial" w:eastAsia="Arial" w:hAnsi="Arial" w:cs="Arial"/>
          <w:kern w:val="0"/>
          <w:sz w:val="24"/>
          <w:szCs w:val="24"/>
          <w:lang w:val="en-US"/>
          <w14:ligatures w14:val="none"/>
        </w:rPr>
        <w:t>amount</w:t>
      </w:r>
      <w:r w:rsidRPr="00F533A8">
        <w:rPr>
          <w:rFonts w:ascii="Arial" w:eastAsia="Arial" w:hAnsi="Arial" w:cs="Arial"/>
          <w:spacing w:val="67"/>
          <w:kern w:val="0"/>
          <w:sz w:val="24"/>
          <w:szCs w:val="24"/>
          <w:lang w:val="en-US"/>
          <w14:ligatures w14:val="none"/>
        </w:rPr>
        <w:t xml:space="preserve"> </w:t>
      </w:r>
      <w:r w:rsidRPr="00F533A8">
        <w:rPr>
          <w:rFonts w:ascii="Arial" w:eastAsia="Arial" w:hAnsi="Arial" w:cs="Arial"/>
          <w:kern w:val="0"/>
          <w:sz w:val="24"/>
          <w:szCs w:val="24"/>
          <w:lang w:val="en-US"/>
          <w14:ligatures w14:val="none"/>
        </w:rPr>
        <w:t>of</w:t>
      </w:r>
      <w:r w:rsidRPr="00F533A8">
        <w:rPr>
          <w:rFonts w:ascii="Arial" w:eastAsia="Arial" w:hAnsi="Arial" w:cs="Arial"/>
          <w:spacing w:val="66"/>
          <w:kern w:val="0"/>
          <w:sz w:val="24"/>
          <w:szCs w:val="24"/>
          <w:lang w:val="en-US"/>
          <w14:ligatures w14:val="none"/>
        </w:rPr>
        <w:t xml:space="preserve"> </w:t>
      </w:r>
      <w:r w:rsidRPr="00F533A8">
        <w:rPr>
          <w:rFonts w:ascii="Arial" w:eastAsia="Arial" w:hAnsi="Arial" w:cs="Arial"/>
          <w:kern w:val="0"/>
          <w:sz w:val="24"/>
          <w:szCs w:val="24"/>
          <w:lang w:val="en-US"/>
          <w14:ligatures w14:val="none"/>
        </w:rPr>
        <w:t>R42</w:t>
      </w:r>
      <w:r w:rsidRPr="00F533A8">
        <w:rPr>
          <w:rFonts w:ascii="Arial" w:eastAsia="Arial" w:hAnsi="Arial" w:cs="Arial"/>
          <w:spacing w:val="1"/>
          <w:kern w:val="0"/>
          <w:sz w:val="24"/>
          <w:szCs w:val="24"/>
          <w:lang w:val="en-US"/>
          <w14:ligatures w14:val="none"/>
        </w:rPr>
        <w:t xml:space="preserve"> </w:t>
      </w:r>
      <w:r w:rsidRPr="00F533A8">
        <w:rPr>
          <w:rFonts w:ascii="Arial" w:eastAsia="Arial" w:hAnsi="Arial" w:cs="Arial"/>
          <w:kern w:val="0"/>
          <w:sz w:val="24"/>
          <w:szCs w:val="24"/>
          <w:lang w:val="en-US"/>
          <w14:ligatures w14:val="none"/>
        </w:rPr>
        <w:t xml:space="preserve">110 927.00 in respect of an invoice annexed to the founding affidavit as annexure </w:t>
      </w:r>
      <w:r w:rsidRPr="00963108">
        <w:rPr>
          <w:rFonts w:ascii="Arial" w:eastAsia="Arial" w:hAnsi="Arial" w:cs="Arial"/>
          <w:bCs/>
          <w:kern w:val="0"/>
          <w:sz w:val="24"/>
          <w:szCs w:val="24"/>
          <w:lang w:val="en-US"/>
          <w14:ligatures w14:val="none"/>
        </w:rPr>
        <w:t>“VM</w:t>
      </w:r>
      <w:r w:rsidRPr="00963108">
        <w:rPr>
          <w:rFonts w:ascii="Arial" w:eastAsia="Arial" w:hAnsi="Arial" w:cs="Arial"/>
          <w:bCs/>
          <w:spacing w:val="-64"/>
          <w:kern w:val="0"/>
          <w:sz w:val="24"/>
          <w:szCs w:val="24"/>
          <w:lang w:val="en-US"/>
          <w14:ligatures w14:val="none"/>
        </w:rPr>
        <w:t xml:space="preserve"> </w:t>
      </w:r>
      <w:r w:rsidRPr="00963108">
        <w:rPr>
          <w:rFonts w:ascii="Arial" w:eastAsia="Arial" w:hAnsi="Arial" w:cs="Arial"/>
          <w:bCs/>
          <w:kern w:val="0"/>
          <w:sz w:val="24"/>
          <w:szCs w:val="24"/>
          <w:lang w:val="en-US"/>
          <w14:ligatures w14:val="none"/>
        </w:rPr>
        <w:t>42”. However, on 24 March 2020, Nexor further submitted an invoice</w:t>
      </w:r>
      <w:r w:rsidRPr="00963108">
        <w:rPr>
          <w:rFonts w:ascii="Arial" w:eastAsia="Arial" w:hAnsi="Arial" w:cs="Arial"/>
          <w:bCs/>
          <w:spacing w:val="1"/>
          <w:kern w:val="0"/>
          <w:sz w:val="24"/>
          <w:szCs w:val="24"/>
          <w:lang w:val="en-US"/>
          <w14:ligatures w14:val="none"/>
        </w:rPr>
        <w:t xml:space="preserve"> annexed to the founding affidavit as annexure </w:t>
      </w:r>
      <w:r w:rsidRPr="00963108">
        <w:rPr>
          <w:rFonts w:ascii="Arial" w:eastAsia="Arial" w:hAnsi="Arial" w:cs="Arial"/>
          <w:bCs/>
          <w:kern w:val="0"/>
          <w:sz w:val="24"/>
          <w:szCs w:val="24"/>
          <w:lang w:val="en-US"/>
          <w14:ligatures w14:val="none"/>
        </w:rPr>
        <w:t>VM</w:t>
      </w:r>
      <w:r w:rsidRPr="00963108">
        <w:rPr>
          <w:rFonts w:ascii="Arial" w:eastAsia="Arial" w:hAnsi="Arial" w:cs="Arial"/>
          <w:bCs/>
          <w:spacing w:val="-1"/>
          <w:kern w:val="0"/>
          <w:sz w:val="24"/>
          <w:szCs w:val="24"/>
          <w:lang w:val="en-US"/>
          <w14:ligatures w14:val="none"/>
        </w:rPr>
        <w:t xml:space="preserve"> </w:t>
      </w:r>
      <w:r w:rsidRPr="00963108">
        <w:rPr>
          <w:rFonts w:ascii="Arial" w:eastAsia="Arial" w:hAnsi="Arial" w:cs="Arial"/>
          <w:bCs/>
          <w:kern w:val="0"/>
          <w:sz w:val="24"/>
          <w:szCs w:val="24"/>
          <w:lang w:val="en-US"/>
          <w14:ligatures w14:val="none"/>
        </w:rPr>
        <w:t>43 in the amount of R14 942 587.00 for part of April 2020. On 20 April 2020, Nexor further invoiced DOT the invoice marked annexure</w:t>
      </w:r>
      <w:r w:rsidRPr="00963108">
        <w:rPr>
          <w:rFonts w:ascii="Arial" w:eastAsia="Arial" w:hAnsi="Arial" w:cs="Arial"/>
          <w:bCs/>
          <w:spacing w:val="3"/>
          <w:kern w:val="0"/>
          <w:sz w:val="24"/>
          <w:szCs w:val="24"/>
          <w:lang w:val="en-US"/>
          <w14:ligatures w14:val="none"/>
        </w:rPr>
        <w:t xml:space="preserve"> </w:t>
      </w:r>
      <w:r w:rsidRPr="00963108">
        <w:rPr>
          <w:rFonts w:ascii="Arial" w:eastAsia="Arial" w:hAnsi="Arial" w:cs="Arial"/>
          <w:bCs/>
          <w:kern w:val="0"/>
          <w:sz w:val="24"/>
          <w:szCs w:val="24"/>
          <w:lang w:val="en-US"/>
          <w14:ligatures w14:val="none"/>
        </w:rPr>
        <w:t>“VM</w:t>
      </w:r>
      <w:r w:rsidRPr="00963108">
        <w:rPr>
          <w:rFonts w:ascii="Arial" w:eastAsia="Arial" w:hAnsi="Arial" w:cs="Arial"/>
          <w:bCs/>
          <w:spacing w:val="-3"/>
          <w:kern w:val="0"/>
          <w:sz w:val="24"/>
          <w:szCs w:val="24"/>
          <w:lang w:val="en-US"/>
          <w14:ligatures w14:val="none"/>
        </w:rPr>
        <w:t xml:space="preserve"> </w:t>
      </w:r>
      <w:r w:rsidRPr="00963108">
        <w:rPr>
          <w:rFonts w:ascii="Arial" w:eastAsia="Arial" w:hAnsi="Arial" w:cs="Arial"/>
          <w:bCs/>
          <w:kern w:val="0"/>
          <w:sz w:val="24"/>
          <w:szCs w:val="24"/>
          <w:lang w:val="en-US"/>
          <w14:ligatures w14:val="none"/>
        </w:rPr>
        <w:t xml:space="preserve">44” in the amount of R29 286 065.00 for the balance of April 2020. </w:t>
      </w:r>
    </w:p>
    <w:p w14:paraId="6259C00D" w14:textId="77777777" w:rsidR="00963108" w:rsidRDefault="00963108" w:rsidP="00E212A8">
      <w:pPr>
        <w:spacing w:line="360" w:lineRule="auto"/>
        <w:jc w:val="both"/>
        <w:rPr>
          <w:rFonts w:ascii="Arial" w:eastAsia="Arial" w:hAnsi="Arial" w:cs="Arial"/>
          <w:bCs/>
          <w:kern w:val="0"/>
          <w:sz w:val="24"/>
          <w:szCs w:val="24"/>
          <w:lang w:val="en-US"/>
          <w14:ligatures w14:val="none"/>
        </w:rPr>
      </w:pPr>
    </w:p>
    <w:p w14:paraId="64A75705" w14:textId="244AFB9B" w:rsidR="00536E47" w:rsidRPr="00F16AA9" w:rsidRDefault="00963108" w:rsidP="00E212A8">
      <w:pPr>
        <w:spacing w:line="360" w:lineRule="auto"/>
        <w:jc w:val="both"/>
        <w:rPr>
          <w:rFonts w:ascii="Arial" w:eastAsia="Arial" w:hAnsi="Arial" w:cs="Arial"/>
          <w:b/>
          <w:kern w:val="0"/>
          <w:sz w:val="24"/>
          <w:szCs w:val="24"/>
          <w:lang w:val="en-US"/>
          <w14:ligatures w14:val="none"/>
        </w:rPr>
      </w:pPr>
      <w:r>
        <w:rPr>
          <w:rFonts w:ascii="Arial" w:eastAsia="Arial" w:hAnsi="Arial" w:cs="Arial"/>
          <w:bCs/>
          <w:kern w:val="0"/>
          <w:sz w:val="24"/>
          <w:szCs w:val="24"/>
          <w:lang w:val="en-US"/>
          <w14:ligatures w14:val="none"/>
        </w:rPr>
        <w:t>[95]</w:t>
      </w:r>
      <w:r>
        <w:rPr>
          <w:rFonts w:ascii="Arial" w:eastAsia="Arial" w:hAnsi="Arial" w:cs="Arial"/>
          <w:bCs/>
          <w:kern w:val="0"/>
          <w:sz w:val="24"/>
          <w:szCs w:val="24"/>
          <w:lang w:val="en-US"/>
          <w14:ligatures w14:val="none"/>
        </w:rPr>
        <w:tab/>
        <w:t>According to the SIU, h</w:t>
      </w:r>
      <w:r w:rsidR="00536E47" w:rsidRPr="00963108">
        <w:rPr>
          <w:rFonts w:ascii="Arial" w:eastAsia="Arial" w:hAnsi="Arial" w:cs="Arial"/>
          <w:bCs/>
          <w:kern w:val="0"/>
          <w:sz w:val="24"/>
          <w:szCs w:val="24"/>
          <w:lang w:val="en-US"/>
          <w14:ligatures w14:val="none"/>
        </w:rPr>
        <w:t>aving invoiced DOT the full amount in respect of March 2020</w:t>
      </w:r>
      <w:r w:rsidR="00536E47" w:rsidRPr="00963108">
        <w:rPr>
          <w:rFonts w:ascii="Arial" w:eastAsia="Arial" w:hAnsi="Arial" w:cs="Arial"/>
          <w:bCs/>
          <w:spacing w:val="1"/>
          <w:kern w:val="0"/>
          <w:sz w:val="24"/>
          <w:szCs w:val="24"/>
          <w:lang w:val="en-US"/>
          <w14:ligatures w14:val="none"/>
        </w:rPr>
        <w:t xml:space="preserve"> </w:t>
      </w:r>
      <w:r w:rsidR="00536E47" w:rsidRPr="00963108">
        <w:rPr>
          <w:rFonts w:ascii="Arial" w:eastAsia="Arial" w:hAnsi="Arial" w:cs="Arial"/>
          <w:bCs/>
          <w:kern w:val="0"/>
          <w:sz w:val="24"/>
          <w:szCs w:val="24"/>
          <w:lang w:val="en-US"/>
          <w14:ligatures w14:val="none"/>
        </w:rPr>
        <w:t>through the invoice of 19</w:t>
      </w:r>
      <w:r w:rsidR="00536E47" w:rsidRPr="00963108">
        <w:rPr>
          <w:rFonts w:ascii="Arial" w:eastAsia="Arial" w:hAnsi="Arial" w:cs="Arial"/>
          <w:bCs/>
          <w:kern w:val="0"/>
          <w:position w:val="8"/>
          <w:sz w:val="24"/>
          <w:szCs w:val="24"/>
          <w:lang w:val="en-US"/>
          <w14:ligatures w14:val="none"/>
        </w:rPr>
        <w:t xml:space="preserve">th </w:t>
      </w:r>
      <w:r w:rsidR="00536E47" w:rsidRPr="00963108">
        <w:rPr>
          <w:rFonts w:ascii="Arial" w:eastAsia="Arial" w:hAnsi="Arial" w:cs="Arial"/>
          <w:bCs/>
          <w:kern w:val="0"/>
          <w:sz w:val="24"/>
          <w:szCs w:val="24"/>
          <w:lang w:val="en-US"/>
          <w14:ligatures w14:val="none"/>
        </w:rPr>
        <w:t>March 2020, the further payment of</w:t>
      </w:r>
      <w:r w:rsidR="00536E47" w:rsidRPr="00963108">
        <w:rPr>
          <w:rFonts w:ascii="Arial" w:eastAsia="Arial" w:hAnsi="Arial" w:cs="Arial"/>
          <w:bCs/>
          <w:spacing w:val="1"/>
          <w:kern w:val="0"/>
          <w:sz w:val="24"/>
          <w:szCs w:val="24"/>
          <w:lang w:val="en-US"/>
          <w14:ligatures w14:val="none"/>
        </w:rPr>
        <w:t xml:space="preserve"> </w:t>
      </w:r>
      <w:r w:rsidR="00536E47" w:rsidRPr="00963108">
        <w:rPr>
          <w:rFonts w:ascii="Arial" w:eastAsia="Arial" w:hAnsi="Arial" w:cs="Arial"/>
          <w:bCs/>
          <w:kern w:val="0"/>
          <w:sz w:val="24"/>
          <w:szCs w:val="24"/>
          <w:lang w:val="en-US"/>
          <w14:ligatures w14:val="none"/>
        </w:rPr>
        <w:t>R14 942</w:t>
      </w:r>
      <w:r w:rsidR="00536E47" w:rsidRPr="00F16AA9">
        <w:rPr>
          <w:rFonts w:ascii="Arial" w:eastAsia="Arial" w:hAnsi="Arial" w:cs="Arial"/>
          <w:kern w:val="0"/>
          <w:sz w:val="24"/>
          <w:szCs w:val="24"/>
          <w:lang w:val="en-US"/>
          <w14:ligatures w14:val="none"/>
        </w:rPr>
        <w:t xml:space="preserve"> 587.00</w:t>
      </w:r>
      <w:r w:rsidR="00536E47" w:rsidRPr="00F16AA9">
        <w:rPr>
          <w:rFonts w:ascii="Arial" w:eastAsia="Arial" w:hAnsi="Arial" w:cs="Arial"/>
          <w:spacing w:val="1"/>
          <w:kern w:val="0"/>
          <w:sz w:val="24"/>
          <w:szCs w:val="24"/>
          <w:lang w:val="en-US"/>
          <w14:ligatures w14:val="none"/>
        </w:rPr>
        <w:t xml:space="preserve"> </w:t>
      </w:r>
      <w:r w:rsidR="00536E47" w:rsidRPr="00F16AA9">
        <w:rPr>
          <w:rFonts w:ascii="Arial" w:eastAsia="Arial" w:hAnsi="Arial" w:cs="Arial"/>
          <w:kern w:val="0"/>
          <w:sz w:val="24"/>
          <w:szCs w:val="24"/>
          <w:lang w:val="en-US"/>
          <w14:ligatures w14:val="none"/>
        </w:rPr>
        <w:t>which was</w:t>
      </w:r>
      <w:r w:rsidR="00536E47" w:rsidRPr="00F16AA9">
        <w:rPr>
          <w:rFonts w:ascii="Arial" w:eastAsia="Arial" w:hAnsi="Arial" w:cs="Arial"/>
          <w:spacing w:val="66"/>
          <w:kern w:val="0"/>
          <w:sz w:val="24"/>
          <w:szCs w:val="24"/>
          <w:lang w:val="en-US"/>
          <w14:ligatures w14:val="none"/>
        </w:rPr>
        <w:t xml:space="preserve"> </w:t>
      </w:r>
      <w:r w:rsidR="00536E47" w:rsidRPr="00F16AA9">
        <w:rPr>
          <w:rFonts w:ascii="Arial" w:eastAsia="Arial" w:hAnsi="Arial" w:cs="Arial"/>
          <w:kern w:val="0"/>
          <w:sz w:val="24"/>
          <w:szCs w:val="24"/>
          <w:lang w:val="en-US"/>
          <w14:ligatures w14:val="none"/>
        </w:rPr>
        <w:t>invoiced</w:t>
      </w:r>
      <w:r w:rsidR="00536E47" w:rsidRPr="00F16AA9">
        <w:rPr>
          <w:rFonts w:ascii="Arial" w:eastAsia="Arial" w:hAnsi="Arial" w:cs="Arial"/>
          <w:spacing w:val="67"/>
          <w:kern w:val="0"/>
          <w:sz w:val="24"/>
          <w:szCs w:val="24"/>
          <w:lang w:val="en-US"/>
          <w14:ligatures w14:val="none"/>
        </w:rPr>
        <w:t xml:space="preserve"> </w:t>
      </w:r>
      <w:r w:rsidR="00536E47" w:rsidRPr="00F16AA9">
        <w:rPr>
          <w:rFonts w:ascii="Arial" w:eastAsia="Arial" w:hAnsi="Arial" w:cs="Arial"/>
          <w:kern w:val="0"/>
          <w:sz w:val="24"/>
          <w:szCs w:val="24"/>
          <w:lang w:val="en-US"/>
          <w14:ligatures w14:val="none"/>
        </w:rPr>
        <w:t>on</w:t>
      </w:r>
      <w:r w:rsidR="00536E47" w:rsidRPr="00F16AA9">
        <w:rPr>
          <w:rFonts w:ascii="Arial" w:eastAsia="Arial" w:hAnsi="Arial" w:cs="Arial"/>
          <w:spacing w:val="67"/>
          <w:kern w:val="0"/>
          <w:sz w:val="24"/>
          <w:szCs w:val="24"/>
          <w:lang w:val="en-US"/>
          <w14:ligatures w14:val="none"/>
        </w:rPr>
        <w:t xml:space="preserve"> </w:t>
      </w:r>
      <w:r w:rsidR="00536E47" w:rsidRPr="00F16AA9">
        <w:rPr>
          <w:rFonts w:ascii="Arial" w:eastAsia="Arial" w:hAnsi="Arial" w:cs="Arial"/>
          <w:kern w:val="0"/>
          <w:sz w:val="24"/>
          <w:szCs w:val="24"/>
          <w:lang w:val="en-US"/>
          <w14:ligatures w14:val="none"/>
        </w:rPr>
        <w:t>24 March</w:t>
      </w:r>
      <w:r w:rsidR="00536E47" w:rsidRPr="00F16AA9">
        <w:rPr>
          <w:rFonts w:ascii="Arial" w:eastAsia="Arial" w:hAnsi="Arial" w:cs="Arial"/>
          <w:spacing w:val="66"/>
          <w:kern w:val="0"/>
          <w:sz w:val="24"/>
          <w:szCs w:val="24"/>
          <w:lang w:val="en-US"/>
          <w14:ligatures w14:val="none"/>
        </w:rPr>
        <w:t xml:space="preserve"> </w:t>
      </w:r>
      <w:r w:rsidR="00536E47" w:rsidRPr="00F16AA9">
        <w:rPr>
          <w:rFonts w:ascii="Arial" w:eastAsia="Arial" w:hAnsi="Arial" w:cs="Arial"/>
          <w:kern w:val="0"/>
          <w:sz w:val="24"/>
          <w:szCs w:val="24"/>
          <w:lang w:val="en-US"/>
          <w14:ligatures w14:val="none"/>
        </w:rPr>
        <w:t>2020 and the</w:t>
      </w:r>
      <w:r w:rsidR="00536E47" w:rsidRPr="00F16AA9">
        <w:rPr>
          <w:rFonts w:ascii="Arial" w:eastAsia="Arial" w:hAnsi="Arial" w:cs="Arial"/>
          <w:spacing w:val="67"/>
          <w:kern w:val="0"/>
          <w:sz w:val="24"/>
          <w:szCs w:val="24"/>
          <w:lang w:val="en-US"/>
          <w14:ligatures w14:val="none"/>
        </w:rPr>
        <w:t xml:space="preserve"> </w:t>
      </w:r>
      <w:r w:rsidR="00536E47" w:rsidRPr="00F16AA9">
        <w:rPr>
          <w:rFonts w:ascii="Arial" w:eastAsia="Arial" w:hAnsi="Arial" w:cs="Arial"/>
          <w:kern w:val="0"/>
          <w:sz w:val="24"/>
          <w:szCs w:val="24"/>
          <w:lang w:val="en-US"/>
          <w14:ligatures w14:val="none"/>
        </w:rPr>
        <w:t>payment of</w:t>
      </w:r>
      <w:r w:rsidR="00536E47" w:rsidRPr="00F16AA9">
        <w:rPr>
          <w:rFonts w:ascii="Arial" w:eastAsia="Arial" w:hAnsi="Arial" w:cs="Arial"/>
          <w:spacing w:val="1"/>
          <w:kern w:val="0"/>
          <w:sz w:val="24"/>
          <w:szCs w:val="24"/>
          <w:lang w:val="en-US"/>
          <w14:ligatures w14:val="none"/>
        </w:rPr>
        <w:t xml:space="preserve"> </w:t>
      </w:r>
      <w:r w:rsidR="00536E47" w:rsidRPr="00F16AA9">
        <w:rPr>
          <w:rFonts w:ascii="Arial" w:eastAsia="Arial" w:hAnsi="Arial" w:cs="Arial"/>
          <w:kern w:val="0"/>
          <w:sz w:val="24"/>
          <w:szCs w:val="24"/>
          <w:lang w:val="en-US"/>
          <w14:ligatures w14:val="none"/>
        </w:rPr>
        <w:t>R29 286 065.00 which was invoiced on 20 April 2020, amounting to the total of</w:t>
      </w:r>
      <w:r w:rsidR="00536E47" w:rsidRPr="00F16AA9">
        <w:rPr>
          <w:rFonts w:ascii="Arial" w:eastAsia="Arial" w:hAnsi="Arial" w:cs="Arial"/>
          <w:spacing w:val="1"/>
          <w:kern w:val="0"/>
          <w:sz w:val="24"/>
          <w:szCs w:val="24"/>
          <w:lang w:val="en-US"/>
          <w14:ligatures w14:val="none"/>
        </w:rPr>
        <w:t xml:space="preserve"> </w:t>
      </w:r>
      <w:r w:rsidR="00536E47" w:rsidRPr="00F16AA9">
        <w:rPr>
          <w:rFonts w:ascii="Arial" w:eastAsia="Arial" w:hAnsi="Arial" w:cs="Arial"/>
          <w:b/>
          <w:kern w:val="0"/>
          <w:sz w:val="24"/>
          <w:szCs w:val="24"/>
          <w:lang w:val="en-US"/>
          <w14:ligatures w14:val="none"/>
        </w:rPr>
        <w:t>R44 228 652.00,</w:t>
      </w:r>
      <w:r w:rsidR="00536E47" w:rsidRPr="00F16AA9">
        <w:rPr>
          <w:rFonts w:ascii="Arial" w:eastAsia="Arial" w:hAnsi="Arial" w:cs="Arial"/>
          <w:b/>
          <w:spacing w:val="-2"/>
          <w:kern w:val="0"/>
          <w:sz w:val="24"/>
          <w:szCs w:val="24"/>
          <w:lang w:val="en-US"/>
          <w14:ligatures w14:val="none"/>
        </w:rPr>
        <w:t xml:space="preserve"> </w:t>
      </w:r>
      <w:r w:rsidR="00536E47" w:rsidRPr="00F16AA9">
        <w:rPr>
          <w:rFonts w:ascii="Arial" w:eastAsia="Arial" w:hAnsi="Arial" w:cs="Arial"/>
          <w:kern w:val="0"/>
          <w:sz w:val="24"/>
          <w:szCs w:val="24"/>
          <w:lang w:val="en-US"/>
          <w14:ligatures w14:val="none"/>
        </w:rPr>
        <w:t>were</w:t>
      </w:r>
      <w:r w:rsidR="00536E47" w:rsidRPr="00F16AA9">
        <w:rPr>
          <w:rFonts w:ascii="Arial" w:eastAsia="Arial" w:hAnsi="Arial" w:cs="Arial"/>
          <w:spacing w:val="-1"/>
          <w:kern w:val="0"/>
          <w:sz w:val="24"/>
          <w:szCs w:val="24"/>
          <w:lang w:val="en-US"/>
          <w14:ligatures w14:val="none"/>
        </w:rPr>
        <w:t xml:space="preserve"> </w:t>
      </w:r>
      <w:r w:rsidR="00536E47" w:rsidRPr="00F16AA9">
        <w:rPr>
          <w:rFonts w:ascii="Arial" w:eastAsia="Arial" w:hAnsi="Arial" w:cs="Arial"/>
          <w:kern w:val="0"/>
          <w:sz w:val="24"/>
          <w:szCs w:val="24"/>
          <w:lang w:val="en-US"/>
          <w14:ligatures w14:val="none"/>
        </w:rPr>
        <w:t>irregularly</w:t>
      </w:r>
      <w:r w:rsidR="00536E47" w:rsidRPr="00F16AA9">
        <w:rPr>
          <w:rFonts w:ascii="Arial" w:eastAsia="Arial" w:hAnsi="Arial" w:cs="Arial"/>
          <w:spacing w:val="-3"/>
          <w:kern w:val="0"/>
          <w:sz w:val="24"/>
          <w:szCs w:val="24"/>
          <w:lang w:val="en-US"/>
          <w14:ligatures w14:val="none"/>
        </w:rPr>
        <w:t xml:space="preserve"> </w:t>
      </w:r>
      <w:r w:rsidR="00536E47" w:rsidRPr="00F16AA9">
        <w:rPr>
          <w:rFonts w:ascii="Arial" w:eastAsia="Arial" w:hAnsi="Arial" w:cs="Arial"/>
          <w:kern w:val="0"/>
          <w:sz w:val="24"/>
          <w:szCs w:val="24"/>
          <w:lang w:val="en-US"/>
          <w14:ligatures w14:val="none"/>
        </w:rPr>
        <w:t>claimed</w:t>
      </w:r>
      <w:r w:rsidR="00536E47" w:rsidRPr="00F16AA9">
        <w:rPr>
          <w:rFonts w:ascii="Arial" w:eastAsia="Arial" w:hAnsi="Arial" w:cs="Arial"/>
          <w:spacing w:val="-1"/>
          <w:kern w:val="0"/>
          <w:sz w:val="24"/>
          <w:szCs w:val="24"/>
          <w:lang w:val="en-US"/>
          <w14:ligatures w14:val="none"/>
        </w:rPr>
        <w:t xml:space="preserve"> </w:t>
      </w:r>
      <w:r w:rsidR="00536E47" w:rsidRPr="00F16AA9">
        <w:rPr>
          <w:rFonts w:ascii="Arial" w:eastAsia="Arial" w:hAnsi="Arial" w:cs="Arial"/>
          <w:kern w:val="0"/>
          <w:sz w:val="24"/>
          <w:szCs w:val="24"/>
          <w:lang w:val="en-US"/>
          <w14:ligatures w14:val="none"/>
        </w:rPr>
        <w:t>by</w:t>
      </w:r>
      <w:r w:rsidR="00536E47" w:rsidRPr="00F16AA9">
        <w:rPr>
          <w:rFonts w:ascii="Arial" w:eastAsia="Arial" w:hAnsi="Arial" w:cs="Arial"/>
          <w:spacing w:val="-4"/>
          <w:kern w:val="0"/>
          <w:sz w:val="24"/>
          <w:szCs w:val="24"/>
          <w:lang w:val="en-US"/>
          <w14:ligatures w14:val="none"/>
        </w:rPr>
        <w:t xml:space="preserve"> </w:t>
      </w:r>
      <w:r w:rsidR="00536E47" w:rsidRPr="00F533A8">
        <w:rPr>
          <w:rFonts w:ascii="Arial" w:eastAsia="Arial" w:hAnsi="Arial" w:cs="Arial"/>
          <w:spacing w:val="-4"/>
          <w:kern w:val="0"/>
          <w:sz w:val="24"/>
          <w:szCs w:val="24"/>
          <w:lang w:val="en-US"/>
          <w14:ligatures w14:val="none"/>
        </w:rPr>
        <w:t xml:space="preserve">Nexor. I also constitute fruitless and wasteful expenditure in terms of section 45 of the PFMA.  </w:t>
      </w:r>
    </w:p>
    <w:p w14:paraId="02C24BAA" w14:textId="77777777" w:rsidR="00536E47" w:rsidRPr="00F533A8" w:rsidRDefault="00536E47" w:rsidP="00E212A8">
      <w:pPr>
        <w:spacing w:line="360" w:lineRule="auto"/>
        <w:jc w:val="both"/>
        <w:rPr>
          <w:rFonts w:ascii="Arial" w:hAnsi="Arial" w:cs="Arial"/>
          <w:sz w:val="24"/>
          <w:szCs w:val="24"/>
          <w:lang w:val="en-GB"/>
        </w:rPr>
      </w:pPr>
    </w:p>
    <w:p w14:paraId="72DD5AFF" w14:textId="30A835ED" w:rsidR="00536E47" w:rsidRPr="00F533A8" w:rsidRDefault="00536E47" w:rsidP="00E212A8">
      <w:pPr>
        <w:spacing w:line="360" w:lineRule="auto"/>
        <w:jc w:val="both"/>
        <w:rPr>
          <w:rFonts w:ascii="Arial" w:hAnsi="Arial" w:cs="Arial"/>
          <w:sz w:val="24"/>
          <w:szCs w:val="24"/>
          <w:lang w:val="en-GB"/>
        </w:rPr>
      </w:pPr>
      <w:r w:rsidRPr="00F533A8">
        <w:rPr>
          <w:rFonts w:ascii="Arial" w:hAnsi="Arial" w:cs="Arial"/>
          <w:sz w:val="24"/>
          <w:szCs w:val="24"/>
          <w:lang w:val="en-GB"/>
        </w:rPr>
        <w:t>[</w:t>
      </w:r>
      <w:r w:rsidR="00963108">
        <w:rPr>
          <w:rFonts w:ascii="Arial" w:hAnsi="Arial" w:cs="Arial"/>
          <w:sz w:val="24"/>
          <w:szCs w:val="24"/>
          <w:lang w:val="en-GB"/>
        </w:rPr>
        <w:t>96</w:t>
      </w:r>
      <w:r w:rsidRPr="00F533A8">
        <w:rPr>
          <w:rFonts w:ascii="Arial" w:hAnsi="Arial" w:cs="Arial"/>
          <w:sz w:val="24"/>
          <w:szCs w:val="24"/>
          <w:lang w:val="en-GB"/>
        </w:rPr>
        <w:t>]</w:t>
      </w:r>
      <w:r w:rsidRPr="00F533A8">
        <w:rPr>
          <w:rFonts w:ascii="Arial" w:hAnsi="Arial" w:cs="Arial"/>
          <w:sz w:val="24"/>
          <w:szCs w:val="24"/>
          <w:lang w:val="en-GB"/>
        </w:rPr>
        <w:tab/>
        <w:t xml:space="preserve">Nexor and DOT deny that these payments were irregularly made. According to Nexor and DOT, the invoices rendered in March 2020 relate to services rendered prior to the lockdown. In relation to the April invoice, the SIU has failed to establish that the services were rendered during lockdown or at all. DOT considered services rendered in terms of the contract essential services and granted Nexor a permit to continue to render services during the lockdown period. </w:t>
      </w:r>
    </w:p>
    <w:p w14:paraId="30F8E938" w14:textId="77777777" w:rsidR="00536E47" w:rsidRPr="00F533A8" w:rsidRDefault="00536E47" w:rsidP="00E212A8">
      <w:pPr>
        <w:spacing w:line="360" w:lineRule="auto"/>
        <w:jc w:val="both"/>
        <w:rPr>
          <w:rFonts w:ascii="Arial" w:hAnsi="Arial" w:cs="Arial"/>
          <w:sz w:val="24"/>
          <w:szCs w:val="24"/>
          <w:lang w:val="en-GB"/>
        </w:rPr>
      </w:pPr>
      <w:r w:rsidRPr="00F533A8">
        <w:rPr>
          <w:rFonts w:ascii="Arial" w:hAnsi="Arial" w:cs="Arial"/>
          <w:sz w:val="24"/>
          <w:szCs w:val="24"/>
          <w:lang w:val="en-GB"/>
        </w:rPr>
        <w:t xml:space="preserve"> </w:t>
      </w:r>
    </w:p>
    <w:p w14:paraId="5817C835" w14:textId="174D232D" w:rsidR="00536E47" w:rsidRPr="00F533A8" w:rsidRDefault="00536E47" w:rsidP="00E212A8">
      <w:pPr>
        <w:spacing w:line="360" w:lineRule="auto"/>
        <w:jc w:val="both"/>
        <w:rPr>
          <w:rFonts w:ascii="Arial" w:hAnsi="Arial" w:cs="Arial"/>
          <w:sz w:val="24"/>
          <w:szCs w:val="24"/>
          <w:lang w:val="en-GB"/>
        </w:rPr>
      </w:pPr>
      <w:r w:rsidRPr="00F533A8">
        <w:rPr>
          <w:rFonts w:ascii="Arial" w:hAnsi="Arial" w:cs="Arial"/>
          <w:sz w:val="24"/>
          <w:szCs w:val="24"/>
          <w:lang w:val="en-GB"/>
        </w:rPr>
        <w:t>[</w:t>
      </w:r>
      <w:r w:rsidR="00963108">
        <w:rPr>
          <w:rFonts w:ascii="Arial" w:hAnsi="Arial" w:cs="Arial"/>
          <w:sz w:val="24"/>
          <w:szCs w:val="24"/>
          <w:lang w:val="en-GB"/>
        </w:rPr>
        <w:t>97</w:t>
      </w:r>
      <w:r w:rsidRPr="00F533A8">
        <w:rPr>
          <w:rFonts w:ascii="Arial" w:hAnsi="Arial" w:cs="Arial"/>
          <w:sz w:val="24"/>
          <w:szCs w:val="24"/>
          <w:lang w:val="en-GB"/>
        </w:rPr>
        <w:t>]</w:t>
      </w:r>
      <w:r w:rsidRPr="00F533A8">
        <w:rPr>
          <w:rFonts w:ascii="Arial" w:hAnsi="Arial" w:cs="Arial"/>
          <w:sz w:val="24"/>
          <w:szCs w:val="24"/>
          <w:lang w:val="en-GB"/>
        </w:rPr>
        <w:tab/>
        <w:t xml:space="preserve">In reply, the SIU essentially seeks to impugn the validity of the permit DOT issued to Nexor and that the services purportedly rendered were essential services. This is a new case inappropriately made in reply. The case the SIU made in the founding affidavit is that payments were made under circumstances where no services were rendered. The new case made in reply only shows that the SIU failed to investigate the allegations and engage DOT in respect thereof. </w:t>
      </w:r>
    </w:p>
    <w:p w14:paraId="2368824E" w14:textId="77777777" w:rsidR="00536E47" w:rsidRPr="00F533A8" w:rsidRDefault="00536E47" w:rsidP="00E212A8">
      <w:pPr>
        <w:spacing w:line="360" w:lineRule="auto"/>
        <w:jc w:val="both"/>
        <w:rPr>
          <w:rFonts w:ascii="Arial" w:hAnsi="Arial" w:cs="Arial"/>
          <w:sz w:val="24"/>
          <w:szCs w:val="24"/>
          <w:lang w:val="en-GB"/>
        </w:rPr>
      </w:pPr>
    </w:p>
    <w:p w14:paraId="7B5BB722" w14:textId="44A4967A" w:rsidR="00536E47" w:rsidRPr="00F533A8" w:rsidRDefault="00536E47" w:rsidP="00E212A8">
      <w:pPr>
        <w:spacing w:line="360" w:lineRule="auto"/>
        <w:jc w:val="both"/>
        <w:rPr>
          <w:rFonts w:ascii="Arial" w:hAnsi="Arial" w:cs="Arial"/>
          <w:sz w:val="24"/>
          <w:szCs w:val="24"/>
          <w:lang w:val="en-GB"/>
        </w:rPr>
      </w:pPr>
      <w:r w:rsidRPr="00F533A8">
        <w:rPr>
          <w:rFonts w:ascii="Arial" w:hAnsi="Arial" w:cs="Arial"/>
          <w:sz w:val="24"/>
          <w:szCs w:val="24"/>
          <w:lang w:val="en-GB"/>
        </w:rPr>
        <w:t>[</w:t>
      </w:r>
      <w:r w:rsidR="00963108">
        <w:rPr>
          <w:rFonts w:ascii="Arial" w:hAnsi="Arial" w:cs="Arial"/>
          <w:sz w:val="24"/>
          <w:szCs w:val="24"/>
          <w:lang w:val="en-GB"/>
        </w:rPr>
        <w:t>98</w:t>
      </w:r>
      <w:r w:rsidRPr="00F533A8">
        <w:rPr>
          <w:rFonts w:ascii="Arial" w:hAnsi="Arial" w:cs="Arial"/>
          <w:sz w:val="24"/>
          <w:szCs w:val="24"/>
          <w:lang w:val="en-GB"/>
        </w:rPr>
        <w:t>]</w:t>
      </w:r>
      <w:r w:rsidRPr="00F533A8">
        <w:rPr>
          <w:rFonts w:ascii="Arial" w:hAnsi="Arial" w:cs="Arial"/>
          <w:sz w:val="24"/>
          <w:szCs w:val="24"/>
          <w:lang w:val="en-GB"/>
        </w:rPr>
        <w:tab/>
      </w:r>
      <w:r w:rsidR="00963108">
        <w:rPr>
          <w:rFonts w:ascii="Arial" w:hAnsi="Arial" w:cs="Arial"/>
          <w:sz w:val="24"/>
          <w:szCs w:val="24"/>
          <w:lang w:val="en-GB"/>
        </w:rPr>
        <w:t>Nexor asserts that it</w:t>
      </w:r>
      <w:r w:rsidRPr="00F533A8">
        <w:rPr>
          <w:rFonts w:ascii="Arial" w:hAnsi="Arial" w:cs="Arial"/>
          <w:sz w:val="24"/>
          <w:szCs w:val="24"/>
          <w:lang w:val="en-GB"/>
        </w:rPr>
        <w:t xml:space="preserve"> had provided DOT with a cash flow annexure to the Service Level Agreement it concluded with DOT. It makes provision for a flat rate. The relevant services have been rendered as reflected in summaries and compact discs reflecting the particulars of the work done.  </w:t>
      </w:r>
    </w:p>
    <w:p w14:paraId="088D9A87" w14:textId="77777777" w:rsidR="00536E47" w:rsidRPr="00F533A8" w:rsidRDefault="00536E47" w:rsidP="00E212A8">
      <w:pPr>
        <w:spacing w:line="360" w:lineRule="auto"/>
        <w:jc w:val="both"/>
        <w:rPr>
          <w:rFonts w:ascii="Arial" w:hAnsi="Arial" w:cs="Arial"/>
          <w:sz w:val="24"/>
          <w:szCs w:val="24"/>
          <w:lang w:val="en-GB"/>
        </w:rPr>
      </w:pPr>
    </w:p>
    <w:p w14:paraId="79FE4AF5" w14:textId="4699471F" w:rsidR="0075090F" w:rsidRPr="00F533A8" w:rsidRDefault="00B32403"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963108">
        <w:rPr>
          <w:rFonts w:ascii="Arial" w:hAnsi="Arial" w:cs="Arial"/>
          <w:sz w:val="24"/>
          <w:szCs w:val="24"/>
        </w:rPr>
        <w:t>99</w:t>
      </w:r>
      <w:r w:rsidRPr="00F533A8">
        <w:rPr>
          <w:rFonts w:ascii="Arial" w:hAnsi="Arial" w:cs="Arial"/>
          <w:sz w:val="24"/>
          <w:szCs w:val="24"/>
        </w:rPr>
        <w:t>]</w:t>
      </w:r>
      <w:r w:rsidR="00396285">
        <w:rPr>
          <w:rFonts w:ascii="Arial" w:hAnsi="Arial" w:cs="Arial"/>
          <w:sz w:val="24"/>
          <w:szCs w:val="24"/>
        </w:rPr>
        <w:tab/>
      </w:r>
      <w:r w:rsidRPr="00F533A8">
        <w:rPr>
          <w:rFonts w:ascii="Arial" w:hAnsi="Arial" w:cs="Arial"/>
          <w:sz w:val="24"/>
          <w:szCs w:val="24"/>
        </w:rPr>
        <w:t xml:space="preserve">I find that there is no merit </w:t>
      </w:r>
      <w:r w:rsidR="00963108">
        <w:rPr>
          <w:rFonts w:ascii="Arial" w:hAnsi="Arial" w:cs="Arial"/>
          <w:sz w:val="24"/>
          <w:szCs w:val="24"/>
        </w:rPr>
        <w:t>to</w:t>
      </w:r>
      <w:r w:rsidRPr="00F533A8">
        <w:rPr>
          <w:rFonts w:ascii="Arial" w:hAnsi="Arial" w:cs="Arial"/>
          <w:sz w:val="24"/>
          <w:szCs w:val="24"/>
        </w:rPr>
        <w:t xml:space="preserve"> the SIU’s grounds of review.</w:t>
      </w:r>
    </w:p>
    <w:p w14:paraId="11A3962F" w14:textId="77777777" w:rsidR="00963108" w:rsidRPr="00F533A8" w:rsidRDefault="00963108" w:rsidP="00E212A8">
      <w:pPr>
        <w:tabs>
          <w:tab w:val="left" w:pos="851"/>
        </w:tabs>
        <w:spacing w:line="360" w:lineRule="auto"/>
        <w:jc w:val="both"/>
        <w:rPr>
          <w:rFonts w:ascii="Arial" w:hAnsi="Arial" w:cs="Arial"/>
          <w:b/>
          <w:bCs/>
          <w:sz w:val="24"/>
          <w:szCs w:val="24"/>
        </w:rPr>
      </w:pPr>
    </w:p>
    <w:p w14:paraId="39B34811" w14:textId="087FCB2A" w:rsidR="0012477D" w:rsidRPr="00F533A8" w:rsidRDefault="0012477D" w:rsidP="00E212A8">
      <w:pPr>
        <w:tabs>
          <w:tab w:val="left" w:pos="851"/>
        </w:tabs>
        <w:spacing w:line="360" w:lineRule="auto"/>
        <w:jc w:val="both"/>
        <w:rPr>
          <w:rFonts w:ascii="Arial" w:hAnsi="Arial" w:cs="Arial"/>
          <w:b/>
          <w:bCs/>
          <w:sz w:val="24"/>
          <w:szCs w:val="24"/>
        </w:rPr>
      </w:pPr>
      <w:r w:rsidRPr="00F533A8">
        <w:rPr>
          <w:rFonts w:ascii="Arial" w:hAnsi="Arial" w:cs="Arial"/>
          <w:b/>
          <w:bCs/>
          <w:sz w:val="24"/>
          <w:szCs w:val="24"/>
        </w:rPr>
        <w:t>COUNTERAPPLICATION</w:t>
      </w:r>
    </w:p>
    <w:p w14:paraId="2DE08327" w14:textId="19DE7B0F" w:rsidR="0012477D" w:rsidRPr="00F533A8" w:rsidRDefault="0012477D"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1403F2">
        <w:rPr>
          <w:rFonts w:ascii="Arial" w:hAnsi="Arial" w:cs="Arial"/>
          <w:sz w:val="24"/>
          <w:szCs w:val="24"/>
        </w:rPr>
        <w:t>100</w:t>
      </w:r>
      <w:r w:rsidRPr="00F533A8">
        <w:rPr>
          <w:rFonts w:ascii="Arial" w:hAnsi="Arial" w:cs="Arial"/>
          <w:sz w:val="24"/>
          <w:szCs w:val="24"/>
        </w:rPr>
        <w:t>]</w:t>
      </w:r>
      <w:r w:rsidR="00396285">
        <w:rPr>
          <w:rFonts w:ascii="Arial" w:hAnsi="Arial" w:cs="Arial"/>
          <w:sz w:val="24"/>
          <w:szCs w:val="24"/>
        </w:rPr>
        <w:tab/>
      </w:r>
      <w:r w:rsidRPr="00F533A8">
        <w:rPr>
          <w:rFonts w:ascii="Arial" w:hAnsi="Arial" w:cs="Arial"/>
          <w:sz w:val="24"/>
          <w:szCs w:val="24"/>
        </w:rPr>
        <w:t xml:space="preserve">In the counterapplication, the MEC impugns the SIU investigation report into procurement irregularities in </w:t>
      </w:r>
      <w:r w:rsidR="00435534" w:rsidRPr="00F533A8">
        <w:rPr>
          <w:rFonts w:ascii="Arial" w:hAnsi="Arial" w:cs="Arial"/>
          <w:sz w:val="24"/>
          <w:szCs w:val="24"/>
        </w:rPr>
        <w:t>respect of</w:t>
      </w:r>
      <w:r w:rsidRPr="00F533A8">
        <w:rPr>
          <w:rFonts w:ascii="Arial" w:hAnsi="Arial" w:cs="Arial"/>
          <w:sz w:val="24"/>
          <w:szCs w:val="24"/>
        </w:rPr>
        <w:t xml:space="preserve"> the </w:t>
      </w:r>
      <w:r w:rsidR="00435534" w:rsidRPr="00F533A8">
        <w:rPr>
          <w:rFonts w:ascii="Arial" w:hAnsi="Arial" w:cs="Arial"/>
          <w:sz w:val="24"/>
          <w:szCs w:val="24"/>
        </w:rPr>
        <w:t xml:space="preserve">tender </w:t>
      </w:r>
      <w:r w:rsidRPr="00F533A8">
        <w:rPr>
          <w:rFonts w:ascii="Arial" w:hAnsi="Arial" w:cs="Arial"/>
          <w:sz w:val="24"/>
          <w:szCs w:val="24"/>
        </w:rPr>
        <w:t>and seeks the SIU findings declared constitutionally invalid, unlawful, and set aside. He relies on the following grounds of review:</w:t>
      </w:r>
    </w:p>
    <w:p w14:paraId="191433E1" w14:textId="115211E4" w:rsidR="0012477D" w:rsidRPr="00F533A8" w:rsidRDefault="001403F2" w:rsidP="00E212A8">
      <w:pPr>
        <w:tabs>
          <w:tab w:val="left" w:pos="851"/>
        </w:tabs>
        <w:spacing w:line="360" w:lineRule="auto"/>
        <w:jc w:val="both"/>
        <w:rPr>
          <w:rFonts w:ascii="Arial" w:hAnsi="Arial" w:cs="Arial"/>
          <w:sz w:val="24"/>
          <w:szCs w:val="24"/>
        </w:rPr>
      </w:pPr>
      <w:r>
        <w:rPr>
          <w:rFonts w:ascii="Arial" w:hAnsi="Arial" w:cs="Arial"/>
          <w:sz w:val="24"/>
          <w:szCs w:val="24"/>
        </w:rPr>
        <w:t>100</w:t>
      </w:r>
      <w:r w:rsidR="00B32403" w:rsidRPr="00F533A8">
        <w:rPr>
          <w:rFonts w:ascii="Arial" w:hAnsi="Arial" w:cs="Arial"/>
          <w:sz w:val="24"/>
          <w:szCs w:val="24"/>
        </w:rPr>
        <w:t>.1</w:t>
      </w:r>
      <w:r w:rsidR="00F42254" w:rsidRPr="00F533A8">
        <w:rPr>
          <w:rFonts w:ascii="Arial" w:hAnsi="Arial" w:cs="Arial"/>
          <w:sz w:val="24"/>
          <w:szCs w:val="24"/>
        </w:rPr>
        <w:t xml:space="preserve"> </w:t>
      </w:r>
      <w:r w:rsidR="0012477D" w:rsidRPr="00F533A8">
        <w:rPr>
          <w:rFonts w:ascii="Arial" w:hAnsi="Arial" w:cs="Arial"/>
          <w:sz w:val="24"/>
          <w:szCs w:val="24"/>
        </w:rPr>
        <w:t>The findings and the report of the SIU bear no rational connection to the information that served before the SIU and as a result lack substantive rationality; and</w:t>
      </w:r>
    </w:p>
    <w:p w14:paraId="371707DF" w14:textId="158A92A2" w:rsidR="0012477D" w:rsidRPr="00F533A8" w:rsidRDefault="001403F2" w:rsidP="00E212A8">
      <w:pPr>
        <w:tabs>
          <w:tab w:val="left" w:pos="851"/>
        </w:tabs>
        <w:spacing w:line="360" w:lineRule="auto"/>
        <w:jc w:val="both"/>
        <w:rPr>
          <w:rFonts w:ascii="Arial" w:hAnsi="Arial" w:cs="Arial"/>
          <w:sz w:val="24"/>
          <w:szCs w:val="24"/>
        </w:rPr>
      </w:pPr>
      <w:r>
        <w:rPr>
          <w:rFonts w:ascii="Arial" w:hAnsi="Arial" w:cs="Arial"/>
          <w:sz w:val="24"/>
          <w:szCs w:val="24"/>
        </w:rPr>
        <w:t>100</w:t>
      </w:r>
      <w:r w:rsidR="001A2879" w:rsidRPr="00F533A8">
        <w:rPr>
          <w:rFonts w:ascii="Arial" w:hAnsi="Arial" w:cs="Arial"/>
          <w:sz w:val="24"/>
          <w:szCs w:val="24"/>
        </w:rPr>
        <w:t>.2</w:t>
      </w:r>
      <w:r w:rsidR="00F42254" w:rsidRPr="00F533A8">
        <w:rPr>
          <w:rFonts w:ascii="Arial" w:hAnsi="Arial" w:cs="Arial"/>
          <w:sz w:val="24"/>
          <w:szCs w:val="24"/>
        </w:rPr>
        <w:t xml:space="preserve"> W</w:t>
      </w:r>
      <w:r w:rsidR="0012477D" w:rsidRPr="00F533A8">
        <w:rPr>
          <w:rFonts w:ascii="Arial" w:hAnsi="Arial" w:cs="Arial"/>
          <w:sz w:val="24"/>
          <w:szCs w:val="24"/>
        </w:rPr>
        <w:t xml:space="preserve">hen conducting the investigation, the SIU failed to afford </w:t>
      </w:r>
      <w:r w:rsidR="001A2879" w:rsidRPr="00F533A8">
        <w:rPr>
          <w:rFonts w:ascii="Arial" w:hAnsi="Arial" w:cs="Arial"/>
          <w:sz w:val="24"/>
          <w:szCs w:val="24"/>
        </w:rPr>
        <w:t>DOT</w:t>
      </w:r>
      <w:r w:rsidR="0012477D" w:rsidRPr="00F533A8">
        <w:rPr>
          <w:rFonts w:ascii="Arial" w:hAnsi="Arial" w:cs="Arial"/>
          <w:sz w:val="24"/>
          <w:szCs w:val="24"/>
        </w:rPr>
        <w:t xml:space="preserve"> and/or its official</w:t>
      </w:r>
      <w:r w:rsidR="00435534" w:rsidRPr="00F533A8">
        <w:rPr>
          <w:rFonts w:ascii="Arial" w:hAnsi="Arial" w:cs="Arial"/>
          <w:sz w:val="24"/>
          <w:szCs w:val="24"/>
        </w:rPr>
        <w:t>s</w:t>
      </w:r>
      <w:r w:rsidR="0012477D" w:rsidRPr="00F533A8">
        <w:rPr>
          <w:rFonts w:ascii="Arial" w:hAnsi="Arial" w:cs="Arial"/>
          <w:sz w:val="24"/>
          <w:szCs w:val="24"/>
        </w:rPr>
        <w:t xml:space="preserve">, especially those against whom adverse findings and recommendations were made, an opportunity to make presentations in relation to the intended findings and recommendations. </w:t>
      </w:r>
    </w:p>
    <w:p w14:paraId="5C2E5A6E" w14:textId="77777777" w:rsidR="00530772" w:rsidRPr="00F533A8" w:rsidRDefault="00530772" w:rsidP="00E212A8">
      <w:pPr>
        <w:tabs>
          <w:tab w:val="left" w:pos="851"/>
        </w:tabs>
        <w:spacing w:line="360" w:lineRule="auto"/>
        <w:jc w:val="both"/>
        <w:rPr>
          <w:rFonts w:ascii="Arial" w:hAnsi="Arial" w:cs="Arial"/>
          <w:sz w:val="24"/>
          <w:szCs w:val="24"/>
        </w:rPr>
      </w:pPr>
    </w:p>
    <w:p w14:paraId="5F37F6B4" w14:textId="11EC728E" w:rsidR="0028256A" w:rsidRPr="00F533A8" w:rsidRDefault="0012477D" w:rsidP="0028256A">
      <w:pPr>
        <w:tabs>
          <w:tab w:val="left" w:pos="851"/>
        </w:tabs>
        <w:spacing w:line="360" w:lineRule="auto"/>
        <w:jc w:val="both"/>
        <w:rPr>
          <w:rFonts w:ascii="Arial" w:hAnsi="Arial" w:cs="Arial"/>
          <w:sz w:val="24"/>
          <w:szCs w:val="24"/>
        </w:rPr>
      </w:pPr>
      <w:r w:rsidRPr="00F533A8">
        <w:rPr>
          <w:rFonts w:ascii="Arial" w:hAnsi="Arial" w:cs="Arial"/>
          <w:sz w:val="24"/>
          <w:szCs w:val="24"/>
        </w:rPr>
        <w:t>[</w:t>
      </w:r>
      <w:r w:rsidR="001403F2">
        <w:rPr>
          <w:rFonts w:ascii="Arial" w:hAnsi="Arial" w:cs="Arial"/>
          <w:sz w:val="24"/>
          <w:szCs w:val="24"/>
        </w:rPr>
        <w:t>101</w:t>
      </w:r>
      <w:r w:rsidRPr="00F533A8">
        <w:rPr>
          <w:rFonts w:ascii="Arial" w:hAnsi="Arial" w:cs="Arial"/>
          <w:sz w:val="24"/>
          <w:szCs w:val="24"/>
        </w:rPr>
        <w:t>]</w:t>
      </w:r>
      <w:r w:rsidRPr="00F533A8">
        <w:rPr>
          <w:rFonts w:ascii="Arial" w:hAnsi="Arial" w:cs="Arial"/>
          <w:sz w:val="24"/>
          <w:szCs w:val="24"/>
        </w:rPr>
        <w:tab/>
        <w:t xml:space="preserve">The SIU oppose the counter application. It has raised several points in </w:t>
      </w:r>
      <w:r w:rsidRPr="00F533A8">
        <w:rPr>
          <w:rFonts w:ascii="Arial" w:hAnsi="Arial" w:cs="Arial"/>
          <w:i/>
          <w:iCs/>
          <w:sz w:val="24"/>
          <w:szCs w:val="24"/>
        </w:rPr>
        <w:t>limine.</w:t>
      </w:r>
      <w:r w:rsidRPr="00F533A8">
        <w:rPr>
          <w:rFonts w:ascii="Arial" w:hAnsi="Arial" w:cs="Arial"/>
          <w:sz w:val="24"/>
          <w:szCs w:val="24"/>
        </w:rPr>
        <w:t xml:space="preserve"> It also opposes the counter application on the merits. </w:t>
      </w:r>
      <w:r w:rsidR="0028256A">
        <w:rPr>
          <w:rFonts w:ascii="Arial" w:hAnsi="Arial" w:cs="Arial"/>
          <w:sz w:val="24"/>
          <w:szCs w:val="24"/>
        </w:rPr>
        <w:t xml:space="preserve">It </w:t>
      </w:r>
      <w:r w:rsidR="0028256A" w:rsidRPr="00F533A8">
        <w:rPr>
          <w:rFonts w:ascii="Arial" w:hAnsi="Arial" w:cs="Arial"/>
          <w:sz w:val="24"/>
          <w:szCs w:val="24"/>
        </w:rPr>
        <w:t>only raised one substantive ground of defence, that the findings in its report are procedurally and substantively rational.</w:t>
      </w:r>
    </w:p>
    <w:p w14:paraId="0995B448" w14:textId="01003CD9" w:rsidR="0012477D" w:rsidRPr="00F533A8" w:rsidRDefault="0012477D" w:rsidP="00E212A8">
      <w:pPr>
        <w:tabs>
          <w:tab w:val="left" w:pos="851"/>
        </w:tabs>
        <w:spacing w:line="360" w:lineRule="auto"/>
        <w:jc w:val="both"/>
        <w:rPr>
          <w:rFonts w:ascii="Arial" w:hAnsi="Arial" w:cs="Arial"/>
          <w:sz w:val="24"/>
          <w:szCs w:val="24"/>
        </w:rPr>
      </w:pPr>
      <w:r w:rsidRPr="00F533A8">
        <w:rPr>
          <w:rFonts w:ascii="Arial" w:hAnsi="Arial" w:cs="Arial"/>
          <w:sz w:val="24"/>
          <w:szCs w:val="24"/>
        </w:rPr>
        <w:t xml:space="preserve">   </w:t>
      </w:r>
    </w:p>
    <w:p w14:paraId="1E56B726" w14:textId="77777777" w:rsidR="00530772" w:rsidRPr="00F533A8" w:rsidRDefault="00530772" w:rsidP="00E212A8">
      <w:pPr>
        <w:tabs>
          <w:tab w:val="left" w:pos="851"/>
        </w:tabs>
        <w:spacing w:line="360" w:lineRule="auto"/>
        <w:jc w:val="both"/>
        <w:rPr>
          <w:rFonts w:ascii="Arial" w:hAnsi="Arial" w:cs="Arial"/>
          <w:sz w:val="24"/>
          <w:szCs w:val="24"/>
        </w:rPr>
      </w:pPr>
    </w:p>
    <w:p w14:paraId="4F31DF75" w14:textId="47C11FD3" w:rsidR="0012477D" w:rsidRPr="00F533A8" w:rsidRDefault="0012477D"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1403F2">
        <w:rPr>
          <w:rFonts w:ascii="Arial" w:hAnsi="Arial" w:cs="Arial"/>
          <w:sz w:val="24"/>
          <w:szCs w:val="24"/>
        </w:rPr>
        <w:t>102</w:t>
      </w:r>
      <w:r w:rsidRPr="00F533A8">
        <w:rPr>
          <w:rFonts w:ascii="Arial" w:hAnsi="Arial" w:cs="Arial"/>
          <w:sz w:val="24"/>
          <w:szCs w:val="24"/>
        </w:rPr>
        <w:t>]</w:t>
      </w:r>
      <w:r w:rsidRPr="00F533A8">
        <w:rPr>
          <w:rFonts w:ascii="Arial" w:hAnsi="Arial" w:cs="Arial"/>
          <w:sz w:val="24"/>
          <w:szCs w:val="24"/>
        </w:rPr>
        <w:tab/>
        <w:t xml:space="preserve">The SIU’s points in </w:t>
      </w:r>
      <w:r w:rsidRPr="00F533A8">
        <w:rPr>
          <w:rFonts w:ascii="Arial" w:hAnsi="Arial" w:cs="Arial"/>
          <w:i/>
          <w:iCs/>
          <w:sz w:val="24"/>
          <w:szCs w:val="24"/>
        </w:rPr>
        <w:t>limine</w:t>
      </w:r>
      <w:r w:rsidRPr="00F533A8">
        <w:rPr>
          <w:rFonts w:ascii="Arial" w:hAnsi="Arial" w:cs="Arial"/>
          <w:sz w:val="24"/>
          <w:szCs w:val="24"/>
        </w:rPr>
        <w:t xml:space="preserve"> are as follows:</w:t>
      </w:r>
    </w:p>
    <w:p w14:paraId="47567946" w14:textId="2628B45A" w:rsidR="0012477D" w:rsidRPr="00F533A8" w:rsidRDefault="001403F2" w:rsidP="00E212A8">
      <w:pPr>
        <w:tabs>
          <w:tab w:val="left" w:pos="851"/>
        </w:tabs>
        <w:spacing w:line="360" w:lineRule="auto"/>
        <w:jc w:val="both"/>
        <w:rPr>
          <w:rFonts w:ascii="Arial" w:hAnsi="Arial" w:cs="Arial"/>
          <w:sz w:val="24"/>
          <w:szCs w:val="24"/>
        </w:rPr>
      </w:pPr>
      <w:r>
        <w:rPr>
          <w:rFonts w:ascii="Arial" w:hAnsi="Arial" w:cs="Arial"/>
          <w:sz w:val="24"/>
          <w:szCs w:val="24"/>
        </w:rPr>
        <w:t>102</w:t>
      </w:r>
      <w:r w:rsidR="001A2879" w:rsidRPr="00F533A8">
        <w:rPr>
          <w:rFonts w:ascii="Arial" w:hAnsi="Arial" w:cs="Arial"/>
          <w:sz w:val="24"/>
          <w:szCs w:val="24"/>
        </w:rPr>
        <w:t>.1</w:t>
      </w:r>
      <w:r w:rsidR="0012477D" w:rsidRPr="00F533A8">
        <w:rPr>
          <w:rFonts w:ascii="Arial" w:hAnsi="Arial" w:cs="Arial"/>
          <w:sz w:val="24"/>
          <w:szCs w:val="24"/>
        </w:rPr>
        <w:tab/>
        <w:t xml:space="preserve">The Tribunal lacks jurisdiction to grant the relief sought in the counter application and lacks the competency to grant any relief at the instance of any other party, except at the instance of the SIU. </w:t>
      </w:r>
    </w:p>
    <w:p w14:paraId="5B77503D" w14:textId="22EBB07B" w:rsidR="0012477D" w:rsidRPr="00F533A8" w:rsidRDefault="001403F2" w:rsidP="00E212A8">
      <w:pPr>
        <w:tabs>
          <w:tab w:val="left" w:pos="851"/>
        </w:tabs>
        <w:spacing w:line="360" w:lineRule="auto"/>
        <w:jc w:val="both"/>
        <w:rPr>
          <w:rFonts w:ascii="Arial" w:hAnsi="Arial" w:cs="Arial"/>
          <w:sz w:val="24"/>
          <w:szCs w:val="24"/>
        </w:rPr>
      </w:pPr>
      <w:r>
        <w:rPr>
          <w:rFonts w:ascii="Arial" w:hAnsi="Arial" w:cs="Arial"/>
          <w:sz w:val="24"/>
          <w:szCs w:val="24"/>
        </w:rPr>
        <w:t>102</w:t>
      </w:r>
      <w:r w:rsidR="001A2879" w:rsidRPr="00F533A8">
        <w:rPr>
          <w:rFonts w:ascii="Arial" w:hAnsi="Arial" w:cs="Arial"/>
          <w:sz w:val="24"/>
          <w:szCs w:val="24"/>
        </w:rPr>
        <w:t>.2</w:t>
      </w:r>
      <w:r w:rsidR="0012477D" w:rsidRPr="00F533A8">
        <w:rPr>
          <w:rFonts w:ascii="Arial" w:hAnsi="Arial" w:cs="Arial"/>
          <w:sz w:val="24"/>
          <w:szCs w:val="24"/>
        </w:rPr>
        <w:tab/>
        <w:t>The MEC has unreasonably delayed bring</w:t>
      </w:r>
      <w:r w:rsidR="001A2879" w:rsidRPr="00F533A8">
        <w:rPr>
          <w:rFonts w:ascii="Arial" w:hAnsi="Arial" w:cs="Arial"/>
          <w:sz w:val="24"/>
          <w:szCs w:val="24"/>
        </w:rPr>
        <w:t>ing</w:t>
      </w:r>
      <w:r w:rsidR="0012477D" w:rsidRPr="00F533A8">
        <w:rPr>
          <w:rFonts w:ascii="Arial" w:hAnsi="Arial" w:cs="Arial"/>
          <w:sz w:val="24"/>
          <w:szCs w:val="24"/>
        </w:rPr>
        <w:t xml:space="preserve"> the counter application.</w:t>
      </w:r>
    </w:p>
    <w:p w14:paraId="0B4E1DE3" w14:textId="1F0F0999" w:rsidR="0012477D" w:rsidRPr="00F533A8" w:rsidRDefault="001403F2" w:rsidP="00E212A8">
      <w:pPr>
        <w:tabs>
          <w:tab w:val="left" w:pos="851"/>
        </w:tabs>
        <w:spacing w:line="360" w:lineRule="auto"/>
        <w:jc w:val="both"/>
        <w:rPr>
          <w:rFonts w:ascii="Arial" w:hAnsi="Arial" w:cs="Arial"/>
          <w:sz w:val="24"/>
          <w:szCs w:val="24"/>
        </w:rPr>
      </w:pPr>
      <w:r>
        <w:rPr>
          <w:rFonts w:ascii="Arial" w:hAnsi="Arial" w:cs="Arial"/>
          <w:sz w:val="24"/>
          <w:szCs w:val="24"/>
        </w:rPr>
        <w:t>102</w:t>
      </w:r>
      <w:r w:rsidR="001A2879" w:rsidRPr="00F533A8">
        <w:rPr>
          <w:rFonts w:ascii="Arial" w:hAnsi="Arial" w:cs="Arial"/>
          <w:sz w:val="24"/>
          <w:szCs w:val="24"/>
        </w:rPr>
        <w:t>.3</w:t>
      </w:r>
      <w:r w:rsidR="0012477D" w:rsidRPr="00F533A8">
        <w:rPr>
          <w:rFonts w:ascii="Arial" w:hAnsi="Arial" w:cs="Arial"/>
          <w:sz w:val="24"/>
          <w:szCs w:val="24"/>
        </w:rPr>
        <w:tab/>
        <w:t>The MEC has pr</w:t>
      </w:r>
      <w:r w:rsidR="001A2879" w:rsidRPr="00F533A8">
        <w:rPr>
          <w:rFonts w:ascii="Arial" w:hAnsi="Arial" w:cs="Arial"/>
          <w:sz w:val="24"/>
          <w:szCs w:val="24"/>
        </w:rPr>
        <w:t>e-</w:t>
      </w:r>
      <w:r w:rsidR="0012477D" w:rsidRPr="00F533A8">
        <w:rPr>
          <w:rFonts w:ascii="Arial" w:hAnsi="Arial" w:cs="Arial"/>
          <w:sz w:val="24"/>
          <w:szCs w:val="24"/>
        </w:rPr>
        <w:t>empted his right to review and set aside the findings and recommendations of the SIU.</w:t>
      </w:r>
    </w:p>
    <w:p w14:paraId="4EDD4C41" w14:textId="2F8980AA" w:rsidR="0012477D" w:rsidRPr="00F533A8" w:rsidRDefault="001403F2" w:rsidP="00E212A8">
      <w:pPr>
        <w:tabs>
          <w:tab w:val="left" w:pos="851"/>
        </w:tabs>
        <w:spacing w:line="360" w:lineRule="auto"/>
        <w:jc w:val="both"/>
        <w:rPr>
          <w:rFonts w:ascii="Arial" w:hAnsi="Arial" w:cs="Arial"/>
          <w:sz w:val="24"/>
          <w:szCs w:val="24"/>
        </w:rPr>
      </w:pPr>
      <w:r>
        <w:rPr>
          <w:rFonts w:ascii="Arial" w:hAnsi="Arial" w:cs="Arial"/>
          <w:sz w:val="24"/>
          <w:szCs w:val="24"/>
        </w:rPr>
        <w:t>102</w:t>
      </w:r>
      <w:r w:rsidR="001A2879" w:rsidRPr="00F533A8">
        <w:rPr>
          <w:rFonts w:ascii="Arial" w:hAnsi="Arial" w:cs="Arial"/>
          <w:sz w:val="24"/>
          <w:szCs w:val="24"/>
        </w:rPr>
        <w:t>.4</w:t>
      </w:r>
      <w:r w:rsidR="001A2879" w:rsidRPr="00F533A8">
        <w:rPr>
          <w:rFonts w:ascii="Arial" w:hAnsi="Arial" w:cs="Arial"/>
          <w:sz w:val="24"/>
          <w:szCs w:val="24"/>
        </w:rPr>
        <w:tab/>
      </w:r>
      <w:r w:rsidR="0012477D" w:rsidRPr="00F533A8">
        <w:rPr>
          <w:rFonts w:ascii="Arial" w:hAnsi="Arial" w:cs="Arial"/>
          <w:sz w:val="24"/>
          <w:szCs w:val="24"/>
        </w:rPr>
        <w:t>The President ought to have been joined as a party to the proceedings; and</w:t>
      </w:r>
    </w:p>
    <w:p w14:paraId="1AC33BB2" w14:textId="4BCBD645" w:rsidR="0012477D" w:rsidRPr="00F533A8" w:rsidRDefault="001403F2" w:rsidP="00E212A8">
      <w:pPr>
        <w:tabs>
          <w:tab w:val="left" w:pos="851"/>
        </w:tabs>
        <w:spacing w:line="360" w:lineRule="auto"/>
        <w:jc w:val="both"/>
        <w:rPr>
          <w:rFonts w:ascii="Arial" w:hAnsi="Arial" w:cs="Arial"/>
          <w:i/>
          <w:iCs/>
          <w:sz w:val="24"/>
          <w:szCs w:val="24"/>
        </w:rPr>
      </w:pPr>
      <w:r>
        <w:rPr>
          <w:rFonts w:ascii="Arial" w:hAnsi="Arial" w:cs="Arial"/>
          <w:sz w:val="24"/>
          <w:szCs w:val="24"/>
        </w:rPr>
        <w:t>102</w:t>
      </w:r>
      <w:r w:rsidR="001A2879" w:rsidRPr="00F533A8">
        <w:rPr>
          <w:rFonts w:ascii="Arial" w:hAnsi="Arial" w:cs="Arial"/>
          <w:sz w:val="24"/>
          <w:szCs w:val="24"/>
        </w:rPr>
        <w:t>.5</w:t>
      </w:r>
      <w:r w:rsidR="0012477D" w:rsidRPr="00F533A8">
        <w:rPr>
          <w:rFonts w:ascii="Arial" w:hAnsi="Arial" w:cs="Arial"/>
          <w:sz w:val="24"/>
          <w:szCs w:val="24"/>
        </w:rPr>
        <w:tab/>
      </w:r>
      <w:r w:rsidR="001A2879" w:rsidRPr="00F533A8">
        <w:rPr>
          <w:rFonts w:ascii="Arial" w:hAnsi="Arial" w:cs="Arial"/>
          <w:sz w:val="24"/>
          <w:szCs w:val="24"/>
        </w:rPr>
        <w:t>DOT</w:t>
      </w:r>
      <w:r w:rsidR="0012477D" w:rsidRPr="00F533A8">
        <w:rPr>
          <w:rFonts w:ascii="Arial" w:hAnsi="Arial" w:cs="Arial"/>
          <w:sz w:val="24"/>
          <w:szCs w:val="24"/>
        </w:rPr>
        <w:t xml:space="preserve"> lacks </w:t>
      </w:r>
      <w:r w:rsidR="0012477D" w:rsidRPr="00F533A8">
        <w:rPr>
          <w:rFonts w:ascii="Arial" w:hAnsi="Arial" w:cs="Arial"/>
          <w:i/>
          <w:iCs/>
          <w:sz w:val="24"/>
          <w:szCs w:val="24"/>
        </w:rPr>
        <w:t>locus standi.</w:t>
      </w:r>
    </w:p>
    <w:p w14:paraId="4ED5EC96" w14:textId="77777777" w:rsidR="0012477D" w:rsidRPr="00F533A8" w:rsidRDefault="0012477D" w:rsidP="00E212A8">
      <w:pPr>
        <w:tabs>
          <w:tab w:val="left" w:pos="851"/>
        </w:tabs>
        <w:spacing w:line="360" w:lineRule="auto"/>
        <w:jc w:val="both"/>
        <w:rPr>
          <w:rFonts w:ascii="Arial" w:hAnsi="Arial" w:cs="Arial"/>
          <w:sz w:val="24"/>
          <w:szCs w:val="24"/>
        </w:rPr>
      </w:pPr>
    </w:p>
    <w:p w14:paraId="65018723" w14:textId="3D26D021" w:rsidR="0012477D" w:rsidRPr="0028256A" w:rsidRDefault="0012477D" w:rsidP="00E212A8">
      <w:pPr>
        <w:tabs>
          <w:tab w:val="left" w:pos="851"/>
        </w:tabs>
        <w:spacing w:line="360" w:lineRule="auto"/>
        <w:jc w:val="both"/>
        <w:rPr>
          <w:rFonts w:ascii="Arial" w:hAnsi="Arial" w:cs="Arial"/>
          <w:b/>
          <w:bCs/>
          <w:i/>
          <w:iCs/>
          <w:sz w:val="24"/>
          <w:szCs w:val="24"/>
        </w:rPr>
      </w:pPr>
      <w:r w:rsidRPr="00F533A8">
        <w:rPr>
          <w:rFonts w:ascii="Arial" w:hAnsi="Arial" w:cs="Arial"/>
          <w:b/>
          <w:bCs/>
          <w:sz w:val="24"/>
          <w:szCs w:val="24"/>
        </w:rPr>
        <w:t xml:space="preserve">Points in </w:t>
      </w:r>
      <w:r w:rsidRPr="0028256A">
        <w:rPr>
          <w:rFonts w:ascii="Arial" w:hAnsi="Arial" w:cs="Arial"/>
          <w:b/>
          <w:bCs/>
          <w:i/>
          <w:iCs/>
          <w:sz w:val="24"/>
          <w:szCs w:val="24"/>
        </w:rPr>
        <w:t>limine</w:t>
      </w:r>
    </w:p>
    <w:p w14:paraId="4D6CB358" w14:textId="77777777" w:rsidR="0012477D" w:rsidRPr="00F533A8" w:rsidRDefault="0012477D" w:rsidP="00E212A8">
      <w:pPr>
        <w:tabs>
          <w:tab w:val="left" w:pos="851"/>
        </w:tabs>
        <w:spacing w:line="360" w:lineRule="auto"/>
        <w:jc w:val="both"/>
        <w:rPr>
          <w:rFonts w:ascii="Arial" w:hAnsi="Arial" w:cs="Arial"/>
          <w:i/>
          <w:iCs/>
          <w:sz w:val="24"/>
          <w:szCs w:val="24"/>
        </w:rPr>
      </w:pPr>
      <w:r w:rsidRPr="00F533A8">
        <w:rPr>
          <w:rFonts w:ascii="Arial" w:hAnsi="Arial" w:cs="Arial"/>
          <w:i/>
          <w:iCs/>
          <w:sz w:val="24"/>
          <w:szCs w:val="24"/>
        </w:rPr>
        <w:t>Delay in bringing the application</w:t>
      </w:r>
    </w:p>
    <w:p w14:paraId="5E291FDE" w14:textId="33421F6F" w:rsidR="0012477D" w:rsidRPr="00F533A8" w:rsidRDefault="0012477D"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1403F2">
        <w:rPr>
          <w:rFonts w:ascii="Arial" w:hAnsi="Arial" w:cs="Arial"/>
          <w:sz w:val="24"/>
          <w:szCs w:val="24"/>
        </w:rPr>
        <w:t>10</w:t>
      </w:r>
      <w:r w:rsidR="0028256A">
        <w:rPr>
          <w:rFonts w:ascii="Arial" w:hAnsi="Arial" w:cs="Arial"/>
          <w:sz w:val="24"/>
          <w:szCs w:val="24"/>
        </w:rPr>
        <w:t>3</w:t>
      </w:r>
      <w:r w:rsidRPr="00F533A8">
        <w:rPr>
          <w:rFonts w:ascii="Arial" w:hAnsi="Arial" w:cs="Arial"/>
          <w:sz w:val="24"/>
          <w:szCs w:val="24"/>
        </w:rPr>
        <w:t>]</w:t>
      </w:r>
      <w:r w:rsidRPr="00F533A8">
        <w:rPr>
          <w:rFonts w:ascii="Arial" w:hAnsi="Arial" w:cs="Arial"/>
          <w:sz w:val="24"/>
          <w:szCs w:val="24"/>
        </w:rPr>
        <w:tab/>
        <w:t xml:space="preserve">The SIU grounds this point in </w:t>
      </w:r>
      <w:r w:rsidRPr="0028256A">
        <w:rPr>
          <w:rFonts w:ascii="Arial" w:hAnsi="Arial" w:cs="Arial"/>
          <w:i/>
          <w:iCs/>
          <w:sz w:val="24"/>
          <w:szCs w:val="24"/>
        </w:rPr>
        <w:t xml:space="preserve">limine </w:t>
      </w:r>
      <w:r w:rsidRPr="00F533A8">
        <w:rPr>
          <w:rFonts w:ascii="Arial" w:hAnsi="Arial" w:cs="Arial"/>
          <w:sz w:val="24"/>
          <w:szCs w:val="24"/>
        </w:rPr>
        <w:t xml:space="preserve">on the basis that it instituted the review application in March 2021. It released its investigative report to the Premier of KwaZulu Natal on 14 July 2022. </w:t>
      </w:r>
      <w:r w:rsidR="00F26CA4" w:rsidRPr="00F533A8">
        <w:rPr>
          <w:rFonts w:ascii="Arial" w:hAnsi="Arial" w:cs="Arial"/>
          <w:sz w:val="24"/>
          <w:szCs w:val="24"/>
        </w:rPr>
        <w:t>DOT</w:t>
      </w:r>
      <w:r w:rsidRPr="00F533A8">
        <w:rPr>
          <w:rFonts w:ascii="Arial" w:hAnsi="Arial" w:cs="Arial"/>
          <w:sz w:val="24"/>
          <w:szCs w:val="24"/>
        </w:rPr>
        <w:t xml:space="preserve"> ought to have brought the counterapplication when it became aware of the SIU findings. The earliest was in March 2021 when it was served with the review </w:t>
      </w:r>
      <w:r w:rsidRPr="0028256A">
        <w:rPr>
          <w:rFonts w:ascii="Arial" w:hAnsi="Arial" w:cs="Arial"/>
          <w:i/>
          <w:iCs/>
          <w:sz w:val="24"/>
          <w:szCs w:val="24"/>
        </w:rPr>
        <w:t>application</w:t>
      </w:r>
      <w:r w:rsidRPr="00F533A8">
        <w:rPr>
          <w:rFonts w:ascii="Arial" w:hAnsi="Arial" w:cs="Arial"/>
          <w:sz w:val="24"/>
          <w:szCs w:val="24"/>
        </w:rPr>
        <w:t xml:space="preserve"> or in July 2022 when the SIU released its report to the Premier. </w:t>
      </w:r>
    </w:p>
    <w:p w14:paraId="6AB86CE0" w14:textId="77777777" w:rsidR="0012477D" w:rsidRPr="00F533A8" w:rsidRDefault="0012477D" w:rsidP="00E212A8">
      <w:pPr>
        <w:tabs>
          <w:tab w:val="left" w:pos="851"/>
        </w:tabs>
        <w:spacing w:line="360" w:lineRule="auto"/>
        <w:jc w:val="both"/>
        <w:rPr>
          <w:rFonts w:ascii="Arial" w:hAnsi="Arial" w:cs="Arial"/>
          <w:sz w:val="24"/>
          <w:szCs w:val="24"/>
        </w:rPr>
      </w:pPr>
    </w:p>
    <w:p w14:paraId="4035B66D" w14:textId="54BE2E74" w:rsidR="0012477D" w:rsidRPr="00F533A8" w:rsidRDefault="0012477D"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1403F2">
        <w:rPr>
          <w:rFonts w:ascii="Arial" w:hAnsi="Arial" w:cs="Arial"/>
          <w:sz w:val="24"/>
          <w:szCs w:val="24"/>
        </w:rPr>
        <w:t>10</w:t>
      </w:r>
      <w:r w:rsidR="0028256A">
        <w:rPr>
          <w:rFonts w:ascii="Arial" w:hAnsi="Arial" w:cs="Arial"/>
          <w:sz w:val="24"/>
          <w:szCs w:val="24"/>
        </w:rPr>
        <w:t>4</w:t>
      </w:r>
      <w:r w:rsidRPr="00F533A8">
        <w:rPr>
          <w:rFonts w:ascii="Arial" w:hAnsi="Arial" w:cs="Arial"/>
          <w:sz w:val="24"/>
          <w:szCs w:val="24"/>
        </w:rPr>
        <w:t>]</w:t>
      </w:r>
      <w:r w:rsidRPr="00F533A8">
        <w:rPr>
          <w:rFonts w:ascii="Arial" w:hAnsi="Arial" w:cs="Arial"/>
          <w:sz w:val="24"/>
          <w:szCs w:val="24"/>
        </w:rPr>
        <w:tab/>
      </w:r>
      <w:r w:rsidR="001A2879" w:rsidRPr="00F533A8">
        <w:rPr>
          <w:rFonts w:ascii="Arial" w:hAnsi="Arial" w:cs="Arial"/>
          <w:sz w:val="24"/>
          <w:szCs w:val="24"/>
        </w:rPr>
        <w:t xml:space="preserve">DOT’s </w:t>
      </w:r>
      <w:r w:rsidRPr="00F533A8">
        <w:rPr>
          <w:rFonts w:ascii="Arial" w:hAnsi="Arial" w:cs="Arial"/>
          <w:sz w:val="24"/>
          <w:szCs w:val="24"/>
        </w:rPr>
        <w:t xml:space="preserve">defence to this point in </w:t>
      </w:r>
      <w:r w:rsidRPr="0028256A">
        <w:rPr>
          <w:rFonts w:ascii="Arial" w:hAnsi="Arial" w:cs="Arial"/>
          <w:i/>
          <w:iCs/>
          <w:sz w:val="24"/>
          <w:szCs w:val="24"/>
        </w:rPr>
        <w:t>limine</w:t>
      </w:r>
      <w:r w:rsidRPr="00F533A8">
        <w:rPr>
          <w:rFonts w:ascii="Arial" w:hAnsi="Arial" w:cs="Arial"/>
          <w:sz w:val="24"/>
          <w:szCs w:val="24"/>
        </w:rPr>
        <w:t xml:space="preserve"> is that in July 2022, the SIU released </w:t>
      </w:r>
      <w:r w:rsidR="00F26CA4" w:rsidRPr="00F533A8">
        <w:rPr>
          <w:rFonts w:ascii="Arial" w:hAnsi="Arial" w:cs="Arial"/>
          <w:sz w:val="24"/>
          <w:szCs w:val="24"/>
        </w:rPr>
        <w:t>i</w:t>
      </w:r>
      <w:r w:rsidRPr="00F533A8">
        <w:rPr>
          <w:rFonts w:ascii="Arial" w:hAnsi="Arial" w:cs="Arial"/>
          <w:sz w:val="24"/>
          <w:szCs w:val="24"/>
        </w:rPr>
        <w:t>t</w:t>
      </w:r>
      <w:r w:rsidR="00F26CA4" w:rsidRPr="00F533A8">
        <w:rPr>
          <w:rFonts w:ascii="Arial" w:hAnsi="Arial" w:cs="Arial"/>
          <w:sz w:val="24"/>
          <w:szCs w:val="24"/>
        </w:rPr>
        <w:t>s</w:t>
      </w:r>
      <w:r w:rsidRPr="00F533A8">
        <w:rPr>
          <w:rFonts w:ascii="Arial" w:hAnsi="Arial" w:cs="Arial"/>
          <w:sz w:val="24"/>
          <w:szCs w:val="24"/>
        </w:rPr>
        <w:t xml:space="preserve"> report to the Premier and not to it. There is no evidence that the report was ever furnished to the MEC. The Premier and the MEC are two distinct organs of state. Therefore, serving the report on the Premier does not constitute service on the MEC. </w:t>
      </w:r>
    </w:p>
    <w:p w14:paraId="67A44066" w14:textId="77777777" w:rsidR="0012477D" w:rsidRPr="00F533A8" w:rsidRDefault="0012477D" w:rsidP="00E212A8">
      <w:pPr>
        <w:tabs>
          <w:tab w:val="left" w:pos="851"/>
        </w:tabs>
        <w:spacing w:line="360" w:lineRule="auto"/>
        <w:jc w:val="both"/>
        <w:rPr>
          <w:rFonts w:ascii="Arial" w:hAnsi="Arial" w:cs="Arial"/>
          <w:sz w:val="24"/>
          <w:szCs w:val="24"/>
        </w:rPr>
      </w:pPr>
    </w:p>
    <w:p w14:paraId="75364838" w14:textId="33DF0B60" w:rsidR="00435534" w:rsidRPr="00F533A8" w:rsidRDefault="0012477D"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1403F2">
        <w:rPr>
          <w:rFonts w:ascii="Arial" w:hAnsi="Arial" w:cs="Arial"/>
          <w:sz w:val="24"/>
          <w:szCs w:val="24"/>
        </w:rPr>
        <w:t>10</w:t>
      </w:r>
      <w:r w:rsidR="0028256A">
        <w:rPr>
          <w:rFonts w:ascii="Arial" w:hAnsi="Arial" w:cs="Arial"/>
          <w:sz w:val="24"/>
          <w:szCs w:val="24"/>
        </w:rPr>
        <w:t>5</w:t>
      </w:r>
      <w:r w:rsidRPr="00F533A8">
        <w:rPr>
          <w:rFonts w:ascii="Arial" w:hAnsi="Arial" w:cs="Arial"/>
          <w:sz w:val="24"/>
          <w:szCs w:val="24"/>
        </w:rPr>
        <w:t>]</w:t>
      </w:r>
      <w:r w:rsidRPr="00F533A8">
        <w:rPr>
          <w:rFonts w:ascii="Arial" w:hAnsi="Arial" w:cs="Arial"/>
          <w:sz w:val="24"/>
          <w:szCs w:val="24"/>
        </w:rPr>
        <w:tab/>
      </w:r>
      <w:r w:rsidR="0028256A">
        <w:rPr>
          <w:rFonts w:ascii="Arial" w:hAnsi="Arial" w:cs="Arial"/>
          <w:sz w:val="24"/>
          <w:szCs w:val="24"/>
        </w:rPr>
        <w:t>N</w:t>
      </w:r>
      <w:r w:rsidR="001A2879" w:rsidRPr="00F533A8">
        <w:rPr>
          <w:rFonts w:ascii="Arial" w:hAnsi="Arial" w:cs="Arial"/>
          <w:sz w:val="24"/>
          <w:szCs w:val="24"/>
        </w:rPr>
        <w:t>o</w:t>
      </w:r>
      <w:r w:rsidRPr="00F533A8">
        <w:rPr>
          <w:rFonts w:ascii="Arial" w:hAnsi="Arial" w:cs="Arial"/>
          <w:sz w:val="24"/>
          <w:szCs w:val="24"/>
        </w:rPr>
        <w:t xml:space="preserve">tably, </w:t>
      </w:r>
      <w:r w:rsidR="001A2879" w:rsidRPr="00F533A8">
        <w:rPr>
          <w:rFonts w:ascii="Arial" w:hAnsi="Arial" w:cs="Arial"/>
          <w:sz w:val="24"/>
          <w:szCs w:val="24"/>
        </w:rPr>
        <w:t xml:space="preserve">DOT </w:t>
      </w:r>
      <w:r w:rsidRPr="00F533A8">
        <w:rPr>
          <w:rFonts w:ascii="Arial" w:hAnsi="Arial" w:cs="Arial"/>
          <w:sz w:val="24"/>
          <w:szCs w:val="24"/>
        </w:rPr>
        <w:t xml:space="preserve">completely fails to deal with the contention that it became aware of the SIU findings when it was served with the review application in March 2021. It does not even deny that it became aware of the SIU findings on that date because the SIU contention is irrefutable. The fact that at that time, </w:t>
      </w:r>
      <w:r w:rsidR="001A2879" w:rsidRPr="00F533A8">
        <w:rPr>
          <w:rFonts w:ascii="Arial" w:hAnsi="Arial" w:cs="Arial"/>
          <w:sz w:val="24"/>
          <w:szCs w:val="24"/>
        </w:rPr>
        <w:t>DOT had</w:t>
      </w:r>
      <w:r w:rsidRPr="00F533A8">
        <w:rPr>
          <w:rFonts w:ascii="Arial" w:hAnsi="Arial" w:cs="Arial"/>
          <w:sz w:val="24"/>
          <w:szCs w:val="24"/>
        </w:rPr>
        <w:t xml:space="preserve"> decided not to impugn the SIU report does not mean that it was not aware of the findings. </w:t>
      </w:r>
      <w:r w:rsidR="001A2879" w:rsidRPr="00F533A8">
        <w:rPr>
          <w:rFonts w:ascii="Arial" w:hAnsi="Arial" w:cs="Arial"/>
          <w:sz w:val="24"/>
          <w:szCs w:val="24"/>
        </w:rPr>
        <w:t xml:space="preserve">Its decision to abide this application and to implement the SIU findings points to the contrary. </w:t>
      </w:r>
      <w:r w:rsidR="00121749" w:rsidRPr="00F533A8">
        <w:rPr>
          <w:rFonts w:ascii="Arial" w:hAnsi="Arial" w:cs="Arial"/>
          <w:sz w:val="24"/>
          <w:szCs w:val="24"/>
        </w:rPr>
        <w:t>I therefore find that the D</w:t>
      </w:r>
      <w:r w:rsidR="001A2879" w:rsidRPr="00F533A8">
        <w:rPr>
          <w:rFonts w:ascii="Arial" w:hAnsi="Arial" w:cs="Arial"/>
          <w:sz w:val="24"/>
          <w:szCs w:val="24"/>
        </w:rPr>
        <w:t>OT</w:t>
      </w:r>
      <w:r w:rsidR="00121749" w:rsidRPr="00F533A8">
        <w:rPr>
          <w:rFonts w:ascii="Arial" w:hAnsi="Arial" w:cs="Arial"/>
          <w:sz w:val="24"/>
          <w:szCs w:val="24"/>
        </w:rPr>
        <w:t xml:space="preserve"> became aware of the SIU findings in March 2021 when it was served with the review application. The clock started ticking then.</w:t>
      </w:r>
    </w:p>
    <w:p w14:paraId="71352C39" w14:textId="77777777" w:rsidR="00435534" w:rsidRPr="00F533A8" w:rsidRDefault="00435534" w:rsidP="00E212A8">
      <w:pPr>
        <w:tabs>
          <w:tab w:val="left" w:pos="851"/>
        </w:tabs>
        <w:spacing w:line="360" w:lineRule="auto"/>
        <w:jc w:val="both"/>
        <w:rPr>
          <w:rFonts w:ascii="Arial" w:hAnsi="Arial" w:cs="Arial"/>
          <w:sz w:val="24"/>
          <w:szCs w:val="24"/>
        </w:rPr>
      </w:pPr>
    </w:p>
    <w:p w14:paraId="59BE1348" w14:textId="1881752C" w:rsidR="0028256A" w:rsidRDefault="00435534"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1403F2">
        <w:rPr>
          <w:rFonts w:ascii="Arial" w:hAnsi="Arial" w:cs="Arial"/>
          <w:sz w:val="24"/>
          <w:szCs w:val="24"/>
        </w:rPr>
        <w:t>10</w:t>
      </w:r>
      <w:r w:rsidR="0028256A">
        <w:rPr>
          <w:rFonts w:ascii="Arial" w:hAnsi="Arial" w:cs="Arial"/>
          <w:sz w:val="24"/>
          <w:szCs w:val="24"/>
        </w:rPr>
        <w:t>6</w:t>
      </w:r>
      <w:r w:rsidRPr="00F533A8">
        <w:rPr>
          <w:rFonts w:ascii="Arial" w:hAnsi="Arial" w:cs="Arial"/>
          <w:sz w:val="24"/>
          <w:szCs w:val="24"/>
        </w:rPr>
        <w:t>]</w:t>
      </w:r>
      <w:r w:rsidRPr="00F533A8">
        <w:rPr>
          <w:rFonts w:ascii="Arial" w:hAnsi="Arial" w:cs="Arial"/>
          <w:sz w:val="24"/>
          <w:szCs w:val="24"/>
        </w:rPr>
        <w:tab/>
      </w:r>
      <w:r w:rsidR="001A2879" w:rsidRPr="00F533A8">
        <w:rPr>
          <w:rFonts w:ascii="Arial" w:hAnsi="Arial" w:cs="Arial"/>
          <w:sz w:val="24"/>
          <w:szCs w:val="24"/>
        </w:rPr>
        <w:t>DOT</w:t>
      </w:r>
      <w:r w:rsidR="0012477D" w:rsidRPr="00F533A8">
        <w:rPr>
          <w:rFonts w:ascii="Arial" w:hAnsi="Arial" w:cs="Arial"/>
          <w:sz w:val="24"/>
          <w:szCs w:val="24"/>
        </w:rPr>
        <w:t xml:space="preserve"> does not even give reasons for its initial decision to abide the SIU findings and explain why it changed its stance. The fact that </w:t>
      </w:r>
      <w:r w:rsidR="001A2879" w:rsidRPr="00F533A8">
        <w:rPr>
          <w:rFonts w:ascii="Arial" w:hAnsi="Arial" w:cs="Arial"/>
          <w:sz w:val="24"/>
          <w:szCs w:val="24"/>
        </w:rPr>
        <w:t xml:space="preserve">DOT </w:t>
      </w:r>
      <w:r w:rsidR="0012477D" w:rsidRPr="00F533A8">
        <w:rPr>
          <w:rFonts w:ascii="Arial" w:hAnsi="Arial" w:cs="Arial"/>
          <w:sz w:val="24"/>
          <w:szCs w:val="24"/>
        </w:rPr>
        <w:t xml:space="preserve">underwent a change in administration is not a satisfactory explanation for its changed stance. </w:t>
      </w:r>
      <w:r w:rsidR="001A2879" w:rsidRPr="00F533A8">
        <w:rPr>
          <w:rFonts w:ascii="Arial" w:hAnsi="Arial" w:cs="Arial"/>
          <w:sz w:val="24"/>
          <w:szCs w:val="24"/>
        </w:rPr>
        <w:t xml:space="preserve">DOT </w:t>
      </w:r>
      <w:r w:rsidR="0012477D" w:rsidRPr="00F533A8">
        <w:rPr>
          <w:rFonts w:ascii="Arial" w:hAnsi="Arial" w:cs="Arial"/>
          <w:sz w:val="24"/>
          <w:szCs w:val="24"/>
        </w:rPr>
        <w:t>is an organ of state with perpetual succession. Its persona does not change when there is a change in its administration. The fact that the preceding administration decided to</w:t>
      </w:r>
      <w:r w:rsidR="001A2879" w:rsidRPr="00F533A8">
        <w:rPr>
          <w:rFonts w:ascii="Arial" w:hAnsi="Arial" w:cs="Arial"/>
          <w:sz w:val="24"/>
          <w:szCs w:val="24"/>
        </w:rPr>
        <w:t xml:space="preserve"> abide the Tribunal’s decision and</w:t>
      </w:r>
      <w:r w:rsidR="0012477D" w:rsidRPr="00F533A8">
        <w:rPr>
          <w:rFonts w:ascii="Arial" w:hAnsi="Arial" w:cs="Arial"/>
          <w:sz w:val="24"/>
          <w:szCs w:val="24"/>
        </w:rPr>
        <w:t xml:space="preserve"> implement the SIU findings further weakens its case. </w:t>
      </w:r>
    </w:p>
    <w:p w14:paraId="6C78A7B8" w14:textId="77777777" w:rsidR="0028256A" w:rsidRDefault="0028256A" w:rsidP="00E212A8">
      <w:pPr>
        <w:tabs>
          <w:tab w:val="left" w:pos="851"/>
        </w:tabs>
        <w:spacing w:line="360" w:lineRule="auto"/>
        <w:jc w:val="both"/>
        <w:rPr>
          <w:rFonts w:ascii="Arial" w:hAnsi="Arial" w:cs="Arial"/>
          <w:sz w:val="24"/>
          <w:szCs w:val="24"/>
        </w:rPr>
      </w:pPr>
    </w:p>
    <w:p w14:paraId="0E53BB82" w14:textId="474D1502" w:rsidR="0012477D" w:rsidRPr="00F533A8" w:rsidRDefault="0028256A" w:rsidP="00E212A8">
      <w:pPr>
        <w:tabs>
          <w:tab w:val="left" w:pos="851"/>
        </w:tabs>
        <w:spacing w:line="360" w:lineRule="auto"/>
        <w:jc w:val="both"/>
        <w:rPr>
          <w:rFonts w:ascii="Arial" w:hAnsi="Arial" w:cs="Arial"/>
          <w:sz w:val="24"/>
          <w:szCs w:val="24"/>
        </w:rPr>
      </w:pPr>
      <w:r>
        <w:rPr>
          <w:rFonts w:ascii="Arial" w:hAnsi="Arial" w:cs="Arial"/>
          <w:sz w:val="24"/>
          <w:szCs w:val="24"/>
        </w:rPr>
        <w:t xml:space="preserve">[107] </w:t>
      </w:r>
      <w:r>
        <w:rPr>
          <w:rFonts w:ascii="Arial" w:hAnsi="Arial" w:cs="Arial"/>
          <w:sz w:val="24"/>
          <w:szCs w:val="24"/>
        </w:rPr>
        <w:tab/>
      </w:r>
      <w:r w:rsidR="00435534" w:rsidRPr="00F533A8">
        <w:rPr>
          <w:rFonts w:ascii="Arial" w:hAnsi="Arial" w:cs="Arial"/>
          <w:sz w:val="24"/>
          <w:szCs w:val="24"/>
        </w:rPr>
        <w:t>T</w:t>
      </w:r>
      <w:r w:rsidR="0012477D" w:rsidRPr="00F533A8">
        <w:rPr>
          <w:rFonts w:ascii="Arial" w:hAnsi="Arial" w:cs="Arial"/>
          <w:sz w:val="24"/>
          <w:szCs w:val="24"/>
        </w:rPr>
        <w:t xml:space="preserve">he new </w:t>
      </w:r>
      <w:r w:rsidR="001A2879" w:rsidRPr="00F533A8">
        <w:rPr>
          <w:rFonts w:ascii="Arial" w:hAnsi="Arial" w:cs="Arial"/>
          <w:sz w:val="24"/>
          <w:szCs w:val="24"/>
        </w:rPr>
        <w:t xml:space="preserve">DOT </w:t>
      </w:r>
      <w:r w:rsidR="0012477D" w:rsidRPr="00F533A8">
        <w:rPr>
          <w:rFonts w:ascii="Arial" w:hAnsi="Arial" w:cs="Arial"/>
          <w:sz w:val="24"/>
          <w:szCs w:val="24"/>
        </w:rPr>
        <w:t xml:space="preserve">administration took office in August 2022. Approximately, a further six months passed before </w:t>
      </w:r>
      <w:r w:rsidR="001A2879" w:rsidRPr="00F533A8">
        <w:rPr>
          <w:rFonts w:ascii="Arial" w:hAnsi="Arial" w:cs="Arial"/>
          <w:sz w:val="24"/>
          <w:szCs w:val="24"/>
        </w:rPr>
        <w:t xml:space="preserve">the MEC </w:t>
      </w:r>
      <w:r w:rsidR="0012477D" w:rsidRPr="00F533A8">
        <w:rPr>
          <w:rFonts w:ascii="Arial" w:hAnsi="Arial" w:cs="Arial"/>
          <w:sz w:val="24"/>
          <w:szCs w:val="24"/>
        </w:rPr>
        <w:t xml:space="preserve">decided to enter the fray. The MEC’s  explanation for this delay is that after he came into the office and when briefed with matters concerning </w:t>
      </w:r>
      <w:r w:rsidR="001A2879" w:rsidRPr="00F533A8">
        <w:rPr>
          <w:rFonts w:ascii="Arial" w:hAnsi="Arial" w:cs="Arial"/>
          <w:sz w:val="24"/>
          <w:szCs w:val="24"/>
        </w:rPr>
        <w:t>DOT</w:t>
      </w:r>
      <w:r w:rsidR="0012477D" w:rsidRPr="00F533A8">
        <w:rPr>
          <w:rFonts w:ascii="Arial" w:hAnsi="Arial" w:cs="Arial"/>
          <w:sz w:val="24"/>
          <w:szCs w:val="24"/>
        </w:rPr>
        <w:t xml:space="preserve">, he sought clarity from </w:t>
      </w:r>
      <w:r w:rsidR="001A2879" w:rsidRPr="00F533A8">
        <w:rPr>
          <w:rFonts w:ascii="Arial" w:hAnsi="Arial" w:cs="Arial"/>
          <w:sz w:val="24"/>
          <w:szCs w:val="24"/>
        </w:rPr>
        <w:t xml:space="preserve">its </w:t>
      </w:r>
      <w:r w:rsidR="00EC300B" w:rsidRPr="00F533A8">
        <w:rPr>
          <w:rFonts w:ascii="Arial" w:hAnsi="Arial" w:cs="Arial"/>
          <w:sz w:val="24"/>
          <w:szCs w:val="24"/>
        </w:rPr>
        <w:t>o</w:t>
      </w:r>
      <w:r w:rsidR="0012477D" w:rsidRPr="00F533A8">
        <w:rPr>
          <w:rFonts w:ascii="Arial" w:hAnsi="Arial" w:cs="Arial"/>
          <w:sz w:val="24"/>
          <w:szCs w:val="24"/>
        </w:rPr>
        <w:t>fficials in relation to what was contained in the SIU’s papers. These inputs were received</w:t>
      </w:r>
      <w:r w:rsidR="001A2879" w:rsidRPr="00F533A8">
        <w:rPr>
          <w:rFonts w:ascii="Arial" w:hAnsi="Arial" w:cs="Arial"/>
          <w:sz w:val="24"/>
          <w:szCs w:val="24"/>
        </w:rPr>
        <w:t xml:space="preserve"> only</w:t>
      </w:r>
      <w:r w:rsidR="0012477D" w:rsidRPr="00F533A8">
        <w:rPr>
          <w:rFonts w:ascii="Arial" w:hAnsi="Arial" w:cs="Arial"/>
          <w:sz w:val="24"/>
          <w:szCs w:val="24"/>
        </w:rPr>
        <w:t xml:space="preserve"> in March 2023. Upon receipt of a response from </w:t>
      </w:r>
      <w:r w:rsidR="001A2879" w:rsidRPr="00F533A8">
        <w:rPr>
          <w:rFonts w:ascii="Arial" w:hAnsi="Arial" w:cs="Arial"/>
          <w:sz w:val="24"/>
          <w:szCs w:val="24"/>
        </w:rPr>
        <w:t>DOT</w:t>
      </w:r>
      <w:r w:rsidR="00F26CA4" w:rsidRPr="00F533A8">
        <w:rPr>
          <w:rFonts w:ascii="Arial" w:hAnsi="Arial" w:cs="Arial"/>
          <w:sz w:val="24"/>
          <w:szCs w:val="24"/>
        </w:rPr>
        <w:t xml:space="preserve"> officials</w:t>
      </w:r>
      <w:r w:rsidR="0012477D" w:rsidRPr="00F533A8">
        <w:rPr>
          <w:rFonts w:ascii="Arial" w:hAnsi="Arial" w:cs="Arial"/>
          <w:sz w:val="24"/>
          <w:szCs w:val="24"/>
        </w:rPr>
        <w:t xml:space="preserve">, he decided to oppose the application. He fails to explain why it took </w:t>
      </w:r>
      <w:r w:rsidR="001A2879" w:rsidRPr="00F533A8">
        <w:rPr>
          <w:rFonts w:ascii="Arial" w:hAnsi="Arial" w:cs="Arial"/>
          <w:sz w:val="24"/>
          <w:szCs w:val="24"/>
        </w:rPr>
        <w:t>DOT</w:t>
      </w:r>
      <w:r w:rsidR="0012477D" w:rsidRPr="00F533A8">
        <w:rPr>
          <w:rFonts w:ascii="Arial" w:hAnsi="Arial" w:cs="Arial"/>
          <w:sz w:val="24"/>
          <w:szCs w:val="24"/>
        </w:rPr>
        <w:t xml:space="preserve"> almost seven months to revert to him. The </w:t>
      </w:r>
      <w:r w:rsidR="001A2879" w:rsidRPr="00F533A8">
        <w:rPr>
          <w:rFonts w:ascii="Arial" w:hAnsi="Arial" w:cs="Arial"/>
          <w:sz w:val="24"/>
          <w:szCs w:val="24"/>
        </w:rPr>
        <w:t>MEC</w:t>
      </w:r>
      <w:r w:rsidR="0012477D" w:rsidRPr="00F533A8">
        <w:rPr>
          <w:rFonts w:ascii="Arial" w:hAnsi="Arial" w:cs="Arial"/>
          <w:sz w:val="24"/>
          <w:szCs w:val="24"/>
        </w:rPr>
        <w:t xml:space="preserve"> only </w:t>
      </w:r>
      <w:r w:rsidR="001A2879" w:rsidRPr="00F533A8">
        <w:rPr>
          <w:rFonts w:ascii="Arial" w:hAnsi="Arial" w:cs="Arial"/>
          <w:sz w:val="24"/>
          <w:szCs w:val="24"/>
        </w:rPr>
        <w:t>entered the fray</w:t>
      </w:r>
      <w:r w:rsidR="0012477D" w:rsidRPr="00F533A8">
        <w:rPr>
          <w:rFonts w:ascii="Arial" w:hAnsi="Arial" w:cs="Arial"/>
          <w:sz w:val="24"/>
          <w:szCs w:val="24"/>
        </w:rPr>
        <w:t xml:space="preserve"> in April 2023</w:t>
      </w:r>
      <w:r w:rsidR="001A2879" w:rsidRPr="00F533A8">
        <w:rPr>
          <w:rFonts w:ascii="Arial" w:hAnsi="Arial" w:cs="Arial"/>
          <w:sz w:val="24"/>
          <w:szCs w:val="24"/>
        </w:rPr>
        <w:t xml:space="preserve">. At that stage, it did not even consider it courteous to </w:t>
      </w:r>
      <w:r w:rsidR="0012477D" w:rsidRPr="00F533A8">
        <w:rPr>
          <w:rFonts w:ascii="Arial" w:hAnsi="Arial" w:cs="Arial"/>
          <w:sz w:val="24"/>
          <w:szCs w:val="24"/>
        </w:rPr>
        <w:t>inform</w:t>
      </w:r>
      <w:r w:rsidR="001A2879" w:rsidRPr="00F533A8">
        <w:rPr>
          <w:rFonts w:ascii="Arial" w:hAnsi="Arial" w:cs="Arial"/>
          <w:sz w:val="24"/>
          <w:szCs w:val="24"/>
        </w:rPr>
        <w:t xml:space="preserve"> </w:t>
      </w:r>
      <w:r w:rsidR="0012477D" w:rsidRPr="00F533A8">
        <w:rPr>
          <w:rFonts w:ascii="Arial" w:hAnsi="Arial" w:cs="Arial"/>
          <w:sz w:val="24"/>
          <w:szCs w:val="24"/>
        </w:rPr>
        <w:t xml:space="preserve">the other parties and the Tribunal that it intended impugning the SIU report. </w:t>
      </w:r>
      <w:r w:rsidR="001A2879" w:rsidRPr="00F533A8">
        <w:rPr>
          <w:rFonts w:ascii="Arial" w:hAnsi="Arial" w:cs="Arial"/>
          <w:sz w:val="24"/>
          <w:szCs w:val="24"/>
        </w:rPr>
        <w:t>It only express</w:t>
      </w:r>
      <w:r w:rsidR="00EC300B" w:rsidRPr="00F533A8">
        <w:rPr>
          <w:rFonts w:ascii="Arial" w:hAnsi="Arial" w:cs="Arial"/>
          <w:sz w:val="24"/>
          <w:szCs w:val="24"/>
        </w:rPr>
        <w:t>ed</w:t>
      </w:r>
      <w:r w:rsidR="001A2879" w:rsidRPr="00F533A8">
        <w:rPr>
          <w:rFonts w:ascii="Arial" w:hAnsi="Arial" w:cs="Arial"/>
          <w:sz w:val="24"/>
          <w:szCs w:val="24"/>
        </w:rPr>
        <w:t xml:space="preserve"> an intention to oppose the review application. </w:t>
      </w:r>
      <w:r w:rsidR="0012477D" w:rsidRPr="00F533A8">
        <w:rPr>
          <w:rFonts w:ascii="Arial" w:hAnsi="Arial" w:cs="Arial"/>
          <w:sz w:val="24"/>
          <w:szCs w:val="24"/>
        </w:rPr>
        <w:t>I</w:t>
      </w:r>
      <w:r w:rsidR="001A2879" w:rsidRPr="00F533A8">
        <w:rPr>
          <w:rFonts w:ascii="Arial" w:hAnsi="Arial" w:cs="Arial"/>
          <w:sz w:val="24"/>
          <w:szCs w:val="24"/>
        </w:rPr>
        <w:t>t</w:t>
      </w:r>
      <w:r w:rsidR="0012477D" w:rsidRPr="00F533A8">
        <w:rPr>
          <w:rFonts w:ascii="Arial" w:hAnsi="Arial" w:cs="Arial"/>
          <w:sz w:val="24"/>
          <w:szCs w:val="24"/>
        </w:rPr>
        <w:t xml:space="preserve"> brought the counterapplication </w:t>
      </w:r>
      <w:r w:rsidR="00435534" w:rsidRPr="00F533A8">
        <w:rPr>
          <w:rFonts w:ascii="Arial" w:hAnsi="Arial" w:cs="Arial"/>
          <w:sz w:val="24"/>
          <w:szCs w:val="24"/>
        </w:rPr>
        <w:t xml:space="preserve">when it filed its substantive papers </w:t>
      </w:r>
      <w:r w:rsidR="0012477D" w:rsidRPr="00F533A8">
        <w:rPr>
          <w:rFonts w:ascii="Arial" w:hAnsi="Arial" w:cs="Arial"/>
          <w:sz w:val="24"/>
          <w:szCs w:val="24"/>
        </w:rPr>
        <w:t xml:space="preserve">in </w:t>
      </w:r>
      <w:r w:rsidR="00435534" w:rsidRPr="00F533A8">
        <w:rPr>
          <w:rFonts w:ascii="Arial" w:hAnsi="Arial" w:cs="Arial"/>
          <w:sz w:val="24"/>
          <w:szCs w:val="24"/>
        </w:rPr>
        <w:t>July 2023</w:t>
      </w:r>
      <w:r w:rsidR="0012477D" w:rsidRPr="00F533A8">
        <w:rPr>
          <w:rFonts w:ascii="Arial" w:hAnsi="Arial" w:cs="Arial"/>
          <w:sz w:val="24"/>
          <w:szCs w:val="24"/>
        </w:rPr>
        <w:t xml:space="preserve">, taking the other parties and the Tribunal completely by surprise. </w:t>
      </w:r>
    </w:p>
    <w:p w14:paraId="3D4D34EE" w14:textId="77777777" w:rsidR="0012477D" w:rsidRPr="00F533A8" w:rsidRDefault="0012477D" w:rsidP="00E212A8">
      <w:pPr>
        <w:tabs>
          <w:tab w:val="left" w:pos="851"/>
        </w:tabs>
        <w:spacing w:line="360" w:lineRule="auto"/>
        <w:jc w:val="both"/>
        <w:rPr>
          <w:rFonts w:ascii="Arial" w:hAnsi="Arial" w:cs="Arial"/>
          <w:sz w:val="24"/>
          <w:szCs w:val="24"/>
        </w:rPr>
      </w:pPr>
    </w:p>
    <w:p w14:paraId="1CDEFD4F" w14:textId="15535CD4" w:rsidR="0012477D" w:rsidRPr="00F533A8" w:rsidRDefault="0012477D"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1403F2">
        <w:rPr>
          <w:rFonts w:ascii="Arial" w:hAnsi="Arial" w:cs="Arial"/>
          <w:sz w:val="24"/>
          <w:szCs w:val="24"/>
        </w:rPr>
        <w:t>108</w:t>
      </w:r>
      <w:r w:rsidRPr="00F533A8">
        <w:rPr>
          <w:rFonts w:ascii="Arial" w:hAnsi="Arial" w:cs="Arial"/>
          <w:sz w:val="24"/>
          <w:szCs w:val="24"/>
        </w:rPr>
        <w:t>]</w:t>
      </w:r>
      <w:r w:rsidRPr="00F533A8">
        <w:rPr>
          <w:rFonts w:ascii="Arial" w:hAnsi="Arial" w:cs="Arial"/>
          <w:sz w:val="24"/>
          <w:szCs w:val="24"/>
        </w:rPr>
        <w:tab/>
      </w:r>
      <w:r w:rsidR="00EC300B" w:rsidRPr="00F533A8">
        <w:rPr>
          <w:rFonts w:ascii="Arial" w:hAnsi="Arial" w:cs="Arial"/>
          <w:sz w:val="24"/>
          <w:szCs w:val="24"/>
        </w:rPr>
        <w:t>DOT</w:t>
      </w:r>
      <w:r w:rsidRPr="00F533A8">
        <w:rPr>
          <w:rFonts w:ascii="Arial" w:hAnsi="Arial" w:cs="Arial"/>
          <w:sz w:val="24"/>
          <w:szCs w:val="24"/>
        </w:rPr>
        <w:t xml:space="preserve"> has failed to provide a full and satisfactory explanation for its delay in bringing the counter application. There is therefore no basis on which to find that its delay in bringing the application was reasonable. </w:t>
      </w:r>
    </w:p>
    <w:p w14:paraId="4727D322" w14:textId="77777777" w:rsidR="00121749" w:rsidRPr="00F533A8" w:rsidRDefault="00121749" w:rsidP="00E212A8">
      <w:pPr>
        <w:tabs>
          <w:tab w:val="left" w:pos="851"/>
        </w:tabs>
        <w:spacing w:line="360" w:lineRule="auto"/>
        <w:jc w:val="both"/>
        <w:rPr>
          <w:rFonts w:ascii="Arial" w:hAnsi="Arial" w:cs="Arial"/>
          <w:sz w:val="24"/>
          <w:szCs w:val="24"/>
        </w:rPr>
      </w:pPr>
    </w:p>
    <w:p w14:paraId="0D804BD9" w14:textId="7057E189" w:rsidR="00121749" w:rsidRPr="00F533A8" w:rsidRDefault="00121749"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1403F2">
        <w:rPr>
          <w:rFonts w:ascii="Arial" w:hAnsi="Arial" w:cs="Arial"/>
          <w:sz w:val="24"/>
          <w:szCs w:val="24"/>
        </w:rPr>
        <w:t>109</w:t>
      </w:r>
      <w:r w:rsidRPr="00F533A8">
        <w:rPr>
          <w:rFonts w:ascii="Arial" w:hAnsi="Arial" w:cs="Arial"/>
          <w:sz w:val="24"/>
          <w:szCs w:val="24"/>
        </w:rPr>
        <w:t>]</w:t>
      </w:r>
      <w:r w:rsidRPr="00F533A8">
        <w:rPr>
          <w:rFonts w:ascii="Arial" w:hAnsi="Arial" w:cs="Arial"/>
          <w:sz w:val="24"/>
          <w:szCs w:val="24"/>
        </w:rPr>
        <w:tab/>
      </w:r>
      <w:r w:rsidR="00EC300B" w:rsidRPr="00F533A8">
        <w:rPr>
          <w:rFonts w:ascii="Arial" w:hAnsi="Arial" w:cs="Arial"/>
          <w:sz w:val="24"/>
          <w:szCs w:val="24"/>
        </w:rPr>
        <w:t>DOT</w:t>
      </w:r>
      <w:r w:rsidRPr="00F533A8">
        <w:rPr>
          <w:rFonts w:ascii="Arial" w:hAnsi="Arial" w:cs="Arial"/>
          <w:sz w:val="24"/>
          <w:szCs w:val="24"/>
        </w:rPr>
        <w:t xml:space="preserve"> hith</w:t>
      </w:r>
      <w:r w:rsidR="00F26CA4" w:rsidRPr="00F533A8">
        <w:rPr>
          <w:rFonts w:ascii="Arial" w:hAnsi="Arial" w:cs="Arial"/>
          <w:sz w:val="24"/>
          <w:szCs w:val="24"/>
        </w:rPr>
        <w:t>e</w:t>
      </w:r>
      <w:r w:rsidRPr="00F533A8">
        <w:rPr>
          <w:rFonts w:ascii="Arial" w:hAnsi="Arial" w:cs="Arial"/>
          <w:sz w:val="24"/>
          <w:szCs w:val="24"/>
        </w:rPr>
        <w:t xml:space="preserve">rto decided to abide the Tribunal’s judgment and order without qualification and implemented the SIU findings. </w:t>
      </w:r>
      <w:r w:rsidR="00F26CA4" w:rsidRPr="00F533A8">
        <w:rPr>
          <w:rFonts w:ascii="Arial" w:hAnsi="Arial" w:cs="Arial"/>
          <w:sz w:val="24"/>
          <w:szCs w:val="24"/>
        </w:rPr>
        <w:t>DOT</w:t>
      </w:r>
      <w:r w:rsidRPr="00F533A8">
        <w:rPr>
          <w:rFonts w:ascii="Arial" w:hAnsi="Arial" w:cs="Arial"/>
          <w:sz w:val="24"/>
          <w:szCs w:val="24"/>
        </w:rPr>
        <w:t xml:space="preserve"> cited no</w:t>
      </w:r>
      <w:r w:rsidR="00F26CA4" w:rsidRPr="00F533A8">
        <w:rPr>
          <w:rFonts w:ascii="Arial" w:hAnsi="Arial" w:cs="Arial"/>
          <w:sz w:val="24"/>
          <w:szCs w:val="24"/>
        </w:rPr>
        <w:t xml:space="preserve"> persuasive</w:t>
      </w:r>
      <w:r w:rsidRPr="00F533A8">
        <w:rPr>
          <w:rFonts w:ascii="Arial" w:hAnsi="Arial" w:cs="Arial"/>
          <w:sz w:val="24"/>
          <w:szCs w:val="24"/>
        </w:rPr>
        <w:t xml:space="preserve"> reasons for its changed stance. It makes out no case that its initial decision to abide the SIU report was wrongly made. It has launched this counterapplication without disavowing its</w:t>
      </w:r>
      <w:r w:rsidR="00F26CA4" w:rsidRPr="00F533A8">
        <w:rPr>
          <w:rFonts w:ascii="Arial" w:hAnsi="Arial" w:cs="Arial"/>
          <w:sz w:val="24"/>
          <w:szCs w:val="24"/>
        </w:rPr>
        <w:t xml:space="preserve"> previous</w:t>
      </w:r>
      <w:r w:rsidRPr="00F533A8">
        <w:rPr>
          <w:rFonts w:ascii="Arial" w:hAnsi="Arial" w:cs="Arial"/>
          <w:sz w:val="24"/>
          <w:szCs w:val="24"/>
        </w:rPr>
        <w:t xml:space="preserve"> reliance on the SIU findings. It also makes out no case that it wrongly implemented the SIU recommendations. It is important in the present circumstances for </w:t>
      </w:r>
      <w:r w:rsidR="00F26CA4" w:rsidRPr="00F533A8">
        <w:rPr>
          <w:rFonts w:ascii="Arial" w:hAnsi="Arial" w:cs="Arial"/>
          <w:sz w:val="24"/>
          <w:szCs w:val="24"/>
        </w:rPr>
        <w:t xml:space="preserve">DOT </w:t>
      </w:r>
      <w:r w:rsidRPr="00F533A8">
        <w:rPr>
          <w:rFonts w:ascii="Arial" w:hAnsi="Arial" w:cs="Arial"/>
          <w:sz w:val="24"/>
          <w:szCs w:val="24"/>
        </w:rPr>
        <w:t xml:space="preserve">to explain the basis on which it seeks to have the findings and recommendations </w:t>
      </w:r>
      <w:r w:rsidR="00F26CA4" w:rsidRPr="00F533A8">
        <w:rPr>
          <w:rFonts w:ascii="Arial" w:hAnsi="Arial" w:cs="Arial"/>
          <w:sz w:val="24"/>
          <w:szCs w:val="24"/>
        </w:rPr>
        <w:t xml:space="preserve">some of which </w:t>
      </w:r>
      <w:r w:rsidRPr="00F533A8">
        <w:rPr>
          <w:rFonts w:ascii="Arial" w:hAnsi="Arial" w:cs="Arial"/>
          <w:sz w:val="24"/>
          <w:szCs w:val="24"/>
        </w:rPr>
        <w:t>it had not only initially accepted, but also implemented</w:t>
      </w:r>
      <w:r w:rsidR="00F26CA4" w:rsidRPr="00F533A8">
        <w:rPr>
          <w:rFonts w:ascii="Arial" w:hAnsi="Arial" w:cs="Arial"/>
          <w:sz w:val="24"/>
          <w:szCs w:val="24"/>
        </w:rPr>
        <w:t>,</w:t>
      </w:r>
      <w:r w:rsidRPr="00F533A8">
        <w:rPr>
          <w:rFonts w:ascii="Arial" w:hAnsi="Arial" w:cs="Arial"/>
          <w:sz w:val="24"/>
          <w:szCs w:val="24"/>
        </w:rPr>
        <w:t xml:space="preserve"> </w:t>
      </w:r>
      <w:r w:rsidR="00396285" w:rsidRPr="00F533A8">
        <w:rPr>
          <w:rFonts w:ascii="Arial" w:hAnsi="Arial" w:cs="Arial"/>
          <w:sz w:val="24"/>
          <w:szCs w:val="24"/>
        </w:rPr>
        <w:t>reviewed,</w:t>
      </w:r>
      <w:r w:rsidRPr="00F533A8">
        <w:rPr>
          <w:rFonts w:ascii="Arial" w:hAnsi="Arial" w:cs="Arial"/>
          <w:sz w:val="24"/>
          <w:szCs w:val="24"/>
        </w:rPr>
        <w:t xml:space="preserve"> and set aside. It fails to do so.</w:t>
      </w:r>
    </w:p>
    <w:p w14:paraId="31A88EF9" w14:textId="77777777" w:rsidR="0012477D" w:rsidRPr="00F533A8" w:rsidRDefault="0012477D" w:rsidP="00E212A8">
      <w:pPr>
        <w:tabs>
          <w:tab w:val="left" w:pos="851"/>
        </w:tabs>
        <w:spacing w:line="360" w:lineRule="auto"/>
        <w:jc w:val="both"/>
        <w:rPr>
          <w:rFonts w:ascii="Arial" w:hAnsi="Arial" w:cs="Arial"/>
          <w:sz w:val="24"/>
          <w:szCs w:val="24"/>
        </w:rPr>
      </w:pPr>
    </w:p>
    <w:p w14:paraId="2A81C70B" w14:textId="621F205B" w:rsidR="0012477D" w:rsidRPr="00F533A8" w:rsidRDefault="0012477D"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1403F2">
        <w:rPr>
          <w:rFonts w:ascii="Arial" w:hAnsi="Arial" w:cs="Arial"/>
          <w:sz w:val="24"/>
          <w:szCs w:val="24"/>
        </w:rPr>
        <w:t>110</w:t>
      </w:r>
      <w:r w:rsidRPr="00F533A8">
        <w:rPr>
          <w:rFonts w:ascii="Arial" w:hAnsi="Arial" w:cs="Arial"/>
          <w:sz w:val="24"/>
          <w:szCs w:val="24"/>
        </w:rPr>
        <w:t>]</w:t>
      </w:r>
      <w:r w:rsidRPr="00F533A8">
        <w:rPr>
          <w:rFonts w:ascii="Arial" w:hAnsi="Arial" w:cs="Arial"/>
          <w:sz w:val="24"/>
          <w:szCs w:val="24"/>
        </w:rPr>
        <w:tab/>
        <w:t xml:space="preserve">The </w:t>
      </w:r>
      <w:r w:rsidR="00EC300B" w:rsidRPr="00F533A8">
        <w:rPr>
          <w:rFonts w:ascii="Arial" w:hAnsi="Arial" w:cs="Arial"/>
          <w:sz w:val="24"/>
          <w:szCs w:val="24"/>
        </w:rPr>
        <w:t>MEC</w:t>
      </w:r>
      <w:r w:rsidRPr="00F533A8">
        <w:rPr>
          <w:rFonts w:ascii="Arial" w:hAnsi="Arial" w:cs="Arial"/>
          <w:sz w:val="24"/>
          <w:szCs w:val="24"/>
        </w:rPr>
        <w:t xml:space="preserve"> asserts </w:t>
      </w:r>
      <w:r w:rsidR="00EC300B" w:rsidRPr="00F533A8">
        <w:rPr>
          <w:rFonts w:ascii="Arial" w:hAnsi="Arial" w:cs="Arial"/>
          <w:sz w:val="24"/>
          <w:szCs w:val="24"/>
        </w:rPr>
        <w:t>his</w:t>
      </w:r>
      <w:r w:rsidRPr="00F533A8">
        <w:rPr>
          <w:rFonts w:ascii="Arial" w:hAnsi="Arial" w:cs="Arial"/>
          <w:sz w:val="24"/>
          <w:szCs w:val="24"/>
        </w:rPr>
        <w:t xml:space="preserve"> right to change </w:t>
      </w:r>
      <w:r w:rsidR="00EC300B" w:rsidRPr="00F533A8">
        <w:rPr>
          <w:rFonts w:ascii="Arial" w:hAnsi="Arial" w:cs="Arial"/>
          <w:sz w:val="24"/>
          <w:szCs w:val="24"/>
        </w:rPr>
        <w:t xml:space="preserve">the decision hitherto taken by his predecessor </w:t>
      </w:r>
      <w:r w:rsidRPr="00F533A8">
        <w:rPr>
          <w:rFonts w:ascii="Arial" w:hAnsi="Arial" w:cs="Arial"/>
          <w:sz w:val="24"/>
          <w:szCs w:val="24"/>
        </w:rPr>
        <w:t xml:space="preserve">on various authorities. As argued on behalf of the SIU, </w:t>
      </w:r>
      <w:r w:rsidR="00EC300B" w:rsidRPr="00F533A8">
        <w:rPr>
          <w:rFonts w:ascii="Arial" w:hAnsi="Arial" w:cs="Arial"/>
          <w:sz w:val="24"/>
          <w:szCs w:val="24"/>
        </w:rPr>
        <w:t xml:space="preserve">DOT’s </w:t>
      </w:r>
      <w:r w:rsidRPr="00F533A8">
        <w:rPr>
          <w:rFonts w:ascii="Arial" w:hAnsi="Arial" w:cs="Arial"/>
          <w:sz w:val="24"/>
          <w:szCs w:val="24"/>
        </w:rPr>
        <w:t xml:space="preserve">reliance on </w:t>
      </w:r>
      <w:r w:rsidRPr="00F533A8">
        <w:rPr>
          <w:rFonts w:ascii="Arial" w:hAnsi="Arial" w:cs="Arial"/>
          <w:i/>
          <w:iCs/>
          <w:sz w:val="24"/>
          <w:szCs w:val="24"/>
        </w:rPr>
        <w:t>Njongi v MEC of Welfare, Eastern Cape</w:t>
      </w:r>
      <w:r w:rsidR="00EC300B" w:rsidRPr="00F533A8">
        <w:rPr>
          <w:rStyle w:val="FootnoteReference"/>
          <w:rFonts w:ascii="Arial" w:hAnsi="Arial"/>
          <w:i/>
          <w:iCs/>
          <w:sz w:val="24"/>
        </w:rPr>
        <w:footnoteReference w:id="10"/>
      </w:r>
      <w:r w:rsidRPr="00F533A8">
        <w:rPr>
          <w:rFonts w:ascii="Arial" w:hAnsi="Arial" w:cs="Arial"/>
          <w:i/>
          <w:iCs/>
          <w:sz w:val="24"/>
          <w:szCs w:val="24"/>
        </w:rPr>
        <w:t xml:space="preserve"> (“Njongi”)</w:t>
      </w:r>
      <w:r w:rsidRPr="00F533A8">
        <w:rPr>
          <w:rFonts w:ascii="Arial" w:hAnsi="Arial" w:cs="Arial"/>
          <w:sz w:val="24"/>
          <w:szCs w:val="24"/>
        </w:rPr>
        <w:t xml:space="preserve"> to assert its right to change its stance is misplaced. The statement </w:t>
      </w:r>
      <w:r w:rsidR="00EC300B" w:rsidRPr="00F533A8">
        <w:rPr>
          <w:rFonts w:ascii="Arial" w:hAnsi="Arial" w:cs="Arial"/>
          <w:sz w:val="24"/>
          <w:szCs w:val="24"/>
        </w:rPr>
        <w:t xml:space="preserve">in </w:t>
      </w:r>
      <w:r w:rsidR="00EC300B" w:rsidRPr="0028256A">
        <w:rPr>
          <w:rFonts w:ascii="Arial" w:hAnsi="Arial" w:cs="Arial"/>
          <w:i/>
          <w:iCs/>
          <w:sz w:val="24"/>
          <w:szCs w:val="24"/>
        </w:rPr>
        <w:t>Njongi</w:t>
      </w:r>
      <w:r w:rsidR="00EC300B" w:rsidRPr="00F533A8">
        <w:rPr>
          <w:rFonts w:ascii="Arial" w:hAnsi="Arial" w:cs="Arial"/>
          <w:sz w:val="24"/>
          <w:szCs w:val="24"/>
        </w:rPr>
        <w:t xml:space="preserve"> </w:t>
      </w:r>
      <w:r w:rsidR="0028256A">
        <w:rPr>
          <w:rFonts w:ascii="Arial" w:hAnsi="Arial" w:cs="Arial"/>
          <w:sz w:val="24"/>
          <w:szCs w:val="24"/>
        </w:rPr>
        <w:t xml:space="preserve">which </w:t>
      </w:r>
      <w:r w:rsidR="00EC300B" w:rsidRPr="00F533A8">
        <w:rPr>
          <w:rFonts w:ascii="Arial" w:hAnsi="Arial" w:cs="Arial"/>
          <w:sz w:val="24"/>
          <w:szCs w:val="24"/>
        </w:rPr>
        <w:t>the MEC seeks to place reliance relates to distinguishable facts. I quote it below</w:t>
      </w:r>
      <w:r w:rsidRPr="00F533A8">
        <w:rPr>
          <w:rFonts w:ascii="Arial" w:hAnsi="Arial" w:cs="Arial"/>
          <w:sz w:val="24"/>
          <w:szCs w:val="24"/>
        </w:rPr>
        <w:t>:</w:t>
      </w:r>
    </w:p>
    <w:p w14:paraId="4FBDA9A4" w14:textId="416AD6D5" w:rsidR="0012477D" w:rsidRPr="00F533A8" w:rsidRDefault="0012477D" w:rsidP="00E212A8">
      <w:pPr>
        <w:tabs>
          <w:tab w:val="left" w:pos="851"/>
        </w:tabs>
        <w:spacing w:line="360" w:lineRule="auto"/>
        <w:jc w:val="both"/>
        <w:rPr>
          <w:rFonts w:ascii="Arial" w:hAnsi="Arial" w:cs="Arial"/>
          <w:sz w:val="24"/>
          <w:szCs w:val="24"/>
        </w:rPr>
      </w:pPr>
      <w:r w:rsidRPr="00F533A8">
        <w:rPr>
          <w:rFonts w:ascii="Arial" w:hAnsi="Arial" w:cs="Arial"/>
          <w:sz w:val="24"/>
          <w:szCs w:val="24"/>
        </w:rPr>
        <w:t xml:space="preserve">“It is always open to the provincial government to admit without qualification that an administrative decision had been wrong or had been wrongly taken and consequently to expressly disavow that decision altogether. </w:t>
      </w:r>
      <w:r w:rsidR="008C1523" w:rsidRPr="00F533A8">
        <w:rPr>
          <w:rFonts w:ascii="Arial" w:hAnsi="Arial" w:cs="Arial"/>
          <w:sz w:val="24"/>
          <w:szCs w:val="24"/>
        </w:rPr>
        <w:t>Indeed,</w:t>
      </w:r>
      <w:r w:rsidRPr="00F533A8">
        <w:rPr>
          <w:rFonts w:ascii="Arial" w:hAnsi="Arial" w:cs="Arial"/>
          <w:sz w:val="24"/>
          <w:szCs w:val="24"/>
        </w:rPr>
        <w:t xml:space="preserve"> government at every level must be encouraged to re-evaluate administrative decisions that are subject to challenge and, if found to be wrong, to admit this without qualification and to disavow reliance on them. There are literally thousands of administrative decisions of this kind made every day and it would be quite untenable for each decision to be set aside by a court before the underlying obligation can be enforced. Prescription would begin to run (if it is indeed applicable in a case of this kind) as soon as the provincial government disavowed reliance on the administrative action concerned.”</w:t>
      </w:r>
    </w:p>
    <w:p w14:paraId="3A21DEB5" w14:textId="77777777" w:rsidR="0012477D" w:rsidRPr="00F533A8" w:rsidRDefault="0012477D" w:rsidP="00E212A8">
      <w:pPr>
        <w:tabs>
          <w:tab w:val="left" w:pos="851"/>
        </w:tabs>
        <w:spacing w:line="360" w:lineRule="auto"/>
        <w:jc w:val="both"/>
        <w:rPr>
          <w:rFonts w:ascii="Arial" w:hAnsi="Arial" w:cs="Arial"/>
          <w:sz w:val="24"/>
          <w:szCs w:val="24"/>
        </w:rPr>
      </w:pPr>
    </w:p>
    <w:p w14:paraId="744E50F1" w14:textId="63D64518" w:rsidR="0012477D" w:rsidRPr="00F533A8" w:rsidRDefault="0012477D"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1403F2">
        <w:rPr>
          <w:rFonts w:ascii="Arial" w:hAnsi="Arial" w:cs="Arial"/>
          <w:sz w:val="24"/>
          <w:szCs w:val="24"/>
        </w:rPr>
        <w:t>111</w:t>
      </w:r>
      <w:r w:rsidRPr="00F533A8">
        <w:rPr>
          <w:rFonts w:ascii="Arial" w:hAnsi="Arial" w:cs="Arial"/>
          <w:sz w:val="24"/>
          <w:szCs w:val="24"/>
        </w:rPr>
        <w:t>]</w:t>
      </w:r>
      <w:r w:rsidR="00396285">
        <w:rPr>
          <w:rFonts w:ascii="Arial" w:hAnsi="Arial" w:cs="Arial"/>
          <w:sz w:val="24"/>
          <w:szCs w:val="24"/>
        </w:rPr>
        <w:tab/>
      </w:r>
      <w:r w:rsidRPr="00F533A8">
        <w:rPr>
          <w:rFonts w:ascii="Arial" w:hAnsi="Arial" w:cs="Arial"/>
          <w:i/>
          <w:iCs/>
          <w:sz w:val="24"/>
          <w:szCs w:val="24"/>
        </w:rPr>
        <w:t>Masuku v Special Investigating Unit</w:t>
      </w:r>
      <w:r w:rsidR="00F26CA4" w:rsidRPr="00F533A8">
        <w:rPr>
          <w:rStyle w:val="FootnoteReference"/>
          <w:rFonts w:ascii="Arial" w:hAnsi="Arial"/>
          <w:i/>
          <w:iCs/>
          <w:sz w:val="24"/>
        </w:rPr>
        <w:footnoteReference w:id="11"/>
      </w:r>
      <w:r w:rsidRPr="00F533A8">
        <w:rPr>
          <w:rFonts w:ascii="Arial" w:hAnsi="Arial" w:cs="Arial"/>
          <w:i/>
          <w:iCs/>
          <w:sz w:val="24"/>
          <w:szCs w:val="24"/>
        </w:rPr>
        <w:t xml:space="preserve">  (“Masuku”)</w:t>
      </w:r>
      <w:r w:rsidRPr="00F533A8">
        <w:rPr>
          <w:rFonts w:ascii="Arial" w:hAnsi="Arial" w:cs="Arial"/>
          <w:sz w:val="24"/>
          <w:szCs w:val="24"/>
        </w:rPr>
        <w:t xml:space="preserve"> is </w:t>
      </w:r>
      <w:r w:rsidR="00EC300B" w:rsidRPr="00F533A8">
        <w:rPr>
          <w:rFonts w:ascii="Arial" w:hAnsi="Arial" w:cs="Arial"/>
          <w:sz w:val="24"/>
          <w:szCs w:val="24"/>
        </w:rPr>
        <w:t xml:space="preserve">also </w:t>
      </w:r>
      <w:r w:rsidRPr="00F533A8">
        <w:rPr>
          <w:rFonts w:ascii="Arial" w:hAnsi="Arial" w:cs="Arial"/>
          <w:sz w:val="24"/>
          <w:szCs w:val="24"/>
        </w:rPr>
        <w:t>distinguishable</w:t>
      </w:r>
      <w:r w:rsidR="00EC300B" w:rsidRPr="00F533A8">
        <w:rPr>
          <w:rFonts w:ascii="Arial" w:hAnsi="Arial" w:cs="Arial"/>
          <w:sz w:val="24"/>
          <w:szCs w:val="24"/>
        </w:rPr>
        <w:t xml:space="preserve">. </w:t>
      </w:r>
      <w:r w:rsidRPr="00F533A8">
        <w:rPr>
          <w:rFonts w:ascii="Arial" w:hAnsi="Arial" w:cs="Arial"/>
          <w:sz w:val="24"/>
          <w:szCs w:val="24"/>
        </w:rPr>
        <w:t xml:space="preserve"> Further, the SIU investigator did interview </w:t>
      </w:r>
      <w:r w:rsidR="00F26CA4" w:rsidRPr="00F533A8">
        <w:rPr>
          <w:rFonts w:ascii="Arial" w:hAnsi="Arial" w:cs="Arial"/>
          <w:sz w:val="24"/>
          <w:szCs w:val="24"/>
        </w:rPr>
        <w:t xml:space="preserve">DOT </w:t>
      </w:r>
      <w:r w:rsidRPr="00F533A8">
        <w:rPr>
          <w:rFonts w:ascii="Arial" w:hAnsi="Arial" w:cs="Arial"/>
          <w:sz w:val="24"/>
          <w:szCs w:val="24"/>
        </w:rPr>
        <w:t xml:space="preserve">officials in respect of whom the SIU made findings. </w:t>
      </w:r>
      <w:r w:rsidR="0028256A">
        <w:rPr>
          <w:rFonts w:ascii="Arial" w:hAnsi="Arial" w:cs="Arial"/>
          <w:sz w:val="24"/>
          <w:szCs w:val="24"/>
        </w:rPr>
        <w:t xml:space="preserve">Disturbingly, according to DOT, the SIU ignored the explanations offered by some of the relevant officials which rebutted its purported findings and proceeded to premise its review grounds on such findings.  </w:t>
      </w:r>
      <w:r w:rsidR="00F26CA4" w:rsidRPr="00F533A8">
        <w:rPr>
          <w:rFonts w:ascii="Arial" w:hAnsi="Arial" w:cs="Arial"/>
          <w:sz w:val="24"/>
          <w:szCs w:val="24"/>
        </w:rPr>
        <w:t xml:space="preserve">Therefore, </w:t>
      </w:r>
      <w:r w:rsidRPr="00F533A8">
        <w:rPr>
          <w:rFonts w:ascii="Arial" w:hAnsi="Arial" w:cs="Arial"/>
          <w:i/>
          <w:iCs/>
          <w:sz w:val="24"/>
          <w:szCs w:val="24"/>
        </w:rPr>
        <w:t>Masuku</w:t>
      </w:r>
      <w:r w:rsidRPr="00F533A8">
        <w:rPr>
          <w:rFonts w:ascii="Arial" w:hAnsi="Arial" w:cs="Arial"/>
          <w:sz w:val="24"/>
          <w:szCs w:val="24"/>
        </w:rPr>
        <w:t xml:space="preserve"> </w:t>
      </w:r>
      <w:r w:rsidR="00F26CA4" w:rsidRPr="00F533A8">
        <w:rPr>
          <w:rFonts w:ascii="Arial" w:hAnsi="Arial" w:cs="Arial"/>
          <w:sz w:val="24"/>
          <w:szCs w:val="24"/>
        </w:rPr>
        <w:t xml:space="preserve">does not support the case DOT seeks to establish. </w:t>
      </w:r>
    </w:p>
    <w:p w14:paraId="412D1F58" w14:textId="77777777" w:rsidR="001403F2" w:rsidRDefault="001403F2" w:rsidP="00E212A8">
      <w:pPr>
        <w:tabs>
          <w:tab w:val="left" w:pos="851"/>
        </w:tabs>
        <w:spacing w:line="360" w:lineRule="auto"/>
        <w:jc w:val="both"/>
        <w:rPr>
          <w:rFonts w:ascii="Arial" w:hAnsi="Arial" w:cs="Arial"/>
          <w:sz w:val="24"/>
          <w:szCs w:val="24"/>
        </w:rPr>
      </w:pPr>
    </w:p>
    <w:p w14:paraId="166F32CC" w14:textId="1F10AE66" w:rsidR="0012477D" w:rsidRPr="00F533A8" w:rsidRDefault="0012477D"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1403F2">
        <w:rPr>
          <w:rFonts w:ascii="Arial" w:hAnsi="Arial" w:cs="Arial"/>
          <w:sz w:val="24"/>
          <w:szCs w:val="24"/>
        </w:rPr>
        <w:t>112</w:t>
      </w:r>
      <w:r w:rsidRPr="00F533A8">
        <w:rPr>
          <w:rFonts w:ascii="Arial" w:hAnsi="Arial" w:cs="Arial"/>
          <w:sz w:val="24"/>
          <w:szCs w:val="24"/>
        </w:rPr>
        <w:t>]</w:t>
      </w:r>
      <w:r w:rsidR="00EE03C8">
        <w:rPr>
          <w:rFonts w:ascii="Arial" w:hAnsi="Arial" w:cs="Arial"/>
          <w:sz w:val="24"/>
          <w:szCs w:val="24"/>
        </w:rPr>
        <w:tab/>
      </w:r>
      <w:r w:rsidRPr="00F533A8">
        <w:rPr>
          <w:rFonts w:ascii="Arial" w:hAnsi="Arial" w:cs="Arial"/>
          <w:i/>
          <w:iCs/>
          <w:sz w:val="24"/>
          <w:szCs w:val="24"/>
        </w:rPr>
        <w:t>National Treasury and Another v Kubukeli  (“Kubukeli”)</w:t>
      </w:r>
      <w:r w:rsidR="00EC300B" w:rsidRPr="00F533A8">
        <w:rPr>
          <w:rStyle w:val="FootnoteReference"/>
          <w:rFonts w:ascii="Arial" w:hAnsi="Arial"/>
          <w:i/>
          <w:iCs/>
          <w:sz w:val="24"/>
        </w:rPr>
        <w:footnoteReference w:id="12"/>
      </w:r>
      <w:r w:rsidRPr="00F533A8">
        <w:rPr>
          <w:rFonts w:ascii="Arial" w:hAnsi="Arial" w:cs="Arial"/>
          <w:i/>
          <w:iCs/>
          <w:sz w:val="24"/>
          <w:szCs w:val="24"/>
        </w:rPr>
        <w:t>,</w:t>
      </w:r>
      <w:r w:rsidRPr="00F533A8">
        <w:rPr>
          <w:rFonts w:ascii="Arial" w:hAnsi="Arial" w:cs="Arial"/>
          <w:sz w:val="24"/>
          <w:szCs w:val="24"/>
        </w:rPr>
        <w:t xml:space="preserve"> </w:t>
      </w:r>
      <w:r w:rsidR="00EC300B" w:rsidRPr="00F533A8">
        <w:rPr>
          <w:rFonts w:ascii="Arial" w:hAnsi="Arial" w:cs="Arial"/>
          <w:sz w:val="24"/>
          <w:szCs w:val="24"/>
        </w:rPr>
        <w:t xml:space="preserve">is </w:t>
      </w:r>
      <w:r w:rsidRPr="00F533A8">
        <w:rPr>
          <w:rFonts w:ascii="Arial" w:hAnsi="Arial" w:cs="Arial"/>
          <w:sz w:val="24"/>
          <w:szCs w:val="24"/>
        </w:rPr>
        <w:t xml:space="preserve">also inappropriately relied on by </w:t>
      </w:r>
      <w:r w:rsidR="00EC300B" w:rsidRPr="00F533A8">
        <w:rPr>
          <w:rFonts w:ascii="Arial" w:hAnsi="Arial" w:cs="Arial"/>
          <w:sz w:val="24"/>
          <w:szCs w:val="24"/>
        </w:rPr>
        <w:t>DOT</w:t>
      </w:r>
      <w:r w:rsidR="00F42254" w:rsidRPr="00F533A8">
        <w:rPr>
          <w:rFonts w:ascii="Arial" w:hAnsi="Arial" w:cs="Arial"/>
          <w:sz w:val="24"/>
          <w:szCs w:val="24"/>
        </w:rPr>
        <w:t xml:space="preserve">. </w:t>
      </w:r>
      <w:r w:rsidRPr="00F533A8">
        <w:rPr>
          <w:rFonts w:ascii="Arial" w:hAnsi="Arial" w:cs="Arial"/>
          <w:sz w:val="24"/>
          <w:szCs w:val="24"/>
        </w:rPr>
        <w:t xml:space="preserve"> </w:t>
      </w:r>
      <w:r w:rsidR="00EC300B" w:rsidRPr="00F533A8">
        <w:rPr>
          <w:rFonts w:ascii="Arial" w:hAnsi="Arial" w:cs="Arial"/>
          <w:sz w:val="24"/>
          <w:szCs w:val="24"/>
        </w:rPr>
        <w:t xml:space="preserve">There, </w:t>
      </w:r>
      <w:r w:rsidRPr="00F533A8">
        <w:rPr>
          <w:rFonts w:ascii="Arial" w:hAnsi="Arial" w:cs="Arial"/>
          <w:sz w:val="24"/>
          <w:szCs w:val="24"/>
        </w:rPr>
        <w:t>the Supreme Court of Appeal found that there was no obligation to afford implicated persons an opportunity to make representations. National Treasury had not afforded Kubukeli an opportunity to make representations to its investigators. Here,</w:t>
      </w:r>
      <w:r w:rsidR="00EE03C8">
        <w:rPr>
          <w:rFonts w:ascii="Arial" w:hAnsi="Arial" w:cs="Arial"/>
          <w:sz w:val="24"/>
          <w:szCs w:val="24"/>
        </w:rPr>
        <w:t xml:space="preserve"> t</w:t>
      </w:r>
      <w:r w:rsidRPr="00F533A8">
        <w:rPr>
          <w:rFonts w:ascii="Arial" w:hAnsi="Arial" w:cs="Arial"/>
          <w:sz w:val="24"/>
          <w:szCs w:val="24"/>
        </w:rPr>
        <w:t xml:space="preserve">he implicated officials were offered such an opportunity. The SIU findings are not determinative of the parties’ rights. They only set out a </w:t>
      </w:r>
      <w:r w:rsidRPr="00F533A8">
        <w:rPr>
          <w:rFonts w:ascii="Arial" w:hAnsi="Arial" w:cs="Arial"/>
          <w:i/>
          <w:iCs/>
          <w:sz w:val="24"/>
          <w:szCs w:val="24"/>
        </w:rPr>
        <w:t>prima facie</w:t>
      </w:r>
      <w:r w:rsidRPr="00F533A8">
        <w:rPr>
          <w:rFonts w:ascii="Arial" w:hAnsi="Arial" w:cs="Arial"/>
          <w:sz w:val="24"/>
          <w:szCs w:val="24"/>
        </w:rPr>
        <w:t xml:space="preserve"> case to be tested in further proceedings such as the present review application and the disciplinary proceedings </w:t>
      </w:r>
      <w:r w:rsidR="008F62B3" w:rsidRPr="00F533A8">
        <w:rPr>
          <w:rFonts w:ascii="Arial" w:hAnsi="Arial" w:cs="Arial"/>
          <w:sz w:val="24"/>
          <w:szCs w:val="24"/>
        </w:rPr>
        <w:t xml:space="preserve">DOT </w:t>
      </w:r>
      <w:r w:rsidRPr="00F533A8">
        <w:rPr>
          <w:rFonts w:ascii="Arial" w:hAnsi="Arial" w:cs="Arial"/>
          <w:sz w:val="24"/>
          <w:szCs w:val="24"/>
        </w:rPr>
        <w:t xml:space="preserve">held against some of its officials.   </w:t>
      </w:r>
    </w:p>
    <w:p w14:paraId="7040EA93" w14:textId="77777777" w:rsidR="00530772" w:rsidRPr="00F533A8" w:rsidRDefault="00530772" w:rsidP="00E212A8">
      <w:pPr>
        <w:tabs>
          <w:tab w:val="left" w:pos="851"/>
        </w:tabs>
        <w:spacing w:line="360" w:lineRule="auto"/>
        <w:jc w:val="both"/>
        <w:rPr>
          <w:rFonts w:ascii="Arial" w:hAnsi="Arial" w:cs="Arial"/>
          <w:sz w:val="24"/>
          <w:szCs w:val="24"/>
        </w:rPr>
      </w:pPr>
    </w:p>
    <w:p w14:paraId="6B798655" w14:textId="706E5408" w:rsidR="0012477D" w:rsidRPr="00F533A8" w:rsidRDefault="0012477D"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1403F2">
        <w:rPr>
          <w:rFonts w:ascii="Arial" w:hAnsi="Arial" w:cs="Arial"/>
          <w:sz w:val="24"/>
          <w:szCs w:val="24"/>
        </w:rPr>
        <w:t>113</w:t>
      </w:r>
      <w:r w:rsidRPr="00F533A8">
        <w:rPr>
          <w:rFonts w:ascii="Arial" w:hAnsi="Arial" w:cs="Arial"/>
          <w:sz w:val="24"/>
          <w:szCs w:val="24"/>
        </w:rPr>
        <w:t>]</w:t>
      </w:r>
      <w:r w:rsidR="00396285">
        <w:rPr>
          <w:rFonts w:ascii="Arial" w:hAnsi="Arial" w:cs="Arial"/>
          <w:sz w:val="24"/>
          <w:szCs w:val="24"/>
        </w:rPr>
        <w:tab/>
      </w:r>
      <w:r w:rsidRPr="00F533A8">
        <w:rPr>
          <w:rFonts w:ascii="Arial" w:hAnsi="Arial" w:cs="Arial"/>
          <w:i/>
          <w:iCs/>
          <w:sz w:val="24"/>
          <w:szCs w:val="24"/>
        </w:rPr>
        <w:t>Prudential Authority of the SA Reserve Bank v Msiza</w:t>
      </w:r>
      <w:r w:rsidR="008F62B3" w:rsidRPr="00F533A8">
        <w:rPr>
          <w:rStyle w:val="FootnoteReference"/>
          <w:rFonts w:ascii="Arial" w:hAnsi="Arial"/>
          <w:i/>
          <w:iCs/>
          <w:sz w:val="24"/>
        </w:rPr>
        <w:footnoteReference w:id="13"/>
      </w:r>
      <w:r w:rsidRPr="00F533A8">
        <w:rPr>
          <w:rFonts w:ascii="Arial" w:hAnsi="Arial" w:cs="Arial"/>
          <w:i/>
          <w:iCs/>
          <w:sz w:val="24"/>
          <w:szCs w:val="24"/>
        </w:rPr>
        <w:t xml:space="preserve"> (“Msiza”) </w:t>
      </w:r>
      <w:r w:rsidRPr="00F533A8">
        <w:rPr>
          <w:rFonts w:ascii="Arial" w:hAnsi="Arial" w:cs="Arial"/>
          <w:sz w:val="24"/>
          <w:szCs w:val="24"/>
        </w:rPr>
        <w:t>is distinguishable for the same reason as Kubukeli as the implicat</w:t>
      </w:r>
      <w:r w:rsidR="008F62B3" w:rsidRPr="00F533A8">
        <w:rPr>
          <w:rFonts w:ascii="Arial" w:hAnsi="Arial" w:cs="Arial"/>
          <w:sz w:val="24"/>
          <w:szCs w:val="24"/>
        </w:rPr>
        <w:t xml:space="preserve">ed </w:t>
      </w:r>
      <w:r w:rsidRPr="00F533A8">
        <w:rPr>
          <w:rFonts w:ascii="Arial" w:hAnsi="Arial" w:cs="Arial"/>
          <w:sz w:val="24"/>
          <w:szCs w:val="24"/>
        </w:rPr>
        <w:t xml:space="preserve">officials were afforded an opportunity to make representations to the SIU. </w:t>
      </w:r>
    </w:p>
    <w:p w14:paraId="4A2D20CD" w14:textId="77777777" w:rsidR="00F42254" w:rsidRPr="00F533A8" w:rsidRDefault="00F42254" w:rsidP="00E212A8">
      <w:pPr>
        <w:tabs>
          <w:tab w:val="left" w:pos="851"/>
        </w:tabs>
        <w:spacing w:line="360" w:lineRule="auto"/>
        <w:jc w:val="both"/>
        <w:rPr>
          <w:rFonts w:ascii="Arial" w:hAnsi="Arial" w:cs="Arial"/>
          <w:sz w:val="24"/>
          <w:szCs w:val="24"/>
        </w:rPr>
      </w:pPr>
    </w:p>
    <w:p w14:paraId="321BACE8" w14:textId="7083C985" w:rsidR="00204717" w:rsidRPr="00F533A8" w:rsidRDefault="0012477D"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1403F2">
        <w:rPr>
          <w:rFonts w:ascii="Arial" w:hAnsi="Arial" w:cs="Arial"/>
          <w:sz w:val="24"/>
          <w:szCs w:val="24"/>
        </w:rPr>
        <w:t>114</w:t>
      </w:r>
      <w:r w:rsidRPr="00F533A8">
        <w:rPr>
          <w:rFonts w:ascii="Arial" w:hAnsi="Arial" w:cs="Arial"/>
          <w:sz w:val="24"/>
          <w:szCs w:val="24"/>
        </w:rPr>
        <w:t>]</w:t>
      </w:r>
      <w:r w:rsidR="00396285">
        <w:rPr>
          <w:rFonts w:ascii="Arial" w:hAnsi="Arial" w:cs="Arial"/>
          <w:sz w:val="24"/>
          <w:szCs w:val="24"/>
        </w:rPr>
        <w:tab/>
      </w:r>
      <w:r w:rsidR="008F62B3" w:rsidRPr="00F533A8">
        <w:rPr>
          <w:rFonts w:ascii="Arial" w:hAnsi="Arial" w:cs="Arial"/>
          <w:sz w:val="24"/>
          <w:szCs w:val="24"/>
        </w:rPr>
        <w:t>The MEC</w:t>
      </w:r>
      <w:r w:rsidRPr="00F533A8">
        <w:rPr>
          <w:rFonts w:ascii="Arial" w:hAnsi="Arial" w:cs="Arial"/>
          <w:sz w:val="24"/>
          <w:szCs w:val="24"/>
        </w:rPr>
        <w:t xml:space="preserve"> further contended </w:t>
      </w:r>
      <w:r w:rsidR="00F26CA4" w:rsidRPr="00F533A8">
        <w:rPr>
          <w:rFonts w:ascii="Arial" w:hAnsi="Arial" w:cs="Arial"/>
          <w:sz w:val="24"/>
          <w:szCs w:val="24"/>
        </w:rPr>
        <w:t xml:space="preserve">that </w:t>
      </w:r>
      <w:r w:rsidRPr="00F533A8">
        <w:rPr>
          <w:rFonts w:ascii="Arial" w:hAnsi="Arial" w:cs="Arial"/>
          <w:sz w:val="24"/>
          <w:szCs w:val="24"/>
        </w:rPr>
        <w:t xml:space="preserve">the SIU </w:t>
      </w:r>
      <w:r w:rsidR="008F62B3" w:rsidRPr="00F533A8">
        <w:rPr>
          <w:rFonts w:ascii="Arial" w:hAnsi="Arial" w:cs="Arial"/>
          <w:sz w:val="24"/>
          <w:szCs w:val="24"/>
        </w:rPr>
        <w:t xml:space="preserve">failed </w:t>
      </w:r>
      <w:r w:rsidRPr="00F533A8">
        <w:rPr>
          <w:rFonts w:ascii="Arial" w:hAnsi="Arial" w:cs="Arial"/>
          <w:sz w:val="24"/>
          <w:szCs w:val="24"/>
        </w:rPr>
        <w:t xml:space="preserve">to meet the requisite standard required when conducting the investigation, to ensure compliance with the requirement of procedural rationality justify the exercise of the Tribunal’s discretion to overlook the delay. </w:t>
      </w:r>
      <w:r w:rsidR="00204717" w:rsidRPr="00F533A8">
        <w:rPr>
          <w:rFonts w:ascii="Arial" w:hAnsi="Arial" w:cs="Arial"/>
          <w:sz w:val="24"/>
          <w:szCs w:val="24"/>
        </w:rPr>
        <w:t>The SIU asserts that it properly investigated the tender within its statutory mandate as set out in sections 4 and 5 of the SIU Act. It made findings and recommendations. These are not binding on the Presidency and DOT. Its findings stand to be tested or impugned in subsequent legal proceedings, such as internal disciplinary proceedings and this application.</w:t>
      </w:r>
    </w:p>
    <w:p w14:paraId="48F7731E" w14:textId="77777777" w:rsidR="00396285" w:rsidRDefault="00396285" w:rsidP="00E212A8">
      <w:pPr>
        <w:tabs>
          <w:tab w:val="left" w:pos="851"/>
        </w:tabs>
        <w:spacing w:line="360" w:lineRule="auto"/>
        <w:jc w:val="both"/>
        <w:rPr>
          <w:rFonts w:ascii="Arial" w:hAnsi="Arial" w:cs="Arial"/>
          <w:sz w:val="24"/>
          <w:szCs w:val="24"/>
        </w:rPr>
      </w:pPr>
    </w:p>
    <w:p w14:paraId="639B2EDC" w14:textId="58081FF6" w:rsidR="003B35D8" w:rsidRPr="00F533A8" w:rsidRDefault="00121749"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1403F2">
        <w:rPr>
          <w:rFonts w:ascii="Arial" w:hAnsi="Arial" w:cs="Arial"/>
          <w:sz w:val="24"/>
          <w:szCs w:val="24"/>
        </w:rPr>
        <w:t>115</w:t>
      </w:r>
      <w:r w:rsidRPr="00F533A8">
        <w:rPr>
          <w:rFonts w:ascii="Arial" w:hAnsi="Arial" w:cs="Arial"/>
          <w:sz w:val="24"/>
          <w:szCs w:val="24"/>
        </w:rPr>
        <w:t>]</w:t>
      </w:r>
      <w:r w:rsidR="00396285">
        <w:rPr>
          <w:rFonts w:ascii="Arial" w:hAnsi="Arial" w:cs="Arial"/>
          <w:sz w:val="24"/>
          <w:szCs w:val="24"/>
        </w:rPr>
        <w:tab/>
      </w:r>
      <w:r w:rsidR="003B35D8" w:rsidRPr="00F533A8">
        <w:rPr>
          <w:rFonts w:ascii="Arial" w:hAnsi="Arial" w:cs="Arial"/>
          <w:sz w:val="24"/>
          <w:szCs w:val="24"/>
        </w:rPr>
        <w:t>The fact</w:t>
      </w:r>
      <w:r w:rsidR="00204717" w:rsidRPr="00F533A8">
        <w:rPr>
          <w:rFonts w:ascii="Arial" w:hAnsi="Arial" w:cs="Arial"/>
          <w:sz w:val="24"/>
          <w:szCs w:val="24"/>
        </w:rPr>
        <w:t xml:space="preserve"> that DOT has </w:t>
      </w:r>
      <w:r w:rsidR="003B35D8" w:rsidRPr="00F533A8">
        <w:rPr>
          <w:rFonts w:ascii="Arial" w:hAnsi="Arial" w:cs="Arial"/>
          <w:sz w:val="24"/>
          <w:szCs w:val="24"/>
        </w:rPr>
        <w:t xml:space="preserve">implemented some of the recommendations point to the fact that it had accepted the SIU report. Under these circumstances, the grounds of review it relies upon in this application do not justify declaring the report invalid and setting it aside. In this judgment, I have made several findings in relation to the findings </w:t>
      </w:r>
      <w:r w:rsidR="00F26CA4" w:rsidRPr="00F533A8">
        <w:rPr>
          <w:rFonts w:ascii="Arial" w:hAnsi="Arial" w:cs="Arial"/>
          <w:sz w:val="24"/>
          <w:szCs w:val="24"/>
        </w:rPr>
        <w:t xml:space="preserve">and/ </w:t>
      </w:r>
      <w:r w:rsidR="003B35D8" w:rsidRPr="00F533A8">
        <w:rPr>
          <w:rFonts w:ascii="Arial" w:hAnsi="Arial" w:cs="Arial"/>
          <w:sz w:val="24"/>
          <w:szCs w:val="24"/>
        </w:rPr>
        <w:t xml:space="preserve">or recommendations the SIU made, and where are appropriate found that the grounds of review based on specific SIU findings were not sustained. These indicate that the SIU did not investigate the relevant issues with the depth called for and failed to engage the DOT on those issues. DOT has successfully impugned the relevant findings in these proceedings.  </w:t>
      </w:r>
    </w:p>
    <w:p w14:paraId="3269B09F" w14:textId="77777777" w:rsidR="00121749" w:rsidRPr="00F533A8" w:rsidRDefault="00121749" w:rsidP="00E212A8">
      <w:pPr>
        <w:tabs>
          <w:tab w:val="left" w:pos="851"/>
        </w:tabs>
        <w:spacing w:line="360" w:lineRule="auto"/>
        <w:jc w:val="both"/>
        <w:rPr>
          <w:rFonts w:ascii="Arial" w:hAnsi="Arial" w:cs="Arial"/>
          <w:sz w:val="24"/>
          <w:szCs w:val="24"/>
        </w:rPr>
      </w:pPr>
    </w:p>
    <w:p w14:paraId="1E881855" w14:textId="1D7A3EF1" w:rsidR="00F26CA4" w:rsidRPr="00F533A8" w:rsidRDefault="00F26CA4"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1403F2">
        <w:rPr>
          <w:rFonts w:ascii="Arial" w:hAnsi="Arial" w:cs="Arial"/>
          <w:sz w:val="24"/>
          <w:szCs w:val="24"/>
        </w:rPr>
        <w:t>116</w:t>
      </w:r>
      <w:r w:rsidRPr="00F533A8">
        <w:rPr>
          <w:rFonts w:ascii="Arial" w:hAnsi="Arial" w:cs="Arial"/>
          <w:sz w:val="24"/>
          <w:szCs w:val="24"/>
        </w:rPr>
        <w:t>]</w:t>
      </w:r>
      <w:r w:rsidR="00396285">
        <w:rPr>
          <w:rFonts w:ascii="Arial" w:hAnsi="Arial" w:cs="Arial"/>
          <w:sz w:val="24"/>
          <w:szCs w:val="24"/>
        </w:rPr>
        <w:tab/>
      </w:r>
      <w:r w:rsidRPr="00F533A8">
        <w:rPr>
          <w:rFonts w:ascii="Arial" w:hAnsi="Arial" w:cs="Arial"/>
          <w:sz w:val="24"/>
          <w:szCs w:val="24"/>
        </w:rPr>
        <w:t xml:space="preserve">Under these circumstances, the interests of justice are better served by promoting certainty in administrative decisions by leaving the SIU report and the findings made there-in undisturbed. The delay in bringing the review application is unreasonable and inordinately long. Therefore, this point in </w:t>
      </w:r>
      <w:r w:rsidRPr="00F533A8">
        <w:rPr>
          <w:rFonts w:ascii="Arial" w:hAnsi="Arial" w:cs="Arial"/>
          <w:i/>
          <w:iCs/>
          <w:sz w:val="24"/>
          <w:szCs w:val="24"/>
        </w:rPr>
        <w:t>limine</w:t>
      </w:r>
      <w:r w:rsidRPr="00F533A8">
        <w:rPr>
          <w:rFonts w:ascii="Arial" w:hAnsi="Arial" w:cs="Arial"/>
          <w:sz w:val="24"/>
          <w:szCs w:val="24"/>
        </w:rPr>
        <w:t xml:space="preserve"> stands to be upheld.</w:t>
      </w:r>
    </w:p>
    <w:p w14:paraId="1A417FF8" w14:textId="77777777" w:rsidR="00F26CA4" w:rsidRPr="00F533A8" w:rsidRDefault="00F26CA4" w:rsidP="00E212A8">
      <w:pPr>
        <w:tabs>
          <w:tab w:val="left" w:pos="851"/>
        </w:tabs>
        <w:spacing w:line="360" w:lineRule="auto"/>
        <w:jc w:val="both"/>
        <w:rPr>
          <w:rFonts w:ascii="Arial" w:hAnsi="Arial" w:cs="Arial"/>
          <w:sz w:val="24"/>
          <w:szCs w:val="24"/>
        </w:rPr>
      </w:pPr>
    </w:p>
    <w:p w14:paraId="3D68AD0A" w14:textId="24302FEE" w:rsidR="0012477D" w:rsidRPr="00F533A8" w:rsidRDefault="0012477D" w:rsidP="00E212A8">
      <w:pPr>
        <w:tabs>
          <w:tab w:val="left" w:pos="851"/>
        </w:tabs>
        <w:spacing w:line="360" w:lineRule="auto"/>
        <w:jc w:val="both"/>
        <w:rPr>
          <w:rFonts w:ascii="Arial" w:hAnsi="Arial" w:cs="Arial"/>
          <w:i/>
          <w:iCs/>
          <w:sz w:val="24"/>
          <w:szCs w:val="24"/>
        </w:rPr>
      </w:pPr>
      <w:r w:rsidRPr="00F533A8">
        <w:rPr>
          <w:rFonts w:ascii="Arial" w:hAnsi="Arial" w:cs="Arial"/>
          <w:i/>
          <w:iCs/>
          <w:sz w:val="24"/>
          <w:szCs w:val="24"/>
        </w:rPr>
        <w:t>Jurisdiction</w:t>
      </w:r>
    </w:p>
    <w:p w14:paraId="0A995D5F" w14:textId="12DFE290" w:rsidR="008F62B3" w:rsidRPr="00F533A8" w:rsidRDefault="003F4484"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1403F2">
        <w:rPr>
          <w:rFonts w:ascii="Arial" w:hAnsi="Arial" w:cs="Arial"/>
          <w:sz w:val="24"/>
          <w:szCs w:val="24"/>
        </w:rPr>
        <w:t>117</w:t>
      </w:r>
      <w:r w:rsidRPr="00F533A8">
        <w:rPr>
          <w:rFonts w:ascii="Arial" w:hAnsi="Arial" w:cs="Arial"/>
          <w:sz w:val="24"/>
          <w:szCs w:val="24"/>
        </w:rPr>
        <w:t>]</w:t>
      </w:r>
      <w:r w:rsidR="00EE03C8">
        <w:rPr>
          <w:rFonts w:ascii="Arial" w:hAnsi="Arial" w:cs="Arial"/>
          <w:sz w:val="24"/>
          <w:szCs w:val="24"/>
        </w:rPr>
        <w:tab/>
      </w:r>
      <w:r w:rsidRPr="00F533A8">
        <w:rPr>
          <w:rFonts w:ascii="Arial" w:hAnsi="Arial" w:cs="Arial"/>
          <w:sz w:val="24"/>
          <w:szCs w:val="24"/>
        </w:rPr>
        <w:t xml:space="preserve">The SIU contends that in terms of the </w:t>
      </w:r>
      <w:r w:rsidR="00EE03C8">
        <w:rPr>
          <w:rFonts w:ascii="Arial" w:hAnsi="Arial" w:cs="Arial"/>
          <w:sz w:val="24"/>
          <w:szCs w:val="24"/>
        </w:rPr>
        <w:t>Special Investigating Unit and Special Tribunals Act</w:t>
      </w:r>
      <w:r w:rsidR="00EE03C8">
        <w:rPr>
          <w:rStyle w:val="FootnoteReference"/>
          <w:sz w:val="24"/>
        </w:rPr>
        <w:footnoteReference w:id="14"/>
      </w:r>
      <w:r w:rsidR="00EE03C8">
        <w:rPr>
          <w:rFonts w:ascii="Arial" w:hAnsi="Arial" w:cs="Arial"/>
          <w:sz w:val="24"/>
          <w:szCs w:val="24"/>
        </w:rPr>
        <w:t xml:space="preserve"> (“</w:t>
      </w:r>
      <w:r w:rsidRPr="00F533A8">
        <w:rPr>
          <w:rFonts w:ascii="Arial" w:hAnsi="Arial" w:cs="Arial"/>
          <w:sz w:val="24"/>
          <w:szCs w:val="24"/>
        </w:rPr>
        <w:t>SIU Act</w:t>
      </w:r>
      <w:r w:rsidR="00EE03C8">
        <w:rPr>
          <w:rFonts w:ascii="Arial" w:hAnsi="Arial" w:cs="Arial"/>
          <w:sz w:val="24"/>
          <w:szCs w:val="24"/>
        </w:rPr>
        <w:t>”)</w:t>
      </w:r>
      <w:r w:rsidRPr="00F533A8">
        <w:rPr>
          <w:rFonts w:ascii="Arial" w:hAnsi="Arial" w:cs="Arial"/>
          <w:sz w:val="24"/>
          <w:szCs w:val="24"/>
        </w:rPr>
        <w:t xml:space="preserve">, the MEC may not pursue a legality review against the SIU in the Tribunal. </w:t>
      </w:r>
      <w:r w:rsidR="008F62B3" w:rsidRPr="00F533A8">
        <w:rPr>
          <w:rFonts w:ascii="Arial" w:hAnsi="Arial" w:cs="Arial"/>
          <w:sz w:val="24"/>
          <w:szCs w:val="24"/>
        </w:rPr>
        <w:t>I</w:t>
      </w:r>
      <w:r w:rsidRPr="00F533A8">
        <w:rPr>
          <w:rFonts w:ascii="Arial" w:hAnsi="Arial" w:cs="Arial"/>
          <w:sz w:val="24"/>
          <w:szCs w:val="24"/>
        </w:rPr>
        <w:t>t may do so in another forum. There is no merit to this contention. As contended by the MEC, s</w:t>
      </w:r>
      <w:r w:rsidR="008F62B3" w:rsidRPr="00F533A8">
        <w:rPr>
          <w:rFonts w:ascii="Arial" w:hAnsi="Arial" w:cs="Arial"/>
          <w:sz w:val="24"/>
          <w:szCs w:val="24"/>
        </w:rPr>
        <w:t xml:space="preserve">ection </w:t>
      </w:r>
      <w:r w:rsidRPr="00F533A8">
        <w:rPr>
          <w:rFonts w:ascii="Arial" w:hAnsi="Arial" w:cs="Arial"/>
          <w:sz w:val="24"/>
          <w:szCs w:val="24"/>
        </w:rPr>
        <w:t xml:space="preserve">8 of the SIU Act makes it clear that not only the SIU may institute civil proceedings in the Tribunal. Any </w:t>
      </w:r>
      <w:r w:rsidR="00F26CA4" w:rsidRPr="00F533A8">
        <w:rPr>
          <w:rFonts w:ascii="Arial" w:hAnsi="Arial" w:cs="Arial"/>
          <w:sz w:val="24"/>
          <w:szCs w:val="24"/>
        </w:rPr>
        <w:t xml:space="preserve">other </w:t>
      </w:r>
      <w:r w:rsidRPr="00F533A8">
        <w:rPr>
          <w:rFonts w:ascii="Arial" w:hAnsi="Arial" w:cs="Arial"/>
          <w:sz w:val="24"/>
          <w:szCs w:val="24"/>
        </w:rPr>
        <w:t xml:space="preserve">interested party may do so. The Regulations issued in terms of the SIU Act defines an interested person as any person who has a direct and substantial interest in a judgment or order of the Tribunal and who may be prejudiced if the judgment or order is carried into effect. The MEC has a direct and substantial interest because the relief the SIU seeks will affect </w:t>
      </w:r>
      <w:r w:rsidR="008F62B3" w:rsidRPr="00F533A8">
        <w:rPr>
          <w:rFonts w:ascii="Arial" w:hAnsi="Arial" w:cs="Arial"/>
          <w:sz w:val="24"/>
          <w:szCs w:val="24"/>
        </w:rPr>
        <w:t>DOT</w:t>
      </w:r>
      <w:r w:rsidRPr="00F533A8">
        <w:rPr>
          <w:rFonts w:ascii="Arial" w:hAnsi="Arial" w:cs="Arial"/>
          <w:sz w:val="24"/>
          <w:szCs w:val="24"/>
        </w:rPr>
        <w:t>’s interest</w:t>
      </w:r>
      <w:r w:rsidR="008F62B3" w:rsidRPr="00F533A8">
        <w:rPr>
          <w:rFonts w:ascii="Arial" w:hAnsi="Arial" w:cs="Arial"/>
          <w:sz w:val="24"/>
          <w:szCs w:val="24"/>
        </w:rPr>
        <w:t>s</w:t>
      </w:r>
      <w:r w:rsidR="00A93832" w:rsidRPr="00F533A8">
        <w:rPr>
          <w:rFonts w:ascii="Arial" w:hAnsi="Arial" w:cs="Arial"/>
          <w:sz w:val="24"/>
          <w:szCs w:val="24"/>
        </w:rPr>
        <w:t xml:space="preserve"> because an order reviewing and setting aside a contract to whi</w:t>
      </w:r>
      <w:r w:rsidR="008F62B3" w:rsidRPr="00F533A8">
        <w:rPr>
          <w:rFonts w:ascii="Arial" w:hAnsi="Arial" w:cs="Arial"/>
          <w:sz w:val="24"/>
          <w:szCs w:val="24"/>
        </w:rPr>
        <w:t>ch DOT</w:t>
      </w:r>
      <w:r w:rsidR="00A93832" w:rsidRPr="00F533A8">
        <w:rPr>
          <w:rFonts w:ascii="Arial" w:hAnsi="Arial" w:cs="Arial"/>
          <w:sz w:val="24"/>
          <w:szCs w:val="24"/>
        </w:rPr>
        <w:t xml:space="preserve"> is a party is sought. </w:t>
      </w:r>
    </w:p>
    <w:p w14:paraId="61073080" w14:textId="77777777" w:rsidR="00590510" w:rsidRPr="00F533A8" w:rsidRDefault="00590510" w:rsidP="00E212A8">
      <w:pPr>
        <w:tabs>
          <w:tab w:val="left" w:pos="851"/>
        </w:tabs>
        <w:spacing w:line="360" w:lineRule="auto"/>
        <w:jc w:val="both"/>
        <w:rPr>
          <w:rFonts w:ascii="Arial" w:hAnsi="Arial" w:cs="Arial"/>
          <w:sz w:val="24"/>
          <w:szCs w:val="24"/>
        </w:rPr>
      </w:pPr>
    </w:p>
    <w:p w14:paraId="1D6F6376" w14:textId="65BDC91B" w:rsidR="00A93832" w:rsidRPr="00F533A8" w:rsidRDefault="008F62B3"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1403F2">
        <w:rPr>
          <w:rFonts w:ascii="Arial" w:hAnsi="Arial" w:cs="Arial"/>
          <w:sz w:val="24"/>
          <w:szCs w:val="24"/>
        </w:rPr>
        <w:t>118</w:t>
      </w:r>
      <w:r w:rsidRPr="00F533A8">
        <w:rPr>
          <w:rFonts w:ascii="Arial" w:hAnsi="Arial" w:cs="Arial"/>
          <w:sz w:val="24"/>
          <w:szCs w:val="24"/>
        </w:rPr>
        <w:t>]</w:t>
      </w:r>
      <w:r w:rsidR="00396285">
        <w:rPr>
          <w:rFonts w:ascii="Arial" w:hAnsi="Arial" w:cs="Arial"/>
          <w:sz w:val="24"/>
          <w:szCs w:val="24"/>
        </w:rPr>
        <w:tab/>
      </w:r>
      <w:r w:rsidR="00A93832" w:rsidRPr="00F533A8">
        <w:rPr>
          <w:rFonts w:ascii="Arial" w:hAnsi="Arial" w:cs="Arial"/>
          <w:sz w:val="24"/>
          <w:szCs w:val="24"/>
        </w:rPr>
        <w:t xml:space="preserve">Furthermore, the </w:t>
      </w:r>
      <w:r w:rsidRPr="00F533A8">
        <w:rPr>
          <w:rFonts w:ascii="Arial" w:hAnsi="Arial" w:cs="Arial"/>
          <w:sz w:val="24"/>
          <w:szCs w:val="24"/>
        </w:rPr>
        <w:t>counterapplication</w:t>
      </w:r>
      <w:r w:rsidR="00A93832" w:rsidRPr="00F533A8">
        <w:rPr>
          <w:rFonts w:ascii="Arial" w:hAnsi="Arial" w:cs="Arial"/>
          <w:sz w:val="24"/>
          <w:szCs w:val="24"/>
        </w:rPr>
        <w:t xml:space="preserve"> is a reactive challenge to the review application.</w:t>
      </w:r>
      <w:r w:rsidRPr="00F533A8">
        <w:rPr>
          <w:rFonts w:ascii="Arial" w:hAnsi="Arial" w:cs="Arial"/>
          <w:sz w:val="24"/>
          <w:szCs w:val="24"/>
        </w:rPr>
        <w:t xml:space="preserve"> A purposive</w:t>
      </w:r>
      <w:r w:rsidR="00A93832" w:rsidRPr="00F533A8">
        <w:rPr>
          <w:rFonts w:ascii="Arial" w:hAnsi="Arial" w:cs="Arial"/>
          <w:sz w:val="24"/>
          <w:szCs w:val="24"/>
        </w:rPr>
        <w:t xml:space="preserve"> interpret</w:t>
      </w:r>
      <w:r w:rsidRPr="00F533A8">
        <w:rPr>
          <w:rFonts w:ascii="Arial" w:hAnsi="Arial" w:cs="Arial"/>
          <w:sz w:val="24"/>
          <w:szCs w:val="24"/>
        </w:rPr>
        <w:t xml:space="preserve">ation to </w:t>
      </w:r>
      <w:r w:rsidR="00A93832" w:rsidRPr="00F533A8">
        <w:rPr>
          <w:rFonts w:ascii="Arial" w:hAnsi="Arial" w:cs="Arial"/>
          <w:sz w:val="24"/>
          <w:szCs w:val="24"/>
        </w:rPr>
        <w:t>s</w:t>
      </w:r>
      <w:r w:rsidRPr="00F533A8">
        <w:rPr>
          <w:rFonts w:ascii="Arial" w:hAnsi="Arial" w:cs="Arial"/>
          <w:sz w:val="24"/>
          <w:szCs w:val="24"/>
        </w:rPr>
        <w:t xml:space="preserve">ection </w:t>
      </w:r>
      <w:r w:rsidR="00A93832" w:rsidRPr="00F533A8">
        <w:rPr>
          <w:rFonts w:ascii="Arial" w:hAnsi="Arial" w:cs="Arial"/>
          <w:sz w:val="24"/>
          <w:szCs w:val="24"/>
        </w:rPr>
        <w:t>8</w:t>
      </w:r>
      <w:r w:rsidRPr="00F533A8">
        <w:rPr>
          <w:rFonts w:ascii="Arial" w:hAnsi="Arial" w:cs="Arial"/>
          <w:sz w:val="24"/>
          <w:szCs w:val="24"/>
        </w:rPr>
        <w:t xml:space="preserve"> of the SIU Act</w:t>
      </w:r>
      <w:r w:rsidR="00A93832" w:rsidRPr="00F533A8">
        <w:rPr>
          <w:rFonts w:ascii="Arial" w:hAnsi="Arial" w:cs="Arial"/>
          <w:sz w:val="24"/>
          <w:szCs w:val="24"/>
        </w:rPr>
        <w:t xml:space="preserve"> and the definition of interested person in the Regulations issued in terms of the SIU Act to give effect to the right of every person in terms of s</w:t>
      </w:r>
      <w:r w:rsidRPr="00F533A8">
        <w:rPr>
          <w:rFonts w:ascii="Arial" w:hAnsi="Arial" w:cs="Arial"/>
          <w:sz w:val="24"/>
          <w:szCs w:val="24"/>
        </w:rPr>
        <w:t xml:space="preserve">ection </w:t>
      </w:r>
      <w:r w:rsidR="00A93832" w:rsidRPr="00F533A8">
        <w:rPr>
          <w:rFonts w:ascii="Arial" w:hAnsi="Arial" w:cs="Arial"/>
          <w:sz w:val="24"/>
          <w:szCs w:val="24"/>
        </w:rPr>
        <w:t xml:space="preserve">34 of the Constitution to have any dispute that can be resolved by application of the law determined by a court or independent Tribunal supports such a construction. </w:t>
      </w:r>
    </w:p>
    <w:p w14:paraId="2E270C0A" w14:textId="77777777" w:rsidR="00A93832" w:rsidRPr="00F533A8" w:rsidRDefault="00A93832" w:rsidP="00E212A8">
      <w:pPr>
        <w:tabs>
          <w:tab w:val="left" w:pos="851"/>
        </w:tabs>
        <w:spacing w:line="360" w:lineRule="auto"/>
        <w:jc w:val="both"/>
        <w:rPr>
          <w:rFonts w:ascii="Arial" w:hAnsi="Arial" w:cs="Arial"/>
          <w:sz w:val="24"/>
          <w:szCs w:val="24"/>
        </w:rPr>
      </w:pPr>
    </w:p>
    <w:p w14:paraId="27EF89F5" w14:textId="68DCB1E8" w:rsidR="003F4484" w:rsidRPr="00F533A8" w:rsidRDefault="00A93832"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1403F2">
        <w:rPr>
          <w:rFonts w:ascii="Arial" w:hAnsi="Arial" w:cs="Arial"/>
          <w:sz w:val="24"/>
          <w:szCs w:val="24"/>
        </w:rPr>
        <w:t>119</w:t>
      </w:r>
      <w:r w:rsidRPr="00F533A8">
        <w:rPr>
          <w:rFonts w:ascii="Arial" w:hAnsi="Arial" w:cs="Arial"/>
          <w:sz w:val="24"/>
          <w:szCs w:val="24"/>
        </w:rPr>
        <w:t>]</w:t>
      </w:r>
      <w:r w:rsidR="00396285">
        <w:rPr>
          <w:rFonts w:ascii="Arial" w:hAnsi="Arial" w:cs="Arial"/>
          <w:sz w:val="24"/>
          <w:szCs w:val="24"/>
        </w:rPr>
        <w:tab/>
      </w:r>
      <w:r w:rsidRPr="00F533A8">
        <w:rPr>
          <w:rFonts w:ascii="Arial" w:hAnsi="Arial" w:cs="Arial"/>
          <w:sz w:val="24"/>
          <w:szCs w:val="24"/>
        </w:rPr>
        <w:t xml:space="preserve">Therefore, the jurisdiction point in </w:t>
      </w:r>
      <w:r w:rsidRPr="00F533A8">
        <w:rPr>
          <w:rFonts w:ascii="Arial" w:hAnsi="Arial" w:cs="Arial"/>
          <w:i/>
          <w:iCs/>
          <w:sz w:val="24"/>
          <w:szCs w:val="24"/>
        </w:rPr>
        <w:t>limine</w:t>
      </w:r>
      <w:r w:rsidRPr="00F533A8">
        <w:rPr>
          <w:rFonts w:ascii="Arial" w:hAnsi="Arial" w:cs="Arial"/>
          <w:sz w:val="24"/>
          <w:szCs w:val="24"/>
        </w:rPr>
        <w:t xml:space="preserve"> falls to be dismissed.  </w:t>
      </w:r>
    </w:p>
    <w:p w14:paraId="1370F7CA" w14:textId="77777777" w:rsidR="001403F2" w:rsidRDefault="001403F2" w:rsidP="00E212A8">
      <w:pPr>
        <w:tabs>
          <w:tab w:val="left" w:pos="851"/>
        </w:tabs>
        <w:spacing w:line="360" w:lineRule="auto"/>
        <w:jc w:val="both"/>
        <w:rPr>
          <w:rFonts w:ascii="Arial" w:hAnsi="Arial" w:cs="Arial"/>
          <w:i/>
          <w:iCs/>
          <w:sz w:val="24"/>
          <w:szCs w:val="24"/>
        </w:rPr>
      </w:pPr>
    </w:p>
    <w:p w14:paraId="3A48599E" w14:textId="309D090D" w:rsidR="0012477D" w:rsidRPr="00F533A8" w:rsidRDefault="0012477D" w:rsidP="00E212A8">
      <w:pPr>
        <w:tabs>
          <w:tab w:val="left" w:pos="851"/>
        </w:tabs>
        <w:spacing w:line="360" w:lineRule="auto"/>
        <w:jc w:val="both"/>
        <w:rPr>
          <w:rFonts w:ascii="Arial" w:hAnsi="Arial" w:cs="Arial"/>
          <w:i/>
          <w:iCs/>
          <w:sz w:val="24"/>
          <w:szCs w:val="24"/>
        </w:rPr>
      </w:pPr>
      <w:r w:rsidRPr="00F533A8">
        <w:rPr>
          <w:rFonts w:ascii="Arial" w:hAnsi="Arial" w:cs="Arial"/>
          <w:i/>
          <w:iCs/>
          <w:sz w:val="24"/>
          <w:szCs w:val="24"/>
        </w:rPr>
        <w:t>Non-joinder</w:t>
      </w:r>
    </w:p>
    <w:p w14:paraId="6B758C55" w14:textId="61528416" w:rsidR="00A93832" w:rsidRPr="00F533A8" w:rsidRDefault="00A93832"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1403F2">
        <w:rPr>
          <w:rFonts w:ascii="Arial" w:hAnsi="Arial" w:cs="Arial"/>
          <w:sz w:val="24"/>
          <w:szCs w:val="24"/>
        </w:rPr>
        <w:t>120</w:t>
      </w:r>
      <w:r w:rsidRPr="00F533A8">
        <w:rPr>
          <w:rFonts w:ascii="Arial" w:hAnsi="Arial" w:cs="Arial"/>
          <w:sz w:val="24"/>
          <w:szCs w:val="24"/>
        </w:rPr>
        <w:t>]</w:t>
      </w:r>
      <w:r w:rsidR="00396285">
        <w:rPr>
          <w:rFonts w:ascii="Arial" w:hAnsi="Arial" w:cs="Arial"/>
          <w:sz w:val="24"/>
          <w:szCs w:val="24"/>
        </w:rPr>
        <w:tab/>
      </w:r>
      <w:r w:rsidRPr="00F533A8">
        <w:rPr>
          <w:rFonts w:ascii="Arial" w:hAnsi="Arial" w:cs="Arial"/>
          <w:sz w:val="24"/>
          <w:szCs w:val="24"/>
        </w:rPr>
        <w:t xml:space="preserve">The SIU contends that the MEC ought to have joined the President to the counterapplication because he issued the Proclamation that authorised the investigation into the process that led to the awarding of the tender. There is no merit to this contention. The MEC does not impugn the President’s powers to issue the Proclamation or the terms of the Proclamation. He impugns the </w:t>
      </w:r>
      <w:r w:rsidR="008C1523" w:rsidRPr="00F533A8">
        <w:rPr>
          <w:rFonts w:ascii="Arial" w:hAnsi="Arial" w:cs="Arial"/>
          <w:sz w:val="24"/>
          <w:szCs w:val="24"/>
        </w:rPr>
        <w:t>way</w:t>
      </w:r>
      <w:r w:rsidRPr="00F533A8">
        <w:rPr>
          <w:rFonts w:ascii="Arial" w:hAnsi="Arial" w:cs="Arial"/>
          <w:sz w:val="24"/>
          <w:szCs w:val="24"/>
        </w:rPr>
        <w:t xml:space="preserve"> the SIU carried out its mandate t</w:t>
      </w:r>
      <w:r w:rsidR="00415EB5" w:rsidRPr="00F533A8">
        <w:rPr>
          <w:rFonts w:ascii="Arial" w:hAnsi="Arial" w:cs="Arial"/>
          <w:sz w:val="24"/>
          <w:szCs w:val="24"/>
        </w:rPr>
        <w:t>o</w:t>
      </w:r>
      <w:r w:rsidRPr="00F533A8">
        <w:rPr>
          <w:rFonts w:ascii="Arial" w:hAnsi="Arial" w:cs="Arial"/>
          <w:sz w:val="24"/>
          <w:szCs w:val="24"/>
        </w:rPr>
        <w:t xml:space="preserve"> investigate the process that led to the awarding of the tender. The SIU has not established that the President has a direct and substantial interest in the relief sought in the counterapplication.</w:t>
      </w:r>
    </w:p>
    <w:p w14:paraId="2824E132" w14:textId="77777777" w:rsidR="008F62B3" w:rsidRPr="00F533A8" w:rsidRDefault="008F62B3" w:rsidP="00E212A8">
      <w:pPr>
        <w:tabs>
          <w:tab w:val="left" w:pos="851"/>
        </w:tabs>
        <w:spacing w:line="360" w:lineRule="auto"/>
        <w:jc w:val="both"/>
        <w:rPr>
          <w:rFonts w:ascii="Arial" w:hAnsi="Arial" w:cs="Arial"/>
          <w:sz w:val="24"/>
          <w:szCs w:val="24"/>
        </w:rPr>
      </w:pPr>
    </w:p>
    <w:p w14:paraId="25117776" w14:textId="27B74730" w:rsidR="0012477D" w:rsidRPr="00F533A8" w:rsidRDefault="00A93832"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1403F2">
        <w:rPr>
          <w:rFonts w:ascii="Arial" w:hAnsi="Arial" w:cs="Arial"/>
          <w:sz w:val="24"/>
          <w:szCs w:val="24"/>
        </w:rPr>
        <w:t>121</w:t>
      </w:r>
      <w:r w:rsidRPr="00F533A8">
        <w:rPr>
          <w:rFonts w:ascii="Arial" w:hAnsi="Arial" w:cs="Arial"/>
          <w:sz w:val="24"/>
          <w:szCs w:val="24"/>
        </w:rPr>
        <w:t>]</w:t>
      </w:r>
      <w:r w:rsidR="00396285">
        <w:rPr>
          <w:rFonts w:ascii="Arial" w:hAnsi="Arial" w:cs="Arial"/>
          <w:sz w:val="24"/>
          <w:szCs w:val="24"/>
        </w:rPr>
        <w:tab/>
      </w:r>
      <w:r w:rsidRPr="00F533A8">
        <w:rPr>
          <w:rFonts w:ascii="Arial" w:hAnsi="Arial" w:cs="Arial"/>
          <w:sz w:val="24"/>
          <w:szCs w:val="24"/>
        </w:rPr>
        <w:t xml:space="preserve">Therefore, the non-joinder point in limine stands to fail.  </w:t>
      </w:r>
    </w:p>
    <w:p w14:paraId="3763AE2B" w14:textId="77777777" w:rsidR="00A93832" w:rsidRPr="00F533A8" w:rsidRDefault="00A93832" w:rsidP="00E212A8">
      <w:pPr>
        <w:tabs>
          <w:tab w:val="left" w:pos="851"/>
        </w:tabs>
        <w:spacing w:line="360" w:lineRule="auto"/>
        <w:jc w:val="both"/>
        <w:rPr>
          <w:rFonts w:ascii="Arial" w:hAnsi="Arial" w:cs="Arial"/>
          <w:i/>
          <w:iCs/>
          <w:sz w:val="24"/>
          <w:szCs w:val="24"/>
        </w:rPr>
      </w:pPr>
    </w:p>
    <w:p w14:paraId="40FEC21B" w14:textId="11925F6E" w:rsidR="0012477D" w:rsidRPr="00F533A8" w:rsidRDefault="0012477D" w:rsidP="00E212A8">
      <w:pPr>
        <w:tabs>
          <w:tab w:val="left" w:pos="851"/>
        </w:tabs>
        <w:spacing w:line="360" w:lineRule="auto"/>
        <w:jc w:val="both"/>
        <w:rPr>
          <w:rFonts w:ascii="Arial" w:hAnsi="Arial" w:cs="Arial"/>
          <w:i/>
          <w:iCs/>
          <w:sz w:val="24"/>
          <w:szCs w:val="24"/>
        </w:rPr>
      </w:pPr>
      <w:r w:rsidRPr="00F533A8">
        <w:rPr>
          <w:rFonts w:ascii="Arial" w:hAnsi="Arial" w:cs="Arial"/>
          <w:i/>
          <w:iCs/>
          <w:sz w:val="24"/>
          <w:szCs w:val="24"/>
        </w:rPr>
        <w:t>Locus standi</w:t>
      </w:r>
    </w:p>
    <w:p w14:paraId="38EC9539" w14:textId="1AA3D45A" w:rsidR="0075090F" w:rsidRPr="00F533A8" w:rsidRDefault="00A93832"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1403F2">
        <w:rPr>
          <w:rFonts w:ascii="Arial" w:hAnsi="Arial" w:cs="Arial"/>
          <w:sz w:val="24"/>
          <w:szCs w:val="24"/>
        </w:rPr>
        <w:t>122</w:t>
      </w:r>
      <w:r w:rsidRPr="00F533A8">
        <w:rPr>
          <w:rFonts w:ascii="Arial" w:hAnsi="Arial" w:cs="Arial"/>
          <w:sz w:val="24"/>
          <w:szCs w:val="24"/>
        </w:rPr>
        <w:t>]</w:t>
      </w:r>
      <w:r w:rsidR="00EE03C8">
        <w:rPr>
          <w:rFonts w:ascii="Arial" w:hAnsi="Arial" w:cs="Arial"/>
          <w:sz w:val="24"/>
          <w:szCs w:val="24"/>
        </w:rPr>
        <w:tab/>
      </w:r>
      <w:r w:rsidRPr="00F533A8">
        <w:rPr>
          <w:rFonts w:ascii="Arial" w:hAnsi="Arial" w:cs="Arial"/>
          <w:sz w:val="24"/>
          <w:szCs w:val="24"/>
        </w:rPr>
        <w:t xml:space="preserve">The SIU contends that </w:t>
      </w:r>
      <w:r w:rsidR="008F62B3" w:rsidRPr="00F533A8">
        <w:rPr>
          <w:rFonts w:ascii="Arial" w:hAnsi="Arial" w:cs="Arial"/>
          <w:sz w:val="24"/>
          <w:szCs w:val="24"/>
        </w:rPr>
        <w:t xml:space="preserve">DOT’s </w:t>
      </w:r>
      <w:r w:rsidRPr="00F533A8">
        <w:rPr>
          <w:rFonts w:ascii="Arial" w:hAnsi="Arial" w:cs="Arial"/>
          <w:sz w:val="24"/>
          <w:szCs w:val="24"/>
        </w:rPr>
        <w:t xml:space="preserve">head of department lacks </w:t>
      </w:r>
      <w:r w:rsidRPr="00EE03C8">
        <w:rPr>
          <w:rFonts w:ascii="Arial" w:hAnsi="Arial" w:cs="Arial"/>
          <w:i/>
          <w:iCs/>
          <w:sz w:val="24"/>
          <w:szCs w:val="24"/>
        </w:rPr>
        <w:t>locus standi</w:t>
      </w:r>
      <w:r w:rsidRPr="00F533A8">
        <w:rPr>
          <w:rFonts w:ascii="Arial" w:hAnsi="Arial" w:cs="Arial"/>
          <w:sz w:val="24"/>
          <w:szCs w:val="24"/>
        </w:rPr>
        <w:t xml:space="preserve"> to institute the counterapplication. This contention is a non-starter. The head of department is not a party to the counterapplication. Therefore, the question of </w:t>
      </w:r>
      <w:r w:rsidRPr="00EE03C8">
        <w:rPr>
          <w:rFonts w:ascii="Arial" w:hAnsi="Arial" w:cs="Arial"/>
          <w:i/>
          <w:iCs/>
          <w:sz w:val="24"/>
          <w:szCs w:val="24"/>
        </w:rPr>
        <w:t>locus standi</w:t>
      </w:r>
      <w:r w:rsidRPr="00F533A8">
        <w:rPr>
          <w:rFonts w:ascii="Arial" w:hAnsi="Arial" w:cs="Arial"/>
          <w:sz w:val="24"/>
          <w:szCs w:val="24"/>
        </w:rPr>
        <w:t xml:space="preserve"> does not arise </w:t>
      </w:r>
      <w:r w:rsidR="00EE03C8">
        <w:rPr>
          <w:rFonts w:ascii="Arial" w:hAnsi="Arial" w:cs="Arial"/>
          <w:sz w:val="24"/>
          <w:szCs w:val="24"/>
        </w:rPr>
        <w:t>in relation to</w:t>
      </w:r>
      <w:r w:rsidRPr="00F533A8">
        <w:rPr>
          <w:rFonts w:ascii="Arial" w:hAnsi="Arial" w:cs="Arial"/>
          <w:sz w:val="24"/>
          <w:szCs w:val="24"/>
        </w:rPr>
        <w:t xml:space="preserve"> him. The MEC is a party to the counterapplication. The head of department is only a deponent to the affidavits filed on behalf of the MEC. </w:t>
      </w:r>
    </w:p>
    <w:p w14:paraId="4755D104" w14:textId="77777777" w:rsidR="008F62B3" w:rsidRPr="00F533A8" w:rsidRDefault="008F62B3" w:rsidP="00E212A8">
      <w:pPr>
        <w:tabs>
          <w:tab w:val="left" w:pos="851"/>
        </w:tabs>
        <w:spacing w:line="360" w:lineRule="auto"/>
        <w:jc w:val="both"/>
        <w:rPr>
          <w:rFonts w:ascii="Arial" w:hAnsi="Arial" w:cs="Arial"/>
          <w:sz w:val="24"/>
          <w:szCs w:val="24"/>
        </w:rPr>
      </w:pPr>
    </w:p>
    <w:p w14:paraId="2C710DC6" w14:textId="33BA7F39" w:rsidR="00A93832" w:rsidRPr="00F533A8" w:rsidRDefault="00A93832"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1403F2">
        <w:rPr>
          <w:rFonts w:ascii="Arial" w:hAnsi="Arial" w:cs="Arial"/>
          <w:sz w:val="24"/>
          <w:szCs w:val="24"/>
        </w:rPr>
        <w:t>123</w:t>
      </w:r>
      <w:r w:rsidRPr="00F533A8">
        <w:rPr>
          <w:rFonts w:ascii="Arial" w:hAnsi="Arial" w:cs="Arial"/>
          <w:sz w:val="24"/>
          <w:szCs w:val="24"/>
        </w:rPr>
        <w:t>]</w:t>
      </w:r>
      <w:r w:rsidR="00EE03C8">
        <w:rPr>
          <w:rFonts w:ascii="Arial" w:hAnsi="Arial" w:cs="Arial"/>
          <w:sz w:val="24"/>
          <w:szCs w:val="24"/>
        </w:rPr>
        <w:tab/>
        <w:t>For the above reason, the</w:t>
      </w:r>
      <w:r w:rsidRPr="00F533A8">
        <w:rPr>
          <w:rFonts w:ascii="Arial" w:hAnsi="Arial" w:cs="Arial"/>
          <w:sz w:val="24"/>
          <w:szCs w:val="24"/>
        </w:rPr>
        <w:t xml:space="preserve"> </w:t>
      </w:r>
      <w:r w:rsidRPr="00F533A8">
        <w:rPr>
          <w:rFonts w:ascii="Arial" w:hAnsi="Arial" w:cs="Arial"/>
          <w:i/>
          <w:iCs/>
          <w:sz w:val="24"/>
          <w:szCs w:val="24"/>
        </w:rPr>
        <w:t>locus standi</w:t>
      </w:r>
      <w:r w:rsidRPr="00F533A8">
        <w:rPr>
          <w:rFonts w:ascii="Arial" w:hAnsi="Arial" w:cs="Arial"/>
          <w:sz w:val="24"/>
          <w:szCs w:val="24"/>
        </w:rPr>
        <w:t xml:space="preserve"> point in </w:t>
      </w:r>
      <w:r w:rsidRPr="00F533A8">
        <w:rPr>
          <w:rFonts w:ascii="Arial" w:hAnsi="Arial" w:cs="Arial"/>
          <w:i/>
          <w:iCs/>
          <w:sz w:val="24"/>
          <w:szCs w:val="24"/>
        </w:rPr>
        <w:t>limine</w:t>
      </w:r>
      <w:r w:rsidRPr="00F533A8">
        <w:rPr>
          <w:rFonts w:ascii="Arial" w:hAnsi="Arial" w:cs="Arial"/>
          <w:sz w:val="24"/>
          <w:szCs w:val="24"/>
        </w:rPr>
        <w:t xml:space="preserve"> also falls to be dismissed. </w:t>
      </w:r>
    </w:p>
    <w:p w14:paraId="4758E086" w14:textId="77777777" w:rsidR="008F62B3" w:rsidRDefault="008F62B3" w:rsidP="00E212A8">
      <w:pPr>
        <w:tabs>
          <w:tab w:val="left" w:pos="851"/>
        </w:tabs>
        <w:spacing w:line="360" w:lineRule="auto"/>
        <w:jc w:val="both"/>
        <w:rPr>
          <w:rFonts w:ascii="Arial" w:hAnsi="Arial" w:cs="Arial"/>
          <w:i/>
          <w:iCs/>
          <w:sz w:val="24"/>
          <w:szCs w:val="24"/>
        </w:rPr>
      </w:pPr>
    </w:p>
    <w:p w14:paraId="42F05278" w14:textId="24C8D324" w:rsidR="00C528FF" w:rsidRPr="00F533A8" w:rsidRDefault="00C528FF" w:rsidP="00E212A8">
      <w:pPr>
        <w:tabs>
          <w:tab w:val="left" w:pos="851"/>
        </w:tabs>
        <w:spacing w:line="360" w:lineRule="auto"/>
        <w:jc w:val="both"/>
        <w:rPr>
          <w:rFonts w:ascii="Arial" w:hAnsi="Arial" w:cs="Arial"/>
          <w:i/>
          <w:iCs/>
          <w:sz w:val="24"/>
          <w:szCs w:val="24"/>
        </w:rPr>
      </w:pPr>
      <w:r w:rsidRPr="00F533A8">
        <w:rPr>
          <w:rFonts w:ascii="Arial" w:hAnsi="Arial" w:cs="Arial"/>
          <w:i/>
          <w:iCs/>
          <w:sz w:val="24"/>
          <w:szCs w:val="24"/>
        </w:rPr>
        <w:t>Other points in limine</w:t>
      </w:r>
    </w:p>
    <w:p w14:paraId="7BC30FC8" w14:textId="5C2A2792" w:rsidR="00C528FF" w:rsidRPr="00F533A8" w:rsidRDefault="00C528FF" w:rsidP="00E212A8">
      <w:pPr>
        <w:tabs>
          <w:tab w:val="left" w:pos="851"/>
        </w:tabs>
        <w:spacing w:line="360" w:lineRule="auto"/>
        <w:jc w:val="both"/>
        <w:rPr>
          <w:rFonts w:ascii="Arial" w:hAnsi="Arial" w:cs="Arial"/>
          <w:i/>
          <w:iCs/>
          <w:sz w:val="24"/>
          <w:szCs w:val="24"/>
        </w:rPr>
      </w:pPr>
      <w:r w:rsidRPr="00F533A8">
        <w:rPr>
          <w:rFonts w:ascii="Arial" w:hAnsi="Arial" w:cs="Arial"/>
          <w:sz w:val="24"/>
          <w:szCs w:val="24"/>
        </w:rPr>
        <w:t>[</w:t>
      </w:r>
      <w:r w:rsidR="00530772" w:rsidRPr="00F533A8">
        <w:rPr>
          <w:rFonts w:ascii="Arial" w:hAnsi="Arial" w:cs="Arial"/>
          <w:sz w:val="24"/>
          <w:szCs w:val="24"/>
        </w:rPr>
        <w:t>1</w:t>
      </w:r>
      <w:r w:rsidR="001403F2">
        <w:rPr>
          <w:rFonts w:ascii="Arial" w:hAnsi="Arial" w:cs="Arial"/>
          <w:sz w:val="24"/>
          <w:szCs w:val="24"/>
        </w:rPr>
        <w:t>24</w:t>
      </w:r>
      <w:r w:rsidRPr="00F533A8">
        <w:rPr>
          <w:rFonts w:ascii="Arial" w:hAnsi="Arial" w:cs="Arial"/>
          <w:sz w:val="24"/>
          <w:szCs w:val="24"/>
        </w:rPr>
        <w:t>]</w:t>
      </w:r>
      <w:r w:rsidRPr="00F533A8">
        <w:rPr>
          <w:rFonts w:ascii="Arial" w:hAnsi="Arial" w:cs="Arial"/>
          <w:sz w:val="24"/>
          <w:szCs w:val="24"/>
        </w:rPr>
        <w:tab/>
        <w:t xml:space="preserve">The SIU has also raised the following points in </w:t>
      </w:r>
      <w:r w:rsidRPr="00F533A8">
        <w:rPr>
          <w:rFonts w:ascii="Arial" w:hAnsi="Arial" w:cs="Arial"/>
          <w:i/>
          <w:iCs/>
          <w:sz w:val="24"/>
          <w:szCs w:val="24"/>
        </w:rPr>
        <w:t>limine:</w:t>
      </w:r>
    </w:p>
    <w:p w14:paraId="0E94CEF2" w14:textId="606939F0" w:rsidR="001403F2" w:rsidRPr="009F468E" w:rsidRDefault="009F468E" w:rsidP="009F468E">
      <w:pPr>
        <w:tabs>
          <w:tab w:val="left" w:pos="851"/>
        </w:tabs>
        <w:spacing w:line="360" w:lineRule="auto"/>
        <w:ind w:left="590" w:hanging="590"/>
        <w:jc w:val="both"/>
        <w:rPr>
          <w:rFonts w:ascii="Arial" w:hAnsi="Arial"/>
          <w:sz w:val="24"/>
          <w:szCs w:val="24"/>
        </w:rPr>
      </w:pPr>
      <w:r>
        <w:rPr>
          <w:rFonts w:ascii="Arial" w:eastAsia="Arial" w:hAnsi="Arial" w:cs="Arial"/>
          <w:kern w:val="0"/>
          <w:sz w:val="24"/>
          <w:szCs w:val="24"/>
          <w:lang w:val="en-US"/>
          <w14:ligatures w14:val="none"/>
        </w:rPr>
        <w:t>124.1</w:t>
      </w:r>
      <w:r>
        <w:rPr>
          <w:rFonts w:ascii="Arial" w:eastAsia="Arial" w:hAnsi="Arial" w:cs="Arial"/>
          <w:kern w:val="0"/>
          <w:sz w:val="24"/>
          <w:szCs w:val="24"/>
          <w:lang w:val="en-US"/>
          <w14:ligatures w14:val="none"/>
        </w:rPr>
        <w:tab/>
      </w:r>
      <w:r w:rsidR="00C528FF" w:rsidRPr="009F468E">
        <w:rPr>
          <w:rFonts w:ascii="Arial" w:hAnsi="Arial"/>
          <w:sz w:val="24"/>
          <w:szCs w:val="24"/>
        </w:rPr>
        <w:t>The MEC may not change his stance without first reviewing the decision to abide.</w:t>
      </w:r>
    </w:p>
    <w:p w14:paraId="3E38A47B" w14:textId="12FDEDEE" w:rsidR="001403F2" w:rsidRPr="009F468E" w:rsidRDefault="009F468E" w:rsidP="009F468E">
      <w:pPr>
        <w:tabs>
          <w:tab w:val="left" w:pos="851"/>
        </w:tabs>
        <w:spacing w:line="360" w:lineRule="auto"/>
        <w:ind w:left="590" w:hanging="590"/>
        <w:jc w:val="both"/>
        <w:rPr>
          <w:rFonts w:ascii="Arial" w:hAnsi="Arial"/>
          <w:sz w:val="24"/>
          <w:szCs w:val="24"/>
        </w:rPr>
      </w:pPr>
      <w:r>
        <w:rPr>
          <w:rFonts w:ascii="Arial" w:eastAsia="Arial" w:hAnsi="Arial" w:cs="Arial"/>
          <w:kern w:val="0"/>
          <w:sz w:val="24"/>
          <w:szCs w:val="24"/>
          <w:lang w:val="en-US"/>
          <w14:ligatures w14:val="none"/>
        </w:rPr>
        <w:t>124.2</w:t>
      </w:r>
      <w:r>
        <w:rPr>
          <w:rFonts w:ascii="Arial" w:eastAsia="Arial" w:hAnsi="Arial" w:cs="Arial"/>
          <w:kern w:val="0"/>
          <w:sz w:val="24"/>
          <w:szCs w:val="24"/>
          <w:lang w:val="en-US"/>
          <w14:ligatures w14:val="none"/>
        </w:rPr>
        <w:tab/>
      </w:r>
      <w:r w:rsidR="00C528FF" w:rsidRPr="009F468E">
        <w:rPr>
          <w:rFonts w:ascii="Arial" w:hAnsi="Arial"/>
          <w:sz w:val="24"/>
          <w:szCs w:val="24"/>
        </w:rPr>
        <w:t>The MEC has accepted the SIU recommendations. Therefore, the current MEC and the head of department are functus officio.</w:t>
      </w:r>
    </w:p>
    <w:p w14:paraId="1F1DAC86" w14:textId="42EE4E74" w:rsidR="00C528FF" w:rsidRPr="009F468E" w:rsidRDefault="009F468E" w:rsidP="009F468E">
      <w:pPr>
        <w:tabs>
          <w:tab w:val="left" w:pos="851"/>
        </w:tabs>
        <w:spacing w:line="360" w:lineRule="auto"/>
        <w:ind w:left="590" w:hanging="590"/>
        <w:jc w:val="both"/>
        <w:rPr>
          <w:rFonts w:ascii="Arial" w:hAnsi="Arial"/>
          <w:sz w:val="24"/>
          <w:szCs w:val="24"/>
        </w:rPr>
      </w:pPr>
      <w:r w:rsidRPr="001403F2">
        <w:rPr>
          <w:rFonts w:ascii="Arial" w:eastAsia="Arial" w:hAnsi="Arial" w:cs="Arial"/>
          <w:kern w:val="0"/>
          <w:sz w:val="24"/>
          <w:szCs w:val="24"/>
          <w:lang w:val="en-US"/>
          <w14:ligatures w14:val="none"/>
        </w:rPr>
        <w:t>124.3</w:t>
      </w:r>
      <w:r w:rsidRPr="001403F2">
        <w:rPr>
          <w:rFonts w:ascii="Arial" w:eastAsia="Arial" w:hAnsi="Arial" w:cs="Arial"/>
          <w:kern w:val="0"/>
          <w:sz w:val="24"/>
          <w:szCs w:val="24"/>
          <w:lang w:val="en-US"/>
          <w14:ligatures w14:val="none"/>
        </w:rPr>
        <w:tab/>
      </w:r>
      <w:r w:rsidR="00C528FF" w:rsidRPr="009F468E">
        <w:rPr>
          <w:rFonts w:ascii="Arial" w:hAnsi="Arial"/>
          <w:sz w:val="24"/>
          <w:szCs w:val="24"/>
        </w:rPr>
        <w:t xml:space="preserve">No explanation has been offered for the inaction between the MEC’s </w:t>
      </w:r>
      <w:r w:rsidR="001403F2" w:rsidRPr="009F468E">
        <w:rPr>
          <w:rFonts w:ascii="Arial" w:hAnsi="Arial"/>
          <w:sz w:val="24"/>
          <w:szCs w:val="24"/>
        </w:rPr>
        <w:t>a</w:t>
      </w:r>
      <w:r w:rsidR="00C528FF" w:rsidRPr="009F468E">
        <w:rPr>
          <w:rFonts w:ascii="Arial" w:hAnsi="Arial"/>
          <w:sz w:val="24"/>
          <w:szCs w:val="24"/>
        </w:rPr>
        <w:t xml:space="preserve">ppointment and the launching of the counter application. </w:t>
      </w:r>
    </w:p>
    <w:p w14:paraId="75CB2626" w14:textId="77777777" w:rsidR="00C528FF" w:rsidRPr="00F533A8" w:rsidRDefault="00C528FF" w:rsidP="00E212A8">
      <w:pPr>
        <w:tabs>
          <w:tab w:val="left" w:pos="851"/>
        </w:tabs>
        <w:spacing w:line="360" w:lineRule="auto"/>
        <w:jc w:val="both"/>
        <w:rPr>
          <w:rFonts w:ascii="Arial" w:hAnsi="Arial" w:cs="Arial"/>
          <w:sz w:val="24"/>
          <w:szCs w:val="24"/>
        </w:rPr>
      </w:pPr>
    </w:p>
    <w:p w14:paraId="0F1D5491" w14:textId="558DCDBD" w:rsidR="00C528FF" w:rsidRPr="00F533A8" w:rsidRDefault="00C528FF"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3A1837" w:rsidRPr="00F533A8">
        <w:rPr>
          <w:rFonts w:ascii="Arial" w:hAnsi="Arial" w:cs="Arial"/>
          <w:sz w:val="24"/>
          <w:szCs w:val="24"/>
        </w:rPr>
        <w:t>1</w:t>
      </w:r>
      <w:r w:rsidR="001403F2">
        <w:rPr>
          <w:rFonts w:ascii="Arial" w:hAnsi="Arial" w:cs="Arial"/>
          <w:sz w:val="24"/>
          <w:szCs w:val="24"/>
        </w:rPr>
        <w:t>25</w:t>
      </w:r>
      <w:r w:rsidRPr="00F533A8">
        <w:rPr>
          <w:rFonts w:ascii="Arial" w:hAnsi="Arial" w:cs="Arial"/>
          <w:sz w:val="24"/>
          <w:szCs w:val="24"/>
        </w:rPr>
        <w:t>]</w:t>
      </w:r>
      <w:r w:rsidRPr="00F533A8">
        <w:rPr>
          <w:rFonts w:ascii="Arial" w:hAnsi="Arial" w:cs="Arial"/>
          <w:sz w:val="24"/>
          <w:szCs w:val="24"/>
        </w:rPr>
        <w:tab/>
        <w:t>I have considered these points in the exercise of my discretion to overlook the delay</w:t>
      </w:r>
      <w:r w:rsidR="00BD667F" w:rsidRPr="00F533A8">
        <w:rPr>
          <w:rFonts w:ascii="Arial" w:hAnsi="Arial" w:cs="Arial"/>
          <w:sz w:val="24"/>
          <w:szCs w:val="24"/>
        </w:rPr>
        <w:t>.</w:t>
      </w:r>
    </w:p>
    <w:p w14:paraId="30C4C709" w14:textId="77777777" w:rsidR="00C528FF" w:rsidRPr="00F533A8" w:rsidRDefault="00C528FF" w:rsidP="00E212A8">
      <w:pPr>
        <w:tabs>
          <w:tab w:val="left" w:pos="851"/>
        </w:tabs>
        <w:spacing w:line="360" w:lineRule="auto"/>
        <w:jc w:val="both"/>
        <w:rPr>
          <w:rFonts w:ascii="Arial" w:hAnsi="Arial" w:cs="Arial"/>
          <w:sz w:val="24"/>
          <w:szCs w:val="24"/>
        </w:rPr>
      </w:pPr>
    </w:p>
    <w:p w14:paraId="6CBA238A" w14:textId="6568AFE0" w:rsidR="00310F0B" w:rsidRPr="00F533A8" w:rsidRDefault="00121749" w:rsidP="00E212A8">
      <w:pPr>
        <w:tabs>
          <w:tab w:val="left" w:pos="851"/>
        </w:tabs>
        <w:spacing w:line="360" w:lineRule="auto"/>
        <w:jc w:val="both"/>
        <w:rPr>
          <w:rFonts w:ascii="Arial" w:hAnsi="Arial" w:cs="Arial"/>
          <w:sz w:val="24"/>
          <w:szCs w:val="24"/>
        </w:rPr>
      </w:pPr>
      <w:r w:rsidRPr="00F533A8">
        <w:rPr>
          <w:rFonts w:ascii="Arial" w:hAnsi="Arial" w:cs="Arial"/>
          <w:sz w:val="24"/>
          <w:szCs w:val="24"/>
        </w:rPr>
        <w:t>[</w:t>
      </w:r>
      <w:r w:rsidR="003A1837" w:rsidRPr="00F533A8">
        <w:rPr>
          <w:rFonts w:ascii="Arial" w:hAnsi="Arial" w:cs="Arial"/>
          <w:sz w:val="24"/>
          <w:szCs w:val="24"/>
        </w:rPr>
        <w:t>1</w:t>
      </w:r>
      <w:r w:rsidR="001403F2">
        <w:rPr>
          <w:rFonts w:ascii="Arial" w:hAnsi="Arial" w:cs="Arial"/>
          <w:sz w:val="24"/>
          <w:szCs w:val="24"/>
        </w:rPr>
        <w:t>26</w:t>
      </w:r>
      <w:r w:rsidRPr="00F533A8">
        <w:rPr>
          <w:rFonts w:ascii="Arial" w:hAnsi="Arial" w:cs="Arial"/>
          <w:sz w:val="24"/>
          <w:szCs w:val="24"/>
        </w:rPr>
        <w:t>]</w:t>
      </w:r>
      <w:r w:rsidRPr="00F533A8">
        <w:rPr>
          <w:rFonts w:ascii="Arial" w:hAnsi="Arial" w:cs="Arial"/>
          <w:sz w:val="24"/>
          <w:szCs w:val="24"/>
        </w:rPr>
        <w:tab/>
        <w:t>In the premises, the counterapplication falls to be dismissed.</w:t>
      </w:r>
      <w:r w:rsidR="00DB3045" w:rsidRPr="00F533A8">
        <w:rPr>
          <w:rFonts w:ascii="Arial" w:hAnsi="Arial" w:cs="Arial"/>
          <w:sz w:val="24"/>
          <w:szCs w:val="24"/>
        </w:rPr>
        <w:t xml:space="preserve"> </w:t>
      </w:r>
    </w:p>
    <w:p w14:paraId="5D3A8528" w14:textId="77777777" w:rsidR="00310F0B" w:rsidRPr="00F533A8" w:rsidRDefault="00310F0B" w:rsidP="00E212A8">
      <w:pPr>
        <w:tabs>
          <w:tab w:val="left" w:pos="851"/>
        </w:tabs>
        <w:spacing w:line="360" w:lineRule="auto"/>
        <w:jc w:val="both"/>
        <w:rPr>
          <w:rFonts w:ascii="Arial" w:hAnsi="Arial" w:cs="Arial"/>
          <w:sz w:val="24"/>
          <w:szCs w:val="24"/>
        </w:rPr>
      </w:pPr>
    </w:p>
    <w:p w14:paraId="62996B7B" w14:textId="7E80B5E7" w:rsidR="00310F0B" w:rsidRPr="00F533A8" w:rsidRDefault="00310F0B" w:rsidP="00E212A8">
      <w:pPr>
        <w:tabs>
          <w:tab w:val="left" w:pos="851"/>
        </w:tabs>
        <w:spacing w:line="360" w:lineRule="auto"/>
        <w:jc w:val="both"/>
        <w:rPr>
          <w:rFonts w:ascii="Arial" w:hAnsi="Arial" w:cs="Arial"/>
          <w:b/>
          <w:bCs/>
          <w:sz w:val="24"/>
          <w:szCs w:val="24"/>
        </w:rPr>
      </w:pPr>
      <w:r w:rsidRPr="00F533A8">
        <w:rPr>
          <w:rFonts w:ascii="Arial" w:hAnsi="Arial" w:cs="Arial"/>
          <w:b/>
          <w:bCs/>
          <w:sz w:val="24"/>
          <w:szCs w:val="24"/>
        </w:rPr>
        <w:t xml:space="preserve">COSTS </w:t>
      </w:r>
      <w:r w:rsidR="00B12EBE">
        <w:rPr>
          <w:rFonts w:ascii="Arial" w:hAnsi="Arial" w:cs="Arial"/>
          <w:b/>
          <w:bCs/>
          <w:sz w:val="24"/>
          <w:szCs w:val="24"/>
        </w:rPr>
        <w:t>OF</w:t>
      </w:r>
      <w:r w:rsidRPr="00F533A8">
        <w:rPr>
          <w:rFonts w:ascii="Arial" w:hAnsi="Arial" w:cs="Arial"/>
          <w:b/>
          <w:bCs/>
          <w:sz w:val="24"/>
          <w:szCs w:val="24"/>
        </w:rPr>
        <w:t xml:space="preserve"> THE REVIEW AND COUNTER APPLICATION</w:t>
      </w:r>
    </w:p>
    <w:p w14:paraId="6097083A" w14:textId="77777777" w:rsidR="00310F0B" w:rsidRPr="00F533A8" w:rsidRDefault="00310F0B" w:rsidP="00E212A8">
      <w:pPr>
        <w:tabs>
          <w:tab w:val="left" w:pos="851"/>
        </w:tabs>
        <w:spacing w:line="360" w:lineRule="auto"/>
        <w:jc w:val="both"/>
        <w:rPr>
          <w:rFonts w:ascii="Arial" w:hAnsi="Arial" w:cs="Arial"/>
          <w:b/>
          <w:bCs/>
          <w:sz w:val="24"/>
          <w:szCs w:val="24"/>
        </w:rPr>
      </w:pPr>
    </w:p>
    <w:p w14:paraId="76FE83A7" w14:textId="731016DF" w:rsidR="00310F0B" w:rsidRPr="00F533A8" w:rsidRDefault="00310F0B" w:rsidP="00E212A8">
      <w:pPr>
        <w:tabs>
          <w:tab w:val="left" w:pos="851"/>
        </w:tabs>
        <w:spacing w:line="360" w:lineRule="auto"/>
        <w:jc w:val="both"/>
        <w:rPr>
          <w:rFonts w:ascii="Arial" w:hAnsi="Arial" w:cs="Arial"/>
          <w:sz w:val="24"/>
          <w:szCs w:val="24"/>
        </w:rPr>
      </w:pPr>
      <w:r w:rsidRPr="00F533A8">
        <w:rPr>
          <w:rFonts w:ascii="Arial" w:hAnsi="Arial" w:cs="Arial"/>
          <w:sz w:val="24"/>
          <w:szCs w:val="24"/>
        </w:rPr>
        <w:t>[1</w:t>
      </w:r>
      <w:r w:rsidR="009B7DA7">
        <w:rPr>
          <w:rFonts w:ascii="Arial" w:hAnsi="Arial" w:cs="Arial"/>
          <w:sz w:val="24"/>
          <w:szCs w:val="24"/>
        </w:rPr>
        <w:t>27</w:t>
      </w:r>
      <w:r w:rsidRPr="00F533A8">
        <w:rPr>
          <w:rFonts w:ascii="Arial" w:hAnsi="Arial" w:cs="Arial"/>
          <w:sz w:val="24"/>
          <w:szCs w:val="24"/>
        </w:rPr>
        <w:t>]</w:t>
      </w:r>
      <w:r w:rsidRPr="00F533A8">
        <w:rPr>
          <w:rFonts w:ascii="Arial" w:hAnsi="Arial" w:cs="Arial"/>
          <w:sz w:val="24"/>
          <w:szCs w:val="24"/>
        </w:rPr>
        <w:tab/>
        <w:t xml:space="preserve">Nexor seeks punitive costs against the SIU in the review application. </w:t>
      </w:r>
      <w:r w:rsidR="00EE03C8">
        <w:rPr>
          <w:rFonts w:ascii="Arial" w:hAnsi="Arial" w:cs="Arial"/>
          <w:sz w:val="24"/>
          <w:szCs w:val="24"/>
        </w:rPr>
        <w:t>S</w:t>
      </w:r>
      <w:r w:rsidRPr="00F533A8">
        <w:rPr>
          <w:rFonts w:ascii="Arial" w:hAnsi="Arial" w:cs="Arial"/>
          <w:sz w:val="24"/>
          <w:szCs w:val="24"/>
        </w:rPr>
        <w:t xml:space="preserve">ince, it did not oppose the counterapplication, it is not entitled to the costs of that application. </w:t>
      </w:r>
    </w:p>
    <w:p w14:paraId="3BDE6E98" w14:textId="77777777" w:rsidR="00310F0B" w:rsidRPr="00F533A8" w:rsidRDefault="00310F0B" w:rsidP="00E212A8">
      <w:pPr>
        <w:tabs>
          <w:tab w:val="left" w:pos="851"/>
        </w:tabs>
        <w:spacing w:line="360" w:lineRule="auto"/>
        <w:jc w:val="both"/>
        <w:rPr>
          <w:rFonts w:ascii="Arial" w:hAnsi="Arial" w:cs="Arial"/>
          <w:sz w:val="24"/>
          <w:szCs w:val="24"/>
        </w:rPr>
      </w:pPr>
    </w:p>
    <w:p w14:paraId="09E3C8C3" w14:textId="79866425" w:rsidR="00121749" w:rsidRPr="00F533A8" w:rsidRDefault="00310F0B" w:rsidP="00E212A8">
      <w:pPr>
        <w:tabs>
          <w:tab w:val="left" w:pos="851"/>
        </w:tabs>
        <w:spacing w:line="360" w:lineRule="auto"/>
        <w:jc w:val="both"/>
        <w:rPr>
          <w:rFonts w:ascii="Arial" w:hAnsi="Arial" w:cs="Arial"/>
          <w:sz w:val="24"/>
          <w:szCs w:val="24"/>
        </w:rPr>
      </w:pPr>
      <w:r w:rsidRPr="00F533A8">
        <w:rPr>
          <w:rFonts w:ascii="Arial" w:hAnsi="Arial" w:cs="Arial"/>
          <w:sz w:val="24"/>
          <w:szCs w:val="24"/>
        </w:rPr>
        <w:t>[1</w:t>
      </w:r>
      <w:r w:rsidR="009B7DA7">
        <w:rPr>
          <w:rFonts w:ascii="Arial" w:hAnsi="Arial" w:cs="Arial"/>
          <w:sz w:val="24"/>
          <w:szCs w:val="24"/>
        </w:rPr>
        <w:t>28</w:t>
      </w:r>
      <w:r w:rsidRPr="00F533A8">
        <w:rPr>
          <w:rFonts w:ascii="Arial" w:hAnsi="Arial" w:cs="Arial"/>
          <w:sz w:val="24"/>
          <w:szCs w:val="24"/>
        </w:rPr>
        <w:t>]</w:t>
      </w:r>
      <w:r w:rsidRPr="00F533A8">
        <w:rPr>
          <w:rFonts w:ascii="Arial" w:hAnsi="Arial" w:cs="Arial"/>
          <w:sz w:val="24"/>
          <w:szCs w:val="24"/>
        </w:rPr>
        <w:tab/>
      </w:r>
      <w:r w:rsidR="00DB3045" w:rsidRPr="00F533A8">
        <w:rPr>
          <w:rFonts w:ascii="Arial" w:hAnsi="Arial" w:cs="Arial"/>
          <w:sz w:val="24"/>
          <w:szCs w:val="24"/>
        </w:rPr>
        <w:t xml:space="preserve">The following factors warrant a punitive cost order as sought by Nexor. The SIU failed to </w:t>
      </w:r>
      <w:r w:rsidR="00EE03C8">
        <w:rPr>
          <w:rFonts w:ascii="Arial" w:hAnsi="Arial" w:cs="Arial"/>
          <w:sz w:val="24"/>
          <w:szCs w:val="24"/>
        </w:rPr>
        <w:t xml:space="preserve">consider </w:t>
      </w:r>
      <w:r w:rsidR="00DB3045" w:rsidRPr="00F533A8">
        <w:rPr>
          <w:rFonts w:ascii="Arial" w:hAnsi="Arial" w:cs="Arial"/>
          <w:sz w:val="24"/>
          <w:szCs w:val="24"/>
        </w:rPr>
        <w:t xml:space="preserve">material evidence from the record of the impugned tender. It failed to consider the relevant evidence even after Nexor grounded its version on them. It rather resorted to casting unsubstantiated aspersions on Nexor and its Chief Executive Officer and Managing Director. The SIU’s grounds of review were completely </w:t>
      </w:r>
      <w:r w:rsidR="00EE03C8">
        <w:rPr>
          <w:rFonts w:ascii="Arial" w:hAnsi="Arial" w:cs="Arial"/>
          <w:sz w:val="24"/>
          <w:szCs w:val="24"/>
        </w:rPr>
        <w:t>de</w:t>
      </w:r>
      <w:r w:rsidR="00DB3045" w:rsidRPr="00F533A8">
        <w:rPr>
          <w:rFonts w:ascii="Arial" w:hAnsi="Arial" w:cs="Arial"/>
          <w:sz w:val="24"/>
          <w:szCs w:val="24"/>
        </w:rPr>
        <w:t>void of merit.</w:t>
      </w:r>
      <w:r w:rsidR="00AC5FBD" w:rsidRPr="00F533A8">
        <w:rPr>
          <w:rFonts w:ascii="Arial" w:hAnsi="Arial" w:cs="Arial"/>
          <w:sz w:val="24"/>
          <w:szCs w:val="24"/>
        </w:rPr>
        <w:t xml:space="preserve"> It delayed bringing the application and failed to fully account for the delay.</w:t>
      </w:r>
      <w:r w:rsidR="00DB3045" w:rsidRPr="00F533A8">
        <w:rPr>
          <w:rFonts w:ascii="Arial" w:hAnsi="Arial" w:cs="Arial"/>
          <w:sz w:val="24"/>
          <w:szCs w:val="24"/>
        </w:rPr>
        <w:t xml:space="preserve"> </w:t>
      </w:r>
      <w:r w:rsidR="00AC5FBD" w:rsidRPr="00F533A8">
        <w:rPr>
          <w:rFonts w:ascii="Arial" w:hAnsi="Arial" w:cs="Arial"/>
          <w:sz w:val="24"/>
          <w:szCs w:val="24"/>
        </w:rPr>
        <w:t>It would be a travesty of justice if Nexor is rendered out of pocket by this application.</w:t>
      </w:r>
      <w:r w:rsidR="00DB3045" w:rsidRPr="00F533A8">
        <w:rPr>
          <w:rFonts w:ascii="Arial" w:hAnsi="Arial" w:cs="Arial"/>
          <w:sz w:val="24"/>
          <w:szCs w:val="24"/>
        </w:rPr>
        <w:t xml:space="preserve">  </w:t>
      </w:r>
    </w:p>
    <w:p w14:paraId="2834CB50" w14:textId="77777777" w:rsidR="00121749" w:rsidRPr="00F533A8" w:rsidRDefault="00121749" w:rsidP="00E212A8">
      <w:pPr>
        <w:tabs>
          <w:tab w:val="left" w:pos="851"/>
        </w:tabs>
        <w:spacing w:line="360" w:lineRule="auto"/>
        <w:jc w:val="both"/>
        <w:rPr>
          <w:rFonts w:ascii="Arial" w:hAnsi="Arial" w:cs="Arial"/>
          <w:sz w:val="24"/>
          <w:szCs w:val="24"/>
        </w:rPr>
      </w:pPr>
    </w:p>
    <w:p w14:paraId="306671D2" w14:textId="66A38412" w:rsidR="00310F0B" w:rsidRPr="00F533A8" w:rsidRDefault="00310F0B" w:rsidP="00E212A8">
      <w:pPr>
        <w:tabs>
          <w:tab w:val="left" w:pos="851"/>
        </w:tabs>
        <w:spacing w:line="360" w:lineRule="auto"/>
        <w:jc w:val="both"/>
        <w:rPr>
          <w:rFonts w:ascii="Arial" w:hAnsi="Arial" w:cs="Arial"/>
          <w:sz w:val="24"/>
          <w:szCs w:val="24"/>
        </w:rPr>
      </w:pPr>
      <w:r w:rsidRPr="00F533A8">
        <w:rPr>
          <w:rFonts w:ascii="Arial" w:hAnsi="Arial" w:cs="Arial"/>
          <w:sz w:val="24"/>
          <w:szCs w:val="24"/>
        </w:rPr>
        <w:t>[1</w:t>
      </w:r>
      <w:r w:rsidR="009B7DA7">
        <w:rPr>
          <w:rFonts w:ascii="Arial" w:hAnsi="Arial" w:cs="Arial"/>
          <w:sz w:val="24"/>
          <w:szCs w:val="24"/>
        </w:rPr>
        <w:t>29</w:t>
      </w:r>
      <w:r w:rsidRPr="00F533A8">
        <w:rPr>
          <w:rFonts w:ascii="Arial" w:hAnsi="Arial" w:cs="Arial"/>
          <w:sz w:val="24"/>
          <w:szCs w:val="24"/>
        </w:rPr>
        <w:t>]</w:t>
      </w:r>
      <w:r w:rsidR="009B7DA7">
        <w:rPr>
          <w:rFonts w:ascii="Arial" w:hAnsi="Arial" w:cs="Arial"/>
          <w:sz w:val="24"/>
          <w:szCs w:val="24"/>
        </w:rPr>
        <w:tab/>
      </w:r>
      <w:r w:rsidRPr="00F533A8">
        <w:rPr>
          <w:rFonts w:ascii="Arial" w:hAnsi="Arial" w:cs="Arial"/>
          <w:sz w:val="24"/>
          <w:szCs w:val="24"/>
        </w:rPr>
        <w:t xml:space="preserve">It is just and equitable that the SIU and DOT `bear their respective costs of these applications. </w:t>
      </w:r>
    </w:p>
    <w:p w14:paraId="527C8E7C" w14:textId="77777777" w:rsidR="00310F0B" w:rsidRPr="00F533A8" w:rsidRDefault="00310F0B" w:rsidP="00E212A8">
      <w:pPr>
        <w:tabs>
          <w:tab w:val="left" w:pos="851"/>
        </w:tabs>
        <w:spacing w:line="360" w:lineRule="auto"/>
        <w:jc w:val="both"/>
        <w:rPr>
          <w:rFonts w:ascii="Arial" w:hAnsi="Arial" w:cs="Arial"/>
          <w:sz w:val="24"/>
          <w:szCs w:val="24"/>
        </w:rPr>
      </w:pPr>
    </w:p>
    <w:p w14:paraId="6F9E0F19" w14:textId="70643B4D" w:rsidR="00BD667F" w:rsidRPr="00F533A8" w:rsidRDefault="00BD667F" w:rsidP="00E212A8">
      <w:pPr>
        <w:tabs>
          <w:tab w:val="left" w:pos="851"/>
        </w:tabs>
        <w:spacing w:line="360" w:lineRule="auto"/>
        <w:jc w:val="both"/>
        <w:rPr>
          <w:rFonts w:ascii="Arial" w:hAnsi="Arial" w:cs="Arial"/>
          <w:b/>
          <w:bCs/>
          <w:sz w:val="24"/>
          <w:szCs w:val="24"/>
        </w:rPr>
      </w:pPr>
      <w:r w:rsidRPr="00F533A8">
        <w:rPr>
          <w:rFonts w:ascii="Arial" w:hAnsi="Arial" w:cs="Arial"/>
          <w:b/>
          <w:bCs/>
          <w:sz w:val="24"/>
          <w:szCs w:val="24"/>
        </w:rPr>
        <w:t>THE WASTED COSTS OCCASION</w:t>
      </w:r>
      <w:r w:rsidR="00B12EBE">
        <w:rPr>
          <w:rFonts w:ascii="Arial" w:hAnsi="Arial" w:cs="Arial"/>
          <w:b/>
          <w:bCs/>
          <w:sz w:val="24"/>
          <w:szCs w:val="24"/>
        </w:rPr>
        <w:t>ED</w:t>
      </w:r>
      <w:r w:rsidRPr="00F533A8">
        <w:rPr>
          <w:rFonts w:ascii="Arial" w:hAnsi="Arial" w:cs="Arial"/>
          <w:b/>
          <w:bCs/>
          <w:sz w:val="24"/>
          <w:szCs w:val="24"/>
        </w:rPr>
        <w:t xml:space="preserve"> IN APRIL 2023</w:t>
      </w:r>
    </w:p>
    <w:p w14:paraId="7F80CDA2" w14:textId="7A72B09A" w:rsidR="00BD667F" w:rsidRPr="00F533A8" w:rsidRDefault="00BD667F" w:rsidP="00E212A8">
      <w:pPr>
        <w:tabs>
          <w:tab w:val="left" w:pos="851"/>
        </w:tabs>
        <w:spacing w:line="360" w:lineRule="auto"/>
        <w:jc w:val="both"/>
        <w:rPr>
          <w:rFonts w:ascii="Arial" w:hAnsi="Arial" w:cs="Arial"/>
          <w:sz w:val="24"/>
          <w:szCs w:val="24"/>
        </w:rPr>
      </w:pPr>
      <w:r w:rsidRPr="00F533A8">
        <w:rPr>
          <w:rFonts w:ascii="Arial" w:hAnsi="Arial" w:cs="Arial"/>
          <w:sz w:val="24"/>
          <w:szCs w:val="24"/>
        </w:rPr>
        <w:t>[1</w:t>
      </w:r>
      <w:r w:rsidR="009B7DA7">
        <w:rPr>
          <w:rFonts w:ascii="Arial" w:hAnsi="Arial" w:cs="Arial"/>
          <w:sz w:val="24"/>
          <w:szCs w:val="24"/>
        </w:rPr>
        <w:t>30</w:t>
      </w:r>
      <w:r w:rsidRPr="00F533A8">
        <w:rPr>
          <w:rFonts w:ascii="Arial" w:hAnsi="Arial" w:cs="Arial"/>
          <w:sz w:val="24"/>
          <w:szCs w:val="24"/>
        </w:rPr>
        <w:t>]</w:t>
      </w:r>
      <w:r w:rsidRPr="00F533A8">
        <w:rPr>
          <w:rFonts w:ascii="Arial" w:hAnsi="Arial" w:cs="Arial"/>
          <w:sz w:val="24"/>
          <w:szCs w:val="24"/>
        </w:rPr>
        <w:tab/>
      </w:r>
      <w:r w:rsidR="00310F0B" w:rsidRPr="00F533A8">
        <w:rPr>
          <w:rFonts w:ascii="Arial" w:hAnsi="Arial" w:cs="Arial"/>
          <w:sz w:val="24"/>
          <w:szCs w:val="24"/>
        </w:rPr>
        <w:t xml:space="preserve">The fact that DOT is a successful party in the review application, its opposition of that application was not unnecessary. It is therefore just and equitable that the SIU also bears its wasted costs occasioned by the April 2023 postponement. </w:t>
      </w:r>
    </w:p>
    <w:p w14:paraId="51500900" w14:textId="77777777" w:rsidR="00BD667F" w:rsidRPr="00F533A8" w:rsidRDefault="00BD667F" w:rsidP="00E212A8">
      <w:pPr>
        <w:tabs>
          <w:tab w:val="left" w:pos="851"/>
        </w:tabs>
        <w:spacing w:line="360" w:lineRule="auto"/>
        <w:jc w:val="both"/>
        <w:rPr>
          <w:rFonts w:ascii="Arial" w:hAnsi="Arial" w:cs="Arial"/>
          <w:sz w:val="24"/>
          <w:szCs w:val="24"/>
        </w:rPr>
      </w:pPr>
    </w:p>
    <w:p w14:paraId="238FD3E8" w14:textId="28FBAAD1" w:rsidR="0075090F" w:rsidRPr="00F533A8" w:rsidRDefault="0075090F" w:rsidP="00E212A8">
      <w:pPr>
        <w:tabs>
          <w:tab w:val="left" w:pos="851"/>
        </w:tabs>
        <w:spacing w:line="360" w:lineRule="auto"/>
        <w:jc w:val="both"/>
        <w:rPr>
          <w:rFonts w:ascii="Arial" w:hAnsi="Arial" w:cs="Arial"/>
          <w:b/>
          <w:bCs/>
          <w:sz w:val="24"/>
          <w:szCs w:val="24"/>
        </w:rPr>
      </w:pPr>
      <w:r w:rsidRPr="00F533A8">
        <w:rPr>
          <w:rFonts w:ascii="Arial" w:hAnsi="Arial" w:cs="Arial"/>
          <w:b/>
          <w:bCs/>
          <w:sz w:val="24"/>
          <w:szCs w:val="24"/>
        </w:rPr>
        <w:t>COSTS OF THE APPLICATION TO COMPEL</w:t>
      </w:r>
    </w:p>
    <w:p w14:paraId="57B55541" w14:textId="63F94A87" w:rsidR="0075090F" w:rsidRPr="00F533A8" w:rsidRDefault="00BD667F" w:rsidP="00E212A8">
      <w:pPr>
        <w:tabs>
          <w:tab w:val="left" w:pos="851"/>
        </w:tabs>
        <w:spacing w:line="360" w:lineRule="auto"/>
        <w:jc w:val="both"/>
        <w:rPr>
          <w:rFonts w:ascii="Arial" w:hAnsi="Arial" w:cs="Arial"/>
          <w:sz w:val="24"/>
          <w:szCs w:val="24"/>
        </w:rPr>
      </w:pPr>
      <w:r w:rsidRPr="00F533A8">
        <w:rPr>
          <w:rFonts w:ascii="Arial" w:hAnsi="Arial" w:cs="Arial"/>
          <w:sz w:val="24"/>
          <w:szCs w:val="24"/>
        </w:rPr>
        <w:t>[1</w:t>
      </w:r>
      <w:r w:rsidR="009B7DA7">
        <w:rPr>
          <w:rFonts w:ascii="Arial" w:hAnsi="Arial" w:cs="Arial"/>
          <w:sz w:val="24"/>
          <w:szCs w:val="24"/>
        </w:rPr>
        <w:t>31</w:t>
      </w:r>
      <w:r w:rsidRPr="00F533A8">
        <w:rPr>
          <w:rFonts w:ascii="Arial" w:hAnsi="Arial" w:cs="Arial"/>
          <w:sz w:val="24"/>
          <w:szCs w:val="24"/>
        </w:rPr>
        <w:t xml:space="preserve">] </w:t>
      </w:r>
      <w:r w:rsidR="00F66B91" w:rsidRPr="00F533A8">
        <w:rPr>
          <w:rFonts w:ascii="Arial" w:hAnsi="Arial" w:cs="Arial"/>
          <w:sz w:val="24"/>
          <w:szCs w:val="24"/>
        </w:rPr>
        <w:t xml:space="preserve"> Th</w:t>
      </w:r>
      <w:r w:rsidR="009C766C" w:rsidRPr="00F533A8">
        <w:rPr>
          <w:rFonts w:ascii="Arial" w:hAnsi="Arial" w:cs="Arial"/>
          <w:sz w:val="24"/>
          <w:szCs w:val="24"/>
        </w:rPr>
        <w:t xml:space="preserve">e </w:t>
      </w:r>
      <w:r w:rsidR="00F66B91" w:rsidRPr="00F533A8">
        <w:rPr>
          <w:rFonts w:ascii="Arial" w:hAnsi="Arial" w:cs="Arial"/>
          <w:sz w:val="24"/>
          <w:szCs w:val="24"/>
        </w:rPr>
        <w:t>material</w:t>
      </w:r>
      <w:r w:rsidR="009C766C" w:rsidRPr="00F533A8">
        <w:rPr>
          <w:rFonts w:ascii="Arial" w:hAnsi="Arial" w:cs="Arial"/>
          <w:sz w:val="24"/>
          <w:szCs w:val="24"/>
        </w:rPr>
        <w:t xml:space="preserve"> Nexor sought in this application</w:t>
      </w:r>
      <w:r w:rsidR="00F66B91" w:rsidRPr="00F533A8">
        <w:rPr>
          <w:rFonts w:ascii="Arial" w:hAnsi="Arial" w:cs="Arial"/>
          <w:sz w:val="24"/>
          <w:szCs w:val="24"/>
        </w:rPr>
        <w:t xml:space="preserve"> was referred to in email correspondence between DOT and the SIU</w:t>
      </w:r>
      <w:r w:rsidR="0016173A" w:rsidRPr="00F533A8">
        <w:rPr>
          <w:rFonts w:ascii="Arial" w:hAnsi="Arial" w:cs="Arial"/>
          <w:sz w:val="24"/>
          <w:szCs w:val="24"/>
        </w:rPr>
        <w:t xml:space="preserve"> that formed part of the record of the impugned tender</w:t>
      </w:r>
      <w:r w:rsidR="00F66B91" w:rsidRPr="00F533A8">
        <w:rPr>
          <w:rFonts w:ascii="Arial" w:hAnsi="Arial" w:cs="Arial"/>
          <w:sz w:val="24"/>
          <w:szCs w:val="24"/>
        </w:rPr>
        <w:t xml:space="preserve">. </w:t>
      </w:r>
      <w:r w:rsidR="0016173A" w:rsidRPr="00F533A8">
        <w:rPr>
          <w:rFonts w:ascii="Arial" w:hAnsi="Arial" w:cs="Arial"/>
          <w:sz w:val="24"/>
          <w:szCs w:val="24"/>
        </w:rPr>
        <w:t>The material</w:t>
      </w:r>
      <w:r w:rsidR="00F66B91" w:rsidRPr="00F533A8">
        <w:rPr>
          <w:rFonts w:ascii="Arial" w:hAnsi="Arial" w:cs="Arial"/>
          <w:sz w:val="24"/>
          <w:szCs w:val="24"/>
        </w:rPr>
        <w:t xml:space="preserve"> </w:t>
      </w:r>
      <w:r w:rsidR="0016173A" w:rsidRPr="00F533A8">
        <w:rPr>
          <w:rFonts w:ascii="Arial" w:hAnsi="Arial" w:cs="Arial"/>
          <w:sz w:val="24"/>
          <w:szCs w:val="24"/>
        </w:rPr>
        <w:t>comprises</w:t>
      </w:r>
      <w:r w:rsidR="00F66B91" w:rsidRPr="00F533A8">
        <w:rPr>
          <w:rFonts w:ascii="Arial" w:hAnsi="Arial" w:cs="Arial"/>
          <w:sz w:val="24"/>
          <w:szCs w:val="24"/>
        </w:rPr>
        <w:t xml:space="preserve"> a draft affidavit by Mr Thabane Nkosi which the SIU had sent to this interviewee by email on 29 January 2020, a recording of an interview the SIU investigator held with this official and the affidavit this official</w:t>
      </w:r>
      <w:r w:rsidR="0016173A" w:rsidRPr="00F533A8">
        <w:rPr>
          <w:rFonts w:ascii="Arial" w:hAnsi="Arial" w:cs="Arial"/>
          <w:sz w:val="24"/>
          <w:szCs w:val="24"/>
        </w:rPr>
        <w:t xml:space="preserve"> allegedly signed</w:t>
      </w:r>
      <w:r w:rsidR="00F66B91" w:rsidRPr="00F533A8">
        <w:rPr>
          <w:rFonts w:ascii="Arial" w:hAnsi="Arial" w:cs="Arial"/>
          <w:sz w:val="24"/>
          <w:szCs w:val="24"/>
        </w:rPr>
        <w:t xml:space="preserve"> </w:t>
      </w:r>
      <w:r w:rsidR="00EB3DEF" w:rsidRPr="00F533A8">
        <w:rPr>
          <w:rFonts w:ascii="Arial" w:hAnsi="Arial" w:cs="Arial"/>
          <w:sz w:val="24"/>
          <w:szCs w:val="24"/>
        </w:rPr>
        <w:t xml:space="preserve">and </w:t>
      </w:r>
      <w:r w:rsidR="00F66B91" w:rsidRPr="00F533A8">
        <w:rPr>
          <w:rFonts w:ascii="Arial" w:hAnsi="Arial" w:cs="Arial"/>
          <w:sz w:val="24"/>
          <w:szCs w:val="24"/>
        </w:rPr>
        <w:t>sent to the SIU. Nexor had</w:t>
      </w:r>
      <w:r w:rsidR="009B7DA7">
        <w:rPr>
          <w:rFonts w:ascii="Arial" w:hAnsi="Arial" w:cs="Arial"/>
          <w:sz w:val="24"/>
          <w:szCs w:val="24"/>
        </w:rPr>
        <w:t>,</w:t>
      </w:r>
      <w:r w:rsidR="00F66B91" w:rsidRPr="00F533A8">
        <w:rPr>
          <w:rFonts w:ascii="Arial" w:hAnsi="Arial" w:cs="Arial"/>
          <w:sz w:val="24"/>
          <w:szCs w:val="24"/>
        </w:rPr>
        <w:t xml:space="preserve"> by way of a letter dated 20 July 2021</w:t>
      </w:r>
      <w:r w:rsidR="009B7DA7">
        <w:rPr>
          <w:rFonts w:ascii="Arial" w:hAnsi="Arial" w:cs="Arial"/>
          <w:sz w:val="24"/>
          <w:szCs w:val="24"/>
        </w:rPr>
        <w:t>,</w:t>
      </w:r>
      <w:r w:rsidR="00F66B91" w:rsidRPr="00F533A8">
        <w:rPr>
          <w:rFonts w:ascii="Arial" w:hAnsi="Arial" w:cs="Arial"/>
          <w:sz w:val="24"/>
          <w:szCs w:val="24"/>
        </w:rPr>
        <w:t xml:space="preserve"> notified the SIU that it requires this material. </w:t>
      </w:r>
    </w:p>
    <w:p w14:paraId="6D26CA6C" w14:textId="77777777" w:rsidR="00F66B91" w:rsidRPr="00F533A8" w:rsidRDefault="00F66B91" w:rsidP="00E212A8">
      <w:pPr>
        <w:tabs>
          <w:tab w:val="left" w:pos="851"/>
        </w:tabs>
        <w:spacing w:line="360" w:lineRule="auto"/>
        <w:jc w:val="both"/>
        <w:rPr>
          <w:rFonts w:ascii="Arial" w:hAnsi="Arial" w:cs="Arial"/>
          <w:sz w:val="24"/>
          <w:szCs w:val="24"/>
        </w:rPr>
      </w:pPr>
    </w:p>
    <w:p w14:paraId="529C51A6" w14:textId="35F6CD18" w:rsidR="00F66B91" w:rsidRPr="00F533A8" w:rsidRDefault="00F66B91" w:rsidP="00E212A8">
      <w:pPr>
        <w:tabs>
          <w:tab w:val="left" w:pos="851"/>
        </w:tabs>
        <w:spacing w:line="360" w:lineRule="auto"/>
        <w:jc w:val="both"/>
        <w:rPr>
          <w:rFonts w:ascii="Arial" w:hAnsi="Arial" w:cs="Arial"/>
          <w:sz w:val="24"/>
          <w:szCs w:val="24"/>
        </w:rPr>
      </w:pPr>
      <w:r w:rsidRPr="00F533A8">
        <w:rPr>
          <w:rFonts w:ascii="Arial" w:hAnsi="Arial" w:cs="Arial"/>
          <w:sz w:val="24"/>
          <w:szCs w:val="24"/>
        </w:rPr>
        <w:t>[1</w:t>
      </w:r>
      <w:r w:rsidR="009B7DA7">
        <w:rPr>
          <w:rFonts w:ascii="Arial" w:hAnsi="Arial" w:cs="Arial"/>
          <w:sz w:val="24"/>
          <w:szCs w:val="24"/>
        </w:rPr>
        <w:t>32</w:t>
      </w:r>
      <w:r w:rsidRPr="00F533A8">
        <w:rPr>
          <w:rFonts w:ascii="Arial" w:hAnsi="Arial" w:cs="Arial"/>
          <w:sz w:val="24"/>
          <w:szCs w:val="24"/>
        </w:rPr>
        <w:t xml:space="preserve">] </w:t>
      </w:r>
      <w:r w:rsidR="00590510" w:rsidRPr="00F533A8">
        <w:rPr>
          <w:rFonts w:ascii="Arial" w:hAnsi="Arial" w:cs="Arial"/>
          <w:sz w:val="24"/>
          <w:szCs w:val="24"/>
        </w:rPr>
        <w:t xml:space="preserve"> </w:t>
      </w:r>
      <w:r w:rsidRPr="00F533A8">
        <w:rPr>
          <w:rFonts w:ascii="Arial" w:hAnsi="Arial" w:cs="Arial"/>
          <w:sz w:val="24"/>
          <w:szCs w:val="24"/>
        </w:rPr>
        <w:t xml:space="preserve">The SIU failed to acknowledge Nexor’s request. At the judicial case management held on 12 August 2021, the </w:t>
      </w:r>
      <w:r w:rsidR="00EB3DEF" w:rsidRPr="00F533A8">
        <w:rPr>
          <w:rFonts w:ascii="Arial" w:hAnsi="Arial" w:cs="Arial"/>
          <w:sz w:val="24"/>
          <w:szCs w:val="24"/>
        </w:rPr>
        <w:t>SIU</w:t>
      </w:r>
      <w:r w:rsidRPr="00F533A8">
        <w:rPr>
          <w:rFonts w:ascii="Arial" w:hAnsi="Arial" w:cs="Arial"/>
          <w:sz w:val="24"/>
          <w:szCs w:val="24"/>
        </w:rPr>
        <w:t xml:space="preserve"> and DOT</w:t>
      </w:r>
      <w:r w:rsidR="00DB3045" w:rsidRPr="00F533A8">
        <w:rPr>
          <w:rFonts w:ascii="Arial" w:hAnsi="Arial" w:cs="Arial"/>
          <w:sz w:val="24"/>
          <w:szCs w:val="24"/>
        </w:rPr>
        <w:t xml:space="preserve"> failed to provide any reason for non-compliance with Nexor’s request. I then directed Nexor to bring an application to compel that I may consider its request judicially and make an enforceable order. </w:t>
      </w:r>
    </w:p>
    <w:p w14:paraId="4636C3C6" w14:textId="77777777" w:rsidR="00DB3045" w:rsidRPr="00F533A8" w:rsidRDefault="00DB3045" w:rsidP="00E212A8">
      <w:pPr>
        <w:tabs>
          <w:tab w:val="left" w:pos="851"/>
        </w:tabs>
        <w:spacing w:line="360" w:lineRule="auto"/>
        <w:jc w:val="both"/>
        <w:rPr>
          <w:rFonts w:ascii="Arial" w:hAnsi="Arial" w:cs="Arial"/>
          <w:sz w:val="24"/>
          <w:szCs w:val="24"/>
        </w:rPr>
      </w:pPr>
    </w:p>
    <w:p w14:paraId="4D4D87E4" w14:textId="36319BF5" w:rsidR="0016173A" w:rsidRPr="00F533A8" w:rsidRDefault="00DB3045" w:rsidP="00E212A8">
      <w:pPr>
        <w:tabs>
          <w:tab w:val="left" w:pos="851"/>
        </w:tabs>
        <w:spacing w:line="360" w:lineRule="auto"/>
        <w:jc w:val="both"/>
        <w:rPr>
          <w:rFonts w:ascii="Arial" w:hAnsi="Arial" w:cs="Arial"/>
          <w:sz w:val="24"/>
          <w:szCs w:val="24"/>
        </w:rPr>
      </w:pPr>
      <w:r w:rsidRPr="00F533A8">
        <w:rPr>
          <w:rFonts w:ascii="Arial" w:hAnsi="Arial" w:cs="Arial"/>
          <w:sz w:val="24"/>
          <w:szCs w:val="24"/>
        </w:rPr>
        <w:t>[1</w:t>
      </w:r>
      <w:r w:rsidR="009B7DA7">
        <w:rPr>
          <w:rFonts w:ascii="Arial" w:hAnsi="Arial" w:cs="Arial"/>
          <w:sz w:val="24"/>
          <w:szCs w:val="24"/>
        </w:rPr>
        <w:t>33</w:t>
      </w:r>
      <w:r w:rsidRPr="00F533A8">
        <w:rPr>
          <w:rFonts w:ascii="Arial" w:hAnsi="Arial" w:cs="Arial"/>
          <w:sz w:val="24"/>
          <w:szCs w:val="24"/>
        </w:rPr>
        <w:t>]</w:t>
      </w:r>
      <w:r w:rsidRPr="00F533A8">
        <w:rPr>
          <w:rFonts w:ascii="Arial" w:hAnsi="Arial" w:cs="Arial"/>
          <w:sz w:val="24"/>
          <w:szCs w:val="24"/>
        </w:rPr>
        <w:tab/>
      </w:r>
      <w:r w:rsidR="0016173A" w:rsidRPr="00F533A8">
        <w:rPr>
          <w:rFonts w:ascii="Arial" w:hAnsi="Arial" w:cs="Arial"/>
          <w:sz w:val="24"/>
          <w:szCs w:val="24"/>
        </w:rPr>
        <w:t>The</w:t>
      </w:r>
      <w:r w:rsidR="00EB3DEF" w:rsidRPr="00F533A8">
        <w:rPr>
          <w:rFonts w:ascii="Arial" w:hAnsi="Arial" w:cs="Arial"/>
          <w:sz w:val="24"/>
          <w:szCs w:val="24"/>
        </w:rPr>
        <w:t xml:space="preserve"> MEC did not oppose this application. The</w:t>
      </w:r>
      <w:r w:rsidR="0016173A" w:rsidRPr="00F533A8">
        <w:rPr>
          <w:rFonts w:ascii="Arial" w:hAnsi="Arial" w:cs="Arial"/>
          <w:sz w:val="24"/>
          <w:szCs w:val="24"/>
        </w:rPr>
        <w:t xml:space="preserve"> SIU</w:t>
      </w:r>
      <w:r w:rsidR="00EB3DEF" w:rsidRPr="00F533A8">
        <w:rPr>
          <w:rFonts w:ascii="Arial" w:hAnsi="Arial" w:cs="Arial"/>
          <w:sz w:val="24"/>
          <w:szCs w:val="24"/>
        </w:rPr>
        <w:t xml:space="preserve"> also</w:t>
      </w:r>
      <w:r w:rsidR="0016173A" w:rsidRPr="00F533A8">
        <w:rPr>
          <w:rFonts w:ascii="Arial" w:hAnsi="Arial" w:cs="Arial"/>
          <w:sz w:val="24"/>
          <w:szCs w:val="24"/>
        </w:rPr>
        <w:t xml:space="preserve"> did not file opposin</w:t>
      </w:r>
      <w:r w:rsidR="00EB3DEF" w:rsidRPr="00F533A8">
        <w:rPr>
          <w:rFonts w:ascii="Arial" w:hAnsi="Arial" w:cs="Arial"/>
          <w:sz w:val="24"/>
          <w:szCs w:val="24"/>
        </w:rPr>
        <w:t>g</w:t>
      </w:r>
      <w:r w:rsidR="0016173A" w:rsidRPr="00F533A8">
        <w:rPr>
          <w:rFonts w:ascii="Arial" w:hAnsi="Arial" w:cs="Arial"/>
          <w:sz w:val="24"/>
          <w:szCs w:val="24"/>
        </w:rPr>
        <w:t xml:space="preserve"> papers. It filed an explanatory affidavit in which it explains that it is not the custodian of the record of the impugned tender and that Nexor is not entitled to the material it seeks because it does not form part of the impugned record. For these reasons, it is opposing an order holding it liable for the cost of the application to compel. </w:t>
      </w:r>
    </w:p>
    <w:p w14:paraId="00DF847D" w14:textId="77777777" w:rsidR="0016173A" w:rsidRPr="00F533A8" w:rsidRDefault="0016173A" w:rsidP="00E212A8">
      <w:pPr>
        <w:tabs>
          <w:tab w:val="left" w:pos="851"/>
        </w:tabs>
        <w:spacing w:line="360" w:lineRule="auto"/>
        <w:jc w:val="both"/>
        <w:rPr>
          <w:rFonts w:ascii="Arial" w:hAnsi="Arial" w:cs="Arial"/>
          <w:sz w:val="24"/>
          <w:szCs w:val="24"/>
        </w:rPr>
      </w:pPr>
    </w:p>
    <w:p w14:paraId="4D766BF1" w14:textId="48F5DB6E" w:rsidR="0016173A" w:rsidRPr="00F533A8" w:rsidRDefault="0016173A" w:rsidP="00E212A8">
      <w:pPr>
        <w:tabs>
          <w:tab w:val="left" w:pos="851"/>
        </w:tabs>
        <w:spacing w:line="360" w:lineRule="auto"/>
        <w:jc w:val="both"/>
        <w:rPr>
          <w:rFonts w:ascii="Arial" w:hAnsi="Arial" w:cs="Arial"/>
          <w:sz w:val="24"/>
          <w:szCs w:val="24"/>
        </w:rPr>
      </w:pPr>
      <w:r w:rsidRPr="00F533A8">
        <w:rPr>
          <w:rFonts w:ascii="Arial" w:hAnsi="Arial" w:cs="Arial"/>
          <w:sz w:val="24"/>
          <w:szCs w:val="24"/>
        </w:rPr>
        <w:t>[1</w:t>
      </w:r>
      <w:r w:rsidR="009B7DA7">
        <w:rPr>
          <w:rFonts w:ascii="Arial" w:hAnsi="Arial" w:cs="Arial"/>
          <w:sz w:val="24"/>
          <w:szCs w:val="24"/>
        </w:rPr>
        <w:t>34</w:t>
      </w:r>
      <w:r w:rsidRPr="00F533A8">
        <w:rPr>
          <w:rFonts w:ascii="Arial" w:hAnsi="Arial" w:cs="Arial"/>
          <w:sz w:val="24"/>
          <w:szCs w:val="24"/>
        </w:rPr>
        <w:t>]</w:t>
      </w:r>
      <w:r w:rsidR="009B7DA7">
        <w:rPr>
          <w:rFonts w:ascii="Arial" w:hAnsi="Arial" w:cs="Arial"/>
          <w:sz w:val="24"/>
          <w:szCs w:val="24"/>
        </w:rPr>
        <w:tab/>
      </w:r>
      <w:r w:rsidRPr="00F533A8">
        <w:rPr>
          <w:rFonts w:ascii="Arial" w:hAnsi="Arial" w:cs="Arial"/>
          <w:sz w:val="24"/>
          <w:szCs w:val="24"/>
        </w:rPr>
        <w:t>In a surprising twist, to its explanatory affidavit, the SIU attached Mr Thaban</w:t>
      </w:r>
      <w:r w:rsidR="009B7DA7">
        <w:rPr>
          <w:rFonts w:ascii="Arial" w:hAnsi="Arial" w:cs="Arial"/>
          <w:sz w:val="24"/>
          <w:szCs w:val="24"/>
        </w:rPr>
        <w:t>g</w:t>
      </w:r>
      <w:r w:rsidRPr="00F533A8">
        <w:rPr>
          <w:rFonts w:ascii="Arial" w:hAnsi="Arial" w:cs="Arial"/>
          <w:sz w:val="24"/>
          <w:szCs w:val="24"/>
        </w:rPr>
        <w:t xml:space="preserve"> Nkosi’s draft affidavit, and a transcribed record of the interview the SIU investigator held with Mr Nkosi. It explained that contrary to the impression created in the email Mr </w:t>
      </w:r>
      <w:r w:rsidR="009B7DA7">
        <w:rPr>
          <w:rFonts w:ascii="Arial" w:hAnsi="Arial" w:cs="Arial"/>
          <w:sz w:val="24"/>
          <w:szCs w:val="24"/>
        </w:rPr>
        <w:t xml:space="preserve">Thabang </w:t>
      </w:r>
      <w:r w:rsidRPr="00F533A8">
        <w:rPr>
          <w:rFonts w:ascii="Arial" w:hAnsi="Arial" w:cs="Arial"/>
          <w:sz w:val="24"/>
          <w:szCs w:val="24"/>
        </w:rPr>
        <w:t xml:space="preserve">Nkosi sent to the SIU, he never furnished </w:t>
      </w:r>
      <w:r w:rsidR="00440FD2" w:rsidRPr="00F533A8">
        <w:rPr>
          <w:rFonts w:ascii="Arial" w:hAnsi="Arial" w:cs="Arial"/>
          <w:sz w:val="24"/>
          <w:szCs w:val="24"/>
        </w:rPr>
        <w:t>the SIU with his signed affidavit. Consequently, the latter document is not in its possession.</w:t>
      </w:r>
    </w:p>
    <w:p w14:paraId="0758B9EC" w14:textId="77777777" w:rsidR="00440FD2" w:rsidRPr="00F533A8" w:rsidRDefault="00440FD2" w:rsidP="00E212A8">
      <w:pPr>
        <w:tabs>
          <w:tab w:val="left" w:pos="851"/>
        </w:tabs>
        <w:spacing w:line="360" w:lineRule="auto"/>
        <w:jc w:val="both"/>
        <w:rPr>
          <w:rFonts w:ascii="Arial" w:hAnsi="Arial" w:cs="Arial"/>
          <w:sz w:val="24"/>
          <w:szCs w:val="24"/>
        </w:rPr>
      </w:pPr>
    </w:p>
    <w:p w14:paraId="5DB1AA7D" w14:textId="621F75CA" w:rsidR="00440FD2" w:rsidRPr="00F533A8" w:rsidRDefault="00440FD2" w:rsidP="00E212A8">
      <w:pPr>
        <w:tabs>
          <w:tab w:val="left" w:pos="851"/>
        </w:tabs>
        <w:spacing w:line="360" w:lineRule="auto"/>
        <w:jc w:val="both"/>
        <w:rPr>
          <w:rFonts w:ascii="Arial" w:hAnsi="Arial" w:cs="Arial"/>
          <w:sz w:val="24"/>
          <w:szCs w:val="24"/>
        </w:rPr>
      </w:pPr>
      <w:r w:rsidRPr="00F533A8">
        <w:rPr>
          <w:rFonts w:ascii="Arial" w:hAnsi="Arial" w:cs="Arial"/>
          <w:sz w:val="24"/>
          <w:szCs w:val="24"/>
        </w:rPr>
        <w:t>[1</w:t>
      </w:r>
      <w:r w:rsidR="009B7DA7">
        <w:rPr>
          <w:rFonts w:ascii="Arial" w:hAnsi="Arial" w:cs="Arial"/>
          <w:sz w:val="24"/>
          <w:szCs w:val="24"/>
        </w:rPr>
        <w:t>35</w:t>
      </w:r>
      <w:r w:rsidRPr="00F533A8">
        <w:rPr>
          <w:rFonts w:ascii="Arial" w:hAnsi="Arial" w:cs="Arial"/>
          <w:sz w:val="24"/>
          <w:szCs w:val="24"/>
        </w:rPr>
        <w:t>]</w:t>
      </w:r>
      <w:r w:rsidR="00396285">
        <w:rPr>
          <w:rFonts w:ascii="Arial" w:hAnsi="Arial" w:cs="Arial"/>
          <w:sz w:val="24"/>
          <w:szCs w:val="24"/>
        </w:rPr>
        <w:tab/>
      </w:r>
      <w:r w:rsidRPr="00F533A8">
        <w:rPr>
          <w:rFonts w:ascii="Arial" w:hAnsi="Arial" w:cs="Arial"/>
          <w:sz w:val="24"/>
          <w:szCs w:val="24"/>
        </w:rPr>
        <w:t>It is indeed correct that o</w:t>
      </w:r>
      <w:r w:rsidR="00DB3045" w:rsidRPr="00F533A8">
        <w:rPr>
          <w:rFonts w:ascii="Arial" w:hAnsi="Arial" w:cs="Arial"/>
          <w:sz w:val="24"/>
          <w:szCs w:val="24"/>
        </w:rPr>
        <w:t>rdinarily, DOT is the custodian of the impugned record</w:t>
      </w:r>
      <w:r w:rsidRPr="00F533A8">
        <w:rPr>
          <w:rFonts w:ascii="Arial" w:hAnsi="Arial" w:cs="Arial"/>
          <w:sz w:val="24"/>
          <w:szCs w:val="24"/>
        </w:rPr>
        <w:t>. The material sought were strictly speaking not part of the impugned record. However, these factors do not absolve the SIU from liability for the wasted costs of the application. Its liability is justified by the fact that the SIU occasioned the wasted costs arising from the application to compel w</w:t>
      </w:r>
      <w:r w:rsidR="006008E2" w:rsidRPr="00F533A8">
        <w:rPr>
          <w:rFonts w:ascii="Arial" w:hAnsi="Arial" w:cs="Arial"/>
          <w:sz w:val="24"/>
          <w:szCs w:val="24"/>
        </w:rPr>
        <w:t>hen</w:t>
      </w:r>
      <w:r w:rsidRPr="00F533A8">
        <w:rPr>
          <w:rFonts w:ascii="Arial" w:hAnsi="Arial" w:cs="Arial"/>
          <w:sz w:val="24"/>
          <w:szCs w:val="24"/>
        </w:rPr>
        <w:t xml:space="preserve"> it ignored Nexor’s request for this material</w:t>
      </w:r>
      <w:r w:rsidR="00787778" w:rsidRPr="00F533A8">
        <w:rPr>
          <w:rFonts w:ascii="Arial" w:hAnsi="Arial" w:cs="Arial"/>
          <w:sz w:val="24"/>
          <w:szCs w:val="24"/>
        </w:rPr>
        <w:t>. Further,</w:t>
      </w:r>
      <w:r w:rsidRPr="00F533A8">
        <w:rPr>
          <w:rFonts w:ascii="Arial" w:hAnsi="Arial" w:cs="Arial"/>
          <w:sz w:val="24"/>
          <w:szCs w:val="24"/>
        </w:rPr>
        <w:t xml:space="preserve"> when Nexor complained about the SIU’s lack of response to its request at the judicial case management meeting</w:t>
      </w:r>
      <w:r w:rsidR="00DB3045" w:rsidRPr="00F533A8">
        <w:rPr>
          <w:rFonts w:ascii="Arial" w:hAnsi="Arial" w:cs="Arial"/>
          <w:sz w:val="24"/>
          <w:szCs w:val="24"/>
        </w:rPr>
        <w:t xml:space="preserve">, </w:t>
      </w:r>
      <w:r w:rsidRPr="00F533A8">
        <w:rPr>
          <w:rFonts w:ascii="Arial" w:hAnsi="Arial" w:cs="Arial"/>
          <w:sz w:val="24"/>
          <w:szCs w:val="24"/>
        </w:rPr>
        <w:t>the SIU did not raise the issues it subsequently raised in its explanatory affidavit. Hence, I directed that Nexor bring an application to compel so that I may deal with its request judicially. Had the SIU responded to Nexor’s request and made the submissions contained in its explanatory affidavit at the judicial case management meeting, it is unlikely that I would have directed Nexor to bring an application to compel. It is that application that not only elicited a substantial response from the SIU, but it has resulted in compliance with Nexor’s request</w:t>
      </w:r>
      <w:r w:rsidR="00EB3DEF" w:rsidRPr="00F533A8">
        <w:rPr>
          <w:rFonts w:ascii="Arial" w:hAnsi="Arial" w:cs="Arial"/>
          <w:sz w:val="24"/>
          <w:szCs w:val="24"/>
        </w:rPr>
        <w:t xml:space="preserve"> by the SIU</w:t>
      </w:r>
      <w:r w:rsidRPr="00F533A8">
        <w:rPr>
          <w:rFonts w:ascii="Arial" w:hAnsi="Arial" w:cs="Arial"/>
          <w:sz w:val="24"/>
          <w:szCs w:val="24"/>
        </w:rPr>
        <w:t>.</w:t>
      </w:r>
      <w:r w:rsidR="00EB3DEF" w:rsidRPr="00F533A8">
        <w:rPr>
          <w:rFonts w:ascii="Arial" w:hAnsi="Arial" w:cs="Arial"/>
          <w:sz w:val="24"/>
          <w:szCs w:val="24"/>
        </w:rPr>
        <w:t xml:space="preserve"> Therefore, principally, Nexor is successful in this application. The SIU is analogous to an unsuccessful party. </w:t>
      </w:r>
    </w:p>
    <w:p w14:paraId="573D51F8" w14:textId="77777777" w:rsidR="00DB3045" w:rsidRPr="00F533A8" w:rsidRDefault="00DB3045" w:rsidP="00E212A8">
      <w:pPr>
        <w:tabs>
          <w:tab w:val="left" w:pos="851"/>
        </w:tabs>
        <w:spacing w:line="360" w:lineRule="auto"/>
        <w:jc w:val="both"/>
        <w:rPr>
          <w:rFonts w:ascii="Arial" w:hAnsi="Arial" w:cs="Arial"/>
          <w:sz w:val="24"/>
          <w:szCs w:val="24"/>
        </w:rPr>
      </w:pPr>
    </w:p>
    <w:p w14:paraId="43FB5BE2" w14:textId="135152AD" w:rsidR="00787778" w:rsidRPr="00F533A8" w:rsidRDefault="00787778" w:rsidP="00E212A8">
      <w:pPr>
        <w:tabs>
          <w:tab w:val="left" w:pos="851"/>
        </w:tabs>
        <w:spacing w:line="360" w:lineRule="auto"/>
        <w:jc w:val="both"/>
        <w:rPr>
          <w:rFonts w:ascii="Arial" w:hAnsi="Arial" w:cs="Arial"/>
          <w:sz w:val="24"/>
          <w:szCs w:val="24"/>
        </w:rPr>
      </w:pPr>
      <w:r w:rsidRPr="00F533A8">
        <w:rPr>
          <w:rFonts w:ascii="Arial" w:hAnsi="Arial" w:cs="Arial"/>
          <w:sz w:val="24"/>
          <w:szCs w:val="24"/>
        </w:rPr>
        <w:t>[1</w:t>
      </w:r>
      <w:r w:rsidR="009B7DA7">
        <w:rPr>
          <w:rFonts w:ascii="Arial" w:hAnsi="Arial" w:cs="Arial"/>
          <w:sz w:val="24"/>
          <w:szCs w:val="24"/>
        </w:rPr>
        <w:t>36</w:t>
      </w:r>
      <w:r w:rsidRPr="00F533A8">
        <w:rPr>
          <w:rFonts w:ascii="Arial" w:hAnsi="Arial" w:cs="Arial"/>
          <w:sz w:val="24"/>
          <w:szCs w:val="24"/>
        </w:rPr>
        <w:t>]</w:t>
      </w:r>
      <w:r w:rsidRPr="00F533A8">
        <w:rPr>
          <w:rFonts w:ascii="Arial" w:hAnsi="Arial" w:cs="Arial"/>
          <w:sz w:val="24"/>
          <w:szCs w:val="24"/>
        </w:rPr>
        <w:tab/>
      </w:r>
      <w:r w:rsidR="006008E2" w:rsidRPr="00F533A8">
        <w:rPr>
          <w:rFonts w:ascii="Arial" w:hAnsi="Arial" w:cs="Arial"/>
          <w:sz w:val="24"/>
          <w:szCs w:val="24"/>
        </w:rPr>
        <w:t>Since I found that Nexor is entitled to the costs of the review application on the attorney and client scale, it</w:t>
      </w:r>
      <w:r w:rsidRPr="00F533A8">
        <w:rPr>
          <w:rFonts w:ascii="Arial" w:hAnsi="Arial" w:cs="Arial"/>
          <w:sz w:val="24"/>
          <w:szCs w:val="24"/>
        </w:rPr>
        <w:t xml:space="preserve"> would not be just and equitable for Nexor to be out pocketed by this application</w:t>
      </w:r>
      <w:r w:rsidR="006008E2" w:rsidRPr="00F533A8">
        <w:rPr>
          <w:rFonts w:ascii="Arial" w:hAnsi="Arial" w:cs="Arial"/>
          <w:sz w:val="24"/>
          <w:szCs w:val="24"/>
        </w:rPr>
        <w:t xml:space="preserve">. </w:t>
      </w:r>
      <w:r w:rsidRPr="00F533A8">
        <w:rPr>
          <w:rFonts w:ascii="Arial" w:hAnsi="Arial" w:cs="Arial"/>
          <w:sz w:val="24"/>
          <w:szCs w:val="24"/>
        </w:rPr>
        <w:t xml:space="preserve"> </w:t>
      </w:r>
    </w:p>
    <w:p w14:paraId="4FAFAB97" w14:textId="77777777" w:rsidR="00787778" w:rsidRPr="00F533A8" w:rsidRDefault="00787778" w:rsidP="00E212A8">
      <w:pPr>
        <w:tabs>
          <w:tab w:val="left" w:pos="851"/>
        </w:tabs>
        <w:spacing w:line="360" w:lineRule="auto"/>
        <w:jc w:val="both"/>
        <w:rPr>
          <w:rFonts w:ascii="Arial" w:hAnsi="Arial" w:cs="Arial"/>
          <w:sz w:val="24"/>
          <w:szCs w:val="24"/>
        </w:rPr>
      </w:pPr>
    </w:p>
    <w:p w14:paraId="10F4631E" w14:textId="4CE26672" w:rsidR="00787778" w:rsidRPr="00F533A8" w:rsidRDefault="00787778" w:rsidP="00E212A8">
      <w:pPr>
        <w:tabs>
          <w:tab w:val="left" w:pos="851"/>
        </w:tabs>
        <w:spacing w:line="360" w:lineRule="auto"/>
        <w:jc w:val="both"/>
        <w:rPr>
          <w:rFonts w:ascii="Arial" w:hAnsi="Arial" w:cs="Arial"/>
          <w:sz w:val="24"/>
          <w:szCs w:val="24"/>
        </w:rPr>
      </w:pPr>
      <w:r w:rsidRPr="00F533A8">
        <w:rPr>
          <w:rFonts w:ascii="Arial" w:hAnsi="Arial" w:cs="Arial"/>
          <w:sz w:val="24"/>
          <w:szCs w:val="24"/>
        </w:rPr>
        <w:t>[1</w:t>
      </w:r>
      <w:r w:rsidR="009B7DA7">
        <w:rPr>
          <w:rFonts w:ascii="Arial" w:hAnsi="Arial" w:cs="Arial"/>
          <w:sz w:val="24"/>
          <w:szCs w:val="24"/>
        </w:rPr>
        <w:t>37</w:t>
      </w:r>
      <w:r w:rsidRPr="00F533A8">
        <w:rPr>
          <w:rFonts w:ascii="Arial" w:hAnsi="Arial" w:cs="Arial"/>
          <w:sz w:val="24"/>
          <w:szCs w:val="24"/>
        </w:rPr>
        <w:t>]</w:t>
      </w:r>
      <w:r w:rsidRPr="00F533A8">
        <w:rPr>
          <w:rFonts w:ascii="Arial" w:hAnsi="Arial" w:cs="Arial"/>
          <w:sz w:val="24"/>
          <w:szCs w:val="24"/>
        </w:rPr>
        <w:tab/>
        <w:t>In the premises, the following order is made:</w:t>
      </w:r>
    </w:p>
    <w:p w14:paraId="270A7272" w14:textId="77777777" w:rsidR="00787778" w:rsidRDefault="00787778" w:rsidP="00E212A8">
      <w:pPr>
        <w:tabs>
          <w:tab w:val="left" w:pos="851"/>
        </w:tabs>
        <w:spacing w:line="360" w:lineRule="auto"/>
        <w:jc w:val="both"/>
        <w:rPr>
          <w:rFonts w:ascii="Arial" w:hAnsi="Arial" w:cs="Arial"/>
          <w:sz w:val="24"/>
          <w:szCs w:val="24"/>
        </w:rPr>
      </w:pPr>
    </w:p>
    <w:p w14:paraId="0BD9112D" w14:textId="77777777" w:rsidR="009B7DA7" w:rsidRDefault="009B7DA7" w:rsidP="00E212A8">
      <w:pPr>
        <w:tabs>
          <w:tab w:val="left" w:pos="851"/>
        </w:tabs>
        <w:spacing w:line="360" w:lineRule="auto"/>
        <w:jc w:val="both"/>
        <w:rPr>
          <w:rFonts w:ascii="Arial" w:hAnsi="Arial" w:cs="Arial"/>
          <w:sz w:val="24"/>
          <w:szCs w:val="24"/>
        </w:rPr>
      </w:pPr>
    </w:p>
    <w:p w14:paraId="122BD442" w14:textId="77777777" w:rsidR="009B7DA7" w:rsidRPr="00F533A8" w:rsidRDefault="009B7DA7" w:rsidP="00E212A8">
      <w:pPr>
        <w:tabs>
          <w:tab w:val="left" w:pos="851"/>
        </w:tabs>
        <w:spacing w:line="360" w:lineRule="auto"/>
        <w:jc w:val="both"/>
        <w:rPr>
          <w:rFonts w:ascii="Arial" w:hAnsi="Arial" w:cs="Arial"/>
          <w:sz w:val="24"/>
          <w:szCs w:val="24"/>
        </w:rPr>
      </w:pPr>
    </w:p>
    <w:p w14:paraId="77676E95" w14:textId="1CD7E705" w:rsidR="0075090F" w:rsidRPr="00F533A8" w:rsidRDefault="0075090F" w:rsidP="00E212A8">
      <w:pPr>
        <w:tabs>
          <w:tab w:val="left" w:pos="851"/>
        </w:tabs>
        <w:spacing w:line="360" w:lineRule="auto"/>
        <w:jc w:val="both"/>
        <w:rPr>
          <w:rFonts w:ascii="Arial" w:hAnsi="Arial" w:cs="Arial"/>
          <w:b/>
          <w:bCs/>
          <w:sz w:val="24"/>
          <w:szCs w:val="24"/>
        </w:rPr>
      </w:pPr>
      <w:r w:rsidRPr="00F533A8">
        <w:rPr>
          <w:rFonts w:ascii="Arial" w:hAnsi="Arial" w:cs="Arial"/>
          <w:b/>
          <w:bCs/>
          <w:sz w:val="24"/>
          <w:szCs w:val="24"/>
        </w:rPr>
        <w:t>ORDER</w:t>
      </w:r>
    </w:p>
    <w:p w14:paraId="3115087B" w14:textId="293CEF0D" w:rsidR="006019DE" w:rsidRPr="009F468E" w:rsidRDefault="009F468E" w:rsidP="009F468E">
      <w:pPr>
        <w:tabs>
          <w:tab w:val="left" w:pos="851"/>
        </w:tabs>
        <w:spacing w:line="360" w:lineRule="auto"/>
        <w:ind w:left="720" w:hanging="360"/>
        <w:jc w:val="both"/>
        <w:rPr>
          <w:rFonts w:ascii="Arial" w:hAnsi="Arial"/>
          <w:sz w:val="24"/>
          <w:szCs w:val="24"/>
        </w:rPr>
      </w:pPr>
      <w:r w:rsidRPr="00F533A8">
        <w:rPr>
          <w:rFonts w:ascii="Arial" w:eastAsia="Arial" w:hAnsi="Arial" w:cs="Arial"/>
          <w:kern w:val="0"/>
          <w:sz w:val="24"/>
          <w:szCs w:val="24"/>
          <w:lang w:val="en-US"/>
          <w14:ligatures w14:val="none"/>
        </w:rPr>
        <w:t>1.</w:t>
      </w:r>
      <w:r w:rsidRPr="00F533A8">
        <w:rPr>
          <w:rFonts w:ascii="Arial" w:eastAsia="Arial" w:hAnsi="Arial" w:cs="Arial"/>
          <w:kern w:val="0"/>
          <w:sz w:val="24"/>
          <w:szCs w:val="24"/>
          <w:lang w:val="en-US"/>
          <w14:ligatures w14:val="none"/>
        </w:rPr>
        <w:tab/>
      </w:r>
      <w:r w:rsidR="006019DE" w:rsidRPr="009F468E">
        <w:rPr>
          <w:rFonts w:ascii="Arial" w:hAnsi="Arial"/>
          <w:sz w:val="24"/>
          <w:szCs w:val="24"/>
        </w:rPr>
        <w:t>The review application is dismissed.</w:t>
      </w:r>
    </w:p>
    <w:p w14:paraId="4256512F" w14:textId="45A2FBD5" w:rsidR="006019DE" w:rsidRPr="009F468E" w:rsidRDefault="009F468E" w:rsidP="009F468E">
      <w:pPr>
        <w:tabs>
          <w:tab w:val="left" w:pos="851"/>
        </w:tabs>
        <w:spacing w:line="360" w:lineRule="auto"/>
        <w:ind w:left="720" w:hanging="360"/>
        <w:jc w:val="both"/>
        <w:rPr>
          <w:rFonts w:ascii="Arial" w:hAnsi="Arial"/>
          <w:sz w:val="24"/>
          <w:szCs w:val="24"/>
        </w:rPr>
      </w:pPr>
      <w:r w:rsidRPr="00F533A8">
        <w:rPr>
          <w:rFonts w:ascii="Arial" w:eastAsia="Arial" w:hAnsi="Arial" w:cs="Arial"/>
          <w:kern w:val="0"/>
          <w:sz w:val="24"/>
          <w:szCs w:val="24"/>
          <w:lang w:val="en-US"/>
          <w14:ligatures w14:val="none"/>
        </w:rPr>
        <w:t>2.</w:t>
      </w:r>
      <w:r w:rsidRPr="00F533A8">
        <w:rPr>
          <w:rFonts w:ascii="Arial" w:eastAsia="Arial" w:hAnsi="Arial" w:cs="Arial"/>
          <w:kern w:val="0"/>
          <w:sz w:val="24"/>
          <w:szCs w:val="24"/>
          <w:lang w:val="en-US"/>
          <w14:ligatures w14:val="none"/>
        </w:rPr>
        <w:tab/>
      </w:r>
      <w:r w:rsidR="006019DE" w:rsidRPr="009F468E">
        <w:rPr>
          <w:rFonts w:ascii="Arial" w:hAnsi="Arial"/>
          <w:sz w:val="24"/>
          <w:szCs w:val="24"/>
        </w:rPr>
        <w:t>The applicant shall pay the second respondent’s costs of the review application and the application to compel on a punitive scale, which costs shall include the costs of two counsel where so employed.</w:t>
      </w:r>
    </w:p>
    <w:p w14:paraId="410171C8" w14:textId="59C499DD" w:rsidR="006019DE" w:rsidRPr="009F468E" w:rsidRDefault="009F468E" w:rsidP="009F468E">
      <w:pPr>
        <w:tabs>
          <w:tab w:val="left" w:pos="851"/>
        </w:tabs>
        <w:spacing w:line="360" w:lineRule="auto"/>
        <w:ind w:left="720" w:hanging="360"/>
        <w:jc w:val="both"/>
        <w:rPr>
          <w:rFonts w:ascii="Arial" w:hAnsi="Arial"/>
          <w:sz w:val="24"/>
          <w:szCs w:val="24"/>
        </w:rPr>
      </w:pPr>
      <w:r w:rsidRPr="00F533A8">
        <w:rPr>
          <w:rFonts w:ascii="Arial" w:eastAsia="Arial" w:hAnsi="Arial" w:cs="Arial"/>
          <w:kern w:val="0"/>
          <w:sz w:val="24"/>
          <w:szCs w:val="24"/>
          <w:lang w:val="en-US"/>
          <w14:ligatures w14:val="none"/>
        </w:rPr>
        <w:t>3.</w:t>
      </w:r>
      <w:r w:rsidRPr="00F533A8">
        <w:rPr>
          <w:rFonts w:ascii="Arial" w:eastAsia="Arial" w:hAnsi="Arial" w:cs="Arial"/>
          <w:kern w:val="0"/>
          <w:sz w:val="24"/>
          <w:szCs w:val="24"/>
          <w:lang w:val="en-US"/>
          <w14:ligatures w14:val="none"/>
        </w:rPr>
        <w:tab/>
      </w:r>
      <w:r w:rsidR="006019DE" w:rsidRPr="009F468E">
        <w:rPr>
          <w:rFonts w:ascii="Arial" w:hAnsi="Arial"/>
          <w:sz w:val="24"/>
          <w:szCs w:val="24"/>
        </w:rPr>
        <w:t>The counterapplication is dismissed</w:t>
      </w:r>
      <w:r w:rsidR="00310F0B" w:rsidRPr="009F468E">
        <w:rPr>
          <w:rFonts w:ascii="Arial" w:hAnsi="Arial"/>
          <w:sz w:val="24"/>
          <w:szCs w:val="24"/>
        </w:rPr>
        <w:t xml:space="preserve">. </w:t>
      </w:r>
    </w:p>
    <w:p w14:paraId="0899A0AF" w14:textId="6C429BBA" w:rsidR="00310F0B" w:rsidRPr="009F468E" w:rsidRDefault="009F468E" w:rsidP="009F468E">
      <w:pPr>
        <w:tabs>
          <w:tab w:val="left" w:pos="851"/>
        </w:tabs>
        <w:spacing w:line="360" w:lineRule="auto"/>
        <w:ind w:left="720" w:hanging="360"/>
        <w:jc w:val="both"/>
        <w:rPr>
          <w:rFonts w:ascii="Arial" w:hAnsi="Arial"/>
          <w:sz w:val="24"/>
          <w:szCs w:val="24"/>
        </w:rPr>
      </w:pPr>
      <w:r w:rsidRPr="00F533A8">
        <w:rPr>
          <w:rFonts w:ascii="Arial" w:eastAsia="Arial" w:hAnsi="Arial" w:cs="Arial"/>
          <w:kern w:val="0"/>
          <w:sz w:val="24"/>
          <w:szCs w:val="24"/>
          <w:lang w:val="en-US"/>
          <w14:ligatures w14:val="none"/>
        </w:rPr>
        <w:t>4.</w:t>
      </w:r>
      <w:r w:rsidRPr="00F533A8">
        <w:rPr>
          <w:rFonts w:ascii="Arial" w:eastAsia="Arial" w:hAnsi="Arial" w:cs="Arial"/>
          <w:kern w:val="0"/>
          <w:sz w:val="24"/>
          <w:szCs w:val="24"/>
          <w:lang w:val="en-US"/>
          <w14:ligatures w14:val="none"/>
        </w:rPr>
        <w:tab/>
      </w:r>
      <w:r w:rsidR="00310F0B" w:rsidRPr="009F468E">
        <w:rPr>
          <w:rFonts w:ascii="Arial" w:hAnsi="Arial"/>
          <w:sz w:val="24"/>
          <w:szCs w:val="24"/>
        </w:rPr>
        <w:t xml:space="preserve">The applicant and the first respondent shall bear their respective costs of the review application and the counterapplication. </w:t>
      </w:r>
    </w:p>
    <w:p w14:paraId="7A42BAD3" w14:textId="2BC5EB5C" w:rsidR="005C09C3" w:rsidRPr="009F468E" w:rsidRDefault="009F468E" w:rsidP="009F468E">
      <w:pPr>
        <w:tabs>
          <w:tab w:val="left" w:pos="851"/>
        </w:tabs>
        <w:spacing w:line="360" w:lineRule="auto"/>
        <w:ind w:left="720" w:hanging="360"/>
        <w:jc w:val="both"/>
        <w:rPr>
          <w:rFonts w:ascii="Arial" w:hAnsi="Arial"/>
          <w:sz w:val="24"/>
          <w:szCs w:val="24"/>
        </w:rPr>
      </w:pPr>
      <w:r w:rsidRPr="00F533A8">
        <w:rPr>
          <w:rFonts w:ascii="Arial" w:eastAsia="Arial" w:hAnsi="Arial" w:cs="Arial"/>
          <w:kern w:val="0"/>
          <w:sz w:val="24"/>
          <w:szCs w:val="24"/>
          <w:lang w:val="en-US"/>
          <w14:ligatures w14:val="none"/>
        </w:rPr>
        <w:t>5.</w:t>
      </w:r>
      <w:r w:rsidRPr="00F533A8">
        <w:rPr>
          <w:rFonts w:ascii="Arial" w:eastAsia="Arial" w:hAnsi="Arial" w:cs="Arial"/>
          <w:kern w:val="0"/>
          <w:sz w:val="24"/>
          <w:szCs w:val="24"/>
          <w:lang w:val="en-US"/>
          <w14:ligatures w14:val="none"/>
        </w:rPr>
        <w:tab/>
      </w:r>
      <w:r w:rsidR="005C09C3" w:rsidRPr="009F468E">
        <w:rPr>
          <w:rFonts w:ascii="Arial" w:hAnsi="Arial"/>
          <w:sz w:val="24"/>
          <w:szCs w:val="24"/>
        </w:rPr>
        <w:t xml:space="preserve">The applicant shall also bear its wasted costs occasioned by the April 2023 postponement. </w:t>
      </w:r>
    </w:p>
    <w:p w14:paraId="4E6DE77D" w14:textId="77777777" w:rsidR="009B7DA7" w:rsidRDefault="009B7DA7" w:rsidP="009B7DA7">
      <w:pPr>
        <w:pStyle w:val="ListParagraph"/>
        <w:widowControl/>
        <w:autoSpaceDE/>
        <w:autoSpaceDN/>
        <w:spacing w:after="700" w:line="360" w:lineRule="auto"/>
        <w:ind w:left="720" w:firstLine="0"/>
        <w:contextualSpacing/>
        <w:jc w:val="both"/>
        <w:rPr>
          <w:rFonts w:ascii="Arial" w:hAnsi="Arial"/>
          <w:sz w:val="24"/>
          <w:szCs w:val="24"/>
        </w:rPr>
      </w:pPr>
    </w:p>
    <w:p w14:paraId="6956845E" w14:textId="4EC2C78F" w:rsidR="009B7DA7" w:rsidRPr="00DB7866" w:rsidRDefault="009B7DA7" w:rsidP="009B7DA7">
      <w:pPr>
        <w:pStyle w:val="ListParagraph"/>
        <w:spacing w:after="700" w:line="360" w:lineRule="auto"/>
        <w:jc w:val="right"/>
        <w:rPr>
          <w:rFonts w:ascii="Arial" w:hAnsi="Arial"/>
          <w:sz w:val="24"/>
          <w:szCs w:val="24"/>
        </w:rPr>
      </w:pPr>
    </w:p>
    <w:p w14:paraId="372101CF" w14:textId="77777777" w:rsidR="009B7DA7" w:rsidRDefault="009B7DA7" w:rsidP="009B7DA7">
      <w:pPr>
        <w:pStyle w:val="JudgmentNumbered"/>
        <w:numPr>
          <w:ilvl w:val="0"/>
          <w:numId w:val="0"/>
        </w:numPr>
        <w:spacing w:after="0"/>
        <w:ind w:left="567" w:hanging="567"/>
        <w:jc w:val="right"/>
      </w:pPr>
      <w:r>
        <w:t>___________________________</w:t>
      </w:r>
    </w:p>
    <w:p w14:paraId="084F3F1D" w14:textId="77777777" w:rsidR="009B7DA7" w:rsidRDefault="009B7DA7" w:rsidP="009B7DA7">
      <w:pPr>
        <w:pStyle w:val="JudgmentNumbered"/>
        <w:numPr>
          <w:ilvl w:val="0"/>
          <w:numId w:val="0"/>
        </w:numPr>
        <w:spacing w:after="0"/>
        <w:ind w:left="567" w:hanging="567"/>
        <w:jc w:val="right"/>
        <w:rPr>
          <w:b/>
        </w:rPr>
      </w:pPr>
      <w:r>
        <w:rPr>
          <w:b/>
        </w:rPr>
        <w:t>MODIBA J</w:t>
      </w:r>
    </w:p>
    <w:p w14:paraId="021B083F" w14:textId="6D94FB13" w:rsidR="009B7DA7" w:rsidRDefault="009B7DA7" w:rsidP="009B7DA7">
      <w:pPr>
        <w:pStyle w:val="JudgmentNumbered"/>
        <w:numPr>
          <w:ilvl w:val="0"/>
          <w:numId w:val="0"/>
        </w:numPr>
        <w:spacing w:after="0"/>
        <w:ind w:left="567" w:hanging="567"/>
        <w:jc w:val="right"/>
        <w:rPr>
          <w:b/>
        </w:rPr>
      </w:pPr>
      <w:r>
        <w:rPr>
          <w:b/>
        </w:rPr>
        <w:t>PRESIDENT, SPECIAL TRIBUNAL OF SOUTH AFRICA</w:t>
      </w:r>
    </w:p>
    <w:p w14:paraId="4C6EB6F6" w14:textId="77777777" w:rsidR="009B7DA7" w:rsidRPr="00F533A8" w:rsidRDefault="009B7DA7" w:rsidP="00E212A8">
      <w:pPr>
        <w:tabs>
          <w:tab w:val="left" w:pos="851"/>
        </w:tabs>
        <w:spacing w:line="360" w:lineRule="auto"/>
        <w:ind w:left="360"/>
        <w:jc w:val="both"/>
        <w:rPr>
          <w:rFonts w:ascii="Arial" w:hAnsi="Arial" w:cs="Arial"/>
          <w:sz w:val="24"/>
          <w:szCs w:val="24"/>
        </w:rPr>
      </w:pPr>
    </w:p>
    <w:p w14:paraId="2EB221D1" w14:textId="47BDE77D" w:rsidR="0016173A" w:rsidRPr="009B7DA7" w:rsidRDefault="009B7DA7" w:rsidP="00E212A8">
      <w:pPr>
        <w:spacing w:line="360" w:lineRule="auto"/>
        <w:rPr>
          <w:rFonts w:ascii="Arial" w:hAnsi="Arial" w:cs="Arial"/>
          <w:b/>
          <w:bCs/>
          <w:sz w:val="24"/>
          <w:szCs w:val="24"/>
        </w:rPr>
      </w:pPr>
      <w:r w:rsidRPr="009B7DA7">
        <w:rPr>
          <w:rFonts w:ascii="Arial" w:hAnsi="Arial" w:cs="Arial"/>
          <w:b/>
          <w:bCs/>
          <w:sz w:val="24"/>
          <w:szCs w:val="24"/>
        </w:rPr>
        <w:t>APPEARANCES</w:t>
      </w:r>
    </w:p>
    <w:p w14:paraId="50FF3956" w14:textId="77777777" w:rsidR="0016173A" w:rsidRPr="00F533A8" w:rsidRDefault="0016173A" w:rsidP="00E212A8">
      <w:pPr>
        <w:spacing w:line="360" w:lineRule="auto"/>
        <w:rPr>
          <w:rFonts w:ascii="Arial" w:hAnsi="Arial" w:cs="Arial"/>
          <w:sz w:val="24"/>
          <w:szCs w:val="24"/>
        </w:rPr>
      </w:pPr>
      <w:r w:rsidRPr="00F533A8">
        <w:rPr>
          <w:rFonts w:ascii="Arial" w:hAnsi="Arial" w:cs="Arial"/>
          <w:sz w:val="24"/>
          <w:szCs w:val="24"/>
        </w:rPr>
        <w:t>Attorney the applicant    Ms S Zondi, Office of the state attorney</w:t>
      </w:r>
    </w:p>
    <w:p w14:paraId="6A477035" w14:textId="77777777" w:rsidR="0016173A" w:rsidRPr="00F533A8" w:rsidRDefault="0016173A" w:rsidP="00E212A8">
      <w:pPr>
        <w:spacing w:line="360" w:lineRule="auto"/>
        <w:rPr>
          <w:rFonts w:ascii="Arial" w:hAnsi="Arial" w:cs="Arial"/>
          <w:sz w:val="24"/>
          <w:szCs w:val="24"/>
        </w:rPr>
      </w:pPr>
      <w:r w:rsidRPr="00F533A8">
        <w:rPr>
          <w:rFonts w:ascii="Arial" w:hAnsi="Arial" w:cs="Arial"/>
          <w:sz w:val="24"/>
          <w:szCs w:val="24"/>
        </w:rPr>
        <w:t>Counsel for the applicant   Adv. RBG Choudree SC, assisted by K Bheemchund</w:t>
      </w:r>
    </w:p>
    <w:p w14:paraId="51A89B89" w14:textId="77777777" w:rsidR="0016173A" w:rsidRPr="00F533A8" w:rsidRDefault="0016173A" w:rsidP="00E212A8">
      <w:pPr>
        <w:spacing w:line="360" w:lineRule="auto"/>
        <w:rPr>
          <w:rFonts w:ascii="Arial" w:hAnsi="Arial" w:cs="Arial"/>
          <w:sz w:val="24"/>
          <w:szCs w:val="24"/>
        </w:rPr>
      </w:pPr>
    </w:p>
    <w:p w14:paraId="4C63C164" w14:textId="77777777" w:rsidR="0016173A" w:rsidRPr="00F533A8" w:rsidRDefault="0016173A" w:rsidP="00E212A8">
      <w:pPr>
        <w:spacing w:line="360" w:lineRule="auto"/>
        <w:rPr>
          <w:rFonts w:ascii="Arial" w:hAnsi="Arial" w:cs="Arial"/>
          <w:sz w:val="24"/>
          <w:szCs w:val="24"/>
        </w:rPr>
      </w:pPr>
      <w:r w:rsidRPr="00F533A8">
        <w:rPr>
          <w:rFonts w:ascii="Arial" w:hAnsi="Arial" w:cs="Arial"/>
          <w:sz w:val="24"/>
          <w:szCs w:val="24"/>
        </w:rPr>
        <w:t>Attorney for the first respondent Mr T Makhubela, MT Makhubela Incorporated</w:t>
      </w:r>
    </w:p>
    <w:p w14:paraId="29FF0560" w14:textId="77777777" w:rsidR="0016173A" w:rsidRPr="00F533A8" w:rsidRDefault="0016173A" w:rsidP="00E212A8">
      <w:pPr>
        <w:spacing w:line="360" w:lineRule="auto"/>
        <w:ind w:left="720" w:hanging="720"/>
        <w:rPr>
          <w:rFonts w:ascii="Arial" w:hAnsi="Arial" w:cs="Arial"/>
          <w:sz w:val="24"/>
          <w:szCs w:val="24"/>
        </w:rPr>
      </w:pPr>
      <w:r w:rsidRPr="00F533A8">
        <w:rPr>
          <w:rFonts w:ascii="Arial" w:hAnsi="Arial" w:cs="Arial"/>
          <w:sz w:val="24"/>
          <w:szCs w:val="24"/>
        </w:rPr>
        <w:t>Counsel for the first respondent  Adv. M Mojapelo  assisted by D Mtsweni</w:t>
      </w:r>
    </w:p>
    <w:p w14:paraId="377E0ADE" w14:textId="77777777" w:rsidR="0016173A" w:rsidRPr="00F533A8" w:rsidRDefault="0016173A" w:rsidP="00E212A8">
      <w:pPr>
        <w:spacing w:line="360" w:lineRule="auto"/>
        <w:rPr>
          <w:rFonts w:ascii="Arial" w:hAnsi="Arial" w:cs="Arial"/>
          <w:sz w:val="24"/>
          <w:szCs w:val="24"/>
        </w:rPr>
      </w:pPr>
    </w:p>
    <w:p w14:paraId="7973BC10" w14:textId="77777777" w:rsidR="0016173A" w:rsidRPr="00F533A8" w:rsidRDefault="0016173A" w:rsidP="00E212A8">
      <w:pPr>
        <w:spacing w:line="360" w:lineRule="auto"/>
        <w:rPr>
          <w:rFonts w:ascii="Arial" w:hAnsi="Arial" w:cs="Arial"/>
          <w:sz w:val="24"/>
          <w:szCs w:val="24"/>
        </w:rPr>
      </w:pPr>
      <w:r w:rsidRPr="00F533A8">
        <w:rPr>
          <w:rFonts w:ascii="Arial" w:hAnsi="Arial" w:cs="Arial"/>
          <w:sz w:val="24"/>
          <w:szCs w:val="24"/>
        </w:rPr>
        <w:t xml:space="preserve">Attorney for the second respondent Mr V Chetty, V Chetty Incorporation </w:t>
      </w:r>
    </w:p>
    <w:p w14:paraId="6802B4B6" w14:textId="77777777" w:rsidR="0016173A" w:rsidRDefault="0016173A" w:rsidP="00E212A8">
      <w:pPr>
        <w:spacing w:line="360" w:lineRule="auto"/>
        <w:rPr>
          <w:rFonts w:ascii="Arial" w:hAnsi="Arial" w:cs="Arial"/>
          <w:sz w:val="24"/>
          <w:szCs w:val="24"/>
        </w:rPr>
      </w:pPr>
      <w:r w:rsidRPr="00F533A8">
        <w:rPr>
          <w:rFonts w:ascii="Arial" w:hAnsi="Arial" w:cs="Arial"/>
          <w:sz w:val="24"/>
          <w:szCs w:val="24"/>
        </w:rPr>
        <w:t>Counsel for the second respond Adv. A.K Kisson-singh SC assisted by V.I Gajoo SC</w:t>
      </w:r>
    </w:p>
    <w:p w14:paraId="0E328E85" w14:textId="77777777" w:rsidR="009B7DA7" w:rsidRDefault="009B7DA7" w:rsidP="00E212A8">
      <w:pPr>
        <w:spacing w:line="360" w:lineRule="auto"/>
        <w:rPr>
          <w:rFonts w:ascii="Arial" w:hAnsi="Arial" w:cs="Arial"/>
          <w:sz w:val="24"/>
          <w:szCs w:val="24"/>
        </w:rPr>
      </w:pPr>
    </w:p>
    <w:p w14:paraId="644509F2" w14:textId="77777777" w:rsidR="0016173A" w:rsidRPr="00F533A8" w:rsidRDefault="0016173A" w:rsidP="00E212A8">
      <w:pPr>
        <w:spacing w:line="360" w:lineRule="auto"/>
        <w:rPr>
          <w:rFonts w:ascii="Arial" w:hAnsi="Arial" w:cs="Arial"/>
          <w:sz w:val="24"/>
          <w:szCs w:val="24"/>
        </w:rPr>
      </w:pPr>
      <w:r w:rsidRPr="00F533A8">
        <w:rPr>
          <w:rFonts w:ascii="Arial" w:hAnsi="Arial" w:cs="Arial"/>
          <w:sz w:val="24"/>
          <w:szCs w:val="24"/>
        </w:rPr>
        <w:t>Date of hearing 11 September 2023</w:t>
      </w:r>
    </w:p>
    <w:p w14:paraId="479B86DE" w14:textId="4F9DE2F3" w:rsidR="0016173A" w:rsidRPr="00F533A8" w:rsidRDefault="0016173A" w:rsidP="00E212A8">
      <w:pPr>
        <w:spacing w:line="360" w:lineRule="auto"/>
        <w:rPr>
          <w:rFonts w:ascii="Arial" w:hAnsi="Arial" w:cs="Arial"/>
          <w:sz w:val="24"/>
          <w:szCs w:val="24"/>
        </w:rPr>
      </w:pPr>
      <w:r w:rsidRPr="00F533A8">
        <w:rPr>
          <w:rFonts w:ascii="Arial" w:hAnsi="Arial" w:cs="Arial"/>
          <w:sz w:val="24"/>
          <w:szCs w:val="24"/>
        </w:rPr>
        <w:t xml:space="preserve">Date of Judgment  </w:t>
      </w:r>
      <w:r w:rsidR="009B7DA7">
        <w:rPr>
          <w:rFonts w:ascii="Arial" w:hAnsi="Arial" w:cs="Arial"/>
          <w:sz w:val="24"/>
          <w:szCs w:val="24"/>
        </w:rPr>
        <w:t>27</w:t>
      </w:r>
      <w:r w:rsidRPr="00F533A8">
        <w:rPr>
          <w:rFonts w:ascii="Arial" w:hAnsi="Arial" w:cs="Arial"/>
          <w:sz w:val="24"/>
          <w:szCs w:val="24"/>
        </w:rPr>
        <w:t xml:space="preserve"> February 2024</w:t>
      </w:r>
    </w:p>
    <w:p w14:paraId="5A4FF2B5" w14:textId="77777777" w:rsidR="0016173A" w:rsidRPr="00F533A8" w:rsidRDefault="0016173A" w:rsidP="00E212A8">
      <w:pPr>
        <w:spacing w:line="360" w:lineRule="auto"/>
        <w:rPr>
          <w:rFonts w:ascii="Arial" w:hAnsi="Arial" w:cs="Arial"/>
          <w:sz w:val="24"/>
          <w:szCs w:val="24"/>
        </w:rPr>
      </w:pPr>
    </w:p>
    <w:p w14:paraId="481EF31A" w14:textId="56D5543B" w:rsidR="0016173A" w:rsidRPr="00F533A8" w:rsidRDefault="0016173A" w:rsidP="00E212A8">
      <w:pPr>
        <w:tabs>
          <w:tab w:val="left" w:pos="709"/>
          <w:tab w:val="left" w:pos="1560"/>
          <w:tab w:val="right" w:pos="8931"/>
        </w:tabs>
        <w:spacing w:after="480" w:line="360" w:lineRule="auto"/>
        <w:jc w:val="both"/>
        <w:rPr>
          <w:rFonts w:ascii="Arial" w:hAnsi="Arial" w:cs="Arial"/>
          <w:sz w:val="24"/>
          <w:szCs w:val="24"/>
          <w:lang w:eastAsia="en-ZA"/>
        </w:rPr>
      </w:pPr>
      <w:r w:rsidRPr="00F533A8">
        <w:rPr>
          <w:rFonts w:ascii="Arial" w:eastAsia="Times New Roman" w:hAnsi="Arial" w:cs="Arial"/>
          <w:b/>
          <w:i/>
          <w:sz w:val="24"/>
          <w:szCs w:val="24"/>
          <w:lang w:eastAsia="en-GB"/>
        </w:rPr>
        <w:t>Mode of delivery:</w:t>
      </w:r>
      <w:r w:rsidRPr="00F533A8">
        <w:rPr>
          <w:rFonts w:ascii="Arial" w:eastAsia="Times New Roman" w:hAnsi="Arial" w:cs="Arial"/>
          <w:i/>
          <w:sz w:val="24"/>
          <w:szCs w:val="24"/>
          <w:lang w:eastAsia="en-GB"/>
        </w:rPr>
        <w:t xml:space="preserve"> this judgment is </w:t>
      </w:r>
      <w:r w:rsidRPr="00F533A8">
        <w:rPr>
          <w:rFonts w:ascii="Arial" w:eastAsia="Times New Roman" w:hAnsi="Arial" w:cs="Arial"/>
          <w:i/>
          <w:color w:val="222222"/>
          <w:sz w:val="24"/>
          <w:szCs w:val="24"/>
        </w:rPr>
        <w:t xml:space="preserve">handed down by sending it by email to the parties’ legal representatives, loading on Caselines and release to SAFLII and AFRICANLII. The date and time for delivery is deemed to be 10 a.m. </w:t>
      </w:r>
    </w:p>
    <w:p w14:paraId="6661151E" w14:textId="77777777" w:rsidR="0016173A" w:rsidRPr="00F533A8" w:rsidRDefault="0016173A" w:rsidP="00E212A8">
      <w:pPr>
        <w:spacing w:line="360" w:lineRule="auto"/>
        <w:rPr>
          <w:rFonts w:ascii="Arial" w:hAnsi="Arial" w:cs="Arial"/>
          <w:sz w:val="24"/>
          <w:szCs w:val="24"/>
        </w:rPr>
      </w:pPr>
    </w:p>
    <w:p w14:paraId="44F3B884" w14:textId="77777777" w:rsidR="0016173A" w:rsidRPr="00F533A8" w:rsidRDefault="0016173A" w:rsidP="00E212A8">
      <w:pPr>
        <w:tabs>
          <w:tab w:val="left" w:pos="851"/>
        </w:tabs>
        <w:spacing w:line="360" w:lineRule="auto"/>
        <w:ind w:left="360"/>
        <w:jc w:val="both"/>
        <w:rPr>
          <w:rFonts w:ascii="Arial" w:hAnsi="Arial" w:cs="Arial"/>
          <w:sz w:val="24"/>
          <w:szCs w:val="24"/>
        </w:rPr>
      </w:pPr>
    </w:p>
    <w:p w14:paraId="2DBF7DE2" w14:textId="163D768C" w:rsidR="006019DE" w:rsidRPr="00F533A8" w:rsidRDefault="006019DE" w:rsidP="00E212A8">
      <w:pPr>
        <w:tabs>
          <w:tab w:val="left" w:pos="851"/>
        </w:tabs>
        <w:spacing w:line="360" w:lineRule="auto"/>
        <w:ind w:left="360"/>
        <w:jc w:val="both"/>
        <w:rPr>
          <w:rFonts w:ascii="Arial" w:hAnsi="Arial" w:cs="Arial"/>
          <w:sz w:val="24"/>
          <w:szCs w:val="24"/>
        </w:rPr>
      </w:pPr>
      <w:r w:rsidRPr="00F533A8">
        <w:rPr>
          <w:rFonts w:ascii="Arial" w:hAnsi="Arial" w:cs="Arial"/>
          <w:sz w:val="24"/>
          <w:szCs w:val="24"/>
        </w:rPr>
        <w:t xml:space="preserve"> </w:t>
      </w:r>
    </w:p>
    <w:p w14:paraId="04A263BC" w14:textId="77777777" w:rsidR="00D448D2" w:rsidRPr="00F533A8" w:rsidRDefault="00D448D2" w:rsidP="00E212A8">
      <w:pPr>
        <w:tabs>
          <w:tab w:val="left" w:pos="851"/>
        </w:tabs>
        <w:spacing w:line="360" w:lineRule="auto"/>
        <w:jc w:val="both"/>
        <w:rPr>
          <w:rFonts w:ascii="Arial" w:hAnsi="Arial" w:cs="Arial"/>
          <w:sz w:val="24"/>
          <w:szCs w:val="24"/>
        </w:rPr>
      </w:pPr>
    </w:p>
    <w:sectPr w:rsidR="00D448D2" w:rsidRPr="00F533A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C2D5C" w14:textId="77777777" w:rsidR="006A10BC" w:rsidRDefault="006A10BC" w:rsidP="007203F5">
      <w:pPr>
        <w:spacing w:after="0" w:line="240" w:lineRule="auto"/>
      </w:pPr>
      <w:r>
        <w:separator/>
      </w:r>
    </w:p>
  </w:endnote>
  <w:endnote w:type="continuationSeparator" w:id="0">
    <w:p w14:paraId="0FBF2075" w14:textId="77777777" w:rsidR="006A10BC" w:rsidRDefault="006A10BC" w:rsidP="0072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ppleSystemUIFont">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E10B7" w14:textId="77777777" w:rsidR="006A10BC" w:rsidRDefault="006A10BC" w:rsidP="007203F5">
      <w:pPr>
        <w:spacing w:after="0" w:line="240" w:lineRule="auto"/>
      </w:pPr>
      <w:r>
        <w:separator/>
      </w:r>
    </w:p>
  </w:footnote>
  <w:footnote w:type="continuationSeparator" w:id="0">
    <w:p w14:paraId="65BC60E7" w14:textId="77777777" w:rsidR="006A10BC" w:rsidRDefault="006A10BC" w:rsidP="007203F5">
      <w:pPr>
        <w:spacing w:after="0" w:line="240" w:lineRule="auto"/>
      </w:pPr>
      <w:r>
        <w:continuationSeparator/>
      </w:r>
    </w:p>
  </w:footnote>
  <w:footnote w:id="1">
    <w:p w14:paraId="5B462B3C" w14:textId="77777777" w:rsidR="00B12EBE" w:rsidRPr="00DA4763" w:rsidRDefault="00B12EBE" w:rsidP="00B12EBE">
      <w:pPr>
        <w:pStyle w:val="FootnoteText"/>
        <w:spacing w:after="120"/>
        <w:jc w:val="both"/>
        <w:rPr>
          <w:rFonts w:ascii="Arial" w:hAnsi="Arial" w:cs="Arial"/>
          <w:sz w:val="19"/>
          <w:szCs w:val="19"/>
          <w:lang w:eastAsia="x-none" w:bidi="en-US"/>
        </w:rPr>
      </w:pPr>
      <w:r>
        <w:rPr>
          <w:rStyle w:val="FootnoteReference"/>
        </w:rPr>
        <w:footnoteRef/>
      </w:r>
      <w:r>
        <w:t xml:space="preserve"> </w:t>
      </w:r>
      <w:r w:rsidRPr="00DA4763">
        <w:rPr>
          <w:rFonts w:ascii="Arial" w:hAnsi="Arial" w:cs="Arial"/>
          <w:i/>
          <w:iCs/>
          <w:sz w:val="19"/>
          <w:szCs w:val="19"/>
          <w:lang w:eastAsia="x-none" w:bidi="en-US"/>
        </w:rPr>
        <w:t>Democratic Alliance and Others v Acting National Director of Public Prosecutions and Others</w:t>
      </w:r>
      <w:r w:rsidRPr="00DA4763">
        <w:rPr>
          <w:rFonts w:ascii="Arial" w:hAnsi="Arial" w:cs="Arial"/>
          <w:sz w:val="19"/>
          <w:szCs w:val="19"/>
          <w:lang w:eastAsia="x-none" w:bidi="en-US"/>
        </w:rPr>
        <w:t xml:space="preserve"> 2012 (3) SA 486 (SCA) ([2012] 2 All SA 345; 2012 (6) BCLR </w:t>
      </w:r>
      <w:r>
        <w:rPr>
          <w:rFonts w:ascii="Arial" w:hAnsi="Arial" w:cs="Arial"/>
          <w:sz w:val="19"/>
          <w:szCs w:val="19"/>
          <w:lang w:eastAsia="x-none" w:bidi="en-US"/>
        </w:rPr>
        <w:t xml:space="preserve">613; [2012] ZASCA 15) para 49; </w:t>
      </w:r>
      <w:r w:rsidRPr="00DA4763">
        <w:rPr>
          <w:rFonts w:ascii="Arial" w:hAnsi="Arial" w:cs="Arial"/>
          <w:i/>
          <w:iCs/>
          <w:sz w:val="19"/>
          <w:szCs w:val="19"/>
          <w:lang w:eastAsia="x-none" w:bidi="en-US"/>
        </w:rPr>
        <w:t>Louis Pasteur Holdings (Pty) Ltd and Others v ABSA Bank Ltd and Others</w:t>
      </w:r>
      <w:r>
        <w:rPr>
          <w:rFonts w:ascii="Arial" w:hAnsi="Arial" w:cs="Arial"/>
          <w:sz w:val="19"/>
          <w:szCs w:val="19"/>
          <w:lang w:eastAsia="x-none" w:bidi="en-US"/>
        </w:rPr>
        <w:t xml:space="preserve"> 2019 (3) SA 97 (SCA) para 33; </w:t>
      </w:r>
      <w:r w:rsidRPr="00DA4763">
        <w:rPr>
          <w:rFonts w:ascii="Arial" w:hAnsi="Arial" w:cs="Arial"/>
          <w:i/>
          <w:iCs/>
          <w:sz w:val="19"/>
          <w:szCs w:val="19"/>
          <w:lang w:eastAsia="x-none" w:bidi="en-US"/>
        </w:rPr>
        <w:t>Theron and Another NNO v Loubser NO and Others</w:t>
      </w:r>
      <w:r>
        <w:rPr>
          <w:rFonts w:ascii="Arial" w:hAnsi="Arial" w:cs="Arial"/>
          <w:sz w:val="19"/>
          <w:szCs w:val="19"/>
          <w:lang w:eastAsia="x-none" w:bidi="en-US"/>
        </w:rPr>
        <w:t xml:space="preserve"> 2014 (3) SA 323 (SCA) para 21.</w:t>
      </w:r>
    </w:p>
    <w:p w14:paraId="2DF591B0" w14:textId="77777777" w:rsidR="00B12EBE" w:rsidRPr="0012048D" w:rsidRDefault="00B12EBE" w:rsidP="00B12EBE">
      <w:pPr>
        <w:pStyle w:val="FootnoteText"/>
        <w:rPr>
          <w:lang w:val="en-GB"/>
        </w:rPr>
      </w:pPr>
    </w:p>
  </w:footnote>
  <w:footnote w:id="2">
    <w:p w14:paraId="72EF3BEF" w14:textId="77777777" w:rsidR="00D24DD3" w:rsidRPr="00590510" w:rsidRDefault="00D24DD3" w:rsidP="00D24DD3">
      <w:pPr>
        <w:pStyle w:val="FootnoteText"/>
        <w:rPr>
          <w:rFonts w:asciiTheme="minorHAnsi" w:hAnsiTheme="minorHAnsi" w:cstheme="minorHAnsi"/>
          <w:sz w:val="20"/>
          <w:lang w:val="en-GB"/>
        </w:rPr>
      </w:pPr>
      <w:r w:rsidRPr="00590510">
        <w:rPr>
          <w:rStyle w:val="FootnoteReference"/>
          <w:rFonts w:ascii="Arial" w:hAnsi="Arial"/>
          <w:sz w:val="24"/>
        </w:rPr>
        <w:footnoteRef/>
      </w:r>
      <w:r w:rsidRPr="00590510">
        <w:rPr>
          <w:rFonts w:ascii="Arial" w:hAnsi="Arial" w:cs="Arial"/>
          <w:sz w:val="24"/>
          <w:szCs w:val="24"/>
        </w:rPr>
        <w:t xml:space="preserve"> </w:t>
      </w:r>
      <w:r w:rsidRPr="00590510">
        <w:rPr>
          <w:rFonts w:asciiTheme="minorHAnsi" w:hAnsiTheme="minorHAnsi" w:cstheme="minorHAnsi"/>
          <w:sz w:val="20"/>
          <w:lang w:val="en-GB"/>
        </w:rPr>
        <w:t>Act 3 of 2000.</w:t>
      </w:r>
    </w:p>
  </w:footnote>
  <w:footnote w:id="3">
    <w:p w14:paraId="334D31D6" w14:textId="20C07B40" w:rsidR="00D24DD3" w:rsidRPr="00EA4D5F" w:rsidRDefault="00D24DD3" w:rsidP="00EA4D5F">
      <w:pPr>
        <w:pStyle w:val="FootnoteText"/>
        <w:jc w:val="both"/>
        <w:rPr>
          <w:lang w:val="en-GB"/>
        </w:rPr>
      </w:pPr>
      <w:r>
        <w:rPr>
          <w:rStyle w:val="FootnoteReference"/>
        </w:rPr>
        <w:footnoteRef/>
      </w:r>
      <w:r>
        <w:t xml:space="preserve"> </w:t>
      </w:r>
      <w:r w:rsidR="00EA4D5F" w:rsidRPr="00EA4D5F">
        <w:rPr>
          <w:rFonts w:asciiTheme="minorHAnsi" w:hAnsiTheme="minorHAnsi" w:cstheme="minorHAnsi"/>
          <w:i/>
          <w:iCs/>
          <w:sz w:val="20"/>
        </w:rPr>
        <w:t xml:space="preserve">State Information Technology Agency Soc Ltd </w:t>
      </w:r>
      <w:r w:rsidR="00EA4D5F">
        <w:rPr>
          <w:rFonts w:asciiTheme="minorHAnsi" w:hAnsiTheme="minorHAnsi" w:cstheme="minorHAnsi"/>
          <w:i/>
          <w:iCs/>
          <w:sz w:val="20"/>
          <w:lang w:val="en-GB"/>
        </w:rPr>
        <w:t>v</w:t>
      </w:r>
      <w:r w:rsidR="00EA4D5F" w:rsidRPr="00EA4D5F">
        <w:rPr>
          <w:rFonts w:asciiTheme="minorHAnsi" w:hAnsiTheme="minorHAnsi" w:cstheme="minorHAnsi"/>
          <w:i/>
          <w:iCs/>
          <w:sz w:val="20"/>
        </w:rPr>
        <w:t> </w:t>
      </w:r>
      <w:bookmarkStart w:id="1" w:name="LPHit1"/>
      <w:bookmarkEnd w:id="1"/>
      <w:r w:rsidR="00EA4D5F" w:rsidRPr="00EA4D5F">
        <w:rPr>
          <w:rFonts w:asciiTheme="minorHAnsi" w:hAnsiTheme="minorHAnsi" w:cstheme="minorHAnsi"/>
          <w:i/>
          <w:iCs/>
          <w:sz w:val="20"/>
        </w:rPr>
        <w:t xml:space="preserve">Gijima Holdings </w:t>
      </w:r>
      <w:r w:rsidR="00EA4D5F" w:rsidRPr="00EA4D5F">
        <w:rPr>
          <w:rFonts w:asciiTheme="minorHAnsi" w:hAnsiTheme="minorHAnsi" w:cstheme="minorHAnsi"/>
          <w:sz w:val="20"/>
        </w:rPr>
        <w:t>(Pty) Ltd 2018 (2) S</w:t>
      </w:r>
      <w:r w:rsidR="00EA4D5F">
        <w:rPr>
          <w:rFonts w:asciiTheme="minorHAnsi" w:hAnsiTheme="minorHAnsi" w:cstheme="minorHAnsi"/>
          <w:sz w:val="20"/>
          <w:lang w:val="en-GB"/>
        </w:rPr>
        <w:t>A</w:t>
      </w:r>
      <w:r w:rsidR="00EA4D5F" w:rsidRPr="00EA4D5F">
        <w:rPr>
          <w:rFonts w:asciiTheme="minorHAnsi" w:hAnsiTheme="minorHAnsi" w:cstheme="minorHAnsi"/>
          <w:sz w:val="20"/>
        </w:rPr>
        <w:t xml:space="preserve"> 23 (C</w:t>
      </w:r>
      <w:r w:rsidR="00EA4D5F">
        <w:rPr>
          <w:rFonts w:asciiTheme="minorHAnsi" w:hAnsiTheme="minorHAnsi" w:cstheme="minorHAnsi"/>
          <w:sz w:val="20"/>
          <w:lang w:val="en-GB"/>
        </w:rPr>
        <w:t>C</w:t>
      </w:r>
      <w:r w:rsidR="00EA4D5F" w:rsidRPr="00EA4D5F">
        <w:rPr>
          <w:rFonts w:asciiTheme="minorHAnsi" w:hAnsiTheme="minorHAnsi" w:cstheme="minorHAnsi"/>
          <w:sz w:val="20"/>
        </w:rPr>
        <w:t>)</w:t>
      </w:r>
      <w:r w:rsidR="00EA4D5F" w:rsidRPr="00EA4D5F">
        <w:rPr>
          <w:rFonts w:asciiTheme="minorHAnsi" w:hAnsiTheme="minorHAnsi" w:cstheme="minorHAnsi"/>
          <w:sz w:val="20"/>
          <w:lang w:val="en-GB"/>
        </w:rPr>
        <w:t xml:space="preserve">. </w:t>
      </w:r>
    </w:p>
  </w:footnote>
  <w:footnote w:id="4">
    <w:p w14:paraId="65FDAEEF" w14:textId="713AE6FC" w:rsidR="00734BBC" w:rsidRPr="00734BBC" w:rsidRDefault="00734BBC">
      <w:pPr>
        <w:pStyle w:val="FootnoteText"/>
        <w:rPr>
          <w:lang w:val="en-GB"/>
        </w:rPr>
      </w:pPr>
      <w:r w:rsidRPr="00734BBC">
        <w:rPr>
          <w:rStyle w:val="FootnoteReference"/>
          <w:i/>
          <w:iCs/>
        </w:rPr>
        <w:footnoteRef/>
      </w:r>
      <w:r w:rsidRPr="00734BBC">
        <w:rPr>
          <w:i/>
          <w:iCs/>
        </w:rPr>
        <w:t xml:space="preserve"> Ledla Structural Development (Pty) Ltd </w:t>
      </w:r>
      <w:r w:rsidRPr="00734BBC">
        <w:rPr>
          <w:i/>
          <w:iCs/>
          <w:lang w:val="en-GB"/>
        </w:rPr>
        <w:t>a</w:t>
      </w:r>
      <w:r w:rsidRPr="00734BBC">
        <w:rPr>
          <w:i/>
          <w:iCs/>
        </w:rPr>
        <w:t xml:space="preserve">nd Others </w:t>
      </w:r>
      <w:r w:rsidRPr="00734BBC">
        <w:rPr>
          <w:i/>
          <w:iCs/>
          <w:lang w:val="en-GB"/>
        </w:rPr>
        <w:t>v</w:t>
      </w:r>
      <w:r w:rsidRPr="00734BBC">
        <w:rPr>
          <w:i/>
          <w:iCs/>
        </w:rPr>
        <w:t xml:space="preserve"> Special Investigating Unit</w:t>
      </w:r>
      <w:r w:rsidRPr="00734BBC">
        <w:t xml:space="preserve"> 2023 (2) SACR 1 (CC)</w:t>
      </w:r>
      <w:r>
        <w:rPr>
          <w:lang w:val="en-GB"/>
        </w:rPr>
        <w:t>.</w:t>
      </w:r>
    </w:p>
  </w:footnote>
  <w:footnote w:id="5">
    <w:p w14:paraId="79B080D7" w14:textId="4440FFC6" w:rsidR="00642E95" w:rsidRPr="00590510" w:rsidRDefault="00642E95" w:rsidP="00642E95">
      <w:pPr>
        <w:pStyle w:val="FootnoteText"/>
        <w:jc w:val="both"/>
        <w:rPr>
          <w:rFonts w:ascii="Arial" w:hAnsi="Arial" w:cs="Arial"/>
          <w:sz w:val="24"/>
          <w:szCs w:val="24"/>
          <w:lang w:val="en-ZA"/>
        </w:rPr>
      </w:pPr>
      <w:r w:rsidRPr="00590510">
        <w:rPr>
          <w:rStyle w:val="FootnoteReference"/>
          <w:rFonts w:asciiTheme="minorHAnsi" w:hAnsiTheme="minorHAnsi" w:cstheme="minorHAnsi"/>
          <w:sz w:val="20"/>
          <w:szCs w:val="20"/>
        </w:rPr>
        <w:footnoteRef/>
      </w:r>
      <w:bookmarkStart w:id="2" w:name="_Hlk115336097"/>
      <w:bookmarkStart w:id="3" w:name="_Hlk115336260"/>
      <w:r w:rsidRPr="00590510">
        <w:rPr>
          <w:rFonts w:asciiTheme="minorHAnsi" w:hAnsiTheme="minorHAnsi" w:cstheme="minorHAnsi"/>
          <w:i/>
          <w:iCs/>
          <w:sz w:val="20"/>
          <w:lang w:val="en-ZA"/>
        </w:rPr>
        <w:t xml:space="preserve"> </w:t>
      </w:r>
      <w:bookmarkEnd w:id="2"/>
      <w:r w:rsidR="00EA4D5F" w:rsidRPr="00590510">
        <w:rPr>
          <w:rFonts w:asciiTheme="minorHAnsi" w:hAnsiTheme="minorHAnsi" w:cstheme="minorHAnsi"/>
          <w:i/>
          <w:iCs/>
          <w:sz w:val="20"/>
          <w:lang w:val="en-ZA"/>
        </w:rPr>
        <w:t>Buffalo City Metropolitan Municipality v Asla Construction (Pty) Limited</w:t>
      </w:r>
      <w:r w:rsidR="00EA4D5F">
        <w:rPr>
          <w:rFonts w:asciiTheme="minorHAnsi" w:hAnsiTheme="minorHAnsi" w:cstheme="minorHAnsi"/>
          <w:sz w:val="20"/>
          <w:lang w:val="en-GB"/>
        </w:rPr>
        <w:t xml:space="preserve"> </w:t>
      </w:r>
      <w:r w:rsidR="00EA4D5F" w:rsidRPr="00EA4D5F">
        <w:rPr>
          <w:rFonts w:asciiTheme="minorHAnsi" w:hAnsiTheme="minorHAnsi" w:cstheme="minorHAnsi"/>
          <w:sz w:val="20"/>
          <w:lang w:val="en-GB"/>
        </w:rPr>
        <w:t>2019 (4) SA 331 (CC)</w:t>
      </w:r>
      <w:r w:rsidRPr="00590510">
        <w:rPr>
          <w:rFonts w:asciiTheme="minorHAnsi" w:hAnsiTheme="minorHAnsi" w:cstheme="minorHAnsi"/>
          <w:sz w:val="20"/>
          <w:lang w:val="en-GB"/>
        </w:rPr>
        <w:t>11-12</w:t>
      </w:r>
      <w:bookmarkEnd w:id="3"/>
      <w:r w:rsidRPr="00590510">
        <w:rPr>
          <w:rFonts w:asciiTheme="minorHAnsi" w:hAnsiTheme="minorHAnsi" w:cstheme="minorHAnsi"/>
          <w:sz w:val="20"/>
        </w:rPr>
        <w:t>.</w:t>
      </w:r>
    </w:p>
  </w:footnote>
  <w:footnote w:id="6">
    <w:p w14:paraId="034BC2CD" w14:textId="77777777" w:rsidR="00642E95" w:rsidRPr="00590510" w:rsidRDefault="00642E95" w:rsidP="00642E95">
      <w:pPr>
        <w:pStyle w:val="FootnoteText"/>
        <w:jc w:val="both"/>
        <w:rPr>
          <w:rFonts w:asciiTheme="minorHAnsi" w:hAnsiTheme="minorHAnsi" w:cstheme="minorHAnsi"/>
          <w:sz w:val="20"/>
          <w:lang w:val="en-ZA"/>
        </w:rPr>
      </w:pPr>
      <w:r w:rsidRPr="00590510">
        <w:rPr>
          <w:rStyle w:val="FootnoteReference"/>
          <w:rFonts w:ascii="Arial" w:hAnsi="Arial"/>
          <w:sz w:val="24"/>
        </w:rPr>
        <w:footnoteRef/>
      </w:r>
      <w:r w:rsidRPr="00590510">
        <w:rPr>
          <w:rFonts w:ascii="Arial" w:hAnsi="Arial" w:cs="Arial"/>
          <w:sz w:val="24"/>
          <w:szCs w:val="24"/>
        </w:rPr>
        <w:t xml:space="preserve"> </w:t>
      </w:r>
      <w:r w:rsidRPr="00590510">
        <w:rPr>
          <w:rFonts w:asciiTheme="minorHAnsi" w:hAnsiTheme="minorHAnsi" w:cstheme="minorHAnsi"/>
          <w:i/>
          <w:iCs/>
          <w:sz w:val="20"/>
        </w:rPr>
        <w:t>Gqwetha v Transkei Development Corporations Ltd and Others</w:t>
      </w:r>
      <w:r w:rsidRPr="00590510">
        <w:rPr>
          <w:rFonts w:asciiTheme="minorHAnsi" w:hAnsiTheme="minorHAnsi" w:cstheme="minorHAnsi"/>
          <w:sz w:val="20"/>
        </w:rPr>
        <w:t xml:space="preserve"> which was adopted in </w:t>
      </w:r>
      <w:r w:rsidRPr="00590510">
        <w:rPr>
          <w:rFonts w:asciiTheme="minorHAnsi" w:hAnsiTheme="minorHAnsi" w:cstheme="minorHAnsi"/>
          <w:i/>
          <w:iCs/>
          <w:sz w:val="20"/>
        </w:rPr>
        <w:t>Khumalo and Another v Member of the Executive Council for Education: KwaZulu Natal</w:t>
      </w:r>
      <w:r w:rsidRPr="00590510">
        <w:rPr>
          <w:rFonts w:asciiTheme="minorHAnsi" w:hAnsiTheme="minorHAnsi" w:cstheme="minorHAnsi"/>
          <w:sz w:val="20"/>
        </w:rPr>
        <w:t xml:space="preserve"> [2013] ZACC 49; 2014 (3) BCLR 333 (CC); (2014) 35 ILJ 613 (CC); 2014 (5) SA 579 (CC).</w:t>
      </w:r>
    </w:p>
  </w:footnote>
  <w:footnote w:id="7">
    <w:p w14:paraId="0C7CEE58" w14:textId="77777777" w:rsidR="00642E95" w:rsidRPr="00590510" w:rsidRDefault="00642E95" w:rsidP="00642E95">
      <w:pPr>
        <w:pStyle w:val="FootnoteText"/>
        <w:jc w:val="both"/>
        <w:rPr>
          <w:rFonts w:asciiTheme="minorHAnsi" w:hAnsiTheme="minorHAnsi" w:cstheme="minorHAnsi"/>
          <w:sz w:val="20"/>
          <w:lang w:val="en-ZA"/>
        </w:rPr>
      </w:pPr>
      <w:r w:rsidRPr="00590510">
        <w:rPr>
          <w:rStyle w:val="FootnoteReference"/>
          <w:rFonts w:asciiTheme="minorHAnsi" w:hAnsiTheme="minorHAnsi" w:cstheme="minorHAnsi"/>
          <w:sz w:val="20"/>
          <w:szCs w:val="20"/>
        </w:rPr>
        <w:footnoteRef/>
      </w:r>
      <w:r w:rsidRPr="00590510">
        <w:rPr>
          <w:rFonts w:asciiTheme="minorHAnsi" w:hAnsiTheme="minorHAnsi" w:cstheme="minorHAnsi"/>
          <w:sz w:val="20"/>
        </w:rPr>
        <w:t xml:space="preserve"> </w:t>
      </w:r>
      <w:bookmarkStart w:id="4" w:name="_Hlk115336830"/>
      <w:r w:rsidRPr="00590510">
        <w:rPr>
          <w:rFonts w:asciiTheme="minorHAnsi" w:hAnsiTheme="minorHAnsi" w:cstheme="minorHAnsi"/>
          <w:i/>
          <w:iCs/>
          <w:sz w:val="20"/>
          <w:lang w:val="en-ZA"/>
        </w:rPr>
        <w:t>Buffalo City Metropolitan Municipality see fn8</w:t>
      </w:r>
      <w:r w:rsidRPr="00590510">
        <w:rPr>
          <w:rFonts w:asciiTheme="minorHAnsi" w:hAnsiTheme="minorHAnsi" w:cstheme="minorHAnsi"/>
          <w:sz w:val="20"/>
        </w:rPr>
        <w:t xml:space="preserve"> </w:t>
      </w:r>
      <w:bookmarkEnd w:id="4"/>
      <w:r w:rsidRPr="00590510">
        <w:rPr>
          <w:rFonts w:asciiTheme="minorHAnsi" w:hAnsiTheme="minorHAnsi" w:cstheme="minorHAnsi"/>
          <w:sz w:val="20"/>
          <w:lang w:val="en-GB"/>
        </w:rPr>
        <w:t xml:space="preserve">at </w:t>
      </w:r>
      <w:r w:rsidRPr="00590510">
        <w:rPr>
          <w:rFonts w:asciiTheme="minorHAnsi" w:hAnsiTheme="minorHAnsi" w:cstheme="minorHAnsi"/>
          <w:sz w:val="20"/>
        </w:rPr>
        <w:t>para 11-14.</w:t>
      </w:r>
    </w:p>
  </w:footnote>
  <w:footnote w:id="8">
    <w:p w14:paraId="2FD05E78" w14:textId="77777777" w:rsidR="00642E95" w:rsidRPr="00590510" w:rsidRDefault="00642E95" w:rsidP="00642E95">
      <w:pPr>
        <w:pStyle w:val="FootnoteText"/>
        <w:rPr>
          <w:rFonts w:asciiTheme="minorHAnsi" w:hAnsiTheme="minorHAnsi" w:cstheme="minorHAnsi"/>
          <w:sz w:val="18"/>
          <w:szCs w:val="16"/>
          <w:lang w:val="en-GB"/>
        </w:rPr>
      </w:pPr>
      <w:r w:rsidRPr="00590510">
        <w:rPr>
          <w:rStyle w:val="FootnoteReference"/>
          <w:rFonts w:asciiTheme="minorHAnsi" w:hAnsiTheme="minorHAnsi" w:cstheme="minorHAnsi"/>
          <w:sz w:val="20"/>
          <w:szCs w:val="20"/>
        </w:rPr>
        <w:footnoteRef/>
      </w:r>
      <w:r w:rsidRPr="00590510">
        <w:rPr>
          <w:rFonts w:asciiTheme="minorHAnsi" w:hAnsiTheme="minorHAnsi" w:cstheme="minorHAnsi"/>
          <w:sz w:val="20"/>
        </w:rPr>
        <w:t xml:space="preserve"> </w:t>
      </w:r>
      <w:r w:rsidRPr="00590510">
        <w:rPr>
          <w:rFonts w:asciiTheme="minorHAnsi" w:hAnsiTheme="minorHAnsi" w:cstheme="minorHAnsi"/>
          <w:sz w:val="20"/>
          <w:lang w:val="en-GB"/>
        </w:rPr>
        <w:t>Fn8.</w:t>
      </w:r>
    </w:p>
  </w:footnote>
  <w:footnote w:id="9">
    <w:p w14:paraId="1D3A025D" w14:textId="370F3797" w:rsidR="002E07EF" w:rsidRPr="00590510" w:rsidRDefault="002E07EF" w:rsidP="002E07EF">
      <w:pPr>
        <w:pStyle w:val="FootnoteText"/>
        <w:ind w:left="709" w:hanging="709"/>
        <w:rPr>
          <w:sz w:val="18"/>
          <w:szCs w:val="16"/>
          <w:lang w:val="en-GB"/>
        </w:rPr>
      </w:pPr>
      <w:r>
        <w:rPr>
          <w:rStyle w:val="FootnoteReference"/>
        </w:rPr>
        <w:footnoteRef/>
      </w:r>
      <w:r>
        <w:t xml:space="preserve"> </w:t>
      </w:r>
      <w:r w:rsidRPr="00590510">
        <w:rPr>
          <w:rFonts w:ascii="Arial" w:hAnsi="Arial" w:cs="Arial"/>
          <w:i/>
          <w:iCs/>
          <w:sz w:val="20"/>
        </w:rPr>
        <w:t>Merafong City Local Municipality v AngloGold Ashanti Limited</w:t>
      </w:r>
      <w:r w:rsidRPr="00590510">
        <w:rPr>
          <w:rFonts w:ascii="Arial" w:hAnsi="Arial" w:cs="Arial"/>
          <w:sz w:val="20"/>
        </w:rPr>
        <w:t xml:space="preserve"> [2016] ZACC 35 at [73]</w:t>
      </w:r>
      <w:r w:rsidR="00F42254">
        <w:rPr>
          <w:rFonts w:ascii="Arial" w:hAnsi="Arial" w:cs="Arial"/>
          <w:sz w:val="20"/>
          <w:lang w:val="en-GB"/>
        </w:rPr>
        <w:t xml:space="preserve">. </w:t>
      </w:r>
    </w:p>
  </w:footnote>
  <w:footnote w:id="10">
    <w:p w14:paraId="04CAF219" w14:textId="30774B84" w:rsidR="00EC300B" w:rsidRPr="00590510" w:rsidRDefault="00EC300B" w:rsidP="00590510">
      <w:pPr>
        <w:spacing w:after="0" w:line="480" w:lineRule="auto"/>
        <w:jc w:val="both"/>
        <w:rPr>
          <w:rFonts w:ascii="Arial" w:hAnsi="Arial" w:cs="Arial"/>
          <w:sz w:val="24"/>
          <w:szCs w:val="24"/>
        </w:rPr>
      </w:pPr>
      <w:r>
        <w:rPr>
          <w:rStyle w:val="FootnoteReference"/>
        </w:rPr>
        <w:footnoteRef/>
      </w:r>
      <w:r>
        <w:t xml:space="preserve"> </w:t>
      </w:r>
      <w:r w:rsidR="005F4850" w:rsidRPr="00590510">
        <w:rPr>
          <w:rFonts w:ascii="Arial" w:hAnsi="Arial" w:cs="Arial"/>
          <w:i/>
          <w:iCs/>
          <w:sz w:val="20"/>
          <w:szCs w:val="20"/>
        </w:rPr>
        <w:t>N</w:t>
      </w:r>
      <w:r w:rsidR="005F4850" w:rsidRPr="00590510">
        <w:rPr>
          <w:rFonts w:cstheme="minorHAnsi"/>
          <w:i/>
          <w:iCs/>
          <w:sz w:val="20"/>
          <w:szCs w:val="20"/>
        </w:rPr>
        <w:t>jongi v MEC of Welfare, Eastern Cape</w:t>
      </w:r>
      <w:r w:rsidR="005F4850" w:rsidRPr="00590510">
        <w:rPr>
          <w:rFonts w:cstheme="minorHAnsi"/>
          <w:sz w:val="20"/>
          <w:szCs w:val="20"/>
        </w:rPr>
        <w:t xml:space="preserve"> 2008 (4) SA 237 (CC)</w:t>
      </w:r>
      <w:r w:rsidR="00530772" w:rsidRPr="00590510">
        <w:rPr>
          <w:rFonts w:cstheme="minorHAnsi"/>
          <w:sz w:val="20"/>
          <w:szCs w:val="20"/>
        </w:rPr>
        <w:t>.</w:t>
      </w:r>
      <w:r w:rsidR="00F26CA4">
        <w:rPr>
          <w:rFonts w:cstheme="minorHAnsi"/>
          <w:sz w:val="20"/>
          <w:szCs w:val="20"/>
        </w:rPr>
        <w:t xml:space="preserve"> </w:t>
      </w:r>
    </w:p>
  </w:footnote>
  <w:footnote w:id="11">
    <w:p w14:paraId="737D2EDE" w14:textId="753940C9" w:rsidR="00F26CA4" w:rsidRPr="00F26CA4" w:rsidRDefault="00F26CA4">
      <w:pPr>
        <w:pStyle w:val="FootnoteText"/>
        <w:rPr>
          <w:lang w:val="en-GB"/>
        </w:rPr>
      </w:pPr>
      <w:r>
        <w:rPr>
          <w:rStyle w:val="FootnoteReference"/>
        </w:rPr>
        <w:footnoteRef/>
      </w:r>
      <w:r>
        <w:t xml:space="preserve"> </w:t>
      </w:r>
      <w:r w:rsidRPr="00F26CA4">
        <w:rPr>
          <w:i/>
          <w:iCs/>
        </w:rPr>
        <w:t>Masuku v Special Investigations Unit and Others</w:t>
      </w:r>
      <w:r w:rsidRPr="00F26CA4">
        <w:t xml:space="preserve"> (P55372/2020) [2021] ZAGPPHC 273 (12 April 2021).</w:t>
      </w:r>
    </w:p>
  </w:footnote>
  <w:footnote w:id="12">
    <w:p w14:paraId="28A9DF2D" w14:textId="7A40ACC7" w:rsidR="00EC300B" w:rsidRPr="00590510" w:rsidRDefault="00EC300B" w:rsidP="00590510">
      <w:pPr>
        <w:spacing w:after="0" w:line="480" w:lineRule="auto"/>
        <w:jc w:val="both"/>
        <w:rPr>
          <w:rFonts w:ascii="Arial" w:hAnsi="Arial" w:cs="Arial"/>
          <w:sz w:val="20"/>
          <w:szCs w:val="20"/>
          <w:lang w:val="en-GB"/>
        </w:rPr>
      </w:pPr>
      <w:r w:rsidRPr="00590510">
        <w:rPr>
          <w:rStyle w:val="FootnoteReference"/>
          <w:rFonts w:ascii="Arial" w:hAnsi="Arial"/>
          <w:sz w:val="20"/>
          <w:szCs w:val="20"/>
        </w:rPr>
        <w:footnoteRef/>
      </w:r>
      <w:r w:rsidRPr="00590510">
        <w:rPr>
          <w:rFonts w:ascii="Arial" w:hAnsi="Arial" w:cs="Arial"/>
          <w:sz w:val="20"/>
          <w:szCs w:val="20"/>
        </w:rPr>
        <w:t xml:space="preserve"> </w:t>
      </w:r>
      <w:r w:rsidR="005F4850" w:rsidRPr="00590510">
        <w:rPr>
          <w:rFonts w:ascii="Arial" w:hAnsi="Arial" w:cs="Arial"/>
          <w:i/>
          <w:iCs/>
          <w:sz w:val="20"/>
          <w:szCs w:val="20"/>
        </w:rPr>
        <w:t>National Treasury and Another v Kubukeli</w:t>
      </w:r>
      <w:r w:rsidR="005F4850" w:rsidRPr="00590510">
        <w:rPr>
          <w:rFonts w:ascii="Arial" w:hAnsi="Arial" w:cs="Arial"/>
          <w:sz w:val="20"/>
          <w:szCs w:val="20"/>
        </w:rPr>
        <w:t xml:space="preserve"> 2016 (2) SA 507 (SCA)</w:t>
      </w:r>
      <w:r w:rsidR="00530772" w:rsidRPr="00590510">
        <w:rPr>
          <w:rFonts w:ascii="Arial" w:hAnsi="Arial" w:cs="Arial"/>
          <w:sz w:val="20"/>
          <w:szCs w:val="20"/>
        </w:rPr>
        <w:t xml:space="preserve">. </w:t>
      </w:r>
    </w:p>
  </w:footnote>
  <w:footnote w:id="13">
    <w:p w14:paraId="6C6233EA" w14:textId="55CDF476" w:rsidR="005F4850" w:rsidRPr="00530772" w:rsidRDefault="008F62B3" w:rsidP="00590510">
      <w:pPr>
        <w:pStyle w:val="ListParagraph"/>
        <w:ind w:left="425"/>
        <w:rPr>
          <w:rFonts w:ascii="Arial" w:hAnsi="Arial"/>
          <w:szCs w:val="20"/>
        </w:rPr>
      </w:pPr>
      <w:r w:rsidRPr="00590510">
        <w:rPr>
          <w:rStyle w:val="FootnoteReference"/>
          <w:rFonts w:ascii="Arial" w:hAnsi="Arial"/>
          <w:szCs w:val="20"/>
        </w:rPr>
        <w:footnoteRef/>
      </w:r>
      <w:r w:rsidRPr="00590510">
        <w:rPr>
          <w:rFonts w:ascii="Arial" w:hAnsi="Arial"/>
          <w:szCs w:val="20"/>
        </w:rPr>
        <w:t xml:space="preserve"> </w:t>
      </w:r>
      <w:r w:rsidR="005F4850" w:rsidRPr="00590510">
        <w:rPr>
          <w:rFonts w:ascii="Arial" w:hAnsi="Arial"/>
          <w:i/>
          <w:iCs/>
          <w:szCs w:val="20"/>
        </w:rPr>
        <w:t>Prudential Authority of the SA Reserve Bank v Msiza</w:t>
      </w:r>
      <w:r w:rsidR="00530772" w:rsidRPr="00590510">
        <w:rPr>
          <w:rFonts w:ascii="Arial" w:hAnsi="Arial"/>
          <w:szCs w:val="20"/>
        </w:rPr>
        <w:t xml:space="preserve"> </w:t>
      </w:r>
      <w:r w:rsidR="005F4850" w:rsidRPr="00530772">
        <w:rPr>
          <w:rFonts w:ascii="Arial" w:hAnsi="Arial"/>
          <w:szCs w:val="20"/>
        </w:rPr>
        <w:t>(A</w:t>
      </w:r>
      <w:r w:rsidR="005F4850" w:rsidRPr="00590510">
        <w:rPr>
          <w:rFonts w:ascii="Arial" w:hAnsi="Arial"/>
          <w:szCs w:val="20"/>
        </w:rPr>
        <w:t>294/2021)</w:t>
      </w:r>
      <w:r w:rsidR="00530772" w:rsidRPr="00590510">
        <w:rPr>
          <w:rFonts w:ascii="Arial" w:hAnsi="Arial"/>
          <w:szCs w:val="20"/>
        </w:rPr>
        <w:t xml:space="preserve"> [</w:t>
      </w:r>
      <w:r w:rsidR="005F4850" w:rsidRPr="00590510">
        <w:rPr>
          <w:rFonts w:ascii="Arial" w:hAnsi="Arial"/>
          <w:szCs w:val="20"/>
        </w:rPr>
        <w:t>2023</w:t>
      </w:r>
      <w:r w:rsidR="00530772" w:rsidRPr="00590510">
        <w:rPr>
          <w:rFonts w:ascii="Arial" w:hAnsi="Arial"/>
          <w:szCs w:val="20"/>
        </w:rPr>
        <w:t xml:space="preserve">] </w:t>
      </w:r>
      <w:r w:rsidR="005F4850" w:rsidRPr="00530772">
        <w:rPr>
          <w:rFonts w:ascii="Arial" w:hAnsi="Arial"/>
          <w:szCs w:val="20"/>
        </w:rPr>
        <w:t xml:space="preserve">AGOOHC 313 (2 </w:t>
      </w:r>
      <w:r w:rsidR="008C1523" w:rsidRPr="00530772">
        <w:rPr>
          <w:rFonts w:ascii="Arial" w:hAnsi="Arial"/>
          <w:szCs w:val="20"/>
        </w:rPr>
        <w:t>May</w:t>
      </w:r>
      <w:r w:rsidR="008C1523">
        <w:rPr>
          <w:rFonts w:ascii="Arial" w:hAnsi="Arial"/>
          <w:szCs w:val="20"/>
        </w:rPr>
        <w:t xml:space="preserve"> </w:t>
      </w:r>
      <w:r w:rsidR="008C1523" w:rsidRPr="00530772">
        <w:rPr>
          <w:rFonts w:ascii="Arial" w:hAnsi="Arial"/>
          <w:szCs w:val="20"/>
        </w:rPr>
        <w:t>2023</w:t>
      </w:r>
      <w:r w:rsidR="005F4850" w:rsidRPr="00530772">
        <w:rPr>
          <w:rFonts w:ascii="Arial" w:hAnsi="Arial"/>
          <w:szCs w:val="20"/>
        </w:rPr>
        <w:t>).</w:t>
      </w:r>
    </w:p>
    <w:p w14:paraId="6FA18086" w14:textId="40F40E5D" w:rsidR="008F62B3" w:rsidRPr="008F62B3" w:rsidRDefault="008F62B3">
      <w:pPr>
        <w:pStyle w:val="FootnoteText"/>
        <w:rPr>
          <w:lang w:val="en-GB"/>
        </w:rPr>
      </w:pPr>
    </w:p>
  </w:footnote>
  <w:footnote w:id="14">
    <w:p w14:paraId="32037C17" w14:textId="0462FB84" w:rsidR="00EE03C8" w:rsidRPr="00EE03C8" w:rsidRDefault="00EE03C8">
      <w:pPr>
        <w:pStyle w:val="FootnoteText"/>
        <w:rPr>
          <w:lang w:val="en-GB"/>
        </w:rPr>
      </w:pPr>
      <w:r>
        <w:rPr>
          <w:rStyle w:val="FootnoteReference"/>
        </w:rPr>
        <w:footnoteRef/>
      </w:r>
      <w:r>
        <w:t xml:space="preserve"> </w:t>
      </w:r>
      <w:r>
        <w:rPr>
          <w:lang w:val="en-GB"/>
        </w:rPr>
        <w:t>Act 74 of 1996.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46780"/>
      <w:docPartObj>
        <w:docPartGallery w:val="Page Numbers (Top of Page)"/>
        <w:docPartUnique/>
      </w:docPartObj>
    </w:sdtPr>
    <w:sdtEndPr/>
    <w:sdtContent>
      <w:p w14:paraId="5C4F7485" w14:textId="7402484F" w:rsidR="009937A2" w:rsidRDefault="009937A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468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468E">
          <w:rPr>
            <w:b/>
            <w:bCs/>
            <w:noProof/>
          </w:rPr>
          <w:t>8</w:t>
        </w:r>
        <w:r>
          <w:rPr>
            <w:b/>
            <w:bCs/>
            <w:sz w:val="24"/>
            <w:szCs w:val="24"/>
          </w:rPr>
          <w:fldChar w:fldCharType="end"/>
        </w:r>
      </w:p>
    </w:sdtContent>
  </w:sdt>
  <w:p w14:paraId="107DBA7F" w14:textId="77777777" w:rsidR="009937A2" w:rsidRDefault="009937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7549DD6C" w14:textId="7462ADA9" w:rsidR="007203F5" w:rsidRDefault="007203F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75B95">
          <w:rPr>
            <w:b/>
            <w:bCs/>
            <w:noProof/>
          </w:rPr>
          <w:t>39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5B95">
          <w:rPr>
            <w:b/>
            <w:bCs/>
            <w:noProof/>
          </w:rPr>
          <w:t>41</w:t>
        </w:r>
        <w:r>
          <w:rPr>
            <w:b/>
            <w:bCs/>
            <w:sz w:val="24"/>
            <w:szCs w:val="24"/>
          </w:rPr>
          <w:fldChar w:fldCharType="end"/>
        </w:r>
      </w:p>
    </w:sdtContent>
  </w:sdt>
  <w:p w14:paraId="0F930088" w14:textId="77777777" w:rsidR="007203F5" w:rsidRDefault="007203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EBC"/>
    <w:multiLevelType w:val="hybridMultilevel"/>
    <w:tmpl w:val="C3B8E8F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10164E79"/>
    <w:multiLevelType w:val="multilevel"/>
    <w:tmpl w:val="5C48B8C0"/>
    <w:lvl w:ilvl="0">
      <w:start w:val="4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1C5F02"/>
    <w:multiLevelType w:val="multilevel"/>
    <w:tmpl w:val="53A67660"/>
    <w:lvl w:ilvl="0">
      <w:start w:val="2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F603C7"/>
    <w:multiLevelType w:val="multilevel"/>
    <w:tmpl w:val="13E0EE50"/>
    <w:lvl w:ilvl="0">
      <w:start w:val="8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E2078F"/>
    <w:multiLevelType w:val="multilevel"/>
    <w:tmpl w:val="7258F608"/>
    <w:lvl w:ilvl="0">
      <w:start w:val="97"/>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45473B"/>
    <w:multiLevelType w:val="multilevel"/>
    <w:tmpl w:val="6556086E"/>
    <w:lvl w:ilvl="0">
      <w:start w:val="1"/>
      <w:numFmt w:val="decimal"/>
      <w:pStyle w:val="JudgmentNumbered"/>
      <w:lvlText w:val="%1."/>
      <w:lvlJc w:val="left"/>
      <w:pPr>
        <w:ind w:left="567" w:hanging="567"/>
      </w:pPr>
      <w:rPr>
        <w:rFonts w:ascii="Arial" w:eastAsiaTheme="minorHAnsi" w:hAnsi="Arial" w:cs="Arial"/>
      </w:rPr>
    </w:lvl>
    <w:lvl w:ilvl="1">
      <w:start w:val="1"/>
      <w:numFmt w:val="decimal"/>
      <w:lvlText w:val="%2."/>
      <w:lvlJc w:val="left"/>
      <w:pPr>
        <w:ind w:left="927" w:hanging="360"/>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20C143D2"/>
    <w:multiLevelType w:val="multilevel"/>
    <w:tmpl w:val="08120092"/>
    <w:lvl w:ilvl="0">
      <w:start w:val="1"/>
      <w:numFmt w:val="decimal"/>
      <w:lvlText w:val="%1."/>
      <w:lvlJc w:val="left"/>
      <w:pPr>
        <w:ind w:left="360" w:hanging="360"/>
      </w:pPr>
      <w:rPr>
        <w:b w:val="0"/>
        <w:i w:val="0"/>
      </w:rPr>
    </w:lvl>
    <w:lvl w:ilvl="1">
      <w:start w:val="1"/>
      <w:numFmt w:val="decimal"/>
      <w:lvlText w:val="%1.%2."/>
      <w:lvlJc w:val="left"/>
      <w:pPr>
        <w:ind w:left="1850"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D40DF5"/>
    <w:multiLevelType w:val="multilevel"/>
    <w:tmpl w:val="6998632E"/>
    <w:lvl w:ilvl="0">
      <w:start w:val="4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CD477D"/>
    <w:multiLevelType w:val="hybridMultilevel"/>
    <w:tmpl w:val="760A010A"/>
    <w:lvl w:ilvl="0" w:tplc="534CFB02">
      <w:start w:val="1"/>
      <w:numFmt w:val="decimal"/>
      <w:lvlText w:val="%1."/>
      <w:lvlJc w:val="left"/>
      <w:pPr>
        <w:ind w:left="972" w:hanging="852"/>
      </w:pPr>
      <w:rPr>
        <w:rFonts w:hint="default"/>
        <w:spacing w:val="-1"/>
        <w:w w:val="99"/>
        <w:lang w:val="en-US" w:eastAsia="en-US" w:bidi="ar-SA"/>
      </w:rPr>
    </w:lvl>
    <w:lvl w:ilvl="1" w:tplc="15A4A6EC">
      <w:start w:val="1"/>
      <w:numFmt w:val="lowerLetter"/>
      <w:lvlText w:val="(%2)"/>
      <w:lvlJc w:val="left"/>
      <w:pPr>
        <w:ind w:left="1822" w:hanging="850"/>
      </w:pPr>
      <w:rPr>
        <w:rFonts w:ascii="Arial" w:eastAsia="Arial" w:hAnsi="Arial" w:cs="Arial" w:hint="default"/>
        <w:w w:val="99"/>
        <w:sz w:val="26"/>
        <w:szCs w:val="26"/>
        <w:lang w:val="en-US" w:eastAsia="en-US" w:bidi="ar-SA"/>
      </w:rPr>
    </w:lvl>
    <w:lvl w:ilvl="2" w:tplc="5ED0B9A4">
      <w:numFmt w:val="bullet"/>
      <w:lvlText w:val="•"/>
      <w:lvlJc w:val="left"/>
      <w:pPr>
        <w:ind w:left="2662" w:hanging="850"/>
      </w:pPr>
      <w:rPr>
        <w:rFonts w:hint="default"/>
        <w:lang w:val="en-US" w:eastAsia="en-US" w:bidi="ar-SA"/>
      </w:rPr>
    </w:lvl>
    <w:lvl w:ilvl="3" w:tplc="67825AAA">
      <w:numFmt w:val="bullet"/>
      <w:lvlText w:val="•"/>
      <w:lvlJc w:val="left"/>
      <w:pPr>
        <w:ind w:left="3505" w:hanging="850"/>
      </w:pPr>
      <w:rPr>
        <w:rFonts w:hint="default"/>
        <w:lang w:val="en-US" w:eastAsia="en-US" w:bidi="ar-SA"/>
      </w:rPr>
    </w:lvl>
    <w:lvl w:ilvl="4" w:tplc="BC688028">
      <w:numFmt w:val="bullet"/>
      <w:lvlText w:val="•"/>
      <w:lvlJc w:val="left"/>
      <w:pPr>
        <w:ind w:left="4348" w:hanging="850"/>
      </w:pPr>
      <w:rPr>
        <w:rFonts w:hint="default"/>
        <w:lang w:val="en-US" w:eastAsia="en-US" w:bidi="ar-SA"/>
      </w:rPr>
    </w:lvl>
    <w:lvl w:ilvl="5" w:tplc="09844A42">
      <w:numFmt w:val="bullet"/>
      <w:lvlText w:val="•"/>
      <w:lvlJc w:val="left"/>
      <w:pPr>
        <w:ind w:left="5191" w:hanging="850"/>
      </w:pPr>
      <w:rPr>
        <w:rFonts w:hint="default"/>
        <w:lang w:val="en-US" w:eastAsia="en-US" w:bidi="ar-SA"/>
      </w:rPr>
    </w:lvl>
    <w:lvl w:ilvl="6" w:tplc="19BEF072">
      <w:numFmt w:val="bullet"/>
      <w:lvlText w:val="•"/>
      <w:lvlJc w:val="left"/>
      <w:pPr>
        <w:ind w:left="6034" w:hanging="850"/>
      </w:pPr>
      <w:rPr>
        <w:rFonts w:hint="default"/>
        <w:lang w:val="en-US" w:eastAsia="en-US" w:bidi="ar-SA"/>
      </w:rPr>
    </w:lvl>
    <w:lvl w:ilvl="7" w:tplc="F90E5B1C">
      <w:numFmt w:val="bullet"/>
      <w:lvlText w:val="•"/>
      <w:lvlJc w:val="left"/>
      <w:pPr>
        <w:ind w:left="6877" w:hanging="850"/>
      </w:pPr>
      <w:rPr>
        <w:rFonts w:hint="default"/>
        <w:lang w:val="en-US" w:eastAsia="en-US" w:bidi="ar-SA"/>
      </w:rPr>
    </w:lvl>
    <w:lvl w:ilvl="8" w:tplc="A34E84A0">
      <w:numFmt w:val="bullet"/>
      <w:lvlText w:val="•"/>
      <w:lvlJc w:val="left"/>
      <w:pPr>
        <w:ind w:left="7720" w:hanging="850"/>
      </w:pPr>
      <w:rPr>
        <w:rFonts w:hint="default"/>
        <w:lang w:val="en-US" w:eastAsia="en-US" w:bidi="ar-SA"/>
      </w:rPr>
    </w:lvl>
  </w:abstractNum>
  <w:abstractNum w:abstractNumId="9" w15:restartNumberingAfterBreak="0">
    <w:nsid w:val="2C1426C6"/>
    <w:multiLevelType w:val="multilevel"/>
    <w:tmpl w:val="421A71B8"/>
    <w:lvl w:ilvl="0">
      <w:start w:val="100"/>
      <w:numFmt w:val="decimal"/>
      <w:lvlText w:val="%1"/>
      <w:lvlJc w:val="left"/>
      <w:pPr>
        <w:ind w:left="590" w:hanging="590"/>
      </w:pPr>
      <w:rPr>
        <w:rFonts w:hint="default"/>
      </w:rPr>
    </w:lvl>
    <w:lvl w:ilvl="1">
      <w:start w:val="1"/>
      <w:numFmt w:val="decimal"/>
      <w:lvlText w:val="%1.%2"/>
      <w:lvlJc w:val="left"/>
      <w:pPr>
        <w:ind w:left="590" w:hanging="5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1B5CE0"/>
    <w:multiLevelType w:val="multilevel"/>
    <w:tmpl w:val="85661458"/>
    <w:lvl w:ilvl="0">
      <w:start w:val="4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FE2033"/>
    <w:multiLevelType w:val="hybridMultilevel"/>
    <w:tmpl w:val="B63EF2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A2A10B7"/>
    <w:multiLevelType w:val="multilevel"/>
    <w:tmpl w:val="C51AED9E"/>
    <w:lvl w:ilvl="0">
      <w:start w:val="1"/>
      <w:numFmt w:val="decimal"/>
      <w:lvlText w:val="%1."/>
      <w:lvlJc w:val="left"/>
      <w:pPr>
        <w:ind w:left="500" w:hanging="360"/>
      </w:pPr>
      <w:rPr>
        <w:rFonts w:ascii="Arial" w:eastAsia="Arial" w:hAnsi="Arial" w:cs="Arial" w:hint="default"/>
        <w:w w:val="100"/>
        <w:sz w:val="24"/>
        <w:szCs w:val="24"/>
        <w:lang w:val="en-US" w:eastAsia="en-US" w:bidi="ar-SA"/>
      </w:rPr>
    </w:lvl>
    <w:lvl w:ilvl="1">
      <w:start w:val="1"/>
      <w:numFmt w:val="decimal"/>
      <w:lvlText w:val="%1.%2"/>
      <w:lvlJc w:val="left"/>
      <w:pPr>
        <w:ind w:left="1040" w:hanging="360"/>
      </w:pPr>
      <w:rPr>
        <w:rFonts w:ascii="Arial" w:eastAsia="Arial" w:hAnsi="Arial" w:cs="Arial" w:hint="default"/>
        <w:w w:val="99"/>
        <w:sz w:val="24"/>
        <w:szCs w:val="24"/>
        <w:lang w:val="en-US" w:eastAsia="en-US" w:bidi="ar-SA"/>
      </w:rPr>
    </w:lvl>
    <w:lvl w:ilvl="2">
      <w:start w:val="1"/>
      <w:numFmt w:val="decimal"/>
      <w:lvlText w:val="%1.%2.%3"/>
      <w:lvlJc w:val="left"/>
      <w:pPr>
        <w:ind w:left="2121" w:hanging="721"/>
      </w:pPr>
      <w:rPr>
        <w:rFonts w:ascii="Arial" w:eastAsia="Arial" w:hAnsi="Arial" w:cs="Arial" w:hint="default"/>
        <w:spacing w:val="-2"/>
        <w:w w:val="99"/>
        <w:sz w:val="24"/>
        <w:szCs w:val="24"/>
        <w:lang w:val="en-US" w:eastAsia="en-US" w:bidi="ar-SA"/>
      </w:rPr>
    </w:lvl>
    <w:lvl w:ilvl="3">
      <w:numFmt w:val="bullet"/>
      <w:lvlText w:val="•"/>
      <w:lvlJc w:val="left"/>
      <w:pPr>
        <w:ind w:left="1400" w:hanging="721"/>
      </w:pPr>
      <w:rPr>
        <w:rFonts w:hint="default"/>
        <w:lang w:val="en-US" w:eastAsia="en-US" w:bidi="ar-SA"/>
      </w:rPr>
    </w:lvl>
    <w:lvl w:ilvl="4">
      <w:numFmt w:val="bullet"/>
      <w:lvlText w:val="•"/>
      <w:lvlJc w:val="left"/>
      <w:pPr>
        <w:ind w:left="1580" w:hanging="721"/>
      </w:pPr>
      <w:rPr>
        <w:rFonts w:hint="default"/>
        <w:lang w:val="en-US" w:eastAsia="en-US" w:bidi="ar-SA"/>
      </w:rPr>
    </w:lvl>
    <w:lvl w:ilvl="5">
      <w:numFmt w:val="bullet"/>
      <w:lvlText w:val="•"/>
      <w:lvlJc w:val="left"/>
      <w:pPr>
        <w:ind w:left="2120" w:hanging="721"/>
      </w:pPr>
      <w:rPr>
        <w:rFonts w:hint="default"/>
        <w:lang w:val="en-US" w:eastAsia="en-US" w:bidi="ar-SA"/>
      </w:rPr>
    </w:lvl>
    <w:lvl w:ilvl="6">
      <w:numFmt w:val="bullet"/>
      <w:lvlText w:val="•"/>
      <w:lvlJc w:val="left"/>
      <w:pPr>
        <w:ind w:left="3556" w:hanging="721"/>
      </w:pPr>
      <w:rPr>
        <w:rFonts w:hint="default"/>
        <w:lang w:val="en-US" w:eastAsia="en-US" w:bidi="ar-SA"/>
      </w:rPr>
    </w:lvl>
    <w:lvl w:ilvl="7">
      <w:numFmt w:val="bullet"/>
      <w:lvlText w:val="•"/>
      <w:lvlJc w:val="left"/>
      <w:pPr>
        <w:ind w:left="4993" w:hanging="721"/>
      </w:pPr>
      <w:rPr>
        <w:rFonts w:hint="default"/>
        <w:lang w:val="en-US" w:eastAsia="en-US" w:bidi="ar-SA"/>
      </w:rPr>
    </w:lvl>
    <w:lvl w:ilvl="8">
      <w:numFmt w:val="bullet"/>
      <w:lvlText w:val="•"/>
      <w:lvlJc w:val="left"/>
      <w:pPr>
        <w:ind w:left="6430" w:hanging="721"/>
      </w:pPr>
      <w:rPr>
        <w:rFonts w:hint="default"/>
        <w:lang w:val="en-US" w:eastAsia="en-US" w:bidi="ar-SA"/>
      </w:rPr>
    </w:lvl>
  </w:abstractNum>
  <w:abstractNum w:abstractNumId="13" w15:restartNumberingAfterBreak="0">
    <w:nsid w:val="498E085C"/>
    <w:multiLevelType w:val="multilevel"/>
    <w:tmpl w:val="ABA8D114"/>
    <w:lvl w:ilvl="0">
      <w:start w:val="1"/>
      <w:numFmt w:val="decimal"/>
      <w:lvlText w:val="%1."/>
      <w:lvlJc w:val="left"/>
      <w:pPr>
        <w:ind w:left="608" w:hanging="608"/>
      </w:pPr>
      <w:rPr>
        <w:rFonts w:hint="default"/>
      </w:rPr>
    </w:lvl>
    <w:lvl w:ilvl="1">
      <w:start w:val="4"/>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4" w15:restartNumberingAfterBreak="0">
    <w:nsid w:val="609A4214"/>
    <w:multiLevelType w:val="multilevel"/>
    <w:tmpl w:val="7972934C"/>
    <w:lvl w:ilvl="0">
      <w:start w:val="4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A42831"/>
    <w:multiLevelType w:val="multilevel"/>
    <w:tmpl w:val="20860330"/>
    <w:lvl w:ilvl="0">
      <w:start w:val="8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382DE1"/>
    <w:multiLevelType w:val="multilevel"/>
    <w:tmpl w:val="BA6C5794"/>
    <w:lvl w:ilvl="0">
      <w:start w:val="49"/>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F52EFF"/>
    <w:multiLevelType w:val="hybridMultilevel"/>
    <w:tmpl w:val="E258E7BA"/>
    <w:lvl w:ilvl="0" w:tplc="C842463C">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2F209C3"/>
    <w:multiLevelType w:val="multilevel"/>
    <w:tmpl w:val="665EC356"/>
    <w:lvl w:ilvl="0">
      <w:start w:val="124"/>
      <w:numFmt w:val="decimal"/>
      <w:lvlText w:val="%1"/>
      <w:lvlJc w:val="left"/>
      <w:pPr>
        <w:ind w:left="590" w:hanging="590"/>
      </w:pPr>
      <w:rPr>
        <w:rFonts w:hint="default"/>
      </w:rPr>
    </w:lvl>
    <w:lvl w:ilvl="1">
      <w:start w:val="1"/>
      <w:numFmt w:val="decimal"/>
      <w:lvlText w:val="%1.%2"/>
      <w:lvlJc w:val="left"/>
      <w:pPr>
        <w:ind w:left="590" w:hanging="5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ED780B"/>
    <w:multiLevelType w:val="hybridMultilevel"/>
    <w:tmpl w:val="FBACBA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B037228"/>
    <w:multiLevelType w:val="multilevel"/>
    <w:tmpl w:val="8D268B96"/>
    <w:lvl w:ilvl="0">
      <w:start w:val="5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2"/>
  </w:num>
  <w:num w:numId="5">
    <w:abstractNumId w:val="19"/>
  </w:num>
  <w:num w:numId="6">
    <w:abstractNumId w:val="10"/>
  </w:num>
  <w:num w:numId="7">
    <w:abstractNumId w:val="7"/>
  </w:num>
  <w:num w:numId="8">
    <w:abstractNumId w:val="16"/>
  </w:num>
  <w:num w:numId="9">
    <w:abstractNumId w:val="4"/>
  </w:num>
  <w:num w:numId="10">
    <w:abstractNumId w:val="13"/>
  </w:num>
  <w:num w:numId="11">
    <w:abstractNumId w:val="9"/>
  </w:num>
  <w:num w:numId="12">
    <w:abstractNumId w:val="8"/>
  </w:num>
  <w:num w:numId="13">
    <w:abstractNumId w:val="2"/>
  </w:num>
  <w:num w:numId="14">
    <w:abstractNumId w:val="14"/>
  </w:num>
  <w:num w:numId="15">
    <w:abstractNumId w:val="1"/>
  </w:num>
  <w:num w:numId="16">
    <w:abstractNumId w:val="20"/>
  </w:num>
  <w:num w:numId="17">
    <w:abstractNumId w:val="15"/>
  </w:num>
  <w:num w:numId="18">
    <w:abstractNumId w:val="3"/>
  </w:num>
  <w:num w:numId="19">
    <w:abstractNumId w:val="18"/>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D2"/>
    <w:rsid w:val="00017B92"/>
    <w:rsid w:val="00050994"/>
    <w:rsid w:val="00081955"/>
    <w:rsid w:val="000A331D"/>
    <w:rsid w:val="000A5CC4"/>
    <w:rsid w:val="000B6850"/>
    <w:rsid w:val="000D23FB"/>
    <w:rsid w:val="000D7C33"/>
    <w:rsid w:val="000F1C7D"/>
    <w:rsid w:val="000F5877"/>
    <w:rsid w:val="0010374C"/>
    <w:rsid w:val="00117CB4"/>
    <w:rsid w:val="00121749"/>
    <w:rsid w:val="001218F2"/>
    <w:rsid w:val="0012477D"/>
    <w:rsid w:val="001403F2"/>
    <w:rsid w:val="0016173A"/>
    <w:rsid w:val="00192E0C"/>
    <w:rsid w:val="001A01AB"/>
    <w:rsid w:val="001A2879"/>
    <w:rsid w:val="00204717"/>
    <w:rsid w:val="002170B3"/>
    <w:rsid w:val="002251A8"/>
    <w:rsid w:val="0028256A"/>
    <w:rsid w:val="002925AD"/>
    <w:rsid w:val="00296E61"/>
    <w:rsid w:val="002C27F5"/>
    <w:rsid w:val="002E07EF"/>
    <w:rsid w:val="002F1C2C"/>
    <w:rsid w:val="002F390E"/>
    <w:rsid w:val="002F3C31"/>
    <w:rsid w:val="00310F0B"/>
    <w:rsid w:val="00332204"/>
    <w:rsid w:val="00354282"/>
    <w:rsid w:val="00375890"/>
    <w:rsid w:val="00375B95"/>
    <w:rsid w:val="003907D5"/>
    <w:rsid w:val="00396285"/>
    <w:rsid w:val="003A17C9"/>
    <w:rsid w:val="003A1837"/>
    <w:rsid w:val="003A18FB"/>
    <w:rsid w:val="003A538A"/>
    <w:rsid w:val="003B35D8"/>
    <w:rsid w:val="003F38E0"/>
    <w:rsid w:val="003F4484"/>
    <w:rsid w:val="00413054"/>
    <w:rsid w:val="00415EB5"/>
    <w:rsid w:val="0043261F"/>
    <w:rsid w:val="00434445"/>
    <w:rsid w:val="00435534"/>
    <w:rsid w:val="00440306"/>
    <w:rsid w:val="00440FD2"/>
    <w:rsid w:val="00450C87"/>
    <w:rsid w:val="00452A74"/>
    <w:rsid w:val="00456A75"/>
    <w:rsid w:val="004600E5"/>
    <w:rsid w:val="0048345A"/>
    <w:rsid w:val="004876C9"/>
    <w:rsid w:val="00491769"/>
    <w:rsid w:val="004C0A74"/>
    <w:rsid w:val="004D7B33"/>
    <w:rsid w:val="004E6A6A"/>
    <w:rsid w:val="004F47D3"/>
    <w:rsid w:val="005107D0"/>
    <w:rsid w:val="00514801"/>
    <w:rsid w:val="00515EE9"/>
    <w:rsid w:val="00515F4E"/>
    <w:rsid w:val="005164D0"/>
    <w:rsid w:val="00524147"/>
    <w:rsid w:val="00530772"/>
    <w:rsid w:val="00536E47"/>
    <w:rsid w:val="00537053"/>
    <w:rsid w:val="0055130F"/>
    <w:rsid w:val="00590510"/>
    <w:rsid w:val="005B58A5"/>
    <w:rsid w:val="005C09C3"/>
    <w:rsid w:val="005C6035"/>
    <w:rsid w:val="005F4850"/>
    <w:rsid w:val="006008E2"/>
    <w:rsid w:val="006019DE"/>
    <w:rsid w:val="006158D2"/>
    <w:rsid w:val="00642E95"/>
    <w:rsid w:val="006430F9"/>
    <w:rsid w:val="00647D96"/>
    <w:rsid w:val="006A10BC"/>
    <w:rsid w:val="006A2F08"/>
    <w:rsid w:val="006F04EB"/>
    <w:rsid w:val="00701E48"/>
    <w:rsid w:val="00704957"/>
    <w:rsid w:val="007203F5"/>
    <w:rsid w:val="00723F52"/>
    <w:rsid w:val="007274A8"/>
    <w:rsid w:val="00734BBC"/>
    <w:rsid w:val="0075090F"/>
    <w:rsid w:val="00770A04"/>
    <w:rsid w:val="00772501"/>
    <w:rsid w:val="007739FD"/>
    <w:rsid w:val="00773EF7"/>
    <w:rsid w:val="00785FFA"/>
    <w:rsid w:val="00787778"/>
    <w:rsid w:val="007A5BB1"/>
    <w:rsid w:val="007D0863"/>
    <w:rsid w:val="007E0283"/>
    <w:rsid w:val="00830F3A"/>
    <w:rsid w:val="008329CC"/>
    <w:rsid w:val="00835F54"/>
    <w:rsid w:val="0085403F"/>
    <w:rsid w:val="00864F4B"/>
    <w:rsid w:val="008701C7"/>
    <w:rsid w:val="00890EE9"/>
    <w:rsid w:val="0089356D"/>
    <w:rsid w:val="008C1523"/>
    <w:rsid w:val="008C2662"/>
    <w:rsid w:val="008C7C4B"/>
    <w:rsid w:val="008C7CCB"/>
    <w:rsid w:val="008F5AA2"/>
    <w:rsid w:val="008F62B3"/>
    <w:rsid w:val="00926529"/>
    <w:rsid w:val="00950183"/>
    <w:rsid w:val="00963108"/>
    <w:rsid w:val="00982811"/>
    <w:rsid w:val="009937A2"/>
    <w:rsid w:val="009B7DA7"/>
    <w:rsid w:val="009C5B97"/>
    <w:rsid w:val="009C766C"/>
    <w:rsid w:val="009E4410"/>
    <w:rsid w:val="009F468E"/>
    <w:rsid w:val="009F6DC2"/>
    <w:rsid w:val="00A20542"/>
    <w:rsid w:val="00A23C32"/>
    <w:rsid w:val="00A26880"/>
    <w:rsid w:val="00A26A59"/>
    <w:rsid w:val="00A91E0A"/>
    <w:rsid w:val="00A93832"/>
    <w:rsid w:val="00AB402B"/>
    <w:rsid w:val="00AC232A"/>
    <w:rsid w:val="00AC23B2"/>
    <w:rsid w:val="00AC5FBD"/>
    <w:rsid w:val="00B10F1D"/>
    <w:rsid w:val="00B12EBE"/>
    <w:rsid w:val="00B32403"/>
    <w:rsid w:val="00B5013C"/>
    <w:rsid w:val="00B764B3"/>
    <w:rsid w:val="00B83C25"/>
    <w:rsid w:val="00BA18E3"/>
    <w:rsid w:val="00BC0A99"/>
    <w:rsid w:val="00BD667F"/>
    <w:rsid w:val="00C06E57"/>
    <w:rsid w:val="00C21B10"/>
    <w:rsid w:val="00C43F10"/>
    <w:rsid w:val="00C528FF"/>
    <w:rsid w:val="00C67F7F"/>
    <w:rsid w:val="00C91622"/>
    <w:rsid w:val="00C9498A"/>
    <w:rsid w:val="00C9767A"/>
    <w:rsid w:val="00CA0A89"/>
    <w:rsid w:val="00CB150B"/>
    <w:rsid w:val="00CB5614"/>
    <w:rsid w:val="00CD2F47"/>
    <w:rsid w:val="00CE0E9C"/>
    <w:rsid w:val="00D24DD3"/>
    <w:rsid w:val="00D36359"/>
    <w:rsid w:val="00D448D2"/>
    <w:rsid w:val="00DA711E"/>
    <w:rsid w:val="00DB3045"/>
    <w:rsid w:val="00DE08EE"/>
    <w:rsid w:val="00DE1F28"/>
    <w:rsid w:val="00DF214F"/>
    <w:rsid w:val="00E014F0"/>
    <w:rsid w:val="00E212A8"/>
    <w:rsid w:val="00E31B7C"/>
    <w:rsid w:val="00E80C9E"/>
    <w:rsid w:val="00E95B0A"/>
    <w:rsid w:val="00EA1A44"/>
    <w:rsid w:val="00EA4D5F"/>
    <w:rsid w:val="00EA7584"/>
    <w:rsid w:val="00EB3DEF"/>
    <w:rsid w:val="00EC300B"/>
    <w:rsid w:val="00ED6B02"/>
    <w:rsid w:val="00EE03C8"/>
    <w:rsid w:val="00EE73AC"/>
    <w:rsid w:val="00EF78B0"/>
    <w:rsid w:val="00F16978"/>
    <w:rsid w:val="00F24DCF"/>
    <w:rsid w:val="00F26CA4"/>
    <w:rsid w:val="00F32BC4"/>
    <w:rsid w:val="00F32CA8"/>
    <w:rsid w:val="00F42237"/>
    <w:rsid w:val="00F42254"/>
    <w:rsid w:val="00F44A7E"/>
    <w:rsid w:val="00F533A8"/>
    <w:rsid w:val="00F56D94"/>
    <w:rsid w:val="00F66B91"/>
    <w:rsid w:val="00FA3E8A"/>
    <w:rsid w:val="00FB10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0ADC"/>
  <w15:chartTrackingRefBased/>
  <w15:docId w15:val="{12F77234-5F41-4B72-B46B-A664BE6C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C List Paragraph"/>
    <w:basedOn w:val="Normal"/>
    <w:link w:val="ListParagraphChar"/>
    <w:uiPriority w:val="34"/>
    <w:qFormat/>
    <w:rsid w:val="00D448D2"/>
    <w:pPr>
      <w:widowControl w:val="0"/>
      <w:autoSpaceDE w:val="0"/>
      <w:autoSpaceDN w:val="0"/>
      <w:spacing w:after="0" w:line="240" w:lineRule="auto"/>
      <w:ind w:left="964" w:hanging="425"/>
    </w:pPr>
    <w:rPr>
      <w:rFonts w:ascii="Times New Roman" w:eastAsia="Arial" w:hAnsi="Times New Roman" w:cs="Arial"/>
      <w:kern w:val="0"/>
      <w:sz w:val="20"/>
      <w:lang w:val="en-US"/>
      <w14:ligatures w14:val="none"/>
    </w:rPr>
  </w:style>
  <w:style w:type="character" w:customStyle="1" w:styleId="ListParagraphChar">
    <w:name w:val="List Paragraph Char"/>
    <w:aliases w:val="CC List Paragraph Char"/>
    <w:basedOn w:val="DefaultParagraphFont"/>
    <w:link w:val="ListParagraph"/>
    <w:uiPriority w:val="34"/>
    <w:rsid w:val="00D448D2"/>
    <w:rPr>
      <w:rFonts w:ascii="Times New Roman" w:eastAsia="Arial" w:hAnsi="Times New Roman" w:cs="Arial"/>
      <w:kern w:val="0"/>
      <w:sz w:val="20"/>
      <w:lang w:val="en-US"/>
      <w14:ligatures w14:val="none"/>
    </w:rPr>
  </w:style>
  <w:style w:type="paragraph" w:styleId="Header">
    <w:name w:val="header"/>
    <w:basedOn w:val="Normal"/>
    <w:link w:val="HeaderChar"/>
    <w:uiPriority w:val="99"/>
    <w:unhideWhenUsed/>
    <w:rsid w:val="00720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3F5"/>
  </w:style>
  <w:style w:type="paragraph" w:styleId="Footer">
    <w:name w:val="footer"/>
    <w:basedOn w:val="Normal"/>
    <w:link w:val="FooterChar"/>
    <w:uiPriority w:val="99"/>
    <w:unhideWhenUsed/>
    <w:rsid w:val="00720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3F5"/>
  </w:style>
  <w:style w:type="paragraph" w:customStyle="1" w:styleId="LEGAL">
    <w:name w:val="LEGAL"/>
    <w:basedOn w:val="Normal"/>
    <w:rsid w:val="00890EE9"/>
    <w:pPr>
      <w:tabs>
        <w:tab w:val="left" w:pos="1134"/>
        <w:tab w:val="left" w:pos="2268"/>
        <w:tab w:val="left" w:pos="3402"/>
        <w:tab w:val="left" w:pos="4536"/>
        <w:tab w:val="right" w:pos="7655"/>
      </w:tabs>
      <w:snapToGrid w:val="0"/>
      <w:spacing w:after="0" w:line="480" w:lineRule="auto"/>
      <w:jc w:val="both"/>
    </w:pPr>
    <w:rPr>
      <w:rFonts w:ascii="Univers" w:eastAsia="Times New Roman" w:hAnsi="Univers" w:cs="Times New Roman"/>
      <w:kern w:val="0"/>
      <w:sz w:val="24"/>
      <w:szCs w:val="20"/>
      <w:lang w:val="en-GB"/>
      <w14:ligatures w14:val="none"/>
    </w:rPr>
  </w:style>
  <w:style w:type="paragraph" w:styleId="FootnoteText">
    <w:name w:val="footnote text"/>
    <w:aliases w:val="Footnote Text Char1 Char,Footnote Text Char Char Char,Footnote Text Char1 Char Char Char,Footnote Text Char Char Char Char Char,Footnote Text Char1 Char Char Char Char Char,Char,Footnote Text Char1,Footnote Text Char Char,Fo,fn"/>
    <w:basedOn w:val="Normal"/>
    <w:link w:val="FootnoteTextChar"/>
    <w:qFormat/>
    <w:rsid w:val="00642E95"/>
    <w:pPr>
      <w:spacing w:after="0" w:line="240" w:lineRule="auto"/>
    </w:pPr>
    <w:rPr>
      <w:rFonts w:ascii="Calibri" w:eastAsia="Times New Roman" w:hAnsi="Calibri" w:cs="Times New Roman"/>
      <w:kern w:val="0"/>
      <w:szCs w:val="20"/>
      <w:lang w:val="x-none"/>
      <w14:ligatures w14:val="none"/>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Char Char,Footnote Text Char1 Char1"/>
    <w:basedOn w:val="DefaultParagraphFont"/>
    <w:link w:val="FootnoteText"/>
    <w:rsid w:val="00642E95"/>
    <w:rPr>
      <w:rFonts w:ascii="Calibri" w:eastAsia="Times New Roman" w:hAnsi="Calibri" w:cs="Times New Roman"/>
      <w:kern w:val="0"/>
      <w:szCs w:val="20"/>
      <w:lang w:val="x-none"/>
      <w14:ligatures w14:val="none"/>
    </w:rPr>
  </w:style>
  <w:style w:type="character" w:styleId="FootnoteReference">
    <w:name w:val="footnote reference"/>
    <w:aliases w:val="(NECG) Footnote Reference,Ref,de nota al pie,註腳內容,Footnote symbol,Style 12,Footnote,Footnotes refss,Appel note de bas de page,Footnote Reference + Superscript,fr,Heading 6 Char1,do not use4 Char1,Texto de nota al pie,header 3"/>
    <w:uiPriority w:val="99"/>
    <w:qFormat/>
    <w:rsid w:val="00642E95"/>
    <w:rPr>
      <w:rFonts w:ascii="Calibri" w:hAnsi="Calibri" w:cs="Arial"/>
      <w:szCs w:val="24"/>
      <w:vertAlign w:val="superscript"/>
    </w:rPr>
  </w:style>
  <w:style w:type="paragraph" w:styleId="BodyText">
    <w:name w:val="Body Text"/>
    <w:basedOn w:val="Normal"/>
    <w:link w:val="BodyTextChar"/>
    <w:uiPriority w:val="1"/>
    <w:qFormat/>
    <w:rsid w:val="00BA18E3"/>
    <w:pPr>
      <w:widowControl w:val="0"/>
      <w:autoSpaceDE w:val="0"/>
      <w:autoSpaceDN w:val="0"/>
      <w:spacing w:after="0" w:line="240" w:lineRule="auto"/>
    </w:pPr>
    <w:rPr>
      <w:rFonts w:ascii="Arial" w:eastAsia="Arial" w:hAnsi="Arial" w:cs="Arial"/>
      <w:kern w:val="0"/>
      <w:sz w:val="24"/>
      <w:szCs w:val="24"/>
      <w:lang w:val="en-US"/>
      <w14:ligatures w14:val="none"/>
    </w:rPr>
  </w:style>
  <w:style w:type="character" w:customStyle="1" w:styleId="BodyTextChar">
    <w:name w:val="Body Text Char"/>
    <w:basedOn w:val="DefaultParagraphFont"/>
    <w:link w:val="BodyText"/>
    <w:uiPriority w:val="1"/>
    <w:rsid w:val="00BA18E3"/>
    <w:rPr>
      <w:rFonts w:ascii="Arial" w:eastAsia="Arial" w:hAnsi="Arial" w:cs="Arial"/>
      <w:kern w:val="0"/>
      <w:sz w:val="24"/>
      <w:szCs w:val="24"/>
      <w:lang w:val="en-US"/>
      <w14:ligatures w14:val="none"/>
    </w:rPr>
  </w:style>
  <w:style w:type="character" w:styleId="CommentReference">
    <w:name w:val="annotation reference"/>
    <w:basedOn w:val="DefaultParagraphFont"/>
    <w:uiPriority w:val="99"/>
    <w:semiHidden/>
    <w:unhideWhenUsed/>
    <w:rsid w:val="00435534"/>
    <w:rPr>
      <w:sz w:val="16"/>
      <w:szCs w:val="16"/>
    </w:rPr>
  </w:style>
  <w:style w:type="paragraph" w:styleId="CommentText">
    <w:name w:val="annotation text"/>
    <w:basedOn w:val="Normal"/>
    <w:link w:val="CommentTextChar"/>
    <w:uiPriority w:val="99"/>
    <w:unhideWhenUsed/>
    <w:rsid w:val="00435534"/>
    <w:pPr>
      <w:spacing w:line="240" w:lineRule="auto"/>
    </w:pPr>
    <w:rPr>
      <w:sz w:val="20"/>
      <w:szCs w:val="20"/>
    </w:rPr>
  </w:style>
  <w:style w:type="character" w:customStyle="1" w:styleId="CommentTextChar">
    <w:name w:val="Comment Text Char"/>
    <w:basedOn w:val="DefaultParagraphFont"/>
    <w:link w:val="CommentText"/>
    <w:uiPriority w:val="99"/>
    <w:rsid w:val="00435534"/>
    <w:rPr>
      <w:sz w:val="20"/>
      <w:szCs w:val="20"/>
    </w:rPr>
  </w:style>
  <w:style w:type="paragraph" w:styleId="CommentSubject">
    <w:name w:val="annotation subject"/>
    <w:basedOn w:val="CommentText"/>
    <w:next w:val="CommentText"/>
    <w:link w:val="CommentSubjectChar"/>
    <w:uiPriority w:val="99"/>
    <w:semiHidden/>
    <w:unhideWhenUsed/>
    <w:rsid w:val="00435534"/>
    <w:rPr>
      <w:b/>
      <w:bCs/>
    </w:rPr>
  </w:style>
  <w:style w:type="character" w:customStyle="1" w:styleId="CommentSubjectChar">
    <w:name w:val="Comment Subject Char"/>
    <w:basedOn w:val="CommentTextChar"/>
    <w:link w:val="CommentSubject"/>
    <w:uiPriority w:val="99"/>
    <w:semiHidden/>
    <w:rsid w:val="00435534"/>
    <w:rPr>
      <w:b/>
      <w:bCs/>
      <w:sz w:val="20"/>
      <w:szCs w:val="20"/>
    </w:rPr>
  </w:style>
  <w:style w:type="paragraph" w:customStyle="1" w:styleId="p1">
    <w:name w:val="p1"/>
    <w:basedOn w:val="Normal"/>
    <w:rsid w:val="00C06E57"/>
    <w:pPr>
      <w:spacing w:after="0" w:line="240" w:lineRule="auto"/>
    </w:pPr>
    <w:rPr>
      <w:rFonts w:ascii=".AppleSystemUIFont" w:hAnsi=".AppleSystemUIFont" w:cs="Aptos"/>
      <w:kern w:val="0"/>
      <w:sz w:val="35"/>
      <w:szCs w:val="35"/>
      <w:lang w:eastAsia="en-ZA"/>
      <w14:ligatures w14:val="none"/>
    </w:rPr>
  </w:style>
  <w:style w:type="paragraph" w:customStyle="1" w:styleId="p2">
    <w:name w:val="p2"/>
    <w:basedOn w:val="Normal"/>
    <w:rsid w:val="00C06E57"/>
    <w:pPr>
      <w:spacing w:after="0" w:line="240" w:lineRule="auto"/>
    </w:pPr>
    <w:rPr>
      <w:rFonts w:ascii=".AppleSystemUIFont" w:hAnsi=".AppleSystemUIFont" w:cs="Aptos"/>
      <w:kern w:val="0"/>
      <w:sz w:val="35"/>
      <w:szCs w:val="35"/>
      <w:lang w:eastAsia="en-ZA"/>
      <w14:ligatures w14:val="none"/>
    </w:rPr>
  </w:style>
  <w:style w:type="character" w:customStyle="1" w:styleId="s1">
    <w:name w:val="s1"/>
    <w:basedOn w:val="DefaultParagraphFont"/>
    <w:rsid w:val="00C06E57"/>
    <w:rPr>
      <w:rFonts w:ascii="UICTFontTextStyleBody" w:hAnsi="UICTFontTextStyleBody" w:hint="default"/>
      <w:b w:val="0"/>
      <w:bCs w:val="0"/>
      <w:i w:val="0"/>
      <w:iCs w:val="0"/>
      <w:sz w:val="35"/>
      <w:szCs w:val="35"/>
    </w:rPr>
  </w:style>
  <w:style w:type="paragraph" w:styleId="Revision">
    <w:name w:val="Revision"/>
    <w:hidden/>
    <w:uiPriority w:val="99"/>
    <w:semiHidden/>
    <w:rsid w:val="00EA7584"/>
    <w:pPr>
      <w:spacing w:after="0" w:line="240" w:lineRule="auto"/>
    </w:pPr>
  </w:style>
  <w:style w:type="paragraph" w:customStyle="1" w:styleId="JudgmentNumbered">
    <w:name w:val="Judgment Numbered"/>
    <w:basedOn w:val="Normal"/>
    <w:link w:val="JudgmentNumberedChar"/>
    <w:qFormat/>
    <w:rsid w:val="009B7DA7"/>
    <w:pPr>
      <w:numPr>
        <w:numId w:val="21"/>
      </w:numPr>
      <w:spacing w:after="240" w:line="360" w:lineRule="auto"/>
      <w:jc w:val="both"/>
    </w:pPr>
    <w:rPr>
      <w:rFonts w:ascii="Arial" w:hAnsi="Arial" w:cs="Arial"/>
      <w:kern w:val="0"/>
      <w:sz w:val="24"/>
      <w:lang w:val="en-GB"/>
      <w14:ligatures w14:val="none"/>
    </w:rPr>
  </w:style>
  <w:style w:type="character" w:customStyle="1" w:styleId="JudgmentNumberedChar">
    <w:name w:val="Judgment Numbered Char"/>
    <w:basedOn w:val="DefaultParagraphFont"/>
    <w:link w:val="JudgmentNumbered"/>
    <w:rsid w:val="009B7DA7"/>
    <w:rPr>
      <w:rFonts w:ascii="Arial" w:hAnsi="Arial" w:cs="Arial"/>
      <w:kern w:val="0"/>
      <w:sz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76797">
      <w:bodyDiv w:val="1"/>
      <w:marLeft w:val="0"/>
      <w:marRight w:val="0"/>
      <w:marTop w:val="0"/>
      <w:marBottom w:val="0"/>
      <w:divBdr>
        <w:top w:val="none" w:sz="0" w:space="0" w:color="auto"/>
        <w:left w:val="none" w:sz="0" w:space="0" w:color="auto"/>
        <w:bottom w:val="none" w:sz="0" w:space="0" w:color="auto"/>
        <w:right w:val="none" w:sz="0" w:space="0" w:color="auto"/>
      </w:divBdr>
    </w:div>
    <w:div w:id="791217152">
      <w:bodyDiv w:val="1"/>
      <w:marLeft w:val="0"/>
      <w:marRight w:val="0"/>
      <w:marTop w:val="0"/>
      <w:marBottom w:val="0"/>
      <w:divBdr>
        <w:top w:val="none" w:sz="0" w:space="0" w:color="auto"/>
        <w:left w:val="none" w:sz="0" w:space="0" w:color="auto"/>
        <w:bottom w:val="none" w:sz="0" w:space="0" w:color="auto"/>
        <w:right w:val="none" w:sz="0" w:space="0" w:color="auto"/>
      </w:divBdr>
    </w:div>
    <w:div w:id="948778309">
      <w:bodyDiv w:val="1"/>
      <w:marLeft w:val="0"/>
      <w:marRight w:val="0"/>
      <w:marTop w:val="0"/>
      <w:marBottom w:val="0"/>
      <w:divBdr>
        <w:top w:val="none" w:sz="0" w:space="0" w:color="auto"/>
        <w:left w:val="none" w:sz="0" w:space="0" w:color="auto"/>
        <w:bottom w:val="none" w:sz="0" w:space="0" w:color="auto"/>
        <w:right w:val="none" w:sz="0" w:space="0" w:color="auto"/>
      </w:divBdr>
    </w:div>
    <w:div w:id="1173102524">
      <w:bodyDiv w:val="1"/>
      <w:marLeft w:val="0"/>
      <w:marRight w:val="0"/>
      <w:marTop w:val="0"/>
      <w:marBottom w:val="0"/>
      <w:divBdr>
        <w:top w:val="none" w:sz="0" w:space="0" w:color="auto"/>
        <w:left w:val="none" w:sz="0" w:space="0" w:color="auto"/>
        <w:bottom w:val="none" w:sz="0" w:space="0" w:color="auto"/>
        <w:right w:val="none" w:sz="0" w:space="0" w:color="auto"/>
      </w:divBdr>
    </w:div>
    <w:div w:id="207665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55A20-114A-4317-9545-E76830BD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10983</Words>
  <Characters>62604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Judge-Lebogang Modiba</dc:creator>
  <cp:keywords/>
  <dc:description/>
  <cp:lastModifiedBy>Mary Bruce</cp:lastModifiedBy>
  <cp:revision>6</cp:revision>
  <cp:lastPrinted>2024-02-26T13:34:00Z</cp:lastPrinted>
  <dcterms:created xsi:type="dcterms:W3CDTF">2024-02-26T13:34:00Z</dcterms:created>
  <dcterms:modified xsi:type="dcterms:W3CDTF">2024-02-27T08:06:00Z</dcterms:modified>
</cp:coreProperties>
</file>