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6A20" w14:textId="77777777" w:rsidR="00646128" w:rsidRPr="00DA4515" w:rsidRDefault="00646128" w:rsidP="00646128">
      <w:pPr>
        <w:spacing w:line="360" w:lineRule="auto"/>
        <w:jc w:val="center"/>
        <w:rPr>
          <w:rFonts w:ascii="Arial" w:hAnsi="Arial" w:cs="Arial"/>
        </w:rPr>
      </w:pPr>
      <w:bookmarkStart w:id="0" w:name="_GoBack"/>
      <w:bookmarkEnd w:id="0"/>
      <w:r w:rsidRPr="00DA4515">
        <w:rPr>
          <w:rFonts w:ascii="Arial" w:hAnsi="Arial" w:cs="Arial"/>
          <w:noProof/>
          <w:lang w:eastAsia="en-ZA"/>
        </w:rPr>
        <w:drawing>
          <wp:inline distT="0" distB="0" distL="0" distR="0" wp14:anchorId="209D0B5E" wp14:editId="43C9D330">
            <wp:extent cx="2159000" cy="179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1797050"/>
                    </a:xfrm>
                    <a:prstGeom prst="rect">
                      <a:avLst/>
                    </a:prstGeom>
                    <a:noFill/>
                    <a:ln>
                      <a:noFill/>
                    </a:ln>
                  </pic:spPr>
                </pic:pic>
              </a:graphicData>
            </a:graphic>
          </wp:inline>
        </w:drawing>
      </w:r>
    </w:p>
    <w:p w14:paraId="2EBF406B" w14:textId="77777777" w:rsidR="00646128" w:rsidRPr="00DA4515" w:rsidRDefault="00646128" w:rsidP="00646128">
      <w:pPr>
        <w:jc w:val="center"/>
        <w:rPr>
          <w:rFonts w:ascii="Arial" w:hAnsi="Arial" w:cs="Arial"/>
          <w:b/>
        </w:rPr>
      </w:pPr>
      <w:r w:rsidRPr="00DA4515">
        <w:rPr>
          <w:rFonts w:ascii="Arial" w:hAnsi="Arial" w:cs="Arial"/>
          <w:b/>
        </w:rPr>
        <w:t>IN THE SPECIAL TRIBUNAL ESTABLISHED IN TERMS OF SECTION 2 (1) OF THE SPECIAL INVESTIGATIONS UNIT AND</w:t>
      </w:r>
    </w:p>
    <w:p w14:paraId="7A17124C" w14:textId="77777777" w:rsidR="00646128" w:rsidRPr="00DA4515" w:rsidRDefault="00646128" w:rsidP="00646128">
      <w:pPr>
        <w:jc w:val="center"/>
        <w:rPr>
          <w:rFonts w:ascii="Arial" w:hAnsi="Arial" w:cs="Arial"/>
          <w:b/>
        </w:rPr>
      </w:pPr>
      <w:r w:rsidRPr="00DA4515">
        <w:rPr>
          <w:rFonts w:ascii="Arial" w:hAnsi="Arial" w:cs="Arial"/>
          <w:b/>
        </w:rPr>
        <w:t>SPECIAL TRIBUNALS ACT 74 OF 1996</w:t>
      </w:r>
    </w:p>
    <w:p w14:paraId="6225EE1C" w14:textId="77777777" w:rsidR="00646128" w:rsidRPr="00DA4515" w:rsidRDefault="00646128" w:rsidP="00646128">
      <w:pPr>
        <w:jc w:val="center"/>
        <w:rPr>
          <w:rFonts w:ascii="Arial" w:hAnsi="Arial" w:cs="Arial"/>
          <w:b/>
        </w:rPr>
      </w:pPr>
      <w:r w:rsidRPr="00DA4515">
        <w:rPr>
          <w:rFonts w:ascii="Arial" w:hAnsi="Arial" w:cs="Arial"/>
          <w:b/>
        </w:rPr>
        <w:t>(REPUBLIC OF SOUTH AFRICA)</w:t>
      </w:r>
    </w:p>
    <w:p w14:paraId="642C95CA" w14:textId="77777777" w:rsidR="00646128" w:rsidRPr="00DA4515" w:rsidRDefault="00646128" w:rsidP="00646128">
      <w:pPr>
        <w:jc w:val="center"/>
        <w:rPr>
          <w:rFonts w:ascii="Arial" w:hAnsi="Arial" w:cs="Arial"/>
        </w:rPr>
      </w:pPr>
    </w:p>
    <w:p w14:paraId="03729AE7" w14:textId="77777777" w:rsidR="009D534E" w:rsidRPr="000041F9" w:rsidRDefault="009D534E" w:rsidP="009D534E">
      <w:pPr>
        <w:spacing w:line="360" w:lineRule="auto"/>
        <w:rPr>
          <w:rFonts w:ascii="Arial" w:hAnsi="Arial" w:cs="Arial"/>
          <w:b/>
          <w:bCs/>
        </w:rPr>
      </w:pPr>
      <w:r w:rsidRPr="000041F9">
        <w:rPr>
          <w:rFonts w:ascii="Arial" w:hAnsi="Arial" w:cs="Arial"/>
          <w:b/>
          <w:bCs/>
        </w:rPr>
        <w:t xml:space="preserve">                                                                                                CASE NO: LP01/202</w:t>
      </w:r>
      <w:r>
        <w:rPr>
          <w:rFonts w:ascii="Arial" w:hAnsi="Arial" w:cs="Arial"/>
          <w:b/>
          <w:bCs/>
        </w:rPr>
        <w:t>4</w:t>
      </w:r>
    </w:p>
    <w:p w14:paraId="5EAD4F15" w14:textId="77777777" w:rsidR="009D534E" w:rsidRPr="000041F9" w:rsidRDefault="009D534E" w:rsidP="009D534E">
      <w:pPr>
        <w:spacing w:line="360" w:lineRule="auto"/>
        <w:jc w:val="both"/>
        <w:rPr>
          <w:rFonts w:ascii="Arial" w:hAnsi="Arial" w:cs="Arial"/>
        </w:rPr>
      </w:pPr>
      <w:r w:rsidRPr="000041F9">
        <w:rPr>
          <w:rFonts w:ascii="Arial" w:hAnsi="Arial" w:cs="Arial"/>
        </w:rPr>
        <w:t xml:space="preserve">In the matter between:  </w:t>
      </w:r>
    </w:p>
    <w:p w14:paraId="39BFB730" w14:textId="77777777" w:rsidR="009D534E" w:rsidRPr="000041F9" w:rsidRDefault="009D534E" w:rsidP="009D534E">
      <w:pPr>
        <w:spacing w:line="360" w:lineRule="auto"/>
        <w:jc w:val="both"/>
        <w:rPr>
          <w:rFonts w:ascii="Arial" w:hAnsi="Arial" w:cs="Arial"/>
          <w:b/>
          <w:bCs/>
        </w:rPr>
      </w:pPr>
      <w:r w:rsidRPr="000041F9">
        <w:rPr>
          <w:rFonts w:ascii="Arial" w:hAnsi="Arial" w:cs="Arial"/>
          <w:b/>
          <w:bCs/>
        </w:rPr>
        <w:t>THE SPECIAL INVESTIGATING UNIT                                                APPLICANT</w:t>
      </w:r>
    </w:p>
    <w:p w14:paraId="0AE38F1F" w14:textId="77777777" w:rsidR="009D534E" w:rsidRPr="000041F9" w:rsidRDefault="009D534E" w:rsidP="009D534E">
      <w:pPr>
        <w:spacing w:line="360" w:lineRule="auto"/>
        <w:jc w:val="both"/>
        <w:rPr>
          <w:rFonts w:ascii="Arial" w:hAnsi="Arial" w:cs="Arial"/>
        </w:rPr>
      </w:pPr>
      <w:r w:rsidRPr="000041F9">
        <w:rPr>
          <w:rFonts w:ascii="Arial" w:hAnsi="Arial" w:cs="Arial"/>
        </w:rPr>
        <w:t>And</w:t>
      </w:r>
    </w:p>
    <w:p w14:paraId="56F65434" w14:textId="77777777" w:rsidR="009D534E" w:rsidRPr="000041F9" w:rsidRDefault="009D534E" w:rsidP="009D534E">
      <w:pPr>
        <w:spacing w:line="360" w:lineRule="auto"/>
        <w:jc w:val="both"/>
        <w:rPr>
          <w:rFonts w:ascii="Arial" w:hAnsi="Arial" w:cs="Arial"/>
          <w:b/>
          <w:bCs/>
        </w:rPr>
      </w:pPr>
      <w:r w:rsidRPr="000041F9">
        <w:rPr>
          <w:rFonts w:ascii="Arial" w:hAnsi="Arial" w:cs="Arial"/>
          <w:b/>
          <w:bCs/>
        </w:rPr>
        <w:t>AHUIWI NETSHIDAULU                                                       FIRST RESPONDENT</w:t>
      </w:r>
    </w:p>
    <w:p w14:paraId="430934B8" w14:textId="77777777" w:rsidR="009D534E" w:rsidRDefault="009D534E" w:rsidP="009D534E">
      <w:pPr>
        <w:spacing w:line="360" w:lineRule="auto"/>
        <w:jc w:val="both"/>
        <w:rPr>
          <w:rFonts w:ascii="Arial" w:hAnsi="Arial" w:cs="Arial"/>
          <w:b/>
          <w:bCs/>
        </w:rPr>
      </w:pPr>
      <w:r w:rsidRPr="000041F9">
        <w:rPr>
          <w:rFonts w:ascii="Arial" w:hAnsi="Arial" w:cs="Arial"/>
          <w:b/>
          <w:bCs/>
        </w:rPr>
        <w:t>ALEXANDRA FORBES RETIREMENT</w:t>
      </w:r>
      <w:r>
        <w:rPr>
          <w:rFonts w:ascii="Arial" w:hAnsi="Arial" w:cs="Arial"/>
          <w:b/>
          <w:bCs/>
        </w:rPr>
        <w:t xml:space="preserve"> FUND</w:t>
      </w:r>
      <w:r w:rsidRPr="000041F9">
        <w:rPr>
          <w:rFonts w:ascii="Arial" w:hAnsi="Arial" w:cs="Arial"/>
          <w:b/>
          <w:bCs/>
        </w:rPr>
        <w:t xml:space="preserve">                          SECOND RESPONDENT</w:t>
      </w:r>
    </w:p>
    <w:p w14:paraId="53384AEA" w14:textId="77777777" w:rsidR="009D534E" w:rsidRPr="000041F9" w:rsidRDefault="009D534E" w:rsidP="009D534E">
      <w:pPr>
        <w:spacing w:line="360" w:lineRule="auto"/>
        <w:jc w:val="both"/>
        <w:rPr>
          <w:rFonts w:ascii="Arial" w:hAnsi="Arial" w:cs="Arial"/>
          <w:b/>
          <w:bCs/>
        </w:rPr>
      </w:pPr>
      <w:r>
        <w:rPr>
          <w:rFonts w:ascii="Arial" w:hAnsi="Arial" w:cs="Arial"/>
          <w:b/>
          <w:bCs/>
        </w:rPr>
        <w:t xml:space="preserve">(PENSION SECTION) </w:t>
      </w:r>
    </w:p>
    <w:p w14:paraId="319EC535" w14:textId="77777777" w:rsidR="009D534E" w:rsidRPr="000041F9" w:rsidRDefault="009D534E" w:rsidP="009D534E">
      <w:pPr>
        <w:spacing w:line="360" w:lineRule="auto"/>
        <w:jc w:val="both"/>
        <w:rPr>
          <w:rFonts w:ascii="Arial" w:hAnsi="Arial" w:cs="Arial"/>
          <w:b/>
          <w:bCs/>
        </w:rPr>
      </w:pPr>
      <w:r w:rsidRPr="000041F9">
        <w:rPr>
          <w:rFonts w:ascii="Arial" w:hAnsi="Arial" w:cs="Arial"/>
          <w:b/>
          <w:bCs/>
        </w:rPr>
        <w:t>LEPELLE NORTHERN WATER                                           THIRD RESPONDENT</w:t>
      </w:r>
    </w:p>
    <w:p w14:paraId="33003FB2" w14:textId="77777777" w:rsidR="009D534E" w:rsidRPr="000041F9" w:rsidRDefault="009D534E" w:rsidP="009D534E">
      <w:pPr>
        <w:spacing w:line="360" w:lineRule="auto"/>
        <w:jc w:val="both"/>
        <w:rPr>
          <w:rFonts w:ascii="Arial" w:hAnsi="Arial" w:cs="Arial"/>
          <w:b/>
          <w:bCs/>
        </w:rPr>
      </w:pPr>
      <w:r w:rsidRPr="000041F9">
        <w:rPr>
          <w:rFonts w:ascii="Arial" w:hAnsi="Arial" w:cs="Arial"/>
          <w:b/>
          <w:bCs/>
        </w:rPr>
        <w:t>DEPARTMENT OF WATER AND SANITATION               FOURTH RESPONDENT</w:t>
      </w:r>
    </w:p>
    <w:p w14:paraId="3C16DD40" w14:textId="68A95867" w:rsidR="003E0813" w:rsidRPr="00E85D18" w:rsidRDefault="003E0813" w:rsidP="003E0813">
      <w:pPr>
        <w:pStyle w:val="WWTramLines"/>
        <w:spacing w:after="240"/>
        <w:rPr>
          <w:rFonts w:cs="Arial"/>
        </w:rPr>
      </w:pPr>
      <w:r w:rsidRPr="00E85D18">
        <w:rPr>
          <w:rFonts w:cs="Arial"/>
        </w:rPr>
        <w:t xml:space="preserve">JUDGMENT </w:t>
      </w:r>
    </w:p>
    <w:p w14:paraId="17B8E6C6" w14:textId="77777777" w:rsidR="009D534E" w:rsidRDefault="009D534E" w:rsidP="00AB18D1">
      <w:pPr>
        <w:jc w:val="right"/>
        <w:rPr>
          <w:rFonts w:ascii="Arial" w:hAnsi="Arial" w:cs="Arial"/>
          <w:b/>
          <w:bCs/>
          <w:u w:val="single"/>
          <w:lang w:val="en-GB"/>
        </w:rPr>
      </w:pPr>
    </w:p>
    <w:p w14:paraId="5D265E17" w14:textId="57024989" w:rsidR="00FC222A" w:rsidRDefault="00FC222A" w:rsidP="00FC222A">
      <w:pPr>
        <w:jc w:val="both"/>
        <w:rPr>
          <w:rFonts w:ascii="Arial" w:hAnsi="Arial" w:cs="Arial"/>
          <w:lang w:val="en-GB"/>
        </w:rPr>
      </w:pPr>
      <w:r>
        <w:rPr>
          <w:rFonts w:ascii="Arial" w:hAnsi="Arial" w:cs="Arial"/>
          <w:b/>
          <w:bCs/>
          <w:lang w:val="en-GB"/>
        </w:rPr>
        <w:t xml:space="preserve">Summary: </w:t>
      </w:r>
      <w:r w:rsidRPr="00FC222A">
        <w:rPr>
          <w:rFonts w:ascii="Arial" w:hAnsi="Arial" w:cs="Arial"/>
          <w:lang w:val="en-GB"/>
        </w:rPr>
        <w:t xml:space="preserve">Civil procedure – application for an interim interdict to restrain the first  respondent from accessing and </w:t>
      </w:r>
      <w:r w:rsidR="00E6562C">
        <w:rPr>
          <w:rFonts w:ascii="Arial" w:hAnsi="Arial" w:cs="Arial"/>
          <w:lang w:val="en-GB"/>
        </w:rPr>
        <w:t xml:space="preserve">the second respondent from </w:t>
      </w:r>
      <w:r w:rsidRPr="00FC222A">
        <w:rPr>
          <w:rFonts w:ascii="Arial" w:hAnsi="Arial" w:cs="Arial"/>
          <w:lang w:val="en-GB"/>
        </w:rPr>
        <w:t>releasing the first respondent’s pension benefits – joinder of the fifth respondent - urgency - double jeopardy - failure to have the decision to appoint Blackhead Consulting reviewed and set aside – whether the requirements for an interim interdict have been met – whether costs on an attorney and client scale are justified.</w:t>
      </w:r>
      <w:r>
        <w:rPr>
          <w:rFonts w:ascii="Arial" w:hAnsi="Arial" w:cs="Arial"/>
          <w:lang w:val="en-GB"/>
        </w:rPr>
        <w:t xml:space="preserve"> </w:t>
      </w:r>
    </w:p>
    <w:p w14:paraId="21BC5E25" w14:textId="3A2A79EE" w:rsidR="00FC222A" w:rsidRDefault="00FC222A" w:rsidP="00FC222A">
      <w:pPr>
        <w:jc w:val="both"/>
        <w:rPr>
          <w:rFonts w:ascii="Arial" w:hAnsi="Arial" w:cs="Arial"/>
          <w:lang w:val="en-GB"/>
        </w:rPr>
      </w:pPr>
      <w:r>
        <w:rPr>
          <w:rFonts w:ascii="Arial" w:hAnsi="Arial" w:cs="Arial"/>
          <w:lang w:val="en-GB"/>
        </w:rPr>
        <w:t xml:space="preserve">Held – </w:t>
      </w:r>
      <w:r w:rsidR="00864644">
        <w:rPr>
          <w:rFonts w:ascii="Arial" w:hAnsi="Arial" w:cs="Arial"/>
          <w:lang w:val="en-GB"/>
        </w:rPr>
        <w:t xml:space="preserve">application for the joinder of the </w:t>
      </w:r>
      <w:r>
        <w:rPr>
          <w:rFonts w:ascii="Arial" w:hAnsi="Arial" w:cs="Arial"/>
          <w:lang w:val="en-GB"/>
        </w:rPr>
        <w:t xml:space="preserve">fifth respondent </w:t>
      </w:r>
      <w:r w:rsidR="00864644">
        <w:rPr>
          <w:rFonts w:ascii="Arial" w:hAnsi="Arial" w:cs="Arial"/>
          <w:lang w:val="en-GB"/>
        </w:rPr>
        <w:t>dismissed as no proper case made out</w:t>
      </w:r>
      <w:r>
        <w:rPr>
          <w:rFonts w:ascii="Arial" w:hAnsi="Arial" w:cs="Arial"/>
          <w:lang w:val="en-GB"/>
        </w:rPr>
        <w:t xml:space="preserve"> – requirements for urgency not met because applicant delayed to bring application and has not established that it will be denied substantive redress in due course – no merit to double jeopardy ground </w:t>
      </w:r>
      <w:r w:rsidR="00657D2C">
        <w:rPr>
          <w:rFonts w:ascii="Arial" w:hAnsi="Arial" w:cs="Arial"/>
          <w:lang w:val="en-GB"/>
        </w:rPr>
        <w:t>o</w:t>
      </w:r>
      <w:r>
        <w:rPr>
          <w:rFonts w:ascii="Arial" w:hAnsi="Arial" w:cs="Arial"/>
          <w:lang w:val="en-GB"/>
        </w:rPr>
        <w:t xml:space="preserve">f opposition as it can only be raised in terms of s 35(3)(m) of the Constitution by a person charged with a criminal offence – decision to appoint Blackhead Consulting valid until set aside, therefore any cause of action based on irregularities that led to the decision is premature -  </w:t>
      </w:r>
      <w:r w:rsidRPr="00FC222A">
        <w:rPr>
          <w:rFonts w:ascii="Arial" w:hAnsi="Arial" w:cs="Arial"/>
          <w:lang w:val="en-GB"/>
        </w:rPr>
        <w:t xml:space="preserve">requirements for an interim interdict </w:t>
      </w:r>
      <w:r>
        <w:rPr>
          <w:rFonts w:ascii="Arial" w:hAnsi="Arial" w:cs="Arial"/>
          <w:lang w:val="en-GB"/>
        </w:rPr>
        <w:t xml:space="preserve">not </w:t>
      </w:r>
      <w:r w:rsidRPr="00FC222A">
        <w:rPr>
          <w:rFonts w:ascii="Arial" w:hAnsi="Arial" w:cs="Arial"/>
          <w:lang w:val="en-GB"/>
        </w:rPr>
        <w:t>met – costs on an attorney and client scale justified.</w:t>
      </w:r>
      <w:r>
        <w:rPr>
          <w:rFonts w:ascii="Arial" w:hAnsi="Arial" w:cs="Arial"/>
          <w:lang w:val="en-GB"/>
        </w:rPr>
        <w:t xml:space="preserve"> </w:t>
      </w:r>
    </w:p>
    <w:p w14:paraId="1602073A" w14:textId="52747D6B" w:rsidR="00FC222A" w:rsidRPr="00FC222A" w:rsidRDefault="00FC222A" w:rsidP="00FC222A">
      <w:pPr>
        <w:jc w:val="both"/>
        <w:rPr>
          <w:rFonts w:ascii="Arial" w:hAnsi="Arial" w:cs="Arial"/>
          <w:lang w:val="en-GB"/>
        </w:rPr>
      </w:pPr>
    </w:p>
    <w:p w14:paraId="51837658" w14:textId="77777777" w:rsidR="00FC222A" w:rsidRDefault="00FC222A" w:rsidP="00FC222A">
      <w:pPr>
        <w:jc w:val="both"/>
        <w:rPr>
          <w:rFonts w:ascii="Arial" w:hAnsi="Arial" w:cs="Arial"/>
          <w:b/>
          <w:bCs/>
          <w:lang w:val="en-GB"/>
        </w:rPr>
      </w:pPr>
    </w:p>
    <w:p w14:paraId="67FFD171" w14:textId="7C40CDDC" w:rsidR="00FC222A" w:rsidRPr="00FC222A" w:rsidRDefault="00FC222A" w:rsidP="00FC222A">
      <w:pPr>
        <w:jc w:val="both"/>
        <w:rPr>
          <w:rFonts w:ascii="Arial" w:hAnsi="Arial" w:cs="Arial"/>
          <w:b/>
          <w:bCs/>
          <w:lang w:val="en-GB"/>
        </w:rPr>
      </w:pPr>
      <w:r w:rsidRPr="00FC222A">
        <w:rPr>
          <w:rFonts w:ascii="Arial" w:hAnsi="Arial" w:cs="Arial"/>
          <w:b/>
          <w:bCs/>
          <w:lang w:val="en-GB"/>
        </w:rPr>
        <w:t>Modiba J:</w:t>
      </w:r>
    </w:p>
    <w:p w14:paraId="12D6CBEF" w14:textId="77777777" w:rsidR="00FC222A" w:rsidRDefault="00FC222A" w:rsidP="00FC222A">
      <w:pPr>
        <w:jc w:val="both"/>
        <w:rPr>
          <w:rFonts w:ascii="Arial" w:hAnsi="Arial" w:cs="Arial"/>
          <w:b/>
          <w:bCs/>
          <w:u w:val="single"/>
          <w:lang w:val="en-GB"/>
        </w:rPr>
      </w:pPr>
    </w:p>
    <w:p w14:paraId="1222A3E3" w14:textId="77777777" w:rsidR="00FC222A" w:rsidRPr="00CD237F" w:rsidRDefault="00FC222A" w:rsidP="00FC222A">
      <w:pPr>
        <w:pStyle w:val="ListParagraph"/>
        <w:spacing w:line="360" w:lineRule="auto"/>
        <w:ind w:left="0"/>
        <w:rPr>
          <w:rFonts w:ascii="Arial" w:hAnsi="Arial" w:cs="Arial"/>
          <w:b/>
          <w:bCs/>
          <w:lang w:val="en-GB"/>
        </w:rPr>
      </w:pPr>
      <w:r w:rsidRPr="00CD237F">
        <w:rPr>
          <w:rFonts w:ascii="Arial" w:hAnsi="Arial" w:cs="Arial"/>
          <w:b/>
          <w:bCs/>
          <w:lang w:val="en-GB"/>
        </w:rPr>
        <w:t>Introduction</w:t>
      </w:r>
    </w:p>
    <w:p w14:paraId="55F6050B" w14:textId="77777777" w:rsidR="00FC222A" w:rsidRPr="00BE0193" w:rsidRDefault="00FC222A" w:rsidP="00FC222A">
      <w:pPr>
        <w:pStyle w:val="ListParagraph"/>
        <w:spacing w:line="360" w:lineRule="auto"/>
        <w:ind w:left="0"/>
        <w:rPr>
          <w:rFonts w:ascii="Arial" w:hAnsi="Arial" w:cs="Arial"/>
          <w:lang w:val="en-GB"/>
        </w:rPr>
      </w:pPr>
    </w:p>
    <w:p w14:paraId="5A2C5F12" w14:textId="44882173" w:rsidR="00FC222A" w:rsidRPr="00211211" w:rsidRDefault="00211211" w:rsidP="00211211">
      <w:pPr>
        <w:spacing w:line="360" w:lineRule="auto"/>
        <w:ind w:left="720" w:hanging="360"/>
        <w:jc w:val="both"/>
        <w:rPr>
          <w:rFonts w:ascii="Arial" w:hAnsi="Arial" w:cs="Arial"/>
        </w:rPr>
      </w:pPr>
      <w:r w:rsidRPr="008648CD">
        <w:rPr>
          <w:rFonts w:ascii="Arial" w:hAnsi="Arial" w:cs="Arial"/>
        </w:rPr>
        <w:t>[1]</w:t>
      </w:r>
      <w:r w:rsidRPr="008648CD">
        <w:rPr>
          <w:rFonts w:ascii="Arial" w:hAnsi="Arial" w:cs="Arial"/>
        </w:rPr>
        <w:tab/>
      </w:r>
      <w:r w:rsidR="00FC222A" w:rsidRPr="00211211">
        <w:rPr>
          <w:rFonts w:ascii="Arial" w:hAnsi="Arial" w:cs="Arial"/>
        </w:rPr>
        <w:t>The Special Investigating Unit (SIU) appl</w:t>
      </w:r>
      <w:r w:rsidR="00882E02" w:rsidRPr="00211211">
        <w:rPr>
          <w:rFonts w:ascii="Arial" w:hAnsi="Arial" w:cs="Arial"/>
        </w:rPr>
        <w:t>ies</w:t>
      </w:r>
      <w:r w:rsidR="00FC222A" w:rsidRPr="00211211">
        <w:rPr>
          <w:rFonts w:ascii="Arial" w:hAnsi="Arial" w:cs="Arial"/>
        </w:rPr>
        <w:t xml:space="preserve"> for an order interdicting Ahuiwi Netshidaulu (Netshidaulu)</w:t>
      </w:r>
      <w:r w:rsidR="006603F2" w:rsidRPr="00211211">
        <w:rPr>
          <w:rFonts w:ascii="Arial" w:hAnsi="Arial" w:cs="Arial"/>
        </w:rPr>
        <w:t xml:space="preserve"> and </w:t>
      </w:r>
      <w:r w:rsidR="00FC222A" w:rsidRPr="00211211">
        <w:rPr>
          <w:rFonts w:ascii="Arial" w:hAnsi="Arial" w:cs="Arial"/>
        </w:rPr>
        <w:t>Alexandra Forbes Retirement Fund (Pension Section) (AFRF) from</w:t>
      </w:r>
      <w:r w:rsidR="006603F2" w:rsidRPr="00211211">
        <w:rPr>
          <w:rFonts w:ascii="Arial" w:hAnsi="Arial" w:cs="Arial"/>
        </w:rPr>
        <w:t xml:space="preserve"> respectively accessing and</w:t>
      </w:r>
      <w:r w:rsidR="00FC222A" w:rsidRPr="00211211">
        <w:rPr>
          <w:rFonts w:ascii="Arial" w:hAnsi="Arial" w:cs="Arial"/>
        </w:rPr>
        <w:t xml:space="preserve"> paying Netshidaulu’s pension benefits, pending the outcome of an action the SIU intends instituting against him in the Tribunal within 90 days of the granting of the</w:t>
      </w:r>
      <w:r w:rsidR="0075059E" w:rsidRPr="00211211">
        <w:rPr>
          <w:rFonts w:ascii="Arial" w:hAnsi="Arial" w:cs="Arial"/>
        </w:rPr>
        <w:t xml:space="preserve"> interim</w:t>
      </w:r>
      <w:r w:rsidR="00FC222A" w:rsidRPr="00211211">
        <w:rPr>
          <w:rFonts w:ascii="Arial" w:hAnsi="Arial" w:cs="Arial"/>
        </w:rPr>
        <w:t xml:space="preserve"> interdict.  It has brought the application on notice to the respondents. It seeks the interdict on an urgent basis. </w:t>
      </w:r>
    </w:p>
    <w:p w14:paraId="73481AD7" w14:textId="77777777" w:rsidR="00FC222A" w:rsidRPr="008648CD" w:rsidRDefault="00FC222A" w:rsidP="008648CD">
      <w:pPr>
        <w:spacing w:line="360" w:lineRule="auto"/>
        <w:jc w:val="both"/>
        <w:rPr>
          <w:rFonts w:ascii="Arial" w:hAnsi="Arial" w:cs="Arial"/>
        </w:rPr>
      </w:pPr>
    </w:p>
    <w:p w14:paraId="303A9A20" w14:textId="5F6E1EB6" w:rsidR="00FC222A" w:rsidRPr="00211211" w:rsidRDefault="00211211" w:rsidP="00211211">
      <w:pPr>
        <w:spacing w:line="360" w:lineRule="auto"/>
        <w:ind w:left="720" w:hanging="360"/>
        <w:jc w:val="both"/>
        <w:rPr>
          <w:rFonts w:ascii="Arial" w:hAnsi="Arial" w:cs="Arial"/>
        </w:rPr>
      </w:pPr>
      <w:r w:rsidRPr="008648CD">
        <w:rPr>
          <w:rFonts w:ascii="Arial" w:hAnsi="Arial" w:cs="Arial"/>
        </w:rPr>
        <w:t>[2]</w:t>
      </w:r>
      <w:r w:rsidRPr="008648CD">
        <w:rPr>
          <w:rFonts w:ascii="Arial" w:hAnsi="Arial" w:cs="Arial"/>
        </w:rPr>
        <w:tab/>
      </w:r>
      <w:r w:rsidR="00FC222A" w:rsidRPr="00211211">
        <w:rPr>
          <w:rFonts w:ascii="Arial" w:hAnsi="Arial" w:cs="Arial"/>
        </w:rPr>
        <w:t xml:space="preserve">Initially, the SIU had cited AFRF as the second respondent, Lepelle Northern Water (LNW) as the third respondent and the Department of Water and Sanitation (DWS) as the fourth respondent. It </w:t>
      </w:r>
      <w:r w:rsidR="00FA5301" w:rsidRPr="00211211">
        <w:rPr>
          <w:rFonts w:ascii="Arial" w:hAnsi="Arial" w:cs="Arial"/>
        </w:rPr>
        <w:t>applies to join</w:t>
      </w:r>
      <w:r w:rsidR="00FC222A" w:rsidRPr="00211211">
        <w:rPr>
          <w:rFonts w:ascii="Arial" w:hAnsi="Arial" w:cs="Arial"/>
        </w:rPr>
        <w:t xml:space="preserve"> </w:t>
      </w:r>
      <w:r w:rsidR="00FC222A" w:rsidRPr="00211211">
        <w:rPr>
          <w:rFonts w:ascii="Arial" w:hAnsi="Arial" w:cs="Arial"/>
          <w:lang w:val="en-GB"/>
        </w:rPr>
        <w:t>Alexandra Forbes Pension Fund</w:t>
      </w:r>
      <w:r w:rsidR="00FC222A" w:rsidRPr="00211211">
        <w:rPr>
          <w:rFonts w:ascii="Arial" w:hAnsi="Arial" w:cs="Arial"/>
        </w:rPr>
        <w:t xml:space="preserve"> (Alexander Forbes) as the fifth respondent</w:t>
      </w:r>
      <w:r w:rsidR="00796DD4" w:rsidRPr="00211211">
        <w:rPr>
          <w:rFonts w:ascii="Arial" w:hAnsi="Arial" w:cs="Arial"/>
        </w:rPr>
        <w:t>. It alleges that it seeks to join Alexander Forbes</w:t>
      </w:r>
      <w:r w:rsidR="00FC222A" w:rsidRPr="00211211">
        <w:rPr>
          <w:rFonts w:ascii="Arial" w:hAnsi="Arial" w:cs="Arial"/>
        </w:rPr>
        <w:t xml:space="preserve"> to ensure that the order it seeks is effective. The </w:t>
      </w:r>
      <w:r w:rsidR="00B0418C" w:rsidRPr="00211211">
        <w:rPr>
          <w:rFonts w:ascii="Arial" w:hAnsi="Arial" w:cs="Arial"/>
        </w:rPr>
        <w:t xml:space="preserve">legal basis </w:t>
      </w:r>
      <w:r w:rsidR="00FC222A" w:rsidRPr="00211211">
        <w:rPr>
          <w:rFonts w:ascii="Arial" w:hAnsi="Arial" w:cs="Arial"/>
        </w:rPr>
        <w:t xml:space="preserve">for joining this party </w:t>
      </w:r>
      <w:r w:rsidR="00B0418C" w:rsidRPr="00211211">
        <w:rPr>
          <w:rFonts w:ascii="Arial" w:hAnsi="Arial" w:cs="Arial"/>
        </w:rPr>
        <w:t xml:space="preserve">to ensure that the SIU meets the test for joinder is not </w:t>
      </w:r>
      <w:r w:rsidR="00B33832" w:rsidRPr="00211211">
        <w:rPr>
          <w:rFonts w:ascii="Arial" w:hAnsi="Arial" w:cs="Arial"/>
        </w:rPr>
        <w:t>properly set out in</w:t>
      </w:r>
      <w:r w:rsidR="00FC222A" w:rsidRPr="00211211">
        <w:rPr>
          <w:rFonts w:ascii="Arial" w:hAnsi="Arial" w:cs="Arial"/>
        </w:rPr>
        <w:t xml:space="preserve"> the affidavit filed in support of the joinder application. </w:t>
      </w:r>
      <w:r w:rsidR="006603F2" w:rsidRPr="00211211">
        <w:rPr>
          <w:rFonts w:ascii="Arial" w:hAnsi="Arial" w:cs="Arial"/>
        </w:rPr>
        <w:t>I</w:t>
      </w:r>
      <w:r w:rsidR="00FC222A" w:rsidRPr="00211211">
        <w:rPr>
          <w:rFonts w:ascii="Arial" w:hAnsi="Arial" w:cs="Arial"/>
        </w:rPr>
        <w:t xml:space="preserve">t has also not changed its notice of motion where it seeks the interim interdict only against AFRF and LNW. </w:t>
      </w:r>
    </w:p>
    <w:p w14:paraId="53378661" w14:textId="77777777" w:rsidR="00FC222A" w:rsidRPr="008648CD" w:rsidRDefault="00FC222A" w:rsidP="008648CD">
      <w:pPr>
        <w:spacing w:line="360" w:lineRule="auto"/>
        <w:jc w:val="both"/>
        <w:rPr>
          <w:rFonts w:ascii="Arial" w:hAnsi="Arial" w:cs="Arial"/>
        </w:rPr>
      </w:pPr>
    </w:p>
    <w:p w14:paraId="6CF5C94A" w14:textId="0A4B37E6" w:rsidR="00687206" w:rsidRPr="00211211" w:rsidRDefault="00211211" w:rsidP="00211211">
      <w:pPr>
        <w:spacing w:line="360" w:lineRule="auto"/>
        <w:ind w:left="720" w:hanging="360"/>
        <w:jc w:val="both"/>
        <w:rPr>
          <w:rFonts w:ascii="Arial" w:hAnsi="Arial" w:cs="Arial"/>
        </w:rPr>
      </w:pPr>
      <w:r>
        <w:rPr>
          <w:rFonts w:ascii="Arial" w:hAnsi="Arial" w:cs="Arial"/>
        </w:rPr>
        <w:t>[3]</w:t>
      </w:r>
      <w:r>
        <w:rPr>
          <w:rFonts w:ascii="Arial" w:hAnsi="Arial" w:cs="Arial"/>
        </w:rPr>
        <w:tab/>
      </w:r>
      <w:r w:rsidR="00FC222A" w:rsidRPr="00211211">
        <w:rPr>
          <w:rFonts w:ascii="Arial" w:hAnsi="Arial" w:cs="Arial"/>
        </w:rPr>
        <w:t>A</w:t>
      </w:r>
      <w:r w:rsidR="006603F2" w:rsidRPr="00211211">
        <w:rPr>
          <w:rFonts w:ascii="Arial" w:hAnsi="Arial" w:cs="Arial"/>
        </w:rPr>
        <w:t>FRF</w:t>
      </w:r>
      <w:r w:rsidR="00FC222A" w:rsidRPr="00211211">
        <w:rPr>
          <w:rFonts w:ascii="Arial" w:hAnsi="Arial" w:cs="Arial"/>
        </w:rPr>
        <w:t xml:space="preserve"> has filed a notice to abide. </w:t>
      </w:r>
    </w:p>
    <w:p w14:paraId="2C381BB6" w14:textId="77777777" w:rsidR="00687206" w:rsidRPr="00687206" w:rsidRDefault="00687206" w:rsidP="00687206">
      <w:pPr>
        <w:pStyle w:val="ListParagraph"/>
        <w:rPr>
          <w:rFonts w:ascii="Arial" w:hAnsi="Arial" w:cs="Arial"/>
        </w:rPr>
      </w:pPr>
    </w:p>
    <w:p w14:paraId="5B8B56C7" w14:textId="2DF04F92" w:rsidR="006603F2" w:rsidRPr="00211211" w:rsidRDefault="00211211" w:rsidP="00211211">
      <w:pPr>
        <w:spacing w:line="360" w:lineRule="auto"/>
        <w:ind w:left="720" w:hanging="360"/>
        <w:jc w:val="both"/>
        <w:rPr>
          <w:rFonts w:ascii="Arial" w:hAnsi="Arial" w:cs="Arial"/>
        </w:rPr>
      </w:pPr>
      <w:r w:rsidRPr="008648CD">
        <w:rPr>
          <w:rFonts w:ascii="Arial" w:hAnsi="Arial" w:cs="Arial"/>
        </w:rPr>
        <w:t>[4]</w:t>
      </w:r>
      <w:r w:rsidRPr="008648CD">
        <w:rPr>
          <w:rFonts w:ascii="Arial" w:hAnsi="Arial" w:cs="Arial"/>
        </w:rPr>
        <w:tab/>
      </w:r>
      <w:r w:rsidR="002751C5" w:rsidRPr="00211211">
        <w:rPr>
          <w:rFonts w:ascii="Arial" w:hAnsi="Arial" w:cs="Arial"/>
        </w:rPr>
        <w:t xml:space="preserve">A request for joinder is not there for the asking. </w:t>
      </w:r>
      <w:r w:rsidR="006603F2" w:rsidRPr="00211211">
        <w:rPr>
          <w:rFonts w:ascii="Arial" w:hAnsi="Arial" w:cs="Arial"/>
        </w:rPr>
        <w:t xml:space="preserve">The SIU has not made out a proper case for joining Alexander Forbes as the fifth respondent. </w:t>
      </w:r>
      <w:r w:rsidR="000463FA" w:rsidRPr="00211211">
        <w:rPr>
          <w:rFonts w:ascii="Arial" w:hAnsi="Arial" w:cs="Arial"/>
        </w:rPr>
        <w:t xml:space="preserve">A proper case for this relief must be properly made. </w:t>
      </w:r>
      <w:r w:rsidR="006603F2" w:rsidRPr="00211211">
        <w:rPr>
          <w:rFonts w:ascii="Arial" w:hAnsi="Arial" w:cs="Arial"/>
        </w:rPr>
        <w:t>In any event, since</w:t>
      </w:r>
      <w:r w:rsidR="00FC222A" w:rsidRPr="00211211">
        <w:rPr>
          <w:rFonts w:ascii="Arial" w:hAnsi="Arial" w:cs="Arial"/>
        </w:rPr>
        <w:t xml:space="preserve"> the application falls to be dismissed for reasons set out in this judgment, nothing </w:t>
      </w:r>
      <w:r w:rsidR="006603F2" w:rsidRPr="00211211">
        <w:rPr>
          <w:rFonts w:ascii="Arial" w:hAnsi="Arial" w:cs="Arial"/>
        </w:rPr>
        <w:t xml:space="preserve">much </w:t>
      </w:r>
      <w:r w:rsidR="00FC222A" w:rsidRPr="00211211">
        <w:rPr>
          <w:rFonts w:ascii="Arial" w:hAnsi="Arial" w:cs="Arial"/>
        </w:rPr>
        <w:t>turns on the</w:t>
      </w:r>
      <w:r w:rsidR="006C771C" w:rsidRPr="00211211">
        <w:rPr>
          <w:rFonts w:ascii="Arial" w:hAnsi="Arial" w:cs="Arial"/>
        </w:rPr>
        <w:t xml:space="preserve"> dismissal of the joinder application. </w:t>
      </w:r>
    </w:p>
    <w:p w14:paraId="0B8CED48" w14:textId="77777777" w:rsidR="006603F2" w:rsidRPr="008648CD" w:rsidRDefault="006603F2" w:rsidP="008648CD">
      <w:pPr>
        <w:spacing w:line="360" w:lineRule="auto"/>
        <w:jc w:val="both"/>
        <w:rPr>
          <w:rFonts w:ascii="Arial" w:hAnsi="Arial" w:cs="Arial"/>
        </w:rPr>
      </w:pPr>
    </w:p>
    <w:p w14:paraId="08F6DB43" w14:textId="309F492F" w:rsidR="00C82AAA" w:rsidRPr="00211211" w:rsidRDefault="00211211" w:rsidP="00211211">
      <w:pPr>
        <w:spacing w:line="360" w:lineRule="auto"/>
        <w:ind w:left="720" w:hanging="360"/>
        <w:rPr>
          <w:rFonts w:ascii="Arial" w:hAnsi="Arial" w:cs="Arial"/>
        </w:rPr>
      </w:pPr>
      <w:r>
        <w:rPr>
          <w:rFonts w:ascii="Arial" w:hAnsi="Arial" w:cs="Arial"/>
        </w:rPr>
        <w:t>[5]</w:t>
      </w:r>
      <w:r>
        <w:rPr>
          <w:rFonts w:ascii="Arial" w:hAnsi="Arial" w:cs="Arial"/>
        </w:rPr>
        <w:tab/>
      </w:r>
      <w:r w:rsidR="00FC222A" w:rsidRPr="00211211">
        <w:rPr>
          <w:rFonts w:ascii="Arial" w:hAnsi="Arial" w:cs="Arial"/>
        </w:rPr>
        <w:t xml:space="preserve">Accordingly, </w:t>
      </w:r>
      <w:r w:rsidR="006603F2" w:rsidRPr="00211211">
        <w:rPr>
          <w:rFonts w:ascii="Arial" w:hAnsi="Arial" w:cs="Arial"/>
        </w:rPr>
        <w:t xml:space="preserve">the SIU’s application to join </w:t>
      </w:r>
      <w:r w:rsidR="00FC222A" w:rsidRPr="00211211">
        <w:rPr>
          <w:rFonts w:ascii="Arial" w:hAnsi="Arial" w:cs="Arial"/>
        </w:rPr>
        <w:t>Alexandra Forbes is joined as the fifth respondent</w:t>
      </w:r>
      <w:r w:rsidR="006603F2" w:rsidRPr="00211211">
        <w:rPr>
          <w:rFonts w:ascii="Arial" w:hAnsi="Arial" w:cs="Arial"/>
        </w:rPr>
        <w:t xml:space="preserve"> is dismissed.</w:t>
      </w:r>
    </w:p>
    <w:p w14:paraId="01466133" w14:textId="77777777" w:rsidR="00C82AAA" w:rsidRPr="00C82AAA" w:rsidRDefault="00C82AAA" w:rsidP="00C82AAA">
      <w:pPr>
        <w:pStyle w:val="ListParagraph"/>
        <w:rPr>
          <w:rFonts w:ascii="Arial" w:hAnsi="Arial" w:cs="Arial"/>
          <w:highlight w:val="yellow"/>
        </w:rPr>
      </w:pPr>
    </w:p>
    <w:p w14:paraId="59231A3E" w14:textId="6A7D50A8" w:rsidR="00FC222A" w:rsidRPr="00211211" w:rsidRDefault="00211211" w:rsidP="00211211">
      <w:pPr>
        <w:spacing w:line="360" w:lineRule="auto"/>
        <w:ind w:left="720" w:hanging="360"/>
        <w:jc w:val="both"/>
        <w:rPr>
          <w:rFonts w:ascii="Arial" w:hAnsi="Arial" w:cs="Arial"/>
        </w:rPr>
      </w:pPr>
      <w:r w:rsidRPr="00CA464C">
        <w:rPr>
          <w:rFonts w:ascii="Arial" w:hAnsi="Arial" w:cs="Arial"/>
        </w:rPr>
        <w:lastRenderedPageBreak/>
        <w:t>[6]</w:t>
      </w:r>
      <w:r w:rsidRPr="00CA464C">
        <w:rPr>
          <w:rFonts w:ascii="Arial" w:hAnsi="Arial" w:cs="Arial"/>
        </w:rPr>
        <w:tab/>
      </w:r>
      <w:r w:rsidR="008648CD" w:rsidRPr="00211211">
        <w:rPr>
          <w:rFonts w:ascii="Arial" w:hAnsi="Arial" w:cs="Arial"/>
        </w:rPr>
        <w:t>The cause of the action the SIU intent pursuing against Netshidaulu is for damages LNW and DWS allegedly suffered as a result of  Netshidaulu’s participation in a procurement process that led to a tender being unlawfully awarded to Blackhead Consulting (BC).</w:t>
      </w:r>
      <w:r w:rsidR="00C82AAA" w:rsidRPr="00211211">
        <w:rPr>
          <w:rFonts w:ascii="Arial" w:hAnsi="Arial" w:cs="Arial"/>
        </w:rPr>
        <w:t xml:space="preserve"> N</w:t>
      </w:r>
      <w:r w:rsidR="00FC222A" w:rsidRPr="00211211">
        <w:rPr>
          <w:rFonts w:ascii="Arial" w:hAnsi="Arial" w:cs="Arial"/>
        </w:rPr>
        <w:t>etshidaulu is the only party opposing the application. He does so on the basis that the SIU fails to meet the requirements for (a) urgency and (b) an interim interdict. He has also raised the following preliminary points:</w:t>
      </w:r>
      <w:r w:rsidR="006603F2" w:rsidRPr="00211211">
        <w:rPr>
          <w:rFonts w:ascii="Arial" w:hAnsi="Arial" w:cs="Arial"/>
        </w:rPr>
        <w:t xml:space="preserve"> (c) d</w:t>
      </w:r>
      <w:r w:rsidR="00FC222A" w:rsidRPr="00211211">
        <w:rPr>
          <w:rFonts w:ascii="Arial" w:hAnsi="Arial" w:cs="Arial"/>
        </w:rPr>
        <w:t xml:space="preserve">ouble jeopardy </w:t>
      </w:r>
      <w:r w:rsidR="006603F2" w:rsidRPr="00211211">
        <w:rPr>
          <w:rFonts w:ascii="Arial" w:hAnsi="Arial" w:cs="Arial"/>
        </w:rPr>
        <w:t>and (d) f</w:t>
      </w:r>
      <w:r w:rsidR="00FC222A" w:rsidRPr="00211211">
        <w:rPr>
          <w:rFonts w:ascii="Arial" w:hAnsi="Arial" w:cs="Arial"/>
        </w:rPr>
        <w:t xml:space="preserve">ailure to review the decision appointing BC. </w:t>
      </w:r>
      <w:r w:rsidR="00CA464C" w:rsidRPr="00211211">
        <w:rPr>
          <w:rFonts w:ascii="Arial" w:hAnsi="Arial" w:cs="Arial"/>
        </w:rPr>
        <w:t xml:space="preserve"> In respect of the merits, he contends that there is nothing irregular </w:t>
      </w:r>
      <w:r w:rsidR="00BD5335" w:rsidRPr="00211211">
        <w:rPr>
          <w:rFonts w:ascii="Arial" w:hAnsi="Arial" w:cs="Arial"/>
        </w:rPr>
        <w:t xml:space="preserve">about </w:t>
      </w:r>
      <w:r w:rsidR="00CA464C" w:rsidRPr="00211211">
        <w:rPr>
          <w:rFonts w:ascii="Arial" w:hAnsi="Arial" w:cs="Arial"/>
        </w:rPr>
        <w:t>the role he played in the procurement process that led to the appointment of BC.</w:t>
      </w:r>
    </w:p>
    <w:p w14:paraId="42468CA2" w14:textId="77777777" w:rsidR="006603F2" w:rsidRPr="008648CD" w:rsidRDefault="006603F2" w:rsidP="008648CD">
      <w:pPr>
        <w:spacing w:line="360" w:lineRule="auto"/>
        <w:jc w:val="both"/>
        <w:rPr>
          <w:rFonts w:ascii="Arial" w:hAnsi="Arial" w:cs="Arial"/>
        </w:rPr>
      </w:pPr>
    </w:p>
    <w:p w14:paraId="32B2B04A" w14:textId="704A09CB" w:rsidR="00FC222A" w:rsidRPr="00211211" w:rsidRDefault="00211211" w:rsidP="00211211">
      <w:pPr>
        <w:spacing w:line="360" w:lineRule="auto"/>
        <w:ind w:left="720" w:hanging="360"/>
        <w:jc w:val="both"/>
        <w:rPr>
          <w:rFonts w:ascii="Arial" w:hAnsi="Arial" w:cs="Arial"/>
        </w:rPr>
      </w:pPr>
      <w:r>
        <w:rPr>
          <w:rFonts w:ascii="Arial" w:hAnsi="Arial" w:cs="Arial"/>
        </w:rPr>
        <w:t>[7]</w:t>
      </w:r>
      <w:r>
        <w:rPr>
          <w:rFonts w:ascii="Arial" w:hAnsi="Arial" w:cs="Arial"/>
        </w:rPr>
        <w:tab/>
      </w:r>
      <w:r w:rsidR="00FC222A" w:rsidRPr="00211211">
        <w:rPr>
          <w:rFonts w:ascii="Arial" w:hAnsi="Arial" w:cs="Arial"/>
        </w:rPr>
        <w:t xml:space="preserve">I first </w:t>
      </w:r>
      <w:r w:rsidR="00057036" w:rsidRPr="00211211">
        <w:rPr>
          <w:rFonts w:ascii="Arial" w:hAnsi="Arial" w:cs="Arial"/>
        </w:rPr>
        <w:t xml:space="preserve">set out the background facts. Then, I </w:t>
      </w:r>
      <w:r w:rsidR="006603F2" w:rsidRPr="00211211">
        <w:rPr>
          <w:rFonts w:ascii="Arial" w:hAnsi="Arial" w:cs="Arial"/>
        </w:rPr>
        <w:t xml:space="preserve">determine the </w:t>
      </w:r>
      <w:r w:rsidR="00FC222A" w:rsidRPr="00211211">
        <w:rPr>
          <w:rFonts w:ascii="Arial" w:hAnsi="Arial" w:cs="Arial"/>
        </w:rPr>
        <w:t xml:space="preserve">preliminary grounds, followed by the interim interdict. Lastly, </w:t>
      </w:r>
      <w:r w:rsidR="006603F2" w:rsidRPr="00211211">
        <w:rPr>
          <w:rFonts w:ascii="Arial" w:hAnsi="Arial" w:cs="Arial"/>
        </w:rPr>
        <w:t>I</w:t>
      </w:r>
      <w:r w:rsidR="00FC222A" w:rsidRPr="00211211">
        <w:rPr>
          <w:rFonts w:ascii="Arial" w:hAnsi="Arial" w:cs="Arial"/>
        </w:rPr>
        <w:t xml:space="preserve"> determine the costs of the application. An order concludes the judgment.  </w:t>
      </w:r>
    </w:p>
    <w:p w14:paraId="2D585855" w14:textId="77777777" w:rsidR="00690D48" w:rsidRPr="00690D48" w:rsidRDefault="00690D48" w:rsidP="00690D48">
      <w:pPr>
        <w:pStyle w:val="ListParagraph"/>
        <w:rPr>
          <w:rFonts w:ascii="Arial" w:hAnsi="Arial" w:cs="Arial"/>
        </w:rPr>
      </w:pPr>
    </w:p>
    <w:p w14:paraId="0432D66A" w14:textId="25717A66" w:rsidR="00690D48" w:rsidRDefault="00690D48" w:rsidP="00690D48">
      <w:pPr>
        <w:spacing w:line="360" w:lineRule="auto"/>
        <w:jc w:val="both"/>
        <w:rPr>
          <w:rFonts w:ascii="Arial" w:hAnsi="Arial" w:cs="Arial"/>
          <w:b/>
          <w:bCs/>
        </w:rPr>
      </w:pPr>
      <w:r w:rsidRPr="00690D48">
        <w:rPr>
          <w:rFonts w:ascii="Arial" w:hAnsi="Arial" w:cs="Arial"/>
          <w:b/>
          <w:bCs/>
        </w:rPr>
        <w:t>Background</w:t>
      </w:r>
    </w:p>
    <w:p w14:paraId="4706FF1E" w14:textId="05667F4C" w:rsidR="00662F83" w:rsidRPr="00211211" w:rsidRDefault="00211211" w:rsidP="00211211">
      <w:pPr>
        <w:spacing w:line="360" w:lineRule="auto"/>
        <w:ind w:left="720" w:hanging="360"/>
        <w:jc w:val="both"/>
        <w:rPr>
          <w:rFonts w:ascii="Arial" w:hAnsi="Arial" w:cs="Arial"/>
        </w:rPr>
      </w:pPr>
      <w:r>
        <w:rPr>
          <w:rFonts w:ascii="Arial" w:hAnsi="Arial" w:cs="Arial"/>
        </w:rPr>
        <w:t>[8]</w:t>
      </w:r>
      <w:r>
        <w:rPr>
          <w:rFonts w:ascii="Arial" w:hAnsi="Arial" w:cs="Arial"/>
        </w:rPr>
        <w:tab/>
      </w:r>
      <w:r w:rsidR="00690D48" w:rsidRPr="00211211">
        <w:rPr>
          <w:rFonts w:ascii="Arial" w:hAnsi="Arial" w:cs="Arial"/>
        </w:rPr>
        <w:t xml:space="preserve">The background </w:t>
      </w:r>
      <w:r w:rsidR="005667D7" w:rsidRPr="00211211">
        <w:rPr>
          <w:rFonts w:ascii="Arial" w:hAnsi="Arial" w:cs="Arial"/>
        </w:rPr>
        <w:t>facts are largely uncontested.</w:t>
      </w:r>
      <w:r w:rsidR="00690D48" w:rsidRPr="00211211">
        <w:rPr>
          <w:rFonts w:ascii="Arial" w:hAnsi="Arial" w:cs="Arial"/>
        </w:rPr>
        <w:t xml:space="preserve"> </w:t>
      </w:r>
    </w:p>
    <w:p w14:paraId="30E02F02" w14:textId="77777777" w:rsidR="00662F83" w:rsidRDefault="00662F83" w:rsidP="00662F83">
      <w:pPr>
        <w:pStyle w:val="ListParagraph"/>
        <w:spacing w:line="360" w:lineRule="auto"/>
        <w:jc w:val="both"/>
        <w:rPr>
          <w:rFonts w:ascii="Arial" w:hAnsi="Arial" w:cs="Arial"/>
        </w:rPr>
      </w:pPr>
    </w:p>
    <w:p w14:paraId="47F96245" w14:textId="607899AB" w:rsidR="00690D48" w:rsidRPr="00211211" w:rsidRDefault="00211211" w:rsidP="00211211">
      <w:pPr>
        <w:spacing w:line="360" w:lineRule="auto"/>
        <w:ind w:left="720" w:hanging="360"/>
        <w:jc w:val="both"/>
        <w:rPr>
          <w:rFonts w:ascii="Arial" w:hAnsi="Arial" w:cs="Arial"/>
        </w:rPr>
      </w:pPr>
      <w:r w:rsidRPr="00227AD9">
        <w:rPr>
          <w:rFonts w:ascii="Arial" w:hAnsi="Arial" w:cs="Arial"/>
        </w:rPr>
        <w:t>[9]</w:t>
      </w:r>
      <w:r w:rsidRPr="00227AD9">
        <w:rPr>
          <w:rFonts w:ascii="Arial" w:hAnsi="Arial" w:cs="Arial"/>
        </w:rPr>
        <w:tab/>
      </w:r>
      <w:r w:rsidR="005667D7" w:rsidRPr="00211211">
        <w:rPr>
          <w:rFonts w:ascii="Arial" w:hAnsi="Arial" w:cs="Arial"/>
        </w:rPr>
        <w:t>F</w:t>
      </w:r>
      <w:r w:rsidR="00690D48" w:rsidRPr="00211211">
        <w:rPr>
          <w:rFonts w:ascii="Arial" w:hAnsi="Arial" w:cs="Arial"/>
        </w:rPr>
        <w:t>or many years</w:t>
      </w:r>
      <w:r w:rsidR="005667D7" w:rsidRPr="00211211">
        <w:rPr>
          <w:rFonts w:ascii="Arial" w:hAnsi="Arial" w:cs="Arial"/>
        </w:rPr>
        <w:t>,</w:t>
      </w:r>
      <w:r w:rsidR="00690D48" w:rsidRPr="00211211">
        <w:rPr>
          <w:rFonts w:ascii="Arial" w:hAnsi="Arial" w:cs="Arial"/>
        </w:rPr>
        <w:t xml:space="preserve"> water resources in the Letaba River in </w:t>
      </w:r>
      <w:r w:rsidR="004E139C" w:rsidRPr="00211211">
        <w:rPr>
          <w:rFonts w:ascii="Arial" w:hAnsi="Arial" w:cs="Arial"/>
        </w:rPr>
        <w:t xml:space="preserve">the </w:t>
      </w:r>
      <w:r w:rsidR="00690D48" w:rsidRPr="00211211">
        <w:rPr>
          <w:rFonts w:ascii="Arial" w:hAnsi="Arial" w:cs="Arial"/>
        </w:rPr>
        <w:t>Limpopo</w:t>
      </w:r>
      <w:r w:rsidR="004E139C" w:rsidRPr="00211211">
        <w:rPr>
          <w:rFonts w:ascii="Arial" w:hAnsi="Arial" w:cs="Arial"/>
        </w:rPr>
        <w:t xml:space="preserve"> Province</w:t>
      </w:r>
      <w:r w:rsidR="00690D48" w:rsidRPr="00211211">
        <w:rPr>
          <w:rFonts w:ascii="Arial" w:hAnsi="Arial" w:cs="Arial"/>
        </w:rPr>
        <w:t xml:space="preserve"> have been heavily utilised, resulting in regular water supply shortages in the areas</w:t>
      </w:r>
      <w:r w:rsidR="00E451F6" w:rsidRPr="00211211">
        <w:rPr>
          <w:rFonts w:ascii="Arial" w:hAnsi="Arial" w:cs="Arial"/>
        </w:rPr>
        <w:t xml:space="preserve"> that derive water supply from this </w:t>
      </w:r>
      <w:r w:rsidR="00227AD9" w:rsidRPr="00211211">
        <w:rPr>
          <w:rFonts w:ascii="Arial" w:hAnsi="Arial" w:cs="Arial"/>
        </w:rPr>
        <w:t>river</w:t>
      </w:r>
      <w:r w:rsidR="00690D48" w:rsidRPr="00211211">
        <w:rPr>
          <w:rFonts w:ascii="Arial" w:hAnsi="Arial" w:cs="Arial"/>
        </w:rPr>
        <w:t>. On 5 July 2012</w:t>
      </w:r>
      <w:r w:rsidR="00302466" w:rsidRPr="00211211">
        <w:rPr>
          <w:rFonts w:ascii="Arial" w:hAnsi="Arial" w:cs="Arial"/>
        </w:rPr>
        <w:t>,</w:t>
      </w:r>
      <w:r w:rsidR="00690D48" w:rsidRPr="00211211">
        <w:rPr>
          <w:rFonts w:ascii="Arial" w:hAnsi="Arial" w:cs="Arial"/>
        </w:rPr>
        <w:t xml:space="preserve"> the DWS through its former Director General (DG)</w:t>
      </w:r>
      <w:r w:rsidR="008B2895" w:rsidRPr="00211211">
        <w:rPr>
          <w:rFonts w:ascii="Arial" w:hAnsi="Arial" w:cs="Arial"/>
        </w:rPr>
        <w:t>,</w:t>
      </w:r>
      <w:r w:rsidR="00690D48" w:rsidRPr="00211211">
        <w:rPr>
          <w:rFonts w:ascii="Arial" w:hAnsi="Arial" w:cs="Arial"/>
        </w:rPr>
        <w:t xml:space="preserve"> made a request to the then Minister of Water and Environmental Affairs, Minister Edna Molewa (Minister Molewa)</w:t>
      </w:r>
      <w:r w:rsidR="00227AD9" w:rsidRPr="00211211">
        <w:rPr>
          <w:rFonts w:ascii="Arial" w:hAnsi="Arial" w:cs="Arial"/>
        </w:rPr>
        <w:t xml:space="preserve">, for </w:t>
      </w:r>
      <w:r w:rsidR="00690D48" w:rsidRPr="00211211">
        <w:rPr>
          <w:rFonts w:ascii="Arial" w:hAnsi="Arial" w:cs="Arial"/>
        </w:rPr>
        <w:t>approval to proceed with the implementation of the Water Development Project</w:t>
      </w:r>
      <w:r w:rsidR="00EE4211" w:rsidRPr="00211211">
        <w:rPr>
          <w:rFonts w:ascii="Arial" w:hAnsi="Arial" w:cs="Arial"/>
        </w:rPr>
        <w:t xml:space="preserve"> </w:t>
      </w:r>
      <w:r w:rsidR="00690D48" w:rsidRPr="00211211">
        <w:rPr>
          <w:rFonts w:ascii="Arial" w:hAnsi="Arial" w:cs="Arial"/>
        </w:rPr>
        <w:t xml:space="preserve"> comprising of amongst others, the rising of the Tzaneen Dam.</w:t>
      </w:r>
      <w:r w:rsidR="00D75CD0" w:rsidRPr="00211211">
        <w:rPr>
          <w:rFonts w:ascii="Arial" w:hAnsi="Arial" w:cs="Arial"/>
        </w:rPr>
        <w:t xml:space="preserve"> I conveniently refer to th</w:t>
      </w:r>
      <w:r w:rsidR="00C632A4" w:rsidRPr="00211211">
        <w:rPr>
          <w:rFonts w:ascii="Arial" w:hAnsi="Arial" w:cs="Arial"/>
        </w:rPr>
        <w:t>is</w:t>
      </w:r>
      <w:r w:rsidR="00D75CD0" w:rsidRPr="00211211">
        <w:rPr>
          <w:rFonts w:ascii="Arial" w:hAnsi="Arial" w:cs="Arial"/>
        </w:rPr>
        <w:t xml:space="preserve"> project</w:t>
      </w:r>
      <w:r w:rsidR="00C632A4" w:rsidRPr="00211211">
        <w:rPr>
          <w:rFonts w:ascii="Arial" w:hAnsi="Arial" w:cs="Arial"/>
        </w:rPr>
        <w:t>s</w:t>
      </w:r>
      <w:r w:rsidR="00D75CD0" w:rsidRPr="00211211">
        <w:rPr>
          <w:rFonts w:ascii="Arial" w:hAnsi="Arial" w:cs="Arial"/>
        </w:rPr>
        <w:t xml:space="preserve"> as the Letaba River Project.</w:t>
      </w:r>
    </w:p>
    <w:p w14:paraId="453BD47F" w14:textId="77777777" w:rsidR="00690D48" w:rsidRPr="0061782C" w:rsidRDefault="00690D48" w:rsidP="00690D48">
      <w:pPr>
        <w:pStyle w:val="ListParagraph"/>
        <w:rPr>
          <w:rFonts w:ascii="Arial" w:hAnsi="Arial" w:cs="Arial"/>
        </w:rPr>
      </w:pPr>
    </w:p>
    <w:p w14:paraId="2353E767" w14:textId="2F7496DB" w:rsidR="00690D48" w:rsidRPr="00211211" w:rsidRDefault="00211211" w:rsidP="00211211">
      <w:pPr>
        <w:spacing w:line="360" w:lineRule="auto"/>
        <w:ind w:left="720" w:hanging="360"/>
        <w:jc w:val="both"/>
        <w:rPr>
          <w:rFonts w:ascii="Arial" w:hAnsi="Arial" w:cs="Arial"/>
        </w:rPr>
      </w:pPr>
      <w:r>
        <w:rPr>
          <w:rFonts w:ascii="Arial" w:hAnsi="Arial" w:cs="Arial"/>
        </w:rPr>
        <w:t>[10]</w:t>
      </w:r>
      <w:r>
        <w:rPr>
          <w:rFonts w:ascii="Arial" w:hAnsi="Arial" w:cs="Arial"/>
        </w:rPr>
        <w:tab/>
      </w:r>
      <w:r w:rsidR="00690D48" w:rsidRPr="00211211">
        <w:rPr>
          <w:rFonts w:ascii="Arial" w:hAnsi="Arial" w:cs="Arial"/>
        </w:rPr>
        <w:t xml:space="preserve">The gross storage capacity for the Tzaneen Dam </w:t>
      </w:r>
      <w:r w:rsidR="00E73D73" w:rsidRPr="00211211">
        <w:rPr>
          <w:rFonts w:ascii="Arial" w:hAnsi="Arial" w:cs="Arial"/>
        </w:rPr>
        <w:t>was</w:t>
      </w:r>
      <w:r w:rsidR="00690D48" w:rsidRPr="00211211">
        <w:rPr>
          <w:rFonts w:ascii="Arial" w:hAnsi="Arial" w:cs="Arial"/>
        </w:rPr>
        <w:t xml:space="preserve"> 157.3 million m3. The project </w:t>
      </w:r>
      <w:r w:rsidR="009B3079" w:rsidRPr="00211211">
        <w:rPr>
          <w:rFonts w:ascii="Arial" w:hAnsi="Arial" w:cs="Arial"/>
        </w:rPr>
        <w:t>wa</w:t>
      </w:r>
      <w:r w:rsidR="00690D48" w:rsidRPr="00211211">
        <w:rPr>
          <w:rFonts w:ascii="Arial" w:hAnsi="Arial" w:cs="Arial"/>
        </w:rPr>
        <w:t xml:space="preserve">s aimed at augmenting water supply in the Greater Letaba River catchment of the Limpopo Province </w:t>
      </w:r>
      <w:r w:rsidR="000C3694" w:rsidRPr="00211211">
        <w:rPr>
          <w:rFonts w:ascii="Arial" w:hAnsi="Arial" w:cs="Arial"/>
        </w:rPr>
        <w:t xml:space="preserve">to address water shortages in the area. The dam wall would be raised </w:t>
      </w:r>
      <w:r w:rsidR="00690D48" w:rsidRPr="00211211">
        <w:rPr>
          <w:rFonts w:ascii="Arial" w:hAnsi="Arial" w:cs="Arial"/>
        </w:rPr>
        <w:t xml:space="preserve">by </w:t>
      </w:r>
      <w:r w:rsidR="000C3694" w:rsidRPr="00211211">
        <w:rPr>
          <w:rFonts w:ascii="Arial" w:hAnsi="Arial" w:cs="Arial"/>
        </w:rPr>
        <w:t>addi</w:t>
      </w:r>
      <w:r w:rsidR="00573F39" w:rsidRPr="00211211">
        <w:rPr>
          <w:rFonts w:ascii="Arial" w:hAnsi="Arial" w:cs="Arial"/>
        </w:rPr>
        <w:t>ng 43 million m3</w:t>
      </w:r>
      <w:r w:rsidR="009B3079" w:rsidRPr="00211211">
        <w:rPr>
          <w:rFonts w:ascii="Arial" w:hAnsi="Arial" w:cs="Arial"/>
        </w:rPr>
        <w:t xml:space="preserve"> </w:t>
      </w:r>
      <w:r w:rsidR="00690D48" w:rsidRPr="00211211">
        <w:rPr>
          <w:rFonts w:ascii="Arial" w:hAnsi="Arial" w:cs="Arial"/>
        </w:rPr>
        <w:t xml:space="preserve">to increase the yield of the </w:t>
      </w:r>
      <w:r w:rsidR="00127FED" w:rsidRPr="00211211">
        <w:rPr>
          <w:rFonts w:ascii="Arial" w:hAnsi="Arial" w:cs="Arial"/>
        </w:rPr>
        <w:t>d</w:t>
      </w:r>
      <w:r w:rsidR="00690D48" w:rsidRPr="00211211">
        <w:rPr>
          <w:rFonts w:ascii="Arial" w:hAnsi="Arial" w:cs="Arial"/>
        </w:rPr>
        <w:t xml:space="preserve">am to 200 million </w:t>
      </w:r>
      <w:r w:rsidR="00E73D73" w:rsidRPr="00211211">
        <w:rPr>
          <w:rFonts w:ascii="Arial" w:hAnsi="Arial" w:cs="Arial"/>
        </w:rPr>
        <w:t>m3</w:t>
      </w:r>
      <w:r w:rsidR="004C6830" w:rsidRPr="00211211">
        <w:rPr>
          <w:rFonts w:ascii="Arial" w:hAnsi="Arial" w:cs="Arial"/>
        </w:rPr>
        <w:t>.</w:t>
      </w:r>
      <w:r w:rsidR="00E73D73" w:rsidRPr="00211211">
        <w:rPr>
          <w:rFonts w:ascii="Arial" w:hAnsi="Arial" w:cs="Arial"/>
        </w:rPr>
        <w:t xml:space="preserve"> </w:t>
      </w:r>
    </w:p>
    <w:p w14:paraId="64E11708" w14:textId="77777777" w:rsidR="00690D48" w:rsidRPr="0061782C" w:rsidRDefault="00690D48" w:rsidP="00690D48">
      <w:pPr>
        <w:pStyle w:val="ListParagraph"/>
        <w:rPr>
          <w:rFonts w:ascii="Arial" w:hAnsi="Arial" w:cs="Arial"/>
        </w:rPr>
      </w:pPr>
    </w:p>
    <w:p w14:paraId="2A3D8C16" w14:textId="1CEA3769" w:rsidR="00690D48" w:rsidRPr="00211211" w:rsidRDefault="00211211" w:rsidP="00211211">
      <w:pPr>
        <w:spacing w:line="360" w:lineRule="auto"/>
        <w:ind w:left="720" w:hanging="360"/>
        <w:jc w:val="both"/>
        <w:rPr>
          <w:rFonts w:ascii="Arial" w:hAnsi="Arial" w:cs="Arial"/>
        </w:rPr>
      </w:pPr>
      <w:r w:rsidRPr="0061782C">
        <w:rPr>
          <w:rFonts w:ascii="Arial" w:hAnsi="Arial" w:cs="Arial"/>
        </w:rPr>
        <w:t>[11]</w:t>
      </w:r>
      <w:r w:rsidRPr="0061782C">
        <w:rPr>
          <w:rFonts w:ascii="Arial" w:hAnsi="Arial" w:cs="Arial"/>
        </w:rPr>
        <w:tab/>
      </w:r>
      <w:r w:rsidR="00690D48" w:rsidRPr="00211211">
        <w:rPr>
          <w:rFonts w:ascii="Arial" w:hAnsi="Arial" w:cs="Arial"/>
        </w:rPr>
        <w:t xml:space="preserve">An </w:t>
      </w:r>
      <w:r w:rsidR="004C6830" w:rsidRPr="00211211">
        <w:rPr>
          <w:rFonts w:ascii="Arial" w:hAnsi="Arial" w:cs="Arial"/>
        </w:rPr>
        <w:t>e</w:t>
      </w:r>
      <w:r w:rsidR="00690D48" w:rsidRPr="00211211">
        <w:rPr>
          <w:rFonts w:ascii="Arial" w:hAnsi="Arial" w:cs="Arial"/>
        </w:rPr>
        <w:t xml:space="preserve">nvironmental </w:t>
      </w:r>
      <w:r w:rsidR="004C6830" w:rsidRPr="00211211">
        <w:rPr>
          <w:rFonts w:ascii="Arial" w:hAnsi="Arial" w:cs="Arial"/>
        </w:rPr>
        <w:t>a</w:t>
      </w:r>
      <w:r w:rsidR="00690D48" w:rsidRPr="00211211">
        <w:rPr>
          <w:rFonts w:ascii="Arial" w:hAnsi="Arial" w:cs="Arial"/>
        </w:rPr>
        <w:t xml:space="preserve">uthorisation for the rising of the Tzaneen Dam was initially granted on 27 September 2011. Further amendments to the </w:t>
      </w:r>
      <w:r w:rsidR="00690D48" w:rsidRPr="00211211">
        <w:rPr>
          <w:rFonts w:ascii="Arial" w:hAnsi="Arial" w:cs="Arial"/>
        </w:rPr>
        <w:lastRenderedPageBreak/>
        <w:t xml:space="preserve">authorisation were submitted on 25 May 2012. </w:t>
      </w:r>
      <w:r w:rsidR="00690D48" w:rsidRPr="00211211">
        <w:rPr>
          <w:rFonts w:ascii="Arial" w:eastAsia="Calibri" w:hAnsi="Arial" w:cs="Arial"/>
        </w:rPr>
        <w:t>The project scope included the following major components:</w:t>
      </w:r>
    </w:p>
    <w:p w14:paraId="1633FD57" w14:textId="655E1C9B" w:rsidR="00690D48" w:rsidRPr="00211211" w:rsidRDefault="00211211" w:rsidP="00211211">
      <w:pPr>
        <w:spacing w:line="360" w:lineRule="auto"/>
        <w:ind w:left="1080" w:hanging="360"/>
        <w:jc w:val="both"/>
        <w:rPr>
          <w:rFonts w:ascii="Arial" w:eastAsia="Calibri" w:hAnsi="Arial" w:cs="Arial"/>
        </w:rPr>
      </w:pPr>
      <w:r w:rsidRPr="0061782C">
        <w:rPr>
          <w:rFonts w:ascii="Arial" w:hAnsi="Arial" w:cs="Arial"/>
        </w:rPr>
        <w:t>(a)</w:t>
      </w:r>
      <w:r w:rsidRPr="0061782C">
        <w:rPr>
          <w:rFonts w:ascii="Arial" w:hAnsi="Arial" w:cs="Arial"/>
        </w:rPr>
        <w:tab/>
      </w:r>
      <w:r w:rsidR="00690D48" w:rsidRPr="00211211">
        <w:rPr>
          <w:rFonts w:ascii="Arial" w:hAnsi="Arial" w:cs="Arial"/>
        </w:rPr>
        <w:t xml:space="preserve">A new major </w:t>
      </w:r>
      <w:r w:rsidR="00826EDA" w:rsidRPr="00211211">
        <w:rPr>
          <w:rFonts w:ascii="Arial" w:hAnsi="Arial" w:cs="Arial"/>
        </w:rPr>
        <w:t>d</w:t>
      </w:r>
      <w:r w:rsidR="00690D48" w:rsidRPr="00211211">
        <w:rPr>
          <w:rFonts w:ascii="Arial" w:hAnsi="Arial" w:cs="Arial"/>
        </w:rPr>
        <w:t>am in the Groot Letaba River at the site known as Nwamitwa.</w:t>
      </w:r>
    </w:p>
    <w:p w14:paraId="638AA1CF" w14:textId="2C9D3F5F" w:rsidR="00690D48" w:rsidRPr="00211211" w:rsidRDefault="00211211" w:rsidP="00211211">
      <w:pPr>
        <w:spacing w:line="360" w:lineRule="auto"/>
        <w:ind w:left="1080" w:hanging="360"/>
        <w:jc w:val="both"/>
        <w:rPr>
          <w:rFonts w:ascii="Arial" w:eastAsia="Calibri" w:hAnsi="Arial" w:cs="Arial"/>
        </w:rPr>
      </w:pPr>
      <w:r w:rsidRPr="0061782C">
        <w:rPr>
          <w:rFonts w:ascii="Arial" w:hAnsi="Arial" w:cs="Arial"/>
        </w:rPr>
        <w:t>(b)</w:t>
      </w:r>
      <w:r w:rsidRPr="0061782C">
        <w:rPr>
          <w:rFonts w:ascii="Arial" w:hAnsi="Arial" w:cs="Arial"/>
        </w:rPr>
        <w:tab/>
      </w:r>
      <w:r w:rsidR="00690D48" w:rsidRPr="00211211">
        <w:rPr>
          <w:rFonts w:ascii="Arial" w:hAnsi="Arial" w:cs="Arial"/>
        </w:rPr>
        <w:t xml:space="preserve">The raising of the existing Tzaneen Dam. </w:t>
      </w:r>
    </w:p>
    <w:p w14:paraId="586E6CAC" w14:textId="62B3AEBD" w:rsidR="00690D48" w:rsidRPr="00211211" w:rsidRDefault="00211211" w:rsidP="00211211">
      <w:pPr>
        <w:spacing w:line="360" w:lineRule="auto"/>
        <w:ind w:left="1080" w:hanging="360"/>
        <w:jc w:val="both"/>
        <w:rPr>
          <w:rFonts w:ascii="Arial" w:eastAsia="Calibri" w:hAnsi="Arial" w:cs="Arial"/>
        </w:rPr>
      </w:pPr>
      <w:r w:rsidRPr="0061782C">
        <w:rPr>
          <w:rFonts w:ascii="Arial" w:hAnsi="Arial" w:cs="Arial"/>
        </w:rPr>
        <w:t>(c)</w:t>
      </w:r>
      <w:r w:rsidRPr="0061782C">
        <w:rPr>
          <w:rFonts w:ascii="Arial" w:hAnsi="Arial" w:cs="Arial"/>
        </w:rPr>
        <w:tab/>
      </w:r>
      <w:r w:rsidR="00690D48" w:rsidRPr="00211211">
        <w:rPr>
          <w:rFonts w:ascii="Arial" w:hAnsi="Arial" w:cs="Arial"/>
        </w:rPr>
        <w:t>The provision of bulk water services infrastructure for domestic use.</w:t>
      </w:r>
    </w:p>
    <w:p w14:paraId="1F4BE099" w14:textId="6FE3450B" w:rsidR="00690D48" w:rsidRPr="00211211" w:rsidRDefault="00211211" w:rsidP="00211211">
      <w:pPr>
        <w:spacing w:line="360" w:lineRule="auto"/>
        <w:ind w:left="1080" w:hanging="360"/>
        <w:jc w:val="both"/>
        <w:rPr>
          <w:rFonts w:ascii="Arial" w:eastAsia="Calibri" w:hAnsi="Arial" w:cs="Arial"/>
        </w:rPr>
      </w:pPr>
      <w:r w:rsidRPr="0061782C">
        <w:rPr>
          <w:rFonts w:ascii="Arial" w:hAnsi="Arial" w:cs="Arial"/>
        </w:rPr>
        <w:t>(d)</w:t>
      </w:r>
      <w:r w:rsidRPr="0061782C">
        <w:rPr>
          <w:rFonts w:ascii="Arial" w:hAnsi="Arial" w:cs="Arial"/>
        </w:rPr>
        <w:tab/>
      </w:r>
      <w:r w:rsidR="00690D48" w:rsidRPr="00211211">
        <w:rPr>
          <w:rFonts w:ascii="Arial" w:hAnsi="Arial" w:cs="Arial"/>
        </w:rPr>
        <w:t>The exploration and development of groundwater on a regional basis, as a Government Water Works in terms of section 109 of the National Water Act</w:t>
      </w:r>
      <w:r w:rsidR="00F86280" w:rsidRPr="00211211">
        <w:rPr>
          <w:rFonts w:ascii="Arial" w:hAnsi="Arial" w:cs="Arial"/>
        </w:rPr>
        <w:t>.</w:t>
      </w:r>
      <w:r w:rsidR="00F86280">
        <w:rPr>
          <w:rStyle w:val="FootnoteReference"/>
          <w:rFonts w:ascii="Arial" w:hAnsi="Arial" w:cs="Arial"/>
        </w:rPr>
        <w:footnoteReference w:id="1"/>
      </w:r>
    </w:p>
    <w:p w14:paraId="3CF40674" w14:textId="77777777" w:rsidR="00690D48" w:rsidRPr="0061782C" w:rsidRDefault="00690D48" w:rsidP="00690D48">
      <w:pPr>
        <w:pStyle w:val="ListParagraph"/>
        <w:spacing w:line="360" w:lineRule="auto"/>
        <w:jc w:val="both"/>
        <w:rPr>
          <w:rFonts w:ascii="Arial" w:hAnsi="Arial" w:cs="Arial"/>
        </w:rPr>
      </w:pPr>
    </w:p>
    <w:p w14:paraId="2CAC440E" w14:textId="6F02BD05" w:rsidR="00E53F0F" w:rsidRPr="00211211" w:rsidRDefault="00211211" w:rsidP="00211211">
      <w:pPr>
        <w:spacing w:line="360" w:lineRule="auto"/>
        <w:ind w:left="720" w:hanging="360"/>
        <w:jc w:val="both"/>
        <w:rPr>
          <w:rFonts w:ascii="Arial" w:hAnsi="Arial" w:cs="Arial"/>
        </w:rPr>
      </w:pPr>
      <w:r>
        <w:rPr>
          <w:rFonts w:ascii="Arial" w:hAnsi="Arial" w:cs="Arial"/>
        </w:rPr>
        <w:t>[12]</w:t>
      </w:r>
      <w:r>
        <w:rPr>
          <w:rFonts w:ascii="Arial" w:hAnsi="Arial" w:cs="Arial"/>
        </w:rPr>
        <w:tab/>
      </w:r>
      <w:r w:rsidR="00690D48" w:rsidRPr="00211211">
        <w:rPr>
          <w:rFonts w:ascii="Arial" w:hAnsi="Arial" w:cs="Arial"/>
        </w:rPr>
        <w:t xml:space="preserve">The estimated costs for rising the Tzaneen </w:t>
      </w:r>
      <w:r w:rsidR="00871A7D" w:rsidRPr="00211211">
        <w:rPr>
          <w:rFonts w:ascii="Arial" w:hAnsi="Arial" w:cs="Arial"/>
        </w:rPr>
        <w:t>d</w:t>
      </w:r>
      <w:r w:rsidR="00690D48" w:rsidRPr="00211211">
        <w:rPr>
          <w:rFonts w:ascii="Arial" w:hAnsi="Arial" w:cs="Arial"/>
        </w:rPr>
        <w:t>am</w:t>
      </w:r>
      <w:r w:rsidR="00951391" w:rsidRPr="00211211">
        <w:rPr>
          <w:rFonts w:ascii="Arial" w:hAnsi="Arial" w:cs="Arial"/>
        </w:rPr>
        <w:t xml:space="preserve"> wall</w:t>
      </w:r>
      <w:r w:rsidR="00690D48" w:rsidRPr="00211211">
        <w:rPr>
          <w:rFonts w:ascii="Arial" w:hAnsi="Arial" w:cs="Arial"/>
        </w:rPr>
        <w:t xml:space="preserve"> was </w:t>
      </w:r>
      <w:r w:rsidR="00581BF2" w:rsidRPr="00211211">
        <w:rPr>
          <w:rFonts w:ascii="Arial" w:hAnsi="Arial" w:cs="Arial"/>
        </w:rPr>
        <w:t xml:space="preserve">R106 million including VAT, </w:t>
      </w:r>
      <w:r w:rsidR="00690D48" w:rsidRPr="00211211">
        <w:rPr>
          <w:rFonts w:ascii="Arial" w:hAnsi="Arial" w:cs="Arial"/>
        </w:rPr>
        <w:t>escalated at 10% per annum from 2010 to 2012</w:t>
      </w:r>
      <w:r w:rsidR="00581BF2" w:rsidRPr="00211211">
        <w:rPr>
          <w:rFonts w:ascii="Arial" w:hAnsi="Arial" w:cs="Arial"/>
        </w:rPr>
        <w:t xml:space="preserve">. </w:t>
      </w:r>
      <w:r w:rsidR="00690D48" w:rsidRPr="00211211">
        <w:rPr>
          <w:rFonts w:ascii="Arial" w:hAnsi="Arial" w:cs="Arial"/>
        </w:rPr>
        <w:t>The targeted beneficiaries of this project were rural communities who w</w:t>
      </w:r>
      <w:r w:rsidR="00836EB7" w:rsidRPr="00211211">
        <w:rPr>
          <w:rFonts w:ascii="Arial" w:hAnsi="Arial" w:cs="Arial"/>
        </w:rPr>
        <w:t>ould</w:t>
      </w:r>
      <w:r w:rsidR="00690D48" w:rsidRPr="00211211">
        <w:rPr>
          <w:rFonts w:ascii="Arial" w:hAnsi="Arial" w:cs="Arial"/>
        </w:rPr>
        <w:t xml:space="preserve"> receive a basic level of water supply service, new entrant irrigation farmers and riverine ecosystems. </w:t>
      </w:r>
      <w:r w:rsidR="00836EB7" w:rsidRPr="00211211">
        <w:rPr>
          <w:rFonts w:ascii="Arial" w:hAnsi="Arial" w:cs="Arial"/>
        </w:rPr>
        <w:t>Consequently</w:t>
      </w:r>
      <w:r w:rsidR="00690D48" w:rsidRPr="00211211">
        <w:rPr>
          <w:rFonts w:ascii="Arial" w:hAnsi="Arial" w:cs="Arial"/>
        </w:rPr>
        <w:t xml:space="preserve">, no income stream would be derived from water tariffs to </w:t>
      </w:r>
      <w:r w:rsidR="00E53F0F" w:rsidRPr="00211211">
        <w:rPr>
          <w:rFonts w:ascii="Arial" w:hAnsi="Arial" w:cs="Arial"/>
        </w:rPr>
        <w:t>c</w:t>
      </w:r>
      <w:r w:rsidR="00690D48" w:rsidRPr="00211211">
        <w:rPr>
          <w:rFonts w:ascii="Arial" w:hAnsi="Arial" w:cs="Arial"/>
        </w:rPr>
        <w:t xml:space="preserve">over the capital costs of the project. </w:t>
      </w:r>
      <w:r w:rsidR="009F3976" w:rsidRPr="00211211">
        <w:rPr>
          <w:rFonts w:ascii="Arial" w:hAnsi="Arial" w:cs="Arial"/>
        </w:rPr>
        <w:t>G</w:t>
      </w:r>
      <w:r w:rsidR="00690D48" w:rsidRPr="00211211">
        <w:rPr>
          <w:rFonts w:ascii="Arial" w:hAnsi="Arial" w:cs="Arial"/>
        </w:rPr>
        <w:t>overnment would finance the project.</w:t>
      </w:r>
    </w:p>
    <w:p w14:paraId="4A0EC924" w14:textId="34474198" w:rsidR="00E53F0F" w:rsidRDefault="00690D48" w:rsidP="00E53F0F">
      <w:pPr>
        <w:pStyle w:val="ListParagraph"/>
        <w:spacing w:line="360" w:lineRule="auto"/>
        <w:jc w:val="both"/>
        <w:rPr>
          <w:rFonts w:ascii="Arial" w:hAnsi="Arial" w:cs="Arial"/>
        </w:rPr>
      </w:pPr>
      <w:r w:rsidRPr="0061782C">
        <w:rPr>
          <w:rFonts w:ascii="Arial" w:hAnsi="Arial" w:cs="Arial"/>
        </w:rPr>
        <w:t xml:space="preserve">  </w:t>
      </w:r>
    </w:p>
    <w:p w14:paraId="78A864CE" w14:textId="5FBA0514" w:rsidR="00690D48" w:rsidRPr="00211211" w:rsidRDefault="00211211" w:rsidP="00211211">
      <w:pPr>
        <w:spacing w:line="360" w:lineRule="auto"/>
        <w:ind w:left="720" w:hanging="360"/>
        <w:jc w:val="both"/>
        <w:rPr>
          <w:rFonts w:ascii="Arial" w:hAnsi="Arial" w:cs="Arial"/>
        </w:rPr>
      </w:pPr>
      <w:r w:rsidRPr="0061782C">
        <w:rPr>
          <w:rFonts w:ascii="Arial" w:hAnsi="Arial" w:cs="Arial"/>
        </w:rPr>
        <w:t>[13]</w:t>
      </w:r>
      <w:r w:rsidRPr="0061782C">
        <w:rPr>
          <w:rFonts w:ascii="Arial" w:hAnsi="Arial" w:cs="Arial"/>
        </w:rPr>
        <w:tab/>
      </w:r>
      <w:r w:rsidR="00690D48" w:rsidRPr="00211211">
        <w:rPr>
          <w:rFonts w:ascii="Arial" w:eastAsia="Calibri" w:hAnsi="Arial" w:cs="Arial"/>
        </w:rPr>
        <w:t xml:space="preserve">The other project components were separately costed. National Treasury allocated funds for all project components over the 2012/13 to 2014/15 MTEF period. </w:t>
      </w:r>
    </w:p>
    <w:p w14:paraId="6F303CC7" w14:textId="77777777" w:rsidR="00690D48" w:rsidRPr="0061782C" w:rsidRDefault="00690D48" w:rsidP="00690D48">
      <w:pPr>
        <w:pStyle w:val="ListParagraph"/>
        <w:spacing w:line="360" w:lineRule="auto"/>
        <w:jc w:val="both"/>
        <w:rPr>
          <w:rFonts w:ascii="Arial" w:hAnsi="Arial" w:cs="Arial"/>
        </w:rPr>
      </w:pPr>
    </w:p>
    <w:p w14:paraId="28988792" w14:textId="081CBD2E" w:rsidR="00690D48" w:rsidRPr="00211211" w:rsidRDefault="00211211" w:rsidP="00211211">
      <w:pPr>
        <w:spacing w:line="360" w:lineRule="auto"/>
        <w:ind w:left="720" w:hanging="360"/>
        <w:jc w:val="both"/>
        <w:rPr>
          <w:rFonts w:ascii="Arial" w:hAnsi="Arial" w:cs="Arial"/>
        </w:rPr>
      </w:pPr>
      <w:r>
        <w:rPr>
          <w:rFonts w:ascii="Arial" w:hAnsi="Arial" w:cs="Arial"/>
        </w:rPr>
        <w:t>[14]</w:t>
      </w:r>
      <w:r>
        <w:rPr>
          <w:rFonts w:ascii="Arial" w:hAnsi="Arial" w:cs="Arial"/>
        </w:rPr>
        <w:tab/>
      </w:r>
      <w:r w:rsidR="00690D48" w:rsidRPr="00211211">
        <w:rPr>
          <w:rFonts w:ascii="Arial" w:hAnsi="Arial" w:cs="Arial"/>
        </w:rPr>
        <w:t>Subsequently, Ms Nomvula Mokonyane (Minister Mokonyane) succeeded M</w:t>
      </w:r>
      <w:r w:rsidR="00983701" w:rsidRPr="00211211">
        <w:rPr>
          <w:rFonts w:ascii="Arial" w:hAnsi="Arial" w:cs="Arial"/>
        </w:rPr>
        <w:t>inister</w:t>
      </w:r>
      <w:r w:rsidR="00690D48" w:rsidRPr="00211211">
        <w:rPr>
          <w:rFonts w:ascii="Arial" w:hAnsi="Arial" w:cs="Arial"/>
        </w:rPr>
        <w:t xml:space="preserve"> Molewa as the Minister of Water Affairs and Sanitation. On 25 August 2014, Minister Mokonyane issued a directive to Mr PK Legodi, the Acting Chief Executive of LNW (Mr Legodi) in terms of Section 41(1)(ii) of the Water Services Act</w:t>
      </w:r>
      <w:r w:rsidR="00690D48">
        <w:rPr>
          <w:rStyle w:val="FootnoteReference"/>
          <w:rFonts w:ascii="Arial" w:hAnsi="Arial" w:cs="Arial"/>
        </w:rPr>
        <w:footnoteReference w:id="2"/>
      </w:r>
      <w:r w:rsidR="00690D48" w:rsidRPr="00211211">
        <w:rPr>
          <w:rFonts w:ascii="Arial" w:hAnsi="Arial" w:cs="Arial"/>
        </w:rPr>
        <w:t xml:space="preserve"> to address water challenges in Mopani District Municipality </w:t>
      </w:r>
      <w:r w:rsidR="00690D48" w:rsidRPr="00211211">
        <w:rPr>
          <w:rFonts w:ascii="Arial" w:hAnsi="Arial" w:cs="Arial"/>
        </w:rPr>
        <w:lastRenderedPageBreak/>
        <w:t xml:space="preserve">through the Giyani Water and Wastewater Treatment Works and associated infrastructure to restore water supply to the residents of Giyani. I conveniently refer to this project as the Mopani Project. She directed that LNW should intervene immediately with effect from 18 August 2014. </w:t>
      </w:r>
    </w:p>
    <w:p w14:paraId="7E95A774" w14:textId="77777777" w:rsidR="00690D48" w:rsidRPr="00F90F8F" w:rsidRDefault="00690D48" w:rsidP="00690D48">
      <w:pPr>
        <w:pStyle w:val="ListParagraph"/>
        <w:rPr>
          <w:rFonts w:ascii="Arial" w:hAnsi="Arial" w:cs="Arial"/>
        </w:rPr>
      </w:pPr>
    </w:p>
    <w:p w14:paraId="4E460EEA" w14:textId="0BF680EC" w:rsidR="00690D48" w:rsidRPr="00211211" w:rsidRDefault="00211211" w:rsidP="00211211">
      <w:pPr>
        <w:spacing w:line="360" w:lineRule="auto"/>
        <w:ind w:left="720" w:hanging="360"/>
        <w:jc w:val="both"/>
        <w:rPr>
          <w:rFonts w:ascii="Arial" w:hAnsi="Arial" w:cs="Arial"/>
        </w:rPr>
      </w:pPr>
      <w:r>
        <w:rPr>
          <w:rFonts w:ascii="Arial" w:hAnsi="Arial" w:cs="Arial"/>
        </w:rPr>
        <w:t>[15]</w:t>
      </w:r>
      <w:r>
        <w:rPr>
          <w:rFonts w:ascii="Arial" w:hAnsi="Arial" w:cs="Arial"/>
        </w:rPr>
        <w:tab/>
      </w:r>
      <w:r w:rsidR="00690D48" w:rsidRPr="00211211">
        <w:rPr>
          <w:rFonts w:ascii="Arial" w:hAnsi="Arial" w:cs="Arial"/>
        </w:rPr>
        <w:t xml:space="preserve">The Tzaneen Dam </w:t>
      </w:r>
      <w:r w:rsidR="00D05892" w:rsidRPr="00211211">
        <w:rPr>
          <w:rFonts w:ascii="Arial" w:hAnsi="Arial" w:cs="Arial"/>
        </w:rPr>
        <w:t xml:space="preserve">Project </w:t>
      </w:r>
      <w:r w:rsidR="00690D48" w:rsidRPr="00211211">
        <w:rPr>
          <w:rFonts w:ascii="Arial" w:hAnsi="Arial" w:cs="Arial"/>
        </w:rPr>
        <w:t>was initially not included in the scope of the Mopani Project. On 1 July 2015, Minister Mokonyane issued another directive to LNW instructing it to include the Tzaneen Dam</w:t>
      </w:r>
      <w:r w:rsidR="00184744" w:rsidRPr="00211211">
        <w:rPr>
          <w:rFonts w:ascii="Arial" w:hAnsi="Arial" w:cs="Arial"/>
        </w:rPr>
        <w:t xml:space="preserve"> Project</w:t>
      </w:r>
      <w:r w:rsidR="00690D48" w:rsidRPr="00211211">
        <w:rPr>
          <w:rFonts w:ascii="Arial" w:hAnsi="Arial" w:cs="Arial"/>
        </w:rPr>
        <w:t xml:space="preserve"> in the scope of </w:t>
      </w:r>
      <w:r w:rsidR="001C5F1F" w:rsidRPr="00211211">
        <w:rPr>
          <w:rFonts w:ascii="Arial" w:hAnsi="Arial" w:cs="Arial"/>
        </w:rPr>
        <w:t xml:space="preserve">the </w:t>
      </w:r>
      <w:r w:rsidR="00690D48" w:rsidRPr="00211211">
        <w:rPr>
          <w:rFonts w:ascii="Arial" w:hAnsi="Arial" w:cs="Arial"/>
        </w:rPr>
        <w:t xml:space="preserve">Mopani Project. Minister Mokonyane’s directive specified that the scope for the Tzaneen Dam Project </w:t>
      </w:r>
      <w:r w:rsidR="004D710B" w:rsidRPr="00211211">
        <w:rPr>
          <w:rFonts w:ascii="Arial" w:hAnsi="Arial" w:cs="Arial"/>
        </w:rPr>
        <w:t xml:space="preserve">should </w:t>
      </w:r>
      <w:r w:rsidR="00690D48" w:rsidRPr="00211211">
        <w:rPr>
          <w:rFonts w:ascii="Arial" w:hAnsi="Arial" w:cs="Arial"/>
        </w:rPr>
        <w:t xml:space="preserve">include project planning and multi-disciplinary engineering services required to finalize the engineering design, contract administration and site supervision. DWS would conclude </w:t>
      </w:r>
      <w:r w:rsidR="002F1BBE" w:rsidRPr="00211211">
        <w:rPr>
          <w:rFonts w:ascii="Arial" w:hAnsi="Arial" w:cs="Arial"/>
        </w:rPr>
        <w:t>a</w:t>
      </w:r>
      <w:r w:rsidR="00690D48" w:rsidRPr="00211211">
        <w:rPr>
          <w:rFonts w:ascii="Arial" w:hAnsi="Arial" w:cs="Arial"/>
        </w:rPr>
        <w:t xml:space="preserve"> detailed project scope with LNW. </w:t>
      </w:r>
    </w:p>
    <w:p w14:paraId="70B717EC" w14:textId="77777777" w:rsidR="00690D48" w:rsidRPr="00F90F8F" w:rsidRDefault="00690D48" w:rsidP="00690D48">
      <w:pPr>
        <w:pStyle w:val="ListParagraph"/>
        <w:rPr>
          <w:rFonts w:ascii="Arial" w:hAnsi="Arial" w:cs="Arial"/>
        </w:rPr>
      </w:pPr>
    </w:p>
    <w:p w14:paraId="3B1DAEAC" w14:textId="61C5E1AA" w:rsidR="00690D48" w:rsidRPr="00211211" w:rsidRDefault="00211211" w:rsidP="00211211">
      <w:pPr>
        <w:spacing w:line="360" w:lineRule="auto"/>
        <w:ind w:left="720" w:hanging="360"/>
        <w:jc w:val="both"/>
        <w:rPr>
          <w:rFonts w:ascii="Arial" w:hAnsi="Arial" w:cs="Arial"/>
        </w:rPr>
      </w:pPr>
      <w:r>
        <w:rPr>
          <w:rFonts w:ascii="Arial" w:hAnsi="Arial" w:cs="Arial"/>
        </w:rPr>
        <w:t>[16]</w:t>
      </w:r>
      <w:r>
        <w:rPr>
          <w:rFonts w:ascii="Arial" w:hAnsi="Arial" w:cs="Arial"/>
        </w:rPr>
        <w:tab/>
      </w:r>
      <w:r w:rsidR="00690D48" w:rsidRPr="00211211">
        <w:rPr>
          <w:rFonts w:ascii="Arial" w:hAnsi="Arial" w:cs="Arial"/>
        </w:rPr>
        <w:t>DWS Chief Directorates for Infrastructure Development and Engineering Services w</w:t>
      </w:r>
      <w:r w:rsidR="004D710B" w:rsidRPr="00211211">
        <w:rPr>
          <w:rFonts w:ascii="Arial" w:hAnsi="Arial" w:cs="Arial"/>
        </w:rPr>
        <w:t>ould</w:t>
      </w:r>
      <w:r w:rsidR="00690D48" w:rsidRPr="00211211">
        <w:rPr>
          <w:rFonts w:ascii="Arial" w:hAnsi="Arial" w:cs="Arial"/>
        </w:rPr>
        <w:t xml:space="preserve"> monitor and evaluate LNW performance in respect of the Tzaneen Dam Project. The Deputy Director General for National Water Resources Infrastructure Ms Mathe was the project sponsor. </w:t>
      </w:r>
    </w:p>
    <w:p w14:paraId="7CC2D2B9" w14:textId="77777777" w:rsidR="00690D48" w:rsidRPr="00F90F8F" w:rsidRDefault="00690D48" w:rsidP="00690D48">
      <w:pPr>
        <w:pStyle w:val="ListParagraph"/>
        <w:rPr>
          <w:rFonts w:ascii="Arial" w:hAnsi="Arial" w:cs="Arial"/>
        </w:rPr>
      </w:pPr>
    </w:p>
    <w:p w14:paraId="591B0608" w14:textId="6BF87B5E" w:rsidR="00690D48" w:rsidRPr="00211211" w:rsidRDefault="00211211" w:rsidP="00211211">
      <w:pPr>
        <w:spacing w:line="360" w:lineRule="auto"/>
        <w:ind w:left="720" w:hanging="360"/>
        <w:jc w:val="both"/>
        <w:rPr>
          <w:rFonts w:ascii="Arial" w:hAnsi="Arial" w:cs="Arial"/>
        </w:rPr>
      </w:pPr>
      <w:r>
        <w:rPr>
          <w:rFonts w:ascii="Arial" w:hAnsi="Arial" w:cs="Arial"/>
        </w:rPr>
        <w:t>[17]</w:t>
      </w:r>
      <w:r>
        <w:rPr>
          <w:rFonts w:ascii="Arial" w:hAnsi="Arial" w:cs="Arial"/>
        </w:rPr>
        <w:tab/>
      </w:r>
      <w:r w:rsidR="00690D48" w:rsidRPr="00211211">
        <w:rPr>
          <w:rFonts w:ascii="Arial" w:hAnsi="Arial" w:cs="Arial"/>
        </w:rPr>
        <w:t>On 24 August 2015, Ms Mathe provided Mr Legodi with the following scope of works for the Tzaneen Dam Project:</w:t>
      </w:r>
    </w:p>
    <w:p w14:paraId="7CC34070" w14:textId="77777777" w:rsidR="00690D48" w:rsidRPr="00F90F8F" w:rsidRDefault="00690D48" w:rsidP="00690D48">
      <w:pPr>
        <w:pStyle w:val="ListParagraph"/>
        <w:rPr>
          <w:rFonts w:ascii="Arial" w:hAnsi="Arial" w:cs="Arial"/>
        </w:rPr>
      </w:pPr>
    </w:p>
    <w:p w14:paraId="698BF93A" w14:textId="7B409DC0" w:rsidR="00690D48" w:rsidRPr="00211211" w:rsidRDefault="00211211" w:rsidP="00211211">
      <w:pPr>
        <w:spacing w:line="360" w:lineRule="auto"/>
        <w:ind w:left="1080" w:hanging="360"/>
        <w:jc w:val="both"/>
        <w:rPr>
          <w:rFonts w:ascii="Arial" w:hAnsi="Arial" w:cs="Arial"/>
        </w:rPr>
      </w:pPr>
      <w:r>
        <w:rPr>
          <w:rFonts w:ascii="Arial" w:hAnsi="Arial" w:cs="Arial"/>
        </w:rPr>
        <w:t>(a)</w:t>
      </w:r>
      <w:r>
        <w:rPr>
          <w:rFonts w:ascii="Arial" w:hAnsi="Arial" w:cs="Arial"/>
        </w:rPr>
        <w:tab/>
      </w:r>
      <w:r w:rsidR="00690D48" w:rsidRPr="00211211">
        <w:rPr>
          <w:rFonts w:ascii="Arial" w:hAnsi="Arial" w:cs="Arial"/>
        </w:rPr>
        <w:t xml:space="preserve">Detailed engineering design on all aspects of the proposed works up to the production of working drawings and tender documents. This includes the procurement of all supporting services </w:t>
      </w:r>
      <w:r w:rsidR="00FD5EB7" w:rsidRPr="00211211">
        <w:rPr>
          <w:rFonts w:ascii="Arial" w:hAnsi="Arial" w:cs="Arial"/>
        </w:rPr>
        <w:t xml:space="preserve">for </w:t>
      </w:r>
      <w:r w:rsidR="000D0B27" w:rsidRPr="00211211">
        <w:rPr>
          <w:rFonts w:ascii="Arial" w:hAnsi="Arial" w:cs="Arial"/>
        </w:rPr>
        <w:t xml:space="preserve">the </w:t>
      </w:r>
      <w:r w:rsidR="00690D48" w:rsidRPr="00211211">
        <w:rPr>
          <w:rFonts w:ascii="Arial" w:hAnsi="Arial" w:cs="Arial"/>
        </w:rPr>
        <w:t>engineering design, including but not limited to geotechnical engineering investigations, surveys etc.</w:t>
      </w:r>
    </w:p>
    <w:p w14:paraId="39E51FAE" w14:textId="13A7F995" w:rsidR="00690D48" w:rsidRPr="00211211" w:rsidRDefault="00211211" w:rsidP="00211211">
      <w:pPr>
        <w:spacing w:line="360" w:lineRule="auto"/>
        <w:ind w:left="1080" w:hanging="360"/>
        <w:jc w:val="both"/>
        <w:rPr>
          <w:rFonts w:ascii="Arial" w:hAnsi="Arial" w:cs="Arial"/>
        </w:rPr>
      </w:pPr>
      <w:r>
        <w:rPr>
          <w:rFonts w:ascii="Arial" w:hAnsi="Arial" w:cs="Arial"/>
        </w:rPr>
        <w:t>(b)</w:t>
      </w:r>
      <w:r>
        <w:rPr>
          <w:rFonts w:ascii="Arial" w:hAnsi="Arial" w:cs="Arial"/>
        </w:rPr>
        <w:tab/>
      </w:r>
      <w:r w:rsidR="00690D48" w:rsidRPr="00211211">
        <w:rPr>
          <w:rFonts w:ascii="Arial" w:hAnsi="Arial" w:cs="Arial"/>
        </w:rPr>
        <w:t xml:space="preserve">Detailed feasibility study and report showing the economic viability of the Project. </w:t>
      </w:r>
    </w:p>
    <w:p w14:paraId="25FD287C" w14:textId="219BE5A0" w:rsidR="00690D48" w:rsidRPr="00211211" w:rsidRDefault="00211211" w:rsidP="00211211">
      <w:pPr>
        <w:spacing w:line="360" w:lineRule="auto"/>
        <w:ind w:left="1080" w:hanging="360"/>
        <w:jc w:val="both"/>
        <w:rPr>
          <w:rFonts w:ascii="Arial" w:hAnsi="Arial" w:cs="Arial"/>
        </w:rPr>
      </w:pPr>
      <w:r w:rsidRPr="00F90F8F">
        <w:rPr>
          <w:rFonts w:ascii="Arial" w:hAnsi="Arial" w:cs="Arial"/>
        </w:rPr>
        <w:t>(c)</w:t>
      </w:r>
      <w:r w:rsidRPr="00F90F8F">
        <w:rPr>
          <w:rFonts w:ascii="Arial" w:hAnsi="Arial" w:cs="Arial"/>
        </w:rPr>
        <w:tab/>
      </w:r>
      <w:r w:rsidR="00690D48" w:rsidRPr="00211211">
        <w:rPr>
          <w:rFonts w:ascii="Arial" w:hAnsi="Arial" w:cs="Arial"/>
        </w:rPr>
        <w:t xml:space="preserve">Obtaining all the relevant statutory permits and authorizations from the relevant Departments and other statutory bodies to ensure </w:t>
      </w:r>
      <w:r w:rsidR="00E651E9" w:rsidRPr="00211211">
        <w:rPr>
          <w:rFonts w:ascii="Arial" w:hAnsi="Arial" w:cs="Arial"/>
        </w:rPr>
        <w:t xml:space="preserve">that the project is </w:t>
      </w:r>
      <w:r w:rsidR="00690D48" w:rsidRPr="00211211">
        <w:rPr>
          <w:rFonts w:ascii="Arial" w:hAnsi="Arial" w:cs="Arial"/>
        </w:rPr>
        <w:t>successful</w:t>
      </w:r>
      <w:r w:rsidR="00E651E9" w:rsidRPr="00211211">
        <w:rPr>
          <w:rFonts w:ascii="Arial" w:hAnsi="Arial" w:cs="Arial"/>
        </w:rPr>
        <w:t>ly</w:t>
      </w:r>
      <w:r w:rsidR="00690D48" w:rsidRPr="00211211">
        <w:rPr>
          <w:rFonts w:ascii="Arial" w:hAnsi="Arial" w:cs="Arial"/>
        </w:rPr>
        <w:t xml:space="preserve"> implement</w:t>
      </w:r>
      <w:r w:rsidR="00E651E9" w:rsidRPr="00211211">
        <w:rPr>
          <w:rFonts w:ascii="Arial" w:hAnsi="Arial" w:cs="Arial"/>
        </w:rPr>
        <w:t xml:space="preserve">ed. </w:t>
      </w:r>
      <w:r w:rsidR="00690D48" w:rsidRPr="00211211">
        <w:rPr>
          <w:rFonts w:ascii="Arial" w:hAnsi="Arial" w:cs="Arial"/>
        </w:rPr>
        <w:t>The relevant sections within the DWS would assist in this regard.</w:t>
      </w:r>
    </w:p>
    <w:p w14:paraId="7C06E174" w14:textId="77777777" w:rsidR="00690D48" w:rsidRPr="00F90F8F" w:rsidRDefault="00690D48" w:rsidP="00690D48">
      <w:pPr>
        <w:pStyle w:val="ListParagraph"/>
        <w:rPr>
          <w:rFonts w:ascii="Arial" w:hAnsi="Arial" w:cs="Arial"/>
        </w:rPr>
      </w:pPr>
    </w:p>
    <w:p w14:paraId="2F041920" w14:textId="70DF2FFD" w:rsidR="00690D48" w:rsidRPr="00211211" w:rsidRDefault="00211211" w:rsidP="00211211">
      <w:pPr>
        <w:spacing w:line="360" w:lineRule="auto"/>
        <w:ind w:left="720" w:hanging="360"/>
        <w:jc w:val="both"/>
        <w:rPr>
          <w:rFonts w:ascii="Arial" w:hAnsi="Arial" w:cs="Arial"/>
        </w:rPr>
      </w:pPr>
      <w:r>
        <w:rPr>
          <w:rFonts w:ascii="Arial" w:hAnsi="Arial" w:cs="Arial"/>
        </w:rPr>
        <w:lastRenderedPageBreak/>
        <w:t>[18]</w:t>
      </w:r>
      <w:r>
        <w:rPr>
          <w:rFonts w:ascii="Arial" w:hAnsi="Arial" w:cs="Arial"/>
        </w:rPr>
        <w:tab/>
      </w:r>
      <w:r w:rsidR="00690D48" w:rsidRPr="00211211">
        <w:rPr>
          <w:rFonts w:ascii="Arial" w:hAnsi="Arial" w:cs="Arial"/>
        </w:rPr>
        <w:t xml:space="preserve">LNW was requested to submit the implementation plan within four weeks after the Project kick-off meeting. </w:t>
      </w:r>
      <w:r w:rsidR="00B40C70" w:rsidRPr="00211211">
        <w:rPr>
          <w:rFonts w:ascii="Arial" w:hAnsi="Arial" w:cs="Arial"/>
        </w:rPr>
        <w:t xml:space="preserve">The particulars of this meeting </w:t>
      </w:r>
      <w:r w:rsidR="0044323F" w:rsidRPr="00211211">
        <w:rPr>
          <w:rFonts w:ascii="Arial" w:hAnsi="Arial" w:cs="Arial"/>
        </w:rPr>
        <w:t xml:space="preserve">and whether this target was met is </w:t>
      </w:r>
      <w:r w:rsidR="00B40C70" w:rsidRPr="00211211">
        <w:rPr>
          <w:rFonts w:ascii="Arial" w:hAnsi="Arial" w:cs="Arial"/>
        </w:rPr>
        <w:t>not dis</w:t>
      </w:r>
      <w:r w:rsidR="0044323F" w:rsidRPr="00211211">
        <w:rPr>
          <w:rFonts w:ascii="Arial" w:hAnsi="Arial" w:cs="Arial"/>
        </w:rPr>
        <w:t xml:space="preserve">closed. </w:t>
      </w:r>
    </w:p>
    <w:p w14:paraId="4B44AF60" w14:textId="77777777" w:rsidR="00690D48" w:rsidRDefault="00690D48" w:rsidP="00690D48">
      <w:pPr>
        <w:pStyle w:val="ListParagraph"/>
        <w:spacing w:line="360" w:lineRule="auto"/>
        <w:jc w:val="both"/>
        <w:rPr>
          <w:rFonts w:ascii="Arial" w:hAnsi="Arial" w:cs="Arial"/>
        </w:rPr>
      </w:pPr>
    </w:p>
    <w:p w14:paraId="5C2879EA" w14:textId="3B45A0FE" w:rsidR="00690D48" w:rsidRPr="00211211" w:rsidRDefault="00211211" w:rsidP="00211211">
      <w:pPr>
        <w:spacing w:line="360" w:lineRule="auto"/>
        <w:ind w:left="720" w:hanging="360"/>
        <w:jc w:val="both"/>
        <w:rPr>
          <w:rFonts w:ascii="Arial" w:hAnsi="Arial" w:cs="Arial"/>
        </w:rPr>
      </w:pPr>
      <w:r>
        <w:rPr>
          <w:rFonts w:ascii="Arial" w:hAnsi="Arial" w:cs="Arial"/>
        </w:rPr>
        <w:t>[19]</w:t>
      </w:r>
      <w:r>
        <w:rPr>
          <w:rFonts w:ascii="Arial" w:hAnsi="Arial" w:cs="Arial"/>
        </w:rPr>
        <w:tab/>
      </w:r>
      <w:r w:rsidR="00B839D7" w:rsidRPr="00211211">
        <w:rPr>
          <w:rFonts w:ascii="Arial" w:hAnsi="Arial" w:cs="Arial"/>
        </w:rPr>
        <w:t xml:space="preserve">Subsequently, </w:t>
      </w:r>
      <w:r w:rsidR="00690D48" w:rsidRPr="00211211">
        <w:rPr>
          <w:rFonts w:ascii="Arial" w:hAnsi="Arial" w:cs="Arial"/>
        </w:rPr>
        <w:t xml:space="preserve">LNW requested the DWS </w:t>
      </w:r>
      <w:r w:rsidR="00B839D7" w:rsidRPr="00211211">
        <w:rPr>
          <w:rFonts w:ascii="Arial" w:hAnsi="Arial" w:cs="Arial"/>
        </w:rPr>
        <w:t xml:space="preserve">Bid Adjudication Committee </w:t>
      </w:r>
      <w:r w:rsidR="00690D48" w:rsidRPr="00211211">
        <w:rPr>
          <w:rFonts w:ascii="Arial" w:hAnsi="Arial" w:cs="Arial"/>
        </w:rPr>
        <w:t>(BAC) to grant approval for the participation of LNW to the D</w:t>
      </w:r>
      <w:r w:rsidR="0033199C" w:rsidRPr="00211211">
        <w:rPr>
          <w:rFonts w:ascii="Arial" w:hAnsi="Arial" w:cs="Arial"/>
        </w:rPr>
        <w:t>WS</w:t>
      </w:r>
      <w:r w:rsidR="00690D48" w:rsidRPr="00211211">
        <w:rPr>
          <w:rFonts w:ascii="Arial" w:hAnsi="Arial" w:cs="Arial"/>
        </w:rPr>
        <w:t xml:space="preserve">’s panel of Professional Service Providers (“PSPs”) to render professional multi-disciplinary services covering civil, structural, mechanical, electrical engineering, architectural services, and project management services. </w:t>
      </w:r>
      <w:r w:rsidR="008A4C10" w:rsidRPr="00211211">
        <w:rPr>
          <w:rFonts w:ascii="Arial" w:hAnsi="Arial" w:cs="Arial"/>
        </w:rPr>
        <w:t xml:space="preserve">This process was initiated when </w:t>
      </w:r>
      <w:r w:rsidR="00CD029B" w:rsidRPr="00211211">
        <w:rPr>
          <w:rFonts w:ascii="Arial" w:hAnsi="Arial" w:cs="Arial"/>
        </w:rPr>
        <w:t xml:space="preserve">the </w:t>
      </w:r>
      <w:r w:rsidR="008A4C10" w:rsidRPr="00211211">
        <w:rPr>
          <w:rFonts w:ascii="Arial" w:hAnsi="Arial" w:cs="Arial"/>
        </w:rPr>
        <w:t>Programme Manager for LNW, Mr Mulibana</w:t>
      </w:r>
      <w:r w:rsidR="00CD029B" w:rsidRPr="00211211">
        <w:rPr>
          <w:rFonts w:ascii="Arial" w:hAnsi="Arial" w:cs="Arial"/>
        </w:rPr>
        <w:t xml:space="preserve"> compiled a memorandum on </w:t>
      </w:r>
      <w:r w:rsidR="00690D48" w:rsidRPr="00211211">
        <w:rPr>
          <w:rFonts w:ascii="Arial" w:hAnsi="Arial" w:cs="Arial"/>
        </w:rPr>
        <w:t xml:space="preserve">9 November 2015, </w:t>
      </w:r>
      <w:r w:rsidR="00CD029B" w:rsidRPr="00211211">
        <w:rPr>
          <w:rFonts w:ascii="Arial" w:hAnsi="Arial" w:cs="Arial"/>
        </w:rPr>
        <w:t xml:space="preserve">asking </w:t>
      </w:r>
      <w:r w:rsidR="00690D48" w:rsidRPr="00211211">
        <w:rPr>
          <w:rFonts w:ascii="Arial" w:hAnsi="Arial" w:cs="Arial"/>
        </w:rPr>
        <w:t xml:space="preserve">Mr Legodi for approval to deviate from normal tender processes for the appointment of engineering services consultants for the Tzaneen Dam Project. Netshidaulu as the General Manager, Operations and Mr JC Killian as CFO supported the request. </w:t>
      </w:r>
    </w:p>
    <w:p w14:paraId="58782A4C" w14:textId="77777777" w:rsidR="00242646" w:rsidRPr="00242646" w:rsidRDefault="00242646" w:rsidP="00242646">
      <w:pPr>
        <w:pStyle w:val="ListParagraph"/>
        <w:rPr>
          <w:rFonts w:ascii="Arial" w:hAnsi="Arial" w:cs="Arial"/>
        </w:rPr>
      </w:pPr>
    </w:p>
    <w:p w14:paraId="68C4943F" w14:textId="1667B167" w:rsidR="00242646" w:rsidRPr="00211211" w:rsidRDefault="00211211" w:rsidP="00211211">
      <w:pPr>
        <w:spacing w:line="360" w:lineRule="auto"/>
        <w:ind w:left="720" w:hanging="360"/>
        <w:jc w:val="both"/>
        <w:rPr>
          <w:rFonts w:ascii="Arial" w:hAnsi="Arial" w:cs="Arial"/>
        </w:rPr>
      </w:pPr>
      <w:r w:rsidRPr="00CD029B">
        <w:rPr>
          <w:rFonts w:ascii="Arial" w:hAnsi="Arial" w:cs="Arial"/>
        </w:rPr>
        <w:t>[20]</w:t>
      </w:r>
      <w:r w:rsidRPr="00CD029B">
        <w:rPr>
          <w:rFonts w:ascii="Arial" w:hAnsi="Arial" w:cs="Arial"/>
        </w:rPr>
        <w:tab/>
      </w:r>
      <w:r w:rsidR="002C2575" w:rsidRPr="00211211">
        <w:rPr>
          <w:rFonts w:ascii="Arial" w:hAnsi="Arial" w:cs="Arial"/>
        </w:rPr>
        <w:t xml:space="preserve">The SIU’s alleged cause of action against </w:t>
      </w:r>
      <w:r w:rsidR="00242646" w:rsidRPr="00211211">
        <w:rPr>
          <w:rFonts w:ascii="Arial" w:hAnsi="Arial" w:cs="Arial"/>
        </w:rPr>
        <w:t>N</w:t>
      </w:r>
      <w:r w:rsidR="002C2575" w:rsidRPr="00211211">
        <w:rPr>
          <w:rFonts w:ascii="Arial" w:hAnsi="Arial" w:cs="Arial"/>
        </w:rPr>
        <w:t>e</w:t>
      </w:r>
      <w:r w:rsidR="00242646" w:rsidRPr="00211211">
        <w:rPr>
          <w:rFonts w:ascii="Arial" w:hAnsi="Arial" w:cs="Arial"/>
        </w:rPr>
        <w:t xml:space="preserve">tshidaulu </w:t>
      </w:r>
      <w:r w:rsidR="002C2575" w:rsidRPr="00211211">
        <w:rPr>
          <w:rFonts w:ascii="Arial" w:hAnsi="Arial" w:cs="Arial"/>
        </w:rPr>
        <w:t xml:space="preserve">arises from his </w:t>
      </w:r>
      <w:r w:rsidR="00242646" w:rsidRPr="00211211">
        <w:rPr>
          <w:rFonts w:ascii="Arial" w:hAnsi="Arial" w:cs="Arial"/>
        </w:rPr>
        <w:t>support for th</w:t>
      </w:r>
      <w:r w:rsidR="00FB6373" w:rsidRPr="00211211">
        <w:rPr>
          <w:rFonts w:ascii="Arial" w:hAnsi="Arial" w:cs="Arial"/>
        </w:rPr>
        <w:t>e</w:t>
      </w:r>
      <w:r w:rsidR="00242646" w:rsidRPr="00211211">
        <w:rPr>
          <w:rFonts w:ascii="Arial" w:hAnsi="Arial" w:cs="Arial"/>
        </w:rPr>
        <w:t xml:space="preserve"> request</w:t>
      </w:r>
      <w:r w:rsidR="00FB6373" w:rsidRPr="00211211">
        <w:rPr>
          <w:rFonts w:ascii="Arial" w:hAnsi="Arial" w:cs="Arial"/>
        </w:rPr>
        <w:t xml:space="preserve"> made by Mr Mulibana.</w:t>
      </w:r>
      <w:r w:rsidR="00242646" w:rsidRPr="00211211">
        <w:rPr>
          <w:rFonts w:ascii="Arial" w:hAnsi="Arial" w:cs="Arial"/>
        </w:rPr>
        <w:t xml:space="preserve"> </w:t>
      </w:r>
    </w:p>
    <w:p w14:paraId="0C21D2B7" w14:textId="77777777" w:rsidR="00FC222A" w:rsidRPr="008648CD" w:rsidRDefault="00FC222A" w:rsidP="008648CD">
      <w:pPr>
        <w:spacing w:line="360" w:lineRule="auto"/>
        <w:jc w:val="both"/>
        <w:rPr>
          <w:rFonts w:ascii="Arial" w:hAnsi="Arial" w:cs="Arial"/>
        </w:rPr>
      </w:pPr>
    </w:p>
    <w:p w14:paraId="089D6311" w14:textId="77777777" w:rsidR="00FC222A" w:rsidRPr="00FB6373" w:rsidRDefault="00FC222A" w:rsidP="00FB6373">
      <w:pPr>
        <w:spacing w:line="360" w:lineRule="auto"/>
        <w:jc w:val="both"/>
        <w:rPr>
          <w:rFonts w:ascii="Arial" w:hAnsi="Arial" w:cs="Arial"/>
          <w:b/>
          <w:bCs/>
        </w:rPr>
      </w:pPr>
      <w:r w:rsidRPr="00FB6373">
        <w:rPr>
          <w:rFonts w:ascii="Arial" w:hAnsi="Arial" w:cs="Arial"/>
          <w:b/>
          <w:bCs/>
        </w:rPr>
        <w:t>Preliminary grounds of opposition</w:t>
      </w:r>
    </w:p>
    <w:p w14:paraId="0623914D" w14:textId="77777777" w:rsidR="00FC222A" w:rsidRPr="006D78B1" w:rsidRDefault="00FC222A" w:rsidP="006D78B1">
      <w:pPr>
        <w:spacing w:line="360" w:lineRule="auto"/>
        <w:jc w:val="both"/>
        <w:rPr>
          <w:rFonts w:ascii="Arial" w:hAnsi="Arial" w:cs="Arial"/>
          <w:b/>
          <w:bCs/>
          <w:i/>
          <w:iCs/>
        </w:rPr>
      </w:pPr>
      <w:r w:rsidRPr="006D78B1">
        <w:rPr>
          <w:rFonts w:ascii="Arial" w:hAnsi="Arial" w:cs="Arial"/>
          <w:b/>
          <w:bCs/>
          <w:i/>
          <w:iCs/>
        </w:rPr>
        <w:t>Urgency</w:t>
      </w:r>
    </w:p>
    <w:p w14:paraId="4DCBFCC5" w14:textId="2A240267" w:rsidR="00FC222A" w:rsidRPr="00211211" w:rsidRDefault="00211211" w:rsidP="00211211">
      <w:pPr>
        <w:spacing w:line="360" w:lineRule="auto"/>
        <w:ind w:left="720" w:hanging="360"/>
        <w:jc w:val="both"/>
        <w:rPr>
          <w:rFonts w:ascii="Arial" w:hAnsi="Arial" w:cs="Arial"/>
        </w:rPr>
      </w:pPr>
      <w:r w:rsidRPr="008648CD">
        <w:rPr>
          <w:rFonts w:ascii="Arial" w:hAnsi="Arial" w:cs="Arial"/>
        </w:rPr>
        <w:t>[21]</w:t>
      </w:r>
      <w:r w:rsidRPr="008648CD">
        <w:rPr>
          <w:rFonts w:ascii="Arial" w:hAnsi="Arial" w:cs="Arial"/>
        </w:rPr>
        <w:tab/>
      </w:r>
      <w:r w:rsidR="00FC222A" w:rsidRPr="00211211">
        <w:rPr>
          <w:rFonts w:ascii="Arial" w:hAnsi="Arial" w:cs="Arial"/>
        </w:rPr>
        <w:t xml:space="preserve">The trite requirements for urgency are set out in Tribunal Rule </w:t>
      </w:r>
      <w:r w:rsidR="004730AE" w:rsidRPr="00211211">
        <w:rPr>
          <w:rFonts w:ascii="Arial" w:hAnsi="Arial" w:cs="Arial"/>
        </w:rPr>
        <w:t>12(3)</w:t>
      </w:r>
      <w:r w:rsidR="00FC222A" w:rsidRPr="00211211">
        <w:rPr>
          <w:rFonts w:ascii="Arial" w:hAnsi="Arial" w:cs="Arial"/>
        </w:rPr>
        <w:t xml:space="preserve">. It mirrors Uniform Rule 6(2). </w:t>
      </w:r>
      <w:r w:rsidR="008648CD" w:rsidRPr="00211211">
        <w:rPr>
          <w:rFonts w:ascii="Arial" w:hAnsi="Arial" w:cs="Arial"/>
        </w:rPr>
        <w:t>This rule requires that i</w:t>
      </w:r>
      <w:r w:rsidR="00FC222A" w:rsidRPr="00211211">
        <w:rPr>
          <w:rFonts w:ascii="Arial" w:hAnsi="Arial" w:cs="Arial"/>
        </w:rPr>
        <w:t xml:space="preserve">n every affidavit filed in support of any application brought under this </w:t>
      </w:r>
      <w:r w:rsidR="008648CD" w:rsidRPr="00211211">
        <w:rPr>
          <w:rFonts w:ascii="Arial" w:hAnsi="Arial" w:cs="Arial"/>
        </w:rPr>
        <w:t>r</w:t>
      </w:r>
      <w:r w:rsidR="00FC222A" w:rsidRPr="00211211">
        <w:rPr>
          <w:rFonts w:ascii="Arial" w:hAnsi="Arial" w:cs="Arial"/>
        </w:rPr>
        <w:t>ule, the applicant must set forth explicitly the circumstances which it avers renders the application urgent and the reasons why the applicant claims that it would not be afforded substantial redress at a hearing in due course.</w:t>
      </w:r>
      <w:r w:rsidR="00FC222A" w:rsidRPr="008648CD">
        <w:rPr>
          <w:rStyle w:val="FootnoteReference"/>
          <w:rFonts w:ascii="Arial" w:hAnsi="Arial" w:cs="Arial"/>
        </w:rPr>
        <w:footnoteReference w:id="3"/>
      </w:r>
    </w:p>
    <w:p w14:paraId="25ACED6E" w14:textId="77777777" w:rsidR="00FC222A" w:rsidRPr="008648CD" w:rsidRDefault="00FC222A" w:rsidP="008648CD">
      <w:pPr>
        <w:spacing w:line="360" w:lineRule="auto"/>
        <w:jc w:val="both"/>
        <w:rPr>
          <w:rFonts w:ascii="Arial" w:hAnsi="Arial" w:cs="Arial"/>
          <w:b/>
          <w:bCs/>
        </w:rPr>
      </w:pPr>
    </w:p>
    <w:p w14:paraId="761D62F5" w14:textId="77777777" w:rsidR="00FC222A" w:rsidRPr="008648CD" w:rsidRDefault="00FC222A" w:rsidP="008648CD">
      <w:pPr>
        <w:spacing w:line="360" w:lineRule="auto"/>
        <w:jc w:val="both"/>
        <w:rPr>
          <w:rFonts w:ascii="Arial" w:hAnsi="Arial" w:cs="Arial"/>
          <w:i/>
          <w:iCs/>
        </w:rPr>
      </w:pPr>
      <w:r w:rsidRPr="008648CD">
        <w:rPr>
          <w:rFonts w:ascii="Arial" w:hAnsi="Arial" w:cs="Arial"/>
          <w:i/>
          <w:iCs/>
        </w:rPr>
        <w:t>The circumstances that render the application urgent</w:t>
      </w:r>
    </w:p>
    <w:p w14:paraId="606A5494" w14:textId="02649719" w:rsidR="00FC222A" w:rsidRPr="00211211" w:rsidRDefault="00211211" w:rsidP="00211211">
      <w:pPr>
        <w:spacing w:line="360" w:lineRule="auto"/>
        <w:ind w:left="720" w:hanging="360"/>
        <w:jc w:val="both"/>
        <w:rPr>
          <w:rFonts w:ascii="Arial" w:hAnsi="Arial" w:cs="Arial"/>
        </w:rPr>
      </w:pPr>
      <w:r w:rsidRPr="008648CD">
        <w:rPr>
          <w:rFonts w:ascii="Arial" w:hAnsi="Arial" w:cs="Arial"/>
        </w:rPr>
        <w:t>[22]</w:t>
      </w:r>
      <w:r w:rsidRPr="008648CD">
        <w:rPr>
          <w:rFonts w:ascii="Arial" w:hAnsi="Arial" w:cs="Arial"/>
        </w:rPr>
        <w:tab/>
      </w:r>
      <w:r w:rsidR="00FC222A" w:rsidRPr="00211211">
        <w:rPr>
          <w:rFonts w:ascii="Arial" w:hAnsi="Arial" w:cs="Arial"/>
        </w:rPr>
        <w:t xml:space="preserve">The SIU alleges that Netshidaulu’s employment was terminated in December 2023. As a result, he became entitled to withdraw his pension and retirement benefits held with </w:t>
      </w:r>
      <w:r w:rsidR="005C4189" w:rsidRPr="00211211">
        <w:rPr>
          <w:rFonts w:ascii="Arial" w:hAnsi="Arial" w:cs="Arial"/>
        </w:rPr>
        <w:t>A</w:t>
      </w:r>
      <w:r w:rsidR="008648CD" w:rsidRPr="00211211">
        <w:rPr>
          <w:rFonts w:ascii="Arial" w:hAnsi="Arial" w:cs="Arial"/>
        </w:rPr>
        <w:t>FRF</w:t>
      </w:r>
      <w:r w:rsidR="00FC222A" w:rsidRPr="00211211">
        <w:rPr>
          <w:rFonts w:ascii="Arial" w:hAnsi="Arial" w:cs="Arial"/>
        </w:rPr>
        <w:t xml:space="preserve">. During February 2024, </w:t>
      </w:r>
      <w:r w:rsidR="008B5DFB" w:rsidRPr="00211211">
        <w:rPr>
          <w:rFonts w:ascii="Arial" w:hAnsi="Arial" w:cs="Arial"/>
        </w:rPr>
        <w:t xml:space="preserve">the </w:t>
      </w:r>
      <w:r w:rsidR="008648CD" w:rsidRPr="00211211">
        <w:rPr>
          <w:rFonts w:ascii="Arial" w:hAnsi="Arial" w:cs="Arial"/>
        </w:rPr>
        <w:t>LNW</w:t>
      </w:r>
      <w:r w:rsidR="008B5DFB" w:rsidRPr="00211211">
        <w:rPr>
          <w:rFonts w:ascii="Arial" w:hAnsi="Arial" w:cs="Arial"/>
        </w:rPr>
        <w:t xml:space="preserve"> Human Resources department</w:t>
      </w:r>
      <w:r w:rsidR="00FC222A" w:rsidRPr="00211211">
        <w:rPr>
          <w:rFonts w:ascii="Arial" w:hAnsi="Arial" w:cs="Arial"/>
        </w:rPr>
        <w:t xml:space="preserve"> informed </w:t>
      </w:r>
      <w:r w:rsidR="008648CD" w:rsidRPr="00211211">
        <w:rPr>
          <w:rFonts w:ascii="Arial" w:hAnsi="Arial" w:cs="Arial"/>
        </w:rPr>
        <w:t xml:space="preserve">SIU </w:t>
      </w:r>
      <w:r w:rsidR="00FC222A" w:rsidRPr="00211211">
        <w:rPr>
          <w:rFonts w:ascii="Arial" w:hAnsi="Arial" w:cs="Arial"/>
        </w:rPr>
        <w:t>that on 12 February 202</w:t>
      </w:r>
      <w:r w:rsidR="005C4189" w:rsidRPr="00211211">
        <w:rPr>
          <w:rFonts w:ascii="Arial" w:hAnsi="Arial" w:cs="Arial"/>
        </w:rPr>
        <w:t>4</w:t>
      </w:r>
      <w:r w:rsidR="00FC222A" w:rsidRPr="00211211">
        <w:rPr>
          <w:rFonts w:ascii="Arial" w:hAnsi="Arial" w:cs="Arial"/>
        </w:rPr>
        <w:t xml:space="preserve">, Netshidaulu </w:t>
      </w:r>
      <w:r w:rsidR="00FC222A" w:rsidRPr="00211211">
        <w:rPr>
          <w:rFonts w:ascii="Arial" w:hAnsi="Arial" w:cs="Arial"/>
        </w:rPr>
        <w:lastRenderedPageBreak/>
        <w:t>completed his pension benefits withdrawal form. NLW further informed SIU that it will only stay Netshidaulu’s pension benefits withdrawal request when ordered to do so by this Tribunal. This made it necessary for the SIU to bring the application.</w:t>
      </w:r>
    </w:p>
    <w:p w14:paraId="6A3B8A1B" w14:textId="77777777" w:rsidR="00FC222A" w:rsidRPr="008648CD" w:rsidRDefault="00FC222A" w:rsidP="008648CD">
      <w:pPr>
        <w:spacing w:line="360" w:lineRule="auto"/>
        <w:jc w:val="both"/>
        <w:rPr>
          <w:rFonts w:ascii="Arial" w:hAnsi="Arial" w:cs="Arial"/>
        </w:rPr>
      </w:pPr>
    </w:p>
    <w:p w14:paraId="447D4781" w14:textId="3EF7975B" w:rsidR="008648CD" w:rsidRPr="00211211" w:rsidRDefault="00211211" w:rsidP="00211211">
      <w:pPr>
        <w:spacing w:line="360" w:lineRule="auto"/>
        <w:ind w:left="720" w:hanging="360"/>
        <w:jc w:val="both"/>
        <w:rPr>
          <w:rFonts w:ascii="Arial" w:hAnsi="Arial" w:cs="Arial"/>
        </w:rPr>
      </w:pPr>
      <w:r>
        <w:rPr>
          <w:rFonts w:ascii="Arial" w:hAnsi="Arial" w:cs="Arial"/>
        </w:rPr>
        <w:t>[23]</w:t>
      </w:r>
      <w:r>
        <w:rPr>
          <w:rFonts w:ascii="Arial" w:hAnsi="Arial" w:cs="Arial"/>
        </w:rPr>
        <w:tab/>
      </w:r>
      <w:r w:rsidR="00FC222A" w:rsidRPr="00211211">
        <w:rPr>
          <w:rFonts w:ascii="Arial" w:hAnsi="Arial" w:cs="Arial"/>
        </w:rPr>
        <w:t xml:space="preserve">Netshidaulu disputes that the circumstances described by the SIU render the </w:t>
      </w:r>
      <w:r w:rsidR="00F0037C" w:rsidRPr="00211211">
        <w:rPr>
          <w:rFonts w:ascii="Arial" w:hAnsi="Arial" w:cs="Arial"/>
        </w:rPr>
        <w:t>.</w:t>
      </w:r>
      <w:r w:rsidR="00FC222A" w:rsidRPr="00211211">
        <w:rPr>
          <w:rFonts w:ascii="Arial" w:hAnsi="Arial" w:cs="Arial"/>
        </w:rPr>
        <w:t>application urgent</w:t>
      </w:r>
      <w:r w:rsidR="008648CD" w:rsidRPr="00211211">
        <w:rPr>
          <w:rFonts w:ascii="Arial" w:hAnsi="Arial" w:cs="Arial"/>
        </w:rPr>
        <w:t xml:space="preserve">. He contends that the SIU’s </w:t>
      </w:r>
      <w:r w:rsidR="00FC222A" w:rsidRPr="00211211">
        <w:rPr>
          <w:rFonts w:ascii="Arial" w:hAnsi="Arial" w:cs="Arial"/>
        </w:rPr>
        <w:t>explanation for urgency is insufficient</w:t>
      </w:r>
      <w:r w:rsidR="008648CD" w:rsidRPr="00211211">
        <w:rPr>
          <w:rFonts w:ascii="Arial" w:hAnsi="Arial" w:cs="Arial"/>
        </w:rPr>
        <w:t>. He further contends that</w:t>
      </w:r>
      <w:r w:rsidR="00FC222A" w:rsidRPr="00211211">
        <w:rPr>
          <w:rFonts w:ascii="Arial" w:hAnsi="Arial" w:cs="Arial"/>
        </w:rPr>
        <w:t xml:space="preserve"> if the application is found to be urgent, the urgency is self-created. </w:t>
      </w:r>
    </w:p>
    <w:p w14:paraId="152D0578" w14:textId="77777777" w:rsidR="008648CD" w:rsidRPr="008648CD" w:rsidRDefault="008648CD" w:rsidP="008648CD">
      <w:pPr>
        <w:pStyle w:val="ListParagraph"/>
        <w:rPr>
          <w:rFonts w:ascii="Arial" w:hAnsi="Arial" w:cs="Arial"/>
        </w:rPr>
      </w:pPr>
    </w:p>
    <w:p w14:paraId="092E0D92" w14:textId="7919AF9D" w:rsidR="00FC222A" w:rsidRPr="00211211" w:rsidRDefault="00211211" w:rsidP="00211211">
      <w:pPr>
        <w:spacing w:line="360" w:lineRule="auto"/>
        <w:ind w:left="720" w:hanging="360"/>
        <w:jc w:val="both"/>
        <w:rPr>
          <w:rFonts w:ascii="Arial" w:hAnsi="Arial" w:cs="Arial"/>
        </w:rPr>
      </w:pPr>
      <w:r w:rsidRPr="008648CD">
        <w:rPr>
          <w:rFonts w:ascii="Arial" w:hAnsi="Arial" w:cs="Arial"/>
        </w:rPr>
        <w:t>[24]</w:t>
      </w:r>
      <w:r w:rsidRPr="008648CD">
        <w:rPr>
          <w:rFonts w:ascii="Arial" w:hAnsi="Arial" w:cs="Arial"/>
        </w:rPr>
        <w:tab/>
      </w:r>
      <w:r w:rsidR="008648CD" w:rsidRPr="00211211">
        <w:rPr>
          <w:rFonts w:ascii="Arial" w:hAnsi="Arial" w:cs="Arial"/>
        </w:rPr>
        <w:t xml:space="preserve">Netshidaulu </w:t>
      </w:r>
      <w:r w:rsidR="00FC222A" w:rsidRPr="00211211">
        <w:rPr>
          <w:rFonts w:ascii="Arial" w:hAnsi="Arial" w:cs="Arial"/>
        </w:rPr>
        <w:t xml:space="preserve">complains that on 21 May 2021, the SIU set a target for itself that it will institute an action for damages against Netshidaulu by November 2021. More than two years later, it has still not done so simply because there is no basis for the SIU’s allegations against Netshidaulu. </w:t>
      </w:r>
    </w:p>
    <w:p w14:paraId="46CB52C2" w14:textId="77777777" w:rsidR="00FC222A" w:rsidRPr="008648CD" w:rsidRDefault="00FC222A" w:rsidP="008648CD">
      <w:pPr>
        <w:spacing w:line="360" w:lineRule="auto"/>
        <w:jc w:val="both"/>
        <w:rPr>
          <w:rFonts w:ascii="Arial" w:hAnsi="Arial" w:cs="Arial"/>
        </w:rPr>
      </w:pPr>
    </w:p>
    <w:p w14:paraId="0132C994" w14:textId="3EEBF22B" w:rsidR="00FC222A" w:rsidRPr="00211211" w:rsidRDefault="00211211" w:rsidP="00211211">
      <w:pPr>
        <w:spacing w:line="360" w:lineRule="auto"/>
        <w:ind w:left="720" w:hanging="360"/>
        <w:jc w:val="both"/>
        <w:rPr>
          <w:rFonts w:ascii="Arial" w:hAnsi="Arial" w:cs="Arial"/>
        </w:rPr>
      </w:pPr>
      <w:r w:rsidRPr="008648CD">
        <w:rPr>
          <w:rFonts w:ascii="Arial" w:hAnsi="Arial" w:cs="Arial"/>
        </w:rPr>
        <w:t>[25]</w:t>
      </w:r>
      <w:r w:rsidRPr="008648CD">
        <w:rPr>
          <w:rFonts w:ascii="Arial" w:hAnsi="Arial" w:cs="Arial"/>
        </w:rPr>
        <w:tab/>
      </w:r>
      <w:r w:rsidR="00FC222A" w:rsidRPr="00211211">
        <w:rPr>
          <w:rFonts w:ascii="Arial" w:hAnsi="Arial" w:cs="Arial"/>
        </w:rPr>
        <w:t>On 15 February 2024, an LNW employee informed Netshidaulu that the SIU is in the process of instituting this application. It only did so on 26 March 20024, almost six weeks later.</w:t>
      </w:r>
      <w:r w:rsidR="00AC4233" w:rsidRPr="00211211">
        <w:rPr>
          <w:rFonts w:ascii="Arial" w:hAnsi="Arial" w:cs="Arial"/>
        </w:rPr>
        <w:t xml:space="preserve"> </w:t>
      </w:r>
    </w:p>
    <w:p w14:paraId="146BD1DD" w14:textId="77777777" w:rsidR="00FC222A" w:rsidRPr="008648CD" w:rsidRDefault="00FC222A" w:rsidP="008648CD">
      <w:pPr>
        <w:spacing w:line="360" w:lineRule="auto"/>
        <w:jc w:val="both"/>
        <w:rPr>
          <w:rFonts w:ascii="Arial" w:hAnsi="Arial" w:cs="Arial"/>
        </w:rPr>
      </w:pPr>
    </w:p>
    <w:p w14:paraId="205EA097" w14:textId="28CF98A7" w:rsidR="00AC00F3" w:rsidRPr="00211211" w:rsidRDefault="00211211" w:rsidP="00211211">
      <w:pPr>
        <w:spacing w:line="360" w:lineRule="auto"/>
        <w:ind w:left="720" w:hanging="360"/>
        <w:jc w:val="both"/>
        <w:rPr>
          <w:rFonts w:ascii="Arial" w:hAnsi="Arial" w:cs="Arial"/>
        </w:rPr>
      </w:pPr>
      <w:r w:rsidRPr="008648CD">
        <w:rPr>
          <w:rFonts w:ascii="Arial" w:hAnsi="Arial" w:cs="Arial"/>
        </w:rPr>
        <w:t>[26]</w:t>
      </w:r>
      <w:r w:rsidRPr="008648CD">
        <w:rPr>
          <w:rFonts w:ascii="Arial" w:hAnsi="Arial" w:cs="Arial"/>
        </w:rPr>
        <w:tab/>
      </w:r>
      <w:r w:rsidR="00FC222A" w:rsidRPr="00211211">
        <w:rPr>
          <w:rFonts w:ascii="Arial" w:hAnsi="Arial" w:cs="Arial"/>
        </w:rPr>
        <w:t>I find the SIU’s explanation for the circumstances that render this application urgent inadequate. It concerns me that in its founding affidavit, it fails to disclose to this Tribunal that it had informed Netshida</w:t>
      </w:r>
      <w:r w:rsidR="006856B9" w:rsidRPr="00211211">
        <w:rPr>
          <w:rFonts w:ascii="Arial" w:hAnsi="Arial" w:cs="Arial"/>
        </w:rPr>
        <w:t>u</w:t>
      </w:r>
      <w:r w:rsidR="00FC222A" w:rsidRPr="00211211">
        <w:rPr>
          <w:rFonts w:ascii="Arial" w:hAnsi="Arial" w:cs="Arial"/>
        </w:rPr>
        <w:t xml:space="preserve">lu that it would </w:t>
      </w:r>
      <w:r w:rsidR="006856B9" w:rsidRPr="00211211">
        <w:rPr>
          <w:rFonts w:ascii="Arial" w:hAnsi="Arial" w:cs="Arial"/>
        </w:rPr>
        <w:t>institute</w:t>
      </w:r>
      <w:r w:rsidR="00FC222A" w:rsidRPr="00211211">
        <w:rPr>
          <w:rFonts w:ascii="Arial" w:hAnsi="Arial" w:cs="Arial"/>
        </w:rPr>
        <w:t xml:space="preserve"> the action against him by November 2021. In response to this allegation, in its replying affidavit, the SIU accuse Netshidaulu of misrepresenting its undertaking. </w:t>
      </w:r>
      <w:r w:rsidR="00B736F6" w:rsidRPr="00211211">
        <w:rPr>
          <w:rFonts w:ascii="Arial" w:hAnsi="Arial" w:cs="Arial"/>
        </w:rPr>
        <w:t>The SIU further states that it</w:t>
      </w:r>
      <w:r w:rsidR="00FC222A" w:rsidRPr="00211211">
        <w:rPr>
          <w:rFonts w:ascii="Arial" w:hAnsi="Arial" w:cs="Arial"/>
        </w:rPr>
        <w:t xml:space="preserve"> had made it clear that the timeframe would change because its investigations are ongoing. </w:t>
      </w:r>
      <w:r w:rsidR="00B779E9" w:rsidRPr="00211211">
        <w:rPr>
          <w:rFonts w:ascii="Arial" w:hAnsi="Arial" w:cs="Arial"/>
        </w:rPr>
        <w:t>In my view, t</w:t>
      </w:r>
      <w:r w:rsidR="00AC00F3" w:rsidRPr="00211211">
        <w:rPr>
          <w:rFonts w:ascii="Arial" w:hAnsi="Arial" w:cs="Arial"/>
        </w:rPr>
        <w:t xml:space="preserve">his is a material non-disclosure, particularly because </w:t>
      </w:r>
      <w:r w:rsidR="00106BC4" w:rsidRPr="00211211">
        <w:rPr>
          <w:rFonts w:ascii="Arial" w:hAnsi="Arial" w:cs="Arial"/>
        </w:rPr>
        <w:t>the SIU</w:t>
      </w:r>
      <w:r w:rsidR="00AC00F3" w:rsidRPr="00211211">
        <w:rPr>
          <w:rFonts w:ascii="Arial" w:hAnsi="Arial" w:cs="Arial"/>
        </w:rPr>
        <w:t xml:space="preserve"> undertakes to bring the action within 90 days of an order. It </w:t>
      </w:r>
      <w:r w:rsidR="00AF406B" w:rsidRPr="00211211">
        <w:rPr>
          <w:rFonts w:ascii="Arial" w:hAnsi="Arial" w:cs="Arial"/>
        </w:rPr>
        <w:t xml:space="preserve">probably </w:t>
      </w:r>
      <w:r w:rsidR="00AC00F3" w:rsidRPr="00211211">
        <w:rPr>
          <w:rFonts w:ascii="Arial" w:hAnsi="Arial" w:cs="Arial"/>
        </w:rPr>
        <w:t xml:space="preserve">failed to disclose this information to avoid the Tribunal questioning whether it would meet the 90-day undertaking when it failed to institute the intended action for a period of two years.  </w:t>
      </w:r>
    </w:p>
    <w:p w14:paraId="5AF9A2CB" w14:textId="77777777" w:rsidR="00FC222A" w:rsidRPr="008648CD" w:rsidRDefault="00FC222A" w:rsidP="008648CD">
      <w:pPr>
        <w:spacing w:line="360" w:lineRule="auto"/>
        <w:jc w:val="both"/>
        <w:rPr>
          <w:rFonts w:ascii="Arial" w:hAnsi="Arial" w:cs="Arial"/>
        </w:rPr>
      </w:pPr>
    </w:p>
    <w:p w14:paraId="0121E322" w14:textId="4649C1D4" w:rsidR="00FC222A" w:rsidRPr="00211211" w:rsidRDefault="00211211" w:rsidP="00211211">
      <w:pPr>
        <w:spacing w:line="360" w:lineRule="auto"/>
        <w:ind w:left="720" w:hanging="360"/>
        <w:jc w:val="both"/>
        <w:rPr>
          <w:rFonts w:ascii="Arial" w:hAnsi="Arial" w:cs="Arial"/>
        </w:rPr>
      </w:pPr>
      <w:r>
        <w:rPr>
          <w:rFonts w:ascii="Arial" w:hAnsi="Arial" w:cs="Arial"/>
        </w:rPr>
        <w:t>[27]</w:t>
      </w:r>
      <w:r>
        <w:rPr>
          <w:rFonts w:ascii="Arial" w:hAnsi="Arial" w:cs="Arial"/>
        </w:rPr>
        <w:tab/>
      </w:r>
      <w:r w:rsidR="00FC222A" w:rsidRPr="00211211">
        <w:rPr>
          <w:rFonts w:ascii="Arial" w:hAnsi="Arial" w:cs="Arial"/>
        </w:rPr>
        <w:t xml:space="preserve">It is clear from the version of both parties that </w:t>
      </w:r>
      <w:r w:rsidR="00AC00F3" w:rsidRPr="00211211">
        <w:rPr>
          <w:rFonts w:ascii="Arial" w:hAnsi="Arial" w:cs="Arial"/>
        </w:rPr>
        <w:t xml:space="preserve">when </w:t>
      </w:r>
      <w:r w:rsidR="00FC222A" w:rsidRPr="00211211">
        <w:rPr>
          <w:rFonts w:ascii="Arial" w:hAnsi="Arial" w:cs="Arial"/>
        </w:rPr>
        <w:t>the SIU</w:t>
      </w:r>
      <w:r w:rsidR="00AC00F3" w:rsidRPr="00211211">
        <w:rPr>
          <w:rFonts w:ascii="Arial" w:hAnsi="Arial" w:cs="Arial"/>
        </w:rPr>
        <w:t xml:space="preserve"> realized that it would not meet the November 2021 timeframe for instituting a damages </w:t>
      </w:r>
      <w:r w:rsidR="00AC00F3" w:rsidRPr="00211211">
        <w:rPr>
          <w:rFonts w:ascii="Arial" w:hAnsi="Arial" w:cs="Arial"/>
        </w:rPr>
        <w:lastRenderedPageBreak/>
        <w:t>action against Netshidaulu, it</w:t>
      </w:r>
      <w:r w:rsidR="00FC222A" w:rsidRPr="00211211">
        <w:rPr>
          <w:rFonts w:ascii="Arial" w:hAnsi="Arial" w:cs="Arial"/>
        </w:rPr>
        <w:t xml:space="preserve"> never communicated </w:t>
      </w:r>
      <w:r w:rsidR="00AC00F3" w:rsidRPr="00211211">
        <w:rPr>
          <w:rFonts w:ascii="Arial" w:hAnsi="Arial" w:cs="Arial"/>
        </w:rPr>
        <w:t>the</w:t>
      </w:r>
      <w:r w:rsidR="00FC222A" w:rsidRPr="00211211">
        <w:rPr>
          <w:rFonts w:ascii="Arial" w:hAnsi="Arial" w:cs="Arial"/>
        </w:rPr>
        <w:t xml:space="preserve"> new time frame </w:t>
      </w:r>
      <w:r w:rsidR="00AC00F3" w:rsidRPr="00211211">
        <w:rPr>
          <w:rFonts w:ascii="Arial" w:hAnsi="Arial" w:cs="Arial"/>
        </w:rPr>
        <w:t>to him. Netshidaulu is correct in questioning whether the SIU would honour the new time frame it is asking the Tribunal to impose.</w:t>
      </w:r>
    </w:p>
    <w:p w14:paraId="1E4F3A1F" w14:textId="77777777" w:rsidR="00AC00F3" w:rsidRPr="00AC00F3" w:rsidRDefault="00AC00F3" w:rsidP="00AC00F3">
      <w:pPr>
        <w:pStyle w:val="ListParagraph"/>
        <w:rPr>
          <w:rFonts w:ascii="Arial" w:hAnsi="Arial" w:cs="Arial"/>
        </w:rPr>
      </w:pPr>
    </w:p>
    <w:p w14:paraId="2580A5B8" w14:textId="01C66B06" w:rsidR="003065D4" w:rsidRPr="00211211" w:rsidRDefault="00211211" w:rsidP="00211211">
      <w:pPr>
        <w:spacing w:line="360" w:lineRule="auto"/>
        <w:ind w:left="720" w:hanging="360"/>
        <w:jc w:val="both"/>
        <w:rPr>
          <w:rFonts w:ascii="Arial" w:hAnsi="Arial" w:cs="Arial"/>
        </w:rPr>
      </w:pPr>
      <w:r>
        <w:rPr>
          <w:rFonts w:ascii="Arial" w:hAnsi="Arial" w:cs="Arial"/>
        </w:rPr>
        <w:t>[28]</w:t>
      </w:r>
      <w:r>
        <w:rPr>
          <w:rFonts w:ascii="Arial" w:hAnsi="Arial" w:cs="Arial"/>
        </w:rPr>
        <w:tab/>
      </w:r>
      <w:r w:rsidR="00AC00F3" w:rsidRPr="00211211">
        <w:rPr>
          <w:rFonts w:ascii="Arial" w:hAnsi="Arial" w:cs="Arial"/>
        </w:rPr>
        <w:t>The SIU</w:t>
      </w:r>
      <w:r w:rsidR="00FC222A" w:rsidRPr="00211211">
        <w:rPr>
          <w:rFonts w:ascii="Arial" w:hAnsi="Arial" w:cs="Arial"/>
        </w:rPr>
        <w:t xml:space="preserve"> only offered a substantial explanation in its replying affidavit, that it is awaiting the final report of its quantity surveyor. It is due to be submitted on 17 March 2024. It will only consider its investigation completed when it receives this report. </w:t>
      </w:r>
    </w:p>
    <w:p w14:paraId="536244F5" w14:textId="77777777" w:rsidR="003065D4" w:rsidRPr="003065D4" w:rsidRDefault="003065D4" w:rsidP="003065D4">
      <w:pPr>
        <w:pStyle w:val="ListParagraph"/>
        <w:rPr>
          <w:rFonts w:ascii="Arial" w:hAnsi="Arial" w:cs="Arial"/>
        </w:rPr>
      </w:pPr>
    </w:p>
    <w:p w14:paraId="0C13350B" w14:textId="188D8878" w:rsidR="00FC222A" w:rsidRPr="00211211" w:rsidRDefault="00211211" w:rsidP="00211211">
      <w:pPr>
        <w:spacing w:line="360" w:lineRule="auto"/>
        <w:ind w:left="720" w:hanging="360"/>
        <w:jc w:val="both"/>
        <w:rPr>
          <w:rFonts w:ascii="Arial" w:hAnsi="Arial" w:cs="Arial"/>
        </w:rPr>
      </w:pPr>
      <w:r w:rsidRPr="008648CD">
        <w:rPr>
          <w:rFonts w:ascii="Arial" w:hAnsi="Arial" w:cs="Arial"/>
        </w:rPr>
        <w:t>[29]</w:t>
      </w:r>
      <w:r w:rsidRPr="008648CD">
        <w:rPr>
          <w:rFonts w:ascii="Arial" w:hAnsi="Arial" w:cs="Arial"/>
        </w:rPr>
        <w:tab/>
      </w:r>
      <w:r w:rsidR="003065D4" w:rsidRPr="00211211">
        <w:rPr>
          <w:rFonts w:ascii="Arial" w:hAnsi="Arial" w:cs="Arial"/>
        </w:rPr>
        <w:t>In my view, t</w:t>
      </w:r>
      <w:r w:rsidR="00FC222A" w:rsidRPr="00211211">
        <w:rPr>
          <w:rFonts w:ascii="Arial" w:hAnsi="Arial" w:cs="Arial"/>
        </w:rPr>
        <w:t xml:space="preserve">he quantity surveyor’s report is not an acceptable excuse for the dilatory conduct on the part of the SIU. The SIU does not need to quantify the alleged damages for its cause of action against Netshidaulu to be completed. If it does, </w:t>
      </w:r>
      <w:r w:rsidR="00AC00F3" w:rsidRPr="00211211">
        <w:rPr>
          <w:rFonts w:ascii="Arial" w:hAnsi="Arial" w:cs="Arial"/>
        </w:rPr>
        <w:t>a</w:t>
      </w:r>
      <w:r w:rsidR="00FC222A" w:rsidRPr="00211211">
        <w:rPr>
          <w:rFonts w:ascii="Arial" w:hAnsi="Arial" w:cs="Arial"/>
        </w:rPr>
        <w:t xml:space="preserve">t the very least it should have explained why it contends that this is so. </w:t>
      </w:r>
      <w:r w:rsidR="00170FFE" w:rsidRPr="00211211">
        <w:rPr>
          <w:rFonts w:ascii="Arial" w:hAnsi="Arial" w:cs="Arial"/>
        </w:rPr>
        <w:t>In</w:t>
      </w:r>
      <w:r w:rsidR="002248D9" w:rsidRPr="00211211">
        <w:rPr>
          <w:rFonts w:ascii="Arial" w:hAnsi="Arial" w:cs="Arial"/>
        </w:rPr>
        <w:t xml:space="preserve">stituting a damages claim is never delayed pending the quantification of the damages. Quantifying damages is often expensive. It is for that reason that in most cases, </w:t>
      </w:r>
      <w:r w:rsidR="008B3D92" w:rsidRPr="00211211">
        <w:rPr>
          <w:rFonts w:ascii="Arial" w:hAnsi="Arial" w:cs="Arial"/>
        </w:rPr>
        <w:t xml:space="preserve">the </w:t>
      </w:r>
      <w:r w:rsidR="000D5DD5" w:rsidRPr="00211211">
        <w:rPr>
          <w:rFonts w:ascii="Arial" w:hAnsi="Arial" w:cs="Arial"/>
        </w:rPr>
        <w:t xml:space="preserve">plaintiff would separate the action in respect of merits from the quantum to avoid incurring wasted legal costs </w:t>
      </w:r>
      <w:r w:rsidR="00C87A48" w:rsidRPr="00211211">
        <w:rPr>
          <w:rFonts w:ascii="Arial" w:hAnsi="Arial" w:cs="Arial"/>
        </w:rPr>
        <w:t>if</w:t>
      </w:r>
      <w:r w:rsidR="000D5DD5" w:rsidRPr="00211211">
        <w:rPr>
          <w:rFonts w:ascii="Arial" w:hAnsi="Arial" w:cs="Arial"/>
        </w:rPr>
        <w:t xml:space="preserve"> the merits segment of the action is dismissed.</w:t>
      </w:r>
    </w:p>
    <w:p w14:paraId="57E6A87C" w14:textId="77777777" w:rsidR="00FC222A" w:rsidRPr="008648CD" w:rsidRDefault="00FC222A" w:rsidP="008648CD">
      <w:pPr>
        <w:spacing w:line="360" w:lineRule="auto"/>
        <w:jc w:val="both"/>
        <w:rPr>
          <w:rFonts w:ascii="Arial" w:hAnsi="Arial" w:cs="Arial"/>
        </w:rPr>
      </w:pPr>
    </w:p>
    <w:p w14:paraId="7D5D4758" w14:textId="04E5E6BC" w:rsidR="00483063" w:rsidRPr="00211211" w:rsidRDefault="00211211" w:rsidP="00211211">
      <w:pPr>
        <w:spacing w:line="360" w:lineRule="auto"/>
        <w:ind w:left="720" w:hanging="360"/>
        <w:jc w:val="both"/>
        <w:rPr>
          <w:rFonts w:ascii="Arial" w:hAnsi="Arial" w:cs="Arial"/>
        </w:rPr>
      </w:pPr>
      <w:r>
        <w:rPr>
          <w:rFonts w:ascii="Arial" w:hAnsi="Arial" w:cs="Arial"/>
        </w:rPr>
        <w:t>[30]</w:t>
      </w:r>
      <w:r>
        <w:rPr>
          <w:rFonts w:ascii="Arial" w:hAnsi="Arial" w:cs="Arial"/>
        </w:rPr>
        <w:tab/>
      </w:r>
      <w:r w:rsidR="00FC222A" w:rsidRPr="00211211">
        <w:rPr>
          <w:rFonts w:ascii="Arial" w:hAnsi="Arial" w:cs="Arial"/>
        </w:rPr>
        <w:t>The SIU further contends that the proverbial clock started ticking on 15 February 2024 when it became aware that Netshidaulu has started withdrawing its pension benefits.</w:t>
      </w:r>
      <w:r w:rsidR="00E54267" w:rsidRPr="00211211">
        <w:rPr>
          <w:rFonts w:ascii="Arial" w:hAnsi="Arial" w:cs="Arial"/>
        </w:rPr>
        <w:t xml:space="preserve"> I don’t accept this. Netshidualu’s employment was terminated in December 2023. </w:t>
      </w:r>
      <w:r w:rsidR="001B3840" w:rsidRPr="00211211">
        <w:rPr>
          <w:rFonts w:ascii="Arial" w:hAnsi="Arial" w:cs="Arial"/>
        </w:rPr>
        <w:t>The SIU kn</w:t>
      </w:r>
      <w:r w:rsidR="00483063" w:rsidRPr="00211211">
        <w:rPr>
          <w:rFonts w:ascii="Arial" w:hAnsi="Arial" w:cs="Arial"/>
        </w:rPr>
        <w:t>e</w:t>
      </w:r>
      <w:r w:rsidR="001B3840" w:rsidRPr="00211211">
        <w:rPr>
          <w:rFonts w:ascii="Arial" w:hAnsi="Arial" w:cs="Arial"/>
        </w:rPr>
        <w:t>w</w:t>
      </w:r>
      <w:r w:rsidR="00483063" w:rsidRPr="00211211">
        <w:rPr>
          <w:rFonts w:ascii="Arial" w:hAnsi="Arial" w:cs="Arial"/>
        </w:rPr>
        <w:t xml:space="preserve"> as far back as 2021</w:t>
      </w:r>
      <w:r w:rsidR="001B3840" w:rsidRPr="00211211">
        <w:rPr>
          <w:rFonts w:ascii="Arial" w:hAnsi="Arial" w:cs="Arial"/>
        </w:rPr>
        <w:t xml:space="preserve"> that it intends instituting a damages claim against him. </w:t>
      </w:r>
      <w:r w:rsidR="00FC222A" w:rsidRPr="00211211">
        <w:rPr>
          <w:rFonts w:ascii="Arial" w:hAnsi="Arial" w:cs="Arial"/>
        </w:rPr>
        <w:t xml:space="preserve"> </w:t>
      </w:r>
      <w:r w:rsidR="00483063" w:rsidRPr="00211211">
        <w:rPr>
          <w:rFonts w:ascii="Arial" w:hAnsi="Arial" w:cs="Arial"/>
        </w:rPr>
        <w:t xml:space="preserve">It ought to have acted with haste </w:t>
      </w:r>
      <w:r w:rsidR="009B59ED" w:rsidRPr="00211211">
        <w:rPr>
          <w:rFonts w:ascii="Arial" w:hAnsi="Arial" w:cs="Arial"/>
        </w:rPr>
        <w:t xml:space="preserve">after Netshidaulu’s employment was terminated in December 2023 to bring this application that’s when Netshidaulu became entitled to withdraw his pension benefits. </w:t>
      </w:r>
      <w:r w:rsidR="005F15C6" w:rsidRPr="00211211">
        <w:rPr>
          <w:rFonts w:ascii="Arial" w:hAnsi="Arial" w:cs="Arial"/>
        </w:rPr>
        <w:t>It did not wait to be informed by LNW that he has submission forms to do so.</w:t>
      </w:r>
    </w:p>
    <w:p w14:paraId="7E86EDAE" w14:textId="77777777" w:rsidR="00483063" w:rsidRPr="00483063" w:rsidRDefault="00483063" w:rsidP="00483063">
      <w:pPr>
        <w:pStyle w:val="ListParagraph"/>
        <w:rPr>
          <w:rFonts w:ascii="Arial" w:hAnsi="Arial" w:cs="Arial"/>
        </w:rPr>
      </w:pPr>
    </w:p>
    <w:p w14:paraId="4E855290" w14:textId="3FAC47B3" w:rsidR="00FE78AA" w:rsidRPr="00211211" w:rsidRDefault="00211211" w:rsidP="00211211">
      <w:pPr>
        <w:spacing w:line="360" w:lineRule="auto"/>
        <w:ind w:left="720" w:hanging="360"/>
        <w:jc w:val="both"/>
        <w:rPr>
          <w:rFonts w:ascii="Arial" w:hAnsi="Arial" w:cs="Arial"/>
        </w:rPr>
      </w:pPr>
      <w:r>
        <w:rPr>
          <w:rFonts w:ascii="Arial" w:hAnsi="Arial" w:cs="Arial"/>
        </w:rPr>
        <w:t>[31]</w:t>
      </w:r>
      <w:r>
        <w:rPr>
          <w:rFonts w:ascii="Arial" w:hAnsi="Arial" w:cs="Arial"/>
        </w:rPr>
        <w:tab/>
      </w:r>
      <w:r w:rsidR="00C87A48" w:rsidRPr="00211211">
        <w:rPr>
          <w:rFonts w:ascii="Arial" w:hAnsi="Arial" w:cs="Arial"/>
        </w:rPr>
        <w:t>Even if I were to accept th</w:t>
      </w:r>
      <w:r w:rsidR="005F15C6" w:rsidRPr="00211211">
        <w:rPr>
          <w:rFonts w:ascii="Arial" w:hAnsi="Arial" w:cs="Arial"/>
        </w:rPr>
        <w:t>at the proverbial clock started ticking in February 2024 as contended by the SIU</w:t>
      </w:r>
      <w:r w:rsidR="00C87A48" w:rsidRPr="00211211">
        <w:rPr>
          <w:rFonts w:ascii="Arial" w:hAnsi="Arial" w:cs="Arial"/>
        </w:rPr>
        <w:t xml:space="preserve">, </w:t>
      </w:r>
      <w:r w:rsidR="005C140C" w:rsidRPr="00211211">
        <w:rPr>
          <w:rFonts w:ascii="Arial" w:hAnsi="Arial" w:cs="Arial"/>
        </w:rPr>
        <w:t>its</w:t>
      </w:r>
      <w:r w:rsidR="002463E8" w:rsidRPr="00211211">
        <w:rPr>
          <w:rFonts w:ascii="Arial" w:hAnsi="Arial" w:cs="Arial"/>
        </w:rPr>
        <w:t xml:space="preserve"> explanation for </w:t>
      </w:r>
      <w:r w:rsidR="005C140C" w:rsidRPr="00211211">
        <w:rPr>
          <w:rFonts w:ascii="Arial" w:hAnsi="Arial" w:cs="Arial"/>
        </w:rPr>
        <w:t>the</w:t>
      </w:r>
      <w:r w:rsidR="002463E8" w:rsidRPr="00211211">
        <w:rPr>
          <w:rFonts w:ascii="Arial" w:hAnsi="Arial" w:cs="Arial"/>
        </w:rPr>
        <w:t xml:space="preserve"> actions</w:t>
      </w:r>
      <w:r w:rsidR="005C140C" w:rsidRPr="00211211">
        <w:rPr>
          <w:rFonts w:ascii="Arial" w:hAnsi="Arial" w:cs="Arial"/>
        </w:rPr>
        <w:t xml:space="preserve"> it took since then</w:t>
      </w:r>
      <w:r w:rsidR="002463E8" w:rsidRPr="00211211">
        <w:rPr>
          <w:rFonts w:ascii="Arial" w:hAnsi="Arial" w:cs="Arial"/>
        </w:rPr>
        <w:t xml:space="preserve"> is inadequate. </w:t>
      </w:r>
    </w:p>
    <w:p w14:paraId="6BBD3347" w14:textId="77777777" w:rsidR="00FE78AA" w:rsidRPr="00FE78AA" w:rsidRDefault="00FE78AA" w:rsidP="00FE78AA">
      <w:pPr>
        <w:pStyle w:val="ListParagraph"/>
        <w:rPr>
          <w:rFonts w:ascii="Arial" w:hAnsi="Arial" w:cs="Arial"/>
        </w:rPr>
      </w:pPr>
    </w:p>
    <w:p w14:paraId="46DA78F2" w14:textId="0EF3BBAD" w:rsidR="00FC222A" w:rsidRPr="00211211" w:rsidRDefault="00211211" w:rsidP="00211211">
      <w:pPr>
        <w:spacing w:line="360" w:lineRule="auto"/>
        <w:ind w:left="720" w:hanging="360"/>
        <w:jc w:val="both"/>
        <w:rPr>
          <w:rFonts w:ascii="Arial" w:hAnsi="Arial" w:cs="Arial"/>
        </w:rPr>
      </w:pPr>
      <w:r w:rsidRPr="008648CD">
        <w:rPr>
          <w:rFonts w:ascii="Arial" w:hAnsi="Arial" w:cs="Arial"/>
        </w:rPr>
        <w:t>[32]</w:t>
      </w:r>
      <w:r w:rsidRPr="008648CD">
        <w:rPr>
          <w:rFonts w:ascii="Arial" w:hAnsi="Arial" w:cs="Arial"/>
        </w:rPr>
        <w:tab/>
      </w:r>
      <w:r w:rsidR="00FE78AA" w:rsidRPr="00211211">
        <w:rPr>
          <w:rFonts w:ascii="Arial" w:hAnsi="Arial" w:cs="Arial"/>
        </w:rPr>
        <w:t>The SIU explains that t</w:t>
      </w:r>
      <w:r w:rsidR="00FC222A" w:rsidRPr="00211211">
        <w:rPr>
          <w:rFonts w:ascii="Arial" w:hAnsi="Arial" w:cs="Arial"/>
        </w:rPr>
        <w:t xml:space="preserve">he State Attorney only appointed counsel on 22 February 2024. The first consultation with counsel took place on 26 February </w:t>
      </w:r>
      <w:r w:rsidR="00FC222A" w:rsidRPr="00211211">
        <w:rPr>
          <w:rFonts w:ascii="Arial" w:hAnsi="Arial" w:cs="Arial"/>
        </w:rPr>
        <w:lastRenderedPageBreak/>
        <w:t xml:space="preserve">2024. He submitted the first draft of the application to the SIU on 12 March 2024. Further information was required from the investigating team. The application was finalised on 20 March 2024. The SIU issued it on 26 March 2024. </w:t>
      </w:r>
    </w:p>
    <w:p w14:paraId="465EC09E" w14:textId="77777777" w:rsidR="00FC222A" w:rsidRPr="008648CD" w:rsidRDefault="00FC222A" w:rsidP="008648CD">
      <w:pPr>
        <w:spacing w:line="360" w:lineRule="auto"/>
        <w:jc w:val="both"/>
        <w:rPr>
          <w:rFonts w:ascii="Arial" w:hAnsi="Arial" w:cs="Arial"/>
        </w:rPr>
      </w:pPr>
    </w:p>
    <w:p w14:paraId="3C104C09" w14:textId="0C6A74AE" w:rsidR="00FC222A" w:rsidRPr="00211211" w:rsidRDefault="00211211" w:rsidP="00211211">
      <w:pPr>
        <w:spacing w:line="360" w:lineRule="auto"/>
        <w:ind w:left="720" w:hanging="360"/>
        <w:jc w:val="both"/>
        <w:rPr>
          <w:rFonts w:ascii="Arial" w:hAnsi="Arial" w:cs="Arial"/>
        </w:rPr>
      </w:pPr>
      <w:r w:rsidRPr="008648CD">
        <w:rPr>
          <w:rFonts w:ascii="Arial" w:hAnsi="Arial" w:cs="Arial"/>
        </w:rPr>
        <w:t>[33]</w:t>
      </w:r>
      <w:r w:rsidRPr="008648CD">
        <w:rPr>
          <w:rFonts w:ascii="Arial" w:hAnsi="Arial" w:cs="Arial"/>
        </w:rPr>
        <w:tab/>
      </w:r>
      <w:r w:rsidR="00FC222A" w:rsidRPr="00211211">
        <w:rPr>
          <w:rFonts w:ascii="Arial" w:hAnsi="Arial" w:cs="Arial"/>
        </w:rPr>
        <w:t xml:space="preserve">The SIU continued to be dilatory after the urgency it relies on occurred. It has not explained two-week lapses between the briefing of its counsel, </w:t>
      </w:r>
      <w:r w:rsidR="006856B9" w:rsidRPr="00211211">
        <w:rPr>
          <w:rFonts w:ascii="Arial" w:hAnsi="Arial" w:cs="Arial"/>
        </w:rPr>
        <w:t>preparation,</w:t>
      </w:r>
      <w:r w:rsidR="00FC222A" w:rsidRPr="00211211">
        <w:rPr>
          <w:rFonts w:ascii="Arial" w:hAnsi="Arial" w:cs="Arial"/>
        </w:rPr>
        <w:t xml:space="preserve"> and finalization of the application. </w:t>
      </w:r>
    </w:p>
    <w:p w14:paraId="5841B88E" w14:textId="77777777" w:rsidR="00FC222A" w:rsidRPr="008648CD" w:rsidRDefault="00FC222A" w:rsidP="008648CD">
      <w:pPr>
        <w:spacing w:line="360" w:lineRule="auto"/>
        <w:jc w:val="both"/>
        <w:rPr>
          <w:rFonts w:ascii="Arial" w:hAnsi="Arial" w:cs="Arial"/>
        </w:rPr>
      </w:pPr>
    </w:p>
    <w:p w14:paraId="6C51FDC5" w14:textId="5B01EDDA" w:rsidR="00FC222A" w:rsidRPr="00211211" w:rsidRDefault="00211211" w:rsidP="00211211">
      <w:pPr>
        <w:spacing w:line="360" w:lineRule="auto"/>
        <w:ind w:left="720" w:hanging="360"/>
        <w:jc w:val="both"/>
        <w:rPr>
          <w:rFonts w:ascii="Arial" w:hAnsi="Arial" w:cs="Arial"/>
        </w:rPr>
      </w:pPr>
      <w:r w:rsidRPr="008648CD">
        <w:rPr>
          <w:rFonts w:ascii="Arial" w:hAnsi="Arial" w:cs="Arial"/>
        </w:rPr>
        <w:t>[34]</w:t>
      </w:r>
      <w:r w:rsidRPr="008648CD">
        <w:rPr>
          <w:rFonts w:ascii="Arial" w:hAnsi="Arial" w:cs="Arial"/>
        </w:rPr>
        <w:tab/>
      </w:r>
      <w:r w:rsidR="00FC222A" w:rsidRPr="00211211">
        <w:rPr>
          <w:rFonts w:ascii="Arial" w:hAnsi="Arial" w:cs="Arial"/>
        </w:rPr>
        <w:t xml:space="preserve">I therefore find that the SIU has failed to provide a full and sufficient explanation </w:t>
      </w:r>
      <w:r w:rsidR="00E7170D" w:rsidRPr="00211211">
        <w:rPr>
          <w:rFonts w:ascii="Arial" w:hAnsi="Arial" w:cs="Arial"/>
        </w:rPr>
        <w:t>for</w:t>
      </w:r>
      <w:r w:rsidR="00FC222A" w:rsidRPr="00211211">
        <w:rPr>
          <w:rFonts w:ascii="Arial" w:hAnsi="Arial" w:cs="Arial"/>
        </w:rPr>
        <w:t xml:space="preserve"> the circumstances that render the application urgent. </w:t>
      </w:r>
      <w:r w:rsidR="002C44A8" w:rsidRPr="00211211">
        <w:rPr>
          <w:rFonts w:ascii="Arial" w:hAnsi="Arial" w:cs="Arial"/>
        </w:rPr>
        <w:t xml:space="preserve">The urgency it relies on is self-created. </w:t>
      </w:r>
      <w:r w:rsidR="006856B9" w:rsidRPr="00211211">
        <w:rPr>
          <w:rFonts w:ascii="Arial" w:hAnsi="Arial" w:cs="Arial"/>
        </w:rPr>
        <w:t>Its</w:t>
      </w:r>
      <w:r w:rsidR="00FC222A" w:rsidRPr="00211211">
        <w:rPr>
          <w:rFonts w:ascii="Arial" w:hAnsi="Arial" w:cs="Arial"/>
        </w:rPr>
        <w:t xml:space="preserve"> contention that the application is inherently urgent does not absolve it from </w:t>
      </w:r>
      <w:r w:rsidR="00AC00F3" w:rsidRPr="00211211">
        <w:rPr>
          <w:rFonts w:ascii="Arial" w:hAnsi="Arial" w:cs="Arial"/>
        </w:rPr>
        <w:t xml:space="preserve">fully explaining the circumstances that render the application urgent. </w:t>
      </w:r>
      <w:r w:rsidR="00FC222A" w:rsidRPr="00211211">
        <w:rPr>
          <w:rFonts w:ascii="Arial" w:hAnsi="Arial" w:cs="Arial"/>
        </w:rPr>
        <w:t xml:space="preserve"> </w:t>
      </w:r>
    </w:p>
    <w:p w14:paraId="208154C5" w14:textId="77777777" w:rsidR="00FC222A" w:rsidRDefault="00FC222A" w:rsidP="008648CD">
      <w:pPr>
        <w:spacing w:line="360" w:lineRule="auto"/>
        <w:jc w:val="both"/>
        <w:rPr>
          <w:rFonts w:ascii="Arial" w:hAnsi="Arial" w:cs="Arial"/>
          <w:i/>
          <w:iCs/>
        </w:rPr>
      </w:pPr>
    </w:p>
    <w:p w14:paraId="4B478E47" w14:textId="77777777" w:rsidR="00A0789B" w:rsidRPr="008648CD" w:rsidRDefault="00A0789B" w:rsidP="008648CD">
      <w:pPr>
        <w:spacing w:line="360" w:lineRule="auto"/>
        <w:jc w:val="both"/>
        <w:rPr>
          <w:rFonts w:ascii="Arial" w:hAnsi="Arial" w:cs="Arial"/>
          <w:i/>
          <w:iCs/>
        </w:rPr>
      </w:pPr>
    </w:p>
    <w:p w14:paraId="1C9DDA1E" w14:textId="77777777" w:rsidR="00FC222A" w:rsidRPr="008648CD" w:rsidRDefault="00FC222A" w:rsidP="00AC00F3">
      <w:pPr>
        <w:pStyle w:val="ListParagraph"/>
        <w:spacing w:line="360" w:lineRule="auto"/>
        <w:jc w:val="both"/>
        <w:rPr>
          <w:rFonts w:ascii="Arial" w:hAnsi="Arial" w:cs="Arial"/>
          <w:i/>
          <w:iCs/>
        </w:rPr>
      </w:pPr>
      <w:r w:rsidRPr="008648CD">
        <w:rPr>
          <w:rFonts w:ascii="Arial" w:hAnsi="Arial" w:cs="Arial"/>
          <w:i/>
          <w:iCs/>
        </w:rPr>
        <w:t>Whether the SIU will not be afforded substantial redress in due course</w:t>
      </w:r>
    </w:p>
    <w:p w14:paraId="24FD881E" w14:textId="14D5F895" w:rsidR="00E02EC4" w:rsidRPr="00211211" w:rsidRDefault="00211211" w:rsidP="00211211">
      <w:pPr>
        <w:spacing w:line="360" w:lineRule="auto"/>
        <w:ind w:left="720" w:hanging="360"/>
        <w:jc w:val="both"/>
        <w:rPr>
          <w:rFonts w:ascii="Arial" w:hAnsi="Arial" w:cs="Arial"/>
        </w:rPr>
      </w:pPr>
      <w:r>
        <w:rPr>
          <w:rFonts w:ascii="Arial" w:hAnsi="Arial" w:cs="Arial"/>
        </w:rPr>
        <w:t>[35]</w:t>
      </w:r>
      <w:r>
        <w:rPr>
          <w:rFonts w:ascii="Arial" w:hAnsi="Arial" w:cs="Arial"/>
        </w:rPr>
        <w:tab/>
      </w:r>
      <w:r w:rsidR="00FC222A" w:rsidRPr="00211211">
        <w:rPr>
          <w:rFonts w:ascii="Arial" w:hAnsi="Arial" w:cs="Arial"/>
        </w:rPr>
        <w:t xml:space="preserve">Even when urgency is self-created as contended by Netshidaulu, it ordinarily would not justify denying an applicant urgent </w:t>
      </w:r>
      <w:r w:rsidR="00392FE0" w:rsidRPr="00211211">
        <w:rPr>
          <w:rFonts w:ascii="Arial" w:hAnsi="Arial" w:cs="Arial"/>
        </w:rPr>
        <w:t>audience if doing so</w:t>
      </w:r>
      <w:r w:rsidR="00FC222A" w:rsidRPr="00211211">
        <w:rPr>
          <w:rFonts w:ascii="Arial" w:hAnsi="Arial" w:cs="Arial"/>
        </w:rPr>
        <w:t xml:space="preserve"> would effectively den</w:t>
      </w:r>
      <w:r w:rsidR="00392FE0" w:rsidRPr="00211211">
        <w:rPr>
          <w:rFonts w:ascii="Arial" w:hAnsi="Arial" w:cs="Arial"/>
        </w:rPr>
        <w:t xml:space="preserve">y </w:t>
      </w:r>
      <w:r w:rsidR="009D49B8" w:rsidRPr="00211211">
        <w:rPr>
          <w:rFonts w:ascii="Arial" w:hAnsi="Arial" w:cs="Arial"/>
        </w:rPr>
        <w:t>it</w:t>
      </w:r>
      <w:r w:rsidR="00392FE0" w:rsidRPr="00211211">
        <w:rPr>
          <w:rFonts w:ascii="Arial" w:hAnsi="Arial" w:cs="Arial"/>
        </w:rPr>
        <w:t xml:space="preserve"> </w:t>
      </w:r>
      <w:r w:rsidR="00FC222A" w:rsidRPr="00211211">
        <w:rPr>
          <w:rFonts w:ascii="Arial" w:hAnsi="Arial" w:cs="Arial"/>
        </w:rPr>
        <w:t xml:space="preserve">substantive redress in due course. However, </w:t>
      </w:r>
      <w:r w:rsidR="00342B3A" w:rsidRPr="00211211">
        <w:rPr>
          <w:rFonts w:ascii="Arial" w:hAnsi="Arial" w:cs="Arial"/>
        </w:rPr>
        <w:t xml:space="preserve">for reasons I set out in this judgment, </w:t>
      </w:r>
      <w:r w:rsidR="00FC222A" w:rsidRPr="00211211">
        <w:rPr>
          <w:rFonts w:ascii="Arial" w:hAnsi="Arial" w:cs="Arial"/>
        </w:rPr>
        <w:t xml:space="preserve">the SIU has failed to establish that </w:t>
      </w:r>
      <w:r w:rsidR="00546F37" w:rsidRPr="00211211">
        <w:rPr>
          <w:rFonts w:ascii="Arial" w:hAnsi="Arial" w:cs="Arial"/>
        </w:rPr>
        <w:t>if</w:t>
      </w:r>
      <w:r w:rsidR="00392FE0" w:rsidRPr="00211211">
        <w:rPr>
          <w:rFonts w:ascii="Arial" w:hAnsi="Arial" w:cs="Arial"/>
        </w:rPr>
        <w:t xml:space="preserve"> Netshidaulu accesses his pension benefits at this stage, the SIU will not be denied substantive redress in the planned damages action because it has not established the legal basis for its intended action against Netshidaulu. </w:t>
      </w:r>
      <w:r w:rsidR="00AC4A1F" w:rsidRPr="00211211">
        <w:rPr>
          <w:rFonts w:ascii="Arial" w:hAnsi="Arial" w:cs="Arial"/>
        </w:rPr>
        <w:t>It has also</w:t>
      </w:r>
      <w:r w:rsidR="00664FD5" w:rsidRPr="00211211">
        <w:rPr>
          <w:rFonts w:ascii="Arial" w:hAnsi="Arial" w:cs="Arial"/>
        </w:rPr>
        <w:t xml:space="preserve"> not</w:t>
      </w:r>
      <w:r w:rsidR="00AC4A1F" w:rsidRPr="00211211">
        <w:rPr>
          <w:rFonts w:ascii="Arial" w:hAnsi="Arial" w:cs="Arial"/>
        </w:rPr>
        <w:t xml:space="preserve"> established</w:t>
      </w:r>
      <w:r w:rsidR="00664FD5" w:rsidRPr="00211211">
        <w:rPr>
          <w:rFonts w:ascii="Arial" w:hAnsi="Arial" w:cs="Arial"/>
        </w:rPr>
        <w:t xml:space="preserve"> that it has</w:t>
      </w:r>
      <w:r w:rsidR="00AC4A1F" w:rsidRPr="00211211">
        <w:rPr>
          <w:rFonts w:ascii="Arial" w:hAnsi="Arial" w:cs="Arial"/>
        </w:rPr>
        <w:t xml:space="preserve"> prospects of success</w:t>
      </w:r>
      <w:r w:rsidR="00E02EC4" w:rsidRPr="00211211">
        <w:rPr>
          <w:rFonts w:ascii="Arial" w:hAnsi="Arial" w:cs="Arial"/>
        </w:rPr>
        <w:t xml:space="preserve">. </w:t>
      </w:r>
    </w:p>
    <w:p w14:paraId="2FFBB281" w14:textId="77777777" w:rsidR="00E02EC4" w:rsidRDefault="00E02EC4" w:rsidP="00E02EC4">
      <w:pPr>
        <w:pStyle w:val="ListParagraph"/>
        <w:spacing w:line="360" w:lineRule="auto"/>
        <w:jc w:val="both"/>
        <w:rPr>
          <w:rFonts w:ascii="Arial" w:hAnsi="Arial" w:cs="Arial"/>
        </w:rPr>
      </w:pPr>
    </w:p>
    <w:p w14:paraId="5434C6CD" w14:textId="0935A88A" w:rsidR="00392FE0" w:rsidRPr="00211211" w:rsidRDefault="00211211" w:rsidP="00211211">
      <w:pPr>
        <w:spacing w:line="360" w:lineRule="auto"/>
        <w:ind w:left="720" w:hanging="360"/>
        <w:jc w:val="both"/>
        <w:rPr>
          <w:rFonts w:ascii="Arial" w:hAnsi="Arial" w:cs="Arial"/>
        </w:rPr>
      </w:pPr>
      <w:r>
        <w:rPr>
          <w:rFonts w:ascii="Arial" w:hAnsi="Arial" w:cs="Arial"/>
        </w:rPr>
        <w:t>[36]</w:t>
      </w:r>
      <w:r>
        <w:rPr>
          <w:rFonts w:ascii="Arial" w:hAnsi="Arial" w:cs="Arial"/>
        </w:rPr>
        <w:tab/>
      </w:r>
      <w:r w:rsidR="00FC222A" w:rsidRPr="00211211">
        <w:rPr>
          <w:rFonts w:ascii="Arial" w:hAnsi="Arial" w:cs="Arial"/>
        </w:rPr>
        <w:t>I am therefore constrained to find that the SIU also fails to meet this leg of the test.</w:t>
      </w:r>
    </w:p>
    <w:p w14:paraId="092E3F24" w14:textId="77777777" w:rsidR="00392FE0" w:rsidRDefault="00392FE0" w:rsidP="00392FE0">
      <w:pPr>
        <w:pStyle w:val="ListParagraph"/>
        <w:spacing w:line="360" w:lineRule="auto"/>
        <w:jc w:val="both"/>
        <w:rPr>
          <w:rFonts w:ascii="Arial" w:hAnsi="Arial" w:cs="Arial"/>
        </w:rPr>
      </w:pPr>
    </w:p>
    <w:p w14:paraId="6EC56E7D" w14:textId="4F69A5CD" w:rsidR="00FC222A" w:rsidRPr="00211211" w:rsidRDefault="00211211" w:rsidP="00211211">
      <w:pPr>
        <w:spacing w:line="360" w:lineRule="auto"/>
        <w:ind w:left="720" w:hanging="360"/>
        <w:jc w:val="both"/>
        <w:rPr>
          <w:rFonts w:ascii="Arial" w:hAnsi="Arial" w:cs="Arial"/>
        </w:rPr>
      </w:pPr>
      <w:r w:rsidRPr="00392FE0">
        <w:rPr>
          <w:rFonts w:ascii="Arial" w:hAnsi="Arial" w:cs="Arial"/>
        </w:rPr>
        <w:t>[37]</w:t>
      </w:r>
      <w:r w:rsidRPr="00392FE0">
        <w:rPr>
          <w:rFonts w:ascii="Arial" w:hAnsi="Arial" w:cs="Arial"/>
        </w:rPr>
        <w:tab/>
      </w:r>
      <w:r w:rsidR="00392FE0" w:rsidRPr="00211211">
        <w:rPr>
          <w:rFonts w:ascii="Arial" w:hAnsi="Arial" w:cs="Arial"/>
        </w:rPr>
        <w:t>I nonetheless proceed to determine the other issues that arise between the parties because the application</w:t>
      </w:r>
      <w:r w:rsidR="00C5635D" w:rsidRPr="00211211">
        <w:rPr>
          <w:rFonts w:ascii="Arial" w:hAnsi="Arial" w:cs="Arial"/>
        </w:rPr>
        <w:t xml:space="preserve"> </w:t>
      </w:r>
      <w:r w:rsidR="00392FE0" w:rsidRPr="00211211">
        <w:rPr>
          <w:rFonts w:ascii="Arial" w:hAnsi="Arial" w:cs="Arial"/>
        </w:rPr>
        <w:t>is</w:t>
      </w:r>
      <w:r w:rsidR="00C5635D" w:rsidRPr="00211211">
        <w:rPr>
          <w:rFonts w:ascii="Arial" w:hAnsi="Arial" w:cs="Arial"/>
        </w:rPr>
        <w:t xml:space="preserve"> fully pleaded,</w:t>
      </w:r>
      <w:r w:rsidR="00392FE0" w:rsidRPr="00211211">
        <w:rPr>
          <w:rFonts w:ascii="Arial" w:hAnsi="Arial" w:cs="Arial"/>
        </w:rPr>
        <w:t xml:space="preserve"> ripe for hearing</w:t>
      </w:r>
      <w:r w:rsidR="00C5635D" w:rsidRPr="00211211">
        <w:rPr>
          <w:rFonts w:ascii="Arial" w:hAnsi="Arial" w:cs="Arial"/>
        </w:rPr>
        <w:t xml:space="preserve"> and all the issues were ventilated during oral argument</w:t>
      </w:r>
      <w:r w:rsidR="00392FE0" w:rsidRPr="00211211">
        <w:rPr>
          <w:rFonts w:ascii="Arial" w:hAnsi="Arial" w:cs="Arial"/>
        </w:rPr>
        <w:t xml:space="preserve">. </w:t>
      </w:r>
      <w:r w:rsidR="00FC222A" w:rsidRPr="00211211">
        <w:rPr>
          <w:rFonts w:ascii="Arial" w:hAnsi="Arial" w:cs="Arial"/>
        </w:rPr>
        <w:t xml:space="preserve"> </w:t>
      </w:r>
    </w:p>
    <w:p w14:paraId="272C9717" w14:textId="77777777" w:rsidR="00FC222A" w:rsidRPr="008648CD" w:rsidRDefault="00FC222A" w:rsidP="008648CD">
      <w:pPr>
        <w:spacing w:line="360" w:lineRule="auto"/>
        <w:jc w:val="both"/>
        <w:rPr>
          <w:rFonts w:ascii="Arial" w:hAnsi="Arial" w:cs="Arial"/>
        </w:rPr>
      </w:pPr>
    </w:p>
    <w:p w14:paraId="74AD138F" w14:textId="77777777" w:rsidR="00FC222A" w:rsidRDefault="00FC222A" w:rsidP="008648CD">
      <w:pPr>
        <w:spacing w:line="360" w:lineRule="auto"/>
        <w:jc w:val="both"/>
        <w:rPr>
          <w:rFonts w:ascii="Arial" w:hAnsi="Arial" w:cs="Arial"/>
        </w:rPr>
      </w:pPr>
    </w:p>
    <w:p w14:paraId="004AF9FE" w14:textId="77777777" w:rsidR="00396DC8" w:rsidRDefault="00396DC8" w:rsidP="008648CD">
      <w:pPr>
        <w:spacing w:line="360" w:lineRule="auto"/>
        <w:jc w:val="both"/>
        <w:rPr>
          <w:rFonts w:ascii="Arial" w:hAnsi="Arial" w:cs="Arial"/>
        </w:rPr>
      </w:pPr>
    </w:p>
    <w:p w14:paraId="61E2C80D" w14:textId="77777777" w:rsidR="00396DC8" w:rsidRPr="008648CD" w:rsidRDefault="00396DC8" w:rsidP="008648CD">
      <w:pPr>
        <w:spacing w:line="360" w:lineRule="auto"/>
        <w:jc w:val="both"/>
        <w:rPr>
          <w:rFonts w:ascii="Arial" w:hAnsi="Arial" w:cs="Arial"/>
        </w:rPr>
      </w:pPr>
    </w:p>
    <w:p w14:paraId="2ED45CB8" w14:textId="77777777" w:rsidR="00FC222A" w:rsidRPr="00C5635D" w:rsidRDefault="00FC222A" w:rsidP="00C5635D">
      <w:pPr>
        <w:spacing w:line="360" w:lineRule="auto"/>
        <w:jc w:val="both"/>
        <w:rPr>
          <w:rFonts w:ascii="Arial" w:hAnsi="Arial" w:cs="Arial"/>
          <w:b/>
          <w:bCs/>
          <w:i/>
          <w:iCs/>
        </w:rPr>
      </w:pPr>
      <w:r w:rsidRPr="00C5635D">
        <w:rPr>
          <w:rFonts w:ascii="Arial" w:hAnsi="Arial" w:cs="Arial"/>
          <w:b/>
          <w:bCs/>
          <w:i/>
          <w:iCs/>
        </w:rPr>
        <w:t>Doubly jeopardy</w:t>
      </w:r>
    </w:p>
    <w:p w14:paraId="2A49FA74" w14:textId="69A8EE9E" w:rsidR="00FC222A" w:rsidRPr="00211211" w:rsidRDefault="00211211" w:rsidP="00211211">
      <w:pPr>
        <w:spacing w:line="360" w:lineRule="auto"/>
        <w:ind w:left="720" w:hanging="360"/>
        <w:jc w:val="both"/>
        <w:rPr>
          <w:rFonts w:ascii="Arial" w:eastAsia="Arial" w:hAnsi="Arial" w:cs="Arial"/>
          <w:color w:val="000000"/>
          <w:lang w:eastAsia="en-ZA"/>
        </w:rPr>
      </w:pPr>
      <w:r w:rsidRPr="008648CD">
        <w:rPr>
          <w:rFonts w:ascii="Arial" w:eastAsia="Arial" w:hAnsi="Arial" w:cs="Arial"/>
          <w:color w:val="000000"/>
          <w:lang w:eastAsia="en-ZA"/>
        </w:rPr>
        <w:t>[38]</w:t>
      </w:r>
      <w:r w:rsidRPr="008648CD">
        <w:rPr>
          <w:rFonts w:ascii="Arial" w:eastAsia="Arial" w:hAnsi="Arial" w:cs="Arial"/>
          <w:color w:val="000000"/>
          <w:lang w:eastAsia="en-ZA"/>
        </w:rPr>
        <w:tab/>
      </w:r>
      <w:r w:rsidR="00FC222A" w:rsidRPr="00211211">
        <w:rPr>
          <w:rFonts w:ascii="Arial" w:eastAsia="Arial" w:hAnsi="Arial" w:cs="Arial"/>
          <w:color w:val="000000"/>
          <w:lang w:eastAsia="en-ZA"/>
        </w:rPr>
        <w:t xml:space="preserve">Netshidaulu contends that if it pursues the alleged cause of action against him, the SIU will subject him to double jeopardy because he was subjected to a disciplinary enquiry based on the same allegations and was acquitted of the relevant charges. The charge was formulated as follows: </w:t>
      </w:r>
    </w:p>
    <w:p w14:paraId="0B6B0131" w14:textId="77777777" w:rsidR="00C5635D" w:rsidRDefault="00C5635D" w:rsidP="00C5635D">
      <w:pPr>
        <w:pStyle w:val="ListParagraph"/>
        <w:spacing w:line="360" w:lineRule="auto"/>
        <w:jc w:val="both"/>
        <w:rPr>
          <w:rFonts w:ascii="Arial" w:eastAsia="Arial" w:hAnsi="Arial" w:cs="Arial"/>
          <w:b/>
          <w:i/>
          <w:color w:val="000000"/>
          <w:u w:val="single"/>
          <w:lang w:eastAsia="en-ZA"/>
        </w:rPr>
      </w:pPr>
    </w:p>
    <w:p w14:paraId="731A01D7" w14:textId="21A9D55C" w:rsidR="00FC222A" w:rsidRPr="005135B0" w:rsidRDefault="00FC222A" w:rsidP="00C5635D">
      <w:pPr>
        <w:pStyle w:val="ListParagraph"/>
        <w:spacing w:line="360" w:lineRule="auto"/>
        <w:jc w:val="both"/>
        <w:rPr>
          <w:rFonts w:ascii="Arial" w:eastAsia="Arial" w:hAnsi="Arial" w:cs="Arial"/>
          <w:b/>
          <w:iCs/>
          <w:color w:val="000000"/>
          <w:sz w:val="22"/>
          <w:szCs w:val="22"/>
          <w:u w:val="single"/>
          <w:lang w:eastAsia="en-ZA"/>
        </w:rPr>
      </w:pPr>
      <w:r w:rsidRPr="005135B0">
        <w:rPr>
          <w:rFonts w:ascii="Arial" w:eastAsia="Arial" w:hAnsi="Arial" w:cs="Arial"/>
          <w:b/>
          <w:iCs/>
          <w:color w:val="000000"/>
          <w:sz w:val="22"/>
          <w:szCs w:val="22"/>
          <w:u w:val="single"/>
          <w:lang w:eastAsia="en-ZA"/>
        </w:rPr>
        <w:t xml:space="preserve">“CHARGE 13 </w:t>
      </w:r>
    </w:p>
    <w:p w14:paraId="47C57CCE" w14:textId="77777777" w:rsidR="00FC222A" w:rsidRPr="005135B0" w:rsidRDefault="00FC222A" w:rsidP="00C5635D">
      <w:pPr>
        <w:pStyle w:val="ListParagraph"/>
        <w:spacing w:line="360" w:lineRule="auto"/>
        <w:jc w:val="both"/>
        <w:rPr>
          <w:rFonts w:ascii="Arial" w:eastAsia="Arial" w:hAnsi="Arial" w:cs="Arial"/>
          <w:b/>
          <w:iCs/>
          <w:color w:val="000000"/>
          <w:sz w:val="22"/>
          <w:szCs w:val="22"/>
          <w:u w:val="single"/>
          <w:lang w:eastAsia="en-ZA"/>
        </w:rPr>
      </w:pPr>
      <w:r w:rsidRPr="005135B0">
        <w:rPr>
          <w:rFonts w:ascii="Arial" w:eastAsia="Arial" w:hAnsi="Arial" w:cs="Arial"/>
          <w:b/>
          <w:iCs/>
          <w:color w:val="000000"/>
          <w:sz w:val="22"/>
          <w:szCs w:val="22"/>
          <w:u w:val="single"/>
          <w:lang w:eastAsia="en-ZA"/>
        </w:rPr>
        <w:t xml:space="preserve">GROSS DISHONESTY </w:t>
      </w:r>
    </w:p>
    <w:p w14:paraId="7E51D3A8" w14:textId="2B33ACAB" w:rsidR="00FC222A" w:rsidRPr="005135B0" w:rsidRDefault="00FC222A" w:rsidP="00C5635D">
      <w:pPr>
        <w:pStyle w:val="ListParagraph"/>
        <w:spacing w:line="360" w:lineRule="auto"/>
        <w:jc w:val="both"/>
        <w:rPr>
          <w:rFonts w:ascii="Arial" w:eastAsia="Arial" w:hAnsi="Arial" w:cs="Arial"/>
          <w:iCs/>
          <w:color w:val="000000"/>
          <w:sz w:val="22"/>
          <w:szCs w:val="22"/>
          <w:lang w:eastAsia="en-ZA"/>
        </w:rPr>
      </w:pPr>
      <w:r w:rsidRPr="005135B0">
        <w:rPr>
          <w:rFonts w:ascii="Arial" w:eastAsia="Arial" w:hAnsi="Arial" w:cs="Arial"/>
          <w:iCs/>
          <w:color w:val="000000"/>
          <w:sz w:val="22"/>
          <w:szCs w:val="22"/>
          <w:lang w:eastAsia="en-ZA"/>
        </w:rPr>
        <w:t xml:space="preserve">On or about the </w:t>
      </w:r>
      <w:r w:rsidR="006856B9" w:rsidRPr="005135B0">
        <w:rPr>
          <w:rFonts w:ascii="Arial" w:eastAsia="Arial" w:hAnsi="Arial" w:cs="Arial"/>
          <w:iCs/>
          <w:color w:val="000000"/>
          <w:sz w:val="22"/>
          <w:szCs w:val="22"/>
          <w:lang w:eastAsia="en-ZA"/>
        </w:rPr>
        <w:t>09th of</w:t>
      </w:r>
      <w:r w:rsidRPr="005135B0">
        <w:rPr>
          <w:rFonts w:ascii="Arial" w:eastAsia="Arial" w:hAnsi="Arial" w:cs="Arial"/>
          <w:iCs/>
          <w:color w:val="000000"/>
          <w:sz w:val="22"/>
          <w:szCs w:val="22"/>
          <w:lang w:eastAsia="en-ZA"/>
        </w:rPr>
        <w:t xml:space="preserve"> November 2015, in your capacity as the General Manager: Operations and Maintenance, you supported a memorandum requesting deviation from normal tender processes for the approval of the appointment of an Engineer Services Consultant for the raising of the Tzaneen Dam wall. At the time of supporting the memorandum, you were aware that the reasons which your </w:t>
      </w:r>
      <w:r w:rsidR="006856B9" w:rsidRPr="005135B0">
        <w:rPr>
          <w:rFonts w:ascii="Arial" w:eastAsia="Arial" w:hAnsi="Arial" w:cs="Arial"/>
          <w:iCs/>
          <w:color w:val="000000"/>
          <w:sz w:val="22"/>
          <w:szCs w:val="22"/>
          <w:lang w:eastAsia="en-ZA"/>
        </w:rPr>
        <w:t>department</w:t>
      </w:r>
      <w:r w:rsidRPr="005135B0">
        <w:rPr>
          <w:rFonts w:ascii="Arial" w:eastAsia="Arial" w:hAnsi="Arial" w:cs="Arial"/>
          <w:iCs/>
          <w:color w:val="000000"/>
          <w:sz w:val="22"/>
          <w:szCs w:val="22"/>
          <w:lang w:eastAsia="en-ZA"/>
        </w:rPr>
        <w:t xml:space="preserve"> provided to justify the deviation in terms of Regulation 16A6.4 of the National Treasury Regulations issued in terms of the Public Finance Management Act (PFMA), 1999 were not valid. By supporting the request for deviation, you created an impression that it was impractical to invite competitive bidding which was not the case. Your conduct shows that Page 19 of 103 you cannot be trusted, amounts to gross </w:t>
      </w:r>
      <w:r w:rsidR="006856B9" w:rsidRPr="005135B0">
        <w:rPr>
          <w:rFonts w:ascii="Arial" w:eastAsia="Arial" w:hAnsi="Arial" w:cs="Arial"/>
          <w:iCs/>
          <w:color w:val="000000"/>
          <w:sz w:val="22"/>
          <w:szCs w:val="22"/>
          <w:lang w:eastAsia="en-ZA"/>
        </w:rPr>
        <w:t>dishonesty,</w:t>
      </w:r>
      <w:r w:rsidRPr="005135B0">
        <w:rPr>
          <w:rFonts w:ascii="Arial" w:eastAsia="Arial" w:hAnsi="Arial" w:cs="Arial"/>
          <w:iCs/>
          <w:color w:val="000000"/>
          <w:sz w:val="22"/>
          <w:szCs w:val="22"/>
          <w:lang w:eastAsia="en-ZA"/>
        </w:rPr>
        <w:t xml:space="preserve"> and constitutes misconduct. </w:t>
      </w:r>
    </w:p>
    <w:p w14:paraId="2431D8A8" w14:textId="77777777" w:rsidR="00FC222A" w:rsidRPr="005135B0" w:rsidRDefault="00FC222A" w:rsidP="008648CD">
      <w:pPr>
        <w:spacing w:line="360" w:lineRule="auto"/>
        <w:jc w:val="both"/>
        <w:rPr>
          <w:rFonts w:ascii="Arial" w:eastAsia="Arial" w:hAnsi="Arial" w:cs="Arial"/>
          <w:iCs/>
          <w:color w:val="000000"/>
          <w:sz w:val="22"/>
          <w:szCs w:val="22"/>
          <w:lang w:eastAsia="en-ZA"/>
        </w:rPr>
      </w:pPr>
    </w:p>
    <w:p w14:paraId="27516BFD" w14:textId="77777777" w:rsidR="00FC222A" w:rsidRPr="005135B0" w:rsidRDefault="00FC222A" w:rsidP="00C5635D">
      <w:pPr>
        <w:pStyle w:val="ListParagraph"/>
        <w:spacing w:line="360" w:lineRule="auto"/>
        <w:jc w:val="both"/>
        <w:rPr>
          <w:rFonts w:ascii="Arial" w:eastAsia="Arial" w:hAnsi="Arial" w:cs="Arial"/>
          <w:b/>
          <w:iCs/>
          <w:color w:val="000000"/>
          <w:sz w:val="22"/>
          <w:szCs w:val="22"/>
          <w:u w:val="single"/>
          <w:lang w:eastAsia="en-ZA"/>
        </w:rPr>
      </w:pPr>
      <w:r w:rsidRPr="005135B0">
        <w:rPr>
          <w:rFonts w:ascii="Arial" w:eastAsia="Arial" w:hAnsi="Arial" w:cs="Arial"/>
          <w:b/>
          <w:iCs/>
          <w:color w:val="000000"/>
          <w:sz w:val="22"/>
          <w:szCs w:val="22"/>
          <w:u w:val="single"/>
          <w:lang w:eastAsia="en-ZA"/>
        </w:rPr>
        <w:t xml:space="preserve">Alternatively </w:t>
      </w:r>
    </w:p>
    <w:p w14:paraId="79A8A345" w14:textId="77777777" w:rsidR="00FC222A" w:rsidRPr="005135B0" w:rsidRDefault="00FC222A" w:rsidP="00C5635D">
      <w:pPr>
        <w:pStyle w:val="ListParagraph"/>
        <w:spacing w:line="360" w:lineRule="auto"/>
        <w:jc w:val="both"/>
        <w:rPr>
          <w:rFonts w:ascii="Arial" w:eastAsia="Arial" w:hAnsi="Arial" w:cs="Arial"/>
          <w:b/>
          <w:iCs/>
          <w:color w:val="000000"/>
          <w:sz w:val="22"/>
          <w:szCs w:val="22"/>
          <w:u w:val="single"/>
          <w:lang w:eastAsia="en-ZA"/>
        </w:rPr>
      </w:pPr>
      <w:r w:rsidRPr="005135B0">
        <w:rPr>
          <w:rFonts w:ascii="Arial" w:eastAsia="Arial" w:hAnsi="Arial" w:cs="Arial"/>
          <w:b/>
          <w:iCs/>
          <w:color w:val="000000"/>
          <w:sz w:val="22"/>
          <w:szCs w:val="22"/>
          <w:u w:val="single"/>
          <w:lang w:eastAsia="en-ZA"/>
        </w:rPr>
        <w:t xml:space="preserve">GROSS NEGLIGENCE </w:t>
      </w:r>
    </w:p>
    <w:p w14:paraId="68E4B54E" w14:textId="77777777" w:rsidR="00C5635D" w:rsidRPr="005135B0" w:rsidRDefault="00FC222A" w:rsidP="00C5635D">
      <w:pPr>
        <w:pStyle w:val="ListParagraph"/>
        <w:spacing w:line="360" w:lineRule="auto"/>
        <w:jc w:val="both"/>
        <w:rPr>
          <w:rFonts w:ascii="Arial" w:eastAsia="Arial" w:hAnsi="Arial" w:cs="Arial"/>
          <w:iCs/>
          <w:color w:val="000000"/>
          <w:lang w:eastAsia="en-ZA"/>
        </w:rPr>
      </w:pPr>
      <w:r w:rsidRPr="005135B0">
        <w:rPr>
          <w:rFonts w:ascii="Arial" w:eastAsia="Arial" w:hAnsi="Arial" w:cs="Arial"/>
          <w:iCs/>
          <w:color w:val="000000"/>
          <w:sz w:val="22"/>
          <w:szCs w:val="22"/>
          <w:lang w:eastAsia="en-ZA"/>
        </w:rPr>
        <w:t xml:space="preserve">On or about the </w:t>
      </w:r>
      <w:r w:rsidR="006856B9" w:rsidRPr="005135B0">
        <w:rPr>
          <w:rFonts w:ascii="Arial" w:eastAsia="Arial" w:hAnsi="Arial" w:cs="Arial"/>
          <w:iCs/>
          <w:color w:val="000000"/>
          <w:sz w:val="22"/>
          <w:szCs w:val="22"/>
          <w:lang w:eastAsia="en-ZA"/>
        </w:rPr>
        <w:t>09th of</w:t>
      </w:r>
      <w:r w:rsidRPr="005135B0">
        <w:rPr>
          <w:rFonts w:ascii="Arial" w:eastAsia="Arial" w:hAnsi="Arial" w:cs="Arial"/>
          <w:iCs/>
          <w:color w:val="000000"/>
          <w:sz w:val="22"/>
          <w:szCs w:val="22"/>
          <w:lang w:eastAsia="en-ZA"/>
        </w:rPr>
        <w:t xml:space="preserve"> November 2015, in your capacity as the General Manager: Operations and Maintenance, you supported a memorandum requesting deviation from normal tender processes for the approval of the appointment of an Engineer Services Consultant for the raising of the Tzaneen Dam wall. At the time of supporting the memorandum, you were aware or ought reasonably to have been aware that the reasons which your Department provided to justify the deviation in terms of Regulation 16A6.4 of the National Treasury Regulations issued in terms of the Public Finance Management Act (PFMA), 1999 were not valid thereby creating an impression that it was impractical to invite competitive bidding which was not the case. You ought not to have supported the request for deviation under the circumstances but you proceeded to do so. Your conduct amounts to gross negligence and constitutes misconduct. I annex a relevant page in which the charge is contained  as annexure </w:t>
      </w:r>
      <w:r w:rsidRPr="005135B0">
        <w:rPr>
          <w:rFonts w:ascii="Arial" w:eastAsia="Arial" w:hAnsi="Arial" w:cs="Arial"/>
          <w:b/>
          <w:bCs/>
          <w:iCs/>
          <w:color w:val="000000"/>
          <w:sz w:val="22"/>
          <w:szCs w:val="22"/>
          <w:lang w:eastAsia="en-ZA"/>
        </w:rPr>
        <w:t>“AN 2””</w:t>
      </w:r>
      <w:r w:rsidR="00C5635D" w:rsidRPr="005135B0">
        <w:rPr>
          <w:rFonts w:ascii="Arial" w:eastAsia="Arial" w:hAnsi="Arial" w:cs="Arial"/>
          <w:b/>
          <w:bCs/>
          <w:iCs/>
          <w:color w:val="000000"/>
          <w:sz w:val="22"/>
          <w:szCs w:val="22"/>
          <w:lang w:eastAsia="en-ZA"/>
        </w:rPr>
        <w:t xml:space="preserve"> </w:t>
      </w:r>
      <w:r w:rsidR="00C5635D" w:rsidRPr="005135B0">
        <w:rPr>
          <w:rFonts w:ascii="Arial" w:eastAsia="Arial" w:hAnsi="Arial" w:cs="Arial"/>
          <w:iCs/>
          <w:color w:val="000000"/>
          <w:lang w:eastAsia="en-ZA"/>
        </w:rPr>
        <w:t>(Sic)</w:t>
      </w:r>
    </w:p>
    <w:p w14:paraId="4CC61D86" w14:textId="77777777" w:rsidR="00C5635D" w:rsidRPr="008648CD" w:rsidRDefault="00C5635D" w:rsidP="00C5635D">
      <w:pPr>
        <w:pStyle w:val="ListParagraph"/>
        <w:spacing w:line="360" w:lineRule="auto"/>
        <w:jc w:val="both"/>
        <w:rPr>
          <w:rFonts w:ascii="Arial" w:eastAsia="Arial" w:hAnsi="Arial" w:cs="Arial"/>
          <w:b/>
          <w:bCs/>
          <w:iCs/>
          <w:color w:val="000000"/>
          <w:lang w:eastAsia="en-ZA"/>
        </w:rPr>
      </w:pPr>
    </w:p>
    <w:p w14:paraId="0C90FAF0" w14:textId="7DED93AF" w:rsidR="00FC222A" w:rsidRPr="00211211" w:rsidRDefault="00211211" w:rsidP="00211211">
      <w:pPr>
        <w:spacing w:line="360" w:lineRule="auto"/>
        <w:ind w:left="720" w:hanging="360"/>
        <w:jc w:val="both"/>
        <w:rPr>
          <w:rFonts w:ascii="Arial" w:eastAsia="Arial" w:hAnsi="Arial" w:cs="Arial"/>
          <w:color w:val="000000"/>
          <w:lang w:eastAsia="en-ZA"/>
        </w:rPr>
      </w:pPr>
      <w:r>
        <w:rPr>
          <w:rFonts w:ascii="Arial" w:eastAsia="Arial" w:hAnsi="Arial" w:cs="Arial"/>
          <w:color w:val="000000"/>
          <w:lang w:eastAsia="en-ZA"/>
        </w:rPr>
        <w:t>[39]</w:t>
      </w:r>
      <w:r>
        <w:rPr>
          <w:rFonts w:ascii="Arial" w:eastAsia="Arial" w:hAnsi="Arial" w:cs="Arial"/>
          <w:color w:val="000000"/>
          <w:lang w:eastAsia="en-ZA"/>
        </w:rPr>
        <w:tab/>
      </w:r>
      <w:r w:rsidR="00FC222A" w:rsidRPr="00211211">
        <w:rPr>
          <w:rFonts w:ascii="Arial" w:eastAsia="Arial" w:hAnsi="Arial" w:cs="Arial"/>
          <w:color w:val="000000"/>
          <w:lang w:eastAsia="en-ZA"/>
        </w:rPr>
        <w:t>The Chairperson’s findings on the specific charge were as follows:</w:t>
      </w:r>
    </w:p>
    <w:p w14:paraId="0C92EAC0" w14:textId="77777777" w:rsidR="00C5635D" w:rsidRPr="008648CD" w:rsidRDefault="00C5635D" w:rsidP="00C5635D">
      <w:pPr>
        <w:pStyle w:val="ListParagraph"/>
        <w:spacing w:line="360" w:lineRule="auto"/>
        <w:jc w:val="both"/>
        <w:rPr>
          <w:rFonts w:ascii="Arial" w:eastAsia="Arial" w:hAnsi="Arial" w:cs="Arial"/>
          <w:color w:val="000000"/>
          <w:lang w:eastAsia="en-ZA"/>
        </w:rPr>
      </w:pPr>
    </w:p>
    <w:p w14:paraId="30F77AA4" w14:textId="77777777" w:rsidR="00FC222A" w:rsidRPr="00C5635D" w:rsidRDefault="00FC222A" w:rsidP="00C5635D">
      <w:pPr>
        <w:pStyle w:val="ListParagraph"/>
        <w:spacing w:line="360" w:lineRule="auto"/>
        <w:jc w:val="both"/>
        <w:rPr>
          <w:rFonts w:ascii="Arial" w:eastAsia="Arial" w:hAnsi="Arial" w:cs="Arial"/>
          <w:b/>
          <w:bCs/>
          <w:color w:val="000000"/>
          <w:sz w:val="22"/>
          <w:szCs w:val="22"/>
          <w:u w:val="single"/>
          <w:lang w:eastAsia="en-ZA"/>
        </w:rPr>
      </w:pPr>
      <w:r w:rsidRPr="00C5635D">
        <w:rPr>
          <w:rFonts w:ascii="Arial" w:eastAsia="Arial" w:hAnsi="Arial" w:cs="Arial"/>
          <w:b/>
          <w:bCs/>
          <w:color w:val="000000"/>
          <w:sz w:val="22"/>
          <w:szCs w:val="22"/>
          <w:u w:val="single"/>
          <w:lang w:eastAsia="en-ZA"/>
        </w:rPr>
        <w:t>“Charge 13</w:t>
      </w:r>
    </w:p>
    <w:p w14:paraId="2128BAEC" w14:textId="153AD7F5" w:rsidR="00FC222A" w:rsidRPr="00C5635D" w:rsidRDefault="005135B0" w:rsidP="00C5635D">
      <w:pPr>
        <w:pStyle w:val="ListParagraph"/>
        <w:spacing w:line="360" w:lineRule="auto"/>
        <w:jc w:val="both"/>
        <w:rPr>
          <w:rFonts w:ascii="Arial" w:eastAsia="Arial" w:hAnsi="Arial" w:cs="Arial"/>
          <w:color w:val="000000"/>
          <w:sz w:val="22"/>
          <w:szCs w:val="22"/>
          <w:lang w:eastAsia="en-ZA"/>
        </w:rPr>
      </w:pPr>
      <w:r w:rsidRPr="00C5635D">
        <w:rPr>
          <w:rFonts w:ascii="Arial" w:eastAsia="Arial" w:hAnsi="Arial" w:cs="Arial"/>
          <w:color w:val="000000"/>
          <w:sz w:val="22"/>
          <w:szCs w:val="22"/>
          <w:lang w:eastAsia="en-ZA"/>
        </w:rPr>
        <w:t xml:space="preserve">“The employee was charged for supporting a memorandum requesting deviation from normal tender process for the approval of the appointment of engineer services consultant for the raising of the </w:t>
      </w:r>
      <w:r>
        <w:rPr>
          <w:rFonts w:ascii="Arial" w:eastAsia="Arial" w:hAnsi="Arial" w:cs="Arial"/>
          <w:color w:val="000000"/>
          <w:sz w:val="22"/>
          <w:szCs w:val="22"/>
          <w:lang w:eastAsia="en-ZA"/>
        </w:rPr>
        <w:t>T</w:t>
      </w:r>
      <w:r w:rsidRPr="00C5635D">
        <w:rPr>
          <w:rFonts w:ascii="Arial" w:eastAsia="Arial" w:hAnsi="Arial" w:cs="Arial"/>
          <w:color w:val="000000"/>
          <w:sz w:val="22"/>
          <w:szCs w:val="22"/>
          <w:lang w:eastAsia="en-ZA"/>
        </w:rPr>
        <w:t xml:space="preserve">zaneen </w:t>
      </w:r>
      <w:r>
        <w:rPr>
          <w:rFonts w:ascii="Arial" w:eastAsia="Arial" w:hAnsi="Arial" w:cs="Arial"/>
          <w:color w:val="000000"/>
          <w:sz w:val="22"/>
          <w:szCs w:val="22"/>
          <w:lang w:eastAsia="en-ZA"/>
        </w:rPr>
        <w:t>D</w:t>
      </w:r>
      <w:r w:rsidRPr="00C5635D">
        <w:rPr>
          <w:rFonts w:ascii="Arial" w:eastAsia="Arial" w:hAnsi="Arial" w:cs="Arial"/>
          <w:color w:val="000000"/>
          <w:sz w:val="22"/>
          <w:szCs w:val="22"/>
          <w:lang w:eastAsia="en-ZA"/>
        </w:rPr>
        <w:t>am.</w:t>
      </w:r>
    </w:p>
    <w:p w14:paraId="3297C54E" w14:textId="7C737EF6" w:rsidR="00FC222A" w:rsidRPr="00C5635D" w:rsidRDefault="005135B0" w:rsidP="00C5635D">
      <w:pPr>
        <w:pStyle w:val="ListParagraph"/>
        <w:spacing w:line="360" w:lineRule="auto"/>
        <w:jc w:val="both"/>
        <w:rPr>
          <w:rFonts w:ascii="Arial" w:eastAsia="Arial" w:hAnsi="Arial" w:cs="Arial"/>
          <w:color w:val="000000"/>
          <w:sz w:val="22"/>
          <w:szCs w:val="22"/>
          <w:lang w:eastAsia="en-ZA"/>
        </w:rPr>
      </w:pPr>
      <w:r w:rsidRPr="00C5635D">
        <w:rPr>
          <w:rFonts w:ascii="Arial" w:eastAsia="Arial" w:hAnsi="Arial" w:cs="Arial"/>
          <w:color w:val="000000"/>
          <w:sz w:val="22"/>
          <w:szCs w:val="22"/>
          <w:lang w:eastAsia="en-ZA"/>
        </w:rPr>
        <w:t xml:space="preserve">Ms </w:t>
      </w:r>
      <w:r>
        <w:rPr>
          <w:rFonts w:ascii="Arial" w:eastAsia="Arial" w:hAnsi="Arial" w:cs="Arial"/>
          <w:color w:val="000000"/>
          <w:sz w:val="22"/>
          <w:szCs w:val="22"/>
          <w:lang w:eastAsia="en-ZA"/>
        </w:rPr>
        <w:t>M</w:t>
      </w:r>
      <w:r w:rsidRPr="00C5635D">
        <w:rPr>
          <w:rFonts w:ascii="Arial" w:eastAsia="Arial" w:hAnsi="Arial" w:cs="Arial"/>
          <w:color w:val="000000"/>
          <w:sz w:val="22"/>
          <w:szCs w:val="22"/>
          <w:lang w:eastAsia="en-ZA"/>
        </w:rPr>
        <w:t>khari, testified that the employee, invoking regulation 16</w:t>
      </w:r>
      <w:r>
        <w:rPr>
          <w:rFonts w:ascii="Arial" w:eastAsia="Arial" w:hAnsi="Arial" w:cs="Arial"/>
          <w:color w:val="000000"/>
          <w:sz w:val="22"/>
          <w:szCs w:val="22"/>
          <w:lang w:eastAsia="en-ZA"/>
        </w:rPr>
        <w:t>A</w:t>
      </w:r>
      <w:r w:rsidRPr="00C5635D">
        <w:rPr>
          <w:rFonts w:ascii="Arial" w:eastAsia="Arial" w:hAnsi="Arial" w:cs="Arial"/>
          <w:color w:val="000000"/>
          <w:sz w:val="22"/>
          <w:szCs w:val="22"/>
          <w:lang w:eastAsia="en-ZA"/>
        </w:rPr>
        <w:t xml:space="preserve">6.4 of </w:t>
      </w:r>
      <w:r>
        <w:rPr>
          <w:rFonts w:ascii="Arial" w:eastAsia="Arial" w:hAnsi="Arial" w:cs="Arial"/>
          <w:color w:val="000000"/>
          <w:sz w:val="22"/>
          <w:szCs w:val="22"/>
          <w:lang w:eastAsia="en-ZA"/>
        </w:rPr>
        <w:t>N</w:t>
      </w:r>
      <w:r w:rsidRPr="00C5635D">
        <w:rPr>
          <w:rFonts w:ascii="Arial" w:eastAsia="Arial" w:hAnsi="Arial" w:cs="Arial"/>
          <w:color w:val="000000"/>
          <w:sz w:val="22"/>
          <w:szCs w:val="22"/>
          <w:lang w:eastAsia="en-ZA"/>
        </w:rPr>
        <w:t xml:space="preserve">ational </w:t>
      </w:r>
      <w:r>
        <w:rPr>
          <w:rFonts w:ascii="Arial" w:eastAsia="Arial" w:hAnsi="Arial" w:cs="Arial"/>
          <w:color w:val="000000"/>
          <w:sz w:val="22"/>
          <w:szCs w:val="22"/>
          <w:lang w:eastAsia="en-ZA"/>
        </w:rPr>
        <w:t>T</w:t>
      </w:r>
      <w:r w:rsidRPr="00C5635D">
        <w:rPr>
          <w:rFonts w:ascii="Arial" w:eastAsia="Arial" w:hAnsi="Arial" w:cs="Arial"/>
          <w:color w:val="000000"/>
          <w:sz w:val="22"/>
          <w:szCs w:val="22"/>
          <w:lang w:eastAsia="en-ZA"/>
        </w:rPr>
        <w:t xml:space="preserve">reasury </w:t>
      </w:r>
      <w:r>
        <w:rPr>
          <w:rFonts w:ascii="Arial" w:eastAsia="Arial" w:hAnsi="Arial" w:cs="Arial"/>
          <w:color w:val="000000"/>
          <w:sz w:val="22"/>
          <w:szCs w:val="22"/>
          <w:lang w:eastAsia="en-ZA"/>
        </w:rPr>
        <w:t>R</w:t>
      </w:r>
      <w:r w:rsidRPr="00C5635D">
        <w:rPr>
          <w:rFonts w:ascii="Arial" w:eastAsia="Arial" w:hAnsi="Arial" w:cs="Arial"/>
          <w:color w:val="000000"/>
          <w:sz w:val="22"/>
          <w:szCs w:val="22"/>
          <w:lang w:eastAsia="en-ZA"/>
        </w:rPr>
        <w:t xml:space="preserve">egulations, requested the approval to utilise </w:t>
      </w:r>
      <w:r>
        <w:rPr>
          <w:rFonts w:ascii="Arial" w:eastAsia="Arial" w:hAnsi="Arial" w:cs="Arial"/>
          <w:color w:val="000000"/>
          <w:sz w:val="22"/>
          <w:szCs w:val="22"/>
          <w:lang w:eastAsia="en-ZA"/>
        </w:rPr>
        <w:t>the D</w:t>
      </w:r>
      <w:r w:rsidRPr="00C5635D">
        <w:rPr>
          <w:rFonts w:ascii="Arial" w:eastAsia="Arial" w:hAnsi="Arial" w:cs="Arial"/>
          <w:color w:val="000000"/>
          <w:sz w:val="22"/>
          <w:szCs w:val="22"/>
          <w:lang w:eastAsia="en-ZA"/>
        </w:rPr>
        <w:t xml:space="preserve">epartment of </w:t>
      </w:r>
      <w:r>
        <w:rPr>
          <w:rFonts w:ascii="Arial" w:eastAsia="Arial" w:hAnsi="Arial" w:cs="Arial"/>
          <w:color w:val="000000"/>
          <w:sz w:val="22"/>
          <w:szCs w:val="22"/>
          <w:lang w:eastAsia="en-ZA"/>
        </w:rPr>
        <w:t>W</w:t>
      </w:r>
      <w:r w:rsidRPr="00C5635D">
        <w:rPr>
          <w:rFonts w:ascii="Arial" w:eastAsia="Arial" w:hAnsi="Arial" w:cs="Arial"/>
          <w:color w:val="000000"/>
          <w:sz w:val="22"/>
          <w:szCs w:val="22"/>
          <w:lang w:eastAsia="en-ZA"/>
        </w:rPr>
        <w:t xml:space="preserve">ater </w:t>
      </w:r>
      <w:r>
        <w:rPr>
          <w:rFonts w:ascii="Arial" w:eastAsia="Arial" w:hAnsi="Arial" w:cs="Arial"/>
          <w:color w:val="000000"/>
          <w:sz w:val="22"/>
          <w:szCs w:val="22"/>
          <w:lang w:eastAsia="en-ZA"/>
        </w:rPr>
        <w:t>A</w:t>
      </w:r>
      <w:r w:rsidRPr="00C5635D">
        <w:rPr>
          <w:rFonts w:ascii="Arial" w:eastAsia="Arial" w:hAnsi="Arial" w:cs="Arial"/>
          <w:color w:val="000000"/>
          <w:sz w:val="22"/>
          <w:szCs w:val="22"/>
          <w:lang w:eastAsia="en-ZA"/>
        </w:rPr>
        <w:t xml:space="preserve">ffairs’ appointed panel of consultants for project planning for the </w:t>
      </w:r>
      <w:r w:rsidR="000829D3">
        <w:rPr>
          <w:rFonts w:ascii="Arial" w:eastAsia="Arial" w:hAnsi="Arial" w:cs="Arial"/>
          <w:color w:val="000000"/>
          <w:sz w:val="22"/>
          <w:szCs w:val="22"/>
          <w:lang w:eastAsia="en-ZA"/>
        </w:rPr>
        <w:t>T</w:t>
      </w:r>
      <w:r w:rsidRPr="00C5635D">
        <w:rPr>
          <w:rFonts w:ascii="Arial" w:eastAsia="Arial" w:hAnsi="Arial" w:cs="Arial"/>
          <w:color w:val="000000"/>
          <w:sz w:val="22"/>
          <w:szCs w:val="22"/>
          <w:lang w:eastAsia="en-ZA"/>
        </w:rPr>
        <w:t xml:space="preserve">zaneen </w:t>
      </w:r>
      <w:r w:rsidR="000829D3">
        <w:rPr>
          <w:rFonts w:ascii="Arial" w:eastAsia="Arial" w:hAnsi="Arial" w:cs="Arial"/>
          <w:color w:val="000000"/>
          <w:sz w:val="22"/>
          <w:szCs w:val="22"/>
          <w:lang w:eastAsia="en-ZA"/>
        </w:rPr>
        <w:t>D</w:t>
      </w:r>
      <w:r w:rsidRPr="00C5635D">
        <w:rPr>
          <w:rFonts w:ascii="Arial" w:eastAsia="Arial" w:hAnsi="Arial" w:cs="Arial"/>
          <w:color w:val="000000"/>
          <w:sz w:val="22"/>
          <w:szCs w:val="22"/>
          <w:lang w:eastAsia="en-ZA"/>
        </w:rPr>
        <w:t xml:space="preserve">am and other disciplinary engineering services required to assist in the finalisation of the engineering design; contract administration and site supervision </w:t>
      </w:r>
      <w:r w:rsidR="000829D3">
        <w:rPr>
          <w:rFonts w:ascii="Arial" w:eastAsia="Arial" w:hAnsi="Arial" w:cs="Arial"/>
          <w:color w:val="000000"/>
          <w:sz w:val="22"/>
          <w:szCs w:val="22"/>
          <w:lang w:eastAsia="en-ZA"/>
        </w:rPr>
        <w:t>for</w:t>
      </w:r>
      <w:r w:rsidRPr="00C5635D">
        <w:rPr>
          <w:rFonts w:ascii="Arial" w:eastAsia="Arial" w:hAnsi="Arial" w:cs="Arial"/>
          <w:color w:val="000000"/>
          <w:sz w:val="22"/>
          <w:szCs w:val="22"/>
          <w:lang w:eastAsia="en-ZA"/>
        </w:rPr>
        <w:t xml:space="preserve"> the raising of the </w:t>
      </w:r>
      <w:r w:rsidR="000829D3">
        <w:rPr>
          <w:rFonts w:ascii="Arial" w:eastAsia="Arial" w:hAnsi="Arial" w:cs="Arial"/>
          <w:color w:val="000000"/>
          <w:sz w:val="22"/>
          <w:szCs w:val="22"/>
          <w:lang w:eastAsia="en-ZA"/>
        </w:rPr>
        <w:t>T</w:t>
      </w:r>
      <w:r w:rsidRPr="00C5635D">
        <w:rPr>
          <w:rFonts w:ascii="Arial" w:eastAsia="Arial" w:hAnsi="Arial" w:cs="Arial"/>
          <w:color w:val="000000"/>
          <w:sz w:val="22"/>
          <w:szCs w:val="22"/>
          <w:lang w:eastAsia="en-ZA"/>
        </w:rPr>
        <w:t xml:space="preserve">zaneen </w:t>
      </w:r>
      <w:r w:rsidR="000829D3">
        <w:rPr>
          <w:rFonts w:ascii="Arial" w:eastAsia="Arial" w:hAnsi="Arial" w:cs="Arial"/>
          <w:color w:val="000000"/>
          <w:sz w:val="22"/>
          <w:szCs w:val="22"/>
          <w:lang w:eastAsia="en-ZA"/>
        </w:rPr>
        <w:t>D</w:t>
      </w:r>
      <w:r w:rsidRPr="00C5635D">
        <w:rPr>
          <w:rFonts w:ascii="Arial" w:eastAsia="Arial" w:hAnsi="Arial" w:cs="Arial"/>
          <w:color w:val="000000"/>
          <w:sz w:val="22"/>
          <w:szCs w:val="22"/>
          <w:lang w:eastAsia="en-ZA"/>
        </w:rPr>
        <w:t xml:space="preserve">am. The </w:t>
      </w:r>
      <w:r w:rsidR="000829D3">
        <w:rPr>
          <w:rFonts w:ascii="Arial" w:eastAsia="Arial" w:hAnsi="Arial" w:cs="Arial"/>
          <w:color w:val="000000"/>
          <w:sz w:val="22"/>
          <w:szCs w:val="22"/>
          <w:lang w:eastAsia="en-ZA"/>
        </w:rPr>
        <w:t>D</w:t>
      </w:r>
      <w:r w:rsidRPr="00C5635D">
        <w:rPr>
          <w:rFonts w:ascii="Arial" w:eastAsia="Arial" w:hAnsi="Arial" w:cs="Arial"/>
          <w:color w:val="000000"/>
          <w:sz w:val="22"/>
          <w:szCs w:val="22"/>
          <w:lang w:eastAsia="en-ZA"/>
        </w:rPr>
        <w:t xml:space="preserve">epartment acceded to the request. </w:t>
      </w:r>
    </w:p>
    <w:p w14:paraId="03790573" w14:textId="0D5D57B8" w:rsidR="00FC222A" w:rsidRPr="00C5635D" w:rsidRDefault="005135B0" w:rsidP="00C5635D">
      <w:pPr>
        <w:pStyle w:val="ListParagraph"/>
        <w:spacing w:line="360" w:lineRule="auto"/>
        <w:jc w:val="both"/>
        <w:rPr>
          <w:rFonts w:ascii="Arial" w:eastAsia="Arial" w:hAnsi="Arial" w:cs="Arial"/>
          <w:color w:val="000000"/>
          <w:sz w:val="22"/>
          <w:szCs w:val="22"/>
          <w:lang w:eastAsia="en-ZA"/>
        </w:rPr>
      </w:pPr>
      <w:r w:rsidRPr="00C5635D">
        <w:rPr>
          <w:rFonts w:ascii="Arial" w:eastAsia="Arial" w:hAnsi="Arial" w:cs="Arial"/>
          <w:color w:val="000000"/>
          <w:sz w:val="22"/>
          <w:szCs w:val="22"/>
          <w:lang w:eastAsia="en-ZA"/>
        </w:rPr>
        <w:t>The employer contended that the reasons for deviation were misleading and not true. The company could have procured using its own procurement policies and procedures which could have taken it about 3 months to finalise the tender process.</w:t>
      </w:r>
    </w:p>
    <w:p w14:paraId="54D2C486" w14:textId="17B2DC25" w:rsidR="00FC222A" w:rsidRPr="00C5635D" w:rsidRDefault="005135B0" w:rsidP="00C5635D">
      <w:pPr>
        <w:pStyle w:val="ListParagraph"/>
        <w:spacing w:line="360" w:lineRule="auto"/>
        <w:jc w:val="both"/>
        <w:rPr>
          <w:rFonts w:ascii="Arial" w:eastAsia="Arial" w:hAnsi="Arial" w:cs="Arial"/>
          <w:color w:val="000000"/>
          <w:sz w:val="22"/>
          <w:szCs w:val="22"/>
          <w:lang w:eastAsia="en-ZA"/>
        </w:rPr>
      </w:pPr>
      <w:r w:rsidRPr="00C5635D">
        <w:rPr>
          <w:rFonts w:ascii="Arial" w:eastAsia="Arial" w:hAnsi="Arial" w:cs="Arial"/>
          <w:color w:val="000000"/>
          <w:sz w:val="22"/>
          <w:szCs w:val="22"/>
          <w:lang w:eastAsia="en-ZA"/>
        </w:rPr>
        <w:t>The employee argued that it requested to invoke regulation 16</w:t>
      </w:r>
      <w:r w:rsidR="00824F65">
        <w:rPr>
          <w:rFonts w:ascii="Arial" w:eastAsia="Arial" w:hAnsi="Arial" w:cs="Arial"/>
          <w:color w:val="000000"/>
          <w:sz w:val="22"/>
          <w:szCs w:val="22"/>
          <w:lang w:eastAsia="en-ZA"/>
        </w:rPr>
        <w:t>A</w:t>
      </w:r>
      <w:r w:rsidRPr="00C5635D">
        <w:rPr>
          <w:rFonts w:ascii="Arial" w:eastAsia="Arial" w:hAnsi="Arial" w:cs="Arial"/>
          <w:color w:val="000000"/>
          <w:sz w:val="22"/>
          <w:szCs w:val="22"/>
          <w:lang w:eastAsia="en-ZA"/>
        </w:rPr>
        <w:t xml:space="preserve">.6.6 of the </w:t>
      </w:r>
      <w:r w:rsidR="00824F65">
        <w:rPr>
          <w:rFonts w:ascii="Arial" w:eastAsia="Arial" w:hAnsi="Arial" w:cs="Arial"/>
          <w:color w:val="000000"/>
          <w:sz w:val="22"/>
          <w:szCs w:val="22"/>
          <w:lang w:eastAsia="en-ZA"/>
        </w:rPr>
        <w:t>T</w:t>
      </w:r>
      <w:r w:rsidRPr="00C5635D">
        <w:rPr>
          <w:rFonts w:ascii="Arial" w:eastAsia="Arial" w:hAnsi="Arial" w:cs="Arial"/>
          <w:color w:val="000000"/>
          <w:sz w:val="22"/>
          <w:szCs w:val="22"/>
          <w:lang w:eastAsia="en-ZA"/>
        </w:rPr>
        <w:t xml:space="preserve">reasury </w:t>
      </w:r>
      <w:r w:rsidR="00824F65">
        <w:rPr>
          <w:rFonts w:ascii="Arial" w:eastAsia="Arial" w:hAnsi="Arial" w:cs="Arial"/>
          <w:color w:val="000000"/>
          <w:sz w:val="22"/>
          <w:szCs w:val="22"/>
          <w:lang w:eastAsia="en-ZA"/>
        </w:rPr>
        <w:t>R</w:t>
      </w:r>
      <w:r w:rsidRPr="00C5635D">
        <w:rPr>
          <w:rFonts w:ascii="Arial" w:eastAsia="Arial" w:hAnsi="Arial" w:cs="Arial"/>
          <w:color w:val="000000"/>
          <w:sz w:val="22"/>
          <w:szCs w:val="22"/>
          <w:lang w:eastAsia="en-ZA"/>
        </w:rPr>
        <w:t xml:space="preserve">egulations to participate in a contract </w:t>
      </w:r>
      <w:r w:rsidR="00824F65">
        <w:rPr>
          <w:rFonts w:ascii="Arial" w:eastAsia="Arial" w:hAnsi="Arial" w:cs="Arial"/>
          <w:color w:val="000000"/>
          <w:sz w:val="22"/>
          <w:szCs w:val="22"/>
          <w:lang w:eastAsia="en-ZA"/>
        </w:rPr>
        <w:t xml:space="preserve">DWS </w:t>
      </w:r>
      <w:r w:rsidRPr="00C5635D">
        <w:rPr>
          <w:rFonts w:ascii="Arial" w:eastAsia="Arial" w:hAnsi="Arial" w:cs="Arial"/>
          <w:color w:val="000000"/>
          <w:sz w:val="22"/>
          <w:szCs w:val="22"/>
          <w:lang w:eastAsia="en-ZA"/>
        </w:rPr>
        <w:t xml:space="preserve">procured through </w:t>
      </w:r>
      <w:r w:rsidR="000821E8">
        <w:rPr>
          <w:rFonts w:ascii="Arial" w:eastAsia="Arial" w:hAnsi="Arial" w:cs="Arial"/>
          <w:color w:val="000000"/>
          <w:sz w:val="22"/>
          <w:szCs w:val="22"/>
          <w:lang w:eastAsia="en-ZA"/>
        </w:rPr>
        <w:t xml:space="preserve">a </w:t>
      </w:r>
      <w:r w:rsidRPr="00C5635D">
        <w:rPr>
          <w:rFonts w:ascii="Arial" w:eastAsia="Arial" w:hAnsi="Arial" w:cs="Arial"/>
          <w:color w:val="000000"/>
          <w:sz w:val="22"/>
          <w:szCs w:val="22"/>
          <w:lang w:eastAsia="en-ZA"/>
        </w:rPr>
        <w:t>competitive bidding process rather than having to start the process from scratch and risk no</w:t>
      </w:r>
      <w:r w:rsidR="000821E8">
        <w:rPr>
          <w:rFonts w:ascii="Arial" w:eastAsia="Arial" w:hAnsi="Arial" w:cs="Arial"/>
          <w:color w:val="000000"/>
          <w:sz w:val="22"/>
          <w:szCs w:val="22"/>
          <w:lang w:eastAsia="en-ZA"/>
        </w:rPr>
        <w:t>t</w:t>
      </w:r>
      <w:r w:rsidRPr="00C5635D">
        <w:rPr>
          <w:rFonts w:ascii="Arial" w:eastAsia="Arial" w:hAnsi="Arial" w:cs="Arial"/>
          <w:color w:val="000000"/>
          <w:sz w:val="22"/>
          <w:szCs w:val="22"/>
          <w:lang w:eastAsia="en-ZA"/>
        </w:rPr>
        <w:t xml:space="preserve"> initiating the project in time. This is a normal process in terms of regulation 16</w:t>
      </w:r>
      <w:r w:rsidR="000821E8">
        <w:rPr>
          <w:rFonts w:ascii="Arial" w:eastAsia="Arial" w:hAnsi="Arial" w:cs="Arial"/>
          <w:color w:val="000000"/>
          <w:sz w:val="22"/>
          <w:szCs w:val="22"/>
          <w:lang w:eastAsia="en-ZA"/>
        </w:rPr>
        <w:t>A</w:t>
      </w:r>
      <w:r w:rsidRPr="00C5635D">
        <w:rPr>
          <w:rFonts w:ascii="Arial" w:eastAsia="Arial" w:hAnsi="Arial" w:cs="Arial"/>
          <w:color w:val="000000"/>
          <w:sz w:val="22"/>
          <w:szCs w:val="22"/>
          <w:lang w:eastAsia="en-ZA"/>
        </w:rPr>
        <w:t xml:space="preserve">.6.6 of the </w:t>
      </w:r>
      <w:r w:rsidR="000821E8">
        <w:rPr>
          <w:rFonts w:ascii="Arial" w:eastAsia="Arial" w:hAnsi="Arial" w:cs="Arial"/>
          <w:color w:val="000000"/>
          <w:sz w:val="22"/>
          <w:szCs w:val="22"/>
          <w:lang w:eastAsia="en-ZA"/>
        </w:rPr>
        <w:t>T</w:t>
      </w:r>
      <w:r w:rsidRPr="00C5635D">
        <w:rPr>
          <w:rFonts w:ascii="Arial" w:eastAsia="Arial" w:hAnsi="Arial" w:cs="Arial"/>
          <w:color w:val="000000"/>
          <w:sz w:val="22"/>
          <w:szCs w:val="22"/>
          <w:lang w:eastAsia="en-ZA"/>
        </w:rPr>
        <w:t xml:space="preserve">reasury </w:t>
      </w:r>
      <w:r w:rsidR="000821E8">
        <w:rPr>
          <w:rFonts w:ascii="Arial" w:eastAsia="Arial" w:hAnsi="Arial" w:cs="Arial"/>
          <w:color w:val="000000"/>
          <w:sz w:val="22"/>
          <w:szCs w:val="22"/>
          <w:lang w:eastAsia="en-ZA"/>
        </w:rPr>
        <w:t>R</w:t>
      </w:r>
      <w:r w:rsidRPr="00C5635D">
        <w:rPr>
          <w:rFonts w:ascii="Arial" w:eastAsia="Arial" w:hAnsi="Arial" w:cs="Arial"/>
          <w:color w:val="000000"/>
          <w:sz w:val="22"/>
          <w:szCs w:val="22"/>
          <w:lang w:eastAsia="en-ZA"/>
        </w:rPr>
        <w:t>egulations.</w:t>
      </w:r>
    </w:p>
    <w:p w14:paraId="5E73B6D6" w14:textId="77777777" w:rsidR="004E7560" w:rsidRDefault="005135B0" w:rsidP="00C5635D">
      <w:pPr>
        <w:pStyle w:val="ListParagraph"/>
        <w:spacing w:line="360" w:lineRule="auto"/>
        <w:jc w:val="both"/>
        <w:rPr>
          <w:rFonts w:ascii="Arial" w:eastAsia="Arial" w:hAnsi="Arial" w:cs="Arial"/>
          <w:color w:val="000000"/>
          <w:sz w:val="22"/>
          <w:szCs w:val="22"/>
          <w:lang w:eastAsia="en-ZA"/>
        </w:rPr>
      </w:pPr>
      <w:r w:rsidRPr="00C5635D">
        <w:rPr>
          <w:rFonts w:ascii="Arial" w:eastAsia="Arial" w:hAnsi="Arial" w:cs="Arial"/>
          <w:color w:val="000000"/>
          <w:sz w:val="22"/>
          <w:szCs w:val="22"/>
          <w:lang w:eastAsia="en-ZA"/>
        </w:rPr>
        <w:t>I accept the employee’s explanation. M</w:t>
      </w:r>
      <w:r w:rsidR="000821E8">
        <w:rPr>
          <w:rFonts w:ascii="Arial" w:eastAsia="Arial" w:hAnsi="Arial" w:cs="Arial"/>
          <w:color w:val="000000"/>
          <w:sz w:val="22"/>
          <w:szCs w:val="22"/>
          <w:lang w:eastAsia="en-ZA"/>
        </w:rPr>
        <w:t>s</w:t>
      </w:r>
      <w:r w:rsidRPr="00C5635D">
        <w:rPr>
          <w:rFonts w:ascii="Arial" w:eastAsia="Arial" w:hAnsi="Arial" w:cs="Arial"/>
          <w:color w:val="000000"/>
          <w:sz w:val="22"/>
          <w:szCs w:val="22"/>
          <w:lang w:eastAsia="en-ZA"/>
        </w:rPr>
        <w:t xml:space="preserve"> </w:t>
      </w:r>
      <w:r w:rsidR="000821E8">
        <w:rPr>
          <w:rFonts w:ascii="Arial" w:eastAsia="Arial" w:hAnsi="Arial" w:cs="Arial"/>
          <w:color w:val="000000"/>
          <w:sz w:val="22"/>
          <w:szCs w:val="22"/>
          <w:lang w:eastAsia="en-ZA"/>
        </w:rPr>
        <w:t>M</w:t>
      </w:r>
      <w:r w:rsidRPr="00C5635D">
        <w:rPr>
          <w:rFonts w:ascii="Arial" w:eastAsia="Arial" w:hAnsi="Arial" w:cs="Arial"/>
          <w:color w:val="000000"/>
          <w:sz w:val="22"/>
          <w:szCs w:val="22"/>
          <w:lang w:eastAsia="en-ZA"/>
        </w:rPr>
        <w:t>khari conceded that the procurement process in this matter was not in terms of regulation 16</w:t>
      </w:r>
      <w:r w:rsidR="004E7560">
        <w:rPr>
          <w:rFonts w:ascii="Arial" w:eastAsia="Arial" w:hAnsi="Arial" w:cs="Arial"/>
          <w:color w:val="000000"/>
          <w:sz w:val="22"/>
          <w:szCs w:val="22"/>
          <w:lang w:eastAsia="en-ZA"/>
        </w:rPr>
        <w:t>A</w:t>
      </w:r>
      <w:r w:rsidRPr="00C5635D">
        <w:rPr>
          <w:rFonts w:ascii="Arial" w:eastAsia="Arial" w:hAnsi="Arial" w:cs="Arial"/>
          <w:color w:val="000000"/>
          <w:sz w:val="22"/>
          <w:szCs w:val="22"/>
          <w:lang w:eastAsia="en-ZA"/>
        </w:rPr>
        <w:t xml:space="preserve">.6.4 but in terms of </w:t>
      </w:r>
      <w:r w:rsidR="004E7560">
        <w:rPr>
          <w:rFonts w:ascii="Arial" w:eastAsia="Arial" w:hAnsi="Arial" w:cs="Arial"/>
          <w:color w:val="000000"/>
          <w:sz w:val="22"/>
          <w:szCs w:val="22"/>
          <w:lang w:eastAsia="en-ZA"/>
        </w:rPr>
        <w:t>R</w:t>
      </w:r>
      <w:r w:rsidRPr="00C5635D">
        <w:rPr>
          <w:rFonts w:ascii="Arial" w:eastAsia="Arial" w:hAnsi="Arial" w:cs="Arial"/>
          <w:color w:val="000000"/>
          <w:sz w:val="22"/>
          <w:szCs w:val="22"/>
          <w:lang w:eastAsia="en-ZA"/>
        </w:rPr>
        <w:t>egulation 16</w:t>
      </w:r>
      <w:r w:rsidR="004E7560">
        <w:rPr>
          <w:rFonts w:ascii="Arial" w:eastAsia="Arial" w:hAnsi="Arial" w:cs="Arial"/>
          <w:color w:val="000000"/>
          <w:sz w:val="22"/>
          <w:szCs w:val="22"/>
          <w:lang w:eastAsia="en-ZA"/>
        </w:rPr>
        <w:t>A</w:t>
      </w:r>
      <w:r w:rsidRPr="00C5635D">
        <w:rPr>
          <w:rFonts w:ascii="Arial" w:eastAsia="Arial" w:hAnsi="Arial" w:cs="Arial"/>
          <w:color w:val="000000"/>
          <w:sz w:val="22"/>
          <w:szCs w:val="22"/>
          <w:lang w:eastAsia="en-ZA"/>
        </w:rPr>
        <w:t xml:space="preserve">.6.6 of the </w:t>
      </w:r>
      <w:r w:rsidR="004E7560">
        <w:rPr>
          <w:rFonts w:ascii="Arial" w:eastAsia="Arial" w:hAnsi="Arial" w:cs="Arial"/>
          <w:color w:val="000000"/>
          <w:sz w:val="22"/>
          <w:szCs w:val="22"/>
          <w:lang w:eastAsia="en-ZA"/>
        </w:rPr>
        <w:t>T</w:t>
      </w:r>
      <w:r w:rsidRPr="00C5635D">
        <w:rPr>
          <w:rFonts w:ascii="Arial" w:eastAsia="Arial" w:hAnsi="Arial" w:cs="Arial"/>
          <w:color w:val="000000"/>
          <w:sz w:val="22"/>
          <w:szCs w:val="22"/>
          <w:lang w:eastAsia="en-ZA"/>
        </w:rPr>
        <w:t xml:space="preserve">reasury </w:t>
      </w:r>
      <w:r w:rsidR="004E7560">
        <w:rPr>
          <w:rFonts w:ascii="Arial" w:eastAsia="Arial" w:hAnsi="Arial" w:cs="Arial"/>
          <w:color w:val="000000"/>
          <w:sz w:val="22"/>
          <w:szCs w:val="22"/>
          <w:lang w:eastAsia="en-ZA"/>
        </w:rPr>
        <w:t>R</w:t>
      </w:r>
      <w:r w:rsidRPr="00C5635D">
        <w:rPr>
          <w:rFonts w:ascii="Arial" w:eastAsia="Arial" w:hAnsi="Arial" w:cs="Arial"/>
          <w:color w:val="000000"/>
          <w:sz w:val="22"/>
          <w:szCs w:val="22"/>
          <w:lang w:eastAsia="en-ZA"/>
        </w:rPr>
        <w:t xml:space="preserve">egulations. This does not amount to deviation in the strictest sense. </w:t>
      </w:r>
    </w:p>
    <w:p w14:paraId="34CA27EA" w14:textId="1F302820" w:rsidR="00FC222A" w:rsidRDefault="005135B0" w:rsidP="00C5635D">
      <w:pPr>
        <w:pStyle w:val="ListParagraph"/>
        <w:spacing w:line="360" w:lineRule="auto"/>
        <w:jc w:val="both"/>
        <w:rPr>
          <w:rFonts w:ascii="Arial" w:eastAsia="Arial" w:hAnsi="Arial" w:cs="Arial"/>
          <w:color w:val="000000"/>
          <w:sz w:val="22"/>
          <w:szCs w:val="22"/>
          <w:lang w:eastAsia="en-ZA"/>
        </w:rPr>
      </w:pPr>
      <w:r w:rsidRPr="00C5635D">
        <w:rPr>
          <w:rFonts w:ascii="Arial" w:eastAsia="Arial" w:hAnsi="Arial" w:cs="Arial"/>
          <w:color w:val="000000"/>
          <w:sz w:val="22"/>
          <w:szCs w:val="22"/>
          <w:lang w:eastAsia="en-ZA"/>
        </w:rPr>
        <w:t xml:space="preserve">The environmental authorisation was issued on 27 </w:t>
      </w:r>
      <w:r w:rsidR="004E7560">
        <w:rPr>
          <w:rFonts w:ascii="Arial" w:eastAsia="Arial" w:hAnsi="Arial" w:cs="Arial"/>
          <w:color w:val="000000"/>
          <w:sz w:val="22"/>
          <w:szCs w:val="22"/>
          <w:lang w:eastAsia="en-ZA"/>
        </w:rPr>
        <w:t>S</w:t>
      </w:r>
      <w:r w:rsidRPr="00C5635D">
        <w:rPr>
          <w:rFonts w:ascii="Arial" w:eastAsia="Arial" w:hAnsi="Arial" w:cs="Arial"/>
          <w:color w:val="000000"/>
          <w:sz w:val="22"/>
          <w:szCs w:val="22"/>
          <w:lang w:eastAsia="en-ZA"/>
        </w:rPr>
        <w:t>eptember 2011. The activity was supposed to commence within a period of five years from the date of issue. There was no certainty that the tender process would have been completed in three months. It was therefore prudent of the employee to support the recommendation. There was no dishonesty. Neither was there negligence or dereliction of duties. I do not find employee guilty of this charge.”</w:t>
      </w:r>
      <w:r w:rsidRPr="00C5635D">
        <w:rPr>
          <w:rFonts w:ascii="Arial" w:eastAsia="Arial" w:hAnsi="Arial" w:cs="Arial"/>
          <w:b/>
          <w:bCs/>
          <w:color w:val="000000"/>
          <w:sz w:val="22"/>
          <w:szCs w:val="22"/>
          <w:lang w:eastAsia="en-ZA"/>
        </w:rPr>
        <w:t xml:space="preserve"> </w:t>
      </w:r>
      <w:r w:rsidRPr="00C5635D">
        <w:rPr>
          <w:rFonts w:ascii="Arial" w:eastAsia="Arial" w:hAnsi="Arial" w:cs="Arial"/>
          <w:color w:val="000000"/>
          <w:sz w:val="22"/>
          <w:szCs w:val="22"/>
          <w:lang w:eastAsia="en-ZA"/>
        </w:rPr>
        <w:t xml:space="preserve">Copy of the relevant page of the verdict is attached hereto marked annexure </w:t>
      </w:r>
      <w:r w:rsidRPr="00C5635D">
        <w:rPr>
          <w:rFonts w:ascii="Arial" w:eastAsia="Arial" w:hAnsi="Arial" w:cs="Arial"/>
          <w:b/>
          <w:bCs/>
          <w:color w:val="000000"/>
          <w:sz w:val="22"/>
          <w:szCs w:val="22"/>
          <w:lang w:eastAsia="en-ZA"/>
        </w:rPr>
        <w:t>“</w:t>
      </w:r>
      <w:r w:rsidR="001122C7">
        <w:rPr>
          <w:rFonts w:ascii="Arial" w:eastAsia="Arial" w:hAnsi="Arial" w:cs="Arial"/>
          <w:b/>
          <w:bCs/>
          <w:color w:val="000000"/>
          <w:sz w:val="22"/>
          <w:szCs w:val="22"/>
          <w:lang w:eastAsia="en-ZA"/>
        </w:rPr>
        <w:t>AN</w:t>
      </w:r>
      <w:r w:rsidRPr="00C5635D">
        <w:rPr>
          <w:rFonts w:ascii="Arial" w:eastAsia="Arial" w:hAnsi="Arial" w:cs="Arial"/>
          <w:b/>
          <w:bCs/>
          <w:color w:val="000000"/>
          <w:sz w:val="22"/>
          <w:szCs w:val="22"/>
          <w:lang w:eastAsia="en-ZA"/>
        </w:rPr>
        <w:t xml:space="preserve"> 3”. </w:t>
      </w:r>
      <w:r w:rsidRPr="00C5635D">
        <w:rPr>
          <w:rFonts w:ascii="Arial" w:eastAsia="Arial" w:hAnsi="Arial" w:cs="Arial"/>
          <w:color w:val="000000"/>
          <w:sz w:val="22"/>
          <w:szCs w:val="22"/>
          <w:lang w:eastAsia="en-ZA"/>
        </w:rPr>
        <w:t>(sic)</w:t>
      </w:r>
    </w:p>
    <w:p w14:paraId="7E6517FC" w14:textId="77777777" w:rsidR="00C5635D" w:rsidRPr="00C5635D" w:rsidRDefault="00C5635D" w:rsidP="00C5635D">
      <w:pPr>
        <w:pStyle w:val="ListParagraph"/>
        <w:spacing w:line="360" w:lineRule="auto"/>
        <w:jc w:val="both"/>
        <w:rPr>
          <w:rFonts w:ascii="Arial" w:eastAsia="Arial" w:hAnsi="Arial" w:cs="Arial"/>
          <w:color w:val="000000"/>
          <w:sz w:val="22"/>
          <w:szCs w:val="22"/>
          <w:lang w:eastAsia="en-ZA"/>
        </w:rPr>
      </w:pPr>
    </w:p>
    <w:p w14:paraId="4A6A10AD" w14:textId="2BA81BA6" w:rsidR="00FC222A" w:rsidRPr="00211211" w:rsidRDefault="00211211" w:rsidP="00211211">
      <w:pPr>
        <w:spacing w:line="360" w:lineRule="auto"/>
        <w:ind w:left="720" w:hanging="360"/>
        <w:jc w:val="both"/>
        <w:rPr>
          <w:rFonts w:ascii="Arial" w:eastAsia="Arial" w:hAnsi="Arial" w:cs="Arial"/>
          <w:color w:val="000000"/>
          <w:lang w:eastAsia="en-ZA"/>
        </w:rPr>
      </w:pPr>
      <w:r w:rsidRPr="008648CD">
        <w:rPr>
          <w:rFonts w:ascii="Arial" w:eastAsia="Arial" w:hAnsi="Arial" w:cs="Arial"/>
          <w:color w:val="000000"/>
          <w:lang w:eastAsia="en-ZA"/>
        </w:rPr>
        <w:t>[40]</w:t>
      </w:r>
      <w:r w:rsidRPr="008648CD">
        <w:rPr>
          <w:rFonts w:ascii="Arial" w:eastAsia="Arial" w:hAnsi="Arial" w:cs="Arial"/>
          <w:color w:val="000000"/>
          <w:lang w:eastAsia="en-ZA"/>
        </w:rPr>
        <w:tab/>
      </w:r>
      <w:r w:rsidR="00FC222A" w:rsidRPr="00211211">
        <w:rPr>
          <w:rFonts w:ascii="Arial" w:eastAsia="Arial" w:hAnsi="Arial" w:cs="Arial"/>
          <w:color w:val="000000"/>
          <w:lang w:eastAsia="en-ZA"/>
        </w:rPr>
        <w:t xml:space="preserve">For reasons advanced on behalf of the SIU, the double jeopardy ground of opposition is unsustainable. In terms of section 35(3)(m) of the Constitution, </w:t>
      </w:r>
      <w:r w:rsidR="005865EC" w:rsidRPr="00211211">
        <w:rPr>
          <w:rFonts w:ascii="Arial" w:eastAsia="Arial" w:hAnsi="Arial" w:cs="Arial"/>
          <w:color w:val="000000"/>
          <w:lang w:eastAsia="en-ZA"/>
        </w:rPr>
        <w:t xml:space="preserve">having regard to the context in which Netshidaulu seeks to raise </w:t>
      </w:r>
      <w:r w:rsidR="00054745" w:rsidRPr="00211211">
        <w:rPr>
          <w:rFonts w:ascii="Arial" w:eastAsia="Arial" w:hAnsi="Arial" w:cs="Arial"/>
          <w:color w:val="000000"/>
          <w:lang w:eastAsia="en-ZA"/>
        </w:rPr>
        <w:t>it</w:t>
      </w:r>
      <w:r w:rsidR="005865EC" w:rsidRPr="00211211">
        <w:rPr>
          <w:rFonts w:ascii="Arial" w:eastAsia="Arial" w:hAnsi="Arial" w:cs="Arial"/>
          <w:color w:val="000000"/>
          <w:lang w:eastAsia="en-ZA"/>
        </w:rPr>
        <w:t>, the defence</w:t>
      </w:r>
      <w:r w:rsidR="00FC222A" w:rsidRPr="00211211">
        <w:rPr>
          <w:rFonts w:ascii="Arial" w:eastAsia="Arial" w:hAnsi="Arial" w:cs="Arial"/>
          <w:color w:val="000000"/>
          <w:lang w:eastAsia="en-ZA"/>
        </w:rPr>
        <w:t xml:space="preserve"> </w:t>
      </w:r>
      <w:r w:rsidR="00FC222A" w:rsidRPr="00211211">
        <w:rPr>
          <w:rFonts w:ascii="Arial" w:eastAsia="Arial" w:hAnsi="Arial" w:cs="Arial"/>
          <w:color w:val="000000"/>
          <w:lang w:eastAsia="en-ZA"/>
        </w:rPr>
        <w:lastRenderedPageBreak/>
        <w:t xml:space="preserve">is only available to persons who are charged with a criminal offence. This legal principle was confirmed in </w:t>
      </w:r>
      <w:r w:rsidR="00BF3714" w:rsidRPr="00211211">
        <w:rPr>
          <w:rFonts w:ascii="Arial" w:eastAsia="Arial" w:hAnsi="Arial" w:cs="Arial"/>
          <w:i/>
          <w:iCs/>
          <w:color w:val="000000"/>
          <w:lang w:eastAsia="en-ZA"/>
        </w:rPr>
        <w:t>Motloung and Another v South African Revenue Services</w:t>
      </w:r>
      <w:r w:rsidR="00BF3714" w:rsidRPr="00211211">
        <w:rPr>
          <w:rFonts w:ascii="Arial" w:eastAsia="Arial" w:hAnsi="Arial" w:cs="Arial"/>
          <w:color w:val="000000"/>
          <w:lang w:eastAsia="en-ZA"/>
        </w:rPr>
        <w:t>.</w:t>
      </w:r>
      <w:r w:rsidR="00BF3714">
        <w:rPr>
          <w:rStyle w:val="FootnoteReference"/>
          <w:rFonts w:ascii="Arial" w:eastAsia="Arial" w:hAnsi="Arial" w:cs="Arial"/>
          <w:color w:val="000000"/>
          <w:lang w:eastAsia="en-ZA"/>
        </w:rPr>
        <w:footnoteReference w:id="4"/>
      </w:r>
      <w:r w:rsidR="00BF3714" w:rsidRPr="00211211">
        <w:rPr>
          <w:rFonts w:ascii="Arial" w:eastAsia="Arial" w:hAnsi="Arial" w:cs="Arial"/>
          <w:color w:val="000000"/>
          <w:lang w:eastAsia="en-ZA"/>
        </w:rPr>
        <w:t xml:space="preserve"> </w:t>
      </w:r>
      <w:r w:rsidR="00FC222A" w:rsidRPr="00211211">
        <w:rPr>
          <w:rFonts w:ascii="Arial" w:eastAsia="Arial" w:hAnsi="Arial" w:cs="Arial"/>
          <w:color w:val="000000"/>
          <w:lang w:eastAsia="en-ZA"/>
        </w:rPr>
        <w:t xml:space="preserve">To succeed on this defence, Netshidaulu should have raised a </w:t>
      </w:r>
      <w:r w:rsidR="00FC222A" w:rsidRPr="00211211">
        <w:rPr>
          <w:rFonts w:ascii="Arial" w:eastAsia="Arial" w:hAnsi="Arial" w:cs="Arial"/>
          <w:i/>
          <w:iCs/>
          <w:color w:val="000000"/>
          <w:lang w:eastAsia="en-ZA"/>
        </w:rPr>
        <w:t>res judicata</w:t>
      </w:r>
      <w:r w:rsidR="00FC222A" w:rsidRPr="00211211">
        <w:rPr>
          <w:rFonts w:ascii="Arial" w:eastAsia="Arial" w:hAnsi="Arial" w:cs="Arial"/>
          <w:color w:val="000000"/>
          <w:lang w:eastAsia="en-ZA"/>
        </w:rPr>
        <w:t xml:space="preserve"> special plea. </w:t>
      </w:r>
    </w:p>
    <w:p w14:paraId="620EA06D" w14:textId="77777777" w:rsidR="00FC222A" w:rsidRPr="008648CD" w:rsidRDefault="00FC222A" w:rsidP="008648CD">
      <w:pPr>
        <w:spacing w:line="360" w:lineRule="auto"/>
        <w:jc w:val="both"/>
        <w:rPr>
          <w:rFonts w:ascii="Arial" w:eastAsia="Arial" w:hAnsi="Arial" w:cs="Arial"/>
          <w:color w:val="000000"/>
          <w:lang w:eastAsia="en-ZA"/>
        </w:rPr>
      </w:pPr>
    </w:p>
    <w:p w14:paraId="662D5ECC" w14:textId="29032475" w:rsidR="00FC222A" w:rsidRPr="00211211" w:rsidRDefault="00211211" w:rsidP="00211211">
      <w:pPr>
        <w:spacing w:line="360" w:lineRule="auto"/>
        <w:ind w:left="720" w:hanging="360"/>
        <w:jc w:val="both"/>
        <w:rPr>
          <w:rFonts w:ascii="Arial" w:eastAsia="Arial" w:hAnsi="Arial" w:cs="Arial"/>
          <w:color w:val="000000"/>
          <w:lang w:eastAsia="en-ZA"/>
        </w:rPr>
      </w:pPr>
      <w:r w:rsidRPr="008648CD">
        <w:rPr>
          <w:rFonts w:ascii="Arial" w:eastAsia="Arial" w:hAnsi="Arial" w:cs="Arial"/>
          <w:color w:val="000000"/>
          <w:lang w:eastAsia="en-ZA"/>
        </w:rPr>
        <w:t>[41]</w:t>
      </w:r>
      <w:r w:rsidRPr="008648CD">
        <w:rPr>
          <w:rFonts w:ascii="Arial" w:eastAsia="Arial" w:hAnsi="Arial" w:cs="Arial"/>
          <w:color w:val="000000"/>
          <w:lang w:eastAsia="en-ZA"/>
        </w:rPr>
        <w:tab/>
      </w:r>
      <w:r w:rsidR="00FC222A" w:rsidRPr="00211211">
        <w:rPr>
          <w:rFonts w:ascii="Arial" w:eastAsia="Arial" w:hAnsi="Arial" w:cs="Arial"/>
          <w:color w:val="000000"/>
          <w:lang w:eastAsia="en-ZA"/>
        </w:rPr>
        <w:t xml:space="preserve">Therefore, this ground of opposition falls to be dismissed. </w:t>
      </w:r>
    </w:p>
    <w:p w14:paraId="759A92D8" w14:textId="77777777" w:rsidR="00FC222A" w:rsidRPr="008648CD" w:rsidRDefault="00FC222A" w:rsidP="008648CD">
      <w:pPr>
        <w:spacing w:line="360" w:lineRule="auto"/>
        <w:jc w:val="both"/>
        <w:rPr>
          <w:rFonts w:ascii="Arial" w:eastAsia="Arial" w:hAnsi="Arial" w:cs="Arial"/>
          <w:color w:val="000000"/>
          <w:lang w:eastAsia="en-ZA"/>
        </w:rPr>
      </w:pPr>
    </w:p>
    <w:p w14:paraId="46006766" w14:textId="09640A5D" w:rsidR="00FC222A" w:rsidRPr="00211211" w:rsidRDefault="00211211" w:rsidP="00211211">
      <w:pPr>
        <w:spacing w:line="360" w:lineRule="auto"/>
        <w:ind w:left="720" w:hanging="360"/>
        <w:jc w:val="both"/>
        <w:rPr>
          <w:rFonts w:ascii="Arial" w:eastAsia="Arial" w:hAnsi="Arial" w:cs="Arial"/>
          <w:color w:val="000000"/>
          <w:lang w:eastAsia="en-ZA"/>
        </w:rPr>
      </w:pPr>
      <w:r w:rsidRPr="008648CD">
        <w:rPr>
          <w:rFonts w:ascii="Arial" w:eastAsia="Arial" w:hAnsi="Arial" w:cs="Arial"/>
          <w:color w:val="000000"/>
          <w:lang w:eastAsia="en-ZA"/>
        </w:rPr>
        <w:t>[42]</w:t>
      </w:r>
      <w:r w:rsidRPr="008648CD">
        <w:rPr>
          <w:rFonts w:ascii="Arial" w:eastAsia="Arial" w:hAnsi="Arial" w:cs="Arial"/>
          <w:color w:val="000000"/>
          <w:lang w:eastAsia="en-ZA"/>
        </w:rPr>
        <w:tab/>
      </w:r>
      <w:r w:rsidR="00FC222A" w:rsidRPr="00211211">
        <w:rPr>
          <w:rFonts w:ascii="Arial" w:eastAsia="Arial" w:hAnsi="Arial" w:cs="Arial"/>
          <w:color w:val="000000"/>
          <w:lang w:eastAsia="en-ZA"/>
        </w:rPr>
        <w:t xml:space="preserve">As I find below, Netshidaulu’s version regarding the disciplinary enquiry bears relevance for the SIU’s case in respect of its </w:t>
      </w:r>
      <w:r w:rsidR="00FC222A" w:rsidRPr="00211211">
        <w:rPr>
          <w:rFonts w:ascii="Arial" w:eastAsia="Arial" w:hAnsi="Arial" w:cs="Arial"/>
          <w:i/>
          <w:iCs/>
          <w:color w:val="000000"/>
          <w:lang w:eastAsia="en-ZA"/>
        </w:rPr>
        <w:t>prima facie</w:t>
      </w:r>
      <w:r w:rsidR="00FC222A" w:rsidRPr="00211211">
        <w:rPr>
          <w:rFonts w:ascii="Arial" w:eastAsia="Arial" w:hAnsi="Arial" w:cs="Arial"/>
          <w:color w:val="000000"/>
          <w:lang w:eastAsia="en-ZA"/>
        </w:rPr>
        <w:t xml:space="preserve"> right to an interim interdict. </w:t>
      </w:r>
    </w:p>
    <w:p w14:paraId="3B1A6F85" w14:textId="77777777" w:rsidR="00FC222A" w:rsidRPr="008648CD" w:rsidRDefault="00FC222A" w:rsidP="008648CD">
      <w:pPr>
        <w:spacing w:line="360" w:lineRule="auto"/>
        <w:jc w:val="both"/>
        <w:rPr>
          <w:rFonts w:ascii="Arial" w:hAnsi="Arial" w:cs="Arial"/>
          <w:b/>
          <w:bCs/>
          <w:i/>
          <w:iCs/>
        </w:rPr>
      </w:pPr>
    </w:p>
    <w:p w14:paraId="0035274C" w14:textId="77777777" w:rsidR="00FC222A" w:rsidRPr="008648CD" w:rsidRDefault="00FC222A" w:rsidP="00C5635D">
      <w:pPr>
        <w:pStyle w:val="ListParagraph"/>
        <w:spacing w:line="360" w:lineRule="auto"/>
        <w:jc w:val="both"/>
        <w:rPr>
          <w:rFonts w:ascii="Arial" w:hAnsi="Arial" w:cs="Arial"/>
          <w:b/>
          <w:bCs/>
          <w:i/>
          <w:iCs/>
        </w:rPr>
      </w:pPr>
      <w:r w:rsidRPr="008648CD">
        <w:rPr>
          <w:rFonts w:ascii="Arial" w:hAnsi="Arial" w:cs="Arial"/>
          <w:b/>
          <w:bCs/>
          <w:i/>
          <w:iCs/>
        </w:rPr>
        <w:t>Failure to review the decision appointing Blackhead Consulting</w:t>
      </w:r>
    </w:p>
    <w:p w14:paraId="66D08B1F" w14:textId="7178AE78" w:rsidR="003E2004" w:rsidRPr="00211211" w:rsidRDefault="00211211" w:rsidP="00211211">
      <w:pPr>
        <w:spacing w:line="360" w:lineRule="auto"/>
        <w:ind w:left="720" w:hanging="360"/>
        <w:jc w:val="both"/>
        <w:rPr>
          <w:rFonts w:ascii="Arial" w:hAnsi="Arial" w:cs="Arial"/>
          <w:b/>
          <w:bCs/>
        </w:rPr>
      </w:pPr>
      <w:r w:rsidRPr="003E2004">
        <w:rPr>
          <w:rFonts w:ascii="Arial" w:hAnsi="Arial" w:cs="Arial"/>
        </w:rPr>
        <w:t>[43]</w:t>
      </w:r>
      <w:r w:rsidRPr="003E2004">
        <w:rPr>
          <w:rFonts w:ascii="Arial" w:hAnsi="Arial" w:cs="Arial"/>
        </w:rPr>
        <w:tab/>
      </w:r>
      <w:r w:rsidR="00FC222A" w:rsidRPr="00211211">
        <w:rPr>
          <w:rFonts w:ascii="Arial" w:hAnsi="Arial" w:cs="Arial"/>
        </w:rPr>
        <w:t xml:space="preserve">It is common cause that LNW’s decision to appoint BC has not been reviewed and set aside. It is an administrative decision. </w:t>
      </w:r>
      <w:r w:rsidR="00C5635D" w:rsidRPr="00211211">
        <w:rPr>
          <w:rFonts w:ascii="Arial" w:hAnsi="Arial" w:cs="Arial"/>
        </w:rPr>
        <w:t>A</w:t>
      </w:r>
      <w:r w:rsidR="00FC222A" w:rsidRPr="00211211">
        <w:rPr>
          <w:rFonts w:ascii="Arial" w:hAnsi="Arial" w:cs="Arial"/>
        </w:rPr>
        <w:t>ccording to the Oudekraal principle</w:t>
      </w:r>
      <w:r w:rsidR="00C5635D">
        <w:rPr>
          <w:rStyle w:val="FootnoteReference"/>
          <w:rFonts w:ascii="Arial" w:hAnsi="Arial" w:cs="Arial"/>
        </w:rPr>
        <w:footnoteReference w:id="5"/>
      </w:r>
      <w:r w:rsidR="00FC222A" w:rsidRPr="00211211">
        <w:rPr>
          <w:rFonts w:ascii="Arial" w:hAnsi="Arial" w:cs="Arial"/>
        </w:rPr>
        <w:t xml:space="preserve">, it remains valid until it is reviewed and set aside. As contended on behalf of Netshidaulu, until the decision to appoint BC is reviewed and set aside, any cause of action founded on the irregularities in the procurement process that led to BC’s appointment would be premature. Nothing prevents the SIU from seeking such an order in the same action it intends instituting against Netshidaulu. </w:t>
      </w:r>
    </w:p>
    <w:p w14:paraId="120C31BB" w14:textId="77777777" w:rsidR="003E2004" w:rsidRPr="003E2004" w:rsidRDefault="003E2004" w:rsidP="003E2004">
      <w:pPr>
        <w:pStyle w:val="ListParagraph"/>
        <w:spacing w:line="360" w:lineRule="auto"/>
        <w:jc w:val="both"/>
        <w:rPr>
          <w:rFonts w:ascii="Arial" w:hAnsi="Arial" w:cs="Arial"/>
          <w:b/>
          <w:bCs/>
        </w:rPr>
      </w:pPr>
    </w:p>
    <w:p w14:paraId="07FA6993" w14:textId="404D4EFD" w:rsidR="00FC222A" w:rsidRPr="00211211" w:rsidRDefault="00211211" w:rsidP="00211211">
      <w:pPr>
        <w:spacing w:line="360" w:lineRule="auto"/>
        <w:ind w:left="720" w:hanging="360"/>
        <w:jc w:val="both"/>
        <w:rPr>
          <w:rFonts w:ascii="Arial" w:hAnsi="Arial" w:cs="Arial"/>
          <w:b/>
          <w:bCs/>
        </w:rPr>
      </w:pPr>
      <w:r w:rsidRPr="008648CD">
        <w:rPr>
          <w:rFonts w:ascii="Arial" w:hAnsi="Arial" w:cs="Arial"/>
        </w:rPr>
        <w:t>[44]</w:t>
      </w:r>
      <w:r w:rsidRPr="008648CD">
        <w:rPr>
          <w:rFonts w:ascii="Arial" w:hAnsi="Arial" w:cs="Arial"/>
        </w:rPr>
        <w:tab/>
      </w:r>
      <w:r w:rsidR="003E2004" w:rsidRPr="00211211">
        <w:rPr>
          <w:rFonts w:ascii="Arial" w:hAnsi="Arial" w:cs="Arial"/>
        </w:rPr>
        <w:t>Therefore, this ground of defence falls to be dismissed.</w:t>
      </w:r>
      <w:r w:rsidR="00FC222A" w:rsidRPr="00211211">
        <w:rPr>
          <w:rFonts w:ascii="Arial" w:hAnsi="Arial" w:cs="Arial"/>
        </w:rPr>
        <w:t xml:space="preserve">  </w:t>
      </w:r>
    </w:p>
    <w:p w14:paraId="0E669306" w14:textId="77777777" w:rsidR="00FC222A" w:rsidRPr="008648CD" w:rsidRDefault="00FC222A" w:rsidP="008648CD">
      <w:pPr>
        <w:spacing w:line="360" w:lineRule="auto"/>
        <w:jc w:val="both"/>
        <w:rPr>
          <w:rFonts w:ascii="Arial" w:hAnsi="Arial" w:cs="Arial"/>
        </w:rPr>
      </w:pPr>
    </w:p>
    <w:p w14:paraId="102318B6" w14:textId="7C2989AD" w:rsidR="00FC222A" w:rsidRPr="008648CD" w:rsidRDefault="00EA0544" w:rsidP="00C5635D">
      <w:pPr>
        <w:pStyle w:val="ListParagraph"/>
        <w:spacing w:line="360" w:lineRule="auto"/>
        <w:jc w:val="both"/>
        <w:rPr>
          <w:rFonts w:ascii="Arial" w:hAnsi="Arial" w:cs="Arial"/>
          <w:b/>
          <w:bCs/>
        </w:rPr>
      </w:pPr>
      <w:r w:rsidRPr="008648CD">
        <w:rPr>
          <w:rFonts w:ascii="Arial" w:hAnsi="Arial" w:cs="Arial"/>
          <w:b/>
          <w:bCs/>
        </w:rPr>
        <w:t>Interim Interdict</w:t>
      </w:r>
    </w:p>
    <w:p w14:paraId="6DD9A092" w14:textId="51E28C37" w:rsidR="00C5635D" w:rsidRPr="00211211" w:rsidRDefault="00211211" w:rsidP="00211211">
      <w:pPr>
        <w:spacing w:line="360" w:lineRule="auto"/>
        <w:ind w:left="720" w:hanging="360"/>
        <w:jc w:val="both"/>
        <w:rPr>
          <w:rFonts w:ascii="Arial" w:hAnsi="Arial" w:cs="Arial"/>
        </w:rPr>
      </w:pPr>
      <w:r>
        <w:rPr>
          <w:rFonts w:ascii="Arial" w:hAnsi="Arial" w:cs="Arial"/>
        </w:rPr>
        <w:t>[45]</w:t>
      </w:r>
      <w:r>
        <w:rPr>
          <w:rFonts w:ascii="Arial" w:hAnsi="Arial" w:cs="Arial"/>
        </w:rPr>
        <w:tab/>
      </w:r>
      <w:r w:rsidR="00FC222A" w:rsidRPr="00211211">
        <w:rPr>
          <w:rFonts w:ascii="Arial" w:hAnsi="Arial" w:cs="Arial"/>
        </w:rPr>
        <w:t xml:space="preserve">The requirements for an interdict are trite. They are set out in the prevalently relied upon judgment in </w:t>
      </w:r>
      <w:r w:rsidR="00FC222A" w:rsidRPr="00211211">
        <w:rPr>
          <w:rFonts w:ascii="Arial" w:hAnsi="Arial" w:cs="Arial"/>
          <w:i/>
          <w:iCs/>
        </w:rPr>
        <w:t>Setlogelo v Setlogelo</w:t>
      </w:r>
      <w:r w:rsidR="00FC222A" w:rsidRPr="00211211">
        <w:rPr>
          <w:rFonts w:ascii="Arial" w:hAnsi="Arial" w:cs="Arial"/>
        </w:rPr>
        <w:t>.</w:t>
      </w:r>
      <w:r w:rsidR="00FC222A" w:rsidRPr="008648CD">
        <w:rPr>
          <w:vertAlign w:val="superscript"/>
        </w:rPr>
        <w:footnoteReference w:id="6"/>
      </w:r>
      <w:r w:rsidR="00FC222A" w:rsidRPr="00211211">
        <w:rPr>
          <w:rFonts w:ascii="Arial" w:hAnsi="Arial" w:cs="Arial"/>
        </w:rPr>
        <w:t xml:space="preserve"> To succeed in this application, the SIU ought to meet them. They are as follows:</w:t>
      </w:r>
    </w:p>
    <w:p w14:paraId="7BBA394E" w14:textId="0FFAC572" w:rsidR="00C5635D" w:rsidRPr="00211211" w:rsidRDefault="00211211" w:rsidP="00211211">
      <w:pPr>
        <w:spacing w:line="360" w:lineRule="auto"/>
        <w:ind w:left="1080" w:hanging="360"/>
        <w:jc w:val="both"/>
        <w:rPr>
          <w:rFonts w:ascii="Arial" w:hAnsi="Arial" w:cs="Arial"/>
        </w:rPr>
      </w:pPr>
      <w:r>
        <w:rPr>
          <w:rFonts w:ascii="Arial" w:hAnsi="Arial" w:cs="Arial"/>
        </w:rPr>
        <w:t>(a)</w:t>
      </w:r>
      <w:r>
        <w:rPr>
          <w:rFonts w:ascii="Arial" w:hAnsi="Arial" w:cs="Arial"/>
        </w:rPr>
        <w:tab/>
      </w:r>
      <w:r w:rsidR="00C5635D" w:rsidRPr="00211211">
        <w:rPr>
          <w:rFonts w:ascii="Arial" w:hAnsi="Arial" w:cs="Arial"/>
        </w:rPr>
        <w:t>A prima facie right</w:t>
      </w:r>
    </w:p>
    <w:p w14:paraId="32356804" w14:textId="3B337BA3" w:rsidR="00C5635D" w:rsidRPr="00211211" w:rsidRDefault="00211211" w:rsidP="00211211">
      <w:pPr>
        <w:spacing w:line="360" w:lineRule="auto"/>
        <w:ind w:left="1080" w:hanging="360"/>
        <w:jc w:val="both"/>
        <w:rPr>
          <w:rFonts w:ascii="Arial" w:hAnsi="Arial" w:cs="Arial"/>
        </w:rPr>
      </w:pPr>
      <w:r w:rsidRPr="00C5635D">
        <w:rPr>
          <w:rFonts w:ascii="Arial" w:hAnsi="Arial" w:cs="Arial"/>
        </w:rPr>
        <w:t>(b)</w:t>
      </w:r>
      <w:r w:rsidRPr="00C5635D">
        <w:rPr>
          <w:rFonts w:ascii="Arial" w:hAnsi="Arial" w:cs="Arial"/>
        </w:rPr>
        <w:tab/>
      </w:r>
      <w:r w:rsidR="00C5635D" w:rsidRPr="00211211">
        <w:rPr>
          <w:rFonts w:ascii="Arial" w:hAnsi="Arial" w:cs="Arial"/>
        </w:rPr>
        <w:t xml:space="preserve">A well-grounded apprehension of irreparable harm if the interim relief is  </w:t>
      </w:r>
    </w:p>
    <w:p w14:paraId="45E4239D" w14:textId="77777777" w:rsidR="00C5635D" w:rsidRPr="008648CD" w:rsidRDefault="00C5635D" w:rsidP="00C5635D">
      <w:pPr>
        <w:pStyle w:val="ListParagraph"/>
        <w:spacing w:line="360" w:lineRule="auto"/>
        <w:jc w:val="both"/>
        <w:rPr>
          <w:rFonts w:ascii="Arial" w:hAnsi="Arial" w:cs="Arial"/>
        </w:rPr>
      </w:pPr>
      <w:r w:rsidRPr="008648CD">
        <w:rPr>
          <w:rFonts w:ascii="Arial" w:hAnsi="Arial" w:cs="Arial"/>
        </w:rPr>
        <w:t>not granted and the ultimate relief is ultimately granted;</w:t>
      </w:r>
    </w:p>
    <w:p w14:paraId="5C3726C9" w14:textId="7E98B126" w:rsidR="00C5635D" w:rsidRPr="00211211" w:rsidRDefault="00211211" w:rsidP="00211211">
      <w:pPr>
        <w:spacing w:line="360" w:lineRule="auto"/>
        <w:ind w:left="1080" w:hanging="360"/>
        <w:jc w:val="both"/>
        <w:rPr>
          <w:rFonts w:ascii="Arial" w:hAnsi="Arial" w:cs="Arial"/>
        </w:rPr>
      </w:pPr>
      <w:r w:rsidRPr="008648CD">
        <w:rPr>
          <w:rFonts w:ascii="Arial" w:hAnsi="Arial" w:cs="Arial"/>
        </w:rPr>
        <w:lastRenderedPageBreak/>
        <w:t>(c)</w:t>
      </w:r>
      <w:r w:rsidRPr="008648CD">
        <w:rPr>
          <w:rFonts w:ascii="Arial" w:hAnsi="Arial" w:cs="Arial"/>
        </w:rPr>
        <w:tab/>
      </w:r>
      <w:r w:rsidR="00C5635D" w:rsidRPr="00211211">
        <w:rPr>
          <w:rFonts w:ascii="Arial" w:hAnsi="Arial" w:cs="Arial"/>
        </w:rPr>
        <w:t>A balance of convenience in favour of granting the interim interdict, and;</w:t>
      </w:r>
    </w:p>
    <w:p w14:paraId="4AD7C450" w14:textId="25A7C866" w:rsidR="00C5635D" w:rsidRPr="00211211" w:rsidRDefault="00211211" w:rsidP="00211211">
      <w:pPr>
        <w:spacing w:line="360" w:lineRule="auto"/>
        <w:ind w:left="1080" w:hanging="360"/>
        <w:jc w:val="both"/>
        <w:rPr>
          <w:rFonts w:ascii="Arial" w:hAnsi="Arial" w:cs="Arial"/>
        </w:rPr>
      </w:pPr>
      <w:r w:rsidRPr="008648CD">
        <w:rPr>
          <w:rFonts w:ascii="Arial" w:hAnsi="Arial" w:cs="Arial"/>
        </w:rPr>
        <w:t>(d)</w:t>
      </w:r>
      <w:r w:rsidRPr="008648CD">
        <w:rPr>
          <w:rFonts w:ascii="Arial" w:hAnsi="Arial" w:cs="Arial"/>
        </w:rPr>
        <w:tab/>
      </w:r>
      <w:r w:rsidR="00C5635D" w:rsidRPr="00211211">
        <w:rPr>
          <w:rFonts w:ascii="Arial" w:hAnsi="Arial" w:cs="Arial"/>
        </w:rPr>
        <w:t xml:space="preserve">The absence of an alternative remedy. </w:t>
      </w:r>
    </w:p>
    <w:p w14:paraId="010EFA46" w14:textId="77777777" w:rsidR="00C5635D" w:rsidRDefault="00C5635D" w:rsidP="00C5635D">
      <w:pPr>
        <w:pStyle w:val="ListParagraph"/>
        <w:spacing w:line="360" w:lineRule="auto"/>
        <w:jc w:val="both"/>
        <w:rPr>
          <w:rFonts w:ascii="Arial" w:hAnsi="Arial" w:cs="Arial"/>
        </w:rPr>
      </w:pPr>
    </w:p>
    <w:p w14:paraId="448D9431" w14:textId="6A192C19" w:rsidR="00C5635D" w:rsidRPr="00211211" w:rsidRDefault="00211211" w:rsidP="00211211">
      <w:pPr>
        <w:spacing w:line="360" w:lineRule="auto"/>
        <w:ind w:left="720" w:hanging="360"/>
        <w:jc w:val="both"/>
        <w:rPr>
          <w:rFonts w:ascii="Arial" w:hAnsi="Arial" w:cs="Arial"/>
        </w:rPr>
      </w:pPr>
      <w:r>
        <w:rPr>
          <w:rFonts w:ascii="Arial" w:hAnsi="Arial" w:cs="Arial"/>
        </w:rPr>
        <w:t>[46]</w:t>
      </w:r>
      <w:r>
        <w:rPr>
          <w:rFonts w:ascii="Arial" w:hAnsi="Arial" w:cs="Arial"/>
        </w:rPr>
        <w:tab/>
      </w:r>
      <w:r w:rsidR="00FC222A" w:rsidRPr="00211211">
        <w:rPr>
          <w:rFonts w:ascii="Arial" w:hAnsi="Arial" w:cs="Arial"/>
        </w:rPr>
        <w:t xml:space="preserve">The approach to determining whether an applicant for an interim interdict has made out a proper case for the relief it seeks is set out in </w:t>
      </w:r>
      <w:r w:rsidR="00FC222A" w:rsidRPr="00211211">
        <w:rPr>
          <w:rFonts w:ascii="Arial" w:hAnsi="Arial" w:cs="Arial"/>
          <w:i/>
          <w:iCs/>
        </w:rPr>
        <w:t>Webster v Mitchel.</w:t>
      </w:r>
      <w:r w:rsidR="00C5635D">
        <w:rPr>
          <w:rStyle w:val="FootnoteReference"/>
          <w:rFonts w:ascii="Arial" w:hAnsi="Arial" w:cs="Arial"/>
          <w:i/>
          <w:iCs/>
        </w:rPr>
        <w:footnoteReference w:id="7"/>
      </w:r>
      <w:r w:rsidR="00FC222A" w:rsidRPr="00211211">
        <w:rPr>
          <w:rFonts w:ascii="Arial" w:hAnsi="Arial" w:cs="Arial"/>
        </w:rPr>
        <w:t xml:space="preserve"> The approach is summarised in the headnote as follows: </w:t>
      </w:r>
    </w:p>
    <w:p w14:paraId="131A12E0" w14:textId="77777777" w:rsidR="00C5635D" w:rsidRPr="00C5635D" w:rsidRDefault="00C5635D" w:rsidP="00C5635D">
      <w:pPr>
        <w:pStyle w:val="ListParagraph"/>
        <w:spacing w:line="360" w:lineRule="auto"/>
        <w:jc w:val="both"/>
        <w:rPr>
          <w:rFonts w:ascii="Arial" w:hAnsi="Arial" w:cs="Arial"/>
          <w:sz w:val="22"/>
          <w:szCs w:val="22"/>
          <w:lang w:eastAsia="en-ZA"/>
        </w:rPr>
      </w:pPr>
      <w:r w:rsidRPr="00C5635D">
        <w:rPr>
          <w:rFonts w:ascii="Arial" w:hAnsi="Arial" w:cs="Arial"/>
          <w:sz w:val="22"/>
          <w:szCs w:val="22"/>
          <w:lang w:eastAsia="en-ZA"/>
        </w:rPr>
        <w:t>“In an application for a temporary interdict, applicant's right need not be shown by a balance of probabilities; it is sufficient if such right is </w:t>
      </w:r>
      <w:r w:rsidRPr="00C5635D">
        <w:rPr>
          <w:rFonts w:ascii="Arial" w:hAnsi="Arial" w:cs="Arial"/>
          <w:i/>
          <w:iCs/>
          <w:sz w:val="22"/>
          <w:szCs w:val="22"/>
          <w:lang w:eastAsia="en-ZA"/>
        </w:rPr>
        <w:t>prima facie</w:t>
      </w:r>
      <w:r w:rsidRPr="00C5635D">
        <w:rPr>
          <w:rFonts w:ascii="Arial" w:hAnsi="Arial" w:cs="Arial"/>
          <w:sz w:val="22"/>
          <w:szCs w:val="22"/>
          <w:lang w:eastAsia="en-ZA"/>
        </w:rPr>
        <w:t> established, though open to some doubt. The proper manner of approach is to take the facts as set out by the applicant together with any facts set out by the respondent which applicant cannot dispute and to consider whether, having regard to the inherent probabilities, the applicant could on those facts obtain final relief at a trial. The facts set up in contradiction by respondent should then be considered, and if serious doubt is thrown upon the case of applicant he could not succeed.</w:t>
      </w:r>
    </w:p>
    <w:p w14:paraId="6A52CC73" w14:textId="77777777" w:rsidR="00C5635D" w:rsidRPr="00C5635D" w:rsidRDefault="00C5635D" w:rsidP="00C5635D">
      <w:pPr>
        <w:pStyle w:val="ListParagraph"/>
        <w:spacing w:line="360" w:lineRule="auto"/>
        <w:jc w:val="both"/>
        <w:rPr>
          <w:rFonts w:ascii="Arial" w:hAnsi="Arial" w:cs="Arial"/>
          <w:sz w:val="22"/>
          <w:szCs w:val="22"/>
        </w:rPr>
      </w:pPr>
    </w:p>
    <w:p w14:paraId="057A5702" w14:textId="77777777" w:rsidR="00C5635D" w:rsidRPr="00C5635D" w:rsidRDefault="00C5635D" w:rsidP="00C5635D">
      <w:pPr>
        <w:pStyle w:val="ListParagraph"/>
        <w:spacing w:line="360" w:lineRule="auto"/>
        <w:jc w:val="both"/>
        <w:rPr>
          <w:rFonts w:ascii="Arial" w:eastAsiaTheme="minorHAnsi" w:hAnsi="Arial" w:cs="Arial"/>
          <w:kern w:val="2"/>
          <w:sz w:val="22"/>
          <w:szCs w:val="22"/>
          <w14:ligatures w14:val="standardContextual"/>
        </w:rPr>
      </w:pPr>
      <w:r w:rsidRPr="00C5635D">
        <w:rPr>
          <w:rFonts w:ascii="Arial" w:hAnsi="Arial" w:cs="Arial"/>
          <w:sz w:val="22"/>
          <w:szCs w:val="22"/>
          <w:lang w:eastAsia="en-ZA"/>
        </w:rPr>
        <w:t>In considering the harm involved in the grant or refusal of a temporary interdict, where a clear right to relief is not shown, the Court acts on the balance of convenience. If, though there is prejudice to the respondent, that prejudice is less than that of the applicant, the interdict will be granted, subject, if possible, to conditions which will protect the respondent.”</w:t>
      </w:r>
    </w:p>
    <w:p w14:paraId="4168AB89" w14:textId="77777777" w:rsidR="00C5635D" w:rsidRPr="00C5635D" w:rsidRDefault="00C5635D" w:rsidP="00C5635D">
      <w:pPr>
        <w:pStyle w:val="ListParagraph"/>
        <w:spacing w:line="360" w:lineRule="auto"/>
        <w:jc w:val="both"/>
        <w:rPr>
          <w:rFonts w:ascii="Arial" w:hAnsi="Arial" w:cs="Arial"/>
        </w:rPr>
      </w:pPr>
    </w:p>
    <w:p w14:paraId="0747F4DA" w14:textId="4DD3405E" w:rsidR="00EA0544" w:rsidRPr="00211211" w:rsidRDefault="00211211" w:rsidP="00211211">
      <w:pPr>
        <w:spacing w:line="360" w:lineRule="auto"/>
        <w:ind w:left="720" w:hanging="360"/>
        <w:jc w:val="both"/>
        <w:rPr>
          <w:rFonts w:ascii="Arial" w:hAnsi="Arial" w:cs="Arial"/>
        </w:rPr>
      </w:pPr>
      <w:r>
        <w:rPr>
          <w:rFonts w:ascii="Arial" w:hAnsi="Arial" w:cs="Arial"/>
        </w:rPr>
        <w:t>[47]</w:t>
      </w:r>
      <w:r>
        <w:rPr>
          <w:rFonts w:ascii="Arial" w:hAnsi="Arial" w:cs="Arial"/>
        </w:rPr>
        <w:tab/>
      </w:r>
      <w:r w:rsidR="00FC222A" w:rsidRPr="00211211">
        <w:rPr>
          <w:rFonts w:ascii="Arial" w:hAnsi="Arial" w:cs="Arial"/>
        </w:rPr>
        <w:t>I adopt the same approach to determine whether the SIU has made out a proper case for the interdictory relief it seeks. For reasons set out below, I find that the SIU does not meet th</w:t>
      </w:r>
      <w:r w:rsidR="00174710" w:rsidRPr="00211211">
        <w:rPr>
          <w:rFonts w:ascii="Arial" w:hAnsi="Arial" w:cs="Arial"/>
        </w:rPr>
        <w:t xml:space="preserve">e requirements for the interim interdict. </w:t>
      </w:r>
    </w:p>
    <w:p w14:paraId="5952C339" w14:textId="77777777" w:rsidR="00174710" w:rsidRPr="00174710" w:rsidRDefault="00174710" w:rsidP="00174710">
      <w:pPr>
        <w:pStyle w:val="ListParagraph"/>
        <w:spacing w:line="360" w:lineRule="auto"/>
        <w:jc w:val="both"/>
        <w:rPr>
          <w:rFonts w:ascii="Arial" w:hAnsi="Arial" w:cs="Arial"/>
        </w:rPr>
      </w:pPr>
    </w:p>
    <w:p w14:paraId="1CA437CC" w14:textId="77777777" w:rsidR="00EA0544" w:rsidRPr="00EA0544" w:rsidRDefault="00EA0544" w:rsidP="00EA0544">
      <w:pPr>
        <w:spacing w:line="360" w:lineRule="auto"/>
        <w:jc w:val="both"/>
        <w:rPr>
          <w:rFonts w:ascii="Arial" w:hAnsi="Arial" w:cs="Arial"/>
          <w:b/>
          <w:bCs/>
          <w:i/>
          <w:iCs/>
        </w:rPr>
      </w:pPr>
      <w:r w:rsidRPr="006A550C">
        <w:rPr>
          <w:rFonts w:ascii="Arial" w:hAnsi="Arial" w:cs="Arial"/>
          <w:b/>
          <w:bCs/>
          <w:i/>
          <w:iCs/>
        </w:rPr>
        <w:t>A prima-facie right</w:t>
      </w:r>
      <w:r w:rsidRPr="00EA0544">
        <w:rPr>
          <w:rFonts w:ascii="Arial" w:hAnsi="Arial" w:cs="Arial"/>
          <w:b/>
          <w:bCs/>
          <w:i/>
          <w:iCs/>
        </w:rPr>
        <w:t xml:space="preserve"> </w:t>
      </w:r>
    </w:p>
    <w:p w14:paraId="12F5DECB" w14:textId="78A9C74C" w:rsidR="008839B6" w:rsidRPr="00211211" w:rsidRDefault="00211211" w:rsidP="00211211">
      <w:pPr>
        <w:spacing w:line="360" w:lineRule="auto"/>
        <w:ind w:left="720" w:hanging="360"/>
        <w:jc w:val="both"/>
        <w:rPr>
          <w:rFonts w:ascii="Arial" w:hAnsi="Arial" w:cs="Arial"/>
        </w:rPr>
      </w:pPr>
      <w:r>
        <w:rPr>
          <w:rFonts w:ascii="Arial" w:hAnsi="Arial" w:cs="Arial"/>
        </w:rPr>
        <w:t>[48]</w:t>
      </w:r>
      <w:r>
        <w:rPr>
          <w:rFonts w:ascii="Arial" w:hAnsi="Arial" w:cs="Arial"/>
        </w:rPr>
        <w:tab/>
      </w:r>
      <w:r w:rsidR="00FC222A" w:rsidRPr="00211211">
        <w:rPr>
          <w:rFonts w:ascii="Arial" w:hAnsi="Arial" w:cs="Arial"/>
        </w:rPr>
        <w:t xml:space="preserve">A </w:t>
      </w:r>
      <w:r w:rsidR="00FC222A" w:rsidRPr="00211211">
        <w:rPr>
          <w:rFonts w:ascii="Arial" w:hAnsi="Arial" w:cs="Arial"/>
          <w:i/>
          <w:iCs/>
        </w:rPr>
        <w:t>prima facie</w:t>
      </w:r>
      <w:r w:rsidR="00FC222A" w:rsidRPr="00211211">
        <w:rPr>
          <w:rFonts w:ascii="Arial" w:hAnsi="Arial" w:cs="Arial"/>
        </w:rPr>
        <w:t xml:space="preserve"> right in the context of the relief the SIU </w:t>
      </w:r>
      <w:r w:rsidR="00E15841" w:rsidRPr="00211211">
        <w:rPr>
          <w:rFonts w:ascii="Arial" w:hAnsi="Arial" w:cs="Arial"/>
        </w:rPr>
        <w:t>will</w:t>
      </w:r>
      <w:r w:rsidR="00FC222A" w:rsidRPr="00211211">
        <w:rPr>
          <w:rFonts w:ascii="Arial" w:hAnsi="Arial" w:cs="Arial"/>
        </w:rPr>
        <w:t xml:space="preserve"> seek in the intended action entails prospects of success.</w:t>
      </w:r>
      <w:r w:rsidR="00FC222A" w:rsidRPr="008648CD">
        <w:rPr>
          <w:rStyle w:val="FootnoteReference"/>
          <w:rFonts w:ascii="Arial" w:hAnsi="Arial" w:cs="Arial"/>
        </w:rPr>
        <w:footnoteReference w:id="8"/>
      </w:r>
    </w:p>
    <w:p w14:paraId="2E46BDD5" w14:textId="28565489" w:rsidR="008839B6" w:rsidRDefault="00FC222A" w:rsidP="008839B6">
      <w:pPr>
        <w:pStyle w:val="ListParagraph"/>
        <w:spacing w:line="360" w:lineRule="auto"/>
        <w:jc w:val="both"/>
        <w:rPr>
          <w:rFonts w:ascii="Arial" w:hAnsi="Arial" w:cs="Arial"/>
        </w:rPr>
      </w:pPr>
      <w:r w:rsidRPr="00EA0544">
        <w:rPr>
          <w:rFonts w:ascii="Arial" w:hAnsi="Arial" w:cs="Arial"/>
        </w:rPr>
        <w:t xml:space="preserve"> </w:t>
      </w:r>
    </w:p>
    <w:p w14:paraId="06381FF3" w14:textId="539A7090" w:rsidR="008839B6" w:rsidRPr="00211211" w:rsidRDefault="00211211" w:rsidP="00211211">
      <w:pPr>
        <w:spacing w:line="360" w:lineRule="auto"/>
        <w:ind w:left="720" w:hanging="360"/>
        <w:jc w:val="both"/>
        <w:rPr>
          <w:rFonts w:ascii="Arial" w:hAnsi="Arial" w:cs="Arial"/>
        </w:rPr>
      </w:pPr>
      <w:r>
        <w:rPr>
          <w:rFonts w:ascii="Arial" w:hAnsi="Arial" w:cs="Arial"/>
        </w:rPr>
        <w:t>[49]</w:t>
      </w:r>
      <w:r>
        <w:rPr>
          <w:rFonts w:ascii="Arial" w:hAnsi="Arial" w:cs="Arial"/>
        </w:rPr>
        <w:tab/>
      </w:r>
      <w:r w:rsidR="008839B6" w:rsidRPr="00211211">
        <w:rPr>
          <w:rFonts w:ascii="Arial" w:hAnsi="Arial" w:cs="Arial"/>
        </w:rPr>
        <w:t>The SIU’s a</w:t>
      </w:r>
      <w:r w:rsidR="00FC222A" w:rsidRPr="00211211">
        <w:rPr>
          <w:rFonts w:ascii="Arial" w:hAnsi="Arial" w:cs="Arial"/>
        </w:rPr>
        <w:t xml:space="preserve">lleged cause of action against Netshidaulu is a damages action. </w:t>
      </w:r>
      <w:r w:rsidR="008839B6" w:rsidRPr="00211211">
        <w:rPr>
          <w:rFonts w:ascii="Arial" w:hAnsi="Arial" w:cs="Arial"/>
        </w:rPr>
        <w:t xml:space="preserve">The SIU alleges that Netshidaulu </w:t>
      </w:r>
      <w:r w:rsidR="00B34B5D" w:rsidRPr="00211211">
        <w:rPr>
          <w:rFonts w:ascii="Arial" w:hAnsi="Arial" w:cs="Arial"/>
        </w:rPr>
        <w:t xml:space="preserve">participated in the irregular </w:t>
      </w:r>
      <w:r w:rsidR="008839B6" w:rsidRPr="00211211">
        <w:rPr>
          <w:rFonts w:ascii="Arial" w:hAnsi="Arial" w:cs="Arial"/>
        </w:rPr>
        <w:t>procurement processes that led to the appointment of Blackhead Consulting (BC) as a service provider and that as a result, DWS and</w:t>
      </w:r>
      <w:r w:rsidR="002521B0" w:rsidRPr="00211211">
        <w:rPr>
          <w:rFonts w:ascii="Arial" w:hAnsi="Arial" w:cs="Arial"/>
        </w:rPr>
        <w:t>/or</w:t>
      </w:r>
      <w:r w:rsidR="008839B6" w:rsidRPr="00211211">
        <w:rPr>
          <w:rFonts w:ascii="Arial" w:hAnsi="Arial" w:cs="Arial"/>
        </w:rPr>
        <w:t xml:space="preserve"> LNW suffered losses in that despite various payments made to BC, the DWS derived no benefit therefrom. </w:t>
      </w:r>
    </w:p>
    <w:p w14:paraId="547DF14E" w14:textId="77777777" w:rsidR="008839B6" w:rsidRPr="008839B6" w:rsidRDefault="008839B6" w:rsidP="008839B6">
      <w:pPr>
        <w:pStyle w:val="ListParagraph"/>
        <w:rPr>
          <w:rFonts w:ascii="Arial" w:hAnsi="Arial" w:cs="Arial"/>
        </w:rPr>
      </w:pPr>
    </w:p>
    <w:p w14:paraId="733BF0BE" w14:textId="3DE2F2BE" w:rsidR="0076221B" w:rsidRPr="00211211" w:rsidRDefault="00211211" w:rsidP="00211211">
      <w:pPr>
        <w:spacing w:line="360" w:lineRule="auto"/>
        <w:ind w:left="720" w:hanging="360"/>
        <w:jc w:val="both"/>
        <w:rPr>
          <w:rFonts w:ascii="Arial" w:hAnsi="Arial" w:cs="Arial"/>
        </w:rPr>
      </w:pPr>
      <w:r>
        <w:rPr>
          <w:rFonts w:ascii="Arial" w:hAnsi="Arial" w:cs="Arial"/>
        </w:rPr>
        <w:t>[50]</w:t>
      </w:r>
      <w:r>
        <w:rPr>
          <w:rFonts w:ascii="Arial" w:hAnsi="Arial" w:cs="Arial"/>
        </w:rPr>
        <w:tab/>
      </w:r>
      <w:r w:rsidR="008839B6" w:rsidRPr="00211211">
        <w:rPr>
          <w:rFonts w:ascii="Arial" w:hAnsi="Arial" w:cs="Arial"/>
        </w:rPr>
        <w:t xml:space="preserve">There are serious shortcomings in the SIU’s alleged cause of action against Netshidaulu. </w:t>
      </w:r>
    </w:p>
    <w:p w14:paraId="5D8F9AEA" w14:textId="77777777" w:rsidR="0076221B" w:rsidRDefault="0076221B" w:rsidP="0076221B">
      <w:pPr>
        <w:pStyle w:val="ListParagraph"/>
        <w:rPr>
          <w:rFonts w:ascii="Arial" w:hAnsi="Arial" w:cs="Arial"/>
        </w:rPr>
      </w:pPr>
    </w:p>
    <w:p w14:paraId="4C251A19" w14:textId="77777777" w:rsidR="0076221B" w:rsidRPr="000C4281" w:rsidRDefault="0076221B" w:rsidP="0076221B">
      <w:pPr>
        <w:pStyle w:val="ListParagraph"/>
        <w:rPr>
          <w:rFonts w:ascii="Arial" w:hAnsi="Arial" w:cs="Arial"/>
        </w:rPr>
      </w:pPr>
    </w:p>
    <w:p w14:paraId="4667199B" w14:textId="77777777" w:rsidR="0076221B" w:rsidRPr="003C064C" w:rsidRDefault="0076221B" w:rsidP="0076221B">
      <w:pPr>
        <w:pStyle w:val="ListParagraph"/>
        <w:rPr>
          <w:rFonts w:ascii="Arial" w:hAnsi="Arial" w:cs="Arial"/>
        </w:rPr>
      </w:pPr>
    </w:p>
    <w:p w14:paraId="5FC96EBD" w14:textId="0390AC0A" w:rsidR="0076221B" w:rsidRPr="00211211" w:rsidRDefault="00211211" w:rsidP="00211211">
      <w:pPr>
        <w:spacing w:line="360" w:lineRule="auto"/>
        <w:ind w:left="1080" w:hanging="360"/>
        <w:jc w:val="both"/>
        <w:rPr>
          <w:rFonts w:ascii="Arial" w:hAnsi="Arial" w:cs="Arial"/>
          <w:iCs/>
        </w:rPr>
      </w:pPr>
      <w:r w:rsidRPr="00377064">
        <w:rPr>
          <w:rFonts w:ascii="Arial" w:hAnsi="Arial" w:cs="Arial"/>
          <w:iCs/>
        </w:rPr>
        <w:t>(a)</w:t>
      </w:r>
      <w:r w:rsidRPr="00377064">
        <w:rPr>
          <w:rFonts w:ascii="Arial" w:hAnsi="Arial" w:cs="Arial"/>
          <w:iCs/>
        </w:rPr>
        <w:tab/>
      </w:r>
      <w:r w:rsidR="00FF452C" w:rsidRPr="00211211">
        <w:rPr>
          <w:rFonts w:ascii="Arial" w:hAnsi="Arial" w:cs="Arial"/>
        </w:rPr>
        <w:t xml:space="preserve">The SIU has not set out a proper cause of action </w:t>
      </w:r>
      <w:r w:rsidR="00200B99" w:rsidRPr="00211211">
        <w:rPr>
          <w:rFonts w:ascii="Arial" w:hAnsi="Arial" w:cs="Arial"/>
        </w:rPr>
        <w:t xml:space="preserve">for the alleged damages it seeks to recover from Netshidaulu. </w:t>
      </w:r>
    </w:p>
    <w:p w14:paraId="6D0A9E75" w14:textId="77777777" w:rsidR="00377064" w:rsidRPr="00200B99" w:rsidRDefault="00377064" w:rsidP="00377064">
      <w:pPr>
        <w:pStyle w:val="ListParagraph"/>
        <w:spacing w:line="360" w:lineRule="auto"/>
        <w:ind w:left="1080"/>
        <w:jc w:val="both"/>
        <w:rPr>
          <w:rFonts w:ascii="Arial" w:hAnsi="Arial" w:cs="Arial"/>
          <w:iCs/>
        </w:rPr>
      </w:pPr>
    </w:p>
    <w:p w14:paraId="30A885E3" w14:textId="25FDC48A" w:rsidR="0076221B" w:rsidRPr="00211211" w:rsidRDefault="00211211" w:rsidP="00211211">
      <w:pPr>
        <w:spacing w:line="360" w:lineRule="auto"/>
        <w:ind w:left="1080" w:hanging="360"/>
        <w:jc w:val="both"/>
        <w:rPr>
          <w:rFonts w:ascii="Arial" w:hAnsi="Arial" w:cs="Arial"/>
        </w:rPr>
      </w:pPr>
      <w:r w:rsidRPr="00207014">
        <w:rPr>
          <w:rFonts w:ascii="Arial" w:hAnsi="Arial" w:cs="Arial"/>
        </w:rPr>
        <w:t>(b)</w:t>
      </w:r>
      <w:r w:rsidRPr="00207014">
        <w:rPr>
          <w:rFonts w:ascii="Arial" w:hAnsi="Arial" w:cs="Arial"/>
        </w:rPr>
        <w:tab/>
      </w:r>
      <w:r w:rsidR="0076221B" w:rsidRPr="00211211">
        <w:rPr>
          <w:rFonts w:ascii="Arial" w:hAnsi="Arial" w:cs="Arial"/>
        </w:rPr>
        <w:t>According to Netshidaulu, there is nothing irregular about the procurement process proposed by Mulibana, which he supported</w:t>
      </w:r>
      <w:r w:rsidR="00207014" w:rsidRPr="00211211">
        <w:rPr>
          <w:rFonts w:ascii="Arial" w:hAnsi="Arial" w:cs="Arial"/>
        </w:rPr>
        <w:t xml:space="preserve"> </w:t>
      </w:r>
      <w:r w:rsidR="00207014" w:rsidRPr="00211211">
        <w:rPr>
          <w:rFonts w:ascii="Arial" w:eastAsia="Arial" w:hAnsi="Arial" w:cs="Arial"/>
          <w:iCs/>
          <w:color w:val="000000"/>
          <w:lang w:eastAsia="en-ZA"/>
        </w:rPr>
        <w:t>because it is consistent with the NLW SCM Policy.</w:t>
      </w:r>
    </w:p>
    <w:p w14:paraId="30466CA2" w14:textId="77777777" w:rsidR="00207014" w:rsidRPr="0076221B" w:rsidRDefault="00207014" w:rsidP="00207014">
      <w:pPr>
        <w:pStyle w:val="ListParagraph"/>
        <w:spacing w:line="360" w:lineRule="auto"/>
        <w:ind w:left="1080"/>
        <w:jc w:val="both"/>
        <w:rPr>
          <w:rFonts w:ascii="Arial" w:hAnsi="Arial" w:cs="Arial"/>
        </w:rPr>
      </w:pPr>
    </w:p>
    <w:p w14:paraId="4192E80D" w14:textId="4416BFE9" w:rsidR="00377064" w:rsidRPr="00211211" w:rsidRDefault="00211211" w:rsidP="00211211">
      <w:pPr>
        <w:spacing w:line="360" w:lineRule="auto"/>
        <w:ind w:left="720" w:hanging="360"/>
        <w:jc w:val="both"/>
        <w:rPr>
          <w:rFonts w:ascii="Arial" w:hAnsi="Arial" w:cs="Arial"/>
        </w:rPr>
      </w:pPr>
      <w:r>
        <w:rPr>
          <w:rFonts w:ascii="Arial" w:hAnsi="Arial" w:cs="Arial"/>
        </w:rPr>
        <w:t>[51]</w:t>
      </w:r>
      <w:r>
        <w:rPr>
          <w:rFonts w:ascii="Arial" w:hAnsi="Arial" w:cs="Arial"/>
        </w:rPr>
        <w:tab/>
      </w:r>
      <w:r w:rsidR="00377064" w:rsidRPr="00211211">
        <w:rPr>
          <w:rFonts w:ascii="Arial" w:hAnsi="Arial" w:cs="Arial"/>
        </w:rPr>
        <w:t xml:space="preserve">Unless the SIU alleges a nexus between Netshidaulu’s alleged role in the tender process and the damages allegedly suffered, there is no basis on which he may be found liable for any damages suffered because of the irregular tender process.  </w:t>
      </w:r>
    </w:p>
    <w:p w14:paraId="4EE4FB8B" w14:textId="77777777" w:rsidR="00377064" w:rsidRDefault="00377064" w:rsidP="00377064">
      <w:pPr>
        <w:pStyle w:val="ListParagraph"/>
        <w:spacing w:line="360" w:lineRule="auto"/>
        <w:jc w:val="both"/>
        <w:rPr>
          <w:rFonts w:ascii="Arial" w:hAnsi="Arial" w:cs="Arial"/>
        </w:rPr>
      </w:pPr>
    </w:p>
    <w:p w14:paraId="6C52EEB1" w14:textId="4A4AB43F" w:rsidR="00DB10DD" w:rsidRPr="00211211" w:rsidRDefault="00211211" w:rsidP="00211211">
      <w:pPr>
        <w:spacing w:line="360" w:lineRule="auto"/>
        <w:ind w:left="720" w:hanging="360"/>
        <w:jc w:val="both"/>
        <w:rPr>
          <w:rFonts w:ascii="Arial" w:hAnsi="Arial" w:cs="Arial"/>
        </w:rPr>
      </w:pPr>
      <w:r>
        <w:rPr>
          <w:rFonts w:ascii="Arial" w:hAnsi="Arial" w:cs="Arial"/>
        </w:rPr>
        <w:t>[52]</w:t>
      </w:r>
      <w:r>
        <w:rPr>
          <w:rFonts w:ascii="Arial" w:hAnsi="Arial" w:cs="Arial"/>
        </w:rPr>
        <w:tab/>
      </w:r>
      <w:r w:rsidR="00E90513" w:rsidRPr="00211211">
        <w:rPr>
          <w:rFonts w:ascii="Arial" w:hAnsi="Arial" w:cs="Arial"/>
        </w:rPr>
        <w:t xml:space="preserve">Netshidaulu admits that he supported the request by Mr Mulibana to deviate from the normal process and to procure professional services for the Tzaneen Dam Project from the DWS panel of service providers. </w:t>
      </w:r>
      <w:r w:rsidR="003A3E7E" w:rsidRPr="00211211">
        <w:rPr>
          <w:rFonts w:ascii="Arial" w:hAnsi="Arial" w:cs="Arial"/>
        </w:rPr>
        <w:t>The SIU</w:t>
      </w:r>
      <w:r w:rsidR="00E90513" w:rsidRPr="00211211">
        <w:rPr>
          <w:rFonts w:ascii="Arial" w:hAnsi="Arial" w:cs="Arial"/>
        </w:rPr>
        <w:t xml:space="preserve"> alleges that the procurement method used was an emergency deviation. </w:t>
      </w:r>
      <w:r w:rsidR="003A3E7E" w:rsidRPr="00211211">
        <w:rPr>
          <w:rFonts w:ascii="Arial" w:hAnsi="Arial" w:cs="Arial"/>
        </w:rPr>
        <w:t>Netshidaulu</w:t>
      </w:r>
      <w:r w:rsidR="00E90513" w:rsidRPr="00211211">
        <w:rPr>
          <w:rFonts w:ascii="Arial" w:hAnsi="Arial" w:cs="Arial"/>
        </w:rPr>
        <w:t xml:space="preserve"> denies that the procurement process is an emergency deviation as authorised by </w:t>
      </w:r>
      <w:r w:rsidR="00E90513" w:rsidRPr="00211211">
        <w:rPr>
          <w:rFonts w:ascii="Arial" w:hAnsi="Arial" w:cs="Arial"/>
          <w:iCs/>
        </w:rPr>
        <w:t xml:space="preserve">Treasury Regulation </w:t>
      </w:r>
      <w:r w:rsidR="00E90513" w:rsidRPr="00211211">
        <w:rPr>
          <w:rFonts w:ascii="Arial" w:eastAsia="Arial" w:hAnsi="Arial" w:cs="Arial"/>
          <w:iCs/>
          <w:color w:val="000000"/>
          <w:sz w:val="22"/>
          <w:szCs w:val="22"/>
          <w:lang w:eastAsia="en-ZA"/>
        </w:rPr>
        <w:t>16A6.4.</w:t>
      </w:r>
      <w:r w:rsidR="00E90513" w:rsidRPr="00211211">
        <w:rPr>
          <w:rFonts w:ascii="Arial" w:hAnsi="Arial" w:cs="Arial"/>
        </w:rPr>
        <w:t xml:space="preserve"> </w:t>
      </w:r>
    </w:p>
    <w:p w14:paraId="22E67901" w14:textId="77777777" w:rsidR="00207014" w:rsidRDefault="00207014" w:rsidP="00207014">
      <w:pPr>
        <w:pStyle w:val="ListParagraph"/>
        <w:spacing w:line="360" w:lineRule="auto"/>
        <w:jc w:val="both"/>
        <w:rPr>
          <w:rFonts w:ascii="Arial" w:hAnsi="Arial" w:cs="Arial"/>
        </w:rPr>
      </w:pPr>
    </w:p>
    <w:p w14:paraId="20B875AE" w14:textId="30F36A97" w:rsidR="006E425F" w:rsidRPr="00211211" w:rsidRDefault="00211211" w:rsidP="00211211">
      <w:pPr>
        <w:spacing w:line="360" w:lineRule="auto"/>
        <w:ind w:left="720" w:hanging="360"/>
        <w:jc w:val="both"/>
        <w:rPr>
          <w:rFonts w:ascii="Arial" w:hAnsi="Arial" w:cs="Arial"/>
        </w:rPr>
      </w:pPr>
      <w:r>
        <w:rPr>
          <w:rFonts w:ascii="Arial" w:hAnsi="Arial" w:cs="Arial"/>
        </w:rPr>
        <w:t>[53]</w:t>
      </w:r>
      <w:r>
        <w:rPr>
          <w:rFonts w:ascii="Arial" w:hAnsi="Arial" w:cs="Arial"/>
        </w:rPr>
        <w:tab/>
      </w:r>
      <w:r w:rsidR="00E90513" w:rsidRPr="00211211">
        <w:rPr>
          <w:rFonts w:ascii="Arial" w:hAnsi="Arial" w:cs="Arial"/>
        </w:rPr>
        <w:t xml:space="preserve">According to </w:t>
      </w:r>
      <w:r w:rsidR="00FC6642" w:rsidRPr="00211211">
        <w:rPr>
          <w:rFonts w:ascii="Arial" w:hAnsi="Arial" w:cs="Arial"/>
        </w:rPr>
        <w:t>Netshidaulu</w:t>
      </w:r>
      <w:r w:rsidR="00E90513" w:rsidRPr="00211211">
        <w:rPr>
          <w:rFonts w:ascii="Arial" w:hAnsi="Arial" w:cs="Arial"/>
        </w:rPr>
        <w:t xml:space="preserve">, term “deviation” is loosely used in their environment. In this context, it connotes deviating from a normal tender process to participate in contracts procured by another institution. This process is regulated by Treasury Regulation </w:t>
      </w:r>
      <w:r w:rsidR="00E90513" w:rsidRPr="00211211">
        <w:rPr>
          <w:rFonts w:ascii="Arial" w:eastAsia="Arial" w:hAnsi="Arial" w:cs="Arial"/>
          <w:iCs/>
          <w:color w:val="000000"/>
          <w:sz w:val="22"/>
          <w:szCs w:val="22"/>
          <w:lang w:eastAsia="en-ZA"/>
        </w:rPr>
        <w:t>16A6.6</w:t>
      </w:r>
      <w:r w:rsidR="00E90513" w:rsidRPr="00211211">
        <w:rPr>
          <w:rFonts w:ascii="Arial" w:hAnsi="Arial" w:cs="Arial"/>
          <w:iCs/>
        </w:rPr>
        <w:t xml:space="preserve">. It does not connote deviating from a normal tender process to embark on an emergency procurement. </w:t>
      </w:r>
      <w:r w:rsidR="0031770E" w:rsidRPr="00211211">
        <w:rPr>
          <w:rFonts w:ascii="Arial" w:hAnsi="Arial" w:cs="Arial"/>
          <w:iCs/>
        </w:rPr>
        <w:t xml:space="preserve">When procuring services in terms of </w:t>
      </w:r>
      <w:r w:rsidR="0031770E" w:rsidRPr="00211211">
        <w:rPr>
          <w:rFonts w:ascii="Arial" w:hAnsi="Arial" w:cs="Arial"/>
        </w:rPr>
        <w:t xml:space="preserve">Treasury Regulation </w:t>
      </w:r>
      <w:r w:rsidR="0031770E" w:rsidRPr="00211211">
        <w:rPr>
          <w:rFonts w:ascii="Arial" w:eastAsia="Arial" w:hAnsi="Arial" w:cs="Arial"/>
          <w:iCs/>
          <w:color w:val="000000"/>
          <w:sz w:val="22"/>
          <w:szCs w:val="22"/>
          <w:lang w:eastAsia="en-ZA"/>
        </w:rPr>
        <w:t>16A6.6</w:t>
      </w:r>
      <w:r w:rsidR="0031770E" w:rsidRPr="00211211">
        <w:rPr>
          <w:rFonts w:ascii="Arial" w:hAnsi="Arial" w:cs="Arial"/>
          <w:iCs/>
        </w:rPr>
        <w:t xml:space="preserve">., the </w:t>
      </w:r>
      <w:r w:rsidR="00DB10DD" w:rsidRPr="00211211">
        <w:rPr>
          <w:rFonts w:ascii="Arial" w:hAnsi="Arial" w:cs="Arial"/>
        </w:rPr>
        <w:t xml:space="preserve">LNW SCM Manual requires that a written request is made to the CEO to participate in the contract of another institution, clearly stating the benefits and discounts of such participation. This is the request set out in the memorandum complied by Mr Mulibana which Netshidaulu supported. Mr Legodi approved the request and directed a request to DWS to participate in the DWS panel of professional service providers.  DWS approved the request in writing. </w:t>
      </w:r>
    </w:p>
    <w:p w14:paraId="5F874836" w14:textId="77777777" w:rsidR="006E425F" w:rsidRPr="006E425F" w:rsidRDefault="006E425F" w:rsidP="006E425F">
      <w:pPr>
        <w:pStyle w:val="ListParagraph"/>
        <w:rPr>
          <w:rFonts w:ascii="Arial" w:hAnsi="Arial" w:cs="Arial"/>
        </w:rPr>
      </w:pPr>
    </w:p>
    <w:p w14:paraId="1FC00542" w14:textId="50274BE4" w:rsidR="006E425F" w:rsidRPr="00211211" w:rsidRDefault="00211211" w:rsidP="00211211">
      <w:pPr>
        <w:spacing w:line="360" w:lineRule="auto"/>
        <w:ind w:left="720" w:hanging="360"/>
        <w:jc w:val="both"/>
        <w:rPr>
          <w:rFonts w:ascii="Arial" w:hAnsi="Arial" w:cs="Arial"/>
        </w:rPr>
      </w:pPr>
      <w:r>
        <w:rPr>
          <w:rFonts w:ascii="Arial" w:hAnsi="Arial" w:cs="Arial"/>
        </w:rPr>
        <w:t>[54]</w:t>
      </w:r>
      <w:r>
        <w:rPr>
          <w:rFonts w:ascii="Arial" w:hAnsi="Arial" w:cs="Arial"/>
        </w:rPr>
        <w:tab/>
      </w:r>
      <w:r w:rsidR="00FC222A" w:rsidRPr="00211211">
        <w:rPr>
          <w:rFonts w:ascii="Arial" w:hAnsi="Arial" w:cs="Arial"/>
        </w:rPr>
        <w:t>Following the approval by DWS, the end user through NLW BAC would propose the procurement method to be utilized. The memorandum attached to the Founding Affidavit as annexure ZM 10 outlines the proposed procurement methodology. The proposed method is in line with Treasury Regulation</w:t>
      </w:r>
      <w:r w:rsidR="004E5A88" w:rsidRPr="00211211">
        <w:rPr>
          <w:rFonts w:ascii="Arial" w:hAnsi="Arial" w:cs="Arial"/>
        </w:rPr>
        <w:t xml:space="preserve"> </w:t>
      </w:r>
      <w:r w:rsidR="004E5A88" w:rsidRPr="00211211">
        <w:rPr>
          <w:rFonts w:ascii="Arial" w:eastAsia="Arial" w:hAnsi="Arial" w:cs="Arial"/>
          <w:iCs/>
          <w:color w:val="000000"/>
          <w:sz w:val="22"/>
          <w:szCs w:val="22"/>
          <w:lang w:eastAsia="en-ZA"/>
        </w:rPr>
        <w:t>16A6.6</w:t>
      </w:r>
      <w:r w:rsidR="004E5A88" w:rsidRPr="00211211">
        <w:rPr>
          <w:rFonts w:ascii="Arial" w:hAnsi="Arial" w:cs="Arial"/>
          <w:iCs/>
        </w:rPr>
        <w:t xml:space="preserve">. </w:t>
      </w:r>
      <w:r w:rsidR="00FC222A" w:rsidRPr="00211211">
        <w:rPr>
          <w:rFonts w:ascii="Arial" w:hAnsi="Arial" w:cs="Arial"/>
        </w:rPr>
        <w:t xml:space="preserve"> read with LNW </w:t>
      </w:r>
      <w:r w:rsidR="004E5A88" w:rsidRPr="00211211">
        <w:rPr>
          <w:rFonts w:ascii="Arial" w:hAnsi="Arial" w:cs="Arial"/>
        </w:rPr>
        <w:t>SCM</w:t>
      </w:r>
      <w:r w:rsidR="00FC222A" w:rsidRPr="00211211">
        <w:rPr>
          <w:rFonts w:ascii="Arial" w:hAnsi="Arial" w:cs="Arial"/>
        </w:rPr>
        <w:t xml:space="preserve"> Manual. </w:t>
      </w:r>
    </w:p>
    <w:p w14:paraId="24967830" w14:textId="77777777" w:rsidR="006E425F" w:rsidRPr="006E425F" w:rsidRDefault="006E425F" w:rsidP="006E425F">
      <w:pPr>
        <w:pStyle w:val="ListParagraph"/>
        <w:rPr>
          <w:rFonts w:ascii="Arial" w:hAnsi="Arial" w:cs="Arial"/>
        </w:rPr>
      </w:pPr>
    </w:p>
    <w:p w14:paraId="1ED1E7C6" w14:textId="0BF02C06" w:rsidR="008D2C73" w:rsidRPr="00211211" w:rsidRDefault="00211211" w:rsidP="00211211">
      <w:pPr>
        <w:spacing w:line="360" w:lineRule="auto"/>
        <w:ind w:left="720" w:hanging="360"/>
        <w:jc w:val="both"/>
        <w:rPr>
          <w:rFonts w:ascii="Arial" w:hAnsi="Arial" w:cs="Arial"/>
        </w:rPr>
      </w:pPr>
      <w:r>
        <w:rPr>
          <w:rFonts w:ascii="Arial" w:hAnsi="Arial" w:cs="Arial"/>
        </w:rPr>
        <w:t>[55]</w:t>
      </w:r>
      <w:r>
        <w:rPr>
          <w:rFonts w:ascii="Arial" w:hAnsi="Arial" w:cs="Arial"/>
        </w:rPr>
        <w:tab/>
      </w:r>
      <w:r w:rsidR="00FC222A" w:rsidRPr="00211211">
        <w:rPr>
          <w:rFonts w:ascii="Arial" w:hAnsi="Arial" w:cs="Arial"/>
        </w:rPr>
        <w:t>In</w:t>
      </w:r>
      <w:r w:rsidR="004E5A88" w:rsidRPr="00211211">
        <w:rPr>
          <w:rFonts w:ascii="Arial" w:hAnsi="Arial" w:cs="Arial"/>
        </w:rPr>
        <w:t xml:space="preserve"> its</w:t>
      </w:r>
      <w:r w:rsidR="00FC222A" w:rsidRPr="00211211">
        <w:rPr>
          <w:rFonts w:ascii="Arial" w:hAnsi="Arial" w:cs="Arial"/>
        </w:rPr>
        <w:t xml:space="preserve"> reply</w:t>
      </w:r>
      <w:r w:rsidR="004E5A88" w:rsidRPr="00211211">
        <w:rPr>
          <w:rFonts w:ascii="Arial" w:hAnsi="Arial" w:cs="Arial"/>
        </w:rPr>
        <w:t>ing affidavit</w:t>
      </w:r>
      <w:r w:rsidR="00FC222A" w:rsidRPr="00211211">
        <w:rPr>
          <w:rFonts w:ascii="Arial" w:hAnsi="Arial" w:cs="Arial"/>
        </w:rPr>
        <w:t xml:space="preserve">, the SIU </w:t>
      </w:r>
      <w:r w:rsidR="004E5A88" w:rsidRPr="00211211">
        <w:rPr>
          <w:rFonts w:ascii="Arial" w:hAnsi="Arial" w:cs="Arial"/>
        </w:rPr>
        <w:t>fails to deal with Netshidaulu’s version. Consequently, it stands undisputed.</w:t>
      </w:r>
      <w:r w:rsidR="006E425F" w:rsidRPr="00211211">
        <w:rPr>
          <w:rFonts w:ascii="Arial" w:hAnsi="Arial" w:cs="Arial"/>
        </w:rPr>
        <w:t xml:space="preserve"> </w:t>
      </w:r>
      <w:r w:rsidR="004E5A88" w:rsidRPr="00211211">
        <w:rPr>
          <w:rFonts w:ascii="Arial" w:hAnsi="Arial" w:cs="Arial"/>
        </w:rPr>
        <w:t xml:space="preserve">Pertinently, the SIU </w:t>
      </w:r>
      <w:r w:rsidR="00FC222A" w:rsidRPr="00211211">
        <w:rPr>
          <w:rFonts w:ascii="Arial" w:hAnsi="Arial" w:cs="Arial"/>
        </w:rPr>
        <w:t xml:space="preserve">does not dispute </w:t>
      </w:r>
      <w:r w:rsidR="004E5A88" w:rsidRPr="00211211">
        <w:rPr>
          <w:rFonts w:ascii="Arial" w:hAnsi="Arial" w:cs="Arial"/>
        </w:rPr>
        <w:t>Netshidaulu’s contention</w:t>
      </w:r>
      <w:r w:rsidR="00FC222A" w:rsidRPr="00211211">
        <w:rPr>
          <w:rFonts w:ascii="Arial" w:hAnsi="Arial" w:cs="Arial"/>
        </w:rPr>
        <w:t xml:space="preserve"> </w:t>
      </w:r>
      <w:r w:rsidR="004E5A88" w:rsidRPr="00211211">
        <w:rPr>
          <w:rFonts w:ascii="Arial" w:hAnsi="Arial" w:cs="Arial"/>
        </w:rPr>
        <w:t xml:space="preserve">that </w:t>
      </w:r>
      <w:r w:rsidR="00FC222A" w:rsidRPr="00211211">
        <w:rPr>
          <w:rFonts w:ascii="Arial" w:hAnsi="Arial" w:cs="Arial"/>
        </w:rPr>
        <w:t>support</w:t>
      </w:r>
      <w:r w:rsidR="004E5A88" w:rsidRPr="00211211">
        <w:rPr>
          <w:rFonts w:ascii="Arial" w:hAnsi="Arial" w:cs="Arial"/>
        </w:rPr>
        <w:t>ing</w:t>
      </w:r>
      <w:r w:rsidR="00FC222A" w:rsidRPr="00211211">
        <w:rPr>
          <w:rFonts w:ascii="Arial" w:hAnsi="Arial" w:cs="Arial"/>
        </w:rPr>
        <w:t xml:space="preserve"> a memorandum </w:t>
      </w:r>
      <w:r w:rsidR="004E5A88" w:rsidRPr="00211211">
        <w:rPr>
          <w:rFonts w:ascii="Arial" w:hAnsi="Arial" w:cs="Arial"/>
        </w:rPr>
        <w:t xml:space="preserve">prepared </w:t>
      </w:r>
      <w:r w:rsidR="00FC222A" w:rsidRPr="00211211">
        <w:rPr>
          <w:rFonts w:ascii="Arial" w:hAnsi="Arial" w:cs="Arial"/>
        </w:rPr>
        <w:t xml:space="preserve">by </w:t>
      </w:r>
      <w:r w:rsidR="004E5A88" w:rsidRPr="00211211">
        <w:rPr>
          <w:rFonts w:ascii="Arial" w:hAnsi="Arial" w:cs="Arial"/>
        </w:rPr>
        <w:t xml:space="preserve">Mr </w:t>
      </w:r>
      <w:r w:rsidR="00FC222A" w:rsidRPr="00211211">
        <w:rPr>
          <w:rFonts w:ascii="Arial" w:hAnsi="Arial" w:cs="Arial"/>
        </w:rPr>
        <w:t>Mulibana seeking approval to utilise the DWS panel of service providers</w:t>
      </w:r>
      <w:r w:rsidR="004E5A88" w:rsidRPr="00211211">
        <w:rPr>
          <w:rFonts w:ascii="Arial" w:hAnsi="Arial" w:cs="Arial"/>
        </w:rPr>
        <w:t xml:space="preserve"> is not irregular in terms of Treasury Regulation 16.</w:t>
      </w:r>
      <w:r w:rsidR="00946738" w:rsidRPr="00211211">
        <w:rPr>
          <w:rFonts w:ascii="Arial" w:hAnsi="Arial" w:cs="Arial"/>
        </w:rPr>
        <w:t>A6</w:t>
      </w:r>
      <w:r w:rsidR="00FC222A" w:rsidRPr="00211211">
        <w:rPr>
          <w:rFonts w:ascii="Arial" w:hAnsi="Arial" w:cs="Arial"/>
        </w:rPr>
        <w:t>.</w:t>
      </w:r>
      <w:r w:rsidR="00946738" w:rsidRPr="00211211">
        <w:rPr>
          <w:rFonts w:ascii="Arial" w:hAnsi="Arial" w:cs="Arial"/>
        </w:rPr>
        <w:t>6.</w:t>
      </w:r>
      <w:r w:rsidR="00FC222A" w:rsidRPr="00211211">
        <w:rPr>
          <w:rFonts w:ascii="Arial" w:hAnsi="Arial" w:cs="Arial"/>
        </w:rPr>
        <w:t xml:space="preserve"> </w:t>
      </w:r>
      <w:r w:rsidR="004E5A88" w:rsidRPr="00211211">
        <w:rPr>
          <w:rFonts w:ascii="Arial" w:hAnsi="Arial" w:cs="Arial"/>
        </w:rPr>
        <w:t>Yet, the SIU continues to insist that the procurement process followed is</w:t>
      </w:r>
      <w:r w:rsidR="00FC222A" w:rsidRPr="00211211">
        <w:rPr>
          <w:rFonts w:ascii="Arial" w:hAnsi="Arial" w:cs="Arial"/>
        </w:rPr>
        <w:t xml:space="preserve"> still irregular because it was an emergency deviation. I</w:t>
      </w:r>
      <w:r w:rsidR="00946738" w:rsidRPr="00211211">
        <w:rPr>
          <w:rFonts w:ascii="Arial" w:hAnsi="Arial" w:cs="Arial"/>
        </w:rPr>
        <w:t xml:space="preserve">n its replying affidavit, </w:t>
      </w:r>
      <w:r w:rsidR="008D2C73" w:rsidRPr="00211211">
        <w:rPr>
          <w:rFonts w:ascii="Arial" w:hAnsi="Arial" w:cs="Arial"/>
        </w:rPr>
        <w:t xml:space="preserve">shifts stance and allege that the procurement process was not fair and competitive because </w:t>
      </w:r>
      <w:r w:rsidR="00FC222A" w:rsidRPr="00211211">
        <w:rPr>
          <w:rFonts w:ascii="Arial" w:hAnsi="Arial" w:cs="Arial"/>
        </w:rPr>
        <w:t xml:space="preserve">service providers were only provided with 24 hours to respond to the RFQ. </w:t>
      </w:r>
    </w:p>
    <w:p w14:paraId="75B5477B" w14:textId="77777777" w:rsidR="008D2C73" w:rsidRPr="008D2C73" w:rsidRDefault="008D2C73" w:rsidP="008D2C73">
      <w:pPr>
        <w:pStyle w:val="ListParagraph"/>
        <w:rPr>
          <w:rFonts w:ascii="Arial" w:hAnsi="Arial" w:cs="Arial"/>
        </w:rPr>
      </w:pPr>
    </w:p>
    <w:p w14:paraId="5B9B7710" w14:textId="48637F6B" w:rsidR="00F35E0B" w:rsidRPr="00211211" w:rsidRDefault="00211211" w:rsidP="00211211">
      <w:pPr>
        <w:spacing w:line="360" w:lineRule="auto"/>
        <w:ind w:left="720" w:hanging="360"/>
        <w:jc w:val="both"/>
        <w:rPr>
          <w:rFonts w:ascii="Arial" w:hAnsi="Arial" w:cs="Arial"/>
        </w:rPr>
      </w:pPr>
      <w:r>
        <w:rPr>
          <w:rFonts w:ascii="Arial" w:hAnsi="Arial" w:cs="Arial"/>
        </w:rPr>
        <w:t>[56]</w:t>
      </w:r>
      <w:r>
        <w:rPr>
          <w:rFonts w:ascii="Arial" w:hAnsi="Arial" w:cs="Arial"/>
        </w:rPr>
        <w:tab/>
      </w:r>
      <w:r w:rsidR="00FC222A" w:rsidRPr="00211211">
        <w:rPr>
          <w:rFonts w:ascii="Arial" w:hAnsi="Arial" w:cs="Arial"/>
        </w:rPr>
        <w:t xml:space="preserve">This is an entirely different case made out in reply. </w:t>
      </w:r>
      <w:r w:rsidR="00946738" w:rsidRPr="00211211">
        <w:rPr>
          <w:rFonts w:ascii="Arial" w:hAnsi="Arial" w:cs="Arial"/>
        </w:rPr>
        <w:t>Netshidaulu’s culpability in requiring a 24-hour response period is not alleged</w:t>
      </w:r>
      <w:r w:rsidR="00F05BF5" w:rsidRPr="00211211">
        <w:rPr>
          <w:rFonts w:ascii="Arial" w:hAnsi="Arial" w:cs="Arial"/>
        </w:rPr>
        <w:t xml:space="preserve"> in the founding affidavit</w:t>
      </w:r>
      <w:r w:rsidR="00946738" w:rsidRPr="00211211">
        <w:rPr>
          <w:rFonts w:ascii="Arial" w:hAnsi="Arial" w:cs="Arial"/>
        </w:rPr>
        <w:t xml:space="preserve">. </w:t>
      </w:r>
      <w:r w:rsidR="00FC222A" w:rsidRPr="00211211">
        <w:rPr>
          <w:rFonts w:ascii="Arial" w:hAnsi="Arial" w:cs="Arial"/>
        </w:rPr>
        <w:t xml:space="preserve">According to Netshidaulu, the procurement process was proposed by the end user and approved by BAC. </w:t>
      </w:r>
    </w:p>
    <w:p w14:paraId="763382BE" w14:textId="77777777" w:rsidR="00F35E0B" w:rsidRPr="00F35E0B" w:rsidRDefault="00F35E0B" w:rsidP="00F35E0B">
      <w:pPr>
        <w:pStyle w:val="ListParagraph"/>
        <w:rPr>
          <w:rFonts w:ascii="Arial" w:hAnsi="Arial" w:cs="Arial"/>
        </w:rPr>
      </w:pPr>
    </w:p>
    <w:p w14:paraId="0017854F" w14:textId="47D79624" w:rsidR="00F8771E" w:rsidRPr="00211211" w:rsidRDefault="00211211" w:rsidP="00211211">
      <w:pPr>
        <w:spacing w:line="360" w:lineRule="auto"/>
        <w:ind w:left="720" w:hanging="360"/>
        <w:jc w:val="both"/>
        <w:rPr>
          <w:rFonts w:ascii="Arial" w:hAnsi="Arial" w:cs="Arial"/>
          <w:iCs/>
        </w:rPr>
      </w:pPr>
      <w:r w:rsidRPr="00F8771E">
        <w:rPr>
          <w:rFonts w:ascii="Arial" w:hAnsi="Arial" w:cs="Arial"/>
          <w:iCs/>
        </w:rPr>
        <w:t>[57]</w:t>
      </w:r>
      <w:r w:rsidRPr="00F8771E">
        <w:rPr>
          <w:rFonts w:ascii="Arial" w:hAnsi="Arial" w:cs="Arial"/>
          <w:iCs/>
        </w:rPr>
        <w:tab/>
      </w:r>
      <w:r w:rsidR="00FC222A" w:rsidRPr="00211211">
        <w:rPr>
          <w:rFonts w:ascii="Arial" w:hAnsi="Arial" w:cs="Arial"/>
        </w:rPr>
        <w:t xml:space="preserve">Therefore, </w:t>
      </w:r>
      <w:r w:rsidR="00F35E0B" w:rsidRPr="00211211">
        <w:rPr>
          <w:rFonts w:ascii="Arial" w:hAnsi="Arial" w:cs="Arial"/>
        </w:rPr>
        <w:t xml:space="preserve">at the intended trial there are no prospects that </w:t>
      </w:r>
      <w:r w:rsidR="00FC222A" w:rsidRPr="00211211">
        <w:rPr>
          <w:rFonts w:ascii="Arial" w:hAnsi="Arial" w:cs="Arial"/>
        </w:rPr>
        <w:t>the</w:t>
      </w:r>
      <w:r w:rsidR="001F2665" w:rsidRPr="00211211">
        <w:rPr>
          <w:rFonts w:ascii="Arial" w:hAnsi="Arial" w:cs="Arial"/>
        </w:rPr>
        <w:t xml:space="preserve"> SIU</w:t>
      </w:r>
      <w:r w:rsidR="00FC222A" w:rsidRPr="00211211">
        <w:rPr>
          <w:rFonts w:ascii="Arial" w:hAnsi="Arial" w:cs="Arial"/>
        </w:rPr>
        <w:t xml:space="preserve"> </w:t>
      </w:r>
      <w:r w:rsidR="00F35E0B" w:rsidRPr="00211211">
        <w:rPr>
          <w:rFonts w:ascii="Arial" w:hAnsi="Arial" w:cs="Arial"/>
        </w:rPr>
        <w:t xml:space="preserve">will succeed </w:t>
      </w:r>
      <w:r w:rsidR="00FA77F7" w:rsidRPr="00211211">
        <w:rPr>
          <w:rFonts w:ascii="Arial" w:hAnsi="Arial" w:cs="Arial"/>
        </w:rPr>
        <w:t>in est</w:t>
      </w:r>
      <w:r w:rsidR="00FC222A" w:rsidRPr="00211211">
        <w:rPr>
          <w:rFonts w:ascii="Arial" w:hAnsi="Arial" w:cs="Arial"/>
        </w:rPr>
        <w:t>ablish</w:t>
      </w:r>
      <w:r w:rsidR="00FA77F7" w:rsidRPr="00211211">
        <w:rPr>
          <w:rFonts w:ascii="Arial" w:hAnsi="Arial" w:cs="Arial"/>
        </w:rPr>
        <w:t>ing</w:t>
      </w:r>
      <w:r w:rsidR="00FC222A" w:rsidRPr="00211211">
        <w:rPr>
          <w:rFonts w:ascii="Arial" w:hAnsi="Arial" w:cs="Arial"/>
        </w:rPr>
        <w:t xml:space="preserve"> that it was irregular for Netshidaulu to support a request  to utilise the DWS panel of service providers for the procurement of service providers for the Tzaneen Dam Project</w:t>
      </w:r>
      <w:r w:rsidR="00FA77F7" w:rsidRPr="00211211">
        <w:rPr>
          <w:rFonts w:ascii="Arial" w:hAnsi="Arial" w:cs="Arial"/>
        </w:rPr>
        <w:t xml:space="preserve"> in terms of Treasury Regulation </w:t>
      </w:r>
      <w:r w:rsidR="00FA77F7" w:rsidRPr="00211211">
        <w:rPr>
          <w:rFonts w:ascii="Arial" w:eastAsia="Arial" w:hAnsi="Arial" w:cs="Arial"/>
          <w:iCs/>
          <w:color w:val="000000"/>
          <w:sz w:val="22"/>
          <w:szCs w:val="22"/>
          <w:lang w:eastAsia="en-ZA"/>
        </w:rPr>
        <w:t>16A6.6</w:t>
      </w:r>
      <w:r w:rsidR="00FA77F7" w:rsidRPr="00211211">
        <w:rPr>
          <w:rFonts w:ascii="Arial" w:hAnsi="Arial" w:cs="Arial"/>
          <w:iCs/>
        </w:rPr>
        <w:t>.</w:t>
      </w:r>
      <w:r w:rsidR="00FC222A" w:rsidRPr="00211211">
        <w:rPr>
          <w:rFonts w:ascii="Arial" w:hAnsi="Arial" w:cs="Arial"/>
        </w:rPr>
        <w:t xml:space="preserve"> </w:t>
      </w:r>
    </w:p>
    <w:p w14:paraId="2161E691" w14:textId="77777777" w:rsidR="00F8771E" w:rsidRPr="00F8771E" w:rsidRDefault="00F8771E" w:rsidP="00F8771E">
      <w:pPr>
        <w:pStyle w:val="ListParagraph"/>
        <w:rPr>
          <w:rFonts w:ascii="Arial" w:hAnsi="Arial" w:cs="Arial"/>
        </w:rPr>
      </w:pPr>
    </w:p>
    <w:p w14:paraId="2E9F9372" w14:textId="43A086FC" w:rsidR="00632FCE" w:rsidRPr="00211211" w:rsidRDefault="00211211" w:rsidP="00211211">
      <w:pPr>
        <w:spacing w:line="360" w:lineRule="auto"/>
        <w:ind w:left="720" w:hanging="360"/>
        <w:jc w:val="both"/>
        <w:rPr>
          <w:rFonts w:ascii="Arial" w:hAnsi="Arial" w:cs="Arial"/>
          <w:iCs/>
        </w:rPr>
      </w:pPr>
      <w:r w:rsidRPr="00632FCE">
        <w:rPr>
          <w:rFonts w:ascii="Arial" w:hAnsi="Arial" w:cs="Arial"/>
          <w:iCs/>
        </w:rPr>
        <w:t>[58]</w:t>
      </w:r>
      <w:r w:rsidRPr="00632FCE">
        <w:rPr>
          <w:rFonts w:ascii="Arial" w:hAnsi="Arial" w:cs="Arial"/>
          <w:iCs/>
        </w:rPr>
        <w:tab/>
      </w:r>
      <w:r w:rsidR="00946738" w:rsidRPr="00211211">
        <w:rPr>
          <w:rFonts w:ascii="Arial" w:hAnsi="Arial" w:cs="Arial"/>
        </w:rPr>
        <w:t xml:space="preserve">If DWS derived no value for money from the Tzaneen Dam Project, the SIU has not established the nexus between the Netshidaulu’s support for Mulibana’s request to participate on the DWS professional service providers’ panel and the </w:t>
      </w:r>
      <w:r w:rsidR="00B1391A" w:rsidRPr="00211211">
        <w:rPr>
          <w:rFonts w:ascii="Arial" w:hAnsi="Arial" w:cs="Arial"/>
        </w:rPr>
        <w:t xml:space="preserve">alleged </w:t>
      </w:r>
      <w:r w:rsidR="00946738" w:rsidRPr="00211211">
        <w:rPr>
          <w:rFonts w:ascii="Arial" w:hAnsi="Arial" w:cs="Arial"/>
        </w:rPr>
        <w:t xml:space="preserve">loss. On its own version DWS was responsible for monitoring LNW’s performance on this project. </w:t>
      </w:r>
      <w:r w:rsidR="002B1D0A" w:rsidRPr="00211211">
        <w:rPr>
          <w:rFonts w:ascii="Arial" w:hAnsi="Arial" w:cs="Arial"/>
        </w:rPr>
        <w:t xml:space="preserve">From the </w:t>
      </w:r>
      <w:r w:rsidR="00946738" w:rsidRPr="00211211">
        <w:rPr>
          <w:rFonts w:ascii="Arial" w:hAnsi="Arial" w:cs="Arial"/>
        </w:rPr>
        <w:t xml:space="preserve">SIU’s </w:t>
      </w:r>
      <w:r w:rsidR="00116ABE" w:rsidRPr="00211211">
        <w:rPr>
          <w:rFonts w:ascii="Arial" w:hAnsi="Arial" w:cs="Arial"/>
        </w:rPr>
        <w:t xml:space="preserve">any damages suffered were caused by </w:t>
      </w:r>
      <w:r w:rsidR="00946738" w:rsidRPr="00211211">
        <w:rPr>
          <w:rFonts w:ascii="Arial" w:hAnsi="Arial" w:cs="Arial"/>
        </w:rPr>
        <w:t>inadequate performance</w:t>
      </w:r>
      <w:r w:rsidR="00116ABE" w:rsidRPr="00211211">
        <w:rPr>
          <w:rFonts w:ascii="Arial" w:hAnsi="Arial" w:cs="Arial"/>
        </w:rPr>
        <w:t xml:space="preserve"> becaus</w:t>
      </w:r>
      <w:r w:rsidR="00632FCE" w:rsidRPr="00211211">
        <w:rPr>
          <w:rFonts w:ascii="Arial" w:hAnsi="Arial" w:cs="Arial"/>
        </w:rPr>
        <w:t>e it contends that no value was received for the services paid for</w:t>
      </w:r>
      <w:r w:rsidR="00946738" w:rsidRPr="00211211">
        <w:rPr>
          <w:rFonts w:ascii="Arial" w:hAnsi="Arial" w:cs="Arial"/>
        </w:rPr>
        <w:t>. It has also not shown in what respect</w:t>
      </w:r>
      <w:r w:rsidR="00632FCE" w:rsidRPr="00211211">
        <w:rPr>
          <w:rFonts w:ascii="Arial" w:hAnsi="Arial" w:cs="Arial"/>
        </w:rPr>
        <w:t>, by supporting the memorandum proposed by Mulibanda</w:t>
      </w:r>
      <w:r w:rsidR="00946738" w:rsidRPr="00211211">
        <w:rPr>
          <w:rFonts w:ascii="Arial" w:hAnsi="Arial" w:cs="Arial"/>
        </w:rPr>
        <w:t xml:space="preserve"> did Netshidaulu contribute to such inadequate performance.  </w:t>
      </w:r>
    </w:p>
    <w:p w14:paraId="3AE857D4" w14:textId="77777777" w:rsidR="00632FCE" w:rsidRPr="00632FCE" w:rsidRDefault="00632FCE" w:rsidP="00632FCE">
      <w:pPr>
        <w:pStyle w:val="ListParagraph"/>
        <w:rPr>
          <w:rFonts w:ascii="Arial" w:hAnsi="Arial" w:cs="Arial"/>
        </w:rPr>
      </w:pPr>
    </w:p>
    <w:p w14:paraId="1E4C7822" w14:textId="6D96634D" w:rsidR="00632FCE" w:rsidRPr="00211211" w:rsidRDefault="00211211" w:rsidP="00211211">
      <w:pPr>
        <w:spacing w:line="360" w:lineRule="auto"/>
        <w:ind w:left="720" w:hanging="360"/>
        <w:jc w:val="both"/>
        <w:rPr>
          <w:rFonts w:ascii="Arial" w:hAnsi="Arial" w:cs="Arial"/>
          <w:iCs/>
        </w:rPr>
      </w:pPr>
      <w:r w:rsidRPr="00632FCE">
        <w:rPr>
          <w:rFonts w:ascii="Arial" w:hAnsi="Arial" w:cs="Arial"/>
          <w:iCs/>
        </w:rPr>
        <w:t>[59]</w:t>
      </w:r>
      <w:r w:rsidRPr="00632FCE">
        <w:rPr>
          <w:rFonts w:ascii="Arial" w:hAnsi="Arial" w:cs="Arial"/>
          <w:iCs/>
        </w:rPr>
        <w:tab/>
      </w:r>
      <w:r w:rsidR="00FC222A" w:rsidRPr="00211211">
        <w:rPr>
          <w:rFonts w:ascii="Arial" w:hAnsi="Arial" w:cs="Arial"/>
        </w:rPr>
        <w:t>I therefore find that the SIU has</w:t>
      </w:r>
      <w:r w:rsidR="00946738" w:rsidRPr="00211211">
        <w:rPr>
          <w:rFonts w:ascii="Arial" w:hAnsi="Arial" w:cs="Arial"/>
        </w:rPr>
        <w:t xml:space="preserve"> </w:t>
      </w:r>
      <w:r w:rsidR="00FC222A" w:rsidRPr="00211211">
        <w:rPr>
          <w:rFonts w:ascii="Arial" w:hAnsi="Arial" w:cs="Arial"/>
        </w:rPr>
        <w:t>not</w:t>
      </w:r>
      <w:r w:rsidR="00946738" w:rsidRPr="00211211">
        <w:rPr>
          <w:rFonts w:ascii="Arial" w:hAnsi="Arial" w:cs="Arial"/>
        </w:rPr>
        <w:t xml:space="preserve"> set out a proper cause of action for its intended damages action against Netshidaulu. It has also not established that it has </w:t>
      </w:r>
      <w:r w:rsidR="00FC222A" w:rsidRPr="00211211">
        <w:rPr>
          <w:rFonts w:ascii="Arial" w:hAnsi="Arial" w:cs="Arial"/>
        </w:rPr>
        <w:t>prospects of success in</w:t>
      </w:r>
      <w:r w:rsidR="00946738" w:rsidRPr="00211211">
        <w:rPr>
          <w:rFonts w:ascii="Arial" w:hAnsi="Arial" w:cs="Arial"/>
        </w:rPr>
        <w:t xml:space="preserve"> establishing that it was irregular for </w:t>
      </w:r>
      <w:r w:rsidR="00FC222A" w:rsidRPr="00211211">
        <w:rPr>
          <w:rFonts w:ascii="Arial" w:hAnsi="Arial" w:cs="Arial"/>
        </w:rPr>
        <w:t>Netshidaulu</w:t>
      </w:r>
      <w:r w:rsidR="00946738" w:rsidRPr="00211211">
        <w:rPr>
          <w:rFonts w:ascii="Arial" w:hAnsi="Arial" w:cs="Arial"/>
        </w:rPr>
        <w:t xml:space="preserve"> to support the memorandum prepared by Mulibana</w:t>
      </w:r>
      <w:r w:rsidR="00FC222A" w:rsidRPr="00211211">
        <w:rPr>
          <w:rFonts w:ascii="Arial" w:hAnsi="Arial" w:cs="Arial"/>
        </w:rPr>
        <w:t xml:space="preserve">. </w:t>
      </w:r>
    </w:p>
    <w:p w14:paraId="76A975BB" w14:textId="77777777" w:rsidR="00632FCE" w:rsidRPr="00632FCE" w:rsidRDefault="00632FCE" w:rsidP="00632FCE">
      <w:pPr>
        <w:pStyle w:val="ListParagraph"/>
        <w:rPr>
          <w:rFonts w:ascii="Arial" w:hAnsi="Arial" w:cs="Arial"/>
        </w:rPr>
      </w:pPr>
    </w:p>
    <w:p w14:paraId="6519103B" w14:textId="1E39731A" w:rsidR="00CC0F87" w:rsidRPr="00211211" w:rsidRDefault="00211211" w:rsidP="00211211">
      <w:pPr>
        <w:spacing w:line="360" w:lineRule="auto"/>
        <w:ind w:left="720" w:hanging="360"/>
        <w:jc w:val="both"/>
        <w:rPr>
          <w:rFonts w:ascii="Arial" w:hAnsi="Arial" w:cs="Arial"/>
          <w:iCs/>
        </w:rPr>
      </w:pPr>
      <w:r w:rsidRPr="00CC0F87">
        <w:rPr>
          <w:rFonts w:ascii="Arial" w:hAnsi="Arial" w:cs="Arial"/>
          <w:iCs/>
        </w:rPr>
        <w:t>[60]</w:t>
      </w:r>
      <w:r w:rsidRPr="00CC0F87">
        <w:rPr>
          <w:rFonts w:ascii="Arial" w:hAnsi="Arial" w:cs="Arial"/>
          <w:iCs/>
        </w:rPr>
        <w:tab/>
      </w:r>
      <w:r w:rsidR="00FC222A" w:rsidRPr="00211211">
        <w:rPr>
          <w:rFonts w:ascii="Arial" w:hAnsi="Arial" w:cs="Arial"/>
        </w:rPr>
        <w:t>What weakens the SI</w:t>
      </w:r>
      <w:r w:rsidR="00F66376" w:rsidRPr="00211211">
        <w:rPr>
          <w:rFonts w:ascii="Arial" w:hAnsi="Arial" w:cs="Arial"/>
        </w:rPr>
        <w:t>U</w:t>
      </w:r>
      <w:r w:rsidR="00FC222A" w:rsidRPr="00211211">
        <w:rPr>
          <w:rFonts w:ascii="Arial" w:hAnsi="Arial" w:cs="Arial"/>
        </w:rPr>
        <w:t>’s case further is that Netshidaulu was charged for his role in the impugned procurement based on the same allegations the SIU has made against him in this application. The deponent to the SIU affidavit testified at Netshidaulu’s disciplinary enquiry.</w:t>
      </w:r>
      <w:r w:rsidR="006101D2" w:rsidRPr="00211211">
        <w:rPr>
          <w:rFonts w:ascii="Arial" w:hAnsi="Arial" w:cs="Arial"/>
        </w:rPr>
        <w:t xml:space="preserve"> She conceded the version Netshidaulu put up in this application. </w:t>
      </w:r>
      <w:r w:rsidR="00294B96" w:rsidRPr="00211211">
        <w:rPr>
          <w:rFonts w:ascii="Arial" w:hAnsi="Arial" w:cs="Arial"/>
        </w:rPr>
        <w:t>Netshidaulu</w:t>
      </w:r>
      <w:r w:rsidR="00FC222A" w:rsidRPr="00211211">
        <w:rPr>
          <w:rFonts w:ascii="Arial" w:hAnsi="Arial" w:cs="Arial"/>
        </w:rPr>
        <w:t xml:space="preserve"> was acquitted of the relevant charge. In other words, her evidence could not sustain the relevant charge.</w:t>
      </w:r>
      <w:r w:rsidR="006E6846" w:rsidRPr="00211211">
        <w:rPr>
          <w:rFonts w:ascii="Arial" w:hAnsi="Arial" w:cs="Arial"/>
        </w:rPr>
        <w:t xml:space="preserve"> Similarly, in the intended action, </w:t>
      </w:r>
      <w:r w:rsidR="005C3B7E" w:rsidRPr="00211211">
        <w:rPr>
          <w:rFonts w:ascii="Arial" w:hAnsi="Arial" w:cs="Arial"/>
        </w:rPr>
        <w:t>the evidence of the deponent to the SIU affidavits would not establish its cause of action.</w:t>
      </w:r>
      <w:r w:rsidR="00FC222A" w:rsidRPr="00211211">
        <w:rPr>
          <w:rFonts w:ascii="Arial" w:hAnsi="Arial" w:cs="Arial"/>
        </w:rPr>
        <w:t xml:space="preserve"> The SIU withheld this information from the Tribunal. In that regard, it has failed to act in the interests of justice in its investigation of the allegations against Netshidaulu and when instituting this application.  </w:t>
      </w:r>
    </w:p>
    <w:p w14:paraId="0D90A17F" w14:textId="77777777" w:rsidR="00CC0F87" w:rsidRPr="00CC0F87" w:rsidRDefault="00CC0F87" w:rsidP="00CC0F87">
      <w:pPr>
        <w:pStyle w:val="ListParagraph"/>
        <w:rPr>
          <w:rFonts w:ascii="Arial" w:hAnsi="Arial" w:cs="Arial"/>
        </w:rPr>
      </w:pPr>
    </w:p>
    <w:p w14:paraId="396A7E06" w14:textId="5EA402AE" w:rsidR="00946738" w:rsidRPr="00211211" w:rsidRDefault="00211211" w:rsidP="00211211">
      <w:pPr>
        <w:spacing w:line="360" w:lineRule="auto"/>
        <w:ind w:left="720" w:hanging="360"/>
        <w:jc w:val="both"/>
        <w:rPr>
          <w:rFonts w:ascii="Arial" w:hAnsi="Arial" w:cs="Arial"/>
          <w:iCs/>
        </w:rPr>
      </w:pPr>
      <w:r w:rsidRPr="00981B1D">
        <w:rPr>
          <w:rFonts w:ascii="Arial" w:hAnsi="Arial" w:cs="Arial"/>
          <w:iCs/>
        </w:rPr>
        <w:t>[61]</w:t>
      </w:r>
      <w:r w:rsidRPr="00981B1D">
        <w:rPr>
          <w:rFonts w:ascii="Arial" w:hAnsi="Arial" w:cs="Arial"/>
          <w:iCs/>
        </w:rPr>
        <w:tab/>
      </w:r>
      <w:r w:rsidR="00FC222A" w:rsidRPr="00211211">
        <w:rPr>
          <w:rFonts w:ascii="Arial" w:hAnsi="Arial" w:cs="Arial"/>
        </w:rPr>
        <w:t xml:space="preserve">The SIU’s reliance on the judgment in </w:t>
      </w:r>
      <w:r w:rsidR="006603F2" w:rsidRPr="00211211">
        <w:rPr>
          <w:rFonts w:ascii="Arial" w:hAnsi="Arial" w:cs="Arial"/>
          <w:i/>
          <w:iCs/>
        </w:rPr>
        <w:t>Pietersen</w:t>
      </w:r>
      <w:r w:rsidR="00FC222A" w:rsidRPr="00211211">
        <w:rPr>
          <w:rFonts w:ascii="Arial" w:hAnsi="Arial" w:cs="Arial"/>
          <w:i/>
          <w:iCs/>
        </w:rPr>
        <w:t xml:space="preserve"> v the State</w:t>
      </w:r>
      <w:r w:rsidR="006856B9" w:rsidRPr="008648CD">
        <w:rPr>
          <w:rStyle w:val="FootnoteReference"/>
          <w:rFonts w:ascii="Arial" w:hAnsi="Arial" w:cs="Arial"/>
          <w:i/>
          <w:iCs/>
        </w:rPr>
        <w:footnoteReference w:id="9"/>
      </w:r>
      <w:r w:rsidR="00FC222A" w:rsidRPr="00211211">
        <w:rPr>
          <w:rFonts w:ascii="Arial" w:hAnsi="Arial" w:cs="Arial"/>
        </w:rPr>
        <w:t xml:space="preserve"> is misplaced. The charges against Pieterson were based on an emergency deviation in terms of Treasury Regulation </w:t>
      </w:r>
      <w:r w:rsidR="00946738" w:rsidRPr="00211211">
        <w:rPr>
          <w:rFonts w:ascii="Arial" w:hAnsi="Arial" w:cs="Arial"/>
        </w:rPr>
        <w:t>16.A.6.4</w:t>
      </w:r>
      <w:r w:rsidR="00FC222A" w:rsidRPr="00211211">
        <w:rPr>
          <w:rFonts w:ascii="Arial" w:hAnsi="Arial" w:cs="Arial"/>
        </w:rPr>
        <w:t xml:space="preserve">. </w:t>
      </w:r>
      <w:r w:rsidR="001D3A2A" w:rsidRPr="00211211">
        <w:rPr>
          <w:rFonts w:ascii="Arial" w:hAnsi="Arial" w:cs="Arial"/>
        </w:rPr>
        <w:t xml:space="preserve">This is not the deviation Netshidaulu supported, which the SIU does not dispute. </w:t>
      </w:r>
      <w:r w:rsidR="00FC222A" w:rsidRPr="00211211">
        <w:rPr>
          <w:rFonts w:ascii="Arial" w:hAnsi="Arial" w:cs="Arial"/>
        </w:rPr>
        <w:t xml:space="preserve">The court in </w:t>
      </w:r>
      <w:r w:rsidR="00FC222A" w:rsidRPr="00211211">
        <w:rPr>
          <w:rFonts w:ascii="Arial" w:hAnsi="Arial" w:cs="Arial"/>
          <w:i/>
          <w:iCs/>
        </w:rPr>
        <w:t>Pieters</w:t>
      </w:r>
      <w:r w:rsidR="001D3A2A" w:rsidRPr="00211211">
        <w:rPr>
          <w:rFonts w:ascii="Arial" w:hAnsi="Arial" w:cs="Arial"/>
          <w:i/>
          <w:iCs/>
        </w:rPr>
        <w:t>e</w:t>
      </w:r>
      <w:r w:rsidR="00FC222A" w:rsidRPr="00211211">
        <w:rPr>
          <w:rFonts w:ascii="Arial" w:hAnsi="Arial" w:cs="Arial"/>
          <w:i/>
          <w:iCs/>
        </w:rPr>
        <w:t>n</w:t>
      </w:r>
      <w:r w:rsidR="00FC222A" w:rsidRPr="00211211">
        <w:rPr>
          <w:rFonts w:ascii="Arial" w:hAnsi="Arial" w:cs="Arial"/>
        </w:rPr>
        <w:t xml:space="preserve"> also found that deviation in terms of which IBR’s was appointed – </w:t>
      </w:r>
    </w:p>
    <w:p w14:paraId="4171485F" w14:textId="77777777" w:rsidR="00981B1D" w:rsidRPr="00981B1D" w:rsidRDefault="00981B1D" w:rsidP="00981B1D">
      <w:pPr>
        <w:pStyle w:val="ListParagraph"/>
        <w:rPr>
          <w:rFonts w:ascii="Arial" w:hAnsi="Arial" w:cs="Arial"/>
          <w:iCs/>
        </w:rPr>
      </w:pPr>
    </w:p>
    <w:p w14:paraId="62FB73C2" w14:textId="77777777" w:rsidR="00981B1D" w:rsidRPr="00946738" w:rsidRDefault="00981B1D" w:rsidP="00981B1D">
      <w:pPr>
        <w:pStyle w:val="ListParagraph"/>
        <w:rPr>
          <w:rFonts w:ascii="Arial" w:hAnsi="Arial" w:cs="Arial"/>
          <w:iCs/>
        </w:rPr>
      </w:pPr>
    </w:p>
    <w:p w14:paraId="6394C166" w14:textId="77777777" w:rsidR="00981B1D" w:rsidRDefault="00981B1D" w:rsidP="00981B1D">
      <w:pPr>
        <w:spacing w:line="360" w:lineRule="auto"/>
        <w:ind w:left="720"/>
        <w:jc w:val="both"/>
        <w:rPr>
          <w:rFonts w:ascii="Arial" w:hAnsi="Arial" w:cs="Arial"/>
        </w:rPr>
      </w:pPr>
      <w:r w:rsidRPr="00946738">
        <w:rPr>
          <w:rFonts w:ascii="Arial" w:hAnsi="Arial" w:cs="Arial"/>
        </w:rPr>
        <w:t>“was a stratagem contrived to justify the appointment of IBR, the politically pre-selected consultant, for an open-ended range of purposes over an extended period without a competitive tender process. It did not meet the requirements of Regulation 36 and was therefore invalid. As a result, all the expenditure incurred on IBR was incurred in contravention of the SCM Policy.” The facts in the present case are clearly distinguishable.”</w:t>
      </w:r>
    </w:p>
    <w:p w14:paraId="0FCECBC8" w14:textId="77777777" w:rsidR="00C86DDF" w:rsidRPr="00C86DDF" w:rsidRDefault="00C86DDF" w:rsidP="00C86DDF">
      <w:pPr>
        <w:pStyle w:val="ListParagraph"/>
        <w:rPr>
          <w:rFonts w:ascii="Arial" w:hAnsi="Arial" w:cs="Arial"/>
          <w:iCs/>
        </w:rPr>
      </w:pPr>
    </w:p>
    <w:p w14:paraId="6AF6C088" w14:textId="2E277972" w:rsidR="00981B1D" w:rsidRPr="00211211" w:rsidRDefault="00211211" w:rsidP="00211211">
      <w:pPr>
        <w:spacing w:line="360" w:lineRule="auto"/>
        <w:ind w:left="720" w:hanging="360"/>
        <w:jc w:val="both"/>
        <w:rPr>
          <w:rFonts w:ascii="Arial" w:hAnsi="Arial" w:cs="Arial"/>
          <w:iCs/>
        </w:rPr>
      </w:pPr>
      <w:r>
        <w:rPr>
          <w:rFonts w:ascii="Arial" w:hAnsi="Arial" w:cs="Arial"/>
          <w:iCs/>
        </w:rPr>
        <w:t>[62]</w:t>
      </w:r>
      <w:r>
        <w:rPr>
          <w:rFonts w:ascii="Arial" w:hAnsi="Arial" w:cs="Arial"/>
          <w:iCs/>
        </w:rPr>
        <w:tab/>
      </w:r>
      <w:r w:rsidR="00C86DDF" w:rsidRPr="00211211">
        <w:rPr>
          <w:rFonts w:ascii="Arial" w:hAnsi="Arial" w:cs="Arial"/>
          <w:iCs/>
        </w:rPr>
        <w:t>The facts and findings in Pietersen are clearly distinguishable</w:t>
      </w:r>
      <w:r w:rsidR="00981B1D" w:rsidRPr="00211211">
        <w:rPr>
          <w:rFonts w:ascii="Arial" w:hAnsi="Arial" w:cs="Arial"/>
          <w:iCs/>
        </w:rPr>
        <w:t xml:space="preserve"> from the present facts.</w:t>
      </w:r>
    </w:p>
    <w:p w14:paraId="50444525" w14:textId="77777777" w:rsidR="00981B1D" w:rsidRDefault="00981B1D" w:rsidP="00981B1D">
      <w:pPr>
        <w:pStyle w:val="ListParagraph"/>
        <w:spacing w:line="360" w:lineRule="auto"/>
        <w:jc w:val="both"/>
        <w:rPr>
          <w:rFonts w:ascii="Arial" w:hAnsi="Arial" w:cs="Arial"/>
          <w:iCs/>
        </w:rPr>
      </w:pPr>
    </w:p>
    <w:p w14:paraId="3B897D45" w14:textId="77777777" w:rsidR="00981B1D" w:rsidRPr="00946738" w:rsidRDefault="00981B1D" w:rsidP="00981B1D">
      <w:pPr>
        <w:spacing w:line="360" w:lineRule="auto"/>
        <w:jc w:val="both"/>
        <w:rPr>
          <w:rFonts w:ascii="Arial" w:hAnsi="Arial" w:cs="Arial"/>
          <w:b/>
          <w:bCs/>
          <w:i/>
          <w:iCs/>
        </w:rPr>
      </w:pPr>
      <w:r w:rsidRPr="00946738">
        <w:rPr>
          <w:rFonts w:ascii="Arial" w:hAnsi="Arial" w:cs="Arial"/>
          <w:b/>
          <w:bCs/>
          <w:i/>
          <w:iCs/>
        </w:rPr>
        <w:t>The remaining three requirements for an interdict</w:t>
      </w:r>
    </w:p>
    <w:p w14:paraId="468AC0D8" w14:textId="135E36D5" w:rsidR="001F1831" w:rsidRPr="00211211" w:rsidRDefault="00211211" w:rsidP="00211211">
      <w:pPr>
        <w:spacing w:line="360" w:lineRule="auto"/>
        <w:ind w:left="720" w:hanging="360"/>
        <w:jc w:val="both"/>
        <w:rPr>
          <w:rFonts w:ascii="Arial" w:hAnsi="Arial" w:cs="Arial"/>
          <w:iCs/>
        </w:rPr>
      </w:pPr>
      <w:r w:rsidRPr="001F1831">
        <w:rPr>
          <w:rFonts w:ascii="Arial" w:hAnsi="Arial" w:cs="Arial"/>
          <w:iCs/>
        </w:rPr>
        <w:t>[63]</w:t>
      </w:r>
      <w:r w:rsidRPr="001F1831">
        <w:rPr>
          <w:rFonts w:ascii="Arial" w:hAnsi="Arial" w:cs="Arial"/>
          <w:iCs/>
        </w:rPr>
        <w:tab/>
      </w:r>
      <w:r w:rsidR="00FC222A" w:rsidRPr="00211211">
        <w:rPr>
          <w:rFonts w:ascii="Arial" w:hAnsi="Arial" w:cs="Arial"/>
        </w:rPr>
        <w:t xml:space="preserve">Having failed to meet the low threshold of a </w:t>
      </w:r>
      <w:r w:rsidR="00FC222A" w:rsidRPr="00211211">
        <w:rPr>
          <w:rFonts w:ascii="Arial" w:hAnsi="Arial" w:cs="Arial"/>
          <w:i/>
          <w:iCs/>
        </w:rPr>
        <w:t>prima facie</w:t>
      </w:r>
      <w:r w:rsidR="00FC222A" w:rsidRPr="00211211">
        <w:rPr>
          <w:rFonts w:ascii="Arial" w:hAnsi="Arial" w:cs="Arial"/>
        </w:rPr>
        <w:t xml:space="preserve"> right to the interim interdict even open to doubt, it follows that the SIU has not established a reasonable apprehension of harm if the interdict is not granted. For the same reason, balance of convenience in granting the interdict does not favour the SIU. It will be extremely inconvenient for Netshidaulu’s pension benefits to be withheld until the intended action is concluded if the SIU has not established the legal basis for such an action, let alone the prospects of success</w:t>
      </w:r>
      <w:r w:rsidR="00F66376" w:rsidRPr="00211211">
        <w:rPr>
          <w:rFonts w:ascii="Arial" w:hAnsi="Arial" w:cs="Arial"/>
        </w:rPr>
        <w:t>.</w:t>
      </w:r>
      <w:r w:rsidR="00FC222A" w:rsidRPr="00211211">
        <w:rPr>
          <w:rFonts w:ascii="Arial" w:hAnsi="Arial" w:cs="Arial"/>
        </w:rPr>
        <w:t xml:space="preserve"> A question of an alternative remedy also does not arise because the SIU has not established that it has any basis for Netshidaulu to be held liable for any loss DWS and/ LNW may have suffered </w:t>
      </w:r>
      <w:r w:rsidR="00946738" w:rsidRPr="00211211">
        <w:rPr>
          <w:rFonts w:ascii="Arial" w:hAnsi="Arial" w:cs="Arial"/>
        </w:rPr>
        <w:t>because of</w:t>
      </w:r>
      <w:r w:rsidR="00316564" w:rsidRPr="00211211">
        <w:rPr>
          <w:rFonts w:ascii="Arial" w:hAnsi="Arial" w:cs="Arial"/>
        </w:rPr>
        <w:t xml:space="preserve"> Netshidaulu’s role in the procurement process that led to </w:t>
      </w:r>
      <w:r w:rsidR="00FC222A" w:rsidRPr="00211211">
        <w:rPr>
          <w:rFonts w:ascii="Arial" w:hAnsi="Arial" w:cs="Arial"/>
        </w:rPr>
        <w:t>BC’s appointment.</w:t>
      </w:r>
    </w:p>
    <w:p w14:paraId="41CEF428" w14:textId="77777777" w:rsidR="001F1831" w:rsidRPr="001F1831" w:rsidRDefault="001F1831" w:rsidP="001F1831">
      <w:pPr>
        <w:pStyle w:val="ListParagraph"/>
        <w:spacing w:line="360" w:lineRule="auto"/>
        <w:jc w:val="both"/>
        <w:rPr>
          <w:rFonts w:ascii="Arial" w:hAnsi="Arial" w:cs="Arial"/>
          <w:iCs/>
        </w:rPr>
      </w:pPr>
    </w:p>
    <w:p w14:paraId="0A303A13" w14:textId="1FAA37F2" w:rsidR="001F1831" w:rsidRPr="00211211" w:rsidRDefault="00211211" w:rsidP="00211211">
      <w:pPr>
        <w:spacing w:line="360" w:lineRule="auto"/>
        <w:ind w:left="720" w:hanging="360"/>
        <w:jc w:val="both"/>
        <w:rPr>
          <w:rFonts w:ascii="Arial" w:hAnsi="Arial" w:cs="Arial"/>
          <w:iCs/>
        </w:rPr>
      </w:pPr>
      <w:r w:rsidRPr="001F1831">
        <w:rPr>
          <w:rFonts w:ascii="Arial" w:hAnsi="Arial" w:cs="Arial"/>
          <w:iCs/>
        </w:rPr>
        <w:t>[64]</w:t>
      </w:r>
      <w:r w:rsidRPr="001F1831">
        <w:rPr>
          <w:rFonts w:ascii="Arial" w:hAnsi="Arial" w:cs="Arial"/>
          <w:iCs/>
        </w:rPr>
        <w:tab/>
      </w:r>
      <w:r w:rsidR="00FC222A" w:rsidRPr="00211211">
        <w:rPr>
          <w:rFonts w:ascii="Arial" w:hAnsi="Arial" w:cs="Arial"/>
        </w:rPr>
        <w:t xml:space="preserve">The application for an interim interdict must therefore fail. </w:t>
      </w:r>
    </w:p>
    <w:p w14:paraId="6D13A090" w14:textId="77777777" w:rsidR="001F1831" w:rsidRPr="001F1831" w:rsidRDefault="001F1831" w:rsidP="001F1831">
      <w:pPr>
        <w:pStyle w:val="ListParagraph"/>
        <w:rPr>
          <w:rFonts w:ascii="Arial" w:hAnsi="Arial" w:cs="Arial"/>
          <w:iCs/>
        </w:rPr>
      </w:pPr>
    </w:p>
    <w:p w14:paraId="28F2F6E9" w14:textId="77777777" w:rsidR="001F1831" w:rsidRPr="00946738" w:rsidRDefault="001F1831" w:rsidP="001F1831">
      <w:pPr>
        <w:pStyle w:val="ListParagraph"/>
        <w:rPr>
          <w:rFonts w:ascii="Arial" w:hAnsi="Arial" w:cs="Arial"/>
          <w:b/>
          <w:bCs/>
        </w:rPr>
      </w:pPr>
      <w:r w:rsidRPr="00946738">
        <w:rPr>
          <w:rFonts w:ascii="Arial" w:hAnsi="Arial" w:cs="Arial"/>
          <w:b/>
          <w:bCs/>
        </w:rPr>
        <w:t xml:space="preserve">Costs </w:t>
      </w:r>
    </w:p>
    <w:p w14:paraId="5899EC05" w14:textId="3131CB30" w:rsidR="004C0A3A" w:rsidRPr="00211211" w:rsidRDefault="00211211" w:rsidP="00211211">
      <w:pPr>
        <w:spacing w:line="360" w:lineRule="auto"/>
        <w:ind w:left="720" w:hanging="360"/>
        <w:jc w:val="both"/>
        <w:rPr>
          <w:rFonts w:ascii="Arial" w:hAnsi="Arial" w:cs="Arial"/>
          <w:iCs/>
        </w:rPr>
      </w:pPr>
      <w:r w:rsidRPr="004C0A3A">
        <w:rPr>
          <w:rFonts w:ascii="Arial" w:hAnsi="Arial" w:cs="Arial"/>
          <w:iCs/>
        </w:rPr>
        <w:t>[65]</w:t>
      </w:r>
      <w:r w:rsidRPr="004C0A3A">
        <w:rPr>
          <w:rFonts w:ascii="Arial" w:hAnsi="Arial" w:cs="Arial"/>
          <w:iCs/>
        </w:rPr>
        <w:tab/>
      </w:r>
      <w:r w:rsidR="00FC222A" w:rsidRPr="00211211">
        <w:rPr>
          <w:rFonts w:ascii="Arial" w:hAnsi="Arial" w:cs="Arial"/>
        </w:rPr>
        <w:t xml:space="preserve">Netshidaulu seeks a dismissal of the application on an attorney and client scale because it is frivolous and lack any prospect of success having brought on allegations in respect of which he was acquitted at a disciplinary hearing.  Further, the application </w:t>
      </w:r>
      <w:r w:rsidR="009B1C83" w:rsidRPr="00211211">
        <w:rPr>
          <w:rFonts w:ascii="Arial" w:hAnsi="Arial" w:cs="Arial"/>
        </w:rPr>
        <w:t xml:space="preserve">was </w:t>
      </w:r>
      <w:r w:rsidR="00FC222A" w:rsidRPr="00211211">
        <w:rPr>
          <w:rFonts w:ascii="Arial" w:hAnsi="Arial" w:cs="Arial"/>
        </w:rPr>
        <w:t xml:space="preserve">brought to unnecessarily punish and frustrate him and to cause hardship and delay in the processing of his pension benefits. These contentions are consistent with my findings. </w:t>
      </w:r>
    </w:p>
    <w:p w14:paraId="3EEAFCC9" w14:textId="77777777" w:rsidR="004C0A3A" w:rsidRPr="004C0A3A" w:rsidRDefault="004C0A3A" w:rsidP="004C0A3A">
      <w:pPr>
        <w:pStyle w:val="ListParagraph"/>
        <w:spacing w:line="360" w:lineRule="auto"/>
        <w:jc w:val="both"/>
        <w:rPr>
          <w:rFonts w:ascii="Arial" w:hAnsi="Arial" w:cs="Arial"/>
          <w:iCs/>
        </w:rPr>
      </w:pPr>
    </w:p>
    <w:p w14:paraId="7EF27FA7" w14:textId="7CE30528" w:rsidR="004C0A3A" w:rsidRPr="00211211" w:rsidRDefault="00211211" w:rsidP="00211211">
      <w:pPr>
        <w:spacing w:line="360" w:lineRule="auto"/>
        <w:ind w:left="720" w:hanging="360"/>
        <w:jc w:val="both"/>
        <w:rPr>
          <w:rFonts w:ascii="Arial" w:hAnsi="Arial" w:cs="Arial"/>
          <w:iCs/>
        </w:rPr>
      </w:pPr>
      <w:r w:rsidRPr="004C0A3A">
        <w:rPr>
          <w:rFonts w:ascii="Arial" w:hAnsi="Arial" w:cs="Arial"/>
          <w:iCs/>
        </w:rPr>
        <w:t>[66]</w:t>
      </w:r>
      <w:r w:rsidRPr="004C0A3A">
        <w:rPr>
          <w:rFonts w:ascii="Arial" w:hAnsi="Arial" w:cs="Arial"/>
          <w:iCs/>
        </w:rPr>
        <w:tab/>
      </w:r>
      <w:r w:rsidR="00FC222A" w:rsidRPr="00211211">
        <w:rPr>
          <w:rFonts w:ascii="Arial" w:hAnsi="Arial" w:cs="Arial"/>
        </w:rPr>
        <w:t xml:space="preserve">Even more seriously, the SIU has not established any basis on which Netshidaulu could be held liable for any loss </w:t>
      </w:r>
      <w:r w:rsidR="003C4C68" w:rsidRPr="00211211">
        <w:rPr>
          <w:rFonts w:ascii="Arial" w:hAnsi="Arial" w:cs="Arial"/>
        </w:rPr>
        <w:t xml:space="preserve">allegedly </w:t>
      </w:r>
      <w:r w:rsidR="00FC222A" w:rsidRPr="00211211">
        <w:rPr>
          <w:rFonts w:ascii="Arial" w:hAnsi="Arial" w:cs="Arial"/>
        </w:rPr>
        <w:t xml:space="preserve">suffered by DWS and/ or LNW and failed to disclose pertinent information to the Tribunal in respect of the </w:t>
      </w:r>
      <w:r w:rsidR="006856B9" w:rsidRPr="00211211">
        <w:rPr>
          <w:rFonts w:ascii="Arial" w:hAnsi="Arial" w:cs="Arial"/>
        </w:rPr>
        <w:t>disciplinary</w:t>
      </w:r>
      <w:r w:rsidR="00FC222A" w:rsidRPr="00211211">
        <w:rPr>
          <w:rFonts w:ascii="Arial" w:hAnsi="Arial" w:cs="Arial"/>
        </w:rPr>
        <w:t xml:space="preserve"> process in which Netshidaulu was acquitted on a charge based on the same allegation the SIU relies on in this application, thus failing to act in the interests of justice.</w:t>
      </w:r>
    </w:p>
    <w:p w14:paraId="38182AD8" w14:textId="77777777" w:rsidR="004C0A3A" w:rsidRPr="004C0A3A" w:rsidRDefault="004C0A3A" w:rsidP="004C0A3A">
      <w:pPr>
        <w:pStyle w:val="ListParagraph"/>
        <w:rPr>
          <w:rFonts w:ascii="Arial" w:hAnsi="Arial" w:cs="Arial"/>
        </w:rPr>
      </w:pPr>
    </w:p>
    <w:p w14:paraId="62774D15" w14:textId="08EF0962" w:rsidR="004C0A3A" w:rsidRPr="00211211" w:rsidRDefault="00211211" w:rsidP="00211211">
      <w:pPr>
        <w:spacing w:line="360" w:lineRule="auto"/>
        <w:ind w:left="720" w:hanging="360"/>
        <w:jc w:val="both"/>
        <w:rPr>
          <w:rFonts w:ascii="Arial" w:hAnsi="Arial" w:cs="Arial"/>
          <w:iCs/>
        </w:rPr>
      </w:pPr>
      <w:r w:rsidRPr="004C0A3A">
        <w:rPr>
          <w:rFonts w:ascii="Arial" w:hAnsi="Arial" w:cs="Arial"/>
          <w:iCs/>
        </w:rPr>
        <w:t>[67]</w:t>
      </w:r>
      <w:r w:rsidRPr="004C0A3A">
        <w:rPr>
          <w:rFonts w:ascii="Arial" w:hAnsi="Arial" w:cs="Arial"/>
          <w:iCs/>
        </w:rPr>
        <w:tab/>
      </w:r>
      <w:r w:rsidR="00FC222A" w:rsidRPr="00211211">
        <w:rPr>
          <w:rFonts w:ascii="Arial" w:hAnsi="Arial" w:cs="Arial"/>
        </w:rPr>
        <w:t xml:space="preserve">This conduct on the part of the SIU justify costs on the scale Netshidaulu contends for.   </w:t>
      </w:r>
    </w:p>
    <w:p w14:paraId="15D516E4" w14:textId="77777777" w:rsidR="004C0A3A" w:rsidRPr="004C0A3A" w:rsidRDefault="004C0A3A" w:rsidP="004C0A3A">
      <w:pPr>
        <w:pStyle w:val="ListParagraph"/>
        <w:rPr>
          <w:rFonts w:ascii="Arial" w:hAnsi="Arial" w:cs="Arial"/>
        </w:rPr>
      </w:pPr>
    </w:p>
    <w:p w14:paraId="252F4AB7" w14:textId="62A92DF2" w:rsidR="00FC222A" w:rsidRPr="00211211" w:rsidRDefault="00211211" w:rsidP="00211211">
      <w:pPr>
        <w:spacing w:line="360" w:lineRule="auto"/>
        <w:ind w:left="720" w:hanging="360"/>
        <w:jc w:val="both"/>
        <w:rPr>
          <w:rFonts w:ascii="Arial" w:hAnsi="Arial" w:cs="Arial"/>
          <w:iCs/>
        </w:rPr>
      </w:pPr>
      <w:r w:rsidRPr="004C0A3A">
        <w:rPr>
          <w:rFonts w:ascii="Arial" w:hAnsi="Arial" w:cs="Arial"/>
          <w:iCs/>
        </w:rPr>
        <w:t>[68]</w:t>
      </w:r>
      <w:r w:rsidRPr="004C0A3A">
        <w:rPr>
          <w:rFonts w:ascii="Arial" w:hAnsi="Arial" w:cs="Arial"/>
          <w:iCs/>
        </w:rPr>
        <w:tab/>
      </w:r>
      <w:r w:rsidR="00FC222A" w:rsidRPr="00211211">
        <w:rPr>
          <w:rFonts w:ascii="Arial" w:hAnsi="Arial" w:cs="Arial"/>
        </w:rPr>
        <w:t>In the premises, the following order is made:</w:t>
      </w:r>
    </w:p>
    <w:p w14:paraId="225222C7" w14:textId="77777777" w:rsidR="00FC222A" w:rsidRPr="008648CD" w:rsidRDefault="00FC222A" w:rsidP="008648CD">
      <w:pPr>
        <w:spacing w:line="360" w:lineRule="auto"/>
        <w:jc w:val="both"/>
        <w:rPr>
          <w:rFonts w:ascii="Arial" w:hAnsi="Arial" w:cs="Arial"/>
        </w:rPr>
      </w:pPr>
    </w:p>
    <w:p w14:paraId="440CED08" w14:textId="0EBE9CD2" w:rsidR="00FC222A" w:rsidRPr="00946738" w:rsidRDefault="00946738" w:rsidP="00946738">
      <w:pPr>
        <w:pStyle w:val="ListParagraph"/>
        <w:spacing w:line="360" w:lineRule="auto"/>
        <w:ind w:left="1080"/>
        <w:jc w:val="both"/>
        <w:rPr>
          <w:rFonts w:ascii="Arial" w:hAnsi="Arial" w:cs="Arial"/>
          <w:b/>
          <w:bCs/>
        </w:rPr>
      </w:pPr>
      <w:r w:rsidRPr="00946738">
        <w:rPr>
          <w:rFonts w:ascii="Arial" w:hAnsi="Arial" w:cs="Arial"/>
          <w:b/>
          <w:bCs/>
        </w:rPr>
        <w:t>Order</w:t>
      </w:r>
    </w:p>
    <w:p w14:paraId="3EEE2359" w14:textId="77777777" w:rsidR="00FC222A" w:rsidRPr="008648CD" w:rsidRDefault="00FC222A" w:rsidP="00946738">
      <w:pPr>
        <w:pStyle w:val="ListParagraph"/>
        <w:spacing w:line="360" w:lineRule="auto"/>
        <w:ind w:left="1080"/>
        <w:jc w:val="both"/>
        <w:rPr>
          <w:rFonts w:ascii="Arial" w:hAnsi="Arial" w:cs="Arial"/>
        </w:rPr>
      </w:pPr>
      <w:r w:rsidRPr="008648CD">
        <w:rPr>
          <w:rFonts w:ascii="Arial" w:hAnsi="Arial" w:cs="Arial"/>
        </w:rPr>
        <w:t>The application is dismissed with costs on the attorney and client scale.</w:t>
      </w:r>
    </w:p>
    <w:p w14:paraId="50CEE632" w14:textId="77777777" w:rsidR="00FC222A" w:rsidRPr="008648CD" w:rsidRDefault="00FC222A" w:rsidP="008648CD">
      <w:pPr>
        <w:spacing w:line="360" w:lineRule="auto"/>
        <w:jc w:val="both"/>
        <w:rPr>
          <w:rFonts w:ascii="Arial" w:eastAsia="Calibri" w:hAnsi="Arial" w:cs="Arial"/>
        </w:rPr>
      </w:pPr>
    </w:p>
    <w:p w14:paraId="5F886E49" w14:textId="0684BE17" w:rsidR="009D534E" w:rsidRDefault="009D534E" w:rsidP="00AB18D1">
      <w:pPr>
        <w:jc w:val="right"/>
        <w:rPr>
          <w:noProof/>
        </w:rPr>
      </w:pPr>
    </w:p>
    <w:p w14:paraId="34FEE7F3" w14:textId="77777777" w:rsidR="009E4631" w:rsidRDefault="009E4631" w:rsidP="00AB18D1">
      <w:pPr>
        <w:jc w:val="right"/>
        <w:rPr>
          <w:noProof/>
        </w:rPr>
      </w:pPr>
    </w:p>
    <w:p w14:paraId="16E031B6" w14:textId="77777777" w:rsidR="009E4631" w:rsidRDefault="009E4631" w:rsidP="00AB18D1">
      <w:pPr>
        <w:jc w:val="right"/>
        <w:rPr>
          <w:rFonts w:ascii="Arial" w:hAnsi="Arial" w:cs="Arial"/>
          <w:b/>
          <w:bCs/>
          <w:u w:val="single"/>
          <w:lang w:val="en-GB"/>
        </w:rPr>
      </w:pPr>
    </w:p>
    <w:p w14:paraId="6188CAC6" w14:textId="77777777" w:rsidR="009D534E" w:rsidRDefault="009D534E" w:rsidP="00AB18D1">
      <w:pPr>
        <w:jc w:val="right"/>
        <w:rPr>
          <w:rFonts w:ascii="Arial" w:hAnsi="Arial" w:cs="Arial"/>
          <w:b/>
          <w:bCs/>
          <w:u w:val="single"/>
          <w:lang w:val="en-GB"/>
        </w:rPr>
      </w:pPr>
    </w:p>
    <w:p w14:paraId="37FDB8E3" w14:textId="2F977C50" w:rsidR="00AB18D1" w:rsidRPr="00DA4515" w:rsidRDefault="00AB18D1" w:rsidP="00AB18D1">
      <w:pPr>
        <w:jc w:val="right"/>
        <w:rPr>
          <w:rFonts w:ascii="Arial" w:hAnsi="Arial" w:cs="Arial"/>
          <w:b/>
          <w:bCs/>
          <w:u w:val="single"/>
          <w:lang w:val="en-GB"/>
        </w:rPr>
      </w:pPr>
      <w:r w:rsidRPr="00DA4515">
        <w:rPr>
          <w:rFonts w:ascii="Arial" w:hAnsi="Arial" w:cs="Arial"/>
          <w:b/>
          <w:bCs/>
          <w:u w:val="single"/>
          <w:lang w:val="en-GB"/>
        </w:rPr>
        <w:tab/>
      </w:r>
      <w:r w:rsidRPr="00DA4515">
        <w:rPr>
          <w:rFonts w:ascii="Arial" w:hAnsi="Arial" w:cs="Arial"/>
          <w:b/>
          <w:bCs/>
          <w:u w:val="single"/>
          <w:lang w:val="en-GB"/>
        </w:rPr>
        <w:tab/>
      </w:r>
      <w:r w:rsidRPr="00DA4515">
        <w:rPr>
          <w:rFonts w:ascii="Arial" w:hAnsi="Arial" w:cs="Arial"/>
          <w:b/>
          <w:bCs/>
          <w:u w:val="single"/>
          <w:lang w:val="en-GB"/>
        </w:rPr>
        <w:tab/>
      </w:r>
      <w:r w:rsidRPr="00DA4515">
        <w:rPr>
          <w:rFonts w:ascii="Arial" w:hAnsi="Arial" w:cs="Arial"/>
          <w:b/>
          <w:bCs/>
          <w:u w:val="single"/>
          <w:lang w:val="en-GB"/>
        </w:rPr>
        <w:tab/>
      </w:r>
      <w:r w:rsidRPr="00DA4515">
        <w:rPr>
          <w:rFonts w:ascii="Arial" w:hAnsi="Arial" w:cs="Arial"/>
          <w:b/>
          <w:bCs/>
          <w:u w:val="single"/>
          <w:lang w:val="en-GB"/>
        </w:rPr>
        <w:tab/>
      </w:r>
      <w:r w:rsidRPr="00DA4515">
        <w:rPr>
          <w:rFonts w:ascii="Arial" w:hAnsi="Arial" w:cs="Arial"/>
          <w:b/>
          <w:bCs/>
          <w:u w:val="single"/>
          <w:lang w:val="en-GB"/>
        </w:rPr>
        <w:tab/>
      </w:r>
      <w:r w:rsidRPr="00DA4515">
        <w:rPr>
          <w:rFonts w:ascii="Arial" w:hAnsi="Arial" w:cs="Arial"/>
          <w:b/>
          <w:bCs/>
          <w:u w:val="single"/>
          <w:lang w:val="en-GB"/>
        </w:rPr>
        <w:tab/>
      </w:r>
    </w:p>
    <w:p w14:paraId="1BAABA94" w14:textId="59EAB6E6" w:rsidR="00AB18D1" w:rsidRPr="00DA4515" w:rsidRDefault="002C4C85" w:rsidP="002C4C85">
      <w:pPr>
        <w:ind w:left="3600"/>
        <w:rPr>
          <w:rFonts w:ascii="Arial" w:hAnsi="Arial" w:cs="Arial"/>
          <w:b/>
          <w:lang w:val="en-GB"/>
        </w:rPr>
      </w:pPr>
      <w:r>
        <w:rPr>
          <w:rFonts w:ascii="Arial" w:hAnsi="Arial" w:cs="Arial"/>
          <w:b/>
          <w:lang w:val="en-GB"/>
        </w:rPr>
        <w:t xml:space="preserve">        </w:t>
      </w:r>
      <w:r w:rsidR="00AB18D1" w:rsidRPr="00DA4515">
        <w:rPr>
          <w:rFonts w:ascii="Arial" w:hAnsi="Arial" w:cs="Arial"/>
          <w:b/>
          <w:lang w:val="en-GB"/>
        </w:rPr>
        <w:t>JUDGE L.</w:t>
      </w:r>
      <w:r w:rsidR="00AB18D1">
        <w:rPr>
          <w:rFonts w:ascii="Arial" w:hAnsi="Arial" w:cs="Arial"/>
          <w:b/>
          <w:lang w:val="en-GB"/>
        </w:rPr>
        <w:t>T.</w:t>
      </w:r>
      <w:r w:rsidR="00AB18D1" w:rsidRPr="00DA4515">
        <w:rPr>
          <w:rFonts w:ascii="Arial" w:hAnsi="Arial" w:cs="Arial"/>
          <w:b/>
          <w:lang w:val="en-GB"/>
        </w:rPr>
        <w:t xml:space="preserve"> MODIBA</w:t>
      </w:r>
    </w:p>
    <w:p w14:paraId="7FC478A2" w14:textId="77777777" w:rsidR="00AB18D1" w:rsidRPr="00DA4515" w:rsidRDefault="00AB18D1" w:rsidP="00AB18D1">
      <w:pPr>
        <w:jc w:val="right"/>
        <w:rPr>
          <w:rFonts w:ascii="Arial" w:hAnsi="Arial" w:cs="Arial"/>
          <w:b/>
          <w:bCs/>
          <w:lang w:val="en-GB"/>
        </w:rPr>
      </w:pPr>
      <w:r w:rsidRPr="00DA4515">
        <w:rPr>
          <w:rFonts w:ascii="Arial" w:hAnsi="Arial" w:cs="Arial"/>
          <w:b/>
          <w:lang w:val="en-GB"/>
        </w:rPr>
        <w:t>PRESIDENT OF THE SPECIAL TRIBUNAL</w:t>
      </w:r>
    </w:p>
    <w:p w14:paraId="2F54D9E3" w14:textId="77777777" w:rsidR="00AB18D1" w:rsidRDefault="00AB18D1" w:rsidP="00AB18D1">
      <w:pPr>
        <w:jc w:val="both"/>
        <w:rPr>
          <w:rFonts w:ascii="Arial" w:hAnsi="Arial" w:cs="Arial"/>
          <w:b/>
          <w:lang w:val="en-GB"/>
        </w:rPr>
      </w:pPr>
    </w:p>
    <w:p w14:paraId="653796D4" w14:textId="77777777" w:rsidR="00AB18D1" w:rsidRPr="006917F9" w:rsidRDefault="00AB18D1" w:rsidP="00AB18D1">
      <w:pPr>
        <w:jc w:val="both"/>
        <w:rPr>
          <w:rFonts w:ascii="Arial" w:hAnsi="Arial" w:cs="Arial"/>
          <w:b/>
          <w:lang w:val="en-GB"/>
        </w:rPr>
      </w:pPr>
      <w:r w:rsidRPr="006917F9">
        <w:rPr>
          <w:rFonts w:ascii="Arial" w:hAnsi="Arial" w:cs="Arial"/>
          <w:b/>
          <w:lang w:val="en-GB"/>
        </w:rPr>
        <w:t>Appearances</w:t>
      </w:r>
    </w:p>
    <w:p w14:paraId="20A23A27" w14:textId="4A74FB3F" w:rsidR="00AB18D1" w:rsidRPr="00430D88" w:rsidRDefault="00AB18D1" w:rsidP="00AB18D1">
      <w:pPr>
        <w:jc w:val="both"/>
        <w:rPr>
          <w:rFonts w:ascii="Arial" w:hAnsi="Arial" w:cs="Arial"/>
          <w:i/>
          <w:lang w:eastAsia="en-GB"/>
        </w:rPr>
      </w:pPr>
      <w:r w:rsidRPr="00430D88">
        <w:rPr>
          <w:rFonts w:ascii="Arial" w:hAnsi="Arial" w:cs="Arial"/>
          <w:i/>
          <w:lang w:eastAsia="en-GB"/>
        </w:rPr>
        <w:t xml:space="preserve">For </w:t>
      </w:r>
      <w:r w:rsidR="009D534E">
        <w:rPr>
          <w:rFonts w:ascii="Arial" w:hAnsi="Arial" w:cs="Arial"/>
          <w:i/>
          <w:lang w:eastAsia="en-GB"/>
        </w:rPr>
        <w:t>the first respondent</w:t>
      </w:r>
    </w:p>
    <w:p w14:paraId="145B52FB" w14:textId="77777777" w:rsidR="009D534E" w:rsidRPr="002C4C85" w:rsidRDefault="00AB18D1" w:rsidP="009D534E">
      <w:pPr>
        <w:spacing w:line="360" w:lineRule="auto"/>
        <w:jc w:val="both"/>
        <w:rPr>
          <w:rFonts w:ascii="Arial" w:hAnsi="Arial" w:cs="Arial"/>
          <w:lang w:eastAsia="en-GB"/>
        </w:rPr>
      </w:pPr>
      <w:r>
        <w:rPr>
          <w:rFonts w:ascii="Arial" w:hAnsi="Arial" w:cs="Arial"/>
          <w:lang w:eastAsia="en-GB"/>
        </w:rPr>
        <w:t xml:space="preserve">Counsel: </w:t>
      </w:r>
      <w:r w:rsidR="009D534E" w:rsidRPr="002C4C85">
        <w:rPr>
          <w:rFonts w:ascii="Arial" w:hAnsi="Arial" w:cs="Arial"/>
          <w:lang w:eastAsia="en-GB"/>
        </w:rPr>
        <w:t>Adv. M.E Ngoetjana  SC , assisted by N. Munangwa</w:t>
      </w:r>
    </w:p>
    <w:p w14:paraId="605B9F12" w14:textId="789FA13A" w:rsidR="00AB18D1" w:rsidRDefault="009D534E" w:rsidP="00AB18D1">
      <w:pPr>
        <w:jc w:val="both"/>
        <w:rPr>
          <w:rFonts w:ascii="Arial" w:hAnsi="Arial" w:cs="Arial"/>
          <w:lang w:eastAsia="en-GB"/>
        </w:rPr>
      </w:pPr>
      <w:r>
        <w:rPr>
          <w:rFonts w:ascii="Arial" w:hAnsi="Arial" w:cs="Arial"/>
          <w:lang w:eastAsia="en-GB"/>
        </w:rPr>
        <w:t>Attorney: Mr L</w:t>
      </w:r>
      <w:r w:rsidR="006E290D">
        <w:rPr>
          <w:rFonts w:ascii="Arial" w:hAnsi="Arial" w:cs="Arial"/>
          <w:lang w:eastAsia="en-GB"/>
        </w:rPr>
        <w:t>.</w:t>
      </w:r>
      <w:r>
        <w:rPr>
          <w:rFonts w:ascii="Arial" w:hAnsi="Arial" w:cs="Arial"/>
          <w:lang w:eastAsia="en-GB"/>
        </w:rPr>
        <w:t xml:space="preserve"> Baloyi</w:t>
      </w:r>
      <w:r w:rsidR="006E290D">
        <w:rPr>
          <w:rFonts w:ascii="Arial" w:hAnsi="Arial" w:cs="Arial"/>
          <w:lang w:eastAsia="en-GB"/>
        </w:rPr>
        <w:t>,</w:t>
      </w:r>
      <w:r>
        <w:rPr>
          <w:rFonts w:ascii="Arial" w:hAnsi="Arial" w:cs="Arial"/>
          <w:lang w:eastAsia="en-GB"/>
        </w:rPr>
        <w:t xml:space="preserve"> </w:t>
      </w:r>
      <w:r w:rsidR="002C4C85">
        <w:rPr>
          <w:rFonts w:ascii="Arial" w:hAnsi="Arial" w:cs="Arial"/>
          <w:lang w:eastAsia="en-GB"/>
        </w:rPr>
        <w:t>BL Attorneys INC</w:t>
      </w:r>
    </w:p>
    <w:p w14:paraId="35F26329" w14:textId="77777777" w:rsidR="00AB18D1" w:rsidRPr="00DA4515" w:rsidRDefault="00AB18D1" w:rsidP="00AB18D1">
      <w:pPr>
        <w:jc w:val="both"/>
        <w:rPr>
          <w:rFonts w:ascii="Arial" w:hAnsi="Arial" w:cs="Arial"/>
          <w:lang w:eastAsia="en-GB"/>
        </w:rPr>
      </w:pPr>
    </w:p>
    <w:p w14:paraId="2ED2EBC5" w14:textId="5FC7059B" w:rsidR="00AB18D1" w:rsidRPr="00430D88" w:rsidRDefault="00AB18D1" w:rsidP="00AB18D1">
      <w:pPr>
        <w:jc w:val="both"/>
        <w:rPr>
          <w:rFonts w:ascii="Arial" w:hAnsi="Arial" w:cs="Arial"/>
          <w:i/>
          <w:lang w:val="en-GB"/>
        </w:rPr>
      </w:pPr>
      <w:r w:rsidRPr="00430D88">
        <w:rPr>
          <w:rFonts w:ascii="Arial" w:hAnsi="Arial" w:cs="Arial"/>
          <w:i/>
          <w:lang w:val="en-GB"/>
        </w:rPr>
        <w:t>For The Special Investi</w:t>
      </w:r>
      <w:r w:rsidR="002C4C85">
        <w:rPr>
          <w:rFonts w:ascii="Arial" w:hAnsi="Arial" w:cs="Arial"/>
          <w:i/>
          <w:lang w:val="en-GB"/>
        </w:rPr>
        <w:t>gating Unit</w:t>
      </w:r>
    </w:p>
    <w:p w14:paraId="6CABB02B" w14:textId="1F46EA69" w:rsidR="00AB18D1" w:rsidRPr="00DA4515" w:rsidRDefault="00AB18D1" w:rsidP="00AB18D1">
      <w:pPr>
        <w:rPr>
          <w:rFonts w:ascii="Arial" w:hAnsi="Arial" w:cs="Arial"/>
          <w:lang w:eastAsia="en-GB"/>
        </w:rPr>
      </w:pPr>
      <w:r w:rsidRPr="00DA4515">
        <w:rPr>
          <w:rFonts w:ascii="Arial" w:hAnsi="Arial" w:cs="Arial"/>
          <w:lang w:eastAsia="en-GB"/>
        </w:rPr>
        <w:t>Counsel</w:t>
      </w:r>
      <w:r w:rsidR="002C4C85">
        <w:rPr>
          <w:rFonts w:ascii="Arial" w:hAnsi="Arial" w:cs="Arial"/>
          <w:lang w:eastAsia="en-GB"/>
        </w:rPr>
        <w:t>: Adv. MD. Sekwakweng</w:t>
      </w:r>
    </w:p>
    <w:p w14:paraId="11924607" w14:textId="4AE20F2A" w:rsidR="00AB18D1" w:rsidRPr="00DA4515" w:rsidRDefault="00AB18D1" w:rsidP="00AB18D1">
      <w:pPr>
        <w:rPr>
          <w:rFonts w:ascii="Arial" w:hAnsi="Arial" w:cs="Arial"/>
          <w:lang w:eastAsia="en-GB"/>
        </w:rPr>
      </w:pPr>
      <w:r w:rsidRPr="00DA4515">
        <w:rPr>
          <w:rFonts w:ascii="Arial" w:hAnsi="Arial" w:cs="Arial"/>
          <w:lang w:eastAsia="en-GB"/>
        </w:rPr>
        <w:t>Attorney: Ms S</w:t>
      </w:r>
      <w:r>
        <w:rPr>
          <w:rFonts w:ascii="Arial" w:hAnsi="Arial" w:cs="Arial"/>
          <w:lang w:eastAsia="en-GB"/>
        </w:rPr>
        <w:t>.</w:t>
      </w:r>
      <w:r w:rsidR="002C4C85">
        <w:rPr>
          <w:rFonts w:ascii="Arial" w:hAnsi="Arial" w:cs="Arial"/>
          <w:lang w:eastAsia="en-GB"/>
        </w:rPr>
        <w:t xml:space="preserve"> Zondi, Office of the State Attorney, Pretoria</w:t>
      </w:r>
    </w:p>
    <w:p w14:paraId="33953D4E" w14:textId="77777777" w:rsidR="00AB18D1" w:rsidRDefault="00AB18D1" w:rsidP="00AB18D1">
      <w:pPr>
        <w:rPr>
          <w:rFonts w:ascii="Arial" w:hAnsi="Arial" w:cs="Arial"/>
          <w:lang w:eastAsia="en-GB"/>
        </w:rPr>
      </w:pPr>
    </w:p>
    <w:p w14:paraId="47C6C17F" w14:textId="4405F163" w:rsidR="00AB18D1" w:rsidRPr="002C4C85" w:rsidRDefault="00AB18D1" w:rsidP="002C4C85">
      <w:pPr>
        <w:rPr>
          <w:rFonts w:ascii="Arial" w:hAnsi="Arial" w:cs="Arial"/>
          <w:b/>
          <w:lang w:eastAsia="en-GB"/>
        </w:rPr>
      </w:pPr>
      <w:r>
        <w:rPr>
          <w:rFonts w:ascii="Arial" w:hAnsi="Arial" w:cs="Arial"/>
          <w:b/>
          <w:lang w:eastAsia="en-GB"/>
        </w:rPr>
        <w:t>Date of hearing</w:t>
      </w:r>
      <w:r w:rsidR="002C4C85">
        <w:rPr>
          <w:rFonts w:ascii="Arial" w:hAnsi="Arial" w:cs="Arial"/>
          <w:b/>
          <w:lang w:eastAsia="en-GB"/>
        </w:rPr>
        <w:t xml:space="preserve">: </w:t>
      </w:r>
      <w:r w:rsidR="002C4C85" w:rsidRPr="002C4C85">
        <w:rPr>
          <w:rFonts w:ascii="Arial" w:hAnsi="Arial" w:cs="Arial"/>
          <w:lang w:eastAsia="en-GB"/>
        </w:rPr>
        <w:t>15 April 2024</w:t>
      </w:r>
    </w:p>
    <w:p w14:paraId="2EF9F323" w14:textId="77777777" w:rsidR="00AB18D1" w:rsidRDefault="00AB18D1" w:rsidP="00AB18D1">
      <w:pPr>
        <w:rPr>
          <w:rFonts w:ascii="Arial" w:hAnsi="Arial" w:cs="Arial"/>
          <w:b/>
          <w:lang w:eastAsia="en-GB"/>
        </w:rPr>
      </w:pPr>
    </w:p>
    <w:p w14:paraId="586CF670" w14:textId="3A54A9EF" w:rsidR="00AB18D1" w:rsidRDefault="00AB18D1" w:rsidP="00AB18D1">
      <w:pPr>
        <w:rPr>
          <w:rFonts w:ascii="Arial" w:hAnsi="Arial" w:cs="Arial"/>
          <w:lang w:eastAsia="en-GB"/>
        </w:rPr>
      </w:pPr>
      <w:r w:rsidRPr="006917F9">
        <w:rPr>
          <w:rFonts w:ascii="Arial" w:hAnsi="Arial" w:cs="Arial"/>
          <w:b/>
          <w:lang w:eastAsia="en-GB"/>
        </w:rPr>
        <w:t>Date of judgment</w:t>
      </w:r>
      <w:r w:rsidR="002C4C85">
        <w:rPr>
          <w:rFonts w:ascii="Arial" w:hAnsi="Arial" w:cs="Arial"/>
          <w:b/>
          <w:lang w:eastAsia="en-GB"/>
        </w:rPr>
        <w:t>:</w:t>
      </w:r>
      <w:r w:rsidR="002C4C85">
        <w:rPr>
          <w:rFonts w:ascii="Arial" w:hAnsi="Arial" w:cs="Arial"/>
          <w:lang w:eastAsia="en-GB"/>
        </w:rPr>
        <w:t xml:space="preserve">  </w:t>
      </w:r>
      <w:r w:rsidR="009D6E61">
        <w:rPr>
          <w:rFonts w:ascii="Arial" w:hAnsi="Arial" w:cs="Arial"/>
          <w:lang w:eastAsia="en-GB"/>
        </w:rPr>
        <w:t>16</w:t>
      </w:r>
      <w:r w:rsidR="002C4C85">
        <w:rPr>
          <w:rFonts w:ascii="Arial" w:hAnsi="Arial" w:cs="Arial"/>
          <w:lang w:eastAsia="en-GB"/>
        </w:rPr>
        <w:t xml:space="preserve"> May</w:t>
      </w:r>
      <w:r>
        <w:rPr>
          <w:rFonts w:ascii="Arial" w:hAnsi="Arial" w:cs="Arial"/>
          <w:lang w:eastAsia="en-GB"/>
        </w:rPr>
        <w:t xml:space="preserve"> 2024 </w:t>
      </w:r>
    </w:p>
    <w:p w14:paraId="67370672" w14:textId="77777777" w:rsidR="00AB18D1" w:rsidRDefault="00AB18D1" w:rsidP="00AB18D1">
      <w:pPr>
        <w:rPr>
          <w:rFonts w:ascii="Arial" w:hAnsi="Arial" w:cs="Arial"/>
          <w:lang w:eastAsia="en-GB"/>
        </w:rPr>
      </w:pPr>
    </w:p>
    <w:p w14:paraId="44FF2280" w14:textId="77777777" w:rsidR="00AB18D1" w:rsidRDefault="00AB18D1" w:rsidP="00AB18D1">
      <w:pPr>
        <w:rPr>
          <w:rFonts w:ascii="Arial" w:hAnsi="Arial" w:cs="Arial"/>
          <w:lang w:eastAsia="en-GB"/>
        </w:rPr>
      </w:pPr>
    </w:p>
    <w:p w14:paraId="0ADB4F3C" w14:textId="77777777" w:rsidR="00AB18D1" w:rsidRDefault="00AB18D1" w:rsidP="00AB18D1">
      <w:pPr>
        <w:rPr>
          <w:rFonts w:ascii="Arial" w:hAnsi="Arial" w:cs="Arial"/>
          <w:lang w:eastAsia="en-GB"/>
        </w:rPr>
      </w:pPr>
    </w:p>
    <w:p w14:paraId="1A7B7642" w14:textId="77777777" w:rsidR="00AB18D1" w:rsidRDefault="00AB18D1" w:rsidP="00AB18D1">
      <w:pPr>
        <w:rPr>
          <w:rFonts w:ascii="Arial" w:hAnsi="Arial" w:cs="Arial"/>
          <w:b/>
          <w:lang w:eastAsia="en-GB"/>
        </w:rPr>
      </w:pPr>
      <w:r w:rsidRPr="00EF628B">
        <w:rPr>
          <w:rFonts w:ascii="Arial" w:hAnsi="Arial" w:cs="Arial"/>
          <w:b/>
          <w:lang w:eastAsia="en-GB"/>
        </w:rPr>
        <w:t>Mode of delivery</w:t>
      </w:r>
    </w:p>
    <w:p w14:paraId="0D748411" w14:textId="4D57D347" w:rsidR="00AB18D1" w:rsidRPr="00DA4515" w:rsidRDefault="00AB18D1" w:rsidP="00AB18D1">
      <w:pPr>
        <w:pStyle w:val="JudgmentNumbered"/>
        <w:numPr>
          <w:ilvl w:val="0"/>
          <w:numId w:val="0"/>
        </w:numPr>
        <w:spacing w:after="0"/>
        <w:rPr>
          <w:szCs w:val="24"/>
        </w:rPr>
      </w:pPr>
      <w:r>
        <w:rPr>
          <w:rFonts w:eastAsia="Times New Roman"/>
          <w:szCs w:val="24"/>
          <w:lang w:eastAsia="en-GB"/>
        </w:rPr>
        <w:t>T</w:t>
      </w:r>
      <w:r w:rsidRPr="00081F1A">
        <w:rPr>
          <w:rFonts w:eastAsia="Times New Roman"/>
          <w:szCs w:val="24"/>
          <w:lang w:eastAsia="en-GB"/>
        </w:rPr>
        <w:t xml:space="preserve">his judgment is </w:t>
      </w:r>
      <w:r w:rsidRPr="00081F1A">
        <w:rPr>
          <w:rFonts w:eastAsia="Times New Roman"/>
          <w:color w:val="222222"/>
          <w:szCs w:val="24"/>
          <w:lang w:eastAsia="en-ZA"/>
        </w:rPr>
        <w:t xml:space="preserve">handed down by email transmission to the parties’ legal representatives, </w:t>
      </w:r>
      <w:r w:rsidR="006856B9">
        <w:rPr>
          <w:rFonts w:eastAsia="Times New Roman"/>
          <w:color w:val="222222"/>
          <w:szCs w:val="24"/>
          <w:lang w:eastAsia="en-ZA"/>
        </w:rPr>
        <w:t>uploading</w:t>
      </w:r>
      <w:r w:rsidRPr="00081F1A">
        <w:rPr>
          <w:rFonts w:eastAsia="Times New Roman"/>
          <w:color w:val="222222"/>
          <w:szCs w:val="24"/>
          <w:lang w:eastAsia="en-ZA"/>
        </w:rPr>
        <w:t xml:space="preserve"> on Caselines and release to SAFLII</w:t>
      </w:r>
      <w:r>
        <w:rPr>
          <w:rFonts w:eastAsia="Times New Roman"/>
          <w:color w:val="222222"/>
          <w:szCs w:val="24"/>
          <w:lang w:eastAsia="en-ZA"/>
        </w:rPr>
        <w:t xml:space="preserve"> and AFRICANLII</w:t>
      </w:r>
      <w:r w:rsidRPr="00081F1A">
        <w:rPr>
          <w:rFonts w:eastAsia="Times New Roman"/>
          <w:color w:val="222222"/>
          <w:szCs w:val="24"/>
          <w:lang w:eastAsia="en-ZA"/>
        </w:rPr>
        <w:t xml:space="preserve">. The date and time for delivery is deemed to be 10 </w:t>
      </w:r>
      <w:r w:rsidR="006603F2" w:rsidRPr="00081F1A">
        <w:rPr>
          <w:rFonts w:eastAsia="Times New Roman"/>
          <w:color w:val="222222"/>
          <w:szCs w:val="24"/>
          <w:lang w:eastAsia="en-ZA"/>
        </w:rPr>
        <w:t xml:space="preserve">am. </w:t>
      </w:r>
    </w:p>
    <w:p w14:paraId="79954735" w14:textId="77777777" w:rsidR="00AB18D1" w:rsidRPr="002979C9" w:rsidRDefault="00AB18D1" w:rsidP="00063D56">
      <w:pPr>
        <w:pStyle w:val="WLGLevel1"/>
        <w:numPr>
          <w:ilvl w:val="0"/>
          <w:numId w:val="0"/>
        </w:numPr>
        <w:ind w:left="567" w:hanging="567"/>
        <w:rPr>
          <w:rFonts w:cs="Arial"/>
          <w:szCs w:val="24"/>
        </w:rPr>
      </w:pPr>
    </w:p>
    <w:p w14:paraId="580BD9F9" w14:textId="77777777" w:rsidR="003E0813" w:rsidRPr="00E85D18" w:rsidRDefault="003E0813" w:rsidP="003E0813">
      <w:pPr>
        <w:pStyle w:val="WLGLevel1"/>
        <w:numPr>
          <w:ilvl w:val="0"/>
          <w:numId w:val="0"/>
        </w:numPr>
        <w:spacing w:line="240" w:lineRule="auto"/>
        <w:ind w:left="6946"/>
        <w:rPr>
          <w:rFonts w:cs="Arial"/>
          <w:b/>
          <w:bCs/>
          <w:szCs w:val="24"/>
        </w:rPr>
      </w:pPr>
    </w:p>
    <w:p w14:paraId="59B5FD7F" w14:textId="77777777" w:rsidR="003E0813" w:rsidRPr="00E85D18" w:rsidRDefault="003E0813" w:rsidP="003E0813">
      <w:pPr>
        <w:pStyle w:val="WLGLevel1"/>
        <w:numPr>
          <w:ilvl w:val="0"/>
          <w:numId w:val="0"/>
        </w:numPr>
        <w:spacing w:line="240" w:lineRule="auto"/>
        <w:ind w:left="6946"/>
        <w:rPr>
          <w:rFonts w:cs="Arial"/>
          <w:b/>
          <w:bCs/>
          <w:szCs w:val="24"/>
        </w:rPr>
      </w:pPr>
    </w:p>
    <w:sectPr w:rsidR="003E0813" w:rsidRPr="00E85D18" w:rsidSect="00D61906">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5BBD3" w14:textId="77777777" w:rsidR="008905CC" w:rsidRDefault="008905CC" w:rsidP="003E0813">
      <w:r>
        <w:separator/>
      </w:r>
    </w:p>
  </w:endnote>
  <w:endnote w:type="continuationSeparator" w:id="0">
    <w:p w14:paraId="4528B1C6" w14:textId="77777777" w:rsidR="008905CC" w:rsidRDefault="008905CC" w:rsidP="003E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3502708"/>
      <w:docPartObj>
        <w:docPartGallery w:val="Page Numbers (Bottom of Page)"/>
        <w:docPartUnique/>
      </w:docPartObj>
    </w:sdtPr>
    <w:sdtEndPr>
      <w:rPr>
        <w:rStyle w:val="PageNumber"/>
      </w:rPr>
    </w:sdtEndPr>
    <w:sdtContent>
      <w:p w14:paraId="7BCA91B2" w14:textId="77777777" w:rsidR="002713E7" w:rsidRDefault="009609C0" w:rsidP="00663E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45AC4" w14:textId="77777777" w:rsidR="002713E7" w:rsidRDefault="002713E7" w:rsidP="00A67D6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6890184"/>
      <w:docPartObj>
        <w:docPartGallery w:val="Page Numbers (Bottom of Page)"/>
        <w:docPartUnique/>
      </w:docPartObj>
    </w:sdtPr>
    <w:sdtEndPr>
      <w:rPr>
        <w:rStyle w:val="PageNumber"/>
        <w:rFonts w:ascii="Arial" w:hAnsi="Arial" w:cs="Arial"/>
        <w:sz w:val="22"/>
        <w:szCs w:val="22"/>
      </w:rPr>
    </w:sdtEndPr>
    <w:sdtContent>
      <w:p w14:paraId="1CC9D8BD" w14:textId="6D9B1233" w:rsidR="002713E7" w:rsidRPr="00CD6FF3" w:rsidRDefault="009609C0" w:rsidP="00663EB9">
        <w:pPr>
          <w:pStyle w:val="Footer"/>
          <w:framePr w:wrap="none" w:vAnchor="text" w:hAnchor="margin" w:xAlign="right" w:y="1"/>
          <w:rPr>
            <w:rStyle w:val="PageNumber"/>
            <w:rFonts w:ascii="Arial" w:hAnsi="Arial" w:cs="Arial"/>
            <w:sz w:val="22"/>
            <w:szCs w:val="22"/>
          </w:rPr>
        </w:pPr>
        <w:r w:rsidRPr="00CD6FF3">
          <w:rPr>
            <w:rStyle w:val="PageNumber"/>
            <w:rFonts w:ascii="Arial" w:hAnsi="Arial" w:cs="Arial"/>
            <w:sz w:val="22"/>
            <w:szCs w:val="22"/>
          </w:rPr>
          <w:fldChar w:fldCharType="begin"/>
        </w:r>
        <w:r w:rsidRPr="00CD6FF3">
          <w:rPr>
            <w:rStyle w:val="PageNumber"/>
            <w:rFonts w:ascii="Arial" w:hAnsi="Arial" w:cs="Arial"/>
            <w:sz w:val="22"/>
            <w:szCs w:val="22"/>
          </w:rPr>
          <w:instrText xml:space="preserve"> PAGE </w:instrText>
        </w:r>
        <w:r w:rsidRPr="00CD6FF3">
          <w:rPr>
            <w:rStyle w:val="PageNumber"/>
            <w:rFonts w:ascii="Arial" w:hAnsi="Arial" w:cs="Arial"/>
            <w:sz w:val="22"/>
            <w:szCs w:val="22"/>
          </w:rPr>
          <w:fldChar w:fldCharType="separate"/>
        </w:r>
        <w:r w:rsidR="00211211">
          <w:rPr>
            <w:rStyle w:val="PageNumber"/>
            <w:rFonts w:ascii="Arial" w:hAnsi="Arial" w:cs="Arial"/>
            <w:noProof/>
            <w:sz w:val="22"/>
            <w:szCs w:val="22"/>
          </w:rPr>
          <w:t>1</w:t>
        </w:r>
        <w:r w:rsidRPr="00CD6FF3">
          <w:rPr>
            <w:rStyle w:val="PageNumber"/>
            <w:rFonts w:ascii="Arial" w:hAnsi="Arial" w:cs="Arial"/>
            <w:sz w:val="22"/>
            <w:szCs w:val="22"/>
          </w:rPr>
          <w:fldChar w:fldCharType="end"/>
        </w:r>
      </w:p>
    </w:sdtContent>
  </w:sdt>
  <w:p w14:paraId="068C9944" w14:textId="77777777" w:rsidR="002713E7" w:rsidRPr="00CD6FF3" w:rsidRDefault="009609C0" w:rsidP="00A67D6F">
    <w:pPr>
      <w:pStyle w:val="Footer"/>
      <w:ind w:right="360"/>
      <w:rPr>
        <w:rFonts w:ascii="Arial" w:hAnsi="Arial" w:cs="Arial"/>
        <w:sz w:val="22"/>
        <w:szCs w:val="22"/>
      </w:rPr>
    </w:pPr>
    <w:r>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6665F" w14:textId="77777777" w:rsidR="008905CC" w:rsidRDefault="008905CC" w:rsidP="003E0813">
      <w:r>
        <w:separator/>
      </w:r>
    </w:p>
  </w:footnote>
  <w:footnote w:type="continuationSeparator" w:id="0">
    <w:p w14:paraId="53A90D3F" w14:textId="77777777" w:rsidR="008905CC" w:rsidRDefault="008905CC" w:rsidP="003E0813">
      <w:r>
        <w:continuationSeparator/>
      </w:r>
    </w:p>
  </w:footnote>
  <w:footnote w:id="1">
    <w:p w14:paraId="739DDD88" w14:textId="75FBDD4B" w:rsidR="00F86280" w:rsidRPr="00F86280" w:rsidRDefault="00F86280">
      <w:pPr>
        <w:pStyle w:val="FootnoteText"/>
        <w:rPr>
          <w:lang w:val="en-GB"/>
        </w:rPr>
      </w:pPr>
      <w:r>
        <w:rPr>
          <w:rStyle w:val="FootnoteReference"/>
        </w:rPr>
        <w:footnoteRef/>
      </w:r>
      <w:r>
        <w:t xml:space="preserve"> </w:t>
      </w:r>
      <w:r w:rsidRPr="00F86280">
        <w:t>Act No. 36 of 1998</w:t>
      </w:r>
      <w:r>
        <w:t>.</w:t>
      </w:r>
    </w:p>
  </w:footnote>
  <w:footnote w:id="2">
    <w:p w14:paraId="17D9E83E" w14:textId="77777777" w:rsidR="00690D48" w:rsidRDefault="00690D48" w:rsidP="00690D48">
      <w:pPr>
        <w:pStyle w:val="FootnoteText"/>
      </w:pPr>
      <w:r>
        <w:rPr>
          <w:rStyle w:val="FootnoteReference"/>
        </w:rPr>
        <w:footnoteRef/>
      </w:r>
      <w:r>
        <w:t xml:space="preserve"> Act 108 of 1997. Section 41 (1) (ii) provides as follows:</w:t>
      </w:r>
    </w:p>
    <w:p w14:paraId="1DAF4B06" w14:textId="77777777" w:rsidR="00690D48" w:rsidRPr="00F90F8F" w:rsidRDefault="00690D48" w:rsidP="00690D48">
      <w:pPr>
        <w:rPr>
          <w:rFonts w:ascii="Arial" w:hAnsi="Arial" w:cs="Arial"/>
          <w:b/>
          <w:bCs/>
          <w:sz w:val="20"/>
          <w:szCs w:val="20"/>
        </w:rPr>
      </w:pPr>
      <w:r w:rsidRPr="00F90F8F">
        <w:rPr>
          <w:rFonts w:ascii="Arial" w:hAnsi="Arial" w:cs="Arial"/>
          <w:b/>
          <w:bCs/>
          <w:sz w:val="20"/>
          <w:szCs w:val="20"/>
        </w:rPr>
        <w:t>“41  Directives to water boards</w:t>
      </w:r>
    </w:p>
    <w:p w14:paraId="68DDD701" w14:textId="77777777" w:rsidR="00690D48" w:rsidRPr="00F90F8F" w:rsidRDefault="00690D48" w:rsidP="00690D48">
      <w:pPr>
        <w:ind w:firstLine="284"/>
        <w:rPr>
          <w:rFonts w:ascii="Arial" w:hAnsi="Arial" w:cs="Arial"/>
          <w:sz w:val="20"/>
          <w:szCs w:val="20"/>
        </w:rPr>
      </w:pPr>
      <w:bookmarkStart w:id="1" w:name="0-0-0-28301"/>
      <w:bookmarkEnd w:id="1"/>
      <w:r w:rsidRPr="00F90F8F">
        <w:rPr>
          <w:rFonts w:ascii="Arial" w:hAnsi="Arial" w:cs="Arial"/>
          <w:sz w:val="20"/>
          <w:szCs w:val="20"/>
        </w:rPr>
        <w:t>(1) The Minister may, to the extent that it is reasonable, from time to time issue directives to a water board-</w:t>
      </w:r>
    </w:p>
    <w:p w14:paraId="218E398D" w14:textId="77777777" w:rsidR="00690D48" w:rsidRPr="00F90F8F" w:rsidRDefault="00690D48" w:rsidP="00690D48">
      <w:pPr>
        <w:ind w:hanging="737"/>
        <w:rPr>
          <w:rFonts w:ascii="Arial" w:hAnsi="Arial" w:cs="Arial"/>
          <w:sz w:val="20"/>
          <w:szCs w:val="20"/>
        </w:rPr>
      </w:pPr>
      <w:r w:rsidRPr="00F90F8F">
        <w:rPr>
          <w:rFonts w:ascii="Arial" w:hAnsi="Arial" w:cs="Arial"/>
          <w:sz w:val="20"/>
          <w:szCs w:val="20"/>
        </w:rPr>
        <w:t>   </w:t>
      </w:r>
      <w:bookmarkStart w:id="2" w:name="0-0-0-28303"/>
      <w:bookmarkEnd w:id="2"/>
      <w:r w:rsidRPr="00F90F8F">
        <w:rPr>
          <w:rFonts w:ascii="Arial" w:hAnsi="Arial" w:cs="Arial"/>
          <w:i/>
          <w:iCs/>
          <w:sz w:val="20"/>
          <w:szCs w:val="20"/>
        </w:rPr>
        <w:t>(a)</w:t>
      </w:r>
      <w:r w:rsidRPr="00F90F8F">
        <w:rPr>
          <w:rFonts w:ascii="Arial" w:hAnsi="Arial" w:cs="Arial"/>
          <w:sz w:val="20"/>
          <w:szCs w:val="20"/>
        </w:rPr>
        <w:t>   to undertake a specific activity-</w:t>
      </w:r>
    </w:p>
    <w:p w14:paraId="6842972F" w14:textId="77777777" w:rsidR="00690D48" w:rsidRPr="00F90F8F" w:rsidRDefault="00690D48" w:rsidP="00690D48">
      <w:pPr>
        <w:ind w:hanging="794"/>
        <w:rPr>
          <w:rFonts w:ascii="Arial" w:hAnsi="Arial" w:cs="Arial"/>
          <w:sz w:val="20"/>
          <w:szCs w:val="20"/>
        </w:rPr>
      </w:pPr>
      <w:r w:rsidRPr="00F90F8F">
        <w:rPr>
          <w:rFonts w:ascii="Arial" w:hAnsi="Arial" w:cs="Arial"/>
          <w:sz w:val="20"/>
          <w:szCs w:val="20"/>
        </w:rPr>
        <w:t>     </w:t>
      </w:r>
      <w:bookmarkStart w:id="3" w:name="0-0-0-28305"/>
      <w:bookmarkEnd w:id="3"/>
      <w:r w:rsidRPr="00F90F8F">
        <w:rPr>
          <w:rFonts w:ascii="Arial" w:hAnsi="Arial" w:cs="Arial"/>
          <w:sz w:val="20"/>
          <w:szCs w:val="20"/>
        </w:rPr>
        <w:tab/>
        <w:t>…</w:t>
      </w:r>
    </w:p>
    <w:p w14:paraId="5DAED26B" w14:textId="77777777" w:rsidR="00690D48" w:rsidRPr="00F90F8F" w:rsidRDefault="00690D48" w:rsidP="00690D48">
      <w:pPr>
        <w:ind w:hanging="794"/>
        <w:rPr>
          <w:rFonts w:ascii="Arial" w:hAnsi="Arial" w:cs="Arial"/>
          <w:sz w:val="20"/>
          <w:szCs w:val="20"/>
        </w:rPr>
      </w:pPr>
      <w:r w:rsidRPr="00F90F8F">
        <w:rPr>
          <w:rFonts w:ascii="Arial" w:hAnsi="Arial" w:cs="Arial"/>
          <w:sz w:val="20"/>
          <w:szCs w:val="20"/>
        </w:rPr>
        <w:t>    </w:t>
      </w:r>
      <w:bookmarkStart w:id="4" w:name="0-0-0-28307"/>
      <w:bookmarkEnd w:id="4"/>
      <w:r w:rsidRPr="00F90F8F">
        <w:rPr>
          <w:rFonts w:ascii="Arial" w:hAnsi="Arial" w:cs="Arial"/>
          <w:sz w:val="20"/>
          <w:szCs w:val="20"/>
        </w:rPr>
        <w:t>(ii)   against full or partial payment, as directed by the Minister; or</w:t>
      </w:r>
    </w:p>
    <w:p w14:paraId="16CB45BD" w14:textId="77777777" w:rsidR="00690D48" w:rsidRPr="00F90F8F" w:rsidRDefault="00690D48" w:rsidP="00690D48">
      <w:pPr>
        <w:ind w:hanging="737"/>
        <w:rPr>
          <w:rFonts w:ascii="Arial" w:hAnsi="Arial" w:cs="Arial"/>
          <w:sz w:val="20"/>
          <w:szCs w:val="20"/>
        </w:rPr>
      </w:pPr>
      <w:r w:rsidRPr="00F90F8F">
        <w:rPr>
          <w:rFonts w:ascii="Arial" w:hAnsi="Arial" w:cs="Arial"/>
          <w:sz w:val="20"/>
          <w:szCs w:val="20"/>
        </w:rPr>
        <w:t>   </w:t>
      </w:r>
      <w:bookmarkStart w:id="5" w:name="0-0-0-28309"/>
      <w:bookmarkEnd w:id="5"/>
      <w:r w:rsidRPr="00F90F8F">
        <w:rPr>
          <w:rFonts w:ascii="Arial" w:hAnsi="Arial" w:cs="Arial"/>
          <w:i/>
          <w:iCs/>
          <w:sz w:val="20"/>
          <w:szCs w:val="20"/>
        </w:rPr>
        <w:t>(b)</w:t>
      </w:r>
      <w:r w:rsidRPr="00F90F8F">
        <w:rPr>
          <w:rFonts w:ascii="Arial" w:hAnsi="Arial" w:cs="Arial"/>
          <w:sz w:val="20"/>
          <w:szCs w:val="20"/>
        </w:rPr>
        <w:t>   …</w:t>
      </w:r>
    </w:p>
    <w:p w14:paraId="0F3F2899" w14:textId="77777777" w:rsidR="00690D48" w:rsidRPr="00F90F8F" w:rsidRDefault="00690D48" w:rsidP="00690D48">
      <w:pPr>
        <w:ind w:firstLine="284"/>
        <w:rPr>
          <w:rFonts w:ascii="Arial" w:hAnsi="Arial" w:cs="Arial"/>
          <w:sz w:val="20"/>
          <w:szCs w:val="20"/>
        </w:rPr>
      </w:pPr>
      <w:bookmarkStart w:id="6" w:name="0-0-0-28315"/>
      <w:bookmarkEnd w:id="6"/>
      <w:r w:rsidRPr="00F90F8F">
        <w:rPr>
          <w:rFonts w:ascii="Arial" w:hAnsi="Arial" w:cs="Arial"/>
          <w:sz w:val="20"/>
          <w:szCs w:val="20"/>
        </w:rPr>
        <w:t>(2) The water board must comply with any directive given under subsection (1).</w:t>
      </w:r>
    </w:p>
    <w:p w14:paraId="05052D42" w14:textId="77777777" w:rsidR="00690D48" w:rsidRPr="00F90F8F" w:rsidRDefault="00690D48" w:rsidP="00690D48">
      <w:pPr>
        <w:pStyle w:val="FootnoteText"/>
        <w:rPr>
          <w:rFonts w:ascii="Arial" w:hAnsi="Arial" w:cs="Arial"/>
          <w:lang w:val="en-GB"/>
        </w:rPr>
      </w:pPr>
    </w:p>
  </w:footnote>
  <w:footnote w:id="3">
    <w:p w14:paraId="453429D8" w14:textId="1F9B835C" w:rsidR="00FC222A" w:rsidRPr="009B7E32" w:rsidRDefault="00FC222A" w:rsidP="00FC222A">
      <w:pPr>
        <w:pStyle w:val="FootnoteText"/>
        <w:rPr>
          <w:rFonts w:ascii="Arial" w:hAnsi="Arial" w:cs="Arial"/>
          <w:lang w:val="en-GB"/>
        </w:rPr>
      </w:pPr>
      <w:r>
        <w:rPr>
          <w:rStyle w:val="FootnoteReference"/>
        </w:rPr>
        <w:footnoteRef/>
      </w:r>
      <w:r>
        <w:t xml:space="preserve"> </w:t>
      </w:r>
      <w:r w:rsidRPr="009B7E32">
        <w:rPr>
          <w:rFonts w:ascii="Arial" w:hAnsi="Arial" w:cs="Arial"/>
          <w:lang w:val="en-GB"/>
        </w:rPr>
        <w:t xml:space="preserve">See </w:t>
      </w:r>
      <w:r w:rsidRPr="003730E1">
        <w:rPr>
          <w:rFonts w:ascii="Arial" w:hAnsi="Arial" w:cs="Arial"/>
          <w:i/>
          <w:iCs/>
          <w:lang w:val="en-GB"/>
        </w:rPr>
        <w:t>In Re: Several Matters on the Urgent Court Roll</w:t>
      </w:r>
      <w:r w:rsidRPr="009B7E32">
        <w:rPr>
          <w:rFonts w:ascii="Arial" w:hAnsi="Arial" w:cs="Arial"/>
          <w:lang w:val="en-GB"/>
        </w:rPr>
        <w:t xml:space="preserve"> 2013 (1) SA 549 (GSJ) at 551 par</w:t>
      </w:r>
      <w:r>
        <w:rPr>
          <w:rFonts w:ascii="Arial" w:hAnsi="Arial" w:cs="Arial"/>
          <w:lang w:val="en-GB"/>
        </w:rPr>
        <w:t xml:space="preserve">agraph </w:t>
      </w:r>
      <w:r w:rsidRPr="009B7E32">
        <w:rPr>
          <w:rFonts w:ascii="Arial" w:hAnsi="Arial" w:cs="Arial"/>
          <w:lang w:val="en-GB"/>
        </w:rPr>
        <w:t>7 to 8</w:t>
      </w:r>
      <w:r>
        <w:rPr>
          <w:rFonts w:ascii="Arial" w:hAnsi="Arial" w:cs="Arial"/>
          <w:lang w:val="en-GB"/>
        </w:rPr>
        <w:t xml:space="preserve">. See also, </w:t>
      </w:r>
      <w:r w:rsidR="009B3FFC" w:rsidRPr="009B3FFC">
        <w:rPr>
          <w:rFonts w:ascii="Arial" w:hAnsi="Arial" w:cs="Arial"/>
          <w:i/>
          <w:iCs/>
          <w:lang w:val="en-GB"/>
        </w:rPr>
        <w:t>East Rock Trading 7 (Pty) Ltd v Eagle Valley Granite</w:t>
      </w:r>
      <w:r w:rsidR="009B3FFC" w:rsidRPr="009B3FFC">
        <w:rPr>
          <w:rFonts w:ascii="Arial" w:hAnsi="Arial" w:cs="Arial"/>
          <w:lang w:val="en-GB"/>
        </w:rPr>
        <w:t xml:space="preserve"> (Pty) Ltd 2011 JDR 1832 (GSJ)</w:t>
      </w:r>
      <w:r w:rsidR="009B3FFC">
        <w:rPr>
          <w:rFonts w:ascii="Arial" w:hAnsi="Arial" w:cs="Arial"/>
          <w:lang w:val="en-GB"/>
        </w:rPr>
        <w:t>.</w:t>
      </w:r>
    </w:p>
  </w:footnote>
  <w:footnote w:id="4">
    <w:p w14:paraId="42B30351" w14:textId="0976B9C9" w:rsidR="00BF3714" w:rsidRPr="003C4C68" w:rsidRDefault="00BF3714" w:rsidP="003C4C68">
      <w:r>
        <w:rPr>
          <w:rStyle w:val="FootnoteReference"/>
        </w:rPr>
        <w:footnoteRef/>
      </w:r>
      <w:r>
        <w:t xml:space="preserve"> [2023] JOL </w:t>
      </w:r>
      <w:r w:rsidRPr="003C4C68">
        <w:t>59916 (FB</w:t>
      </w:r>
      <w:r w:rsidR="003C4C68">
        <w:t>).</w:t>
      </w:r>
    </w:p>
  </w:footnote>
  <w:footnote w:id="5">
    <w:p w14:paraId="7196AB80" w14:textId="39D88457" w:rsidR="00C5635D" w:rsidRPr="003C4C68" w:rsidRDefault="00C5635D" w:rsidP="004A3BED">
      <w:pPr>
        <w:pStyle w:val="FootnoteText"/>
        <w:jc w:val="both"/>
        <w:rPr>
          <w:rFonts w:ascii="Arial" w:hAnsi="Arial" w:cs="Arial"/>
          <w:lang w:val="en-GB"/>
        </w:rPr>
      </w:pPr>
      <w:r>
        <w:rPr>
          <w:rStyle w:val="FootnoteReference"/>
        </w:rPr>
        <w:footnoteRef/>
      </w:r>
      <w:r>
        <w:t xml:space="preserve"> </w:t>
      </w:r>
      <w:r w:rsidR="00F605F5" w:rsidRPr="003C4C68">
        <w:rPr>
          <w:rFonts w:ascii="Arial" w:hAnsi="Arial" w:cs="Arial"/>
          <w:i/>
          <w:iCs/>
        </w:rPr>
        <w:t xml:space="preserve">Oudekraal Estates (Pty) Ltd v City of Cape Town and Others </w:t>
      </w:r>
      <w:r w:rsidR="00F605F5" w:rsidRPr="003C4C68">
        <w:rPr>
          <w:rFonts w:ascii="Arial" w:hAnsi="Arial" w:cs="Arial"/>
        </w:rPr>
        <w:t>2004 (6) SA 222 (SCA) at [26]</w:t>
      </w:r>
      <w:r w:rsidR="004A3BED" w:rsidRPr="003C4C68">
        <w:rPr>
          <w:rFonts w:ascii="Arial" w:hAnsi="Arial" w:cs="Arial"/>
        </w:rPr>
        <w:t>.</w:t>
      </w:r>
    </w:p>
  </w:footnote>
  <w:footnote w:id="6">
    <w:p w14:paraId="7D360CD2" w14:textId="113DCA45" w:rsidR="00FC222A" w:rsidRPr="003C4C68" w:rsidRDefault="00FC222A" w:rsidP="004A3BED">
      <w:pPr>
        <w:pStyle w:val="FootnoteText"/>
        <w:ind w:left="709" w:hanging="709"/>
        <w:jc w:val="both"/>
        <w:rPr>
          <w:rFonts w:ascii="Arial" w:hAnsi="Arial" w:cs="Arial"/>
        </w:rPr>
      </w:pPr>
      <w:r w:rsidRPr="003C4C68">
        <w:rPr>
          <w:rStyle w:val="FootnoteReference"/>
          <w:rFonts w:ascii="Arial" w:hAnsi="Arial" w:cs="Arial"/>
        </w:rPr>
        <w:footnoteRef/>
      </w:r>
      <w:r w:rsidRPr="003C4C68">
        <w:rPr>
          <w:rFonts w:ascii="Arial" w:hAnsi="Arial" w:cs="Arial"/>
        </w:rPr>
        <w:t xml:space="preserve"> </w:t>
      </w:r>
      <w:r w:rsidRPr="003C4C68">
        <w:rPr>
          <w:rFonts w:ascii="Arial" w:hAnsi="Arial" w:cs="Arial"/>
          <w:i/>
          <w:iCs/>
        </w:rPr>
        <w:t>Setlogelo v Setlogelo</w:t>
      </w:r>
      <w:r w:rsidRPr="003C4C68">
        <w:rPr>
          <w:rFonts w:ascii="Arial" w:hAnsi="Arial" w:cs="Arial"/>
        </w:rPr>
        <w:t xml:space="preserve"> 1914 AD 221 at 227; </w:t>
      </w:r>
      <w:r w:rsidRPr="003C4C68">
        <w:rPr>
          <w:rFonts w:ascii="Arial" w:hAnsi="Arial" w:cs="Arial"/>
          <w:i/>
          <w:iCs/>
        </w:rPr>
        <w:t>National Treasury and Others v Opposition to Urban Tolling</w:t>
      </w:r>
      <w:r w:rsidR="00EB20F8" w:rsidRPr="003C4C68">
        <w:rPr>
          <w:rFonts w:ascii="Arial" w:hAnsi="Arial" w:cs="Arial"/>
        </w:rPr>
        <w:t xml:space="preserve"> </w:t>
      </w:r>
      <w:r w:rsidRPr="003C4C68">
        <w:rPr>
          <w:rFonts w:ascii="Arial" w:hAnsi="Arial" w:cs="Arial"/>
          <w:i/>
          <w:iCs/>
        </w:rPr>
        <w:t xml:space="preserve">Alliance and Others </w:t>
      </w:r>
      <w:r w:rsidRPr="003C4C68">
        <w:rPr>
          <w:rFonts w:ascii="Arial" w:hAnsi="Arial" w:cs="Arial"/>
        </w:rPr>
        <w:t>(CCT 38/12) [2012] ZACC 18; 2012 (6) SA 223 (CC); 2012 (11) BCLR 1148 (CC) (20 September 2012) (“OUTA”) paras [41] – [45].</w:t>
      </w:r>
    </w:p>
  </w:footnote>
  <w:footnote w:id="7">
    <w:p w14:paraId="57EE6B38" w14:textId="3C6EE82E" w:rsidR="00C5635D" w:rsidRPr="00EB20F8" w:rsidRDefault="00C5635D">
      <w:pPr>
        <w:pStyle w:val="FootnoteText"/>
        <w:rPr>
          <w:rFonts w:ascii="Arial" w:hAnsi="Arial" w:cs="Arial"/>
          <w:lang w:val="en-GB"/>
        </w:rPr>
      </w:pPr>
      <w:r w:rsidRPr="003C4C68">
        <w:rPr>
          <w:rStyle w:val="FootnoteReference"/>
          <w:rFonts w:ascii="Arial" w:hAnsi="Arial" w:cs="Arial"/>
        </w:rPr>
        <w:footnoteRef/>
      </w:r>
      <w:r w:rsidRPr="003C4C68">
        <w:rPr>
          <w:rFonts w:ascii="Arial" w:hAnsi="Arial" w:cs="Arial"/>
        </w:rPr>
        <w:t xml:space="preserve"> </w:t>
      </w:r>
      <w:r w:rsidR="00EB20F8" w:rsidRPr="003C4C68">
        <w:rPr>
          <w:rFonts w:ascii="Arial" w:hAnsi="Arial" w:cs="Arial"/>
          <w:i/>
          <w:iCs/>
        </w:rPr>
        <w:t xml:space="preserve">Webster v Mitchell </w:t>
      </w:r>
      <w:r w:rsidR="00EB20F8" w:rsidRPr="003C4C68">
        <w:rPr>
          <w:rFonts w:ascii="Arial" w:hAnsi="Arial" w:cs="Arial"/>
        </w:rPr>
        <w:t>1948 (1) SA 1186 (W).</w:t>
      </w:r>
      <w:r w:rsidR="00EB20F8" w:rsidRPr="00EB20F8">
        <w:rPr>
          <w:rFonts w:ascii="Arial" w:hAnsi="Arial" w:cs="Arial"/>
        </w:rPr>
        <w:t xml:space="preserve"> </w:t>
      </w:r>
    </w:p>
  </w:footnote>
  <w:footnote w:id="8">
    <w:p w14:paraId="1D96CDD3" w14:textId="77777777" w:rsidR="00FC222A" w:rsidRPr="00955D96" w:rsidRDefault="00FC222A" w:rsidP="00955D96">
      <w:pPr>
        <w:pStyle w:val="FootnoteText"/>
        <w:jc w:val="both"/>
        <w:rPr>
          <w:rFonts w:ascii="Arial" w:hAnsi="Arial" w:cs="Arial"/>
          <w:lang w:val="en-GB"/>
        </w:rPr>
      </w:pPr>
      <w:r>
        <w:rPr>
          <w:rStyle w:val="FootnoteReference"/>
        </w:rPr>
        <w:footnoteRef/>
      </w:r>
      <w:r>
        <w:t xml:space="preserve"> </w:t>
      </w:r>
      <w:r w:rsidRPr="00955D96">
        <w:rPr>
          <w:rFonts w:ascii="Arial" w:hAnsi="Arial" w:cs="Arial"/>
          <w:i/>
          <w:iCs/>
        </w:rPr>
        <w:t>South African Informal Traders Forum and Others v City of Johannesburg and Others; South African National Traders Retail Association v City of Johannesburg and Others</w:t>
      </w:r>
      <w:r w:rsidRPr="00955D96">
        <w:rPr>
          <w:rFonts w:ascii="Arial" w:hAnsi="Arial" w:cs="Arial"/>
        </w:rPr>
        <w:t xml:space="preserve"> 2014 (4) SA 371 (CC) at paragraph 25. </w:t>
      </w:r>
    </w:p>
  </w:footnote>
  <w:footnote w:id="9">
    <w:p w14:paraId="70AFB1D1" w14:textId="23ED2853" w:rsidR="006856B9" w:rsidRPr="006856B9" w:rsidRDefault="006856B9" w:rsidP="006856B9">
      <w:pPr>
        <w:jc w:val="both"/>
        <w:rPr>
          <w:rFonts w:ascii="Arial" w:hAnsi="Arial" w:cs="Arial"/>
        </w:rPr>
      </w:pPr>
      <w:r>
        <w:rPr>
          <w:rStyle w:val="FootnoteReference"/>
        </w:rPr>
        <w:footnoteRef/>
      </w:r>
      <w:r>
        <w:t xml:space="preserve"> </w:t>
      </w:r>
      <w:r w:rsidRPr="006856B9">
        <w:rPr>
          <w:rFonts w:ascii="Arial" w:hAnsi="Arial" w:cs="Arial"/>
          <w:i/>
          <w:iCs/>
          <w:sz w:val="22"/>
          <w:szCs w:val="22"/>
        </w:rPr>
        <w:t>Pietersen v S</w:t>
      </w:r>
      <w:r w:rsidRPr="006856B9">
        <w:rPr>
          <w:rFonts w:ascii="Arial" w:hAnsi="Arial" w:cs="Arial"/>
          <w:sz w:val="22"/>
          <w:szCs w:val="22"/>
        </w:rPr>
        <w:t xml:space="preserve"> (A309/2017) [2019] ZAWCHC 93 (6 February 2019). </w:t>
      </w:r>
    </w:p>
    <w:p w14:paraId="19C07BD3" w14:textId="1F459B9C" w:rsidR="006856B9" w:rsidRPr="006856B9" w:rsidRDefault="006856B9" w:rsidP="006856B9">
      <w:pPr>
        <w:jc w:val="both"/>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081037"/>
      <w:docPartObj>
        <w:docPartGallery w:val="Page Numbers (Top of Page)"/>
        <w:docPartUnique/>
      </w:docPartObj>
    </w:sdtPr>
    <w:sdtEndPr>
      <w:rPr>
        <w:noProof/>
      </w:rPr>
    </w:sdtEndPr>
    <w:sdtContent>
      <w:p w14:paraId="16AEF752" w14:textId="74F269C6" w:rsidR="006856B9" w:rsidRDefault="006856B9">
        <w:pPr>
          <w:pStyle w:val="Header"/>
          <w:jc w:val="right"/>
        </w:pPr>
        <w:r>
          <w:fldChar w:fldCharType="begin"/>
        </w:r>
        <w:r>
          <w:instrText xml:space="preserve"> PAGE   \* MERGEFORMAT </w:instrText>
        </w:r>
        <w:r>
          <w:fldChar w:fldCharType="separate"/>
        </w:r>
        <w:r w:rsidR="00211211">
          <w:rPr>
            <w:noProof/>
          </w:rPr>
          <w:t>1</w:t>
        </w:r>
        <w:r>
          <w:rPr>
            <w:noProof/>
          </w:rPr>
          <w:fldChar w:fldCharType="end"/>
        </w:r>
      </w:p>
    </w:sdtContent>
  </w:sdt>
  <w:p w14:paraId="447E2CFB" w14:textId="77777777" w:rsidR="006856B9" w:rsidRDefault="006856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B44"/>
    <w:multiLevelType w:val="hybridMultilevel"/>
    <w:tmpl w:val="3594BA2E"/>
    <w:lvl w:ilvl="0" w:tplc="A9A6D00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291320C"/>
    <w:multiLevelType w:val="hybridMultilevel"/>
    <w:tmpl w:val="219CDC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D26951"/>
    <w:multiLevelType w:val="hybridMultilevel"/>
    <w:tmpl w:val="4A52A662"/>
    <w:lvl w:ilvl="0" w:tplc="9C5AB5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4C546F"/>
    <w:multiLevelType w:val="hybridMultilevel"/>
    <w:tmpl w:val="D750A9A0"/>
    <w:lvl w:ilvl="0" w:tplc="E7C65582">
      <w:start w:val="1"/>
      <w:numFmt w:val="lowerRoman"/>
      <w:lvlText w:val="(%1)"/>
      <w:lvlJc w:val="left"/>
      <w:pPr>
        <w:ind w:left="1287" w:hanging="360"/>
      </w:pPr>
      <w:rPr>
        <w:rFonts w:ascii="Arial" w:eastAsia="Times New Roman" w:hAnsi="Arial" w:cs="Arial"/>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15:restartNumberingAfterBreak="0">
    <w:nsid w:val="174E3A5E"/>
    <w:multiLevelType w:val="hybridMultilevel"/>
    <w:tmpl w:val="77DA42AE"/>
    <w:lvl w:ilvl="0" w:tplc="4E6027B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C7E3FC3"/>
    <w:multiLevelType w:val="hybridMultilevel"/>
    <w:tmpl w:val="BF3CE2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C9701B6"/>
    <w:multiLevelType w:val="hybridMultilevel"/>
    <w:tmpl w:val="B4EA0766"/>
    <w:lvl w:ilvl="0" w:tplc="F3A00A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F45473B"/>
    <w:multiLevelType w:val="multilevel"/>
    <w:tmpl w:val="6556086E"/>
    <w:lvl w:ilvl="0">
      <w:start w:val="1"/>
      <w:numFmt w:val="decimal"/>
      <w:pStyle w:val="JudgmentNumbered"/>
      <w:lvlText w:val="%1."/>
      <w:lvlJc w:val="left"/>
      <w:pPr>
        <w:ind w:left="567" w:hanging="567"/>
      </w:pPr>
      <w:rPr>
        <w:rFonts w:ascii="Arial" w:eastAsiaTheme="minorHAnsi" w:hAnsi="Arial" w:cs="Arial"/>
      </w:rPr>
    </w:lvl>
    <w:lvl w:ilvl="1">
      <w:start w:val="1"/>
      <w:numFmt w:val="decimal"/>
      <w:lvlText w:val="%2."/>
      <w:lvlJc w:val="left"/>
      <w:pPr>
        <w:ind w:left="927" w:hanging="360"/>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22554356"/>
    <w:multiLevelType w:val="hybridMultilevel"/>
    <w:tmpl w:val="06A444EC"/>
    <w:lvl w:ilvl="0" w:tplc="6D08478C">
      <w:start w:val="1"/>
      <w:numFmt w:val="decimal"/>
      <w:lvlText w:val="[%1]"/>
      <w:lvlJc w:val="righ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6D70DC"/>
    <w:multiLevelType w:val="hybridMultilevel"/>
    <w:tmpl w:val="13CA95DE"/>
    <w:lvl w:ilvl="0" w:tplc="D57A2342">
      <w:start w:val="1"/>
      <w:numFmt w:val="lowerLetter"/>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59579C6"/>
    <w:multiLevelType w:val="multilevel"/>
    <w:tmpl w:val="032C0C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3E7B9E"/>
    <w:multiLevelType w:val="multilevel"/>
    <w:tmpl w:val="844857EC"/>
    <w:lvl w:ilvl="0">
      <w:start w:val="8"/>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8572006"/>
    <w:multiLevelType w:val="hybridMultilevel"/>
    <w:tmpl w:val="76B22ECC"/>
    <w:lvl w:ilvl="0" w:tplc="4850B0D6">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15:restartNumberingAfterBreak="0">
    <w:nsid w:val="3AED5F9A"/>
    <w:multiLevelType w:val="hybridMultilevel"/>
    <w:tmpl w:val="B68A7C90"/>
    <w:lvl w:ilvl="0" w:tplc="6D08478C">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FC6A6C"/>
    <w:multiLevelType w:val="hybridMultilevel"/>
    <w:tmpl w:val="2AA0A93E"/>
    <w:lvl w:ilvl="0" w:tplc="6D08478C">
      <w:start w:val="1"/>
      <w:numFmt w:val="decimal"/>
      <w:lvlText w:val="[%1]"/>
      <w:lvlJc w:val="right"/>
      <w:pPr>
        <w:ind w:left="360" w:hanging="360"/>
      </w:pPr>
      <w:rPr>
        <w:rFonts w:hint="default"/>
        <w:b w:val="0"/>
        <w:bCs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55E62DF"/>
    <w:multiLevelType w:val="multilevel"/>
    <w:tmpl w:val="4FE8D776"/>
    <w:lvl w:ilvl="0">
      <w:start w:val="9"/>
      <w:numFmt w:val="decimal"/>
      <w:lvlText w:val="%1"/>
      <w:lvlJc w:val="left"/>
      <w:pPr>
        <w:ind w:left="360" w:hanging="360"/>
      </w:pPr>
      <w:rPr>
        <w:rFonts w:hint="default"/>
      </w:rPr>
    </w:lvl>
    <w:lvl w:ilvl="1">
      <w:start w:val="1"/>
      <w:numFmt w:val="lowerLetter"/>
      <w:lvlText w:val="(%2)"/>
      <w:lvlJc w:val="left"/>
      <w:pPr>
        <w:ind w:left="644" w:hanging="360"/>
      </w:pPr>
      <w:rPr>
        <w:rFonts w:ascii="Arial" w:eastAsia="Times New Roman" w:hAnsi="Arial" w:cs="Arial"/>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5DA7AD3"/>
    <w:multiLevelType w:val="multilevel"/>
    <w:tmpl w:val="44E2E98E"/>
    <w:lvl w:ilvl="0">
      <w:start w:val="1"/>
      <w:numFmt w:val="decimal"/>
      <w:pStyle w:val="SIUaffidavitnumbering"/>
      <w:lvlText w:val="%1"/>
      <w:lvlJc w:val="left"/>
      <w:pPr>
        <w:tabs>
          <w:tab w:val="num" w:pos="567"/>
        </w:tabs>
        <w:ind w:left="567" w:hanging="567"/>
      </w:pPr>
      <w:rPr>
        <w:rFonts w:ascii="Arial" w:hAnsi="Arial" w:cs="Arial" w:hint="default"/>
        <w:b w:val="0"/>
        <w:i w:val="0"/>
        <w:color w:val="000000" w:themeColor="text1"/>
        <w:sz w:val="22"/>
      </w:rPr>
    </w:lvl>
    <w:lvl w:ilvl="1">
      <w:start w:val="1"/>
      <w:numFmt w:val="decimal"/>
      <w:lvlText w:val="%1.%2"/>
      <w:lvlJc w:val="left"/>
      <w:pPr>
        <w:tabs>
          <w:tab w:val="num" w:pos="1134"/>
        </w:tabs>
        <w:ind w:left="1134" w:hanging="567"/>
      </w:pPr>
      <w:rPr>
        <w:rFonts w:ascii="Arial" w:hAnsi="Arial" w:cs="Arial" w:hint="default"/>
        <w:b w:val="0"/>
        <w:i w:val="0"/>
        <w:color w:val="000000" w:themeColor="text1"/>
        <w:sz w:val="22"/>
      </w:rPr>
    </w:lvl>
    <w:lvl w:ilvl="2">
      <w:start w:val="1"/>
      <w:numFmt w:val="decimal"/>
      <w:lvlText w:val="%1.%2.%3"/>
      <w:lvlJc w:val="left"/>
      <w:pPr>
        <w:tabs>
          <w:tab w:val="num" w:pos="1986"/>
        </w:tabs>
        <w:ind w:left="1986" w:hanging="851"/>
      </w:pPr>
      <w:rPr>
        <w:rFonts w:ascii="Arial" w:hAnsi="Arial" w:cs="Arial" w:hint="default"/>
        <w:b w:val="0"/>
        <w:i w:val="0"/>
        <w:sz w:val="22"/>
        <w:szCs w:val="24"/>
      </w:rPr>
    </w:lvl>
    <w:lvl w:ilvl="3">
      <w:start w:val="1"/>
      <w:numFmt w:val="decimal"/>
      <w:lvlText w:val="%1.%2.%3.%4"/>
      <w:lvlJc w:val="left"/>
      <w:pPr>
        <w:tabs>
          <w:tab w:val="num" w:pos="568"/>
        </w:tabs>
        <w:ind w:left="2836" w:hanging="567"/>
      </w:pPr>
      <w:rPr>
        <w:rFonts w:hint="default"/>
        <w:b w:val="0"/>
        <w:bCs/>
      </w:rPr>
    </w:lvl>
    <w:lvl w:ilvl="4">
      <w:start w:val="1"/>
      <w:numFmt w:val="decimal"/>
      <w:lvlText w:val="%1.%2.%3.%4.%5."/>
      <w:lvlJc w:val="left"/>
      <w:pPr>
        <w:tabs>
          <w:tab w:val="num" w:pos="567"/>
        </w:tabs>
        <w:ind w:left="3402" w:hanging="567"/>
      </w:pPr>
      <w:rPr>
        <w:rFonts w:hint="default"/>
      </w:rPr>
    </w:lvl>
    <w:lvl w:ilvl="5">
      <w:start w:val="1"/>
      <w:numFmt w:val="decimal"/>
      <w:lvlText w:val="%1.%2.%3.%4.%5.%6."/>
      <w:lvlJc w:val="left"/>
      <w:pPr>
        <w:tabs>
          <w:tab w:val="num" w:pos="567"/>
        </w:tabs>
        <w:ind w:left="3969" w:hanging="567"/>
      </w:pPr>
      <w:rPr>
        <w:rFonts w:hint="default"/>
      </w:rPr>
    </w:lvl>
    <w:lvl w:ilvl="6">
      <w:start w:val="1"/>
      <w:numFmt w:val="decimal"/>
      <w:lvlText w:val="%1.%2.%3.%4.%5.%6.%7."/>
      <w:lvlJc w:val="left"/>
      <w:pPr>
        <w:tabs>
          <w:tab w:val="num" w:pos="567"/>
        </w:tabs>
        <w:ind w:left="4536" w:hanging="567"/>
      </w:pPr>
      <w:rPr>
        <w:rFonts w:hint="default"/>
      </w:rPr>
    </w:lvl>
    <w:lvl w:ilvl="7">
      <w:start w:val="1"/>
      <w:numFmt w:val="decimal"/>
      <w:lvlText w:val="%1.%2.%3.%4.%5.%6.%7.%8."/>
      <w:lvlJc w:val="left"/>
      <w:pPr>
        <w:tabs>
          <w:tab w:val="num" w:pos="567"/>
        </w:tabs>
        <w:ind w:left="5103" w:hanging="567"/>
      </w:pPr>
      <w:rPr>
        <w:rFonts w:hint="default"/>
      </w:rPr>
    </w:lvl>
    <w:lvl w:ilvl="8">
      <w:start w:val="1"/>
      <w:numFmt w:val="decimal"/>
      <w:lvlText w:val="%1.%2.%3.%4.%5.%6.%7.%8.%9."/>
      <w:lvlJc w:val="left"/>
      <w:pPr>
        <w:tabs>
          <w:tab w:val="num" w:pos="567"/>
        </w:tabs>
        <w:ind w:left="5670" w:hanging="567"/>
      </w:pPr>
      <w:rPr>
        <w:rFonts w:hint="default"/>
      </w:rPr>
    </w:lvl>
  </w:abstractNum>
  <w:abstractNum w:abstractNumId="17" w15:restartNumberingAfterBreak="0">
    <w:nsid w:val="59054EDF"/>
    <w:multiLevelType w:val="hybridMultilevel"/>
    <w:tmpl w:val="F2F8A56C"/>
    <w:lvl w:ilvl="0" w:tplc="6D08478C">
      <w:start w:val="1"/>
      <w:numFmt w:val="decimal"/>
      <w:lvlText w:val="[%1]"/>
      <w:lvlJc w:val="righ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97225C9"/>
    <w:multiLevelType w:val="hybridMultilevel"/>
    <w:tmpl w:val="AF12D02E"/>
    <w:lvl w:ilvl="0" w:tplc="6D08478C">
      <w:start w:val="1"/>
      <w:numFmt w:val="decimal"/>
      <w:lvlText w:val="[%1]"/>
      <w:lvlJc w:val="righ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A0528C2"/>
    <w:multiLevelType w:val="hybridMultilevel"/>
    <w:tmpl w:val="C1E4E194"/>
    <w:lvl w:ilvl="0" w:tplc="831E78AC">
      <w:start w:val="1"/>
      <w:numFmt w:val="decimal"/>
      <w:lvlText w:val="[%1]"/>
      <w:lvlJc w:val="right"/>
      <w:pPr>
        <w:ind w:left="720" w:hanging="360"/>
      </w:pPr>
      <w:rPr>
        <w:rFonts w:hint="default"/>
        <w:b w:val="0"/>
        <w:b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BCE254E"/>
    <w:multiLevelType w:val="hybridMultilevel"/>
    <w:tmpl w:val="BD8E6F8A"/>
    <w:lvl w:ilvl="0" w:tplc="6D08478C">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0990779"/>
    <w:multiLevelType w:val="hybridMultilevel"/>
    <w:tmpl w:val="E0CEF7C6"/>
    <w:lvl w:ilvl="0" w:tplc="9C5AB5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1C75867"/>
    <w:multiLevelType w:val="hybridMultilevel"/>
    <w:tmpl w:val="A63CC6E6"/>
    <w:lvl w:ilvl="0" w:tplc="57A4A904">
      <w:start w:val="1"/>
      <w:numFmt w:val="lowerLetter"/>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4A61304"/>
    <w:multiLevelType w:val="multilevel"/>
    <w:tmpl w:val="7108D576"/>
    <w:lvl w:ilvl="0">
      <w:start w:val="1"/>
      <w:numFmt w:val="decimal"/>
      <w:pStyle w:val="WLGLevel1"/>
      <w:lvlText w:val="%1"/>
      <w:lvlJc w:val="left"/>
      <w:pPr>
        <w:tabs>
          <w:tab w:val="num" w:pos="567"/>
        </w:tabs>
        <w:ind w:left="567" w:hanging="567"/>
      </w:pPr>
      <w:rPr>
        <w:rFonts w:ascii="Arial" w:hAnsi="Arial" w:cs="Arial" w:hint="default"/>
        <w:b w:val="0"/>
        <w:i w:val="0"/>
        <w:sz w:val="22"/>
        <w:szCs w:val="22"/>
      </w:rPr>
    </w:lvl>
    <w:lvl w:ilvl="1">
      <w:start w:val="1"/>
      <w:numFmt w:val="decimal"/>
      <w:pStyle w:val="WLGLevel2"/>
      <w:lvlText w:val="%1.%2"/>
      <w:lvlJc w:val="left"/>
      <w:pPr>
        <w:tabs>
          <w:tab w:val="num" w:pos="1361"/>
        </w:tabs>
        <w:ind w:left="1361" w:hanging="794"/>
      </w:pPr>
      <w:rPr>
        <w:rFonts w:ascii="Arial" w:hAnsi="Arial" w:cs="Arial" w:hint="default"/>
        <w:b w:val="0"/>
        <w:i w:val="0"/>
        <w:sz w:val="22"/>
        <w:szCs w:val="22"/>
      </w:rPr>
    </w:lvl>
    <w:lvl w:ilvl="2">
      <w:start w:val="1"/>
      <w:numFmt w:val="decimal"/>
      <w:pStyle w:val="WLGLevel3"/>
      <w:lvlText w:val="%1.%2.%3"/>
      <w:lvlJc w:val="left"/>
      <w:pPr>
        <w:tabs>
          <w:tab w:val="num" w:pos="2381"/>
        </w:tabs>
        <w:ind w:left="2381" w:hanging="1020"/>
      </w:pPr>
      <w:rPr>
        <w:rFonts w:hint="default"/>
        <w:i w:val="0"/>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24" w15:restartNumberingAfterBreak="0">
    <w:nsid w:val="67794AD6"/>
    <w:multiLevelType w:val="hybridMultilevel"/>
    <w:tmpl w:val="FE34B010"/>
    <w:lvl w:ilvl="0" w:tplc="C5BEA1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D4D710C"/>
    <w:multiLevelType w:val="hybridMultilevel"/>
    <w:tmpl w:val="3F6212BC"/>
    <w:lvl w:ilvl="0" w:tplc="6D08478C">
      <w:start w:val="1"/>
      <w:numFmt w:val="decimal"/>
      <w:lvlText w:val="[%1]"/>
      <w:lvlJc w:val="righ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1744327"/>
    <w:multiLevelType w:val="hybridMultilevel"/>
    <w:tmpl w:val="AA84F7B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6014544"/>
    <w:multiLevelType w:val="multilevel"/>
    <w:tmpl w:val="6DD2ADD0"/>
    <w:lvl w:ilvl="0">
      <w:start w:val="1"/>
      <w:numFmt w:val="decimal"/>
      <w:lvlText w:val="%1."/>
      <w:lvlJc w:val="left"/>
      <w:pPr>
        <w:ind w:left="720" w:hanging="720"/>
      </w:pPr>
      <w:rPr>
        <w:rFonts w:ascii="Arial" w:hAnsi="Arial" w:cs="Arial" w:hint="default"/>
        <w:b w:val="0"/>
        <w:color w:val="auto"/>
      </w:rPr>
    </w:lvl>
    <w:lvl w:ilvl="1">
      <w:start w:val="1"/>
      <w:numFmt w:val="decimal"/>
      <w:isLgl/>
      <w:lvlText w:val="%1.%2"/>
      <w:lvlJc w:val="left"/>
      <w:pPr>
        <w:ind w:left="1080" w:hanging="720"/>
      </w:pPr>
      <w:rPr>
        <w:rFonts w:ascii="Arial" w:hAnsi="Arial"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697519F"/>
    <w:multiLevelType w:val="hybridMultilevel"/>
    <w:tmpl w:val="756045D8"/>
    <w:lvl w:ilvl="0" w:tplc="019C29C2">
      <w:start w:val="1"/>
      <w:numFmt w:val="lowerLetter"/>
      <w:lvlText w:val="(%1)"/>
      <w:lvlJc w:val="left"/>
      <w:pPr>
        <w:ind w:left="720" w:hanging="360"/>
      </w:pPr>
      <w:rPr>
        <w:rFonts w:ascii="Arial" w:eastAsia="Calibr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DEA55C7"/>
    <w:multiLevelType w:val="hybridMultilevel"/>
    <w:tmpl w:val="29F04C86"/>
    <w:lvl w:ilvl="0" w:tplc="6D08478C">
      <w:start w:val="1"/>
      <w:numFmt w:val="decimal"/>
      <w:lvlText w:val="[%1]"/>
      <w:lvlJc w:val="righ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7FD262FF"/>
    <w:multiLevelType w:val="hybridMultilevel"/>
    <w:tmpl w:val="AA84F7B4"/>
    <w:lvl w:ilvl="0" w:tplc="F60A9E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3"/>
  </w:num>
  <w:num w:numId="2">
    <w:abstractNumId w:val="15"/>
  </w:num>
  <w:num w:numId="3">
    <w:abstractNumId w:val="3"/>
  </w:num>
  <w:num w:numId="4">
    <w:abstractNumId w:val="11"/>
  </w:num>
  <w:num w:numId="5">
    <w:abstractNumId w:val="12"/>
  </w:num>
  <w:num w:numId="6">
    <w:abstractNumId w:val="27"/>
  </w:num>
  <w:num w:numId="7">
    <w:abstractNumId w:val="10"/>
  </w:num>
  <w:num w:numId="8">
    <w:abstractNumId w:val="1"/>
  </w:num>
  <w:num w:numId="9">
    <w:abstractNumId w:val="16"/>
  </w:num>
  <w:num w:numId="10">
    <w:abstractNumId w:val="7"/>
  </w:num>
  <w:num w:numId="11">
    <w:abstractNumId w:val="14"/>
  </w:num>
  <w:num w:numId="12">
    <w:abstractNumId w:val="28"/>
  </w:num>
  <w:num w:numId="13">
    <w:abstractNumId w:val="21"/>
  </w:num>
  <w:num w:numId="14">
    <w:abstractNumId w:val="2"/>
  </w:num>
  <w:num w:numId="15">
    <w:abstractNumId w:val="22"/>
  </w:num>
  <w:num w:numId="16">
    <w:abstractNumId w:val="6"/>
  </w:num>
  <w:num w:numId="17">
    <w:abstractNumId w:val="5"/>
  </w:num>
  <w:num w:numId="18">
    <w:abstractNumId w:val="18"/>
  </w:num>
  <w:num w:numId="19">
    <w:abstractNumId w:val="17"/>
  </w:num>
  <w:num w:numId="20">
    <w:abstractNumId w:val="8"/>
  </w:num>
  <w:num w:numId="21">
    <w:abstractNumId w:val="25"/>
  </w:num>
  <w:num w:numId="22">
    <w:abstractNumId w:val="19"/>
  </w:num>
  <w:num w:numId="23">
    <w:abstractNumId w:val="20"/>
  </w:num>
  <w:num w:numId="24">
    <w:abstractNumId w:val="0"/>
  </w:num>
  <w:num w:numId="25">
    <w:abstractNumId w:val="13"/>
  </w:num>
  <w:num w:numId="26">
    <w:abstractNumId w:val="4"/>
  </w:num>
  <w:num w:numId="27">
    <w:abstractNumId w:val="9"/>
  </w:num>
  <w:num w:numId="28">
    <w:abstractNumId w:val="24"/>
  </w:num>
  <w:num w:numId="29">
    <w:abstractNumId w:val="29"/>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13"/>
    <w:rsid w:val="00010C51"/>
    <w:rsid w:val="00020574"/>
    <w:rsid w:val="000463FA"/>
    <w:rsid w:val="00047D11"/>
    <w:rsid w:val="00054745"/>
    <w:rsid w:val="00057036"/>
    <w:rsid w:val="00063D56"/>
    <w:rsid w:val="000821E8"/>
    <w:rsid w:val="000829D3"/>
    <w:rsid w:val="000967D3"/>
    <w:rsid w:val="000C3694"/>
    <w:rsid w:val="000C4281"/>
    <w:rsid w:val="000D051F"/>
    <w:rsid w:val="000D0B27"/>
    <w:rsid w:val="000D5DD5"/>
    <w:rsid w:val="000F5877"/>
    <w:rsid w:val="00106BC4"/>
    <w:rsid w:val="001122C7"/>
    <w:rsid w:val="00116ABE"/>
    <w:rsid w:val="00127FED"/>
    <w:rsid w:val="00141A71"/>
    <w:rsid w:val="0015012F"/>
    <w:rsid w:val="00155544"/>
    <w:rsid w:val="00165272"/>
    <w:rsid w:val="00170FFE"/>
    <w:rsid w:val="00174710"/>
    <w:rsid w:val="00184744"/>
    <w:rsid w:val="001A07E7"/>
    <w:rsid w:val="001B19D8"/>
    <w:rsid w:val="001B3840"/>
    <w:rsid w:val="001B7D66"/>
    <w:rsid w:val="001C5F1F"/>
    <w:rsid w:val="001D3A2A"/>
    <w:rsid w:val="001F1831"/>
    <w:rsid w:val="001F2665"/>
    <w:rsid w:val="00200B99"/>
    <w:rsid w:val="00207014"/>
    <w:rsid w:val="00211211"/>
    <w:rsid w:val="002248D9"/>
    <w:rsid w:val="00227AD9"/>
    <w:rsid w:val="00242646"/>
    <w:rsid w:val="002463E8"/>
    <w:rsid w:val="002463F9"/>
    <w:rsid w:val="002521B0"/>
    <w:rsid w:val="00262897"/>
    <w:rsid w:val="002713E7"/>
    <w:rsid w:val="002751C5"/>
    <w:rsid w:val="00294B96"/>
    <w:rsid w:val="002979C9"/>
    <w:rsid w:val="002B1D0A"/>
    <w:rsid w:val="002C2575"/>
    <w:rsid w:val="002C44A8"/>
    <w:rsid w:val="002C4C85"/>
    <w:rsid w:val="002F05CD"/>
    <w:rsid w:val="002F1BBE"/>
    <w:rsid w:val="002F4F07"/>
    <w:rsid w:val="00302466"/>
    <w:rsid w:val="003065D4"/>
    <w:rsid w:val="003163BE"/>
    <w:rsid w:val="00316564"/>
    <w:rsid w:val="0031770E"/>
    <w:rsid w:val="0033199C"/>
    <w:rsid w:val="00332530"/>
    <w:rsid w:val="00342B3A"/>
    <w:rsid w:val="00377064"/>
    <w:rsid w:val="00392FE0"/>
    <w:rsid w:val="00396DC8"/>
    <w:rsid w:val="003A17C9"/>
    <w:rsid w:val="003A3E7E"/>
    <w:rsid w:val="003C064C"/>
    <w:rsid w:val="003C3161"/>
    <w:rsid w:val="003C49D7"/>
    <w:rsid w:val="003C4C68"/>
    <w:rsid w:val="003E0813"/>
    <w:rsid w:val="003E2004"/>
    <w:rsid w:val="0042092A"/>
    <w:rsid w:val="0044323F"/>
    <w:rsid w:val="004730AE"/>
    <w:rsid w:val="00483063"/>
    <w:rsid w:val="0048464B"/>
    <w:rsid w:val="00491769"/>
    <w:rsid w:val="004A3BED"/>
    <w:rsid w:val="004C0A3A"/>
    <w:rsid w:val="004C6830"/>
    <w:rsid w:val="004D710B"/>
    <w:rsid w:val="004E139C"/>
    <w:rsid w:val="004E5A88"/>
    <w:rsid w:val="004E7560"/>
    <w:rsid w:val="005135B0"/>
    <w:rsid w:val="005164D0"/>
    <w:rsid w:val="00520B4A"/>
    <w:rsid w:val="00546F37"/>
    <w:rsid w:val="00547614"/>
    <w:rsid w:val="005667D7"/>
    <w:rsid w:val="00573F39"/>
    <w:rsid w:val="0057558E"/>
    <w:rsid w:val="00581BF2"/>
    <w:rsid w:val="00585AC1"/>
    <w:rsid w:val="005865EC"/>
    <w:rsid w:val="005C140C"/>
    <w:rsid w:val="005C3B7E"/>
    <w:rsid w:val="005C4189"/>
    <w:rsid w:val="005F15C6"/>
    <w:rsid w:val="006101D2"/>
    <w:rsid w:val="0061710F"/>
    <w:rsid w:val="0061782C"/>
    <w:rsid w:val="006254E6"/>
    <w:rsid w:val="006272A9"/>
    <w:rsid w:val="00632FCE"/>
    <w:rsid w:val="00646128"/>
    <w:rsid w:val="00657D2C"/>
    <w:rsid w:val="006603F2"/>
    <w:rsid w:val="00662F83"/>
    <w:rsid w:val="00664FD5"/>
    <w:rsid w:val="00670FA2"/>
    <w:rsid w:val="006856B9"/>
    <w:rsid w:val="00687206"/>
    <w:rsid w:val="00690D48"/>
    <w:rsid w:val="006A20C9"/>
    <w:rsid w:val="006A550C"/>
    <w:rsid w:val="006C771C"/>
    <w:rsid w:val="006D78B1"/>
    <w:rsid w:val="006E290D"/>
    <w:rsid w:val="006E425F"/>
    <w:rsid w:val="006E6846"/>
    <w:rsid w:val="006F0339"/>
    <w:rsid w:val="00723F52"/>
    <w:rsid w:val="00735361"/>
    <w:rsid w:val="0075059E"/>
    <w:rsid w:val="0076221B"/>
    <w:rsid w:val="00796DD4"/>
    <w:rsid w:val="007B1C8C"/>
    <w:rsid w:val="007D36BF"/>
    <w:rsid w:val="007D6D43"/>
    <w:rsid w:val="007F3EE9"/>
    <w:rsid w:val="00824F65"/>
    <w:rsid w:val="00826EDA"/>
    <w:rsid w:val="00836EB7"/>
    <w:rsid w:val="00864644"/>
    <w:rsid w:val="008648CD"/>
    <w:rsid w:val="00871A7D"/>
    <w:rsid w:val="00882E02"/>
    <w:rsid w:val="008839B6"/>
    <w:rsid w:val="008905CC"/>
    <w:rsid w:val="008A4C10"/>
    <w:rsid w:val="008B2895"/>
    <w:rsid w:val="008B3D92"/>
    <w:rsid w:val="008B5DFB"/>
    <w:rsid w:val="008D2C73"/>
    <w:rsid w:val="008F0D89"/>
    <w:rsid w:val="00946738"/>
    <w:rsid w:val="00951391"/>
    <w:rsid w:val="00952E53"/>
    <w:rsid w:val="00955D96"/>
    <w:rsid w:val="009609C0"/>
    <w:rsid w:val="0096613B"/>
    <w:rsid w:val="00981B1D"/>
    <w:rsid w:val="0098299C"/>
    <w:rsid w:val="00983701"/>
    <w:rsid w:val="009914CC"/>
    <w:rsid w:val="009B1C83"/>
    <w:rsid w:val="009B3079"/>
    <w:rsid w:val="009B3FFC"/>
    <w:rsid w:val="009B59ED"/>
    <w:rsid w:val="009D49B8"/>
    <w:rsid w:val="009D534E"/>
    <w:rsid w:val="009D6E61"/>
    <w:rsid w:val="009E4631"/>
    <w:rsid w:val="009F3976"/>
    <w:rsid w:val="009F6DC2"/>
    <w:rsid w:val="00A0789B"/>
    <w:rsid w:val="00AB18D1"/>
    <w:rsid w:val="00AC00F3"/>
    <w:rsid w:val="00AC4233"/>
    <w:rsid w:val="00AC4A1F"/>
    <w:rsid w:val="00AD3761"/>
    <w:rsid w:val="00AF406B"/>
    <w:rsid w:val="00B0418C"/>
    <w:rsid w:val="00B10015"/>
    <w:rsid w:val="00B1391A"/>
    <w:rsid w:val="00B3293A"/>
    <w:rsid w:val="00B33832"/>
    <w:rsid w:val="00B34B5D"/>
    <w:rsid w:val="00B40C70"/>
    <w:rsid w:val="00B63956"/>
    <w:rsid w:val="00B736F6"/>
    <w:rsid w:val="00B76850"/>
    <w:rsid w:val="00B779E9"/>
    <w:rsid w:val="00B81A0C"/>
    <w:rsid w:val="00B839D7"/>
    <w:rsid w:val="00BB5418"/>
    <w:rsid w:val="00BC4022"/>
    <w:rsid w:val="00BD37BC"/>
    <w:rsid w:val="00BD5335"/>
    <w:rsid w:val="00BE7A7A"/>
    <w:rsid w:val="00BF3714"/>
    <w:rsid w:val="00C5635D"/>
    <w:rsid w:val="00C632A4"/>
    <w:rsid w:val="00C82AAA"/>
    <w:rsid w:val="00C86DDF"/>
    <w:rsid w:val="00C87A48"/>
    <w:rsid w:val="00CA464C"/>
    <w:rsid w:val="00CC0F87"/>
    <w:rsid w:val="00CD029B"/>
    <w:rsid w:val="00D05892"/>
    <w:rsid w:val="00D12F23"/>
    <w:rsid w:val="00D61906"/>
    <w:rsid w:val="00D75CD0"/>
    <w:rsid w:val="00D91EF8"/>
    <w:rsid w:val="00DA4B7B"/>
    <w:rsid w:val="00DB10DD"/>
    <w:rsid w:val="00DC05FA"/>
    <w:rsid w:val="00E02EC4"/>
    <w:rsid w:val="00E15841"/>
    <w:rsid w:val="00E204EF"/>
    <w:rsid w:val="00E451F6"/>
    <w:rsid w:val="00E53F0F"/>
    <w:rsid w:val="00E54267"/>
    <w:rsid w:val="00E651E9"/>
    <w:rsid w:val="00E6562C"/>
    <w:rsid w:val="00E7170D"/>
    <w:rsid w:val="00E73D73"/>
    <w:rsid w:val="00E85D18"/>
    <w:rsid w:val="00E90513"/>
    <w:rsid w:val="00EA0544"/>
    <w:rsid w:val="00EA1A44"/>
    <w:rsid w:val="00EA4411"/>
    <w:rsid w:val="00EB20F8"/>
    <w:rsid w:val="00EC2B01"/>
    <w:rsid w:val="00ED4D1F"/>
    <w:rsid w:val="00EE4211"/>
    <w:rsid w:val="00F0037C"/>
    <w:rsid w:val="00F05BF5"/>
    <w:rsid w:val="00F2422F"/>
    <w:rsid w:val="00F35E0B"/>
    <w:rsid w:val="00F605F5"/>
    <w:rsid w:val="00F66376"/>
    <w:rsid w:val="00F855AB"/>
    <w:rsid w:val="00F86280"/>
    <w:rsid w:val="00F8771E"/>
    <w:rsid w:val="00F90F8F"/>
    <w:rsid w:val="00FA5301"/>
    <w:rsid w:val="00FA77F7"/>
    <w:rsid w:val="00FB6373"/>
    <w:rsid w:val="00FB7244"/>
    <w:rsid w:val="00FC222A"/>
    <w:rsid w:val="00FC6642"/>
    <w:rsid w:val="00FD5EB7"/>
    <w:rsid w:val="00FE78AA"/>
    <w:rsid w:val="00FF45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00D7"/>
  <w15:chartTrackingRefBased/>
  <w15:docId w15:val="{3A6D860C-8831-4A4A-A3F9-5EE0053A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1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E08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08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08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08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08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081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081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081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081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8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08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08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08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08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08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08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08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0813"/>
    <w:rPr>
      <w:rFonts w:eastAsiaTheme="majorEastAsia" w:cstheme="majorBidi"/>
      <w:color w:val="272727" w:themeColor="text1" w:themeTint="D8"/>
    </w:rPr>
  </w:style>
  <w:style w:type="paragraph" w:styleId="Title">
    <w:name w:val="Title"/>
    <w:basedOn w:val="Normal"/>
    <w:next w:val="Normal"/>
    <w:link w:val="TitleChar"/>
    <w:qFormat/>
    <w:rsid w:val="003E081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E08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08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08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0813"/>
    <w:pPr>
      <w:spacing w:before="160"/>
      <w:jc w:val="center"/>
    </w:pPr>
    <w:rPr>
      <w:i/>
      <w:iCs/>
      <w:color w:val="404040" w:themeColor="text1" w:themeTint="BF"/>
    </w:rPr>
  </w:style>
  <w:style w:type="character" w:customStyle="1" w:styleId="QuoteChar">
    <w:name w:val="Quote Char"/>
    <w:basedOn w:val="DefaultParagraphFont"/>
    <w:link w:val="Quote"/>
    <w:uiPriority w:val="29"/>
    <w:rsid w:val="003E0813"/>
    <w:rPr>
      <w:i/>
      <w:iCs/>
      <w:color w:val="404040" w:themeColor="text1" w:themeTint="BF"/>
    </w:rPr>
  </w:style>
  <w:style w:type="paragraph" w:styleId="ListParagraph">
    <w:name w:val="List Paragraph"/>
    <w:aliases w:val="Body text,List Paragraph1,Table of contents numbered,List Paragraph 1,List[1:1],EOH bullet,Use Case List Paragraph,Indent Normal,Paragraph,Standard Paragraph,normal,Normal1,(bullets,main),Bullets,footer text,Citation List"/>
    <w:basedOn w:val="Normal"/>
    <w:link w:val="ListParagraphChar"/>
    <w:uiPriority w:val="34"/>
    <w:qFormat/>
    <w:rsid w:val="003E0813"/>
    <w:pPr>
      <w:ind w:left="720"/>
      <w:contextualSpacing/>
    </w:pPr>
  </w:style>
  <w:style w:type="character" w:styleId="IntenseEmphasis">
    <w:name w:val="Intense Emphasis"/>
    <w:basedOn w:val="DefaultParagraphFont"/>
    <w:uiPriority w:val="21"/>
    <w:qFormat/>
    <w:rsid w:val="003E0813"/>
    <w:rPr>
      <w:i/>
      <w:iCs/>
      <w:color w:val="0F4761" w:themeColor="accent1" w:themeShade="BF"/>
    </w:rPr>
  </w:style>
  <w:style w:type="paragraph" w:styleId="IntenseQuote">
    <w:name w:val="Intense Quote"/>
    <w:basedOn w:val="Normal"/>
    <w:next w:val="Normal"/>
    <w:link w:val="IntenseQuoteChar"/>
    <w:uiPriority w:val="30"/>
    <w:qFormat/>
    <w:rsid w:val="003E08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0813"/>
    <w:rPr>
      <w:i/>
      <w:iCs/>
      <w:color w:val="0F4761" w:themeColor="accent1" w:themeShade="BF"/>
    </w:rPr>
  </w:style>
  <w:style w:type="character" w:styleId="IntenseReference">
    <w:name w:val="Intense Reference"/>
    <w:basedOn w:val="DefaultParagraphFont"/>
    <w:uiPriority w:val="32"/>
    <w:qFormat/>
    <w:rsid w:val="003E0813"/>
    <w:rPr>
      <w:b/>
      <w:bCs/>
      <w:smallCaps/>
      <w:color w:val="0F4761" w:themeColor="accent1" w:themeShade="BF"/>
      <w:spacing w:val="5"/>
    </w:rPr>
  </w:style>
  <w:style w:type="paragraph" w:customStyle="1" w:styleId="WWTramLines">
    <w:name w:val="WW_TramLines"/>
    <w:basedOn w:val="WWBodyText"/>
    <w:next w:val="WWBodyText"/>
    <w:rsid w:val="003E0813"/>
    <w:pPr>
      <w:pBdr>
        <w:top w:val="single" w:sz="4" w:space="18" w:color="auto"/>
        <w:bottom w:val="single" w:sz="4" w:space="18" w:color="auto"/>
      </w:pBdr>
      <w:spacing w:after="360" w:line="240" w:lineRule="auto"/>
      <w:jc w:val="center"/>
    </w:pPr>
    <w:rPr>
      <w:b/>
    </w:rPr>
  </w:style>
  <w:style w:type="paragraph" w:customStyle="1" w:styleId="WWBodyText">
    <w:name w:val="WW_BodyText"/>
    <w:basedOn w:val="Normal"/>
    <w:rsid w:val="003E0813"/>
    <w:pPr>
      <w:suppressAutoHyphens/>
      <w:spacing w:after="240" w:line="480" w:lineRule="auto"/>
      <w:jc w:val="both"/>
    </w:pPr>
    <w:rPr>
      <w:rFonts w:ascii="Arial" w:hAnsi="Arial"/>
      <w:lang w:eastAsia="en-GB"/>
    </w:rPr>
  </w:style>
  <w:style w:type="paragraph" w:customStyle="1" w:styleId="WLGLevel1">
    <w:name w:val="WLGLevel1"/>
    <w:basedOn w:val="Normal"/>
    <w:qFormat/>
    <w:rsid w:val="003E0813"/>
    <w:pPr>
      <w:numPr>
        <w:numId w:val="1"/>
      </w:numPr>
      <w:suppressAutoHyphens/>
      <w:spacing w:before="320" w:after="320" w:line="480" w:lineRule="auto"/>
      <w:jc w:val="both"/>
      <w:outlineLvl w:val="0"/>
    </w:pPr>
    <w:rPr>
      <w:rFonts w:ascii="Arial" w:hAnsi="Arial"/>
      <w:szCs w:val="20"/>
      <w:lang w:val="en-GB"/>
    </w:rPr>
  </w:style>
  <w:style w:type="paragraph" w:customStyle="1" w:styleId="WLGLevel2">
    <w:name w:val="WLGLevel2"/>
    <w:basedOn w:val="Normal"/>
    <w:qFormat/>
    <w:rsid w:val="003E0813"/>
    <w:pPr>
      <w:numPr>
        <w:ilvl w:val="1"/>
        <w:numId w:val="1"/>
      </w:numPr>
      <w:suppressAutoHyphens/>
      <w:spacing w:after="320" w:line="480" w:lineRule="auto"/>
      <w:jc w:val="both"/>
      <w:outlineLvl w:val="1"/>
    </w:pPr>
    <w:rPr>
      <w:rFonts w:ascii="Arial" w:hAnsi="Arial"/>
      <w:szCs w:val="20"/>
      <w:lang w:val="en-GB"/>
    </w:rPr>
  </w:style>
  <w:style w:type="paragraph" w:customStyle="1" w:styleId="WLGLevel3">
    <w:name w:val="WLGLevel3"/>
    <w:basedOn w:val="Normal"/>
    <w:qFormat/>
    <w:rsid w:val="003E0813"/>
    <w:pPr>
      <w:numPr>
        <w:ilvl w:val="2"/>
        <w:numId w:val="1"/>
      </w:numPr>
      <w:suppressAutoHyphens/>
      <w:spacing w:after="320" w:line="480" w:lineRule="auto"/>
      <w:jc w:val="both"/>
      <w:outlineLvl w:val="2"/>
    </w:pPr>
    <w:rPr>
      <w:rFonts w:ascii="Arial" w:hAnsi="Arial"/>
      <w:szCs w:val="20"/>
      <w:lang w:val="en-GB"/>
    </w:rPr>
  </w:style>
  <w:style w:type="paragraph" w:customStyle="1" w:styleId="WLGLevel4">
    <w:name w:val="WLGLevel4"/>
    <w:basedOn w:val="Normal"/>
    <w:qFormat/>
    <w:rsid w:val="003E0813"/>
    <w:pPr>
      <w:numPr>
        <w:ilvl w:val="3"/>
        <w:numId w:val="1"/>
      </w:numPr>
      <w:suppressAutoHyphens/>
      <w:spacing w:after="320" w:line="480" w:lineRule="auto"/>
      <w:jc w:val="both"/>
      <w:outlineLvl w:val="3"/>
    </w:pPr>
    <w:rPr>
      <w:rFonts w:ascii="Arial" w:hAnsi="Arial"/>
      <w:szCs w:val="20"/>
      <w:lang w:val="en-GB"/>
    </w:rPr>
  </w:style>
  <w:style w:type="paragraph" w:customStyle="1" w:styleId="WLGLevel5">
    <w:name w:val="WLGLevel5"/>
    <w:basedOn w:val="Normal"/>
    <w:qFormat/>
    <w:rsid w:val="003E0813"/>
    <w:pPr>
      <w:numPr>
        <w:ilvl w:val="4"/>
        <w:numId w:val="1"/>
      </w:numPr>
      <w:suppressAutoHyphens/>
      <w:spacing w:after="320" w:line="480" w:lineRule="auto"/>
      <w:jc w:val="both"/>
      <w:outlineLvl w:val="4"/>
    </w:pPr>
    <w:rPr>
      <w:rFonts w:ascii="Arial" w:hAnsi="Arial"/>
      <w:szCs w:val="20"/>
      <w:lang w:val="en-GB"/>
    </w:rPr>
  </w:style>
  <w:style w:type="paragraph" w:styleId="FootnoteText">
    <w:name w:val="footnote text"/>
    <w:basedOn w:val="Normal"/>
    <w:link w:val="FootnoteTextChar"/>
    <w:uiPriority w:val="99"/>
    <w:unhideWhenUsed/>
    <w:rsid w:val="003E0813"/>
    <w:rPr>
      <w:sz w:val="20"/>
      <w:szCs w:val="20"/>
    </w:rPr>
  </w:style>
  <w:style w:type="character" w:customStyle="1" w:styleId="FootnoteTextChar">
    <w:name w:val="Footnote Text Char"/>
    <w:basedOn w:val="DefaultParagraphFont"/>
    <w:link w:val="FootnoteText"/>
    <w:uiPriority w:val="99"/>
    <w:rsid w:val="003E0813"/>
    <w:rPr>
      <w:rFonts w:ascii="Times New Roman" w:eastAsia="Times New Roman" w:hAnsi="Times New Roman" w:cs="Times New Roman"/>
      <w:kern w:val="0"/>
      <w:sz w:val="20"/>
      <w:szCs w:val="20"/>
      <w14:ligatures w14:val="none"/>
    </w:rPr>
  </w:style>
  <w:style w:type="character" w:styleId="FootnoteReference">
    <w:name w:val="footnote reference"/>
    <w:aliases w:val="Ref,de nota al pie,註腳內容,Footnote symbol,Style 12,(NECG) Footnote Reference,Footnote,Footnotes refss,Appel note de bas de page,fr,Footnote Reference + Superscript,Footnote Reference Superscript,Footnote Reference in text"/>
    <w:basedOn w:val="DefaultParagraphFont"/>
    <w:uiPriority w:val="99"/>
    <w:unhideWhenUsed/>
    <w:qFormat/>
    <w:rsid w:val="003E0813"/>
    <w:rPr>
      <w:vertAlign w:val="superscript"/>
    </w:rPr>
  </w:style>
  <w:style w:type="paragraph" w:styleId="Footer">
    <w:name w:val="footer"/>
    <w:basedOn w:val="Normal"/>
    <w:link w:val="FooterChar"/>
    <w:uiPriority w:val="99"/>
    <w:unhideWhenUsed/>
    <w:rsid w:val="003E0813"/>
    <w:pPr>
      <w:tabs>
        <w:tab w:val="center" w:pos="4513"/>
        <w:tab w:val="right" w:pos="9026"/>
      </w:tabs>
    </w:pPr>
  </w:style>
  <w:style w:type="character" w:customStyle="1" w:styleId="FooterChar">
    <w:name w:val="Footer Char"/>
    <w:basedOn w:val="DefaultParagraphFont"/>
    <w:link w:val="Footer"/>
    <w:uiPriority w:val="99"/>
    <w:rsid w:val="003E0813"/>
    <w:rPr>
      <w:rFonts w:ascii="Times New Roman" w:eastAsia="Times New Roman" w:hAnsi="Times New Roman" w:cs="Times New Roman"/>
      <w:kern w:val="0"/>
      <w:sz w:val="24"/>
      <w:szCs w:val="24"/>
      <w14:ligatures w14:val="none"/>
    </w:rPr>
  </w:style>
  <w:style w:type="character" w:styleId="PageNumber">
    <w:name w:val="page number"/>
    <w:basedOn w:val="DefaultParagraphFont"/>
    <w:uiPriority w:val="99"/>
    <w:semiHidden/>
    <w:unhideWhenUsed/>
    <w:rsid w:val="003E0813"/>
  </w:style>
  <w:style w:type="paragraph" w:styleId="NormalWeb">
    <w:name w:val="Normal (Web)"/>
    <w:basedOn w:val="Normal"/>
    <w:uiPriority w:val="99"/>
    <w:unhideWhenUsed/>
    <w:rsid w:val="003E0813"/>
    <w:pPr>
      <w:spacing w:before="100" w:beforeAutospacing="1" w:after="100" w:afterAutospacing="1"/>
    </w:pPr>
    <w:rPr>
      <w:lang w:eastAsia="en-GB"/>
    </w:rPr>
  </w:style>
  <w:style w:type="character" w:customStyle="1" w:styleId="ListParagraphChar">
    <w:name w:val="List Paragraph Char"/>
    <w:aliases w:val="Body text Char,List Paragraph1 Char,Table of contents numbered Char,List Paragraph 1 Char,List[1:1] Char,EOH bullet Char,Use Case List Paragraph Char,Indent Normal Char,Paragraph Char,Standard Paragraph Char,normal Char,Normal1 Char"/>
    <w:basedOn w:val="DefaultParagraphFont"/>
    <w:link w:val="ListParagraph"/>
    <w:uiPriority w:val="34"/>
    <w:qFormat/>
    <w:rsid w:val="007F3EE9"/>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6F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39"/>
    <w:rPr>
      <w:rFonts w:ascii="Segoe UI" w:eastAsia="Times New Roman" w:hAnsi="Segoe UI" w:cs="Segoe UI"/>
      <w:kern w:val="0"/>
      <w:sz w:val="18"/>
      <w:szCs w:val="18"/>
      <w14:ligatures w14:val="none"/>
    </w:rPr>
  </w:style>
  <w:style w:type="paragraph" w:customStyle="1" w:styleId="SIUaffidavitnumbering">
    <w:name w:val="SIU affidavit numbering"/>
    <w:basedOn w:val="Normal"/>
    <w:semiHidden/>
    <w:rsid w:val="00AB18D1"/>
    <w:pPr>
      <w:numPr>
        <w:numId w:val="9"/>
      </w:numPr>
      <w:spacing w:before="240" w:after="240" w:line="276" w:lineRule="auto"/>
      <w:jc w:val="both"/>
    </w:pPr>
    <w:rPr>
      <w:rFonts w:ascii="Calibri" w:hAnsi="Calibri"/>
      <w:sz w:val="22"/>
      <w:szCs w:val="22"/>
      <w:lang w:bidi="en-US"/>
    </w:rPr>
  </w:style>
  <w:style w:type="paragraph" w:customStyle="1" w:styleId="JudgmentNumbered">
    <w:name w:val="Judgment Numbered"/>
    <w:basedOn w:val="Normal"/>
    <w:link w:val="JudgmentNumberedChar"/>
    <w:qFormat/>
    <w:rsid w:val="00AB18D1"/>
    <w:pPr>
      <w:numPr>
        <w:numId w:val="10"/>
      </w:numPr>
      <w:spacing w:after="240" w:line="360" w:lineRule="auto"/>
      <w:jc w:val="both"/>
    </w:pPr>
    <w:rPr>
      <w:rFonts w:ascii="Arial" w:eastAsiaTheme="minorHAnsi" w:hAnsi="Arial" w:cs="Arial"/>
      <w:szCs w:val="22"/>
      <w:lang w:val="en-GB"/>
    </w:rPr>
  </w:style>
  <w:style w:type="character" w:customStyle="1" w:styleId="JudgmentNumberedChar">
    <w:name w:val="Judgment Numbered Char"/>
    <w:basedOn w:val="DefaultParagraphFont"/>
    <w:link w:val="JudgmentNumbered"/>
    <w:rsid w:val="00AB18D1"/>
    <w:rPr>
      <w:rFonts w:ascii="Arial" w:hAnsi="Arial" w:cs="Arial"/>
      <w:kern w:val="0"/>
      <w:sz w:val="24"/>
      <w:lang w:val="en-GB"/>
      <w14:ligatures w14:val="none"/>
    </w:rPr>
  </w:style>
  <w:style w:type="paragraph" w:styleId="Header">
    <w:name w:val="header"/>
    <w:basedOn w:val="Normal"/>
    <w:link w:val="HeaderChar"/>
    <w:uiPriority w:val="99"/>
    <w:unhideWhenUsed/>
    <w:rsid w:val="006856B9"/>
    <w:pPr>
      <w:tabs>
        <w:tab w:val="center" w:pos="4513"/>
        <w:tab w:val="right" w:pos="9026"/>
      </w:tabs>
    </w:pPr>
  </w:style>
  <w:style w:type="character" w:customStyle="1" w:styleId="HeaderChar">
    <w:name w:val="Header Char"/>
    <w:basedOn w:val="DefaultParagraphFont"/>
    <w:link w:val="Header"/>
    <w:uiPriority w:val="99"/>
    <w:rsid w:val="006856B9"/>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6603F2"/>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2188">
      <w:bodyDiv w:val="1"/>
      <w:marLeft w:val="0"/>
      <w:marRight w:val="0"/>
      <w:marTop w:val="0"/>
      <w:marBottom w:val="0"/>
      <w:divBdr>
        <w:top w:val="none" w:sz="0" w:space="0" w:color="auto"/>
        <w:left w:val="none" w:sz="0" w:space="0" w:color="auto"/>
        <w:bottom w:val="none" w:sz="0" w:space="0" w:color="auto"/>
        <w:right w:val="none" w:sz="0" w:space="0" w:color="auto"/>
      </w:divBdr>
    </w:div>
    <w:div w:id="507643927">
      <w:bodyDiv w:val="1"/>
      <w:marLeft w:val="0"/>
      <w:marRight w:val="0"/>
      <w:marTop w:val="0"/>
      <w:marBottom w:val="0"/>
      <w:divBdr>
        <w:top w:val="none" w:sz="0" w:space="0" w:color="auto"/>
        <w:left w:val="none" w:sz="0" w:space="0" w:color="auto"/>
        <w:bottom w:val="none" w:sz="0" w:space="0" w:color="auto"/>
        <w:right w:val="none" w:sz="0" w:space="0" w:color="auto"/>
      </w:divBdr>
    </w:div>
    <w:div w:id="1536961880">
      <w:bodyDiv w:val="1"/>
      <w:marLeft w:val="0"/>
      <w:marRight w:val="0"/>
      <w:marTop w:val="0"/>
      <w:marBottom w:val="0"/>
      <w:divBdr>
        <w:top w:val="none" w:sz="0" w:space="0" w:color="auto"/>
        <w:left w:val="none" w:sz="0" w:space="0" w:color="auto"/>
        <w:bottom w:val="none" w:sz="0" w:space="0" w:color="auto"/>
        <w:right w:val="none" w:sz="0" w:space="0" w:color="auto"/>
      </w:divBdr>
      <w:divsChild>
        <w:div w:id="1641760773">
          <w:marLeft w:val="0"/>
          <w:marRight w:val="0"/>
          <w:marTop w:val="240"/>
          <w:marBottom w:val="0"/>
          <w:divBdr>
            <w:top w:val="none" w:sz="0" w:space="0" w:color="auto"/>
            <w:left w:val="none" w:sz="0" w:space="0" w:color="auto"/>
            <w:bottom w:val="none" w:sz="0" w:space="0" w:color="auto"/>
            <w:right w:val="none" w:sz="0" w:space="0" w:color="auto"/>
          </w:divBdr>
        </w:div>
        <w:div w:id="14383427">
          <w:marLeft w:val="0"/>
          <w:marRight w:val="0"/>
          <w:marTop w:val="120"/>
          <w:marBottom w:val="0"/>
          <w:divBdr>
            <w:top w:val="none" w:sz="0" w:space="0" w:color="auto"/>
            <w:left w:val="none" w:sz="0" w:space="0" w:color="auto"/>
            <w:bottom w:val="none" w:sz="0" w:space="0" w:color="auto"/>
            <w:right w:val="none" w:sz="0" w:space="0" w:color="auto"/>
          </w:divBdr>
        </w:div>
        <w:div w:id="478956583">
          <w:marLeft w:val="1134"/>
          <w:marRight w:val="0"/>
          <w:marTop w:val="60"/>
          <w:marBottom w:val="0"/>
          <w:divBdr>
            <w:top w:val="none" w:sz="0" w:space="0" w:color="auto"/>
            <w:left w:val="none" w:sz="0" w:space="0" w:color="auto"/>
            <w:bottom w:val="none" w:sz="0" w:space="0" w:color="auto"/>
            <w:right w:val="none" w:sz="0" w:space="0" w:color="auto"/>
          </w:divBdr>
        </w:div>
        <w:div w:id="463036692">
          <w:marLeft w:val="1985"/>
          <w:marRight w:val="0"/>
          <w:marTop w:val="60"/>
          <w:marBottom w:val="0"/>
          <w:divBdr>
            <w:top w:val="none" w:sz="0" w:space="0" w:color="auto"/>
            <w:left w:val="none" w:sz="0" w:space="0" w:color="auto"/>
            <w:bottom w:val="none" w:sz="0" w:space="0" w:color="auto"/>
            <w:right w:val="none" w:sz="0" w:space="0" w:color="auto"/>
          </w:divBdr>
        </w:div>
        <w:div w:id="1390106490">
          <w:marLeft w:val="1985"/>
          <w:marRight w:val="0"/>
          <w:marTop w:val="60"/>
          <w:marBottom w:val="0"/>
          <w:divBdr>
            <w:top w:val="none" w:sz="0" w:space="0" w:color="auto"/>
            <w:left w:val="none" w:sz="0" w:space="0" w:color="auto"/>
            <w:bottom w:val="none" w:sz="0" w:space="0" w:color="auto"/>
            <w:right w:val="none" w:sz="0" w:space="0" w:color="auto"/>
          </w:divBdr>
        </w:div>
        <w:div w:id="195198297">
          <w:marLeft w:val="1134"/>
          <w:marRight w:val="0"/>
          <w:marTop w:val="60"/>
          <w:marBottom w:val="0"/>
          <w:divBdr>
            <w:top w:val="none" w:sz="0" w:space="0" w:color="auto"/>
            <w:left w:val="none" w:sz="0" w:space="0" w:color="auto"/>
            <w:bottom w:val="none" w:sz="0" w:space="0" w:color="auto"/>
            <w:right w:val="none" w:sz="0" w:space="0" w:color="auto"/>
          </w:divBdr>
        </w:div>
        <w:div w:id="1808470325">
          <w:marLeft w:val="1985"/>
          <w:marRight w:val="0"/>
          <w:marTop w:val="60"/>
          <w:marBottom w:val="0"/>
          <w:divBdr>
            <w:top w:val="none" w:sz="0" w:space="0" w:color="auto"/>
            <w:left w:val="none" w:sz="0" w:space="0" w:color="auto"/>
            <w:bottom w:val="none" w:sz="0" w:space="0" w:color="auto"/>
            <w:right w:val="none" w:sz="0" w:space="0" w:color="auto"/>
          </w:divBdr>
        </w:div>
        <w:div w:id="655229827">
          <w:marLeft w:val="1985"/>
          <w:marRight w:val="0"/>
          <w:marTop w:val="60"/>
          <w:marBottom w:val="0"/>
          <w:divBdr>
            <w:top w:val="none" w:sz="0" w:space="0" w:color="auto"/>
            <w:left w:val="none" w:sz="0" w:space="0" w:color="auto"/>
            <w:bottom w:val="none" w:sz="0" w:space="0" w:color="auto"/>
            <w:right w:val="none" w:sz="0" w:space="0" w:color="auto"/>
          </w:divBdr>
        </w:div>
        <w:div w:id="129155001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083F-B982-497F-8474-6AA6A90B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5053</Words>
  <Characters>28807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Reagile Modiba</dc:creator>
  <cp:keywords/>
  <dc:description/>
  <cp:lastModifiedBy>Mary Bruce</cp:lastModifiedBy>
  <cp:revision>43</cp:revision>
  <dcterms:created xsi:type="dcterms:W3CDTF">2024-05-15T11:14:00Z</dcterms:created>
  <dcterms:modified xsi:type="dcterms:W3CDTF">2024-05-17T08:40:00Z</dcterms:modified>
</cp:coreProperties>
</file>