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40E5E" w14:textId="77777777" w:rsidR="002F4398" w:rsidRDefault="00115564" w:rsidP="002F4398">
      <w:pPr>
        <w:jc w:val="center"/>
        <w:rPr>
          <w:b/>
          <w:u w:val="none"/>
          <w:lang w:val="en-ZA"/>
        </w:rPr>
      </w:pPr>
      <w:r w:rsidRPr="007373B9">
        <w:rPr>
          <w:b/>
          <w:i/>
          <w:noProof/>
          <w:sz w:val="20"/>
          <w:szCs w:val="20"/>
          <w:lang w:val="en-ZA" w:eastAsia="en-ZA"/>
        </w:rPr>
        <w:drawing>
          <wp:anchor distT="0" distB="0" distL="114300" distR="114300" simplePos="0" relativeHeight="251659264" behindDoc="0" locked="0" layoutInCell="1" allowOverlap="1" wp14:anchorId="1A6F9DD2" wp14:editId="47065043">
            <wp:simplePos x="0" y="0"/>
            <wp:positionH relativeFrom="margin">
              <wp:posOffset>2304288</wp:posOffset>
            </wp:positionH>
            <wp:positionV relativeFrom="paragraph">
              <wp:posOffset>127</wp:posOffset>
            </wp:positionV>
            <wp:extent cx="990600" cy="1171575"/>
            <wp:effectExtent l="0" t="0" r="0" b="9525"/>
            <wp:wrapThrough wrapText="bothSides">
              <wp:wrapPolygon edited="0">
                <wp:start x="0" y="0"/>
                <wp:lineTo x="0" y="21424"/>
                <wp:lineTo x="21185" y="21424"/>
                <wp:lineTo x="2118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990600" cy="1171575"/>
                    </a:xfrm>
                    <a:prstGeom prst="rect">
                      <a:avLst/>
                    </a:prstGeom>
                    <a:noFill/>
                    <a:ln>
                      <a:noFill/>
                    </a:ln>
                  </pic:spPr>
                </pic:pic>
              </a:graphicData>
            </a:graphic>
          </wp:anchor>
        </w:drawing>
      </w:r>
    </w:p>
    <w:p w14:paraId="1E481640" w14:textId="77777777" w:rsidR="00115564" w:rsidRDefault="00115564" w:rsidP="002F4398">
      <w:pPr>
        <w:jc w:val="center"/>
        <w:rPr>
          <w:b/>
          <w:u w:val="none"/>
          <w:lang w:val="en-ZA"/>
        </w:rPr>
      </w:pPr>
    </w:p>
    <w:p w14:paraId="4E8A5085" w14:textId="77777777" w:rsidR="00115564" w:rsidRDefault="00115564" w:rsidP="002F4398">
      <w:pPr>
        <w:jc w:val="center"/>
        <w:rPr>
          <w:b/>
          <w:u w:val="none"/>
          <w:lang w:val="en-ZA"/>
        </w:rPr>
      </w:pPr>
    </w:p>
    <w:p w14:paraId="2B3FCBCB" w14:textId="77777777" w:rsidR="00115564" w:rsidRDefault="00115564" w:rsidP="002F4398">
      <w:pPr>
        <w:jc w:val="center"/>
        <w:rPr>
          <w:b/>
          <w:u w:val="none"/>
          <w:lang w:val="en-ZA"/>
        </w:rPr>
      </w:pPr>
    </w:p>
    <w:p w14:paraId="4979FD8B" w14:textId="77777777" w:rsidR="00115564" w:rsidRDefault="00115564" w:rsidP="002F4398">
      <w:pPr>
        <w:jc w:val="center"/>
        <w:rPr>
          <w:b/>
          <w:u w:val="none"/>
          <w:lang w:val="en-ZA"/>
        </w:rPr>
      </w:pPr>
    </w:p>
    <w:p w14:paraId="68008C52" w14:textId="77777777" w:rsidR="00115564" w:rsidRDefault="00115564" w:rsidP="002F4398">
      <w:pPr>
        <w:jc w:val="center"/>
        <w:rPr>
          <w:b/>
          <w:u w:val="none"/>
          <w:lang w:val="en-ZA"/>
        </w:rPr>
      </w:pPr>
    </w:p>
    <w:p w14:paraId="781402EC" w14:textId="77777777" w:rsidR="00115564" w:rsidRDefault="00115564" w:rsidP="002F4398">
      <w:pPr>
        <w:jc w:val="center"/>
        <w:rPr>
          <w:b/>
          <w:u w:val="none"/>
          <w:lang w:val="en-ZA"/>
        </w:rPr>
      </w:pPr>
    </w:p>
    <w:p w14:paraId="32C10F79" w14:textId="77777777" w:rsidR="00115564" w:rsidRPr="00015944" w:rsidRDefault="00115564" w:rsidP="002F4398">
      <w:pPr>
        <w:jc w:val="center"/>
        <w:rPr>
          <w:b/>
          <w:u w:val="none"/>
          <w:lang w:val="en-ZA"/>
        </w:rPr>
      </w:pPr>
    </w:p>
    <w:p w14:paraId="337B52A0" w14:textId="77777777" w:rsidR="000C6B8C" w:rsidRPr="00015944" w:rsidRDefault="000C6B8C" w:rsidP="002F4398">
      <w:pPr>
        <w:jc w:val="center"/>
        <w:rPr>
          <w:b/>
          <w:u w:val="none"/>
          <w:lang w:val="en-ZA"/>
        </w:rPr>
      </w:pPr>
      <w:r w:rsidRPr="00015944">
        <w:rPr>
          <w:b/>
          <w:u w:val="none"/>
          <w:lang w:val="en-ZA"/>
        </w:rPr>
        <w:t>IN THE HIGH COURT OF SOUTH AFRICA</w:t>
      </w:r>
    </w:p>
    <w:p w14:paraId="1D1D8A69" w14:textId="77777777" w:rsidR="002F4398" w:rsidRPr="00015944" w:rsidRDefault="000C6B8C" w:rsidP="002F4398">
      <w:pPr>
        <w:jc w:val="center"/>
        <w:rPr>
          <w:b/>
          <w:u w:val="none"/>
          <w:lang w:val="en-ZA"/>
        </w:rPr>
      </w:pPr>
      <w:r w:rsidRPr="00015944">
        <w:rPr>
          <w:b/>
          <w:u w:val="none"/>
          <w:lang w:val="en-ZA"/>
        </w:rPr>
        <w:t>(</w:t>
      </w:r>
      <w:r w:rsidR="002100D2">
        <w:rPr>
          <w:b/>
          <w:u w:val="none"/>
          <w:lang w:val="en-ZA"/>
        </w:rPr>
        <w:t>EASTERN CAPE LOCAL</w:t>
      </w:r>
      <w:r w:rsidR="00A74F99" w:rsidRPr="00015944">
        <w:rPr>
          <w:b/>
          <w:u w:val="none"/>
          <w:lang w:val="en-ZA"/>
        </w:rPr>
        <w:t xml:space="preserve"> DIVISION, </w:t>
      </w:r>
      <w:r w:rsidR="002F5FEC">
        <w:rPr>
          <w:b/>
          <w:u w:val="none"/>
          <w:lang w:val="en-ZA"/>
        </w:rPr>
        <w:t>BISHO</w:t>
      </w:r>
      <w:r w:rsidRPr="00015944">
        <w:rPr>
          <w:b/>
          <w:u w:val="none"/>
          <w:lang w:val="en-ZA"/>
        </w:rPr>
        <w:t>)</w:t>
      </w:r>
    </w:p>
    <w:p w14:paraId="1153A029" w14:textId="77777777" w:rsidR="00DA564D" w:rsidRPr="00015944" w:rsidRDefault="00DA564D" w:rsidP="002F4398">
      <w:pPr>
        <w:jc w:val="center"/>
        <w:rPr>
          <w:b/>
          <w:u w:val="none"/>
          <w:lang w:val="en-ZA"/>
        </w:rPr>
      </w:pPr>
    </w:p>
    <w:p w14:paraId="5033F958" w14:textId="77777777" w:rsidR="002F4398" w:rsidRPr="00015944" w:rsidRDefault="002F4398" w:rsidP="002F4398">
      <w:pPr>
        <w:jc w:val="right"/>
        <w:rPr>
          <w:b/>
          <w:u w:val="none"/>
          <w:lang w:val="en-ZA"/>
        </w:rPr>
      </w:pPr>
      <w:r w:rsidRPr="00015944">
        <w:rPr>
          <w:b/>
          <w:u w:val="none"/>
          <w:lang w:val="en-ZA"/>
        </w:rPr>
        <w:t xml:space="preserve">CASE NO: </w:t>
      </w:r>
      <w:r w:rsidR="002F5FEC">
        <w:rPr>
          <w:b/>
          <w:u w:val="none"/>
          <w:lang w:val="en-ZA"/>
        </w:rPr>
        <w:t>186/2022</w:t>
      </w:r>
    </w:p>
    <w:p w14:paraId="74F18480" w14:textId="77777777" w:rsidR="002F4398" w:rsidRPr="00015944" w:rsidRDefault="00591818" w:rsidP="002F4398">
      <w:pPr>
        <w:jc w:val="both"/>
      </w:pPr>
      <w:r w:rsidRPr="00015944">
        <w:rPr>
          <w:noProof/>
          <w:lang w:val="en-ZA" w:eastAsia="en-ZA"/>
        </w:rPr>
        <mc:AlternateContent>
          <mc:Choice Requires="wps">
            <w:drawing>
              <wp:anchor distT="0" distB="0" distL="114300" distR="114300" simplePos="0" relativeHeight="251657216" behindDoc="0" locked="0" layoutInCell="1" allowOverlap="1" wp14:anchorId="58420569" wp14:editId="77D67CA2">
                <wp:simplePos x="0" y="0"/>
                <wp:positionH relativeFrom="column">
                  <wp:posOffset>2143125</wp:posOffset>
                </wp:positionH>
                <wp:positionV relativeFrom="paragraph">
                  <wp:posOffset>154940</wp:posOffset>
                </wp:positionV>
                <wp:extent cx="3314700" cy="1371600"/>
                <wp:effectExtent l="9525" t="12065" r="9525" b="698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3220D75D" w14:textId="77777777" w:rsidR="002F4398" w:rsidRPr="00913F95" w:rsidRDefault="002F4398" w:rsidP="002F4398">
                            <w:pPr>
                              <w:jc w:val="center"/>
                              <w:rPr>
                                <w:rFonts w:ascii="Century Gothic" w:hAnsi="Century Gothic"/>
                                <w:b/>
                                <w:sz w:val="20"/>
                                <w:szCs w:val="20"/>
                              </w:rPr>
                            </w:pPr>
                          </w:p>
                          <w:p w14:paraId="30F2E8BF" w14:textId="6CAFB1DA" w:rsidR="002F4398" w:rsidRDefault="009A7FA6" w:rsidP="009A7FA6">
                            <w:pPr>
                              <w:tabs>
                                <w:tab w:val="left" w:pos="900"/>
                              </w:tabs>
                              <w:ind w:left="900" w:hanging="720"/>
                              <w:rPr>
                                <w:rFonts w:ascii="Century Gothic" w:hAnsi="Century Gothic"/>
                                <w:sz w:val="20"/>
                                <w:szCs w:val="20"/>
                              </w:rPr>
                            </w:pPr>
                            <w:r>
                              <w:rPr>
                                <w:rFonts w:ascii="Century Gothic" w:hAnsi="Century Gothic"/>
                                <w:sz w:val="20"/>
                                <w:szCs w:val="20"/>
                                <w:u w:val="none"/>
                              </w:rPr>
                              <w:t>(1)</w:t>
                            </w:r>
                            <w:r>
                              <w:rPr>
                                <w:rFonts w:ascii="Century Gothic" w:hAnsi="Century Gothic"/>
                                <w:sz w:val="20"/>
                                <w:szCs w:val="20"/>
                                <w:u w:val="none"/>
                              </w:rPr>
                              <w:tab/>
                            </w:r>
                            <w:r w:rsidR="002F4398" w:rsidRPr="00913F95">
                              <w:rPr>
                                <w:rFonts w:ascii="Century Gothic" w:hAnsi="Century Gothic"/>
                                <w:sz w:val="20"/>
                                <w:szCs w:val="20"/>
                              </w:rPr>
                              <w:t>REPORTABLE: YES</w:t>
                            </w:r>
                            <w:r w:rsidR="002F4398">
                              <w:rPr>
                                <w:rFonts w:ascii="Century Gothic" w:hAnsi="Century Gothic"/>
                                <w:sz w:val="20"/>
                                <w:szCs w:val="20"/>
                              </w:rPr>
                              <w:t xml:space="preserve"> / NO</w:t>
                            </w:r>
                          </w:p>
                          <w:p w14:paraId="71D7B8AE" w14:textId="3289D4A6" w:rsidR="002F4398" w:rsidRPr="00913F95" w:rsidRDefault="009A7FA6" w:rsidP="009A7FA6">
                            <w:pPr>
                              <w:tabs>
                                <w:tab w:val="left" w:pos="900"/>
                              </w:tabs>
                              <w:ind w:left="900" w:hanging="720"/>
                              <w:rPr>
                                <w:rFonts w:ascii="Century Gothic" w:hAnsi="Century Gothic"/>
                                <w:sz w:val="20"/>
                                <w:szCs w:val="20"/>
                              </w:rPr>
                            </w:pPr>
                            <w:r w:rsidRPr="00913F95">
                              <w:rPr>
                                <w:rFonts w:ascii="Century Gothic" w:hAnsi="Century Gothic"/>
                                <w:sz w:val="20"/>
                                <w:szCs w:val="20"/>
                                <w:u w:val="none"/>
                              </w:rPr>
                              <w:t>(2)</w:t>
                            </w:r>
                            <w:r w:rsidRPr="00913F95">
                              <w:rPr>
                                <w:rFonts w:ascii="Century Gothic" w:hAnsi="Century Gothic"/>
                                <w:sz w:val="20"/>
                                <w:szCs w:val="20"/>
                                <w:u w:val="none"/>
                              </w:rPr>
                              <w:tab/>
                            </w:r>
                            <w:r w:rsidR="002F4398" w:rsidRPr="00913F95">
                              <w:rPr>
                                <w:rFonts w:ascii="Century Gothic" w:hAnsi="Century Gothic"/>
                                <w:sz w:val="20"/>
                                <w:szCs w:val="20"/>
                              </w:rPr>
                              <w:t xml:space="preserve">OF INTEREST TO OTHER JUDGES: </w:t>
                            </w:r>
                            <w:r w:rsidR="002F4398">
                              <w:rPr>
                                <w:rFonts w:ascii="Century Gothic" w:hAnsi="Century Gothic"/>
                                <w:sz w:val="20"/>
                                <w:szCs w:val="20"/>
                              </w:rPr>
                              <w:t>YES/</w:t>
                            </w:r>
                            <w:r w:rsidR="002F4398" w:rsidRPr="00913F95">
                              <w:rPr>
                                <w:rFonts w:ascii="Century Gothic" w:hAnsi="Century Gothic"/>
                                <w:sz w:val="20"/>
                                <w:szCs w:val="20"/>
                              </w:rPr>
                              <w:t>NO</w:t>
                            </w:r>
                          </w:p>
                          <w:p w14:paraId="7BD4EE7B" w14:textId="5E0CF7C3" w:rsidR="002F4398" w:rsidRPr="00913F95" w:rsidRDefault="009A7FA6" w:rsidP="009A7FA6">
                            <w:pPr>
                              <w:tabs>
                                <w:tab w:val="left" w:pos="900"/>
                              </w:tabs>
                              <w:ind w:left="900" w:hanging="720"/>
                              <w:rPr>
                                <w:rFonts w:ascii="Century Gothic" w:hAnsi="Century Gothic"/>
                                <w:sz w:val="20"/>
                                <w:szCs w:val="20"/>
                              </w:rPr>
                            </w:pPr>
                            <w:r w:rsidRPr="00913F95">
                              <w:rPr>
                                <w:rFonts w:ascii="Century Gothic" w:hAnsi="Century Gothic"/>
                                <w:sz w:val="20"/>
                                <w:szCs w:val="20"/>
                                <w:u w:val="none"/>
                              </w:rPr>
                              <w:t>(3)</w:t>
                            </w:r>
                            <w:r w:rsidRPr="00913F95">
                              <w:rPr>
                                <w:rFonts w:ascii="Century Gothic" w:hAnsi="Century Gothic"/>
                                <w:sz w:val="20"/>
                                <w:szCs w:val="20"/>
                                <w:u w:val="none"/>
                              </w:rPr>
                              <w:tab/>
                            </w:r>
                            <w:r w:rsidR="002F4398" w:rsidRPr="00913F95">
                              <w:rPr>
                                <w:rFonts w:ascii="Century Gothic" w:hAnsi="Century Gothic"/>
                                <w:sz w:val="20"/>
                                <w:szCs w:val="20"/>
                              </w:rPr>
                              <w:t>REVISED</w:t>
                            </w:r>
                            <w:r w:rsidR="00FB4EF8">
                              <w:rPr>
                                <w:rFonts w:ascii="Century Gothic" w:hAnsi="Century Gothic"/>
                                <w:sz w:val="20"/>
                                <w:szCs w:val="20"/>
                              </w:rPr>
                              <w:t xml:space="preserve">.  </w:t>
                            </w:r>
                          </w:p>
                          <w:p w14:paraId="32CDEDE1" w14:textId="77777777" w:rsidR="002F4398" w:rsidRDefault="002F4398" w:rsidP="002F4398">
                            <w:pPr>
                              <w:rPr>
                                <w:rFonts w:ascii="Century Gothic" w:hAnsi="Century Gothic"/>
                                <w:b/>
                                <w:sz w:val="18"/>
                                <w:szCs w:val="18"/>
                              </w:rPr>
                            </w:pPr>
                          </w:p>
                          <w:p w14:paraId="212B9AB2" w14:textId="45D7A849" w:rsidR="002F4398" w:rsidRPr="00084341" w:rsidRDefault="00FB4EF8" w:rsidP="002F4398">
                            <w:pPr>
                              <w:rPr>
                                <w:rFonts w:ascii="Century Gothic" w:hAnsi="Century Gothic"/>
                                <w:b/>
                                <w:sz w:val="18"/>
                                <w:szCs w:val="18"/>
                                <w:u w:val="none"/>
                              </w:rPr>
                            </w:pPr>
                            <w:r>
                              <w:rPr>
                                <w:rFonts w:ascii="Century Gothic" w:hAnsi="Century Gothic"/>
                                <w:b/>
                                <w:sz w:val="18"/>
                                <w:szCs w:val="18"/>
                                <w:u w:val="none"/>
                              </w:rPr>
                              <w:t xml:space="preserve">    </w:t>
                            </w:r>
                            <w:r w:rsidR="002F4398" w:rsidRPr="00084341">
                              <w:rPr>
                                <w:rFonts w:ascii="Century Gothic" w:hAnsi="Century Gothic"/>
                                <w:b/>
                                <w:sz w:val="18"/>
                                <w:szCs w:val="18"/>
                                <w:u w:val="none"/>
                              </w:rPr>
                              <w:t xml:space="preserve"> ……………………..</w:t>
                            </w:r>
                            <w:r w:rsidR="002F4398" w:rsidRPr="00084341">
                              <w:rPr>
                                <w:rFonts w:ascii="Century Gothic" w:hAnsi="Century Gothic"/>
                                <w:b/>
                                <w:sz w:val="18"/>
                                <w:szCs w:val="18"/>
                                <w:u w:val="none"/>
                              </w:rPr>
                              <w:tab/>
                            </w:r>
                            <w:r w:rsidR="002F4398" w:rsidRPr="00084341">
                              <w:rPr>
                                <w:rFonts w:ascii="Century Gothic" w:hAnsi="Century Gothic"/>
                                <w:b/>
                                <w:sz w:val="18"/>
                                <w:szCs w:val="18"/>
                                <w:u w:val="none"/>
                              </w:rPr>
                              <w:tab/>
                              <w:t>………………………...</w:t>
                            </w:r>
                          </w:p>
                          <w:p w14:paraId="20DA5CDB" w14:textId="1731FC59" w:rsidR="002F4398" w:rsidRPr="00084341" w:rsidRDefault="00FB4EF8" w:rsidP="002F4398">
                            <w:pPr>
                              <w:rPr>
                                <w:rFonts w:ascii="Century Gothic" w:hAnsi="Century Gothic"/>
                                <w:sz w:val="18"/>
                                <w:szCs w:val="18"/>
                                <w:u w:val="none"/>
                              </w:rPr>
                            </w:pPr>
                            <w:r>
                              <w:rPr>
                                <w:rFonts w:ascii="Century Gothic" w:hAnsi="Century Gothic"/>
                                <w:sz w:val="18"/>
                                <w:szCs w:val="18"/>
                                <w:u w:val="none"/>
                              </w:rPr>
                              <w:t xml:space="preserve">         </w:t>
                            </w:r>
                            <w:r w:rsidR="002F4398" w:rsidRPr="00084341">
                              <w:rPr>
                                <w:rFonts w:ascii="Century Gothic" w:hAnsi="Century Gothic"/>
                                <w:sz w:val="18"/>
                                <w:szCs w:val="18"/>
                                <w:u w:val="none"/>
                              </w:rPr>
                              <w:t xml:space="preserve"> DATE</w:t>
                            </w:r>
                            <w:r w:rsidR="002F4398" w:rsidRPr="00084341">
                              <w:rPr>
                                <w:rFonts w:ascii="Century Gothic" w:hAnsi="Century Gothic"/>
                                <w:sz w:val="18"/>
                                <w:szCs w:val="18"/>
                                <w:u w:val="none"/>
                              </w:rPr>
                              <w:tab/>
                            </w:r>
                            <w:r w:rsidR="002F4398" w:rsidRPr="00084341">
                              <w:rPr>
                                <w:rFonts w:ascii="Century Gothic" w:hAnsi="Century Gothic"/>
                                <w:sz w:val="18"/>
                                <w:szCs w:val="18"/>
                                <w:u w:val="none"/>
                              </w:rPr>
                              <w:tab/>
                            </w:r>
                            <w:r w:rsidR="002F4398" w:rsidRPr="00084341">
                              <w:rPr>
                                <w:rFonts w:ascii="Century Gothic" w:hAnsi="Century Gothic"/>
                                <w:sz w:val="18"/>
                                <w:szCs w:val="18"/>
                                <w:u w:val="none"/>
                              </w:rPr>
                              <w:tab/>
                            </w:r>
                            <w:r>
                              <w:rPr>
                                <w:rFonts w:ascii="Century Gothic" w:hAnsi="Century Gothic"/>
                                <w:sz w:val="18"/>
                                <w:szCs w:val="18"/>
                                <w:u w:val="none"/>
                              </w:rPr>
                              <w:t xml:space="preserve">    </w:t>
                            </w:r>
                            <w:r w:rsidR="002F4398" w:rsidRPr="00084341">
                              <w:rPr>
                                <w:rFonts w:ascii="Century Gothic" w:hAnsi="Century Gothic"/>
                                <w:sz w:val="18"/>
                                <w:szCs w:val="18"/>
                                <w:u w:val="none"/>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20569" id="_x0000_t202" coordsize="21600,21600" o:spt="202" path="m,l,21600r21600,l21600,xe">
                <v:stroke joinstyle="miter"/>
                <v:path gradientshapeok="t" o:connecttype="rect"/>
              </v:shapetype>
              <v:shape id="Text Box 5" o:spid="_x0000_s1026" type="#_x0000_t202" style="position:absolute;left:0;text-align:left;margin-left:168.75pt;margin-top:12.2pt;width:261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">
                <v:textbox>
                  <w:txbxContent>
                    <w:p w14:paraId="3220D75D" w14:textId="77777777" w:rsidR="002F4398" w:rsidRPr="00913F95" w:rsidRDefault="002F4398" w:rsidP="002F4398">
                      <w:pPr>
                        <w:jc w:val="center"/>
                        <w:rPr>
                          <w:rFonts w:ascii="Century Gothic" w:hAnsi="Century Gothic"/>
                          <w:b/>
                          <w:sz w:val="20"/>
                          <w:szCs w:val="20"/>
                        </w:rPr>
                      </w:pPr>
                    </w:p>
                    <w:p w14:paraId="30F2E8BF" w14:textId="6CAFB1DA" w:rsidR="002F4398" w:rsidRDefault="009A7FA6" w:rsidP="009A7FA6">
                      <w:pPr>
                        <w:tabs>
                          <w:tab w:val="left" w:pos="900"/>
                        </w:tabs>
                        <w:ind w:left="900" w:hanging="720"/>
                        <w:rPr>
                          <w:rFonts w:ascii="Century Gothic" w:hAnsi="Century Gothic"/>
                          <w:sz w:val="20"/>
                          <w:szCs w:val="20"/>
                        </w:rPr>
                      </w:pPr>
                      <w:r>
                        <w:rPr>
                          <w:rFonts w:ascii="Century Gothic" w:hAnsi="Century Gothic"/>
                          <w:sz w:val="20"/>
                          <w:szCs w:val="20"/>
                          <w:u w:val="none"/>
                        </w:rPr>
                        <w:t>(1)</w:t>
                      </w:r>
                      <w:r>
                        <w:rPr>
                          <w:rFonts w:ascii="Century Gothic" w:hAnsi="Century Gothic"/>
                          <w:sz w:val="20"/>
                          <w:szCs w:val="20"/>
                          <w:u w:val="none"/>
                        </w:rPr>
                        <w:tab/>
                      </w:r>
                      <w:r w:rsidR="002F4398" w:rsidRPr="00913F95">
                        <w:rPr>
                          <w:rFonts w:ascii="Century Gothic" w:hAnsi="Century Gothic"/>
                          <w:sz w:val="20"/>
                          <w:szCs w:val="20"/>
                        </w:rPr>
                        <w:t>REPORTABLE: YES</w:t>
                      </w:r>
                      <w:r w:rsidR="002F4398">
                        <w:rPr>
                          <w:rFonts w:ascii="Century Gothic" w:hAnsi="Century Gothic"/>
                          <w:sz w:val="20"/>
                          <w:szCs w:val="20"/>
                        </w:rPr>
                        <w:t xml:space="preserve"> / NO</w:t>
                      </w:r>
                    </w:p>
                    <w:p w14:paraId="71D7B8AE" w14:textId="3289D4A6" w:rsidR="002F4398" w:rsidRPr="00913F95" w:rsidRDefault="009A7FA6" w:rsidP="009A7FA6">
                      <w:pPr>
                        <w:tabs>
                          <w:tab w:val="left" w:pos="900"/>
                        </w:tabs>
                        <w:ind w:left="900" w:hanging="720"/>
                        <w:rPr>
                          <w:rFonts w:ascii="Century Gothic" w:hAnsi="Century Gothic"/>
                          <w:sz w:val="20"/>
                          <w:szCs w:val="20"/>
                        </w:rPr>
                      </w:pPr>
                      <w:r w:rsidRPr="00913F95">
                        <w:rPr>
                          <w:rFonts w:ascii="Century Gothic" w:hAnsi="Century Gothic"/>
                          <w:sz w:val="20"/>
                          <w:szCs w:val="20"/>
                          <w:u w:val="none"/>
                        </w:rPr>
                        <w:t>(2)</w:t>
                      </w:r>
                      <w:r w:rsidRPr="00913F95">
                        <w:rPr>
                          <w:rFonts w:ascii="Century Gothic" w:hAnsi="Century Gothic"/>
                          <w:sz w:val="20"/>
                          <w:szCs w:val="20"/>
                          <w:u w:val="none"/>
                        </w:rPr>
                        <w:tab/>
                      </w:r>
                      <w:r w:rsidR="002F4398" w:rsidRPr="00913F95">
                        <w:rPr>
                          <w:rFonts w:ascii="Century Gothic" w:hAnsi="Century Gothic"/>
                          <w:sz w:val="20"/>
                          <w:szCs w:val="20"/>
                        </w:rPr>
                        <w:t xml:space="preserve">OF INTEREST TO OTHER JUDGES: </w:t>
                      </w:r>
                      <w:r w:rsidR="002F4398">
                        <w:rPr>
                          <w:rFonts w:ascii="Century Gothic" w:hAnsi="Century Gothic"/>
                          <w:sz w:val="20"/>
                          <w:szCs w:val="20"/>
                        </w:rPr>
                        <w:t>YES/</w:t>
                      </w:r>
                      <w:r w:rsidR="002F4398" w:rsidRPr="00913F95">
                        <w:rPr>
                          <w:rFonts w:ascii="Century Gothic" w:hAnsi="Century Gothic"/>
                          <w:sz w:val="20"/>
                          <w:szCs w:val="20"/>
                        </w:rPr>
                        <w:t>NO</w:t>
                      </w:r>
                    </w:p>
                    <w:p w14:paraId="7BD4EE7B" w14:textId="5E0CF7C3" w:rsidR="002F4398" w:rsidRPr="00913F95" w:rsidRDefault="009A7FA6" w:rsidP="009A7FA6">
                      <w:pPr>
                        <w:tabs>
                          <w:tab w:val="left" w:pos="900"/>
                        </w:tabs>
                        <w:ind w:left="900" w:hanging="720"/>
                        <w:rPr>
                          <w:rFonts w:ascii="Century Gothic" w:hAnsi="Century Gothic"/>
                          <w:sz w:val="20"/>
                          <w:szCs w:val="20"/>
                        </w:rPr>
                      </w:pPr>
                      <w:r w:rsidRPr="00913F95">
                        <w:rPr>
                          <w:rFonts w:ascii="Century Gothic" w:hAnsi="Century Gothic"/>
                          <w:sz w:val="20"/>
                          <w:szCs w:val="20"/>
                          <w:u w:val="none"/>
                        </w:rPr>
                        <w:t>(3)</w:t>
                      </w:r>
                      <w:r w:rsidRPr="00913F95">
                        <w:rPr>
                          <w:rFonts w:ascii="Century Gothic" w:hAnsi="Century Gothic"/>
                          <w:sz w:val="20"/>
                          <w:szCs w:val="20"/>
                          <w:u w:val="none"/>
                        </w:rPr>
                        <w:tab/>
                      </w:r>
                      <w:r w:rsidR="002F4398" w:rsidRPr="00913F95">
                        <w:rPr>
                          <w:rFonts w:ascii="Century Gothic" w:hAnsi="Century Gothic"/>
                          <w:sz w:val="20"/>
                          <w:szCs w:val="20"/>
                        </w:rPr>
                        <w:t>REVISED</w:t>
                      </w:r>
                      <w:r w:rsidR="00FB4EF8">
                        <w:rPr>
                          <w:rFonts w:ascii="Century Gothic" w:hAnsi="Century Gothic"/>
                          <w:sz w:val="20"/>
                          <w:szCs w:val="20"/>
                        </w:rPr>
                        <w:t xml:space="preserve">.  </w:t>
                      </w:r>
                    </w:p>
                    <w:p w14:paraId="32CDEDE1" w14:textId="77777777" w:rsidR="002F4398" w:rsidRDefault="002F4398" w:rsidP="002F4398">
                      <w:pPr>
                        <w:rPr>
                          <w:rFonts w:ascii="Century Gothic" w:hAnsi="Century Gothic"/>
                          <w:b/>
                          <w:sz w:val="18"/>
                          <w:szCs w:val="18"/>
                        </w:rPr>
                      </w:pPr>
                    </w:p>
                    <w:p w14:paraId="212B9AB2" w14:textId="45D7A849" w:rsidR="002F4398" w:rsidRPr="00084341" w:rsidRDefault="00FB4EF8" w:rsidP="002F4398">
                      <w:pPr>
                        <w:rPr>
                          <w:rFonts w:ascii="Century Gothic" w:hAnsi="Century Gothic"/>
                          <w:b/>
                          <w:sz w:val="18"/>
                          <w:szCs w:val="18"/>
                          <w:u w:val="none"/>
                        </w:rPr>
                      </w:pPr>
                      <w:r>
                        <w:rPr>
                          <w:rFonts w:ascii="Century Gothic" w:hAnsi="Century Gothic"/>
                          <w:b/>
                          <w:sz w:val="18"/>
                          <w:szCs w:val="18"/>
                          <w:u w:val="none"/>
                        </w:rPr>
                        <w:t xml:space="preserve">    </w:t>
                      </w:r>
                      <w:r w:rsidR="002F4398" w:rsidRPr="00084341">
                        <w:rPr>
                          <w:rFonts w:ascii="Century Gothic" w:hAnsi="Century Gothic"/>
                          <w:b/>
                          <w:sz w:val="18"/>
                          <w:szCs w:val="18"/>
                          <w:u w:val="none"/>
                        </w:rPr>
                        <w:t xml:space="preserve"> ……………………..</w:t>
                      </w:r>
                      <w:r w:rsidR="002F4398" w:rsidRPr="00084341">
                        <w:rPr>
                          <w:rFonts w:ascii="Century Gothic" w:hAnsi="Century Gothic"/>
                          <w:b/>
                          <w:sz w:val="18"/>
                          <w:szCs w:val="18"/>
                          <w:u w:val="none"/>
                        </w:rPr>
                        <w:tab/>
                      </w:r>
                      <w:r w:rsidR="002F4398" w:rsidRPr="00084341">
                        <w:rPr>
                          <w:rFonts w:ascii="Century Gothic" w:hAnsi="Century Gothic"/>
                          <w:b/>
                          <w:sz w:val="18"/>
                          <w:szCs w:val="18"/>
                          <w:u w:val="none"/>
                        </w:rPr>
                        <w:tab/>
                        <w:t>………………………...</w:t>
                      </w:r>
                    </w:p>
                    <w:p w14:paraId="20DA5CDB" w14:textId="1731FC59" w:rsidR="002F4398" w:rsidRPr="00084341" w:rsidRDefault="00FB4EF8" w:rsidP="002F4398">
                      <w:pPr>
                        <w:rPr>
                          <w:rFonts w:ascii="Century Gothic" w:hAnsi="Century Gothic"/>
                          <w:sz w:val="18"/>
                          <w:szCs w:val="18"/>
                          <w:u w:val="none"/>
                        </w:rPr>
                      </w:pPr>
                      <w:r>
                        <w:rPr>
                          <w:rFonts w:ascii="Century Gothic" w:hAnsi="Century Gothic"/>
                          <w:sz w:val="18"/>
                          <w:szCs w:val="18"/>
                          <w:u w:val="none"/>
                        </w:rPr>
                        <w:t xml:space="preserve">         </w:t>
                      </w:r>
                      <w:r w:rsidR="002F4398" w:rsidRPr="00084341">
                        <w:rPr>
                          <w:rFonts w:ascii="Century Gothic" w:hAnsi="Century Gothic"/>
                          <w:sz w:val="18"/>
                          <w:szCs w:val="18"/>
                          <w:u w:val="none"/>
                        </w:rPr>
                        <w:t xml:space="preserve"> DATE</w:t>
                      </w:r>
                      <w:r w:rsidR="002F4398" w:rsidRPr="00084341">
                        <w:rPr>
                          <w:rFonts w:ascii="Century Gothic" w:hAnsi="Century Gothic"/>
                          <w:sz w:val="18"/>
                          <w:szCs w:val="18"/>
                          <w:u w:val="none"/>
                        </w:rPr>
                        <w:tab/>
                      </w:r>
                      <w:r w:rsidR="002F4398" w:rsidRPr="00084341">
                        <w:rPr>
                          <w:rFonts w:ascii="Century Gothic" w:hAnsi="Century Gothic"/>
                          <w:sz w:val="18"/>
                          <w:szCs w:val="18"/>
                          <w:u w:val="none"/>
                        </w:rPr>
                        <w:tab/>
                      </w:r>
                      <w:r w:rsidR="002F4398" w:rsidRPr="00084341">
                        <w:rPr>
                          <w:rFonts w:ascii="Century Gothic" w:hAnsi="Century Gothic"/>
                          <w:sz w:val="18"/>
                          <w:szCs w:val="18"/>
                          <w:u w:val="none"/>
                        </w:rPr>
                        <w:tab/>
                      </w:r>
                      <w:r>
                        <w:rPr>
                          <w:rFonts w:ascii="Century Gothic" w:hAnsi="Century Gothic"/>
                          <w:sz w:val="18"/>
                          <w:szCs w:val="18"/>
                          <w:u w:val="none"/>
                        </w:rPr>
                        <w:t xml:space="preserve">    </w:t>
                      </w:r>
                      <w:r w:rsidR="002F4398" w:rsidRPr="00084341">
                        <w:rPr>
                          <w:rFonts w:ascii="Century Gothic" w:hAnsi="Century Gothic"/>
                          <w:sz w:val="18"/>
                          <w:szCs w:val="18"/>
                          <w:u w:val="none"/>
                        </w:rPr>
                        <w:t>SIGNATURE</w:t>
                      </w:r>
                    </w:p>
                  </w:txbxContent>
                </v:textbox>
              </v:shape>
            </w:pict>
          </mc:Fallback>
        </mc:AlternateContent>
      </w:r>
    </w:p>
    <w:p w14:paraId="7075130A" w14:textId="77777777" w:rsidR="002F4398" w:rsidRPr="00015944" w:rsidRDefault="002F4398" w:rsidP="002F4398">
      <w:pPr>
        <w:jc w:val="both"/>
      </w:pPr>
    </w:p>
    <w:p w14:paraId="5668603E" w14:textId="77777777" w:rsidR="002F4398" w:rsidRPr="00015944" w:rsidRDefault="002F4398" w:rsidP="002F4398">
      <w:pPr>
        <w:jc w:val="both"/>
      </w:pPr>
    </w:p>
    <w:p w14:paraId="7D40FCDE" w14:textId="77777777" w:rsidR="002F4398" w:rsidRPr="00015944" w:rsidRDefault="002F4398" w:rsidP="002F4398">
      <w:pPr>
        <w:jc w:val="both"/>
      </w:pPr>
    </w:p>
    <w:p w14:paraId="4131C264" w14:textId="77777777" w:rsidR="002F4398" w:rsidRPr="00015944" w:rsidRDefault="002F4398" w:rsidP="002F4398">
      <w:pPr>
        <w:jc w:val="both"/>
      </w:pPr>
    </w:p>
    <w:p w14:paraId="2CFB45FA" w14:textId="77777777" w:rsidR="002F4398" w:rsidRPr="00015944" w:rsidRDefault="002F4398" w:rsidP="002F4398">
      <w:pPr>
        <w:jc w:val="both"/>
      </w:pPr>
    </w:p>
    <w:p w14:paraId="3EB864E2" w14:textId="77777777" w:rsidR="002F4398" w:rsidRPr="00015944" w:rsidRDefault="002F4398" w:rsidP="002F4398">
      <w:pPr>
        <w:jc w:val="both"/>
      </w:pPr>
    </w:p>
    <w:p w14:paraId="4302FC81" w14:textId="77777777" w:rsidR="002F4398" w:rsidRPr="00015944" w:rsidRDefault="002F4398" w:rsidP="002F4398">
      <w:pPr>
        <w:jc w:val="both"/>
      </w:pPr>
    </w:p>
    <w:p w14:paraId="649DC8DD" w14:textId="77777777" w:rsidR="002F4398" w:rsidRPr="00015944" w:rsidRDefault="002F4398" w:rsidP="002F4398">
      <w:pPr>
        <w:jc w:val="both"/>
      </w:pPr>
    </w:p>
    <w:p w14:paraId="142FA49F" w14:textId="77777777" w:rsidR="002F4398" w:rsidRPr="00015944" w:rsidRDefault="002F4398" w:rsidP="002F4398"/>
    <w:p w14:paraId="02CB358B" w14:textId="77777777" w:rsidR="002F4398" w:rsidRPr="00015944" w:rsidRDefault="002F4398" w:rsidP="00CE4C3F">
      <w:pPr>
        <w:spacing w:line="480" w:lineRule="auto"/>
        <w:rPr>
          <w:u w:val="none"/>
          <w:lang w:val="en-ZA"/>
        </w:rPr>
      </w:pPr>
      <w:r w:rsidRPr="00015944">
        <w:rPr>
          <w:u w:val="none"/>
          <w:lang w:val="en-ZA"/>
        </w:rPr>
        <w:t>In the matter between:</w:t>
      </w:r>
    </w:p>
    <w:p w14:paraId="48D1B770" w14:textId="77777777" w:rsidR="002F4398" w:rsidRPr="00015944" w:rsidRDefault="002F4398" w:rsidP="00CE4C3F">
      <w:pPr>
        <w:spacing w:line="480" w:lineRule="auto"/>
        <w:rPr>
          <w:u w:val="none"/>
          <w:lang w:val="en-ZA"/>
        </w:rPr>
      </w:pPr>
    </w:p>
    <w:p w14:paraId="30772865" w14:textId="251474F3" w:rsidR="002F4398" w:rsidRDefault="002F5FEC" w:rsidP="0012632C">
      <w:pPr>
        <w:tabs>
          <w:tab w:val="right" w:pos="8222"/>
        </w:tabs>
        <w:spacing w:line="360" w:lineRule="auto"/>
        <w:rPr>
          <w:u w:val="none"/>
          <w:lang w:val="en-ZA"/>
        </w:rPr>
      </w:pPr>
      <w:r>
        <w:rPr>
          <w:b/>
          <w:u w:val="none"/>
          <w:lang w:val="en-ZA"/>
        </w:rPr>
        <w:t>ANDISWA GO</w:t>
      </w:r>
      <w:r w:rsidR="00CC4BD4">
        <w:rPr>
          <w:b/>
          <w:u w:val="none"/>
          <w:lang w:val="en-ZA"/>
        </w:rPr>
        <w:t>L</w:t>
      </w:r>
      <w:r>
        <w:rPr>
          <w:b/>
          <w:u w:val="none"/>
          <w:lang w:val="en-ZA"/>
        </w:rPr>
        <w:t>O</w:t>
      </w:r>
      <w:r w:rsidR="00CC4BD4">
        <w:rPr>
          <w:b/>
          <w:u w:val="none"/>
          <w:lang w:val="en-ZA"/>
        </w:rPr>
        <w:t>D</w:t>
      </w:r>
      <w:r>
        <w:rPr>
          <w:b/>
          <w:u w:val="none"/>
          <w:lang w:val="en-ZA"/>
        </w:rPr>
        <w:t>A</w:t>
      </w:r>
      <w:r w:rsidR="00A74F99" w:rsidRPr="00015944">
        <w:rPr>
          <w:b/>
          <w:u w:val="none"/>
          <w:lang w:val="en-ZA"/>
        </w:rPr>
        <w:tab/>
      </w:r>
      <w:r>
        <w:rPr>
          <w:u w:val="none"/>
          <w:lang w:val="en-ZA"/>
        </w:rPr>
        <w:t>First Applicant</w:t>
      </w:r>
    </w:p>
    <w:p w14:paraId="7834D94F" w14:textId="77777777" w:rsidR="002F5FEC" w:rsidRDefault="002F5FEC" w:rsidP="0012632C">
      <w:pPr>
        <w:tabs>
          <w:tab w:val="right" w:pos="8222"/>
        </w:tabs>
        <w:spacing w:line="360" w:lineRule="auto"/>
        <w:rPr>
          <w:u w:val="none"/>
          <w:lang w:val="en-ZA"/>
        </w:rPr>
      </w:pPr>
    </w:p>
    <w:p w14:paraId="1E81B113" w14:textId="77777777" w:rsidR="002F5FEC" w:rsidRDefault="002F5FEC" w:rsidP="0012632C">
      <w:pPr>
        <w:tabs>
          <w:tab w:val="right" w:pos="8222"/>
        </w:tabs>
        <w:spacing w:line="360" w:lineRule="auto"/>
        <w:rPr>
          <w:b/>
          <w:u w:val="none"/>
          <w:lang w:val="en-ZA"/>
        </w:rPr>
      </w:pPr>
      <w:r>
        <w:rPr>
          <w:b/>
          <w:u w:val="none"/>
          <w:lang w:val="en-ZA"/>
        </w:rPr>
        <w:t>THE EXECUTORS OF THE ESTATE LATE</w:t>
      </w:r>
    </w:p>
    <w:p w14:paraId="7072E5AA" w14:textId="77777777" w:rsidR="002F5FEC" w:rsidRDefault="002F5FEC" w:rsidP="0012632C">
      <w:pPr>
        <w:tabs>
          <w:tab w:val="right" w:pos="8222"/>
        </w:tabs>
        <w:spacing w:line="360" w:lineRule="auto"/>
        <w:rPr>
          <w:u w:val="none"/>
          <w:lang w:val="en-ZA"/>
        </w:rPr>
      </w:pPr>
      <w:r>
        <w:rPr>
          <w:b/>
          <w:u w:val="none"/>
          <w:lang w:val="en-ZA"/>
        </w:rPr>
        <w:t>PIKILE KONCOSHE</w:t>
      </w:r>
      <w:r>
        <w:rPr>
          <w:b/>
          <w:u w:val="none"/>
          <w:lang w:val="en-ZA"/>
        </w:rPr>
        <w:tab/>
      </w:r>
      <w:r>
        <w:rPr>
          <w:u w:val="none"/>
          <w:lang w:val="en-ZA"/>
        </w:rPr>
        <w:t>Second Applicant</w:t>
      </w:r>
    </w:p>
    <w:p w14:paraId="02E19AB4" w14:textId="77777777" w:rsidR="002F5FEC" w:rsidRDefault="002F5FEC" w:rsidP="0012632C">
      <w:pPr>
        <w:tabs>
          <w:tab w:val="right" w:pos="8222"/>
        </w:tabs>
        <w:spacing w:line="360" w:lineRule="auto"/>
        <w:rPr>
          <w:u w:val="none"/>
          <w:lang w:val="en-ZA"/>
        </w:rPr>
      </w:pPr>
      <w:r>
        <w:rPr>
          <w:u w:val="none"/>
          <w:lang w:val="en-ZA"/>
        </w:rPr>
        <w:t>(</w:t>
      </w:r>
      <w:proofErr w:type="spellStart"/>
      <w:r>
        <w:rPr>
          <w:u w:val="none"/>
          <w:lang w:val="en-ZA"/>
        </w:rPr>
        <w:t>Anthenkosi</w:t>
      </w:r>
      <w:proofErr w:type="spellEnd"/>
      <w:r>
        <w:rPr>
          <w:u w:val="none"/>
          <w:lang w:val="en-ZA"/>
        </w:rPr>
        <w:t xml:space="preserve"> </w:t>
      </w:r>
      <w:proofErr w:type="spellStart"/>
      <w:r>
        <w:rPr>
          <w:u w:val="none"/>
          <w:lang w:val="en-ZA"/>
        </w:rPr>
        <w:t>Koncoshe</w:t>
      </w:r>
      <w:proofErr w:type="spellEnd"/>
      <w:r>
        <w:rPr>
          <w:u w:val="none"/>
          <w:lang w:val="en-ZA"/>
        </w:rPr>
        <w:t xml:space="preserve"> NO and </w:t>
      </w:r>
      <w:proofErr w:type="spellStart"/>
      <w:r>
        <w:rPr>
          <w:u w:val="none"/>
          <w:lang w:val="en-ZA"/>
        </w:rPr>
        <w:t>Anelisa</w:t>
      </w:r>
      <w:proofErr w:type="spellEnd"/>
      <w:r>
        <w:rPr>
          <w:u w:val="none"/>
          <w:lang w:val="en-ZA"/>
        </w:rPr>
        <w:t xml:space="preserve"> </w:t>
      </w:r>
      <w:proofErr w:type="spellStart"/>
      <w:r>
        <w:rPr>
          <w:u w:val="none"/>
          <w:lang w:val="en-ZA"/>
        </w:rPr>
        <w:t>Hoho</w:t>
      </w:r>
      <w:proofErr w:type="spellEnd"/>
      <w:r>
        <w:rPr>
          <w:u w:val="none"/>
          <w:lang w:val="en-ZA"/>
        </w:rPr>
        <w:t xml:space="preserve"> NO</w:t>
      </w:r>
    </w:p>
    <w:p w14:paraId="23F8AD41" w14:textId="77777777" w:rsidR="001F27D6" w:rsidRPr="00015944" w:rsidRDefault="001F27D6" w:rsidP="0012632C">
      <w:pPr>
        <w:tabs>
          <w:tab w:val="right" w:pos="8222"/>
        </w:tabs>
        <w:spacing w:line="360" w:lineRule="auto"/>
        <w:rPr>
          <w:u w:val="none"/>
          <w:lang w:val="en-ZA"/>
        </w:rPr>
      </w:pPr>
    </w:p>
    <w:p w14:paraId="161B637F" w14:textId="77777777" w:rsidR="00A74F99" w:rsidRPr="00015944" w:rsidRDefault="00A74F99" w:rsidP="0012632C">
      <w:pPr>
        <w:tabs>
          <w:tab w:val="right" w:pos="8222"/>
        </w:tabs>
        <w:spacing w:line="360" w:lineRule="auto"/>
        <w:rPr>
          <w:u w:val="none"/>
          <w:lang w:val="en-ZA"/>
        </w:rPr>
      </w:pPr>
      <w:r w:rsidRPr="00015944">
        <w:rPr>
          <w:u w:val="none"/>
          <w:lang w:val="en-ZA"/>
        </w:rPr>
        <w:t>and</w:t>
      </w:r>
    </w:p>
    <w:p w14:paraId="33C4B131" w14:textId="77777777" w:rsidR="00A74F99" w:rsidRPr="00015944" w:rsidRDefault="00A74F99" w:rsidP="0012632C">
      <w:pPr>
        <w:tabs>
          <w:tab w:val="right" w:pos="8222"/>
        </w:tabs>
        <w:spacing w:line="360" w:lineRule="auto"/>
        <w:rPr>
          <w:u w:val="none"/>
          <w:lang w:val="en-ZA"/>
        </w:rPr>
      </w:pPr>
    </w:p>
    <w:p w14:paraId="1BCE652B" w14:textId="77777777" w:rsidR="00A74F99" w:rsidRDefault="002F5FEC" w:rsidP="0012632C">
      <w:pPr>
        <w:tabs>
          <w:tab w:val="right" w:pos="8222"/>
        </w:tabs>
        <w:spacing w:line="360" w:lineRule="auto"/>
        <w:rPr>
          <w:u w:val="none"/>
          <w:lang w:val="en-ZA"/>
        </w:rPr>
      </w:pPr>
      <w:r w:rsidRPr="002F5FEC">
        <w:rPr>
          <w:b/>
          <w:u w:val="none"/>
          <w:lang w:val="en-ZA"/>
        </w:rPr>
        <w:t>ANDILE NTOZINI</w:t>
      </w:r>
      <w:r w:rsidR="00A74F99" w:rsidRPr="00015944">
        <w:rPr>
          <w:b/>
          <w:u w:val="none"/>
          <w:lang w:val="en-ZA"/>
        </w:rPr>
        <w:tab/>
      </w:r>
      <w:r>
        <w:rPr>
          <w:u w:val="none"/>
          <w:lang w:val="en-ZA"/>
        </w:rPr>
        <w:t>Respondent</w:t>
      </w:r>
    </w:p>
    <w:p w14:paraId="580BD738" w14:textId="77777777" w:rsidR="002F5FEC" w:rsidRDefault="002F5FEC" w:rsidP="0012632C">
      <w:pPr>
        <w:tabs>
          <w:tab w:val="right" w:pos="8222"/>
        </w:tabs>
        <w:spacing w:line="360" w:lineRule="auto"/>
        <w:rPr>
          <w:u w:val="none"/>
          <w:lang w:val="en-ZA"/>
        </w:rPr>
      </w:pPr>
    </w:p>
    <w:p w14:paraId="594C6CD0" w14:textId="77777777" w:rsidR="002F5FEC" w:rsidRPr="002F5FEC" w:rsidRDefault="002F5FEC" w:rsidP="0012632C">
      <w:pPr>
        <w:tabs>
          <w:tab w:val="right" w:pos="8222"/>
        </w:tabs>
        <w:spacing w:line="360" w:lineRule="auto"/>
        <w:rPr>
          <w:u w:val="none"/>
          <w:lang w:val="en-ZA"/>
        </w:rPr>
      </w:pPr>
      <w:r>
        <w:rPr>
          <w:b/>
          <w:u w:val="none"/>
          <w:lang w:val="en-ZA"/>
        </w:rPr>
        <w:t>BUFFALO CITY METRO MUNICIPALITY</w:t>
      </w:r>
      <w:r>
        <w:rPr>
          <w:b/>
          <w:u w:val="none"/>
          <w:lang w:val="en-ZA"/>
        </w:rPr>
        <w:tab/>
      </w:r>
      <w:r>
        <w:rPr>
          <w:u w:val="none"/>
          <w:lang w:val="en-ZA"/>
        </w:rPr>
        <w:t>Interested Party</w:t>
      </w:r>
    </w:p>
    <w:p w14:paraId="21BFA522" w14:textId="77777777" w:rsidR="002F4398" w:rsidRPr="00015944" w:rsidRDefault="002F4398" w:rsidP="002F4398">
      <w:pPr>
        <w:tabs>
          <w:tab w:val="right" w:pos="8280"/>
        </w:tabs>
        <w:jc w:val="both"/>
        <w:rPr>
          <w:u w:val="none"/>
          <w:lang w:val="en-ZA"/>
        </w:rPr>
      </w:pPr>
      <w:r w:rsidRPr="00015944">
        <w:rPr>
          <w:u w:val="none"/>
          <w:lang w:val="en-ZA"/>
        </w:rPr>
        <w:t xml:space="preserve">______________________________________________________________ </w:t>
      </w:r>
    </w:p>
    <w:p w14:paraId="502EC6A4" w14:textId="77777777" w:rsidR="002F4398" w:rsidRPr="00015944" w:rsidRDefault="002F4398" w:rsidP="002F4398">
      <w:pPr>
        <w:tabs>
          <w:tab w:val="right" w:pos="8280"/>
        </w:tabs>
        <w:jc w:val="both"/>
        <w:rPr>
          <w:u w:val="none"/>
          <w:lang w:val="en-ZA"/>
        </w:rPr>
      </w:pPr>
    </w:p>
    <w:p w14:paraId="2D8771BF" w14:textId="77777777" w:rsidR="002F4398" w:rsidRPr="00015944" w:rsidRDefault="002F4398" w:rsidP="002F4398">
      <w:pPr>
        <w:tabs>
          <w:tab w:val="right" w:pos="8280"/>
        </w:tabs>
        <w:jc w:val="center"/>
        <w:rPr>
          <w:u w:val="none"/>
          <w:lang w:val="en-ZA"/>
        </w:rPr>
      </w:pPr>
      <w:r w:rsidRPr="00015944">
        <w:rPr>
          <w:b/>
          <w:u w:val="none"/>
          <w:lang w:val="en-ZA"/>
        </w:rPr>
        <w:t>J U D G M E N T</w:t>
      </w:r>
    </w:p>
    <w:p w14:paraId="40238301" w14:textId="77777777" w:rsidR="002F4398" w:rsidRPr="00015944" w:rsidRDefault="002F4398" w:rsidP="002F4398">
      <w:pPr>
        <w:tabs>
          <w:tab w:val="right" w:pos="8280"/>
        </w:tabs>
        <w:rPr>
          <w:u w:val="none"/>
          <w:lang w:val="en-ZA"/>
        </w:rPr>
      </w:pPr>
      <w:r w:rsidRPr="00015944">
        <w:rPr>
          <w:u w:val="none"/>
          <w:lang w:val="en-ZA"/>
        </w:rPr>
        <w:t xml:space="preserve">______________________________________________________________ </w:t>
      </w:r>
    </w:p>
    <w:p w14:paraId="2D65964E" w14:textId="77777777" w:rsidR="00DA564D" w:rsidRPr="00015944" w:rsidRDefault="00615DE5" w:rsidP="00807825">
      <w:pPr>
        <w:keepNext/>
        <w:tabs>
          <w:tab w:val="right" w:pos="8280"/>
        </w:tabs>
        <w:spacing w:before="480" w:line="480" w:lineRule="auto"/>
        <w:rPr>
          <w:b/>
          <w:lang w:val="en-ZA"/>
        </w:rPr>
      </w:pPr>
      <w:r>
        <w:rPr>
          <w:b/>
          <w:lang w:val="en-ZA"/>
        </w:rPr>
        <w:lastRenderedPageBreak/>
        <w:t>DREYER</w:t>
      </w:r>
      <w:r w:rsidR="00D67B23" w:rsidRPr="00015944">
        <w:rPr>
          <w:b/>
          <w:lang w:val="en-ZA"/>
        </w:rPr>
        <w:t xml:space="preserve"> AJ</w:t>
      </w:r>
    </w:p>
    <w:p w14:paraId="248403CB" w14:textId="48757B6E" w:rsidR="00BE5D50" w:rsidRPr="009A7FA6" w:rsidRDefault="009A7FA6" w:rsidP="009A7FA6">
      <w:pPr>
        <w:tabs>
          <w:tab w:val="left" w:pos="851"/>
          <w:tab w:val="right" w:pos="8280"/>
        </w:tabs>
        <w:spacing w:before="480" w:line="480" w:lineRule="auto"/>
        <w:ind w:left="851" w:hanging="851"/>
        <w:jc w:val="both"/>
        <w:rPr>
          <w:u w:val="none"/>
          <w:lang w:val="en-ZA"/>
        </w:rPr>
      </w:pPr>
      <w:r w:rsidRPr="0098271B">
        <w:rPr>
          <w:u w:val="none"/>
          <w:lang w:val="en-ZA"/>
        </w:rPr>
        <w:t>[1]</w:t>
      </w:r>
      <w:r w:rsidRPr="0098271B">
        <w:rPr>
          <w:u w:val="none"/>
          <w:lang w:val="en-ZA"/>
        </w:rPr>
        <w:tab/>
      </w:r>
      <w:r w:rsidR="00BE5D50" w:rsidRPr="009A7FA6">
        <w:rPr>
          <w:u w:val="none"/>
          <w:lang w:val="en-ZA"/>
        </w:rPr>
        <w:t>Right to housing is a fundamental right</w:t>
      </w:r>
      <w:r w:rsidR="00FB4EF8" w:rsidRPr="009A7FA6">
        <w:rPr>
          <w:u w:val="none"/>
          <w:lang w:val="en-ZA"/>
        </w:rPr>
        <w:t xml:space="preserve"> –</w:t>
      </w:r>
      <w:r w:rsidR="00BE5D50" w:rsidRPr="009A7FA6">
        <w:rPr>
          <w:u w:val="none"/>
          <w:lang w:val="en-ZA"/>
        </w:rPr>
        <w:t xml:space="preserve"> </w:t>
      </w:r>
      <w:proofErr w:type="gramStart"/>
      <w:r w:rsidR="00BE5D50" w:rsidRPr="009A7FA6">
        <w:rPr>
          <w:u w:val="none"/>
          <w:lang w:val="en-ZA"/>
        </w:rPr>
        <w:t>often</w:t>
      </w:r>
      <w:r w:rsidR="00FB4EF8" w:rsidRPr="009A7FA6">
        <w:rPr>
          <w:u w:val="none"/>
          <w:lang w:val="en-ZA"/>
        </w:rPr>
        <w:t xml:space="preserve"> </w:t>
      </w:r>
      <w:r w:rsidR="00BE5D50" w:rsidRPr="009A7FA6">
        <w:rPr>
          <w:u w:val="none"/>
          <w:lang w:val="en-ZA"/>
        </w:rPr>
        <w:t>times</w:t>
      </w:r>
      <w:proofErr w:type="gramEnd"/>
      <w:r w:rsidR="00FB4EF8" w:rsidRPr="009A7FA6">
        <w:rPr>
          <w:u w:val="none"/>
          <w:lang w:val="en-ZA"/>
        </w:rPr>
        <w:t xml:space="preserve"> </w:t>
      </w:r>
      <w:r w:rsidR="00BE5D50" w:rsidRPr="009A7FA6">
        <w:rPr>
          <w:u w:val="none"/>
          <w:lang w:val="en-ZA"/>
        </w:rPr>
        <w:t>a contested one as the facts in this matter illustrate</w:t>
      </w:r>
      <w:r w:rsidR="00FB4EF8" w:rsidRPr="009A7FA6">
        <w:rPr>
          <w:u w:val="none"/>
          <w:lang w:val="en-ZA"/>
        </w:rPr>
        <w:t xml:space="preserve">.  </w:t>
      </w:r>
    </w:p>
    <w:p w14:paraId="1D957D88" w14:textId="24ED6C55" w:rsidR="0098271B" w:rsidRPr="009A7FA6" w:rsidRDefault="009A7FA6" w:rsidP="009A7FA6">
      <w:pPr>
        <w:tabs>
          <w:tab w:val="left" w:pos="851"/>
          <w:tab w:val="right" w:pos="8280"/>
        </w:tabs>
        <w:spacing w:before="480" w:line="480" w:lineRule="auto"/>
        <w:ind w:left="851" w:hanging="851"/>
        <w:jc w:val="both"/>
        <w:rPr>
          <w:u w:val="none"/>
          <w:lang w:val="en-ZA"/>
        </w:rPr>
      </w:pPr>
      <w:r>
        <w:rPr>
          <w:u w:val="none"/>
          <w:lang w:val="en-ZA"/>
        </w:rPr>
        <w:t>[2]</w:t>
      </w:r>
      <w:r>
        <w:rPr>
          <w:u w:val="none"/>
          <w:lang w:val="en-ZA"/>
        </w:rPr>
        <w:tab/>
      </w:r>
      <w:proofErr w:type="spellStart"/>
      <w:r w:rsidR="0098271B" w:rsidRPr="009A7FA6">
        <w:rPr>
          <w:u w:val="none"/>
          <w:lang w:val="en-ZA"/>
        </w:rPr>
        <w:t>Pikile</w:t>
      </w:r>
      <w:proofErr w:type="spellEnd"/>
      <w:r w:rsidR="0098271B" w:rsidRPr="009A7FA6">
        <w:rPr>
          <w:u w:val="none"/>
          <w:lang w:val="en-ZA"/>
        </w:rPr>
        <w:t xml:space="preserve"> </w:t>
      </w:r>
      <w:proofErr w:type="spellStart"/>
      <w:r w:rsidR="0098271B" w:rsidRPr="009A7FA6">
        <w:rPr>
          <w:u w:val="none"/>
          <w:lang w:val="en-ZA"/>
        </w:rPr>
        <w:t>Koncoshe</w:t>
      </w:r>
      <w:proofErr w:type="spellEnd"/>
      <w:r w:rsidR="0098271B" w:rsidRPr="009A7FA6">
        <w:rPr>
          <w:u w:val="none"/>
          <w:lang w:val="en-ZA"/>
        </w:rPr>
        <w:t xml:space="preserve"> (“the deceased”) owned a house at 10401 NU2 </w:t>
      </w:r>
      <w:proofErr w:type="spellStart"/>
      <w:r w:rsidR="0098271B" w:rsidRPr="009A7FA6">
        <w:rPr>
          <w:u w:val="none"/>
          <w:lang w:val="en-ZA"/>
        </w:rPr>
        <w:t>Mdantsane</w:t>
      </w:r>
      <w:proofErr w:type="spellEnd"/>
      <w:r w:rsidR="0098271B" w:rsidRPr="009A7FA6">
        <w:rPr>
          <w:u w:val="none"/>
          <w:lang w:val="en-ZA"/>
        </w:rPr>
        <w:t>, East London (“the house”)</w:t>
      </w:r>
      <w:r w:rsidR="00FB4EF8" w:rsidRPr="009A7FA6">
        <w:rPr>
          <w:u w:val="none"/>
          <w:lang w:val="en-ZA"/>
        </w:rPr>
        <w:t xml:space="preserve">.  </w:t>
      </w:r>
      <w:r w:rsidR="0098271B" w:rsidRPr="009A7FA6">
        <w:rPr>
          <w:u w:val="none"/>
          <w:lang w:val="en-ZA"/>
        </w:rPr>
        <w:t>He died in 1999.</w:t>
      </w:r>
    </w:p>
    <w:p w14:paraId="0AFD981C" w14:textId="0710285C" w:rsidR="0098271B" w:rsidRPr="009A7FA6" w:rsidRDefault="009A7FA6" w:rsidP="009A7FA6">
      <w:pPr>
        <w:tabs>
          <w:tab w:val="left" w:pos="851"/>
          <w:tab w:val="right" w:pos="8280"/>
        </w:tabs>
        <w:spacing w:before="480" w:line="480" w:lineRule="auto"/>
        <w:ind w:left="851" w:hanging="851"/>
        <w:jc w:val="both"/>
        <w:rPr>
          <w:u w:val="none"/>
          <w:lang w:val="en-ZA"/>
        </w:rPr>
      </w:pPr>
      <w:r>
        <w:rPr>
          <w:u w:val="none"/>
          <w:lang w:val="en-ZA"/>
        </w:rPr>
        <w:t>[3]</w:t>
      </w:r>
      <w:r>
        <w:rPr>
          <w:u w:val="none"/>
          <w:lang w:val="en-ZA"/>
        </w:rPr>
        <w:tab/>
      </w:r>
      <w:r w:rsidR="0098271B" w:rsidRPr="009A7FA6">
        <w:rPr>
          <w:u w:val="none"/>
          <w:lang w:val="en-ZA"/>
        </w:rPr>
        <w:t xml:space="preserve">In 2002, the respondent, Andile </w:t>
      </w:r>
      <w:proofErr w:type="spellStart"/>
      <w:r w:rsidR="0098271B" w:rsidRPr="009A7FA6">
        <w:rPr>
          <w:u w:val="none"/>
          <w:lang w:val="en-ZA"/>
        </w:rPr>
        <w:t>Ntonzini</w:t>
      </w:r>
      <w:proofErr w:type="spellEnd"/>
      <w:r w:rsidR="0098271B" w:rsidRPr="009A7FA6">
        <w:rPr>
          <w:u w:val="none"/>
          <w:lang w:val="en-ZA"/>
        </w:rPr>
        <w:t xml:space="preserve"> (“</w:t>
      </w:r>
      <w:proofErr w:type="spellStart"/>
      <w:r w:rsidR="009368EB" w:rsidRPr="009A7FA6">
        <w:rPr>
          <w:u w:val="none"/>
          <w:lang w:val="en-ZA"/>
        </w:rPr>
        <w:t>Ntozini</w:t>
      </w:r>
      <w:proofErr w:type="spellEnd"/>
      <w:r w:rsidR="009368EB" w:rsidRPr="009A7FA6">
        <w:rPr>
          <w:u w:val="none"/>
          <w:lang w:val="en-ZA"/>
        </w:rPr>
        <w:t>”)</w:t>
      </w:r>
      <w:r w:rsidR="00FB4EF8" w:rsidRPr="009A7FA6">
        <w:rPr>
          <w:u w:val="none"/>
          <w:lang w:val="en-ZA"/>
        </w:rPr>
        <w:t xml:space="preserve"> </w:t>
      </w:r>
      <w:r w:rsidR="0098271B" w:rsidRPr="009A7FA6">
        <w:rPr>
          <w:u w:val="none"/>
          <w:lang w:val="en-ZA"/>
        </w:rPr>
        <w:t>who was without accommodation, found the house abandoned</w:t>
      </w:r>
      <w:r w:rsidR="00FB4EF8" w:rsidRPr="009A7FA6">
        <w:rPr>
          <w:u w:val="none"/>
          <w:lang w:val="en-ZA"/>
        </w:rPr>
        <w:t xml:space="preserve">.  </w:t>
      </w:r>
      <w:r w:rsidR="0098271B" w:rsidRPr="009A7FA6">
        <w:rPr>
          <w:u w:val="none"/>
          <w:lang w:val="en-ZA"/>
        </w:rPr>
        <w:t>The house had fallen into disrepair, it was dilapidated and had been vandalised</w:t>
      </w:r>
      <w:r w:rsidR="00FB4EF8" w:rsidRPr="009A7FA6">
        <w:rPr>
          <w:u w:val="none"/>
          <w:lang w:val="en-ZA"/>
        </w:rPr>
        <w:t xml:space="preserve">.  </w:t>
      </w:r>
      <w:r w:rsidR="0098271B" w:rsidRPr="009A7FA6">
        <w:rPr>
          <w:u w:val="none"/>
          <w:lang w:val="en-ZA"/>
        </w:rPr>
        <w:t>The doors, windows and roof had all been removed, as was the electrical cabling</w:t>
      </w:r>
      <w:r w:rsidR="00FB4EF8" w:rsidRPr="009A7FA6">
        <w:rPr>
          <w:u w:val="none"/>
          <w:lang w:val="en-ZA"/>
        </w:rPr>
        <w:t xml:space="preserve">.  </w:t>
      </w:r>
      <w:proofErr w:type="spellStart"/>
      <w:r w:rsidR="0098271B" w:rsidRPr="009A7FA6">
        <w:rPr>
          <w:u w:val="none"/>
          <w:lang w:val="en-ZA"/>
        </w:rPr>
        <w:t>Ntozini</w:t>
      </w:r>
      <w:proofErr w:type="spellEnd"/>
      <w:r w:rsidR="0098271B" w:rsidRPr="009A7FA6">
        <w:rPr>
          <w:u w:val="none"/>
          <w:lang w:val="en-ZA"/>
        </w:rPr>
        <w:t xml:space="preserve"> traced </w:t>
      </w:r>
      <w:proofErr w:type="spellStart"/>
      <w:r w:rsidR="0098271B" w:rsidRPr="009A7FA6">
        <w:rPr>
          <w:u w:val="none"/>
          <w:lang w:val="en-ZA"/>
        </w:rPr>
        <w:t>Vuyiseli</w:t>
      </w:r>
      <w:proofErr w:type="spellEnd"/>
      <w:r w:rsidR="0098271B" w:rsidRPr="009A7FA6">
        <w:rPr>
          <w:u w:val="none"/>
          <w:lang w:val="en-ZA"/>
        </w:rPr>
        <w:t xml:space="preserve"> </w:t>
      </w:r>
      <w:proofErr w:type="spellStart"/>
      <w:r w:rsidR="0098271B" w:rsidRPr="009A7FA6">
        <w:rPr>
          <w:u w:val="none"/>
          <w:lang w:val="en-ZA"/>
        </w:rPr>
        <w:t>Piacini</w:t>
      </w:r>
      <w:proofErr w:type="spellEnd"/>
      <w:r w:rsidR="0098271B" w:rsidRPr="009A7FA6">
        <w:rPr>
          <w:u w:val="none"/>
          <w:lang w:val="en-ZA"/>
        </w:rPr>
        <w:t xml:space="preserve"> </w:t>
      </w:r>
      <w:proofErr w:type="spellStart"/>
      <w:r w:rsidR="0029667F" w:rsidRPr="009A7FA6">
        <w:rPr>
          <w:u w:val="none"/>
          <w:lang w:val="en-ZA"/>
        </w:rPr>
        <w:t>Koncoshe</w:t>
      </w:r>
      <w:proofErr w:type="spellEnd"/>
      <w:r w:rsidR="0098271B" w:rsidRPr="009A7FA6">
        <w:rPr>
          <w:u w:val="none"/>
          <w:lang w:val="en-ZA"/>
        </w:rPr>
        <w:t xml:space="preserve"> (“</w:t>
      </w:r>
      <w:proofErr w:type="spellStart"/>
      <w:r w:rsidR="0098271B" w:rsidRPr="009A7FA6">
        <w:rPr>
          <w:u w:val="none"/>
          <w:lang w:val="en-ZA"/>
        </w:rPr>
        <w:t>Vuyiseli</w:t>
      </w:r>
      <w:proofErr w:type="spellEnd"/>
      <w:r w:rsidR="0098271B" w:rsidRPr="009A7FA6">
        <w:rPr>
          <w:u w:val="none"/>
          <w:lang w:val="en-ZA"/>
        </w:rPr>
        <w:t>”), the deceased’s brother (in Berlin, East London), who was responsible for the house</w:t>
      </w:r>
      <w:r w:rsidR="00FB4EF8" w:rsidRPr="009A7FA6">
        <w:rPr>
          <w:u w:val="none"/>
          <w:lang w:val="en-ZA"/>
        </w:rPr>
        <w:t xml:space="preserve">.  </w:t>
      </w:r>
      <w:proofErr w:type="spellStart"/>
      <w:r w:rsidR="0098271B" w:rsidRPr="009A7FA6">
        <w:rPr>
          <w:u w:val="none"/>
          <w:lang w:val="en-ZA"/>
        </w:rPr>
        <w:t>Vuyiseli</w:t>
      </w:r>
      <w:proofErr w:type="spellEnd"/>
      <w:r w:rsidR="0098271B" w:rsidRPr="009A7FA6">
        <w:rPr>
          <w:u w:val="none"/>
          <w:lang w:val="en-ZA"/>
        </w:rPr>
        <w:t xml:space="preserve"> gave </w:t>
      </w:r>
      <w:proofErr w:type="spellStart"/>
      <w:r w:rsidR="0098271B" w:rsidRPr="009A7FA6">
        <w:rPr>
          <w:u w:val="none"/>
          <w:lang w:val="en-ZA"/>
        </w:rPr>
        <w:t>Ntozini</w:t>
      </w:r>
      <w:proofErr w:type="spellEnd"/>
      <w:r w:rsidR="0098271B" w:rsidRPr="009A7FA6">
        <w:rPr>
          <w:u w:val="none"/>
          <w:lang w:val="en-ZA"/>
        </w:rPr>
        <w:t xml:space="preserve"> permission to stay at the house in the condition he found it.</w:t>
      </w:r>
    </w:p>
    <w:p w14:paraId="3DC12B83" w14:textId="1AB663F9" w:rsidR="0098271B" w:rsidRPr="009A7FA6" w:rsidRDefault="009A7FA6" w:rsidP="009A7FA6">
      <w:pPr>
        <w:tabs>
          <w:tab w:val="left" w:pos="851"/>
          <w:tab w:val="right" w:pos="8280"/>
        </w:tabs>
        <w:spacing w:before="480" w:line="480" w:lineRule="auto"/>
        <w:ind w:left="851" w:hanging="851"/>
        <w:jc w:val="both"/>
        <w:rPr>
          <w:u w:val="none"/>
          <w:lang w:val="en-ZA"/>
        </w:rPr>
      </w:pPr>
      <w:r>
        <w:rPr>
          <w:u w:val="none"/>
          <w:lang w:val="en-ZA"/>
        </w:rPr>
        <w:t>[4]</w:t>
      </w:r>
      <w:r>
        <w:rPr>
          <w:u w:val="none"/>
          <w:lang w:val="en-ZA"/>
        </w:rPr>
        <w:tab/>
      </w:r>
      <w:proofErr w:type="spellStart"/>
      <w:r w:rsidR="0098271B" w:rsidRPr="009A7FA6">
        <w:rPr>
          <w:u w:val="none"/>
          <w:lang w:val="en-ZA"/>
        </w:rPr>
        <w:t>Ntozini</w:t>
      </w:r>
      <w:proofErr w:type="spellEnd"/>
      <w:r w:rsidR="0098271B" w:rsidRPr="009A7FA6">
        <w:rPr>
          <w:u w:val="none"/>
          <w:lang w:val="en-ZA"/>
        </w:rPr>
        <w:t xml:space="preserve"> moved into the house, effected repairs to the house to make it habitable and settled the outstanding municipal accounts due to the City of East London</w:t>
      </w:r>
      <w:r w:rsidR="00FB4EF8" w:rsidRPr="009A7FA6">
        <w:rPr>
          <w:u w:val="none"/>
          <w:lang w:val="en-ZA"/>
        </w:rPr>
        <w:t xml:space="preserve">.  </w:t>
      </w:r>
      <w:proofErr w:type="spellStart"/>
      <w:r w:rsidR="00FC4A67" w:rsidRPr="009A7FA6">
        <w:rPr>
          <w:u w:val="none"/>
          <w:lang w:val="en-ZA"/>
        </w:rPr>
        <w:t>Nto</w:t>
      </w:r>
      <w:r w:rsidR="009B4ADB" w:rsidRPr="009A7FA6">
        <w:rPr>
          <w:u w:val="none"/>
          <w:lang w:val="en-ZA"/>
        </w:rPr>
        <w:t>zini</w:t>
      </w:r>
      <w:proofErr w:type="spellEnd"/>
      <w:r w:rsidR="009B4ADB" w:rsidRPr="009A7FA6">
        <w:rPr>
          <w:u w:val="none"/>
          <w:lang w:val="en-ZA"/>
        </w:rPr>
        <w:t xml:space="preserve"> had the municipal account transferred into his name and </w:t>
      </w:r>
      <w:r w:rsidR="00041363" w:rsidRPr="009A7FA6">
        <w:rPr>
          <w:u w:val="none"/>
          <w:lang w:val="en-ZA"/>
        </w:rPr>
        <w:t>continued to pay for</w:t>
      </w:r>
      <w:r w:rsidR="00FB4EF8" w:rsidRPr="009A7FA6">
        <w:rPr>
          <w:u w:val="none"/>
          <w:lang w:val="en-ZA"/>
        </w:rPr>
        <w:t xml:space="preserve"> </w:t>
      </w:r>
      <w:r w:rsidR="00041363" w:rsidRPr="009A7FA6">
        <w:rPr>
          <w:u w:val="none"/>
          <w:lang w:val="en-ZA"/>
        </w:rPr>
        <w:t>the services.</w:t>
      </w:r>
    </w:p>
    <w:p w14:paraId="36AF030D" w14:textId="77177129" w:rsidR="0098271B" w:rsidRPr="009A7FA6" w:rsidRDefault="009A7FA6" w:rsidP="009A7FA6">
      <w:pPr>
        <w:tabs>
          <w:tab w:val="left" w:pos="851"/>
          <w:tab w:val="right" w:pos="8280"/>
        </w:tabs>
        <w:spacing w:before="480" w:line="480" w:lineRule="auto"/>
        <w:ind w:left="851" w:hanging="851"/>
        <w:jc w:val="both"/>
        <w:rPr>
          <w:u w:val="none"/>
          <w:lang w:val="en-ZA"/>
        </w:rPr>
      </w:pPr>
      <w:r>
        <w:rPr>
          <w:u w:val="none"/>
          <w:lang w:val="en-ZA"/>
        </w:rPr>
        <w:t>[5]</w:t>
      </w:r>
      <w:r>
        <w:rPr>
          <w:u w:val="none"/>
          <w:lang w:val="en-ZA"/>
        </w:rPr>
        <w:tab/>
      </w:r>
      <w:r w:rsidR="0098271B" w:rsidRPr="009A7FA6">
        <w:rPr>
          <w:u w:val="none"/>
          <w:lang w:val="en-ZA"/>
        </w:rPr>
        <w:t>In 2014, the mother</w:t>
      </w:r>
      <w:r w:rsidR="00DC38BD" w:rsidRPr="009A7FA6">
        <w:rPr>
          <w:u w:val="none"/>
          <w:lang w:val="en-ZA"/>
        </w:rPr>
        <w:t xml:space="preserve"> of </w:t>
      </w:r>
      <w:proofErr w:type="spellStart"/>
      <w:r w:rsidR="000744B6" w:rsidRPr="009A7FA6">
        <w:rPr>
          <w:u w:val="none"/>
          <w:lang w:val="en-ZA"/>
        </w:rPr>
        <w:t>Anthenkosi</w:t>
      </w:r>
      <w:proofErr w:type="spellEnd"/>
      <w:r w:rsidR="000744B6" w:rsidRPr="009A7FA6">
        <w:rPr>
          <w:u w:val="none"/>
          <w:lang w:val="en-ZA"/>
        </w:rPr>
        <w:t xml:space="preserve"> </w:t>
      </w:r>
      <w:proofErr w:type="spellStart"/>
      <w:r w:rsidR="000744B6" w:rsidRPr="009A7FA6">
        <w:rPr>
          <w:u w:val="none"/>
          <w:lang w:val="en-ZA"/>
        </w:rPr>
        <w:t>Koncoshe</w:t>
      </w:r>
      <w:proofErr w:type="spellEnd"/>
      <w:r w:rsidR="000744B6" w:rsidRPr="009A7FA6">
        <w:rPr>
          <w:u w:val="none"/>
          <w:lang w:val="en-ZA"/>
        </w:rPr>
        <w:t xml:space="preserve"> (“</w:t>
      </w:r>
      <w:proofErr w:type="spellStart"/>
      <w:r w:rsidR="000744B6" w:rsidRPr="009A7FA6">
        <w:rPr>
          <w:u w:val="none"/>
          <w:lang w:val="en-ZA"/>
        </w:rPr>
        <w:t>Koncoshe</w:t>
      </w:r>
      <w:proofErr w:type="spellEnd"/>
      <w:r w:rsidR="000744B6" w:rsidRPr="009A7FA6">
        <w:rPr>
          <w:u w:val="none"/>
          <w:lang w:val="en-ZA"/>
        </w:rPr>
        <w:t xml:space="preserve">”), </w:t>
      </w:r>
      <w:r w:rsidR="0098271B" w:rsidRPr="009A7FA6">
        <w:rPr>
          <w:u w:val="none"/>
          <w:lang w:val="en-ZA"/>
        </w:rPr>
        <w:t xml:space="preserve">of one of the executors of the deceased, told </w:t>
      </w:r>
      <w:proofErr w:type="spellStart"/>
      <w:r w:rsidR="0098271B" w:rsidRPr="009A7FA6">
        <w:rPr>
          <w:u w:val="none"/>
          <w:lang w:val="en-ZA"/>
        </w:rPr>
        <w:t>Ntozini</w:t>
      </w:r>
      <w:proofErr w:type="spellEnd"/>
      <w:r w:rsidR="0098271B" w:rsidRPr="009A7FA6">
        <w:rPr>
          <w:u w:val="none"/>
          <w:lang w:val="en-ZA"/>
        </w:rPr>
        <w:t xml:space="preserve"> she wanted to sell the house</w:t>
      </w:r>
      <w:r w:rsidR="00FB4EF8" w:rsidRPr="009A7FA6">
        <w:rPr>
          <w:u w:val="none"/>
          <w:lang w:val="en-ZA"/>
        </w:rPr>
        <w:t xml:space="preserve">.  </w:t>
      </w:r>
      <w:proofErr w:type="spellStart"/>
      <w:r w:rsidR="0098271B" w:rsidRPr="009A7FA6">
        <w:rPr>
          <w:u w:val="none"/>
          <w:lang w:val="en-ZA"/>
        </w:rPr>
        <w:t>Ntozini</w:t>
      </w:r>
      <w:proofErr w:type="spellEnd"/>
      <w:r w:rsidR="0098271B" w:rsidRPr="009A7FA6">
        <w:rPr>
          <w:u w:val="none"/>
          <w:lang w:val="en-ZA"/>
        </w:rPr>
        <w:t xml:space="preserve"> resisted the sale of the house as he believed he had rights to the house </w:t>
      </w:r>
      <w:r w:rsidR="009368EB" w:rsidRPr="009A7FA6">
        <w:rPr>
          <w:u w:val="none"/>
          <w:lang w:val="en-ZA"/>
        </w:rPr>
        <w:t xml:space="preserve">having </w:t>
      </w:r>
      <w:r w:rsidR="0098271B" w:rsidRPr="009A7FA6">
        <w:rPr>
          <w:u w:val="none"/>
          <w:lang w:val="en-ZA"/>
        </w:rPr>
        <w:t>lived there for 10 years</w:t>
      </w:r>
      <w:r w:rsidR="00FB4EF8" w:rsidRPr="009A7FA6">
        <w:rPr>
          <w:u w:val="none"/>
          <w:lang w:val="en-ZA"/>
        </w:rPr>
        <w:t xml:space="preserve">.  </w:t>
      </w:r>
      <w:r w:rsidR="0098271B" w:rsidRPr="009A7FA6">
        <w:rPr>
          <w:u w:val="none"/>
          <w:lang w:val="en-ZA"/>
        </w:rPr>
        <w:t xml:space="preserve">The dispute was </w:t>
      </w:r>
      <w:r w:rsidR="0098271B" w:rsidRPr="009A7FA6">
        <w:rPr>
          <w:u w:val="none"/>
          <w:lang w:val="en-ZA"/>
        </w:rPr>
        <w:lastRenderedPageBreak/>
        <w:t xml:space="preserve">referred to the Master of the High Court in </w:t>
      </w:r>
      <w:proofErr w:type="spellStart"/>
      <w:r w:rsidR="0029667F" w:rsidRPr="009A7FA6">
        <w:rPr>
          <w:u w:val="none"/>
          <w:lang w:val="en-ZA"/>
        </w:rPr>
        <w:t>Bhisho</w:t>
      </w:r>
      <w:proofErr w:type="spellEnd"/>
      <w:r w:rsidR="00FB4EF8" w:rsidRPr="009A7FA6">
        <w:rPr>
          <w:u w:val="none"/>
          <w:lang w:val="en-ZA"/>
        </w:rPr>
        <w:t xml:space="preserve">.  The Master told </w:t>
      </w:r>
      <w:proofErr w:type="spellStart"/>
      <w:r w:rsidR="00FB4EF8" w:rsidRPr="009A7FA6">
        <w:rPr>
          <w:u w:val="none"/>
          <w:lang w:val="en-ZA"/>
        </w:rPr>
        <w:t>Ntozini</w:t>
      </w:r>
      <w:proofErr w:type="spellEnd"/>
      <w:r w:rsidR="00FB4EF8" w:rsidRPr="009A7FA6">
        <w:rPr>
          <w:u w:val="none"/>
          <w:lang w:val="en-ZA"/>
        </w:rPr>
        <w:t xml:space="preserve"> that</w:t>
      </w:r>
      <w:r w:rsidR="0098271B" w:rsidRPr="009A7FA6">
        <w:rPr>
          <w:u w:val="none"/>
          <w:lang w:val="en-ZA"/>
        </w:rPr>
        <w:t xml:space="preserve"> </w:t>
      </w:r>
      <w:r w:rsidR="00FF15A3" w:rsidRPr="009A7FA6">
        <w:rPr>
          <w:u w:val="none"/>
          <w:lang w:val="en-ZA"/>
        </w:rPr>
        <w:t>repairing the</w:t>
      </w:r>
      <w:r w:rsidR="0098271B" w:rsidRPr="009A7FA6">
        <w:rPr>
          <w:u w:val="none"/>
          <w:lang w:val="en-ZA"/>
        </w:rPr>
        <w:t xml:space="preserve"> house </w:t>
      </w:r>
      <w:r w:rsidR="009368EB" w:rsidRPr="009A7FA6">
        <w:rPr>
          <w:u w:val="none"/>
          <w:lang w:val="en-ZA"/>
        </w:rPr>
        <w:t>in</w:t>
      </w:r>
      <w:r w:rsidR="0098271B" w:rsidRPr="009A7FA6">
        <w:rPr>
          <w:u w:val="none"/>
          <w:lang w:val="en-ZA"/>
        </w:rPr>
        <w:t>to a habitable condition did not make him the owner</w:t>
      </w:r>
      <w:r w:rsidR="00FB4EF8" w:rsidRPr="009A7FA6">
        <w:rPr>
          <w:u w:val="none"/>
          <w:lang w:val="en-ZA"/>
        </w:rPr>
        <w:t xml:space="preserve">.  </w:t>
      </w:r>
      <w:r w:rsidR="0098271B" w:rsidRPr="009A7FA6">
        <w:rPr>
          <w:u w:val="none"/>
          <w:lang w:val="en-ZA"/>
        </w:rPr>
        <w:t>He would have to buy the house from the executors of the deceased to prevent them from selling the house to someone else.</w:t>
      </w:r>
    </w:p>
    <w:p w14:paraId="7314E7FB" w14:textId="70958E58" w:rsidR="0098271B" w:rsidRPr="009A7FA6" w:rsidRDefault="009A7FA6" w:rsidP="009A7FA6">
      <w:pPr>
        <w:tabs>
          <w:tab w:val="left" w:pos="851"/>
          <w:tab w:val="right" w:pos="8280"/>
        </w:tabs>
        <w:spacing w:before="480" w:line="480" w:lineRule="auto"/>
        <w:ind w:left="851" w:hanging="851"/>
        <w:jc w:val="both"/>
        <w:rPr>
          <w:u w:val="none"/>
          <w:lang w:val="en-ZA"/>
        </w:rPr>
      </w:pPr>
      <w:r>
        <w:rPr>
          <w:u w:val="none"/>
          <w:lang w:val="en-ZA"/>
        </w:rPr>
        <w:t>[6]</w:t>
      </w:r>
      <w:r>
        <w:rPr>
          <w:u w:val="none"/>
          <w:lang w:val="en-ZA"/>
        </w:rPr>
        <w:tab/>
      </w:r>
      <w:r w:rsidR="0098271B" w:rsidRPr="009A7FA6">
        <w:rPr>
          <w:u w:val="none"/>
          <w:lang w:val="en-ZA"/>
        </w:rPr>
        <w:t xml:space="preserve">As </w:t>
      </w:r>
      <w:proofErr w:type="spellStart"/>
      <w:r w:rsidR="0098271B" w:rsidRPr="009A7FA6">
        <w:rPr>
          <w:u w:val="none"/>
          <w:lang w:val="en-ZA"/>
        </w:rPr>
        <w:t>Ntozini</w:t>
      </w:r>
      <w:proofErr w:type="spellEnd"/>
      <w:r w:rsidR="0098271B" w:rsidRPr="009A7FA6">
        <w:rPr>
          <w:u w:val="none"/>
          <w:lang w:val="en-ZA"/>
        </w:rPr>
        <w:t xml:space="preserve"> could not raise the finance himself to buy the house, his uncle, </w:t>
      </w:r>
      <w:proofErr w:type="spellStart"/>
      <w:r w:rsidR="0098271B" w:rsidRPr="009A7FA6">
        <w:rPr>
          <w:u w:val="none"/>
          <w:lang w:val="en-ZA"/>
        </w:rPr>
        <w:t>Mboneleli</w:t>
      </w:r>
      <w:proofErr w:type="spellEnd"/>
      <w:r w:rsidR="0098271B" w:rsidRPr="009A7FA6">
        <w:rPr>
          <w:u w:val="none"/>
          <w:lang w:val="en-ZA"/>
        </w:rPr>
        <w:t xml:space="preserve"> Livingstone </w:t>
      </w:r>
      <w:proofErr w:type="spellStart"/>
      <w:r w:rsidR="0098271B" w:rsidRPr="009A7FA6">
        <w:rPr>
          <w:u w:val="none"/>
          <w:lang w:val="en-ZA"/>
        </w:rPr>
        <w:t>Siyongwani</w:t>
      </w:r>
      <w:proofErr w:type="spellEnd"/>
      <w:r w:rsidR="0098271B" w:rsidRPr="009A7FA6">
        <w:rPr>
          <w:u w:val="none"/>
          <w:lang w:val="en-ZA"/>
        </w:rPr>
        <w:t xml:space="preserve"> (“</w:t>
      </w:r>
      <w:proofErr w:type="spellStart"/>
      <w:r w:rsidR="0098271B" w:rsidRPr="009A7FA6">
        <w:rPr>
          <w:u w:val="none"/>
          <w:lang w:val="en-ZA"/>
        </w:rPr>
        <w:t>Siyongwani</w:t>
      </w:r>
      <w:proofErr w:type="spellEnd"/>
      <w:r w:rsidR="0098271B" w:rsidRPr="009A7FA6">
        <w:rPr>
          <w:u w:val="none"/>
          <w:lang w:val="en-ZA"/>
        </w:rPr>
        <w:t>”) agreed to assist him</w:t>
      </w:r>
      <w:r w:rsidR="00FB4EF8" w:rsidRPr="009A7FA6">
        <w:rPr>
          <w:u w:val="none"/>
          <w:lang w:val="en-ZA"/>
        </w:rPr>
        <w:t xml:space="preserve">.  </w:t>
      </w:r>
      <w:proofErr w:type="spellStart"/>
      <w:r w:rsidR="0098271B" w:rsidRPr="009A7FA6">
        <w:rPr>
          <w:u w:val="none"/>
          <w:lang w:val="en-ZA"/>
        </w:rPr>
        <w:t>Siyongwani</w:t>
      </w:r>
      <w:proofErr w:type="spellEnd"/>
      <w:r w:rsidR="0098271B" w:rsidRPr="009A7FA6">
        <w:rPr>
          <w:u w:val="none"/>
          <w:lang w:val="en-ZA"/>
        </w:rPr>
        <w:t xml:space="preserve"> made an offer to the executors of the estate, </w:t>
      </w:r>
      <w:proofErr w:type="spellStart"/>
      <w:r w:rsidR="0098271B" w:rsidRPr="009A7FA6">
        <w:rPr>
          <w:u w:val="none"/>
          <w:lang w:val="en-ZA"/>
        </w:rPr>
        <w:t>Koncoshe</w:t>
      </w:r>
      <w:proofErr w:type="spellEnd"/>
      <w:r w:rsidR="0098271B" w:rsidRPr="009A7FA6">
        <w:rPr>
          <w:u w:val="none"/>
          <w:lang w:val="en-ZA"/>
        </w:rPr>
        <w:t xml:space="preserve"> and </w:t>
      </w:r>
      <w:proofErr w:type="spellStart"/>
      <w:r w:rsidR="0098271B" w:rsidRPr="009A7FA6">
        <w:rPr>
          <w:u w:val="none"/>
          <w:lang w:val="en-ZA"/>
        </w:rPr>
        <w:t>Anelisa</w:t>
      </w:r>
      <w:proofErr w:type="spellEnd"/>
      <w:r w:rsidR="0098271B" w:rsidRPr="009A7FA6">
        <w:rPr>
          <w:u w:val="none"/>
          <w:lang w:val="en-ZA"/>
        </w:rPr>
        <w:t xml:space="preserve"> </w:t>
      </w:r>
      <w:proofErr w:type="spellStart"/>
      <w:r w:rsidR="0098271B" w:rsidRPr="009A7FA6">
        <w:rPr>
          <w:u w:val="none"/>
          <w:lang w:val="en-ZA"/>
        </w:rPr>
        <w:t>Hoho</w:t>
      </w:r>
      <w:proofErr w:type="spellEnd"/>
      <w:r w:rsidR="0098271B" w:rsidRPr="009A7FA6">
        <w:rPr>
          <w:u w:val="none"/>
          <w:lang w:val="en-ZA"/>
        </w:rPr>
        <w:t xml:space="preserve"> (“</w:t>
      </w:r>
      <w:proofErr w:type="spellStart"/>
      <w:r w:rsidR="0098271B" w:rsidRPr="009A7FA6">
        <w:rPr>
          <w:u w:val="none"/>
          <w:lang w:val="en-ZA"/>
        </w:rPr>
        <w:t>Hoho</w:t>
      </w:r>
      <w:proofErr w:type="spellEnd"/>
      <w:r w:rsidR="0098271B" w:rsidRPr="009A7FA6">
        <w:rPr>
          <w:u w:val="none"/>
          <w:lang w:val="en-ZA"/>
        </w:rPr>
        <w:t>”) to purchase the house for the sum of R160 573.00</w:t>
      </w:r>
      <w:r w:rsidR="00FB4EF8" w:rsidRPr="009A7FA6">
        <w:rPr>
          <w:u w:val="none"/>
          <w:lang w:val="en-ZA"/>
        </w:rPr>
        <w:t xml:space="preserve">.  </w:t>
      </w:r>
      <w:r w:rsidR="0098271B" w:rsidRPr="009A7FA6">
        <w:rPr>
          <w:u w:val="none"/>
          <w:lang w:val="en-ZA"/>
        </w:rPr>
        <w:t xml:space="preserve">The written offer of purchase was subject to </w:t>
      </w:r>
      <w:proofErr w:type="spellStart"/>
      <w:r w:rsidR="0098271B" w:rsidRPr="009A7FA6">
        <w:rPr>
          <w:u w:val="none"/>
          <w:lang w:val="en-ZA"/>
        </w:rPr>
        <w:t>Siyongwani</w:t>
      </w:r>
      <w:proofErr w:type="spellEnd"/>
      <w:r w:rsidR="0098271B" w:rsidRPr="009A7FA6">
        <w:rPr>
          <w:u w:val="none"/>
          <w:lang w:val="en-ZA"/>
        </w:rPr>
        <w:t xml:space="preserve"> securing financial assistance from the Department of Housing for the full purchase consideration</w:t>
      </w:r>
      <w:r w:rsidR="00FB4EF8" w:rsidRPr="009A7FA6">
        <w:rPr>
          <w:u w:val="none"/>
          <w:lang w:val="en-ZA"/>
        </w:rPr>
        <w:t xml:space="preserve">.  </w:t>
      </w:r>
      <w:r w:rsidR="0098271B" w:rsidRPr="009A7FA6">
        <w:rPr>
          <w:u w:val="none"/>
          <w:lang w:val="en-ZA"/>
        </w:rPr>
        <w:t>This suspensive clause was not time bound.</w:t>
      </w:r>
    </w:p>
    <w:p w14:paraId="0414755C" w14:textId="4CEB1A7E" w:rsidR="0098271B" w:rsidRPr="009A7FA6" w:rsidRDefault="009A7FA6" w:rsidP="009A7FA6">
      <w:pPr>
        <w:tabs>
          <w:tab w:val="left" w:pos="851"/>
          <w:tab w:val="right" w:pos="8280"/>
        </w:tabs>
        <w:spacing w:before="480" w:line="480" w:lineRule="auto"/>
        <w:ind w:left="851" w:hanging="851"/>
        <w:jc w:val="both"/>
        <w:rPr>
          <w:u w:val="none"/>
          <w:lang w:val="en-ZA"/>
        </w:rPr>
      </w:pPr>
      <w:r w:rsidRPr="00DC38BD">
        <w:rPr>
          <w:u w:val="none"/>
          <w:lang w:val="en-ZA"/>
        </w:rPr>
        <w:t>[7]</w:t>
      </w:r>
      <w:r w:rsidRPr="00DC38BD">
        <w:rPr>
          <w:u w:val="none"/>
          <w:lang w:val="en-ZA"/>
        </w:rPr>
        <w:tab/>
      </w:r>
      <w:proofErr w:type="spellStart"/>
      <w:r w:rsidR="0098271B" w:rsidRPr="009A7FA6">
        <w:rPr>
          <w:u w:val="none"/>
          <w:lang w:val="en-ZA"/>
        </w:rPr>
        <w:t>Ntozini</w:t>
      </w:r>
      <w:proofErr w:type="spellEnd"/>
      <w:r w:rsidR="0098271B" w:rsidRPr="009A7FA6">
        <w:rPr>
          <w:u w:val="none"/>
          <w:lang w:val="en-ZA"/>
        </w:rPr>
        <w:t xml:space="preserve"> contends that the offer of purchase was accepted by both joint executors, </w:t>
      </w:r>
      <w:proofErr w:type="spellStart"/>
      <w:r w:rsidR="0098271B" w:rsidRPr="009A7FA6">
        <w:rPr>
          <w:u w:val="none"/>
          <w:lang w:val="en-ZA"/>
        </w:rPr>
        <w:t>Koncoshe</w:t>
      </w:r>
      <w:proofErr w:type="spellEnd"/>
      <w:r w:rsidR="0098271B" w:rsidRPr="009A7FA6">
        <w:rPr>
          <w:u w:val="none"/>
          <w:lang w:val="en-ZA"/>
        </w:rPr>
        <w:t xml:space="preserve"> and </w:t>
      </w:r>
      <w:proofErr w:type="spellStart"/>
      <w:r w:rsidR="0098271B" w:rsidRPr="009A7FA6">
        <w:rPr>
          <w:u w:val="none"/>
          <w:lang w:val="en-ZA"/>
        </w:rPr>
        <w:t>Hoho</w:t>
      </w:r>
      <w:proofErr w:type="spellEnd"/>
      <w:r w:rsidR="00FB4EF8" w:rsidRPr="009A7FA6">
        <w:rPr>
          <w:u w:val="none"/>
          <w:lang w:val="en-ZA"/>
        </w:rPr>
        <w:t xml:space="preserve">.  </w:t>
      </w:r>
      <w:r w:rsidR="0098271B" w:rsidRPr="009A7FA6">
        <w:rPr>
          <w:u w:val="none"/>
          <w:lang w:val="en-ZA"/>
        </w:rPr>
        <w:t xml:space="preserve">The written offer of purchase attached to </w:t>
      </w:r>
      <w:proofErr w:type="spellStart"/>
      <w:r w:rsidR="00C720C1" w:rsidRPr="009A7FA6">
        <w:rPr>
          <w:u w:val="none"/>
          <w:lang w:val="en-ZA"/>
        </w:rPr>
        <w:t>Ntozini</w:t>
      </w:r>
      <w:proofErr w:type="spellEnd"/>
      <w:r w:rsidR="00C720C1" w:rsidRPr="009A7FA6">
        <w:rPr>
          <w:u w:val="none"/>
          <w:lang w:val="en-ZA"/>
        </w:rPr>
        <w:t xml:space="preserve"> ’s</w:t>
      </w:r>
      <w:r w:rsidR="0098271B" w:rsidRPr="009A7FA6">
        <w:rPr>
          <w:u w:val="none"/>
          <w:lang w:val="en-ZA"/>
        </w:rPr>
        <w:t xml:space="preserve"> answering affidavit is only signed by </w:t>
      </w:r>
      <w:proofErr w:type="spellStart"/>
      <w:r w:rsidR="0098271B" w:rsidRPr="009A7FA6">
        <w:rPr>
          <w:u w:val="none"/>
          <w:lang w:val="en-ZA"/>
        </w:rPr>
        <w:t>Hoho</w:t>
      </w:r>
      <w:proofErr w:type="spellEnd"/>
      <w:r w:rsidR="00FB4EF8" w:rsidRPr="009A7FA6">
        <w:rPr>
          <w:u w:val="none"/>
          <w:lang w:val="en-ZA"/>
        </w:rPr>
        <w:t xml:space="preserve">.  </w:t>
      </w:r>
      <w:proofErr w:type="spellStart"/>
      <w:r w:rsidR="00DC38BD" w:rsidRPr="009A7FA6">
        <w:rPr>
          <w:u w:val="none"/>
          <w:lang w:val="en-ZA"/>
        </w:rPr>
        <w:t>Koncoshe</w:t>
      </w:r>
      <w:proofErr w:type="spellEnd"/>
      <w:r w:rsidR="00DC38BD" w:rsidRPr="009A7FA6">
        <w:rPr>
          <w:u w:val="none"/>
          <w:lang w:val="en-ZA"/>
        </w:rPr>
        <w:t xml:space="preserve"> did not sign the sale agreement</w:t>
      </w:r>
      <w:r w:rsidR="00FB4EF8" w:rsidRPr="009A7FA6">
        <w:rPr>
          <w:u w:val="none"/>
          <w:lang w:val="en-ZA"/>
        </w:rPr>
        <w:t xml:space="preserve">.  </w:t>
      </w:r>
      <w:r w:rsidR="0098271B" w:rsidRPr="009A7FA6">
        <w:rPr>
          <w:u w:val="none"/>
          <w:lang w:val="en-ZA"/>
        </w:rPr>
        <w:t xml:space="preserve">The </w:t>
      </w:r>
      <w:r w:rsidR="009368EB" w:rsidRPr="009A7FA6">
        <w:rPr>
          <w:u w:val="none"/>
          <w:lang w:val="en-ZA"/>
        </w:rPr>
        <w:t xml:space="preserve">offer of purchase </w:t>
      </w:r>
      <w:r w:rsidR="0098271B" w:rsidRPr="009A7FA6">
        <w:rPr>
          <w:u w:val="none"/>
          <w:lang w:val="en-ZA"/>
        </w:rPr>
        <w:t xml:space="preserve">does not specifically record that </w:t>
      </w:r>
      <w:proofErr w:type="spellStart"/>
      <w:r w:rsidR="0098271B" w:rsidRPr="009A7FA6">
        <w:rPr>
          <w:u w:val="none"/>
          <w:lang w:val="en-ZA"/>
        </w:rPr>
        <w:t>Hoho</w:t>
      </w:r>
      <w:proofErr w:type="spellEnd"/>
      <w:r w:rsidR="0098271B" w:rsidRPr="009A7FA6">
        <w:rPr>
          <w:u w:val="none"/>
          <w:lang w:val="en-ZA"/>
        </w:rPr>
        <w:t xml:space="preserve"> signed </w:t>
      </w:r>
      <w:r w:rsidR="009368EB" w:rsidRPr="009A7FA6">
        <w:rPr>
          <w:u w:val="none"/>
          <w:lang w:val="en-ZA"/>
        </w:rPr>
        <w:t>i</w:t>
      </w:r>
      <w:r w:rsidR="0098271B" w:rsidRPr="009A7FA6">
        <w:rPr>
          <w:u w:val="none"/>
          <w:lang w:val="en-ZA"/>
        </w:rPr>
        <w:t>n her capacity as the executor of the estate of the deceased</w:t>
      </w:r>
    </w:p>
    <w:p w14:paraId="1FE6F090" w14:textId="75E436E8" w:rsidR="0098271B" w:rsidRPr="009A7FA6" w:rsidRDefault="009A7FA6" w:rsidP="009A7FA6">
      <w:pPr>
        <w:tabs>
          <w:tab w:val="left" w:pos="851"/>
          <w:tab w:val="right" w:pos="8280"/>
        </w:tabs>
        <w:spacing w:before="480" w:line="480" w:lineRule="auto"/>
        <w:ind w:left="851" w:hanging="851"/>
        <w:jc w:val="both"/>
        <w:rPr>
          <w:u w:val="none"/>
          <w:lang w:val="en-ZA"/>
        </w:rPr>
      </w:pPr>
      <w:r>
        <w:rPr>
          <w:u w:val="none"/>
          <w:lang w:val="en-ZA"/>
        </w:rPr>
        <w:t>[8]</w:t>
      </w:r>
      <w:r>
        <w:rPr>
          <w:u w:val="none"/>
          <w:lang w:val="en-ZA"/>
        </w:rPr>
        <w:tab/>
      </w:r>
      <w:proofErr w:type="spellStart"/>
      <w:r w:rsidR="0098271B" w:rsidRPr="009A7FA6">
        <w:rPr>
          <w:u w:val="none"/>
          <w:lang w:val="en-ZA"/>
        </w:rPr>
        <w:t>Ntozini</w:t>
      </w:r>
      <w:proofErr w:type="spellEnd"/>
      <w:r w:rsidR="0098271B" w:rsidRPr="009A7FA6">
        <w:rPr>
          <w:u w:val="none"/>
          <w:lang w:val="en-ZA"/>
        </w:rPr>
        <w:t xml:space="preserve"> contends that this offer of purchase resolved the dispute between him and the executors</w:t>
      </w:r>
      <w:r w:rsidR="00FB4EF8" w:rsidRPr="009A7FA6">
        <w:rPr>
          <w:u w:val="none"/>
          <w:lang w:val="en-ZA"/>
        </w:rPr>
        <w:t xml:space="preserve">.  </w:t>
      </w:r>
      <w:r w:rsidR="00DC38BD" w:rsidRPr="009A7FA6">
        <w:rPr>
          <w:u w:val="none"/>
          <w:lang w:val="en-ZA"/>
        </w:rPr>
        <w:t>In any event</w:t>
      </w:r>
      <w:r w:rsidR="00761FF6" w:rsidRPr="009A7FA6">
        <w:rPr>
          <w:u w:val="none"/>
          <w:lang w:val="en-ZA"/>
        </w:rPr>
        <w:t>,</w:t>
      </w:r>
      <w:r w:rsidR="00DC38BD" w:rsidRPr="009A7FA6">
        <w:rPr>
          <w:u w:val="none"/>
          <w:lang w:val="en-ZA"/>
        </w:rPr>
        <w:t xml:space="preserve"> </w:t>
      </w:r>
      <w:proofErr w:type="spellStart"/>
      <w:r w:rsidR="00761FF6" w:rsidRPr="009A7FA6">
        <w:rPr>
          <w:u w:val="none"/>
          <w:lang w:val="en-ZA"/>
        </w:rPr>
        <w:t>Ntozini</w:t>
      </w:r>
      <w:proofErr w:type="spellEnd"/>
      <w:r w:rsidR="00FB4EF8" w:rsidRPr="009A7FA6">
        <w:rPr>
          <w:u w:val="none"/>
          <w:lang w:val="en-ZA"/>
        </w:rPr>
        <w:t xml:space="preserve"> </w:t>
      </w:r>
      <w:r w:rsidR="0098271B" w:rsidRPr="009A7FA6">
        <w:rPr>
          <w:u w:val="none"/>
          <w:lang w:val="en-ZA"/>
        </w:rPr>
        <w:t xml:space="preserve">continued to live </w:t>
      </w:r>
      <w:r w:rsidR="00761FF6" w:rsidRPr="009A7FA6">
        <w:rPr>
          <w:u w:val="none"/>
          <w:lang w:val="en-ZA"/>
        </w:rPr>
        <w:t xml:space="preserve">undisturbed </w:t>
      </w:r>
      <w:r w:rsidR="0098271B" w:rsidRPr="009A7FA6">
        <w:rPr>
          <w:u w:val="none"/>
          <w:lang w:val="en-ZA"/>
        </w:rPr>
        <w:t>at the house.</w:t>
      </w:r>
    </w:p>
    <w:p w14:paraId="79A7893E" w14:textId="33F7B109" w:rsidR="0098271B" w:rsidRPr="009A7FA6" w:rsidRDefault="009A7FA6" w:rsidP="009A7FA6">
      <w:pPr>
        <w:tabs>
          <w:tab w:val="left" w:pos="851"/>
          <w:tab w:val="right" w:pos="8280"/>
        </w:tabs>
        <w:spacing w:before="480" w:line="480" w:lineRule="auto"/>
        <w:ind w:left="851" w:hanging="851"/>
        <w:jc w:val="both"/>
        <w:rPr>
          <w:u w:val="none"/>
          <w:lang w:val="en-ZA"/>
        </w:rPr>
      </w:pPr>
      <w:r>
        <w:rPr>
          <w:u w:val="none"/>
          <w:lang w:val="en-ZA"/>
        </w:rPr>
        <w:lastRenderedPageBreak/>
        <w:t>[9]</w:t>
      </w:r>
      <w:r>
        <w:rPr>
          <w:u w:val="none"/>
          <w:lang w:val="en-ZA"/>
        </w:rPr>
        <w:tab/>
      </w:r>
      <w:r w:rsidR="0098271B" w:rsidRPr="009A7FA6">
        <w:rPr>
          <w:u w:val="none"/>
          <w:lang w:val="en-ZA"/>
        </w:rPr>
        <w:t xml:space="preserve">The Department of Housing granted </w:t>
      </w:r>
      <w:proofErr w:type="spellStart"/>
      <w:r w:rsidR="0098271B" w:rsidRPr="009A7FA6">
        <w:rPr>
          <w:u w:val="none"/>
          <w:lang w:val="en-ZA"/>
        </w:rPr>
        <w:t>Siyongwani</w:t>
      </w:r>
      <w:proofErr w:type="spellEnd"/>
      <w:r w:rsidR="0098271B" w:rsidRPr="009A7FA6">
        <w:rPr>
          <w:u w:val="none"/>
          <w:lang w:val="en-ZA"/>
        </w:rPr>
        <w:t xml:space="preserve"> the financial assistance to purchase the house on 12 February 2018</w:t>
      </w:r>
      <w:r w:rsidR="00FB4EF8" w:rsidRPr="009A7FA6">
        <w:rPr>
          <w:u w:val="none"/>
          <w:lang w:val="en-ZA"/>
        </w:rPr>
        <w:t xml:space="preserve">.  </w:t>
      </w:r>
      <w:r w:rsidR="0098271B" w:rsidRPr="009A7FA6">
        <w:rPr>
          <w:u w:val="none"/>
          <w:lang w:val="en-ZA"/>
        </w:rPr>
        <w:t>This grant of finance was subject to the transfer of the property within a period of three months from the grant of the finance, that is, by May 2018</w:t>
      </w:r>
      <w:r w:rsidR="00FB4EF8" w:rsidRPr="009A7FA6">
        <w:rPr>
          <w:u w:val="none"/>
          <w:lang w:val="en-ZA"/>
        </w:rPr>
        <w:t xml:space="preserve">.  </w:t>
      </w:r>
      <w:r w:rsidR="0098271B" w:rsidRPr="009A7FA6">
        <w:rPr>
          <w:u w:val="none"/>
          <w:lang w:val="en-ZA"/>
        </w:rPr>
        <w:t xml:space="preserve">The house was not transferred into </w:t>
      </w:r>
      <w:proofErr w:type="spellStart"/>
      <w:r w:rsidR="00C720C1" w:rsidRPr="009A7FA6">
        <w:rPr>
          <w:u w:val="none"/>
          <w:lang w:val="en-ZA"/>
        </w:rPr>
        <w:t>Ntozini</w:t>
      </w:r>
      <w:proofErr w:type="spellEnd"/>
      <w:r w:rsidR="00C720C1" w:rsidRPr="009A7FA6">
        <w:rPr>
          <w:u w:val="none"/>
          <w:lang w:val="en-ZA"/>
        </w:rPr>
        <w:t xml:space="preserve"> ‘s</w:t>
      </w:r>
      <w:r w:rsidR="0098271B" w:rsidRPr="009A7FA6">
        <w:rPr>
          <w:u w:val="none"/>
          <w:lang w:val="en-ZA"/>
        </w:rPr>
        <w:t xml:space="preserve"> name or into </w:t>
      </w:r>
      <w:proofErr w:type="spellStart"/>
      <w:r w:rsidR="00C720C1" w:rsidRPr="009A7FA6">
        <w:rPr>
          <w:u w:val="none"/>
          <w:lang w:val="en-ZA"/>
        </w:rPr>
        <w:t>Siyongwani’s</w:t>
      </w:r>
      <w:proofErr w:type="spellEnd"/>
      <w:r w:rsidR="0098271B" w:rsidRPr="009A7FA6">
        <w:rPr>
          <w:u w:val="none"/>
          <w:lang w:val="en-ZA"/>
        </w:rPr>
        <w:t xml:space="preserve"> name</w:t>
      </w:r>
      <w:r w:rsidR="00FB4EF8" w:rsidRPr="009A7FA6">
        <w:rPr>
          <w:u w:val="none"/>
          <w:lang w:val="en-ZA"/>
        </w:rPr>
        <w:t xml:space="preserve">.  </w:t>
      </w:r>
      <w:r w:rsidR="00700CC8" w:rsidRPr="009A7FA6">
        <w:rPr>
          <w:u w:val="none"/>
          <w:lang w:val="en-ZA"/>
        </w:rPr>
        <w:t xml:space="preserve">There is no mention in the papers whether the Department of Housing paid the purchase consideration to the joint executors, </w:t>
      </w:r>
      <w:proofErr w:type="spellStart"/>
      <w:r w:rsidR="00700CC8" w:rsidRPr="009A7FA6">
        <w:rPr>
          <w:u w:val="none"/>
          <w:lang w:val="en-ZA"/>
        </w:rPr>
        <w:t>Koncoshe</w:t>
      </w:r>
      <w:proofErr w:type="spellEnd"/>
      <w:r w:rsidR="00700CC8" w:rsidRPr="009A7FA6">
        <w:rPr>
          <w:u w:val="none"/>
          <w:lang w:val="en-ZA"/>
        </w:rPr>
        <w:t xml:space="preserve"> and </w:t>
      </w:r>
      <w:proofErr w:type="spellStart"/>
      <w:r w:rsidR="00700CC8" w:rsidRPr="009A7FA6">
        <w:rPr>
          <w:u w:val="none"/>
          <w:lang w:val="en-ZA"/>
        </w:rPr>
        <w:t>Hoho</w:t>
      </w:r>
      <w:proofErr w:type="spellEnd"/>
      <w:r w:rsidR="00FB4EF8" w:rsidRPr="009A7FA6">
        <w:rPr>
          <w:u w:val="none"/>
          <w:lang w:val="en-ZA"/>
        </w:rPr>
        <w:t xml:space="preserve">.  </w:t>
      </w:r>
      <w:proofErr w:type="spellStart"/>
      <w:r w:rsidR="0098271B" w:rsidRPr="009A7FA6">
        <w:rPr>
          <w:u w:val="none"/>
          <w:lang w:val="en-ZA"/>
        </w:rPr>
        <w:t>Ntozini</w:t>
      </w:r>
      <w:proofErr w:type="spellEnd"/>
      <w:r w:rsidR="0098271B" w:rsidRPr="009A7FA6">
        <w:rPr>
          <w:u w:val="none"/>
          <w:lang w:val="en-ZA"/>
        </w:rPr>
        <w:t xml:space="preserve"> contends the </w:t>
      </w:r>
      <w:proofErr w:type="spellStart"/>
      <w:r w:rsidR="0098271B" w:rsidRPr="009A7FA6">
        <w:rPr>
          <w:u w:val="none"/>
          <w:lang w:val="en-ZA"/>
        </w:rPr>
        <w:t>Hoho</w:t>
      </w:r>
      <w:proofErr w:type="spellEnd"/>
      <w:r w:rsidR="0098271B" w:rsidRPr="009A7FA6">
        <w:rPr>
          <w:u w:val="none"/>
          <w:lang w:val="en-ZA"/>
        </w:rPr>
        <w:t xml:space="preserve"> and </w:t>
      </w:r>
      <w:proofErr w:type="spellStart"/>
      <w:r w:rsidR="0098271B" w:rsidRPr="009A7FA6">
        <w:rPr>
          <w:u w:val="none"/>
          <w:lang w:val="en-ZA"/>
        </w:rPr>
        <w:t>Koncoshe</w:t>
      </w:r>
      <w:proofErr w:type="spellEnd"/>
      <w:r w:rsidR="0098271B" w:rsidRPr="009A7FA6">
        <w:rPr>
          <w:u w:val="none"/>
          <w:lang w:val="en-ZA"/>
        </w:rPr>
        <w:t xml:space="preserve"> refused to sign the transfer documents with their appointed transferring attorneys, </w:t>
      </w:r>
      <w:proofErr w:type="spellStart"/>
      <w:r w:rsidR="0098271B" w:rsidRPr="009A7FA6">
        <w:rPr>
          <w:u w:val="none"/>
          <w:lang w:val="en-ZA"/>
        </w:rPr>
        <w:t>Yazbeks</w:t>
      </w:r>
      <w:proofErr w:type="spellEnd"/>
      <w:r w:rsidR="0098271B" w:rsidRPr="009A7FA6">
        <w:rPr>
          <w:u w:val="none"/>
          <w:lang w:val="en-ZA"/>
        </w:rPr>
        <w:t xml:space="preserve"> Incorporated</w:t>
      </w:r>
      <w:r w:rsidR="00FB4EF8" w:rsidRPr="009A7FA6">
        <w:rPr>
          <w:u w:val="none"/>
          <w:lang w:val="en-ZA"/>
        </w:rPr>
        <w:t xml:space="preserve">.  </w:t>
      </w:r>
      <w:proofErr w:type="spellStart"/>
      <w:r w:rsidR="0098271B" w:rsidRPr="009A7FA6">
        <w:rPr>
          <w:u w:val="none"/>
          <w:lang w:val="en-ZA"/>
        </w:rPr>
        <w:t>Siyongwani</w:t>
      </w:r>
      <w:proofErr w:type="spellEnd"/>
      <w:r w:rsidR="0098271B" w:rsidRPr="009A7FA6">
        <w:rPr>
          <w:u w:val="none"/>
          <w:lang w:val="en-ZA"/>
        </w:rPr>
        <w:t xml:space="preserve"> died in 2021.</w:t>
      </w:r>
    </w:p>
    <w:p w14:paraId="2B4913EC" w14:textId="2647A38D" w:rsidR="0098271B" w:rsidRPr="009A7FA6" w:rsidRDefault="009A7FA6" w:rsidP="009A7FA6">
      <w:pPr>
        <w:tabs>
          <w:tab w:val="left" w:pos="851"/>
          <w:tab w:val="right" w:pos="8280"/>
        </w:tabs>
        <w:spacing w:before="480" w:line="480" w:lineRule="auto"/>
        <w:ind w:left="851" w:hanging="851"/>
        <w:jc w:val="both"/>
        <w:rPr>
          <w:u w:val="none"/>
          <w:lang w:val="en-ZA"/>
        </w:rPr>
      </w:pPr>
      <w:r>
        <w:rPr>
          <w:u w:val="none"/>
          <w:lang w:val="en-ZA"/>
        </w:rPr>
        <w:t>[10]</w:t>
      </w:r>
      <w:r>
        <w:rPr>
          <w:u w:val="none"/>
          <w:lang w:val="en-ZA"/>
        </w:rPr>
        <w:tab/>
      </w:r>
      <w:proofErr w:type="spellStart"/>
      <w:r w:rsidR="00FB4EF8" w:rsidRPr="009A7FA6">
        <w:rPr>
          <w:u w:val="none"/>
          <w:lang w:val="en-ZA"/>
        </w:rPr>
        <w:t>Goloda</w:t>
      </w:r>
      <w:proofErr w:type="spellEnd"/>
      <w:r w:rsidR="0098271B" w:rsidRPr="009A7FA6">
        <w:rPr>
          <w:u w:val="none"/>
          <w:lang w:val="en-ZA"/>
        </w:rPr>
        <w:t xml:space="preserve"> contends that she purchased the house from the joint executors, </w:t>
      </w:r>
      <w:proofErr w:type="spellStart"/>
      <w:r w:rsidR="0098271B" w:rsidRPr="009A7FA6">
        <w:rPr>
          <w:u w:val="none"/>
          <w:lang w:val="en-ZA"/>
        </w:rPr>
        <w:t>Koncoshe</w:t>
      </w:r>
      <w:proofErr w:type="spellEnd"/>
      <w:r w:rsidR="0098271B" w:rsidRPr="009A7FA6">
        <w:rPr>
          <w:u w:val="none"/>
          <w:lang w:val="en-ZA"/>
        </w:rPr>
        <w:t xml:space="preserve"> and </w:t>
      </w:r>
      <w:proofErr w:type="spellStart"/>
      <w:r w:rsidR="0098271B" w:rsidRPr="009A7FA6">
        <w:rPr>
          <w:u w:val="none"/>
          <w:lang w:val="en-ZA"/>
        </w:rPr>
        <w:t>Hoho</w:t>
      </w:r>
      <w:proofErr w:type="spellEnd"/>
      <w:r w:rsidR="0098271B" w:rsidRPr="009A7FA6">
        <w:rPr>
          <w:u w:val="none"/>
          <w:lang w:val="en-ZA"/>
        </w:rPr>
        <w:t>, on 26 Sep</w:t>
      </w:r>
      <w:r w:rsidR="00FB4EF8" w:rsidRPr="009A7FA6">
        <w:rPr>
          <w:u w:val="none"/>
          <w:lang w:val="en-ZA"/>
        </w:rPr>
        <w:t>tember 2016 for the sum of R150 </w:t>
      </w:r>
      <w:r w:rsidR="0098271B" w:rsidRPr="009A7FA6">
        <w:rPr>
          <w:u w:val="none"/>
          <w:lang w:val="en-ZA"/>
        </w:rPr>
        <w:t>000.00 and paid the purchase consideration</w:t>
      </w:r>
      <w:r w:rsidR="00FB4EF8" w:rsidRPr="009A7FA6">
        <w:rPr>
          <w:u w:val="none"/>
          <w:lang w:val="en-ZA"/>
        </w:rPr>
        <w:t xml:space="preserve">.  </w:t>
      </w:r>
      <w:r w:rsidR="0098271B" w:rsidRPr="009A7FA6">
        <w:rPr>
          <w:u w:val="none"/>
          <w:lang w:val="en-ZA"/>
        </w:rPr>
        <w:t xml:space="preserve">The written offer of purchase stated the </w:t>
      </w:r>
      <w:proofErr w:type="spellStart"/>
      <w:r w:rsidR="00FB4EF8" w:rsidRPr="009A7FA6">
        <w:rPr>
          <w:u w:val="none"/>
          <w:lang w:val="en-ZA"/>
        </w:rPr>
        <w:t>Goloda</w:t>
      </w:r>
      <w:proofErr w:type="spellEnd"/>
      <w:r w:rsidR="0098271B" w:rsidRPr="009A7FA6">
        <w:rPr>
          <w:u w:val="none"/>
          <w:lang w:val="en-ZA"/>
        </w:rPr>
        <w:t xml:space="preserve"> was to obtain vacant occupation of the property on registration of transfer or when </w:t>
      </w:r>
      <w:proofErr w:type="spellStart"/>
      <w:r w:rsidR="0098271B" w:rsidRPr="009A7FA6">
        <w:rPr>
          <w:u w:val="none"/>
          <w:lang w:val="en-ZA"/>
        </w:rPr>
        <w:t>Ntozini</w:t>
      </w:r>
      <w:proofErr w:type="spellEnd"/>
      <w:r w:rsidR="0098271B" w:rsidRPr="009A7FA6">
        <w:rPr>
          <w:u w:val="none"/>
          <w:lang w:val="en-ZA"/>
        </w:rPr>
        <w:t xml:space="preserve"> was evicted</w:t>
      </w:r>
      <w:r w:rsidR="00FB4EF8" w:rsidRPr="009A7FA6">
        <w:rPr>
          <w:u w:val="none"/>
          <w:lang w:val="en-ZA"/>
        </w:rPr>
        <w:t xml:space="preserve">.  </w:t>
      </w:r>
      <w:r w:rsidR="0098271B" w:rsidRPr="009A7FA6">
        <w:rPr>
          <w:u w:val="none"/>
          <w:lang w:val="en-ZA"/>
        </w:rPr>
        <w:t xml:space="preserve">The house was not transferred into </w:t>
      </w:r>
      <w:proofErr w:type="spellStart"/>
      <w:r w:rsidR="00FB4EF8" w:rsidRPr="009A7FA6">
        <w:rPr>
          <w:u w:val="none"/>
          <w:lang w:val="en-ZA"/>
        </w:rPr>
        <w:t>Goloda</w:t>
      </w:r>
      <w:r w:rsidR="0098271B" w:rsidRPr="009A7FA6">
        <w:rPr>
          <w:u w:val="none"/>
          <w:lang w:val="en-ZA"/>
        </w:rPr>
        <w:t>’s</w:t>
      </w:r>
      <w:proofErr w:type="spellEnd"/>
      <w:r w:rsidR="0098271B" w:rsidRPr="009A7FA6">
        <w:rPr>
          <w:u w:val="none"/>
          <w:lang w:val="en-ZA"/>
        </w:rPr>
        <w:t xml:space="preserve"> name</w:t>
      </w:r>
      <w:r w:rsidR="00FB4EF8" w:rsidRPr="009A7FA6">
        <w:rPr>
          <w:u w:val="none"/>
          <w:lang w:val="en-ZA"/>
        </w:rPr>
        <w:t xml:space="preserve">.  </w:t>
      </w:r>
      <w:r w:rsidR="00CD754F" w:rsidRPr="009A7FA6">
        <w:rPr>
          <w:u w:val="none"/>
          <w:lang w:val="en-ZA"/>
        </w:rPr>
        <w:t>There is no explanation on the papers for the failure</w:t>
      </w:r>
      <w:r w:rsidR="00FB4EF8" w:rsidRPr="009A7FA6">
        <w:rPr>
          <w:u w:val="none"/>
          <w:lang w:val="en-ZA"/>
        </w:rPr>
        <w:t xml:space="preserve"> </w:t>
      </w:r>
      <w:r w:rsidR="00CD754F" w:rsidRPr="009A7FA6">
        <w:rPr>
          <w:u w:val="none"/>
          <w:lang w:val="en-ZA"/>
        </w:rPr>
        <w:t>to transfer</w:t>
      </w:r>
      <w:r w:rsidR="00FB4EF8" w:rsidRPr="009A7FA6">
        <w:rPr>
          <w:u w:val="none"/>
          <w:lang w:val="en-ZA"/>
        </w:rPr>
        <w:t xml:space="preserve"> </w:t>
      </w:r>
      <w:r w:rsidR="00CD754F" w:rsidRPr="009A7FA6">
        <w:rPr>
          <w:u w:val="none"/>
          <w:lang w:val="en-ZA"/>
        </w:rPr>
        <w:t xml:space="preserve">the property to </w:t>
      </w:r>
      <w:proofErr w:type="spellStart"/>
      <w:r w:rsidR="00CD754F" w:rsidRPr="009A7FA6">
        <w:rPr>
          <w:u w:val="none"/>
          <w:lang w:val="en-ZA"/>
        </w:rPr>
        <w:t>Goloda</w:t>
      </w:r>
      <w:proofErr w:type="spellEnd"/>
      <w:r w:rsidR="00FB4EF8" w:rsidRPr="009A7FA6">
        <w:rPr>
          <w:u w:val="none"/>
          <w:lang w:val="en-ZA"/>
        </w:rPr>
        <w:t xml:space="preserve">.  </w:t>
      </w:r>
      <w:proofErr w:type="spellStart"/>
      <w:r w:rsidR="0098271B" w:rsidRPr="009A7FA6">
        <w:rPr>
          <w:u w:val="none"/>
          <w:lang w:val="en-ZA"/>
        </w:rPr>
        <w:t>Ntozini</w:t>
      </w:r>
      <w:proofErr w:type="spellEnd"/>
      <w:r w:rsidR="0098271B" w:rsidRPr="009A7FA6">
        <w:rPr>
          <w:u w:val="none"/>
          <w:lang w:val="en-ZA"/>
        </w:rPr>
        <w:t xml:space="preserve"> still lives in the house.</w:t>
      </w:r>
    </w:p>
    <w:p w14:paraId="052E0087" w14:textId="16AC8410" w:rsidR="0053515C" w:rsidRPr="009A7FA6" w:rsidRDefault="009A7FA6" w:rsidP="009A7FA6">
      <w:pPr>
        <w:tabs>
          <w:tab w:val="left" w:pos="851"/>
          <w:tab w:val="right" w:pos="8280"/>
        </w:tabs>
        <w:spacing w:before="480" w:line="480" w:lineRule="auto"/>
        <w:ind w:left="851" w:hanging="851"/>
        <w:jc w:val="both"/>
        <w:rPr>
          <w:u w:val="none"/>
          <w:lang w:val="en-ZA"/>
        </w:rPr>
      </w:pPr>
      <w:r>
        <w:rPr>
          <w:u w:val="none"/>
          <w:lang w:val="en-ZA"/>
        </w:rPr>
        <w:t>[11]</w:t>
      </w:r>
      <w:r>
        <w:rPr>
          <w:u w:val="none"/>
          <w:lang w:val="en-ZA"/>
        </w:rPr>
        <w:tab/>
      </w:r>
      <w:r w:rsidR="0053515C" w:rsidRPr="009A7FA6">
        <w:rPr>
          <w:u w:val="none"/>
          <w:lang w:val="en-ZA"/>
        </w:rPr>
        <w:t>Nothing turns on the validity of the</w:t>
      </w:r>
      <w:r w:rsidR="00EA5998" w:rsidRPr="009A7FA6">
        <w:rPr>
          <w:u w:val="none"/>
          <w:lang w:val="en-ZA"/>
        </w:rPr>
        <w:t>se</w:t>
      </w:r>
      <w:r w:rsidR="0053515C" w:rsidRPr="009A7FA6">
        <w:rPr>
          <w:u w:val="none"/>
          <w:lang w:val="en-ZA"/>
        </w:rPr>
        <w:t xml:space="preserve"> potentially conflicting </w:t>
      </w:r>
      <w:r w:rsidR="0020346C" w:rsidRPr="009A7FA6">
        <w:rPr>
          <w:u w:val="none"/>
          <w:lang w:val="en-ZA"/>
        </w:rPr>
        <w:t xml:space="preserve">offer of purchase </w:t>
      </w:r>
      <w:r w:rsidR="0053515C" w:rsidRPr="009A7FA6">
        <w:rPr>
          <w:u w:val="none"/>
          <w:lang w:val="en-ZA"/>
        </w:rPr>
        <w:t>agreements</w:t>
      </w:r>
      <w:r w:rsidR="00FB4EF8" w:rsidRPr="009A7FA6">
        <w:rPr>
          <w:u w:val="none"/>
          <w:lang w:val="en-ZA"/>
        </w:rPr>
        <w:t xml:space="preserve">.  </w:t>
      </w:r>
      <w:r w:rsidR="00EA5998" w:rsidRPr="009A7FA6">
        <w:rPr>
          <w:u w:val="none"/>
          <w:lang w:val="en-ZA"/>
        </w:rPr>
        <w:t>It is not an issue I need determine</w:t>
      </w:r>
      <w:r w:rsidR="00FB4EF8" w:rsidRPr="009A7FA6">
        <w:rPr>
          <w:u w:val="none"/>
          <w:lang w:val="en-ZA"/>
        </w:rPr>
        <w:t xml:space="preserve">.  </w:t>
      </w:r>
      <w:r w:rsidR="00D21F6B" w:rsidRPr="009A7FA6">
        <w:rPr>
          <w:u w:val="none"/>
          <w:lang w:val="en-ZA"/>
        </w:rPr>
        <w:t xml:space="preserve">The issue </w:t>
      </w:r>
      <w:r w:rsidR="008F3214" w:rsidRPr="009A7FA6">
        <w:rPr>
          <w:u w:val="none"/>
          <w:lang w:val="en-ZA"/>
        </w:rPr>
        <w:t xml:space="preserve">I am to </w:t>
      </w:r>
      <w:r w:rsidR="00D21F6B" w:rsidRPr="009A7FA6">
        <w:rPr>
          <w:u w:val="none"/>
          <w:lang w:val="en-ZA"/>
        </w:rPr>
        <w:t>determin</w:t>
      </w:r>
      <w:r w:rsidR="008F3214" w:rsidRPr="009A7FA6">
        <w:rPr>
          <w:u w:val="none"/>
          <w:lang w:val="en-ZA"/>
        </w:rPr>
        <w:t>e</w:t>
      </w:r>
      <w:r w:rsidR="00FB4EF8" w:rsidRPr="009A7FA6">
        <w:rPr>
          <w:u w:val="none"/>
          <w:lang w:val="en-ZA"/>
        </w:rPr>
        <w:t xml:space="preserve"> </w:t>
      </w:r>
      <w:r w:rsidR="00D21F6B" w:rsidRPr="009A7FA6">
        <w:rPr>
          <w:u w:val="none"/>
          <w:lang w:val="en-ZA"/>
        </w:rPr>
        <w:t xml:space="preserve">is </w:t>
      </w:r>
      <w:proofErr w:type="spellStart"/>
      <w:r w:rsidR="00D21F6B" w:rsidRPr="009A7FA6">
        <w:rPr>
          <w:u w:val="none"/>
          <w:lang w:val="en-ZA"/>
        </w:rPr>
        <w:t>Goloda’s</w:t>
      </w:r>
      <w:proofErr w:type="spellEnd"/>
      <w:r w:rsidR="00D21F6B" w:rsidRPr="009A7FA6">
        <w:rPr>
          <w:u w:val="none"/>
          <w:lang w:val="en-ZA"/>
        </w:rPr>
        <w:t xml:space="preserve"> right</w:t>
      </w:r>
      <w:r w:rsidR="00DE750F" w:rsidRPr="009A7FA6">
        <w:rPr>
          <w:u w:val="none"/>
          <w:lang w:val="en-ZA"/>
        </w:rPr>
        <w:t>, if any,</w:t>
      </w:r>
      <w:r w:rsidR="00D21F6B" w:rsidRPr="009A7FA6">
        <w:rPr>
          <w:u w:val="none"/>
          <w:lang w:val="en-ZA"/>
        </w:rPr>
        <w:t xml:space="preserve"> to evict </w:t>
      </w:r>
      <w:proofErr w:type="spellStart"/>
      <w:r w:rsidR="00D21F6B" w:rsidRPr="009A7FA6">
        <w:rPr>
          <w:u w:val="none"/>
          <w:lang w:val="en-ZA"/>
        </w:rPr>
        <w:t>Ntozini</w:t>
      </w:r>
      <w:proofErr w:type="spellEnd"/>
      <w:r w:rsidR="00FB4EF8" w:rsidRPr="009A7FA6">
        <w:rPr>
          <w:u w:val="none"/>
          <w:lang w:val="en-ZA"/>
        </w:rPr>
        <w:t xml:space="preserve">.  </w:t>
      </w:r>
    </w:p>
    <w:p w14:paraId="2D43F91E" w14:textId="18FA179B" w:rsidR="00015944" w:rsidRPr="009A7FA6" w:rsidRDefault="009A7FA6" w:rsidP="009A7FA6">
      <w:pPr>
        <w:tabs>
          <w:tab w:val="left" w:pos="851"/>
          <w:tab w:val="right" w:pos="8280"/>
        </w:tabs>
        <w:spacing w:before="480" w:line="480" w:lineRule="auto"/>
        <w:ind w:left="851" w:hanging="851"/>
        <w:jc w:val="both"/>
        <w:rPr>
          <w:u w:val="none"/>
          <w:lang w:val="en-ZA"/>
        </w:rPr>
      </w:pPr>
      <w:r>
        <w:rPr>
          <w:u w:val="none"/>
          <w:lang w:val="en-ZA"/>
        </w:rPr>
        <w:t>[12]</w:t>
      </w:r>
      <w:r>
        <w:rPr>
          <w:u w:val="none"/>
          <w:lang w:val="en-ZA"/>
        </w:rPr>
        <w:tab/>
      </w:r>
      <w:r w:rsidR="00807825" w:rsidRPr="009A7FA6">
        <w:rPr>
          <w:u w:val="none"/>
          <w:lang w:val="en-ZA"/>
        </w:rPr>
        <w:t xml:space="preserve">There are two requirements for a successful eviction under the Prevention of Illegal Eviction from and Unlawful Occupation of Land Act </w:t>
      </w:r>
      <w:r w:rsidR="00807825" w:rsidRPr="009A7FA6">
        <w:rPr>
          <w:u w:val="none"/>
          <w:lang w:val="en-ZA"/>
        </w:rPr>
        <w:lastRenderedPageBreak/>
        <w:t>(“PIE”),</w:t>
      </w:r>
      <w:r w:rsidR="00807825">
        <w:rPr>
          <w:rStyle w:val="FootnoteReference"/>
          <w:u w:val="none"/>
          <w:lang w:val="en-ZA"/>
        </w:rPr>
        <w:footnoteReference w:id="1"/>
      </w:r>
      <w:r w:rsidR="00807825" w:rsidRPr="009A7FA6">
        <w:rPr>
          <w:u w:val="none"/>
          <w:lang w:val="en-ZA"/>
        </w:rPr>
        <w:t xml:space="preserve"> namely, the applicant must be the owner or the person in charge of the land and the occupier must be in unlawful occupation.</w:t>
      </w:r>
    </w:p>
    <w:p w14:paraId="23B8B204" w14:textId="7C92350D" w:rsidR="00807825" w:rsidRPr="009A7FA6" w:rsidRDefault="009A7FA6" w:rsidP="009A7FA6">
      <w:pPr>
        <w:tabs>
          <w:tab w:val="left" w:pos="851"/>
          <w:tab w:val="right" w:pos="8280"/>
        </w:tabs>
        <w:spacing w:before="480" w:line="480" w:lineRule="auto"/>
        <w:ind w:left="851" w:hanging="851"/>
        <w:jc w:val="both"/>
        <w:rPr>
          <w:u w:val="none"/>
          <w:lang w:val="en-ZA"/>
        </w:rPr>
      </w:pPr>
      <w:r>
        <w:rPr>
          <w:u w:val="none"/>
          <w:lang w:val="en-ZA"/>
        </w:rPr>
        <w:t>[13]</w:t>
      </w:r>
      <w:r>
        <w:rPr>
          <w:u w:val="none"/>
          <w:lang w:val="en-ZA"/>
        </w:rPr>
        <w:tab/>
      </w:r>
      <w:r w:rsidR="00807825" w:rsidRPr="009A7FA6">
        <w:rPr>
          <w:u w:val="none"/>
          <w:lang w:val="en-ZA"/>
        </w:rPr>
        <w:t>PIE defines the “</w:t>
      </w:r>
      <w:r w:rsidR="00807825" w:rsidRPr="009A7FA6">
        <w:rPr>
          <w:i/>
          <w:u w:val="none"/>
          <w:lang w:val="en-ZA"/>
        </w:rPr>
        <w:t>owner</w:t>
      </w:r>
      <w:r w:rsidR="00807825" w:rsidRPr="009A7FA6">
        <w:rPr>
          <w:u w:val="none"/>
          <w:lang w:val="en-ZA"/>
        </w:rPr>
        <w:t>” to mean the registered owner of the land</w:t>
      </w:r>
      <w:r w:rsidR="00FB4EF8" w:rsidRPr="009A7FA6">
        <w:rPr>
          <w:u w:val="none"/>
          <w:lang w:val="en-ZA"/>
        </w:rPr>
        <w:t xml:space="preserve">.  </w:t>
      </w:r>
      <w:r w:rsidR="00807825" w:rsidRPr="009A7FA6">
        <w:rPr>
          <w:u w:val="none"/>
          <w:lang w:val="en-ZA"/>
        </w:rPr>
        <w:t>When this definition is read together with the definition of an owner of immovable property in terms of the Deeds Registry Act,</w:t>
      </w:r>
      <w:r w:rsidR="00807825">
        <w:rPr>
          <w:rStyle w:val="FootnoteReference"/>
          <w:u w:val="none"/>
          <w:lang w:val="en-ZA"/>
        </w:rPr>
        <w:footnoteReference w:id="2"/>
      </w:r>
      <w:r w:rsidR="00807825" w:rsidRPr="009A7FA6">
        <w:rPr>
          <w:u w:val="none"/>
          <w:lang w:val="en-ZA"/>
        </w:rPr>
        <w:t xml:space="preserve"> this includes the executor of a deceased estate of any owner of immovable property.</w:t>
      </w:r>
    </w:p>
    <w:p w14:paraId="38833FBC" w14:textId="3A56C2C5" w:rsidR="00DE750F" w:rsidRPr="009A7FA6" w:rsidRDefault="009A7FA6" w:rsidP="009A7FA6">
      <w:pPr>
        <w:tabs>
          <w:tab w:val="left" w:pos="851"/>
          <w:tab w:val="right" w:pos="8280"/>
        </w:tabs>
        <w:spacing w:before="480" w:line="480" w:lineRule="auto"/>
        <w:ind w:left="851" w:hanging="851"/>
        <w:jc w:val="both"/>
        <w:rPr>
          <w:u w:val="none"/>
          <w:lang w:val="en-ZA"/>
        </w:rPr>
      </w:pPr>
      <w:r>
        <w:rPr>
          <w:u w:val="none"/>
          <w:lang w:val="en-ZA"/>
        </w:rPr>
        <w:t>[14]</w:t>
      </w:r>
      <w:r>
        <w:rPr>
          <w:u w:val="none"/>
          <w:lang w:val="en-ZA"/>
        </w:rPr>
        <w:tab/>
      </w:r>
      <w:r w:rsidR="00DE750F" w:rsidRPr="009A7FA6">
        <w:rPr>
          <w:u w:val="none"/>
          <w:lang w:val="en-ZA"/>
        </w:rPr>
        <w:t xml:space="preserve">The person in charge is the person who, </w:t>
      </w:r>
      <w:r w:rsidR="00DE750F" w:rsidRPr="009A7FA6">
        <w:rPr>
          <w:i/>
          <w:iCs/>
          <w:u w:val="none"/>
          <w:lang w:val="en-ZA"/>
        </w:rPr>
        <w:t>at the relevant time, had the legal authority to give permission to the person to enter or to reside upon the land</w:t>
      </w:r>
      <w:r w:rsidR="00FB4EF8" w:rsidRPr="009A7FA6">
        <w:rPr>
          <w:u w:val="none"/>
          <w:lang w:val="en-ZA"/>
        </w:rPr>
        <w:t xml:space="preserve">.  </w:t>
      </w:r>
    </w:p>
    <w:p w14:paraId="7F920D2E" w14:textId="371D2D19" w:rsidR="00807825" w:rsidRPr="009A7FA6" w:rsidRDefault="009A7FA6" w:rsidP="009A7FA6">
      <w:pPr>
        <w:tabs>
          <w:tab w:val="left" w:pos="851"/>
          <w:tab w:val="right" w:pos="8280"/>
        </w:tabs>
        <w:spacing w:before="480" w:line="480" w:lineRule="auto"/>
        <w:ind w:left="851" w:hanging="851"/>
        <w:jc w:val="both"/>
        <w:rPr>
          <w:u w:val="none"/>
          <w:lang w:val="en-ZA"/>
        </w:rPr>
      </w:pPr>
      <w:r>
        <w:rPr>
          <w:u w:val="none"/>
          <w:lang w:val="en-ZA"/>
        </w:rPr>
        <w:t>[15]</w:t>
      </w:r>
      <w:r>
        <w:rPr>
          <w:u w:val="none"/>
          <w:lang w:val="en-ZA"/>
        </w:rPr>
        <w:tab/>
      </w:r>
      <w:r w:rsidR="00807825" w:rsidRPr="009A7FA6">
        <w:rPr>
          <w:u w:val="none"/>
          <w:lang w:val="en-ZA"/>
        </w:rPr>
        <w:t>An unlawful occupier is</w:t>
      </w:r>
      <w:r w:rsidR="00FB4EF8" w:rsidRPr="009A7FA6">
        <w:rPr>
          <w:u w:val="none"/>
          <w:lang w:val="en-ZA"/>
        </w:rPr>
        <w:t xml:space="preserve"> </w:t>
      </w:r>
      <w:r w:rsidR="00CC4BD4" w:rsidRPr="009A7FA6">
        <w:rPr>
          <w:u w:val="none"/>
          <w:lang w:val="en-ZA"/>
        </w:rPr>
        <w:t xml:space="preserve">defined </w:t>
      </w:r>
      <w:r w:rsidR="00807825" w:rsidRPr="009A7FA6">
        <w:rPr>
          <w:u w:val="none"/>
          <w:lang w:val="en-ZA"/>
        </w:rPr>
        <w:t xml:space="preserve">one who occupies the land </w:t>
      </w:r>
      <w:r w:rsidR="00CC4BD4" w:rsidRPr="009A7FA6">
        <w:rPr>
          <w:u w:val="none"/>
          <w:lang w:val="en-ZA"/>
        </w:rPr>
        <w:t>“</w:t>
      </w:r>
      <w:r w:rsidR="00807825" w:rsidRPr="009A7FA6">
        <w:rPr>
          <w:i/>
          <w:iCs/>
          <w:u w:val="none"/>
          <w:lang w:val="en-ZA"/>
        </w:rPr>
        <w:t>without the express or tacit consent of the owner or the person in charge</w:t>
      </w:r>
      <w:r w:rsidR="00CC4BD4" w:rsidRPr="009A7FA6">
        <w:rPr>
          <w:u w:val="none"/>
          <w:lang w:val="en-ZA"/>
        </w:rPr>
        <w:t>”</w:t>
      </w:r>
      <w:r w:rsidR="00807825" w:rsidRPr="009A7FA6">
        <w:rPr>
          <w:u w:val="none"/>
          <w:lang w:val="en-ZA"/>
        </w:rPr>
        <w:t>.</w:t>
      </w:r>
    </w:p>
    <w:p w14:paraId="211093BA" w14:textId="2BE0FA7B" w:rsidR="00807825" w:rsidRPr="009A7FA6" w:rsidRDefault="009A7FA6" w:rsidP="009A7FA6">
      <w:pPr>
        <w:tabs>
          <w:tab w:val="left" w:pos="851"/>
          <w:tab w:val="right" w:pos="8280"/>
        </w:tabs>
        <w:spacing w:before="480" w:line="480" w:lineRule="auto"/>
        <w:ind w:left="851" w:hanging="851"/>
        <w:jc w:val="both"/>
        <w:rPr>
          <w:u w:val="none"/>
          <w:lang w:val="en-ZA"/>
        </w:rPr>
      </w:pPr>
      <w:r>
        <w:rPr>
          <w:u w:val="none"/>
          <w:lang w:val="en-ZA"/>
        </w:rPr>
        <w:t>[16]</w:t>
      </w:r>
      <w:r>
        <w:rPr>
          <w:u w:val="none"/>
          <w:lang w:val="en-ZA"/>
        </w:rPr>
        <w:tab/>
      </w:r>
      <w:r w:rsidR="00807825" w:rsidRPr="009A7FA6">
        <w:rPr>
          <w:u w:val="none"/>
          <w:lang w:val="en-ZA"/>
        </w:rPr>
        <w:t xml:space="preserve">The applicant, </w:t>
      </w:r>
      <w:proofErr w:type="spellStart"/>
      <w:r w:rsidR="00FB4EF8" w:rsidRPr="009A7FA6">
        <w:rPr>
          <w:u w:val="none"/>
          <w:lang w:val="en-ZA"/>
        </w:rPr>
        <w:t>Goloda</w:t>
      </w:r>
      <w:proofErr w:type="spellEnd"/>
      <w:r w:rsidR="00807825" w:rsidRPr="009A7FA6">
        <w:rPr>
          <w:u w:val="none"/>
          <w:lang w:val="en-ZA"/>
        </w:rPr>
        <w:t>, contends that she meets both requirements as and is consequently entitled to the eviction</w:t>
      </w:r>
      <w:r w:rsidR="00CD754F" w:rsidRPr="009A7FA6">
        <w:rPr>
          <w:u w:val="none"/>
          <w:lang w:val="en-ZA"/>
        </w:rPr>
        <w:t xml:space="preserve"> </w:t>
      </w:r>
      <w:proofErr w:type="spellStart"/>
      <w:r w:rsidR="00CD754F" w:rsidRPr="009A7FA6">
        <w:rPr>
          <w:u w:val="none"/>
          <w:lang w:val="en-ZA"/>
        </w:rPr>
        <w:t>Ntozini</w:t>
      </w:r>
      <w:proofErr w:type="spellEnd"/>
      <w:r w:rsidR="00FB4EF8" w:rsidRPr="009A7FA6">
        <w:rPr>
          <w:u w:val="none"/>
          <w:lang w:val="en-ZA"/>
        </w:rPr>
        <w:t xml:space="preserve">.  </w:t>
      </w:r>
      <w:proofErr w:type="spellStart"/>
      <w:r w:rsidR="00807825" w:rsidRPr="009A7FA6">
        <w:rPr>
          <w:u w:val="none"/>
          <w:lang w:val="en-ZA"/>
        </w:rPr>
        <w:t>Ntozini</w:t>
      </w:r>
      <w:proofErr w:type="spellEnd"/>
      <w:r w:rsidR="00807825" w:rsidRPr="009A7FA6">
        <w:rPr>
          <w:u w:val="none"/>
          <w:lang w:val="en-ZA"/>
        </w:rPr>
        <w:t xml:space="preserve"> disputes this.</w:t>
      </w:r>
    </w:p>
    <w:p w14:paraId="3325CF72" w14:textId="79B05DBB" w:rsidR="008208A1" w:rsidRPr="009A7FA6" w:rsidRDefault="009A7FA6" w:rsidP="009A7FA6">
      <w:pPr>
        <w:tabs>
          <w:tab w:val="left" w:pos="851"/>
          <w:tab w:val="right" w:pos="8280"/>
        </w:tabs>
        <w:spacing w:before="480" w:line="480" w:lineRule="auto"/>
        <w:ind w:left="851" w:hanging="851"/>
        <w:jc w:val="both"/>
        <w:rPr>
          <w:u w:val="none"/>
          <w:lang w:val="en-ZA"/>
        </w:rPr>
      </w:pPr>
      <w:r w:rsidRPr="00004959">
        <w:rPr>
          <w:u w:val="none"/>
          <w:lang w:val="en-ZA"/>
        </w:rPr>
        <w:t>[17]</w:t>
      </w:r>
      <w:r w:rsidRPr="00004959">
        <w:rPr>
          <w:u w:val="none"/>
          <w:lang w:val="en-ZA"/>
        </w:rPr>
        <w:tab/>
      </w:r>
      <w:proofErr w:type="spellStart"/>
      <w:r w:rsidR="00FB4EF8" w:rsidRPr="009A7FA6">
        <w:rPr>
          <w:u w:val="none"/>
          <w:lang w:val="en-ZA"/>
        </w:rPr>
        <w:t>Goloda</w:t>
      </w:r>
      <w:proofErr w:type="spellEnd"/>
      <w:r w:rsidR="0098271B" w:rsidRPr="009A7FA6">
        <w:rPr>
          <w:u w:val="none"/>
          <w:lang w:val="en-ZA"/>
        </w:rPr>
        <w:t xml:space="preserve"> launched the application contending that she was the owner of the house</w:t>
      </w:r>
      <w:r w:rsidR="00FB4EF8" w:rsidRPr="009A7FA6">
        <w:rPr>
          <w:u w:val="none"/>
          <w:lang w:val="en-ZA"/>
        </w:rPr>
        <w:t xml:space="preserve">.  </w:t>
      </w:r>
      <w:r w:rsidR="00EC3F14" w:rsidRPr="009A7FA6">
        <w:rPr>
          <w:u w:val="none"/>
          <w:lang w:val="en-ZA"/>
        </w:rPr>
        <w:t xml:space="preserve">In reply, </w:t>
      </w:r>
      <w:proofErr w:type="spellStart"/>
      <w:r w:rsidR="00FB4EF8" w:rsidRPr="009A7FA6">
        <w:rPr>
          <w:u w:val="none"/>
          <w:lang w:val="en-ZA"/>
        </w:rPr>
        <w:t>Goloda</w:t>
      </w:r>
      <w:proofErr w:type="spellEnd"/>
      <w:r w:rsidR="00EC3F14" w:rsidRPr="009A7FA6">
        <w:rPr>
          <w:u w:val="none"/>
          <w:lang w:val="en-ZA"/>
        </w:rPr>
        <w:t xml:space="preserve"> continued to assert her right as the lawful owner of the property</w:t>
      </w:r>
      <w:r w:rsidR="00FB4EF8" w:rsidRPr="009A7FA6">
        <w:rPr>
          <w:u w:val="none"/>
          <w:lang w:val="en-ZA"/>
        </w:rPr>
        <w:t xml:space="preserve">.  </w:t>
      </w:r>
      <w:r w:rsidR="00EC3F14" w:rsidRPr="009A7FA6">
        <w:rPr>
          <w:u w:val="none"/>
          <w:lang w:val="en-ZA"/>
        </w:rPr>
        <w:t>The</w:t>
      </w:r>
      <w:r w:rsidR="00BB18C0" w:rsidRPr="009A7FA6">
        <w:rPr>
          <w:u w:val="none"/>
          <w:lang w:val="en-ZA"/>
        </w:rPr>
        <w:t xml:space="preserve"> house’s</w:t>
      </w:r>
      <w:r w:rsidR="00FB4EF8" w:rsidRPr="009A7FA6">
        <w:rPr>
          <w:u w:val="none"/>
          <w:lang w:val="en-ZA"/>
        </w:rPr>
        <w:t xml:space="preserve"> </w:t>
      </w:r>
      <w:r w:rsidR="0098271B" w:rsidRPr="009A7FA6">
        <w:rPr>
          <w:u w:val="none"/>
          <w:lang w:val="en-ZA"/>
        </w:rPr>
        <w:t>title deed</w:t>
      </w:r>
      <w:r w:rsidR="00BB18C0" w:rsidRPr="009A7FA6">
        <w:rPr>
          <w:u w:val="none"/>
          <w:lang w:val="en-ZA"/>
        </w:rPr>
        <w:t xml:space="preserve"> is not</w:t>
      </w:r>
      <w:r w:rsidR="00FB4EF8" w:rsidRPr="009A7FA6">
        <w:rPr>
          <w:u w:val="none"/>
          <w:lang w:val="en-ZA"/>
        </w:rPr>
        <w:t xml:space="preserve"> </w:t>
      </w:r>
      <w:r w:rsidR="00EC3F14" w:rsidRPr="009A7FA6">
        <w:rPr>
          <w:u w:val="none"/>
          <w:lang w:val="en-ZA"/>
        </w:rPr>
        <w:t>attached to the papers</w:t>
      </w:r>
      <w:r w:rsidR="00FB4EF8" w:rsidRPr="009A7FA6">
        <w:rPr>
          <w:u w:val="none"/>
          <w:lang w:val="en-ZA"/>
        </w:rPr>
        <w:t xml:space="preserve">.  </w:t>
      </w:r>
      <w:proofErr w:type="spellStart"/>
      <w:r w:rsidR="00EC3F14" w:rsidRPr="009A7FA6">
        <w:rPr>
          <w:u w:val="none"/>
          <w:lang w:val="en-ZA"/>
        </w:rPr>
        <w:t>Go</w:t>
      </w:r>
      <w:r w:rsidR="002469B8" w:rsidRPr="009A7FA6">
        <w:rPr>
          <w:u w:val="none"/>
          <w:lang w:val="en-ZA"/>
        </w:rPr>
        <w:t>loda</w:t>
      </w:r>
      <w:proofErr w:type="spellEnd"/>
      <w:r w:rsidR="002469B8" w:rsidRPr="009A7FA6">
        <w:rPr>
          <w:u w:val="none"/>
          <w:lang w:val="en-ZA"/>
        </w:rPr>
        <w:t xml:space="preserve"> does not rely on</w:t>
      </w:r>
      <w:r w:rsidR="00BB18C0" w:rsidRPr="009A7FA6">
        <w:rPr>
          <w:u w:val="none"/>
          <w:lang w:val="en-ZA"/>
        </w:rPr>
        <w:t xml:space="preserve"> the</w:t>
      </w:r>
      <w:r w:rsidR="002469B8" w:rsidRPr="009A7FA6">
        <w:rPr>
          <w:u w:val="none"/>
          <w:lang w:val="en-ZA"/>
        </w:rPr>
        <w:t xml:space="preserve"> registration of title</w:t>
      </w:r>
      <w:r w:rsidR="00BB18C0" w:rsidRPr="009A7FA6">
        <w:rPr>
          <w:u w:val="none"/>
          <w:lang w:val="en-ZA"/>
        </w:rPr>
        <w:t xml:space="preserve"> to assert her right as an owner</w:t>
      </w:r>
      <w:r w:rsidR="00FB4EF8" w:rsidRPr="009A7FA6">
        <w:rPr>
          <w:u w:val="none"/>
          <w:lang w:val="en-ZA"/>
        </w:rPr>
        <w:t xml:space="preserve">.  </w:t>
      </w:r>
      <w:r w:rsidR="008208A1" w:rsidRPr="009A7FA6">
        <w:rPr>
          <w:u w:val="none"/>
          <w:lang w:val="en-ZA"/>
        </w:rPr>
        <w:t xml:space="preserve">Transfer of ownership of immovable property </w:t>
      </w:r>
      <w:r w:rsidR="008208A1" w:rsidRPr="009A7FA6">
        <w:rPr>
          <w:u w:val="none"/>
          <w:lang w:val="en-ZA"/>
        </w:rPr>
        <w:lastRenderedPageBreak/>
        <w:t>requires the registration of transfer of the property through the Deeds Office</w:t>
      </w:r>
      <w:r w:rsidR="00FB4EF8" w:rsidRPr="009A7FA6">
        <w:rPr>
          <w:u w:val="none"/>
          <w:lang w:val="en-ZA"/>
        </w:rPr>
        <w:t xml:space="preserve">.  </w:t>
      </w:r>
      <w:r w:rsidR="008208A1" w:rsidRPr="009A7FA6">
        <w:rPr>
          <w:u w:val="none"/>
          <w:lang w:val="en-ZA"/>
        </w:rPr>
        <w:t xml:space="preserve">The </w:t>
      </w:r>
      <w:r w:rsidR="00ED0F39" w:rsidRPr="009A7FA6">
        <w:rPr>
          <w:u w:val="none"/>
          <w:lang w:val="en-ZA"/>
        </w:rPr>
        <w:t xml:space="preserve">registration of the </w:t>
      </w:r>
      <w:r w:rsidR="008208A1" w:rsidRPr="009A7FA6">
        <w:rPr>
          <w:u w:val="none"/>
          <w:lang w:val="en-ZA"/>
        </w:rPr>
        <w:t xml:space="preserve">transfer </w:t>
      </w:r>
      <w:proofErr w:type="gramStart"/>
      <w:r w:rsidR="008208A1" w:rsidRPr="009A7FA6">
        <w:rPr>
          <w:u w:val="none"/>
          <w:lang w:val="en-ZA"/>
        </w:rPr>
        <w:t xml:space="preserve">of </w:t>
      </w:r>
      <w:r w:rsidR="00667288" w:rsidRPr="009A7FA6">
        <w:rPr>
          <w:u w:val="none"/>
          <w:lang w:val="en-ZA"/>
        </w:rPr>
        <w:t xml:space="preserve"> a</w:t>
      </w:r>
      <w:proofErr w:type="gramEnd"/>
      <w:r w:rsidR="00667288" w:rsidRPr="009A7FA6">
        <w:rPr>
          <w:u w:val="none"/>
          <w:lang w:val="en-ZA"/>
        </w:rPr>
        <w:t xml:space="preserve"> </w:t>
      </w:r>
      <w:r w:rsidR="008208A1" w:rsidRPr="009A7FA6">
        <w:rPr>
          <w:u w:val="none"/>
          <w:lang w:val="en-ZA"/>
        </w:rPr>
        <w:t xml:space="preserve">real right </w:t>
      </w:r>
      <w:r w:rsidR="00ED0F39" w:rsidRPr="009A7FA6">
        <w:rPr>
          <w:u w:val="none"/>
          <w:lang w:val="en-ZA"/>
        </w:rPr>
        <w:t xml:space="preserve">in </w:t>
      </w:r>
      <w:r w:rsidR="008208A1" w:rsidRPr="009A7FA6">
        <w:rPr>
          <w:u w:val="none"/>
          <w:lang w:val="en-ZA"/>
        </w:rPr>
        <w:t xml:space="preserve">immovable property </w:t>
      </w:r>
      <w:r w:rsidR="00BA2E0E" w:rsidRPr="009A7FA6">
        <w:rPr>
          <w:u w:val="none"/>
          <w:lang w:val="en-ZA"/>
        </w:rPr>
        <w:t xml:space="preserve">occurs </w:t>
      </w:r>
      <w:r w:rsidR="008208A1" w:rsidRPr="009A7FA6">
        <w:rPr>
          <w:u w:val="none"/>
          <w:lang w:val="en-ZA"/>
        </w:rPr>
        <w:t>by the execution of a deed of transfer</w:t>
      </w:r>
      <w:r w:rsidR="00815DF7" w:rsidRPr="009A7FA6">
        <w:rPr>
          <w:u w:val="none"/>
          <w:lang w:val="en-ZA"/>
        </w:rPr>
        <w:t>,</w:t>
      </w:r>
      <w:r w:rsidR="008208A1">
        <w:rPr>
          <w:rStyle w:val="FootnoteReference"/>
          <w:u w:val="none"/>
          <w:lang w:val="en-ZA"/>
        </w:rPr>
        <w:footnoteReference w:id="3"/>
      </w:r>
      <w:r w:rsidR="008208A1" w:rsidRPr="009A7FA6">
        <w:rPr>
          <w:u w:val="none"/>
          <w:lang w:val="en-ZA"/>
        </w:rPr>
        <w:t xml:space="preserve"> </w:t>
      </w:r>
      <w:r w:rsidR="00815DF7" w:rsidRPr="009A7FA6">
        <w:rPr>
          <w:u w:val="none"/>
          <w:lang w:val="en-ZA"/>
        </w:rPr>
        <w:t>in</w:t>
      </w:r>
      <w:r w:rsidR="008208A1" w:rsidRPr="009A7FA6">
        <w:rPr>
          <w:u w:val="none"/>
          <w:lang w:val="en-ZA"/>
        </w:rPr>
        <w:t>to the name of the new owner</w:t>
      </w:r>
      <w:r w:rsidR="00FB4EF8" w:rsidRPr="009A7FA6">
        <w:rPr>
          <w:u w:val="none"/>
          <w:lang w:val="en-ZA"/>
        </w:rPr>
        <w:t xml:space="preserve">.  </w:t>
      </w:r>
      <w:r w:rsidR="009D7EAB" w:rsidRPr="009A7FA6">
        <w:rPr>
          <w:u w:val="none"/>
          <w:lang w:val="en-ZA"/>
        </w:rPr>
        <w:t xml:space="preserve">The title deed itself </w:t>
      </w:r>
      <w:r w:rsidR="008208A1" w:rsidRPr="009A7FA6">
        <w:rPr>
          <w:u w:val="none"/>
          <w:lang w:val="en-ZA"/>
        </w:rPr>
        <w:t>constitutes the proof of ownership</w:t>
      </w:r>
      <w:r w:rsidR="00FB4EF8" w:rsidRPr="009A7FA6">
        <w:rPr>
          <w:u w:val="none"/>
          <w:lang w:val="en-ZA"/>
        </w:rPr>
        <w:t xml:space="preserve">.  </w:t>
      </w:r>
      <w:r w:rsidR="00004959" w:rsidRPr="009A7FA6">
        <w:rPr>
          <w:u w:val="none"/>
          <w:lang w:val="en-ZA"/>
        </w:rPr>
        <w:t xml:space="preserve">In argument, counsel for </w:t>
      </w:r>
      <w:proofErr w:type="spellStart"/>
      <w:r w:rsidR="00FB4EF8" w:rsidRPr="009A7FA6">
        <w:rPr>
          <w:u w:val="none"/>
          <w:lang w:val="en-ZA"/>
        </w:rPr>
        <w:t>Goloda</w:t>
      </w:r>
      <w:proofErr w:type="spellEnd"/>
      <w:r w:rsidR="00004959" w:rsidRPr="009A7FA6">
        <w:rPr>
          <w:u w:val="none"/>
          <w:lang w:val="en-ZA"/>
        </w:rPr>
        <w:t xml:space="preserve"> conceded that </w:t>
      </w:r>
      <w:proofErr w:type="spellStart"/>
      <w:r w:rsidR="00FB4EF8" w:rsidRPr="009A7FA6">
        <w:rPr>
          <w:u w:val="none"/>
          <w:lang w:val="en-ZA"/>
        </w:rPr>
        <w:t>Goloda</w:t>
      </w:r>
      <w:proofErr w:type="spellEnd"/>
      <w:r w:rsidR="00004959" w:rsidRPr="009A7FA6">
        <w:rPr>
          <w:u w:val="none"/>
          <w:lang w:val="en-ZA"/>
        </w:rPr>
        <w:t xml:space="preserve"> is not the owner of the house</w:t>
      </w:r>
      <w:r w:rsidR="00FB4EF8" w:rsidRPr="009A7FA6">
        <w:rPr>
          <w:u w:val="none"/>
          <w:lang w:val="en-ZA"/>
        </w:rPr>
        <w:t xml:space="preserve">.  </w:t>
      </w:r>
      <w:r w:rsidR="00004959" w:rsidRPr="009A7FA6">
        <w:rPr>
          <w:u w:val="none"/>
          <w:lang w:val="en-ZA"/>
        </w:rPr>
        <w:t>The concession is correctly made</w:t>
      </w:r>
      <w:r w:rsidR="00ED0F39" w:rsidRPr="009A7FA6">
        <w:rPr>
          <w:u w:val="none"/>
          <w:lang w:val="en-ZA"/>
        </w:rPr>
        <w:t xml:space="preserve"> </w:t>
      </w:r>
    </w:p>
    <w:p w14:paraId="770AAC56" w14:textId="0C28BB95" w:rsidR="00F07020" w:rsidRPr="009A7FA6" w:rsidRDefault="009A7FA6" w:rsidP="009A7FA6">
      <w:pPr>
        <w:tabs>
          <w:tab w:val="left" w:pos="851"/>
          <w:tab w:val="right" w:pos="8280"/>
        </w:tabs>
        <w:spacing w:before="480" w:line="480" w:lineRule="auto"/>
        <w:ind w:left="851" w:hanging="851"/>
        <w:jc w:val="both"/>
        <w:rPr>
          <w:u w:val="none"/>
          <w:lang w:val="en-ZA"/>
        </w:rPr>
      </w:pPr>
      <w:r>
        <w:rPr>
          <w:u w:val="none"/>
          <w:lang w:val="en-ZA"/>
        </w:rPr>
        <w:t>[18]</w:t>
      </w:r>
      <w:r>
        <w:rPr>
          <w:u w:val="none"/>
          <w:lang w:val="en-ZA"/>
        </w:rPr>
        <w:tab/>
      </w:r>
      <w:proofErr w:type="spellStart"/>
      <w:r w:rsidR="00FB4EF8" w:rsidRPr="009A7FA6">
        <w:rPr>
          <w:u w:val="none"/>
          <w:lang w:val="en-ZA"/>
        </w:rPr>
        <w:t>Goloda</w:t>
      </w:r>
      <w:r w:rsidR="00F07020" w:rsidRPr="009A7FA6">
        <w:rPr>
          <w:u w:val="none"/>
          <w:lang w:val="en-ZA"/>
        </w:rPr>
        <w:t>’s</w:t>
      </w:r>
      <w:proofErr w:type="spellEnd"/>
      <w:r w:rsidR="00F07020" w:rsidRPr="009A7FA6">
        <w:rPr>
          <w:u w:val="none"/>
          <w:lang w:val="en-ZA"/>
        </w:rPr>
        <w:t xml:space="preserve"> representative argued that </w:t>
      </w:r>
      <w:proofErr w:type="spellStart"/>
      <w:r w:rsidR="00F07020" w:rsidRPr="009A7FA6">
        <w:rPr>
          <w:u w:val="none"/>
          <w:lang w:val="en-ZA"/>
        </w:rPr>
        <w:t>Koncoshe</w:t>
      </w:r>
      <w:proofErr w:type="spellEnd"/>
      <w:r w:rsidR="00F07020" w:rsidRPr="009A7FA6">
        <w:rPr>
          <w:u w:val="none"/>
          <w:lang w:val="en-ZA"/>
        </w:rPr>
        <w:t xml:space="preserve"> and </w:t>
      </w:r>
      <w:proofErr w:type="spellStart"/>
      <w:r w:rsidR="00F07020" w:rsidRPr="009A7FA6">
        <w:rPr>
          <w:u w:val="none"/>
          <w:lang w:val="en-ZA"/>
        </w:rPr>
        <w:t>Hoho</w:t>
      </w:r>
      <w:proofErr w:type="spellEnd"/>
      <w:r w:rsidR="00F07020" w:rsidRPr="009A7FA6">
        <w:rPr>
          <w:u w:val="none"/>
          <w:lang w:val="en-ZA"/>
        </w:rPr>
        <w:t xml:space="preserve">, as the joint executors, </w:t>
      </w:r>
      <w:proofErr w:type="gramStart"/>
      <w:r w:rsidR="00F07020" w:rsidRPr="009A7FA6">
        <w:rPr>
          <w:u w:val="none"/>
          <w:lang w:val="en-ZA"/>
        </w:rPr>
        <w:t>are in charge of</w:t>
      </w:r>
      <w:proofErr w:type="gramEnd"/>
      <w:r w:rsidR="00F07020" w:rsidRPr="009A7FA6">
        <w:rPr>
          <w:u w:val="none"/>
          <w:lang w:val="en-ZA"/>
        </w:rPr>
        <w:t xml:space="preserve"> the house and, as the second applicant, they have the </w:t>
      </w:r>
      <w:r w:rsidR="00F07020" w:rsidRPr="009A7FA6">
        <w:rPr>
          <w:i/>
          <w:u w:val="none"/>
          <w:lang w:val="en-ZA"/>
        </w:rPr>
        <w:t>locus standi</w:t>
      </w:r>
      <w:r w:rsidR="00F07020" w:rsidRPr="009A7FA6">
        <w:rPr>
          <w:u w:val="none"/>
          <w:lang w:val="en-ZA"/>
        </w:rPr>
        <w:t xml:space="preserve"> to institute these proceedings</w:t>
      </w:r>
      <w:r w:rsidR="00FB4EF8" w:rsidRPr="009A7FA6">
        <w:rPr>
          <w:u w:val="none"/>
          <w:lang w:val="en-ZA"/>
        </w:rPr>
        <w:t xml:space="preserve">.  </w:t>
      </w:r>
      <w:r w:rsidR="00F07020" w:rsidRPr="009A7FA6">
        <w:rPr>
          <w:u w:val="none"/>
          <w:lang w:val="en-ZA"/>
        </w:rPr>
        <w:t>Technically th</w:t>
      </w:r>
      <w:r w:rsidR="0048414B" w:rsidRPr="009A7FA6">
        <w:rPr>
          <w:u w:val="none"/>
          <w:lang w:val="en-ZA"/>
        </w:rPr>
        <w:t>is</w:t>
      </w:r>
      <w:r w:rsidR="00F07020" w:rsidRPr="009A7FA6">
        <w:rPr>
          <w:u w:val="none"/>
          <w:lang w:val="en-ZA"/>
        </w:rPr>
        <w:t xml:space="preserve"> is correct</w:t>
      </w:r>
      <w:r w:rsidR="00FB4EF8" w:rsidRPr="009A7FA6">
        <w:rPr>
          <w:u w:val="none"/>
          <w:lang w:val="en-ZA"/>
        </w:rPr>
        <w:t xml:space="preserve">.  </w:t>
      </w:r>
    </w:p>
    <w:p w14:paraId="1535DAE5" w14:textId="07DF992A" w:rsidR="00542A9B" w:rsidRPr="009A7FA6" w:rsidRDefault="009A7FA6" w:rsidP="009A7FA6">
      <w:pPr>
        <w:tabs>
          <w:tab w:val="left" w:pos="851"/>
          <w:tab w:val="right" w:pos="8280"/>
        </w:tabs>
        <w:spacing w:before="480" w:line="480" w:lineRule="auto"/>
        <w:ind w:left="851" w:hanging="851"/>
        <w:jc w:val="both"/>
        <w:rPr>
          <w:u w:val="none"/>
          <w:lang w:val="en-ZA"/>
        </w:rPr>
      </w:pPr>
      <w:r>
        <w:rPr>
          <w:u w:val="none"/>
          <w:lang w:val="en-ZA"/>
        </w:rPr>
        <w:t>[19]</w:t>
      </w:r>
      <w:r>
        <w:rPr>
          <w:u w:val="none"/>
          <w:lang w:val="en-ZA"/>
        </w:rPr>
        <w:tab/>
      </w:r>
      <w:r w:rsidR="00CF1230" w:rsidRPr="009A7FA6">
        <w:rPr>
          <w:u w:val="none"/>
          <w:lang w:val="en-ZA"/>
        </w:rPr>
        <w:t xml:space="preserve">While cited as co-applicants, </w:t>
      </w:r>
      <w:bookmarkStart w:id="0" w:name="_Hlk114061897"/>
      <w:proofErr w:type="spellStart"/>
      <w:r w:rsidR="00CF1230" w:rsidRPr="009A7FA6">
        <w:rPr>
          <w:u w:val="none"/>
          <w:lang w:val="en-ZA"/>
        </w:rPr>
        <w:t>Koncoshe</w:t>
      </w:r>
      <w:proofErr w:type="spellEnd"/>
      <w:r w:rsidR="00CF1230" w:rsidRPr="009A7FA6">
        <w:rPr>
          <w:u w:val="none"/>
          <w:lang w:val="en-ZA"/>
        </w:rPr>
        <w:t xml:space="preserve"> and </w:t>
      </w:r>
      <w:proofErr w:type="spellStart"/>
      <w:r w:rsidR="00CF1230" w:rsidRPr="009A7FA6">
        <w:rPr>
          <w:u w:val="none"/>
          <w:lang w:val="en-ZA"/>
        </w:rPr>
        <w:t>Hoho</w:t>
      </w:r>
      <w:proofErr w:type="spellEnd"/>
      <w:r w:rsidR="00CF1230" w:rsidRPr="009A7FA6">
        <w:rPr>
          <w:u w:val="none"/>
          <w:lang w:val="en-ZA"/>
        </w:rPr>
        <w:t xml:space="preserve"> </w:t>
      </w:r>
      <w:bookmarkEnd w:id="0"/>
      <w:r w:rsidR="00CF1230" w:rsidRPr="009A7FA6">
        <w:rPr>
          <w:u w:val="none"/>
          <w:lang w:val="en-ZA"/>
        </w:rPr>
        <w:t>have not participated in these proceedings</w:t>
      </w:r>
      <w:r w:rsidR="00FB4EF8" w:rsidRPr="009A7FA6">
        <w:rPr>
          <w:u w:val="none"/>
          <w:lang w:val="en-ZA"/>
        </w:rPr>
        <w:t xml:space="preserve">.  </w:t>
      </w:r>
      <w:r w:rsidR="0055316C" w:rsidRPr="009A7FA6">
        <w:rPr>
          <w:u w:val="none"/>
          <w:lang w:val="en-ZA"/>
        </w:rPr>
        <w:t>This is not surprising</w:t>
      </w:r>
      <w:r w:rsidR="00FB4EF8" w:rsidRPr="009A7FA6">
        <w:rPr>
          <w:u w:val="none"/>
          <w:lang w:val="en-ZA"/>
        </w:rPr>
        <w:t xml:space="preserve"> </w:t>
      </w:r>
      <w:r w:rsidR="0055316C" w:rsidRPr="009A7FA6">
        <w:rPr>
          <w:u w:val="none"/>
          <w:lang w:val="en-ZA"/>
        </w:rPr>
        <w:t>as i</w:t>
      </w:r>
      <w:r w:rsidR="009A120E" w:rsidRPr="009A7FA6">
        <w:rPr>
          <w:u w:val="none"/>
          <w:lang w:val="en-ZA"/>
        </w:rPr>
        <w:t>n the founding affidavit</w:t>
      </w:r>
      <w:r w:rsidR="00C008BC" w:rsidRPr="009A7FA6">
        <w:rPr>
          <w:u w:val="none"/>
          <w:lang w:val="en-ZA"/>
        </w:rPr>
        <w:t xml:space="preserve">, </w:t>
      </w:r>
      <w:proofErr w:type="spellStart"/>
      <w:r w:rsidR="009A120E" w:rsidRPr="009A7FA6">
        <w:rPr>
          <w:u w:val="none"/>
          <w:lang w:val="en-ZA"/>
        </w:rPr>
        <w:t>Koncoshe</w:t>
      </w:r>
      <w:proofErr w:type="spellEnd"/>
      <w:r w:rsidR="009A120E" w:rsidRPr="009A7FA6">
        <w:rPr>
          <w:u w:val="none"/>
          <w:lang w:val="en-ZA"/>
        </w:rPr>
        <w:t xml:space="preserve"> and </w:t>
      </w:r>
      <w:proofErr w:type="spellStart"/>
      <w:r w:rsidR="009A120E" w:rsidRPr="009A7FA6">
        <w:rPr>
          <w:u w:val="none"/>
          <w:lang w:val="en-ZA"/>
        </w:rPr>
        <w:t>Hoho</w:t>
      </w:r>
      <w:proofErr w:type="spellEnd"/>
      <w:r w:rsidR="00FB4EF8" w:rsidRPr="009A7FA6">
        <w:rPr>
          <w:u w:val="none"/>
          <w:lang w:val="en-ZA"/>
        </w:rPr>
        <w:t xml:space="preserve"> </w:t>
      </w:r>
      <w:r w:rsidR="009A120E" w:rsidRPr="009A7FA6">
        <w:rPr>
          <w:u w:val="none"/>
          <w:lang w:val="en-ZA"/>
        </w:rPr>
        <w:t>are merely cited interested parties</w:t>
      </w:r>
      <w:r w:rsidR="00FB4EF8" w:rsidRPr="009A7FA6">
        <w:rPr>
          <w:u w:val="none"/>
          <w:lang w:val="en-ZA"/>
        </w:rPr>
        <w:t xml:space="preserve">.  </w:t>
      </w:r>
      <w:r w:rsidR="00C9280A" w:rsidRPr="009A7FA6">
        <w:rPr>
          <w:u w:val="none"/>
          <w:lang w:val="en-ZA"/>
        </w:rPr>
        <w:t xml:space="preserve">In reply, </w:t>
      </w:r>
      <w:proofErr w:type="spellStart"/>
      <w:r w:rsidR="00C9280A" w:rsidRPr="009A7FA6">
        <w:rPr>
          <w:u w:val="none"/>
          <w:lang w:val="en-ZA"/>
        </w:rPr>
        <w:t>Goloda</w:t>
      </w:r>
      <w:proofErr w:type="spellEnd"/>
      <w:r w:rsidR="00FB4EF8" w:rsidRPr="009A7FA6">
        <w:rPr>
          <w:u w:val="none"/>
          <w:lang w:val="en-ZA"/>
        </w:rPr>
        <w:t xml:space="preserve"> </w:t>
      </w:r>
      <w:r w:rsidR="00A50E7D" w:rsidRPr="009A7FA6">
        <w:rPr>
          <w:u w:val="none"/>
          <w:lang w:val="en-ZA"/>
        </w:rPr>
        <w:t>deposes that</w:t>
      </w:r>
      <w:r w:rsidR="00FB4EF8" w:rsidRPr="009A7FA6">
        <w:rPr>
          <w:u w:val="none"/>
          <w:lang w:val="en-ZA"/>
        </w:rPr>
        <w:t xml:space="preserve"> </w:t>
      </w:r>
      <w:r w:rsidR="00A50E7D" w:rsidRPr="009A7FA6">
        <w:rPr>
          <w:u w:val="none"/>
          <w:lang w:val="en-ZA"/>
        </w:rPr>
        <w:t xml:space="preserve">she was “duly authorised by the second applicant to depose to the affidavit </w:t>
      </w:r>
      <w:r w:rsidR="00A50E7D" w:rsidRPr="009A7FA6">
        <w:rPr>
          <w:i/>
          <w:iCs/>
          <w:u w:val="none"/>
          <w:lang w:val="en-ZA"/>
        </w:rPr>
        <w:t>for and on their behalf</w:t>
      </w:r>
      <w:r w:rsidR="00A50E7D" w:rsidRPr="009A7FA6">
        <w:rPr>
          <w:u w:val="none"/>
          <w:lang w:val="en-ZA"/>
        </w:rPr>
        <w:t xml:space="preserve">.” </w:t>
      </w:r>
    </w:p>
    <w:p w14:paraId="6E78A2A3" w14:textId="23DDD186" w:rsidR="00E04B27" w:rsidRPr="009A7FA6" w:rsidRDefault="009A7FA6" w:rsidP="009A7FA6">
      <w:pPr>
        <w:tabs>
          <w:tab w:val="left" w:pos="851"/>
          <w:tab w:val="right" w:pos="8280"/>
        </w:tabs>
        <w:spacing w:before="480" w:line="480" w:lineRule="auto"/>
        <w:ind w:left="851" w:hanging="851"/>
        <w:jc w:val="both"/>
        <w:rPr>
          <w:u w:val="none"/>
          <w:lang w:val="en-ZA"/>
        </w:rPr>
      </w:pPr>
      <w:r>
        <w:rPr>
          <w:u w:val="none"/>
          <w:lang w:val="en-ZA"/>
        </w:rPr>
        <w:t>[20]</w:t>
      </w:r>
      <w:r>
        <w:rPr>
          <w:u w:val="none"/>
          <w:lang w:val="en-ZA"/>
        </w:rPr>
        <w:tab/>
      </w:r>
      <w:proofErr w:type="spellStart"/>
      <w:r w:rsidR="00F65B1E" w:rsidRPr="009A7FA6">
        <w:rPr>
          <w:u w:val="none"/>
          <w:lang w:val="en-ZA"/>
        </w:rPr>
        <w:t>Goloda</w:t>
      </w:r>
      <w:proofErr w:type="spellEnd"/>
      <w:r w:rsidR="00F65B1E" w:rsidRPr="009A7FA6">
        <w:rPr>
          <w:u w:val="none"/>
          <w:lang w:val="en-ZA"/>
        </w:rPr>
        <w:t xml:space="preserve"> needed no such authori</w:t>
      </w:r>
      <w:r w:rsidR="00FB4EF8" w:rsidRPr="009A7FA6">
        <w:rPr>
          <w:u w:val="none"/>
          <w:lang w:val="en-ZA"/>
        </w:rPr>
        <w:t>s</w:t>
      </w:r>
      <w:r w:rsidR="00F65B1E" w:rsidRPr="009A7FA6">
        <w:rPr>
          <w:u w:val="none"/>
          <w:lang w:val="en-ZA"/>
        </w:rPr>
        <w:t>ation</w:t>
      </w:r>
      <w:r w:rsidR="00FB4EF8" w:rsidRPr="009A7FA6">
        <w:rPr>
          <w:u w:val="none"/>
          <w:lang w:val="en-ZA"/>
        </w:rPr>
        <w:t xml:space="preserve">.  </w:t>
      </w:r>
      <w:r w:rsidR="004706BA" w:rsidRPr="009A7FA6">
        <w:rPr>
          <w:u w:val="none"/>
          <w:lang w:val="en-ZA"/>
        </w:rPr>
        <w:t>This</w:t>
      </w:r>
      <w:r w:rsidR="008242BB" w:rsidRPr="009A7FA6">
        <w:rPr>
          <w:u w:val="none"/>
          <w:lang w:val="en-ZA"/>
        </w:rPr>
        <w:t xml:space="preserve"> is trite</w:t>
      </w:r>
      <w:r w:rsidR="00FB4EF8" w:rsidRPr="009A7FA6">
        <w:rPr>
          <w:u w:val="none"/>
          <w:lang w:val="en-ZA"/>
        </w:rPr>
        <w:t xml:space="preserve">.  </w:t>
      </w:r>
      <w:r w:rsidR="006A35A1" w:rsidRPr="009A7FA6">
        <w:rPr>
          <w:u w:val="none"/>
          <w:lang w:val="en-ZA"/>
        </w:rPr>
        <w:t>It</w:t>
      </w:r>
      <w:r w:rsidR="008242BB" w:rsidRPr="009A7FA6">
        <w:rPr>
          <w:u w:val="none"/>
          <w:lang w:val="en-ZA"/>
        </w:rPr>
        <w:t xml:space="preserve"> is the institution of the proceedings which must be authorised.</w:t>
      </w:r>
      <w:r w:rsidR="008242BB">
        <w:rPr>
          <w:rStyle w:val="FootnoteReference"/>
          <w:u w:val="none"/>
          <w:lang w:val="en-ZA"/>
        </w:rPr>
        <w:footnoteReference w:id="4"/>
      </w:r>
      <w:r w:rsidR="00FB4EF8" w:rsidRPr="009A7FA6">
        <w:rPr>
          <w:u w:val="none"/>
          <w:lang w:val="en-ZA"/>
        </w:rPr>
        <w:t xml:space="preserve"> </w:t>
      </w:r>
      <w:proofErr w:type="spellStart"/>
      <w:r w:rsidR="00FB4EF8" w:rsidRPr="009A7FA6">
        <w:rPr>
          <w:u w:val="none"/>
          <w:lang w:val="en-ZA"/>
        </w:rPr>
        <w:t>Goloda</w:t>
      </w:r>
      <w:r w:rsidR="00E04B27" w:rsidRPr="009A7FA6">
        <w:rPr>
          <w:u w:val="none"/>
          <w:lang w:val="en-ZA"/>
        </w:rPr>
        <w:t>’s</w:t>
      </w:r>
      <w:proofErr w:type="spellEnd"/>
      <w:r w:rsidR="00E04B27" w:rsidRPr="009A7FA6">
        <w:rPr>
          <w:u w:val="none"/>
          <w:lang w:val="en-ZA"/>
        </w:rPr>
        <w:t xml:space="preserve"> authority to institute these proceedings has not been challenged, it is her </w:t>
      </w:r>
      <w:r w:rsidR="00E04B27" w:rsidRPr="009A7FA6">
        <w:rPr>
          <w:i/>
          <w:u w:val="none"/>
          <w:lang w:val="en-ZA"/>
        </w:rPr>
        <w:t>locus standi</w:t>
      </w:r>
      <w:r w:rsidR="00FB4EF8" w:rsidRPr="009A7FA6">
        <w:rPr>
          <w:u w:val="none"/>
          <w:lang w:val="en-ZA"/>
        </w:rPr>
        <w:t xml:space="preserve">.  </w:t>
      </w:r>
      <w:r w:rsidR="00E04B27" w:rsidRPr="009A7FA6">
        <w:rPr>
          <w:u w:val="none"/>
          <w:lang w:val="en-ZA"/>
        </w:rPr>
        <w:t xml:space="preserve"> </w:t>
      </w:r>
    </w:p>
    <w:p w14:paraId="70C68679" w14:textId="43CD4FB5" w:rsidR="00F508FF" w:rsidRPr="009A7FA6" w:rsidRDefault="009A7FA6" w:rsidP="009A7FA6">
      <w:pPr>
        <w:tabs>
          <w:tab w:val="left" w:pos="851"/>
          <w:tab w:val="right" w:pos="8280"/>
        </w:tabs>
        <w:spacing w:before="480" w:line="480" w:lineRule="auto"/>
        <w:ind w:left="851" w:hanging="851"/>
        <w:jc w:val="both"/>
        <w:rPr>
          <w:u w:val="none"/>
          <w:lang w:val="en-ZA"/>
        </w:rPr>
      </w:pPr>
      <w:r>
        <w:rPr>
          <w:u w:val="none"/>
          <w:lang w:val="en-ZA"/>
        </w:rPr>
        <w:lastRenderedPageBreak/>
        <w:t>[21]</w:t>
      </w:r>
      <w:r>
        <w:rPr>
          <w:u w:val="none"/>
          <w:lang w:val="en-ZA"/>
        </w:rPr>
        <w:tab/>
      </w:r>
      <w:r w:rsidR="00F508FF" w:rsidRPr="009A7FA6">
        <w:rPr>
          <w:u w:val="none"/>
          <w:lang w:val="en-ZA"/>
        </w:rPr>
        <w:t>A party may not make its case in reply but must do so in the founding affidavit.</w:t>
      </w:r>
      <w:r w:rsidR="00F508FF">
        <w:rPr>
          <w:rStyle w:val="FootnoteReference"/>
          <w:u w:val="none"/>
          <w:lang w:val="en-ZA"/>
        </w:rPr>
        <w:footnoteReference w:id="5"/>
      </w:r>
      <w:r w:rsidR="00F508FF" w:rsidRPr="009A7FA6">
        <w:rPr>
          <w:u w:val="none"/>
          <w:lang w:val="en-ZA"/>
        </w:rPr>
        <w:t xml:space="preserve"> The new matter </w:t>
      </w:r>
      <w:proofErr w:type="spellStart"/>
      <w:r w:rsidR="00F508FF" w:rsidRPr="009A7FA6">
        <w:rPr>
          <w:u w:val="none"/>
          <w:lang w:val="en-ZA"/>
        </w:rPr>
        <w:t>Goloda</w:t>
      </w:r>
      <w:proofErr w:type="spellEnd"/>
      <w:r w:rsidR="00FB4EF8" w:rsidRPr="009A7FA6">
        <w:rPr>
          <w:u w:val="none"/>
          <w:lang w:val="en-ZA"/>
        </w:rPr>
        <w:t xml:space="preserve"> </w:t>
      </w:r>
      <w:r w:rsidR="00F508FF" w:rsidRPr="009A7FA6">
        <w:rPr>
          <w:u w:val="none"/>
          <w:lang w:val="en-ZA"/>
        </w:rPr>
        <w:t xml:space="preserve">introduces </w:t>
      </w:r>
      <w:r w:rsidR="00047F8F" w:rsidRPr="009A7FA6">
        <w:rPr>
          <w:u w:val="none"/>
          <w:lang w:val="en-ZA"/>
        </w:rPr>
        <w:t xml:space="preserve">in the replying affidavit </w:t>
      </w:r>
      <w:r w:rsidR="00F508FF" w:rsidRPr="009A7FA6">
        <w:rPr>
          <w:u w:val="none"/>
          <w:lang w:val="en-ZA"/>
        </w:rPr>
        <w:t xml:space="preserve">does not retrospectively remedy </w:t>
      </w:r>
      <w:r w:rsidR="00047F8F" w:rsidRPr="009A7FA6">
        <w:rPr>
          <w:u w:val="none"/>
          <w:lang w:val="en-ZA"/>
        </w:rPr>
        <w:t>her</w:t>
      </w:r>
      <w:r w:rsidR="0048414B" w:rsidRPr="009A7FA6">
        <w:rPr>
          <w:u w:val="none"/>
          <w:lang w:val="en-ZA"/>
        </w:rPr>
        <w:t xml:space="preserve"> own</w:t>
      </w:r>
      <w:r w:rsidR="00F508FF" w:rsidRPr="009A7FA6">
        <w:rPr>
          <w:u w:val="none"/>
          <w:lang w:val="en-ZA"/>
        </w:rPr>
        <w:t xml:space="preserve"> </w:t>
      </w:r>
      <w:r w:rsidR="00F508FF" w:rsidRPr="009A7FA6">
        <w:rPr>
          <w:i/>
          <w:u w:val="none"/>
          <w:lang w:val="en-ZA"/>
        </w:rPr>
        <w:t>locus standi</w:t>
      </w:r>
      <w:r w:rsidR="00F508FF" w:rsidRPr="009A7FA6">
        <w:rPr>
          <w:u w:val="none"/>
          <w:lang w:val="en-ZA"/>
        </w:rPr>
        <w:t>.</w:t>
      </w:r>
      <w:r w:rsidR="00F508FF" w:rsidRPr="00F169FA">
        <w:rPr>
          <w:rStyle w:val="FootnoteReference"/>
          <w:u w:val="none"/>
          <w:lang w:val="en-ZA"/>
        </w:rPr>
        <w:footnoteReference w:id="6"/>
      </w:r>
    </w:p>
    <w:p w14:paraId="5E4D9EC7" w14:textId="333FE84A" w:rsidR="00323157" w:rsidRPr="009A7FA6" w:rsidRDefault="009A7FA6" w:rsidP="009A7FA6">
      <w:pPr>
        <w:tabs>
          <w:tab w:val="left" w:pos="851"/>
          <w:tab w:val="right" w:pos="8280"/>
        </w:tabs>
        <w:spacing w:before="480" w:line="480" w:lineRule="auto"/>
        <w:ind w:left="851" w:hanging="851"/>
        <w:jc w:val="both"/>
        <w:rPr>
          <w:u w:val="none"/>
          <w:lang w:val="en-ZA"/>
        </w:rPr>
      </w:pPr>
      <w:r>
        <w:rPr>
          <w:u w:val="none"/>
          <w:lang w:val="en-ZA"/>
        </w:rPr>
        <w:t>[22]</w:t>
      </w:r>
      <w:r>
        <w:rPr>
          <w:u w:val="none"/>
          <w:lang w:val="en-ZA"/>
        </w:rPr>
        <w:tab/>
      </w:r>
      <w:r w:rsidR="00897FA6" w:rsidRPr="009A7FA6">
        <w:rPr>
          <w:u w:val="none"/>
          <w:lang w:val="en-ZA"/>
        </w:rPr>
        <w:t>There is no magic in</w:t>
      </w:r>
      <w:r w:rsidR="00ED368E" w:rsidRPr="009A7FA6">
        <w:rPr>
          <w:u w:val="none"/>
          <w:lang w:val="en-ZA"/>
        </w:rPr>
        <w:t xml:space="preserve"> </w:t>
      </w:r>
      <w:proofErr w:type="spellStart"/>
      <w:r w:rsidR="00ED368E" w:rsidRPr="009A7FA6">
        <w:rPr>
          <w:u w:val="none"/>
          <w:lang w:val="en-ZA"/>
        </w:rPr>
        <w:t>Go</w:t>
      </w:r>
      <w:r w:rsidR="00E01370" w:rsidRPr="009A7FA6">
        <w:rPr>
          <w:u w:val="none"/>
          <w:lang w:val="en-ZA"/>
        </w:rPr>
        <w:t>loda</w:t>
      </w:r>
      <w:proofErr w:type="spellEnd"/>
      <w:r w:rsidR="00E01370" w:rsidRPr="009A7FA6">
        <w:rPr>
          <w:u w:val="none"/>
          <w:lang w:val="en-ZA"/>
        </w:rPr>
        <w:t xml:space="preserve"> </w:t>
      </w:r>
      <w:r w:rsidR="00ED368E" w:rsidRPr="009A7FA6">
        <w:rPr>
          <w:u w:val="none"/>
          <w:lang w:val="en-ZA"/>
        </w:rPr>
        <w:t>deposing to</w:t>
      </w:r>
      <w:r w:rsidR="00FB4EF8" w:rsidRPr="009A7FA6">
        <w:rPr>
          <w:u w:val="none"/>
          <w:lang w:val="en-ZA"/>
        </w:rPr>
        <w:t xml:space="preserve"> </w:t>
      </w:r>
      <w:r w:rsidR="00897FA6" w:rsidRPr="009A7FA6">
        <w:rPr>
          <w:u w:val="none"/>
          <w:lang w:val="en-ZA"/>
        </w:rPr>
        <w:t>the words</w:t>
      </w:r>
      <w:r w:rsidR="00FB4EF8" w:rsidRPr="009A7FA6">
        <w:rPr>
          <w:u w:val="none"/>
          <w:lang w:val="en-ZA"/>
        </w:rPr>
        <w:t xml:space="preserve"> </w:t>
      </w:r>
      <w:r w:rsidR="0020664A" w:rsidRPr="009A7FA6">
        <w:rPr>
          <w:u w:val="none"/>
          <w:lang w:val="en-ZA"/>
        </w:rPr>
        <w:t>“</w:t>
      </w:r>
      <w:r w:rsidR="00323157" w:rsidRPr="009A7FA6">
        <w:rPr>
          <w:i/>
          <w:iCs/>
          <w:u w:val="none"/>
          <w:lang w:val="en-ZA"/>
        </w:rPr>
        <w:t>for and on behalf of</w:t>
      </w:r>
      <w:r w:rsidR="0020664A" w:rsidRPr="009A7FA6">
        <w:rPr>
          <w:u w:val="none"/>
          <w:lang w:val="en-ZA"/>
        </w:rPr>
        <w:t xml:space="preserve"> </w:t>
      </w:r>
      <w:r w:rsidR="00FF15A3" w:rsidRPr="009A7FA6">
        <w:rPr>
          <w:u w:val="none"/>
          <w:lang w:val="en-ZA"/>
        </w:rPr>
        <w:t>“the</w:t>
      </w:r>
      <w:r w:rsidR="00323157" w:rsidRPr="009A7FA6">
        <w:rPr>
          <w:u w:val="none"/>
          <w:lang w:val="en-ZA"/>
        </w:rPr>
        <w:t xml:space="preserve"> executors of the deceased</w:t>
      </w:r>
      <w:r w:rsidR="00FB4EF8" w:rsidRPr="009A7FA6">
        <w:rPr>
          <w:u w:val="none"/>
          <w:lang w:val="en-ZA"/>
        </w:rPr>
        <w:t xml:space="preserve">.  </w:t>
      </w:r>
      <w:r w:rsidR="00E01370" w:rsidRPr="009A7FA6">
        <w:rPr>
          <w:u w:val="none"/>
          <w:lang w:val="en-ZA"/>
        </w:rPr>
        <w:t xml:space="preserve">These words do not elevate </w:t>
      </w:r>
      <w:proofErr w:type="spellStart"/>
      <w:r w:rsidR="00E01370" w:rsidRPr="009A7FA6">
        <w:rPr>
          <w:u w:val="none"/>
          <w:lang w:val="en-ZA"/>
        </w:rPr>
        <w:t>Goloda’s</w:t>
      </w:r>
      <w:proofErr w:type="spellEnd"/>
      <w:r w:rsidR="00E01370" w:rsidRPr="009A7FA6">
        <w:rPr>
          <w:u w:val="none"/>
          <w:lang w:val="en-ZA"/>
        </w:rPr>
        <w:t xml:space="preserve"> </w:t>
      </w:r>
      <w:r w:rsidR="00E01370" w:rsidRPr="009A7FA6">
        <w:rPr>
          <w:i/>
          <w:u w:val="none"/>
          <w:lang w:val="en-ZA"/>
        </w:rPr>
        <w:t xml:space="preserve">locus </w:t>
      </w:r>
      <w:r w:rsidR="00411E45" w:rsidRPr="009A7FA6">
        <w:rPr>
          <w:i/>
          <w:u w:val="none"/>
          <w:lang w:val="en-ZA"/>
        </w:rPr>
        <w:t>standi</w:t>
      </w:r>
      <w:r w:rsidR="00FB4EF8" w:rsidRPr="009A7FA6">
        <w:rPr>
          <w:u w:val="none"/>
          <w:lang w:val="en-ZA"/>
        </w:rPr>
        <w:t xml:space="preserve">.  </w:t>
      </w:r>
      <w:r w:rsidR="00323157" w:rsidRPr="009A7FA6">
        <w:rPr>
          <w:u w:val="none"/>
          <w:lang w:val="en-ZA"/>
        </w:rPr>
        <w:t xml:space="preserve">The confirmatory affidavit of </w:t>
      </w:r>
      <w:proofErr w:type="spellStart"/>
      <w:r w:rsidR="00323157" w:rsidRPr="009A7FA6">
        <w:rPr>
          <w:u w:val="none"/>
          <w:lang w:val="en-ZA"/>
        </w:rPr>
        <w:t>Hoho</w:t>
      </w:r>
      <w:proofErr w:type="spellEnd"/>
      <w:r w:rsidR="00323157" w:rsidRPr="009A7FA6">
        <w:rPr>
          <w:u w:val="none"/>
          <w:lang w:val="en-ZA"/>
        </w:rPr>
        <w:t xml:space="preserve">, annexed to the replying affidavit, does not authorise </w:t>
      </w:r>
      <w:proofErr w:type="spellStart"/>
      <w:r w:rsidR="00FB4EF8" w:rsidRPr="009A7FA6">
        <w:rPr>
          <w:u w:val="none"/>
          <w:lang w:val="en-ZA"/>
        </w:rPr>
        <w:t>Goloda</w:t>
      </w:r>
      <w:proofErr w:type="spellEnd"/>
      <w:r w:rsidR="00323157" w:rsidRPr="009A7FA6">
        <w:rPr>
          <w:u w:val="none"/>
          <w:lang w:val="en-ZA"/>
        </w:rPr>
        <w:t xml:space="preserve"> to institute these proceedings</w:t>
      </w:r>
      <w:r w:rsidR="00FB4EF8" w:rsidRPr="009A7FA6">
        <w:rPr>
          <w:u w:val="none"/>
          <w:lang w:val="en-ZA"/>
        </w:rPr>
        <w:t xml:space="preserve">.  </w:t>
      </w:r>
      <w:proofErr w:type="spellStart"/>
      <w:r w:rsidR="00323157" w:rsidRPr="009A7FA6">
        <w:rPr>
          <w:u w:val="none"/>
          <w:lang w:val="en-ZA"/>
        </w:rPr>
        <w:t>Hoho</w:t>
      </w:r>
      <w:proofErr w:type="spellEnd"/>
      <w:r w:rsidR="00323157" w:rsidRPr="009A7FA6">
        <w:rPr>
          <w:u w:val="none"/>
          <w:lang w:val="en-ZA"/>
        </w:rPr>
        <w:t xml:space="preserve"> does not elect to become a party in the proceedings</w:t>
      </w:r>
      <w:r w:rsidR="00FB4EF8" w:rsidRPr="009A7FA6">
        <w:rPr>
          <w:u w:val="none"/>
          <w:lang w:val="en-ZA"/>
        </w:rPr>
        <w:t xml:space="preserve">.  </w:t>
      </w:r>
      <w:r w:rsidR="00D93DE2" w:rsidRPr="009A7FA6">
        <w:rPr>
          <w:u w:val="none"/>
          <w:lang w:val="en-ZA"/>
        </w:rPr>
        <w:t>This affidavit</w:t>
      </w:r>
      <w:r w:rsidR="00FB4EF8" w:rsidRPr="009A7FA6">
        <w:rPr>
          <w:u w:val="none"/>
          <w:lang w:val="en-ZA"/>
        </w:rPr>
        <w:t xml:space="preserve"> </w:t>
      </w:r>
      <w:r w:rsidR="00323157" w:rsidRPr="009A7FA6">
        <w:rPr>
          <w:u w:val="none"/>
          <w:lang w:val="en-ZA"/>
        </w:rPr>
        <w:t>merely confirm</w:t>
      </w:r>
      <w:r w:rsidR="00D93DE2" w:rsidRPr="009A7FA6">
        <w:rPr>
          <w:u w:val="none"/>
          <w:lang w:val="en-ZA"/>
        </w:rPr>
        <w:t>s</w:t>
      </w:r>
      <w:r w:rsidR="00323157" w:rsidRPr="009A7FA6">
        <w:rPr>
          <w:u w:val="none"/>
          <w:lang w:val="en-ZA"/>
        </w:rPr>
        <w:t xml:space="preserve"> specific facts set out in specific paragraphs in the founding affidavit</w:t>
      </w:r>
      <w:r w:rsidR="00FB4EF8" w:rsidRPr="009A7FA6">
        <w:rPr>
          <w:u w:val="none"/>
          <w:lang w:val="en-ZA"/>
        </w:rPr>
        <w:t xml:space="preserve">.  </w:t>
      </w:r>
      <w:r w:rsidR="00323157" w:rsidRPr="009A7FA6">
        <w:rPr>
          <w:u w:val="none"/>
          <w:lang w:val="en-ZA"/>
        </w:rPr>
        <w:t>These</w:t>
      </w:r>
      <w:r w:rsidR="00D93DE2" w:rsidRPr="009A7FA6">
        <w:rPr>
          <w:u w:val="none"/>
          <w:lang w:val="en-ZA"/>
        </w:rPr>
        <w:t xml:space="preserve"> do </w:t>
      </w:r>
      <w:r w:rsidR="00323157" w:rsidRPr="009A7FA6">
        <w:rPr>
          <w:u w:val="none"/>
          <w:lang w:val="en-ZA"/>
        </w:rPr>
        <w:t xml:space="preserve">not </w:t>
      </w:r>
      <w:r w:rsidR="00D93DE2" w:rsidRPr="009A7FA6">
        <w:rPr>
          <w:u w:val="none"/>
          <w:lang w:val="en-ZA"/>
        </w:rPr>
        <w:t xml:space="preserve">include </w:t>
      </w:r>
      <w:r w:rsidR="00323157" w:rsidRPr="009A7FA6">
        <w:rPr>
          <w:u w:val="none"/>
          <w:lang w:val="en-ZA"/>
        </w:rPr>
        <w:t>confirm</w:t>
      </w:r>
      <w:r w:rsidR="0009157B" w:rsidRPr="009A7FA6">
        <w:rPr>
          <w:u w:val="none"/>
          <w:lang w:val="en-ZA"/>
        </w:rPr>
        <w:t xml:space="preserve">ation of </w:t>
      </w:r>
      <w:r w:rsidR="00323157" w:rsidRPr="009A7FA6">
        <w:rPr>
          <w:u w:val="none"/>
          <w:lang w:val="en-ZA"/>
        </w:rPr>
        <w:t xml:space="preserve">the sale agreement on which </w:t>
      </w:r>
      <w:proofErr w:type="spellStart"/>
      <w:r w:rsidR="00FB4EF8" w:rsidRPr="009A7FA6">
        <w:rPr>
          <w:u w:val="none"/>
          <w:lang w:val="en-ZA"/>
        </w:rPr>
        <w:t>Goloda</w:t>
      </w:r>
      <w:proofErr w:type="spellEnd"/>
      <w:r w:rsidR="00323157" w:rsidRPr="009A7FA6">
        <w:rPr>
          <w:u w:val="none"/>
          <w:lang w:val="en-ZA"/>
        </w:rPr>
        <w:t xml:space="preserve"> relies nor that </w:t>
      </w:r>
      <w:proofErr w:type="spellStart"/>
      <w:r w:rsidR="00FB4EF8" w:rsidRPr="009A7FA6">
        <w:rPr>
          <w:u w:val="none"/>
          <w:lang w:val="en-ZA"/>
        </w:rPr>
        <w:t>Goloda</w:t>
      </w:r>
      <w:proofErr w:type="spellEnd"/>
      <w:r w:rsidR="00323157" w:rsidRPr="009A7FA6">
        <w:rPr>
          <w:u w:val="none"/>
          <w:lang w:val="en-ZA"/>
        </w:rPr>
        <w:t xml:space="preserve"> is retrospectively authorised to institute the proceedings for and on behalf of the executors of the deceased estate</w:t>
      </w:r>
      <w:r w:rsidR="00FB4EF8" w:rsidRPr="009A7FA6">
        <w:rPr>
          <w:u w:val="none"/>
          <w:lang w:val="en-ZA"/>
        </w:rPr>
        <w:t xml:space="preserve">.  </w:t>
      </w:r>
    </w:p>
    <w:p w14:paraId="1698CDB0" w14:textId="0820CB9E" w:rsidR="00F169FA" w:rsidRPr="009A7FA6" w:rsidRDefault="009A7FA6" w:rsidP="009A7FA6">
      <w:pPr>
        <w:tabs>
          <w:tab w:val="left" w:pos="851"/>
          <w:tab w:val="right" w:pos="8280"/>
        </w:tabs>
        <w:spacing w:before="480" w:line="480" w:lineRule="auto"/>
        <w:ind w:left="851" w:hanging="851"/>
        <w:jc w:val="both"/>
        <w:rPr>
          <w:u w:val="none"/>
          <w:lang w:val="en-ZA"/>
        </w:rPr>
      </w:pPr>
      <w:r w:rsidRPr="005A59B1">
        <w:rPr>
          <w:u w:val="none"/>
          <w:lang w:val="en-ZA"/>
        </w:rPr>
        <w:t>[23]</w:t>
      </w:r>
      <w:r w:rsidRPr="005A59B1">
        <w:rPr>
          <w:u w:val="none"/>
          <w:lang w:val="en-ZA"/>
        </w:rPr>
        <w:tab/>
      </w:r>
      <w:r w:rsidR="00F169FA" w:rsidRPr="009A7FA6">
        <w:rPr>
          <w:u w:val="none"/>
          <w:lang w:val="en-ZA"/>
        </w:rPr>
        <w:t xml:space="preserve">The establishment of </w:t>
      </w:r>
      <w:r w:rsidR="00F169FA" w:rsidRPr="009A7FA6">
        <w:rPr>
          <w:i/>
          <w:u w:val="none"/>
          <w:lang w:val="en-ZA"/>
        </w:rPr>
        <w:t>locus standi</w:t>
      </w:r>
      <w:r w:rsidR="00F169FA" w:rsidRPr="009A7FA6">
        <w:rPr>
          <w:u w:val="none"/>
          <w:lang w:val="en-ZA"/>
        </w:rPr>
        <w:t xml:space="preserve"> should have been articulated in the founding affidavit</w:t>
      </w:r>
      <w:r w:rsidR="00FB4EF8" w:rsidRPr="009A7FA6">
        <w:rPr>
          <w:u w:val="none"/>
          <w:lang w:val="en-ZA"/>
        </w:rPr>
        <w:t xml:space="preserve">.  </w:t>
      </w:r>
      <w:r w:rsidR="00F169FA" w:rsidRPr="009A7FA6">
        <w:rPr>
          <w:u w:val="none"/>
          <w:lang w:val="en-ZA"/>
        </w:rPr>
        <w:t>It was not</w:t>
      </w:r>
      <w:r w:rsidR="00FB4EF8" w:rsidRPr="009A7FA6">
        <w:rPr>
          <w:u w:val="none"/>
          <w:lang w:val="en-ZA"/>
        </w:rPr>
        <w:t xml:space="preserve">.  </w:t>
      </w:r>
      <w:proofErr w:type="spellStart"/>
      <w:r w:rsidR="00FB4EF8" w:rsidRPr="009A7FA6">
        <w:rPr>
          <w:u w:val="none"/>
          <w:lang w:val="en-ZA"/>
        </w:rPr>
        <w:t>Goloda</w:t>
      </w:r>
      <w:proofErr w:type="spellEnd"/>
      <w:r w:rsidR="00F169FA" w:rsidRPr="009A7FA6">
        <w:rPr>
          <w:u w:val="none"/>
          <w:lang w:val="en-ZA"/>
        </w:rPr>
        <w:t xml:space="preserve"> does not have the </w:t>
      </w:r>
      <w:r w:rsidR="00F169FA" w:rsidRPr="009A7FA6">
        <w:rPr>
          <w:i/>
          <w:u w:val="none"/>
          <w:lang w:val="en-ZA"/>
        </w:rPr>
        <w:t>locus standi</w:t>
      </w:r>
      <w:r w:rsidR="00F169FA" w:rsidRPr="009A7FA6">
        <w:rPr>
          <w:u w:val="none"/>
          <w:lang w:val="en-ZA"/>
        </w:rPr>
        <w:t xml:space="preserve"> to bring these proceedings in her own name</w:t>
      </w:r>
      <w:r w:rsidR="00FB4EF8" w:rsidRPr="009A7FA6">
        <w:rPr>
          <w:u w:val="none"/>
          <w:lang w:val="en-ZA"/>
        </w:rPr>
        <w:t xml:space="preserve">.  </w:t>
      </w:r>
      <w:r w:rsidR="00F169FA" w:rsidRPr="009A7FA6">
        <w:rPr>
          <w:u w:val="none"/>
          <w:lang w:val="en-ZA"/>
        </w:rPr>
        <w:t>She is not the owner of the house</w:t>
      </w:r>
      <w:r w:rsidR="00FB4EF8" w:rsidRPr="009A7FA6">
        <w:rPr>
          <w:u w:val="none"/>
          <w:lang w:val="en-ZA"/>
        </w:rPr>
        <w:t xml:space="preserve">.  </w:t>
      </w:r>
      <w:r w:rsidR="00F169FA" w:rsidRPr="009A7FA6">
        <w:rPr>
          <w:u w:val="none"/>
          <w:lang w:val="en-ZA"/>
        </w:rPr>
        <w:t xml:space="preserve">The joint executors, </w:t>
      </w:r>
      <w:proofErr w:type="spellStart"/>
      <w:r w:rsidR="00F169FA" w:rsidRPr="009A7FA6">
        <w:rPr>
          <w:u w:val="none"/>
          <w:lang w:val="en-ZA"/>
        </w:rPr>
        <w:t>Koncoshe</w:t>
      </w:r>
      <w:proofErr w:type="spellEnd"/>
      <w:r w:rsidR="00F169FA" w:rsidRPr="009A7FA6">
        <w:rPr>
          <w:u w:val="none"/>
          <w:lang w:val="en-ZA"/>
        </w:rPr>
        <w:t xml:space="preserve"> and </w:t>
      </w:r>
      <w:proofErr w:type="spellStart"/>
      <w:r w:rsidR="00F169FA" w:rsidRPr="009A7FA6">
        <w:rPr>
          <w:u w:val="none"/>
          <w:lang w:val="en-ZA"/>
        </w:rPr>
        <w:t>Hoho</w:t>
      </w:r>
      <w:proofErr w:type="spellEnd"/>
      <w:r w:rsidR="00F169FA" w:rsidRPr="009A7FA6">
        <w:rPr>
          <w:u w:val="none"/>
          <w:lang w:val="en-ZA"/>
        </w:rPr>
        <w:t>, though</w:t>
      </w:r>
      <w:r w:rsidR="00FB4EF8" w:rsidRPr="009A7FA6">
        <w:rPr>
          <w:u w:val="none"/>
          <w:lang w:val="en-ZA"/>
        </w:rPr>
        <w:t xml:space="preserve"> </w:t>
      </w:r>
      <w:r w:rsidR="00DB230E" w:rsidRPr="009A7FA6">
        <w:rPr>
          <w:u w:val="none"/>
          <w:lang w:val="en-ZA"/>
        </w:rPr>
        <w:t xml:space="preserve">both the owners and </w:t>
      </w:r>
      <w:r w:rsidR="00F169FA" w:rsidRPr="009A7FA6">
        <w:rPr>
          <w:u w:val="none"/>
          <w:lang w:val="en-ZA"/>
        </w:rPr>
        <w:t>in charge of the house, are not parties in these proceedings</w:t>
      </w:r>
      <w:r w:rsidR="00FB4EF8" w:rsidRPr="009A7FA6">
        <w:rPr>
          <w:u w:val="none"/>
          <w:lang w:val="en-ZA"/>
        </w:rPr>
        <w:t xml:space="preserve">.  </w:t>
      </w:r>
      <w:r w:rsidR="00F169FA" w:rsidRPr="009A7FA6">
        <w:rPr>
          <w:u w:val="none"/>
          <w:lang w:val="en-ZA"/>
        </w:rPr>
        <w:t xml:space="preserve">While cited, they have not elected to </w:t>
      </w:r>
      <w:proofErr w:type="gramStart"/>
      <w:r w:rsidR="00F169FA" w:rsidRPr="009A7FA6">
        <w:rPr>
          <w:u w:val="none"/>
          <w:lang w:val="en-ZA"/>
        </w:rPr>
        <w:t>enter into</w:t>
      </w:r>
      <w:proofErr w:type="gramEnd"/>
      <w:r w:rsidR="00F169FA" w:rsidRPr="009A7FA6">
        <w:rPr>
          <w:u w:val="none"/>
          <w:lang w:val="en-ZA"/>
        </w:rPr>
        <w:t xml:space="preserve"> the fray.</w:t>
      </w:r>
    </w:p>
    <w:p w14:paraId="2F622B25" w14:textId="156EF0B1" w:rsidR="00A74F99" w:rsidRPr="009A7FA6" w:rsidRDefault="009A7FA6" w:rsidP="009A7FA6">
      <w:pPr>
        <w:tabs>
          <w:tab w:val="left" w:pos="851"/>
          <w:tab w:val="right" w:pos="8280"/>
        </w:tabs>
        <w:spacing w:before="480" w:line="480" w:lineRule="auto"/>
        <w:ind w:left="851" w:hanging="851"/>
        <w:jc w:val="both"/>
        <w:rPr>
          <w:u w:val="none"/>
          <w:lang w:val="en-ZA"/>
        </w:rPr>
      </w:pPr>
      <w:r>
        <w:rPr>
          <w:u w:val="none"/>
          <w:lang w:val="en-ZA"/>
        </w:rPr>
        <w:t>[24]</w:t>
      </w:r>
      <w:r>
        <w:rPr>
          <w:u w:val="none"/>
          <w:lang w:val="en-ZA"/>
        </w:rPr>
        <w:tab/>
      </w:r>
      <w:r w:rsidR="000F5097" w:rsidRPr="009A7FA6">
        <w:rPr>
          <w:u w:val="none"/>
          <w:lang w:val="en-ZA"/>
        </w:rPr>
        <w:t>This finding is dispositive of the matter.</w:t>
      </w:r>
    </w:p>
    <w:p w14:paraId="63735812" w14:textId="0C8A5059" w:rsidR="00A52125" w:rsidRPr="009A7FA6" w:rsidRDefault="009A7FA6" w:rsidP="009A7FA6">
      <w:pPr>
        <w:tabs>
          <w:tab w:val="left" w:pos="851"/>
          <w:tab w:val="right" w:pos="8280"/>
        </w:tabs>
        <w:spacing w:before="480" w:line="480" w:lineRule="auto"/>
        <w:ind w:left="851" w:hanging="851"/>
        <w:jc w:val="both"/>
        <w:rPr>
          <w:u w:val="none"/>
          <w:lang w:val="en-ZA"/>
        </w:rPr>
      </w:pPr>
      <w:r>
        <w:rPr>
          <w:u w:val="none"/>
          <w:lang w:val="en-ZA"/>
        </w:rPr>
        <w:lastRenderedPageBreak/>
        <w:t>[25]</w:t>
      </w:r>
      <w:r>
        <w:rPr>
          <w:u w:val="none"/>
          <w:lang w:val="en-ZA"/>
        </w:rPr>
        <w:tab/>
      </w:r>
      <w:r w:rsidR="000F5097" w:rsidRPr="009A7FA6">
        <w:rPr>
          <w:u w:val="none"/>
          <w:lang w:val="en-ZA"/>
        </w:rPr>
        <w:t xml:space="preserve">However, as the parties spent a considerable time in argument on the question whether </w:t>
      </w:r>
      <w:proofErr w:type="spellStart"/>
      <w:r w:rsidR="000F5097" w:rsidRPr="009A7FA6">
        <w:rPr>
          <w:u w:val="none"/>
          <w:lang w:val="en-ZA"/>
        </w:rPr>
        <w:t>Ntozini</w:t>
      </w:r>
      <w:proofErr w:type="spellEnd"/>
      <w:r w:rsidR="000F5097" w:rsidRPr="009A7FA6">
        <w:rPr>
          <w:u w:val="none"/>
          <w:lang w:val="en-ZA"/>
        </w:rPr>
        <w:t xml:space="preserve"> was in lawful occupation, I consider it prudent to consider the second leg of the requirement under PIE</w:t>
      </w:r>
      <w:r w:rsidR="00FB4EF8" w:rsidRPr="009A7FA6">
        <w:rPr>
          <w:u w:val="none"/>
          <w:lang w:val="en-ZA"/>
        </w:rPr>
        <w:t xml:space="preserve">.  </w:t>
      </w:r>
    </w:p>
    <w:p w14:paraId="1E7D3CD7" w14:textId="2E221BA0" w:rsidR="00A52125" w:rsidRPr="009A7FA6" w:rsidRDefault="009A7FA6" w:rsidP="009A7FA6">
      <w:pPr>
        <w:tabs>
          <w:tab w:val="left" w:pos="851"/>
          <w:tab w:val="right" w:pos="8280"/>
        </w:tabs>
        <w:spacing w:before="480" w:line="480" w:lineRule="auto"/>
        <w:ind w:left="851" w:hanging="851"/>
        <w:jc w:val="both"/>
        <w:rPr>
          <w:u w:val="none"/>
          <w:lang w:val="en-ZA"/>
        </w:rPr>
      </w:pPr>
      <w:r w:rsidRPr="0054134F">
        <w:rPr>
          <w:u w:val="none"/>
          <w:lang w:val="en-ZA"/>
        </w:rPr>
        <w:t>[26]</w:t>
      </w:r>
      <w:r w:rsidRPr="0054134F">
        <w:rPr>
          <w:u w:val="none"/>
          <w:lang w:val="en-ZA"/>
        </w:rPr>
        <w:tab/>
      </w:r>
      <w:proofErr w:type="spellStart"/>
      <w:r w:rsidR="00FB4EF8" w:rsidRPr="009A7FA6">
        <w:rPr>
          <w:u w:val="none"/>
          <w:lang w:val="en-ZA"/>
        </w:rPr>
        <w:t>Goloda</w:t>
      </w:r>
      <w:proofErr w:type="spellEnd"/>
      <w:r w:rsidR="00A52125" w:rsidRPr="009A7FA6">
        <w:rPr>
          <w:u w:val="none"/>
          <w:lang w:val="en-ZA"/>
        </w:rPr>
        <w:t xml:space="preserve"> contends that </w:t>
      </w:r>
      <w:proofErr w:type="spellStart"/>
      <w:r w:rsidR="00A52125" w:rsidRPr="009A7FA6">
        <w:rPr>
          <w:u w:val="none"/>
          <w:lang w:val="en-ZA"/>
        </w:rPr>
        <w:t>Ntozini</w:t>
      </w:r>
      <w:proofErr w:type="spellEnd"/>
      <w:r w:rsidR="00A52125" w:rsidRPr="009A7FA6">
        <w:rPr>
          <w:u w:val="none"/>
          <w:lang w:val="en-ZA"/>
        </w:rPr>
        <w:t xml:space="preserve"> had been granted a </w:t>
      </w:r>
      <w:proofErr w:type="spellStart"/>
      <w:r w:rsidR="00A52125" w:rsidRPr="009A7FA6">
        <w:rPr>
          <w:u w:val="none"/>
          <w:lang w:val="en-ZA"/>
        </w:rPr>
        <w:t>precarium</w:t>
      </w:r>
      <w:proofErr w:type="spellEnd"/>
      <w:r w:rsidR="00A52125" w:rsidRPr="009A7FA6">
        <w:rPr>
          <w:u w:val="none"/>
          <w:lang w:val="en-ZA"/>
        </w:rPr>
        <w:t xml:space="preserve"> by the deceased’s family to occupy the property, which was cancelled by written notice on 31 July 201</w:t>
      </w:r>
      <w:r w:rsidR="0074518F" w:rsidRPr="009A7FA6">
        <w:rPr>
          <w:u w:val="none"/>
          <w:lang w:val="en-ZA"/>
        </w:rPr>
        <w:t>8</w:t>
      </w:r>
      <w:r w:rsidR="0054134F" w:rsidRPr="009A7FA6">
        <w:rPr>
          <w:u w:val="none"/>
          <w:lang w:val="en-ZA"/>
        </w:rPr>
        <w:t xml:space="preserve"> (“2018 notice”)</w:t>
      </w:r>
      <w:r w:rsidR="00A52125" w:rsidRPr="009A7FA6">
        <w:rPr>
          <w:u w:val="none"/>
          <w:lang w:val="en-ZA"/>
        </w:rPr>
        <w:t>, alternatively, on 1 June 2019</w:t>
      </w:r>
      <w:r w:rsidR="0054134F" w:rsidRPr="009A7FA6">
        <w:rPr>
          <w:u w:val="none"/>
          <w:lang w:val="en-ZA"/>
        </w:rPr>
        <w:t xml:space="preserve"> (“the 2019 notice”)</w:t>
      </w:r>
      <w:r w:rsidR="00FB4EF8" w:rsidRPr="009A7FA6">
        <w:rPr>
          <w:u w:val="none"/>
          <w:lang w:val="en-ZA"/>
        </w:rPr>
        <w:t xml:space="preserve">.  </w:t>
      </w:r>
      <w:r w:rsidR="0054134F" w:rsidRPr="009A7FA6">
        <w:rPr>
          <w:u w:val="none"/>
          <w:lang w:val="en-ZA"/>
        </w:rPr>
        <w:t>The 2019 notice confirms the 2018 cancellation</w:t>
      </w:r>
      <w:r w:rsidR="00FB4EF8" w:rsidRPr="009A7FA6">
        <w:rPr>
          <w:u w:val="none"/>
          <w:lang w:val="en-ZA"/>
        </w:rPr>
        <w:t xml:space="preserve">.  </w:t>
      </w:r>
      <w:r w:rsidR="00A52125" w:rsidRPr="009A7FA6">
        <w:rPr>
          <w:u w:val="none"/>
          <w:lang w:val="en-ZA"/>
        </w:rPr>
        <w:t>The 2018 notice is not included in the papers</w:t>
      </w:r>
      <w:r w:rsidR="00FB4EF8" w:rsidRPr="009A7FA6">
        <w:rPr>
          <w:u w:val="none"/>
          <w:lang w:val="en-ZA"/>
        </w:rPr>
        <w:t xml:space="preserve">.  </w:t>
      </w:r>
      <w:r w:rsidR="00A52125" w:rsidRPr="009A7FA6">
        <w:rPr>
          <w:u w:val="none"/>
          <w:lang w:val="en-ZA"/>
        </w:rPr>
        <w:t xml:space="preserve">It is not clear whether that notice was given by </w:t>
      </w:r>
      <w:proofErr w:type="spellStart"/>
      <w:r w:rsidR="00FB4EF8" w:rsidRPr="009A7FA6">
        <w:rPr>
          <w:u w:val="none"/>
          <w:lang w:val="en-ZA"/>
        </w:rPr>
        <w:t>Goloda</w:t>
      </w:r>
      <w:proofErr w:type="spellEnd"/>
      <w:r w:rsidR="00A52125" w:rsidRPr="009A7FA6">
        <w:rPr>
          <w:u w:val="none"/>
          <w:lang w:val="en-ZA"/>
        </w:rPr>
        <w:t xml:space="preserve"> or the joint executors of the deceased estate</w:t>
      </w:r>
      <w:r w:rsidR="00FB4EF8" w:rsidRPr="009A7FA6">
        <w:rPr>
          <w:u w:val="none"/>
          <w:lang w:val="en-ZA"/>
        </w:rPr>
        <w:t xml:space="preserve">.  </w:t>
      </w:r>
    </w:p>
    <w:p w14:paraId="3D2219EA" w14:textId="469CBC5A" w:rsidR="00984176" w:rsidRPr="009A7FA6" w:rsidRDefault="009A7FA6" w:rsidP="009A7FA6">
      <w:pPr>
        <w:tabs>
          <w:tab w:val="left" w:pos="851"/>
          <w:tab w:val="right" w:pos="8280"/>
        </w:tabs>
        <w:spacing w:before="480" w:line="480" w:lineRule="auto"/>
        <w:ind w:left="851" w:hanging="851"/>
        <w:jc w:val="both"/>
        <w:rPr>
          <w:u w:val="none"/>
          <w:lang w:val="en-ZA"/>
        </w:rPr>
      </w:pPr>
      <w:r w:rsidRPr="00CD3F87">
        <w:rPr>
          <w:u w:val="none"/>
          <w:lang w:val="en-ZA"/>
        </w:rPr>
        <w:t>[27]</w:t>
      </w:r>
      <w:r w:rsidRPr="00CD3F87">
        <w:rPr>
          <w:u w:val="none"/>
          <w:lang w:val="en-ZA"/>
        </w:rPr>
        <w:tab/>
      </w:r>
      <w:proofErr w:type="spellStart"/>
      <w:r w:rsidR="00A52125" w:rsidRPr="009A7FA6">
        <w:rPr>
          <w:u w:val="none"/>
          <w:lang w:val="en-ZA"/>
        </w:rPr>
        <w:t>Ntozini</w:t>
      </w:r>
      <w:proofErr w:type="spellEnd"/>
      <w:r w:rsidR="00A52125" w:rsidRPr="009A7FA6">
        <w:rPr>
          <w:u w:val="none"/>
          <w:lang w:val="en-ZA"/>
        </w:rPr>
        <w:t xml:space="preserve"> acknowledges that he received the letter in 2019 but denies that he was </w:t>
      </w:r>
      <w:r w:rsidR="00A2256B" w:rsidRPr="009A7FA6">
        <w:rPr>
          <w:u w:val="none"/>
          <w:lang w:val="en-ZA"/>
        </w:rPr>
        <w:t xml:space="preserve">ever </w:t>
      </w:r>
      <w:r w:rsidR="00A52125" w:rsidRPr="009A7FA6">
        <w:rPr>
          <w:u w:val="none"/>
          <w:lang w:val="en-ZA"/>
        </w:rPr>
        <w:t xml:space="preserve">granted a </w:t>
      </w:r>
      <w:proofErr w:type="spellStart"/>
      <w:r w:rsidR="00A52125" w:rsidRPr="009A7FA6">
        <w:rPr>
          <w:u w:val="none"/>
          <w:lang w:val="en-ZA"/>
        </w:rPr>
        <w:t>precarium</w:t>
      </w:r>
      <w:proofErr w:type="spellEnd"/>
      <w:r w:rsidR="00FB4EF8" w:rsidRPr="009A7FA6">
        <w:rPr>
          <w:u w:val="none"/>
          <w:lang w:val="en-ZA"/>
        </w:rPr>
        <w:t xml:space="preserve">.  </w:t>
      </w:r>
      <w:r w:rsidR="00A52125" w:rsidRPr="009A7FA6">
        <w:rPr>
          <w:u w:val="none"/>
          <w:lang w:val="en-ZA"/>
        </w:rPr>
        <w:t xml:space="preserve">A </w:t>
      </w:r>
      <w:proofErr w:type="spellStart"/>
      <w:r w:rsidR="00A52125" w:rsidRPr="009A7FA6">
        <w:rPr>
          <w:u w:val="none"/>
          <w:lang w:val="en-ZA"/>
        </w:rPr>
        <w:t>precari</w:t>
      </w:r>
      <w:r w:rsidR="00D26527" w:rsidRPr="009A7FA6">
        <w:rPr>
          <w:u w:val="none"/>
          <w:lang w:val="en-ZA"/>
        </w:rPr>
        <w:t>st</w:t>
      </w:r>
      <w:proofErr w:type="spellEnd"/>
      <w:r w:rsidR="00A52125" w:rsidRPr="009A7FA6">
        <w:rPr>
          <w:u w:val="none"/>
          <w:lang w:val="en-ZA"/>
        </w:rPr>
        <w:t xml:space="preserve"> in Roman Dutch law</w:t>
      </w:r>
      <w:r w:rsidR="00E547E3" w:rsidRPr="009A7FA6">
        <w:rPr>
          <w:u w:val="none"/>
          <w:lang w:val="en-ZA"/>
        </w:rPr>
        <w:t xml:space="preserve"> is a person who occupies another’s land gratui</w:t>
      </w:r>
      <w:r w:rsidR="001641E8" w:rsidRPr="009A7FA6">
        <w:rPr>
          <w:u w:val="none"/>
          <w:lang w:val="en-ZA"/>
        </w:rPr>
        <w:t xml:space="preserve">tously but subject to the owner’s revocable </w:t>
      </w:r>
      <w:r w:rsidR="00DE0CBF" w:rsidRPr="009A7FA6">
        <w:rPr>
          <w:u w:val="none"/>
          <w:lang w:val="en-ZA"/>
        </w:rPr>
        <w:t>permission</w:t>
      </w:r>
      <w:r w:rsidR="00A52125" w:rsidRPr="009A7FA6">
        <w:rPr>
          <w:u w:val="none"/>
          <w:lang w:val="en-ZA"/>
        </w:rPr>
        <w:t>.</w:t>
      </w:r>
      <w:r w:rsidR="00A52125">
        <w:rPr>
          <w:rStyle w:val="FootnoteReference"/>
          <w:u w:val="none"/>
          <w:lang w:val="en-ZA"/>
        </w:rPr>
        <w:footnoteReference w:id="7"/>
      </w:r>
      <w:r w:rsidR="002D6F2A" w:rsidRPr="009A7FA6">
        <w:rPr>
          <w:u w:val="none"/>
          <w:lang w:val="en-ZA"/>
        </w:rPr>
        <w:t xml:space="preserve"> </w:t>
      </w:r>
    </w:p>
    <w:p w14:paraId="641E0793" w14:textId="6248BFC9" w:rsidR="000F5097" w:rsidRPr="009A7FA6" w:rsidRDefault="009A7FA6" w:rsidP="009A7FA6">
      <w:pPr>
        <w:tabs>
          <w:tab w:val="left" w:pos="851"/>
          <w:tab w:val="right" w:pos="8280"/>
        </w:tabs>
        <w:spacing w:before="480" w:line="480" w:lineRule="auto"/>
        <w:ind w:left="851" w:hanging="851"/>
        <w:jc w:val="both"/>
        <w:rPr>
          <w:u w:val="none"/>
          <w:lang w:val="en-ZA"/>
        </w:rPr>
      </w:pPr>
      <w:r w:rsidRPr="003A3EFD">
        <w:rPr>
          <w:u w:val="none"/>
          <w:lang w:val="en-ZA"/>
        </w:rPr>
        <w:t>[28]</w:t>
      </w:r>
      <w:r w:rsidRPr="003A3EFD">
        <w:rPr>
          <w:u w:val="none"/>
          <w:lang w:val="en-ZA"/>
        </w:rPr>
        <w:tab/>
      </w:r>
      <w:proofErr w:type="spellStart"/>
      <w:r w:rsidR="00A52125" w:rsidRPr="009A7FA6">
        <w:rPr>
          <w:u w:val="none"/>
          <w:lang w:val="en-ZA"/>
        </w:rPr>
        <w:t>Ntozini</w:t>
      </w:r>
      <w:proofErr w:type="spellEnd"/>
      <w:r w:rsidR="00A52125" w:rsidRPr="009A7FA6">
        <w:rPr>
          <w:u w:val="none"/>
          <w:lang w:val="en-ZA"/>
        </w:rPr>
        <w:t xml:space="preserve"> contends that he had the consent of</w:t>
      </w:r>
      <w:r w:rsidR="00FB4EF8" w:rsidRPr="009A7FA6">
        <w:rPr>
          <w:u w:val="none"/>
          <w:lang w:val="en-ZA"/>
        </w:rPr>
        <w:t xml:space="preserve"> </w:t>
      </w:r>
      <w:proofErr w:type="spellStart"/>
      <w:r w:rsidR="00984176" w:rsidRPr="009A7FA6">
        <w:rPr>
          <w:u w:val="none"/>
          <w:lang w:val="en-ZA"/>
        </w:rPr>
        <w:t>Vuyiseli</w:t>
      </w:r>
      <w:proofErr w:type="spellEnd"/>
      <w:r w:rsidR="00984176" w:rsidRPr="009A7FA6">
        <w:rPr>
          <w:u w:val="none"/>
          <w:lang w:val="en-ZA"/>
        </w:rPr>
        <w:t xml:space="preserve">, </w:t>
      </w:r>
      <w:r w:rsidR="00A52125" w:rsidRPr="009A7FA6">
        <w:rPr>
          <w:u w:val="none"/>
          <w:lang w:val="en-ZA"/>
        </w:rPr>
        <w:t xml:space="preserve">who </w:t>
      </w:r>
      <w:proofErr w:type="gramStart"/>
      <w:r w:rsidR="00A52125" w:rsidRPr="009A7FA6">
        <w:rPr>
          <w:u w:val="none"/>
          <w:lang w:val="en-ZA"/>
        </w:rPr>
        <w:t>was in charge of</w:t>
      </w:r>
      <w:proofErr w:type="gramEnd"/>
      <w:r w:rsidR="00A52125" w:rsidRPr="009A7FA6">
        <w:rPr>
          <w:u w:val="none"/>
          <w:lang w:val="en-ZA"/>
        </w:rPr>
        <w:t xml:space="preserve"> the house in 2002, to live in the house</w:t>
      </w:r>
      <w:r w:rsidR="009D5D47" w:rsidRPr="009A7FA6">
        <w:rPr>
          <w:u w:val="none"/>
          <w:lang w:val="en-ZA"/>
        </w:rPr>
        <w:t xml:space="preserve"> </w:t>
      </w:r>
      <w:r w:rsidR="00FF15A3" w:rsidRPr="009A7FA6">
        <w:rPr>
          <w:u w:val="none"/>
          <w:lang w:val="en-ZA"/>
        </w:rPr>
        <w:t xml:space="preserve">as </w:t>
      </w:r>
      <w:proofErr w:type="spellStart"/>
      <w:r w:rsidR="00FF15A3" w:rsidRPr="009A7FA6">
        <w:rPr>
          <w:u w:val="none"/>
          <w:lang w:val="en-ZA"/>
        </w:rPr>
        <w:t>Ntozini</w:t>
      </w:r>
      <w:proofErr w:type="spellEnd"/>
      <w:r w:rsidR="009D5D47" w:rsidRPr="009A7FA6">
        <w:rPr>
          <w:u w:val="none"/>
          <w:lang w:val="en-ZA"/>
        </w:rPr>
        <w:t xml:space="preserve"> had found it</w:t>
      </w:r>
      <w:r w:rsidR="00FB4EF8" w:rsidRPr="009A7FA6">
        <w:rPr>
          <w:u w:val="none"/>
          <w:lang w:val="en-ZA"/>
        </w:rPr>
        <w:t>.</w:t>
      </w:r>
      <w:r w:rsidR="00C81FF8" w:rsidRPr="009A7FA6">
        <w:rPr>
          <w:u w:val="none"/>
          <w:lang w:val="en-ZA"/>
        </w:rPr>
        <w:t xml:space="preserve"> </w:t>
      </w:r>
      <w:proofErr w:type="spellStart"/>
      <w:r w:rsidR="00D45572" w:rsidRPr="009A7FA6">
        <w:rPr>
          <w:u w:val="none"/>
          <w:lang w:val="en-ZA"/>
        </w:rPr>
        <w:t>Ntozini</w:t>
      </w:r>
      <w:proofErr w:type="spellEnd"/>
      <w:r w:rsidR="00D45572" w:rsidRPr="009A7FA6">
        <w:rPr>
          <w:u w:val="none"/>
          <w:lang w:val="en-ZA"/>
        </w:rPr>
        <w:t xml:space="preserve"> effected repairs to </w:t>
      </w:r>
      <w:r w:rsidR="008C2B9A" w:rsidRPr="009A7FA6">
        <w:rPr>
          <w:u w:val="none"/>
          <w:lang w:val="en-ZA"/>
        </w:rPr>
        <w:t xml:space="preserve">the house. </w:t>
      </w:r>
      <w:proofErr w:type="spellStart"/>
      <w:r w:rsidR="008C2B9A" w:rsidRPr="009A7FA6">
        <w:rPr>
          <w:u w:val="none"/>
          <w:lang w:val="en-ZA"/>
        </w:rPr>
        <w:t>Ntozini</w:t>
      </w:r>
      <w:proofErr w:type="spellEnd"/>
      <w:r w:rsidR="008C2B9A" w:rsidRPr="009A7FA6">
        <w:rPr>
          <w:u w:val="none"/>
          <w:lang w:val="en-ZA"/>
        </w:rPr>
        <w:t xml:space="preserve"> settled the municipal</w:t>
      </w:r>
      <w:r w:rsidR="00885D61" w:rsidRPr="009A7FA6">
        <w:rPr>
          <w:u w:val="none"/>
          <w:lang w:val="en-ZA"/>
        </w:rPr>
        <w:t xml:space="preserve"> arrears.</w:t>
      </w:r>
      <w:r w:rsidR="00FB4EF8" w:rsidRPr="009A7FA6">
        <w:rPr>
          <w:u w:val="none"/>
          <w:lang w:val="en-ZA"/>
        </w:rPr>
        <w:t xml:space="preserve"> </w:t>
      </w:r>
      <w:proofErr w:type="spellStart"/>
      <w:r w:rsidR="003A3EFD" w:rsidRPr="009A7FA6">
        <w:rPr>
          <w:u w:val="none"/>
          <w:lang w:val="en-ZA"/>
        </w:rPr>
        <w:t>Vuyis</w:t>
      </w:r>
      <w:r w:rsidR="00EE7968" w:rsidRPr="009A7FA6">
        <w:rPr>
          <w:u w:val="none"/>
          <w:lang w:val="en-ZA"/>
        </w:rPr>
        <w:t>eli</w:t>
      </w:r>
      <w:proofErr w:type="spellEnd"/>
      <w:r w:rsidR="00EE7968" w:rsidRPr="009A7FA6">
        <w:rPr>
          <w:u w:val="none"/>
          <w:lang w:val="en-ZA"/>
        </w:rPr>
        <w:t xml:space="preserve"> </w:t>
      </w:r>
      <w:r w:rsidR="000F5097" w:rsidRPr="009A7FA6">
        <w:rPr>
          <w:u w:val="none"/>
          <w:lang w:val="en-ZA"/>
        </w:rPr>
        <w:t>confirmed</w:t>
      </w:r>
      <w:r w:rsidR="00FB4EF8" w:rsidRPr="009A7FA6">
        <w:rPr>
          <w:u w:val="none"/>
          <w:lang w:val="en-ZA"/>
        </w:rPr>
        <w:t xml:space="preserve"> </w:t>
      </w:r>
      <w:r w:rsidR="00EE7968" w:rsidRPr="009A7FA6">
        <w:rPr>
          <w:u w:val="none"/>
          <w:lang w:val="en-ZA"/>
        </w:rPr>
        <w:t xml:space="preserve">this </w:t>
      </w:r>
      <w:r w:rsidR="000F5097" w:rsidRPr="009A7FA6">
        <w:rPr>
          <w:u w:val="none"/>
          <w:lang w:val="en-ZA"/>
        </w:rPr>
        <w:t>under oath in 2014</w:t>
      </w:r>
      <w:r w:rsidR="00FB4EF8" w:rsidRPr="009A7FA6">
        <w:rPr>
          <w:u w:val="none"/>
          <w:lang w:val="en-ZA"/>
        </w:rPr>
        <w:t xml:space="preserve">.  </w:t>
      </w:r>
      <w:proofErr w:type="spellStart"/>
      <w:r w:rsidR="00A52125" w:rsidRPr="009A7FA6">
        <w:rPr>
          <w:u w:val="none"/>
          <w:lang w:val="en-ZA"/>
        </w:rPr>
        <w:t>Goloda</w:t>
      </w:r>
      <w:proofErr w:type="spellEnd"/>
      <w:r w:rsidR="00A52125" w:rsidRPr="009A7FA6">
        <w:rPr>
          <w:u w:val="none"/>
          <w:lang w:val="en-ZA"/>
        </w:rPr>
        <w:t xml:space="preserve"> does not dispute this</w:t>
      </w:r>
      <w:r w:rsidR="00FB4EF8" w:rsidRPr="009A7FA6">
        <w:rPr>
          <w:u w:val="none"/>
          <w:lang w:val="en-ZA"/>
        </w:rPr>
        <w:t xml:space="preserve">.  </w:t>
      </w:r>
      <w:proofErr w:type="spellStart"/>
      <w:r w:rsidR="009F0780" w:rsidRPr="009A7FA6">
        <w:rPr>
          <w:u w:val="none"/>
          <w:lang w:val="en-ZA"/>
        </w:rPr>
        <w:t>Ntozini</w:t>
      </w:r>
      <w:proofErr w:type="spellEnd"/>
      <w:r w:rsidR="009F0780" w:rsidRPr="009A7FA6">
        <w:rPr>
          <w:u w:val="none"/>
          <w:lang w:val="en-ZA"/>
        </w:rPr>
        <w:t xml:space="preserve"> denies he is in unlawful occupation.</w:t>
      </w:r>
    </w:p>
    <w:p w14:paraId="59FB0A59" w14:textId="3963BDF7" w:rsidR="00A52125" w:rsidRPr="009A7FA6" w:rsidRDefault="009A7FA6" w:rsidP="009A7FA6">
      <w:pPr>
        <w:tabs>
          <w:tab w:val="left" w:pos="851"/>
          <w:tab w:val="right" w:pos="8280"/>
        </w:tabs>
        <w:spacing w:before="480" w:line="480" w:lineRule="auto"/>
        <w:ind w:left="851" w:hanging="851"/>
        <w:jc w:val="both"/>
        <w:rPr>
          <w:u w:val="none"/>
          <w:lang w:val="en-ZA"/>
        </w:rPr>
      </w:pPr>
      <w:r>
        <w:rPr>
          <w:u w:val="none"/>
          <w:lang w:val="en-ZA"/>
        </w:rPr>
        <w:lastRenderedPageBreak/>
        <w:t>[29]</w:t>
      </w:r>
      <w:r>
        <w:rPr>
          <w:u w:val="none"/>
          <w:lang w:val="en-ZA"/>
        </w:rPr>
        <w:tab/>
      </w:r>
      <w:proofErr w:type="spellStart"/>
      <w:r w:rsidR="00FB4EF8" w:rsidRPr="009A7FA6">
        <w:rPr>
          <w:u w:val="none"/>
          <w:lang w:val="en-ZA"/>
        </w:rPr>
        <w:t>Goloda</w:t>
      </w:r>
      <w:proofErr w:type="spellEnd"/>
      <w:r w:rsidR="00D80B3E" w:rsidRPr="009A7FA6">
        <w:rPr>
          <w:u w:val="none"/>
          <w:lang w:val="en-ZA"/>
        </w:rPr>
        <w:t xml:space="preserve"> </w:t>
      </w:r>
      <w:r w:rsidR="000F5097" w:rsidRPr="009A7FA6">
        <w:rPr>
          <w:u w:val="none"/>
          <w:lang w:val="en-ZA"/>
        </w:rPr>
        <w:t xml:space="preserve">was aware, at the launch of these proceedings in March 2022, that the </w:t>
      </w:r>
      <w:r w:rsidR="00FE21BA" w:rsidRPr="009A7FA6">
        <w:rPr>
          <w:u w:val="none"/>
          <w:lang w:val="en-ZA"/>
        </w:rPr>
        <w:t xml:space="preserve">question </w:t>
      </w:r>
      <w:r w:rsidR="000F5097" w:rsidRPr="009A7FA6">
        <w:rPr>
          <w:u w:val="none"/>
          <w:lang w:val="en-ZA"/>
        </w:rPr>
        <w:t xml:space="preserve">of </w:t>
      </w:r>
      <w:proofErr w:type="spellStart"/>
      <w:r w:rsidR="006206CA" w:rsidRPr="009A7FA6">
        <w:rPr>
          <w:u w:val="none"/>
          <w:lang w:val="en-ZA"/>
        </w:rPr>
        <w:t>Ntozini</w:t>
      </w:r>
      <w:proofErr w:type="spellEnd"/>
      <w:r w:rsidR="006206CA" w:rsidRPr="009A7FA6">
        <w:rPr>
          <w:u w:val="none"/>
          <w:lang w:val="en-ZA"/>
        </w:rPr>
        <w:t xml:space="preserve"> ‘s</w:t>
      </w:r>
      <w:r w:rsidR="000F5097" w:rsidRPr="009A7FA6">
        <w:rPr>
          <w:u w:val="none"/>
          <w:lang w:val="en-ZA"/>
        </w:rPr>
        <w:t xml:space="preserve"> lawful occupation was a disputed one</w:t>
      </w:r>
      <w:r w:rsidR="00FB4EF8" w:rsidRPr="009A7FA6">
        <w:rPr>
          <w:u w:val="none"/>
          <w:lang w:val="en-ZA"/>
        </w:rPr>
        <w:t xml:space="preserve">.  </w:t>
      </w:r>
      <w:r w:rsidR="00123159" w:rsidRPr="009A7FA6">
        <w:rPr>
          <w:u w:val="none"/>
          <w:lang w:val="en-ZA"/>
        </w:rPr>
        <w:t xml:space="preserve">This notwithstanding </w:t>
      </w:r>
      <w:r w:rsidR="005946A5" w:rsidRPr="009A7FA6">
        <w:rPr>
          <w:u w:val="none"/>
          <w:lang w:val="en-ZA"/>
        </w:rPr>
        <w:t>elected</w:t>
      </w:r>
      <w:r w:rsidR="00123159" w:rsidRPr="009A7FA6">
        <w:rPr>
          <w:u w:val="none"/>
          <w:lang w:val="en-ZA"/>
        </w:rPr>
        <w:t xml:space="preserve"> to in</w:t>
      </w:r>
      <w:r w:rsidR="005946A5" w:rsidRPr="009A7FA6">
        <w:rPr>
          <w:u w:val="none"/>
          <w:lang w:val="en-ZA"/>
        </w:rPr>
        <w:t>s</w:t>
      </w:r>
      <w:r w:rsidR="00123159" w:rsidRPr="009A7FA6">
        <w:rPr>
          <w:u w:val="none"/>
          <w:lang w:val="en-ZA"/>
        </w:rPr>
        <w:t>titute motion and</w:t>
      </w:r>
      <w:r w:rsidR="005946A5" w:rsidRPr="009A7FA6">
        <w:rPr>
          <w:u w:val="none"/>
          <w:lang w:val="en-ZA"/>
        </w:rPr>
        <w:t xml:space="preserve"> not action proceedings where the dispute could be </w:t>
      </w:r>
      <w:r w:rsidR="00A72388" w:rsidRPr="009A7FA6">
        <w:rPr>
          <w:u w:val="none"/>
          <w:lang w:val="en-ZA"/>
        </w:rPr>
        <w:t>adequately ventilated</w:t>
      </w:r>
      <w:r w:rsidR="00FB4EF8" w:rsidRPr="009A7FA6">
        <w:rPr>
          <w:u w:val="none"/>
          <w:lang w:val="en-ZA"/>
        </w:rPr>
        <w:t xml:space="preserve">.  </w:t>
      </w:r>
    </w:p>
    <w:p w14:paraId="236A4210" w14:textId="786AA67E" w:rsidR="001C47A3" w:rsidRPr="009A7FA6" w:rsidRDefault="009A7FA6" w:rsidP="009A7FA6">
      <w:pPr>
        <w:tabs>
          <w:tab w:val="left" w:pos="851"/>
          <w:tab w:val="right" w:pos="8280"/>
        </w:tabs>
        <w:spacing w:before="480" w:line="480" w:lineRule="auto"/>
        <w:ind w:left="851" w:hanging="851"/>
        <w:jc w:val="both"/>
        <w:rPr>
          <w:u w:val="none"/>
          <w:lang w:val="en-ZA"/>
        </w:rPr>
      </w:pPr>
      <w:r>
        <w:rPr>
          <w:u w:val="none"/>
          <w:lang w:val="en-ZA"/>
        </w:rPr>
        <w:t>[30]</w:t>
      </w:r>
      <w:r>
        <w:rPr>
          <w:u w:val="none"/>
          <w:lang w:val="en-ZA"/>
        </w:rPr>
        <w:tab/>
      </w:r>
      <w:r w:rsidR="000F5097" w:rsidRPr="009A7FA6">
        <w:rPr>
          <w:u w:val="none"/>
          <w:lang w:val="en-ZA"/>
        </w:rPr>
        <w:t>I</w:t>
      </w:r>
      <w:r w:rsidR="00D80B3E" w:rsidRPr="009A7FA6">
        <w:rPr>
          <w:u w:val="none"/>
          <w:lang w:val="en-ZA"/>
        </w:rPr>
        <w:t>f</w:t>
      </w:r>
      <w:r w:rsidR="000F5097" w:rsidRPr="009A7FA6">
        <w:rPr>
          <w:u w:val="none"/>
          <w:lang w:val="en-ZA"/>
        </w:rPr>
        <w:t xml:space="preserve"> I take the facts in the founding affidavit as admitted in the answering </w:t>
      </w:r>
      <w:proofErr w:type="gramStart"/>
      <w:r w:rsidR="000F5097" w:rsidRPr="009A7FA6">
        <w:rPr>
          <w:u w:val="none"/>
          <w:lang w:val="en-ZA"/>
        </w:rPr>
        <w:t xml:space="preserve">affidavit </w:t>
      </w:r>
      <w:r w:rsidR="009D4D29" w:rsidRPr="009A7FA6">
        <w:rPr>
          <w:u w:val="none"/>
          <w:lang w:val="en-ZA"/>
        </w:rPr>
        <w:t xml:space="preserve"> then</w:t>
      </w:r>
      <w:proofErr w:type="gramEnd"/>
      <w:r w:rsidR="009D4D29" w:rsidRPr="009A7FA6">
        <w:rPr>
          <w:u w:val="none"/>
          <w:lang w:val="en-ZA"/>
        </w:rPr>
        <w:t xml:space="preserve"> </w:t>
      </w:r>
      <w:r w:rsidR="000F5097" w:rsidRPr="009A7FA6">
        <w:rPr>
          <w:u w:val="none"/>
          <w:lang w:val="en-ZA"/>
        </w:rPr>
        <w:t xml:space="preserve">by application of the </w:t>
      </w:r>
      <w:proofErr w:type="spellStart"/>
      <w:r w:rsidR="000F5097" w:rsidRPr="009A7FA6">
        <w:rPr>
          <w:i/>
          <w:u w:val="none"/>
          <w:lang w:val="en-ZA"/>
        </w:rPr>
        <w:t>Plascon</w:t>
      </w:r>
      <w:proofErr w:type="spellEnd"/>
      <w:r w:rsidR="000F5097" w:rsidRPr="009A7FA6">
        <w:rPr>
          <w:i/>
          <w:u w:val="none"/>
          <w:lang w:val="en-ZA"/>
        </w:rPr>
        <w:t>-Evans</w:t>
      </w:r>
      <w:r w:rsidR="000F5097" w:rsidRPr="009A7FA6">
        <w:rPr>
          <w:u w:val="none"/>
          <w:lang w:val="en-ZA"/>
        </w:rPr>
        <w:t xml:space="preserve"> principle</w:t>
      </w:r>
      <w:r w:rsidR="00FB4EF8" w:rsidRPr="009A7FA6">
        <w:rPr>
          <w:u w:val="none"/>
          <w:lang w:val="en-ZA"/>
        </w:rPr>
        <w:t>,</w:t>
      </w:r>
      <w:r w:rsidR="007B5313">
        <w:rPr>
          <w:rStyle w:val="FootnoteReference"/>
          <w:u w:val="none"/>
          <w:lang w:val="en-ZA"/>
        </w:rPr>
        <w:footnoteReference w:id="8"/>
      </w:r>
      <w:r w:rsidR="000F5097" w:rsidRPr="009A7FA6">
        <w:rPr>
          <w:u w:val="none"/>
          <w:lang w:val="en-ZA"/>
        </w:rPr>
        <w:t xml:space="preserve"> </w:t>
      </w:r>
      <w:proofErr w:type="spellStart"/>
      <w:r w:rsidR="00FB4EF8" w:rsidRPr="009A7FA6">
        <w:rPr>
          <w:u w:val="none"/>
          <w:lang w:val="en-ZA"/>
        </w:rPr>
        <w:t>Goloda</w:t>
      </w:r>
      <w:proofErr w:type="spellEnd"/>
      <w:r w:rsidR="00620C09" w:rsidRPr="009A7FA6">
        <w:rPr>
          <w:u w:val="none"/>
          <w:lang w:val="en-ZA"/>
        </w:rPr>
        <w:t xml:space="preserve"> </w:t>
      </w:r>
      <w:r w:rsidR="000F5097" w:rsidRPr="009A7FA6">
        <w:rPr>
          <w:u w:val="none"/>
          <w:lang w:val="en-ZA"/>
        </w:rPr>
        <w:t xml:space="preserve">has failed to show that </w:t>
      </w:r>
      <w:proofErr w:type="spellStart"/>
      <w:r w:rsidR="000F5097" w:rsidRPr="009A7FA6">
        <w:rPr>
          <w:u w:val="none"/>
          <w:lang w:val="en-ZA"/>
        </w:rPr>
        <w:t>Ntozini</w:t>
      </w:r>
      <w:proofErr w:type="spellEnd"/>
      <w:r w:rsidR="000F5097" w:rsidRPr="009A7FA6">
        <w:rPr>
          <w:u w:val="none"/>
          <w:lang w:val="en-ZA"/>
        </w:rPr>
        <w:t xml:space="preserve"> is in unlawful occupation</w:t>
      </w:r>
      <w:r w:rsidR="00FB4EF8" w:rsidRPr="009A7FA6">
        <w:rPr>
          <w:u w:val="none"/>
          <w:lang w:val="en-ZA"/>
        </w:rPr>
        <w:t xml:space="preserve">.  </w:t>
      </w:r>
      <w:r w:rsidR="000F5097" w:rsidRPr="009A7FA6">
        <w:rPr>
          <w:u w:val="none"/>
          <w:lang w:val="en-ZA"/>
        </w:rPr>
        <w:t>Moreover,</w:t>
      </w:r>
      <w:r w:rsidR="0046608E" w:rsidRPr="009A7FA6">
        <w:rPr>
          <w:u w:val="none"/>
          <w:lang w:val="en-ZA"/>
        </w:rPr>
        <w:t xml:space="preserve"> s</w:t>
      </w:r>
      <w:r w:rsidR="00425775" w:rsidRPr="009A7FA6">
        <w:rPr>
          <w:u w:val="none"/>
          <w:lang w:val="en-ZA"/>
        </w:rPr>
        <w:t>uch contention</w:t>
      </w:r>
      <w:r w:rsidR="0046608E" w:rsidRPr="009A7FA6">
        <w:rPr>
          <w:u w:val="none"/>
          <w:lang w:val="en-ZA"/>
        </w:rPr>
        <w:t xml:space="preserve">s of </w:t>
      </w:r>
      <w:proofErr w:type="spellStart"/>
      <w:r w:rsidR="006206CA" w:rsidRPr="009A7FA6">
        <w:rPr>
          <w:u w:val="none"/>
          <w:lang w:val="en-ZA"/>
        </w:rPr>
        <w:t>Ntozini</w:t>
      </w:r>
      <w:proofErr w:type="spellEnd"/>
      <w:r w:rsidR="006206CA" w:rsidRPr="009A7FA6">
        <w:rPr>
          <w:u w:val="none"/>
          <w:lang w:val="en-ZA"/>
        </w:rPr>
        <w:t xml:space="preserve"> ‘s</w:t>
      </w:r>
      <w:r w:rsidR="0046608E" w:rsidRPr="009A7FA6">
        <w:rPr>
          <w:u w:val="none"/>
          <w:lang w:val="en-ZA"/>
        </w:rPr>
        <w:t xml:space="preserve"> unlawful occupation</w:t>
      </w:r>
      <w:r w:rsidR="00425775" w:rsidRPr="009A7FA6">
        <w:rPr>
          <w:u w:val="none"/>
          <w:lang w:val="en-ZA"/>
        </w:rPr>
        <w:t xml:space="preserve"> that there are</w:t>
      </w:r>
      <w:r w:rsidR="0046608E" w:rsidRPr="009A7FA6">
        <w:rPr>
          <w:u w:val="none"/>
          <w:lang w:val="en-ZA"/>
        </w:rPr>
        <w:t xml:space="preserve"> in the founding affidavit</w:t>
      </w:r>
      <w:r w:rsidR="00D61A7E" w:rsidRPr="009A7FA6">
        <w:rPr>
          <w:u w:val="none"/>
          <w:lang w:val="en-ZA"/>
        </w:rPr>
        <w:t xml:space="preserve"> are</w:t>
      </w:r>
      <w:r w:rsidR="000F5097" w:rsidRPr="009A7FA6">
        <w:rPr>
          <w:u w:val="none"/>
          <w:lang w:val="en-ZA"/>
        </w:rPr>
        <w:t xml:space="preserve"> hearsay</w:t>
      </w:r>
      <w:r w:rsidR="00FB4EF8" w:rsidRPr="009A7FA6">
        <w:rPr>
          <w:u w:val="none"/>
          <w:lang w:val="en-ZA"/>
        </w:rPr>
        <w:t xml:space="preserve">.  </w:t>
      </w:r>
      <w:proofErr w:type="spellStart"/>
      <w:r w:rsidR="00D61A7E" w:rsidRPr="009A7FA6">
        <w:rPr>
          <w:u w:val="none"/>
          <w:lang w:val="en-ZA"/>
        </w:rPr>
        <w:t>Hoho’s</w:t>
      </w:r>
      <w:proofErr w:type="spellEnd"/>
      <w:r w:rsidR="00FB4EF8" w:rsidRPr="009A7FA6">
        <w:rPr>
          <w:u w:val="none"/>
          <w:lang w:val="en-ZA"/>
        </w:rPr>
        <w:t xml:space="preserve"> </w:t>
      </w:r>
      <w:r w:rsidR="000F5097" w:rsidRPr="009A7FA6">
        <w:rPr>
          <w:u w:val="none"/>
          <w:lang w:val="en-ZA"/>
        </w:rPr>
        <w:t>confirmatory affidavit is only</w:t>
      </w:r>
      <w:r w:rsidR="00FB4EF8" w:rsidRPr="009A7FA6">
        <w:rPr>
          <w:u w:val="none"/>
          <w:lang w:val="en-ZA"/>
        </w:rPr>
        <w:t xml:space="preserve"> </w:t>
      </w:r>
      <w:r w:rsidR="001C47A3" w:rsidRPr="009A7FA6">
        <w:rPr>
          <w:u w:val="none"/>
          <w:lang w:val="en-ZA"/>
        </w:rPr>
        <w:t xml:space="preserve">made </w:t>
      </w:r>
      <w:r w:rsidR="000F5097" w:rsidRPr="009A7FA6">
        <w:rPr>
          <w:u w:val="none"/>
          <w:lang w:val="en-ZA"/>
        </w:rPr>
        <w:t>in reply.</w:t>
      </w:r>
      <w:r w:rsidR="005743B4">
        <w:rPr>
          <w:rStyle w:val="FootnoteReference"/>
          <w:u w:val="none"/>
          <w:lang w:val="en-ZA"/>
        </w:rPr>
        <w:footnoteReference w:id="9"/>
      </w:r>
      <w:r w:rsidR="005743B4" w:rsidRPr="009A7FA6">
        <w:rPr>
          <w:u w:val="none"/>
          <w:lang w:val="en-ZA"/>
        </w:rPr>
        <w:t xml:space="preserve"> </w:t>
      </w:r>
    </w:p>
    <w:p w14:paraId="6F158A23" w14:textId="20DCF0DD" w:rsidR="000F5097" w:rsidRPr="009A7FA6" w:rsidRDefault="009A7FA6" w:rsidP="009A7FA6">
      <w:pPr>
        <w:tabs>
          <w:tab w:val="left" w:pos="851"/>
          <w:tab w:val="right" w:pos="8280"/>
        </w:tabs>
        <w:spacing w:before="480" w:line="480" w:lineRule="auto"/>
        <w:ind w:left="851" w:hanging="851"/>
        <w:jc w:val="both"/>
        <w:rPr>
          <w:u w:val="none"/>
          <w:lang w:val="en-ZA"/>
        </w:rPr>
      </w:pPr>
      <w:r>
        <w:rPr>
          <w:u w:val="none"/>
          <w:lang w:val="en-ZA"/>
        </w:rPr>
        <w:t>[31]</w:t>
      </w:r>
      <w:r>
        <w:rPr>
          <w:u w:val="none"/>
          <w:lang w:val="en-ZA"/>
        </w:rPr>
        <w:tab/>
      </w:r>
      <w:r w:rsidR="005743B4" w:rsidRPr="009A7FA6">
        <w:rPr>
          <w:u w:val="none"/>
          <w:lang w:val="en-ZA"/>
        </w:rPr>
        <w:t>The necessary allegations on which the applicant relies must appear in the founding affidavit, not adduced by supporting facts in the replying affidavit.</w:t>
      </w:r>
      <w:r w:rsidR="005743B4">
        <w:rPr>
          <w:rStyle w:val="FootnoteReference"/>
          <w:u w:val="none"/>
          <w:lang w:val="en-ZA"/>
        </w:rPr>
        <w:footnoteReference w:id="10"/>
      </w:r>
      <w:r w:rsidR="00FB4EF8" w:rsidRPr="009A7FA6">
        <w:rPr>
          <w:u w:val="none"/>
          <w:lang w:val="en-ZA"/>
        </w:rPr>
        <w:t xml:space="preserve"> </w:t>
      </w:r>
      <w:r w:rsidR="006F4080" w:rsidRPr="009A7FA6">
        <w:rPr>
          <w:u w:val="none"/>
          <w:lang w:val="en-ZA"/>
        </w:rPr>
        <w:t xml:space="preserve">This </w:t>
      </w:r>
      <w:proofErr w:type="spellStart"/>
      <w:r w:rsidR="00FB4EF8" w:rsidRPr="009A7FA6">
        <w:rPr>
          <w:u w:val="none"/>
          <w:lang w:val="en-ZA"/>
        </w:rPr>
        <w:t>Goloda</w:t>
      </w:r>
      <w:proofErr w:type="spellEnd"/>
      <w:r w:rsidR="00620C09" w:rsidRPr="009A7FA6">
        <w:rPr>
          <w:u w:val="none"/>
          <w:lang w:val="en-ZA"/>
        </w:rPr>
        <w:t xml:space="preserve"> </w:t>
      </w:r>
      <w:r w:rsidR="005743B4" w:rsidRPr="009A7FA6">
        <w:rPr>
          <w:u w:val="none"/>
          <w:lang w:val="en-ZA"/>
        </w:rPr>
        <w:t>has failed to do.</w:t>
      </w:r>
    </w:p>
    <w:p w14:paraId="4ECC8C5A" w14:textId="65FA68E9" w:rsidR="006F4080" w:rsidRPr="009A7FA6" w:rsidRDefault="009A7FA6" w:rsidP="009A7FA6">
      <w:pPr>
        <w:tabs>
          <w:tab w:val="left" w:pos="851"/>
          <w:tab w:val="right" w:pos="8280"/>
        </w:tabs>
        <w:spacing w:before="480" w:line="480" w:lineRule="auto"/>
        <w:ind w:left="851" w:hanging="851"/>
        <w:jc w:val="both"/>
        <w:rPr>
          <w:u w:val="none"/>
          <w:lang w:val="en-ZA"/>
        </w:rPr>
      </w:pPr>
      <w:r>
        <w:rPr>
          <w:u w:val="none"/>
          <w:lang w:val="en-ZA"/>
        </w:rPr>
        <w:t>[32]</w:t>
      </w:r>
      <w:r>
        <w:rPr>
          <w:u w:val="none"/>
          <w:lang w:val="en-ZA"/>
        </w:rPr>
        <w:tab/>
      </w:r>
      <w:proofErr w:type="spellStart"/>
      <w:r w:rsidR="006F4080" w:rsidRPr="009A7FA6">
        <w:rPr>
          <w:u w:val="none"/>
          <w:lang w:val="en-ZA"/>
        </w:rPr>
        <w:t>Goloda</w:t>
      </w:r>
      <w:proofErr w:type="spellEnd"/>
      <w:r w:rsidR="006F4080" w:rsidRPr="009A7FA6">
        <w:rPr>
          <w:u w:val="none"/>
          <w:lang w:val="en-ZA"/>
        </w:rPr>
        <w:t xml:space="preserve"> has failed to </w:t>
      </w:r>
      <w:r w:rsidR="00495293" w:rsidRPr="009A7FA6">
        <w:rPr>
          <w:u w:val="none"/>
          <w:lang w:val="en-ZA"/>
        </w:rPr>
        <w:t xml:space="preserve">show that </w:t>
      </w:r>
      <w:proofErr w:type="spellStart"/>
      <w:r w:rsidR="00495293" w:rsidRPr="009A7FA6">
        <w:rPr>
          <w:u w:val="none"/>
          <w:lang w:val="en-ZA"/>
        </w:rPr>
        <w:t>Ntozini</w:t>
      </w:r>
      <w:proofErr w:type="spellEnd"/>
      <w:r w:rsidR="00495293" w:rsidRPr="009A7FA6">
        <w:rPr>
          <w:u w:val="none"/>
          <w:lang w:val="en-ZA"/>
        </w:rPr>
        <w:t xml:space="preserve"> was in unlawful occupation.</w:t>
      </w:r>
    </w:p>
    <w:p w14:paraId="28614499" w14:textId="1D31F5D9" w:rsidR="00AD51B2" w:rsidRPr="009A7FA6" w:rsidRDefault="009A7FA6" w:rsidP="009A7FA6">
      <w:pPr>
        <w:tabs>
          <w:tab w:val="left" w:pos="851"/>
          <w:tab w:val="right" w:pos="8280"/>
        </w:tabs>
        <w:spacing w:before="480" w:line="480" w:lineRule="auto"/>
        <w:ind w:left="851" w:hanging="851"/>
        <w:jc w:val="both"/>
        <w:rPr>
          <w:u w:val="none"/>
          <w:lang w:val="en-ZA"/>
        </w:rPr>
      </w:pPr>
      <w:r w:rsidRPr="005743B4">
        <w:rPr>
          <w:u w:val="none"/>
          <w:lang w:val="en-ZA"/>
        </w:rPr>
        <w:t>[33]</w:t>
      </w:r>
      <w:r w:rsidRPr="005743B4">
        <w:rPr>
          <w:u w:val="none"/>
          <w:lang w:val="en-ZA"/>
        </w:rPr>
        <w:tab/>
      </w:r>
      <w:r w:rsidR="005743B4" w:rsidRPr="009A7FA6">
        <w:rPr>
          <w:u w:val="none"/>
          <w:lang w:val="en-ZA"/>
        </w:rPr>
        <w:t>In the result</w:t>
      </w:r>
      <w:r w:rsidR="00AD51B2" w:rsidRPr="009A7FA6">
        <w:rPr>
          <w:u w:val="none"/>
          <w:lang w:val="en-ZA"/>
        </w:rPr>
        <w:t>, I make the following order:</w:t>
      </w:r>
      <w:r w:rsidR="005743B4" w:rsidRPr="009A7FA6">
        <w:rPr>
          <w:u w:val="none"/>
          <w:lang w:val="en-ZA"/>
        </w:rPr>
        <w:t xml:space="preserve"> the application is dismissed with costs.</w:t>
      </w:r>
    </w:p>
    <w:p w14:paraId="36915A01" w14:textId="77777777" w:rsidR="00226E10" w:rsidRPr="00015944" w:rsidRDefault="00226E10" w:rsidP="00FB4EF8">
      <w:pPr>
        <w:keepNext/>
        <w:tabs>
          <w:tab w:val="left" w:pos="567"/>
          <w:tab w:val="right" w:pos="8280"/>
        </w:tabs>
        <w:spacing w:line="480" w:lineRule="auto"/>
        <w:ind w:left="567" w:hanging="567"/>
        <w:jc w:val="both"/>
        <w:rPr>
          <w:u w:val="none"/>
          <w:lang w:val="en-ZA"/>
        </w:rPr>
      </w:pPr>
    </w:p>
    <w:p w14:paraId="0136A997" w14:textId="77777777" w:rsidR="00615DE5" w:rsidRPr="00787209" w:rsidRDefault="00615DE5" w:rsidP="00615DE5">
      <w:pPr>
        <w:keepNext/>
        <w:tabs>
          <w:tab w:val="left" w:pos="567"/>
          <w:tab w:val="right" w:pos="8280"/>
        </w:tabs>
        <w:spacing w:line="480" w:lineRule="auto"/>
        <w:ind w:left="567" w:hanging="567"/>
        <w:jc w:val="both"/>
        <w:rPr>
          <w:u w:val="none"/>
          <w:lang w:val="en-ZA"/>
        </w:rPr>
      </w:pPr>
    </w:p>
    <w:p w14:paraId="2914B570" w14:textId="77777777" w:rsidR="00615DE5" w:rsidRPr="00787209" w:rsidRDefault="00615DE5" w:rsidP="00615DE5">
      <w:pPr>
        <w:keepNext/>
        <w:jc w:val="both"/>
      </w:pPr>
      <w:r w:rsidRPr="00787209">
        <w:t>___________________________</w:t>
      </w:r>
    </w:p>
    <w:p w14:paraId="1A814A48" w14:textId="77777777" w:rsidR="00615DE5" w:rsidRPr="00787209" w:rsidRDefault="00615DE5" w:rsidP="00615DE5">
      <w:pPr>
        <w:rPr>
          <w:b/>
          <w:u w:val="none"/>
        </w:rPr>
      </w:pPr>
      <w:r w:rsidRPr="00787209">
        <w:rPr>
          <w:b/>
          <w:u w:val="none"/>
        </w:rPr>
        <w:t>DREYER AJ</w:t>
      </w:r>
    </w:p>
    <w:p w14:paraId="6D0B5ACC" w14:textId="77777777" w:rsidR="00615DE5" w:rsidRPr="00787209" w:rsidRDefault="00615DE5" w:rsidP="00615DE5">
      <w:pPr>
        <w:rPr>
          <w:b/>
          <w:u w:val="none"/>
        </w:rPr>
      </w:pPr>
      <w:r w:rsidRPr="00787209">
        <w:rPr>
          <w:b/>
          <w:u w:val="none"/>
        </w:rPr>
        <w:t>ACTING JUDGE OF THE HIGH COURT</w:t>
      </w:r>
    </w:p>
    <w:p w14:paraId="67A733DD" w14:textId="77777777" w:rsidR="00615DE5" w:rsidRPr="00787209" w:rsidRDefault="00615DE5" w:rsidP="00615DE5">
      <w:pPr>
        <w:jc w:val="both"/>
      </w:pPr>
    </w:p>
    <w:p w14:paraId="147D8F29" w14:textId="77777777" w:rsidR="00615DE5" w:rsidRPr="00787209" w:rsidRDefault="00615DE5" w:rsidP="00615DE5">
      <w:pPr>
        <w:jc w:val="both"/>
      </w:pPr>
    </w:p>
    <w:p w14:paraId="2FE9E49F" w14:textId="77777777" w:rsidR="00615DE5" w:rsidRPr="00787209" w:rsidRDefault="00615DE5" w:rsidP="00615DE5">
      <w:pPr>
        <w:keepNext/>
        <w:tabs>
          <w:tab w:val="left" w:pos="4140"/>
        </w:tabs>
        <w:rPr>
          <w:u w:val="none"/>
        </w:rPr>
      </w:pPr>
      <w:r w:rsidRPr="00787209">
        <w:rPr>
          <w:b/>
          <w:u w:val="none"/>
        </w:rPr>
        <w:t>Representation for applicant</w:t>
      </w:r>
    </w:p>
    <w:p w14:paraId="3AF4819A" w14:textId="77777777" w:rsidR="00615DE5" w:rsidRPr="00787209" w:rsidRDefault="00615DE5" w:rsidP="00615DE5">
      <w:pPr>
        <w:keepNext/>
        <w:tabs>
          <w:tab w:val="left" w:pos="4140"/>
        </w:tabs>
        <w:rPr>
          <w:u w:val="none"/>
        </w:rPr>
      </w:pPr>
    </w:p>
    <w:p w14:paraId="511CC29E" w14:textId="77777777" w:rsidR="00615DE5" w:rsidRPr="00787209" w:rsidRDefault="00615DE5" w:rsidP="00615DE5">
      <w:pPr>
        <w:keepNext/>
        <w:tabs>
          <w:tab w:val="left" w:pos="4111"/>
        </w:tabs>
        <w:ind w:left="4111" w:hanging="4111"/>
        <w:rPr>
          <w:u w:val="none"/>
        </w:rPr>
      </w:pPr>
      <w:r w:rsidRPr="00787209">
        <w:rPr>
          <w:u w:val="none"/>
        </w:rPr>
        <w:t>Counsel</w:t>
      </w:r>
      <w:r>
        <w:rPr>
          <w:u w:val="none"/>
        </w:rPr>
        <w:t>:</w:t>
      </w:r>
      <w:r w:rsidRPr="00787209">
        <w:rPr>
          <w:u w:val="none"/>
        </w:rPr>
        <w:tab/>
        <w:t xml:space="preserve">Adv </w:t>
      </w:r>
      <w:r w:rsidR="002F5FEC">
        <w:rPr>
          <w:u w:val="none"/>
        </w:rPr>
        <w:t xml:space="preserve">T </w:t>
      </w:r>
      <w:proofErr w:type="spellStart"/>
      <w:r w:rsidR="002F5FEC">
        <w:rPr>
          <w:u w:val="none"/>
        </w:rPr>
        <w:t>Coto</w:t>
      </w:r>
      <w:proofErr w:type="spellEnd"/>
    </w:p>
    <w:p w14:paraId="576300C9" w14:textId="77777777" w:rsidR="00615DE5" w:rsidRPr="00787209" w:rsidRDefault="00615DE5" w:rsidP="00615DE5">
      <w:pPr>
        <w:keepNext/>
        <w:tabs>
          <w:tab w:val="left" w:pos="4111"/>
        </w:tabs>
        <w:ind w:left="4111" w:hanging="4111"/>
        <w:rPr>
          <w:u w:val="none"/>
        </w:rPr>
      </w:pPr>
    </w:p>
    <w:p w14:paraId="0C22139D" w14:textId="77777777" w:rsidR="00615DE5" w:rsidRPr="00787209" w:rsidRDefault="00615DE5" w:rsidP="00615DE5">
      <w:pPr>
        <w:tabs>
          <w:tab w:val="left" w:pos="4111"/>
        </w:tabs>
        <w:ind w:left="4111" w:hanging="4111"/>
        <w:rPr>
          <w:u w:val="none"/>
        </w:rPr>
      </w:pPr>
      <w:r w:rsidRPr="00787209">
        <w:rPr>
          <w:u w:val="none"/>
        </w:rPr>
        <w:t>Instructed by:</w:t>
      </w:r>
      <w:r w:rsidRPr="00787209">
        <w:rPr>
          <w:u w:val="none"/>
        </w:rPr>
        <w:tab/>
      </w:r>
      <w:proofErr w:type="spellStart"/>
      <w:r w:rsidR="002F5FEC">
        <w:rPr>
          <w:u w:val="none"/>
        </w:rPr>
        <w:t>Makhanya</w:t>
      </w:r>
      <w:proofErr w:type="spellEnd"/>
      <w:r w:rsidR="002F5FEC">
        <w:rPr>
          <w:u w:val="none"/>
        </w:rPr>
        <w:t xml:space="preserve"> Attorneys</w:t>
      </w:r>
    </w:p>
    <w:p w14:paraId="1257136D" w14:textId="77777777" w:rsidR="00615DE5" w:rsidRPr="00787209" w:rsidRDefault="00615DE5" w:rsidP="00615DE5">
      <w:pPr>
        <w:tabs>
          <w:tab w:val="left" w:pos="4111"/>
        </w:tabs>
        <w:ind w:left="4111" w:hanging="4111"/>
        <w:rPr>
          <w:u w:val="none"/>
        </w:rPr>
      </w:pPr>
    </w:p>
    <w:p w14:paraId="31910893" w14:textId="77777777" w:rsidR="00615DE5" w:rsidRPr="00787209" w:rsidRDefault="00615DE5" w:rsidP="00615DE5">
      <w:pPr>
        <w:tabs>
          <w:tab w:val="left" w:pos="4111"/>
        </w:tabs>
        <w:ind w:left="4111" w:hanging="4111"/>
        <w:rPr>
          <w:u w:val="none"/>
        </w:rPr>
      </w:pPr>
    </w:p>
    <w:p w14:paraId="2402D049" w14:textId="77777777" w:rsidR="00615DE5" w:rsidRPr="00787209" w:rsidRDefault="00615DE5" w:rsidP="00615DE5">
      <w:pPr>
        <w:keepNext/>
        <w:tabs>
          <w:tab w:val="left" w:pos="4111"/>
        </w:tabs>
        <w:ind w:left="4111" w:hanging="4111"/>
        <w:rPr>
          <w:b/>
          <w:u w:val="none"/>
        </w:rPr>
      </w:pPr>
      <w:r w:rsidRPr="00787209">
        <w:rPr>
          <w:b/>
          <w:u w:val="none"/>
        </w:rPr>
        <w:t xml:space="preserve">Representation for respondent </w:t>
      </w:r>
    </w:p>
    <w:p w14:paraId="1AFD550B" w14:textId="77777777" w:rsidR="00615DE5" w:rsidRPr="00787209" w:rsidRDefault="00615DE5" w:rsidP="00615DE5">
      <w:pPr>
        <w:keepNext/>
        <w:tabs>
          <w:tab w:val="left" w:pos="4111"/>
        </w:tabs>
        <w:ind w:left="4111" w:hanging="4111"/>
        <w:rPr>
          <w:u w:val="none"/>
        </w:rPr>
      </w:pPr>
    </w:p>
    <w:p w14:paraId="03B43648" w14:textId="77777777" w:rsidR="00615DE5" w:rsidRPr="00787209" w:rsidRDefault="00615DE5" w:rsidP="00615DE5">
      <w:pPr>
        <w:keepNext/>
        <w:tabs>
          <w:tab w:val="left" w:pos="4111"/>
        </w:tabs>
        <w:ind w:left="4111" w:hanging="4111"/>
        <w:rPr>
          <w:u w:val="none"/>
        </w:rPr>
      </w:pPr>
      <w:r w:rsidRPr="00787209">
        <w:rPr>
          <w:u w:val="none"/>
        </w:rPr>
        <w:t>Counsel</w:t>
      </w:r>
      <w:r>
        <w:rPr>
          <w:u w:val="none"/>
        </w:rPr>
        <w:t>:</w:t>
      </w:r>
      <w:r w:rsidRPr="00787209">
        <w:rPr>
          <w:u w:val="none"/>
        </w:rPr>
        <w:tab/>
        <w:t>Adv</w:t>
      </w:r>
      <w:r w:rsidR="002F5FEC">
        <w:rPr>
          <w:u w:val="none"/>
        </w:rPr>
        <w:t xml:space="preserve"> X </w:t>
      </w:r>
      <w:proofErr w:type="spellStart"/>
      <w:r w:rsidR="002F5FEC">
        <w:rPr>
          <w:u w:val="none"/>
        </w:rPr>
        <w:t>Nyangiwe</w:t>
      </w:r>
      <w:proofErr w:type="spellEnd"/>
    </w:p>
    <w:p w14:paraId="33930CDF" w14:textId="77777777" w:rsidR="00615DE5" w:rsidRPr="00787209" w:rsidRDefault="00615DE5" w:rsidP="00615DE5">
      <w:pPr>
        <w:keepNext/>
        <w:tabs>
          <w:tab w:val="left" w:pos="4111"/>
        </w:tabs>
        <w:ind w:left="4111" w:hanging="4111"/>
        <w:rPr>
          <w:u w:val="none"/>
        </w:rPr>
      </w:pPr>
    </w:p>
    <w:p w14:paraId="2B61A101" w14:textId="23F62AAA" w:rsidR="00615DE5" w:rsidRDefault="00615DE5" w:rsidP="00615DE5">
      <w:pPr>
        <w:tabs>
          <w:tab w:val="left" w:pos="4111"/>
        </w:tabs>
        <w:ind w:left="4111" w:hanging="4111"/>
        <w:rPr>
          <w:u w:val="none"/>
        </w:rPr>
      </w:pPr>
      <w:r w:rsidRPr="00787209">
        <w:rPr>
          <w:u w:val="none"/>
        </w:rPr>
        <w:t>Instructed by</w:t>
      </w:r>
      <w:r>
        <w:rPr>
          <w:u w:val="none"/>
        </w:rPr>
        <w:t>:</w:t>
      </w:r>
      <w:r w:rsidRPr="00787209">
        <w:rPr>
          <w:u w:val="none"/>
        </w:rPr>
        <w:tab/>
      </w:r>
      <w:proofErr w:type="spellStart"/>
      <w:r w:rsidR="002F5FEC">
        <w:rPr>
          <w:u w:val="none"/>
        </w:rPr>
        <w:t>Madikazi</w:t>
      </w:r>
      <w:proofErr w:type="spellEnd"/>
      <w:r w:rsidR="002F5FEC">
        <w:rPr>
          <w:u w:val="none"/>
        </w:rPr>
        <w:t xml:space="preserve"> Attorneys Inc</w:t>
      </w:r>
    </w:p>
    <w:p w14:paraId="35CF8723" w14:textId="09D32BAC" w:rsidR="004A1E58" w:rsidRDefault="004A1E58" w:rsidP="004A1E58">
      <w:pPr>
        <w:tabs>
          <w:tab w:val="left" w:pos="4111"/>
        </w:tabs>
        <w:rPr>
          <w:u w:val="none"/>
        </w:rPr>
      </w:pPr>
    </w:p>
    <w:p w14:paraId="053F1C90" w14:textId="6CC3DA36" w:rsidR="004A1E58" w:rsidRDefault="004A1E58" w:rsidP="004A1E58">
      <w:pPr>
        <w:tabs>
          <w:tab w:val="left" w:pos="4111"/>
        </w:tabs>
        <w:rPr>
          <w:u w:val="none"/>
        </w:rPr>
      </w:pPr>
      <w:r>
        <w:rPr>
          <w:u w:val="none"/>
        </w:rPr>
        <w:t xml:space="preserve">Date of Hearing: </w:t>
      </w:r>
      <w:r>
        <w:rPr>
          <w:u w:val="none"/>
        </w:rPr>
        <w:tab/>
        <w:t>1 September 2022</w:t>
      </w:r>
    </w:p>
    <w:p w14:paraId="2DDAFD2E" w14:textId="452F9711" w:rsidR="004A1E58" w:rsidRDefault="004A1E58" w:rsidP="004A1E58">
      <w:pPr>
        <w:tabs>
          <w:tab w:val="left" w:pos="4111"/>
        </w:tabs>
        <w:rPr>
          <w:u w:val="none"/>
        </w:rPr>
      </w:pPr>
    </w:p>
    <w:p w14:paraId="4DC33A58" w14:textId="17193F72" w:rsidR="004A1E58" w:rsidRPr="00787209" w:rsidRDefault="004A1E58" w:rsidP="004A1E58">
      <w:pPr>
        <w:tabs>
          <w:tab w:val="left" w:pos="4111"/>
        </w:tabs>
        <w:rPr>
          <w:u w:val="none"/>
        </w:rPr>
      </w:pPr>
      <w:r>
        <w:rPr>
          <w:u w:val="none"/>
        </w:rPr>
        <w:t xml:space="preserve">Date of Judgement: </w:t>
      </w:r>
      <w:r>
        <w:rPr>
          <w:u w:val="none"/>
        </w:rPr>
        <w:tab/>
      </w:r>
      <w:r w:rsidR="00C04715">
        <w:rPr>
          <w:u w:val="none"/>
        </w:rPr>
        <w:t>27</w:t>
      </w:r>
      <w:r>
        <w:rPr>
          <w:u w:val="none"/>
        </w:rPr>
        <w:t xml:space="preserve"> September 2022</w:t>
      </w:r>
    </w:p>
    <w:p w14:paraId="5B6A5C9B" w14:textId="77777777" w:rsidR="00615DE5" w:rsidRPr="00787209" w:rsidRDefault="00615DE5" w:rsidP="00615DE5">
      <w:pPr>
        <w:tabs>
          <w:tab w:val="left" w:pos="4140"/>
        </w:tabs>
        <w:rPr>
          <w:u w:val="none"/>
        </w:rPr>
      </w:pPr>
    </w:p>
    <w:sectPr w:rsidR="00615DE5" w:rsidRPr="00787209" w:rsidSect="00FB4EF8">
      <w:headerReference w:type="default" r:id="rId9"/>
      <w:pgSz w:w="11906" w:h="16838" w:code="9"/>
      <w:pgMar w:top="1134" w:right="1797" w:bottom="1134" w:left="1797" w:header="68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94D43" w14:textId="77777777" w:rsidR="00124808" w:rsidRDefault="00124808" w:rsidP="0096642E">
      <w:r>
        <w:separator/>
      </w:r>
    </w:p>
  </w:endnote>
  <w:endnote w:type="continuationSeparator" w:id="0">
    <w:p w14:paraId="3283A11F" w14:textId="77777777" w:rsidR="00124808" w:rsidRDefault="00124808" w:rsidP="00966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48082" w14:textId="77777777" w:rsidR="00124808" w:rsidRDefault="00124808" w:rsidP="0096642E">
      <w:r>
        <w:separator/>
      </w:r>
    </w:p>
  </w:footnote>
  <w:footnote w:type="continuationSeparator" w:id="0">
    <w:p w14:paraId="0A1E2776" w14:textId="77777777" w:rsidR="00124808" w:rsidRDefault="00124808" w:rsidP="0096642E">
      <w:r>
        <w:continuationSeparator/>
      </w:r>
    </w:p>
  </w:footnote>
  <w:footnote w:id="1">
    <w:p w14:paraId="4525861E" w14:textId="77777777" w:rsidR="00807825" w:rsidRPr="00807825" w:rsidRDefault="00807825" w:rsidP="00FB4EF8">
      <w:pPr>
        <w:pStyle w:val="FootnoteText"/>
        <w:jc w:val="both"/>
        <w:rPr>
          <w:lang w:val="en-ZA"/>
        </w:rPr>
      </w:pPr>
      <w:r>
        <w:rPr>
          <w:rStyle w:val="FootnoteReference"/>
        </w:rPr>
        <w:footnoteRef/>
      </w:r>
      <w:r>
        <w:t xml:space="preserve"> </w:t>
      </w:r>
      <w:r>
        <w:rPr>
          <w:lang w:val="en-ZA"/>
        </w:rPr>
        <w:tab/>
        <w:t>Act 19 of 1998</w:t>
      </w:r>
    </w:p>
  </w:footnote>
  <w:footnote w:id="2">
    <w:p w14:paraId="4B970F94" w14:textId="77777777" w:rsidR="00807825" w:rsidRPr="00807825" w:rsidRDefault="00807825" w:rsidP="00FB4EF8">
      <w:pPr>
        <w:pStyle w:val="FootnoteText"/>
        <w:jc w:val="both"/>
        <w:rPr>
          <w:lang w:val="en-ZA"/>
        </w:rPr>
      </w:pPr>
      <w:r>
        <w:rPr>
          <w:rStyle w:val="FootnoteReference"/>
        </w:rPr>
        <w:footnoteRef/>
      </w:r>
      <w:r>
        <w:t xml:space="preserve"> </w:t>
      </w:r>
      <w:r>
        <w:rPr>
          <w:lang w:val="en-ZA"/>
        </w:rPr>
        <w:tab/>
        <w:t>Act 47 of 1937</w:t>
      </w:r>
    </w:p>
  </w:footnote>
  <w:footnote w:id="3">
    <w:p w14:paraId="1273D7C0" w14:textId="77777777" w:rsidR="008208A1" w:rsidRPr="008D3A86" w:rsidRDefault="008208A1" w:rsidP="00FB4EF8">
      <w:pPr>
        <w:pStyle w:val="FootnoteText"/>
        <w:jc w:val="both"/>
        <w:rPr>
          <w:lang w:val="en-ZA"/>
        </w:rPr>
      </w:pPr>
      <w:r>
        <w:rPr>
          <w:rStyle w:val="FootnoteReference"/>
        </w:rPr>
        <w:footnoteRef/>
      </w:r>
      <w:r>
        <w:t xml:space="preserve"> </w:t>
      </w:r>
      <w:r>
        <w:rPr>
          <w:lang w:val="en-ZA"/>
        </w:rPr>
        <w:tab/>
        <w:t>Section 16 of the Deeds Registry Act</w:t>
      </w:r>
    </w:p>
  </w:footnote>
  <w:footnote w:id="4">
    <w:p w14:paraId="32152D81" w14:textId="77777777" w:rsidR="008242BB" w:rsidRPr="008D3A86" w:rsidRDefault="008242BB" w:rsidP="00FB4EF8">
      <w:pPr>
        <w:pStyle w:val="FootnoteText"/>
        <w:jc w:val="both"/>
        <w:rPr>
          <w:lang w:val="en-ZA"/>
        </w:rPr>
      </w:pPr>
      <w:r>
        <w:rPr>
          <w:rStyle w:val="FootnoteReference"/>
        </w:rPr>
        <w:footnoteRef/>
      </w:r>
      <w:r>
        <w:t xml:space="preserve"> </w:t>
      </w:r>
      <w:r>
        <w:rPr>
          <w:lang w:val="en-ZA"/>
        </w:rPr>
        <w:tab/>
      </w:r>
      <w:proofErr w:type="spellStart"/>
      <w:r>
        <w:rPr>
          <w:i/>
          <w:lang w:val="en-ZA"/>
        </w:rPr>
        <w:t>Ganes</w:t>
      </w:r>
      <w:proofErr w:type="spellEnd"/>
      <w:r>
        <w:rPr>
          <w:i/>
          <w:lang w:val="en-ZA"/>
        </w:rPr>
        <w:t xml:space="preserve"> v Telecom Namibia</w:t>
      </w:r>
      <w:r>
        <w:rPr>
          <w:lang w:val="en-ZA"/>
        </w:rPr>
        <w:t xml:space="preserve"> 2004 (3) SA 615 (SCA), at 642G-H</w:t>
      </w:r>
    </w:p>
  </w:footnote>
  <w:footnote w:id="5">
    <w:p w14:paraId="074F8C26" w14:textId="77777777" w:rsidR="00F508FF" w:rsidRPr="000F5097" w:rsidRDefault="00F508FF" w:rsidP="00FB4EF8">
      <w:pPr>
        <w:pStyle w:val="FootnoteText"/>
        <w:jc w:val="both"/>
        <w:rPr>
          <w:lang w:val="en-ZA"/>
        </w:rPr>
      </w:pPr>
      <w:r>
        <w:rPr>
          <w:rStyle w:val="FootnoteReference"/>
        </w:rPr>
        <w:footnoteRef/>
      </w:r>
      <w:r>
        <w:t xml:space="preserve"> </w:t>
      </w:r>
      <w:r>
        <w:rPr>
          <w:lang w:val="en-ZA"/>
        </w:rPr>
        <w:tab/>
      </w:r>
      <w:r>
        <w:rPr>
          <w:i/>
          <w:lang w:val="en-ZA"/>
        </w:rPr>
        <w:t xml:space="preserve">Scott v </w:t>
      </w:r>
      <w:proofErr w:type="spellStart"/>
      <w:r>
        <w:rPr>
          <w:i/>
          <w:lang w:val="en-ZA"/>
        </w:rPr>
        <w:t>Hanekom</w:t>
      </w:r>
      <w:proofErr w:type="spellEnd"/>
      <w:r>
        <w:rPr>
          <w:lang w:val="en-ZA"/>
        </w:rPr>
        <w:t xml:space="preserve"> 1980 (3) SA 1182 (C) at 1188H; </w:t>
      </w:r>
      <w:r>
        <w:rPr>
          <w:i/>
          <w:lang w:val="en-ZA"/>
        </w:rPr>
        <w:t>Giant Concerts CC v The Minister of Local Government, Housing and Traditional Affairs KZN</w:t>
      </w:r>
      <w:r>
        <w:rPr>
          <w:lang w:val="en-ZA"/>
        </w:rPr>
        <w:t xml:space="preserve"> 2011 (4) SA 164 (KZP) at 170H</w:t>
      </w:r>
      <w:r>
        <w:rPr>
          <w:lang w:val="en-ZA"/>
        </w:rPr>
        <w:noBreakHyphen/>
        <w:t>I</w:t>
      </w:r>
    </w:p>
  </w:footnote>
  <w:footnote w:id="6">
    <w:p w14:paraId="11C03BE4" w14:textId="77777777" w:rsidR="00F508FF" w:rsidRPr="000F5097" w:rsidRDefault="00F508FF" w:rsidP="00FB4EF8">
      <w:pPr>
        <w:pStyle w:val="FootnoteText"/>
        <w:jc w:val="both"/>
        <w:rPr>
          <w:lang w:val="en-ZA"/>
        </w:rPr>
      </w:pPr>
      <w:r>
        <w:rPr>
          <w:rStyle w:val="FootnoteReference"/>
        </w:rPr>
        <w:footnoteRef/>
      </w:r>
      <w:r>
        <w:t xml:space="preserve"> </w:t>
      </w:r>
      <w:r>
        <w:rPr>
          <w:lang w:val="en-ZA"/>
        </w:rPr>
        <w:tab/>
      </w:r>
      <w:r>
        <w:rPr>
          <w:i/>
          <w:lang w:val="en-ZA"/>
        </w:rPr>
        <w:t xml:space="preserve">Smith v </w:t>
      </w:r>
      <w:proofErr w:type="spellStart"/>
      <w:r>
        <w:rPr>
          <w:i/>
          <w:lang w:val="en-ZA"/>
        </w:rPr>
        <w:t>Kwanonqubela</w:t>
      </w:r>
      <w:proofErr w:type="spellEnd"/>
      <w:r>
        <w:rPr>
          <w:i/>
          <w:lang w:val="en-ZA"/>
        </w:rPr>
        <w:t xml:space="preserve"> Town Council</w:t>
      </w:r>
      <w:r>
        <w:rPr>
          <w:lang w:val="en-ZA"/>
        </w:rPr>
        <w:t xml:space="preserve"> 1999 (4) SA 947 (SCA), at 945F-H, confirming the view in </w:t>
      </w:r>
      <w:r>
        <w:rPr>
          <w:i/>
          <w:lang w:val="en-ZA"/>
        </w:rPr>
        <w:t xml:space="preserve">Musa and </w:t>
      </w:r>
      <w:proofErr w:type="spellStart"/>
      <w:r>
        <w:rPr>
          <w:i/>
          <w:lang w:val="en-ZA"/>
        </w:rPr>
        <w:t>Kassim</w:t>
      </w:r>
      <w:proofErr w:type="spellEnd"/>
      <w:r>
        <w:rPr>
          <w:i/>
          <w:lang w:val="en-ZA"/>
        </w:rPr>
        <w:t xml:space="preserve"> NNO v The Community Development Board</w:t>
      </w:r>
      <w:r>
        <w:rPr>
          <w:lang w:val="en-ZA"/>
        </w:rPr>
        <w:t xml:space="preserve"> 1990 (3) SA 175 (A), at 181B</w:t>
      </w:r>
    </w:p>
  </w:footnote>
  <w:footnote w:id="7">
    <w:p w14:paraId="4E1C86B5" w14:textId="3F5BF509" w:rsidR="00A52125" w:rsidRPr="008D3A86" w:rsidRDefault="00A52125" w:rsidP="00FB4EF8">
      <w:pPr>
        <w:pStyle w:val="FootnoteText"/>
        <w:jc w:val="both"/>
        <w:rPr>
          <w:b/>
          <w:lang w:val="en-ZA"/>
        </w:rPr>
      </w:pPr>
      <w:r>
        <w:rPr>
          <w:rStyle w:val="FootnoteReference"/>
        </w:rPr>
        <w:footnoteRef/>
      </w:r>
      <w:r>
        <w:t xml:space="preserve"> </w:t>
      </w:r>
      <w:r>
        <w:rPr>
          <w:lang w:val="en-ZA"/>
        </w:rPr>
        <w:tab/>
      </w:r>
      <w:r w:rsidR="00DE0CBF" w:rsidRPr="00D226EA">
        <w:rPr>
          <w:i/>
          <w:iCs/>
          <w:lang w:val="en-ZA"/>
        </w:rPr>
        <w:t xml:space="preserve"> </w:t>
      </w:r>
      <w:proofErr w:type="spellStart"/>
      <w:r w:rsidR="00DE0CBF" w:rsidRPr="00D226EA">
        <w:rPr>
          <w:i/>
          <w:iCs/>
          <w:lang w:val="en-ZA"/>
        </w:rPr>
        <w:t>Lecho</w:t>
      </w:r>
      <w:r w:rsidR="00D226EA" w:rsidRPr="00D226EA">
        <w:rPr>
          <w:i/>
          <w:iCs/>
          <w:lang w:val="en-ZA"/>
        </w:rPr>
        <w:t>ana</w:t>
      </w:r>
      <w:proofErr w:type="spellEnd"/>
      <w:r w:rsidR="00D226EA" w:rsidRPr="00D226EA">
        <w:rPr>
          <w:i/>
          <w:iCs/>
          <w:lang w:val="en-ZA"/>
        </w:rPr>
        <w:t xml:space="preserve"> v Cloete</w:t>
      </w:r>
      <w:r w:rsidR="00D226EA">
        <w:rPr>
          <w:lang w:val="en-ZA"/>
        </w:rPr>
        <w:t xml:space="preserve"> 1925 AD 536</w:t>
      </w:r>
    </w:p>
  </w:footnote>
  <w:footnote w:id="8">
    <w:p w14:paraId="420AB3F7" w14:textId="70A5EE39" w:rsidR="007B5313" w:rsidRPr="00335B19" w:rsidRDefault="007B5313" w:rsidP="00FB4EF8">
      <w:pPr>
        <w:pStyle w:val="FootnoteText"/>
        <w:jc w:val="both"/>
        <w:rPr>
          <w:lang w:val="en-ZA"/>
        </w:rPr>
      </w:pPr>
      <w:r>
        <w:rPr>
          <w:rStyle w:val="FootnoteReference"/>
        </w:rPr>
        <w:footnoteRef/>
      </w:r>
      <w:r>
        <w:t xml:space="preserve"> </w:t>
      </w:r>
      <w:r>
        <w:rPr>
          <w:lang w:val="en-ZA"/>
        </w:rPr>
        <w:tab/>
      </w:r>
      <w:proofErr w:type="spellStart"/>
      <w:r w:rsidR="006F70AA">
        <w:rPr>
          <w:i/>
          <w:iCs/>
          <w:lang w:val="en-ZA"/>
        </w:rPr>
        <w:t>Plascon</w:t>
      </w:r>
      <w:proofErr w:type="spellEnd"/>
      <w:r w:rsidR="006F70AA">
        <w:rPr>
          <w:i/>
          <w:iCs/>
          <w:lang w:val="en-ZA"/>
        </w:rPr>
        <w:t xml:space="preserve"> Evans Paints </w:t>
      </w:r>
      <w:r w:rsidR="00335B19">
        <w:rPr>
          <w:i/>
          <w:iCs/>
          <w:lang w:val="en-ZA"/>
        </w:rPr>
        <w:t xml:space="preserve">Ltd van </w:t>
      </w:r>
      <w:proofErr w:type="spellStart"/>
      <w:r w:rsidR="00335B19">
        <w:rPr>
          <w:i/>
          <w:iCs/>
          <w:lang w:val="en-ZA"/>
        </w:rPr>
        <w:t>Riebeeck</w:t>
      </w:r>
      <w:proofErr w:type="spellEnd"/>
      <w:r w:rsidR="00335B19">
        <w:rPr>
          <w:i/>
          <w:iCs/>
          <w:lang w:val="en-ZA"/>
        </w:rPr>
        <w:t xml:space="preserve"> Paints (Pty)Ltd</w:t>
      </w:r>
      <w:r w:rsidR="00FB4EF8">
        <w:rPr>
          <w:i/>
          <w:iCs/>
          <w:lang w:val="en-ZA"/>
        </w:rPr>
        <w:t xml:space="preserve"> </w:t>
      </w:r>
      <w:r w:rsidR="00335B19">
        <w:rPr>
          <w:lang w:val="en-ZA"/>
        </w:rPr>
        <w:t>1984 (3) SA 623 (A)</w:t>
      </w:r>
    </w:p>
  </w:footnote>
  <w:footnote w:id="9">
    <w:p w14:paraId="1E1A2322" w14:textId="77777777" w:rsidR="005743B4" w:rsidRPr="005743B4" w:rsidRDefault="005743B4" w:rsidP="00FB4EF8">
      <w:pPr>
        <w:pStyle w:val="FootnoteText"/>
        <w:jc w:val="both"/>
        <w:rPr>
          <w:lang w:val="en-ZA"/>
        </w:rPr>
      </w:pPr>
      <w:r>
        <w:rPr>
          <w:rStyle w:val="FootnoteReference"/>
        </w:rPr>
        <w:footnoteRef/>
      </w:r>
      <w:r>
        <w:t xml:space="preserve"> </w:t>
      </w:r>
      <w:r>
        <w:rPr>
          <w:lang w:val="en-ZA"/>
        </w:rPr>
        <w:tab/>
        <w:t xml:space="preserve">In </w:t>
      </w:r>
      <w:r>
        <w:rPr>
          <w:i/>
          <w:lang w:val="en-ZA"/>
        </w:rPr>
        <w:t>Eskom Holding</w:t>
      </w:r>
      <w:r w:rsidR="005135F7">
        <w:rPr>
          <w:i/>
          <w:lang w:val="en-ZA"/>
        </w:rPr>
        <w:t>s</w:t>
      </w:r>
      <w:r>
        <w:rPr>
          <w:i/>
          <w:lang w:val="en-ZA"/>
        </w:rPr>
        <w:t xml:space="preserve"> Soc Ltd v M</w:t>
      </w:r>
      <w:r w:rsidR="005135F7">
        <w:rPr>
          <w:i/>
          <w:lang w:val="en-ZA"/>
        </w:rPr>
        <w:t>a</w:t>
      </w:r>
      <w:r>
        <w:rPr>
          <w:i/>
          <w:lang w:val="en-ZA"/>
        </w:rPr>
        <w:t>sinda</w:t>
      </w:r>
      <w:r>
        <w:rPr>
          <w:lang w:val="en-ZA"/>
        </w:rPr>
        <w:t xml:space="preserve"> 2019 (5) SA 386 (SCA) at 387I to 388B, the Supreme Court held that the practice to support hearsay evidence by confirmatory affidavits of witnesses who should have provided the necessary details as a slovenly practice</w:t>
      </w:r>
    </w:p>
  </w:footnote>
  <w:footnote w:id="10">
    <w:p w14:paraId="6BC29A34" w14:textId="77777777" w:rsidR="005743B4" w:rsidRPr="005743B4" w:rsidRDefault="005743B4" w:rsidP="00FB4EF8">
      <w:pPr>
        <w:pStyle w:val="FootnoteText"/>
        <w:jc w:val="both"/>
        <w:rPr>
          <w:lang w:val="en-ZA"/>
        </w:rPr>
      </w:pPr>
      <w:r>
        <w:rPr>
          <w:rStyle w:val="FootnoteReference"/>
        </w:rPr>
        <w:footnoteRef/>
      </w:r>
      <w:r>
        <w:t xml:space="preserve"> </w:t>
      </w:r>
      <w:r>
        <w:rPr>
          <w:lang w:val="en-ZA"/>
        </w:rPr>
        <w:tab/>
      </w:r>
      <w:proofErr w:type="spellStart"/>
      <w:r>
        <w:rPr>
          <w:i/>
          <w:lang w:val="en-ZA"/>
        </w:rPr>
        <w:t>Mauerberger</w:t>
      </w:r>
      <w:proofErr w:type="spellEnd"/>
      <w:r>
        <w:rPr>
          <w:i/>
          <w:lang w:val="en-ZA"/>
        </w:rPr>
        <w:t xml:space="preserve"> v </w:t>
      </w:r>
      <w:proofErr w:type="spellStart"/>
      <w:r>
        <w:rPr>
          <w:i/>
          <w:lang w:val="en-ZA"/>
        </w:rPr>
        <w:t>Mauerberger</w:t>
      </w:r>
      <w:proofErr w:type="spellEnd"/>
      <w:r>
        <w:rPr>
          <w:lang w:val="en-ZA"/>
        </w:rPr>
        <w:t xml:space="preserve"> 1948 (3) SA 731 (C) at 732; </w:t>
      </w:r>
      <w:r>
        <w:rPr>
          <w:i/>
          <w:lang w:val="en-ZA"/>
        </w:rPr>
        <w:t>National Council of Societies for the Prevention of Cruelty to Animals v Openshaw</w:t>
      </w:r>
      <w:r>
        <w:rPr>
          <w:lang w:val="en-ZA"/>
        </w:rPr>
        <w:t xml:space="preserve"> 2008 (5) SA 339 (SCA) at 349A-B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5374268"/>
      <w:docPartObj>
        <w:docPartGallery w:val="Page Numbers (Top of Page)"/>
        <w:docPartUnique/>
      </w:docPartObj>
    </w:sdtPr>
    <w:sdtEndPr>
      <w:rPr>
        <w:noProof/>
        <w:u w:val="none"/>
      </w:rPr>
    </w:sdtEndPr>
    <w:sdtContent>
      <w:p w14:paraId="3CBB2CFE" w14:textId="4532B454" w:rsidR="0096642E" w:rsidRDefault="0096642E">
        <w:pPr>
          <w:pStyle w:val="Header"/>
          <w:jc w:val="right"/>
          <w:rPr>
            <w:noProof/>
            <w:u w:val="none"/>
          </w:rPr>
        </w:pPr>
        <w:r w:rsidRPr="0096642E">
          <w:rPr>
            <w:u w:val="none"/>
          </w:rPr>
          <w:fldChar w:fldCharType="begin"/>
        </w:r>
        <w:r w:rsidRPr="0096642E">
          <w:rPr>
            <w:u w:val="none"/>
          </w:rPr>
          <w:instrText xml:space="preserve"> PAGE   \* MERGEFORMAT </w:instrText>
        </w:r>
        <w:r w:rsidRPr="0096642E">
          <w:rPr>
            <w:u w:val="none"/>
          </w:rPr>
          <w:fldChar w:fldCharType="separate"/>
        </w:r>
        <w:r w:rsidR="00FF15A3">
          <w:rPr>
            <w:noProof/>
            <w:u w:val="none"/>
          </w:rPr>
          <w:t>10</w:t>
        </w:r>
        <w:r w:rsidRPr="0096642E">
          <w:rPr>
            <w:noProof/>
            <w:u w:val="none"/>
          </w:rPr>
          <w:fldChar w:fldCharType="end"/>
        </w:r>
      </w:p>
      <w:p w14:paraId="73B9DA0C" w14:textId="77777777" w:rsidR="0096642E" w:rsidRDefault="0096642E">
        <w:pPr>
          <w:pStyle w:val="Header"/>
          <w:jc w:val="right"/>
          <w:rPr>
            <w:noProof/>
            <w:u w:val="none"/>
          </w:rPr>
        </w:pPr>
      </w:p>
      <w:p w14:paraId="3BEEED07" w14:textId="77777777" w:rsidR="0096642E" w:rsidRPr="0096642E" w:rsidRDefault="00000000">
        <w:pPr>
          <w:pStyle w:val="Header"/>
          <w:jc w:val="right"/>
          <w:rPr>
            <w:u w:val="none"/>
          </w:rPr>
        </w:pPr>
      </w:p>
    </w:sdtContent>
  </w:sdt>
  <w:p w14:paraId="58080A52" w14:textId="77777777" w:rsidR="0096642E" w:rsidRDefault="00966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45B91F08"/>
    <w:multiLevelType w:val="multilevel"/>
    <w:tmpl w:val="BDAE2B8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1701" w:hanging="850"/>
      </w:pPr>
      <w:rPr>
        <w:rFonts w:hint="default"/>
      </w:rPr>
    </w:lvl>
    <w:lvl w:ilvl="2">
      <w:start w:val="1"/>
      <w:numFmt w:val="decimal"/>
      <w:lvlText w:val="%1.%2.%3."/>
      <w:lvlJc w:val="left"/>
      <w:pPr>
        <w:ind w:left="2552"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899898501">
    <w:abstractNumId w:val="0"/>
  </w:num>
  <w:num w:numId="2" w16cid:durableId="740713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AwNDc0MTU3MzYzNbNQ0lEKTi0uzszPAykwrgUAVgGJhCwAAAA="/>
  </w:docVars>
  <w:rsids>
    <w:rsidRoot w:val="002F4398"/>
    <w:rsid w:val="00004959"/>
    <w:rsid w:val="00010404"/>
    <w:rsid w:val="00015944"/>
    <w:rsid w:val="00041363"/>
    <w:rsid w:val="000418C5"/>
    <w:rsid w:val="00047F8F"/>
    <w:rsid w:val="000744B6"/>
    <w:rsid w:val="0009157B"/>
    <w:rsid w:val="000A17E8"/>
    <w:rsid w:val="000A7C0A"/>
    <w:rsid w:val="000C6B8C"/>
    <w:rsid w:val="000F5097"/>
    <w:rsid w:val="00100A30"/>
    <w:rsid w:val="001127A7"/>
    <w:rsid w:val="00115564"/>
    <w:rsid w:val="00120782"/>
    <w:rsid w:val="00123159"/>
    <w:rsid w:val="00124808"/>
    <w:rsid w:val="0012632C"/>
    <w:rsid w:val="001641E8"/>
    <w:rsid w:val="00190BDB"/>
    <w:rsid w:val="001A6090"/>
    <w:rsid w:val="001A7DBC"/>
    <w:rsid w:val="001C47A3"/>
    <w:rsid w:val="001E0509"/>
    <w:rsid w:val="001F27D6"/>
    <w:rsid w:val="001F7BCC"/>
    <w:rsid w:val="0020346C"/>
    <w:rsid w:val="0020542B"/>
    <w:rsid w:val="0020664A"/>
    <w:rsid w:val="002100D2"/>
    <w:rsid w:val="00226E10"/>
    <w:rsid w:val="0022738A"/>
    <w:rsid w:val="00227391"/>
    <w:rsid w:val="002469B8"/>
    <w:rsid w:val="002564CA"/>
    <w:rsid w:val="00274095"/>
    <w:rsid w:val="0029667F"/>
    <w:rsid w:val="002B7BA9"/>
    <w:rsid w:val="002D6F2A"/>
    <w:rsid w:val="002F4398"/>
    <w:rsid w:val="002F5FEC"/>
    <w:rsid w:val="00323157"/>
    <w:rsid w:val="0033242E"/>
    <w:rsid w:val="00335B19"/>
    <w:rsid w:val="003464F2"/>
    <w:rsid w:val="00361560"/>
    <w:rsid w:val="00381140"/>
    <w:rsid w:val="003A3EFD"/>
    <w:rsid w:val="003A53E6"/>
    <w:rsid w:val="00411E45"/>
    <w:rsid w:val="00425775"/>
    <w:rsid w:val="00456699"/>
    <w:rsid w:val="0046608E"/>
    <w:rsid w:val="004706BA"/>
    <w:rsid w:val="0048414B"/>
    <w:rsid w:val="00495293"/>
    <w:rsid w:val="004A1E58"/>
    <w:rsid w:val="004C102E"/>
    <w:rsid w:val="004D206C"/>
    <w:rsid w:val="004D2695"/>
    <w:rsid w:val="004F7D1E"/>
    <w:rsid w:val="005135F7"/>
    <w:rsid w:val="00513ADC"/>
    <w:rsid w:val="005211C1"/>
    <w:rsid w:val="0053515C"/>
    <w:rsid w:val="0054134F"/>
    <w:rsid w:val="00542A9B"/>
    <w:rsid w:val="00551D81"/>
    <w:rsid w:val="0055316C"/>
    <w:rsid w:val="00571A39"/>
    <w:rsid w:val="005743B4"/>
    <w:rsid w:val="00591818"/>
    <w:rsid w:val="005946A5"/>
    <w:rsid w:val="005A59B1"/>
    <w:rsid w:val="005B1D90"/>
    <w:rsid w:val="005D4718"/>
    <w:rsid w:val="005F3FD9"/>
    <w:rsid w:val="00615DE5"/>
    <w:rsid w:val="006206CA"/>
    <w:rsid w:val="00620C09"/>
    <w:rsid w:val="00640468"/>
    <w:rsid w:val="00667288"/>
    <w:rsid w:val="00692DD6"/>
    <w:rsid w:val="006A1518"/>
    <w:rsid w:val="006A35A1"/>
    <w:rsid w:val="006B0E4E"/>
    <w:rsid w:val="006D1AC7"/>
    <w:rsid w:val="006F4080"/>
    <w:rsid w:val="006F70AA"/>
    <w:rsid w:val="006F79EB"/>
    <w:rsid w:val="00700CC8"/>
    <w:rsid w:val="00716C88"/>
    <w:rsid w:val="00727709"/>
    <w:rsid w:val="0074518F"/>
    <w:rsid w:val="0074781C"/>
    <w:rsid w:val="0075741F"/>
    <w:rsid w:val="007610F3"/>
    <w:rsid w:val="00761FF6"/>
    <w:rsid w:val="0077095D"/>
    <w:rsid w:val="007B0B23"/>
    <w:rsid w:val="007B5313"/>
    <w:rsid w:val="00802C34"/>
    <w:rsid w:val="00807825"/>
    <w:rsid w:val="00815DF7"/>
    <w:rsid w:val="008208A1"/>
    <w:rsid w:val="00821F2A"/>
    <w:rsid w:val="008242BB"/>
    <w:rsid w:val="00860245"/>
    <w:rsid w:val="00874B5A"/>
    <w:rsid w:val="00885D61"/>
    <w:rsid w:val="00897FA6"/>
    <w:rsid w:val="008C1D08"/>
    <w:rsid w:val="008C2B9A"/>
    <w:rsid w:val="008D3A86"/>
    <w:rsid w:val="008F3214"/>
    <w:rsid w:val="0093046A"/>
    <w:rsid w:val="009368EB"/>
    <w:rsid w:val="00941F98"/>
    <w:rsid w:val="0094785D"/>
    <w:rsid w:val="00957EC8"/>
    <w:rsid w:val="0096642E"/>
    <w:rsid w:val="00972844"/>
    <w:rsid w:val="0098271B"/>
    <w:rsid w:val="00984176"/>
    <w:rsid w:val="00984B41"/>
    <w:rsid w:val="009A120E"/>
    <w:rsid w:val="009A7FA6"/>
    <w:rsid w:val="009B4ADB"/>
    <w:rsid w:val="009B53AD"/>
    <w:rsid w:val="009D4D29"/>
    <w:rsid w:val="009D5D47"/>
    <w:rsid w:val="009D7084"/>
    <w:rsid w:val="009D7EAB"/>
    <w:rsid w:val="009F0780"/>
    <w:rsid w:val="00A2256B"/>
    <w:rsid w:val="00A35BB2"/>
    <w:rsid w:val="00A4098F"/>
    <w:rsid w:val="00A50E7D"/>
    <w:rsid w:val="00A52125"/>
    <w:rsid w:val="00A60D19"/>
    <w:rsid w:val="00A64A19"/>
    <w:rsid w:val="00A72388"/>
    <w:rsid w:val="00A74F99"/>
    <w:rsid w:val="00A90418"/>
    <w:rsid w:val="00AA0F10"/>
    <w:rsid w:val="00AB2152"/>
    <w:rsid w:val="00AD11C2"/>
    <w:rsid w:val="00AD51B2"/>
    <w:rsid w:val="00B3235B"/>
    <w:rsid w:val="00B441E5"/>
    <w:rsid w:val="00B551EA"/>
    <w:rsid w:val="00B7198D"/>
    <w:rsid w:val="00BA2E0E"/>
    <w:rsid w:val="00BA3D4B"/>
    <w:rsid w:val="00BB18C0"/>
    <w:rsid w:val="00BE5D50"/>
    <w:rsid w:val="00C008BC"/>
    <w:rsid w:val="00C04715"/>
    <w:rsid w:val="00C720C1"/>
    <w:rsid w:val="00C81FF8"/>
    <w:rsid w:val="00C9280A"/>
    <w:rsid w:val="00C937C5"/>
    <w:rsid w:val="00CC4BD4"/>
    <w:rsid w:val="00CD3F87"/>
    <w:rsid w:val="00CD754F"/>
    <w:rsid w:val="00CE4C3F"/>
    <w:rsid w:val="00CF1230"/>
    <w:rsid w:val="00D21F6B"/>
    <w:rsid w:val="00D226EA"/>
    <w:rsid w:val="00D26527"/>
    <w:rsid w:val="00D33093"/>
    <w:rsid w:val="00D34807"/>
    <w:rsid w:val="00D34EF0"/>
    <w:rsid w:val="00D45572"/>
    <w:rsid w:val="00D61A7E"/>
    <w:rsid w:val="00D67B23"/>
    <w:rsid w:val="00D80B3E"/>
    <w:rsid w:val="00D93DE2"/>
    <w:rsid w:val="00DA564D"/>
    <w:rsid w:val="00DB230E"/>
    <w:rsid w:val="00DB4FFD"/>
    <w:rsid w:val="00DC38BD"/>
    <w:rsid w:val="00DD0ABF"/>
    <w:rsid w:val="00DE0CBF"/>
    <w:rsid w:val="00DE750F"/>
    <w:rsid w:val="00E01370"/>
    <w:rsid w:val="00E041F8"/>
    <w:rsid w:val="00E04B27"/>
    <w:rsid w:val="00E346DD"/>
    <w:rsid w:val="00E547E3"/>
    <w:rsid w:val="00E955A5"/>
    <w:rsid w:val="00EA104B"/>
    <w:rsid w:val="00EA5998"/>
    <w:rsid w:val="00EA6C3A"/>
    <w:rsid w:val="00EC3F14"/>
    <w:rsid w:val="00ED0F39"/>
    <w:rsid w:val="00ED368E"/>
    <w:rsid w:val="00EE7968"/>
    <w:rsid w:val="00F07020"/>
    <w:rsid w:val="00F169FA"/>
    <w:rsid w:val="00F257B1"/>
    <w:rsid w:val="00F27FCD"/>
    <w:rsid w:val="00F45DA6"/>
    <w:rsid w:val="00F508FF"/>
    <w:rsid w:val="00F65B1E"/>
    <w:rsid w:val="00F81FB0"/>
    <w:rsid w:val="00FA3AD3"/>
    <w:rsid w:val="00FB48EB"/>
    <w:rsid w:val="00FB4EF8"/>
    <w:rsid w:val="00FC4A67"/>
    <w:rsid w:val="00FE21BA"/>
    <w:rsid w:val="00FE6F6A"/>
    <w:rsid w:val="00FE6FE2"/>
    <w:rsid w:val="00FF1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F627DB"/>
  <w15:docId w15:val="{8454F829-E526-48DC-BE53-F00182EBC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7825"/>
    <w:rPr>
      <w:rFonts w:ascii="Arial" w:hAnsi="Arial" w:cs="Arial"/>
      <w:sz w:val="24"/>
      <w:szCs w:val="24"/>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67B23"/>
    <w:pPr>
      <w:ind w:left="720"/>
      <w:contextualSpacing/>
    </w:pPr>
  </w:style>
  <w:style w:type="paragraph" w:styleId="Header">
    <w:name w:val="header"/>
    <w:basedOn w:val="Normal"/>
    <w:link w:val="HeaderChar"/>
    <w:uiPriority w:val="99"/>
    <w:rsid w:val="0096642E"/>
    <w:pPr>
      <w:tabs>
        <w:tab w:val="center" w:pos="4513"/>
        <w:tab w:val="right" w:pos="9026"/>
      </w:tabs>
    </w:pPr>
  </w:style>
  <w:style w:type="character" w:customStyle="1" w:styleId="HeaderChar">
    <w:name w:val="Header Char"/>
    <w:basedOn w:val="DefaultParagraphFont"/>
    <w:link w:val="Header"/>
    <w:uiPriority w:val="99"/>
    <w:rsid w:val="0096642E"/>
    <w:rPr>
      <w:rFonts w:ascii="Arial" w:hAnsi="Arial" w:cs="Arial"/>
      <w:sz w:val="24"/>
      <w:szCs w:val="24"/>
      <w:u w:val="single"/>
      <w:lang w:val="en-GB" w:eastAsia="en-GB"/>
    </w:rPr>
  </w:style>
  <w:style w:type="paragraph" w:styleId="Footer">
    <w:name w:val="footer"/>
    <w:basedOn w:val="Normal"/>
    <w:link w:val="FooterChar"/>
    <w:rsid w:val="0096642E"/>
    <w:pPr>
      <w:tabs>
        <w:tab w:val="center" w:pos="4513"/>
        <w:tab w:val="right" w:pos="9026"/>
      </w:tabs>
    </w:pPr>
  </w:style>
  <w:style w:type="character" w:customStyle="1" w:styleId="FooterChar">
    <w:name w:val="Footer Char"/>
    <w:basedOn w:val="DefaultParagraphFont"/>
    <w:link w:val="Footer"/>
    <w:rsid w:val="0096642E"/>
    <w:rPr>
      <w:rFonts w:ascii="Arial" w:hAnsi="Arial" w:cs="Arial"/>
      <w:sz w:val="24"/>
      <w:szCs w:val="24"/>
      <w:u w:val="single"/>
      <w:lang w:val="en-GB" w:eastAsia="en-GB"/>
    </w:rPr>
  </w:style>
  <w:style w:type="paragraph" w:customStyle="1" w:styleId="Style1">
    <w:name w:val="Style1"/>
    <w:basedOn w:val="ListParagraph"/>
    <w:link w:val="Style1Char"/>
    <w:qFormat/>
    <w:rsid w:val="00D34807"/>
    <w:pPr>
      <w:tabs>
        <w:tab w:val="right" w:pos="8280"/>
      </w:tabs>
      <w:spacing w:before="360" w:line="360" w:lineRule="auto"/>
      <w:ind w:left="1276"/>
      <w:contextualSpacing w:val="0"/>
      <w:jc w:val="both"/>
    </w:pPr>
    <w:rPr>
      <w:sz w:val="20"/>
      <w:szCs w:val="20"/>
      <w:u w:val="none"/>
      <w:lang w:val="en-ZA"/>
    </w:rPr>
  </w:style>
  <w:style w:type="paragraph" w:customStyle="1" w:styleId="Style2">
    <w:name w:val="Style2"/>
    <w:basedOn w:val="Style1"/>
    <w:link w:val="Style2Char"/>
    <w:qFormat/>
    <w:rsid w:val="00D34807"/>
    <w:pPr>
      <w:tabs>
        <w:tab w:val="left" w:pos="1843"/>
      </w:tabs>
      <w:ind w:left="1843" w:hanging="567"/>
    </w:pPr>
  </w:style>
  <w:style w:type="character" w:customStyle="1" w:styleId="ListParagraphChar">
    <w:name w:val="List Paragraph Char"/>
    <w:basedOn w:val="DefaultParagraphFont"/>
    <w:link w:val="ListParagraph"/>
    <w:uiPriority w:val="34"/>
    <w:rsid w:val="00D34807"/>
    <w:rPr>
      <w:rFonts w:ascii="Arial" w:hAnsi="Arial" w:cs="Arial"/>
      <w:sz w:val="24"/>
      <w:szCs w:val="24"/>
      <w:u w:val="single"/>
      <w:lang w:val="en-GB" w:eastAsia="en-GB"/>
    </w:rPr>
  </w:style>
  <w:style w:type="character" w:customStyle="1" w:styleId="Style1Char">
    <w:name w:val="Style1 Char"/>
    <w:basedOn w:val="ListParagraphChar"/>
    <w:link w:val="Style1"/>
    <w:rsid w:val="00D34807"/>
    <w:rPr>
      <w:rFonts w:ascii="Arial" w:hAnsi="Arial" w:cs="Arial"/>
      <w:sz w:val="24"/>
      <w:szCs w:val="24"/>
      <w:u w:val="single"/>
      <w:lang w:val="en-ZA" w:eastAsia="en-GB"/>
    </w:rPr>
  </w:style>
  <w:style w:type="character" w:customStyle="1" w:styleId="Style2Char">
    <w:name w:val="Style2 Char"/>
    <w:basedOn w:val="Style1Char"/>
    <w:link w:val="Style2"/>
    <w:rsid w:val="00D34807"/>
    <w:rPr>
      <w:rFonts w:ascii="Arial" w:hAnsi="Arial" w:cs="Arial"/>
      <w:sz w:val="24"/>
      <w:szCs w:val="24"/>
      <w:u w:val="single"/>
      <w:lang w:val="en-ZA" w:eastAsia="en-GB"/>
    </w:rPr>
  </w:style>
  <w:style w:type="paragraph" w:customStyle="1" w:styleId="Style3">
    <w:name w:val="Style3"/>
    <w:basedOn w:val="ListParagraph"/>
    <w:link w:val="Style3Char"/>
    <w:qFormat/>
    <w:rsid w:val="00015944"/>
    <w:pPr>
      <w:tabs>
        <w:tab w:val="left" w:pos="1418"/>
        <w:tab w:val="right" w:pos="8280"/>
      </w:tabs>
      <w:spacing w:before="480" w:line="480" w:lineRule="auto"/>
      <w:ind w:left="1418" w:hanging="567"/>
      <w:contextualSpacing w:val="0"/>
      <w:jc w:val="both"/>
    </w:pPr>
    <w:rPr>
      <w:i/>
      <w:sz w:val="20"/>
      <w:szCs w:val="20"/>
      <w:u w:val="none"/>
      <w:shd w:val="clear" w:color="auto" w:fill="FFFFFF"/>
    </w:rPr>
  </w:style>
  <w:style w:type="character" w:customStyle="1" w:styleId="Style3Char">
    <w:name w:val="Style3 Char"/>
    <w:basedOn w:val="ListParagraphChar"/>
    <w:link w:val="Style3"/>
    <w:rsid w:val="00015944"/>
    <w:rPr>
      <w:rFonts w:ascii="Arial" w:hAnsi="Arial" w:cs="Arial"/>
      <w:i/>
      <w:sz w:val="24"/>
      <w:szCs w:val="24"/>
      <w:u w:val="single"/>
      <w:lang w:val="en-GB" w:eastAsia="en-GB"/>
    </w:rPr>
  </w:style>
  <w:style w:type="paragraph" w:styleId="FootnoteText">
    <w:name w:val="footnote text"/>
    <w:basedOn w:val="Normal"/>
    <w:link w:val="FootnoteTextChar"/>
    <w:semiHidden/>
    <w:unhideWhenUsed/>
    <w:rsid w:val="00807825"/>
    <w:pPr>
      <w:tabs>
        <w:tab w:val="left" w:pos="454"/>
      </w:tabs>
      <w:ind w:left="454" w:hanging="454"/>
    </w:pPr>
    <w:rPr>
      <w:sz w:val="20"/>
      <w:szCs w:val="20"/>
      <w:u w:val="none"/>
    </w:rPr>
  </w:style>
  <w:style w:type="character" w:customStyle="1" w:styleId="FootnoteTextChar">
    <w:name w:val="Footnote Text Char"/>
    <w:basedOn w:val="DefaultParagraphFont"/>
    <w:link w:val="FootnoteText"/>
    <w:semiHidden/>
    <w:rsid w:val="00807825"/>
    <w:rPr>
      <w:rFonts w:ascii="Arial" w:hAnsi="Arial" w:cs="Arial"/>
      <w:lang w:val="en-GB" w:eastAsia="en-GB"/>
    </w:rPr>
  </w:style>
  <w:style w:type="character" w:styleId="FootnoteReference">
    <w:name w:val="footnote reference"/>
    <w:basedOn w:val="DefaultParagraphFont"/>
    <w:semiHidden/>
    <w:unhideWhenUsed/>
    <w:rsid w:val="00807825"/>
    <w:rPr>
      <w:vertAlign w:val="superscript"/>
    </w:rPr>
  </w:style>
  <w:style w:type="paragraph" w:styleId="BalloonText">
    <w:name w:val="Balloon Text"/>
    <w:basedOn w:val="Normal"/>
    <w:link w:val="BalloonTextChar"/>
    <w:semiHidden/>
    <w:unhideWhenUsed/>
    <w:rsid w:val="00C04715"/>
    <w:rPr>
      <w:rFonts w:ascii="Segoe UI" w:hAnsi="Segoe UI" w:cs="Segoe UI"/>
      <w:sz w:val="18"/>
      <w:szCs w:val="18"/>
    </w:rPr>
  </w:style>
  <w:style w:type="character" w:customStyle="1" w:styleId="BalloonTextChar">
    <w:name w:val="Balloon Text Char"/>
    <w:basedOn w:val="DefaultParagraphFont"/>
    <w:link w:val="BalloonText"/>
    <w:semiHidden/>
    <w:rsid w:val="00C04715"/>
    <w:rPr>
      <w:rFonts w:ascii="Segoe UI" w:hAnsi="Segoe UI" w:cs="Segoe UI"/>
      <w:sz w:val="18"/>
      <w:szCs w:val="18"/>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5F0DF-81E6-4ECB-AABF-31E943A73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1639</Words>
  <Characters>9346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REPUBLIC OF SOUTH AFRICA</vt:lpstr>
    </vt:vector>
  </TitlesOfParts>
  <Company>Dept. of Justice</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SOUTH AFRICA</dc:title>
  <dc:creator>tmaponya</dc:creator>
  <cp:lastModifiedBy>Mariana Anguelov</cp:lastModifiedBy>
  <cp:revision>3</cp:revision>
  <cp:lastPrinted>2022-09-16T08:13:00Z</cp:lastPrinted>
  <dcterms:created xsi:type="dcterms:W3CDTF">2022-10-03T14:46:00Z</dcterms:created>
  <dcterms:modified xsi:type="dcterms:W3CDTF">2022-10-16T16:28:00Z</dcterms:modified>
</cp:coreProperties>
</file>