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C163C0" w14:textId="77777777" w:rsidR="00354A12" w:rsidRPr="003C36E9" w:rsidRDefault="00354A12" w:rsidP="00354A12">
      <w:pPr>
        <w:spacing w:line="360" w:lineRule="auto"/>
        <w:jc w:val="both"/>
        <w:rPr>
          <w:rFonts w:ascii="Times New Roman" w:hAnsi="Times New Roman" w:cs="Times New Roman"/>
          <w:sz w:val="28"/>
          <w:szCs w:val="28"/>
        </w:rPr>
      </w:pPr>
      <w:bookmarkStart w:id="0" w:name="_GoBack"/>
      <w:bookmarkEnd w:id="0"/>
    </w:p>
    <w:p w14:paraId="351C9697" w14:textId="77777777" w:rsidR="00EA1AAE" w:rsidRDefault="00EA1AAE" w:rsidP="00EA1AAE">
      <w:pPr>
        <w:spacing w:line="360" w:lineRule="auto"/>
        <w:jc w:val="center"/>
        <w:rPr>
          <w:rFonts w:ascii="Times New Roman" w:hAnsi="Times New Roman" w:cs="Times New Roman"/>
          <w:sz w:val="28"/>
          <w:szCs w:val="28"/>
        </w:rPr>
      </w:pPr>
      <w:r>
        <w:rPr>
          <w:noProof/>
          <w:lang w:eastAsia="en-ZA"/>
        </w:rPr>
        <w:drawing>
          <wp:inline distT="0" distB="0" distL="0" distR="0" wp14:anchorId="2776778D" wp14:editId="06D52AFA">
            <wp:extent cx="1225550" cy="1209675"/>
            <wp:effectExtent l="0" t="0" r="0" b="9525"/>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lum contrast="2000"/>
                      <a:extLst>
                        <a:ext uri="{28A0092B-C50C-407E-A947-70E740481C1C}">
                          <a14:useLocalDpi xmlns:a14="http://schemas.microsoft.com/office/drawing/2010/main" val="0"/>
                        </a:ext>
                      </a:extLst>
                    </a:blip>
                    <a:srcRect/>
                    <a:stretch>
                      <a:fillRect/>
                    </a:stretch>
                  </pic:blipFill>
                  <pic:spPr bwMode="auto">
                    <a:xfrm>
                      <a:off x="0" y="0"/>
                      <a:ext cx="1225550" cy="1209675"/>
                    </a:xfrm>
                    <a:prstGeom prst="rect">
                      <a:avLst/>
                    </a:prstGeom>
                    <a:noFill/>
                    <a:ln>
                      <a:noFill/>
                    </a:ln>
                  </pic:spPr>
                </pic:pic>
              </a:graphicData>
            </a:graphic>
          </wp:inline>
        </w:drawing>
      </w:r>
    </w:p>
    <w:p w14:paraId="24C9F087" w14:textId="77777777" w:rsidR="00EA1AAE" w:rsidRDefault="00EA1AAE" w:rsidP="00EA1AAE">
      <w:pPr>
        <w:spacing w:line="360" w:lineRule="auto"/>
        <w:jc w:val="center"/>
        <w:rPr>
          <w:rFonts w:ascii="Times New Roman" w:hAnsi="Times New Roman" w:cs="Times New Roman"/>
          <w:sz w:val="28"/>
          <w:szCs w:val="28"/>
        </w:rPr>
      </w:pPr>
    </w:p>
    <w:p w14:paraId="721D446E" w14:textId="77777777" w:rsidR="00EA1AAE" w:rsidRPr="00701B17" w:rsidRDefault="00EA1AAE" w:rsidP="00EA1AAE">
      <w:pPr>
        <w:spacing w:line="360" w:lineRule="auto"/>
        <w:jc w:val="center"/>
        <w:rPr>
          <w:rFonts w:ascii="Times New Roman" w:hAnsi="Times New Roman" w:cs="Times New Roman"/>
          <w:b/>
          <w:sz w:val="28"/>
          <w:szCs w:val="28"/>
        </w:rPr>
      </w:pPr>
      <w:r w:rsidRPr="00701B17">
        <w:rPr>
          <w:rFonts w:ascii="Times New Roman" w:hAnsi="Times New Roman" w:cs="Times New Roman"/>
          <w:b/>
          <w:sz w:val="28"/>
          <w:szCs w:val="28"/>
        </w:rPr>
        <w:t>IN THE HIGH COURT OF SOUTH AFRICA</w:t>
      </w:r>
    </w:p>
    <w:p w14:paraId="67D7248C" w14:textId="77777777" w:rsidR="00EA1AAE" w:rsidRPr="00701B17" w:rsidRDefault="00EA1AAE" w:rsidP="00EA1AAE">
      <w:pPr>
        <w:spacing w:line="360" w:lineRule="auto"/>
        <w:jc w:val="center"/>
        <w:rPr>
          <w:rFonts w:ascii="Times New Roman" w:hAnsi="Times New Roman" w:cs="Times New Roman"/>
          <w:b/>
          <w:sz w:val="28"/>
          <w:szCs w:val="28"/>
        </w:rPr>
      </w:pPr>
      <w:r>
        <w:rPr>
          <w:rFonts w:ascii="Times New Roman" w:hAnsi="Times New Roman" w:cs="Times New Roman"/>
          <w:b/>
          <w:sz w:val="28"/>
          <w:szCs w:val="28"/>
        </w:rPr>
        <w:t>(</w:t>
      </w:r>
      <w:r w:rsidRPr="00701B17">
        <w:rPr>
          <w:rFonts w:ascii="Times New Roman" w:hAnsi="Times New Roman" w:cs="Times New Roman"/>
          <w:b/>
          <w:sz w:val="28"/>
          <w:szCs w:val="28"/>
        </w:rPr>
        <w:t xml:space="preserve">EASTERN CAPE DIVISION, </w:t>
      </w:r>
      <w:r w:rsidR="00DD6E7E">
        <w:rPr>
          <w:rFonts w:ascii="Times New Roman" w:hAnsi="Times New Roman" w:cs="Times New Roman"/>
          <w:b/>
          <w:sz w:val="28"/>
          <w:szCs w:val="28"/>
        </w:rPr>
        <w:t>MAKHANDA</w:t>
      </w:r>
      <w:r>
        <w:rPr>
          <w:rFonts w:ascii="Times New Roman" w:hAnsi="Times New Roman" w:cs="Times New Roman"/>
          <w:b/>
          <w:sz w:val="28"/>
          <w:szCs w:val="28"/>
        </w:rPr>
        <w:t>)</w:t>
      </w:r>
    </w:p>
    <w:p w14:paraId="43A200FA" w14:textId="77777777" w:rsidR="00EA1AAE" w:rsidRDefault="00EA1AAE" w:rsidP="00EA1AAE">
      <w:pPr>
        <w:spacing w:line="360" w:lineRule="auto"/>
        <w:ind w:left="720" w:firstLine="720"/>
        <w:jc w:val="both"/>
        <w:rPr>
          <w:rFonts w:ascii="Times New Roman" w:hAnsi="Times New Roman" w:cs="Times New Roman"/>
          <w:b/>
          <w:sz w:val="28"/>
          <w:szCs w:val="28"/>
        </w:rPr>
      </w:pPr>
      <w:r w:rsidRPr="00701B17">
        <w:rPr>
          <w:rFonts w:ascii="Times New Roman" w:hAnsi="Times New Roman" w:cs="Times New Roman"/>
          <w:b/>
          <w:sz w:val="28"/>
          <w:szCs w:val="28"/>
        </w:rPr>
        <w:t xml:space="preserve"> </w:t>
      </w:r>
      <w:r w:rsidRPr="00701B17">
        <w:rPr>
          <w:rFonts w:ascii="Times New Roman" w:hAnsi="Times New Roman" w:cs="Times New Roman"/>
          <w:b/>
          <w:sz w:val="28"/>
          <w:szCs w:val="28"/>
        </w:rPr>
        <w:tab/>
      </w:r>
      <w:r w:rsidRPr="00701B17">
        <w:rPr>
          <w:rFonts w:ascii="Times New Roman" w:hAnsi="Times New Roman" w:cs="Times New Roman"/>
          <w:b/>
          <w:sz w:val="28"/>
          <w:szCs w:val="28"/>
        </w:rPr>
        <w:tab/>
      </w:r>
      <w:r w:rsidRPr="00701B17">
        <w:rPr>
          <w:rFonts w:ascii="Times New Roman" w:hAnsi="Times New Roman" w:cs="Times New Roman"/>
          <w:b/>
          <w:sz w:val="28"/>
          <w:szCs w:val="28"/>
        </w:rPr>
        <w:tab/>
      </w:r>
      <w:r w:rsidRPr="00701B17">
        <w:rPr>
          <w:rFonts w:ascii="Times New Roman" w:hAnsi="Times New Roman" w:cs="Times New Roman"/>
          <w:b/>
          <w:sz w:val="28"/>
          <w:szCs w:val="28"/>
        </w:rPr>
        <w:tab/>
      </w:r>
      <w:r w:rsidRPr="00701B17">
        <w:rPr>
          <w:rFonts w:ascii="Times New Roman" w:hAnsi="Times New Roman" w:cs="Times New Roman"/>
          <w:b/>
          <w:sz w:val="28"/>
          <w:szCs w:val="28"/>
        </w:rPr>
        <w:tab/>
      </w:r>
      <w:r w:rsidRPr="00701B17">
        <w:rPr>
          <w:rFonts w:ascii="Times New Roman" w:hAnsi="Times New Roman" w:cs="Times New Roman"/>
          <w:b/>
          <w:sz w:val="28"/>
          <w:szCs w:val="28"/>
        </w:rPr>
        <w:tab/>
        <w:t xml:space="preserve">  </w:t>
      </w:r>
      <w:r>
        <w:rPr>
          <w:rFonts w:ascii="Times New Roman" w:hAnsi="Times New Roman" w:cs="Times New Roman"/>
          <w:b/>
          <w:sz w:val="28"/>
          <w:szCs w:val="28"/>
        </w:rPr>
        <w:t xml:space="preserve">       </w:t>
      </w:r>
    </w:p>
    <w:p w14:paraId="390C42CC" w14:textId="77777777" w:rsidR="00EA1AAE" w:rsidRPr="00701B17" w:rsidRDefault="00EA1AAE" w:rsidP="00EA1AAE">
      <w:pPr>
        <w:spacing w:line="360" w:lineRule="auto"/>
        <w:ind w:left="5760"/>
        <w:jc w:val="both"/>
        <w:rPr>
          <w:rFonts w:ascii="Times New Roman" w:hAnsi="Times New Roman" w:cs="Times New Roman"/>
          <w:b/>
          <w:sz w:val="28"/>
          <w:szCs w:val="28"/>
        </w:rPr>
      </w:pPr>
      <w:r>
        <w:rPr>
          <w:rFonts w:ascii="Times New Roman" w:hAnsi="Times New Roman" w:cs="Times New Roman"/>
          <w:b/>
          <w:sz w:val="28"/>
          <w:szCs w:val="28"/>
        </w:rPr>
        <w:t xml:space="preserve">          </w:t>
      </w:r>
      <w:r w:rsidR="001444DD">
        <w:rPr>
          <w:rFonts w:ascii="Times New Roman" w:hAnsi="Times New Roman" w:cs="Times New Roman"/>
          <w:b/>
          <w:sz w:val="28"/>
          <w:szCs w:val="28"/>
        </w:rPr>
        <w:t xml:space="preserve">  </w:t>
      </w:r>
      <w:r w:rsidRPr="00701B17">
        <w:rPr>
          <w:rFonts w:ascii="Times New Roman" w:hAnsi="Times New Roman" w:cs="Times New Roman"/>
          <w:b/>
          <w:sz w:val="28"/>
          <w:szCs w:val="28"/>
        </w:rPr>
        <w:t xml:space="preserve">CASE NO. </w:t>
      </w:r>
      <w:r w:rsidR="008C3B60">
        <w:rPr>
          <w:rFonts w:ascii="Times New Roman" w:hAnsi="Times New Roman" w:cs="Times New Roman"/>
          <w:b/>
          <w:sz w:val="28"/>
          <w:szCs w:val="28"/>
        </w:rPr>
        <w:t>380/2023</w:t>
      </w:r>
    </w:p>
    <w:p w14:paraId="266B6CFE" w14:textId="77777777" w:rsidR="00EA1AAE" w:rsidRDefault="00EA1AAE" w:rsidP="00EA1AAE">
      <w:pPr>
        <w:spacing w:line="360" w:lineRule="auto"/>
        <w:jc w:val="both"/>
        <w:rPr>
          <w:rFonts w:ascii="Times New Roman" w:hAnsi="Times New Roman" w:cs="Times New Roman"/>
          <w:sz w:val="28"/>
          <w:szCs w:val="28"/>
        </w:rPr>
      </w:pPr>
      <w:r>
        <w:rPr>
          <w:rFonts w:ascii="Times New Roman" w:hAnsi="Times New Roman" w:cs="Times New Roman"/>
          <w:sz w:val="28"/>
          <w:szCs w:val="28"/>
        </w:rPr>
        <w:t>In the matter between:</w:t>
      </w:r>
    </w:p>
    <w:p w14:paraId="024120CC" w14:textId="77777777" w:rsidR="00EA1AAE" w:rsidRDefault="00EA1AAE" w:rsidP="00EA1AAE">
      <w:pPr>
        <w:spacing w:line="360" w:lineRule="auto"/>
        <w:jc w:val="both"/>
        <w:rPr>
          <w:rFonts w:ascii="Times New Roman" w:hAnsi="Times New Roman" w:cs="Times New Roman"/>
          <w:sz w:val="28"/>
          <w:szCs w:val="28"/>
        </w:rPr>
      </w:pPr>
    </w:p>
    <w:p w14:paraId="1793E164" w14:textId="77777777" w:rsidR="008C3B60" w:rsidRDefault="008C3B60" w:rsidP="008C3B60">
      <w:pPr>
        <w:spacing w:line="360" w:lineRule="auto"/>
        <w:jc w:val="both"/>
        <w:rPr>
          <w:rFonts w:ascii="Times New Roman" w:hAnsi="Times New Roman" w:cs="Times New Roman"/>
          <w:sz w:val="28"/>
          <w:szCs w:val="28"/>
        </w:rPr>
      </w:pPr>
      <w:r>
        <w:rPr>
          <w:rFonts w:ascii="Times New Roman" w:hAnsi="Times New Roman" w:cs="Times New Roman"/>
          <w:b/>
          <w:sz w:val="28"/>
          <w:szCs w:val="28"/>
        </w:rPr>
        <w:t>JG AFRI</w:t>
      </w:r>
      <w:r w:rsidR="001444DD">
        <w:rPr>
          <w:rFonts w:ascii="Times New Roman" w:hAnsi="Times New Roman" w:cs="Times New Roman"/>
          <w:b/>
          <w:sz w:val="28"/>
          <w:szCs w:val="28"/>
        </w:rPr>
        <w:t>K</w:t>
      </w:r>
      <w:r>
        <w:rPr>
          <w:rFonts w:ascii="Times New Roman" w:hAnsi="Times New Roman" w:cs="Times New Roman"/>
          <w:b/>
          <w:sz w:val="28"/>
          <w:szCs w:val="28"/>
        </w:rPr>
        <w:t xml:space="preserve">A </w:t>
      </w:r>
      <w:r w:rsidR="001444DD">
        <w:rPr>
          <w:rFonts w:ascii="Times New Roman" w:hAnsi="Times New Roman" w:cs="Times New Roman"/>
          <w:b/>
          <w:sz w:val="28"/>
          <w:szCs w:val="28"/>
        </w:rPr>
        <w:t>(PTY) LIMITED</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1444DD">
        <w:rPr>
          <w:rFonts w:ascii="Times New Roman" w:hAnsi="Times New Roman" w:cs="Times New Roman"/>
          <w:sz w:val="28"/>
          <w:szCs w:val="28"/>
        </w:rPr>
        <w:tab/>
        <w:t xml:space="preserve">   </w:t>
      </w:r>
      <w:r>
        <w:rPr>
          <w:rFonts w:ascii="Times New Roman" w:hAnsi="Times New Roman" w:cs="Times New Roman"/>
          <w:sz w:val="28"/>
          <w:szCs w:val="28"/>
        </w:rPr>
        <w:t>Plaintiff</w:t>
      </w:r>
      <w:r w:rsidR="001444DD">
        <w:rPr>
          <w:rFonts w:ascii="Times New Roman" w:hAnsi="Times New Roman" w:cs="Times New Roman"/>
          <w:sz w:val="28"/>
          <w:szCs w:val="28"/>
        </w:rPr>
        <w:t>/Respondent</w:t>
      </w:r>
    </w:p>
    <w:p w14:paraId="1F3A8469" w14:textId="77777777" w:rsidR="008C3B60" w:rsidRDefault="008C3B60" w:rsidP="008C3B60">
      <w:pPr>
        <w:spacing w:line="360" w:lineRule="auto"/>
        <w:jc w:val="both"/>
        <w:rPr>
          <w:rFonts w:ascii="Times New Roman" w:hAnsi="Times New Roman" w:cs="Times New Roman"/>
          <w:sz w:val="28"/>
          <w:szCs w:val="28"/>
        </w:rPr>
      </w:pPr>
    </w:p>
    <w:p w14:paraId="22F67AC6" w14:textId="77777777" w:rsidR="008C3B60" w:rsidRDefault="008C3B60" w:rsidP="008C3B60">
      <w:pPr>
        <w:spacing w:line="360" w:lineRule="auto"/>
        <w:jc w:val="both"/>
        <w:rPr>
          <w:rFonts w:ascii="Times New Roman" w:hAnsi="Times New Roman" w:cs="Times New Roman"/>
          <w:sz w:val="28"/>
          <w:szCs w:val="28"/>
        </w:rPr>
      </w:pPr>
      <w:r>
        <w:rPr>
          <w:rFonts w:ascii="Times New Roman" w:hAnsi="Times New Roman" w:cs="Times New Roman"/>
          <w:sz w:val="28"/>
          <w:szCs w:val="28"/>
        </w:rPr>
        <w:t>and</w:t>
      </w:r>
    </w:p>
    <w:p w14:paraId="64D0D478" w14:textId="77777777" w:rsidR="008C3B60" w:rsidRDefault="008C3B60" w:rsidP="008C3B60">
      <w:pPr>
        <w:spacing w:line="360" w:lineRule="auto"/>
        <w:jc w:val="both"/>
        <w:rPr>
          <w:rFonts w:ascii="Times New Roman" w:hAnsi="Times New Roman" w:cs="Times New Roman"/>
          <w:sz w:val="28"/>
          <w:szCs w:val="28"/>
        </w:rPr>
      </w:pPr>
    </w:p>
    <w:p w14:paraId="3A73F7EE" w14:textId="77777777" w:rsidR="008C3B60" w:rsidRDefault="001444DD" w:rsidP="008C3B60">
      <w:pPr>
        <w:spacing w:line="360" w:lineRule="auto"/>
        <w:jc w:val="both"/>
        <w:rPr>
          <w:rFonts w:ascii="Times New Roman" w:hAnsi="Times New Roman" w:cs="Times New Roman"/>
          <w:sz w:val="28"/>
          <w:szCs w:val="28"/>
        </w:rPr>
      </w:pPr>
      <w:r>
        <w:rPr>
          <w:rFonts w:ascii="Times New Roman" w:hAnsi="Times New Roman" w:cs="Times New Roman"/>
          <w:b/>
          <w:sz w:val="28"/>
          <w:szCs w:val="28"/>
        </w:rPr>
        <w:t>INTSIKA YETHU MUNICIPALITY</w:t>
      </w:r>
      <w:r w:rsidR="008C3B60">
        <w:rPr>
          <w:rFonts w:ascii="Times New Roman" w:hAnsi="Times New Roman" w:cs="Times New Roman"/>
          <w:b/>
          <w:sz w:val="28"/>
          <w:szCs w:val="28"/>
        </w:rPr>
        <w:t xml:space="preserve">        </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 xml:space="preserve">   </w:t>
      </w:r>
      <w:r w:rsidR="008C3B60">
        <w:rPr>
          <w:rFonts w:ascii="Times New Roman" w:hAnsi="Times New Roman" w:cs="Times New Roman"/>
          <w:sz w:val="28"/>
          <w:szCs w:val="28"/>
        </w:rPr>
        <w:t>Defendant</w:t>
      </w:r>
      <w:r>
        <w:rPr>
          <w:rFonts w:ascii="Times New Roman" w:hAnsi="Times New Roman" w:cs="Times New Roman"/>
          <w:sz w:val="28"/>
          <w:szCs w:val="28"/>
        </w:rPr>
        <w:t>/Excipient</w:t>
      </w:r>
    </w:p>
    <w:p w14:paraId="0DFB345D" w14:textId="77777777" w:rsidR="008C3B60" w:rsidRDefault="008C3B60" w:rsidP="00EA1AAE">
      <w:pPr>
        <w:spacing w:line="360" w:lineRule="auto"/>
        <w:jc w:val="both"/>
        <w:rPr>
          <w:rFonts w:ascii="Times New Roman" w:hAnsi="Times New Roman" w:cs="Times New Roman"/>
          <w:sz w:val="28"/>
          <w:szCs w:val="28"/>
        </w:rPr>
      </w:pPr>
    </w:p>
    <w:p w14:paraId="79149186" w14:textId="77777777" w:rsidR="00354A12" w:rsidRPr="003C36E9" w:rsidRDefault="00354A12" w:rsidP="00354A12">
      <w:pPr>
        <w:pBdr>
          <w:bottom w:val="single" w:sz="12" w:space="1" w:color="auto"/>
        </w:pBdr>
        <w:spacing w:line="240" w:lineRule="auto"/>
        <w:jc w:val="both"/>
        <w:rPr>
          <w:rFonts w:ascii="Times New Roman" w:hAnsi="Times New Roman" w:cs="Times New Roman"/>
          <w:sz w:val="28"/>
          <w:szCs w:val="28"/>
        </w:rPr>
      </w:pPr>
    </w:p>
    <w:p w14:paraId="251FB54C" w14:textId="77777777" w:rsidR="00354A12" w:rsidRPr="003C36E9" w:rsidRDefault="00354A12" w:rsidP="00354A12">
      <w:pPr>
        <w:spacing w:line="240" w:lineRule="auto"/>
        <w:jc w:val="both"/>
        <w:rPr>
          <w:rFonts w:ascii="Times New Roman" w:hAnsi="Times New Roman" w:cs="Times New Roman"/>
          <w:sz w:val="28"/>
          <w:szCs w:val="28"/>
        </w:rPr>
      </w:pPr>
    </w:p>
    <w:p w14:paraId="4C7AE293" w14:textId="77777777" w:rsidR="00354A12" w:rsidRPr="003C36E9" w:rsidRDefault="00354A12" w:rsidP="00354A12">
      <w:pPr>
        <w:pBdr>
          <w:bottom w:val="single" w:sz="12" w:space="1" w:color="auto"/>
        </w:pBdr>
        <w:spacing w:line="240" w:lineRule="auto"/>
        <w:jc w:val="center"/>
        <w:rPr>
          <w:rFonts w:ascii="Times New Roman" w:hAnsi="Times New Roman" w:cs="Times New Roman"/>
          <w:b/>
          <w:sz w:val="28"/>
          <w:szCs w:val="28"/>
        </w:rPr>
      </w:pPr>
      <w:r w:rsidRPr="003C36E9">
        <w:rPr>
          <w:rFonts w:ascii="Times New Roman" w:hAnsi="Times New Roman" w:cs="Times New Roman"/>
          <w:b/>
          <w:sz w:val="28"/>
          <w:szCs w:val="28"/>
        </w:rPr>
        <w:t>JUDGMENT</w:t>
      </w:r>
    </w:p>
    <w:p w14:paraId="21530390" w14:textId="77777777" w:rsidR="00354A12" w:rsidRPr="003C36E9" w:rsidRDefault="00354A12" w:rsidP="00354A12">
      <w:pPr>
        <w:pBdr>
          <w:bottom w:val="single" w:sz="12" w:space="1" w:color="auto"/>
        </w:pBdr>
        <w:spacing w:line="240" w:lineRule="auto"/>
        <w:jc w:val="both"/>
        <w:rPr>
          <w:rFonts w:ascii="Times New Roman" w:hAnsi="Times New Roman" w:cs="Times New Roman"/>
          <w:sz w:val="28"/>
          <w:szCs w:val="28"/>
        </w:rPr>
      </w:pPr>
    </w:p>
    <w:p w14:paraId="08BC5CD8" w14:textId="77777777" w:rsidR="00354A12" w:rsidRPr="003C36E9" w:rsidRDefault="00354A12" w:rsidP="00354A12">
      <w:pPr>
        <w:spacing w:line="240" w:lineRule="auto"/>
        <w:jc w:val="both"/>
        <w:rPr>
          <w:rFonts w:ascii="Times New Roman" w:hAnsi="Times New Roman" w:cs="Times New Roman"/>
          <w:sz w:val="28"/>
          <w:szCs w:val="28"/>
        </w:rPr>
      </w:pPr>
    </w:p>
    <w:p w14:paraId="3D42806B" w14:textId="77777777" w:rsidR="00354A12" w:rsidRPr="003C36E9" w:rsidRDefault="00354A12" w:rsidP="00354A12">
      <w:pPr>
        <w:spacing w:line="360" w:lineRule="auto"/>
        <w:jc w:val="both"/>
        <w:rPr>
          <w:rFonts w:ascii="Times New Roman" w:hAnsi="Times New Roman" w:cs="Times New Roman"/>
          <w:b/>
          <w:sz w:val="28"/>
          <w:szCs w:val="28"/>
        </w:rPr>
      </w:pPr>
    </w:p>
    <w:p w14:paraId="3B455A52" w14:textId="77777777" w:rsidR="00B02F93" w:rsidRDefault="00B02F93" w:rsidP="00B02F93">
      <w:pPr>
        <w:spacing w:line="360" w:lineRule="auto"/>
        <w:jc w:val="both"/>
        <w:rPr>
          <w:rFonts w:ascii="Times New Roman" w:hAnsi="Times New Roman" w:cs="Times New Roman"/>
          <w:b/>
          <w:sz w:val="28"/>
          <w:szCs w:val="28"/>
        </w:rPr>
      </w:pPr>
      <w:r>
        <w:rPr>
          <w:rFonts w:ascii="Times New Roman" w:hAnsi="Times New Roman" w:cs="Times New Roman"/>
          <w:b/>
          <w:sz w:val="28"/>
          <w:szCs w:val="28"/>
        </w:rPr>
        <w:t>Rugunanan J</w:t>
      </w:r>
    </w:p>
    <w:p w14:paraId="6EA6C045" w14:textId="77777777" w:rsidR="00B02F93" w:rsidRDefault="00B02F93" w:rsidP="00B02F93">
      <w:pPr>
        <w:spacing w:line="360" w:lineRule="auto"/>
        <w:jc w:val="both"/>
        <w:rPr>
          <w:rFonts w:ascii="Times New Roman" w:hAnsi="Times New Roman" w:cs="Times New Roman"/>
          <w:b/>
          <w:sz w:val="28"/>
          <w:szCs w:val="28"/>
        </w:rPr>
      </w:pPr>
    </w:p>
    <w:p w14:paraId="0E2B1805" w14:textId="50BB5C65" w:rsidR="00B02F93" w:rsidRDefault="00600B7E" w:rsidP="00600B7E">
      <w:pPr>
        <w:pStyle w:val="LegalList1"/>
        <w:tabs>
          <w:tab w:val="left" w:pos="567"/>
        </w:tabs>
        <w:spacing w:line="360" w:lineRule="auto"/>
        <w:rPr>
          <w:rFonts w:ascii="Times New Roman" w:hAnsi="Times New Roman"/>
          <w:sz w:val="28"/>
          <w:szCs w:val="28"/>
        </w:rPr>
      </w:pPr>
      <w:r>
        <w:rPr>
          <w:rFonts w:ascii="Times New Roman" w:hAnsi="Times New Roman"/>
          <w:sz w:val="28"/>
          <w:szCs w:val="28"/>
        </w:rPr>
        <w:t>[1]</w:t>
      </w:r>
      <w:r>
        <w:rPr>
          <w:rFonts w:ascii="Times New Roman" w:hAnsi="Times New Roman"/>
          <w:sz w:val="28"/>
          <w:szCs w:val="28"/>
        </w:rPr>
        <w:tab/>
      </w:r>
      <w:r w:rsidR="00B02F93">
        <w:rPr>
          <w:rFonts w:ascii="Times New Roman" w:hAnsi="Times New Roman"/>
          <w:sz w:val="28"/>
          <w:szCs w:val="28"/>
        </w:rPr>
        <w:t xml:space="preserve">The dispute between the parties arises from an exception noted by the </w:t>
      </w:r>
      <w:r w:rsidR="003F61D5">
        <w:rPr>
          <w:rFonts w:ascii="Times New Roman" w:hAnsi="Times New Roman"/>
          <w:sz w:val="28"/>
          <w:szCs w:val="28"/>
        </w:rPr>
        <w:t xml:space="preserve">excipient (the </w:t>
      </w:r>
      <w:r w:rsidR="00B02F93">
        <w:rPr>
          <w:rFonts w:ascii="Times New Roman" w:hAnsi="Times New Roman"/>
          <w:sz w:val="28"/>
          <w:szCs w:val="28"/>
        </w:rPr>
        <w:t>defendant</w:t>
      </w:r>
      <w:r w:rsidR="003F61D5">
        <w:rPr>
          <w:rFonts w:ascii="Times New Roman" w:hAnsi="Times New Roman"/>
          <w:sz w:val="28"/>
          <w:szCs w:val="28"/>
        </w:rPr>
        <w:t>)</w:t>
      </w:r>
      <w:r w:rsidR="00B02F93">
        <w:rPr>
          <w:rFonts w:ascii="Times New Roman" w:hAnsi="Times New Roman"/>
          <w:sz w:val="28"/>
          <w:szCs w:val="28"/>
        </w:rPr>
        <w:t xml:space="preserve"> against the amended particulars of c</w:t>
      </w:r>
      <w:r w:rsidR="003738CE">
        <w:rPr>
          <w:rFonts w:ascii="Times New Roman" w:hAnsi="Times New Roman"/>
          <w:sz w:val="28"/>
          <w:szCs w:val="28"/>
        </w:rPr>
        <w:t>laim of the respondent (the plaintiff).</w:t>
      </w:r>
    </w:p>
    <w:p w14:paraId="26454286" w14:textId="01F5E0BD" w:rsidR="00B02F93" w:rsidRDefault="00600B7E" w:rsidP="00600B7E">
      <w:pPr>
        <w:pStyle w:val="LegalList1"/>
        <w:tabs>
          <w:tab w:val="left" w:pos="567"/>
        </w:tabs>
        <w:spacing w:line="360" w:lineRule="auto"/>
        <w:rPr>
          <w:rFonts w:ascii="Times New Roman" w:hAnsi="Times New Roman"/>
          <w:sz w:val="28"/>
          <w:szCs w:val="28"/>
        </w:rPr>
      </w:pPr>
      <w:r>
        <w:rPr>
          <w:rFonts w:ascii="Times New Roman" w:hAnsi="Times New Roman"/>
          <w:sz w:val="28"/>
          <w:szCs w:val="28"/>
        </w:rPr>
        <w:lastRenderedPageBreak/>
        <w:t>[2]</w:t>
      </w:r>
      <w:r>
        <w:rPr>
          <w:rFonts w:ascii="Times New Roman" w:hAnsi="Times New Roman"/>
          <w:sz w:val="28"/>
          <w:szCs w:val="28"/>
        </w:rPr>
        <w:tab/>
      </w:r>
      <w:r w:rsidR="00B02F93">
        <w:rPr>
          <w:rFonts w:ascii="Times New Roman" w:hAnsi="Times New Roman"/>
          <w:sz w:val="28"/>
          <w:szCs w:val="28"/>
        </w:rPr>
        <w:t>The complaint is that the pleading lacks averments to sustain a cause of action.</w:t>
      </w:r>
    </w:p>
    <w:p w14:paraId="4A15C5D4" w14:textId="70A1959F" w:rsidR="009B6969" w:rsidRDefault="00600B7E" w:rsidP="00600B7E">
      <w:pPr>
        <w:pStyle w:val="LegalList1"/>
        <w:tabs>
          <w:tab w:val="left" w:pos="567"/>
        </w:tabs>
        <w:spacing w:line="360" w:lineRule="auto"/>
        <w:rPr>
          <w:rFonts w:ascii="Times New Roman" w:hAnsi="Times New Roman"/>
          <w:sz w:val="28"/>
          <w:szCs w:val="28"/>
        </w:rPr>
      </w:pPr>
      <w:r>
        <w:rPr>
          <w:rFonts w:ascii="Times New Roman" w:hAnsi="Times New Roman"/>
          <w:sz w:val="28"/>
          <w:szCs w:val="28"/>
        </w:rPr>
        <w:t>[3]</w:t>
      </w:r>
      <w:r>
        <w:rPr>
          <w:rFonts w:ascii="Times New Roman" w:hAnsi="Times New Roman"/>
          <w:sz w:val="28"/>
          <w:szCs w:val="28"/>
        </w:rPr>
        <w:tab/>
      </w:r>
      <w:r w:rsidR="008939E2">
        <w:rPr>
          <w:rFonts w:ascii="Times New Roman" w:hAnsi="Times New Roman"/>
          <w:sz w:val="28"/>
          <w:szCs w:val="28"/>
        </w:rPr>
        <w:t xml:space="preserve">In </w:t>
      </w:r>
      <w:r w:rsidR="00287696">
        <w:rPr>
          <w:rFonts w:ascii="Times New Roman" w:hAnsi="Times New Roman"/>
          <w:sz w:val="28"/>
          <w:szCs w:val="28"/>
        </w:rPr>
        <w:t>arriving at the conclusion at the end of this judgment, I have had recourse to the following legal principles</w:t>
      </w:r>
      <w:r w:rsidR="00FB1DB0">
        <w:rPr>
          <w:rFonts w:ascii="Times New Roman" w:hAnsi="Times New Roman"/>
          <w:sz w:val="28"/>
          <w:szCs w:val="28"/>
        </w:rPr>
        <w:t xml:space="preserve"> in evaluating the defendant’s exception</w:t>
      </w:r>
      <w:r w:rsidR="009B6969">
        <w:rPr>
          <w:rFonts w:ascii="Times New Roman" w:hAnsi="Times New Roman"/>
          <w:sz w:val="28"/>
          <w:szCs w:val="28"/>
        </w:rPr>
        <w:t>.</w:t>
      </w:r>
      <w:r w:rsidR="00226FC0">
        <w:rPr>
          <w:rStyle w:val="FootnoteReference"/>
          <w:rFonts w:ascii="Times New Roman" w:hAnsi="Times New Roman"/>
          <w:sz w:val="28"/>
          <w:szCs w:val="28"/>
        </w:rPr>
        <w:footnoteReference w:id="1"/>
      </w:r>
    </w:p>
    <w:p w14:paraId="405323DE" w14:textId="66BCB611" w:rsidR="008939E2" w:rsidRDefault="00600B7E" w:rsidP="00600B7E">
      <w:pPr>
        <w:pStyle w:val="LegalList1"/>
        <w:tabs>
          <w:tab w:val="left" w:pos="567"/>
        </w:tabs>
        <w:spacing w:line="360" w:lineRule="auto"/>
        <w:rPr>
          <w:rFonts w:ascii="Times New Roman" w:hAnsi="Times New Roman"/>
          <w:sz w:val="28"/>
          <w:szCs w:val="28"/>
        </w:rPr>
      </w:pPr>
      <w:r>
        <w:rPr>
          <w:rFonts w:ascii="Times New Roman" w:hAnsi="Times New Roman"/>
          <w:sz w:val="28"/>
          <w:szCs w:val="28"/>
        </w:rPr>
        <w:t>[4]</w:t>
      </w:r>
      <w:r>
        <w:rPr>
          <w:rFonts w:ascii="Times New Roman" w:hAnsi="Times New Roman"/>
          <w:sz w:val="28"/>
          <w:szCs w:val="28"/>
        </w:rPr>
        <w:tab/>
      </w:r>
      <w:r w:rsidR="009B6969">
        <w:rPr>
          <w:rFonts w:ascii="Times New Roman" w:hAnsi="Times New Roman"/>
          <w:sz w:val="28"/>
          <w:szCs w:val="28"/>
        </w:rPr>
        <w:t xml:space="preserve">In </w:t>
      </w:r>
      <w:r w:rsidR="008939E2">
        <w:rPr>
          <w:rFonts w:ascii="Times New Roman" w:hAnsi="Times New Roman"/>
          <w:sz w:val="28"/>
          <w:szCs w:val="28"/>
        </w:rPr>
        <w:t>considering an exception that a pleading does not sustain a cause of a</w:t>
      </w:r>
      <w:r w:rsidR="00A4320F">
        <w:rPr>
          <w:rFonts w:ascii="Times New Roman" w:hAnsi="Times New Roman"/>
          <w:sz w:val="28"/>
          <w:szCs w:val="28"/>
        </w:rPr>
        <w:t>ction the court will accept</w:t>
      </w:r>
      <w:r w:rsidR="00D26E82">
        <w:rPr>
          <w:rFonts w:ascii="Times New Roman" w:hAnsi="Times New Roman"/>
          <w:sz w:val="28"/>
          <w:szCs w:val="28"/>
        </w:rPr>
        <w:t xml:space="preserve"> as correct</w:t>
      </w:r>
      <w:r w:rsidR="008939E2">
        <w:rPr>
          <w:rFonts w:ascii="Times New Roman" w:hAnsi="Times New Roman"/>
          <w:sz w:val="28"/>
          <w:szCs w:val="28"/>
        </w:rPr>
        <w:t xml:space="preserve"> the allegations pleaded by the plaintiff. Upon any construction of the particulars of claim it must be established by the excipient that no cause of action is disclosed</w:t>
      </w:r>
      <w:r w:rsidR="008939E2">
        <w:rPr>
          <w:rStyle w:val="FootnoteReference"/>
          <w:rFonts w:ascii="Times New Roman" w:hAnsi="Times New Roman"/>
          <w:sz w:val="28"/>
          <w:szCs w:val="28"/>
        </w:rPr>
        <w:footnoteReference w:id="2"/>
      </w:r>
      <w:r w:rsidR="008939E2">
        <w:rPr>
          <w:rFonts w:ascii="Times New Roman" w:hAnsi="Times New Roman"/>
          <w:sz w:val="28"/>
          <w:szCs w:val="28"/>
        </w:rPr>
        <w:t xml:space="preserve">. Put otherwise, </w:t>
      </w:r>
      <w:r w:rsidR="008939E2">
        <w:rPr>
          <w:rFonts w:ascii="Times New Roman" w:hAnsi="Times New Roman"/>
          <w:i/>
          <w:sz w:val="28"/>
          <w:szCs w:val="28"/>
        </w:rPr>
        <w:t>ex facie</w:t>
      </w:r>
      <w:r w:rsidR="008939E2">
        <w:rPr>
          <w:rFonts w:ascii="Times New Roman" w:hAnsi="Times New Roman"/>
          <w:sz w:val="28"/>
          <w:szCs w:val="28"/>
        </w:rPr>
        <w:t xml:space="preserve"> the allegations made by a plaintiff and any document upon which his or her cause of action may be based, it must be shown that the claim </w:t>
      </w:r>
      <w:r w:rsidR="000D4CFD">
        <w:rPr>
          <w:rFonts w:ascii="Times New Roman" w:hAnsi="Times New Roman"/>
          <w:sz w:val="28"/>
          <w:szCs w:val="28"/>
        </w:rPr>
        <w:t xml:space="preserve">is </w:t>
      </w:r>
      <w:r w:rsidR="008939E2">
        <w:rPr>
          <w:rFonts w:ascii="Times New Roman" w:hAnsi="Times New Roman"/>
          <w:sz w:val="28"/>
          <w:szCs w:val="28"/>
        </w:rPr>
        <w:t>bad in law</w:t>
      </w:r>
      <w:r w:rsidR="000D4CFD">
        <w:rPr>
          <w:rFonts w:ascii="Times New Roman" w:hAnsi="Times New Roman"/>
          <w:sz w:val="28"/>
          <w:szCs w:val="28"/>
        </w:rPr>
        <w:t>.</w:t>
      </w:r>
      <w:r w:rsidR="008939E2">
        <w:rPr>
          <w:rStyle w:val="FootnoteReference"/>
          <w:rFonts w:ascii="Times New Roman" w:hAnsi="Times New Roman"/>
          <w:sz w:val="28"/>
          <w:szCs w:val="28"/>
        </w:rPr>
        <w:footnoteReference w:id="3"/>
      </w:r>
      <w:r w:rsidR="008939E2">
        <w:rPr>
          <w:rFonts w:ascii="Times New Roman" w:hAnsi="Times New Roman"/>
          <w:sz w:val="28"/>
          <w:szCs w:val="28"/>
        </w:rPr>
        <w:t xml:space="preserve"> </w:t>
      </w:r>
      <w:r w:rsidR="00755EBB">
        <w:rPr>
          <w:rFonts w:ascii="Times New Roman" w:hAnsi="Times New Roman"/>
          <w:sz w:val="28"/>
          <w:szCs w:val="28"/>
        </w:rPr>
        <w:t>Failing this the exception ought not to be upheld.</w:t>
      </w:r>
      <w:r w:rsidR="00755EBB">
        <w:rPr>
          <w:rStyle w:val="FootnoteReference"/>
          <w:rFonts w:ascii="Times New Roman" w:hAnsi="Times New Roman"/>
          <w:sz w:val="28"/>
          <w:szCs w:val="28"/>
        </w:rPr>
        <w:footnoteReference w:id="4"/>
      </w:r>
    </w:p>
    <w:p w14:paraId="5093CAEC" w14:textId="5DC196A2" w:rsidR="008939E2" w:rsidRDefault="00600B7E" w:rsidP="00600B7E">
      <w:pPr>
        <w:pStyle w:val="LegalList1"/>
        <w:tabs>
          <w:tab w:val="left" w:pos="567"/>
        </w:tabs>
        <w:spacing w:line="360" w:lineRule="auto"/>
        <w:rPr>
          <w:rFonts w:ascii="Times New Roman" w:hAnsi="Times New Roman"/>
          <w:sz w:val="28"/>
          <w:szCs w:val="28"/>
        </w:rPr>
      </w:pPr>
      <w:r>
        <w:rPr>
          <w:rFonts w:ascii="Times New Roman" w:hAnsi="Times New Roman"/>
          <w:sz w:val="28"/>
          <w:szCs w:val="28"/>
        </w:rPr>
        <w:t>[5]</w:t>
      </w:r>
      <w:r>
        <w:rPr>
          <w:rFonts w:ascii="Times New Roman" w:hAnsi="Times New Roman"/>
          <w:sz w:val="28"/>
          <w:szCs w:val="28"/>
        </w:rPr>
        <w:tab/>
      </w:r>
      <w:r w:rsidR="008939E2">
        <w:rPr>
          <w:rFonts w:ascii="Times New Roman" w:hAnsi="Times New Roman"/>
          <w:sz w:val="28"/>
          <w:szCs w:val="28"/>
        </w:rPr>
        <w:t>An over technical approach should be avoided for the reason that it destroys the usefulness of the exception procedure, which is to weed out cases without legal merit.</w:t>
      </w:r>
      <w:r w:rsidR="008939E2">
        <w:rPr>
          <w:rStyle w:val="FootnoteReference"/>
          <w:rFonts w:ascii="Times New Roman" w:hAnsi="Times New Roman"/>
          <w:sz w:val="28"/>
          <w:szCs w:val="28"/>
        </w:rPr>
        <w:footnoteReference w:id="5"/>
      </w:r>
    </w:p>
    <w:p w14:paraId="50DCA051" w14:textId="71582648" w:rsidR="008939E2" w:rsidRDefault="00600B7E" w:rsidP="00600B7E">
      <w:pPr>
        <w:pStyle w:val="LegalList1"/>
        <w:tabs>
          <w:tab w:val="left" w:pos="567"/>
        </w:tabs>
        <w:spacing w:line="360" w:lineRule="auto"/>
        <w:rPr>
          <w:rFonts w:ascii="Times New Roman" w:hAnsi="Times New Roman"/>
          <w:sz w:val="28"/>
          <w:szCs w:val="28"/>
        </w:rPr>
      </w:pPr>
      <w:r>
        <w:rPr>
          <w:rFonts w:ascii="Times New Roman" w:hAnsi="Times New Roman"/>
          <w:sz w:val="28"/>
          <w:szCs w:val="28"/>
        </w:rPr>
        <w:t>[6]</w:t>
      </w:r>
      <w:r>
        <w:rPr>
          <w:rFonts w:ascii="Times New Roman" w:hAnsi="Times New Roman"/>
          <w:sz w:val="28"/>
          <w:szCs w:val="28"/>
        </w:rPr>
        <w:tab/>
      </w:r>
      <w:r w:rsidR="008939E2">
        <w:rPr>
          <w:rFonts w:ascii="Times New Roman" w:hAnsi="Times New Roman"/>
          <w:sz w:val="28"/>
          <w:szCs w:val="28"/>
        </w:rPr>
        <w:t>Pleadings must be read as a whole and an exception cannot be taken to a paragraph or a part of a pleading that is not self-contained.</w:t>
      </w:r>
      <w:r w:rsidR="008939E2">
        <w:rPr>
          <w:rStyle w:val="FootnoteReference"/>
          <w:rFonts w:ascii="Times New Roman" w:hAnsi="Times New Roman"/>
          <w:sz w:val="28"/>
          <w:szCs w:val="28"/>
        </w:rPr>
        <w:footnoteReference w:id="6"/>
      </w:r>
    </w:p>
    <w:p w14:paraId="3AFF226F" w14:textId="0D578363" w:rsidR="008939E2" w:rsidRDefault="00600B7E" w:rsidP="00600B7E">
      <w:pPr>
        <w:pStyle w:val="LegalList1"/>
        <w:tabs>
          <w:tab w:val="left" w:pos="567"/>
        </w:tabs>
        <w:spacing w:line="360" w:lineRule="auto"/>
        <w:rPr>
          <w:rFonts w:ascii="Times New Roman" w:hAnsi="Times New Roman"/>
          <w:sz w:val="28"/>
          <w:szCs w:val="28"/>
        </w:rPr>
      </w:pPr>
      <w:r>
        <w:rPr>
          <w:rFonts w:ascii="Times New Roman" w:hAnsi="Times New Roman"/>
          <w:sz w:val="28"/>
          <w:szCs w:val="28"/>
        </w:rPr>
        <w:t>[7]</w:t>
      </w:r>
      <w:r>
        <w:rPr>
          <w:rFonts w:ascii="Times New Roman" w:hAnsi="Times New Roman"/>
          <w:sz w:val="28"/>
          <w:szCs w:val="28"/>
        </w:rPr>
        <w:tab/>
      </w:r>
      <w:r w:rsidR="008939E2">
        <w:rPr>
          <w:rFonts w:ascii="Times New Roman" w:hAnsi="Times New Roman"/>
          <w:sz w:val="28"/>
          <w:szCs w:val="28"/>
        </w:rPr>
        <w:t>Minor blemishes and uncritical embarrassments caused by a pleading can and should be cured by further particulars.</w:t>
      </w:r>
    </w:p>
    <w:p w14:paraId="68D8E273" w14:textId="199F3F99" w:rsidR="008939E2" w:rsidRDefault="00600B7E" w:rsidP="00600B7E">
      <w:pPr>
        <w:pStyle w:val="LegalList1"/>
        <w:tabs>
          <w:tab w:val="left" w:pos="567"/>
        </w:tabs>
        <w:spacing w:after="0" w:line="360" w:lineRule="auto"/>
        <w:rPr>
          <w:rFonts w:ascii="Times New Roman" w:hAnsi="Times New Roman"/>
          <w:sz w:val="28"/>
          <w:szCs w:val="28"/>
        </w:rPr>
      </w:pPr>
      <w:r>
        <w:rPr>
          <w:rFonts w:ascii="Times New Roman" w:hAnsi="Times New Roman"/>
          <w:sz w:val="28"/>
          <w:szCs w:val="28"/>
        </w:rPr>
        <w:t>[8]</w:t>
      </w:r>
      <w:r>
        <w:rPr>
          <w:rFonts w:ascii="Times New Roman" w:hAnsi="Times New Roman"/>
          <w:sz w:val="28"/>
          <w:szCs w:val="28"/>
        </w:rPr>
        <w:tab/>
      </w:r>
      <w:r w:rsidR="008939E2">
        <w:rPr>
          <w:rFonts w:ascii="Times New Roman" w:hAnsi="Times New Roman"/>
          <w:color w:val="000000"/>
          <w:sz w:val="28"/>
          <w:szCs w:val="28"/>
        </w:rPr>
        <w:t>The expression cause of action has been held to mean,</w:t>
      </w:r>
    </w:p>
    <w:p w14:paraId="637445B8" w14:textId="77777777" w:rsidR="008939E2" w:rsidRPr="00A4320F" w:rsidRDefault="00A4320F" w:rsidP="008939E2">
      <w:pPr>
        <w:pStyle w:val="LegalList1"/>
        <w:spacing w:line="360" w:lineRule="auto"/>
        <w:rPr>
          <w:rFonts w:ascii="Times New Roman" w:hAnsi="Times New Roman"/>
        </w:rPr>
      </w:pPr>
      <w:r>
        <w:rPr>
          <w:rFonts w:ascii="Times New Roman" w:hAnsi="Times New Roman"/>
          <w:iCs/>
        </w:rPr>
        <w:lastRenderedPageBreak/>
        <w:t>‘</w:t>
      </w:r>
      <w:r w:rsidRPr="00A4320F">
        <w:rPr>
          <w:rFonts w:ascii="Times New Roman" w:hAnsi="Times New Roman"/>
          <w:iCs/>
        </w:rPr>
        <w:t>[E]</w:t>
      </w:r>
      <w:r w:rsidR="008939E2" w:rsidRPr="00A4320F">
        <w:rPr>
          <w:rFonts w:ascii="Times New Roman" w:hAnsi="Times New Roman"/>
          <w:iCs/>
        </w:rPr>
        <w:t>very fact which it would be necessary for the Plaintiff to prove, if traversed, in order to support his right to judgment of the court. It does not comprise of every piece of evidence which is necessary to prove each fact, but every fact which is necessary to be proved.</w:t>
      </w:r>
      <w:r>
        <w:rPr>
          <w:rFonts w:ascii="Times New Roman" w:hAnsi="Times New Roman"/>
          <w:iCs/>
        </w:rPr>
        <w:t>’</w:t>
      </w:r>
      <w:r w:rsidR="008939E2" w:rsidRPr="00A4320F">
        <w:rPr>
          <w:rStyle w:val="FootnoteReference"/>
          <w:rFonts w:ascii="Times New Roman" w:hAnsi="Times New Roman"/>
          <w:iCs/>
        </w:rPr>
        <w:footnoteReference w:id="7"/>
      </w:r>
    </w:p>
    <w:p w14:paraId="7EA38BEA" w14:textId="41F61C0F" w:rsidR="007038AE" w:rsidRDefault="00600B7E" w:rsidP="00600B7E">
      <w:pPr>
        <w:pStyle w:val="LegalList1"/>
        <w:tabs>
          <w:tab w:val="left" w:pos="567"/>
        </w:tabs>
        <w:spacing w:line="360" w:lineRule="auto"/>
        <w:rPr>
          <w:rFonts w:ascii="Times New Roman" w:hAnsi="Times New Roman"/>
          <w:sz w:val="28"/>
          <w:szCs w:val="28"/>
        </w:rPr>
      </w:pPr>
      <w:r>
        <w:rPr>
          <w:rFonts w:ascii="Times New Roman" w:hAnsi="Times New Roman"/>
          <w:sz w:val="28"/>
          <w:szCs w:val="28"/>
        </w:rPr>
        <w:t>[9]</w:t>
      </w:r>
      <w:r>
        <w:rPr>
          <w:rFonts w:ascii="Times New Roman" w:hAnsi="Times New Roman"/>
          <w:sz w:val="28"/>
          <w:szCs w:val="28"/>
        </w:rPr>
        <w:tab/>
      </w:r>
      <w:r w:rsidR="008939E2">
        <w:rPr>
          <w:rFonts w:ascii="Times New Roman" w:hAnsi="Times New Roman"/>
          <w:sz w:val="28"/>
          <w:szCs w:val="28"/>
        </w:rPr>
        <w:t>This definition postulates that facts should be pleaded, not evidence, and only the material facts should be pleaded with clarity and conciseness</w:t>
      </w:r>
      <w:r w:rsidR="00BA527C">
        <w:rPr>
          <w:rFonts w:ascii="Times New Roman" w:hAnsi="Times New Roman"/>
          <w:sz w:val="28"/>
          <w:szCs w:val="28"/>
        </w:rPr>
        <w:t xml:space="preserve">. This requires of a party to </w:t>
      </w:r>
      <w:r w:rsidR="007038AE">
        <w:rPr>
          <w:rFonts w:ascii="Times New Roman" w:hAnsi="Times New Roman"/>
          <w:sz w:val="28"/>
          <w:szCs w:val="28"/>
        </w:rPr>
        <w:t xml:space="preserve">formulate its case according to the basic rules of pleading. </w:t>
      </w:r>
      <w:r w:rsidR="007038AE">
        <w:rPr>
          <w:rFonts w:ascii="Times New Roman" w:hAnsi="Times New Roman"/>
          <w:color w:val="000000"/>
          <w:sz w:val="28"/>
          <w:szCs w:val="28"/>
        </w:rPr>
        <w:t>A general rule is that pleadings must be lucid, logical and intelligible</w:t>
      </w:r>
      <w:r w:rsidR="007038AE">
        <w:rPr>
          <w:rStyle w:val="FootnoteReference"/>
          <w:rFonts w:ascii="Times New Roman" w:hAnsi="Times New Roman"/>
          <w:iCs/>
          <w:sz w:val="28"/>
          <w:szCs w:val="28"/>
        </w:rPr>
        <w:footnoteReference w:id="8"/>
      </w:r>
      <w:r w:rsidR="007038AE">
        <w:rPr>
          <w:rFonts w:ascii="Times New Roman" w:hAnsi="Times New Roman"/>
          <w:color w:val="000000"/>
          <w:sz w:val="28"/>
          <w:szCs w:val="28"/>
        </w:rPr>
        <w:t>. Pleadings serve the purpose of bringing clarity, to the notice of the court and to the parties in an action, the issues upon which reliance is to be placed. This objective can only be attained when parties state their cases with precision, the degree of which depends on the circumstances of each case</w:t>
      </w:r>
      <w:r w:rsidR="007038AE">
        <w:rPr>
          <w:rStyle w:val="FootnoteReference"/>
          <w:rFonts w:ascii="Times New Roman" w:hAnsi="Times New Roman"/>
          <w:iCs/>
          <w:sz w:val="28"/>
          <w:szCs w:val="28"/>
        </w:rPr>
        <w:footnoteReference w:id="9"/>
      </w:r>
      <w:r w:rsidR="007038AE">
        <w:rPr>
          <w:rFonts w:ascii="Times New Roman" w:hAnsi="Times New Roman"/>
          <w:color w:val="000000"/>
          <w:sz w:val="28"/>
          <w:szCs w:val="28"/>
        </w:rPr>
        <w:t>.</w:t>
      </w:r>
    </w:p>
    <w:p w14:paraId="633B9BAC" w14:textId="7F06C665" w:rsidR="00B84D3E" w:rsidRPr="005D1BB6" w:rsidRDefault="00600B7E" w:rsidP="00600B7E">
      <w:pPr>
        <w:pStyle w:val="LegalList1"/>
        <w:tabs>
          <w:tab w:val="left" w:pos="567"/>
        </w:tabs>
        <w:spacing w:after="0" w:line="360" w:lineRule="auto"/>
        <w:rPr>
          <w:rFonts w:ascii="Times New Roman" w:hAnsi="Times New Roman"/>
          <w:sz w:val="28"/>
          <w:szCs w:val="28"/>
        </w:rPr>
      </w:pPr>
      <w:r w:rsidRPr="005D1BB6">
        <w:rPr>
          <w:rFonts w:ascii="Times New Roman" w:hAnsi="Times New Roman"/>
          <w:sz w:val="28"/>
          <w:szCs w:val="28"/>
        </w:rPr>
        <w:t>[10]</w:t>
      </w:r>
      <w:r w:rsidRPr="005D1BB6">
        <w:rPr>
          <w:rFonts w:ascii="Times New Roman" w:hAnsi="Times New Roman"/>
          <w:sz w:val="28"/>
          <w:szCs w:val="28"/>
        </w:rPr>
        <w:tab/>
      </w:r>
      <w:r w:rsidR="00B84D3E">
        <w:rPr>
          <w:rFonts w:ascii="Times New Roman" w:hAnsi="Times New Roman"/>
          <w:sz w:val="28"/>
          <w:szCs w:val="28"/>
        </w:rPr>
        <w:t xml:space="preserve">Rule 18 of the </w:t>
      </w:r>
      <w:r w:rsidR="00B84D3E">
        <w:rPr>
          <w:rFonts w:ascii="Times New Roman" w:hAnsi="Times New Roman"/>
          <w:color w:val="000000"/>
          <w:sz w:val="28"/>
          <w:szCs w:val="28"/>
        </w:rPr>
        <w:t>Uniform Rules of Court provides guidance for pleading.</w:t>
      </w:r>
      <w:r w:rsidR="005D1BB6">
        <w:rPr>
          <w:rFonts w:ascii="Times New Roman" w:hAnsi="Times New Roman"/>
          <w:color w:val="000000"/>
          <w:sz w:val="28"/>
          <w:szCs w:val="28"/>
        </w:rPr>
        <w:t xml:space="preserve"> </w:t>
      </w:r>
      <w:r w:rsidR="00F102CE">
        <w:rPr>
          <w:rFonts w:ascii="Times New Roman" w:hAnsi="Times New Roman"/>
          <w:color w:val="000000"/>
          <w:sz w:val="28"/>
          <w:szCs w:val="28"/>
        </w:rPr>
        <w:t>Q</w:t>
      </w:r>
      <w:r w:rsidR="005D1BB6">
        <w:rPr>
          <w:rFonts w:ascii="Times New Roman" w:hAnsi="Times New Roman"/>
          <w:color w:val="000000"/>
          <w:sz w:val="28"/>
          <w:szCs w:val="28"/>
        </w:rPr>
        <w:t>uoting in relevant part, it reads:</w:t>
      </w:r>
    </w:p>
    <w:p w14:paraId="00D00582" w14:textId="77777777" w:rsidR="005D1BB6" w:rsidRPr="008C55E6" w:rsidRDefault="005D1BB6" w:rsidP="00F102CE">
      <w:pPr>
        <w:pStyle w:val="LegalList1"/>
        <w:spacing w:after="0" w:line="360" w:lineRule="auto"/>
        <w:ind w:left="720" w:hanging="720"/>
        <w:rPr>
          <w:rFonts w:ascii="Times New Roman" w:hAnsi="Times New Roman"/>
        </w:rPr>
      </w:pPr>
      <w:r w:rsidRPr="008C55E6">
        <w:rPr>
          <w:rFonts w:ascii="Times New Roman" w:hAnsi="Times New Roman"/>
          <w:color w:val="000000"/>
        </w:rPr>
        <w:t>‘(3)</w:t>
      </w:r>
      <w:r w:rsidRPr="008C55E6">
        <w:rPr>
          <w:rFonts w:ascii="Times New Roman" w:hAnsi="Times New Roman"/>
          <w:color w:val="000000"/>
        </w:rPr>
        <w:tab/>
        <w:t>Every paragraph shall be divided into paragraphs (indicating sub-paragraphs) which shall be consecutively numbered and shall, as nearly as possible</w:t>
      </w:r>
      <w:r w:rsidR="00B2497F" w:rsidRPr="008C55E6">
        <w:rPr>
          <w:rFonts w:ascii="Times New Roman" w:hAnsi="Times New Roman"/>
          <w:color w:val="000000"/>
        </w:rPr>
        <w:t>, each contain a distinct averment.</w:t>
      </w:r>
    </w:p>
    <w:p w14:paraId="476FEE8B" w14:textId="77777777" w:rsidR="00B2497F" w:rsidRPr="008C55E6" w:rsidRDefault="00B2497F" w:rsidP="00C03DBE">
      <w:pPr>
        <w:pStyle w:val="LegalList1"/>
        <w:spacing w:after="0" w:line="360" w:lineRule="auto"/>
        <w:ind w:left="720" w:hanging="720"/>
        <w:rPr>
          <w:rFonts w:ascii="Times New Roman" w:hAnsi="Times New Roman"/>
        </w:rPr>
      </w:pPr>
      <w:r w:rsidRPr="008C55E6">
        <w:rPr>
          <w:rFonts w:ascii="Times New Roman" w:hAnsi="Times New Roman"/>
          <w:color w:val="000000"/>
        </w:rPr>
        <w:t xml:space="preserve">(4) </w:t>
      </w:r>
      <w:r w:rsidR="00C03DBE" w:rsidRPr="008C55E6">
        <w:rPr>
          <w:rFonts w:ascii="Times New Roman" w:hAnsi="Times New Roman"/>
          <w:color w:val="000000"/>
        </w:rPr>
        <w:tab/>
      </w:r>
      <w:r w:rsidRPr="008C55E6">
        <w:rPr>
          <w:rFonts w:ascii="Times New Roman" w:hAnsi="Times New Roman"/>
          <w:color w:val="000000"/>
        </w:rPr>
        <w:t>Every pleading shall contain a clear and concise statement of the material facts upon which the pleader relies for his claim, defence or answer to any pleading</w:t>
      </w:r>
      <w:r w:rsidR="004F7E49" w:rsidRPr="008C55E6">
        <w:rPr>
          <w:rFonts w:ascii="Times New Roman" w:hAnsi="Times New Roman"/>
          <w:color w:val="000000"/>
        </w:rPr>
        <w:t>, as the case may be, with sufficient particularity to enable the opposite party to reply thereto.</w:t>
      </w:r>
    </w:p>
    <w:p w14:paraId="2C1F2BAE" w14:textId="77777777" w:rsidR="004F7E49" w:rsidRPr="008C55E6" w:rsidRDefault="004F7E49" w:rsidP="00F102CE">
      <w:pPr>
        <w:pStyle w:val="LegalList1"/>
        <w:spacing w:after="0" w:line="360" w:lineRule="auto"/>
        <w:rPr>
          <w:rFonts w:ascii="Times New Roman" w:hAnsi="Times New Roman"/>
        </w:rPr>
      </w:pPr>
      <w:r w:rsidRPr="008C55E6">
        <w:rPr>
          <w:rFonts w:ascii="Times New Roman" w:hAnsi="Times New Roman"/>
          <w:color w:val="000000"/>
        </w:rPr>
        <w:t xml:space="preserve">(5) </w:t>
      </w:r>
      <w:r w:rsidR="00C03DBE" w:rsidRPr="008C55E6">
        <w:rPr>
          <w:rFonts w:ascii="Times New Roman" w:hAnsi="Times New Roman"/>
          <w:color w:val="000000"/>
        </w:rPr>
        <w:tab/>
      </w:r>
      <w:r w:rsidRPr="008C55E6">
        <w:rPr>
          <w:rFonts w:ascii="Times New Roman" w:hAnsi="Times New Roman"/>
          <w:color w:val="000000"/>
        </w:rPr>
        <w:t>…</w:t>
      </w:r>
    </w:p>
    <w:p w14:paraId="42DB87B4" w14:textId="77777777" w:rsidR="004F7E49" w:rsidRPr="008C55E6" w:rsidRDefault="004F7E49" w:rsidP="00C03DBE">
      <w:pPr>
        <w:pStyle w:val="LegalList1"/>
        <w:spacing w:line="360" w:lineRule="auto"/>
        <w:ind w:left="720" w:hanging="720"/>
        <w:rPr>
          <w:rFonts w:ascii="Times New Roman" w:hAnsi="Times New Roman"/>
        </w:rPr>
      </w:pPr>
      <w:r w:rsidRPr="008C55E6">
        <w:rPr>
          <w:rFonts w:ascii="Times New Roman" w:hAnsi="Times New Roman"/>
          <w:color w:val="000000"/>
        </w:rPr>
        <w:t xml:space="preserve">(6) </w:t>
      </w:r>
      <w:r w:rsidR="00C03DBE" w:rsidRPr="008C55E6">
        <w:rPr>
          <w:rFonts w:ascii="Times New Roman" w:hAnsi="Times New Roman"/>
          <w:color w:val="000000"/>
        </w:rPr>
        <w:tab/>
      </w:r>
      <w:r w:rsidRPr="008C55E6">
        <w:rPr>
          <w:rFonts w:ascii="Times New Roman" w:hAnsi="Times New Roman"/>
          <w:color w:val="000000"/>
        </w:rPr>
        <w:t>A party who in his pleading relies upon a contract shall state whether the contract is written or oral and when, where and by whom it was concluded</w:t>
      </w:r>
      <w:r w:rsidR="00F102CE" w:rsidRPr="008C55E6">
        <w:rPr>
          <w:rFonts w:ascii="Times New Roman" w:hAnsi="Times New Roman"/>
          <w:color w:val="000000"/>
        </w:rPr>
        <w:t>, and if the contract is written a true copy thereof or of the part relied on in the pleading shall be annexed to the pleading.’</w:t>
      </w:r>
    </w:p>
    <w:p w14:paraId="7AF1E7E4" w14:textId="265AA8B4" w:rsidR="007038AE" w:rsidRPr="008C55E6" w:rsidRDefault="00600B7E" w:rsidP="00600B7E">
      <w:pPr>
        <w:pStyle w:val="LegalList1"/>
        <w:tabs>
          <w:tab w:val="left" w:pos="567"/>
        </w:tabs>
        <w:spacing w:after="0" w:line="360" w:lineRule="auto"/>
        <w:rPr>
          <w:rFonts w:ascii="Times New Roman" w:hAnsi="Times New Roman"/>
          <w:sz w:val="28"/>
          <w:szCs w:val="28"/>
        </w:rPr>
      </w:pPr>
      <w:r w:rsidRPr="008C55E6">
        <w:rPr>
          <w:rFonts w:ascii="Times New Roman" w:hAnsi="Times New Roman"/>
          <w:sz w:val="28"/>
          <w:szCs w:val="28"/>
        </w:rPr>
        <w:t>[11]</w:t>
      </w:r>
      <w:r w:rsidRPr="008C55E6">
        <w:rPr>
          <w:rFonts w:ascii="Times New Roman" w:hAnsi="Times New Roman"/>
          <w:sz w:val="28"/>
          <w:szCs w:val="28"/>
        </w:rPr>
        <w:tab/>
      </w:r>
      <w:r w:rsidR="007038AE" w:rsidRPr="008C55E6">
        <w:rPr>
          <w:rFonts w:ascii="Times New Roman" w:hAnsi="Times New Roman"/>
          <w:color w:val="000000"/>
          <w:sz w:val="28"/>
          <w:szCs w:val="28"/>
        </w:rPr>
        <w:t xml:space="preserve">Rule 18(4) serves as a guideline for the careful drafting of a pleading. </w:t>
      </w:r>
      <w:r w:rsidR="008C55E6" w:rsidRPr="008C55E6">
        <w:rPr>
          <w:rFonts w:ascii="Times New Roman" w:hAnsi="Times New Roman"/>
          <w:color w:val="000000"/>
          <w:sz w:val="28"/>
          <w:szCs w:val="28"/>
        </w:rPr>
        <w:t xml:space="preserve">In brief, </w:t>
      </w:r>
      <w:r w:rsidR="008A2337" w:rsidRPr="008C55E6">
        <w:rPr>
          <w:rFonts w:ascii="Times New Roman" w:hAnsi="Times New Roman"/>
          <w:color w:val="000000"/>
          <w:sz w:val="28"/>
          <w:szCs w:val="28"/>
        </w:rPr>
        <w:t>t</w:t>
      </w:r>
      <w:r w:rsidR="007038AE" w:rsidRPr="008C55E6">
        <w:rPr>
          <w:rFonts w:ascii="Times New Roman" w:hAnsi="Times New Roman"/>
          <w:color w:val="000000"/>
          <w:sz w:val="28"/>
          <w:szCs w:val="28"/>
        </w:rPr>
        <w:t>he rule requires that every pleading</w:t>
      </w:r>
      <w:r w:rsidR="00C03DBE" w:rsidRPr="008C55E6">
        <w:rPr>
          <w:rFonts w:ascii="Times New Roman" w:hAnsi="Times New Roman"/>
          <w:color w:val="000000"/>
          <w:sz w:val="28"/>
          <w:szCs w:val="28"/>
        </w:rPr>
        <w:t xml:space="preserve"> shall contain a clear and concise </w:t>
      </w:r>
      <w:r w:rsidR="00C03DBE" w:rsidRPr="008C55E6">
        <w:rPr>
          <w:rFonts w:ascii="Times New Roman" w:hAnsi="Times New Roman"/>
          <w:color w:val="000000"/>
          <w:sz w:val="28"/>
          <w:szCs w:val="28"/>
        </w:rPr>
        <w:lastRenderedPageBreak/>
        <w:t>statement of the material facts</w:t>
      </w:r>
      <w:r w:rsidR="00F4159A" w:rsidRPr="008C55E6">
        <w:rPr>
          <w:rFonts w:ascii="Times New Roman" w:hAnsi="Times New Roman"/>
          <w:color w:val="000000"/>
          <w:sz w:val="28"/>
          <w:szCs w:val="28"/>
        </w:rPr>
        <w:t xml:space="preserve"> upon which a pleader relies</w:t>
      </w:r>
      <w:r w:rsidR="008A2337" w:rsidRPr="008C55E6">
        <w:rPr>
          <w:rFonts w:ascii="Times New Roman" w:hAnsi="Times New Roman"/>
          <w:color w:val="000000"/>
          <w:sz w:val="28"/>
          <w:szCs w:val="28"/>
        </w:rPr>
        <w:t xml:space="preserve"> and that such facts be set out with sufficient particularity to enable the opposite party to reply thereto.</w:t>
      </w:r>
      <w:r w:rsidR="008C55E6">
        <w:rPr>
          <w:rFonts w:ascii="Times New Roman" w:hAnsi="Times New Roman"/>
          <w:color w:val="000000"/>
          <w:sz w:val="28"/>
          <w:szCs w:val="28"/>
        </w:rPr>
        <w:t xml:space="preserve"> </w:t>
      </w:r>
      <w:r w:rsidR="007038AE" w:rsidRPr="008C55E6">
        <w:rPr>
          <w:rFonts w:ascii="Times New Roman" w:hAnsi="Times New Roman"/>
          <w:sz w:val="28"/>
          <w:szCs w:val="28"/>
        </w:rPr>
        <w:t xml:space="preserve">The clarity and precision required of a pleading is explained in </w:t>
      </w:r>
      <w:r w:rsidR="007038AE" w:rsidRPr="008C55E6">
        <w:rPr>
          <w:rFonts w:ascii="Times New Roman" w:hAnsi="Times New Roman"/>
          <w:i/>
          <w:sz w:val="28"/>
          <w:szCs w:val="28"/>
        </w:rPr>
        <w:t>Jowell v Bramwell-Jones and Others</w:t>
      </w:r>
      <w:r w:rsidR="007038AE">
        <w:rPr>
          <w:rStyle w:val="FootnoteReference"/>
          <w:rFonts w:ascii="Times New Roman" w:hAnsi="Times New Roman"/>
          <w:i/>
          <w:sz w:val="28"/>
          <w:szCs w:val="28"/>
        </w:rPr>
        <w:footnoteReference w:id="10"/>
      </w:r>
      <w:r w:rsidR="007038AE" w:rsidRPr="008C55E6">
        <w:rPr>
          <w:rFonts w:ascii="Times New Roman" w:hAnsi="Times New Roman"/>
          <w:i/>
          <w:sz w:val="28"/>
          <w:szCs w:val="28"/>
        </w:rPr>
        <w:t>:</w:t>
      </w:r>
    </w:p>
    <w:p w14:paraId="2D5A1E6D" w14:textId="77777777" w:rsidR="007038AE" w:rsidRDefault="007038AE" w:rsidP="007038AE">
      <w:pPr>
        <w:pStyle w:val="LegalList1"/>
        <w:spacing w:line="360" w:lineRule="auto"/>
        <w:rPr>
          <w:rFonts w:ascii="Times New Roman" w:hAnsi="Times New Roman"/>
        </w:rPr>
      </w:pPr>
      <w:r>
        <w:rPr>
          <w:rFonts w:ascii="Times New Roman" w:hAnsi="Times New Roman"/>
        </w:rPr>
        <w:t>‘[T]</w:t>
      </w:r>
      <w:r>
        <w:rPr>
          <w:rFonts w:ascii="Times New Roman" w:hAnsi="Times New Roman"/>
          <w:iCs/>
        </w:rPr>
        <w:t>he plaintiff is required to furnish an outline of its case. That does not mean that the defendant is entitled to a framework like a crossword puzzle in which every gap can be filled by logical deduction. The outline may be asymmetrical and possess rough edges not obvious until actually explored by evidence. Provided the defendant is given a clear idea of the material facts which are necessary to make the cause of action intelligible, the plaintiff will have satisfied the requirements [of the rule].’</w:t>
      </w:r>
      <w:r>
        <w:rPr>
          <w:rStyle w:val="FootnoteReference"/>
          <w:rFonts w:ascii="Times New Roman" w:hAnsi="Times New Roman"/>
          <w:iCs/>
        </w:rPr>
        <w:footnoteReference w:id="11"/>
      </w:r>
    </w:p>
    <w:p w14:paraId="754DF42A" w14:textId="3D98B4BE" w:rsidR="008939E2" w:rsidRDefault="00600B7E" w:rsidP="00600B7E">
      <w:pPr>
        <w:pStyle w:val="LegalList1"/>
        <w:tabs>
          <w:tab w:val="left" w:pos="567"/>
        </w:tabs>
        <w:spacing w:line="360" w:lineRule="auto"/>
        <w:rPr>
          <w:rFonts w:ascii="Times New Roman" w:hAnsi="Times New Roman"/>
          <w:sz w:val="28"/>
          <w:szCs w:val="28"/>
        </w:rPr>
      </w:pPr>
      <w:r>
        <w:rPr>
          <w:rFonts w:ascii="Times New Roman" w:hAnsi="Times New Roman"/>
          <w:sz w:val="28"/>
          <w:szCs w:val="28"/>
        </w:rPr>
        <w:t>[12]</w:t>
      </w:r>
      <w:r>
        <w:rPr>
          <w:rFonts w:ascii="Times New Roman" w:hAnsi="Times New Roman"/>
          <w:sz w:val="28"/>
          <w:szCs w:val="28"/>
        </w:rPr>
        <w:tab/>
      </w:r>
      <w:r w:rsidR="008939E2">
        <w:rPr>
          <w:rFonts w:ascii="Times New Roman" w:hAnsi="Times New Roman"/>
          <w:sz w:val="28"/>
          <w:szCs w:val="28"/>
        </w:rPr>
        <w:t>In th</w:t>
      </w:r>
      <w:r w:rsidR="008C55E6">
        <w:rPr>
          <w:rFonts w:ascii="Times New Roman" w:hAnsi="Times New Roman"/>
          <w:sz w:val="28"/>
          <w:szCs w:val="28"/>
        </w:rPr>
        <w:t>at</w:t>
      </w:r>
      <w:r w:rsidR="008939E2">
        <w:rPr>
          <w:rFonts w:ascii="Times New Roman" w:hAnsi="Times New Roman"/>
          <w:sz w:val="28"/>
          <w:szCs w:val="28"/>
        </w:rPr>
        <w:t xml:space="preserve"> regard it is of importance to be mindful of the distinction between </w:t>
      </w:r>
      <w:r w:rsidR="008939E2">
        <w:rPr>
          <w:rFonts w:ascii="Times New Roman" w:hAnsi="Times New Roman"/>
          <w:i/>
          <w:sz w:val="28"/>
          <w:szCs w:val="28"/>
        </w:rPr>
        <w:t>facta probanda</w:t>
      </w:r>
      <w:r w:rsidR="008939E2">
        <w:rPr>
          <w:rFonts w:ascii="Times New Roman" w:hAnsi="Times New Roman"/>
          <w:sz w:val="28"/>
          <w:szCs w:val="28"/>
        </w:rPr>
        <w:t xml:space="preserve"> or primary factual allegations </w:t>
      </w:r>
      <w:r w:rsidR="007B6BD3">
        <w:rPr>
          <w:rFonts w:ascii="Times New Roman" w:hAnsi="Times New Roman"/>
          <w:sz w:val="28"/>
          <w:szCs w:val="28"/>
        </w:rPr>
        <w:t xml:space="preserve">(i.e. material facts) </w:t>
      </w:r>
      <w:r w:rsidR="008939E2">
        <w:rPr>
          <w:rFonts w:ascii="Times New Roman" w:hAnsi="Times New Roman"/>
          <w:sz w:val="28"/>
          <w:szCs w:val="28"/>
        </w:rPr>
        <w:t xml:space="preserve">which a pleader must make and </w:t>
      </w:r>
      <w:r w:rsidR="008939E2">
        <w:rPr>
          <w:rFonts w:ascii="Times New Roman" w:hAnsi="Times New Roman"/>
          <w:i/>
          <w:sz w:val="28"/>
          <w:szCs w:val="28"/>
        </w:rPr>
        <w:t>facta probantia</w:t>
      </w:r>
      <w:r w:rsidR="008939E2">
        <w:rPr>
          <w:rFonts w:ascii="Times New Roman" w:hAnsi="Times New Roman"/>
          <w:sz w:val="28"/>
          <w:szCs w:val="28"/>
        </w:rPr>
        <w:t xml:space="preserve"> which are secondary allegations or evidence upon which the pleader will rely to prove the primary allegations.</w:t>
      </w:r>
      <w:r w:rsidR="008939E2">
        <w:rPr>
          <w:rStyle w:val="FootnoteReference"/>
          <w:rFonts w:ascii="Times New Roman" w:hAnsi="Times New Roman"/>
          <w:sz w:val="28"/>
          <w:szCs w:val="28"/>
        </w:rPr>
        <w:footnoteReference w:id="12"/>
      </w:r>
      <w:r w:rsidR="008A7F99">
        <w:rPr>
          <w:rFonts w:ascii="Times New Roman" w:hAnsi="Times New Roman"/>
          <w:sz w:val="28"/>
          <w:szCs w:val="28"/>
        </w:rPr>
        <w:t xml:space="preserve"> To sum up, although the rule serves as a guideline, a pleading should not be read pedantically nor should a court overemphasise precise formalistic requirements – it is the substance of the allegations that should properly be considered.</w:t>
      </w:r>
      <w:r w:rsidR="008A7F99">
        <w:rPr>
          <w:rStyle w:val="FootnoteReference"/>
          <w:rFonts w:ascii="Times New Roman" w:hAnsi="Times New Roman"/>
          <w:sz w:val="28"/>
          <w:szCs w:val="28"/>
        </w:rPr>
        <w:footnoteReference w:id="13"/>
      </w:r>
    </w:p>
    <w:p w14:paraId="4A9CF4C8" w14:textId="18BD9F65" w:rsidR="00D3737F" w:rsidRDefault="00600B7E" w:rsidP="00600B7E">
      <w:pPr>
        <w:pStyle w:val="LegalList1"/>
        <w:tabs>
          <w:tab w:val="left" w:pos="567"/>
        </w:tabs>
        <w:spacing w:line="360" w:lineRule="auto"/>
        <w:rPr>
          <w:rFonts w:ascii="Times New Roman" w:hAnsi="Times New Roman"/>
          <w:sz w:val="28"/>
          <w:szCs w:val="28"/>
        </w:rPr>
      </w:pPr>
      <w:r>
        <w:rPr>
          <w:rFonts w:ascii="Times New Roman" w:hAnsi="Times New Roman"/>
          <w:sz w:val="28"/>
          <w:szCs w:val="28"/>
        </w:rPr>
        <w:t>[13]</w:t>
      </w:r>
      <w:r>
        <w:rPr>
          <w:rFonts w:ascii="Times New Roman" w:hAnsi="Times New Roman"/>
          <w:sz w:val="28"/>
          <w:szCs w:val="28"/>
        </w:rPr>
        <w:tab/>
      </w:r>
      <w:r w:rsidR="009B6969">
        <w:rPr>
          <w:rFonts w:ascii="Times New Roman" w:hAnsi="Times New Roman"/>
          <w:sz w:val="28"/>
          <w:szCs w:val="28"/>
        </w:rPr>
        <w:t>In summary, the particulars of claim indicate that t</w:t>
      </w:r>
      <w:r w:rsidR="00D3737F">
        <w:rPr>
          <w:rFonts w:ascii="Times New Roman" w:hAnsi="Times New Roman"/>
          <w:sz w:val="28"/>
          <w:szCs w:val="28"/>
        </w:rPr>
        <w:t>he action instituted by the plaintiff is for payment by the defendant of final invoices for fixed amounts in the sums of R924 355.37 and R63 402.49 owing to the plaintiff and is based on a contract for the provision of engineering services.</w:t>
      </w:r>
    </w:p>
    <w:p w14:paraId="02676A83" w14:textId="41CAB63A" w:rsidR="00D3737F" w:rsidRDefault="00600B7E" w:rsidP="00600B7E">
      <w:pPr>
        <w:pStyle w:val="LegalList1"/>
        <w:tabs>
          <w:tab w:val="left" w:pos="567"/>
        </w:tabs>
        <w:spacing w:line="360" w:lineRule="auto"/>
        <w:rPr>
          <w:rFonts w:ascii="Times New Roman" w:hAnsi="Times New Roman"/>
          <w:sz w:val="28"/>
          <w:szCs w:val="28"/>
        </w:rPr>
      </w:pPr>
      <w:r>
        <w:rPr>
          <w:rFonts w:ascii="Times New Roman" w:hAnsi="Times New Roman"/>
          <w:sz w:val="28"/>
          <w:szCs w:val="28"/>
        </w:rPr>
        <w:t>[14]</w:t>
      </w:r>
      <w:r>
        <w:rPr>
          <w:rFonts w:ascii="Times New Roman" w:hAnsi="Times New Roman"/>
          <w:sz w:val="28"/>
          <w:szCs w:val="28"/>
        </w:rPr>
        <w:tab/>
      </w:r>
      <w:r w:rsidR="009B6969">
        <w:rPr>
          <w:rFonts w:ascii="Times New Roman" w:hAnsi="Times New Roman"/>
          <w:sz w:val="28"/>
          <w:szCs w:val="28"/>
        </w:rPr>
        <w:t>T</w:t>
      </w:r>
      <w:r w:rsidR="00D3737F">
        <w:rPr>
          <w:rFonts w:ascii="Times New Roman" w:hAnsi="Times New Roman"/>
          <w:sz w:val="28"/>
          <w:szCs w:val="28"/>
        </w:rPr>
        <w:t xml:space="preserve">he plaintiff alleges that the parties concluded a written </w:t>
      </w:r>
      <w:r w:rsidR="00F908D1">
        <w:rPr>
          <w:rFonts w:ascii="Times New Roman" w:hAnsi="Times New Roman"/>
          <w:sz w:val="28"/>
          <w:szCs w:val="28"/>
        </w:rPr>
        <w:t xml:space="preserve">contract </w:t>
      </w:r>
      <w:r w:rsidR="00D3737F">
        <w:rPr>
          <w:rFonts w:ascii="Times New Roman" w:hAnsi="Times New Roman"/>
          <w:sz w:val="28"/>
          <w:szCs w:val="28"/>
        </w:rPr>
        <w:t>(Annexure C t</w:t>
      </w:r>
      <w:r w:rsidR="00F908D1">
        <w:rPr>
          <w:rFonts w:ascii="Times New Roman" w:hAnsi="Times New Roman"/>
          <w:sz w:val="28"/>
          <w:szCs w:val="28"/>
        </w:rPr>
        <w:t>o the particulars of claim</w:t>
      </w:r>
      <w:r w:rsidR="00D3737F">
        <w:rPr>
          <w:rFonts w:ascii="Times New Roman" w:hAnsi="Times New Roman"/>
          <w:sz w:val="28"/>
          <w:szCs w:val="28"/>
        </w:rPr>
        <w:t xml:space="preserve">) during August 2013 in which the provisions and </w:t>
      </w:r>
      <w:r w:rsidR="00D3737F">
        <w:rPr>
          <w:rFonts w:ascii="Times New Roman" w:hAnsi="Times New Roman"/>
          <w:sz w:val="28"/>
          <w:szCs w:val="28"/>
        </w:rPr>
        <w:lastRenderedPageBreak/>
        <w:t>conditions</w:t>
      </w:r>
      <w:r w:rsidR="0074057F">
        <w:rPr>
          <w:rStyle w:val="FootnoteReference"/>
          <w:rFonts w:ascii="Times New Roman" w:hAnsi="Times New Roman"/>
          <w:sz w:val="28"/>
          <w:szCs w:val="28"/>
        </w:rPr>
        <w:footnoteReference w:id="14"/>
      </w:r>
      <w:r w:rsidR="00D3737F">
        <w:rPr>
          <w:rFonts w:ascii="Times New Roman" w:hAnsi="Times New Roman"/>
          <w:sz w:val="28"/>
          <w:szCs w:val="28"/>
        </w:rPr>
        <w:t xml:space="preserve"> regulating the defendant’s appointment of the plaintiff are alleged to be set out. The agreement was preceded by a tender process</w:t>
      </w:r>
      <w:r w:rsidR="00C216D1">
        <w:rPr>
          <w:rFonts w:ascii="Times New Roman" w:hAnsi="Times New Roman"/>
          <w:sz w:val="28"/>
          <w:szCs w:val="28"/>
        </w:rPr>
        <w:t>. By letter dated 28 June 2010 (Annexure A) the defendant appointed the plaintiff as a consulting engineer</w:t>
      </w:r>
      <w:r w:rsidR="00EE2C5B">
        <w:rPr>
          <w:rFonts w:ascii="Times New Roman" w:hAnsi="Times New Roman"/>
          <w:sz w:val="28"/>
          <w:szCs w:val="28"/>
        </w:rPr>
        <w:t xml:space="preserve">. The plaintiff pleads </w:t>
      </w:r>
      <w:r w:rsidR="006B7EC9">
        <w:rPr>
          <w:rFonts w:ascii="Times New Roman" w:hAnsi="Times New Roman"/>
          <w:sz w:val="28"/>
          <w:szCs w:val="28"/>
        </w:rPr>
        <w:t xml:space="preserve">that </w:t>
      </w:r>
      <w:r w:rsidR="00EE2C5B">
        <w:rPr>
          <w:rFonts w:ascii="Times New Roman" w:hAnsi="Times New Roman"/>
          <w:sz w:val="28"/>
          <w:szCs w:val="28"/>
        </w:rPr>
        <w:t>the heading of the letter makes reference to</w:t>
      </w:r>
      <w:r w:rsidR="00D3737F">
        <w:rPr>
          <w:rFonts w:ascii="Times New Roman" w:hAnsi="Times New Roman"/>
          <w:sz w:val="28"/>
          <w:szCs w:val="28"/>
        </w:rPr>
        <w:t xml:space="preserve"> </w:t>
      </w:r>
      <w:r w:rsidR="00EE2C5B">
        <w:rPr>
          <w:rFonts w:ascii="Times New Roman" w:hAnsi="Times New Roman"/>
          <w:sz w:val="28"/>
          <w:szCs w:val="28"/>
        </w:rPr>
        <w:t xml:space="preserve">its appointment </w:t>
      </w:r>
      <w:r w:rsidR="009D6C9E">
        <w:rPr>
          <w:rFonts w:ascii="Times New Roman" w:hAnsi="Times New Roman"/>
          <w:sz w:val="28"/>
          <w:szCs w:val="28"/>
        </w:rPr>
        <w:t>on the project for ‘</w:t>
      </w:r>
      <w:r w:rsidR="009D6C9E">
        <w:rPr>
          <w:rFonts w:ascii="Times New Roman" w:hAnsi="Times New Roman"/>
          <w:i/>
          <w:sz w:val="28"/>
          <w:szCs w:val="28"/>
        </w:rPr>
        <w:t>Engineering Services for Tsomo Town Roads and Stormwater’</w:t>
      </w:r>
      <w:r w:rsidR="006A7A78">
        <w:rPr>
          <w:rFonts w:ascii="Times New Roman" w:hAnsi="Times New Roman"/>
          <w:i/>
          <w:sz w:val="28"/>
          <w:szCs w:val="28"/>
        </w:rPr>
        <w:t>,</w:t>
      </w:r>
      <w:r w:rsidR="009D6C9E">
        <w:rPr>
          <w:rFonts w:ascii="Times New Roman" w:hAnsi="Times New Roman"/>
          <w:sz w:val="28"/>
          <w:szCs w:val="28"/>
        </w:rPr>
        <w:t xml:space="preserve"> </w:t>
      </w:r>
      <w:r w:rsidR="006B7EC9">
        <w:rPr>
          <w:rFonts w:ascii="Times New Roman" w:hAnsi="Times New Roman"/>
          <w:sz w:val="28"/>
          <w:szCs w:val="28"/>
        </w:rPr>
        <w:t xml:space="preserve">albeit </w:t>
      </w:r>
      <w:r w:rsidR="009D6C9E">
        <w:rPr>
          <w:rFonts w:ascii="Times New Roman" w:hAnsi="Times New Roman"/>
          <w:sz w:val="28"/>
          <w:szCs w:val="28"/>
        </w:rPr>
        <w:t xml:space="preserve">in the first paragraph </w:t>
      </w:r>
      <w:r w:rsidR="006B7EC9">
        <w:rPr>
          <w:rFonts w:ascii="Times New Roman" w:hAnsi="Times New Roman"/>
          <w:sz w:val="28"/>
          <w:szCs w:val="28"/>
        </w:rPr>
        <w:t>thereof</w:t>
      </w:r>
      <w:r w:rsidR="009D6C9E">
        <w:rPr>
          <w:rFonts w:ascii="Times New Roman" w:hAnsi="Times New Roman"/>
          <w:sz w:val="28"/>
          <w:szCs w:val="28"/>
        </w:rPr>
        <w:t xml:space="preserve"> erroneous reference is made to the installation of a telemetry system at the water treatment works and town reservoir.</w:t>
      </w:r>
      <w:r w:rsidR="006A7A78">
        <w:rPr>
          <w:rFonts w:ascii="Times New Roman" w:hAnsi="Times New Roman"/>
          <w:sz w:val="28"/>
          <w:szCs w:val="28"/>
        </w:rPr>
        <w:t xml:space="preserve"> </w:t>
      </w:r>
      <w:r w:rsidR="00D3737F">
        <w:rPr>
          <w:rFonts w:ascii="Times New Roman" w:hAnsi="Times New Roman"/>
          <w:sz w:val="28"/>
          <w:szCs w:val="28"/>
        </w:rPr>
        <w:t xml:space="preserve">The acceptance of the appointment </w:t>
      </w:r>
      <w:r w:rsidR="006A7A78">
        <w:rPr>
          <w:rFonts w:ascii="Times New Roman" w:hAnsi="Times New Roman"/>
          <w:sz w:val="28"/>
          <w:szCs w:val="28"/>
        </w:rPr>
        <w:t xml:space="preserve">on the project </w:t>
      </w:r>
      <w:r w:rsidR="00D3737F">
        <w:rPr>
          <w:rFonts w:ascii="Times New Roman" w:hAnsi="Times New Roman"/>
          <w:sz w:val="28"/>
          <w:szCs w:val="28"/>
        </w:rPr>
        <w:t>was conveyed to the defendant by the plaintiff in writing on 15 July 2010 (Annexure B).</w:t>
      </w:r>
    </w:p>
    <w:p w14:paraId="546DCC80" w14:textId="4E0570F1" w:rsidR="00420268" w:rsidRDefault="00600B7E" w:rsidP="00600B7E">
      <w:pPr>
        <w:pStyle w:val="LegalList1"/>
        <w:tabs>
          <w:tab w:val="left" w:pos="567"/>
        </w:tabs>
        <w:spacing w:line="360" w:lineRule="auto"/>
        <w:rPr>
          <w:rFonts w:ascii="Times New Roman" w:hAnsi="Times New Roman"/>
          <w:sz w:val="28"/>
          <w:szCs w:val="28"/>
        </w:rPr>
      </w:pPr>
      <w:r>
        <w:rPr>
          <w:rFonts w:ascii="Times New Roman" w:hAnsi="Times New Roman"/>
          <w:sz w:val="28"/>
          <w:szCs w:val="28"/>
        </w:rPr>
        <w:t>[15]</w:t>
      </w:r>
      <w:r>
        <w:rPr>
          <w:rFonts w:ascii="Times New Roman" w:hAnsi="Times New Roman"/>
          <w:sz w:val="28"/>
          <w:szCs w:val="28"/>
        </w:rPr>
        <w:tab/>
      </w:r>
      <w:r w:rsidR="00420268">
        <w:rPr>
          <w:rFonts w:ascii="Times New Roman" w:hAnsi="Times New Roman"/>
          <w:sz w:val="28"/>
          <w:szCs w:val="28"/>
        </w:rPr>
        <w:t>It is pleaded that</w:t>
      </w:r>
      <w:r w:rsidR="00A25FB4">
        <w:rPr>
          <w:rFonts w:ascii="Times New Roman" w:hAnsi="Times New Roman"/>
          <w:sz w:val="28"/>
          <w:szCs w:val="28"/>
        </w:rPr>
        <w:t xml:space="preserve"> on 11 April 2016 the plaintiff underwent a name change from </w:t>
      </w:r>
      <w:r w:rsidR="006B7EC9" w:rsidRPr="006B7EC9">
        <w:rPr>
          <w:rFonts w:ascii="Times New Roman" w:hAnsi="Times New Roman"/>
          <w:i/>
          <w:sz w:val="28"/>
          <w:szCs w:val="28"/>
        </w:rPr>
        <w:t>‘</w:t>
      </w:r>
      <w:r w:rsidR="00A25FB4" w:rsidRPr="006B7EC9">
        <w:rPr>
          <w:rFonts w:ascii="Times New Roman" w:hAnsi="Times New Roman"/>
          <w:i/>
          <w:sz w:val="28"/>
          <w:szCs w:val="28"/>
        </w:rPr>
        <w:t>Jeffares &amp; Green (Pty) Ltd</w:t>
      </w:r>
      <w:r w:rsidR="006B7EC9" w:rsidRPr="006B7EC9">
        <w:rPr>
          <w:rFonts w:ascii="Times New Roman" w:hAnsi="Times New Roman"/>
          <w:i/>
          <w:sz w:val="28"/>
          <w:szCs w:val="28"/>
        </w:rPr>
        <w:t>’</w:t>
      </w:r>
      <w:r w:rsidR="00A25FB4">
        <w:rPr>
          <w:rFonts w:ascii="Times New Roman" w:hAnsi="Times New Roman"/>
          <w:sz w:val="28"/>
          <w:szCs w:val="28"/>
        </w:rPr>
        <w:t xml:space="preserve"> to </w:t>
      </w:r>
      <w:r w:rsidR="006B7EC9" w:rsidRPr="006B7EC9">
        <w:rPr>
          <w:rFonts w:ascii="Times New Roman" w:hAnsi="Times New Roman"/>
          <w:i/>
          <w:sz w:val="28"/>
          <w:szCs w:val="28"/>
        </w:rPr>
        <w:t>‘</w:t>
      </w:r>
      <w:r w:rsidR="00A25FB4" w:rsidRPr="006B7EC9">
        <w:rPr>
          <w:rFonts w:ascii="Times New Roman" w:hAnsi="Times New Roman"/>
          <w:i/>
          <w:sz w:val="28"/>
          <w:szCs w:val="28"/>
        </w:rPr>
        <w:t>JG Afrika (Pty) Ltd</w:t>
      </w:r>
      <w:r w:rsidR="006B7EC9" w:rsidRPr="006B7EC9">
        <w:rPr>
          <w:rFonts w:ascii="Times New Roman" w:hAnsi="Times New Roman"/>
          <w:i/>
          <w:sz w:val="28"/>
          <w:szCs w:val="28"/>
        </w:rPr>
        <w:t>’</w:t>
      </w:r>
      <w:r w:rsidR="00A25FB4">
        <w:rPr>
          <w:rFonts w:ascii="Times New Roman" w:hAnsi="Times New Roman"/>
          <w:sz w:val="28"/>
          <w:szCs w:val="28"/>
        </w:rPr>
        <w:t>.</w:t>
      </w:r>
    </w:p>
    <w:p w14:paraId="134B2B17" w14:textId="497FFC78" w:rsidR="00D3737F" w:rsidRDefault="00600B7E" w:rsidP="00600B7E">
      <w:pPr>
        <w:pStyle w:val="LegalList1"/>
        <w:tabs>
          <w:tab w:val="left" w:pos="567"/>
        </w:tabs>
        <w:spacing w:line="360" w:lineRule="auto"/>
        <w:rPr>
          <w:rFonts w:ascii="Times New Roman" w:hAnsi="Times New Roman"/>
          <w:sz w:val="28"/>
          <w:szCs w:val="28"/>
        </w:rPr>
      </w:pPr>
      <w:r>
        <w:rPr>
          <w:rFonts w:ascii="Times New Roman" w:hAnsi="Times New Roman"/>
          <w:sz w:val="28"/>
          <w:szCs w:val="28"/>
        </w:rPr>
        <w:t>[16]</w:t>
      </w:r>
      <w:r>
        <w:rPr>
          <w:rFonts w:ascii="Times New Roman" w:hAnsi="Times New Roman"/>
          <w:sz w:val="28"/>
          <w:szCs w:val="28"/>
        </w:rPr>
        <w:tab/>
      </w:r>
      <w:r w:rsidR="00D3737F">
        <w:rPr>
          <w:rFonts w:ascii="Times New Roman" w:hAnsi="Times New Roman"/>
          <w:sz w:val="28"/>
          <w:szCs w:val="28"/>
        </w:rPr>
        <w:t xml:space="preserve">Due to the defendant only being resourced in funds for part of the project, the plaintiff alleges that it was agreed that the works on the project would be separated into two parts and undertaken on that basis with the second part to be undertaken once sufficient funds were secured. Following completion of the first part (phase 1) the plaintiff pleads that the defendant extended the plaintiff’s instruction upon the same terms of the </w:t>
      </w:r>
      <w:r w:rsidR="00AF62B3">
        <w:rPr>
          <w:rFonts w:ascii="Times New Roman" w:hAnsi="Times New Roman"/>
          <w:sz w:val="28"/>
          <w:szCs w:val="28"/>
        </w:rPr>
        <w:t xml:space="preserve">contract </w:t>
      </w:r>
      <w:r w:rsidR="00D3737F">
        <w:rPr>
          <w:rFonts w:ascii="Times New Roman" w:hAnsi="Times New Roman"/>
          <w:sz w:val="28"/>
          <w:szCs w:val="28"/>
        </w:rPr>
        <w:t>per Annexure C to include the second part (phase 2). The extension was communicated to the plaintiff in writing on 11 June 2018 (Annexure D). On 25 June 2018 the plaintiff’s acceptance was endorsed thereon with a signature by its representative.</w:t>
      </w:r>
    </w:p>
    <w:p w14:paraId="45C0BAA4" w14:textId="635B8812" w:rsidR="00D3737F" w:rsidRPr="008D5C4A" w:rsidRDefault="00600B7E" w:rsidP="00600B7E">
      <w:pPr>
        <w:pStyle w:val="LegalList1"/>
        <w:tabs>
          <w:tab w:val="left" w:pos="567"/>
        </w:tabs>
        <w:spacing w:line="360" w:lineRule="auto"/>
        <w:rPr>
          <w:rFonts w:ascii="Times New Roman" w:hAnsi="Times New Roman"/>
          <w:sz w:val="28"/>
          <w:szCs w:val="28"/>
        </w:rPr>
      </w:pPr>
      <w:r w:rsidRPr="008D5C4A">
        <w:rPr>
          <w:rFonts w:ascii="Times New Roman" w:hAnsi="Times New Roman"/>
          <w:sz w:val="28"/>
          <w:szCs w:val="28"/>
        </w:rPr>
        <w:t>[17]</w:t>
      </w:r>
      <w:r w:rsidRPr="008D5C4A">
        <w:rPr>
          <w:rFonts w:ascii="Times New Roman" w:hAnsi="Times New Roman"/>
          <w:sz w:val="28"/>
          <w:szCs w:val="28"/>
        </w:rPr>
        <w:tab/>
      </w:r>
      <w:r w:rsidR="00D3737F">
        <w:rPr>
          <w:rFonts w:ascii="Times New Roman" w:hAnsi="Times New Roman"/>
          <w:sz w:val="28"/>
          <w:szCs w:val="28"/>
        </w:rPr>
        <w:t xml:space="preserve">The plaintiff further sets out the material terms of the contract and having </w:t>
      </w:r>
      <w:r w:rsidR="000E1017">
        <w:rPr>
          <w:rFonts w:ascii="Times New Roman" w:hAnsi="Times New Roman"/>
          <w:sz w:val="28"/>
          <w:szCs w:val="28"/>
        </w:rPr>
        <w:t xml:space="preserve">asserted that it </w:t>
      </w:r>
      <w:r w:rsidR="00D3737F" w:rsidRPr="008D5C4A">
        <w:rPr>
          <w:rFonts w:ascii="Times New Roman" w:hAnsi="Times New Roman"/>
          <w:sz w:val="28"/>
          <w:szCs w:val="28"/>
        </w:rPr>
        <w:t>discharged all its obligations it plead</w:t>
      </w:r>
      <w:r w:rsidR="00656B0F" w:rsidRPr="008D5C4A">
        <w:rPr>
          <w:rFonts w:ascii="Times New Roman" w:hAnsi="Times New Roman"/>
          <w:sz w:val="28"/>
          <w:szCs w:val="28"/>
        </w:rPr>
        <w:t>s</w:t>
      </w:r>
      <w:r w:rsidR="00D3737F" w:rsidRPr="008D5C4A">
        <w:rPr>
          <w:rFonts w:ascii="Times New Roman" w:hAnsi="Times New Roman"/>
          <w:sz w:val="28"/>
          <w:szCs w:val="28"/>
        </w:rPr>
        <w:t xml:space="preserve"> that on 6 July 2020 </w:t>
      </w:r>
      <w:r w:rsidR="00656B0F" w:rsidRPr="008D5C4A">
        <w:rPr>
          <w:rFonts w:ascii="Times New Roman" w:hAnsi="Times New Roman"/>
          <w:sz w:val="28"/>
          <w:szCs w:val="28"/>
        </w:rPr>
        <w:t>it</w:t>
      </w:r>
      <w:r w:rsidR="00D3737F" w:rsidRPr="008D5C4A">
        <w:rPr>
          <w:rFonts w:ascii="Times New Roman" w:hAnsi="Times New Roman"/>
          <w:sz w:val="28"/>
          <w:szCs w:val="28"/>
        </w:rPr>
        <w:t xml:space="preserve"> rendered its final invoices to the defendant for the amounts claimed which notwithstanding demand the defendant has failed, refused or neglected to pay.</w:t>
      </w:r>
    </w:p>
    <w:p w14:paraId="0DC502A4" w14:textId="311DE80A" w:rsidR="00B02F93" w:rsidRPr="008D5C4A" w:rsidRDefault="00600B7E" w:rsidP="00600B7E">
      <w:pPr>
        <w:pStyle w:val="LegalList1"/>
        <w:tabs>
          <w:tab w:val="left" w:pos="567"/>
        </w:tabs>
        <w:spacing w:line="360" w:lineRule="auto"/>
        <w:rPr>
          <w:rFonts w:ascii="Times New Roman" w:hAnsi="Times New Roman"/>
          <w:sz w:val="28"/>
          <w:szCs w:val="28"/>
        </w:rPr>
      </w:pPr>
      <w:r w:rsidRPr="008D5C4A">
        <w:rPr>
          <w:rFonts w:ascii="Times New Roman" w:hAnsi="Times New Roman"/>
          <w:sz w:val="28"/>
          <w:szCs w:val="28"/>
        </w:rPr>
        <w:lastRenderedPageBreak/>
        <w:t>[18]</w:t>
      </w:r>
      <w:r w:rsidRPr="008D5C4A">
        <w:rPr>
          <w:rFonts w:ascii="Times New Roman" w:hAnsi="Times New Roman"/>
          <w:sz w:val="28"/>
          <w:szCs w:val="28"/>
        </w:rPr>
        <w:tab/>
      </w:r>
      <w:r w:rsidR="00B51ECB">
        <w:rPr>
          <w:rFonts w:ascii="Times New Roman" w:hAnsi="Times New Roman"/>
          <w:sz w:val="28"/>
          <w:szCs w:val="28"/>
        </w:rPr>
        <w:t>I turn to the grounds of exception. T</w:t>
      </w:r>
      <w:r w:rsidR="00CE75CA">
        <w:rPr>
          <w:rFonts w:ascii="Times New Roman" w:hAnsi="Times New Roman"/>
          <w:sz w:val="28"/>
          <w:szCs w:val="28"/>
        </w:rPr>
        <w:t>he parties have competently presented argument and are aware of the issues that require determination.</w:t>
      </w:r>
      <w:r w:rsidR="0015419E" w:rsidRPr="0015419E">
        <w:rPr>
          <w:rFonts w:ascii="Times New Roman" w:hAnsi="Times New Roman"/>
          <w:sz w:val="28"/>
          <w:szCs w:val="28"/>
        </w:rPr>
        <w:t xml:space="preserve"> </w:t>
      </w:r>
      <w:r w:rsidR="008E116A">
        <w:rPr>
          <w:rFonts w:ascii="Times New Roman" w:hAnsi="Times New Roman"/>
          <w:sz w:val="28"/>
          <w:szCs w:val="28"/>
        </w:rPr>
        <w:t xml:space="preserve">Hence it is </w:t>
      </w:r>
      <w:r w:rsidR="0015419E">
        <w:rPr>
          <w:rFonts w:ascii="Times New Roman" w:hAnsi="Times New Roman"/>
          <w:sz w:val="28"/>
          <w:szCs w:val="28"/>
        </w:rPr>
        <w:t>not intended to burden this judgment by repeating the full scope of the exceptions</w:t>
      </w:r>
      <w:r w:rsidR="00B51ECB">
        <w:rPr>
          <w:rFonts w:ascii="Times New Roman" w:hAnsi="Times New Roman"/>
          <w:sz w:val="28"/>
          <w:szCs w:val="28"/>
        </w:rPr>
        <w:t xml:space="preserve">, </w:t>
      </w:r>
      <w:r w:rsidR="008E116A">
        <w:rPr>
          <w:rFonts w:ascii="Times New Roman" w:hAnsi="Times New Roman"/>
          <w:sz w:val="28"/>
          <w:szCs w:val="28"/>
        </w:rPr>
        <w:t xml:space="preserve">except </w:t>
      </w:r>
      <w:r w:rsidR="00B51ECB">
        <w:rPr>
          <w:rFonts w:ascii="Times New Roman" w:hAnsi="Times New Roman"/>
          <w:sz w:val="28"/>
          <w:szCs w:val="28"/>
        </w:rPr>
        <w:t xml:space="preserve">for </w:t>
      </w:r>
      <w:r w:rsidR="008E116A">
        <w:rPr>
          <w:rFonts w:ascii="Times New Roman" w:hAnsi="Times New Roman"/>
          <w:sz w:val="28"/>
          <w:szCs w:val="28"/>
        </w:rPr>
        <w:t xml:space="preserve">traversing </w:t>
      </w:r>
      <w:r w:rsidR="00B51ECB">
        <w:rPr>
          <w:rFonts w:ascii="Times New Roman" w:hAnsi="Times New Roman"/>
          <w:sz w:val="28"/>
          <w:szCs w:val="28"/>
        </w:rPr>
        <w:t>their material components.</w:t>
      </w:r>
    </w:p>
    <w:p w14:paraId="5A0317FB" w14:textId="43B9271A" w:rsidR="00DD6E7E" w:rsidRDefault="00600B7E" w:rsidP="00600B7E">
      <w:pPr>
        <w:pStyle w:val="LegalList1"/>
        <w:spacing w:line="360" w:lineRule="auto"/>
        <w:rPr>
          <w:rFonts w:ascii="Times New Roman" w:hAnsi="Times New Roman"/>
          <w:sz w:val="28"/>
          <w:szCs w:val="28"/>
        </w:rPr>
      </w:pPr>
      <w:r>
        <w:rPr>
          <w:rFonts w:ascii="Times New Roman" w:hAnsi="Times New Roman"/>
          <w:sz w:val="28"/>
          <w:szCs w:val="28"/>
        </w:rPr>
        <w:t>[19]</w:t>
      </w:r>
      <w:r>
        <w:rPr>
          <w:rFonts w:ascii="Times New Roman" w:hAnsi="Times New Roman"/>
          <w:sz w:val="28"/>
          <w:szCs w:val="28"/>
        </w:rPr>
        <w:tab/>
      </w:r>
      <w:r w:rsidR="00BF1AFC" w:rsidRPr="005D35A2">
        <w:rPr>
          <w:rFonts w:ascii="Times New Roman" w:hAnsi="Times New Roman"/>
          <w:sz w:val="28"/>
          <w:szCs w:val="28"/>
        </w:rPr>
        <w:t xml:space="preserve">The </w:t>
      </w:r>
      <w:r w:rsidR="00CE42A1" w:rsidRPr="005D35A2">
        <w:rPr>
          <w:rFonts w:ascii="Times New Roman" w:hAnsi="Times New Roman"/>
          <w:sz w:val="28"/>
          <w:szCs w:val="28"/>
        </w:rPr>
        <w:t xml:space="preserve">first point taken by the </w:t>
      </w:r>
      <w:r w:rsidR="00BF1AFC" w:rsidRPr="005D35A2">
        <w:rPr>
          <w:rFonts w:ascii="Times New Roman" w:hAnsi="Times New Roman"/>
          <w:sz w:val="28"/>
          <w:szCs w:val="28"/>
        </w:rPr>
        <w:t xml:space="preserve">defendant </w:t>
      </w:r>
      <w:r w:rsidR="00CE42A1" w:rsidRPr="005D35A2">
        <w:rPr>
          <w:rFonts w:ascii="Times New Roman" w:hAnsi="Times New Roman"/>
          <w:sz w:val="28"/>
          <w:szCs w:val="28"/>
        </w:rPr>
        <w:t xml:space="preserve">is </w:t>
      </w:r>
      <w:r w:rsidR="000039BA" w:rsidRPr="005D35A2">
        <w:rPr>
          <w:rFonts w:ascii="Times New Roman" w:hAnsi="Times New Roman"/>
          <w:sz w:val="28"/>
          <w:szCs w:val="28"/>
        </w:rPr>
        <w:t xml:space="preserve">its assertion </w:t>
      </w:r>
      <w:r w:rsidR="00BF1AFC" w:rsidRPr="005D35A2">
        <w:rPr>
          <w:rFonts w:ascii="Times New Roman" w:hAnsi="Times New Roman"/>
          <w:sz w:val="28"/>
          <w:szCs w:val="28"/>
        </w:rPr>
        <w:t>that notwithstanding h</w:t>
      </w:r>
      <w:r w:rsidR="0051311F" w:rsidRPr="005D35A2">
        <w:rPr>
          <w:rFonts w:ascii="Times New Roman" w:hAnsi="Times New Roman"/>
          <w:sz w:val="28"/>
          <w:szCs w:val="28"/>
        </w:rPr>
        <w:t>aving pleaded</w:t>
      </w:r>
      <w:r w:rsidR="00BE4069" w:rsidRPr="005D35A2">
        <w:rPr>
          <w:rFonts w:ascii="Times New Roman" w:hAnsi="Times New Roman"/>
          <w:sz w:val="28"/>
          <w:szCs w:val="28"/>
        </w:rPr>
        <w:t xml:space="preserve"> that the letter of appointment makes erroneous reference to the installation of a </w:t>
      </w:r>
      <w:r w:rsidR="00893809" w:rsidRPr="005D35A2">
        <w:rPr>
          <w:rFonts w:ascii="Times New Roman" w:hAnsi="Times New Roman"/>
          <w:sz w:val="28"/>
          <w:szCs w:val="28"/>
        </w:rPr>
        <w:t>t</w:t>
      </w:r>
      <w:r w:rsidR="00BE4069" w:rsidRPr="005D35A2">
        <w:rPr>
          <w:rFonts w:ascii="Times New Roman" w:hAnsi="Times New Roman"/>
          <w:sz w:val="28"/>
          <w:szCs w:val="28"/>
        </w:rPr>
        <w:t xml:space="preserve">elemetry </w:t>
      </w:r>
      <w:r w:rsidR="00893809" w:rsidRPr="005D35A2">
        <w:rPr>
          <w:rFonts w:ascii="Times New Roman" w:hAnsi="Times New Roman"/>
          <w:sz w:val="28"/>
          <w:szCs w:val="28"/>
        </w:rPr>
        <w:t>s</w:t>
      </w:r>
      <w:r w:rsidR="00BE4069" w:rsidRPr="005D35A2">
        <w:rPr>
          <w:rFonts w:ascii="Times New Roman" w:hAnsi="Times New Roman"/>
          <w:sz w:val="28"/>
          <w:szCs w:val="28"/>
        </w:rPr>
        <w:t xml:space="preserve">ystem at the </w:t>
      </w:r>
      <w:r w:rsidR="00893809" w:rsidRPr="005D35A2">
        <w:rPr>
          <w:rFonts w:ascii="Times New Roman" w:hAnsi="Times New Roman"/>
          <w:sz w:val="28"/>
          <w:szCs w:val="28"/>
        </w:rPr>
        <w:t>w</w:t>
      </w:r>
      <w:r w:rsidR="00BE4069" w:rsidRPr="005D35A2">
        <w:rPr>
          <w:rFonts w:ascii="Times New Roman" w:hAnsi="Times New Roman"/>
          <w:sz w:val="28"/>
          <w:szCs w:val="28"/>
        </w:rPr>
        <w:t xml:space="preserve">ater </w:t>
      </w:r>
      <w:r w:rsidR="00893809" w:rsidRPr="005D35A2">
        <w:rPr>
          <w:rFonts w:ascii="Times New Roman" w:hAnsi="Times New Roman"/>
          <w:sz w:val="28"/>
          <w:szCs w:val="28"/>
        </w:rPr>
        <w:t>t</w:t>
      </w:r>
      <w:r w:rsidR="00BE4069" w:rsidRPr="005D35A2">
        <w:rPr>
          <w:rFonts w:ascii="Times New Roman" w:hAnsi="Times New Roman"/>
          <w:sz w:val="28"/>
          <w:szCs w:val="28"/>
        </w:rPr>
        <w:t xml:space="preserve">reatment </w:t>
      </w:r>
      <w:r w:rsidR="00893809" w:rsidRPr="005D35A2">
        <w:rPr>
          <w:rFonts w:ascii="Times New Roman" w:hAnsi="Times New Roman"/>
          <w:sz w:val="28"/>
          <w:szCs w:val="28"/>
        </w:rPr>
        <w:t>w</w:t>
      </w:r>
      <w:r w:rsidR="00BE4069" w:rsidRPr="005D35A2">
        <w:rPr>
          <w:rFonts w:ascii="Times New Roman" w:hAnsi="Times New Roman"/>
          <w:sz w:val="28"/>
          <w:szCs w:val="28"/>
        </w:rPr>
        <w:t xml:space="preserve">orks and </w:t>
      </w:r>
      <w:r w:rsidR="00893809" w:rsidRPr="005D35A2">
        <w:rPr>
          <w:rFonts w:ascii="Times New Roman" w:hAnsi="Times New Roman"/>
          <w:sz w:val="28"/>
          <w:szCs w:val="28"/>
        </w:rPr>
        <w:t>t</w:t>
      </w:r>
      <w:r w:rsidR="00BE4069" w:rsidRPr="005D35A2">
        <w:rPr>
          <w:rFonts w:ascii="Times New Roman" w:hAnsi="Times New Roman"/>
          <w:sz w:val="28"/>
          <w:szCs w:val="28"/>
        </w:rPr>
        <w:t xml:space="preserve">own </w:t>
      </w:r>
      <w:r w:rsidR="00893809" w:rsidRPr="005D35A2">
        <w:rPr>
          <w:rFonts w:ascii="Times New Roman" w:hAnsi="Times New Roman"/>
          <w:sz w:val="28"/>
          <w:szCs w:val="28"/>
        </w:rPr>
        <w:t>r</w:t>
      </w:r>
      <w:r w:rsidR="00BE4069" w:rsidRPr="005D35A2">
        <w:rPr>
          <w:rFonts w:ascii="Times New Roman" w:hAnsi="Times New Roman"/>
          <w:sz w:val="28"/>
          <w:szCs w:val="28"/>
        </w:rPr>
        <w:t>eservoir</w:t>
      </w:r>
      <w:r w:rsidR="00BF1AFC" w:rsidRPr="005D35A2">
        <w:rPr>
          <w:rFonts w:ascii="Times New Roman" w:hAnsi="Times New Roman"/>
          <w:sz w:val="28"/>
          <w:szCs w:val="28"/>
        </w:rPr>
        <w:t xml:space="preserve">, </w:t>
      </w:r>
      <w:r w:rsidR="00893809" w:rsidRPr="005D35A2">
        <w:rPr>
          <w:rFonts w:ascii="Times New Roman" w:hAnsi="Times New Roman"/>
          <w:sz w:val="28"/>
          <w:szCs w:val="28"/>
        </w:rPr>
        <w:t>the plaintiff has made no claim for the r</w:t>
      </w:r>
      <w:r w:rsidR="00CA265D" w:rsidRPr="005D35A2">
        <w:rPr>
          <w:rFonts w:ascii="Times New Roman" w:hAnsi="Times New Roman"/>
          <w:sz w:val="28"/>
          <w:szCs w:val="28"/>
        </w:rPr>
        <w:t>ectification</w:t>
      </w:r>
      <w:r w:rsidR="00893809" w:rsidRPr="005D35A2">
        <w:rPr>
          <w:rFonts w:ascii="Times New Roman" w:hAnsi="Times New Roman"/>
          <w:sz w:val="28"/>
          <w:szCs w:val="28"/>
        </w:rPr>
        <w:t xml:space="preserve"> of the alleged error.</w:t>
      </w:r>
      <w:r w:rsidR="00BF1AFC" w:rsidRPr="005D35A2">
        <w:rPr>
          <w:rFonts w:ascii="Times New Roman" w:hAnsi="Times New Roman"/>
          <w:sz w:val="28"/>
          <w:szCs w:val="28"/>
        </w:rPr>
        <w:t xml:space="preserve"> </w:t>
      </w:r>
      <w:r w:rsidR="003854F4" w:rsidRPr="005D35A2">
        <w:rPr>
          <w:rFonts w:ascii="Times New Roman" w:hAnsi="Times New Roman"/>
          <w:sz w:val="28"/>
          <w:szCs w:val="28"/>
        </w:rPr>
        <w:t xml:space="preserve">I understand the defendant to be suggesting that the </w:t>
      </w:r>
      <w:r w:rsidR="000039BA" w:rsidRPr="005D35A2">
        <w:rPr>
          <w:rFonts w:ascii="Times New Roman" w:hAnsi="Times New Roman"/>
          <w:sz w:val="28"/>
          <w:szCs w:val="28"/>
        </w:rPr>
        <w:t xml:space="preserve">alleged </w:t>
      </w:r>
      <w:r w:rsidR="00826B95" w:rsidRPr="005D35A2">
        <w:rPr>
          <w:rFonts w:ascii="Times New Roman" w:hAnsi="Times New Roman"/>
          <w:sz w:val="28"/>
          <w:szCs w:val="28"/>
        </w:rPr>
        <w:t xml:space="preserve">error </w:t>
      </w:r>
      <w:r w:rsidR="000039BA" w:rsidRPr="005D35A2">
        <w:rPr>
          <w:rFonts w:ascii="Times New Roman" w:hAnsi="Times New Roman"/>
          <w:sz w:val="28"/>
          <w:szCs w:val="28"/>
        </w:rPr>
        <w:t xml:space="preserve">in Annexure A </w:t>
      </w:r>
      <w:r w:rsidR="00826B95" w:rsidRPr="005D35A2">
        <w:rPr>
          <w:rFonts w:ascii="Times New Roman" w:hAnsi="Times New Roman"/>
          <w:sz w:val="28"/>
          <w:szCs w:val="28"/>
        </w:rPr>
        <w:t>does not reflect the common intention of the parties</w:t>
      </w:r>
      <w:r w:rsidR="009C3C33">
        <w:rPr>
          <w:rFonts w:ascii="Times New Roman" w:hAnsi="Times New Roman"/>
          <w:sz w:val="28"/>
          <w:szCs w:val="28"/>
        </w:rPr>
        <w:t xml:space="preserve"> (</w:t>
      </w:r>
      <w:r w:rsidR="009C3C33" w:rsidRPr="005D35A2">
        <w:rPr>
          <w:rFonts w:ascii="Times New Roman" w:hAnsi="Times New Roman"/>
          <w:sz w:val="28"/>
          <w:szCs w:val="28"/>
        </w:rPr>
        <w:t>In law rectification is directed at having a written contract conform with the common intention of the parties</w:t>
      </w:r>
      <w:r w:rsidR="009C3C33">
        <w:rPr>
          <w:rStyle w:val="FootnoteReference"/>
          <w:rFonts w:ascii="Times New Roman" w:hAnsi="Times New Roman"/>
          <w:sz w:val="28"/>
          <w:szCs w:val="28"/>
        </w:rPr>
        <w:footnoteReference w:id="15"/>
      </w:r>
      <w:r w:rsidR="009C3C33">
        <w:rPr>
          <w:rFonts w:ascii="Times New Roman" w:hAnsi="Times New Roman"/>
          <w:sz w:val="28"/>
          <w:szCs w:val="28"/>
        </w:rPr>
        <w:t>)</w:t>
      </w:r>
      <w:r w:rsidR="00826B95" w:rsidRPr="005D35A2">
        <w:rPr>
          <w:rFonts w:ascii="Times New Roman" w:hAnsi="Times New Roman"/>
          <w:sz w:val="28"/>
          <w:szCs w:val="28"/>
        </w:rPr>
        <w:t xml:space="preserve">. </w:t>
      </w:r>
      <w:r w:rsidR="00BF1AFC" w:rsidRPr="005D35A2">
        <w:rPr>
          <w:rFonts w:ascii="Times New Roman" w:hAnsi="Times New Roman"/>
          <w:sz w:val="28"/>
          <w:szCs w:val="28"/>
        </w:rPr>
        <w:t xml:space="preserve">The defendant’s assertion is made despite the fact that the heading of the letter, and its subject matter, is identified as </w:t>
      </w:r>
      <w:r w:rsidR="00BF1AFC" w:rsidRPr="004C6809">
        <w:rPr>
          <w:rFonts w:ascii="Times New Roman" w:hAnsi="Times New Roman"/>
          <w:i/>
          <w:sz w:val="28"/>
          <w:szCs w:val="28"/>
        </w:rPr>
        <w:t>‘Appointment</w:t>
      </w:r>
      <w:r w:rsidR="00CA265D" w:rsidRPr="004C6809">
        <w:rPr>
          <w:rFonts w:ascii="Times New Roman" w:hAnsi="Times New Roman"/>
          <w:i/>
          <w:sz w:val="28"/>
          <w:szCs w:val="28"/>
        </w:rPr>
        <w:t xml:space="preserve"> for Engineering</w:t>
      </w:r>
      <w:r w:rsidR="00CE42A1" w:rsidRPr="004C6809">
        <w:rPr>
          <w:rFonts w:ascii="Times New Roman" w:hAnsi="Times New Roman"/>
          <w:i/>
          <w:sz w:val="28"/>
          <w:szCs w:val="28"/>
        </w:rPr>
        <w:t xml:space="preserve"> </w:t>
      </w:r>
      <w:r w:rsidR="00CA265D" w:rsidRPr="004C6809">
        <w:rPr>
          <w:rFonts w:ascii="Times New Roman" w:hAnsi="Times New Roman"/>
          <w:i/>
          <w:sz w:val="28"/>
          <w:szCs w:val="28"/>
        </w:rPr>
        <w:t>services for Tsomo Town Roads and Stormwater’</w:t>
      </w:r>
      <w:r w:rsidR="004C6809">
        <w:rPr>
          <w:rFonts w:ascii="Times New Roman" w:hAnsi="Times New Roman"/>
          <w:i/>
          <w:sz w:val="28"/>
          <w:szCs w:val="28"/>
        </w:rPr>
        <w:t>.</w:t>
      </w:r>
      <w:r w:rsidR="00C4292D" w:rsidRPr="005D35A2">
        <w:rPr>
          <w:rFonts w:ascii="Times New Roman" w:hAnsi="Times New Roman"/>
          <w:sz w:val="28"/>
          <w:szCs w:val="28"/>
        </w:rPr>
        <w:t xml:space="preserve"> A reading of the particulars of claim </w:t>
      </w:r>
      <w:r w:rsidR="009C3C33">
        <w:rPr>
          <w:rFonts w:ascii="Times New Roman" w:hAnsi="Times New Roman"/>
          <w:sz w:val="28"/>
          <w:szCs w:val="28"/>
        </w:rPr>
        <w:t>unambiguously</w:t>
      </w:r>
      <w:r w:rsidR="009C3C33" w:rsidRPr="005D35A2">
        <w:rPr>
          <w:rFonts w:ascii="Times New Roman" w:hAnsi="Times New Roman"/>
          <w:sz w:val="28"/>
          <w:szCs w:val="28"/>
        </w:rPr>
        <w:t xml:space="preserve"> </w:t>
      </w:r>
      <w:r w:rsidR="00C4292D" w:rsidRPr="005D35A2">
        <w:rPr>
          <w:rFonts w:ascii="Times New Roman" w:hAnsi="Times New Roman"/>
          <w:sz w:val="28"/>
          <w:szCs w:val="28"/>
        </w:rPr>
        <w:t>indicates that the plaintiff’s cause of action is not premised on the letter</w:t>
      </w:r>
      <w:r w:rsidR="00B04476" w:rsidRPr="005D35A2">
        <w:rPr>
          <w:rFonts w:ascii="Times New Roman" w:hAnsi="Times New Roman"/>
          <w:sz w:val="28"/>
          <w:szCs w:val="28"/>
        </w:rPr>
        <w:t xml:space="preserve">. It is </w:t>
      </w:r>
      <w:r w:rsidR="00320CCC">
        <w:rPr>
          <w:rFonts w:ascii="Times New Roman" w:hAnsi="Times New Roman"/>
          <w:sz w:val="28"/>
          <w:szCs w:val="28"/>
        </w:rPr>
        <w:t xml:space="preserve">advanced </w:t>
      </w:r>
      <w:r w:rsidR="00B04476" w:rsidRPr="005D35A2">
        <w:rPr>
          <w:rFonts w:ascii="Times New Roman" w:hAnsi="Times New Roman"/>
          <w:sz w:val="28"/>
          <w:szCs w:val="28"/>
        </w:rPr>
        <w:t xml:space="preserve">on </w:t>
      </w:r>
      <w:r w:rsidR="006B5390" w:rsidRPr="005D35A2">
        <w:rPr>
          <w:rFonts w:ascii="Times New Roman" w:hAnsi="Times New Roman"/>
          <w:sz w:val="28"/>
          <w:szCs w:val="28"/>
        </w:rPr>
        <w:t xml:space="preserve">a </w:t>
      </w:r>
      <w:r w:rsidR="00320CCC">
        <w:rPr>
          <w:rFonts w:ascii="Times New Roman" w:hAnsi="Times New Roman"/>
          <w:sz w:val="28"/>
          <w:szCs w:val="28"/>
        </w:rPr>
        <w:t xml:space="preserve">signed </w:t>
      </w:r>
      <w:r w:rsidR="006B5390" w:rsidRPr="005D35A2">
        <w:rPr>
          <w:rFonts w:ascii="Times New Roman" w:hAnsi="Times New Roman"/>
          <w:sz w:val="28"/>
          <w:szCs w:val="28"/>
        </w:rPr>
        <w:t xml:space="preserve">written contract identified as </w:t>
      </w:r>
      <w:r w:rsidR="00B04476" w:rsidRPr="005D35A2">
        <w:rPr>
          <w:rFonts w:ascii="Times New Roman" w:hAnsi="Times New Roman"/>
          <w:sz w:val="28"/>
          <w:szCs w:val="28"/>
        </w:rPr>
        <w:t>Annexure C</w:t>
      </w:r>
      <w:r w:rsidR="006B5390" w:rsidRPr="005D35A2">
        <w:rPr>
          <w:rFonts w:ascii="Times New Roman" w:hAnsi="Times New Roman"/>
          <w:sz w:val="28"/>
          <w:szCs w:val="28"/>
        </w:rPr>
        <w:t xml:space="preserve"> to which Annexure A</w:t>
      </w:r>
      <w:r w:rsidR="005D35A2">
        <w:rPr>
          <w:rStyle w:val="FootnoteReference"/>
          <w:rFonts w:ascii="Times New Roman" w:hAnsi="Times New Roman"/>
          <w:sz w:val="28"/>
          <w:szCs w:val="28"/>
        </w:rPr>
        <w:footnoteReference w:id="16"/>
      </w:r>
      <w:r w:rsidR="005D35A2">
        <w:rPr>
          <w:rFonts w:ascii="Times New Roman" w:hAnsi="Times New Roman"/>
          <w:sz w:val="28"/>
          <w:szCs w:val="28"/>
        </w:rPr>
        <w:t xml:space="preserve"> </w:t>
      </w:r>
      <w:r w:rsidR="006B5390" w:rsidRPr="005D35A2">
        <w:rPr>
          <w:rFonts w:ascii="Times New Roman" w:hAnsi="Times New Roman"/>
          <w:sz w:val="28"/>
          <w:szCs w:val="28"/>
        </w:rPr>
        <w:t>was the precursor.</w:t>
      </w:r>
      <w:r w:rsidR="005D35A2">
        <w:rPr>
          <w:rFonts w:ascii="Times New Roman" w:hAnsi="Times New Roman"/>
          <w:sz w:val="28"/>
          <w:szCs w:val="28"/>
        </w:rPr>
        <w:t xml:space="preserve"> </w:t>
      </w:r>
      <w:r w:rsidR="00076151">
        <w:rPr>
          <w:rFonts w:ascii="Times New Roman" w:hAnsi="Times New Roman"/>
          <w:sz w:val="28"/>
          <w:szCs w:val="28"/>
        </w:rPr>
        <w:t xml:space="preserve">The letter </w:t>
      </w:r>
      <w:r w:rsidR="00A94C8F">
        <w:rPr>
          <w:rFonts w:ascii="Times New Roman" w:hAnsi="Times New Roman"/>
          <w:sz w:val="28"/>
          <w:szCs w:val="28"/>
        </w:rPr>
        <w:t>Annexure A is not a written contract susceptible to rectification</w:t>
      </w:r>
      <w:r w:rsidR="00076151">
        <w:rPr>
          <w:rFonts w:ascii="Times New Roman" w:hAnsi="Times New Roman"/>
          <w:sz w:val="28"/>
          <w:szCs w:val="28"/>
        </w:rPr>
        <w:t xml:space="preserve">. On the plaintiff’s argument, which I accept, the letter is not relied upon as the contract between the parties for the advancement of </w:t>
      </w:r>
      <w:r w:rsidR="00320CCC">
        <w:rPr>
          <w:rFonts w:ascii="Times New Roman" w:hAnsi="Times New Roman"/>
          <w:sz w:val="28"/>
          <w:szCs w:val="28"/>
        </w:rPr>
        <w:t>the claims pleaded.</w:t>
      </w:r>
    </w:p>
    <w:p w14:paraId="43BBE02F" w14:textId="266D21DF" w:rsidR="00385566" w:rsidRPr="005D35A2" w:rsidRDefault="00600B7E" w:rsidP="00600B7E">
      <w:pPr>
        <w:pStyle w:val="LegalList1"/>
        <w:spacing w:line="360" w:lineRule="auto"/>
        <w:rPr>
          <w:rFonts w:ascii="Times New Roman" w:hAnsi="Times New Roman"/>
          <w:sz w:val="28"/>
          <w:szCs w:val="28"/>
        </w:rPr>
      </w:pPr>
      <w:r w:rsidRPr="005D35A2">
        <w:rPr>
          <w:rFonts w:ascii="Times New Roman" w:hAnsi="Times New Roman"/>
          <w:sz w:val="28"/>
          <w:szCs w:val="28"/>
        </w:rPr>
        <w:t>[20]</w:t>
      </w:r>
      <w:r w:rsidRPr="005D35A2">
        <w:rPr>
          <w:rFonts w:ascii="Times New Roman" w:hAnsi="Times New Roman"/>
          <w:sz w:val="28"/>
          <w:szCs w:val="28"/>
        </w:rPr>
        <w:tab/>
      </w:r>
      <w:r w:rsidR="00385566">
        <w:rPr>
          <w:rFonts w:ascii="Times New Roman" w:hAnsi="Times New Roman"/>
          <w:sz w:val="28"/>
          <w:szCs w:val="28"/>
        </w:rPr>
        <w:t>The</w:t>
      </w:r>
      <w:r w:rsidR="00370B98">
        <w:rPr>
          <w:rFonts w:ascii="Times New Roman" w:hAnsi="Times New Roman"/>
          <w:sz w:val="28"/>
          <w:szCs w:val="28"/>
        </w:rPr>
        <w:t xml:space="preserve"> first ground of exception is further advanced with a complaint that</w:t>
      </w:r>
      <w:r w:rsidR="00574032">
        <w:rPr>
          <w:rFonts w:ascii="Times New Roman" w:hAnsi="Times New Roman"/>
          <w:sz w:val="28"/>
          <w:szCs w:val="28"/>
        </w:rPr>
        <w:t xml:space="preserve"> </w:t>
      </w:r>
      <w:r w:rsidR="00385566">
        <w:rPr>
          <w:rFonts w:ascii="Times New Roman" w:hAnsi="Times New Roman"/>
          <w:sz w:val="28"/>
          <w:szCs w:val="28"/>
        </w:rPr>
        <w:t>the plaintiff has not made the allegation as to who – either of the plaintiff or the defendant – made the error and the c</w:t>
      </w:r>
      <w:r w:rsidR="00035973">
        <w:rPr>
          <w:rFonts w:ascii="Times New Roman" w:hAnsi="Times New Roman"/>
          <w:sz w:val="28"/>
          <w:szCs w:val="28"/>
        </w:rPr>
        <w:t>ircumstances thereof,</w:t>
      </w:r>
      <w:r w:rsidR="001061C5">
        <w:rPr>
          <w:rFonts w:ascii="Times New Roman" w:hAnsi="Times New Roman"/>
          <w:sz w:val="28"/>
          <w:szCs w:val="28"/>
        </w:rPr>
        <w:t xml:space="preserve"> and for that reason the defendant is left to speculate</w:t>
      </w:r>
      <w:r w:rsidR="00DC51B3">
        <w:rPr>
          <w:rFonts w:ascii="Times New Roman" w:hAnsi="Times New Roman"/>
          <w:sz w:val="28"/>
          <w:szCs w:val="28"/>
        </w:rPr>
        <w:t>.</w:t>
      </w:r>
      <w:r w:rsidR="00574032">
        <w:rPr>
          <w:rFonts w:ascii="Times New Roman" w:hAnsi="Times New Roman"/>
          <w:sz w:val="28"/>
          <w:szCs w:val="28"/>
        </w:rPr>
        <w:t xml:space="preserve"> The </w:t>
      </w:r>
      <w:r w:rsidR="00040F32">
        <w:rPr>
          <w:rFonts w:ascii="Times New Roman" w:hAnsi="Times New Roman"/>
          <w:sz w:val="28"/>
          <w:szCs w:val="28"/>
        </w:rPr>
        <w:t xml:space="preserve">contents of the </w:t>
      </w:r>
      <w:r w:rsidR="00574032">
        <w:rPr>
          <w:rFonts w:ascii="Times New Roman" w:hAnsi="Times New Roman"/>
          <w:sz w:val="28"/>
          <w:szCs w:val="28"/>
        </w:rPr>
        <w:t xml:space="preserve">letter (Annexure A) </w:t>
      </w:r>
      <w:r w:rsidR="00040F32">
        <w:rPr>
          <w:rFonts w:ascii="Times New Roman" w:hAnsi="Times New Roman"/>
          <w:sz w:val="28"/>
          <w:szCs w:val="28"/>
        </w:rPr>
        <w:t>are recorded on a letterhead of the defendant</w:t>
      </w:r>
      <w:r w:rsidR="006617D7">
        <w:rPr>
          <w:rFonts w:ascii="Times New Roman" w:hAnsi="Times New Roman"/>
          <w:sz w:val="28"/>
          <w:szCs w:val="28"/>
        </w:rPr>
        <w:t xml:space="preserve">. The letter is signed by the municipal manager </w:t>
      </w:r>
      <w:r w:rsidR="006617D7">
        <w:rPr>
          <w:rFonts w:ascii="Times New Roman" w:hAnsi="Times New Roman"/>
          <w:sz w:val="28"/>
          <w:szCs w:val="28"/>
        </w:rPr>
        <w:lastRenderedPageBreak/>
        <w:t xml:space="preserve">and it further discloses </w:t>
      </w:r>
      <w:r w:rsidR="00040F32">
        <w:rPr>
          <w:rFonts w:ascii="Times New Roman" w:hAnsi="Times New Roman"/>
          <w:sz w:val="28"/>
          <w:szCs w:val="28"/>
        </w:rPr>
        <w:t>the contact details by email of an official</w:t>
      </w:r>
      <w:r w:rsidR="00561179">
        <w:rPr>
          <w:rFonts w:ascii="Times New Roman" w:hAnsi="Times New Roman"/>
          <w:sz w:val="28"/>
          <w:szCs w:val="28"/>
        </w:rPr>
        <w:t xml:space="preserve"> identified as </w:t>
      </w:r>
      <w:r w:rsidR="00561179" w:rsidRPr="003F14FC">
        <w:rPr>
          <w:rFonts w:ascii="Times New Roman" w:hAnsi="Times New Roman"/>
          <w:i/>
          <w:sz w:val="28"/>
          <w:szCs w:val="28"/>
        </w:rPr>
        <w:t>‘A</w:t>
      </w:r>
      <w:r w:rsidR="003F14FC" w:rsidRPr="003F14FC">
        <w:rPr>
          <w:rFonts w:ascii="Times New Roman" w:hAnsi="Times New Roman"/>
          <w:i/>
          <w:sz w:val="28"/>
          <w:szCs w:val="28"/>
        </w:rPr>
        <w:t> </w:t>
      </w:r>
      <w:r w:rsidR="00561179" w:rsidRPr="003F14FC">
        <w:rPr>
          <w:rFonts w:ascii="Times New Roman" w:hAnsi="Times New Roman"/>
          <w:i/>
          <w:sz w:val="28"/>
          <w:szCs w:val="28"/>
        </w:rPr>
        <w:t>Silinga’</w:t>
      </w:r>
      <w:r w:rsidR="00040F32">
        <w:rPr>
          <w:rFonts w:ascii="Times New Roman" w:hAnsi="Times New Roman"/>
          <w:sz w:val="28"/>
          <w:szCs w:val="28"/>
        </w:rPr>
        <w:t xml:space="preserve">. </w:t>
      </w:r>
      <w:r w:rsidR="00C61CD1">
        <w:rPr>
          <w:rFonts w:ascii="Times New Roman" w:hAnsi="Times New Roman"/>
          <w:sz w:val="28"/>
          <w:szCs w:val="28"/>
        </w:rPr>
        <w:t>The complaint has no merit - t</w:t>
      </w:r>
      <w:r w:rsidR="00040F32">
        <w:rPr>
          <w:rFonts w:ascii="Times New Roman" w:hAnsi="Times New Roman"/>
          <w:sz w:val="28"/>
          <w:szCs w:val="28"/>
        </w:rPr>
        <w:t>h</w:t>
      </w:r>
      <w:r w:rsidR="00561179">
        <w:rPr>
          <w:rFonts w:ascii="Times New Roman" w:hAnsi="Times New Roman"/>
          <w:sz w:val="28"/>
          <w:szCs w:val="28"/>
        </w:rPr>
        <w:t>e letter</w:t>
      </w:r>
      <w:r w:rsidR="00040F32">
        <w:rPr>
          <w:rFonts w:ascii="Times New Roman" w:hAnsi="Times New Roman"/>
          <w:sz w:val="28"/>
          <w:szCs w:val="28"/>
        </w:rPr>
        <w:t xml:space="preserve"> </w:t>
      </w:r>
      <w:r w:rsidR="00574032">
        <w:rPr>
          <w:rFonts w:ascii="Times New Roman" w:hAnsi="Times New Roman"/>
          <w:sz w:val="28"/>
          <w:szCs w:val="28"/>
        </w:rPr>
        <w:t xml:space="preserve">plainly emanates from </w:t>
      </w:r>
      <w:r w:rsidR="00561179">
        <w:rPr>
          <w:rFonts w:ascii="Times New Roman" w:hAnsi="Times New Roman"/>
          <w:sz w:val="28"/>
          <w:szCs w:val="28"/>
        </w:rPr>
        <w:t xml:space="preserve">the defendant. </w:t>
      </w:r>
      <w:r w:rsidR="00DC3FE5" w:rsidRPr="00C61CD1">
        <w:rPr>
          <w:rFonts w:ascii="Times New Roman" w:hAnsi="Times New Roman"/>
          <w:i/>
          <w:sz w:val="28"/>
          <w:szCs w:val="28"/>
        </w:rPr>
        <w:t>Prima facie</w:t>
      </w:r>
      <w:r w:rsidR="00DC3FE5">
        <w:rPr>
          <w:rFonts w:ascii="Times New Roman" w:hAnsi="Times New Roman"/>
          <w:sz w:val="28"/>
          <w:szCs w:val="28"/>
        </w:rPr>
        <w:t xml:space="preserve"> those identified therein may allay any speculation.</w:t>
      </w:r>
    </w:p>
    <w:p w14:paraId="19944969" w14:textId="57BA7025" w:rsidR="00DD6E7E" w:rsidRPr="00BF76B1" w:rsidRDefault="00600B7E" w:rsidP="00600B7E">
      <w:pPr>
        <w:pStyle w:val="LegalList1"/>
        <w:spacing w:line="360" w:lineRule="auto"/>
        <w:rPr>
          <w:rFonts w:ascii="Times New Roman" w:hAnsi="Times New Roman"/>
          <w:sz w:val="28"/>
          <w:szCs w:val="28"/>
        </w:rPr>
      </w:pPr>
      <w:r w:rsidRPr="00BF76B1">
        <w:rPr>
          <w:rFonts w:ascii="Times New Roman" w:hAnsi="Times New Roman"/>
          <w:sz w:val="28"/>
          <w:szCs w:val="28"/>
        </w:rPr>
        <w:t>[21]</w:t>
      </w:r>
      <w:r w:rsidRPr="00BF76B1">
        <w:rPr>
          <w:rFonts w:ascii="Times New Roman" w:hAnsi="Times New Roman"/>
          <w:sz w:val="28"/>
          <w:szCs w:val="28"/>
        </w:rPr>
        <w:tab/>
      </w:r>
      <w:r w:rsidR="0052136C">
        <w:rPr>
          <w:rFonts w:ascii="Times New Roman" w:hAnsi="Times New Roman"/>
          <w:sz w:val="28"/>
          <w:szCs w:val="28"/>
        </w:rPr>
        <w:t>It is trite that compliance with a valid tender process is mandated by legislation (i.e.</w:t>
      </w:r>
      <w:r w:rsidR="0052136C" w:rsidRPr="0052136C">
        <w:rPr>
          <w:rFonts w:ascii="Times New Roman" w:hAnsi="Times New Roman"/>
          <w:sz w:val="28"/>
          <w:szCs w:val="28"/>
        </w:rPr>
        <w:t xml:space="preserve"> </w:t>
      </w:r>
      <w:r w:rsidR="0052136C" w:rsidRPr="00BF76B1">
        <w:rPr>
          <w:rFonts w:ascii="Times New Roman" w:hAnsi="Times New Roman"/>
          <w:sz w:val="28"/>
          <w:szCs w:val="28"/>
        </w:rPr>
        <w:t>the Local Government: Municipal Systems Act</w:t>
      </w:r>
      <w:r w:rsidR="0052136C">
        <w:rPr>
          <w:rStyle w:val="FootnoteReference"/>
          <w:rFonts w:ascii="Times New Roman" w:hAnsi="Times New Roman"/>
          <w:sz w:val="28"/>
          <w:szCs w:val="28"/>
        </w:rPr>
        <w:footnoteReference w:id="17"/>
      </w:r>
      <w:r w:rsidR="0052136C" w:rsidRPr="00BF76B1">
        <w:rPr>
          <w:rFonts w:ascii="Times New Roman" w:hAnsi="Times New Roman"/>
          <w:sz w:val="28"/>
          <w:szCs w:val="28"/>
        </w:rPr>
        <w:t xml:space="preserve"> the Constitution and </w:t>
      </w:r>
      <w:r w:rsidR="0052136C">
        <w:rPr>
          <w:rFonts w:ascii="Times New Roman" w:hAnsi="Times New Roman"/>
          <w:sz w:val="28"/>
          <w:szCs w:val="28"/>
        </w:rPr>
        <w:t xml:space="preserve">the applicable </w:t>
      </w:r>
      <w:r w:rsidR="0052136C" w:rsidRPr="00BF76B1">
        <w:rPr>
          <w:rFonts w:ascii="Times New Roman" w:hAnsi="Times New Roman"/>
          <w:sz w:val="28"/>
          <w:szCs w:val="28"/>
        </w:rPr>
        <w:t>Supply Chain Management Policy</w:t>
      </w:r>
      <w:r w:rsidR="0052136C">
        <w:rPr>
          <w:rFonts w:ascii="Times New Roman" w:hAnsi="Times New Roman"/>
          <w:sz w:val="28"/>
          <w:szCs w:val="28"/>
        </w:rPr>
        <w:t xml:space="preserve"> of an organ of state).</w:t>
      </w:r>
      <w:r w:rsidR="0052136C">
        <w:rPr>
          <w:rStyle w:val="FootnoteReference"/>
          <w:rFonts w:ascii="Times New Roman" w:hAnsi="Times New Roman"/>
          <w:sz w:val="28"/>
          <w:szCs w:val="28"/>
        </w:rPr>
        <w:footnoteReference w:id="18"/>
      </w:r>
      <w:r w:rsidR="0052136C">
        <w:rPr>
          <w:rFonts w:ascii="Times New Roman" w:hAnsi="Times New Roman"/>
          <w:sz w:val="28"/>
          <w:szCs w:val="28"/>
        </w:rPr>
        <w:t xml:space="preserve"> </w:t>
      </w:r>
      <w:r w:rsidR="00E87A10" w:rsidRPr="00BF76B1">
        <w:rPr>
          <w:rFonts w:ascii="Times New Roman" w:hAnsi="Times New Roman"/>
          <w:sz w:val="28"/>
          <w:szCs w:val="28"/>
        </w:rPr>
        <w:t>Proceeding from the premise that the alleged extension of the plaintiff’s contract (communicated per Annexure D) to include the second part (phase 2) constitutes a new contract with a value in excess of R200 000 which oblige</w:t>
      </w:r>
      <w:r w:rsidR="006715DD" w:rsidRPr="00BF76B1">
        <w:rPr>
          <w:rFonts w:ascii="Times New Roman" w:hAnsi="Times New Roman"/>
          <w:sz w:val="28"/>
          <w:szCs w:val="28"/>
        </w:rPr>
        <w:t>d</w:t>
      </w:r>
      <w:r w:rsidR="00E87A10" w:rsidRPr="00BF76B1">
        <w:rPr>
          <w:rFonts w:ascii="Times New Roman" w:hAnsi="Times New Roman"/>
          <w:sz w:val="28"/>
          <w:szCs w:val="28"/>
        </w:rPr>
        <w:t xml:space="preserve"> the defendant </w:t>
      </w:r>
      <w:r w:rsidR="00144000">
        <w:rPr>
          <w:rFonts w:ascii="Times New Roman" w:hAnsi="Times New Roman"/>
          <w:sz w:val="28"/>
          <w:szCs w:val="28"/>
        </w:rPr>
        <w:t>(</w:t>
      </w:r>
      <w:r w:rsidR="00E87A10" w:rsidRPr="00BF76B1">
        <w:rPr>
          <w:rFonts w:ascii="Times New Roman" w:hAnsi="Times New Roman"/>
          <w:sz w:val="28"/>
          <w:szCs w:val="28"/>
        </w:rPr>
        <w:t>an organ of state</w:t>
      </w:r>
      <w:r w:rsidR="00144000">
        <w:rPr>
          <w:rFonts w:ascii="Times New Roman" w:hAnsi="Times New Roman"/>
          <w:sz w:val="28"/>
          <w:szCs w:val="28"/>
        </w:rPr>
        <w:t>)</w:t>
      </w:r>
      <w:r w:rsidR="00E87A10" w:rsidRPr="00BF76B1">
        <w:rPr>
          <w:rFonts w:ascii="Times New Roman" w:hAnsi="Times New Roman"/>
          <w:sz w:val="28"/>
          <w:szCs w:val="28"/>
        </w:rPr>
        <w:t xml:space="preserve"> to have acted in accordance with a fair, equitable, transparent, competitive and cost-effective bidding process</w:t>
      </w:r>
      <w:r w:rsidR="006715DD" w:rsidRPr="00BF76B1">
        <w:rPr>
          <w:rFonts w:ascii="Times New Roman" w:hAnsi="Times New Roman"/>
          <w:sz w:val="28"/>
          <w:szCs w:val="28"/>
        </w:rPr>
        <w:t xml:space="preserve">, the second ground of exception is that </w:t>
      </w:r>
      <w:r w:rsidR="00BF76B1" w:rsidRPr="00BF76B1">
        <w:rPr>
          <w:rFonts w:ascii="Times New Roman" w:hAnsi="Times New Roman"/>
          <w:sz w:val="28"/>
          <w:szCs w:val="28"/>
        </w:rPr>
        <w:t>in order to sustain a cause of action a necessary averment in the particulars of claim ought to have been that that there was compliance with the legislated procurement process.</w:t>
      </w:r>
      <w:r w:rsidR="00BF76B1">
        <w:rPr>
          <w:rFonts w:ascii="Times New Roman" w:hAnsi="Times New Roman"/>
          <w:sz w:val="28"/>
          <w:szCs w:val="28"/>
        </w:rPr>
        <w:t xml:space="preserve"> </w:t>
      </w:r>
      <w:r w:rsidR="00D87CFB" w:rsidRPr="00BF76B1">
        <w:rPr>
          <w:rFonts w:ascii="Times New Roman" w:hAnsi="Times New Roman"/>
          <w:sz w:val="28"/>
          <w:szCs w:val="28"/>
        </w:rPr>
        <w:t xml:space="preserve">The argument is that unless a procurement </w:t>
      </w:r>
      <w:r w:rsidR="00AC4575" w:rsidRPr="00BF76B1">
        <w:rPr>
          <w:rFonts w:ascii="Times New Roman" w:hAnsi="Times New Roman"/>
          <w:sz w:val="28"/>
          <w:szCs w:val="28"/>
        </w:rPr>
        <w:t xml:space="preserve">process </w:t>
      </w:r>
      <w:r w:rsidR="00D87CFB" w:rsidRPr="00BF76B1">
        <w:rPr>
          <w:rFonts w:ascii="Times New Roman" w:hAnsi="Times New Roman"/>
          <w:sz w:val="28"/>
          <w:szCs w:val="28"/>
        </w:rPr>
        <w:t>complies with legislative prescripts the purported extension is unlawful</w:t>
      </w:r>
      <w:r w:rsidR="004945B5">
        <w:rPr>
          <w:rFonts w:ascii="Times New Roman" w:hAnsi="Times New Roman"/>
          <w:sz w:val="28"/>
          <w:szCs w:val="28"/>
        </w:rPr>
        <w:t xml:space="preserve"> and the particulars of claim deficient of a cause of action.</w:t>
      </w:r>
    </w:p>
    <w:p w14:paraId="68D10EEB" w14:textId="5DD1E13B" w:rsidR="00DF1FF1" w:rsidRDefault="00600B7E" w:rsidP="00600B7E">
      <w:pPr>
        <w:pStyle w:val="LegalList1"/>
        <w:spacing w:after="0" w:line="360" w:lineRule="auto"/>
        <w:rPr>
          <w:rFonts w:ascii="Times New Roman" w:hAnsi="Times New Roman"/>
          <w:sz w:val="28"/>
          <w:szCs w:val="28"/>
        </w:rPr>
      </w:pPr>
      <w:r>
        <w:rPr>
          <w:rFonts w:ascii="Times New Roman" w:hAnsi="Times New Roman"/>
          <w:sz w:val="28"/>
          <w:szCs w:val="28"/>
        </w:rPr>
        <w:t>[22]</w:t>
      </w:r>
      <w:r>
        <w:rPr>
          <w:rFonts w:ascii="Times New Roman" w:hAnsi="Times New Roman"/>
          <w:sz w:val="28"/>
          <w:szCs w:val="28"/>
        </w:rPr>
        <w:tab/>
      </w:r>
      <w:r w:rsidR="00801268">
        <w:rPr>
          <w:rFonts w:ascii="Times New Roman" w:hAnsi="Times New Roman"/>
          <w:sz w:val="28"/>
          <w:szCs w:val="28"/>
        </w:rPr>
        <w:t>T</w:t>
      </w:r>
      <w:r w:rsidR="00674077">
        <w:rPr>
          <w:rFonts w:ascii="Times New Roman" w:hAnsi="Times New Roman"/>
          <w:sz w:val="28"/>
          <w:szCs w:val="28"/>
        </w:rPr>
        <w:t xml:space="preserve">he particulars of </w:t>
      </w:r>
      <w:r w:rsidR="00035973">
        <w:rPr>
          <w:rFonts w:ascii="Times New Roman" w:hAnsi="Times New Roman"/>
          <w:sz w:val="28"/>
          <w:szCs w:val="28"/>
        </w:rPr>
        <w:t xml:space="preserve">claim </w:t>
      </w:r>
      <w:r w:rsidR="00674077">
        <w:rPr>
          <w:rFonts w:ascii="Times New Roman" w:hAnsi="Times New Roman"/>
          <w:sz w:val="28"/>
          <w:szCs w:val="28"/>
        </w:rPr>
        <w:t>do not plead a new contract</w:t>
      </w:r>
      <w:r w:rsidR="007121AC">
        <w:rPr>
          <w:rFonts w:ascii="Times New Roman" w:hAnsi="Times New Roman"/>
          <w:sz w:val="28"/>
          <w:szCs w:val="28"/>
        </w:rPr>
        <w:t xml:space="preserve">. Had this been the case </w:t>
      </w:r>
      <w:r w:rsidR="00674077">
        <w:rPr>
          <w:rFonts w:ascii="Times New Roman" w:hAnsi="Times New Roman"/>
          <w:sz w:val="28"/>
          <w:szCs w:val="28"/>
        </w:rPr>
        <w:t>there may well be merit</w:t>
      </w:r>
      <w:r w:rsidR="007121AC">
        <w:rPr>
          <w:rFonts w:ascii="Times New Roman" w:hAnsi="Times New Roman"/>
          <w:sz w:val="28"/>
          <w:szCs w:val="28"/>
        </w:rPr>
        <w:t xml:space="preserve"> in the </w:t>
      </w:r>
      <w:r w:rsidR="00801268">
        <w:rPr>
          <w:rFonts w:ascii="Times New Roman" w:hAnsi="Times New Roman"/>
          <w:sz w:val="28"/>
          <w:szCs w:val="28"/>
        </w:rPr>
        <w:t xml:space="preserve">defendant’s </w:t>
      </w:r>
      <w:r w:rsidR="007121AC">
        <w:rPr>
          <w:rFonts w:ascii="Times New Roman" w:hAnsi="Times New Roman"/>
          <w:sz w:val="28"/>
          <w:szCs w:val="28"/>
        </w:rPr>
        <w:t>ground of exception</w:t>
      </w:r>
      <w:r w:rsidR="00801268">
        <w:rPr>
          <w:rFonts w:ascii="Times New Roman" w:hAnsi="Times New Roman"/>
          <w:sz w:val="28"/>
          <w:szCs w:val="28"/>
        </w:rPr>
        <w:t>.</w:t>
      </w:r>
      <w:r w:rsidR="007121AC">
        <w:rPr>
          <w:rFonts w:ascii="Times New Roman" w:hAnsi="Times New Roman"/>
          <w:sz w:val="28"/>
          <w:szCs w:val="28"/>
        </w:rPr>
        <w:t xml:space="preserve"> The </w:t>
      </w:r>
      <w:r w:rsidR="00B50F84">
        <w:rPr>
          <w:rFonts w:ascii="Times New Roman" w:hAnsi="Times New Roman"/>
          <w:sz w:val="28"/>
          <w:szCs w:val="28"/>
        </w:rPr>
        <w:t xml:space="preserve">defendant </w:t>
      </w:r>
      <w:r w:rsidR="00035973">
        <w:rPr>
          <w:rFonts w:ascii="Times New Roman" w:hAnsi="Times New Roman"/>
          <w:sz w:val="28"/>
          <w:szCs w:val="28"/>
        </w:rPr>
        <w:t xml:space="preserve">overlooks what the plaintiff has specifically </w:t>
      </w:r>
      <w:r w:rsidR="002570B8">
        <w:rPr>
          <w:rFonts w:ascii="Times New Roman" w:hAnsi="Times New Roman"/>
          <w:sz w:val="28"/>
          <w:szCs w:val="28"/>
        </w:rPr>
        <w:t>pleaded in paragraph 8</w:t>
      </w:r>
      <w:r w:rsidR="00DF1FF1">
        <w:rPr>
          <w:rFonts w:ascii="Times New Roman" w:hAnsi="Times New Roman"/>
          <w:sz w:val="28"/>
          <w:szCs w:val="28"/>
        </w:rPr>
        <w:t>:</w:t>
      </w:r>
    </w:p>
    <w:p w14:paraId="37363C0B" w14:textId="77777777" w:rsidR="00DD6E7E" w:rsidRPr="00AF6E43" w:rsidRDefault="00B50F84" w:rsidP="00AF6E43">
      <w:pPr>
        <w:pStyle w:val="LegalList1"/>
        <w:spacing w:line="360" w:lineRule="auto"/>
        <w:rPr>
          <w:rFonts w:ascii="Times New Roman" w:hAnsi="Times New Roman"/>
        </w:rPr>
      </w:pPr>
      <w:r w:rsidRPr="00AF6E43">
        <w:rPr>
          <w:rFonts w:ascii="Times New Roman" w:hAnsi="Times New Roman"/>
        </w:rPr>
        <w:t>‘</w:t>
      </w:r>
      <w:r w:rsidR="00DF1FF1" w:rsidRPr="00AF6E43">
        <w:rPr>
          <w:rFonts w:ascii="Times New Roman" w:hAnsi="Times New Roman"/>
        </w:rPr>
        <w:t>[T]</w:t>
      </w:r>
      <w:r w:rsidRPr="00AF6E43">
        <w:rPr>
          <w:rFonts w:ascii="Times New Roman" w:hAnsi="Times New Roman"/>
        </w:rPr>
        <w:t>he defendant extended the plaintiff’s instruction in terms of the original appointment upon the same terms of the agreement annexure C to include phase 2 …’</w:t>
      </w:r>
    </w:p>
    <w:p w14:paraId="36AA3056" w14:textId="50C983CB" w:rsidR="00DD6E7E" w:rsidRDefault="00600B7E" w:rsidP="00600B7E">
      <w:pPr>
        <w:pStyle w:val="LegalList1"/>
        <w:spacing w:line="360" w:lineRule="auto"/>
        <w:rPr>
          <w:rFonts w:ascii="Times New Roman" w:hAnsi="Times New Roman"/>
          <w:sz w:val="28"/>
          <w:szCs w:val="28"/>
        </w:rPr>
      </w:pPr>
      <w:r>
        <w:rPr>
          <w:rFonts w:ascii="Times New Roman" w:hAnsi="Times New Roman"/>
          <w:sz w:val="28"/>
          <w:szCs w:val="28"/>
        </w:rPr>
        <w:t>[23]</w:t>
      </w:r>
      <w:r>
        <w:rPr>
          <w:rFonts w:ascii="Times New Roman" w:hAnsi="Times New Roman"/>
          <w:sz w:val="28"/>
          <w:szCs w:val="28"/>
        </w:rPr>
        <w:tab/>
      </w:r>
      <w:r w:rsidR="00DF1FF1">
        <w:rPr>
          <w:rFonts w:ascii="Times New Roman" w:hAnsi="Times New Roman"/>
          <w:sz w:val="28"/>
          <w:szCs w:val="28"/>
        </w:rPr>
        <w:t xml:space="preserve">The particulars of claim clearly indicate that </w:t>
      </w:r>
      <w:r w:rsidR="00834DFB">
        <w:rPr>
          <w:rFonts w:ascii="Times New Roman" w:hAnsi="Times New Roman"/>
          <w:sz w:val="28"/>
          <w:szCs w:val="28"/>
        </w:rPr>
        <w:t xml:space="preserve">the contract Annexure C was preceded by a tender process. </w:t>
      </w:r>
      <w:r w:rsidR="00DF1FF1">
        <w:rPr>
          <w:rFonts w:ascii="Times New Roman" w:hAnsi="Times New Roman"/>
          <w:sz w:val="28"/>
          <w:szCs w:val="28"/>
        </w:rPr>
        <w:t xml:space="preserve">I am not persuaded that there is any basis for the </w:t>
      </w:r>
      <w:r w:rsidR="00DF1FF1">
        <w:rPr>
          <w:rFonts w:ascii="Times New Roman" w:hAnsi="Times New Roman"/>
          <w:sz w:val="28"/>
          <w:szCs w:val="28"/>
        </w:rPr>
        <w:lastRenderedPageBreak/>
        <w:t>complaint that</w:t>
      </w:r>
      <w:r w:rsidR="00834DFB">
        <w:rPr>
          <w:rFonts w:ascii="Times New Roman" w:hAnsi="Times New Roman"/>
          <w:sz w:val="28"/>
          <w:szCs w:val="28"/>
        </w:rPr>
        <w:t xml:space="preserve"> the plaintiff does not plead</w:t>
      </w:r>
      <w:r w:rsidR="00AF6E43">
        <w:rPr>
          <w:rFonts w:ascii="Times New Roman" w:hAnsi="Times New Roman"/>
          <w:sz w:val="28"/>
          <w:szCs w:val="28"/>
        </w:rPr>
        <w:t xml:space="preserve"> compliance with procurement legislation in respect of the extension of the contract.</w:t>
      </w:r>
      <w:r w:rsidR="00B34B91">
        <w:rPr>
          <w:rFonts w:ascii="Times New Roman" w:hAnsi="Times New Roman"/>
          <w:sz w:val="28"/>
          <w:szCs w:val="28"/>
        </w:rPr>
        <w:t xml:space="preserve"> As indicated in plaintiff’s heads of argument, this is not a ground of exception – it may found a defence but does not sustain the defendant’s contention.</w:t>
      </w:r>
    </w:p>
    <w:p w14:paraId="3A0D31E1" w14:textId="44BE3A25" w:rsidR="00D7650F" w:rsidRDefault="00600B7E" w:rsidP="00600B7E">
      <w:pPr>
        <w:pStyle w:val="LegalList1"/>
        <w:spacing w:line="360" w:lineRule="auto"/>
        <w:rPr>
          <w:rFonts w:ascii="Times New Roman" w:hAnsi="Times New Roman"/>
          <w:sz w:val="28"/>
          <w:szCs w:val="28"/>
        </w:rPr>
      </w:pPr>
      <w:r>
        <w:rPr>
          <w:rFonts w:ascii="Times New Roman" w:hAnsi="Times New Roman"/>
          <w:sz w:val="28"/>
          <w:szCs w:val="28"/>
        </w:rPr>
        <w:t>[24]</w:t>
      </w:r>
      <w:r>
        <w:rPr>
          <w:rFonts w:ascii="Times New Roman" w:hAnsi="Times New Roman"/>
          <w:sz w:val="28"/>
          <w:szCs w:val="28"/>
        </w:rPr>
        <w:tab/>
      </w:r>
      <w:r w:rsidR="00996FBF">
        <w:rPr>
          <w:rFonts w:ascii="Times New Roman" w:hAnsi="Times New Roman"/>
          <w:sz w:val="28"/>
          <w:szCs w:val="28"/>
        </w:rPr>
        <w:t>T</w:t>
      </w:r>
      <w:r w:rsidR="0033443F">
        <w:rPr>
          <w:rFonts w:ascii="Times New Roman" w:hAnsi="Times New Roman"/>
          <w:sz w:val="28"/>
          <w:szCs w:val="28"/>
        </w:rPr>
        <w:t xml:space="preserve">he particulars of claim suggests that the plaintiff’s name change </w:t>
      </w:r>
      <w:r w:rsidR="004E6607">
        <w:rPr>
          <w:rFonts w:ascii="Times New Roman" w:hAnsi="Times New Roman"/>
          <w:sz w:val="28"/>
          <w:szCs w:val="28"/>
        </w:rPr>
        <w:t xml:space="preserve">to </w:t>
      </w:r>
      <w:r w:rsidR="00686F46" w:rsidRPr="00747AB1">
        <w:rPr>
          <w:rFonts w:ascii="Times New Roman" w:hAnsi="Times New Roman"/>
          <w:i/>
          <w:sz w:val="28"/>
          <w:szCs w:val="28"/>
        </w:rPr>
        <w:t>‘</w:t>
      </w:r>
      <w:r w:rsidR="00323E90" w:rsidRPr="00747AB1">
        <w:rPr>
          <w:rFonts w:ascii="Times New Roman" w:hAnsi="Times New Roman"/>
          <w:i/>
          <w:sz w:val="28"/>
          <w:szCs w:val="28"/>
        </w:rPr>
        <w:t>JG</w:t>
      </w:r>
      <w:r w:rsidR="00747AB1" w:rsidRPr="00747AB1">
        <w:rPr>
          <w:rFonts w:ascii="Times New Roman" w:hAnsi="Times New Roman"/>
          <w:i/>
          <w:sz w:val="28"/>
          <w:szCs w:val="28"/>
        </w:rPr>
        <w:t> </w:t>
      </w:r>
      <w:r w:rsidR="00323E90" w:rsidRPr="00747AB1">
        <w:rPr>
          <w:rFonts w:ascii="Times New Roman" w:hAnsi="Times New Roman"/>
          <w:i/>
          <w:sz w:val="28"/>
          <w:szCs w:val="28"/>
        </w:rPr>
        <w:t>Afrika (Pty) Ltd</w:t>
      </w:r>
      <w:r w:rsidR="00686F46" w:rsidRPr="00747AB1">
        <w:rPr>
          <w:rFonts w:ascii="Times New Roman" w:hAnsi="Times New Roman"/>
          <w:i/>
          <w:sz w:val="28"/>
          <w:szCs w:val="28"/>
        </w:rPr>
        <w:t>’</w:t>
      </w:r>
      <w:r w:rsidR="00323E90">
        <w:rPr>
          <w:rFonts w:ascii="Times New Roman" w:hAnsi="Times New Roman"/>
          <w:sz w:val="28"/>
          <w:szCs w:val="28"/>
        </w:rPr>
        <w:t xml:space="preserve"> </w:t>
      </w:r>
      <w:r w:rsidR="0033443F">
        <w:rPr>
          <w:rFonts w:ascii="Times New Roman" w:hAnsi="Times New Roman"/>
          <w:sz w:val="28"/>
          <w:szCs w:val="28"/>
        </w:rPr>
        <w:t>interceded at a stage prior to the extension of the contract on 11</w:t>
      </w:r>
      <w:r w:rsidR="00996FBF">
        <w:rPr>
          <w:rFonts w:ascii="Times New Roman" w:hAnsi="Times New Roman"/>
          <w:sz w:val="28"/>
          <w:szCs w:val="28"/>
        </w:rPr>
        <w:t> </w:t>
      </w:r>
      <w:r w:rsidR="0033443F">
        <w:rPr>
          <w:rFonts w:ascii="Times New Roman" w:hAnsi="Times New Roman"/>
          <w:sz w:val="28"/>
          <w:szCs w:val="28"/>
        </w:rPr>
        <w:t>June 2018</w:t>
      </w:r>
      <w:r w:rsidR="00323E90">
        <w:rPr>
          <w:rFonts w:ascii="Times New Roman" w:hAnsi="Times New Roman"/>
          <w:sz w:val="28"/>
          <w:szCs w:val="28"/>
        </w:rPr>
        <w:t xml:space="preserve"> </w:t>
      </w:r>
      <w:r w:rsidR="00730B17">
        <w:rPr>
          <w:rFonts w:ascii="Times New Roman" w:hAnsi="Times New Roman"/>
          <w:sz w:val="28"/>
          <w:szCs w:val="28"/>
        </w:rPr>
        <w:t xml:space="preserve">by letter </w:t>
      </w:r>
      <w:r w:rsidR="00323E90">
        <w:rPr>
          <w:rFonts w:ascii="Times New Roman" w:hAnsi="Times New Roman"/>
          <w:sz w:val="28"/>
          <w:szCs w:val="28"/>
        </w:rPr>
        <w:t>Annexure D</w:t>
      </w:r>
      <w:r w:rsidR="0033443F">
        <w:rPr>
          <w:rFonts w:ascii="Times New Roman" w:hAnsi="Times New Roman"/>
          <w:sz w:val="28"/>
          <w:szCs w:val="28"/>
        </w:rPr>
        <w:t>.</w:t>
      </w:r>
      <w:r w:rsidR="00730B17">
        <w:rPr>
          <w:rFonts w:ascii="Times New Roman" w:hAnsi="Times New Roman"/>
          <w:sz w:val="28"/>
          <w:szCs w:val="28"/>
        </w:rPr>
        <w:t xml:space="preserve"> </w:t>
      </w:r>
      <w:r w:rsidR="003641E9">
        <w:rPr>
          <w:rFonts w:ascii="Times New Roman" w:hAnsi="Times New Roman"/>
          <w:sz w:val="28"/>
          <w:szCs w:val="28"/>
        </w:rPr>
        <w:t xml:space="preserve">The letter emanates from the office of the defendant’s municipal manager and is addressed to an entity indicated as </w:t>
      </w:r>
      <w:r w:rsidR="00761B68" w:rsidRPr="00747AB1">
        <w:rPr>
          <w:rFonts w:ascii="Times New Roman" w:hAnsi="Times New Roman"/>
          <w:i/>
          <w:sz w:val="28"/>
          <w:szCs w:val="28"/>
        </w:rPr>
        <w:t>‘</w:t>
      </w:r>
      <w:r w:rsidR="003641E9" w:rsidRPr="00747AB1">
        <w:rPr>
          <w:rFonts w:ascii="Times New Roman" w:hAnsi="Times New Roman"/>
          <w:i/>
          <w:sz w:val="28"/>
          <w:szCs w:val="28"/>
        </w:rPr>
        <w:t>Jeffares and Green Afrika Consultant</w:t>
      </w:r>
      <w:r w:rsidR="00761B68" w:rsidRPr="00747AB1">
        <w:rPr>
          <w:rFonts w:ascii="Times New Roman" w:hAnsi="Times New Roman"/>
          <w:i/>
          <w:sz w:val="28"/>
          <w:szCs w:val="28"/>
        </w:rPr>
        <w:t>’</w:t>
      </w:r>
      <w:r w:rsidR="003641E9">
        <w:rPr>
          <w:rFonts w:ascii="Times New Roman" w:hAnsi="Times New Roman"/>
          <w:sz w:val="28"/>
          <w:szCs w:val="28"/>
        </w:rPr>
        <w:t>.</w:t>
      </w:r>
    </w:p>
    <w:p w14:paraId="273F4807" w14:textId="5EAA424C" w:rsidR="00DD6E7E" w:rsidRDefault="00600B7E" w:rsidP="00600B7E">
      <w:pPr>
        <w:pStyle w:val="LegalList1"/>
        <w:spacing w:line="360" w:lineRule="auto"/>
        <w:rPr>
          <w:rFonts w:ascii="Times New Roman" w:hAnsi="Times New Roman"/>
          <w:sz w:val="28"/>
          <w:szCs w:val="28"/>
        </w:rPr>
      </w:pPr>
      <w:r>
        <w:rPr>
          <w:rFonts w:ascii="Times New Roman" w:hAnsi="Times New Roman"/>
          <w:sz w:val="28"/>
          <w:szCs w:val="28"/>
        </w:rPr>
        <w:t>[25]</w:t>
      </w:r>
      <w:r>
        <w:rPr>
          <w:rFonts w:ascii="Times New Roman" w:hAnsi="Times New Roman"/>
          <w:sz w:val="28"/>
          <w:szCs w:val="28"/>
        </w:rPr>
        <w:tab/>
      </w:r>
      <w:r w:rsidR="00730B17">
        <w:rPr>
          <w:rFonts w:ascii="Times New Roman" w:hAnsi="Times New Roman"/>
          <w:sz w:val="28"/>
          <w:szCs w:val="28"/>
        </w:rPr>
        <w:t>O</w:t>
      </w:r>
      <w:r w:rsidR="00323E90">
        <w:rPr>
          <w:rFonts w:ascii="Times New Roman" w:hAnsi="Times New Roman"/>
          <w:sz w:val="28"/>
          <w:szCs w:val="28"/>
        </w:rPr>
        <w:t>n the third ground of exception</w:t>
      </w:r>
      <w:r w:rsidR="00730B17">
        <w:rPr>
          <w:rFonts w:ascii="Times New Roman" w:hAnsi="Times New Roman"/>
          <w:sz w:val="28"/>
          <w:szCs w:val="28"/>
        </w:rPr>
        <w:t xml:space="preserve"> the defendant’s complaint</w:t>
      </w:r>
      <w:r w:rsidR="00323E90">
        <w:rPr>
          <w:rFonts w:ascii="Times New Roman" w:hAnsi="Times New Roman"/>
          <w:sz w:val="28"/>
          <w:szCs w:val="28"/>
        </w:rPr>
        <w:t xml:space="preserve"> is that the purported extension </w:t>
      </w:r>
      <w:r w:rsidR="00F2495F">
        <w:rPr>
          <w:rFonts w:ascii="Times New Roman" w:hAnsi="Times New Roman"/>
          <w:sz w:val="28"/>
          <w:szCs w:val="28"/>
        </w:rPr>
        <w:t xml:space="preserve">which </w:t>
      </w:r>
      <w:r w:rsidR="00323E90">
        <w:rPr>
          <w:rFonts w:ascii="Times New Roman" w:hAnsi="Times New Roman"/>
          <w:sz w:val="28"/>
          <w:szCs w:val="28"/>
        </w:rPr>
        <w:t>bears relation</w:t>
      </w:r>
      <w:r w:rsidR="00730B17">
        <w:rPr>
          <w:rFonts w:ascii="Times New Roman" w:hAnsi="Times New Roman"/>
          <w:sz w:val="28"/>
          <w:szCs w:val="28"/>
        </w:rPr>
        <w:t xml:space="preserve"> to </w:t>
      </w:r>
      <w:r w:rsidR="00F2495F">
        <w:rPr>
          <w:rFonts w:ascii="Times New Roman" w:hAnsi="Times New Roman"/>
          <w:sz w:val="28"/>
          <w:szCs w:val="28"/>
        </w:rPr>
        <w:t xml:space="preserve">the </w:t>
      </w:r>
      <w:r w:rsidR="00730B17">
        <w:rPr>
          <w:rFonts w:ascii="Times New Roman" w:hAnsi="Times New Roman"/>
          <w:sz w:val="28"/>
          <w:szCs w:val="28"/>
        </w:rPr>
        <w:t xml:space="preserve">entity indicated in the letter as </w:t>
      </w:r>
      <w:r w:rsidR="00CE49BF" w:rsidRPr="00747AB1">
        <w:rPr>
          <w:rFonts w:ascii="Times New Roman" w:hAnsi="Times New Roman"/>
          <w:i/>
          <w:sz w:val="28"/>
          <w:szCs w:val="28"/>
        </w:rPr>
        <w:t>‘</w:t>
      </w:r>
      <w:r w:rsidR="00730B17" w:rsidRPr="00747AB1">
        <w:rPr>
          <w:rFonts w:ascii="Times New Roman" w:hAnsi="Times New Roman"/>
          <w:i/>
          <w:sz w:val="28"/>
          <w:szCs w:val="28"/>
        </w:rPr>
        <w:t>Jeffares and Green Afrika Consultant</w:t>
      </w:r>
      <w:r w:rsidR="00CE49BF" w:rsidRPr="00747AB1">
        <w:rPr>
          <w:rFonts w:ascii="Times New Roman" w:hAnsi="Times New Roman"/>
          <w:i/>
          <w:sz w:val="28"/>
          <w:szCs w:val="28"/>
        </w:rPr>
        <w:t>’</w:t>
      </w:r>
      <w:r w:rsidR="00CE49BF">
        <w:rPr>
          <w:rFonts w:ascii="Times New Roman" w:hAnsi="Times New Roman"/>
          <w:sz w:val="28"/>
          <w:szCs w:val="28"/>
        </w:rPr>
        <w:t xml:space="preserve">, </w:t>
      </w:r>
      <w:r w:rsidR="00867F7C">
        <w:rPr>
          <w:rFonts w:ascii="Times New Roman" w:hAnsi="Times New Roman"/>
          <w:sz w:val="28"/>
          <w:szCs w:val="28"/>
        </w:rPr>
        <w:t xml:space="preserve">renders the particulars of claim uncertain where it pleads reliance </w:t>
      </w:r>
      <w:r w:rsidR="00CE49BF">
        <w:rPr>
          <w:rFonts w:ascii="Times New Roman" w:hAnsi="Times New Roman"/>
          <w:sz w:val="28"/>
          <w:szCs w:val="28"/>
        </w:rPr>
        <w:t>on the letter</w:t>
      </w:r>
      <w:r w:rsidR="00944ACB">
        <w:rPr>
          <w:rFonts w:ascii="Times New Roman" w:hAnsi="Times New Roman"/>
          <w:sz w:val="28"/>
          <w:szCs w:val="28"/>
        </w:rPr>
        <w:t xml:space="preserve"> which </w:t>
      </w:r>
      <w:r w:rsidR="00944ACB" w:rsidRPr="00686F46">
        <w:rPr>
          <w:rFonts w:ascii="Times New Roman" w:hAnsi="Times New Roman"/>
          <w:i/>
          <w:sz w:val="28"/>
          <w:szCs w:val="28"/>
        </w:rPr>
        <w:t>ex facie</w:t>
      </w:r>
      <w:r w:rsidR="00944ACB">
        <w:rPr>
          <w:rFonts w:ascii="Times New Roman" w:hAnsi="Times New Roman"/>
          <w:sz w:val="28"/>
          <w:szCs w:val="28"/>
        </w:rPr>
        <w:t xml:space="preserve"> is the contract of another entity and does not sustain a cause of action for the plaintiff.</w:t>
      </w:r>
      <w:r w:rsidR="00D7650F">
        <w:rPr>
          <w:rFonts w:ascii="Times New Roman" w:hAnsi="Times New Roman"/>
          <w:sz w:val="28"/>
          <w:szCs w:val="28"/>
        </w:rPr>
        <w:t xml:space="preserve"> The exception is also advanced with an assertion that the letter is an extension of an appointment</w:t>
      </w:r>
      <w:r w:rsidR="0089743D">
        <w:rPr>
          <w:rFonts w:ascii="Times New Roman" w:hAnsi="Times New Roman"/>
          <w:sz w:val="28"/>
          <w:szCs w:val="28"/>
        </w:rPr>
        <w:t xml:space="preserve"> that occurred in the </w:t>
      </w:r>
      <w:r w:rsidR="004A21E4">
        <w:rPr>
          <w:rFonts w:ascii="Times New Roman" w:hAnsi="Times New Roman"/>
          <w:sz w:val="28"/>
          <w:szCs w:val="28"/>
        </w:rPr>
        <w:t xml:space="preserve">period </w:t>
      </w:r>
      <w:r w:rsidR="0089743D">
        <w:rPr>
          <w:rFonts w:ascii="Times New Roman" w:hAnsi="Times New Roman"/>
          <w:sz w:val="28"/>
          <w:szCs w:val="28"/>
        </w:rPr>
        <w:t xml:space="preserve">three financial years prior to June 2018 </w:t>
      </w:r>
      <w:r w:rsidR="004A21E4">
        <w:rPr>
          <w:rFonts w:ascii="Times New Roman" w:hAnsi="Times New Roman"/>
          <w:sz w:val="28"/>
          <w:szCs w:val="28"/>
        </w:rPr>
        <w:t>but the particulars of claim make no allegation that the plaintiff was appointed to render services in that period.</w:t>
      </w:r>
    </w:p>
    <w:p w14:paraId="41BAEC5D" w14:textId="41687055" w:rsidR="00DD6E7E" w:rsidRDefault="00600B7E" w:rsidP="00600B7E">
      <w:pPr>
        <w:pStyle w:val="LegalList1"/>
        <w:spacing w:line="360" w:lineRule="auto"/>
        <w:rPr>
          <w:rFonts w:ascii="Times New Roman" w:hAnsi="Times New Roman"/>
          <w:sz w:val="28"/>
          <w:szCs w:val="28"/>
        </w:rPr>
      </w:pPr>
      <w:r>
        <w:rPr>
          <w:rFonts w:ascii="Times New Roman" w:hAnsi="Times New Roman"/>
          <w:sz w:val="28"/>
          <w:szCs w:val="28"/>
        </w:rPr>
        <w:t>[26]</w:t>
      </w:r>
      <w:r>
        <w:rPr>
          <w:rFonts w:ascii="Times New Roman" w:hAnsi="Times New Roman"/>
          <w:sz w:val="28"/>
          <w:szCs w:val="28"/>
        </w:rPr>
        <w:tab/>
      </w:r>
      <w:r w:rsidR="00133A54">
        <w:rPr>
          <w:rFonts w:ascii="Times New Roman" w:hAnsi="Times New Roman"/>
          <w:sz w:val="28"/>
          <w:szCs w:val="28"/>
        </w:rPr>
        <w:t xml:space="preserve">The short shrift approach to </w:t>
      </w:r>
      <w:r w:rsidR="00173857">
        <w:rPr>
          <w:rFonts w:ascii="Times New Roman" w:hAnsi="Times New Roman"/>
          <w:sz w:val="28"/>
          <w:szCs w:val="28"/>
        </w:rPr>
        <w:t xml:space="preserve">the latter part of </w:t>
      </w:r>
      <w:r w:rsidR="00133A54">
        <w:rPr>
          <w:rFonts w:ascii="Times New Roman" w:hAnsi="Times New Roman"/>
          <w:sz w:val="28"/>
          <w:szCs w:val="28"/>
        </w:rPr>
        <w:t>this complaint</w:t>
      </w:r>
      <w:r w:rsidR="00431AB2">
        <w:rPr>
          <w:rFonts w:ascii="Times New Roman" w:hAnsi="Times New Roman"/>
          <w:sz w:val="28"/>
          <w:szCs w:val="28"/>
        </w:rPr>
        <w:t xml:space="preserve"> is that the defendant overlooks paragraph 8 of the particulars of claim where it is averred that the </w:t>
      </w:r>
      <w:r w:rsidR="00173857">
        <w:rPr>
          <w:rFonts w:ascii="Times New Roman" w:hAnsi="Times New Roman"/>
          <w:sz w:val="28"/>
          <w:szCs w:val="28"/>
        </w:rPr>
        <w:t>defendant extended the plaintiff’s instruction</w:t>
      </w:r>
      <w:r w:rsidR="0063275D">
        <w:rPr>
          <w:rFonts w:ascii="Times New Roman" w:hAnsi="Times New Roman"/>
          <w:sz w:val="28"/>
          <w:szCs w:val="28"/>
        </w:rPr>
        <w:t xml:space="preserve">. </w:t>
      </w:r>
      <w:r w:rsidR="00996FBF">
        <w:rPr>
          <w:rFonts w:ascii="Times New Roman" w:hAnsi="Times New Roman"/>
          <w:sz w:val="28"/>
          <w:szCs w:val="28"/>
        </w:rPr>
        <w:t>In that regard w</w:t>
      </w:r>
      <w:r w:rsidR="0063275D">
        <w:rPr>
          <w:rFonts w:ascii="Times New Roman" w:hAnsi="Times New Roman"/>
          <w:sz w:val="28"/>
          <w:szCs w:val="28"/>
        </w:rPr>
        <w:t xml:space="preserve">hat is </w:t>
      </w:r>
      <w:r w:rsidR="005A5089">
        <w:rPr>
          <w:rFonts w:ascii="Times New Roman" w:hAnsi="Times New Roman"/>
          <w:sz w:val="28"/>
          <w:szCs w:val="28"/>
        </w:rPr>
        <w:t xml:space="preserve">detailed </w:t>
      </w:r>
      <w:r w:rsidR="0063275D">
        <w:rPr>
          <w:rFonts w:ascii="Times New Roman" w:hAnsi="Times New Roman"/>
          <w:sz w:val="28"/>
          <w:szCs w:val="28"/>
        </w:rPr>
        <w:t>in paragraph [22] of this judgment is repeated.</w:t>
      </w:r>
      <w:r w:rsidR="00723CCC">
        <w:rPr>
          <w:rFonts w:ascii="Times New Roman" w:hAnsi="Times New Roman"/>
          <w:sz w:val="28"/>
          <w:szCs w:val="28"/>
        </w:rPr>
        <w:t xml:space="preserve"> As for the defendant’s uncertainty about the entity with whom the contract was extended, Annexure C indicates that the contract was concluded with </w:t>
      </w:r>
      <w:r w:rsidR="00723CCC" w:rsidRPr="00FB5369">
        <w:rPr>
          <w:rFonts w:ascii="Times New Roman" w:hAnsi="Times New Roman"/>
          <w:i/>
          <w:sz w:val="28"/>
          <w:szCs w:val="28"/>
        </w:rPr>
        <w:t>‘Jeffares &amp; Green (Pty) Ltd</w:t>
      </w:r>
      <w:r w:rsidR="00A67A87" w:rsidRPr="00FB5369">
        <w:rPr>
          <w:rFonts w:ascii="Times New Roman" w:hAnsi="Times New Roman"/>
          <w:i/>
          <w:sz w:val="28"/>
          <w:szCs w:val="28"/>
        </w:rPr>
        <w:t>’</w:t>
      </w:r>
      <w:r w:rsidR="00A67A87">
        <w:rPr>
          <w:rFonts w:ascii="Times New Roman" w:hAnsi="Times New Roman"/>
          <w:sz w:val="28"/>
          <w:szCs w:val="28"/>
        </w:rPr>
        <w:t xml:space="preserve"> prior to the name change in 2016 to </w:t>
      </w:r>
      <w:r w:rsidR="00A67A87" w:rsidRPr="00C640A0">
        <w:rPr>
          <w:rFonts w:ascii="Times New Roman" w:hAnsi="Times New Roman"/>
          <w:i/>
          <w:sz w:val="28"/>
          <w:szCs w:val="28"/>
        </w:rPr>
        <w:t>‘JG Afrika (Pty) Ltd’</w:t>
      </w:r>
      <w:r w:rsidR="00A67A87">
        <w:rPr>
          <w:rFonts w:ascii="Times New Roman" w:hAnsi="Times New Roman"/>
          <w:sz w:val="28"/>
          <w:szCs w:val="28"/>
        </w:rPr>
        <w:t xml:space="preserve">. The </w:t>
      </w:r>
      <w:r w:rsidR="008F426A">
        <w:rPr>
          <w:rFonts w:ascii="Times New Roman" w:hAnsi="Times New Roman"/>
          <w:sz w:val="28"/>
          <w:szCs w:val="28"/>
        </w:rPr>
        <w:t>letter</w:t>
      </w:r>
      <w:r w:rsidR="005805C3">
        <w:rPr>
          <w:rFonts w:ascii="Times New Roman" w:hAnsi="Times New Roman"/>
          <w:sz w:val="28"/>
          <w:szCs w:val="28"/>
        </w:rPr>
        <w:t xml:space="preserve"> of extension</w:t>
      </w:r>
      <w:r w:rsidR="008F426A">
        <w:rPr>
          <w:rFonts w:ascii="Times New Roman" w:hAnsi="Times New Roman"/>
          <w:sz w:val="28"/>
          <w:szCs w:val="28"/>
        </w:rPr>
        <w:t xml:space="preserve"> (Annexure </w:t>
      </w:r>
      <w:r w:rsidR="005805C3">
        <w:rPr>
          <w:rFonts w:ascii="Times New Roman" w:hAnsi="Times New Roman"/>
          <w:sz w:val="28"/>
          <w:szCs w:val="28"/>
        </w:rPr>
        <w:t>D</w:t>
      </w:r>
      <w:r w:rsidR="008F426A">
        <w:rPr>
          <w:rFonts w:ascii="Times New Roman" w:hAnsi="Times New Roman"/>
          <w:sz w:val="28"/>
          <w:szCs w:val="28"/>
        </w:rPr>
        <w:t xml:space="preserve">) interceded </w:t>
      </w:r>
      <w:r w:rsidR="00A67A87">
        <w:rPr>
          <w:rFonts w:ascii="Times New Roman" w:hAnsi="Times New Roman"/>
          <w:sz w:val="28"/>
          <w:szCs w:val="28"/>
        </w:rPr>
        <w:t>after the name change</w:t>
      </w:r>
      <w:r w:rsidR="00961772">
        <w:rPr>
          <w:rFonts w:ascii="Times New Roman" w:hAnsi="Times New Roman"/>
          <w:sz w:val="28"/>
          <w:szCs w:val="28"/>
        </w:rPr>
        <w:t xml:space="preserve"> and was communicated </w:t>
      </w:r>
      <w:r w:rsidR="00FB5369">
        <w:rPr>
          <w:rFonts w:ascii="Times New Roman" w:hAnsi="Times New Roman"/>
          <w:sz w:val="28"/>
          <w:szCs w:val="28"/>
        </w:rPr>
        <w:t>o</w:t>
      </w:r>
      <w:r w:rsidR="00961772">
        <w:rPr>
          <w:rFonts w:ascii="Times New Roman" w:hAnsi="Times New Roman"/>
          <w:sz w:val="28"/>
          <w:szCs w:val="28"/>
        </w:rPr>
        <w:t xml:space="preserve">n the </w:t>
      </w:r>
      <w:r w:rsidR="00961772">
        <w:rPr>
          <w:rFonts w:ascii="Times New Roman" w:hAnsi="Times New Roman"/>
          <w:sz w:val="28"/>
          <w:szCs w:val="28"/>
        </w:rPr>
        <w:lastRenderedPageBreak/>
        <w:t>defendant’s own letterhead. The defendant raises the complaint despite it being obvious, on any reasonable interpretation of that letter</w:t>
      </w:r>
      <w:r w:rsidR="00FB5369">
        <w:rPr>
          <w:rFonts w:ascii="Times New Roman" w:hAnsi="Times New Roman"/>
          <w:sz w:val="28"/>
          <w:szCs w:val="28"/>
        </w:rPr>
        <w:t xml:space="preserve">, </w:t>
      </w:r>
      <w:r w:rsidR="00961772">
        <w:rPr>
          <w:rFonts w:ascii="Times New Roman" w:hAnsi="Times New Roman"/>
          <w:sz w:val="28"/>
          <w:szCs w:val="28"/>
        </w:rPr>
        <w:t>that</w:t>
      </w:r>
      <w:r w:rsidR="00CD5CBF">
        <w:rPr>
          <w:rFonts w:ascii="Times New Roman" w:hAnsi="Times New Roman"/>
          <w:sz w:val="28"/>
          <w:szCs w:val="28"/>
        </w:rPr>
        <w:t xml:space="preserve"> </w:t>
      </w:r>
      <w:r w:rsidR="00961772">
        <w:rPr>
          <w:rFonts w:ascii="Times New Roman" w:hAnsi="Times New Roman"/>
          <w:sz w:val="28"/>
          <w:szCs w:val="28"/>
        </w:rPr>
        <w:t>the defendant muddled up the plaintiff’s name.</w:t>
      </w:r>
      <w:r w:rsidR="00CD5CBF">
        <w:rPr>
          <w:rFonts w:ascii="Times New Roman" w:hAnsi="Times New Roman"/>
          <w:sz w:val="28"/>
          <w:szCs w:val="28"/>
        </w:rPr>
        <w:t xml:space="preserve"> The plaintiff’s submission that the defendant is at liberty to plead that the letter was not intended to be addressed to the plaintiff </w:t>
      </w:r>
      <w:r w:rsidR="00BA0D24">
        <w:rPr>
          <w:rFonts w:ascii="Times New Roman" w:hAnsi="Times New Roman"/>
          <w:sz w:val="28"/>
          <w:szCs w:val="28"/>
        </w:rPr>
        <w:t>and that the complaint is ill-founded on exception, is not without merit.</w:t>
      </w:r>
    </w:p>
    <w:p w14:paraId="3B0A91FD" w14:textId="4380DB43" w:rsidR="00BA0D24" w:rsidRDefault="00600B7E" w:rsidP="00600B7E">
      <w:pPr>
        <w:pStyle w:val="LegalList1"/>
        <w:spacing w:line="360" w:lineRule="auto"/>
        <w:rPr>
          <w:rFonts w:ascii="Times New Roman" w:hAnsi="Times New Roman"/>
          <w:sz w:val="28"/>
          <w:szCs w:val="28"/>
        </w:rPr>
      </w:pPr>
      <w:r>
        <w:rPr>
          <w:rFonts w:ascii="Times New Roman" w:hAnsi="Times New Roman"/>
          <w:sz w:val="28"/>
          <w:szCs w:val="28"/>
        </w:rPr>
        <w:t>[27]</w:t>
      </w:r>
      <w:r>
        <w:rPr>
          <w:rFonts w:ascii="Times New Roman" w:hAnsi="Times New Roman"/>
          <w:sz w:val="28"/>
          <w:szCs w:val="28"/>
        </w:rPr>
        <w:tab/>
      </w:r>
      <w:r w:rsidR="001A3BF4">
        <w:rPr>
          <w:rFonts w:ascii="Times New Roman" w:hAnsi="Times New Roman"/>
          <w:sz w:val="28"/>
          <w:szCs w:val="28"/>
        </w:rPr>
        <w:t xml:space="preserve">Attached to the particulars of claim as </w:t>
      </w:r>
      <w:r w:rsidR="0017066D">
        <w:rPr>
          <w:rFonts w:ascii="Times New Roman" w:hAnsi="Times New Roman"/>
          <w:sz w:val="28"/>
          <w:szCs w:val="28"/>
        </w:rPr>
        <w:t>Annexure E</w:t>
      </w:r>
      <w:r w:rsidR="001A3BF4">
        <w:rPr>
          <w:rFonts w:ascii="Times New Roman" w:hAnsi="Times New Roman"/>
          <w:sz w:val="28"/>
          <w:szCs w:val="28"/>
        </w:rPr>
        <w:t xml:space="preserve"> is a document </w:t>
      </w:r>
      <w:r w:rsidR="0096447E">
        <w:rPr>
          <w:rFonts w:ascii="Times New Roman" w:hAnsi="Times New Roman"/>
          <w:sz w:val="28"/>
          <w:szCs w:val="28"/>
        </w:rPr>
        <w:t xml:space="preserve">dated 24 June 2020 </w:t>
      </w:r>
      <w:r w:rsidR="001A3BF4">
        <w:rPr>
          <w:rFonts w:ascii="Times New Roman" w:hAnsi="Times New Roman"/>
          <w:sz w:val="28"/>
          <w:szCs w:val="28"/>
        </w:rPr>
        <w:t xml:space="preserve">entitled </w:t>
      </w:r>
      <w:r w:rsidR="001A3BF4" w:rsidRPr="008A6934">
        <w:rPr>
          <w:rFonts w:ascii="Times New Roman" w:hAnsi="Times New Roman"/>
          <w:i/>
          <w:sz w:val="28"/>
          <w:szCs w:val="28"/>
        </w:rPr>
        <w:t>‘Final Approval Certificate of Works’</w:t>
      </w:r>
      <w:r w:rsidR="0044621F">
        <w:rPr>
          <w:rFonts w:ascii="Times New Roman" w:hAnsi="Times New Roman"/>
          <w:sz w:val="28"/>
          <w:szCs w:val="28"/>
        </w:rPr>
        <w:t xml:space="preserve">. The certificate is </w:t>
      </w:r>
      <w:r w:rsidR="00A07A55">
        <w:rPr>
          <w:rFonts w:ascii="Times New Roman" w:hAnsi="Times New Roman"/>
          <w:sz w:val="28"/>
          <w:szCs w:val="28"/>
        </w:rPr>
        <w:t xml:space="preserve">issued on a letterhead of an entity </w:t>
      </w:r>
      <w:r w:rsidR="0044621F" w:rsidRPr="008A6934">
        <w:rPr>
          <w:rFonts w:ascii="Times New Roman" w:hAnsi="Times New Roman"/>
          <w:i/>
          <w:sz w:val="28"/>
          <w:szCs w:val="28"/>
        </w:rPr>
        <w:t>‘Jeffares &amp; Green Engineering &amp; Environmental Consulting’</w:t>
      </w:r>
      <w:r w:rsidR="001A3BF4">
        <w:rPr>
          <w:rFonts w:ascii="Times New Roman" w:hAnsi="Times New Roman"/>
          <w:sz w:val="28"/>
          <w:szCs w:val="28"/>
        </w:rPr>
        <w:t>.</w:t>
      </w:r>
      <w:r w:rsidR="001C45D8">
        <w:rPr>
          <w:rFonts w:ascii="Times New Roman" w:hAnsi="Times New Roman"/>
          <w:sz w:val="28"/>
          <w:szCs w:val="28"/>
        </w:rPr>
        <w:t xml:space="preserve"> The defendant’s concluding complaint</w:t>
      </w:r>
      <w:r w:rsidR="0044621F">
        <w:rPr>
          <w:rFonts w:ascii="Times New Roman" w:hAnsi="Times New Roman"/>
          <w:sz w:val="28"/>
          <w:szCs w:val="28"/>
        </w:rPr>
        <w:t xml:space="preserve"> is that the entity is different from the plaintiff</w:t>
      </w:r>
      <w:r w:rsidR="00503A04">
        <w:rPr>
          <w:rFonts w:ascii="Times New Roman" w:hAnsi="Times New Roman"/>
          <w:sz w:val="28"/>
          <w:szCs w:val="28"/>
        </w:rPr>
        <w:t xml:space="preserve"> and since it does not appear from the particulars</w:t>
      </w:r>
      <w:r w:rsidR="008A6934">
        <w:rPr>
          <w:rFonts w:ascii="Times New Roman" w:hAnsi="Times New Roman"/>
          <w:sz w:val="28"/>
          <w:szCs w:val="28"/>
        </w:rPr>
        <w:t xml:space="preserve"> of claim</w:t>
      </w:r>
      <w:r w:rsidR="00503A04">
        <w:rPr>
          <w:rFonts w:ascii="Times New Roman" w:hAnsi="Times New Roman"/>
          <w:sz w:val="28"/>
          <w:szCs w:val="28"/>
        </w:rPr>
        <w:t xml:space="preserve"> the basis upon which the plaintiff relies on a certificate rendered by another entity, there is no nexus between the plaintiff and the certificate upon which it purports to rely. </w:t>
      </w:r>
      <w:r w:rsidR="00747449">
        <w:rPr>
          <w:rFonts w:ascii="Times New Roman" w:hAnsi="Times New Roman"/>
          <w:sz w:val="28"/>
          <w:szCs w:val="28"/>
        </w:rPr>
        <w:t>The point taken is mis</w:t>
      </w:r>
      <w:r w:rsidR="00F87D10">
        <w:rPr>
          <w:rFonts w:ascii="Times New Roman" w:hAnsi="Times New Roman"/>
          <w:sz w:val="28"/>
          <w:szCs w:val="28"/>
        </w:rPr>
        <w:t>directed</w:t>
      </w:r>
      <w:r w:rsidR="00747449">
        <w:rPr>
          <w:rFonts w:ascii="Times New Roman" w:hAnsi="Times New Roman"/>
          <w:sz w:val="28"/>
          <w:szCs w:val="28"/>
        </w:rPr>
        <w:t>. As a matter of fact the certificate indicates</w:t>
      </w:r>
      <w:r w:rsidR="00BB0F7B">
        <w:rPr>
          <w:rFonts w:ascii="Times New Roman" w:hAnsi="Times New Roman"/>
          <w:sz w:val="28"/>
          <w:szCs w:val="28"/>
        </w:rPr>
        <w:t xml:space="preserve"> that it was issued by </w:t>
      </w:r>
      <w:r w:rsidR="00BB0F7B" w:rsidRPr="008A6934">
        <w:rPr>
          <w:rFonts w:ascii="Times New Roman" w:hAnsi="Times New Roman"/>
          <w:i/>
          <w:sz w:val="28"/>
          <w:szCs w:val="28"/>
        </w:rPr>
        <w:t>‘Jeff</w:t>
      </w:r>
      <w:r w:rsidR="005F48BE">
        <w:rPr>
          <w:rFonts w:ascii="Times New Roman" w:hAnsi="Times New Roman"/>
          <w:i/>
          <w:sz w:val="28"/>
          <w:szCs w:val="28"/>
        </w:rPr>
        <w:t>a</w:t>
      </w:r>
      <w:r w:rsidR="00BB0F7B" w:rsidRPr="008A6934">
        <w:rPr>
          <w:rFonts w:ascii="Times New Roman" w:hAnsi="Times New Roman"/>
          <w:i/>
          <w:sz w:val="28"/>
          <w:szCs w:val="28"/>
        </w:rPr>
        <w:t>res &amp; Green (Pty) Ltd’</w:t>
      </w:r>
      <w:r w:rsidR="00BB0F7B">
        <w:rPr>
          <w:rFonts w:ascii="Times New Roman" w:hAnsi="Times New Roman"/>
          <w:sz w:val="28"/>
          <w:szCs w:val="28"/>
        </w:rPr>
        <w:t>, that it was signed on behalf of the plaintiff</w:t>
      </w:r>
      <w:r w:rsidR="00FB6E8C">
        <w:rPr>
          <w:rFonts w:ascii="Times New Roman" w:hAnsi="Times New Roman"/>
          <w:sz w:val="28"/>
          <w:szCs w:val="28"/>
        </w:rPr>
        <w:t>, accepted by the contractor and approved by the defendant.</w:t>
      </w:r>
      <w:r w:rsidR="00502CC5">
        <w:rPr>
          <w:rFonts w:ascii="Times New Roman" w:hAnsi="Times New Roman"/>
          <w:sz w:val="28"/>
          <w:szCs w:val="28"/>
        </w:rPr>
        <w:t xml:space="preserve"> Whilst noting that the certificate was issued in 2020, after the plaintiff’s name change, </w:t>
      </w:r>
      <w:r w:rsidR="00356944">
        <w:rPr>
          <w:rFonts w:ascii="Times New Roman" w:hAnsi="Times New Roman"/>
          <w:sz w:val="28"/>
          <w:szCs w:val="28"/>
        </w:rPr>
        <w:t>any uncertainty attaching to the pleader’s intention c</w:t>
      </w:r>
      <w:r w:rsidR="00822EF4">
        <w:rPr>
          <w:rFonts w:ascii="Times New Roman" w:hAnsi="Times New Roman"/>
          <w:sz w:val="28"/>
          <w:szCs w:val="28"/>
        </w:rPr>
        <w:t>an</w:t>
      </w:r>
      <w:r w:rsidR="0039776C">
        <w:rPr>
          <w:rFonts w:ascii="Times New Roman" w:hAnsi="Times New Roman"/>
          <w:sz w:val="28"/>
          <w:szCs w:val="28"/>
        </w:rPr>
        <w:t>,</w:t>
      </w:r>
      <w:r w:rsidR="00356944">
        <w:rPr>
          <w:rFonts w:ascii="Times New Roman" w:hAnsi="Times New Roman"/>
          <w:sz w:val="28"/>
          <w:szCs w:val="28"/>
        </w:rPr>
        <w:t xml:space="preserve"> in my view</w:t>
      </w:r>
      <w:r w:rsidR="0039776C">
        <w:rPr>
          <w:rFonts w:ascii="Times New Roman" w:hAnsi="Times New Roman"/>
          <w:sz w:val="28"/>
          <w:szCs w:val="28"/>
        </w:rPr>
        <w:t>,</w:t>
      </w:r>
      <w:r w:rsidR="00356944">
        <w:rPr>
          <w:rFonts w:ascii="Times New Roman" w:hAnsi="Times New Roman"/>
          <w:sz w:val="28"/>
          <w:szCs w:val="28"/>
        </w:rPr>
        <w:t xml:space="preserve"> be addressed in a request for trial particulars</w:t>
      </w:r>
      <w:r w:rsidR="006D6F5B">
        <w:rPr>
          <w:rStyle w:val="FootnoteReference"/>
          <w:rFonts w:ascii="Times New Roman" w:hAnsi="Times New Roman"/>
          <w:sz w:val="28"/>
          <w:szCs w:val="28"/>
        </w:rPr>
        <w:footnoteReference w:id="19"/>
      </w:r>
      <w:r w:rsidR="00822EF4">
        <w:rPr>
          <w:rFonts w:ascii="Times New Roman" w:hAnsi="Times New Roman"/>
          <w:sz w:val="28"/>
          <w:szCs w:val="28"/>
        </w:rPr>
        <w:t>.</w:t>
      </w:r>
    </w:p>
    <w:p w14:paraId="1F8F6776" w14:textId="527DBBCF" w:rsidR="000D4CFD" w:rsidRDefault="00600B7E" w:rsidP="00600B7E">
      <w:pPr>
        <w:pStyle w:val="LegalList1"/>
        <w:spacing w:line="360" w:lineRule="auto"/>
        <w:rPr>
          <w:rFonts w:ascii="Times New Roman" w:hAnsi="Times New Roman"/>
          <w:sz w:val="28"/>
          <w:szCs w:val="28"/>
        </w:rPr>
      </w:pPr>
      <w:r>
        <w:rPr>
          <w:rFonts w:ascii="Times New Roman" w:hAnsi="Times New Roman"/>
          <w:sz w:val="28"/>
          <w:szCs w:val="28"/>
        </w:rPr>
        <w:t>[28]</w:t>
      </w:r>
      <w:r>
        <w:rPr>
          <w:rFonts w:ascii="Times New Roman" w:hAnsi="Times New Roman"/>
          <w:sz w:val="28"/>
          <w:szCs w:val="28"/>
        </w:rPr>
        <w:tab/>
      </w:r>
      <w:r w:rsidR="002C4DDE" w:rsidRPr="000D4CFD">
        <w:rPr>
          <w:rFonts w:ascii="Times New Roman" w:hAnsi="Times New Roman"/>
          <w:sz w:val="28"/>
          <w:szCs w:val="28"/>
        </w:rPr>
        <w:t>As has been said, pleadings are the written statements of the parties setting out the material facts on which each party relies in support of their claim or defence as the case may be.</w:t>
      </w:r>
      <w:r w:rsidR="004D0A39" w:rsidRPr="000D4CFD">
        <w:rPr>
          <w:rFonts w:ascii="Times New Roman" w:hAnsi="Times New Roman"/>
          <w:sz w:val="28"/>
          <w:szCs w:val="28"/>
        </w:rPr>
        <w:t xml:space="preserve"> </w:t>
      </w:r>
      <w:r w:rsidR="00843368" w:rsidRPr="000D4CFD">
        <w:rPr>
          <w:rFonts w:ascii="Times New Roman" w:hAnsi="Times New Roman"/>
          <w:sz w:val="28"/>
          <w:szCs w:val="28"/>
        </w:rPr>
        <w:t>The object of pleading is to define the issues so as to enable the other party</w:t>
      </w:r>
      <w:r w:rsidR="005F1098" w:rsidRPr="000D4CFD">
        <w:rPr>
          <w:rFonts w:ascii="Times New Roman" w:hAnsi="Times New Roman"/>
          <w:sz w:val="28"/>
          <w:szCs w:val="28"/>
        </w:rPr>
        <w:t>, and the court, to know what case has to be met. The defendant is not entitled to a framework of detail in which every interval can be filled</w:t>
      </w:r>
      <w:r w:rsidR="0068163B" w:rsidRPr="000D4CFD">
        <w:rPr>
          <w:rFonts w:ascii="Times New Roman" w:hAnsi="Times New Roman"/>
          <w:sz w:val="28"/>
          <w:szCs w:val="28"/>
        </w:rPr>
        <w:t xml:space="preserve"> by logical deduction (</w:t>
      </w:r>
      <w:r w:rsidR="004D0A39" w:rsidRPr="000D4CFD">
        <w:rPr>
          <w:rFonts w:ascii="Times New Roman" w:hAnsi="Times New Roman"/>
          <w:i/>
          <w:sz w:val="28"/>
          <w:szCs w:val="28"/>
        </w:rPr>
        <w:t>Jowell v Bramwell-Jones and Others</w:t>
      </w:r>
      <w:r w:rsidR="0068163B" w:rsidRPr="000D4CFD">
        <w:rPr>
          <w:rFonts w:ascii="Times New Roman" w:hAnsi="Times New Roman"/>
          <w:i/>
          <w:sz w:val="28"/>
          <w:szCs w:val="28"/>
        </w:rPr>
        <w:t xml:space="preserve"> supra</w:t>
      </w:r>
      <w:r w:rsidR="0068163B" w:rsidRPr="000D4CFD">
        <w:rPr>
          <w:rFonts w:ascii="Times New Roman" w:hAnsi="Times New Roman"/>
          <w:sz w:val="28"/>
          <w:szCs w:val="28"/>
        </w:rPr>
        <w:t>)</w:t>
      </w:r>
      <w:r w:rsidR="0068163B" w:rsidRPr="000D4CFD">
        <w:rPr>
          <w:rFonts w:ascii="Times New Roman" w:hAnsi="Times New Roman"/>
          <w:i/>
          <w:sz w:val="28"/>
          <w:szCs w:val="28"/>
        </w:rPr>
        <w:t xml:space="preserve">. </w:t>
      </w:r>
      <w:r w:rsidR="0068163B" w:rsidRPr="000D4CFD">
        <w:rPr>
          <w:rFonts w:ascii="Times New Roman" w:hAnsi="Times New Roman"/>
          <w:sz w:val="28"/>
          <w:szCs w:val="28"/>
        </w:rPr>
        <w:t xml:space="preserve">It is indeed a basic principle that a pleading should be so phrased that the other party may reasonably and fairly be required to </w:t>
      </w:r>
      <w:r w:rsidR="0085714F" w:rsidRPr="000D4CFD">
        <w:rPr>
          <w:rFonts w:ascii="Times New Roman" w:hAnsi="Times New Roman"/>
          <w:sz w:val="28"/>
          <w:szCs w:val="28"/>
        </w:rPr>
        <w:t xml:space="preserve">required to plead thereto. Equally so, I </w:t>
      </w:r>
      <w:r w:rsidR="0085714F" w:rsidRPr="000D4CFD">
        <w:rPr>
          <w:rFonts w:ascii="Times New Roman" w:hAnsi="Times New Roman"/>
          <w:sz w:val="28"/>
          <w:szCs w:val="28"/>
        </w:rPr>
        <w:lastRenderedPageBreak/>
        <w:t>am of the view that the terms of the agreement as pleaded in the particulars of claim are sufficient to enable the defendant to plead thereto.</w:t>
      </w:r>
    </w:p>
    <w:p w14:paraId="5B80D775" w14:textId="715E8769" w:rsidR="002C4DDE" w:rsidRPr="00321F9B" w:rsidRDefault="00600B7E" w:rsidP="00600B7E">
      <w:pPr>
        <w:pStyle w:val="LegalList1"/>
        <w:spacing w:line="360" w:lineRule="auto"/>
        <w:rPr>
          <w:rFonts w:ascii="Times New Roman" w:hAnsi="Times New Roman"/>
          <w:sz w:val="28"/>
          <w:szCs w:val="28"/>
        </w:rPr>
      </w:pPr>
      <w:r w:rsidRPr="00321F9B">
        <w:rPr>
          <w:rFonts w:ascii="Times New Roman" w:hAnsi="Times New Roman"/>
          <w:sz w:val="28"/>
          <w:szCs w:val="28"/>
        </w:rPr>
        <w:t>[29]</w:t>
      </w:r>
      <w:r w:rsidRPr="00321F9B">
        <w:rPr>
          <w:rFonts w:ascii="Times New Roman" w:hAnsi="Times New Roman"/>
          <w:sz w:val="28"/>
          <w:szCs w:val="28"/>
        </w:rPr>
        <w:tab/>
      </w:r>
      <w:r w:rsidR="0085714F" w:rsidRPr="00321F9B">
        <w:rPr>
          <w:rFonts w:ascii="Times New Roman" w:hAnsi="Times New Roman"/>
          <w:sz w:val="28"/>
          <w:szCs w:val="28"/>
        </w:rPr>
        <w:t>The exception is not well taken</w:t>
      </w:r>
      <w:r w:rsidR="00321F9B" w:rsidRPr="00321F9B">
        <w:rPr>
          <w:rFonts w:ascii="Times New Roman" w:hAnsi="Times New Roman"/>
          <w:sz w:val="28"/>
          <w:szCs w:val="28"/>
        </w:rPr>
        <w:t xml:space="preserve"> and is </w:t>
      </w:r>
      <w:r w:rsidR="00EA5C4B" w:rsidRPr="00321F9B">
        <w:rPr>
          <w:rFonts w:ascii="Times New Roman" w:hAnsi="Times New Roman"/>
          <w:sz w:val="28"/>
          <w:szCs w:val="28"/>
        </w:rPr>
        <w:t xml:space="preserve">based on an overly technical approach </w:t>
      </w:r>
      <w:r w:rsidR="00321F9B">
        <w:rPr>
          <w:rFonts w:ascii="Times New Roman" w:hAnsi="Times New Roman"/>
          <w:sz w:val="28"/>
          <w:szCs w:val="28"/>
        </w:rPr>
        <w:t xml:space="preserve">which </w:t>
      </w:r>
      <w:r w:rsidR="0085714F" w:rsidRPr="00321F9B">
        <w:rPr>
          <w:rFonts w:ascii="Times New Roman" w:hAnsi="Times New Roman"/>
          <w:sz w:val="28"/>
          <w:szCs w:val="28"/>
        </w:rPr>
        <w:t>is unsustainable.</w:t>
      </w:r>
    </w:p>
    <w:p w14:paraId="78D6892E" w14:textId="77777777" w:rsidR="00203CCF" w:rsidRPr="00203CCF" w:rsidRDefault="00203CCF" w:rsidP="00203CCF">
      <w:pPr>
        <w:pStyle w:val="LegalList1"/>
        <w:spacing w:line="360" w:lineRule="auto"/>
        <w:rPr>
          <w:rFonts w:ascii="Times New Roman" w:hAnsi="Times New Roman"/>
          <w:b/>
          <w:sz w:val="28"/>
          <w:szCs w:val="28"/>
        </w:rPr>
      </w:pPr>
      <w:r w:rsidRPr="00203CCF">
        <w:rPr>
          <w:rFonts w:ascii="Times New Roman" w:hAnsi="Times New Roman"/>
          <w:b/>
          <w:sz w:val="28"/>
          <w:szCs w:val="28"/>
        </w:rPr>
        <w:t>Order:</w:t>
      </w:r>
    </w:p>
    <w:p w14:paraId="59599635" w14:textId="7317C146" w:rsidR="00043B5F" w:rsidRDefault="00600B7E" w:rsidP="00600B7E">
      <w:pPr>
        <w:pStyle w:val="LegalList1"/>
        <w:spacing w:line="360" w:lineRule="auto"/>
        <w:rPr>
          <w:rFonts w:ascii="Times New Roman" w:hAnsi="Times New Roman"/>
          <w:sz w:val="28"/>
          <w:szCs w:val="28"/>
        </w:rPr>
      </w:pPr>
      <w:r>
        <w:rPr>
          <w:rFonts w:ascii="Times New Roman" w:hAnsi="Times New Roman"/>
          <w:sz w:val="28"/>
          <w:szCs w:val="28"/>
        </w:rPr>
        <w:t>[30]</w:t>
      </w:r>
      <w:r>
        <w:rPr>
          <w:rFonts w:ascii="Times New Roman" w:hAnsi="Times New Roman"/>
          <w:sz w:val="28"/>
          <w:szCs w:val="28"/>
        </w:rPr>
        <w:tab/>
      </w:r>
      <w:r w:rsidR="00043B5F">
        <w:rPr>
          <w:rFonts w:ascii="Times New Roman" w:hAnsi="Times New Roman"/>
          <w:sz w:val="28"/>
          <w:szCs w:val="28"/>
        </w:rPr>
        <w:t>The exception is dismissed with costs.</w:t>
      </w:r>
    </w:p>
    <w:p w14:paraId="5CE449B1" w14:textId="77777777" w:rsidR="005C2004" w:rsidRDefault="005C2004" w:rsidP="005C2004">
      <w:pPr>
        <w:pStyle w:val="LegalList1"/>
        <w:spacing w:line="360" w:lineRule="auto"/>
        <w:rPr>
          <w:rFonts w:ascii="Times New Roman" w:hAnsi="Times New Roman"/>
          <w:sz w:val="28"/>
          <w:szCs w:val="28"/>
        </w:rPr>
      </w:pPr>
    </w:p>
    <w:p w14:paraId="3CEBEE5B" w14:textId="77777777" w:rsidR="00203CCF" w:rsidRDefault="00203CCF" w:rsidP="005C2004">
      <w:pPr>
        <w:pStyle w:val="LegalList1"/>
        <w:spacing w:line="360" w:lineRule="auto"/>
        <w:rPr>
          <w:rFonts w:ascii="Times New Roman" w:hAnsi="Times New Roman"/>
          <w:sz w:val="28"/>
          <w:szCs w:val="28"/>
        </w:rPr>
      </w:pPr>
    </w:p>
    <w:p w14:paraId="4223F7D8" w14:textId="77777777" w:rsidR="00835C60" w:rsidRPr="00CD6C14" w:rsidRDefault="00835C60" w:rsidP="00835C60">
      <w:pPr>
        <w:pStyle w:val="LegalList1"/>
        <w:spacing w:after="0" w:line="360" w:lineRule="auto"/>
        <w:ind w:left="851"/>
        <w:rPr>
          <w:rFonts w:ascii="Times New Roman" w:hAnsi="Times New Roman"/>
          <w:sz w:val="28"/>
          <w:szCs w:val="28"/>
        </w:rPr>
      </w:pPr>
    </w:p>
    <w:p w14:paraId="78E7EAB0" w14:textId="77777777" w:rsidR="00835C60" w:rsidRPr="00CD6C14" w:rsidRDefault="00835C60" w:rsidP="00835C60">
      <w:pPr>
        <w:pStyle w:val="LegalList1"/>
        <w:spacing w:after="0" w:line="360" w:lineRule="auto"/>
        <w:rPr>
          <w:rFonts w:ascii="Times New Roman" w:hAnsi="Times New Roman"/>
          <w:sz w:val="28"/>
          <w:szCs w:val="28"/>
        </w:rPr>
      </w:pPr>
      <w:r w:rsidRPr="00CD6C14">
        <w:rPr>
          <w:rFonts w:ascii="Times New Roman" w:hAnsi="Times New Roman"/>
          <w:sz w:val="28"/>
          <w:szCs w:val="28"/>
        </w:rPr>
        <w:t>____________________________</w:t>
      </w:r>
    </w:p>
    <w:p w14:paraId="74235E3E" w14:textId="77777777" w:rsidR="00835C60" w:rsidRPr="00CD6C14" w:rsidRDefault="00835C60" w:rsidP="00835C60">
      <w:pPr>
        <w:pStyle w:val="LegalList1"/>
        <w:spacing w:after="0" w:line="360" w:lineRule="auto"/>
        <w:rPr>
          <w:rFonts w:ascii="Times New Roman" w:hAnsi="Times New Roman"/>
          <w:b/>
          <w:sz w:val="28"/>
          <w:szCs w:val="28"/>
        </w:rPr>
      </w:pPr>
      <w:r w:rsidRPr="00CD6C14">
        <w:rPr>
          <w:rFonts w:ascii="Times New Roman" w:hAnsi="Times New Roman"/>
          <w:b/>
          <w:sz w:val="28"/>
          <w:szCs w:val="28"/>
        </w:rPr>
        <w:t>M S RUGUNANAN</w:t>
      </w:r>
    </w:p>
    <w:p w14:paraId="0BE3578E" w14:textId="77777777" w:rsidR="00835C60" w:rsidRDefault="00835C60" w:rsidP="00835C60">
      <w:pPr>
        <w:pStyle w:val="LegalList1"/>
        <w:spacing w:after="0" w:line="360" w:lineRule="auto"/>
        <w:rPr>
          <w:rFonts w:ascii="Times New Roman" w:hAnsi="Times New Roman"/>
          <w:b/>
          <w:sz w:val="28"/>
          <w:szCs w:val="28"/>
        </w:rPr>
      </w:pPr>
      <w:r w:rsidRPr="00CD6C14">
        <w:rPr>
          <w:rFonts w:ascii="Times New Roman" w:hAnsi="Times New Roman"/>
          <w:b/>
          <w:sz w:val="28"/>
          <w:szCs w:val="28"/>
        </w:rPr>
        <w:t>JUDGE OF THE HIGH COURT</w:t>
      </w:r>
    </w:p>
    <w:p w14:paraId="2BA28CC6" w14:textId="77777777" w:rsidR="00835C60" w:rsidRDefault="00835C60" w:rsidP="00835C60">
      <w:pPr>
        <w:pStyle w:val="LegalList1"/>
        <w:spacing w:after="0" w:line="360" w:lineRule="auto"/>
        <w:rPr>
          <w:rFonts w:ascii="Times New Roman" w:hAnsi="Times New Roman"/>
          <w:sz w:val="28"/>
          <w:szCs w:val="28"/>
        </w:rPr>
      </w:pPr>
    </w:p>
    <w:p w14:paraId="15FF4586" w14:textId="77777777" w:rsidR="00203CCF" w:rsidRDefault="00203CCF" w:rsidP="00835C60">
      <w:pPr>
        <w:pStyle w:val="LegalList1"/>
        <w:spacing w:after="0" w:line="360" w:lineRule="auto"/>
        <w:rPr>
          <w:rFonts w:ascii="Times New Roman" w:hAnsi="Times New Roman"/>
          <w:sz w:val="28"/>
          <w:szCs w:val="28"/>
        </w:rPr>
      </w:pPr>
    </w:p>
    <w:p w14:paraId="7D1AE4FE" w14:textId="77777777" w:rsidR="00203CCF" w:rsidRDefault="00203CCF" w:rsidP="00835C60">
      <w:pPr>
        <w:pStyle w:val="LegalList1"/>
        <w:spacing w:after="0" w:line="360" w:lineRule="auto"/>
        <w:rPr>
          <w:rFonts w:ascii="Times New Roman" w:hAnsi="Times New Roman"/>
          <w:sz w:val="28"/>
          <w:szCs w:val="28"/>
        </w:rPr>
      </w:pPr>
    </w:p>
    <w:p w14:paraId="0BCFD0C6" w14:textId="77777777" w:rsidR="00203CCF" w:rsidRDefault="00203CCF" w:rsidP="00835C60">
      <w:pPr>
        <w:pStyle w:val="LegalList1"/>
        <w:spacing w:after="0" w:line="360" w:lineRule="auto"/>
        <w:rPr>
          <w:rFonts w:ascii="Times New Roman" w:hAnsi="Times New Roman"/>
          <w:sz w:val="28"/>
          <w:szCs w:val="28"/>
        </w:rPr>
      </w:pPr>
    </w:p>
    <w:p w14:paraId="3E88F001" w14:textId="77777777" w:rsidR="00203CCF" w:rsidRDefault="00203CCF" w:rsidP="00835C60">
      <w:pPr>
        <w:pStyle w:val="LegalList1"/>
        <w:spacing w:after="0" w:line="360" w:lineRule="auto"/>
        <w:rPr>
          <w:rFonts w:ascii="Times New Roman" w:hAnsi="Times New Roman"/>
          <w:sz w:val="28"/>
          <w:szCs w:val="28"/>
        </w:rPr>
      </w:pPr>
    </w:p>
    <w:p w14:paraId="266C396C" w14:textId="77777777" w:rsidR="00203CCF" w:rsidRDefault="00203CCF" w:rsidP="00835C60">
      <w:pPr>
        <w:pStyle w:val="LegalList1"/>
        <w:spacing w:after="0" w:line="360" w:lineRule="auto"/>
        <w:rPr>
          <w:rFonts w:ascii="Times New Roman" w:hAnsi="Times New Roman"/>
          <w:sz w:val="28"/>
          <w:szCs w:val="28"/>
        </w:rPr>
      </w:pPr>
    </w:p>
    <w:p w14:paraId="20E39CA8" w14:textId="77777777" w:rsidR="00203CCF" w:rsidRDefault="00203CCF" w:rsidP="00835C60">
      <w:pPr>
        <w:pStyle w:val="LegalList1"/>
        <w:spacing w:after="0" w:line="360" w:lineRule="auto"/>
        <w:rPr>
          <w:rFonts w:ascii="Times New Roman" w:hAnsi="Times New Roman"/>
          <w:sz w:val="28"/>
          <w:szCs w:val="28"/>
        </w:rPr>
      </w:pPr>
    </w:p>
    <w:p w14:paraId="56FDAA41" w14:textId="77777777" w:rsidR="00203CCF" w:rsidRDefault="00203CCF" w:rsidP="00835C60">
      <w:pPr>
        <w:pStyle w:val="LegalList1"/>
        <w:spacing w:after="0" w:line="360" w:lineRule="auto"/>
        <w:rPr>
          <w:rFonts w:ascii="Times New Roman" w:hAnsi="Times New Roman"/>
          <w:sz w:val="28"/>
          <w:szCs w:val="28"/>
        </w:rPr>
      </w:pPr>
    </w:p>
    <w:p w14:paraId="5C79558E" w14:textId="77777777" w:rsidR="00203CCF" w:rsidRDefault="00203CCF" w:rsidP="00835C60">
      <w:pPr>
        <w:pStyle w:val="LegalList1"/>
        <w:spacing w:after="0" w:line="360" w:lineRule="auto"/>
        <w:rPr>
          <w:rFonts w:ascii="Times New Roman" w:hAnsi="Times New Roman"/>
          <w:sz w:val="28"/>
          <w:szCs w:val="28"/>
        </w:rPr>
      </w:pPr>
    </w:p>
    <w:p w14:paraId="35D40F8A" w14:textId="77777777" w:rsidR="00203CCF" w:rsidRDefault="00203CCF" w:rsidP="00835C60">
      <w:pPr>
        <w:pStyle w:val="LegalList1"/>
        <w:spacing w:after="0" w:line="360" w:lineRule="auto"/>
        <w:rPr>
          <w:rFonts w:ascii="Times New Roman" w:hAnsi="Times New Roman"/>
          <w:sz w:val="28"/>
          <w:szCs w:val="28"/>
        </w:rPr>
      </w:pPr>
    </w:p>
    <w:p w14:paraId="2364EAA4" w14:textId="77777777" w:rsidR="00203CCF" w:rsidRDefault="00203CCF" w:rsidP="00835C60">
      <w:pPr>
        <w:pStyle w:val="LegalList1"/>
        <w:spacing w:after="0" w:line="360" w:lineRule="auto"/>
        <w:rPr>
          <w:rFonts w:ascii="Times New Roman" w:hAnsi="Times New Roman"/>
          <w:sz w:val="28"/>
          <w:szCs w:val="28"/>
        </w:rPr>
      </w:pPr>
    </w:p>
    <w:p w14:paraId="718A5052" w14:textId="77777777" w:rsidR="0069621A" w:rsidRDefault="0069621A" w:rsidP="00835C60">
      <w:pPr>
        <w:pStyle w:val="LegalList1"/>
        <w:spacing w:after="0" w:line="360" w:lineRule="auto"/>
        <w:rPr>
          <w:rFonts w:ascii="Times New Roman" w:hAnsi="Times New Roman"/>
          <w:sz w:val="28"/>
          <w:szCs w:val="28"/>
        </w:rPr>
      </w:pPr>
    </w:p>
    <w:p w14:paraId="62384336" w14:textId="77777777" w:rsidR="000615F6" w:rsidRDefault="000615F6" w:rsidP="000615F6">
      <w:pPr>
        <w:pStyle w:val="LegalList1"/>
        <w:spacing w:after="0" w:line="360" w:lineRule="auto"/>
        <w:rPr>
          <w:rFonts w:ascii="Times New Roman" w:hAnsi="Times New Roman"/>
          <w:sz w:val="28"/>
          <w:szCs w:val="28"/>
        </w:rPr>
      </w:pPr>
      <w:r w:rsidRPr="00B91145">
        <w:rPr>
          <w:rFonts w:ascii="Times New Roman" w:hAnsi="Times New Roman"/>
          <w:sz w:val="28"/>
          <w:szCs w:val="28"/>
        </w:rPr>
        <w:lastRenderedPageBreak/>
        <w:t>Appearances:</w:t>
      </w:r>
    </w:p>
    <w:p w14:paraId="23775E56" w14:textId="77777777" w:rsidR="000615F6" w:rsidRDefault="000615F6" w:rsidP="000615F6">
      <w:pPr>
        <w:pStyle w:val="LegalList1"/>
        <w:spacing w:after="0" w:line="360" w:lineRule="auto"/>
        <w:rPr>
          <w:rFonts w:ascii="Times New Roman" w:hAnsi="Times New Roman"/>
          <w:sz w:val="28"/>
          <w:szCs w:val="28"/>
        </w:rPr>
      </w:pPr>
      <w:r w:rsidRPr="00B91145">
        <w:rPr>
          <w:rFonts w:ascii="Times New Roman" w:hAnsi="Times New Roman"/>
          <w:sz w:val="28"/>
          <w:szCs w:val="28"/>
        </w:rPr>
        <w:t>For the</w:t>
      </w:r>
      <w:r>
        <w:rPr>
          <w:rFonts w:ascii="Times New Roman" w:hAnsi="Times New Roman"/>
          <w:sz w:val="28"/>
          <w:szCs w:val="28"/>
        </w:rPr>
        <w:t xml:space="preserve"> Excipient/ Defendant</w:t>
      </w:r>
      <w:r w:rsidRPr="00B91145">
        <w:rPr>
          <w:rFonts w:ascii="Times New Roman" w:hAnsi="Times New Roman"/>
          <w:sz w:val="28"/>
          <w:szCs w:val="28"/>
        </w:rPr>
        <w:t xml:space="preserve">: </w:t>
      </w:r>
      <w:r w:rsidR="00316E48" w:rsidRPr="00316E48">
        <w:rPr>
          <w:rFonts w:ascii="Times New Roman" w:hAnsi="Times New Roman"/>
          <w:i/>
          <w:sz w:val="28"/>
          <w:szCs w:val="28"/>
        </w:rPr>
        <w:t>M Gwala SC</w:t>
      </w:r>
      <w:r w:rsidRPr="00B91145">
        <w:rPr>
          <w:rFonts w:ascii="Times New Roman" w:hAnsi="Times New Roman"/>
          <w:sz w:val="28"/>
          <w:szCs w:val="28"/>
        </w:rPr>
        <w:t xml:space="preserve">, Instructed by </w:t>
      </w:r>
      <w:r w:rsidR="00316E48">
        <w:rPr>
          <w:rFonts w:ascii="Times New Roman" w:hAnsi="Times New Roman"/>
          <w:sz w:val="28"/>
          <w:szCs w:val="28"/>
        </w:rPr>
        <w:t>Zilwa Attorneys Makh</w:t>
      </w:r>
      <w:r>
        <w:rPr>
          <w:rFonts w:ascii="Times New Roman" w:hAnsi="Times New Roman"/>
          <w:sz w:val="28"/>
          <w:szCs w:val="28"/>
        </w:rPr>
        <w:t xml:space="preserve">anda (Ref: </w:t>
      </w:r>
      <w:r w:rsidR="00316E48">
        <w:rPr>
          <w:rFonts w:ascii="Times New Roman" w:hAnsi="Times New Roman"/>
          <w:sz w:val="28"/>
          <w:szCs w:val="28"/>
        </w:rPr>
        <w:t>MP0312)</w:t>
      </w:r>
      <w:r>
        <w:rPr>
          <w:rFonts w:ascii="Times New Roman" w:hAnsi="Times New Roman"/>
          <w:sz w:val="28"/>
          <w:szCs w:val="28"/>
        </w:rPr>
        <w:t>.</w:t>
      </w:r>
    </w:p>
    <w:p w14:paraId="356ADC6A" w14:textId="77777777" w:rsidR="000615F6" w:rsidRDefault="000615F6" w:rsidP="000615F6">
      <w:pPr>
        <w:pStyle w:val="LegalList1"/>
        <w:spacing w:after="0" w:line="360" w:lineRule="auto"/>
        <w:rPr>
          <w:rFonts w:ascii="Times New Roman" w:hAnsi="Times New Roman"/>
          <w:sz w:val="28"/>
          <w:szCs w:val="28"/>
        </w:rPr>
      </w:pPr>
    </w:p>
    <w:p w14:paraId="5F9699CF" w14:textId="77777777" w:rsidR="000615F6" w:rsidRDefault="000615F6" w:rsidP="000615F6">
      <w:pPr>
        <w:pStyle w:val="LegalList1"/>
        <w:spacing w:after="0" w:line="360" w:lineRule="auto"/>
        <w:rPr>
          <w:rFonts w:ascii="Times New Roman" w:hAnsi="Times New Roman"/>
          <w:sz w:val="28"/>
          <w:szCs w:val="28"/>
        </w:rPr>
      </w:pPr>
      <w:r w:rsidRPr="00B91145">
        <w:rPr>
          <w:rFonts w:ascii="Times New Roman" w:hAnsi="Times New Roman"/>
          <w:sz w:val="28"/>
          <w:szCs w:val="28"/>
        </w:rPr>
        <w:t>For the</w:t>
      </w:r>
      <w:r>
        <w:rPr>
          <w:rFonts w:ascii="Times New Roman" w:hAnsi="Times New Roman"/>
          <w:sz w:val="28"/>
          <w:szCs w:val="28"/>
        </w:rPr>
        <w:t xml:space="preserve"> Respondent</w:t>
      </w:r>
      <w:r w:rsidR="00316E48">
        <w:rPr>
          <w:rFonts w:ascii="Times New Roman" w:hAnsi="Times New Roman"/>
          <w:sz w:val="28"/>
          <w:szCs w:val="28"/>
        </w:rPr>
        <w:t>/Plaintiff</w:t>
      </w:r>
      <w:r w:rsidRPr="00B91145">
        <w:rPr>
          <w:rFonts w:ascii="Times New Roman" w:hAnsi="Times New Roman"/>
          <w:sz w:val="28"/>
          <w:szCs w:val="28"/>
        </w:rPr>
        <w:t xml:space="preserve">: </w:t>
      </w:r>
      <w:r w:rsidR="00316E48" w:rsidRPr="00316E48">
        <w:rPr>
          <w:rFonts w:ascii="Times New Roman" w:hAnsi="Times New Roman"/>
          <w:i/>
          <w:sz w:val="28"/>
          <w:szCs w:val="28"/>
        </w:rPr>
        <w:t>D H De La Harpe SC</w:t>
      </w:r>
      <w:r>
        <w:rPr>
          <w:rFonts w:ascii="Times New Roman" w:hAnsi="Times New Roman"/>
          <w:sz w:val="28"/>
          <w:szCs w:val="28"/>
        </w:rPr>
        <w:t xml:space="preserve">, Instructed by </w:t>
      </w:r>
      <w:r w:rsidR="00316E48">
        <w:rPr>
          <w:rFonts w:ascii="Times New Roman" w:hAnsi="Times New Roman"/>
          <w:sz w:val="28"/>
          <w:szCs w:val="28"/>
        </w:rPr>
        <w:t xml:space="preserve">Drake Flemmer &amp; Orsmond Inc., </w:t>
      </w:r>
      <w:r w:rsidR="0055735F">
        <w:rPr>
          <w:rFonts w:ascii="Times New Roman" w:hAnsi="Times New Roman"/>
          <w:sz w:val="28"/>
          <w:szCs w:val="28"/>
        </w:rPr>
        <w:t>c/o De Jager &amp; Lordan Inc., Makhanda (Ref: S Tarr).</w:t>
      </w:r>
    </w:p>
    <w:p w14:paraId="2F978918" w14:textId="77777777" w:rsidR="000615F6" w:rsidRDefault="000615F6" w:rsidP="000615F6">
      <w:pPr>
        <w:pStyle w:val="LegalList1"/>
        <w:spacing w:after="0" w:line="360" w:lineRule="auto"/>
        <w:rPr>
          <w:rFonts w:ascii="Times New Roman" w:hAnsi="Times New Roman"/>
          <w:sz w:val="28"/>
          <w:szCs w:val="28"/>
        </w:rPr>
      </w:pPr>
    </w:p>
    <w:p w14:paraId="637330F6" w14:textId="77777777" w:rsidR="009B6969" w:rsidRDefault="009B6969" w:rsidP="000615F6">
      <w:pPr>
        <w:pStyle w:val="LegalList1"/>
        <w:spacing w:after="0" w:line="360" w:lineRule="auto"/>
        <w:rPr>
          <w:rFonts w:ascii="Times New Roman" w:hAnsi="Times New Roman"/>
          <w:sz w:val="28"/>
          <w:szCs w:val="28"/>
        </w:rPr>
      </w:pPr>
    </w:p>
    <w:p w14:paraId="552A4600" w14:textId="77777777" w:rsidR="000615F6" w:rsidRDefault="0055735F" w:rsidP="00835C60">
      <w:pPr>
        <w:pStyle w:val="LegalList1"/>
        <w:spacing w:after="0" w:line="360" w:lineRule="auto"/>
        <w:rPr>
          <w:rFonts w:ascii="Times New Roman" w:hAnsi="Times New Roman"/>
          <w:sz w:val="28"/>
          <w:szCs w:val="28"/>
        </w:rPr>
      </w:pPr>
      <w:r>
        <w:rPr>
          <w:rFonts w:ascii="Times New Roman" w:hAnsi="Times New Roman"/>
          <w:sz w:val="28"/>
          <w:szCs w:val="28"/>
        </w:rPr>
        <w:t>Date heard:</w:t>
      </w:r>
      <w:r>
        <w:rPr>
          <w:rFonts w:ascii="Times New Roman" w:hAnsi="Times New Roman"/>
          <w:sz w:val="28"/>
          <w:szCs w:val="28"/>
        </w:rPr>
        <w:tab/>
      </w:r>
      <w:r>
        <w:rPr>
          <w:rFonts w:ascii="Times New Roman" w:hAnsi="Times New Roman"/>
          <w:sz w:val="28"/>
          <w:szCs w:val="28"/>
        </w:rPr>
        <w:tab/>
        <w:t>29 February 2024.</w:t>
      </w:r>
    </w:p>
    <w:p w14:paraId="51CC58C6" w14:textId="77777777" w:rsidR="0055735F" w:rsidRPr="00672E20" w:rsidRDefault="0055735F" w:rsidP="00835C60">
      <w:pPr>
        <w:pStyle w:val="LegalList1"/>
        <w:spacing w:after="0" w:line="360" w:lineRule="auto"/>
        <w:rPr>
          <w:rFonts w:ascii="Times New Roman" w:hAnsi="Times New Roman"/>
          <w:sz w:val="28"/>
          <w:szCs w:val="28"/>
        </w:rPr>
      </w:pPr>
      <w:r>
        <w:rPr>
          <w:rFonts w:ascii="Times New Roman" w:hAnsi="Times New Roman"/>
          <w:sz w:val="28"/>
          <w:szCs w:val="28"/>
        </w:rPr>
        <w:t>Date delivered:</w:t>
      </w:r>
      <w:r>
        <w:rPr>
          <w:rFonts w:ascii="Times New Roman" w:hAnsi="Times New Roman"/>
          <w:sz w:val="28"/>
          <w:szCs w:val="28"/>
        </w:rPr>
        <w:tab/>
        <w:t>1</w:t>
      </w:r>
      <w:r w:rsidR="00E15914">
        <w:rPr>
          <w:rFonts w:ascii="Times New Roman" w:hAnsi="Times New Roman"/>
          <w:sz w:val="28"/>
          <w:szCs w:val="28"/>
        </w:rPr>
        <w:t>9</w:t>
      </w:r>
      <w:r>
        <w:rPr>
          <w:rFonts w:ascii="Times New Roman" w:hAnsi="Times New Roman"/>
          <w:sz w:val="28"/>
          <w:szCs w:val="28"/>
        </w:rPr>
        <w:t xml:space="preserve"> March 2024.</w:t>
      </w:r>
    </w:p>
    <w:sectPr w:rsidR="0055735F" w:rsidRPr="00672E20" w:rsidSect="002E5015">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6AF829" w14:textId="77777777" w:rsidR="00B51A13" w:rsidRDefault="00B51A13" w:rsidP="00354A12">
      <w:pPr>
        <w:spacing w:line="240" w:lineRule="auto"/>
      </w:pPr>
      <w:r>
        <w:separator/>
      </w:r>
    </w:p>
  </w:endnote>
  <w:endnote w:type="continuationSeparator" w:id="0">
    <w:p w14:paraId="4AA1B572" w14:textId="77777777" w:rsidR="00B51A13" w:rsidRDefault="00B51A13" w:rsidP="00354A1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3EE75B" w14:textId="77777777" w:rsidR="00316E48" w:rsidRDefault="00316E48">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CF7D2C" w14:textId="77777777" w:rsidR="00316E48" w:rsidRDefault="00316E48">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77A5C6" w14:textId="77777777" w:rsidR="00316E48" w:rsidRDefault="00316E4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8333EC" w14:textId="77777777" w:rsidR="00B51A13" w:rsidRDefault="00B51A13" w:rsidP="00354A12">
      <w:pPr>
        <w:spacing w:line="240" w:lineRule="auto"/>
      </w:pPr>
      <w:r>
        <w:separator/>
      </w:r>
    </w:p>
  </w:footnote>
  <w:footnote w:type="continuationSeparator" w:id="0">
    <w:p w14:paraId="01954072" w14:textId="77777777" w:rsidR="00B51A13" w:rsidRDefault="00B51A13" w:rsidP="00354A12">
      <w:pPr>
        <w:spacing w:line="240" w:lineRule="auto"/>
      </w:pPr>
      <w:r>
        <w:continuationSeparator/>
      </w:r>
    </w:p>
  </w:footnote>
  <w:footnote w:id="1">
    <w:p w14:paraId="4391F61E" w14:textId="77777777" w:rsidR="00226FC0" w:rsidRPr="00DA30E2" w:rsidRDefault="00226FC0">
      <w:pPr>
        <w:pStyle w:val="FootnoteText"/>
        <w:rPr>
          <w:rFonts w:ascii="Times New Roman" w:hAnsi="Times New Roman" w:cs="Times New Roman"/>
        </w:rPr>
      </w:pPr>
      <w:r w:rsidRPr="00DA30E2">
        <w:rPr>
          <w:rStyle w:val="FootnoteReference"/>
          <w:rFonts w:ascii="Times New Roman" w:hAnsi="Times New Roman" w:cs="Times New Roman"/>
        </w:rPr>
        <w:footnoteRef/>
      </w:r>
      <w:r w:rsidRPr="00DA30E2">
        <w:rPr>
          <w:rFonts w:ascii="Times New Roman" w:hAnsi="Times New Roman" w:cs="Times New Roman"/>
        </w:rPr>
        <w:t xml:space="preserve"> See generally Erasmus, </w:t>
      </w:r>
      <w:r w:rsidRPr="00DA30E2">
        <w:rPr>
          <w:rFonts w:ascii="Times New Roman" w:hAnsi="Times New Roman" w:cs="Times New Roman"/>
          <w:i/>
        </w:rPr>
        <w:t>Superior Court Practice</w:t>
      </w:r>
      <w:r w:rsidRPr="00DA30E2">
        <w:rPr>
          <w:rFonts w:ascii="Times New Roman" w:hAnsi="Times New Roman" w:cs="Times New Roman"/>
        </w:rPr>
        <w:t xml:space="preserve"> at D1-294 [Service 20, 2022].</w:t>
      </w:r>
    </w:p>
  </w:footnote>
  <w:footnote w:id="2">
    <w:p w14:paraId="519BAEDF" w14:textId="77777777" w:rsidR="00316E48" w:rsidRPr="0055735F" w:rsidRDefault="00316E48" w:rsidP="0055735F">
      <w:pPr>
        <w:pStyle w:val="FootnoteText"/>
        <w:jc w:val="both"/>
        <w:rPr>
          <w:rFonts w:ascii="Times New Roman" w:hAnsi="Times New Roman" w:cs="Times New Roman"/>
        </w:rPr>
      </w:pPr>
      <w:r w:rsidRPr="0055735F">
        <w:rPr>
          <w:rStyle w:val="FootnoteReference"/>
          <w:rFonts w:ascii="Times New Roman" w:hAnsi="Times New Roman" w:cs="Times New Roman"/>
        </w:rPr>
        <w:footnoteRef/>
      </w:r>
      <w:r w:rsidRPr="0055735F">
        <w:rPr>
          <w:rFonts w:ascii="Times New Roman" w:hAnsi="Times New Roman" w:cs="Times New Roman"/>
        </w:rPr>
        <w:t xml:space="preserve"> </w:t>
      </w:r>
      <w:r w:rsidRPr="0055735F">
        <w:rPr>
          <w:rFonts w:ascii="Times New Roman" w:hAnsi="Times New Roman" w:cs="Times New Roman"/>
          <w:i/>
        </w:rPr>
        <w:t xml:space="preserve">Fairoaks Investment Holdings (Pty) Ltd and Another v Olivier and Others </w:t>
      </w:r>
      <w:r w:rsidRPr="00DF1F47">
        <w:rPr>
          <w:rFonts w:ascii="Times New Roman" w:hAnsi="Times New Roman" w:cs="Times New Roman"/>
        </w:rPr>
        <w:t>2008 (4</w:t>
      </w:r>
      <w:r w:rsidR="00DF1F47">
        <w:rPr>
          <w:rFonts w:ascii="Times New Roman" w:hAnsi="Times New Roman" w:cs="Times New Roman"/>
        </w:rPr>
        <w:t>) SA 302 (SCA) at para 12.</w:t>
      </w:r>
    </w:p>
  </w:footnote>
  <w:footnote w:id="3">
    <w:p w14:paraId="5C906FE9" w14:textId="77777777" w:rsidR="00316E48" w:rsidRPr="0055735F" w:rsidRDefault="00316E48" w:rsidP="0055735F">
      <w:pPr>
        <w:pStyle w:val="FootnoteText"/>
        <w:jc w:val="both"/>
        <w:rPr>
          <w:rFonts w:ascii="Times New Roman" w:hAnsi="Times New Roman" w:cs="Times New Roman"/>
        </w:rPr>
      </w:pPr>
      <w:r w:rsidRPr="0055735F">
        <w:rPr>
          <w:rStyle w:val="FootnoteReference"/>
          <w:rFonts w:ascii="Times New Roman" w:hAnsi="Times New Roman" w:cs="Times New Roman"/>
        </w:rPr>
        <w:footnoteRef/>
      </w:r>
      <w:r w:rsidRPr="0055735F">
        <w:rPr>
          <w:rFonts w:ascii="Times New Roman" w:hAnsi="Times New Roman" w:cs="Times New Roman"/>
        </w:rPr>
        <w:t xml:space="preserve"> </w:t>
      </w:r>
      <w:r w:rsidRPr="0055735F">
        <w:rPr>
          <w:rFonts w:ascii="Times New Roman" w:hAnsi="Times New Roman" w:cs="Times New Roman"/>
          <w:i/>
        </w:rPr>
        <w:t>Callender-Easby v Grahamstown Municipality</w:t>
      </w:r>
      <w:r w:rsidRPr="0055735F">
        <w:rPr>
          <w:rFonts w:ascii="Times New Roman" w:hAnsi="Times New Roman" w:cs="Times New Roman"/>
        </w:rPr>
        <w:t xml:space="preserve"> 1981 (2) SA 810 (E) at </w:t>
      </w:r>
      <w:r w:rsidR="001B1B46">
        <w:rPr>
          <w:rFonts w:ascii="Times New Roman" w:hAnsi="Times New Roman" w:cs="Times New Roman"/>
        </w:rPr>
        <w:t>813A.</w:t>
      </w:r>
    </w:p>
  </w:footnote>
  <w:footnote w:id="4">
    <w:p w14:paraId="2C2221C0" w14:textId="77777777" w:rsidR="00316E48" w:rsidRPr="0055735F" w:rsidRDefault="00316E48" w:rsidP="0055735F">
      <w:pPr>
        <w:pStyle w:val="FootnoteText"/>
        <w:jc w:val="both"/>
        <w:rPr>
          <w:rFonts w:ascii="Times New Roman" w:hAnsi="Times New Roman" w:cs="Times New Roman"/>
        </w:rPr>
      </w:pPr>
      <w:r w:rsidRPr="0055735F">
        <w:rPr>
          <w:rStyle w:val="FootnoteReference"/>
          <w:rFonts w:ascii="Times New Roman" w:hAnsi="Times New Roman" w:cs="Times New Roman"/>
        </w:rPr>
        <w:footnoteRef/>
      </w:r>
      <w:r w:rsidRPr="0055735F">
        <w:rPr>
          <w:rFonts w:ascii="Times New Roman" w:hAnsi="Times New Roman" w:cs="Times New Roman"/>
        </w:rPr>
        <w:t xml:space="preserve"> </w:t>
      </w:r>
      <w:r w:rsidRPr="00D44E6E">
        <w:rPr>
          <w:rFonts w:ascii="Times New Roman" w:hAnsi="Times New Roman" w:cs="Times New Roman"/>
          <w:i/>
        </w:rPr>
        <w:t>Sanan v Eskom Holdings Ltd</w:t>
      </w:r>
      <w:r w:rsidRPr="0055735F">
        <w:rPr>
          <w:rFonts w:ascii="Times New Roman" w:hAnsi="Times New Roman" w:cs="Times New Roman"/>
        </w:rPr>
        <w:t xml:space="preserve"> 2010 (6) SA 638 (GSJ) at 645G, and </w:t>
      </w:r>
      <w:r w:rsidRPr="00D44E6E">
        <w:rPr>
          <w:rFonts w:ascii="Times New Roman" w:hAnsi="Times New Roman" w:cs="Times New Roman"/>
          <w:i/>
        </w:rPr>
        <w:t>Van Baalen and Another v ABSA Bank</w:t>
      </w:r>
      <w:r w:rsidRPr="0055735F">
        <w:rPr>
          <w:rFonts w:ascii="Times New Roman" w:hAnsi="Times New Roman" w:cs="Times New Roman"/>
        </w:rPr>
        <w:t xml:space="preserve"> [2024] ZAGPPHC 26 para 15.</w:t>
      </w:r>
    </w:p>
  </w:footnote>
  <w:footnote w:id="5">
    <w:p w14:paraId="34759001" w14:textId="77777777" w:rsidR="00316E48" w:rsidRPr="0055735F" w:rsidRDefault="00316E48" w:rsidP="0055735F">
      <w:pPr>
        <w:pStyle w:val="FootnoteText"/>
        <w:jc w:val="both"/>
        <w:rPr>
          <w:rFonts w:ascii="Times New Roman" w:hAnsi="Times New Roman" w:cs="Times New Roman"/>
          <w:i/>
        </w:rPr>
      </w:pPr>
      <w:r w:rsidRPr="0055735F">
        <w:rPr>
          <w:rStyle w:val="FootnoteReference"/>
          <w:rFonts w:ascii="Times New Roman" w:hAnsi="Times New Roman" w:cs="Times New Roman"/>
        </w:rPr>
        <w:footnoteRef/>
      </w:r>
      <w:r w:rsidRPr="0055735F">
        <w:rPr>
          <w:rFonts w:ascii="Times New Roman" w:hAnsi="Times New Roman" w:cs="Times New Roman"/>
        </w:rPr>
        <w:t xml:space="preserve"> </w:t>
      </w:r>
      <w:r w:rsidRPr="0055735F">
        <w:rPr>
          <w:rFonts w:ascii="Times New Roman" w:hAnsi="Times New Roman" w:cs="Times New Roman"/>
          <w:i/>
        </w:rPr>
        <w:t xml:space="preserve">Telematrix (Pty) Ltd t/a Matrix Vehicle Tracking v Advertising Standards Authority SA </w:t>
      </w:r>
      <w:r w:rsidRPr="00D44E6E">
        <w:rPr>
          <w:rFonts w:ascii="Times New Roman" w:hAnsi="Times New Roman" w:cs="Times New Roman"/>
        </w:rPr>
        <w:t xml:space="preserve">2006 (1) SA 461 (SCA) </w:t>
      </w:r>
      <w:r w:rsidR="00D44E6E">
        <w:rPr>
          <w:rFonts w:ascii="Times New Roman" w:hAnsi="Times New Roman" w:cs="Times New Roman"/>
        </w:rPr>
        <w:t>para</w:t>
      </w:r>
      <w:r w:rsidRPr="00D44E6E">
        <w:rPr>
          <w:rFonts w:ascii="Times New Roman" w:hAnsi="Times New Roman" w:cs="Times New Roman"/>
        </w:rPr>
        <w:t xml:space="preserve"> 3</w:t>
      </w:r>
      <w:r w:rsidR="00D44E6E">
        <w:rPr>
          <w:rFonts w:ascii="Times New Roman" w:hAnsi="Times New Roman" w:cs="Times New Roman"/>
        </w:rPr>
        <w:t>.</w:t>
      </w:r>
    </w:p>
  </w:footnote>
  <w:footnote w:id="6">
    <w:p w14:paraId="1D223442" w14:textId="77777777" w:rsidR="00316E48" w:rsidRPr="0055735F" w:rsidRDefault="00316E48" w:rsidP="0055735F">
      <w:pPr>
        <w:pStyle w:val="FootnoteText"/>
        <w:jc w:val="both"/>
        <w:rPr>
          <w:rFonts w:ascii="Times New Roman" w:hAnsi="Times New Roman" w:cs="Times New Roman"/>
          <w:i/>
        </w:rPr>
      </w:pPr>
      <w:r w:rsidRPr="0055735F">
        <w:rPr>
          <w:rStyle w:val="FootnoteReference"/>
          <w:rFonts w:ascii="Times New Roman" w:hAnsi="Times New Roman" w:cs="Times New Roman"/>
        </w:rPr>
        <w:footnoteRef/>
      </w:r>
      <w:r w:rsidRPr="0055735F">
        <w:rPr>
          <w:rFonts w:ascii="Times New Roman" w:hAnsi="Times New Roman" w:cs="Times New Roman"/>
        </w:rPr>
        <w:t xml:space="preserve"> </w:t>
      </w:r>
      <w:r w:rsidRPr="0055735F">
        <w:rPr>
          <w:rFonts w:ascii="Times New Roman" w:hAnsi="Times New Roman" w:cs="Times New Roman"/>
          <w:i/>
        </w:rPr>
        <w:t>Jowell v Bramwell-Jones and Others</w:t>
      </w:r>
      <w:r w:rsidRPr="00D44E6E">
        <w:rPr>
          <w:rFonts w:ascii="Times New Roman" w:hAnsi="Times New Roman" w:cs="Times New Roman"/>
        </w:rPr>
        <w:t xml:space="preserve"> 1998 (1) SA 836 (W) at 902J</w:t>
      </w:r>
      <w:r w:rsidR="00D44E6E">
        <w:rPr>
          <w:rFonts w:ascii="Times New Roman" w:hAnsi="Times New Roman" w:cs="Times New Roman"/>
        </w:rPr>
        <w:t>.</w:t>
      </w:r>
    </w:p>
  </w:footnote>
  <w:footnote w:id="7">
    <w:p w14:paraId="443B7CCD" w14:textId="77777777" w:rsidR="00316E48" w:rsidRPr="0055735F" w:rsidRDefault="00316E48" w:rsidP="0055735F">
      <w:pPr>
        <w:pStyle w:val="FootnoteText"/>
        <w:jc w:val="both"/>
        <w:rPr>
          <w:rFonts w:ascii="Times New Roman" w:hAnsi="Times New Roman" w:cs="Times New Roman"/>
        </w:rPr>
      </w:pPr>
      <w:r w:rsidRPr="0055735F">
        <w:rPr>
          <w:rStyle w:val="FootnoteReference"/>
          <w:rFonts w:ascii="Times New Roman" w:hAnsi="Times New Roman" w:cs="Times New Roman"/>
        </w:rPr>
        <w:footnoteRef/>
      </w:r>
      <w:r w:rsidRPr="0055735F">
        <w:rPr>
          <w:rFonts w:ascii="Times New Roman" w:hAnsi="Times New Roman" w:cs="Times New Roman"/>
        </w:rPr>
        <w:t xml:space="preserve"> </w:t>
      </w:r>
      <w:r w:rsidRPr="0055735F">
        <w:rPr>
          <w:rFonts w:ascii="Times New Roman" w:hAnsi="Times New Roman" w:cs="Times New Roman"/>
          <w:i/>
        </w:rPr>
        <w:t>Evins v Shield Insurance Co Ltd</w:t>
      </w:r>
      <w:r w:rsidRPr="0055735F">
        <w:rPr>
          <w:rFonts w:ascii="Times New Roman" w:hAnsi="Times New Roman" w:cs="Times New Roman"/>
        </w:rPr>
        <w:t xml:space="preserve"> 1980 (2) SA 814 (A) at 838 D-H</w:t>
      </w:r>
      <w:r w:rsidR="00D44E6E">
        <w:rPr>
          <w:rFonts w:ascii="Times New Roman" w:hAnsi="Times New Roman" w:cs="Times New Roman"/>
        </w:rPr>
        <w:t>.</w:t>
      </w:r>
    </w:p>
  </w:footnote>
  <w:footnote w:id="8">
    <w:p w14:paraId="392FA07C" w14:textId="77777777" w:rsidR="00316E48" w:rsidRPr="0055735F" w:rsidRDefault="00316E48" w:rsidP="0055735F">
      <w:pPr>
        <w:pStyle w:val="FootnoteText"/>
        <w:jc w:val="both"/>
        <w:rPr>
          <w:rFonts w:ascii="Times New Roman" w:hAnsi="Times New Roman" w:cs="Times New Roman"/>
        </w:rPr>
      </w:pPr>
      <w:r w:rsidRPr="0055735F">
        <w:rPr>
          <w:rStyle w:val="FootnoteReference"/>
          <w:rFonts w:ascii="Times New Roman" w:hAnsi="Times New Roman" w:cs="Times New Roman"/>
        </w:rPr>
        <w:footnoteRef/>
      </w:r>
      <w:r w:rsidRPr="0055735F">
        <w:rPr>
          <w:rFonts w:ascii="Times New Roman" w:hAnsi="Times New Roman" w:cs="Times New Roman"/>
        </w:rPr>
        <w:t xml:space="preserve"> </w:t>
      </w:r>
      <w:r w:rsidRPr="0055735F">
        <w:rPr>
          <w:rFonts w:ascii="Times New Roman" w:hAnsi="Times New Roman" w:cs="Times New Roman"/>
          <w:i/>
        </w:rPr>
        <w:t xml:space="preserve">Trope v South African Reserve Bank and Another </w:t>
      </w:r>
      <w:r w:rsidRPr="00D44E6E">
        <w:rPr>
          <w:rFonts w:ascii="Times New Roman" w:hAnsi="Times New Roman" w:cs="Times New Roman"/>
        </w:rPr>
        <w:t>1992 (3) SA 208 (T) at 210H</w:t>
      </w:r>
      <w:r w:rsidR="00D44E6E" w:rsidRPr="00D44E6E">
        <w:rPr>
          <w:rFonts w:ascii="Times New Roman" w:hAnsi="Times New Roman" w:cs="Times New Roman"/>
        </w:rPr>
        <w:t>.</w:t>
      </w:r>
    </w:p>
  </w:footnote>
  <w:footnote w:id="9">
    <w:p w14:paraId="732C90FB" w14:textId="77777777" w:rsidR="00316E48" w:rsidRPr="0055735F" w:rsidRDefault="00316E48" w:rsidP="0055735F">
      <w:pPr>
        <w:pStyle w:val="FootnoteText"/>
        <w:jc w:val="both"/>
        <w:rPr>
          <w:rFonts w:ascii="Times New Roman" w:hAnsi="Times New Roman" w:cs="Times New Roman"/>
        </w:rPr>
      </w:pPr>
      <w:r w:rsidRPr="0055735F">
        <w:rPr>
          <w:rStyle w:val="FootnoteReference"/>
          <w:rFonts w:ascii="Times New Roman" w:hAnsi="Times New Roman" w:cs="Times New Roman"/>
        </w:rPr>
        <w:footnoteRef/>
      </w:r>
      <w:r w:rsidRPr="0055735F">
        <w:rPr>
          <w:rFonts w:ascii="Times New Roman" w:hAnsi="Times New Roman" w:cs="Times New Roman"/>
        </w:rPr>
        <w:t xml:space="preserve"> </w:t>
      </w:r>
      <w:r w:rsidRPr="0055735F">
        <w:rPr>
          <w:rFonts w:ascii="Times New Roman" w:hAnsi="Times New Roman" w:cs="Times New Roman"/>
          <w:i/>
        </w:rPr>
        <w:t xml:space="preserve">Imprefed (Pty) Ltd v National Transport Commission </w:t>
      </w:r>
      <w:r w:rsidRPr="00D44E6E">
        <w:rPr>
          <w:rFonts w:ascii="Times New Roman" w:hAnsi="Times New Roman" w:cs="Times New Roman"/>
        </w:rPr>
        <w:t>1993 (3) SA 94 (AD) at 107C-E</w:t>
      </w:r>
      <w:r w:rsidR="00D44E6E" w:rsidRPr="00D44E6E">
        <w:rPr>
          <w:rFonts w:ascii="Times New Roman" w:hAnsi="Times New Roman" w:cs="Times New Roman"/>
        </w:rPr>
        <w:t>.</w:t>
      </w:r>
    </w:p>
  </w:footnote>
  <w:footnote w:id="10">
    <w:p w14:paraId="0FC2E885" w14:textId="77777777" w:rsidR="00316E48" w:rsidRPr="0055735F" w:rsidRDefault="00316E48" w:rsidP="0055735F">
      <w:pPr>
        <w:pStyle w:val="FootnoteText"/>
        <w:jc w:val="both"/>
        <w:rPr>
          <w:rFonts w:ascii="Times New Roman" w:hAnsi="Times New Roman" w:cs="Times New Roman"/>
        </w:rPr>
      </w:pPr>
      <w:r w:rsidRPr="0055735F">
        <w:rPr>
          <w:rStyle w:val="FootnoteReference"/>
          <w:rFonts w:ascii="Times New Roman" w:hAnsi="Times New Roman" w:cs="Times New Roman"/>
        </w:rPr>
        <w:footnoteRef/>
      </w:r>
      <w:r w:rsidR="00D44E6E">
        <w:rPr>
          <w:rFonts w:ascii="Times New Roman" w:hAnsi="Times New Roman" w:cs="Times New Roman"/>
        </w:rPr>
        <w:t xml:space="preserve"> 1998 (1) SA 836 (W).</w:t>
      </w:r>
    </w:p>
  </w:footnote>
  <w:footnote w:id="11">
    <w:p w14:paraId="435EE931" w14:textId="77777777" w:rsidR="00316E48" w:rsidRPr="0055735F" w:rsidRDefault="00316E48" w:rsidP="0055735F">
      <w:pPr>
        <w:pStyle w:val="FootnoteText"/>
        <w:jc w:val="both"/>
        <w:rPr>
          <w:rFonts w:ascii="Times New Roman" w:hAnsi="Times New Roman" w:cs="Times New Roman"/>
        </w:rPr>
      </w:pPr>
      <w:r w:rsidRPr="0055735F">
        <w:rPr>
          <w:rStyle w:val="FootnoteReference"/>
          <w:rFonts w:ascii="Times New Roman" w:hAnsi="Times New Roman" w:cs="Times New Roman"/>
        </w:rPr>
        <w:footnoteRef/>
      </w:r>
      <w:r w:rsidRPr="0055735F">
        <w:rPr>
          <w:rFonts w:ascii="Times New Roman" w:hAnsi="Times New Roman" w:cs="Times New Roman"/>
        </w:rPr>
        <w:t xml:space="preserve"> at 913F-G.</w:t>
      </w:r>
    </w:p>
  </w:footnote>
  <w:footnote w:id="12">
    <w:p w14:paraId="2B24E374" w14:textId="77777777" w:rsidR="00316E48" w:rsidRPr="0055735F" w:rsidRDefault="00316E48" w:rsidP="0055735F">
      <w:pPr>
        <w:pStyle w:val="FootnoteText"/>
        <w:jc w:val="both"/>
        <w:rPr>
          <w:rFonts w:ascii="Times New Roman" w:hAnsi="Times New Roman" w:cs="Times New Roman"/>
        </w:rPr>
      </w:pPr>
      <w:r w:rsidRPr="0055735F">
        <w:rPr>
          <w:rStyle w:val="FootnoteReference"/>
          <w:rFonts w:ascii="Times New Roman" w:hAnsi="Times New Roman" w:cs="Times New Roman"/>
        </w:rPr>
        <w:footnoteRef/>
      </w:r>
      <w:r w:rsidRPr="0055735F">
        <w:rPr>
          <w:rFonts w:ascii="Times New Roman" w:hAnsi="Times New Roman" w:cs="Times New Roman"/>
        </w:rPr>
        <w:t xml:space="preserve"> </w:t>
      </w:r>
      <w:r w:rsidRPr="0055735F">
        <w:rPr>
          <w:rFonts w:ascii="Times New Roman" w:hAnsi="Times New Roman" w:cs="Times New Roman"/>
          <w:i/>
        </w:rPr>
        <w:t>Nasionale Aartappel Korporasie Beperk v Price Waterhouse Coopers Ing en andere</w:t>
      </w:r>
      <w:r w:rsidRPr="0055735F">
        <w:rPr>
          <w:rFonts w:ascii="Times New Roman" w:hAnsi="Times New Roman" w:cs="Times New Roman"/>
        </w:rPr>
        <w:t xml:space="preserve"> 2001 (2) SA 790 (T) at 797G-I and 798C-E; </w:t>
      </w:r>
      <w:r w:rsidRPr="0055735F">
        <w:rPr>
          <w:rFonts w:ascii="Times New Roman" w:hAnsi="Times New Roman" w:cs="Times New Roman"/>
          <w:i/>
        </w:rPr>
        <w:t>Jowell v Bramwell-Jones and Others</w:t>
      </w:r>
      <w:r w:rsidRPr="0055735F">
        <w:rPr>
          <w:rFonts w:ascii="Times New Roman" w:hAnsi="Times New Roman" w:cs="Times New Roman"/>
        </w:rPr>
        <w:t xml:space="preserve"> 1998 (1) SA 836 (W) at 903A-B; and </w:t>
      </w:r>
      <w:r w:rsidRPr="0055735F">
        <w:rPr>
          <w:rFonts w:ascii="Times New Roman" w:hAnsi="Times New Roman" w:cs="Times New Roman"/>
          <w:i/>
        </w:rPr>
        <w:t>Makgae v Sentraboer (Koöperatief) Bpk</w:t>
      </w:r>
      <w:r w:rsidRPr="0055735F">
        <w:rPr>
          <w:rFonts w:ascii="Times New Roman" w:hAnsi="Times New Roman" w:cs="Times New Roman"/>
        </w:rPr>
        <w:t xml:space="preserve"> 1981 (4) SA 239 (T) at 245D-E</w:t>
      </w:r>
      <w:r w:rsidR="000A5FE0">
        <w:rPr>
          <w:rFonts w:ascii="Times New Roman" w:hAnsi="Times New Roman" w:cs="Times New Roman"/>
        </w:rPr>
        <w:t>.</w:t>
      </w:r>
    </w:p>
  </w:footnote>
  <w:footnote w:id="13">
    <w:p w14:paraId="4136AD23" w14:textId="77777777" w:rsidR="00316E48" w:rsidRPr="0055735F" w:rsidRDefault="00316E48" w:rsidP="0055735F">
      <w:pPr>
        <w:pStyle w:val="FootnoteText"/>
        <w:jc w:val="both"/>
        <w:rPr>
          <w:rFonts w:ascii="Times New Roman" w:hAnsi="Times New Roman" w:cs="Times New Roman"/>
        </w:rPr>
      </w:pPr>
      <w:r w:rsidRPr="0055735F">
        <w:rPr>
          <w:rStyle w:val="FootnoteReference"/>
          <w:rFonts w:ascii="Times New Roman" w:hAnsi="Times New Roman" w:cs="Times New Roman"/>
        </w:rPr>
        <w:footnoteRef/>
      </w:r>
      <w:r w:rsidRPr="0055735F">
        <w:rPr>
          <w:rFonts w:ascii="Times New Roman" w:hAnsi="Times New Roman" w:cs="Times New Roman"/>
        </w:rPr>
        <w:t xml:space="preserve"> </w:t>
      </w:r>
      <w:r w:rsidRPr="000A5FE0">
        <w:rPr>
          <w:rFonts w:ascii="Times New Roman" w:hAnsi="Times New Roman" w:cs="Times New Roman"/>
          <w:i/>
        </w:rPr>
        <w:t xml:space="preserve">MN v AJ </w:t>
      </w:r>
      <w:r w:rsidR="000A5FE0">
        <w:rPr>
          <w:rFonts w:ascii="Times New Roman" w:hAnsi="Times New Roman" w:cs="Times New Roman"/>
        </w:rPr>
        <w:t>2013 (3) SA 26 (WCC), para 24</w:t>
      </w:r>
      <w:r w:rsidRPr="0055735F">
        <w:rPr>
          <w:rFonts w:ascii="Times New Roman" w:hAnsi="Times New Roman" w:cs="Times New Roman"/>
        </w:rPr>
        <w:t xml:space="preserve"> and </w:t>
      </w:r>
      <w:r w:rsidRPr="000A5FE0">
        <w:rPr>
          <w:rFonts w:ascii="Times New Roman" w:hAnsi="Times New Roman" w:cs="Times New Roman"/>
          <w:i/>
        </w:rPr>
        <w:t>Suid Afrikaans Onderlinge Brand en Algemene Versekerings Maatskappy Bpk v Van der Berg en Andere</w:t>
      </w:r>
      <w:r w:rsidRPr="0055735F">
        <w:rPr>
          <w:rFonts w:ascii="Times New Roman" w:hAnsi="Times New Roman" w:cs="Times New Roman"/>
        </w:rPr>
        <w:t xml:space="preserve"> 1976 (1) SA 602 (AD) at 607E</w:t>
      </w:r>
      <w:r w:rsidR="000A5FE0">
        <w:rPr>
          <w:rFonts w:ascii="Times New Roman" w:hAnsi="Times New Roman" w:cs="Times New Roman"/>
        </w:rPr>
        <w:t>.</w:t>
      </w:r>
    </w:p>
  </w:footnote>
  <w:footnote w:id="14">
    <w:p w14:paraId="699CE2F1" w14:textId="77777777" w:rsidR="00316E48" w:rsidRPr="0055735F" w:rsidRDefault="00316E48" w:rsidP="0055735F">
      <w:pPr>
        <w:pStyle w:val="FootnoteText"/>
        <w:jc w:val="both"/>
        <w:rPr>
          <w:rFonts w:ascii="Times New Roman" w:hAnsi="Times New Roman" w:cs="Times New Roman"/>
        </w:rPr>
      </w:pPr>
      <w:r w:rsidRPr="0055735F">
        <w:rPr>
          <w:rStyle w:val="FootnoteReference"/>
          <w:rFonts w:ascii="Times New Roman" w:hAnsi="Times New Roman" w:cs="Times New Roman"/>
        </w:rPr>
        <w:footnoteRef/>
      </w:r>
      <w:r w:rsidRPr="0055735F">
        <w:rPr>
          <w:rFonts w:ascii="Times New Roman" w:hAnsi="Times New Roman" w:cs="Times New Roman"/>
        </w:rPr>
        <w:t xml:space="preserve"> See Harms, </w:t>
      </w:r>
      <w:r w:rsidRPr="000A5FE0">
        <w:rPr>
          <w:rFonts w:ascii="Times New Roman" w:hAnsi="Times New Roman" w:cs="Times New Roman"/>
          <w:i/>
        </w:rPr>
        <w:t>Amler’s Precedents of Pleadings</w:t>
      </w:r>
      <w:r w:rsidRPr="0055735F">
        <w:rPr>
          <w:rFonts w:ascii="Times New Roman" w:hAnsi="Times New Roman" w:cs="Times New Roman"/>
        </w:rPr>
        <w:t xml:space="preserve"> 9</w:t>
      </w:r>
      <w:r w:rsidRPr="0055735F">
        <w:rPr>
          <w:rFonts w:ascii="Times New Roman" w:hAnsi="Times New Roman" w:cs="Times New Roman"/>
          <w:vertAlign w:val="superscript"/>
        </w:rPr>
        <w:t>th</w:t>
      </w:r>
      <w:r w:rsidRPr="0055735F">
        <w:rPr>
          <w:rFonts w:ascii="Times New Roman" w:hAnsi="Times New Roman" w:cs="Times New Roman"/>
        </w:rPr>
        <w:t xml:space="preserve"> edition at p111 for the distinction between these terms.</w:t>
      </w:r>
    </w:p>
  </w:footnote>
  <w:footnote w:id="15">
    <w:p w14:paraId="42BB1F7A" w14:textId="77777777" w:rsidR="00316E48" w:rsidRPr="0055735F" w:rsidRDefault="00316E48" w:rsidP="0055735F">
      <w:pPr>
        <w:pStyle w:val="FootnoteText"/>
        <w:jc w:val="both"/>
        <w:rPr>
          <w:rFonts w:ascii="Times New Roman" w:hAnsi="Times New Roman" w:cs="Times New Roman"/>
        </w:rPr>
      </w:pPr>
      <w:r w:rsidRPr="0055735F">
        <w:rPr>
          <w:rStyle w:val="FootnoteReference"/>
          <w:rFonts w:ascii="Times New Roman" w:hAnsi="Times New Roman" w:cs="Times New Roman"/>
        </w:rPr>
        <w:footnoteRef/>
      </w:r>
      <w:r w:rsidRPr="0055735F">
        <w:rPr>
          <w:rFonts w:ascii="Times New Roman" w:hAnsi="Times New Roman" w:cs="Times New Roman"/>
        </w:rPr>
        <w:t xml:space="preserve"> </w:t>
      </w:r>
      <w:r w:rsidRPr="000A5FE0">
        <w:rPr>
          <w:rFonts w:ascii="Times New Roman" w:hAnsi="Times New Roman" w:cs="Times New Roman"/>
          <w:i/>
        </w:rPr>
        <w:t>Tesven CC v SA Bank of Athens</w:t>
      </w:r>
      <w:r w:rsidRPr="0055735F">
        <w:rPr>
          <w:rFonts w:ascii="Times New Roman" w:hAnsi="Times New Roman" w:cs="Times New Roman"/>
        </w:rPr>
        <w:t xml:space="preserve"> 2000 (1) SA 268 (SCA)</w:t>
      </w:r>
      <w:r w:rsidR="000A5FE0">
        <w:rPr>
          <w:rFonts w:ascii="Times New Roman" w:hAnsi="Times New Roman" w:cs="Times New Roman"/>
        </w:rPr>
        <w:t xml:space="preserve">; also Harms </w:t>
      </w:r>
      <w:r w:rsidR="000A5FE0" w:rsidRPr="00DF1F47">
        <w:rPr>
          <w:rFonts w:ascii="Times New Roman" w:hAnsi="Times New Roman" w:cs="Times New Roman"/>
          <w:i/>
        </w:rPr>
        <w:t>op cit</w:t>
      </w:r>
      <w:r w:rsidR="000A5FE0">
        <w:rPr>
          <w:rFonts w:ascii="Times New Roman" w:hAnsi="Times New Roman" w:cs="Times New Roman"/>
        </w:rPr>
        <w:t xml:space="preserve"> at </w:t>
      </w:r>
      <w:r w:rsidR="00DF1F47">
        <w:rPr>
          <w:rFonts w:ascii="Times New Roman" w:hAnsi="Times New Roman" w:cs="Times New Roman"/>
        </w:rPr>
        <w:t>p310.</w:t>
      </w:r>
    </w:p>
  </w:footnote>
  <w:footnote w:id="16">
    <w:p w14:paraId="1FB362B0" w14:textId="77777777" w:rsidR="00316E48" w:rsidRPr="0055735F" w:rsidRDefault="00316E48" w:rsidP="0055735F">
      <w:pPr>
        <w:pStyle w:val="FootnoteText"/>
        <w:jc w:val="both"/>
        <w:rPr>
          <w:rFonts w:ascii="Times New Roman" w:hAnsi="Times New Roman" w:cs="Times New Roman"/>
        </w:rPr>
      </w:pPr>
      <w:r w:rsidRPr="0055735F">
        <w:rPr>
          <w:rStyle w:val="FootnoteReference"/>
          <w:rFonts w:ascii="Times New Roman" w:hAnsi="Times New Roman" w:cs="Times New Roman"/>
        </w:rPr>
        <w:footnoteRef/>
      </w:r>
      <w:r w:rsidRPr="0055735F">
        <w:rPr>
          <w:rFonts w:ascii="Times New Roman" w:hAnsi="Times New Roman" w:cs="Times New Roman"/>
        </w:rPr>
        <w:t xml:space="preserve"> And Annexure B.</w:t>
      </w:r>
    </w:p>
  </w:footnote>
  <w:footnote w:id="17">
    <w:p w14:paraId="3FDDCBD6" w14:textId="77777777" w:rsidR="00316E48" w:rsidRPr="0055735F" w:rsidRDefault="00316E48" w:rsidP="0055735F">
      <w:pPr>
        <w:pStyle w:val="FootnoteText"/>
        <w:jc w:val="both"/>
        <w:rPr>
          <w:rFonts w:ascii="Times New Roman" w:hAnsi="Times New Roman" w:cs="Times New Roman"/>
        </w:rPr>
      </w:pPr>
      <w:r w:rsidRPr="0055735F">
        <w:rPr>
          <w:rStyle w:val="FootnoteReference"/>
          <w:rFonts w:ascii="Times New Roman" w:hAnsi="Times New Roman" w:cs="Times New Roman"/>
        </w:rPr>
        <w:footnoteRef/>
      </w:r>
      <w:r w:rsidRPr="0055735F">
        <w:rPr>
          <w:rFonts w:ascii="Times New Roman" w:hAnsi="Times New Roman" w:cs="Times New Roman"/>
        </w:rPr>
        <w:t xml:space="preserve"> Act 32 of 2000.</w:t>
      </w:r>
    </w:p>
  </w:footnote>
  <w:footnote w:id="18">
    <w:p w14:paraId="3AE198AD" w14:textId="77777777" w:rsidR="00316E48" w:rsidRDefault="00316E48" w:rsidP="0055735F">
      <w:pPr>
        <w:pStyle w:val="FootnoteText"/>
        <w:jc w:val="both"/>
      </w:pPr>
      <w:r w:rsidRPr="0055735F">
        <w:rPr>
          <w:rStyle w:val="FootnoteReference"/>
          <w:rFonts w:ascii="Times New Roman" w:hAnsi="Times New Roman" w:cs="Times New Roman"/>
        </w:rPr>
        <w:footnoteRef/>
      </w:r>
      <w:r w:rsidRPr="0055735F">
        <w:rPr>
          <w:rFonts w:ascii="Times New Roman" w:hAnsi="Times New Roman" w:cs="Times New Roman"/>
        </w:rPr>
        <w:t xml:space="preserve"> See generally </w:t>
      </w:r>
      <w:r w:rsidRPr="00DF1F47">
        <w:rPr>
          <w:rFonts w:ascii="Times New Roman" w:hAnsi="Times New Roman" w:cs="Times New Roman"/>
          <w:i/>
        </w:rPr>
        <w:t>Allpay Consolidated Holdings (Pty) Ltd and Others v Chief Executive Officer, South African Social Security Agency and Others</w:t>
      </w:r>
      <w:r w:rsidRPr="0055735F">
        <w:rPr>
          <w:rFonts w:ascii="Times New Roman" w:hAnsi="Times New Roman" w:cs="Times New Roman"/>
        </w:rPr>
        <w:t xml:space="preserve"> 2014 (1) SA 604 (CC) para </w:t>
      </w:r>
      <w:r w:rsidR="00DF1F47">
        <w:rPr>
          <w:rFonts w:ascii="Times New Roman" w:hAnsi="Times New Roman" w:cs="Times New Roman"/>
        </w:rPr>
        <w:t>40</w:t>
      </w:r>
      <w:r w:rsidRPr="0055735F">
        <w:rPr>
          <w:rFonts w:ascii="Times New Roman" w:hAnsi="Times New Roman" w:cs="Times New Roman"/>
        </w:rPr>
        <w:t xml:space="preserve">; </w:t>
      </w:r>
      <w:r w:rsidRPr="00DF1F47">
        <w:rPr>
          <w:rFonts w:ascii="Times New Roman" w:hAnsi="Times New Roman" w:cs="Times New Roman"/>
          <w:i/>
        </w:rPr>
        <w:t>Municipal Manager: Quakeni Local Municipality and Another v FV General Trading CC</w:t>
      </w:r>
      <w:r w:rsidRPr="0055735F">
        <w:rPr>
          <w:rFonts w:ascii="Times New Roman" w:hAnsi="Times New Roman" w:cs="Times New Roman"/>
        </w:rPr>
        <w:t xml:space="preserve"> 2010 (1) SA 356 (SCA); </w:t>
      </w:r>
      <w:r w:rsidRPr="00DF1F47">
        <w:rPr>
          <w:rFonts w:ascii="Times New Roman" w:hAnsi="Times New Roman" w:cs="Times New Roman"/>
          <w:i/>
        </w:rPr>
        <w:t xml:space="preserve">Ferrostaal GMBH and Another v Transnet SOC Ltd and Another </w:t>
      </w:r>
      <w:r w:rsidR="00DF1F47">
        <w:rPr>
          <w:rFonts w:ascii="Times New Roman" w:hAnsi="Times New Roman" w:cs="Times New Roman"/>
        </w:rPr>
        <w:t xml:space="preserve">2021 (5) SA 493 (SCA) para </w:t>
      </w:r>
      <w:r w:rsidRPr="0055735F">
        <w:rPr>
          <w:rFonts w:ascii="Times New Roman" w:hAnsi="Times New Roman" w:cs="Times New Roman"/>
        </w:rPr>
        <w:t xml:space="preserve">31; </w:t>
      </w:r>
      <w:r w:rsidRPr="00DF1F47">
        <w:rPr>
          <w:rFonts w:ascii="Times New Roman" w:hAnsi="Times New Roman" w:cs="Times New Roman"/>
          <w:i/>
        </w:rPr>
        <w:t>Valor IT v Premier, North West Province and Others</w:t>
      </w:r>
      <w:r w:rsidR="00DF1F47">
        <w:rPr>
          <w:rFonts w:ascii="Times New Roman" w:hAnsi="Times New Roman" w:cs="Times New Roman"/>
        </w:rPr>
        <w:t xml:space="preserve"> 2021 (1) SA 42 (SCA) para </w:t>
      </w:r>
      <w:r w:rsidRPr="0055735F">
        <w:rPr>
          <w:rFonts w:ascii="Times New Roman" w:hAnsi="Times New Roman" w:cs="Times New Roman"/>
        </w:rPr>
        <w:t>41.</w:t>
      </w:r>
    </w:p>
  </w:footnote>
  <w:footnote w:id="19">
    <w:p w14:paraId="7BAAE6B5" w14:textId="77777777" w:rsidR="006D6F5B" w:rsidRPr="004F0297" w:rsidRDefault="006D6F5B">
      <w:pPr>
        <w:pStyle w:val="FootnoteText"/>
        <w:rPr>
          <w:rFonts w:ascii="Times New Roman" w:hAnsi="Times New Roman" w:cs="Times New Roman"/>
        </w:rPr>
      </w:pPr>
      <w:r w:rsidRPr="004F0297">
        <w:rPr>
          <w:rStyle w:val="FootnoteReference"/>
          <w:rFonts w:ascii="Times New Roman" w:hAnsi="Times New Roman" w:cs="Times New Roman"/>
        </w:rPr>
        <w:footnoteRef/>
      </w:r>
      <w:r w:rsidRPr="004F0297">
        <w:rPr>
          <w:rFonts w:ascii="Times New Roman" w:hAnsi="Times New Roman" w:cs="Times New Roman"/>
        </w:rPr>
        <w:t xml:space="preserve"> Callender-Easby v Grahamstown Municipality 1981 (2) SA 810 (E) at</w:t>
      </w:r>
      <w:r w:rsidR="004F0297" w:rsidRPr="004F0297">
        <w:rPr>
          <w:rFonts w:ascii="Times New Roman" w:hAnsi="Times New Roman" w:cs="Times New Roman"/>
        </w:rPr>
        <w:t xml:space="preserve"> 812H.</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C38C5B" w14:textId="77777777" w:rsidR="00316E48" w:rsidRDefault="00316E48">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2294624"/>
      <w:docPartObj>
        <w:docPartGallery w:val="Page Numbers (Top of Page)"/>
        <w:docPartUnique/>
      </w:docPartObj>
    </w:sdtPr>
    <w:sdtEndPr>
      <w:rPr>
        <w:rFonts w:ascii="Times New Roman" w:hAnsi="Times New Roman" w:cs="Times New Roman"/>
        <w:noProof/>
        <w:sz w:val="28"/>
        <w:szCs w:val="28"/>
      </w:rPr>
    </w:sdtEndPr>
    <w:sdtContent>
      <w:p w14:paraId="58E70106" w14:textId="25ED6DB4" w:rsidR="00316E48" w:rsidRPr="00B564A2" w:rsidRDefault="00316E48">
        <w:pPr>
          <w:pStyle w:val="Header"/>
          <w:jc w:val="right"/>
          <w:rPr>
            <w:rFonts w:ascii="Times New Roman" w:hAnsi="Times New Roman" w:cs="Times New Roman"/>
            <w:sz w:val="28"/>
            <w:szCs w:val="28"/>
          </w:rPr>
        </w:pPr>
        <w:r w:rsidRPr="00B564A2">
          <w:rPr>
            <w:rFonts w:ascii="Times New Roman" w:hAnsi="Times New Roman" w:cs="Times New Roman"/>
            <w:sz w:val="28"/>
            <w:szCs w:val="28"/>
          </w:rPr>
          <w:fldChar w:fldCharType="begin"/>
        </w:r>
        <w:r w:rsidRPr="00B564A2">
          <w:rPr>
            <w:rFonts w:ascii="Times New Roman" w:hAnsi="Times New Roman" w:cs="Times New Roman"/>
            <w:sz w:val="28"/>
            <w:szCs w:val="28"/>
          </w:rPr>
          <w:instrText xml:space="preserve"> PAGE   \* MERGEFORMAT </w:instrText>
        </w:r>
        <w:r w:rsidRPr="00B564A2">
          <w:rPr>
            <w:rFonts w:ascii="Times New Roman" w:hAnsi="Times New Roman" w:cs="Times New Roman"/>
            <w:sz w:val="28"/>
            <w:szCs w:val="28"/>
          </w:rPr>
          <w:fldChar w:fldCharType="separate"/>
        </w:r>
        <w:r w:rsidR="00600B7E">
          <w:rPr>
            <w:rFonts w:ascii="Times New Roman" w:hAnsi="Times New Roman" w:cs="Times New Roman"/>
            <w:noProof/>
            <w:sz w:val="28"/>
            <w:szCs w:val="28"/>
          </w:rPr>
          <w:t>2</w:t>
        </w:r>
        <w:r w:rsidRPr="00B564A2">
          <w:rPr>
            <w:rFonts w:ascii="Times New Roman" w:hAnsi="Times New Roman" w:cs="Times New Roman"/>
            <w:noProof/>
            <w:sz w:val="28"/>
            <w:szCs w:val="28"/>
          </w:rPr>
          <w:fldChar w:fldCharType="end"/>
        </w:r>
      </w:p>
    </w:sdtContent>
  </w:sdt>
  <w:p w14:paraId="311F263C" w14:textId="77777777" w:rsidR="00316E48" w:rsidRDefault="00316E48">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0240BB" w14:textId="77777777" w:rsidR="00316E48" w:rsidRDefault="00316E4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6F74BF"/>
    <w:multiLevelType w:val="hybridMultilevel"/>
    <w:tmpl w:val="1DC42C5C"/>
    <w:lvl w:ilvl="0" w:tplc="3D7E6C6E">
      <w:start w:val="1"/>
      <w:numFmt w:val="decimal"/>
      <w:lvlText w:val="[%1]"/>
      <w:lvlJc w:val="left"/>
      <w:pPr>
        <w:ind w:left="360" w:hanging="360"/>
      </w:pPr>
    </w:lvl>
    <w:lvl w:ilvl="1" w:tplc="1C090019">
      <w:start w:val="1"/>
      <w:numFmt w:val="lowerLetter"/>
      <w:lvlText w:val="%2."/>
      <w:lvlJc w:val="left"/>
      <w:pPr>
        <w:ind w:left="1080" w:hanging="360"/>
      </w:pPr>
    </w:lvl>
    <w:lvl w:ilvl="2" w:tplc="1C09001B">
      <w:start w:val="1"/>
      <w:numFmt w:val="lowerRoman"/>
      <w:lvlText w:val="%3."/>
      <w:lvlJc w:val="right"/>
      <w:pPr>
        <w:ind w:left="1800" w:hanging="180"/>
      </w:pPr>
    </w:lvl>
    <w:lvl w:ilvl="3" w:tplc="1C09000F">
      <w:start w:val="1"/>
      <w:numFmt w:val="decimal"/>
      <w:lvlText w:val="%4."/>
      <w:lvlJc w:val="left"/>
      <w:pPr>
        <w:ind w:left="2520" w:hanging="360"/>
      </w:pPr>
    </w:lvl>
    <w:lvl w:ilvl="4" w:tplc="1C090019">
      <w:start w:val="1"/>
      <w:numFmt w:val="lowerLetter"/>
      <w:lvlText w:val="%5."/>
      <w:lvlJc w:val="left"/>
      <w:pPr>
        <w:ind w:left="3240" w:hanging="360"/>
      </w:pPr>
    </w:lvl>
    <w:lvl w:ilvl="5" w:tplc="1C09001B">
      <w:start w:val="1"/>
      <w:numFmt w:val="lowerRoman"/>
      <w:lvlText w:val="%6."/>
      <w:lvlJc w:val="right"/>
      <w:pPr>
        <w:ind w:left="3960" w:hanging="180"/>
      </w:pPr>
    </w:lvl>
    <w:lvl w:ilvl="6" w:tplc="1C09000F">
      <w:start w:val="1"/>
      <w:numFmt w:val="decimal"/>
      <w:lvlText w:val="%7."/>
      <w:lvlJc w:val="left"/>
      <w:pPr>
        <w:ind w:left="4680" w:hanging="360"/>
      </w:pPr>
    </w:lvl>
    <w:lvl w:ilvl="7" w:tplc="1C090019">
      <w:start w:val="1"/>
      <w:numFmt w:val="lowerLetter"/>
      <w:lvlText w:val="%8."/>
      <w:lvlJc w:val="left"/>
      <w:pPr>
        <w:ind w:left="5400" w:hanging="360"/>
      </w:pPr>
    </w:lvl>
    <w:lvl w:ilvl="8" w:tplc="1C09001B">
      <w:start w:val="1"/>
      <w:numFmt w:val="lowerRoman"/>
      <w:lvlText w:val="%9."/>
      <w:lvlJc w:val="right"/>
      <w:pPr>
        <w:ind w:left="6120" w:hanging="180"/>
      </w:pPr>
    </w:lvl>
  </w:abstractNum>
  <w:abstractNum w:abstractNumId="1" w15:restartNumberingAfterBreak="0">
    <w:nsid w:val="451C0287"/>
    <w:multiLevelType w:val="multilevel"/>
    <w:tmpl w:val="D0DE572A"/>
    <w:lvl w:ilvl="0">
      <w:start w:val="1"/>
      <w:numFmt w:val="decimal"/>
      <w:lvlText w:val="[%1]"/>
      <w:lvlJc w:val="left"/>
      <w:pPr>
        <w:tabs>
          <w:tab w:val="num" w:pos="567"/>
        </w:tabs>
        <w:ind w:left="567" w:hanging="567"/>
      </w:pPr>
      <w:rPr>
        <w:rFonts w:hint="default"/>
        <w:b w:val="0"/>
        <w:i w:val="0"/>
      </w:rPr>
    </w:lvl>
    <w:lvl w:ilvl="1">
      <w:start w:val="1"/>
      <w:numFmt w:val="lowerLetter"/>
      <w:pStyle w:val="LegalHeading2"/>
      <w:lvlText w:val="(%2)"/>
      <w:lvlJc w:val="left"/>
      <w:pPr>
        <w:tabs>
          <w:tab w:val="num" w:pos="2269"/>
        </w:tabs>
        <w:ind w:left="2269" w:hanging="1134"/>
      </w:pPr>
      <w:rPr>
        <w:rFonts w:ascii="Arial" w:eastAsia="Times New Roman" w:hAnsi="Arial" w:cs="Times New Roman"/>
        <w:b w:val="0"/>
        <w:i w:val="0"/>
      </w:rPr>
    </w:lvl>
    <w:lvl w:ilvl="2">
      <w:start w:val="1"/>
      <w:numFmt w:val="decimal"/>
      <w:pStyle w:val="LegalHeading3"/>
      <w:lvlText w:val="%1.%2.%3"/>
      <w:lvlJc w:val="left"/>
      <w:pPr>
        <w:tabs>
          <w:tab w:val="num" w:pos="1701"/>
        </w:tabs>
        <w:ind w:left="1701" w:hanging="1701"/>
      </w:pPr>
      <w:rPr>
        <w:rFonts w:cs="Times New Roman" w:hint="default"/>
        <w:b w:val="0"/>
        <w:i w:val="0"/>
      </w:rPr>
    </w:lvl>
    <w:lvl w:ilvl="3">
      <w:start w:val="1"/>
      <w:numFmt w:val="decimal"/>
      <w:pStyle w:val="LegalHeading4"/>
      <w:lvlText w:val="%1.%2.%3.%4"/>
      <w:lvlJc w:val="left"/>
      <w:pPr>
        <w:tabs>
          <w:tab w:val="num" w:pos="2268"/>
        </w:tabs>
        <w:ind w:left="2268" w:hanging="2268"/>
      </w:pPr>
      <w:rPr>
        <w:rFonts w:cs="Times New Roman" w:hint="default"/>
        <w:b w:val="0"/>
        <w:i w:val="0"/>
      </w:rPr>
    </w:lvl>
    <w:lvl w:ilvl="4">
      <w:start w:val="1"/>
      <w:numFmt w:val="decimal"/>
      <w:pStyle w:val="LegalHeading5"/>
      <w:lvlText w:val="%1.%2.%3.%4.%5"/>
      <w:lvlJc w:val="left"/>
      <w:pPr>
        <w:tabs>
          <w:tab w:val="num" w:pos="2835"/>
        </w:tabs>
        <w:ind w:left="2835" w:hanging="2835"/>
      </w:pPr>
      <w:rPr>
        <w:rFonts w:cs="Times New Roman" w:hint="default"/>
        <w:b w:val="0"/>
        <w:i w:val="0"/>
      </w:rPr>
    </w:lvl>
    <w:lvl w:ilvl="5">
      <w:start w:val="1"/>
      <w:numFmt w:val="decimal"/>
      <w:lvlText w:val="%1.%2.%3.%4.%5.%6"/>
      <w:lvlJc w:val="left"/>
      <w:pPr>
        <w:tabs>
          <w:tab w:val="num" w:pos="3402"/>
        </w:tabs>
        <w:ind w:left="3402" w:hanging="3402"/>
      </w:pPr>
      <w:rPr>
        <w:rFonts w:cs="Times New Roman" w:hint="default"/>
        <w:b w:val="0"/>
        <w:i w:val="0"/>
      </w:rPr>
    </w:lvl>
    <w:lvl w:ilvl="6">
      <w:start w:val="1"/>
      <w:numFmt w:val="decimal"/>
      <w:lvlText w:val="%1.%2.%3.%4.%5.%6.%7"/>
      <w:lvlJc w:val="left"/>
      <w:pPr>
        <w:tabs>
          <w:tab w:val="num" w:pos="3572"/>
        </w:tabs>
        <w:ind w:left="3572" w:hanging="3572"/>
      </w:pPr>
      <w:rPr>
        <w:rFonts w:cs="Times New Roman" w:hint="default"/>
        <w:b w:val="0"/>
        <w:i w:val="0"/>
      </w:rPr>
    </w:lvl>
    <w:lvl w:ilvl="7">
      <w:start w:val="1"/>
      <w:numFmt w:val="decimal"/>
      <w:lvlText w:val="%1.%2.%3.%4.%5.%6.%7.%8."/>
      <w:lvlJc w:val="left"/>
      <w:pPr>
        <w:tabs>
          <w:tab w:val="num" w:pos="5760"/>
        </w:tabs>
        <w:ind w:left="3744" w:hanging="1224"/>
      </w:pPr>
      <w:rPr>
        <w:rFonts w:cs="Times New Roman" w:hint="default"/>
      </w:rPr>
    </w:lvl>
    <w:lvl w:ilvl="8">
      <w:start w:val="1"/>
      <w:numFmt w:val="decimal"/>
      <w:lvlText w:val="%1.%2.%3.%4.%5.%6.%7.%8.%9."/>
      <w:lvlJc w:val="left"/>
      <w:pPr>
        <w:tabs>
          <w:tab w:val="num" w:pos="6480"/>
        </w:tabs>
        <w:ind w:left="4320" w:hanging="1440"/>
      </w:pPr>
      <w:rPr>
        <w:rFonts w:cs="Times New Roman"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1106B14E-7E7E-4045-8ACB-94906AD564EF}"/>
    <w:docVar w:name="dgnword-eventsink" w:val="130442496"/>
  </w:docVars>
  <w:rsids>
    <w:rsidRoot w:val="00354A12"/>
    <w:rsid w:val="000039BA"/>
    <w:rsid w:val="00035973"/>
    <w:rsid w:val="00037A2D"/>
    <w:rsid w:val="00040F32"/>
    <w:rsid w:val="00043B5F"/>
    <w:rsid w:val="00053A7D"/>
    <w:rsid w:val="000615F6"/>
    <w:rsid w:val="00076151"/>
    <w:rsid w:val="000A346A"/>
    <w:rsid w:val="000A5FE0"/>
    <w:rsid w:val="000D1DCE"/>
    <w:rsid w:val="000D4CFD"/>
    <w:rsid w:val="000E1017"/>
    <w:rsid w:val="000E4470"/>
    <w:rsid w:val="000E6D40"/>
    <w:rsid w:val="001061C5"/>
    <w:rsid w:val="00112795"/>
    <w:rsid w:val="0012321D"/>
    <w:rsid w:val="00133A54"/>
    <w:rsid w:val="00144000"/>
    <w:rsid w:val="001444DD"/>
    <w:rsid w:val="0015419E"/>
    <w:rsid w:val="00157E3A"/>
    <w:rsid w:val="0017066D"/>
    <w:rsid w:val="00173857"/>
    <w:rsid w:val="00177F6D"/>
    <w:rsid w:val="00182092"/>
    <w:rsid w:val="001848E8"/>
    <w:rsid w:val="001911DF"/>
    <w:rsid w:val="001A3BF4"/>
    <w:rsid w:val="001B1B46"/>
    <w:rsid w:val="001B2FE7"/>
    <w:rsid w:val="001C45D8"/>
    <w:rsid w:val="001F6D34"/>
    <w:rsid w:val="00203CCF"/>
    <w:rsid w:val="0020666C"/>
    <w:rsid w:val="00226FC0"/>
    <w:rsid w:val="0023366E"/>
    <w:rsid w:val="002570B8"/>
    <w:rsid w:val="00287696"/>
    <w:rsid w:val="00297BA2"/>
    <w:rsid w:val="002A6B70"/>
    <w:rsid w:val="002B7A11"/>
    <w:rsid w:val="002C118B"/>
    <w:rsid w:val="002C4DDE"/>
    <w:rsid w:val="002E5015"/>
    <w:rsid w:val="003019B4"/>
    <w:rsid w:val="00316E48"/>
    <w:rsid w:val="00320CCC"/>
    <w:rsid w:val="00321F9B"/>
    <w:rsid w:val="00323E90"/>
    <w:rsid w:val="00324991"/>
    <w:rsid w:val="0033443F"/>
    <w:rsid w:val="003507AB"/>
    <w:rsid w:val="00354A12"/>
    <w:rsid w:val="00356944"/>
    <w:rsid w:val="003641E9"/>
    <w:rsid w:val="00370B98"/>
    <w:rsid w:val="003738CE"/>
    <w:rsid w:val="00374D21"/>
    <w:rsid w:val="003764BD"/>
    <w:rsid w:val="00376F9F"/>
    <w:rsid w:val="003854F4"/>
    <w:rsid w:val="00385566"/>
    <w:rsid w:val="00386D57"/>
    <w:rsid w:val="0039776C"/>
    <w:rsid w:val="003A576E"/>
    <w:rsid w:val="003B4041"/>
    <w:rsid w:val="003C36E9"/>
    <w:rsid w:val="003D6A6A"/>
    <w:rsid w:val="003F14FC"/>
    <w:rsid w:val="003F61D5"/>
    <w:rsid w:val="00420268"/>
    <w:rsid w:val="00427674"/>
    <w:rsid w:val="00431AB2"/>
    <w:rsid w:val="0044441A"/>
    <w:rsid w:val="0044621F"/>
    <w:rsid w:val="004472CB"/>
    <w:rsid w:val="004566EB"/>
    <w:rsid w:val="00474BF3"/>
    <w:rsid w:val="004945B5"/>
    <w:rsid w:val="00495E86"/>
    <w:rsid w:val="004A21E4"/>
    <w:rsid w:val="004A750C"/>
    <w:rsid w:val="004B6A54"/>
    <w:rsid w:val="004C6809"/>
    <w:rsid w:val="004D0A39"/>
    <w:rsid w:val="004E1F65"/>
    <w:rsid w:val="004E6607"/>
    <w:rsid w:val="004F0297"/>
    <w:rsid w:val="004F13CF"/>
    <w:rsid w:val="004F7E49"/>
    <w:rsid w:val="00500D39"/>
    <w:rsid w:val="00502CC5"/>
    <w:rsid w:val="00503A04"/>
    <w:rsid w:val="0051311F"/>
    <w:rsid w:val="0052136C"/>
    <w:rsid w:val="00537C26"/>
    <w:rsid w:val="00555858"/>
    <w:rsid w:val="0055735F"/>
    <w:rsid w:val="00561179"/>
    <w:rsid w:val="005635D2"/>
    <w:rsid w:val="00574032"/>
    <w:rsid w:val="0057531A"/>
    <w:rsid w:val="005805C3"/>
    <w:rsid w:val="00592786"/>
    <w:rsid w:val="005A24C6"/>
    <w:rsid w:val="005A5089"/>
    <w:rsid w:val="005B5526"/>
    <w:rsid w:val="005C2004"/>
    <w:rsid w:val="005D1BB6"/>
    <w:rsid w:val="005D35A2"/>
    <w:rsid w:val="005F1098"/>
    <w:rsid w:val="005F48BE"/>
    <w:rsid w:val="00600B7E"/>
    <w:rsid w:val="00605C42"/>
    <w:rsid w:val="0063275D"/>
    <w:rsid w:val="00633710"/>
    <w:rsid w:val="0063583C"/>
    <w:rsid w:val="00636C13"/>
    <w:rsid w:val="00643D0C"/>
    <w:rsid w:val="00656B0F"/>
    <w:rsid w:val="006617D7"/>
    <w:rsid w:val="0066660B"/>
    <w:rsid w:val="006715DD"/>
    <w:rsid w:val="00672E20"/>
    <w:rsid w:val="00674077"/>
    <w:rsid w:val="0068163B"/>
    <w:rsid w:val="00686F46"/>
    <w:rsid w:val="006904D6"/>
    <w:rsid w:val="0069621A"/>
    <w:rsid w:val="006A7A78"/>
    <w:rsid w:val="006B5390"/>
    <w:rsid w:val="006B7EC9"/>
    <w:rsid w:val="006D3C9C"/>
    <w:rsid w:val="006D6F5B"/>
    <w:rsid w:val="006F615F"/>
    <w:rsid w:val="007038AE"/>
    <w:rsid w:val="007121AC"/>
    <w:rsid w:val="00723CCC"/>
    <w:rsid w:val="00730B17"/>
    <w:rsid w:val="0073490E"/>
    <w:rsid w:val="0074057F"/>
    <w:rsid w:val="00747449"/>
    <w:rsid w:val="00747AB1"/>
    <w:rsid w:val="00755EBB"/>
    <w:rsid w:val="00761B68"/>
    <w:rsid w:val="0077597B"/>
    <w:rsid w:val="007B6BD3"/>
    <w:rsid w:val="007C2BB6"/>
    <w:rsid w:val="007C61A1"/>
    <w:rsid w:val="007D2247"/>
    <w:rsid w:val="007E5E8B"/>
    <w:rsid w:val="00801268"/>
    <w:rsid w:val="00802E68"/>
    <w:rsid w:val="00802F98"/>
    <w:rsid w:val="00806E4F"/>
    <w:rsid w:val="00822EF4"/>
    <w:rsid w:val="008238C2"/>
    <w:rsid w:val="00826B95"/>
    <w:rsid w:val="00834DFB"/>
    <w:rsid w:val="00835C60"/>
    <w:rsid w:val="00843368"/>
    <w:rsid w:val="0085714F"/>
    <w:rsid w:val="008577AC"/>
    <w:rsid w:val="00867F7C"/>
    <w:rsid w:val="008771F5"/>
    <w:rsid w:val="00893809"/>
    <w:rsid w:val="008939E2"/>
    <w:rsid w:val="008956B9"/>
    <w:rsid w:val="0089743D"/>
    <w:rsid w:val="008A2337"/>
    <w:rsid w:val="008A6934"/>
    <w:rsid w:val="008A7F99"/>
    <w:rsid w:val="008B09C7"/>
    <w:rsid w:val="008C075B"/>
    <w:rsid w:val="008C3B60"/>
    <w:rsid w:val="008C55E6"/>
    <w:rsid w:val="008D030E"/>
    <w:rsid w:val="008D19BC"/>
    <w:rsid w:val="008D5C4A"/>
    <w:rsid w:val="008E116A"/>
    <w:rsid w:val="008F2DA7"/>
    <w:rsid w:val="008F426A"/>
    <w:rsid w:val="00906DD1"/>
    <w:rsid w:val="009358D0"/>
    <w:rsid w:val="00942BAB"/>
    <w:rsid w:val="00944ACB"/>
    <w:rsid w:val="00961772"/>
    <w:rsid w:val="0096447E"/>
    <w:rsid w:val="009903D3"/>
    <w:rsid w:val="00996FBF"/>
    <w:rsid w:val="009B6969"/>
    <w:rsid w:val="009C3C33"/>
    <w:rsid w:val="009D5188"/>
    <w:rsid w:val="009D6C9E"/>
    <w:rsid w:val="00A07A55"/>
    <w:rsid w:val="00A24365"/>
    <w:rsid w:val="00A25FB4"/>
    <w:rsid w:val="00A4320F"/>
    <w:rsid w:val="00A572D4"/>
    <w:rsid w:val="00A64DD0"/>
    <w:rsid w:val="00A67A87"/>
    <w:rsid w:val="00A771F4"/>
    <w:rsid w:val="00A807DF"/>
    <w:rsid w:val="00A817E4"/>
    <w:rsid w:val="00A94C8F"/>
    <w:rsid w:val="00A96C89"/>
    <w:rsid w:val="00AC2852"/>
    <w:rsid w:val="00AC4575"/>
    <w:rsid w:val="00AF38D5"/>
    <w:rsid w:val="00AF62B3"/>
    <w:rsid w:val="00AF6E43"/>
    <w:rsid w:val="00B02F93"/>
    <w:rsid w:val="00B04476"/>
    <w:rsid w:val="00B14A0E"/>
    <w:rsid w:val="00B2497F"/>
    <w:rsid w:val="00B31E4B"/>
    <w:rsid w:val="00B34B91"/>
    <w:rsid w:val="00B42E15"/>
    <w:rsid w:val="00B50F84"/>
    <w:rsid w:val="00B51A13"/>
    <w:rsid w:val="00B51ECB"/>
    <w:rsid w:val="00B564A2"/>
    <w:rsid w:val="00B84D3E"/>
    <w:rsid w:val="00B93195"/>
    <w:rsid w:val="00B94D20"/>
    <w:rsid w:val="00BA0D24"/>
    <w:rsid w:val="00BA527C"/>
    <w:rsid w:val="00BA75D4"/>
    <w:rsid w:val="00BB0CA4"/>
    <w:rsid w:val="00BB0F7B"/>
    <w:rsid w:val="00BC326C"/>
    <w:rsid w:val="00BE27CB"/>
    <w:rsid w:val="00BE4069"/>
    <w:rsid w:val="00BF1AFC"/>
    <w:rsid w:val="00BF76B1"/>
    <w:rsid w:val="00C03DBE"/>
    <w:rsid w:val="00C216D1"/>
    <w:rsid w:val="00C35BE1"/>
    <w:rsid w:val="00C36F31"/>
    <w:rsid w:val="00C4292D"/>
    <w:rsid w:val="00C46124"/>
    <w:rsid w:val="00C61CD1"/>
    <w:rsid w:val="00C629FE"/>
    <w:rsid w:val="00C640A0"/>
    <w:rsid w:val="00C8390E"/>
    <w:rsid w:val="00CA265D"/>
    <w:rsid w:val="00CB0ACB"/>
    <w:rsid w:val="00CB1E01"/>
    <w:rsid w:val="00CD56F8"/>
    <w:rsid w:val="00CD5CBF"/>
    <w:rsid w:val="00CE42A1"/>
    <w:rsid w:val="00CE49BF"/>
    <w:rsid w:val="00CE75CA"/>
    <w:rsid w:val="00D01A8B"/>
    <w:rsid w:val="00D10FEB"/>
    <w:rsid w:val="00D14E38"/>
    <w:rsid w:val="00D26E82"/>
    <w:rsid w:val="00D35D5B"/>
    <w:rsid w:val="00D3737F"/>
    <w:rsid w:val="00D41A83"/>
    <w:rsid w:val="00D44E6E"/>
    <w:rsid w:val="00D45647"/>
    <w:rsid w:val="00D73F6B"/>
    <w:rsid w:val="00D7650F"/>
    <w:rsid w:val="00D87CFB"/>
    <w:rsid w:val="00DA30E2"/>
    <w:rsid w:val="00DB5194"/>
    <w:rsid w:val="00DC3FE5"/>
    <w:rsid w:val="00DC51B3"/>
    <w:rsid w:val="00DD6E7E"/>
    <w:rsid w:val="00DF1F47"/>
    <w:rsid w:val="00DF1FF1"/>
    <w:rsid w:val="00E15914"/>
    <w:rsid w:val="00E22A1D"/>
    <w:rsid w:val="00E836CE"/>
    <w:rsid w:val="00E8507D"/>
    <w:rsid w:val="00E87A10"/>
    <w:rsid w:val="00E95C8A"/>
    <w:rsid w:val="00EA1AAE"/>
    <w:rsid w:val="00EA5C4B"/>
    <w:rsid w:val="00EE2C5B"/>
    <w:rsid w:val="00EF10F7"/>
    <w:rsid w:val="00F102CE"/>
    <w:rsid w:val="00F2394D"/>
    <w:rsid w:val="00F2495F"/>
    <w:rsid w:val="00F4159A"/>
    <w:rsid w:val="00F76A50"/>
    <w:rsid w:val="00F83461"/>
    <w:rsid w:val="00F87D10"/>
    <w:rsid w:val="00F908D1"/>
    <w:rsid w:val="00FB1DB0"/>
    <w:rsid w:val="00FB5369"/>
    <w:rsid w:val="00FB6E8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2F33E4"/>
  <w15:chartTrackingRefBased/>
  <w15:docId w15:val="{E0FEC284-093A-4E21-949C-D9D2F75B8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4A12"/>
    <w:pPr>
      <w:spacing w:after="0" w:line="256" w:lineRule="auto"/>
    </w:pPr>
    <w:rPr>
      <w:rFonts w:cstheme="minorBid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354A12"/>
    <w:pPr>
      <w:spacing w:line="240" w:lineRule="auto"/>
    </w:pPr>
    <w:rPr>
      <w:sz w:val="20"/>
      <w:szCs w:val="20"/>
    </w:rPr>
  </w:style>
  <w:style w:type="character" w:customStyle="1" w:styleId="FootnoteTextChar">
    <w:name w:val="Footnote Text Char"/>
    <w:basedOn w:val="DefaultParagraphFont"/>
    <w:link w:val="FootnoteText"/>
    <w:uiPriority w:val="99"/>
    <w:semiHidden/>
    <w:rsid w:val="00354A12"/>
    <w:rPr>
      <w:rFonts w:cstheme="minorBidi"/>
      <w:sz w:val="20"/>
      <w:szCs w:val="20"/>
    </w:rPr>
  </w:style>
  <w:style w:type="paragraph" w:styleId="ListParagraph">
    <w:name w:val="List Paragraph"/>
    <w:basedOn w:val="Normal"/>
    <w:uiPriority w:val="99"/>
    <w:qFormat/>
    <w:rsid w:val="00354A12"/>
    <w:pPr>
      <w:ind w:left="720"/>
      <w:contextualSpacing/>
    </w:pPr>
  </w:style>
  <w:style w:type="character" w:styleId="FootnoteReference">
    <w:name w:val="footnote reference"/>
    <w:basedOn w:val="DefaultParagraphFont"/>
    <w:uiPriority w:val="99"/>
    <w:semiHidden/>
    <w:unhideWhenUsed/>
    <w:rsid w:val="00354A12"/>
    <w:rPr>
      <w:vertAlign w:val="superscript"/>
    </w:rPr>
  </w:style>
  <w:style w:type="paragraph" w:customStyle="1" w:styleId="LegalList1">
    <w:name w:val="Legal_List1"/>
    <w:basedOn w:val="Normal"/>
    <w:semiHidden/>
    <w:rsid w:val="00A572D4"/>
    <w:pPr>
      <w:suppressAutoHyphens/>
      <w:spacing w:after="360" w:line="480" w:lineRule="auto"/>
      <w:jc w:val="both"/>
      <w:outlineLvl w:val="0"/>
    </w:pPr>
    <w:rPr>
      <w:rFonts w:eastAsia="Times New Roman" w:cs="Times New Roman"/>
      <w:szCs w:val="24"/>
      <w:lang w:val="en-GB" w:eastAsia="en-GB"/>
    </w:rPr>
  </w:style>
  <w:style w:type="paragraph" w:customStyle="1" w:styleId="LegalHeading2">
    <w:name w:val="Legal_Heading2"/>
    <w:basedOn w:val="LegalNormal"/>
    <w:next w:val="Normal"/>
    <w:semiHidden/>
    <w:rsid w:val="00A572D4"/>
    <w:pPr>
      <w:keepNext/>
      <w:numPr>
        <w:ilvl w:val="1"/>
        <w:numId w:val="2"/>
      </w:numPr>
      <w:tabs>
        <w:tab w:val="clear" w:pos="2269"/>
        <w:tab w:val="num" w:pos="360"/>
        <w:tab w:val="left" w:pos="3402"/>
        <w:tab w:val="left" w:pos="3969"/>
      </w:tabs>
      <w:ind w:left="0" w:firstLine="0"/>
      <w:outlineLvl w:val="1"/>
    </w:pPr>
    <w:rPr>
      <w:b/>
    </w:rPr>
  </w:style>
  <w:style w:type="paragraph" w:customStyle="1" w:styleId="LegalHeading3">
    <w:name w:val="Legal_Heading3"/>
    <w:basedOn w:val="LegalNormal"/>
    <w:next w:val="Normal"/>
    <w:semiHidden/>
    <w:rsid w:val="00A572D4"/>
    <w:pPr>
      <w:keepNext/>
      <w:numPr>
        <w:ilvl w:val="2"/>
        <w:numId w:val="2"/>
      </w:numPr>
      <w:tabs>
        <w:tab w:val="left" w:pos="3969"/>
        <w:tab w:val="left" w:pos="4536"/>
      </w:tabs>
      <w:outlineLvl w:val="2"/>
    </w:pPr>
    <w:rPr>
      <w:b/>
    </w:rPr>
  </w:style>
  <w:style w:type="paragraph" w:customStyle="1" w:styleId="LegalHeading4">
    <w:name w:val="Legal_Heading4"/>
    <w:basedOn w:val="LegalNormal"/>
    <w:next w:val="Normal"/>
    <w:semiHidden/>
    <w:rsid w:val="00A572D4"/>
    <w:pPr>
      <w:keepNext/>
      <w:numPr>
        <w:ilvl w:val="3"/>
        <w:numId w:val="2"/>
      </w:numPr>
      <w:spacing w:after="240"/>
      <w:outlineLvl w:val="3"/>
    </w:pPr>
    <w:rPr>
      <w:b/>
    </w:rPr>
  </w:style>
  <w:style w:type="paragraph" w:customStyle="1" w:styleId="LegalHeading5">
    <w:name w:val="Legal_Heading5"/>
    <w:basedOn w:val="LegalNormal"/>
    <w:next w:val="Normal"/>
    <w:semiHidden/>
    <w:rsid w:val="00A572D4"/>
    <w:pPr>
      <w:keepNext/>
      <w:numPr>
        <w:ilvl w:val="4"/>
        <w:numId w:val="2"/>
      </w:numPr>
      <w:spacing w:after="240"/>
      <w:outlineLvl w:val="4"/>
    </w:pPr>
    <w:rPr>
      <w:b/>
    </w:rPr>
  </w:style>
  <w:style w:type="paragraph" w:customStyle="1" w:styleId="LegalNormal">
    <w:name w:val="Legal_Normal"/>
    <w:basedOn w:val="Normal"/>
    <w:rsid w:val="00A572D4"/>
    <w:pPr>
      <w:suppressAutoHyphens/>
      <w:spacing w:after="360" w:line="480" w:lineRule="auto"/>
      <w:jc w:val="both"/>
    </w:pPr>
    <w:rPr>
      <w:rFonts w:eastAsia="Times New Roman" w:cs="Times New Roman"/>
      <w:szCs w:val="24"/>
      <w:lang w:val="en-GB" w:eastAsia="en-GB"/>
    </w:rPr>
  </w:style>
  <w:style w:type="paragraph" w:styleId="Header">
    <w:name w:val="header"/>
    <w:basedOn w:val="Normal"/>
    <w:link w:val="HeaderChar"/>
    <w:uiPriority w:val="99"/>
    <w:unhideWhenUsed/>
    <w:rsid w:val="00A572D4"/>
    <w:pPr>
      <w:tabs>
        <w:tab w:val="center" w:pos="4513"/>
        <w:tab w:val="right" w:pos="9026"/>
      </w:tabs>
      <w:spacing w:line="240" w:lineRule="auto"/>
    </w:pPr>
  </w:style>
  <w:style w:type="character" w:customStyle="1" w:styleId="HeaderChar">
    <w:name w:val="Header Char"/>
    <w:basedOn w:val="DefaultParagraphFont"/>
    <w:link w:val="Header"/>
    <w:uiPriority w:val="99"/>
    <w:rsid w:val="00A572D4"/>
    <w:rPr>
      <w:rFonts w:cstheme="minorBidi"/>
      <w:szCs w:val="22"/>
    </w:rPr>
  </w:style>
  <w:style w:type="paragraph" w:styleId="Footer">
    <w:name w:val="footer"/>
    <w:basedOn w:val="Normal"/>
    <w:link w:val="FooterChar"/>
    <w:uiPriority w:val="99"/>
    <w:unhideWhenUsed/>
    <w:rsid w:val="00A572D4"/>
    <w:pPr>
      <w:tabs>
        <w:tab w:val="center" w:pos="4513"/>
        <w:tab w:val="right" w:pos="9026"/>
      </w:tabs>
      <w:spacing w:line="240" w:lineRule="auto"/>
    </w:pPr>
  </w:style>
  <w:style w:type="character" w:customStyle="1" w:styleId="FooterChar">
    <w:name w:val="Footer Char"/>
    <w:basedOn w:val="DefaultParagraphFont"/>
    <w:link w:val="Footer"/>
    <w:uiPriority w:val="99"/>
    <w:rsid w:val="00A572D4"/>
    <w:rPr>
      <w:rFonts w:cstheme="minorBidi"/>
      <w:szCs w:val="22"/>
    </w:rPr>
  </w:style>
  <w:style w:type="paragraph" w:styleId="NoSpacing">
    <w:name w:val="No Spacing"/>
    <w:uiPriority w:val="1"/>
    <w:qFormat/>
    <w:rsid w:val="00CD56F8"/>
    <w:pPr>
      <w:spacing w:after="0" w:line="240" w:lineRule="auto"/>
    </w:pPr>
  </w:style>
  <w:style w:type="paragraph" w:styleId="BalloonText">
    <w:name w:val="Balloon Text"/>
    <w:basedOn w:val="Normal"/>
    <w:link w:val="BalloonTextChar"/>
    <w:uiPriority w:val="99"/>
    <w:semiHidden/>
    <w:unhideWhenUsed/>
    <w:rsid w:val="003F14F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14F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7685844">
      <w:bodyDiv w:val="1"/>
      <w:marLeft w:val="0"/>
      <w:marRight w:val="0"/>
      <w:marTop w:val="0"/>
      <w:marBottom w:val="0"/>
      <w:divBdr>
        <w:top w:val="none" w:sz="0" w:space="0" w:color="auto"/>
        <w:left w:val="none" w:sz="0" w:space="0" w:color="auto"/>
        <w:bottom w:val="none" w:sz="0" w:space="0" w:color="auto"/>
        <w:right w:val="none" w:sz="0" w:space="0" w:color="auto"/>
      </w:divBdr>
    </w:div>
    <w:div w:id="1137064301">
      <w:bodyDiv w:val="1"/>
      <w:marLeft w:val="0"/>
      <w:marRight w:val="0"/>
      <w:marTop w:val="0"/>
      <w:marBottom w:val="0"/>
      <w:divBdr>
        <w:top w:val="none" w:sz="0" w:space="0" w:color="auto"/>
        <w:left w:val="none" w:sz="0" w:space="0" w:color="auto"/>
        <w:bottom w:val="none" w:sz="0" w:space="0" w:color="auto"/>
        <w:right w:val="none" w:sz="0" w:space="0" w:color="auto"/>
      </w:divBdr>
    </w:div>
    <w:div w:id="1569533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AA30F5-748C-43DA-B1CD-36B75E4669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2344</Words>
  <Characters>13361</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Hewlett-Packard Company</dc:creator>
  <cp:keywords/>
  <dc:description/>
  <cp:lastModifiedBy>Mary Bruce</cp:lastModifiedBy>
  <cp:revision>3</cp:revision>
  <cp:lastPrinted>2024-03-18T09:12:00Z</cp:lastPrinted>
  <dcterms:created xsi:type="dcterms:W3CDTF">2024-03-28T08:28:00Z</dcterms:created>
  <dcterms:modified xsi:type="dcterms:W3CDTF">2024-03-28T15:06:00Z</dcterms:modified>
  <cp:contentStatus/>
</cp:coreProperties>
</file>