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C7FEA" w14:textId="77777777" w:rsidR="00263B50" w:rsidRDefault="00263B50" w:rsidP="00C91BD0">
      <w:pPr>
        <w:jc w:val="center"/>
        <w:rPr>
          <w:lang w:val="en-GB"/>
        </w:rPr>
      </w:pPr>
    </w:p>
    <w:p w14:paraId="0593CA20" w14:textId="77777777" w:rsidR="00C91BD0" w:rsidRPr="00BD1FFE" w:rsidRDefault="00C91BD0" w:rsidP="00C91BD0">
      <w:pPr>
        <w:jc w:val="center"/>
        <w:rPr>
          <w:lang w:val="en-GB"/>
        </w:rPr>
      </w:pPr>
      <w:r w:rsidRPr="00BD1FFE">
        <w:rPr>
          <w:noProof/>
          <w:lang w:eastAsia="en-ZA"/>
        </w:rPr>
        <w:drawing>
          <wp:inline distT="0" distB="0" distL="0" distR="0" wp14:anchorId="0A992826" wp14:editId="30A5F67F">
            <wp:extent cx="131127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1275" cy="1274445"/>
                    </a:xfrm>
                    <a:prstGeom prst="rect">
                      <a:avLst/>
                    </a:prstGeom>
                    <a:noFill/>
                  </pic:spPr>
                </pic:pic>
              </a:graphicData>
            </a:graphic>
          </wp:inline>
        </w:drawing>
      </w:r>
    </w:p>
    <w:p w14:paraId="11BDD557" w14:textId="77777777" w:rsidR="00C91BD0" w:rsidRPr="00BD1FFE" w:rsidRDefault="00C91BD0" w:rsidP="00C91BD0">
      <w:pPr>
        <w:jc w:val="center"/>
        <w:rPr>
          <w:b/>
          <w:bCs/>
          <w:lang w:val="en-GB"/>
        </w:rPr>
      </w:pPr>
      <w:r w:rsidRPr="00BD1FFE">
        <w:rPr>
          <w:b/>
          <w:bCs/>
          <w:lang w:val="en-GB"/>
        </w:rPr>
        <w:t>IN THE HIGH COURT OF SOUTH AFRICA</w:t>
      </w:r>
    </w:p>
    <w:p w14:paraId="3AAE286C" w14:textId="10031604" w:rsidR="00C91BD0" w:rsidRPr="00BD1FFE" w:rsidRDefault="00D84932" w:rsidP="00C91BD0">
      <w:pPr>
        <w:jc w:val="center"/>
        <w:rPr>
          <w:b/>
          <w:bCs/>
          <w:lang w:val="en-GB"/>
        </w:rPr>
      </w:pPr>
      <w:r>
        <w:rPr>
          <w:b/>
          <w:bCs/>
          <w:lang w:val="en-GB"/>
        </w:rPr>
        <w:t>[</w:t>
      </w:r>
      <w:r w:rsidR="00C91BD0" w:rsidRPr="00BD1FFE">
        <w:rPr>
          <w:b/>
          <w:bCs/>
          <w:lang w:val="en-GB"/>
        </w:rPr>
        <w:t>EAST</w:t>
      </w:r>
      <w:r w:rsidR="008C758F" w:rsidRPr="00BD1FFE">
        <w:rPr>
          <w:b/>
          <w:bCs/>
          <w:lang w:val="en-GB"/>
        </w:rPr>
        <w:t xml:space="preserve">ERN CAPE </w:t>
      </w:r>
      <w:r w:rsidR="003C6300">
        <w:rPr>
          <w:b/>
          <w:bCs/>
          <w:lang w:val="en-GB"/>
        </w:rPr>
        <w:t>DIVISION, MTHATHA</w:t>
      </w:r>
      <w:r>
        <w:rPr>
          <w:b/>
          <w:bCs/>
          <w:lang w:val="en-GB"/>
        </w:rPr>
        <w:t>]</w:t>
      </w:r>
    </w:p>
    <w:p w14:paraId="46518B74" w14:textId="77777777" w:rsidR="00C91BD0" w:rsidRPr="00BD1FFE" w:rsidRDefault="00C91BD0" w:rsidP="00C91BD0">
      <w:pPr>
        <w:widowControl w:val="0"/>
        <w:jc w:val="both"/>
        <w:rPr>
          <w:spacing w:val="14"/>
          <w:kern w:val="2"/>
          <w:u w:val="single"/>
          <w:lang w:val="en-GB"/>
        </w:rPr>
      </w:pPr>
    </w:p>
    <w:p w14:paraId="415FC146" w14:textId="09D012AA" w:rsidR="00C91BD0" w:rsidRPr="00BD1FFE" w:rsidRDefault="00D84932" w:rsidP="003C6300">
      <w:pPr>
        <w:ind w:right="-52"/>
        <w:jc w:val="right"/>
        <w:rPr>
          <w:lang w:val="en-GB"/>
        </w:rPr>
      </w:pPr>
      <w:r w:rsidRPr="00BD1FFE">
        <w:rPr>
          <w:lang w:val="en-GB"/>
        </w:rPr>
        <w:t xml:space="preserve">CASE NO: </w:t>
      </w:r>
      <w:r w:rsidR="008C758F" w:rsidRPr="00BD1FFE">
        <w:rPr>
          <w:lang w:val="en-GB"/>
        </w:rPr>
        <w:t>2094/2021</w:t>
      </w:r>
    </w:p>
    <w:p w14:paraId="6E6969C3" w14:textId="2B59453F" w:rsidR="00C91BD0" w:rsidRPr="00BD1FFE" w:rsidRDefault="00C91BD0" w:rsidP="002976F9">
      <w:pPr>
        <w:ind w:right="-52"/>
        <w:rPr>
          <w:lang w:val="en-GB"/>
        </w:rPr>
      </w:pPr>
    </w:p>
    <w:p w14:paraId="5E0A207A" w14:textId="1AC257C2" w:rsidR="00EE683A" w:rsidRPr="00BD1FFE" w:rsidRDefault="00C91BD0" w:rsidP="00BB58E7">
      <w:pPr>
        <w:widowControl w:val="0"/>
        <w:jc w:val="both"/>
        <w:rPr>
          <w:spacing w:val="14"/>
          <w:kern w:val="2"/>
          <w:lang w:val="en-GB"/>
        </w:rPr>
      </w:pPr>
      <w:r w:rsidRPr="00BD1FFE">
        <w:rPr>
          <w:spacing w:val="14"/>
          <w:kern w:val="2"/>
          <w:lang w:val="en-GB"/>
        </w:rPr>
        <w:t>In the matter between:</w:t>
      </w:r>
    </w:p>
    <w:p w14:paraId="155D9D9D" w14:textId="2CAD6719" w:rsidR="00C91BD0" w:rsidRPr="00BD1FFE" w:rsidRDefault="00C91BD0" w:rsidP="002976F9">
      <w:pPr>
        <w:widowControl w:val="0"/>
        <w:jc w:val="both"/>
        <w:rPr>
          <w:lang w:val="en-GB"/>
        </w:rPr>
      </w:pPr>
    </w:p>
    <w:p w14:paraId="43745784" w14:textId="21063060" w:rsidR="00C91BD0" w:rsidRPr="00BD1FFE" w:rsidRDefault="00C25A11" w:rsidP="002976F9">
      <w:pPr>
        <w:widowControl w:val="0"/>
        <w:tabs>
          <w:tab w:val="right" w:pos="8931"/>
        </w:tabs>
        <w:rPr>
          <w:b/>
          <w:color w:val="auto"/>
        </w:rPr>
      </w:pPr>
      <w:r>
        <w:rPr>
          <w:b/>
          <w:color w:val="auto"/>
        </w:rPr>
        <w:t xml:space="preserve">KHOLISILE JOSEPH NOMPETSHENI                                         </w:t>
      </w:r>
      <w:r w:rsidR="00EE683A">
        <w:rPr>
          <w:b/>
          <w:color w:val="auto"/>
        </w:rPr>
        <w:t xml:space="preserve">            </w:t>
      </w:r>
      <w:r>
        <w:rPr>
          <w:b/>
          <w:color w:val="auto"/>
        </w:rPr>
        <w:t xml:space="preserve"> </w:t>
      </w:r>
      <w:r w:rsidR="003C6300">
        <w:rPr>
          <w:b/>
          <w:color w:val="auto"/>
        </w:rPr>
        <w:tab/>
      </w:r>
      <w:r>
        <w:rPr>
          <w:b/>
          <w:color w:val="auto"/>
        </w:rPr>
        <w:t>PLAINTIFF</w:t>
      </w:r>
    </w:p>
    <w:p w14:paraId="614E47BB" w14:textId="77777777" w:rsidR="00C91BD0" w:rsidRPr="00BD1FFE" w:rsidRDefault="00C91BD0" w:rsidP="002976F9">
      <w:pPr>
        <w:widowControl w:val="0"/>
        <w:tabs>
          <w:tab w:val="right" w:pos="8640"/>
        </w:tabs>
        <w:jc w:val="both"/>
        <w:rPr>
          <w:b/>
          <w:color w:val="auto"/>
        </w:rPr>
      </w:pPr>
    </w:p>
    <w:p w14:paraId="1322B68A" w14:textId="5723BB7C" w:rsidR="00C91BD0" w:rsidRPr="002976F9" w:rsidRDefault="003C6300" w:rsidP="002976F9">
      <w:pPr>
        <w:widowControl w:val="0"/>
        <w:tabs>
          <w:tab w:val="right" w:pos="8640"/>
        </w:tabs>
        <w:jc w:val="both"/>
        <w:rPr>
          <w:bCs/>
          <w:color w:val="auto"/>
        </w:rPr>
      </w:pPr>
      <w:r w:rsidRPr="002976F9">
        <w:rPr>
          <w:bCs/>
          <w:color w:val="auto"/>
        </w:rPr>
        <w:t>and</w:t>
      </w:r>
    </w:p>
    <w:p w14:paraId="35C18B4C" w14:textId="77777777" w:rsidR="00C91BD0" w:rsidRPr="00BD1FFE" w:rsidRDefault="00C91BD0" w:rsidP="002976F9">
      <w:pPr>
        <w:widowControl w:val="0"/>
        <w:tabs>
          <w:tab w:val="right" w:pos="8640"/>
        </w:tabs>
        <w:jc w:val="both"/>
        <w:rPr>
          <w:b/>
          <w:color w:val="auto"/>
        </w:rPr>
      </w:pPr>
    </w:p>
    <w:p w14:paraId="5D09C12B" w14:textId="3FDDC2DF" w:rsidR="00C91BD0" w:rsidRPr="00BD1FFE" w:rsidRDefault="00C25A11" w:rsidP="002976F9">
      <w:pPr>
        <w:widowControl w:val="0"/>
        <w:tabs>
          <w:tab w:val="right" w:pos="8931"/>
        </w:tabs>
        <w:jc w:val="right"/>
        <w:rPr>
          <w:b/>
          <w:color w:val="auto"/>
        </w:rPr>
      </w:pPr>
      <w:r>
        <w:rPr>
          <w:b/>
          <w:color w:val="auto"/>
        </w:rPr>
        <w:t>MINISTER OF POLICE</w:t>
      </w:r>
      <w:r w:rsidR="008C758F" w:rsidRPr="00BD1FFE">
        <w:rPr>
          <w:b/>
          <w:color w:val="auto"/>
        </w:rPr>
        <w:t xml:space="preserve">           </w:t>
      </w:r>
      <w:r>
        <w:rPr>
          <w:b/>
          <w:color w:val="auto"/>
        </w:rPr>
        <w:t xml:space="preserve">                                                      </w:t>
      </w:r>
      <w:r w:rsidR="00EE683A">
        <w:rPr>
          <w:b/>
          <w:color w:val="auto"/>
        </w:rPr>
        <w:t xml:space="preserve"> </w:t>
      </w:r>
      <w:r>
        <w:rPr>
          <w:b/>
          <w:color w:val="auto"/>
        </w:rPr>
        <w:t xml:space="preserve"> </w:t>
      </w:r>
      <w:r w:rsidR="003C6300">
        <w:rPr>
          <w:b/>
          <w:color w:val="auto"/>
        </w:rPr>
        <w:tab/>
      </w:r>
      <w:r w:rsidR="00EE683A">
        <w:rPr>
          <w:b/>
          <w:color w:val="auto"/>
        </w:rPr>
        <w:t xml:space="preserve"> </w:t>
      </w:r>
      <w:r w:rsidR="002976F9">
        <w:rPr>
          <w:b/>
          <w:color w:val="auto"/>
        </w:rPr>
        <w:t xml:space="preserve"> </w:t>
      </w:r>
      <w:r>
        <w:rPr>
          <w:b/>
          <w:color w:val="auto"/>
        </w:rPr>
        <w:t>1</w:t>
      </w:r>
      <w:r w:rsidRPr="00C25A11">
        <w:rPr>
          <w:b/>
          <w:color w:val="auto"/>
          <w:vertAlign w:val="superscript"/>
        </w:rPr>
        <w:t>ST</w:t>
      </w:r>
      <w:r>
        <w:rPr>
          <w:b/>
          <w:color w:val="auto"/>
        </w:rPr>
        <w:t xml:space="preserve"> DEFENDANT</w:t>
      </w:r>
    </w:p>
    <w:p w14:paraId="5A44714D" w14:textId="1B80E615" w:rsidR="008C758F" w:rsidRPr="00BD1FFE" w:rsidRDefault="00C25A11" w:rsidP="002976F9">
      <w:pPr>
        <w:widowControl w:val="0"/>
        <w:tabs>
          <w:tab w:val="right" w:pos="8931"/>
        </w:tabs>
        <w:rPr>
          <w:b/>
          <w:color w:val="auto"/>
        </w:rPr>
      </w:pPr>
      <w:r>
        <w:rPr>
          <w:b/>
          <w:color w:val="auto"/>
        </w:rPr>
        <w:t xml:space="preserve">NATIONAL DIRECTOR OF PUBLIC PROSECUTIONS                </w:t>
      </w:r>
      <w:r w:rsidR="00EE683A">
        <w:rPr>
          <w:b/>
          <w:color w:val="auto"/>
        </w:rPr>
        <w:t xml:space="preserve">  </w:t>
      </w:r>
      <w:r>
        <w:rPr>
          <w:b/>
          <w:color w:val="auto"/>
        </w:rPr>
        <w:t>2</w:t>
      </w:r>
      <w:r w:rsidRPr="00C25A11">
        <w:rPr>
          <w:b/>
          <w:color w:val="auto"/>
          <w:vertAlign w:val="superscript"/>
        </w:rPr>
        <w:t>N</w:t>
      </w:r>
      <w:r w:rsidR="002976F9">
        <w:rPr>
          <w:b/>
          <w:color w:val="auto"/>
          <w:vertAlign w:val="superscript"/>
        </w:rPr>
        <w:t>D</w:t>
      </w:r>
      <w:r w:rsidR="00EE683A">
        <w:rPr>
          <w:b/>
          <w:color w:val="auto"/>
          <w:vertAlign w:val="superscript"/>
        </w:rPr>
        <w:t xml:space="preserve"> </w:t>
      </w:r>
      <w:r>
        <w:rPr>
          <w:b/>
          <w:color w:val="auto"/>
        </w:rPr>
        <w:t>DEFENDANT</w:t>
      </w:r>
    </w:p>
    <w:p w14:paraId="0EBB7948" w14:textId="48FE15D9" w:rsidR="008C758F" w:rsidRPr="00BD1FFE" w:rsidRDefault="00C25A11" w:rsidP="002976F9">
      <w:pPr>
        <w:widowControl w:val="0"/>
        <w:tabs>
          <w:tab w:val="right" w:pos="8931"/>
        </w:tabs>
        <w:jc w:val="right"/>
        <w:rPr>
          <w:b/>
          <w:color w:val="auto"/>
        </w:rPr>
      </w:pPr>
      <w:r>
        <w:rPr>
          <w:b/>
          <w:color w:val="auto"/>
        </w:rPr>
        <w:t xml:space="preserve">MINISTER OF JUSTICE AND CORRECTIONAL SERVICES       </w:t>
      </w:r>
      <w:r w:rsidR="003C6300">
        <w:rPr>
          <w:b/>
          <w:color w:val="auto"/>
        </w:rPr>
        <w:tab/>
      </w:r>
      <w:r w:rsidR="00EE683A">
        <w:rPr>
          <w:b/>
          <w:color w:val="auto"/>
        </w:rPr>
        <w:t xml:space="preserve">  </w:t>
      </w:r>
      <w:r>
        <w:rPr>
          <w:b/>
          <w:color w:val="auto"/>
        </w:rPr>
        <w:t>3</w:t>
      </w:r>
      <w:r w:rsidRPr="00C25A11">
        <w:rPr>
          <w:b/>
          <w:color w:val="auto"/>
          <w:vertAlign w:val="superscript"/>
        </w:rPr>
        <w:t>RD</w:t>
      </w:r>
      <w:r w:rsidR="00EE683A">
        <w:rPr>
          <w:b/>
          <w:color w:val="auto"/>
        </w:rPr>
        <w:t xml:space="preserve"> </w:t>
      </w:r>
      <w:r>
        <w:rPr>
          <w:b/>
          <w:color w:val="auto"/>
        </w:rPr>
        <w:t>DEFENDANT</w:t>
      </w:r>
    </w:p>
    <w:p w14:paraId="49287E9F" w14:textId="77777777" w:rsidR="00C91BD0" w:rsidRPr="002976F9" w:rsidRDefault="00C91BD0" w:rsidP="00D84932">
      <w:pPr>
        <w:jc w:val="both"/>
        <w:rPr>
          <w:b/>
          <w:bCs/>
          <w:u w:val="single"/>
          <w:lang w:val="en-GB"/>
        </w:rPr>
      </w:pPr>
      <w:r w:rsidRPr="002976F9">
        <w:rPr>
          <w:b/>
          <w:bCs/>
          <w:u w:val="single"/>
          <w:lang w:val="en-GB"/>
        </w:rPr>
        <w:t>___________________________________________________________________</w:t>
      </w:r>
    </w:p>
    <w:p w14:paraId="318E6DD5" w14:textId="77777777" w:rsidR="00C91BD0" w:rsidRPr="00BD1FFE" w:rsidRDefault="00C91BD0" w:rsidP="002976F9">
      <w:pPr>
        <w:jc w:val="both"/>
        <w:rPr>
          <w:lang w:val="en-GB"/>
        </w:rPr>
      </w:pPr>
    </w:p>
    <w:p w14:paraId="40185693" w14:textId="712B6D50" w:rsidR="00C91BD0" w:rsidRPr="00F34416" w:rsidRDefault="00C91BD0" w:rsidP="00D84932">
      <w:pPr>
        <w:jc w:val="center"/>
        <w:rPr>
          <w:b/>
          <w:bCs/>
          <w:lang w:val="en-GB"/>
        </w:rPr>
      </w:pPr>
      <w:r w:rsidRPr="00F34416">
        <w:rPr>
          <w:b/>
          <w:bCs/>
          <w:lang w:val="en-GB"/>
        </w:rPr>
        <w:t>JUDGMENT</w:t>
      </w:r>
    </w:p>
    <w:p w14:paraId="00BE2936" w14:textId="5699030B" w:rsidR="00656E28" w:rsidRPr="002976F9" w:rsidRDefault="00C91BD0" w:rsidP="00D84932">
      <w:pPr>
        <w:jc w:val="both"/>
        <w:rPr>
          <w:b/>
          <w:bCs/>
          <w:u w:val="single"/>
          <w:lang w:val="en-GB"/>
        </w:rPr>
      </w:pPr>
      <w:r w:rsidRPr="002976F9">
        <w:rPr>
          <w:b/>
          <w:bCs/>
          <w:u w:val="single"/>
          <w:lang w:val="en-GB"/>
        </w:rPr>
        <w:t>___________________________________________________________________</w:t>
      </w:r>
    </w:p>
    <w:p w14:paraId="1A3FADFF" w14:textId="77777777" w:rsidR="004A3816" w:rsidRPr="00EE683A" w:rsidRDefault="004A3816" w:rsidP="002976F9">
      <w:pPr>
        <w:jc w:val="both"/>
        <w:rPr>
          <w:lang w:val="en-GB"/>
        </w:rPr>
      </w:pPr>
    </w:p>
    <w:p w14:paraId="1802DE04" w14:textId="47169556" w:rsidR="00782560" w:rsidRDefault="00C2796C" w:rsidP="00D84932">
      <w:pPr>
        <w:tabs>
          <w:tab w:val="left" w:pos="851"/>
        </w:tabs>
        <w:jc w:val="both"/>
        <w:rPr>
          <w:b/>
          <w:lang w:val="en-GB"/>
        </w:rPr>
      </w:pPr>
      <w:r w:rsidRPr="003F4800">
        <w:rPr>
          <w:b/>
          <w:lang w:val="en-GB"/>
        </w:rPr>
        <w:t>CENGANI-MBAKAZA AJ</w:t>
      </w:r>
    </w:p>
    <w:p w14:paraId="4D669209" w14:textId="77777777" w:rsidR="005D30A6" w:rsidRDefault="005D30A6" w:rsidP="00D84932">
      <w:pPr>
        <w:tabs>
          <w:tab w:val="left" w:pos="851"/>
        </w:tabs>
        <w:jc w:val="both"/>
        <w:rPr>
          <w:b/>
          <w:lang w:val="en-GB"/>
        </w:rPr>
      </w:pPr>
    </w:p>
    <w:p w14:paraId="0426E28B" w14:textId="77777777" w:rsidR="008C758F" w:rsidRPr="002976F9" w:rsidRDefault="008C758F" w:rsidP="00D84932">
      <w:pPr>
        <w:tabs>
          <w:tab w:val="left" w:pos="851"/>
        </w:tabs>
        <w:jc w:val="both"/>
        <w:rPr>
          <w:b/>
          <w:bCs/>
          <w:iCs/>
          <w:lang w:val="en-GB"/>
        </w:rPr>
      </w:pPr>
      <w:r w:rsidRPr="002976F9">
        <w:rPr>
          <w:b/>
          <w:bCs/>
          <w:iCs/>
          <w:lang w:val="en-GB"/>
        </w:rPr>
        <w:t>Introduction</w:t>
      </w:r>
    </w:p>
    <w:p w14:paraId="62CDAA23" w14:textId="77777777" w:rsidR="00C2796C" w:rsidRPr="003F4800" w:rsidRDefault="00C2796C" w:rsidP="00D84932">
      <w:pPr>
        <w:tabs>
          <w:tab w:val="left" w:pos="851"/>
        </w:tabs>
        <w:jc w:val="both"/>
        <w:rPr>
          <w:b/>
          <w:lang w:val="en-GB"/>
        </w:rPr>
      </w:pPr>
    </w:p>
    <w:p w14:paraId="474455FD" w14:textId="0BE69A60" w:rsidR="00142FDC" w:rsidRDefault="003C6300" w:rsidP="00FE27A6">
      <w:pPr>
        <w:tabs>
          <w:tab w:val="left" w:pos="851"/>
        </w:tabs>
        <w:jc w:val="both"/>
        <w:rPr>
          <w:lang w:val="en-GB"/>
        </w:rPr>
      </w:pPr>
      <w:r>
        <w:rPr>
          <w:lang w:val="en-GB"/>
        </w:rPr>
        <w:t>[1]</w:t>
      </w:r>
      <w:r>
        <w:rPr>
          <w:lang w:val="en-GB"/>
        </w:rPr>
        <w:tab/>
      </w:r>
      <w:r w:rsidR="008745BE">
        <w:rPr>
          <w:lang w:val="en-GB"/>
        </w:rPr>
        <w:t>The Plaintiff issued</w:t>
      </w:r>
      <w:r w:rsidR="00C35199">
        <w:rPr>
          <w:lang w:val="en-GB"/>
        </w:rPr>
        <w:t xml:space="preserve"> a</w:t>
      </w:r>
      <w:r w:rsidR="008745BE">
        <w:rPr>
          <w:lang w:val="en-GB"/>
        </w:rPr>
        <w:t xml:space="preserve"> </w:t>
      </w:r>
      <w:r w:rsidR="005B7277">
        <w:rPr>
          <w:lang w:val="en-GB"/>
        </w:rPr>
        <w:t>combined</w:t>
      </w:r>
      <w:r w:rsidR="008745BE">
        <w:rPr>
          <w:lang w:val="en-GB"/>
        </w:rPr>
        <w:t xml:space="preserve"> summons against all Defendants, </w:t>
      </w:r>
      <w:r w:rsidR="008C38CB">
        <w:rPr>
          <w:lang w:val="en-GB"/>
        </w:rPr>
        <w:t>for damages</w:t>
      </w:r>
      <w:r w:rsidR="008745BE">
        <w:rPr>
          <w:lang w:val="en-GB"/>
        </w:rPr>
        <w:t xml:space="preserve"> arising from an unlawful arrest and detention by a member of the South African Police Service. </w:t>
      </w:r>
      <w:r w:rsidR="005B7277">
        <w:rPr>
          <w:lang w:val="en-GB"/>
        </w:rPr>
        <w:t xml:space="preserve">According to the Plaintiff, the claim for damages is based on delict. </w:t>
      </w:r>
      <w:r w:rsidR="008745BE">
        <w:rPr>
          <w:lang w:val="en-GB"/>
        </w:rPr>
        <w:t>Consequently</w:t>
      </w:r>
      <w:r w:rsidR="005C7262">
        <w:rPr>
          <w:lang w:val="en-GB"/>
        </w:rPr>
        <w:t>, the P</w:t>
      </w:r>
      <w:r w:rsidR="008C758F" w:rsidRPr="003C6300">
        <w:rPr>
          <w:lang w:val="en-GB"/>
        </w:rPr>
        <w:t>laintiff</w:t>
      </w:r>
      <w:r w:rsidR="008745BE">
        <w:rPr>
          <w:lang w:val="en-GB"/>
        </w:rPr>
        <w:t xml:space="preserve"> claims payment for the following damages</w:t>
      </w:r>
      <w:r w:rsidR="00BD1FFE" w:rsidRPr="003C6300">
        <w:rPr>
          <w:lang w:val="en-GB"/>
        </w:rPr>
        <w:t>:</w:t>
      </w:r>
    </w:p>
    <w:p w14:paraId="76929A47" w14:textId="77777777" w:rsidR="003C6300" w:rsidRPr="003C6300" w:rsidRDefault="003C6300" w:rsidP="002976F9">
      <w:pPr>
        <w:tabs>
          <w:tab w:val="left" w:pos="851"/>
        </w:tabs>
        <w:jc w:val="both"/>
        <w:rPr>
          <w:lang w:val="en-GB"/>
        </w:rPr>
      </w:pPr>
    </w:p>
    <w:p w14:paraId="639FA475" w14:textId="02E1FB3E" w:rsidR="00BD1FFE" w:rsidRPr="003C6300" w:rsidRDefault="00BD1FFE" w:rsidP="00D84932">
      <w:pPr>
        <w:pStyle w:val="ListParagraph"/>
        <w:numPr>
          <w:ilvl w:val="0"/>
          <w:numId w:val="7"/>
        </w:numPr>
        <w:tabs>
          <w:tab w:val="left" w:pos="851"/>
        </w:tabs>
        <w:jc w:val="both"/>
        <w:rPr>
          <w:lang w:val="en-GB"/>
        </w:rPr>
      </w:pPr>
      <w:r w:rsidRPr="003C6300">
        <w:rPr>
          <w:lang w:val="en-GB"/>
        </w:rPr>
        <w:lastRenderedPageBreak/>
        <w:t>A</w:t>
      </w:r>
      <w:r w:rsidR="008C758F" w:rsidRPr="003C6300">
        <w:rPr>
          <w:lang w:val="en-GB"/>
        </w:rPr>
        <w:t xml:space="preserve"> sum of R5</w:t>
      </w:r>
      <w:r w:rsidR="00FE27A6">
        <w:rPr>
          <w:lang w:val="en-GB"/>
        </w:rPr>
        <w:t xml:space="preserve"> </w:t>
      </w:r>
      <w:r w:rsidR="008C758F" w:rsidRPr="003C6300">
        <w:rPr>
          <w:lang w:val="en-GB"/>
        </w:rPr>
        <w:t xml:space="preserve">000 000.00 for unlawful arrest and detention, impairment of dignity, loss of freedom, deprivation of his </w:t>
      </w:r>
      <w:r w:rsidRPr="003C6300">
        <w:rPr>
          <w:lang w:val="en-GB"/>
        </w:rPr>
        <w:t>movement,</w:t>
      </w:r>
      <w:r w:rsidR="008C758F" w:rsidRPr="003C6300">
        <w:rPr>
          <w:lang w:val="en-GB"/>
        </w:rPr>
        <w:t xml:space="preserve"> pain, suffering and psychological trauma. </w:t>
      </w:r>
    </w:p>
    <w:p w14:paraId="7E751390" w14:textId="77777777" w:rsidR="00BD1FFE" w:rsidRPr="003F4800" w:rsidRDefault="00BD1FFE" w:rsidP="00D84932">
      <w:pPr>
        <w:pStyle w:val="ListParagraph"/>
        <w:tabs>
          <w:tab w:val="left" w:pos="851"/>
        </w:tabs>
        <w:ind w:left="1095"/>
        <w:jc w:val="both"/>
        <w:rPr>
          <w:lang w:val="en-GB"/>
        </w:rPr>
      </w:pPr>
    </w:p>
    <w:p w14:paraId="6C7C6D33" w14:textId="0FAE6845" w:rsidR="00BD1FFE" w:rsidRPr="003F4800" w:rsidRDefault="003F4800" w:rsidP="00D84932">
      <w:pPr>
        <w:pStyle w:val="ListParagraph"/>
        <w:numPr>
          <w:ilvl w:val="0"/>
          <w:numId w:val="7"/>
        </w:numPr>
        <w:tabs>
          <w:tab w:val="left" w:pos="851"/>
        </w:tabs>
        <w:jc w:val="both"/>
        <w:rPr>
          <w:lang w:val="en-GB"/>
        </w:rPr>
      </w:pPr>
      <w:r>
        <w:rPr>
          <w:lang w:val="en-GB"/>
        </w:rPr>
        <w:t xml:space="preserve">The </w:t>
      </w:r>
      <w:r w:rsidR="005C7262">
        <w:rPr>
          <w:lang w:val="en-GB"/>
        </w:rPr>
        <w:t>P</w:t>
      </w:r>
      <w:r w:rsidR="008C758F" w:rsidRPr="003F4800">
        <w:rPr>
          <w:lang w:val="en-GB"/>
        </w:rPr>
        <w:t>laintiff seeks to have an amount of R800 000.00</w:t>
      </w:r>
      <w:r w:rsidR="00F406AC" w:rsidRPr="003F4800">
        <w:rPr>
          <w:lang w:val="en-GB"/>
        </w:rPr>
        <w:t>, for loss of income</w:t>
      </w:r>
      <w:r w:rsidR="00CC5704" w:rsidRPr="003F4800">
        <w:rPr>
          <w:lang w:val="en-GB"/>
        </w:rPr>
        <w:t>,</w:t>
      </w:r>
      <w:r w:rsidR="008C758F" w:rsidRPr="003F4800">
        <w:rPr>
          <w:lang w:val="en-GB"/>
        </w:rPr>
        <w:t xml:space="preserve"> from the first, second and third Defendants, jointly and severally, the one paying each other to be absolved. </w:t>
      </w:r>
    </w:p>
    <w:p w14:paraId="7C764153" w14:textId="77777777" w:rsidR="00BD1FFE" w:rsidRPr="003F4800" w:rsidRDefault="00BD1FFE" w:rsidP="002976F9">
      <w:pPr>
        <w:pStyle w:val="ListParagraph"/>
        <w:jc w:val="both"/>
        <w:rPr>
          <w:lang w:val="en-GB"/>
        </w:rPr>
      </w:pPr>
    </w:p>
    <w:p w14:paraId="5FB4FA79" w14:textId="6A7D032D" w:rsidR="00C2796C" w:rsidRDefault="005C7262" w:rsidP="00D84932">
      <w:pPr>
        <w:pStyle w:val="ListParagraph"/>
        <w:numPr>
          <w:ilvl w:val="0"/>
          <w:numId w:val="7"/>
        </w:numPr>
        <w:tabs>
          <w:tab w:val="left" w:pos="851"/>
        </w:tabs>
        <w:jc w:val="both"/>
        <w:rPr>
          <w:lang w:val="en-GB"/>
        </w:rPr>
      </w:pPr>
      <w:r>
        <w:rPr>
          <w:lang w:val="en-GB"/>
        </w:rPr>
        <w:t>Lastly, the P</w:t>
      </w:r>
      <w:r w:rsidR="008C758F" w:rsidRPr="003F4800">
        <w:rPr>
          <w:lang w:val="en-GB"/>
        </w:rPr>
        <w:t>laintiff demands a payment of R5 000 000.00</w:t>
      </w:r>
      <w:r w:rsidR="00CC5704" w:rsidRPr="003F4800">
        <w:rPr>
          <w:lang w:val="en-GB"/>
        </w:rPr>
        <w:t xml:space="preserve"> for malicious prosecution</w:t>
      </w:r>
      <w:r w:rsidR="008C758F" w:rsidRPr="003F4800">
        <w:rPr>
          <w:lang w:val="en-GB"/>
        </w:rPr>
        <w:t xml:space="preserve"> </w:t>
      </w:r>
      <w:r w:rsidR="00B106DA">
        <w:rPr>
          <w:lang w:val="en-GB"/>
        </w:rPr>
        <w:t>from the first, s</w:t>
      </w:r>
      <w:r w:rsidR="008C758F" w:rsidRPr="003F4800">
        <w:rPr>
          <w:lang w:val="en-GB"/>
        </w:rPr>
        <w:t xml:space="preserve">econd and </w:t>
      </w:r>
      <w:r w:rsidR="00B106DA">
        <w:rPr>
          <w:lang w:val="en-GB"/>
        </w:rPr>
        <w:t>t</w:t>
      </w:r>
      <w:r w:rsidR="008C758F" w:rsidRPr="003F4800">
        <w:rPr>
          <w:lang w:val="en-GB"/>
        </w:rPr>
        <w:t>hird Defendants, jointly and severally, the one paying each other to be absolved.</w:t>
      </w:r>
    </w:p>
    <w:p w14:paraId="3B9071D3" w14:textId="77777777" w:rsidR="00FD4702" w:rsidRPr="00FD4702" w:rsidRDefault="00FD4702" w:rsidP="00FD4702">
      <w:pPr>
        <w:pStyle w:val="ListParagraph"/>
        <w:rPr>
          <w:lang w:val="en-GB"/>
        </w:rPr>
      </w:pPr>
    </w:p>
    <w:p w14:paraId="3CF9CE65" w14:textId="194066F7" w:rsidR="008C758F" w:rsidRPr="006E196C" w:rsidRDefault="008745BE" w:rsidP="008745BE">
      <w:pPr>
        <w:tabs>
          <w:tab w:val="left" w:pos="851"/>
        </w:tabs>
        <w:jc w:val="both"/>
        <w:rPr>
          <w:lang w:val="en-GB"/>
        </w:rPr>
      </w:pPr>
      <w:r w:rsidRPr="001E406E">
        <w:rPr>
          <w:iCs/>
          <w:lang w:val="en-GB"/>
        </w:rPr>
        <w:t>[</w:t>
      </w:r>
      <w:r w:rsidR="008C38CB">
        <w:rPr>
          <w:iCs/>
          <w:lang w:val="en-GB"/>
        </w:rPr>
        <w:t>2</w:t>
      </w:r>
      <w:r w:rsidRPr="001E406E">
        <w:rPr>
          <w:iCs/>
          <w:lang w:val="en-GB"/>
        </w:rPr>
        <w:t>]</w:t>
      </w:r>
      <w:r w:rsidRPr="001E406E">
        <w:rPr>
          <w:iCs/>
          <w:lang w:val="en-GB"/>
        </w:rPr>
        <w:tab/>
        <w:t>At the close of the Plaintiff’s cas</w:t>
      </w:r>
      <w:r w:rsidR="005B7277" w:rsidRPr="001E406E">
        <w:rPr>
          <w:iCs/>
          <w:lang w:val="en-GB"/>
        </w:rPr>
        <w:t>e</w:t>
      </w:r>
      <w:r w:rsidRPr="001E406E">
        <w:rPr>
          <w:iCs/>
          <w:lang w:val="en-GB"/>
        </w:rPr>
        <w:t xml:space="preserve">, the Defendants brought </w:t>
      </w:r>
      <w:r w:rsidR="005B7277" w:rsidRPr="001E406E">
        <w:rPr>
          <w:iCs/>
          <w:lang w:val="en-GB"/>
        </w:rPr>
        <w:t>an application for absolution from the instance in terms of Rule 39 (6) of the Uniform Rules of Court.</w:t>
      </w:r>
      <w:r w:rsidRPr="001E406E">
        <w:rPr>
          <w:iCs/>
          <w:lang w:val="en-GB"/>
        </w:rPr>
        <w:t xml:space="preserve"> </w:t>
      </w:r>
      <w:r w:rsidRPr="006E196C">
        <w:rPr>
          <w:lang w:val="en-GB"/>
        </w:rPr>
        <w:t xml:space="preserve"> </w:t>
      </w:r>
    </w:p>
    <w:p w14:paraId="5FE10581" w14:textId="0B2BB526" w:rsidR="005B7277" w:rsidRDefault="005B7277" w:rsidP="001E406E">
      <w:pPr>
        <w:tabs>
          <w:tab w:val="left" w:pos="851"/>
        </w:tabs>
        <w:jc w:val="both"/>
        <w:rPr>
          <w:lang w:val="en-GB"/>
        </w:rPr>
      </w:pPr>
      <w:r>
        <w:rPr>
          <w:lang w:val="en-GB"/>
        </w:rPr>
        <w:t xml:space="preserve">In this </w:t>
      </w:r>
      <w:r w:rsidR="006E196C">
        <w:rPr>
          <w:lang w:val="en-GB"/>
        </w:rPr>
        <w:t xml:space="preserve">judgment, I consider it necessary to give a </w:t>
      </w:r>
      <w:r w:rsidR="00201070">
        <w:rPr>
          <w:lang w:val="en-GB"/>
        </w:rPr>
        <w:t>blow-by-blow</w:t>
      </w:r>
      <w:r w:rsidR="006E196C">
        <w:rPr>
          <w:lang w:val="en-GB"/>
        </w:rPr>
        <w:t xml:space="preserve"> account of the events that culminated into this application for absolution from the instance.</w:t>
      </w:r>
    </w:p>
    <w:p w14:paraId="70D9EB80" w14:textId="77777777" w:rsidR="00263B50" w:rsidRPr="001E406E" w:rsidRDefault="00263B50" w:rsidP="001E406E">
      <w:pPr>
        <w:tabs>
          <w:tab w:val="left" w:pos="851"/>
        </w:tabs>
        <w:jc w:val="both"/>
        <w:rPr>
          <w:b/>
          <w:bCs/>
          <w:iCs/>
          <w:lang w:val="en-GB"/>
        </w:rPr>
      </w:pPr>
    </w:p>
    <w:p w14:paraId="566FDBBF" w14:textId="77777777" w:rsidR="008C758F" w:rsidRPr="002976F9" w:rsidRDefault="008C758F" w:rsidP="002976F9">
      <w:pPr>
        <w:tabs>
          <w:tab w:val="left" w:pos="851"/>
        </w:tabs>
        <w:jc w:val="both"/>
        <w:rPr>
          <w:b/>
          <w:bCs/>
          <w:iCs/>
          <w:lang w:val="en-GB"/>
        </w:rPr>
      </w:pPr>
      <w:r w:rsidRPr="002976F9">
        <w:rPr>
          <w:b/>
          <w:bCs/>
          <w:iCs/>
          <w:lang w:val="en-GB"/>
        </w:rPr>
        <w:t>The Pleadings</w:t>
      </w:r>
    </w:p>
    <w:p w14:paraId="1C4E0D2C" w14:textId="77777777" w:rsidR="000C5F4E" w:rsidRPr="003F4800" w:rsidRDefault="000C5F4E" w:rsidP="00D84932">
      <w:pPr>
        <w:pStyle w:val="ListParagraph"/>
        <w:tabs>
          <w:tab w:val="left" w:pos="851"/>
        </w:tabs>
        <w:jc w:val="both"/>
        <w:rPr>
          <w:lang w:val="en-GB"/>
        </w:rPr>
      </w:pPr>
    </w:p>
    <w:p w14:paraId="2477DA70" w14:textId="7EE5569F" w:rsidR="003C6300" w:rsidRDefault="008C38CB" w:rsidP="00D84932">
      <w:pPr>
        <w:jc w:val="both"/>
        <w:rPr>
          <w:lang w:val="en-GB"/>
        </w:rPr>
      </w:pPr>
      <w:r>
        <w:rPr>
          <w:lang w:val="en-GB"/>
        </w:rPr>
        <w:t>[3</w:t>
      </w:r>
      <w:r w:rsidR="003C6300">
        <w:rPr>
          <w:lang w:val="en-GB"/>
        </w:rPr>
        <w:t>]</w:t>
      </w:r>
      <w:r w:rsidR="003C6300">
        <w:rPr>
          <w:lang w:val="en-GB"/>
        </w:rPr>
        <w:tab/>
      </w:r>
      <w:r w:rsidR="00365007" w:rsidRPr="003C6300">
        <w:rPr>
          <w:lang w:val="en-GB"/>
        </w:rPr>
        <w:t xml:space="preserve">In </w:t>
      </w:r>
      <w:r w:rsidR="00D027F7">
        <w:rPr>
          <w:lang w:val="en-GB"/>
        </w:rPr>
        <w:t>respect</w:t>
      </w:r>
      <w:r w:rsidR="000C5F4E" w:rsidRPr="003C6300">
        <w:rPr>
          <w:lang w:val="en-GB"/>
        </w:rPr>
        <w:t xml:space="preserve"> of </w:t>
      </w:r>
      <w:r w:rsidR="000C5F4E" w:rsidRPr="002976F9">
        <w:rPr>
          <w:lang w:val="en-GB"/>
        </w:rPr>
        <w:t>claim A</w:t>
      </w:r>
      <w:r w:rsidR="000C5F4E" w:rsidRPr="003F4800">
        <w:rPr>
          <w:rStyle w:val="FootnoteReference"/>
          <w:lang w:val="en-GB"/>
        </w:rPr>
        <w:footnoteReference w:id="1"/>
      </w:r>
      <w:r w:rsidR="000C5F4E" w:rsidRPr="003C6300">
        <w:rPr>
          <w:lang w:val="en-GB"/>
        </w:rPr>
        <w:t xml:space="preserve">, the </w:t>
      </w:r>
      <w:r w:rsidR="005C7262">
        <w:rPr>
          <w:lang w:val="en-GB"/>
        </w:rPr>
        <w:t>P</w:t>
      </w:r>
      <w:r w:rsidR="00365007" w:rsidRPr="003C6300">
        <w:rPr>
          <w:lang w:val="en-GB"/>
        </w:rPr>
        <w:t xml:space="preserve">laintiff alleges that on or around 11 August 2019, at </w:t>
      </w:r>
      <w:proofErr w:type="spellStart"/>
      <w:r w:rsidR="00365007" w:rsidRPr="003C6300">
        <w:rPr>
          <w:lang w:val="en-GB"/>
        </w:rPr>
        <w:t>Mtyu</w:t>
      </w:r>
      <w:proofErr w:type="spellEnd"/>
      <w:r w:rsidR="00365007" w:rsidRPr="003C6300">
        <w:rPr>
          <w:lang w:val="en-GB"/>
        </w:rPr>
        <w:t xml:space="preserve"> </w:t>
      </w:r>
      <w:r w:rsidR="00720AF7" w:rsidRPr="003C6300">
        <w:rPr>
          <w:lang w:val="en-GB"/>
        </w:rPr>
        <w:t>Administrative</w:t>
      </w:r>
      <w:r w:rsidR="00B106DA" w:rsidRPr="003C6300">
        <w:rPr>
          <w:lang w:val="en-GB"/>
        </w:rPr>
        <w:t xml:space="preserve"> Area in </w:t>
      </w:r>
      <w:proofErr w:type="spellStart"/>
      <w:r w:rsidR="00B106DA" w:rsidRPr="003C6300">
        <w:rPr>
          <w:lang w:val="en-GB"/>
        </w:rPr>
        <w:t>Ngqeleni</w:t>
      </w:r>
      <w:proofErr w:type="spellEnd"/>
      <w:r w:rsidR="00B106DA" w:rsidRPr="003C6300">
        <w:rPr>
          <w:lang w:val="en-GB"/>
        </w:rPr>
        <w:t xml:space="preserve">, the first </w:t>
      </w:r>
      <w:r w:rsidR="009E6D2D">
        <w:rPr>
          <w:lang w:val="en-GB"/>
        </w:rPr>
        <w:t>D</w:t>
      </w:r>
      <w:r w:rsidR="009E6D2D" w:rsidRPr="003C6300">
        <w:rPr>
          <w:lang w:val="en-GB"/>
        </w:rPr>
        <w:t xml:space="preserve">efendant </w:t>
      </w:r>
      <w:r w:rsidR="00C96D5F">
        <w:rPr>
          <w:lang w:val="en-GB"/>
        </w:rPr>
        <w:t>unreasonably</w:t>
      </w:r>
      <w:r w:rsidR="00365007" w:rsidRPr="003C6300">
        <w:rPr>
          <w:lang w:val="en-GB"/>
        </w:rPr>
        <w:t xml:space="preserve">, unlawfully and </w:t>
      </w:r>
      <w:r w:rsidR="00B106DA" w:rsidRPr="003C6300">
        <w:rPr>
          <w:lang w:val="en-GB"/>
        </w:rPr>
        <w:t>without a warrant</w:t>
      </w:r>
      <w:r w:rsidR="00C96D5F">
        <w:rPr>
          <w:lang w:val="en-GB"/>
        </w:rPr>
        <w:t>,</w:t>
      </w:r>
      <w:r w:rsidR="00B106DA" w:rsidRPr="003C6300">
        <w:rPr>
          <w:lang w:val="en-GB"/>
        </w:rPr>
        <w:t xml:space="preserve"> arrested </w:t>
      </w:r>
      <w:r w:rsidR="009E6D2D">
        <w:rPr>
          <w:lang w:val="en-GB"/>
        </w:rPr>
        <w:t>him [</w:t>
      </w:r>
      <w:r w:rsidR="00B106DA" w:rsidRPr="003C6300">
        <w:rPr>
          <w:lang w:val="en-GB"/>
        </w:rPr>
        <w:t xml:space="preserve">the </w:t>
      </w:r>
      <w:r w:rsidR="009E6D2D">
        <w:rPr>
          <w:lang w:val="en-GB"/>
        </w:rPr>
        <w:t>P</w:t>
      </w:r>
      <w:r w:rsidR="009E6D2D" w:rsidRPr="003C6300">
        <w:rPr>
          <w:lang w:val="en-GB"/>
        </w:rPr>
        <w:t>laintiff</w:t>
      </w:r>
      <w:r w:rsidR="009E6D2D">
        <w:rPr>
          <w:lang w:val="en-GB"/>
        </w:rPr>
        <w:t>]</w:t>
      </w:r>
      <w:r w:rsidR="00365007" w:rsidRPr="003C6300">
        <w:rPr>
          <w:lang w:val="en-GB"/>
        </w:rPr>
        <w:t>.</w:t>
      </w:r>
      <w:r w:rsidR="000C5F4E" w:rsidRPr="003F4800">
        <w:t xml:space="preserve"> I</w:t>
      </w:r>
      <w:r w:rsidR="003D5A7F" w:rsidRPr="003F4800">
        <w:t>t is common caus</w:t>
      </w:r>
      <w:r w:rsidR="009E6D2D">
        <w:t xml:space="preserve">e </w:t>
      </w:r>
      <w:r w:rsidR="003D5A7F" w:rsidRPr="003F4800">
        <w:t>that</w:t>
      </w:r>
      <w:r w:rsidR="00365007" w:rsidRPr="003F4800">
        <w:t xml:space="preserve"> the</w:t>
      </w:r>
      <w:r w:rsidR="003D5A7F" w:rsidRPr="003F4800">
        <w:t xml:space="preserve"> </w:t>
      </w:r>
      <w:r w:rsidR="009E6D2D">
        <w:t xml:space="preserve">Plaintiff’s </w:t>
      </w:r>
      <w:r w:rsidR="00365007" w:rsidRPr="003F4800">
        <w:t>c</w:t>
      </w:r>
      <w:r w:rsidR="000C5F4E" w:rsidRPr="003F4800">
        <w:t xml:space="preserve">laim </w:t>
      </w:r>
      <w:r w:rsidR="003D5A7F" w:rsidRPr="003F4800">
        <w:t xml:space="preserve">is </w:t>
      </w:r>
      <w:r w:rsidR="000C5F4E" w:rsidRPr="003F4800">
        <w:t>premised on vicarious liability</w:t>
      </w:r>
      <w:r w:rsidR="009E6D2D">
        <w:t>. It is specifically averred</w:t>
      </w:r>
      <w:r w:rsidR="00672F1A">
        <w:t xml:space="preserve"> that </w:t>
      </w:r>
      <w:r w:rsidR="00672F1A" w:rsidRPr="003F4800">
        <w:t>the</w:t>
      </w:r>
      <w:r w:rsidR="009E6D2D">
        <w:t xml:space="preserve"> wrongful</w:t>
      </w:r>
      <w:r w:rsidR="000C5F4E" w:rsidRPr="003F4800">
        <w:t xml:space="preserve"> acts were </w:t>
      </w:r>
      <w:r w:rsidR="00D027F7" w:rsidRPr="003F4800">
        <w:t xml:space="preserve">committed </w:t>
      </w:r>
      <w:r w:rsidR="000C5F4E" w:rsidRPr="003F4800">
        <w:t xml:space="preserve">by the </w:t>
      </w:r>
      <w:r w:rsidR="00D027F7">
        <w:t xml:space="preserve">employees of the </w:t>
      </w:r>
      <w:r w:rsidR="00B106DA">
        <w:t>f</w:t>
      </w:r>
      <w:r w:rsidR="003D5A7F" w:rsidRPr="003F4800">
        <w:t xml:space="preserve">irst </w:t>
      </w:r>
      <w:r w:rsidR="009E6D2D">
        <w:t>D</w:t>
      </w:r>
      <w:r w:rsidR="009E6D2D" w:rsidRPr="003F4800">
        <w:t xml:space="preserve">efendant </w:t>
      </w:r>
      <w:r w:rsidR="00D027F7">
        <w:t>during the course</w:t>
      </w:r>
      <w:r w:rsidR="000C5F4E" w:rsidRPr="003F4800">
        <w:t xml:space="preserve"> of </w:t>
      </w:r>
      <w:r w:rsidR="00D027F7">
        <w:t>their</w:t>
      </w:r>
      <w:r w:rsidR="00D027F7" w:rsidRPr="003F4800">
        <w:t xml:space="preserve"> </w:t>
      </w:r>
      <w:r w:rsidR="000C5F4E" w:rsidRPr="003F4800">
        <w:t xml:space="preserve">employment and whilst in execution of his duties. </w:t>
      </w:r>
    </w:p>
    <w:p w14:paraId="199F0E89" w14:textId="77777777" w:rsidR="003C6300" w:rsidRPr="003F4800" w:rsidRDefault="003C6300" w:rsidP="002976F9">
      <w:pPr>
        <w:jc w:val="both"/>
      </w:pPr>
    </w:p>
    <w:p w14:paraId="05DB229C" w14:textId="619446A0" w:rsidR="00EE683A" w:rsidRDefault="008C38CB" w:rsidP="00FE27A6">
      <w:pPr>
        <w:jc w:val="both"/>
        <w:rPr>
          <w:lang w:val="en-GB"/>
        </w:rPr>
      </w:pPr>
      <w:r>
        <w:rPr>
          <w:lang w:val="en-GB"/>
        </w:rPr>
        <w:t>[4</w:t>
      </w:r>
      <w:r w:rsidR="003C6300">
        <w:rPr>
          <w:lang w:val="en-GB"/>
        </w:rPr>
        <w:t>]</w:t>
      </w:r>
      <w:r w:rsidR="003C6300">
        <w:rPr>
          <w:lang w:val="en-GB"/>
        </w:rPr>
        <w:tab/>
      </w:r>
      <w:r w:rsidR="00D027F7">
        <w:rPr>
          <w:lang w:val="en-GB"/>
        </w:rPr>
        <w:t xml:space="preserve">As far as </w:t>
      </w:r>
      <w:r w:rsidR="00477E66" w:rsidRPr="002976F9">
        <w:rPr>
          <w:lang w:val="en-GB"/>
        </w:rPr>
        <w:t xml:space="preserve">claim </w:t>
      </w:r>
      <w:r w:rsidR="00116D45" w:rsidRPr="002976F9">
        <w:rPr>
          <w:lang w:val="en-GB"/>
        </w:rPr>
        <w:t>B</w:t>
      </w:r>
      <w:r w:rsidR="00477E66" w:rsidRPr="003C6300">
        <w:rPr>
          <w:rStyle w:val="FootnoteReference"/>
          <w:lang w:val="en-GB"/>
        </w:rPr>
        <w:footnoteReference w:id="2"/>
      </w:r>
      <w:r w:rsidR="00D027F7">
        <w:rPr>
          <w:lang w:val="en-GB"/>
        </w:rPr>
        <w:t xml:space="preserve"> is concerned</w:t>
      </w:r>
      <w:r w:rsidR="00622523" w:rsidRPr="003C6300">
        <w:rPr>
          <w:lang w:val="en-GB"/>
        </w:rPr>
        <w:t xml:space="preserve">, </w:t>
      </w:r>
      <w:r w:rsidR="00867855" w:rsidRPr="003C6300">
        <w:rPr>
          <w:lang w:val="en-GB"/>
        </w:rPr>
        <w:t>t</w:t>
      </w:r>
      <w:r w:rsidR="003F4800" w:rsidRPr="003C6300">
        <w:rPr>
          <w:lang w:val="en-GB"/>
        </w:rPr>
        <w:t xml:space="preserve">he </w:t>
      </w:r>
      <w:r w:rsidR="005C7262">
        <w:rPr>
          <w:lang w:val="en-GB"/>
        </w:rPr>
        <w:t>P</w:t>
      </w:r>
      <w:r w:rsidR="00F33D87">
        <w:rPr>
          <w:lang w:val="en-GB"/>
        </w:rPr>
        <w:t>laintiff asserts that the D</w:t>
      </w:r>
      <w:r w:rsidR="00492979" w:rsidRPr="003C6300">
        <w:rPr>
          <w:lang w:val="en-GB"/>
        </w:rPr>
        <w:t>efendants, or one or</w:t>
      </w:r>
      <w:r w:rsidR="00365007" w:rsidRPr="003C6300">
        <w:rPr>
          <w:lang w:val="en-GB"/>
        </w:rPr>
        <w:t xml:space="preserve"> more of them, knew or anticipated that their conduct would prevent</w:t>
      </w:r>
      <w:r w:rsidR="00492979" w:rsidRPr="003C6300">
        <w:rPr>
          <w:lang w:val="en-GB"/>
        </w:rPr>
        <w:t xml:space="preserve"> him</w:t>
      </w:r>
      <w:r w:rsidR="00365007" w:rsidRPr="003C6300">
        <w:rPr>
          <w:lang w:val="en-GB"/>
        </w:rPr>
        <w:t xml:space="preserve"> from generating advantageous income when they committed the </w:t>
      </w:r>
      <w:r w:rsidR="00FE27A6" w:rsidRPr="003C6300">
        <w:rPr>
          <w:lang w:val="en-GB"/>
        </w:rPr>
        <w:t>acts</w:t>
      </w:r>
      <w:r w:rsidR="00492979" w:rsidRPr="003C6300">
        <w:rPr>
          <w:lang w:val="en-GB"/>
        </w:rPr>
        <w:t xml:space="preserve"> o</w:t>
      </w:r>
      <w:r w:rsidR="00933806">
        <w:rPr>
          <w:lang w:val="en-GB"/>
        </w:rPr>
        <w:t>f unlawful arrest and detention</w:t>
      </w:r>
      <w:r w:rsidR="00492979" w:rsidRPr="003C6300">
        <w:rPr>
          <w:lang w:val="en-GB"/>
        </w:rPr>
        <w:t xml:space="preserve"> and further prosecution against him.</w:t>
      </w:r>
      <w:r w:rsidR="00477E66" w:rsidRPr="003C6300">
        <w:rPr>
          <w:lang w:val="en-GB"/>
        </w:rPr>
        <w:t xml:space="preserve"> </w:t>
      </w:r>
      <w:r w:rsidR="003F4800" w:rsidRPr="003C6300">
        <w:rPr>
          <w:lang w:val="en-GB"/>
        </w:rPr>
        <w:t xml:space="preserve"> T</w:t>
      </w:r>
      <w:r w:rsidR="00492979" w:rsidRPr="003C6300">
        <w:rPr>
          <w:lang w:val="en-GB"/>
        </w:rPr>
        <w:t>he</w:t>
      </w:r>
      <w:r w:rsidR="003F4800" w:rsidRPr="003C6300">
        <w:rPr>
          <w:lang w:val="en-GB"/>
        </w:rPr>
        <w:t xml:space="preserve"> </w:t>
      </w:r>
      <w:r w:rsidR="005C7262">
        <w:rPr>
          <w:lang w:val="en-GB"/>
        </w:rPr>
        <w:t>P</w:t>
      </w:r>
      <w:r w:rsidR="00477E66" w:rsidRPr="003C6300">
        <w:rPr>
          <w:lang w:val="en-GB"/>
        </w:rPr>
        <w:t>laintiff</w:t>
      </w:r>
      <w:r w:rsidR="00492979" w:rsidRPr="003C6300">
        <w:rPr>
          <w:lang w:val="en-GB"/>
        </w:rPr>
        <w:t xml:space="preserve"> further asserts that since the time of his arrest, he has experienced financial loss and loss of income</w:t>
      </w:r>
      <w:r w:rsidR="00C35199">
        <w:rPr>
          <w:lang w:val="en-GB"/>
        </w:rPr>
        <w:t xml:space="preserve">, </w:t>
      </w:r>
      <w:r w:rsidR="00C35199" w:rsidRPr="003C6300">
        <w:rPr>
          <w:lang w:val="en-GB"/>
        </w:rPr>
        <w:lastRenderedPageBreak/>
        <w:t>because</w:t>
      </w:r>
      <w:r w:rsidR="00492979" w:rsidRPr="003C6300">
        <w:rPr>
          <w:lang w:val="en-GB"/>
        </w:rPr>
        <w:t xml:space="preserve"> of the reputational damage, he will likely continue</w:t>
      </w:r>
      <w:r w:rsidR="00477E66" w:rsidRPr="003C6300">
        <w:rPr>
          <w:lang w:val="en-GB"/>
        </w:rPr>
        <w:t xml:space="preserve"> </w:t>
      </w:r>
      <w:r w:rsidR="00492979" w:rsidRPr="003C6300">
        <w:rPr>
          <w:lang w:val="en-GB"/>
        </w:rPr>
        <w:t>t</w:t>
      </w:r>
      <w:r w:rsidR="00840DD3" w:rsidRPr="003C6300">
        <w:rPr>
          <w:lang w:val="en-GB"/>
        </w:rPr>
        <w:t>o</w:t>
      </w:r>
      <w:r w:rsidR="00492979" w:rsidRPr="003C6300">
        <w:rPr>
          <w:lang w:val="en-GB"/>
        </w:rPr>
        <w:t xml:space="preserve"> experience significant financial loss in the near future.</w:t>
      </w:r>
    </w:p>
    <w:p w14:paraId="44937C38" w14:textId="77777777" w:rsidR="003C6300" w:rsidRPr="003C6300" w:rsidRDefault="003C6300" w:rsidP="002976F9">
      <w:pPr>
        <w:jc w:val="both"/>
        <w:rPr>
          <w:lang w:val="en-GB"/>
        </w:rPr>
      </w:pPr>
    </w:p>
    <w:p w14:paraId="10303E29" w14:textId="106659F2" w:rsidR="00142FDC" w:rsidRPr="003C6300" w:rsidRDefault="008C38CB" w:rsidP="002976F9">
      <w:pPr>
        <w:jc w:val="both"/>
        <w:rPr>
          <w:lang w:val="en-GB"/>
        </w:rPr>
      </w:pPr>
      <w:r>
        <w:rPr>
          <w:lang w:val="en-GB"/>
        </w:rPr>
        <w:t>[5</w:t>
      </w:r>
      <w:r w:rsidR="003C6300">
        <w:rPr>
          <w:lang w:val="en-GB"/>
        </w:rPr>
        <w:t>]</w:t>
      </w:r>
      <w:r w:rsidR="003C6300">
        <w:rPr>
          <w:lang w:val="en-GB"/>
        </w:rPr>
        <w:tab/>
      </w:r>
      <w:r w:rsidR="00867855" w:rsidRPr="003C6300">
        <w:rPr>
          <w:lang w:val="en-GB"/>
        </w:rPr>
        <w:t xml:space="preserve">In relation to </w:t>
      </w:r>
      <w:r w:rsidR="00867855" w:rsidRPr="002976F9">
        <w:rPr>
          <w:lang w:val="en-GB"/>
        </w:rPr>
        <w:t>claim C</w:t>
      </w:r>
      <w:r w:rsidR="00867855" w:rsidRPr="002976F9">
        <w:rPr>
          <w:rStyle w:val="FootnoteReference"/>
          <w:lang w:val="en-GB"/>
        </w:rPr>
        <w:footnoteReference w:id="3"/>
      </w:r>
      <w:r w:rsidR="00867855" w:rsidRPr="003C6300">
        <w:rPr>
          <w:lang w:val="en-GB"/>
        </w:rPr>
        <w:t>,</w:t>
      </w:r>
      <w:r w:rsidR="005C7262">
        <w:rPr>
          <w:lang w:val="en-GB"/>
        </w:rPr>
        <w:t xml:space="preserve"> the P</w:t>
      </w:r>
      <w:r w:rsidR="00B106DA" w:rsidRPr="003C6300">
        <w:rPr>
          <w:lang w:val="en-GB"/>
        </w:rPr>
        <w:t>laintiff avers that the p</w:t>
      </w:r>
      <w:r w:rsidR="00867855" w:rsidRPr="003C6300">
        <w:rPr>
          <w:lang w:val="en-GB"/>
        </w:rPr>
        <w:t>rosecutor instigated c</w:t>
      </w:r>
      <w:r w:rsidR="00267C67" w:rsidRPr="003C6300">
        <w:rPr>
          <w:lang w:val="en-GB"/>
        </w:rPr>
        <w:t>riminal proceedings against him</w:t>
      </w:r>
      <w:r w:rsidR="00867855" w:rsidRPr="003C6300">
        <w:rPr>
          <w:lang w:val="en-GB"/>
        </w:rPr>
        <w:t xml:space="preserve"> without reasonable and</w:t>
      </w:r>
      <w:r w:rsidR="00C35199">
        <w:rPr>
          <w:lang w:val="en-GB"/>
        </w:rPr>
        <w:t>/</w:t>
      </w:r>
      <w:r w:rsidR="00867855" w:rsidRPr="003C6300">
        <w:rPr>
          <w:lang w:val="en-GB"/>
        </w:rPr>
        <w:t xml:space="preserve"> or probable cause and in doing so acted with malice or </w:t>
      </w:r>
      <w:proofErr w:type="spellStart"/>
      <w:r w:rsidR="00867855" w:rsidRPr="003C6300">
        <w:rPr>
          <w:i/>
          <w:lang w:val="en-GB"/>
        </w:rPr>
        <w:t>animo</w:t>
      </w:r>
      <w:proofErr w:type="spellEnd"/>
      <w:r w:rsidR="00867855" w:rsidRPr="003C6300">
        <w:rPr>
          <w:i/>
          <w:lang w:val="en-GB"/>
        </w:rPr>
        <w:t xml:space="preserve"> </w:t>
      </w:r>
      <w:proofErr w:type="spellStart"/>
      <w:r w:rsidR="00867855" w:rsidRPr="003C6300">
        <w:rPr>
          <w:i/>
          <w:lang w:val="en-GB"/>
        </w:rPr>
        <w:t>iniurandi</w:t>
      </w:r>
      <w:proofErr w:type="spellEnd"/>
      <w:r w:rsidR="00867855" w:rsidRPr="003C6300">
        <w:rPr>
          <w:i/>
          <w:lang w:val="en-GB"/>
        </w:rPr>
        <w:t>.</w:t>
      </w:r>
    </w:p>
    <w:p w14:paraId="12E8D062" w14:textId="77777777" w:rsidR="00C77095" w:rsidRPr="00EE683A" w:rsidRDefault="00C77095" w:rsidP="002976F9">
      <w:pPr>
        <w:jc w:val="both"/>
        <w:rPr>
          <w:lang w:val="en-GB"/>
        </w:rPr>
      </w:pPr>
    </w:p>
    <w:p w14:paraId="088F0C55" w14:textId="1DAEBE50" w:rsidR="00C77095" w:rsidRPr="003C6300" w:rsidRDefault="008C38CB" w:rsidP="002976F9">
      <w:pPr>
        <w:tabs>
          <w:tab w:val="left" w:pos="851"/>
        </w:tabs>
        <w:jc w:val="both"/>
        <w:rPr>
          <w:lang w:val="en-GB"/>
        </w:rPr>
      </w:pPr>
      <w:r>
        <w:rPr>
          <w:lang w:val="en-GB"/>
        </w:rPr>
        <w:t>[6</w:t>
      </w:r>
      <w:r w:rsidR="003C6300">
        <w:rPr>
          <w:lang w:val="en-GB"/>
        </w:rPr>
        <w:t>]</w:t>
      </w:r>
      <w:r w:rsidR="003C6300">
        <w:rPr>
          <w:lang w:val="en-GB"/>
        </w:rPr>
        <w:tab/>
      </w:r>
      <w:r w:rsidR="00620EAD" w:rsidRPr="003C6300">
        <w:rPr>
          <w:lang w:val="en-GB"/>
        </w:rPr>
        <w:t>On</w:t>
      </w:r>
      <w:r w:rsidR="00DD384A" w:rsidRPr="003C6300">
        <w:rPr>
          <w:lang w:val="en-GB"/>
        </w:rPr>
        <w:t xml:space="preserve"> 11 November 2021</w:t>
      </w:r>
      <w:r w:rsidR="00BD5B0E" w:rsidRPr="003C6300">
        <w:rPr>
          <w:lang w:val="en-GB"/>
        </w:rPr>
        <w:t>, the</w:t>
      </w:r>
      <w:r w:rsidR="00DD384A" w:rsidRPr="003C6300">
        <w:rPr>
          <w:lang w:val="en-GB"/>
        </w:rPr>
        <w:t xml:space="preserve"> </w:t>
      </w:r>
      <w:r w:rsidR="005C7262">
        <w:rPr>
          <w:lang w:val="en-GB"/>
        </w:rPr>
        <w:t>D</w:t>
      </w:r>
      <w:r w:rsidR="00C77095" w:rsidRPr="003C6300">
        <w:rPr>
          <w:lang w:val="en-GB"/>
        </w:rPr>
        <w:t>efendant</w:t>
      </w:r>
      <w:r w:rsidR="00DD384A" w:rsidRPr="003C6300">
        <w:rPr>
          <w:lang w:val="en-GB"/>
        </w:rPr>
        <w:t>s</w:t>
      </w:r>
      <w:r w:rsidR="00C77095" w:rsidRPr="003C6300">
        <w:rPr>
          <w:lang w:val="en-GB"/>
        </w:rPr>
        <w:t xml:space="preserve"> filed a plea</w:t>
      </w:r>
      <w:r w:rsidR="00DD384A" w:rsidRPr="003C6300">
        <w:rPr>
          <w:lang w:val="en-GB"/>
        </w:rPr>
        <w:t xml:space="preserve"> and made a bold denial of events as pleaded. </w:t>
      </w:r>
      <w:r w:rsidR="006D1FB4">
        <w:rPr>
          <w:lang w:val="en-GB"/>
        </w:rPr>
        <w:t xml:space="preserve">This necessitated </w:t>
      </w:r>
      <w:r w:rsidR="00201070">
        <w:rPr>
          <w:lang w:val="en-GB"/>
        </w:rPr>
        <w:t>the Defendants</w:t>
      </w:r>
      <w:r w:rsidR="00BD5B0E" w:rsidRPr="003C6300">
        <w:rPr>
          <w:lang w:val="en-GB"/>
        </w:rPr>
        <w:t xml:space="preserve"> </w:t>
      </w:r>
      <w:r w:rsidR="006D1FB4">
        <w:rPr>
          <w:lang w:val="en-GB"/>
        </w:rPr>
        <w:t xml:space="preserve">to </w:t>
      </w:r>
      <w:r w:rsidR="00BD5B0E" w:rsidRPr="003C6300">
        <w:rPr>
          <w:lang w:val="en-GB"/>
        </w:rPr>
        <w:t>file an amended</w:t>
      </w:r>
      <w:r w:rsidR="007550DA" w:rsidRPr="003C6300">
        <w:rPr>
          <w:lang w:val="en-GB"/>
        </w:rPr>
        <w:t xml:space="preserve"> plea</w:t>
      </w:r>
      <w:r w:rsidR="006D1FB4">
        <w:rPr>
          <w:lang w:val="en-GB"/>
        </w:rPr>
        <w:t>. In the amended plea</w:t>
      </w:r>
      <w:r w:rsidR="007550DA" w:rsidRPr="003C6300">
        <w:rPr>
          <w:lang w:val="en-GB"/>
        </w:rPr>
        <w:t xml:space="preserve"> </w:t>
      </w:r>
      <w:r w:rsidR="006D1FB4">
        <w:rPr>
          <w:lang w:val="en-GB"/>
        </w:rPr>
        <w:t>the Defendants</w:t>
      </w:r>
      <w:r w:rsidR="000157FC" w:rsidRPr="003C6300">
        <w:rPr>
          <w:lang w:val="en-GB"/>
        </w:rPr>
        <w:t xml:space="preserve"> </w:t>
      </w:r>
      <w:r w:rsidR="00933806">
        <w:rPr>
          <w:lang w:val="en-GB"/>
        </w:rPr>
        <w:t>admit</w:t>
      </w:r>
      <w:r w:rsidR="005C7262">
        <w:rPr>
          <w:lang w:val="en-GB"/>
        </w:rPr>
        <w:t xml:space="preserve"> that the P</w:t>
      </w:r>
      <w:r w:rsidR="007550DA" w:rsidRPr="003C6300">
        <w:rPr>
          <w:lang w:val="en-GB"/>
        </w:rPr>
        <w:t>laintiff was arrested with</w:t>
      </w:r>
      <w:r w:rsidR="00187F19" w:rsidRPr="003C6300">
        <w:rPr>
          <w:lang w:val="en-GB"/>
        </w:rPr>
        <w:t>out a warrant. In amplification</w:t>
      </w:r>
      <w:r w:rsidR="007550DA" w:rsidRPr="003C6300">
        <w:rPr>
          <w:lang w:val="en-GB"/>
        </w:rPr>
        <w:t xml:space="preserve"> thereto</w:t>
      </w:r>
      <w:r w:rsidR="00187F19" w:rsidRPr="003C6300">
        <w:rPr>
          <w:lang w:val="en-GB"/>
        </w:rPr>
        <w:t>,</w:t>
      </w:r>
      <w:r w:rsidR="007550DA" w:rsidRPr="003C6300">
        <w:rPr>
          <w:lang w:val="en-GB"/>
        </w:rPr>
        <w:t xml:space="preserve"> the 1</w:t>
      </w:r>
      <w:r w:rsidR="007550DA" w:rsidRPr="003C6300">
        <w:rPr>
          <w:vertAlign w:val="superscript"/>
          <w:lang w:val="en-GB"/>
        </w:rPr>
        <w:t>st</w:t>
      </w:r>
      <w:r w:rsidR="005C7262">
        <w:rPr>
          <w:lang w:val="en-GB"/>
        </w:rPr>
        <w:t xml:space="preserve"> D</w:t>
      </w:r>
      <w:r w:rsidR="00933806">
        <w:rPr>
          <w:lang w:val="en-GB"/>
        </w:rPr>
        <w:t>efendant avers</w:t>
      </w:r>
      <w:r w:rsidR="007550DA" w:rsidRPr="003C6300">
        <w:rPr>
          <w:lang w:val="en-GB"/>
        </w:rPr>
        <w:t xml:space="preserve"> that police officers opened a case docket to expedite an arrest emanating from rape charges of a </w:t>
      </w:r>
      <w:r w:rsidR="006C26F8" w:rsidRPr="003C6300">
        <w:rPr>
          <w:lang w:val="en-GB"/>
        </w:rPr>
        <w:t>nine-year-old</w:t>
      </w:r>
      <w:r w:rsidR="00C35199">
        <w:rPr>
          <w:lang w:val="en-GB"/>
        </w:rPr>
        <w:t xml:space="preserve"> girl,</w:t>
      </w:r>
      <w:r w:rsidR="007550DA" w:rsidRPr="003C6300">
        <w:rPr>
          <w:lang w:val="en-GB"/>
        </w:rPr>
        <w:t xml:space="preserve"> </w:t>
      </w:r>
      <w:r w:rsidR="00F04B8D">
        <w:rPr>
          <w:lang w:val="en-GB"/>
        </w:rPr>
        <w:t>and t</w:t>
      </w:r>
      <w:r w:rsidR="007550DA" w:rsidRPr="003C6300">
        <w:rPr>
          <w:lang w:val="en-GB"/>
        </w:rPr>
        <w:t>hat the offence is the one mentioned in Schedule 1</w:t>
      </w:r>
      <w:r w:rsidR="00933806">
        <w:rPr>
          <w:lang w:val="en-GB"/>
        </w:rPr>
        <w:t>. It is</w:t>
      </w:r>
      <w:r w:rsidR="00F04B8D">
        <w:rPr>
          <w:lang w:val="en-GB"/>
        </w:rPr>
        <w:t xml:space="preserve"> further pleaded </w:t>
      </w:r>
      <w:r w:rsidR="00290893">
        <w:rPr>
          <w:lang w:val="en-GB"/>
        </w:rPr>
        <w:t xml:space="preserve">that </w:t>
      </w:r>
      <w:r w:rsidR="00290893" w:rsidRPr="003C6300">
        <w:rPr>
          <w:lang w:val="en-GB"/>
        </w:rPr>
        <w:t>the</w:t>
      </w:r>
      <w:r w:rsidR="00F33D87">
        <w:rPr>
          <w:lang w:val="en-GB"/>
        </w:rPr>
        <w:t xml:space="preserve"> arrest was e</w:t>
      </w:r>
      <w:r w:rsidR="007550DA" w:rsidRPr="003C6300">
        <w:rPr>
          <w:lang w:val="en-GB"/>
        </w:rPr>
        <w:t>ffected in accordance with the provisions of Section 40 (1) (b) of the Criminal Procedure Act.</w:t>
      </w:r>
      <w:r w:rsidR="007550DA">
        <w:rPr>
          <w:rStyle w:val="FootnoteReference"/>
          <w:lang w:val="en-GB"/>
        </w:rPr>
        <w:footnoteReference w:id="4"/>
      </w:r>
      <w:r w:rsidR="007550DA" w:rsidRPr="003C6300">
        <w:rPr>
          <w:lang w:val="en-GB"/>
        </w:rPr>
        <w:t xml:space="preserve"> </w:t>
      </w:r>
    </w:p>
    <w:p w14:paraId="72D8CC5A" w14:textId="77777777" w:rsidR="007550DA" w:rsidRPr="007550DA" w:rsidRDefault="007550DA" w:rsidP="002976F9">
      <w:pPr>
        <w:pStyle w:val="ListParagraph"/>
        <w:jc w:val="both"/>
        <w:rPr>
          <w:lang w:val="en-GB"/>
        </w:rPr>
      </w:pPr>
    </w:p>
    <w:p w14:paraId="022490BC" w14:textId="6C0D3CD8" w:rsidR="007550DA" w:rsidRPr="003C6300" w:rsidRDefault="008C38CB" w:rsidP="002976F9">
      <w:pPr>
        <w:tabs>
          <w:tab w:val="left" w:pos="851"/>
        </w:tabs>
        <w:jc w:val="both"/>
        <w:rPr>
          <w:lang w:val="en-GB"/>
        </w:rPr>
      </w:pPr>
      <w:r>
        <w:rPr>
          <w:lang w:val="en-GB"/>
        </w:rPr>
        <w:t>[7</w:t>
      </w:r>
      <w:r w:rsidR="003C6300">
        <w:rPr>
          <w:lang w:val="en-GB"/>
        </w:rPr>
        <w:t>]</w:t>
      </w:r>
      <w:r w:rsidR="003C6300">
        <w:rPr>
          <w:lang w:val="en-GB"/>
        </w:rPr>
        <w:tab/>
      </w:r>
      <w:r w:rsidR="005C7262">
        <w:rPr>
          <w:lang w:val="en-GB"/>
        </w:rPr>
        <w:t>The D</w:t>
      </w:r>
      <w:r w:rsidR="00933806">
        <w:rPr>
          <w:lang w:val="en-GB"/>
        </w:rPr>
        <w:t>efendants further deny</w:t>
      </w:r>
      <w:r w:rsidR="007550DA" w:rsidRPr="003C6300">
        <w:rPr>
          <w:lang w:val="en-GB"/>
        </w:rPr>
        <w:t xml:space="preserve"> liability for damages arising </w:t>
      </w:r>
      <w:r w:rsidR="003C6300" w:rsidRPr="003C6300">
        <w:rPr>
          <w:lang w:val="en-GB"/>
        </w:rPr>
        <w:t>from loss of income due to</w:t>
      </w:r>
      <w:r w:rsidR="007550DA" w:rsidRPr="003C6300">
        <w:rPr>
          <w:lang w:val="en-GB"/>
        </w:rPr>
        <w:t xml:space="preserve"> </w:t>
      </w:r>
      <w:r w:rsidR="00D34F07" w:rsidRPr="003C6300">
        <w:rPr>
          <w:lang w:val="en-GB"/>
        </w:rPr>
        <w:t>r</w:t>
      </w:r>
      <w:r w:rsidR="00F33D87">
        <w:rPr>
          <w:lang w:val="en-GB"/>
        </w:rPr>
        <w:t>eputational damage against the P</w:t>
      </w:r>
      <w:r w:rsidR="00D34F07" w:rsidRPr="003C6300">
        <w:rPr>
          <w:lang w:val="en-GB"/>
        </w:rPr>
        <w:t>laintiff</w:t>
      </w:r>
      <w:r w:rsidR="00124E7E" w:rsidRPr="003C6300">
        <w:rPr>
          <w:lang w:val="en-GB"/>
        </w:rPr>
        <w:t xml:space="preserve">. </w:t>
      </w:r>
    </w:p>
    <w:p w14:paraId="4FD12F79" w14:textId="77777777" w:rsidR="00124E7E" w:rsidRPr="00124E7E" w:rsidRDefault="00124E7E" w:rsidP="002976F9">
      <w:pPr>
        <w:pStyle w:val="ListParagraph"/>
        <w:jc w:val="both"/>
        <w:rPr>
          <w:lang w:val="en-GB"/>
        </w:rPr>
      </w:pPr>
    </w:p>
    <w:p w14:paraId="2717111F" w14:textId="4EAB5ACB" w:rsidR="00124E7E" w:rsidRPr="003C6300" w:rsidRDefault="008C38CB" w:rsidP="002976F9">
      <w:pPr>
        <w:tabs>
          <w:tab w:val="left" w:pos="851"/>
        </w:tabs>
        <w:jc w:val="both"/>
        <w:rPr>
          <w:lang w:val="en-GB"/>
        </w:rPr>
      </w:pPr>
      <w:r>
        <w:rPr>
          <w:lang w:val="en-GB"/>
        </w:rPr>
        <w:t>[8</w:t>
      </w:r>
      <w:r w:rsidR="003C6300">
        <w:rPr>
          <w:lang w:val="en-GB"/>
        </w:rPr>
        <w:t>]</w:t>
      </w:r>
      <w:r w:rsidR="003C6300">
        <w:rPr>
          <w:lang w:val="en-GB"/>
        </w:rPr>
        <w:tab/>
      </w:r>
      <w:r w:rsidR="00F04B8D">
        <w:rPr>
          <w:lang w:val="en-GB"/>
        </w:rPr>
        <w:t xml:space="preserve">In respect of </w:t>
      </w:r>
      <w:r w:rsidR="005C7262">
        <w:rPr>
          <w:lang w:val="en-GB"/>
        </w:rPr>
        <w:t>Claim C, the De</w:t>
      </w:r>
      <w:r w:rsidR="00124E7E" w:rsidRPr="003C6300">
        <w:rPr>
          <w:lang w:val="en-GB"/>
        </w:rPr>
        <w:t xml:space="preserve">fendants </w:t>
      </w:r>
      <w:r w:rsidR="00F04B8D">
        <w:rPr>
          <w:lang w:val="en-GB"/>
        </w:rPr>
        <w:t xml:space="preserve">specifically </w:t>
      </w:r>
      <w:r w:rsidR="00933806">
        <w:rPr>
          <w:lang w:val="en-GB"/>
        </w:rPr>
        <w:t>plead</w:t>
      </w:r>
      <w:r w:rsidR="00D26D9A" w:rsidRPr="003C6300">
        <w:rPr>
          <w:lang w:val="en-GB"/>
        </w:rPr>
        <w:t xml:space="preserve"> that </w:t>
      </w:r>
      <w:r w:rsidR="00F04B8D" w:rsidRPr="003C6300">
        <w:rPr>
          <w:lang w:val="en-GB"/>
        </w:rPr>
        <w:t xml:space="preserve">the prosecutor continued to pursue the prosecution of the </w:t>
      </w:r>
      <w:r w:rsidR="0039349E">
        <w:rPr>
          <w:lang w:val="en-GB"/>
        </w:rPr>
        <w:t>P</w:t>
      </w:r>
      <w:r w:rsidR="00F04B8D" w:rsidRPr="003C6300">
        <w:rPr>
          <w:lang w:val="en-GB"/>
        </w:rPr>
        <w:t>laintiff</w:t>
      </w:r>
      <w:r w:rsidR="00C35199">
        <w:rPr>
          <w:lang w:val="en-GB"/>
        </w:rPr>
        <w:t xml:space="preserve"> </w:t>
      </w:r>
      <w:r w:rsidR="003C6300" w:rsidRPr="003C6300">
        <w:rPr>
          <w:lang w:val="en-GB"/>
        </w:rPr>
        <w:t>based on</w:t>
      </w:r>
      <w:r w:rsidR="00D26D9A" w:rsidRPr="003C6300">
        <w:rPr>
          <w:lang w:val="en-GB"/>
        </w:rPr>
        <w:t xml:space="preserve"> the statements made by the state </w:t>
      </w:r>
      <w:r w:rsidR="0039349E" w:rsidRPr="003C6300">
        <w:rPr>
          <w:lang w:val="en-GB"/>
        </w:rPr>
        <w:t>witness</w:t>
      </w:r>
      <w:r w:rsidR="00D26D9A" w:rsidRPr="003C6300">
        <w:rPr>
          <w:lang w:val="en-GB"/>
        </w:rPr>
        <w:t xml:space="preserve">. </w:t>
      </w:r>
      <w:r w:rsidR="00F25955" w:rsidRPr="003C6300">
        <w:rPr>
          <w:lang w:val="en-GB"/>
        </w:rPr>
        <w:t>In amplification, the merits pleaded are identical to</w:t>
      </w:r>
      <w:r w:rsidR="00644564" w:rsidRPr="003C6300">
        <w:rPr>
          <w:lang w:val="en-GB"/>
        </w:rPr>
        <w:t xml:space="preserve"> those pleaded in the</w:t>
      </w:r>
      <w:r w:rsidR="00F25955" w:rsidRPr="003C6300">
        <w:rPr>
          <w:lang w:val="en-GB"/>
        </w:rPr>
        <w:t xml:space="preserve"> first claim.</w:t>
      </w:r>
      <w:r w:rsidR="0039349E">
        <w:rPr>
          <w:lang w:val="en-GB"/>
        </w:rPr>
        <w:t xml:space="preserve"> </w:t>
      </w:r>
    </w:p>
    <w:p w14:paraId="3AF8ACC7" w14:textId="77777777" w:rsidR="00F25955" w:rsidRPr="00F25955" w:rsidRDefault="00F25955" w:rsidP="002976F9">
      <w:pPr>
        <w:pStyle w:val="ListParagraph"/>
        <w:jc w:val="both"/>
        <w:rPr>
          <w:lang w:val="en-GB"/>
        </w:rPr>
      </w:pPr>
    </w:p>
    <w:p w14:paraId="710911F3" w14:textId="19ED7EE6" w:rsidR="00F25955" w:rsidRPr="003C6300" w:rsidRDefault="008C38CB" w:rsidP="002976F9">
      <w:pPr>
        <w:tabs>
          <w:tab w:val="left" w:pos="851"/>
        </w:tabs>
        <w:jc w:val="both"/>
        <w:rPr>
          <w:lang w:val="en-GB"/>
        </w:rPr>
      </w:pPr>
      <w:r>
        <w:rPr>
          <w:lang w:val="en-GB"/>
        </w:rPr>
        <w:t>[9</w:t>
      </w:r>
      <w:r w:rsidR="003C6300">
        <w:rPr>
          <w:lang w:val="en-GB"/>
        </w:rPr>
        <w:t>]</w:t>
      </w:r>
      <w:r w:rsidR="003C6300">
        <w:rPr>
          <w:lang w:val="en-GB"/>
        </w:rPr>
        <w:tab/>
      </w:r>
      <w:r w:rsidR="00F25955" w:rsidRPr="003C6300">
        <w:rPr>
          <w:lang w:val="en-GB"/>
        </w:rPr>
        <w:t>In a pre-trial</w:t>
      </w:r>
      <w:r w:rsidR="00D34F07" w:rsidRPr="003C6300">
        <w:rPr>
          <w:lang w:val="en-GB"/>
        </w:rPr>
        <w:t xml:space="preserve"> conference held on 11 May 2022, the</w:t>
      </w:r>
      <w:r w:rsidR="005C7262">
        <w:rPr>
          <w:lang w:val="en-GB"/>
        </w:rPr>
        <w:t xml:space="preserve"> parties agreed that the P</w:t>
      </w:r>
      <w:r w:rsidR="00D34F07" w:rsidRPr="003C6300">
        <w:rPr>
          <w:lang w:val="en-GB"/>
        </w:rPr>
        <w:t xml:space="preserve">laintiff bears a duty to </w:t>
      </w:r>
      <w:r w:rsidR="003C6300" w:rsidRPr="003C6300">
        <w:rPr>
          <w:lang w:val="en-GB"/>
        </w:rPr>
        <w:t>begin,</w:t>
      </w:r>
      <w:r w:rsidR="00D34F07" w:rsidRPr="003C6300">
        <w:rPr>
          <w:lang w:val="en-GB"/>
        </w:rPr>
        <w:t xml:space="preserve"> and each party bear </w:t>
      </w:r>
      <w:r w:rsidR="006C26F8" w:rsidRPr="003C6300">
        <w:rPr>
          <w:lang w:val="en-GB"/>
        </w:rPr>
        <w:t xml:space="preserve">the </w:t>
      </w:r>
      <w:r w:rsidR="00D34F07" w:rsidRPr="003C6300">
        <w:rPr>
          <w:lang w:val="en-GB"/>
        </w:rPr>
        <w:t xml:space="preserve">onus of proof on such aspects where </w:t>
      </w:r>
      <w:r w:rsidR="006C26F8" w:rsidRPr="003C6300">
        <w:rPr>
          <w:lang w:val="en-GB"/>
        </w:rPr>
        <w:t xml:space="preserve">the </w:t>
      </w:r>
      <w:r w:rsidR="00D34F07" w:rsidRPr="003C6300">
        <w:rPr>
          <w:lang w:val="en-GB"/>
        </w:rPr>
        <w:t>onus lies with them.</w:t>
      </w:r>
      <w:r w:rsidR="00377741">
        <w:rPr>
          <w:rStyle w:val="FootnoteReference"/>
          <w:lang w:val="en-GB"/>
        </w:rPr>
        <w:footnoteReference w:id="5"/>
      </w:r>
      <w:r w:rsidR="00D34F07" w:rsidRPr="003C6300">
        <w:rPr>
          <w:lang w:val="en-GB"/>
        </w:rPr>
        <w:t xml:space="preserve"> </w:t>
      </w:r>
      <w:r w:rsidR="00491F60" w:rsidRPr="003C6300">
        <w:rPr>
          <w:lang w:val="en-GB"/>
        </w:rPr>
        <w:t xml:space="preserve">The parties further agreed that there will be </w:t>
      </w:r>
      <w:r w:rsidR="00491F60" w:rsidRPr="003C6300">
        <w:rPr>
          <w:lang w:val="en-GB"/>
        </w:rPr>
        <w:lastRenderedPageBreak/>
        <w:t xml:space="preserve">no need for separation between the merits and quantum. The trial proceeded on </w:t>
      </w:r>
      <w:r w:rsidR="00284B94">
        <w:rPr>
          <w:lang w:val="en-GB"/>
        </w:rPr>
        <w:t>the said</w:t>
      </w:r>
      <w:r w:rsidR="00284B94" w:rsidRPr="003C6300">
        <w:rPr>
          <w:lang w:val="en-GB"/>
        </w:rPr>
        <w:t xml:space="preserve"> </w:t>
      </w:r>
      <w:r w:rsidR="00491F60" w:rsidRPr="003C6300">
        <w:rPr>
          <w:lang w:val="en-GB"/>
        </w:rPr>
        <w:t>basis.</w:t>
      </w:r>
    </w:p>
    <w:p w14:paraId="0402984F" w14:textId="77777777" w:rsidR="00BD5B0E" w:rsidRPr="00BD5B0E" w:rsidRDefault="00BD5B0E" w:rsidP="002976F9">
      <w:pPr>
        <w:pStyle w:val="ListParagraph"/>
        <w:jc w:val="both"/>
        <w:rPr>
          <w:lang w:val="en-GB"/>
        </w:rPr>
      </w:pPr>
    </w:p>
    <w:p w14:paraId="7299BA14" w14:textId="77777777" w:rsidR="00622523" w:rsidRPr="002976F9" w:rsidRDefault="00EB4FAA" w:rsidP="002976F9">
      <w:pPr>
        <w:tabs>
          <w:tab w:val="left" w:pos="851"/>
        </w:tabs>
        <w:jc w:val="both"/>
        <w:rPr>
          <w:b/>
          <w:bCs/>
          <w:iCs/>
          <w:lang w:val="en-GB"/>
        </w:rPr>
      </w:pPr>
      <w:r w:rsidRPr="002976F9">
        <w:rPr>
          <w:b/>
          <w:bCs/>
          <w:iCs/>
          <w:lang w:val="en-GB"/>
        </w:rPr>
        <w:t>Plaintiff’s case</w:t>
      </w:r>
    </w:p>
    <w:p w14:paraId="0E8497FD" w14:textId="77777777" w:rsidR="00E80A65" w:rsidRPr="003F4800" w:rsidRDefault="00E80A65" w:rsidP="00D84932">
      <w:pPr>
        <w:pStyle w:val="ListParagraph"/>
        <w:tabs>
          <w:tab w:val="left" w:pos="851"/>
        </w:tabs>
        <w:jc w:val="both"/>
        <w:rPr>
          <w:i/>
          <w:u w:val="single"/>
          <w:lang w:val="en-GB"/>
        </w:rPr>
      </w:pPr>
    </w:p>
    <w:p w14:paraId="3CFE6931" w14:textId="059EF668" w:rsidR="00B85BAD" w:rsidRDefault="008C38CB" w:rsidP="002976F9">
      <w:pPr>
        <w:tabs>
          <w:tab w:val="left" w:pos="851"/>
        </w:tabs>
        <w:jc w:val="both"/>
        <w:rPr>
          <w:lang w:val="en-GB"/>
        </w:rPr>
      </w:pPr>
      <w:r>
        <w:rPr>
          <w:lang w:val="en-GB"/>
        </w:rPr>
        <w:t>[10</w:t>
      </w:r>
      <w:r w:rsidR="001A54D7">
        <w:rPr>
          <w:lang w:val="en-GB"/>
        </w:rPr>
        <w:t>]</w:t>
      </w:r>
      <w:r w:rsidR="001A54D7">
        <w:rPr>
          <w:lang w:val="en-GB"/>
        </w:rPr>
        <w:tab/>
      </w:r>
      <w:r w:rsidR="00284B94">
        <w:rPr>
          <w:lang w:val="en-GB"/>
        </w:rPr>
        <w:t>P</w:t>
      </w:r>
      <w:r w:rsidR="00284B94" w:rsidRPr="001A54D7">
        <w:rPr>
          <w:lang w:val="en-GB"/>
        </w:rPr>
        <w:t>rior to his arrest</w:t>
      </w:r>
      <w:r w:rsidR="00284B94">
        <w:rPr>
          <w:lang w:val="en-GB"/>
        </w:rPr>
        <w:t>, t</w:t>
      </w:r>
      <w:r w:rsidR="005C7262">
        <w:rPr>
          <w:lang w:val="en-GB"/>
        </w:rPr>
        <w:t>he P</w:t>
      </w:r>
      <w:r w:rsidR="00BD1FFE" w:rsidRPr="001A54D7">
        <w:rPr>
          <w:lang w:val="en-GB"/>
        </w:rPr>
        <w:t>laintiff</w:t>
      </w:r>
      <w:r w:rsidR="00284B94">
        <w:rPr>
          <w:lang w:val="en-GB"/>
        </w:rPr>
        <w:t>,</w:t>
      </w:r>
      <w:r w:rsidR="00263B50">
        <w:rPr>
          <w:lang w:val="en-GB"/>
        </w:rPr>
        <w:t xml:space="preserve"> </w:t>
      </w:r>
      <w:r w:rsidR="00284B94" w:rsidRPr="001A54D7">
        <w:rPr>
          <w:lang w:val="en-GB"/>
        </w:rPr>
        <w:t>a general labourer,</w:t>
      </w:r>
      <w:r w:rsidR="00263B50">
        <w:rPr>
          <w:lang w:val="en-GB"/>
        </w:rPr>
        <w:t xml:space="preserve"> </w:t>
      </w:r>
      <w:r w:rsidR="00BD1FFE" w:rsidRPr="001A54D7">
        <w:rPr>
          <w:lang w:val="en-GB"/>
        </w:rPr>
        <w:t xml:space="preserve">was employed by </w:t>
      </w:r>
      <w:proofErr w:type="spellStart"/>
      <w:r w:rsidR="00BD1FFE" w:rsidRPr="001A54D7">
        <w:rPr>
          <w:lang w:val="en-GB"/>
        </w:rPr>
        <w:t>Xelisile</w:t>
      </w:r>
      <w:proofErr w:type="spellEnd"/>
      <w:r w:rsidR="00BD1FFE" w:rsidRPr="001A54D7">
        <w:rPr>
          <w:lang w:val="en-GB"/>
        </w:rPr>
        <w:t xml:space="preserve"> Construction Company</w:t>
      </w:r>
      <w:r w:rsidR="00B85BAD">
        <w:rPr>
          <w:lang w:val="en-GB"/>
        </w:rPr>
        <w:t xml:space="preserve">, to repair </w:t>
      </w:r>
      <w:r>
        <w:rPr>
          <w:lang w:val="en-GB"/>
        </w:rPr>
        <w:t>water</w:t>
      </w:r>
      <w:r w:rsidRPr="001A54D7">
        <w:rPr>
          <w:lang w:val="en-GB"/>
        </w:rPr>
        <w:t xml:space="preserve"> pipes</w:t>
      </w:r>
      <w:r w:rsidR="00B85BAD">
        <w:rPr>
          <w:lang w:val="en-GB"/>
        </w:rPr>
        <w:t xml:space="preserve">. </w:t>
      </w:r>
      <w:r w:rsidR="00BD1FFE" w:rsidRPr="001A54D7">
        <w:rPr>
          <w:lang w:val="en-GB"/>
        </w:rPr>
        <w:t xml:space="preserve"> </w:t>
      </w:r>
      <w:r w:rsidR="00B85BAD">
        <w:rPr>
          <w:lang w:val="en-GB"/>
        </w:rPr>
        <w:t xml:space="preserve">The Plaintiff’s </w:t>
      </w:r>
      <w:r w:rsidR="00B85BAD" w:rsidRPr="001A54D7">
        <w:rPr>
          <w:lang w:val="en-GB"/>
        </w:rPr>
        <w:t>salary</w:t>
      </w:r>
      <w:r w:rsidR="00B85BAD" w:rsidRPr="001A54D7" w:rsidDel="00B85BAD">
        <w:rPr>
          <w:lang w:val="en-GB"/>
        </w:rPr>
        <w:t xml:space="preserve"> </w:t>
      </w:r>
      <w:r w:rsidR="00B85BAD" w:rsidRPr="001A54D7">
        <w:rPr>
          <w:lang w:val="en-GB"/>
        </w:rPr>
        <w:t>was</w:t>
      </w:r>
      <w:r w:rsidR="00B85BAD" w:rsidRPr="001A54D7" w:rsidDel="00B85BAD">
        <w:rPr>
          <w:lang w:val="en-GB"/>
        </w:rPr>
        <w:t xml:space="preserve"> </w:t>
      </w:r>
      <w:r w:rsidR="00B85BAD" w:rsidRPr="001A54D7">
        <w:rPr>
          <w:lang w:val="en-GB"/>
        </w:rPr>
        <w:t xml:space="preserve">R4700, 00 </w:t>
      </w:r>
      <w:r w:rsidR="00B85BAD">
        <w:rPr>
          <w:lang w:val="en-GB"/>
        </w:rPr>
        <w:t xml:space="preserve">per </w:t>
      </w:r>
      <w:r w:rsidR="00BD1FFE" w:rsidRPr="001A54D7">
        <w:rPr>
          <w:lang w:val="en-GB"/>
        </w:rPr>
        <w:t>month.</w:t>
      </w:r>
      <w:r w:rsidR="00E80A65" w:rsidRPr="001A54D7">
        <w:rPr>
          <w:lang w:val="en-GB"/>
        </w:rPr>
        <w:t xml:space="preserve"> </w:t>
      </w:r>
    </w:p>
    <w:p w14:paraId="4AF9BC1C" w14:textId="77777777" w:rsidR="00933806" w:rsidRDefault="00933806" w:rsidP="002976F9">
      <w:pPr>
        <w:tabs>
          <w:tab w:val="left" w:pos="851"/>
        </w:tabs>
        <w:jc w:val="both"/>
        <w:rPr>
          <w:lang w:val="en-GB"/>
        </w:rPr>
      </w:pPr>
    </w:p>
    <w:p w14:paraId="13843314" w14:textId="2BB32DC2" w:rsidR="007657B7" w:rsidRDefault="00B85BAD" w:rsidP="002976F9">
      <w:pPr>
        <w:tabs>
          <w:tab w:val="left" w:pos="851"/>
        </w:tabs>
        <w:jc w:val="both"/>
        <w:rPr>
          <w:lang w:val="en-GB"/>
        </w:rPr>
      </w:pPr>
      <w:r>
        <w:rPr>
          <w:lang w:val="en-GB"/>
        </w:rPr>
        <w:t>[</w:t>
      </w:r>
      <w:r w:rsidR="008C38CB">
        <w:rPr>
          <w:lang w:val="en-GB"/>
        </w:rPr>
        <w:t>11</w:t>
      </w:r>
      <w:r>
        <w:rPr>
          <w:lang w:val="en-GB"/>
        </w:rPr>
        <w:t>]</w:t>
      </w:r>
      <w:r>
        <w:rPr>
          <w:lang w:val="en-GB"/>
        </w:rPr>
        <w:tab/>
      </w:r>
      <w:r w:rsidR="00FC6BEA" w:rsidRPr="001A54D7">
        <w:rPr>
          <w:lang w:val="en-GB"/>
        </w:rPr>
        <w:t>O</w:t>
      </w:r>
      <w:r w:rsidR="00EB4FAA" w:rsidRPr="001A54D7">
        <w:rPr>
          <w:lang w:val="en-GB"/>
        </w:rPr>
        <w:t xml:space="preserve">n 11 </w:t>
      </w:r>
      <w:r w:rsidR="006C26F8" w:rsidRPr="001A54D7">
        <w:rPr>
          <w:lang w:val="en-GB"/>
        </w:rPr>
        <w:t xml:space="preserve">August </w:t>
      </w:r>
      <w:r w:rsidR="00FD4702">
        <w:rPr>
          <w:lang w:val="en-GB"/>
        </w:rPr>
        <w:t>2019</w:t>
      </w:r>
      <w:r w:rsidR="00FC6BEA" w:rsidRPr="001A54D7">
        <w:rPr>
          <w:lang w:val="en-GB"/>
        </w:rPr>
        <w:t xml:space="preserve">, </w:t>
      </w:r>
      <w:r w:rsidR="00EB4FAA" w:rsidRPr="001A54D7">
        <w:rPr>
          <w:lang w:val="en-GB"/>
        </w:rPr>
        <w:t xml:space="preserve">two </w:t>
      </w:r>
      <w:r>
        <w:rPr>
          <w:lang w:val="en-GB"/>
        </w:rPr>
        <w:t>p</w:t>
      </w:r>
      <w:r w:rsidRPr="001A54D7">
        <w:rPr>
          <w:lang w:val="en-GB"/>
        </w:rPr>
        <w:t xml:space="preserve">olice </w:t>
      </w:r>
      <w:r w:rsidR="00EB4FAA" w:rsidRPr="001A54D7">
        <w:rPr>
          <w:lang w:val="en-GB"/>
        </w:rPr>
        <w:t xml:space="preserve">officers </w:t>
      </w:r>
      <w:r>
        <w:rPr>
          <w:lang w:val="en-GB"/>
        </w:rPr>
        <w:t>arrived at his home</w:t>
      </w:r>
      <w:r w:rsidR="00EB4FAA" w:rsidRPr="001A54D7">
        <w:rPr>
          <w:lang w:val="en-GB"/>
        </w:rPr>
        <w:t xml:space="preserve">. </w:t>
      </w:r>
      <w:r>
        <w:rPr>
          <w:lang w:val="en-GB"/>
        </w:rPr>
        <w:t xml:space="preserve">He was </w:t>
      </w:r>
      <w:r w:rsidR="00851C86" w:rsidRPr="001A54D7">
        <w:rPr>
          <w:lang w:val="en-GB"/>
        </w:rPr>
        <w:t xml:space="preserve">instructed to go </w:t>
      </w:r>
      <w:r>
        <w:rPr>
          <w:lang w:val="en-GB"/>
        </w:rPr>
        <w:t>to</w:t>
      </w:r>
      <w:r w:rsidRPr="001A54D7">
        <w:rPr>
          <w:lang w:val="en-GB"/>
        </w:rPr>
        <w:t xml:space="preserve"> </w:t>
      </w:r>
      <w:r w:rsidR="00851C86" w:rsidRPr="001A54D7">
        <w:rPr>
          <w:lang w:val="en-GB"/>
        </w:rPr>
        <w:t xml:space="preserve">a police </w:t>
      </w:r>
      <w:r w:rsidR="006F4737">
        <w:rPr>
          <w:lang w:val="en-GB"/>
        </w:rPr>
        <w:t>vehicle</w:t>
      </w:r>
      <w:r>
        <w:rPr>
          <w:lang w:val="en-GB"/>
        </w:rPr>
        <w:t>. The police drove with</w:t>
      </w:r>
      <w:r w:rsidR="00851C86" w:rsidRPr="001A54D7">
        <w:rPr>
          <w:lang w:val="en-GB"/>
        </w:rPr>
        <w:t xml:space="preserve"> </w:t>
      </w:r>
      <w:r>
        <w:rPr>
          <w:lang w:val="en-GB"/>
        </w:rPr>
        <w:t xml:space="preserve">him and two </w:t>
      </w:r>
      <w:r w:rsidR="00A01F90">
        <w:rPr>
          <w:lang w:val="en-GB"/>
        </w:rPr>
        <w:t>minor</w:t>
      </w:r>
      <w:r>
        <w:rPr>
          <w:lang w:val="en-GB"/>
        </w:rPr>
        <w:t xml:space="preserve"> relatives of his, </w:t>
      </w:r>
      <w:r w:rsidR="00A01F90">
        <w:rPr>
          <w:lang w:val="en-GB"/>
        </w:rPr>
        <w:t xml:space="preserve">by the names of </w:t>
      </w:r>
      <w:r>
        <w:rPr>
          <w:lang w:val="en-GB"/>
        </w:rPr>
        <w:t>S</w:t>
      </w:r>
      <w:r w:rsidR="00A01F90">
        <w:rPr>
          <w:lang w:val="en-GB"/>
        </w:rPr>
        <w:t xml:space="preserve"> […]</w:t>
      </w:r>
      <w:r w:rsidR="001C4009">
        <w:rPr>
          <w:lang w:val="en-GB"/>
        </w:rPr>
        <w:t xml:space="preserve"> and P</w:t>
      </w:r>
      <w:r w:rsidR="00A01F90">
        <w:rPr>
          <w:lang w:val="en-GB"/>
        </w:rPr>
        <w:t xml:space="preserve"> […] (‘the two minor children’)</w:t>
      </w:r>
      <w:r>
        <w:rPr>
          <w:lang w:val="en-GB"/>
        </w:rPr>
        <w:t xml:space="preserve"> </w:t>
      </w:r>
      <w:r w:rsidR="00851C86" w:rsidRPr="001A54D7">
        <w:rPr>
          <w:lang w:val="en-GB"/>
        </w:rPr>
        <w:t xml:space="preserve">to Ntlaza </w:t>
      </w:r>
      <w:r w:rsidR="006C26F8" w:rsidRPr="001A54D7">
        <w:rPr>
          <w:lang w:val="en-GB"/>
        </w:rPr>
        <w:t>Hospital</w:t>
      </w:r>
      <w:r w:rsidR="00851C86" w:rsidRPr="001A54D7">
        <w:rPr>
          <w:lang w:val="en-GB"/>
        </w:rPr>
        <w:t xml:space="preserve">. </w:t>
      </w:r>
      <w:r w:rsidR="007657B7">
        <w:rPr>
          <w:lang w:val="en-GB"/>
        </w:rPr>
        <w:t>Upon their arrival a</w:t>
      </w:r>
      <w:r w:rsidR="00851C86" w:rsidRPr="001A54D7">
        <w:rPr>
          <w:lang w:val="en-GB"/>
        </w:rPr>
        <w:t xml:space="preserve">t </w:t>
      </w:r>
      <w:proofErr w:type="spellStart"/>
      <w:r>
        <w:rPr>
          <w:lang w:val="en-GB"/>
        </w:rPr>
        <w:t>Ntlaza</w:t>
      </w:r>
      <w:proofErr w:type="spellEnd"/>
      <w:r w:rsidRPr="001A54D7">
        <w:rPr>
          <w:lang w:val="en-GB"/>
        </w:rPr>
        <w:t xml:space="preserve"> </w:t>
      </w:r>
      <w:r w:rsidR="00851C86" w:rsidRPr="001A54D7">
        <w:rPr>
          <w:lang w:val="en-GB"/>
        </w:rPr>
        <w:t>hosp</w:t>
      </w:r>
      <w:r w:rsidR="00D30C96" w:rsidRPr="001A54D7">
        <w:rPr>
          <w:lang w:val="en-GB"/>
        </w:rPr>
        <w:t xml:space="preserve">ital, </w:t>
      </w:r>
      <w:r w:rsidR="00FD4702">
        <w:rPr>
          <w:lang w:val="en-GB"/>
        </w:rPr>
        <w:t xml:space="preserve">the two minor children and one police officer </w:t>
      </w:r>
      <w:r w:rsidR="00FD4702" w:rsidRPr="001A54D7">
        <w:rPr>
          <w:lang w:val="en-GB"/>
        </w:rPr>
        <w:t>entered</w:t>
      </w:r>
      <w:r w:rsidR="00851C86" w:rsidRPr="001A54D7">
        <w:rPr>
          <w:lang w:val="en-GB"/>
        </w:rPr>
        <w:t xml:space="preserve"> the hospital grounds</w:t>
      </w:r>
      <w:r w:rsidR="00FD4702">
        <w:rPr>
          <w:lang w:val="en-GB"/>
        </w:rPr>
        <w:t xml:space="preserve"> whilst he was left with one police officer in the car.</w:t>
      </w:r>
      <w:r w:rsidR="00851C86" w:rsidRPr="001A54D7">
        <w:rPr>
          <w:lang w:val="en-GB"/>
        </w:rPr>
        <w:t xml:space="preserve"> </w:t>
      </w:r>
    </w:p>
    <w:p w14:paraId="69B255D6" w14:textId="77777777" w:rsidR="00933806" w:rsidRDefault="00933806" w:rsidP="002976F9">
      <w:pPr>
        <w:tabs>
          <w:tab w:val="left" w:pos="851"/>
        </w:tabs>
        <w:jc w:val="both"/>
        <w:rPr>
          <w:lang w:val="en-GB"/>
        </w:rPr>
      </w:pPr>
    </w:p>
    <w:p w14:paraId="0FC78F2B" w14:textId="63820C3C" w:rsidR="00D30C96" w:rsidRPr="001A54D7" w:rsidRDefault="007657B7" w:rsidP="002976F9">
      <w:pPr>
        <w:tabs>
          <w:tab w:val="left" w:pos="851"/>
        </w:tabs>
        <w:jc w:val="both"/>
        <w:rPr>
          <w:lang w:val="en-GB"/>
        </w:rPr>
      </w:pPr>
      <w:r>
        <w:rPr>
          <w:lang w:val="en-GB"/>
        </w:rPr>
        <w:t>[</w:t>
      </w:r>
      <w:r w:rsidR="008C38CB">
        <w:rPr>
          <w:lang w:val="en-GB"/>
        </w:rPr>
        <w:t>12</w:t>
      </w:r>
      <w:r>
        <w:rPr>
          <w:lang w:val="en-GB"/>
        </w:rPr>
        <w:t>]</w:t>
      </w:r>
      <w:r>
        <w:rPr>
          <w:lang w:val="en-GB"/>
        </w:rPr>
        <w:tab/>
        <w:t>A</w:t>
      </w:r>
      <w:r w:rsidRPr="001A54D7">
        <w:rPr>
          <w:lang w:val="en-GB"/>
        </w:rPr>
        <w:t xml:space="preserve"> police officer </w:t>
      </w:r>
      <w:r w:rsidR="00851C86" w:rsidRPr="001A54D7">
        <w:rPr>
          <w:lang w:val="en-GB"/>
        </w:rPr>
        <w:t xml:space="preserve">informed </w:t>
      </w:r>
      <w:r>
        <w:rPr>
          <w:lang w:val="en-GB"/>
        </w:rPr>
        <w:t>him</w:t>
      </w:r>
      <w:r w:rsidR="00851C86" w:rsidRPr="001A54D7">
        <w:rPr>
          <w:lang w:val="en-GB"/>
        </w:rPr>
        <w:t xml:space="preserve"> that he was </w:t>
      </w:r>
      <w:r>
        <w:rPr>
          <w:lang w:val="en-GB"/>
        </w:rPr>
        <w:t>a</w:t>
      </w:r>
      <w:r w:rsidRPr="001A54D7">
        <w:rPr>
          <w:lang w:val="en-GB"/>
        </w:rPr>
        <w:t xml:space="preserve"> </w:t>
      </w:r>
      <w:r w:rsidR="00851C86" w:rsidRPr="001A54D7">
        <w:rPr>
          <w:lang w:val="en-GB"/>
        </w:rPr>
        <w:t xml:space="preserve">subject of </w:t>
      </w:r>
      <w:r w:rsidR="006F4737">
        <w:rPr>
          <w:lang w:val="en-GB"/>
        </w:rPr>
        <w:t xml:space="preserve">a </w:t>
      </w:r>
      <w:r w:rsidR="00851C86" w:rsidRPr="001A54D7">
        <w:rPr>
          <w:lang w:val="en-GB"/>
        </w:rPr>
        <w:t xml:space="preserve">rape </w:t>
      </w:r>
      <w:r>
        <w:rPr>
          <w:lang w:val="en-GB"/>
        </w:rPr>
        <w:t>charge.</w:t>
      </w:r>
      <w:r w:rsidR="00851C86" w:rsidRPr="001A54D7">
        <w:rPr>
          <w:lang w:val="en-GB"/>
        </w:rPr>
        <w:t xml:space="preserve"> </w:t>
      </w:r>
      <w:r w:rsidR="00E734FB">
        <w:rPr>
          <w:lang w:val="en-GB"/>
        </w:rPr>
        <w:t xml:space="preserve">He </w:t>
      </w:r>
      <w:r w:rsidR="00E734FB" w:rsidRPr="001A54D7">
        <w:rPr>
          <w:lang w:val="en-GB"/>
        </w:rPr>
        <w:t>categorically</w:t>
      </w:r>
      <w:r w:rsidR="00C77C8D" w:rsidRPr="001A54D7">
        <w:rPr>
          <w:lang w:val="en-GB"/>
        </w:rPr>
        <w:t xml:space="preserve"> denied</w:t>
      </w:r>
      <w:r>
        <w:rPr>
          <w:lang w:val="en-GB"/>
        </w:rPr>
        <w:t xml:space="preserve"> the allegation</w:t>
      </w:r>
      <w:r w:rsidR="00C77C8D" w:rsidRPr="001A54D7">
        <w:rPr>
          <w:lang w:val="en-GB"/>
        </w:rPr>
        <w:t xml:space="preserve">.  </w:t>
      </w:r>
      <w:r>
        <w:rPr>
          <w:lang w:val="en-GB"/>
        </w:rPr>
        <w:t>They were then taken</w:t>
      </w:r>
      <w:r w:rsidR="00D30C96" w:rsidRPr="001A54D7">
        <w:rPr>
          <w:lang w:val="en-GB"/>
        </w:rPr>
        <w:t xml:space="preserve"> home.</w:t>
      </w:r>
    </w:p>
    <w:p w14:paraId="75CC1852" w14:textId="77777777" w:rsidR="00D30C96" w:rsidRPr="003F4800" w:rsidRDefault="00D30C96" w:rsidP="00D84932">
      <w:pPr>
        <w:pStyle w:val="ListParagraph"/>
        <w:tabs>
          <w:tab w:val="left" w:pos="851"/>
        </w:tabs>
        <w:jc w:val="both"/>
        <w:rPr>
          <w:lang w:val="en-GB"/>
        </w:rPr>
      </w:pPr>
    </w:p>
    <w:p w14:paraId="21054DCB" w14:textId="4A99477F" w:rsidR="00C2185C" w:rsidRDefault="00263B50" w:rsidP="002976F9">
      <w:pPr>
        <w:tabs>
          <w:tab w:val="left" w:pos="851"/>
        </w:tabs>
        <w:jc w:val="both"/>
        <w:rPr>
          <w:lang w:val="en-GB"/>
        </w:rPr>
      </w:pPr>
      <w:r>
        <w:rPr>
          <w:lang w:val="en-GB"/>
        </w:rPr>
        <w:t>[1</w:t>
      </w:r>
      <w:r w:rsidR="008C38CB">
        <w:rPr>
          <w:lang w:val="en-GB"/>
        </w:rPr>
        <w:t>3</w:t>
      </w:r>
      <w:r w:rsidR="001A54D7">
        <w:rPr>
          <w:lang w:val="en-GB"/>
        </w:rPr>
        <w:t>]</w:t>
      </w:r>
      <w:r w:rsidR="001A54D7">
        <w:rPr>
          <w:lang w:val="en-GB"/>
        </w:rPr>
        <w:tab/>
      </w:r>
      <w:r w:rsidR="003B2856" w:rsidRPr="001A54D7">
        <w:rPr>
          <w:lang w:val="en-GB"/>
        </w:rPr>
        <w:t>On the following day</w:t>
      </w:r>
      <w:r w:rsidR="00A74CC0">
        <w:rPr>
          <w:lang w:val="en-GB"/>
        </w:rPr>
        <w:t>,</w:t>
      </w:r>
      <w:r w:rsidR="003B2856" w:rsidRPr="001A54D7">
        <w:rPr>
          <w:lang w:val="en-GB"/>
        </w:rPr>
        <w:t xml:space="preserve"> </w:t>
      </w:r>
      <w:r w:rsidR="00C2185C">
        <w:rPr>
          <w:lang w:val="en-GB"/>
        </w:rPr>
        <w:t>an i</w:t>
      </w:r>
      <w:r w:rsidR="00C2185C" w:rsidRPr="001A54D7">
        <w:rPr>
          <w:lang w:val="en-GB"/>
        </w:rPr>
        <w:t xml:space="preserve">nvestigating </w:t>
      </w:r>
      <w:r w:rsidR="00C2185C">
        <w:rPr>
          <w:lang w:val="en-GB"/>
        </w:rPr>
        <w:t>of</w:t>
      </w:r>
      <w:r w:rsidR="00C2185C" w:rsidRPr="001A54D7">
        <w:rPr>
          <w:lang w:val="en-GB"/>
        </w:rPr>
        <w:t>ficer</w:t>
      </w:r>
      <w:r w:rsidR="00C2185C">
        <w:rPr>
          <w:lang w:val="en-GB"/>
        </w:rPr>
        <w:t xml:space="preserve"> by the name of </w:t>
      </w:r>
      <w:proofErr w:type="spellStart"/>
      <w:r w:rsidR="00C2185C" w:rsidRPr="001A54D7">
        <w:rPr>
          <w:lang w:val="en-GB"/>
        </w:rPr>
        <w:t>Qolomashe</w:t>
      </w:r>
      <w:proofErr w:type="spellEnd"/>
      <w:r w:rsidR="00C2185C" w:rsidRPr="001A54D7">
        <w:rPr>
          <w:lang w:val="en-GB"/>
        </w:rPr>
        <w:t xml:space="preserve"> </w:t>
      </w:r>
      <w:r w:rsidR="00C2185C">
        <w:rPr>
          <w:lang w:val="en-GB"/>
        </w:rPr>
        <w:t xml:space="preserve">took him </w:t>
      </w:r>
      <w:r w:rsidR="00C2185C" w:rsidRPr="001A54D7">
        <w:rPr>
          <w:lang w:val="en-GB"/>
        </w:rPr>
        <w:t>to the police station</w:t>
      </w:r>
      <w:r w:rsidR="00840DD3" w:rsidRPr="001A54D7">
        <w:rPr>
          <w:lang w:val="en-GB"/>
        </w:rPr>
        <w:t>.</w:t>
      </w:r>
      <w:r w:rsidR="003A62FA" w:rsidRPr="001A54D7">
        <w:rPr>
          <w:lang w:val="en-GB"/>
        </w:rPr>
        <w:t xml:space="preserve"> </w:t>
      </w:r>
      <w:r w:rsidR="00C2185C">
        <w:rPr>
          <w:lang w:val="en-GB"/>
        </w:rPr>
        <w:t>From the police station</w:t>
      </w:r>
      <w:r w:rsidR="006F4737">
        <w:rPr>
          <w:lang w:val="en-GB"/>
        </w:rPr>
        <w:t xml:space="preserve"> he was </w:t>
      </w:r>
      <w:r w:rsidR="00C2185C">
        <w:rPr>
          <w:lang w:val="en-GB"/>
        </w:rPr>
        <w:t xml:space="preserve">taken </w:t>
      </w:r>
      <w:r w:rsidR="00C2185C" w:rsidRPr="001A54D7">
        <w:rPr>
          <w:lang w:val="en-GB"/>
        </w:rPr>
        <w:t>to</w:t>
      </w:r>
      <w:r w:rsidR="003A62FA" w:rsidRPr="001A54D7">
        <w:rPr>
          <w:lang w:val="en-GB"/>
        </w:rPr>
        <w:t xml:space="preserve"> Wellington </w:t>
      </w:r>
      <w:r w:rsidR="006F4737">
        <w:rPr>
          <w:lang w:val="en-GB"/>
        </w:rPr>
        <w:t>p</w:t>
      </w:r>
      <w:r w:rsidR="006F4737" w:rsidRPr="001A54D7">
        <w:rPr>
          <w:lang w:val="en-GB"/>
        </w:rPr>
        <w:t>rison</w:t>
      </w:r>
      <w:r w:rsidR="006F4737">
        <w:rPr>
          <w:lang w:val="en-GB"/>
        </w:rPr>
        <w:t xml:space="preserve">. </w:t>
      </w:r>
      <w:r w:rsidR="00615963">
        <w:rPr>
          <w:lang w:val="en-GB"/>
        </w:rPr>
        <w:t xml:space="preserve"> At the prison,</w:t>
      </w:r>
      <w:r w:rsidR="00615963" w:rsidRPr="001A54D7">
        <w:rPr>
          <w:lang w:val="en-GB"/>
        </w:rPr>
        <w:t xml:space="preserve"> two</w:t>
      </w:r>
      <w:r w:rsidR="00615963">
        <w:rPr>
          <w:lang w:val="en-GB"/>
        </w:rPr>
        <w:t xml:space="preserve"> buccal swabs were taken from him</w:t>
      </w:r>
      <w:r w:rsidR="00E80A65" w:rsidRPr="001A54D7">
        <w:rPr>
          <w:lang w:val="en-GB"/>
        </w:rPr>
        <w:t xml:space="preserve">. </w:t>
      </w:r>
    </w:p>
    <w:p w14:paraId="7993E082" w14:textId="77777777" w:rsidR="00933806" w:rsidRDefault="00933806" w:rsidP="002976F9">
      <w:pPr>
        <w:tabs>
          <w:tab w:val="left" w:pos="851"/>
        </w:tabs>
        <w:jc w:val="both"/>
        <w:rPr>
          <w:lang w:val="en-GB"/>
        </w:rPr>
      </w:pPr>
    </w:p>
    <w:p w14:paraId="31CDE85E" w14:textId="3F1BC64D" w:rsidR="00EB4FAA" w:rsidRPr="001A54D7" w:rsidRDefault="00C2185C" w:rsidP="002976F9">
      <w:pPr>
        <w:tabs>
          <w:tab w:val="left" w:pos="851"/>
        </w:tabs>
        <w:jc w:val="both"/>
        <w:rPr>
          <w:lang w:val="en-GB"/>
        </w:rPr>
      </w:pPr>
      <w:r>
        <w:rPr>
          <w:lang w:val="en-GB"/>
        </w:rPr>
        <w:t>[</w:t>
      </w:r>
      <w:r w:rsidR="008C38CB">
        <w:rPr>
          <w:lang w:val="en-GB"/>
        </w:rPr>
        <w:t>14</w:t>
      </w:r>
      <w:r>
        <w:rPr>
          <w:lang w:val="en-GB"/>
        </w:rPr>
        <w:t>]</w:t>
      </w:r>
      <w:r>
        <w:rPr>
          <w:lang w:val="en-GB"/>
        </w:rPr>
        <w:tab/>
      </w:r>
      <w:r w:rsidR="00E80A65" w:rsidRPr="001A54D7">
        <w:rPr>
          <w:lang w:val="en-GB"/>
        </w:rPr>
        <w:t>Although he</w:t>
      </w:r>
      <w:r w:rsidR="003A62FA" w:rsidRPr="001A54D7">
        <w:rPr>
          <w:lang w:val="en-GB"/>
        </w:rPr>
        <w:t xml:space="preserve"> could not remember his first appearance in court, he was </w:t>
      </w:r>
      <w:r w:rsidR="00781F88" w:rsidRPr="001A54D7">
        <w:rPr>
          <w:lang w:val="en-GB"/>
        </w:rPr>
        <w:t>however</w:t>
      </w:r>
      <w:r w:rsidR="003A62FA" w:rsidRPr="001A54D7">
        <w:rPr>
          <w:lang w:val="en-GB"/>
        </w:rPr>
        <w:t xml:space="preserve"> certain that he occasionally attend</w:t>
      </w:r>
      <w:r w:rsidR="003000D7" w:rsidRPr="001A54D7">
        <w:rPr>
          <w:lang w:val="en-GB"/>
        </w:rPr>
        <w:t>ed</w:t>
      </w:r>
      <w:r w:rsidR="003A62FA" w:rsidRPr="001A54D7">
        <w:rPr>
          <w:lang w:val="en-GB"/>
        </w:rPr>
        <w:t xml:space="preserve"> court proceedings</w:t>
      </w:r>
      <w:r w:rsidR="005C7262">
        <w:rPr>
          <w:lang w:val="en-GB"/>
        </w:rPr>
        <w:t xml:space="preserve">. </w:t>
      </w:r>
      <w:r w:rsidR="00ED4127">
        <w:rPr>
          <w:lang w:val="en-GB"/>
        </w:rPr>
        <w:t xml:space="preserve">During his appearances in court, </w:t>
      </w:r>
      <w:r w:rsidR="00781F88" w:rsidRPr="001A54D7">
        <w:rPr>
          <w:lang w:val="en-GB"/>
        </w:rPr>
        <w:t xml:space="preserve">the </w:t>
      </w:r>
      <w:r w:rsidR="00D57C4B" w:rsidRPr="001A54D7">
        <w:rPr>
          <w:lang w:val="en-GB"/>
        </w:rPr>
        <w:t xml:space="preserve">Magistrate </w:t>
      </w:r>
      <w:r w:rsidR="003A62FA" w:rsidRPr="001A54D7">
        <w:rPr>
          <w:lang w:val="en-GB"/>
        </w:rPr>
        <w:t>informed</w:t>
      </w:r>
      <w:r w:rsidR="00E80A65" w:rsidRPr="001A54D7">
        <w:rPr>
          <w:lang w:val="en-GB"/>
        </w:rPr>
        <w:t xml:space="preserve"> him of his right to apply for </w:t>
      </w:r>
      <w:r w:rsidR="00F67376">
        <w:rPr>
          <w:lang w:val="en-GB"/>
        </w:rPr>
        <w:t>bail</w:t>
      </w:r>
      <w:r w:rsidR="00E80A65" w:rsidRPr="001A54D7">
        <w:rPr>
          <w:lang w:val="en-GB"/>
        </w:rPr>
        <w:t xml:space="preserve"> </w:t>
      </w:r>
      <w:r w:rsidR="003000D7" w:rsidRPr="001A54D7">
        <w:rPr>
          <w:lang w:val="en-GB"/>
        </w:rPr>
        <w:t>but he</w:t>
      </w:r>
      <w:r w:rsidR="00781F88" w:rsidRPr="001A54D7">
        <w:rPr>
          <w:lang w:val="en-GB"/>
        </w:rPr>
        <w:t xml:space="preserve"> relinquished his right on </w:t>
      </w:r>
      <w:r w:rsidR="00142FDC" w:rsidRPr="001A54D7">
        <w:rPr>
          <w:lang w:val="en-GB"/>
        </w:rPr>
        <w:t>several</w:t>
      </w:r>
      <w:r w:rsidR="00E80A65" w:rsidRPr="001A54D7">
        <w:rPr>
          <w:lang w:val="en-GB"/>
        </w:rPr>
        <w:t xml:space="preserve"> occasion</w:t>
      </w:r>
      <w:r w:rsidR="00781F88" w:rsidRPr="001A54D7">
        <w:rPr>
          <w:lang w:val="en-GB"/>
        </w:rPr>
        <w:t>s</w:t>
      </w:r>
      <w:r w:rsidR="00E80A65" w:rsidRPr="001A54D7">
        <w:rPr>
          <w:lang w:val="en-GB"/>
        </w:rPr>
        <w:t>.</w:t>
      </w:r>
    </w:p>
    <w:p w14:paraId="43582B40" w14:textId="77777777" w:rsidR="00E80A65" w:rsidRPr="003F4800" w:rsidRDefault="00E80A65" w:rsidP="002976F9">
      <w:pPr>
        <w:pStyle w:val="ListParagraph"/>
        <w:jc w:val="both"/>
        <w:rPr>
          <w:lang w:val="en-GB"/>
        </w:rPr>
      </w:pPr>
    </w:p>
    <w:p w14:paraId="28800C92" w14:textId="15244B2F" w:rsidR="00E80A65" w:rsidRPr="001A54D7" w:rsidRDefault="00263B50" w:rsidP="002976F9">
      <w:pPr>
        <w:tabs>
          <w:tab w:val="left" w:pos="851"/>
        </w:tabs>
        <w:jc w:val="both"/>
        <w:rPr>
          <w:lang w:val="en-GB"/>
        </w:rPr>
      </w:pPr>
      <w:r>
        <w:rPr>
          <w:lang w:val="en-GB"/>
        </w:rPr>
        <w:t>[1</w:t>
      </w:r>
      <w:r w:rsidR="008C38CB">
        <w:rPr>
          <w:lang w:val="en-GB"/>
        </w:rPr>
        <w:t>5</w:t>
      </w:r>
      <w:r w:rsidR="001A54D7">
        <w:rPr>
          <w:lang w:val="en-GB"/>
        </w:rPr>
        <w:t>]</w:t>
      </w:r>
      <w:r w:rsidR="001A54D7">
        <w:rPr>
          <w:lang w:val="en-GB"/>
        </w:rPr>
        <w:tab/>
      </w:r>
      <w:r w:rsidR="005C7262">
        <w:rPr>
          <w:lang w:val="en-GB"/>
        </w:rPr>
        <w:t>The P</w:t>
      </w:r>
      <w:r w:rsidR="0075047B" w:rsidRPr="001A54D7">
        <w:rPr>
          <w:lang w:val="en-GB"/>
        </w:rPr>
        <w:t>laintiff described</w:t>
      </w:r>
      <w:r w:rsidR="00ED4127">
        <w:rPr>
          <w:lang w:val="en-GB"/>
        </w:rPr>
        <w:t xml:space="preserve"> his </w:t>
      </w:r>
      <w:r w:rsidR="00BB73B2">
        <w:rPr>
          <w:lang w:val="en-GB"/>
        </w:rPr>
        <w:t>incarceration</w:t>
      </w:r>
      <w:r w:rsidR="00ED4127">
        <w:rPr>
          <w:lang w:val="en-GB"/>
        </w:rPr>
        <w:t xml:space="preserve"> in prison as </w:t>
      </w:r>
      <w:r w:rsidR="005B44D6" w:rsidRPr="001A54D7">
        <w:rPr>
          <w:lang w:val="en-GB"/>
        </w:rPr>
        <w:t>appalling.</w:t>
      </w:r>
      <w:r w:rsidR="0075047B" w:rsidRPr="001A54D7">
        <w:rPr>
          <w:lang w:val="en-GB"/>
        </w:rPr>
        <w:t xml:space="preserve"> </w:t>
      </w:r>
      <w:r w:rsidR="00ED4127">
        <w:rPr>
          <w:lang w:val="en-GB"/>
        </w:rPr>
        <w:t>According to him h</w:t>
      </w:r>
      <w:r w:rsidR="00ED4127" w:rsidRPr="001A54D7">
        <w:rPr>
          <w:lang w:val="en-GB"/>
        </w:rPr>
        <w:t xml:space="preserve">e </w:t>
      </w:r>
      <w:r w:rsidR="0075047B" w:rsidRPr="001A54D7">
        <w:rPr>
          <w:lang w:val="en-GB"/>
        </w:rPr>
        <w:t xml:space="preserve">was </w:t>
      </w:r>
      <w:r w:rsidR="00ED4127">
        <w:rPr>
          <w:lang w:val="en-GB"/>
        </w:rPr>
        <w:t xml:space="preserve">kept </w:t>
      </w:r>
      <w:r w:rsidR="0075047B" w:rsidRPr="001A54D7">
        <w:rPr>
          <w:lang w:val="en-GB"/>
        </w:rPr>
        <w:t xml:space="preserve">in a cramped cell that could hold no more than </w:t>
      </w:r>
      <w:r w:rsidR="006C26F8" w:rsidRPr="001A54D7">
        <w:rPr>
          <w:lang w:val="en-GB"/>
        </w:rPr>
        <w:t>seventy-four</w:t>
      </w:r>
      <w:r w:rsidR="0075047B" w:rsidRPr="001A54D7">
        <w:rPr>
          <w:lang w:val="en-GB"/>
        </w:rPr>
        <w:t xml:space="preserve"> inmates. He </w:t>
      </w:r>
      <w:r w:rsidR="00ED4127">
        <w:rPr>
          <w:lang w:val="en-GB"/>
        </w:rPr>
        <w:t xml:space="preserve">had a fight </w:t>
      </w:r>
      <w:r w:rsidR="00ED4127" w:rsidRPr="001A54D7">
        <w:rPr>
          <w:lang w:val="en-GB"/>
        </w:rPr>
        <w:t>with</w:t>
      </w:r>
      <w:r w:rsidR="0075047B" w:rsidRPr="001A54D7">
        <w:rPr>
          <w:lang w:val="en-GB"/>
        </w:rPr>
        <w:t xml:space="preserve"> another </w:t>
      </w:r>
      <w:r w:rsidR="00ED4127">
        <w:rPr>
          <w:lang w:val="en-GB"/>
        </w:rPr>
        <w:t>inmate</w:t>
      </w:r>
      <w:r w:rsidR="00ED4127" w:rsidRPr="001A54D7">
        <w:rPr>
          <w:lang w:val="en-GB"/>
        </w:rPr>
        <w:t xml:space="preserve"> </w:t>
      </w:r>
      <w:r w:rsidR="0075047B" w:rsidRPr="001A54D7">
        <w:rPr>
          <w:lang w:val="en-GB"/>
        </w:rPr>
        <w:t xml:space="preserve">that left him with a broken jaw. </w:t>
      </w:r>
      <w:r w:rsidR="00ED4127">
        <w:rPr>
          <w:lang w:val="en-GB"/>
        </w:rPr>
        <w:t>H</w:t>
      </w:r>
      <w:r w:rsidR="00ED4127" w:rsidRPr="001A54D7">
        <w:rPr>
          <w:lang w:val="en-GB"/>
        </w:rPr>
        <w:t xml:space="preserve">e was visibly upset </w:t>
      </w:r>
      <w:r w:rsidR="00ED4127">
        <w:rPr>
          <w:lang w:val="en-GB"/>
        </w:rPr>
        <w:t>w</w:t>
      </w:r>
      <w:r w:rsidR="00ED4127" w:rsidRPr="001A54D7">
        <w:rPr>
          <w:lang w:val="en-GB"/>
        </w:rPr>
        <w:t xml:space="preserve">hen </w:t>
      </w:r>
      <w:r w:rsidR="0075047B" w:rsidRPr="001A54D7">
        <w:rPr>
          <w:lang w:val="en-GB"/>
        </w:rPr>
        <w:t xml:space="preserve">he </w:t>
      </w:r>
      <w:r w:rsidR="00ED4127">
        <w:rPr>
          <w:lang w:val="en-GB"/>
        </w:rPr>
        <w:t>testified about</w:t>
      </w:r>
      <w:r w:rsidR="0075047B" w:rsidRPr="001A54D7">
        <w:rPr>
          <w:lang w:val="en-GB"/>
        </w:rPr>
        <w:t xml:space="preserve"> his mother </w:t>
      </w:r>
      <w:r w:rsidR="00ED4127">
        <w:rPr>
          <w:lang w:val="en-GB"/>
        </w:rPr>
        <w:t xml:space="preserve">who </w:t>
      </w:r>
      <w:r w:rsidR="0075047B" w:rsidRPr="001A54D7">
        <w:rPr>
          <w:lang w:val="en-GB"/>
        </w:rPr>
        <w:t xml:space="preserve">passed away while he was </w:t>
      </w:r>
      <w:r w:rsidR="006C26F8" w:rsidRPr="001A54D7">
        <w:rPr>
          <w:lang w:val="en-GB"/>
        </w:rPr>
        <w:t xml:space="preserve">in </w:t>
      </w:r>
      <w:r w:rsidR="00C77C8D" w:rsidRPr="001A54D7">
        <w:rPr>
          <w:lang w:val="en-GB"/>
        </w:rPr>
        <w:t>prison</w:t>
      </w:r>
      <w:r w:rsidR="00ED4127">
        <w:rPr>
          <w:lang w:val="en-GB"/>
        </w:rPr>
        <w:t xml:space="preserve">. </w:t>
      </w:r>
      <w:r w:rsidR="00FD4702">
        <w:rPr>
          <w:lang w:val="en-GB"/>
        </w:rPr>
        <w:t>The Plaintiff claimed</w:t>
      </w:r>
      <w:r w:rsidR="00ED4127">
        <w:rPr>
          <w:lang w:val="en-GB"/>
        </w:rPr>
        <w:t xml:space="preserve"> </w:t>
      </w:r>
      <w:r w:rsidR="0075047B" w:rsidRPr="001A54D7">
        <w:rPr>
          <w:lang w:val="en-GB"/>
        </w:rPr>
        <w:t xml:space="preserve">that he </w:t>
      </w:r>
      <w:r w:rsidR="00A01F90">
        <w:rPr>
          <w:lang w:val="en-GB"/>
        </w:rPr>
        <w:t xml:space="preserve">was </w:t>
      </w:r>
      <w:r w:rsidR="0075047B" w:rsidRPr="001A54D7">
        <w:rPr>
          <w:lang w:val="en-GB"/>
        </w:rPr>
        <w:t xml:space="preserve">never </w:t>
      </w:r>
      <w:r w:rsidR="00A01F90">
        <w:rPr>
          <w:lang w:val="en-GB"/>
        </w:rPr>
        <w:t>told</w:t>
      </w:r>
      <w:r w:rsidR="0075047B" w:rsidRPr="001A54D7">
        <w:rPr>
          <w:lang w:val="en-GB"/>
        </w:rPr>
        <w:t xml:space="preserve"> how she </w:t>
      </w:r>
      <w:r w:rsidR="00560211" w:rsidRPr="001A54D7">
        <w:rPr>
          <w:lang w:val="en-GB"/>
        </w:rPr>
        <w:t>died.</w:t>
      </w:r>
    </w:p>
    <w:p w14:paraId="536EFA1B" w14:textId="77777777" w:rsidR="0075047B" w:rsidRPr="003F4800" w:rsidRDefault="0075047B" w:rsidP="002976F9">
      <w:pPr>
        <w:pStyle w:val="ListParagraph"/>
        <w:jc w:val="both"/>
        <w:rPr>
          <w:lang w:val="en-GB"/>
        </w:rPr>
      </w:pPr>
    </w:p>
    <w:p w14:paraId="637DB912" w14:textId="77777777" w:rsidR="0075047B" w:rsidRPr="002976F9" w:rsidRDefault="0075047B" w:rsidP="002976F9">
      <w:pPr>
        <w:tabs>
          <w:tab w:val="left" w:pos="851"/>
        </w:tabs>
        <w:jc w:val="both"/>
        <w:rPr>
          <w:b/>
          <w:bCs/>
          <w:iCs/>
          <w:lang w:val="en-GB"/>
        </w:rPr>
      </w:pPr>
      <w:r w:rsidRPr="002976F9">
        <w:rPr>
          <w:b/>
          <w:bCs/>
          <w:iCs/>
          <w:lang w:val="en-GB"/>
        </w:rPr>
        <w:t>Cross-examination</w:t>
      </w:r>
    </w:p>
    <w:p w14:paraId="6931CA84" w14:textId="77777777" w:rsidR="00072691" w:rsidRPr="003F4800" w:rsidRDefault="00072691" w:rsidP="002976F9">
      <w:pPr>
        <w:pStyle w:val="ListParagraph"/>
        <w:jc w:val="both"/>
        <w:rPr>
          <w:lang w:val="en-GB"/>
        </w:rPr>
      </w:pPr>
    </w:p>
    <w:p w14:paraId="6B0D0E78" w14:textId="0EEBC427" w:rsidR="002775D0" w:rsidRDefault="00263B50" w:rsidP="002775D0">
      <w:pPr>
        <w:tabs>
          <w:tab w:val="left" w:pos="851"/>
        </w:tabs>
        <w:ind w:left="851" w:hanging="851"/>
        <w:jc w:val="both"/>
        <w:rPr>
          <w:lang w:val="en-GB"/>
        </w:rPr>
      </w:pPr>
      <w:r>
        <w:rPr>
          <w:lang w:val="en-GB"/>
        </w:rPr>
        <w:t>[1</w:t>
      </w:r>
      <w:r w:rsidR="008C38CB">
        <w:rPr>
          <w:lang w:val="en-GB"/>
        </w:rPr>
        <w:t>6</w:t>
      </w:r>
      <w:r w:rsidR="002775D0">
        <w:rPr>
          <w:lang w:val="en-GB"/>
        </w:rPr>
        <w:t>]    During</w:t>
      </w:r>
      <w:r w:rsidR="00A01F90">
        <w:rPr>
          <w:lang w:val="en-GB"/>
        </w:rPr>
        <w:t xml:space="preserve"> cross examination, the</w:t>
      </w:r>
      <w:r w:rsidR="001E472A">
        <w:rPr>
          <w:lang w:val="en-GB"/>
        </w:rPr>
        <w:t xml:space="preserve"> following facts were never placed in dispute</w:t>
      </w:r>
      <w:r w:rsidR="002775D0">
        <w:rPr>
          <w:lang w:val="en-GB"/>
        </w:rPr>
        <w:t xml:space="preserve">,   </w:t>
      </w:r>
    </w:p>
    <w:p w14:paraId="0484FAF4" w14:textId="2832FA18" w:rsidR="002775D0" w:rsidRDefault="002775D0" w:rsidP="002775D0">
      <w:pPr>
        <w:tabs>
          <w:tab w:val="left" w:pos="851"/>
        </w:tabs>
        <w:ind w:left="851" w:hanging="851"/>
        <w:jc w:val="both"/>
        <w:rPr>
          <w:lang w:val="en-GB"/>
        </w:rPr>
      </w:pPr>
      <w:r>
        <w:rPr>
          <w:lang w:val="en-GB"/>
        </w:rPr>
        <w:t xml:space="preserve">          that:</w:t>
      </w:r>
    </w:p>
    <w:p w14:paraId="0F688F12" w14:textId="1963B6DE" w:rsidR="001E472A" w:rsidRPr="002775D0" w:rsidRDefault="002775D0" w:rsidP="002775D0">
      <w:pPr>
        <w:pStyle w:val="ListParagraph"/>
        <w:numPr>
          <w:ilvl w:val="0"/>
          <w:numId w:val="17"/>
        </w:numPr>
        <w:tabs>
          <w:tab w:val="left" w:pos="851"/>
        </w:tabs>
        <w:jc w:val="both"/>
        <w:rPr>
          <w:lang w:val="en-GB"/>
        </w:rPr>
      </w:pPr>
      <w:r>
        <w:rPr>
          <w:lang w:val="en-GB"/>
        </w:rPr>
        <w:t>t</w:t>
      </w:r>
      <w:r w:rsidR="00F67376">
        <w:rPr>
          <w:lang w:val="en-GB"/>
        </w:rPr>
        <w:t>he victim is the Plaintiff’s</w:t>
      </w:r>
      <w:r w:rsidR="001E472A" w:rsidRPr="002775D0">
        <w:rPr>
          <w:lang w:val="en-GB"/>
        </w:rPr>
        <w:t xml:space="preserve"> niece.</w:t>
      </w:r>
    </w:p>
    <w:p w14:paraId="3529D7FA" w14:textId="5D548F3A" w:rsidR="001E472A" w:rsidRDefault="001E472A" w:rsidP="001E472A">
      <w:pPr>
        <w:pStyle w:val="ListParagraph"/>
        <w:numPr>
          <w:ilvl w:val="0"/>
          <w:numId w:val="17"/>
        </w:numPr>
        <w:tabs>
          <w:tab w:val="left" w:pos="851"/>
        </w:tabs>
        <w:jc w:val="both"/>
        <w:rPr>
          <w:lang w:val="en-GB"/>
        </w:rPr>
      </w:pPr>
      <w:r>
        <w:rPr>
          <w:lang w:val="en-GB"/>
        </w:rPr>
        <w:t xml:space="preserve"> the alleged</w:t>
      </w:r>
      <w:r w:rsidRPr="003463A5">
        <w:rPr>
          <w:lang w:val="en-GB"/>
        </w:rPr>
        <w:t xml:space="preserve"> child </w:t>
      </w:r>
      <w:r>
        <w:rPr>
          <w:lang w:val="en-GB"/>
        </w:rPr>
        <w:t xml:space="preserve">victim </w:t>
      </w:r>
      <w:r w:rsidR="00F67376">
        <w:rPr>
          <w:lang w:val="en-GB"/>
        </w:rPr>
        <w:t>positively identified the Plaintiff</w:t>
      </w:r>
      <w:r w:rsidRPr="003463A5">
        <w:rPr>
          <w:lang w:val="en-GB"/>
        </w:rPr>
        <w:t xml:space="preserve"> as </w:t>
      </w:r>
      <w:r>
        <w:rPr>
          <w:lang w:val="en-GB"/>
        </w:rPr>
        <w:t>the</w:t>
      </w:r>
      <w:r w:rsidRPr="003463A5">
        <w:rPr>
          <w:lang w:val="en-GB"/>
        </w:rPr>
        <w:t xml:space="preserve"> person who raped her.</w:t>
      </w:r>
    </w:p>
    <w:p w14:paraId="3D0F05A8" w14:textId="00D29855" w:rsidR="001E472A" w:rsidRDefault="001E472A" w:rsidP="001E472A">
      <w:pPr>
        <w:pStyle w:val="ListParagraph"/>
        <w:numPr>
          <w:ilvl w:val="0"/>
          <w:numId w:val="17"/>
        </w:numPr>
        <w:tabs>
          <w:tab w:val="left" w:pos="851"/>
        </w:tabs>
        <w:jc w:val="both"/>
        <w:rPr>
          <w:lang w:val="en-GB"/>
        </w:rPr>
      </w:pPr>
      <w:r>
        <w:rPr>
          <w:lang w:val="en-GB"/>
        </w:rPr>
        <w:t>the two</w:t>
      </w:r>
      <w:r w:rsidRPr="003463A5">
        <w:rPr>
          <w:lang w:val="en-GB"/>
        </w:rPr>
        <w:t xml:space="preserve"> minor children mad</w:t>
      </w:r>
      <w:r w:rsidR="00F67376">
        <w:rPr>
          <w:lang w:val="en-GB"/>
        </w:rPr>
        <w:t>e statements which implicate the Plaintiff</w:t>
      </w:r>
      <w:r w:rsidRPr="003463A5">
        <w:rPr>
          <w:lang w:val="en-GB"/>
        </w:rPr>
        <w:t xml:space="preserve"> to the commission of the offence. </w:t>
      </w:r>
    </w:p>
    <w:p w14:paraId="7C46EF84" w14:textId="77777777" w:rsidR="001E472A" w:rsidRDefault="001E472A" w:rsidP="001E472A">
      <w:pPr>
        <w:pStyle w:val="ListParagraph"/>
        <w:numPr>
          <w:ilvl w:val="0"/>
          <w:numId w:val="17"/>
        </w:numPr>
        <w:tabs>
          <w:tab w:val="left" w:pos="851"/>
        </w:tabs>
        <w:jc w:val="both"/>
        <w:rPr>
          <w:lang w:val="en-GB"/>
        </w:rPr>
      </w:pPr>
      <w:r w:rsidRPr="004B13CE">
        <w:rPr>
          <w:lang w:val="en-GB"/>
        </w:rPr>
        <w:t xml:space="preserve">the </w:t>
      </w:r>
      <w:r>
        <w:rPr>
          <w:lang w:val="en-GB"/>
        </w:rPr>
        <w:t>victim</w:t>
      </w:r>
      <w:r w:rsidRPr="004B13CE">
        <w:rPr>
          <w:lang w:val="en-GB"/>
        </w:rPr>
        <w:t xml:space="preserve"> was allegedly raped on 11 August 2019. </w:t>
      </w:r>
    </w:p>
    <w:p w14:paraId="6A9E1FD4" w14:textId="77777777" w:rsidR="001E472A" w:rsidRDefault="001E472A" w:rsidP="001E472A">
      <w:pPr>
        <w:pStyle w:val="ListParagraph"/>
        <w:numPr>
          <w:ilvl w:val="0"/>
          <w:numId w:val="17"/>
        </w:numPr>
        <w:tabs>
          <w:tab w:val="left" w:pos="851"/>
        </w:tabs>
        <w:jc w:val="both"/>
        <w:rPr>
          <w:lang w:val="en-GB"/>
        </w:rPr>
      </w:pPr>
      <w:r w:rsidRPr="00B10BE9">
        <w:rPr>
          <w:lang w:val="en-GB"/>
        </w:rPr>
        <w:t xml:space="preserve">the doctor who examined the victim on 12 August 2019, noted bruising in the vagina, a bleeding hymen and blood stains in the underwear. </w:t>
      </w:r>
    </w:p>
    <w:p w14:paraId="77758A26" w14:textId="77777777" w:rsidR="00F67376" w:rsidRDefault="00F67376" w:rsidP="00F67376">
      <w:pPr>
        <w:pStyle w:val="ListParagraph"/>
        <w:tabs>
          <w:tab w:val="left" w:pos="851"/>
        </w:tabs>
        <w:ind w:left="1569"/>
        <w:jc w:val="both"/>
        <w:rPr>
          <w:lang w:val="en-GB"/>
        </w:rPr>
      </w:pPr>
    </w:p>
    <w:p w14:paraId="75D6305D" w14:textId="78D07D42" w:rsidR="001E472A" w:rsidRDefault="001E472A" w:rsidP="001E472A">
      <w:pPr>
        <w:tabs>
          <w:tab w:val="left" w:pos="851"/>
        </w:tabs>
        <w:jc w:val="both"/>
        <w:rPr>
          <w:lang w:val="en-GB"/>
        </w:rPr>
      </w:pPr>
      <w:r>
        <w:rPr>
          <w:lang w:val="en-GB"/>
        </w:rPr>
        <w:t>[17] In addition,</w:t>
      </w:r>
      <w:r w:rsidRPr="00B10BE9">
        <w:rPr>
          <w:lang w:val="en-GB"/>
        </w:rPr>
        <w:t xml:space="preserve"> Plaintiff</w:t>
      </w:r>
      <w:r>
        <w:rPr>
          <w:lang w:val="en-GB"/>
        </w:rPr>
        <w:t xml:space="preserve"> made va</w:t>
      </w:r>
      <w:r w:rsidR="00F67376">
        <w:rPr>
          <w:lang w:val="en-GB"/>
        </w:rPr>
        <w:t>rious crucial concessions</w:t>
      </w:r>
      <w:r>
        <w:rPr>
          <w:lang w:val="en-GB"/>
        </w:rPr>
        <w:t>:</w:t>
      </w:r>
    </w:p>
    <w:p w14:paraId="61352688" w14:textId="77777777" w:rsidR="00F67376" w:rsidRDefault="00F67376" w:rsidP="001E472A">
      <w:pPr>
        <w:tabs>
          <w:tab w:val="left" w:pos="851"/>
        </w:tabs>
        <w:jc w:val="both"/>
        <w:rPr>
          <w:lang w:val="en-GB"/>
        </w:rPr>
      </w:pPr>
    </w:p>
    <w:p w14:paraId="7179A92F" w14:textId="7A56E068" w:rsidR="003463A5" w:rsidRDefault="002A2E11" w:rsidP="003463A5">
      <w:pPr>
        <w:pStyle w:val="ListParagraph"/>
        <w:numPr>
          <w:ilvl w:val="0"/>
          <w:numId w:val="17"/>
        </w:numPr>
        <w:tabs>
          <w:tab w:val="left" w:pos="851"/>
        </w:tabs>
        <w:jc w:val="both"/>
        <w:rPr>
          <w:lang w:val="en-GB"/>
        </w:rPr>
      </w:pPr>
      <w:r w:rsidRPr="003463A5">
        <w:rPr>
          <w:lang w:val="en-GB"/>
        </w:rPr>
        <w:t xml:space="preserve">he </w:t>
      </w:r>
      <w:r w:rsidR="003463A5">
        <w:rPr>
          <w:lang w:val="en-GB"/>
        </w:rPr>
        <w:t>elected</w:t>
      </w:r>
      <w:r w:rsidRPr="003463A5">
        <w:rPr>
          <w:lang w:val="en-GB"/>
        </w:rPr>
        <w:t xml:space="preserve"> </w:t>
      </w:r>
      <w:r w:rsidR="003463A5">
        <w:rPr>
          <w:lang w:val="en-GB"/>
        </w:rPr>
        <w:t xml:space="preserve">not to bring </w:t>
      </w:r>
      <w:r w:rsidR="004E5746">
        <w:rPr>
          <w:lang w:val="en-GB"/>
        </w:rPr>
        <w:t>a</w:t>
      </w:r>
      <w:r w:rsidR="004E5746" w:rsidRPr="003463A5">
        <w:rPr>
          <w:lang w:val="en-GB"/>
        </w:rPr>
        <w:t xml:space="preserve"> bail</w:t>
      </w:r>
      <w:r w:rsidRPr="003463A5">
        <w:rPr>
          <w:lang w:val="en-GB"/>
        </w:rPr>
        <w:t xml:space="preserve"> applicatio</w:t>
      </w:r>
      <w:r w:rsidR="003463A5">
        <w:rPr>
          <w:lang w:val="en-GB"/>
        </w:rPr>
        <w:t>n</w:t>
      </w:r>
      <w:r w:rsidR="00072691" w:rsidRPr="003463A5">
        <w:rPr>
          <w:lang w:val="en-GB"/>
        </w:rPr>
        <w:t>.</w:t>
      </w:r>
      <w:r w:rsidRPr="003463A5">
        <w:rPr>
          <w:lang w:val="en-GB"/>
        </w:rPr>
        <w:t xml:space="preserve"> </w:t>
      </w:r>
    </w:p>
    <w:p w14:paraId="3103F7B2" w14:textId="16500001" w:rsidR="009E176B" w:rsidRDefault="004B13CE" w:rsidP="004B13CE">
      <w:pPr>
        <w:pStyle w:val="ListParagraph"/>
        <w:numPr>
          <w:ilvl w:val="0"/>
          <w:numId w:val="17"/>
        </w:numPr>
        <w:tabs>
          <w:tab w:val="left" w:pos="851"/>
        </w:tabs>
        <w:jc w:val="both"/>
        <w:rPr>
          <w:lang w:val="en-GB"/>
        </w:rPr>
      </w:pPr>
      <w:r>
        <w:rPr>
          <w:lang w:val="en-GB"/>
        </w:rPr>
        <w:t xml:space="preserve">the victim’s statement reveals that </w:t>
      </w:r>
      <w:r w:rsidR="00D347AD" w:rsidRPr="004B13CE">
        <w:rPr>
          <w:lang w:val="en-GB"/>
        </w:rPr>
        <w:t xml:space="preserve">he </w:t>
      </w:r>
      <w:r w:rsidR="00C77C8D" w:rsidRPr="004B13CE">
        <w:rPr>
          <w:lang w:val="en-GB"/>
        </w:rPr>
        <w:t xml:space="preserve">raped her whilst they </w:t>
      </w:r>
      <w:r>
        <w:rPr>
          <w:lang w:val="en-GB"/>
        </w:rPr>
        <w:t xml:space="preserve">were at </w:t>
      </w:r>
      <w:r w:rsidR="00C77C8D" w:rsidRPr="004B13CE">
        <w:rPr>
          <w:lang w:val="en-GB"/>
        </w:rPr>
        <w:t>the forest to collec</w:t>
      </w:r>
      <w:r w:rsidR="009E176B">
        <w:rPr>
          <w:lang w:val="en-GB"/>
        </w:rPr>
        <w:t>t</w:t>
      </w:r>
      <w:r w:rsidR="00C77C8D" w:rsidRPr="004B13CE">
        <w:rPr>
          <w:lang w:val="en-GB"/>
        </w:rPr>
        <w:t xml:space="preserve"> livestock</w:t>
      </w:r>
      <w:r w:rsidR="009E176B">
        <w:rPr>
          <w:lang w:val="en-GB"/>
        </w:rPr>
        <w:t xml:space="preserve">. </w:t>
      </w:r>
    </w:p>
    <w:p w14:paraId="0686E3B8" w14:textId="40AE8DA1" w:rsidR="009E176B" w:rsidRDefault="00D57C4B" w:rsidP="004B13CE">
      <w:pPr>
        <w:pStyle w:val="ListParagraph"/>
        <w:numPr>
          <w:ilvl w:val="0"/>
          <w:numId w:val="17"/>
        </w:numPr>
        <w:tabs>
          <w:tab w:val="left" w:pos="851"/>
        </w:tabs>
        <w:jc w:val="both"/>
        <w:rPr>
          <w:lang w:val="en-GB"/>
        </w:rPr>
      </w:pPr>
      <w:r w:rsidRPr="004B13CE">
        <w:rPr>
          <w:lang w:val="en-GB"/>
        </w:rPr>
        <w:t>he had gone to the forest to retrieve livestock but</w:t>
      </w:r>
      <w:r w:rsidR="00DB3FDA" w:rsidRPr="004B13CE">
        <w:rPr>
          <w:lang w:val="en-GB"/>
        </w:rPr>
        <w:t xml:space="preserve"> denied being</w:t>
      </w:r>
      <w:r w:rsidR="003767FC" w:rsidRPr="004B13CE">
        <w:rPr>
          <w:lang w:val="en-GB"/>
        </w:rPr>
        <w:t xml:space="preserve"> </w:t>
      </w:r>
      <w:r w:rsidR="009E176B">
        <w:rPr>
          <w:lang w:val="en-GB"/>
        </w:rPr>
        <w:t xml:space="preserve">in the </w:t>
      </w:r>
      <w:r w:rsidR="00834200">
        <w:rPr>
          <w:lang w:val="en-GB"/>
        </w:rPr>
        <w:t>presence</w:t>
      </w:r>
      <w:r w:rsidR="009E176B">
        <w:rPr>
          <w:lang w:val="en-GB"/>
        </w:rPr>
        <w:t xml:space="preserve"> of the victim or that he</w:t>
      </w:r>
      <w:r w:rsidR="00CD3FA3" w:rsidRPr="004B13CE">
        <w:rPr>
          <w:lang w:val="en-GB"/>
        </w:rPr>
        <w:t xml:space="preserve"> sexually assaulted her</w:t>
      </w:r>
      <w:r w:rsidRPr="004B13CE">
        <w:rPr>
          <w:lang w:val="en-GB"/>
        </w:rPr>
        <w:t xml:space="preserve">. </w:t>
      </w:r>
    </w:p>
    <w:p w14:paraId="1944E837" w14:textId="67AF5D1B" w:rsidR="009E176B" w:rsidRDefault="00D55924" w:rsidP="004B13CE">
      <w:pPr>
        <w:pStyle w:val="ListParagraph"/>
        <w:numPr>
          <w:ilvl w:val="0"/>
          <w:numId w:val="17"/>
        </w:numPr>
        <w:tabs>
          <w:tab w:val="left" w:pos="851"/>
        </w:tabs>
        <w:jc w:val="both"/>
        <w:rPr>
          <w:lang w:val="en-GB"/>
        </w:rPr>
      </w:pPr>
      <w:r w:rsidRPr="004B13CE">
        <w:rPr>
          <w:lang w:val="en-GB"/>
        </w:rPr>
        <w:t xml:space="preserve"> </w:t>
      </w:r>
      <w:r w:rsidR="00F714F5">
        <w:rPr>
          <w:lang w:val="en-GB"/>
        </w:rPr>
        <w:t>given</w:t>
      </w:r>
      <w:r w:rsidR="00F714F5" w:rsidRPr="004B13CE">
        <w:rPr>
          <w:lang w:val="en-GB"/>
        </w:rPr>
        <w:t xml:space="preserve"> </w:t>
      </w:r>
      <w:r w:rsidR="00E0506E" w:rsidRPr="004B13CE">
        <w:rPr>
          <w:lang w:val="en-GB"/>
        </w:rPr>
        <w:t xml:space="preserve">the evidence </w:t>
      </w:r>
      <w:r w:rsidR="009E176B">
        <w:rPr>
          <w:lang w:val="en-GB"/>
        </w:rPr>
        <w:t>implicating</w:t>
      </w:r>
      <w:r w:rsidR="00E0506E" w:rsidRPr="004B13CE">
        <w:rPr>
          <w:lang w:val="en-GB"/>
        </w:rPr>
        <w:t xml:space="preserve"> him as a perpetrator of </w:t>
      </w:r>
      <w:r w:rsidR="006C26F8" w:rsidRPr="004B13CE">
        <w:rPr>
          <w:lang w:val="en-GB"/>
        </w:rPr>
        <w:t xml:space="preserve">the </w:t>
      </w:r>
      <w:r w:rsidR="00E0506E" w:rsidRPr="004B13CE">
        <w:rPr>
          <w:lang w:val="en-GB"/>
        </w:rPr>
        <w:t xml:space="preserve">crime, </w:t>
      </w:r>
      <w:r w:rsidR="00263B50">
        <w:rPr>
          <w:lang w:val="en-GB"/>
        </w:rPr>
        <w:t>his arrest and de</w:t>
      </w:r>
      <w:r w:rsidR="00834200">
        <w:rPr>
          <w:lang w:val="en-GB"/>
        </w:rPr>
        <w:t>tention were justified</w:t>
      </w:r>
      <w:r w:rsidR="00E0506E" w:rsidRPr="004B13CE">
        <w:rPr>
          <w:lang w:val="en-GB"/>
        </w:rPr>
        <w:t xml:space="preserve">. </w:t>
      </w:r>
    </w:p>
    <w:p w14:paraId="014A1266" w14:textId="1DD025D4" w:rsidR="00834200" w:rsidRDefault="00E0506E" w:rsidP="004B13CE">
      <w:pPr>
        <w:pStyle w:val="ListParagraph"/>
        <w:numPr>
          <w:ilvl w:val="0"/>
          <w:numId w:val="17"/>
        </w:numPr>
        <w:tabs>
          <w:tab w:val="left" w:pos="851"/>
        </w:tabs>
        <w:jc w:val="both"/>
        <w:rPr>
          <w:lang w:val="en-GB"/>
        </w:rPr>
      </w:pPr>
      <w:r w:rsidRPr="004B13CE">
        <w:rPr>
          <w:lang w:val="en-GB"/>
        </w:rPr>
        <w:t xml:space="preserve"> </w:t>
      </w:r>
      <w:r w:rsidR="00EE0425">
        <w:rPr>
          <w:lang w:val="en-GB"/>
        </w:rPr>
        <w:t>considering</w:t>
      </w:r>
      <w:r w:rsidR="009E176B">
        <w:rPr>
          <w:lang w:val="en-GB"/>
        </w:rPr>
        <w:t xml:space="preserve"> the nature of the case and the evidence against him</w:t>
      </w:r>
      <w:r w:rsidR="00834200">
        <w:rPr>
          <w:lang w:val="en-GB"/>
        </w:rPr>
        <w:t>,</w:t>
      </w:r>
      <w:r w:rsidRPr="004B13CE">
        <w:rPr>
          <w:lang w:val="en-GB"/>
        </w:rPr>
        <w:t xml:space="preserve"> the </w:t>
      </w:r>
      <w:r w:rsidR="00834200">
        <w:rPr>
          <w:lang w:val="en-GB"/>
        </w:rPr>
        <w:t>State</w:t>
      </w:r>
      <w:r w:rsidRPr="004B13CE">
        <w:rPr>
          <w:lang w:val="en-GB"/>
        </w:rPr>
        <w:t xml:space="preserve"> was justified to </w:t>
      </w:r>
      <w:r w:rsidR="001645C7" w:rsidRPr="004B13CE">
        <w:rPr>
          <w:lang w:val="en-GB"/>
        </w:rPr>
        <w:t>prosecute</w:t>
      </w:r>
      <w:r w:rsidRPr="004B13CE">
        <w:rPr>
          <w:lang w:val="en-GB"/>
        </w:rPr>
        <w:t xml:space="preserve"> him.</w:t>
      </w:r>
      <w:r w:rsidR="00584B15" w:rsidRPr="004B13CE">
        <w:rPr>
          <w:lang w:val="en-GB"/>
        </w:rPr>
        <w:t xml:space="preserve"> </w:t>
      </w:r>
    </w:p>
    <w:p w14:paraId="20C74352" w14:textId="5DA7A45D" w:rsidR="00410DE1" w:rsidRDefault="00584B15" w:rsidP="004B13CE">
      <w:pPr>
        <w:pStyle w:val="ListParagraph"/>
        <w:numPr>
          <w:ilvl w:val="0"/>
          <w:numId w:val="17"/>
        </w:numPr>
        <w:tabs>
          <w:tab w:val="left" w:pos="851"/>
        </w:tabs>
        <w:jc w:val="both"/>
        <w:rPr>
          <w:lang w:val="en-GB"/>
        </w:rPr>
      </w:pPr>
      <w:r w:rsidRPr="004B13CE">
        <w:rPr>
          <w:lang w:val="en-GB"/>
        </w:rPr>
        <w:t>his</w:t>
      </w:r>
      <w:r w:rsidR="003B2856" w:rsidRPr="004B13CE">
        <w:rPr>
          <w:lang w:val="en-GB"/>
        </w:rPr>
        <w:t xml:space="preserve"> criminal</w:t>
      </w:r>
      <w:r w:rsidRPr="004B13CE">
        <w:rPr>
          <w:lang w:val="en-GB"/>
        </w:rPr>
        <w:t xml:space="preserve"> case </w:t>
      </w:r>
      <w:r w:rsidR="00834200">
        <w:rPr>
          <w:lang w:val="en-GB"/>
        </w:rPr>
        <w:t>i</w:t>
      </w:r>
      <w:r w:rsidRPr="004B13CE">
        <w:rPr>
          <w:lang w:val="en-GB"/>
        </w:rPr>
        <w:t xml:space="preserve">s still pending at </w:t>
      </w:r>
      <w:proofErr w:type="spellStart"/>
      <w:r w:rsidRPr="004B13CE">
        <w:rPr>
          <w:lang w:val="en-GB"/>
        </w:rPr>
        <w:t>Ngqeleni</w:t>
      </w:r>
      <w:proofErr w:type="spellEnd"/>
      <w:r w:rsidRPr="004B13CE">
        <w:rPr>
          <w:lang w:val="en-GB"/>
        </w:rPr>
        <w:t xml:space="preserve"> Regional </w:t>
      </w:r>
      <w:r w:rsidR="00D84932" w:rsidRPr="004B13CE">
        <w:rPr>
          <w:lang w:val="en-GB"/>
        </w:rPr>
        <w:t>Court,</w:t>
      </w:r>
      <w:r w:rsidRPr="004B13CE">
        <w:rPr>
          <w:lang w:val="en-GB"/>
        </w:rPr>
        <w:t xml:space="preserve"> </w:t>
      </w:r>
      <w:r w:rsidR="00834200">
        <w:rPr>
          <w:lang w:val="en-GB"/>
        </w:rPr>
        <w:t>his next date of appearance was scheduled for</w:t>
      </w:r>
      <w:r w:rsidRPr="004B13CE">
        <w:rPr>
          <w:lang w:val="en-GB"/>
        </w:rPr>
        <w:t xml:space="preserve"> 23 June 2023.</w:t>
      </w:r>
      <w:r w:rsidR="00E0506E" w:rsidRPr="004B13CE">
        <w:rPr>
          <w:lang w:val="en-GB"/>
        </w:rPr>
        <w:t xml:space="preserve"> </w:t>
      </w:r>
    </w:p>
    <w:p w14:paraId="36332822" w14:textId="4A5E7041" w:rsidR="00D57C4B" w:rsidRPr="00410DE1" w:rsidRDefault="00216D0E" w:rsidP="00216D0E">
      <w:pPr>
        <w:tabs>
          <w:tab w:val="left" w:pos="851"/>
        </w:tabs>
        <w:jc w:val="both"/>
        <w:rPr>
          <w:lang w:val="en-GB"/>
        </w:rPr>
      </w:pPr>
      <w:r>
        <w:rPr>
          <w:lang w:val="en-GB"/>
        </w:rPr>
        <w:t>[</w:t>
      </w:r>
      <w:r w:rsidR="001E472A">
        <w:rPr>
          <w:lang w:val="en-GB"/>
        </w:rPr>
        <w:t>18</w:t>
      </w:r>
      <w:r>
        <w:rPr>
          <w:lang w:val="en-GB"/>
        </w:rPr>
        <w:t>]</w:t>
      </w:r>
      <w:r>
        <w:rPr>
          <w:lang w:val="en-GB"/>
        </w:rPr>
        <w:tab/>
      </w:r>
      <w:r w:rsidR="00E0506E" w:rsidRPr="00410DE1">
        <w:rPr>
          <w:lang w:val="en-GB"/>
        </w:rPr>
        <w:t>With this evidence</w:t>
      </w:r>
      <w:r w:rsidR="00D347AD" w:rsidRPr="00410DE1">
        <w:rPr>
          <w:lang w:val="en-GB"/>
        </w:rPr>
        <w:t xml:space="preserve">, the </w:t>
      </w:r>
      <w:r w:rsidR="00E936B3">
        <w:rPr>
          <w:lang w:val="en-GB"/>
        </w:rPr>
        <w:t>P</w:t>
      </w:r>
      <w:r w:rsidR="00E936B3" w:rsidRPr="00410DE1">
        <w:rPr>
          <w:lang w:val="en-GB"/>
        </w:rPr>
        <w:t xml:space="preserve">laintiff </w:t>
      </w:r>
      <w:r w:rsidR="00C202DA" w:rsidRPr="00410DE1">
        <w:rPr>
          <w:lang w:val="en-GB"/>
        </w:rPr>
        <w:t>closed his case.</w:t>
      </w:r>
    </w:p>
    <w:p w14:paraId="639775B1" w14:textId="77777777" w:rsidR="00840DD3" w:rsidRPr="003F4800" w:rsidRDefault="00840DD3" w:rsidP="00D84932">
      <w:pPr>
        <w:pStyle w:val="ListParagraph"/>
        <w:tabs>
          <w:tab w:val="left" w:pos="851"/>
        </w:tabs>
        <w:jc w:val="both"/>
        <w:rPr>
          <w:i/>
          <w:u w:val="single"/>
          <w:lang w:val="en-GB"/>
        </w:rPr>
      </w:pPr>
    </w:p>
    <w:p w14:paraId="448B033B" w14:textId="77777777" w:rsidR="00E0506E" w:rsidRPr="002976F9" w:rsidRDefault="00E0506E" w:rsidP="002976F9">
      <w:pPr>
        <w:tabs>
          <w:tab w:val="left" w:pos="851"/>
        </w:tabs>
        <w:jc w:val="both"/>
        <w:rPr>
          <w:b/>
          <w:bCs/>
          <w:iCs/>
          <w:lang w:val="en-GB"/>
        </w:rPr>
      </w:pPr>
      <w:r w:rsidRPr="002976F9">
        <w:rPr>
          <w:b/>
          <w:bCs/>
          <w:iCs/>
          <w:lang w:val="en-GB"/>
        </w:rPr>
        <w:t>Absolution from instance</w:t>
      </w:r>
    </w:p>
    <w:p w14:paraId="2407D8E9" w14:textId="77777777" w:rsidR="004251E3" w:rsidRPr="003F4800" w:rsidRDefault="004251E3" w:rsidP="00D84932">
      <w:pPr>
        <w:pStyle w:val="ListParagraph"/>
        <w:tabs>
          <w:tab w:val="left" w:pos="851"/>
        </w:tabs>
        <w:jc w:val="both"/>
        <w:rPr>
          <w:i/>
          <w:u w:val="single"/>
          <w:lang w:val="en-GB"/>
        </w:rPr>
      </w:pPr>
    </w:p>
    <w:p w14:paraId="5C191A64" w14:textId="7B8CE80C" w:rsidR="00E0506E" w:rsidRPr="001A54D7" w:rsidRDefault="00263B50" w:rsidP="002976F9">
      <w:pPr>
        <w:tabs>
          <w:tab w:val="left" w:pos="851"/>
        </w:tabs>
        <w:jc w:val="both"/>
        <w:rPr>
          <w:lang w:val="en-GB"/>
        </w:rPr>
      </w:pPr>
      <w:r>
        <w:rPr>
          <w:lang w:val="en-GB"/>
        </w:rPr>
        <w:t>[1</w:t>
      </w:r>
      <w:r w:rsidR="001E472A">
        <w:rPr>
          <w:lang w:val="en-GB"/>
        </w:rPr>
        <w:t>9</w:t>
      </w:r>
      <w:r w:rsidR="001A54D7">
        <w:rPr>
          <w:lang w:val="en-GB"/>
        </w:rPr>
        <w:t>]</w:t>
      </w:r>
      <w:r w:rsidR="001A54D7">
        <w:rPr>
          <w:lang w:val="en-GB"/>
        </w:rPr>
        <w:tab/>
      </w:r>
      <w:r w:rsidR="00840DD3" w:rsidRPr="001A54D7">
        <w:rPr>
          <w:lang w:val="en-GB"/>
        </w:rPr>
        <w:t>F</w:t>
      </w:r>
      <w:r w:rsidR="00CD3FA3">
        <w:rPr>
          <w:lang w:val="en-GB"/>
        </w:rPr>
        <w:t>ollowing the conclusion of the P</w:t>
      </w:r>
      <w:r w:rsidR="00840DD3" w:rsidRPr="001A54D7">
        <w:rPr>
          <w:lang w:val="en-GB"/>
        </w:rPr>
        <w:t xml:space="preserve">laintiff’s case, </w:t>
      </w:r>
      <w:r w:rsidR="006C26F8" w:rsidRPr="001A54D7">
        <w:rPr>
          <w:lang w:val="en-GB"/>
        </w:rPr>
        <w:t xml:space="preserve">the </w:t>
      </w:r>
      <w:r w:rsidR="00840DD3" w:rsidRPr="001A54D7">
        <w:rPr>
          <w:lang w:val="en-GB"/>
        </w:rPr>
        <w:t xml:space="preserve">Defendants’ counsel informed the court of his preparedness to request </w:t>
      </w:r>
      <w:r w:rsidR="006C26F8" w:rsidRPr="001A54D7">
        <w:rPr>
          <w:lang w:val="en-GB"/>
        </w:rPr>
        <w:t xml:space="preserve">the </w:t>
      </w:r>
      <w:r w:rsidR="00840DD3" w:rsidRPr="001A54D7">
        <w:rPr>
          <w:lang w:val="en-GB"/>
        </w:rPr>
        <w:t>dismissal of the</w:t>
      </w:r>
      <w:r w:rsidR="00CD3FA3">
        <w:rPr>
          <w:lang w:val="en-GB"/>
        </w:rPr>
        <w:t xml:space="preserve"> P</w:t>
      </w:r>
      <w:r w:rsidR="00584B15" w:rsidRPr="001A54D7">
        <w:rPr>
          <w:lang w:val="en-GB"/>
        </w:rPr>
        <w:t>laintiff’s</w:t>
      </w:r>
      <w:r w:rsidR="00840DD3" w:rsidRPr="001A54D7">
        <w:rPr>
          <w:lang w:val="en-GB"/>
        </w:rPr>
        <w:t xml:space="preserve"> </w:t>
      </w:r>
      <w:r w:rsidR="00840DD3" w:rsidRPr="001A54D7">
        <w:rPr>
          <w:lang w:val="en-GB"/>
        </w:rPr>
        <w:lastRenderedPageBreak/>
        <w:t>claims.</w:t>
      </w:r>
      <w:r w:rsidR="00BC6083" w:rsidRPr="003F4800">
        <w:rPr>
          <w:rStyle w:val="FootnoteReference"/>
          <w:lang w:val="en-GB"/>
        </w:rPr>
        <w:footnoteReference w:id="6"/>
      </w:r>
      <w:r w:rsidR="00CD3FA3">
        <w:rPr>
          <w:lang w:val="en-GB"/>
        </w:rPr>
        <w:t xml:space="preserve"> The P</w:t>
      </w:r>
      <w:r w:rsidR="00840DD3" w:rsidRPr="001A54D7">
        <w:rPr>
          <w:lang w:val="en-GB"/>
        </w:rPr>
        <w:t xml:space="preserve">laintiff’s counsel, on the other hand, sought an indulgence to prepare and address the court at a later instance. Both parties were amenable to </w:t>
      </w:r>
      <w:r w:rsidR="006C26F8" w:rsidRPr="001A54D7">
        <w:rPr>
          <w:lang w:val="en-GB"/>
        </w:rPr>
        <w:t xml:space="preserve">submitting </w:t>
      </w:r>
      <w:r w:rsidR="00840DD3" w:rsidRPr="001A54D7">
        <w:rPr>
          <w:lang w:val="en-GB"/>
        </w:rPr>
        <w:t>written heads of argument and made an undertaking that there would be no need f</w:t>
      </w:r>
      <w:r w:rsidR="00E83BB1" w:rsidRPr="001A54D7">
        <w:rPr>
          <w:lang w:val="en-GB"/>
        </w:rPr>
        <w:t>or further addresses thereafter.</w:t>
      </w:r>
      <w:r w:rsidR="00840DD3" w:rsidRPr="001A54D7">
        <w:rPr>
          <w:lang w:val="en-GB"/>
        </w:rPr>
        <w:t xml:space="preserve"> </w:t>
      </w:r>
    </w:p>
    <w:p w14:paraId="4A164D90" w14:textId="77777777" w:rsidR="00F00E6B" w:rsidRPr="003F4800" w:rsidRDefault="00F00E6B" w:rsidP="00D84932">
      <w:pPr>
        <w:pStyle w:val="ListParagraph"/>
        <w:tabs>
          <w:tab w:val="left" w:pos="851"/>
        </w:tabs>
        <w:jc w:val="both"/>
        <w:rPr>
          <w:lang w:val="en-GB"/>
        </w:rPr>
      </w:pPr>
    </w:p>
    <w:p w14:paraId="54AA61FB" w14:textId="5024B4D2" w:rsidR="00E63FA0" w:rsidRDefault="001E472A" w:rsidP="00D84932">
      <w:pPr>
        <w:tabs>
          <w:tab w:val="left" w:pos="851"/>
        </w:tabs>
        <w:jc w:val="both"/>
        <w:rPr>
          <w:rFonts w:eastAsia="Times New Roman"/>
          <w:lang w:eastAsia="en-ZA"/>
        </w:rPr>
      </w:pPr>
      <w:r>
        <w:rPr>
          <w:lang w:val="en-GB"/>
        </w:rPr>
        <w:t>[20</w:t>
      </w:r>
      <w:r w:rsidR="001A54D7">
        <w:rPr>
          <w:lang w:val="en-GB"/>
        </w:rPr>
        <w:t>]</w:t>
      </w:r>
      <w:r w:rsidR="001A54D7">
        <w:rPr>
          <w:lang w:val="en-GB"/>
        </w:rPr>
        <w:tab/>
      </w:r>
      <w:r w:rsidR="00E63FA0" w:rsidRPr="001A54D7">
        <w:rPr>
          <w:lang w:val="en-GB"/>
        </w:rPr>
        <w:t>The law</w:t>
      </w:r>
      <w:r w:rsidR="00C25A11" w:rsidRPr="001A54D7">
        <w:rPr>
          <w:lang w:val="en-GB"/>
        </w:rPr>
        <w:t xml:space="preserve"> relating to absolution from</w:t>
      </w:r>
      <w:r w:rsidR="00E63FA0" w:rsidRPr="001A54D7">
        <w:rPr>
          <w:lang w:val="en-GB"/>
        </w:rPr>
        <w:t xml:space="preserve"> </w:t>
      </w:r>
      <w:r w:rsidR="006C26F8" w:rsidRPr="001A54D7">
        <w:rPr>
          <w:lang w:val="en-GB"/>
        </w:rPr>
        <w:t xml:space="preserve">the </w:t>
      </w:r>
      <w:r w:rsidR="00E63FA0" w:rsidRPr="001A54D7">
        <w:rPr>
          <w:lang w:val="en-GB"/>
        </w:rPr>
        <w:t xml:space="preserve">instance is well settled. </w:t>
      </w:r>
      <w:r w:rsidR="00E63FA0" w:rsidRPr="002976F9">
        <w:rPr>
          <w:rFonts w:eastAsia="Times New Roman"/>
          <w:lang w:eastAsia="en-ZA"/>
        </w:rPr>
        <w:t>The test for absolution to be applied by</w:t>
      </w:r>
      <w:r w:rsidR="00CD3FA3">
        <w:rPr>
          <w:rFonts w:eastAsia="Times New Roman"/>
          <w:lang w:eastAsia="en-ZA"/>
        </w:rPr>
        <w:t xml:space="preserve"> a trial court at the end of a P</w:t>
      </w:r>
      <w:r w:rsidR="00E63FA0" w:rsidRPr="002976F9">
        <w:rPr>
          <w:rFonts w:eastAsia="Times New Roman"/>
          <w:lang w:eastAsia="en-ZA"/>
        </w:rPr>
        <w:t xml:space="preserve">laintiff's case was formulated in </w:t>
      </w:r>
      <w:r w:rsidR="00E63FA0" w:rsidRPr="002976F9">
        <w:rPr>
          <w:rFonts w:eastAsia="Times New Roman"/>
          <w:i/>
          <w:iCs/>
          <w:lang w:eastAsia="en-ZA"/>
        </w:rPr>
        <w:t>Claude Neon Lights (SA) Ltd v Daniel </w:t>
      </w:r>
      <w:r w:rsidR="00A125E0" w:rsidRPr="002976F9">
        <w:rPr>
          <w:rStyle w:val="FootnoteReference"/>
          <w:rFonts w:eastAsia="Times New Roman"/>
          <w:i/>
          <w:iCs/>
          <w:lang w:eastAsia="en-ZA"/>
        </w:rPr>
        <w:footnoteReference w:id="7"/>
      </w:r>
      <w:r w:rsidR="00E63FA0" w:rsidRPr="002976F9">
        <w:rPr>
          <w:rFonts w:eastAsia="Times New Roman"/>
          <w:lang w:eastAsia="en-ZA"/>
        </w:rPr>
        <w:t xml:space="preserve"> in these terms:</w:t>
      </w:r>
    </w:p>
    <w:p w14:paraId="28542C3B" w14:textId="77777777" w:rsidR="001A54D7" w:rsidRPr="002976F9" w:rsidRDefault="001A54D7" w:rsidP="002976F9">
      <w:pPr>
        <w:tabs>
          <w:tab w:val="left" w:pos="851"/>
        </w:tabs>
        <w:jc w:val="both"/>
        <w:rPr>
          <w:rFonts w:eastAsia="Times New Roman"/>
          <w:lang w:eastAsia="en-ZA"/>
        </w:rPr>
      </w:pPr>
    </w:p>
    <w:p w14:paraId="13AB1960" w14:textId="45E7BA85" w:rsidR="000F1D11" w:rsidRDefault="006C26F8" w:rsidP="002976F9">
      <w:pPr>
        <w:ind w:left="720"/>
        <w:jc w:val="both"/>
        <w:rPr>
          <w:rFonts w:eastAsia="Times New Roman"/>
          <w:iCs/>
          <w:sz w:val="20"/>
          <w:szCs w:val="20"/>
          <w:lang w:eastAsia="en-ZA"/>
        </w:rPr>
      </w:pPr>
      <w:r w:rsidRPr="002976F9">
        <w:rPr>
          <w:rFonts w:eastAsia="Times New Roman"/>
          <w:iCs/>
          <w:sz w:val="20"/>
          <w:szCs w:val="20"/>
          <w:lang w:eastAsia="en-ZA"/>
        </w:rPr>
        <w:t>“</w:t>
      </w:r>
      <w:r w:rsidR="00E63FA0" w:rsidRPr="002976F9">
        <w:rPr>
          <w:rFonts w:eastAsia="Times New Roman"/>
          <w:iCs/>
          <w:sz w:val="20"/>
          <w:szCs w:val="20"/>
          <w:lang w:eastAsia="en-ZA"/>
        </w:rPr>
        <w:t>. . . (W</w:t>
      </w:r>
      <w:r w:rsidR="00E2456A" w:rsidRPr="002976F9">
        <w:rPr>
          <w:rFonts w:eastAsia="Times New Roman"/>
          <w:iCs/>
          <w:sz w:val="20"/>
          <w:szCs w:val="20"/>
          <w:lang w:eastAsia="en-ZA"/>
        </w:rPr>
        <w:t>) hen</w:t>
      </w:r>
      <w:r w:rsidR="00E63FA0" w:rsidRPr="002976F9">
        <w:rPr>
          <w:rFonts w:eastAsia="Times New Roman"/>
          <w:iCs/>
          <w:sz w:val="20"/>
          <w:szCs w:val="20"/>
          <w:lang w:eastAsia="en-ZA"/>
        </w:rPr>
        <w:t xml:space="preserve"> absolution from the instance is sought at the close of plaintiff's case, the test to </w:t>
      </w:r>
      <w:r w:rsidR="00A11837" w:rsidRPr="002976F9">
        <w:rPr>
          <w:rFonts w:eastAsia="Times New Roman"/>
          <w:iCs/>
          <w:sz w:val="20"/>
          <w:szCs w:val="20"/>
          <w:lang w:eastAsia="en-ZA"/>
        </w:rPr>
        <w:t>be applied is not whether the</w:t>
      </w:r>
      <w:r w:rsidR="00E2456A" w:rsidRPr="002976F9">
        <w:rPr>
          <w:rFonts w:eastAsia="Times New Roman"/>
          <w:iCs/>
          <w:sz w:val="20"/>
          <w:szCs w:val="20"/>
          <w:lang w:eastAsia="en-ZA"/>
        </w:rPr>
        <w:t> evidence</w:t>
      </w:r>
      <w:r w:rsidR="00E63FA0" w:rsidRPr="002976F9">
        <w:rPr>
          <w:rFonts w:eastAsia="Times New Roman"/>
          <w:iCs/>
          <w:sz w:val="20"/>
          <w:szCs w:val="20"/>
          <w:lang w:eastAsia="en-ZA"/>
        </w:rPr>
        <w:t xml:space="preserve"> led by plaintiff establishes what would finally be required to be established, but whether there is evidence upon which a Court, applying its mind reasonably to such evidence, could or might (not should, nor ought to) find for the plaintiff.</w:t>
      </w:r>
      <w:r w:rsidRPr="002976F9">
        <w:rPr>
          <w:rFonts w:eastAsia="Times New Roman"/>
          <w:iCs/>
          <w:sz w:val="20"/>
          <w:szCs w:val="20"/>
          <w:lang w:eastAsia="en-ZA"/>
        </w:rPr>
        <w:t>”</w:t>
      </w:r>
    </w:p>
    <w:p w14:paraId="7640A38D" w14:textId="77777777" w:rsidR="00204898" w:rsidRPr="002976F9" w:rsidRDefault="00204898" w:rsidP="002976F9">
      <w:pPr>
        <w:ind w:left="360" w:firstLine="360"/>
        <w:jc w:val="both"/>
        <w:rPr>
          <w:rFonts w:eastAsia="Times New Roman"/>
          <w:iCs/>
          <w:sz w:val="20"/>
          <w:szCs w:val="20"/>
          <w:lang w:eastAsia="en-ZA"/>
        </w:rPr>
      </w:pPr>
    </w:p>
    <w:p w14:paraId="62D00F90" w14:textId="753ED3B3" w:rsidR="00E63FA0" w:rsidRPr="001E406E" w:rsidRDefault="001E472A" w:rsidP="002976F9">
      <w:pPr>
        <w:jc w:val="both"/>
        <w:rPr>
          <w:lang w:val="en-GB"/>
        </w:rPr>
      </w:pPr>
      <w:r>
        <w:rPr>
          <w:rFonts w:eastAsia="Times New Roman"/>
          <w:lang w:eastAsia="en-ZA"/>
        </w:rPr>
        <w:t>[21</w:t>
      </w:r>
      <w:r w:rsidR="001A54D7">
        <w:rPr>
          <w:rFonts w:eastAsia="Times New Roman"/>
          <w:lang w:eastAsia="en-ZA"/>
        </w:rPr>
        <w:t>]</w:t>
      </w:r>
      <w:r w:rsidR="001A54D7">
        <w:rPr>
          <w:rFonts w:eastAsia="Times New Roman"/>
          <w:lang w:eastAsia="en-ZA"/>
        </w:rPr>
        <w:tab/>
      </w:r>
      <w:r w:rsidR="00E63FA0" w:rsidRPr="002976F9">
        <w:rPr>
          <w:rFonts w:eastAsia="Times New Roman"/>
          <w:lang w:eastAsia="en-ZA"/>
        </w:rPr>
        <w:t xml:space="preserve">Sufficient </w:t>
      </w:r>
      <w:r w:rsidR="006C26F8" w:rsidRPr="002976F9">
        <w:rPr>
          <w:rFonts w:eastAsia="Times New Roman"/>
          <w:lang w:eastAsia="en-ZA"/>
        </w:rPr>
        <w:t>evidence</w:t>
      </w:r>
      <w:r w:rsidR="00E63FA0" w:rsidRPr="002976F9">
        <w:rPr>
          <w:rFonts w:eastAsia="Times New Roman"/>
          <w:lang w:eastAsia="en-ZA"/>
        </w:rPr>
        <w:t xml:space="preserve"> is sometimes referred to as ‘</w:t>
      </w:r>
      <w:r w:rsidR="00E63FA0" w:rsidRPr="001E406E">
        <w:rPr>
          <w:rFonts w:eastAsia="Times New Roman"/>
          <w:i/>
          <w:iCs/>
          <w:lang w:eastAsia="en-ZA"/>
        </w:rPr>
        <w:t>prima facie</w:t>
      </w:r>
      <w:r w:rsidR="00E63FA0" w:rsidRPr="002976F9">
        <w:rPr>
          <w:rFonts w:eastAsia="Times New Roman"/>
          <w:lang w:eastAsia="en-ZA"/>
        </w:rPr>
        <w:t xml:space="preserve"> evidence</w:t>
      </w:r>
      <w:r w:rsidR="00D7454A">
        <w:rPr>
          <w:rFonts w:eastAsia="Times New Roman"/>
          <w:lang w:eastAsia="en-ZA"/>
        </w:rPr>
        <w:t>’</w:t>
      </w:r>
      <w:r w:rsidR="00E63FA0" w:rsidRPr="002976F9">
        <w:rPr>
          <w:rFonts w:eastAsia="Times New Roman"/>
          <w:lang w:eastAsia="en-ZA"/>
        </w:rPr>
        <w:t xml:space="preserve">, </w:t>
      </w:r>
      <w:r w:rsidR="008F44D6">
        <w:rPr>
          <w:rFonts w:eastAsia="Times New Roman"/>
          <w:lang w:eastAsia="en-ZA"/>
        </w:rPr>
        <w:t>‘</w:t>
      </w:r>
      <w:r w:rsidR="00E63FA0" w:rsidRPr="001E406E">
        <w:rPr>
          <w:rFonts w:eastAsia="Times New Roman"/>
          <w:i/>
          <w:iCs/>
          <w:lang w:eastAsia="en-ZA"/>
        </w:rPr>
        <w:t>prima facie</w:t>
      </w:r>
      <w:r w:rsidR="00E63FA0" w:rsidRPr="002976F9">
        <w:rPr>
          <w:rFonts w:eastAsia="Times New Roman"/>
          <w:lang w:eastAsia="en-ZA"/>
        </w:rPr>
        <w:t xml:space="preserve"> proof</w:t>
      </w:r>
      <w:r w:rsidR="008F44D6">
        <w:rPr>
          <w:rFonts w:eastAsia="Times New Roman"/>
          <w:lang w:eastAsia="en-ZA"/>
        </w:rPr>
        <w:t>’</w:t>
      </w:r>
      <w:r w:rsidR="00E63FA0" w:rsidRPr="002976F9">
        <w:rPr>
          <w:rFonts w:eastAsia="Times New Roman"/>
          <w:lang w:eastAsia="en-ZA"/>
        </w:rPr>
        <w:t xml:space="preserve"> or a </w:t>
      </w:r>
      <w:r w:rsidR="00CF2B31">
        <w:rPr>
          <w:rFonts w:eastAsia="Times New Roman"/>
          <w:lang w:eastAsia="en-ZA"/>
        </w:rPr>
        <w:t>‘</w:t>
      </w:r>
      <w:r w:rsidR="00E63FA0" w:rsidRPr="001E406E">
        <w:rPr>
          <w:rFonts w:eastAsia="Times New Roman"/>
          <w:i/>
          <w:iCs/>
          <w:lang w:eastAsia="en-ZA"/>
        </w:rPr>
        <w:t>prima facie</w:t>
      </w:r>
      <w:r w:rsidR="00E63FA0" w:rsidRPr="002976F9">
        <w:rPr>
          <w:rFonts w:eastAsia="Times New Roman"/>
          <w:lang w:eastAsia="en-ZA"/>
        </w:rPr>
        <w:t xml:space="preserve"> case</w:t>
      </w:r>
      <w:r w:rsidR="00CF2B31">
        <w:rPr>
          <w:rFonts w:eastAsia="Times New Roman"/>
          <w:lang w:eastAsia="en-ZA"/>
        </w:rPr>
        <w:t>’</w:t>
      </w:r>
      <w:r w:rsidR="00E63FA0" w:rsidRPr="002976F9">
        <w:rPr>
          <w:rFonts w:eastAsia="Times New Roman"/>
          <w:lang w:eastAsia="en-ZA"/>
        </w:rPr>
        <w:t>.</w:t>
      </w:r>
      <w:r w:rsidR="00F00E6B" w:rsidRPr="002976F9">
        <w:rPr>
          <w:rFonts w:eastAsia="Times New Roman"/>
          <w:lang w:eastAsia="en-ZA"/>
        </w:rPr>
        <w:t xml:space="preserve"> </w:t>
      </w:r>
      <w:r w:rsidR="00F00E6B" w:rsidRPr="001E406E">
        <w:rPr>
          <w:rFonts w:eastAsia="Times New Roman"/>
          <w:i/>
          <w:iCs/>
          <w:lang w:eastAsia="en-ZA"/>
        </w:rPr>
        <w:t>Prima facie</w:t>
      </w:r>
      <w:r w:rsidR="00F00E6B" w:rsidRPr="002976F9">
        <w:rPr>
          <w:rFonts w:eastAsia="Times New Roman"/>
          <w:lang w:eastAsia="en-ZA"/>
        </w:rPr>
        <w:t xml:space="preserve"> evidence is evidence which requires an answer from the other party, and in the absence of an answer from the other side, it </w:t>
      </w:r>
      <w:r w:rsidR="00AB7493">
        <w:rPr>
          <w:rFonts w:eastAsia="Times New Roman"/>
          <w:lang w:eastAsia="en-ZA"/>
        </w:rPr>
        <w:t xml:space="preserve">can </w:t>
      </w:r>
      <w:r w:rsidR="00F00E6B" w:rsidRPr="002976F9">
        <w:rPr>
          <w:rFonts w:eastAsia="Times New Roman"/>
          <w:lang w:eastAsia="en-ZA"/>
        </w:rPr>
        <w:t xml:space="preserve">become </w:t>
      </w:r>
      <w:r w:rsidR="00AB7493">
        <w:rPr>
          <w:rFonts w:eastAsia="Times New Roman"/>
          <w:i/>
          <w:iCs/>
          <w:lang w:eastAsia="en-ZA"/>
        </w:rPr>
        <w:t>‘</w:t>
      </w:r>
      <w:r w:rsidR="00F00E6B" w:rsidRPr="002976F9">
        <w:rPr>
          <w:rFonts w:eastAsia="Times New Roman"/>
          <w:i/>
          <w:iCs/>
          <w:lang w:eastAsia="en-ZA"/>
        </w:rPr>
        <w:t xml:space="preserve">conclusive proof’ and </w:t>
      </w:r>
      <w:r w:rsidR="00F00E6B" w:rsidRPr="001E406E">
        <w:rPr>
          <w:rFonts w:eastAsia="Times New Roman"/>
          <w:lang w:eastAsia="en-ZA"/>
        </w:rPr>
        <w:t>he (on whom lies the burden of proof completely discharges the burden of proof)</w:t>
      </w:r>
      <w:r w:rsidR="00F00E6B" w:rsidRPr="001E406E">
        <w:rPr>
          <w:rStyle w:val="FootnoteReference"/>
          <w:rFonts w:eastAsia="Times New Roman"/>
          <w:lang w:eastAsia="en-ZA"/>
        </w:rPr>
        <w:footnoteReference w:id="8"/>
      </w:r>
      <w:r w:rsidR="00F00E6B" w:rsidRPr="001E406E">
        <w:rPr>
          <w:rFonts w:eastAsia="Times New Roman"/>
          <w:lang w:eastAsia="en-ZA"/>
        </w:rPr>
        <w:t xml:space="preserve">. </w:t>
      </w:r>
      <w:r w:rsidR="00C64E21" w:rsidRPr="001E406E">
        <w:rPr>
          <w:rFonts w:eastAsia="Times New Roman"/>
          <w:lang w:eastAsia="en-ZA"/>
        </w:rPr>
        <w:t xml:space="preserve"> The</w:t>
      </w:r>
      <w:r w:rsidR="00CD3FA3" w:rsidRPr="001E406E">
        <w:rPr>
          <w:rFonts w:eastAsia="Times New Roman"/>
          <w:lang w:eastAsia="en-ZA"/>
        </w:rPr>
        <w:t xml:space="preserve"> P</w:t>
      </w:r>
      <w:r w:rsidR="00E63FA0" w:rsidRPr="001E406E">
        <w:rPr>
          <w:rFonts w:eastAsia="Times New Roman"/>
          <w:lang w:eastAsia="en-ZA"/>
        </w:rPr>
        <w:t>laintiff has to establish all the elements relating to a claim to survive absolution because without such eviden</w:t>
      </w:r>
      <w:r w:rsidR="00543E34" w:rsidRPr="001E406E">
        <w:rPr>
          <w:rFonts w:eastAsia="Times New Roman"/>
          <w:lang w:eastAsia="en-ZA"/>
        </w:rPr>
        <w:t>ce no court could find for the p</w:t>
      </w:r>
      <w:r w:rsidR="00E63FA0" w:rsidRPr="001E406E">
        <w:rPr>
          <w:rFonts w:eastAsia="Times New Roman"/>
          <w:lang w:eastAsia="en-ZA"/>
        </w:rPr>
        <w:t>laintiff.</w:t>
      </w:r>
      <w:r w:rsidR="00E63FA0" w:rsidRPr="001E406E">
        <w:rPr>
          <w:rStyle w:val="FootnoteReference"/>
          <w:rFonts w:eastAsia="Times New Roman"/>
          <w:lang w:eastAsia="en-ZA"/>
        </w:rPr>
        <w:footnoteReference w:id="9"/>
      </w:r>
      <w:r w:rsidR="00F00E6B" w:rsidRPr="001E406E">
        <w:rPr>
          <w:lang w:val="en-GB"/>
        </w:rPr>
        <w:t xml:space="preserve"> </w:t>
      </w:r>
      <w:r w:rsidR="0032737A" w:rsidRPr="001E406E">
        <w:rPr>
          <w:lang w:val="en-GB"/>
        </w:rPr>
        <w:t>The court is</w:t>
      </w:r>
      <w:r w:rsidR="00720AF7" w:rsidRPr="001E406E">
        <w:rPr>
          <w:lang w:val="en-GB"/>
        </w:rPr>
        <w:t xml:space="preserve"> not</w:t>
      </w:r>
      <w:r w:rsidR="0032737A" w:rsidRPr="001E406E">
        <w:rPr>
          <w:lang w:val="en-GB"/>
        </w:rPr>
        <w:t xml:space="preserve"> compelled to make a credibility determination at this point unless the witnesses have visibly broken</w:t>
      </w:r>
      <w:r w:rsidR="00A11837" w:rsidRPr="001E406E">
        <w:rPr>
          <w:lang w:val="en-GB"/>
        </w:rPr>
        <w:t xml:space="preserve"> down</w:t>
      </w:r>
      <w:r w:rsidR="0032737A" w:rsidRPr="001E406E">
        <w:rPr>
          <w:lang w:val="en-GB"/>
        </w:rPr>
        <w:t xml:space="preserve"> and it </w:t>
      </w:r>
      <w:r w:rsidR="00D400C1" w:rsidRPr="001E406E">
        <w:rPr>
          <w:lang w:val="en-GB"/>
        </w:rPr>
        <w:t xml:space="preserve">is </w:t>
      </w:r>
      <w:r w:rsidR="0032737A" w:rsidRPr="001E406E">
        <w:rPr>
          <w:lang w:val="en-GB"/>
        </w:rPr>
        <w:t>obvious that what they have said is not true.</w:t>
      </w:r>
      <w:r w:rsidR="004A46E4" w:rsidRPr="001E406E">
        <w:rPr>
          <w:lang w:val="en-GB"/>
        </w:rPr>
        <w:t>”</w:t>
      </w:r>
      <w:r w:rsidR="0032737A" w:rsidRPr="001E406E">
        <w:rPr>
          <w:rStyle w:val="FootnoteReference"/>
          <w:lang w:val="en-GB"/>
        </w:rPr>
        <w:footnoteReference w:id="10"/>
      </w:r>
      <w:r w:rsidR="00C64E21" w:rsidRPr="001E406E">
        <w:rPr>
          <w:lang w:val="en-GB"/>
        </w:rPr>
        <w:t xml:space="preserve"> </w:t>
      </w:r>
    </w:p>
    <w:p w14:paraId="62F20065" w14:textId="77777777" w:rsidR="00403DEC" w:rsidRDefault="00403DEC" w:rsidP="002976F9">
      <w:pPr>
        <w:pStyle w:val="ListParagraph"/>
        <w:jc w:val="both"/>
        <w:rPr>
          <w:lang w:val="en-GB"/>
        </w:rPr>
      </w:pPr>
    </w:p>
    <w:p w14:paraId="790610E8" w14:textId="1B7030A0" w:rsidR="00403DEC" w:rsidRPr="001A54D7" w:rsidRDefault="00263B50" w:rsidP="002976F9">
      <w:pPr>
        <w:jc w:val="both"/>
        <w:rPr>
          <w:lang w:val="en-GB"/>
        </w:rPr>
      </w:pPr>
      <w:r>
        <w:rPr>
          <w:lang w:val="en-GB"/>
        </w:rPr>
        <w:t>[</w:t>
      </w:r>
      <w:r w:rsidR="001E472A">
        <w:rPr>
          <w:lang w:val="en-GB"/>
        </w:rPr>
        <w:t>22</w:t>
      </w:r>
      <w:r w:rsidR="001A54D7">
        <w:rPr>
          <w:lang w:val="en-GB"/>
        </w:rPr>
        <w:t>]</w:t>
      </w:r>
      <w:r w:rsidR="001A54D7">
        <w:rPr>
          <w:lang w:val="en-GB"/>
        </w:rPr>
        <w:tab/>
      </w:r>
      <w:r w:rsidR="00403DEC" w:rsidRPr="001A54D7">
        <w:rPr>
          <w:lang w:val="en-GB"/>
        </w:rPr>
        <w:t>The court should alw</w:t>
      </w:r>
      <w:r w:rsidR="00CD3FA3">
        <w:rPr>
          <w:lang w:val="en-GB"/>
        </w:rPr>
        <w:t>ays take into account that the D</w:t>
      </w:r>
      <w:r w:rsidR="00403DEC" w:rsidRPr="001A54D7">
        <w:rPr>
          <w:lang w:val="en-GB"/>
        </w:rPr>
        <w:t xml:space="preserve">efendant has not yet given evidence and </w:t>
      </w:r>
      <w:r w:rsidR="004A46E4" w:rsidRPr="001A54D7">
        <w:rPr>
          <w:lang w:val="en-GB"/>
        </w:rPr>
        <w:t>testified</w:t>
      </w:r>
      <w:r w:rsidR="00AB2A64" w:rsidRPr="001A54D7">
        <w:rPr>
          <w:lang w:val="en-GB"/>
        </w:rPr>
        <w:t xml:space="preserve">. </w:t>
      </w:r>
      <w:r w:rsidR="001A54D7" w:rsidRPr="001A54D7">
        <w:rPr>
          <w:lang w:val="en-GB"/>
        </w:rPr>
        <w:t>Thus,</w:t>
      </w:r>
      <w:r w:rsidR="00403DEC" w:rsidRPr="001A54D7">
        <w:rPr>
          <w:lang w:val="en-GB"/>
        </w:rPr>
        <w:t xml:space="preserve"> th</w:t>
      </w:r>
      <w:r w:rsidR="00543E34" w:rsidRPr="001A54D7">
        <w:rPr>
          <w:lang w:val="en-GB"/>
        </w:rPr>
        <w:t xml:space="preserve">e court should not dismiss the </w:t>
      </w:r>
      <w:r w:rsidR="00496FD8">
        <w:rPr>
          <w:lang w:val="en-GB"/>
        </w:rPr>
        <w:t>P</w:t>
      </w:r>
      <w:r w:rsidR="00496FD8" w:rsidRPr="001A54D7">
        <w:rPr>
          <w:lang w:val="en-GB"/>
        </w:rPr>
        <w:t xml:space="preserve">laintiff’s </w:t>
      </w:r>
      <w:r w:rsidR="00403DEC" w:rsidRPr="001A54D7">
        <w:rPr>
          <w:lang w:val="en-GB"/>
        </w:rPr>
        <w:t>evidence unless it is glaringly incredible.</w:t>
      </w:r>
      <w:r w:rsidR="00403DEC">
        <w:rPr>
          <w:rStyle w:val="FootnoteReference"/>
          <w:lang w:val="en-GB"/>
        </w:rPr>
        <w:footnoteReference w:id="11"/>
      </w:r>
    </w:p>
    <w:p w14:paraId="78C39BE6" w14:textId="77777777" w:rsidR="00C202DA" w:rsidRPr="003F4800" w:rsidRDefault="00C202DA" w:rsidP="002976F9">
      <w:pPr>
        <w:jc w:val="both"/>
        <w:rPr>
          <w:lang w:val="en-GB"/>
        </w:rPr>
      </w:pPr>
    </w:p>
    <w:p w14:paraId="0340BE12" w14:textId="42BD8DFF" w:rsidR="00C202DA" w:rsidRPr="002976F9" w:rsidRDefault="00C202DA" w:rsidP="002976F9">
      <w:pPr>
        <w:jc w:val="both"/>
        <w:rPr>
          <w:b/>
          <w:bCs/>
          <w:iCs/>
          <w:lang w:val="en-GB"/>
        </w:rPr>
      </w:pPr>
      <w:r w:rsidRPr="002976F9">
        <w:rPr>
          <w:b/>
          <w:bCs/>
          <w:iCs/>
          <w:lang w:val="en-GB"/>
        </w:rPr>
        <w:t>The parties ‘contentions</w:t>
      </w:r>
    </w:p>
    <w:p w14:paraId="65C86139" w14:textId="77777777" w:rsidR="00720AF7" w:rsidRDefault="00720AF7" w:rsidP="002976F9">
      <w:pPr>
        <w:ind w:left="709"/>
        <w:jc w:val="both"/>
        <w:rPr>
          <w:lang w:val="en-GB"/>
        </w:rPr>
      </w:pPr>
    </w:p>
    <w:p w14:paraId="5346B9C0" w14:textId="4F1411A3" w:rsidR="00146779" w:rsidRPr="001A54D7" w:rsidRDefault="00263B50" w:rsidP="002976F9">
      <w:pPr>
        <w:jc w:val="both"/>
        <w:rPr>
          <w:lang w:val="en-GB"/>
        </w:rPr>
      </w:pPr>
      <w:r>
        <w:rPr>
          <w:lang w:val="en-GB"/>
        </w:rPr>
        <w:t>[</w:t>
      </w:r>
      <w:r w:rsidR="001E472A">
        <w:rPr>
          <w:lang w:val="en-GB"/>
        </w:rPr>
        <w:t>23</w:t>
      </w:r>
      <w:r w:rsidR="001A54D7">
        <w:rPr>
          <w:lang w:val="en-GB"/>
        </w:rPr>
        <w:t>]</w:t>
      </w:r>
      <w:r w:rsidR="001A54D7">
        <w:rPr>
          <w:lang w:val="en-GB"/>
        </w:rPr>
        <w:tab/>
      </w:r>
      <w:r w:rsidR="00146779" w:rsidRPr="001A54D7">
        <w:rPr>
          <w:lang w:val="en-GB"/>
        </w:rPr>
        <w:t xml:space="preserve">Counsel for the </w:t>
      </w:r>
      <w:r w:rsidR="00CD3FA3">
        <w:rPr>
          <w:lang w:val="en-GB"/>
        </w:rPr>
        <w:t>D</w:t>
      </w:r>
      <w:r w:rsidR="00D400C1" w:rsidRPr="001A54D7">
        <w:rPr>
          <w:lang w:val="en-GB"/>
        </w:rPr>
        <w:t>efendants</w:t>
      </w:r>
      <w:r w:rsidR="00146779" w:rsidRPr="001A54D7">
        <w:rPr>
          <w:lang w:val="en-GB"/>
        </w:rPr>
        <w:t xml:space="preserve"> contends that absolution from the instance is at this stage justified because the arresting officer admi</w:t>
      </w:r>
      <w:r w:rsidR="003767FC">
        <w:rPr>
          <w:lang w:val="en-GB"/>
        </w:rPr>
        <w:t>ts that they acted in terms of S</w:t>
      </w:r>
      <w:r w:rsidR="00146779" w:rsidRPr="001A54D7">
        <w:rPr>
          <w:lang w:val="en-GB"/>
        </w:rPr>
        <w:t>ection 40(1) (b) of the Criminal Procedure. He argues</w:t>
      </w:r>
      <w:r w:rsidR="00F67376">
        <w:rPr>
          <w:lang w:val="en-GB"/>
        </w:rPr>
        <w:t xml:space="preserve"> that</w:t>
      </w:r>
      <w:r w:rsidR="00146779" w:rsidRPr="001A54D7">
        <w:rPr>
          <w:lang w:val="en-GB"/>
        </w:rPr>
        <w:t xml:space="preserve"> nothing was p</w:t>
      </w:r>
      <w:r w:rsidR="00D42C0F" w:rsidRPr="001A54D7">
        <w:rPr>
          <w:lang w:val="en-GB"/>
        </w:rPr>
        <w:t>resented to gainsay this point</w:t>
      </w:r>
      <w:r w:rsidR="00146779" w:rsidRPr="001A54D7">
        <w:rPr>
          <w:lang w:val="en-GB"/>
        </w:rPr>
        <w:t xml:space="preserve"> and further </w:t>
      </w:r>
      <w:r w:rsidR="00CD3FA3">
        <w:rPr>
          <w:lang w:val="en-GB"/>
        </w:rPr>
        <w:t>P</w:t>
      </w:r>
      <w:r w:rsidR="00C96D5F" w:rsidRPr="001A54D7">
        <w:rPr>
          <w:lang w:val="en-GB"/>
        </w:rPr>
        <w:t>laintiff</w:t>
      </w:r>
      <w:r w:rsidR="00146779" w:rsidRPr="001A54D7">
        <w:rPr>
          <w:lang w:val="en-GB"/>
        </w:rPr>
        <w:t xml:space="preserve"> failed to prove the elements</w:t>
      </w:r>
      <w:r w:rsidR="00CD3FA3">
        <w:rPr>
          <w:lang w:val="en-GB"/>
        </w:rPr>
        <w:t xml:space="preserve"> of malicious prosecution. The D</w:t>
      </w:r>
      <w:r w:rsidR="00146779" w:rsidRPr="001A54D7">
        <w:rPr>
          <w:lang w:val="en-GB"/>
        </w:rPr>
        <w:t xml:space="preserve">efendants submit further that no basis was laid on why the </w:t>
      </w:r>
      <w:r w:rsidR="00BB504D">
        <w:rPr>
          <w:lang w:val="en-GB"/>
        </w:rPr>
        <w:t>th</w:t>
      </w:r>
      <w:r w:rsidR="002F32D7">
        <w:rPr>
          <w:lang w:val="en-GB"/>
        </w:rPr>
        <w:t>ird</w:t>
      </w:r>
      <w:r w:rsidR="00BB504D" w:rsidRPr="001A54D7">
        <w:rPr>
          <w:lang w:val="en-GB"/>
        </w:rPr>
        <w:t xml:space="preserve"> </w:t>
      </w:r>
      <w:r w:rsidR="00BB504D">
        <w:rPr>
          <w:lang w:val="en-GB"/>
        </w:rPr>
        <w:t>D</w:t>
      </w:r>
      <w:r w:rsidR="00BB504D" w:rsidRPr="001A54D7">
        <w:rPr>
          <w:lang w:val="en-GB"/>
        </w:rPr>
        <w:t xml:space="preserve">efendant </w:t>
      </w:r>
      <w:r w:rsidR="00146779" w:rsidRPr="001A54D7">
        <w:rPr>
          <w:lang w:val="en-GB"/>
        </w:rPr>
        <w:t>was sued.</w:t>
      </w:r>
    </w:p>
    <w:p w14:paraId="5B50D6C3" w14:textId="77777777" w:rsidR="00146779" w:rsidRDefault="00146779" w:rsidP="002976F9">
      <w:pPr>
        <w:pStyle w:val="ListParagraph"/>
        <w:jc w:val="both"/>
        <w:rPr>
          <w:lang w:val="en-GB"/>
        </w:rPr>
      </w:pPr>
    </w:p>
    <w:p w14:paraId="474BD2C7" w14:textId="40C536C0" w:rsidR="00720AF7" w:rsidRPr="001A54D7" w:rsidRDefault="00263B50" w:rsidP="002976F9">
      <w:pPr>
        <w:jc w:val="both"/>
        <w:rPr>
          <w:lang w:val="en-GB"/>
        </w:rPr>
      </w:pPr>
      <w:r>
        <w:rPr>
          <w:lang w:val="en-GB"/>
        </w:rPr>
        <w:t>[</w:t>
      </w:r>
      <w:r w:rsidR="001E472A">
        <w:rPr>
          <w:lang w:val="en-GB"/>
        </w:rPr>
        <w:t>24</w:t>
      </w:r>
      <w:r w:rsidR="001A54D7">
        <w:rPr>
          <w:lang w:val="en-GB"/>
        </w:rPr>
        <w:t>]</w:t>
      </w:r>
      <w:r w:rsidR="001A54D7">
        <w:rPr>
          <w:lang w:val="en-GB"/>
        </w:rPr>
        <w:tab/>
      </w:r>
      <w:r w:rsidR="002F32D7">
        <w:rPr>
          <w:lang w:val="en-GB"/>
        </w:rPr>
        <w:t>On the other hand</w:t>
      </w:r>
      <w:r w:rsidR="00FD4702">
        <w:rPr>
          <w:lang w:val="en-GB"/>
        </w:rPr>
        <w:t>,</w:t>
      </w:r>
      <w:r w:rsidR="002F32D7">
        <w:rPr>
          <w:lang w:val="en-GB"/>
        </w:rPr>
        <w:t xml:space="preserve"> c</w:t>
      </w:r>
      <w:r w:rsidR="00CD3FA3">
        <w:rPr>
          <w:lang w:val="en-GB"/>
        </w:rPr>
        <w:t>ounsel for the P</w:t>
      </w:r>
      <w:r w:rsidR="00584B15" w:rsidRPr="001A54D7">
        <w:rPr>
          <w:lang w:val="en-GB"/>
        </w:rPr>
        <w:t>laintiff argues that the application for absolution from the instance should be d</w:t>
      </w:r>
      <w:r w:rsidR="00543E34" w:rsidRPr="001A54D7">
        <w:rPr>
          <w:lang w:val="en-GB"/>
        </w:rPr>
        <w:t>ismissed</w:t>
      </w:r>
      <w:r w:rsidR="00CD3FA3">
        <w:rPr>
          <w:lang w:val="en-GB"/>
        </w:rPr>
        <w:t xml:space="preserve"> on the basis that the D</w:t>
      </w:r>
      <w:r w:rsidR="00584B15" w:rsidRPr="001A54D7">
        <w:rPr>
          <w:lang w:val="en-GB"/>
        </w:rPr>
        <w:t>efendants</w:t>
      </w:r>
      <w:r w:rsidR="004D59A8" w:rsidRPr="001A54D7">
        <w:rPr>
          <w:lang w:val="en-GB"/>
        </w:rPr>
        <w:t xml:space="preserve"> who</w:t>
      </w:r>
      <w:r w:rsidR="00584B15" w:rsidRPr="001A54D7">
        <w:rPr>
          <w:lang w:val="en-GB"/>
        </w:rPr>
        <w:t xml:space="preserve"> bear </w:t>
      </w:r>
      <w:r w:rsidR="004A46E4" w:rsidRPr="001A54D7">
        <w:rPr>
          <w:lang w:val="en-GB"/>
        </w:rPr>
        <w:t xml:space="preserve">the </w:t>
      </w:r>
      <w:r w:rsidR="00584B15" w:rsidRPr="001A54D7">
        <w:rPr>
          <w:lang w:val="en-GB"/>
        </w:rPr>
        <w:t>on</w:t>
      </w:r>
      <w:r w:rsidR="00A453A6" w:rsidRPr="001A54D7">
        <w:rPr>
          <w:lang w:val="en-GB"/>
        </w:rPr>
        <w:t xml:space="preserve">us to prove that </w:t>
      </w:r>
      <w:r w:rsidR="00584B15" w:rsidRPr="001A54D7">
        <w:rPr>
          <w:lang w:val="en-GB"/>
        </w:rPr>
        <w:t>a</w:t>
      </w:r>
      <w:r w:rsidR="003D65F7" w:rsidRPr="001A54D7">
        <w:rPr>
          <w:lang w:val="en-GB"/>
        </w:rPr>
        <w:t>rrest and</w:t>
      </w:r>
      <w:r w:rsidR="00A453A6" w:rsidRPr="001A54D7">
        <w:rPr>
          <w:lang w:val="en-GB"/>
        </w:rPr>
        <w:t xml:space="preserve"> subsequent</w:t>
      </w:r>
      <w:r w:rsidR="003D65F7" w:rsidRPr="001A54D7">
        <w:rPr>
          <w:lang w:val="en-GB"/>
        </w:rPr>
        <w:t xml:space="preserve"> detention were lawful</w:t>
      </w:r>
      <w:r w:rsidR="00A453A6" w:rsidRPr="001A54D7">
        <w:rPr>
          <w:lang w:val="en-GB"/>
        </w:rPr>
        <w:t>,</w:t>
      </w:r>
      <w:r w:rsidR="003D65F7" w:rsidRPr="001A54D7">
        <w:rPr>
          <w:lang w:val="en-GB"/>
        </w:rPr>
        <w:t xml:space="preserve"> presented n</w:t>
      </w:r>
      <w:r w:rsidR="00070F03" w:rsidRPr="001A54D7">
        <w:rPr>
          <w:lang w:val="en-GB"/>
        </w:rPr>
        <w:t>o evide</w:t>
      </w:r>
      <w:r w:rsidR="00F570C9" w:rsidRPr="001A54D7">
        <w:rPr>
          <w:lang w:val="en-GB"/>
        </w:rPr>
        <w:t xml:space="preserve">nce to justify this </w:t>
      </w:r>
      <w:r w:rsidR="00070F03" w:rsidRPr="001A54D7">
        <w:rPr>
          <w:lang w:val="en-GB"/>
        </w:rPr>
        <w:t>conduct.</w:t>
      </w:r>
      <w:r w:rsidR="003D65F7" w:rsidRPr="001A54D7">
        <w:rPr>
          <w:lang w:val="en-GB"/>
        </w:rPr>
        <w:t xml:space="preserve"> </w:t>
      </w:r>
      <w:r w:rsidR="00AA6C6F">
        <w:rPr>
          <w:lang w:val="en-GB"/>
        </w:rPr>
        <w:t>I</w:t>
      </w:r>
      <w:r w:rsidR="00F67376">
        <w:rPr>
          <w:lang w:val="en-GB"/>
        </w:rPr>
        <w:t>t is</w:t>
      </w:r>
      <w:r w:rsidR="00DC359C">
        <w:rPr>
          <w:lang w:val="en-GB"/>
        </w:rPr>
        <w:t xml:space="preserve"> contende</w:t>
      </w:r>
      <w:r w:rsidR="00AA6C6F">
        <w:rPr>
          <w:lang w:val="en-GB"/>
        </w:rPr>
        <w:t>d on behalf of the Plaintiff</w:t>
      </w:r>
      <w:r w:rsidR="00400BCF" w:rsidRPr="001A54D7">
        <w:rPr>
          <w:lang w:val="en-GB"/>
        </w:rPr>
        <w:t xml:space="preserve"> that</w:t>
      </w:r>
      <w:r w:rsidR="00543E34" w:rsidRPr="001A54D7">
        <w:rPr>
          <w:lang w:val="en-GB"/>
        </w:rPr>
        <w:t xml:space="preserve"> the offence </w:t>
      </w:r>
      <w:r w:rsidR="004A46E4" w:rsidRPr="001A54D7">
        <w:rPr>
          <w:lang w:val="en-GB"/>
        </w:rPr>
        <w:t xml:space="preserve">of </w:t>
      </w:r>
      <w:r w:rsidR="00CD3FA3">
        <w:rPr>
          <w:lang w:val="en-GB"/>
        </w:rPr>
        <w:t>which the P</w:t>
      </w:r>
      <w:r w:rsidR="00070F03" w:rsidRPr="001A54D7">
        <w:rPr>
          <w:lang w:val="en-GB"/>
        </w:rPr>
        <w:t>laintiff was arrested</w:t>
      </w:r>
      <w:r w:rsidR="00F67376">
        <w:rPr>
          <w:lang w:val="en-GB"/>
        </w:rPr>
        <w:t xml:space="preserve"> of</w:t>
      </w:r>
      <w:r w:rsidR="00070F03" w:rsidRPr="001A54D7">
        <w:rPr>
          <w:lang w:val="en-GB"/>
        </w:rPr>
        <w:t xml:space="preserve"> falls under Schedule 6 and not Schedule 1 and </w:t>
      </w:r>
      <w:r w:rsidR="003B2856" w:rsidRPr="001A54D7">
        <w:rPr>
          <w:lang w:val="en-GB"/>
        </w:rPr>
        <w:t>therefore this</w:t>
      </w:r>
      <w:r w:rsidR="00E2456A" w:rsidRPr="001A54D7">
        <w:rPr>
          <w:lang w:val="en-GB"/>
        </w:rPr>
        <w:t xml:space="preserve"> </w:t>
      </w:r>
      <w:r w:rsidR="00070F03" w:rsidRPr="001A54D7">
        <w:rPr>
          <w:lang w:val="en-GB"/>
        </w:rPr>
        <w:t xml:space="preserve">requires </w:t>
      </w:r>
      <w:r w:rsidR="00E2456A" w:rsidRPr="001A54D7">
        <w:rPr>
          <w:lang w:val="en-GB"/>
        </w:rPr>
        <w:t xml:space="preserve">that a </w:t>
      </w:r>
      <w:r w:rsidR="00070F03" w:rsidRPr="001A54D7">
        <w:rPr>
          <w:lang w:val="en-GB"/>
        </w:rPr>
        <w:t>warrant of arrest</w:t>
      </w:r>
      <w:r w:rsidR="00E2456A" w:rsidRPr="001A54D7">
        <w:rPr>
          <w:lang w:val="en-GB"/>
        </w:rPr>
        <w:t xml:space="preserve"> be first obtained before arrest.</w:t>
      </w:r>
      <w:r w:rsidR="00F67376">
        <w:rPr>
          <w:rStyle w:val="FootnoteReference"/>
          <w:lang w:val="en-GB"/>
        </w:rPr>
        <w:footnoteReference w:id="12"/>
      </w:r>
      <w:r w:rsidR="00E2456A" w:rsidRPr="001A54D7">
        <w:rPr>
          <w:lang w:val="en-GB"/>
        </w:rPr>
        <w:t xml:space="preserve"> Therefore, </w:t>
      </w:r>
      <w:r w:rsidR="005E386F">
        <w:rPr>
          <w:lang w:val="en-GB"/>
        </w:rPr>
        <w:t>so the argument continues</w:t>
      </w:r>
      <w:r w:rsidR="00F33D87">
        <w:rPr>
          <w:lang w:val="en-GB"/>
        </w:rPr>
        <w:t>,</w:t>
      </w:r>
      <w:r w:rsidR="00DA4D3D">
        <w:rPr>
          <w:lang w:val="en-GB"/>
        </w:rPr>
        <w:t xml:space="preserve"> the </w:t>
      </w:r>
      <w:r w:rsidR="00E2456A" w:rsidRPr="001A54D7">
        <w:rPr>
          <w:lang w:val="en-GB"/>
        </w:rPr>
        <w:t>police</w:t>
      </w:r>
      <w:r w:rsidR="00F570C9" w:rsidRPr="001A54D7">
        <w:rPr>
          <w:lang w:val="en-GB"/>
        </w:rPr>
        <w:t xml:space="preserve"> exercise</w:t>
      </w:r>
      <w:r w:rsidR="0050756C" w:rsidRPr="001A54D7">
        <w:rPr>
          <w:lang w:val="en-GB"/>
        </w:rPr>
        <w:t>d</w:t>
      </w:r>
      <w:r w:rsidR="00F570C9" w:rsidRPr="001A54D7">
        <w:rPr>
          <w:lang w:val="en-GB"/>
        </w:rPr>
        <w:t xml:space="preserve"> their discretion</w:t>
      </w:r>
      <w:r w:rsidR="0050756C" w:rsidRPr="001A54D7">
        <w:rPr>
          <w:lang w:val="en-GB"/>
        </w:rPr>
        <w:t xml:space="preserve"> to arrest</w:t>
      </w:r>
      <w:r w:rsidR="00F570C9" w:rsidRPr="001A54D7">
        <w:rPr>
          <w:lang w:val="en-GB"/>
        </w:rPr>
        <w:t xml:space="preserve"> </w:t>
      </w:r>
      <w:r w:rsidR="00400BCF" w:rsidRPr="001A54D7">
        <w:rPr>
          <w:lang w:val="en-GB"/>
        </w:rPr>
        <w:t xml:space="preserve">incorrectly. </w:t>
      </w:r>
      <w:r w:rsidR="00DA4D3D">
        <w:rPr>
          <w:lang w:val="en-GB"/>
        </w:rPr>
        <w:t xml:space="preserve">It is further </w:t>
      </w:r>
      <w:r w:rsidR="005E0499">
        <w:rPr>
          <w:lang w:val="en-GB"/>
        </w:rPr>
        <w:t xml:space="preserve">contended </w:t>
      </w:r>
      <w:r w:rsidR="005E0499" w:rsidRPr="001A54D7">
        <w:rPr>
          <w:lang w:val="en-GB"/>
        </w:rPr>
        <w:t>that</w:t>
      </w:r>
      <w:r w:rsidR="00070F03" w:rsidRPr="001A54D7">
        <w:rPr>
          <w:lang w:val="en-GB"/>
        </w:rPr>
        <w:t xml:space="preserve"> the </w:t>
      </w:r>
      <w:r w:rsidR="00DA4D3D">
        <w:rPr>
          <w:lang w:val="en-GB"/>
        </w:rPr>
        <w:t xml:space="preserve">second </w:t>
      </w:r>
      <w:r w:rsidR="00070F03" w:rsidRPr="001A54D7">
        <w:rPr>
          <w:lang w:val="en-GB"/>
        </w:rPr>
        <w:t xml:space="preserve">and the </w:t>
      </w:r>
      <w:r w:rsidR="00DA4D3D">
        <w:rPr>
          <w:lang w:val="en-GB"/>
        </w:rPr>
        <w:t>third</w:t>
      </w:r>
      <w:r w:rsidR="00DA4D3D" w:rsidRPr="001A54D7">
        <w:rPr>
          <w:lang w:val="en-GB"/>
        </w:rPr>
        <w:t xml:space="preserve"> </w:t>
      </w:r>
      <w:r w:rsidR="00DA4D3D">
        <w:rPr>
          <w:lang w:val="en-GB"/>
        </w:rPr>
        <w:t>D</w:t>
      </w:r>
      <w:r w:rsidR="00DA4D3D" w:rsidRPr="001A54D7">
        <w:rPr>
          <w:lang w:val="en-GB"/>
        </w:rPr>
        <w:t xml:space="preserve">efendant </w:t>
      </w:r>
      <w:r w:rsidR="00543E34" w:rsidRPr="001A54D7">
        <w:rPr>
          <w:lang w:val="en-GB"/>
        </w:rPr>
        <w:t xml:space="preserve">allowed the </w:t>
      </w:r>
      <w:r w:rsidR="00DA4D3D">
        <w:rPr>
          <w:lang w:val="en-GB"/>
        </w:rPr>
        <w:t>P</w:t>
      </w:r>
      <w:r w:rsidR="00DA4D3D" w:rsidRPr="001A54D7">
        <w:rPr>
          <w:lang w:val="en-GB"/>
        </w:rPr>
        <w:t xml:space="preserve">laintiff </w:t>
      </w:r>
      <w:r w:rsidR="00070F03" w:rsidRPr="001A54D7">
        <w:rPr>
          <w:lang w:val="en-GB"/>
        </w:rPr>
        <w:t xml:space="preserve">to remain in custody whilst there </w:t>
      </w:r>
      <w:r w:rsidR="00813397">
        <w:rPr>
          <w:lang w:val="en-GB"/>
        </w:rPr>
        <w:t>was no evidence to convict him</w:t>
      </w:r>
      <w:r w:rsidR="00070F03" w:rsidRPr="001A54D7">
        <w:rPr>
          <w:lang w:val="en-GB"/>
        </w:rPr>
        <w:t xml:space="preserve">. </w:t>
      </w:r>
      <w:r w:rsidR="004A46E4" w:rsidRPr="001A54D7">
        <w:rPr>
          <w:lang w:val="en-GB"/>
        </w:rPr>
        <w:t>From</w:t>
      </w:r>
      <w:r w:rsidR="00070F03" w:rsidRPr="001A54D7">
        <w:rPr>
          <w:lang w:val="en-GB"/>
        </w:rPr>
        <w:t xml:space="preserve"> the date of </w:t>
      </w:r>
      <w:r w:rsidR="004A46E4" w:rsidRPr="001A54D7">
        <w:rPr>
          <w:lang w:val="en-GB"/>
        </w:rPr>
        <w:t xml:space="preserve">the </w:t>
      </w:r>
      <w:r w:rsidR="00070F03" w:rsidRPr="001A54D7">
        <w:rPr>
          <w:lang w:val="en-GB"/>
        </w:rPr>
        <w:t xml:space="preserve">arrest until </w:t>
      </w:r>
      <w:r w:rsidR="004A46E4" w:rsidRPr="001A54D7">
        <w:rPr>
          <w:lang w:val="en-GB"/>
        </w:rPr>
        <w:t xml:space="preserve">the </w:t>
      </w:r>
      <w:r w:rsidR="00070F03" w:rsidRPr="001A54D7">
        <w:rPr>
          <w:lang w:val="en-GB"/>
        </w:rPr>
        <w:t>5</w:t>
      </w:r>
      <w:r w:rsidR="00070F03" w:rsidRPr="001A54D7">
        <w:rPr>
          <w:vertAlign w:val="superscript"/>
          <w:lang w:val="en-GB"/>
        </w:rPr>
        <w:t>th</w:t>
      </w:r>
      <w:r w:rsidR="00070F03" w:rsidRPr="001A54D7">
        <w:rPr>
          <w:lang w:val="en-GB"/>
        </w:rPr>
        <w:t xml:space="preserve"> of December 2022, there were no DNA results from the do</w:t>
      </w:r>
      <w:r w:rsidR="00F33D87">
        <w:rPr>
          <w:lang w:val="en-GB"/>
        </w:rPr>
        <w:t>cket. The second</w:t>
      </w:r>
      <w:r w:rsidR="003767FC">
        <w:rPr>
          <w:lang w:val="en-GB"/>
        </w:rPr>
        <w:t xml:space="preserve"> </w:t>
      </w:r>
      <w:r w:rsidR="00DA4D3D">
        <w:rPr>
          <w:lang w:val="en-GB"/>
        </w:rPr>
        <w:t>D</w:t>
      </w:r>
      <w:r w:rsidR="00F33D87">
        <w:rPr>
          <w:lang w:val="en-GB"/>
        </w:rPr>
        <w:t>efendant</w:t>
      </w:r>
      <w:r w:rsidR="00DA4D3D" w:rsidRPr="001A54D7">
        <w:rPr>
          <w:lang w:val="en-GB"/>
        </w:rPr>
        <w:t xml:space="preserve"> </w:t>
      </w:r>
      <w:r w:rsidR="00070F03" w:rsidRPr="001A54D7">
        <w:rPr>
          <w:lang w:val="en-GB"/>
        </w:rPr>
        <w:t xml:space="preserve">should have requested that the Plaintiff be released from </w:t>
      </w:r>
      <w:r w:rsidR="00146779" w:rsidRPr="001A54D7">
        <w:rPr>
          <w:lang w:val="en-GB"/>
        </w:rPr>
        <w:t>custody</w:t>
      </w:r>
      <w:r w:rsidR="003767FC">
        <w:rPr>
          <w:lang w:val="en-GB"/>
        </w:rPr>
        <w:t xml:space="preserve">. </w:t>
      </w:r>
      <w:r w:rsidR="005E0499">
        <w:rPr>
          <w:lang w:val="en-GB"/>
        </w:rPr>
        <w:t>A</w:t>
      </w:r>
      <w:r w:rsidR="005E0499" w:rsidRPr="001A54D7">
        <w:rPr>
          <w:lang w:val="en-GB"/>
        </w:rPr>
        <w:t>lternatively,</w:t>
      </w:r>
      <w:r w:rsidR="00146779" w:rsidRPr="001A54D7">
        <w:rPr>
          <w:lang w:val="en-GB"/>
        </w:rPr>
        <w:t xml:space="preserve"> the third </w:t>
      </w:r>
      <w:r w:rsidR="003767FC">
        <w:rPr>
          <w:lang w:val="en-GB"/>
        </w:rPr>
        <w:t>D</w:t>
      </w:r>
      <w:r w:rsidR="00C2004E" w:rsidRPr="001A54D7">
        <w:rPr>
          <w:lang w:val="en-GB"/>
        </w:rPr>
        <w:t>efendant should</w:t>
      </w:r>
      <w:r w:rsidR="00146779" w:rsidRPr="001A54D7">
        <w:rPr>
          <w:lang w:val="en-GB"/>
        </w:rPr>
        <w:t xml:space="preserve"> have </w:t>
      </w:r>
      <w:r w:rsidR="004A46E4" w:rsidRPr="001A54D7">
        <w:rPr>
          <w:lang w:val="en-GB"/>
        </w:rPr>
        <w:t xml:space="preserve">safeguarded </w:t>
      </w:r>
      <w:r w:rsidR="00146779" w:rsidRPr="001A54D7">
        <w:rPr>
          <w:lang w:val="en-GB"/>
        </w:rPr>
        <w:t xml:space="preserve">the </w:t>
      </w:r>
      <w:r w:rsidR="003767FC">
        <w:rPr>
          <w:lang w:val="en-GB"/>
        </w:rPr>
        <w:t>P</w:t>
      </w:r>
      <w:r w:rsidR="004A46E4" w:rsidRPr="001A54D7">
        <w:rPr>
          <w:lang w:val="en-GB"/>
        </w:rPr>
        <w:t>laintiff’</w:t>
      </w:r>
      <w:r w:rsidR="00CA0BCB" w:rsidRPr="001A54D7">
        <w:rPr>
          <w:lang w:val="en-GB"/>
        </w:rPr>
        <w:t>s</w:t>
      </w:r>
      <w:r w:rsidR="00146779" w:rsidRPr="001A54D7">
        <w:rPr>
          <w:lang w:val="en-GB"/>
        </w:rPr>
        <w:t xml:space="preserve"> right </w:t>
      </w:r>
      <w:r w:rsidR="004A46E4" w:rsidRPr="001A54D7">
        <w:rPr>
          <w:lang w:val="en-GB"/>
        </w:rPr>
        <w:t>to</w:t>
      </w:r>
      <w:r w:rsidR="00146779" w:rsidRPr="001A54D7">
        <w:rPr>
          <w:lang w:val="en-GB"/>
        </w:rPr>
        <w:t xml:space="preserve"> liberty by simply striking the matter off the roll, so he argues.</w:t>
      </w:r>
      <w:r w:rsidR="00070F03" w:rsidRPr="001A54D7">
        <w:rPr>
          <w:lang w:val="en-GB"/>
        </w:rPr>
        <w:t xml:space="preserve"> </w:t>
      </w:r>
    </w:p>
    <w:p w14:paraId="42E1F143" w14:textId="77777777" w:rsidR="00146779" w:rsidRPr="00146779" w:rsidRDefault="00146779" w:rsidP="002976F9">
      <w:pPr>
        <w:pStyle w:val="ListParagraph"/>
        <w:jc w:val="both"/>
        <w:rPr>
          <w:lang w:val="en-GB"/>
        </w:rPr>
      </w:pPr>
    </w:p>
    <w:p w14:paraId="70F1706D" w14:textId="3415D1FB" w:rsidR="00D07609" w:rsidRPr="002976F9" w:rsidRDefault="00620EAD" w:rsidP="002976F9">
      <w:pPr>
        <w:jc w:val="both"/>
        <w:rPr>
          <w:b/>
          <w:bCs/>
          <w:iCs/>
          <w:lang w:val="en-GB"/>
        </w:rPr>
      </w:pPr>
      <w:r w:rsidRPr="002976F9">
        <w:rPr>
          <w:b/>
          <w:bCs/>
          <w:iCs/>
          <w:lang w:val="en-GB"/>
        </w:rPr>
        <w:t xml:space="preserve">Applicable </w:t>
      </w:r>
      <w:r w:rsidR="004A46E4" w:rsidRPr="002976F9">
        <w:rPr>
          <w:b/>
          <w:bCs/>
          <w:iCs/>
          <w:lang w:val="en-GB"/>
        </w:rPr>
        <w:t xml:space="preserve">Law </w:t>
      </w:r>
      <w:r w:rsidRPr="002976F9">
        <w:rPr>
          <w:b/>
          <w:bCs/>
          <w:iCs/>
          <w:lang w:val="en-GB"/>
        </w:rPr>
        <w:t>and Evaluation</w:t>
      </w:r>
    </w:p>
    <w:p w14:paraId="797304AC" w14:textId="77777777" w:rsidR="00C2004E" w:rsidRPr="003F4800" w:rsidRDefault="00C2004E" w:rsidP="002976F9">
      <w:pPr>
        <w:ind w:left="709"/>
        <w:jc w:val="both"/>
        <w:rPr>
          <w:i/>
          <w:u w:val="single"/>
          <w:lang w:val="en-GB"/>
        </w:rPr>
      </w:pPr>
    </w:p>
    <w:p w14:paraId="4C873D15" w14:textId="417CB02F" w:rsidR="00620EAD" w:rsidRPr="001A54D7" w:rsidRDefault="00263B50" w:rsidP="002976F9">
      <w:pPr>
        <w:jc w:val="both"/>
        <w:rPr>
          <w:lang w:val="en-GB"/>
        </w:rPr>
      </w:pPr>
      <w:r>
        <w:rPr>
          <w:lang w:val="en-GB"/>
        </w:rPr>
        <w:lastRenderedPageBreak/>
        <w:t>[</w:t>
      </w:r>
      <w:r w:rsidR="001E472A">
        <w:rPr>
          <w:lang w:val="en-GB"/>
        </w:rPr>
        <w:t>25</w:t>
      </w:r>
      <w:r w:rsidR="001A54D7">
        <w:rPr>
          <w:lang w:val="en-GB"/>
        </w:rPr>
        <w:t>]</w:t>
      </w:r>
      <w:r w:rsidR="001A54D7">
        <w:rPr>
          <w:lang w:val="en-GB"/>
        </w:rPr>
        <w:tab/>
      </w:r>
      <w:r w:rsidR="003767FC">
        <w:rPr>
          <w:lang w:val="en-GB"/>
        </w:rPr>
        <w:t>To settle the arguments raised</w:t>
      </w:r>
      <w:r w:rsidR="00146779" w:rsidRPr="001A54D7">
        <w:rPr>
          <w:lang w:val="en-GB"/>
        </w:rPr>
        <w:t xml:space="preserve"> it is </w:t>
      </w:r>
      <w:r w:rsidR="00865C85" w:rsidRPr="001A54D7">
        <w:rPr>
          <w:lang w:val="en-GB"/>
        </w:rPr>
        <w:t>appropriate</w:t>
      </w:r>
      <w:r w:rsidR="004A46E4" w:rsidRPr="001A54D7">
        <w:rPr>
          <w:lang w:val="en-GB"/>
        </w:rPr>
        <w:t>,</w:t>
      </w:r>
      <w:r w:rsidR="00146779" w:rsidRPr="001A54D7">
        <w:rPr>
          <w:lang w:val="en-GB"/>
        </w:rPr>
        <w:t xml:space="preserve"> to begin with what the</w:t>
      </w:r>
      <w:r w:rsidR="00C2004E" w:rsidRPr="001A54D7">
        <w:rPr>
          <w:lang w:val="en-GB"/>
        </w:rPr>
        <w:t xml:space="preserve"> parties </w:t>
      </w:r>
      <w:r w:rsidR="00A74CC0" w:rsidRPr="001A54D7">
        <w:rPr>
          <w:lang w:val="en-GB"/>
        </w:rPr>
        <w:t>must</w:t>
      </w:r>
      <w:r w:rsidR="00146779" w:rsidRPr="001A54D7">
        <w:rPr>
          <w:lang w:val="en-GB"/>
        </w:rPr>
        <w:t xml:space="preserve"> </w:t>
      </w:r>
      <w:r w:rsidR="00C2004E" w:rsidRPr="001A54D7">
        <w:rPr>
          <w:lang w:val="en-GB"/>
        </w:rPr>
        <w:t>prove on each of the</w:t>
      </w:r>
      <w:r w:rsidR="00146779" w:rsidRPr="001A54D7">
        <w:rPr>
          <w:lang w:val="en-GB"/>
        </w:rPr>
        <w:t xml:space="preserve"> three claims.</w:t>
      </w:r>
      <w:r w:rsidR="00865C85" w:rsidRPr="001A54D7">
        <w:rPr>
          <w:lang w:val="en-GB"/>
        </w:rPr>
        <w:t xml:space="preserve"> I now proceed to deal with arrest and detention. </w:t>
      </w:r>
      <w:r w:rsidR="00146779" w:rsidRPr="001A54D7">
        <w:rPr>
          <w:lang w:val="en-GB"/>
        </w:rPr>
        <w:t xml:space="preserve"> </w:t>
      </w:r>
      <w:r w:rsidR="00272CDC" w:rsidRPr="001A54D7">
        <w:rPr>
          <w:lang w:val="en-GB"/>
        </w:rPr>
        <w:t xml:space="preserve">It is well settled that police bear </w:t>
      </w:r>
      <w:r w:rsidR="004A46E4" w:rsidRPr="001A54D7">
        <w:rPr>
          <w:lang w:val="en-GB"/>
        </w:rPr>
        <w:t xml:space="preserve">the </w:t>
      </w:r>
      <w:r w:rsidR="00272CDC" w:rsidRPr="001A54D7">
        <w:rPr>
          <w:lang w:val="en-GB"/>
        </w:rPr>
        <w:t>onus to justify arrest and detention.</w:t>
      </w:r>
      <w:r w:rsidR="00AE25D0">
        <w:rPr>
          <w:rStyle w:val="FootnoteReference"/>
          <w:lang w:val="en-GB"/>
        </w:rPr>
        <w:footnoteReference w:id="13"/>
      </w:r>
      <w:r w:rsidR="00AE25D0" w:rsidRPr="001A54D7">
        <w:rPr>
          <w:lang w:val="en-GB"/>
        </w:rPr>
        <w:t xml:space="preserve"> In </w:t>
      </w:r>
      <w:r w:rsidR="00AE25D0" w:rsidRPr="002976F9">
        <w:rPr>
          <w:i/>
          <w:iCs/>
          <w:lang w:val="en-GB"/>
        </w:rPr>
        <w:t xml:space="preserve">Minister of </w:t>
      </w:r>
      <w:r w:rsidR="004A46E4" w:rsidRPr="002976F9">
        <w:rPr>
          <w:i/>
          <w:iCs/>
          <w:lang w:val="en-GB"/>
        </w:rPr>
        <w:t>Law and Order</w:t>
      </w:r>
      <w:r w:rsidR="00AE25D0" w:rsidRPr="002976F9">
        <w:rPr>
          <w:i/>
          <w:iCs/>
          <w:lang w:val="en-GB"/>
        </w:rPr>
        <w:t xml:space="preserve"> v Hurley &amp; Another</w:t>
      </w:r>
      <w:r w:rsidR="00AE25D0" w:rsidRPr="00F570C9">
        <w:rPr>
          <w:rStyle w:val="FootnoteReference"/>
          <w:b/>
          <w:lang w:val="en-GB"/>
        </w:rPr>
        <w:footnoteReference w:id="14"/>
      </w:r>
      <w:r w:rsidR="00AE25D0" w:rsidRPr="001A54D7">
        <w:rPr>
          <w:lang w:val="en-GB"/>
        </w:rPr>
        <w:t>, the court remarked as follows,</w:t>
      </w:r>
    </w:p>
    <w:p w14:paraId="7B3F3F8B" w14:textId="77777777" w:rsidR="00AE25D0" w:rsidRDefault="00AE25D0" w:rsidP="002976F9">
      <w:pPr>
        <w:pStyle w:val="ListParagraph"/>
        <w:jc w:val="both"/>
        <w:rPr>
          <w:lang w:val="en-GB"/>
        </w:rPr>
      </w:pPr>
    </w:p>
    <w:p w14:paraId="4475AD6F" w14:textId="3BAF0CCD" w:rsidR="00AE25D0" w:rsidRPr="002976F9" w:rsidRDefault="00263B50" w:rsidP="002976F9">
      <w:pPr>
        <w:ind w:left="720"/>
        <w:jc w:val="both"/>
        <w:rPr>
          <w:i/>
          <w:lang w:val="en-GB"/>
        </w:rPr>
      </w:pPr>
      <w:r w:rsidRPr="002976F9">
        <w:rPr>
          <w:iCs/>
          <w:sz w:val="20"/>
          <w:szCs w:val="20"/>
          <w:lang w:val="en-GB"/>
        </w:rPr>
        <w:t>“An</w:t>
      </w:r>
      <w:r w:rsidR="00AE25D0" w:rsidRPr="002976F9">
        <w:rPr>
          <w:iCs/>
          <w:sz w:val="20"/>
          <w:szCs w:val="20"/>
          <w:lang w:val="en-GB"/>
        </w:rPr>
        <w:t xml:space="preserve"> arrest constitutes an interference with the liberty of an individual concerned and i</w:t>
      </w:r>
      <w:r w:rsidR="00865C85" w:rsidRPr="002976F9">
        <w:rPr>
          <w:iCs/>
          <w:sz w:val="20"/>
          <w:szCs w:val="20"/>
          <w:lang w:val="en-GB"/>
        </w:rPr>
        <w:t xml:space="preserve">t therefore seems to be fair </w:t>
      </w:r>
      <w:r w:rsidR="00AE25D0" w:rsidRPr="002976F9">
        <w:rPr>
          <w:iCs/>
          <w:sz w:val="20"/>
          <w:szCs w:val="20"/>
          <w:lang w:val="en-GB"/>
        </w:rPr>
        <w:t xml:space="preserve">and just to require that the person who arrested </w:t>
      </w:r>
      <w:r w:rsidR="00F570C9" w:rsidRPr="002976F9">
        <w:rPr>
          <w:iCs/>
          <w:sz w:val="20"/>
          <w:szCs w:val="20"/>
          <w:lang w:val="en-GB"/>
        </w:rPr>
        <w:t>or caused the arrest of</w:t>
      </w:r>
      <w:r w:rsidR="00AE25D0" w:rsidRPr="002976F9">
        <w:rPr>
          <w:iCs/>
          <w:sz w:val="20"/>
          <w:szCs w:val="20"/>
          <w:lang w:val="en-GB"/>
        </w:rPr>
        <w:t xml:space="preserve"> another</w:t>
      </w:r>
      <w:r w:rsidR="00F570C9" w:rsidRPr="002976F9">
        <w:rPr>
          <w:iCs/>
          <w:sz w:val="20"/>
          <w:szCs w:val="20"/>
          <w:lang w:val="en-GB"/>
        </w:rPr>
        <w:t xml:space="preserve"> person should bear the onus of proving that his action was justified in law</w:t>
      </w:r>
      <w:r w:rsidR="004A46E4" w:rsidRPr="002976F9">
        <w:rPr>
          <w:iCs/>
          <w:sz w:val="20"/>
          <w:szCs w:val="20"/>
          <w:lang w:val="en-GB"/>
        </w:rPr>
        <w:t>”</w:t>
      </w:r>
    </w:p>
    <w:p w14:paraId="718B5190" w14:textId="77777777" w:rsidR="00971A60" w:rsidRDefault="00971A60" w:rsidP="002976F9">
      <w:pPr>
        <w:pStyle w:val="ListParagraph"/>
        <w:jc w:val="both"/>
        <w:rPr>
          <w:i/>
          <w:lang w:val="en-GB"/>
        </w:rPr>
      </w:pPr>
    </w:p>
    <w:p w14:paraId="08C50424" w14:textId="2DAD8B77" w:rsidR="00F570C9" w:rsidRPr="001A54D7" w:rsidRDefault="00263B50" w:rsidP="002976F9">
      <w:pPr>
        <w:jc w:val="both"/>
        <w:rPr>
          <w:lang w:val="en-GB"/>
        </w:rPr>
      </w:pPr>
      <w:r>
        <w:rPr>
          <w:lang w:val="en-GB"/>
        </w:rPr>
        <w:t>[2</w:t>
      </w:r>
      <w:r w:rsidR="001E472A">
        <w:rPr>
          <w:lang w:val="en-GB"/>
        </w:rPr>
        <w:t>6</w:t>
      </w:r>
      <w:r w:rsidR="001A54D7">
        <w:rPr>
          <w:lang w:val="en-GB"/>
        </w:rPr>
        <w:t>]</w:t>
      </w:r>
      <w:r w:rsidR="001A54D7">
        <w:rPr>
          <w:lang w:val="en-GB"/>
        </w:rPr>
        <w:tab/>
      </w:r>
      <w:r w:rsidR="00F570C9" w:rsidRPr="001A54D7">
        <w:rPr>
          <w:lang w:val="en-GB"/>
        </w:rPr>
        <w:t xml:space="preserve">It is common cause that the arresting officer arrested the Plaintiff without a warrant. </w:t>
      </w:r>
      <w:r w:rsidR="00E67084" w:rsidRPr="001A54D7">
        <w:rPr>
          <w:lang w:val="en-GB"/>
        </w:rPr>
        <w:t>Section 40(1)(b) of the Criminal Procedure Act reads,</w:t>
      </w:r>
    </w:p>
    <w:p w14:paraId="093C9241" w14:textId="77777777" w:rsidR="00E67084" w:rsidRDefault="00E67084" w:rsidP="002976F9">
      <w:pPr>
        <w:pStyle w:val="ListParagraph"/>
        <w:jc w:val="both"/>
        <w:rPr>
          <w:lang w:val="en-GB"/>
        </w:rPr>
      </w:pPr>
    </w:p>
    <w:p w14:paraId="73C36B6D" w14:textId="1FB4B04C" w:rsidR="00E67084" w:rsidRPr="002976F9" w:rsidRDefault="00263B50" w:rsidP="002976F9">
      <w:pPr>
        <w:pStyle w:val="ListParagraph"/>
        <w:jc w:val="both"/>
        <w:rPr>
          <w:lang w:val="en-GB"/>
        </w:rPr>
      </w:pPr>
      <w:r w:rsidRPr="002976F9">
        <w:rPr>
          <w:iCs/>
          <w:sz w:val="20"/>
          <w:szCs w:val="20"/>
          <w:lang w:val="en-GB"/>
        </w:rPr>
        <w:t>“A</w:t>
      </w:r>
      <w:r w:rsidR="00E67084" w:rsidRPr="002976F9">
        <w:rPr>
          <w:iCs/>
          <w:sz w:val="20"/>
          <w:szCs w:val="20"/>
          <w:lang w:val="en-GB"/>
        </w:rPr>
        <w:t xml:space="preserve"> peace officer may without a </w:t>
      </w:r>
      <w:r w:rsidR="00BB58E7" w:rsidRPr="00BB58E7">
        <w:rPr>
          <w:iCs/>
          <w:sz w:val="20"/>
          <w:szCs w:val="20"/>
          <w:lang w:val="en-GB"/>
        </w:rPr>
        <w:t>warrant,</w:t>
      </w:r>
      <w:r w:rsidR="00E67084" w:rsidRPr="002976F9">
        <w:rPr>
          <w:iCs/>
          <w:sz w:val="20"/>
          <w:szCs w:val="20"/>
          <w:lang w:val="en-GB"/>
        </w:rPr>
        <w:t xml:space="preserve"> arrest any person whom he reasonably suspects of having committed an offence referred to in Schedule I, other than offence of escaping from custody</w:t>
      </w:r>
      <w:r w:rsidR="004A46E4" w:rsidRPr="002976F9">
        <w:rPr>
          <w:iCs/>
          <w:sz w:val="20"/>
          <w:szCs w:val="20"/>
          <w:lang w:val="en-GB"/>
        </w:rPr>
        <w:t>”</w:t>
      </w:r>
    </w:p>
    <w:p w14:paraId="2AFD2E0F" w14:textId="77777777" w:rsidR="00E67084" w:rsidRPr="00E67084" w:rsidRDefault="00E67084" w:rsidP="002976F9">
      <w:pPr>
        <w:pStyle w:val="ListParagraph"/>
        <w:jc w:val="both"/>
        <w:rPr>
          <w:lang w:val="en-GB"/>
        </w:rPr>
      </w:pPr>
    </w:p>
    <w:p w14:paraId="4DDCB9DC" w14:textId="1B5C2729" w:rsidR="00E67084" w:rsidRPr="001A54D7" w:rsidRDefault="001E472A" w:rsidP="002976F9">
      <w:pPr>
        <w:jc w:val="both"/>
        <w:rPr>
          <w:lang w:val="en-GB"/>
        </w:rPr>
      </w:pPr>
      <w:r>
        <w:rPr>
          <w:lang w:val="en-GB"/>
        </w:rPr>
        <w:t>[27</w:t>
      </w:r>
      <w:r w:rsidR="001A54D7">
        <w:rPr>
          <w:lang w:val="en-GB"/>
        </w:rPr>
        <w:t>]</w:t>
      </w:r>
      <w:r w:rsidR="001A54D7">
        <w:rPr>
          <w:lang w:val="en-GB"/>
        </w:rPr>
        <w:tab/>
      </w:r>
      <w:r w:rsidR="00195A7A" w:rsidRPr="001A54D7">
        <w:rPr>
          <w:lang w:val="en-GB"/>
        </w:rPr>
        <w:t>The jurisdictional facts for section 40(1)(b) defence were enc</w:t>
      </w:r>
      <w:r w:rsidR="00467AC0" w:rsidRPr="001A54D7">
        <w:rPr>
          <w:lang w:val="en-GB"/>
        </w:rPr>
        <w:t>apsulated</w:t>
      </w:r>
      <w:r w:rsidR="00195A7A" w:rsidRPr="001A54D7">
        <w:rPr>
          <w:lang w:val="en-GB"/>
        </w:rPr>
        <w:t xml:space="preserve"> in </w:t>
      </w:r>
      <w:r w:rsidR="00195A7A" w:rsidRPr="002976F9">
        <w:rPr>
          <w:i/>
          <w:iCs/>
          <w:lang w:val="en-GB"/>
        </w:rPr>
        <w:t>Duncan v Minister of Law and Order</w:t>
      </w:r>
      <w:r w:rsidR="00195A7A">
        <w:rPr>
          <w:rStyle w:val="FootnoteReference"/>
          <w:lang w:val="en-GB"/>
        </w:rPr>
        <w:footnoteReference w:id="15"/>
      </w:r>
      <w:r w:rsidR="00195A7A" w:rsidRPr="001A54D7">
        <w:rPr>
          <w:lang w:val="en-GB"/>
        </w:rPr>
        <w:t xml:space="preserve"> as follows:</w:t>
      </w:r>
    </w:p>
    <w:p w14:paraId="27D3008B" w14:textId="77777777" w:rsidR="00195A7A" w:rsidRDefault="00195A7A" w:rsidP="002976F9">
      <w:pPr>
        <w:pStyle w:val="ListParagraph"/>
        <w:jc w:val="both"/>
        <w:rPr>
          <w:lang w:val="en-GB"/>
        </w:rPr>
      </w:pPr>
    </w:p>
    <w:p w14:paraId="64C8A33E" w14:textId="30B762E5" w:rsidR="00195A7A" w:rsidRDefault="00195A7A" w:rsidP="002976F9">
      <w:pPr>
        <w:pStyle w:val="ListParagraph"/>
        <w:numPr>
          <w:ilvl w:val="0"/>
          <w:numId w:val="11"/>
        </w:numPr>
        <w:jc w:val="both"/>
        <w:rPr>
          <w:lang w:val="en-GB"/>
        </w:rPr>
      </w:pPr>
      <w:r>
        <w:rPr>
          <w:lang w:val="en-GB"/>
        </w:rPr>
        <w:t>The arrester must be a peace officer</w:t>
      </w:r>
      <w:r w:rsidR="00E83B6B">
        <w:rPr>
          <w:lang w:val="en-GB"/>
        </w:rPr>
        <w:t>;</w:t>
      </w:r>
      <w:r>
        <w:rPr>
          <w:lang w:val="en-GB"/>
        </w:rPr>
        <w:t xml:space="preserve"> </w:t>
      </w:r>
    </w:p>
    <w:p w14:paraId="002B7E0F" w14:textId="4BAC0B6F" w:rsidR="00195A7A" w:rsidRDefault="00195A7A" w:rsidP="002976F9">
      <w:pPr>
        <w:pStyle w:val="ListParagraph"/>
        <w:numPr>
          <w:ilvl w:val="0"/>
          <w:numId w:val="11"/>
        </w:numPr>
        <w:jc w:val="both"/>
        <w:rPr>
          <w:lang w:val="en-GB"/>
        </w:rPr>
      </w:pPr>
      <w:r>
        <w:rPr>
          <w:lang w:val="en-GB"/>
        </w:rPr>
        <w:t>The arrester must entertain a suspicion</w:t>
      </w:r>
      <w:r w:rsidR="00E83B6B">
        <w:rPr>
          <w:lang w:val="en-GB"/>
        </w:rPr>
        <w:t>;</w:t>
      </w:r>
      <w:r>
        <w:rPr>
          <w:lang w:val="en-GB"/>
        </w:rPr>
        <w:t xml:space="preserve"> </w:t>
      </w:r>
    </w:p>
    <w:p w14:paraId="1F8FB495" w14:textId="58BE2DDB" w:rsidR="00195A7A" w:rsidRDefault="00195A7A" w:rsidP="002976F9">
      <w:pPr>
        <w:pStyle w:val="ListParagraph"/>
        <w:numPr>
          <w:ilvl w:val="0"/>
          <w:numId w:val="11"/>
        </w:numPr>
        <w:jc w:val="both"/>
        <w:rPr>
          <w:lang w:val="en-GB"/>
        </w:rPr>
      </w:pPr>
      <w:r>
        <w:rPr>
          <w:lang w:val="en-GB"/>
        </w:rPr>
        <w:t xml:space="preserve">The suspicion must be that the arrestee committed an offence referred to in </w:t>
      </w:r>
      <w:r w:rsidR="004A46E4">
        <w:rPr>
          <w:lang w:val="en-GB"/>
        </w:rPr>
        <w:t xml:space="preserve">Schedule </w:t>
      </w:r>
      <w:r w:rsidR="001A54D7">
        <w:rPr>
          <w:lang w:val="en-GB"/>
        </w:rPr>
        <w:t>1</w:t>
      </w:r>
      <w:r w:rsidR="00E83B6B">
        <w:rPr>
          <w:lang w:val="en-GB"/>
        </w:rPr>
        <w:t>;</w:t>
      </w:r>
      <w:r>
        <w:rPr>
          <w:lang w:val="en-GB"/>
        </w:rPr>
        <w:t xml:space="preserve"> and </w:t>
      </w:r>
    </w:p>
    <w:p w14:paraId="670F7545" w14:textId="77777777" w:rsidR="00195A7A" w:rsidRDefault="00195A7A" w:rsidP="002976F9">
      <w:pPr>
        <w:pStyle w:val="ListParagraph"/>
        <w:numPr>
          <w:ilvl w:val="0"/>
          <w:numId w:val="11"/>
        </w:numPr>
        <w:jc w:val="both"/>
        <w:rPr>
          <w:lang w:val="en-GB"/>
        </w:rPr>
      </w:pPr>
      <w:r>
        <w:rPr>
          <w:lang w:val="en-GB"/>
        </w:rPr>
        <w:t>The suspicion must rest on reasonable grounds</w:t>
      </w:r>
    </w:p>
    <w:p w14:paraId="5712C8AF" w14:textId="77777777" w:rsidR="00AB2A64" w:rsidRDefault="00AB2A64" w:rsidP="002976F9">
      <w:pPr>
        <w:pStyle w:val="ListParagraph"/>
        <w:ind w:left="1440"/>
        <w:jc w:val="both"/>
        <w:rPr>
          <w:lang w:val="en-GB"/>
        </w:rPr>
      </w:pPr>
    </w:p>
    <w:p w14:paraId="06A9BBA4" w14:textId="63292CA6" w:rsidR="00AB2A64" w:rsidRDefault="001E472A" w:rsidP="00D84932">
      <w:pPr>
        <w:jc w:val="both"/>
        <w:rPr>
          <w:lang w:val="en-GB"/>
        </w:rPr>
      </w:pPr>
      <w:r>
        <w:rPr>
          <w:lang w:val="en-GB"/>
        </w:rPr>
        <w:t>[28</w:t>
      </w:r>
      <w:r w:rsidR="001A54D7">
        <w:rPr>
          <w:lang w:val="en-GB"/>
        </w:rPr>
        <w:t>]</w:t>
      </w:r>
      <w:r w:rsidR="001A54D7">
        <w:rPr>
          <w:lang w:val="en-GB"/>
        </w:rPr>
        <w:tab/>
      </w:r>
      <w:r w:rsidR="00E11C9E" w:rsidRPr="001A54D7">
        <w:rPr>
          <w:lang w:val="en-GB"/>
        </w:rPr>
        <w:t xml:space="preserve">In </w:t>
      </w:r>
      <w:proofErr w:type="spellStart"/>
      <w:r w:rsidR="00E11C9E" w:rsidRPr="002976F9">
        <w:rPr>
          <w:i/>
          <w:iCs/>
          <w:lang w:val="en-GB"/>
        </w:rPr>
        <w:t>Mabona</w:t>
      </w:r>
      <w:proofErr w:type="spellEnd"/>
      <w:r w:rsidR="00E11C9E" w:rsidRPr="002976F9">
        <w:rPr>
          <w:i/>
          <w:iCs/>
          <w:lang w:val="en-GB"/>
        </w:rPr>
        <w:t xml:space="preserve"> and Another v Minister of Law and </w:t>
      </w:r>
      <w:r w:rsidR="004A46E4" w:rsidRPr="002976F9">
        <w:rPr>
          <w:i/>
          <w:iCs/>
          <w:lang w:val="en-GB"/>
        </w:rPr>
        <w:t xml:space="preserve">Order </w:t>
      </w:r>
      <w:r w:rsidR="00E11C9E" w:rsidRPr="002976F9">
        <w:rPr>
          <w:i/>
          <w:iCs/>
          <w:lang w:val="en-GB"/>
        </w:rPr>
        <w:t xml:space="preserve">and </w:t>
      </w:r>
      <w:r w:rsidR="004A46E4" w:rsidRPr="002976F9">
        <w:rPr>
          <w:i/>
          <w:iCs/>
          <w:lang w:val="en-GB"/>
        </w:rPr>
        <w:t>O</w:t>
      </w:r>
      <w:r w:rsidR="00E11C9E" w:rsidRPr="002976F9">
        <w:rPr>
          <w:i/>
          <w:iCs/>
          <w:lang w:val="en-GB"/>
        </w:rPr>
        <w:t>thers</w:t>
      </w:r>
      <w:r w:rsidR="00E11C9E">
        <w:rPr>
          <w:rStyle w:val="FootnoteReference"/>
          <w:lang w:val="en-GB"/>
        </w:rPr>
        <w:footnoteReference w:id="16"/>
      </w:r>
      <w:r w:rsidR="00E11C9E" w:rsidRPr="001A54D7">
        <w:rPr>
          <w:lang w:val="en-GB"/>
        </w:rPr>
        <w:t>, Jones J remarked</w:t>
      </w:r>
      <w:r w:rsidR="001A54D7">
        <w:rPr>
          <w:lang w:val="en-GB"/>
        </w:rPr>
        <w:t>:</w:t>
      </w:r>
    </w:p>
    <w:p w14:paraId="79C04653" w14:textId="77777777" w:rsidR="00BA70D0" w:rsidRDefault="00BA70D0" w:rsidP="00D84932">
      <w:pPr>
        <w:jc w:val="both"/>
        <w:rPr>
          <w:lang w:val="en-GB"/>
        </w:rPr>
      </w:pPr>
    </w:p>
    <w:p w14:paraId="115F32C7" w14:textId="28333C54" w:rsidR="00E11C9E" w:rsidRPr="002976F9" w:rsidRDefault="00C96D5F" w:rsidP="002976F9">
      <w:pPr>
        <w:ind w:left="720"/>
        <w:jc w:val="both"/>
        <w:rPr>
          <w:iCs/>
          <w:sz w:val="20"/>
          <w:szCs w:val="20"/>
          <w:lang w:val="en-GB"/>
        </w:rPr>
      </w:pPr>
      <w:r>
        <w:rPr>
          <w:sz w:val="20"/>
          <w:szCs w:val="20"/>
          <w:lang w:val="en-GB"/>
        </w:rPr>
        <w:t>“</w:t>
      </w:r>
      <w:r w:rsidR="0083545A" w:rsidRPr="002976F9">
        <w:rPr>
          <w:sz w:val="20"/>
          <w:szCs w:val="20"/>
          <w:lang w:val="en-GB"/>
        </w:rPr>
        <w:t>……</w:t>
      </w:r>
      <w:r w:rsidR="00BA70D0" w:rsidRPr="002976F9">
        <w:rPr>
          <w:sz w:val="20"/>
          <w:szCs w:val="20"/>
          <w:lang w:val="en-GB"/>
        </w:rPr>
        <w:t>It seems to me that in</w:t>
      </w:r>
      <w:r w:rsidR="0083545A" w:rsidRPr="002976F9">
        <w:rPr>
          <w:sz w:val="20"/>
          <w:szCs w:val="20"/>
          <w:lang w:val="en-GB"/>
        </w:rPr>
        <w:t xml:space="preserve"> evaluating his information a reasonable man would bear in mind that the section authorizes drastic police action. It authorises an arrest on the strength of a suspicion and without the need to swear a warrant, </w:t>
      </w:r>
      <w:r w:rsidRPr="00C96D5F">
        <w:rPr>
          <w:sz w:val="20"/>
          <w:szCs w:val="20"/>
          <w:lang w:val="en-GB"/>
        </w:rPr>
        <w:t>i.e.,</w:t>
      </w:r>
      <w:r w:rsidR="0083545A" w:rsidRPr="002976F9">
        <w:rPr>
          <w:sz w:val="20"/>
          <w:szCs w:val="20"/>
          <w:lang w:val="en-GB"/>
        </w:rPr>
        <w:t xml:space="preserve"> something which otherwise would be an invasion of private rights and personal liberty. The reasonable man will therefore analyse </w:t>
      </w:r>
      <w:r w:rsidR="0083545A" w:rsidRPr="002976F9">
        <w:rPr>
          <w:sz w:val="20"/>
          <w:szCs w:val="20"/>
          <w:lang w:val="en-GB"/>
        </w:rPr>
        <w:lastRenderedPageBreak/>
        <w:t xml:space="preserve">and assess the quality of information at his disposal critically and he will not </w:t>
      </w:r>
      <w:r w:rsidRPr="00C96D5F">
        <w:rPr>
          <w:sz w:val="20"/>
          <w:szCs w:val="20"/>
          <w:lang w:val="en-GB"/>
        </w:rPr>
        <w:t>accept it</w:t>
      </w:r>
      <w:r w:rsidR="0083545A" w:rsidRPr="002976F9">
        <w:rPr>
          <w:sz w:val="20"/>
          <w:szCs w:val="20"/>
          <w:lang w:val="en-GB"/>
        </w:rPr>
        <w:t xml:space="preserve"> lightly or without checking it where it can be checked. It is only after an examination of this kind that he will allow himself to entertain a suspicion which will justify an arrest.</w:t>
      </w:r>
      <w:r>
        <w:rPr>
          <w:sz w:val="20"/>
          <w:szCs w:val="20"/>
          <w:lang w:val="en-GB"/>
        </w:rPr>
        <w:t xml:space="preserve"> </w:t>
      </w:r>
      <w:r w:rsidR="00932009" w:rsidRPr="002976F9">
        <w:rPr>
          <w:iCs/>
          <w:sz w:val="20"/>
          <w:szCs w:val="20"/>
          <w:lang w:val="en-GB"/>
        </w:rPr>
        <w:t>This</w:t>
      </w:r>
      <w:r w:rsidR="00E11C9E" w:rsidRPr="002976F9">
        <w:rPr>
          <w:iCs/>
          <w:sz w:val="20"/>
          <w:szCs w:val="20"/>
          <w:lang w:val="en-GB"/>
        </w:rPr>
        <w:t xml:space="preserve"> is not to say that the information at his disposal must be of sufficiently high quality and cogency to engender in him a conviction that the suspect is in fact guilty. The Section requires suspicion but not certainty. </w:t>
      </w:r>
      <w:r w:rsidR="00932009" w:rsidRPr="002976F9">
        <w:rPr>
          <w:iCs/>
          <w:sz w:val="20"/>
          <w:szCs w:val="20"/>
          <w:lang w:val="en-GB"/>
        </w:rPr>
        <w:t>However</w:t>
      </w:r>
      <w:r w:rsidR="00E11C9E" w:rsidRPr="002976F9">
        <w:rPr>
          <w:iCs/>
          <w:sz w:val="20"/>
          <w:szCs w:val="20"/>
          <w:lang w:val="en-GB"/>
        </w:rPr>
        <w:t xml:space="preserve">, the suspicion must be based on solid grounds. </w:t>
      </w:r>
      <w:r w:rsidR="00932009" w:rsidRPr="002976F9">
        <w:rPr>
          <w:iCs/>
          <w:sz w:val="20"/>
          <w:szCs w:val="20"/>
          <w:lang w:val="en-GB"/>
        </w:rPr>
        <w:t>Otherwise,</w:t>
      </w:r>
      <w:r w:rsidR="00E11C9E" w:rsidRPr="002976F9">
        <w:rPr>
          <w:iCs/>
          <w:sz w:val="20"/>
          <w:szCs w:val="20"/>
          <w:lang w:val="en-GB"/>
        </w:rPr>
        <w:t xml:space="preserve"> it will be</w:t>
      </w:r>
      <w:r w:rsidR="0083545A" w:rsidRPr="00C96D5F">
        <w:rPr>
          <w:iCs/>
          <w:sz w:val="20"/>
          <w:szCs w:val="20"/>
          <w:lang w:val="en-GB"/>
        </w:rPr>
        <w:t xml:space="preserve"> flighty or</w:t>
      </w:r>
      <w:r w:rsidR="00E11C9E" w:rsidRPr="002976F9">
        <w:rPr>
          <w:iCs/>
          <w:sz w:val="20"/>
          <w:szCs w:val="20"/>
          <w:lang w:val="en-GB"/>
        </w:rPr>
        <w:t xml:space="preserve"> </w:t>
      </w:r>
      <w:r w:rsidRPr="00C96D5F">
        <w:rPr>
          <w:iCs/>
          <w:sz w:val="20"/>
          <w:szCs w:val="20"/>
          <w:lang w:val="en-GB"/>
        </w:rPr>
        <w:t>arbitrary</w:t>
      </w:r>
      <w:r w:rsidRPr="002976F9">
        <w:rPr>
          <w:iCs/>
          <w:sz w:val="20"/>
          <w:szCs w:val="20"/>
          <w:lang w:val="en-GB"/>
        </w:rPr>
        <w:t xml:space="preserve"> </w:t>
      </w:r>
      <w:r w:rsidR="00E11C9E" w:rsidRPr="002976F9">
        <w:rPr>
          <w:iCs/>
          <w:sz w:val="20"/>
          <w:szCs w:val="20"/>
          <w:lang w:val="en-GB"/>
        </w:rPr>
        <w:t>and not a reasonable suspicion.</w:t>
      </w:r>
      <w:r w:rsidR="004A46E4" w:rsidRPr="002976F9">
        <w:rPr>
          <w:iCs/>
          <w:sz w:val="20"/>
          <w:szCs w:val="20"/>
          <w:lang w:val="en-GB"/>
        </w:rPr>
        <w:t>”</w:t>
      </w:r>
      <w:r w:rsidR="00E11C9E" w:rsidRPr="002976F9">
        <w:rPr>
          <w:iCs/>
          <w:sz w:val="20"/>
          <w:szCs w:val="20"/>
          <w:lang w:val="en-GB"/>
        </w:rPr>
        <w:t xml:space="preserve"> </w:t>
      </w:r>
    </w:p>
    <w:p w14:paraId="0C2BA548" w14:textId="77777777" w:rsidR="008F68E1" w:rsidRPr="002976F9" w:rsidRDefault="008F68E1" w:rsidP="002976F9">
      <w:pPr>
        <w:pStyle w:val="ListParagraph"/>
        <w:ind w:left="1440"/>
        <w:jc w:val="both"/>
        <w:rPr>
          <w:sz w:val="20"/>
          <w:szCs w:val="20"/>
          <w:lang w:val="en-GB"/>
        </w:rPr>
      </w:pPr>
    </w:p>
    <w:p w14:paraId="0F4BCB91" w14:textId="28C49FBE" w:rsidR="00095E6E" w:rsidRDefault="001E472A" w:rsidP="002976F9">
      <w:pPr>
        <w:jc w:val="both"/>
        <w:rPr>
          <w:lang w:val="en-GB"/>
        </w:rPr>
      </w:pPr>
      <w:r>
        <w:rPr>
          <w:lang w:val="en-GB"/>
        </w:rPr>
        <w:t>[29</w:t>
      </w:r>
      <w:r w:rsidR="001A54D7">
        <w:rPr>
          <w:lang w:val="en-GB"/>
        </w:rPr>
        <w:t>]</w:t>
      </w:r>
      <w:r w:rsidR="001A54D7">
        <w:rPr>
          <w:lang w:val="en-GB"/>
        </w:rPr>
        <w:tab/>
      </w:r>
      <w:r w:rsidR="00400BCF" w:rsidRPr="001A54D7">
        <w:rPr>
          <w:lang w:val="en-GB"/>
        </w:rPr>
        <w:t xml:space="preserve">In </w:t>
      </w:r>
      <w:r w:rsidR="004A46E4" w:rsidRPr="001A54D7">
        <w:rPr>
          <w:lang w:val="en-GB"/>
        </w:rPr>
        <w:t xml:space="preserve">the </w:t>
      </w:r>
      <w:r w:rsidR="00400BCF" w:rsidRPr="001A54D7">
        <w:rPr>
          <w:lang w:val="en-GB"/>
        </w:rPr>
        <w:t xml:space="preserve">case under consideration, </w:t>
      </w:r>
      <w:r w:rsidR="008F68E1" w:rsidRPr="001A54D7">
        <w:rPr>
          <w:lang w:val="en-GB"/>
        </w:rPr>
        <w:t>it h</w:t>
      </w:r>
      <w:r w:rsidR="003B2856" w:rsidRPr="001A54D7">
        <w:rPr>
          <w:lang w:val="en-GB"/>
        </w:rPr>
        <w:t xml:space="preserve">as been proved that </w:t>
      </w:r>
      <w:r w:rsidR="000E5FD9">
        <w:rPr>
          <w:lang w:val="en-GB"/>
        </w:rPr>
        <w:t>s</w:t>
      </w:r>
      <w:r w:rsidR="00EC4A0A" w:rsidRPr="001A54D7">
        <w:rPr>
          <w:lang w:val="en-GB"/>
        </w:rPr>
        <w:t xml:space="preserve">ergeant </w:t>
      </w:r>
      <w:proofErr w:type="spellStart"/>
      <w:r w:rsidR="003B2856" w:rsidRPr="001A54D7">
        <w:rPr>
          <w:lang w:val="en-GB"/>
        </w:rPr>
        <w:t>Qoloma</w:t>
      </w:r>
      <w:r w:rsidR="008F68E1" w:rsidRPr="001A54D7">
        <w:rPr>
          <w:lang w:val="en-GB"/>
        </w:rPr>
        <w:t>she</w:t>
      </w:r>
      <w:proofErr w:type="spellEnd"/>
      <w:r w:rsidR="008F68E1" w:rsidRPr="001A54D7">
        <w:rPr>
          <w:lang w:val="en-GB"/>
        </w:rPr>
        <w:t xml:space="preserve"> was a peace officer, he entertained a suspicion that the Plaintiff committed a rape of a minor child.  In terms of the Criminal Procedure Act rape falls under </w:t>
      </w:r>
      <w:r w:rsidR="004A46E4" w:rsidRPr="001A54D7">
        <w:rPr>
          <w:lang w:val="en-GB"/>
        </w:rPr>
        <w:t xml:space="preserve">schedules </w:t>
      </w:r>
      <w:r w:rsidR="008F68E1" w:rsidRPr="001A54D7">
        <w:rPr>
          <w:lang w:val="en-GB"/>
        </w:rPr>
        <w:t xml:space="preserve">1 and 6 of the Act. </w:t>
      </w:r>
      <w:r w:rsidR="004A46E4" w:rsidRPr="001A54D7">
        <w:rPr>
          <w:lang w:val="en-GB"/>
        </w:rPr>
        <w:t>Regrettably</w:t>
      </w:r>
      <w:r w:rsidR="00400BCF" w:rsidRPr="001A54D7">
        <w:rPr>
          <w:lang w:val="en-GB"/>
        </w:rPr>
        <w:t>,</w:t>
      </w:r>
      <w:r w:rsidR="008F68E1" w:rsidRPr="001A54D7">
        <w:rPr>
          <w:lang w:val="en-GB"/>
        </w:rPr>
        <w:t xml:space="preserve"> couns</w:t>
      </w:r>
      <w:r w:rsidR="00543E34" w:rsidRPr="001A54D7">
        <w:rPr>
          <w:lang w:val="en-GB"/>
        </w:rPr>
        <w:t xml:space="preserve">el </w:t>
      </w:r>
      <w:r w:rsidR="00CD3FA3">
        <w:rPr>
          <w:lang w:val="en-GB"/>
        </w:rPr>
        <w:t>for the P</w:t>
      </w:r>
      <w:r w:rsidR="00400BCF" w:rsidRPr="001A54D7">
        <w:rPr>
          <w:lang w:val="en-GB"/>
        </w:rPr>
        <w:t>laintiff overlooked this aspect</w:t>
      </w:r>
      <w:r w:rsidR="008F68E1" w:rsidRPr="001A54D7">
        <w:rPr>
          <w:lang w:val="en-GB"/>
        </w:rPr>
        <w:t>.</w:t>
      </w:r>
    </w:p>
    <w:p w14:paraId="4CBD13C5" w14:textId="69CD3910" w:rsidR="006217E7" w:rsidRDefault="00400BCF" w:rsidP="002976F9">
      <w:pPr>
        <w:jc w:val="both"/>
        <w:rPr>
          <w:lang w:val="en-GB"/>
        </w:rPr>
      </w:pPr>
      <w:r w:rsidRPr="001A54D7">
        <w:rPr>
          <w:lang w:val="en-GB"/>
        </w:rPr>
        <w:t xml:space="preserve"> </w:t>
      </w:r>
    </w:p>
    <w:p w14:paraId="01707C59" w14:textId="33B58F80" w:rsidR="00F570C9" w:rsidRPr="001A54D7" w:rsidRDefault="006217E7" w:rsidP="002976F9">
      <w:pPr>
        <w:jc w:val="both"/>
        <w:rPr>
          <w:lang w:val="en-GB"/>
        </w:rPr>
      </w:pPr>
      <w:r>
        <w:rPr>
          <w:lang w:val="en-GB"/>
        </w:rPr>
        <w:t>[</w:t>
      </w:r>
      <w:r w:rsidR="001E472A">
        <w:rPr>
          <w:lang w:val="en-GB"/>
        </w:rPr>
        <w:t>30</w:t>
      </w:r>
      <w:r>
        <w:rPr>
          <w:lang w:val="en-GB"/>
        </w:rPr>
        <w:t>]</w:t>
      </w:r>
      <w:r>
        <w:rPr>
          <w:lang w:val="en-GB"/>
        </w:rPr>
        <w:tab/>
        <w:t>Gleaning f</w:t>
      </w:r>
      <w:r w:rsidR="009D6702" w:rsidRPr="001A54D7">
        <w:rPr>
          <w:lang w:val="en-GB"/>
        </w:rPr>
        <w:t>rom the information that was discovered</w:t>
      </w:r>
      <w:r w:rsidR="007E5701">
        <w:rPr>
          <w:lang w:val="en-GB"/>
        </w:rPr>
        <w:t>,</w:t>
      </w:r>
      <w:r w:rsidR="009D6702" w:rsidRPr="001A54D7">
        <w:rPr>
          <w:lang w:val="en-GB"/>
        </w:rPr>
        <w:t xml:space="preserve"> </w:t>
      </w:r>
      <w:r w:rsidR="007E5701">
        <w:rPr>
          <w:lang w:val="en-GB"/>
        </w:rPr>
        <w:t xml:space="preserve">the </w:t>
      </w:r>
      <w:r w:rsidR="00095E6E" w:rsidRPr="001A54D7">
        <w:rPr>
          <w:lang w:val="en-GB"/>
        </w:rPr>
        <w:t>witness</w:t>
      </w:r>
      <w:r w:rsidR="00095E6E">
        <w:rPr>
          <w:lang w:val="en-GB"/>
        </w:rPr>
        <w:t>es’</w:t>
      </w:r>
      <w:r w:rsidR="009D6702" w:rsidRPr="001A54D7">
        <w:rPr>
          <w:lang w:val="en-GB"/>
        </w:rPr>
        <w:t xml:space="preserve"> statements</w:t>
      </w:r>
      <w:r w:rsidR="0040305D">
        <w:rPr>
          <w:lang w:val="en-GB"/>
        </w:rPr>
        <w:t>,</w:t>
      </w:r>
      <w:r w:rsidR="009D6702" w:rsidRPr="001A54D7">
        <w:rPr>
          <w:lang w:val="en-GB"/>
        </w:rPr>
        <w:t xml:space="preserve"> </w:t>
      </w:r>
      <w:r w:rsidR="0040305D">
        <w:rPr>
          <w:lang w:val="en-GB"/>
        </w:rPr>
        <w:t xml:space="preserve">the </w:t>
      </w:r>
      <w:r w:rsidR="009D6702" w:rsidRPr="001A54D7">
        <w:rPr>
          <w:lang w:val="en-GB"/>
        </w:rPr>
        <w:t xml:space="preserve">medical report and </w:t>
      </w:r>
      <w:r w:rsidR="0040305D">
        <w:rPr>
          <w:lang w:val="en-GB"/>
        </w:rPr>
        <w:t xml:space="preserve">very illuminating </w:t>
      </w:r>
      <w:r w:rsidR="009D6702" w:rsidRPr="001A54D7">
        <w:rPr>
          <w:lang w:val="en-GB"/>
        </w:rPr>
        <w:t>concessions made by Plaintiff</w:t>
      </w:r>
      <w:r w:rsidR="00813397">
        <w:rPr>
          <w:lang w:val="en-GB"/>
        </w:rPr>
        <w:t>,</w:t>
      </w:r>
      <w:r w:rsidR="009D6702" w:rsidRPr="001A54D7">
        <w:rPr>
          <w:lang w:val="en-GB"/>
        </w:rPr>
        <w:t xml:space="preserve"> it is justified to infer</w:t>
      </w:r>
      <w:r w:rsidR="005622A5" w:rsidRPr="001A54D7">
        <w:rPr>
          <w:lang w:val="en-GB"/>
        </w:rPr>
        <w:t xml:space="preserve"> on a balance of probabilities</w:t>
      </w:r>
      <w:r w:rsidR="009D6702" w:rsidRPr="001A54D7">
        <w:rPr>
          <w:lang w:val="en-GB"/>
        </w:rPr>
        <w:t xml:space="preserve"> that the arrest was based on solid </w:t>
      </w:r>
      <w:r w:rsidR="00CD3FA3" w:rsidRPr="001A54D7">
        <w:rPr>
          <w:lang w:val="en-GB"/>
        </w:rPr>
        <w:t>grounds</w:t>
      </w:r>
      <w:r w:rsidR="00CD3FA3">
        <w:rPr>
          <w:lang w:val="en-GB"/>
        </w:rPr>
        <w:t>.</w:t>
      </w:r>
      <w:r w:rsidR="00CD3FA3" w:rsidRPr="001A54D7">
        <w:rPr>
          <w:lang w:val="en-GB"/>
        </w:rPr>
        <w:t xml:space="preserve"> I</w:t>
      </w:r>
      <w:r w:rsidR="00CD3FA3">
        <w:rPr>
          <w:lang w:val="en-GB"/>
        </w:rPr>
        <w:t xml:space="preserve"> </w:t>
      </w:r>
      <w:r w:rsidR="001A54D7">
        <w:rPr>
          <w:lang w:val="en-GB"/>
        </w:rPr>
        <w:t>therefore,</w:t>
      </w:r>
      <w:r w:rsidR="000C079F" w:rsidRPr="001A54D7">
        <w:rPr>
          <w:lang w:val="en-GB"/>
        </w:rPr>
        <w:t xml:space="preserve"> find that the jurisdictional facts</w:t>
      </w:r>
      <w:r w:rsidR="00932009" w:rsidRPr="001A54D7">
        <w:rPr>
          <w:lang w:val="en-GB"/>
        </w:rPr>
        <w:t xml:space="preserve"> for arrest</w:t>
      </w:r>
      <w:r w:rsidR="000C079F" w:rsidRPr="001A54D7">
        <w:rPr>
          <w:lang w:val="en-GB"/>
        </w:rPr>
        <w:t xml:space="preserve"> were satisfied.</w:t>
      </w:r>
    </w:p>
    <w:p w14:paraId="535F16DB" w14:textId="77777777" w:rsidR="00403DEC" w:rsidRDefault="00403DEC" w:rsidP="002976F9">
      <w:pPr>
        <w:pStyle w:val="ListParagraph"/>
        <w:jc w:val="both"/>
        <w:rPr>
          <w:lang w:val="en-GB"/>
        </w:rPr>
      </w:pPr>
    </w:p>
    <w:p w14:paraId="01FCB611" w14:textId="532D54AD" w:rsidR="00674793" w:rsidRDefault="001E472A" w:rsidP="002976F9">
      <w:pPr>
        <w:jc w:val="both"/>
        <w:rPr>
          <w:lang w:val="en-GB"/>
        </w:rPr>
      </w:pPr>
      <w:r>
        <w:rPr>
          <w:lang w:val="en-GB"/>
        </w:rPr>
        <w:t>[31</w:t>
      </w:r>
      <w:r w:rsidR="001A54D7">
        <w:rPr>
          <w:lang w:val="en-GB"/>
        </w:rPr>
        <w:t>]</w:t>
      </w:r>
      <w:r w:rsidR="001A54D7">
        <w:rPr>
          <w:lang w:val="en-GB"/>
        </w:rPr>
        <w:tab/>
      </w:r>
      <w:r w:rsidR="00604B52" w:rsidRPr="001A54D7">
        <w:rPr>
          <w:lang w:val="en-GB"/>
        </w:rPr>
        <w:t xml:space="preserve">It is well settled that once the jurisdictional facts for an arrest are present, </w:t>
      </w:r>
      <w:r w:rsidR="000C079F" w:rsidRPr="001A54D7">
        <w:rPr>
          <w:lang w:val="en-GB"/>
        </w:rPr>
        <w:t>discretion</w:t>
      </w:r>
      <w:r w:rsidR="00604B52" w:rsidRPr="001A54D7">
        <w:rPr>
          <w:lang w:val="en-GB"/>
        </w:rPr>
        <w:t xml:space="preserve"> arises. The gen</w:t>
      </w:r>
      <w:r w:rsidR="000C079F" w:rsidRPr="001A54D7">
        <w:rPr>
          <w:lang w:val="en-GB"/>
        </w:rPr>
        <w:t>eral requirement is that any</w:t>
      </w:r>
      <w:r w:rsidR="00604B52" w:rsidRPr="001A54D7">
        <w:rPr>
          <w:lang w:val="en-GB"/>
        </w:rPr>
        <w:t xml:space="preserve"> discretion must be exercised in good faith, rationally and not arbitrarily.</w:t>
      </w:r>
      <w:r w:rsidR="00604B52">
        <w:rPr>
          <w:rStyle w:val="FootnoteReference"/>
          <w:lang w:val="en-GB"/>
        </w:rPr>
        <w:footnoteReference w:id="17"/>
      </w:r>
      <w:r w:rsidR="000C079F" w:rsidRPr="001A54D7">
        <w:rPr>
          <w:lang w:val="en-GB"/>
        </w:rPr>
        <w:t xml:space="preserve"> The point of deter</w:t>
      </w:r>
      <w:r w:rsidR="003B2856" w:rsidRPr="001A54D7">
        <w:rPr>
          <w:lang w:val="en-GB"/>
        </w:rPr>
        <w:t xml:space="preserve">mination is whether </w:t>
      </w:r>
      <w:r w:rsidR="007F690B">
        <w:rPr>
          <w:lang w:val="en-GB"/>
        </w:rPr>
        <w:t>s</w:t>
      </w:r>
      <w:r w:rsidR="003B2856" w:rsidRPr="001A54D7">
        <w:rPr>
          <w:lang w:val="en-GB"/>
        </w:rPr>
        <w:t xml:space="preserve">ergeant </w:t>
      </w:r>
      <w:proofErr w:type="spellStart"/>
      <w:r w:rsidR="003B2856" w:rsidRPr="001A54D7">
        <w:rPr>
          <w:lang w:val="en-GB"/>
        </w:rPr>
        <w:t>Qoloma</w:t>
      </w:r>
      <w:r w:rsidR="000C079F" w:rsidRPr="001A54D7">
        <w:rPr>
          <w:lang w:val="en-GB"/>
        </w:rPr>
        <w:t>she</w:t>
      </w:r>
      <w:r w:rsidR="00932009" w:rsidRPr="001A54D7">
        <w:rPr>
          <w:lang w:val="en-GB"/>
        </w:rPr>
        <w:t>’s</w:t>
      </w:r>
      <w:proofErr w:type="spellEnd"/>
      <w:r w:rsidR="00932009" w:rsidRPr="001A54D7">
        <w:rPr>
          <w:lang w:val="en-GB"/>
        </w:rPr>
        <w:t xml:space="preserve"> exercise of discretion was</w:t>
      </w:r>
      <w:r w:rsidR="000C079F" w:rsidRPr="001A54D7">
        <w:rPr>
          <w:lang w:val="en-GB"/>
        </w:rPr>
        <w:t xml:space="preserve"> within the confines of the</w:t>
      </w:r>
      <w:r w:rsidR="00932009" w:rsidRPr="001A54D7">
        <w:rPr>
          <w:lang w:val="en-GB"/>
        </w:rPr>
        <w:t xml:space="preserve"> enabling</w:t>
      </w:r>
      <w:r w:rsidR="000C079F" w:rsidRPr="001A54D7">
        <w:rPr>
          <w:lang w:val="en-GB"/>
        </w:rPr>
        <w:t xml:space="preserve"> </w:t>
      </w:r>
      <w:r w:rsidR="00932009" w:rsidRPr="001A54D7">
        <w:rPr>
          <w:lang w:val="en-GB"/>
        </w:rPr>
        <w:t>legislation</w:t>
      </w:r>
      <w:r w:rsidR="000C079F" w:rsidRPr="001A54D7">
        <w:rPr>
          <w:lang w:val="en-GB"/>
        </w:rPr>
        <w:t>. It must be borne in mind that a party who attacks the exercise of discretion where the jurisdictional facts are present bears the onus of proof.</w:t>
      </w:r>
      <w:r w:rsidR="00674793" w:rsidRPr="001A54D7">
        <w:rPr>
          <w:lang w:val="en-GB"/>
        </w:rPr>
        <w:t xml:space="preserve"> </w:t>
      </w:r>
      <w:r w:rsidR="008A4B43" w:rsidRPr="001A54D7">
        <w:rPr>
          <w:lang w:val="en-GB"/>
        </w:rPr>
        <w:t xml:space="preserve">The Supreme Court of Appeal </w:t>
      </w:r>
      <w:r w:rsidR="004A46E4" w:rsidRPr="001A54D7">
        <w:rPr>
          <w:lang w:val="en-GB"/>
        </w:rPr>
        <w:t xml:space="preserve">in </w:t>
      </w:r>
      <w:r w:rsidR="004A46E4" w:rsidRPr="002976F9">
        <w:rPr>
          <w:i/>
          <w:iCs/>
          <w:lang w:val="en-GB"/>
        </w:rPr>
        <w:t>Minister</w:t>
      </w:r>
      <w:r w:rsidR="00674793" w:rsidRPr="002976F9">
        <w:rPr>
          <w:i/>
          <w:iCs/>
          <w:lang w:val="en-GB"/>
        </w:rPr>
        <w:t xml:space="preserve"> of Safety and Security v </w:t>
      </w:r>
      <w:proofErr w:type="spellStart"/>
      <w:r w:rsidR="00674793" w:rsidRPr="002976F9">
        <w:rPr>
          <w:i/>
          <w:iCs/>
          <w:lang w:val="en-GB"/>
        </w:rPr>
        <w:t>S</w:t>
      </w:r>
      <w:r w:rsidR="00932009" w:rsidRPr="002976F9">
        <w:rPr>
          <w:i/>
          <w:iCs/>
          <w:lang w:val="en-GB"/>
        </w:rPr>
        <w:t>ekhoto</w:t>
      </w:r>
      <w:proofErr w:type="spellEnd"/>
      <w:r w:rsidR="00932009" w:rsidRPr="002976F9">
        <w:rPr>
          <w:lang w:val="en-GB"/>
        </w:rPr>
        <w:t xml:space="preserve"> </w:t>
      </w:r>
      <w:r w:rsidR="00B84E93" w:rsidRPr="004A46E4">
        <w:rPr>
          <w:rStyle w:val="FootnoteReference"/>
          <w:lang w:val="en-GB"/>
        </w:rPr>
        <w:footnoteReference w:id="18"/>
      </w:r>
      <w:r w:rsidR="00674793" w:rsidRPr="001A54D7">
        <w:rPr>
          <w:lang w:val="en-GB"/>
        </w:rPr>
        <w:t xml:space="preserve"> held</w:t>
      </w:r>
      <w:r w:rsidR="004A46E4" w:rsidRPr="001A54D7">
        <w:rPr>
          <w:lang w:val="en-GB"/>
        </w:rPr>
        <w:t>:</w:t>
      </w:r>
    </w:p>
    <w:p w14:paraId="7A2EB686" w14:textId="77777777" w:rsidR="001A54D7" w:rsidRPr="002976F9" w:rsidRDefault="001A54D7" w:rsidP="002976F9">
      <w:pPr>
        <w:jc w:val="both"/>
        <w:rPr>
          <w:sz w:val="20"/>
          <w:szCs w:val="20"/>
          <w:lang w:val="en-GB"/>
        </w:rPr>
      </w:pPr>
    </w:p>
    <w:p w14:paraId="1AE94E18" w14:textId="6256791F" w:rsidR="00FE27A6" w:rsidRPr="00FE27A6" w:rsidRDefault="004A46E4" w:rsidP="002976F9">
      <w:pPr>
        <w:ind w:left="720"/>
        <w:rPr>
          <w:sz w:val="20"/>
          <w:szCs w:val="20"/>
          <w:lang w:val="en-GB"/>
        </w:rPr>
      </w:pPr>
      <w:r w:rsidRPr="002976F9">
        <w:rPr>
          <w:sz w:val="20"/>
          <w:szCs w:val="20"/>
          <w:lang w:val="en-GB"/>
        </w:rPr>
        <w:t>“</w:t>
      </w:r>
      <w:r w:rsidR="00674793" w:rsidRPr="002976F9">
        <w:rPr>
          <w:sz w:val="20"/>
          <w:szCs w:val="20"/>
          <w:lang w:val="en-GB"/>
        </w:rPr>
        <w:t xml:space="preserve">Para </w:t>
      </w:r>
      <w:r w:rsidR="008A4B43" w:rsidRPr="002976F9">
        <w:rPr>
          <w:sz w:val="20"/>
          <w:szCs w:val="20"/>
          <w:lang w:val="en-GB"/>
        </w:rPr>
        <w:t>[</w:t>
      </w:r>
      <w:r w:rsidR="00674793" w:rsidRPr="002976F9">
        <w:rPr>
          <w:sz w:val="20"/>
          <w:szCs w:val="20"/>
          <w:lang w:val="en-GB"/>
        </w:rPr>
        <w:t>46</w:t>
      </w:r>
      <w:r w:rsidR="00407371" w:rsidRPr="002976F9">
        <w:rPr>
          <w:sz w:val="20"/>
          <w:szCs w:val="20"/>
          <w:lang w:val="en-GB"/>
        </w:rPr>
        <w:t>]…</w:t>
      </w:r>
      <w:r w:rsidR="001A54D7" w:rsidRPr="00FE27A6">
        <w:rPr>
          <w:sz w:val="20"/>
          <w:szCs w:val="20"/>
          <w:lang w:val="en-GB"/>
        </w:rPr>
        <w:t xml:space="preserve"> once</w:t>
      </w:r>
      <w:r w:rsidR="00674793" w:rsidRPr="002976F9">
        <w:rPr>
          <w:sz w:val="20"/>
          <w:szCs w:val="20"/>
          <w:lang w:val="en-GB"/>
        </w:rPr>
        <w:t xml:space="preserve"> the jurisdictional facts have been established it is for the plaintiff to prove that the discretion was exercised in an improper manner. This approach was adopted in Duncan</w:t>
      </w:r>
      <w:r w:rsidR="00932009" w:rsidRPr="002976F9">
        <w:rPr>
          <w:sz w:val="20"/>
          <w:szCs w:val="20"/>
          <w:lang w:val="en-GB"/>
        </w:rPr>
        <w:t xml:space="preserve"> </w:t>
      </w:r>
      <w:r w:rsidR="00674793" w:rsidRPr="002976F9">
        <w:rPr>
          <w:sz w:val="20"/>
          <w:szCs w:val="20"/>
          <w:lang w:val="en-GB"/>
        </w:rPr>
        <w:t xml:space="preserve">(at 819 B-D) as being applicable to attacks on the exercise of </w:t>
      </w:r>
      <w:r w:rsidR="00932009" w:rsidRPr="002976F9">
        <w:rPr>
          <w:sz w:val="20"/>
          <w:szCs w:val="20"/>
          <w:lang w:val="en-GB"/>
        </w:rPr>
        <w:t>discretion</w:t>
      </w:r>
      <w:r w:rsidR="00674793" w:rsidRPr="002976F9">
        <w:rPr>
          <w:sz w:val="20"/>
          <w:szCs w:val="20"/>
          <w:lang w:val="en-GB"/>
        </w:rPr>
        <w:t xml:space="preserve"> under Section 40(1</w:t>
      </w:r>
      <w:r w:rsidR="00932009" w:rsidRPr="002976F9">
        <w:rPr>
          <w:sz w:val="20"/>
          <w:szCs w:val="20"/>
          <w:lang w:val="en-GB"/>
        </w:rPr>
        <w:t>) (</w:t>
      </w:r>
      <w:r w:rsidR="00674793" w:rsidRPr="002976F9">
        <w:rPr>
          <w:sz w:val="20"/>
          <w:szCs w:val="20"/>
          <w:lang w:val="en-GB"/>
        </w:rPr>
        <w:t>b).</w:t>
      </w:r>
    </w:p>
    <w:p w14:paraId="0C464EC8" w14:textId="77777777" w:rsidR="00FE27A6" w:rsidRPr="002976F9" w:rsidRDefault="00FE27A6" w:rsidP="002976F9">
      <w:pPr>
        <w:ind w:left="720"/>
        <w:jc w:val="both"/>
        <w:rPr>
          <w:sz w:val="20"/>
          <w:szCs w:val="20"/>
          <w:lang w:val="en-GB"/>
        </w:rPr>
      </w:pPr>
    </w:p>
    <w:p w14:paraId="71337DD8" w14:textId="0B391E81" w:rsidR="00FE27A6" w:rsidRPr="002976F9" w:rsidRDefault="00674793" w:rsidP="00FE27A6">
      <w:pPr>
        <w:ind w:left="720"/>
        <w:rPr>
          <w:sz w:val="20"/>
          <w:szCs w:val="20"/>
          <w:lang w:val="en-GB"/>
        </w:rPr>
      </w:pPr>
      <w:r w:rsidRPr="002976F9">
        <w:rPr>
          <w:sz w:val="20"/>
          <w:szCs w:val="20"/>
          <w:lang w:val="en-GB"/>
        </w:rPr>
        <w:t xml:space="preserve">Para </w:t>
      </w:r>
      <w:r w:rsidR="008A4B43" w:rsidRPr="002976F9">
        <w:rPr>
          <w:sz w:val="20"/>
          <w:szCs w:val="20"/>
          <w:lang w:val="en-GB"/>
        </w:rPr>
        <w:t>[</w:t>
      </w:r>
      <w:r w:rsidRPr="002976F9">
        <w:rPr>
          <w:sz w:val="20"/>
          <w:szCs w:val="20"/>
          <w:lang w:val="en-GB"/>
        </w:rPr>
        <w:t>47</w:t>
      </w:r>
      <w:r w:rsidR="008A4B43" w:rsidRPr="002976F9">
        <w:rPr>
          <w:sz w:val="20"/>
          <w:szCs w:val="20"/>
          <w:lang w:val="en-GB"/>
        </w:rPr>
        <w:t>]</w:t>
      </w:r>
      <w:r w:rsidRPr="002976F9">
        <w:rPr>
          <w:sz w:val="20"/>
          <w:szCs w:val="20"/>
          <w:lang w:val="en-GB"/>
        </w:rPr>
        <w:t xml:space="preserve">, All this and more has already been stated by </w:t>
      </w:r>
      <w:proofErr w:type="spellStart"/>
      <w:r w:rsidRPr="002976F9">
        <w:rPr>
          <w:sz w:val="20"/>
          <w:szCs w:val="20"/>
          <w:lang w:val="en-GB"/>
        </w:rPr>
        <w:t>Hefer</w:t>
      </w:r>
      <w:proofErr w:type="spellEnd"/>
      <w:r w:rsidRPr="002976F9">
        <w:rPr>
          <w:sz w:val="20"/>
          <w:szCs w:val="20"/>
          <w:lang w:val="en-GB"/>
        </w:rPr>
        <w:t xml:space="preserve"> JA in Dempsey. I do recognise that the context was somewhat different and that he was dealing with motion proceedings and not trials.</w:t>
      </w:r>
      <w:r w:rsidR="00FE27A6" w:rsidRPr="002976F9">
        <w:rPr>
          <w:sz w:val="20"/>
          <w:szCs w:val="20"/>
          <w:lang w:val="en-GB"/>
        </w:rPr>
        <w:t xml:space="preserve"> </w:t>
      </w:r>
    </w:p>
    <w:p w14:paraId="4D2CBA5D" w14:textId="77777777" w:rsidR="00FE27A6" w:rsidRPr="002976F9" w:rsidRDefault="00FE27A6" w:rsidP="00FE27A6">
      <w:pPr>
        <w:ind w:left="720"/>
        <w:rPr>
          <w:sz w:val="20"/>
          <w:szCs w:val="20"/>
          <w:lang w:val="en-GB"/>
        </w:rPr>
      </w:pPr>
    </w:p>
    <w:p w14:paraId="6B75783E" w14:textId="77777777" w:rsidR="00674793" w:rsidRPr="00FE27A6" w:rsidRDefault="00674793" w:rsidP="00FE27A6">
      <w:pPr>
        <w:ind w:left="720"/>
        <w:jc w:val="both"/>
        <w:rPr>
          <w:iCs/>
          <w:sz w:val="20"/>
          <w:szCs w:val="20"/>
          <w:lang w:val="en-GB"/>
        </w:rPr>
      </w:pPr>
      <w:r w:rsidRPr="002976F9">
        <w:rPr>
          <w:iCs/>
          <w:sz w:val="20"/>
          <w:szCs w:val="20"/>
          <w:lang w:val="en-GB"/>
        </w:rPr>
        <w:t>Para [48], As to the general principles, he said:</w:t>
      </w:r>
    </w:p>
    <w:p w14:paraId="6CCE5994" w14:textId="77777777" w:rsidR="00FE27A6" w:rsidRPr="002976F9" w:rsidRDefault="00FE27A6" w:rsidP="002976F9">
      <w:pPr>
        <w:ind w:left="720"/>
        <w:jc w:val="both"/>
        <w:rPr>
          <w:iCs/>
          <w:sz w:val="20"/>
          <w:szCs w:val="20"/>
          <w:lang w:val="en-GB"/>
        </w:rPr>
      </w:pPr>
    </w:p>
    <w:p w14:paraId="1492D2B2" w14:textId="1646F61F" w:rsidR="00674793" w:rsidRPr="002976F9" w:rsidRDefault="00674793" w:rsidP="002976F9">
      <w:pPr>
        <w:ind w:left="720"/>
        <w:jc w:val="both"/>
        <w:rPr>
          <w:iCs/>
          <w:sz w:val="20"/>
          <w:szCs w:val="20"/>
          <w:lang w:val="en-GB"/>
        </w:rPr>
      </w:pPr>
      <w:r w:rsidRPr="002976F9">
        <w:rPr>
          <w:iCs/>
          <w:sz w:val="20"/>
          <w:szCs w:val="20"/>
          <w:lang w:val="en-GB"/>
        </w:rPr>
        <w:t>Once the jurisdictional fact is proved by showing that the functionary in fact formed the required opinion, the arrest is brought within the ambit of the enabling legislation and is thus justified. And if it is alleged that the opinion was improperly formed, it is for the party</w:t>
      </w:r>
      <w:r w:rsidR="008A4B43" w:rsidRPr="002976F9">
        <w:rPr>
          <w:iCs/>
          <w:sz w:val="20"/>
          <w:szCs w:val="20"/>
          <w:lang w:val="en-GB"/>
        </w:rPr>
        <w:t xml:space="preserve"> who makes the allegations to prove it.</w:t>
      </w:r>
      <w:r w:rsidR="00443D1C" w:rsidRPr="002976F9">
        <w:rPr>
          <w:iCs/>
          <w:sz w:val="20"/>
          <w:szCs w:val="20"/>
          <w:lang w:val="en-GB"/>
        </w:rPr>
        <w:t>”</w:t>
      </w:r>
    </w:p>
    <w:p w14:paraId="5FA9A6FE" w14:textId="77777777" w:rsidR="00D42C0F" w:rsidRPr="00D42C0F" w:rsidRDefault="00D42C0F" w:rsidP="002976F9">
      <w:pPr>
        <w:pStyle w:val="ListParagraph"/>
        <w:jc w:val="both"/>
        <w:rPr>
          <w:lang w:val="en-GB"/>
        </w:rPr>
      </w:pPr>
    </w:p>
    <w:p w14:paraId="2224391C" w14:textId="0F3DF02A" w:rsidR="003E5F4F" w:rsidRDefault="001E472A" w:rsidP="002976F9">
      <w:pPr>
        <w:jc w:val="both"/>
        <w:rPr>
          <w:lang w:val="en-GB"/>
        </w:rPr>
      </w:pPr>
      <w:r>
        <w:rPr>
          <w:lang w:val="en-GB"/>
        </w:rPr>
        <w:t>[32</w:t>
      </w:r>
      <w:r w:rsidR="001A54D7">
        <w:rPr>
          <w:lang w:val="en-GB"/>
        </w:rPr>
        <w:t>]</w:t>
      </w:r>
      <w:r w:rsidR="001A54D7">
        <w:rPr>
          <w:lang w:val="en-GB"/>
        </w:rPr>
        <w:tab/>
      </w:r>
      <w:r w:rsidR="00F95A19" w:rsidRPr="001A54D7">
        <w:rPr>
          <w:lang w:val="en-GB"/>
        </w:rPr>
        <w:t xml:space="preserve">In the present matter, it has already been determined that a rape charge falls under </w:t>
      </w:r>
      <w:r w:rsidR="00443D1C" w:rsidRPr="001A54D7">
        <w:rPr>
          <w:lang w:val="en-GB"/>
        </w:rPr>
        <w:t xml:space="preserve">schedules </w:t>
      </w:r>
      <w:r w:rsidR="00F95A19" w:rsidRPr="001A54D7">
        <w:rPr>
          <w:lang w:val="en-GB"/>
        </w:rPr>
        <w:t xml:space="preserve">1 and 6 of the Criminal Procedure Act. </w:t>
      </w:r>
      <w:r w:rsidR="003E5F4F">
        <w:rPr>
          <w:lang w:val="en-GB"/>
        </w:rPr>
        <w:t>I</w:t>
      </w:r>
      <w:r w:rsidR="003336CA" w:rsidRPr="001A54D7">
        <w:rPr>
          <w:lang w:val="en-GB"/>
        </w:rPr>
        <w:t>t is unfounded</w:t>
      </w:r>
      <w:r w:rsidR="00F95A19" w:rsidRPr="001A54D7">
        <w:rPr>
          <w:lang w:val="en-GB"/>
        </w:rPr>
        <w:t xml:space="preserve"> for counsel to claim that </w:t>
      </w:r>
      <w:r w:rsidR="003E5F4F">
        <w:rPr>
          <w:lang w:val="en-GB"/>
        </w:rPr>
        <w:t>s</w:t>
      </w:r>
      <w:r w:rsidR="00F95A19" w:rsidRPr="001A54D7">
        <w:rPr>
          <w:lang w:val="en-GB"/>
        </w:rPr>
        <w:t xml:space="preserve">ergeant </w:t>
      </w:r>
      <w:proofErr w:type="spellStart"/>
      <w:r w:rsidR="003B2856" w:rsidRPr="001A54D7">
        <w:rPr>
          <w:lang w:val="en-GB"/>
        </w:rPr>
        <w:t>Qoloma</w:t>
      </w:r>
      <w:r w:rsidR="003336CA" w:rsidRPr="001A54D7">
        <w:rPr>
          <w:lang w:val="en-GB"/>
        </w:rPr>
        <w:t>she</w:t>
      </w:r>
      <w:proofErr w:type="spellEnd"/>
      <w:r w:rsidR="003336CA" w:rsidRPr="001A54D7">
        <w:rPr>
          <w:lang w:val="en-GB"/>
        </w:rPr>
        <w:t xml:space="preserve"> improperly</w:t>
      </w:r>
      <w:r w:rsidR="00F95A19" w:rsidRPr="001A54D7">
        <w:rPr>
          <w:lang w:val="en-GB"/>
        </w:rPr>
        <w:t xml:space="preserve"> exercised his discretion by applying an incorrect schedule and arrest</w:t>
      </w:r>
      <w:r w:rsidR="003336CA" w:rsidRPr="001A54D7">
        <w:rPr>
          <w:lang w:val="en-GB"/>
        </w:rPr>
        <w:t>ed</w:t>
      </w:r>
      <w:r w:rsidR="00CD3FA3">
        <w:rPr>
          <w:lang w:val="en-GB"/>
        </w:rPr>
        <w:t xml:space="preserve"> the P</w:t>
      </w:r>
      <w:r w:rsidR="00F95A19" w:rsidRPr="001A54D7">
        <w:rPr>
          <w:lang w:val="en-GB"/>
        </w:rPr>
        <w:t>laintiff without</w:t>
      </w:r>
      <w:r w:rsidR="00644564" w:rsidRPr="001A54D7">
        <w:rPr>
          <w:lang w:val="en-GB"/>
        </w:rPr>
        <w:t xml:space="preserve"> </w:t>
      </w:r>
      <w:r w:rsidR="00443D1C" w:rsidRPr="001A54D7">
        <w:rPr>
          <w:lang w:val="en-GB"/>
        </w:rPr>
        <w:t xml:space="preserve">first </w:t>
      </w:r>
      <w:r w:rsidR="00644564" w:rsidRPr="001A54D7">
        <w:rPr>
          <w:lang w:val="en-GB"/>
        </w:rPr>
        <w:t>obtaining</w:t>
      </w:r>
      <w:r w:rsidR="00F95A19" w:rsidRPr="001A54D7">
        <w:rPr>
          <w:lang w:val="en-GB"/>
        </w:rPr>
        <w:t xml:space="preserve"> a warrant</w:t>
      </w:r>
      <w:r w:rsidR="00644564" w:rsidRPr="001A54D7">
        <w:rPr>
          <w:lang w:val="en-GB"/>
        </w:rPr>
        <w:t xml:space="preserve"> for his arrest. </w:t>
      </w:r>
      <w:r w:rsidR="003E5F4F">
        <w:rPr>
          <w:lang w:val="en-GB"/>
        </w:rPr>
        <w:t>Plainly,</w:t>
      </w:r>
      <w:r w:rsidR="008C38CB">
        <w:rPr>
          <w:lang w:val="en-GB"/>
        </w:rPr>
        <w:t xml:space="preserve"> </w:t>
      </w:r>
      <w:r w:rsidR="003E5F4F">
        <w:rPr>
          <w:lang w:val="en-GB"/>
        </w:rPr>
        <w:t>t</w:t>
      </w:r>
      <w:r w:rsidR="00644564" w:rsidRPr="001A54D7">
        <w:rPr>
          <w:lang w:val="en-GB"/>
        </w:rPr>
        <w:t>his assertion is not supported by law.</w:t>
      </w:r>
      <w:r w:rsidR="003336CA" w:rsidRPr="001A54D7">
        <w:rPr>
          <w:lang w:val="en-GB"/>
        </w:rPr>
        <w:t xml:space="preserve"> </w:t>
      </w:r>
    </w:p>
    <w:p w14:paraId="4BE99F67" w14:textId="77777777" w:rsidR="008735B6" w:rsidRDefault="008735B6" w:rsidP="002976F9">
      <w:pPr>
        <w:jc w:val="both"/>
        <w:rPr>
          <w:lang w:val="en-GB"/>
        </w:rPr>
      </w:pPr>
    </w:p>
    <w:p w14:paraId="0A783E2F" w14:textId="2C9B30E7" w:rsidR="00D42C0F" w:rsidRPr="001A54D7" w:rsidRDefault="003E5F4F" w:rsidP="002976F9">
      <w:pPr>
        <w:jc w:val="both"/>
        <w:rPr>
          <w:lang w:val="en-GB"/>
        </w:rPr>
      </w:pPr>
      <w:r>
        <w:rPr>
          <w:lang w:val="en-GB"/>
        </w:rPr>
        <w:t>[</w:t>
      </w:r>
      <w:r w:rsidR="001E472A">
        <w:rPr>
          <w:lang w:val="en-GB"/>
        </w:rPr>
        <w:t>33</w:t>
      </w:r>
      <w:r>
        <w:rPr>
          <w:lang w:val="en-GB"/>
        </w:rPr>
        <w:t>]</w:t>
      </w:r>
      <w:r>
        <w:rPr>
          <w:lang w:val="en-GB"/>
        </w:rPr>
        <w:tab/>
        <w:t>Moreover,</w:t>
      </w:r>
      <w:r w:rsidR="008C38CB">
        <w:rPr>
          <w:lang w:val="en-GB"/>
        </w:rPr>
        <w:t xml:space="preserve"> </w:t>
      </w:r>
      <w:r>
        <w:rPr>
          <w:lang w:val="en-GB"/>
        </w:rPr>
        <w:t>t</w:t>
      </w:r>
      <w:r w:rsidR="00CD3FA3">
        <w:rPr>
          <w:lang w:val="en-GB"/>
        </w:rPr>
        <w:t>he P</w:t>
      </w:r>
      <w:r w:rsidR="003336CA" w:rsidRPr="001A54D7">
        <w:rPr>
          <w:lang w:val="en-GB"/>
        </w:rPr>
        <w:t xml:space="preserve">laintiff led no </w:t>
      </w:r>
      <w:r w:rsidR="003336CA" w:rsidRPr="001E406E">
        <w:rPr>
          <w:i/>
          <w:iCs/>
          <w:lang w:val="en-GB"/>
        </w:rPr>
        <w:t>prima facie</w:t>
      </w:r>
      <w:r w:rsidR="003336CA" w:rsidRPr="001A54D7">
        <w:rPr>
          <w:lang w:val="en-GB"/>
        </w:rPr>
        <w:t xml:space="preserve"> evidence to prove that </w:t>
      </w:r>
      <w:r>
        <w:rPr>
          <w:lang w:val="en-GB"/>
        </w:rPr>
        <w:t>s</w:t>
      </w:r>
      <w:r w:rsidR="003336CA" w:rsidRPr="001A54D7">
        <w:rPr>
          <w:lang w:val="en-GB"/>
        </w:rPr>
        <w:t xml:space="preserve">ergeant </w:t>
      </w:r>
      <w:proofErr w:type="spellStart"/>
      <w:r w:rsidR="003B2856" w:rsidRPr="001A54D7">
        <w:rPr>
          <w:lang w:val="en-GB"/>
        </w:rPr>
        <w:t>Qoloma</w:t>
      </w:r>
      <w:r w:rsidR="003336CA" w:rsidRPr="001A54D7">
        <w:rPr>
          <w:lang w:val="en-GB"/>
        </w:rPr>
        <w:t>she</w:t>
      </w:r>
      <w:proofErr w:type="spellEnd"/>
      <w:r w:rsidR="002255C9" w:rsidRPr="001A54D7">
        <w:rPr>
          <w:lang w:val="en-GB"/>
        </w:rPr>
        <w:t xml:space="preserve"> </w:t>
      </w:r>
      <w:r w:rsidR="00E11C9E" w:rsidRPr="001A54D7">
        <w:rPr>
          <w:lang w:val="en-GB"/>
        </w:rPr>
        <w:t xml:space="preserve">had an ulterior </w:t>
      </w:r>
      <w:r w:rsidR="001A54D7" w:rsidRPr="001A54D7">
        <w:rPr>
          <w:lang w:val="en-GB"/>
        </w:rPr>
        <w:t xml:space="preserve">motive </w:t>
      </w:r>
      <w:r>
        <w:rPr>
          <w:lang w:val="en-GB"/>
        </w:rPr>
        <w:t>or</w:t>
      </w:r>
      <w:r w:rsidRPr="001A54D7">
        <w:rPr>
          <w:lang w:val="en-GB"/>
        </w:rPr>
        <w:t xml:space="preserve"> </w:t>
      </w:r>
      <w:r w:rsidR="002255C9" w:rsidRPr="001A54D7">
        <w:rPr>
          <w:lang w:val="en-GB"/>
        </w:rPr>
        <w:t xml:space="preserve">failed to act logically or arbitrarily in </w:t>
      </w:r>
      <w:r>
        <w:rPr>
          <w:lang w:val="en-GB"/>
        </w:rPr>
        <w:t xml:space="preserve">the </w:t>
      </w:r>
      <w:r w:rsidR="002255C9" w:rsidRPr="001A54D7">
        <w:rPr>
          <w:lang w:val="en-GB"/>
        </w:rPr>
        <w:t>exer</w:t>
      </w:r>
      <w:r>
        <w:rPr>
          <w:lang w:val="en-GB"/>
        </w:rPr>
        <w:t>cise</w:t>
      </w:r>
      <w:r w:rsidR="002255C9" w:rsidRPr="001A54D7">
        <w:rPr>
          <w:lang w:val="en-GB"/>
        </w:rPr>
        <w:t xml:space="preserve"> </w:t>
      </w:r>
      <w:r>
        <w:rPr>
          <w:lang w:val="en-GB"/>
        </w:rPr>
        <w:t xml:space="preserve">of </w:t>
      </w:r>
      <w:r w:rsidR="002255C9" w:rsidRPr="001A54D7">
        <w:rPr>
          <w:lang w:val="en-GB"/>
        </w:rPr>
        <w:t>his discretion</w:t>
      </w:r>
      <w:r w:rsidR="00E11C9E" w:rsidRPr="001A54D7">
        <w:rPr>
          <w:lang w:val="en-GB"/>
        </w:rPr>
        <w:t xml:space="preserve"> during </w:t>
      </w:r>
      <w:r w:rsidR="001A54D7">
        <w:rPr>
          <w:lang w:val="en-GB"/>
        </w:rPr>
        <w:t xml:space="preserve">the </w:t>
      </w:r>
      <w:r w:rsidR="00E11C9E" w:rsidRPr="001A54D7">
        <w:rPr>
          <w:lang w:val="en-GB"/>
        </w:rPr>
        <w:t>arrest</w:t>
      </w:r>
      <w:r w:rsidR="002255C9" w:rsidRPr="001A54D7">
        <w:rPr>
          <w:lang w:val="en-GB"/>
        </w:rPr>
        <w:t xml:space="preserve">. </w:t>
      </w:r>
      <w:r w:rsidR="00ED2C3F">
        <w:rPr>
          <w:lang w:val="en-GB"/>
        </w:rPr>
        <w:t xml:space="preserve">It is quite </w:t>
      </w:r>
      <w:r w:rsidR="00E83B6B">
        <w:rPr>
          <w:lang w:val="en-GB"/>
        </w:rPr>
        <w:t xml:space="preserve">discernible </w:t>
      </w:r>
      <w:r w:rsidR="00E83B6B" w:rsidRPr="001A54D7">
        <w:rPr>
          <w:lang w:val="en-GB"/>
        </w:rPr>
        <w:t>from</w:t>
      </w:r>
      <w:r w:rsidR="003336CA" w:rsidRPr="001A54D7">
        <w:rPr>
          <w:lang w:val="en-GB"/>
        </w:rPr>
        <w:t xml:space="preserve"> the</w:t>
      </w:r>
      <w:r w:rsidR="00543E34" w:rsidRPr="001A54D7">
        <w:rPr>
          <w:lang w:val="en-GB"/>
        </w:rPr>
        <w:t xml:space="preserve"> </w:t>
      </w:r>
      <w:r w:rsidR="00ED2C3F">
        <w:rPr>
          <w:lang w:val="en-GB"/>
        </w:rPr>
        <w:t>P</w:t>
      </w:r>
      <w:r w:rsidR="00ED2C3F" w:rsidRPr="001A54D7">
        <w:rPr>
          <w:lang w:val="en-GB"/>
        </w:rPr>
        <w:t xml:space="preserve">laintiff’s </w:t>
      </w:r>
      <w:r w:rsidR="00263B50" w:rsidRPr="001A54D7">
        <w:rPr>
          <w:lang w:val="en-GB"/>
        </w:rPr>
        <w:t>testimony that</w:t>
      </w:r>
      <w:r w:rsidR="002255C9" w:rsidRPr="001A54D7">
        <w:rPr>
          <w:lang w:val="en-GB"/>
        </w:rPr>
        <w:t xml:space="preserve"> the ar</w:t>
      </w:r>
      <w:r w:rsidR="00644564" w:rsidRPr="001A54D7">
        <w:rPr>
          <w:lang w:val="en-GB"/>
        </w:rPr>
        <w:t>resting officer followed the correct procedures</w:t>
      </w:r>
      <w:r w:rsidR="002D2484">
        <w:rPr>
          <w:rStyle w:val="FootnoteReference"/>
          <w:lang w:val="en-GB"/>
        </w:rPr>
        <w:footnoteReference w:id="19"/>
      </w:r>
      <w:r w:rsidR="003336CA" w:rsidRPr="001A54D7">
        <w:rPr>
          <w:lang w:val="en-GB"/>
        </w:rPr>
        <w:t xml:space="preserve"> </w:t>
      </w:r>
      <w:r w:rsidR="00644564" w:rsidRPr="001A54D7">
        <w:rPr>
          <w:lang w:val="en-GB"/>
        </w:rPr>
        <w:t>and his</w:t>
      </w:r>
      <w:r w:rsidR="00F95A19" w:rsidRPr="001A54D7">
        <w:rPr>
          <w:lang w:val="en-GB"/>
        </w:rPr>
        <w:t xml:space="preserve"> intention was </w:t>
      </w:r>
      <w:r w:rsidR="007A4533">
        <w:rPr>
          <w:lang w:val="en-GB"/>
        </w:rPr>
        <w:t xml:space="preserve">merely </w:t>
      </w:r>
      <w:r w:rsidR="00F95A19" w:rsidRPr="001A54D7">
        <w:rPr>
          <w:lang w:val="en-GB"/>
        </w:rPr>
        <w:t xml:space="preserve">to bring the </w:t>
      </w:r>
      <w:r w:rsidR="00CD3FA3">
        <w:rPr>
          <w:lang w:val="en-GB"/>
        </w:rPr>
        <w:t>P</w:t>
      </w:r>
      <w:r w:rsidR="003336CA" w:rsidRPr="001A54D7">
        <w:rPr>
          <w:lang w:val="en-GB"/>
        </w:rPr>
        <w:t>laintiff to justice.</w:t>
      </w:r>
    </w:p>
    <w:p w14:paraId="41F657BB" w14:textId="77777777" w:rsidR="002D2484" w:rsidRDefault="002D2484" w:rsidP="002976F9">
      <w:pPr>
        <w:pStyle w:val="ListParagraph"/>
        <w:jc w:val="both"/>
        <w:rPr>
          <w:lang w:val="en-GB"/>
        </w:rPr>
      </w:pPr>
    </w:p>
    <w:p w14:paraId="229085CA" w14:textId="7A162941" w:rsidR="000B47CA" w:rsidRPr="001A54D7" w:rsidRDefault="001E472A" w:rsidP="002976F9">
      <w:pPr>
        <w:jc w:val="both"/>
        <w:rPr>
          <w:lang w:val="en-GB"/>
        </w:rPr>
      </w:pPr>
      <w:r>
        <w:rPr>
          <w:lang w:val="en-GB"/>
        </w:rPr>
        <w:t>[34</w:t>
      </w:r>
      <w:r w:rsidR="001A54D7">
        <w:rPr>
          <w:lang w:val="en-GB"/>
        </w:rPr>
        <w:t>]</w:t>
      </w:r>
      <w:r w:rsidR="001A54D7">
        <w:rPr>
          <w:lang w:val="en-GB"/>
        </w:rPr>
        <w:tab/>
      </w:r>
      <w:r w:rsidR="0039261A">
        <w:rPr>
          <w:lang w:val="en-GB"/>
        </w:rPr>
        <w:t xml:space="preserve"> It is well established that </w:t>
      </w:r>
      <w:r w:rsidR="005641B8">
        <w:rPr>
          <w:lang w:val="en-GB"/>
        </w:rPr>
        <w:t xml:space="preserve">an arrest and detention are separate legal processes, so much so that while the arrest may be </w:t>
      </w:r>
      <w:r w:rsidR="0039261A">
        <w:rPr>
          <w:lang w:val="en-GB"/>
        </w:rPr>
        <w:t>lawful; the</w:t>
      </w:r>
      <w:r w:rsidR="005641B8">
        <w:rPr>
          <w:lang w:val="en-GB"/>
        </w:rPr>
        <w:t xml:space="preserve"> detention may be unlawful</w:t>
      </w:r>
      <w:r w:rsidR="0039261A">
        <w:rPr>
          <w:lang w:val="en-GB"/>
        </w:rPr>
        <w:t>; the fact that both result in someone being deprived of her or his liberty does not make them one legal process.</w:t>
      </w:r>
      <w:r w:rsidR="0039261A">
        <w:rPr>
          <w:rStyle w:val="FootnoteReference"/>
          <w:lang w:val="en-GB"/>
        </w:rPr>
        <w:footnoteReference w:id="20"/>
      </w:r>
      <w:r w:rsidR="0039261A">
        <w:rPr>
          <w:lang w:val="en-GB"/>
        </w:rPr>
        <w:t xml:space="preserve"> </w:t>
      </w:r>
      <w:r w:rsidR="009A6883">
        <w:rPr>
          <w:lang w:val="en-GB"/>
        </w:rPr>
        <w:t xml:space="preserve"> Gleaning from the pleadings the issue of arrest a</w:t>
      </w:r>
      <w:r w:rsidR="003767FC">
        <w:rPr>
          <w:lang w:val="en-GB"/>
        </w:rPr>
        <w:t>nd subsequent detention of the P</w:t>
      </w:r>
      <w:r w:rsidR="009A6883">
        <w:rPr>
          <w:lang w:val="en-GB"/>
        </w:rPr>
        <w:t>laintiff are intertwined</w:t>
      </w:r>
      <w:r w:rsidR="00373B67">
        <w:rPr>
          <w:lang w:val="en-GB"/>
        </w:rPr>
        <w:t>.</w:t>
      </w:r>
      <w:r w:rsidR="009A6883">
        <w:rPr>
          <w:lang w:val="en-GB"/>
        </w:rPr>
        <w:t xml:space="preserve"> </w:t>
      </w:r>
      <w:r w:rsidR="000B47CA" w:rsidRPr="001A54D7">
        <w:rPr>
          <w:lang w:val="en-GB"/>
        </w:rPr>
        <w:t>I</w:t>
      </w:r>
      <w:r w:rsidR="00725BF1" w:rsidRPr="001A54D7">
        <w:rPr>
          <w:lang w:val="en-GB"/>
        </w:rPr>
        <w:t xml:space="preserve"> have already concluded that </w:t>
      </w:r>
      <w:r w:rsidR="000B47CA" w:rsidRPr="001A54D7">
        <w:rPr>
          <w:lang w:val="en-GB"/>
        </w:rPr>
        <w:t xml:space="preserve">the conduct of the police caused no harm in arresting the </w:t>
      </w:r>
      <w:r w:rsidR="00373B67">
        <w:rPr>
          <w:lang w:val="en-GB"/>
        </w:rPr>
        <w:t>P</w:t>
      </w:r>
      <w:r w:rsidR="00373B67" w:rsidRPr="001A54D7">
        <w:rPr>
          <w:lang w:val="en-GB"/>
        </w:rPr>
        <w:t>laintiff</w:t>
      </w:r>
      <w:r w:rsidR="00667425" w:rsidRPr="001A54D7">
        <w:rPr>
          <w:lang w:val="en-GB"/>
        </w:rPr>
        <w:t>,</w:t>
      </w:r>
      <w:r w:rsidR="000B47CA" w:rsidRPr="001A54D7">
        <w:rPr>
          <w:lang w:val="en-GB"/>
        </w:rPr>
        <w:t xml:space="preserve"> </w:t>
      </w:r>
      <w:r w:rsidR="00667425" w:rsidRPr="001A54D7">
        <w:rPr>
          <w:lang w:val="en-GB"/>
        </w:rPr>
        <w:t xml:space="preserve">it </w:t>
      </w:r>
      <w:r w:rsidR="00725BF1" w:rsidRPr="001A54D7">
        <w:rPr>
          <w:lang w:val="en-GB"/>
        </w:rPr>
        <w:t xml:space="preserve">then </w:t>
      </w:r>
      <w:r w:rsidR="00667425" w:rsidRPr="001A54D7">
        <w:rPr>
          <w:lang w:val="en-GB"/>
        </w:rPr>
        <w:t>follows that detention</w:t>
      </w:r>
      <w:r w:rsidR="000B47CA" w:rsidRPr="001A54D7">
        <w:rPr>
          <w:lang w:val="en-GB"/>
        </w:rPr>
        <w:t xml:space="preserve"> </w:t>
      </w:r>
      <w:r w:rsidR="00725BF1" w:rsidRPr="001A54D7">
        <w:rPr>
          <w:lang w:val="en-GB"/>
        </w:rPr>
        <w:t xml:space="preserve">was </w:t>
      </w:r>
      <w:r w:rsidR="000B47CA" w:rsidRPr="001A54D7">
        <w:rPr>
          <w:lang w:val="en-GB"/>
        </w:rPr>
        <w:t>justified.</w:t>
      </w:r>
      <w:r w:rsidR="009A6883">
        <w:rPr>
          <w:rStyle w:val="FootnoteReference"/>
          <w:lang w:val="en-GB"/>
        </w:rPr>
        <w:footnoteReference w:id="21"/>
      </w:r>
    </w:p>
    <w:p w14:paraId="1D695C98" w14:textId="77777777" w:rsidR="000B47CA" w:rsidRPr="000B47CA" w:rsidRDefault="000B47CA" w:rsidP="002976F9">
      <w:pPr>
        <w:pStyle w:val="ListParagraph"/>
        <w:jc w:val="both"/>
        <w:rPr>
          <w:lang w:val="en-GB"/>
        </w:rPr>
      </w:pPr>
    </w:p>
    <w:p w14:paraId="6E11EE42" w14:textId="715DF3FC" w:rsidR="00932009" w:rsidRPr="001A54D7" w:rsidRDefault="001E472A" w:rsidP="002976F9">
      <w:pPr>
        <w:jc w:val="both"/>
        <w:rPr>
          <w:lang w:val="en-GB"/>
        </w:rPr>
      </w:pPr>
      <w:r>
        <w:rPr>
          <w:lang w:val="en-GB"/>
        </w:rPr>
        <w:lastRenderedPageBreak/>
        <w:t>[35</w:t>
      </w:r>
      <w:r w:rsidR="001A54D7">
        <w:rPr>
          <w:lang w:val="en-GB"/>
        </w:rPr>
        <w:t>]</w:t>
      </w:r>
      <w:r w:rsidR="001A54D7">
        <w:rPr>
          <w:lang w:val="en-GB"/>
        </w:rPr>
        <w:tab/>
      </w:r>
      <w:r w:rsidR="009A6883">
        <w:rPr>
          <w:lang w:val="en-GB"/>
        </w:rPr>
        <w:t xml:space="preserve">No evidence was laid by </w:t>
      </w:r>
      <w:r w:rsidR="00CD3FA3">
        <w:rPr>
          <w:lang w:val="en-GB"/>
        </w:rPr>
        <w:t>the Plaintiff in respect of loss</w:t>
      </w:r>
      <w:r w:rsidR="00750076">
        <w:rPr>
          <w:lang w:val="en-GB"/>
        </w:rPr>
        <w:t xml:space="preserve"> of income subsequent to his arrest and detention except for what is contained in the particulars of claim. </w:t>
      </w:r>
      <w:r w:rsidR="00B84E93" w:rsidRPr="001A54D7">
        <w:rPr>
          <w:lang w:val="en-GB"/>
        </w:rPr>
        <w:t>T</w:t>
      </w:r>
      <w:r w:rsidR="000B47CA" w:rsidRPr="001A54D7">
        <w:rPr>
          <w:lang w:val="en-GB"/>
        </w:rPr>
        <w:t>he only evidence</w:t>
      </w:r>
      <w:r w:rsidR="00482769" w:rsidRPr="001A54D7">
        <w:rPr>
          <w:lang w:val="en-GB"/>
        </w:rPr>
        <w:t xml:space="preserve"> found before </w:t>
      </w:r>
      <w:r w:rsidR="00443D1C" w:rsidRPr="001A54D7">
        <w:rPr>
          <w:lang w:val="en-GB"/>
        </w:rPr>
        <w:t xml:space="preserve">the </w:t>
      </w:r>
      <w:r w:rsidR="00482769" w:rsidRPr="001A54D7">
        <w:rPr>
          <w:lang w:val="en-GB"/>
        </w:rPr>
        <w:t xml:space="preserve">court </w:t>
      </w:r>
      <w:r w:rsidR="00443D1C" w:rsidRPr="001A54D7">
        <w:rPr>
          <w:lang w:val="en-GB"/>
        </w:rPr>
        <w:t xml:space="preserve">was that </w:t>
      </w:r>
      <w:r w:rsidR="000B47CA" w:rsidRPr="001A54D7">
        <w:rPr>
          <w:lang w:val="en-GB"/>
        </w:rPr>
        <w:t>he was working at a construction</w:t>
      </w:r>
      <w:r w:rsidR="00482769" w:rsidRPr="001A54D7">
        <w:rPr>
          <w:lang w:val="en-GB"/>
        </w:rPr>
        <w:t xml:space="preserve"> company and receiving</w:t>
      </w:r>
      <w:r w:rsidR="000B47CA" w:rsidRPr="001A54D7">
        <w:rPr>
          <w:lang w:val="en-GB"/>
        </w:rPr>
        <w:t xml:space="preserve"> R4700</w:t>
      </w:r>
      <w:r w:rsidR="00482769" w:rsidRPr="001A54D7">
        <w:rPr>
          <w:lang w:val="en-GB"/>
        </w:rPr>
        <w:t>. 00</w:t>
      </w:r>
      <w:r w:rsidR="000B47CA" w:rsidRPr="001A54D7">
        <w:rPr>
          <w:lang w:val="en-GB"/>
        </w:rPr>
        <w:t xml:space="preserve"> a month.  It is therefore insignificant to dwell </w:t>
      </w:r>
      <w:r w:rsidR="003767FC">
        <w:rPr>
          <w:lang w:val="en-GB"/>
        </w:rPr>
        <w:t>much on this point and safe</w:t>
      </w:r>
      <w:r w:rsidR="003B2856" w:rsidRPr="001A54D7">
        <w:rPr>
          <w:lang w:val="en-GB"/>
        </w:rPr>
        <w:t xml:space="preserve"> to</w:t>
      </w:r>
      <w:r w:rsidR="00667425" w:rsidRPr="001A54D7">
        <w:rPr>
          <w:lang w:val="en-GB"/>
        </w:rPr>
        <w:t xml:space="preserve"> conclude </w:t>
      </w:r>
      <w:r w:rsidR="00543E34" w:rsidRPr="001A54D7">
        <w:rPr>
          <w:lang w:val="en-GB"/>
        </w:rPr>
        <w:t>that I</w:t>
      </w:r>
      <w:r w:rsidR="003B2856" w:rsidRPr="001A54D7">
        <w:rPr>
          <w:lang w:val="en-GB"/>
        </w:rPr>
        <w:t xml:space="preserve"> might not find in his favour on the relief sought.</w:t>
      </w:r>
    </w:p>
    <w:p w14:paraId="40EE5F46" w14:textId="77777777" w:rsidR="008F68E1" w:rsidRPr="00674793" w:rsidRDefault="008F68E1" w:rsidP="002976F9">
      <w:pPr>
        <w:pStyle w:val="ListParagraph"/>
        <w:jc w:val="both"/>
      </w:pPr>
    </w:p>
    <w:p w14:paraId="13C9DFAB" w14:textId="77777777" w:rsidR="00917376" w:rsidRPr="002976F9" w:rsidRDefault="00D07609" w:rsidP="002976F9">
      <w:pPr>
        <w:tabs>
          <w:tab w:val="left" w:pos="851"/>
        </w:tabs>
        <w:jc w:val="both"/>
        <w:rPr>
          <w:b/>
          <w:bCs/>
          <w:iCs/>
          <w:lang w:val="en-GB"/>
        </w:rPr>
      </w:pPr>
      <w:r w:rsidRPr="002976F9">
        <w:rPr>
          <w:b/>
          <w:bCs/>
          <w:iCs/>
          <w:lang w:val="en-GB"/>
        </w:rPr>
        <w:t>Malicious Prosecution</w:t>
      </w:r>
    </w:p>
    <w:p w14:paraId="4296516D" w14:textId="77777777" w:rsidR="00667425" w:rsidRDefault="00667425" w:rsidP="00D84932">
      <w:pPr>
        <w:tabs>
          <w:tab w:val="left" w:pos="851"/>
        </w:tabs>
        <w:ind w:left="360"/>
        <w:jc w:val="both"/>
        <w:rPr>
          <w:u w:val="single"/>
          <w:lang w:val="en-GB"/>
        </w:rPr>
      </w:pPr>
    </w:p>
    <w:p w14:paraId="1BBEA62E" w14:textId="558A0D3D" w:rsidR="00667425" w:rsidRPr="002976F9" w:rsidRDefault="001E472A" w:rsidP="002976F9">
      <w:pPr>
        <w:tabs>
          <w:tab w:val="left" w:pos="851"/>
        </w:tabs>
        <w:jc w:val="both"/>
        <w:rPr>
          <w:u w:val="single"/>
          <w:lang w:val="en-GB"/>
        </w:rPr>
      </w:pPr>
      <w:r>
        <w:rPr>
          <w:lang w:val="en-GB"/>
        </w:rPr>
        <w:t>[36</w:t>
      </w:r>
      <w:r w:rsidR="001A54D7">
        <w:rPr>
          <w:lang w:val="en-GB"/>
        </w:rPr>
        <w:t>]</w:t>
      </w:r>
      <w:r w:rsidR="001A54D7">
        <w:rPr>
          <w:lang w:val="en-GB"/>
        </w:rPr>
        <w:tab/>
      </w:r>
      <w:r w:rsidR="00667425" w:rsidRPr="001A54D7">
        <w:rPr>
          <w:lang w:val="en-GB"/>
        </w:rPr>
        <w:t xml:space="preserve">To avoid a ruling of absolution from the instance, the Plaintiff is required to adduce </w:t>
      </w:r>
      <w:r w:rsidR="00667425" w:rsidRPr="001E406E">
        <w:rPr>
          <w:i/>
          <w:iCs/>
          <w:lang w:val="en-GB"/>
        </w:rPr>
        <w:t>prima facie</w:t>
      </w:r>
      <w:r w:rsidR="00667425" w:rsidRPr="001A54D7">
        <w:rPr>
          <w:lang w:val="en-GB"/>
        </w:rPr>
        <w:t xml:space="preserve"> evidence </w:t>
      </w:r>
      <w:r w:rsidR="00B72B81" w:rsidRPr="001A54D7">
        <w:rPr>
          <w:lang w:val="en-GB"/>
        </w:rPr>
        <w:t>to prove on a</w:t>
      </w:r>
      <w:r w:rsidR="00E910F3" w:rsidRPr="001A54D7">
        <w:rPr>
          <w:lang w:val="en-GB"/>
        </w:rPr>
        <w:t xml:space="preserve"> balance of probabilities that the </w:t>
      </w:r>
      <w:r w:rsidR="00777F24">
        <w:rPr>
          <w:lang w:val="en-GB"/>
        </w:rPr>
        <w:t xml:space="preserve">second </w:t>
      </w:r>
      <w:r w:rsidR="00CD3FA3">
        <w:rPr>
          <w:lang w:val="en-GB"/>
        </w:rPr>
        <w:t>D</w:t>
      </w:r>
      <w:r w:rsidR="00E910F3" w:rsidRPr="001A54D7">
        <w:rPr>
          <w:lang w:val="en-GB"/>
        </w:rPr>
        <w:t>efendant, set the law in motion; the instigation of the proceedings was without probable cause; it was perpetuated by malice; and the prosecution failed.</w:t>
      </w:r>
    </w:p>
    <w:p w14:paraId="3D550E94" w14:textId="77777777" w:rsidR="00443D1C" w:rsidRPr="00E910F3" w:rsidRDefault="00443D1C" w:rsidP="002976F9">
      <w:pPr>
        <w:pStyle w:val="ListParagraph"/>
        <w:tabs>
          <w:tab w:val="left" w:pos="851"/>
        </w:tabs>
        <w:jc w:val="both"/>
        <w:rPr>
          <w:u w:val="single"/>
          <w:lang w:val="en-GB"/>
        </w:rPr>
      </w:pPr>
    </w:p>
    <w:p w14:paraId="7BF9F58B" w14:textId="13541D99" w:rsidR="00E910F3" w:rsidRPr="001A54D7" w:rsidRDefault="001E472A" w:rsidP="002976F9">
      <w:pPr>
        <w:tabs>
          <w:tab w:val="left" w:pos="851"/>
        </w:tabs>
        <w:jc w:val="both"/>
        <w:rPr>
          <w:u w:val="single"/>
          <w:lang w:val="en-GB"/>
        </w:rPr>
      </w:pPr>
      <w:r>
        <w:rPr>
          <w:lang w:val="en-GB"/>
        </w:rPr>
        <w:t>[37</w:t>
      </w:r>
      <w:r w:rsidR="001A54D7">
        <w:rPr>
          <w:lang w:val="en-GB"/>
        </w:rPr>
        <w:t>]</w:t>
      </w:r>
      <w:r w:rsidR="001A54D7">
        <w:rPr>
          <w:lang w:val="en-GB"/>
        </w:rPr>
        <w:tab/>
      </w:r>
      <w:r w:rsidR="00B84E93" w:rsidRPr="001A54D7">
        <w:rPr>
          <w:lang w:val="en-GB"/>
        </w:rPr>
        <w:t xml:space="preserve">It is well established that ‘setting the law in motion’ requires </w:t>
      </w:r>
      <w:r w:rsidR="00443D1C" w:rsidRPr="001A54D7">
        <w:rPr>
          <w:lang w:val="en-GB"/>
        </w:rPr>
        <w:t xml:space="preserve">the </w:t>
      </w:r>
      <w:r w:rsidR="00210538" w:rsidRPr="001A54D7">
        <w:rPr>
          <w:lang w:val="en-GB"/>
        </w:rPr>
        <w:t>‘</w:t>
      </w:r>
      <w:r w:rsidR="00B84E93" w:rsidRPr="001A54D7">
        <w:rPr>
          <w:lang w:val="en-GB"/>
        </w:rPr>
        <w:t>active involvement</w:t>
      </w:r>
      <w:r w:rsidR="00CD3FA3">
        <w:rPr>
          <w:lang w:val="en-GB"/>
        </w:rPr>
        <w:t>’ of the D</w:t>
      </w:r>
      <w:r w:rsidR="00210538" w:rsidRPr="001A54D7">
        <w:rPr>
          <w:lang w:val="en-GB"/>
        </w:rPr>
        <w:t xml:space="preserve">efendant in pursuing the prosecution of the </w:t>
      </w:r>
      <w:r w:rsidR="003F51C0">
        <w:rPr>
          <w:lang w:val="en-GB"/>
        </w:rPr>
        <w:t>P</w:t>
      </w:r>
      <w:r w:rsidR="003F51C0" w:rsidRPr="001A54D7">
        <w:rPr>
          <w:lang w:val="en-GB"/>
        </w:rPr>
        <w:t>laintiff</w:t>
      </w:r>
      <w:r w:rsidR="00210538" w:rsidRPr="001A54D7">
        <w:rPr>
          <w:lang w:val="en-GB"/>
        </w:rPr>
        <w:t>.</w:t>
      </w:r>
      <w:r w:rsidR="00210538">
        <w:rPr>
          <w:rStyle w:val="FootnoteReference"/>
          <w:lang w:val="en-GB"/>
        </w:rPr>
        <w:footnoteReference w:id="22"/>
      </w:r>
      <w:r w:rsidR="00CD3FA3">
        <w:rPr>
          <w:lang w:val="en-GB"/>
        </w:rPr>
        <w:t xml:space="preserve"> The second D</w:t>
      </w:r>
      <w:r w:rsidR="00210538" w:rsidRPr="001A54D7">
        <w:rPr>
          <w:lang w:val="en-GB"/>
        </w:rPr>
        <w:t xml:space="preserve">efendant admits </w:t>
      </w:r>
      <w:r w:rsidR="00443D1C" w:rsidRPr="001A54D7">
        <w:rPr>
          <w:lang w:val="en-GB"/>
        </w:rPr>
        <w:t>having</w:t>
      </w:r>
      <w:r w:rsidR="00210538" w:rsidRPr="001A54D7">
        <w:rPr>
          <w:lang w:val="en-GB"/>
        </w:rPr>
        <w:t xml:space="preserve"> set the law in motion but denies other elements of the claim.</w:t>
      </w:r>
    </w:p>
    <w:p w14:paraId="3F4DD699" w14:textId="77777777" w:rsidR="004B34F2" w:rsidRPr="00210538" w:rsidRDefault="004B34F2" w:rsidP="00D84932">
      <w:pPr>
        <w:pStyle w:val="ListParagraph"/>
        <w:tabs>
          <w:tab w:val="left" w:pos="851"/>
        </w:tabs>
        <w:jc w:val="both"/>
        <w:rPr>
          <w:u w:val="single"/>
          <w:lang w:val="en-GB"/>
        </w:rPr>
      </w:pPr>
    </w:p>
    <w:p w14:paraId="282E8439" w14:textId="051E5B1B" w:rsidR="00210538" w:rsidRPr="001A54D7" w:rsidRDefault="001E472A" w:rsidP="002976F9">
      <w:pPr>
        <w:tabs>
          <w:tab w:val="left" w:pos="851"/>
        </w:tabs>
        <w:jc w:val="both"/>
        <w:rPr>
          <w:u w:val="single"/>
          <w:lang w:val="en-GB"/>
        </w:rPr>
      </w:pPr>
      <w:r>
        <w:rPr>
          <w:lang w:val="en-GB"/>
        </w:rPr>
        <w:t>[38</w:t>
      </w:r>
      <w:r w:rsidR="001A54D7">
        <w:rPr>
          <w:lang w:val="en-GB"/>
        </w:rPr>
        <w:t>]</w:t>
      </w:r>
      <w:r w:rsidR="001A54D7">
        <w:rPr>
          <w:lang w:val="en-GB"/>
        </w:rPr>
        <w:tab/>
      </w:r>
      <w:r w:rsidR="004B34F2" w:rsidRPr="001A54D7">
        <w:rPr>
          <w:lang w:val="en-GB"/>
        </w:rPr>
        <w:t xml:space="preserve">In </w:t>
      </w:r>
      <w:r w:rsidR="004B34F2" w:rsidRPr="002976F9">
        <w:rPr>
          <w:i/>
          <w:iCs/>
          <w:lang w:val="en-GB"/>
        </w:rPr>
        <w:t>Minister of Police v Ayanda Marula</w:t>
      </w:r>
      <w:r w:rsidR="004B34F2">
        <w:rPr>
          <w:rStyle w:val="FootnoteReference"/>
          <w:lang w:val="en-GB"/>
        </w:rPr>
        <w:footnoteReference w:id="23"/>
      </w:r>
      <w:r w:rsidR="004B34F2" w:rsidRPr="001A54D7">
        <w:rPr>
          <w:lang w:val="en-GB"/>
        </w:rPr>
        <w:t xml:space="preserve">, the court remarked that malice and lack of probable cause are two distinct elements, both of which must be proved, and </w:t>
      </w:r>
      <w:r w:rsidR="00443D1C" w:rsidRPr="001A54D7">
        <w:rPr>
          <w:lang w:val="en-GB"/>
        </w:rPr>
        <w:t xml:space="preserve">neither </w:t>
      </w:r>
      <w:r w:rsidR="004B34F2" w:rsidRPr="001A54D7">
        <w:rPr>
          <w:lang w:val="en-GB"/>
        </w:rPr>
        <w:t xml:space="preserve">of which may exist without the other. The </w:t>
      </w:r>
      <w:r w:rsidR="00AC3A2B" w:rsidRPr="001A54D7">
        <w:rPr>
          <w:lang w:val="en-GB"/>
        </w:rPr>
        <w:t xml:space="preserve">court further referred to </w:t>
      </w:r>
      <w:r w:rsidR="00AC3A2B" w:rsidRPr="002976F9">
        <w:rPr>
          <w:i/>
          <w:iCs/>
          <w:lang w:val="en-GB"/>
        </w:rPr>
        <w:t xml:space="preserve">Minister of Safety and Security v </w:t>
      </w:r>
      <w:proofErr w:type="spellStart"/>
      <w:r w:rsidR="00AC3A2B" w:rsidRPr="002976F9">
        <w:rPr>
          <w:i/>
          <w:iCs/>
          <w:lang w:val="en-GB"/>
        </w:rPr>
        <w:t>Tyokwana</w:t>
      </w:r>
      <w:proofErr w:type="spellEnd"/>
      <w:r w:rsidR="00AC3A2B">
        <w:rPr>
          <w:rStyle w:val="FootnoteReference"/>
          <w:lang w:val="en-GB"/>
        </w:rPr>
        <w:footnoteReference w:id="24"/>
      </w:r>
      <w:r w:rsidR="00AC3A2B" w:rsidRPr="001A54D7">
        <w:rPr>
          <w:lang w:val="en-GB"/>
        </w:rPr>
        <w:t xml:space="preserve">, where the Supreme </w:t>
      </w:r>
      <w:r w:rsidR="00AE03D4" w:rsidRPr="001A54D7">
        <w:rPr>
          <w:lang w:val="en-GB"/>
        </w:rPr>
        <w:t>Court</w:t>
      </w:r>
      <w:r w:rsidR="00AC3A2B" w:rsidRPr="001A54D7">
        <w:rPr>
          <w:lang w:val="en-GB"/>
        </w:rPr>
        <w:t xml:space="preserve"> of Appe</w:t>
      </w:r>
      <w:r w:rsidR="00AE03D4" w:rsidRPr="001A54D7">
        <w:rPr>
          <w:lang w:val="en-GB"/>
        </w:rPr>
        <w:t>al</w:t>
      </w:r>
      <w:r w:rsidR="00AC3A2B" w:rsidRPr="001A54D7">
        <w:rPr>
          <w:lang w:val="en-GB"/>
        </w:rPr>
        <w:t xml:space="preserve"> dealt with the requirement of animus (malice). </w:t>
      </w:r>
      <w:r w:rsidR="002E52D7" w:rsidRPr="001A54D7">
        <w:rPr>
          <w:lang w:val="en-GB"/>
        </w:rPr>
        <w:t xml:space="preserve"> </w:t>
      </w:r>
      <w:r w:rsidR="00AE03D4" w:rsidRPr="001A54D7">
        <w:rPr>
          <w:lang w:val="en-GB"/>
        </w:rPr>
        <w:t xml:space="preserve">In terms of </w:t>
      </w:r>
      <w:proofErr w:type="spellStart"/>
      <w:r w:rsidR="00AE03D4" w:rsidRPr="001A54D7">
        <w:rPr>
          <w:i/>
          <w:lang w:val="en-GB"/>
        </w:rPr>
        <w:t>Tyokwana</w:t>
      </w:r>
      <w:proofErr w:type="spellEnd"/>
      <w:r w:rsidR="00AE03D4" w:rsidRPr="001A54D7">
        <w:rPr>
          <w:i/>
          <w:lang w:val="en-GB"/>
        </w:rPr>
        <w:t>,</w:t>
      </w:r>
      <w:r w:rsidR="00AE03D4" w:rsidRPr="001A54D7">
        <w:rPr>
          <w:lang w:val="en-GB"/>
        </w:rPr>
        <w:t xml:space="preserve"> a </w:t>
      </w:r>
      <w:r w:rsidR="00E83B6B">
        <w:rPr>
          <w:lang w:val="en-GB"/>
        </w:rPr>
        <w:t>P</w:t>
      </w:r>
      <w:r w:rsidR="00E83B6B" w:rsidRPr="001A54D7">
        <w:rPr>
          <w:lang w:val="en-GB"/>
        </w:rPr>
        <w:t xml:space="preserve">laintiff </w:t>
      </w:r>
      <w:r w:rsidR="00095E6E">
        <w:rPr>
          <w:lang w:val="en-GB"/>
        </w:rPr>
        <w:t>is required to prove that the D</w:t>
      </w:r>
      <w:r w:rsidR="00AE03D4" w:rsidRPr="001A54D7">
        <w:rPr>
          <w:lang w:val="en-GB"/>
        </w:rPr>
        <w:t>efendant intentionally pursued their prosecution despite knowing that there are no reasonable grounds for doing so.</w:t>
      </w:r>
      <w:r w:rsidR="00114AFD" w:rsidRPr="001A54D7">
        <w:rPr>
          <w:lang w:val="en-GB"/>
        </w:rPr>
        <w:t xml:space="preserve"> The court held</w:t>
      </w:r>
      <w:r w:rsidR="00443D1C" w:rsidRPr="001A54D7">
        <w:rPr>
          <w:lang w:val="en-GB"/>
        </w:rPr>
        <w:t>:</w:t>
      </w:r>
    </w:p>
    <w:p w14:paraId="1B9353FA" w14:textId="77777777" w:rsidR="00232C04" w:rsidRPr="00232C04" w:rsidRDefault="00232C04" w:rsidP="002976F9">
      <w:pPr>
        <w:pStyle w:val="ListParagraph"/>
        <w:jc w:val="both"/>
        <w:rPr>
          <w:u w:val="single"/>
          <w:lang w:val="en-GB"/>
        </w:rPr>
      </w:pPr>
    </w:p>
    <w:p w14:paraId="7E096C6B" w14:textId="72007913" w:rsidR="00232C04" w:rsidRPr="002976F9" w:rsidRDefault="00443D1C" w:rsidP="002976F9">
      <w:pPr>
        <w:tabs>
          <w:tab w:val="left" w:pos="851"/>
        </w:tabs>
        <w:ind w:left="720"/>
        <w:jc w:val="both"/>
        <w:rPr>
          <w:iCs/>
          <w:sz w:val="20"/>
          <w:szCs w:val="20"/>
          <w:lang w:val="en-GB"/>
        </w:rPr>
      </w:pPr>
      <w:r w:rsidRPr="002976F9">
        <w:rPr>
          <w:iCs/>
          <w:sz w:val="20"/>
          <w:szCs w:val="20"/>
          <w:lang w:val="en-GB"/>
        </w:rPr>
        <w:t>“</w:t>
      </w:r>
      <w:r w:rsidR="00813397" w:rsidRPr="002976F9">
        <w:rPr>
          <w:iCs/>
          <w:sz w:val="20"/>
          <w:szCs w:val="20"/>
          <w:lang w:val="en-GB"/>
        </w:rPr>
        <w:t>If</w:t>
      </w:r>
      <w:r w:rsidR="00232C04" w:rsidRPr="002976F9">
        <w:rPr>
          <w:iCs/>
          <w:sz w:val="20"/>
          <w:szCs w:val="20"/>
          <w:lang w:val="en-GB"/>
        </w:rPr>
        <w:t xml:space="preserve"> no reasonable grounds exist, but the defendant honestly believes that either that the plaintiff is guilty, or that reasonable grounds are present, the second element of animus iniurandi, namely consciousness of wrongfulness, will be lacking.</w:t>
      </w:r>
      <w:r w:rsidRPr="002976F9">
        <w:rPr>
          <w:iCs/>
          <w:sz w:val="20"/>
          <w:szCs w:val="20"/>
          <w:lang w:val="en-GB"/>
        </w:rPr>
        <w:t>”</w:t>
      </w:r>
    </w:p>
    <w:p w14:paraId="4A913377" w14:textId="77777777" w:rsidR="006E2247" w:rsidRDefault="006E2247" w:rsidP="00D84932">
      <w:pPr>
        <w:pStyle w:val="ListParagraph"/>
        <w:tabs>
          <w:tab w:val="left" w:pos="851"/>
        </w:tabs>
        <w:ind w:left="851"/>
        <w:jc w:val="both"/>
        <w:rPr>
          <w:lang w:val="en-GB"/>
        </w:rPr>
      </w:pPr>
    </w:p>
    <w:p w14:paraId="3F7039F7" w14:textId="18D27F67" w:rsidR="00C37B0E" w:rsidRPr="001A54D7" w:rsidRDefault="001E472A" w:rsidP="002976F9">
      <w:pPr>
        <w:jc w:val="both"/>
        <w:rPr>
          <w:lang w:val="en-GB"/>
        </w:rPr>
      </w:pPr>
      <w:r>
        <w:rPr>
          <w:lang w:val="en-GB"/>
        </w:rPr>
        <w:lastRenderedPageBreak/>
        <w:t>[39</w:t>
      </w:r>
      <w:r w:rsidR="001A54D7">
        <w:rPr>
          <w:lang w:val="en-GB"/>
        </w:rPr>
        <w:t>]</w:t>
      </w:r>
      <w:r w:rsidR="001A54D7">
        <w:rPr>
          <w:lang w:val="en-GB"/>
        </w:rPr>
        <w:tab/>
      </w:r>
      <w:r w:rsidR="00C37B0E" w:rsidRPr="001A54D7">
        <w:rPr>
          <w:lang w:val="en-GB"/>
        </w:rPr>
        <w:t>A Practical Guide to the Ethical Code of Conduct of Members of the National Prosecuting Authority</w:t>
      </w:r>
      <w:r w:rsidR="00C37B0E">
        <w:rPr>
          <w:rStyle w:val="FootnoteReference"/>
          <w:lang w:val="en-GB"/>
        </w:rPr>
        <w:footnoteReference w:id="25"/>
      </w:r>
      <w:r w:rsidR="00C37B0E" w:rsidRPr="001A54D7">
        <w:rPr>
          <w:lang w:val="en-GB"/>
        </w:rPr>
        <w:t xml:space="preserve"> sets out the role that prosecutors should play in conducting criminal proceedings on behalf of the state.  In terms of the Code</w:t>
      </w:r>
      <w:r w:rsidR="00C37B0E">
        <w:rPr>
          <w:rStyle w:val="FootnoteReference"/>
          <w:lang w:val="en-GB"/>
        </w:rPr>
        <w:footnoteReference w:id="26"/>
      </w:r>
      <w:r w:rsidR="00C37B0E" w:rsidRPr="001A54D7">
        <w:rPr>
          <w:lang w:val="en-GB"/>
        </w:rPr>
        <w:t xml:space="preserve">, the prosecutor will proceed only when a case is well founded upon evidence which is reasonable believed to be reliable and admissible and will not continue to prosecute in the absence of such evidence. </w:t>
      </w:r>
    </w:p>
    <w:p w14:paraId="4F6C9B7C" w14:textId="77777777" w:rsidR="00A13FB0" w:rsidRDefault="00A13FB0" w:rsidP="00D84932">
      <w:pPr>
        <w:pStyle w:val="ListParagraph"/>
        <w:jc w:val="both"/>
        <w:rPr>
          <w:lang w:val="en-GB"/>
        </w:rPr>
      </w:pPr>
    </w:p>
    <w:p w14:paraId="1495CD53" w14:textId="4750E8D6" w:rsidR="00232C04" w:rsidRPr="001A54D7" w:rsidRDefault="001E472A" w:rsidP="002976F9">
      <w:pPr>
        <w:jc w:val="both"/>
        <w:rPr>
          <w:lang w:val="en-GB"/>
        </w:rPr>
      </w:pPr>
      <w:r>
        <w:rPr>
          <w:lang w:val="en-GB"/>
        </w:rPr>
        <w:t>[40</w:t>
      </w:r>
      <w:r w:rsidR="001A54D7">
        <w:rPr>
          <w:lang w:val="en-GB"/>
        </w:rPr>
        <w:t>]</w:t>
      </w:r>
      <w:r w:rsidR="001A54D7">
        <w:rPr>
          <w:lang w:val="en-GB"/>
        </w:rPr>
        <w:tab/>
      </w:r>
      <w:r w:rsidR="006E2247" w:rsidRPr="001A54D7">
        <w:rPr>
          <w:lang w:val="en-GB"/>
        </w:rPr>
        <w:t xml:space="preserve">In </w:t>
      </w:r>
      <w:r w:rsidR="00C25A11" w:rsidRPr="001A54D7">
        <w:rPr>
          <w:lang w:val="en-GB"/>
        </w:rPr>
        <w:t>the present matter</w:t>
      </w:r>
      <w:r w:rsidR="00CD3FA3">
        <w:rPr>
          <w:lang w:val="en-GB"/>
        </w:rPr>
        <w:t>, the P</w:t>
      </w:r>
      <w:r w:rsidR="006E2247" w:rsidRPr="001A54D7">
        <w:rPr>
          <w:lang w:val="en-GB"/>
        </w:rPr>
        <w:t>lainti</w:t>
      </w:r>
      <w:r w:rsidR="00024C1F" w:rsidRPr="001A54D7">
        <w:rPr>
          <w:lang w:val="en-GB"/>
        </w:rPr>
        <w:t xml:space="preserve">ff presented no </w:t>
      </w:r>
      <w:r w:rsidR="00024C1F" w:rsidRPr="001E406E">
        <w:rPr>
          <w:i/>
          <w:iCs/>
          <w:lang w:val="en-GB"/>
        </w:rPr>
        <w:t>prima facie</w:t>
      </w:r>
      <w:r w:rsidR="00024C1F" w:rsidRPr="001A54D7">
        <w:rPr>
          <w:lang w:val="en-GB"/>
        </w:rPr>
        <w:t xml:space="preserve"> eviden</w:t>
      </w:r>
      <w:r w:rsidR="006E2247" w:rsidRPr="001A54D7">
        <w:rPr>
          <w:lang w:val="en-GB"/>
        </w:rPr>
        <w:t>ce that the prosecution directed her will to prosecute despite a lack of reasonable</w:t>
      </w:r>
      <w:r w:rsidR="00146431" w:rsidRPr="001A54D7">
        <w:rPr>
          <w:lang w:val="en-GB"/>
        </w:rPr>
        <w:t xml:space="preserve"> and probable</w:t>
      </w:r>
      <w:r w:rsidR="006E2247" w:rsidRPr="001A54D7">
        <w:rPr>
          <w:lang w:val="en-GB"/>
        </w:rPr>
        <w:t xml:space="preserve"> grounds to do so. Instead, when the docket contents</w:t>
      </w:r>
      <w:r w:rsidR="00794BCF" w:rsidRPr="001A54D7">
        <w:rPr>
          <w:lang w:val="en-GB"/>
        </w:rPr>
        <w:t xml:space="preserve"> were made known to </w:t>
      </w:r>
      <w:r w:rsidR="00024C1F" w:rsidRPr="001A54D7">
        <w:rPr>
          <w:lang w:val="en-GB"/>
        </w:rPr>
        <w:t>him</w:t>
      </w:r>
      <w:r w:rsidR="00794BCF" w:rsidRPr="001A54D7">
        <w:rPr>
          <w:lang w:val="en-GB"/>
        </w:rPr>
        <w:t xml:space="preserve"> </w:t>
      </w:r>
      <w:r w:rsidR="006E2247" w:rsidRPr="001A54D7">
        <w:rPr>
          <w:lang w:val="en-GB"/>
        </w:rPr>
        <w:t xml:space="preserve">in cross-examination, he conceded that the actions of the prosecutor were justified. </w:t>
      </w:r>
      <w:r w:rsidR="00146431" w:rsidRPr="001A54D7">
        <w:rPr>
          <w:lang w:val="en-GB"/>
        </w:rPr>
        <w:t xml:space="preserve">It must be remembered </w:t>
      </w:r>
      <w:r w:rsidR="00DF72A7">
        <w:rPr>
          <w:lang w:val="en-GB"/>
        </w:rPr>
        <w:t xml:space="preserve">that as </w:t>
      </w:r>
      <w:r w:rsidR="00146431" w:rsidRPr="001A54D7">
        <w:rPr>
          <w:lang w:val="en-GB"/>
        </w:rPr>
        <w:t xml:space="preserve">per </w:t>
      </w:r>
      <w:r w:rsidR="00DF72A7">
        <w:rPr>
          <w:lang w:val="en-GB"/>
        </w:rPr>
        <w:t xml:space="preserve">the </w:t>
      </w:r>
      <w:r w:rsidR="00146431" w:rsidRPr="001A54D7">
        <w:rPr>
          <w:lang w:val="en-GB"/>
        </w:rPr>
        <w:t>discovered documents</w:t>
      </w:r>
      <w:r w:rsidR="00794BCF" w:rsidRPr="001A54D7">
        <w:rPr>
          <w:lang w:val="en-GB"/>
        </w:rPr>
        <w:t xml:space="preserve">, </w:t>
      </w:r>
      <w:r w:rsidR="00146431" w:rsidRPr="001A54D7">
        <w:rPr>
          <w:lang w:val="en-GB"/>
        </w:rPr>
        <w:t xml:space="preserve">the </w:t>
      </w:r>
      <w:r w:rsidR="00DF72A7">
        <w:rPr>
          <w:lang w:val="en-GB"/>
        </w:rPr>
        <w:t xml:space="preserve">victim </w:t>
      </w:r>
      <w:r w:rsidR="00CD3FA3">
        <w:rPr>
          <w:lang w:val="en-GB"/>
        </w:rPr>
        <w:t>consistently implicated the P</w:t>
      </w:r>
      <w:r w:rsidR="00146431" w:rsidRPr="001A54D7">
        <w:rPr>
          <w:lang w:val="en-GB"/>
        </w:rPr>
        <w:t xml:space="preserve">laintiff on a rape charge to her younger sister, the </w:t>
      </w:r>
      <w:r w:rsidR="00FE27A6" w:rsidRPr="001A54D7">
        <w:rPr>
          <w:lang w:val="en-GB"/>
        </w:rPr>
        <w:t>school</w:t>
      </w:r>
      <w:r w:rsidR="00FE27A6">
        <w:rPr>
          <w:lang w:val="en-GB"/>
        </w:rPr>
        <w:t>teacher</w:t>
      </w:r>
      <w:r w:rsidR="00146431" w:rsidRPr="001A54D7">
        <w:rPr>
          <w:lang w:val="en-GB"/>
        </w:rPr>
        <w:t xml:space="preserve">, her mother and the police officer. When the </w:t>
      </w:r>
      <w:r w:rsidR="00E73C43">
        <w:rPr>
          <w:lang w:val="en-GB"/>
        </w:rPr>
        <w:t>d</w:t>
      </w:r>
      <w:r w:rsidR="00E73C43" w:rsidRPr="001A54D7">
        <w:rPr>
          <w:lang w:val="en-GB"/>
        </w:rPr>
        <w:t xml:space="preserve">octor </w:t>
      </w:r>
      <w:r w:rsidR="00146431" w:rsidRPr="001A54D7">
        <w:rPr>
          <w:lang w:val="en-GB"/>
        </w:rPr>
        <w:t xml:space="preserve">examined the </w:t>
      </w:r>
      <w:r w:rsidR="00E73C43">
        <w:rPr>
          <w:lang w:val="en-GB"/>
        </w:rPr>
        <w:t>victim</w:t>
      </w:r>
      <w:r w:rsidR="00E73C43" w:rsidRPr="001A54D7">
        <w:rPr>
          <w:lang w:val="en-GB"/>
        </w:rPr>
        <w:t xml:space="preserve"> </w:t>
      </w:r>
      <w:r w:rsidR="00146431" w:rsidRPr="001A54D7">
        <w:rPr>
          <w:lang w:val="en-GB"/>
        </w:rPr>
        <w:t xml:space="preserve">on the following day of the alleged incident, he noted </w:t>
      </w:r>
      <w:r w:rsidR="003C6300" w:rsidRPr="001A54D7">
        <w:rPr>
          <w:lang w:val="en-GB"/>
        </w:rPr>
        <w:t xml:space="preserve">visible </w:t>
      </w:r>
      <w:r w:rsidR="00CD3FA3">
        <w:rPr>
          <w:lang w:val="en-GB"/>
        </w:rPr>
        <w:t>injuries in her genitals. The Plaintiff never denied the docket contents but simply averred that he was not involved in the commission of a rape charge</w:t>
      </w:r>
      <w:r w:rsidR="00146431" w:rsidRPr="001A54D7">
        <w:rPr>
          <w:lang w:val="en-GB"/>
        </w:rPr>
        <w:t xml:space="preserve">. </w:t>
      </w:r>
      <w:r w:rsidR="00024C1F" w:rsidRPr="001A54D7">
        <w:rPr>
          <w:lang w:val="en-GB"/>
        </w:rPr>
        <w:t xml:space="preserve">I conclude that the evidence presented proves no malice </w:t>
      </w:r>
      <w:r w:rsidR="00673028">
        <w:rPr>
          <w:lang w:val="en-GB"/>
        </w:rPr>
        <w:t>on the part of</w:t>
      </w:r>
      <w:r w:rsidR="003C6300" w:rsidRPr="001A54D7">
        <w:rPr>
          <w:lang w:val="en-GB"/>
        </w:rPr>
        <w:t xml:space="preserve"> </w:t>
      </w:r>
      <w:r w:rsidR="00024C1F" w:rsidRPr="001A54D7">
        <w:rPr>
          <w:lang w:val="en-GB"/>
        </w:rPr>
        <w:t xml:space="preserve">the second </w:t>
      </w:r>
      <w:r w:rsidR="00673028">
        <w:rPr>
          <w:lang w:val="en-GB"/>
        </w:rPr>
        <w:t>D</w:t>
      </w:r>
      <w:r w:rsidR="003C6300" w:rsidRPr="001A54D7">
        <w:rPr>
          <w:lang w:val="en-GB"/>
        </w:rPr>
        <w:t>efendant.</w:t>
      </w:r>
    </w:p>
    <w:p w14:paraId="51F2A47F" w14:textId="77777777" w:rsidR="00DA6546" w:rsidRDefault="00DA6546" w:rsidP="00D84932">
      <w:pPr>
        <w:pStyle w:val="ListParagraph"/>
        <w:jc w:val="both"/>
        <w:rPr>
          <w:lang w:val="en-GB"/>
        </w:rPr>
      </w:pPr>
    </w:p>
    <w:p w14:paraId="649D7094" w14:textId="728653AC" w:rsidR="00DA6546" w:rsidRPr="001A54D7" w:rsidRDefault="001E472A" w:rsidP="002976F9">
      <w:pPr>
        <w:jc w:val="both"/>
        <w:rPr>
          <w:lang w:val="en-GB"/>
        </w:rPr>
      </w:pPr>
      <w:r>
        <w:rPr>
          <w:lang w:val="en-GB"/>
        </w:rPr>
        <w:t>[41</w:t>
      </w:r>
      <w:r w:rsidR="00BB58E7">
        <w:rPr>
          <w:lang w:val="en-GB"/>
        </w:rPr>
        <w:t>]</w:t>
      </w:r>
      <w:r w:rsidR="00BB58E7">
        <w:rPr>
          <w:lang w:val="en-GB"/>
        </w:rPr>
        <w:tab/>
      </w:r>
      <w:r w:rsidR="00DA6546" w:rsidRPr="001A54D7">
        <w:rPr>
          <w:lang w:val="en-GB"/>
        </w:rPr>
        <w:t>The fact that the matter was struck of</w:t>
      </w:r>
      <w:r w:rsidR="00C25A11" w:rsidRPr="001A54D7">
        <w:rPr>
          <w:lang w:val="en-GB"/>
        </w:rPr>
        <w:t>f</w:t>
      </w:r>
      <w:r w:rsidR="00DA6546" w:rsidRPr="001A54D7">
        <w:rPr>
          <w:lang w:val="en-GB"/>
        </w:rPr>
        <w:t xml:space="preserve"> </w:t>
      </w:r>
      <w:r w:rsidR="003C6300" w:rsidRPr="001A54D7">
        <w:rPr>
          <w:lang w:val="en-GB"/>
        </w:rPr>
        <w:t xml:space="preserve">the </w:t>
      </w:r>
      <w:r w:rsidR="00DA6546" w:rsidRPr="001A54D7">
        <w:rPr>
          <w:lang w:val="en-GB"/>
        </w:rPr>
        <w:t>roll at some stage cannot be equated to failed prosecution. It is common cause that the rape charge is pending before a criminal court</w:t>
      </w:r>
      <w:r w:rsidR="00024C1F" w:rsidRPr="001A54D7">
        <w:rPr>
          <w:lang w:val="en-GB"/>
        </w:rPr>
        <w:t xml:space="preserve"> based on the</w:t>
      </w:r>
      <w:r w:rsidR="00DA6546" w:rsidRPr="001A54D7">
        <w:rPr>
          <w:lang w:val="en-GB"/>
        </w:rPr>
        <w:t xml:space="preserve"> decision of a p</w:t>
      </w:r>
      <w:r w:rsidR="00024C1F" w:rsidRPr="001A54D7">
        <w:rPr>
          <w:lang w:val="en-GB"/>
        </w:rPr>
        <w:t xml:space="preserve">rosecutor to </w:t>
      </w:r>
      <w:r w:rsidR="00673028">
        <w:rPr>
          <w:lang w:val="en-GB"/>
        </w:rPr>
        <w:t>pursue the charges against the P</w:t>
      </w:r>
      <w:r w:rsidR="00024C1F" w:rsidRPr="001A54D7">
        <w:rPr>
          <w:lang w:val="en-GB"/>
        </w:rPr>
        <w:t xml:space="preserve">laintiff. The last </w:t>
      </w:r>
      <w:r w:rsidR="00482BC6" w:rsidRPr="001A54D7">
        <w:rPr>
          <w:lang w:val="en-GB"/>
        </w:rPr>
        <w:t xml:space="preserve">element for a claim for </w:t>
      </w:r>
      <w:r w:rsidR="003767FC">
        <w:rPr>
          <w:lang w:val="en-GB"/>
        </w:rPr>
        <w:t xml:space="preserve">a </w:t>
      </w:r>
      <w:r w:rsidR="00482BC6" w:rsidRPr="001A54D7">
        <w:rPr>
          <w:lang w:val="en-GB"/>
        </w:rPr>
        <w:t>malicious</w:t>
      </w:r>
      <w:r w:rsidR="00E61600">
        <w:rPr>
          <w:lang w:val="en-GB"/>
        </w:rPr>
        <w:t xml:space="preserve"> prosecution</w:t>
      </w:r>
      <w:r w:rsidR="00482BC6" w:rsidRPr="001A54D7">
        <w:rPr>
          <w:lang w:val="en-GB"/>
        </w:rPr>
        <w:t xml:space="preserve"> </w:t>
      </w:r>
      <w:r w:rsidR="00024C1F" w:rsidRPr="001A54D7">
        <w:rPr>
          <w:lang w:val="en-GB"/>
        </w:rPr>
        <w:t>is also lacking.</w:t>
      </w:r>
    </w:p>
    <w:p w14:paraId="06F4D2CF" w14:textId="77777777" w:rsidR="00024C1F" w:rsidRPr="00024C1F" w:rsidRDefault="00024C1F" w:rsidP="002976F9">
      <w:pPr>
        <w:pStyle w:val="ListParagraph"/>
        <w:jc w:val="both"/>
        <w:rPr>
          <w:lang w:val="en-GB"/>
        </w:rPr>
      </w:pPr>
    </w:p>
    <w:p w14:paraId="7947F808" w14:textId="48BBDC42" w:rsidR="00024C1F" w:rsidRPr="002976F9" w:rsidRDefault="00CE0E35" w:rsidP="002976F9">
      <w:pPr>
        <w:jc w:val="both"/>
        <w:rPr>
          <w:b/>
          <w:bCs/>
          <w:iCs/>
          <w:lang w:val="en-GB"/>
        </w:rPr>
      </w:pPr>
      <w:r w:rsidRPr="002976F9">
        <w:rPr>
          <w:b/>
          <w:bCs/>
          <w:iCs/>
          <w:lang w:val="en-GB"/>
        </w:rPr>
        <w:t>Claim against the Minister of Justice and Correctional Services. (</w:t>
      </w:r>
      <w:r w:rsidR="00E73C43">
        <w:rPr>
          <w:b/>
          <w:bCs/>
          <w:iCs/>
          <w:lang w:val="en-GB"/>
        </w:rPr>
        <w:t>third</w:t>
      </w:r>
      <w:r w:rsidR="00E73C43" w:rsidRPr="002976F9">
        <w:rPr>
          <w:b/>
          <w:bCs/>
          <w:iCs/>
          <w:lang w:val="en-GB"/>
        </w:rPr>
        <w:t xml:space="preserve"> </w:t>
      </w:r>
      <w:r w:rsidR="0033149D">
        <w:rPr>
          <w:b/>
          <w:bCs/>
          <w:iCs/>
          <w:lang w:val="en-GB"/>
        </w:rPr>
        <w:t>D</w:t>
      </w:r>
      <w:r w:rsidR="0033149D" w:rsidRPr="002976F9">
        <w:rPr>
          <w:b/>
          <w:bCs/>
          <w:iCs/>
          <w:lang w:val="en-GB"/>
        </w:rPr>
        <w:t>efendant</w:t>
      </w:r>
      <w:r w:rsidRPr="002976F9">
        <w:rPr>
          <w:b/>
          <w:bCs/>
          <w:iCs/>
          <w:lang w:val="en-GB"/>
        </w:rPr>
        <w:t>)</w:t>
      </w:r>
    </w:p>
    <w:p w14:paraId="59034AE2" w14:textId="77777777" w:rsidR="00146431" w:rsidRPr="00CE0E35" w:rsidRDefault="00146431" w:rsidP="00D84932">
      <w:pPr>
        <w:jc w:val="both"/>
        <w:rPr>
          <w:i/>
          <w:lang w:val="en-GB"/>
        </w:rPr>
      </w:pPr>
    </w:p>
    <w:p w14:paraId="6E5CA33B" w14:textId="48E6A5D6" w:rsidR="00CE0E35" w:rsidRPr="00BB58E7" w:rsidRDefault="001E472A" w:rsidP="002976F9">
      <w:pPr>
        <w:jc w:val="both"/>
        <w:rPr>
          <w:lang w:val="en-GB"/>
        </w:rPr>
      </w:pPr>
      <w:r>
        <w:rPr>
          <w:lang w:val="en-GB"/>
        </w:rPr>
        <w:t>[42</w:t>
      </w:r>
      <w:r w:rsidR="00BB58E7">
        <w:rPr>
          <w:lang w:val="en-GB"/>
        </w:rPr>
        <w:t>]</w:t>
      </w:r>
      <w:r w:rsidR="00BB58E7">
        <w:rPr>
          <w:lang w:val="en-GB"/>
        </w:rPr>
        <w:tab/>
      </w:r>
      <w:r w:rsidR="003B2856" w:rsidRPr="00BB58E7">
        <w:rPr>
          <w:lang w:val="en-GB"/>
        </w:rPr>
        <w:t>It has alr</w:t>
      </w:r>
      <w:r w:rsidR="00673028">
        <w:rPr>
          <w:lang w:val="en-GB"/>
        </w:rPr>
        <w:t>eady been established that the P</w:t>
      </w:r>
      <w:r w:rsidR="00482BC6" w:rsidRPr="00BB58E7">
        <w:rPr>
          <w:lang w:val="en-GB"/>
        </w:rPr>
        <w:t xml:space="preserve">laintiff was charged with a </w:t>
      </w:r>
      <w:r w:rsidR="0033149D">
        <w:rPr>
          <w:lang w:val="en-GB"/>
        </w:rPr>
        <w:t>s</w:t>
      </w:r>
      <w:r w:rsidR="0033149D" w:rsidRPr="00BB58E7">
        <w:rPr>
          <w:lang w:val="en-GB"/>
        </w:rPr>
        <w:t xml:space="preserve">chedule </w:t>
      </w:r>
      <w:r w:rsidR="00482BC6" w:rsidRPr="00BB58E7">
        <w:rPr>
          <w:lang w:val="en-GB"/>
        </w:rPr>
        <w:t xml:space="preserve">6 offence. The Plaintiff’s detention after his first appearance in court was dependent </w:t>
      </w:r>
      <w:r w:rsidR="00482BC6" w:rsidRPr="00BB58E7">
        <w:rPr>
          <w:lang w:val="en-GB"/>
        </w:rPr>
        <w:lastRenderedPageBreak/>
        <w:t>on the Magistrate’s orders.</w:t>
      </w:r>
      <w:r w:rsidR="00482BC6">
        <w:rPr>
          <w:rStyle w:val="FootnoteReference"/>
          <w:lang w:val="en-GB"/>
        </w:rPr>
        <w:footnoteReference w:id="27"/>
      </w:r>
      <w:r w:rsidR="00482BC6" w:rsidRPr="00BB58E7">
        <w:rPr>
          <w:lang w:val="en-GB"/>
        </w:rPr>
        <w:t xml:space="preserve"> </w:t>
      </w:r>
      <w:r w:rsidR="00673028">
        <w:rPr>
          <w:lang w:val="en-GB"/>
        </w:rPr>
        <w:t>On perusal of the P</w:t>
      </w:r>
      <w:r w:rsidR="00CE0E35" w:rsidRPr="00BB58E7">
        <w:rPr>
          <w:lang w:val="en-GB"/>
        </w:rPr>
        <w:t>laintiff’s particulars of claim,</w:t>
      </w:r>
      <w:r w:rsidR="00482BC6" w:rsidRPr="00BB58E7">
        <w:rPr>
          <w:lang w:val="en-GB"/>
        </w:rPr>
        <w:t xml:space="preserve"> and oral evidence that was presented</w:t>
      </w:r>
      <w:r w:rsidR="00CE0E35" w:rsidRPr="00BB58E7">
        <w:rPr>
          <w:lang w:val="en-GB"/>
        </w:rPr>
        <w:t xml:space="preserve"> I could not find the basis upon which the </w:t>
      </w:r>
      <w:r w:rsidR="0033149D">
        <w:rPr>
          <w:lang w:val="en-GB"/>
        </w:rPr>
        <w:t>third</w:t>
      </w:r>
      <w:r w:rsidR="0033149D" w:rsidRPr="00BB58E7">
        <w:rPr>
          <w:lang w:val="en-GB"/>
        </w:rPr>
        <w:t xml:space="preserve"> </w:t>
      </w:r>
      <w:r w:rsidR="0033149D">
        <w:rPr>
          <w:lang w:val="en-GB"/>
        </w:rPr>
        <w:t>D</w:t>
      </w:r>
      <w:r w:rsidR="0033149D" w:rsidRPr="00BB58E7">
        <w:rPr>
          <w:lang w:val="en-GB"/>
        </w:rPr>
        <w:t xml:space="preserve">efendant </w:t>
      </w:r>
      <w:r w:rsidR="00CE0E35" w:rsidRPr="00BB58E7">
        <w:rPr>
          <w:lang w:val="en-GB"/>
        </w:rPr>
        <w:t xml:space="preserve">was sued. This is also </w:t>
      </w:r>
      <w:r w:rsidR="00C97E79" w:rsidRPr="00BB58E7">
        <w:rPr>
          <w:lang w:val="en-GB"/>
        </w:rPr>
        <w:t>a disquieting</w:t>
      </w:r>
      <w:r w:rsidR="00725BF1" w:rsidRPr="00BB58E7">
        <w:rPr>
          <w:lang w:val="en-GB"/>
        </w:rPr>
        <w:t xml:space="preserve"> feat</w:t>
      </w:r>
      <w:r w:rsidR="00673028">
        <w:rPr>
          <w:lang w:val="en-GB"/>
        </w:rPr>
        <w:t>ure in the manner in which the P</w:t>
      </w:r>
      <w:r w:rsidR="00725BF1" w:rsidRPr="00BB58E7">
        <w:rPr>
          <w:lang w:val="en-GB"/>
        </w:rPr>
        <w:t>lainti</w:t>
      </w:r>
      <w:r w:rsidR="00CE0E35" w:rsidRPr="00BB58E7">
        <w:rPr>
          <w:lang w:val="en-GB"/>
        </w:rPr>
        <w:t>ff’s case was presented. In his head</w:t>
      </w:r>
      <w:r w:rsidR="00673028">
        <w:rPr>
          <w:lang w:val="en-GB"/>
        </w:rPr>
        <w:t>s of argument, counsel for the P</w:t>
      </w:r>
      <w:r w:rsidR="00CE0E35" w:rsidRPr="00BB58E7">
        <w:rPr>
          <w:lang w:val="en-GB"/>
        </w:rPr>
        <w:t xml:space="preserve">laintiff seems to suggest that the Magistrate should have removed the matter from the roll due to lack of DNA evidence. </w:t>
      </w:r>
      <w:r w:rsidR="00482BC6" w:rsidRPr="00BB58E7">
        <w:rPr>
          <w:lang w:val="en-GB"/>
        </w:rPr>
        <w:t xml:space="preserve"> Counsel’s focus appears to be on the quantity of evidence that the prosecutor had when </w:t>
      </w:r>
      <w:r w:rsidR="00673028">
        <w:rPr>
          <w:lang w:val="en-GB"/>
        </w:rPr>
        <w:t>s</w:t>
      </w:r>
      <w:r w:rsidR="00482BC6" w:rsidRPr="00BB58E7">
        <w:rPr>
          <w:lang w:val="en-GB"/>
        </w:rPr>
        <w:t>h</w:t>
      </w:r>
      <w:r w:rsidR="00673028">
        <w:rPr>
          <w:lang w:val="en-GB"/>
        </w:rPr>
        <w:t>e presented the P</w:t>
      </w:r>
      <w:r w:rsidR="003B2856" w:rsidRPr="00BB58E7">
        <w:rPr>
          <w:lang w:val="en-GB"/>
        </w:rPr>
        <w:t>laintiff</w:t>
      </w:r>
      <w:r w:rsidR="00482BC6" w:rsidRPr="00BB58E7">
        <w:rPr>
          <w:lang w:val="en-GB"/>
        </w:rPr>
        <w:t xml:space="preserve"> before a Magistrate. He seems to overlook the fact that the quality of evidence at </w:t>
      </w:r>
      <w:r w:rsidR="003C6300" w:rsidRPr="00BB58E7">
        <w:rPr>
          <w:lang w:val="en-GB"/>
        </w:rPr>
        <w:t xml:space="preserve">the </w:t>
      </w:r>
      <w:r w:rsidR="00482BC6" w:rsidRPr="00BB58E7">
        <w:rPr>
          <w:lang w:val="en-GB"/>
        </w:rPr>
        <w:t>prosecutor’s disposal was enough to withstand the appearance of the</w:t>
      </w:r>
      <w:r w:rsidR="00673028">
        <w:rPr>
          <w:lang w:val="en-GB"/>
        </w:rPr>
        <w:t xml:space="preserve"> P</w:t>
      </w:r>
      <w:r w:rsidR="00482BC6" w:rsidRPr="00BB58E7">
        <w:rPr>
          <w:lang w:val="en-GB"/>
        </w:rPr>
        <w:t>laintiff before the Magistrate.</w:t>
      </w:r>
    </w:p>
    <w:p w14:paraId="72EEF42F" w14:textId="77777777" w:rsidR="00482BC6" w:rsidRPr="00482BC6" w:rsidRDefault="00482BC6" w:rsidP="002976F9">
      <w:pPr>
        <w:pStyle w:val="ListParagraph"/>
        <w:jc w:val="both"/>
        <w:rPr>
          <w:lang w:val="en-GB"/>
        </w:rPr>
      </w:pPr>
    </w:p>
    <w:p w14:paraId="1CE01E45" w14:textId="4074B631" w:rsidR="00D347AD" w:rsidRPr="00D84932" w:rsidRDefault="001E472A" w:rsidP="002976F9">
      <w:pPr>
        <w:jc w:val="both"/>
        <w:rPr>
          <w:lang w:val="en-GB"/>
        </w:rPr>
      </w:pPr>
      <w:r>
        <w:rPr>
          <w:lang w:val="en-GB"/>
        </w:rPr>
        <w:t>[43</w:t>
      </w:r>
      <w:r w:rsidR="00BB58E7">
        <w:rPr>
          <w:lang w:val="en-GB"/>
        </w:rPr>
        <w:t>]</w:t>
      </w:r>
      <w:r w:rsidR="00BB58E7">
        <w:rPr>
          <w:lang w:val="en-GB"/>
        </w:rPr>
        <w:tab/>
      </w:r>
      <w:r w:rsidR="00725BF1" w:rsidRPr="00BB58E7">
        <w:rPr>
          <w:lang w:val="en-GB"/>
        </w:rPr>
        <w:t>In terms o</w:t>
      </w:r>
      <w:r w:rsidR="00CE0E35" w:rsidRPr="00BB58E7">
        <w:rPr>
          <w:lang w:val="en-GB"/>
        </w:rPr>
        <w:t>f bail legislation, the co</w:t>
      </w:r>
      <w:r w:rsidR="00673028">
        <w:rPr>
          <w:lang w:val="en-GB"/>
        </w:rPr>
        <w:t>urt was required to detain the P</w:t>
      </w:r>
      <w:r w:rsidR="00CE0E35" w:rsidRPr="00BB58E7">
        <w:rPr>
          <w:lang w:val="en-GB"/>
        </w:rPr>
        <w:t>laintiff</w:t>
      </w:r>
      <w:r w:rsidR="00725BF1" w:rsidRPr="00BB58E7">
        <w:rPr>
          <w:lang w:val="en-GB"/>
        </w:rPr>
        <w:t xml:space="preserve"> unless he prese</w:t>
      </w:r>
      <w:r w:rsidR="00CE0E35" w:rsidRPr="00BB58E7">
        <w:rPr>
          <w:lang w:val="en-GB"/>
        </w:rPr>
        <w:t>nted</w:t>
      </w:r>
      <w:r w:rsidR="00725BF1" w:rsidRPr="00BB58E7">
        <w:rPr>
          <w:lang w:val="en-GB"/>
        </w:rPr>
        <w:t xml:space="preserve"> evidence to show the existence of exceptional circumstances</w:t>
      </w:r>
      <w:r w:rsidR="00C97E79" w:rsidRPr="00BB58E7">
        <w:rPr>
          <w:lang w:val="en-GB"/>
        </w:rPr>
        <w:t xml:space="preserve"> which in</w:t>
      </w:r>
      <w:r w:rsidR="00C35199">
        <w:rPr>
          <w:lang w:val="en-GB"/>
        </w:rPr>
        <w:t xml:space="preserve"> the interest of justice justifies</w:t>
      </w:r>
      <w:r w:rsidR="00725BF1" w:rsidRPr="00BB58E7">
        <w:rPr>
          <w:lang w:val="en-GB"/>
        </w:rPr>
        <w:t xml:space="preserve"> his release on bail</w:t>
      </w:r>
      <w:r w:rsidR="00CE0E35">
        <w:rPr>
          <w:rStyle w:val="FootnoteReference"/>
          <w:lang w:val="en-GB"/>
        </w:rPr>
        <w:footnoteReference w:id="28"/>
      </w:r>
      <w:r w:rsidR="00673028">
        <w:rPr>
          <w:lang w:val="en-GB"/>
        </w:rPr>
        <w:t>. The P</w:t>
      </w:r>
      <w:r w:rsidR="00725BF1" w:rsidRPr="00BB58E7">
        <w:rPr>
          <w:lang w:val="en-GB"/>
        </w:rPr>
        <w:t>laintiff testified that</w:t>
      </w:r>
      <w:r w:rsidR="00A13FB0" w:rsidRPr="00BB58E7">
        <w:rPr>
          <w:lang w:val="en-GB"/>
        </w:rPr>
        <w:t xml:space="preserve"> he</w:t>
      </w:r>
      <w:r w:rsidR="00075BCF" w:rsidRPr="00BB58E7">
        <w:rPr>
          <w:lang w:val="en-GB"/>
        </w:rPr>
        <w:t xml:space="preserve"> relinquished his right to apply for bail on more than one occasion until the matter was struck off roll due to </w:t>
      </w:r>
      <w:r w:rsidR="003C6300" w:rsidRPr="00BB58E7">
        <w:rPr>
          <w:lang w:val="en-GB"/>
        </w:rPr>
        <w:t xml:space="preserve">the </w:t>
      </w:r>
      <w:r w:rsidR="00075BCF" w:rsidRPr="00BB58E7">
        <w:rPr>
          <w:lang w:val="en-GB"/>
        </w:rPr>
        <w:t xml:space="preserve">absence of witnesses. </w:t>
      </w:r>
      <w:r w:rsidR="00673028">
        <w:rPr>
          <w:lang w:val="en-GB"/>
        </w:rPr>
        <w:t xml:space="preserve"> In summation, the P</w:t>
      </w:r>
      <w:r w:rsidR="00D76AB8" w:rsidRPr="00BB58E7">
        <w:rPr>
          <w:lang w:val="en-GB"/>
        </w:rPr>
        <w:t xml:space="preserve">laintiff presented no evidence to prove that the magistrate who presided in his case when it was placed on the criminal court’s roll behaved in an unlawful manner. </w:t>
      </w:r>
      <w:r w:rsidR="003B2856" w:rsidRPr="00BB58E7">
        <w:rPr>
          <w:lang w:val="en-GB"/>
        </w:rPr>
        <w:t>Having applied my mind to</w:t>
      </w:r>
      <w:r w:rsidR="00673028">
        <w:rPr>
          <w:lang w:val="en-GB"/>
        </w:rPr>
        <w:t xml:space="preserve"> the evidence presented by the P</w:t>
      </w:r>
      <w:r w:rsidR="003B2856" w:rsidRPr="00BB58E7">
        <w:rPr>
          <w:lang w:val="en-GB"/>
        </w:rPr>
        <w:t>laintiff, I am not persu</w:t>
      </w:r>
      <w:r w:rsidR="00543E34" w:rsidRPr="00BB58E7">
        <w:rPr>
          <w:lang w:val="en-GB"/>
        </w:rPr>
        <w:t>a</w:t>
      </w:r>
      <w:r w:rsidR="003B2856" w:rsidRPr="00BB58E7">
        <w:rPr>
          <w:lang w:val="en-GB"/>
        </w:rPr>
        <w:t xml:space="preserve">ded that I could find in his favour in respect </w:t>
      </w:r>
      <w:r w:rsidR="00D347AD" w:rsidRPr="00BB58E7">
        <w:rPr>
          <w:lang w:val="en-GB"/>
        </w:rPr>
        <w:t>of</w:t>
      </w:r>
      <w:r w:rsidR="003B2856" w:rsidRPr="00BB58E7">
        <w:rPr>
          <w:lang w:val="en-GB"/>
        </w:rPr>
        <w:t xml:space="preserve"> all claims.</w:t>
      </w:r>
    </w:p>
    <w:p w14:paraId="5CF5F8DC" w14:textId="77777777" w:rsidR="00D347AD" w:rsidRDefault="00D347AD" w:rsidP="002976F9">
      <w:pPr>
        <w:pStyle w:val="ListParagraph"/>
        <w:jc w:val="both"/>
        <w:rPr>
          <w:lang w:val="en-GB"/>
        </w:rPr>
      </w:pPr>
    </w:p>
    <w:p w14:paraId="6358E7D0" w14:textId="77777777" w:rsidR="00543E34" w:rsidRPr="002976F9" w:rsidRDefault="00543E34" w:rsidP="002976F9">
      <w:pPr>
        <w:jc w:val="both"/>
        <w:rPr>
          <w:b/>
          <w:bCs/>
          <w:iCs/>
          <w:lang w:val="en-GB"/>
        </w:rPr>
      </w:pPr>
      <w:r w:rsidRPr="002976F9">
        <w:rPr>
          <w:b/>
          <w:bCs/>
          <w:iCs/>
          <w:lang w:val="en-GB"/>
        </w:rPr>
        <w:t xml:space="preserve">Order </w:t>
      </w:r>
    </w:p>
    <w:p w14:paraId="64C1F2DF" w14:textId="77777777" w:rsidR="00C97E79" w:rsidRPr="00C97E79" w:rsidRDefault="00C97E79" w:rsidP="002976F9">
      <w:pPr>
        <w:pStyle w:val="ListParagraph"/>
        <w:jc w:val="both"/>
        <w:rPr>
          <w:lang w:val="en-GB"/>
        </w:rPr>
      </w:pPr>
    </w:p>
    <w:p w14:paraId="7F8F4CD2" w14:textId="4197F407" w:rsidR="00C97E79" w:rsidRPr="00BB58E7" w:rsidRDefault="001E472A" w:rsidP="002976F9">
      <w:pPr>
        <w:jc w:val="both"/>
        <w:rPr>
          <w:lang w:val="en-GB"/>
        </w:rPr>
      </w:pPr>
      <w:r>
        <w:rPr>
          <w:lang w:val="en-GB"/>
        </w:rPr>
        <w:t>[44</w:t>
      </w:r>
      <w:r w:rsidR="00BB58E7">
        <w:rPr>
          <w:lang w:val="en-GB"/>
        </w:rPr>
        <w:t>]</w:t>
      </w:r>
      <w:r w:rsidR="00BB58E7">
        <w:rPr>
          <w:lang w:val="en-GB"/>
        </w:rPr>
        <w:tab/>
      </w:r>
      <w:r w:rsidR="00C97E79" w:rsidRPr="00BB58E7">
        <w:rPr>
          <w:lang w:val="en-GB"/>
        </w:rPr>
        <w:t xml:space="preserve"> </w:t>
      </w:r>
      <w:r w:rsidR="001F67CF">
        <w:rPr>
          <w:lang w:val="en-GB"/>
        </w:rPr>
        <w:t>In the result</w:t>
      </w:r>
      <w:r w:rsidR="00C97E79" w:rsidRPr="00BB58E7">
        <w:rPr>
          <w:lang w:val="en-GB"/>
        </w:rPr>
        <w:t xml:space="preserve"> I make the following order:</w:t>
      </w:r>
    </w:p>
    <w:p w14:paraId="3782FF23" w14:textId="77777777" w:rsidR="00C97E79" w:rsidRPr="00C97E79" w:rsidRDefault="00C97E79" w:rsidP="002976F9">
      <w:pPr>
        <w:pStyle w:val="ListParagraph"/>
        <w:jc w:val="both"/>
        <w:rPr>
          <w:lang w:val="en-GB"/>
        </w:rPr>
      </w:pPr>
    </w:p>
    <w:p w14:paraId="7CD2F604" w14:textId="6AC05FBD" w:rsidR="00D84932" w:rsidRPr="002976F9" w:rsidRDefault="00C97E79" w:rsidP="00D84932">
      <w:pPr>
        <w:pStyle w:val="ListParagraph"/>
        <w:numPr>
          <w:ilvl w:val="0"/>
          <w:numId w:val="14"/>
        </w:numPr>
        <w:jc w:val="both"/>
        <w:rPr>
          <w:b/>
          <w:bCs/>
          <w:lang w:val="en-GB"/>
        </w:rPr>
      </w:pPr>
      <w:r w:rsidRPr="002976F9">
        <w:rPr>
          <w:b/>
          <w:bCs/>
          <w:lang w:val="en-GB"/>
        </w:rPr>
        <w:t>The Application for absolution from the instance is granted in respect of all clai</w:t>
      </w:r>
      <w:r w:rsidR="00095E6E">
        <w:rPr>
          <w:b/>
          <w:bCs/>
          <w:lang w:val="en-GB"/>
        </w:rPr>
        <w:t>ms against the D</w:t>
      </w:r>
      <w:r w:rsidR="00543E34" w:rsidRPr="002976F9">
        <w:rPr>
          <w:b/>
          <w:bCs/>
          <w:lang w:val="en-GB"/>
        </w:rPr>
        <w:t xml:space="preserve">efendants. The </w:t>
      </w:r>
      <w:r w:rsidR="00543494">
        <w:rPr>
          <w:b/>
          <w:bCs/>
          <w:lang w:val="en-GB"/>
        </w:rPr>
        <w:t>P</w:t>
      </w:r>
      <w:r w:rsidR="00543494" w:rsidRPr="002976F9">
        <w:rPr>
          <w:b/>
          <w:bCs/>
          <w:lang w:val="en-GB"/>
        </w:rPr>
        <w:t xml:space="preserve">laintiff’s </w:t>
      </w:r>
      <w:r w:rsidRPr="002976F9">
        <w:rPr>
          <w:b/>
          <w:bCs/>
          <w:lang w:val="en-GB"/>
        </w:rPr>
        <w:t>claims are dismissed.</w:t>
      </w:r>
    </w:p>
    <w:p w14:paraId="214421D3" w14:textId="77777777" w:rsidR="00D84932" w:rsidRPr="002976F9" w:rsidRDefault="00D84932" w:rsidP="002976F9">
      <w:pPr>
        <w:pStyle w:val="ListParagraph"/>
        <w:ind w:left="1800"/>
        <w:jc w:val="both"/>
        <w:rPr>
          <w:b/>
          <w:bCs/>
          <w:lang w:val="en-GB"/>
        </w:rPr>
      </w:pPr>
    </w:p>
    <w:p w14:paraId="50309C0E" w14:textId="1B757FD1" w:rsidR="00C97E79" w:rsidRDefault="00C97E79" w:rsidP="00D84932">
      <w:pPr>
        <w:pStyle w:val="ListParagraph"/>
        <w:numPr>
          <w:ilvl w:val="0"/>
          <w:numId w:val="14"/>
        </w:numPr>
        <w:jc w:val="both"/>
        <w:rPr>
          <w:b/>
          <w:bCs/>
          <w:lang w:val="en-GB"/>
        </w:rPr>
      </w:pPr>
      <w:r w:rsidRPr="002976F9">
        <w:rPr>
          <w:b/>
          <w:bCs/>
          <w:lang w:val="en-GB"/>
        </w:rPr>
        <w:t xml:space="preserve">The </w:t>
      </w:r>
      <w:r w:rsidR="001F1717">
        <w:rPr>
          <w:b/>
          <w:bCs/>
          <w:lang w:val="en-GB"/>
        </w:rPr>
        <w:t>P</w:t>
      </w:r>
      <w:r w:rsidR="001F1717" w:rsidRPr="002976F9">
        <w:rPr>
          <w:b/>
          <w:bCs/>
          <w:lang w:val="en-GB"/>
        </w:rPr>
        <w:t xml:space="preserve">laintiff </w:t>
      </w:r>
      <w:r w:rsidRPr="002976F9">
        <w:rPr>
          <w:b/>
          <w:bCs/>
          <w:lang w:val="en-GB"/>
        </w:rPr>
        <w:t>is ordered to pay costs.</w:t>
      </w:r>
    </w:p>
    <w:p w14:paraId="2FB23C54" w14:textId="77777777" w:rsidR="00D84932" w:rsidRDefault="00D84932" w:rsidP="00D84932">
      <w:pPr>
        <w:jc w:val="both"/>
        <w:rPr>
          <w:b/>
          <w:bCs/>
          <w:lang w:val="en-GB"/>
        </w:rPr>
      </w:pPr>
    </w:p>
    <w:p w14:paraId="45FA6EA4" w14:textId="77777777" w:rsidR="00D84932" w:rsidRDefault="00D84932" w:rsidP="00D84932">
      <w:pPr>
        <w:jc w:val="both"/>
        <w:rPr>
          <w:b/>
          <w:bCs/>
          <w:lang w:val="en-GB"/>
        </w:rPr>
      </w:pPr>
    </w:p>
    <w:p w14:paraId="7C070826" w14:textId="609DE38E" w:rsidR="00FE27A6" w:rsidRPr="002976F9" w:rsidRDefault="00FE27A6" w:rsidP="002976F9">
      <w:pPr>
        <w:spacing w:before="240" w:after="120" w:line="240" w:lineRule="auto"/>
        <w:ind w:left="-284" w:right="-28"/>
        <w:rPr>
          <w:rFonts w:eastAsia="Times New Roman" w:cs="Times New Roman"/>
          <w:b/>
          <w:bCs/>
          <w:color w:val="auto"/>
        </w:rPr>
      </w:pPr>
      <w:r w:rsidRPr="00FE27A6">
        <w:rPr>
          <w:rFonts w:eastAsia="Times New Roman" w:cs="Times New Roman"/>
          <w:b/>
          <w:bCs/>
          <w:color w:val="auto"/>
        </w:rPr>
        <w:t>___________________</w:t>
      </w:r>
      <w:r>
        <w:rPr>
          <w:rFonts w:eastAsia="Times New Roman" w:cs="Times New Roman"/>
          <w:b/>
          <w:bCs/>
          <w:color w:val="auto"/>
        </w:rPr>
        <w:t>_______________</w:t>
      </w:r>
    </w:p>
    <w:p w14:paraId="34D0A147" w14:textId="75ED0AF9" w:rsidR="00FE27A6" w:rsidRPr="002976F9" w:rsidRDefault="00407371" w:rsidP="002976F9">
      <w:pPr>
        <w:spacing w:before="240" w:after="120" w:line="240" w:lineRule="auto"/>
        <w:ind w:left="-284" w:right="-28"/>
        <w:rPr>
          <w:rFonts w:eastAsia="Times New Roman" w:cs="Times New Roman"/>
          <w:b/>
          <w:bCs/>
          <w:color w:val="auto"/>
        </w:rPr>
      </w:pPr>
      <w:r>
        <w:rPr>
          <w:rFonts w:eastAsia="Times New Roman" w:cs="Times New Roman"/>
          <w:b/>
          <w:bCs/>
          <w:color w:val="auto"/>
        </w:rPr>
        <w:t>N</w:t>
      </w:r>
      <w:r w:rsidR="00FE27A6" w:rsidRPr="00FE27A6">
        <w:rPr>
          <w:rFonts w:eastAsia="Times New Roman" w:cs="Times New Roman"/>
          <w:b/>
          <w:bCs/>
          <w:color w:val="auto"/>
        </w:rPr>
        <w:t xml:space="preserve"> CENGANI-MBAKAZA</w:t>
      </w:r>
    </w:p>
    <w:p w14:paraId="42C7E3DB" w14:textId="6D2C835B" w:rsidR="00FE27A6" w:rsidRPr="002976F9" w:rsidRDefault="00FE27A6" w:rsidP="002976F9">
      <w:pPr>
        <w:spacing w:before="240" w:after="120" w:line="240" w:lineRule="auto"/>
        <w:ind w:left="-284" w:right="-28"/>
        <w:rPr>
          <w:rFonts w:eastAsia="Times New Roman" w:cs="Times New Roman"/>
          <w:b/>
          <w:bCs/>
          <w:color w:val="auto"/>
        </w:rPr>
      </w:pPr>
      <w:r w:rsidRPr="00FE27A6">
        <w:rPr>
          <w:rFonts w:eastAsia="Times New Roman" w:cs="Times New Roman"/>
          <w:b/>
          <w:bCs/>
          <w:color w:val="auto"/>
        </w:rPr>
        <w:t>ACTING JUDGE OF THE HIGH COURT OF SOUTH AFRICA</w:t>
      </w:r>
    </w:p>
    <w:p w14:paraId="3D7AA33B" w14:textId="77777777" w:rsidR="00D84932" w:rsidRPr="002976F9" w:rsidRDefault="00D84932" w:rsidP="002976F9">
      <w:pPr>
        <w:rPr>
          <w:b/>
          <w:bCs/>
          <w:lang w:val="en-GB"/>
        </w:rPr>
      </w:pPr>
    </w:p>
    <w:p w14:paraId="2FF47D4F" w14:textId="77777777" w:rsidR="00BB58E7" w:rsidRPr="00BB58E7" w:rsidRDefault="00BB58E7" w:rsidP="002976F9">
      <w:pPr>
        <w:pStyle w:val="ListParagraph"/>
        <w:jc w:val="both"/>
        <w:rPr>
          <w:lang w:val="en-GB"/>
        </w:rPr>
      </w:pPr>
    </w:p>
    <w:p w14:paraId="507191D5" w14:textId="77777777" w:rsidR="00BB58E7" w:rsidRDefault="00BB58E7" w:rsidP="00D84932">
      <w:pPr>
        <w:rPr>
          <w:lang w:val="en-GB"/>
        </w:rPr>
      </w:pPr>
    </w:p>
    <w:p w14:paraId="3EA3699F" w14:textId="77777777" w:rsidR="00BB58E7" w:rsidRPr="002976F9" w:rsidRDefault="00BB58E7" w:rsidP="002976F9">
      <w:pPr>
        <w:rPr>
          <w:b/>
          <w:bCs/>
          <w:lang w:val="en-GB"/>
        </w:rPr>
      </w:pPr>
    </w:p>
    <w:p w14:paraId="0BBC335E" w14:textId="77777777" w:rsidR="003F375F" w:rsidRDefault="003F375F" w:rsidP="00D84932">
      <w:pPr>
        <w:spacing w:before="240" w:after="120"/>
        <w:jc w:val="both"/>
        <w:rPr>
          <w:rFonts w:eastAsia="SimSun"/>
          <w:b/>
          <w:color w:val="auto"/>
          <w:w w:val="104"/>
          <w:lang w:eastAsia="zh-CN"/>
        </w:rPr>
      </w:pPr>
    </w:p>
    <w:p w14:paraId="4E0B6621" w14:textId="77777777" w:rsidR="003F375F" w:rsidRDefault="003F375F" w:rsidP="00D84932">
      <w:pPr>
        <w:spacing w:before="240" w:after="120"/>
        <w:jc w:val="both"/>
        <w:rPr>
          <w:rFonts w:eastAsia="SimSun"/>
          <w:b/>
          <w:color w:val="auto"/>
          <w:w w:val="104"/>
          <w:lang w:eastAsia="zh-CN"/>
        </w:rPr>
      </w:pPr>
    </w:p>
    <w:p w14:paraId="0CD0D877" w14:textId="77777777" w:rsidR="00D84932" w:rsidRPr="00D84932" w:rsidRDefault="00D84932" w:rsidP="00D84932">
      <w:pPr>
        <w:spacing w:before="240" w:after="120"/>
        <w:jc w:val="both"/>
        <w:rPr>
          <w:rFonts w:eastAsia="SimSun"/>
          <w:b/>
          <w:color w:val="auto"/>
          <w:w w:val="104"/>
          <w:lang w:eastAsia="zh-CN"/>
        </w:rPr>
      </w:pPr>
      <w:r w:rsidRPr="00D84932">
        <w:rPr>
          <w:rFonts w:eastAsia="SimSun"/>
          <w:b/>
          <w:color w:val="auto"/>
          <w:w w:val="104"/>
          <w:lang w:eastAsia="zh-CN"/>
        </w:rPr>
        <w:t>APPEARANCES:</w:t>
      </w:r>
    </w:p>
    <w:p w14:paraId="73DF97CE" w14:textId="77777777" w:rsidR="003C0960" w:rsidRPr="00D84932" w:rsidRDefault="003C0960" w:rsidP="002976F9">
      <w:pPr>
        <w:rPr>
          <w:lang w:val="en-GB"/>
        </w:rPr>
      </w:pPr>
    </w:p>
    <w:p w14:paraId="3CD82180" w14:textId="77777777" w:rsidR="00D84932" w:rsidRDefault="00D84932" w:rsidP="00D84932">
      <w:pPr>
        <w:rPr>
          <w:lang w:val="en-GB"/>
        </w:rPr>
      </w:pPr>
    </w:p>
    <w:p w14:paraId="63CFA80E" w14:textId="2C260DDA" w:rsidR="003C0960" w:rsidRDefault="00095E6E" w:rsidP="002976F9">
      <w:pPr>
        <w:rPr>
          <w:lang w:val="en-GB"/>
        </w:rPr>
      </w:pPr>
      <w:r>
        <w:rPr>
          <w:lang w:val="en-GB"/>
        </w:rPr>
        <w:t>Counsel for the P</w:t>
      </w:r>
      <w:r w:rsidR="00233118" w:rsidRPr="00D84932">
        <w:rPr>
          <w:lang w:val="en-GB"/>
        </w:rPr>
        <w:t>laintiff</w:t>
      </w:r>
      <w:r w:rsidR="00116142">
        <w:rPr>
          <w:lang w:val="en-GB"/>
        </w:rPr>
        <w:tab/>
      </w:r>
      <w:r w:rsidR="00116142">
        <w:rPr>
          <w:lang w:val="en-GB"/>
        </w:rPr>
        <w:tab/>
      </w:r>
      <w:r w:rsidR="00116142">
        <w:rPr>
          <w:lang w:val="en-GB"/>
        </w:rPr>
        <w:tab/>
      </w:r>
      <w:r w:rsidR="00233118" w:rsidRPr="00D84932">
        <w:rPr>
          <w:lang w:val="en-GB"/>
        </w:rPr>
        <w:t xml:space="preserve">:                     </w:t>
      </w:r>
      <w:r w:rsidR="00A13FB0" w:rsidRPr="00D84932">
        <w:rPr>
          <w:lang w:val="en-GB"/>
        </w:rPr>
        <w:t>Adv</w:t>
      </w:r>
      <w:r w:rsidR="00543E34" w:rsidRPr="00D84932">
        <w:rPr>
          <w:lang w:val="en-GB"/>
        </w:rPr>
        <w:t xml:space="preserve"> Z.</w:t>
      </w:r>
      <w:r w:rsidR="00A13FB0" w:rsidRPr="00D84932">
        <w:rPr>
          <w:lang w:val="en-GB"/>
        </w:rPr>
        <w:t xml:space="preserve"> </w:t>
      </w:r>
      <w:proofErr w:type="spellStart"/>
      <w:r w:rsidR="00A13FB0" w:rsidRPr="00D84932">
        <w:rPr>
          <w:lang w:val="en-GB"/>
        </w:rPr>
        <w:t>M</w:t>
      </w:r>
      <w:r w:rsidR="00233118" w:rsidRPr="00D84932">
        <w:rPr>
          <w:lang w:val="en-GB"/>
        </w:rPr>
        <w:t>qokozo</w:t>
      </w:r>
      <w:proofErr w:type="spellEnd"/>
    </w:p>
    <w:p w14:paraId="21CAF13D" w14:textId="01957187" w:rsidR="00407371" w:rsidRPr="00D84932" w:rsidRDefault="00407371" w:rsidP="002976F9">
      <w:pPr>
        <w:rPr>
          <w:lang w:val="en-GB"/>
        </w:rPr>
      </w:pPr>
      <w:r>
        <w:rPr>
          <w:lang w:val="en-GB"/>
        </w:rPr>
        <w:t xml:space="preserve">                                                                                        zolisamqokozo@yahoo.com</w:t>
      </w:r>
    </w:p>
    <w:p w14:paraId="306F026B" w14:textId="77777777" w:rsidR="00233118" w:rsidRDefault="00543E34" w:rsidP="00D84932">
      <w:pPr>
        <w:pStyle w:val="ListParagraph"/>
        <w:ind w:left="1080"/>
        <w:rPr>
          <w:lang w:val="en-GB"/>
        </w:rPr>
      </w:pPr>
      <w:r>
        <w:rPr>
          <w:lang w:val="en-GB"/>
        </w:rPr>
        <w:t xml:space="preserve">         </w:t>
      </w:r>
    </w:p>
    <w:p w14:paraId="2DBC9AD7" w14:textId="556B453B" w:rsidR="00233118" w:rsidRPr="00116142" w:rsidRDefault="00095E6E" w:rsidP="002976F9">
      <w:pPr>
        <w:rPr>
          <w:lang w:val="en-GB"/>
        </w:rPr>
      </w:pPr>
      <w:r>
        <w:rPr>
          <w:lang w:val="en-GB"/>
        </w:rPr>
        <w:t>Counsel for the D</w:t>
      </w:r>
      <w:r w:rsidR="00233118" w:rsidRPr="00116142">
        <w:rPr>
          <w:lang w:val="en-GB"/>
        </w:rPr>
        <w:t>efendan</w:t>
      </w:r>
      <w:r w:rsidR="00C25A11" w:rsidRPr="00116142">
        <w:rPr>
          <w:lang w:val="en-GB"/>
        </w:rPr>
        <w:t>ts</w:t>
      </w:r>
      <w:r w:rsidR="00116142" w:rsidRPr="00116142">
        <w:rPr>
          <w:lang w:val="en-GB"/>
        </w:rPr>
        <w:tab/>
      </w:r>
      <w:r w:rsidR="00116142" w:rsidRPr="00116142">
        <w:rPr>
          <w:lang w:val="en-GB"/>
        </w:rPr>
        <w:tab/>
        <w:t>:</w:t>
      </w:r>
      <w:r w:rsidR="00233118" w:rsidRPr="00116142">
        <w:rPr>
          <w:lang w:val="en-GB"/>
        </w:rPr>
        <w:t xml:space="preserve">                    </w:t>
      </w:r>
      <w:r w:rsidR="00116142" w:rsidRPr="00116142">
        <w:rPr>
          <w:lang w:val="en-GB"/>
        </w:rPr>
        <w:tab/>
      </w:r>
      <w:r w:rsidR="00233118" w:rsidRPr="00116142">
        <w:rPr>
          <w:lang w:val="en-GB"/>
        </w:rPr>
        <w:t xml:space="preserve">Adv S.S T </w:t>
      </w:r>
      <w:proofErr w:type="spellStart"/>
      <w:r w:rsidR="00233118" w:rsidRPr="00116142">
        <w:rPr>
          <w:lang w:val="en-GB"/>
        </w:rPr>
        <w:t>Mapekula</w:t>
      </w:r>
      <w:proofErr w:type="spellEnd"/>
    </w:p>
    <w:p w14:paraId="4712858B" w14:textId="77777777" w:rsidR="00B71DA4" w:rsidRDefault="00B71DA4" w:rsidP="00D84932">
      <w:pPr>
        <w:pStyle w:val="ListParagraph"/>
        <w:ind w:left="1080"/>
        <w:rPr>
          <w:lang w:val="en-GB"/>
        </w:rPr>
      </w:pPr>
    </w:p>
    <w:p w14:paraId="33879E82" w14:textId="06F1138B" w:rsidR="00233118" w:rsidRDefault="00233118" w:rsidP="00D84932">
      <w:pPr>
        <w:pStyle w:val="ListParagraph"/>
        <w:ind w:left="1080"/>
        <w:rPr>
          <w:lang w:val="en-GB"/>
        </w:rPr>
      </w:pPr>
      <w:r>
        <w:rPr>
          <w:lang w:val="en-GB"/>
        </w:rPr>
        <w:t xml:space="preserve">                                                           </w:t>
      </w:r>
      <w:r w:rsidR="00116142">
        <w:rPr>
          <w:lang w:val="en-GB"/>
        </w:rPr>
        <w:tab/>
      </w:r>
      <w:r w:rsidR="00116142">
        <w:rPr>
          <w:lang w:val="en-GB"/>
        </w:rPr>
        <w:tab/>
      </w:r>
      <w:r>
        <w:rPr>
          <w:lang w:val="en-GB"/>
        </w:rPr>
        <w:t xml:space="preserve">No 31 Sisson Street, </w:t>
      </w:r>
      <w:proofErr w:type="spellStart"/>
      <w:r>
        <w:rPr>
          <w:lang w:val="en-GB"/>
        </w:rPr>
        <w:t>Fortgale</w:t>
      </w:r>
      <w:proofErr w:type="spellEnd"/>
    </w:p>
    <w:p w14:paraId="7901F5FC" w14:textId="77777777" w:rsidR="00116142" w:rsidRDefault="00116142" w:rsidP="00D84932">
      <w:pPr>
        <w:pStyle w:val="ListParagraph"/>
        <w:ind w:left="5040"/>
        <w:rPr>
          <w:lang w:val="en-GB"/>
        </w:rPr>
      </w:pPr>
    </w:p>
    <w:p w14:paraId="3668710F" w14:textId="5C77CE2D" w:rsidR="00233118" w:rsidRPr="00116142" w:rsidRDefault="00233118" w:rsidP="002976F9">
      <w:pPr>
        <w:rPr>
          <w:lang w:val="en-GB"/>
        </w:rPr>
      </w:pPr>
      <w:r w:rsidRPr="00116142">
        <w:rPr>
          <w:lang w:val="en-GB"/>
        </w:rPr>
        <w:t>Instructed by</w:t>
      </w:r>
      <w:r w:rsidR="00116142">
        <w:rPr>
          <w:lang w:val="en-GB"/>
        </w:rPr>
        <w:tab/>
      </w:r>
      <w:r w:rsidR="00116142">
        <w:rPr>
          <w:lang w:val="en-GB"/>
        </w:rPr>
        <w:tab/>
      </w:r>
      <w:r w:rsidR="00116142">
        <w:rPr>
          <w:lang w:val="en-GB"/>
        </w:rPr>
        <w:tab/>
      </w:r>
      <w:r w:rsidR="00116142">
        <w:rPr>
          <w:lang w:val="en-GB"/>
        </w:rPr>
        <w:tab/>
      </w:r>
      <w:r w:rsidR="00116142">
        <w:rPr>
          <w:lang w:val="en-GB"/>
        </w:rPr>
        <w:tab/>
        <w:t>:</w:t>
      </w:r>
      <w:r w:rsidRPr="00116142">
        <w:rPr>
          <w:lang w:val="en-GB"/>
        </w:rPr>
        <w:t xml:space="preserve"> </w:t>
      </w:r>
      <w:r w:rsidR="00116142">
        <w:rPr>
          <w:lang w:val="en-GB"/>
        </w:rPr>
        <w:tab/>
      </w:r>
      <w:r w:rsidR="00116142">
        <w:rPr>
          <w:lang w:val="en-GB"/>
        </w:rPr>
        <w:tab/>
      </w:r>
      <w:r w:rsidRPr="00116142">
        <w:rPr>
          <w:lang w:val="en-GB"/>
        </w:rPr>
        <w:t>State Attorney</w:t>
      </w:r>
    </w:p>
    <w:p w14:paraId="5468B92B" w14:textId="77777777" w:rsidR="00116142" w:rsidRDefault="00233118" w:rsidP="00116142">
      <w:pPr>
        <w:pStyle w:val="ListParagraph"/>
        <w:ind w:left="5040" w:firstLine="720"/>
        <w:rPr>
          <w:lang w:val="en-GB"/>
        </w:rPr>
      </w:pPr>
      <w:r>
        <w:rPr>
          <w:lang w:val="en-GB"/>
        </w:rPr>
        <w:t xml:space="preserve">No 94 Sisson Street, </w:t>
      </w:r>
    </w:p>
    <w:p w14:paraId="5FC628FC" w14:textId="75EE5CBD" w:rsidR="00233118" w:rsidRDefault="00233118" w:rsidP="002976F9">
      <w:pPr>
        <w:pStyle w:val="ListParagraph"/>
        <w:ind w:left="5040" w:firstLine="720"/>
        <w:rPr>
          <w:lang w:val="en-GB"/>
        </w:rPr>
      </w:pPr>
      <w:r>
        <w:rPr>
          <w:lang w:val="en-GB"/>
        </w:rPr>
        <w:t xml:space="preserve">Mthatha                                                      </w:t>
      </w:r>
    </w:p>
    <w:p w14:paraId="574D5B9E" w14:textId="3DC00CEA" w:rsidR="003F375F" w:rsidRDefault="003F375F" w:rsidP="003F375F">
      <w:pPr>
        <w:tabs>
          <w:tab w:val="left" w:pos="851"/>
        </w:tabs>
        <w:jc w:val="both"/>
        <w:rPr>
          <w:b/>
          <w:lang w:val="en-GB"/>
        </w:rPr>
      </w:pPr>
      <w:r w:rsidRPr="003F375F">
        <w:rPr>
          <w:b/>
          <w:lang w:val="en-GB"/>
        </w:rPr>
        <w:t>DATE HEARD:</w:t>
      </w:r>
      <w:r>
        <w:rPr>
          <w:b/>
          <w:lang w:val="en-GB"/>
        </w:rPr>
        <w:t xml:space="preserve">         29 May and 21 June 2023</w:t>
      </w:r>
    </w:p>
    <w:p w14:paraId="4DC09C4E" w14:textId="77777777" w:rsidR="003F375F" w:rsidRDefault="003F375F" w:rsidP="003F375F">
      <w:pPr>
        <w:tabs>
          <w:tab w:val="left" w:pos="851"/>
        </w:tabs>
        <w:jc w:val="both"/>
        <w:rPr>
          <w:b/>
          <w:lang w:val="en-GB"/>
        </w:rPr>
      </w:pPr>
    </w:p>
    <w:p w14:paraId="7139495B" w14:textId="77777777" w:rsidR="003F375F" w:rsidRPr="005D30A6" w:rsidRDefault="003F375F" w:rsidP="003F375F">
      <w:pPr>
        <w:tabs>
          <w:tab w:val="left" w:pos="851"/>
        </w:tabs>
        <w:jc w:val="both"/>
        <w:rPr>
          <w:lang w:val="en-GB"/>
        </w:rPr>
      </w:pPr>
      <w:r w:rsidRPr="003F375F">
        <w:rPr>
          <w:b/>
          <w:lang w:val="en-GB"/>
        </w:rPr>
        <w:t>DATE DELIVERED</w:t>
      </w:r>
      <w:r>
        <w:rPr>
          <w:b/>
          <w:lang w:val="en-GB"/>
        </w:rPr>
        <w:t>:</w:t>
      </w:r>
      <w:r>
        <w:rPr>
          <w:lang w:val="en-GB"/>
        </w:rPr>
        <w:t xml:space="preserve"> The judgment was handed down electronically by circulation to the parties’ legal representatives by email. The date and time for hand-down is deemed to be 18 July 2023 at 10:00</w:t>
      </w:r>
    </w:p>
    <w:p w14:paraId="501F31E6" w14:textId="77777777" w:rsidR="00D347AD" w:rsidRDefault="00D347AD" w:rsidP="003F375F">
      <w:pPr>
        <w:pStyle w:val="ListParagraph"/>
        <w:ind w:left="0"/>
        <w:jc w:val="both"/>
        <w:rPr>
          <w:lang w:val="en-GB"/>
        </w:rPr>
      </w:pPr>
    </w:p>
    <w:sectPr w:rsidR="00D347AD" w:rsidSect="004F0FEF">
      <w:headerReference w:type="even" r:id="rId12"/>
      <w:headerReference w:type="default" r:id="rId13"/>
      <w:footerReference w:type="even" r:id="rId14"/>
      <w:footerReference w:type="default" r:id="rId15"/>
      <w:headerReference w:type="first" r:id="rId16"/>
      <w:footerReference w:type="first" r:id="rId17"/>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4BF4A" w14:textId="77777777" w:rsidR="009D62DC" w:rsidRDefault="009D62DC" w:rsidP="00C91BD0">
      <w:pPr>
        <w:spacing w:line="240" w:lineRule="auto"/>
      </w:pPr>
      <w:r>
        <w:separator/>
      </w:r>
    </w:p>
  </w:endnote>
  <w:endnote w:type="continuationSeparator" w:id="0">
    <w:p w14:paraId="36B208D8" w14:textId="77777777" w:rsidR="009D62DC" w:rsidRDefault="009D62DC" w:rsidP="00C91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6DB5" w14:textId="77777777" w:rsidR="00D347AD" w:rsidRDefault="00D34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3B43" w14:textId="77777777" w:rsidR="00D347AD" w:rsidRDefault="00D347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B75B" w14:textId="77777777" w:rsidR="00D347AD" w:rsidRDefault="00D34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2A4F5" w14:textId="77777777" w:rsidR="009D62DC" w:rsidRDefault="009D62DC" w:rsidP="00C91BD0">
      <w:pPr>
        <w:spacing w:line="240" w:lineRule="auto"/>
      </w:pPr>
      <w:r>
        <w:separator/>
      </w:r>
    </w:p>
  </w:footnote>
  <w:footnote w:type="continuationSeparator" w:id="0">
    <w:p w14:paraId="791C6876" w14:textId="77777777" w:rsidR="009D62DC" w:rsidRDefault="009D62DC" w:rsidP="00C91BD0">
      <w:pPr>
        <w:spacing w:line="240" w:lineRule="auto"/>
      </w:pPr>
      <w:r>
        <w:continuationSeparator/>
      </w:r>
    </w:p>
  </w:footnote>
  <w:footnote w:id="1">
    <w:p w14:paraId="3849F7AF" w14:textId="07009211" w:rsidR="00C25A11" w:rsidRPr="00DD384A" w:rsidRDefault="00C25A11">
      <w:pPr>
        <w:pStyle w:val="FootnoteText"/>
      </w:pPr>
      <w:r w:rsidRPr="00DD384A">
        <w:rPr>
          <w:rStyle w:val="FootnoteReference"/>
        </w:rPr>
        <w:footnoteRef/>
      </w:r>
      <w:r w:rsidRPr="00DD384A">
        <w:t xml:space="preserve"> Updated index to Pleadings page 7,</w:t>
      </w:r>
      <w:r w:rsidR="00A74CC0">
        <w:t xml:space="preserve"> At para</w:t>
      </w:r>
      <w:r w:rsidRPr="00DD384A">
        <w:t xml:space="preserve"> 5</w:t>
      </w:r>
    </w:p>
  </w:footnote>
  <w:footnote w:id="2">
    <w:p w14:paraId="08AFBC5C" w14:textId="3BF04B00" w:rsidR="00C25A11" w:rsidRPr="00DD384A" w:rsidRDefault="00C25A11">
      <w:pPr>
        <w:pStyle w:val="FootnoteText"/>
      </w:pPr>
      <w:r w:rsidRPr="00DD384A">
        <w:rPr>
          <w:rStyle w:val="FootnoteReference"/>
        </w:rPr>
        <w:footnoteRef/>
      </w:r>
      <w:r w:rsidRPr="00DD384A">
        <w:t xml:space="preserve"> Page 12-13 of the updated index bundle, </w:t>
      </w:r>
      <w:r w:rsidR="00A74CC0">
        <w:t>At para</w:t>
      </w:r>
      <w:r w:rsidRPr="00DD384A">
        <w:t xml:space="preserve"> 17-18</w:t>
      </w:r>
    </w:p>
  </w:footnote>
  <w:footnote w:id="3">
    <w:p w14:paraId="58D9C959" w14:textId="0C7A1B04" w:rsidR="00C25A11" w:rsidRPr="007550DA" w:rsidRDefault="00C25A11">
      <w:pPr>
        <w:pStyle w:val="FootnoteText"/>
      </w:pPr>
      <w:r w:rsidRPr="007550DA">
        <w:rPr>
          <w:rStyle w:val="FootnoteReference"/>
        </w:rPr>
        <w:footnoteRef/>
      </w:r>
      <w:r w:rsidRPr="007550DA">
        <w:t xml:space="preserve"> Updated index at page 16 of the particulars of claim, </w:t>
      </w:r>
      <w:r w:rsidR="00A74CC0">
        <w:t xml:space="preserve">At </w:t>
      </w:r>
      <w:r w:rsidR="00D400C1">
        <w:t>p</w:t>
      </w:r>
      <w:r w:rsidR="00A74CC0">
        <w:t>ara</w:t>
      </w:r>
      <w:r w:rsidRPr="007550DA">
        <w:t xml:space="preserve"> 29.</w:t>
      </w:r>
    </w:p>
  </w:footnote>
  <w:footnote w:id="4">
    <w:p w14:paraId="360E3074" w14:textId="77777777" w:rsidR="00C25A11" w:rsidRPr="007550DA" w:rsidRDefault="00C25A11">
      <w:pPr>
        <w:pStyle w:val="FootnoteText"/>
      </w:pPr>
      <w:r w:rsidRPr="007550DA">
        <w:rPr>
          <w:rStyle w:val="FootnoteReference"/>
        </w:rPr>
        <w:footnoteRef/>
      </w:r>
      <w:r w:rsidRPr="007550DA">
        <w:t xml:space="preserve"> Act 51 of 1977( the Criminal Procedure)</w:t>
      </w:r>
    </w:p>
  </w:footnote>
  <w:footnote w:id="5">
    <w:p w14:paraId="745D712E" w14:textId="64D1C5AD" w:rsidR="00377741" w:rsidRPr="00D400C1" w:rsidRDefault="00377741">
      <w:pPr>
        <w:pStyle w:val="FootnoteText"/>
      </w:pPr>
      <w:r w:rsidRPr="00263B50">
        <w:rPr>
          <w:rStyle w:val="FootnoteReference"/>
        </w:rPr>
        <w:footnoteRef/>
      </w:r>
      <w:r w:rsidRPr="00263B50">
        <w:t xml:space="preserve"> </w:t>
      </w:r>
      <w:r w:rsidRPr="002976F9">
        <w:t xml:space="preserve">Rule 39(13) reads, ‘’ </w:t>
      </w:r>
      <w:r w:rsidR="00D400C1">
        <w:t>Where</w:t>
      </w:r>
      <w:r w:rsidRPr="002976F9">
        <w:t xml:space="preserve"> the onus of adducing evidence on one or more of the issues is on the plaintiff and that of adducing evidence on</w:t>
      </w:r>
      <w:r w:rsidR="00BA70D0" w:rsidRPr="002976F9">
        <w:t xml:space="preserve"> any</w:t>
      </w:r>
      <w:r w:rsidRPr="002976F9">
        <w:t xml:space="preserve"> other iss</w:t>
      </w:r>
      <w:r w:rsidR="00BA70D0" w:rsidRPr="002976F9">
        <w:t>ue</w:t>
      </w:r>
      <w:r w:rsidRPr="002976F9">
        <w:t xml:space="preserve"> is on the defendant, the plaintiff shall first call his evidence </w:t>
      </w:r>
      <w:r w:rsidR="00BA70D0" w:rsidRPr="002976F9">
        <w:t xml:space="preserve">on any issues in respect which the onus is upon </w:t>
      </w:r>
      <w:r w:rsidR="00D400C1" w:rsidRPr="00D400C1">
        <w:t>him and</w:t>
      </w:r>
      <w:r w:rsidR="00BA70D0" w:rsidRPr="002976F9">
        <w:t xml:space="preserve"> may then close his case. The defendant, if absolution from </w:t>
      </w:r>
      <w:r w:rsidR="00D400C1">
        <w:t xml:space="preserve">the </w:t>
      </w:r>
      <w:r w:rsidR="00BA70D0" w:rsidRPr="002976F9">
        <w:t>instance is not granted, shall, if he does not disclose his case, thereupon call his evidence on all issues in respect of which such onus is upon him.’’</w:t>
      </w:r>
    </w:p>
  </w:footnote>
  <w:footnote w:id="6">
    <w:p w14:paraId="596592CD" w14:textId="6E3A5473" w:rsidR="00C25A11" w:rsidRPr="00D34F07" w:rsidRDefault="00C25A11" w:rsidP="00BC6083">
      <w:pPr>
        <w:tabs>
          <w:tab w:val="left" w:pos="851"/>
        </w:tabs>
        <w:jc w:val="both"/>
        <w:rPr>
          <w:sz w:val="20"/>
          <w:szCs w:val="20"/>
        </w:rPr>
      </w:pPr>
      <w:r w:rsidRPr="00D34F07">
        <w:rPr>
          <w:rStyle w:val="FootnoteReference"/>
          <w:sz w:val="20"/>
          <w:szCs w:val="20"/>
        </w:rPr>
        <w:footnoteRef/>
      </w:r>
      <w:r w:rsidRPr="00D34F07">
        <w:rPr>
          <w:sz w:val="20"/>
          <w:szCs w:val="20"/>
        </w:rPr>
        <w:t xml:space="preserve"> </w:t>
      </w:r>
      <w:r w:rsidRPr="00D34F07">
        <w:rPr>
          <w:sz w:val="20"/>
          <w:szCs w:val="20"/>
          <w:lang w:val="en-GB"/>
        </w:rPr>
        <w:t xml:space="preserve">Rule 39(6) of the Uniform Rules provides that at the closure of the case for the Plaintiff, the Defendant may apply for absolution from </w:t>
      </w:r>
      <w:r w:rsidR="00204898">
        <w:rPr>
          <w:sz w:val="20"/>
          <w:szCs w:val="20"/>
          <w:lang w:val="en-GB"/>
        </w:rPr>
        <w:t xml:space="preserve">the </w:t>
      </w:r>
      <w:r w:rsidRPr="00D34F07">
        <w:rPr>
          <w:sz w:val="20"/>
          <w:szCs w:val="20"/>
          <w:lang w:val="en-GB"/>
        </w:rPr>
        <w:t>instance, in which event the Defendant or an Advocate on his behalf may address the court and the Plaintiff or an Advocate on his behalf may reply. The Defendant or his Advocate may thereupon reply on any matter arising out the address of the Plaintiff or his Advocate.</w:t>
      </w:r>
    </w:p>
  </w:footnote>
  <w:footnote w:id="7">
    <w:p w14:paraId="28BDB950" w14:textId="5E997D00" w:rsidR="00C25A11" w:rsidRPr="002976F9" w:rsidRDefault="00C25A11">
      <w:pPr>
        <w:pStyle w:val="FootnoteText"/>
        <w:rPr>
          <w:i/>
          <w:iCs/>
        </w:rPr>
      </w:pPr>
      <w:r w:rsidRPr="002976F9">
        <w:rPr>
          <w:rStyle w:val="FootnoteReference"/>
          <w:i/>
          <w:iCs/>
        </w:rPr>
        <w:footnoteRef/>
      </w:r>
      <w:r w:rsidRPr="002976F9">
        <w:rPr>
          <w:i/>
          <w:iCs/>
        </w:rPr>
        <w:t xml:space="preserve"> </w:t>
      </w:r>
      <w:hyperlink r:id="rId1" w:tgtFrame="main" w:history="1">
        <w:r w:rsidRPr="002976F9">
          <w:rPr>
            <w:rFonts w:eastAsia="Times New Roman"/>
            <w:i/>
            <w:iCs/>
            <w:lang w:eastAsia="en-ZA"/>
          </w:rPr>
          <w:t>1976 (4) SA 403 (A)</w:t>
        </w:r>
      </w:hyperlink>
      <w:r w:rsidRPr="002976F9">
        <w:rPr>
          <w:rFonts w:eastAsia="Times New Roman"/>
          <w:i/>
          <w:iCs/>
          <w:lang w:eastAsia="en-ZA"/>
        </w:rPr>
        <w:t xml:space="preserve"> at 409G </w:t>
      </w:r>
      <w:r w:rsidR="00204898">
        <w:rPr>
          <w:rFonts w:eastAsia="Times New Roman"/>
          <w:i/>
          <w:iCs/>
          <w:lang w:eastAsia="en-ZA"/>
        </w:rPr>
        <w:t>–</w:t>
      </w:r>
      <w:r w:rsidRPr="002976F9">
        <w:rPr>
          <w:rFonts w:eastAsia="Times New Roman"/>
          <w:i/>
          <w:iCs/>
          <w:lang w:eastAsia="en-ZA"/>
        </w:rPr>
        <w:t xml:space="preserve"> H</w:t>
      </w:r>
      <w:r w:rsidR="00204898">
        <w:rPr>
          <w:rFonts w:eastAsia="Times New Roman"/>
          <w:i/>
          <w:iCs/>
          <w:lang w:eastAsia="en-ZA"/>
        </w:rPr>
        <w:t xml:space="preserve">, see Also </w:t>
      </w:r>
      <w:r w:rsidR="00204898" w:rsidRPr="006B4EB9">
        <w:rPr>
          <w:rFonts w:eastAsia="Times New Roman"/>
          <w:lang w:eastAsia="en-ZA"/>
        </w:rPr>
        <w:t>(</w:t>
      </w:r>
      <w:r w:rsidR="00204898" w:rsidRPr="00A74CC0">
        <w:rPr>
          <w:rFonts w:eastAsia="Times New Roman"/>
          <w:i/>
          <w:iCs/>
          <w:lang w:eastAsia="en-ZA"/>
        </w:rPr>
        <w:t>Gascoyne v Paul and Hunter</w:t>
      </w:r>
      <w:r w:rsidR="00204898" w:rsidRPr="008F1764">
        <w:rPr>
          <w:rFonts w:eastAsia="Times New Roman"/>
          <w:i/>
          <w:iCs/>
          <w:lang w:eastAsia="en-ZA"/>
        </w:rPr>
        <w:t xml:space="preserve"> 1917 TPD 170 at 173; </w:t>
      </w:r>
      <w:r w:rsidR="00204898" w:rsidRPr="00A74CC0">
        <w:rPr>
          <w:rFonts w:eastAsia="Times New Roman"/>
          <w:i/>
          <w:iCs/>
          <w:lang w:eastAsia="en-ZA"/>
        </w:rPr>
        <w:t>Ruto Flour Mills (Pty) Ltd v Adelson (2)</w:t>
      </w:r>
      <w:r w:rsidR="00204898" w:rsidRPr="008F1764">
        <w:rPr>
          <w:rFonts w:eastAsia="Times New Roman"/>
          <w:i/>
          <w:iCs/>
          <w:lang w:eastAsia="en-ZA"/>
        </w:rPr>
        <w:t> </w:t>
      </w:r>
      <w:hyperlink r:id="rId2" w:tgtFrame="main" w:history="1">
        <w:r w:rsidR="00204898" w:rsidRPr="008F1764">
          <w:rPr>
            <w:rFonts w:eastAsia="Times New Roman"/>
            <w:i/>
            <w:iCs/>
            <w:lang w:eastAsia="en-ZA"/>
          </w:rPr>
          <w:t>1958 (4) SA 307 (T)</w:t>
        </w:r>
      </w:hyperlink>
      <w:r w:rsidR="00204898" w:rsidRPr="008F1764">
        <w:rPr>
          <w:rFonts w:eastAsia="Times New Roman"/>
          <w:i/>
          <w:iCs/>
          <w:lang w:eastAsia="en-ZA"/>
        </w:rPr>
        <w:t xml:space="preserve"> G</w:t>
      </w:r>
    </w:p>
  </w:footnote>
  <w:footnote w:id="8">
    <w:p w14:paraId="333D6B60" w14:textId="3341539D" w:rsidR="00C25A11" w:rsidRPr="006B4EB9" w:rsidRDefault="00C25A11">
      <w:pPr>
        <w:pStyle w:val="FootnoteText"/>
      </w:pPr>
      <w:r w:rsidRPr="006B4EB9">
        <w:rPr>
          <w:rStyle w:val="FootnoteReference"/>
        </w:rPr>
        <w:footnoteRef/>
      </w:r>
      <w:r w:rsidRPr="006B4EB9">
        <w:t xml:space="preserve"> </w:t>
      </w:r>
      <w:r w:rsidRPr="002976F9">
        <w:rPr>
          <w:i/>
          <w:iCs/>
        </w:rPr>
        <w:t xml:space="preserve">Marine and Trade Insurance </w:t>
      </w:r>
      <w:r w:rsidR="00A74CC0" w:rsidRPr="00A74CC0">
        <w:rPr>
          <w:i/>
          <w:iCs/>
        </w:rPr>
        <w:t>Co (</w:t>
      </w:r>
      <w:r w:rsidRPr="002976F9">
        <w:rPr>
          <w:i/>
          <w:iCs/>
        </w:rPr>
        <w:t xml:space="preserve">Ltd) Van der </w:t>
      </w:r>
      <w:proofErr w:type="spellStart"/>
      <w:r w:rsidRPr="002976F9">
        <w:rPr>
          <w:i/>
          <w:iCs/>
        </w:rPr>
        <w:t>Schyff</w:t>
      </w:r>
      <w:proofErr w:type="spellEnd"/>
      <w:r w:rsidRPr="002976F9">
        <w:rPr>
          <w:i/>
          <w:iCs/>
        </w:rPr>
        <w:t xml:space="preserve"> 1972</w:t>
      </w:r>
      <w:r w:rsidR="00A74CC0">
        <w:rPr>
          <w:i/>
          <w:iCs/>
        </w:rPr>
        <w:t xml:space="preserve"> </w:t>
      </w:r>
      <w:r w:rsidRPr="002976F9">
        <w:rPr>
          <w:i/>
          <w:iCs/>
        </w:rPr>
        <w:t>(1) SA 26</w:t>
      </w:r>
      <w:r w:rsidR="00204898">
        <w:rPr>
          <w:i/>
          <w:iCs/>
        </w:rPr>
        <w:t xml:space="preserve"> </w:t>
      </w:r>
      <w:r w:rsidRPr="002976F9">
        <w:rPr>
          <w:i/>
          <w:iCs/>
        </w:rPr>
        <w:t>(A)</w:t>
      </w:r>
      <w:r w:rsidR="00A74CC0" w:rsidRPr="002976F9">
        <w:rPr>
          <w:i/>
          <w:iCs/>
        </w:rPr>
        <w:t xml:space="preserve"> At para </w:t>
      </w:r>
      <w:r w:rsidRPr="002976F9">
        <w:rPr>
          <w:i/>
          <w:iCs/>
        </w:rPr>
        <w:t>39-40</w:t>
      </w:r>
    </w:p>
  </w:footnote>
  <w:footnote w:id="9">
    <w:p w14:paraId="564D07A2" w14:textId="6C317703" w:rsidR="00C25A11" w:rsidRPr="002976F9" w:rsidRDefault="00C25A11">
      <w:pPr>
        <w:pStyle w:val="FootnoteText"/>
        <w:rPr>
          <w:i/>
          <w:iCs/>
        </w:rPr>
      </w:pPr>
      <w:r w:rsidRPr="006B4EB9">
        <w:rPr>
          <w:rStyle w:val="FootnoteReference"/>
        </w:rPr>
        <w:footnoteRef/>
      </w:r>
      <w:r w:rsidRPr="006B4EB9">
        <w:t xml:space="preserve"> </w:t>
      </w:r>
      <w:r w:rsidRPr="002976F9">
        <w:rPr>
          <w:i/>
          <w:iCs/>
        </w:rPr>
        <w:t xml:space="preserve">Osmar Tyres and Spares CC V </w:t>
      </w:r>
      <w:proofErr w:type="spellStart"/>
      <w:r w:rsidRPr="002976F9">
        <w:rPr>
          <w:i/>
          <w:iCs/>
        </w:rPr>
        <w:t>adt</w:t>
      </w:r>
      <w:proofErr w:type="spellEnd"/>
      <w:r w:rsidRPr="002976F9">
        <w:rPr>
          <w:i/>
          <w:iCs/>
        </w:rPr>
        <w:t xml:space="preserve"> Security Pty(Ltd) [2020] 3 All SA 73 SCA</w:t>
      </w:r>
      <w:r w:rsidR="00A74CC0">
        <w:rPr>
          <w:i/>
          <w:iCs/>
        </w:rPr>
        <w:t xml:space="preserve"> At </w:t>
      </w:r>
      <w:r w:rsidRPr="002976F9">
        <w:rPr>
          <w:i/>
          <w:iCs/>
        </w:rPr>
        <w:t xml:space="preserve">para 26; </w:t>
      </w:r>
      <w:r w:rsidRPr="00A74CC0">
        <w:rPr>
          <w:rFonts w:eastAsia="Times New Roman"/>
          <w:i/>
          <w:iCs/>
          <w:lang w:eastAsia="en-ZA"/>
        </w:rPr>
        <w:t xml:space="preserve">Marine &amp; Trade Insurance Co Ltd v Van der </w:t>
      </w:r>
      <w:proofErr w:type="spellStart"/>
      <w:r w:rsidRPr="00A74CC0">
        <w:rPr>
          <w:rFonts w:eastAsia="Times New Roman"/>
          <w:i/>
          <w:iCs/>
          <w:lang w:eastAsia="en-ZA"/>
        </w:rPr>
        <w:t>Schyff</w:t>
      </w:r>
      <w:proofErr w:type="spellEnd"/>
      <w:r w:rsidRPr="002976F9">
        <w:rPr>
          <w:rFonts w:eastAsia="Times New Roman"/>
          <w:i/>
          <w:iCs/>
          <w:lang w:eastAsia="en-ZA"/>
        </w:rPr>
        <w:t> </w:t>
      </w:r>
      <w:hyperlink r:id="rId3" w:tgtFrame="main" w:history="1">
        <w:r w:rsidRPr="002976F9">
          <w:rPr>
            <w:rFonts w:eastAsia="Times New Roman"/>
            <w:i/>
            <w:iCs/>
            <w:lang w:eastAsia="en-ZA"/>
          </w:rPr>
          <w:t>1972 (1) SA 26 (A</w:t>
        </w:r>
        <w:r w:rsidRPr="002976F9">
          <w:rPr>
            <w:rFonts w:eastAsia="Times New Roman"/>
            <w:i/>
            <w:iCs/>
            <w:color w:val="0000FF"/>
            <w:lang w:eastAsia="en-ZA"/>
          </w:rPr>
          <w:t>)</w:t>
        </w:r>
      </w:hyperlink>
      <w:r w:rsidRPr="002976F9">
        <w:rPr>
          <w:rFonts w:eastAsia="Times New Roman"/>
          <w:i/>
          <w:iCs/>
          <w:lang w:eastAsia="en-ZA"/>
        </w:rPr>
        <w:t xml:space="preserve"> at 37G - 38A; Schmidt </w:t>
      </w:r>
      <w:proofErr w:type="spellStart"/>
      <w:r w:rsidRPr="00A74CC0">
        <w:rPr>
          <w:rFonts w:eastAsia="Times New Roman"/>
          <w:i/>
          <w:iCs/>
          <w:lang w:eastAsia="en-ZA"/>
        </w:rPr>
        <w:t>Bewysreg</w:t>
      </w:r>
      <w:proofErr w:type="spellEnd"/>
      <w:r w:rsidRPr="002976F9">
        <w:rPr>
          <w:rFonts w:eastAsia="Times New Roman"/>
          <w:i/>
          <w:iCs/>
          <w:lang w:eastAsia="en-ZA"/>
        </w:rPr>
        <w:t xml:space="preserve"> 4th ed at 91 - 2).</w:t>
      </w:r>
    </w:p>
  </w:footnote>
  <w:footnote w:id="10">
    <w:p w14:paraId="642AAFCF" w14:textId="69587C70" w:rsidR="00C25A11" w:rsidRPr="002976F9" w:rsidRDefault="00C25A11">
      <w:pPr>
        <w:pStyle w:val="FootnoteText"/>
        <w:rPr>
          <w:i/>
          <w:iCs/>
        </w:rPr>
      </w:pPr>
      <w:r w:rsidRPr="002976F9">
        <w:rPr>
          <w:rStyle w:val="FootnoteReference"/>
          <w:i/>
          <w:iCs/>
        </w:rPr>
        <w:footnoteRef/>
      </w:r>
      <w:r w:rsidR="00543E34" w:rsidRPr="002976F9">
        <w:rPr>
          <w:i/>
          <w:iCs/>
        </w:rPr>
        <w:t xml:space="preserve"> See the discussion in Van </w:t>
      </w:r>
      <w:proofErr w:type="spellStart"/>
      <w:r w:rsidR="00543E34" w:rsidRPr="002976F9">
        <w:rPr>
          <w:i/>
          <w:iCs/>
        </w:rPr>
        <w:t>Lo</w:t>
      </w:r>
      <w:r w:rsidRPr="002976F9">
        <w:rPr>
          <w:i/>
          <w:iCs/>
        </w:rPr>
        <w:t>ggerenberg</w:t>
      </w:r>
      <w:proofErr w:type="spellEnd"/>
      <w:r w:rsidRPr="002976F9">
        <w:rPr>
          <w:i/>
          <w:iCs/>
        </w:rPr>
        <w:t xml:space="preserve">, </w:t>
      </w:r>
      <w:r w:rsidR="00A74CC0" w:rsidRPr="002976F9">
        <w:rPr>
          <w:i/>
          <w:iCs/>
        </w:rPr>
        <w:t>Erasmus;</w:t>
      </w:r>
      <w:r w:rsidRPr="002976F9">
        <w:rPr>
          <w:i/>
          <w:iCs/>
        </w:rPr>
        <w:t xml:space="preserve"> Superior Court </w:t>
      </w:r>
      <w:r w:rsidR="00A74CC0" w:rsidRPr="002976F9">
        <w:rPr>
          <w:i/>
          <w:iCs/>
        </w:rPr>
        <w:t>Practice (</w:t>
      </w:r>
      <w:proofErr w:type="spellStart"/>
      <w:r w:rsidR="00204898" w:rsidRPr="00204898">
        <w:rPr>
          <w:i/>
          <w:iCs/>
        </w:rPr>
        <w:t>Jutastat</w:t>
      </w:r>
      <w:proofErr w:type="spellEnd"/>
      <w:r w:rsidRPr="002976F9">
        <w:rPr>
          <w:i/>
          <w:iCs/>
        </w:rPr>
        <w:t xml:space="preserve"> (e-publications, RS 20, 2022), </w:t>
      </w:r>
      <w:r w:rsidR="00BA70D0">
        <w:rPr>
          <w:i/>
          <w:iCs/>
        </w:rPr>
        <w:t xml:space="preserve">at </w:t>
      </w:r>
      <w:r w:rsidRPr="002976F9">
        <w:rPr>
          <w:i/>
          <w:iCs/>
        </w:rPr>
        <w:t xml:space="preserve"> d1-530 to D1-531</w:t>
      </w:r>
    </w:p>
  </w:footnote>
  <w:footnote w:id="11">
    <w:p w14:paraId="54A78FDC" w14:textId="5F39FC5D" w:rsidR="00C25A11" w:rsidRPr="006B4EB9" w:rsidRDefault="00C25A11">
      <w:pPr>
        <w:pStyle w:val="FootnoteText"/>
      </w:pPr>
      <w:r w:rsidRPr="006B4EB9">
        <w:rPr>
          <w:rStyle w:val="FootnoteReference"/>
        </w:rPr>
        <w:footnoteRef/>
      </w:r>
      <w:r w:rsidRPr="006B4EB9">
        <w:t xml:space="preserve"> </w:t>
      </w:r>
      <w:r w:rsidRPr="002976F9">
        <w:rPr>
          <w:i/>
          <w:iCs/>
        </w:rPr>
        <w:t>Supreme Service Station v Fox and Goodman (Pty)(Ltd) 1971</w:t>
      </w:r>
      <w:r w:rsidR="00A74CC0" w:rsidRPr="002976F9">
        <w:rPr>
          <w:i/>
          <w:iCs/>
        </w:rPr>
        <w:t xml:space="preserve"> </w:t>
      </w:r>
      <w:r w:rsidRPr="002976F9">
        <w:rPr>
          <w:i/>
          <w:iCs/>
        </w:rPr>
        <w:t>(1) ZLR</w:t>
      </w:r>
    </w:p>
  </w:footnote>
  <w:footnote w:id="12">
    <w:p w14:paraId="1732A619" w14:textId="523979FD" w:rsidR="00F67376" w:rsidRDefault="00F67376">
      <w:pPr>
        <w:pStyle w:val="FootnoteText"/>
      </w:pPr>
      <w:r>
        <w:rPr>
          <w:rStyle w:val="FootnoteReference"/>
        </w:rPr>
        <w:footnoteRef/>
      </w:r>
      <w:r>
        <w:t xml:space="preserve"> Para 34 Plaintiff’s heads of argument</w:t>
      </w:r>
    </w:p>
  </w:footnote>
  <w:footnote w:id="13">
    <w:p w14:paraId="3B46C7D5" w14:textId="6BD341BC" w:rsidR="00C25A11" w:rsidRPr="002976F9" w:rsidRDefault="00C25A11">
      <w:pPr>
        <w:pStyle w:val="FootnoteText"/>
        <w:rPr>
          <w:i/>
          <w:iCs/>
        </w:rPr>
      </w:pPr>
      <w:r>
        <w:rPr>
          <w:rStyle w:val="FootnoteReference"/>
        </w:rPr>
        <w:footnoteRef/>
      </w:r>
      <w:r>
        <w:t xml:space="preserve"> </w:t>
      </w:r>
      <w:r w:rsidRPr="002976F9">
        <w:rPr>
          <w:i/>
          <w:iCs/>
        </w:rPr>
        <w:t xml:space="preserve">Minister of Police and </w:t>
      </w:r>
      <w:r w:rsidR="003B6B18" w:rsidRPr="002976F9">
        <w:rPr>
          <w:i/>
          <w:iCs/>
        </w:rPr>
        <w:t>Another v</w:t>
      </w:r>
      <w:r w:rsidRPr="002976F9">
        <w:rPr>
          <w:i/>
          <w:iCs/>
        </w:rPr>
        <w:t xml:space="preserve"> Du Plessis 2014(1) SACR 217 (SCA)</w:t>
      </w:r>
      <w:r w:rsidR="003B6B18" w:rsidRPr="002976F9">
        <w:rPr>
          <w:i/>
          <w:iCs/>
        </w:rPr>
        <w:t>, At paras</w:t>
      </w:r>
      <w:r w:rsidRPr="002976F9">
        <w:rPr>
          <w:i/>
          <w:iCs/>
        </w:rPr>
        <w:t>14-17</w:t>
      </w:r>
    </w:p>
  </w:footnote>
  <w:footnote w:id="14">
    <w:p w14:paraId="256D1936" w14:textId="42E98AEB" w:rsidR="00C25A11" w:rsidRPr="002976F9" w:rsidRDefault="00C25A11">
      <w:pPr>
        <w:pStyle w:val="FootnoteText"/>
        <w:rPr>
          <w:i/>
          <w:iCs/>
          <w:lang w:val="pt-BR"/>
        </w:rPr>
      </w:pPr>
      <w:r w:rsidRPr="002976F9">
        <w:rPr>
          <w:rStyle w:val="FootnoteReference"/>
          <w:i/>
          <w:iCs/>
        </w:rPr>
        <w:footnoteRef/>
      </w:r>
      <w:r w:rsidRPr="002976F9">
        <w:rPr>
          <w:i/>
          <w:iCs/>
          <w:lang w:val="pt-BR"/>
        </w:rPr>
        <w:t xml:space="preserve"> 1986</w:t>
      </w:r>
      <w:r w:rsidR="003B6B18" w:rsidRPr="002976F9">
        <w:rPr>
          <w:i/>
          <w:iCs/>
          <w:lang w:val="pt-BR"/>
        </w:rPr>
        <w:t xml:space="preserve"> </w:t>
      </w:r>
      <w:r w:rsidRPr="002976F9">
        <w:rPr>
          <w:i/>
          <w:iCs/>
          <w:lang w:val="pt-BR"/>
        </w:rPr>
        <w:t>(3) SA 568 A AT 589 E-F</w:t>
      </w:r>
    </w:p>
  </w:footnote>
  <w:footnote w:id="15">
    <w:p w14:paraId="656CF67F" w14:textId="29738B1B" w:rsidR="00C25A11" w:rsidRPr="002976F9" w:rsidRDefault="00C25A11">
      <w:pPr>
        <w:pStyle w:val="FootnoteText"/>
        <w:rPr>
          <w:i/>
          <w:iCs/>
          <w:lang w:val="pt-BR"/>
        </w:rPr>
      </w:pPr>
      <w:r w:rsidRPr="002976F9">
        <w:rPr>
          <w:rStyle w:val="FootnoteReference"/>
          <w:i/>
          <w:iCs/>
        </w:rPr>
        <w:footnoteRef/>
      </w:r>
      <w:r w:rsidRPr="002976F9">
        <w:rPr>
          <w:i/>
          <w:iCs/>
          <w:lang w:val="pt-BR"/>
        </w:rPr>
        <w:t xml:space="preserve"> 1986</w:t>
      </w:r>
      <w:r w:rsidR="003B6B18" w:rsidRPr="002976F9">
        <w:rPr>
          <w:i/>
          <w:iCs/>
          <w:lang w:val="pt-BR"/>
        </w:rPr>
        <w:t xml:space="preserve"> </w:t>
      </w:r>
      <w:r w:rsidRPr="002976F9">
        <w:rPr>
          <w:i/>
          <w:iCs/>
          <w:lang w:val="pt-BR"/>
        </w:rPr>
        <w:t>(2) SA 805 (A)</w:t>
      </w:r>
    </w:p>
  </w:footnote>
  <w:footnote w:id="16">
    <w:p w14:paraId="203943B9" w14:textId="7F71B3F1" w:rsidR="00C25A11" w:rsidRPr="002976F9" w:rsidRDefault="00C25A11">
      <w:pPr>
        <w:pStyle w:val="FootnoteText"/>
        <w:rPr>
          <w:i/>
          <w:iCs/>
        </w:rPr>
      </w:pPr>
      <w:r w:rsidRPr="002976F9">
        <w:rPr>
          <w:rStyle w:val="FootnoteReference"/>
          <w:i/>
          <w:iCs/>
        </w:rPr>
        <w:footnoteRef/>
      </w:r>
      <w:r w:rsidRPr="002976F9">
        <w:rPr>
          <w:i/>
          <w:iCs/>
        </w:rPr>
        <w:t xml:space="preserve"> 1988</w:t>
      </w:r>
      <w:r w:rsidR="00FE27A6">
        <w:rPr>
          <w:i/>
          <w:iCs/>
        </w:rPr>
        <w:t xml:space="preserve"> </w:t>
      </w:r>
      <w:r w:rsidRPr="002976F9">
        <w:rPr>
          <w:i/>
          <w:iCs/>
        </w:rPr>
        <w:t xml:space="preserve">(2) SA 654 (SE) 658 G-J </w:t>
      </w:r>
    </w:p>
  </w:footnote>
  <w:footnote w:id="17">
    <w:p w14:paraId="0E4A08B3" w14:textId="6DEAA944" w:rsidR="00C25A11" w:rsidRPr="002976F9" w:rsidRDefault="00C25A11" w:rsidP="00B84E93">
      <w:pPr>
        <w:pStyle w:val="FootnoteText"/>
        <w:rPr>
          <w:i/>
          <w:iCs/>
          <w:lang w:val="en-US"/>
        </w:rPr>
      </w:pPr>
      <w:r w:rsidRPr="002976F9">
        <w:rPr>
          <w:rStyle w:val="FootnoteReference"/>
          <w:i/>
          <w:iCs/>
        </w:rPr>
        <w:footnoteRef/>
      </w:r>
      <w:r w:rsidRPr="002976F9">
        <w:rPr>
          <w:i/>
          <w:iCs/>
        </w:rPr>
        <w:t xml:space="preserve"> </w:t>
      </w:r>
      <w:proofErr w:type="spellStart"/>
      <w:r w:rsidRPr="002976F9">
        <w:rPr>
          <w:i/>
          <w:iCs/>
          <w:lang w:val="en-US"/>
        </w:rPr>
        <w:t>Masethla</w:t>
      </w:r>
      <w:proofErr w:type="spellEnd"/>
      <w:r w:rsidRPr="002976F9">
        <w:rPr>
          <w:i/>
          <w:iCs/>
          <w:lang w:val="en-US"/>
        </w:rPr>
        <w:t xml:space="preserve"> v President of the RSA 2008 (1) SA 566 (CC) </w:t>
      </w:r>
      <w:r w:rsidR="00EB6EBD">
        <w:rPr>
          <w:i/>
          <w:iCs/>
          <w:lang w:val="en-US"/>
        </w:rPr>
        <w:t xml:space="preserve">At </w:t>
      </w:r>
      <w:r w:rsidRPr="002976F9">
        <w:rPr>
          <w:i/>
          <w:iCs/>
          <w:lang w:val="en-US"/>
        </w:rPr>
        <w:t xml:space="preserve">para 23; The Minister of Safety </w:t>
      </w:r>
      <w:r w:rsidRPr="002976F9">
        <w:rPr>
          <w:i/>
          <w:iCs/>
        </w:rPr>
        <w:t xml:space="preserve">and Security v </w:t>
      </w:r>
      <w:proofErr w:type="spellStart"/>
      <w:r w:rsidRPr="002976F9">
        <w:rPr>
          <w:i/>
          <w:iCs/>
        </w:rPr>
        <w:t>Sekhoto</w:t>
      </w:r>
      <w:proofErr w:type="spellEnd"/>
      <w:r w:rsidRPr="002976F9">
        <w:rPr>
          <w:i/>
          <w:iCs/>
        </w:rPr>
        <w:t xml:space="preserve"> </w:t>
      </w:r>
      <w:r w:rsidR="00EB6EBD" w:rsidRPr="00EB6EBD">
        <w:rPr>
          <w:i/>
          <w:iCs/>
        </w:rPr>
        <w:t>2011 (1) SACR 315 (SCA)</w:t>
      </w:r>
    </w:p>
  </w:footnote>
  <w:footnote w:id="18">
    <w:p w14:paraId="493C759F" w14:textId="0424D509" w:rsidR="00C25A11" w:rsidRPr="00B84E93" w:rsidRDefault="00C25A11">
      <w:pPr>
        <w:pStyle w:val="FootnoteText"/>
        <w:rPr>
          <w:i/>
        </w:rPr>
      </w:pPr>
      <w:r w:rsidRPr="002976F9">
        <w:rPr>
          <w:rStyle w:val="FootnoteReference"/>
          <w:i/>
          <w:iCs/>
        </w:rPr>
        <w:footnoteRef/>
      </w:r>
      <w:r w:rsidR="00116142">
        <w:rPr>
          <w:i/>
          <w:iCs/>
        </w:rPr>
        <w:t xml:space="preserve"> </w:t>
      </w:r>
      <w:r w:rsidR="00116142" w:rsidRPr="00116142">
        <w:rPr>
          <w:i/>
          <w:iCs/>
        </w:rPr>
        <w:t>2011 (1) SACR 315 (SCA)</w:t>
      </w:r>
    </w:p>
  </w:footnote>
  <w:footnote w:id="19">
    <w:p w14:paraId="573CD8C5" w14:textId="5E24F569" w:rsidR="00C25A11" w:rsidRPr="00FE27A6" w:rsidRDefault="00C25A11" w:rsidP="00FE27A6">
      <w:pPr>
        <w:pStyle w:val="FootnoteText"/>
      </w:pPr>
      <w:r w:rsidRPr="002976F9">
        <w:rPr>
          <w:rStyle w:val="FootnoteReference"/>
          <w:i/>
          <w:iCs/>
        </w:rPr>
        <w:footnoteRef/>
      </w:r>
      <w:r w:rsidRPr="002976F9">
        <w:rPr>
          <w:i/>
          <w:iCs/>
        </w:rPr>
        <w:t xml:space="preserve"> Procedure after arrest: Section 50 of the Criminal Procedure Act provides:</w:t>
      </w:r>
      <w:r w:rsidRPr="00142FDC">
        <w:t>’ (1)</w:t>
      </w:r>
      <w:r w:rsidRPr="00FE27A6">
        <w:t xml:space="preserve"> (a) </w:t>
      </w:r>
      <w:r w:rsidRPr="002976F9">
        <w:rPr>
          <w:sz w:val="18"/>
          <w:szCs w:val="18"/>
        </w:rPr>
        <w:t>Any person who is arrested with or without a warrant for allegedly committing an offence, or for any other reason, shall as soon as possible be brought to a police station or, in the case of an arrest by a warrant, to any other place which is expressly mentioned in the warrant’. Section 35 of the Constitution provides (1) Everyone who is arrested for allegedly committing an offence an offence has the right-(1)(d) to be brought before a court as soon as reasonable possible but not later than –(i) 48 hours after arrest….’</w:t>
      </w:r>
    </w:p>
  </w:footnote>
  <w:footnote w:id="20">
    <w:p w14:paraId="5BFFCB6E" w14:textId="2B9E6CFD" w:rsidR="0039261A" w:rsidRDefault="0039261A">
      <w:pPr>
        <w:pStyle w:val="FootnoteText"/>
      </w:pPr>
      <w:r>
        <w:rPr>
          <w:rStyle w:val="FootnoteReference"/>
        </w:rPr>
        <w:footnoteRef/>
      </w:r>
      <w:r>
        <w:t xml:space="preserve"> M R v Minister of Safety and Security 2016 (2) SACR 540(CC) at para 39</w:t>
      </w:r>
    </w:p>
  </w:footnote>
  <w:footnote w:id="21">
    <w:p w14:paraId="578EBA9A" w14:textId="62BF23FA" w:rsidR="009A6883" w:rsidRDefault="009A6883">
      <w:pPr>
        <w:pStyle w:val="FootnoteText"/>
      </w:pPr>
      <w:r>
        <w:rPr>
          <w:rStyle w:val="FootnoteReference"/>
        </w:rPr>
        <w:footnoteRef/>
      </w:r>
      <w:r>
        <w:t xml:space="preserve"> Jacobs v Minister of Safety and </w:t>
      </w:r>
      <w:r w:rsidR="00D400C1">
        <w:t>Security</w:t>
      </w:r>
      <w:r>
        <w:t xml:space="preserve"> 2013 JDR </w:t>
      </w:r>
      <w:r w:rsidR="00594447">
        <w:t>209 (ECG</w:t>
      </w:r>
      <w:r>
        <w:t>)</w:t>
      </w:r>
    </w:p>
  </w:footnote>
  <w:footnote w:id="22">
    <w:p w14:paraId="5454EF62" w14:textId="59D42BB3" w:rsidR="00C25A11" w:rsidRPr="002976F9" w:rsidRDefault="00C25A11">
      <w:pPr>
        <w:pStyle w:val="FootnoteText"/>
        <w:rPr>
          <w:i/>
          <w:iCs/>
        </w:rPr>
      </w:pPr>
      <w:r>
        <w:rPr>
          <w:rStyle w:val="FootnoteReference"/>
        </w:rPr>
        <w:footnoteRef/>
      </w:r>
      <w:r>
        <w:t xml:space="preserve"> </w:t>
      </w:r>
      <w:r w:rsidRPr="002976F9">
        <w:rPr>
          <w:i/>
          <w:iCs/>
        </w:rPr>
        <w:t xml:space="preserve">Minister of </w:t>
      </w:r>
      <w:r w:rsidR="00116142">
        <w:rPr>
          <w:i/>
          <w:iCs/>
        </w:rPr>
        <w:t>Safety</w:t>
      </w:r>
      <w:r w:rsidR="00116142" w:rsidRPr="002976F9">
        <w:rPr>
          <w:i/>
          <w:iCs/>
        </w:rPr>
        <w:t xml:space="preserve"> </w:t>
      </w:r>
      <w:r w:rsidRPr="002976F9">
        <w:rPr>
          <w:i/>
          <w:iCs/>
        </w:rPr>
        <w:t xml:space="preserve">and Security v Lincoln [2020] 3 All SA 341 (SCA) </w:t>
      </w:r>
      <w:r w:rsidR="00116142">
        <w:rPr>
          <w:i/>
          <w:iCs/>
        </w:rPr>
        <w:t xml:space="preserve">At </w:t>
      </w:r>
      <w:r w:rsidRPr="002976F9">
        <w:rPr>
          <w:i/>
          <w:iCs/>
        </w:rPr>
        <w:t xml:space="preserve">para 20, Minister of Police v Marula Case No: CA 89/2021, </w:t>
      </w:r>
      <w:r w:rsidR="00116142">
        <w:rPr>
          <w:i/>
          <w:iCs/>
        </w:rPr>
        <w:t xml:space="preserve">At </w:t>
      </w:r>
      <w:r w:rsidRPr="002976F9">
        <w:rPr>
          <w:i/>
          <w:iCs/>
        </w:rPr>
        <w:t>para 25</w:t>
      </w:r>
    </w:p>
  </w:footnote>
  <w:footnote w:id="23">
    <w:p w14:paraId="59705911" w14:textId="77777777" w:rsidR="00C25A11" w:rsidRPr="002976F9" w:rsidRDefault="00C25A11">
      <w:pPr>
        <w:pStyle w:val="FootnoteText"/>
        <w:rPr>
          <w:i/>
          <w:iCs/>
          <w:lang w:val="pt-BR"/>
        </w:rPr>
      </w:pPr>
      <w:r w:rsidRPr="002976F9">
        <w:rPr>
          <w:rStyle w:val="FootnoteReference"/>
          <w:i/>
          <w:iCs/>
        </w:rPr>
        <w:footnoteRef/>
      </w:r>
      <w:r w:rsidRPr="002976F9">
        <w:rPr>
          <w:i/>
          <w:iCs/>
          <w:lang w:val="pt-BR"/>
        </w:rPr>
        <w:t xml:space="preserve"> supra</w:t>
      </w:r>
    </w:p>
  </w:footnote>
  <w:footnote w:id="24">
    <w:p w14:paraId="4615D28B" w14:textId="6E3A84AA" w:rsidR="00C25A11" w:rsidRPr="002976F9" w:rsidRDefault="00C25A11">
      <w:pPr>
        <w:pStyle w:val="FootnoteText"/>
        <w:rPr>
          <w:i/>
          <w:iCs/>
          <w:lang w:val="pt-BR"/>
        </w:rPr>
      </w:pPr>
      <w:r w:rsidRPr="002976F9">
        <w:rPr>
          <w:rStyle w:val="FootnoteReference"/>
          <w:i/>
          <w:iCs/>
        </w:rPr>
        <w:footnoteRef/>
      </w:r>
      <w:r w:rsidRPr="002976F9">
        <w:rPr>
          <w:i/>
          <w:iCs/>
          <w:lang w:val="pt-BR"/>
        </w:rPr>
        <w:t xml:space="preserve"> [2014] ZASCA 130; 2015 (1) SACR 597 (SCA) </w:t>
      </w:r>
      <w:r w:rsidR="00116142" w:rsidRPr="002976F9">
        <w:rPr>
          <w:i/>
          <w:iCs/>
          <w:lang w:val="pt-BR"/>
        </w:rPr>
        <w:t xml:space="preserve">At </w:t>
      </w:r>
      <w:r w:rsidRPr="002976F9">
        <w:rPr>
          <w:i/>
          <w:iCs/>
          <w:lang w:val="pt-BR"/>
        </w:rPr>
        <w:t>para 15</w:t>
      </w:r>
    </w:p>
  </w:footnote>
  <w:footnote w:id="25">
    <w:p w14:paraId="4E3AF184" w14:textId="77777777" w:rsidR="00C25A11" w:rsidRDefault="00C25A11">
      <w:pPr>
        <w:pStyle w:val="FootnoteText"/>
      </w:pPr>
      <w:r w:rsidRPr="002976F9">
        <w:rPr>
          <w:rStyle w:val="FootnoteReference"/>
          <w:i/>
          <w:iCs/>
        </w:rPr>
        <w:footnoteRef/>
      </w:r>
      <w:r w:rsidRPr="002976F9">
        <w:rPr>
          <w:i/>
          <w:iCs/>
        </w:rPr>
        <w:t xml:space="preserve"> National Director of Public Prosecutors Ethics- A Practical Guide to the Ethical Code of Members of the National Prosecuting Authority [ March 2004],</w:t>
      </w:r>
      <w:r>
        <w:t xml:space="preserve"> </w:t>
      </w:r>
    </w:p>
  </w:footnote>
  <w:footnote w:id="26">
    <w:p w14:paraId="465038AF" w14:textId="77777777" w:rsidR="00C25A11" w:rsidRPr="002976F9" w:rsidRDefault="00C25A11">
      <w:pPr>
        <w:pStyle w:val="FootnoteText"/>
        <w:rPr>
          <w:i/>
          <w:iCs/>
        </w:rPr>
      </w:pPr>
      <w:r w:rsidRPr="002976F9">
        <w:rPr>
          <w:rStyle w:val="FootnoteReference"/>
          <w:i/>
          <w:iCs/>
        </w:rPr>
        <w:footnoteRef/>
      </w:r>
      <w:r w:rsidRPr="002976F9">
        <w:rPr>
          <w:i/>
          <w:iCs/>
        </w:rPr>
        <w:t xml:space="preserve"> Para 1.1.1. (c)</w:t>
      </w:r>
    </w:p>
  </w:footnote>
  <w:footnote w:id="27">
    <w:p w14:paraId="0E9B625A" w14:textId="3B9D51DC" w:rsidR="00C25A11" w:rsidRDefault="00C25A11" w:rsidP="00482BC6">
      <w:pPr>
        <w:pStyle w:val="FootnoteText"/>
      </w:pPr>
      <w:r w:rsidRPr="002976F9">
        <w:rPr>
          <w:rStyle w:val="FootnoteReference"/>
          <w:i/>
          <w:iCs/>
        </w:rPr>
        <w:footnoteRef/>
      </w:r>
      <w:r w:rsidRPr="002976F9">
        <w:rPr>
          <w:i/>
          <w:iCs/>
        </w:rPr>
        <w:t xml:space="preserve"> Minister of Police and Another v Sipho </w:t>
      </w:r>
      <w:proofErr w:type="spellStart"/>
      <w:r w:rsidRPr="002976F9">
        <w:rPr>
          <w:i/>
          <w:iCs/>
        </w:rPr>
        <w:t>Zweni</w:t>
      </w:r>
      <w:proofErr w:type="spellEnd"/>
      <w:r w:rsidRPr="002976F9">
        <w:rPr>
          <w:i/>
          <w:iCs/>
        </w:rPr>
        <w:t>, (842/2017) [2018] ZASCA 97(1 June 2018 (not reportable)</w:t>
      </w:r>
    </w:p>
  </w:footnote>
  <w:footnote w:id="28">
    <w:p w14:paraId="7A18C2D3" w14:textId="77777777" w:rsidR="00C25A11" w:rsidRDefault="00C25A11">
      <w:pPr>
        <w:pStyle w:val="FootnoteText"/>
      </w:pPr>
      <w:r>
        <w:rPr>
          <w:rStyle w:val="FootnoteReference"/>
        </w:rPr>
        <w:footnoteRef/>
      </w:r>
      <w:r>
        <w:t xml:space="preserve"> Section 60 (11)(a) of the Criminal Procedure Act 51 of 1977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2975" w14:textId="77777777" w:rsidR="00D347AD" w:rsidRDefault="00D34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8611" w14:textId="666E7D30" w:rsidR="00C25A11" w:rsidRPr="004F0FEF" w:rsidRDefault="00000000">
    <w:pPr>
      <w:pStyle w:val="Header"/>
      <w:jc w:val="right"/>
      <w:rPr>
        <w:sz w:val="20"/>
        <w:szCs w:val="20"/>
      </w:rPr>
    </w:pPr>
    <w:sdt>
      <w:sdtPr>
        <w:id w:val="-965504554"/>
        <w:docPartObj>
          <w:docPartGallery w:val="Page Numbers (Top of Page)"/>
          <w:docPartUnique/>
        </w:docPartObj>
      </w:sdtPr>
      <w:sdtEndPr>
        <w:rPr>
          <w:noProof/>
          <w:sz w:val="20"/>
          <w:szCs w:val="20"/>
        </w:rPr>
      </w:sdtEndPr>
      <w:sdtContent>
        <w:r w:rsidR="00C25A11" w:rsidRPr="004F0FEF">
          <w:rPr>
            <w:sz w:val="20"/>
            <w:szCs w:val="20"/>
          </w:rPr>
          <w:fldChar w:fldCharType="begin"/>
        </w:r>
        <w:r w:rsidR="00C25A11" w:rsidRPr="004F0FEF">
          <w:rPr>
            <w:sz w:val="20"/>
            <w:szCs w:val="20"/>
          </w:rPr>
          <w:instrText xml:space="preserve"> PAGE   \* MERGEFORMAT </w:instrText>
        </w:r>
        <w:r w:rsidR="00C25A11" w:rsidRPr="004F0FEF">
          <w:rPr>
            <w:sz w:val="20"/>
            <w:szCs w:val="20"/>
          </w:rPr>
          <w:fldChar w:fldCharType="separate"/>
        </w:r>
        <w:r w:rsidR="00B71DA4">
          <w:rPr>
            <w:noProof/>
            <w:sz w:val="20"/>
            <w:szCs w:val="20"/>
          </w:rPr>
          <w:t>14</w:t>
        </w:r>
        <w:r w:rsidR="00C25A11" w:rsidRPr="004F0FEF">
          <w:rPr>
            <w:noProof/>
            <w:sz w:val="20"/>
            <w:szCs w:val="20"/>
          </w:rPr>
          <w:fldChar w:fldCharType="end"/>
        </w:r>
      </w:sdtContent>
    </w:sdt>
  </w:p>
  <w:p w14:paraId="0CAAE184" w14:textId="77777777" w:rsidR="00C25A11" w:rsidRDefault="00C25A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5488" w14:textId="34094D0D" w:rsidR="00D347AD" w:rsidRDefault="00D347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5677"/>
    <w:multiLevelType w:val="hybridMultilevel"/>
    <w:tmpl w:val="46D02B10"/>
    <w:lvl w:ilvl="0" w:tplc="550E6F1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25514139"/>
    <w:multiLevelType w:val="hybridMultilevel"/>
    <w:tmpl w:val="CE7AA30A"/>
    <w:lvl w:ilvl="0" w:tplc="08090001">
      <w:start w:val="1"/>
      <w:numFmt w:val="bullet"/>
      <w:lvlText w:val=""/>
      <w:lvlJc w:val="left"/>
      <w:pPr>
        <w:ind w:left="1569" w:hanging="360"/>
      </w:pPr>
      <w:rPr>
        <w:rFonts w:ascii="Symbol" w:hAnsi="Symbol"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2" w15:restartNumberingAfterBreak="0">
    <w:nsid w:val="2A791BBD"/>
    <w:multiLevelType w:val="hybridMultilevel"/>
    <w:tmpl w:val="21D2CA20"/>
    <w:lvl w:ilvl="0" w:tplc="5E64BCEC">
      <w:start w:val="1"/>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3" w15:restartNumberingAfterBreak="0">
    <w:nsid w:val="2B2D23AD"/>
    <w:multiLevelType w:val="hybridMultilevel"/>
    <w:tmpl w:val="6610F812"/>
    <w:lvl w:ilvl="0" w:tplc="649633C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D57110C"/>
    <w:multiLevelType w:val="hybridMultilevel"/>
    <w:tmpl w:val="D35E70E2"/>
    <w:lvl w:ilvl="0" w:tplc="B69E61C6">
      <w:start w:val="1"/>
      <w:numFmt w:val="decimal"/>
      <w:lvlText w:val="[%1]"/>
      <w:lvlJc w:val="left"/>
      <w:pPr>
        <w:ind w:left="720" w:hanging="360"/>
      </w:pPr>
      <w:rPr>
        <w:rFonts w:hint="default"/>
        <w:b w:val="0"/>
        <w:bCs w:val="0"/>
      </w:rPr>
    </w:lvl>
    <w:lvl w:ilvl="1" w:tplc="ECD68418">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53192A"/>
    <w:multiLevelType w:val="hybridMultilevel"/>
    <w:tmpl w:val="1D42F0AA"/>
    <w:lvl w:ilvl="0" w:tplc="EEC6D572">
      <w:start w:val="1"/>
      <w:numFmt w:val="decimal"/>
      <w:lvlText w:val="[%1]"/>
      <w:lvlJc w:val="left"/>
      <w:pPr>
        <w:ind w:left="1125"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6" w15:restartNumberingAfterBreak="0">
    <w:nsid w:val="331277AE"/>
    <w:multiLevelType w:val="hybridMultilevel"/>
    <w:tmpl w:val="D16804CC"/>
    <w:lvl w:ilvl="0" w:tplc="ADE8512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5775893"/>
    <w:multiLevelType w:val="hybridMultilevel"/>
    <w:tmpl w:val="9940D118"/>
    <w:lvl w:ilvl="0" w:tplc="1C09000F">
      <w:start w:val="1"/>
      <w:numFmt w:val="decimal"/>
      <w:lvlText w:val="%1."/>
      <w:lvlJc w:val="left"/>
      <w:pPr>
        <w:ind w:left="1210" w:hanging="360"/>
      </w:p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8" w15:restartNumberingAfterBreak="0">
    <w:nsid w:val="3AC13007"/>
    <w:multiLevelType w:val="hybridMultilevel"/>
    <w:tmpl w:val="421CACCC"/>
    <w:lvl w:ilvl="0" w:tplc="CA968D04">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3EFE54D8"/>
    <w:multiLevelType w:val="hybridMultilevel"/>
    <w:tmpl w:val="9CB40BFC"/>
    <w:lvl w:ilvl="0" w:tplc="573E482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45BC0D79"/>
    <w:multiLevelType w:val="hybridMultilevel"/>
    <w:tmpl w:val="E7D6A4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6A86019"/>
    <w:multiLevelType w:val="hybridMultilevel"/>
    <w:tmpl w:val="875A1AC6"/>
    <w:lvl w:ilvl="0" w:tplc="73D2C5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4C797E68"/>
    <w:multiLevelType w:val="hybridMultilevel"/>
    <w:tmpl w:val="3CE80B82"/>
    <w:lvl w:ilvl="0" w:tplc="08090001">
      <w:start w:val="1"/>
      <w:numFmt w:val="bullet"/>
      <w:lvlText w:val=""/>
      <w:lvlJc w:val="left"/>
      <w:pPr>
        <w:ind w:left="1569" w:hanging="360"/>
      </w:pPr>
      <w:rPr>
        <w:rFonts w:ascii="Symbol" w:hAnsi="Symbol"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13" w15:restartNumberingAfterBreak="0">
    <w:nsid w:val="5B854713"/>
    <w:multiLevelType w:val="hybridMultilevel"/>
    <w:tmpl w:val="BD62EBD4"/>
    <w:lvl w:ilvl="0" w:tplc="08090001">
      <w:start w:val="1"/>
      <w:numFmt w:val="bullet"/>
      <w:lvlText w:val=""/>
      <w:lvlJc w:val="left"/>
      <w:pPr>
        <w:ind w:left="1569" w:hanging="360"/>
      </w:pPr>
      <w:rPr>
        <w:rFonts w:ascii="Symbol" w:hAnsi="Symbol"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14" w15:restartNumberingAfterBreak="0">
    <w:nsid w:val="5C626E9A"/>
    <w:multiLevelType w:val="multilevel"/>
    <w:tmpl w:val="3CD62A3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10F516F"/>
    <w:multiLevelType w:val="hybridMultilevel"/>
    <w:tmpl w:val="0D12BBD4"/>
    <w:lvl w:ilvl="0" w:tplc="2E4EBBE0">
      <w:start w:val="1"/>
      <w:numFmt w:val="decimal"/>
      <w:lvlText w:val="[%1]"/>
      <w:lvlJc w:val="left"/>
      <w:pPr>
        <w:ind w:left="720" w:hanging="36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FBD034A"/>
    <w:multiLevelType w:val="hybridMultilevel"/>
    <w:tmpl w:val="3CB8B38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915824702">
    <w:abstractNumId w:val="4"/>
  </w:num>
  <w:num w:numId="2" w16cid:durableId="1575892911">
    <w:abstractNumId w:val="15"/>
  </w:num>
  <w:num w:numId="3" w16cid:durableId="583563892">
    <w:abstractNumId w:val="2"/>
  </w:num>
  <w:num w:numId="4" w16cid:durableId="126165496">
    <w:abstractNumId w:val="5"/>
  </w:num>
  <w:num w:numId="5" w16cid:durableId="1354334012">
    <w:abstractNumId w:val="14"/>
  </w:num>
  <w:num w:numId="6" w16cid:durableId="1158809877">
    <w:abstractNumId w:val="10"/>
  </w:num>
  <w:num w:numId="7" w16cid:durableId="1820877419">
    <w:abstractNumId w:val="8"/>
  </w:num>
  <w:num w:numId="8" w16cid:durableId="921571209">
    <w:abstractNumId w:val="3"/>
  </w:num>
  <w:num w:numId="9" w16cid:durableId="1886139367">
    <w:abstractNumId w:val="9"/>
  </w:num>
  <w:num w:numId="10" w16cid:durableId="579220852">
    <w:abstractNumId w:val="6"/>
  </w:num>
  <w:num w:numId="11" w16cid:durableId="657732309">
    <w:abstractNumId w:val="11"/>
  </w:num>
  <w:num w:numId="12" w16cid:durableId="254242070">
    <w:abstractNumId w:val="0"/>
  </w:num>
  <w:num w:numId="13" w16cid:durableId="2024239732">
    <w:abstractNumId w:val="16"/>
  </w:num>
  <w:num w:numId="14" w16cid:durableId="743183618">
    <w:abstractNumId w:val="7"/>
  </w:num>
  <w:num w:numId="15" w16cid:durableId="1188056944">
    <w:abstractNumId w:val="1"/>
  </w:num>
  <w:num w:numId="16" w16cid:durableId="986207087">
    <w:abstractNumId w:val="12"/>
  </w:num>
  <w:num w:numId="17" w16cid:durableId="3563473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BD0"/>
    <w:rsid w:val="000157FC"/>
    <w:rsid w:val="00024AA9"/>
    <w:rsid w:val="00024C1F"/>
    <w:rsid w:val="000342A6"/>
    <w:rsid w:val="00070F03"/>
    <w:rsid w:val="00072691"/>
    <w:rsid w:val="00075BCF"/>
    <w:rsid w:val="00087986"/>
    <w:rsid w:val="00095BC8"/>
    <w:rsid w:val="00095E6E"/>
    <w:rsid w:val="000A4E44"/>
    <w:rsid w:val="000B47CA"/>
    <w:rsid w:val="000C079F"/>
    <w:rsid w:val="000C5F4E"/>
    <w:rsid w:val="000E5FD9"/>
    <w:rsid w:val="000F1D11"/>
    <w:rsid w:val="00114AFD"/>
    <w:rsid w:val="00116142"/>
    <w:rsid w:val="00116D45"/>
    <w:rsid w:val="00124E7E"/>
    <w:rsid w:val="001318BD"/>
    <w:rsid w:val="00142FDC"/>
    <w:rsid w:val="00146431"/>
    <w:rsid w:val="00146779"/>
    <w:rsid w:val="00163B3C"/>
    <w:rsid w:val="001645C7"/>
    <w:rsid w:val="00166045"/>
    <w:rsid w:val="001717C0"/>
    <w:rsid w:val="00187F19"/>
    <w:rsid w:val="001947E2"/>
    <w:rsid w:val="00195A7A"/>
    <w:rsid w:val="00196293"/>
    <w:rsid w:val="00196E38"/>
    <w:rsid w:val="001A4DF7"/>
    <w:rsid w:val="001A54D7"/>
    <w:rsid w:val="001B47E0"/>
    <w:rsid w:val="001C2606"/>
    <w:rsid w:val="001C4009"/>
    <w:rsid w:val="001E0006"/>
    <w:rsid w:val="001E406E"/>
    <w:rsid w:val="001E472A"/>
    <w:rsid w:val="001F1717"/>
    <w:rsid w:val="001F67CF"/>
    <w:rsid w:val="00201070"/>
    <w:rsid w:val="00201EC4"/>
    <w:rsid w:val="00202D09"/>
    <w:rsid w:val="00204898"/>
    <w:rsid w:val="00210211"/>
    <w:rsid w:val="00210538"/>
    <w:rsid w:val="00216D0E"/>
    <w:rsid w:val="002255C9"/>
    <w:rsid w:val="002278D8"/>
    <w:rsid w:val="0022794C"/>
    <w:rsid w:val="00232C04"/>
    <w:rsid w:val="00233118"/>
    <w:rsid w:val="002553D7"/>
    <w:rsid w:val="002639E9"/>
    <w:rsid w:val="00263B50"/>
    <w:rsid w:val="00267C67"/>
    <w:rsid w:val="00272CDC"/>
    <w:rsid w:val="00273079"/>
    <w:rsid w:val="002749F0"/>
    <w:rsid w:val="002775D0"/>
    <w:rsid w:val="00284B94"/>
    <w:rsid w:val="00290893"/>
    <w:rsid w:val="002976F9"/>
    <w:rsid w:val="002A2E11"/>
    <w:rsid w:val="002B616E"/>
    <w:rsid w:val="002D2484"/>
    <w:rsid w:val="002E52D7"/>
    <w:rsid w:val="002E64BE"/>
    <w:rsid w:val="002F3098"/>
    <w:rsid w:val="002F32D7"/>
    <w:rsid w:val="002F6B88"/>
    <w:rsid w:val="003000D7"/>
    <w:rsid w:val="00310D90"/>
    <w:rsid w:val="00325834"/>
    <w:rsid w:val="0032737A"/>
    <w:rsid w:val="0033149D"/>
    <w:rsid w:val="003336CA"/>
    <w:rsid w:val="00340529"/>
    <w:rsid w:val="003463A5"/>
    <w:rsid w:val="003518ED"/>
    <w:rsid w:val="00352083"/>
    <w:rsid w:val="00365007"/>
    <w:rsid w:val="00371E51"/>
    <w:rsid w:val="00373B67"/>
    <w:rsid w:val="003767FC"/>
    <w:rsid w:val="00377741"/>
    <w:rsid w:val="0039261A"/>
    <w:rsid w:val="0039349E"/>
    <w:rsid w:val="003A62FA"/>
    <w:rsid w:val="003B0227"/>
    <w:rsid w:val="003B2856"/>
    <w:rsid w:val="003B6B18"/>
    <w:rsid w:val="003C0960"/>
    <w:rsid w:val="003C0A46"/>
    <w:rsid w:val="003C6300"/>
    <w:rsid w:val="003D5A7F"/>
    <w:rsid w:val="003D65F7"/>
    <w:rsid w:val="003E5F4F"/>
    <w:rsid w:val="003E608E"/>
    <w:rsid w:val="003F375F"/>
    <w:rsid w:val="003F4800"/>
    <w:rsid w:val="003F51C0"/>
    <w:rsid w:val="00400BCF"/>
    <w:rsid w:val="0040305D"/>
    <w:rsid w:val="00403DEC"/>
    <w:rsid w:val="00407371"/>
    <w:rsid w:val="00410DE1"/>
    <w:rsid w:val="00413353"/>
    <w:rsid w:val="00417092"/>
    <w:rsid w:val="004251E3"/>
    <w:rsid w:val="00443D1C"/>
    <w:rsid w:val="00444170"/>
    <w:rsid w:val="00467AC0"/>
    <w:rsid w:val="00476FA3"/>
    <w:rsid w:val="00477E66"/>
    <w:rsid w:val="0048123A"/>
    <w:rsid w:val="00482769"/>
    <w:rsid w:val="00482BC6"/>
    <w:rsid w:val="00486F4F"/>
    <w:rsid w:val="00491F60"/>
    <w:rsid w:val="00492979"/>
    <w:rsid w:val="00496FD8"/>
    <w:rsid w:val="004A3816"/>
    <w:rsid w:val="004A46E4"/>
    <w:rsid w:val="004B13CE"/>
    <w:rsid w:val="004B223F"/>
    <w:rsid w:val="004B34F2"/>
    <w:rsid w:val="004D59A8"/>
    <w:rsid w:val="004E100E"/>
    <w:rsid w:val="004E5746"/>
    <w:rsid w:val="004E5F4E"/>
    <w:rsid w:val="004F0FEF"/>
    <w:rsid w:val="004F1518"/>
    <w:rsid w:val="0050756C"/>
    <w:rsid w:val="005146F4"/>
    <w:rsid w:val="005235B6"/>
    <w:rsid w:val="00543494"/>
    <w:rsid w:val="00543E34"/>
    <w:rsid w:val="00554914"/>
    <w:rsid w:val="00560055"/>
    <w:rsid w:val="00560211"/>
    <w:rsid w:val="005622A5"/>
    <w:rsid w:val="005641B8"/>
    <w:rsid w:val="0057063A"/>
    <w:rsid w:val="00570CF0"/>
    <w:rsid w:val="00584B15"/>
    <w:rsid w:val="0059199D"/>
    <w:rsid w:val="00594447"/>
    <w:rsid w:val="005B42AE"/>
    <w:rsid w:val="005B44D6"/>
    <w:rsid w:val="005B7277"/>
    <w:rsid w:val="005C21B9"/>
    <w:rsid w:val="005C7262"/>
    <w:rsid w:val="005D30A6"/>
    <w:rsid w:val="005E0499"/>
    <w:rsid w:val="005E1780"/>
    <w:rsid w:val="005E386F"/>
    <w:rsid w:val="00604B52"/>
    <w:rsid w:val="006145F2"/>
    <w:rsid w:val="00615963"/>
    <w:rsid w:val="00616658"/>
    <w:rsid w:val="00620EAD"/>
    <w:rsid w:val="006217E7"/>
    <w:rsid w:val="00622523"/>
    <w:rsid w:val="00634D1E"/>
    <w:rsid w:val="00644564"/>
    <w:rsid w:val="00654D94"/>
    <w:rsid w:val="00656E28"/>
    <w:rsid w:val="00667425"/>
    <w:rsid w:val="00672F1A"/>
    <w:rsid w:val="00673028"/>
    <w:rsid w:val="00674793"/>
    <w:rsid w:val="006773E9"/>
    <w:rsid w:val="00692B06"/>
    <w:rsid w:val="00694FFB"/>
    <w:rsid w:val="006B2B0B"/>
    <w:rsid w:val="006B43D1"/>
    <w:rsid w:val="006B4EB9"/>
    <w:rsid w:val="006C26F8"/>
    <w:rsid w:val="006D1FB4"/>
    <w:rsid w:val="006D22C9"/>
    <w:rsid w:val="006E196C"/>
    <w:rsid w:val="006E2247"/>
    <w:rsid w:val="006F35DA"/>
    <w:rsid w:val="006F3E91"/>
    <w:rsid w:val="006F4737"/>
    <w:rsid w:val="00700AE0"/>
    <w:rsid w:val="00720AF7"/>
    <w:rsid w:val="00725BF1"/>
    <w:rsid w:val="00727B17"/>
    <w:rsid w:val="00750076"/>
    <w:rsid w:val="0075047B"/>
    <w:rsid w:val="00753B29"/>
    <w:rsid w:val="007550DA"/>
    <w:rsid w:val="007657AF"/>
    <w:rsid w:val="007657B7"/>
    <w:rsid w:val="00777F24"/>
    <w:rsid w:val="00781F88"/>
    <w:rsid w:val="00782560"/>
    <w:rsid w:val="0078565A"/>
    <w:rsid w:val="00790EE0"/>
    <w:rsid w:val="00794BCF"/>
    <w:rsid w:val="0079619E"/>
    <w:rsid w:val="007A4533"/>
    <w:rsid w:val="007C724B"/>
    <w:rsid w:val="007D256E"/>
    <w:rsid w:val="007E5701"/>
    <w:rsid w:val="007F690B"/>
    <w:rsid w:val="00811AFC"/>
    <w:rsid w:val="00813397"/>
    <w:rsid w:val="00834200"/>
    <w:rsid w:val="0083545A"/>
    <w:rsid w:val="00840DD3"/>
    <w:rsid w:val="00851C86"/>
    <w:rsid w:val="00865C85"/>
    <w:rsid w:val="00867855"/>
    <w:rsid w:val="008735B6"/>
    <w:rsid w:val="00874286"/>
    <w:rsid w:val="008745BE"/>
    <w:rsid w:val="00883755"/>
    <w:rsid w:val="008978ED"/>
    <w:rsid w:val="008A143D"/>
    <w:rsid w:val="008A4B43"/>
    <w:rsid w:val="008B0118"/>
    <w:rsid w:val="008C0C50"/>
    <w:rsid w:val="008C2739"/>
    <w:rsid w:val="008C38CB"/>
    <w:rsid w:val="008C758F"/>
    <w:rsid w:val="008E345C"/>
    <w:rsid w:val="008F44D6"/>
    <w:rsid w:val="008F68E1"/>
    <w:rsid w:val="00903AF6"/>
    <w:rsid w:val="00917376"/>
    <w:rsid w:val="00925877"/>
    <w:rsid w:val="00932009"/>
    <w:rsid w:val="00933806"/>
    <w:rsid w:val="00933911"/>
    <w:rsid w:val="009468A7"/>
    <w:rsid w:val="0096749A"/>
    <w:rsid w:val="00971A60"/>
    <w:rsid w:val="009A0E4F"/>
    <w:rsid w:val="009A47A3"/>
    <w:rsid w:val="009A6883"/>
    <w:rsid w:val="009B6350"/>
    <w:rsid w:val="009B6CDE"/>
    <w:rsid w:val="009D62DC"/>
    <w:rsid w:val="009D6702"/>
    <w:rsid w:val="009D7D9B"/>
    <w:rsid w:val="009E176B"/>
    <w:rsid w:val="009E6D2D"/>
    <w:rsid w:val="00A00D0C"/>
    <w:rsid w:val="00A01F90"/>
    <w:rsid w:val="00A04465"/>
    <w:rsid w:val="00A11837"/>
    <w:rsid w:val="00A125E0"/>
    <w:rsid w:val="00A13CAA"/>
    <w:rsid w:val="00A13FB0"/>
    <w:rsid w:val="00A22D9F"/>
    <w:rsid w:val="00A33587"/>
    <w:rsid w:val="00A36E6F"/>
    <w:rsid w:val="00A40E5B"/>
    <w:rsid w:val="00A453A6"/>
    <w:rsid w:val="00A51DDB"/>
    <w:rsid w:val="00A71E84"/>
    <w:rsid w:val="00A74CC0"/>
    <w:rsid w:val="00A77618"/>
    <w:rsid w:val="00A81B65"/>
    <w:rsid w:val="00A8401C"/>
    <w:rsid w:val="00AA6C6F"/>
    <w:rsid w:val="00AB2A64"/>
    <w:rsid w:val="00AB4CEE"/>
    <w:rsid w:val="00AB7493"/>
    <w:rsid w:val="00AC3A2B"/>
    <w:rsid w:val="00AC63B5"/>
    <w:rsid w:val="00AD0475"/>
    <w:rsid w:val="00AE03D4"/>
    <w:rsid w:val="00AE25D0"/>
    <w:rsid w:val="00AF4773"/>
    <w:rsid w:val="00B014BE"/>
    <w:rsid w:val="00B072B9"/>
    <w:rsid w:val="00B106DA"/>
    <w:rsid w:val="00B10BE9"/>
    <w:rsid w:val="00B16D07"/>
    <w:rsid w:val="00B42EBB"/>
    <w:rsid w:val="00B50080"/>
    <w:rsid w:val="00B5325C"/>
    <w:rsid w:val="00B5543C"/>
    <w:rsid w:val="00B62F15"/>
    <w:rsid w:val="00B71DA4"/>
    <w:rsid w:val="00B72B81"/>
    <w:rsid w:val="00B84E93"/>
    <w:rsid w:val="00B85BAD"/>
    <w:rsid w:val="00B917E0"/>
    <w:rsid w:val="00B93A41"/>
    <w:rsid w:val="00BA4D81"/>
    <w:rsid w:val="00BA70D0"/>
    <w:rsid w:val="00BB504D"/>
    <w:rsid w:val="00BB58E7"/>
    <w:rsid w:val="00BB73B2"/>
    <w:rsid w:val="00BC350E"/>
    <w:rsid w:val="00BC6083"/>
    <w:rsid w:val="00BD1FFE"/>
    <w:rsid w:val="00BD5B0E"/>
    <w:rsid w:val="00BD661B"/>
    <w:rsid w:val="00C16D91"/>
    <w:rsid w:val="00C2004E"/>
    <w:rsid w:val="00C202DA"/>
    <w:rsid w:val="00C2185C"/>
    <w:rsid w:val="00C25A11"/>
    <w:rsid w:val="00C2796C"/>
    <w:rsid w:val="00C35199"/>
    <w:rsid w:val="00C37B0E"/>
    <w:rsid w:val="00C64E21"/>
    <w:rsid w:val="00C70104"/>
    <w:rsid w:val="00C7708B"/>
    <w:rsid w:val="00C77095"/>
    <w:rsid w:val="00C77C8D"/>
    <w:rsid w:val="00C816D4"/>
    <w:rsid w:val="00C91BD0"/>
    <w:rsid w:val="00C927D4"/>
    <w:rsid w:val="00C96D5F"/>
    <w:rsid w:val="00C97E79"/>
    <w:rsid w:val="00CA0BCB"/>
    <w:rsid w:val="00CB442B"/>
    <w:rsid w:val="00CC5704"/>
    <w:rsid w:val="00CD3FA3"/>
    <w:rsid w:val="00CE0E35"/>
    <w:rsid w:val="00CF2122"/>
    <w:rsid w:val="00CF2B31"/>
    <w:rsid w:val="00D027F7"/>
    <w:rsid w:val="00D07609"/>
    <w:rsid w:val="00D07A29"/>
    <w:rsid w:val="00D26D9A"/>
    <w:rsid w:val="00D27D8C"/>
    <w:rsid w:val="00D30C96"/>
    <w:rsid w:val="00D347AD"/>
    <w:rsid w:val="00D34F07"/>
    <w:rsid w:val="00D400C1"/>
    <w:rsid w:val="00D42C0F"/>
    <w:rsid w:val="00D43AA8"/>
    <w:rsid w:val="00D52AE1"/>
    <w:rsid w:val="00D55924"/>
    <w:rsid w:val="00D562E6"/>
    <w:rsid w:val="00D57C4B"/>
    <w:rsid w:val="00D7454A"/>
    <w:rsid w:val="00D76AB8"/>
    <w:rsid w:val="00D81097"/>
    <w:rsid w:val="00D838C3"/>
    <w:rsid w:val="00D84932"/>
    <w:rsid w:val="00D958F7"/>
    <w:rsid w:val="00DA4D3D"/>
    <w:rsid w:val="00DA6546"/>
    <w:rsid w:val="00DB3FDA"/>
    <w:rsid w:val="00DC359C"/>
    <w:rsid w:val="00DC677E"/>
    <w:rsid w:val="00DD07FE"/>
    <w:rsid w:val="00DD384A"/>
    <w:rsid w:val="00DF2EE1"/>
    <w:rsid w:val="00DF72A7"/>
    <w:rsid w:val="00DF7854"/>
    <w:rsid w:val="00E04FB5"/>
    <w:rsid w:val="00E0506E"/>
    <w:rsid w:val="00E11C9E"/>
    <w:rsid w:val="00E172F3"/>
    <w:rsid w:val="00E2456A"/>
    <w:rsid w:val="00E353A9"/>
    <w:rsid w:val="00E51057"/>
    <w:rsid w:val="00E57A5F"/>
    <w:rsid w:val="00E61600"/>
    <w:rsid w:val="00E63FA0"/>
    <w:rsid w:val="00E67084"/>
    <w:rsid w:val="00E734FB"/>
    <w:rsid w:val="00E73C43"/>
    <w:rsid w:val="00E80A65"/>
    <w:rsid w:val="00E83B6B"/>
    <w:rsid w:val="00E83BB1"/>
    <w:rsid w:val="00E910F3"/>
    <w:rsid w:val="00E936B3"/>
    <w:rsid w:val="00EA0E6B"/>
    <w:rsid w:val="00EA5FD7"/>
    <w:rsid w:val="00EA6475"/>
    <w:rsid w:val="00EB3F96"/>
    <w:rsid w:val="00EB4FAA"/>
    <w:rsid w:val="00EB6EBD"/>
    <w:rsid w:val="00EC4A0A"/>
    <w:rsid w:val="00ED2C3F"/>
    <w:rsid w:val="00ED4127"/>
    <w:rsid w:val="00EE0425"/>
    <w:rsid w:val="00EE683A"/>
    <w:rsid w:val="00F00E6B"/>
    <w:rsid w:val="00F04B8D"/>
    <w:rsid w:val="00F16458"/>
    <w:rsid w:val="00F25955"/>
    <w:rsid w:val="00F30198"/>
    <w:rsid w:val="00F31199"/>
    <w:rsid w:val="00F33D87"/>
    <w:rsid w:val="00F406AC"/>
    <w:rsid w:val="00F50D4B"/>
    <w:rsid w:val="00F570C9"/>
    <w:rsid w:val="00F61E9B"/>
    <w:rsid w:val="00F67376"/>
    <w:rsid w:val="00F701E0"/>
    <w:rsid w:val="00F714F5"/>
    <w:rsid w:val="00F851D1"/>
    <w:rsid w:val="00F93711"/>
    <w:rsid w:val="00F95A19"/>
    <w:rsid w:val="00FA15F5"/>
    <w:rsid w:val="00FC6BEA"/>
    <w:rsid w:val="00FD4702"/>
    <w:rsid w:val="00FE27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8DA98"/>
  <w15:docId w15:val="{DDB09BA9-1C87-4F32-88BE-8E187485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BD0"/>
    <w:pPr>
      <w:spacing w:after="0" w:line="360" w:lineRule="auto"/>
    </w:pPr>
    <w:rPr>
      <w:rFonts w:ascii="Arial" w:hAnsi="Arial" w:cs="Arial"/>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BD0"/>
    <w:pPr>
      <w:ind w:left="720"/>
      <w:contextualSpacing/>
    </w:pPr>
  </w:style>
  <w:style w:type="paragraph" w:styleId="FootnoteText">
    <w:name w:val="footnote text"/>
    <w:basedOn w:val="Normal"/>
    <w:link w:val="FootnoteTextChar"/>
    <w:uiPriority w:val="99"/>
    <w:semiHidden/>
    <w:unhideWhenUsed/>
    <w:rsid w:val="00C91BD0"/>
    <w:rPr>
      <w:sz w:val="20"/>
      <w:szCs w:val="20"/>
    </w:rPr>
  </w:style>
  <w:style w:type="character" w:customStyle="1" w:styleId="FootnoteTextChar">
    <w:name w:val="Footnote Text Char"/>
    <w:basedOn w:val="DefaultParagraphFont"/>
    <w:link w:val="FootnoteText"/>
    <w:uiPriority w:val="99"/>
    <w:semiHidden/>
    <w:rsid w:val="00C91BD0"/>
    <w:rPr>
      <w:rFonts w:ascii="Arial" w:hAnsi="Arial" w:cs="Arial"/>
      <w:color w:val="000000" w:themeColor="text1"/>
      <w:sz w:val="20"/>
      <w:szCs w:val="20"/>
    </w:rPr>
  </w:style>
  <w:style w:type="character" w:styleId="FootnoteReference">
    <w:name w:val="footnote reference"/>
    <w:basedOn w:val="DefaultParagraphFont"/>
    <w:uiPriority w:val="99"/>
    <w:semiHidden/>
    <w:unhideWhenUsed/>
    <w:rsid w:val="00C91BD0"/>
    <w:rPr>
      <w:vertAlign w:val="superscript"/>
    </w:rPr>
  </w:style>
  <w:style w:type="paragraph" w:styleId="Header">
    <w:name w:val="header"/>
    <w:basedOn w:val="Normal"/>
    <w:link w:val="HeaderChar"/>
    <w:uiPriority w:val="99"/>
    <w:unhideWhenUsed/>
    <w:rsid w:val="004F0FEF"/>
    <w:pPr>
      <w:tabs>
        <w:tab w:val="center" w:pos="4513"/>
        <w:tab w:val="right" w:pos="9026"/>
      </w:tabs>
      <w:spacing w:line="240" w:lineRule="auto"/>
    </w:pPr>
  </w:style>
  <w:style w:type="character" w:customStyle="1" w:styleId="HeaderChar">
    <w:name w:val="Header Char"/>
    <w:basedOn w:val="DefaultParagraphFont"/>
    <w:link w:val="Header"/>
    <w:uiPriority w:val="99"/>
    <w:rsid w:val="004F0FEF"/>
    <w:rPr>
      <w:rFonts w:ascii="Arial" w:hAnsi="Arial" w:cs="Arial"/>
      <w:color w:val="000000" w:themeColor="text1"/>
      <w:sz w:val="24"/>
      <w:szCs w:val="24"/>
    </w:rPr>
  </w:style>
  <w:style w:type="paragraph" w:styleId="Footer">
    <w:name w:val="footer"/>
    <w:basedOn w:val="Normal"/>
    <w:link w:val="FooterChar"/>
    <w:uiPriority w:val="99"/>
    <w:unhideWhenUsed/>
    <w:rsid w:val="004F0FEF"/>
    <w:pPr>
      <w:tabs>
        <w:tab w:val="center" w:pos="4513"/>
        <w:tab w:val="right" w:pos="9026"/>
      </w:tabs>
      <w:spacing w:line="240" w:lineRule="auto"/>
    </w:pPr>
  </w:style>
  <w:style w:type="character" w:customStyle="1" w:styleId="FooterChar">
    <w:name w:val="Footer Char"/>
    <w:basedOn w:val="DefaultParagraphFont"/>
    <w:link w:val="Footer"/>
    <w:uiPriority w:val="99"/>
    <w:rsid w:val="004F0FEF"/>
    <w:rPr>
      <w:rFonts w:ascii="Arial" w:hAnsi="Arial" w:cs="Arial"/>
      <w:color w:val="000000" w:themeColor="text1"/>
      <w:sz w:val="24"/>
      <w:szCs w:val="24"/>
    </w:rPr>
  </w:style>
  <w:style w:type="paragraph" w:styleId="BalloonText">
    <w:name w:val="Balloon Text"/>
    <w:basedOn w:val="Normal"/>
    <w:link w:val="BalloonTextChar"/>
    <w:uiPriority w:val="99"/>
    <w:semiHidden/>
    <w:unhideWhenUsed/>
    <w:rsid w:val="00C279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96C"/>
    <w:rPr>
      <w:rFonts w:ascii="Tahoma" w:hAnsi="Tahoma" w:cs="Tahoma"/>
      <w:color w:val="000000" w:themeColor="text1"/>
      <w:sz w:val="16"/>
      <w:szCs w:val="16"/>
    </w:rPr>
  </w:style>
  <w:style w:type="paragraph" w:styleId="Revision">
    <w:name w:val="Revision"/>
    <w:hidden/>
    <w:uiPriority w:val="99"/>
    <w:semiHidden/>
    <w:rsid w:val="006C26F8"/>
    <w:pPr>
      <w:spacing w:after="0" w:line="240" w:lineRule="auto"/>
    </w:pPr>
    <w:rPr>
      <w:rFonts w:ascii="Arial" w:hAnsi="Arial" w:cs="Arial"/>
      <w:color w:val="000000" w:themeColor="text1"/>
      <w:sz w:val="24"/>
      <w:szCs w:val="24"/>
    </w:rPr>
  </w:style>
  <w:style w:type="character" w:styleId="CommentReference">
    <w:name w:val="annotation reference"/>
    <w:basedOn w:val="DefaultParagraphFont"/>
    <w:uiPriority w:val="99"/>
    <w:semiHidden/>
    <w:unhideWhenUsed/>
    <w:rsid w:val="00284B94"/>
    <w:rPr>
      <w:sz w:val="16"/>
      <w:szCs w:val="16"/>
    </w:rPr>
  </w:style>
  <w:style w:type="paragraph" w:styleId="CommentText">
    <w:name w:val="annotation text"/>
    <w:basedOn w:val="Normal"/>
    <w:link w:val="CommentTextChar"/>
    <w:uiPriority w:val="99"/>
    <w:semiHidden/>
    <w:unhideWhenUsed/>
    <w:rsid w:val="00284B94"/>
    <w:pPr>
      <w:spacing w:line="240" w:lineRule="auto"/>
    </w:pPr>
    <w:rPr>
      <w:sz w:val="20"/>
      <w:szCs w:val="20"/>
    </w:rPr>
  </w:style>
  <w:style w:type="character" w:customStyle="1" w:styleId="CommentTextChar">
    <w:name w:val="Comment Text Char"/>
    <w:basedOn w:val="DefaultParagraphFont"/>
    <w:link w:val="CommentText"/>
    <w:uiPriority w:val="99"/>
    <w:semiHidden/>
    <w:rsid w:val="00284B94"/>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84B94"/>
    <w:rPr>
      <w:b/>
      <w:bCs/>
    </w:rPr>
  </w:style>
  <w:style w:type="character" w:customStyle="1" w:styleId="CommentSubjectChar">
    <w:name w:val="Comment Subject Char"/>
    <w:basedOn w:val="CommentTextChar"/>
    <w:link w:val="CommentSubject"/>
    <w:uiPriority w:val="99"/>
    <w:semiHidden/>
    <w:rsid w:val="00284B94"/>
    <w:rPr>
      <w:rFonts w:ascii="Arial" w:hAnsi="Arial" w:cs="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72126'%5d&amp;xhitlist_md=target-id=0-0-0-40163" TargetMode="External"/><Relationship Id="rId2"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584307'%5d&amp;xhitlist_md=target-id=0-0-0-346985" TargetMode="External"/><Relationship Id="rId1"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764403'%5d&amp;xhitlist_md=target-id=0-0-0-43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FF1A7EACE33B4EB30F22B47D7B9BA8" ma:contentTypeVersion="15" ma:contentTypeDescription="Create a new document." ma:contentTypeScope="" ma:versionID="610a30062021e402a681e420640fd29d">
  <xsd:schema xmlns:xsd="http://www.w3.org/2001/XMLSchema" xmlns:xs="http://www.w3.org/2001/XMLSchema" xmlns:p="http://schemas.microsoft.com/office/2006/metadata/properties" xmlns:ns3="51d8eaa0-293e-4b49-b7e8-af3655085324" xmlns:ns4="174cfbbd-a4b3-405f-949d-96311ae9159c" targetNamespace="http://schemas.microsoft.com/office/2006/metadata/properties" ma:root="true" ma:fieldsID="c52af6bc91b9798a04ff625b377966b7" ns3:_="" ns4:_="">
    <xsd:import namespace="51d8eaa0-293e-4b49-b7e8-af3655085324"/>
    <xsd:import namespace="174cfbbd-a4b3-405f-949d-96311ae915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8eaa0-293e-4b49-b7e8-af3655085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4cfbbd-a4b3-405f-949d-96311ae915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51d8eaa0-293e-4b49-b7e8-af3655085324" xsi:nil="true"/>
  </documentManagement>
</p:properties>
</file>

<file path=customXml/itemProps1.xml><?xml version="1.0" encoding="utf-8"?>
<ds:datastoreItem xmlns:ds="http://schemas.openxmlformats.org/officeDocument/2006/customXml" ds:itemID="{1B611EF4-8D04-4C0A-875D-77EB97250180}">
  <ds:schemaRefs>
    <ds:schemaRef ds:uri="http://schemas.microsoft.com/sharepoint/v3/contenttype/forms"/>
  </ds:schemaRefs>
</ds:datastoreItem>
</file>

<file path=customXml/itemProps2.xml><?xml version="1.0" encoding="utf-8"?>
<ds:datastoreItem xmlns:ds="http://schemas.openxmlformats.org/officeDocument/2006/customXml" ds:itemID="{22DAE4C2-49A1-41EB-BD83-739EA3DFF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8eaa0-293e-4b49-b7e8-af3655085324"/>
    <ds:schemaRef ds:uri="174cfbbd-a4b3-405f-949d-96311ae91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0B6E5-4C0A-4FF7-B379-D4E69F59E541}">
  <ds:schemaRefs>
    <ds:schemaRef ds:uri="http://schemas.openxmlformats.org/officeDocument/2006/bibliography"/>
  </ds:schemaRefs>
</ds:datastoreItem>
</file>

<file path=customXml/itemProps4.xml><?xml version="1.0" encoding="utf-8"?>
<ds:datastoreItem xmlns:ds="http://schemas.openxmlformats.org/officeDocument/2006/customXml" ds:itemID="{36FB16A6-4F5D-4D98-AF50-4207178710A0}">
  <ds:schemaRefs>
    <ds:schemaRef ds:uri="http://schemas.microsoft.com/office/2006/metadata/properties"/>
    <ds:schemaRef ds:uri="http://schemas.microsoft.com/office/infopath/2007/PartnerControls"/>
    <ds:schemaRef ds:uri="51d8eaa0-293e-4b49-b7e8-af365508532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3453</Words>
  <Characters>19684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NCengani@justice.gov.za</dc:creator>
  <cp:lastModifiedBy>Nomakorinte Ntliziywana</cp:lastModifiedBy>
  <cp:revision>2</cp:revision>
  <cp:lastPrinted>2023-07-17T10:44:00Z</cp:lastPrinted>
  <dcterms:created xsi:type="dcterms:W3CDTF">2023-07-25T10:31:00Z</dcterms:created>
  <dcterms:modified xsi:type="dcterms:W3CDTF">2023-07-25T10:31:00Z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0x01010093FF1A7EACE33B4EB30F22B47D7B9BA8</vt:lpwstr>
  </property>
  <property fmtid="{D5CDD505-2E9C-101B-9397-08002B2CF9AE}" pid="3" name="GrammarlyDocumentId">
    <vt:lpwstr>c1ee0a2470ac3ed254d3610433a8a5e73644114f647a3b6a68219dc1ef825512</vt:lpwstr>
  </property>
</Properties>
</file>