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AADAF" w14:textId="77777777"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US" w:eastAsia="en-US"/>
        </w:rPr>
        <w:drawing>
          <wp:anchor distT="0" distB="0" distL="114300" distR="114300" simplePos="0" relativeHeight="251659264" behindDoc="1" locked="0" layoutInCell="1" allowOverlap="1" wp14:anchorId="45D81678" wp14:editId="0DE2C8A5">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6176B" w14:textId="77777777" w:rsidR="00EF11A8" w:rsidRDefault="00EF11A8" w:rsidP="00EF11A8">
      <w:pPr>
        <w:ind w:left="2160" w:firstLine="720"/>
        <w:rPr>
          <w:rFonts w:ascii="Arial" w:hAnsi="Arial" w:cs="Arial"/>
          <w:b/>
          <w:u w:val="single"/>
        </w:rPr>
      </w:pPr>
    </w:p>
    <w:p w14:paraId="67DD6605" w14:textId="77777777" w:rsidR="00EF11A8" w:rsidRDefault="00EF11A8" w:rsidP="00EF11A8">
      <w:pPr>
        <w:ind w:left="2160" w:firstLine="720"/>
        <w:rPr>
          <w:rFonts w:ascii="Arial" w:hAnsi="Arial" w:cs="Arial"/>
          <w:b/>
          <w:u w:val="single"/>
        </w:rPr>
      </w:pPr>
    </w:p>
    <w:p w14:paraId="339FBB4A" w14:textId="77777777" w:rsidR="00EF11A8" w:rsidRDefault="00EF11A8" w:rsidP="00EF11A8">
      <w:pPr>
        <w:ind w:left="2160" w:firstLine="720"/>
        <w:rPr>
          <w:rFonts w:ascii="Arial" w:hAnsi="Arial" w:cs="Arial"/>
          <w:b/>
          <w:u w:val="single"/>
        </w:rPr>
      </w:pPr>
    </w:p>
    <w:p w14:paraId="11E0C7D3" w14:textId="77777777" w:rsidR="00EF11A8" w:rsidRDefault="00EF11A8" w:rsidP="00EF11A8">
      <w:pPr>
        <w:ind w:left="2160" w:firstLine="720"/>
        <w:rPr>
          <w:rFonts w:ascii="Arial" w:hAnsi="Arial" w:cs="Arial"/>
          <w:b/>
          <w:u w:val="single"/>
        </w:rPr>
      </w:pPr>
    </w:p>
    <w:p w14:paraId="775E9721" w14:textId="77777777" w:rsidR="00DC6873" w:rsidRDefault="00DC6873" w:rsidP="00EF11A8">
      <w:pPr>
        <w:ind w:left="2160" w:firstLine="720"/>
        <w:rPr>
          <w:rFonts w:ascii="Arial" w:hAnsi="Arial" w:cs="Arial"/>
          <w:b/>
          <w:u w:val="single"/>
        </w:rPr>
      </w:pPr>
    </w:p>
    <w:p w14:paraId="02D8D703" w14:textId="77777777" w:rsidR="0081218C" w:rsidRDefault="0081218C" w:rsidP="00EF11A8">
      <w:pPr>
        <w:ind w:left="1440" w:firstLine="720"/>
        <w:rPr>
          <w:rFonts w:ascii="Arial" w:hAnsi="Arial" w:cs="Arial"/>
          <w:b/>
          <w:u w:val="single"/>
        </w:rPr>
      </w:pPr>
    </w:p>
    <w:p w14:paraId="53BD31AE" w14:textId="77777777" w:rsidR="00EF11A8" w:rsidRDefault="00EF11A8" w:rsidP="00EF11A8">
      <w:pPr>
        <w:ind w:left="1440" w:firstLine="720"/>
        <w:rPr>
          <w:rFonts w:ascii="Arial" w:hAnsi="Arial" w:cs="Arial"/>
          <w:b/>
          <w:u w:val="single"/>
        </w:rPr>
      </w:pPr>
      <w:r>
        <w:rPr>
          <w:rFonts w:ascii="Arial" w:hAnsi="Arial" w:cs="Arial"/>
          <w:b/>
          <w:u w:val="single"/>
        </w:rPr>
        <w:t>IN THE HIGH COURT OF SOUTH AFRICA,</w:t>
      </w:r>
    </w:p>
    <w:p w14:paraId="1C27C4C5" w14:textId="77777777" w:rsidR="00EF11A8" w:rsidRDefault="00EF11A8" w:rsidP="00EF11A8">
      <w:pPr>
        <w:ind w:left="1440" w:firstLine="720"/>
        <w:rPr>
          <w:rFonts w:ascii="Arial" w:hAnsi="Arial" w:cs="Arial"/>
          <w:b/>
          <w:u w:val="single"/>
        </w:rPr>
      </w:pPr>
      <w:r>
        <w:rPr>
          <w:rFonts w:ascii="Arial" w:hAnsi="Arial" w:cs="Arial"/>
          <w:b/>
          <w:u w:val="single"/>
        </w:rPr>
        <w:t>FREE STATE DIVISION, BLOEMFONTEIN</w:t>
      </w:r>
    </w:p>
    <w:p w14:paraId="3CB47AE8" w14:textId="77777777" w:rsidR="003F2617" w:rsidRDefault="003F2617" w:rsidP="00EF11A8">
      <w:pPr>
        <w:ind w:left="1440" w:firstLine="720"/>
        <w:rPr>
          <w:rFonts w:ascii="Arial" w:hAnsi="Arial" w:cs="Arial"/>
          <w:b/>
          <w:u w:val="single"/>
        </w:rPr>
      </w:pPr>
    </w:p>
    <w:p w14:paraId="72DBD8BD"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27690989"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6CF48" w14:textId="77777777"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14:paraId="411AEA7A" w14:textId="77777777"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14:paraId="40A224C2" w14:textId="77777777"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14:paraId="039F8532"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9C57A07" w14:textId="77777777"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F005B5">
        <w:rPr>
          <w:rFonts w:ascii="Arial" w:hAnsi="Arial" w:cs="Arial"/>
          <w:b/>
        </w:rPr>
        <w:t>A12</w:t>
      </w:r>
      <w:r w:rsidR="007F4300">
        <w:rPr>
          <w:rFonts w:ascii="Arial" w:hAnsi="Arial" w:cs="Arial"/>
          <w:b/>
        </w:rPr>
        <w:t>/</w:t>
      </w:r>
      <w:r w:rsidR="00781F07" w:rsidRPr="005D6CBF">
        <w:rPr>
          <w:rFonts w:ascii="Arial" w:hAnsi="Arial" w:cs="Arial"/>
          <w:b/>
        </w:rPr>
        <w:t>20</w:t>
      </w:r>
      <w:r w:rsidR="00F005B5">
        <w:rPr>
          <w:rFonts w:ascii="Arial" w:hAnsi="Arial" w:cs="Arial"/>
          <w:b/>
        </w:rPr>
        <w:t>20</w:t>
      </w:r>
    </w:p>
    <w:p w14:paraId="47E70E1F" w14:textId="77777777"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14:paraId="0615A238" w14:textId="77777777" w:rsidR="00781F07" w:rsidRPr="005D6CBF" w:rsidRDefault="00EF11A8" w:rsidP="00EF11A8">
      <w:pPr>
        <w:jc w:val="both"/>
        <w:rPr>
          <w:rFonts w:ascii="Arial" w:hAnsi="Arial" w:cs="Arial"/>
        </w:rPr>
      </w:pPr>
      <w:r w:rsidRPr="005D6CBF">
        <w:rPr>
          <w:rFonts w:ascii="Arial" w:hAnsi="Arial" w:cs="Arial"/>
        </w:rPr>
        <w:t>In the matter between:</w:t>
      </w:r>
    </w:p>
    <w:p w14:paraId="06FCE17D" w14:textId="77777777" w:rsidR="00EF11A8" w:rsidRPr="005D6CBF" w:rsidRDefault="00EF11A8" w:rsidP="00EF11A8">
      <w:pPr>
        <w:jc w:val="both"/>
        <w:rPr>
          <w:rFonts w:ascii="Arial" w:hAnsi="Arial" w:cs="Arial"/>
        </w:rPr>
      </w:pPr>
      <w:r w:rsidRPr="005D6CBF">
        <w:rPr>
          <w:rFonts w:ascii="Arial" w:hAnsi="Arial" w:cs="Arial"/>
        </w:rPr>
        <w:t xml:space="preserve"> </w:t>
      </w:r>
    </w:p>
    <w:p w14:paraId="2E633328" w14:textId="6301FAE3" w:rsidR="0081372D" w:rsidRDefault="00F005B5"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CENTRAL UNIVERSITY OF TECHNOLOGY</w:t>
      </w:r>
      <w:r w:rsidR="00186CF9">
        <w:rPr>
          <w:rFonts w:ascii="Arial" w:hAnsi="Arial" w:cs="Arial"/>
          <w:b/>
        </w:rPr>
        <w:t>,</w:t>
      </w:r>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sidR="0081372D">
        <w:rPr>
          <w:rFonts w:ascii="Arial" w:hAnsi="Arial" w:cs="Arial"/>
          <w:b/>
        </w:rPr>
        <w:t xml:space="preserve">         </w:t>
      </w:r>
      <w:r w:rsidR="0046504C">
        <w:rPr>
          <w:rFonts w:ascii="Arial" w:hAnsi="Arial" w:cs="Arial"/>
          <w:b/>
        </w:rPr>
        <w:t xml:space="preserve"> </w:t>
      </w:r>
      <w:r w:rsidR="0081372D">
        <w:rPr>
          <w:rFonts w:ascii="Arial" w:hAnsi="Arial" w:cs="Arial"/>
          <w:b/>
        </w:rPr>
        <w:t xml:space="preserve"> </w:t>
      </w:r>
      <w:r w:rsidR="0046504C" w:rsidRPr="0046504C">
        <w:rPr>
          <w:rFonts w:ascii="Arial" w:hAnsi="Arial" w:cs="Arial"/>
        </w:rPr>
        <w:t>Applicant</w:t>
      </w:r>
    </w:p>
    <w:p w14:paraId="2D5CB685" w14:textId="4B2208B4" w:rsidR="00186CF9" w:rsidRPr="00186CF9" w:rsidRDefault="00186CF9"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bCs/>
        </w:rPr>
      </w:pPr>
      <w:r>
        <w:rPr>
          <w:rFonts w:ascii="Arial" w:hAnsi="Arial" w:cs="Arial"/>
          <w:b/>
          <w:bCs/>
        </w:rPr>
        <w:t>FREE STATE</w:t>
      </w:r>
    </w:p>
    <w:p w14:paraId="2EAE4898" w14:textId="77777777" w:rsidR="004E243D" w:rsidRPr="005D6CBF" w:rsidRDefault="004E243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14:paraId="6F23B87F" w14:textId="77777777" w:rsidR="00EF11A8" w:rsidRPr="005D6CBF" w:rsidRDefault="00EF11A8" w:rsidP="00EF11A8">
      <w:pPr>
        <w:jc w:val="both"/>
        <w:rPr>
          <w:rFonts w:ascii="Arial" w:hAnsi="Arial" w:cs="Arial"/>
        </w:rPr>
      </w:pPr>
      <w:r w:rsidRPr="005D6CBF">
        <w:rPr>
          <w:rFonts w:ascii="Arial" w:hAnsi="Arial" w:cs="Arial"/>
        </w:rPr>
        <w:t xml:space="preserve">and </w:t>
      </w:r>
    </w:p>
    <w:p w14:paraId="4869D2B4" w14:textId="77777777" w:rsidR="00781F07" w:rsidRPr="005D6CBF" w:rsidRDefault="00781F07" w:rsidP="00EF11A8">
      <w:pPr>
        <w:jc w:val="both"/>
        <w:rPr>
          <w:rFonts w:ascii="Arial" w:hAnsi="Arial" w:cs="Arial"/>
        </w:rPr>
      </w:pPr>
    </w:p>
    <w:p w14:paraId="1EC512E4" w14:textId="77777777" w:rsidR="0081372D" w:rsidRDefault="00F005B5" w:rsidP="00EF11A8">
      <w:pPr>
        <w:pBdr>
          <w:bottom w:val="single" w:sz="12" w:space="1" w:color="auto"/>
        </w:pBdr>
        <w:jc w:val="both"/>
        <w:rPr>
          <w:rFonts w:ascii="Arial" w:hAnsi="Arial" w:cs="Arial"/>
        </w:rPr>
      </w:pPr>
      <w:r>
        <w:rPr>
          <w:rFonts w:ascii="Arial" w:hAnsi="Arial" w:cs="Arial"/>
          <w:b/>
        </w:rPr>
        <w:t>MANGAUNG METROPOLITAN MUNICIPALITY</w:t>
      </w:r>
      <w:r w:rsidR="0081372D">
        <w:rPr>
          <w:rFonts w:ascii="Arial" w:hAnsi="Arial" w:cs="Arial"/>
          <w:b/>
        </w:rPr>
        <w:t xml:space="preserve"> </w:t>
      </w:r>
      <w:r w:rsidR="004E243D">
        <w:rPr>
          <w:rFonts w:ascii="Arial" w:hAnsi="Arial" w:cs="Arial"/>
          <w:b/>
        </w:rPr>
        <w:tab/>
        <w:t xml:space="preserve">         </w:t>
      </w:r>
      <w:r w:rsidR="0046504C">
        <w:rPr>
          <w:rFonts w:ascii="Arial" w:hAnsi="Arial" w:cs="Arial"/>
          <w:b/>
        </w:rPr>
        <w:t xml:space="preserve">         </w:t>
      </w:r>
      <w:r>
        <w:rPr>
          <w:rFonts w:ascii="Arial" w:hAnsi="Arial" w:cs="Arial"/>
          <w:b/>
        </w:rPr>
        <w:tab/>
        <w:t xml:space="preserve">   </w:t>
      </w:r>
      <w:r>
        <w:rPr>
          <w:rFonts w:ascii="Arial" w:hAnsi="Arial" w:cs="Arial"/>
        </w:rPr>
        <w:t>1</w:t>
      </w:r>
      <w:r w:rsidRPr="00F005B5">
        <w:rPr>
          <w:rFonts w:ascii="Arial" w:hAnsi="Arial" w:cs="Arial"/>
          <w:vertAlign w:val="superscript"/>
        </w:rPr>
        <w:t>st</w:t>
      </w:r>
      <w:r>
        <w:rPr>
          <w:rFonts w:ascii="Arial" w:hAnsi="Arial" w:cs="Arial"/>
        </w:rPr>
        <w:t xml:space="preserve"> </w:t>
      </w:r>
      <w:r w:rsidR="0046504C">
        <w:rPr>
          <w:rFonts w:ascii="Arial" w:hAnsi="Arial" w:cs="Arial"/>
        </w:rPr>
        <w:t>Respondent</w:t>
      </w:r>
    </w:p>
    <w:p w14:paraId="097283F5" w14:textId="77777777" w:rsidR="0081372D" w:rsidRDefault="0081372D" w:rsidP="00EF11A8">
      <w:pPr>
        <w:pBdr>
          <w:bottom w:val="single" w:sz="12" w:space="1" w:color="auto"/>
        </w:pBdr>
        <w:jc w:val="both"/>
        <w:rPr>
          <w:rFonts w:ascii="Arial" w:hAnsi="Arial" w:cs="Arial"/>
        </w:rPr>
      </w:pPr>
    </w:p>
    <w:p w14:paraId="035AA9C6" w14:textId="49BA5143" w:rsidR="00F005B5" w:rsidRDefault="00F005B5" w:rsidP="00EF11A8">
      <w:pPr>
        <w:pBdr>
          <w:bottom w:val="single" w:sz="12" w:space="1" w:color="auto"/>
        </w:pBdr>
        <w:jc w:val="both"/>
        <w:rPr>
          <w:rFonts w:ascii="Arial" w:hAnsi="Arial" w:cs="Arial"/>
          <w:b/>
        </w:rPr>
      </w:pPr>
      <w:r>
        <w:rPr>
          <w:rFonts w:ascii="Arial" w:hAnsi="Arial" w:cs="Arial"/>
          <w:b/>
        </w:rPr>
        <w:t>THE</w:t>
      </w:r>
      <w:r w:rsidR="0081372D">
        <w:rPr>
          <w:rFonts w:ascii="Arial" w:hAnsi="Arial" w:cs="Arial"/>
          <w:b/>
        </w:rPr>
        <w:t xml:space="preserve"> </w:t>
      </w:r>
      <w:r>
        <w:rPr>
          <w:rFonts w:ascii="Arial" w:hAnsi="Arial" w:cs="Arial"/>
          <w:b/>
        </w:rPr>
        <w:t>MUNICIPAL MANAGER:</w:t>
      </w:r>
    </w:p>
    <w:p w14:paraId="482FCFF2" w14:textId="77777777" w:rsidR="00EF11A8" w:rsidRDefault="00F005B5" w:rsidP="00EF11A8">
      <w:pPr>
        <w:pBdr>
          <w:bottom w:val="single" w:sz="12" w:space="1" w:color="auto"/>
        </w:pBdr>
        <w:jc w:val="both"/>
        <w:rPr>
          <w:rFonts w:ascii="Arial" w:hAnsi="Arial" w:cs="Arial"/>
        </w:rPr>
      </w:pPr>
      <w:r>
        <w:rPr>
          <w:rFonts w:ascii="Arial" w:hAnsi="Arial" w:cs="Arial"/>
          <w:b/>
        </w:rPr>
        <w:t>MANGAUNG METROPOLITAN MUNICIPALITY</w:t>
      </w:r>
      <w:r w:rsidR="0046504C">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2</w:t>
      </w:r>
      <w:r w:rsidRPr="00F005B5">
        <w:rPr>
          <w:rFonts w:ascii="Arial" w:hAnsi="Arial" w:cs="Arial"/>
          <w:vertAlign w:val="superscript"/>
        </w:rPr>
        <w:t>nd</w:t>
      </w:r>
      <w:r>
        <w:rPr>
          <w:rFonts w:ascii="Arial" w:hAnsi="Arial" w:cs="Arial"/>
        </w:rPr>
        <w:t xml:space="preserve"> Respondent</w:t>
      </w:r>
    </w:p>
    <w:p w14:paraId="6D494789" w14:textId="77777777" w:rsidR="00F005B5" w:rsidRDefault="00F005B5" w:rsidP="00EF11A8">
      <w:pPr>
        <w:pBdr>
          <w:bottom w:val="single" w:sz="12" w:space="1" w:color="auto"/>
        </w:pBdr>
        <w:jc w:val="both"/>
        <w:rPr>
          <w:rFonts w:ascii="Arial" w:hAnsi="Arial" w:cs="Arial"/>
        </w:rPr>
      </w:pPr>
    </w:p>
    <w:p w14:paraId="4E2D90EF" w14:textId="7E8512A7" w:rsidR="00F005B5" w:rsidRDefault="00F005B5" w:rsidP="00F005B5">
      <w:pPr>
        <w:pBdr>
          <w:bottom w:val="single" w:sz="12" w:space="1" w:color="auto"/>
        </w:pBdr>
        <w:jc w:val="both"/>
        <w:rPr>
          <w:rFonts w:ascii="Arial" w:hAnsi="Arial" w:cs="Arial"/>
          <w:b/>
        </w:rPr>
      </w:pPr>
      <w:r>
        <w:rPr>
          <w:rFonts w:ascii="Arial" w:hAnsi="Arial" w:cs="Arial"/>
          <w:b/>
        </w:rPr>
        <w:t>THE MUNICIPAL VALUER:</w:t>
      </w:r>
    </w:p>
    <w:p w14:paraId="451DEE4D" w14:textId="77777777" w:rsidR="00F005B5" w:rsidRPr="00F005B5" w:rsidRDefault="00F005B5" w:rsidP="00F005B5">
      <w:pPr>
        <w:pBdr>
          <w:bottom w:val="single" w:sz="12" w:space="1" w:color="auto"/>
        </w:pBdr>
        <w:jc w:val="both"/>
        <w:rPr>
          <w:rFonts w:ascii="Arial" w:hAnsi="Arial" w:cs="Arial"/>
        </w:rPr>
      </w:pPr>
      <w:r>
        <w:rPr>
          <w:rFonts w:ascii="Arial" w:hAnsi="Arial" w:cs="Arial"/>
          <w:b/>
        </w:rPr>
        <w:t>MANGAUNG METROPOLITAN MUNICIPALITY</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3</w:t>
      </w:r>
      <w:r w:rsidRPr="00F005B5">
        <w:rPr>
          <w:rFonts w:ascii="Arial" w:hAnsi="Arial" w:cs="Arial"/>
          <w:vertAlign w:val="superscript"/>
        </w:rPr>
        <w:t>rd</w:t>
      </w:r>
      <w:r>
        <w:rPr>
          <w:rFonts w:ascii="Arial" w:hAnsi="Arial" w:cs="Arial"/>
          <w:vertAlign w:val="superscript"/>
        </w:rPr>
        <w:t xml:space="preserve"> </w:t>
      </w:r>
      <w:r>
        <w:rPr>
          <w:rFonts w:ascii="Arial" w:hAnsi="Arial" w:cs="Arial"/>
        </w:rPr>
        <w:t xml:space="preserve">Respondent </w:t>
      </w:r>
      <w:r>
        <w:rPr>
          <w:rFonts w:ascii="Arial" w:hAnsi="Arial" w:cs="Arial"/>
        </w:rPr>
        <w:tab/>
      </w:r>
      <w:r>
        <w:rPr>
          <w:rFonts w:ascii="Arial" w:hAnsi="Arial" w:cs="Arial"/>
        </w:rPr>
        <w:tab/>
      </w:r>
    </w:p>
    <w:p w14:paraId="284BD2C5" w14:textId="77777777" w:rsidR="004E243D" w:rsidRPr="005D6CBF" w:rsidRDefault="004E243D" w:rsidP="00EF11A8">
      <w:pPr>
        <w:pBdr>
          <w:bottom w:val="single" w:sz="12" w:space="1" w:color="auto"/>
        </w:pBdr>
        <w:jc w:val="both"/>
        <w:rPr>
          <w:rFonts w:ascii="Arial" w:hAnsi="Arial" w:cs="Arial"/>
          <w:b/>
        </w:rPr>
      </w:pPr>
    </w:p>
    <w:p w14:paraId="7FE19E63" w14:textId="77777777" w:rsidR="00EF11A8" w:rsidRPr="005D6CBF" w:rsidRDefault="00EF11A8" w:rsidP="00EF11A8">
      <w:pPr>
        <w:contextualSpacing/>
        <w:jc w:val="both"/>
        <w:rPr>
          <w:rFonts w:ascii="Arial" w:hAnsi="Arial" w:cs="Arial"/>
          <w:b/>
          <w:u w:val="single"/>
        </w:rPr>
      </w:pPr>
    </w:p>
    <w:p w14:paraId="0D863F78" w14:textId="3CE85F25" w:rsidR="00D221EC" w:rsidRPr="0081372D"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9D67AB" w:rsidRPr="009D67AB">
        <w:rPr>
          <w:rFonts w:ascii="Arial" w:hAnsi="Arial" w:cs="Arial"/>
          <w:bCs/>
        </w:rPr>
        <w:t xml:space="preserve">22 </w:t>
      </w:r>
      <w:r w:rsidR="0081372D">
        <w:rPr>
          <w:rFonts w:ascii="Arial" w:hAnsi="Arial" w:cs="Arial"/>
        </w:rPr>
        <w:t>MAY 2023</w:t>
      </w:r>
    </w:p>
    <w:p w14:paraId="723D89AD" w14:textId="77777777"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14:paraId="3DD79CB2" w14:textId="77777777" w:rsidR="00D221EC" w:rsidRPr="005D6CBF" w:rsidRDefault="00D221EC" w:rsidP="00EF11A8">
      <w:pPr>
        <w:contextualSpacing/>
        <w:jc w:val="both"/>
        <w:rPr>
          <w:rFonts w:ascii="Arial" w:hAnsi="Arial" w:cs="Arial"/>
          <w:b/>
        </w:rPr>
      </w:pPr>
    </w:p>
    <w:p w14:paraId="13A33368" w14:textId="77777777"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1" w:name="_Hlk111883941"/>
      <w:r w:rsidR="009E06E4" w:rsidRPr="00F940D0">
        <w:rPr>
          <w:rFonts w:ascii="Arial" w:hAnsi="Arial" w:cs="Arial"/>
        </w:rPr>
        <w:t>MHLAMBI, J</w:t>
      </w:r>
      <w:bookmarkEnd w:id="1"/>
      <w:r w:rsidR="009E06E4" w:rsidRPr="00F940D0">
        <w:rPr>
          <w:rFonts w:ascii="Arial" w:hAnsi="Arial" w:cs="Arial"/>
        </w:rPr>
        <w:t xml:space="preserve"> </w:t>
      </w:r>
    </w:p>
    <w:p w14:paraId="76F7CEFB" w14:textId="77777777"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14:paraId="1BCC67D9" w14:textId="77777777" w:rsidR="003F410D" w:rsidRDefault="003F410D" w:rsidP="00EF11A8">
      <w:pPr>
        <w:contextualSpacing/>
        <w:jc w:val="both"/>
        <w:rPr>
          <w:rFonts w:ascii="Arial" w:hAnsi="Arial" w:cs="Arial"/>
          <w:b/>
          <w:u w:val="single"/>
        </w:rPr>
      </w:pPr>
    </w:p>
    <w:p w14:paraId="0BB8C2A2" w14:textId="6FBA8EB7" w:rsidR="00F005B5" w:rsidRDefault="00F005B5" w:rsidP="00EF11A8">
      <w:pPr>
        <w:contextualSpacing/>
        <w:jc w:val="both"/>
        <w:rPr>
          <w:rFonts w:ascii="Arial" w:hAnsi="Arial" w:cs="Arial"/>
        </w:rPr>
      </w:pPr>
      <w:r>
        <w:rPr>
          <w:rFonts w:ascii="Arial" w:hAnsi="Arial" w:cs="Arial"/>
          <w:b/>
          <w:u w:val="single"/>
        </w:rPr>
        <w:t>CORAM:</w:t>
      </w:r>
      <w:r>
        <w:rPr>
          <w:rFonts w:ascii="Arial" w:hAnsi="Arial" w:cs="Arial"/>
        </w:rPr>
        <w:tab/>
      </w:r>
      <w:r>
        <w:rPr>
          <w:rFonts w:ascii="Arial" w:hAnsi="Arial" w:cs="Arial"/>
        </w:rPr>
        <w:tab/>
      </w:r>
      <w:r>
        <w:rPr>
          <w:rFonts w:ascii="Arial" w:hAnsi="Arial" w:cs="Arial"/>
        </w:rPr>
        <w:tab/>
      </w:r>
      <w:r w:rsidR="00186CF9">
        <w:rPr>
          <w:rFonts w:ascii="Arial" w:hAnsi="Arial" w:cs="Arial"/>
        </w:rPr>
        <w:t xml:space="preserve"> </w:t>
      </w:r>
      <w:r>
        <w:rPr>
          <w:rFonts w:ascii="Arial" w:hAnsi="Arial" w:cs="Arial"/>
        </w:rPr>
        <w:t xml:space="preserve">MHLAMBI, J </w:t>
      </w:r>
      <w:r>
        <w:rPr>
          <w:rFonts w:ascii="Arial" w:hAnsi="Arial" w:cs="Arial"/>
          <w:i/>
        </w:rPr>
        <w:t xml:space="preserve">et </w:t>
      </w:r>
      <w:r>
        <w:rPr>
          <w:rFonts w:ascii="Arial" w:hAnsi="Arial" w:cs="Arial"/>
        </w:rPr>
        <w:t>OPPERMAN, J</w:t>
      </w:r>
    </w:p>
    <w:p w14:paraId="4A0F6950" w14:textId="77777777" w:rsidR="00F005B5" w:rsidRPr="00F005B5" w:rsidRDefault="00F005B5" w:rsidP="00EF11A8">
      <w:pPr>
        <w:contextualSpacing/>
        <w:jc w:val="both"/>
        <w:rPr>
          <w:rFonts w:ascii="Arial" w:hAnsi="Arial" w:cs="Arial"/>
          <w:b/>
        </w:rPr>
      </w:pPr>
      <w:r w:rsidRPr="00F005B5">
        <w:rPr>
          <w:rFonts w:ascii="Arial" w:hAnsi="Arial" w:cs="Arial"/>
          <w:b/>
        </w:rPr>
        <w:t>___________________________________________________________________</w:t>
      </w:r>
    </w:p>
    <w:p w14:paraId="4C47FF33" w14:textId="77777777" w:rsidR="00F005B5" w:rsidRPr="00F005B5" w:rsidRDefault="00F005B5" w:rsidP="00EF11A8">
      <w:pPr>
        <w:contextualSpacing/>
        <w:jc w:val="both"/>
        <w:rPr>
          <w:rFonts w:ascii="Arial" w:hAnsi="Arial" w:cs="Arial"/>
          <w:b/>
        </w:rPr>
      </w:pPr>
    </w:p>
    <w:p w14:paraId="011618E7" w14:textId="78CD1C10" w:rsidR="007C348D" w:rsidRPr="00186CF9" w:rsidRDefault="00EF11A8" w:rsidP="00F87E7C">
      <w:pPr>
        <w:tabs>
          <w:tab w:val="left" w:pos="2880"/>
        </w:tabs>
        <w:ind w:left="1985" w:hanging="1985"/>
        <w:contextualSpacing/>
        <w:jc w:val="both"/>
        <w:rPr>
          <w:rFonts w:ascii="Arial" w:hAnsi="Arial" w:cs="Arial"/>
          <w:bCs/>
        </w:rPr>
      </w:pPr>
      <w:r w:rsidRPr="005D6CBF">
        <w:rPr>
          <w:rFonts w:ascii="Arial" w:hAnsi="Arial" w:cs="Arial"/>
          <w:b/>
          <w:u w:val="single"/>
        </w:rPr>
        <w:t>DELIVERED ON:</w:t>
      </w:r>
      <w:r w:rsidR="00F87E7C">
        <w:rPr>
          <w:rFonts w:ascii="Arial" w:hAnsi="Arial" w:cs="Arial"/>
          <w:b/>
        </w:rPr>
        <w:t xml:space="preserve">  </w:t>
      </w:r>
      <w:r w:rsidR="00186CF9">
        <w:rPr>
          <w:rFonts w:ascii="Arial" w:hAnsi="Arial" w:cs="Arial"/>
          <w:b/>
        </w:rPr>
        <w:tab/>
      </w:r>
      <w:r w:rsidR="00186CF9" w:rsidRPr="00186CF9">
        <w:rPr>
          <w:rFonts w:ascii="Arial" w:hAnsi="Arial" w:cs="Arial"/>
          <w:bCs/>
        </w:rPr>
        <w:t>24 AUGUST 2023</w:t>
      </w:r>
    </w:p>
    <w:p w14:paraId="47C6136F" w14:textId="77777777" w:rsidR="00891F14" w:rsidRPr="00186CF9" w:rsidRDefault="00891F14" w:rsidP="00EF11A8">
      <w:pPr>
        <w:pBdr>
          <w:bottom w:val="single" w:sz="12" w:space="1" w:color="auto"/>
        </w:pBdr>
        <w:tabs>
          <w:tab w:val="left" w:pos="2940"/>
        </w:tabs>
        <w:contextualSpacing/>
        <w:jc w:val="both"/>
        <w:rPr>
          <w:rFonts w:ascii="Arial" w:hAnsi="Arial" w:cs="Arial"/>
          <w:bCs/>
          <w:u w:val="single"/>
        </w:rPr>
      </w:pPr>
    </w:p>
    <w:p w14:paraId="0BC0A59A" w14:textId="26C30C04" w:rsidR="00112DAF" w:rsidRDefault="00161413" w:rsidP="00112DAF">
      <w:pPr>
        <w:spacing w:before="240" w:after="240" w:line="360" w:lineRule="auto"/>
        <w:ind w:left="720" w:hanging="720"/>
        <w:jc w:val="both"/>
        <w:rPr>
          <w:rFonts w:ascii="Arial" w:hAnsi="Arial" w:cs="Arial"/>
        </w:rPr>
      </w:pPr>
      <w:r>
        <w:rPr>
          <w:rFonts w:ascii="Arial" w:hAnsi="Arial" w:cs="Arial"/>
        </w:rPr>
        <w:t>[1]</w:t>
      </w:r>
      <w:r w:rsidR="00157E06">
        <w:rPr>
          <w:rFonts w:ascii="Arial" w:hAnsi="Arial" w:cs="Arial"/>
        </w:rPr>
        <w:tab/>
        <w:t xml:space="preserve">The applicant sought declaratory relief and </w:t>
      </w:r>
      <w:r w:rsidR="004036F5">
        <w:rPr>
          <w:rFonts w:ascii="Arial" w:hAnsi="Arial" w:cs="Arial"/>
        </w:rPr>
        <w:t>the review of the first and third r</w:t>
      </w:r>
      <w:r w:rsidR="005922D8">
        <w:rPr>
          <w:rFonts w:ascii="Arial" w:hAnsi="Arial" w:cs="Arial"/>
        </w:rPr>
        <w:t>espondents’ decisions relating</w:t>
      </w:r>
      <w:r w:rsidR="004036F5">
        <w:rPr>
          <w:rFonts w:ascii="Arial" w:hAnsi="Arial" w:cs="Arial"/>
        </w:rPr>
        <w:t xml:space="preserve"> to the valuation </w:t>
      </w:r>
      <w:r w:rsidR="00F74569">
        <w:rPr>
          <w:rFonts w:ascii="Arial" w:hAnsi="Arial" w:cs="Arial"/>
        </w:rPr>
        <w:t xml:space="preserve">and levying of rates </w:t>
      </w:r>
      <w:r w:rsidR="004036F5">
        <w:rPr>
          <w:rFonts w:ascii="Arial" w:hAnsi="Arial" w:cs="Arial"/>
        </w:rPr>
        <w:t xml:space="preserve">of the </w:t>
      </w:r>
      <w:r w:rsidR="004036F5">
        <w:rPr>
          <w:rFonts w:ascii="Arial" w:hAnsi="Arial" w:cs="Arial"/>
        </w:rPr>
        <w:lastRenderedPageBreak/>
        <w:t>applicant’s immovable pr</w:t>
      </w:r>
      <w:r w:rsidR="005922D8">
        <w:rPr>
          <w:rFonts w:ascii="Arial" w:hAnsi="Arial" w:cs="Arial"/>
        </w:rPr>
        <w:t>operties</w:t>
      </w:r>
      <w:r w:rsidR="004036F5">
        <w:rPr>
          <w:rFonts w:ascii="Arial" w:hAnsi="Arial" w:cs="Arial"/>
        </w:rPr>
        <w:t xml:space="preserve"> for the 2017/2018, 2018/2019</w:t>
      </w:r>
      <w:r w:rsidR="00936CDA">
        <w:rPr>
          <w:rFonts w:ascii="Arial" w:hAnsi="Arial" w:cs="Arial"/>
        </w:rPr>
        <w:t>,</w:t>
      </w:r>
      <w:r w:rsidR="004036F5">
        <w:rPr>
          <w:rFonts w:ascii="Arial" w:hAnsi="Arial" w:cs="Arial"/>
        </w:rPr>
        <w:t xml:space="preserve"> and 2019/2020 financial years</w:t>
      </w:r>
      <w:r w:rsidR="00157E06">
        <w:rPr>
          <w:rFonts w:ascii="Arial" w:hAnsi="Arial" w:cs="Arial"/>
        </w:rPr>
        <w:t>.</w:t>
      </w:r>
      <w:r w:rsidR="00F74569">
        <w:rPr>
          <w:rFonts w:ascii="Arial" w:hAnsi="Arial" w:cs="Arial"/>
        </w:rPr>
        <w:t xml:space="preserve"> </w:t>
      </w:r>
      <w:r w:rsidR="005922D8">
        <w:rPr>
          <w:rFonts w:ascii="Arial" w:hAnsi="Arial" w:cs="Arial"/>
        </w:rPr>
        <w:t>The immovable property is situated in the first respondent’s municipal area. T</w:t>
      </w:r>
      <w:r w:rsidR="0007052E">
        <w:rPr>
          <w:rFonts w:ascii="Arial" w:hAnsi="Arial" w:cs="Arial"/>
        </w:rPr>
        <w:t>he applicant</w:t>
      </w:r>
      <w:r w:rsidR="005922D8">
        <w:rPr>
          <w:rFonts w:ascii="Arial" w:hAnsi="Arial" w:cs="Arial"/>
        </w:rPr>
        <w:t xml:space="preserve"> contended that</w:t>
      </w:r>
      <w:r w:rsidR="0007052E">
        <w:rPr>
          <w:rFonts w:ascii="Arial" w:hAnsi="Arial" w:cs="Arial"/>
        </w:rPr>
        <w:t xml:space="preserve"> these decisions were subject to the doctrin</w:t>
      </w:r>
      <w:r w:rsidR="00F74569">
        <w:rPr>
          <w:rFonts w:ascii="Arial" w:hAnsi="Arial" w:cs="Arial"/>
        </w:rPr>
        <w:t xml:space="preserve">e of legality as they </w:t>
      </w:r>
      <w:r w:rsidR="005922D8">
        <w:rPr>
          <w:rFonts w:ascii="Arial" w:hAnsi="Arial" w:cs="Arial"/>
        </w:rPr>
        <w:t xml:space="preserve">failed to </w:t>
      </w:r>
      <w:r w:rsidR="00F74569">
        <w:rPr>
          <w:rFonts w:ascii="Arial" w:hAnsi="Arial" w:cs="Arial"/>
        </w:rPr>
        <w:t>co</w:t>
      </w:r>
      <w:r w:rsidR="005922D8">
        <w:rPr>
          <w:rFonts w:ascii="Arial" w:hAnsi="Arial" w:cs="Arial"/>
        </w:rPr>
        <w:t>mply with the statutory</w:t>
      </w:r>
      <w:r w:rsidR="0007052E">
        <w:rPr>
          <w:rFonts w:ascii="Arial" w:hAnsi="Arial" w:cs="Arial"/>
        </w:rPr>
        <w:t xml:space="preserve"> requirements</w:t>
      </w:r>
      <w:r w:rsidR="005922D8">
        <w:rPr>
          <w:rFonts w:ascii="Arial" w:hAnsi="Arial" w:cs="Arial"/>
        </w:rPr>
        <w:t xml:space="preserve"> envisaged in the Local Government: Municipal Property Rates Act,</w:t>
      </w:r>
      <w:r w:rsidR="00E53F4D">
        <w:rPr>
          <w:rStyle w:val="FootnoteReference"/>
          <w:rFonts w:ascii="Arial" w:hAnsi="Arial" w:cs="Arial"/>
        </w:rPr>
        <w:footnoteReference w:id="2"/>
      </w:r>
      <w:r w:rsidR="005922D8">
        <w:rPr>
          <w:rFonts w:ascii="Arial" w:hAnsi="Arial" w:cs="Arial"/>
        </w:rPr>
        <w:t xml:space="preserve"> (“the MPRA”)</w:t>
      </w:r>
      <w:r w:rsidR="00936CDA">
        <w:rPr>
          <w:rFonts w:ascii="Arial" w:hAnsi="Arial" w:cs="Arial"/>
        </w:rPr>
        <w:t>,</w:t>
      </w:r>
      <w:r w:rsidR="0007052E">
        <w:rPr>
          <w:rFonts w:ascii="Arial" w:hAnsi="Arial" w:cs="Arial"/>
        </w:rPr>
        <w:t xml:space="preserve"> and were </w:t>
      </w:r>
      <w:r w:rsidR="005922D8">
        <w:rPr>
          <w:rFonts w:ascii="Arial" w:hAnsi="Arial" w:cs="Arial"/>
        </w:rPr>
        <w:t>ir</w:t>
      </w:r>
      <w:r w:rsidR="0007052E">
        <w:rPr>
          <w:rFonts w:ascii="Arial" w:hAnsi="Arial" w:cs="Arial"/>
        </w:rPr>
        <w:t>rational.</w:t>
      </w:r>
    </w:p>
    <w:p w14:paraId="1977F6FD" w14:textId="77777777" w:rsidR="00E42B0F" w:rsidRDefault="005A443B" w:rsidP="00112DAF">
      <w:pPr>
        <w:spacing w:before="240" w:after="240" w:line="360" w:lineRule="auto"/>
        <w:ind w:left="720" w:hanging="720"/>
        <w:jc w:val="both"/>
        <w:rPr>
          <w:rFonts w:ascii="Arial" w:hAnsi="Arial" w:cs="Arial"/>
        </w:rPr>
      </w:pPr>
      <w:r>
        <w:rPr>
          <w:rFonts w:ascii="Arial" w:hAnsi="Arial" w:cs="Arial"/>
        </w:rPr>
        <w:t xml:space="preserve">[2]    The </w:t>
      </w:r>
      <w:r w:rsidR="002E46F4">
        <w:rPr>
          <w:rFonts w:ascii="Arial" w:hAnsi="Arial" w:cs="Arial"/>
        </w:rPr>
        <w:t>respondents</w:t>
      </w:r>
      <w:r>
        <w:rPr>
          <w:rFonts w:ascii="Arial" w:hAnsi="Arial" w:cs="Arial"/>
        </w:rPr>
        <w:t xml:space="preserve"> opposed</w:t>
      </w:r>
      <w:r w:rsidR="002E46F4">
        <w:rPr>
          <w:rFonts w:ascii="Arial" w:hAnsi="Arial" w:cs="Arial"/>
        </w:rPr>
        <w:t xml:space="preserve"> the application</w:t>
      </w:r>
      <w:r w:rsidR="00E67EB1">
        <w:rPr>
          <w:rFonts w:ascii="Arial" w:hAnsi="Arial" w:cs="Arial"/>
        </w:rPr>
        <w:t xml:space="preserve"> on various grounds</w:t>
      </w:r>
      <w:r>
        <w:rPr>
          <w:rFonts w:ascii="Arial" w:hAnsi="Arial" w:cs="Arial"/>
        </w:rPr>
        <w:t xml:space="preserve"> based on</w:t>
      </w:r>
      <w:r w:rsidR="00BE28A4">
        <w:rPr>
          <w:rFonts w:ascii="Arial" w:hAnsi="Arial" w:cs="Arial"/>
        </w:rPr>
        <w:t xml:space="preserve"> the Promotion</w:t>
      </w:r>
      <w:r w:rsidR="00C00D79">
        <w:rPr>
          <w:rFonts w:ascii="Arial" w:hAnsi="Arial" w:cs="Arial"/>
        </w:rPr>
        <w:t xml:space="preserve"> of Administrative Justice Act,</w:t>
      </w:r>
      <w:r>
        <w:rPr>
          <w:rFonts w:ascii="Arial" w:hAnsi="Arial" w:cs="Arial"/>
        </w:rPr>
        <w:t xml:space="preserve"> </w:t>
      </w:r>
      <w:r w:rsidR="00091D75">
        <w:rPr>
          <w:rFonts w:ascii="Arial" w:hAnsi="Arial" w:cs="Arial"/>
        </w:rPr>
        <w:t>(“</w:t>
      </w:r>
      <w:r>
        <w:rPr>
          <w:rFonts w:ascii="Arial" w:hAnsi="Arial" w:cs="Arial"/>
        </w:rPr>
        <w:t>P</w:t>
      </w:r>
      <w:r w:rsidR="000E6715">
        <w:rPr>
          <w:rFonts w:ascii="Arial" w:hAnsi="Arial" w:cs="Arial"/>
        </w:rPr>
        <w:t>AJA</w:t>
      </w:r>
      <w:r w:rsidR="00091D75">
        <w:rPr>
          <w:rFonts w:ascii="Arial" w:hAnsi="Arial" w:cs="Arial"/>
        </w:rPr>
        <w:t>”)</w:t>
      </w:r>
      <w:r w:rsidR="00C00D79">
        <w:rPr>
          <w:rStyle w:val="FootnoteReference"/>
          <w:rFonts w:ascii="Arial" w:hAnsi="Arial" w:cs="Arial"/>
        </w:rPr>
        <w:footnoteReference w:id="3"/>
      </w:r>
      <w:r w:rsidR="000E6715">
        <w:rPr>
          <w:rFonts w:ascii="Arial" w:hAnsi="Arial" w:cs="Arial"/>
        </w:rPr>
        <w:t xml:space="preserve"> and the</w:t>
      </w:r>
      <w:r w:rsidR="00AF174A">
        <w:rPr>
          <w:rFonts w:ascii="Arial" w:hAnsi="Arial" w:cs="Arial"/>
        </w:rPr>
        <w:t xml:space="preserve"> M</w:t>
      </w:r>
      <w:r w:rsidR="00E42B0F">
        <w:rPr>
          <w:rFonts w:ascii="Arial" w:hAnsi="Arial" w:cs="Arial"/>
        </w:rPr>
        <w:t>PRA.</w:t>
      </w:r>
    </w:p>
    <w:p w14:paraId="2A4B19F5" w14:textId="77777777" w:rsidR="000562F2" w:rsidRDefault="00E42B0F" w:rsidP="00112DAF">
      <w:pPr>
        <w:spacing w:before="240" w:after="240" w:line="360" w:lineRule="auto"/>
        <w:ind w:left="720" w:hanging="720"/>
        <w:jc w:val="both"/>
        <w:rPr>
          <w:rFonts w:ascii="Arial" w:hAnsi="Arial" w:cs="Arial"/>
          <w:lang w:val="en-ZA"/>
        </w:rPr>
      </w:pPr>
      <w:r>
        <w:rPr>
          <w:rFonts w:ascii="Arial" w:hAnsi="Arial" w:cs="Arial"/>
        </w:rPr>
        <w:t>[3]      In</w:t>
      </w:r>
      <w:r w:rsidR="006C1550">
        <w:rPr>
          <w:rFonts w:ascii="Arial" w:hAnsi="Arial" w:cs="Arial"/>
          <w:lang w:val="en-ZA"/>
        </w:rPr>
        <w:t xml:space="preserve"> its amended notice of motion</w:t>
      </w:r>
      <w:r w:rsidR="00DC2B28">
        <w:rPr>
          <w:rFonts w:ascii="Arial" w:hAnsi="Arial" w:cs="Arial"/>
          <w:lang w:val="en-ZA"/>
        </w:rPr>
        <w:t>,</w:t>
      </w:r>
      <w:r w:rsidR="006C1550">
        <w:rPr>
          <w:rFonts w:ascii="Arial" w:hAnsi="Arial" w:cs="Arial"/>
          <w:lang w:val="en-ZA"/>
        </w:rPr>
        <w:t xml:space="preserve"> the applicant</w:t>
      </w:r>
      <w:r w:rsidR="00DC2B28">
        <w:rPr>
          <w:rFonts w:ascii="Arial" w:hAnsi="Arial" w:cs="Arial"/>
          <w:lang w:val="en-ZA"/>
        </w:rPr>
        <w:t xml:space="preserve"> seeks relief</w:t>
      </w:r>
      <w:r w:rsidR="006C1550">
        <w:rPr>
          <w:rFonts w:ascii="Arial" w:hAnsi="Arial" w:cs="Arial"/>
          <w:lang w:val="en-ZA"/>
        </w:rPr>
        <w:t xml:space="preserve"> </w:t>
      </w:r>
      <w:r w:rsidR="000562F2">
        <w:rPr>
          <w:rFonts w:ascii="Arial" w:hAnsi="Arial" w:cs="Arial"/>
          <w:lang w:val="en-ZA"/>
        </w:rPr>
        <w:t>in four parts as follows:</w:t>
      </w:r>
    </w:p>
    <w:p w14:paraId="1E2FA1E0" w14:textId="77777777" w:rsidR="004036F5" w:rsidRPr="002F32AE" w:rsidRDefault="000562F2" w:rsidP="00112DAF">
      <w:pPr>
        <w:spacing w:before="240" w:after="240" w:line="360" w:lineRule="auto"/>
        <w:ind w:left="1440" w:hanging="720"/>
        <w:jc w:val="both"/>
        <w:rPr>
          <w:rFonts w:ascii="Arial" w:hAnsi="Arial" w:cs="Arial"/>
          <w:i/>
          <w:sz w:val="20"/>
          <w:szCs w:val="20"/>
        </w:rPr>
      </w:pPr>
      <w:r w:rsidRPr="002F32AE">
        <w:rPr>
          <w:rFonts w:ascii="Arial" w:hAnsi="Arial" w:cs="Arial"/>
          <w:i/>
          <w:sz w:val="20"/>
          <w:szCs w:val="20"/>
          <w:lang w:val="en-ZA"/>
        </w:rPr>
        <w:t>“</w:t>
      </w:r>
      <w:r w:rsidRPr="002F32AE">
        <w:rPr>
          <w:rFonts w:ascii="Arial" w:hAnsi="Arial" w:cs="Arial"/>
          <w:i/>
          <w:sz w:val="20"/>
          <w:szCs w:val="20"/>
          <w:u w:val="single"/>
          <w:lang w:val="en-ZA"/>
        </w:rPr>
        <w:t>Part 1</w:t>
      </w:r>
      <w:r w:rsidR="000E6715" w:rsidRPr="002F32AE">
        <w:rPr>
          <w:rFonts w:ascii="Arial" w:hAnsi="Arial" w:cs="Arial"/>
          <w:i/>
          <w:sz w:val="20"/>
          <w:szCs w:val="20"/>
        </w:rPr>
        <w:t xml:space="preserve"> </w:t>
      </w:r>
      <w:r w:rsidR="0007052E" w:rsidRPr="002F32AE">
        <w:rPr>
          <w:rFonts w:ascii="Arial" w:hAnsi="Arial" w:cs="Arial"/>
          <w:i/>
          <w:sz w:val="20"/>
          <w:szCs w:val="20"/>
        </w:rPr>
        <w:t xml:space="preserve"> </w:t>
      </w:r>
      <w:r w:rsidR="00157E06" w:rsidRPr="002F32AE">
        <w:rPr>
          <w:rFonts w:ascii="Arial" w:hAnsi="Arial" w:cs="Arial"/>
          <w:i/>
          <w:sz w:val="20"/>
          <w:szCs w:val="20"/>
        </w:rPr>
        <w:tab/>
      </w:r>
    </w:p>
    <w:p w14:paraId="2461C7FF" w14:textId="77777777" w:rsidR="0011267B" w:rsidRPr="002F32AE" w:rsidRDefault="005A480A" w:rsidP="00112DAF">
      <w:pPr>
        <w:pStyle w:val="ListParagraph"/>
        <w:numPr>
          <w:ilvl w:val="0"/>
          <w:numId w:val="15"/>
        </w:numPr>
        <w:spacing w:before="240" w:after="240" w:line="360" w:lineRule="auto"/>
        <w:ind w:left="1440" w:hanging="720"/>
        <w:jc w:val="both"/>
        <w:rPr>
          <w:rFonts w:ascii="Arial" w:hAnsi="Arial" w:cs="Arial"/>
          <w:i/>
          <w:sz w:val="20"/>
          <w:szCs w:val="20"/>
          <w:u w:val="single"/>
        </w:rPr>
      </w:pPr>
      <w:r w:rsidRPr="002F32AE">
        <w:rPr>
          <w:rFonts w:ascii="Arial" w:hAnsi="Arial" w:cs="Arial"/>
          <w:i/>
          <w:sz w:val="20"/>
          <w:szCs w:val="20"/>
        </w:rPr>
        <w:t>T</w:t>
      </w:r>
      <w:r w:rsidR="000562F2" w:rsidRPr="002F32AE">
        <w:rPr>
          <w:rFonts w:ascii="Arial" w:hAnsi="Arial" w:cs="Arial"/>
          <w:i/>
          <w:sz w:val="20"/>
          <w:szCs w:val="20"/>
        </w:rPr>
        <w:t>he</w:t>
      </w:r>
      <w:r w:rsidRPr="002F32AE">
        <w:rPr>
          <w:rFonts w:ascii="Arial" w:hAnsi="Arial" w:cs="Arial"/>
          <w:i/>
          <w:sz w:val="20"/>
          <w:szCs w:val="20"/>
        </w:rPr>
        <w:t xml:space="preserve"> declaration as unlawful, the</w:t>
      </w:r>
      <w:r w:rsidR="000562F2" w:rsidRPr="002F32AE">
        <w:rPr>
          <w:rFonts w:ascii="Arial" w:hAnsi="Arial" w:cs="Arial"/>
          <w:i/>
          <w:sz w:val="20"/>
          <w:szCs w:val="20"/>
        </w:rPr>
        <w:t xml:space="preserve"> second respondent</w:t>
      </w:r>
      <w:r w:rsidRPr="002F32AE">
        <w:rPr>
          <w:rFonts w:ascii="Arial" w:hAnsi="Arial" w:cs="Arial"/>
          <w:i/>
          <w:sz w:val="20"/>
          <w:szCs w:val="20"/>
        </w:rPr>
        <w:t>’s failure to</w:t>
      </w:r>
      <w:r w:rsidR="0011267B" w:rsidRPr="002F32AE">
        <w:rPr>
          <w:rFonts w:ascii="Arial" w:hAnsi="Arial" w:cs="Arial"/>
          <w:i/>
          <w:sz w:val="20"/>
          <w:szCs w:val="20"/>
        </w:rPr>
        <w:t xml:space="preserve"> serve a copy of the notice contemplated in section 49(1)(a) of the MPRA together with an extract of the valuation roll for the financial years 1 July 2017 until 30 June 2021 in terms of section 49(1)(c) of the MPRA.</w:t>
      </w:r>
    </w:p>
    <w:p w14:paraId="56424F43" w14:textId="77777777" w:rsidR="000562F2" w:rsidRPr="002F32AE" w:rsidRDefault="004C1229" w:rsidP="00112DAF">
      <w:pPr>
        <w:pStyle w:val="ListParagraph"/>
        <w:numPr>
          <w:ilvl w:val="0"/>
          <w:numId w:val="15"/>
        </w:numPr>
        <w:spacing w:before="240" w:after="240" w:line="360" w:lineRule="auto"/>
        <w:ind w:left="1440" w:hanging="720"/>
        <w:jc w:val="both"/>
        <w:rPr>
          <w:rFonts w:ascii="Arial" w:hAnsi="Arial" w:cs="Arial"/>
          <w:i/>
          <w:sz w:val="20"/>
          <w:szCs w:val="20"/>
          <w:u w:val="single"/>
        </w:rPr>
      </w:pPr>
      <w:r w:rsidRPr="002F32AE">
        <w:rPr>
          <w:rFonts w:ascii="Arial" w:hAnsi="Arial" w:cs="Arial"/>
          <w:i/>
          <w:sz w:val="20"/>
          <w:szCs w:val="20"/>
        </w:rPr>
        <w:t>Orders</w:t>
      </w:r>
      <w:r w:rsidR="0011267B" w:rsidRPr="002F32AE">
        <w:rPr>
          <w:rFonts w:ascii="Arial" w:hAnsi="Arial" w:cs="Arial"/>
          <w:i/>
          <w:sz w:val="20"/>
          <w:szCs w:val="20"/>
        </w:rPr>
        <w:t xml:space="preserve"> </w:t>
      </w:r>
      <w:r w:rsidRPr="002F32AE">
        <w:rPr>
          <w:rFonts w:ascii="Arial" w:hAnsi="Arial" w:cs="Arial"/>
          <w:i/>
          <w:sz w:val="20"/>
          <w:szCs w:val="20"/>
        </w:rPr>
        <w:t>to review and set aside; alternatively, to declare unlawful and set aside the</w:t>
      </w:r>
      <w:r w:rsidR="0011267B" w:rsidRPr="002F32AE">
        <w:rPr>
          <w:rFonts w:ascii="Arial" w:hAnsi="Arial" w:cs="Arial"/>
          <w:i/>
          <w:sz w:val="20"/>
          <w:szCs w:val="20"/>
        </w:rPr>
        <w:t xml:space="preserve"> decisions set out hereunder</w:t>
      </w:r>
      <w:r w:rsidRPr="002F32AE">
        <w:rPr>
          <w:rFonts w:ascii="Arial" w:hAnsi="Arial" w:cs="Arial"/>
          <w:i/>
          <w:sz w:val="20"/>
          <w:szCs w:val="20"/>
        </w:rPr>
        <w:t>:</w:t>
      </w:r>
    </w:p>
    <w:p w14:paraId="48E79E12" w14:textId="77777777" w:rsidR="0011267B" w:rsidRPr="002F32AE" w:rsidRDefault="0011267B" w:rsidP="00112DAF">
      <w:pPr>
        <w:pStyle w:val="ListParagraph"/>
        <w:spacing w:before="240" w:after="240" w:line="360" w:lineRule="auto"/>
        <w:ind w:left="2160" w:hanging="720"/>
        <w:jc w:val="both"/>
        <w:rPr>
          <w:rFonts w:ascii="Arial" w:hAnsi="Arial" w:cs="Arial"/>
          <w:i/>
          <w:sz w:val="20"/>
          <w:szCs w:val="20"/>
        </w:rPr>
      </w:pPr>
      <w:r w:rsidRPr="002F32AE">
        <w:rPr>
          <w:rFonts w:ascii="Arial" w:hAnsi="Arial" w:cs="Arial"/>
          <w:i/>
          <w:sz w:val="20"/>
          <w:szCs w:val="20"/>
        </w:rPr>
        <w:t>2.1</w:t>
      </w:r>
      <w:r w:rsidR="00F27CC2">
        <w:rPr>
          <w:rFonts w:ascii="Arial" w:hAnsi="Arial" w:cs="Arial"/>
          <w:i/>
          <w:sz w:val="20"/>
          <w:szCs w:val="20"/>
        </w:rPr>
        <w:tab/>
        <w:t xml:space="preserve">The first respondent’s decision to levy rates in respect of the applicant’s properties in terms of the market value of the properties and in terms of the categories of the properties, recorded in the valuation roll; </w:t>
      </w:r>
      <w:r w:rsidR="0082551A">
        <w:rPr>
          <w:rFonts w:ascii="Arial" w:hAnsi="Arial" w:cs="Arial"/>
          <w:i/>
          <w:sz w:val="20"/>
          <w:szCs w:val="20"/>
        </w:rPr>
        <w:t xml:space="preserve">and </w:t>
      </w:r>
      <w:r w:rsidR="00F27CC2">
        <w:rPr>
          <w:rFonts w:ascii="Arial" w:hAnsi="Arial" w:cs="Arial"/>
          <w:i/>
          <w:sz w:val="20"/>
          <w:szCs w:val="20"/>
        </w:rPr>
        <w:t xml:space="preserve"> </w:t>
      </w:r>
    </w:p>
    <w:p w14:paraId="78A8057B" w14:textId="77777777" w:rsidR="00A620FD" w:rsidRDefault="00EB3392" w:rsidP="00112DAF">
      <w:pPr>
        <w:pStyle w:val="ListParagraph"/>
        <w:spacing w:before="240" w:after="240" w:line="360" w:lineRule="auto"/>
        <w:ind w:left="2160" w:hanging="720"/>
        <w:jc w:val="both"/>
        <w:rPr>
          <w:rFonts w:ascii="Arial" w:hAnsi="Arial" w:cs="Arial"/>
          <w:i/>
          <w:sz w:val="20"/>
          <w:szCs w:val="20"/>
        </w:rPr>
      </w:pPr>
      <w:r w:rsidRPr="002F32AE">
        <w:rPr>
          <w:rFonts w:ascii="Arial" w:hAnsi="Arial" w:cs="Arial"/>
          <w:i/>
          <w:sz w:val="20"/>
          <w:szCs w:val="20"/>
        </w:rPr>
        <w:t>2.2</w:t>
      </w:r>
      <w:r w:rsidR="0082551A">
        <w:rPr>
          <w:rFonts w:ascii="Arial" w:hAnsi="Arial" w:cs="Arial"/>
          <w:i/>
          <w:sz w:val="20"/>
          <w:szCs w:val="20"/>
        </w:rPr>
        <w:tab/>
        <w:t xml:space="preserve">The first respondent’s decision to determine the cent amount in the rand payable as rates (published in the Provincial Gazette in terms of section 14(2) of the MPRA and in accordance with copies of the relevant notices annexed as annexures </w:t>
      </w:r>
      <w:r w:rsidR="0082551A" w:rsidRPr="0082551A">
        <w:rPr>
          <w:rFonts w:ascii="Arial" w:hAnsi="Arial" w:cs="Arial"/>
          <w:b/>
          <w:i/>
          <w:sz w:val="20"/>
          <w:szCs w:val="20"/>
        </w:rPr>
        <w:t>“FA14”</w:t>
      </w:r>
      <w:r w:rsidR="0082551A">
        <w:rPr>
          <w:rFonts w:ascii="Arial" w:hAnsi="Arial" w:cs="Arial"/>
          <w:i/>
          <w:sz w:val="20"/>
          <w:szCs w:val="20"/>
        </w:rPr>
        <w:t xml:space="preserve">, </w:t>
      </w:r>
      <w:r w:rsidR="0082551A" w:rsidRPr="0082551A">
        <w:rPr>
          <w:rFonts w:ascii="Arial" w:hAnsi="Arial" w:cs="Arial"/>
          <w:b/>
          <w:i/>
          <w:sz w:val="20"/>
          <w:szCs w:val="20"/>
        </w:rPr>
        <w:t>“FA15”</w:t>
      </w:r>
      <w:r w:rsidR="0082551A">
        <w:rPr>
          <w:rFonts w:ascii="Arial" w:hAnsi="Arial" w:cs="Arial"/>
          <w:i/>
          <w:sz w:val="20"/>
          <w:szCs w:val="20"/>
        </w:rPr>
        <w:t xml:space="preserve"> and </w:t>
      </w:r>
      <w:r w:rsidR="0082551A" w:rsidRPr="0082551A">
        <w:rPr>
          <w:rFonts w:ascii="Arial" w:hAnsi="Arial" w:cs="Arial"/>
          <w:b/>
          <w:i/>
          <w:sz w:val="20"/>
          <w:szCs w:val="20"/>
        </w:rPr>
        <w:t>“FA16”</w:t>
      </w:r>
      <w:r w:rsidR="0082551A">
        <w:rPr>
          <w:rFonts w:ascii="Arial" w:hAnsi="Arial" w:cs="Arial"/>
          <w:i/>
          <w:sz w:val="20"/>
          <w:szCs w:val="20"/>
        </w:rPr>
        <w:t xml:space="preserve"> to the founding affidavit) in respect of the applicant’s properties </w:t>
      </w:r>
      <w:r w:rsidR="00A620FD">
        <w:rPr>
          <w:rFonts w:ascii="Arial" w:hAnsi="Arial" w:cs="Arial"/>
          <w:i/>
          <w:sz w:val="20"/>
          <w:szCs w:val="20"/>
        </w:rPr>
        <w:t>with reference to the market value</w:t>
      </w:r>
      <w:r w:rsidR="006C443F">
        <w:rPr>
          <w:rFonts w:ascii="Arial" w:hAnsi="Arial" w:cs="Arial"/>
          <w:i/>
          <w:sz w:val="20"/>
          <w:szCs w:val="20"/>
        </w:rPr>
        <w:t xml:space="preserve"> of the properties and the category </w:t>
      </w:r>
      <w:r w:rsidR="00A620FD">
        <w:rPr>
          <w:rFonts w:ascii="Arial" w:hAnsi="Arial" w:cs="Arial"/>
          <w:i/>
          <w:sz w:val="20"/>
          <w:szCs w:val="20"/>
        </w:rPr>
        <w:t xml:space="preserve">of the properties as reflected in the valuation roll. </w:t>
      </w:r>
    </w:p>
    <w:p w14:paraId="60E743EE" w14:textId="77777777" w:rsidR="00A620FD" w:rsidRDefault="00A620FD" w:rsidP="00112DAF">
      <w:pPr>
        <w:spacing w:before="240" w:after="240" w:line="360" w:lineRule="auto"/>
        <w:ind w:left="1440" w:hanging="720"/>
        <w:jc w:val="both"/>
        <w:rPr>
          <w:rFonts w:ascii="Arial" w:hAnsi="Arial" w:cs="Arial"/>
          <w:i/>
          <w:sz w:val="20"/>
          <w:szCs w:val="20"/>
          <w:u w:val="single"/>
        </w:rPr>
      </w:pPr>
      <w:r w:rsidRPr="00A620FD">
        <w:rPr>
          <w:rFonts w:ascii="Arial" w:hAnsi="Arial" w:cs="Arial"/>
          <w:i/>
          <w:sz w:val="20"/>
          <w:szCs w:val="20"/>
          <w:u w:val="single"/>
        </w:rPr>
        <w:t>Part 2</w:t>
      </w:r>
    </w:p>
    <w:p w14:paraId="2325F23B" w14:textId="77777777" w:rsidR="00A620FD" w:rsidRDefault="00A620FD" w:rsidP="004D3478">
      <w:pPr>
        <w:spacing w:before="240" w:after="240" w:line="360" w:lineRule="auto"/>
        <w:ind w:left="720"/>
        <w:jc w:val="both"/>
        <w:rPr>
          <w:rFonts w:ascii="Arial" w:hAnsi="Arial" w:cs="Arial"/>
          <w:i/>
          <w:sz w:val="20"/>
          <w:szCs w:val="20"/>
        </w:rPr>
      </w:pPr>
      <w:r>
        <w:rPr>
          <w:rFonts w:ascii="Arial" w:hAnsi="Arial" w:cs="Arial"/>
          <w:i/>
          <w:sz w:val="20"/>
          <w:szCs w:val="20"/>
        </w:rPr>
        <w:t xml:space="preserve">Orders to review and set aside: alternatively, to declare unlawful and set </w:t>
      </w:r>
      <w:r w:rsidR="0085107A">
        <w:rPr>
          <w:rFonts w:ascii="Arial" w:hAnsi="Arial" w:cs="Arial"/>
          <w:i/>
          <w:sz w:val="20"/>
          <w:szCs w:val="20"/>
        </w:rPr>
        <w:t>aside the decisions set out here</w:t>
      </w:r>
      <w:r>
        <w:rPr>
          <w:rFonts w:ascii="Arial" w:hAnsi="Arial" w:cs="Arial"/>
          <w:i/>
          <w:sz w:val="20"/>
          <w:szCs w:val="20"/>
        </w:rPr>
        <w:t>under:</w:t>
      </w:r>
    </w:p>
    <w:p w14:paraId="01CA8313" w14:textId="77777777" w:rsidR="00A620FD" w:rsidRPr="00A620FD" w:rsidRDefault="00A620FD" w:rsidP="00112DAF">
      <w:pPr>
        <w:pStyle w:val="ListParagraph"/>
        <w:numPr>
          <w:ilvl w:val="1"/>
          <w:numId w:val="16"/>
        </w:numPr>
        <w:spacing w:before="240" w:after="240" w:line="360" w:lineRule="auto"/>
        <w:ind w:left="1440" w:hanging="720"/>
        <w:jc w:val="both"/>
        <w:rPr>
          <w:rFonts w:ascii="Arial" w:hAnsi="Arial" w:cs="Arial"/>
          <w:i/>
          <w:sz w:val="20"/>
          <w:szCs w:val="20"/>
        </w:rPr>
      </w:pPr>
      <w:r w:rsidRPr="00A620FD">
        <w:rPr>
          <w:rFonts w:ascii="Arial" w:hAnsi="Arial" w:cs="Arial"/>
          <w:i/>
          <w:sz w:val="20"/>
          <w:szCs w:val="20"/>
        </w:rPr>
        <w:t>The first respondent’s decision to categorise the applicant’s properties reflected in the first respondent</w:t>
      </w:r>
      <w:r w:rsidR="00233CC7">
        <w:rPr>
          <w:rFonts w:ascii="Arial" w:hAnsi="Arial" w:cs="Arial"/>
          <w:i/>
          <w:sz w:val="20"/>
          <w:szCs w:val="20"/>
        </w:rPr>
        <w:t>’s</w:t>
      </w:r>
      <w:r w:rsidRPr="00A620FD">
        <w:rPr>
          <w:rFonts w:ascii="Arial" w:hAnsi="Arial" w:cs="Arial"/>
          <w:i/>
          <w:sz w:val="20"/>
          <w:szCs w:val="20"/>
        </w:rPr>
        <w:t xml:space="preserve"> valuation roll for the financial years 1 July 2017 until 30 June 2021 </w:t>
      </w:r>
      <w:r w:rsidRPr="00A620FD">
        <w:rPr>
          <w:rFonts w:ascii="Arial" w:hAnsi="Arial" w:cs="Arial"/>
          <w:i/>
          <w:sz w:val="20"/>
          <w:szCs w:val="20"/>
        </w:rPr>
        <w:lastRenderedPageBreak/>
        <w:t>as “public benefit organisation” in terms of the first respondent’s 2017/2018 property rates policy;</w:t>
      </w:r>
    </w:p>
    <w:p w14:paraId="511327E0" w14:textId="77777777" w:rsidR="00A620FD" w:rsidRPr="00A620FD" w:rsidRDefault="00A620FD" w:rsidP="00112DAF">
      <w:pPr>
        <w:pStyle w:val="ListParagraph"/>
        <w:numPr>
          <w:ilvl w:val="1"/>
          <w:numId w:val="16"/>
        </w:numPr>
        <w:spacing w:before="240" w:after="240" w:line="360" w:lineRule="auto"/>
        <w:ind w:left="1440" w:hanging="720"/>
        <w:jc w:val="both"/>
        <w:rPr>
          <w:rFonts w:ascii="Arial" w:hAnsi="Arial" w:cs="Arial"/>
          <w:i/>
          <w:sz w:val="20"/>
          <w:szCs w:val="20"/>
          <w:u w:val="single"/>
        </w:rPr>
      </w:pPr>
      <w:r>
        <w:rPr>
          <w:rFonts w:ascii="Arial" w:hAnsi="Arial" w:cs="Arial"/>
          <w:i/>
          <w:sz w:val="20"/>
          <w:szCs w:val="20"/>
        </w:rPr>
        <w:t xml:space="preserve">The first respondent’s decision to determine in its 2017/2018 property rates policy that a business rate will apply to the levying of rates in respect of the applicant’s properties; </w:t>
      </w:r>
    </w:p>
    <w:p w14:paraId="66ED8A27" w14:textId="4F6BEC8D" w:rsidR="00A620FD" w:rsidRPr="00A620FD" w:rsidRDefault="00A620FD" w:rsidP="00112DAF">
      <w:pPr>
        <w:pStyle w:val="ListParagraph"/>
        <w:numPr>
          <w:ilvl w:val="1"/>
          <w:numId w:val="16"/>
        </w:numPr>
        <w:spacing w:before="240" w:after="240" w:line="360" w:lineRule="auto"/>
        <w:ind w:left="1440" w:hanging="720"/>
        <w:jc w:val="both"/>
        <w:rPr>
          <w:rFonts w:ascii="Arial" w:hAnsi="Arial" w:cs="Arial"/>
          <w:i/>
          <w:sz w:val="20"/>
          <w:szCs w:val="20"/>
          <w:u w:val="single"/>
        </w:rPr>
      </w:pPr>
      <w:r>
        <w:rPr>
          <w:rFonts w:ascii="Arial" w:hAnsi="Arial" w:cs="Arial"/>
          <w:i/>
          <w:sz w:val="20"/>
          <w:szCs w:val="20"/>
        </w:rPr>
        <w:t xml:space="preserve">The first respondent’s failure to determine separate and different rates, in accordance with the provisions of section 3(3)(a), 8(1),14 and 19(1)(c) of the MPRA, in terms of its 2017/2018, 2018/2019 and 2019/2020 property rates policies; </w:t>
      </w:r>
    </w:p>
    <w:p w14:paraId="41D9D97A" w14:textId="01178A9D" w:rsidR="00A33228" w:rsidRPr="00A33228" w:rsidRDefault="00A620FD" w:rsidP="00112DAF">
      <w:pPr>
        <w:pStyle w:val="ListParagraph"/>
        <w:numPr>
          <w:ilvl w:val="1"/>
          <w:numId w:val="16"/>
        </w:numPr>
        <w:spacing w:before="240" w:after="240" w:line="360" w:lineRule="auto"/>
        <w:ind w:left="1440" w:hanging="720"/>
        <w:jc w:val="both"/>
        <w:rPr>
          <w:rFonts w:ascii="Arial" w:hAnsi="Arial" w:cs="Arial"/>
          <w:i/>
          <w:sz w:val="20"/>
          <w:szCs w:val="20"/>
          <w:u w:val="single"/>
        </w:rPr>
      </w:pPr>
      <w:r>
        <w:rPr>
          <w:rFonts w:ascii="Arial" w:hAnsi="Arial" w:cs="Arial"/>
          <w:i/>
          <w:sz w:val="20"/>
          <w:szCs w:val="20"/>
        </w:rPr>
        <w:t xml:space="preserve">The determination by the first respondent of item 10.1(b) of its 2017/2018 property rates policy and item 11.1(b) of its 2018/2019 and 2019/2020 property rates policies as </w:t>
      </w:r>
      <w:r w:rsidR="00A33228">
        <w:rPr>
          <w:rFonts w:ascii="Arial" w:hAnsi="Arial" w:cs="Arial"/>
          <w:i/>
          <w:sz w:val="20"/>
          <w:szCs w:val="20"/>
        </w:rPr>
        <w:t>a criteri</w:t>
      </w:r>
      <w:r w:rsidR="00DF1605">
        <w:rPr>
          <w:rFonts w:ascii="Arial" w:hAnsi="Arial" w:cs="Arial"/>
          <w:i/>
          <w:sz w:val="20"/>
          <w:szCs w:val="20"/>
        </w:rPr>
        <w:t>um</w:t>
      </w:r>
      <w:r>
        <w:rPr>
          <w:rFonts w:ascii="Arial" w:hAnsi="Arial" w:cs="Arial"/>
          <w:i/>
          <w:sz w:val="20"/>
          <w:szCs w:val="20"/>
        </w:rPr>
        <w:t xml:space="preserve"> </w:t>
      </w:r>
      <w:r w:rsidR="00A33228">
        <w:rPr>
          <w:rFonts w:ascii="Arial" w:hAnsi="Arial" w:cs="Arial"/>
          <w:i/>
          <w:sz w:val="20"/>
          <w:szCs w:val="20"/>
        </w:rPr>
        <w:t xml:space="preserve">to be applied by the first respondent to levy different rates for different categories of rateable properties. </w:t>
      </w:r>
    </w:p>
    <w:p w14:paraId="04F3AE77" w14:textId="5172E5E1" w:rsidR="00EB3392" w:rsidRPr="003931C2" w:rsidRDefault="00A33228" w:rsidP="00C7181B">
      <w:pPr>
        <w:pStyle w:val="ListParagraph"/>
        <w:spacing w:before="240" w:line="360" w:lineRule="auto"/>
        <w:ind w:left="1440" w:hanging="720"/>
        <w:jc w:val="both"/>
        <w:rPr>
          <w:rFonts w:ascii="Arial" w:hAnsi="Arial" w:cs="Arial"/>
          <w:i/>
        </w:rPr>
      </w:pPr>
      <w:r>
        <w:rPr>
          <w:rFonts w:ascii="Arial" w:hAnsi="Arial" w:cs="Arial"/>
          <w:i/>
          <w:sz w:val="20"/>
          <w:szCs w:val="20"/>
        </w:rPr>
        <w:t>2.</w:t>
      </w:r>
      <w:r>
        <w:rPr>
          <w:rFonts w:ascii="Arial" w:hAnsi="Arial" w:cs="Arial"/>
          <w:i/>
          <w:sz w:val="20"/>
          <w:szCs w:val="20"/>
        </w:rPr>
        <w:tab/>
        <w:t xml:space="preserve">The 2017/2018, 2018/2019 and 2019/2020 property rates policies be referred to the first respondent who is directed to consider and apply the provisions of </w:t>
      </w:r>
      <w:r w:rsidR="00B7202C">
        <w:rPr>
          <w:rFonts w:ascii="Arial" w:hAnsi="Arial" w:cs="Arial"/>
          <w:i/>
          <w:sz w:val="20"/>
          <w:szCs w:val="20"/>
        </w:rPr>
        <w:t>sections</w:t>
      </w:r>
      <w:r>
        <w:rPr>
          <w:rFonts w:ascii="Arial" w:hAnsi="Arial" w:cs="Arial"/>
          <w:i/>
          <w:sz w:val="20"/>
          <w:szCs w:val="20"/>
        </w:rPr>
        <w:t xml:space="preserve"> 3(3)(a), 3(3)(b)(i) and (ii), 14(2)(b)(ii) and 19(1)(c) of the MPRA and considering such policies. </w:t>
      </w:r>
    </w:p>
    <w:p w14:paraId="1378CE72" w14:textId="77777777" w:rsidR="00EB3392" w:rsidRDefault="004C1229" w:rsidP="00112DAF">
      <w:pPr>
        <w:pStyle w:val="ListParagraph"/>
        <w:numPr>
          <w:ilvl w:val="0"/>
          <w:numId w:val="15"/>
        </w:numPr>
        <w:spacing w:before="240" w:after="240" w:line="360" w:lineRule="auto"/>
        <w:ind w:left="1440" w:hanging="720"/>
        <w:jc w:val="both"/>
        <w:rPr>
          <w:rFonts w:ascii="Arial" w:hAnsi="Arial" w:cs="Arial"/>
          <w:i/>
          <w:sz w:val="20"/>
          <w:szCs w:val="20"/>
        </w:rPr>
      </w:pPr>
      <w:r w:rsidRPr="002F32AE">
        <w:rPr>
          <w:rFonts w:ascii="Arial" w:hAnsi="Arial" w:cs="Arial"/>
          <w:i/>
          <w:sz w:val="20"/>
          <w:szCs w:val="20"/>
        </w:rPr>
        <w:t xml:space="preserve">An order that the first respondent </w:t>
      </w:r>
      <w:r w:rsidR="00B7202C">
        <w:rPr>
          <w:rFonts w:ascii="Arial" w:hAnsi="Arial" w:cs="Arial"/>
          <w:i/>
          <w:sz w:val="20"/>
          <w:szCs w:val="20"/>
        </w:rPr>
        <w:t>makes</w:t>
      </w:r>
      <w:r w:rsidRPr="002F32AE">
        <w:rPr>
          <w:rFonts w:ascii="Arial" w:hAnsi="Arial" w:cs="Arial"/>
          <w:i/>
          <w:sz w:val="20"/>
          <w:szCs w:val="20"/>
        </w:rPr>
        <w:t xml:space="preserve"> or </w:t>
      </w:r>
      <w:r w:rsidR="00B7202C">
        <w:rPr>
          <w:rFonts w:ascii="Arial" w:hAnsi="Arial" w:cs="Arial"/>
          <w:i/>
          <w:sz w:val="20"/>
          <w:szCs w:val="20"/>
        </w:rPr>
        <w:t>causes</w:t>
      </w:r>
      <w:r w:rsidRPr="002F32AE">
        <w:rPr>
          <w:rFonts w:ascii="Arial" w:hAnsi="Arial" w:cs="Arial"/>
          <w:i/>
          <w:sz w:val="20"/>
          <w:szCs w:val="20"/>
        </w:rPr>
        <w:t xml:space="preserve"> to be made a supplementary valuation and categorisation</w:t>
      </w:r>
      <w:r w:rsidR="003E7E06" w:rsidRPr="002F32AE">
        <w:rPr>
          <w:rFonts w:ascii="Arial" w:hAnsi="Arial" w:cs="Arial"/>
          <w:i/>
          <w:sz w:val="20"/>
          <w:szCs w:val="20"/>
        </w:rPr>
        <w:t xml:space="preserve"> of the applicant’s properties as reflected in the valuation roll in terms of section 78 of the MPRA.</w:t>
      </w:r>
      <w:r w:rsidRPr="002F32AE">
        <w:rPr>
          <w:rFonts w:ascii="Arial" w:hAnsi="Arial" w:cs="Arial"/>
          <w:i/>
          <w:sz w:val="20"/>
          <w:szCs w:val="20"/>
        </w:rPr>
        <w:t xml:space="preserve"> </w:t>
      </w:r>
    </w:p>
    <w:p w14:paraId="1C949C45" w14:textId="77777777" w:rsidR="00A33228" w:rsidRDefault="00A33228" w:rsidP="00112DAF">
      <w:pPr>
        <w:spacing w:before="240" w:after="240" w:line="360" w:lineRule="auto"/>
        <w:ind w:left="1440" w:hanging="720"/>
        <w:jc w:val="both"/>
        <w:rPr>
          <w:rFonts w:ascii="Arial" w:hAnsi="Arial" w:cs="Arial"/>
          <w:i/>
          <w:sz w:val="20"/>
          <w:szCs w:val="20"/>
          <w:u w:val="single"/>
        </w:rPr>
      </w:pPr>
      <w:r>
        <w:rPr>
          <w:rFonts w:ascii="Arial" w:hAnsi="Arial" w:cs="Arial"/>
          <w:i/>
          <w:sz w:val="20"/>
          <w:szCs w:val="20"/>
          <w:u w:val="single"/>
        </w:rPr>
        <w:t>Part 3</w:t>
      </w:r>
    </w:p>
    <w:p w14:paraId="0C3BC708" w14:textId="77777777" w:rsidR="00C04E20" w:rsidRPr="00C04E20" w:rsidRDefault="00A33228" w:rsidP="00112DAF">
      <w:pPr>
        <w:pStyle w:val="ListParagraph"/>
        <w:numPr>
          <w:ilvl w:val="1"/>
          <w:numId w:val="17"/>
        </w:numPr>
        <w:spacing w:before="240" w:after="240" w:line="360" w:lineRule="auto"/>
        <w:ind w:left="1440" w:hanging="720"/>
        <w:jc w:val="both"/>
        <w:rPr>
          <w:rFonts w:ascii="Arial" w:hAnsi="Arial" w:cs="Arial"/>
          <w:i/>
          <w:sz w:val="20"/>
          <w:szCs w:val="20"/>
        </w:rPr>
      </w:pPr>
      <w:r w:rsidRPr="00C04E20">
        <w:rPr>
          <w:rFonts w:ascii="Arial" w:hAnsi="Arial" w:cs="Arial"/>
          <w:i/>
          <w:sz w:val="20"/>
          <w:szCs w:val="20"/>
        </w:rPr>
        <w:t>The third respondent’s decision to categorise the applicant’</w:t>
      </w:r>
      <w:r w:rsidR="00C04E20" w:rsidRPr="00C04E20">
        <w:rPr>
          <w:rFonts w:ascii="Arial" w:hAnsi="Arial" w:cs="Arial"/>
          <w:i/>
          <w:sz w:val="20"/>
          <w:szCs w:val="20"/>
        </w:rPr>
        <w:t>s properties (specifically erf 26454) reflected in the valuation roll as “business” in accordance with the provisions of section 34 and 48(2)(b) of MPRA;</w:t>
      </w:r>
    </w:p>
    <w:p w14:paraId="6C4F27B7" w14:textId="77777777" w:rsidR="00C04E20" w:rsidRDefault="00C04E20" w:rsidP="00112DAF">
      <w:pPr>
        <w:pStyle w:val="ListParagraph"/>
        <w:numPr>
          <w:ilvl w:val="1"/>
          <w:numId w:val="17"/>
        </w:numPr>
        <w:spacing w:before="240" w:after="240" w:line="360" w:lineRule="auto"/>
        <w:ind w:left="1440" w:hanging="720"/>
        <w:jc w:val="both"/>
        <w:rPr>
          <w:rFonts w:ascii="Arial" w:hAnsi="Arial" w:cs="Arial"/>
          <w:i/>
          <w:sz w:val="20"/>
          <w:szCs w:val="20"/>
        </w:rPr>
      </w:pPr>
      <w:r>
        <w:rPr>
          <w:rFonts w:ascii="Arial" w:hAnsi="Arial" w:cs="Arial"/>
          <w:i/>
          <w:sz w:val="20"/>
          <w:szCs w:val="20"/>
        </w:rPr>
        <w:t>The third respondent’s decision to determine the market value of er</w:t>
      </w:r>
      <w:r w:rsidR="00DF1605">
        <w:rPr>
          <w:rFonts w:ascii="Arial" w:hAnsi="Arial" w:cs="Arial"/>
          <w:i/>
          <w:sz w:val="20"/>
          <w:szCs w:val="20"/>
        </w:rPr>
        <w:t>f 26454 in the amount of R 340 m</w:t>
      </w:r>
      <w:r>
        <w:rPr>
          <w:rFonts w:ascii="Arial" w:hAnsi="Arial" w:cs="Arial"/>
          <w:i/>
          <w:sz w:val="20"/>
          <w:szCs w:val="20"/>
        </w:rPr>
        <w:t xml:space="preserve">illion </w:t>
      </w:r>
      <w:r w:rsidR="00B7202C">
        <w:rPr>
          <w:rFonts w:ascii="Arial" w:hAnsi="Arial" w:cs="Arial"/>
          <w:i/>
          <w:sz w:val="20"/>
          <w:szCs w:val="20"/>
        </w:rPr>
        <w:t>rands</w:t>
      </w:r>
      <w:r>
        <w:rPr>
          <w:rFonts w:ascii="Arial" w:hAnsi="Arial" w:cs="Arial"/>
          <w:i/>
          <w:sz w:val="20"/>
          <w:szCs w:val="20"/>
        </w:rPr>
        <w:t xml:space="preserve">; and </w:t>
      </w:r>
    </w:p>
    <w:p w14:paraId="692A594C" w14:textId="77777777" w:rsidR="00021045" w:rsidRDefault="00C04E20" w:rsidP="00021045">
      <w:pPr>
        <w:pStyle w:val="ListParagraph"/>
        <w:numPr>
          <w:ilvl w:val="1"/>
          <w:numId w:val="17"/>
        </w:numPr>
        <w:spacing w:line="360" w:lineRule="auto"/>
        <w:ind w:left="1440" w:hanging="720"/>
        <w:jc w:val="both"/>
        <w:rPr>
          <w:rFonts w:ascii="Arial" w:hAnsi="Arial" w:cs="Arial"/>
          <w:i/>
          <w:sz w:val="20"/>
          <w:szCs w:val="20"/>
        </w:rPr>
      </w:pPr>
      <w:r w:rsidRPr="00021045">
        <w:rPr>
          <w:rFonts w:ascii="Arial" w:hAnsi="Arial" w:cs="Arial"/>
          <w:i/>
          <w:sz w:val="20"/>
          <w:szCs w:val="20"/>
        </w:rPr>
        <w:t xml:space="preserve">The first respondent’s decision to levy rates on the applicant’s properties in </w:t>
      </w:r>
      <w:r w:rsidR="00B7202C" w:rsidRPr="00021045">
        <w:rPr>
          <w:rFonts w:ascii="Arial" w:hAnsi="Arial" w:cs="Arial"/>
          <w:i/>
          <w:sz w:val="20"/>
          <w:szCs w:val="20"/>
        </w:rPr>
        <w:t>terms</w:t>
      </w:r>
      <w:r w:rsidRPr="00021045">
        <w:rPr>
          <w:rFonts w:ascii="Arial" w:hAnsi="Arial" w:cs="Arial"/>
          <w:i/>
          <w:sz w:val="20"/>
          <w:szCs w:val="20"/>
        </w:rPr>
        <w:t xml:space="preserve"> of their market value and their categorisation recorded in the valuation roll. </w:t>
      </w:r>
    </w:p>
    <w:p w14:paraId="081A5101" w14:textId="67209CC0" w:rsidR="00C04E20" w:rsidRPr="00021045" w:rsidRDefault="00C04E20" w:rsidP="00021045">
      <w:pPr>
        <w:spacing w:line="360" w:lineRule="auto"/>
        <w:ind w:left="1440" w:hanging="720"/>
        <w:jc w:val="both"/>
        <w:rPr>
          <w:rFonts w:ascii="Arial" w:hAnsi="Arial" w:cs="Arial"/>
          <w:i/>
          <w:sz w:val="20"/>
          <w:szCs w:val="20"/>
        </w:rPr>
      </w:pPr>
      <w:r w:rsidRPr="00021045">
        <w:rPr>
          <w:rFonts w:ascii="Arial" w:hAnsi="Arial" w:cs="Arial"/>
          <w:i/>
          <w:sz w:val="20"/>
          <w:szCs w:val="20"/>
        </w:rPr>
        <w:t>2.</w:t>
      </w:r>
      <w:r w:rsidRPr="00021045">
        <w:rPr>
          <w:rFonts w:ascii="Arial" w:hAnsi="Arial" w:cs="Arial"/>
          <w:i/>
          <w:sz w:val="20"/>
          <w:szCs w:val="20"/>
        </w:rPr>
        <w:tab/>
        <w:t xml:space="preserve">First respondent be ordered to make a supplementary valuation and categorisation of the applicant’s properties as reflected in the valuation roll in terms of section 78 of the MPRA. </w:t>
      </w:r>
    </w:p>
    <w:p w14:paraId="74A2383A" w14:textId="77777777" w:rsidR="004032A9" w:rsidRDefault="00C04E20" w:rsidP="00021045">
      <w:pPr>
        <w:spacing w:after="240" w:line="360" w:lineRule="auto"/>
        <w:ind w:left="1440" w:hanging="720"/>
        <w:jc w:val="both"/>
        <w:rPr>
          <w:rFonts w:ascii="Arial" w:hAnsi="Arial" w:cs="Arial"/>
          <w:i/>
          <w:sz w:val="20"/>
          <w:szCs w:val="20"/>
        </w:rPr>
      </w:pPr>
      <w:r>
        <w:rPr>
          <w:rFonts w:ascii="Arial" w:hAnsi="Arial" w:cs="Arial"/>
          <w:i/>
          <w:sz w:val="20"/>
          <w:szCs w:val="20"/>
        </w:rPr>
        <w:t>3.</w:t>
      </w:r>
      <w:r>
        <w:rPr>
          <w:rFonts w:ascii="Arial" w:hAnsi="Arial" w:cs="Arial"/>
          <w:i/>
          <w:sz w:val="20"/>
          <w:szCs w:val="20"/>
        </w:rPr>
        <w:tab/>
        <w:t>The time period for the institution of review</w:t>
      </w:r>
      <w:r w:rsidR="004032A9">
        <w:rPr>
          <w:rFonts w:ascii="Arial" w:hAnsi="Arial" w:cs="Arial"/>
          <w:i/>
          <w:sz w:val="20"/>
          <w:szCs w:val="20"/>
        </w:rPr>
        <w:t xml:space="preserve">ing proceedings of part 3 of the notice of motion be extended in terms of PAJA. </w:t>
      </w:r>
    </w:p>
    <w:p w14:paraId="0E53F100" w14:textId="77777777" w:rsidR="004032A9" w:rsidRDefault="004032A9" w:rsidP="00112DAF">
      <w:pPr>
        <w:spacing w:before="240" w:after="240" w:line="360" w:lineRule="auto"/>
        <w:ind w:left="1440" w:hanging="720"/>
        <w:jc w:val="both"/>
        <w:rPr>
          <w:rFonts w:ascii="Arial" w:hAnsi="Arial" w:cs="Arial"/>
          <w:i/>
          <w:sz w:val="20"/>
          <w:szCs w:val="20"/>
          <w:u w:val="single"/>
        </w:rPr>
      </w:pPr>
      <w:r>
        <w:rPr>
          <w:rFonts w:ascii="Arial" w:hAnsi="Arial" w:cs="Arial"/>
          <w:i/>
          <w:sz w:val="20"/>
          <w:szCs w:val="20"/>
          <w:u w:val="single"/>
        </w:rPr>
        <w:t>Part 4</w:t>
      </w:r>
    </w:p>
    <w:p w14:paraId="45513E14" w14:textId="77777777" w:rsidR="004032A9" w:rsidRDefault="004032A9" w:rsidP="00112DAF">
      <w:pPr>
        <w:spacing w:before="240" w:after="240" w:line="360" w:lineRule="auto"/>
        <w:ind w:left="720"/>
        <w:jc w:val="both"/>
        <w:rPr>
          <w:rFonts w:ascii="Arial" w:hAnsi="Arial" w:cs="Arial"/>
          <w:i/>
          <w:sz w:val="20"/>
          <w:szCs w:val="20"/>
        </w:rPr>
      </w:pPr>
      <w:r>
        <w:rPr>
          <w:rFonts w:ascii="Arial" w:hAnsi="Arial" w:cs="Arial"/>
          <w:i/>
          <w:sz w:val="20"/>
          <w:szCs w:val="20"/>
        </w:rPr>
        <w:t>Conditionally</w:t>
      </w:r>
      <w:r w:rsidR="003B0156">
        <w:rPr>
          <w:rFonts w:ascii="Arial" w:hAnsi="Arial" w:cs="Arial"/>
          <w:i/>
          <w:sz w:val="20"/>
          <w:szCs w:val="20"/>
        </w:rPr>
        <w:t>,</w:t>
      </w:r>
      <w:r>
        <w:rPr>
          <w:rFonts w:ascii="Arial" w:hAnsi="Arial" w:cs="Arial"/>
          <w:i/>
          <w:sz w:val="20"/>
          <w:szCs w:val="20"/>
        </w:rPr>
        <w:t xml:space="preserve"> upon the court holding that the applicant could have resorted to internal remedies; the applicant, in the interests of justice, is exempted from the obligation to exhaust any internal remedy. </w:t>
      </w:r>
    </w:p>
    <w:p w14:paraId="58C75E21" w14:textId="6760E37A" w:rsidR="004032A9" w:rsidRDefault="004032A9" w:rsidP="00112DAF">
      <w:pPr>
        <w:spacing w:before="240" w:after="240" w:line="360" w:lineRule="auto"/>
        <w:ind w:left="720" w:hanging="720"/>
        <w:jc w:val="both"/>
        <w:rPr>
          <w:rFonts w:ascii="Arial" w:hAnsi="Arial" w:cs="Arial"/>
        </w:rPr>
      </w:pPr>
      <w:r>
        <w:rPr>
          <w:rFonts w:ascii="Arial" w:hAnsi="Arial" w:cs="Arial"/>
        </w:rPr>
        <w:t>[4]</w:t>
      </w:r>
      <w:r>
        <w:rPr>
          <w:rFonts w:ascii="Arial" w:hAnsi="Arial" w:cs="Arial"/>
        </w:rPr>
        <w:tab/>
        <w:t>The applicant is a University duly establishe</w:t>
      </w:r>
      <w:r w:rsidR="001351AA">
        <w:rPr>
          <w:rFonts w:ascii="Arial" w:hAnsi="Arial" w:cs="Arial"/>
        </w:rPr>
        <w:t>d as a Higher</w:t>
      </w:r>
      <w:r>
        <w:rPr>
          <w:rFonts w:ascii="Arial" w:hAnsi="Arial" w:cs="Arial"/>
        </w:rPr>
        <w:t xml:space="preserve"> </w:t>
      </w:r>
      <w:r w:rsidR="001351AA">
        <w:rPr>
          <w:rFonts w:ascii="Arial" w:hAnsi="Arial" w:cs="Arial"/>
        </w:rPr>
        <w:t>Education I</w:t>
      </w:r>
      <w:r>
        <w:rPr>
          <w:rFonts w:ascii="Arial" w:hAnsi="Arial" w:cs="Arial"/>
        </w:rPr>
        <w:t>nstitution in terms of the High</w:t>
      </w:r>
      <w:r w:rsidR="001351AA">
        <w:rPr>
          <w:rFonts w:ascii="Arial" w:hAnsi="Arial" w:cs="Arial"/>
        </w:rPr>
        <w:t>er</w:t>
      </w:r>
      <w:r>
        <w:rPr>
          <w:rFonts w:ascii="Arial" w:hAnsi="Arial" w:cs="Arial"/>
        </w:rPr>
        <w:t xml:space="preserve"> Education Act, 101 of 1997 with </w:t>
      </w:r>
      <w:r w:rsidR="00B7202C">
        <w:rPr>
          <w:rFonts w:ascii="Arial" w:hAnsi="Arial" w:cs="Arial"/>
        </w:rPr>
        <w:t xml:space="preserve">an address </w:t>
      </w:r>
      <w:r>
        <w:rPr>
          <w:rFonts w:ascii="Arial" w:hAnsi="Arial" w:cs="Arial"/>
        </w:rPr>
        <w:t xml:space="preserve">at </w:t>
      </w:r>
      <w:r w:rsidR="00B7202C">
        <w:rPr>
          <w:rFonts w:ascii="Arial" w:hAnsi="Arial" w:cs="Arial"/>
        </w:rPr>
        <w:t xml:space="preserve">the </w:t>
      </w:r>
      <w:r>
        <w:rPr>
          <w:rFonts w:ascii="Arial" w:hAnsi="Arial" w:cs="Arial"/>
        </w:rPr>
        <w:t xml:space="preserve">main </w:t>
      </w:r>
      <w:r w:rsidR="00715DCC">
        <w:rPr>
          <w:rFonts w:ascii="Arial" w:hAnsi="Arial" w:cs="Arial"/>
        </w:rPr>
        <w:lastRenderedPageBreak/>
        <w:t>C</w:t>
      </w:r>
      <w:r>
        <w:rPr>
          <w:rFonts w:ascii="Arial" w:hAnsi="Arial" w:cs="Arial"/>
        </w:rPr>
        <w:t xml:space="preserve">ampus, 20 President Brand </w:t>
      </w:r>
      <w:r w:rsidR="00B7202C">
        <w:rPr>
          <w:rFonts w:ascii="Arial" w:hAnsi="Arial" w:cs="Arial"/>
        </w:rPr>
        <w:t>Street</w:t>
      </w:r>
      <w:r>
        <w:rPr>
          <w:rFonts w:ascii="Arial" w:hAnsi="Arial" w:cs="Arial"/>
        </w:rPr>
        <w:t>, Bloemfontein.</w:t>
      </w:r>
      <w:r>
        <w:rPr>
          <w:rStyle w:val="FootnoteReference"/>
          <w:rFonts w:ascii="Arial" w:hAnsi="Arial" w:cs="Arial"/>
        </w:rPr>
        <w:footnoteReference w:id="4"/>
      </w:r>
      <w:r>
        <w:rPr>
          <w:rFonts w:ascii="Arial" w:hAnsi="Arial" w:cs="Arial"/>
        </w:rPr>
        <w:t xml:space="preserve"> It performs a public function and provides higher education to a section of the public. As an or</w:t>
      </w:r>
      <w:r w:rsidR="00715DCC">
        <w:rPr>
          <w:rFonts w:ascii="Arial" w:hAnsi="Arial" w:cs="Arial"/>
        </w:rPr>
        <w:t>gan of</w:t>
      </w:r>
      <w:r w:rsidR="00B7202C">
        <w:rPr>
          <w:rFonts w:ascii="Arial" w:hAnsi="Arial" w:cs="Arial"/>
        </w:rPr>
        <w:t xml:space="preserve"> </w:t>
      </w:r>
      <w:r>
        <w:rPr>
          <w:rFonts w:ascii="Arial" w:hAnsi="Arial" w:cs="Arial"/>
        </w:rPr>
        <w:t>state,</w:t>
      </w:r>
      <w:r w:rsidR="00194466">
        <w:rPr>
          <w:rStyle w:val="FootnoteReference"/>
          <w:rFonts w:ascii="Arial" w:hAnsi="Arial" w:cs="Arial"/>
        </w:rPr>
        <w:footnoteReference w:id="5"/>
      </w:r>
      <w:r>
        <w:rPr>
          <w:rFonts w:ascii="Arial" w:hAnsi="Arial" w:cs="Arial"/>
        </w:rPr>
        <w:t xml:space="preserve"> its properties are owned by the state. </w:t>
      </w:r>
    </w:p>
    <w:p w14:paraId="73730229" w14:textId="77777777" w:rsidR="00397F46" w:rsidRDefault="004032A9" w:rsidP="00112DAF">
      <w:pPr>
        <w:spacing w:before="240" w:after="240" w:line="360" w:lineRule="auto"/>
        <w:ind w:left="720" w:hanging="720"/>
        <w:jc w:val="both"/>
        <w:rPr>
          <w:rFonts w:ascii="Arial" w:hAnsi="Arial" w:cs="Arial"/>
        </w:rPr>
      </w:pPr>
      <w:r>
        <w:rPr>
          <w:rFonts w:ascii="Arial" w:hAnsi="Arial" w:cs="Arial"/>
        </w:rPr>
        <w:t>[5]</w:t>
      </w:r>
      <w:r>
        <w:rPr>
          <w:rFonts w:ascii="Arial" w:hAnsi="Arial" w:cs="Arial"/>
        </w:rPr>
        <w:tab/>
        <w:t xml:space="preserve">The first respondent is a metropolitan municipality duly established in terms of the provisions of section 12 of </w:t>
      </w:r>
      <w:r w:rsidR="00084C51">
        <w:rPr>
          <w:rFonts w:ascii="Arial" w:hAnsi="Arial" w:cs="Arial"/>
        </w:rPr>
        <w:t>the Local Government:</w:t>
      </w:r>
      <w:r>
        <w:rPr>
          <w:rFonts w:ascii="Arial" w:hAnsi="Arial" w:cs="Arial"/>
        </w:rPr>
        <w:t xml:space="preserve"> Municipal Structures Act, 117 of 1998 with </w:t>
      </w:r>
      <w:r w:rsidR="00084C51">
        <w:rPr>
          <w:rFonts w:ascii="Arial" w:hAnsi="Arial" w:cs="Arial"/>
        </w:rPr>
        <w:t xml:space="preserve">its </w:t>
      </w:r>
      <w:r>
        <w:rPr>
          <w:rFonts w:ascii="Arial" w:hAnsi="Arial" w:cs="Arial"/>
        </w:rPr>
        <w:t xml:space="preserve">address at </w:t>
      </w:r>
      <w:r w:rsidR="00084C51">
        <w:rPr>
          <w:rFonts w:ascii="Arial" w:hAnsi="Arial" w:cs="Arial"/>
        </w:rPr>
        <w:t xml:space="preserve">the </w:t>
      </w:r>
      <w:r>
        <w:rPr>
          <w:rFonts w:ascii="Arial" w:hAnsi="Arial" w:cs="Arial"/>
        </w:rPr>
        <w:t xml:space="preserve">Bram Fisher </w:t>
      </w:r>
      <w:r w:rsidR="00084C51">
        <w:rPr>
          <w:rFonts w:ascii="Arial" w:hAnsi="Arial" w:cs="Arial"/>
        </w:rPr>
        <w:t xml:space="preserve">Building, 15 </w:t>
      </w:r>
      <w:r w:rsidR="00084C51" w:rsidRPr="00084C51">
        <w:rPr>
          <w:rFonts w:ascii="Arial" w:hAnsi="Arial" w:cs="Arial"/>
        </w:rPr>
        <w:t>De Villiers</w:t>
      </w:r>
      <w:r>
        <w:rPr>
          <w:rFonts w:ascii="Arial" w:hAnsi="Arial" w:cs="Arial"/>
        </w:rPr>
        <w:t xml:space="preserve"> </w:t>
      </w:r>
      <w:r w:rsidR="00084C51">
        <w:rPr>
          <w:rFonts w:ascii="Arial" w:hAnsi="Arial" w:cs="Arial"/>
        </w:rPr>
        <w:t>Street</w:t>
      </w:r>
      <w:r>
        <w:rPr>
          <w:rFonts w:ascii="Arial" w:hAnsi="Arial" w:cs="Arial"/>
        </w:rPr>
        <w:t xml:space="preserve">, Bloemfontein. It exercises its </w:t>
      </w:r>
      <w:r w:rsidR="00084C51">
        <w:rPr>
          <w:rFonts w:ascii="Arial" w:hAnsi="Arial" w:cs="Arial"/>
        </w:rPr>
        <w:t>executive and legislative authority</w:t>
      </w:r>
      <w:r>
        <w:rPr>
          <w:rFonts w:ascii="Arial" w:hAnsi="Arial" w:cs="Arial"/>
        </w:rPr>
        <w:t xml:space="preserve"> by, amongst other</w:t>
      </w:r>
      <w:r w:rsidR="00084C51">
        <w:rPr>
          <w:rFonts w:ascii="Arial" w:hAnsi="Arial" w:cs="Arial"/>
        </w:rPr>
        <w:t>s</w:t>
      </w:r>
      <w:r>
        <w:rPr>
          <w:rFonts w:ascii="Arial" w:hAnsi="Arial" w:cs="Arial"/>
        </w:rPr>
        <w:t>, developing and adopting policies</w:t>
      </w:r>
      <w:r w:rsidR="00F96FB2">
        <w:rPr>
          <w:rFonts w:ascii="Arial" w:hAnsi="Arial" w:cs="Arial"/>
        </w:rPr>
        <w:t>,</w:t>
      </w:r>
      <w:r w:rsidR="00397F46">
        <w:rPr>
          <w:rFonts w:ascii="Arial" w:hAnsi="Arial" w:cs="Arial"/>
        </w:rPr>
        <w:t xml:space="preserve"> </w:t>
      </w:r>
      <w:r w:rsidR="00F96FB2">
        <w:rPr>
          <w:rFonts w:ascii="Arial" w:hAnsi="Arial" w:cs="Arial"/>
        </w:rPr>
        <w:t>pre</w:t>
      </w:r>
      <w:r w:rsidR="00397F46">
        <w:rPr>
          <w:rFonts w:ascii="Arial" w:hAnsi="Arial" w:cs="Arial"/>
        </w:rPr>
        <w:t>paring, approving and implementing its budgets</w:t>
      </w:r>
      <w:r w:rsidR="00397F46">
        <w:rPr>
          <w:rStyle w:val="FootnoteReference"/>
          <w:rFonts w:ascii="Arial" w:hAnsi="Arial" w:cs="Arial"/>
        </w:rPr>
        <w:footnoteReference w:id="6"/>
      </w:r>
      <w:r>
        <w:rPr>
          <w:rFonts w:ascii="Arial" w:hAnsi="Arial" w:cs="Arial"/>
        </w:rPr>
        <w:t xml:space="preserve"> </w:t>
      </w:r>
      <w:r w:rsidR="00397F46">
        <w:rPr>
          <w:rFonts w:ascii="Arial" w:hAnsi="Arial" w:cs="Arial"/>
        </w:rPr>
        <w:t>and must follow the proce</w:t>
      </w:r>
      <w:r w:rsidR="00F96FB2">
        <w:rPr>
          <w:rFonts w:ascii="Arial" w:hAnsi="Arial" w:cs="Arial"/>
        </w:rPr>
        <w:t>dure prescribed by the applicable</w:t>
      </w:r>
      <w:r w:rsidR="00397F46">
        <w:rPr>
          <w:rFonts w:ascii="Arial" w:hAnsi="Arial" w:cs="Arial"/>
        </w:rPr>
        <w:t xml:space="preserve"> national or provincial legislation when</w:t>
      </w:r>
      <w:r w:rsidR="00F96FB2">
        <w:rPr>
          <w:rFonts w:ascii="Arial" w:hAnsi="Arial" w:cs="Arial"/>
        </w:rPr>
        <w:t xml:space="preserve"> it</w:t>
      </w:r>
      <w:r w:rsidR="00397F46">
        <w:rPr>
          <w:rFonts w:ascii="Arial" w:hAnsi="Arial" w:cs="Arial"/>
        </w:rPr>
        <w:t xml:space="preserve"> levi</w:t>
      </w:r>
      <w:r w:rsidR="00F96FB2">
        <w:rPr>
          <w:rFonts w:ascii="Arial" w:hAnsi="Arial" w:cs="Arial"/>
        </w:rPr>
        <w:t>es</w:t>
      </w:r>
      <w:r w:rsidR="00397F46">
        <w:rPr>
          <w:rFonts w:ascii="Arial" w:hAnsi="Arial" w:cs="Arial"/>
        </w:rPr>
        <w:t>, recover</w:t>
      </w:r>
      <w:r w:rsidR="00F96FB2">
        <w:rPr>
          <w:rFonts w:ascii="Arial" w:hAnsi="Arial" w:cs="Arial"/>
        </w:rPr>
        <w:t>s</w:t>
      </w:r>
      <w:r w:rsidR="00397F46">
        <w:rPr>
          <w:rFonts w:ascii="Arial" w:hAnsi="Arial" w:cs="Arial"/>
        </w:rPr>
        <w:t xml:space="preserve"> or </w:t>
      </w:r>
      <w:r w:rsidR="00F96FB2">
        <w:rPr>
          <w:rFonts w:ascii="Arial" w:hAnsi="Arial" w:cs="Arial"/>
        </w:rPr>
        <w:t>increases</w:t>
      </w:r>
      <w:r w:rsidR="00397F46">
        <w:rPr>
          <w:rFonts w:ascii="Arial" w:hAnsi="Arial" w:cs="Arial"/>
        </w:rPr>
        <w:t xml:space="preserve"> property rates. </w:t>
      </w:r>
    </w:p>
    <w:p w14:paraId="1E26C77F" w14:textId="77777777" w:rsidR="00397F46" w:rsidRDefault="00397F46" w:rsidP="00112DAF">
      <w:pPr>
        <w:spacing w:before="240" w:after="240" w:line="360" w:lineRule="auto"/>
        <w:ind w:left="720" w:hanging="720"/>
        <w:jc w:val="both"/>
        <w:rPr>
          <w:rFonts w:ascii="Arial" w:hAnsi="Arial" w:cs="Arial"/>
        </w:rPr>
      </w:pPr>
      <w:r>
        <w:rPr>
          <w:rFonts w:ascii="Arial" w:hAnsi="Arial" w:cs="Arial"/>
        </w:rPr>
        <w:t>[</w:t>
      </w:r>
      <w:r w:rsidR="00C82332">
        <w:rPr>
          <w:rFonts w:ascii="Arial" w:hAnsi="Arial" w:cs="Arial"/>
        </w:rPr>
        <w:t>6</w:t>
      </w:r>
      <w:r>
        <w:rPr>
          <w:rFonts w:ascii="Arial" w:hAnsi="Arial" w:cs="Arial"/>
        </w:rPr>
        <w:t>]</w:t>
      </w:r>
      <w:r>
        <w:rPr>
          <w:rFonts w:ascii="Arial" w:hAnsi="Arial" w:cs="Arial"/>
        </w:rPr>
        <w:tab/>
        <w:t xml:space="preserve">The second respondent is the </w:t>
      </w:r>
      <w:r w:rsidR="00D47B42">
        <w:rPr>
          <w:rFonts w:ascii="Arial" w:hAnsi="Arial" w:cs="Arial"/>
        </w:rPr>
        <w:t xml:space="preserve">first respondent’s </w:t>
      </w:r>
      <w:r>
        <w:rPr>
          <w:rFonts w:ascii="Arial" w:hAnsi="Arial" w:cs="Arial"/>
        </w:rPr>
        <w:t>municipal manager appointed in terms of section 54A of the Local Government: Municipal Systems Act, 32 of 2000 (</w:t>
      </w:r>
      <w:r w:rsidR="00D47B42">
        <w:rPr>
          <w:rFonts w:ascii="Arial" w:hAnsi="Arial" w:cs="Arial"/>
        </w:rPr>
        <w:t>“</w:t>
      </w:r>
      <w:r>
        <w:rPr>
          <w:rFonts w:ascii="Arial" w:hAnsi="Arial" w:cs="Arial"/>
        </w:rPr>
        <w:t>the Systems Act</w:t>
      </w:r>
      <w:r w:rsidR="00D47B42">
        <w:rPr>
          <w:rFonts w:ascii="Arial" w:hAnsi="Arial" w:cs="Arial"/>
        </w:rPr>
        <w:t>”</w:t>
      </w:r>
      <w:r>
        <w:rPr>
          <w:rFonts w:ascii="Arial" w:hAnsi="Arial" w:cs="Arial"/>
        </w:rPr>
        <w:t>). The third respondent is the</w:t>
      </w:r>
      <w:r w:rsidR="001C3FB2">
        <w:rPr>
          <w:rFonts w:ascii="Arial" w:hAnsi="Arial" w:cs="Arial"/>
        </w:rPr>
        <w:t xml:space="preserve"> first respondent’s</w:t>
      </w:r>
      <w:r>
        <w:rPr>
          <w:rFonts w:ascii="Arial" w:hAnsi="Arial" w:cs="Arial"/>
        </w:rPr>
        <w:t xml:space="preserve"> municipal valuer duly appointed in terms of the provisions of section 33 of the MPRA. </w:t>
      </w:r>
    </w:p>
    <w:p w14:paraId="50C01C7E" w14:textId="77777777" w:rsidR="00812630" w:rsidRDefault="00E613CC" w:rsidP="00112DAF">
      <w:pPr>
        <w:spacing w:before="240" w:after="240" w:line="360" w:lineRule="auto"/>
        <w:ind w:left="720" w:hanging="720"/>
        <w:jc w:val="both"/>
        <w:rPr>
          <w:rFonts w:ascii="Arial" w:hAnsi="Arial" w:cs="Arial"/>
        </w:rPr>
      </w:pPr>
      <w:r>
        <w:rPr>
          <w:rFonts w:ascii="Arial" w:hAnsi="Arial" w:cs="Arial"/>
        </w:rPr>
        <w:t>[7]</w:t>
      </w:r>
      <w:r>
        <w:rPr>
          <w:rFonts w:ascii="Arial" w:hAnsi="Arial" w:cs="Arial"/>
        </w:rPr>
        <w:tab/>
        <w:t>The dispute</w:t>
      </w:r>
      <w:r w:rsidR="00397F46">
        <w:rPr>
          <w:rFonts w:ascii="Arial" w:hAnsi="Arial" w:cs="Arial"/>
        </w:rPr>
        <w:t xml:space="preserve"> between the applicant and the first respondent </w:t>
      </w:r>
      <w:r>
        <w:rPr>
          <w:rFonts w:ascii="Arial" w:hAnsi="Arial" w:cs="Arial"/>
        </w:rPr>
        <w:t>has its genesis in</w:t>
      </w:r>
      <w:r w:rsidR="00397F46">
        <w:rPr>
          <w:rFonts w:ascii="Arial" w:hAnsi="Arial" w:cs="Arial"/>
        </w:rPr>
        <w:t xml:space="preserve"> the 2017 valuation roll which determined the categorisation and market value </w:t>
      </w:r>
      <w:r>
        <w:rPr>
          <w:rFonts w:ascii="Arial" w:hAnsi="Arial" w:cs="Arial"/>
        </w:rPr>
        <w:t>of the applicant’s properties; i</w:t>
      </w:r>
      <w:r w:rsidR="00397F46">
        <w:rPr>
          <w:rFonts w:ascii="Arial" w:hAnsi="Arial" w:cs="Arial"/>
        </w:rPr>
        <w:t xml:space="preserve">n particular, the first respondent’s decision to levy a business property rate </w:t>
      </w:r>
      <w:r w:rsidR="00875304">
        <w:rPr>
          <w:rFonts w:ascii="Arial" w:hAnsi="Arial" w:cs="Arial"/>
        </w:rPr>
        <w:t>on</w:t>
      </w:r>
      <w:r w:rsidR="00397F46">
        <w:rPr>
          <w:rFonts w:ascii="Arial" w:hAnsi="Arial" w:cs="Arial"/>
        </w:rPr>
        <w:t xml:space="preserve"> the applicant’s properties</w:t>
      </w:r>
      <w:r>
        <w:rPr>
          <w:rFonts w:ascii="Arial" w:hAnsi="Arial" w:cs="Arial"/>
        </w:rPr>
        <w:t>, especially erf 26454 since 1 July 2017. On 10 June</w:t>
      </w:r>
      <w:r w:rsidR="00397F46">
        <w:rPr>
          <w:rFonts w:ascii="Arial" w:hAnsi="Arial" w:cs="Arial"/>
        </w:rPr>
        <w:t xml:space="preserve"> 2019, the applicant, through its attorneys, declared a dispute in terms of</w:t>
      </w:r>
      <w:r>
        <w:rPr>
          <w:rFonts w:ascii="Arial" w:hAnsi="Arial" w:cs="Arial"/>
        </w:rPr>
        <w:t xml:space="preserve"> section 102(2) of the Systems Act,</w:t>
      </w:r>
      <w:r w:rsidR="00397F46">
        <w:rPr>
          <w:rFonts w:ascii="Arial" w:hAnsi="Arial" w:cs="Arial"/>
        </w:rPr>
        <w:t xml:space="preserve"> to the rates and </w:t>
      </w:r>
      <w:r>
        <w:rPr>
          <w:rFonts w:ascii="Arial" w:hAnsi="Arial" w:cs="Arial"/>
        </w:rPr>
        <w:t>taxes payable by the applicant on its</w:t>
      </w:r>
      <w:r w:rsidR="00397F46">
        <w:rPr>
          <w:rFonts w:ascii="Arial" w:hAnsi="Arial" w:cs="Arial"/>
        </w:rPr>
        <w:t xml:space="preserve"> immovable property. The </w:t>
      </w:r>
      <w:r>
        <w:rPr>
          <w:rFonts w:ascii="Arial" w:hAnsi="Arial" w:cs="Arial"/>
        </w:rPr>
        <w:t>applicant</w:t>
      </w:r>
      <w:r w:rsidR="00397F46">
        <w:rPr>
          <w:rFonts w:ascii="Arial" w:hAnsi="Arial" w:cs="Arial"/>
        </w:rPr>
        <w:t xml:space="preserve"> disputed</w:t>
      </w:r>
      <w:r>
        <w:rPr>
          <w:rFonts w:ascii="Arial" w:hAnsi="Arial" w:cs="Arial"/>
        </w:rPr>
        <w:t xml:space="preserve"> the amount payable</w:t>
      </w:r>
      <w:r w:rsidR="00397F46">
        <w:rPr>
          <w:rFonts w:ascii="Arial" w:hAnsi="Arial" w:cs="Arial"/>
        </w:rPr>
        <w:t xml:space="preserve"> on</w:t>
      </w:r>
      <w:r w:rsidR="00875304">
        <w:rPr>
          <w:rFonts w:ascii="Arial" w:hAnsi="Arial" w:cs="Arial"/>
        </w:rPr>
        <w:t xml:space="preserve"> the</w:t>
      </w:r>
      <w:r w:rsidR="00397F46">
        <w:rPr>
          <w:rFonts w:ascii="Arial" w:hAnsi="Arial" w:cs="Arial"/>
        </w:rPr>
        <w:t xml:space="preserve"> basis that:</w:t>
      </w:r>
    </w:p>
    <w:p w14:paraId="7511E0F1" w14:textId="77777777" w:rsidR="00812630" w:rsidRDefault="00397F46" w:rsidP="00112DAF">
      <w:pPr>
        <w:spacing w:before="240" w:after="240" w:line="360" w:lineRule="auto"/>
        <w:ind w:left="1440" w:hanging="720"/>
        <w:jc w:val="both"/>
        <w:rPr>
          <w:rFonts w:ascii="Arial" w:hAnsi="Arial" w:cs="Arial"/>
          <w:i/>
          <w:sz w:val="20"/>
          <w:szCs w:val="20"/>
        </w:rPr>
      </w:pPr>
      <w:r>
        <w:rPr>
          <w:rFonts w:ascii="Arial" w:hAnsi="Arial" w:cs="Arial"/>
          <w:i/>
          <w:sz w:val="20"/>
          <w:szCs w:val="20"/>
        </w:rPr>
        <w:t>“</w:t>
      </w:r>
      <w:r w:rsidR="00DD4E97">
        <w:rPr>
          <w:rFonts w:ascii="Arial" w:hAnsi="Arial" w:cs="Arial"/>
          <w:i/>
          <w:sz w:val="20"/>
          <w:szCs w:val="20"/>
        </w:rPr>
        <w:t>4.</w:t>
      </w:r>
      <w:r w:rsidR="00DD4E97">
        <w:rPr>
          <w:rFonts w:ascii="Arial" w:hAnsi="Arial" w:cs="Arial"/>
          <w:i/>
          <w:sz w:val="20"/>
          <w:szCs w:val="20"/>
        </w:rPr>
        <w:tab/>
        <w:t>We dispute</w:t>
      </w:r>
      <w:r w:rsidR="00812630">
        <w:rPr>
          <w:rFonts w:ascii="Arial" w:hAnsi="Arial" w:cs="Arial"/>
          <w:i/>
          <w:sz w:val="20"/>
          <w:szCs w:val="20"/>
        </w:rPr>
        <w:t xml:space="preserve"> that this amount is due a</w:t>
      </w:r>
      <w:r w:rsidR="00DD4E97">
        <w:rPr>
          <w:rFonts w:ascii="Arial" w:hAnsi="Arial" w:cs="Arial"/>
          <w:i/>
          <w:sz w:val="20"/>
          <w:szCs w:val="20"/>
        </w:rPr>
        <w:t>nd payable by the CUT and place</w:t>
      </w:r>
      <w:r w:rsidR="00812630">
        <w:rPr>
          <w:rFonts w:ascii="Arial" w:hAnsi="Arial" w:cs="Arial"/>
          <w:i/>
          <w:sz w:val="20"/>
          <w:szCs w:val="20"/>
        </w:rPr>
        <w:t xml:space="preserve"> this amount in dispute on the following basis:</w:t>
      </w:r>
    </w:p>
    <w:p w14:paraId="49EF6F37" w14:textId="77777777" w:rsidR="00812630" w:rsidRDefault="00812630" w:rsidP="00112DAF">
      <w:pPr>
        <w:spacing w:before="240" w:after="240" w:line="360" w:lineRule="auto"/>
        <w:ind w:left="2160" w:hanging="720"/>
        <w:jc w:val="both"/>
        <w:rPr>
          <w:rFonts w:ascii="Arial" w:hAnsi="Arial" w:cs="Arial"/>
          <w:i/>
          <w:sz w:val="20"/>
          <w:szCs w:val="20"/>
        </w:rPr>
      </w:pPr>
      <w:r>
        <w:rPr>
          <w:rFonts w:ascii="Arial" w:hAnsi="Arial" w:cs="Arial"/>
          <w:i/>
          <w:sz w:val="20"/>
          <w:szCs w:val="20"/>
        </w:rPr>
        <w:t>4.1</w:t>
      </w:r>
      <w:r>
        <w:rPr>
          <w:rFonts w:ascii="Arial" w:hAnsi="Arial" w:cs="Arial"/>
          <w:i/>
          <w:sz w:val="20"/>
          <w:szCs w:val="20"/>
        </w:rPr>
        <w:tab/>
        <w:t>The property rates are seemingly due and payable in relation to Erf 26454, although this erf does not appear to have been registered or even created yet;</w:t>
      </w:r>
    </w:p>
    <w:p w14:paraId="018A7FF4" w14:textId="77777777" w:rsidR="00812630" w:rsidRDefault="00812630" w:rsidP="00112DAF">
      <w:pPr>
        <w:spacing w:before="240" w:after="240" w:line="360" w:lineRule="auto"/>
        <w:ind w:left="2160" w:hanging="720"/>
        <w:jc w:val="both"/>
        <w:rPr>
          <w:rFonts w:ascii="Arial" w:hAnsi="Arial" w:cs="Arial"/>
          <w:i/>
          <w:sz w:val="20"/>
          <w:szCs w:val="20"/>
        </w:rPr>
      </w:pPr>
      <w:r>
        <w:rPr>
          <w:rFonts w:ascii="Arial" w:hAnsi="Arial" w:cs="Arial"/>
          <w:i/>
          <w:sz w:val="20"/>
          <w:szCs w:val="20"/>
        </w:rPr>
        <w:lastRenderedPageBreak/>
        <w:t>4.2</w:t>
      </w:r>
      <w:r>
        <w:rPr>
          <w:rFonts w:ascii="Arial" w:hAnsi="Arial" w:cs="Arial"/>
          <w:i/>
          <w:sz w:val="20"/>
          <w:szCs w:val="20"/>
        </w:rPr>
        <w:tab/>
        <w:t xml:space="preserve">It is our </w:t>
      </w:r>
      <w:r w:rsidR="005520B8">
        <w:rPr>
          <w:rFonts w:ascii="Arial" w:hAnsi="Arial" w:cs="Arial"/>
          <w:i/>
          <w:sz w:val="20"/>
          <w:szCs w:val="20"/>
        </w:rPr>
        <w:t>instruction</w:t>
      </w:r>
      <w:r>
        <w:rPr>
          <w:rFonts w:ascii="Arial" w:hAnsi="Arial" w:cs="Arial"/>
          <w:i/>
          <w:sz w:val="20"/>
          <w:szCs w:val="20"/>
        </w:rPr>
        <w:t xml:space="preserve"> that this property is known as Erf 26454 but that this </w:t>
      </w:r>
      <w:r w:rsidR="005520B8">
        <w:rPr>
          <w:rFonts w:ascii="Arial" w:hAnsi="Arial" w:cs="Arial"/>
          <w:i/>
          <w:sz w:val="20"/>
          <w:szCs w:val="20"/>
        </w:rPr>
        <w:t>Erf</w:t>
      </w:r>
      <w:r>
        <w:rPr>
          <w:rFonts w:ascii="Arial" w:hAnsi="Arial" w:cs="Arial"/>
          <w:i/>
          <w:sz w:val="20"/>
          <w:szCs w:val="20"/>
        </w:rPr>
        <w:t xml:space="preserve"> still needs to be crea</w:t>
      </w:r>
      <w:r w:rsidR="00DD4E97">
        <w:rPr>
          <w:rFonts w:ascii="Arial" w:hAnsi="Arial" w:cs="Arial"/>
          <w:i/>
          <w:sz w:val="20"/>
          <w:szCs w:val="20"/>
        </w:rPr>
        <w:t>ted by consolidation of other erven.</w:t>
      </w:r>
    </w:p>
    <w:p w14:paraId="395B677E" w14:textId="77777777" w:rsidR="00812630" w:rsidRDefault="00812630" w:rsidP="00112DAF">
      <w:pPr>
        <w:spacing w:before="240" w:after="240" w:line="360" w:lineRule="auto"/>
        <w:ind w:left="2160" w:hanging="720"/>
        <w:jc w:val="both"/>
        <w:rPr>
          <w:rFonts w:ascii="Arial" w:hAnsi="Arial" w:cs="Arial"/>
          <w:i/>
          <w:sz w:val="20"/>
          <w:szCs w:val="20"/>
        </w:rPr>
      </w:pPr>
      <w:r>
        <w:rPr>
          <w:rFonts w:ascii="Arial" w:hAnsi="Arial" w:cs="Arial"/>
          <w:i/>
          <w:sz w:val="20"/>
          <w:szCs w:val="20"/>
        </w:rPr>
        <w:t>4.3</w:t>
      </w:r>
      <w:r>
        <w:rPr>
          <w:rFonts w:ascii="Arial" w:hAnsi="Arial" w:cs="Arial"/>
          <w:i/>
          <w:sz w:val="20"/>
          <w:szCs w:val="20"/>
        </w:rPr>
        <w:tab/>
        <w:t>The municipality’s insistence to charge property rates on a property that does not exist at this stage is illegal for want of compliance with the requirements of the Municipal Property Rate</w:t>
      </w:r>
      <w:r w:rsidR="00DD4E97">
        <w:rPr>
          <w:rFonts w:ascii="Arial" w:hAnsi="Arial" w:cs="Arial"/>
          <w:i/>
          <w:sz w:val="20"/>
          <w:szCs w:val="20"/>
        </w:rPr>
        <w:t>s</w:t>
      </w:r>
      <w:r>
        <w:rPr>
          <w:rFonts w:ascii="Arial" w:hAnsi="Arial" w:cs="Arial"/>
          <w:i/>
          <w:sz w:val="20"/>
          <w:szCs w:val="20"/>
        </w:rPr>
        <w:t xml:space="preserve"> Act, 6 of 2004 (hereafter the “Rates Act”); </w:t>
      </w:r>
    </w:p>
    <w:p w14:paraId="029E1AEE" w14:textId="77777777" w:rsidR="00812630" w:rsidRDefault="00812630" w:rsidP="00112DAF">
      <w:pPr>
        <w:spacing w:before="240" w:after="240" w:line="360" w:lineRule="auto"/>
        <w:ind w:left="2160" w:hanging="720"/>
        <w:jc w:val="both"/>
        <w:rPr>
          <w:rFonts w:ascii="Arial" w:hAnsi="Arial" w:cs="Arial"/>
          <w:i/>
          <w:sz w:val="20"/>
          <w:szCs w:val="20"/>
        </w:rPr>
      </w:pPr>
      <w:r>
        <w:rPr>
          <w:rFonts w:ascii="Arial" w:hAnsi="Arial" w:cs="Arial"/>
          <w:i/>
          <w:sz w:val="20"/>
          <w:szCs w:val="20"/>
        </w:rPr>
        <w:t>4.4</w:t>
      </w:r>
      <w:r>
        <w:rPr>
          <w:rFonts w:ascii="Arial" w:hAnsi="Arial" w:cs="Arial"/>
          <w:i/>
          <w:sz w:val="20"/>
          <w:szCs w:val="20"/>
        </w:rPr>
        <w:tab/>
        <w:t xml:space="preserve">The rates account received from the municipality indicates that rates are charged against the properties of the CUT at a rate </w:t>
      </w:r>
      <w:r w:rsidR="00DD4E97">
        <w:rPr>
          <w:rFonts w:ascii="Arial" w:hAnsi="Arial" w:cs="Arial"/>
          <w:i/>
          <w:sz w:val="20"/>
          <w:szCs w:val="20"/>
        </w:rPr>
        <w:t>of R 0.037700, which rate is termed</w:t>
      </w:r>
      <w:r>
        <w:rPr>
          <w:rFonts w:ascii="Arial" w:hAnsi="Arial" w:cs="Arial"/>
          <w:i/>
          <w:sz w:val="20"/>
          <w:szCs w:val="20"/>
        </w:rPr>
        <w:t xml:space="preserve"> the </w:t>
      </w:r>
      <w:r w:rsidR="00DD4E97">
        <w:rPr>
          <w:rFonts w:ascii="Arial" w:hAnsi="Arial" w:cs="Arial"/>
          <w:i/>
          <w:sz w:val="20"/>
          <w:szCs w:val="20"/>
        </w:rPr>
        <w:t>“Business and Commercial”;</w:t>
      </w:r>
      <w:r>
        <w:rPr>
          <w:rFonts w:ascii="Arial" w:hAnsi="Arial" w:cs="Arial"/>
          <w:i/>
          <w:sz w:val="20"/>
          <w:szCs w:val="20"/>
        </w:rPr>
        <w:t xml:space="preserve"> </w:t>
      </w:r>
    </w:p>
    <w:p w14:paraId="067BC65A" w14:textId="77777777" w:rsidR="004421FC" w:rsidRDefault="00812630" w:rsidP="00112DAF">
      <w:pPr>
        <w:spacing w:before="240" w:after="240" w:line="360" w:lineRule="auto"/>
        <w:ind w:left="2160" w:hanging="720"/>
        <w:jc w:val="both"/>
        <w:rPr>
          <w:rFonts w:ascii="Arial" w:hAnsi="Arial" w:cs="Arial"/>
          <w:i/>
          <w:sz w:val="20"/>
          <w:szCs w:val="20"/>
        </w:rPr>
      </w:pPr>
      <w:r>
        <w:rPr>
          <w:rFonts w:ascii="Arial" w:hAnsi="Arial" w:cs="Arial"/>
          <w:i/>
          <w:sz w:val="20"/>
          <w:szCs w:val="20"/>
        </w:rPr>
        <w:t>4.5</w:t>
      </w:r>
      <w:r>
        <w:rPr>
          <w:rFonts w:ascii="Arial" w:hAnsi="Arial" w:cs="Arial"/>
          <w:i/>
          <w:sz w:val="20"/>
          <w:szCs w:val="20"/>
        </w:rPr>
        <w:tab/>
        <w:t xml:space="preserve">The Free State High </w:t>
      </w:r>
      <w:r w:rsidR="00DD4E97">
        <w:rPr>
          <w:rFonts w:ascii="Arial" w:hAnsi="Arial" w:cs="Arial"/>
          <w:i/>
          <w:sz w:val="20"/>
          <w:szCs w:val="20"/>
        </w:rPr>
        <w:t>Court</w:t>
      </w:r>
      <w:r>
        <w:rPr>
          <w:rFonts w:ascii="Arial" w:hAnsi="Arial" w:cs="Arial"/>
          <w:i/>
          <w:sz w:val="20"/>
          <w:szCs w:val="20"/>
        </w:rPr>
        <w:t xml:space="preserve"> declared the charging of a business rate against the properties of the Free Stat</w:t>
      </w:r>
      <w:r w:rsidR="00DD4E97">
        <w:rPr>
          <w:rFonts w:ascii="Arial" w:hAnsi="Arial" w:cs="Arial"/>
          <w:i/>
          <w:sz w:val="20"/>
          <w:szCs w:val="20"/>
        </w:rPr>
        <w:t>e University as illegal and set</w:t>
      </w:r>
      <w:r>
        <w:rPr>
          <w:rFonts w:ascii="Arial" w:hAnsi="Arial" w:cs="Arial"/>
          <w:i/>
          <w:sz w:val="20"/>
          <w:szCs w:val="20"/>
        </w:rPr>
        <w:t xml:space="preserve"> t</w:t>
      </w:r>
      <w:r w:rsidR="00DD4E97">
        <w:rPr>
          <w:rFonts w:ascii="Arial" w:hAnsi="Arial" w:cs="Arial"/>
          <w:i/>
          <w:sz w:val="20"/>
          <w:szCs w:val="20"/>
        </w:rPr>
        <w:t>hat decision of the Man</w:t>
      </w:r>
      <w:r>
        <w:rPr>
          <w:rFonts w:ascii="Arial" w:hAnsi="Arial" w:cs="Arial"/>
          <w:i/>
          <w:sz w:val="20"/>
          <w:szCs w:val="20"/>
        </w:rPr>
        <w:t>gaung Metropolitan Municipality aside on 27 May 2019;”</w:t>
      </w:r>
      <w:r w:rsidR="004421FC">
        <w:rPr>
          <w:rStyle w:val="FootnoteReference"/>
          <w:rFonts w:ascii="Arial" w:hAnsi="Arial" w:cs="Arial"/>
          <w:i/>
          <w:sz w:val="20"/>
          <w:szCs w:val="20"/>
        </w:rPr>
        <w:footnoteReference w:id="7"/>
      </w:r>
      <w:r>
        <w:rPr>
          <w:rFonts w:ascii="Arial" w:hAnsi="Arial" w:cs="Arial"/>
          <w:i/>
          <w:sz w:val="20"/>
          <w:szCs w:val="20"/>
        </w:rPr>
        <w:t xml:space="preserve"> </w:t>
      </w:r>
    </w:p>
    <w:p w14:paraId="55750C6A" w14:textId="77777777" w:rsidR="004421FC" w:rsidRDefault="008A03E9" w:rsidP="00112DAF">
      <w:pPr>
        <w:spacing w:before="240" w:after="240" w:line="360" w:lineRule="auto"/>
        <w:ind w:left="720" w:hanging="720"/>
        <w:jc w:val="both"/>
        <w:rPr>
          <w:rFonts w:ascii="Arial" w:hAnsi="Arial" w:cs="Arial"/>
        </w:rPr>
      </w:pPr>
      <w:r>
        <w:rPr>
          <w:rFonts w:ascii="Arial" w:hAnsi="Arial" w:cs="Arial"/>
        </w:rPr>
        <w:t>[8</w:t>
      </w:r>
      <w:r w:rsidR="004421FC">
        <w:rPr>
          <w:rFonts w:ascii="Arial" w:hAnsi="Arial" w:cs="Arial"/>
        </w:rPr>
        <w:t>]</w:t>
      </w:r>
      <w:r w:rsidR="004421FC">
        <w:rPr>
          <w:rFonts w:ascii="Arial" w:hAnsi="Arial" w:cs="Arial"/>
        </w:rPr>
        <w:tab/>
        <w:t xml:space="preserve">The applicant contended that the levying of such </w:t>
      </w:r>
      <w:r w:rsidR="00262A05">
        <w:rPr>
          <w:rFonts w:ascii="Arial" w:hAnsi="Arial" w:cs="Arial"/>
        </w:rPr>
        <w:t xml:space="preserve">a </w:t>
      </w:r>
      <w:r w:rsidR="004421FC">
        <w:rPr>
          <w:rFonts w:ascii="Arial" w:hAnsi="Arial" w:cs="Arial"/>
        </w:rPr>
        <w:t>rate against an institution of higher educa</w:t>
      </w:r>
      <w:r w:rsidR="00A630F3">
        <w:rPr>
          <w:rFonts w:ascii="Arial" w:hAnsi="Arial" w:cs="Arial"/>
        </w:rPr>
        <w:t xml:space="preserve">tion was illegal and irrational and based this contention on the court order of 27 May </w:t>
      </w:r>
      <w:r w:rsidR="003B0156">
        <w:rPr>
          <w:rFonts w:ascii="Arial" w:hAnsi="Arial" w:cs="Arial"/>
        </w:rPr>
        <w:t>2019</w:t>
      </w:r>
      <w:r w:rsidR="00A630F3">
        <w:rPr>
          <w:rFonts w:ascii="Arial" w:hAnsi="Arial" w:cs="Arial"/>
        </w:rPr>
        <w:t>.</w:t>
      </w:r>
      <w:r w:rsidR="00A630F3">
        <w:rPr>
          <w:rStyle w:val="FootnoteReference"/>
          <w:rFonts w:ascii="Arial" w:hAnsi="Arial" w:cs="Arial"/>
        </w:rPr>
        <w:footnoteReference w:id="8"/>
      </w:r>
      <w:r w:rsidR="00A630F3">
        <w:rPr>
          <w:rFonts w:ascii="Arial" w:hAnsi="Arial" w:cs="Arial"/>
        </w:rPr>
        <w:t xml:space="preserve"> </w:t>
      </w:r>
      <w:r w:rsidR="004421FC">
        <w:rPr>
          <w:rFonts w:ascii="Arial" w:hAnsi="Arial" w:cs="Arial"/>
        </w:rPr>
        <w:t xml:space="preserve"> The court order declared portions of the first respondent’s 2017/2018 property rates policy unlawful and set </w:t>
      </w:r>
      <w:r w:rsidR="00262A05">
        <w:rPr>
          <w:rFonts w:ascii="Arial" w:hAnsi="Arial" w:cs="Arial"/>
        </w:rPr>
        <w:t xml:space="preserve">them </w:t>
      </w:r>
      <w:r w:rsidR="004421FC">
        <w:rPr>
          <w:rFonts w:ascii="Arial" w:hAnsi="Arial" w:cs="Arial"/>
        </w:rPr>
        <w:t>aside.</w:t>
      </w:r>
      <w:r w:rsidR="00C5207F">
        <w:rPr>
          <w:rStyle w:val="FootnoteReference"/>
          <w:rFonts w:ascii="Arial" w:hAnsi="Arial" w:cs="Arial"/>
        </w:rPr>
        <w:footnoteReference w:id="9"/>
      </w:r>
      <w:r w:rsidR="004421FC">
        <w:rPr>
          <w:rFonts w:ascii="Arial" w:hAnsi="Arial" w:cs="Arial"/>
        </w:rPr>
        <w:t xml:space="preserve"> The applicant contended that the illegalities in that policy were retained in the subsequent rates policies of the municipality and had </w:t>
      </w:r>
      <w:r w:rsidR="00262A05">
        <w:rPr>
          <w:rFonts w:ascii="Arial" w:hAnsi="Arial" w:cs="Arial"/>
        </w:rPr>
        <w:t xml:space="preserve">an </w:t>
      </w:r>
      <w:r w:rsidR="004421FC">
        <w:rPr>
          <w:rFonts w:ascii="Arial" w:hAnsi="Arial" w:cs="Arial"/>
        </w:rPr>
        <w:t>illegal and irrational effect on the rates payable by the applicant</w:t>
      </w:r>
      <w:r w:rsidR="007E399A">
        <w:rPr>
          <w:rFonts w:ascii="Arial" w:hAnsi="Arial" w:cs="Arial"/>
        </w:rPr>
        <w:t>. T</w:t>
      </w:r>
      <w:r w:rsidR="004421FC">
        <w:rPr>
          <w:rFonts w:ascii="Arial" w:hAnsi="Arial" w:cs="Arial"/>
        </w:rPr>
        <w:t>he applicant</w:t>
      </w:r>
      <w:r w:rsidR="007E399A">
        <w:rPr>
          <w:rFonts w:ascii="Arial" w:hAnsi="Arial" w:cs="Arial"/>
        </w:rPr>
        <w:t xml:space="preserve"> held the view that the court order was relevant to the determination of the present dispute as the two universities were similarly situated rate payers, rendering the same service and the first respondent acknowledged that it was not entitled to charge a business rate for the properties of the U</w:t>
      </w:r>
      <w:r w:rsidR="00403D1D">
        <w:rPr>
          <w:rFonts w:ascii="Arial" w:hAnsi="Arial" w:cs="Arial"/>
        </w:rPr>
        <w:t xml:space="preserve">niversity of the </w:t>
      </w:r>
      <w:r w:rsidR="007E399A">
        <w:rPr>
          <w:rFonts w:ascii="Arial" w:hAnsi="Arial" w:cs="Arial"/>
        </w:rPr>
        <w:t>F</w:t>
      </w:r>
      <w:r w:rsidR="00403D1D">
        <w:rPr>
          <w:rFonts w:ascii="Arial" w:hAnsi="Arial" w:cs="Arial"/>
        </w:rPr>
        <w:t xml:space="preserve">ree </w:t>
      </w:r>
      <w:r w:rsidR="007E399A">
        <w:rPr>
          <w:rFonts w:ascii="Arial" w:hAnsi="Arial" w:cs="Arial"/>
        </w:rPr>
        <w:t>S</w:t>
      </w:r>
      <w:r w:rsidR="00403D1D">
        <w:rPr>
          <w:rFonts w:ascii="Arial" w:hAnsi="Arial" w:cs="Arial"/>
        </w:rPr>
        <w:t>tate</w:t>
      </w:r>
      <w:r w:rsidR="007E399A">
        <w:rPr>
          <w:rFonts w:ascii="Arial" w:hAnsi="Arial" w:cs="Arial"/>
        </w:rPr>
        <w:t>.</w:t>
      </w:r>
      <w:r w:rsidR="00403D1D">
        <w:rPr>
          <w:rFonts w:ascii="Arial" w:hAnsi="Arial" w:cs="Arial"/>
        </w:rPr>
        <w:t xml:space="preserve"> It was contended that</w:t>
      </w:r>
      <w:r w:rsidR="007E399A">
        <w:rPr>
          <w:rFonts w:ascii="Arial" w:hAnsi="Arial" w:cs="Arial"/>
        </w:rPr>
        <w:t xml:space="preserve"> </w:t>
      </w:r>
      <w:r w:rsidR="00403D1D">
        <w:rPr>
          <w:rFonts w:ascii="Arial" w:hAnsi="Arial" w:cs="Arial"/>
        </w:rPr>
        <w:t>t</w:t>
      </w:r>
      <w:r w:rsidR="007E399A">
        <w:rPr>
          <w:rFonts w:ascii="Arial" w:hAnsi="Arial" w:cs="Arial"/>
        </w:rPr>
        <w:t>he first respondent would, in similar fashion, be precluded from charging a business rate for the applicant’s properties.</w:t>
      </w:r>
      <w:r w:rsidR="007E399A">
        <w:rPr>
          <w:rStyle w:val="FootnoteReference"/>
          <w:rFonts w:ascii="Arial" w:hAnsi="Arial" w:cs="Arial"/>
        </w:rPr>
        <w:footnoteReference w:id="10"/>
      </w:r>
      <w:r w:rsidR="004421FC">
        <w:rPr>
          <w:rFonts w:ascii="Arial" w:hAnsi="Arial" w:cs="Arial"/>
        </w:rPr>
        <w:t xml:space="preserve"> </w:t>
      </w:r>
    </w:p>
    <w:p w14:paraId="066A254E" w14:textId="77777777" w:rsidR="004421FC" w:rsidRDefault="008A03E9" w:rsidP="00112DAF">
      <w:pPr>
        <w:spacing w:before="240" w:after="240" w:line="360" w:lineRule="auto"/>
        <w:ind w:left="720" w:hanging="720"/>
        <w:jc w:val="both"/>
        <w:rPr>
          <w:rFonts w:ascii="Arial" w:hAnsi="Arial" w:cs="Arial"/>
        </w:rPr>
      </w:pPr>
      <w:r>
        <w:rPr>
          <w:rFonts w:ascii="Arial" w:hAnsi="Arial" w:cs="Arial"/>
        </w:rPr>
        <w:t>[9</w:t>
      </w:r>
      <w:r w:rsidR="004421FC">
        <w:rPr>
          <w:rFonts w:ascii="Arial" w:hAnsi="Arial" w:cs="Arial"/>
        </w:rPr>
        <w:t>]</w:t>
      </w:r>
      <w:r w:rsidR="004421FC">
        <w:rPr>
          <w:rFonts w:ascii="Arial" w:hAnsi="Arial" w:cs="Arial"/>
        </w:rPr>
        <w:tab/>
        <w:t xml:space="preserve">The court order of 27 May 2019 was issued by agreement between the first respondent and the University of the Free </w:t>
      </w:r>
      <w:r w:rsidR="00262A05">
        <w:rPr>
          <w:rFonts w:ascii="Arial" w:hAnsi="Arial" w:cs="Arial"/>
        </w:rPr>
        <w:t>State after the la</w:t>
      </w:r>
      <w:r w:rsidR="004421FC">
        <w:rPr>
          <w:rFonts w:ascii="Arial" w:hAnsi="Arial" w:cs="Arial"/>
        </w:rPr>
        <w:t xml:space="preserve">tter challenged the legality of the 2017/2018 property rates policy of the first respondent. For </w:t>
      </w:r>
      <w:r w:rsidR="00DF1605">
        <w:rPr>
          <w:rFonts w:ascii="Arial" w:hAnsi="Arial" w:cs="Arial"/>
        </w:rPr>
        <w:t>completeness’</w:t>
      </w:r>
      <w:r w:rsidR="004421FC">
        <w:rPr>
          <w:rFonts w:ascii="Arial" w:hAnsi="Arial" w:cs="Arial"/>
        </w:rPr>
        <w:t xml:space="preserve"> sake</w:t>
      </w:r>
      <w:r w:rsidR="00262A05">
        <w:rPr>
          <w:rFonts w:ascii="Arial" w:hAnsi="Arial" w:cs="Arial"/>
        </w:rPr>
        <w:t>,</w:t>
      </w:r>
      <w:r w:rsidR="004421FC">
        <w:rPr>
          <w:rFonts w:ascii="Arial" w:hAnsi="Arial" w:cs="Arial"/>
        </w:rPr>
        <w:t xml:space="preserve"> the said court order</w:t>
      </w:r>
      <w:r w:rsidR="00262A05">
        <w:rPr>
          <w:rFonts w:ascii="Arial" w:hAnsi="Arial" w:cs="Arial"/>
        </w:rPr>
        <w:t xml:space="preserve"> provides as follows</w:t>
      </w:r>
      <w:r w:rsidR="004421FC">
        <w:rPr>
          <w:rFonts w:ascii="Arial" w:hAnsi="Arial" w:cs="Arial"/>
        </w:rPr>
        <w:t>:</w:t>
      </w:r>
    </w:p>
    <w:p w14:paraId="3125CD9F" w14:textId="77777777" w:rsidR="004421FC" w:rsidRDefault="004421FC" w:rsidP="00112DAF">
      <w:pPr>
        <w:spacing w:before="240" w:after="240" w:line="360" w:lineRule="auto"/>
        <w:ind w:left="1440" w:hanging="720"/>
        <w:jc w:val="both"/>
        <w:rPr>
          <w:rFonts w:ascii="Arial" w:hAnsi="Arial" w:cs="Arial"/>
          <w:i/>
          <w:sz w:val="20"/>
          <w:szCs w:val="20"/>
        </w:rPr>
      </w:pPr>
      <w:r>
        <w:rPr>
          <w:rFonts w:ascii="Arial" w:hAnsi="Arial" w:cs="Arial"/>
          <w:i/>
          <w:sz w:val="20"/>
          <w:szCs w:val="20"/>
        </w:rPr>
        <w:lastRenderedPageBreak/>
        <w:t>“It is ordered that:</w:t>
      </w:r>
    </w:p>
    <w:p w14:paraId="124E0DA7" w14:textId="77777777" w:rsidR="00FF3F4C" w:rsidRDefault="00F7611C"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The First R</w:t>
      </w:r>
      <w:r w:rsidR="004421FC">
        <w:rPr>
          <w:rFonts w:ascii="Arial" w:hAnsi="Arial" w:cs="Arial"/>
          <w:i/>
          <w:sz w:val="20"/>
          <w:szCs w:val="20"/>
        </w:rPr>
        <w:t>espondent’s failure to determine separate assessment rates for each of the different propert</w:t>
      </w:r>
      <w:r>
        <w:rPr>
          <w:rFonts w:ascii="Arial" w:hAnsi="Arial" w:cs="Arial"/>
          <w:i/>
          <w:sz w:val="20"/>
          <w:szCs w:val="20"/>
        </w:rPr>
        <w:t>y categories determined in the R</w:t>
      </w:r>
      <w:r w:rsidR="004421FC">
        <w:rPr>
          <w:rFonts w:ascii="Arial" w:hAnsi="Arial" w:cs="Arial"/>
          <w:i/>
          <w:sz w:val="20"/>
          <w:szCs w:val="20"/>
        </w:rPr>
        <w:t>ate</w:t>
      </w:r>
      <w:r>
        <w:rPr>
          <w:rFonts w:ascii="Arial" w:hAnsi="Arial" w:cs="Arial"/>
          <w:i/>
          <w:sz w:val="20"/>
          <w:szCs w:val="20"/>
        </w:rPr>
        <w:t>s</w:t>
      </w:r>
      <w:r w:rsidR="004421FC">
        <w:rPr>
          <w:rFonts w:ascii="Arial" w:hAnsi="Arial" w:cs="Arial"/>
          <w:i/>
          <w:sz w:val="20"/>
          <w:szCs w:val="20"/>
        </w:rPr>
        <w:t xml:space="preserve"> </w:t>
      </w:r>
      <w:r>
        <w:rPr>
          <w:rFonts w:ascii="Arial" w:hAnsi="Arial" w:cs="Arial"/>
          <w:i/>
          <w:sz w:val="20"/>
          <w:szCs w:val="20"/>
        </w:rPr>
        <w:t>P</w:t>
      </w:r>
      <w:r w:rsidR="004421FC">
        <w:rPr>
          <w:rFonts w:ascii="Arial" w:hAnsi="Arial" w:cs="Arial"/>
          <w:i/>
          <w:sz w:val="20"/>
          <w:szCs w:val="20"/>
        </w:rPr>
        <w:t>olicy 2017/2018 in accordance with the provisions of section</w:t>
      </w:r>
      <w:r w:rsidR="00CB4212">
        <w:rPr>
          <w:rFonts w:ascii="Arial" w:hAnsi="Arial" w:cs="Arial"/>
          <w:i/>
          <w:sz w:val="20"/>
          <w:szCs w:val="20"/>
        </w:rPr>
        <w:t>s</w:t>
      </w:r>
      <w:r w:rsidR="004421FC">
        <w:rPr>
          <w:rFonts w:ascii="Arial" w:hAnsi="Arial" w:cs="Arial"/>
          <w:i/>
          <w:sz w:val="20"/>
          <w:szCs w:val="20"/>
        </w:rPr>
        <w:t xml:space="preserve"> </w:t>
      </w:r>
      <w:r w:rsidR="00FF3F4C">
        <w:rPr>
          <w:rFonts w:ascii="Arial" w:hAnsi="Arial" w:cs="Arial"/>
          <w:i/>
          <w:sz w:val="20"/>
          <w:szCs w:val="20"/>
        </w:rPr>
        <w:t>3(3)(a), 14(2)(b)(ii) and (iii) and 1</w:t>
      </w:r>
      <w:r w:rsidR="00CB4212">
        <w:rPr>
          <w:rFonts w:ascii="Arial" w:hAnsi="Arial" w:cs="Arial"/>
          <w:i/>
          <w:sz w:val="20"/>
          <w:szCs w:val="20"/>
        </w:rPr>
        <w:t>9(1)(c) of the Local Government:</w:t>
      </w:r>
      <w:r w:rsidR="00FF3F4C">
        <w:rPr>
          <w:rFonts w:ascii="Arial" w:hAnsi="Arial" w:cs="Arial"/>
          <w:i/>
          <w:sz w:val="20"/>
          <w:szCs w:val="20"/>
        </w:rPr>
        <w:t xml:space="preserve"> Municipal Property Rates Act, 6 of 2000 is declared unlawful and set aside. </w:t>
      </w:r>
    </w:p>
    <w:p w14:paraId="576E7EAE" w14:textId="77777777" w:rsidR="00FF3F4C" w:rsidRDefault="00CB4212"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The First R</w:t>
      </w:r>
      <w:r w:rsidR="00FF3F4C">
        <w:rPr>
          <w:rFonts w:ascii="Arial" w:hAnsi="Arial" w:cs="Arial"/>
          <w:i/>
          <w:sz w:val="20"/>
          <w:szCs w:val="20"/>
        </w:rPr>
        <w:t>espondent’s decisio</w:t>
      </w:r>
      <w:r>
        <w:rPr>
          <w:rFonts w:ascii="Arial" w:hAnsi="Arial" w:cs="Arial"/>
          <w:i/>
          <w:sz w:val="20"/>
          <w:szCs w:val="20"/>
        </w:rPr>
        <w:t>n to levy a business tariff on Applicant’s properties a</w:t>
      </w:r>
      <w:r w:rsidR="00FF3F4C">
        <w:rPr>
          <w:rFonts w:ascii="Arial" w:hAnsi="Arial" w:cs="Arial"/>
          <w:i/>
          <w:sz w:val="20"/>
          <w:szCs w:val="20"/>
        </w:rPr>
        <w:t>s provide</w:t>
      </w:r>
      <w:r>
        <w:rPr>
          <w:rFonts w:ascii="Arial" w:hAnsi="Arial" w:cs="Arial"/>
          <w:i/>
          <w:sz w:val="20"/>
          <w:szCs w:val="20"/>
        </w:rPr>
        <w:t>d for in paragraph 11.7 of the Rates P</w:t>
      </w:r>
      <w:r w:rsidR="00FF3F4C">
        <w:rPr>
          <w:rFonts w:ascii="Arial" w:hAnsi="Arial" w:cs="Arial"/>
          <w:i/>
          <w:sz w:val="20"/>
          <w:szCs w:val="20"/>
        </w:rPr>
        <w:t xml:space="preserve">olicy 2017/2018 is declared unlawful and set aside. </w:t>
      </w:r>
    </w:p>
    <w:p w14:paraId="44FED032" w14:textId="77777777" w:rsidR="00FF3F4C" w:rsidRDefault="00CB4212"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The determination by the First R</w:t>
      </w:r>
      <w:r w:rsidR="00FF3F4C">
        <w:rPr>
          <w:rFonts w:ascii="Arial" w:hAnsi="Arial" w:cs="Arial"/>
          <w:i/>
          <w:sz w:val="20"/>
          <w:szCs w:val="20"/>
        </w:rPr>
        <w:t xml:space="preserve">espondent of </w:t>
      </w:r>
      <w:r>
        <w:rPr>
          <w:rFonts w:ascii="Arial" w:hAnsi="Arial" w:cs="Arial"/>
          <w:i/>
          <w:sz w:val="20"/>
          <w:szCs w:val="20"/>
        </w:rPr>
        <w:t>item 10.1(b) of its 2017/2018 Property Rates Policy as a criterium to be applied by the F</w:t>
      </w:r>
      <w:r w:rsidR="00FF3F4C">
        <w:rPr>
          <w:rFonts w:ascii="Arial" w:hAnsi="Arial" w:cs="Arial"/>
          <w:i/>
          <w:sz w:val="20"/>
          <w:szCs w:val="20"/>
        </w:rPr>
        <w:t xml:space="preserve">irst </w:t>
      </w:r>
      <w:r>
        <w:rPr>
          <w:rFonts w:ascii="Arial" w:hAnsi="Arial" w:cs="Arial"/>
          <w:i/>
          <w:sz w:val="20"/>
          <w:szCs w:val="20"/>
        </w:rPr>
        <w:t>R</w:t>
      </w:r>
      <w:r w:rsidR="00FF3F4C">
        <w:rPr>
          <w:rFonts w:ascii="Arial" w:hAnsi="Arial" w:cs="Arial"/>
          <w:i/>
          <w:sz w:val="20"/>
          <w:szCs w:val="20"/>
        </w:rPr>
        <w:t xml:space="preserve">espondent to levy different rates for different categories of rateable properties is declared unlawful and set aside. </w:t>
      </w:r>
    </w:p>
    <w:p w14:paraId="7E85F915" w14:textId="77777777" w:rsidR="00FF3F4C" w:rsidRDefault="00CB4212"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The R</w:t>
      </w:r>
      <w:r w:rsidR="00FF3F4C">
        <w:rPr>
          <w:rFonts w:ascii="Arial" w:hAnsi="Arial" w:cs="Arial"/>
          <w:i/>
          <w:sz w:val="20"/>
          <w:szCs w:val="20"/>
        </w:rPr>
        <w:t xml:space="preserve">ates </w:t>
      </w:r>
      <w:r>
        <w:rPr>
          <w:rFonts w:ascii="Arial" w:hAnsi="Arial" w:cs="Arial"/>
          <w:i/>
          <w:sz w:val="20"/>
          <w:szCs w:val="20"/>
        </w:rPr>
        <w:t>P</w:t>
      </w:r>
      <w:r w:rsidR="00FF3F4C">
        <w:rPr>
          <w:rFonts w:ascii="Arial" w:hAnsi="Arial" w:cs="Arial"/>
          <w:i/>
          <w:sz w:val="20"/>
          <w:szCs w:val="20"/>
        </w:rPr>
        <w:t xml:space="preserve">olicy 2017/2018 is referred back to the </w:t>
      </w:r>
      <w:r>
        <w:rPr>
          <w:rFonts w:ascii="Arial" w:hAnsi="Arial" w:cs="Arial"/>
          <w:i/>
          <w:sz w:val="20"/>
          <w:szCs w:val="20"/>
        </w:rPr>
        <w:t>F</w:t>
      </w:r>
      <w:r w:rsidR="00FF3F4C">
        <w:rPr>
          <w:rFonts w:ascii="Arial" w:hAnsi="Arial" w:cs="Arial"/>
          <w:i/>
          <w:sz w:val="20"/>
          <w:szCs w:val="20"/>
        </w:rPr>
        <w:t xml:space="preserve">irst </w:t>
      </w:r>
      <w:r>
        <w:rPr>
          <w:rFonts w:ascii="Arial" w:hAnsi="Arial" w:cs="Arial"/>
          <w:i/>
          <w:sz w:val="20"/>
          <w:szCs w:val="20"/>
        </w:rPr>
        <w:t>Respondent and the F</w:t>
      </w:r>
      <w:r w:rsidR="00FF3F4C">
        <w:rPr>
          <w:rFonts w:ascii="Arial" w:hAnsi="Arial" w:cs="Arial"/>
          <w:i/>
          <w:sz w:val="20"/>
          <w:szCs w:val="20"/>
        </w:rPr>
        <w:t xml:space="preserve">irst </w:t>
      </w:r>
      <w:r>
        <w:rPr>
          <w:rFonts w:ascii="Arial" w:hAnsi="Arial" w:cs="Arial"/>
          <w:i/>
          <w:sz w:val="20"/>
          <w:szCs w:val="20"/>
        </w:rPr>
        <w:t>R</w:t>
      </w:r>
      <w:r w:rsidR="00FF3F4C">
        <w:rPr>
          <w:rFonts w:ascii="Arial" w:hAnsi="Arial" w:cs="Arial"/>
          <w:i/>
          <w:sz w:val="20"/>
          <w:szCs w:val="20"/>
        </w:rPr>
        <w:t>espondent is directed to consider the criteri</w:t>
      </w:r>
      <w:r>
        <w:rPr>
          <w:rFonts w:ascii="Arial" w:hAnsi="Arial" w:cs="Arial"/>
          <w:i/>
          <w:sz w:val="20"/>
          <w:szCs w:val="20"/>
        </w:rPr>
        <w:t>um</w:t>
      </w:r>
      <w:r w:rsidR="00FF3F4C">
        <w:rPr>
          <w:rFonts w:ascii="Arial" w:hAnsi="Arial" w:cs="Arial"/>
          <w:i/>
          <w:sz w:val="20"/>
          <w:szCs w:val="20"/>
        </w:rPr>
        <w:t xml:space="preserve"> to be applied when levying different rates of different categories of rateable property. </w:t>
      </w:r>
    </w:p>
    <w:p w14:paraId="74B1A28C" w14:textId="77777777" w:rsidR="00FF3F4C" w:rsidRDefault="00FF3F4C"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 xml:space="preserve">The </w:t>
      </w:r>
      <w:r w:rsidR="00CB4212">
        <w:rPr>
          <w:rFonts w:ascii="Arial" w:hAnsi="Arial" w:cs="Arial"/>
          <w:i/>
          <w:sz w:val="20"/>
          <w:szCs w:val="20"/>
        </w:rPr>
        <w:t>First R</w:t>
      </w:r>
      <w:r>
        <w:rPr>
          <w:rFonts w:ascii="Arial" w:hAnsi="Arial" w:cs="Arial"/>
          <w:i/>
          <w:sz w:val="20"/>
          <w:szCs w:val="20"/>
        </w:rPr>
        <w:t xml:space="preserve">espondent is directed to determine </w:t>
      </w:r>
      <w:r w:rsidR="00CB4212">
        <w:rPr>
          <w:rFonts w:ascii="Arial" w:hAnsi="Arial" w:cs="Arial"/>
          <w:i/>
          <w:sz w:val="20"/>
          <w:szCs w:val="20"/>
        </w:rPr>
        <w:t>separate assessment rates</w:t>
      </w:r>
      <w:r>
        <w:rPr>
          <w:rFonts w:ascii="Arial" w:hAnsi="Arial" w:cs="Arial"/>
          <w:i/>
          <w:sz w:val="20"/>
          <w:szCs w:val="20"/>
        </w:rPr>
        <w:t xml:space="preserve"> for each of the different proper</w:t>
      </w:r>
      <w:r w:rsidR="00CB4212">
        <w:rPr>
          <w:rFonts w:ascii="Arial" w:hAnsi="Arial" w:cs="Arial"/>
          <w:i/>
          <w:sz w:val="20"/>
          <w:szCs w:val="20"/>
        </w:rPr>
        <w:t>ty categories determined in the Rates P</w:t>
      </w:r>
      <w:r>
        <w:rPr>
          <w:rFonts w:ascii="Arial" w:hAnsi="Arial" w:cs="Arial"/>
          <w:i/>
          <w:sz w:val="20"/>
          <w:szCs w:val="20"/>
        </w:rPr>
        <w:t>olicy 2018/2019</w:t>
      </w:r>
      <w:r w:rsidR="00CB4212">
        <w:rPr>
          <w:rFonts w:ascii="Arial" w:hAnsi="Arial" w:cs="Arial"/>
          <w:i/>
          <w:sz w:val="20"/>
          <w:szCs w:val="20"/>
        </w:rPr>
        <w:t>,</w:t>
      </w:r>
      <w:r>
        <w:rPr>
          <w:rFonts w:ascii="Arial" w:hAnsi="Arial" w:cs="Arial"/>
          <w:i/>
          <w:sz w:val="20"/>
          <w:szCs w:val="20"/>
        </w:rPr>
        <w:t xml:space="preserve"> 14(2)(b)(ii) and 19(1)(c) of the Local Government: Municipal Properties Act, 6 of 2000. </w:t>
      </w:r>
    </w:p>
    <w:p w14:paraId="5DB5C1E1" w14:textId="77777777" w:rsidR="00FF3F4C" w:rsidRDefault="00FF3F4C" w:rsidP="00112DAF">
      <w:pPr>
        <w:pStyle w:val="ListParagraph"/>
        <w:numPr>
          <w:ilvl w:val="0"/>
          <w:numId w:val="18"/>
        </w:numPr>
        <w:spacing w:before="240" w:after="240" w:line="360" w:lineRule="auto"/>
        <w:ind w:left="1440" w:hanging="720"/>
        <w:jc w:val="both"/>
        <w:rPr>
          <w:rFonts w:ascii="Arial" w:hAnsi="Arial" w:cs="Arial"/>
          <w:i/>
          <w:sz w:val="20"/>
          <w:szCs w:val="20"/>
        </w:rPr>
      </w:pPr>
      <w:r>
        <w:rPr>
          <w:rFonts w:ascii="Arial" w:hAnsi="Arial" w:cs="Arial"/>
          <w:i/>
          <w:sz w:val="20"/>
          <w:szCs w:val="20"/>
        </w:rPr>
        <w:t>The parties to bear their own costs.”</w:t>
      </w:r>
    </w:p>
    <w:p w14:paraId="20DBB9AB" w14:textId="7831F17E" w:rsidR="00083CED" w:rsidRDefault="00083CED" w:rsidP="00112DAF">
      <w:pPr>
        <w:spacing w:before="240" w:after="240" w:line="360" w:lineRule="auto"/>
        <w:ind w:left="720" w:hanging="720"/>
        <w:jc w:val="both"/>
        <w:rPr>
          <w:rFonts w:ascii="Arial" w:hAnsi="Arial" w:cs="Arial"/>
        </w:rPr>
      </w:pPr>
      <w:r>
        <w:rPr>
          <w:rFonts w:ascii="Arial" w:hAnsi="Arial" w:cs="Arial"/>
        </w:rPr>
        <w:t>[1</w:t>
      </w:r>
      <w:r w:rsidR="008A03E9">
        <w:rPr>
          <w:rFonts w:ascii="Arial" w:hAnsi="Arial" w:cs="Arial"/>
        </w:rPr>
        <w:t>0</w:t>
      </w:r>
      <w:r>
        <w:rPr>
          <w:rFonts w:ascii="Arial" w:hAnsi="Arial" w:cs="Arial"/>
        </w:rPr>
        <w:t>]</w:t>
      </w:r>
      <w:r>
        <w:rPr>
          <w:rFonts w:ascii="Arial" w:hAnsi="Arial" w:cs="Arial"/>
        </w:rPr>
        <w:tab/>
        <w:t>The disputes between the parties remained unresolved</w:t>
      </w:r>
      <w:r w:rsidR="00CC3A47">
        <w:rPr>
          <w:rFonts w:ascii="Arial" w:hAnsi="Arial" w:cs="Arial"/>
        </w:rPr>
        <w:t>.</w:t>
      </w:r>
      <w:r w:rsidR="00E02582" w:rsidRPr="00E02582">
        <w:rPr>
          <w:rStyle w:val="FootnoteReference"/>
          <w:rFonts w:ascii="Arial" w:hAnsi="Arial" w:cs="Arial"/>
        </w:rPr>
        <w:t xml:space="preserve"> </w:t>
      </w:r>
      <w:r w:rsidR="00E02582">
        <w:rPr>
          <w:rStyle w:val="FootnoteReference"/>
          <w:rFonts w:ascii="Arial" w:hAnsi="Arial" w:cs="Arial"/>
        </w:rPr>
        <w:footnoteReference w:id="11"/>
      </w:r>
      <w:r w:rsidR="00E02582">
        <w:rPr>
          <w:rFonts w:ascii="Arial" w:hAnsi="Arial" w:cs="Arial"/>
        </w:rPr>
        <w:t xml:space="preserve"> </w:t>
      </w:r>
      <w:r w:rsidR="00CC3A47">
        <w:rPr>
          <w:rFonts w:ascii="Arial" w:hAnsi="Arial" w:cs="Arial"/>
        </w:rPr>
        <w:t>T</w:t>
      </w:r>
      <w:r>
        <w:rPr>
          <w:rFonts w:ascii="Arial" w:hAnsi="Arial" w:cs="Arial"/>
        </w:rPr>
        <w:t>he court granted an order staying proceedings between the parties pending the institution of a review application by the applicant which should be instituted within 30 days of that order.</w:t>
      </w:r>
      <w:r w:rsidR="0097450A">
        <w:rPr>
          <w:rStyle w:val="FootnoteReference"/>
          <w:rFonts w:ascii="Arial" w:hAnsi="Arial" w:cs="Arial"/>
        </w:rPr>
        <w:footnoteReference w:id="12"/>
      </w:r>
    </w:p>
    <w:p w14:paraId="286EA24D" w14:textId="2CE83D3E" w:rsidR="008A03E9" w:rsidRDefault="008A03E9" w:rsidP="00112DAF">
      <w:pPr>
        <w:spacing w:before="240" w:after="240" w:line="360" w:lineRule="auto"/>
        <w:ind w:left="720" w:hanging="720"/>
        <w:jc w:val="both"/>
        <w:rPr>
          <w:rFonts w:ascii="Arial" w:hAnsi="Arial" w:cs="Arial"/>
        </w:rPr>
      </w:pPr>
      <w:r>
        <w:rPr>
          <w:rFonts w:ascii="Arial" w:hAnsi="Arial" w:cs="Arial"/>
        </w:rPr>
        <w:t xml:space="preserve">[11] </w:t>
      </w:r>
      <w:r w:rsidR="00E02582">
        <w:rPr>
          <w:rFonts w:ascii="Arial" w:hAnsi="Arial" w:cs="Arial"/>
        </w:rPr>
        <w:tab/>
      </w:r>
      <w:r>
        <w:rPr>
          <w:rFonts w:ascii="Arial" w:hAnsi="Arial" w:cs="Arial"/>
        </w:rPr>
        <w:t>According to the applicant, the grounds of review consisted of the second respondent’s failure to give the requisite notice in compliance with section 49(1)(c) of the MPRA as a result of which the required jurisdictional facts for the valuation and categorisation of the applicant’s properties reflected in the 2017 valuation roll were absent</w:t>
      </w:r>
      <w:r w:rsidR="00E53DBE">
        <w:rPr>
          <w:rFonts w:ascii="Arial" w:hAnsi="Arial" w:cs="Arial"/>
        </w:rPr>
        <w:t>. Furthermore, the first respondent failed to comply with sections 3(3)(a), 3(3)(b)(i) and 19(1)(c) of the MPRA as well as the third respondent’s valuation and categorisation of the applicant’s properties did not comply with the requirements of legality.</w:t>
      </w:r>
      <w:r w:rsidR="00E53DBE">
        <w:rPr>
          <w:rStyle w:val="FootnoteReference"/>
          <w:rFonts w:ascii="Arial" w:hAnsi="Arial" w:cs="Arial"/>
        </w:rPr>
        <w:footnoteReference w:id="13"/>
      </w:r>
      <w:r>
        <w:rPr>
          <w:rFonts w:ascii="Arial" w:hAnsi="Arial" w:cs="Arial"/>
        </w:rPr>
        <w:t xml:space="preserve">  </w:t>
      </w:r>
    </w:p>
    <w:p w14:paraId="37551AE5" w14:textId="77777777" w:rsidR="00DD2BC5" w:rsidRDefault="0086528A" w:rsidP="00112DAF">
      <w:pPr>
        <w:spacing w:before="240" w:after="240" w:line="360" w:lineRule="auto"/>
        <w:ind w:left="720" w:hanging="720"/>
        <w:jc w:val="both"/>
        <w:rPr>
          <w:rFonts w:ascii="Arial" w:hAnsi="Arial" w:cs="Arial"/>
        </w:rPr>
      </w:pPr>
      <w:r>
        <w:rPr>
          <w:rFonts w:ascii="Arial" w:hAnsi="Arial" w:cs="Arial"/>
        </w:rPr>
        <w:lastRenderedPageBreak/>
        <w:t>[1</w:t>
      </w:r>
      <w:r w:rsidR="00C82332">
        <w:rPr>
          <w:rFonts w:ascii="Arial" w:hAnsi="Arial" w:cs="Arial"/>
        </w:rPr>
        <w:t>2</w:t>
      </w:r>
      <w:r>
        <w:rPr>
          <w:rFonts w:ascii="Arial" w:hAnsi="Arial" w:cs="Arial"/>
        </w:rPr>
        <w:t>]</w:t>
      </w:r>
      <w:r w:rsidR="005D1104">
        <w:rPr>
          <w:rFonts w:ascii="Arial" w:hAnsi="Arial" w:cs="Arial"/>
        </w:rPr>
        <w:tab/>
        <w:t>The respondent’s case is that the applicant became aware of increased levies as a result of the 2017 valuation report in July or August 2017 when the applicant</w:t>
      </w:r>
      <w:r w:rsidR="008938CB">
        <w:rPr>
          <w:rFonts w:ascii="Arial" w:hAnsi="Arial" w:cs="Arial"/>
        </w:rPr>
        <w:t>’</w:t>
      </w:r>
      <w:r w:rsidR="005D1104">
        <w:rPr>
          <w:rFonts w:ascii="Arial" w:hAnsi="Arial" w:cs="Arial"/>
        </w:rPr>
        <w:t>s Mrs Van Niekerk</w:t>
      </w:r>
      <w:r w:rsidR="008938CB">
        <w:rPr>
          <w:rFonts w:ascii="Arial" w:hAnsi="Arial" w:cs="Arial"/>
        </w:rPr>
        <w:t>, at the beginning of August 2017,</w:t>
      </w:r>
      <w:r w:rsidR="005D1104">
        <w:rPr>
          <w:rFonts w:ascii="Arial" w:hAnsi="Arial" w:cs="Arial"/>
        </w:rPr>
        <w:t xml:space="preserve"> liaised with the first respondent’s finance department</w:t>
      </w:r>
      <w:r w:rsidR="008938CB">
        <w:rPr>
          <w:rFonts w:ascii="Arial" w:hAnsi="Arial" w:cs="Arial"/>
        </w:rPr>
        <w:t>,</w:t>
      </w:r>
      <w:r w:rsidR="005D1104">
        <w:rPr>
          <w:rFonts w:ascii="Arial" w:hAnsi="Arial" w:cs="Arial"/>
        </w:rPr>
        <w:t xml:space="preserve"> seeking clarification about the increased rates levied</w:t>
      </w:r>
      <w:r w:rsidR="005D1104">
        <w:rPr>
          <w:rStyle w:val="FootnoteReference"/>
          <w:rFonts w:ascii="Arial" w:hAnsi="Arial" w:cs="Arial"/>
        </w:rPr>
        <w:footnoteReference w:id="14"/>
      </w:r>
      <w:r w:rsidR="005D1104">
        <w:rPr>
          <w:rFonts w:ascii="Arial" w:hAnsi="Arial" w:cs="Arial"/>
        </w:rPr>
        <w:t xml:space="preserve"> as a result of the 2017 valuation roll. Correspondence was exchanged and on 21 August 2017</w:t>
      </w:r>
      <w:r w:rsidR="008938CB">
        <w:rPr>
          <w:rFonts w:ascii="Arial" w:hAnsi="Arial" w:cs="Arial"/>
        </w:rPr>
        <w:t>,</w:t>
      </w:r>
      <w:r w:rsidR="00807CBF">
        <w:rPr>
          <w:rFonts w:ascii="Arial" w:hAnsi="Arial" w:cs="Arial"/>
        </w:rPr>
        <w:t xml:space="preserve"> a certain Ms</w:t>
      </w:r>
      <w:r w:rsidR="005D1104">
        <w:rPr>
          <w:rFonts w:ascii="Arial" w:hAnsi="Arial" w:cs="Arial"/>
        </w:rPr>
        <w:t xml:space="preserve"> Trudy Khanye</w:t>
      </w:r>
      <w:r w:rsidR="00807CBF">
        <w:rPr>
          <w:rFonts w:ascii="Arial" w:hAnsi="Arial" w:cs="Arial"/>
        </w:rPr>
        <w:t>, an employee</w:t>
      </w:r>
      <w:r w:rsidR="005D1104">
        <w:rPr>
          <w:rFonts w:ascii="Arial" w:hAnsi="Arial" w:cs="Arial"/>
        </w:rPr>
        <w:t xml:space="preserve"> of the first respondent</w:t>
      </w:r>
      <w:r w:rsidR="00807CBF">
        <w:rPr>
          <w:rFonts w:ascii="Arial" w:hAnsi="Arial" w:cs="Arial"/>
        </w:rPr>
        <w:t>,</w:t>
      </w:r>
      <w:r w:rsidR="005D1104">
        <w:rPr>
          <w:rFonts w:ascii="Arial" w:hAnsi="Arial" w:cs="Arial"/>
        </w:rPr>
        <w:t xml:space="preserve"> indicated that the valuation of the applicant’s Erf 26454 had increased from R 11</w:t>
      </w:r>
      <w:r w:rsidR="00DD2BC5">
        <w:rPr>
          <w:rFonts w:ascii="Arial" w:hAnsi="Arial" w:cs="Arial"/>
        </w:rPr>
        <w:t> 130 000.00 in the previous valuation roll for the period 01 July 2013-30 June 2017</w:t>
      </w:r>
      <w:r w:rsidR="008938CB">
        <w:rPr>
          <w:rFonts w:ascii="Arial" w:hAnsi="Arial" w:cs="Arial"/>
        </w:rPr>
        <w:t>,</w:t>
      </w:r>
      <w:r w:rsidR="00DD2BC5">
        <w:rPr>
          <w:rFonts w:ascii="Arial" w:hAnsi="Arial" w:cs="Arial"/>
        </w:rPr>
        <w:t xml:space="preserve"> as a result of the current valuation roll for the period 01 July 2017-30 June 2021</w:t>
      </w:r>
      <w:r w:rsidR="00374D35">
        <w:rPr>
          <w:rFonts w:ascii="Arial" w:hAnsi="Arial" w:cs="Arial"/>
        </w:rPr>
        <w:t>.</w:t>
      </w:r>
      <w:r w:rsidR="00DD2BC5">
        <w:rPr>
          <w:rStyle w:val="FootnoteReference"/>
          <w:rFonts w:ascii="Arial" w:hAnsi="Arial" w:cs="Arial"/>
        </w:rPr>
        <w:footnoteReference w:id="15"/>
      </w:r>
      <w:r w:rsidR="00DD2BC5">
        <w:rPr>
          <w:rFonts w:ascii="Arial" w:hAnsi="Arial" w:cs="Arial"/>
        </w:rPr>
        <w:t xml:space="preserve"> </w:t>
      </w:r>
    </w:p>
    <w:p w14:paraId="56F5A280" w14:textId="77777777" w:rsidR="003A6A92" w:rsidRPr="00A6464E" w:rsidRDefault="00096171" w:rsidP="00112DAF">
      <w:pPr>
        <w:spacing w:before="240" w:after="240" w:line="360" w:lineRule="auto"/>
        <w:ind w:left="720" w:hanging="720"/>
        <w:jc w:val="both"/>
        <w:rPr>
          <w:rFonts w:ascii="Arial" w:hAnsi="Arial" w:cs="Arial"/>
          <w:i/>
        </w:rPr>
      </w:pPr>
      <w:r>
        <w:rPr>
          <w:rFonts w:ascii="Arial" w:hAnsi="Arial" w:cs="Arial"/>
        </w:rPr>
        <w:t>[1</w:t>
      </w:r>
      <w:r w:rsidR="00C82332">
        <w:rPr>
          <w:rFonts w:ascii="Arial" w:hAnsi="Arial" w:cs="Arial"/>
        </w:rPr>
        <w:t>3</w:t>
      </w:r>
      <w:r>
        <w:rPr>
          <w:rFonts w:ascii="Arial" w:hAnsi="Arial" w:cs="Arial"/>
        </w:rPr>
        <w:t>]</w:t>
      </w:r>
      <w:r>
        <w:rPr>
          <w:rFonts w:ascii="Arial" w:hAnsi="Arial" w:cs="Arial"/>
        </w:rPr>
        <w:tab/>
        <w:t>Follow</w:t>
      </w:r>
      <w:r w:rsidR="00DD2BC5">
        <w:rPr>
          <w:rFonts w:ascii="Arial" w:hAnsi="Arial" w:cs="Arial"/>
        </w:rPr>
        <w:t>ing</w:t>
      </w:r>
      <w:r>
        <w:rPr>
          <w:rFonts w:ascii="Arial" w:hAnsi="Arial" w:cs="Arial"/>
        </w:rPr>
        <w:t xml:space="preserve"> </w:t>
      </w:r>
      <w:r w:rsidR="00DD2BC5">
        <w:rPr>
          <w:rFonts w:ascii="Arial" w:hAnsi="Arial" w:cs="Arial"/>
        </w:rPr>
        <w:t xml:space="preserve">this complaint, </w:t>
      </w:r>
      <w:r w:rsidR="00C73B5A">
        <w:rPr>
          <w:rFonts w:ascii="Arial" w:hAnsi="Arial" w:cs="Arial"/>
        </w:rPr>
        <w:t xml:space="preserve">the respondents allege that </w:t>
      </w:r>
      <w:r w:rsidR="00DD2BC5">
        <w:rPr>
          <w:rFonts w:ascii="Arial" w:hAnsi="Arial" w:cs="Arial"/>
        </w:rPr>
        <w:t>the applicant and the respondents</w:t>
      </w:r>
      <w:r w:rsidR="001B13BF">
        <w:rPr>
          <w:rFonts w:ascii="Arial" w:hAnsi="Arial" w:cs="Arial"/>
        </w:rPr>
        <w:t xml:space="preserve"> </w:t>
      </w:r>
      <w:r w:rsidR="00DD2BC5">
        <w:rPr>
          <w:rFonts w:ascii="Arial" w:hAnsi="Arial" w:cs="Arial"/>
        </w:rPr>
        <w:t>engaged in a supplementary valuation</w:t>
      </w:r>
      <w:r>
        <w:rPr>
          <w:rFonts w:ascii="Arial" w:hAnsi="Arial" w:cs="Arial"/>
        </w:rPr>
        <w:t xml:space="preserve"> process to revalue the applicant’s rateable properties </w:t>
      </w:r>
      <w:r w:rsidR="00DD2BC5">
        <w:rPr>
          <w:rFonts w:ascii="Arial" w:hAnsi="Arial" w:cs="Arial"/>
        </w:rPr>
        <w:t>in terms of the provisions of section 77(a) read with section 78(1)(f) of the MPRA</w:t>
      </w:r>
      <w:r>
        <w:rPr>
          <w:rFonts w:ascii="Arial" w:hAnsi="Arial" w:cs="Arial"/>
        </w:rPr>
        <w:t>.</w:t>
      </w:r>
      <w:r w:rsidR="001B13BF">
        <w:rPr>
          <w:rStyle w:val="FootnoteReference"/>
          <w:rFonts w:ascii="Arial" w:hAnsi="Arial" w:cs="Arial"/>
        </w:rPr>
        <w:footnoteReference w:id="16"/>
      </w:r>
      <w:r w:rsidR="00DD2BC5">
        <w:rPr>
          <w:rFonts w:ascii="Arial" w:hAnsi="Arial" w:cs="Arial"/>
        </w:rPr>
        <w:t xml:space="preserve"> Over and above the supplementary revaluation, the applicant </w:t>
      </w:r>
      <w:r w:rsidR="001D1236">
        <w:rPr>
          <w:rFonts w:ascii="Arial" w:hAnsi="Arial" w:cs="Arial"/>
        </w:rPr>
        <w:t>could, as further relief,</w:t>
      </w:r>
      <w:r w:rsidR="00DD2BC5">
        <w:rPr>
          <w:rFonts w:ascii="Arial" w:hAnsi="Arial" w:cs="Arial"/>
        </w:rPr>
        <w:t xml:space="preserve"> </w:t>
      </w:r>
      <w:r w:rsidR="001D1236" w:rsidRPr="001D1236">
        <w:rPr>
          <w:rFonts w:ascii="Arial" w:hAnsi="Arial" w:cs="Arial"/>
        </w:rPr>
        <w:t>lodge an objection</w:t>
      </w:r>
      <w:r w:rsidR="00954AA3" w:rsidRPr="00A6464E">
        <w:rPr>
          <w:rFonts w:ascii="Arial" w:hAnsi="Arial" w:cs="Arial"/>
          <w:i/>
        </w:rPr>
        <w:t xml:space="preserve"> “in accordance with section 50 of the MPRA, if unsatisfied with the outcome of the revaluation, and a further appeal in terms of</w:t>
      </w:r>
      <w:r w:rsidR="001D1236" w:rsidRPr="00A6464E">
        <w:rPr>
          <w:rFonts w:ascii="Arial" w:hAnsi="Arial" w:cs="Arial"/>
          <w:i/>
        </w:rPr>
        <w:t xml:space="preserve"> </w:t>
      </w:r>
      <w:r w:rsidR="00B729D2" w:rsidRPr="00A6464E">
        <w:rPr>
          <w:rFonts w:ascii="Arial" w:hAnsi="Arial" w:cs="Arial"/>
          <w:i/>
        </w:rPr>
        <w:t>section 54 of the MPRA</w:t>
      </w:r>
      <w:r w:rsidR="00A6464E" w:rsidRPr="00A6464E">
        <w:rPr>
          <w:rFonts w:ascii="Arial" w:hAnsi="Arial" w:cs="Arial"/>
          <w:i/>
        </w:rPr>
        <w:t>, directed against the outcome of the objection, in accordance with section 50</w:t>
      </w:r>
      <w:r w:rsidR="003A6A92" w:rsidRPr="00A6464E">
        <w:rPr>
          <w:rFonts w:ascii="Arial" w:hAnsi="Arial" w:cs="Arial"/>
          <w:i/>
        </w:rPr>
        <w:t>.</w:t>
      </w:r>
      <w:r w:rsidR="00A6464E" w:rsidRPr="00A6464E">
        <w:rPr>
          <w:rFonts w:ascii="Arial" w:hAnsi="Arial" w:cs="Arial"/>
          <w:i/>
        </w:rPr>
        <w:t>”</w:t>
      </w:r>
      <w:r w:rsidR="00173B27" w:rsidRPr="00A6464E">
        <w:rPr>
          <w:rStyle w:val="FootnoteReference"/>
          <w:rFonts w:ascii="Arial" w:hAnsi="Arial" w:cs="Arial"/>
          <w:i/>
        </w:rPr>
        <w:footnoteReference w:id="17"/>
      </w:r>
    </w:p>
    <w:p w14:paraId="2867E424" w14:textId="77777777" w:rsidR="00A74C9F" w:rsidRDefault="003A6A92" w:rsidP="00112DAF">
      <w:pPr>
        <w:spacing w:before="240" w:after="240" w:line="360" w:lineRule="auto"/>
        <w:ind w:left="720" w:hanging="720"/>
        <w:jc w:val="both"/>
        <w:rPr>
          <w:rFonts w:ascii="Arial" w:hAnsi="Arial" w:cs="Arial"/>
        </w:rPr>
      </w:pPr>
      <w:r>
        <w:rPr>
          <w:rFonts w:ascii="Arial" w:hAnsi="Arial" w:cs="Arial"/>
        </w:rPr>
        <w:t xml:space="preserve"> </w:t>
      </w:r>
      <w:r w:rsidR="00C82332">
        <w:rPr>
          <w:rFonts w:ascii="Arial" w:hAnsi="Arial" w:cs="Arial"/>
        </w:rPr>
        <w:t>[14</w:t>
      </w:r>
      <w:r w:rsidR="00FC634B">
        <w:rPr>
          <w:rFonts w:ascii="Arial" w:hAnsi="Arial" w:cs="Arial"/>
        </w:rPr>
        <w:t>]</w:t>
      </w:r>
      <w:r w:rsidR="00FC634B">
        <w:rPr>
          <w:rFonts w:ascii="Arial" w:hAnsi="Arial" w:cs="Arial"/>
        </w:rPr>
        <w:tab/>
        <w:t xml:space="preserve">In light of the above, the respondents raised a preliminary point that the applicant’s delay in bringing the review application was unreasonable and beyond the 180 days </w:t>
      </w:r>
      <w:r w:rsidR="009B06CA">
        <w:rPr>
          <w:rFonts w:ascii="Arial" w:hAnsi="Arial" w:cs="Arial"/>
        </w:rPr>
        <w:t>envisaged</w:t>
      </w:r>
      <w:r>
        <w:rPr>
          <w:rFonts w:ascii="Arial" w:hAnsi="Arial" w:cs="Arial"/>
        </w:rPr>
        <w:t xml:space="preserve"> </w:t>
      </w:r>
      <w:r w:rsidR="00240E60">
        <w:rPr>
          <w:rFonts w:ascii="Arial" w:hAnsi="Arial" w:cs="Arial"/>
        </w:rPr>
        <w:t>in</w:t>
      </w:r>
      <w:r w:rsidR="009B06CA">
        <w:rPr>
          <w:rFonts w:ascii="Arial" w:hAnsi="Arial" w:cs="Arial"/>
        </w:rPr>
        <w:t xml:space="preserve"> section 7(1) of</w:t>
      </w:r>
      <w:r w:rsidR="00240E60">
        <w:rPr>
          <w:rFonts w:ascii="Arial" w:hAnsi="Arial" w:cs="Arial"/>
        </w:rPr>
        <w:t xml:space="preserve"> PAJ</w:t>
      </w:r>
      <w:r w:rsidR="00717EC8">
        <w:rPr>
          <w:rFonts w:ascii="Arial" w:hAnsi="Arial" w:cs="Arial"/>
        </w:rPr>
        <w:t>A as</w:t>
      </w:r>
      <w:r w:rsidR="00240E60">
        <w:rPr>
          <w:rFonts w:ascii="Arial" w:hAnsi="Arial" w:cs="Arial"/>
        </w:rPr>
        <w:t xml:space="preserve"> </w:t>
      </w:r>
      <w:r w:rsidR="00717EC8">
        <w:rPr>
          <w:rFonts w:ascii="Arial" w:hAnsi="Arial" w:cs="Arial"/>
        </w:rPr>
        <w:t>t</w:t>
      </w:r>
      <w:r w:rsidR="00240E60">
        <w:rPr>
          <w:rFonts w:ascii="Arial" w:hAnsi="Arial" w:cs="Arial"/>
        </w:rPr>
        <w:t>his</w:t>
      </w:r>
      <w:r w:rsidR="00FC634B">
        <w:rPr>
          <w:rFonts w:ascii="Arial" w:hAnsi="Arial" w:cs="Arial"/>
        </w:rPr>
        <w:t xml:space="preserve"> applica</w:t>
      </w:r>
      <w:r w:rsidR="00240E60">
        <w:rPr>
          <w:rFonts w:ascii="Arial" w:hAnsi="Arial" w:cs="Arial"/>
        </w:rPr>
        <w:t>tion was</w:t>
      </w:r>
      <w:r w:rsidR="00FC634B">
        <w:rPr>
          <w:rFonts w:ascii="Arial" w:hAnsi="Arial" w:cs="Arial"/>
        </w:rPr>
        <w:t xml:space="preserve"> issued </w:t>
      </w:r>
      <w:r w:rsidR="00FC634B" w:rsidRPr="00240E60">
        <w:rPr>
          <w:rFonts w:ascii="Arial" w:hAnsi="Arial" w:cs="Arial"/>
        </w:rPr>
        <w:t>on 21 January 2020</w:t>
      </w:r>
      <w:r w:rsidR="00717EC8">
        <w:rPr>
          <w:rFonts w:ascii="Arial" w:hAnsi="Arial" w:cs="Arial"/>
        </w:rPr>
        <w:t>. A</w:t>
      </w:r>
      <w:r w:rsidR="00FC634B">
        <w:rPr>
          <w:rFonts w:ascii="Arial" w:hAnsi="Arial" w:cs="Arial"/>
        </w:rPr>
        <w:t xml:space="preserve"> period of 2 years and 4 month</w:t>
      </w:r>
      <w:r w:rsidR="00C73B5A">
        <w:rPr>
          <w:rFonts w:ascii="Arial" w:hAnsi="Arial" w:cs="Arial"/>
        </w:rPr>
        <w:t xml:space="preserve">s had lapsed since </w:t>
      </w:r>
      <w:r w:rsidR="00240E60">
        <w:rPr>
          <w:rFonts w:ascii="Arial" w:hAnsi="Arial" w:cs="Arial"/>
        </w:rPr>
        <w:t>1 August 20</w:t>
      </w:r>
      <w:r w:rsidR="00B20219">
        <w:rPr>
          <w:rFonts w:ascii="Arial" w:hAnsi="Arial" w:cs="Arial"/>
        </w:rPr>
        <w:t>17 when the applicant became aware of the new rates</w:t>
      </w:r>
      <w:r w:rsidR="00FC634B">
        <w:rPr>
          <w:rFonts w:ascii="Arial" w:hAnsi="Arial" w:cs="Arial"/>
        </w:rPr>
        <w:t>. The applicant had</w:t>
      </w:r>
      <w:r w:rsidR="00717EC8">
        <w:rPr>
          <w:rFonts w:ascii="Arial" w:hAnsi="Arial" w:cs="Arial"/>
        </w:rPr>
        <w:t>, therefore,</w:t>
      </w:r>
      <w:r w:rsidR="00FC634B">
        <w:rPr>
          <w:rFonts w:ascii="Arial" w:hAnsi="Arial" w:cs="Arial"/>
        </w:rPr>
        <w:t xml:space="preserve"> not made out a case for the extension of the time frame in terms of </w:t>
      </w:r>
      <w:r w:rsidR="004A2E58">
        <w:rPr>
          <w:rFonts w:ascii="Arial" w:hAnsi="Arial" w:cs="Arial"/>
        </w:rPr>
        <w:t>sections</w:t>
      </w:r>
      <w:r w:rsidR="00FC634B">
        <w:rPr>
          <w:rFonts w:ascii="Arial" w:hAnsi="Arial" w:cs="Arial"/>
        </w:rPr>
        <w:t xml:space="preserve"> 9(1) and 9(</w:t>
      </w:r>
      <w:r w:rsidR="00A74C9F">
        <w:rPr>
          <w:rFonts w:ascii="Arial" w:hAnsi="Arial" w:cs="Arial"/>
        </w:rPr>
        <w:t>2) of PAJA.</w:t>
      </w:r>
      <w:r w:rsidR="0000752B">
        <w:rPr>
          <w:rStyle w:val="FootnoteReference"/>
          <w:rFonts w:ascii="Arial" w:hAnsi="Arial" w:cs="Arial"/>
        </w:rPr>
        <w:footnoteReference w:id="18"/>
      </w:r>
      <w:r w:rsidR="00A74C9F">
        <w:rPr>
          <w:rFonts w:ascii="Arial" w:hAnsi="Arial" w:cs="Arial"/>
        </w:rPr>
        <w:t xml:space="preserve"> </w:t>
      </w:r>
    </w:p>
    <w:p w14:paraId="34A7F22D" w14:textId="14E573CD" w:rsidR="00A74C9F" w:rsidRDefault="00C82332" w:rsidP="00112DAF">
      <w:pPr>
        <w:spacing w:before="240" w:after="240" w:line="360" w:lineRule="auto"/>
        <w:ind w:left="720" w:hanging="720"/>
        <w:jc w:val="both"/>
        <w:rPr>
          <w:rFonts w:ascii="Arial" w:hAnsi="Arial" w:cs="Arial"/>
        </w:rPr>
      </w:pPr>
      <w:r>
        <w:rPr>
          <w:rFonts w:ascii="Arial" w:hAnsi="Arial" w:cs="Arial"/>
        </w:rPr>
        <w:t>[15</w:t>
      </w:r>
      <w:r w:rsidR="00A74C9F">
        <w:rPr>
          <w:rFonts w:ascii="Arial" w:hAnsi="Arial" w:cs="Arial"/>
        </w:rPr>
        <w:t>]</w:t>
      </w:r>
      <w:r w:rsidR="00A74C9F">
        <w:rPr>
          <w:rFonts w:ascii="Arial" w:hAnsi="Arial" w:cs="Arial"/>
        </w:rPr>
        <w:tab/>
        <w:t>The revaluation process</w:t>
      </w:r>
      <w:r w:rsidR="00C73B5A">
        <w:rPr>
          <w:rFonts w:ascii="Arial" w:hAnsi="Arial" w:cs="Arial"/>
        </w:rPr>
        <w:t>, according to the respondents,</w:t>
      </w:r>
      <w:r w:rsidR="00A74C9F">
        <w:rPr>
          <w:rFonts w:ascii="Arial" w:hAnsi="Arial" w:cs="Arial"/>
        </w:rPr>
        <w:t xml:space="preserve"> came to a stands</w:t>
      </w:r>
      <w:r w:rsidR="004A2E58">
        <w:rPr>
          <w:rFonts w:ascii="Arial" w:hAnsi="Arial" w:cs="Arial"/>
        </w:rPr>
        <w:t>till due to the applicant’s non-</w:t>
      </w:r>
      <w:r w:rsidR="00A74C9F">
        <w:rPr>
          <w:rFonts w:ascii="Arial" w:hAnsi="Arial" w:cs="Arial"/>
        </w:rPr>
        <w:t xml:space="preserve">preparedness to participate and to furnish the necessary </w:t>
      </w:r>
      <w:r w:rsidR="00A74C9F">
        <w:rPr>
          <w:rFonts w:ascii="Arial" w:hAnsi="Arial" w:cs="Arial"/>
        </w:rPr>
        <w:lastRenderedPageBreak/>
        <w:t>information for the finalisation of the revaluation.</w:t>
      </w:r>
      <w:r w:rsidR="004A2E58">
        <w:rPr>
          <w:rStyle w:val="FootnoteReference"/>
          <w:rFonts w:ascii="Arial" w:hAnsi="Arial" w:cs="Arial"/>
        </w:rPr>
        <w:footnoteReference w:id="19"/>
      </w:r>
      <w:r w:rsidR="00A74C9F">
        <w:rPr>
          <w:rFonts w:ascii="Arial" w:hAnsi="Arial" w:cs="Arial"/>
        </w:rPr>
        <w:t xml:space="preserve"> The first respondent’s municipal </w:t>
      </w:r>
      <w:r w:rsidR="004A2E58">
        <w:rPr>
          <w:rFonts w:ascii="Arial" w:hAnsi="Arial" w:cs="Arial"/>
        </w:rPr>
        <w:t>valuer, Thinus Nel</w:t>
      </w:r>
      <w:r w:rsidR="00A74C9F">
        <w:rPr>
          <w:rFonts w:ascii="Arial" w:hAnsi="Arial" w:cs="Arial"/>
        </w:rPr>
        <w:t xml:space="preserve">, was tasked with the revaluation of the applicant’s rateable properties </w:t>
      </w:r>
      <w:r w:rsidR="004A2E58">
        <w:rPr>
          <w:rFonts w:ascii="Arial" w:hAnsi="Arial" w:cs="Arial"/>
        </w:rPr>
        <w:t>in</w:t>
      </w:r>
      <w:r w:rsidR="00A74C9F">
        <w:rPr>
          <w:rFonts w:ascii="Arial" w:hAnsi="Arial" w:cs="Arial"/>
        </w:rPr>
        <w:t xml:space="preserve"> 2018. His request for furth</w:t>
      </w:r>
      <w:r w:rsidR="006305D6">
        <w:rPr>
          <w:rFonts w:ascii="Arial" w:hAnsi="Arial" w:cs="Arial"/>
        </w:rPr>
        <w:t xml:space="preserve">er information over the period 2 March 2018 and </w:t>
      </w:r>
      <w:r w:rsidR="00A74C9F">
        <w:rPr>
          <w:rFonts w:ascii="Arial" w:hAnsi="Arial" w:cs="Arial"/>
        </w:rPr>
        <w:t xml:space="preserve">7 January 2020 </w:t>
      </w:r>
      <w:r w:rsidR="001E251D">
        <w:rPr>
          <w:rFonts w:ascii="Arial" w:hAnsi="Arial" w:cs="Arial"/>
        </w:rPr>
        <w:t>was</w:t>
      </w:r>
      <w:r w:rsidR="00A74C9F">
        <w:rPr>
          <w:rFonts w:ascii="Arial" w:hAnsi="Arial" w:cs="Arial"/>
        </w:rPr>
        <w:t xml:space="preserve"> hardly or partly furnished by the applicant.</w:t>
      </w:r>
      <w:r w:rsidR="00A74C9F">
        <w:rPr>
          <w:rStyle w:val="FootnoteReference"/>
          <w:rFonts w:ascii="Arial" w:hAnsi="Arial" w:cs="Arial"/>
        </w:rPr>
        <w:footnoteReference w:id="20"/>
      </w:r>
      <w:r w:rsidR="001E251D">
        <w:rPr>
          <w:rFonts w:ascii="Arial" w:hAnsi="Arial" w:cs="Arial"/>
        </w:rPr>
        <w:t xml:space="preserve"> To confirm the 2017 valuation roll, Nel</w:t>
      </w:r>
      <w:r w:rsidR="00A74C9F">
        <w:rPr>
          <w:rFonts w:ascii="Arial" w:hAnsi="Arial" w:cs="Arial"/>
        </w:rPr>
        <w:t xml:space="preserve"> need</w:t>
      </w:r>
      <w:r w:rsidR="001E251D">
        <w:rPr>
          <w:rFonts w:ascii="Arial" w:hAnsi="Arial" w:cs="Arial"/>
        </w:rPr>
        <w:t>ed</w:t>
      </w:r>
      <w:r w:rsidR="00A74C9F">
        <w:rPr>
          <w:rFonts w:ascii="Arial" w:hAnsi="Arial" w:cs="Arial"/>
        </w:rPr>
        <w:t xml:space="preserve"> a detailed </w:t>
      </w:r>
      <w:r w:rsidR="001E251D">
        <w:rPr>
          <w:rFonts w:ascii="Arial" w:hAnsi="Arial" w:cs="Arial"/>
        </w:rPr>
        <w:t>asset</w:t>
      </w:r>
      <w:r w:rsidR="00A74C9F">
        <w:rPr>
          <w:rFonts w:ascii="Arial" w:hAnsi="Arial" w:cs="Arial"/>
        </w:rPr>
        <w:t xml:space="preserve"> register of all buildings on the site (Erf 26454) and the extent to which and what they were used for. Unless the requested information was furnished, the valuation of</w:t>
      </w:r>
      <w:r w:rsidR="006357EB">
        <w:rPr>
          <w:rFonts w:ascii="Arial" w:hAnsi="Arial" w:cs="Arial"/>
        </w:rPr>
        <w:t xml:space="preserve"> R 340 million</w:t>
      </w:r>
      <w:r w:rsidR="00A74C9F">
        <w:rPr>
          <w:rFonts w:ascii="Arial" w:hAnsi="Arial" w:cs="Arial"/>
        </w:rPr>
        <w:t xml:space="preserve"> </w:t>
      </w:r>
      <w:r w:rsidR="001E251D">
        <w:rPr>
          <w:rFonts w:ascii="Arial" w:hAnsi="Arial" w:cs="Arial"/>
        </w:rPr>
        <w:t xml:space="preserve">for erf 26454 </w:t>
      </w:r>
      <w:r w:rsidR="00A74C9F">
        <w:rPr>
          <w:rFonts w:ascii="Arial" w:hAnsi="Arial" w:cs="Arial"/>
        </w:rPr>
        <w:t>would stand</w:t>
      </w:r>
      <w:r w:rsidR="004159A7">
        <w:rPr>
          <w:rFonts w:ascii="Arial" w:hAnsi="Arial" w:cs="Arial"/>
        </w:rPr>
        <w:t>.</w:t>
      </w:r>
      <w:r w:rsidR="004159A7">
        <w:rPr>
          <w:rStyle w:val="FootnoteReference"/>
          <w:rFonts w:ascii="Arial" w:hAnsi="Arial" w:cs="Arial"/>
        </w:rPr>
        <w:footnoteReference w:id="21"/>
      </w:r>
      <w:r w:rsidR="004159A7">
        <w:rPr>
          <w:rFonts w:ascii="Arial" w:hAnsi="Arial" w:cs="Arial"/>
        </w:rPr>
        <w:t xml:space="preserve"> Nel</w:t>
      </w:r>
      <w:r w:rsidR="00A74C9F">
        <w:rPr>
          <w:rFonts w:ascii="Arial" w:hAnsi="Arial" w:cs="Arial"/>
        </w:rPr>
        <w:t xml:space="preserve"> valued the </w:t>
      </w:r>
      <w:r w:rsidR="004159A7">
        <w:rPr>
          <w:rFonts w:ascii="Arial" w:hAnsi="Arial" w:cs="Arial"/>
        </w:rPr>
        <w:t>applicant’s</w:t>
      </w:r>
      <w:r w:rsidR="00A74C9F">
        <w:rPr>
          <w:rFonts w:ascii="Arial" w:hAnsi="Arial" w:cs="Arial"/>
        </w:rPr>
        <w:t xml:space="preserve"> properties for the 2017-2021 valuation roll.</w:t>
      </w:r>
      <w:r w:rsidR="004159A7">
        <w:rPr>
          <w:rFonts w:ascii="Arial" w:hAnsi="Arial" w:cs="Arial"/>
        </w:rPr>
        <w:t xml:space="preserve"> </w:t>
      </w:r>
      <w:r w:rsidR="004159A7" w:rsidRPr="004159A7">
        <w:rPr>
          <w:rFonts w:ascii="Arial" w:hAnsi="Arial" w:cs="Arial"/>
        </w:rPr>
        <w:t>Rainier Spamer</w:t>
      </w:r>
      <w:r w:rsidR="00717EC8">
        <w:rPr>
          <w:rFonts w:ascii="Arial" w:hAnsi="Arial" w:cs="Arial"/>
        </w:rPr>
        <w:t xml:space="preserve"> later</w:t>
      </w:r>
      <w:r w:rsidR="004159A7" w:rsidRPr="004159A7">
        <w:rPr>
          <w:rFonts w:ascii="Arial" w:hAnsi="Arial" w:cs="Arial"/>
        </w:rPr>
        <w:t xml:space="preserve"> took over from Nel as </w:t>
      </w:r>
      <w:r w:rsidR="00E62FBA">
        <w:rPr>
          <w:rFonts w:ascii="Arial" w:hAnsi="Arial" w:cs="Arial"/>
        </w:rPr>
        <w:t xml:space="preserve">the </w:t>
      </w:r>
      <w:r w:rsidR="004159A7" w:rsidRPr="004159A7">
        <w:rPr>
          <w:rFonts w:ascii="Arial" w:hAnsi="Arial" w:cs="Arial"/>
        </w:rPr>
        <w:t>valuer</w:t>
      </w:r>
      <w:r w:rsidR="00717EC8">
        <w:rPr>
          <w:rFonts w:ascii="Arial" w:hAnsi="Arial" w:cs="Arial"/>
        </w:rPr>
        <w:t>.</w:t>
      </w:r>
      <w:r w:rsidR="00A74C9F">
        <w:rPr>
          <w:rStyle w:val="FootnoteReference"/>
          <w:rFonts w:ascii="Arial" w:hAnsi="Arial" w:cs="Arial"/>
        </w:rPr>
        <w:footnoteReference w:id="22"/>
      </w:r>
      <w:r w:rsidR="00A74C9F">
        <w:rPr>
          <w:rFonts w:ascii="Arial" w:hAnsi="Arial" w:cs="Arial"/>
        </w:rPr>
        <w:t xml:space="preserve"> </w:t>
      </w:r>
    </w:p>
    <w:p w14:paraId="2A026B8F" w14:textId="77777777" w:rsidR="00183DEC" w:rsidRDefault="00C82332" w:rsidP="00112DAF">
      <w:pPr>
        <w:spacing w:before="240" w:after="240" w:line="360" w:lineRule="auto"/>
        <w:ind w:left="720" w:hanging="720"/>
        <w:jc w:val="both"/>
        <w:rPr>
          <w:rFonts w:ascii="Arial" w:hAnsi="Arial" w:cs="Arial"/>
        </w:rPr>
      </w:pPr>
      <w:r>
        <w:rPr>
          <w:rFonts w:ascii="Arial" w:hAnsi="Arial" w:cs="Arial"/>
        </w:rPr>
        <w:t>[16</w:t>
      </w:r>
      <w:r w:rsidR="00E62FBA">
        <w:rPr>
          <w:rFonts w:ascii="Arial" w:hAnsi="Arial" w:cs="Arial"/>
        </w:rPr>
        <w:t>]</w:t>
      </w:r>
      <w:r w:rsidR="00E62FBA">
        <w:rPr>
          <w:rFonts w:ascii="Arial" w:hAnsi="Arial" w:cs="Arial"/>
        </w:rPr>
        <w:tab/>
        <w:t>Spam</w:t>
      </w:r>
      <w:r w:rsidR="00A74C9F">
        <w:rPr>
          <w:rFonts w:ascii="Arial" w:hAnsi="Arial" w:cs="Arial"/>
        </w:rPr>
        <w:t>er grew imp</w:t>
      </w:r>
      <w:r w:rsidR="00E62FBA">
        <w:rPr>
          <w:rFonts w:ascii="Arial" w:hAnsi="Arial" w:cs="Arial"/>
        </w:rPr>
        <w:t>atient with the applicant’s non-</w:t>
      </w:r>
      <w:r w:rsidR="00A74C9F">
        <w:rPr>
          <w:rFonts w:ascii="Arial" w:hAnsi="Arial" w:cs="Arial"/>
        </w:rPr>
        <w:t>participation and failure to furnish the informati</w:t>
      </w:r>
      <w:r w:rsidR="00E62FBA">
        <w:rPr>
          <w:rFonts w:ascii="Arial" w:hAnsi="Arial" w:cs="Arial"/>
        </w:rPr>
        <w:t>on which would shed</w:t>
      </w:r>
      <w:r w:rsidR="00A74C9F">
        <w:rPr>
          <w:rFonts w:ascii="Arial" w:hAnsi="Arial" w:cs="Arial"/>
        </w:rPr>
        <w:t xml:space="preserve"> light on the </w:t>
      </w:r>
      <w:r w:rsidR="00E62FBA">
        <w:rPr>
          <w:rFonts w:ascii="Arial" w:hAnsi="Arial" w:cs="Arial"/>
        </w:rPr>
        <w:t>correct extent of each building</w:t>
      </w:r>
      <w:r w:rsidR="00A74C9F">
        <w:rPr>
          <w:rFonts w:ascii="Arial" w:hAnsi="Arial" w:cs="Arial"/>
        </w:rPr>
        <w:t xml:space="preserve"> and </w:t>
      </w:r>
      <w:r w:rsidR="00E62FBA">
        <w:rPr>
          <w:rFonts w:ascii="Arial" w:hAnsi="Arial" w:cs="Arial"/>
        </w:rPr>
        <w:t xml:space="preserve">the </w:t>
      </w:r>
      <w:r w:rsidR="00A74C9F">
        <w:rPr>
          <w:rFonts w:ascii="Arial" w:hAnsi="Arial" w:cs="Arial"/>
        </w:rPr>
        <w:t>uses of the applicant’s entire campus for the review o</w:t>
      </w:r>
      <w:r w:rsidR="00E62FBA">
        <w:rPr>
          <w:rFonts w:ascii="Arial" w:hAnsi="Arial" w:cs="Arial"/>
        </w:rPr>
        <w:t>f the valuation on the correct e</w:t>
      </w:r>
      <w:r w:rsidR="00A74C9F">
        <w:rPr>
          <w:rFonts w:ascii="Arial" w:hAnsi="Arial" w:cs="Arial"/>
        </w:rPr>
        <w:t>rf numbers.</w:t>
      </w:r>
      <w:r w:rsidR="00E62FBA">
        <w:rPr>
          <w:rStyle w:val="FootnoteReference"/>
          <w:rFonts w:ascii="Arial" w:hAnsi="Arial" w:cs="Arial"/>
        </w:rPr>
        <w:footnoteReference w:id="23"/>
      </w:r>
      <w:r w:rsidR="00A74C9F">
        <w:rPr>
          <w:rFonts w:ascii="Arial" w:hAnsi="Arial" w:cs="Arial"/>
        </w:rPr>
        <w:t xml:space="preserve"> The applicant, it was contended, failed to give a real explanation for the delay </w:t>
      </w:r>
      <w:r w:rsidR="005E5E90">
        <w:rPr>
          <w:rFonts w:ascii="Arial" w:hAnsi="Arial" w:cs="Arial"/>
        </w:rPr>
        <w:t>in</w:t>
      </w:r>
      <w:r w:rsidR="00A74C9F">
        <w:rPr>
          <w:rFonts w:ascii="Arial" w:hAnsi="Arial" w:cs="Arial"/>
        </w:rPr>
        <w:t xml:space="preserve"> the review application and was not in a hurry to finalise </w:t>
      </w:r>
      <w:r w:rsidR="00AD0CDA">
        <w:rPr>
          <w:rFonts w:ascii="Arial" w:hAnsi="Arial" w:cs="Arial"/>
        </w:rPr>
        <w:t>it.</w:t>
      </w:r>
      <w:r w:rsidR="000D4E9C">
        <w:rPr>
          <w:rStyle w:val="FootnoteReference"/>
          <w:rFonts w:ascii="Arial" w:hAnsi="Arial" w:cs="Arial"/>
        </w:rPr>
        <w:footnoteReference w:id="24"/>
      </w:r>
      <w:r w:rsidR="00AD0CDA">
        <w:rPr>
          <w:rFonts w:ascii="Arial" w:hAnsi="Arial" w:cs="Arial"/>
        </w:rPr>
        <w:t xml:space="preserve"> Besides, the applicant</w:t>
      </w:r>
      <w:r w:rsidR="006C2A31">
        <w:rPr>
          <w:rFonts w:ascii="Arial" w:hAnsi="Arial" w:cs="Arial"/>
        </w:rPr>
        <w:t xml:space="preserve"> was busy wit</w:t>
      </w:r>
      <w:r w:rsidR="005E5E90">
        <w:rPr>
          <w:rFonts w:ascii="Arial" w:hAnsi="Arial" w:cs="Arial"/>
        </w:rPr>
        <w:t>h the internal revaluation of its</w:t>
      </w:r>
      <w:r w:rsidR="006C2A31">
        <w:rPr>
          <w:rFonts w:ascii="Arial" w:hAnsi="Arial" w:cs="Arial"/>
        </w:rPr>
        <w:t xml:space="preserve"> properties</w:t>
      </w:r>
      <w:r w:rsidR="00183DEC">
        <w:rPr>
          <w:rFonts w:ascii="Arial" w:hAnsi="Arial" w:cs="Arial"/>
        </w:rPr>
        <w:t xml:space="preserve"> and, it was contended, this internal remedy had to be exhausted before the legal processes were proceeded with.</w:t>
      </w:r>
    </w:p>
    <w:p w14:paraId="39E5242B" w14:textId="41982B15" w:rsidR="006C2A31" w:rsidRDefault="00183DEC" w:rsidP="00112DAF">
      <w:pPr>
        <w:spacing w:before="240" w:after="240" w:line="360" w:lineRule="auto"/>
        <w:ind w:left="720" w:hanging="720"/>
        <w:jc w:val="both"/>
        <w:rPr>
          <w:rFonts w:ascii="Arial" w:hAnsi="Arial" w:cs="Arial"/>
        </w:rPr>
      </w:pPr>
      <w:r>
        <w:rPr>
          <w:rFonts w:ascii="Arial" w:hAnsi="Arial" w:cs="Arial"/>
        </w:rPr>
        <w:t>[17]</w:t>
      </w:r>
      <w:r w:rsidR="006C2A31">
        <w:rPr>
          <w:rFonts w:ascii="Arial" w:hAnsi="Arial" w:cs="Arial"/>
        </w:rPr>
        <w:t xml:space="preserve"> </w:t>
      </w:r>
      <w:r w:rsidR="001D652F">
        <w:rPr>
          <w:rFonts w:ascii="Arial" w:hAnsi="Arial" w:cs="Arial"/>
        </w:rPr>
        <w:tab/>
      </w:r>
      <w:r w:rsidR="002145DF">
        <w:rPr>
          <w:rFonts w:ascii="Arial" w:hAnsi="Arial" w:cs="Arial"/>
        </w:rPr>
        <w:t>It behoves at this juncture to have a sneak p</w:t>
      </w:r>
      <w:r w:rsidR="00EF4EC4">
        <w:rPr>
          <w:rFonts w:ascii="Arial" w:hAnsi="Arial" w:cs="Arial"/>
        </w:rPr>
        <w:t>eek</w:t>
      </w:r>
      <w:r w:rsidR="002145DF">
        <w:rPr>
          <w:rFonts w:ascii="Arial" w:hAnsi="Arial" w:cs="Arial"/>
        </w:rPr>
        <w:t xml:space="preserve"> </w:t>
      </w:r>
      <w:r w:rsidR="002D3D67">
        <w:rPr>
          <w:rFonts w:ascii="Arial" w:hAnsi="Arial" w:cs="Arial"/>
        </w:rPr>
        <w:t>at</w:t>
      </w:r>
      <w:r w:rsidR="002145DF">
        <w:rPr>
          <w:rFonts w:ascii="Arial" w:hAnsi="Arial" w:cs="Arial"/>
        </w:rPr>
        <w:t xml:space="preserve"> the legal framework within which the events played themselves. The MPRA provides that the </w:t>
      </w:r>
      <w:r w:rsidR="00E556AC">
        <w:rPr>
          <w:rFonts w:ascii="Arial" w:hAnsi="Arial" w:cs="Arial"/>
        </w:rPr>
        <w:t xml:space="preserve">aim of the Act </w:t>
      </w:r>
      <w:r w:rsidR="00EF4EC4">
        <w:rPr>
          <w:rFonts w:ascii="Arial" w:hAnsi="Arial" w:cs="Arial"/>
        </w:rPr>
        <w:t>is t</w:t>
      </w:r>
      <w:r w:rsidR="00EF4EC4" w:rsidRPr="00EF4EC4">
        <w:rPr>
          <w:rFonts w:ascii="Arial" w:hAnsi="Arial" w:cs="Arial"/>
        </w:rPr>
        <w:t xml:space="preserve">o regulate the power of a municipality to impose rates on property; </w:t>
      </w:r>
      <w:proofErr w:type="gramStart"/>
      <w:r w:rsidR="00EF4EC4" w:rsidRPr="00EF4EC4">
        <w:rPr>
          <w:rFonts w:ascii="Arial" w:hAnsi="Arial" w:cs="Arial"/>
        </w:rPr>
        <w:t>to</w:t>
      </w:r>
      <w:proofErr w:type="gramEnd"/>
      <w:r w:rsidR="00EF4EC4" w:rsidRPr="00EF4EC4">
        <w:rPr>
          <w:rFonts w:ascii="Arial" w:hAnsi="Arial" w:cs="Arial"/>
        </w:rPr>
        <w:t xml:space="preserve"> exclude certain propert</w:t>
      </w:r>
      <w:r w:rsidR="00EF4EC4">
        <w:rPr>
          <w:rFonts w:ascii="Arial" w:hAnsi="Arial" w:cs="Arial"/>
        </w:rPr>
        <w:t xml:space="preserve">ies from rating in the national </w:t>
      </w:r>
      <w:r w:rsidR="00EF4EC4" w:rsidRPr="00EF4EC4">
        <w:rPr>
          <w:rFonts w:ascii="Arial" w:hAnsi="Arial" w:cs="Arial"/>
        </w:rPr>
        <w:t xml:space="preserve">interest; </w:t>
      </w:r>
      <w:proofErr w:type="gramStart"/>
      <w:r w:rsidR="00EF4EC4" w:rsidRPr="00EF4EC4">
        <w:rPr>
          <w:rFonts w:ascii="Arial" w:hAnsi="Arial" w:cs="Arial"/>
        </w:rPr>
        <w:t>to</w:t>
      </w:r>
      <w:proofErr w:type="gramEnd"/>
      <w:r w:rsidR="00EF4EC4" w:rsidRPr="00EF4EC4">
        <w:rPr>
          <w:rFonts w:ascii="Arial" w:hAnsi="Arial" w:cs="Arial"/>
        </w:rPr>
        <w:t xml:space="preserve"> make provision for municipalities to implement a transparent and fair system of exe</w:t>
      </w:r>
      <w:r w:rsidR="00EF4EC4">
        <w:rPr>
          <w:rFonts w:ascii="Arial" w:hAnsi="Arial" w:cs="Arial"/>
        </w:rPr>
        <w:t xml:space="preserve">mptions, reductions and rebates </w:t>
      </w:r>
      <w:r w:rsidR="00EF4EC4" w:rsidRPr="00EF4EC4">
        <w:rPr>
          <w:rFonts w:ascii="Arial" w:hAnsi="Arial" w:cs="Arial"/>
        </w:rPr>
        <w:t xml:space="preserve">through their rating policies; </w:t>
      </w:r>
      <w:proofErr w:type="gramStart"/>
      <w:r w:rsidR="00EF4EC4" w:rsidRPr="00EF4EC4">
        <w:rPr>
          <w:rFonts w:ascii="Arial" w:hAnsi="Arial" w:cs="Arial"/>
        </w:rPr>
        <w:t>to</w:t>
      </w:r>
      <w:proofErr w:type="gramEnd"/>
      <w:r w:rsidR="00EF4EC4" w:rsidRPr="00EF4EC4">
        <w:rPr>
          <w:rFonts w:ascii="Arial" w:hAnsi="Arial" w:cs="Arial"/>
        </w:rPr>
        <w:t xml:space="preserve"> make provision for fair and equitable </w:t>
      </w:r>
      <w:r w:rsidR="00EF4EC4">
        <w:rPr>
          <w:rFonts w:ascii="Arial" w:hAnsi="Arial" w:cs="Arial"/>
        </w:rPr>
        <w:t xml:space="preserve">valuation methods of properties and an </w:t>
      </w:r>
      <w:r w:rsidR="00744F95">
        <w:rPr>
          <w:rFonts w:ascii="Arial" w:hAnsi="Arial" w:cs="Arial"/>
        </w:rPr>
        <w:t>objections and appeals process.</w:t>
      </w:r>
    </w:p>
    <w:p w14:paraId="26A94995" w14:textId="1DA557DD" w:rsidR="002D3D67" w:rsidRDefault="002D3D67" w:rsidP="00112DAF">
      <w:pPr>
        <w:spacing w:before="240" w:after="240" w:line="360" w:lineRule="auto"/>
        <w:ind w:left="720" w:hanging="720"/>
        <w:jc w:val="both"/>
        <w:rPr>
          <w:rFonts w:ascii="Arial" w:hAnsi="Arial" w:cs="Arial"/>
        </w:rPr>
      </w:pPr>
      <w:r>
        <w:rPr>
          <w:rFonts w:ascii="Arial" w:hAnsi="Arial" w:cs="Arial"/>
        </w:rPr>
        <w:lastRenderedPageBreak/>
        <w:t xml:space="preserve">[18] </w:t>
      </w:r>
      <w:r w:rsidR="00F051FC">
        <w:rPr>
          <w:rFonts w:ascii="Arial" w:hAnsi="Arial" w:cs="Arial"/>
        </w:rPr>
        <w:tab/>
      </w:r>
      <w:r>
        <w:rPr>
          <w:rFonts w:ascii="Arial" w:hAnsi="Arial" w:cs="Arial"/>
        </w:rPr>
        <w:t>A</w:t>
      </w:r>
      <w:r w:rsidRPr="002D3D67">
        <w:rPr>
          <w:rFonts w:ascii="Arial" w:hAnsi="Arial" w:cs="Arial"/>
        </w:rPr>
        <w:t xml:space="preserve"> municipality may levy a rate on propert</w:t>
      </w:r>
      <w:r>
        <w:rPr>
          <w:rFonts w:ascii="Arial" w:hAnsi="Arial" w:cs="Arial"/>
        </w:rPr>
        <w:t>y in its area</w:t>
      </w:r>
      <w:r w:rsidR="00042A66">
        <w:rPr>
          <w:rFonts w:ascii="Arial" w:hAnsi="Arial" w:cs="Arial"/>
        </w:rPr>
        <w:t xml:space="preserve"> </w:t>
      </w:r>
      <w:r>
        <w:rPr>
          <w:rStyle w:val="FootnoteReference"/>
          <w:rFonts w:ascii="Arial" w:hAnsi="Arial" w:cs="Arial"/>
        </w:rPr>
        <w:footnoteReference w:id="25"/>
      </w:r>
      <w:r w:rsidRPr="002D3D67">
        <w:rPr>
          <w:rFonts w:ascii="Arial" w:hAnsi="Arial" w:cs="Arial"/>
        </w:rPr>
        <w:t xml:space="preserve"> </w:t>
      </w:r>
      <w:r w:rsidR="00042A66">
        <w:rPr>
          <w:rFonts w:ascii="Arial" w:hAnsi="Arial" w:cs="Arial"/>
        </w:rPr>
        <w:t xml:space="preserve">but </w:t>
      </w:r>
      <w:r w:rsidR="00203764">
        <w:rPr>
          <w:rFonts w:ascii="Arial" w:hAnsi="Arial" w:cs="Arial"/>
        </w:rPr>
        <w:t>must exercise this</w:t>
      </w:r>
      <w:r w:rsidRPr="002D3D67">
        <w:rPr>
          <w:rFonts w:ascii="Arial" w:hAnsi="Arial" w:cs="Arial"/>
        </w:rPr>
        <w:t xml:space="preserve"> </w:t>
      </w:r>
      <w:r w:rsidR="00203764">
        <w:rPr>
          <w:rFonts w:ascii="Arial" w:hAnsi="Arial" w:cs="Arial"/>
        </w:rPr>
        <w:t>power subject to</w:t>
      </w:r>
      <w:r w:rsidRPr="002D3D67">
        <w:rPr>
          <w:rFonts w:ascii="Arial" w:hAnsi="Arial" w:cs="Arial"/>
        </w:rPr>
        <w:t xml:space="preserve"> section 229 and any other applicable provisions of the Constitution; the pro</w:t>
      </w:r>
      <w:r w:rsidR="00203764">
        <w:rPr>
          <w:rFonts w:ascii="Arial" w:hAnsi="Arial" w:cs="Arial"/>
        </w:rPr>
        <w:t>visions of this Act</w:t>
      </w:r>
      <w:r w:rsidRPr="002D3D67">
        <w:rPr>
          <w:rFonts w:ascii="Arial" w:hAnsi="Arial" w:cs="Arial"/>
        </w:rPr>
        <w:t xml:space="preserve"> and</w:t>
      </w:r>
      <w:r w:rsidR="00203764">
        <w:rPr>
          <w:rFonts w:ascii="Arial" w:hAnsi="Arial" w:cs="Arial"/>
        </w:rPr>
        <w:t xml:space="preserve"> </w:t>
      </w:r>
      <w:r w:rsidRPr="002D3D67">
        <w:rPr>
          <w:rFonts w:ascii="Arial" w:hAnsi="Arial" w:cs="Arial"/>
        </w:rPr>
        <w:t>the rates policy it must adopt in terms of section 3.</w:t>
      </w:r>
      <w:r w:rsidR="00203764">
        <w:rPr>
          <w:rStyle w:val="FootnoteReference"/>
          <w:rFonts w:ascii="Arial" w:hAnsi="Arial" w:cs="Arial"/>
        </w:rPr>
        <w:footnoteReference w:id="26"/>
      </w:r>
      <w:r w:rsidR="0045749B">
        <w:rPr>
          <w:rFonts w:ascii="Arial" w:hAnsi="Arial" w:cs="Arial"/>
        </w:rPr>
        <w:t xml:space="preserve"> It</w:t>
      </w:r>
      <w:r w:rsidR="00883436" w:rsidRPr="00883436">
        <w:rPr>
          <w:rFonts w:ascii="Arial" w:hAnsi="Arial" w:cs="Arial"/>
        </w:rPr>
        <w:t xml:space="preserve"> must ado</w:t>
      </w:r>
      <w:r w:rsidR="00883436">
        <w:rPr>
          <w:rFonts w:ascii="Arial" w:hAnsi="Arial" w:cs="Arial"/>
        </w:rPr>
        <w:t>pt a policy consistent with the provisions of the MPRA</w:t>
      </w:r>
      <w:r w:rsidR="00883436" w:rsidRPr="00883436">
        <w:rPr>
          <w:rFonts w:ascii="Arial" w:hAnsi="Arial" w:cs="Arial"/>
        </w:rPr>
        <w:t xml:space="preserve"> on the levying of rates on rateable </w:t>
      </w:r>
      <w:r w:rsidR="0045749B">
        <w:rPr>
          <w:rFonts w:ascii="Arial" w:hAnsi="Arial" w:cs="Arial"/>
        </w:rPr>
        <w:t>property in its</w:t>
      </w:r>
      <w:r w:rsidR="008B2B1C">
        <w:rPr>
          <w:rFonts w:ascii="Arial" w:hAnsi="Arial" w:cs="Arial"/>
        </w:rPr>
        <w:t xml:space="preserve"> area.</w:t>
      </w:r>
      <w:r w:rsidR="008D38FF">
        <w:rPr>
          <w:rFonts w:ascii="Arial" w:hAnsi="Arial" w:cs="Arial"/>
        </w:rPr>
        <w:t xml:space="preserve"> </w:t>
      </w:r>
      <w:r w:rsidR="008B2B1C">
        <w:rPr>
          <w:rFonts w:ascii="Arial" w:hAnsi="Arial" w:cs="Arial"/>
        </w:rPr>
        <w:t xml:space="preserve">The </w:t>
      </w:r>
      <w:r w:rsidR="008D38FF">
        <w:rPr>
          <w:rFonts w:ascii="Arial" w:hAnsi="Arial" w:cs="Arial"/>
        </w:rPr>
        <w:t>rates policy must</w:t>
      </w:r>
      <w:r w:rsidR="00883436" w:rsidRPr="00883436">
        <w:rPr>
          <w:rFonts w:ascii="Arial" w:hAnsi="Arial" w:cs="Arial"/>
        </w:rPr>
        <w:t xml:space="preserve"> treat per</w:t>
      </w:r>
      <w:r w:rsidR="008D38FF">
        <w:rPr>
          <w:rFonts w:ascii="Arial" w:hAnsi="Arial" w:cs="Arial"/>
        </w:rPr>
        <w:t>sons liable for rates equitably</w:t>
      </w:r>
      <w:r w:rsidR="008D38FF">
        <w:rPr>
          <w:rStyle w:val="FootnoteReference"/>
          <w:rFonts w:ascii="Arial" w:hAnsi="Arial" w:cs="Arial"/>
        </w:rPr>
        <w:footnoteReference w:id="27"/>
      </w:r>
      <w:r w:rsidR="001D059B">
        <w:rPr>
          <w:rFonts w:ascii="Arial" w:hAnsi="Arial" w:cs="Arial"/>
        </w:rPr>
        <w:t xml:space="preserve"> and </w:t>
      </w:r>
      <w:r w:rsidR="00883436" w:rsidRPr="00883436">
        <w:rPr>
          <w:rFonts w:ascii="Arial" w:hAnsi="Arial" w:cs="Arial"/>
        </w:rPr>
        <w:t xml:space="preserve"> determine the criteria to be ap</w:t>
      </w:r>
      <w:r w:rsidR="001D059B">
        <w:rPr>
          <w:rFonts w:ascii="Arial" w:hAnsi="Arial" w:cs="Arial"/>
        </w:rPr>
        <w:t>plied by</w:t>
      </w:r>
      <w:r w:rsidR="0045749B">
        <w:rPr>
          <w:rFonts w:ascii="Arial" w:hAnsi="Arial" w:cs="Arial"/>
        </w:rPr>
        <w:t xml:space="preserve"> it</w:t>
      </w:r>
      <w:r w:rsidR="001D059B">
        <w:rPr>
          <w:rFonts w:ascii="Arial" w:hAnsi="Arial" w:cs="Arial"/>
        </w:rPr>
        <w:t xml:space="preserve"> if it</w:t>
      </w:r>
      <w:r w:rsidR="00883436" w:rsidRPr="00883436">
        <w:rPr>
          <w:rFonts w:ascii="Arial" w:hAnsi="Arial" w:cs="Arial"/>
        </w:rPr>
        <w:t xml:space="preserve"> levies different rates for different categories of properties determined in terms of</w:t>
      </w:r>
      <w:r w:rsidR="001D059B">
        <w:rPr>
          <w:rFonts w:ascii="Arial" w:hAnsi="Arial" w:cs="Arial"/>
        </w:rPr>
        <w:t xml:space="preserve"> section 8.</w:t>
      </w:r>
      <w:r w:rsidR="001D059B">
        <w:rPr>
          <w:rStyle w:val="FootnoteReference"/>
          <w:rFonts w:ascii="Arial" w:hAnsi="Arial" w:cs="Arial"/>
        </w:rPr>
        <w:footnoteReference w:id="28"/>
      </w:r>
    </w:p>
    <w:p w14:paraId="4778A94D" w14:textId="1A0B91E1" w:rsidR="001E67B8" w:rsidRDefault="001E67B8" w:rsidP="00112DAF">
      <w:pPr>
        <w:spacing w:before="240" w:after="240" w:line="360" w:lineRule="auto"/>
        <w:ind w:left="720" w:hanging="720"/>
        <w:jc w:val="both"/>
        <w:rPr>
          <w:rFonts w:ascii="Arial" w:hAnsi="Arial" w:cs="Arial"/>
        </w:rPr>
      </w:pPr>
      <w:r>
        <w:rPr>
          <w:rFonts w:ascii="Arial" w:hAnsi="Arial" w:cs="Arial"/>
        </w:rPr>
        <w:t xml:space="preserve">[19] </w:t>
      </w:r>
      <w:r w:rsidR="00112DAF">
        <w:rPr>
          <w:rFonts w:ascii="Arial" w:hAnsi="Arial" w:cs="Arial"/>
        </w:rPr>
        <w:tab/>
      </w:r>
      <w:r w:rsidR="00D00606">
        <w:rPr>
          <w:rFonts w:ascii="Arial" w:hAnsi="Arial" w:cs="Arial"/>
        </w:rPr>
        <w:t>Section</w:t>
      </w:r>
      <w:r w:rsidR="00A25609">
        <w:rPr>
          <w:rFonts w:ascii="Arial" w:hAnsi="Arial" w:cs="Arial"/>
        </w:rPr>
        <w:t>s</w:t>
      </w:r>
      <w:r w:rsidR="00D00606">
        <w:rPr>
          <w:rFonts w:ascii="Arial" w:hAnsi="Arial" w:cs="Arial"/>
        </w:rPr>
        <w:t xml:space="preserve"> 8</w:t>
      </w:r>
      <w:r w:rsidR="00A25609">
        <w:rPr>
          <w:rFonts w:ascii="Arial" w:hAnsi="Arial" w:cs="Arial"/>
        </w:rPr>
        <w:t>(1) and (2)</w:t>
      </w:r>
      <w:r w:rsidR="00D00606">
        <w:rPr>
          <w:rFonts w:ascii="Arial" w:hAnsi="Arial" w:cs="Arial"/>
        </w:rPr>
        <w:t xml:space="preserve"> of the MPRA read as follows:</w:t>
      </w:r>
    </w:p>
    <w:p w14:paraId="7B03D672" w14:textId="77777777" w:rsidR="00D00606" w:rsidRPr="00A25609" w:rsidRDefault="00A25609" w:rsidP="00112DAF">
      <w:pPr>
        <w:spacing w:before="240" w:after="240" w:line="360" w:lineRule="auto"/>
        <w:ind w:left="1440" w:hanging="720"/>
        <w:jc w:val="both"/>
        <w:rPr>
          <w:rFonts w:ascii="Arial" w:hAnsi="Arial" w:cs="Arial"/>
          <w:i/>
        </w:rPr>
      </w:pPr>
      <w:r>
        <w:rPr>
          <w:rFonts w:ascii="Arial" w:hAnsi="Arial" w:cs="Arial"/>
        </w:rPr>
        <w:t>“</w:t>
      </w:r>
      <w:r w:rsidRPr="00A25609">
        <w:rPr>
          <w:rFonts w:ascii="Arial" w:hAnsi="Arial" w:cs="Arial"/>
          <w:i/>
        </w:rPr>
        <w:t>8 Differential rates</w:t>
      </w:r>
    </w:p>
    <w:p w14:paraId="5D46CDB2" w14:textId="7CD8CF98" w:rsidR="00D00606" w:rsidRPr="00A25609" w:rsidRDefault="00D00606" w:rsidP="00112DAF">
      <w:pPr>
        <w:spacing w:before="240" w:after="240" w:line="360" w:lineRule="auto"/>
        <w:ind w:left="1440" w:hanging="720"/>
        <w:jc w:val="both"/>
        <w:rPr>
          <w:rFonts w:ascii="Arial" w:hAnsi="Arial" w:cs="Arial"/>
          <w:i/>
        </w:rPr>
      </w:pPr>
      <w:r w:rsidRPr="00A25609">
        <w:rPr>
          <w:rFonts w:ascii="Arial" w:hAnsi="Arial" w:cs="Arial"/>
          <w:i/>
        </w:rPr>
        <w:t xml:space="preserve">(1) </w:t>
      </w:r>
      <w:r w:rsidR="00112DAF">
        <w:rPr>
          <w:rFonts w:ascii="Arial" w:hAnsi="Arial" w:cs="Arial"/>
          <w:i/>
        </w:rPr>
        <w:tab/>
      </w:r>
      <w:r w:rsidRPr="00A25609">
        <w:rPr>
          <w:rFonts w:ascii="Arial" w:hAnsi="Arial" w:cs="Arial"/>
          <w:i/>
        </w:rPr>
        <w:t>Subject to section 19, a municipality may, in terms of the criteria set out in its rates policy, levy different ra</w:t>
      </w:r>
      <w:r w:rsidR="00A25609">
        <w:rPr>
          <w:rFonts w:ascii="Arial" w:hAnsi="Arial" w:cs="Arial"/>
          <w:i/>
        </w:rPr>
        <w:t xml:space="preserve">tes for different categories of </w:t>
      </w:r>
      <w:r w:rsidRPr="00A25609">
        <w:rPr>
          <w:rFonts w:ascii="Arial" w:hAnsi="Arial" w:cs="Arial"/>
          <w:i/>
        </w:rPr>
        <w:t>rateable property, determined in subsections (2) and (3), which must be determined according to the</w:t>
      </w:r>
      <w:r w:rsidR="00A25609">
        <w:rPr>
          <w:rFonts w:ascii="Arial" w:hAnsi="Arial" w:cs="Arial"/>
          <w:i/>
        </w:rPr>
        <w:t>-</w:t>
      </w:r>
    </w:p>
    <w:p w14:paraId="004E104B" w14:textId="59A07B5C"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a) </w:t>
      </w:r>
      <w:r w:rsidR="00112DAF">
        <w:rPr>
          <w:rFonts w:ascii="Arial" w:hAnsi="Arial" w:cs="Arial"/>
          <w:i/>
        </w:rPr>
        <w:tab/>
      </w:r>
      <w:r w:rsidRPr="00A25609">
        <w:rPr>
          <w:rFonts w:ascii="Arial" w:hAnsi="Arial" w:cs="Arial"/>
          <w:i/>
        </w:rPr>
        <w:t>use of the property;</w:t>
      </w:r>
    </w:p>
    <w:p w14:paraId="4DD3AC91" w14:textId="7CA952C8"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(b) </w:t>
      </w:r>
      <w:r w:rsidR="00112DAF">
        <w:rPr>
          <w:rFonts w:ascii="Arial" w:hAnsi="Arial" w:cs="Arial"/>
          <w:i/>
        </w:rPr>
        <w:tab/>
      </w:r>
      <w:r w:rsidRPr="00A25609">
        <w:rPr>
          <w:rFonts w:ascii="Arial" w:hAnsi="Arial" w:cs="Arial"/>
          <w:i/>
        </w:rPr>
        <w:t>permitted use of the property; or</w:t>
      </w:r>
    </w:p>
    <w:p w14:paraId="4C900DAB" w14:textId="06D9C51C"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(c) </w:t>
      </w:r>
      <w:r w:rsidR="00112DAF">
        <w:rPr>
          <w:rFonts w:ascii="Arial" w:hAnsi="Arial" w:cs="Arial"/>
          <w:i/>
        </w:rPr>
        <w:tab/>
      </w:r>
      <w:r w:rsidRPr="00A25609">
        <w:rPr>
          <w:rFonts w:ascii="Arial" w:hAnsi="Arial" w:cs="Arial"/>
          <w:i/>
        </w:rPr>
        <w:t>a combination of (a) and (b).</w:t>
      </w:r>
    </w:p>
    <w:p w14:paraId="4D693CED" w14:textId="6B6B7FC9" w:rsidR="00D00606" w:rsidRPr="00A25609" w:rsidRDefault="00D00606" w:rsidP="00112DAF">
      <w:pPr>
        <w:spacing w:before="240" w:after="240" w:line="360" w:lineRule="auto"/>
        <w:ind w:left="1440" w:hanging="720"/>
        <w:jc w:val="both"/>
        <w:rPr>
          <w:rFonts w:ascii="Arial" w:hAnsi="Arial" w:cs="Arial"/>
          <w:i/>
        </w:rPr>
      </w:pPr>
      <w:r w:rsidRPr="00A25609">
        <w:rPr>
          <w:rFonts w:ascii="Arial" w:hAnsi="Arial" w:cs="Arial"/>
          <w:i/>
        </w:rPr>
        <w:t xml:space="preserve">(2) </w:t>
      </w:r>
      <w:r w:rsidR="00112DAF">
        <w:rPr>
          <w:rFonts w:ascii="Arial" w:hAnsi="Arial" w:cs="Arial"/>
          <w:i/>
        </w:rPr>
        <w:tab/>
      </w:r>
      <w:r w:rsidRPr="00A25609">
        <w:rPr>
          <w:rFonts w:ascii="Arial" w:hAnsi="Arial" w:cs="Arial"/>
          <w:i/>
        </w:rPr>
        <w:t xml:space="preserve">A municipality must determine the following categories of rateable property in terms of subsection (1): </w:t>
      </w:r>
      <w:r w:rsidR="00003429">
        <w:rPr>
          <w:rFonts w:ascii="Arial" w:hAnsi="Arial" w:cs="Arial"/>
          <w:i/>
        </w:rPr>
        <w:t xml:space="preserve">Provided such property category </w:t>
      </w:r>
      <w:r w:rsidRPr="00A25609">
        <w:rPr>
          <w:rFonts w:ascii="Arial" w:hAnsi="Arial" w:cs="Arial"/>
          <w:i/>
        </w:rPr>
        <w:t>exists within the municipal jurisdiction:</w:t>
      </w:r>
    </w:p>
    <w:p w14:paraId="595327D6" w14:textId="7AE4CF00"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(a) </w:t>
      </w:r>
      <w:r w:rsidR="00112DAF">
        <w:rPr>
          <w:rFonts w:ascii="Arial" w:hAnsi="Arial" w:cs="Arial"/>
          <w:i/>
        </w:rPr>
        <w:tab/>
      </w:r>
      <w:r w:rsidRPr="00A25609">
        <w:rPr>
          <w:rFonts w:ascii="Arial" w:hAnsi="Arial" w:cs="Arial"/>
          <w:i/>
        </w:rPr>
        <w:t>Residential properties;</w:t>
      </w:r>
    </w:p>
    <w:p w14:paraId="662C317A" w14:textId="36E61D19"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(b) </w:t>
      </w:r>
      <w:r w:rsidR="00112DAF">
        <w:rPr>
          <w:rFonts w:ascii="Arial" w:hAnsi="Arial" w:cs="Arial"/>
          <w:i/>
        </w:rPr>
        <w:tab/>
      </w:r>
      <w:r w:rsidRPr="00A25609">
        <w:rPr>
          <w:rFonts w:ascii="Arial" w:hAnsi="Arial" w:cs="Arial"/>
          <w:i/>
        </w:rPr>
        <w:t>industrial properties;</w:t>
      </w:r>
    </w:p>
    <w:p w14:paraId="4873155F" w14:textId="34F729B7"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(c) </w:t>
      </w:r>
      <w:r w:rsidR="00112DAF">
        <w:rPr>
          <w:rFonts w:ascii="Arial" w:hAnsi="Arial" w:cs="Arial"/>
          <w:i/>
        </w:rPr>
        <w:tab/>
      </w:r>
      <w:r w:rsidRPr="00A25609">
        <w:rPr>
          <w:rFonts w:ascii="Arial" w:hAnsi="Arial" w:cs="Arial"/>
          <w:i/>
        </w:rPr>
        <w:t>business and commercial properties;</w:t>
      </w:r>
    </w:p>
    <w:p w14:paraId="0207C79D" w14:textId="09081EF6"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lastRenderedPageBreak/>
        <w:t xml:space="preserve">(d) </w:t>
      </w:r>
      <w:r w:rsidR="00112DAF">
        <w:rPr>
          <w:rFonts w:ascii="Arial" w:hAnsi="Arial" w:cs="Arial"/>
          <w:i/>
        </w:rPr>
        <w:tab/>
      </w:r>
      <w:r w:rsidRPr="00A25609">
        <w:rPr>
          <w:rFonts w:ascii="Arial" w:hAnsi="Arial" w:cs="Arial"/>
          <w:i/>
        </w:rPr>
        <w:t>agricultural properties;</w:t>
      </w:r>
    </w:p>
    <w:p w14:paraId="7F818D4D" w14:textId="17986FCD"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(e) </w:t>
      </w:r>
      <w:r w:rsidR="00112DAF">
        <w:rPr>
          <w:rFonts w:ascii="Arial" w:hAnsi="Arial" w:cs="Arial"/>
          <w:i/>
        </w:rPr>
        <w:tab/>
      </w:r>
      <w:r w:rsidRPr="00A25609">
        <w:rPr>
          <w:rFonts w:ascii="Arial" w:hAnsi="Arial" w:cs="Arial"/>
          <w:i/>
        </w:rPr>
        <w:t>mining properties;</w:t>
      </w:r>
    </w:p>
    <w:p w14:paraId="2816B6D1" w14:textId="4E05DA4C"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(f) </w:t>
      </w:r>
      <w:r w:rsidR="00112DAF">
        <w:rPr>
          <w:rFonts w:ascii="Arial" w:hAnsi="Arial" w:cs="Arial"/>
          <w:i/>
        </w:rPr>
        <w:tab/>
      </w:r>
      <w:r w:rsidRPr="00A25609">
        <w:rPr>
          <w:rFonts w:ascii="Arial" w:hAnsi="Arial" w:cs="Arial"/>
          <w:i/>
        </w:rPr>
        <w:t>properties owned by an organ of state and used for public service purposes;</w:t>
      </w:r>
    </w:p>
    <w:p w14:paraId="0A703371" w14:textId="519472BF"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(g)</w:t>
      </w:r>
      <w:r w:rsidR="00112DAF">
        <w:rPr>
          <w:rFonts w:ascii="Arial" w:hAnsi="Arial" w:cs="Arial"/>
          <w:i/>
        </w:rPr>
        <w:tab/>
      </w:r>
      <w:r w:rsidRPr="00A25609">
        <w:rPr>
          <w:rFonts w:ascii="Arial" w:hAnsi="Arial" w:cs="Arial"/>
          <w:i/>
        </w:rPr>
        <w:t xml:space="preserve"> public service infrastructure properties;</w:t>
      </w:r>
    </w:p>
    <w:p w14:paraId="0D721C6B" w14:textId="4702DAC2"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(h) </w:t>
      </w:r>
      <w:r w:rsidR="00112DAF">
        <w:rPr>
          <w:rFonts w:ascii="Arial" w:hAnsi="Arial" w:cs="Arial"/>
          <w:i/>
        </w:rPr>
        <w:tab/>
      </w:r>
      <w:r w:rsidRPr="00A25609">
        <w:rPr>
          <w:rFonts w:ascii="Arial" w:hAnsi="Arial" w:cs="Arial"/>
          <w:i/>
        </w:rPr>
        <w:t>properties owned by public benefit organisations and used for specified public benefit activities;</w:t>
      </w:r>
    </w:p>
    <w:p w14:paraId="6DB8E858" w14:textId="538F285B" w:rsidR="00D00606" w:rsidRPr="00A25609" w:rsidRDefault="00D00606" w:rsidP="00112DAF">
      <w:pPr>
        <w:spacing w:before="240" w:after="240" w:line="360" w:lineRule="auto"/>
        <w:ind w:left="2160" w:hanging="720"/>
        <w:jc w:val="both"/>
        <w:rPr>
          <w:rFonts w:ascii="Arial" w:hAnsi="Arial" w:cs="Arial"/>
          <w:i/>
        </w:rPr>
      </w:pPr>
      <w:r w:rsidRPr="00A25609">
        <w:rPr>
          <w:rFonts w:ascii="Arial" w:hAnsi="Arial" w:cs="Arial"/>
          <w:i/>
        </w:rPr>
        <w:t xml:space="preserve">(i) </w:t>
      </w:r>
      <w:r w:rsidR="00112DAF">
        <w:rPr>
          <w:rFonts w:ascii="Arial" w:hAnsi="Arial" w:cs="Arial"/>
          <w:i/>
        </w:rPr>
        <w:tab/>
      </w:r>
      <w:r w:rsidRPr="00A25609">
        <w:rPr>
          <w:rFonts w:ascii="Arial" w:hAnsi="Arial" w:cs="Arial"/>
          <w:i/>
        </w:rPr>
        <w:t>properties used for multiple purposes, subject to section 9; or</w:t>
      </w:r>
    </w:p>
    <w:p w14:paraId="69B67000" w14:textId="360C09C5" w:rsidR="00D00606" w:rsidRDefault="00D00606" w:rsidP="00112DAF">
      <w:pPr>
        <w:spacing w:before="240" w:after="240" w:line="360" w:lineRule="auto"/>
        <w:ind w:left="2160" w:hanging="720"/>
        <w:jc w:val="both"/>
        <w:rPr>
          <w:rFonts w:ascii="Arial" w:hAnsi="Arial" w:cs="Arial"/>
        </w:rPr>
      </w:pPr>
      <w:r w:rsidRPr="00A25609">
        <w:rPr>
          <w:rFonts w:ascii="Arial" w:hAnsi="Arial" w:cs="Arial"/>
          <w:i/>
        </w:rPr>
        <w:t xml:space="preserve">(j) </w:t>
      </w:r>
      <w:r w:rsidR="00112DAF">
        <w:rPr>
          <w:rFonts w:ascii="Arial" w:hAnsi="Arial" w:cs="Arial"/>
          <w:i/>
        </w:rPr>
        <w:tab/>
      </w:r>
      <w:r w:rsidRPr="00A25609">
        <w:rPr>
          <w:rFonts w:ascii="Arial" w:hAnsi="Arial" w:cs="Arial"/>
          <w:i/>
        </w:rPr>
        <w:t>any other category of property as may be determined by the Minister, with the concurrence of the Mi</w:t>
      </w:r>
      <w:r w:rsidR="00E26064">
        <w:rPr>
          <w:rFonts w:ascii="Arial" w:hAnsi="Arial" w:cs="Arial"/>
          <w:i/>
        </w:rPr>
        <w:t xml:space="preserve">nister of Finance, by notice in </w:t>
      </w:r>
      <w:r w:rsidR="00A25609">
        <w:rPr>
          <w:rFonts w:ascii="Arial" w:hAnsi="Arial" w:cs="Arial"/>
          <w:i/>
        </w:rPr>
        <w:t>the Gazette.</w:t>
      </w:r>
      <w:r w:rsidR="00E26064">
        <w:rPr>
          <w:rFonts w:ascii="Arial" w:hAnsi="Arial" w:cs="Arial"/>
          <w:i/>
        </w:rPr>
        <w:t>”</w:t>
      </w:r>
      <w:r w:rsidR="00E02CCD">
        <w:rPr>
          <w:rFonts w:ascii="Arial" w:hAnsi="Arial" w:cs="Arial"/>
          <w:i/>
        </w:rPr>
        <w:t xml:space="preserve"> </w:t>
      </w:r>
    </w:p>
    <w:p w14:paraId="16F3AFE8" w14:textId="77777777" w:rsidR="00E02CCD" w:rsidRPr="00E02CCD" w:rsidRDefault="00E02CCD" w:rsidP="00112DAF">
      <w:pPr>
        <w:spacing w:before="240" w:after="240" w:line="360" w:lineRule="auto"/>
        <w:ind w:left="720" w:hanging="720"/>
        <w:jc w:val="both"/>
        <w:rPr>
          <w:rFonts w:ascii="Arial" w:hAnsi="Arial" w:cs="Arial"/>
        </w:rPr>
      </w:pPr>
      <w:r>
        <w:rPr>
          <w:rFonts w:ascii="Arial" w:hAnsi="Arial" w:cs="Arial"/>
        </w:rPr>
        <w:t xml:space="preserve">[20] </w:t>
      </w:r>
      <w:r w:rsidR="00161413">
        <w:rPr>
          <w:rFonts w:ascii="Arial" w:hAnsi="Arial" w:cs="Arial"/>
        </w:rPr>
        <w:tab/>
      </w:r>
      <w:r>
        <w:rPr>
          <w:rFonts w:ascii="Arial" w:hAnsi="Arial" w:cs="Arial"/>
        </w:rPr>
        <w:t>A municipal council’s resolution to levy rates in the municipality must differentiate between categori</w:t>
      </w:r>
      <w:r w:rsidR="00C33DE1">
        <w:rPr>
          <w:rFonts w:ascii="Arial" w:hAnsi="Arial" w:cs="Arial"/>
        </w:rPr>
        <w:t>e</w:t>
      </w:r>
      <w:r>
        <w:rPr>
          <w:rFonts w:ascii="Arial" w:hAnsi="Arial" w:cs="Arial"/>
        </w:rPr>
        <w:t>s of properties and reflect the cent amount in the rand rate for each category of property.</w:t>
      </w:r>
      <w:r w:rsidR="004F6685">
        <w:rPr>
          <w:rStyle w:val="FootnoteReference"/>
          <w:rFonts w:ascii="Arial" w:hAnsi="Arial" w:cs="Arial"/>
        </w:rPr>
        <w:footnoteReference w:id="29"/>
      </w:r>
      <w:r>
        <w:rPr>
          <w:rFonts w:ascii="Arial" w:hAnsi="Arial" w:cs="Arial"/>
        </w:rPr>
        <w:t xml:space="preserve"> A municipality may not levy rates which unreasonably discriminate between categories of non-residential properties.</w:t>
      </w:r>
      <w:r>
        <w:rPr>
          <w:rStyle w:val="FootnoteReference"/>
          <w:rFonts w:ascii="Arial" w:hAnsi="Arial" w:cs="Arial"/>
        </w:rPr>
        <w:footnoteReference w:id="30"/>
      </w:r>
      <w:r w:rsidR="006F5885">
        <w:rPr>
          <w:rFonts w:ascii="Arial" w:hAnsi="Arial" w:cs="Arial"/>
        </w:rPr>
        <w:t xml:space="preserve"> All rateable properties in the municipality must be valued  during a general valuation</w:t>
      </w:r>
      <w:r w:rsidR="006F5885">
        <w:rPr>
          <w:rStyle w:val="FootnoteReference"/>
          <w:rFonts w:ascii="Arial" w:hAnsi="Arial" w:cs="Arial"/>
        </w:rPr>
        <w:footnoteReference w:id="31"/>
      </w:r>
      <w:r w:rsidR="00BF58EF">
        <w:rPr>
          <w:rFonts w:ascii="Arial" w:hAnsi="Arial" w:cs="Arial"/>
        </w:rPr>
        <w:t xml:space="preserve"> by a municipal valuer who shall then prepare a valuation roll, sign and certify it for submission to the municipal manager within a prescribed period.</w:t>
      </w:r>
      <w:r w:rsidR="00BF58EF">
        <w:rPr>
          <w:rStyle w:val="FootnoteReference"/>
          <w:rFonts w:ascii="Arial" w:hAnsi="Arial" w:cs="Arial"/>
        </w:rPr>
        <w:footnoteReference w:id="32"/>
      </w:r>
      <w:r>
        <w:rPr>
          <w:rFonts w:ascii="Arial" w:hAnsi="Arial" w:cs="Arial"/>
        </w:rPr>
        <w:t xml:space="preserve"> </w:t>
      </w:r>
    </w:p>
    <w:p w14:paraId="1DB00D15" w14:textId="77777777" w:rsidR="005A6D30" w:rsidRDefault="00E02CCD" w:rsidP="00112DAF">
      <w:pPr>
        <w:spacing w:before="240" w:after="240" w:line="360" w:lineRule="auto"/>
        <w:ind w:left="720" w:hanging="720"/>
        <w:jc w:val="both"/>
        <w:rPr>
          <w:rFonts w:ascii="Arial" w:hAnsi="Arial" w:cs="Arial"/>
        </w:rPr>
      </w:pPr>
      <w:r>
        <w:rPr>
          <w:rFonts w:ascii="Arial" w:hAnsi="Arial" w:cs="Arial"/>
        </w:rPr>
        <w:t>[21</w:t>
      </w:r>
      <w:r w:rsidR="006C2A31">
        <w:rPr>
          <w:rFonts w:ascii="Arial" w:hAnsi="Arial" w:cs="Arial"/>
        </w:rPr>
        <w:t>]</w:t>
      </w:r>
      <w:r w:rsidR="006C2A31">
        <w:rPr>
          <w:rFonts w:ascii="Arial" w:hAnsi="Arial" w:cs="Arial"/>
        </w:rPr>
        <w:tab/>
      </w:r>
      <w:r w:rsidR="00C33DE1" w:rsidRPr="00C33DE1">
        <w:rPr>
          <w:rFonts w:ascii="Arial" w:hAnsi="Arial" w:cs="Arial"/>
        </w:rPr>
        <w:t xml:space="preserve">Property must be valued in accordance with generally recognised valuation practices, methods and standards, and the provisions of the MPRA. Physical inspection of the property to be valued is optional and comparative, analytical and other systems or techniques may be used, including aerial photography and computer assisted mass appraisal systems or techniques, taking into </w:t>
      </w:r>
      <w:r w:rsidR="00C33DE1" w:rsidRPr="00C33DE1">
        <w:rPr>
          <w:rFonts w:ascii="Arial" w:hAnsi="Arial" w:cs="Arial"/>
        </w:rPr>
        <w:lastRenderedPageBreak/>
        <w:t>account changes in technology and valuation systems and techniques.</w:t>
      </w:r>
      <w:r w:rsidR="00CE4CC6">
        <w:rPr>
          <w:rStyle w:val="FootnoteReference"/>
          <w:rFonts w:ascii="Arial" w:hAnsi="Arial" w:cs="Arial"/>
        </w:rPr>
        <w:footnoteReference w:id="33"/>
      </w:r>
      <w:r w:rsidR="00C33DE1" w:rsidRPr="00C33DE1">
        <w:rPr>
          <w:rFonts w:ascii="Arial" w:hAnsi="Arial" w:cs="Arial"/>
        </w:rPr>
        <w:t xml:space="preserve">  The general basis of valuation is the market value of a property which is the amount the property would have realised if sold on the date of valuation in the open market by a willing seller to a willing buyer.</w:t>
      </w:r>
      <w:r w:rsidR="00CE4CC6">
        <w:rPr>
          <w:rStyle w:val="FootnoteReference"/>
          <w:rFonts w:ascii="Arial" w:hAnsi="Arial" w:cs="Arial"/>
        </w:rPr>
        <w:footnoteReference w:id="34"/>
      </w:r>
      <w:r w:rsidR="00C33DE1" w:rsidRPr="00C33DE1">
        <w:rPr>
          <w:rFonts w:ascii="Arial" w:hAnsi="Arial" w:cs="Arial"/>
        </w:rPr>
        <w:t xml:space="preserve"> </w:t>
      </w:r>
    </w:p>
    <w:p w14:paraId="05F2A225" w14:textId="529F4E7C" w:rsidR="00CA4A73" w:rsidRPr="005A6D30" w:rsidRDefault="00C33DE1" w:rsidP="00112DAF">
      <w:pPr>
        <w:tabs>
          <w:tab w:val="left" w:pos="7088"/>
        </w:tabs>
        <w:spacing w:before="240" w:after="240" w:line="360" w:lineRule="auto"/>
        <w:ind w:left="720" w:hanging="720"/>
        <w:jc w:val="both"/>
        <w:rPr>
          <w:rFonts w:ascii="Arial" w:hAnsi="Arial" w:cs="Arial"/>
        </w:rPr>
      </w:pPr>
      <w:r>
        <w:rPr>
          <w:rFonts w:ascii="Arial" w:hAnsi="Arial" w:cs="Arial"/>
        </w:rPr>
        <w:t xml:space="preserve">[22] </w:t>
      </w:r>
      <w:r w:rsidR="00283538">
        <w:rPr>
          <w:rFonts w:ascii="Arial" w:hAnsi="Arial" w:cs="Arial"/>
        </w:rPr>
        <w:tab/>
      </w:r>
      <w:r w:rsidRPr="00C33DE1">
        <w:rPr>
          <w:rFonts w:ascii="Arial" w:hAnsi="Arial" w:cs="Arial"/>
        </w:rPr>
        <w:t>I deem it prudent to start</w:t>
      </w:r>
      <w:r w:rsidR="009D4B90">
        <w:rPr>
          <w:rFonts w:ascii="Arial" w:hAnsi="Arial" w:cs="Arial"/>
        </w:rPr>
        <w:t xml:space="preserve"> first</w:t>
      </w:r>
      <w:r w:rsidRPr="00C33DE1">
        <w:rPr>
          <w:rFonts w:ascii="Arial" w:hAnsi="Arial" w:cs="Arial"/>
        </w:rPr>
        <w:t xml:space="preserve"> with the</w:t>
      </w:r>
      <w:r w:rsidR="009D4B90">
        <w:rPr>
          <w:rFonts w:ascii="Arial" w:hAnsi="Arial" w:cs="Arial"/>
        </w:rPr>
        <w:t xml:space="preserve"> evaluation of the</w:t>
      </w:r>
      <w:r w:rsidRPr="00C33DE1">
        <w:rPr>
          <w:rFonts w:ascii="Arial" w:hAnsi="Arial" w:cs="Arial"/>
        </w:rPr>
        <w:t xml:space="preserve"> preliminary points raised by the respondents. The first preliminary point is based on PAJA in that the applicant failed to comply with the 180-day period within which to bring a review application. Section 1 of PAJA defines an administrative action as any decision taken by an organ of state when exercising a public power or performing a public function in terms of an empowering provision, which adversely affects the rights of any person and which has a direct, external legal effect, but does not include the executive powers and legislative functions of a municipal council</w:t>
      </w:r>
      <w:r>
        <w:rPr>
          <w:rFonts w:ascii="Arial" w:hAnsi="Arial" w:cs="Arial"/>
        </w:rPr>
        <w:t>.</w:t>
      </w:r>
      <w:r w:rsidR="00AB7ADD">
        <w:rPr>
          <w:rStyle w:val="FootnoteReference"/>
          <w:rFonts w:ascii="Arial" w:hAnsi="Arial" w:cs="Arial"/>
        </w:rPr>
        <w:footnoteReference w:id="35"/>
      </w:r>
      <w:r w:rsidR="00CE4CC6" w:rsidRPr="00CE4CC6">
        <w:rPr>
          <w:rFonts w:ascii="Arial" w:hAnsi="Arial" w:cs="Arial"/>
        </w:rPr>
        <w:t xml:space="preserve"> </w:t>
      </w:r>
      <w:r>
        <w:rPr>
          <w:rFonts w:ascii="Arial" w:hAnsi="Arial" w:cs="Arial"/>
        </w:rPr>
        <w:t xml:space="preserve"> </w:t>
      </w:r>
    </w:p>
    <w:p w14:paraId="48430BCE" w14:textId="3F61EB9C" w:rsidR="005A6D30" w:rsidRDefault="006349BA" w:rsidP="00112DAF">
      <w:pPr>
        <w:spacing w:before="240" w:after="240" w:line="360" w:lineRule="auto"/>
        <w:ind w:left="720" w:hanging="720"/>
        <w:jc w:val="both"/>
        <w:rPr>
          <w:rFonts w:ascii="Arial" w:hAnsi="Arial" w:cs="Arial"/>
        </w:rPr>
      </w:pPr>
      <w:r>
        <w:rPr>
          <w:rFonts w:ascii="Arial" w:hAnsi="Arial" w:cs="Arial"/>
        </w:rPr>
        <w:t>[23</w:t>
      </w:r>
      <w:r w:rsidR="003736B1">
        <w:rPr>
          <w:rFonts w:ascii="Arial" w:hAnsi="Arial" w:cs="Arial"/>
        </w:rPr>
        <w:t xml:space="preserve">] </w:t>
      </w:r>
      <w:r w:rsidR="00C82332">
        <w:rPr>
          <w:rFonts w:ascii="Arial" w:hAnsi="Arial" w:cs="Arial"/>
        </w:rPr>
        <w:tab/>
      </w:r>
      <w:r w:rsidR="00396958">
        <w:rPr>
          <w:rFonts w:ascii="Arial" w:hAnsi="Arial" w:cs="Arial"/>
        </w:rPr>
        <w:t>I</w:t>
      </w:r>
      <w:r w:rsidR="00396958" w:rsidRPr="00396958">
        <w:rPr>
          <w:rFonts w:ascii="Arial" w:hAnsi="Arial" w:cs="Arial"/>
        </w:rPr>
        <w:t>t is a fundamental principle of the ru</w:t>
      </w:r>
      <w:r w:rsidR="00396958">
        <w:rPr>
          <w:rFonts w:ascii="Arial" w:hAnsi="Arial" w:cs="Arial"/>
        </w:rPr>
        <w:t>le of law</w:t>
      </w:r>
      <w:r w:rsidR="00396958" w:rsidRPr="00396958">
        <w:rPr>
          <w:rFonts w:ascii="Arial" w:hAnsi="Arial" w:cs="Arial"/>
        </w:rPr>
        <w:t xml:space="preserve"> that the exercise of public power is only legitimate where lawful. The rule of law expresses this principle of legality</w:t>
      </w:r>
      <w:r w:rsidR="00396958">
        <w:rPr>
          <w:rFonts w:ascii="Arial" w:hAnsi="Arial" w:cs="Arial"/>
        </w:rPr>
        <w:t>. A</w:t>
      </w:r>
      <w:r w:rsidR="00396958" w:rsidRPr="00396958">
        <w:rPr>
          <w:rFonts w:ascii="Arial" w:hAnsi="Arial" w:cs="Arial"/>
        </w:rPr>
        <w:t xml:space="preserve"> local government may only act within the pow</w:t>
      </w:r>
      <w:r w:rsidR="00396958">
        <w:rPr>
          <w:rFonts w:ascii="Arial" w:hAnsi="Arial" w:cs="Arial"/>
        </w:rPr>
        <w:t>ers lawfully conferred upon it.</w:t>
      </w:r>
      <w:r w:rsidR="00396958">
        <w:rPr>
          <w:rStyle w:val="FootnoteReference"/>
          <w:rFonts w:ascii="Arial" w:hAnsi="Arial" w:cs="Arial"/>
        </w:rPr>
        <w:footnoteReference w:id="36"/>
      </w:r>
      <w:r w:rsidR="00135CCC">
        <w:rPr>
          <w:rFonts w:ascii="Arial" w:hAnsi="Arial" w:cs="Arial"/>
        </w:rPr>
        <w:t xml:space="preserve"> </w:t>
      </w:r>
      <w:r w:rsidR="00430CD6" w:rsidRPr="00045701">
        <w:rPr>
          <w:rFonts w:ascii="Arial" w:hAnsi="Arial" w:cs="Arial"/>
        </w:rPr>
        <w:t>The exercise of public power must therefore comply with the Constitution, which is the supreme law, and the doctrine of legalit</w:t>
      </w:r>
      <w:r w:rsidR="005920A2" w:rsidRPr="00045701">
        <w:rPr>
          <w:rFonts w:ascii="Arial" w:hAnsi="Arial" w:cs="Arial"/>
        </w:rPr>
        <w:t>y, which is part of that law.</w:t>
      </w:r>
      <w:r w:rsidR="00430CD6" w:rsidRPr="00045701">
        <w:rPr>
          <w:rFonts w:ascii="Arial" w:hAnsi="Arial" w:cs="Arial"/>
        </w:rPr>
        <w:t xml:space="preserve"> The doctrine of legality, which is an incident of th</w:t>
      </w:r>
      <w:r w:rsidR="005920A2" w:rsidRPr="00045701">
        <w:rPr>
          <w:rFonts w:ascii="Arial" w:hAnsi="Arial" w:cs="Arial"/>
        </w:rPr>
        <w:t xml:space="preserve">e rule of law, is one of the </w:t>
      </w:r>
      <w:r w:rsidR="00430CD6" w:rsidRPr="00045701">
        <w:rPr>
          <w:rFonts w:ascii="Arial" w:hAnsi="Arial" w:cs="Arial"/>
        </w:rPr>
        <w:t>constitutional controls through which the exercise of public power is re</w:t>
      </w:r>
      <w:r w:rsidR="005920A2" w:rsidRPr="00045701">
        <w:rPr>
          <w:rFonts w:ascii="Arial" w:hAnsi="Arial" w:cs="Arial"/>
        </w:rPr>
        <w:t xml:space="preserve">gulated by the Constitution. </w:t>
      </w:r>
      <w:r w:rsidR="00430CD6" w:rsidRPr="00045701">
        <w:rPr>
          <w:rFonts w:ascii="Arial" w:hAnsi="Arial" w:cs="Arial"/>
        </w:rPr>
        <w:t>It entails that both the</w:t>
      </w:r>
      <w:r w:rsidR="005920A2" w:rsidRPr="00045701">
        <w:rPr>
          <w:rFonts w:ascii="Arial" w:hAnsi="Arial" w:cs="Arial"/>
        </w:rPr>
        <w:t xml:space="preserve"> Legislature and the Executive </w:t>
      </w:r>
      <w:r w:rsidR="00430CD6" w:rsidRPr="00045701">
        <w:rPr>
          <w:rFonts w:ascii="Arial" w:hAnsi="Arial" w:cs="Arial"/>
        </w:rPr>
        <w:t xml:space="preserve">are constrained by the principle that they may exercise no power and perform no function beyond that conferred upon them by </w:t>
      </w:r>
      <w:r w:rsidR="005920A2" w:rsidRPr="00045701">
        <w:rPr>
          <w:rFonts w:ascii="Arial" w:hAnsi="Arial" w:cs="Arial"/>
        </w:rPr>
        <w:t>law</w:t>
      </w:r>
      <w:r w:rsidR="00430CD6" w:rsidRPr="00045701">
        <w:rPr>
          <w:rFonts w:ascii="Arial" w:hAnsi="Arial" w:cs="Arial"/>
        </w:rPr>
        <w:t>. In this sense</w:t>
      </w:r>
      <w:r w:rsidR="005920A2" w:rsidRPr="00045701">
        <w:rPr>
          <w:rFonts w:ascii="Arial" w:hAnsi="Arial" w:cs="Arial"/>
        </w:rPr>
        <w:t>,</w:t>
      </w:r>
      <w:r w:rsidR="00430CD6" w:rsidRPr="00045701">
        <w:rPr>
          <w:rFonts w:ascii="Arial" w:hAnsi="Arial" w:cs="Arial"/>
        </w:rPr>
        <w:t xml:space="preserve"> the Constitution entrenches </w:t>
      </w:r>
      <w:r w:rsidR="005920A2" w:rsidRPr="00045701">
        <w:rPr>
          <w:rFonts w:ascii="Arial" w:hAnsi="Arial" w:cs="Arial"/>
        </w:rPr>
        <w:t>the principle of legality and</w:t>
      </w:r>
      <w:r w:rsidR="00430CD6" w:rsidRPr="00045701">
        <w:rPr>
          <w:rFonts w:ascii="Arial" w:hAnsi="Arial" w:cs="Arial"/>
        </w:rPr>
        <w:t xml:space="preserve"> provides the foundation fo</w:t>
      </w:r>
      <w:r w:rsidR="005920A2" w:rsidRPr="00045701">
        <w:rPr>
          <w:rFonts w:ascii="Arial" w:hAnsi="Arial" w:cs="Arial"/>
        </w:rPr>
        <w:t>r the control of public power.</w:t>
      </w:r>
      <w:r w:rsidR="000A5B90" w:rsidRPr="00045701">
        <w:rPr>
          <w:rStyle w:val="FootnoteReference"/>
          <w:rFonts w:ascii="Arial" w:hAnsi="Arial" w:cs="Arial"/>
        </w:rPr>
        <w:footnoteReference w:id="37"/>
      </w:r>
    </w:p>
    <w:p w14:paraId="4F28B7AD" w14:textId="2A9897A4" w:rsidR="005920A2" w:rsidRPr="005920A2" w:rsidRDefault="005920A2" w:rsidP="00112DAF">
      <w:pPr>
        <w:spacing w:before="240" w:after="240" w:line="360" w:lineRule="auto"/>
        <w:ind w:left="720" w:hanging="720"/>
        <w:jc w:val="both"/>
        <w:rPr>
          <w:rFonts w:ascii="Arial" w:hAnsi="Arial" w:cs="Arial"/>
        </w:rPr>
      </w:pPr>
      <w:r>
        <w:rPr>
          <w:rFonts w:ascii="Arial" w:hAnsi="Arial" w:cs="Arial"/>
        </w:rPr>
        <w:lastRenderedPageBreak/>
        <w:t>[</w:t>
      </w:r>
      <w:r w:rsidR="006349BA">
        <w:rPr>
          <w:rFonts w:ascii="Arial" w:hAnsi="Arial" w:cs="Arial"/>
        </w:rPr>
        <w:t>24</w:t>
      </w:r>
      <w:r>
        <w:rPr>
          <w:rFonts w:ascii="Arial" w:hAnsi="Arial" w:cs="Arial"/>
        </w:rPr>
        <w:t xml:space="preserve">] </w:t>
      </w:r>
      <w:r w:rsidR="00135CCC">
        <w:rPr>
          <w:rFonts w:ascii="Arial" w:hAnsi="Arial" w:cs="Arial"/>
        </w:rPr>
        <w:tab/>
      </w:r>
      <w:r>
        <w:rPr>
          <w:rFonts w:ascii="Arial" w:hAnsi="Arial" w:cs="Arial"/>
        </w:rPr>
        <w:t>T</w:t>
      </w:r>
      <w:r w:rsidRPr="005920A2">
        <w:rPr>
          <w:rFonts w:ascii="Arial" w:hAnsi="Arial" w:cs="Arial"/>
        </w:rPr>
        <w:t>he decision</w:t>
      </w:r>
      <w:r w:rsidR="00915B05">
        <w:rPr>
          <w:rFonts w:ascii="Arial" w:hAnsi="Arial" w:cs="Arial"/>
        </w:rPr>
        <w:t>s</w:t>
      </w:r>
      <w:r w:rsidRPr="005920A2">
        <w:rPr>
          <w:rFonts w:ascii="Arial" w:hAnsi="Arial" w:cs="Arial"/>
        </w:rPr>
        <w:t xml:space="preserve"> the </w:t>
      </w:r>
      <w:r>
        <w:rPr>
          <w:rFonts w:ascii="Arial" w:hAnsi="Arial" w:cs="Arial"/>
        </w:rPr>
        <w:t>appellants seek to impugn are not administrative in</w:t>
      </w:r>
      <w:r w:rsidRPr="005920A2">
        <w:rPr>
          <w:rFonts w:ascii="Arial" w:hAnsi="Arial" w:cs="Arial"/>
        </w:rPr>
        <w:t xml:space="preserve"> nature</w:t>
      </w:r>
      <w:r>
        <w:rPr>
          <w:rFonts w:ascii="Arial" w:hAnsi="Arial" w:cs="Arial"/>
        </w:rPr>
        <w:t xml:space="preserve"> and can therefore</w:t>
      </w:r>
      <w:r w:rsidRPr="005920A2">
        <w:rPr>
          <w:rFonts w:ascii="Arial" w:hAnsi="Arial" w:cs="Arial"/>
        </w:rPr>
        <w:t xml:space="preserve"> not be assailed </w:t>
      </w:r>
      <w:r>
        <w:rPr>
          <w:rFonts w:ascii="Arial" w:hAnsi="Arial" w:cs="Arial"/>
        </w:rPr>
        <w:t xml:space="preserve">on the grounds of </w:t>
      </w:r>
      <w:r w:rsidR="00915B05">
        <w:rPr>
          <w:rFonts w:ascii="Arial" w:hAnsi="Arial" w:cs="Arial"/>
        </w:rPr>
        <w:t>non-compliance with</w:t>
      </w:r>
      <w:r>
        <w:rPr>
          <w:rFonts w:ascii="Arial" w:hAnsi="Arial" w:cs="Arial"/>
        </w:rPr>
        <w:t xml:space="preserve"> PAJA</w:t>
      </w:r>
      <w:r w:rsidRPr="005920A2">
        <w:rPr>
          <w:rFonts w:ascii="Arial" w:hAnsi="Arial" w:cs="Arial"/>
        </w:rPr>
        <w:t>. Conse</w:t>
      </w:r>
      <w:r w:rsidR="005A6091">
        <w:rPr>
          <w:rFonts w:ascii="Arial" w:hAnsi="Arial" w:cs="Arial"/>
        </w:rPr>
        <w:t>quently, in seeking relief, the applicant</w:t>
      </w:r>
      <w:r w:rsidRPr="005920A2">
        <w:rPr>
          <w:rFonts w:ascii="Arial" w:hAnsi="Arial" w:cs="Arial"/>
        </w:rPr>
        <w:t xml:space="preserve"> relied solely upon the legality p</w:t>
      </w:r>
      <w:r>
        <w:rPr>
          <w:rFonts w:ascii="Arial" w:hAnsi="Arial" w:cs="Arial"/>
        </w:rPr>
        <w:t>rinciple. The matter thus turns</w:t>
      </w:r>
      <w:r w:rsidRPr="005920A2">
        <w:rPr>
          <w:rFonts w:ascii="Arial" w:hAnsi="Arial" w:cs="Arial"/>
        </w:rPr>
        <w:t xml:space="preserve"> on wh</w:t>
      </w:r>
      <w:r>
        <w:rPr>
          <w:rFonts w:ascii="Arial" w:hAnsi="Arial" w:cs="Arial"/>
        </w:rPr>
        <w:t xml:space="preserve">ether the municipality's 2017 valuation roll was lawfully </w:t>
      </w:r>
      <w:r w:rsidRPr="005920A2">
        <w:rPr>
          <w:rFonts w:ascii="Arial" w:hAnsi="Arial" w:cs="Arial"/>
        </w:rPr>
        <w:t>adopted.</w:t>
      </w:r>
      <w:r w:rsidR="00637678">
        <w:rPr>
          <w:rStyle w:val="FootnoteReference"/>
          <w:rFonts w:ascii="Arial" w:hAnsi="Arial" w:cs="Arial"/>
        </w:rPr>
        <w:footnoteReference w:id="38"/>
      </w:r>
      <w:r w:rsidR="00A11434">
        <w:rPr>
          <w:rFonts w:ascii="Arial" w:hAnsi="Arial" w:cs="Arial"/>
        </w:rPr>
        <w:t xml:space="preserve"> That being said, it follows that the provisions </w:t>
      </w:r>
      <w:r w:rsidR="00611A07">
        <w:rPr>
          <w:rFonts w:ascii="Arial" w:hAnsi="Arial" w:cs="Arial"/>
        </w:rPr>
        <w:t xml:space="preserve">of </w:t>
      </w:r>
      <w:r w:rsidR="00A11434">
        <w:rPr>
          <w:rFonts w:ascii="Arial" w:hAnsi="Arial" w:cs="Arial"/>
        </w:rPr>
        <w:t xml:space="preserve">PAJA are not applicable to this legality review and, consequently, this finding disposes of some of the allegations and/or defences raised by the respondents. </w:t>
      </w:r>
      <w:r w:rsidR="006E3EF8">
        <w:rPr>
          <w:rFonts w:ascii="Arial" w:hAnsi="Arial" w:cs="Arial"/>
        </w:rPr>
        <w:t>In particular, the insistence of the respondents that the applicant should have exhausted internal remedies before the court could review the administrative action.</w:t>
      </w:r>
      <w:r w:rsidR="006E3EF8">
        <w:rPr>
          <w:rStyle w:val="FootnoteReference"/>
          <w:rFonts w:ascii="Arial" w:hAnsi="Arial" w:cs="Arial"/>
        </w:rPr>
        <w:footnoteReference w:id="39"/>
      </w:r>
    </w:p>
    <w:p w14:paraId="681B3984" w14:textId="656BBE9E" w:rsidR="00AB27EA" w:rsidRDefault="0097545E" w:rsidP="00112DAF">
      <w:pPr>
        <w:spacing w:before="240" w:after="240" w:line="360" w:lineRule="auto"/>
        <w:ind w:left="720" w:hanging="720"/>
        <w:jc w:val="both"/>
        <w:rPr>
          <w:rFonts w:ascii="Arial" w:hAnsi="Arial" w:cs="Arial"/>
        </w:rPr>
      </w:pPr>
      <w:r>
        <w:rPr>
          <w:rFonts w:ascii="Arial" w:hAnsi="Arial" w:cs="Arial"/>
        </w:rPr>
        <w:t>[2</w:t>
      </w:r>
      <w:r w:rsidR="006349BA">
        <w:rPr>
          <w:rFonts w:ascii="Arial" w:hAnsi="Arial" w:cs="Arial"/>
        </w:rPr>
        <w:t>5</w:t>
      </w:r>
      <w:r w:rsidR="00A11434">
        <w:rPr>
          <w:rFonts w:ascii="Arial" w:hAnsi="Arial" w:cs="Arial"/>
        </w:rPr>
        <w:t>]</w:t>
      </w:r>
      <w:r w:rsidR="00AB27EA">
        <w:rPr>
          <w:rFonts w:ascii="Arial" w:hAnsi="Arial" w:cs="Arial"/>
        </w:rPr>
        <w:t xml:space="preserve"> </w:t>
      </w:r>
      <w:r w:rsidR="00112DAF">
        <w:rPr>
          <w:rFonts w:ascii="Arial" w:hAnsi="Arial" w:cs="Arial"/>
        </w:rPr>
        <w:tab/>
      </w:r>
      <w:r w:rsidR="00EE2AD4">
        <w:rPr>
          <w:rFonts w:ascii="Arial" w:hAnsi="Arial" w:cs="Arial"/>
        </w:rPr>
        <w:t xml:space="preserve">The respondents stated that the engagement in a supplementary valuation by the parties was in terms of sections </w:t>
      </w:r>
      <w:r w:rsidR="00AB27EA">
        <w:rPr>
          <w:rFonts w:ascii="Arial" w:hAnsi="Arial" w:cs="Arial"/>
        </w:rPr>
        <w:t>77</w:t>
      </w:r>
      <w:r w:rsidR="00EE2AD4">
        <w:rPr>
          <w:rFonts w:ascii="Arial" w:hAnsi="Arial" w:cs="Arial"/>
        </w:rPr>
        <w:t>(a) and 78(1)(f) of the MPRA. Section 77(a)</w:t>
      </w:r>
      <w:r w:rsidR="00AB27EA">
        <w:rPr>
          <w:rFonts w:ascii="Arial" w:hAnsi="Arial" w:cs="Arial"/>
        </w:rPr>
        <w:t xml:space="preserve"> provides that a</w:t>
      </w:r>
      <w:r w:rsidR="00AB27EA" w:rsidRPr="00AB27EA">
        <w:rPr>
          <w:rFonts w:ascii="Arial" w:hAnsi="Arial" w:cs="Arial"/>
        </w:rPr>
        <w:t xml:space="preserve"> municipality must regularly, but at least once a year, update</w:t>
      </w:r>
      <w:r w:rsidR="007F4A85">
        <w:rPr>
          <w:rFonts w:ascii="Arial" w:hAnsi="Arial" w:cs="Arial"/>
        </w:rPr>
        <w:t xml:space="preserve"> its valuation roll by causing</w:t>
      </w:r>
      <w:r w:rsidR="00AB27EA" w:rsidRPr="00AB27EA">
        <w:rPr>
          <w:rFonts w:ascii="Arial" w:hAnsi="Arial" w:cs="Arial"/>
        </w:rPr>
        <w:t xml:space="preserve"> a supplementary valuation roll to be prep</w:t>
      </w:r>
      <w:r w:rsidR="00EE2AD4">
        <w:rPr>
          <w:rFonts w:ascii="Arial" w:hAnsi="Arial" w:cs="Arial"/>
        </w:rPr>
        <w:t>ared, if section 78 applies</w:t>
      </w:r>
      <w:r w:rsidR="00AB27EA" w:rsidRPr="00AB27EA">
        <w:rPr>
          <w:rFonts w:ascii="Arial" w:hAnsi="Arial" w:cs="Arial"/>
        </w:rPr>
        <w:t>.</w:t>
      </w:r>
      <w:r w:rsidR="00EE2AD4">
        <w:rPr>
          <w:rFonts w:ascii="Arial" w:hAnsi="Arial" w:cs="Arial"/>
        </w:rPr>
        <w:t xml:space="preserve"> Section 78</w:t>
      </w:r>
      <w:r w:rsidR="005B2528">
        <w:rPr>
          <w:rFonts w:ascii="Arial" w:hAnsi="Arial" w:cs="Arial"/>
        </w:rPr>
        <w:t>(1)</w:t>
      </w:r>
      <w:r w:rsidR="00EE2AD4">
        <w:rPr>
          <w:rFonts w:ascii="Arial" w:hAnsi="Arial" w:cs="Arial"/>
        </w:rPr>
        <w:t xml:space="preserve"> provides as follows:</w:t>
      </w:r>
    </w:p>
    <w:p w14:paraId="777A7CB4" w14:textId="77777777" w:rsidR="00EE2AD4" w:rsidRPr="005B2528" w:rsidRDefault="00EE2AD4" w:rsidP="00EE2AD4">
      <w:pPr>
        <w:spacing w:before="240" w:after="240" w:line="360" w:lineRule="auto"/>
        <w:ind w:left="567" w:hanging="567"/>
        <w:jc w:val="both"/>
        <w:rPr>
          <w:rFonts w:ascii="Arial" w:hAnsi="Arial" w:cs="Arial"/>
          <w:b/>
          <w:i/>
        </w:rPr>
      </w:pPr>
      <w:r>
        <w:rPr>
          <w:rFonts w:ascii="Arial" w:hAnsi="Arial" w:cs="Arial"/>
        </w:rPr>
        <w:t xml:space="preserve">         “</w:t>
      </w:r>
      <w:r w:rsidRPr="005B2528">
        <w:rPr>
          <w:rFonts w:ascii="Arial" w:hAnsi="Arial" w:cs="Arial"/>
          <w:b/>
          <w:i/>
        </w:rPr>
        <w:t>78 Supplementary valuations</w:t>
      </w:r>
    </w:p>
    <w:p w14:paraId="310EF9FB" w14:textId="4A0E6BE2" w:rsidR="00EE2AD4" w:rsidRPr="005B2528" w:rsidRDefault="00EE2AD4" w:rsidP="00112DAF">
      <w:pPr>
        <w:spacing w:before="240" w:after="240" w:line="360" w:lineRule="auto"/>
        <w:ind w:left="1440" w:hanging="720"/>
        <w:jc w:val="both"/>
        <w:rPr>
          <w:rFonts w:ascii="Arial" w:hAnsi="Arial" w:cs="Arial"/>
          <w:i/>
        </w:rPr>
      </w:pPr>
      <w:r w:rsidRPr="005B2528">
        <w:rPr>
          <w:rFonts w:ascii="Arial" w:hAnsi="Arial" w:cs="Arial"/>
          <w:i/>
        </w:rPr>
        <w:t xml:space="preserve">(1) </w:t>
      </w:r>
      <w:r w:rsidR="00112DAF">
        <w:rPr>
          <w:rFonts w:ascii="Arial" w:hAnsi="Arial" w:cs="Arial"/>
          <w:i/>
        </w:rPr>
        <w:tab/>
      </w:r>
      <w:r w:rsidRPr="005B2528">
        <w:rPr>
          <w:rFonts w:ascii="Arial" w:hAnsi="Arial" w:cs="Arial"/>
          <w:i/>
        </w:rPr>
        <w:t>A municipality must, whenever necessary, cause a supplementary valuation to be made in respect of any rateable property-</w:t>
      </w:r>
    </w:p>
    <w:p w14:paraId="2698DDF0" w14:textId="77777777" w:rsidR="00EE2AD4" w:rsidRPr="005B2528" w:rsidRDefault="00C82332" w:rsidP="00112DAF">
      <w:pPr>
        <w:spacing w:before="240" w:after="240" w:line="360" w:lineRule="auto"/>
        <w:ind w:left="2160" w:hanging="720"/>
        <w:jc w:val="both"/>
        <w:rPr>
          <w:rFonts w:ascii="Arial" w:hAnsi="Arial" w:cs="Arial"/>
          <w:i/>
        </w:rPr>
      </w:pPr>
      <w:r>
        <w:rPr>
          <w:rFonts w:ascii="Arial" w:hAnsi="Arial" w:cs="Arial"/>
          <w:i/>
        </w:rPr>
        <w:t>(</w:t>
      </w:r>
      <w:r w:rsidR="00EE2AD4" w:rsidRPr="005B2528">
        <w:rPr>
          <w:rFonts w:ascii="Arial" w:hAnsi="Arial" w:cs="Arial"/>
          <w:i/>
        </w:rPr>
        <w:t>a)</w:t>
      </w:r>
      <w:r>
        <w:rPr>
          <w:rFonts w:ascii="Arial" w:hAnsi="Arial" w:cs="Arial"/>
          <w:i/>
        </w:rPr>
        <w:tab/>
      </w:r>
      <w:r w:rsidR="00EE2AD4" w:rsidRPr="005B2528">
        <w:rPr>
          <w:rFonts w:ascii="Arial" w:hAnsi="Arial" w:cs="Arial"/>
          <w:i/>
        </w:rPr>
        <w:t xml:space="preserve"> </w:t>
      </w:r>
      <w:proofErr w:type="gramStart"/>
      <w:r w:rsidR="00EE2AD4" w:rsidRPr="005B2528">
        <w:rPr>
          <w:rFonts w:ascii="Arial" w:hAnsi="Arial" w:cs="Arial"/>
          <w:i/>
        </w:rPr>
        <w:t>incorrectly</w:t>
      </w:r>
      <w:proofErr w:type="gramEnd"/>
      <w:r w:rsidR="00EE2AD4" w:rsidRPr="005B2528">
        <w:rPr>
          <w:rFonts w:ascii="Arial" w:hAnsi="Arial" w:cs="Arial"/>
          <w:i/>
        </w:rPr>
        <w:t xml:space="preserve"> omitted from the valuation roll;</w:t>
      </w:r>
    </w:p>
    <w:p w14:paraId="51870C2A"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t xml:space="preserve">(b) </w:t>
      </w:r>
      <w:r w:rsidR="00C82332">
        <w:rPr>
          <w:rFonts w:ascii="Arial" w:hAnsi="Arial" w:cs="Arial"/>
          <w:i/>
        </w:rPr>
        <w:tab/>
      </w:r>
      <w:r w:rsidRPr="005B2528">
        <w:rPr>
          <w:rFonts w:ascii="Arial" w:hAnsi="Arial" w:cs="Arial"/>
          <w:i/>
        </w:rPr>
        <w:t>included in a municipality after the last general valuation;</w:t>
      </w:r>
    </w:p>
    <w:p w14:paraId="44EA8824"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t xml:space="preserve">(c) </w:t>
      </w:r>
      <w:r w:rsidR="00C82332">
        <w:rPr>
          <w:rFonts w:ascii="Arial" w:hAnsi="Arial" w:cs="Arial"/>
          <w:i/>
        </w:rPr>
        <w:tab/>
      </w:r>
      <w:r w:rsidRPr="005B2528">
        <w:rPr>
          <w:rFonts w:ascii="Arial" w:hAnsi="Arial" w:cs="Arial"/>
          <w:i/>
        </w:rPr>
        <w:t>subdivided or consolidated after the last general valuation;</w:t>
      </w:r>
    </w:p>
    <w:p w14:paraId="7475A198"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t xml:space="preserve">(d) </w:t>
      </w:r>
      <w:r w:rsidR="00C82332">
        <w:rPr>
          <w:rFonts w:ascii="Arial" w:hAnsi="Arial" w:cs="Arial"/>
          <w:i/>
        </w:rPr>
        <w:tab/>
      </w:r>
      <w:r w:rsidRPr="005B2528">
        <w:rPr>
          <w:rFonts w:ascii="Arial" w:hAnsi="Arial" w:cs="Arial"/>
          <w:i/>
        </w:rPr>
        <w:t>of which the market value has substantially increased or decreased for any reason after the last general valuation;</w:t>
      </w:r>
    </w:p>
    <w:p w14:paraId="5FC54039"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t xml:space="preserve">(e) </w:t>
      </w:r>
      <w:r w:rsidR="00C82332">
        <w:rPr>
          <w:rFonts w:ascii="Arial" w:hAnsi="Arial" w:cs="Arial"/>
          <w:i/>
        </w:rPr>
        <w:tab/>
      </w:r>
      <w:proofErr w:type="gramStart"/>
      <w:r w:rsidRPr="005B2528">
        <w:rPr>
          <w:rFonts w:ascii="Arial" w:hAnsi="Arial" w:cs="Arial"/>
          <w:i/>
        </w:rPr>
        <w:t>substantially</w:t>
      </w:r>
      <w:proofErr w:type="gramEnd"/>
      <w:r w:rsidRPr="005B2528">
        <w:rPr>
          <w:rFonts w:ascii="Arial" w:hAnsi="Arial" w:cs="Arial"/>
          <w:i/>
        </w:rPr>
        <w:t xml:space="preserve"> incorrectly valued during the last general valuation;</w:t>
      </w:r>
    </w:p>
    <w:p w14:paraId="2D3DBC3A"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t xml:space="preserve">(f) </w:t>
      </w:r>
      <w:r w:rsidR="00C82332">
        <w:rPr>
          <w:rFonts w:ascii="Arial" w:hAnsi="Arial" w:cs="Arial"/>
          <w:i/>
        </w:rPr>
        <w:tab/>
      </w:r>
      <w:proofErr w:type="gramStart"/>
      <w:r w:rsidRPr="005B2528">
        <w:rPr>
          <w:rFonts w:ascii="Arial" w:hAnsi="Arial" w:cs="Arial"/>
          <w:i/>
        </w:rPr>
        <w:t>that</w:t>
      </w:r>
      <w:proofErr w:type="gramEnd"/>
      <w:r w:rsidRPr="005B2528">
        <w:rPr>
          <w:rFonts w:ascii="Arial" w:hAnsi="Arial" w:cs="Arial"/>
          <w:i/>
        </w:rPr>
        <w:t xml:space="preserve"> must be revalued for any other exceptional reason;</w:t>
      </w:r>
    </w:p>
    <w:p w14:paraId="346AB7AA" w14:textId="77777777" w:rsidR="00EE2AD4" w:rsidRPr="005B2528" w:rsidRDefault="00EE2AD4" w:rsidP="00112DAF">
      <w:pPr>
        <w:spacing w:before="240" w:after="240" w:line="360" w:lineRule="auto"/>
        <w:ind w:left="2160" w:hanging="720"/>
        <w:jc w:val="both"/>
        <w:rPr>
          <w:rFonts w:ascii="Arial" w:hAnsi="Arial" w:cs="Arial"/>
          <w:i/>
        </w:rPr>
      </w:pPr>
      <w:r w:rsidRPr="005B2528">
        <w:rPr>
          <w:rFonts w:ascii="Arial" w:hAnsi="Arial" w:cs="Arial"/>
          <w:i/>
        </w:rPr>
        <w:lastRenderedPageBreak/>
        <w:t xml:space="preserve">(g) </w:t>
      </w:r>
      <w:r w:rsidR="00C82332">
        <w:rPr>
          <w:rFonts w:ascii="Arial" w:hAnsi="Arial" w:cs="Arial"/>
          <w:i/>
        </w:rPr>
        <w:tab/>
      </w:r>
      <w:r w:rsidRPr="005B2528">
        <w:rPr>
          <w:rFonts w:ascii="Arial" w:hAnsi="Arial" w:cs="Arial"/>
          <w:i/>
        </w:rPr>
        <w:t>of which the category has changed; or</w:t>
      </w:r>
    </w:p>
    <w:p w14:paraId="7D14D03E" w14:textId="77777777" w:rsidR="00EE2AD4" w:rsidRDefault="00EE2AD4" w:rsidP="00112DAF">
      <w:pPr>
        <w:spacing w:before="240" w:after="240" w:line="360" w:lineRule="auto"/>
        <w:ind w:left="2160" w:hanging="720"/>
        <w:jc w:val="both"/>
        <w:rPr>
          <w:rFonts w:ascii="Arial" w:hAnsi="Arial" w:cs="Arial"/>
        </w:rPr>
      </w:pPr>
      <w:r w:rsidRPr="005B2528">
        <w:rPr>
          <w:rFonts w:ascii="Arial" w:hAnsi="Arial" w:cs="Arial"/>
          <w:i/>
        </w:rPr>
        <w:t xml:space="preserve">(h) </w:t>
      </w:r>
      <w:r w:rsidR="00C82332">
        <w:rPr>
          <w:rFonts w:ascii="Arial" w:hAnsi="Arial" w:cs="Arial"/>
          <w:i/>
        </w:rPr>
        <w:tab/>
      </w:r>
      <w:r w:rsidRPr="005B2528">
        <w:rPr>
          <w:rFonts w:ascii="Arial" w:hAnsi="Arial" w:cs="Arial"/>
          <w:i/>
        </w:rPr>
        <w:t>the value of which was incorrectly recorded in the valuation roll as a result of a clerical or typing error.</w:t>
      </w:r>
      <w:r w:rsidR="005B2528">
        <w:rPr>
          <w:rFonts w:ascii="Arial" w:hAnsi="Arial" w:cs="Arial"/>
          <w:i/>
        </w:rPr>
        <w:t xml:space="preserve">” </w:t>
      </w:r>
    </w:p>
    <w:p w14:paraId="2285D269" w14:textId="7B33F99F" w:rsidR="005B2528" w:rsidRPr="005B2528" w:rsidRDefault="00C64994" w:rsidP="00112DAF">
      <w:pPr>
        <w:spacing w:before="240" w:after="240" w:line="360" w:lineRule="auto"/>
        <w:ind w:left="720" w:hanging="720"/>
        <w:jc w:val="both"/>
        <w:rPr>
          <w:rFonts w:ascii="Arial" w:hAnsi="Arial" w:cs="Arial"/>
        </w:rPr>
      </w:pPr>
      <w:r>
        <w:rPr>
          <w:rFonts w:ascii="Arial" w:hAnsi="Arial" w:cs="Arial"/>
        </w:rPr>
        <w:t>[2</w:t>
      </w:r>
      <w:r w:rsidR="00161413">
        <w:rPr>
          <w:rFonts w:ascii="Arial" w:hAnsi="Arial" w:cs="Arial"/>
        </w:rPr>
        <w:t>6</w:t>
      </w:r>
      <w:r w:rsidR="005B2528">
        <w:rPr>
          <w:rFonts w:ascii="Arial" w:hAnsi="Arial" w:cs="Arial"/>
        </w:rPr>
        <w:t xml:space="preserve">] </w:t>
      </w:r>
      <w:r w:rsidR="000C1CB7">
        <w:rPr>
          <w:rFonts w:ascii="Arial" w:hAnsi="Arial" w:cs="Arial"/>
        </w:rPr>
        <w:tab/>
      </w:r>
      <w:r w:rsidR="005B2528">
        <w:rPr>
          <w:rFonts w:ascii="Arial" w:hAnsi="Arial" w:cs="Arial"/>
        </w:rPr>
        <w:t>The respondents’ interpretation and application of the sections</w:t>
      </w:r>
      <w:r w:rsidR="00E7784A">
        <w:rPr>
          <w:rFonts w:ascii="Arial" w:hAnsi="Arial" w:cs="Arial"/>
        </w:rPr>
        <w:t xml:space="preserve"> mentioned above</w:t>
      </w:r>
      <w:r w:rsidR="005B2528">
        <w:rPr>
          <w:rFonts w:ascii="Arial" w:hAnsi="Arial" w:cs="Arial"/>
        </w:rPr>
        <w:t xml:space="preserve"> seem </w:t>
      </w:r>
      <w:r w:rsidR="009B60D7">
        <w:rPr>
          <w:rFonts w:ascii="Arial" w:hAnsi="Arial" w:cs="Arial"/>
        </w:rPr>
        <w:t>forced and</w:t>
      </w:r>
      <w:r w:rsidR="005B2528">
        <w:rPr>
          <w:rFonts w:ascii="Arial" w:hAnsi="Arial" w:cs="Arial"/>
        </w:rPr>
        <w:t xml:space="preserve"> </w:t>
      </w:r>
      <w:r w:rsidR="00550652">
        <w:rPr>
          <w:rFonts w:ascii="Arial" w:hAnsi="Arial" w:cs="Arial"/>
        </w:rPr>
        <w:t>give</w:t>
      </w:r>
      <w:r w:rsidR="005B2528">
        <w:rPr>
          <w:rFonts w:ascii="Arial" w:hAnsi="Arial" w:cs="Arial"/>
        </w:rPr>
        <w:t xml:space="preserve"> credence to the applicant’s assertion that </w:t>
      </w:r>
      <w:r w:rsidR="00550652">
        <w:rPr>
          <w:rFonts w:ascii="Arial" w:hAnsi="Arial" w:cs="Arial"/>
        </w:rPr>
        <w:t xml:space="preserve">the jurisdictional </w:t>
      </w:r>
      <w:r w:rsidR="008632EC">
        <w:rPr>
          <w:rFonts w:ascii="Arial" w:hAnsi="Arial" w:cs="Arial"/>
        </w:rPr>
        <w:t>facts required for the undertaking of a supplementary valuation must exist before a municipality is entitled to do a supplementary valuation in terms of section 78 of the MPRA.</w:t>
      </w:r>
      <w:r w:rsidR="00316B54">
        <w:rPr>
          <w:rStyle w:val="FootnoteReference"/>
          <w:rFonts w:ascii="Arial" w:hAnsi="Arial" w:cs="Arial"/>
        </w:rPr>
        <w:footnoteReference w:id="40"/>
      </w:r>
    </w:p>
    <w:p w14:paraId="02E5D19A" w14:textId="7879C6B1" w:rsidR="00AF1B87" w:rsidRPr="00AF1B87" w:rsidRDefault="00AF1B87" w:rsidP="00112DAF">
      <w:pPr>
        <w:spacing w:before="240" w:after="240" w:line="360" w:lineRule="auto"/>
        <w:ind w:left="720" w:hanging="720"/>
        <w:jc w:val="both"/>
        <w:rPr>
          <w:rFonts w:ascii="Arial" w:hAnsi="Arial" w:cs="Arial"/>
        </w:rPr>
      </w:pPr>
      <w:r>
        <w:rPr>
          <w:rFonts w:ascii="Arial" w:hAnsi="Arial" w:cs="Arial"/>
        </w:rPr>
        <w:t>[2</w:t>
      </w:r>
      <w:r w:rsidR="00161413">
        <w:rPr>
          <w:rFonts w:ascii="Arial" w:hAnsi="Arial" w:cs="Arial"/>
        </w:rPr>
        <w:t>7</w:t>
      </w:r>
      <w:r w:rsidR="00AB27EA" w:rsidRPr="00AB27EA">
        <w:rPr>
          <w:rFonts w:ascii="Arial" w:hAnsi="Arial" w:cs="Arial"/>
        </w:rPr>
        <w:t>]</w:t>
      </w:r>
      <w:r>
        <w:rPr>
          <w:rFonts w:ascii="Arial" w:hAnsi="Arial" w:cs="Arial"/>
        </w:rPr>
        <w:t xml:space="preserve"> </w:t>
      </w:r>
      <w:r w:rsidR="000C1CB7">
        <w:rPr>
          <w:rFonts w:ascii="Arial" w:hAnsi="Arial" w:cs="Arial"/>
        </w:rPr>
        <w:tab/>
      </w:r>
      <w:r>
        <w:rPr>
          <w:rFonts w:ascii="Arial" w:hAnsi="Arial" w:cs="Arial"/>
        </w:rPr>
        <w:t>It was also raised as a preliminary point</w:t>
      </w:r>
      <w:r w:rsidR="00AB27EA" w:rsidRPr="00AB27EA">
        <w:rPr>
          <w:rFonts w:ascii="Arial" w:hAnsi="Arial" w:cs="Arial"/>
        </w:rPr>
        <w:t xml:space="preserve"> </w:t>
      </w:r>
      <w:r>
        <w:rPr>
          <w:rFonts w:ascii="Arial" w:hAnsi="Arial" w:cs="Arial"/>
        </w:rPr>
        <w:t xml:space="preserve">that the applicant could make use of the machinery in sections 50 and 54 of the MPRA for the necessary relief. </w:t>
      </w:r>
      <w:r w:rsidR="00A6464E">
        <w:rPr>
          <w:rFonts w:ascii="Arial" w:hAnsi="Arial" w:cs="Arial"/>
        </w:rPr>
        <w:t xml:space="preserve">However, section </w:t>
      </w:r>
      <w:r w:rsidRPr="00AF1B87">
        <w:rPr>
          <w:rFonts w:ascii="Arial" w:hAnsi="Arial" w:cs="Arial"/>
        </w:rPr>
        <w:t>50</w:t>
      </w:r>
      <w:r w:rsidR="00A6464E">
        <w:rPr>
          <w:rFonts w:ascii="Arial" w:hAnsi="Arial" w:cs="Arial"/>
        </w:rPr>
        <w:t xml:space="preserve"> refers to a person or owner of </w:t>
      </w:r>
      <w:r w:rsidR="005B3E38">
        <w:rPr>
          <w:rFonts w:ascii="Arial" w:hAnsi="Arial" w:cs="Arial"/>
        </w:rPr>
        <w:t xml:space="preserve">a </w:t>
      </w:r>
      <w:r w:rsidR="00A6464E">
        <w:rPr>
          <w:rFonts w:ascii="Arial" w:hAnsi="Arial" w:cs="Arial"/>
        </w:rPr>
        <w:t xml:space="preserve">property who inspected the roll </w:t>
      </w:r>
      <w:r w:rsidRPr="00AF1B87">
        <w:rPr>
          <w:rFonts w:ascii="Arial" w:hAnsi="Arial" w:cs="Arial"/>
        </w:rPr>
        <w:t>within the period stated in the notice re</w:t>
      </w:r>
      <w:r w:rsidR="00B072C7">
        <w:rPr>
          <w:rFonts w:ascii="Arial" w:hAnsi="Arial" w:cs="Arial"/>
        </w:rPr>
        <w:t xml:space="preserve">ferred to in section 49(1)(a) and lodged </w:t>
      </w:r>
      <w:r w:rsidR="00B072C7" w:rsidRPr="00B072C7">
        <w:rPr>
          <w:rFonts w:ascii="Arial" w:hAnsi="Arial" w:cs="Arial"/>
        </w:rPr>
        <w:t xml:space="preserve">an objection with the municipal manager against any matter reflected </w:t>
      </w:r>
      <w:r w:rsidR="00E84DE4" w:rsidRPr="00B072C7">
        <w:rPr>
          <w:rFonts w:ascii="Arial" w:hAnsi="Arial" w:cs="Arial"/>
        </w:rPr>
        <w:t>in or</w:t>
      </w:r>
      <w:r w:rsidR="00B072C7" w:rsidRPr="00B072C7">
        <w:rPr>
          <w:rFonts w:ascii="Arial" w:hAnsi="Arial" w:cs="Arial"/>
        </w:rPr>
        <w:t xml:space="preserve"> omitted from the roll.</w:t>
      </w:r>
      <w:r w:rsidR="00045BE9">
        <w:rPr>
          <w:rFonts w:ascii="Arial" w:hAnsi="Arial" w:cs="Arial"/>
        </w:rPr>
        <w:t xml:space="preserve"> This process does not</w:t>
      </w:r>
      <w:r w:rsidR="00084A6E">
        <w:rPr>
          <w:rFonts w:ascii="Arial" w:hAnsi="Arial" w:cs="Arial"/>
        </w:rPr>
        <w:t>, as stated by the respondents,</w:t>
      </w:r>
      <w:r w:rsidR="00045BE9">
        <w:rPr>
          <w:rFonts w:ascii="Arial" w:hAnsi="Arial" w:cs="Arial"/>
        </w:rPr>
        <w:t xml:space="preserve"> refer to an outcome of a revaluation.</w:t>
      </w:r>
    </w:p>
    <w:p w14:paraId="45A6B10D" w14:textId="77777777" w:rsidR="00045BE9" w:rsidRDefault="00417889" w:rsidP="00112DAF">
      <w:pPr>
        <w:spacing w:before="240" w:after="240" w:line="360" w:lineRule="auto"/>
        <w:ind w:left="720" w:hanging="720"/>
        <w:jc w:val="both"/>
        <w:rPr>
          <w:rFonts w:ascii="Arial" w:hAnsi="Arial" w:cs="Arial"/>
        </w:rPr>
      </w:pPr>
      <w:r>
        <w:rPr>
          <w:rFonts w:ascii="Arial" w:hAnsi="Arial" w:cs="Arial"/>
        </w:rPr>
        <w:t>[2</w:t>
      </w:r>
      <w:r w:rsidR="00161413">
        <w:rPr>
          <w:rFonts w:ascii="Arial" w:hAnsi="Arial" w:cs="Arial"/>
        </w:rPr>
        <w:t>8</w:t>
      </w:r>
      <w:r>
        <w:rPr>
          <w:rFonts w:ascii="Arial" w:hAnsi="Arial" w:cs="Arial"/>
        </w:rPr>
        <w:t xml:space="preserve">] </w:t>
      </w:r>
      <w:r w:rsidR="000C1CB7">
        <w:rPr>
          <w:rFonts w:ascii="Arial" w:hAnsi="Arial" w:cs="Arial"/>
        </w:rPr>
        <w:tab/>
      </w:r>
      <w:r>
        <w:rPr>
          <w:rFonts w:ascii="Arial" w:hAnsi="Arial" w:cs="Arial"/>
        </w:rPr>
        <w:t xml:space="preserve">I am satisfied that the defences raised under the heading </w:t>
      </w:r>
      <w:r w:rsidRPr="00417889">
        <w:rPr>
          <w:rFonts w:ascii="Arial" w:hAnsi="Arial" w:cs="Arial"/>
        </w:rPr>
        <w:t>“</w:t>
      </w:r>
      <w:r w:rsidRPr="00417889">
        <w:rPr>
          <w:rFonts w:ascii="Arial" w:hAnsi="Arial" w:cs="Arial"/>
          <w:i/>
        </w:rPr>
        <w:t>In Limine</w:t>
      </w:r>
      <w:r w:rsidRPr="00417889">
        <w:rPr>
          <w:rFonts w:ascii="Arial" w:hAnsi="Arial" w:cs="Arial"/>
        </w:rPr>
        <w:t>”</w:t>
      </w:r>
      <w:r>
        <w:rPr>
          <w:rFonts w:ascii="Arial" w:hAnsi="Arial" w:cs="Arial"/>
        </w:rPr>
        <w:t xml:space="preserve"> are without merit and should therefore be dismissed.</w:t>
      </w:r>
      <w:r w:rsidR="004C5C25">
        <w:rPr>
          <w:rFonts w:ascii="Arial" w:hAnsi="Arial" w:cs="Arial"/>
        </w:rPr>
        <w:t xml:space="preserve"> I turn now to the claims contained in the notice of motion.</w:t>
      </w:r>
      <w:r w:rsidR="00815A70">
        <w:rPr>
          <w:rFonts w:ascii="Arial" w:hAnsi="Arial" w:cs="Arial"/>
        </w:rPr>
        <w:t xml:space="preserve">   </w:t>
      </w:r>
    </w:p>
    <w:p w14:paraId="26E30ABB" w14:textId="77777777" w:rsidR="00084A6E" w:rsidRPr="00084A6E" w:rsidRDefault="005D049C" w:rsidP="00045BE9">
      <w:pPr>
        <w:spacing w:before="240" w:after="240" w:line="360" w:lineRule="auto"/>
        <w:ind w:left="567" w:hanging="567"/>
        <w:jc w:val="both"/>
        <w:rPr>
          <w:rFonts w:ascii="Arial" w:hAnsi="Arial" w:cs="Arial"/>
          <w:i/>
          <w:u w:val="single"/>
        </w:rPr>
      </w:pPr>
      <w:r>
        <w:rPr>
          <w:rFonts w:ascii="Arial" w:hAnsi="Arial" w:cs="Arial"/>
          <w:i/>
          <w:u w:val="single"/>
        </w:rPr>
        <w:t>Part 1: A</w:t>
      </w:r>
      <w:r w:rsidR="00084A6E" w:rsidRPr="00084A6E">
        <w:rPr>
          <w:rFonts w:ascii="Arial" w:hAnsi="Arial" w:cs="Arial"/>
          <w:i/>
          <w:u w:val="single"/>
        </w:rPr>
        <w:t>d prayer 1</w:t>
      </w:r>
    </w:p>
    <w:p w14:paraId="6F1F6B97" w14:textId="77777777" w:rsidR="00881EF3" w:rsidRDefault="00462396" w:rsidP="00112DAF">
      <w:pPr>
        <w:spacing w:before="240" w:after="240" w:line="360" w:lineRule="auto"/>
        <w:ind w:left="720" w:hanging="720"/>
        <w:jc w:val="both"/>
        <w:rPr>
          <w:rFonts w:ascii="Arial" w:hAnsi="Arial" w:cs="Arial"/>
        </w:rPr>
      </w:pPr>
      <w:r>
        <w:rPr>
          <w:rFonts w:ascii="Arial" w:hAnsi="Arial" w:cs="Arial"/>
        </w:rPr>
        <w:t>[2</w:t>
      </w:r>
      <w:r w:rsidR="00161413">
        <w:rPr>
          <w:rFonts w:ascii="Arial" w:hAnsi="Arial" w:cs="Arial"/>
        </w:rPr>
        <w:t>9</w:t>
      </w:r>
      <w:r>
        <w:rPr>
          <w:rFonts w:ascii="Arial" w:hAnsi="Arial" w:cs="Arial"/>
        </w:rPr>
        <w:t>]</w:t>
      </w:r>
      <w:r w:rsidR="000C1CB7">
        <w:rPr>
          <w:rFonts w:ascii="Arial" w:hAnsi="Arial" w:cs="Arial"/>
        </w:rPr>
        <w:tab/>
        <w:t>The respondents contended that the section 149(</w:t>
      </w:r>
      <w:r w:rsidR="005767E5">
        <w:rPr>
          <w:rFonts w:ascii="Arial" w:hAnsi="Arial" w:cs="Arial"/>
        </w:rPr>
        <w:t xml:space="preserve">1)(c) notices dated </w:t>
      </w:r>
      <w:r w:rsidR="004C5C25">
        <w:rPr>
          <w:rFonts w:ascii="Arial" w:hAnsi="Arial" w:cs="Arial"/>
        </w:rPr>
        <w:t>7 March 20</w:t>
      </w:r>
      <w:r w:rsidR="000C1CB7">
        <w:rPr>
          <w:rFonts w:ascii="Arial" w:hAnsi="Arial" w:cs="Arial"/>
        </w:rPr>
        <w:t xml:space="preserve">17 </w:t>
      </w:r>
      <w:r w:rsidR="005D049C">
        <w:rPr>
          <w:rFonts w:ascii="Arial" w:hAnsi="Arial" w:cs="Arial"/>
        </w:rPr>
        <w:t>were</w:t>
      </w:r>
      <w:r w:rsidR="000C1CB7">
        <w:rPr>
          <w:rFonts w:ascii="Arial" w:hAnsi="Arial" w:cs="Arial"/>
        </w:rPr>
        <w:t xml:space="preserve"> posted at the main post office </w:t>
      </w:r>
      <w:r w:rsidR="005D049C">
        <w:rPr>
          <w:rFonts w:ascii="Arial" w:hAnsi="Arial" w:cs="Arial"/>
        </w:rPr>
        <w:t xml:space="preserve">in </w:t>
      </w:r>
      <w:r w:rsidR="005767E5">
        <w:rPr>
          <w:rFonts w:ascii="Arial" w:hAnsi="Arial" w:cs="Arial"/>
        </w:rPr>
        <w:t xml:space="preserve">Bloemfontein on </w:t>
      </w:r>
      <w:r w:rsidR="000C1CB7">
        <w:rPr>
          <w:rFonts w:ascii="Arial" w:hAnsi="Arial" w:cs="Arial"/>
        </w:rPr>
        <w:t xml:space="preserve">4 April 2017 by ordinary mail in accordance </w:t>
      </w:r>
      <w:r w:rsidR="005767E5">
        <w:rPr>
          <w:rFonts w:ascii="Arial" w:hAnsi="Arial" w:cs="Arial"/>
        </w:rPr>
        <w:t>with the MPRA. The applicant</w:t>
      </w:r>
      <w:r w:rsidR="000C1CB7">
        <w:rPr>
          <w:rFonts w:ascii="Arial" w:hAnsi="Arial" w:cs="Arial"/>
        </w:rPr>
        <w:t xml:space="preserve"> requested copies of the notices that were</w:t>
      </w:r>
      <w:r w:rsidR="005767E5">
        <w:rPr>
          <w:rFonts w:ascii="Arial" w:hAnsi="Arial" w:cs="Arial"/>
        </w:rPr>
        <w:t xml:space="preserve"> allegedly</w:t>
      </w:r>
      <w:r w:rsidR="000C1CB7">
        <w:rPr>
          <w:rFonts w:ascii="Arial" w:hAnsi="Arial" w:cs="Arial"/>
        </w:rPr>
        <w:t xml:space="preserve"> served on the ap</w:t>
      </w:r>
      <w:r w:rsidR="005767E5">
        <w:rPr>
          <w:rFonts w:ascii="Arial" w:hAnsi="Arial" w:cs="Arial"/>
        </w:rPr>
        <w:t>plicant as well as</w:t>
      </w:r>
      <w:r w:rsidR="000C1CB7">
        <w:rPr>
          <w:rFonts w:ascii="Arial" w:hAnsi="Arial" w:cs="Arial"/>
        </w:rPr>
        <w:t xml:space="preserve"> copies of the valuations prepared by the third respondent in respect of each immovable property of the applicant.</w:t>
      </w:r>
      <w:r w:rsidR="000C1CB7">
        <w:rPr>
          <w:rStyle w:val="FootnoteReference"/>
          <w:rFonts w:ascii="Arial" w:hAnsi="Arial" w:cs="Arial"/>
        </w:rPr>
        <w:footnoteReference w:id="41"/>
      </w:r>
      <w:r w:rsidR="000C1CB7">
        <w:rPr>
          <w:rFonts w:ascii="Arial" w:hAnsi="Arial" w:cs="Arial"/>
        </w:rPr>
        <w:t xml:space="preserve"> The respondent’s attorneys </w:t>
      </w:r>
      <w:r w:rsidR="005767E5">
        <w:rPr>
          <w:rFonts w:ascii="Arial" w:hAnsi="Arial" w:cs="Arial"/>
        </w:rPr>
        <w:t xml:space="preserve">then </w:t>
      </w:r>
      <w:r w:rsidR="000C1CB7">
        <w:rPr>
          <w:rFonts w:ascii="Arial" w:hAnsi="Arial" w:cs="Arial"/>
        </w:rPr>
        <w:t>made available a copy of the notice which was attached to their letter date</w:t>
      </w:r>
      <w:r w:rsidR="005767E5">
        <w:rPr>
          <w:rFonts w:ascii="Arial" w:hAnsi="Arial" w:cs="Arial"/>
        </w:rPr>
        <w:t>d</w:t>
      </w:r>
      <w:r w:rsidR="000C1CB7">
        <w:rPr>
          <w:rFonts w:ascii="Arial" w:hAnsi="Arial" w:cs="Arial"/>
        </w:rPr>
        <w:t xml:space="preserve"> 15 January 2020.</w:t>
      </w:r>
      <w:r w:rsidR="000C1CB7">
        <w:rPr>
          <w:rStyle w:val="FootnoteReference"/>
          <w:rFonts w:ascii="Arial" w:hAnsi="Arial" w:cs="Arial"/>
        </w:rPr>
        <w:footnoteReference w:id="42"/>
      </w:r>
      <w:r w:rsidR="000C1CB7">
        <w:rPr>
          <w:rFonts w:ascii="Arial" w:hAnsi="Arial" w:cs="Arial"/>
        </w:rPr>
        <w:t xml:space="preserve"> The respondents contend</w:t>
      </w:r>
      <w:r w:rsidR="00D63764">
        <w:rPr>
          <w:rFonts w:ascii="Arial" w:hAnsi="Arial" w:cs="Arial"/>
        </w:rPr>
        <w:t>ed</w:t>
      </w:r>
      <w:r w:rsidR="000C1CB7">
        <w:rPr>
          <w:rFonts w:ascii="Arial" w:hAnsi="Arial" w:cs="Arial"/>
        </w:rPr>
        <w:t xml:space="preserve"> that the applicant’s denial of having received the </w:t>
      </w:r>
      <w:r w:rsidR="000C1CB7">
        <w:rPr>
          <w:rFonts w:ascii="Arial" w:hAnsi="Arial" w:cs="Arial"/>
        </w:rPr>
        <w:lastRenderedPageBreak/>
        <w:t>notice</w:t>
      </w:r>
      <w:r w:rsidR="00783FE3">
        <w:rPr>
          <w:rFonts w:ascii="Arial" w:hAnsi="Arial" w:cs="Arial"/>
        </w:rPr>
        <w:t>,</w:t>
      </w:r>
      <w:r w:rsidR="000C1CB7">
        <w:rPr>
          <w:rFonts w:ascii="Arial" w:hAnsi="Arial" w:cs="Arial"/>
        </w:rPr>
        <w:t xml:space="preserve"> was based on the evide</w:t>
      </w:r>
      <w:r w:rsidR="00783FE3">
        <w:rPr>
          <w:rFonts w:ascii="Arial" w:hAnsi="Arial" w:cs="Arial"/>
        </w:rPr>
        <w:t>nce of Corinne Van Niekerk that</w:t>
      </w:r>
      <w:r w:rsidR="000C1CB7">
        <w:rPr>
          <w:rFonts w:ascii="Arial" w:hAnsi="Arial" w:cs="Arial"/>
        </w:rPr>
        <w:t xml:space="preserve"> neither described the messengers who fetch</w:t>
      </w:r>
      <w:r w:rsidR="00783FE3">
        <w:rPr>
          <w:rFonts w:ascii="Arial" w:hAnsi="Arial" w:cs="Arial"/>
        </w:rPr>
        <w:t>ed the mail from the post office, if</w:t>
      </w:r>
      <w:r w:rsidR="000C1CB7">
        <w:rPr>
          <w:rFonts w:ascii="Arial" w:hAnsi="Arial" w:cs="Arial"/>
        </w:rPr>
        <w:t xml:space="preserve"> at all</w:t>
      </w:r>
      <w:r w:rsidR="00783FE3">
        <w:rPr>
          <w:rFonts w:ascii="Arial" w:hAnsi="Arial" w:cs="Arial"/>
        </w:rPr>
        <w:t xml:space="preserve"> fetched,</w:t>
      </w:r>
      <w:r w:rsidR="000C1CB7">
        <w:rPr>
          <w:rFonts w:ascii="Arial" w:hAnsi="Arial" w:cs="Arial"/>
        </w:rPr>
        <w:t xml:space="preserve"> nor that the notices were </w:t>
      </w:r>
      <w:r w:rsidR="00881EF3">
        <w:rPr>
          <w:rFonts w:ascii="Arial" w:hAnsi="Arial" w:cs="Arial"/>
        </w:rPr>
        <w:t xml:space="preserve">noticed in the provincial gazette, the circulating media and the first respondent’s website. </w:t>
      </w:r>
    </w:p>
    <w:p w14:paraId="236F80E2" w14:textId="77777777" w:rsidR="00881EF3" w:rsidRDefault="00161413" w:rsidP="00112DAF">
      <w:pPr>
        <w:spacing w:before="240" w:after="240" w:line="360" w:lineRule="auto"/>
        <w:ind w:left="720" w:hanging="720"/>
        <w:jc w:val="both"/>
        <w:rPr>
          <w:rFonts w:ascii="Arial" w:hAnsi="Arial" w:cs="Arial"/>
        </w:rPr>
      </w:pPr>
      <w:r>
        <w:rPr>
          <w:rFonts w:ascii="Arial" w:hAnsi="Arial" w:cs="Arial"/>
        </w:rPr>
        <w:t>[30</w:t>
      </w:r>
      <w:r w:rsidR="00881EF3">
        <w:rPr>
          <w:rFonts w:ascii="Arial" w:hAnsi="Arial" w:cs="Arial"/>
        </w:rPr>
        <w:t>]</w:t>
      </w:r>
      <w:r w:rsidR="00881EF3">
        <w:rPr>
          <w:rFonts w:ascii="Arial" w:hAnsi="Arial" w:cs="Arial"/>
        </w:rPr>
        <w:tab/>
        <w:t>The applicant on the other hand</w:t>
      </w:r>
      <w:r w:rsidR="00AD5B31">
        <w:rPr>
          <w:rFonts w:ascii="Arial" w:hAnsi="Arial" w:cs="Arial"/>
        </w:rPr>
        <w:t>,</w:t>
      </w:r>
      <w:r w:rsidR="00881EF3">
        <w:rPr>
          <w:rFonts w:ascii="Arial" w:hAnsi="Arial" w:cs="Arial"/>
        </w:rPr>
        <w:t xml:space="preserve"> contended that the notice should, as a matter of fact, be delivered by means of ordinary mail to the owner at his or her postal address. Mere despatch of the notice is not enough because the risk o</w:t>
      </w:r>
      <w:r w:rsidR="00AD5B31">
        <w:rPr>
          <w:rFonts w:ascii="Arial" w:hAnsi="Arial" w:cs="Arial"/>
        </w:rPr>
        <w:t>n no-delivery by ordinary mail wa</w:t>
      </w:r>
      <w:r w:rsidR="00881EF3">
        <w:rPr>
          <w:rFonts w:ascii="Arial" w:hAnsi="Arial" w:cs="Arial"/>
        </w:rPr>
        <w:t>s to</w:t>
      </w:r>
      <w:r w:rsidR="00135E73">
        <w:rPr>
          <w:rFonts w:ascii="Arial" w:hAnsi="Arial" w:cs="Arial"/>
        </w:rPr>
        <w:t>o</w:t>
      </w:r>
      <w:r w:rsidR="00881EF3">
        <w:rPr>
          <w:rFonts w:ascii="Arial" w:hAnsi="Arial" w:cs="Arial"/>
        </w:rPr>
        <w:t xml:space="preserve"> great </w:t>
      </w:r>
      <w:r w:rsidR="00135E73">
        <w:rPr>
          <w:rFonts w:ascii="Arial" w:hAnsi="Arial" w:cs="Arial"/>
        </w:rPr>
        <w:t xml:space="preserve">as stated </w:t>
      </w:r>
      <w:r w:rsidR="00881EF3">
        <w:rPr>
          <w:rFonts w:ascii="Arial" w:hAnsi="Arial" w:cs="Arial"/>
        </w:rPr>
        <w:t xml:space="preserve">in </w:t>
      </w:r>
      <w:r w:rsidR="00881EF3">
        <w:rPr>
          <w:rFonts w:ascii="Arial" w:hAnsi="Arial" w:cs="Arial"/>
          <w:i/>
        </w:rPr>
        <w:t>Sebola and another v Standard Bank of South Africa Ltd.</w:t>
      </w:r>
      <w:r w:rsidR="00881EF3">
        <w:rPr>
          <w:rStyle w:val="FootnoteReference"/>
          <w:rFonts w:ascii="Arial" w:hAnsi="Arial" w:cs="Arial"/>
          <w:i/>
        </w:rPr>
        <w:footnoteReference w:id="43"/>
      </w:r>
      <w:r w:rsidR="00881EF3">
        <w:rPr>
          <w:rFonts w:ascii="Arial" w:hAnsi="Arial" w:cs="Arial"/>
        </w:rPr>
        <w:t xml:space="preserve"> </w:t>
      </w:r>
    </w:p>
    <w:p w14:paraId="07B02FDA" w14:textId="77777777" w:rsidR="00963238" w:rsidRDefault="00161413" w:rsidP="00112DAF">
      <w:pPr>
        <w:spacing w:before="240" w:after="240" w:line="360" w:lineRule="auto"/>
        <w:ind w:left="720" w:hanging="720"/>
        <w:jc w:val="both"/>
        <w:rPr>
          <w:rFonts w:ascii="Arial" w:hAnsi="Arial" w:cs="Arial"/>
        </w:rPr>
      </w:pPr>
      <w:r>
        <w:rPr>
          <w:rFonts w:ascii="Arial" w:hAnsi="Arial" w:cs="Arial"/>
        </w:rPr>
        <w:t>[31</w:t>
      </w:r>
      <w:r w:rsidR="00881EF3">
        <w:rPr>
          <w:rFonts w:ascii="Arial" w:hAnsi="Arial" w:cs="Arial"/>
        </w:rPr>
        <w:t>]</w:t>
      </w:r>
      <w:r w:rsidR="00881EF3">
        <w:rPr>
          <w:rFonts w:ascii="Arial" w:hAnsi="Arial" w:cs="Arial"/>
        </w:rPr>
        <w:tab/>
        <w:t>The applicant stated in its affidavit that in the letter from the respondent’s attorneys</w:t>
      </w:r>
      <w:r w:rsidR="00AA1029">
        <w:rPr>
          <w:rFonts w:ascii="Arial" w:hAnsi="Arial" w:cs="Arial"/>
        </w:rPr>
        <w:t xml:space="preserve"> dated 15 January 2020</w:t>
      </w:r>
      <w:r w:rsidR="004A11D2">
        <w:rPr>
          <w:rFonts w:ascii="Arial" w:hAnsi="Arial" w:cs="Arial"/>
        </w:rPr>
        <w:t>,</w:t>
      </w:r>
      <w:r w:rsidR="00AA1029">
        <w:rPr>
          <w:rStyle w:val="FootnoteReference"/>
          <w:rFonts w:ascii="Arial" w:hAnsi="Arial" w:cs="Arial"/>
        </w:rPr>
        <w:footnoteReference w:id="44"/>
      </w:r>
      <w:r w:rsidR="00881EF3">
        <w:rPr>
          <w:rFonts w:ascii="Arial" w:hAnsi="Arial" w:cs="Arial"/>
        </w:rPr>
        <w:t xml:space="preserve"> it was alleged</w:t>
      </w:r>
      <w:r w:rsidR="004A11D2">
        <w:rPr>
          <w:rFonts w:ascii="Arial" w:hAnsi="Arial" w:cs="Arial"/>
        </w:rPr>
        <w:t xml:space="preserve"> </w:t>
      </w:r>
      <w:r w:rsidR="00881EF3">
        <w:rPr>
          <w:rFonts w:ascii="Arial" w:hAnsi="Arial" w:cs="Arial"/>
        </w:rPr>
        <w:t>that the required notice in terms of section 49(1) of the MPRA was properly served upon the applicant.</w:t>
      </w:r>
      <w:r w:rsidR="00881EF3">
        <w:rPr>
          <w:rStyle w:val="FootnoteReference"/>
          <w:rFonts w:ascii="Arial" w:hAnsi="Arial" w:cs="Arial"/>
        </w:rPr>
        <w:footnoteReference w:id="45"/>
      </w:r>
      <w:r w:rsidR="00881EF3">
        <w:rPr>
          <w:rFonts w:ascii="Arial" w:hAnsi="Arial" w:cs="Arial"/>
        </w:rPr>
        <w:t xml:space="preserve"> </w:t>
      </w:r>
      <w:r w:rsidR="003E7E5A">
        <w:rPr>
          <w:rFonts w:ascii="Arial" w:hAnsi="Arial" w:cs="Arial"/>
        </w:rPr>
        <w:t>The b</w:t>
      </w:r>
      <w:r w:rsidR="00963238">
        <w:rPr>
          <w:rFonts w:ascii="Arial" w:hAnsi="Arial" w:cs="Arial"/>
        </w:rPr>
        <w:t>ar</w:t>
      </w:r>
      <w:r w:rsidR="003E7E5A">
        <w:rPr>
          <w:rFonts w:ascii="Arial" w:hAnsi="Arial" w:cs="Arial"/>
        </w:rPr>
        <w:t>e allegation was made therein</w:t>
      </w:r>
      <w:r w:rsidR="00963238">
        <w:rPr>
          <w:rFonts w:ascii="Arial" w:hAnsi="Arial" w:cs="Arial"/>
        </w:rPr>
        <w:t xml:space="preserve"> that the required noti</w:t>
      </w:r>
      <w:r w:rsidR="003E7E5A">
        <w:rPr>
          <w:rFonts w:ascii="Arial" w:hAnsi="Arial" w:cs="Arial"/>
        </w:rPr>
        <w:t>ce was served per ordinary mail</w:t>
      </w:r>
      <w:r w:rsidR="00963238">
        <w:rPr>
          <w:rStyle w:val="FootnoteReference"/>
          <w:rFonts w:ascii="Arial" w:hAnsi="Arial" w:cs="Arial"/>
        </w:rPr>
        <w:footnoteReference w:id="46"/>
      </w:r>
      <w:r w:rsidR="003E7E5A">
        <w:rPr>
          <w:rFonts w:ascii="Arial" w:hAnsi="Arial" w:cs="Arial"/>
        </w:rPr>
        <w:t xml:space="preserve"> and</w:t>
      </w:r>
      <w:r w:rsidR="00963238">
        <w:rPr>
          <w:rFonts w:ascii="Arial" w:hAnsi="Arial" w:cs="Arial"/>
        </w:rPr>
        <w:t xml:space="preserve"> </w:t>
      </w:r>
      <w:r w:rsidR="003E7E5A">
        <w:rPr>
          <w:rFonts w:ascii="Arial" w:hAnsi="Arial" w:cs="Arial"/>
        </w:rPr>
        <w:t>t</w:t>
      </w:r>
      <w:r w:rsidR="00963238">
        <w:rPr>
          <w:rFonts w:ascii="Arial" w:hAnsi="Arial" w:cs="Arial"/>
        </w:rPr>
        <w:t>he copy of the relevant notice</w:t>
      </w:r>
      <w:r w:rsidR="003E7E5A">
        <w:rPr>
          <w:rFonts w:ascii="Arial" w:hAnsi="Arial" w:cs="Arial"/>
        </w:rPr>
        <w:t xml:space="preserve"> that was</w:t>
      </w:r>
      <w:r w:rsidR="00963238">
        <w:rPr>
          <w:rFonts w:ascii="Arial" w:hAnsi="Arial" w:cs="Arial"/>
        </w:rPr>
        <w:t xml:space="preserve"> furnished (“FA11.2”) depicted no proof of the</w:t>
      </w:r>
      <w:r w:rsidR="003E7E5A">
        <w:rPr>
          <w:rFonts w:ascii="Arial" w:hAnsi="Arial" w:cs="Arial"/>
        </w:rPr>
        <w:t xml:space="preserve"> alleged service. It was contended that</w:t>
      </w:r>
      <w:r w:rsidR="00963238">
        <w:rPr>
          <w:rFonts w:ascii="Arial" w:hAnsi="Arial" w:cs="Arial"/>
        </w:rPr>
        <w:t xml:space="preserve"> there </w:t>
      </w:r>
      <w:r w:rsidR="003E7E5A">
        <w:rPr>
          <w:rFonts w:ascii="Arial" w:hAnsi="Arial" w:cs="Arial"/>
        </w:rPr>
        <w:t>wa</w:t>
      </w:r>
      <w:r w:rsidR="004A11D2">
        <w:rPr>
          <w:rFonts w:ascii="Arial" w:hAnsi="Arial" w:cs="Arial"/>
        </w:rPr>
        <w:t xml:space="preserve">s </w:t>
      </w:r>
      <w:r w:rsidR="00963238">
        <w:rPr>
          <w:rFonts w:ascii="Arial" w:hAnsi="Arial" w:cs="Arial"/>
        </w:rPr>
        <w:t xml:space="preserve">no indication that such </w:t>
      </w:r>
      <w:r w:rsidR="004A11D2">
        <w:rPr>
          <w:rFonts w:ascii="Arial" w:hAnsi="Arial" w:cs="Arial"/>
        </w:rPr>
        <w:t xml:space="preserve">a </w:t>
      </w:r>
      <w:r w:rsidR="00963238">
        <w:rPr>
          <w:rFonts w:ascii="Arial" w:hAnsi="Arial" w:cs="Arial"/>
        </w:rPr>
        <w:t xml:space="preserve">letter was posted to the applicant. </w:t>
      </w:r>
    </w:p>
    <w:p w14:paraId="0D287831" w14:textId="77777777" w:rsidR="001E4382" w:rsidRDefault="001F373A" w:rsidP="00112DAF">
      <w:pPr>
        <w:spacing w:before="240" w:after="240" w:line="360" w:lineRule="auto"/>
        <w:ind w:left="720" w:hanging="720"/>
        <w:jc w:val="both"/>
        <w:rPr>
          <w:rFonts w:ascii="Arial" w:hAnsi="Arial" w:cs="Arial"/>
        </w:rPr>
      </w:pPr>
      <w:r>
        <w:rPr>
          <w:rFonts w:ascii="Arial" w:hAnsi="Arial" w:cs="Arial"/>
        </w:rPr>
        <w:t>[3</w:t>
      </w:r>
      <w:r w:rsidR="00161413">
        <w:rPr>
          <w:rFonts w:ascii="Arial" w:hAnsi="Arial" w:cs="Arial"/>
        </w:rPr>
        <w:t>2</w:t>
      </w:r>
      <w:r w:rsidR="00963238">
        <w:rPr>
          <w:rFonts w:ascii="Arial" w:hAnsi="Arial" w:cs="Arial"/>
        </w:rPr>
        <w:t>]</w:t>
      </w:r>
      <w:r w:rsidR="00963238">
        <w:rPr>
          <w:rFonts w:ascii="Arial" w:hAnsi="Arial" w:cs="Arial"/>
        </w:rPr>
        <w:tab/>
        <w:t xml:space="preserve">It was therefore apparent </w:t>
      </w:r>
      <w:r w:rsidR="00B2186B">
        <w:rPr>
          <w:rFonts w:ascii="Arial" w:hAnsi="Arial" w:cs="Arial"/>
        </w:rPr>
        <w:t>to the applicant, on the municipality’</w:t>
      </w:r>
      <w:r w:rsidR="00963238">
        <w:rPr>
          <w:rFonts w:ascii="Arial" w:hAnsi="Arial" w:cs="Arial"/>
        </w:rPr>
        <w:t>s own version, that the second respondent failed to comply with the requirements of section 49(1)(c) of the MPRA in that the se</w:t>
      </w:r>
      <w:r w:rsidR="00AA1029">
        <w:rPr>
          <w:rFonts w:ascii="Arial" w:hAnsi="Arial" w:cs="Arial"/>
        </w:rPr>
        <w:t>cond respondent failed to annex</w:t>
      </w:r>
      <w:r w:rsidR="00963238">
        <w:rPr>
          <w:rFonts w:ascii="Arial" w:hAnsi="Arial" w:cs="Arial"/>
        </w:rPr>
        <w:t xml:space="preserve"> a copy of the notice published in terms of section 49(1)(a) in the provincial gazette to (“FA11</w:t>
      </w:r>
      <w:r w:rsidR="00182542">
        <w:rPr>
          <w:rFonts w:ascii="Arial" w:hAnsi="Arial" w:cs="Arial"/>
        </w:rPr>
        <w:t>.2</w:t>
      </w:r>
      <w:r w:rsidR="00963238">
        <w:rPr>
          <w:rFonts w:ascii="Arial" w:hAnsi="Arial" w:cs="Arial"/>
        </w:rPr>
        <w:t>”).</w:t>
      </w:r>
      <w:r w:rsidR="00963238">
        <w:rPr>
          <w:rStyle w:val="FootnoteReference"/>
          <w:rFonts w:ascii="Arial" w:hAnsi="Arial" w:cs="Arial"/>
        </w:rPr>
        <w:footnoteReference w:id="47"/>
      </w:r>
      <w:r w:rsidR="00963238">
        <w:rPr>
          <w:rFonts w:ascii="Arial" w:hAnsi="Arial" w:cs="Arial"/>
        </w:rPr>
        <w:t xml:space="preserve"> The second responde</w:t>
      </w:r>
      <w:r w:rsidR="00B941FA">
        <w:rPr>
          <w:rFonts w:ascii="Arial" w:hAnsi="Arial" w:cs="Arial"/>
        </w:rPr>
        <w:t>nt also failed to annex</w:t>
      </w:r>
      <w:r w:rsidR="00963238">
        <w:rPr>
          <w:rFonts w:ascii="Arial" w:hAnsi="Arial" w:cs="Arial"/>
        </w:rPr>
        <w:t xml:space="preserve"> a copy of an extract of the 2017 valuation roll pertaining to the applicant’s properties to “FA11.2”</w:t>
      </w:r>
      <w:r w:rsidR="00963238">
        <w:rPr>
          <w:rStyle w:val="FootnoteReference"/>
          <w:rFonts w:ascii="Arial" w:hAnsi="Arial" w:cs="Arial"/>
        </w:rPr>
        <w:footnoteReference w:id="48"/>
      </w:r>
      <w:r w:rsidR="00963238">
        <w:rPr>
          <w:rFonts w:ascii="Arial" w:hAnsi="Arial" w:cs="Arial"/>
        </w:rPr>
        <w:t xml:space="preserve"> </w:t>
      </w:r>
      <w:r w:rsidR="00182542">
        <w:rPr>
          <w:rFonts w:ascii="Arial" w:hAnsi="Arial" w:cs="Arial"/>
        </w:rPr>
        <w:t>and neither “FA11.1</w:t>
      </w:r>
      <w:r w:rsidR="001E4382">
        <w:rPr>
          <w:rFonts w:ascii="Arial" w:hAnsi="Arial" w:cs="Arial"/>
        </w:rPr>
        <w:t>” nor ‘FA11.2” referred to a copy of the relevant notice published in terms of section 49(1)(a) in the provincial gazette or an extract of the 2017 valuation roll pertaining to the applicant</w:t>
      </w:r>
      <w:r w:rsidR="00182542">
        <w:rPr>
          <w:rFonts w:ascii="Arial" w:hAnsi="Arial" w:cs="Arial"/>
        </w:rPr>
        <w:t>’</w:t>
      </w:r>
      <w:r w:rsidR="001E4382">
        <w:rPr>
          <w:rFonts w:ascii="Arial" w:hAnsi="Arial" w:cs="Arial"/>
        </w:rPr>
        <w:t>s properties.</w:t>
      </w:r>
      <w:r w:rsidR="001E4382">
        <w:rPr>
          <w:rStyle w:val="FootnoteReference"/>
          <w:rFonts w:ascii="Arial" w:hAnsi="Arial" w:cs="Arial"/>
        </w:rPr>
        <w:footnoteReference w:id="49"/>
      </w:r>
    </w:p>
    <w:p w14:paraId="6497B9E7" w14:textId="77777777" w:rsidR="001E4382" w:rsidRDefault="001F373A" w:rsidP="00112DAF">
      <w:pPr>
        <w:spacing w:before="240" w:after="240" w:line="360" w:lineRule="auto"/>
        <w:ind w:left="720" w:hanging="720"/>
        <w:jc w:val="both"/>
        <w:rPr>
          <w:rFonts w:ascii="Arial" w:hAnsi="Arial" w:cs="Arial"/>
        </w:rPr>
      </w:pPr>
      <w:r>
        <w:rPr>
          <w:rFonts w:ascii="Arial" w:hAnsi="Arial" w:cs="Arial"/>
        </w:rPr>
        <w:lastRenderedPageBreak/>
        <w:t>[3</w:t>
      </w:r>
      <w:r w:rsidR="00161413">
        <w:rPr>
          <w:rFonts w:ascii="Arial" w:hAnsi="Arial" w:cs="Arial"/>
        </w:rPr>
        <w:t>3</w:t>
      </w:r>
      <w:r w:rsidR="001E4382">
        <w:rPr>
          <w:rFonts w:ascii="Arial" w:hAnsi="Arial" w:cs="Arial"/>
        </w:rPr>
        <w:t>]</w:t>
      </w:r>
      <w:r w:rsidR="001E4382">
        <w:rPr>
          <w:rFonts w:ascii="Arial" w:hAnsi="Arial" w:cs="Arial"/>
        </w:rPr>
        <w:tab/>
        <w:t>The letter</w:t>
      </w:r>
      <w:r w:rsidR="00CD464D">
        <w:rPr>
          <w:rFonts w:ascii="Arial" w:hAnsi="Arial" w:cs="Arial"/>
        </w:rPr>
        <w:t xml:space="preserve"> dated 9 January 2020,</w:t>
      </w:r>
      <w:r w:rsidR="001E4382">
        <w:rPr>
          <w:rFonts w:ascii="Arial" w:hAnsi="Arial" w:cs="Arial"/>
        </w:rPr>
        <w:t xml:space="preserve"> marked “FA9”</w:t>
      </w:r>
      <w:r w:rsidR="00CD464D">
        <w:rPr>
          <w:rFonts w:ascii="Arial" w:hAnsi="Arial" w:cs="Arial"/>
        </w:rPr>
        <w:t>,</w:t>
      </w:r>
      <w:r w:rsidR="001E4382">
        <w:rPr>
          <w:rFonts w:ascii="Arial" w:hAnsi="Arial" w:cs="Arial"/>
        </w:rPr>
        <w:t xml:space="preserve"> addressed to the respondents</w:t>
      </w:r>
      <w:r w:rsidR="00CD464D">
        <w:rPr>
          <w:rFonts w:ascii="Arial" w:hAnsi="Arial" w:cs="Arial"/>
        </w:rPr>
        <w:t>’</w:t>
      </w:r>
      <w:r w:rsidR="001E4382">
        <w:rPr>
          <w:rFonts w:ascii="Arial" w:hAnsi="Arial" w:cs="Arial"/>
        </w:rPr>
        <w:t xml:space="preserve"> attorneys stipulated in paragraph 8 as follows:</w:t>
      </w:r>
    </w:p>
    <w:p w14:paraId="2BC3C569" w14:textId="77777777" w:rsidR="001E4382" w:rsidRDefault="001E4382" w:rsidP="00112DAF">
      <w:pPr>
        <w:spacing w:before="240" w:after="240" w:line="360" w:lineRule="auto"/>
        <w:ind w:left="1440" w:hanging="720"/>
        <w:jc w:val="both"/>
        <w:rPr>
          <w:rFonts w:ascii="Arial" w:hAnsi="Arial" w:cs="Arial"/>
          <w:i/>
          <w:sz w:val="20"/>
          <w:szCs w:val="20"/>
        </w:rPr>
      </w:pPr>
      <w:r>
        <w:rPr>
          <w:rFonts w:ascii="Arial" w:hAnsi="Arial" w:cs="Arial"/>
          <w:i/>
          <w:sz w:val="20"/>
          <w:szCs w:val="20"/>
        </w:rPr>
        <w:t>“(8)</w:t>
      </w:r>
      <w:r>
        <w:rPr>
          <w:rFonts w:ascii="Arial" w:hAnsi="Arial" w:cs="Arial"/>
          <w:i/>
          <w:sz w:val="20"/>
          <w:szCs w:val="20"/>
        </w:rPr>
        <w:tab/>
        <w:t>Accordingly, we request as a matter of urgency copies of the following:</w:t>
      </w:r>
    </w:p>
    <w:p w14:paraId="1079159A" w14:textId="77777777" w:rsidR="00BB47B4" w:rsidRPr="00BB47B4" w:rsidRDefault="001E4382" w:rsidP="00112DAF">
      <w:pPr>
        <w:pStyle w:val="ListParagraph"/>
        <w:numPr>
          <w:ilvl w:val="0"/>
          <w:numId w:val="22"/>
        </w:numPr>
        <w:spacing w:before="240" w:after="240" w:line="360" w:lineRule="auto"/>
        <w:ind w:left="2160" w:hanging="720"/>
        <w:jc w:val="both"/>
        <w:rPr>
          <w:rFonts w:ascii="Arial" w:hAnsi="Arial" w:cs="Arial"/>
        </w:rPr>
      </w:pPr>
      <w:r>
        <w:rPr>
          <w:rFonts w:ascii="Arial" w:hAnsi="Arial" w:cs="Arial"/>
          <w:i/>
          <w:sz w:val="20"/>
          <w:szCs w:val="20"/>
        </w:rPr>
        <w:t>The notices</w:t>
      </w:r>
      <w:r w:rsidR="00BB47B4">
        <w:rPr>
          <w:rFonts w:ascii="Arial" w:hAnsi="Arial" w:cs="Arial"/>
          <w:i/>
          <w:sz w:val="20"/>
          <w:szCs w:val="20"/>
        </w:rPr>
        <w:t xml:space="preserve"> that were served on the CUT, invited to object to the proposed valuations of its immovable properties during the phase prior to the roll coming to operation on 01 July 2017; and </w:t>
      </w:r>
    </w:p>
    <w:p w14:paraId="103E813A" w14:textId="77777777" w:rsidR="00BB47B4" w:rsidRPr="00BB47B4" w:rsidRDefault="00BB47B4" w:rsidP="00112DAF">
      <w:pPr>
        <w:pStyle w:val="ListParagraph"/>
        <w:numPr>
          <w:ilvl w:val="0"/>
          <w:numId w:val="22"/>
        </w:numPr>
        <w:spacing w:before="240" w:after="240" w:line="360" w:lineRule="auto"/>
        <w:ind w:left="2160" w:hanging="720"/>
        <w:jc w:val="both"/>
        <w:rPr>
          <w:rFonts w:ascii="Arial" w:hAnsi="Arial" w:cs="Arial"/>
        </w:rPr>
      </w:pPr>
      <w:r>
        <w:rPr>
          <w:rFonts w:ascii="Arial" w:hAnsi="Arial" w:cs="Arial"/>
          <w:i/>
          <w:sz w:val="20"/>
          <w:szCs w:val="20"/>
        </w:rPr>
        <w:t>The valuations prepared by the municipal valour for each of the immovable properties of the CUT.”</w:t>
      </w:r>
      <w:r>
        <w:rPr>
          <w:rStyle w:val="FootnoteReference"/>
          <w:rFonts w:ascii="Arial" w:hAnsi="Arial" w:cs="Arial"/>
          <w:i/>
          <w:sz w:val="20"/>
          <w:szCs w:val="20"/>
        </w:rPr>
        <w:footnoteReference w:id="50"/>
      </w:r>
    </w:p>
    <w:p w14:paraId="48F03E19" w14:textId="77777777" w:rsidR="00BB47B4" w:rsidRDefault="00BB47B4" w:rsidP="00112DAF">
      <w:pPr>
        <w:spacing w:before="240" w:after="240" w:line="360" w:lineRule="auto"/>
        <w:ind w:left="720"/>
        <w:jc w:val="both"/>
        <w:rPr>
          <w:rFonts w:ascii="Arial" w:hAnsi="Arial" w:cs="Arial"/>
        </w:rPr>
      </w:pPr>
      <w:r>
        <w:rPr>
          <w:rFonts w:ascii="Arial" w:hAnsi="Arial" w:cs="Arial"/>
        </w:rPr>
        <w:t>The respondents</w:t>
      </w:r>
      <w:r w:rsidR="0004086A">
        <w:rPr>
          <w:rFonts w:ascii="Arial" w:hAnsi="Arial" w:cs="Arial"/>
        </w:rPr>
        <w:t>’</w:t>
      </w:r>
      <w:r>
        <w:rPr>
          <w:rFonts w:ascii="Arial" w:hAnsi="Arial" w:cs="Arial"/>
        </w:rPr>
        <w:t xml:space="preserve"> response in paragraph 3 of their letter marked “FA11.1”</w:t>
      </w:r>
      <w:r>
        <w:rPr>
          <w:rStyle w:val="FootnoteReference"/>
          <w:rFonts w:ascii="Arial" w:hAnsi="Arial" w:cs="Arial"/>
        </w:rPr>
        <w:footnoteReference w:id="51"/>
      </w:r>
      <w:r>
        <w:rPr>
          <w:rFonts w:ascii="Arial" w:hAnsi="Arial" w:cs="Arial"/>
        </w:rPr>
        <w:t xml:space="preserve"> reads as follows:</w:t>
      </w:r>
    </w:p>
    <w:p w14:paraId="438B2F7B" w14:textId="77777777" w:rsidR="00BB47B4" w:rsidRDefault="00BB47B4" w:rsidP="00112DAF">
      <w:pPr>
        <w:spacing w:before="240" w:after="240" w:line="360" w:lineRule="auto"/>
        <w:ind w:left="720"/>
        <w:jc w:val="both"/>
        <w:rPr>
          <w:rFonts w:ascii="Arial" w:hAnsi="Arial" w:cs="Arial"/>
          <w:i/>
          <w:sz w:val="20"/>
          <w:szCs w:val="20"/>
        </w:rPr>
      </w:pPr>
      <w:r>
        <w:rPr>
          <w:rFonts w:ascii="Arial" w:hAnsi="Arial" w:cs="Arial"/>
          <w:i/>
          <w:sz w:val="20"/>
          <w:szCs w:val="20"/>
        </w:rPr>
        <w:t xml:space="preserve">“Kindly find attached a copy of the notice properly served on your client per ordinary mail in accordance with section 49(1) of the Municipal Property Rates Act, 6 of 2004. No formal and complaint reaction emanated from your client in respect of this notice.” </w:t>
      </w:r>
    </w:p>
    <w:p w14:paraId="4DA958D3" w14:textId="77777777" w:rsidR="00BB47B4" w:rsidRDefault="00BB47B4" w:rsidP="00112DAF">
      <w:pPr>
        <w:spacing w:before="240" w:after="240" w:line="360" w:lineRule="auto"/>
        <w:ind w:left="720"/>
        <w:jc w:val="both"/>
        <w:rPr>
          <w:rFonts w:ascii="Arial" w:hAnsi="Arial" w:cs="Arial"/>
        </w:rPr>
      </w:pPr>
      <w:r>
        <w:rPr>
          <w:rFonts w:ascii="Arial" w:hAnsi="Arial" w:cs="Arial"/>
        </w:rPr>
        <w:t>The applicant stated that no further annexures w</w:t>
      </w:r>
      <w:r w:rsidR="0004086A">
        <w:rPr>
          <w:rFonts w:ascii="Arial" w:hAnsi="Arial" w:cs="Arial"/>
        </w:rPr>
        <w:t>ere attached to the said letter save the copy of the notice.</w:t>
      </w:r>
      <w:r>
        <w:rPr>
          <w:rFonts w:ascii="Arial" w:hAnsi="Arial" w:cs="Arial"/>
        </w:rPr>
        <w:t xml:space="preserve"> </w:t>
      </w:r>
    </w:p>
    <w:p w14:paraId="74C17A01" w14:textId="77777777" w:rsidR="0071572C" w:rsidRDefault="001F373A" w:rsidP="00112DAF">
      <w:pPr>
        <w:spacing w:before="240" w:after="240" w:line="360" w:lineRule="auto"/>
        <w:ind w:left="720" w:hanging="720"/>
        <w:jc w:val="both"/>
        <w:rPr>
          <w:rFonts w:ascii="Arial" w:hAnsi="Arial" w:cs="Arial"/>
        </w:rPr>
      </w:pPr>
      <w:r>
        <w:rPr>
          <w:rFonts w:ascii="Arial" w:hAnsi="Arial" w:cs="Arial"/>
        </w:rPr>
        <w:t>[3</w:t>
      </w:r>
      <w:r w:rsidR="00161413">
        <w:rPr>
          <w:rFonts w:ascii="Arial" w:hAnsi="Arial" w:cs="Arial"/>
        </w:rPr>
        <w:t>4</w:t>
      </w:r>
      <w:r w:rsidR="00BB47B4">
        <w:rPr>
          <w:rFonts w:ascii="Arial" w:hAnsi="Arial" w:cs="Arial"/>
        </w:rPr>
        <w:t>]</w:t>
      </w:r>
      <w:r w:rsidR="00BB47B4">
        <w:rPr>
          <w:rFonts w:ascii="Arial" w:hAnsi="Arial" w:cs="Arial"/>
        </w:rPr>
        <w:tab/>
        <w:t>The applicant stated that Ms Van Niekerk never received a copy of the relevant prescribed notice nor a copy of the prescribed extract of the 2017 valuation roll pertaining to the applicant’s properties as contemplated in section 49(1)(c) from any of the respondents.</w:t>
      </w:r>
      <w:r w:rsidR="00BB47B4">
        <w:rPr>
          <w:rStyle w:val="FootnoteReference"/>
          <w:rFonts w:ascii="Arial" w:hAnsi="Arial" w:cs="Arial"/>
        </w:rPr>
        <w:footnoteReference w:id="52"/>
      </w:r>
      <w:r w:rsidR="00BB47B4">
        <w:rPr>
          <w:rFonts w:ascii="Arial" w:hAnsi="Arial" w:cs="Arial"/>
        </w:rPr>
        <w:t xml:space="preserve"> The applicant was therefore prejudiced by the non-compliance </w:t>
      </w:r>
      <w:r w:rsidR="0071572C">
        <w:rPr>
          <w:rFonts w:ascii="Arial" w:hAnsi="Arial" w:cs="Arial"/>
        </w:rPr>
        <w:t>with the provisions of section 49(1)(c) of the MPRA because the applicant was deprived of its rights in terms of section 50 of the MPRA to object to the valuation and or the categorisation of its properties in term</w:t>
      </w:r>
      <w:r w:rsidR="00B86CF2">
        <w:rPr>
          <w:rFonts w:ascii="Arial" w:hAnsi="Arial" w:cs="Arial"/>
        </w:rPr>
        <w:t>s</w:t>
      </w:r>
      <w:r w:rsidR="0071572C">
        <w:rPr>
          <w:rFonts w:ascii="Arial" w:hAnsi="Arial" w:cs="Arial"/>
        </w:rPr>
        <w:t xml:space="preserve"> of the 2017 valuation roll, especially in circumstances where the market value of Erf 26454 increased materially and Erf 26454, together with the applicant’s other properties were categorised as business as a result of which the applicant’s properties were equated with properties used for business purposes by commercial entities. The applicant was a high</w:t>
      </w:r>
      <w:r w:rsidR="00B86CF2">
        <w:rPr>
          <w:rFonts w:ascii="Arial" w:hAnsi="Arial" w:cs="Arial"/>
        </w:rPr>
        <w:t xml:space="preserve">er education institution that used </w:t>
      </w:r>
      <w:r w:rsidR="00B86CF2">
        <w:rPr>
          <w:rFonts w:ascii="Arial" w:hAnsi="Arial" w:cs="Arial"/>
        </w:rPr>
        <w:lastRenderedPageBreak/>
        <w:t xml:space="preserve">its properties to </w:t>
      </w:r>
      <w:r w:rsidR="0031193F">
        <w:rPr>
          <w:rFonts w:ascii="Arial" w:hAnsi="Arial" w:cs="Arial"/>
        </w:rPr>
        <w:t>fulfil</w:t>
      </w:r>
      <w:r w:rsidR="0071572C">
        <w:rPr>
          <w:rFonts w:ascii="Arial" w:hAnsi="Arial" w:cs="Arial"/>
        </w:rPr>
        <w:t xml:space="preserve"> its function to provide high</w:t>
      </w:r>
      <w:r w:rsidR="00B86CF2">
        <w:rPr>
          <w:rFonts w:ascii="Arial" w:hAnsi="Arial" w:cs="Arial"/>
        </w:rPr>
        <w:t>er</w:t>
      </w:r>
      <w:r w:rsidR="0071572C">
        <w:rPr>
          <w:rFonts w:ascii="Arial" w:hAnsi="Arial" w:cs="Arial"/>
        </w:rPr>
        <w:t xml:space="preserve"> education to a section of the public.</w:t>
      </w:r>
      <w:r w:rsidR="0071572C">
        <w:rPr>
          <w:rStyle w:val="FootnoteReference"/>
          <w:rFonts w:ascii="Arial" w:hAnsi="Arial" w:cs="Arial"/>
        </w:rPr>
        <w:footnoteReference w:id="53"/>
      </w:r>
      <w:r w:rsidR="0071572C">
        <w:rPr>
          <w:rFonts w:ascii="Arial" w:hAnsi="Arial" w:cs="Arial"/>
        </w:rPr>
        <w:t xml:space="preserve"> </w:t>
      </w:r>
    </w:p>
    <w:p w14:paraId="3D727305" w14:textId="77777777" w:rsidR="006F313D" w:rsidRDefault="001F373A" w:rsidP="00112DAF">
      <w:pPr>
        <w:spacing w:before="240" w:after="240" w:line="360" w:lineRule="auto"/>
        <w:ind w:left="720" w:hanging="720"/>
        <w:jc w:val="both"/>
        <w:rPr>
          <w:rFonts w:ascii="Arial" w:hAnsi="Arial" w:cs="Arial"/>
        </w:rPr>
      </w:pPr>
      <w:r>
        <w:rPr>
          <w:rFonts w:ascii="Arial" w:hAnsi="Arial" w:cs="Arial"/>
        </w:rPr>
        <w:t>[3</w:t>
      </w:r>
      <w:r w:rsidR="00161413">
        <w:rPr>
          <w:rFonts w:ascii="Arial" w:hAnsi="Arial" w:cs="Arial"/>
        </w:rPr>
        <w:t>5</w:t>
      </w:r>
      <w:r w:rsidR="0071572C">
        <w:rPr>
          <w:rFonts w:ascii="Arial" w:hAnsi="Arial" w:cs="Arial"/>
        </w:rPr>
        <w:t>]</w:t>
      </w:r>
      <w:r w:rsidR="0071572C">
        <w:rPr>
          <w:rFonts w:ascii="Arial" w:hAnsi="Arial" w:cs="Arial"/>
        </w:rPr>
        <w:tab/>
      </w:r>
      <w:r w:rsidR="00960841">
        <w:rPr>
          <w:rFonts w:ascii="Arial" w:hAnsi="Arial" w:cs="Arial"/>
        </w:rPr>
        <w:t>The applicant contended that, i</w:t>
      </w:r>
      <w:r w:rsidR="0071572C">
        <w:rPr>
          <w:rFonts w:ascii="Arial" w:hAnsi="Arial" w:cs="Arial"/>
        </w:rPr>
        <w:t>n as much as a notice in terms of section 49(1)(a) of the MPRA might have been published in the provincial gazette, such notice did not come to the knowledge of the applicant</w:t>
      </w:r>
      <w:r w:rsidR="00E6729B">
        <w:rPr>
          <w:rFonts w:ascii="Arial" w:hAnsi="Arial" w:cs="Arial"/>
        </w:rPr>
        <w:t>, and</w:t>
      </w:r>
      <w:r w:rsidR="0071572C">
        <w:rPr>
          <w:rFonts w:ascii="Arial" w:hAnsi="Arial" w:cs="Arial"/>
        </w:rPr>
        <w:t xml:space="preserve"> correctly pointed out that section 49(1) of the MPRA is a jurisdictional requirement for a valid valuation and categorisation of the applicant’s properties. The procedures set out in the MPRA for the compilation of a valuation roll are a jurisdictional pre-requisite for the exercise of the first respondent’s power to collect rates.</w:t>
      </w:r>
      <w:r w:rsidR="0071572C">
        <w:rPr>
          <w:rStyle w:val="FootnoteReference"/>
          <w:rFonts w:ascii="Arial" w:hAnsi="Arial" w:cs="Arial"/>
        </w:rPr>
        <w:footnoteReference w:id="54"/>
      </w:r>
    </w:p>
    <w:p w14:paraId="6AB36DFE" w14:textId="72C86105" w:rsidR="00F73747" w:rsidRDefault="006F313D" w:rsidP="00112DAF">
      <w:pPr>
        <w:spacing w:before="240" w:after="240" w:line="360" w:lineRule="auto"/>
        <w:ind w:left="720" w:hanging="720"/>
        <w:jc w:val="both"/>
        <w:rPr>
          <w:rFonts w:ascii="Arial" w:hAnsi="Arial" w:cs="Arial"/>
        </w:rPr>
      </w:pPr>
      <w:r>
        <w:rPr>
          <w:rFonts w:ascii="Arial" w:hAnsi="Arial" w:cs="Arial"/>
        </w:rPr>
        <w:t>[3</w:t>
      </w:r>
      <w:r w:rsidR="00161413">
        <w:rPr>
          <w:rFonts w:ascii="Arial" w:hAnsi="Arial" w:cs="Arial"/>
        </w:rPr>
        <w:t>6</w:t>
      </w:r>
      <w:r>
        <w:rPr>
          <w:rFonts w:ascii="Arial" w:hAnsi="Arial" w:cs="Arial"/>
        </w:rPr>
        <w:t xml:space="preserve">] </w:t>
      </w:r>
      <w:r w:rsidR="00E84DE4">
        <w:rPr>
          <w:rFonts w:ascii="Arial" w:hAnsi="Arial" w:cs="Arial"/>
        </w:rPr>
        <w:tab/>
      </w:r>
      <w:r>
        <w:rPr>
          <w:rFonts w:ascii="Arial" w:hAnsi="Arial" w:cs="Arial"/>
        </w:rPr>
        <w:t xml:space="preserve">Section 49(1)(c) of the MPRA provides that the municipal manager must </w:t>
      </w:r>
      <w:r w:rsidRPr="006F313D">
        <w:rPr>
          <w:rFonts w:ascii="Arial" w:hAnsi="Arial" w:cs="Arial"/>
        </w:rPr>
        <w:t>serve, by ordinary mail or, if appropriate, in accordance with section 115 of the Municipal Systems Act, on every owner of property</w:t>
      </w:r>
      <w:r>
        <w:rPr>
          <w:rFonts w:ascii="Arial" w:hAnsi="Arial" w:cs="Arial"/>
        </w:rPr>
        <w:t xml:space="preserve"> </w:t>
      </w:r>
      <w:r w:rsidRPr="006F313D">
        <w:rPr>
          <w:rFonts w:ascii="Arial" w:hAnsi="Arial" w:cs="Arial"/>
        </w:rPr>
        <w:t>listed in the valuation roll</w:t>
      </w:r>
      <w:r>
        <w:rPr>
          <w:rFonts w:ascii="Arial" w:hAnsi="Arial" w:cs="Arial"/>
        </w:rPr>
        <w:t>,</w:t>
      </w:r>
      <w:r w:rsidRPr="006F313D">
        <w:rPr>
          <w:rFonts w:ascii="Arial" w:hAnsi="Arial" w:cs="Arial"/>
        </w:rPr>
        <w:t xml:space="preserve"> a copy of the notice</w:t>
      </w:r>
      <w:r w:rsidR="00E51013">
        <w:rPr>
          <w:rFonts w:ascii="Arial" w:hAnsi="Arial" w:cs="Arial"/>
        </w:rPr>
        <w:t xml:space="preserve"> </w:t>
      </w:r>
      <w:r w:rsidR="00E51013" w:rsidRPr="00E51013">
        <w:rPr>
          <w:rFonts w:ascii="Arial" w:hAnsi="Arial" w:cs="Arial"/>
        </w:rPr>
        <w:t xml:space="preserve">stating that the roll is open for public </w:t>
      </w:r>
      <w:r w:rsidR="009E3E11">
        <w:rPr>
          <w:rFonts w:ascii="Arial" w:hAnsi="Arial" w:cs="Arial"/>
        </w:rPr>
        <w:t>inspection</w:t>
      </w:r>
      <w:r w:rsidR="009E3E11" w:rsidRPr="009E3E11">
        <w:rPr>
          <w:rFonts w:ascii="Arial" w:hAnsi="Arial" w:cs="Arial"/>
        </w:rPr>
        <w:t xml:space="preserve"> together with an extract of the valuation roll pertaining to that owner's property. </w:t>
      </w:r>
      <w:r w:rsidR="009E3E11">
        <w:rPr>
          <w:rFonts w:ascii="Arial" w:hAnsi="Arial" w:cs="Arial"/>
        </w:rPr>
        <w:t xml:space="preserve">The </w:t>
      </w:r>
      <w:r w:rsidR="009E3E11" w:rsidRPr="009E3E11">
        <w:rPr>
          <w:rFonts w:ascii="Arial" w:hAnsi="Arial" w:cs="Arial"/>
        </w:rPr>
        <w:t xml:space="preserve">phrase </w:t>
      </w:r>
      <w:r w:rsidR="009E3E11" w:rsidRPr="00B20052">
        <w:rPr>
          <w:rFonts w:ascii="Arial" w:hAnsi="Arial" w:cs="Arial"/>
          <w:i/>
        </w:rPr>
        <w:t>'serve notic</w:t>
      </w:r>
      <w:r w:rsidR="004C4AC9" w:rsidRPr="00B20052">
        <w:rPr>
          <w:rFonts w:ascii="Arial" w:hAnsi="Arial" w:cs="Arial"/>
          <w:i/>
        </w:rPr>
        <w:t>e upon'</w:t>
      </w:r>
      <w:r w:rsidR="009E3E11" w:rsidRPr="00B20052">
        <w:rPr>
          <w:rFonts w:ascii="Arial" w:hAnsi="Arial" w:cs="Arial"/>
          <w:i/>
        </w:rPr>
        <w:t>,</w:t>
      </w:r>
      <w:r w:rsidR="009E3E11" w:rsidRPr="009E3E11">
        <w:rPr>
          <w:rFonts w:ascii="Arial" w:hAnsi="Arial" w:cs="Arial"/>
        </w:rPr>
        <w:t xml:space="preserve"> taken by themselves</w:t>
      </w:r>
      <w:r w:rsidR="004C4AC9">
        <w:rPr>
          <w:rFonts w:ascii="Arial" w:hAnsi="Arial" w:cs="Arial"/>
        </w:rPr>
        <w:t xml:space="preserve">, </w:t>
      </w:r>
      <w:r w:rsidR="005B3E38">
        <w:rPr>
          <w:rFonts w:ascii="Arial" w:hAnsi="Arial" w:cs="Arial"/>
        </w:rPr>
        <w:t>signifies</w:t>
      </w:r>
      <w:r w:rsidR="004C4AC9">
        <w:rPr>
          <w:rFonts w:ascii="Arial" w:hAnsi="Arial" w:cs="Arial"/>
        </w:rPr>
        <w:t xml:space="preserve"> no more than that the</w:t>
      </w:r>
      <w:r w:rsidR="009E3E11" w:rsidRPr="009E3E11">
        <w:rPr>
          <w:rFonts w:ascii="Arial" w:hAnsi="Arial" w:cs="Arial"/>
        </w:rPr>
        <w:t xml:space="preserve"> notice reaches the person concerned and effectually conveys to him the information sought to be brought</w:t>
      </w:r>
      <w:r w:rsidR="004C4AC9">
        <w:rPr>
          <w:rFonts w:ascii="Arial" w:hAnsi="Arial" w:cs="Arial"/>
        </w:rPr>
        <w:t>.</w:t>
      </w:r>
      <w:r w:rsidR="004C4AC9">
        <w:rPr>
          <w:rStyle w:val="FootnoteReference"/>
          <w:rFonts w:ascii="Arial" w:hAnsi="Arial" w:cs="Arial"/>
        </w:rPr>
        <w:footnoteReference w:id="55"/>
      </w:r>
      <w:r w:rsidR="009E3E11" w:rsidRPr="009E3E11">
        <w:rPr>
          <w:rFonts w:ascii="Arial" w:hAnsi="Arial" w:cs="Arial"/>
        </w:rPr>
        <w:t xml:space="preserve"> </w:t>
      </w:r>
      <w:r w:rsidR="00AC2AF4">
        <w:rPr>
          <w:rFonts w:ascii="Arial" w:hAnsi="Arial" w:cs="Arial"/>
        </w:rPr>
        <w:t xml:space="preserve">The evidence of Ms Corinne van Niekerk is satisfactory and </w:t>
      </w:r>
      <w:r w:rsidR="00DE5F73">
        <w:rPr>
          <w:rFonts w:ascii="Arial" w:hAnsi="Arial" w:cs="Arial"/>
        </w:rPr>
        <w:t>her evidence was not rebutted</w:t>
      </w:r>
      <w:r w:rsidR="00B20052">
        <w:rPr>
          <w:rFonts w:ascii="Arial" w:hAnsi="Arial" w:cs="Arial"/>
        </w:rPr>
        <w:t>. T</w:t>
      </w:r>
      <w:r w:rsidR="00DE5F73">
        <w:rPr>
          <w:rFonts w:ascii="Arial" w:hAnsi="Arial" w:cs="Arial"/>
        </w:rPr>
        <w:t>he</w:t>
      </w:r>
      <w:r w:rsidR="00AC2AF4">
        <w:rPr>
          <w:rFonts w:ascii="Arial" w:hAnsi="Arial" w:cs="Arial"/>
        </w:rPr>
        <w:t xml:space="preserve"> respondents accept</w:t>
      </w:r>
      <w:r w:rsidR="00DE5F73">
        <w:rPr>
          <w:rFonts w:ascii="Arial" w:hAnsi="Arial" w:cs="Arial"/>
        </w:rPr>
        <w:t>ed</w:t>
      </w:r>
      <w:r w:rsidR="00AC2AF4">
        <w:rPr>
          <w:rFonts w:ascii="Arial" w:hAnsi="Arial" w:cs="Arial"/>
        </w:rPr>
        <w:t xml:space="preserve"> that</w:t>
      </w:r>
      <w:r w:rsidR="00DE5F73">
        <w:rPr>
          <w:rFonts w:ascii="Arial" w:hAnsi="Arial" w:cs="Arial"/>
        </w:rPr>
        <w:t xml:space="preserve"> the applicant became aware of the increase</w:t>
      </w:r>
      <w:r w:rsidR="00BA13AF">
        <w:rPr>
          <w:rFonts w:ascii="Arial" w:hAnsi="Arial" w:cs="Arial"/>
        </w:rPr>
        <w:t>d</w:t>
      </w:r>
      <w:r w:rsidR="00DE5F73">
        <w:rPr>
          <w:rFonts w:ascii="Arial" w:hAnsi="Arial" w:cs="Arial"/>
        </w:rPr>
        <w:t xml:space="preserve"> rates levied as a result of the 2017 valuation roll</w:t>
      </w:r>
      <w:r w:rsidR="00B20052">
        <w:rPr>
          <w:rFonts w:ascii="Arial" w:hAnsi="Arial" w:cs="Arial"/>
        </w:rPr>
        <w:t xml:space="preserve"> in July/August 2017 when Ms Van Niekerk liaised with the first respondent’s finance department at the beginning of 2017</w:t>
      </w:r>
      <w:r w:rsidR="00E403FD">
        <w:rPr>
          <w:rFonts w:ascii="Arial" w:hAnsi="Arial" w:cs="Arial"/>
        </w:rPr>
        <w:t xml:space="preserve"> to enquire into the increased rates</w:t>
      </w:r>
      <w:r w:rsidR="00DE5F73">
        <w:rPr>
          <w:rFonts w:ascii="Arial" w:hAnsi="Arial" w:cs="Arial"/>
        </w:rPr>
        <w:t>.</w:t>
      </w:r>
      <w:r w:rsidR="00BA13AF">
        <w:rPr>
          <w:rStyle w:val="FootnoteReference"/>
          <w:rFonts w:ascii="Arial" w:hAnsi="Arial" w:cs="Arial"/>
        </w:rPr>
        <w:footnoteReference w:id="56"/>
      </w:r>
      <w:r w:rsidR="00AC2AF4">
        <w:rPr>
          <w:rFonts w:ascii="Arial" w:hAnsi="Arial" w:cs="Arial"/>
        </w:rPr>
        <w:t xml:space="preserve"> </w:t>
      </w:r>
    </w:p>
    <w:p w14:paraId="008F87B0" w14:textId="493DC054" w:rsidR="004D020D" w:rsidRDefault="004D020D" w:rsidP="00112DAF">
      <w:pPr>
        <w:spacing w:before="240" w:after="240" w:line="360" w:lineRule="auto"/>
        <w:ind w:left="720" w:hanging="720"/>
        <w:jc w:val="both"/>
        <w:rPr>
          <w:rFonts w:ascii="Arial" w:hAnsi="Arial" w:cs="Arial"/>
        </w:rPr>
      </w:pPr>
      <w:r>
        <w:rPr>
          <w:rFonts w:ascii="Arial" w:hAnsi="Arial" w:cs="Arial"/>
        </w:rPr>
        <w:t>[3</w:t>
      </w:r>
      <w:r w:rsidR="00161413">
        <w:rPr>
          <w:rFonts w:ascii="Arial" w:hAnsi="Arial" w:cs="Arial"/>
        </w:rPr>
        <w:t>7</w:t>
      </w:r>
      <w:r>
        <w:rPr>
          <w:rFonts w:ascii="Arial" w:hAnsi="Arial" w:cs="Arial"/>
        </w:rPr>
        <w:t xml:space="preserve">] </w:t>
      </w:r>
      <w:r w:rsidR="00361BB3">
        <w:rPr>
          <w:rFonts w:ascii="Arial" w:hAnsi="Arial" w:cs="Arial"/>
        </w:rPr>
        <w:tab/>
      </w:r>
      <w:r>
        <w:rPr>
          <w:rFonts w:ascii="Arial" w:hAnsi="Arial" w:cs="Arial"/>
        </w:rPr>
        <w:t>I come to the conclusion that with the given evidence, the second respondent failed to comply with the provisions of section 49 of the MPRA, thus rendering the valuation process unlawful.</w:t>
      </w:r>
    </w:p>
    <w:p w14:paraId="1D551952" w14:textId="77777777" w:rsidR="00F73747" w:rsidRDefault="00F73747" w:rsidP="00BB47B4">
      <w:pPr>
        <w:spacing w:before="240" w:after="240" w:line="360" w:lineRule="auto"/>
        <w:ind w:left="567" w:hanging="567"/>
        <w:jc w:val="both"/>
        <w:rPr>
          <w:rFonts w:ascii="Arial" w:hAnsi="Arial" w:cs="Arial"/>
          <w:i/>
          <w:u w:val="single"/>
        </w:rPr>
      </w:pPr>
      <w:r>
        <w:rPr>
          <w:rFonts w:ascii="Arial" w:hAnsi="Arial" w:cs="Arial"/>
          <w:i/>
          <w:u w:val="single"/>
        </w:rPr>
        <w:t>Ad Prayer 2 and 3</w:t>
      </w:r>
    </w:p>
    <w:p w14:paraId="64B922F9" w14:textId="071BD36D" w:rsidR="00F73747" w:rsidRDefault="001F373A" w:rsidP="00112DAF">
      <w:pPr>
        <w:spacing w:before="240" w:after="240" w:line="360" w:lineRule="auto"/>
        <w:ind w:left="720" w:hanging="720"/>
        <w:jc w:val="both"/>
        <w:rPr>
          <w:rFonts w:ascii="Arial" w:hAnsi="Arial" w:cs="Arial"/>
        </w:rPr>
      </w:pPr>
      <w:r>
        <w:rPr>
          <w:rFonts w:ascii="Arial" w:hAnsi="Arial" w:cs="Arial"/>
        </w:rPr>
        <w:lastRenderedPageBreak/>
        <w:t>[3</w:t>
      </w:r>
      <w:r w:rsidR="00161413">
        <w:rPr>
          <w:rFonts w:ascii="Arial" w:hAnsi="Arial" w:cs="Arial"/>
        </w:rPr>
        <w:t>8</w:t>
      </w:r>
      <w:r w:rsidR="00F73747">
        <w:rPr>
          <w:rFonts w:ascii="Arial" w:hAnsi="Arial" w:cs="Arial"/>
        </w:rPr>
        <w:t>]</w:t>
      </w:r>
      <w:r w:rsidR="00F73747">
        <w:rPr>
          <w:rFonts w:ascii="Arial" w:hAnsi="Arial" w:cs="Arial"/>
        </w:rPr>
        <w:tab/>
        <w:t xml:space="preserve">The failure to comply with section 49(1)(c) of MPRA renders the 2017 valuation roll </w:t>
      </w:r>
      <w:r>
        <w:rPr>
          <w:rFonts w:ascii="Arial" w:hAnsi="Arial" w:cs="Arial"/>
        </w:rPr>
        <w:t>un</w:t>
      </w:r>
      <w:r w:rsidR="00F73747">
        <w:rPr>
          <w:rFonts w:ascii="Arial" w:hAnsi="Arial" w:cs="Arial"/>
        </w:rPr>
        <w:t>enforceable against the applicant</w:t>
      </w:r>
      <w:r w:rsidR="00AC0D0E">
        <w:rPr>
          <w:rFonts w:ascii="Arial" w:hAnsi="Arial" w:cs="Arial"/>
        </w:rPr>
        <w:t>. T</w:t>
      </w:r>
      <w:r w:rsidR="00F73747">
        <w:rPr>
          <w:rFonts w:ascii="Arial" w:hAnsi="Arial" w:cs="Arial"/>
        </w:rPr>
        <w:t>he levying of the rates, calculated in referen</w:t>
      </w:r>
      <w:r w:rsidR="00815A70">
        <w:rPr>
          <w:rFonts w:ascii="Arial" w:hAnsi="Arial" w:cs="Arial"/>
        </w:rPr>
        <w:t>ce to the valuation and categories</w:t>
      </w:r>
      <w:r w:rsidR="00F73747">
        <w:rPr>
          <w:rFonts w:ascii="Arial" w:hAnsi="Arial" w:cs="Arial"/>
        </w:rPr>
        <w:t xml:space="preserve"> of the applicant’s properties</w:t>
      </w:r>
      <w:r w:rsidR="00815A70">
        <w:rPr>
          <w:rFonts w:ascii="Arial" w:hAnsi="Arial" w:cs="Arial"/>
        </w:rPr>
        <w:t xml:space="preserve"> portrayed</w:t>
      </w:r>
      <w:r w:rsidR="00F73747">
        <w:rPr>
          <w:rFonts w:ascii="Arial" w:hAnsi="Arial" w:cs="Arial"/>
        </w:rPr>
        <w:t xml:space="preserve"> in that valuation roll, is unlawful and not legitimate. Consequently, the first respondent is enjoined by the provisions of section 78 to cause a supplementary valuation to be made in respect of the applicant</w:t>
      </w:r>
      <w:r>
        <w:rPr>
          <w:rFonts w:ascii="Arial" w:hAnsi="Arial" w:cs="Arial"/>
        </w:rPr>
        <w:t>’s</w:t>
      </w:r>
      <w:r w:rsidR="00F73747">
        <w:rPr>
          <w:rFonts w:ascii="Arial" w:hAnsi="Arial" w:cs="Arial"/>
        </w:rPr>
        <w:t xml:space="preserve"> rateable property. </w:t>
      </w:r>
    </w:p>
    <w:p w14:paraId="2D7F9B0A" w14:textId="77777777" w:rsidR="00F73747" w:rsidRDefault="00F73747" w:rsidP="00BB47B4">
      <w:pPr>
        <w:spacing w:before="240" w:after="240" w:line="360" w:lineRule="auto"/>
        <w:ind w:left="567" w:hanging="567"/>
        <w:jc w:val="both"/>
        <w:rPr>
          <w:rFonts w:ascii="Arial" w:hAnsi="Arial" w:cs="Arial"/>
          <w:i/>
          <w:u w:val="single"/>
        </w:rPr>
      </w:pPr>
      <w:r>
        <w:rPr>
          <w:rFonts w:ascii="Arial" w:hAnsi="Arial" w:cs="Arial"/>
          <w:i/>
          <w:u w:val="single"/>
        </w:rPr>
        <w:t>Part 2</w:t>
      </w:r>
      <w:r w:rsidR="005D049C">
        <w:rPr>
          <w:rFonts w:ascii="Arial" w:hAnsi="Arial" w:cs="Arial"/>
          <w:i/>
          <w:u w:val="single"/>
        </w:rPr>
        <w:t>:</w:t>
      </w:r>
      <w:r>
        <w:rPr>
          <w:rFonts w:ascii="Arial" w:hAnsi="Arial" w:cs="Arial"/>
          <w:i/>
          <w:u w:val="single"/>
        </w:rPr>
        <w:t xml:space="preserve"> Ad Prayer 1.1</w:t>
      </w:r>
    </w:p>
    <w:p w14:paraId="136B9212" w14:textId="07E01DCE" w:rsidR="00DA6C16" w:rsidRDefault="001F373A" w:rsidP="00112DAF">
      <w:pPr>
        <w:spacing w:before="240" w:after="240" w:line="360" w:lineRule="auto"/>
        <w:ind w:left="720" w:hanging="720"/>
        <w:jc w:val="both"/>
        <w:rPr>
          <w:rFonts w:ascii="Arial" w:hAnsi="Arial" w:cs="Arial"/>
        </w:rPr>
      </w:pPr>
      <w:r>
        <w:rPr>
          <w:rFonts w:ascii="Arial" w:hAnsi="Arial" w:cs="Arial"/>
        </w:rPr>
        <w:t>[3</w:t>
      </w:r>
      <w:r w:rsidR="00EC0ED8">
        <w:rPr>
          <w:rFonts w:ascii="Arial" w:hAnsi="Arial" w:cs="Arial"/>
        </w:rPr>
        <w:t>9</w:t>
      </w:r>
      <w:r w:rsidR="00F73747">
        <w:rPr>
          <w:rFonts w:ascii="Arial" w:hAnsi="Arial" w:cs="Arial"/>
        </w:rPr>
        <w:t>]</w:t>
      </w:r>
      <w:r w:rsidR="00F73747">
        <w:rPr>
          <w:rFonts w:ascii="Arial" w:hAnsi="Arial" w:cs="Arial"/>
        </w:rPr>
        <w:tab/>
        <w:t>The respondents pointed out that the applicant’s properties reflected in its valuation roll for 01 July 2017 to 30 June 2021 were not categorised as “Public benefit organization” in terms of the 17/18 public rates policy. Applicant’s 36 properties were depicted and described in MMM2(a)</w:t>
      </w:r>
      <w:r w:rsidR="00F73747">
        <w:rPr>
          <w:rStyle w:val="FootnoteReference"/>
          <w:rFonts w:ascii="Arial" w:hAnsi="Arial" w:cs="Arial"/>
        </w:rPr>
        <w:footnoteReference w:id="57"/>
      </w:r>
      <w:r w:rsidR="00951AD0">
        <w:rPr>
          <w:rFonts w:ascii="Arial" w:hAnsi="Arial" w:cs="Arial"/>
        </w:rPr>
        <w:t xml:space="preserve"> a</w:t>
      </w:r>
      <w:r w:rsidR="00F73747">
        <w:rPr>
          <w:rFonts w:ascii="Arial" w:hAnsi="Arial" w:cs="Arial"/>
        </w:rPr>
        <w:t>s 22 Erven business, 6 Erven residential, 5 Erve</w:t>
      </w:r>
      <w:r w:rsidR="00DA6C16">
        <w:rPr>
          <w:rFonts w:ascii="Arial" w:hAnsi="Arial" w:cs="Arial"/>
        </w:rPr>
        <w:t>n public s</w:t>
      </w:r>
      <w:r w:rsidR="00F73747">
        <w:rPr>
          <w:rFonts w:ascii="Arial" w:hAnsi="Arial" w:cs="Arial"/>
        </w:rPr>
        <w:t>ervice infrastructure, 1</w:t>
      </w:r>
      <w:r w:rsidR="00951AD0">
        <w:rPr>
          <w:rFonts w:ascii="Arial" w:hAnsi="Arial" w:cs="Arial"/>
        </w:rPr>
        <w:t xml:space="preserve"> Erf </w:t>
      </w:r>
      <w:r w:rsidR="00DA6C16">
        <w:rPr>
          <w:rFonts w:ascii="Arial" w:hAnsi="Arial" w:cs="Arial"/>
        </w:rPr>
        <w:t>public service purpose, 1 Erf is agricultural farms and agricultural and 1 Erf as vacant land residential. Not a single Erf was categorised “public benefit organisation”. In its reply,</w:t>
      </w:r>
      <w:r w:rsidR="00DA6C16">
        <w:rPr>
          <w:rStyle w:val="FootnoteReference"/>
          <w:rFonts w:ascii="Arial" w:hAnsi="Arial" w:cs="Arial"/>
        </w:rPr>
        <w:footnoteReference w:id="58"/>
      </w:r>
      <w:r w:rsidR="004C4AC9">
        <w:rPr>
          <w:rFonts w:ascii="Arial" w:hAnsi="Arial" w:cs="Arial"/>
        </w:rPr>
        <w:t xml:space="preserve"> t</w:t>
      </w:r>
      <w:r w:rsidR="00DA6C16">
        <w:rPr>
          <w:rFonts w:ascii="Arial" w:hAnsi="Arial" w:cs="Arial"/>
        </w:rPr>
        <w:t>he applicant stated that the 2017/2018 rates policy reflected the properties of t</w:t>
      </w:r>
      <w:r w:rsidR="00951AD0">
        <w:rPr>
          <w:rFonts w:ascii="Arial" w:hAnsi="Arial" w:cs="Arial"/>
        </w:rPr>
        <w:t>he applicant under the heading “Public</w:t>
      </w:r>
      <w:r w:rsidR="00DA6C16">
        <w:rPr>
          <w:rFonts w:ascii="Arial" w:hAnsi="Arial" w:cs="Arial"/>
        </w:rPr>
        <w:t xml:space="preserve"> B</w:t>
      </w:r>
      <w:r w:rsidR="00951AD0">
        <w:rPr>
          <w:rFonts w:ascii="Arial" w:hAnsi="Arial" w:cs="Arial"/>
        </w:rPr>
        <w:t>enefit</w:t>
      </w:r>
      <w:r w:rsidR="00DA6C16">
        <w:rPr>
          <w:rFonts w:ascii="Arial" w:hAnsi="Arial" w:cs="Arial"/>
        </w:rPr>
        <w:t xml:space="preserve"> O</w:t>
      </w:r>
      <w:r w:rsidR="00951AD0">
        <w:rPr>
          <w:rFonts w:ascii="Arial" w:hAnsi="Arial" w:cs="Arial"/>
        </w:rPr>
        <w:t>rganisations</w:t>
      </w:r>
      <w:r w:rsidR="00DA6C16">
        <w:rPr>
          <w:rFonts w:ascii="Arial" w:hAnsi="Arial" w:cs="Arial"/>
        </w:rPr>
        <w:t>” and it was understood that the first respondent regarded the applicant and the U</w:t>
      </w:r>
      <w:r w:rsidR="00951AD0">
        <w:rPr>
          <w:rFonts w:ascii="Arial" w:hAnsi="Arial" w:cs="Arial"/>
        </w:rPr>
        <w:t xml:space="preserve">niversity of the </w:t>
      </w:r>
      <w:r w:rsidR="00DA6C16">
        <w:rPr>
          <w:rFonts w:ascii="Arial" w:hAnsi="Arial" w:cs="Arial"/>
        </w:rPr>
        <w:t>F</w:t>
      </w:r>
      <w:r w:rsidR="00951AD0">
        <w:rPr>
          <w:rFonts w:ascii="Arial" w:hAnsi="Arial" w:cs="Arial"/>
        </w:rPr>
        <w:t xml:space="preserve">ree </w:t>
      </w:r>
      <w:r w:rsidR="00DA6C16">
        <w:rPr>
          <w:rFonts w:ascii="Arial" w:hAnsi="Arial" w:cs="Arial"/>
        </w:rPr>
        <w:t>S</w:t>
      </w:r>
      <w:r w:rsidR="00951AD0">
        <w:rPr>
          <w:rFonts w:ascii="Arial" w:hAnsi="Arial" w:cs="Arial"/>
        </w:rPr>
        <w:t>tate</w:t>
      </w:r>
      <w:r w:rsidR="00DA6C16">
        <w:rPr>
          <w:rFonts w:ascii="Arial" w:hAnsi="Arial" w:cs="Arial"/>
        </w:rPr>
        <w:t xml:space="preserve"> as public benefit organisations. It</w:t>
      </w:r>
      <w:r w:rsidR="00446430">
        <w:rPr>
          <w:rFonts w:ascii="Arial" w:hAnsi="Arial" w:cs="Arial"/>
        </w:rPr>
        <w:t xml:space="preserve"> is indeed so that in paragraph </w:t>
      </w:r>
      <w:r w:rsidR="00DA6C16">
        <w:rPr>
          <w:rFonts w:ascii="Arial" w:hAnsi="Arial" w:cs="Arial"/>
        </w:rPr>
        <w:t>11.5</w:t>
      </w:r>
      <w:r w:rsidR="00446430">
        <w:rPr>
          <w:rFonts w:ascii="Arial" w:hAnsi="Arial" w:cs="Arial"/>
        </w:rPr>
        <w:t xml:space="preserve"> of the valuation roll, the heading is described as “Public Benefit </w:t>
      </w:r>
      <w:r w:rsidR="00446430" w:rsidRPr="00B54964">
        <w:rPr>
          <w:rFonts w:ascii="Arial" w:hAnsi="Arial" w:cs="Arial"/>
        </w:rPr>
        <w:t>Organisation (</w:t>
      </w:r>
      <w:r w:rsidR="00DA6C16" w:rsidRPr="00B54964">
        <w:rPr>
          <w:rFonts w:ascii="Arial" w:hAnsi="Arial" w:cs="Arial"/>
        </w:rPr>
        <w:t>PBO’s</w:t>
      </w:r>
      <w:r w:rsidR="00446430" w:rsidRPr="00B54964">
        <w:rPr>
          <w:rFonts w:ascii="Arial" w:hAnsi="Arial" w:cs="Arial"/>
        </w:rPr>
        <w:t>)</w:t>
      </w:r>
      <w:r w:rsidR="00DA6C16" w:rsidRPr="00B54964">
        <w:rPr>
          <w:rFonts w:ascii="Arial" w:hAnsi="Arial" w:cs="Arial"/>
        </w:rPr>
        <w:t>,</w:t>
      </w:r>
      <w:r w:rsidR="009E577F" w:rsidRPr="009E577F">
        <w:rPr>
          <w:rStyle w:val="FootnoteReference"/>
          <w:rFonts w:ascii="Arial" w:hAnsi="Arial" w:cs="Arial"/>
        </w:rPr>
        <w:t xml:space="preserve"> </w:t>
      </w:r>
      <w:r w:rsidR="009E577F" w:rsidRPr="00B54964">
        <w:rPr>
          <w:rStyle w:val="FootnoteReference"/>
          <w:rFonts w:ascii="Arial" w:hAnsi="Arial" w:cs="Arial"/>
        </w:rPr>
        <w:footnoteReference w:id="59"/>
      </w:r>
      <w:r w:rsidR="00446430">
        <w:rPr>
          <w:rFonts w:ascii="Arial" w:hAnsi="Arial" w:cs="Arial"/>
        </w:rPr>
        <w:t xml:space="preserve"> and in paragraph 11.7, </w:t>
      </w:r>
      <w:r w:rsidR="00DA6C16">
        <w:rPr>
          <w:rFonts w:ascii="Arial" w:hAnsi="Arial" w:cs="Arial"/>
        </w:rPr>
        <w:t xml:space="preserve"> it is stated that the University of the Free State as well as the Central University of Technology will be levied on a business tariff.  </w:t>
      </w:r>
    </w:p>
    <w:p w14:paraId="20CF824D" w14:textId="77777777" w:rsidR="00DA6C16" w:rsidRDefault="00DA6C16" w:rsidP="00DA6C16">
      <w:pPr>
        <w:spacing w:before="240" w:after="240" w:line="360" w:lineRule="auto"/>
        <w:jc w:val="both"/>
        <w:rPr>
          <w:rFonts w:ascii="Arial" w:hAnsi="Arial" w:cs="Arial"/>
          <w:i/>
          <w:u w:val="single"/>
        </w:rPr>
      </w:pPr>
      <w:r>
        <w:rPr>
          <w:rFonts w:ascii="Arial" w:hAnsi="Arial" w:cs="Arial"/>
          <w:i/>
          <w:u w:val="single"/>
        </w:rPr>
        <w:t xml:space="preserve">Ad Prayer 1.2 </w:t>
      </w:r>
    </w:p>
    <w:p w14:paraId="53C67B92" w14:textId="77777777" w:rsidR="006F368B" w:rsidRDefault="00DA6C16" w:rsidP="00112DAF">
      <w:pPr>
        <w:spacing w:before="240" w:after="240" w:line="360" w:lineRule="auto"/>
        <w:ind w:left="720" w:hanging="720"/>
        <w:jc w:val="both"/>
        <w:rPr>
          <w:rFonts w:ascii="Arial" w:hAnsi="Arial" w:cs="Arial"/>
        </w:rPr>
      </w:pPr>
      <w:r>
        <w:rPr>
          <w:rFonts w:ascii="Arial" w:hAnsi="Arial" w:cs="Arial"/>
        </w:rPr>
        <w:t>[</w:t>
      </w:r>
      <w:r w:rsidR="00EC0ED8">
        <w:rPr>
          <w:rFonts w:ascii="Arial" w:hAnsi="Arial" w:cs="Arial"/>
        </w:rPr>
        <w:t>40</w:t>
      </w:r>
      <w:r w:rsidR="00815908">
        <w:rPr>
          <w:rFonts w:ascii="Arial" w:hAnsi="Arial" w:cs="Arial"/>
        </w:rPr>
        <w:t>]</w:t>
      </w:r>
      <w:r w:rsidR="00815908">
        <w:rPr>
          <w:rFonts w:ascii="Arial" w:hAnsi="Arial" w:cs="Arial"/>
        </w:rPr>
        <w:tab/>
        <w:t xml:space="preserve">The respondents stated that the business </w:t>
      </w:r>
      <w:r w:rsidR="00B9315B">
        <w:rPr>
          <w:rFonts w:ascii="Arial" w:hAnsi="Arial" w:cs="Arial"/>
        </w:rPr>
        <w:t>r</w:t>
      </w:r>
      <w:r w:rsidR="00815908">
        <w:rPr>
          <w:rFonts w:ascii="Arial" w:hAnsi="Arial" w:cs="Arial"/>
        </w:rPr>
        <w:t xml:space="preserve">ate applicable </w:t>
      </w:r>
      <w:r w:rsidR="00183AFE">
        <w:rPr>
          <w:rFonts w:ascii="Arial" w:hAnsi="Arial" w:cs="Arial"/>
        </w:rPr>
        <w:t>t</w:t>
      </w:r>
      <w:r w:rsidR="00815908">
        <w:rPr>
          <w:rFonts w:ascii="Arial" w:hAnsi="Arial" w:cs="Arial"/>
        </w:rPr>
        <w:t>o the applicant’s 22 properties was categorised in accordance with the three criteri</w:t>
      </w:r>
      <w:r w:rsidR="00183AFE">
        <w:rPr>
          <w:rFonts w:ascii="Arial" w:hAnsi="Arial" w:cs="Arial"/>
        </w:rPr>
        <w:t>a in section 8(1)</w:t>
      </w:r>
      <w:r w:rsidR="00620004">
        <w:rPr>
          <w:rFonts w:ascii="Arial" w:hAnsi="Arial" w:cs="Arial"/>
        </w:rPr>
        <w:t xml:space="preserve"> which</w:t>
      </w:r>
      <w:r w:rsidR="00183AFE">
        <w:rPr>
          <w:rFonts w:ascii="Arial" w:hAnsi="Arial" w:cs="Arial"/>
        </w:rPr>
        <w:t xml:space="preserve"> authorised the discretionary determination of</w:t>
      </w:r>
      <w:r w:rsidR="00815908">
        <w:rPr>
          <w:rFonts w:ascii="Arial" w:hAnsi="Arial" w:cs="Arial"/>
        </w:rPr>
        <w:t xml:space="preserve"> c</w:t>
      </w:r>
      <w:r w:rsidR="00620004">
        <w:rPr>
          <w:rFonts w:ascii="Arial" w:hAnsi="Arial" w:cs="Arial"/>
        </w:rPr>
        <w:t xml:space="preserve">ategories of rateable </w:t>
      </w:r>
      <w:r w:rsidR="00620004">
        <w:rPr>
          <w:rFonts w:ascii="Arial" w:hAnsi="Arial" w:cs="Arial"/>
        </w:rPr>
        <w:lastRenderedPageBreak/>
        <w:t>property</w:t>
      </w:r>
      <w:r w:rsidR="00815908">
        <w:rPr>
          <w:rFonts w:ascii="Arial" w:hAnsi="Arial" w:cs="Arial"/>
        </w:rPr>
        <w:t xml:space="preserve"> contained in section 8(2) and permissible in accor</w:t>
      </w:r>
      <w:r w:rsidR="00620004">
        <w:rPr>
          <w:rFonts w:ascii="Arial" w:hAnsi="Arial" w:cs="Arial"/>
        </w:rPr>
        <w:t>dance with</w:t>
      </w:r>
      <w:r w:rsidR="00815908">
        <w:rPr>
          <w:rFonts w:ascii="Arial" w:hAnsi="Arial" w:cs="Arial"/>
        </w:rPr>
        <w:t xml:space="preserve"> section 19(1). These 22 properties were categorised as business and Erf 26454 was one of them.</w:t>
      </w:r>
      <w:r w:rsidR="00815908">
        <w:rPr>
          <w:rStyle w:val="FootnoteReference"/>
          <w:rFonts w:ascii="Arial" w:hAnsi="Arial" w:cs="Arial"/>
        </w:rPr>
        <w:footnoteReference w:id="60"/>
      </w:r>
      <w:r w:rsidR="00815908">
        <w:rPr>
          <w:rFonts w:ascii="Arial" w:hAnsi="Arial" w:cs="Arial"/>
        </w:rPr>
        <w:t xml:space="preserve"> The properties could as well have</w:t>
      </w:r>
      <w:r w:rsidR="00620004">
        <w:rPr>
          <w:rFonts w:ascii="Arial" w:hAnsi="Arial" w:cs="Arial"/>
        </w:rPr>
        <w:t xml:space="preserve"> </w:t>
      </w:r>
      <w:r w:rsidR="00815908">
        <w:rPr>
          <w:rFonts w:ascii="Arial" w:hAnsi="Arial" w:cs="Arial"/>
        </w:rPr>
        <w:t xml:space="preserve">been categorised </w:t>
      </w:r>
      <w:r w:rsidR="00620004">
        <w:rPr>
          <w:rFonts w:ascii="Arial" w:hAnsi="Arial" w:cs="Arial"/>
        </w:rPr>
        <w:t xml:space="preserve">as </w:t>
      </w:r>
      <w:r w:rsidR="00815908">
        <w:rPr>
          <w:rFonts w:ascii="Arial" w:hAnsi="Arial" w:cs="Arial"/>
        </w:rPr>
        <w:t>"</w:t>
      </w:r>
      <w:r w:rsidR="00620004">
        <w:rPr>
          <w:rFonts w:ascii="Arial" w:hAnsi="Arial" w:cs="Arial"/>
        </w:rPr>
        <w:t>state-owned</w:t>
      </w:r>
      <w:r w:rsidR="00815908">
        <w:rPr>
          <w:rFonts w:ascii="Arial" w:hAnsi="Arial" w:cs="Arial"/>
        </w:rPr>
        <w:t xml:space="preserve"> facilities” or “</w:t>
      </w:r>
      <w:r w:rsidR="00620004">
        <w:rPr>
          <w:rFonts w:ascii="Arial" w:hAnsi="Arial" w:cs="Arial"/>
        </w:rPr>
        <w:t>state-owned</w:t>
      </w:r>
      <w:r w:rsidR="00815908">
        <w:rPr>
          <w:rFonts w:ascii="Arial" w:hAnsi="Arial" w:cs="Arial"/>
        </w:rPr>
        <w:t xml:space="preserve"> properties” with no effect upwards or downwards </w:t>
      </w:r>
      <w:r w:rsidR="00620004">
        <w:rPr>
          <w:rFonts w:ascii="Arial" w:hAnsi="Arial" w:cs="Arial"/>
        </w:rPr>
        <w:t>on</w:t>
      </w:r>
      <w:r w:rsidR="00815908">
        <w:rPr>
          <w:rFonts w:ascii="Arial" w:hAnsi="Arial" w:cs="Arial"/>
        </w:rPr>
        <w:t xml:space="preserve"> the payable rates.</w:t>
      </w:r>
      <w:r w:rsidR="00815908">
        <w:rPr>
          <w:rStyle w:val="FootnoteReference"/>
          <w:rFonts w:ascii="Arial" w:hAnsi="Arial" w:cs="Arial"/>
        </w:rPr>
        <w:footnoteReference w:id="61"/>
      </w:r>
      <w:r w:rsidR="00815908">
        <w:rPr>
          <w:rFonts w:ascii="Arial" w:hAnsi="Arial" w:cs="Arial"/>
        </w:rPr>
        <w:t xml:space="preserve"> </w:t>
      </w:r>
    </w:p>
    <w:p w14:paraId="007F6157" w14:textId="7979CC36" w:rsidR="006F368B" w:rsidRDefault="00EC0ED8" w:rsidP="00112DAF">
      <w:pPr>
        <w:spacing w:before="240" w:after="240" w:line="360" w:lineRule="auto"/>
        <w:ind w:left="720" w:hanging="720"/>
        <w:jc w:val="both"/>
        <w:rPr>
          <w:rFonts w:ascii="Arial" w:hAnsi="Arial" w:cs="Arial"/>
        </w:rPr>
      </w:pPr>
      <w:r>
        <w:rPr>
          <w:rFonts w:ascii="Arial" w:hAnsi="Arial" w:cs="Arial"/>
        </w:rPr>
        <w:t>[4</w:t>
      </w:r>
      <w:r w:rsidR="00B01980">
        <w:rPr>
          <w:rFonts w:ascii="Arial" w:hAnsi="Arial" w:cs="Arial"/>
        </w:rPr>
        <w:t>1</w:t>
      </w:r>
      <w:r w:rsidR="006F368B">
        <w:rPr>
          <w:rFonts w:ascii="Arial" w:hAnsi="Arial" w:cs="Arial"/>
        </w:rPr>
        <w:t>]</w:t>
      </w:r>
      <w:r w:rsidR="006F368B">
        <w:rPr>
          <w:rFonts w:ascii="Arial" w:hAnsi="Arial" w:cs="Arial"/>
        </w:rPr>
        <w:tab/>
        <w:t>The applicant accepted in its replying affidavit</w:t>
      </w:r>
      <w:r w:rsidR="006F368B">
        <w:rPr>
          <w:rStyle w:val="FootnoteReference"/>
          <w:rFonts w:ascii="Arial" w:hAnsi="Arial" w:cs="Arial"/>
        </w:rPr>
        <w:footnoteReference w:id="62"/>
      </w:r>
      <w:r w:rsidR="006F368B">
        <w:rPr>
          <w:rFonts w:ascii="Arial" w:hAnsi="Arial" w:cs="Arial"/>
        </w:rPr>
        <w:t xml:space="preserve"> that only 22 of its rateable properties were categorised as business which included Er</w:t>
      </w:r>
      <w:r w:rsidR="00BA0253">
        <w:rPr>
          <w:rFonts w:ascii="Arial" w:hAnsi="Arial" w:cs="Arial"/>
        </w:rPr>
        <w:t xml:space="preserve">f 26454. The </w:t>
      </w:r>
      <w:r w:rsidR="009D4A61">
        <w:rPr>
          <w:rFonts w:ascii="Arial" w:hAnsi="Arial" w:cs="Arial"/>
        </w:rPr>
        <w:t>applicant pointed out</w:t>
      </w:r>
      <w:r w:rsidR="000D3CBE">
        <w:rPr>
          <w:rFonts w:ascii="Arial" w:hAnsi="Arial" w:cs="Arial"/>
        </w:rPr>
        <w:t>, correctly so,</w:t>
      </w:r>
      <w:r w:rsidR="009D4A61">
        <w:rPr>
          <w:rFonts w:ascii="Arial" w:hAnsi="Arial" w:cs="Arial"/>
        </w:rPr>
        <w:t xml:space="preserve"> that </w:t>
      </w:r>
      <w:r w:rsidR="00076FE9">
        <w:rPr>
          <w:rFonts w:ascii="Arial" w:hAnsi="Arial" w:cs="Arial"/>
        </w:rPr>
        <w:t xml:space="preserve">the </w:t>
      </w:r>
      <w:r w:rsidR="00BA0253">
        <w:rPr>
          <w:rFonts w:ascii="Arial" w:hAnsi="Arial" w:cs="Arial"/>
        </w:rPr>
        <w:t>respo</w:t>
      </w:r>
      <w:r w:rsidR="00076FE9">
        <w:rPr>
          <w:rFonts w:ascii="Arial" w:hAnsi="Arial" w:cs="Arial"/>
        </w:rPr>
        <w:t>ndent</w:t>
      </w:r>
      <w:r w:rsidR="00BA0253">
        <w:rPr>
          <w:rFonts w:ascii="Arial" w:hAnsi="Arial" w:cs="Arial"/>
        </w:rPr>
        <w:t>s</w:t>
      </w:r>
      <w:r w:rsidR="00076FE9">
        <w:rPr>
          <w:rFonts w:ascii="Arial" w:hAnsi="Arial" w:cs="Arial"/>
        </w:rPr>
        <w:t>’</w:t>
      </w:r>
      <w:r w:rsidR="00BA0253">
        <w:rPr>
          <w:rFonts w:ascii="Arial" w:hAnsi="Arial" w:cs="Arial"/>
        </w:rPr>
        <w:t xml:space="preserve"> candi</w:t>
      </w:r>
      <w:r w:rsidR="006F368B">
        <w:rPr>
          <w:rFonts w:ascii="Arial" w:hAnsi="Arial" w:cs="Arial"/>
        </w:rPr>
        <w:t>d acknowledgement that the properties of the applicant could also be categorised as “</w:t>
      </w:r>
      <w:r w:rsidR="009D4A61">
        <w:rPr>
          <w:rFonts w:ascii="Arial" w:hAnsi="Arial" w:cs="Arial"/>
        </w:rPr>
        <w:t>state-owned</w:t>
      </w:r>
      <w:r w:rsidR="006F368B">
        <w:rPr>
          <w:rFonts w:ascii="Arial" w:hAnsi="Arial" w:cs="Arial"/>
        </w:rPr>
        <w:t xml:space="preserve"> facilities” is an admission of irrational and</w:t>
      </w:r>
      <w:r w:rsidR="00A92D97">
        <w:rPr>
          <w:rFonts w:ascii="Arial" w:hAnsi="Arial" w:cs="Arial"/>
        </w:rPr>
        <w:t>/</w:t>
      </w:r>
      <w:r w:rsidR="006F368B">
        <w:rPr>
          <w:rFonts w:ascii="Arial" w:hAnsi="Arial" w:cs="Arial"/>
        </w:rPr>
        <w:t xml:space="preserve"> or illegal categorisation of the applicant’s 22 properties as “business” properties. Business properties are not </w:t>
      </w:r>
      <w:r w:rsidR="009D4A61">
        <w:rPr>
          <w:rFonts w:ascii="Arial" w:hAnsi="Arial" w:cs="Arial"/>
        </w:rPr>
        <w:t>state-owned</w:t>
      </w:r>
      <w:r w:rsidR="006F368B">
        <w:rPr>
          <w:rFonts w:ascii="Arial" w:hAnsi="Arial" w:cs="Arial"/>
        </w:rPr>
        <w:t xml:space="preserve"> properties and to treat the owner of </w:t>
      </w:r>
      <w:r w:rsidR="009D4A61">
        <w:rPr>
          <w:rFonts w:ascii="Arial" w:hAnsi="Arial" w:cs="Arial"/>
        </w:rPr>
        <w:t>state-owned</w:t>
      </w:r>
      <w:r w:rsidR="006F368B">
        <w:rPr>
          <w:rFonts w:ascii="Arial" w:hAnsi="Arial" w:cs="Arial"/>
        </w:rPr>
        <w:t xml:space="preserve"> properties, such as the applicant, similar to business property owners is inequitable and thus in breach of section 3(3)(a) and 19(1)(c) of the MPRA. </w:t>
      </w:r>
      <w:r w:rsidR="009D4A61">
        <w:rPr>
          <w:rFonts w:ascii="Arial" w:hAnsi="Arial" w:cs="Arial"/>
        </w:rPr>
        <w:t>These sections provide</w:t>
      </w:r>
      <w:r w:rsidR="006F368B">
        <w:rPr>
          <w:rFonts w:ascii="Arial" w:hAnsi="Arial" w:cs="Arial"/>
        </w:rPr>
        <w:t xml:space="preserve"> that a rates policy must treat pers</w:t>
      </w:r>
      <w:r w:rsidR="009D4A61">
        <w:rPr>
          <w:rFonts w:ascii="Arial" w:hAnsi="Arial" w:cs="Arial"/>
        </w:rPr>
        <w:t xml:space="preserve">ons liable for rates equitably and </w:t>
      </w:r>
      <w:r w:rsidR="006F368B">
        <w:rPr>
          <w:rFonts w:ascii="Arial" w:hAnsi="Arial" w:cs="Arial"/>
        </w:rPr>
        <w:t>that a municipality may not levy the rates which unreasonably discriminate between categories of non-re</w:t>
      </w:r>
      <w:r w:rsidR="009D4A61">
        <w:rPr>
          <w:rFonts w:ascii="Arial" w:hAnsi="Arial" w:cs="Arial"/>
        </w:rPr>
        <w:t xml:space="preserve">sidential properties. </w:t>
      </w:r>
    </w:p>
    <w:p w14:paraId="31C5FD28" w14:textId="77777777" w:rsidR="00B8694F" w:rsidRDefault="00B8694F" w:rsidP="00815908">
      <w:pPr>
        <w:spacing w:before="240" w:after="240" w:line="360" w:lineRule="auto"/>
        <w:ind w:left="567" w:hanging="567"/>
        <w:jc w:val="both"/>
        <w:rPr>
          <w:rFonts w:ascii="Arial" w:hAnsi="Arial" w:cs="Arial"/>
          <w:i/>
          <w:u w:val="single"/>
        </w:rPr>
      </w:pPr>
      <w:r>
        <w:rPr>
          <w:rFonts w:ascii="Arial" w:hAnsi="Arial" w:cs="Arial"/>
          <w:i/>
          <w:u w:val="single"/>
        </w:rPr>
        <w:t>Ad Paragraph 1.3</w:t>
      </w:r>
      <w:r w:rsidR="00FD56CD">
        <w:rPr>
          <w:rFonts w:ascii="Arial" w:hAnsi="Arial" w:cs="Arial"/>
          <w:i/>
          <w:u w:val="single"/>
        </w:rPr>
        <w:t>, 1.4 and 2</w:t>
      </w:r>
    </w:p>
    <w:p w14:paraId="138DA401" w14:textId="0FF639A6" w:rsidR="008523C2" w:rsidRDefault="00EC0ED8" w:rsidP="00112DAF">
      <w:pPr>
        <w:spacing w:before="240" w:after="240" w:line="360" w:lineRule="auto"/>
        <w:ind w:left="720" w:hanging="720"/>
        <w:jc w:val="both"/>
        <w:rPr>
          <w:rFonts w:ascii="Arial" w:hAnsi="Arial" w:cs="Arial"/>
        </w:rPr>
      </w:pPr>
      <w:r>
        <w:rPr>
          <w:rFonts w:ascii="Arial" w:hAnsi="Arial" w:cs="Arial"/>
        </w:rPr>
        <w:t>[4</w:t>
      </w:r>
      <w:r w:rsidR="00B01980">
        <w:rPr>
          <w:rFonts w:ascii="Arial" w:hAnsi="Arial" w:cs="Arial"/>
        </w:rPr>
        <w:t>2</w:t>
      </w:r>
      <w:r w:rsidR="00B8694F">
        <w:rPr>
          <w:rFonts w:ascii="Arial" w:hAnsi="Arial" w:cs="Arial"/>
        </w:rPr>
        <w:t>]</w:t>
      </w:r>
      <w:r w:rsidR="00B8694F">
        <w:rPr>
          <w:rFonts w:ascii="Arial" w:hAnsi="Arial" w:cs="Arial"/>
        </w:rPr>
        <w:tab/>
      </w:r>
      <w:r w:rsidR="008523C2">
        <w:rPr>
          <w:rFonts w:ascii="Arial" w:hAnsi="Arial" w:cs="Arial"/>
        </w:rPr>
        <w:t>It is common cause that the first respondent determined only five categories of assessment which</w:t>
      </w:r>
      <w:r w:rsidR="008F4A75">
        <w:rPr>
          <w:rFonts w:ascii="Arial" w:hAnsi="Arial" w:cs="Arial"/>
        </w:rPr>
        <w:t xml:space="preserve"> recorded the cent amount in the rand and eighteen categories of rateable properties</w:t>
      </w:r>
      <w:r w:rsidR="008523C2">
        <w:rPr>
          <w:rFonts w:ascii="Arial" w:hAnsi="Arial" w:cs="Arial"/>
        </w:rPr>
        <w:t xml:space="preserve"> in its 2017/2018 property rates policy</w:t>
      </w:r>
      <w:r w:rsidR="008F4A75">
        <w:rPr>
          <w:rFonts w:ascii="Arial" w:hAnsi="Arial" w:cs="Arial"/>
        </w:rPr>
        <w:t>.</w:t>
      </w:r>
      <w:r w:rsidR="00273A81">
        <w:rPr>
          <w:rFonts w:ascii="Arial" w:hAnsi="Arial" w:cs="Arial"/>
        </w:rPr>
        <w:t xml:space="preserve"> Eight categories of assessment rates and nineteen categories of rateable categories for the 2018/2019 property rates policy. Nineteen categories of rateable property were determined </w:t>
      </w:r>
      <w:r w:rsidR="00E1037F">
        <w:rPr>
          <w:rFonts w:ascii="Arial" w:hAnsi="Arial" w:cs="Arial"/>
        </w:rPr>
        <w:t xml:space="preserve">and different categories of assessment rates </w:t>
      </w:r>
      <w:r w:rsidR="00E1037F" w:rsidRPr="00E1037F">
        <w:rPr>
          <w:rFonts w:ascii="Arial" w:hAnsi="Arial" w:cs="Arial"/>
        </w:rPr>
        <w:t>for the 2019/2020 property rates policy</w:t>
      </w:r>
      <w:r w:rsidR="00273A81">
        <w:rPr>
          <w:rFonts w:ascii="Arial" w:hAnsi="Arial" w:cs="Arial"/>
        </w:rPr>
        <w:t>.</w:t>
      </w:r>
      <w:r w:rsidR="004C4C0D">
        <w:rPr>
          <w:rStyle w:val="FootnoteReference"/>
          <w:rFonts w:ascii="Arial" w:hAnsi="Arial" w:cs="Arial"/>
        </w:rPr>
        <w:footnoteReference w:id="63"/>
      </w:r>
      <w:r w:rsidR="008523C2">
        <w:rPr>
          <w:rFonts w:ascii="Arial" w:hAnsi="Arial" w:cs="Arial"/>
        </w:rPr>
        <w:t xml:space="preserve"> </w:t>
      </w:r>
      <w:r w:rsidR="00930363">
        <w:rPr>
          <w:rFonts w:ascii="Arial" w:hAnsi="Arial" w:cs="Arial"/>
        </w:rPr>
        <w:t xml:space="preserve">However, the respondents denied that its </w:t>
      </w:r>
      <w:r w:rsidR="00930363">
        <w:rPr>
          <w:rFonts w:ascii="Arial" w:hAnsi="Arial" w:cs="Arial"/>
        </w:rPr>
        <w:lastRenderedPageBreak/>
        <w:t>property rates policies failed to comply with the applicable statutory provisions.</w:t>
      </w:r>
      <w:r w:rsidR="00930363">
        <w:rPr>
          <w:rStyle w:val="FootnoteReference"/>
          <w:rFonts w:ascii="Arial" w:hAnsi="Arial" w:cs="Arial"/>
        </w:rPr>
        <w:footnoteReference w:id="64"/>
      </w:r>
    </w:p>
    <w:p w14:paraId="3BD96962" w14:textId="627858EC" w:rsidR="001D5D6E" w:rsidRDefault="00DB4C69" w:rsidP="00112DAF">
      <w:pPr>
        <w:spacing w:before="240" w:after="240" w:line="360" w:lineRule="auto"/>
        <w:ind w:left="720" w:hanging="720"/>
        <w:jc w:val="both"/>
        <w:rPr>
          <w:rFonts w:ascii="Arial" w:hAnsi="Arial" w:cs="Arial"/>
        </w:rPr>
      </w:pPr>
      <w:r>
        <w:rPr>
          <w:rFonts w:ascii="Arial" w:hAnsi="Arial" w:cs="Arial"/>
        </w:rPr>
        <w:t>[</w:t>
      </w:r>
      <w:r w:rsidR="00EC0ED8">
        <w:rPr>
          <w:rFonts w:ascii="Arial" w:hAnsi="Arial" w:cs="Arial"/>
        </w:rPr>
        <w:t>4</w:t>
      </w:r>
      <w:r w:rsidR="00B01980">
        <w:rPr>
          <w:rFonts w:ascii="Arial" w:hAnsi="Arial" w:cs="Arial"/>
        </w:rPr>
        <w:t>3</w:t>
      </w:r>
      <w:r>
        <w:rPr>
          <w:rFonts w:ascii="Arial" w:hAnsi="Arial" w:cs="Arial"/>
        </w:rPr>
        <w:t xml:space="preserve">] </w:t>
      </w:r>
      <w:r w:rsidR="00F26829">
        <w:rPr>
          <w:rFonts w:ascii="Arial" w:hAnsi="Arial" w:cs="Arial"/>
        </w:rPr>
        <w:tab/>
      </w:r>
      <w:r w:rsidR="00B8694F">
        <w:rPr>
          <w:rFonts w:ascii="Arial" w:hAnsi="Arial" w:cs="Arial"/>
        </w:rPr>
        <w:t>The respondents</w:t>
      </w:r>
      <w:r>
        <w:rPr>
          <w:rFonts w:ascii="Arial" w:hAnsi="Arial" w:cs="Arial"/>
        </w:rPr>
        <w:t>’ resistance appears to be ensconced in their understanding of the provisions of section 8 of the MPRA</w:t>
      </w:r>
      <w:r>
        <w:rPr>
          <w:rStyle w:val="FootnoteReference"/>
          <w:rFonts w:ascii="Arial" w:hAnsi="Arial" w:cs="Arial"/>
        </w:rPr>
        <w:footnoteReference w:id="65"/>
      </w:r>
      <w:r>
        <w:rPr>
          <w:rFonts w:ascii="Arial" w:hAnsi="Arial" w:cs="Arial"/>
        </w:rPr>
        <w:t xml:space="preserve"> and which, as the applicant correctly pointed out, were outdated and did not reflect the correct legal position.</w:t>
      </w:r>
      <w:r w:rsidR="001A764A">
        <w:rPr>
          <w:rStyle w:val="FootnoteReference"/>
          <w:rFonts w:ascii="Arial" w:hAnsi="Arial" w:cs="Arial"/>
        </w:rPr>
        <w:footnoteReference w:id="66"/>
      </w:r>
      <w:r w:rsidR="00B8694F">
        <w:rPr>
          <w:rFonts w:ascii="Arial" w:hAnsi="Arial" w:cs="Arial"/>
        </w:rPr>
        <w:t xml:space="preserve"> </w:t>
      </w:r>
      <w:r w:rsidR="001D5D6E">
        <w:rPr>
          <w:rFonts w:ascii="Arial" w:hAnsi="Arial" w:cs="Arial"/>
        </w:rPr>
        <w:t>The decisions to determine as criteria</w:t>
      </w:r>
      <w:r w:rsidR="00F26829">
        <w:rPr>
          <w:rFonts w:ascii="Arial" w:hAnsi="Arial" w:cs="Arial"/>
        </w:rPr>
        <w:t xml:space="preserve"> </w:t>
      </w:r>
      <w:r w:rsidR="001D5D6E">
        <w:rPr>
          <w:rFonts w:ascii="Arial" w:hAnsi="Arial" w:cs="Arial"/>
        </w:rPr>
        <w:t>10.1(b) and 11.1(b) of the 2017/2018 and 2018/2019, 2019/2020 property rates policies was</w:t>
      </w:r>
      <w:r w:rsidR="00DA0D1A">
        <w:rPr>
          <w:rFonts w:ascii="Arial" w:hAnsi="Arial" w:cs="Arial"/>
        </w:rPr>
        <w:t>, according to the respondents,</w:t>
      </w:r>
      <w:r w:rsidR="001D5D6E">
        <w:rPr>
          <w:rFonts w:ascii="Arial" w:hAnsi="Arial" w:cs="Arial"/>
        </w:rPr>
        <w:t xml:space="preserve"> in accordance with</w:t>
      </w:r>
      <w:r w:rsidR="002148F2">
        <w:rPr>
          <w:rFonts w:ascii="Arial" w:hAnsi="Arial" w:cs="Arial"/>
        </w:rPr>
        <w:t xml:space="preserve"> and based on section 152(1) of the C</w:t>
      </w:r>
      <w:r w:rsidR="001D5D6E">
        <w:rPr>
          <w:rFonts w:ascii="Arial" w:hAnsi="Arial" w:cs="Arial"/>
        </w:rPr>
        <w:t>onstitution</w:t>
      </w:r>
      <w:r w:rsidR="002148F2">
        <w:rPr>
          <w:rFonts w:ascii="Arial" w:hAnsi="Arial" w:cs="Arial"/>
        </w:rPr>
        <w:t xml:space="preserve"> and its requirements.</w:t>
      </w:r>
      <w:r w:rsidR="002148F2">
        <w:rPr>
          <w:rStyle w:val="FootnoteReference"/>
          <w:rFonts w:ascii="Arial" w:hAnsi="Arial" w:cs="Arial"/>
        </w:rPr>
        <w:footnoteReference w:id="67"/>
      </w:r>
      <w:r w:rsidR="001D5D6E">
        <w:rPr>
          <w:rFonts w:ascii="Arial" w:hAnsi="Arial" w:cs="Arial"/>
        </w:rPr>
        <w:t xml:space="preserve"> </w:t>
      </w:r>
    </w:p>
    <w:p w14:paraId="1EAC9A79" w14:textId="77F7CD08" w:rsidR="00DD646F" w:rsidRDefault="001D5D6E" w:rsidP="00112DAF">
      <w:pPr>
        <w:spacing w:before="240" w:after="240" w:line="360" w:lineRule="auto"/>
        <w:ind w:left="720" w:hanging="720"/>
        <w:jc w:val="both"/>
        <w:rPr>
          <w:rFonts w:ascii="Arial" w:hAnsi="Arial" w:cs="Arial"/>
        </w:rPr>
      </w:pPr>
      <w:r>
        <w:rPr>
          <w:rFonts w:ascii="Arial" w:hAnsi="Arial" w:cs="Arial"/>
        </w:rPr>
        <w:t xml:space="preserve"> </w:t>
      </w:r>
      <w:r w:rsidR="00EC0ED8">
        <w:rPr>
          <w:rFonts w:ascii="Arial" w:hAnsi="Arial" w:cs="Arial"/>
        </w:rPr>
        <w:t>[4</w:t>
      </w:r>
      <w:r w:rsidR="00B01980">
        <w:rPr>
          <w:rFonts w:ascii="Arial" w:hAnsi="Arial" w:cs="Arial"/>
        </w:rPr>
        <w:t>4</w:t>
      </w:r>
      <w:r w:rsidR="00B8694F">
        <w:rPr>
          <w:rFonts w:ascii="Arial" w:hAnsi="Arial" w:cs="Arial"/>
        </w:rPr>
        <w:t>]</w:t>
      </w:r>
      <w:r w:rsidR="00B8694F">
        <w:rPr>
          <w:rFonts w:ascii="Arial" w:hAnsi="Arial" w:cs="Arial"/>
        </w:rPr>
        <w:tab/>
        <w:t>The applicant</w:t>
      </w:r>
      <w:r w:rsidR="00501DFE">
        <w:rPr>
          <w:rFonts w:ascii="Arial" w:hAnsi="Arial" w:cs="Arial"/>
        </w:rPr>
        <w:t>’s</w:t>
      </w:r>
      <w:r w:rsidR="006D0B19">
        <w:rPr>
          <w:rFonts w:ascii="Arial" w:hAnsi="Arial" w:cs="Arial"/>
        </w:rPr>
        <w:t xml:space="preserve"> response was that the application</w:t>
      </w:r>
      <w:r w:rsidR="00B8694F">
        <w:rPr>
          <w:rFonts w:ascii="Arial" w:hAnsi="Arial" w:cs="Arial"/>
        </w:rPr>
        <w:t xml:space="preserve"> of the same rate for </w:t>
      </w:r>
      <w:r w:rsidR="00940A0A">
        <w:rPr>
          <w:rFonts w:ascii="Arial" w:hAnsi="Arial" w:cs="Arial"/>
        </w:rPr>
        <w:t>state-owned</w:t>
      </w:r>
      <w:r w:rsidR="00B8694F">
        <w:rPr>
          <w:rFonts w:ascii="Arial" w:hAnsi="Arial" w:cs="Arial"/>
        </w:rPr>
        <w:t xml:space="preserve"> facilities and business properties in circumstances </w:t>
      </w:r>
      <w:r w:rsidR="00940A0A">
        <w:rPr>
          <w:rFonts w:ascii="Arial" w:hAnsi="Arial" w:cs="Arial"/>
        </w:rPr>
        <w:t>where</w:t>
      </w:r>
      <w:r w:rsidR="00B8694F">
        <w:rPr>
          <w:rFonts w:ascii="Arial" w:hAnsi="Arial" w:cs="Arial"/>
        </w:rPr>
        <w:t xml:space="preserve"> the owners </w:t>
      </w:r>
      <w:r w:rsidR="00940A0A">
        <w:rPr>
          <w:rFonts w:ascii="Arial" w:hAnsi="Arial" w:cs="Arial"/>
        </w:rPr>
        <w:t xml:space="preserve">of </w:t>
      </w:r>
      <w:r w:rsidR="00B8694F">
        <w:rPr>
          <w:rFonts w:ascii="Arial" w:hAnsi="Arial" w:cs="Arial"/>
        </w:rPr>
        <w:t>such properties are not similarly situated</w:t>
      </w:r>
      <w:r w:rsidR="00843C87">
        <w:rPr>
          <w:rFonts w:ascii="Arial" w:hAnsi="Arial" w:cs="Arial"/>
        </w:rPr>
        <w:t>,</w:t>
      </w:r>
      <w:r w:rsidR="00B8694F">
        <w:rPr>
          <w:rFonts w:ascii="Arial" w:hAnsi="Arial" w:cs="Arial"/>
        </w:rPr>
        <w:t xml:space="preserve"> led to </w:t>
      </w:r>
      <w:r w:rsidR="00843C87">
        <w:rPr>
          <w:rFonts w:ascii="Arial" w:hAnsi="Arial" w:cs="Arial"/>
        </w:rPr>
        <w:t xml:space="preserve">the </w:t>
      </w:r>
      <w:r w:rsidR="00B8694F">
        <w:rPr>
          <w:rFonts w:ascii="Arial" w:hAnsi="Arial" w:cs="Arial"/>
        </w:rPr>
        <w:t xml:space="preserve">unreasonable discrimination between these categories of non-residential properties and treated the owners of </w:t>
      </w:r>
      <w:r w:rsidR="00940A0A">
        <w:rPr>
          <w:rFonts w:ascii="Arial" w:hAnsi="Arial" w:cs="Arial"/>
        </w:rPr>
        <w:t>state-owned</w:t>
      </w:r>
      <w:r w:rsidR="00B8694F">
        <w:rPr>
          <w:rFonts w:ascii="Arial" w:hAnsi="Arial" w:cs="Arial"/>
        </w:rPr>
        <w:t xml:space="preserve"> properties</w:t>
      </w:r>
      <w:r w:rsidR="00843C87">
        <w:rPr>
          <w:rFonts w:ascii="Arial" w:hAnsi="Arial" w:cs="Arial"/>
        </w:rPr>
        <w:t>,</w:t>
      </w:r>
      <w:r w:rsidR="00B8694F">
        <w:rPr>
          <w:rFonts w:ascii="Arial" w:hAnsi="Arial" w:cs="Arial"/>
        </w:rPr>
        <w:t xml:space="preserve"> who render </w:t>
      </w:r>
      <w:r w:rsidR="007512F2">
        <w:rPr>
          <w:rFonts w:ascii="Arial" w:hAnsi="Arial" w:cs="Arial"/>
        </w:rPr>
        <w:t>the public service</w:t>
      </w:r>
      <w:r w:rsidR="00843C87">
        <w:rPr>
          <w:rFonts w:ascii="Arial" w:hAnsi="Arial" w:cs="Arial"/>
        </w:rPr>
        <w:t>,</w:t>
      </w:r>
      <w:r w:rsidR="007512F2">
        <w:rPr>
          <w:rFonts w:ascii="Arial" w:hAnsi="Arial" w:cs="Arial"/>
        </w:rPr>
        <w:t xml:space="preserve"> inequitable if</w:t>
      </w:r>
      <w:r w:rsidR="00501DFE">
        <w:rPr>
          <w:rFonts w:ascii="Arial" w:hAnsi="Arial" w:cs="Arial"/>
        </w:rPr>
        <w:t xml:space="preserve"> compared with business owners.</w:t>
      </w:r>
      <w:r w:rsidR="007512F2">
        <w:rPr>
          <w:rStyle w:val="FootnoteReference"/>
          <w:rFonts w:ascii="Arial" w:hAnsi="Arial" w:cs="Arial"/>
        </w:rPr>
        <w:footnoteReference w:id="68"/>
      </w:r>
      <w:r w:rsidR="000B0980">
        <w:rPr>
          <w:rFonts w:ascii="Arial" w:hAnsi="Arial" w:cs="Arial"/>
        </w:rPr>
        <w:t xml:space="preserve"> The alleged criteria determined by the first respondent in paragraph 10.1 of its 2017/2018 rates policy were repeated in its ensuing rates policies for the 2018/2019 and 2019/2020 financial years</w:t>
      </w:r>
      <w:r w:rsidR="00AA5BD6">
        <w:rPr>
          <w:rFonts w:ascii="Arial" w:hAnsi="Arial" w:cs="Arial"/>
        </w:rPr>
        <w:t xml:space="preserve"> and</w:t>
      </w:r>
      <w:r w:rsidR="00AA5BD6" w:rsidRPr="00AA5BD6">
        <w:t xml:space="preserve"> </w:t>
      </w:r>
      <w:r w:rsidR="00AA5BD6">
        <w:rPr>
          <w:rFonts w:ascii="Arial" w:hAnsi="Arial" w:cs="Arial"/>
        </w:rPr>
        <w:t>t</w:t>
      </w:r>
      <w:r w:rsidR="00AA5BD6" w:rsidRPr="00AA5BD6">
        <w:rPr>
          <w:rFonts w:ascii="Arial" w:hAnsi="Arial" w:cs="Arial"/>
        </w:rPr>
        <w:t xml:space="preserve">hese provisions are but </w:t>
      </w:r>
      <w:r w:rsidR="00AA5BD6">
        <w:rPr>
          <w:rFonts w:ascii="Arial" w:hAnsi="Arial" w:cs="Arial"/>
        </w:rPr>
        <w:t>goals and not criteria</w:t>
      </w:r>
      <w:r w:rsidR="000B0980">
        <w:rPr>
          <w:rFonts w:ascii="Arial" w:hAnsi="Arial" w:cs="Arial"/>
        </w:rPr>
        <w:t>.</w:t>
      </w:r>
      <w:r w:rsidR="000B0980">
        <w:rPr>
          <w:rStyle w:val="FootnoteReference"/>
          <w:rFonts w:ascii="Arial" w:hAnsi="Arial" w:cs="Arial"/>
        </w:rPr>
        <w:footnoteReference w:id="69"/>
      </w:r>
      <w:r w:rsidR="00AA5BD6">
        <w:rPr>
          <w:rFonts w:ascii="Arial" w:hAnsi="Arial" w:cs="Arial"/>
        </w:rPr>
        <w:t xml:space="preserve"> I agree. Paragraphs 10.1(b) and 11.1(b) appear to be a rehash of section 3(3)(i) of the MPRA which reads: “</w:t>
      </w:r>
      <w:r w:rsidR="00AA5BD6" w:rsidRPr="00AA5BD6">
        <w:rPr>
          <w:rFonts w:ascii="Arial" w:hAnsi="Arial" w:cs="Arial"/>
          <w:i/>
        </w:rPr>
        <w:t xml:space="preserve">allow the municipality to promote local, </w:t>
      </w:r>
      <w:r w:rsidR="0041448F">
        <w:rPr>
          <w:rFonts w:ascii="Arial" w:hAnsi="Arial" w:cs="Arial"/>
          <w:i/>
        </w:rPr>
        <w:t>social and economic development.</w:t>
      </w:r>
      <w:r w:rsidR="00AA5BD6">
        <w:rPr>
          <w:rFonts w:ascii="Arial" w:hAnsi="Arial" w:cs="Arial"/>
          <w:i/>
        </w:rPr>
        <w:t>”</w:t>
      </w:r>
      <w:r w:rsidR="00963238" w:rsidRPr="00BB47B4">
        <w:rPr>
          <w:rFonts w:ascii="Arial" w:hAnsi="Arial" w:cs="Arial"/>
        </w:rPr>
        <w:t xml:space="preserve"> </w:t>
      </w:r>
    </w:p>
    <w:p w14:paraId="5EAEE939" w14:textId="22E53236" w:rsidR="00856727" w:rsidRDefault="00EC0ED8" w:rsidP="00112DAF">
      <w:pPr>
        <w:spacing w:before="240" w:after="240" w:line="360" w:lineRule="auto"/>
        <w:ind w:left="720" w:hanging="720"/>
        <w:jc w:val="both"/>
        <w:rPr>
          <w:rFonts w:ascii="Arial" w:hAnsi="Arial" w:cs="Arial"/>
        </w:rPr>
      </w:pPr>
      <w:r>
        <w:rPr>
          <w:rFonts w:ascii="Arial" w:hAnsi="Arial" w:cs="Arial"/>
        </w:rPr>
        <w:t>[4</w:t>
      </w:r>
      <w:r w:rsidR="00B01980">
        <w:rPr>
          <w:rFonts w:ascii="Arial" w:hAnsi="Arial" w:cs="Arial"/>
        </w:rPr>
        <w:t>5</w:t>
      </w:r>
      <w:r w:rsidR="00DD646F">
        <w:rPr>
          <w:rFonts w:ascii="Arial" w:hAnsi="Arial" w:cs="Arial"/>
        </w:rPr>
        <w:t xml:space="preserve">] </w:t>
      </w:r>
      <w:r>
        <w:rPr>
          <w:rFonts w:ascii="Arial" w:hAnsi="Arial" w:cs="Arial"/>
        </w:rPr>
        <w:tab/>
      </w:r>
      <w:r w:rsidR="00DD646F">
        <w:rPr>
          <w:rFonts w:ascii="Arial" w:hAnsi="Arial" w:cs="Arial"/>
        </w:rPr>
        <w:t>In the circumstances, it is proper to refer the property rates policies to the first respondent for consideration.</w:t>
      </w:r>
    </w:p>
    <w:p w14:paraId="64CB1C46" w14:textId="7621F766" w:rsidR="00112DAF" w:rsidRDefault="00EC0ED8" w:rsidP="00DD7D49">
      <w:pPr>
        <w:spacing w:before="240" w:after="240" w:line="360" w:lineRule="auto"/>
        <w:ind w:left="720" w:hanging="720"/>
        <w:jc w:val="both"/>
        <w:rPr>
          <w:rFonts w:ascii="Arial" w:hAnsi="Arial" w:cs="Arial"/>
          <w:i/>
          <w:u w:val="single"/>
        </w:rPr>
      </w:pPr>
      <w:r>
        <w:rPr>
          <w:rFonts w:ascii="Arial" w:hAnsi="Arial" w:cs="Arial"/>
        </w:rPr>
        <w:t>[4</w:t>
      </w:r>
      <w:r w:rsidR="00B01980">
        <w:rPr>
          <w:rFonts w:ascii="Arial" w:hAnsi="Arial" w:cs="Arial"/>
        </w:rPr>
        <w:t>6</w:t>
      </w:r>
      <w:r w:rsidR="00856727">
        <w:rPr>
          <w:rFonts w:ascii="Arial" w:hAnsi="Arial" w:cs="Arial"/>
        </w:rPr>
        <w:t xml:space="preserve">] </w:t>
      </w:r>
      <w:r>
        <w:rPr>
          <w:rFonts w:ascii="Arial" w:hAnsi="Arial" w:cs="Arial"/>
        </w:rPr>
        <w:tab/>
      </w:r>
      <w:r w:rsidR="005B3E38">
        <w:rPr>
          <w:rFonts w:ascii="Arial" w:hAnsi="Arial" w:cs="Arial"/>
        </w:rPr>
        <w:t>I have already dealt with the supplementary valuation in paragraph 25 above.</w:t>
      </w:r>
    </w:p>
    <w:p w14:paraId="7329A2B6" w14:textId="56F73578" w:rsidR="00462396" w:rsidRPr="005D049C" w:rsidRDefault="005D049C" w:rsidP="005D049C">
      <w:pPr>
        <w:spacing w:before="240" w:after="240" w:line="360" w:lineRule="auto"/>
        <w:jc w:val="both"/>
        <w:rPr>
          <w:rFonts w:ascii="Arial" w:hAnsi="Arial" w:cs="Arial"/>
          <w:i/>
          <w:u w:val="single"/>
        </w:rPr>
      </w:pPr>
      <w:r w:rsidRPr="005D049C">
        <w:rPr>
          <w:rFonts w:ascii="Arial" w:hAnsi="Arial" w:cs="Arial"/>
          <w:i/>
          <w:u w:val="single"/>
        </w:rPr>
        <w:t>Ad Part 3: Prayers 1,2 and 3</w:t>
      </w:r>
      <w:r w:rsidR="00963238" w:rsidRPr="005D049C">
        <w:rPr>
          <w:rFonts w:ascii="Arial" w:hAnsi="Arial" w:cs="Arial"/>
          <w:i/>
          <w:u w:val="single"/>
        </w:rPr>
        <w:t xml:space="preserve"> </w:t>
      </w:r>
      <w:r w:rsidR="000C1CB7" w:rsidRPr="005D049C">
        <w:rPr>
          <w:rFonts w:ascii="Arial" w:hAnsi="Arial" w:cs="Arial"/>
          <w:i/>
        </w:rPr>
        <w:t xml:space="preserve"> </w:t>
      </w:r>
      <w:r w:rsidR="00C82332" w:rsidRPr="005D049C">
        <w:rPr>
          <w:rFonts w:ascii="Arial" w:hAnsi="Arial" w:cs="Arial"/>
          <w:i/>
        </w:rPr>
        <w:tab/>
      </w:r>
      <w:r w:rsidR="00462396" w:rsidRPr="005D049C">
        <w:rPr>
          <w:rFonts w:ascii="Arial" w:hAnsi="Arial" w:cs="Arial"/>
          <w:i/>
          <w:u w:val="single"/>
        </w:rPr>
        <w:t xml:space="preserve"> </w:t>
      </w:r>
    </w:p>
    <w:p w14:paraId="1F542438" w14:textId="4319B6A8" w:rsidR="005D049C" w:rsidRPr="005D049C" w:rsidRDefault="00EC0ED8" w:rsidP="00112DAF">
      <w:pPr>
        <w:spacing w:before="240" w:after="240" w:line="360" w:lineRule="auto"/>
        <w:ind w:left="720" w:hanging="720"/>
        <w:jc w:val="both"/>
        <w:rPr>
          <w:rFonts w:ascii="Arial" w:hAnsi="Arial" w:cs="Arial"/>
        </w:rPr>
      </w:pPr>
      <w:r>
        <w:rPr>
          <w:rFonts w:ascii="Arial" w:hAnsi="Arial" w:cs="Arial"/>
        </w:rPr>
        <w:lastRenderedPageBreak/>
        <w:t>[4</w:t>
      </w:r>
      <w:r w:rsidR="00B01980">
        <w:rPr>
          <w:rFonts w:ascii="Arial" w:hAnsi="Arial" w:cs="Arial"/>
        </w:rPr>
        <w:t>7</w:t>
      </w:r>
      <w:r w:rsidR="005D049C">
        <w:rPr>
          <w:rFonts w:ascii="Arial" w:hAnsi="Arial" w:cs="Arial"/>
        </w:rPr>
        <w:t xml:space="preserve">] </w:t>
      </w:r>
      <w:r>
        <w:rPr>
          <w:rFonts w:ascii="Arial" w:hAnsi="Arial" w:cs="Arial"/>
        </w:rPr>
        <w:tab/>
      </w:r>
      <w:r w:rsidR="005D049C">
        <w:rPr>
          <w:rFonts w:ascii="Arial" w:hAnsi="Arial" w:cs="Arial"/>
        </w:rPr>
        <w:t>Section 48(2)</w:t>
      </w:r>
      <w:r w:rsidR="007218DA">
        <w:rPr>
          <w:rStyle w:val="FootnoteReference"/>
          <w:rFonts w:ascii="Arial" w:hAnsi="Arial" w:cs="Arial"/>
        </w:rPr>
        <w:footnoteReference w:id="70"/>
      </w:r>
      <w:r w:rsidR="005D049C">
        <w:rPr>
          <w:rFonts w:ascii="Arial" w:hAnsi="Arial" w:cs="Arial"/>
        </w:rPr>
        <w:t xml:space="preserve"> provides that t</w:t>
      </w:r>
      <w:r w:rsidR="005D049C" w:rsidRPr="005D049C">
        <w:rPr>
          <w:rFonts w:ascii="Arial" w:hAnsi="Arial" w:cs="Arial"/>
        </w:rPr>
        <w:t>he valuation roll must reflect the following particulars in respect of each property as at the date of va</w:t>
      </w:r>
      <w:r w:rsidR="007218DA">
        <w:rPr>
          <w:rFonts w:ascii="Arial" w:hAnsi="Arial" w:cs="Arial"/>
        </w:rPr>
        <w:t xml:space="preserve">luation to the extent that such </w:t>
      </w:r>
      <w:r w:rsidR="005D049C" w:rsidRPr="005D049C">
        <w:rPr>
          <w:rFonts w:ascii="Arial" w:hAnsi="Arial" w:cs="Arial"/>
        </w:rPr>
        <w:t>information is reasonably determinable:</w:t>
      </w:r>
    </w:p>
    <w:p w14:paraId="79FE34CF" w14:textId="104DDCD2" w:rsidR="005D049C" w:rsidRP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(a) </w:t>
      </w:r>
      <w:r w:rsidR="00112DAF">
        <w:rPr>
          <w:rFonts w:ascii="Arial" w:hAnsi="Arial" w:cs="Arial"/>
        </w:rPr>
        <w:tab/>
      </w:r>
      <w:r w:rsidRPr="005D049C">
        <w:rPr>
          <w:rFonts w:ascii="Arial" w:hAnsi="Arial" w:cs="Arial"/>
        </w:rPr>
        <w:t>The registered or other description of the property;</w:t>
      </w:r>
    </w:p>
    <w:p w14:paraId="283CD972" w14:textId="161D300B" w:rsidR="005D049C" w:rsidRP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(b) </w:t>
      </w:r>
      <w:r w:rsidR="00112DAF">
        <w:rPr>
          <w:rFonts w:ascii="Arial" w:hAnsi="Arial" w:cs="Arial"/>
        </w:rPr>
        <w:tab/>
      </w:r>
      <w:r w:rsidRPr="005D049C">
        <w:rPr>
          <w:rFonts w:ascii="Arial" w:hAnsi="Arial" w:cs="Arial"/>
        </w:rPr>
        <w:t>the category determined in terms of section 8 in which the property falls;</w:t>
      </w:r>
    </w:p>
    <w:p w14:paraId="416EA1C9" w14:textId="78C8E1F8" w:rsidR="005D049C" w:rsidRP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(c) </w:t>
      </w:r>
      <w:r w:rsidR="00112DAF">
        <w:rPr>
          <w:rFonts w:ascii="Arial" w:hAnsi="Arial" w:cs="Arial"/>
        </w:rPr>
        <w:tab/>
      </w:r>
      <w:r w:rsidRPr="005D049C">
        <w:rPr>
          <w:rFonts w:ascii="Arial" w:hAnsi="Arial" w:cs="Arial"/>
        </w:rPr>
        <w:t>the physical address of the property;</w:t>
      </w:r>
    </w:p>
    <w:p w14:paraId="4C417EC6" w14:textId="4D91EE57" w:rsidR="005D049C" w:rsidRP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(d) </w:t>
      </w:r>
      <w:r w:rsidR="00112DAF">
        <w:rPr>
          <w:rFonts w:ascii="Arial" w:hAnsi="Arial" w:cs="Arial"/>
        </w:rPr>
        <w:tab/>
      </w:r>
      <w:r w:rsidRPr="005D049C">
        <w:rPr>
          <w:rFonts w:ascii="Arial" w:hAnsi="Arial" w:cs="Arial"/>
        </w:rPr>
        <w:t>the extent of the property;</w:t>
      </w:r>
    </w:p>
    <w:p w14:paraId="07A95B35" w14:textId="72715432" w:rsidR="005D049C" w:rsidRP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(e) </w:t>
      </w:r>
      <w:r w:rsidR="00112DAF">
        <w:rPr>
          <w:rFonts w:ascii="Arial" w:hAnsi="Arial" w:cs="Arial"/>
        </w:rPr>
        <w:tab/>
      </w:r>
      <w:proofErr w:type="gramStart"/>
      <w:r w:rsidRPr="005D049C">
        <w:rPr>
          <w:rFonts w:ascii="Arial" w:hAnsi="Arial" w:cs="Arial"/>
        </w:rPr>
        <w:t>the</w:t>
      </w:r>
      <w:proofErr w:type="gramEnd"/>
      <w:r w:rsidRPr="005D049C">
        <w:rPr>
          <w:rFonts w:ascii="Arial" w:hAnsi="Arial" w:cs="Arial"/>
        </w:rPr>
        <w:t xml:space="preserve"> market value of the property, if the property was valued;</w:t>
      </w:r>
    </w:p>
    <w:p w14:paraId="071CBB9A" w14:textId="00B80525" w:rsidR="005D049C" w:rsidRPr="003D1188" w:rsidRDefault="005D049C" w:rsidP="00112DAF">
      <w:pPr>
        <w:spacing w:before="240" w:after="240" w:line="360" w:lineRule="auto"/>
        <w:ind w:left="1440" w:hanging="720"/>
        <w:jc w:val="both"/>
        <w:rPr>
          <w:rFonts w:ascii="Arial" w:hAnsi="Arial" w:cs="Arial"/>
          <w:lang w:val="en-ZA"/>
        </w:rPr>
      </w:pPr>
      <w:r w:rsidRPr="005D049C">
        <w:rPr>
          <w:rFonts w:ascii="Arial" w:hAnsi="Arial" w:cs="Arial"/>
        </w:rPr>
        <w:t xml:space="preserve">(f) </w:t>
      </w:r>
      <w:r w:rsidR="00112DAF">
        <w:rPr>
          <w:rFonts w:ascii="Arial" w:hAnsi="Arial" w:cs="Arial"/>
        </w:rPr>
        <w:tab/>
      </w:r>
      <w:r w:rsidRPr="005D049C">
        <w:rPr>
          <w:rFonts w:ascii="Arial" w:hAnsi="Arial" w:cs="Arial"/>
        </w:rPr>
        <w:t>the name of the owner; and</w:t>
      </w:r>
    </w:p>
    <w:p w14:paraId="7455B106" w14:textId="2EA9FD09" w:rsidR="005D049C" w:rsidRDefault="005D049C" w:rsidP="00112DAF">
      <w:pPr>
        <w:spacing w:before="240" w:after="240" w:line="360" w:lineRule="auto"/>
        <w:ind w:left="1440" w:hanging="720"/>
        <w:jc w:val="both"/>
        <w:rPr>
          <w:rFonts w:ascii="Arial" w:hAnsi="Arial" w:cs="Arial"/>
        </w:rPr>
      </w:pPr>
      <w:r w:rsidRPr="005D049C">
        <w:rPr>
          <w:rFonts w:ascii="Arial" w:hAnsi="Arial" w:cs="Arial"/>
        </w:rPr>
        <w:t xml:space="preserve">(g) </w:t>
      </w:r>
      <w:r w:rsidR="00112DAF">
        <w:rPr>
          <w:rFonts w:ascii="Arial" w:hAnsi="Arial" w:cs="Arial"/>
        </w:rPr>
        <w:tab/>
      </w:r>
      <w:r w:rsidRPr="005D049C">
        <w:rPr>
          <w:rFonts w:ascii="Arial" w:hAnsi="Arial" w:cs="Arial"/>
        </w:rPr>
        <w:t>any other prescribed particulars.</w:t>
      </w:r>
    </w:p>
    <w:p w14:paraId="16752838" w14:textId="10EEF682" w:rsidR="00CB01F0" w:rsidRDefault="00EC0ED8" w:rsidP="00112DAF">
      <w:pPr>
        <w:spacing w:before="240" w:after="240" w:line="360" w:lineRule="auto"/>
        <w:ind w:left="720" w:hanging="720"/>
        <w:jc w:val="both"/>
        <w:rPr>
          <w:rFonts w:ascii="Arial" w:hAnsi="Arial" w:cs="Arial"/>
        </w:rPr>
      </w:pPr>
      <w:r>
        <w:rPr>
          <w:rFonts w:ascii="Arial" w:hAnsi="Arial" w:cs="Arial"/>
        </w:rPr>
        <w:t>[4</w:t>
      </w:r>
      <w:r w:rsidR="00B01980">
        <w:rPr>
          <w:rFonts w:ascii="Arial" w:hAnsi="Arial" w:cs="Arial"/>
        </w:rPr>
        <w:t>8</w:t>
      </w:r>
      <w:r w:rsidR="003D1188">
        <w:rPr>
          <w:rFonts w:ascii="Arial" w:hAnsi="Arial" w:cs="Arial"/>
        </w:rPr>
        <w:t>]</w:t>
      </w:r>
      <w:r w:rsidR="00AD1E19">
        <w:rPr>
          <w:rFonts w:ascii="Arial" w:hAnsi="Arial" w:cs="Arial"/>
        </w:rPr>
        <w:tab/>
        <w:t xml:space="preserve">In </w:t>
      </w:r>
      <w:r w:rsidR="00142562">
        <w:rPr>
          <w:rFonts w:ascii="Arial" w:hAnsi="Arial" w:cs="Arial"/>
        </w:rPr>
        <w:t>its</w:t>
      </w:r>
      <w:r w:rsidR="00AD1E19">
        <w:rPr>
          <w:rFonts w:ascii="Arial" w:hAnsi="Arial" w:cs="Arial"/>
        </w:rPr>
        <w:t xml:space="preserve"> answering affidavit, the respondents allege t</w:t>
      </w:r>
      <w:r w:rsidR="00142562">
        <w:rPr>
          <w:rFonts w:ascii="Arial" w:hAnsi="Arial" w:cs="Arial"/>
        </w:rPr>
        <w:t>hat the third respondent’s valuer, Ne</w:t>
      </w:r>
      <w:r w:rsidR="00AD1E19">
        <w:rPr>
          <w:rFonts w:ascii="Arial" w:hAnsi="Arial" w:cs="Arial"/>
        </w:rPr>
        <w:t>l</w:t>
      </w:r>
      <w:r w:rsidR="00142562">
        <w:rPr>
          <w:rFonts w:ascii="Arial" w:hAnsi="Arial" w:cs="Arial"/>
        </w:rPr>
        <w:t>,</w:t>
      </w:r>
      <w:r w:rsidR="00AD1E19">
        <w:rPr>
          <w:rFonts w:ascii="Arial" w:hAnsi="Arial" w:cs="Arial"/>
        </w:rPr>
        <w:t xml:space="preserve"> determined the value of the applicant’s properties and categorised them in accordance with provisions of section</w:t>
      </w:r>
      <w:r w:rsidR="00142562">
        <w:rPr>
          <w:rFonts w:ascii="Arial" w:hAnsi="Arial" w:cs="Arial"/>
        </w:rPr>
        <w:t>s</w:t>
      </w:r>
      <w:r w:rsidR="00AD1E19">
        <w:rPr>
          <w:rFonts w:ascii="Arial" w:hAnsi="Arial" w:cs="Arial"/>
        </w:rPr>
        <w:t xml:space="preserve"> 45(1), (2)</w:t>
      </w:r>
      <w:r w:rsidR="00142562">
        <w:rPr>
          <w:rFonts w:ascii="Arial" w:hAnsi="Arial" w:cs="Arial"/>
        </w:rPr>
        <w:t xml:space="preserve"> and </w:t>
      </w:r>
      <w:r w:rsidR="00AD1E19">
        <w:rPr>
          <w:rFonts w:ascii="Arial" w:hAnsi="Arial" w:cs="Arial"/>
        </w:rPr>
        <w:t>(3) read with section 46 of the MPRA.</w:t>
      </w:r>
      <w:r w:rsidR="00142562">
        <w:rPr>
          <w:rStyle w:val="FootnoteReference"/>
          <w:rFonts w:ascii="Arial" w:hAnsi="Arial" w:cs="Arial"/>
        </w:rPr>
        <w:footnoteReference w:id="71"/>
      </w:r>
      <w:r w:rsidR="00AD1E19">
        <w:rPr>
          <w:rFonts w:ascii="Arial" w:hAnsi="Arial" w:cs="Arial"/>
        </w:rPr>
        <w:t xml:space="preserve"> Erf 26454 was valued as the “</w:t>
      </w:r>
      <w:r w:rsidR="00AD1E19" w:rsidRPr="00142562">
        <w:rPr>
          <w:rFonts w:ascii="Arial" w:hAnsi="Arial" w:cs="Arial"/>
          <w:i/>
        </w:rPr>
        <w:t>parent property</w:t>
      </w:r>
      <w:r w:rsidR="00142562">
        <w:rPr>
          <w:rFonts w:ascii="Arial" w:hAnsi="Arial" w:cs="Arial"/>
        </w:rPr>
        <w:t>” with er</w:t>
      </w:r>
      <w:r w:rsidR="00AD1E19">
        <w:rPr>
          <w:rFonts w:ascii="Arial" w:hAnsi="Arial" w:cs="Arial"/>
        </w:rPr>
        <w:t>ven 1896/RE, 1897/RE, 1898, 1899,1945, 2923 and 2923/1 value as “</w:t>
      </w:r>
      <w:r w:rsidR="00AD1E19" w:rsidRPr="00A37E2D">
        <w:rPr>
          <w:rFonts w:ascii="Arial" w:hAnsi="Arial" w:cs="Arial"/>
          <w:i/>
        </w:rPr>
        <w:t>child properties</w:t>
      </w:r>
      <w:r w:rsidR="00AD1E19">
        <w:rPr>
          <w:rFonts w:ascii="Arial" w:hAnsi="Arial" w:cs="Arial"/>
        </w:rPr>
        <w:t>” with nominal values of  R 10.00 for all seven.</w:t>
      </w:r>
      <w:r w:rsidR="00AD1E19">
        <w:rPr>
          <w:rStyle w:val="FootnoteReference"/>
          <w:rFonts w:ascii="Arial" w:hAnsi="Arial" w:cs="Arial"/>
        </w:rPr>
        <w:footnoteReference w:id="72"/>
      </w:r>
      <w:r w:rsidR="00AD1E19">
        <w:rPr>
          <w:rFonts w:ascii="Arial" w:hAnsi="Arial" w:cs="Arial"/>
        </w:rPr>
        <w:t xml:space="preserve"> The value of R 340 million rand was not the market value of Erf 26454 only but represented the total market value of the said Erf together with the other seven.</w:t>
      </w:r>
      <w:r w:rsidR="00AD1E19">
        <w:rPr>
          <w:rStyle w:val="FootnoteReference"/>
          <w:rFonts w:ascii="Arial" w:hAnsi="Arial" w:cs="Arial"/>
        </w:rPr>
        <w:footnoteReference w:id="73"/>
      </w:r>
      <w:r w:rsidR="00AD1E19">
        <w:rPr>
          <w:rFonts w:ascii="Arial" w:hAnsi="Arial" w:cs="Arial"/>
        </w:rPr>
        <w:t xml:space="preserve"> At the date of the valuation of the applicant’s prop</w:t>
      </w:r>
      <w:r w:rsidR="00A37E2D">
        <w:rPr>
          <w:rFonts w:ascii="Arial" w:hAnsi="Arial" w:cs="Arial"/>
        </w:rPr>
        <w:t>erties, the third respondent (Ne</w:t>
      </w:r>
      <w:r w:rsidR="00AD1E19">
        <w:rPr>
          <w:rFonts w:ascii="Arial" w:hAnsi="Arial" w:cs="Arial"/>
        </w:rPr>
        <w:t>l) was in possessi</w:t>
      </w:r>
      <w:r w:rsidR="00A37E2D">
        <w:rPr>
          <w:rFonts w:ascii="Arial" w:hAnsi="Arial" w:cs="Arial"/>
        </w:rPr>
        <w:t>on of the information that he ac</w:t>
      </w:r>
      <w:r w:rsidR="00AD1E19">
        <w:rPr>
          <w:rFonts w:ascii="Arial" w:hAnsi="Arial" w:cs="Arial"/>
        </w:rPr>
        <w:t>quired before the valuation and which included the information referred to in section 45(2)(</w:t>
      </w:r>
      <w:r w:rsidR="00CB01F0">
        <w:rPr>
          <w:rFonts w:ascii="Arial" w:hAnsi="Arial" w:cs="Arial"/>
        </w:rPr>
        <w:t>b)</w:t>
      </w:r>
      <w:r w:rsidR="00CB01F0">
        <w:rPr>
          <w:rStyle w:val="FootnoteReference"/>
          <w:rFonts w:ascii="Arial" w:hAnsi="Arial" w:cs="Arial"/>
        </w:rPr>
        <w:footnoteReference w:id="74"/>
      </w:r>
      <w:r w:rsidR="00CB01F0">
        <w:rPr>
          <w:rFonts w:ascii="Arial" w:hAnsi="Arial" w:cs="Arial"/>
        </w:rPr>
        <w:t xml:space="preserve"> which constituted recognised valuation prac</w:t>
      </w:r>
      <w:r w:rsidR="00A37E2D">
        <w:rPr>
          <w:rFonts w:ascii="Arial" w:hAnsi="Arial" w:cs="Arial"/>
        </w:rPr>
        <w:t>tices, methods and standards. He</w:t>
      </w:r>
      <w:r w:rsidR="00CB01F0">
        <w:rPr>
          <w:rFonts w:ascii="Arial" w:hAnsi="Arial" w:cs="Arial"/>
        </w:rPr>
        <w:t xml:space="preserve"> confirmed t</w:t>
      </w:r>
      <w:r w:rsidR="00A37E2D">
        <w:rPr>
          <w:rFonts w:ascii="Arial" w:hAnsi="Arial" w:cs="Arial"/>
        </w:rPr>
        <w:t>hat the DRC method that he used</w:t>
      </w:r>
      <w:r w:rsidR="00CB01F0">
        <w:rPr>
          <w:rFonts w:ascii="Arial" w:hAnsi="Arial" w:cs="Arial"/>
        </w:rPr>
        <w:t xml:space="preserve"> was a r</w:t>
      </w:r>
      <w:r w:rsidR="00A37E2D">
        <w:rPr>
          <w:rFonts w:ascii="Arial" w:hAnsi="Arial" w:cs="Arial"/>
        </w:rPr>
        <w:t>ecognised valuation method</w:t>
      </w:r>
      <w:r w:rsidR="00CB01F0">
        <w:rPr>
          <w:rFonts w:ascii="Arial" w:hAnsi="Arial" w:cs="Arial"/>
        </w:rPr>
        <w:t xml:space="preserve"> us</w:t>
      </w:r>
      <w:r w:rsidR="00A37E2D">
        <w:rPr>
          <w:rFonts w:ascii="Arial" w:hAnsi="Arial" w:cs="Arial"/>
        </w:rPr>
        <w:t>ed for municipal valuations</w:t>
      </w:r>
      <w:r w:rsidR="00CB01F0">
        <w:rPr>
          <w:rFonts w:ascii="Arial" w:hAnsi="Arial" w:cs="Arial"/>
        </w:rPr>
        <w:t>.</w:t>
      </w:r>
      <w:r w:rsidR="00CB01F0">
        <w:rPr>
          <w:rStyle w:val="FootnoteReference"/>
          <w:rFonts w:ascii="Arial" w:hAnsi="Arial" w:cs="Arial"/>
        </w:rPr>
        <w:footnoteReference w:id="75"/>
      </w:r>
    </w:p>
    <w:p w14:paraId="2794BBB2" w14:textId="7CE412D4" w:rsidR="003D1188" w:rsidRDefault="00EC0ED8" w:rsidP="00112DAF">
      <w:pPr>
        <w:spacing w:before="240" w:after="240" w:line="360" w:lineRule="auto"/>
        <w:ind w:left="720" w:hanging="720"/>
        <w:jc w:val="both"/>
        <w:rPr>
          <w:rFonts w:ascii="Arial" w:hAnsi="Arial" w:cs="Arial"/>
        </w:rPr>
      </w:pPr>
      <w:r>
        <w:rPr>
          <w:rFonts w:ascii="Arial" w:hAnsi="Arial" w:cs="Arial"/>
        </w:rPr>
        <w:lastRenderedPageBreak/>
        <w:t>[4</w:t>
      </w:r>
      <w:r w:rsidR="00B01980">
        <w:rPr>
          <w:rFonts w:ascii="Arial" w:hAnsi="Arial" w:cs="Arial"/>
        </w:rPr>
        <w:t>9</w:t>
      </w:r>
      <w:r w:rsidR="00A53E16">
        <w:rPr>
          <w:rFonts w:ascii="Arial" w:hAnsi="Arial" w:cs="Arial"/>
        </w:rPr>
        <w:t>]</w:t>
      </w:r>
      <w:r w:rsidR="00A53E16">
        <w:rPr>
          <w:rFonts w:ascii="Arial" w:hAnsi="Arial" w:cs="Arial"/>
        </w:rPr>
        <w:tab/>
        <w:t>The third respondent</w:t>
      </w:r>
      <w:r w:rsidR="00CB01F0">
        <w:rPr>
          <w:rFonts w:ascii="Arial" w:hAnsi="Arial" w:cs="Arial"/>
        </w:rPr>
        <w:t xml:space="preserve"> made use of, amongst others, aerial photography to iden</w:t>
      </w:r>
      <w:r w:rsidR="00BE14F5">
        <w:rPr>
          <w:rFonts w:ascii="Arial" w:hAnsi="Arial" w:cs="Arial"/>
        </w:rPr>
        <w:t xml:space="preserve">tify and measured rooftop digitisation and </w:t>
      </w:r>
      <w:r w:rsidR="00CB01F0">
        <w:rPr>
          <w:rFonts w:ascii="Arial" w:hAnsi="Arial" w:cs="Arial"/>
        </w:rPr>
        <w:t>the extent of improvements. Street view and other comparative, analyti</w:t>
      </w:r>
      <w:r w:rsidR="00BE14F5">
        <w:rPr>
          <w:rFonts w:ascii="Arial" w:hAnsi="Arial" w:cs="Arial"/>
        </w:rPr>
        <w:t>cal, and mass valuations technique</w:t>
      </w:r>
      <w:r w:rsidR="00CB01F0">
        <w:rPr>
          <w:rFonts w:ascii="Arial" w:hAnsi="Arial" w:cs="Arial"/>
        </w:rPr>
        <w:t>s were utilised to determine the value of the properties. This statutory authorised information was deemed correct as at the date of valuation.</w:t>
      </w:r>
      <w:r w:rsidR="00CB01F0">
        <w:rPr>
          <w:rStyle w:val="FootnoteReference"/>
          <w:rFonts w:ascii="Arial" w:hAnsi="Arial" w:cs="Arial"/>
        </w:rPr>
        <w:footnoteReference w:id="76"/>
      </w:r>
      <w:r w:rsidR="00BE14F5">
        <w:rPr>
          <w:rFonts w:ascii="Arial" w:hAnsi="Arial" w:cs="Arial"/>
        </w:rPr>
        <w:t xml:space="preserve"> The said Ne</w:t>
      </w:r>
      <w:r w:rsidR="00CB01F0">
        <w:rPr>
          <w:rFonts w:ascii="Arial" w:hAnsi="Arial" w:cs="Arial"/>
        </w:rPr>
        <w:t>l had suffi</w:t>
      </w:r>
      <w:r w:rsidR="003F37E6">
        <w:rPr>
          <w:rFonts w:ascii="Arial" w:hAnsi="Arial" w:cs="Arial"/>
        </w:rPr>
        <w:t>cient information and details</w:t>
      </w:r>
      <w:r w:rsidR="00CB01F0">
        <w:rPr>
          <w:rFonts w:ascii="Arial" w:hAnsi="Arial" w:cs="Arial"/>
        </w:rPr>
        <w:t xml:space="preserve"> required by section 45 of the MPRA for a proper valuation of </w:t>
      </w:r>
      <w:r w:rsidR="003F37E6">
        <w:rPr>
          <w:rFonts w:ascii="Arial" w:hAnsi="Arial" w:cs="Arial"/>
        </w:rPr>
        <w:t>e</w:t>
      </w:r>
      <w:r w:rsidR="00BE14F5">
        <w:rPr>
          <w:rFonts w:ascii="Arial" w:hAnsi="Arial" w:cs="Arial"/>
        </w:rPr>
        <w:t>rf 26454</w:t>
      </w:r>
      <w:r w:rsidR="003F37E6">
        <w:rPr>
          <w:rFonts w:ascii="Arial" w:hAnsi="Arial" w:cs="Arial"/>
        </w:rPr>
        <w:t xml:space="preserve"> </w:t>
      </w:r>
      <w:r w:rsidR="00BE14F5">
        <w:rPr>
          <w:rFonts w:ascii="Arial" w:hAnsi="Arial" w:cs="Arial"/>
        </w:rPr>
        <w:t>together with the</w:t>
      </w:r>
      <w:r w:rsidR="003F37E6">
        <w:rPr>
          <w:rFonts w:ascii="Arial" w:hAnsi="Arial" w:cs="Arial"/>
        </w:rPr>
        <w:t xml:space="preserve"> other</w:t>
      </w:r>
      <w:r w:rsidR="00BE14F5">
        <w:rPr>
          <w:rFonts w:ascii="Arial" w:hAnsi="Arial" w:cs="Arial"/>
        </w:rPr>
        <w:t xml:space="preserve"> 7 e</w:t>
      </w:r>
      <w:r w:rsidR="00CB01F0">
        <w:rPr>
          <w:rFonts w:ascii="Arial" w:hAnsi="Arial" w:cs="Arial"/>
        </w:rPr>
        <w:t xml:space="preserve">rven </w:t>
      </w:r>
      <w:r w:rsidR="003F37E6">
        <w:rPr>
          <w:rFonts w:ascii="Arial" w:hAnsi="Arial" w:cs="Arial"/>
        </w:rPr>
        <w:t>which were all valued together</w:t>
      </w:r>
      <w:r w:rsidR="00CB01F0">
        <w:rPr>
          <w:rFonts w:ascii="Arial" w:hAnsi="Arial" w:cs="Arial"/>
        </w:rPr>
        <w:t xml:space="preserve"> for </w:t>
      </w:r>
      <w:r w:rsidR="003F37E6">
        <w:rPr>
          <w:rFonts w:ascii="Arial" w:hAnsi="Arial" w:cs="Arial"/>
        </w:rPr>
        <w:t>purposes of the DRC method</w:t>
      </w:r>
      <w:r w:rsidR="00CB01F0">
        <w:rPr>
          <w:rFonts w:ascii="Arial" w:hAnsi="Arial" w:cs="Arial"/>
        </w:rPr>
        <w:t xml:space="preserve"> to determine the marke</w:t>
      </w:r>
      <w:r w:rsidR="003F37E6">
        <w:rPr>
          <w:rFonts w:ascii="Arial" w:hAnsi="Arial" w:cs="Arial"/>
        </w:rPr>
        <w:t>t value of R 340 million rand</w:t>
      </w:r>
      <w:r w:rsidR="00CB01F0">
        <w:rPr>
          <w:rFonts w:ascii="Arial" w:hAnsi="Arial" w:cs="Arial"/>
        </w:rPr>
        <w:t xml:space="preserve"> recorded in the valuation roll</w:t>
      </w:r>
      <w:r w:rsidR="003F37E6">
        <w:rPr>
          <w:rFonts w:ascii="Arial" w:hAnsi="Arial" w:cs="Arial"/>
        </w:rPr>
        <w:t>. He</w:t>
      </w:r>
      <w:r w:rsidR="00CB01F0">
        <w:rPr>
          <w:rFonts w:ascii="Arial" w:hAnsi="Arial" w:cs="Arial"/>
        </w:rPr>
        <w:t xml:space="preserve"> appl</w:t>
      </w:r>
      <w:r w:rsidR="003F37E6">
        <w:rPr>
          <w:rFonts w:ascii="Arial" w:hAnsi="Arial" w:cs="Arial"/>
        </w:rPr>
        <w:t>ied</w:t>
      </w:r>
      <w:r w:rsidR="00CB01F0">
        <w:rPr>
          <w:rFonts w:ascii="Arial" w:hAnsi="Arial" w:cs="Arial"/>
        </w:rPr>
        <w:t xml:space="preserve"> his mind to the matter.</w:t>
      </w:r>
      <w:r w:rsidR="00CB01F0">
        <w:rPr>
          <w:rStyle w:val="FootnoteReference"/>
          <w:rFonts w:ascii="Arial" w:hAnsi="Arial" w:cs="Arial"/>
        </w:rPr>
        <w:footnoteReference w:id="77"/>
      </w:r>
      <w:r w:rsidR="00AD1E19">
        <w:rPr>
          <w:rFonts w:ascii="Arial" w:hAnsi="Arial" w:cs="Arial"/>
        </w:rPr>
        <w:t xml:space="preserve"> </w:t>
      </w:r>
    </w:p>
    <w:p w14:paraId="0FF15CDB" w14:textId="4C347317" w:rsidR="00CB01F0" w:rsidRDefault="00EC0ED8" w:rsidP="00112DAF">
      <w:pPr>
        <w:spacing w:before="240" w:after="240" w:line="360" w:lineRule="auto"/>
        <w:ind w:left="720" w:hanging="720"/>
        <w:jc w:val="both"/>
        <w:rPr>
          <w:rFonts w:ascii="Arial" w:hAnsi="Arial" w:cs="Arial"/>
        </w:rPr>
      </w:pPr>
      <w:r>
        <w:rPr>
          <w:rFonts w:ascii="Arial" w:hAnsi="Arial" w:cs="Arial"/>
        </w:rPr>
        <w:t>[</w:t>
      </w:r>
      <w:r w:rsidR="00B01980">
        <w:rPr>
          <w:rFonts w:ascii="Arial" w:hAnsi="Arial" w:cs="Arial"/>
        </w:rPr>
        <w:t>50</w:t>
      </w:r>
      <w:r w:rsidR="00CB01F0">
        <w:rPr>
          <w:rFonts w:ascii="Arial" w:hAnsi="Arial" w:cs="Arial"/>
        </w:rPr>
        <w:t>]</w:t>
      </w:r>
      <w:r w:rsidR="00CB01F0">
        <w:rPr>
          <w:rFonts w:ascii="Arial" w:hAnsi="Arial" w:cs="Arial"/>
        </w:rPr>
        <w:tab/>
      </w:r>
      <w:r w:rsidR="00F44EAA">
        <w:rPr>
          <w:rFonts w:ascii="Arial" w:hAnsi="Arial" w:cs="Arial"/>
        </w:rPr>
        <w:t>The applicant</w:t>
      </w:r>
      <w:r w:rsidR="00EF5137">
        <w:rPr>
          <w:rFonts w:ascii="Arial" w:hAnsi="Arial" w:cs="Arial"/>
        </w:rPr>
        <w:t xml:space="preserve"> denied that the allegations contained in the opposing aff</w:t>
      </w:r>
      <w:r w:rsidR="00F44EAA">
        <w:rPr>
          <w:rFonts w:ascii="Arial" w:hAnsi="Arial" w:cs="Arial"/>
        </w:rPr>
        <w:t>idavit constituted proof that</w:t>
      </w:r>
      <w:r w:rsidR="00EF5137">
        <w:rPr>
          <w:rFonts w:ascii="Arial" w:hAnsi="Arial" w:cs="Arial"/>
        </w:rPr>
        <w:t xml:space="preserve"> N</w:t>
      </w:r>
      <w:r w:rsidR="00F44EAA">
        <w:rPr>
          <w:rFonts w:ascii="Arial" w:hAnsi="Arial" w:cs="Arial"/>
        </w:rPr>
        <w:t>e</w:t>
      </w:r>
      <w:r w:rsidR="00EF5137">
        <w:rPr>
          <w:rFonts w:ascii="Arial" w:hAnsi="Arial" w:cs="Arial"/>
        </w:rPr>
        <w:t>l applied the DRC</w:t>
      </w:r>
      <w:r w:rsidR="00F44EAA">
        <w:rPr>
          <w:rFonts w:ascii="Arial" w:hAnsi="Arial" w:cs="Arial"/>
        </w:rPr>
        <w:t xml:space="preserve"> method</w:t>
      </w:r>
      <w:r w:rsidR="00EF5137">
        <w:rPr>
          <w:rFonts w:ascii="Arial" w:hAnsi="Arial" w:cs="Arial"/>
        </w:rPr>
        <w:t xml:space="preserve"> of valuation correctl</w:t>
      </w:r>
      <w:r w:rsidR="00F44EAA">
        <w:rPr>
          <w:rFonts w:ascii="Arial" w:hAnsi="Arial" w:cs="Arial"/>
        </w:rPr>
        <w:t>y and in a proper manner</w:t>
      </w:r>
      <w:r w:rsidR="00EF5137">
        <w:rPr>
          <w:rFonts w:ascii="Arial" w:hAnsi="Arial" w:cs="Arial"/>
        </w:rPr>
        <w:t xml:space="preserve"> to arrive at the estimated market value of the applicant’s immovable properties at the date of the valuation.</w:t>
      </w:r>
      <w:r w:rsidR="00EF5137">
        <w:rPr>
          <w:rStyle w:val="FootnoteReference"/>
          <w:rFonts w:ascii="Arial" w:hAnsi="Arial" w:cs="Arial"/>
        </w:rPr>
        <w:footnoteReference w:id="78"/>
      </w:r>
      <w:r w:rsidR="00F44EAA">
        <w:rPr>
          <w:rFonts w:ascii="Arial" w:hAnsi="Arial" w:cs="Arial"/>
        </w:rPr>
        <w:t xml:space="preserve"> It</w:t>
      </w:r>
      <w:r w:rsidR="00EF5137">
        <w:rPr>
          <w:rFonts w:ascii="Arial" w:hAnsi="Arial" w:cs="Arial"/>
        </w:rPr>
        <w:t xml:space="preserve"> contended that the third respondent had insufficient facts and information to comply with the general valuation practices, methods and standards regarding the correct and proper application of the DRC</w:t>
      </w:r>
      <w:r w:rsidR="00F44EAA">
        <w:rPr>
          <w:rFonts w:ascii="Arial" w:hAnsi="Arial" w:cs="Arial"/>
        </w:rPr>
        <w:t xml:space="preserve"> method to make a</w:t>
      </w:r>
      <w:r w:rsidR="00EF5137">
        <w:rPr>
          <w:rFonts w:ascii="Arial" w:hAnsi="Arial" w:cs="Arial"/>
        </w:rPr>
        <w:t xml:space="preserve"> </w:t>
      </w:r>
      <w:r w:rsidR="00F44EAA">
        <w:rPr>
          <w:rFonts w:ascii="Arial" w:hAnsi="Arial" w:cs="Arial"/>
        </w:rPr>
        <w:t xml:space="preserve">proper and </w:t>
      </w:r>
      <w:r w:rsidR="00EF5137">
        <w:rPr>
          <w:rFonts w:ascii="Arial" w:hAnsi="Arial" w:cs="Arial"/>
        </w:rPr>
        <w:t>reliable estimate of the likely construction costs and the manner in which such construction costs had to be depreciated in terms of the DRC to arrive at the market value of the applicant’s immovable properties on the valuation date.</w:t>
      </w:r>
      <w:r w:rsidR="00F44EAA">
        <w:rPr>
          <w:rStyle w:val="FootnoteReference"/>
          <w:rFonts w:ascii="Arial" w:hAnsi="Arial" w:cs="Arial"/>
        </w:rPr>
        <w:footnoteReference w:id="79"/>
      </w:r>
      <w:r w:rsidR="00EF5137">
        <w:rPr>
          <w:rFonts w:ascii="Arial" w:hAnsi="Arial" w:cs="Arial"/>
        </w:rPr>
        <w:t xml:space="preserve"> The applicants relied on the expert opinions of Professor Verster and Mr Ma</w:t>
      </w:r>
      <w:r w:rsidR="006D7D16">
        <w:rPr>
          <w:rFonts w:ascii="Arial" w:hAnsi="Arial" w:cs="Arial"/>
        </w:rPr>
        <w:t>rgoliu</w:t>
      </w:r>
      <w:r w:rsidR="00EF5137">
        <w:rPr>
          <w:rFonts w:ascii="Arial" w:hAnsi="Arial" w:cs="Arial"/>
        </w:rPr>
        <w:t>s</w:t>
      </w:r>
      <w:r w:rsidR="006D7D16">
        <w:rPr>
          <w:rFonts w:ascii="Arial" w:hAnsi="Arial" w:cs="Arial"/>
        </w:rPr>
        <w:t>, a professional valuer</w:t>
      </w:r>
      <w:r w:rsidR="00EF5137">
        <w:rPr>
          <w:rFonts w:ascii="Arial" w:hAnsi="Arial" w:cs="Arial"/>
        </w:rPr>
        <w:t xml:space="preserve">.   </w:t>
      </w:r>
    </w:p>
    <w:p w14:paraId="3983F216" w14:textId="37124EB0" w:rsidR="00EF5137" w:rsidRDefault="00EC0ED8" w:rsidP="00112DAF">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1</w:t>
      </w:r>
      <w:r w:rsidR="00EF5137">
        <w:rPr>
          <w:rFonts w:ascii="Arial" w:hAnsi="Arial" w:cs="Arial"/>
        </w:rPr>
        <w:t>]</w:t>
      </w:r>
      <w:r w:rsidR="00EF5137">
        <w:rPr>
          <w:rFonts w:ascii="Arial" w:hAnsi="Arial" w:cs="Arial"/>
        </w:rPr>
        <w:tab/>
        <w:t>Professor Verster opined that the application of the information which was available to the third respondent and used by him would have not enabled the third respondent to consider:</w:t>
      </w:r>
      <w:r w:rsidR="00F14389">
        <w:rPr>
          <w:rStyle w:val="FootnoteReference"/>
          <w:rFonts w:ascii="Arial" w:hAnsi="Arial" w:cs="Arial"/>
        </w:rPr>
        <w:footnoteReference w:id="80"/>
      </w:r>
    </w:p>
    <w:p w14:paraId="15EAF622" w14:textId="77777777" w:rsidR="00EF5137" w:rsidRDefault="00EF5137" w:rsidP="004D3478">
      <w:pPr>
        <w:spacing w:before="240" w:after="240" w:line="360" w:lineRule="auto"/>
        <w:ind w:left="1440" w:hanging="720"/>
        <w:jc w:val="both"/>
        <w:rPr>
          <w:rFonts w:ascii="Arial" w:hAnsi="Arial" w:cs="Arial"/>
        </w:rPr>
      </w:pPr>
      <w:r>
        <w:rPr>
          <w:rFonts w:ascii="Arial" w:hAnsi="Arial" w:cs="Arial"/>
        </w:rPr>
        <w:lastRenderedPageBreak/>
        <w:t xml:space="preserve">1. </w:t>
      </w:r>
      <w:r w:rsidR="005A7CC1">
        <w:rPr>
          <w:rFonts w:ascii="Arial" w:hAnsi="Arial" w:cs="Arial"/>
        </w:rPr>
        <w:tab/>
      </w:r>
      <w:r>
        <w:rPr>
          <w:rFonts w:ascii="Arial" w:hAnsi="Arial" w:cs="Arial"/>
        </w:rPr>
        <w:t>The differences in design, shape, total floor area, vertical positions of the floors, overall height, stor</w:t>
      </w:r>
      <w:r w:rsidR="00E04387">
        <w:rPr>
          <w:rFonts w:ascii="Arial" w:hAnsi="Arial" w:cs="Arial"/>
        </w:rPr>
        <w:t>e</w:t>
      </w:r>
      <w:r>
        <w:rPr>
          <w:rFonts w:ascii="Arial" w:hAnsi="Arial" w:cs="Arial"/>
        </w:rPr>
        <w:t xml:space="preserve">y height, extra costs of providing usable </w:t>
      </w:r>
      <w:r w:rsidR="00E04387">
        <w:rPr>
          <w:rFonts w:ascii="Arial" w:hAnsi="Arial" w:cs="Arial"/>
        </w:rPr>
        <w:t>floor areas and the effect of an</w:t>
      </w:r>
      <w:r>
        <w:rPr>
          <w:rFonts w:ascii="Arial" w:hAnsi="Arial" w:cs="Arial"/>
        </w:rPr>
        <w:t xml:space="preserve"> extra or more expensive specification. </w:t>
      </w:r>
    </w:p>
    <w:p w14:paraId="71F13C68" w14:textId="77777777" w:rsidR="005A7CC1" w:rsidRDefault="00EF5137" w:rsidP="004D3478">
      <w:pPr>
        <w:spacing w:before="240" w:after="240" w:line="360" w:lineRule="auto"/>
        <w:ind w:left="1440" w:hanging="720"/>
        <w:jc w:val="both"/>
        <w:rPr>
          <w:rFonts w:ascii="Arial" w:hAnsi="Arial" w:cs="Arial"/>
        </w:rPr>
      </w:pPr>
      <w:r>
        <w:rPr>
          <w:rFonts w:ascii="Arial" w:hAnsi="Arial" w:cs="Arial"/>
        </w:rPr>
        <w:t>2.</w:t>
      </w:r>
      <w:r w:rsidR="005A7CC1">
        <w:rPr>
          <w:rFonts w:ascii="Arial" w:hAnsi="Arial" w:cs="Arial"/>
        </w:rPr>
        <w:tab/>
        <w:t>The influence of the specification upon construction costs specifically regarding the nature and standards on the inside finishes of the building</w:t>
      </w:r>
      <w:r w:rsidR="00E04387">
        <w:rPr>
          <w:rFonts w:ascii="Arial" w:hAnsi="Arial" w:cs="Arial"/>
        </w:rPr>
        <w:t>s</w:t>
      </w:r>
      <w:r w:rsidR="005A7CC1">
        <w:rPr>
          <w:rFonts w:ascii="Arial" w:hAnsi="Arial" w:cs="Arial"/>
        </w:rPr>
        <w:t xml:space="preserve">. </w:t>
      </w:r>
    </w:p>
    <w:p w14:paraId="4EA75B9D" w14:textId="77777777" w:rsidR="005A7CC1" w:rsidRDefault="005A7CC1" w:rsidP="004D3478">
      <w:pPr>
        <w:spacing w:before="240" w:after="240" w:line="360" w:lineRule="auto"/>
        <w:ind w:left="1440" w:hanging="720"/>
        <w:jc w:val="both"/>
        <w:rPr>
          <w:rFonts w:ascii="Arial" w:hAnsi="Arial" w:cs="Arial"/>
        </w:rPr>
      </w:pPr>
      <w:r>
        <w:rPr>
          <w:rFonts w:ascii="Arial" w:hAnsi="Arial" w:cs="Arial"/>
        </w:rPr>
        <w:t>3.</w:t>
      </w:r>
      <w:r>
        <w:rPr>
          <w:rFonts w:ascii="Arial" w:hAnsi="Arial" w:cs="Arial"/>
        </w:rPr>
        <w:tab/>
        <w:t>The effect of floor</w:t>
      </w:r>
      <w:r w:rsidR="00E04387">
        <w:rPr>
          <w:rFonts w:ascii="Arial" w:hAnsi="Arial" w:cs="Arial"/>
        </w:rPr>
        <w:t>-</w:t>
      </w:r>
      <w:r>
        <w:rPr>
          <w:rFonts w:ascii="Arial" w:hAnsi="Arial" w:cs="Arial"/>
        </w:rPr>
        <w:t>to</w:t>
      </w:r>
      <w:r w:rsidR="00E04387">
        <w:rPr>
          <w:rFonts w:ascii="Arial" w:hAnsi="Arial" w:cs="Arial"/>
        </w:rPr>
        <w:t>-ceiling heights</w:t>
      </w:r>
      <w:r>
        <w:rPr>
          <w:rFonts w:ascii="Arial" w:hAnsi="Arial" w:cs="Arial"/>
        </w:rPr>
        <w:t xml:space="preserve"> on construction costs. </w:t>
      </w:r>
    </w:p>
    <w:p w14:paraId="05727D5D" w14:textId="70BB9C3F" w:rsidR="005A7CC1" w:rsidRDefault="00ED0757" w:rsidP="004D3478">
      <w:pPr>
        <w:spacing w:before="240" w:after="240" w:line="360" w:lineRule="auto"/>
        <w:ind w:left="1440" w:hanging="720"/>
        <w:jc w:val="both"/>
        <w:rPr>
          <w:rFonts w:ascii="Arial" w:hAnsi="Arial" w:cs="Arial"/>
        </w:rPr>
      </w:pPr>
      <w:r>
        <w:rPr>
          <w:rFonts w:ascii="Arial" w:hAnsi="Arial" w:cs="Arial"/>
        </w:rPr>
        <w:t xml:space="preserve">4. </w:t>
      </w:r>
      <w:r w:rsidR="004D3478">
        <w:rPr>
          <w:rFonts w:ascii="Arial" w:hAnsi="Arial" w:cs="Arial"/>
        </w:rPr>
        <w:tab/>
      </w:r>
      <w:r>
        <w:rPr>
          <w:rFonts w:ascii="Arial" w:hAnsi="Arial" w:cs="Arial"/>
        </w:rPr>
        <w:t>The influence of design and</w:t>
      </w:r>
      <w:r w:rsidR="005A7CC1">
        <w:rPr>
          <w:rFonts w:ascii="Arial" w:hAnsi="Arial" w:cs="Arial"/>
        </w:rPr>
        <w:t xml:space="preserve"> internal sub</w:t>
      </w:r>
      <w:r>
        <w:rPr>
          <w:rFonts w:ascii="Arial" w:hAnsi="Arial" w:cs="Arial"/>
        </w:rPr>
        <w:t>-</w:t>
      </w:r>
      <w:r w:rsidR="005A7CC1">
        <w:rPr>
          <w:rFonts w:ascii="Arial" w:hAnsi="Arial" w:cs="Arial"/>
        </w:rPr>
        <w:t xml:space="preserve">divisions upon construction costs. </w:t>
      </w:r>
    </w:p>
    <w:p w14:paraId="14401EC5" w14:textId="77777777" w:rsidR="005A7CC1" w:rsidRDefault="005A7CC1" w:rsidP="004D3478">
      <w:pPr>
        <w:spacing w:before="240" w:after="240" w:line="360" w:lineRule="auto"/>
        <w:ind w:left="1440" w:hanging="720"/>
        <w:jc w:val="both"/>
        <w:rPr>
          <w:rFonts w:ascii="Arial" w:hAnsi="Arial" w:cs="Arial"/>
        </w:rPr>
      </w:pPr>
      <w:r>
        <w:rPr>
          <w:rFonts w:ascii="Arial" w:hAnsi="Arial" w:cs="Arial"/>
        </w:rPr>
        <w:t>5.</w:t>
      </w:r>
      <w:r>
        <w:rPr>
          <w:rFonts w:ascii="Arial" w:hAnsi="Arial" w:cs="Arial"/>
        </w:rPr>
        <w:tab/>
        <w:t xml:space="preserve">The costs of plumbing, mechanical and electrical installations. </w:t>
      </w:r>
    </w:p>
    <w:p w14:paraId="7AE93811" w14:textId="3F1A685A" w:rsidR="005A7CC1" w:rsidRDefault="00EC0ED8" w:rsidP="004D3478">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2</w:t>
      </w:r>
      <w:r w:rsidR="005A7CC1">
        <w:rPr>
          <w:rFonts w:ascii="Arial" w:hAnsi="Arial" w:cs="Arial"/>
        </w:rPr>
        <w:t>]</w:t>
      </w:r>
      <w:r w:rsidR="005A7CC1">
        <w:rPr>
          <w:rFonts w:ascii="Arial" w:hAnsi="Arial" w:cs="Arial"/>
        </w:rPr>
        <w:tab/>
        <w:t>Th</w:t>
      </w:r>
      <w:r w:rsidR="00317DF0">
        <w:rPr>
          <w:rFonts w:ascii="Arial" w:hAnsi="Arial" w:cs="Arial"/>
        </w:rPr>
        <w:t>e fact that the third respondent was, on his</w:t>
      </w:r>
      <w:r w:rsidR="005A7CC1">
        <w:rPr>
          <w:rFonts w:ascii="Arial" w:hAnsi="Arial" w:cs="Arial"/>
        </w:rPr>
        <w:t xml:space="preserve"> version, unable to have access to </w:t>
      </w:r>
      <w:r w:rsidR="00317DF0">
        <w:rPr>
          <w:rFonts w:ascii="Arial" w:hAnsi="Arial" w:cs="Arial"/>
        </w:rPr>
        <w:t xml:space="preserve">the </w:t>
      </w:r>
      <w:r w:rsidR="005A7CC1">
        <w:rPr>
          <w:rFonts w:ascii="Arial" w:hAnsi="Arial" w:cs="Arial"/>
        </w:rPr>
        <w:t xml:space="preserve">inside of the relevant buildings and thus unable to consider the issues stated above, materially affected any reliable and proper assessment of the construction costs to replace the existing buildings situated upon the applicant’s immovable properties as at the valuation date. </w:t>
      </w:r>
    </w:p>
    <w:p w14:paraId="6018CF79" w14:textId="7E1CE965" w:rsidR="005A7CC1" w:rsidRDefault="00EC0ED8" w:rsidP="004D3478">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3</w:t>
      </w:r>
      <w:r w:rsidR="005A7CC1">
        <w:rPr>
          <w:rFonts w:ascii="Arial" w:hAnsi="Arial" w:cs="Arial"/>
        </w:rPr>
        <w:t>]</w:t>
      </w:r>
      <w:r w:rsidR="005A7CC1">
        <w:rPr>
          <w:rFonts w:ascii="Arial" w:hAnsi="Arial" w:cs="Arial"/>
        </w:rPr>
        <w:tab/>
        <w:t>Mr Ma</w:t>
      </w:r>
      <w:r w:rsidR="00317DF0">
        <w:rPr>
          <w:rFonts w:ascii="Arial" w:hAnsi="Arial" w:cs="Arial"/>
        </w:rPr>
        <w:t>r</w:t>
      </w:r>
      <w:r w:rsidR="005A7CC1">
        <w:rPr>
          <w:rFonts w:ascii="Arial" w:hAnsi="Arial" w:cs="Arial"/>
        </w:rPr>
        <w:t>goli</w:t>
      </w:r>
      <w:r w:rsidR="00317DF0">
        <w:rPr>
          <w:rFonts w:ascii="Arial" w:hAnsi="Arial" w:cs="Arial"/>
        </w:rPr>
        <w:t>u</w:t>
      </w:r>
      <w:r w:rsidR="005A7CC1">
        <w:rPr>
          <w:rFonts w:ascii="Arial" w:hAnsi="Arial" w:cs="Arial"/>
        </w:rPr>
        <w:t>s opined that the third respondent did not value the subject properties of the applicant in accordance with generally recognised valuation practices, methods, and standards as contemplated in section 45 of the MPRA and the valuation of the subject properties did not represent the market value of such properties at the valuation date.</w:t>
      </w:r>
      <w:r w:rsidR="00317DF0">
        <w:rPr>
          <w:rStyle w:val="FootnoteReference"/>
          <w:rFonts w:ascii="Arial" w:hAnsi="Arial" w:cs="Arial"/>
        </w:rPr>
        <w:footnoteReference w:id="81"/>
      </w:r>
      <w:r w:rsidR="005A7CC1">
        <w:rPr>
          <w:rFonts w:ascii="Arial" w:hAnsi="Arial" w:cs="Arial"/>
        </w:rPr>
        <w:t xml:space="preserve"> </w:t>
      </w:r>
    </w:p>
    <w:p w14:paraId="32DC32FE" w14:textId="56AC9C9C" w:rsidR="00034EB0" w:rsidRDefault="00EC0ED8" w:rsidP="004D3478">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4</w:t>
      </w:r>
      <w:r w:rsidR="005A7CC1">
        <w:rPr>
          <w:rFonts w:ascii="Arial" w:hAnsi="Arial" w:cs="Arial"/>
        </w:rPr>
        <w:t>]</w:t>
      </w:r>
      <w:r w:rsidR="005A7CC1">
        <w:rPr>
          <w:rFonts w:ascii="Arial" w:hAnsi="Arial" w:cs="Arial"/>
        </w:rPr>
        <w:tab/>
        <w:t>The valuation was comple</w:t>
      </w:r>
      <w:r w:rsidR="00764267">
        <w:rPr>
          <w:rFonts w:ascii="Arial" w:hAnsi="Arial" w:cs="Arial"/>
        </w:rPr>
        <w:t xml:space="preserve">ted before 17 February 2017 as </w:t>
      </w:r>
      <w:r w:rsidR="005A7CC1">
        <w:rPr>
          <w:rFonts w:ascii="Arial" w:hAnsi="Arial" w:cs="Arial"/>
        </w:rPr>
        <w:t>t</w:t>
      </w:r>
      <w:r w:rsidR="00764267">
        <w:rPr>
          <w:rFonts w:ascii="Arial" w:hAnsi="Arial" w:cs="Arial"/>
        </w:rPr>
        <w:t>he valuation roll</w:t>
      </w:r>
      <w:r w:rsidR="005A7CC1">
        <w:rPr>
          <w:rFonts w:ascii="Arial" w:hAnsi="Arial" w:cs="Arial"/>
        </w:rPr>
        <w:t xml:space="preserve"> was published </w:t>
      </w:r>
      <w:r w:rsidR="00764267">
        <w:rPr>
          <w:rFonts w:ascii="Arial" w:hAnsi="Arial" w:cs="Arial"/>
        </w:rPr>
        <w:t>in the Provincial Gazette on that</w:t>
      </w:r>
      <w:r w:rsidR="005A7CC1">
        <w:rPr>
          <w:rFonts w:ascii="Arial" w:hAnsi="Arial" w:cs="Arial"/>
        </w:rPr>
        <w:t xml:space="preserve"> date. The lack of information thereafter by the third respondent indicates that the third respondent did not have a required information in order to </w:t>
      </w:r>
      <w:r w:rsidR="00034EB0">
        <w:rPr>
          <w:rFonts w:ascii="Arial" w:hAnsi="Arial" w:cs="Arial"/>
        </w:rPr>
        <w:t>draft a</w:t>
      </w:r>
      <w:r w:rsidR="005A7CC1">
        <w:rPr>
          <w:rFonts w:ascii="Arial" w:hAnsi="Arial" w:cs="Arial"/>
        </w:rPr>
        <w:t xml:space="preserve"> proper valuation roll as at that date. </w:t>
      </w:r>
    </w:p>
    <w:p w14:paraId="449D128A" w14:textId="59A40790" w:rsidR="00C77934" w:rsidRDefault="00EC0ED8" w:rsidP="004D3478">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5</w:t>
      </w:r>
      <w:r w:rsidR="00034EB0">
        <w:rPr>
          <w:rFonts w:ascii="Arial" w:hAnsi="Arial" w:cs="Arial"/>
        </w:rPr>
        <w:t>]</w:t>
      </w:r>
      <w:r w:rsidR="00034EB0">
        <w:rPr>
          <w:rFonts w:ascii="Arial" w:hAnsi="Arial" w:cs="Arial"/>
        </w:rPr>
        <w:tab/>
        <w:t xml:space="preserve">The applicant correctly pointed out that the third respondent did not have the relevant required information to apply the DRC method properly when he still </w:t>
      </w:r>
      <w:r w:rsidR="00034EB0">
        <w:rPr>
          <w:rFonts w:ascii="Arial" w:hAnsi="Arial" w:cs="Arial"/>
        </w:rPr>
        <w:lastRenderedPageBreak/>
        <w:t>requested addit</w:t>
      </w:r>
      <w:r w:rsidR="00764267">
        <w:rPr>
          <w:rFonts w:ascii="Arial" w:hAnsi="Arial" w:cs="Arial"/>
        </w:rPr>
        <w:t xml:space="preserve">ion data as at 9 May 2018 to </w:t>
      </w:r>
      <w:r w:rsidR="00034EB0">
        <w:rPr>
          <w:rFonts w:ascii="Arial" w:hAnsi="Arial" w:cs="Arial"/>
        </w:rPr>
        <w:t>consider his valuation of the properties for the 2017 valuation roll. The correspondence between the parties</w:t>
      </w:r>
      <w:r w:rsidR="00764267">
        <w:rPr>
          <w:rFonts w:ascii="Arial" w:hAnsi="Arial" w:cs="Arial"/>
        </w:rPr>
        <w:t xml:space="preserve"> during the period</w:t>
      </w:r>
      <w:r w:rsidR="00034EB0">
        <w:rPr>
          <w:rFonts w:ascii="Arial" w:hAnsi="Arial" w:cs="Arial"/>
        </w:rPr>
        <w:t xml:space="preserve"> 2017-2019</w:t>
      </w:r>
      <w:r w:rsidR="00764267">
        <w:rPr>
          <w:rFonts w:ascii="Arial" w:hAnsi="Arial" w:cs="Arial"/>
        </w:rPr>
        <w:t>, attests to that</w:t>
      </w:r>
      <w:r w:rsidR="00034EB0">
        <w:rPr>
          <w:rFonts w:ascii="Arial" w:hAnsi="Arial" w:cs="Arial"/>
        </w:rPr>
        <w:t xml:space="preserve">. </w:t>
      </w:r>
    </w:p>
    <w:p w14:paraId="58DD10EC" w14:textId="77777777" w:rsidR="00C77934" w:rsidRDefault="00C77934" w:rsidP="005A7CC1">
      <w:pPr>
        <w:spacing w:before="240" w:after="240" w:line="360" w:lineRule="auto"/>
        <w:ind w:left="567" w:hanging="567"/>
        <w:jc w:val="both"/>
        <w:rPr>
          <w:rFonts w:ascii="Arial" w:hAnsi="Arial" w:cs="Arial"/>
          <w:i/>
          <w:u w:val="single"/>
        </w:rPr>
      </w:pPr>
      <w:r w:rsidRPr="00C77934">
        <w:rPr>
          <w:rFonts w:ascii="Arial" w:hAnsi="Arial" w:cs="Arial"/>
          <w:i/>
          <w:u w:val="single"/>
        </w:rPr>
        <w:t>Part 4</w:t>
      </w:r>
    </w:p>
    <w:p w14:paraId="33DF10F1" w14:textId="5C93820A" w:rsidR="00317519" w:rsidRDefault="00EC0ED8" w:rsidP="004D3478">
      <w:pPr>
        <w:spacing w:before="240" w:after="240" w:line="360" w:lineRule="auto"/>
        <w:ind w:left="720" w:hanging="720"/>
        <w:jc w:val="both"/>
        <w:rPr>
          <w:rFonts w:ascii="Arial" w:hAnsi="Arial" w:cs="Arial"/>
        </w:rPr>
      </w:pPr>
      <w:r>
        <w:rPr>
          <w:rFonts w:ascii="Arial" w:hAnsi="Arial" w:cs="Arial"/>
        </w:rPr>
        <w:t>[5</w:t>
      </w:r>
      <w:r w:rsidR="00B01980">
        <w:rPr>
          <w:rFonts w:ascii="Arial" w:hAnsi="Arial" w:cs="Arial"/>
        </w:rPr>
        <w:t>6</w:t>
      </w:r>
      <w:r w:rsidR="008E01C2">
        <w:rPr>
          <w:rFonts w:ascii="Arial" w:hAnsi="Arial" w:cs="Arial"/>
        </w:rPr>
        <w:t>]</w:t>
      </w:r>
      <w:r w:rsidR="008E01C2">
        <w:rPr>
          <w:rFonts w:ascii="Arial" w:hAnsi="Arial" w:cs="Arial"/>
        </w:rPr>
        <w:tab/>
      </w:r>
      <w:r w:rsidR="00C77934">
        <w:rPr>
          <w:rFonts w:ascii="Arial" w:hAnsi="Arial" w:cs="Arial"/>
        </w:rPr>
        <w:t xml:space="preserve">As indicated </w:t>
      </w:r>
      <w:r w:rsidR="008E01C2">
        <w:rPr>
          <w:rFonts w:ascii="Arial" w:hAnsi="Arial" w:cs="Arial"/>
        </w:rPr>
        <w:t xml:space="preserve">in the </w:t>
      </w:r>
      <w:r w:rsidR="00C77934">
        <w:rPr>
          <w:rFonts w:ascii="Arial" w:hAnsi="Arial" w:cs="Arial"/>
        </w:rPr>
        <w:t>above</w:t>
      </w:r>
      <w:r w:rsidR="008E01C2">
        <w:rPr>
          <w:rFonts w:ascii="Arial" w:hAnsi="Arial" w:cs="Arial"/>
        </w:rPr>
        <w:t xml:space="preserve"> paragraphs</w:t>
      </w:r>
      <w:r w:rsidR="00036FC8">
        <w:rPr>
          <w:rFonts w:ascii="Arial" w:hAnsi="Arial" w:cs="Arial"/>
        </w:rPr>
        <w:t>,</w:t>
      </w:r>
      <w:r w:rsidR="008E01C2">
        <w:rPr>
          <w:rFonts w:ascii="Arial" w:hAnsi="Arial" w:cs="Arial"/>
        </w:rPr>
        <w:t xml:space="preserve"> it was not necessary for the applicant to resort to internal remedies. </w:t>
      </w:r>
    </w:p>
    <w:p w14:paraId="0F99B3E9" w14:textId="289AD4FF" w:rsidR="00EF5137" w:rsidRPr="00C77934" w:rsidRDefault="00EC0ED8" w:rsidP="004D3478">
      <w:pPr>
        <w:spacing w:before="240" w:after="240" w:line="360" w:lineRule="auto"/>
        <w:ind w:left="720" w:hanging="720"/>
        <w:jc w:val="both"/>
        <w:rPr>
          <w:rFonts w:ascii="Arial" w:hAnsi="Arial" w:cs="Arial"/>
          <w:u w:val="single"/>
        </w:rPr>
      </w:pPr>
      <w:r>
        <w:rPr>
          <w:rFonts w:ascii="Arial" w:hAnsi="Arial" w:cs="Arial"/>
        </w:rPr>
        <w:t>[5</w:t>
      </w:r>
      <w:r w:rsidR="00B01980">
        <w:rPr>
          <w:rFonts w:ascii="Arial" w:hAnsi="Arial" w:cs="Arial"/>
        </w:rPr>
        <w:t>7</w:t>
      </w:r>
      <w:r w:rsidR="00317519">
        <w:rPr>
          <w:rFonts w:ascii="Arial" w:hAnsi="Arial" w:cs="Arial"/>
        </w:rPr>
        <w:t xml:space="preserve">] </w:t>
      </w:r>
      <w:r>
        <w:rPr>
          <w:rFonts w:ascii="Arial" w:hAnsi="Arial" w:cs="Arial"/>
        </w:rPr>
        <w:tab/>
      </w:r>
      <w:r w:rsidR="00317519">
        <w:rPr>
          <w:rFonts w:ascii="Arial" w:hAnsi="Arial" w:cs="Arial"/>
        </w:rPr>
        <w:t>Consequently, the following orders are made:</w:t>
      </w:r>
      <w:r w:rsidR="00C77934">
        <w:rPr>
          <w:rFonts w:ascii="Arial" w:hAnsi="Arial" w:cs="Arial"/>
        </w:rPr>
        <w:t xml:space="preserve"> </w:t>
      </w:r>
      <w:r w:rsidR="00EF5137" w:rsidRPr="00C77934">
        <w:rPr>
          <w:rFonts w:ascii="Arial" w:hAnsi="Arial" w:cs="Arial"/>
          <w:u w:val="single"/>
        </w:rPr>
        <w:t xml:space="preserve"> </w:t>
      </w:r>
    </w:p>
    <w:p w14:paraId="643A7BD9" w14:textId="77777777" w:rsidR="00A84A6D" w:rsidRDefault="00A84A6D" w:rsidP="00A84A6D">
      <w:pPr>
        <w:spacing w:before="240" w:after="240" w:line="360" w:lineRule="auto"/>
        <w:jc w:val="both"/>
        <w:rPr>
          <w:rFonts w:ascii="Arial" w:hAnsi="Arial" w:cs="Arial"/>
          <w:b/>
          <w:u w:val="single"/>
        </w:rPr>
      </w:pPr>
      <w:r>
        <w:rPr>
          <w:rFonts w:ascii="Arial" w:hAnsi="Arial" w:cs="Arial"/>
          <w:b/>
          <w:u w:val="single"/>
        </w:rPr>
        <w:t>Order:</w:t>
      </w:r>
    </w:p>
    <w:p w14:paraId="32AE0F78" w14:textId="348CFD92" w:rsidR="00A84A6D" w:rsidRDefault="00A84A6D" w:rsidP="00A84A6D">
      <w:pPr>
        <w:pStyle w:val="ListParagraph"/>
        <w:numPr>
          <w:ilvl w:val="0"/>
          <w:numId w:val="19"/>
        </w:numPr>
        <w:spacing w:before="240" w:after="240" w:line="360" w:lineRule="auto"/>
        <w:ind w:hanging="720"/>
        <w:jc w:val="both"/>
        <w:rPr>
          <w:rFonts w:ascii="Arial" w:hAnsi="Arial" w:cs="Arial"/>
        </w:rPr>
      </w:pPr>
      <w:r>
        <w:rPr>
          <w:rFonts w:ascii="Arial" w:hAnsi="Arial" w:cs="Arial"/>
        </w:rPr>
        <w:t xml:space="preserve">The second respondent’s failure to serve a copy of the notice </w:t>
      </w:r>
      <w:r w:rsidR="00354C2D">
        <w:rPr>
          <w:rFonts w:ascii="Arial" w:hAnsi="Arial" w:cs="Arial"/>
        </w:rPr>
        <w:t xml:space="preserve">in </w:t>
      </w:r>
      <w:r>
        <w:rPr>
          <w:rFonts w:ascii="Arial" w:hAnsi="Arial" w:cs="Arial"/>
        </w:rPr>
        <w:t xml:space="preserve">terms of section 49(1)(a) of the MPRA together with an extract of the valuation roll for the financial years 01 July 2017 until 30 June 2021 upon the applicant is declared unlawful and or illegal. </w:t>
      </w:r>
    </w:p>
    <w:p w14:paraId="5A944E0D" w14:textId="77777777" w:rsidR="00A84A6D" w:rsidRDefault="00A84A6D" w:rsidP="00A84A6D">
      <w:pPr>
        <w:pStyle w:val="ListParagraph"/>
        <w:numPr>
          <w:ilvl w:val="0"/>
          <w:numId w:val="19"/>
        </w:numPr>
        <w:spacing w:before="240" w:after="240" w:line="360" w:lineRule="auto"/>
        <w:ind w:hanging="720"/>
        <w:jc w:val="both"/>
        <w:rPr>
          <w:rFonts w:ascii="Arial" w:hAnsi="Arial" w:cs="Arial"/>
        </w:rPr>
      </w:pPr>
      <w:r>
        <w:rPr>
          <w:rFonts w:ascii="Arial" w:hAnsi="Arial" w:cs="Arial"/>
        </w:rPr>
        <w:t>The following decisions by the first respondent are declared unlawful and set aside:</w:t>
      </w:r>
    </w:p>
    <w:p w14:paraId="0683324D" w14:textId="77777777" w:rsidR="00A84A6D" w:rsidRDefault="00A84A6D" w:rsidP="00A84A6D">
      <w:pPr>
        <w:pStyle w:val="ListParagraph"/>
        <w:numPr>
          <w:ilvl w:val="1"/>
          <w:numId w:val="19"/>
        </w:numPr>
        <w:spacing w:before="240" w:after="240" w:line="360" w:lineRule="auto"/>
        <w:jc w:val="both"/>
        <w:rPr>
          <w:rFonts w:ascii="Arial" w:hAnsi="Arial" w:cs="Arial"/>
        </w:rPr>
      </w:pPr>
      <w:r>
        <w:rPr>
          <w:rFonts w:ascii="Arial" w:hAnsi="Arial" w:cs="Arial"/>
        </w:rPr>
        <w:t xml:space="preserve">The first respondent’s decision to levy rates on the applicant’s properties in terms of their market value according to their categories recorded in the valuation roll; and </w:t>
      </w:r>
    </w:p>
    <w:p w14:paraId="722D64D3" w14:textId="77777777" w:rsidR="00A84A6D" w:rsidRDefault="00A84A6D" w:rsidP="00A84A6D">
      <w:pPr>
        <w:pStyle w:val="ListParagraph"/>
        <w:numPr>
          <w:ilvl w:val="1"/>
          <w:numId w:val="19"/>
        </w:numPr>
        <w:spacing w:before="240" w:after="240" w:line="360" w:lineRule="auto"/>
        <w:jc w:val="both"/>
        <w:rPr>
          <w:rFonts w:ascii="Arial" w:hAnsi="Arial" w:cs="Arial"/>
        </w:rPr>
      </w:pPr>
      <w:r>
        <w:rPr>
          <w:rFonts w:ascii="Arial" w:hAnsi="Arial" w:cs="Arial"/>
        </w:rPr>
        <w:t xml:space="preserve">The first respondent’s decision to determine the cent in the rand as rates (published in the provincial gazette in terms of section 14(2) of the MPRA and in accordance with the copies of the relevant notices annexed as “FA14”, “FA15” and “FA16” to FA) of the applicant’s properties with reference to their market value and category as reflected in the valuation roll. </w:t>
      </w:r>
    </w:p>
    <w:p w14:paraId="5281DCFA" w14:textId="77777777" w:rsidR="00A84A6D" w:rsidRDefault="00A84A6D" w:rsidP="00A84A6D">
      <w:pPr>
        <w:pStyle w:val="ListParagraph"/>
        <w:numPr>
          <w:ilvl w:val="0"/>
          <w:numId w:val="19"/>
        </w:numPr>
        <w:spacing w:before="240" w:after="240" w:line="360" w:lineRule="auto"/>
        <w:ind w:hanging="720"/>
        <w:jc w:val="both"/>
        <w:rPr>
          <w:rFonts w:ascii="Arial" w:hAnsi="Arial" w:cs="Arial"/>
        </w:rPr>
      </w:pPr>
      <w:r w:rsidRPr="00400748">
        <w:rPr>
          <w:rFonts w:ascii="Arial" w:hAnsi="Arial" w:cs="Arial"/>
        </w:rPr>
        <w:t>The first respondent is directed to make or cause to be made a supplementary valuation and categorisation of the applicant’s properties reflected in the valuation roll in terms of section 78 of the MPRA.</w:t>
      </w:r>
    </w:p>
    <w:p w14:paraId="5B073311" w14:textId="6C9DE073" w:rsidR="00A84A6D" w:rsidRPr="00400748" w:rsidRDefault="00A84A6D" w:rsidP="00A84A6D">
      <w:pPr>
        <w:pStyle w:val="ListParagraph"/>
        <w:numPr>
          <w:ilvl w:val="0"/>
          <w:numId w:val="19"/>
        </w:numPr>
        <w:spacing w:before="240" w:after="240" w:line="360" w:lineRule="auto"/>
        <w:ind w:hanging="720"/>
        <w:jc w:val="both"/>
        <w:rPr>
          <w:rFonts w:ascii="Arial" w:hAnsi="Arial" w:cs="Arial"/>
        </w:rPr>
      </w:pPr>
      <w:r w:rsidRPr="00400748">
        <w:rPr>
          <w:rFonts w:ascii="Arial" w:hAnsi="Arial" w:cs="Arial"/>
        </w:rPr>
        <w:t>The first respondent’s decisions set out hereunder are declared unlawful and a set aside</w:t>
      </w:r>
      <w:r>
        <w:rPr>
          <w:rFonts w:ascii="Arial" w:hAnsi="Arial" w:cs="Arial"/>
        </w:rPr>
        <w:t>;</w:t>
      </w:r>
    </w:p>
    <w:p w14:paraId="3E3F019F" w14:textId="77777777" w:rsidR="00A84A6D" w:rsidRDefault="00A84A6D" w:rsidP="00A84A6D">
      <w:pPr>
        <w:pStyle w:val="ListParagraph"/>
        <w:numPr>
          <w:ilvl w:val="1"/>
          <w:numId w:val="20"/>
        </w:numPr>
        <w:spacing w:before="240" w:after="240" w:line="360" w:lineRule="auto"/>
        <w:jc w:val="both"/>
        <w:rPr>
          <w:rFonts w:ascii="Arial" w:hAnsi="Arial" w:cs="Arial"/>
        </w:rPr>
      </w:pPr>
      <w:r>
        <w:rPr>
          <w:rFonts w:ascii="Arial" w:hAnsi="Arial" w:cs="Arial"/>
        </w:rPr>
        <w:t xml:space="preserve">The categorisation of the applicant’s properties in the first respondent’s municipal area and reflected in its valuation roll for the financial years 1 </w:t>
      </w:r>
      <w:r>
        <w:rPr>
          <w:rFonts w:ascii="Arial" w:hAnsi="Arial" w:cs="Arial"/>
        </w:rPr>
        <w:lastRenderedPageBreak/>
        <w:t xml:space="preserve">July 2017 until 30 June 2021 as “Public benefit organization” in the first respondent’s 2017/2018 property rates policy. </w:t>
      </w:r>
    </w:p>
    <w:p w14:paraId="122E0090" w14:textId="2743C396" w:rsidR="00A84A6D" w:rsidRDefault="00A84A6D" w:rsidP="00A84A6D">
      <w:pPr>
        <w:pStyle w:val="ListParagraph"/>
        <w:numPr>
          <w:ilvl w:val="1"/>
          <w:numId w:val="20"/>
        </w:numPr>
        <w:spacing w:before="240" w:after="240" w:line="360" w:lineRule="auto"/>
        <w:jc w:val="both"/>
        <w:rPr>
          <w:rFonts w:ascii="Arial" w:hAnsi="Arial" w:cs="Arial"/>
        </w:rPr>
      </w:pPr>
      <w:r>
        <w:rPr>
          <w:rFonts w:ascii="Arial" w:hAnsi="Arial" w:cs="Arial"/>
        </w:rPr>
        <w:t>The determination that a business rate will apply to the levying of rates of the applicant’s</w:t>
      </w:r>
      <w:r w:rsidRPr="00157308">
        <w:rPr>
          <w:rFonts w:ascii="Arial" w:hAnsi="Arial" w:cs="Arial"/>
        </w:rPr>
        <w:t xml:space="preserve"> </w:t>
      </w:r>
      <w:r>
        <w:rPr>
          <w:rFonts w:ascii="Arial" w:hAnsi="Arial" w:cs="Arial"/>
        </w:rPr>
        <w:t>properties in the first respondent’s 2017/2018 property rates policy</w:t>
      </w:r>
      <w:r w:rsidR="00354C2D">
        <w:rPr>
          <w:rFonts w:ascii="Arial" w:hAnsi="Arial" w:cs="Arial"/>
        </w:rPr>
        <w:t>.</w:t>
      </w:r>
      <w:r>
        <w:rPr>
          <w:rFonts w:ascii="Arial" w:hAnsi="Arial" w:cs="Arial"/>
        </w:rPr>
        <w:t xml:space="preserve"> </w:t>
      </w:r>
    </w:p>
    <w:p w14:paraId="09D858F3" w14:textId="77777777" w:rsidR="00A84A6D" w:rsidRDefault="00A84A6D" w:rsidP="00A84A6D">
      <w:pPr>
        <w:pStyle w:val="ListParagraph"/>
        <w:numPr>
          <w:ilvl w:val="1"/>
          <w:numId w:val="20"/>
        </w:numPr>
        <w:spacing w:before="240" w:after="240" w:line="360" w:lineRule="auto"/>
        <w:jc w:val="both"/>
        <w:rPr>
          <w:rFonts w:ascii="Arial" w:hAnsi="Arial" w:cs="Arial"/>
        </w:rPr>
      </w:pPr>
      <w:r>
        <w:rPr>
          <w:rFonts w:ascii="Arial" w:hAnsi="Arial" w:cs="Arial"/>
        </w:rPr>
        <w:t>The failure to determine separate and different rates in its 2017/2018, 2018/2019 and 2019/2020 property rates policies in terms of sections 3(3)(a), 8(1), 14 and 19(1)(c) of the MPRA.</w:t>
      </w:r>
    </w:p>
    <w:p w14:paraId="4BD92470" w14:textId="77777777" w:rsidR="00A84A6D" w:rsidRDefault="00A84A6D" w:rsidP="00A84A6D">
      <w:pPr>
        <w:pStyle w:val="ListParagraph"/>
        <w:numPr>
          <w:ilvl w:val="1"/>
          <w:numId w:val="20"/>
        </w:numPr>
        <w:spacing w:before="240" w:after="240" w:line="360" w:lineRule="auto"/>
        <w:jc w:val="both"/>
        <w:rPr>
          <w:rFonts w:ascii="Arial" w:hAnsi="Arial" w:cs="Arial"/>
        </w:rPr>
      </w:pPr>
      <w:r>
        <w:rPr>
          <w:rFonts w:ascii="Arial" w:hAnsi="Arial" w:cs="Arial"/>
        </w:rPr>
        <w:t xml:space="preserve">The determination of item 10.1(b) of its 2017/2018 property rates policy as a </w:t>
      </w:r>
      <w:r w:rsidRPr="000A33D4">
        <w:rPr>
          <w:rFonts w:ascii="Arial" w:hAnsi="Arial" w:cs="Arial"/>
          <w:i/>
        </w:rPr>
        <w:t>criterium</w:t>
      </w:r>
      <w:r>
        <w:rPr>
          <w:rFonts w:ascii="Arial" w:hAnsi="Arial" w:cs="Arial"/>
        </w:rPr>
        <w:t xml:space="preserve"> to be applied to levy different rates for the different categories of rateable properties and </w:t>
      </w:r>
    </w:p>
    <w:p w14:paraId="6457C56F" w14:textId="77777777" w:rsidR="00A84A6D" w:rsidRDefault="00A84A6D" w:rsidP="00A84A6D">
      <w:pPr>
        <w:pStyle w:val="ListParagraph"/>
        <w:numPr>
          <w:ilvl w:val="1"/>
          <w:numId w:val="20"/>
        </w:numPr>
        <w:spacing w:before="240" w:after="240" w:line="360" w:lineRule="auto"/>
        <w:jc w:val="both"/>
        <w:rPr>
          <w:rFonts w:ascii="Arial" w:hAnsi="Arial" w:cs="Arial"/>
        </w:rPr>
      </w:pPr>
      <w:r>
        <w:rPr>
          <w:rFonts w:ascii="Arial" w:hAnsi="Arial" w:cs="Arial"/>
        </w:rPr>
        <w:t xml:space="preserve">The determination of item 11.1(b) of its 2018/2019 and 2019/2020 property rates policies as a </w:t>
      </w:r>
      <w:r w:rsidRPr="000A33D4">
        <w:rPr>
          <w:rFonts w:ascii="Arial" w:hAnsi="Arial" w:cs="Arial"/>
          <w:i/>
        </w:rPr>
        <w:t>criterium</w:t>
      </w:r>
      <w:r>
        <w:rPr>
          <w:rFonts w:ascii="Arial" w:hAnsi="Arial" w:cs="Arial"/>
        </w:rPr>
        <w:t xml:space="preserve"> to be applied to levy different rates for different categories of rateable properties. </w:t>
      </w:r>
    </w:p>
    <w:p w14:paraId="163E30FB" w14:textId="3B035EFD" w:rsidR="00A84A6D" w:rsidRPr="00161413" w:rsidRDefault="00A84A6D" w:rsidP="00A84A6D">
      <w:pPr>
        <w:pStyle w:val="ListParagraph"/>
        <w:numPr>
          <w:ilvl w:val="0"/>
          <w:numId w:val="19"/>
        </w:numPr>
        <w:spacing w:before="240" w:after="240" w:line="360" w:lineRule="auto"/>
        <w:ind w:hanging="720"/>
        <w:jc w:val="both"/>
        <w:rPr>
          <w:rFonts w:ascii="Arial" w:hAnsi="Arial" w:cs="Arial"/>
        </w:rPr>
      </w:pPr>
      <w:r w:rsidRPr="00161413">
        <w:rPr>
          <w:rFonts w:ascii="Arial" w:hAnsi="Arial" w:cs="Arial"/>
        </w:rPr>
        <w:t>The 2017/2018, 2018/2019 and 2019/2020 property rates policies are referred to the first respondent who must consider and apply the provisions of sections 3(3)(a),</w:t>
      </w:r>
      <w:r w:rsidR="00354C2D">
        <w:rPr>
          <w:rFonts w:ascii="Arial" w:hAnsi="Arial" w:cs="Arial"/>
        </w:rPr>
        <w:t xml:space="preserve"> </w:t>
      </w:r>
      <w:r w:rsidRPr="00161413">
        <w:rPr>
          <w:rFonts w:ascii="Arial" w:hAnsi="Arial" w:cs="Arial"/>
        </w:rPr>
        <w:t xml:space="preserve">3(3)(b)(i) and (ii), 14(2)(b)(2) and 19(1)(c) of the MPRA when considering such policies. </w:t>
      </w:r>
    </w:p>
    <w:p w14:paraId="6AE9D81C" w14:textId="77777777" w:rsidR="00A84A6D" w:rsidRPr="00605CDC" w:rsidRDefault="00A84A6D" w:rsidP="00692643">
      <w:pPr>
        <w:pStyle w:val="ListParagraph"/>
        <w:numPr>
          <w:ilvl w:val="0"/>
          <w:numId w:val="19"/>
        </w:numPr>
        <w:spacing w:before="240" w:after="240" w:line="360" w:lineRule="auto"/>
        <w:ind w:hanging="720"/>
        <w:jc w:val="both"/>
        <w:rPr>
          <w:rFonts w:ascii="Arial" w:hAnsi="Arial" w:cs="Arial"/>
        </w:rPr>
      </w:pPr>
      <w:r>
        <w:rPr>
          <w:rFonts w:ascii="Arial" w:hAnsi="Arial" w:cs="Arial"/>
        </w:rPr>
        <w:t>The decisions set out here</w:t>
      </w:r>
      <w:r w:rsidRPr="00605CDC">
        <w:rPr>
          <w:rFonts w:ascii="Arial" w:hAnsi="Arial" w:cs="Arial"/>
        </w:rPr>
        <w:t>under are declared unlawful and set aside</w:t>
      </w:r>
      <w:r>
        <w:rPr>
          <w:rFonts w:ascii="Arial" w:hAnsi="Arial" w:cs="Arial"/>
        </w:rPr>
        <w:t>:</w:t>
      </w:r>
      <w:r w:rsidRPr="00605CDC">
        <w:rPr>
          <w:rFonts w:ascii="Arial" w:hAnsi="Arial" w:cs="Arial"/>
        </w:rPr>
        <w:t xml:space="preserve"> </w:t>
      </w:r>
    </w:p>
    <w:p w14:paraId="28149C97" w14:textId="787AA939" w:rsidR="00A84A6D" w:rsidRDefault="00A84A6D" w:rsidP="00A84A6D">
      <w:pPr>
        <w:pStyle w:val="ListParagraph"/>
        <w:numPr>
          <w:ilvl w:val="1"/>
          <w:numId w:val="19"/>
        </w:numPr>
        <w:spacing w:before="240" w:after="240" w:line="360" w:lineRule="auto"/>
        <w:jc w:val="both"/>
        <w:rPr>
          <w:rFonts w:ascii="Arial" w:hAnsi="Arial" w:cs="Arial"/>
        </w:rPr>
      </w:pPr>
      <w:r>
        <w:rPr>
          <w:rFonts w:ascii="Arial" w:hAnsi="Arial" w:cs="Arial"/>
        </w:rPr>
        <w:t>The third respondent’s decision to categorise the applicant’s properties (specifically Erf 26454) situated in the first respondent’s municipal area and reflected in the first respondent’s valuation roll for the financial years 1 July 20</w:t>
      </w:r>
      <w:r w:rsidR="00354C2D">
        <w:rPr>
          <w:rFonts w:ascii="Arial" w:hAnsi="Arial" w:cs="Arial"/>
        </w:rPr>
        <w:t>1</w:t>
      </w:r>
      <w:r>
        <w:rPr>
          <w:rFonts w:ascii="Arial" w:hAnsi="Arial" w:cs="Arial"/>
        </w:rPr>
        <w:t xml:space="preserve">7 until 30 June 2021 as “business” in accordance with the provisions of sections 34 and 48(2)(b) of MPRA. </w:t>
      </w:r>
    </w:p>
    <w:p w14:paraId="39C80E6B" w14:textId="77777777" w:rsidR="00A84A6D" w:rsidRDefault="00A84A6D" w:rsidP="00A84A6D">
      <w:pPr>
        <w:pStyle w:val="ListParagraph"/>
        <w:numPr>
          <w:ilvl w:val="1"/>
          <w:numId w:val="19"/>
        </w:numPr>
        <w:spacing w:before="240" w:after="240" w:line="360" w:lineRule="auto"/>
        <w:jc w:val="both"/>
        <w:rPr>
          <w:rFonts w:ascii="Arial" w:hAnsi="Arial" w:cs="Arial"/>
        </w:rPr>
      </w:pPr>
      <w:r>
        <w:rPr>
          <w:rFonts w:ascii="Arial" w:hAnsi="Arial" w:cs="Arial"/>
        </w:rPr>
        <w:t>The third respondent’s decision to determine the market value of the applicant’s property situated in the first respondent’s municipal area and specifically the market value of Erf 26454 at the values recorded in the valuation roll (R 340 000 000.00 in respect of Erf 26454).</w:t>
      </w:r>
    </w:p>
    <w:p w14:paraId="4ADDF63D" w14:textId="1A465849" w:rsidR="00A84A6D" w:rsidRDefault="00A84A6D" w:rsidP="00A84A6D">
      <w:pPr>
        <w:pStyle w:val="ListParagraph"/>
        <w:numPr>
          <w:ilvl w:val="1"/>
          <w:numId w:val="19"/>
        </w:numPr>
        <w:spacing w:before="240" w:after="240" w:line="360" w:lineRule="auto"/>
        <w:jc w:val="both"/>
        <w:rPr>
          <w:rFonts w:ascii="Arial" w:hAnsi="Arial" w:cs="Arial"/>
        </w:rPr>
      </w:pPr>
      <w:r>
        <w:rPr>
          <w:rFonts w:ascii="Arial" w:hAnsi="Arial" w:cs="Arial"/>
        </w:rPr>
        <w:t>The first respondent’s decision to levy rates on the applicant’s properties in terms of their market value and their categorisation recorded in the valuation roll.</w:t>
      </w:r>
    </w:p>
    <w:p w14:paraId="403C540F" w14:textId="77777777" w:rsidR="00A84A6D" w:rsidRDefault="00A84A6D" w:rsidP="00EA09AC">
      <w:pPr>
        <w:pStyle w:val="ListParagraph"/>
        <w:numPr>
          <w:ilvl w:val="0"/>
          <w:numId w:val="19"/>
        </w:numPr>
        <w:spacing w:before="240" w:after="240" w:line="360" w:lineRule="auto"/>
        <w:ind w:hanging="720"/>
        <w:jc w:val="both"/>
        <w:rPr>
          <w:rFonts w:ascii="Arial" w:hAnsi="Arial" w:cs="Arial"/>
        </w:rPr>
      </w:pPr>
      <w:r>
        <w:rPr>
          <w:rFonts w:ascii="Arial" w:hAnsi="Arial" w:cs="Arial"/>
        </w:rPr>
        <w:t xml:space="preserve">The first and third respondents to pay the costs jointly and severally, the one paying the other to be absolved. Such costs to include the employment of two </w:t>
      </w:r>
      <w:r>
        <w:rPr>
          <w:rFonts w:ascii="Arial" w:hAnsi="Arial" w:cs="Arial"/>
        </w:rPr>
        <w:lastRenderedPageBreak/>
        <w:t>counsel until the completion of the drafting of the heads of argument.</w:t>
      </w:r>
      <w:r w:rsidRPr="0034149E">
        <w:rPr>
          <w:rFonts w:ascii="Arial" w:hAnsi="Arial" w:cs="Arial"/>
        </w:rPr>
        <w:t xml:space="preserve">            </w:t>
      </w:r>
      <w:r w:rsidRPr="0034149E">
        <w:rPr>
          <w:rFonts w:ascii="Arial" w:hAnsi="Arial" w:cs="Arial"/>
        </w:rPr>
        <w:tab/>
        <w:t xml:space="preserve">           </w:t>
      </w:r>
    </w:p>
    <w:p w14:paraId="66EE9D10" w14:textId="77777777" w:rsidR="000519D5" w:rsidRDefault="000519D5" w:rsidP="000519D5">
      <w:pPr>
        <w:pStyle w:val="ListParagraph"/>
        <w:spacing w:before="240" w:after="240" w:line="360" w:lineRule="auto"/>
        <w:jc w:val="both"/>
        <w:rPr>
          <w:rFonts w:ascii="Arial" w:hAnsi="Arial" w:cs="Arial"/>
        </w:rPr>
      </w:pPr>
    </w:p>
    <w:p w14:paraId="5345E994" w14:textId="77777777" w:rsidR="000519D5" w:rsidRPr="0034149E" w:rsidRDefault="000519D5" w:rsidP="000519D5">
      <w:pPr>
        <w:pStyle w:val="ListParagraph"/>
        <w:spacing w:before="240" w:after="240" w:line="360" w:lineRule="auto"/>
        <w:jc w:val="both"/>
        <w:rPr>
          <w:rFonts w:ascii="Arial" w:hAnsi="Arial" w:cs="Arial"/>
        </w:rPr>
      </w:pPr>
    </w:p>
    <w:p w14:paraId="641A6354" w14:textId="77777777" w:rsidR="00EA09AC" w:rsidRDefault="00EA09AC" w:rsidP="0035047C">
      <w:pPr>
        <w:pStyle w:val="ListParagraph"/>
        <w:ind w:left="5761"/>
        <w:jc w:val="right"/>
        <w:rPr>
          <w:rFonts w:ascii="Arial" w:hAnsi="Arial" w:cs="Arial"/>
          <w:sz w:val="28"/>
          <w:szCs w:val="28"/>
        </w:rPr>
      </w:pPr>
    </w:p>
    <w:p w14:paraId="2B08B16C" w14:textId="63616C5F"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14:paraId="078B3B1A" w14:textId="77777777" w:rsidR="005835FE"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14:paraId="03671723" w14:textId="77777777" w:rsidR="00034EB0" w:rsidRDefault="00034EB0" w:rsidP="0035047C">
      <w:pPr>
        <w:jc w:val="right"/>
        <w:rPr>
          <w:rFonts w:ascii="Arial" w:hAnsi="Arial" w:cs="Arial"/>
          <w:b/>
          <w:bCs/>
        </w:rPr>
      </w:pPr>
    </w:p>
    <w:p w14:paraId="24EF4028" w14:textId="77777777" w:rsidR="00034EB0" w:rsidRDefault="00034EB0" w:rsidP="0035047C">
      <w:pPr>
        <w:jc w:val="right"/>
        <w:rPr>
          <w:rFonts w:ascii="Arial" w:hAnsi="Arial" w:cs="Arial"/>
          <w:b/>
          <w:bCs/>
        </w:rPr>
      </w:pPr>
    </w:p>
    <w:p w14:paraId="097CF8FB" w14:textId="77777777" w:rsidR="00034EB0" w:rsidRDefault="00034EB0" w:rsidP="0035047C">
      <w:pPr>
        <w:jc w:val="right"/>
        <w:rPr>
          <w:rFonts w:ascii="Arial" w:hAnsi="Arial" w:cs="Arial"/>
          <w:b/>
          <w:bCs/>
        </w:rPr>
      </w:pPr>
    </w:p>
    <w:p w14:paraId="1A685C60" w14:textId="289A1386" w:rsidR="00034EB0" w:rsidRPr="00034EB0" w:rsidRDefault="00034EB0" w:rsidP="00034EB0">
      <w:pPr>
        <w:rPr>
          <w:rFonts w:ascii="Arial" w:hAnsi="Arial" w:cs="Arial"/>
          <w:bCs/>
        </w:rPr>
      </w:pPr>
      <w:r>
        <w:rPr>
          <w:rFonts w:ascii="Arial" w:hAnsi="Arial" w:cs="Arial"/>
          <w:bCs/>
        </w:rPr>
        <w:t>I concur</w:t>
      </w:r>
      <w:r w:rsidR="005748CD">
        <w:rPr>
          <w:rFonts w:ascii="Arial" w:hAnsi="Arial" w:cs="Arial"/>
          <w:bCs/>
        </w:rPr>
        <w:t>,</w:t>
      </w:r>
      <w:r>
        <w:rPr>
          <w:rFonts w:ascii="Arial" w:hAnsi="Arial" w:cs="Arial"/>
          <w:bCs/>
        </w:rPr>
        <w:t xml:space="preserve"> </w:t>
      </w:r>
    </w:p>
    <w:p w14:paraId="30AC8247" w14:textId="77777777" w:rsidR="00034EB0" w:rsidRDefault="00034EB0" w:rsidP="0035047C">
      <w:pPr>
        <w:jc w:val="right"/>
        <w:rPr>
          <w:rFonts w:ascii="Arial" w:hAnsi="Arial" w:cs="Arial"/>
          <w:b/>
          <w:bCs/>
        </w:rPr>
      </w:pPr>
    </w:p>
    <w:p w14:paraId="2E0FA0D7" w14:textId="77777777" w:rsidR="005748CD" w:rsidRDefault="005748CD" w:rsidP="0035047C">
      <w:pPr>
        <w:jc w:val="right"/>
        <w:rPr>
          <w:rFonts w:ascii="Arial" w:hAnsi="Arial" w:cs="Arial"/>
          <w:b/>
          <w:bCs/>
        </w:rPr>
      </w:pPr>
    </w:p>
    <w:p w14:paraId="650EA87F" w14:textId="77777777" w:rsidR="00034EB0" w:rsidRDefault="00034EB0" w:rsidP="0035047C">
      <w:pPr>
        <w:jc w:val="right"/>
        <w:rPr>
          <w:rFonts w:ascii="Arial" w:hAnsi="Arial" w:cs="Arial"/>
          <w:b/>
          <w:bCs/>
        </w:rPr>
      </w:pPr>
    </w:p>
    <w:p w14:paraId="7E62EDA5" w14:textId="77777777" w:rsidR="00034EB0" w:rsidRDefault="00034EB0" w:rsidP="00034EB0">
      <w:pPr>
        <w:pStyle w:val="ListParagraph"/>
        <w:ind w:left="5761"/>
        <w:jc w:val="right"/>
        <w:rPr>
          <w:rFonts w:ascii="Arial" w:hAnsi="Arial" w:cs="Arial"/>
          <w:sz w:val="28"/>
          <w:szCs w:val="28"/>
        </w:rPr>
      </w:pPr>
      <w:r>
        <w:rPr>
          <w:rFonts w:ascii="Arial" w:hAnsi="Arial" w:cs="Arial"/>
          <w:sz w:val="28"/>
          <w:szCs w:val="28"/>
        </w:rPr>
        <w:t>_________________</w:t>
      </w:r>
    </w:p>
    <w:p w14:paraId="3443C728" w14:textId="77777777" w:rsidR="00034EB0" w:rsidRPr="002B369A" w:rsidRDefault="00034EB0" w:rsidP="00034EB0">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OPPERMAN, J</w:t>
      </w:r>
    </w:p>
    <w:p w14:paraId="273C18E2" w14:textId="77777777" w:rsidR="00034EB0" w:rsidRPr="002B369A" w:rsidRDefault="00034EB0" w:rsidP="0035047C">
      <w:pPr>
        <w:jc w:val="right"/>
        <w:rPr>
          <w:rFonts w:ascii="Arial" w:hAnsi="Arial" w:cs="Arial"/>
          <w:b/>
          <w:bCs/>
        </w:rPr>
      </w:pPr>
    </w:p>
    <w:p w14:paraId="4793574A" w14:textId="77777777" w:rsidR="005835FE" w:rsidRPr="00C20DEE" w:rsidRDefault="005835FE" w:rsidP="0035047C">
      <w:pPr>
        <w:jc w:val="right"/>
        <w:rPr>
          <w:rFonts w:ascii="Arial" w:hAnsi="Arial" w:cs="Arial"/>
        </w:rPr>
      </w:pPr>
    </w:p>
    <w:p w14:paraId="7A888CC5" w14:textId="77777777" w:rsidR="005835FE" w:rsidRPr="00C20DEE" w:rsidRDefault="005835FE" w:rsidP="005B271F">
      <w:pPr>
        <w:spacing w:line="360" w:lineRule="auto"/>
        <w:jc w:val="both"/>
        <w:rPr>
          <w:rFonts w:ascii="Arial" w:hAnsi="Arial" w:cs="Arial"/>
        </w:rPr>
      </w:pPr>
    </w:p>
    <w:p w14:paraId="638D4811" w14:textId="6F70AF80"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CC139A">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4D3478">
        <w:rPr>
          <w:rFonts w:ascii="Arial" w:hAnsi="Arial" w:cs="Arial"/>
          <w:color w:val="000000" w:themeColor="text1"/>
        </w:rPr>
        <w:tab/>
      </w:r>
      <w:r w:rsidR="009A69BA">
        <w:rPr>
          <w:rFonts w:ascii="Arial" w:hAnsi="Arial" w:cs="Arial"/>
          <w:color w:val="000000" w:themeColor="text1"/>
        </w:rPr>
        <w:t xml:space="preserve">Adv. </w:t>
      </w:r>
      <w:r w:rsidR="00034EB0">
        <w:rPr>
          <w:rFonts w:ascii="Arial" w:hAnsi="Arial" w:cs="Arial"/>
          <w:color w:val="000000" w:themeColor="text1"/>
        </w:rPr>
        <w:t>J</w:t>
      </w:r>
      <w:r w:rsidR="00B924BC">
        <w:rPr>
          <w:rFonts w:ascii="Arial" w:hAnsi="Arial" w:cs="Arial"/>
          <w:color w:val="000000" w:themeColor="text1"/>
        </w:rPr>
        <w:t>.</w:t>
      </w:r>
      <w:r w:rsidR="00034EB0">
        <w:rPr>
          <w:rFonts w:ascii="Arial" w:hAnsi="Arial" w:cs="Arial"/>
          <w:color w:val="000000" w:themeColor="text1"/>
        </w:rPr>
        <w:t>S</w:t>
      </w:r>
      <w:r w:rsidR="00B924BC">
        <w:rPr>
          <w:rFonts w:ascii="Arial" w:hAnsi="Arial" w:cs="Arial"/>
          <w:color w:val="000000" w:themeColor="text1"/>
        </w:rPr>
        <w:t>.</w:t>
      </w:r>
      <w:r w:rsidR="00034EB0">
        <w:rPr>
          <w:rFonts w:ascii="Arial" w:hAnsi="Arial" w:cs="Arial"/>
          <w:color w:val="000000" w:themeColor="text1"/>
        </w:rPr>
        <w:t xml:space="preserve"> Rautenbach</w:t>
      </w:r>
    </w:p>
    <w:p w14:paraId="3E12A099" w14:textId="57B4AADF"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4D3478">
        <w:rPr>
          <w:rFonts w:ascii="Arial" w:hAnsi="Arial" w:cs="Arial"/>
          <w:color w:val="000000" w:themeColor="text1"/>
        </w:rPr>
        <w:tab/>
      </w:r>
      <w:r w:rsidR="004D3478">
        <w:rPr>
          <w:rFonts w:ascii="Arial" w:hAnsi="Arial" w:cs="Arial"/>
          <w:color w:val="000000" w:themeColor="text1"/>
        </w:rPr>
        <w:tab/>
      </w:r>
      <w:r w:rsidR="00034EB0">
        <w:rPr>
          <w:rFonts w:ascii="Arial" w:hAnsi="Arial" w:cs="Arial"/>
          <w:color w:val="000000" w:themeColor="text1"/>
        </w:rPr>
        <w:t>Blair Attorneys</w:t>
      </w:r>
    </w:p>
    <w:p w14:paraId="6BA7E10D" w14:textId="6CD751B8"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034EB0">
        <w:rPr>
          <w:rFonts w:ascii="Arial" w:hAnsi="Arial" w:cs="Arial"/>
          <w:color w:val="000000" w:themeColor="text1"/>
        </w:rPr>
        <w:t xml:space="preserve"> </w:t>
      </w:r>
      <w:r w:rsidR="004D3478">
        <w:rPr>
          <w:rFonts w:ascii="Arial" w:hAnsi="Arial" w:cs="Arial"/>
          <w:color w:val="000000" w:themeColor="text1"/>
        </w:rPr>
        <w:tab/>
      </w:r>
      <w:r w:rsidR="004D3478">
        <w:rPr>
          <w:rFonts w:ascii="Arial" w:hAnsi="Arial" w:cs="Arial"/>
          <w:color w:val="000000" w:themeColor="text1"/>
        </w:rPr>
        <w:tab/>
      </w:r>
      <w:r w:rsidR="00034EB0">
        <w:rPr>
          <w:rFonts w:ascii="Arial" w:hAnsi="Arial" w:cs="Arial"/>
          <w:color w:val="000000" w:themeColor="text1"/>
        </w:rPr>
        <w:t xml:space="preserve">32 First </w:t>
      </w:r>
      <w:r w:rsidR="009A69BA">
        <w:rPr>
          <w:rFonts w:ascii="Arial" w:hAnsi="Arial" w:cs="Arial"/>
          <w:color w:val="000000" w:themeColor="text1"/>
        </w:rPr>
        <w:t>Street</w:t>
      </w:r>
    </w:p>
    <w:p w14:paraId="227196E7" w14:textId="57A5131C" w:rsidR="00C20DEE" w:rsidRPr="00C20DEE" w:rsidRDefault="00C20DEE"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4D3478">
        <w:rPr>
          <w:rFonts w:ascii="Arial" w:hAnsi="Arial" w:cs="Arial"/>
          <w:color w:val="000000" w:themeColor="text1"/>
        </w:rPr>
        <w:tab/>
      </w:r>
      <w:r w:rsidR="004D3478">
        <w:rPr>
          <w:rFonts w:ascii="Arial" w:hAnsi="Arial" w:cs="Arial"/>
          <w:color w:val="000000" w:themeColor="text1"/>
        </w:rPr>
        <w:tab/>
      </w:r>
      <w:r w:rsidR="00804DDE">
        <w:rPr>
          <w:rFonts w:ascii="Arial" w:hAnsi="Arial" w:cs="Arial"/>
          <w:color w:val="000000" w:themeColor="text1"/>
        </w:rPr>
        <w:t>W</w:t>
      </w:r>
      <w:r w:rsidR="009A69BA">
        <w:rPr>
          <w:rFonts w:ascii="Arial" w:hAnsi="Arial" w:cs="Arial"/>
          <w:color w:val="000000" w:themeColor="text1"/>
        </w:rPr>
        <w:t>estdene</w:t>
      </w:r>
      <w:r w:rsidR="005B56EE">
        <w:rPr>
          <w:rFonts w:ascii="Arial" w:hAnsi="Arial" w:cs="Arial"/>
          <w:color w:val="000000" w:themeColor="text1"/>
        </w:rPr>
        <w:t xml:space="preserve"> </w:t>
      </w:r>
      <w:r w:rsidRPr="00C20DEE">
        <w:rPr>
          <w:rFonts w:ascii="Arial" w:hAnsi="Arial" w:cs="Arial"/>
          <w:color w:val="000000" w:themeColor="text1"/>
        </w:rPr>
        <w:t xml:space="preserve"> </w:t>
      </w:r>
    </w:p>
    <w:p w14:paraId="7AB6D409" w14:textId="5F870B6C" w:rsidR="00E5481E" w:rsidRPr="00C20DEE" w:rsidRDefault="00F24BE3" w:rsidP="009E06E4">
      <w:pPr>
        <w:tabs>
          <w:tab w:val="left" w:pos="2880"/>
        </w:tabs>
        <w:spacing w:line="360" w:lineRule="auto"/>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004D3478">
        <w:rPr>
          <w:rFonts w:ascii="Arial" w:hAnsi="Arial" w:cs="Arial"/>
          <w:color w:val="000000" w:themeColor="text1"/>
        </w:rPr>
        <w:tab/>
      </w:r>
      <w:r w:rsidRPr="00C20DEE">
        <w:rPr>
          <w:rFonts w:ascii="Arial" w:hAnsi="Arial" w:cs="Arial"/>
          <w:color w:val="000000" w:themeColor="text1"/>
        </w:rPr>
        <w:t>Bloemfontein</w:t>
      </w:r>
    </w:p>
    <w:p w14:paraId="52F15F58" w14:textId="77777777" w:rsidR="00E5481E" w:rsidRPr="00C20DEE" w:rsidRDefault="00E5481E" w:rsidP="007C2356">
      <w:pPr>
        <w:ind w:left="851" w:hanging="851"/>
        <w:rPr>
          <w:rFonts w:ascii="Arial" w:hAnsi="Arial" w:cs="Arial"/>
          <w:color w:val="000000" w:themeColor="text1"/>
        </w:rPr>
      </w:pPr>
    </w:p>
    <w:p w14:paraId="10E39966" w14:textId="77777777" w:rsidR="00E5481E" w:rsidRPr="00C20DEE" w:rsidRDefault="00E5481E" w:rsidP="007C2356">
      <w:pPr>
        <w:ind w:left="851" w:hanging="851"/>
        <w:rPr>
          <w:rFonts w:ascii="Arial" w:hAnsi="Arial" w:cs="Arial"/>
          <w:color w:val="000000" w:themeColor="text1"/>
        </w:rPr>
      </w:pPr>
    </w:p>
    <w:p w14:paraId="06809D26" w14:textId="5109BF14"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4D3478">
        <w:rPr>
          <w:rFonts w:ascii="Arial" w:hAnsi="Arial" w:cs="Arial"/>
          <w:color w:val="000000" w:themeColor="text1"/>
        </w:rPr>
        <w:t>s</w:t>
      </w:r>
      <w:r w:rsidRPr="00C20DEE">
        <w:rPr>
          <w:rFonts w:ascii="Arial" w:hAnsi="Arial" w:cs="Arial"/>
          <w:color w:val="000000" w:themeColor="text1"/>
        </w:rPr>
        <w: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4D3478">
        <w:rPr>
          <w:rFonts w:ascii="Arial" w:hAnsi="Arial" w:cs="Arial"/>
          <w:color w:val="000000" w:themeColor="text1"/>
        </w:rPr>
        <w:tab/>
      </w:r>
      <w:r w:rsidR="00F24BE3" w:rsidRPr="00C20DEE">
        <w:rPr>
          <w:rFonts w:ascii="Arial" w:hAnsi="Arial" w:cs="Arial"/>
          <w:color w:val="000000" w:themeColor="text1"/>
        </w:rPr>
        <w:t>Adv</w:t>
      </w:r>
      <w:r w:rsidR="00034EB0">
        <w:rPr>
          <w:rFonts w:ascii="Arial" w:hAnsi="Arial" w:cs="Arial"/>
          <w:color w:val="000000" w:themeColor="text1"/>
        </w:rPr>
        <w:t>.</w:t>
      </w:r>
      <w:r w:rsidR="005B56EE">
        <w:rPr>
          <w:rFonts w:ascii="Arial" w:hAnsi="Arial" w:cs="Arial"/>
          <w:color w:val="000000" w:themeColor="text1"/>
        </w:rPr>
        <w:t xml:space="preserve"> </w:t>
      </w:r>
      <w:r w:rsidR="00034EB0">
        <w:rPr>
          <w:rFonts w:ascii="Arial" w:hAnsi="Arial" w:cs="Arial"/>
          <w:color w:val="000000" w:themeColor="text1"/>
        </w:rPr>
        <w:t>A.H</w:t>
      </w:r>
      <w:r w:rsidR="00B924BC">
        <w:rPr>
          <w:rFonts w:ascii="Arial" w:hAnsi="Arial" w:cs="Arial"/>
          <w:color w:val="000000" w:themeColor="text1"/>
        </w:rPr>
        <w:t>.</w:t>
      </w:r>
      <w:r w:rsidR="00034EB0">
        <w:rPr>
          <w:rFonts w:ascii="Arial" w:hAnsi="Arial" w:cs="Arial"/>
          <w:color w:val="000000" w:themeColor="text1"/>
        </w:rPr>
        <w:t xml:space="preserve"> Burger SC </w:t>
      </w:r>
    </w:p>
    <w:p w14:paraId="0F196C09" w14:textId="2F37DA22" w:rsidR="00D82B1F"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4D3478">
        <w:rPr>
          <w:rFonts w:ascii="Arial" w:hAnsi="Arial" w:cs="Arial"/>
          <w:color w:val="000000" w:themeColor="text1"/>
        </w:rPr>
        <w:tab/>
      </w:r>
      <w:proofErr w:type="spellStart"/>
      <w:r w:rsidR="00034EB0">
        <w:rPr>
          <w:rFonts w:ascii="Arial" w:hAnsi="Arial" w:cs="Arial"/>
          <w:color w:val="000000" w:themeColor="text1"/>
        </w:rPr>
        <w:t>Rampai</w:t>
      </w:r>
      <w:proofErr w:type="spellEnd"/>
      <w:r w:rsidR="00034EB0">
        <w:rPr>
          <w:rFonts w:ascii="Arial" w:hAnsi="Arial" w:cs="Arial"/>
          <w:color w:val="000000" w:themeColor="text1"/>
        </w:rPr>
        <w:t xml:space="preserve"> Attorneys </w:t>
      </w:r>
    </w:p>
    <w:p w14:paraId="5D5255B5" w14:textId="60678BF3"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4D3478">
        <w:rPr>
          <w:rFonts w:ascii="Arial" w:hAnsi="Arial" w:cs="Arial"/>
          <w:color w:val="000000" w:themeColor="text1"/>
        </w:rPr>
        <w:tab/>
      </w:r>
      <w:r w:rsidR="00034EB0">
        <w:rPr>
          <w:rFonts w:ascii="Arial" w:hAnsi="Arial" w:cs="Arial"/>
          <w:color w:val="000000" w:themeColor="text1"/>
        </w:rPr>
        <w:t xml:space="preserve">48 Gen Hertzog Street </w:t>
      </w:r>
    </w:p>
    <w:p w14:paraId="3AAEE2B0" w14:textId="7F70C7E9" w:rsidR="00D82B1F"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4D3478">
        <w:rPr>
          <w:rFonts w:ascii="Arial" w:hAnsi="Arial" w:cs="Arial"/>
          <w:color w:val="000000" w:themeColor="text1"/>
        </w:rPr>
        <w:tab/>
      </w:r>
      <w:r w:rsidR="00034EB0">
        <w:rPr>
          <w:rFonts w:ascii="Arial" w:hAnsi="Arial" w:cs="Arial"/>
          <w:color w:val="000000" w:themeColor="text1"/>
        </w:rPr>
        <w:t xml:space="preserve">Dan Pienaar </w:t>
      </w:r>
    </w:p>
    <w:p w14:paraId="623B3CEC" w14:textId="24B21F4C" w:rsidR="005960F0" w:rsidRPr="00C20DEE"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4D3478">
        <w:rPr>
          <w:rFonts w:ascii="Arial" w:hAnsi="Arial" w:cs="Arial"/>
          <w:color w:val="000000" w:themeColor="text1"/>
        </w:rPr>
        <w:tab/>
      </w:r>
      <w:r w:rsidR="00F24BE3" w:rsidRPr="00C20DEE">
        <w:rPr>
          <w:rFonts w:ascii="Arial" w:hAnsi="Arial" w:cs="Arial"/>
          <w:color w:val="000000" w:themeColor="text1"/>
        </w:rPr>
        <w:t>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14:paraId="159D126A"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372F" w14:textId="77777777" w:rsidR="00DA534F" w:rsidRDefault="00DA534F" w:rsidP="00DA5395">
      <w:r>
        <w:separator/>
      </w:r>
    </w:p>
  </w:endnote>
  <w:endnote w:type="continuationSeparator" w:id="0">
    <w:p w14:paraId="6FCA6E6A" w14:textId="77777777" w:rsidR="00DA534F" w:rsidRDefault="00DA534F" w:rsidP="00DA5395">
      <w:r>
        <w:continuationSeparator/>
      </w:r>
    </w:p>
  </w:endnote>
  <w:endnote w:type="continuationNotice" w:id="1">
    <w:p w14:paraId="0858BB74" w14:textId="77777777" w:rsidR="00DA534F" w:rsidRDefault="00DA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D9A4" w14:textId="77777777" w:rsidR="00DA534F" w:rsidRDefault="00DA534F" w:rsidP="00DA5395">
      <w:r>
        <w:separator/>
      </w:r>
    </w:p>
  </w:footnote>
  <w:footnote w:type="continuationSeparator" w:id="0">
    <w:p w14:paraId="28D4E41F" w14:textId="77777777" w:rsidR="00DA534F" w:rsidRDefault="00DA534F" w:rsidP="00DA5395">
      <w:r>
        <w:continuationSeparator/>
      </w:r>
    </w:p>
  </w:footnote>
  <w:footnote w:type="continuationNotice" w:id="1">
    <w:p w14:paraId="5CFDE971" w14:textId="77777777" w:rsidR="00DA534F" w:rsidRDefault="00DA534F"/>
  </w:footnote>
  <w:footnote w:id="2">
    <w:p w14:paraId="627BD2AD" w14:textId="77777777" w:rsidR="00E53F4D" w:rsidRPr="00E42B0F" w:rsidRDefault="00E53F4D" w:rsidP="00E53F4D">
      <w:pPr>
        <w:pStyle w:val="FootnoteText"/>
        <w:rPr>
          <w:lang w:val="en-US"/>
        </w:rPr>
      </w:pPr>
      <w:r>
        <w:rPr>
          <w:rStyle w:val="FootnoteReference"/>
        </w:rPr>
        <w:footnoteRef/>
      </w:r>
      <w:r>
        <w:t xml:space="preserve"> </w:t>
      </w:r>
      <w:r>
        <w:rPr>
          <w:lang w:val="en-US"/>
        </w:rPr>
        <w:t>No. 6 of 2004.</w:t>
      </w:r>
    </w:p>
  </w:footnote>
  <w:footnote w:id="3">
    <w:p w14:paraId="02EBC25F" w14:textId="77777777" w:rsidR="00400748" w:rsidRPr="00C00D79" w:rsidRDefault="00400748">
      <w:pPr>
        <w:pStyle w:val="FootnoteText"/>
        <w:rPr>
          <w:lang w:val="en-ZA"/>
        </w:rPr>
      </w:pPr>
      <w:r>
        <w:rPr>
          <w:rStyle w:val="FootnoteReference"/>
        </w:rPr>
        <w:footnoteRef/>
      </w:r>
      <w:r>
        <w:t xml:space="preserve"> </w:t>
      </w:r>
      <w:r>
        <w:rPr>
          <w:lang w:val="en-ZA"/>
        </w:rPr>
        <w:t>No 3 of 2000.</w:t>
      </w:r>
    </w:p>
  </w:footnote>
  <w:footnote w:id="4">
    <w:p w14:paraId="298C699D" w14:textId="77777777" w:rsidR="00400748" w:rsidRPr="004032A9" w:rsidRDefault="00400748">
      <w:pPr>
        <w:pStyle w:val="FootnoteText"/>
        <w:rPr>
          <w:lang w:val="en-ZA"/>
        </w:rPr>
      </w:pPr>
      <w:r>
        <w:rPr>
          <w:rStyle w:val="FootnoteReference"/>
        </w:rPr>
        <w:footnoteRef/>
      </w:r>
      <w:r>
        <w:t xml:space="preserve"> </w:t>
      </w:r>
      <w:r>
        <w:rPr>
          <w:lang w:val="en-ZA"/>
        </w:rPr>
        <w:t xml:space="preserve">Paragraph 5 of the Founding Affidavit. </w:t>
      </w:r>
    </w:p>
  </w:footnote>
  <w:footnote w:id="5">
    <w:p w14:paraId="2C140078" w14:textId="77777777" w:rsidR="00194466" w:rsidRPr="004032A9" w:rsidRDefault="00194466" w:rsidP="00194466">
      <w:pPr>
        <w:pStyle w:val="FootnoteText"/>
        <w:rPr>
          <w:lang w:val="en-ZA"/>
        </w:rPr>
      </w:pPr>
      <w:r>
        <w:rPr>
          <w:rStyle w:val="FootnoteReference"/>
        </w:rPr>
        <w:footnoteRef/>
      </w:r>
      <w:r>
        <w:t xml:space="preserve"> </w:t>
      </w:r>
      <w:r>
        <w:rPr>
          <w:lang w:val="en-ZA"/>
        </w:rPr>
        <w:t xml:space="preserve">Section 239 of the Constitution of Republic of South Africa. </w:t>
      </w:r>
    </w:p>
  </w:footnote>
  <w:footnote w:id="6">
    <w:p w14:paraId="7CB69311" w14:textId="77777777" w:rsidR="00400748" w:rsidRPr="00397F46" w:rsidRDefault="00400748">
      <w:pPr>
        <w:pStyle w:val="FootnoteText"/>
        <w:rPr>
          <w:lang w:val="en-ZA"/>
        </w:rPr>
      </w:pPr>
      <w:r>
        <w:rPr>
          <w:rStyle w:val="FootnoteReference"/>
        </w:rPr>
        <w:footnoteRef/>
      </w:r>
      <w:r>
        <w:t xml:space="preserve"> </w:t>
      </w:r>
      <w:r>
        <w:rPr>
          <w:lang w:val="en-ZA"/>
        </w:rPr>
        <w:t xml:space="preserve">Section 11(3) of the Systems Act. </w:t>
      </w:r>
    </w:p>
  </w:footnote>
  <w:footnote w:id="7">
    <w:p w14:paraId="0334DCD4" w14:textId="77777777" w:rsidR="00400748" w:rsidRPr="004421FC" w:rsidRDefault="00400748">
      <w:pPr>
        <w:pStyle w:val="FootnoteText"/>
        <w:rPr>
          <w:lang w:val="en-ZA"/>
        </w:rPr>
      </w:pPr>
      <w:r>
        <w:rPr>
          <w:rStyle w:val="FootnoteReference"/>
        </w:rPr>
        <w:footnoteRef/>
      </w:r>
      <w:r>
        <w:t xml:space="preserve"> </w:t>
      </w:r>
      <w:r>
        <w:rPr>
          <w:lang w:val="en-ZA"/>
        </w:rPr>
        <w:t>Annexure “FA2” on page 85 and 86 of the Indexed Papers.</w:t>
      </w:r>
    </w:p>
  </w:footnote>
  <w:footnote w:id="8">
    <w:p w14:paraId="1E0868FD" w14:textId="77777777" w:rsidR="00400748" w:rsidRPr="00A630F3" w:rsidRDefault="00400748">
      <w:pPr>
        <w:pStyle w:val="FootnoteText"/>
        <w:rPr>
          <w:lang w:val="en-US"/>
        </w:rPr>
      </w:pPr>
      <w:r>
        <w:rPr>
          <w:rStyle w:val="FootnoteReference"/>
        </w:rPr>
        <w:footnoteRef/>
      </w:r>
      <w:r>
        <w:t xml:space="preserve"> </w:t>
      </w:r>
      <w:r>
        <w:rPr>
          <w:lang w:val="en-US"/>
        </w:rPr>
        <w:t>Paras 25 and 26 of the FA.</w:t>
      </w:r>
    </w:p>
  </w:footnote>
  <w:footnote w:id="9">
    <w:p w14:paraId="43B07FB0" w14:textId="77777777" w:rsidR="00400748" w:rsidRPr="00C5207F" w:rsidRDefault="00400748">
      <w:pPr>
        <w:pStyle w:val="FootnoteText"/>
        <w:rPr>
          <w:lang w:val="en-US"/>
        </w:rPr>
      </w:pPr>
      <w:r>
        <w:rPr>
          <w:rStyle w:val="FootnoteReference"/>
        </w:rPr>
        <w:footnoteRef/>
      </w:r>
      <w:r>
        <w:t xml:space="preserve"> </w:t>
      </w:r>
      <w:r>
        <w:rPr>
          <w:lang w:val="en-US"/>
        </w:rPr>
        <w:t>Para 33 of the FA.</w:t>
      </w:r>
    </w:p>
  </w:footnote>
  <w:footnote w:id="10">
    <w:p w14:paraId="651F623F" w14:textId="77777777" w:rsidR="00400748" w:rsidRPr="007E399A" w:rsidRDefault="00400748">
      <w:pPr>
        <w:pStyle w:val="FootnoteText"/>
        <w:rPr>
          <w:lang w:val="en-US"/>
        </w:rPr>
      </w:pPr>
      <w:r>
        <w:rPr>
          <w:rStyle w:val="FootnoteReference"/>
        </w:rPr>
        <w:footnoteRef/>
      </w:r>
      <w:r>
        <w:t xml:space="preserve"> Para 28 of the FA.</w:t>
      </w:r>
    </w:p>
  </w:footnote>
  <w:footnote w:id="11">
    <w:p w14:paraId="14C85041" w14:textId="77777777" w:rsidR="00E02582" w:rsidRPr="005466BF" w:rsidRDefault="00E02582" w:rsidP="00E02582">
      <w:pPr>
        <w:pStyle w:val="FootnoteText"/>
        <w:rPr>
          <w:lang w:val="en-US"/>
        </w:rPr>
      </w:pPr>
      <w:r>
        <w:rPr>
          <w:rStyle w:val="FootnoteReference"/>
        </w:rPr>
        <w:footnoteRef/>
      </w:r>
      <w:r>
        <w:t xml:space="preserve"> </w:t>
      </w:r>
      <w:r>
        <w:rPr>
          <w:lang w:val="en-US"/>
        </w:rPr>
        <w:t>Para 36 of the FA.</w:t>
      </w:r>
    </w:p>
  </w:footnote>
  <w:footnote w:id="12">
    <w:p w14:paraId="70808223" w14:textId="77777777" w:rsidR="00400748" w:rsidRPr="0097450A" w:rsidRDefault="00400748">
      <w:pPr>
        <w:pStyle w:val="FootnoteText"/>
        <w:rPr>
          <w:lang w:val="en-US"/>
        </w:rPr>
      </w:pPr>
      <w:r>
        <w:rPr>
          <w:rStyle w:val="FootnoteReference"/>
        </w:rPr>
        <w:footnoteRef/>
      </w:r>
      <w:r>
        <w:t xml:space="preserve"> </w:t>
      </w:r>
      <w:r>
        <w:rPr>
          <w:lang w:val="en-US"/>
        </w:rPr>
        <w:t>Para 37 of the FA.</w:t>
      </w:r>
    </w:p>
  </w:footnote>
  <w:footnote w:id="13">
    <w:p w14:paraId="0D0D624B" w14:textId="77777777" w:rsidR="00400748" w:rsidRPr="00E53DBE" w:rsidRDefault="00400748">
      <w:pPr>
        <w:pStyle w:val="FootnoteText"/>
        <w:rPr>
          <w:lang w:val="en-US"/>
        </w:rPr>
      </w:pPr>
      <w:r>
        <w:rPr>
          <w:rStyle w:val="FootnoteReference"/>
        </w:rPr>
        <w:footnoteRef/>
      </w:r>
      <w:r>
        <w:t xml:space="preserve"> </w:t>
      </w:r>
      <w:r>
        <w:rPr>
          <w:lang w:val="en-US"/>
        </w:rPr>
        <w:t>Para 38 of the FA.</w:t>
      </w:r>
    </w:p>
  </w:footnote>
  <w:footnote w:id="14">
    <w:p w14:paraId="558095CF" w14:textId="669CEBC0" w:rsidR="00400748" w:rsidRPr="005D1104" w:rsidRDefault="00400748">
      <w:pPr>
        <w:pStyle w:val="FootnoteText"/>
        <w:rPr>
          <w:lang w:val="en-ZA"/>
        </w:rPr>
      </w:pPr>
      <w:r>
        <w:rPr>
          <w:rStyle w:val="FootnoteReference"/>
        </w:rPr>
        <w:footnoteRef/>
      </w:r>
      <w:r>
        <w:t xml:space="preserve"> </w:t>
      </w:r>
      <w:r>
        <w:rPr>
          <w:lang w:val="en-ZA"/>
        </w:rPr>
        <w:t>Para 2.2 of the AA</w:t>
      </w:r>
      <w:r w:rsidR="008636DC">
        <w:rPr>
          <w:lang w:val="en-ZA"/>
        </w:rPr>
        <w:t>.</w:t>
      </w:r>
    </w:p>
  </w:footnote>
  <w:footnote w:id="15">
    <w:p w14:paraId="410019BD" w14:textId="77777777" w:rsidR="00400748" w:rsidRPr="00DD2BC5" w:rsidRDefault="00400748">
      <w:pPr>
        <w:pStyle w:val="FootnoteText"/>
        <w:rPr>
          <w:lang w:val="en-ZA"/>
        </w:rPr>
      </w:pPr>
      <w:r>
        <w:rPr>
          <w:rStyle w:val="FootnoteReference"/>
        </w:rPr>
        <w:footnoteRef/>
      </w:r>
      <w:r>
        <w:t xml:space="preserve"> </w:t>
      </w:r>
      <w:r>
        <w:rPr>
          <w:lang w:val="en-ZA"/>
        </w:rPr>
        <w:t>Para 2.2 of the AA; annexure “FA 13.1” on page 120 of the Index.</w:t>
      </w:r>
    </w:p>
  </w:footnote>
  <w:footnote w:id="16">
    <w:p w14:paraId="3BE844F2" w14:textId="77777777" w:rsidR="00400748" w:rsidRPr="001B13BF" w:rsidRDefault="00400748">
      <w:pPr>
        <w:pStyle w:val="FootnoteText"/>
        <w:rPr>
          <w:lang w:val="en-ZA"/>
        </w:rPr>
      </w:pPr>
      <w:r>
        <w:rPr>
          <w:rStyle w:val="FootnoteReference"/>
        </w:rPr>
        <w:footnoteRef/>
      </w:r>
      <w:r>
        <w:t xml:space="preserve"> </w:t>
      </w:r>
      <w:r>
        <w:rPr>
          <w:lang w:val="en-ZA"/>
        </w:rPr>
        <w:t>Para 2.6.1 of the AA.</w:t>
      </w:r>
    </w:p>
  </w:footnote>
  <w:footnote w:id="17">
    <w:p w14:paraId="58A9D739" w14:textId="77777777" w:rsidR="00400748" w:rsidRPr="00173B27" w:rsidRDefault="00400748">
      <w:pPr>
        <w:pStyle w:val="FootnoteText"/>
        <w:rPr>
          <w:lang w:val="en-ZA"/>
        </w:rPr>
      </w:pPr>
      <w:r>
        <w:rPr>
          <w:rStyle w:val="FootnoteReference"/>
        </w:rPr>
        <w:footnoteRef/>
      </w:r>
      <w:r>
        <w:t xml:space="preserve"> </w:t>
      </w:r>
      <w:r>
        <w:rPr>
          <w:lang w:val="en-ZA"/>
        </w:rPr>
        <w:t>Para 2.6.1 of the AA.</w:t>
      </w:r>
    </w:p>
  </w:footnote>
  <w:footnote w:id="18">
    <w:p w14:paraId="06B28159" w14:textId="77777777" w:rsidR="00400748" w:rsidRPr="0000752B" w:rsidRDefault="00400748">
      <w:pPr>
        <w:pStyle w:val="FootnoteText"/>
        <w:rPr>
          <w:lang w:val="en-ZA"/>
        </w:rPr>
      </w:pPr>
      <w:r>
        <w:rPr>
          <w:rStyle w:val="FootnoteReference"/>
        </w:rPr>
        <w:footnoteRef/>
      </w:r>
      <w:r>
        <w:t xml:space="preserve"> </w:t>
      </w:r>
      <w:r>
        <w:rPr>
          <w:lang w:val="en-ZA"/>
        </w:rPr>
        <w:t>Paras 2.3-2.5 of the AA.</w:t>
      </w:r>
    </w:p>
  </w:footnote>
  <w:footnote w:id="19">
    <w:p w14:paraId="0918EC6E" w14:textId="77777777" w:rsidR="00400748" w:rsidRPr="004A2E58" w:rsidRDefault="00400748">
      <w:pPr>
        <w:pStyle w:val="FootnoteText"/>
        <w:rPr>
          <w:lang w:val="en-ZA"/>
        </w:rPr>
      </w:pPr>
      <w:r>
        <w:rPr>
          <w:rStyle w:val="FootnoteReference"/>
        </w:rPr>
        <w:footnoteRef/>
      </w:r>
      <w:r>
        <w:t xml:space="preserve"> </w:t>
      </w:r>
      <w:r>
        <w:rPr>
          <w:lang w:val="en-ZA"/>
        </w:rPr>
        <w:t>Para 2.8 of the AA.</w:t>
      </w:r>
    </w:p>
  </w:footnote>
  <w:footnote w:id="20">
    <w:p w14:paraId="1C32FB2D" w14:textId="77777777" w:rsidR="00400748" w:rsidRPr="00A74C9F" w:rsidRDefault="00400748">
      <w:pPr>
        <w:pStyle w:val="FootnoteText"/>
        <w:rPr>
          <w:lang w:val="en-ZA"/>
        </w:rPr>
      </w:pPr>
      <w:r>
        <w:rPr>
          <w:rStyle w:val="FootnoteReference"/>
        </w:rPr>
        <w:footnoteRef/>
      </w:r>
      <w:r>
        <w:t xml:space="preserve"> </w:t>
      </w:r>
      <w:r>
        <w:rPr>
          <w:lang w:val="en-ZA"/>
        </w:rPr>
        <w:t xml:space="preserve">Para 2.8 of the AA. </w:t>
      </w:r>
    </w:p>
  </w:footnote>
  <w:footnote w:id="21">
    <w:p w14:paraId="6ADA9E33" w14:textId="77777777" w:rsidR="00400748" w:rsidRPr="004159A7" w:rsidRDefault="00400748">
      <w:pPr>
        <w:pStyle w:val="FootnoteText"/>
        <w:rPr>
          <w:lang w:val="en-ZA"/>
        </w:rPr>
      </w:pPr>
      <w:r>
        <w:rPr>
          <w:rStyle w:val="FootnoteReference"/>
        </w:rPr>
        <w:footnoteRef/>
      </w:r>
      <w:r>
        <w:t xml:space="preserve"> </w:t>
      </w:r>
      <w:r>
        <w:rPr>
          <w:lang w:val="en-ZA"/>
        </w:rPr>
        <w:t>Para 2.8.3 of the AA.</w:t>
      </w:r>
    </w:p>
  </w:footnote>
  <w:footnote w:id="22">
    <w:p w14:paraId="5FF3F4D9" w14:textId="77777777" w:rsidR="00400748" w:rsidRPr="00A74C9F" w:rsidRDefault="00400748">
      <w:pPr>
        <w:pStyle w:val="FootnoteText"/>
        <w:rPr>
          <w:lang w:val="en-ZA"/>
        </w:rPr>
      </w:pPr>
      <w:r>
        <w:rPr>
          <w:rStyle w:val="FootnoteReference"/>
        </w:rPr>
        <w:footnoteRef/>
      </w:r>
      <w:r>
        <w:t xml:space="preserve"> </w:t>
      </w:r>
      <w:r>
        <w:rPr>
          <w:lang w:val="en-ZA"/>
        </w:rPr>
        <w:t>Para 2.8.6 of the AA.</w:t>
      </w:r>
    </w:p>
  </w:footnote>
  <w:footnote w:id="23">
    <w:p w14:paraId="2D051F72" w14:textId="77777777" w:rsidR="00400748" w:rsidRPr="00E62FBA" w:rsidRDefault="00400748">
      <w:pPr>
        <w:pStyle w:val="FootnoteText"/>
        <w:rPr>
          <w:lang w:val="en-ZA"/>
        </w:rPr>
      </w:pPr>
      <w:r>
        <w:rPr>
          <w:rStyle w:val="FootnoteReference"/>
        </w:rPr>
        <w:footnoteRef/>
      </w:r>
      <w:r>
        <w:t xml:space="preserve"> </w:t>
      </w:r>
      <w:r>
        <w:rPr>
          <w:lang w:val="en-ZA"/>
        </w:rPr>
        <w:t>Para 2.8.8 of the AA.</w:t>
      </w:r>
    </w:p>
  </w:footnote>
  <w:footnote w:id="24">
    <w:p w14:paraId="3894207F" w14:textId="77777777" w:rsidR="00400748" w:rsidRPr="000D4E9C" w:rsidRDefault="00400748">
      <w:pPr>
        <w:pStyle w:val="FootnoteText"/>
        <w:rPr>
          <w:lang w:val="en-ZA"/>
        </w:rPr>
      </w:pPr>
      <w:r>
        <w:rPr>
          <w:rStyle w:val="FootnoteReference"/>
        </w:rPr>
        <w:footnoteRef/>
      </w:r>
      <w:r>
        <w:t xml:space="preserve"> </w:t>
      </w:r>
      <w:r>
        <w:rPr>
          <w:lang w:val="en-ZA"/>
        </w:rPr>
        <w:t>Para 2.13 of the AA.</w:t>
      </w:r>
    </w:p>
  </w:footnote>
  <w:footnote w:id="25">
    <w:p w14:paraId="25AF77F0" w14:textId="77777777" w:rsidR="00400748" w:rsidRPr="002D3D67" w:rsidRDefault="00400748">
      <w:pPr>
        <w:pStyle w:val="FootnoteText"/>
        <w:rPr>
          <w:lang w:val="en-US"/>
        </w:rPr>
      </w:pPr>
      <w:r>
        <w:rPr>
          <w:rStyle w:val="FootnoteReference"/>
        </w:rPr>
        <w:footnoteRef/>
      </w:r>
      <w:r>
        <w:t xml:space="preserve"> </w:t>
      </w:r>
      <w:r>
        <w:rPr>
          <w:lang w:val="en-US"/>
        </w:rPr>
        <w:t>Section 2(1) of the MPRA.</w:t>
      </w:r>
    </w:p>
  </w:footnote>
  <w:footnote w:id="26">
    <w:p w14:paraId="5798F6D2" w14:textId="77777777" w:rsidR="00400748" w:rsidRPr="00203764" w:rsidRDefault="00400748">
      <w:pPr>
        <w:pStyle w:val="FootnoteText"/>
        <w:rPr>
          <w:lang w:val="en-US"/>
        </w:rPr>
      </w:pPr>
      <w:r>
        <w:rPr>
          <w:rStyle w:val="FootnoteReference"/>
        </w:rPr>
        <w:footnoteRef/>
      </w:r>
      <w:r>
        <w:t xml:space="preserve"> </w:t>
      </w:r>
      <w:r>
        <w:rPr>
          <w:lang w:val="en-US"/>
        </w:rPr>
        <w:t>Section 2(3)(a), (b) and (c) of the MPRA.</w:t>
      </w:r>
    </w:p>
  </w:footnote>
  <w:footnote w:id="27">
    <w:p w14:paraId="2241BED1" w14:textId="77777777" w:rsidR="00400748" w:rsidRPr="008D38FF" w:rsidRDefault="00400748">
      <w:pPr>
        <w:pStyle w:val="FootnoteText"/>
        <w:rPr>
          <w:lang w:val="en-US"/>
        </w:rPr>
      </w:pPr>
      <w:r>
        <w:rPr>
          <w:rStyle w:val="FootnoteReference"/>
        </w:rPr>
        <w:footnoteRef/>
      </w:r>
      <w:r>
        <w:t xml:space="preserve"> </w:t>
      </w:r>
      <w:r>
        <w:rPr>
          <w:lang w:val="en-US"/>
        </w:rPr>
        <w:t>Section 3(3)(a) of the MPRA.</w:t>
      </w:r>
    </w:p>
  </w:footnote>
  <w:footnote w:id="28">
    <w:p w14:paraId="4F421A50" w14:textId="77777777" w:rsidR="00400748" w:rsidRPr="001D059B" w:rsidRDefault="00400748">
      <w:pPr>
        <w:pStyle w:val="FootnoteText"/>
        <w:rPr>
          <w:lang w:val="en-US"/>
        </w:rPr>
      </w:pPr>
      <w:r>
        <w:rPr>
          <w:rStyle w:val="FootnoteReference"/>
        </w:rPr>
        <w:footnoteRef/>
      </w:r>
      <w:r>
        <w:t xml:space="preserve"> </w:t>
      </w:r>
      <w:r>
        <w:rPr>
          <w:lang w:val="en-US"/>
        </w:rPr>
        <w:t>Section 3(3)(b)(i) of the MPRA.</w:t>
      </w:r>
    </w:p>
  </w:footnote>
  <w:footnote w:id="29">
    <w:p w14:paraId="35F8465B" w14:textId="77777777" w:rsidR="00400748" w:rsidRPr="004F6685" w:rsidRDefault="00400748">
      <w:pPr>
        <w:pStyle w:val="FootnoteText"/>
        <w:rPr>
          <w:lang w:val="en-ZA"/>
        </w:rPr>
      </w:pPr>
      <w:r>
        <w:rPr>
          <w:rStyle w:val="FootnoteReference"/>
        </w:rPr>
        <w:footnoteRef/>
      </w:r>
      <w:r>
        <w:t xml:space="preserve"> </w:t>
      </w:r>
      <w:r>
        <w:rPr>
          <w:lang w:val="en-ZA"/>
        </w:rPr>
        <w:t>Section 14(2)(b)(i) and (ii) of the MPRA.</w:t>
      </w:r>
    </w:p>
  </w:footnote>
  <w:footnote w:id="30">
    <w:p w14:paraId="10AFDBFD" w14:textId="77777777" w:rsidR="00400748" w:rsidRPr="00E02CCD" w:rsidRDefault="00400748">
      <w:pPr>
        <w:pStyle w:val="FootnoteText"/>
        <w:rPr>
          <w:lang w:val="en-ZA"/>
        </w:rPr>
      </w:pPr>
      <w:r>
        <w:rPr>
          <w:rStyle w:val="FootnoteReference"/>
        </w:rPr>
        <w:footnoteRef/>
      </w:r>
      <w:r>
        <w:t xml:space="preserve"> </w:t>
      </w:r>
      <w:r>
        <w:rPr>
          <w:lang w:val="en-ZA"/>
        </w:rPr>
        <w:t>Section 19(1)(c) of the MPRA.</w:t>
      </w:r>
    </w:p>
  </w:footnote>
  <w:footnote w:id="31">
    <w:p w14:paraId="459744F6" w14:textId="77777777" w:rsidR="00400748" w:rsidRPr="006F5885" w:rsidRDefault="00400748">
      <w:pPr>
        <w:pStyle w:val="FootnoteText"/>
        <w:rPr>
          <w:lang w:val="en-ZA"/>
        </w:rPr>
      </w:pPr>
      <w:r>
        <w:rPr>
          <w:rStyle w:val="FootnoteReference"/>
        </w:rPr>
        <w:footnoteRef/>
      </w:r>
      <w:r>
        <w:t xml:space="preserve"> </w:t>
      </w:r>
      <w:r>
        <w:rPr>
          <w:lang w:val="en-ZA"/>
        </w:rPr>
        <w:t>Section 30(2) of the MPRA.</w:t>
      </w:r>
    </w:p>
  </w:footnote>
  <w:footnote w:id="32">
    <w:p w14:paraId="573D7937" w14:textId="77777777" w:rsidR="00400748" w:rsidRPr="00BF58EF" w:rsidRDefault="00400748">
      <w:pPr>
        <w:pStyle w:val="FootnoteText"/>
        <w:rPr>
          <w:lang w:val="en-ZA"/>
        </w:rPr>
      </w:pPr>
      <w:r>
        <w:rPr>
          <w:rStyle w:val="FootnoteReference"/>
        </w:rPr>
        <w:footnoteRef/>
      </w:r>
      <w:r>
        <w:t xml:space="preserve"> </w:t>
      </w:r>
      <w:r>
        <w:rPr>
          <w:lang w:val="en-ZA"/>
        </w:rPr>
        <w:t>Section 34 of the MPRA.</w:t>
      </w:r>
    </w:p>
  </w:footnote>
  <w:footnote w:id="33">
    <w:p w14:paraId="6C6029BD" w14:textId="77777777" w:rsidR="00400748" w:rsidRPr="00CE4CC6" w:rsidRDefault="00400748">
      <w:pPr>
        <w:pStyle w:val="FootnoteText"/>
        <w:rPr>
          <w:lang w:val="en-ZA"/>
        </w:rPr>
      </w:pPr>
      <w:r>
        <w:rPr>
          <w:rStyle w:val="FootnoteReference"/>
        </w:rPr>
        <w:footnoteRef/>
      </w:r>
      <w:r>
        <w:t xml:space="preserve"> </w:t>
      </w:r>
      <w:r>
        <w:rPr>
          <w:lang w:val="en-ZA"/>
        </w:rPr>
        <w:t>Section 45 of the MPRA.</w:t>
      </w:r>
    </w:p>
  </w:footnote>
  <w:footnote w:id="34">
    <w:p w14:paraId="402E340B" w14:textId="77777777" w:rsidR="00400748" w:rsidRPr="00CE4CC6" w:rsidRDefault="00400748">
      <w:pPr>
        <w:pStyle w:val="FootnoteText"/>
        <w:rPr>
          <w:lang w:val="en-ZA"/>
        </w:rPr>
      </w:pPr>
      <w:r>
        <w:rPr>
          <w:rStyle w:val="FootnoteReference"/>
        </w:rPr>
        <w:footnoteRef/>
      </w:r>
      <w:r>
        <w:t xml:space="preserve"> </w:t>
      </w:r>
      <w:r>
        <w:rPr>
          <w:lang w:val="en-ZA"/>
        </w:rPr>
        <w:t>Section 46 of the MPRA.</w:t>
      </w:r>
    </w:p>
  </w:footnote>
  <w:footnote w:id="35">
    <w:p w14:paraId="478F518D" w14:textId="77777777" w:rsidR="00400748" w:rsidRPr="00AB7ADD" w:rsidRDefault="00400748">
      <w:pPr>
        <w:pStyle w:val="FootnoteText"/>
        <w:rPr>
          <w:lang w:val="en-ZA"/>
        </w:rPr>
      </w:pPr>
      <w:r>
        <w:rPr>
          <w:rStyle w:val="FootnoteReference"/>
        </w:rPr>
        <w:footnoteRef/>
      </w:r>
      <w:r>
        <w:t xml:space="preserve"> </w:t>
      </w:r>
      <w:r>
        <w:rPr>
          <w:lang w:val="en-ZA"/>
        </w:rPr>
        <w:t>Section 1(b)(cc) and (cc) of PAJA.</w:t>
      </w:r>
    </w:p>
  </w:footnote>
  <w:footnote w:id="36">
    <w:p w14:paraId="603879F8" w14:textId="77777777" w:rsidR="00400748" w:rsidRPr="00396958" w:rsidRDefault="00400748" w:rsidP="00161413">
      <w:pPr>
        <w:pStyle w:val="FootnoteText"/>
        <w:ind w:left="142" w:hanging="142"/>
        <w:rPr>
          <w:lang w:val="en-ZA"/>
        </w:rPr>
      </w:pPr>
      <w:r>
        <w:rPr>
          <w:rStyle w:val="FootnoteReference"/>
        </w:rPr>
        <w:footnoteRef/>
      </w:r>
      <w:r>
        <w:t xml:space="preserve"> </w:t>
      </w:r>
      <w:r>
        <w:rPr>
          <w:lang w:val="en-ZA"/>
        </w:rPr>
        <w:t>Fedsure Life Assurance Ltd and Others v Greater Johannesburg Transitional Metropolitan Council and Others 1999(1) SA 374 (CC) para 56.</w:t>
      </w:r>
    </w:p>
  </w:footnote>
  <w:footnote w:id="37">
    <w:p w14:paraId="71AC0093" w14:textId="77777777" w:rsidR="00400748" w:rsidRPr="000A5B90" w:rsidRDefault="00400748">
      <w:pPr>
        <w:pStyle w:val="FootnoteText"/>
        <w:rPr>
          <w:lang w:val="en-ZA"/>
        </w:rPr>
      </w:pPr>
      <w:r>
        <w:rPr>
          <w:rStyle w:val="FootnoteReference"/>
        </w:rPr>
        <w:footnoteRef/>
      </w:r>
      <w:r>
        <w:t xml:space="preserve"> </w:t>
      </w:r>
      <w:r>
        <w:rPr>
          <w:lang w:val="en-ZA"/>
        </w:rPr>
        <w:t>Affordable Medicines Trust and Other v Minister of Health and Others 2006 (3) SA 247 CC para 40.</w:t>
      </w:r>
    </w:p>
  </w:footnote>
  <w:footnote w:id="38">
    <w:p w14:paraId="6E9EED4D" w14:textId="2D0D01BD" w:rsidR="00400748" w:rsidRPr="00637678" w:rsidRDefault="00400748">
      <w:pPr>
        <w:pStyle w:val="FootnoteText"/>
        <w:rPr>
          <w:lang w:val="en-US"/>
        </w:rPr>
      </w:pPr>
      <w:r>
        <w:rPr>
          <w:rStyle w:val="FootnoteReference"/>
        </w:rPr>
        <w:footnoteRef/>
      </w:r>
      <w:r>
        <w:t xml:space="preserve"> Kalil No and Others v Mangaung Metropolitan Municipality and Others 2014 (5) SA 123 (SCA)</w:t>
      </w:r>
      <w:r w:rsidR="008636DC">
        <w:t>.</w:t>
      </w:r>
    </w:p>
  </w:footnote>
  <w:footnote w:id="39">
    <w:p w14:paraId="6202A45F" w14:textId="77777777" w:rsidR="00400748" w:rsidRPr="006E3EF8" w:rsidRDefault="00400748">
      <w:pPr>
        <w:pStyle w:val="FootnoteText"/>
        <w:rPr>
          <w:lang w:val="en-US"/>
        </w:rPr>
      </w:pPr>
      <w:r>
        <w:rPr>
          <w:rStyle w:val="FootnoteReference"/>
        </w:rPr>
        <w:footnoteRef/>
      </w:r>
      <w:r>
        <w:t xml:space="preserve"> </w:t>
      </w:r>
      <w:r>
        <w:rPr>
          <w:lang w:val="en-US"/>
        </w:rPr>
        <w:t xml:space="preserve">Respondents’ heads of argument: paras 1.3.10-1.3.15. </w:t>
      </w:r>
    </w:p>
  </w:footnote>
  <w:footnote w:id="40">
    <w:p w14:paraId="1A68C507" w14:textId="77777777" w:rsidR="00400748" w:rsidRPr="00316B54" w:rsidRDefault="00400748">
      <w:pPr>
        <w:pStyle w:val="FootnoteText"/>
        <w:rPr>
          <w:lang w:val="en-ZA"/>
        </w:rPr>
      </w:pPr>
      <w:r>
        <w:rPr>
          <w:rStyle w:val="FootnoteReference"/>
        </w:rPr>
        <w:footnoteRef/>
      </w:r>
      <w:r>
        <w:t xml:space="preserve"> </w:t>
      </w:r>
      <w:r>
        <w:rPr>
          <w:lang w:val="en-ZA"/>
        </w:rPr>
        <w:t>Para 25: Applicant’s replying affidavit.</w:t>
      </w:r>
    </w:p>
  </w:footnote>
  <w:footnote w:id="41">
    <w:p w14:paraId="405B6254" w14:textId="77777777" w:rsidR="00400748" w:rsidRPr="000C1CB7" w:rsidRDefault="00400748">
      <w:pPr>
        <w:pStyle w:val="FootnoteText"/>
        <w:rPr>
          <w:lang w:val="en-ZA"/>
        </w:rPr>
      </w:pPr>
      <w:r>
        <w:rPr>
          <w:rStyle w:val="FootnoteReference"/>
        </w:rPr>
        <w:footnoteRef/>
      </w:r>
      <w:r>
        <w:t xml:space="preserve"> </w:t>
      </w:r>
      <w:r>
        <w:rPr>
          <w:lang w:val="en-ZA"/>
        </w:rPr>
        <w:t>Annexure “FA9” on page 109 of the Index.</w:t>
      </w:r>
    </w:p>
  </w:footnote>
  <w:footnote w:id="42">
    <w:p w14:paraId="0CD8009E" w14:textId="77777777" w:rsidR="00400748" w:rsidRPr="000C1CB7" w:rsidRDefault="00400748">
      <w:pPr>
        <w:pStyle w:val="FootnoteText"/>
        <w:rPr>
          <w:lang w:val="en-ZA"/>
        </w:rPr>
      </w:pPr>
      <w:r>
        <w:rPr>
          <w:rStyle w:val="FootnoteReference"/>
        </w:rPr>
        <w:footnoteRef/>
      </w:r>
      <w:r>
        <w:t xml:space="preserve"> </w:t>
      </w:r>
      <w:r>
        <w:rPr>
          <w:lang w:val="en-ZA"/>
        </w:rPr>
        <w:t>Annexure “FA11.1” on page 114 of the Index.</w:t>
      </w:r>
    </w:p>
  </w:footnote>
  <w:footnote w:id="43">
    <w:p w14:paraId="559C678B" w14:textId="77777777" w:rsidR="00400748" w:rsidRPr="00881EF3" w:rsidRDefault="00400748">
      <w:pPr>
        <w:pStyle w:val="FootnoteText"/>
        <w:rPr>
          <w:lang w:val="en-ZA"/>
        </w:rPr>
      </w:pPr>
      <w:r>
        <w:rPr>
          <w:rStyle w:val="FootnoteReference"/>
        </w:rPr>
        <w:footnoteRef/>
      </w:r>
      <w:r>
        <w:t xml:space="preserve"> </w:t>
      </w:r>
      <w:r>
        <w:rPr>
          <w:lang w:val="en-ZA"/>
        </w:rPr>
        <w:t xml:space="preserve">2012 (5) SA 142 (CC) paras 75 and 87. </w:t>
      </w:r>
    </w:p>
  </w:footnote>
  <w:footnote w:id="44">
    <w:p w14:paraId="6C3D1789" w14:textId="77777777" w:rsidR="00400748" w:rsidRPr="00AA1029" w:rsidRDefault="00400748">
      <w:pPr>
        <w:pStyle w:val="FootnoteText"/>
        <w:rPr>
          <w:lang w:val="en-ZA"/>
        </w:rPr>
      </w:pPr>
      <w:r>
        <w:rPr>
          <w:rStyle w:val="FootnoteReference"/>
        </w:rPr>
        <w:footnoteRef/>
      </w:r>
      <w:r>
        <w:t xml:space="preserve"> </w:t>
      </w:r>
      <w:r>
        <w:rPr>
          <w:lang w:val="en-ZA"/>
        </w:rPr>
        <w:t>Marked annexure “FA 11.1” on page 114 of the index.</w:t>
      </w:r>
    </w:p>
  </w:footnote>
  <w:footnote w:id="45">
    <w:p w14:paraId="7EBCCD04" w14:textId="77777777" w:rsidR="00400748" w:rsidRPr="00881EF3" w:rsidRDefault="00400748">
      <w:pPr>
        <w:pStyle w:val="FootnoteText"/>
        <w:rPr>
          <w:lang w:val="en-ZA"/>
        </w:rPr>
      </w:pPr>
      <w:r>
        <w:rPr>
          <w:rStyle w:val="FootnoteReference"/>
        </w:rPr>
        <w:footnoteRef/>
      </w:r>
      <w:r>
        <w:t xml:space="preserve"> </w:t>
      </w:r>
      <w:r>
        <w:rPr>
          <w:lang w:val="en-ZA"/>
        </w:rPr>
        <w:t xml:space="preserve">Para 63.1 of the FA. </w:t>
      </w:r>
    </w:p>
  </w:footnote>
  <w:footnote w:id="46">
    <w:p w14:paraId="2C12022C" w14:textId="77777777" w:rsidR="00400748" w:rsidRPr="00963238" w:rsidRDefault="00400748">
      <w:pPr>
        <w:pStyle w:val="FootnoteText"/>
        <w:rPr>
          <w:lang w:val="en-ZA"/>
        </w:rPr>
      </w:pPr>
      <w:r>
        <w:rPr>
          <w:rStyle w:val="FootnoteReference"/>
        </w:rPr>
        <w:footnoteRef/>
      </w:r>
      <w:r>
        <w:t xml:space="preserve"> </w:t>
      </w:r>
      <w:r>
        <w:rPr>
          <w:lang w:val="en-ZA"/>
        </w:rPr>
        <w:t xml:space="preserve">Para 63.2 of the FA. </w:t>
      </w:r>
    </w:p>
  </w:footnote>
  <w:footnote w:id="47">
    <w:p w14:paraId="49EA253B" w14:textId="77777777" w:rsidR="00400748" w:rsidRPr="00963238" w:rsidRDefault="00400748">
      <w:pPr>
        <w:pStyle w:val="FootnoteText"/>
        <w:rPr>
          <w:lang w:val="en-ZA"/>
        </w:rPr>
      </w:pPr>
      <w:r>
        <w:rPr>
          <w:rStyle w:val="FootnoteReference"/>
        </w:rPr>
        <w:footnoteRef/>
      </w:r>
      <w:r>
        <w:t xml:space="preserve"> </w:t>
      </w:r>
      <w:r>
        <w:rPr>
          <w:lang w:val="en-ZA"/>
        </w:rPr>
        <w:t xml:space="preserve">Para 68.1 of the FA. </w:t>
      </w:r>
    </w:p>
  </w:footnote>
  <w:footnote w:id="48">
    <w:p w14:paraId="36A31AB5" w14:textId="77777777" w:rsidR="00400748" w:rsidRPr="00963238" w:rsidRDefault="00400748">
      <w:pPr>
        <w:pStyle w:val="FootnoteText"/>
        <w:rPr>
          <w:lang w:val="en-ZA"/>
        </w:rPr>
      </w:pPr>
      <w:r>
        <w:rPr>
          <w:rStyle w:val="FootnoteReference"/>
        </w:rPr>
        <w:footnoteRef/>
      </w:r>
      <w:r>
        <w:t xml:space="preserve"> </w:t>
      </w:r>
      <w:r>
        <w:rPr>
          <w:lang w:val="en-ZA"/>
        </w:rPr>
        <w:t>Para 68.2 of the FA</w:t>
      </w:r>
    </w:p>
  </w:footnote>
  <w:footnote w:id="49">
    <w:p w14:paraId="2A44562A" w14:textId="77777777" w:rsidR="00400748" w:rsidRPr="001E4382" w:rsidRDefault="00400748">
      <w:pPr>
        <w:pStyle w:val="FootnoteText"/>
        <w:rPr>
          <w:lang w:val="en-ZA"/>
        </w:rPr>
      </w:pPr>
      <w:r>
        <w:rPr>
          <w:rStyle w:val="FootnoteReference"/>
        </w:rPr>
        <w:footnoteRef/>
      </w:r>
      <w:r>
        <w:t xml:space="preserve"> </w:t>
      </w:r>
      <w:r>
        <w:rPr>
          <w:lang w:val="en-ZA"/>
        </w:rPr>
        <w:t xml:space="preserve">Para 68.3 of the FA. </w:t>
      </w:r>
    </w:p>
  </w:footnote>
  <w:footnote w:id="50">
    <w:p w14:paraId="1AAA5CE1" w14:textId="77777777" w:rsidR="00400748" w:rsidRPr="00BB47B4" w:rsidRDefault="00400748">
      <w:pPr>
        <w:pStyle w:val="FootnoteText"/>
        <w:rPr>
          <w:lang w:val="en-ZA"/>
        </w:rPr>
      </w:pPr>
      <w:r>
        <w:rPr>
          <w:rStyle w:val="FootnoteReference"/>
        </w:rPr>
        <w:footnoteRef/>
      </w:r>
      <w:r>
        <w:t xml:space="preserve"> </w:t>
      </w:r>
      <w:r>
        <w:rPr>
          <w:lang w:val="en-ZA"/>
        </w:rPr>
        <w:t>Page 110 of the Index.</w:t>
      </w:r>
    </w:p>
  </w:footnote>
  <w:footnote w:id="51">
    <w:p w14:paraId="14B9F27E" w14:textId="77777777" w:rsidR="00400748" w:rsidRPr="00BB47B4" w:rsidRDefault="00400748">
      <w:pPr>
        <w:pStyle w:val="FootnoteText"/>
        <w:rPr>
          <w:lang w:val="en-ZA"/>
        </w:rPr>
      </w:pPr>
      <w:r>
        <w:rPr>
          <w:rStyle w:val="FootnoteReference"/>
        </w:rPr>
        <w:footnoteRef/>
      </w:r>
      <w:r>
        <w:t xml:space="preserve"> </w:t>
      </w:r>
      <w:r>
        <w:rPr>
          <w:lang w:val="en-ZA"/>
        </w:rPr>
        <w:t>On Page 114 of the Index.</w:t>
      </w:r>
    </w:p>
  </w:footnote>
  <w:footnote w:id="52">
    <w:p w14:paraId="3C987B94" w14:textId="77777777" w:rsidR="00400748" w:rsidRPr="00BB47B4" w:rsidRDefault="00400748">
      <w:pPr>
        <w:pStyle w:val="FootnoteText"/>
        <w:rPr>
          <w:lang w:val="en-ZA"/>
        </w:rPr>
      </w:pPr>
      <w:r>
        <w:rPr>
          <w:rStyle w:val="FootnoteReference"/>
        </w:rPr>
        <w:footnoteRef/>
      </w:r>
      <w:r>
        <w:t xml:space="preserve"> </w:t>
      </w:r>
      <w:r>
        <w:rPr>
          <w:lang w:val="en-ZA"/>
        </w:rPr>
        <w:t xml:space="preserve">Para 70 of the FA. </w:t>
      </w:r>
    </w:p>
  </w:footnote>
  <w:footnote w:id="53">
    <w:p w14:paraId="40C9B242" w14:textId="77777777" w:rsidR="00400748" w:rsidRPr="0071572C" w:rsidRDefault="00400748">
      <w:pPr>
        <w:pStyle w:val="FootnoteText"/>
        <w:rPr>
          <w:lang w:val="en-ZA"/>
        </w:rPr>
      </w:pPr>
      <w:r>
        <w:rPr>
          <w:rStyle w:val="FootnoteReference"/>
        </w:rPr>
        <w:footnoteRef/>
      </w:r>
      <w:r>
        <w:t xml:space="preserve"> </w:t>
      </w:r>
      <w:r>
        <w:rPr>
          <w:lang w:val="en-ZA"/>
        </w:rPr>
        <w:t>Para 72 of the FA.</w:t>
      </w:r>
    </w:p>
  </w:footnote>
  <w:footnote w:id="54">
    <w:p w14:paraId="14C8717C" w14:textId="77777777" w:rsidR="00400748" w:rsidRPr="0071572C" w:rsidRDefault="00400748">
      <w:pPr>
        <w:pStyle w:val="FootnoteText"/>
        <w:rPr>
          <w:lang w:val="en-ZA"/>
        </w:rPr>
      </w:pPr>
      <w:r>
        <w:rPr>
          <w:rStyle w:val="FootnoteReference"/>
        </w:rPr>
        <w:footnoteRef/>
      </w:r>
      <w:r>
        <w:t xml:space="preserve"> </w:t>
      </w:r>
      <w:r>
        <w:rPr>
          <w:lang w:val="en-ZA"/>
        </w:rPr>
        <w:t xml:space="preserve">City of Tshwane Municipality v Lombardy Development (Pty) Ltd [2018] 3 All SA 605 (SCA). </w:t>
      </w:r>
    </w:p>
  </w:footnote>
  <w:footnote w:id="55">
    <w:p w14:paraId="68B65DEA" w14:textId="67087318" w:rsidR="00400748" w:rsidRPr="004C4AC9" w:rsidRDefault="00400748" w:rsidP="00EC0ED8">
      <w:pPr>
        <w:pStyle w:val="FootnoteText"/>
        <w:ind w:left="142" w:hanging="142"/>
      </w:pPr>
      <w:r>
        <w:rPr>
          <w:rStyle w:val="FootnoteReference"/>
        </w:rPr>
        <w:footnoteRef/>
      </w:r>
      <w:r>
        <w:t xml:space="preserve"> </w:t>
      </w:r>
      <w:proofErr w:type="spellStart"/>
      <w:r w:rsidR="00EC0ED8">
        <w:t>Ondedaalsrus</w:t>
      </w:r>
      <w:proofErr w:type="spellEnd"/>
      <w:r w:rsidR="00EC0ED8">
        <w:t xml:space="preserve"> Municipality v </w:t>
      </w:r>
      <w:proofErr w:type="spellStart"/>
      <w:r w:rsidR="00EC0ED8">
        <w:t>Odendaalsrus</w:t>
      </w:r>
      <w:proofErr w:type="spellEnd"/>
      <w:r w:rsidR="00EC0ED8">
        <w:t xml:space="preserve"> Gold, General Investment and Extension Ltd </w:t>
      </w:r>
      <w:r>
        <w:t>1959 (1) SA 374 (A)</w:t>
      </w:r>
      <w:r w:rsidR="008636DC">
        <w:t>.</w:t>
      </w:r>
      <w:r w:rsidR="00EC0ED8">
        <w:t xml:space="preserve"> </w:t>
      </w:r>
    </w:p>
  </w:footnote>
  <w:footnote w:id="56">
    <w:p w14:paraId="373DB8DE" w14:textId="77777777" w:rsidR="00400748" w:rsidRPr="00BA13AF" w:rsidRDefault="00400748">
      <w:pPr>
        <w:pStyle w:val="FootnoteText"/>
        <w:rPr>
          <w:lang w:val="en-ZA"/>
        </w:rPr>
      </w:pPr>
      <w:r>
        <w:rPr>
          <w:rStyle w:val="FootnoteReference"/>
        </w:rPr>
        <w:footnoteRef/>
      </w:r>
      <w:r>
        <w:t xml:space="preserve"> </w:t>
      </w:r>
      <w:r>
        <w:rPr>
          <w:lang w:val="en-ZA"/>
        </w:rPr>
        <w:t>Paras 76,77.1 and 77.2 of the FA and paras 2.2 and 40.4 of the AA.</w:t>
      </w:r>
    </w:p>
  </w:footnote>
  <w:footnote w:id="57">
    <w:p w14:paraId="55E9F4D7" w14:textId="77777777" w:rsidR="00400748" w:rsidRPr="00F73747" w:rsidRDefault="00400748">
      <w:pPr>
        <w:pStyle w:val="FootnoteText"/>
        <w:rPr>
          <w:lang w:val="en-ZA"/>
        </w:rPr>
      </w:pPr>
      <w:r>
        <w:rPr>
          <w:rStyle w:val="FootnoteReference"/>
        </w:rPr>
        <w:footnoteRef/>
      </w:r>
      <w:r>
        <w:t xml:space="preserve"> Respondent’s extract of the valuation roll on page 413 of the Index. </w:t>
      </w:r>
    </w:p>
  </w:footnote>
  <w:footnote w:id="58">
    <w:p w14:paraId="0B62ADEE" w14:textId="77777777" w:rsidR="00400748" w:rsidRPr="00DA6C16" w:rsidRDefault="00400748">
      <w:pPr>
        <w:pStyle w:val="FootnoteText"/>
        <w:rPr>
          <w:lang w:val="en-ZA"/>
        </w:rPr>
      </w:pPr>
      <w:r>
        <w:rPr>
          <w:rStyle w:val="FootnoteReference"/>
        </w:rPr>
        <w:footnoteRef/>
      </w:r>
      <w:r>
        <w:t xml:space="preserve"> </w:t>
      </w:r>
      <w:r>
        <w:rPr>
          <w:lang w:val="en-ZA"/>
        </w:rPr>
        <w:t xml:space="preserve">Para 91 of the Applicant’s Replying Affidavit. </w:t>
      </w:r>
    </w:p>
  </w:footnote>
  <w:footnote w:id="59">
    <w:p w14:paraId="1753E0B4" w14:textId="77777777" w:rsidR="009E577F" w:rsidRPr="00DA6C16" w:rsidRDefault="009E577F" w:rsidP="009E577F">
      <w:pPr>
        <w:pStyle w:val="FootnoteText"/>
        <w:rPr>
          <w:lang w:val="en-ZA"/>
        </w:rPr>
      </w:pPr>
      <w:r>
        <w:rPr>
          <w:rStyle w:val="FootnoteReference"/>
        </w:rPr>
        <w:footnoteRef/>
      </w:r>
      <w:r>
        <w:t xml:space="preserve"> </w:t>
      </w:r>
      <w:r>
        <w:rPr>
          <w:lang w:val="en-ZA"/>
        </w:rPr>
        <w:t xml:space="preserve">On page 446 of the Index. </w:t>
      </w:r>
    </w:p>
  </w:footnote>
  <w:footnote w:id="60">
    <w:p w14:paraId="08C8CF96" w14:textId="77777777" w:rsidR="00400748" w:rsidRPr="00815908" w:rsidRDefault="00400748">
      <w:pPr>
        <w:pStyle w:val="FootnoteText"/>
        <w:rPr>
          <w:lang w:val="en-ZA"/>
        </w:rPr>
      </w:pPr>
      <w:r>
        <w:rPr>
          <w:rStyle w:val="FootnoteReference"/>
        </w:rPr>
        <w:footnoteRef/>
      </w:r>
      <w:r>
        <w:t xml:space="preserve"> </w:t>
      </w:r>
      <w:r>
        <w:rPr>
          <w:lang w:val="en-ZA"/>
        </w:rPr>
        <w:t xml:space="preserve">Paras 5.1.4, 6.7 and 10.2 of the AA. </w:t>
      </w:r>
    </w:p>
  </w:footnote>
  <w:footnote w:id="61">
    <w:p w14:paraId="1AD053A2" w14:textId="77777777" w:rsidR="00400748" w:rsidRPr="00815908" w:rsidRDefault="00400748">
      <w:pPr>
        <w:pStyle w:val="FootnoteText"/>
        <w:rPr>
          <w:lang w:val="en-ZA"/>
        </w:rPr>
      </w:pPr>
      <w:r>
        <w:rPr>
          <w:rStyle w:val="FootnoteReference"/>
        </w:rPr>
        <w:footnoteRef/>
      </w:r>
      <w:r>
        <w:t xml:space="preserve"> </w:t>
      </w:r>
      <w:r>
        <w:rPr>
          <w:lang w:val="en-ZA"/>
        </w:rPr>
        <w:t xml:space="preserve">Para 6.8 of the AA. </w:t>
      </w:r>
    </w:p>
  </w:footnote>
  <w:footnote w:id="62">
    <w:p w14:paraId="452532C9" w14:textId="77777777" w:rsidR="00400748" w:rsidRPr="006F368B" w:rsidRDefault="00400748">
      <w:pPr>
        <w:pStyle w:val="FootnoteText"/>
        <w:rPr>
          <w:lang w:val="en-ZA"/>
        </w:rPr>
      </w:pPr>
      <w:r>
        <w:rPr>
          <w:rStyle w:val="FootnoteReference"/>
        </w:rPr>
        <w:footnoteRef/>
      </w:r>
      <w:r>
        <w:t xml:space="preserve"> </w:t>
      </w:r>
      <w:r>
        <w:rPr>
          <w:lang w:val="en-ZA"/>
        </w:rPr>
        <w:t>Para 52 of the AA.</w:t>
      </w:r>
    </w:p>
  </w:footnote>
  <w:footnote w:id="63">
    <w:p w14:paraId="3F1A270E" w14:textId="77777777" w:rsidR="00400748" w:rsidRPr="004C4C0D" w:rsidRDefault="00400748">
      <w:pPr>
        <w:pStyle w:val="FootnoteText"/>
        <w:rPr>
          <w:lang w:val="en-ZA"/>
        </w:rPr>
      </w:pPr>
      <w:r>
        <w:rPr>
          <w:rStyle w:val="FootnoteReference"/>
        </w:rPr>
        <w:footnoteRef/>
      </w:r>
      <w:r>
        <w:t xml:space="preserve"> </w:t>
      </w:r>
      <w:r>
        <w:rPr>
          <w:lang w:val="en-ZA"/>
        </w:rPr>
        <w:t>Paras 99.1-99.7 of the FA and paras 43.7.1-43.7.6 of the AA.</w:t>
      </w:r>
    </w:p>
  </w:footnote>
  <w:footnote w:id="64">
    <w:p w14:paraId="69591C59" w14:textId="77777777" w:rsidR="00400748" w:rsidRPr="00930363" w:rsidRDefault="00400748">
      <w:pPr>
        <w:pStyle w:val="FootnoteText"/>
        <w:rPr>
          <w:lang w:val="en-ZA"/>
        </w:rPr>
      </w:pPr>
      <w:r>
        <w:rPr>
          <w:rStyle w:val="FootnoteReference"/>
        </w:rPr>
        <w:footnoteRef/>
      </w:r>
      <w:r>
        <w:t xml:space="preserve"> </w:t>
      </w:r>
      <w:r>
        <w:rPr>
          <w:lang w:val="en-ZA"/>
        </w:rPr>
        <w:t>Para 44.9.5 of the AA.</w:t>
      </w:r>
    </w:p>
  </w:footnote>
  <w:footnote w:id="65">
    <w:p w14:paraId="1AA1817D" w14:textId="77777777" w:rsidR="00400748" w:rsidRPr="00DB4C69" w:rsidRDefault="00400748">
      <w:pPr>
        <w:pStyle w:val="FootnoteText"/>
        <w:rPr>
          <w:lang w:val="en-ZA"/>
        </w:rPr>
      </w:pPr>
      <w:r>
        <w:rPr>
          <w:rStyle w:val="FootnoteReference"/>
        </w:rPr>
        <w:footnoteRef/>
      </w:r>
      <w:r>
        <w:t xml:space="preserve"> </w:t>
      </w:r>
      <w:r>
        <w:rPr>
          <w:lang w:val="en-ZA"/>
        </w:rPr>
        <w:t>Paras 6.3.2, 6.3.3 and 6.7 of the AA.</w:t>
      </w:r>
    </w:p>
  </w:footnote>
  <w:footnote w:id="66">
    <w:p w14:paraId="40F15541" w14:textId="77777777" w:rsidR="00400748" w:rsidRPr="001A764A" w:rsidRDefault="00400748">
      <w:pPr>
        <w:pStyle w:val="FootnoteText"/>
        <w:rPr>
          <w:lang w:val="en-ZA"/>
        </w:rPr>
      </w:pPr>
      <w:r>
        <w:rPr>
          <w:rStyle w:val="FootnoteReference"/>
        </w:rPr>
        <w:footnoteRef/>
      </w:r>
      <w:r>
        <w:t xml:space="preserve"> </w:t>
      </w:r>
      <w:r>
        <w:rPr>
          <w:lang w:val="en-ZA"/>
        </w:rPr>
        <w:t>Paras 11.3 and 11.4 of the MPRA.</w:t>
      </w:r>
    </w:p>
  </w:footnote>
  <w:footnote w:id="67">
    <w:p w14:paraId="056064FA" w14:textId="77777777" w:rsidR="00400748" w:rsidRPr="002148F2" w:rsidRDefault="00400748">
      <w:pPr>
        <w:pStyle w:val="FootnoteText"/>
        <w:rPr>
          <w:lang w:val="en-ZA"/>
        </w:rPr>
      </w:pPr>
      <w:r>
        <w:rPr>
          <w:rStyle w:val="FootnoteReference"/>
        </w:rPr>
        <w:footnoteRef/>
      </w:r>
      <w:r>
        <w:t xml:space="preserve"> </w:t>
      </w:r>
      <w:r>
        <w:rPr>
          <w:lang w:val="en-ZA"/>
        </w:rPr>
        <w:t>Para 8.2 of the AA.</w:t>
      </w:r>
    </w:p>
  </w:footnote>
  <w:footnote w:id="68">
    <w:p w14:paraId="5E0E6D70" w14:textId="77777777" w:rsidR="00400748" w:rsidRPr="007512F2" w:rsidRDefault="00400748">
      <w:pPr>
        <w:pStyle w:val="FootnoteText"/>
        <w:rPr>
          <w:lang w:val="en-ZA"/>
        </w:rPr>
      </w:pPr>
      <w:r>
        <w:rPr>
          <w:rStyle w:val="FootnoteReference"/>
        </w:rPr>
        <w:footnoteRef/>
      </w:r>
      <w:r>
        <w:t xml:space="preserve"> </w:t>
      </w:r>
      <w:r>
        <w:rPr>
          <w:lang w:val="en-ZA"/>
        </w:rPr>
        <w:t xml:space="preserve">Para 94 of the RA. </w:t>
      </w:r>
    </w:p>
  </w:footnote>
  <w:footnote w:id="69">
    <w:p w14:paraId="6A893861" w14:textId="77777777" w:rsidR="00400748" w:rsidRPr="000B0980" w:rsidRDefault="00400748">
      <w:pPr>
        <w:pStyle w:val="FootnoteText"/>
        <w:rPr>
          <w:lang w:val="en-ZA"/>
        </w:rPr>
      </w:pPr>
      <w:r>
        <w:rPr>
          <w:rStyle w:val="FootnoteReference"/>
        </w:rPr>
        <w:footnoteRef/>
      </w:r>
      <w:r>
        <w:t xml:space="preserve"> </w:t>
      </w:r>
      <w:r>
        <w:rPr>
          <w:lang w:val="en-ZA"/>
        </w:rPr>
        <w:t>Para 77 of the RA.</w:t>
      </w:r>
    </w:p>
  </w:footnote>
  <w:footnote w:id="70">
    <w:p w14:paraId="2D44C126" w14:textId="77777777" w:rsidR="00400748" w:rsidRPr="007218DA" w:rsidRDefault="00400748">
      <w:pPr>
        <w:pStyle w:val="FootnoteText"/>
        <w:rPr>
          <w:lang w:val="en-ZA"/>
        </w:rPr>
      </w:pPr>
      <w:r>
        <w:rPr>
          <w:rStyle w:val="FootnoteReference"/>
        </w:rPr>
        <w:footnoteRef/>
      </w:r>
      <w:r>
        <w:t xml:space="preserve"> </w:t>
      </w:r>
      <w:r>
        <w:rPr>
          <w:lang w:val="en-ZA"/>
        </w:rPr>
        <w:t>Of the MPRA.</w:t>
      </w:r>
    </w:p>
  </w:footnote>
  <w:footnote w:id="71">
    <w:p w14:paraId="41B29576" w14:textId="77777777" w:rsidR="00400748" w:rsidRPr="00142562" w:rsidRDefault="00400748">
      <w:pPr>
        <w:pStyle w:val="FootnoteText"/>
        <w:rPr>
          <w:lang w:val="en-ZA"/>
        </w:rPr>
      </w:pPr>
      <w:r>
        <w:rPr>
          <w:rStyle w:val="FootnoteReference"/>
        </w:rPr>
        <w:footnoteRef/>
      </w:r>
      <w:r>
        <w:t xml:space="preserve"> </w:t>
      </w:r>
      <w:r>
        <w:rPr>
          <w:lang w:val="en-ZA"/>
        </w:rPr>
        <w:t>Para 11.2 of the AA.</w:t>
      </w:r>
    </w:p>
  </w:footnote>
  <w:footnote w:id="72">
    <w:p w14:paraId="7B1CB4B8" w14:textId="77777777" w:rsidR="00400748" w:rsidRPr="00AD1E19" w:rsidRDefault="00400748">
      <w:pPr>
        <w:pStyle w:val="FootnoteText"/>
        <w:rPr>
          <w:lang w:val="en-ZA"/>
        </w:rPr>
      </w:pPr>
      <w:r>
        <w:rPr>
          <w:rStyle w:val="FootnoteReference"/>
        </w:rPr>
        <w:footnoteRef/>
      </w:r>
      <w:r>
        <w:t xml:space="preserve"> </w:t>
      </w:r>
      <w:r>
        <w:rPr>
          <w:lang w:val="en-ZA"/>
        </w:rPr>
        <w:t>Para 11.5 of the AA.</w:t>
      </w:r>
    </w:p>
  </w:footnote>
  <w:footnote w:id="73">
    <w:p w14:paraId="174DE36B" w14:textId="77777777" w:rsidR="00400748" w:rsidRPr="00AD1E19" w:rsidRDefault="00400748">
      <w:pPr>
        <w:pStyle w:val="FootnoteText"/>
        <w:rPr>
          <w:lang w:val="en-ZA"/>
        </w:rPr>
      </w:pPr>
      <w:r>
        <w:rPr>
          <w:rStyle w:val="FootnoteReference"/>
        </w:rPr>
        <w:footnoteRef/>
      </w:r>
      <w:r>
        <w:t xml:space="preserve"> </w:t>
      </w:r>
      <w:r>
        <w:rPr>
          <w:lang w:val="en-ZA"/>
        </w:rPr>
        <w:t>Para 11.6 of the AA.</w:t>
      </w:r>
    </w:p>
  </w:footnote>
  <w:footnote w:id="74">
    <w:p w14:paraId="221A3AFE" w14:textId="77777777" w:rsidR="00400748" w:rsidRPr="00CB01F0" w:rsidRDefault="00400748">
      <w:pPr>
        <w:pStyle w:val="FootnoteText"/>
        <w:rPr>
          <w:lang w:val="en-ZA"/>
        </w:rPr>
      </w:pPr>
      <w:r>
        <w:rPr>
          <w:rStyle w:val="FootnoteReference"/>
        </w:rPr>
        <w:footnoteRef/>
      </w:r>
      <w:r>
        <w:t xml:space="preserve"> O</w:t>
      </w:r>
      <w:r>
        <w:rPr>
          <w:lang w:val="en-ZA"/>
        </w:rPr>
        <w:t>f the MPRA.</w:t>
      </w:r>
    </w:p>
  </w:footnote>
  <w:footnote w:id="75">
    <w:p w14:paraId="6355E1D0" w14:textId="77777777" w:rsidR="00400748" w:rsidRPr="00CB01F0" w:rsidRDefault="00400748">
      <w:pPr>
        <w:pStyle w:val="FootnoteText"/>
        <w:rPr>
          <w:lang w:val="en-ZA"/>
        </w:rPr>
      </w:pPr>
      <w:r>
        <w:rPr>
          <w:rStyle w:val="FootnoteReference"/>
        </w:rPr>
        <w:footnoteRef/>
      </w:r>
      <w:r>
        <w:t xml:space="preserve"> </w:t>
      </w:r>
      <w:r>
        <w:rPr>
          <w:lang w:val="en-ZA"/>
        </w:rPr>
        <w:t>Para 33.1.5.1 of the AA.</w:t>
      </w:r>
    </w:p>
  </w:footnote>
  <w:footnote w:id="76">
    <w:p w14:paraId="70C4C399" w14:textId="77777777" w:rsidR="00400748" w:rsidRPr="00CB01F0" w:rsidRDefault="00400748">
      <w:pPr>
        <w:pStyle w:val="FootnoteText"/>
        <w:rPr>
          <w:lang w:val="en-ZA"/>
        </w:rPr>
      </w:pPr>
      <w:r>
        <w:rPr>
          <w:rStyle w:val="FootnoteReference"/>
        </w:rPr>
        <w:footnoteRef/>
      </w:r>
      <w:r>
        <w:t xml:space="preserve"> </w:t>
      </w:r>
      <w:r>
        <w:rPr>
          <w:lang w:val="en-ZA"/>
        </w:rPr>
        <w:t xml:space="preserve">Para 33.1.12.1 of the AA. </w:t>
      </w:r>
    </w:p>
  </w:footnote>
  <w:footnote w:id="77">
    <w:p w14:paraId="4790B905" w14:textId="77777777" w:rsidR="00400748" w:rsidRPr="00CB01F0" w:rsidRDefault="00400748">
      <w:pPr>
        <w:pStyle w:val="FootnoteText"/>
        <w:rPr>
          <w:lang w:val="en-ZA"/>
        </w:rPr>
      </w:pPr>
      <w:r>
        <w:rPr>
          <w:rStyle w:val="FootnoteReference"/>
        </w:rPr>
        <w:footnoteRef/>
      </w:r>
      <w:r>
        <w:t xml:space="preserve"> </w:t>
      </w:r>
      <w:r>
        <w:rPr>
          <w:lang w:val="en-ZA"/>
        </w:rPr>
        <w:t xml:space="preserve">Para 60.2 of the AA. </w:t>
      </w:r>
    </w:p>
  </w:footnote>
  <w:footnote w:id="78">
    <w:p w14:paraId="1616D926" w14:textId="77777777" w:rsidR="00400748" w:rsidRPr="00EF5137" w:rsidRDefault="00400748">
      <w:pPr>
        <w:pStyle w:val="FootnoteText"/>
        <w:rPr>
          <w:lang w:val="en-ZA"/>
        </w:rPr>
      </w:pPr>
      <w:r>
        <w:rPr>
          <w:rStyle w:val="FootnoteReference"/>
        </w:rPr>
        <w:footnoteRef/>
      </w:r>
      <w:r>
        <w:t xml:space="preserve"> </w:t>
      </w:r>
      <w:r>
        <w:rPr>
          <w:lang w:val="en-ZA"/>
        </w:rPr>
        <w:t>Para 44 of the RA.</w:t>
      </w:r>
    </w:p>
  </w:footnote>
  <w:footnote w:id="79">
    <w:p w14:paraId="0595429A" w14:textId="77777777" w:rsidR="00400748" w:rsidRPr="00F44EAA" w:rsidRDefault="00400748">
      <w:pPr>
        <w:pStyle w:val="FootnoteText"/>
        <w:rPr>
          <w:lang w:val="en-ZA"/>
        </w:rPr>
      </w:pPr>
      <w:r>
        <w:rPr>
          <w:rStyle w:val="FootnoteReference"/>
        </w:rPr>
        <w:footnoteRef/>
      </w:r>
      <w:r>
        <w:t xml:space="preserve"> </w:t>
      </w:r>
      <w:r>
        <w:rPr>
          <w:lang w:val="en-ZA"/>
        </w:rPr>
        <w:t>Para 45 of the RA.</w:t>
      </w:r>
    </w:p>
  </w:footnote>
  <w:footnote w:id="80">
    <w:p w14:paraId="4A28BF79" w14:textId="77777777" w:rsidR="00400748" w:rsidRPr="00F14389" w:rsidRDefault="00400748">
      <w:pPr>
        <w:pStyle w:val="FootnoteText"/>
        <w:rPr>
          <w:lang w:val="en-ZA"/>
        </w:rPr>
      </w:pPr>
      <w:r>
        <w:rPr>
          <w:rStyle w:val="FootnoteReference"/>
        </w:rPr>
        <w:footnoteRef/>
      </w:r>
      <w:r>
        <w:t xml:space="preserve"> </w:t>
      </w:r>
      <w:r>
        <w:rPr>
          <w:lang w:val="en-ZA"/>
        </w:rPr>
        <w:t>Para 28 of his affidavit on page 528 of the Index.</w:t>
      </w:r>
    </w:p>
  </w:footnote>
  <w:footnote w:id="81">
    <w:p w14:paraId="18466145" w14:textId="77777777" w:rsidR="00400748" w:rsidRPr="00317DF0" w:rsidRDefault="00400748">
      <w:pPr>
        <w:pStyle w:val="FootnoteText"/>
        <w:rPr>
          <w:lang w:val="en-ZA"/>
        </w:rPr>
      </w:pPr>
      <w:r>
        <w:rPr>
          <w:rStyle w:val="FootnoteReference"/>
        </w:rPr>
        <w:footnoteRef/>
      </w:r>
      <w:r>
        <w:t xml:space="preserve"> </w:t>
      </w:r>
      <w:r>
        <w:rPr>
          <w:lang w:val="en-ZA"/>
        </w:rPr>
        <w:t>Para 25 of his affidavit on page 544 of the Index.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4485" w14:textId="77777777" w:rsidR="00400748" w:rsidRDefault="00DA534F">
    <w:pPr>
      <w:pStyle w:val="Header"/>
      <w:jc w:val="right"/>
    </w:pPr>
    <w:sdt>
      <w:sdtPr>
        <w:id w:val="1641074034"/>
        <w:docPartObj>
          <w:docPartGallery w:val="Page Numbers (Top of Page)"/>
          <w:docPartUnique/>
        </w:docPartObj>
      </w:sdtPr>
      <w:sdtEndPr>
        <w:rPr>
          <w:noProof/>
        </w:rPr>
      </w:sdtEndPr>
      <w:sdtContent>
        <w:r w:rsidR="00400748">
          <w:fldChar w:fldCharType="begin"/>
        </w:r>
        <w:r w:rsidR="00400748">
          <w:instrText xml:space="preserve"> PAGE   \* MERGEFORMAT </w:instrText>
        </w:r>
        <w:r w:rsidR="00400748">
          <w:fldChar w:fldCharType="separate"/>
        </w:r>
        <w:r w:rsidR="006C1D3D">
          <w:rPr>
            <w:noProof/>
          </w:rPr>
          <w:t>21</w:t>
        </w:r>
        <w:r w:rsidR="00400748">
          <w:rPr>
            <w:noProof/>
          </w:rPr>
          <w:fldChar w:fldCharType="end"/>
        </w:r>
      </w:sdtContent>
    </w:sdt>
  </w:p>
  <w:p w14:paraId="1AF26947" w14:textId="77777777" w:rsidR="00400748" w:rsidRDefault="00400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976429"/>
    <w:multiLevelType w:val="multilevel"/>
    <w:tmpl w:val="D90ADAD8"/>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D605111"/>
    <w:multiLevelType w:val="multilevel"/>
    <w:tmpl w:val="870EA39A"/>
    <w:lvl w:ilvl="0">
      <w:start w:val="1"/>
      <w:numFmt w:val="decimal"/>
      <w:lvlText w:val="%1."/>
      <w:lvlJc w:val="left"/>
      <w:pPr>
        <w:ind w:left="720" w:hanging="360"/>
      </w:pPr>
      <w:rPr>
        <w:rFonts w:hint="default"/>
        <w:i w:val="0"/>
        <w:sz w:val="24"/>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5C62AB"/>
    <w:multiLevelType w:val="hybridMultilevel"/>
    <w:tmpl w:val="F506A8BC"/>
    <w:lvl w:ilvl="0" w:tplc="F46686BA">
      <w:start w:val="1"/>
      <w:numFmt w:val="lowerLetter"/>
      <w:lvlText w:val="%1)"/>
      <w:lvlJc w:val="left"/>
      <w:pPr>
        <w:ind w:left="1494" w:hanging="360"/>
      </w:pPr>
      <w:rPr>
        <w:rFonts w:hint="default"/>
        <w:i/>
        <w:sz w:val="2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6">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4A7385"/>
    <w:multiLevelType w:val="multilevel"/>
    <w:tmpl w:val="F594CBB4"/>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36C43482"/>
    <w:multiLevelType w:val="hybridMultilevel"/>
    <w:tmpl w:val="0CF468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50271C"/>
    <w:multiLevelType w:val="hybridMultilevel"/>
    <w:tmpl w:val="D884F380"/>
    <w:lvl w:ilvl="0" w:tplc="DE68C77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5">
    <w:nsid w:val="62EE1C90"/>
    <w:multiLevelType w:val="hybridMultilevel"/>
    <w:tmpl w:val="8E38600E"/>
    <w:lvl w:ilvl="0" w:tplc="FB6ACB08">
      <w:start w:val="1"/>
      <w:numFmt w:val="decimal"/>
      <w:lvlText w:val="%1."/>
      <w:lvlJc w:val="left"/>
      <w:pPr>
        <w:ind w:left="927" w:hanging="360"/>
      </w:pPr>
      <w:rPr>
        <w:rFonts w:hint="default"/>
        <w:sz w:val="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8497FF3"/>
    <w:multiLevelType w:val="hybridMultilevel"/>
    <w:tmpl w:val="0CA44F12"/>
    <w:lvl w:ilvl="0" w:tplc="D49ACB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1FA6252"/>
    <w:multiLevelType w:val="multilevel"/>
    <w:tmpl w:val="70E814A6"/>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7135DF2"/>
    <w:multiLevelType w:val="multilevel"/>
    <w:tmpl w:val="A5BEE01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8"/>
  </w:num>
  <w:num w:numId="3">
    <w:abstractNumId w:val="14"/>
  </w:num>
  <w:num w:numId="4">
    <w:abstractNumId w:val="0"/>
  </w:num>
  <w:num w:numId="5">
    <w:abstractNumId w:val="3"/>
  </w:num>
  <w:num w:numId="6">
    <w:abstractNumId w:val="19"/>
  </w:num>
  <w:num w:numId="7">
    <w:abstractNumId w:val="9"/>
  </w:num>
  <w:num w:numId="8">
    <w:abstractNumId w:val="17"/>
  </w:num>
  <w:num w:numId="9">
    <w:abstractNumId w:val="5"/>
  </w:num>
  <w:num w:numId="10">
    <w:abstractNumId w:val="6"/>
  </w:num>
  <w:num w:numId="11">
    <w:abstractNumId w:val="10"/>
  </w:num>
  <w:num w:numId="12">
    <w:abstractNumId w:val="7"/>
  </w:num>
  <w:num w:numId="13">
    <w:abstractNumId w:val="15"/>
  </w:num>
  <w:num w:numId="14">
    <w:abstractNumId w:val="16"/>
  </w:num>
  <w:num w:numId="15">
    <w:abstractNumId w:val="12"/>
  </w:num>
  <w:num w:numId="16">
    <w:abstractNumId w:val="20"/>
  </w:num>
  <w:num w:numId="17">
    <w:abstractNumId w:val="21"/>
  </w:num>
  <w:num w:numId="18">
    <w:abstractNumId w:val="13"/>
  </w:num>
  <w:num w:numId="19">
    <w:abstractNumId w:val="2"/>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qwFAOATPcEtAAAA"/>
  </w:docVars>
  <w:rsids>
    <w:rsidRoot w:val="007C348D"/>
    <w:rsid w:val="00003429"/>
    <w:rsid w:val="000035FC"/>
    <w:rsid w:val="0000752B"/>
    <w:rsid w:val="00010380"/>
    <w:rsid w:val="000111F4"/>
    <w:rsid w:val="00013A3F"/>
    <w:rsid w:val="00013D95"/>
    <w:rsid w:val="00015B97"/>
    <w:rsid w:val="00017C1A"/>
    <w:rsid w:val="00021045"/>
    <w:rsid w:val="0002217F"/>
    <w:rsid w:val="00023645"/>
    <w:rsid w:val="000237D5"/>
    <w:rsid w:val="000239A7"/>
    <w:rsid w:val="00024AE7"/>
    <w:rsid w:val="000312FA"/>
    <w:rsid w:val="00032C9A"/>
    <w:rsid w:val="00034EB0"/>
    <w:rsid w:val="000353DD"/>
    <w:rsid w:val="00036093"/>
    <w:rsid w:val="00036FC8"/>
    <w:rsid w:val="00037432"/>
    <w:rsid w:val="0004086A"/>
    <w:rsid w:val="00041CD0"/>
    <w:rsid w:val="00042A66"/>
    <w:rsid w:val="00045701"/>
    <w:rsid w:val="00045BE9"/>
    <w:rsid w:val="00047074"/>
    <w:rsid w:val="000519D5"/>
    <w:rsid w:val="00056043"/>
    <w:rsid w:val="000562F2"/>
    <w:rsid w:val="00056E59"/>
    <w:rsid w:val="00056F05"/>
    <w:rsid w:val="0006242B"/>
    <w:rsid w:val="00063844"/>
    <w:rsid w:val="00065F40"/>
    <w:rsid w:val="00067989"/>
    <w:rsid w:val="00067B8F"/>
    <w:rsid w:val="0007052E"/>
    <w:rsid w:val="000712B0"/>
    <w:rsid w:val="000715DF"/>
    <w:rsid w:val="00072E50"/>
    <w:rsid w:val="000730AD"/>
    <w:rsid w:val="00075F25"/>
    <w:rsid w:val="000769AB"/>
    <w:rsid w:val="00076CB8"/>
    <w:rsid w:val="00076FE9"/>
    <w:rsid w:val="00077E52"/>
    <w:rsid w:val="00080924"/>
    <w:rsid w:val="00080ACE"/>
    <w:rsid w:val="00082A3D"/>
    <w:rsid w:val="00083CED"/>
    <w:rsid w:val="00084019"/>
    <w:rsid w:val="00084A6E"/>
    <w:rsid w:val="00084C51"/>
    <w:rsid w:val="00085FA9"/>
    <w:rsid w:val="00087E92"/>
    <w:rsid w:val="00091D75"/>
    <w:rsid w:val="00096171"/>
    <w:rsid w:val="000A016A"/>
    <w:rsid w:val="000A28BA"/>
    <w:rsid w:val="000A33D4"/>
    <w:rsid w:val="000A4558"/>
    <w:rsid w:val="000A52BA"/>
    <w:rsid w:val="000A5B90"/>
    <w:rsid w:val="000A647C"/>
    <w:rsid w:val="000A6C76"/>
    <w:rsid w:val="000A7424"/>
    <w:rsid w:val="000B0980"/>
    <w:rsid w:val="000B7255"/>
    <w:rsid w:val="000B7705"/>
    <w:rsid w:val="000C1CB7"/>
    <w:rsid w:val="000C52A7"/>
    <w:rsid w:val="000C66EC"/>
    <w:rsid w:val="000C72FC"/>
    <w:rsid w:val="000C747A"/>
    <w:rsid w:val="000C77F8"/>
    <w:rsid w:val="000C7CAF"/>
    <w:rsid w:val="000D3CBE"/>
    <w:rsid w:val="000D4E9C"/>
    <w:rsid w:val="000D68EE"/>
    <w:rsid w:val="000E349E"/>
    <w:rsid w:val="000E5025"/>
    <w:rsid w:val="000E6196"/>
    <w:rsid w:val="000E6715"/>
    <w:rsid w:val="000E7BB3"/>
    <w:rsid w:val="000E7C2E"/>
    <w:rsid w:val="000F0D5A"/>
    <w:rsid w:val="000F200E"/>
    <w:rsid w:val="000F2881"/>
    <w:rsid w:val="000F713E"/>
    <w:rsid w:val="00101B7F"/>
    <w:rsid w:val="00101FFF"/>
    <w:rsid w:val="00102312"/>
    <w:rsid w:val="001030E7"/>
    <w:rsid w:val="0010369D"/>
    <w:rsid w:val="001036C0"/>
    <w:rsid w:val="0011267B"/>
    <w:rsid w:val="00112DAF"/>
    <w:rsid w:val="00114426"/>
    <w:rsid w:val="0011692D"/>
    <w:rsid w:val="00122559"/>
    <w:rsid w:val="00131CF1"/>
    <w:rsid w:val="00133DE4"/>
    <w:rsid w:val="00134B44"/>
    <w:rsid w:val="001351AA"/>
    <w:rsid w:val="00135CCC"/>
    <w:rsid w:val="00135E73"/>
    <w:rsid w:val="00136A1F"/>
    <w:rsid w:val="00141DCC"/>
    <w:rsid w:val="00142562"/>
    <w:rsid w:val="00143AAA"/>
    <w:rsid w:val="00147796"/>
    <w:rsid w:val="001479EF"/>
    <w:rsid w:val="00152BC4"/>
    <w:rsid w:val="00153BD2"/>
    <w:rsid w:val="00154239"/>
    <w:rsid w:val="001575AF"/>
    <w:rsid w:val="00157E06"/>
    <w:rsid w:val="00161413"/>
    <w:rsid w:val="0016393F"/>
    <w:rsid w:val="00164380"/>
    <w:rsid w:val="00165C83"/>
    <w:rsid w:val="00167A7E"/>
    <w:rsid w:val="00173B27"/>
    <w:rsid w:val="00182542"/>
    <w:rsid w:val="00182D87"/>
    <w:rsid w:val="00183AFE"/>
    <w:rsid w:val="00183DEC"/>
    <w:rsid w:val="001842DC"/>
    <w:rsid w:val="00186CF9"/>
    <w:rsid w:val="00187391"/>
    <w:rsid w:val="00187A8D"/>
    <w:rsid w:val="00194466"/>
    <w:rsid w:val="00196B60"/>
    <w:rsid w:val="001A0324"/>
    <w:rsid w:val="001A1404"/>
    <w:rsid w:val="001A261F"/>
    <w:rsid w:val="001A764A"/>
    <w:rsid w:val="001B13B1"/>
    <w:rsid w:val="001B13BF"/>
    <w:rsid w:val="001B34F4"/>
    <w:rsid w:val="001B7DC9"/>
    <w:rsid w:val="001C073D"/>
    <w:rsid w:val="001C3FB2"/>
    <w:rsid w:val="001C4123"/>
    <w:rsid w:val="001C6B3D"/>
    <w:rsid w:val="001C6D91"/>
    <w:rsid w:val="001D059B"/>
    <w:rsid w:val="001D0A19"/>
    <w:rsid w:val="001D1236"/>
    <w:rsid w:val="001D15CD"/>
    <w:rsid w:val="001D54AE"/>
    <w:rsid w:val="001D5D6E"/>
    <w:rsid w:val="001D652F"/>
    <w:rsid w:val="001E251D"/>
    <w:rsid w:val="001E2FDC"/>
    <w:rsid w:val="001E4382"/>
    <w:rsid w:val="001E67B8"/>
    <w:rsid w:val="001F373A"/>
    <w:rsid w:val="001F6C47"/>
    <w:rsid w:val="001F6CEC"/>
    <w:rsid w:val="001F70BD"/>
    <w:rsid w:val="00201579"/>
    <w:rsid w:val="00203764"/>
    <w:rsid w:val="0020396B"/>
    <w:rsid w:val="00206038"/>
    <w:rsid w:val="002060ED"/>
    <w:rsid w:val="002063F1"/>
    <w:rsid w:val="002079A8"/>
    <w:rsid w:val="00212A94"/>
    <w:rsid w:val="002145DF"/>
    <w:rsid w:val="002148F2"/>
    <w:rsid w:val="00215FC2"/>
    <w:rsid w:val="00216A50"/>
    <w:rsid w:val="00217700"/>
    <w:rsid w:val="00224906"/>
    <w:rsid w:val="0022569D"/>
    <w:rsid w:val="002274E2"/>
    <w:rsid w:val="00233CC7"/>
    <w:rsid w:val="00234018"/>
    <w:rsid w:val="002372E5"/>
    <w:rsid w:val="00240AC1"/>
    <w:rsid w:val="00240D77"/>
    <w:rsid w:val="00240E60"/>
    <w:rsid w:val="00241308"/>
    <w:rsid w:val="002454E6"/>
    <w:rsid w:val="00251520"/>
    <w:rsid w:val="00251A7C"/>
    <w:rsid w:val="00257537"/>
    <w:rsid w:val="00257803"/>
    <w:rsid w:val="00261FF7"/>
    <w:rsid w:val="002627AF"/>
    <w:rsid w:val="00262A05"/>
    <w:rsid w:val="0026310B"/>
    <w:rsid w:val="002734F8"/>
    <w:rsid w:val="00273A81"/>
    <w:rsid w:val="00274A57"/>
    <w:rsid w:val="00274F66"/>
    <w:rsid w:val="00277577"/>
    <w:rsid w:val="0027763B"/>
    <w:rsid w:val="00283538"/>
    <w:rsid w:val="00286EB0"/>
    <w:rsid w:val="00286F23"/>
    <w:rsid w:val="002875E5"/>
    <w:rsid w:val="0029022F"/>
    <w:rsid w:val="00291CB0"/>
    <w:rsid w:val="00293159"/>
    <w:rsid w:val="002938AA"/>
    <w:rsid w:val="00295F9C"/>
    <w:rsid w:val="00296BCB"/>
    <w:rsid w:val="002A46BB"/>
    <w:rsid w:val="002A5617"/>
    <w:rsid w:val="002A60B8"/>
    <w:rsid w:val="002A61D2"/>
    <w:rsid w:val="002A62A7"/>
    <w:rsid w:val="002A631E"/>
    <w:rsid w:val="002A7CB0"/>
    <w:rsid w:val="002A7D4B"/>
    <w:rsid w:val="002B27AB"/>
    <w:rsid w:val="002B369A"/>
    <w:rsid w:val="002B48A4"/>
    <w:rsid w:val="002C0225"/>
    <w:rsid w:val="002C4ECE"/>
    <w:rsid w:val="002C5414"/>
    <w:rsid w:val="002D0C0F"/>
    <w:rsid w:val="002D3664"/>
    <w:rsid w:val="002D3D67"/>
    <w:rsid w:val="002D5E30"/>
    <w:rsid w:val="002E15CB"/>
    <w:rsid w:val="002E2E53"/>
    <w:rsid w:val="002E46F4"/>
    <w:rsid w:val="002F32AE"/>
    <w:rsid w:val="002F3ACE"/>
    <w:rsid w:val="002F4685"/>
    <w:rsid w:val="002F71C5"/>
    <w:rsid w:val="002F7966"/>
    <w:rsid w:val="00302D2B"/>
    <w:rsid w:val="00302EE5"/>
    <w:rsid w:val="003036C9"/>
    <w:rsid w:val="0030603E"/>
    <w:rsid w:val="003065ED"/>
    <w:rsid w:val="00310B0A"/>
    <w:rsid w:val="0031193F"/>
    <w:rsid w:val="00313061"/>
    <w:rsid w:val="00313D1F"/>
    <w:rsid w:val="00315B14"/>
    <w:rsid w:val="00316479"/>
    <w:rsid w:val="00316B54"/>
    <w:rsid w:val="00317078"/>
    <w:rsid w:val="00317519"/>
    <w:rsid w:val="00317DF0"/>
    <w:rsid w:val="00326787"/>
    <w:rsid w:val="00327340"/>
    <w:rsid w:val="003279E1"/>
    <w:rsid w:val="00331CAF"/>
    <w:rsid w:val="00332B7A"/>
    <w:rsid w:val="00335361"/>
    <w:rsid w:val="00337B9E"/>
    <w:rsid w:val="00343972"/>
    <w:rsid w:val="003448E3"/>
    <w:rsid w:val="003460C5"/>
    <w:rsid w:val="0035047C"/>
    <w:rsid w:val="00351967"/>
    <w:rsid w:val="00352BB3"/>
    <w:rsid w:val="00354C2D"/>
    <w:rsid w:val="00356771"/>
    <w:rsid w:val="00356D48"/>
    <w:rsid w:val="00360090"/>
    <w:rsid w:val="003602A0"/>
    <w:rsid w:val="00361BB3"/>
    <w:rsid w:val="00366E58"/>
    <w:rsid w:val="003704AE"/>
    <w:rsid w:val="00371A61"/>
    <w:rsid w:val="00372841"/>
    <w:rsid w:val="003736B1"/>
    <w:rsid w:val="00374D35"/>
    <w:rsid w:val="00374D49"/>
    <w:rsid w:val="003778B7"/>
    <w:rsid w:val="003805E1"/>
    <w:rsid w:val="00381834"/>
    <w:rsid w:val="0038239E"/>
    <w:rsid w:val="00383432"/>
    <w:rsid w:val="00385141"/>
    <w:rsid w:val="003878BB"/>
    <w:rsid w:val="003931C2"/>
    <w:rsid w:val="00393BC0"/>
    <w:rsid w:val="003948BF"/>
    <w:rsid w:val="00396958"/>
    <w:rsid w:val="00397F46"/>
    <w:rsid w:val="003A43FD"/>
    <w:rsid w:val="003A6A92"/>
    <w:rsid w:val="003B0156"/>
    <w:rsid w:val="003B15D1"/>
    <w:rsid w:val="003B1CBE"/>
    <w:rsid w:val="003B34B6"/>
    <w:rsid w:val="003B3C7C"/>
    <w:rsid w:val="003B4BB1"/>
    <w:rsid w:val="003B621B"/>
    <w:rsid w:val="003C40E9"/>
    <w:rsid w:val="003C6B83"/>
    <w:rsid w:val="003D1188"/>
    <w:rsid w:val="003D200F"/>
    <w:rsid w:val="003D4E96"/>
    <w:rsid w:val="003E07F9"/>
    <w:rsid w:val="003E3876"/>
    <w:rsid w:val="003E7E06"/>
    <w:rsid w:val="003E7E5A"/>
    <w:rsid w:val="003E7FE1"/>
    <w:rsid w:val="003F2617"/>
    <w:rsid w:val="003F2D1B"/>
    <w:rsid w:val="003F37E6"/>
    <w:rsid w:val="003F410D"/>
    <w:rsid w:val="003F49BA"/>
    <w:rsid w:val="003F67B9"/>
    <w:rsid w:val="00400748"/>
    <w:rsid w:val="004032A9"/>
    <w:rsid w:val="004036F5"/>
    <w:rsid w:val="00403D1D"/>
    <w:rsid w:val="004041CC"/>
    <w:rsid w:val="00404459"/>
    <w:rsid w:val="00405587"/>
    <w:rsid w:val="00407B26"/>
    <w:rsid w:val="004133A9"/>
    <w:rsid w:val="0041448F"/>
    <w:rsid w:val="00415848"/>
    <w:rsid w:val="004159A7"/>
    <w:rsid w:val="00416341"/>
    <w:rsid w:val="0041714C"/>
    <w:rsid w:val="00417889"/>
    <w:rsid w:val="0042055E"/>
    <w:rsid w:val="0042280C"/>
    <w:rsid w:val="00430CD6"/>
    <w:rsid w:val="0043720B"/>
    <w:rsid w:val="00441D7B"/>
    <w:rsid w:val="004421FC"/>
    <w:rsid w:val="00446430"/>
    <w:rsid w:val="0044778C"/>
    <w:rsid w:val="00447C28"/>
    <w:rsid w:val="004537CD"/>
    <w:rsid w:val="0045749B"/>
    <w:rsid w:val="00457BF2"/>
    <w:rsid w:val="0046120C"/>
    <w:rsid w:val="00462396"/>
    <w:rsid w:val="0046504C"/>
    <w:rsid w:val="00467392"/>
    <w:rsid w:val="00470E1F"/>
    <w:rsid w:val="004749DA"/>
    <w:rsid w:val="00482AAD"/>
    <w:rsid w:val="00491045"/>
    <w:rsid w:val="004919CD"/>
    <w:rsid w:val="0049477D"/>
    <w:rsid w:val="004A11D2"/>
    <w:rsid w:val="004A20A8"/>
    <w:rsid w:val="004A2A85"/>
    <w:rsid w:val="004A2E58"/>
    <w:rsid w:val="004A3257"/>
    <w:rsid w:val="004A56AE"/>
    <w:rsid w:val="004C1229"/>
    <w:rsid w:val="004C20DC"/>
    <w:rsid w:val="004C368F"/>
    <w:rsid w:val="004C4AC9"/>
    <w:rsid w:val="004C4C0D"/>
    <w:rsid w:val="004C4EEE"/>
    <w:rsid w:val="004C54AA"/>
    <w:rsid w:val="004C5C25"/>
    <w:rsid w:val="004C77AF"/>
    <w:rsid w:val="004D020D"/>
    <w:rsid w:val="004D3478"/>
    <w:rsid w:val="004D63AD"/>
    <w:rsid w:val="004E0B29"/>
    <w:rsid w:val="004E2339"/>
    <w:rsid w:val="004E243D"/>
    <w:rsid w:val="004E2D73"/>
    <w:rsid w:val="004E3022"/>
    <w:rsid w:val="004E54EB"/>
    <w:rsid w:val="004E71AB"/>
    <w:rsid w:val="004F2723"/>
    <w:rsid w:val="004F3F06"/>
    <w:rsid w:val="004F5E70"/>
    <w:rsid w:val="004F6685"/>
    <w:rsid w:val="004F793E"/>
    <w:rsid w:val="0050073B"/>
    <w:rsid w:val="005013E3"/>
    <w:rsid w:val="00501DFE"/>
    <w:rsid w:val="0050544E"/>
    <w:rsid w:val="005054CC"/>
    <w:rsid w:val="0051095E"/>
    <w:rsid w:val="00521E82"/>
    <w:rsid w:val="00533A9E"/>
    <w:rsid w:val="005361BE"/>
    <w:rsid w:val="0054066D"/>
    <w:rsid w:val="005459C8"/>
    <w:rsid w:val="005466BF"/>
    <w:rsid w:val="00547BCC"/>
    <w:rsid w:val="00550652"/>
    <w:rsid w:val="005520B8"/>
    <w:rsid w:val="00554B8B"/>
    <w:rsid w:val="00557008"/>
    <w:rsid w:val="005603CC"/>
    <w:rsid w:val="00561FF6"/>
    <w:rsid w:val="0056286B"/>
    <w:rsid w:val="0056474A"/>
    <w:rsid w:val="00573E6A"/>
    <w:rsid w:val="005745A6"/>
    <w:rsid w:val="005748CD"/>
    <w:rsid w:val="005767E5"/>
    <w:rsid w:val="005835FE"/>
    <w:rsid w:val="00584EC5"/>
    <w:rsid w:val="005851C9"/>
    <w:rsid w:val="00585608"/>
    <w:rsid w:val="00586501"/>
    <w:rsid w:val="00591CD2"/>
    <w:rsid w:val="005920A2"/>
    <w:rsid w:val="005922D8"/>
    <w:rsid w:val="00593FD9"/>
    <w:rsid w:val="0059404A"/>
    <w:rsid w:val="00594EE7"/>
    <w:rsid w:val="005960F0"/>
    <w:rsid w:val="00597EFA"/>
    <w:rsid w:val="005A09B6"/>
    <w:rsid w:val="005A443B"/>
    <w:rsid w:val="005A4728"/>
    <w:rsid w:val="005A480A"/>
    <w:rsid w:val="005A6091"/>
    <w:rsid w:val="005A6D30"/>
    <w:rsid w:val="005A6F9D"/>
    <w:rsid w:val="005A7CC1"/>
    <w:rsid w:val="005B1D73"/>
    <w:rsid w:val="005B2528"/>
    <w:rsid w:val="005B271F"/>
    <w:rsid w:val="005B3E38"/>
    <w:rsid w:val="005B56EE"/>
    <w:rsid w:val="005B5C14"/>
    <w:rsid w:val="005C5FA7"/>
    <w:rsid w:val="005D0070"/>
    <w:rsid w:val="005D049C"/>
    <w:rsid w:val="005D0D19"/>
    <w:rsid w:val="005D1104"/>
    <w:rsid w:val="005D6CBF"/>
    <w:rsid w:val="005E0068"/>
    <w:rsid w:val="005E0955"/>
    <w:rsid w:val="005E18AD"/>
    <w:rsid w:val="005E3597"/>
    <w:rsid w:val="005E5822"/>
    <w:rsid w:val="005E5E90"/>
    <w:rsid w:val="005E61AB"/>
    <w:rsid w:val="005F349B"/>
    <w:rsid w:val="005F65D4"/>
    <w:rsid w:val="00601B1A"/>
    <w:rsid w:val="006057B5"/>
    <w:rsid w:val="00605CDC"/>
    <w:rsid w:val="00611A07"/>
    <w:rsid w:val="00617ACE"/>
    <w:rsid w:val="00620004"/>
    <w:rsid w:val="00620500"/>
    <w:rsid w:val="0062222E"/>
    <w:rsid w:val="006231E0"/>
    <w:rsid w:val="00623854"/>
    <w:rsid w:val="00625250"/>
    <w:rsid w:val="00626E98"/>
    <w:rsid w:val="00626FFB"/>
    <w:rsid w:val="006305D6"/>
    <w:rsid w:val="006349BA"/>
    <w:rsid w:val="006357EB"/>
    <w:rsid w:val="00637678"/>
    <w:rsid w:val="00637694"/>
    <w:rsid w:val="00640D44"/>
    <w:rsid w:val="00645452"/>
    <w:rsid w:val="0064795D"/>
    <w:rsid w:val="0065472D"/>
    <w:rsid w:val="00656276"/>
    <w:rsid w:val="0065643B"/>
    <w:rsid w:val="006602E8"/>
    <w:rsid w:val="006614CC"/>
    <w:rsid w:val="00661B8F"/>
    <w:rsid w:val="00662E73"/>
    <w:rsid w:val="00663516"/>
    <w:rsid w:val="00666EAC"/>
    <w:rsid w:val="00667E39"/>
    <w:rsid w:val="00671A61"/>
    <w:rsid w:val="0067316B"/>
    <w:rsid w:val="00673E9E"/>
    <w:rsid w:val="006751B4"/>
    <w:rsid w:val="0067768F"/>
    <w:rsid w:val="006823FB"/>
    <w:rsid w:val="00682AD5"/>
    <w:rsid w:val="0068323E"/>
    <w:rsid w:val="00684F83"/>
    <w:rsid w:val="00686BC3"/>
    <w:rsid w:val="00692643"/>
    <w:rsid w:val="006A035D"/>
    <w:rsid w:val="006A1F93"/>
    <w:rsid w:val="006A4076"/>
    <w:rsid w:val="006A47FB"/>
    <w:rsid w:val="006A6C28"/>
    <w:rsid w:val="006B3CAD"/>
    <w:rsid w:val="006B44D4"/>
    <w:rsid w:val="006C06AC"/>
    <w:rsid w:val="006C0F71"/>
    <w:rsid w:val="006C1550"/>
    <w:rsid w:val="006C162E"/>
    <w:rsid w:val="006C1D3D"/>
    <w:rsid w:val="006C2A31"/>
    <w:rsid w:val="006C2D4E"/>
    <w:rsid w:val="006C3953"/>
    <w:rsid w:val="006C443F"/>
    <w:rsid w:val="006C7746"/>
    <w:rsid w:val="006D055C"/>
    <w:rsid w:val="006D0B19"/>
    <w:rsid w:val="006D0CAB"/>
    <w:rsid w:val="006D2861"/>
    <w:rsid w:val="006D3CD8"/>
    <w:rsid w:val="006D6CC4"/>
    <w:rsid w:val="006D6F69"/>
    <w:rsid w:val="006D7D16"/>
    <w:rsid w:val="006E0733"/>
    <w:rsid w:val="006E0CE0"/>
    <w:rsid w:val="006E3EF8"/>
    <w:rsid w:val="006F313D"/>
    <w:rsid w:val="006F368B"/>
    <w:rsid w:val="006F3811"/>
    <w:rsid w:val="006F48A0"/>
    <w:rsid w:val="006F5885"/>
    <w:rsid w:val="007013A6"/>
    <w:rsid w:val="00702605"/>
    <w:rsid w:val="007033AB"/>
    <w:rsid w:val="00707BA7"/>
    <w:rsid w:val="0071086C"/>
    <w:rsid w:val="00713FEB"/>
    <w:rsid w:val="0071572C"/>
    <w:rsid w:val="00715DCC"/>
    <w:rsid w:val="00716CD0"/>
    <w:rsid w:val="00717EC8"/>
    <w:rsid w:val="00721246"/>
    <w:rsid w:val="007218DA"/>
    <w:rsid w:val="00724EA2"/>
    <w:rsid w:val="0072655E"/>
    <w:rsid w:val="007270BC"/>
    <w:rsid w:val="00731AE7"/>
    <w:rsid w:val="00732E4B"/>
    <w:rsid w:val="00733379"/>
    <w:rsid w:val="00733717"/>
    <w:rsid w:val="00737BAB"/>
    <w:rsid w:val="00740049"/>
    <w:rsid w:val="007413E8"/>
    <w:rsid w:val="0074371E"/>
    <w:rsid w:val="0074394F"/>
    <w:rsid w:val="00743A9D"/>
    <w:rsid w:val="00744550"/>
    <w:rsid w:val="00744F95"/>
    <w:rsid w:val="00750200"/>
    <w:rsid w:val="007512F2"/>
    <w:rsid w:val="00751FB3"/>
    <w:rsid w:val="00752379"/>
    <w:rsid w:val="00754E32"/>
    <w:rsid w:val="0075596B"/>
    <w:rsid w:val="00761B54"/>
    <w:rsid w:val="0076247E"/>
    <w:rsid w:val="00763C94"/>
    <w:rsid w:val="00764267"/>
    <w:rsid w:val="0076553A"/>
    <w:rsid w:val="0077094C"/>
    <w:rsid w:val="00774C0A"/>
    <w:rsid w:val="00781F07"/>
    <w:rsid w:val="00783FE3"/>
    <w:rsid w:val="0078679D"/>
    <w:rsid w:val="00786C0C"/>
    <w:rsid w:val="0079284C"/>
    <w:rsid w:val="00797293"/>
    <w:rsid w:val="007A0ECC"/>
    <w:rsid w:val="007A178E"/>
    <w:rsid w:val="007A2DC1"/>
    <w:rsid w:val="007C0CAC"/>
    <w:rsid w:val="007C2356"/>
    <w:rsid w:val="007C348D"/>
    <w:rsid w:val="007C70B7"/>
    <w:rsid w:val="007C7112"/>
    <w:rsid w:val="007C7494"/>
    <w:rsid w:val="007C77B3"/>
    <w:rsid w:val="007D02FC"/>
    <w:rsid w:val="007D1CFA"/>
    <w:rsid w:val="007D4A7C"/>
    <w:rsid w:val="007D7E87"/>
    <w:rsid w:val="007D7EEE"/>
    <w:rsid w:val="007E14F4"/>
    <w:rsid w:val="007E3399"/>
    <w:rsid w:val="007E38E2"/>
    <w:rsid w:val="007E399A"/>
    <w:rsid w:val="007E61BB"/>
    <w:rsid w:val="007F2630"/>
    <w:rsid w:val="007F3533"/>
    <w:rsid w:val="007F4300"/>
    <w:rsid w:val="007F4A85"/>
    <w:rsid w:val="007F4F13"/>
    <w:rsid w:val="007F6B5A"/>
    <w:rsid w:val="00800164"/>
    <w:rsid w:val="00800C08"/>
    <w:rsid w:val="008014A3"/>
    <w:rsid w:val="00804DDE"/>
    <w:rsid w:val="008079C5"/>
    <w:rsid w:val="00807CBF"/>
    <w:rsid w:val="00810079"/>
    <w:rsid w:val="008101DB"/>
    <w:rsid w:val="00812151"/>
    <w:rsid w:val="0081218C"/>
    <w:rsid w:val="00812630"/>
    <w:rsid w:val="0081372D"/>
    <w:rsid w:val="00813D19"/>
    <w:rsid w:val="00815908"/>
    <w:rsid w:val="00815A70"/>
    <w:rsid w:val="00816F15"/>
    <w:rsid w:val="00820441"/>
    <w:rsid w:val="008234CB"/>
    <w:rsid w:val="00824916"/>
    <w:rsid w:val="0082551A"/>
    <w:rsid w:val="008318BF"/>
    <w:rsid w:val="00831EAA"/>
    <w:rsid w:val="00832EED"/>
    <w:rsid w:val="00834246"/>
    <w:rsid w:val="00836073"/>
    <w:rsid w:val="00836CB3"/>
    <w:rsid w:val="00843543"/>
    <w:rsid w:val="00843C87"/>
    <w:rsid w:val="0084509E"/>
    <w:rsid w:val="00845D99"/>
    <w:rsid w:val="008477C6"/>
    <w:rsid w:val="0085107A"/>
    <w:rsid w:val="008515D4"/>
    <w:rsid w:val="008523C2"/>
    <w:rsid w:val="00852739"/>
    <w:rsid w:val="00852C7F"/>
    <w:rsid w:val="00854466"/>
    <w:rsid w:val="00854D9F"/>
    <w:rsid w:val="00856727"/>
    <w:rsid w:val="008577E5"/>
    <w:rsid w:val="008632D0"/>
    <w:rsid w:val="008632EC"/>
    <w:rsid w:val="008636DC"/>
    <w:rsid w:val="0086528A"/>
    <w:rsid w:val="0086557C"/>
    <w:rsid w:val="00866F53"/>
    <w:rsid w:val="00867AE3"/>
    <w:rsid w:val="00873B81"/>
    <w:rsid w:val="008742AF"/>
    <w:rsid w:val="00875304"/>
    <w:rsid w:val="0087534B"/>
    <w:rsid w:val="00875729"/>
    <w:rsid w:val="00876CD8"/>
    <w:rsid w:val="008803C0"/>
    <w:rsid w:val="00880BB3"/>
    <w:rsid w:val="00881EF3"/>
    <w:rsid w:val="008826B9"/>
    <w:rsid w:val="00882721"/>
    <w:rsid w:val="00883436"/>
    <w:rsid w:val="008856D0"/>
    <w:rsid w:val="00886572"/>
    <w:rsid w:val="00891F14"/>
    <w:rsid w:val="0089304C"/>
    <w:rsid w:val="008938CB"/>
    <w:rsid w:val="00894EEF"/>
    <w:rsid w:val="008957B5"/>
    <w:rsid w:val="00896792"/>
    <w:rsid w:val="008A03E9"/>
    <w:rsid w:val="008A2C7F"/>
    <w:rsid w:val="008A4A0D"/>
    <w:rsid w:val="008A5D23"/>
    <w:rsid w:val="008B010A"/>
    <w:rsid w:val="008B03C5"/>
    <w:rsid w:val="008B0433"/>
    <w:rsid w:val="008B1A3F"/>
    <w:rsid w:val="008B2B1C"/>
    <w:rsid w:val="008B68F7"/>
    <w:rsid w:val="008B6B38"/>
    <w:rsid w:val="008C0F83"/>
    <w:rsid w:val="008C3737"/>
    <w:rsid w:val="008C4509"/>
    <w:rsid w:val="008D09E3"/>
    <w:rsid w:val="008D11BE"/>
    <w:rsid w:val="008D38FF"/>
    <w:rsid w:val="008D65B7"/>
    <w:rsid w:val="008E01C2"/>
    <w:rsid w:val="008E2214"/>
    <w:rsid w:val="008E57BF"/>
    <w:rsid w:val="008F4A75"/>
    <w:rsid w:val="008F568D"/>
    <w:rsid w:val="00902522"/>
    <w:rsid w:val="00902E43"/>
    <w:rsid w:val="00905A58"/>
    <w:rsid w:val="00906761"/>
    <w:rsid w:val="00910CA2"/>
    <w:rsid w:val="00912C9A"/>
    <w:rsid w:val="00912D23"/>
    <w:rsid w:val="00914772"/>
    <w:rsid w:val="00915B05"/>
    <w:rsid w:val="00920087"/>
    <w:rsid w:val="00930363"/>
    <w:rsid w:val="00931298"/>
    <w:rsid w:val="00933041"/>
    <w:rsid w:val="009346A8"/>
    <w:rsid w:val="00935CE2"/>
    <w:rsid w:val="00936CDA"/>
    <w:rsid w:val="00940A0A"/>
    <w:rsid w:val="00940F60"/>
    <w:rsid w:val="009418B5"/>
    <w:rsid w:val="00942E10"/>
    <w:rsid w:val="0094409C"/>
    <w:rsid w:val="0094642F"/>
    <w:rsid w:val="00947102"/>
    <w:rsid w:val="00947956"/>
    <w:rsid w:val="00947981"/>
    <w:rsid w:val="00951AD0"/>
    <w:rsid w:val="00951E22"/>
    <w:rsid w:val="0095267C"/>
    <w:rsid w:val="00952DC9"/>
    <w:rsid w:val="00954AA3"/>
    <w:rsid w:val="009561EF"/>
    <w:rsid w:val="00960841"/>
    <w:rsid w:val="00963238"/>
    <w:rsid w:val="009638BA"/>
    <w:rsid w:val="00965D91"/>
    <w:rsid w:val="009674B3"/>
    <w:rsid w:val="00973F18"/>
    <w:rsid w:val="0097450A"/>
    <w:rsid w:val="0097522B"/>
    <w:rsid w:val="0097545E"/>
    <w:rsid w:val="0097658B"/>
    <w:rsid w:val="00976C0D"/>
    <w:rsid w:val="00980EB4"/>
    <w:rsid w:val="00981B3F"/>
    <w:rsid w:val="009827EF"/>
    <w:rsid w:val="00982D0A"/>
    <w:rsid w:val="0098467C"/>
    <w:rsid w:val="009866DB"/>
    <w:rsid w:val="00991A24"/>
    <w:rsid w:val="00991BA9"/>
    <w:rsid w:val="00994B47"/>
    <w:rsid w:val="00997379"/>
    <w:rsid w:val="00997718"/>
    <w:rsid w:val="009A44AB"/>
    <w:rsid w:val="009A4CAC"/>
    <w:rsid w:val="009A69BA"/>
    <w:rsid w:val="009B06CA"/>
    <w:rsid w:val="009B26F3"/>
    <w:rsid w:val="009B2E71"/>
    <w:rsid w:val="009B3CCA"/>
    <w:rsid w:val="009B60D7"/>
    <w:rsid w:val="009C0EC9"/>
    <w:rsid w:val="009C0F11"/>
    <w:rsid w:val="009C219E"/>
    <w:rsid w:val="009C54C9"/>
    <w:rsid w:val="009C6212"/>
    <w:rsid w:val="009C6ADB"/>
    <w:rsid w:val="009D4A61"/>
    <w:rsid w:val="009D4B90"/>
    <w:rsid w:val="009D67AB"/>
    <w:rsid w:val="009E06E4"/>
    <w:rsid w:val="009E1BC0"/>
    <w:rsid w:val="009E2340"/>
    <w:rsid w:val="009E2C4D"/>
    <w:rsid w:val="009E3E11"/>
    <w:rsid w:val="009E40F8"/>
    <w:rsid w:val="009E469A"/>
    <w:rsid w:val="009E47FD"/>
    <w:rsid w:val="009E577F"/>
    <w:rsid w:val="009F6077"/>
    <w:rsid w:val="00A00249"/>
    <w:rsid w:val="00A00820"/>
    <w:rsid w:val="00A00A52"/>
    <w:rsid w:val="00A01419"/>
    <w:rsid w:val="00A0200E"/>
    <w:rsid w:val="00A052C7"/>
    <w:rsid w:val="00A103A2"/>
    <w:rsid w:val="00A1097F"/>
    <w:rsid w:val="00A10ECE"/>
    <w:rsid w:val="00A11434"/>
    <w:rsid w:val="00A128AC"/>
    <w:rsid w:val="00A13C97"/>
    <w:rsid w:val="00A14BD7"/>
    <w:rsid w:val="00A171A6"/>
    <w:rsid w:val="00A2266C"/>
    <w:rsid w:val="00A23389"/>
    <w:rsid w:val="00A255B0"/>
    <w:rsid w:val="00A25609"/>
    <w:rsid w:val="00A25C46"/>
    <w:rsid w:val="00A33228"/>
    <w:rsid w:val="00A353EF"/>
    <w:rsid w:val="00A35B69"/>
    <w:rsid w:val="00A37E2D"/>
    <w:rsid w:val="00A411FF"/>
    <w:rsid w:val="00A46BA9"/>
    <w:rsid w:val="00A5283F"/>
    <w:rsid w:val="00A53E16"/>
    <w:rsid w:val="00A556CC"/>
    <w:rsid w:val="00A57338"/>
    <w:rsid w:val="00A57626"/>
    <w:rsid w:val="00A577DA"/>
    <w:rsid w:val="00A620FD"/>
    <w:rsid w:val="00A630F3"/>
    <w:rsid w:val="00A6464E"/>
    <w:rsid w:val="00A65646"/>
    <w:rsid w:val="00A67068"/>
    <w:rsid w:val="00A74B52"/>
    <w:rsid w:val="00A74C9F"/>
    <w:rsid w:val="00A75D65"/>
    <w:rsid w:val="00A77939"/>
    <w:rsid w:val="00A80708"/>
    <w:rsid w:val="00A816FD"/>
    <w:rsid w:val="00A81C7A"/>
    <w:rsid w:val="00A84A6D"/>
    <w:rsid w:val="00A8530D"/>
    <w:rsid w:val="00A8690C"/>
    <w:rsid w:val="00A90D5C"/>
    <w:rsid w:val="00A92D97"/>
    <w:rsid w:val="00A94CB0"/>
    <w:rsid w:val="00A9657C"/>
    <w:rsid w:val="00A96D6D"/>
    <w:rsid w:val="00A9771A"/>
    <w:rsid w:val="00AA1029"/>
    <w:rsid w:val="00AA11ED"/>
    <w:rsid w:val="00AA22AB"/>
    <w:rsid w:val="00AA33FA"/>
    <w:rsid w:val="00AA415F"/>
    <w:rsid w:val="00AA5BD6"/>
    <w:rsid w:val="00AA602F"/>
    <w:rsid w:val="00AA79C2"/>
    <w:rsid w:val="00AB27EA"/>
    <w:rsid w:val="00AB5074"/>
    <w:rsid w:val="00AB78C6"/>
    <w:rsid w:val="00AB7ADD"/>
    <w:rsid w:val="00AC0D0E"/>
    <w:rsid w:val="00AC2AF4"/>
    <w:rsid w:val="00AC3902"/>
    <w:rsid w:val="00AC5040"/>
    <w:rsid w:val="00AC585D"/>
    <w:rsid w:val="00AC5AA4"/>
    <w:rsid w:val="00AC7F04"/>
    <w:rsid w:val="00AD0CDA"/>
    <w:rsid w:val="00AD1E19"/>
    <w:rsid w:val="00AD516D"/>
    <w:rsid w:val="00AD5191"/>
    <w:rsid w:val="00AD5B31"/>
    <w:rsid w:val="00AD6579"/>
    <w:rsid w:val="00AE0369"/>
    <w:rsid w:val="00AE1391"/>
    <w:rsid w:val="00AE29A3"/>
    <w:rsid w:val="00AE31F1"/>
    <w:rsid w:val="00AE3AEB"/>
    <w:rsid w:val="00AE4F41"/>
    <w:rsid w:val="00AF174A"/>
    <w:rsid w:val="00AF1B87"/>
    <w:rsid w:val="00AF43A4"/>
    <w:rsid w:val="00AF514C"/>
    <w:rsid w:val="00AF594D"/>
    <w:rsid w:val="00AF61C4"/>
    <w:rsid w:val="00AF6B83"/>
    <w:rsid w:val="00B01980"/>
    <w:rsid w:val="00B0296B"/>
    <w:rsid w:val="00B034F9"/>
    <w:rsid w:val="00B06CFE"/>
    <w:rsid w:val="00B072C7"/>
    <w:rsid w:val="00B11417"/>
    <w:rsid w:val="00B160E3"/>
    <w:rsid w:val="00B20052"/>
    <w:rsid w:val="00B20219"/>
    <w:rsid w:val="00B20C6E"/>
    <w:rsid w:val="00B2186B"/>
    <w:rsid w:val="00B225BE"/>
    <w:rsid w:val="00B23609"/>
    <w:rsid w:val="00B238A8"/>
    <w:rsid w:val="00B24337"/>
    <w:rsid w:val="00B307E3"/>
    <w:rsid w:val="00B30B07"/>
    <w:rsid w:val="00B315B9"/>
    <w:rsid w:val="00B32C75"/>
    <w:rsid w:val="00B405D0"/>
    <w:rsid w:val="00B4643E"/>
    <w:rsid w:val="00B465B1"/>
    <w:rsid w:val="00B50934"/>
    <w:rsid w:val="00B50972"/>
    <w:rsid w:val="00B50C73"/>
    <w:rsid w:val="00B514DA"/>
    <w:rsid w:val="00B53F94"/>
    <w:rsid w:val="00B54964"/>
    <w:rsid w:val="00B60E9F"/>
    <w:rsid w:val="00B62857"/>
    <w:rsid w:val="00B63040"/>
    <w:rsid w:val="00B66419"/>
    <w:rsid w:val="00B70316"/>
    <w:rsid w:val="00B7202C"/>
    <w:rsid w:val="00B729D2"/>
    <w:rsid w:val="00B744DE"/>
    <w:rsid w:val="00B74A9D"/>
    <w:rsid w:val="00B77442"/>
    <w:rsid w:val="00B8694F"/>
    <w:rsid w:val="00B86B9B"/>
    <w:rsid w:val="00B86CF2"/>
    <w:rsid w:val="00B9108C"/>
    <w:rsid w:val="00B924BC"/>
    <w:rsid w:val="00B926D3"/>
    <w:rsid w:val="00B9315B"/>
    <w:rsid w:val="00B941FA"/>
    <w:rsid w:val="00B95D54"/>
    <w:rsid w:val="00BA0253"/>
    <w:rsid w:val="00BA06F5"/>
    <w:rsid w:val="00BA13AF"/>
    <w:rsid w:val="00BA16DE"/>
    <w:rsid w:val="00BA5977"/>
    <w:rsid w:val="00BA5A85"/>
    <w:rsid w:val="00BA7A5E"/>
    <w:rsid w:val="00BB18DB"/>
    <w:rsid w:val="00BB1932"/>
    <w:rsid w:val="00BB3644"/>
    <w:rsid w:val="00BB47B4"/>
    <w:rsid w:val="00BB48A3"/>
    <w:rsid w:val="00BB5C69"/>
    <w:rsid w:val="00BC07EE"/>
    <w:rsid w:val="00BC3C7C"/>
    <w:rsid w:val="00BC40A8"/>
    <w:rsid w:val="00BC6D21"/>
    <w:rsid w:val="00BC6F26"/>
    <w:rsid w:val="00BD0DA2"/>
    <w:rsid w:val="00BD1084"/>
    <w:rsid w:val="00BD6072"/>
    <w:rsid w:val="00BD667B"/>
    <w:rsid w:val="00BD6800"/>
    <w:rsid w:val="00BE036F"/>
    <w:rsid w:val="00BE08B7"/>
    <w:rsid w:val="00BE14F5"/>
    <w:rsid w:val="00BE1A6F"/>
    <w:rsid w:val="00BE1B9D"/>
    <w:rsid w:val="00BE28A4"/>
    <w:rsid w:val="00BE2CEF"/>
    <w:rsid w:val="00BE4C43"/>
    <w:rsid w:val="00BE4C88"/>
    <w:rsid w:val="00BE50BD"/>
    <w:rsid w:val="00BE61CC"/>
    <w:rsid w:val="00BF2C8F"/>
    <w:rsid w:val="00BF58EF"/>
    <w:rsid w:val="00C00D79"/>
    <w:rsid w:val="00C018D6"/>
    <w:rsid w:val="00C01D44"/>
    <w:rsid w:val="00C02899"/>
    <w:rsid w:val="00C0453B"/>
    <w:rsid w:val="00C04E20"/>
    <w:rsid w:val="00C104C3"/>
    <w:rsid w:val="00C11E6E"/>
    <w:rsid w:val="00C12C90"/>
    <w:rsid w:val="00C140A6"/>
    <w:rsid w:val="00C14FD9"/>
    <w:rsid w:val="00C15163"/>
    <w:rsid w:val="00C15C47"/>
    <w:rsid w:val="00C16854"/>
    <w:rsid w:val="00C17082"/>
    <w:rsid w:val="00C20DEE"/>
    <w:rsid w:val="00C23DFC"/>
    <w:rsid w:val="00C268C9"/>
    <w:rsid w:val="00C26DB3"/>
    <w:rsid w:val="00C2712C"/>
    <w:rsid w:val="00C31C9E"/>
    <w:rsid w:val="00C3299F"/>
    <w:rsid w:val="00C33269"/>
    <w:rsid w:val="00C33DE1"/>
    <w:rsid w:val="00C35CE9"/>
    <w:rsid w:val="00C36503"/>
    <w:rsid w:val="00C4072F"/>
    <w:rsid w:val="00C445BF"/>
    <w:rsid w:val="00C4637A"/>
    <w:rsid w:val="00C50575"/>
    <w:rsid w:val="00C5125B"/>
    <w:rsid w:val="00C5207F"/>
    <w:rsid w:val="00C530E4"/>
    <w:rsid w:val="00C563B8"/>
    <w:rsid w:val="00C64994"/>
    <w:rsid w:val="00C6681F"/>
    <w:rsid w:val="00C7181B"/>
    <w:rsid w:val="00C718A1"/>
    <w:rsid w:val="00C73B5A"/>
    <w:rsid w:val="00C77934"/>
    <w:rsid w:val="00C82332"/>
    <w:rsid w:val="00C8299A"/>
    <w:rsid w:val="00C909A0"/>
    <w:rsid w:val="00C945EA"/>
    <w:rsid w:val="00CA3518"/>
    <w:rsid w:val="00CA388F"/>
    <w:rsid w:val="00CA3A33"/>
    <w:rsid w:val="00CA4A73"/>
    <w:rsid w:val="00CA59F8"/>
    <w:rsid w:val="00CA6CD3"/>
    <w:rsid w:val="00CB01F0"/>
    <w:rsid w:val="00CB4212"/>
    <w:rsid w:val="00CC139A"/>
    <w:rsid w:val="00CC3A47"/>
    <w:rsid w:val="00CD152C"/>
    <w:rsid w:val="00CD1750"/>
    <w:rsid w:val="00CD37C7"/>
    <w:rsid w:val="00CD464D"/>
    <w:rsid w:val="00CD509B"/>
    <w:rsid w:val="00CD5827"/>
    <w:rsid w:val="00CD630C"/>
    <w:rsid w:val="00CD6A8C"/>
    <w:rsid w:val="00CE04B1"/>
    <w:rsid w:val="00CE0B31"/>
    <w:rsid w:val="00CE39C4"/>
    <w:rsid w:val="00CE3C75"/>
    <w:rsid w:val="00CE4CC6"/>
    <w:rsid w:val="00CE7811"/>
    <w:rsid w:val="00CF3D71"/>
    <w:rsid w:val="00CF5AD2"/>
    <w:rsid w:val="00D00606"/>
    <w:rsid w:val="00D040DC"/>
    <w:rsid w:val="00D066D6"/>
    <w:rsid w:val="00D07643"/>
    <w:rsid w:val="00D151B9"/>
    <w:rsid w:val="00D15916"/>
    <w:rsid w:val="00D15D77"/>
    <w:rsid w:val="00D21ED6"/>
    <w:rsid w:val="00D221EC"/>
    <w:rsid w:val="00D233B3"/>
    <w:rsid w:val="00D26E04"/>
    <w:rsid w:val="00D31E63"/>
    <w:rsid w:val="00D320F8"/>
    <w:rsid w:val="00D34C09"/>
    <w:rsid w:val="00D36EBB"/>
    <w:rsid w:val="00D37069"/>
    <w:rsid w:val="00D41D5B"/>
    <w:rsid w:val="00D427B2"/>
    <w:rsid w:val="00D47B42"/>
    <w:rsid w:val="00D55F80"/>
    <w:rsid w:val="00D63764"/>
    <w:rsid w:val="00D63971"/>
    <w:rsid w:val="00D63F82"/>
    <w:rsid w:val="00D7041D"/>
    <w:rsid w:val="00D74600"/>
    <w:rsid w:val="00D75B83"/>
    <w:rsid w:val="00D77923"/>
    <w:rsid w:val="00D82B1F"/>
    <w:rsid w:val="00D84A09"/>
    <w:rsid w:val="00D918E8"/>
    <w:rsid w:val="00D9526F"/>
    <w:rsid w:val="00DA0D1A"/>
    <w:rsid w:val="00DA2ADF"/>
    <w:rsid w:val="00DA428F"/>
    <w:rsid w:val="00DA4C7E"/>
    <w:rsid w:val="00DA534F"/>
    <w:rsid w:val="00DA5395"/>
    <w:rsid w:val="00DA6C16"/>
    <w:rsid w:val="00DA7C86"/>
    <w:rsid w:val="00DB0400"/>
    <w:rsid w:val="00DB4713"/>
    <w:rsid w:val="00DB4C69"/>
    <w:rsid w:val="00DB4F14"/>
    <w:rsid w:val="00DB5D24"/>
    <w:rsid w:val="00DB7619"/>
    <w:rsid w:val="00DC2B28"/>
    <w:rsid w:val="00DC5A12"/>
    <w:rsid w:val="00DC6264"/>
    <w:rsid w:val="00DC6873"/>
    <w:rsid w:val="00DC6A5A"/>
    <w:rsid w:val="00DD2BC5"/>
    <w:rsid w:val="00DD44C2"/>
    <w:rsid w:val="00DD4E97"/>
    <w:rsid w:val="00DD646F"/>
    <w:rsid w:val="00DD7D49"/>
    <w:rsid w:val="00DE0ED3"/>
    <w:rsid w:val="00DE3FA7"/>
    <w:rsid w:val="00DE4C88"/>
    <w:rsid w:val="00DE5290"/>
    <w:rsid w:val="00DE5AA8"/>
    <w:rsid w:val="00DE5F73"/>
    <w:rsid w:val="00DF09A3"/>
    <w:rsid w:val="00DF15E9"/>
    <w:rsid w:val="00DF1605"/>
    <w:rsid w:val="00DF1A79"/>
    <w:rsid w:val="00DF20C2"/>
    <w:rsid w:val="00E00638"/>
    <w:rsid w:val="00E011A2"/>
    <w:rsid w:val="00E02582"/>
    <w:rsid w:val="00E02CCD"/>
    <w:rsid w:val="00E03EC4"/>
    <w:rsid w:val="00E03FBA"/>
    <w:rsid w:val="00E04387"/>
    <w:rsid w:val="00E050C1"/>
    <w:rsid w:val="00E058D4"/>
    <w:rsid w:val="00E0713E"/>
    <w:rsid w:val="00E07B48"/>
    <w:rsid w:val="00E07E9A"/>
    <w:rsid w:val="00E1037F"/>
    <w:rsid w:val="00E1165D"/>
    <w:rsid w:val="00E12897"/>
    <w:rsid w:val="00E13F80"/>
    <w:rsid w:val="00E176D6"/>
    <w:rsid w:val="00E20CC4"/>
    <w:rsid w:val="00E23295"/>
    <w:rsid w:val="00E251A9"/>
    <w:rsid w:val="00E25A71"/>
    <w:rsid w:val="00E26064"/>
    <w:rsid w:val="00E26B55"/>
    <w:rsid w:val="00E31301"/>
    <w:rsid w:val="00E31B13"/>
    <w:rsid w:val="00E321F0"/>
    <w:rsid w:val="00E330F6"/>
    <w:rsid w:val="00E35BBD"/>
    <w:rsid w:val="00E37486"/>
    <w:rsid w:val="00E3784E"/>
    <w:rsid w:val="00E403FD"/>
    <w:rsid w:val="00E42996"/>
    <w:rsid w:val="00E42B0F"/>
    <w:rsid w:val="00E437F5"/>
    <w:rsid w:val="00E46434"/>
    <w:rsid w:val="00E4675B"/>
    <w:rsid w:val="00E47C4A"/>
    <w:rsid w:val="00E51013"/>
    <w:rsid w:val="00E51053"/>
    <w:rsid w:val="00E51063"/>
    <w:rsid w:val="00E51FE8"/>
    <w:rsid w:val="00E53DBE"/>
    <w:rsid w:val="00E53F4D"/>
    <w:rsid w:val="00E5481E"/>
    <w:rsid w:val="00E552E6"/>
    <w:rsid w:val="00E5549C"/>
    <w:rsid w:val="00E556AC"/>
    <w:rsid w:val="00E613CC"/>
    <w:rsid w:val="00E62FBA"/>
    <w:rsid w:val="00E64F07"/>
    <w:rsid w:val="00E65069"/>
    <w:rsid w:val="00E6513F"/>
    <w:rsid w:val="00E660B0"/>
    <w:rsid w:val="00E661CA"/>
    <w:rsid w:val="00E6729B"/>
    <w:rsid w:val="00E67EB1"/>
    <w:rsid w:val="00E71D96"/>
    <w:rsid w:val="00E72866"/>
    <w:rsid w:val="00E74E84"/>
    <w:rsid w:val="00E75816"/>
    <w:rsid w:val="00E7784A"/>
    <w:rsid w:val="00E84DE4"/>
    <w:rsid w:val="00E9198F"/>
    <w:rsid w:val="00E92BC3"/>
    <w:rsid w:val="00E9554F"/>
    <w:rsid w:val="00E97B54"/>
    <w:rsid w:val="00EA09AC"/>
    <w:rsid w:val="00EA0B20"/>
    <w:rsid w:val="00EA0BBA"/>
    <w:rsid w:val="00EA117F"/>
    <w:rsid w:val="00EA1EE4"/>
    <w:rsid w:val="00EA291E"/>
    <w:rsid w:val="00EA5959"/>
    <w:rsid w:val="00EA598D"/>
    <w:rsid w:val="00EA5C86"/>
    <w:rsid w:val="00EA618C"/>
    <w:rsid w:val="00EA6982"/>
    <w:rsid w:val="00EA6A77"/>
    <w:rsid w:val="00EB1807"/>
    <w:rsid w:val="00EB3392"/>
    <w:rsid w:val="00EC0ED8"/>
    <w:rsid w:val="00EC40DB"/>
    <w:rsid w:val="00EC41C6"/>
    <w:rsid w:val="00EC5A17"/>
    <w:rsid w:val="00EC6C03"/>
    <w:rsid w:val="00ED0757"/>
    <w:rsid w:val="00ED3EEB"/>
    <w:rsid w:val="00ED4F38"/>
    <w:rsid w:val="00ED5127"/>
    <w:rsid w:val="00ED5BEE"/>
    <w:rsid w:val="00ED653E"/>
    <w:rsid w:val="00EE2AD4"/>
    <w:rsid w:val="00EE4AE3"/>
    <w:rsid w:val="00EF11A8"/>
    <w:rsid w:val="00EF204E"/>
    <w:rsid w:val="00EF412E"/>
    <w:rsid w:val="00EF4EC4"/>
    <w:rsid w:val="00EF5137"/>
    <w:rsid w:val="00EF5325"/>
    <w:rsid w:val="00EF5A67"/>
    <w:rsid w:val="00EF7ECB"/>
    <w:rsid w:val="00F005B5"/>
    <w:rsid w:val="00F00701"/>
    <w:rsid w:val="00F0291B"/>
    <w:rsid w:val="00F03E1C"/>
    <w:rsid w:val="00F051FC"/>
    <w:rsid w:val="00F141FE"/>
    <w:rsid w:val="00F14389"/>
    <w:rsid w:val="00F14654"/>
    <w:rsid w:val="00F15380"/>
    <w:rsid w:val="00F154B3"/>
    <w:rsid w:val="00F15DB4"/>
    <w:rsid w:val="00F16639"/>
    <w:rsid w:val="00F17A66"/>
    <w:rsid w:val="00F23A49"/>
    <w:rsid w:val="00F23F8A"/>
    <w:rsid w:val="00F24BE3"/>
    <w:rsid w:val="00F24DCA"/>
    <w:rsid w:val="00F25845"/>
    <w:rsid w:val="00F2676D"/>
    <w:rsid w:val="00F26829"/>
    <w:rsid w:val="00F278BD"/>
    <w:rsid w:val="00F27CC2"/>
    <w:rsid w:val="00F308D2"/>
    <w:rsid w:val="00F34933"/>
    <w:rsid w:val="00F36C5E"/>
    <w:rsid w:val="00F3703A"/>
    <w:rsid w:val="00F424AC"/>
    <w:rsid w:val="00F445DD"/>
    <w:rsid w:val="00F44EAA"/>
    <w:rsid w:val="00F45C1C"/>
    <w:rsid w:val="00F479DC"/>
    <w:rsid w:val="00F527A2"/>
    <w:rsid w:val="00F53D4E"/>
    <w:rsid w:val="00F5740F"/>
    <w:rsid w:val="00F614AA"/>
    <w:rsid w:val="00F615A3"/>
    <w:rsid w:val="00F62A42"/>
    <w:rsid w:val="00F65A4B"/>
    <w:rsid w:val="00F66242"/>
    <w:rsid w:val="00F7034E"/>
    <w:rsid w:val="00F70604"/>
    <w:rsid w:val="00F7253E"/>
    <w:rsid w:val="00F72FA7"/>
    <w:rsid w:val="00F73747"/>
    <w:rsid w:val="00F74569"/>
    <w:rsid w:val="00F75C21"/>
    <w:rsid w:val="00F7611C"/>
    <w:rsid w:val="00F76873"/>
    <w:rsid w:val="00F80F0B"/>
    <w:rsid w:val="00F81A66"/>
    <w:rsid w:val="00F81C76"/>
    <w:rsid w:val="00F81E16"/>
    <w:rsid w:val="00F829BF"/>
    <w:rsid w:val="00F8627B"/>
    <w:rsid w:val="00F87E7C"/>
    <w:rsid w:val="00F90B4F"/>
    <w:rsid w:val="00F934F6"/>
    <w:rsid w:val="00F940D0"/>
    <w:rsid w:val="00F96DA9"/>
    <w:rsid w:val="00F96F3C"/>
    <w:rsid w:val="00F96FB2"/>
    <w:rsid w:val="00F97D2D"/>
    <w:rsid w:val="00FA05B4"/>
    <w:rsid w:val="00FA2ED1"/>
    <w:rsid w:val="00FA70CA"/>
    <w:rsid w:val="00FA7405"/>
    <w:rsid w:val="00FA7912"/>
    <w:rsid w:val="00FB4682"/>
    <w:rsid w:val="00FB7BB4"/>
    <w:rsid w:val="00FC56D5"/>
    <w:rsid w:val="00FC634B"/>
    <w:rsid w:val="00FC69FF"/>
    <w:rsid w:val="00FD19ED"/>
    <w:rsid w:val="00FD494F"/>
    <w:rsid w:val="00FD4DAD"/>
    <w:rsid w:val="00FD56CD"/>
    <w:rsid w:val="00FD60B7"/>
    <w:rsid w:val="00FE0EE1"/>
    <w:rsid w:val="00FE2D2D"/>
    <w:rsid w:val="00FE4E83"/>
    <w:rsid w:val="00FE52F1"/>
    <w:rsid w:val="00FE6302"/>
    <w:rsid w:val="00FE692E"/>
    <w:rsid w:val="00FF3F4C"/>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CC46"/>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383">
      <w:bodyDiv w:val="1"/>
      <w:marLeft w:val="0"/>
      <w:marRight w:val="0"/>
      <w:marTop w:val="0"/>
      <w:marBottom w:val="0"/>
      <w:divBdr>
        <w:top w:val="none" w:sz="0" w:space="0" w:color="auto"/>
        <w:left w:val="none" w:sz="0" w:space="0" w:color="auto"/>
        <w:bottom w:val="none" w:sz="0" w:space="0" w:color="auto"/>
        <w:right w:val="none" w:sz="0" w:space="0" w:color="auto"/>
      </w:divBdr>
      <w:divsChild>
        <w:div w:id="1677264184">
          <w:marLeft w:val="284"/>
          <w:marRight w:val="0"/>
          <w:marTop w:val="80"/>
          <w:marBottom w:val="0"/>
          <w:divBdr>
            <w:top w:val="none" w:sz="0" w:space="0" w:color="auto"/>
            <w:left w:val="none" w:sz="0" w:space="0" w:color="auto"/>
            <w:bottom w:val="none" w:sz="0" w:space="0" w:color="auto"/>
            <w:right w:val="none" w:sz="0" w:space="0" w:color="auto"/>
          </w:divBdr>
        </w:div>
        <w:div w:id="956911233">
          <w:marLeft w:val="1134"/>
          <w:marRight w:val="0"/>
          <w:marTop w:val="60"/>
          <w:marBottom w:val="0"/>
          <w:divBdr>
            <w:top w:val="none" w:sz="0" w:space="0" w:color="auto"/>
            <w:left w:val="none" w:sz="0" w:space="0" w:color="auto"/>
            <w:bottom w:val="none" w:sz="0" w:space="0" w:color="auto"/>
            <w:right w:val="none" w:sz="0" w:space="0" w:color="auto"/>
          </w:divBdr>
        </w:div>
        <w:div w:id="1505587601">
          <w:marLeft w:val="1985"/>
          <w:marRight w:val="0"/>
          <w:marTop w:val="60"/>
          <w:marBottom w:val="0"/>
          <w:divBdr>
            <w:top w:val="none" w:sz="0" w:space="0" w:color="auto"/>
            <w:left w:val="none" w:sz="0" w:space="0" w:color="auto"/>
            <w:bottom w:val="none" w:sz="0" w:space="0" w:color="auto"/>
            <w:right w:val="none" w:sz="0" w:space="0" w:color="auto"/>
          </w:divBdr>
        </w:div>
        <w:div w:id="1626426755">
          <w:marLeft w:val="1985"/>
          <w:marRight w:val="0"/>
          <w:marTop w:val="60"/>
          <w:marBottom w:val="0"/>
          <w:divBdr>
            <w:top w:val="none" w:sz="0" w:space="0" w:color="auto"/>
            <w:left w:val="none" w:sz="0" w:space="0" w:color="auto"/>
            <w:bottom w:val="none" w:sz="0" w:space="0" w:color="auto"/>
            <w:right w:val="none" w:sz="0" w:space="0" w:color="auto"/>
          </w:divBdr>
        </w:div>
        <w:div w:id="666833111">
          <w:marLeft w:val="1134"/>
          <w:marRight w:val="0"/>
          <w:marTop w:val="60"/>
          <w:marBottom w:val="0"/>
          <w:divBdr>
            <w:top w:val="none" w:sz="0" w:space="0" w:color="auto"/>
            <w:left w:val="none" w:sz="0" w:space="0" w:color="auto"/>
            <w:bottom w:val="none" w:sz="0" w:space="0" w:color="auto"/>
            <w:right w:val="none" w:sz="0" w:space="0" w:color="auto"/>
          </w:divBdr>
        </w:div>
        <w:div w:id="43144341">
          <w:marLeft w:val="284"/>
          <w:marRight w:val="0"/>
          <w:marTop w:val="40"/>
          <w:marBottom w:val="0"/>
          <w:divBdr>
            <w:top w:val="none" w:sz="0" w:space="0" w:color="auto"/>
            <w:left w:val="none" w:sz="0" w:space="0" w:color="auto"/>
            <w:bottom w:val="none" w:sz="0" w:space="0" w:color="auto"/>
            <w:right w:val="none" w:sz="0" w:space="0" w:color="auto"/>
          </w:divBdr>
        </w:div>
      </w:divsChild>
    </w:div>
    <w:div w:id="626012865">
      <w:bodyDiv w:val="1"/>
      <w:marLeft w:val="0"/>
      <w:marRight w:val="0"/>
      <w:marTop w:val="0"/>
      <w:marBottom w:val="0"/>
      <w:divBdr>
        <w:top w:val="none" w:sz="0" w:space="0" w:color="auto"/>
        <w:left w:val="none" w:sz="0" w:space="0" w:color="auto"/>
        <w:bottom w:val="none" w:sz="0" w:space="0" w:color="auto"/>
        <w:right w:val="none" w:sz="0" w:space="0" w:color="auto"/>
      </w:divBdr>
      <w:divsChild>
        <w:div w:id="1492285592">
          <w:marLeft w:val="0"/>
          <w:marRight w:val="0"/>
          <w:marTop w:val="240"/>
          <w:marBottom w:val="0"/>
          <w:divBdr>
            <w:top w:val="none" w:sz="0" w:space="0" w:color="auto"/>
            <w:left w:val="none" w:sz="0" w:space="0" w:color="auto"/>
            <w:bottom w:val="none" w:sz="0" w:space="0" w:color="auto"/>
            <w:right w:val="none" w:sz="0" w:space="0" w:color="auto"/>
          </w:divBdr>
        </w:div>
        <w:div w:id="311720732">
          <w:marLeft w:val="0"/>
          <w:marRight w:val="0"/>
          <w:marTop w:val="120"/>
          <w:marBottom w:val="0"/>
          <w:divBdr>
            <w:top w:val="none" w:sz="0" w:space="0" w:color="auto"/>
            <w:left w:val="none" w:sz="0" w:space="0" w:color="auto"/>
            <w:bottom w:val="none" w:sz="0" w:space="0" w:color="auto"/>
            <w:right w:val="none" w:sz="0" w:space="0" w:color="auto"/>
          </w:divBdr>
        </w:div>
        <w:div w:id="375130769">
          <w:marLeft w:val="1134"/>
          <w:marRight w:val="0"/>
          <w:marTop w:val="60"/>
          <w:marBottom w:val="0"/>
          <w:divBdr>
            <w:top w:val="none" w:sz="0" w:space="0" w:color="auto"/>
            <w:left w:val="none" w:sz="0" w:space="0" w:color="auto"/>
            <w:bottom w:val="none" w:sz="0" w:space="0" w:color="auto"/>
            <w:right w:val="none" w:sz="0" w:space="0" w:color="auto"/>
          </w:divBdr>
        </w:div>
        <w:div w:id="2040356973">
          <w:marLeft w:val="1134"/>
          <w:marRight w:val="0"/>
          <w:marTop w:val="60"/>
          <w:marBottom w:val="0"/>
          <w:divBdr>
            <w:top w:val="none" w:sz="0" w:space="0" w:color="auto"/>
            <w:left w:val="none" w:sz="0" w:space="0" w:color="auto"/>
            <w:bottom w:val="none" w:sz="0" w:space="0" w:color="auto"/>
            <w:right w:val="none" w:sz="0" w:space="0" w:color="auto"/>
          </w:divBdr>
        </w:div>
        <w:div w:id="1534806816">
          <w:marLeft w:val="1985"/>
          <w:marRight w:val="0"/>
          <w:marTop w:val="60"/>
          <w:marBottom w:val="0"/>
          <w:divBdr>
            <w:top w:val="none" w:sz="0" w:space="0" w:color="auto"/>
            <w:left w:val="none" w:sz="0" w:space="0" w:color="auto"/>
            <w:bottom w:val="none" w:sz="0" w:space="0" w:color="auto"/>
            <w:right w:val="none" w:sz="0" w:space="0" w:color="auto"/>
          </w:divBdr>
        </w:div>
        <w:div w:id="896428255">
          <w:marLeft w:val="1985"/>
          <w:marRight w:val="0"/>
          <w:marTop w:val="60"/>
          <w:marBottom w:val="0"/>
          <w:divBdr>
            <w:top w:val="none" w:sz="0" w:space="0" w:color="auto"/>
            <w:left w:val="none" w:sz="0" w:space="0" w:color="auto"/>
            <w:bottom w:val="none" w:sz="0" w:space="0" w:color="auto"/>
            <w:right w:val="none" w:sz="0" w:space="0" w:color="auto"/>
          </w:divBdr>
        </w:div>
        <w:div w:id="1255090219">
          <w:marLeft w:val="0"/>
          <w:marRight w:val="0"/>
          <w:marTop w:val="120"/>
          <w:marBottom w:val="0"/>
          <w:divBdr>
            <w:top w:val="none" w:sz="0" w:space="0" w:color="auto"/>
            <w:left w:val="none" w:sz="0" w:space="0" w:color="auto"/>
            <w:bottom w:val="none" w:sz="0" w:space="0" w:color="auto"/>
            <w:right w:val="none" w:sz="0" w:space="0" w:color="auto"/>
          </w:divBdr>
        </w:div>
        <w:div w:id="2115206596">
          <w:marLeft w:val="1134"/>
          <w:marRight w:val="0"/>
          <w:marTop w:val="60"/>
          <w:marBottom w:val="0"/>
          <w:divBdr>
            <w:top w:val="none" w:sz="0" w:space="0" w:color="auto"/>
            <w:left w:val="none" w:sz="0" w:space="0" w:color="auto"/>
            <w:bottom w:val="none" w:sz="0" w:space="0" w:color="auto"/>
            <w:right w:val="none" w:sz="0" w:space="0" w:color="auto"/>
          </w:divBdr>
        </w:div>
        <w:div w:id="125708195">
          <w:marLeft w:val="1134"/>
          <w:marRight w:val="0"/>
          <w:marTop w:val="60"/>
          <w:marBottom w:val="0"/>
          <w:divBdr>
            <w:top w:val="none" w:sz="0" w:space="0" w:color="auto"/>
            <w:left w:val="none" w:sz="0" w:space="0" w:color="auto"/>
            <w:bottom w:val="none" w:sz="0" w:space="0" w:color="auto"/>
            <w:right w:val="none" w:sz="0" w:space="0" w:color="auto"/>
          </w:divBdr>
        </w:div>
        <w:div w:id="939416527">
          <w:marLeft w:val="1985"/>
          <w:marRight w:val="0"/>
          <w:marTop w:val="60"/>
          <w:marBottom w:val="0"/>
          <w:divBdr>
            <w:top w:val="none" w:sz="0" w:space="0" w:color="auto"/>
            <w:left w:val="none" w:sz="0" w:space="0" w:color="auto"/>
            <w:bottom w:val="none" w:sz="0" w:space="0" w:color="auto"/>
            <w:right w:val="none" w:sz="0" w:space="0" w:color="auto"/>
          </w:divBdr>
        </w:div>
        <w:div w:id="713697238">
          <w:marLeft w:val="1985"/>
          <w:marRight w:val="0"/>
          <w:marTop w:val="60"/>
          <w:marBottom w:val="0"/>
          <w:divBdr>
            <w:top w:val="none" w:sz="0" w:space="0" w:color="auto"/>
            <w:left w:val="none" w:sz="0" w:space="0" w:color="auto"/>
            <w:bottom w:val="none" w:sz="0" w:space="0" w:color="auto"/>
            <w:right w:val="none" w:sz="0" w:space="0" w:color="auto"/>
          </w:divBdr>
        </w:div>
        <w:div w:id="1311441934">
          <w:marLeft w:val="0"/>
          <w:marRight w:val="0"/>
          <w:marTop w:val="120"/>
          <w:marBottom w:val="0"/>
          <w:divBdr>
            <w:top w:val="none" w:sz="0" w:space="0" w:color="auto"/>
            <w:left w:val="none" w:sz="0" w:space="0" w:color="auto"/>
            <w:bottom w:val="none" w:sz="0" w:space="0" w:color="auto"/>
            <w:right w:val="none" w:sz="0" w:space="0" w:color="auto"/>
          </w:divBdr>
        </w:div>
        <w:div w:id="408503525">
          <w:marLeft w:val="1134"/>
          <w:marRight w:val="0"/>
          <w:marTop w:val="60"/>
          <w:marBottom w:val="0"/>
          <w:divBdr>
            <w:top w:val="none" w:sz="0" w:space="0" w:color="auto"/>
            <w:left w:val="none" w:sz="0" w:space="0" w:color="auto"/>
            <w:bottom w:val="none" w:sz="0" w:space="0" w:color="auto"/>
            <w:right w:val="none" w:sz="0" w:space="0" w:color="auto"/>
          </w:divBdr>
        </w:div>
        <w:div w:id="684552280">
          <w:marLeft w:val="1134"/>
          <w:marRight w:val="0"/>
          <w:marTop w:val="60"/>
          <w:marBottom w:val="0"/>
          <w:divBdr>
            <w:top w:val="none" w:sz="0" w:space="0" w:color="auto"/>
            <w:left w:val="none" w:sz="0" w:space="0" w:color="auto"/>
            <w:bottom w:val="none" w:sz="0" w:space="0" w:color="auto"/>
            <w:right w:val="none" w:sz="0" w:space="0" w:color="auto"/>
          </w:divBdr>
        </w:div>
        <w:div w:id="10029777">
          <w:marLeft w:val="0"/>
          <w:marRight w:val="0"/>
          <w:marTop w:val="120"/>
          <w:marBottom w:val="0"/>
          <w:divBdr>
            <w:top w:val="none" w:sz="0" w:space="0" w:color="auto"/>
            <w:left w:val="none" w:sz="0" w:space="0" w:color="auto"/>
            <w:bottom w:val="none" w:sz="0" w:space="0" w:color="auto"/>
            <w:right w:val="none" w:sz="0" w:space="0" w:color="auto"/>
          </w:divBdr>
        </w:div>
        <w:div w:id="37822525">
          <w:marLeft w:val="0"/>
          <w:marRight w:val="0"/>
          <w:marTop w:val="60"/>
          <w:marBottom w:val="0"/>
          <w:divBdr>
            <w:top w:val="none" w:sz="0" w:space="0" w:color="auto"/>
            <w:left w:val="none" w:sz="0" w:space="0" w:color="auto"/>
            <w:bottom w:val="none" w:sz="0" w:space="0" w:color="auto"/>
            <w:right w:val="none" w:sz="0" w:space="0" w:color="auto"/>
          </w:divBdr>
        </w:div>
        <w:div w:id="1751003146">
          <w:marLeft w:val="1134"/>
          <w:marRight w:val="0"/>
          <w:marTop w:val="60"/>
          <w:marBottom w:val="0"/>
          <w:divBdr>
            <w:top w:val="none" w:sz="0" w:space="0" w:color="auto"/>
            <w:left w:val="none" w:sz="0" w:space="0" w:color="auto"/>
            <w:bottom w:val="none" w:sz="0" w:space="0" w:color="auto"/>
            <w:right w:val="none" w:sz="0" w:space="0" w:color="auto"/>
          </w:divBdr>
        </w:div>
        <w:div w:id="140581850">
          <w:marLeft w:val="1134"/>
          <w:marRight w:val="0"/>
          <w:marTop w:val="60"/>
          <w:marBottom w:val="0"/>
          <w:divBdr>
            <w:top w:val="none" w:sz="0" w:space="0" w:color="auto"/>
            <w:left w:val="none" w:sz="0" w:space="0" w:color="auto"/>
            <w:bottom w:val="none" w:sz="0" w:space="0" w:color="auto"/>
            <w:right w:val="none" w:sz="0" w:space="0" w:color="auto"/>
          </w:divBdr>
        </w:div>
        <w:div w:id="115101726">
          <w:marLeft w:val="1134"/>
          <w:marRight w:val="0"/>
          <w:marTop w:val="60"/>
          <w:marBottom w:val="0"/>
          <w:divBdr>
            <w:top w:val="none" w:sz="0" w:space="0" w:color="auto"/>
            <w:left w:val="none" w:sz="0" w:space="0" w:color="auto"/>
            <w:bottom w:val="none" w:sz="0" w:space="0" w:color="auto"/>
            <w:right w:val="none" w:sz="0" w:space="0" w:color="auto"/>
          </w:divBdr>
        </w:div>
        <w:div w:id="637682546">
          <w:marLeft w:val="0"/>
          <w:marRight w:val="0"/>
          <w:marTop w:val="60"/>
          <w:marBottom w:val="0"/>
          <w:divBdr>
            <w:top w:val="none" w:sz="0" w:space="0" w:color="auto"/>
            <w:left w:val="none" w:sz="0" w:space="0" w:color="auto"/>
            <w:bottom w:val="none" w:sz="0" w:space="0" w:color="auto"/>
            <w:right w:val="none" w:sz="0" w:space="0" w:color="auto"/>
          </w:divBdr>
        </w:div>
        <w:div w:id="384064830">
          <w:marLeft w:val="0"/>
          <w:marRight w:val="0"/>
          <w:marTop w:val="240"/>
          <w:marBottom w:val="0"/>
          <w:divBdr>
            <w:top w:val="none" w:sz="0" w:space="0" w:color="auto"/>
            <w:left w:val="none" w:sz="0" w:space="0" w:color="auto"/>
            <w:bottom w:val="none" w:sz="0" w:space="0" w:color="auto"/>
            <w:right w:val="none" w:sz="0" w:space="0" w:color="auto"/>
          </w:divBdr>
        </w:div>
        <w:div w:id="872233781">
          <w:marLeft w:val="0"/>
          <w:marRight w:val="0"/>
          <w:marTop w:val="120"/>
          <w:marBottom w:val="0"/>
          <w:divBdr>
            <w:top w:val="none" w:sz="0" w:space="0" w:color="auto"/>
            <w:left w:val="none" w:sz="0" w:space="0" w:color="auto"/>
            <w:bottom w:val="none" w:sz="0" w:space="0" w:color="auto"/>
            <w:right w:val="none" w:sz="0" w:space="0" w:color="auto"/>
          </w:divBdr>
        </w:div>
        <w:div w:id="1832260096">
          <w:marLeft w:val="1134"/>
          <w:marRight w:val="0"/>
          <w:marTop w:val="60"/>
          <w:marBottom w:val="0"/>
          <w:divBdr>
            <w:top w:val="none" w:sz="0" w:space="0" w:color="auto"/>
            <w:left w:val="none" w:sz="0" w:space="0" w:color="auto"/>
            <w:bottom w:val="none" w:sz="0" w:space="0" w:color="auto"/>
            <w:right w:val="none" w:sz="0" w:space="0" w:color="auto"/>
          </w:divBdr>
        </w:div>
        <w:div w:id="598871356">
          <w:marLeft w:val="567"/>
          <w:marRight w:val="567"/>
          <w:marTop w:val="20"/>
          <w:marBottom w:val="20"/>
          <w:divBdr>
            <w:top w:val="none" w:sz="0" w:space="0" w:color="auto"/>
            <w:left w:val="none" w:sz="0" w:space="0" w:color="auto"/>
            <w:bottom w:val="none" w:sz="0" w:space="0" w:color="auto"/>
            <w:right w:val="none" w:sz="0" w:space="0" w:color="auto"/>
          </w:divBdr>
        </w:div>
        <w:div w:id="1135026941">
          <w:marLeft w:val="1134"/>
          <w:marRight w:val="0"/>
          <w:marTop w:val="60"/>
          <w:marBottom w:val="0"/>
          <w:divBdr>
            <w:top w:val="none" w:sz="0" w:space="0" w:color="auto"/>
            <w:left w:val="none" w:sz="0" w:space="0" w:color="auto"/>
            <w:bottom w:val="none" w:sz="0" w:space="0" w:color="auto"/>
            <w:right w:val="none" w:sz="0" w:space="0" w:color="auto"/>
          </w:divBdr>
        </w:div>
        <w:div w:id="1257321287">
          <w:marLeft w:val="1134"/>
          <w:marRight w:val="0"/>
          <w:marTop w:val="60"/>
          <w:marBottom w:val="0"/>
          <w:divBdr>
            <w:top w:val="none" w:sz="0" w:space="0" w:color="auto"/>
            <w:left w:val="none" w:sz="0" w:space="0" w:color="auto"/>
            <w:bottom w:val="none" w:sz="0" w:space="0" w:color="auto"/>
            <w:right w:val="none" w:sz="0" w:space="0" w:color="auto"/>
          </w:divBdr>
        </w:div>
        <w:div w:id="836269935">
          <w:marLeft w:val="1134"/>
          <w:marRight w:val="0"/>
          <w:marTop w:val="60"/>
          <w:marBottom w:val="0"/>
          <w:divBdr>
            <w:top w:val="none" w:sz="0" w:space="0" w:color="auto"/>
            <w:left w:val="none" w:sz="0" w:space="0" w:color="auto"/>
            <w:bottom w:val="none" w:sz="0" w:space="0" w:color="auto"/>
            <w:right w:val="none" w:sz="0" w:space="0" w:color="auto"/>
          </w:divBdr>
        </w:div>
        <w:div w:id="199127006">
          <w:marLeft w:val="1134"/>
          <w:marRight w:val="0"/>
          <w:marTop w:val="60"/>
          <w:marBottom w:val="0"/>
          <w:divBdr>
            <w:top w:val="none" w:sz="0" w:space="0" w:color="auto"/>
            <w:left w:val="none" w:sz="0" w:space="0" w:color="auto"/>
            <w:bottom w:val="none" w:sz="0" w:space="0" w:color="auto"/>
            <w:right w:val="none" w:sz="0" w:space="0" w:color="auto"/>
          </w:divBdr>
        </w:div>
        <w:div w:id="769551295">
          <w:marLeft w:val="1134"/>
          <w:marRight w:val="0"/>
          <w:marTop w:val="60"/>
          <w:marBottom w:val="0"/>
          <w:divBdr>
            <w:top w:val="none" w:sz="0" w:space="0" w:color="auto"/>
            <w:left w:val="none" w:sz="0" w:space="0" w:color="auto"/>
            <w:bottom w:val="none" w:sz="0" w:space="0" w:color="auto"/>
            <w:right w:val="none" w:sz="0" w:space="0" w:color="auto"/>
          </w:divBdr>
        </w:div>
        <w:div w:id="585964256">
          <w:marLeft w:val="0"/>
          <w:marRight w:val="0"/>
          <w:marTop w:val="120"/>
          <w:marBottom w:val="0"/>
          <w:divBdr>
            <w:top w:val="none" w:sz="0" w:space="0" w:color="auto"/>
            <w:left w:val="none" w:sz="0" w:space="0" w:color="auto"/>
            <w:bottom w:val="none" w:sz="0" w:space="0" w:color="auto"/>
            <w:right w:val="none" w:sz="0" w:space="0" w:color="auto"/>
          </w:divBdr>
        </w:div>
        <w:div w:id="46145329">
          <w:marLeft w:val="1134"/>
          <w:marRight w:val="0"/>
          <w:marTop w:val="60"/>
          <w:marBottom w:val="0"/>
          <w:divBdr>
            <w:top w:val="none" w:sz="0" w:space="0" w:color="auto"/>
            <w:left w:val="none" w:sz="0" w:space="0" w:color="auto"/>
            <w:bottom w:val="none" w:sz="0" w:space="0" w:color="auto"/>
            <w:right w:val="none" w:sz="0" w:space="0" w:color="auto"/>
          </w:divBdr>
        </w:div>
        <w:div w:id="1043142597">
          <w:marLeft w:val="1134"/>
          <w:marRight w:val="0"/>
          <w:marTop w:val="60"/>
          <w:marBottom w:val="0"/>
          <w:divBdr>
            <w:top w:val="none" w:sz="0" w:space="0" w:color="auto"/>
            <w:left w:val="none" w:sz="0" w:space="0" w:color="auto"/>
            <w:bottom w:val="none" w:sz="0" w:space="0" w:color="auto"/>
            <w:right w:val="none" w:sz="0" w:space="0" w:color="auto"/>
          </w:divBdr>
        </w:div>
        <w:div w:id="2038849030">
          <w:marLeft w:val="1985"/>
          <w:marRight w:val="0"/>
          <w:marTop w:val="60"/>
          <w:marBottom w:val="0"/>
          <w:divBdr>
            <w:top w:val="none" w:sz="0" w:space="0" w:color="auto"/>
            <w:left w:val="none" w:sz="0" w:space="0" w:color="auto"/>
            <w:bottom w:val="none" w:sz="0" w:space="0" w:color="auto"/>
            <w:right w:val="none" w:sz="0" w:space="0" w:color="auto"/>
          </w:divBdr>
        </w:div>
        <w:div w:id="605816283">
          <w:marLeft w:val="1985"/>
          <w:marRight w:val="0"/>
          <w:marTop w:val="60"/>
          <w:marBottom w:val="0"/>
          <w:divBdr>
            <w:top w:val="none" w:sz="0" w:space="0" w:color="auto"/>
            <w:left w:val="none" w:sz="0" w:space="0" w:color="auto"/>
            <w:bottom w:val="none" w:sz="0" w:space="0" w:color="auto"/>
            <w:right w:val="none" w:sz="0" w:space="0" w:color="auto"/>
          </w:divBdr>
        </w:div>
        <w:div w:id="734358521">
          <w:marLeft w:val="1985"/>
          <w:marRight w:val="0"/>
          <w:marTop w:val="60"/>
          <w:marBottom w:val="0"/>
          <w:divBdr>
            <w:top w:val="none" w:sz="0" w:space="0" w:color="auto"/>
            <w:left w:val="none" w:sz="0" w:space="0" w:color="auto"/>
            <w:bottom w:val="none" w:sz="0" w:space="0" w:color="auto"/>
            <w:right w:val="none" w:sz="0" w:space="0" w:color="auto"/>
          </w:divBdr>
        </w:div>
        <w:div w:id="1563979154">
          <w:marLeft w:val="1985"/>
          <w:marRight w:val="0"/>
          <w:marTop w:val="60"/>
          <w:marBottom w:val="0"/>
          <w:divBdr>
            <w:top w:val="none" w:sz="0" w:space="0" w:color="auto"/>
            <w:left w:val="none" w:sz="0" w:space="0" w:color="auto"/>
            <w:bottom w:val="none" w:sz="0" w:space="0" w:color="auto"/>
            <w:right w:val="none" w:sz="0" w:space="0" w:color="auto"/>
          </w:divBdr>
        </w:div>
      </w:divsChild>
    </w:div>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805244533">
      <w:bodyDiv w:val="1"/>
      <w:marLeft w:val="0"/>
      <w:marRight w:val="0"/>
      <w:marTop w:val="0"/>
      <w:marBottom w:val="0"/>
      <w:divBdr>
        <w:top w:val="none" w:sz="0" w:space="0" w:color="auto"/>
        <w:left w:val="none" w:sz="0" w:space="0" w:color="auto"/>
        <w:bottom w:val="none" w:sz="0" w:space="0" w:color="auto"/>
        <w:right w:val="none" w:sz="0" w:space="0" w:color="auto"/>
      </w:divBdr>
      <w:divsChild>
        <w:div w:id="1907764798">
          <w:marLeft w:val="0"/>
          <w:marRight w:val="0"/>
          <w:marTop w:val="120"/>
          <w:marBottom w:val="0"/>
          <w:divBdr>
            <w:top w:val="none" w:sz="0" w:space="0" w:color="auto"/>
            <w:left w:val="none" w:sz="0" w:space="0" w:color="auto"/>
            <w:bottom w:val="none" w:sz="0" w:space="0" w:color="auto"/>
            <w:right w:val="none" w:sz="0" w:space="0" w:color="auto"/>
          </w:divBdr>
        </w:div>
        <w:div w:id="332806303">
          <w:marLeft w:val="284"/>
          <w:marRight w:val="0"/>
          <w:marTop w:val="80"/>
          <w:marBottom w:val="0"/>
          <w:divBdr>
            <w:top w:val="none" w:sz="0" w:space="0" w:color="auto"/>
            <w:left w:val="none" w:sz="0" w:space="0" w:color="auto"/>
            <w:bottom w:val="none" w:sz="0" w:space="0" w:color="auto"/>
            <w:right w:val="none" w:sz="0" w:space="0" w:color="auto"/>
          </w:divBdr>
        </w:div>
        <w:div w:id="1286234705">
          <w:marLeft w:val="284"/>
          <w:marRight w:val="0"/>
          <w:marTop w:val="80"/>
          <w:marBottom w:val="0"/>
          <w:divBdr>
            <w:top w:val="none" w:sz="0" w:space="0" w:color="auto"/>
            <w:left w:val="none" w:sz="0" w:space="0" w:color="auto"/>
            <w:bottom w:val="none" w:sz="0" w:space="0" w:color="auto"/>
            <w:right w:val="none" w:sz="0" w:space="0" w:color="auto"/>
          </w:divBdr>
        </w:div>
        <w:div w:id="1866869912">
          <w:marLeft w:val="284"/>
          <w:marRight w:val="0"/>
          <w:marTop w:val="80"/>
          <w:marBottom w:val="0"/>
          <w:divBdr>
            <w:top w:val="none" w:sz="0" w:space="0" w:color="auto"/>
            <w:left w:val="none" w:sz="0" w:space="0" w:color="auto"/>
            <w:bottom w:val="none" w:sz="0" w:space="0" w:color="auto"/>
            <w:right w:val="none" w:sz="0" w:space="0" w:color="auto"/>
          </w:divBdr>
        </w:div>
        <w:div w:id="1758288579">
          <w:marLeft w:val="1134"/>
          <w:marRight w:val="0"/>
          <w:marTop w:val="60"/>
          <w:marBottom w:val="0"/>
          <w:divBdr>
            <w:top w:val="none" w:sz="0" w:space="0" w:color="auto"/>
            <w:left w:val="none" w:sz="0" w:space="0" w:color="auto"/>
            <w:bottom w:val="none" w:sz="0" w:space="0" w:color="auto"/>
            <w:right w:val="none" w:sz="0" w:space="0" w:color="auto"/>
          </w:divBdr>
        </w:div>
        <w:div w:id="410540228">
          <w:marLeft w:val="1985"/>
          <w:marRight w:val="0"/>
          <w:marTop w:val="60"/>
          <w:marBottom w:val="0"/>
          <w:divBdr>
            <w:top w:val="none" w:sz="0" w:space="0" w:color="auto"/>
            <w:left w:val="none" w:sz="0" w:space="0" w:color="auto"/>
            <w:bottom w:val="none" w:sz="0" w:space="0" w:color="auto"/>
            <w:right w:val="none" w:sz="0" w:space="0" w:color="auto"/>
          </w:divBdr>
        </w:div>
        <w:div w:id="1964269728">
          <w:marLeft w:val="1985"/>
          <w:marRight w:val="0"/>
          <w:marTop w:val="60"/>
          <w:marBottom w:val="0"/>
          <w:divBdr>
            <w:top w:val="none" w:sz="0" w:space="0" w:color="auto"/>
            <w:left w:val="none" w:sz="0" w:space="0" w:color="auto"/>
            <w:bottom w:val="none" w:sz="0" w:space="0" w:color="auto"/>
            <w:right w:val="none" w:sz="0" w:space="0" w:color="auto"/>
          </w:divBdr>
        </w:div>
        <w:div w:id="2030177281">
          <w:marLeft w:val="1134"/>
          <w:marRight w:val="0"/>
          <w:marTop w:val="60"/>
          <w:marBottom w:val="0"/>
          <w:divBdr>
            <w:top w:val="none" w:sz="0" w:space="0" w:color="auto"/>
            <w:left w:val="none" w:sz="0" w:space="0" w:color="auto"/>
            <w:bottom w:val="none" w:sz="0" w:space="0" w:color="auto"/>
            <w:right w:val="none" w:sz="0" w:space="0" w:color="auto"/>
          </w:divBdr>
        </w:div>
        <w:div w:id="34501957">
          <w:marLeft w:val="284"/>
          <w:marRight w:val="0"/>
          <w:marTop w:val="40"/>
          <w:marBottom w:val="0"/>
          <w:divBdr>
            <w:top w:val="none" w:sz="0" w:space="0" w:color="auto"/>
            <w:left w:val="none" w:sz="0" w:space="0" w:color="auto"/>
            <w:bottom w:val="none" w:sz="0" w:space="0" w:color="auto"/>
            <w:right w:val="none" w:sz="0" w:space="0" w:color="auto"/>
          </w:divBdr>
        </w:div>
        <w:div w:id="210582476">
          <w:marLeft w:val="284"/>
          <w:marRight w:val="0"/>
          <w:marTop w:val="80"/>
          <w:marBottom w:val="0"/>
          <w:divBdr>
            <w:top w:val="none" w:sz="0" w:space="0" w:color="auto"/>
            <w:left w:val="none" w:sz="0" w:space="0" w:color="auto"/>
            <w:bottom w:val="none" w:sz="0" w:space="0" w:color="auto"/>
            <w:right w:val="none" w:sz="0" w:space="0" w:color="auto"/>
          </w:divBdr>
        </w:div>
        <w:div w:id="729159637">
          <w:marLeft w:val="284"/>
          <w:marRight w:val="0"/>
          <w:marTop w:val="80"/>
          <w:marBottom w:val="0"/>
          <w:divBdr>
            <w:top w:val="none" w:sz="0" w:space="0" w:color="auto"/>
            <w:left w:val="none" w:sz="0" w:space="0" w:color="auto"/>
            <w:bottom w:val="none" w:sz="0" w:space="0" w:color="auto"/>
            <w:right w:val="none" w:sz="0" w:space="0" w:color="auto"/>
          </w:divBdr>
        </w:div>
        <w:div w:id="1572496203">
          <w:marLeft w:val="1134"/>
          <w:marRight w:val="0"/>
          <w:marTop w:val="60"/>
          <w:marBottom w:val="0"/>
          <w:divBdr>
            <w:top w:val="none" w:sz="0" w:space="0" w:color="auto"/>
            <w:left w:val="none" w:sz="0" w:space="0" w:color="auto"/>
            <w:bottom w:val="none" w:sz="0" w:space="0" w:color="auto"/>
            <w:right w:val="none" w:sz="0" w:space="0" w:color="auto"/>
          </w:divBdr>
        </w:div>
        <w:div w:id="1527593002">
          <w:marLeft w:val="1134"/>
          <w:marRight w:val="0"/>
          <w:marTop w:val="60"/>
          <w:marBottom w:val="0"/>
          <w:divBdr>
            <w:top w:val="none" w:sz="0" w:space="0" w:color="auto"/>
            <w:left w:val="none" w:sz="0" w:space="0" w:color="auto"/>
            <w:bottom w:val="none" w:sz="0" w:space="0" w:color="auto"/>
            <w:right w:val="none" w:sz="0" w:space="0" w:color="auto"/>
          </w:divBdr>
        </w:div>
        <w:div w:id="714350780">
          <w:marLeft w:val="284"/>
          <w:marRight w:val="0"/>
          <w:marTop w:val="80"/>
          <w:marBottom w:val="0"/>
          <w:divBdr>
            <w:top w:val="none" w:sz="0" w:space="0" w:color="auto"/>
            <w:left w:val="none" w:sz="0" w:space="0" w:color="auto"/>
            <w:bottom w:val="none" w:sz="0" w:space="0" w:color="auto"/>
            <w:right w:val="none" w:sz="0" w:space="0" w:color="auto"/>
          </w:divBdr>
        </w:div>
        <w:div w:id="1736470492">
          <w:marLeft w:val="284"/>
          <w:marRight w:val="0"/>
          <w:marTop w:val="80"/>
          <w:marBottom w:val="0"/>
          <w:divBdr>
            <w:top w:val="none" w:sz="0" w:space="0" w:color="auto"/>
            <w:left w:val="none" w:sz="0" w:space="0" w:color="auto"/>
            <w:bottom w:val="none" w:sz="0" w:space="0" w:color="auto"/>
            <w:right w:val="none" w:sz="0" w:space="0" w:color="auto"/>
          </w:divBdr>
        </w:div>
        <w:div w:id="49621418">
          <w:marLeft w:val="1134"/>
          <w:marRight w:val="0"/>
          <w:marTop w:val="60"/>
          <w:marBottom w:val="0"/>
          <w:divBdr>
            <w:top w:val="none" w:sz="0" w:space="0" w:color="auto"/>
            <w:left w:val="none" w:sz="0" w:space="0" w:color="auto"/>
            <w:bottom w:val="none" w:sz="0" w:space="0" w:color="auto"/>
            <w:right w:val="none" w:sz="0" w:space="0" w:color="auto"/>
          </w:divBdr>
        </w:div>
        <w:div w:id="70196742">
          <w:marLeft w:val="1134"/>
          <w:marRight w:val="0"/>
          <w:marTop w:val="60"/>
          <w:marBottom w:val="0"/>
          <w:divBdr>
            <w:top w:val="none" w:sz="0" w:space="0" w:color="auto"/>
            <w:left w:val="none" w:sz="0" w:space="0" w:color="auto"/>
            <w:bottom w:val="none" w:sz="0" w:space="0" w:color="auto"/>
            <w:right w:val="none" w:sz="0" w:space="0" w:color="auto"/>
          </w:divBdr>
        </w:div>
        <w:div w:id="1673146132">
          <w:marLeft w:val="1134"/>
          <w:marRight w:val="0"/>
          <w:marTop w:val="60"/>
          <w:marBottom w:val="0"/>
          <w:divBdr>
            <w:top w:val="none" w:sz="0" w:space="0" w:color="auto"/>
            <w:left w:val="none" w:sz="0" w:space="0" w:color="auto"/>
            <w:bottom w:val="none" w:sz="0" w:space="0" w:color="auto"/>
            <w:right w:val="none" w:sz="0" w:space="0" w:color="auto"/>
          </w:divBdr>
        </w:div>
        <w:div w:id="480773004">
          <w:marLeft w:val="1134"/>
          <w:marRight w:val="0"/>
          <w:marTop w:val="60"/>
          <w:marBottom w:val="0"/>
          <w:divBdr>
            <w:top w:val="none" w:sz="0" w:space="0" w:color="auto"/>
            <w:left w:val="none" w:sz="0" w:space="0" w:color="auto"/>
            <w:bottom w:val="none" w:sz="0" w:space="0" w:color="auto"/>
            <w:right w:val="none" w:sz="0" w:space="0" w:color="auto"/>
          </w:divBdr>
        </w:div>
        <w:div w:id="455568208">
          <w:marLeft w:val="1134"/>
          <w:marRight w:val="0"/>
          <w:marTop w:val="60"/>
          <w:marBottom w:val="0"/>
          <w:divBdr>
            <w:top w:val="none" w:sz="0" w:space="0" w:color="auto"/>
            <w:left w:val="none" w:sz="0" w:space="0" w:color="auto"/>
            <w:bottom w:val="none" w:sz="0" w:space="0" w:color="auto"/>
            <w:right w:val="none" w:sz="0" w:space="0" w:color="auto"/>
          </w:divBdr>
        </w:div>
        <w:div w:id="2087607710">
          <w:marLeft w:val="1134"/>
          <w:marRight w:val="0"/>
          <w:marTop w:val="60"/>
          <w:marBottom w:val="0"/>
          <w:divBdr>
            <w:top w:val="none" w:sz="0" w:space="0" w:color="auto"/>
            <w:left w:val="none" w:sz="0" w:space="0" w:color="auto"/>
            <w:bottom w:val="none" w:sz="0" w:space="0" w:color="auto"/>
            <w:right w:val="none" w:sz="0" w:space="0" w:color="auto"/>
          </w:divBdr>
        </w:div>
        <w:div w:id="708991372">
          <w:marLeft w:val="567"/>
          <w:marRight w:val="567"/>
          <w:marTop w:val="20"/>
          <w:marBottom w:val="20"/>
          <w:divBdr>
            <w:top w:val="none" w:sz="0" w:space="0" w:color="auto"/>
            <w:left w:val="none" w:sz="0" w:space="0" w:color="auto"/>
            <w:bottom w:val="none" w:sz="0" w:space="0" w:color="auto"/>
            <w:right w:val="none" w:sz="0" w:space="0" w:color="auto"/>
          </w:divBdr>
        </w:div>
        <w:div w:id="2091846507">
          <w:marLeft w:val="1134"/>
          <w:marRight w:val="0"/>
          <w:marTop w:val="60"/>
          <w:marBottom w:val="0"/>
          <w:divBdr>
            <w:top w:val="none" w:sz="0" w:space="0" w:color="auto"/>
            <w:left w:val="none" w:sz="0" w:space="0" w:color="auto"/>
            <w:bottom w:val="none" w:sz="0" w:space="0" w:color="auto"/>
            <w:right w:val="none" w:sz="0" w:space="0" w:color="auto"/>
          </w:divBdr>
        </w:div>
        <w:div w:id="527256401">
          <w:marLeft w:val="567"/>
          <w:marRight w:val="567"/>
          <w:marTop w:val="20"/>
          <w:marBottom w:val="20"/>
          <w:divBdr>
            <w:top w:val="none" w:sz="0" w:space="0" w:color="auto"/>
            <w:left w:val="none" w:sz="0" w:space="0" w:color="auto"/>
            <w:bottom w:val="none" w:sz="0" w:space="0" w:color="auto"/>
            <w:right w:val="none" w:sz="0" w:space="0" w:color="auto"/>
          </w:divBdr>
        </w:div>
        <w:div w:id="159589327">
          <w:marLeft w:val="284"/>
          <w:marRight w:val="0"/>
          <w:marTop w:val="80"/>
          <w:marBottom w:val="0"/>
          <w:divBdr>
            <w:top w:val="none" w:sz="0" w:space="0" w:color="auto"/>
            <w:left w:val="none" w:sz="0" w:space="0" w:color="auto"/>
            <w:bottom w:val="none" w:sz="0" w:space="0" w:color="auto"/>
            <w:right w:val="none" w:sz="0" w:space="0" w:color="auto"/>
          </w:divBdr>
        </w:div>
        <w:div w:id="1485665151">
          <w:marLeft w:val="1134"/>
          <w:marRight w:val="0"/>
          <w:marTop w:val="60"/>
          <w:marBottom w:val="0"/>
          <w:divBdr>
            <w:top w:val="none" w:sz="0" w:space="0" w:color="auto"/>
            <w:left w:val="none" w:sz="0" w:space="0" w:color="auto"/>
            <w:bottom w:val="none" w:sz="0" w:space="0" w:color="auto"/>
            <w:right w:val="none" w:sz="0" w:space="0" w:color="auto"/>
          </w:divBdr>
        </w:div>
        <w:div w:id="2110929534">
          <w:marLeft w:val="1134"/>
          <w:marRight w:val="0"/>
          <w:marTop w:val="60"/>
          <w:marBottom w:val="0"/>
          <w:divBdr>
            <w:top w:val="none" w:sz="0" w:space="0" w:color="auto"/>
            <w:left w:val="none" w:sz="0" w:space="0" w:color="auto"/>
            <w:bottom w:val="none" w:sz="0" w:space="0" w:color="auto"/>
            <w:right w:val="none" w:sz="0" w:space="0" w:color="auto"/>
          </w:divBdr>
        </w:div>
        <w:div w:id="386686095">
          <w:marLeft w:val="0"/>
          <w:marRight w:val="0"/>
          <w:marTop w:val="120"/>
          <w:marBottom w:val="0"/>
          <w:divBdr>
            <w:top w:val="none" w:sz="0" w:space="0" w:color="auto"/>
            <w:left w:val="none" w:sz="0" w:space="0" w:color="auto"/>
            <w:bottom w:val="none" w:sz="0" w:space="0" w:color="auto"/>
            <w:right w:val="none" w:sz="0" w:space="0" w:color="auto"/>
          </w:divBdr>
        </w:div>
        <w:div w:id="115493004">
          <w:marLeft w:val="1134"/>
          <w:marRight w:val="0"/>
          <w:marTop w:val="60"/>
          <w:marBottom w:val="0"/>
          <w:divBdr>
            <w:top w:val="none" w:sz="0" w:space="0" w:color="auto"/>
            <w:left w:val="none" w:sz="0" w:space="0" w:color="auto"/>
            <w:bottom w:val="none" w:sz="0" w:space="0" w:color="auto"/>
            <w:right w:val="none" w:sz="0" w:space="0" w:color="auto"/>
          </w:divBdr>
        </w:div>
        <w:div w:id="1362896348">
          <w:marLeft w:val="1134"/>
          <w:marRight w:val="0"/>
          <w:marTop w:val="60"/>
          <w:marBottom w:val="0"/>
          <w:divBdr>
            <w:top w:val="none" w:sz="0" w:space="0" w:color="auto"/>
            <w:left w:val="none" w:sz="0" w:space="0" w:color="auto"/>
            <w:bottom w:val="none" w:sz="0" w:space="0" w:color="auto"/>
            <w:right w:val="none" w:sz="0" w:space="0" w:color="auto"/>
          </w:divBdr>
        </w:div>
        <w:div w:id="1843277913">
          <w:marLeft w:val="0"/>
          <w:marRight w:val="0"/>
          <w:marTop w:val="120"/>
          <w:marBottom w:val="0"/>
          <w:divBdr>
            <w:top w:val="none" w:sz="0" w:space="0" w:color="auto"/>
            <w:left w:val="none" w:sz="0" w:space="0" w:color="auto"/>
            <w:bottom w:val="none" w:sz="0" w:space="0" w:color="auto"/>
            <w:right w:val="none" w:sz="0" w:space="0" w:color="auto"/>
          </w:divBdr>
        </w:div>
        <w:div w:id="1644503590">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418013765">
      <w:bodyDiv w:val="1"/>
      <w:marLeft w:val="0"/>
      <w:marRight w:val="0"/>
      <w:marTop w:val="0"/>
      <w:marBottom w:val="0"/>
      <w:divBdr>
        <w:top w:val="none" w:sz="0" w:space="0" w:color="auto"/>
        <w:left w:val="none" w:sz="0" w:space="0" w:color="auto"/>
        <w:bottom w:val="none" w:sz="0" w:space="0" w:color="auto"/>
        <w:right w:val="none" w:sz="0" w:space="0" w:color="auto"/>
      </w:divBdr>
      <w:divsChild>
        <w:div w:id="545459077">
          <w:marLeft w:val="0"/>
          <w:marRight w:val="0"/>
          <w:marTop w:val="240"/>
          <w:marBottom w:val="0"/>
          <w:divBdr>
            <w:top w:val="none" w:sz="0" w:space="0" w:color="auto"/>
            <w:left w:val="none" w:sz="0" w:space="0" w:color="auto"/>
            <w:bottom w:val="none" w:sz="0" w:space="0" w:color="auto"/>
            <w:right w:val="none" w:sz="0" w:space="0" w:color="auto"/>
          </w:divBdr>
        </w:div>
        <w:div w:id="1918901984">
          <w:marLeft w:val="0"/>
          <w:marRight w:val="0"/>
          <w:marTop w:val="120"/>
          <w:marBottom w:val="0"/>
          <w:divBdr>
            <w:top w:val="none" w:sz="0" w:space="0" w:color="auto"/>
            <w:left w:val="none" w:sz="0" w:space="0" w:color="auto"/>
            <w:bottom w:val="none" w:sz="0" w:space="0" w:color="auto"/>
            <w:right w:val="none" w:sz="0" w:space="0" w:color="auto"/>
          </w:divBdr>
        </w:div>
        <w:div w:id="64114318">
          <w:marLeft w:val="1134"/>
          <w:marRight w:val="0"/>
          <w:marTop w:val="60"/>
          <w:marBottom w:val="0"/>
          <w:divBdr>
            <w:top w:val="none" w:sz="0" w:space="0" w:color="auto"/>
            <w:left w:val="none" w:sz="0" w:space="0" w:color="auto"/>
            <w:bottom w:val="none" w:sz="0" w:space="0" w:color="auto"/>
            <w:right w:val="none" w:sz="0" w:space="0" w:color="auto"/>
          </w:divBdr>
        </w:div>
        <w:div w:id="1098212002">
          <w:marLeft w:val="1134"/>
          <w:marRight w:val="0"/>
          <w:marTop w:val="60"/>
          <w:marBottom w:val="0"/>
          <w:divBdr>
            <w:top w:val="none" w:sz="0" w:space="0" w:color="auto"/>
            <w:left w:val="none" w:sz="0" w:space="0" w:color="auto"/>
            <w:bottom w:val="none" w:sz="0" w:space="0" w:color="auto"/>
            <w:right w:val="none" w:sz="0" w:space="0" w:color="auto"/>
          </w:divBdr>
        </w:div>
        <w:div w:id="112869948">
          <w:marLeft w:val="1985"/>
          <w:marRight w:val="0"/>
          <w:marTop w:val="60"/>
          <w:marBottom w:val="0"/>
          <w:divBdr>
            <w:top w:val="none" w:sz="0" w:space="0" w:color="auto"/>
            <w:left w:val="none" w:sz="0" w:space="0" w:color="auto"/>
            <w:bottom w:val="none" w:sz="0" w:space="0" w:color="auto"/>
            <w:right w:val="none" w:sz="0" w:space="0" w:color="auto"/>
          </w:divBdr>
        </w:div>
        <w:div w:id="301732436">
          <w:marLeft w:val="1985"/>
          <w:marRight w:val="0"/>
          <w:marTop w:val="60"/>
          <w:marBottom w:val="0"/>
          <w:divBdr>
            <w:top w:val="none" w:sz="0" w:space="0" w:color="auto"/>
            <w:left w:val="none" w:sz="0" w:space="0" w:color="auto"/>
            <w:bottom w:val="none" w:sz="0" w:space="0" w:color="auto"/>
            <w:right w:val="none" w:sz="0" w:space="0" w:color="auto"/>
          </w:divBdr>
        </w:div>
        <w:div w:id="841700413">
          <w:marLeft w:val="0"/>
          <w:marRight w:val="0"/>
          <w:marTop w:val="120"/>
          <w:marBottom w:val="0"/>
          <w:divBdr>
            <w:top w:val="none" w:sz="0" w:space="0" w:color="auto"/>
            <w:left w:val="none" w:sz="0" w:space="0" w:color="auto"/>
            <w:bottom w:val="none" w:sz="0" w:space="0" w:color="auto"/>
            <w:right w:val="none" w:sz="0" w:space="0" w:color="auto"/>
          </w:divBdr>
        </w:div>
        <w:div w:id="984317839">
          <w:marLeft w:val="1134"/>
          <w:marRight w:val="0"/>
          <w:marTop w:val="60"/>
          <w:marBottom w:val="0"/>
          <w:divBdr>
            <w:top w:val="none" w:sz="0" w:space="0" w:color="auto"/>
            <w:left w:val="none" w:sz="0" w:space="0" w:color="auto"/>
            <w:bottom w:val="none" w:sz="0" w:space="0" w:color="auto"/>
            <w:right w:val="none" w:sz="0" w:space="0" w:color="auto"/>
          </w:divBdr>
        </w:div>
        <w:div w:id="1122770102">
          <w:marLeft w:val="1134"/>
          <w:marRight w:val="0"/>
          <w:marTop w:val="60"/>
          <w:marBottom w:val="0"/>
          <w:divBdr>
            <w:top w:val="none" w:sz="0" w:space="0" w:color="auto"/>
            <w:left w:val="none" w:sz="0" w:space="0" w:color="auto"/>
            <w:bottom w:val="none" w:sz="0" w:space="0" w:color="auto"/>
            <w:right w:val="none" w:sz="0" w:space="0" w:color="auto"/>
          </w:divBdr>
        </w:div>
        <w:div w:id="115607680">
          <w:marLeft w:val="1985"/>
          <w:marRight w:val="0"/>
          <w:marTop w:val="60"/>
          <w:marBottom w:val="0"/>
          <w:divBdr>
            <w:top w:val="none" w:sz="0" w:space="0" w:color="auto"/>
            <w:left w:val="none" w:sz="0" w:space="0" w:color="auto"/>
            <w:bottom w:val="none" w:sz="0" w:space="0" w:color="auto"/>
            <w:right w:val="none" w:sz="0" w:space="0" w:color="auto"/>
          </w:divBdr>
        </w:div>
        <w:div w:id="660472873">
          <w:marLeft w:val="1985"/>
          <w:marRight w:val="0"/>
          <w:marTop w:val="60"/>
          <w:marBottom w:val="0"/>
          <w:divBdr>
            <w:top w:val="none" w:sz="0" w:space="0" w:color="auto"/>
            <w:left w:val="none" w:sz="0" w:space="0" w:color="auto"/>
            <w:bottom w:val="none" w:sz="0" w:space="0" w:color="auto"/>
            <w:right w:val="none" w:sz="0" w:space="0" w:color="auto"/>
          </w:divBdr>
        </w:div>
        <w:div w:id="620379404">
          <w:marLeft w:val="0"/>
          <w:marRight w:val="0"/>
          <w:marTop w:val="120"/>
          <w:marBottom w:val="0"/>
          <w:divBdr>
            <w:top w:val="none" w:sz="0" w:space="0" w:color="auto"/>
            <w:left w:val="none" w:sz="0" w:space="0" w:color="auto"/>
            <w:bottom w:val="none" w:sz="0" w:space="0" w:color="auto"/>
            <w:right w:val="none" w:sz="0" w:space="0" w:color="auto"/>
          </w:divBdr>
        </w:div>
        <w:div w:id="570846729">
          <w:marLeft w:val="1134"/>
          <w:marRight w:val="0"/>
          <w:marTop w:val="60"/>
          <w:marBottom w:val="0"/>
          <w:divBdr>
            <w:top w:val="none" w:sz="0" w:space="0" w:color="auto"/>
            <w:left w:val="none" w:sz="0" w:space="0" w:color="auto"/>
            <w:bottom w:val="none" w:sz="0" w:space="0" w:color="auto"/>
            <w:right w:val="none" w:sz="0" w:space="0" w:color="auto"/>
          </w:divBdr>
        </w:div>
        <w:div w:id="1705791764">
          <w:marLeft w:val="1134"/>
          <w:marRight w:val="0"/>
          <w:marTop w:val="60"/>
          <w:marBottom w:val="0"/>
          <w:divBdr>
            <w:top w:val="none" w:sz="0" w:space="0" w:color="auto"/>
            <w:left w:val="none" w:sz="0" w:space="0" w:color="auto"/>
            <w:bottom w:val="none" w:sz="0" w:space="0" w:color="auto"/>
            <w:right w:val="none" w:sz="0" w:space="0" w:color="auto"/>
          </w:divBdr>
        </w:div>
        <w:div w:id="192504559">
          <w:marLeft w:val="0"/>
          <w:marRight w:val="0"/>
          <w:marTop w:val="120"/>
          <w:marBottom w:val="0"/>
          <w:divBdr>
            <w:top w:val="none" w:sz="0" w:space="0" w:color="auto"/>
            <w:left w:val="none" w:sz="0" w:space="0" w:color="auto"/>
            <w:bottom w:val="none" w:sz="0" w:space="0" w:color="auto"/>
            <w:right w:val="none" w:sz="0" w:space="0" w:color="auto"/>
          </w:divBdr>
        </w:div>
        <w:div w:id="438062827">
          <w:marLeft w:val="0"/>
          <w:marRight w:val="0"/>
          <w:marTop w:val="60"/>
          <w:marBottom w:val="0"/>
          <w:divBdr>
            <w:top w:val="none" w:sz="0" w:space="0" w:color="auto"/>
            <w:left w:val="none" w:sz="0" w:space="0" w:color="auto"/>
            <w:bottom w:val="none" w:sz="0" w:space="0" w:color="auto"/>
            <w:right w:val="none" w:sz="0" w:space="0" w:color="auto"/>
          </w:divBdr>
        </w:div>
        <w:div w:id="759185139">
          <w:marLeft w:val="1134"/>
          <w:marRight w:val="0"/>
          <w:marTop w:val="60"/>
          <w:marBottom w:val="0"/>
          <w:divBdr>
            <w:top w:val="none" w:sz="0" w:space="0" w:color="auto"/>
            <w:left w:val="none" w:sz="0" w:space="0" w:color="auto"/>
            <w:bottom w:val="none" w:sz="0" w:space="0" w:color="auto"/>
            <w:right w:val="none" w:sz="0" w:space="0" w:color="auto"/>
          </w:divBdr>
        </w:div>
        <w:div w:id="2069759345">
          <w:marLeft w:val="1134"/>
          <w:marRight w:val="0"/>
          <w:marTop w:val="60"/>
          <w:marBottom w:val="0"/>
          <w:divBdr>
            <w:top w:val="none" w:sz="0" w:space="0" w:color="auto"/>
            <w:left w:val="none" w:sz="0" w:space="0" w:color="auto"/>
            <w:bottom w:val="none" w:sz="0" w:space="0" w:color="auto"/>
            <w:right w:val="none" w:sz="0" w:space="0" w:color="auto"/>
          </w:divBdr>
        </w:div>
        <w:div w:id="1354110278">
          <w:marLeft w:val="1134"/>
          <w:marRight w:val="0"/>
          <w:marTop w:val="60"/>
          <w:marBottom w:val="0"/>
          <w:divBdr>
            <w:top w:val="none" w:sz="0" w:space="0" w:color="auto"/>
            <w:left w:val="none" w:sz="0" w:space="0" w:color="auto"/>
            <w:bottom w:val="none" w:sz="0" w:space="0" w:color="auto"/>
            <w:right w:val="none" w:sz="0" w:space="0" w:color="auto"/>
          </w:divBdr>
        </w:div>
        <w:div w:id="1051878867">
          <w:marLeft w:val="0"/>
          <w:marRight w:val="0"/>
          <w:marTop w:val="60"/>
          <w:marBottom w:val="0"/>
          <w:divBdr>
            <w:top w:val="none" w:sz="0" w:space="0" w:color="auto"/>
            <w:left w:val="none" w:sz="0" w:space="0" w:color="auto"/>
            <w:bottom w:val="none" w:sz="0" w:space="0" w:color="auto"/>
            <w:right w:val="none" w:sz="0" w:space="0" w:color="auto"/>
          </w:divBdr>
        </w:div>
        <w:div w:id="1838031521">
          <w:marLeft w:val="0"/>
          <w:marRight w:val="0"/>
          <w:marTop w:val="240"/>
          <w:marBottom w:val="0"/>
          <w:divBdr>
            <w:top w:val="none" w:sz="0" w:space="0" w:color="auto"/>
            <w:left w:val="none" w:sz="0" w:space="0" w:color="auto"/>
            <w:bottom w:val="none" w:sz="0" w:space="0" w:color="auto"/>
            <w:right w:val="none" w:sz="0" w:space="0" w:color="auto"/>
          </w:divBdr>
        </w:div>
        <w:div w:id="2111050422">
          <w:marLeft w:val="0"/>
          <w:marRight w:val="0"/>
          <w:marTop w:val="120"/>
          <w:marBottom w:val="0"/>
          <w:divBdr>
            <w:top w:val="none" w:sz="0" w:space="0" w:color="auto"/>
            <w:left w:val="none" w:sz="0" w:space="0" w:color="auto"/>
            <w:bottom w:val="none" w:sz="0" w:space="0" w:color="auto"/>
            <w:right w:val="none" w:sz="0" w:space="0" w:color="auto"/>
          </w:divBdr>
        </w:div>
        <w:div w:id="1856571046">
          <w:marLeft w:val="1134"/>
          <w:marRight w:val="0"/>
          <w:marTop w:val="60"/>
          <w:marBottom w:val="0"/>
          <w:divBdr>
            <w:top w:val="none" w:sz="0" w:space="0" w:color="auto"/>
            <w:left w:val="none" w:sz="0" w:space="0" w:color="auto"/>
            <w:bottom w:val="none" w:sz="0" w:space="0" w:color="auto"/>
            <w:right w:val="none" w:sz="0" w:space="0" w:color="auto"/>
          </w:divBdr>
        </w:div>
        <w:div w:id="394087772">
          <w:marLeft w:val="567"/>
          <w:marRight w:val="567"/>
          <w:marTop w:val="20"/>
          <w:marBottom w:val="20"/>
          <w:divBdr>
            <w:top w:val="none" w:sz="0" w:space="0" w:color="auto"/>
            <w:left w:val="none" w:sz="0" w:space="0" w:color="auto"/>
            <w:bottom w:val="none" w:sz="0" w:space="0" w:color="auto"/>
            <w:right w:val="none" w:sz="0" w:space="0" w:color="auto"/>
          </w:divBdr>
        </w:div>
        <w:div w:id="1606959093">
          <w:marLeft w:val="1134"/>
          <w:marRight w:val="0"/>
          <w:marTop w:val="60"/>
          <w:marBottom w:val="0"/>
          <w:divBdr>
            <w:top w:val="none" w:sz="0" w:space="0" w:color="auto"/>
            <w:left w:val="none" w:sz="0" w:space="0" w:color="auto"/>
            <w:bottom w:val="none" w:sz="0" w:space="0" w:color="auto"/>
            <w:right w:val="none" w:sz="0" w:space="0" w:color="auto"/>
          </w:divBdr>
        </w:div>
        <w:div w:id="1175682367">
          <w:marLeft w:val="1134"/>
          <w:marRight w:val="0"/>
          <w:marTop w:val="60"/>
          <w:marBottom w:val="0"/>
          <w:divBdr>
            <w:top w:val="none" w:sz="0" w:space="0" w:color="auto"/>
            <w:left w:val="none" w:sz="0" w:space="0" w:color="auto"/>
            <w:bottom w:val="none" w:sz="0" w:space="0" w:color="auto"/>
            <w:right w:val="none" w:sz="0" w:space="0" w:color="auto"/>
          </w:divBdr>
        </w:div>
        <w:div w:id="279847706">
          <w:marLeft w:val="1134"/>
          <w:marRight w:val="0"/>
          <w:marTop w:val="60"/>
          <w:marBottom w:val="0"/>
          <w:divBdr>
            <w:top w:val="none" w:sz="0" w:space="0" w:color="auto"/>
            <w:left w:val="none" w:sz="0" w:space="0" w:color="auto"/>
            <w:bottom w:val="none" w:sz="0" w:space="0" w:color="auto"/>
            <w:right w:val="none" w:sz="0" w:space="0" w:color="auto"/>
          </w:divBdr>
        </w:div>
        <w:div w:id="1051346948">
          <w:marLeft w:val="1134"/>
          <w:marRight w:val="0"/>
          <w:marTop w:val="60"/>
          <w:marBottom w:val="0"/>
          <w:divBdr>
            <w:top w:val="none" w:sz="0" w:space="0" w:color="auto"/>
            <w:left w:val="none" w:sz="0" w:space="0" w:color="auto"/>
            <w:bottom w:val="none" w:sz="0" w:space="0" w:color="auto"/>
            <w:right w:val="none" w:sz="0" w:space="0" w:color="auto"/>
          </w:divBdr>
        </w:div>
        <w:div w:id="1392659458">
          <w:marLeft w:val="1134"/>
          <w:marRight w:val="0"/>
          <w:marTop w:val="60"/>
          <w:marBottom w:val="0"/>
          <w:divBdr>
            <w:top w:val="none" w:sz="0" w:space="0" w:color="auto"/>
            <w:left w:val="none" w:sz="0" w:space="0" w:color="auto"/>
            <w:bottom w:val="none" w:sz="0" w:space="0" w:color="auto"/>
            <w:right w:val="none" w:sz="0" w:space="0" w:color="auto"/>
          </w:divBdr>
        </w:div>
        <w:div w:id="2132086216">
          <w:marLeft w:val="0"/>
          <w:marRight w:val="0"/>
          <w:marTop w:val="120"/>
          <w:marBottom w:val="0"/>
          <w:divBdr>
            <w:top w:val="none" w:sz="0" w:space="0" w:color="auto"/>
            <w:left w:val="none" w:sz="0" w:space="0" w:color="auto"/>
            <w:bottom w:val="none" w:sz="0" w:space="0" w:color="auto"/>
            <w:right w:val="none" w:sz="0" w:space="0" w:color="auto"/>
          </w:divBdr>
        </w:div>
        <w:div w:id="797843876">
          <w:marLeft w:val="1134"/>
          <w:marRight w:val="0"/>
          <w:marTop w:val="60"/>
          <w:marBottom w:val="0"/>
          <w:divBdr>
            <w:top w:val="none" w:sz="0" w:space="0" w:color="auto"/>
            <w:left w:val="none" w:sz="0" w:space="0" w:color="auto"/>
            <w:bottom w:val="none" w:sz="0" w:space="0" w:color="auto"/>
            <w:right w:val="none" w:sz="0" w:space="0" w:color="auto"/>
          </w:divBdr>
        </w:div>
        <w:div w:id="883908281">
          <w:marLeft w:val="1134"/>
          <w:marRight w:val="0"/>
          <w:marTop w:val="60"/>
          <w:marBottom w:val="0"/>
          <w:divBdr>
            <w:top w:val="none" w:sz="0" w:space="0" w:color="auto"/>
            <w:left w:val="none" w:sz="0" w:space="0" w:color="auto"/>
            <w:bottom w:val="none" w:sz="0" w:space="0" w:color="auto"/>
            <w:right w:val="none" w:sz="0" w:space="0" w:color="auto"/>
          </w:divBdr>
        </w:div>
        <w:div w:id="91361018">
          <w:marLeft w:val="1985"/>
          <w:marRight w:val="0"/>
          <w:marTop w:val="60"/>
          <w:marBottom w:val="0"/>
          <w:divBdr>
            <w:top w:val="none" w:sz="0" w:space="0" w:color="auto"/>
            <w:left w:val="none" w:sz="0" w:space="0" w:color="auto"/>
            <w:bottom w:val="none" w:sz="0" w:space="0" w:color="auto"/>
            <w:right w:val="none" w:sz="0" w:space="0" w:color="auto"/>
          </w:divBdr>
        </w:div>
        <w:div w:id="510873052">
          <w:marLeft w:val="1985"/>
          <w:marRight w:val="0"/>
          <w:marTop w:val="60"/>
          <w:marBottom w:val="0"/>
          <w:divBdr>
            <w:top w:val="none" w:sz="0" w:space="0" w:color="auto"/>
            <w:left w:val="none" w:sz="0" w:space="0" w:color="auto"/>
            <w:bottom w:val="none" w:sz="0" w:space="0" w:color="auto"/>
            <w:right w:val="none" w:sz="0" w:space="0" w:color="auto"/>
          </w:divBdr>
        </w:div>
        <w:div w:id="6099298">
          <w:marLeft w:val="1985"/>
          <w:marRight w:val="0"/>
          <w:marTop w:val="60"/>
          <w:marBottom w:val="0"/>
          <w:divBdr>
            <w:top w:val="none" w:sz="0" w:space="0" w:color="auto"/>
            <w:left w:val="none" w:sz="0" w:space="0" w:color="auto"/>
            <w:bottom w:val="none" w:sz="0" w:space="0" w:color="auto"/>
            <w:right w:val="none" w:sz="0" w:space="0" w:color="auto"/>
          </w:divBdr>
        </w:div>
        <w:div w:id="1670475322">
          <w:marLeft w:val="1985"/>
          <w:marRight w:val="0"/>
          <w:marTop w:val="60"/>
          <w:marBottom w:val="0"/>
          <w:divBdr>
            <w:top w:val="none" w:sz="0" w:space="0" w:color="auto"/>
            <w:left w:val="none" w:sz="0" w:space="0" w:color="auto"/>
            <w:bottom w:val="none" w:sz="0" w:space="0" w:color="auto"/>
            <w:right w:val="none" w:sz="0" w:space="0" w:color="auto"/>
          </w:divBdr>
        </w:div>
      </w:divsChild>
    </w:div>
    <w:div w:id="1657107118">
      <w:bodyDiv w:val="1"/>
      <w:marLeft w:val="0"/>
      <w:marRight w:val="0"/>
      <w:marTop w:val="0"/>
      <w:marBottom w:val="0"/>
      <w:divBdr>
        <w:top w:val="none" w:sz="0" w:space="0" w:color="auto"/>
        <w:left w:val="none" w:sz="0" w:space="0" w:color="auto"/>
        <w:bottom w:val="none" w:sz="0" w:space="0" w:color="auto"/>
        <w:right w:val="none" w:sz="0" w:space="0" w:color="auto"/>
      </w:divBdr>
      <w:divsChild>
        <w:div w:id="284580602">
          <w:marLeft w:val="284"/>
          <w:marRight w:val="0"/>
          <w:marTop w:val="80"/>
          <w:marBottom w:val="0"/>
          <w:divBdr>
            <w:top w:val="none" w:sz="0" w:space="0" w:color="auto"/>
            <w:left w:val="none" w:sz="0" w:space="0" w:color="auto"/>
            <w:bottom w:val="none" w:sz="0" w:space="0" w:color="auto"/>
            <w:right w:val="none" w:sz="0" w:space="0" w:color="auto"/>
          </w:divBdr>
        </w:div>
        <w:div w:id="1553536676">
          <w:marLeft w:val="1134"/>
          <w:marRight w:val="0"/>
          <w:marTop w:val="60"/>
          <w:marBottom w:val="0"/>
          <w:divBdr>
            <w:top w:val="none" w:sz="0" w:space="0" w:color="auto"/>
            <w:left w:val="none" w:sz="0" w:space="0" w:color="auto"/>
            <w:bottom w:val="none" w:sz="0" w:space="0" w:color="auto"/>
            <w:right w:val="none" w:sz="0" w:space="0" w:color="auto"/>
          </w:divBdr>
        </w:div>
        <w:div w:id="287010593">
          <w:marLeft w:val="1985"/>
          <w:marRight w:val="0"/>
          <w:marTop w:val="60"/>
          <w:marBottom w:val="0"/>
          <w:divBdr>
            <w:top w:val="none" w:sz="0" w:space="0" w:color="auto"/>
            <w:left w:val="none" w:sz="0" w:space="0" w:color="auto"/>
            <w:bottom w:val="none" w:sz="0" w:space="0" w:color="auto"/>
            <w:right w:val="none" w:sz="0" w:space="0" w:color="auto"/>
          </w:divBdr>
        </w:div>
        <w:div w:id="1771464212">
          <w:marLeft w:val="1985"/>
          <w:marRight w:val="0"/>
          <w:marTop w:val="60"/>
          <w:marBottom w:val="0"/>
          <w:divBdr>
            <w:top w:val="none" w:sz="0" w:space="0" w:color="auto"/>
            <w:left w:val="none" w:sz="0" w:space="0" w:color="auto"/>
            <w:bottom w:val="none" w:sz="0" w:space="0" w:color="auto"/>
            <w:right w:val="none" w:sz="0" w:space="0" w:color="auto"/>
          </w:divBdr>
        </w:div>
        <w:div w:id="1044407482">
          <w:marLeft w:val="1134"/>
          <w:marRight w:val="0"/>
          <w:marTop w:val="6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EDF6-D54B-4A88-BC5F-D3B075C7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6652</Words>
  <Characters>37922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2</cp:revision>
  <cp:lastPrinted>2023-08-25T06:10:00Z</cp:lastPrinted>
  <dcterms:created xsi:type="dcterms:W3CDTF">2023-08-30T12:15:00Z</dcterms:created>
  <dcterms:modified xsi:type="dcterms:W3CDTF">2023-08-30T12:15:00Z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