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39E49" w14:textId="77777777" w:rsidR="001072E5" w:rsidRPr="00331BED" w:rsidRDefault="001072E5" w:rsidP="001072E5">
      <w:pPr>
        <w:widowControl w:val="0"/>
        <w:spacing w:before="240" w:line="360" w:lineRule="auto"/>
        <w:jc w:val="center"/>
        <w:rPr>
          <w:rFonts w:cs="Arial"/>
          <w:b/>
          <w:noProof/>
          <w:szCs w:val="24"/>
          <w:lang w:val="en-GB" w:eastAsia="en-ZA"/>
        </w:rPr>
      </w:pPr>
      <w:r w:rsidRPr="00331BED">
        <w:rPr>
          <w:rFonts w:cs="Arial"/>
          <w:b/>
          <w:noProof/>
          <w:szCs w:val="24"/>
          <w:lang w:val="en-GB" w:eastAsia="en-ZA"/>
        </w:rPr>
        <w:t>REPUBLIC OF SOUTH AFRICA</w:t>
      </w:r>
    </w:p>
    <w:p w14:paraId="07AC225A" w14:textId="77777777" w:rsidR="001072E5" w:rsidRPr="00331BED" w:rsidRDefault="001072E5" w:rsidP="001072E5">
      <w:pPr>
        <w:widowControl w:val="0"/>
        <w:spacing w:before="240" w:line="360" w:lineRule="auto"/>
        <w:jc w:val="center"/>
        <w:rPr>
          <w:rFonts w:cs="Arial"/>
          <w:b/>
          <w:szCs w:val="24"/>
          <w:lang w:val="en-GB"/>
        </w:rPr>
      </w:pPr>
      <w:r w:rsidRPr="00331BED">
        <w:rPr>
          <w:rFonts w:cs="Arial"/>
          <w:b/>
          <w:noProof/>
          <w:szCs w:val="24"/>
          <w:lang w:eastAsia="en-ZA"/>
        </w:rPr>
        <w:drawing>
          <wp:inline distT="0" distB="0" distL="0" distR="0" wp14:anchorId="4377B501" wp14:editId="6267CA44">
            <wp:extent cx="1809750" cy="1809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UR LOGO.png"/>
                    <pic:cNvPicPr/>
                  </pic:nvPicPr>
                  <pic:blipFill>
                    <a:blip r:embed="rId7">
                      <a:extLst>
                        <a:ext uri="{28A0092B-C50C-407E-A947-70E740481C1C}">
                          <a14:useLocalDpi xmlns:a14="http://schemas.microsoft.com/office/drawing/2010/main" val="0"/>
                        </a:ext>
                      </a:extLst>
                    </a:blip>
                    <a:stretch>
                      <a:fillRect/>
                    </a:stretch>
                  </pic:blipFill>
                  <pic:spPr>
                    <a:xfrm>
                      <a:off x="0" y="0"/>
                      <a:ext cx="1809819" cy="1809819"/>
                    </a:xfrm>
                    <a:prstGeom prst="rect">
                      <a:avLst/>
                    </a:prstGeom>
                  </pic:spPr>
                </pic:pic>
              </a:graphicData>
            </a:graphic>
          </wp:inline>
        </w:drawing>
      </w:r>
    </w:p>
    <w:p w14:paraId="71AE8346" w14:textId="77777777" w:rsidR="001072E5" w:rsidRPr="00331BED" w:rsidRDefault="001072E5" w:rsidP="001072E5">
      <w:pPr>
        <w:widowControl w:val="0"/>
        <w:spacing w:before="240" w:line="360" w:lineRule="auto"/>
        <w:jc w:val="center"/>
        <w:rPr>
          <w:rFonts w:cs="Arial"/>
          <w:b/>
          <w:szCs w:val="24"/>
          <w:lang w:val="en-GB"/>
        </w:rPr>
      </w:pPr>
      <w:r w:rsidRPr="00331BED">
        <w:rPr>
          <w:rFonts w:cs="Arial"/>
          <w:b/>
          <w:szCs w:val="24"/>
          <w:lang w:val="en-GB"/>
        </w:rPr>
        <w:t>IN THE HIGH COURT OF SOUTH AFRICA</w:t>
      </w:r>
    </w:p>
    <w:p w14:paraId="4EEF178E" w14:textId="5189E706" w:rsidR="001072E5" w:rsidRPr="00331BED" w:rsidRDefault="001072E5" w:rsidP="001072E5">
      <w:pPr>
        <w:widowControl w:val="0"/>
        <w:spacing w:before="240" w:line="360" w:lineRule="auto"/>
        <w:jc w:val="center"/>
        <w:rPr>
          <w:rFonts w:cs="Arial"/>
          <w:szCs w:val="24"/>
          <w:lang w:val="en-GB"/>
        </w:rPr>
      </w:pPr>
      <w:r w:rsidRPr="00331BED">
        <w:rPr>
          <w:rFonts w:cs="Arial"/>
          <w:b/>
          <w:szCs w:val="24"/>
          <w:lang w:val="en-GB"/>
        </w:rPr>
        <w:t>GAUTENG DIVISION, JOHANNESBURG</w:t>
      </w:r>
    </w:p>
    <w:p w14:paraId="456777A1" w14:textId="74D24617" w:rsidR="001072E5" w:rsidRPr="00331BED" w:rsidRDefault="001072E5" w:rsidP="001072E5">
      <w:pPr>
        <w:widowControl w:val="0"/>
        <w:spacing w:before="240" w:line="360" w:lineRule="auto"/>
        <w:jc w:val="right"/>
        <w:rPr>
          <w:rFonts w:cs="Arial"/>
          <w:b/>
          <w:szCs w:val="24"/>
          <w:lang w:val="en-GB"/>
        </w:rPr>
      </w:pPr>
      <w:r w:rsidRPr="00331BED">
        <w:rPr>
          <w:rFonts w:cs="Arial"/>
          <w:b/>
          <w:szCs w:val="24"/>
          <w:lang w:val="en-GB"/>
        </w:rPr>
        <w:t xml:space="preserve">CASE </w:t>
      </w:r>
      <w:proofErr w:type="gramStart"/>
      <w:r w:rsidRPr="00331BED">
        <w:rPr>
          <w:rFonts w:cs="Arial"/>
          <w:b/>
          <w:szCs w:val="24"/>
          <w:lang w:val="en-GB"/>
        </w:rPr>
        <w:t>NUMBER :</w:t>
      </w:r>
      <w:proofErr w:type="gramEnd"/>
      <w:r w:rsidRPr="00331BED">
        <w:rPr>
          <w:rFonts w:cs="Arial"/>
          <w:b/>
          <w:szCs w:val="24"/>
          <w:lang w:val="en-GB"/>
        </w:rPr>
        <w:t xml:space="preserve"> </w:t>
      </w:r>
      <w:r w:rsidR="00207EFA" w:rsidRPr="00331BED">
        <w:rPr>
          <w:rFonts w:cs="Arial"/>
          <w:b/>
          <w:szCs w:val="24"/>
          <w:lang w:val="en-GB"/>
        </w:rPr>
        <w:t>2019</w:t>
      </w:r>
      <w:r w:rsidR="009611D5" w:rsidRPr="00331BED">
        <w:rPr>
          <w:rFonts w:cs="Arial"/>
          <w:b/>
          <w:szCs w:val="24"/>
          <w:lang w:val="en-GB"/>
        </w:rPr>
        <w:t>/</w:t>
      </w:r>
      <w:r w:rsidR="001576B8" w:rsidRPr="00331BED">
        <w:rPr>
          <w:rFonts w:cs="Arial"/>
          <w:b/>
          <w:szCs w:val="24"/>
          <w:lang w:val="en-GB"/>
        </w:rPr>
        <w:t>24664</w:t>
      </w:r>
      <w:r w:rsidRPr="00331BED">
        <w:rPr>
          <w:rFonts w:cs="Arial"/>
          <w:b/>
          <w:szCs w:val="24"/>
          <w:lang w:val="en-GB"/>
        </w:rPr>
        <w:t>                </w:t>
      </w:r>
    </w:p>
    <w:p w14:paraId="2D653B8C" w14:textId="77777777" w:rsidR="001072E5" w:rsidRPr="00331BED" w:rsidRDefault="001072E5" w:rsidP="001072E5">
      <w:pPr>
        <w:widowControl w:val="0"/>
        <w:spacing w:before="240" w:line="360" w:lineRule="auto"/>
        <w:jc w:val="right"/>
        <w:rPr>
          <w:rFonts w:cs="Arial"/>
          <w:b/>
          <w:szCs w:val="24"/>
          <w:lang w:val="en-GB"/>
        </w:rPr>
      </w:pPr>
      <w:r w:rsidRPr="00331BED">
        <w:rPr>
          <w:noProof/>
          <w:lang w:eastAsia="en-ZA"/>
        </w:rPr>
        <mc:AlternateContent>
          <mc:Choice Requires="wps">
            <w:drawing>
              <wp:anchor distT="45720" distB="45720" distL="114300" distR="114300" simplePos="0" relativeHeight="251659264" behindDoc="0" locked="0" layoutInCell="1" allowOverlap="1" wp14:anchorId="42C789EA" wp14:editId="7C02AF78">
                <wp:simplePos x="0" y="0"/>
                <wp:positionH relativeFrom="margin">
                  <wp:posOffset>28575</wp:posOffset>
                </wp:positionH>
                <wp:positionV relativeFrom="paragraph">
                  <wp:posOffset>123825</wp:posOffset>
                </wp:positionV>
                <wp:extent cx="3985260" cy="1404620"/>
                <wp:effectExtent l="0" t="0" r="1524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1404620"/>
                        </a:xfrm>
                        <a:prstGeom prst="rect">
                          <a:avLst/>
                        </a:prstGeom>
                        <a:solidFill>
                          <a:srgbClr val="FFFFFF"/>
                        </a:solidFill>
                        <a:ln w="9525">
                          <a:solidFill>
                            <a:schemeClr val="tx1"/>
                          </a:solidFill>
                          <a:miter lim="800000"/>
                          <a:headEnd/>
                          <a:tailEnd/>
                        </a:ln>
                      </wps:spPr>
                      <wps:txbx>
                        <w:txbxContent>
                          <w:p w14:paraId="0E128A27" w14:textId="77777777" w:rsidR="001072E5" w:rsidRPr="001D7D22" w:rsidRDefault="001072E5" w:rsidP="001072E5">
                            <w:pPr>
                              <w:tabs>
                                <w:tab w:val="left" w:pos="567"/>
                                <w:tab w:val="left" w:pos="4536"/>
                              </w:tabs>
                              <w:spacing w:before="120" w:line="240" w:lineRule="auto"/>
                              <w:rPr>
                                <w:sz w:val="20"/>
                              </w:rPr>
                            </w:pPr>
                            <w:r w:rsidRPr="001D7D22">
                              <w:rPr>
                                <w:sz w:val="20"/>
                              </w:rPr>
                              <w:t>DELETE WHICHEVER IS NOT APPLICABLE</w:t>
                            </w:r>
                          </w:p>
                          <w:p w14:paraId="784AC1DF" w14:textId="2FF58CEB" w:rsidR="001072E5" w:rsidRPr="00F8415D" w:rsidRDefault="00F8415D" w:rsidP="00F8415D">
                            <w:pPr>
                              <w:tabs>
                                <w:tab w:val="left" w:pos="567"/>
                                <w:tab w:val="left" w:pos="4536"/>
                              </w:tabs>
                              <w:spacing w:before="120" w:line="240" w:lineRule="auto"/>
                              <w:rPr>
                                <w:sz w:val="20"/>
                              </w:rPr>
                            </w:pPr>
                            <w:r w:rsidRPr="001D7D22">
                              <w:rPr>
                                <w:sz w:val="20"/>
                              </w:rPr>
                              <w:t>(1)</w:t>
                            </w:r>
                            <w:r w:rsidRPr="001D7D22">
                              <w:rPr>
                                <w:sz w:val="20"/>
                              </w:rPr>
                              <w:tab/>
                            </w:r>
                            <w:r w:rsidR="001072E5" w:rsidRPr="00F8415D">
                              <w:rPr>
                                <w:sz w:val="20"/>
                              </w:rPr>
                              <w:t>REPORTABLE</w:t>
                            </w:r>
                            <w:r w:rsidR="001072E5" w:rsidRPr="00F8415D">
                              <w:rPr>
                                <w:sz w:val="20"/>
                              </w:rPr>
                              <w:tab/>
                              <w:t>NO</w:t>
                            </w:r>
                          </w:p>
                          <w:p w14:paraId="66FC81B1" w14:textId="2B671452" w:rsidR="001072E5" w:rsidRPr="00F8415D" w:rsidRDefault="00F8415D" w:rsidP="00F8415D">
                            <w:pPr>
                              <w:tabs>
                                <w:tab w:val="left" w:pos="567"/>
                                <w:tab w:val="left" w:pos="4536"/>
                              </w:tabs>
                              <w:spacing w:before="120" w:line="240" w:lineRule="auto"/>
                              <w:rPr>
                                <w:sz w:val="20"/>
                              </w:rPr>
                            </w:pPr>
                            <w:r w:rsidRPr="001D7D22">
                              <w:rPr>
                                <w:sz w:val="20"/>
                              </w:rPr>
                              <w:t>(2)</w:t>
                            </w:r>
                            <w:r w:rsidRPr="001D7D22">
                              <w:rPr>
                                <w:sz w:val="20"/>
                              </w:rPr>
                              <w:tab/>
                            </w:r>
                            <w:r w:rsidR="001072E5" w:rsidRPr="00F8415D">
                              <w:rPr>
                                <w:sz w:val="20"/>
                              </w:rPr>
                              <w:t>OF INTEREST TO OTHER JUDGES</w:t>
                            </w:r>
                            <w:r w:rsidR="001072E5" w:rsidRPr="00F8415D">
                              <w:rPr>
                                <w:sz w:val="20"/>
                              </w:rPr>
                              <w:tab/>
                              <w:t>NO</w:t>
                            </w:r>
                          </w:p>
                          <w:p w14:paraId="000862E8" w14:textId="1D2171A8" w:rsidR="001072E5" w:rsidRPr="00F8415D" w:rsidRDefault="00F8415D" w:rsidP="00F8415D">
                            <w:pPr>
                              <w:tabs>
                                <w:tab w:val="left" w:pos="567"/>
                                <w:tab w:val="left" w:pos="4536"/>
                              </w:tabs>
                              <w:spacing w:before="120" w:line="240" w:lineRule="auto"/>
                              <w:rPr>
                                <w:sz w:val="20"/>
                              </w:rPr>
                            </w:pPr>
                            <w:r w:rsidRPr="001D7D22">
                              <w:rPr>
                                <w:sz w:val="20"/>
                              </w:rPr>
                              <w:t>(3)</w:t>
                            </w:r>
                            <w:r w:rsidRPr="001D7D22">
                              <w:rPr>
                                <w:sz w:val="20"/>
                              </w:rPr>
                              <w:tab/>
                            </w:r>
                            <w:r w:rsidR="001072E5" w:rsidRPr="00F8415D">
                              <w:rPr>
                                <w:sz w:val="20"/>
                              </w:rPr>
                              <w:t>REVISED</w:t>
                            </w:r>
                            <w:r w:rsidR="001072E5" w:rsidRPr="00F8415D">
                              <w:rPr>
                                <w:sz w:val="20"/>
                              </w:rPr>
                              <w:tab/>
                            </w:r>
                            <w:r w:rsidR="001072E5" w:rsidRPr="00F8415D">
                              <w:rPr>
                                <w:sz w:val="20"/>
                              </w:rPr>
                              <w:tab/>
                            </w:r>
                          </w:p>
                          <w:p w14:paraId="5CC71E91" w14:textId="77777777" w:rsidR="001072E5" w:rsidRPr="001D7D22" w:rsidRDefault="001072E5" w:rsidP="001072E5">
                            <w:pPr>
                              <w:pStyle w:val="ListParagraph"/>
                              <w:tabs>
                                <w:tab w:val="left" w:pos="567"/>
                                <w:tab w:val="left" w:pos="3969"/>
                              </w:tabs>
                              <w:spacing w:before="0" w:line="240" w:lineRule="auto"/>
                              <w:ind w:left="0"/>
                              <w:rPr>
                                <w:sz w:val="20"/>
                              </w:rPr>
                            </w:pPr>
                          </w:p>
                          <w:p w14:paraId="5DEC9B09" w14:textId="77777777" w:rsidR="001072E5" w:rsidRPr="001D7D22" w:rsidRDefault="001072E5" w:rsidP="001072E5">
                            <w:pPr>
                              <w:pStyle w:val="ListParagraph"/>
                              <w:tabs>
                                <w:tab w:val="left" w:pos="567"/>
                                <w:tab w:val="left" w:pos="3261"/>
                              </w:tabs>
                              <w:spacing w:before="0" w:line="240" w:lineRule="auto"/>
                              <w:ind w:left="0"/>
                              <w:rPr>
                                <w:sz w:val="20"/>
                              </w:rPr>
                            </w:pPr>
                            <w:r w:rsidRPr="001D7D22">
                              <w:rPr>
                                <w:sz w:val="20"/>
                              </w:rPr>
                              <w:t>______________________</w:t>
                            </w:r>
                            <w:r w:rsidRPr="001D7D22">
                              <w:rPr>
                                <w:sz w:val="20"/>
                              </w:rPr>
                              <w:tab/>
                              <w:t>_______________________</w:t>
                            </w:r>
                          </w:p>
                          <w:p w14:paraId="59048122" w14:textId="77777777" w:rsidR="001072E5" w:rsidRPr="001D7D22" w:rsidRDefault="001072E5" w:rsidP="001072E5">
                            <w:pPr>
                              <w:pStyle w:val="ListParagraph"/>
                              <w:tabs>
                                <w:tab w:val="left" w:pos="567"/>
                                <w:tab w:val="left" w:pos="3261"/>
                              </w:tabs>
                              <w:spacing w:before="0" w:line="240" w:lineRule="auto"/>
                              <w:ind w:left="0"/>
                              <w:rPr>
                                <w:sz w:val="20"/>
                              </w:rPr>
                            </w:pPr>
                            <w:r w:rsidRPr="001D7D22">
                              <w:rPr>
                                <w:sz w:val="20"/>
                              </w:rPr>
                              <w:t>            DATE</w:t>
                            </w:r>
                            <w:r w:rsidRPr="001D7D22">
                              <w:rPr>
                                <w:sz w:val="20"/>
                              </w:rPr>
                              <w:tab/>
                              <w:t>           SIGNATURE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C789EA" id="_x0000_t202" coordsize="21600,21600" o:spt="202" path="m,l,21600r21600,l21600,xe">
                <v:stroke joinstyle="miter"/>
                <v:path gradientshapeok="t" o:connecttype="rect"/>
              </v:shapetype>
              <v:shape id="Text Box 2" o:spid="_x0000_s1026" type="#_x0000_t202" style="position:absolute;left:0;text-align:left;margin-left:2.25pt;margin-top:9.75pt;width:313.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" strokecolor="black [3213]">
                <v:textbox style="mso-fit-shape-to-text:t">
                  <w:txbxContent>
                    <w:p w14:paraId="0E128A27" w14:textId="77777777" w:rsidR="001072E5" w:rsidRPr="001D7D22" w:rsidRDefault="001072E5" w:rsidP="001072E5">
                      <w:pPr>
                        <w:tabs>
                          <w:tab w:val="left" w:pos="567"/>
                          <w:tab w:val="left" w:pos="4536"/>
                        </w:tabs>
                        <w:spacing w:before="120" w:line="240" w:lineRule="auto"/>
                        <w:rPr>
                          <w:sz w:val="20"/>
                        </w:rPr>
                      </w:pPr>
                      <w:r w:rsidRPr="001D7D22">
                        <w:rPr>
                          <w:sz w:val="20"/>
                        </w:rPr>
                        <w:t>DELETE WHICHEVER IS NOT APPLICABLE</w:t>
                      </w:r>
                    </w:p>
                    <w:p w14:paraId="784AC1DF" w14:textId="2FF58CEB" w:rsidR="001072E5" w:rsidRPr="00F8415D" w:rsidRDefault="00F8415D" w:rsidP="00F8415D">
                      <w:pPr>
                        <w:tabs>
                          <w:tab w:val="left" w:pos="567"/>
                          <w:tab w:val="left" w:pos="4536"/>
                        </w:tabs>
                        <w:spacing w:before="120" w:line="240" w:lineRule="auto"/>
                        <w:rPr>
                          <w:sz w:val="20"/>
                        </w:rPr>
                      </w:pPr>
                      <w:r w:rsidRPr="001D7D22">
                        <w:rPr>
                          <w:sz w:val="20"/>
                        </w:rPr>
                        <w:t>(1)</w:t>
                      </w:r>
                      <w:r w:rsidRPr="001D7D22">
                        <w:rPr>
                          <w:sz w:val="20"/>
                        </w:rPr>
                        <w:tab/>
                      </w:r>
                      <w:r w:rsidR="001072E5" w:rsidRPr="00F8415D">
                        <w:rPr>
                          <w:sz w:val="20"/>
                        </w:rPr>
                        <w:t>REPORTABLE</w:t>
                      </w:r>
                      <w:r w:rsidR="001072E5" w:rsidRPr="00F8415D">
                        <w:rPr>
                          <w:sz w:val="20"/>
                        </w:rPr>
                        <w:tab/>
                        <w:t>NO</w:t>
                      </w:r>
                    </w:p>
                    <w:p w14:paraId="66FC81B1" w14:textId="2B671452" w:rsidR="001072E5" w:rsidRPr="00F8415D" w:rsidRDefault="00F8415D" w:rsidP="00F8415D">
                      <w:pPr>
                        <w:tabs>
                          <w:tab w:val="left" w:pos="567"/>
                          <w:tab w:val="left" w:pos="4536"/>
                        </w:tabs>
                        <w:spacing w:before="120" w:line="240" w:lineRule="auto"/>
                        <w:rPr>
                          <w:sz w:val="20"/>
                        </w:rPr>
                      </w:pPr>
                      <w:r w:rsidRPr="001D7D22">
                        <w:rPr>
                          <w:sz w:val="20"/>
                        </w:rPr>
                        <w:t>(2)</w:t>
                      </w:r>
                      <w:r w:rsidRPr="001D7D22">
                        <w:rPr>
                          <w:sz w:val="20"/>
                        </w:rPr>
                        <w:tab/>
                      </w:r>
                      <w:r w:rsidR="001072E5" w:rsidRPr="00F8415D">
                        <w:rPr>
                          <w:sz w:val="20"/>
                        </w:rPr>
                        <w:t>OF INTEREST TO OTHER JUDGES</w:t>
                      </w:r>
                      <w:r w:rsidR="001072E5" w:rsidRPr="00F8415D">
                        <w:rPr>
                          <w:sz w:val="20"/>
                        </w:rPr>
                        <w:tab/>
                        <w:t>NO</w:t>
                      </w:r>
                    </w:p>
                    <w:p w14:paraId="000862E8" w14:textId="1D2171A8" w:rsidR="001072E5" w:rsidRPr="00F8415D" w:rsidRDefault="00F8415D" w:rsidP="00F8415D">
                      <w:pPr>
                        <w:tabs>
                          <w:tab w:val="left" w:pos="567"/>
                          <w:tab w:val="left" w:pos="4536"/>
                        </w:tabs>
                        <w:spacing w:before="120" w:line="240" w:lineRule="auto"/>
                        <w:rPr>
                          <w:sz w:val="20"/>
                        </w:rPr>
                      </w:pPr>
                      <w:r w:rsidRPr="001D7D22">
                        <w:rPr>
                          <w:sz w:val="20"/>
                        </w:rPr>
                        <w:t>(3)</w:t>
                      </w:r>
                      <w:r w:rsidRPr="001D7D22">
                        <w:rPr>
                          <w:sz w:val="20"/>
                        </w:rPr>
                        <w:tab/>
                      </w:r>
                      <w:r w:rsidR="001072E5" w:rsidRPr="00F8415D">
                        <w:rPr>
                          <w:sz w:val="20"/>
                        </w:rPr>
                        <w:t>REVISED</w:t>
                      </w:r>
                      <w:r w:rsidR="001072E5" w:rsidRPr="00F8415D">
                        <w:rPr>
                          <w:sz w:val="20"/>
                        </w:rPr>
                        <w:tab/>
                      </w:r>
                      <w:r w:rsidR="001072E5" w:rsidRPr="00F8415D">
                        <w:rPr>
                          <w:sz w:val="20"/>
                        </w:rPr>
                        <w:tab/>
                      </w:r>
                    </w:p>
                    <w:p w14:paraId="5CC71E91" w14:textId="77777777" w:rsidR="001072E5" w:rsidRPr="001D7D22" w:rsidRDefault="001072E5" w:rsidP="001072E5">
                      <w:pPr>
                        <w:pStyle w:val="ListParagraph"/>
                        <w:tabs>
                          <w:tab w:val="left" w:pos="567"/>
                          <w:tab w:val="left" w:pos="3969"/>
                        </w:tabs>
                        <w:spacing w:before="0" w:line="240" w:lineRule="auto"/>
                        <w:ind w:left="0"/>
                        <w:rPr>
                          <w:sz w:val="20"/>
                        </w:rPr>
                      </w:pPr>
                    </w:p>
                    <w:p w14:paraId="5DEC9B09" w14:textId="77777777" w:rsidR="001072E5" w:rsidRPr="001D7D22" w:rsidRDefault="001072E5" w:rsidP="001072E5">
                      <w:pPr>
                        <w:pStyle w:val="ListParagraph"/>
                        <w:tabs>
                          <w:tab w:val="left" w:pos="567"/>
                          <w:tab w:val="left" w:pos="3261"/>
                        </w:tabs>
                        <w:spacing w:before="0" w:line="240" w:lineRule="auto"/>
                        <w:ind w:left="0"/>
                        <w:rPr>
                          <w:sz w:val="20"/>
                        </w:rPr>
                      </w:pPr>
                      <w:r w:rsidRPr="001D7D22">
                        <w:rPr>
                          <w:sz w:val="20"/>
                        </w:rPr>
                        <w:t>______________________</w:t>
                      </w:r>
                      <w:r w:rsidRPr="001D7D22">
                        <w:rPr>
                          <w:sz w:val="20"/>
                        </w:rPr>
                        <w:tab/>
                        <w:t>_______________________</w:t>
                      </w:r>
                    </w:p>
                    <w:p w14:paraId="59048122" w14:textId="77777777" w:rsidR="001072E5" w:rsidRPr="001D7D22" w:rsidRDefault="001072E5" w:rsidP="001072E5">
                      <w:pPr>
                        <w:pStyle w:val="ListParagraph"/>
                        <w:tabs>
                          <w:tab w:val="left" w:pos="567"/>
                          <w:tab w:val="left" w:pos="3261"/>
                        </w:tabs>
                        <w:spacing w:before="0" w:line="240" w:lineRule="auto"/>
                        <w:ind w:left="0"/>
                        <w:rPr>
                          <w:sz w:val="20"/>
                        </w:rPr>
                      </w:pPr>
                      <w:r w:rsidRPr="001D7D22">
                        <w:rPr>
                          <w:sz w:val="20"/>
                        </w:rPr>
                        <w:t>            DATE</w:t>
                      </w:r>
                      <w:r w:rsidRPr="001D7D22">
                        <w:rPr>
                          <w:sz w:val="20"/>
                        </w:rPr>
                        <w:tab/>
                        <w:t>           SIGNATURE</w:t>
                      </w:r>
                    </w:p>
                  </w:txbxContent>
                </v:textbox>
                <w10:wrap type="square" anchorx="margin"/>
              </v:shape>
            </w:pict>
          </mc:Fallback>
        </mc:AlternateContent>
      </w:r>
    </w:p>
    <w:p w14:paraId="1FAA3E75" w14:textId="77777777" w:rsidR="001072E5" w:rsidRPr="00331BED" w:rsidRDefault="001072E5" w:rsidP="001072E5">
      <w:pPr>
        <w:widowControl w:val="0"/>
        <w:spacing w:before="240" w:line="360" w:lineRule="auto"/>
        <w:jc w:val="right"/>
        <w:rPr>
          <w:rFonts w:cs="Arial"/>
          <w:b/>
          <w:szCs w:val="24"/>
          <w:lang w:val="en-GB"/>
        </w:rPr>
      </w:pPr>
    </w:p>
    <w:p w14:paraId="612AC4C0" w14:textId="77777777" w:rsidR="001072E5" w:rsidRPr="00331BED" w:rsidRDefault="001072E5" w:rsidP="001072E5">
      <w:pPr>
        <w:widowControl w:val="0"/>
        <w:spacing w:before="240" w:line="360" w:lineRule="auto"/>
        <w:jc w:val="right"/>
        <w:rPr>
          <w:rFonts w:cs="Arial"/>
          <w:b/>
          <w:szCs w:val="24"/>
          <w:lang w:val="en-GB"/>
        </w:rPr>
      </w:pPr>
    </w:p>
    <w:p w14:paraId="40CAE712" w14:textId="77777777" w:rsidR="001072E5" w:rsidRPr="00331BED" w:rsidRDefault="001072E5" w:rsidP="001072E5">
      <w:pPr>
        <w:widowControl w:val="0"/>
        <w:spacing w:before="240" w:line="360" w:lineRule="auto"/>
        <w:jc w:val="right"/>
        <w:rPr>
          <w:rFonts w:cs="Arial"/>
          <w:b/>
          <w:szCs w:val="24"/>
          <w:lang w:val="en-GB"/>
        </w:rPr>
      </w:pPr>
    </w:p>
    <w:p w14:paraId="58D111AE" w14:textId="2B33F07F" w:rsidR="008C1D67" w:rsidRPr="00331BED" w:rsidRDefault="007A4DF9" w:rsidP="008C1D67">
      <w:pPr>
        <w:widowControl w:val="0"/>
        <w:rPr>
          <w:b/>
          <w:bCs/>
          <w:lang w:val="en-GB"/>
        </w:rPr>
      </w:pPr>
      <w:r w:rsidRPr="00331BED">
        <w:rPr>
          <w:b/>
          <w:bCs/>
          <w:lang w:val="en-GB"/>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37"/>
      </w:tblGrid>
      <w:tr w:rsidR="00331BED" w:rsidRPr="00331BED" w14:paraId="2DEE111B" w14:textId="77777777" w:rsidTr="001576B8">
        <w:tc>
          <w:tcPr>
            <w:tcW w:w="6379" w:type="dxa"/>
          </w:tcPr>
          <w:p w14:paraId="771DAF9F" w14:textId="65DCE322" w:rsidR="009E40E9" w:rsidRPr="00331BED" w:rsidRDefault="001576B8" w:rsidP="001576B8">
            <w:pPr>
              <w:widowControl w:val="0"/>
              <w:tabs>
                <w:tab w:val="right" w:pos="8931"/>
              </w:tabs>
              <w:spacing w:before="0" w:line="240" w:lineRule="auto"/>
              <w:jc w:val="left"/>
              <w:rPr>
                <w:b/>
                <w:bCs/>
                <w:lang w:val="en-GB"/>
              </w:rPr>
            </w:pPr>
            <w:r w:rsidRPr="00331BED">
              <w:rPr>
                <w:b/>
                <w:bCs/>
                <w:lang w:val="en-GB"/>
              </w:rPr>
              <w:t xml:space="preserve">MALAKITE BODY CORPORATE </w:t>
            </w:r>
          </w:p>
        </w:tc>
        <w:tc>
          <w:tcPr>
            <w:tcW w:w="2637" w:type="dxa"/>
          </w:tcPr>
          <w:p w14:paraId="770C4CDF" w14:textId="4D2D8063" w:rsidR="009E40E9" w:rsidRPr="00331BED" w:rsidRDefault="00AC5532" w:rsidP="009B7154">
            <w:pPr>
              <w:widowControl w:val="0"/>
              <w:tabs>
                <w:tab w:val="right" w:pos="8931"/>
              </w:tabs>
              <w:spacing w:before="0" w:line="240" w:lineRule="auto"/>
              <w:jc w:val="right"/>
              <w:rPr>
                <w:b/>
                <w:bCs/>
                <w:lang w:val="en-GB"/>
              </w:rPr>
            </w:pPr>
            <w:r w:rsidRPr="00331BED">
              <w:rPr>
                <w:b/>
                <w:bCs/>
                <w:lang w:val="en-GB"/>
              </w:rPr>
              <w:t>1</w:t>
            </w:r>
            <w:r w:rsidRPr="00331BED">
              <w:rPr>
                <w:b/>
                <w:bCs/>
                <w:vertAlign w:val="superscript"/>
                <w:lang w:val="en-GB"/>
              </w:rPr>
              <w:t>st</w:t>
            </w:r>
            <w:r w:rsidRPr="00331BED">
              <w:rPr>
                <w:b/>
                <w:bCs/>
                <w:lang w:val="en-GB"/>
              </w:rPr>
              <w:t xml:space="preserve"> Applicant</w:t>
            </w:r>
          </w:p>
        </w:tc>
      </w:tr>
      <w:tr w:rsidR="00331BED" w:rsidRPr="00331BED" w14:paraId="4392EDB4" w14:textId="77777777" w:rsidTr="001576B8">
        <w:tc>
          <w:tcPr>
            <w:tcW w:w="6379" w:type="dxa"/>
          </w:tcPr>
          <w:p w14:paraId="21B86EA6" w14:textId="77777777" w:rsidR="00354EC0" w:rsidRPr="00331BED" w:rsidRDefault="00354EC0" w:rsidP="001576B8">
            <w:pPr>
              <w:widowControl w:val="0"/>
              <w:tabs>
                <w:tab w:val="right" w:pos="8931"/>
              </w:tabs>
              <w:spacing w:before="0" w:line="240" w:lineRule="auto"/>
              <w:jc w:val="left"/>
              <w:rPr>
                <w:b/>
                <w:bCs/>
                <w:lang w:val="en-GB"/>
              </w:rPr>
            </w:pPr>
          </w:p>
        </w:tc>
        <w:tc>
          <w:tcPr>
            <w:tcW w:w="2637" w:type="dxa"/>
          </w:tcPr>
          <w:p w14:paraId="3B799D43" w14:textId="77777777" w:rsidR="00354EC0" w:rsidRPr="00331BED" w:rsidRDefault="00354EC0" w:rsidP="009B7154">
            <w:pPr>
              <w:widowControl w:val="0"/>
              <w:tabs>
                <w:tab w:val="right" w:pos="8931"/>
              </w:tabs>
              <w:spacing w:before="0" w:line="240" w:lineRule="auto"/>
              <w:jc w:val="right"/>
              <w:rPr>
                <w:b/>
                <w:bCs/>
                <w:lang w:val="en-GB"/>
              </w:rPr>
            </w:pPr>
          </w:p>
        </w:tc>
      </w:tr>
      <w:tr w:rsidR="00331BED" w:rsidRPr="00331BED" w14:paraId="6F8B4AA1" w14:textId="77777777" w:rsidTr="001576B8">
        <w:tc>
          <w:tcPr>
            <w:tcW w:w="6379" w:type="dxa"/>
          </w:tcPr>
          <w:p w14:paraId="1E586255" w14:textId="77CBF370" w:rsidR="002312D8" w:rsidRPr="00331BED" w:rsidRDefault="005F4B0F" w:rsidP="001576B8">
            <w:pPr>
              <w:widowControl w:val="0"/>
              <w:tabs>
                <w:tab w:val="right" w:pos="8931"/>
              </w:tabs>
              <w:spacing w:before="0" w:line="240" w:lineRule="auto"/>
              <w:jc w:val="left"/>
              <w:rPr>
                <w:b/>
                <w:bCs/>
                <w:lang w:val="en-GB"/>
              </w:rPr>
            </w:pPr>
            <w:r w:rsidRPr="00331BED">
              <w:rPr>
                <w:b/>
                <w:bCs/>
                <w:lang w:val="en-GB"/>
              </w:rPr>
              <w:t>GREENSTONE CREST BODY CORPORATE</w:t>
            </w:r>
          </w:p>
        </w:tc>
        <w:tc>
          <w:tcPr>
            <w:tcW w:w="2637" w:type="dxa"/>
          </w:tcPr>
          <w:p w14:paraId="3FC123E8" w14:textId="452620B5" w:rsidR="002312D8" w:rsidRPr="00331BED" w:rsidRDefault="002312D8" w:rsidP="009B7154">
            <w:pPr>
              <w:widowControl w:val="0"/>
              <w:tabs>
                <w:tab w:val="right" w:pos="8931"/>
              </w:tabs>
              <w:spacing w:before="0" w:line="240" w:lineRule="auto"/>
              <w:jc w:val="right"/>
              <w:rPr>
                <w:b/>
                <w:bCs/>
                <w:lang w:val="en-GB"/>
              </w:rPr>
            </w:pPr>
            <w:r w:rsidRPr="00331BED">
              <w:rPr>
                <w:b/>
                <w:bCs/>
                <w:lang w:val="en-GB"/>
              </w:rPr>
              <w:t>2</w:t>
            </w:r>
            <w:r w:rsidRPr="00331BED">
              <w:rPr>
                <w:b/>
                <w:bCs/>
                <w:vertAlign w:val="superscript"/>
                <w:lang w:val="en-GB"/>
              </w:rPr>
              <w:t>nd</w:t>
            </w:r>
            <w:r w:rsidRPr="00331BED">
              <w:rPr>
                <w:b/>
                <w:bCs/>
                <w:lang w:val="en-GB"/>
              </w:rPr>
              <w:t xml:space="preserve"> </w:t>
            </w:r>
            <w:r w:rsidR="00354EC0" w:rsidRPr="00331BED">
              <w:rPr>
                <w:b/>
                <w:bCs/>
                <w:lang w:val="en-GB"/>
              </w:rPr>
              <w:t>Applicant</w:t>
            </w:r>
          </w:p>
        </w:tc>
      </w:tr>
      <w:tr w:rsidR="00331BED" w:rsidRPr="00331BED" w14:paraId="3535FDC6" w14:textId="77777777" w:rsidTr="001576B8">
        <w:tc>
          <w:tcPr>
            <w:tcW w:w="6379" w:type="dxa"/>
          </w:tcPr>
          <w:p w14:paraId="69613967" w14:textId="77777777" w:rsidR="00354EC0" w:rsidRPr="00331BED" w:rsidRDefault="00354EC0" w:rsidP="001576B8">
            <w:pPr>
              <w:widowControl w:val="0"/>
              <w:tabs>
                <w:tab w:val="right" w:pos="8931"/>
              </w:tabs>
              <w:spacing w:before="0" w:line="240" w:lineRule="auto"/>
              <w:jc w:val="left"/>
              <w:rPr>
                <w:b/>
                <w:bCs/>
                <w:lang w:val="en-GB"/>
              </w:rPr>
            </w:pPr>
          </w:p>
        </w:tc>
        <w:tc>
          <w:tcPr>
            <w:tcW w:w="2637" w:type="dxa"/>
          </w:tcPr>
          <w:p w14:paraId="51E40F91" w14:textId="77777777" w:rsidR="00354EC0" w:rsidRPr="00331BED" w:rsidRDefault="00354EC0" w:rsidP="009B7154">
            <w:pPr>
              <w:widowControl w:val="0"/>
              <w:tabs>
                <w:tab w:val="right" w:pos="8931"/>
              </w:tabs>
              <w:spacing w:before="0" w:line="240" w:lineRule="auto"/>
              <w:jc w:val="right"/>
              <w:rPr>
                <w:b/>
                <w:bCs/>
                <w:lang w:val="en-GB"/>
              </w:rPr>
            </w:pPr>
          </w:p>
        </w:tc>
      </w:tr>
      <w:tr w:rsidR="00331BED" w:rsidRPr="00331BED" w14:paraId="4C551D9B" w14:textId="77777777" w:rsidTr="001576B8">
        <w:tc>
          <w:tcPr>
            <w:tcW w:w="6379" w:type="dxa"/>
          </w:tcPr>
          <w:p w14:paraId="6FCBA441" w14:textId="6B6B6E1C" w:rsidR="009E40E9" w:rsidRPr="00331BED" w:rsidRDefault="00B215FC" w:rsidP="001576B8">
            <w:pPr>
              <w:widowControl w:val="0"/>
              <w:tabs>
                <w:tab w:val="right" w:pos="8931"/>
              </w:tabs>
              <w:spacing w:before="0" w:line="240" w:lineRule="auto"/>
              <w:jc w:val="left"/>
              <w:rPr>
                <w:b/>
                <w:bCs/>
                <w:lang w:val="en-GB"/>
              </w:rPr>
            </w:pPr>
            <w:r w:rsidRPr="00331BED">
              <w:rPr>
                <w:b/>
                <w:bCs/>
                <w:lang w:val="en-GB"/>
              </w:rPr>
              <w:t>a</w:t>
            </w:r>
            <w:r w:rsidR="009E40E9" w:rsidRPr="00331BED">
              <w:rPr>
                <w:b/>
                <w:bCs/>
                <w:lang w:val="en-GB"/>
              </w:rPr>
              <w:t>nd</w:t>
            </w:r>
          </w:p>
        </w:tc>
        <w:tc>
          <w:tcPr>
            <w:tcW w:w="2637" w:type="dxa"/>
          </w:tcPr>
          <w:p w14:paraId="72694A52" w14:textId="77777777" w:rsidR="009E40E9" w:rsidRPr="00331BED" w:rsidRDefault="009E40E9" w:rsidP="009B7154">
            <w:pPr>
              <w:widowControl w:val="0"/>
              <w:tabs>
                <w:tab w:val="right" w:pos="8931"/>
              </w:tabs>
              <w:spacing w:before="0" w:line="240" w:lineRule="auto"/>
              <w:jc w:val="right"/>
              <w:rPr>
                <w:b/>
                <w:bCs/>
                <w:lang w:val="en-GB"/>
              </w:rPr>
            </w:pPr>
          </w:p>
        </w:tc>
      </w:tr>
      <w:tr w:rsidR="00331BED" w:rsidRPr="00331BED" w14:paraId="3C4E5E92" w14:textId="77777777" w:rsidTr="001576B8">
        <w:tc>
          <w:tcPr>
            <w:tcW w:w="6379" w:type="dxa"/>
          </w:tcPr>
          <w:p w14:paraId="19695B0D" w14:textId="77777777" w:rsidR="009E40E9" w:rsidRPr="00331BED" w:rsidRDefault="009E40E9" w:rsidP="001576B8">
            <w:pPr>
              <w:widowControl w:val="0"/>
              <w:tabs>
                <w:tab w:val="right" w:pos="8931"/>
              </w:tabs>
              <w:spacing w:before="0" w:line="240" w:lineRule="auto"/>
              <w:jc w:val="left"/>
              <w:rPr>
                <w:b/>
                <w:bCs/>
                <w:lang w:val="en-GB"/>
              </w:rPr>
            </w:pPr>
          </w:p>
        </w:tc>
        <w:tc>
          <w:tcPr>
            <w:tcW w:w="2637" w:type="dxa"/>
          </w:tcPr>
          <w:p w14:paraId="79D6B0ED" w14:textId="77777777" w:rsidR="009E40E9" w:rsidRPr="00331BED" w:rsidRDefault="009E40E9" w:rsidP="009B7154">
            <w:pPr>
              <w:widowControl w:val="0"/>
              <w:tabs>
                <w:tab w:val="right" w:pos="8931"/>
              </w:tabs>
              <w:spacing w:before="0" w:line="240" w:lineRule="auto"/>
              <w:jc w:val="right"/>
              <w:rPr>
                <w:b/>
                <w:bCs/>
                <w:lang w:val="en-GB"/>
              </w:rPr>
            </w:pPr>
          </w:p>
        </w:tc>
      </w:tr>
      <w:tr w:rsidR="00331BED" w:rsidRPr="00331BED" w14:paraId="6D6E23D6" w14:textId="77777777" w:rsidTr="001576B8">
        <w:tc>
          <w:tcPr>
            <w:tcW w:w="6379" w:type="dxa"/>
          </w:tcPr>
          <w:p w14:paraId="58211523" w14:textId="1A4C835F" w:rsidR="00B215FC" w:rsidRPr="00331BED" w:rsidRDefault="005F4B0F" w:rsidP="001576B8">
            <w:pPr>
              <w:widowControl w:val="0"/>
              <w:tabs>
                <w:tab w:val="right" w:pos="8931"/>
              </w:tabs>
              <w:spacing w:before="0" w:line="240" w:lineRule="auto"/>
              <w:jc w:val="left"/>
              <w:rPr>
                <w:b/>
                <w:bCs/>
                <w:lang w:val="en-GB"/>
              </w:rPr>
            </w:pPr>
            <w:r w:rsidRPr="00331BED">
              <w:rPr>
                <w:b/>
                <w:bCs/>
                <w:lang w:val="en-GB"/>
              </w:rPr>
              <w:t>CITY OF JOHANNESBURG METROPOLITAN MUNICIPALITY</w:t>
            </w:r>
          </w:p>
        </w:tc>
        <w:tc>
          <w:tcPr>
            <w:tcW w:w="2637" w:type="dxa"/>
          </w:tcPr>
          <w:p w14:paraId="0834D222" w14:textId="2A725DAB" w:rsidR="00B215FC" w:rsidRPr="00331BED" w:rsidRDefault="009B7154" w:rsidP="009B7154">
            <w:pPr>
              <w:widowControl w:val="0"/>
              <w:tabs>
                <w:tab w:val="right" w:pos="8931"/>
              </w:tabs>
              <w:spacing w:before="0" w:line="240" w:lineRule="auto"/>
              <w:jc w:val="right"/>
              <w:rPr>
                <w:b/>
                <w:bCs/>
                <w:lang w:val="en-GB"/>
              </w:rPr>
            </w:pPr>
            <w:r w:rsidRPr="00331BED">
              <w:rPr>
                <w:b/>
                <w:bCs/>
                <w:lang w:val="en-GB"/>
              </w:rPr>
              <w:t>1</w:t>
            </w:r>
            <w:r w:rsidRPr="00331BED">
              <w:rPr>
                <w:b/>
                <w:bCs/>
                <w:vertAlign w:val="superscript"/>
                <w:lang w:val="en-GB"/>
              </w:rPr>
              <w:t>st</w:t>
            </w:r>
            <w:r w:rsidRPr="00331BED">
              <w:rPr>
                <w:b/>
                <w:bCs/>
                <w:lang w:val="en-GB"/>
              </w:rPr>
              <w:t xml:space="preserve"> Respondent</w:t>
            </w:r>
          </w:p>
        </w:tc>
      </w:tr>
      <w:tr w:rsidR="00331BED" w:rsidRPr="00331BED" w14:paraId="75FA29EE" w14:textId="77777777" w:rsidTr="001576B8">
        <w:tc>
          <w:tcPr>
            <w:tcW w:w="6379" w:type="dxa"/>
          </w:tcPr>
          <w:p w14:paraId="38253F18" w14:textId="77777777" w:rsidR="002312D8" w:rsidRPr="00331BED" w:rsidRDefault="002312D8" w:rsidP="001576B8">
            <w:pPr>
              <w:widowControl w:val="0"/>
              <w:tabs>
                <w:tab w:val="right" w:pos="8931"/>
              </w:tabs>
              <w:spacing w:before="0" w:line="240" w:lineRule="auto"/>
              <w:jc w:val="left"/>
              <w:rPr>
                <w:b/>
                <w:bCs/>
                <w:lang w:val="en-GB"/>
              </w:rPr>
            </w:pPr>
          </w:p>
        </w:tc>
        <w:tc>
          <w:tcPr>
            <w:tcW w:w="2637" w:type="dxa"/>
          </w:tcPr>
          <w:p w14:paraId="07F2502B" w14:textId="77777777" w:rsidR="002312D8" w:rsidRPr="00331BED" w:rsidRDefault="002312D8" w:rsidP="009B7154">
            <w:pPr>
              <w:widowControl w:val="0"/>
              <w:tabs>
                <w:tab w:val="right" w:pos="8931"/>
              </w:tabs>
              <w:spacing w:before="0" w:line="240" w:lineRule="auto"/>
              <w:jc w:val="right"/>
              <w:rPr>
                <w:b/>
                <w:bCs/>
                <w:lang w:val="en-GB"/>
              </w:rPr>
            </w:pPr>
          </w:p>
        </w:tc>
      </w:tr>
      <w:tr w:rsidR="002312D8" w:rsidRPr="00331BED" w14:paraId="24C2D84B" w14:textId="77777777" w:rsidTr="001576B8">
        <w:tc>
          <w:tcPr>
            <w:tcW w:w="6379" w:type="dxa"/>
          </w:tcPr>
          <w:p w14:paraId="21BEFEC0" w14:textId="737589A1" w:rsidR="002312D8" w:rsidRPr="00331BED" w:rsidRDefault="005F4B0F" w:rsidP="001576B8">
            <w:pPr>
              <w:widowControl w:val="0"/>
              <w:tabs>
                <w:tab w:val="right" w:pos="8931"/>
              </w:tabs>
              <w:spacing w:before="0" w:line="240" w:lineRule="auto"/>
              <w:jc w:val="left"/>
              <w:rPr>
                <w:b/>
                <w:bCs/>
                <w:lang w:val="en-GB"/>
              </w:rPr>
            </w:pPr>
            <w:r w:rsidRPr="00331BED">
              <w:rPr>
                <w:b/>
                <w:bCs/>
                <w:lang w:val="en-GB"/>
              </w:rPr>
              <w:t>CITY POWER JOHANNESBURG SOC LTD</w:t>
            </w:r>
          </w:p>
        </w:tc>
        <w:tc>
          <w:tcPr>
            <w:tcW w:w="2637" w:type="dxa"/>
          </w:tcPr>
          <w:p w14:paraId="373FC705" w14:textId="6F58EEF5" w:rsidR="002312D8" w:rsidRPr="00331BED" w:rsidRDefault="00354EC0" w:rsidP="009B7154">
            <w:pPr>
              <w:widowControl w:val="0"/>
              <w:tabs>
                <w:tab w:val="right" w:pos="8931"/>
              </w:tabs>
              <w:spacing w:before="0" w:line="240" w:lineRule="auto"/>
              <w:jc w:val="right"/>
              <w:rPr>
                <w:b/>
                <w:bCs/>
                <w:lang w:val="en-GB"/>
              </w:rPr>
            </w:pPr>
            <w:r w:rsidRPr="00331BED">
              <w:rPr>
                <w:b/>
                <w:bCs/>
                <w:lang w:val="en-GB"/>
              </w:rPr>
              <w:t>2</w:t>
            </w:r>
            <w:r w:rsidRPr="00331BED">
              <w:rPr>
                <w:b/>
                <w:bCs/>
                <w:vertAlign w:val="superscript"/>
                <w:lang w:val="en-GB"/>
              </w:rPr>
              <w:t>nd</w:t>
            </w:r>
            <w:r w:rsidRPr="00331BED">
              <w:rPr>
                <w:b/>
                <w:bCs/>
                <w:lang w:val="en-GB"/>
              </w:rPr>
              <w:t xml:space="preserve"> Respondent</w:t>
            </w:r>
          </w:p>
        </w:tc>
      </w:tr>
    </w:tbl>
    <w:p w14:paraId="19A730C2" w14:textId="77777777" w:rsidR="00AF78AA" w:rsidRPr="00331BED" w:rsidRDefault="00AF78AA" w:rsidP="001354B3">
      <w:pPr>
        <w:spacing w:before="0" w:line="240" w:lineRule="auto"/>
        <w:rPr>
          <w:b/>
          <w:lang w:val="en-GB"/>
        </w:rPr>
      </w:pPr>
    </w:p>
    <w:p w14:paraId="4324585B" w14:textId="16B35A47" w:rsidR="007A4DF9" w:rsidRPr="00331BED" w:rsidRDefault="007A4DF9" w:rsidP="001354B3">
      <w:pPr>
        <w:spacing w:before="0" w:line="240" w:lineRule="auto"/>
        <w:rPr>
          <w:b/>
          <w:lang w:val="en-GB"/>
        </w:rPr>
      </w:pPr>
      <w:r w:rsidRPr="00331BED">
        <w:rPr>
          <w:b/>
          <w:lang w:val="en-GB"/>
        </w:rPr>
        <w:t>__________________________________</w:t>
      </w:r>
      <w:r w:rsidR="00A85C6D" w:rsidRPr="00331BED">
        <w:rPr>
          <w:b/>
          <w:lang w:val="en-GB"/>
        </w:rPr>
        <w:t>__</w:t>
      </w:r>
      <w:r w:rsidRPr="00331BED">
        <w:rPr>
          <w:b/>
          <w:lang w:val="en-GB"/>
        </w:rPr>
        <w:t>_______________________________</w:t>
      </w:r>
    </w:p>
    <w:p w14:paraId="645E78DE" w14:textId="77777777" w:rsidR="007A4DF9" w:rsidRPr="00331BED" w:rsidRDefault="007A4DF9" w:rsidP="007A4DF9">
      <w:pPr>
        <w:spacing w:before="0" w:line="240" w:lineRule="auto"/>
        <w:jc w:val="center"/>
        <w:rPr>
          <w:b/>
          <w:lang w:val="en-GB"/>
        </w:rPr>
      </w:pPr>
    </w:p>
    <w:p w14:paraId="174FC660" w14:textId="77777777" w:rsidR="007A4DF9" w:rsidRPr="00331BED" w:rsidRDefault="007A4DF9" w:rsidP="007A4DF9">
      <w:pPr>
        <w:spacing w:before="0" w:line="240" w:lineRule="auto"/>
        <w:jc w:val="center"/>
        <w:rPr>
          <w:b/>
          <w:lang w:val="en-GB"/>
        </w:rPr>
      </w:pPr>
      <w:r w:rsidRPr="00331BED">
        <w:rPr>
          <w:b/>
          <w:lang w:val="en-GB"/>
        </w:rPr>
        <w:t>J U D G M E N T</w:t>
      </w:r>
    </w:p>
    <w:p w14:paraId="6A7A0FAA" w14:textId="799B073E" w:rsidR="007A4DF9" w:rsidRPr="00331BED" w:rsidRDefault="007A4DF9" w:rsidP="007A4DF9">
      <w:pPr>
        <w:spacing w:before="0" w:line="240" w:lineRule="auto"/>
        <w:rPr>
          <w:b/>
          <w:lang w:val="en-GB"/>
        </w:rPr>
      </w:pPr>
      <w:r w:rsidRPr="00331BED">
        <w:rPr>
          <w:b/>
          <w:lang w:val="en-GB"/>
        </w:rPr>
        <w:t>____________________________________</w:t>
      </w:r>
      <w:r w:rsidR="00A85C6D" w:rsidRPr="00331BED">
        <w:rPr>
          <w:b/>
          <w:lang w:val="en-GB"/>
        </w:rPr>
        <w:t>_</w:t>
      </w:r>
      <w:r w:rsidRPr="00331BED">
        <w:rPr>
          <w:b/>
          <w:lang w:val="en-GB"/>
        </w:rPr>
        <w:t>______________________________</w:t>
      </w:r>
    </w:p>
    <w:p w14:paraId="67B7CED6" w14:textId="77777777" w:rsidR="007A4DF9" w:rsidRPr="00331BED" w:rsidRDefault="007A4DF9" w:rsidP="007A4DF9">
      <w:pPr>
        <w:spacing w:before="0" w:line="240" w:lineRule="auto"/>
        <w:rPr>
          <w:b/>
          <w:lang w:val="en-GB"/>
        </w:rPr>
      </w:pPr>
    </w:p>
    <w:p w14:paraId="1186DF08" w14:textId="77777777" w:rsidR="007A4DF9" w:rsidRPr="00331BED" w:rsidRDefault="007A4DF9" w:rsidP="007A4DF9">
      <w:pPr>
        <w:spacing w:before="0" w:line="240" w:lineRule="auto"/>
        <w:rPr>
          <w:b/>
          <w:bCs/>
          <w:lang w:val="en-GB"/>
        </w:rPr>
      </w:pPr>
      <w:r w:rsidRPr="00331BED">
        <w:rPr>
          <w:b/>
          <w:bCs/>
          <w:lang w:val="en-GB"/>
        </w:rPr>
        <w:lastRenderedPageBreak/>
        <w:t>VAN DER BERG AJ</w:t>
      </w:r>
    </w:p>
    <w:p w14:paraId="7E26EFF9" w14:textId="77777777" w:rsidR="007A4DF9" w:rsidRPr="00331BED" w:rsidRDefault="007A4DF9" w:rsidP="007A4DF9">
      <w:pPr>
        <w:spacing w:before="0" w:line="240" w:lineRule="auto"/>
        <w:rPr>
          <w:lang w:val="en-GB"/>
        </w:rPr>
      </w:pPr>
    </w:p>
    <w:p w14:paraId="36D11AE5" w14:textId="77777777" w:rsidR="007A4DF9" w:rsidRPr="00331BED" w:rsidRDefault="007A4DF9" w:rsidP="00365A8E">
      <w:pPr>
        <w:widowControl w:val="0"/>
        <w:spacing w:before="0" w:after="320" w:line="240" w:lineRule="auto"/>
        <w:rPr>
          <w:rFonts w:cs="Arial"/>
          <w:b/>
          <w:szCs w:val="24"/>
          <w:lang w:val="en-GB"/>
        </w:rPr>
      </w:pPr>
    </w:p>
    <w:p w14:paraId="424CF43A" w14:textId="7A0538AF" w:rsidR="00C51F72" w:rsidRDefault="00F8415D" w:rsidP="00F8415D">
      <w:pPr>
        <w:pStyle w:val="level1"/>
        <w:numPr>
          <w:ilvl w:val="0"/>
          <w:numId w:val="0"/>
        </w:numPr>
        <w:ind w:left="851" w:hanging="851"/>
      </w:pPr>
      <w:r>
        <w:t>[1]</w:t>
      </w:r>
      <w:r>
        <w:tab/>
      </w:r>
      <w:r w:rsidR="00C51F72" w:rsidRPr="00331BED">
        <w:t xml:space="preserve">The first and second applicants are bodies corporate of two </w:t>
      </w:r>
      <w:r w:rsidR="00C51F72">
        <w:t xml:space="preserve">residential </w:t>
      </w:r>
      <w:r w:rsidR="00C51F72" w:rsidRPr="00331BED">
        <w:t>estates respectively, the one consisting of 291 residential units and the other consisting of 620 residential units.</w:t>
      </w:r>
      <w:r w:rsidR="00C51F72">
        <w:t xml:space="preserve"> </w:t>
      </w:r>
      <w:r w:rsidR="00C51F72" w:rsidRPr="00331BED">
        <w:t xml:space="preserve">In the estates there are so-called lifestyle centres which </w:t>
      </w:r>
      <w:r w:rsidR="008923D6" w:rsidRPr="008923D6">
        <w:rPr>
          <w:i/>
          <w:iCs/>
        </w:rPr>
        <w:t>inter alia</w:t>
      </w:r>
      <w:r w:rsidR="008923D6">
        <w:t xml:space="preserve"> </w:t>
      </w:r>
      <w:r w:rsidR="00C51F72">
        <w:t xml:space="preserve">comprise of </w:t>
      </w:r>
      <w:r w:rsidR="00C51F72" w:rsidRPr="00331BED">
        <w:t>gym</w:t>
      </w:r>
      <w:r w:rsidR="00C51F72">
        <w:t>s</w:t>
      </w:r>
      <w:r w:rsidR="00C51F72" w:rsidRPr="00331BED">
        <w:t xml:space="preserve"> and restaurant</w:t>
      </w:r>
      <w:r w:rsidR="00C51F72">
        <w:t>s</w:t>
      </w:r>
      <w:r w:rsidR="00C51F72" w:rsidRPr="00331BED">
        <w:t>.</w:t>
      </w:r>
      <w:r w:rsidR="00C51F72">
        <w:t xml:space="preserve"> </w:t>
      </w:r>
    </w:p>
    <w:p w14:paraId="78339241" w14:textId="4778A2AA" w:rsidR="002448DA" w:rsidRPr="00331BED" w:rsidRDefault="00F8415D" w:rsidP="00F8415D">
      <w:pPr>
        <w:pStyle w:val="LEVEL10"/>
        <w:numPr>
          <w:ilvl w:val="0"/>
          <w:numId w:val="0"/>
        </w:numPr>
        <w:ind w:left="851" w:hanging="851"/>
      </w:pPr>
      <w:r w:rsidRPr="00331BED">
        <w:t>[2]</w:t>
      </w:r>
      <w:r w:rsidRPr="00331BED">
        <w:tab/>
      </w:r>
      <w:r w:rsidR="002448DA" w:rsidRPr="00331BED">
        <w:t>The first respondent is the City of Johannesburg Metropolitan Municipality (</w:t>
      </w:r>
      <w:r w:rsidR="002448DA" w:rsidRPr="00331BED">
        <w:rPr>
          <w:i/>
          <w:iCs/>
        </w:rPr>
        <w:t>“the City”</w:t>
      </w:r>
      <w:r w:rsidR="002448DA" w:rsidRPr="00331BED">
        <w:t xml:space="preserve">), and the second respondent is </w:t>
      </w:r>
      <w:r w:rsidR="00AD6623">
        <w:t>described in the papers as the entity mandated to provide electricity to residents falling within the jurisdiction of the City.</w:t>
      </w:r>
    </w:p>
    <w:p w14:paraId="47905451" w14:textId="471338D8" w:rsidR="002448DA" w:rsidRPr="00331BED" w:rsidRDefault="00F8415D" w:rsidP="00F8415D">
      <w:pPr>
        <w:pStyle w:val="LEVEL10"/>
        <w:numPr>
          <w:ilvl w:val="0"/>
          <w:numId w:val="0"/>
        </w:numPr>
        <w:ind w:left="851" w:hanging="851"/>
      </w:pPr>
      <w:r w:rsidRPr="00331BED">
        <w:t>[3]</w:t>
      </w:r>
      <w:r w:rsidRPr="00331BED">
        <w:tab/>
      </w:r>
      <w:r w:rsidR="002448DA" w:rsidRPr="00331BED">
        <w:t xml:space="preserve">In prayer 2 of the applicants’ amended notice of motion they seek </w:t>
      </w:r>
      <w:r w:rsidR="00F52D09" w:rsidRPr="00331BED">
        <w:t>the follow</w:t>
      </w:r>
      <w:r w:rsidR="001258E0">
        <w:t>in</w:t>
      </w:r>
      <w:r w:rsidR="00F52D09" w:rsidRPr="00331BED">
        <w:t xml:space="preserve">g </w:t>
      </w:r>
      <w:r w:rsidR="002448DA" w:rsidRPr="00331BED">
        <w:t>order:</w:t>
      </w:r>
    </w:p>
    <w:p w14:paraId="1498ADA9" w14:textId="18754206" w:rsidR="002448DA" w:rsidRPr="00331BED" w:rsidRDefault="00AC4878" w:rsidP="005A5D2E">
      <w:pPr>
        <w:pStyle w:val="quotation1"/>
        <w:tabs>
          <w:tab w:val="clear" w:pos="1985"/>
        </w:tabs>
        <w:ind w:left="1418" w:firstLine="0"/>
      </w:pPr>
      <w:r w:rsidRPr="00331BED">
        <w:t>“That the first and second respondents are hereby directed to align and rectify the records and billing to reflect the first and second applicants situated at [the property descriptions of the two</w:t>
      </w:r>
      <w:r w:rsidR="00C51F72">
        <w:t xml:space="preserve"> estates</w:t>
      </w:r>
      <w:r w:rsidRPr="00331BED">
        <w:t>] as being Residential for the purpose of va</w:t>
      </w:r>
      <w:r w:rsidR="00BB0F1D">
        <w:t xml:space="preserve">luation </w:t>
      </w:r>
      <w:r w:rsidRPr="00331BED">
        <w:t>and billing of electricity and municipal services.”</w:t>
      </w:r>
    </w:p>
    <w:p w14:paraId="232D4003" w14:textId="14FCF36C" w:rsidR="002448DA" w:rsidRPr="00331BED" w:rsidRDefault="00F8415D" w:rsidP="00F8415D">
      <w:pPr>
        <w:pStyle w:val="LEVEL10"/>
        <w:numPr>
          <w:ilvl w:val="0"/>
          <w:numId w:val="0"/>
        </w:numPr>
        <w:ind w:left="851" w:hanging="851"/>
      </w:pPr>
      <w:r w:rsidRPr="00331BED">
        <w:t>[4]</w:t>
      </w:r>
      <w:r w:rsidRPr="00331BED">
        <w:tab/>
      </w:r>
      <w:r w:rsidR="002D6697" w:rsidRPr="00331BED">
        <w:t xml:space="preserve">The relevant legislation </w:t>
      </w:r>
      <w:r w:rsidR="00BB0F1D">
        <w:t xml:space="preserve">imposes </w:t>
      </w:r>
      <w:r w:rsidR="002D6697" w:rsidRPr="00331BED">
        <w:t xml:space="preserve">different tariffs for domestic use and non-domestic use in respect of electricity.  Where </w:t>
      </w:r>
      <w:r w:rsidR="00E451C8" w:rsidRPr="00331BED">
        <w:t xml:space="preserve">premises </w:t>
      </w:r>
      <w:r w:rsidR="00BB0F1D">
        <w:t xml:space="preserve">contain </w:t>
      </w:r>
      <w:r w:rsidR="002D6697" w:rsidRPr="00331BED">
        <w:t>both domestic and</w:t>
      </w:r>
      <w:r w:rsidR="005574D9">
        <w:t xml:space="preserve"> </w:t>
      </w:r>
      <w:r w:rsidR="002D6697" w:rsidRPr="00331BED">
        <w:t xml:space="preserve">non-domestic use, </w:t>
      </w:r>
      <w:r w:rsidR="00E451C8" w:rsidRPr="00331BED">
        <w:t xml:space="preserve">the </w:t>
      </w:r>
      <w:r w:rsidR="002D6697" w:rsidRPr="00331BED">
        <w:t>legislation provides that a non-domestic/business/commercial tariff is imposed, unless the user installs a split meter</w:t>
      </w:r>
      <w:r w:rsidR="00E451C8" w:rsidRPr="00331BED">
        <w:t>.</w:t>
      </w:r>
      <w:r w:rsidR="002D6697" w:rsidRPr="00331BED">
        <w:t xml:space="preserve"> The split </w:t>
      </w:r>
      <w:r w:rsidR="0068480C" w:rsidRPr="00331BED">
        <w:t>supply connection</w:t>
      </w:r>
      <w:r w:rsidR="002D6697" w:rsidRPr="00331BED">
        <w:t xml:space="preserve"> will </w:t>
      </w:r>
      <w:r w:rsidR="00E451C8" w:rsidRPr="00331BED">
        <w:t xml:space="preserve">then </w:t>
      </w:r>
      <w:r w:rsidR="002D6697" w:rsidRPr="00331BED">
        <w:t>allow for the separate measuring of domestic and non-domestic uses.</w:t>
      </w:r>
    </w:p>
    <w:p w14:paraId="371C2455" w14:textId="77777777" w:rsidR="001258E0" w:rsidRPr="001258E0" w:rsidRDefault="001258E0" w:rsidP="001258E0">
      <w:pPr>
        <w:pStyle w:val="List"/>
      </w:pPr>
    </w:p>
    <w:p w14:paraId="14429165" w14:textId="27E4F0F7" w:rsidR="001258E0" w:rsidRPr="001258E0" w:rsidRDefault="00F8415D" w:rsidP="00F8415D">
      <w:pPr>
        <w:pStyle w:val="level1"/>
        <w:numPr>
          <w:ilvl w:val="0"/>
          <w:numId w:val="0"/>
        </w:numPr>
        <w:ind w:left="851" w:hanging="851"/>
        <w:rPr>
          <w:lang w:val="en-ZA"/>
        </w:rPr>
      </w:pPr>
      <w:r w:rsidRPr="001258E0">
        <w:rPr>
          <w:lang w:val="en-ZA"/>
        </w:rPr>
        <w:t>[5]</w:t>
      </w:r>
      <w:r w:rsidRPr="001258E0">
        <w:rPr>
          <w:lang w:val="en-ZA"/>
        </w:rPr>
        <w:tab/>
      </w:r>
      <w:r w:rsidR="001258E0" w:rsidRPr="001258E0">
        <w:rPr>
          <w:lang w:val="en-ZA"/>
        </w:rPr>
        <w:t>Two issues arise in this application:</w:t>
      </w:r>
    </w:p>
    <w:p w14:paraId="58D093CD" w14:textId="1292E196" w:rsidR="001258E0" w:rsidRDefault="00F8415D" w:rsidP="00F8415D">
      <w:pPr>
        <w:pStyle w:val="level1"/>
        <w:numPr>
          <w:ilvl w:val="0"/>
          <w:numId w:val="0"/>
        </w:numPr>
        <w:tabs>
          <w:tab w:val="left" w:pos="1985"/>
        </w:tabs>
        <w:ind w:left="1985" w:hanging="1134"/>
      </w:pPr>
      <w:r>
        <w:t>1.</w:t>
      </w:r>
      <w:r>
        <w:tab/>
      </w:r>
      <w:r w:rsidR="001258E0" w:rsidRPr="001258E0">
        <w:t>Whether the lifestyle centres (which include the restaurant</w:t>
      </w:r>
      <w:r w:rsidR="00003E9C">
        <w:t>s</w:t>
      </w:r>
      <w:r w:rsidR="001258E0" w:rsidRPr="001258E0">
        <w:t xml:space="preserve"> and gym</w:t>
      </w:r>
      <w:r w:rsidR="00003E9C">
        <w:t>s</w:t>
      </w:r>
      <w:r w:rsidR="001258E0" w:rsidRPr="001258E0">
        <w:t xml:space="preserve">) </w:t>
      </w:r>
      <w:r w:rsidR="00003E9C">
        <w:t xml:space="preserve">resort under </w:t>
      </w:r>
      <w:r w:rsidR="001258E0" w:rsidRPr="001258E0">
        <w:t>domestic usage</w:t>
      </w:r>
      <w:r w:rsidR="00E818DB">
        <w:t xml:space="preserve"> for electricity billing </w:t>
      </w:r>
      <w:r w:rsidR="001258E0" w:rsidRPr="001258E0">
        <w:t>as contended by</w:t>
      </w:r>
      <w:r w:rsidR="00003E9C">
        <w:t xml:space="preserve"> the applicants</w:t>
      </w:r>
      <w:r w:rsidR="001258E0" w:rsidRPr="001258E0">
        <w:t>.</w:t>
      </w:r>
    </w:p>
    <w:p w14:paraId="7152FBF6" w14:textId="75E94F44" w:rsidR="001258E0" w:rsidRDefault="00F8415D" w:rsidP="00F8415D">
      <w:pPr>
        <w:pStyle w:val="level1"/>
        <w:numPr>
          <w:ilvl w:val="0"/>
          <w:numId w:val="0"/>
        </w:numPr>
        <w:tabs>
          <w:tab w:val="left" w:pos="1985"/>
        </w:tabs>
        <w:ind w:left="1985" w:hanging="1134"/>
      </w:pPr>
      <w:r>
        <w:t>2.</w:t>
      </w:r>
      <w:r>
        <w:tab/>
      </w:r>
      <w:r w:rsidR="001258E0" w:rsidRPr="001258E0">
        <w:t>Whether the City has made a binding decision that the</w:t>
      </w:r>
      <w:r w:rsidR="00C51F72">
        <w:t xml:space="preserve"> estates should be billed on a domestic/residential tariff</w:t>
      </w:r>
      <w:r w:rsidR="001258E0" w:rsidRPr="001258E0">
        <w:t>.</w:t>
      </w:r>
    </w:p>
    <w:p w14:paraId="3D26D0D3" w14:textId="5CD1C116" w:rsidR="00E451C8" w:rsidRPr="00331BED" w:rsidRDefault="00F8415D" w:rsidP="00F8415D">
      <w:pPr>
        <w:pStyle w:val="level1"/>
        <w:numPr>
          <w:ilvl w:val="0"/>
          <w:numId w:val="0"/>
        </w:numPr>
        <w:ind w:left="851" w:hanging="851"/>
      </w:pPr>
      <w:r w:rsidRPr="00331BED">
        <w:t>[6]</w:t>
      </w:r>
      <w:r w:rsidRPr="00331BED">
        <w:tab/>
      </w:r>
      <w:r w:rsidR="00E451C8" w:rsidRPr="00331BED">
        <w:t>It is necessary to first set out the litigation history and the legislative framework before these issues are dealt with.</w:t>
      </w:r>
    </w:p>
    <w:p w14:paraId="576759C8" w14:textId="7FD340DC" w:rsidR="00CD3BBB" w:rsidRPr="00331BED" w:rsidRDefault="00E451C8" w:rsidP="00415EA1">
      <w:pPr>
        <w:pStyle w:val="Heading1"/>
      </w:pPr>
      <w:r w:rsidRPr="00331BED">
        <w:t>LITIGATION HISTORY</w:t>
      </w:r>
    </w:p>
    <w:p w14:paraId="27B2C059" w14:textId="5E7F8302" w:rsidR="00CD3BBB" w:rsidRPr="00331BED" w:rsidRDefault="00F8415D" w:rsidP="00F8415D">
      <w:pPr>
        <w:pStyle w:val="LEVEL10"/>
        <w:numPr>
          <w:ilvl w:val="0"/>
          <w:numId w:val="0"/>
        </w:numPr>
        <w:ind w:left="851" w:hanging="851"/>
      </w:pPr>
      <w:r w:rsidRPr="00331BED">
        <w:t>[7]</w:t>
      </w:r>
      <w:r w:rsidRPr="00331BED">
        <w:tab/>
      </w:r>
      <w:r w:rsidR="00B73EC4" w:rsidRPr="00331BED">
        <w:t xml:space="preserve">On 12 July 2019 the applicants issued </w:t>
      </w:r>
      <w:r w:rsidR="00BB0F1D">
        <w:t xml:space="preserve">an </w:t>
      </w:r>
      <w:r w:rsidR="00B73EC4" w:rsidRPr="00331BED">
        <w:t xml:space="preserve">application (the </w:t>
      </w:r>
      <w:r w:rsidR="00B73EC4" w:rsidRPr="00331BED">
        <w:rPr>
          <w:i/>
          <w:iCs/>
        </w:rPr>
        <w:t>“original application”</w:t>
      </w:r>
      <w:r w:rsidR="00B73EC4" w:rsidRPr="00331BED">
        <w:t xml:space="preserve"> issue</w:t>
      </w:r>
      <w:r w:rsidR="00AE0C17" w:rsidRPr="00331BED">
        <w:t>d</w:t>
      </w:r>
      <w:r w:rsidR="00B73EC4" w:rsidRPr="00331BED">
        <w:t xml:space="preserve"> in terms of </w:t>
      </w:r>
      <w:r w:rsidR="00B73EC4" w:rsidRPr="00331BED">
        <w:rPr>
          <w:i/>
          <w:iCs/>
        </w:rPr>
        <w:t>“the original notice of motion”</w:t>
      </w:r>
      <w:r w:rsidR="00B73EC4" w:rsidRPr="00331BED">
        <w:t xml:space="preserve">). The respondents initially opposed the application, but then decided not to persist with their opposition and did not file an answering affidavit.  The matter was eventually enrolled </w:t>
      </w:r>
      <w:r w:rsidR="00AE0C17" w:rsidRPr="00331BED">
        <w:t xml:space="preserve">for </w:t>
      </w:r>
      <w:r w:rsidR="00B73EC4" w:rsidRPr="00331BED">
        <w:t xml:space="preserve">hearing on </w:t>
      </w:r>
      <w:r w:rsidR="00AE0C17" w:rsidRPr="00331BED">
        <w:t xml:space="preserve">the unopposed </w:t>
      </w:r>
      <w:proofErr w:type="gramStart"/>
      <w:r w:rsidR="00003E9C">
        <w:t>r</w:t>
      </w:r>
      <w:r w:rsidR="00AE0C17" w:rsidRPr="00331BED">
        <w:t>oll on</w:t>
      </w:r>
      <w:proofErr w:type="gramEnd"/>
      <w:r w:rsidR="00AE0C17" w:rsidRPr="00331BED">
        <w:t xml:space="preserve"> </w:t>
      </w:r>
      <w:r w:rsidR="00B73EC4" w:rsidRPr="00331BED">
        <w:t>19 October 2021.</w:t>
      </w:r>
    </w:p>
    <w:p w14:paraId="3700F9FD" w14:textId="161FD6C8" w:rsidR="00CD3BBB" w:rsidRPr="00331BED" w:rsidRDefault="00F8415D" w:rsidP="00F8415D">
      <w:pPr>
        <w:pStyle w:val="LEVEL10"/>
        <w:numPr>
          <w:ilvl w:val="0"/>
          <w:numId w:val="0"/>
        </w:numPr>
        <w:ind w:left="851" w:hanging="851"/>
      </w:pPr>
      <w:r w:rsidRPr="00331BED">
        <w:t>[8]</w:t>
      </w:r>
      <w:r w:rsidRPr="00331BED">
        <w:tab/>
      </w:r>
      <w:r w:rsidR="00751F05" w:rsidRPr="00331BED">
        <w:t xml:space="preserve">On 13 October 2021, the applicants delivered a supplementary </w:t>
      </w:r>
      <w:r w:rsidR="005574D9">
        <w:t xml:space="preserve">founding </w:t>
      </w:r>
      <w:r w:rsidR="00751F05" w:rsidRPr="00331BED">
        <w:t xml:space="preserve">affidavit </w:t>
      </w:r>
      <w:r w:rsidR="00E22F8F">
        <w:t>with a new notice of motion</w:t>
      </w:r>
      <w:r w:rsidR="00003E9C">
        <w:t xml:space="preserve"> </w:t>
      </w:r>
      <w:proofErr w:type="gramStart"/>
      <w:r w:rsidR="00003E9C">
        <w:t>attached</w:t>
      </w:r>
      <w:r w:rsidR="00C51F72">
        <w:t xml:space="preserve">  thereto</w:t>
      </w:r>
      <w:proofErr w:type="gramEnd"/>
      <w:r w:rsidR="00003E9C">
        <w:t>. This is not the correct way of amending a notice of motion and the City delivered a notice in terms of rule 30(1). O</w:t>
      </w:r>
      <w:r w:rsidR="00751F05" w:rsidRPr="00331BED">
        <w:t xml:space="preserve">n 19 October 2021 </w:t>
      </w:r>
      <w:r w:rsidR="00003E9C">
        <w:t xml:space="preserve">the applicants delivered </w:t>
      </w:r>
      <w:r w:rsidR="00751F05" w:rsidRPr="00331BED">
        <w:t>a notice in terms of rule 28 to amend its notice of motion.</w:t>
      </w:r>
      <w:r w:rsidR="00AE0C17" w:rsidRPr="00331BED">
        <w:t xml:space="preserve"> The amendment w</w:t>
      </w:r>
      <w:r w:rsidR="00003E9C">
        <w:t xml:space="preserve">as </w:t>
      </w:r>
      <w:r w:rsidR="00AE0C17" w:rsidRPr="00331BED">
        <w:t xml:space="preserve">eventually </w:t>
      </w:r>
      <w:proofErr w:type="gramStart"/>
      <w:r w:rsidR="00AE0C17" w:rsidRPr="00331BED">
        <w:t>effected</w:t>
      </w:r>
      <w:proofErr w:type="gramEnd"/>
      <w:r w:rsidR="00AE0C17" w:rsidRPr="00331BED">
        <w:t xml:space="preserve"> in terms of rule 28</w:t>
      </w:r>
      <w:r w:rsidR="005574D9">
        <w:t xml:space="preserve"> (being the amended notice of motion)</w:t>
      </w:r>
      <w:r w:rsidR="00003E9C">
        <w:t xml:space="preserve">.  The matter was </w:t>
      </w:r>
      <w:r w:rsidR="00003E9C">
        <w:lastRenderedPageBreak/>
        <w:t xml:space="preserve">removed from the unopposed roll and costs were reserved.  Thereafter the matter </w:t>
      </w:r>
      <w:proofErr w:type="gramStart"/>
      <w:r w:rsidR="00003E9C">
        <w:t>continued on</w:t>
      </w:r>
      <w:proofErr w:type="gramEnd"/>
      <w:r w:rsidR="00003E9C">
        <w:t xml:space="preserve"> an opposed basis and </w:t>
      </w:r>
      <w:r w:rsidR="00BB0F1D">
        <w:t xml:space="preserve">answering and replying </w:t>
      </w:r>
      <w:r w:rsidR="00003E9C">
        <w:t>affidavits were exchanged.</w:t>
      </w:r>
    </w:p>
    <w:p w14:paraId="78137FC2" w14:textId="5FB74D5D" w:rsidR="00415EA1" w:rsidRPr="00331BED" w:rsidRDefault="00F8415D" w:rsidP="00F8415D">
      <w:pPr>
        <w:pStyle w:val="LEVEL10"/>
        <w:numPr>
          <w:ilvl w:val="0"/>
          <w:numId w:val="0"/>
        </w:numPr>
        <w:ind w:left="851" w:hanging="851"/>
      </w:pPr>
      <w:r w:rsidRPr="00331BED">
        <w:t>[9]</w:t>
      </w:r>
      <w:r w:rsidRPr="00331BED">
        <w:tab/>
      </w:r>
      <w:r w:rsidR="00751F05" w:rsidRPr="00331BED">
        <w:t xml:space="preserve">In the original notice of motion </w:t>
      </w:r>
      <w:r w:rsidR="00AE0C17" w:rsidRPr="00331BED">
        <w:t xml:space="preserve">the first applicant </w:t>
      </w:r>
      <w:r w:rsidR="00751F05" w:rsidRPr="00331BED">
        <w:t xml:space="preserve">sought interdictory relief against the respondents to restrain them from disconnecting the municipal services </w:t>
      </w:r>
      <w:r w:rsidR="00AE0C17" w:rsidRPr="00331BED">
        <w:t>su</w:t>
      </w:r>
      <w:r w:rsidR="00751F05" w:rsidRPr="00331BED">
        <w:t xml:space="preserve">pplied to the applicants’ respective premises </w:t>
      </w:r>
      <w:r w:rsidR="00751F05" w:rsidRPr="00331BED">
        <w:rPr>
          <w:i/>
          <w:iCs/>
        </w:rPr>
        <w:t>“pending the finalisation and implementation of the split meter application submitted to the respondents on 13 March 2019”</w:t>
      </w:r>
      <w:r w:rsidR="00751F05" w:rsidRPr="00331BED">
        <w:t xml:space="preserve">.  The second applicant </w:t>
      </w:r>
      <w:r w:rsidR="005574D9">
        <w:t xml:space="preserve">sought an </w:t>
      </w:r>
      <w:r w:rsidR="00751F05" w:rsidRPr="00331BED">
        <w:t>identical</w:t>
      </w:r>
      <w:r w:rsidR="005574D9">
        <w:t xml:space="preserve"> prayer</w:t>
      </w:r>
      <w:r w:rsidR="00751F05" w:rsidRPr="00331BED">
        <w:t>, except that the date when</w:t>
      </w:r>
      <w:r w:rsidR="005574D9">
        <w:t xml:space="preserve"> its </w:t>
      </w:r>
      <w:r w:rsidR="00751F05" w:rsidRPr="00331BED">
        <w:t>split meter</w:t>
      </w:r>
      <w:r w:rsidR="00AE0C17" w:rsidRPr="00331BED">
        <w:t xml:space="preserve"> </w:t>
      </w:r>
      <w:proofErr w:type="gramStart"/>
      <w:r w:rsidR="00AE0C17" w:rsidRPr="00331BED">
        <w:t xml:space="preserve">application </w:t>
      </w:r>
      <w:r w:rsidR="00751F05" w:rsidRPr="00331BED">
        <w:t xml:space="preserve"> was</w:t>
      </w:r>
      <w:proofErr w:type="gramEnd"/>
      <w:r w:rsidR="00751F05" w:rsidRPr="00331BED">
        <w:t xml:space="preserve"> submitted was 30 October 2018.</w:t>
      </w:r>
    </w:p>
    <w:p w14:paraId="220B29F8" w14:textId="062EBA73" w:rsidR="00415EA1" w:rsidRPr="00331BED" w:rsidRDefault="00F8415D" w:rsidP="00F8415D">
      <w:pPr>
        <w:pStyle w:val="LEVEL10"/>
        <w:numPr>
          <w:ilvl w:val="0"/>
          <w:numId w:val="0"/>
        </w:numPr>
        <w:ind w:left="851" w:hanging="851"/>
      </w:pPr>
      <w:bookmarkStart w:id="0" w:name="_Hlk118408703"/>
      <w:r w:rsidRPr="00331BED">
        <w:t>[10]</w:t>
      </w:r>
      <w:r w:rsidRPr="00331BED">
        <w:tab/>
      </w:r>
      <w:r w:rsidR="00751F05" w:rsidRPr="00331BED">
        <w:t xml:space="preserve">In the founding affidavit attached to the </w:t>
      </w:r>
      <w:r w:rsidR="00AE0C17" w:rsidRPr="00331BED">
        <w:t xml:space="preserve">original </w:t>
      </w:r>
      <w:r w:rsidR="00751F05" w:rsidRPr="00331BED">
        <w:t xml:space="preserve">notice of motion it was alleged that agreements </w:t>
      </w:r>
      <w:r w:rsidR="00AE0C17" w:rsidRPr="00331BED">
        <w:t xml:space="preserve">had been </w:t>
      </w:r>
      <w:r w:rsidR="00751F05" w:rsidRPr="00331BED">
        <w:t>concluded between the applicant</w:t>
      </w:r>
      <w:r w:rsidR="00C51F72">
        <w:t>s</w:t>
      </w:r>
      <w:r w:rsidR="00751F05" w:rsidRPr="00331BED">
        <w:t xml:space="preserve"> and the respondents. The respondents in their answering affidavit (filed only after the filing of the supplementary founding affidavit) denied the agreement</w:t>
      </w:r>
      <w:r w:rsidR="00331BED" w:rsidRPr="00331BED">
        <w:t>s</w:t>
      </w:r>
      <w:r w:rsidR="00751F05" w:rsidRPr="00331BED">
        <w:t>.</w:t>
      </w:r>
      <w:r w:rsidR="00331BED" w:rsidRPr="00331BED">
        <w:t xml:space="preserve"> The alleged agreements and their terms are no longer relevant to the application. </w:t>
      </w:r>
      <w:r w:rsidR="00751F05" w:rsidRPr="00331BED">
        <w:t>The founding affidavit further alleged that the respondents from time to time threatened to discontinue their services</w:t>
      </w:r>
      <w:r w:rsidR="00C51F72">
        <w:t>. This issue is also no longer relevant.</w:t>
      </w:r>
    </w:p>
    <w:bookmarkEnd w:id="0"/>
    <w:p w14:paraId="24C38DE7" w14:textId="2D49E04D" w:rsidR="00BB0F1D" w:rsidRPr="00BB0F1D" w:rsidRDefault="00F8415D" w:rsidP="00F8415D">
      <w:pPr>
        <w:pStyle w:val="LEVEL10"/>
        <w:numPr>
          <w:ilvl w:val="0"/>
          <w:numId w:val="0"/>
        </w:numPr>
        <w:ind w:left="851" w:hanging="851"/>
      </w:pPr>
      <w:r w:rsidRPr="00BB0F1D">
        <w:t>[11]</w:t>
      </w:r>
      <w:r w:rsidRPr="00BB0F1D">
        <w:tab/>
      </w:r>
      <w:r w:rsidR="00751F05" w:rsidRPr="00331BED">
        <w:t xml:space="preserve">In the amended notice of motion the applicants made an about turn.  </w:t>
      </w:r>
      <w:r w:rsidR="00F0325D">
        <w:t>The</w:t>
      </w:r>
      <w:r w:rsidR="0038328B">
        <w:t xml:space="preserve"> case now advance</w:t>
      </w:r>
      <w:r w:rsidR="005574D9">
        <w:t>d</w:t>
      </w:r>
      <w:r w:rsidR="0038328B">
        <w:t xml:space="preserve"> is that </w:t>
      </w:r>
      <w:r w:rsidR="005574D9">
        <w:t xml:space="preserve">the applicants </w:t>
      </w:r>
      <w:r w:rsidR="00751F05" w:rsidRPr="00331BED">
        <w:t xml:space="preserve">do not have </w:t>
      </w:r>
      <w:r w:rsidR="00F0325D">
        <w:t xml:space="preserve">to </w:t>
      </w:r>
      <w:r w:rsidR="00751F05" w:rsidRPr="00331BED">
        <w:t xml:space="preserve">apply for a split </w:t>
      </w:r>
      <w:proofErr w:type="gramStart"/>
      <w:r w:rsidR="00751F05" w:rsidRPr="00331BED">
        <w:t xml:space="preserve">meter, </w:t>
      </w:r>
      <w:r w:rsidR="00F0325D">
        <w:t xml:space="preserve"> as</w:t>
      </w:r>
      <w:proofErr w:type="gramEnd"/>
      <w:r w:rsidR="00AE0C17" w:rsidRPr="00331BED">
        <w:t xml:space="preserve"> </w:t>
      </w:r>
      <w:r w:rsidR="00751F05" w:rsidRPr="00331BED">
        <w:t xml:space="preserve">they are entitled </w:t>
      </w:r>
      <w:r w:rsidR="00F0325D">
        <w:t>to be billed on a domestic tariff</w:t>
      </w:r>
      <w:r w:rsidR="00751F05" w:rsidRPr="00331BED">
        <w:t>.</w:t>
      </w:r>
      <w:r w:rsidR="00331BED" w:rsidRPr="00331BED">
        <w:t xml:space="preserve"> </w:t>
      </w:r>
      <w:r w:rsidR="00751F05" w:rsidRPr="00331BED">
        <w:t xml:space="preserve">In the supplementary </w:t>
      </w:r>
      <w:r w:rsidR="005574D9">
        <w:t xml:space="preserve">founding </w:t>
      </w:r>
      <w:proofErr w:type="gramStart"/>
      <w:r w:rsidR="00751F05" w:rsidRPr="00331BED">
        <w:t>affidavit</w:t>
      </w:r>
      <w:proofErr w:type="gramEnd"/>
      <w:r w:rsidR="00751F05" w:rsidRPr="00331BED">
        <w:t xml:space="preserve"> it is stated that the applicant</w:t>
      </w:r>
      <w:r w:rsidR="00331BED" w:rsidRPr="00331BED">
        <w:t>s</w:t>
      </w:r>
      <w:r w:rsidR="00751F05" w:rsidRPr="00331BED">
        <w:t xml:space="preserve"> intend to withdraw both applications for split meter</w:t>
      </w:r>
      <w:r w:rsidR="00003E9C">
        <w:t>s</w:t>
      </w:r>
      <w:r w:rsidR="00751F05" w:rsidRPr="00331BED">
        <w:t xml:space="preserve">.  </w:t>
      </w:r>
      <w:r w:rsidR="00331BED" w:rsidRPr="00331BED">
        <w:t xml:space="preserve">The applicants allege </w:t>
      </w:r>
      <w:r w:rsidR="00BB0F1D">
        <w:t xml:space="preserve">in their supplementary founding affidavit </w:t>
      </w:r>
      <w:r w:rsidR="00331BED" w:rsidRPr="00331BED">
        <w:t xml:space="preserve">that an email sent by a representative of the </w:t>
      </w:r>
      <w:proofErr w:type="gramStart"/>
      <w:r w:rsidR="00331BED" w:rsidRPr="00331BED">
        <w:t>City</w:t>
      </w:r>
      <w:proofErr w:type="gramEnd"/>
      <w:r w:rsidR="00331BED" w:rsidRPr="00331BED">
        <w:t xml:space="preserve"> in 2019 </w:t>
      </w:r>
      <w:r w:rsidR="00331BED" w:rsidRPr="00331BED">
        <w:lastRenderedPageBreak/>
        <w:t>constitutes a</w:t>
      </w:r>
      <w:r w:rsidR="00003E9C">
        <w:t xml:space="preserve"> binding</w:t>
      </w:r>
      <w:r w:rsidR="00331BED" w:rsidRPr="00331BED">
        <w:t xml:space="preserve"> “decision” by the City to bill </w:t>
      </w:r>
      <w:r w:rsidR="0068480C">
        <w:t xml:space="preserve">the estates </w:t>
      </w:r>
      <w:r w:rsidR="00331BED" w:rsidRPr="00331BED">
        <w:t>as domestic units</w:t>
      </w:r>
      <w:r w:rsidR="00BB0F1D">
        <w:t xml:space="preserve"> for electricity use. </w:t>
      </w:r>
    </w:p>
    <w:p w14:paraId="6C47D5C7" w14:textId="7D804DC4" w:rsidR="00415EA1" w:rsidRPr="0068480C" w:rsidRDefault="00751F05" w:rsidP="00751F05">
      <w:pPr>
        <w:pStyle w:val="Heading1"/>
      </w:pPr>
      <w:r w:rsidRPr="0068480C">
        <w:t>STATUTORY FRAMEWORK</w:t>
      </w:r>
    </w:p>
    <w:p w14:paraId="4887CEAA" w14:textId="6011FDFE" w:rsidR="00415EA1" w:rsidRPr="0068480C" w:rsidRDefault="00F8415D" w:rsidP="00F8415D">
      <w:pPr>
        <w:pStyle w:val="LEVEL10"/>
        <w:numPr>
          <w:ilvl w:val="0"/>
          <w:numId w:val="0"/>
        </w:numPr>
        <w:ind w:left="851" w:hanging="851"/>
      </w:pPr>
      <w:r w:rsidRPr="0068480C">
        <w:t>[12]</w:t>
      </w:r>
      <w:r w:rsidRPr="0068480C">
        <w:tab/>
      </w:r>
      <w:r w:rsidR="00261A36" w:rsidRPr="0068480C">
        <w:t>Municipalities</w:t>
      </w:r>
      <w:r w:rsidR="00261A36" w:rsidRPr="0068480C">
        <w:rPr>
          <w:spacing w:val="-18"/>
        </w:rPr>
        <w:t xml:space="preserve"> </w:t>
      </w:r>
      <w:r w:rsidR="00261A36" w:rsidRPr="0068480C">
        <w:t>are</w:t>
      </w:r>
      <w:r w:rsidR="00261A36" w:rsidRPr="0068480C">
        <w:rPr>
          <w:spacing w:val="-17"/>
        </w:rPr>
        <w:t xml:space="preserve"> </w:t>
      </w:r>
      <w:r w:rsidR="00261A36" w:rsidRPr="0068480C">
        <w:t>empowered to</w:t>
      </w:r>
      <w:r w:rsidR="00261A36" w:rsidRPr="0068480C">
        <w:rPr>
          <w:spacing w:val="-14"/>
        </w:rPr>
        <w:t xml:space="preserve"> </w:t>
      </w:r>
      <w:r w:rsidR="00261A36" w:rsidRPr="0068480C">
        <w:t>set</w:t>
      </w:r>
      <w:r w:rsidR="00261A36" w:rsidRPr="0068480C">
        <w:rPr>
          <w:spacing w:val="-18"/>
        </w:rPr>
        <w:t xml:space="preserve"> </w:t>
      </w:r>
      <w:r w:rsidR="00261A36" w:rsidRPr="0068480C">
        <w:t>their</w:t>
      </w:r>
      <w:r w:rsidR="00261A36" w:rsidRPr="0068480C">
        <w:rPr>
          <w:spacing w:val="-6"/>
        </w:rPr>
        <w:t xml:space="preserve"> </w:t>
      </w:r>
      <w:r w:rsidR="00261A36" w:rsidRPr="0068480C">
        <w:t>own</w:t>
      </w:r>
      <w:r w:rsidR="00261A36" w:rsidRPr="0068480C">
        <w:rPr>
          <w:spacing w:val="-12"/>
        </w:rPr>
        <w:t xml:space="preserve"> </w:t>
      </w:r>
      <w:r w:rsidR="00261A36" w:rsidRPr="0068480C">
        <w:t xml:space="preserve">municipal </w:t>
      </w:r>
      <w:r w:rsidR="00003E9C" w:rsidRPr="0068480C">
        <w:t xml:space="preserve">electricity </w:t>
      </w:r>
      <w:r w:rsidR="00261A36" w:rsidRPr="0068480C">
        <w:t>tariffs</w:t>
      </w:r>
      <w:r w:rsidR="00261A36" w:rsidRPr="0068480C">
        <w:rPr>
          <w:spacing w:val="-8"/>
        </w:rPr>
        <w:t xml:space="preserve"> </w:t>
      </w:r>
      <w:r w:rsidR="00261A36" w:rsidRPr="0068480C">
        <w:t>in</w:t>
      </w:r>
      <w:r w:rsidR="00261A36" w:rsidRPr="0068480C">
        <w:rPr>
          <w:spacing w:val="-10"/>
        </w:rPr>
        <w:t xml:space="preserve"> </w:t>
      </w:r>
      <w:r w:rsidR="00261A36" w:rsidRPr="0068480C">
        <w:t>terms</w:t>
      </w:r>
      <w:r w:rsidR="00261A36" w:rsidRPr="0068480C">
        <w:rPr>
          <w:spacing w:val="-14"/>
        </w:rPr>
        <w:t xml:space="preserve"> </w:t>
      </w:r>
      <w:r w:rsidR="00261A36" w:rsidRPr="0068480C">
        <w:t>of</w:t>
      </w:r>
      <w:r w:rsidR="00261A36" w:rsidRPr="0068480C">
        <w:rPr>
          <w:spacing w:val="-12"/>
        </w:rPr>
        <w:t xml:space="preserve"> </w:t>
      </w:r>
      <w:r w:rsidR="00261A36" w:rsidRPr="0068480C">
        <w:t>the Local</w:t>
      </w:r>
      <w:r w:rsidR="00261A36" w:rsidRPr="0068480C">
        <w:rPr>
          <w:spacing w:val="-5"/>
        </w:rPr>
        <w:t xml:space="preserve"> </w:t>
      </w:r>
      <w:r w:rsidR="00261A36" w:rsidRPr="0068480C">
        <w:t>Government: Municipal</w:t>
      </w:r>
      <w:r w:rsidR="00261A36" w:rsidRPr="0068480C">
        <w:rPr>
          <w:spacing w:val="-5"/>
        </w:rPr>
        <w:t xml:space="preserve"> </w:t>
      </w:r>
      <w:r w:rsidR="00261A36" w:rsidRPr="0068480C">
        <w:t>Finance</w:t>
      </w:r>
      <w:r w:rsidR="00261A36" w:rsidRPr="0068480C">
        <w:rPr>
          <w:spacing w:val="-5"/>
        </w:rPr>
        <w:t xml:space="preserve"> </w:t>
      </w:r>
      <w:r w:rsidR="00261A36" w:rsidRPr="0068480C">
        <w:t>Management Act</w:t>
      </w:r>
      <w:r w:rsidR="00261A36" w:rsidRPr="0068480C">
        <w:rPr>
          <w:spacing w:val="-13"/>
        </w:rPr>
        <w:t xml:space="preserve"> </w:t>
      </w:r>
      <w:r w:rsidR="00261A36" w:rsidRPr="0068480C">
        <w:t>No.</w:t>
      </w:r>
      <w:r w:rsidR="00261A36" w:rsidRPr="0068480C">
        <w:rPr>
          <w:spacing w:val="-11"/>
        </w:rPr>
        <w:t xml:space="preserve"> </w:t>
      </w:r>
      <w:r w:rsidR="00261A36" w:rsidRPr="0068480C">
        <w:t>56</w:t>
      </w:r>
      <w:r w:rsidR="00261A36" w:rsidRPr="0068480C">
        <w:rPr>
          <w:spacing w:val="-13"/>
        </w:rPr>
        <w:t xml:space="preserve"> </w:t>
      </w:r>
      <w:r w:rsidR="00261A36" w:rsidRPr="0068480C">
        <w:t>of</w:t>
      </w:r>
      <w:r w:rsidR="00261A36" w:rsidRPr="0068480C">
        <w:rPr>
          <w:spacing w:val="-9"/>
        </w:rPr>
        <w:t xml:space="preserve"> </w:t>
      </w:r>
      <w:r w:rsidR="00261A36" w:rsidRPr="0068480C">
        <w:t>2003</w:t>
      </w:r>
      <w:r w:rsidR="00261A36" w:rsidRPr="0068480C">
        <w:rPr>
          <w:spacing w:val="-2"/>
        </w:rPr>
        <w:t xml:space="preserve"> </w:t>
      </w:r>
      <w:r w:rsidR="00261A36" w:rsidRPr="0068480C">
        <w:t>(</w:t>
      </w:r>
      <w:r w:rsidR="00261A36" w:rsidRPr="0068480C">
        <w:rPr>
          <w:i/>
          <w:iCs/>
        </w:rPr>
        <w:t>“the MFMA"</w:t>
      </w:r>
      <w:r w:rsidR="00261A36" w:rsidRPr="0068480C">
        <w:t>) and the Local Government Municipal Systems Act No. 32 of 2000 (</w:t>
      </w:r>
      <w:r w:rsidR="00261A36" w:rsidRPr="0068480C">
        <w:rPr>
          <w:i/>
          <w:iCs/>
        </w:rPr>
        <w:t>“the Systems Act"</w:t>
      </w:r>
      <w:r w:rsidR="00261A36" w:rsidRPr="0068480C">
        <w:t>).</w:t>
      </w:r>
    </w:p>
    <w:p w14:paraId="28581DD7" w14:textId="1BC23E99" w:rsidR="009E7C9E" w:rsidRPr="0068480C" w:rsidRDefault="009E7C9E" w:rsidP="009E7C9E">
      <w:pPr>
        <w:pStyle w:val="LEVEL10"/>
        <w:numPr>
          <w:ilvl w:val="0"/>
          <w:numId w:val="0"/>
        </w:numPr>
        <w:ind w:left="851" w:hanging="851"/>
        <w:rPr>
          <w:i/>
          <w:iCs/>
        </w:rPr>
      </w:pPr>
      <w:r w:rsidRPr="0068480C">
        <w:rPr>
          <w:i/>
          <w:iCs/>
        </w:rPr>
        <w:t>By-Laws</w:t>
      </w:r>
    </w:p>
    <w:p w14:paraId="4A343811" w14:textId="6BEF8D70" w:rsidR="00415EA1" w:rsidRPr="0068480C" w:rsidRDefault="00F8415D" w:rsidP="00F8415D">
      <w:pPr>
        <w:pStyle w:val="LEVEL10"/>
        <w:numPr>
          <w:ilvl w:val="0"/>
          <w:numId w:val="0"/>
        </w:numPr>
        <w:ind w:left="851" w:hanging="851"/>
      </w:pPr>
      <w:r w:rsidRPr="0068480C">
        <w:t>[13]</w:t>
      </w:r>
      <w:r w:rsidRPr="0068480C">
        <w:tab/>
      </w:r>
      <w:r w:rsidR="00146AC4" w:rsidRPr="0068480C">
        <w:t>Section</w:t>
      </w:r>
      <w:r w:rsidR="00146AC4" w:rsidRPr="0068480C">
        <w:rPr>
          <w:spacing w:val="-14"/>
        </w:rPr>
        <w:t xml:space="preserve"> </w:t>
      </w:r>
      <w:r w:rsidR="00146AC4" w:rsidRPr="0068480C">
        <w:t>75A</w:t>
      </w:r>
      <w:r w:rsidR="00146AC4" w:rsidRPr="0068480C">
        <w:rPr>
          <w:spacing w:val="-18"/>
        </w:rPr>
        <w:t xml:space="preserve"> </w:t>
      </w:r>
      <w:r w:rsidR="00146AC4" w:rsidRPr="0068480C">
        <w:t>of</w:t>
      </w:r>
      <w:r w:rsidR="00146AC4" w:rsidRPr="0068480C">
        <w:rPr>
          <w:spacing w:val="-17"/>
        </w:rPr>
        <w:t xml:space="preserve"> </w:t>
      </w:r>
      <w:r w:rsidR="00146AC4" w:rsidRPr="0068480C">
        <w:t>the</w:t>
      </w:r>
      <w:r w:rsidR="00146AC4" w:rsidRPr="0068480C">
        <w:rPr>
          <w:spacing w:val="-17"/>
        </w:rPr>
        <w:t xml:space="preserve"> </w:t>
      </w:r>
      <w:r w:rsidR="00146AC4" w:rsidRPr="0068480C">
        <w:t>Systems</w:t>
      </w:r>
      <w:r w:rsidR="00146AC4" w:rsidRPr="0068480C">
        <w:rPr>
          <w:spacing w:val="-5"/>
        </w:rPr>
        <w:t xml:space="preserve"> </w:t>
      </w:r>
      <w:r w:rsidR="00146AC4" w:rsidRPr="0068480C">
        <w:t>Act</w:t>
      </w:r>
      <w:r w:rsidR="00146AC4" w:rsidRPr="0068480C">
        <w:rPr>
          <w:spacing w:val="-17"/>
        </w:rPr>
        <w:t xml:space="preserve"> </w:t>
      </w:r>
      <w:r w:rsidR="005119B5" w:rsidRPr="0068480C">
        <w:t>provides:</w:t>
      </w:r>
    </w:p>
    <w:p w14:paraId="7196E621" w14:textId="5FC925FC" w:rsidR="005119B5" w:rsidRPr="0068480C" w:rsidRDefault="005119B5" w:rsidP="005119B5">
      <w:pPr>
        <w:pStyle w:val="level1"/>
        <w:numPr>
          <w:ilvl w:val="0"/>
          <w:numId w:val="0"/>
        </w:numPr>
        <w:spacing w:line="360" w:lineRule="auto"/>
        <w:ind w:left="851" w:firstLine="567"/>
        <w:rPr>
          <w:i/>
          <w:iCs/>
          <w:lang w:eastAsia="en-ZA"/>
        </w:rPr>
      </w:pPr>
      <w:r w:rsidRPr="0068480C">
        <w:rPr>
          <w:lang w:eastAsia="en-ZA"/>
        </w:rPr>
        <w:t>“</w:t>
      </w:r>
      <w:r w:rsidRPr="0068480C">
        <w:rPr>
          <w:i/>
          <w:iCs/>
          <w:lang w:eastAsia="en-ZA"/>
        </w:rPr>
        <w:t>(1) A municipality may-</w:t>
      </w:r>
    </w:p>
    <w:p w14:paraId="4507764D" w14:textId="7D803BFE" w:rsidR="005119B5" w:rsidRPr="0068480C" w:rsidRDefault="005119B5" w:rsidP="005119B5">
      <w:pPr>
        <w:pStyle w:val="level1"/>
        <w:numPr>
          <w:ilvl w:val="0"/>
          <w:numId w:val="0"/>
        </w:numPr>
        <w:spacing w:line="360" w:lineRule="auto"/>
        <w:ind w:left="1418" w:firstLine="132"/>
        <w:rPr>
          <w:i/>
          <w:iCs/>
          <w:lang w:eastAsia="en-ZA"/>
        </w:rPr>
      </w:pPr>
      <w:r w:rsidRPr="0068480C">
        <w:rPr>
          <w:i/>
          <w:iCs/>
          <w:lang w:eastAsia="en-ZA"/>
        </w:rPr>
        <w:t xml:space="preserve">(a)   levy and recover fees, </w:t>
      </w:r>
      <w:proofErr w:type="gramStart"/>
      <w:r w:rsidRPr="0068480C">
        <w:rPr>
          <w:i/>
          <w:iCs/>
          <w:lang w:eastAsia="en-ZA"/>
        </w:rPr>
        <w:t>charges</w:t>
      </w:r>
      <w:proofErr w:type="gramEnd"/>
      <w:r w:rsidRPr="0068480C">
        <w:rPr>
          <w:i/>
          <w:iCs/>
          <w:lang w:eastAsia="en-ZA"/>
        </w:rPr>
        <w:t xml:space="preserve"> or tariffs in respect of any function or service of the municipality; and</w:t>
      </w:r>
    </w:p>
    <w:p w14:paraId="4A523A9E" w14:textId="62D44599" w:rsidR="005119B5" w:rsidRPr="0068480C" w:rsidRDefault="005119B5" w:rsidP="005119B5">
      <w:pPr>
        <w:pStyle w:val="level1"/>
        <w:numPr>
          <w:ilvl w:val="0"/>
          <w:numId w:val="0"/>
        </w:numPr>
        <w:spacing w:line="360" w:lineRule="auto"/>
        <w:ind w:left="851" w:firstLine="567"/>
        <w:rPr>
          <w:i/>
          <w:iCs/>
          <w:lang w:eastAsia="en-ZA"/>
        </w:rPr>
      </w:pPr>
      <w:r w:rsidRPr="0068480C">
        <w:rPr>
          <w:i/>
          <w:iCs/>
          <w:lang w:eastAsia="en-ZA"/>
        </w:rPr>
        <w:t> (b)   recover collection charges and interest on any outstanding amount.</w:t>
      </w:r>
    </w:p>
    <w:p w14:paraId="4F9FA6A6" w14:textId="0AB8FB35" w:rsidR="005119B5" w:rsidRPr="0068480C" w:rsidRDefault="005119B5" w:rsidP="005119B5">
      <w:pPr>
        <w:pStyle w:val="level1"/>
        <w:numPr>
          <w:ilvl w:val="0"/>
          <w:numId w:val="0"/>
        </w:numPr>
        <w:spacing w:line="360" w:lineRule="auto"/>
        <w:ind w:left="1418"/>
        <w:rPr>
          <w:lang w:eastAsia="en-ZA"/>
        </w:rPr>
      </w:pPr>
      <w:r w:rsidRPr="0068480C">
        <w:rPr>
          <w:i/>
          <w:iCs/>
          <w:lang w:eastAsia="en-ZA"/>
        </w:rPr>
        <w:t>(2) The fees, charges or tariffs referred to in subsection (1) are levied by a municipality by resolution passed by the municipal council with a supporting vote of a majority of its members.</w:t>
      </w:r>
      <w:r w:rsidRPr="0068480C">
        <w:rPr>
          <w:lang w:eastAsia="en-ZA"/>
        </w:rPr>
        <w:t>”</w:t>
      </w:r>
    </w:p>
    <w:p w14:paraId="2703AD0B" w14:textId="745E97B9" w:rsidR="00415EA1" w:rsidRPr="0068480C" w:rsidRDefault="00F8415D" w:rsidP="00F8415D">
      <w:pPr>
        <w:pStyle w:val="LEVEL10"/>
        <w:numPr>
          <w:ilvl w:val="0"/>
          <w:numId w:val="0"/>
        </w:numPr>
        <w:ind w:left="851" w:hanging="851"/>
      </w:pPr>
      <w:r w:rsidRPr="0068480C">
        <w:t>[14]</w:t>
      </w:r>
      <w:r w:rsidRPr="0068480C">
        <w:tab/>
      </w:r>
      <w:r w:rsidR="00B85FBD" w:rsidRPr="0068480C">
        <w:t>S</w:t>
      </w:r>
      <w:r w:rsidR="00A277D6" w:rsidRPr="0068480C">
        <w:t>ection 11(3) of the Systems Act</w:t>
      </w:r>
      <w:r w:rsidR="005119B5" w:rsidRPr="0068480C">
        <w:t xml:space="preserve"> provides in part: </w:t>
      </w:r>
    </w:p>
    <w:p w14:paraId="3852DB3D" w14:textId="77777777" w:rsidR="005119B5" w:rsidRPr="0068480C" w:rsidRDefault="00373C6D" w:rsidP="005119B5">
      <w:pPr>
        <w:shd w:val="clear" w:color="auto" w:fill="FFFFFF"/>
        <w:spacing w:before="0" w:line="360" w:lineRule="auto"/>
        <w:ind w:firstLine="1418"/>
        <w:jc w:val="left"/>
        <w:rPr>
          <w:rFonts w:eastAsia="Times New Roman" w:cs="Arial"/>
          <w:i/>
          <w:iCs/>
          <w:szCs w:val="24"/>
          <w:lang w:eastAsia="en-ZA"/>
        </w:rPr>
      </w:pPr>
      <w:r w:rsidRPr="0068480C">
        <w:t>“</w:t>
      </w:r>
      <w:r w:rsidR="005119B5" w:rsidRPr="0068480C">
        <w:rPr>
          <w:rFonts w:eastAsia="Times New Roman" w:cs="Arial"/>
          <w:i/>
          <w:iCs/>
          <w:szCs w:val="24"/>
          <w:lang w:eastAsia="en-ZA"/>
        </w:rPr>
        <w:t>(3) A municipality exercises its legislative or executive authority by-</w:t>
      </w:r>
    </w:p>
    <w:p w14:paraId="4AA28491" w14:textId="4BA7C596" w:rsidR="005119B5" w:rsidRPr="0068480C" w:rsidRDefault="005119B5" w:rsidP="00F248B7">
      <w:pPr>
        <w:shd w:val="clear" w:color="auto" w:fill="FFFFFF"/>
        <w:spacing w:before="60" w:line="360" w:lineRule="auto"/>
        <w:ind w:hanging="737"/>
        <w:jc w:val="left"/>
        <w:rPr>
          <w:rFonts w:eastAsia="Times New Roman" w:cs="Arial"/>
          <w:i/>
          <w:iCs/>
          <w:szCs w:val="24"/>
          <w:lang w:eastAsia="en-ZA"/>
        </w:rPr>
      </w:pPr>
      <w:r w:rsidRPr="0068480C">
        <w:rPr>
          <w:rFonts w:eastAsia="Times New Roman" w:cs="Arial"/>
          <w:i/>
          <w:iCs/>
          <w:szCs w:val="24"/>
          <w:lang w:eastAsia="en-ZA"/>
        </w:rPr>
        <w:t>  </w:t>
      </w:r>
      <w:r w:rsidRPr="0068480C">
        <w:rPr>
          <w:rFonts w:eastAsia="Times New Roman" w:cs="Arial"/>
          <w:i/>
          <w:iCs/>
          <w:szCs w:val="24"/>
          <w:lang w:eastAsia="en-ZA"/>
        </w:rPr>
        <w:tab/>
      </w:r>
      <w:r w:rsidRPr="0068480C">
        <w:rPr>
          <w:rFonts w:eastAsia="Times New Roman" w:cs="Arial"/>
          <w:i/>
          <w:iCs/>
          <w:szCs w:val="24"/>
          <w:lang w:eastAsia="en-ZA"/>
        </w:rPr>
        <w:tab/>
      </w:r>
      <w:r w:rsidRPr="0068480C">
        <w:rPr>
          <w:rFonts w:eastAsia="Times New Roman" w:cs="Arial"/>
          <w:i/>
          <w:iCs/>
          <w:szCs w:val="24"/>
          <w:lang w:eastAsia="en-ZA"/>
        </w:rPr>
        <w:tab/>
        <w:t> </w:t>
      </w:r>
      <w:r w:rsidR="00F248B7" w:rsidRPr="0068480C">
        <w:rPr>
          <w:rFonts w:eastAsia="Times New Roman" w:cs="Arial"/>
          <w:i/>
          <w:iCs/>
          <w:szCs w:val="24"/>
          <w:lang w:eastAsia="en-ZA"/>
        </w:rPr>
        <w:t xml:space="preserve">    …</w:t>
      </w:r>
    </w:p>
    <w:p w14:paraId="7F62F861" w14:textId="684AE236" w:rsidR="00415EA1" w:rsidRPr="0068480C" w:rsidRDefault="005119B5" w:rsidP="00F248B7">
      <w:pPr>
        <w:pStyle w:val="quotation1"/>
        <w:ind w:left="2553" w:hanging="1135"/>
        <w:rPr>
          <w:spacing w:val="-4"/>
        </w:rPr>
      </w:pPr>
      <w:r w:rsidRPr="0068480C">
        <w:tab/>
      </w:r>
      <w:r w:rsidR="00373C6D" w:rsidRPr="0068480C">
        <w:t>(e</w:t>
      </w:r>
      <w:r w:rsidR="00457A28" w:rsidRPr="0068480C">
        <w:t>)</w:t>
      </w:r>
      <w:r w:rsidR="00457A28" w:rsidRPr="0068480C">
        <w:tab/>
        <w:t>implementing applicable national and</w:t>
      </w:r>
      <w:r w:rsidR="00457A28" w:rsidRPr="0068480C">
        <w:rPr>
          <w:spacing w:val="-12"/>
        </w:rPr>
        <w:t xml:space="preserve"> </w:t>
      </w:r>
      <w:r w:rsidR="00457A28" w:rsidRPr="0068480C">
        <w:t>provincial legislation</w:t>
      </w:r>
      <w:r w:rsidR="00457A28" w:rsidRPr="0068480C">
        <w:rPr>
          <w:spacing w:val="-5"/>
        </w:rPr>
        <w:t xml:space="preserve"> </w:t>
      </w:r>
      <w:r w:rsidR="00457A28" w:rsidRPr="0068480C">
        <w:t>and</w:t>
      </w:r>
      <w:r w:rsidR="00457A28" w:rsidRPr="0068480C">
        <w:rPr>
          <w:spacing w:val="-1"/>
        </w:rPr>
        <w:t xml:space="preserve"> </w:t>
      </w:r>
      <w:r w:rsidR="00457A28" w:rsidRPr="0068480C">
        <w:t>its</w:t>
      </w:r>
      <w:r w:rsidR="00457A28" w:rsidRPr="0068480C">
        <w:rPr>
          <w:spacing w:val="-12"/>
        </w:rPr>
        <w:t xml:space="preserve"> </w:t>
      </w:r>
      <w:r w:rsidR="00457A28" w:rsidRPr="0068480C">
        <w:t xml:space="preserve">by- </w:t>
      </w:r>
      <w:proofErr w:type="gramStart"/>
      <w:r w:rsidR="00457A28" w:rsidRPr="0068480C">
        <w:rPr>
          <w:spacing w:val="-4"/>
        </w:rPr>
        <w:t>laws</w:t>
      </w:r>
      <w:r w:rsidR="00CB76DF" w:rsidRPr="0068480C">
        <w:rPr>
          <w:spacing w:val="-4"/>
        </w:rPr>
        <w:t>;</w:t>
      </w:r>
      <w:proofErr w:type="gramEnd"/>
    </w:p>
    <w:p w14:paraId="1BD529BB" w14:textId="697B54F1" w:rsidR="00F248B7" w:rsidRPr="0068480C" w:rsidRDefault="00F248B7" w:rsidP="00457A28">
      <w:pPr>
        <w:pStyle w:val="quotation1"/>
        <w:rPr>
          <w:spacing w:val="-4"/>
        </w:rPr>
      </w:pPr>
      <w:r w:rsidRPr="0068480C">
        <w:rPr>
          <w:spacing w:val="-4"/>
        </w:rPr>
        <w:lastRenderedPageBreak/>
        <w:tab/>
        <w:t>…</w:t>
      </w:r>
    </w:p>
    <w:p w14:paraId="13D09769" w14:textId="3C49C02F" w:rsidR="00CB76DF" w:rsidRPr="0068480C" w:rsidRDefault="00F8415D" w:rsidP="00F8415D">
      <w:pPr>
        <w:pStyle w:val="quotation1"/>
        <w:ind w:left="2702" w:hanging="720"/>
      </w:pPr>
      <w:r w:rsidRPr="0068480C">
        <w:t>(</w:t>
      </w:r>
      <w:proofErr w:type="spellStart"/>
      <w:r w:rsidRPr="0068480C">
        <w:t>i</w:t>
      </w:r>
      <w:proofErr w:type="spellEnd"/>
      <w:r w:rsidRPr="0068480C">
        <w:t>)</w:t>
      </w:r>
      <w:r w:rsidRPr="0068480C">
        <w:tab/>
      </w:r>
      <w:r w:rsidR="00C24FAF" w:rsidRPr="0068480C">
        <w:rPr>
          <w:spacing w:val="-4"/>
        </w:rPr>
        <w:t>i</w:t>
      </w:r>
      <w:r w:rsidR="006D5F23" w:rsidRPr="0068480C">
        <w:t>mposing and</w:t>
      </w:r>
      <w:r w:rsidR="006D5F23" w:rsidRPr="0068480C">
        <w:rPr>
          <w:spacing w:val="-10"/>
        </w:rPr>
        <w:t xml:space="preserve"> </w:t>
      </w:r>
      <w:r w:rsidR="006D5F23" w:rsidRPr="0068480C">
        <w:t>recovering rates,</w:t>
      </w:r>
      <w:r w:rsidR="006D5F23" w:rsidRPr="0068480C">
        <w:rPr>
          <w:spacing w:val="-8"/>
        </w:rPr>
        <w:t xml:space="preserve"> </w:t>
      </w:r>
      <w:r w:rsidR="006D5F23" w:rsidRPr="0068480C">
        <w:t>taxes,</w:t>
      </w:r>
      <w:r w:rsidR="006D5F23" w:rsidRPr="0068480C">
        <w:rPr>
          <w:spacing w:val="-6"/>
        </w:rPr>
        <w:t xml:space="preserve"> </w:t>
      </w:r>
      <w:r w:rsidR="006D5F23" w:rsidRPr="0068480C">
        <w:t>levies,</w:t>
      </w:r>
      <w:r w:rsidR="006D5F23" w:rsidRPr="0068480C">
        <w:rPr>
          <w:spacing w:val="-1"/>
        </w:rPr>
        <w:t xml:space="preserve"> </w:t>
      </w:r>
      <w:r w:rsidR="006D5F23" w:rsidRPr="0068480C">
        <w:t>duties,</w:t>
      </w:r>
      <w:r w:rsidR="006D5F23" w:rsidRPr="0068480C">
        <w:rPr>
          <w:spacing w:val="-8"/>
        </w:rPr>
        <w:t xml:space="preserve"> </w:t>
      </w:r>
      <w:r w:rsidR="006D5F23" w:rsidRPr="0068480C">
        <w:t>service fees</w:t>
      </w:r>
      <w:r w:rsidR="006D5F23" w:rsidRPr="0068480C">
        <w:rPr>
          <w:spacing w:val="-5"/>
        </w:rPr>
        <w:t xml:space="preserve"> </w:t>
      </w:r>
      <w:r w:rsidR="006D5F23" w:rsidRPr="0068480C">
        <w:t xml:space="preserve">and surcharges on fees including setting and implementing tariffs, rates and taxes and debt collection </w:t>
      </w:r>
      <w:proofErr w:type="gramStart"/>
      <w:r w:rsidR="006D5F23" w:rsidRPr="0068480C">
        <w:t>policies;</w:t>
      </w:r>
      <w:proofErr w:type="gramEnd"/>
    </w:p>
    <w:p w14:paraId="590EEEA6" w14:textId="79A98333" w:rsidR="00F248B7" w:rsidRPr="0068480C" w:rsidRDefault="00F248B7" w:rsidP="00F248B7">
      <w:pPr>
        <w:pStyle w:val="quotation1"/>
        <w:ind w:left="2702" w:firstLine="0"/>
      </w:pPr>
      <w:r w:rsidRPr="0068480C">
        <w:t>…</w:t>
      </w:r>
    </w:p>
    <w:p w14:paraId="5F6447CD" w14:textId="771B36DB" w:rsidR="006D5F23" w:rsidRPr="0068480C" w:rsidRDefault="00F248B7" w:rsidP="00F248B7">
      <w:pPr>
        <w:pStyle w:val="quotation1"/>
        <w:ind w:left="2553" w:hanging="1135"/>
      </w:pPr>
      <w:r w:rsidRPr="0068480C">
        <w:tab/>
      </w:r>
      <w:r w:rsidR="006D5F23" w:rsidRPr="0068480C">
        <w:t>(m)</w:t>
      </w:r>
      <w:r w:rsidR="006D5F23" w:rsidRPr="0068480C">
        <w:rPr>
          <w:spacing w:val="40"/>
        </w:rPr>
        <w:t xml:space="preserve"> </w:t>
      </w:r>
      <w:r w:rsidR="006D5F23" w:rsidRPr="0068480C">
        <w:t>passing by-laws and taking decisions on any of</w:t>
      </w:r>
      <w:r w:rsidR="006D5F23" w:rsidRPr="0068480C">
        <w:rPr>
          <w:spacing w:val="-6"/>
        </w:rPr>
        <w:t xml:space="preserve"> </w:t>
      </w:r>
      <w:r w:rsidR="006D5F23" w:rsidRPr="0068480C">
        <w:t xml:space="preserve">the abovementioned </w:t>
      </w:r>
      <w:r w:rsidR="006D5F23" w:rsidRPr="0068480C">
        <w:rPr>
          <w:spacing w:val="-2"/>
        </w:rPr>
        <w:t>matters.”</w:t>
      </w:r>
    </w:p>
    <w:p w14:paraId="5DC5098E" w14:textId="29805BAD" w:rsidR="00415EA1" w:rsidRPr="0068480C" w:rsidRDefault="00F8415D" w:rsidP="00F8415D">
      <w:pPr>
        <w:pStyle w:val="LEVEL20"/>
        <w:numPr>
          <w:ilvl w:val="0"/>
          <w:numId w:val="0"/>
        </w:numPr>
        <w:ind w:left="851" w:hanging="851"/>
      </w:pPr>
      <w:r w:rsidRPr="0068480C">
        <w:t>[15]</w:t>
      </w:r>
      <w:r w:rsidRPr="0068480C">
        <w:tab/>
      </w:r>
      <w:r w:rsidR="00F248B7" w:rsidRPr="0068480C">
        <w:t>T</w:t>
      </w:r>
      <w:r w:rsidR="00300522" w:rsidRPr="0068480C">
        <w:t>he City of</w:t>
      </w:r>
      <w:r w:rsidR="00300522" w:rsidRPr="0068480C">
        <w:rPr>
          <w:spacing w:val="-3"/>
        </w:rPr>
        <w:t xml:space="preserve"> </w:t>
      </w:r>
      <w:r w:rsidR="00300522" w:rsidRPr="0068480C">
        <w:t>Johannesburg Electricity By-laws (“</w:t>
      </w:r>
      <w:r w:rsidR="00300522" w:rsidRPr="0068480C">
        <w:rPr>
          <w:i/>
          <w:iCs/>
        </w:rPr>
        <w:t>the By-Laws</w:t>
      </w:r>
      <w:r w:rsidR="00300522" w:rsidRPr="0068480C">
        <w:t>”) were</w:t>
      </w:r>
      <w:r w:rsidR="00300522" w:rsidRPr="0068480C">
        <w:rPr>
          <w:spacing w:val="-5"/>
        </w:rPr>
        <w:t xml:space="preserve"> </w:t>
      </w:r>
      <w:r w:rsidR="00300522" w:rsidRPr="0068480C">
        <w:t>promulgated in</w:t>
      </w:r>
      <w:r w:rsidR="00300522" w:rsidRPr="0068480C">
        <w:rPr>
          <w:spacing w:val="-7"/>
        </w:rPr>
        <w:t xml:space="preserve"> </w:t>
      </w:r>
      <w:r w:rsidR="00300522" w:rsidRPr="0068480C">
        <w:t>2000</w:t>
      </w:r>
      <w:r w:rsidR="00300522" w:rsidRPr="0068480C">
        <w:rPr>
          <w:spacing w:val="-3"/>
        </w:rPr>
        <w:t xml:space="preserve"> </w:t>
      </w:r>
      <w:r w:rsidR="00300522" w:rsidRPr="0068480C">
        <w:t>in</w:t>
      </w:r>
      <w:r w:rsidR="00300522" w:rsidRPr="0068480C">
        <w:rPr>
          <w:spacing w:val="-10"/>
        </w:rPr>
        <w:t xml:space="preserve"> </w:t>
      </w:r>
      <w:r w:rsidR="00300522" w:rsidRPr="0068480C">
        <w:t>accordance with section 11(3)(m) of the Systems Act.</w:t>
      </w:r>
    </w:p>
    <w:p w14:paraId="552CCFBD" w14:textId="178D79A5" w:rsidR="00F248B7" w:rsidRPr="0068480C" w:rsidRDefault="00F8415D" w:rsidP="00F8415D">
      <w:pPr>
        <w:pStyle w:val="LEVEL20"/>
        <w:numPr>
          <w:ilvl w:val="0"/>
          <w:numId w:val="0"/>
        </w:numPr>
        <w:ind w:left="851" w:hanging="851"/>
      </w:pPr>
      <w:r w:rsidRPr="0068480C">
        <w:t>[16]</w:t>
      </w:r>
      <w:r w:rsidRPr="0068480C">
        <w:tab/>
      </w:r>
      <w:r w:rsidR="0006439C" w:rsidRPr="0068480C">
        <w:t>Section 4</w:t>
      </w:r>
      <w:r w:rsidR="0006439C" w:rsidRPr="0068480C">
        <w:rPr>
          <w:spacing w:val="-12"/>
        </w:rPr>
        <w:t xml:space="preserve"> </w:t>
      </w:r>
      <w:r w:rsidR="0006439C" w:rsidRPr="0068480C">
        <w:t>of</w:t>
      </w:r>
      <w:r w:rsidR="0006439C" w:rsidRPr="0068480C">
        <w:rPr>
          <w:spacing w:val="-5"/>
        </w:rPr>
        <w:t xml:space="preserve"> </w:t>
      </w:r>
      <w:r w:rsidR="0006439C" w:rsidRPr="0068480C">
        <w:t>the</w:t>
      </w:r>
      <w:r w:rsidR="0006439C" w:rsidRPr="0068480C">
        <w:rPr>
          <w:spacing w:val="-3"/>
        </w:rPr>
        <w:t xml:space="preserve"> </w:t>
      </w:r>
      <w:r w:rsidR="0006439C" w:rsidRPr="0068480C">
        <w:t>By-Laws provide</w:t>
      </w:r>
      <w:r w:rsidR="00F248B7" w:rsidRPr="0068480C">
        <w:t>s that</w:t>
      </w:r>
      <w:r w:rsidR="0006439C" w:rsidRPr="0068480C">
        <w:rPr>
          <w:spacing w:val="-11"/>
        </w:rPr>
        <w:t xml:space="preserve"> </w:t>
      </w:r>
      <w:r w:rsidR="0006439C" w:rsidRPr="0068480C">
        <w:t>the charge</w:t>
      </w:r>
      <w:r w:rsidR="0006439C" w:rsidRPr="0068480C">
        <w:rPr>
          <w:spacing w:val="-3"/>
        </w:rPr>
        <w:t xml:space="preserve"> </w:t>
      </w:r>
      <w:r w:rsidR="0006439C" w:rsidRPr="0068480C">
        <w:t>determined by</w:t>
      </w:r>
      <w:r w:rsidR="0006439C" w:rsidRPr="0068480C">
        <w:rPr>
          <w:spacing w:val="-5"/>
        </w:rPr>
        <w:t xml:space="preserve"> </w:t>
      </w:r>
      <w:r w:rsidR="0006439C" w:rsidRPr="0068480C">
        <w:t>council shall</w:t>
      </w:r>
      <w:r w:rsidR="0006439C" w:rsidRPr="0068480C">
        <w:rPr>
          <w:spacing w:val="-9"/>
        </w:rPr>
        <w:t xml:space="preserve"> </w:t>
      </w:r>
      <w:r w:rsidR="0006439C" w:rsidRPr="0068480C">
        <w:t>be payable for electricity consumption</w:t>
      </w:r>
      <w:r w:rsidR="00F248B7" w:rsidRPr="0068480C">
        <w:t xml:space="preserve">. </w:t>
      </w:r>
    </w:p>
    <w:p w14:paraId="0C4E788A" w14:textId="3756C9EE" w:rsidR="008C59FC" w:rsidRPr="0068480C" w:rsidRDefault="00F8415D" w:rsidP="00F8415D">
      <w:pPr>
        <w:pStyle w:val="LEVEL20"/>
        <w:numPr>
          <w:ilvl w:val="0"/>
          <w:numId w:val="0"/>
        </w:numPr>
        <w:ind w:left="851" w:hanging="851"/>
      </w:pPr>
      <w:r w:rsidRPr="0068480C">
        <w:t>[17]</w:t>
      </w:r>
      <w:r w:rsidRPr="0068480C">
        <w:tab/>
      </w:r>
      <w:r w:rsidR="0006439C" w:rsidRPr="0068480C">
        <w:t xml:space="preserve">Section 5(9) </w:t>
      </w:r>
      <w:r w:rsidR="00F248B7" w:rsidRPr="0068480C">
        <w:t xml:space="preserve">of the By-Laws </w:t>
      </w:r>
      <w:r w:rsidR="0006439C" w:rsidRPr="0068480C">
        <w:t>reads</w:t>
      </w:r>
      <w:r w:rsidR="00F248B7" w:rsidRPr="0068480C">
        <w:t>:</w:t>
      </w:r>
      <w:r w:rsidR="0006439C" w:rsidRPr="0068480C">
        <w:rPr>
          <w:spacing w:val="-10"/>
        </w:rPr>
        <w:t xml:space="preserve"> </w:t>
      </w:r>
      <w:r w:rsidR="0006439C" w:rsidRPr="0068480C">
        <w:t>“</w:t>
      </w:r>
      <w:r w:rsidR="0006439C" w:rsidRPr="0068480C">
        <w:rPr>
          <w:i/>
          <w:iCs/>
        </w:rPr>
        <w:t>The</w:t>
      </w:r>
      <w:r w:rsidR="0006439C" w:rsidRPr="0068480C">
        <w:rPr>
          <w:i/>
          <w:iCs/>
          <w:spacing w:val="-3"/>
        </w:rPr>
        <w:t xml:space="preserve"> </w:t>
      </w:r>
      <w:r w:rsidR="0006439C" w:rsidRPr="0068480C">
        <w:rPr>
          <w:i/>
          <w:iCs/>
        </w:rPr>
        <w:t>owner shall</w:t>
      </w:r>
      <w:r w:rsidR="0006439C" w:rsidRPr="0068480C">
        <w:rPr>
          <w:i/>
          <w:iCs/>
          <w:spacing w:val="-1"/>
        </w:rPr>
        <w:t xml:space="preserve"> </w:t>
      </w:r>
      <w:r w:rsidR="0006439C" w:rsidRPr="0068480C">
        <w:rPr>
          <w:i/>
          <w:iCs/>
        </w:rPr>
        <w:t>be responsible for</w:t>
      </w:r>
      <w:r w:rsidR="0006439C" w:rsidRPr="0068480C">
        <w:rPr>
          <w:i/>
          <w:iCs/>
          <w:spacing w:val="-6"/>
        </w:rPr>
        <w:t xml:space="preserve"> </w:t>
      </w:r>
      <w:r w:rsidR="0006439C" w:rsidRPr="0068480C">
        <w:rPr>
          <w:i/>
          <w:iCs/>
        </w:rPr>
        <w:t>all</w:t>
      </w:r>
      <w:r w:rsidR="0006439C" w:rsidRPr="0068480C">
        <w:rPr>
          <w:i/>
          <w:iCs/>
          <w:spacing w:val="-13"/>
        </w:rPr>
        <w:t xml:space="preserve"> </w:t>
      </w:r>
      <w:r w:rsidR="0006439C" w:rsidRPr="0068480C">
        <w:rPr>
          <w:i/>
          <w:iCs/>
        </w:rPr>
        <w:t>costs</w:t>
      </w:r>
      <w:r w:rsidR="0006439C" w:rsidRPr="0068480C">
        <w:rPr>
          <w:i/>
          <w:iCs/>
          <w:spacing w:val="-13"/>
        </w:rPr>
        <w:t xml:space="preserve"> </w:t>
      </w:r>
      <w:r w:rsidR="0006439C" w:rsidRPr="0068480C">
        <w:rPr>
          <w:i/>
          <w:iCs/>
        </w:rPr>
        <w:t>of</w:t>
      </w:r>
      <w:r w:rsidR="0006439C" w:rsidRPr="0068480C">
        <w:rPr>
          <w:i/>
          <w:iCs/>
          <w:spacing w:val="-16"/>
        </w:rPr>
        <w:t xml:space="preserve"> </w:t>
      </w:r>
      <w:r w:rsidR="0006439C" w:rsidRPr="0068480C">
        <w:rPr>
          <w:i/>
          <w:iCs/>
        </w:rPr>
        <w:t>alterations</w:t>
      </w:r>
      <w:r w:rsidR="0006439C" w:rsidRPr="0068480C">
        <w:rPr>
          <w:i/>
          <w:iCs/>
          <w:spacing w:val="-7"/>
        </w:rPr>
        <w:t xml:space="preserve"> </w:t>
      </w:r>
      <w:r w:rsidR="0006439C" w:rsidRPr="0068480C">
        <w:rPr>
          <w:i/>
          <w:iCs/>
        </w:rPr>
        <w:t>to</w:t>
      </w:r>
      <w:r w:rsidR="0006439C" w:rsidRPr="0068480C">
        <w:rPr>
          <w:i/>
          <w:iCs/>
          <w:spacing w:val="-15"/>
        </w:rPr>
        <w:t xml:space="preserve"> </w:t>
      </w:r>
      <w:r w:rsidR="0006439C" w:rsidRPr="0068480C">
        <w:rPr>
          <w:i/>
          <w:iCs/>
        </w:rPr>
        <w:t>provide</w:t>
      </w:r>
      <w:r w:rsidR="0006439C" w:rsidRPr="0068480C">
        <w:rPr>
          <w:i/>
          <w:iCs/>
          <w:spacing w:val="-11"/>
        </w:rPr>
        <w:t xml:space="preserve"> </w:t>
      </w:r>
      <w:r w:rsidR="0006439C" w:rsidRPr="0068480C">
        <w:rPr>
          <w:i/>
          <w:iCs/>
        </w:rPr>
        <w:t>meters</w:t>
      </w:r>
      <w:r w:rsidR="0006439C" w:rsidRPr="0068480C">
        <w:rPr>
          <w:i/>
          <w:iCs/>
          <w:spacing w:val="-13"/>
        </w:rPr>
        <w:t xml:space="preserve"> </w:t>
      </w:r>
      <w:r w:rsidR="0006439C" w:rsidRPr="0068480C">
        <w:rPr>
          <w:i/>
          <w:iCs/>
        </w:rPr>
        <w:t>to</w:t>
      </w:r>
      <w:r w:rsidR="0006439C" w:rsidRPr="0068480C">
        <w:rPr>
          <w:i/>
          <w:iCs/>
          <w:spacing w:val="-18"/>
        </w:rPr>
        <w:t xml:space="preserve"> </w:t>
      </w:r>
      <w:r w:rsidR="0006439C" w:rsidRPr="0068480C">
        <w:rPr>
          <w:i/>
          <w:iCs/>
        </w:rPr>
        <w:t>register</w:t>
      </w:r>
      <w:r w:rsidR="0006439C" w:rsidRPr="0068480C">
        <w:rPr>
          <w:i/>
          <w:iCs/>
          <w:spacing w:val="-3"/>
        </w:rPr>
        <w:t xml:space="preserve"> </w:t>
      </w:r>
      <w:r w:rsidR="0006439C" w:rsidRPr="0068480C">
        <w:rPr>
          <w:i/>
          <w:iCs/>
        </w:rPr>
        <w:t>communal loads</w:t>
      </w:r>
      <w:r w:rsidR="008C59FC" w:rsidRPr="0068480C">
        <w:t>.”</w:t>
      </w:r>
      <w:r w:rsidR="0006439C" w:rsidRPr="0068480C">
        <w:rPr>
          <w:i/>
          <w:iCs/>
        </w:rPr>
        <w:t xml:space="preserve"> </w:t>
      </w:r>
      <w:r w:rsidR="008C59FC" w:rsidRPr="0068480C">
        <w:rPr>
          <w:i/>
          <w:iCs/>
        </w:rPr>
        <w:t xml:space="preserve">Section </w:t>
      </w:r>
      <w:r w:rsidR="0006439C" w:rsidRPr="0068480C">
        <w:rPr>
          <w:i/>
          <w:iCs/>
        </w:rPr>
        <w:t>5(10)</w:t>
      </w:r>
      <w:r w:rsidR="0006439C" w:rsidRPr="0068480C">
        <w:rPr>
          <w:spacing w:val="-17"/>
        </w:rPr>
        <w:t xml:space="preserve"> </w:t>
      </w:r>
      <w:r w:rsidR="008C59FC" w:rsidRPr="0068480C">
        <w:t>of the By-Laws provides:</w:t>
      </w:r>
    </w:p>
    <w:p w14:paraId="1778CAE2" w14:textId="53E6F750" w:rsidR="00415EA1" w:rsidRPr="0068480C" w:rsidRDefault="008C59FC" w:rsidP="008C59FC">
      <w:pPr>
        <w:pStyle w:val="LEVEL20"/>
        <w:numPr>
          <w:ilvl w:val="0"/>
          <w:numId w:val="0"/>
        </w:numPr>
        <w:spacing w:line="360" w:lineRule="auto"/>
        <w:ind w:left="1702" w:hanging="284"/>
      </w:pPr>
      <w:r w:rsidRPr="0068480C">
        <w:tab/>
      </w:r>
      <w:r w:rsidR="0006439C" w:rsidRPr="0068480C">
        <w:rPr>
          <w:i/>
          <w:iCs/>
        </w:rPr>
        <w:t xml:space="preserve">"Communal loads for </w:t>
      </w:r>
      <w:r w:rsidR="0006439C" w:rsidRPr="00C51F72">
        <w:rPr>
          <w:i/>
          <w:iCs/>
          <w:u w:val="single"/>
        </w:rPr>
        <w:t>both domestic and non-domestic uses which cannot be separated shall be metered at the appropriate non- domestic charges</w:t>
      </w:r>
      <w:r w:rsidR="0006439C" w:rsidRPr="0068480C">
        <w:rPr>
          <w:i/>
          <w:iCs/>
        </w:rPr>
        <w:t xml:space="preserve"> as determined by counci</w:t>
      </w:r>
      <w:r w:rsidR="00240883" w:rsidRPr="0068480C">
        <w:rPr>
          <w:i/>
          <w:iCs/>
        </w:rPr>
        <w:t>l</w:t>
      </w:r>
      <w:r w:rsidR="0006439C" w:rsidRPr="0068480C">
        <w:rPr>
          <w:i/>
          <w:iCs/>
        </w:rPr>
        <w:t xml:space="preserve"> from time to </w:t>
      </w:r>
      <w:r w:rsidR="00240883" w:rsidRPr="0068480C">
        <w:rPr>
          <w:i/>
          <w:iCs/>
        </w:rPr>
        <w:t>ti</w:t>
      </w:r>
      <w:r w:rsidR="0006439C" w:rsidRPr="0068480C">
        <w:rPr>
          <w:i/>
          <w:iCs/>
        </w:rPr>
        <w:t>me.”</w:t>
      </w:r>
      <w:r w:rsidR="0006439C" w:rsidRPr="0068480C">
        <w:t xml:space="preserve"> </w:t>
      </w:r>
      <w:r w:rsidR="00C51F72">
        <w:t>[Own emphasis.]</w:t>
      </w:r>
    </w:p>
    <w:p w14:paraId="38FD21C0" w14:textId="203C27C1" w:rsidR="00A84290" w:rsidRPr="0068480C" w:rsidRDefault="00A84290" w:rsidP="00A84290">
      <w:pPr>
        <w:pStyle w:val="LEVEL20"/>
        <w:numPr>
          <w:ilvl w:val="0"/>
          <w:numId w:val="0"/>
        </w:numPr>
        <w:ind w:left="851" w:hanging="851"/>
        <w:rPr>
          <w:i/>
          <w:iCs/>
        </w:rPr>
      </w:pPr>
      <w:r w:rsidRPr="0068480C">
        <w:rPr>
          <w:i/>
          <w:iCs/>
        </w:rPr>
        <w:t>Tariff Policy</w:t>
      </w:r>
    </w:p>
    <w:p w14:paraId="7F78C73F" w14:textId="23DB83AA" w:rsidR="003B62FC" w:rsidRPr="0068480C" w:rsidRDefault="00F8415D" w:rsidP="00F8415D">
      <w:pPr>
        <w:pStyle w:val="LEVEL20"/>
        <w:numPr>
          <w:ilvl w:val="0"/>
          <w:numId w:val="0"/>
        </w:numPr>
        <w:ind w:left="851" w:hanging="851"/>
      </w:pPr>
      <w:r w:rsidRPr="0068480C">
        <w:t>[18]</w:t>
      </w:r>
      <w:r w:rsidRPr="0068480C">
        <w:tab/>
      </w:r>
      <w:r w:rsidR="003B62FC" w:rsidRPr="0068480C">
        <w:t>S</w:t>
      </w:r>
      <w:r w:rsidR="00BF1CAC" w:rsidRPr="0068480C">
        <w:t>ection</w:t>
      </w:r>
      <w:r w:rsidR="00BF1CAC" w:rsidRPr="0068480C">
        <w:rPr>
          <w:spacing w:val="-8"/>
        </w:rPr>
        <w:t xml:space="preserve"> </w:t>
      </w:r>
      <w:r w:rsidR="00BF1CAC" w:rsidRPr="0068480C">
        <w:t>74</w:t>
      </w:r>
      <w:r w:rsidR="003B62FC" w:rsidRPr="0068480C">
        <w:t>(1)</w:t>
      </w:r>
      <w:r w:rsidR="00BF1CAC" w:rsidRPr="0068480C">
        <w:rPr>
          <w:spacing w:val="-17"/>
        </w:rPr>
        <w:t xml:space="preserve"> </w:t>
      </w:r>
      <w:r w:rsidR="00BF1CAC" w:rsidRPr="0068480C">
        <w:t>of</w:t>
      </w:r>
      <w:r w:rsidR="00BF1CAC" w:rsidRPr="0068480C">
        <w:rPr>
          <w:spacing w:val="-13"/>
        </w:rPr>
        <w:t xml:space="preserve"> </w:t>
      </w:r>
      <w:r w:rsidR="00BF1CAC" w:rsidRPr="0068480C">
        <w:t>the</w:t>
      </w:r>
      <w:r w:rsidR="00BF1CAC" w:rsidRPr="0068480C">
        <w:rPr>
          <w:spacing w:val="-18"/>
        </w:rPr>
        <w:t xml:space="preserve"> </w:t>
      </w:r>
      <w:r w:rsidR="00BF1CAC" w:rsidRPr="0068480C">
        <w:t>Systems Ac</w:t>
      </w:r>
      <w:r w:rsidR="003B62FC" w:rsidRPr="0068480C">
        <w:t>t reads:</w:t>
      </w:r>
    </w:p>
    <w:p w14:paraId="7FE7D9AB" w14:textId="08898E25" w:rsidR="003B62FC" w:rsidRPr="0068480C" w:rsidRDefault="003B62FC" w:rsidP="003B62FC">
      <w:pPr>
        <w:pStyle w:val="LEVEL20"/>
        <w:numPr>
          <w:ilvl w:val="0"/>
          <w:numId w:val="0"/>
        </w:numPr>
        <w:spacing w:line="360" w:lineRule="auto"/>
        <w:ind w:left="1418" w:hanging="567"/>
        <w:rPr>
          <w:i/>
          <w:iCs/>
        </w:rPr>
      </w:pPr>
      <w:r w:rsidRPr="0068480C">
        <w:lastRenderedPageBreak/>
        <w:tab/>
      </w:r>
      <w:r w:rsidRPr="0068480C">
        <w:rPr>
          <w:i/>
          <w:iCs/>
        </w:rPr>
        <w:t xml:space="preserve">(1) A municipal council must adopt and implement a tariff policy on the levying of fees for municipal services provided by the municipality itself or by way of service delivery agreements, and which complies with the provisions of this Act, the Municipal Finance Management </w:t>
      </w:r>
      <w:proofErr w:type="gramStart"/>
      <w:r w:rsidRPr="0068480C">
        <w:rPr>
          <w:i/>
          <w:iCs/>
        </w:rPr>
        <w:t>Act</w:t>
      </w:r>
      <w:proofErr w:type="gramEnd"/>
      <w:r w:rsidRPr="0068480C">
        <w:rPr>
          <w:i/>
          <w:iCs/>
        </w:rPr>
        <w:t xml:space="preserve"> and any other applicable legislation.</w:t>
      </w:r>
    </w:p>
    <w:p w14:paraId="4F556324" w14:textId="1743ECAE" w:rsidR="003B62FC" w:rsidRPr="0068480C" w:rsidRDefault="00F8415D" w:rsidP="00F8415D">
      <w:pPr>
        <w:pStyle w:val="LEVEL20"/>
        <w:numPr>
          <w:ilvl w:val="0"/>
          <w:numId w:val="0"/>
        </w:numPr>
        <w:ind w:left="851" w:hanging="851"/>
      </w:pPr>
      <w:r w:rsidRPr="0068480C">
        <w:t>[19]</w:t>
      </w:r>
      <w:r w:rsidRPr="0068480C">
        <w:tab/>
      </w:r>
      <w:r w:rsidR="003B62FC" w:rsidRPr="0068480C">
        <w:t>Section 74(2) sets out the principles which must be reflected in the policy tariff. Section 74(3) then provides:</w:t>
      </w:r>
    </w:p>
    <w:p w14:paraId="5365D41A" w14:textId="1ADDE5D2" w:rsidR="00EA0EC5" w:rsidRPr="0068480C" w:rsidRDefault="003B62FC" w:rsidP="003B62FC">
      <w:pPr>
        <w:pStyle w:val="LEVEL20"/>
        <w:numPr>
          <w:ilvl w:val="0"/>
          <w:numId w:val="0"/>
        </w:numPr>
        <w:spacing w:line="360" w:lineRule="auto"/>
        <w:ind w:left="1702" w:hanging="851"/>
        <w:rPr>
          <w:i/>
          <w:iCs/>
        </w:rPr>
      </w:pPr>
      <w:r w:rsidRPr="0068480C">
        <w:tab/>
      </w:r>
      <w:r w:rsidRPr="0068480C">
        <w:tab/>
        <w:t>“</w:t>
      </w:r>
      <w:r w:rsidRPr="0068480C">
        <w:rPr>
          <w:i/>
          <w:iCs/>
        </w:rPr>
        <w:t xml:space="preserve">A </w:t>
      </w:r>
      <w:r w:rsidR="00BF1CAC" w:rsidRPr="0068480C">
        <w:rPr>
          <w:i/>
          <w:iCs/>
        </w:rPr>
        <w:t>tariff</w:t>
      </w:r>
      <w:r w:rsidR="00BF1CAC" w:rsidRPr="0068480C">
        <w:rPr>
          <w:i/>
          <w:iCs/>
          <w:spacing w:val="-18"/>
        </w:rPr>
        <w:t xml:space="preserve"> </w:t>
      </w:r>
      <w:r w:rsidR="00BF1CAC" w:rsidRPr="0068480C">
        <w:rPr>
          <w:i/>
          <w:iCs/>
        </w:rPr>
        <w:t>policy</w:t>
      </w:r>
      <w:r w:rsidR="00BF1CAC" w:rsidRPr="0068480C">
        <w:rPr>
          <w:i/>
          <w:iCs/>
          <w:spacing w:val="-14"/>
        </w:rPr>
        <w:t xml:space="preserve"> </w:t>
      </w:r>
      <w:r w:rsidR="00BF1CAC" w:rsidRPr="0068480C">
        <w:rPr>
          <w:i/>
          <w:iCs/>
        </w:rPr>
        <w:t>may</w:t>
      </w:r>
      <w:r w:rsidR="00BF1CAC" w:rsidRPr="0068480C">
        <w:rPr>
          <w:i/>
          <w:iCs/>
          <w:spacing w:val="-16"/>
        </w:rPr>
        <w:t xml:space="preserve"> </w:t>
      </w:r>
      <w:r w:rsidR="00BF1CAC" w:rsidRPr="0068480C">
        <w:rPr>
          <w:i/>
          <w:iCs/>
        </w:rPr>
        <w:t>differentiate</w:t>
      </w:r>
      <w:r w:rsidR="00BF1CAC" w:rsidRPr="0068480C">
        <w:rPr>
          <w:i/>
          <w:iCs/>
          <w:spacing w:val="-11"/>
        </w:rPr>
        <w:t xml:space="preserve"> </w:t>
      </w:r>
      <w:r w:rsidR="00BF1CAC" w:rsidRPr="0068480C">
        <w:rPr>
          <w:i/>
          <w:iCs/>
        </w:rPr>
        <w:t>between</w:t>
      </w:r>
      <w:r w:rsidR="00BF1CAC" w:rsidRPr="0068480C">
        <w:rPr>
          <w:i/>
          <w:iCs/>
          <w:spacing w:val="-15"/>
        </w:rPr>
        <w:t xml:space="preserve"> </w:t>
      </w:r>
      <w:r w:rsidR="00BF1CAC" w:rsidRPr="0068480C">
        <w:rPr>
          <w:i/>
          <w:iCs/>
        </w:rPr>
        <w:t>the</w:t>
      </w:r>
      <w:r w:rsidR="00BF1CAC" w:rsidRPr="0068480C">
        <w:rPr>
          <w:i/>
          <w:iCs/>
          <w:spacing w:val="-17"/>
        </w:rPr>
        <w:t xml:space="preserve"> </w:t>
      </w:r>
      <w:r w:rsidR="00BF1CAC" w:rsidRPr="0068480C">
        <w:rPr>
          <w:i/>
          <w:iCs/>
        </w:rPr>
        <w:t>different</w:t>
      </w:r>
      <w:r w:rsidR="00BF1CAC" w:rsidRPr="0068480C">
        <w:rPr>
          <w:i/>
          <w:iCs/>
          <w:spacing w:val="-13"/>
        </w:rPr>
        <w:t xml:space="preserve"> </w:t>
      </w:r>
      <w:r w:rsidR="00BF1CAC" w:rsidRPr="0068480C">
        <w:rPr>
          <w:i/>
          <w:iCs/>
        </w:rPr>
        <w:t>categories</w:t>
      </w:r>
      <w:r w:rsidR="00BF1CAC" w:rsidRPr="0068480C">
        <w:rPr>
          <w:i/>
          <w:iCs/>
          <w:spacing w:val="-8"/>
        </w:rPr>
        <w:t xml:space="preserve"> </w:t>
      </w:r>
      <w:r w:rsidR="00BF1CAC" w:rsidRPr="0068480C">
        <w:rPr>
          <w:i/>
          <w:iCs/>
        </w:rPr>
        <w:t>of users, debtors, service providers, services, service standards, geographical areas and other matters as long as the differentiation does not amount to unfair discrimination.</w:t>
      </w:r>
      <w:r w:rsidRPr="0068480C">
        <w:rPr>
          <w:i/>
          <w:iCs/>
        </w:rPr>
        <w:t>”</w:t>
      </w:r>
    </w:p>
    <w:p w14:paraId="7ADC962F" w14:textId="1E0A96B2" w:rsidR="003B62FC" w:rsidRPr="0068480C" w:rsidRDefault="00F8415D" w:rsidP="00F8415D">
      <w:pPr>
        <w:pStyle w:val="LEVEL20"/>
        <w:numPr>
          <w:ilvl w:val="0"/>
          <w:numId w:val="0"/>
        </w:numPr>
        <w:ind w:left="851" w:hanging="851"/>
      </w:pPr>
      <w:r w:rsidRPr="0068480C">
        <w:t>[20]</w:t>
      </w:r>
      <w:r w:rsidRPr="0068480C">
        <w:tab/>
      </w:r>
      <w:r w:rsidR="003B62FC" w:rsidRPr="0068480C">
        <w:t>The City’s council duly approved a tariff policy (“</w:t>
      </w:r>
      <w:r w:rsidR="003B62FC" w:rsidRPr="0068480C">
        <w:rPr>
          <w:i/>
          <w:iCs/>
        </w:rPr>
        <w:t xml:space="preserve">the tariff </w:t>
      </w:r>
      <w:r w:rsidR="003B62FC" w:rsidRPr="0068480C">
        <w:t xml:space="preserve">policy”) which was attached to respondents’ supplementary answering affidavit. </w:t>
      </w:r>
    </w:p>
    <w:p w14:paraId="41B970C9" w14:textId="311C197D" w:rsidR="00EA0EC5" w:rsidRPr="0068480C" w:rsidRDefault="00F8415D" w:rsidP="00F8415D">
      <w:pPr>
        <w:pStyle w:val="LEVEL20"/>
        <w:numPr>
          <w:ilvl w:val="0"/>
          <w:numId w:val="0"/>
        </w:numPr>
        <w:ind w:left="851" w:hanging="851"/>
      </w:pPr>
      <w:r w:rsidRPr="0068480C">
        <w:t>[21]</w:t>
      </w:r>
      <w:r w:rsidRPr="0068480C">
        <w:tab/>
      </w:r>
      <w:r w:rsidR="009E7C9E" w:rsidRPr="0068480C">
        <w:t>In section 6.1 of t</w:t>
      </w:r>
      <w:r w:rsidR="003B62FC" w:rsidRPr="0068480C">
        <w:t>he t</w:t>
      </w:r>
      <w:r w:rsidR="00BF1CAC" w:rsidRPr="0068480C">
        <w:t>ariff</w:t>
      </w:r>
      <w:r w:rsidR="00BF1CAC" w:rsidRPr="0068480C">
        <w:rPr>
          <w:spacing w:val="-15"/>
        </w:rPr>
        <w:t xml:space="preserve"> </w:t>
      </w:r>
      <w:r w:rsidR="00BF1CAC" w:rsidRPr="0068480C">
        <w:t>policy</w:t>
      </w:r>
      <w:r w:rsidR="00B85FBD" w:rsidRPr="0068480C">
        <w:t xml:space="preserve"> the </w:t>
      </w:r>
      <w:r w:rsidR="00BF1CAC" w:rsidRPr="0068480C">
        <w:t>domestic</w:t>
      </w:r>
      <w:r w:rsidR="00BF1CAC" w:rsidRPr="0068480C">
        <w:rPr>
          <w:spacing w:val="2"/>
        </w:rPr>
        <w:t xml:space="preserve"> </w:t>
      </w:r>
      <w:r w:rsidR="00BF1CAC" w:rsidRPr="0068480C">
        <w:t>tariff</w:t>
      </w:r>
      <w:r w:rsidR="00BF1CAC" w:rsidRPr="0068480C">
        <w:rPr>
          <w:spacing w:val="-12"/>
        </w:rPr>
        <w:t xml:space="preserve"> </w:t>
      </w:r>
      <w:r w:rsidR="00BF1CAC" w:rsidRPr="0068480C">
        <w:t>for</w:t>
      </w:r>
      <w:r w:rsidR="00BF1CAC" w:rsidRPr="0068480C">
        <w:rPr>
          <w:spacing w:val="-12"/>
        </w:rPr>
        <w:t xml:space="preserve"> </w:t>
      </w:r>
      <w:r w:rsidR="00BF1CAC" w:rsidRPr="0068480C">
        <w:t>electricity</w:t>
      </w:r>
      <w:r w:rsidR="00BF1CAC" w:rsidRPr="0068480C">
        <w:rPr>
          <w:spacing w:val="-3"/>
        </w:rPr>
        <w:t xml:space="preserve"> </w:t>
      </w:r>
      <w:r w:rsidR="009E7C9E" w:rsidRPr="0068480C">
        <w:rPr>
          <w:spacing w:val="-3"/>
        </w:rPr>
        <w:t xml:space="preserve">is defined </w:t>
      </w:r>
      <w:r w:rsidR="00BF1CAC" w:rsidRPr="0068480C">
        <w:rPr>
          <w:spacing w:val="-5"/>
        </w:rPr>
        <w:t xml:space="preserve">as </w:t>
      </w:r>
      <w:r w:rsidR="00064B4C" w:rsidRPr="0068480C">
        <w:rPr>
          <w:spacing w:val="-5"/>
        </w:rPr>
        <w:t>follows:</w:t>
      </w:r>
    </w:p>
    <w:p w14:paraId="6C9815E3" w14:textId="67545599" w:rsidR="00652566" w:rsidRPr="0068480C" w:rsidRDefault="00652566" w:rsidP="00652566">
      <w:pPr>
        <w:pStyle w:val="quotation1"/>
        <w:tabs>
          <w:tab w:val="clear" w:pos="1985"/>
        </w:tabs>
        <w:ind w:left="1418" w:firstLine="0"/>
      </w:pPr>
      <w:r w:rsidRPr="0068480C">
        <w:t>“The tariff is applicable to private houses, dwelling units, flats, boarding houses,</w:t>
      </w:r>
      <w:r w:rsidRPr="0068480C">
        <w:rPr>
          <w:spacing w:val="-18"/>
        </w:rPr>
        <w:t xml:space="preserve"> </w:t>
      </w:r>
      <w:r w:rsidRPr="0068480C">
        <w:t>hostels,</w:t>
      </w:r>
      <w:r w:rsidRPr="0068480C">
        <w:rPr>
          <w:spacing w:val="-17"/>
        </w:rPr>
        <w:t xml:space="preserve"> </w:t>
      </w:r>
      <w:proofErr w:type="gramStart"/>
      <w:r w:rsidRPr="0068480C">
        <w:t>residences</w:t>
      </w:r>
      <w:proofErr w:type="gramEnd"/>
      <w:r w:rsidRPr="0068480C">
        <w:rPr>
          <w:spacing w:val="-18"/>
        </w:rPr>
        <w:t xml:space="preserve"> </w:t>
      </w:r>
      <w:r w:rsidRPr="0068480C">
        <w:t>or</w:t>
      </w:r>
      <w:r w:rsidRPr="0068480C">
        <w:rPr>
          <w:spacing w:val="-17"/>
        </w:rPr>
        <w:t xml:space="preserve"> </w:t>
      </w:r>
      <w:r w:rsidRPr="0068480C">
        <w:t>homes</w:t>
      </w:r>
      <w:r w:rsidRPr="0068480C">
        <w:rPr>
          <w:spacing w:val="-17"/>
        </w:rPr>
        <w:t xml:space="preserve"> </w:t>
      </w:r>
      <w:r w:rsidRPr="0068480C">
        <w:t>run</w:t>
      </w:r>
      <w:r w:rsidRPr="0068480C">
        <w:rPr>
          <w:spacing w:val="-18"/>
        </w:rPr>
        <w:t xml:space="preserve"> </w:t>
      </w:r>
      <w:r w:rsidRPr="0068480C">
        <w:t>by</w:t>
      </w:r>
      <w:r w:rsidRPr="0068480C">
        <w:rPr>
          <w:spacing w:val="-17"/>
        </w:rPr>
        <w:t xml:space="preserve"> </w:t>
      </w:r>
      <w:r w:rsidRPr="0068480C">
        <w:t>charitable</w:t>
      </w:r>
      <w:r w:rsidRPr="0068480C">
        <w:rPr>
          <w:spacing w:val="-7"/>
        </w:rPr>
        <w:t xml:space="preserve"> </w:t>
      </w:r>
      <w:r w:rsidRPr="0068480C">
        <w:t>institutions,</w:t>
      </w:r>
      <w:r w:rsidRPr="0068480C">
        <w:rPr>
          <w:spacing w:val="-7"/>
        </w:rPr>
        <w:t xml:space="preserve"> </w:t>
      </w:r>
      <w:r w:rsidRPr="0068480C">
        <w:t>premises used for public worship including halls or other buildings used for religious purposes, prisons and caravan parks. There are, however, certain rules applicable which may change the</w:t>
      </w:r>
      <w:r w:rsidRPr="0068480C">
        <w:rPr>
          <w:spacing w:val="-4"/>
        </w:rPr>
        <w:t xml:space="preserve"> </w:t>
      </w:r>
      <w:r w:rsidRPr="0068480C">
        <w:t>status of</w:t>
      </w:r>
      <w:r w:rsidRPr="0068480C">
        <w:rPr>
          <w:spacing w:val="-1"/>
        </w:rPr>
        <w:t xml:space="preserve"> </w:t>
      </w:r>
      <w:r w:rsidRPr="0068480C">
        <w:t>these consumers.</w:t>
      </w:r>
      <w:r w:rsidR="00390775" w:rsidRPr="0068480C">
        <w:t>”</w:t>
      </w:r>
    </w:p>
    <w:p w14:paraId="50CCE54F" w14:textId="288929FA" w:rsidR="00747845" w:rsidRPr="0068480C" w:rsidRDefault="00F8415D" w:rsidP="00F8415D">
      <w:pPr>
        <w:pStyle w:val="LEVEL20"/>
        <w:numPr>
          <w:ilvl w:val="0"/>
          <w:numId w:val="0"/>
        </w:numPr>
        <w:ind w:left="851" w:hanging="851"/>
      </w:pPr>
      <w:r w:rsidRPr="0068480C">
        <w:t>[22]</w:t>
      </w:r>
      <w:r w:rsidRPr="0068480C">
        <w:tab/>
      </w:r>
      <w:r w:rsidR="009E7C9E" w:rsidRPr="0068480C">
        <w:t>In section 6.1 of t</w:t>
      </w:r>
      <w:r w:rsidR="00390775" w:rsidRPr="0068480C">
        <w:t>he</w:t>
      </w:r>
      <w:r w:rsidR="00390775" w:rsidRPr="0068480C">
        <w:rPr>
          <w:spacing w:val="-16"/>
        </w:rPr>
        <w:t xml:space="preserve"> </w:t>
      </w:r>
      <w:r w:rsidR="00390775" w:rsidRPr="0068480C">
        <w:t>tariff</w:t>
      </w:r>
      <w:r w:rsidR="00390775" w:rsidRPr="0068480C">
        <w:rPr>
          <w:spacing w:val="-15"/>
        </w:rPr>
        <w:t xml:space="preserve"> </w:t>
      </w:r>
      <w:r w:rsidR="00390775" w:rsidRPr="0068480C">
        <w:t>policy</w:t>
      </w:r>
      <w:r w:rsidR="00B85FBD" w:rsidRPr="0068480C">
        <w:t xml:space="preserve"> the </w:t>
      </w:r>
      <w:r w:rsidR="00A874F8" w:rsidRPr="0068480C">
        <w:t>business</w:t>
      </w:r>
      <w:r w:rsidR="00390775" w:rsidRPr="0068480C">
        <w:rPr>
          <w:spacing w:val="2"/>
        </w:rPr>
        <w:t xml:space="preserve"> </w:t>
      </w:r>
      <w:r w:rsidR="00390775" w:rsidRPr="0068480C">
        <w:t>tariff</w:t>
      </w:r>
      <w:r w:rsidR="00390775" w:rsidRPr="0068480C">
        <w:rPr>
          <w:spacing w:val="-12"/>
        </w:rPr>
        <w:t xml:space="preserve"> </w:t>
      </w:r>
      <w:r w:rsidR="00390775" w:rsidRPr="0068480C">
        <w:t>for</w:t>
      </w:r>
      <w:r w:rsidR="00390775" w:rsidRPr="0068480C">
        <w:rPr>
          <w:spacing w:val="-12"/>
        </w:rPr>
        <w:t xml:space="preserve"> </w:t>
      </w:r>
      <w:r w:rsidR="00390775" w:rsidRPr="0068480C">
        <w:t>electricity</w:t>
      </w:r>
      <w:r w:rsidR="00390775" w:rsidRPr="0068480C">
        <w:rPr>
          <w:spacing w:val="-3"/>
        </w:rPr>
        <w:t xml:space="preserve"> </w:t>
      </w:r>
      <w:r w:rsidR="009E7C9E" w:rsidRPr="0068480C">
        <w:rPr>
          <w:spacing w:val="-3"/>
        </w:rPr>
        <w:t xml:space="preserve">is defined </w:t>
      </w:r>
      <w:r w:rsidR="00390775" w:rsidRPr="0068480C">
        <w:rPr>
          <w:spacing w:val="-5"/>
        </w:rPr>
        <w:t>as follows:</w:t>
      </w:r>
    </w:p>
    <w:p w14:paraId="6CEB7134" w14:textId="0F63880C" w:rsidR="00EA0EC5" w:rsidRPr="00331BED" w:rsidRDefault="00691504" w:rsidP="00691504">
      <w:pPr>
        <w:pStyle w:val="quotation1"/>
        <w:tabs>
          <w:tab w:val="clear" w:pos="1985"/>
        </w:tabs>
        <w:ind w:left="1418" w:firstLine="0"/>
        <w:rPr>
          <w:i w:val="0"/>
          <w:iCs w:val="0"/>
        </w:rPr>
      </w:pPr>
      <w:r w:rsidRPr="0068480C">
        <w:t>“</w:t>
      </w:r>
      <w:r w:rsidR="000C77F5" w:rsidRPr="0068480C">
        <w:t xml:space="preserve">This tariff is applicable to supplies not exceeding capacity of 100kVA </w:t>
      </w:r>
      <w:r w:rsidR="000C77F5" w:rsidRPr="0068480C">
        <w:lastRenderedPageBreak/>
        <w:t xml:space="preserve">applicable for </w:t>
      </w:r>
      <w:r w:rsidR="000C77F5" w:rsidRPr="0068480C">
        <w:rPr>
          <w:u w:val="single"/>
        </w:rPr>
        <w:t>business purposes</w:t>
      </w:r>
      <w:r w:rsidR="000C77F5" w:rsidRPr="0068480C">
        <w:t xml:space="preserve">, industrial purposes, nursing homes, clinics, hospitals, hotels, recreation halls and clubs, educational institutions (including schools and registered creches, supporting facilities, bed and breakfast houses, </w:t>
      </w:r>
      <w:r w:rsidR="000C77F5" w:rsidRPr="0068480C">
        <w:rPr>
          <w:u w:val="single"/>
        </w:rPr>
        <w:t>mixed domestic and non-domestic loads</w:t>
      </w:r>
      <w:r w:rsidR="00451FBE" w:rsidRPr="0068480C">
        <w:t xml:space="preserve">, welfare organisations of a commercial nature and premises used for public worship and religious purposes.” </w:t>
      </w:r>
      <w:bookmarkStart w:id="1" w:name="_Hlk118280648"/>
      <w:r w:rsidR="00451FBE" w:rsidRPr="0068480C">
        <w:rPr>
          <w:i w:val="0"/>
          <w:iCs w:val="0"/>
        </w:rPr>
        <w:t>(Emphasis added</w:t>
      </w:r>
      <w:r w:rsidR="00D23236" w:rsidRPr="0068480C">
        <w:rPr>
          <w:i w:val="0"/>
          <w:iCs w:val="0"/>
        </w:rPr>
        <w:t>)</w:t>
      </w:r>
      <w:bookmarkEnd w:id="1"/>
    </w:p>
    <w:p w14:paraId="65D864A1" w14:textId="0B8DEDC8" w:rsidR="009F581C" w:rsidRPr="00331BED" w:rsidRDefault="00957A1F" w:rsidP="00957A1F">
      <w:pPr>
        <w:pStyle w:val="Heading1"/>
      </w:pPr>
      <w:r w:rsidRPr="00331BED">
        <w:t>DOMESTIC OR BUSINESS?</w:t>
      </w:r>
    </w:p>
    <w:p w14:paraId="689DC0E0" w14:textId="542B9F40" w:rsidR="00B85FBD" w:rsidRDefault="00F8415D" w:rsidP="00F8415D">
      <w:pPr>
        <w:pStyle w:val="LEVEL10"/>
        <w:numPr>
          <w:ilvl w:val="0"/>
          <w:numId w:val="0"/>
        </w:numPr>
        <w:ind w:left="851" w:hanging="851"/>
      </w:pPr>
      <w:r>
        <w:t>[23]</w:t>
      </w:r>
      <w:r>
        <w:tab/>
      </w:r>
      <w:r w:rsidR="00B85FBD">
        <w:t xml:space="preserve">The aforesaid statutory framework is not contentious. The question is whether the applicants have proved that the lifestyle centres (which include </w:t>
      </w:r>
      <w:r w:rsidR="00F0325D">
        <w:t xml:space="preserve">restaurants </w:t>
      </w:r>
      <w:r w:rsidR="00B85FBD">
        <w:t xml:space="preserve">and gyms) fall within the definition of “domestic tariff”. If not, both estates are to be billed on a non-domestic basis. </w:t>
      </w:r>
    </w:p>
    <w:p w14:paraId="0EC2A760" w14:textId="34E51A38" w:rsidR="009F581C" w:rsidRPr="00331BED" w:rsidRDefault="00F8415D" w:rsidP="00F8415D">
      <w:pPr>
        <w:pStyle w:val="LEVEL10"/>
        <w:numPr>
          <w:ilvl w:val="0"/>
          <w:numId w:val="0"/>
        </w:numPr>
        <w:ind w:left="851" w:hanging="851"/>
      </w:pPr>
      <w:r w:rsidRPr="00331BED">
        <w:t>[24]</w:t>
      </w:r>
      <w:r w:rsidRPr="00331BED">
        <w:tab/>
      </w:r>
      <w:r w:rsidR="00A63BEC" w:rsidRPr="00331BED">
        <w:t xml:space="preserve">The restaurants and gyms clearly are not </w:t>
      </w:r>
      <w:r w:rsidR="00A63BEC" w:rsidRPr="00331BED">
        <w:rPr>
          <w:i/>
          <w:iCs/>
        </w:rPr>
        <w:t>“private houses</w:t>
      </w:r>
      <w:r w:rsidR="00A713E3" w:rsidRPr="00331BED">
        <w:rPr>
          <w:i/>
          <w:iCs/>
        </w:rPr>
        <w:t>, dwelling units, flats, boarding houses, hostels</w:t>
      </w:r>
      <w:r w:rsidR="00A63BEC" w:rsidRPr="00331BED">
        <w:rPr>
          <w:i/>
          <w:iCs/>
        </w:rPr>
        <w:t>”</w:t>
      </w:r>
      <w:r w:rsidR="00A713E3" w:rsidRPr="00331BED">
        <w:t xml:space="preserve"> or any of the items referred to in the definition of a domestic tariff</w:t>
      </w:r>
      <w:r w:rsidR="00CD3EBC">
        <w:t xml:space="preserve"> in the</w:t>
      </w:r>
      <w:r w:rsidR="00A713E3" w:rsidRPr="00331BED">
        <w:t xml:space="preserve"> tariff po</w:t>
      </w:r>
      <w:r w:rsidR="00972971" w:rsidRPr="00331BED">
        <w:t>licy.</w:t>
      </w:r>
      <w:r w:rsidR="00BF670B">
        <w:t xml:space="preserve"> </w:t>
      </w:r>
      <w:r w:rsidR="00BF670B" w:rsidRPr="00331BED">
        <w:t>The</w:t>
      </w:r>
      <w:r w:rsidR="00BF670B" w:rsidRPr="00331BED">
        <w:rPr>
          <w:spacing w:val="-18"/>
        </w:rPr>
        <w:t xml:space="preserve"> </w:t>
      </w:r>
      <w:r w:rsidR="00BF670B" w:rsidRPr="00331BED">
        <w:t>lifestyle</w:t>
      </w:r>
      <w:r w:rsidR="00BF670B" w:rsidRPr="00331BED">
        <w:rPr>
          <w:spacing w:val="-17"/>
        </w:rPr>
        <w:t xml:space="preserve"> </w:t>
      </w:r>
      <w:r w:rsidR="00BF670B" w:rsidRPr="00331BED">
        <w:t>centres</w:t>
      </w:r>
      <w:r w:rsidR="00BF670B" w:rsidRPr="00331BED">
        <w:rPr>
          <w:spacing w:val="-18"/>
        </w:rPr>
        <w:t xml:space="preserve"> </w:t>
      </w:r>
      <w:r w:rsidR="00BF670B" w:rsidRPr="00331BED">
        <w:t>are</w:t>
      </w:r>
      <w:r w:rsidR="00BF670B" w:rsidRPr="00331BED">
        <w:rPr>
          <w:spacing w:val="-17"/>
        </w:rPr>
        <w:t xml:space="preserve"> </w:t>
      </w:r>
      <w:r w:rsidR="00BF670B" w:rsidRPr="00331BED">
        <w:t>not</w:t>
      </w:r>
      <w:r w:rsidR="00BF670B" w:rsidRPr="00331BED">
        <w:rPr>
          <w:spacing w:val="-17"/>
        </w:rPr>
        <w:t xml:space="preserve"> </w:t>
      </w:r>
      <w:r w:rsidR="00BF670B" w:rsidRPr="00331BED">
        <w:t>residential</w:t>
      </w:r>
      <w:r w:rsidR="00BF670B" w:rsidRPr="00331BED">
        <w:rPr>
          <w:spacing w:val="-18"/>
        </w:rPr>
        <w:t xml:space="preserve"> </w:t>
      </w:r>
      <w:r w:rsidR="00BF670B" w:rsidRPr="00331BED">
        <w:t>components</w:t>
      </w:r>
      <w:r w:rsidR="00BF670B" w:rsidRPr="00331BED">
        <w:rPr>
          <w:spacing w:val="-17"/>
        </w:rPr>
        <w:t xml:space="preserve"> </w:t>
      </w:r>
      <w:r w:rsidR="00BF670B" w:rsidRPr="00331BED">
        <w:t>of</w:t>
      </w:r>
      <w:r w:rsidR="00BF670B" w:rsidRPr="00331BED">
        <w:rPr>
          <w:spacing w:val="-17"/>
        </w:rPr>
        <w:t xml:space="preserve"> </w:t>
      </w:r>
      <w:r w:rsidR="00BF670B" w:rsidRPr="00331BED">
        <w:t>the</w:t>
      </w:r>
      <w:r w:rsidR="00BF670B" w:rsidRPr="00331BED">
        <w:rPr>
          <w:spacing w:val="-18"/>
        </w:rPr>
        <w:t xml:space="preserve"> </w:t>
      </w:r>
      <w:r w:rsidR="00BF670B" w:rsidRPr="00331BED">
        <w:t>properties.</w:t>
      </w:r>
      <w:r w:rsidR="00BF670B" w:rsidRPr="00331BED">
        <w:rPr>
          <w:spacing w:val="-17"/>
        </w:rPr>
        <w:t xml:space="preserve"> </w:t>
      </w:r>
      <w:r w:rsidR="00BF670B" w:rsidRPr="00331BED">
        <w:t>Nobody resides at</w:t>
      </w:r>
      <w:r w:rsidR="00BF670B" w:rsidRPr="00331BED">
        <w:rPr>
          <w:spacing w:val="-10"/>
        </w:rPr>
        <w:t xml:space="preserve"> </w:t>
      </w:r>
      <w:r w:rsidR="00BF670B" w:rsidRPr="00331BED">
        <w:t>the</w:t>
      </w:r>
      <w:r w:rsidR="00BF670B" w:rsidRPr="00331BED">
        <w:rPr>
          <w:spacing w:val="-5"/>
        </w:rPr>
        <w:t xml:space="preserve"> </w:t>
      </w:r>
      <w:r w:rsidR="00BF670B" w:rsidRPr="00331BED">
        <w:t>lifestyle centres</w:t>
      </w:r>
      <w:r w:rsidR="005574D9">
        <w:t xml:space="preserve">. </w:t>
      </w:r>
      <w:r w:rsidR="00972971" w:rsidRPr="00331BED">
        <w:t xml:space="preserve">It was argued on behalf of </w:t>
      </w:r>
      <w:r w:rsidR="00B339A4" w:rsidRPr="00331BED">
        <w:t xml:space="preserve">the applicants that the restaurants and gyms are </w:t>
      </w:r>
      <w:r w:rsidR="00B339A4" w:rsidRPr="005574D9">
        <w:rPr>
          <w:i/>
          <w:iCs/>
        </w:rPr>
        <w:t>“ancillary”</w:t>
      </w:r>
      <w:r w:rsidR="00B339A4" w:rsidRPr="00331BED">
        <w:t xml:space="preserve"> to the residences. </w:t>
      </w:r>
      <w:r w:rsidR="005574D9">
        <w:t>In my view t</w:t>
      </w:r>
      <w:r w:rsidR="002C5CE2" w:rsidRPr="00331BED">
        <w:t xml:space="preserve">he gyms and restaurants cannot be seen as ancillary for residential purposes.  </w:t>
      </w:r>
      <w:proofErr w:type="gramStart"/>
      <w:r w:rsidR="002C5CE2" w:rsidRPr="00331BED">
        <w:t xml:space="preserve">As  </w:t>
      </w:r>
      <w:r w:rsidR="009A1E57">
        <w:t>pointed</w:t>
      </w:r>
      <w:proofErr w:type="gramEnd"/>
      <w:r w:rsidR="009A1E57">
        <w:t xml:space="preserve"> out in </w:t>
      </w:r>
      <w:r w:rsidR="005724E3" w:rsidRPr="00331BED">
        <w:t>the respondents</w:t>
      </w:r>
      <w:r w:rsidR="009A1E57">
        <w:t>’ heads of argument</w:t>
      </w:r>
      <w:r w:rsidR="005724E3" w:rsidRPr="00331BED">
        <w:t xml:space="preserve">, a </w:t>
      </w:r>
      <w:r w:rsidR="00CD3EBC">
        <w:t>“</w:t>
      </w:r>
      <w:r w:rsidR="005724E3" w:rsidRPr="00331BED">
        <w:t>restaurant is not a kitchen.</w:t>
      </w:r>
      <w:r w:rsidR="00CD3EBC">
        <w:t>”</w:t>
      </w:r>
      <w:r w:rsidR="005724E3" w:rsidRPr="00331BED">
        <w:t xml:space="preserve">  </w:t>
      </w:r>
    </w:p>
    <w:p w14:paraId="05427C77" w14:textId="619F3C9C" w:rsidR="009F581C" w:rsidRPr="00331BED" w:rsidRDefault="00F8415D" w:rsidP="00F8415D">
      <w:pPr>
        <w:pStyle w:val="LEVEL10"/>
        <w:numPr>
          <w:ilvl w:val="0"/>
          <w:numId w:val="0"/>
        </w:numPr>
        <w:ind w:left="851" w:hanging="851"/>
      </w:pPr>
      <w:r w:rsidRPr="00331BED">
        <w:t>[25]</w:t>
      </w:r>
      <w:r w:rsidRPr="00331BED">
        <w:tab/>
      </w:r>
      <w:r w:rsidR="00B45B56">
        <w:t xml:space="preserve">The </w:t>
      </w:r>
      <w:r w:rsidR="00650A8F" w:rsidRPr="00331BED">
        <w:t>applicant</w:t>
      </w:r>
      <w:r w:rsidR="009A1E57">
        <w:t>s</w:t>
      </w:r>
      <w:r w:rsidR="00650A8F" w:rsidRPr="00331BED">
        <w:t xml:space="preserve"> </w:t>
      </w:r>
      <w:r w:rsidR="009A1E57">
        <w:t>allege</w:t>
      </w:r>
      <w:r w:rsidR="00B45B56">
        <w:t xml:space="preserve"> </w:t>
      </w:r>
      <w:r w:rsidR="00650A8F" w:rsidRPr="00331BED">
        <w:t xml:space="preserve">that the equipment in the kitchen and the gym belong to the body corporates.  </w:t>
      </w:r>
      <w:r w:rsidR="00050B96" w:rsidRPr="00331BED">
        <w:t>They also rely on the fact that the restaurant</w:t>
      </w:r>
      <w:r w:rsidR="009A1E57">
        <w:t>s</w:t>
      </w:r>
      <w:r w:rsidR="00050B96" w:rsidRPr="00331BED">
        <w:t xml:space="preserve"> and gyms are only open to residents of the estates.  To my mind, this does not elevate </w:t>
      </w:r>
      <w:r w:rsidR="009A1E57">
        <w:t xml:space="preserve">the restaurants or gyms to </w:t>
      </w:r>
      <w:r w:rsidR="007F4FCD" w:rsidRPr="00331BED">
        <w:t>residence</w:t>
      </w:r>
      <w:r w:rsidR="005574D9">
        <w:t>s</w:t>
      </w:r>
      <w:r w:rsidR="007F4FCD" w:rsidRPr="00331BED">
        <w:t xml:space="preserve">, nor does it mean they are not used for </w:t>
      </w:r>
      <w:r w:rsidR="007F4FCD" w:rsidRPr="00331BED">
        <w:rPr>
          <w:i/>
          <w:iCs/>
        </w:rPr>
        <w:lastRenderedPageBreak/>
        <w:t>“business purposes”</w:t>
      </w:r>
      <w:r w:rsidR="007F4FCD" w:rsidRPr="00331BED">
        <w:t>.</w:t>
      </w:r>
      <w:r w:rsidR="00B45B56">
        <w:t xml:space="preserve"> </w:t>
      </w:r>
    </w:p>
    <w:p w14:paraId="3593D36E" w14:textId="3073B2CD" w:rsidR="009F581C" w:rsidRPr="00331BED" w:rsidRDefault="00F8415D" w:rsidP="00F8415D">
      <w:pPr>
        <w:pStyle w:val="LEVEL10"/>
        <w:numPr>
          <w:ilvl w:val="0"/>
          <w:numId w:val="0"/>
        </w:numPr>
        <w:ind w:left="851" w:hanging="851"/>
      </w:pPr>
      <w:r w:rsidRPr="00331BED">
        <w:t>[26]</w:t>
      </w:r>
      <w:r w:rsidRPr="00331BED">
        <w:tab/>
      </w:r>
      <w:r w:rsidR="007F4FCD" w:rsidRPr="00331BED">
        <w:t>The applicant</w:t>
      </w:r>
      <w:r w:rsidR="009A1E57">
        <w:t>s</w:t>
      </w:r>
      <w:r w:rsidR="00D546E6" w:rsidRPr="00331BED">
        <w:t xml:space="preserve"> </w:t>
      </w:r>
      <w:r w:rsidR="00B45B56">
        <w:t xml:space="preserve">do not allege </w:t>
      </w:r>
      <w:r w:rsidR="00D546E6" w:rsidRPr="00331BED">
        <w:t xml:space="preserve">that the </w:t>
      </w:r>
      <w:r w:rsidR="009A1E57">
        <w:t xml:space="preserve">use </w:t>
      </w:r>
      <w:r w:rsidR="00D546E6" w:rsidRPr="00331BED">
        <w:t>of the gym</w:t>
      </w:r>
      <w:r w:rsidR="009A1E57">
        <w:t>s</w:t>
      </w:r>
      <w:r w:rsidR="00D546E6" w:rsidRPr="00331BED">
        <w:t xml:space="preserve"> or the buy</w:t>
      </w:r>
      <w:r w:rsidR="009A1E57">
        <w:t>ing</w:t>
      </w:r>
      <w:r w:rsidR="00D546E6" w:rsidRPr="00331BED">
        <w:t xml:space="preserve"> of </w:t>
      </w:r>
      <w:r w:rsidR="009A1E57">
        <w:t xml:space="preserve">food </w:t>
      </w:r>
      <w:r w:rsidR="00D546E6" w:rsidRPr="00331BED">
        <w:t>at the restaurant</w:t>
      </w:r>
      <w:r w:rsidR="009A1E57">
        <w:t>s</w:t>
      </w:r>
      <w:r w:rsidR="00D546E6" w:rsidRPr="00331BED">
        <w:t xml:space="preserve"> </w:t>
      </w:r>
      <w:r w:rsidR="009A1E57">
        <w:t xml:space="preserve">is </w:t>
      </w:r>
      <w:r w:rsidR="00D546E6" w:rsidRPr="00331BED">
        <w:t xml:space="preserve">free. </w:t>
      </w:r>
      <w:r w:rsidR="00B85FBD">
        <w:t>T</w:t>
      </w:r>
      <w:r w:rsidR="00D546E6" w:rsidRPr="00331BED">
        <w:t xml:space="preserve">he averment in the respondents’ supplementary affidavit </w:t>
      </w:r>
      <w:r w:rsidR="00B85FBD">
        <w:t xml:space="preserve">that </w:t>
      </w:r>
      <w:r w:rsidR="00CD7084" w:rsidRPr="00331BED">
        <w:t xml:space="preserve">the residents must pay for these services </w:t>
      </w:r>
      <w:r w:rsidR="00B85FBD">
        <w:t xml:space="preserve">is </w:t>
      </w:r>
      <w:r w:rsidR="00CD7084" w:rsidRPr="00331BED">
        <w:t xml:space="preserve">undisputed.  </w:t>
      </w:r>
    </w:p>
    <w:p w14:paraId="6FC4DC17" w14:textId="3C735AEB" w:rsidR="009F581C" w:rsidRPr="00331BED" w:rsidRDefault="00F8415D" w:rsidP="00F8415D">
      <w:pPr>
        <w:pStyle w:val="LEVEL10"/>
        <w:numPr>
          <w:ilvl w:val="0"/>
          <w:numId w:val="0"/>
        </w:numPr>
        <w:ind w:left="851" w:hanging="851"/>
      </w:pPr>
      <w:r w:rsidRPr="00331BED">
        <w:t>[27]</w:t>
      </w:r>
      <w:r w:rsidRPr="00331BED">
        <w:tab/>
      </w:r>
      <w:r w:rsidR="00CD7084" w:rsidRPr="00331BED">
        <w:t xml:space="preserve">There is also no </w:t>
      </w:r>
      <w:r w:rsidR="005574D9">
        <w:t xml:space="preserve">proof </w:t>
      </w:r>
      <w:r w:rsidR="00CD7084" w:rsidRPr="00331BED">
        <w:t>that the restaurants and the gym</w:t>
      </w:r>
      <w:r w:rsidR="005574D9">
        <w:t>s</w:t>
      </w:r>
      <w:r w:rsidR="00CD7084" w:rsidRPr="00331BED">
        <w:t xml:space="preserve"> do not make a profit.  </w:t>
      </w:r>
      <w:r w:rsidR="00335A63" w:rsidRPr="00331BED">
        <w:t>Reliance was placed in argument on paragraph 12.6 of the applicant</w:t>
      </w:r>
      <w:r w:rsidR="008D0C87" w:rsidRPr="00331BED">
        <w:t xml:space="preserve">s’ </w:t>
      </w:r>
      <w:proofErr w:type="gramStart"/>
      <w:r w:rsidR="00F36445" w:rsidRPr="00331BED">
        <w:t>replying</w:t>
      </w:r>
      <w:proofErr w:type="gramEnd"/>
      <w:r w:rsidR="00F36445" w:rsidRPr="00331BED">
        <w:t xml:space="preserve"> </w:t>
      </w:r>
      <w:r w:rsidR="008D0C87" w:rsidRPr="00331BED">
        <w:t xml:space="preserve">affidavit </w:t>
      </w:r>
      <w:r w:rsidR="009A1E57">
        <w:t>for the</w:t>
      </w:r>
      <w:r w:rsidR="008D0C87" w:rsidRPr="00331BED">
        <w:t xml:space="preserve"> submission that these entities do not make a profit.  However, paragraph 12.6 does not say that. </w:t>
      </w:r>
      <w:r w:rsidR="00F36445">
        <w:t xml:space="preserve">The paragraph </w:t>
      </w:r>
      <w:r w:rsidR="008D0C87" w:rsidRPr="00331BED">
        <w:t>reads:</w:t>
      </w:r>
    </w:p>
    <w:p w14:paraId="7BA46180" w14:textId="49D06695" w:rsidR="008D0C87" w:rsidRPr="00331BED" w:rsidRDefault="008D0C87" w:rsidP="00DA04A6">
      <w:pPr>
        <w:pStyle w:val="quotation1"/>
        <w:tabs>
          <w:tab w:val="clear" w:pos="1985"/>
        </w:tabs>
        <w:ind w:left="1418" w:firstLine="0"/>
      </w:pPr>
      <w:r w:rsidRPr="00331BED">
        <w:t>“It cannot be argued that body corporates operate on a budget and do not enjoy ‘profits’ from the levies paid by the owners.”</w:t>
      </w:r>
    </w:p>
    <w:p w14:paraId="1C9D0148" w14:textId="15C8B62B" w:rsidR="009F581C" w:rsidRPr="00331BED" w:rsidRDefault="00AB4A5D" w:rsidP="00DA04A6">
      <w:pPr>
        <w:pStyle w:val="LEVEL10"/>
        <w:numPr>
          <w:ilvl w:val="0"/>
          <w:numId w:val="0"/>
        </w:numPr>
        <w:ind w:left="851"/>
      </w:pPr>
      <w:r w:rsidRPr="00331BED">
        <w:t>The rest of the paragraph refers to screenshots of the second applicant’s electricity account, what it consume</w:t>
      </w:r>
      <w:r w:rsidR="009A1E57">
        <w:t>d</w:t>
      </w:r>
      <w:r w:rsidRPr="00331BED">
        <w:t xml:space="preserve">, how much it would be charged if it </w:t>
      </w:r>
      <w:r w:rsidR="00DA04A6" w:rsidRPr="00331BED">
        <w:t xml:space="preserve">was </w:t>
      </w:r>
      <w:r w:rsidR="00B85FBD">
        <w:t xml:space="preserve">to be </w:t>
      </w:r>
      <w:r w:rsidR="00DA04A6" w:rsidRPr="00331BED">
        <w:t>b</w:t>
      </w:r>
      <w:r w:rsidR="009A1E57">
        <w:t xml:space="preserve">illed </w:t>
      </w:r>
      <w:r w:rsidR="00DA04A6" w:rsidRPr="00331BED">
        <w:t>on residential tariff</w:t>
      </w:r>
      <w:r w:rsidR="009A1E57">
        <w:t xml:space="preserve"> etc. </w:t>
      </w:r>
      <w:r w:rsidR="009E4ADE" w:rsidRPr="00331BED">
        <w:t xml:space="preserve">Nowhere is it stated that the gyms and </w:t>
      </w:r>
      <w:r w:rsidR="00B85FBD">
        <w:t xml:space="preserve">restaurants </w:t>
      </w:r>
      <w:r w:rsidR="009E4ADE" w:rsidRPr="00331BED">
        <w:t>do not make a profit.</w:t>
      </w:r>
    </w:p>
    <w:p w14:paraId="23B0E83E" w14:textId="47164574" w:rsidR="009F581C" w:rsidRDefault="00F8415D" w:rsidP="00F8415D">
      <w:pPr>
        <w:pStyle w:val="LEVEL10"/>
        <w:numPr>
          <w:ilvl w:val="0"/>
          <w:numId w:val="0"/>
        </w:numPr>
        <w:ind w:left="851" w:hanging="851"/>
      </w:pPr>
      <w:r>
        <w:t>[28]</w:t>
      </w:r>
      <w:r>
        <w:tab/>
      </w:r>
      <w:r w:rsidR="00B858D6">
        <w:t>T</w:t>
      </w:r>
      <w:r w:rsidR="00F32B7E" w:rsidRPr="00331BED">
        <w:t xml:space="preserve">he applicants have not </w:t>
      </w:r>
      <w:r w:rsidR="00DA32E1" w:rsidRPr="00331BED">
        <w:t xml:space="preserve">discharged their onus </w:t>
      </w:r>
      <w:r w:rsidR="00A12A5D">
        <w:t xml:space="preserve">to prove </w:t>
      </w:r>
      <w:r w:rsidR="00B858D6">
        <w:t xml:space="preserve">(a) </w:t>
      </w:r>
      <w:r w:rsidR="00A12A5D">
        <w:t xml:space="preserve">that </w:t>
      </w:r>
      <w:r w:rsidR="00DA32E1" w:rsidRPr="00331BED">
        <w:t>the lifestyle centres</w:t>
      </w:r>
      <w:r w:rsidR="00A12A5D">
        <w:t xml:space="preserve"> fall within the definition of “domestic use” </w:t>
      </w:r>
      <w:r w:rsidR="00B858D6">
        <w:t xml:space="preserve">or </w:t>
      </w:r>
      <w:r w:rsidR="00A12A5D">
        <w:t xml:space="preserve">(b) </w:t>
      </w:r>
      <w:r w:rsidR="00B858D6">
        <w:t xml:space="preserve">that the lifestyle units </w:t>
      </w:r>
      <w:r w:rsidR="00A12A5D">
        <w:t xml:space="preserve">are not used for a </w:t>
      </w:r>
      <w:r w:rsidR="003E0F94" w:rsidRPr="00331BED">
        <w:rPr>
          <w:i/>
          <w:iCs/>
        </w:rPr>
        <w:t>“business purpose”</w:t>
      </w:r>
      <w:r w:rsidR="003E0F94" w:rsidRPr="00331BED">
        <w:t>.</w:t>
      </w:r>
    </w:p>
    <w:p w14:paraId="5941E1F8" w14:textId="77777777" w:rsidR="00235DA8" w:rsidRPr="00D23DF8" w:rsidRDefault="00235DA8" w:rsidP="00235DA8">
      <w:pPr>
        <w:pStyle w:val="Heading1"/>
        <w:rPr>
          <w:b w:val="0"/>
          <w:bCs w:val="0"/>
          <w:i/>
          <w:iCs/>
        </w:rPr>
      </w:pPr>
      <w:r w:rsidRPr="00D23DF8">
        <w:rPr>
          <w:b w:val="0"/>
          <w:bCs w:val="0"/>
          <w:i/>
          <w:iCs/>
        </w:rPr>
        <w:t xml:space="preserve">Zoning </w:t>
      </w:r>
      <w:proofErr w:type="gramStart"/>
      <w:r w:rsidRPr="00D23DF8">
        <w:rPr>
          <w:b w:val="0"/>
          <w:bCs w:val="0"/>
          <w:i/>
          <w:iCs/>
        </w:rPr>
        <w:t>of  Property</w:t>
      </w:r>
      <w:proofErr w:type="gramEnd"/>
    </w:p>
    <w:p w14:paraId="4F86CBCC" w14:textId="483C29A4" w:rsidR="00235DA8" w:rsidRPr="00D23DF8" w:rsidRDefault="00F8415D" w:rsidP="00F8415D">
      <w:pPr>
        <w:pStyle w:val="LEVEL20"/>
        <w:numPr>
          <w:ilvl w:val="0"/>
          <w:numId w:val="0"/>
        </w:numPr>
        <w:ind w:left="851" w:hanging="851"/>
      </w:pPr>
      <w:r w:rsidRPr="00D23DF8">
        <w:t>[29]</w:t>
      </w:r>
      <w:r w:rsidRPr="00D23DF8">
        <w:tab/>
      </w:r>
      <w:r w:rsidR="00235DA8" w:rsidRPr="00D23DF8">
        <w:t>The applicants submit that their electricity should be billed</w:t>
      </w:r>
      <w:r w:rsidR="00235DA8" w:rsidRPr="00D23DF8">
        <w:rPr>
          <w:spacing w:val="-7"/>
        </w:rPr>
        <w:t xml:space="preserve"> </w:t>
      </w:r>
      <w:r w:rsidR="00235DA8" w:rsidRPr="00D23DF8">
        <w:t>on</w:t>
      </w:r>
      <w:r w:rsidR="00235DA8" w:rsidRPr="00D23DF8">
        <w:rPr>
          <w:spacing w:val="-9"/>
        </w:rPr>
        <w:t xml:space="preserve"> </w:t>
      </w:r>
      <w:r w:rsidR="00235DA8" w:rsidRPr="00D23DF8">
        <w:t>a</w:t>
      </w:r>
      <w:r w:rsidR="00235DA8" w:rsidRPr="00D23DF8">
        <w:rPr>
          <w:spacing w:val="-14"/>
        </w:rPr>
        <w:t xml:space="preserve"> </w:t>
      </w:r>
      <w:r w:rsidR="00235DA8" w:rsidRPr="00D23DF8">
        <w:t>residential tariff</w:t>
      </w:r>
      <w:r w:rsidR="00235DA8" w:rsidRPr="00D23DF8">
        <w:rPr>
          <w:spacing w:val="-10"/>
        </w:rPr>
        <w:t xml:space="preserve"> </w:t>
      </w:r>
      <w:r w:rsidR="00235DA8" w:rsidRPr="00D23DF8">
        <w:t>because</w:t>
      </w:r>
      <w:r w:rsidR="00235DA8" w:rsidRPr="00D23DF8">
        <w:rPr>
          <w:spacing w:val="-1"/>
        </w:rPr>
        <w:t xml:space="preserve"> </w:t>
      </w:r>
      <w:r w:rsidR="00235DA8" w:rsidRPr="00D23DF8">
        <w:t>the</w:t>
      </w:r>
      <w:r w:rsidR="00235DA8" w:rsidRPr="00D23DF8">
        <w:rPr>
          <w:spacing w:val="-15"/>
        </w:rPr>
        <w:t xml:space="preserve"> </w:t>
      </w:r>
      <w:r w:rsidR="00235DA8" w:rsidRPr="00D23DF8">
        <w:t>properties are</w:t>
      </w:r>
      <w:r w:rsidR="00235DA8" w:rsidRPr="00D23DF8">
        <w:rPr>
          <w:spacing w:val="-18"/>
        </w:rPr>
        <w:t xml:space="preserve"> </w:t>
      </w:r>
      <w:r w:rsidR="00235DA8" w:rsidRPr="00D23DF8">
        <w:t xml:space="preserve">zoned </w:t>
      </w:r>
      <w:r w:rsidR="00A12A5D">
        <w:t>r</w:t>
      </w:r>
      <w:r w:rsidR="00235DA8" w:rsidRPr="00D23DF8">
        <w:t>esidential 3 and</w:t>
      </w:r>
      <w:r w:rsidR="00235DA8" w:rsidRPr="00D23DF8">
        <w:rPr>
          <w:spacing w:val="-10"/>
        </w:rPr>
        <w:t xml:space="preserve"> </w:t>
      </w:r>
      <w:r w:rsidR="00235DA8" w:rsidRPr="00D23DF8">
        <w:t>that</w:t>
      </w:r>
      <w:r w:rsidR="00235DA8" w:rsidRPr="00D23DF8">
        <w:rPr>
          <w:spacing w:val="-11"/>
        </w:rPr>
        <w:t xml:space="preserve"> </w:t>
      </w:r>
      <w:r w:rsidR="00235DA8" w:rsidRPr="00D23DF8">
        <w:t>the</w:t>
      </w:r>
      <w:r w:rsidR="00235DA8" w:rsidRPr="00D23DF8">
        <w:rPr>
          <w:spacing w:val="-15"/>
        </w:rPr>
        <w:t xml:space="preserve"> </w:t>
      </w:r>
      <w:r w:rsidR="00235DA8" w:rsidRPr="00D23DF8">
        <w:t>lifestyle</w:t>
      </w:r>
      <w:r w:rsidR="00235DA8" w:rsidRPr="00D23DF8">
        <w:rPr>
          <w:spacing w:val="-10"/>
        </w:rPr>
        <w:t xml:space="preserve"> </w:t>
      </w:r>
      <w:r w:rsidR="00235DA8" w:rsidRPr="00D23DF8">
        <w:t>centres' usage</w:t>
      </w:r>
      <w:r w:rsidR="00235DA8" w:rsidRPr="00D23DF8">
        <w:rPr>
          <w:spacing w:val="-11"/>
        </w:rPr>
        <w:t xml:space="preserve"> </w:t>
      </w:r>
      <w:r w:rsidR="00235DA8" w:rsidRPr="00D23DF8">
        <w:t>is</w:t>
      </w:r>
      <w:r w:rsidR="00235DA8" w:rsidRPr="00D23DF8">
        <w:rPr>
          <w:spacing w:val="-16"/>
        </w:rPr>
        <w:t xml:space="preserve"> </w:t>
      </w:r>
      <w:r w:rsidR="00235DA8" w:rsidRPr="00D23DF8">
        <w:t>ancillary to</w:t>
      </w:r>
      <w:r w:rsidR="00235DA8" w:rsidRPr="00D23DF8">
        <w:rPr>
          <w:spacing w:val="-10"/>
        </w:rPr>
        <w:t xml:space="preserve"> </w:t>
      </w:r>
      <w:r w:rsidR="00235DA8" w:rsidRPr="00D23DF8">
        <w:t>the</w:t>
      </w:r>
      <w:r w:rsidR="00235DA8" w:rsidRPr="00D23DF8">
        <w:rPr>
          <w:spacing w:val="-17"/>
        </w:rPr>
        <w:t xml:space="preserve"> </w:t>
      </w:r>
      <w:r w:rsidR="00235DA8" w:rsidRPr="00D23DF8">
        <w:t>zoning</w:t>
      </w:r>
      <w:r w:rsidR="00235DA8" w:rsidRPr="00D23DF8">
        <w:rPr>
          <w:spacing w:val="-10"/>
        </w:rPr>
        <w:t xml:space="preserve"> </w:t>
      </w:r>
      <w:r w:rsidR="00235DA8" w:rsidRPr="00D23DF8">
        <w:t>of</w:t>
      </w:r>
      <w:r w:rsidR="00235DA8" w:rsidRPr="00D23DF8">
        <w:rPr>
          <w:spacing w:val="-15"/>
        </w:rPr>
        <w:t xml:space="preserve"> </w:t>
      </w:r>
      <w:r w:rsidR="00A12A5D">
        <w:t>r</w:t>
      </w:r>
      <w:r w:rsidR="00235DA8" w:rsidRPr="00D23DF8">
        <w:t xml:space="preserve">esidential 3. </w:t>
      </w:r>
    </w:p>
    <w:p w14:paraId="01452FBF" w14:textId="65DC1C72" w:rsidR="00235DA8" w:rsidRPr="00D23DF8" w:rsidRDefault="00F8415D" w:rsidP="00F8415D">
      <w:pPr>
        <w:pStyle w:val="LEVEL10"/>
        <w:numPr>
          <w:ilvl w:val="0"/>
          <w:numId w:val="0"/>
        </w:numPr>
        <w:ind w:left="851" w:hanging="851"/>
        <w:rPr>
          <w:szCs w:val="24"/>
        </w:rPr>
      </w:pPr>
      <w:r w:rsidRPr="00D23DF8">
        <w:rPr>
          <w:szCs w:val="24"/>
        </w:rPr>
        <w:lastRenderedPageBreak/>
        <w:t>[30]</w:t>
      </w:r>
      <w:r w:rsidRPr="00D23DF8">
        <w:rPr>
          <w:szCs w:val="24"/>
        </w:rPr>
        <w:tab/>
      </w:r>
      <w:r w:rsidR="00235DA8" w:rsidRPr="00D23DF8">
        <w:rPr>
          <w:szCs w:val="24"/>
        </w:rPr>
        <w:t>The</w:t>
      </w:r>
      <w:r w:rsidR="00235DA8" w:rsidRPr="00D23DF8">
        <w:rPr>
          <w:spacing w:val="-18"/>
          <w:szCs w:val="24"/>
        </w:rPr>
        <w:t xml:space="preserve"> </w:t>
      </w:r>
      <w:r w:rsidR="00235DA8" w:rsidRPr="00D23DF8">
        <w:rPr>
          <w:szCs w:val="24"/>
        </w:rPr>
        <w:t>zoning</w:t>
      </w:r>
      <w:r w:rsidR="00235DA8" w:rsidRPr="00D23DF8">
        <w:rPr>
          <w:spacing w:val="-17"/>
          <w:szCs w:val="24"/>
        </w:rPr>
        <w:t xml:space="preserve"> </w:t>
      </w:r>
      <w:r w:rsidR="00235DA8" w:rsidRPr="00D23DF8">
        <w:rPr>
          <w:szCs w:val="24"/>
        </w:rPr>
        <w:t>of</w:t>
      </w:r>
      <w:r w:rsidR="00235DA8" w:rsidRPr="00D23DF8">
        <w:rPr>
          <w:spacing w:val="-18"/>
          <w:szCs w:val="24"/>
        </w:rPr>
        <w:t xml:space="preserve"> </w:t>
      </w:r>
      <w:r w:rsidR="00235DA8" w:rsidRPr="00D23DF8">
        <w:rPr>
          <w:szCs w:val="24"/>
        </w:rPr>
        <w:t>a</w:t>
      </w:r>
      <w:r w:rsidR="00235DA8" w:rsidRPr="00D23DF8">
        <w:rPr>
          <w:spacing w:val="-17"/>
          <w:szCs w:val="24"/>
        </w:rPr>
        <w:t xml:space="preserve"> </w:t>
      </w:r>
      <w:r w:rsidR="00235DA8" w:rsidRPr="00D23DF8">
        <w:rPr>
          <w:szCs w:val="24"/>
        </w:rPr>
        <w:t>property has an impact on the assessment of rates payable by owners within a sectional title scheme. The</w:t>
      </w:r>
      <w:r w:rsidR="00235DA8" w:rsidRPr="00D23DF8">
        <w:rPr>
          <w:spacing w:val="-6"/>
          <w:szCs w:val="24"/>
        </w:rPr>
        <w:t xml:space="preserve"> </w:t>
      </w:r>
      <w:r w:rsidR="00235DA8" w:rsidRPr="00D23DF8">
        <w:rPr>
          <w:szCs w:val="24"/>
        </w:rPr>
        <w:t>billing of</w:t>
      </w:r>
      <w:r w:rsidR="00235DA8" w:rsidRPr="00D23DF8">
        <w:rPr>
          <w:spacing w:val="-7"/>
          <w:szCs w:val="24"/>
        </w:rPr>
        <w:t xml:space="preserve"> </w:t>
      </w:r>
      <w:r w:rsidR="00235DA8" w:rsidRPr="00D23DF8">
        <w:rPr>
          <w:szCs w:val="24"/>
        </w:rPr>
        <w:t>rates</w:t>
      </w:r>
      <w:r w:rsidR="00235DA8" w:rsidRPr="00D23DF8">
        <w:rPr>
          <w:spacing w:val="-7"/>
          <w:szCs w:val="24"/>
        </w:rPr>
        <w:t xml:space="preserve"> </w:t>
      </w:r>
      <w:r w:rsidR="00235DA8" w:rsidRPr="00D23DF8">
        <w:rPr>
          <w:szCs w:val="24"/>
        </w:rPr>
        <w:t>is</w:t>
      </w:r>
      <w:r w:rsidR="00235DA8" w:rsidRPr="00D23DF8">
        <w:rPr>
          <w:spacing w:val="-9"/>
          <w:szCs w:val="24"/>
        </w:rPr>
        <w:t xml:space="preserve"> </w:t>
      </w:r>
      <w:r w:rsidR="00235DA8" w:rsidRPr="00D23DF8">
        <w:rPr>
          <w:szCs w:val="24"/>
        </w:rPr>
        <w:t>governed by</w:t>
      </w:r>
      <w:r w:rsidR="00235DA8" w:rsidRPr="00D23DF8">
        <w:rPr>
          <w:spacing w:val="-2"/>
          <w:szCs w:val="24"/>
        </w:rPr>
        <w:t xml:space="preserve"> different legislation, namely </w:t>
      </w:r>
      <w:r w:rsidR="00235DA8" w:rsidRPr="00D23DF8">
        <w:rPr>
          <w:szCs w:val="24"/>
        </w:rPr>
        <w:t>the Municipal</w:t>
      </w:r>
      <w:r w:rsidR="00235DA8" w:rsidRPr="00D23DF8">
        <w:rPr>
          <w:spacing w:val="19"/>
          <w:szCs w:val="24"/>
        </w:rPr>
        <w:t xml:space="preserve"> </w:t>
      </w:r>
      <w:r w:rsidR="00235DA8" w:rsidRPr="00D23DF8">
        <w:rPr>
          <w:szCs w:val="24"/>
        </w:rPr>
        <w:t>Property</w:t>
      </w:r>
      <w:r w:rsidR="00235DA8" w:rsidRPr="00D23DF8">
        <w:rPr>
          <w:spacing w:val="32"/>
          <w:szCs w:val="24"/>
        </w:rPr>
        <w:t xml:space="preserve"> </w:t>
      </w:r>
      <w:r w:rsidR="00235DA8" w:rsidRPr="00D23DF8">
        <w:rPr>
          <w:szCs w:val="24"/>
        </w:rPr>
        <w:t>Rates</w:t>
      </w:r>
      <w:r w:rsidR="00235DA8" w:rsidRPr="00D23DF8">
        <w:rPr>
          <w:spacing w:val="25"/>
          <w:szCs w:val="24"/>
        </w:rPr>
        <w:t xml:space="preserve"> </w:t>
      </w:r>
      <w:r w:rsidR="00235DA8" w:rsidRPr="00D23DF8">
        <w:rPr>
          <w:szCs w:val="24"/>
        </w:rPr>
        <w:t>Act</w:t>
      </w:r>
      <w:r w:rsidR="00235DA8" w:rsidRPr="00D23DF8">
        <w:rPr>
          <w:spacing w:val="21"/>
          <w:szCs w:val="24"/>
        </w:rPr>
        <w:t xml:space="preserve"> </w:t>
      </w:r>
      <w:r w:rsidR="00235DA8" w:rsidRPr="00D23DF8">
        <w:rPr>
          <w:szCs w:val="24"/>
        </w:rPr>
        <w:t>6 of</w:t>
      </w:r>
      <w:r w:rsidR="00235DA8" w:rsidRPr="00D23DF8">
        <w:rPr>
          <w:spacing w:val="23"/>
          <w:szCs w:val="24"/>
        </w:rPr>
        <w:t xml:space="preserve"> </w:t>
      </w:r>
      <w:r w:rsidR="00235DA8" w:rsidRPr="00D23DF8">
        <w:rPr>
          <w:szCs w:val="24"/>
        </w:rPr>
        <w:t xml:space="preserve">2004. Assessment rates are based on the valuation of the property and its zoning; electricity services are based on actual consumption. </w:t>
      </w:r>
    </w:p>
    <w:p w14:paraId="0C6351B2" w14:textId="2865D654" w:rsidR="00235DA8" w:rsidRPr="00D23DF8" w:rsidRDefault="00F8415D" w:rsidP="00F8415D">
      <w:pPr>
        <w:pStyle w:val="LEVEL10"/>
        <w:numPr>
          <w:ilvl w:val="0"/>
          <w:numId w:val="0"/>
        </w:numPr>
        <w:ind w:left="851" w:hanging="851"/>
        <w:rPr>
          <w:szCs w:val="24"/>
        </w:rPr>
      </w:pPr>
      <w:r w:rsidRPr="00D23DF8">
        <w:rPr>
          <w:szCs w:val="24"/>
        </w:rPr>
        <w:t>[31]</w:t>
      </w:r>
      <w:r w:rsidRPr="00D23DF8">
        <w:rPr>
          <w:szCs w:val="24"/>
        </w:rPr>
        <w:tab/>
      </w:r>
      <w:r w:rsidR="00235DA8" w:rsidRPr="00D23DF8">
        <w:rPr>
          <w:szCs w:val="24"/>
        </w:rPr>
        <w:t>There is nothing in the electricity by-laws or tariff policy to suggest that any determination made in respect of the zoning of the property has any bearing on the definitions of domestic tariff and business tariff</w:t>
      </w:r>
      <w:r w:rsidR="003F0527" w:rsidRPr="00D23DF8">
        <w:rPr>
          <w:szCs w:val="24"/>
        </w:rPr>
        <w:t xml:space="preserve"> in the tariff policy</w:t>
      </w:r>
      <w:r w:rsidR="00235DA8" w:rsidRPr="00D23DF8">
        <w:rPr>
          <w:szCs w:val="24"/>
        </w:rPr>
        <w:t>.</w:t>
      </w:r>
    </w:p>
    <w:p w14:paraId="740B04B2" w14:textId="3CF16E6B" w:rsidR="009F581C" w:rsidRPr="00331BED" w:rsidRDefault="003E0F94" w:rsidP="003E0F94">
      <w:pPr>
        <w:pStyle w:val="Heading1"/>
      </w:pPr>
      <w:r w:rsidRPr="00331BED">
        <w:t>DID THE CITY MAKE A DECISION?</w:t>
      </w:r>
    </w:p>
    <w:p w14:paraId="16BF7624" w14:textId="2DB23346" w:rsidR="009F581C" w:rsidRPr="00331BED" w:rsidRDefault="00F8415D" w:rsidP="00F8415D">
      <w:pPr>
        <w:pStyle w:val="LEVEL10"/>
        <w:numPr>
          <w:ilvl w:val="0"/>
          <w:numId w:val="0"/>
        </w:numPr>
        <w:ind w:left="851" w:hanging="851"/>
      </w:pPr>
      <w:r w:rsidRPr="00331BED">
        <w:t>[32]</w:t>
      </w:r>
      <w:r w:rsidRPr="00331BED">
        <w:tab/>
      </w:r>
      <w:r w:rsidR="003E0F94" w:rsidRPr="00331BED">
        <w:t xml:space="preserve">In the supplementary founding affidavit the applicants refer </w:t>
      </w:r>
      <w:r w:rsidR="003F0527">
        <w:t>to two emails</w:t>
      </w:r>
      <w:r w:rsidR="009D76CF">
        <w:t xml:space="preserve"> </w:t>
      </w:r>
      <w:r w:rsidR="003F0527">
        <w:t>which form part of the same email</w:t>
      </w:r>
      <w:r w:rsidR="00B25547">
        <w:t xml:space="preserve"> string</w:t>
      </w:r>
      <w:r w:rsidR="003F0527">
        <w:t xml:space="preserve">. The first </w:t>
      </w:r>
      <w:r w:rsidR="003E0F94" w:rsidRPr="00331BED">
        <w:t>email</w:t>
      </w:r>
      <w:r w:rsidR="003F0527">
        <w:t xml:space="preserve"> written by a representative of the </w:t>
      </w:r>
      <w:proofErr w:type="gramStart"/>
      <w:r w:rsidR="003F0527">
        <w:t>City</w:t>
      </w:r>
      <w:proofErr w:type="gramEnd"/>
      <w:r w:rsidR="003F0527">
        <w:t xml:space="preserve"> on </w:t>
      </w:r>
      <w:r w:rsidR="003E0F94" w:rsidRPr="00331BED">
        <w:t xml:space="preserve">17 May 2019 </w:t>
      </w:r>
      <w:r w:rsidR="003F0527">
        <w:t>reads</w:t>
      </w:r>
      <w:r w:rsidR="003E0F94" w:rsidRPr="00331BED">
        <w:t>:</w:t>
      </w:r>
    </w:p>
    <w:p w14:paraId="76CAE541" w14:textId="347554BA" w:rsidR="00595044" w:rsidRPr="00331BED" w:rsidRDefault="003E0F94" w:rsidP="00595044">
      <w:pPr>
        <w:pStyle w:val="quotation1"/>
      </w:pPr>
      <w:r w:rsidRPr="00331BED">
        <w:t>“</w:t>
      </w:r>
      <w:r w:rsidR="00595044" w:rsidRPr="00331BED">
        <w:t>Morning Mam</w:t>
      </w:r>
    </w:p>
    <w:p w14:paraId="71A2B037" w14:textId="77777777" w:rsidR="00595044" w:rsidRPr="00331BED" w:rsidRDefault="00595044" w:rsidP="00354822">
      <w:pPr>
        <w:pStyle w:val="quotation1"/>
        <w:tabs>
          <w:tab w:val="clear" w:pos="1985"/>
        </w:tabs>
        <w:ind w:left="1418" w:firstLine="0"/>
      </w:pPr>
      <w:r w:rsidRPr="00331BED">
        <w:t xml:space="preserve">In the beginning of </w:t>
      </w:r>
      <w:proofErr w:type="gramStart"/>
      <w:r w:rsidRPr="00331BED">
        <w:t>March</w:t>
      </w:r>
      <w:proofErr w:type="gramEnd"/>
      <w:r w:rsidRPr="00331BED">
        <w:t xml:space="preserve"> we had a meeting with </w:t>
      </w:r>
      <w:proofErr w:type="spellStart"/>
      <w:r w:rsidRPr="00331BED">
        <w:t>Balwin</w:t>
      </w:r>
      <w:proofErr w:type="spellEnd"/>
      <w:r w:rsidRPr="00331BED">
        <w:t xml:space="preserve"> Properties relating to the ancillary uses (clubhouse, gym, laundromat, restaurant etc) on the properties that they developed as Sectional Title Residential. The zoning of these properties </w:t>
      </w:r>
      <w:proofErr w:type="gramStart"/>
      <w:r w:rsidRPr="00331BED">
        <w:t>are</w:t>
      </w:r>
      <w:proofErr w:type="gramEnd"/>
      <w:r w:rsidRPr="00331BED">
        <w:t xml:space="preserve"> Residential and Special for Residential respectively.</w:t>
      </w:r>
    </w:p>
    <w:p w14:paraId="391107D8" w14:textId="77777777" w:rsidR="00595044" w:rsidRPr="00331BED" w:rsidRDefault="00595044" w:rsidP="00354822">
      <w:pPr>
        <w:pStyle w:val="quotation1"/>
        <w:tabs>
          <w:tab w:val="clear" w:pos="1985"/>
        </w:tabs>
        <w:ind w:left="1418" w:firstLine="0"/>
      </w:pPr>
      <w:r w:rsidRPr="00331BED">
        <w:t xml:space="preserve">The opinion of the investigating officer from </w:t>
      </w:r>
      <w:proofErr w:type="spellStart"/>
      <w:r w:rsidRPr="00331BED">
        <w:t>Buya</w:t>
      </w:r>
      <w:proofErr w:type="spellEnd"/>
      <w:r w:rsidRPr="00331BED">
        <w:t xml:space="preserve"> </w:t>
      </w:r>
      <w:proofErr w:type="spellStart"/>
      <w:r w:rsidRPr="00331BED">
        <w:t>Mtheto</w:t>
      </w:r>
      <w:proofErr w:type="spellEnd"/>
      <w:r w:rsidRPr="00331BED">
        <w:t xml:space="preserve"> was that these ancillary uses should be valued and rated as Business and Commercial.</w:t>
      </w:r>
    </w:p>
    <w:p w14:paraId="4B98D146" w14:textId="4AEE84D6" w:rsidR="00595044" w:rsidRPr="00331BED" w:rsidRDefault="00595044" w:rsidP="00354822">
      <w:pPr>
        <w:pStyle w:val="quotation1"/>
        <w:tabs>
          <w:tab w:val="clear" w:pos="1985"/>
        </w:tabs>
        <w:ind w:left="1418" w:firstLine="0"/>
      </w:pPr>
      <w:r w:rsidRPr="00331BED">
        <w:t>During the meeting it was confirmed that the ancillary use developments where for the sole benefit I use of the residents of the developments and that the operators of ancillaries do so rent free.</w:t>
      </w:r>
    </w:p>
    <w:p w14:paraId="075FEA40" w14:textId="0D1BD3CC" w:rsidR="00595044" w:rsidRPr="00331BED" w:rsidRDefault="00595044" w:rsidP="00354822">
      <w:pPr>
        <w:pStyle w:val="quotation1"/>
        <w:tabs>
          <w:tab w:val="clear" w:pos="1985"/>
        </w:tabs>
        <w:ind w:left="1418" w:firstLine="0"/>
        <w:rPr>
          <w:b/>
        </w:rPr>
      </w:pPr>
      <w:r w:rsidRPr="00331BED">
        <w:lastRenderedPageBreak/>
        <w:t xml:space="preserve">Further to the above, </w:t>
      </w:r>
      <w:proofErr w:type="spellStart"/>
      <w:r w:rsidRPr="00331BED">
        <w:t>Balwin</w:t>
      </w:r>
      <w:proofErr w:type="spellEnd"/>
      <w:r w:rsidRPr="00331BED">
        <w:t xml:space="preserve"> furnished our dep with all relevant zoning </w:t>
      </w:r>
      <w:r w:rsidR="00694137" w:rsidRPr="00331BED">
        <w:t>information</w:t>
      </w:r>
      <w:r w:rsidRPr="00331BED">
        <w:t xml:space="preserve"> indicating that ancillary uses as indicated above are included in the existing </w:t>
      </w:r>
      <w:r w:rsidRPr="00331BED">
        <w:rPr>
          <w:b/>
        </w:rPr>
        <w:t>zonings.</w:t>
      </w:r>
    </w:p>
    <w:p w14:paraId="6F2945F1" w14:textId="77777777" w:rsidR="00595044" w:rsidRPr="00331BED" w:rsidRDefault="00595044" w:rsidP="00354822">
      <w:pPr>
        <w:pStyle w:val="quotation1"/>
        <w:tabs>
          <w:tab w:val="clear" w:pos="1985"/>
        </w:tabs>
        <w:ind w:left="1418" w:firstLine="0"/>
      </w:pPr>
      <w:r w:rsidRPr="00331BED">
        <w:t xml:space="preserve">We will notify </w:t>
      </w:r>
      <w:proofErr w:type="spellStart"/>
      <w:r w:rsidRPr="00331BED">
        <w:t>Balwin</w:t>
      </w:r>
      <w:proofErr w:type="spellEnd"/>
      <w:r w:rsidRPr="00331BED">
        <w:t xml:space="preserve"> Properties that if any changes to the ancillary uses are affected that the onus is on them to notify the city of such future changes.</w:t>
      </w:r>
    </w:p>
    <w:p w14:paraId="1D6D1BCC" w14:textId="77777777" w:rsidR="00595044" w:rsidRPr="00331BED" w:rsidRDefault="00595044" w:rsidP="00354822">
      <w:pPr>
        <w:pStyle w:val="quotation1"/>
        <w:tabs>
          <w:tab w:val="clear" w:pos="1985"/>
        </w:tabs>
        <w:ind w:left="1418" w:firstLine="0"/>
        <w:rPr>
          <w:b/>
        </w:rPr>
      </w:pPr>
      <w:r w:rsidRPr="00331BED">
        <w:rPr>
          <w:b/>
        </w:rPr>
        <w:t xml:space="preserve">Based on the information at hand the valuation dep is satisfied that the value of ancillary uses </w:t>
      </w:r>
      <w:proofErr w:type="gramStart"/>
      <w:r w:rsidRPr="00331BED">
        <w:rPr>
          <w:b/>
        </w:rPr>
        <w:t>are</w:t>
      </w:r>
      <w:proofErr w:type="gramEnd"/>
      <w:r w:rsidRPr="00331BED">
        <w:rPr>
          <w:b/>
        </w:rPr>
        <w:t xml:space="preserve"> included in that of the units and should not be valued</w:t>
      </w:r>
    </w:p>
    <w:p w14:paraId="51370944" w14:textId="394E7C9C" w:rsidR="003E0F94" w:rsidRPr="003F0527" w:rsidRDefault="00595044" w:rsidP="00354822">
      <w:pPr>
        <w:pStyle w:val="quotation1"/>
        <w:tabs>
          <w:tab w:val="clear" w:pos="1985"/>
        </w:tabs>
        <w:ind w:left="1418" w:firstLine="0"/>
        <w:rPr>
          <w:bCs/>
          <w:i w:val="0"/>
          <w:iCs w:val="0"/>
        </w:rPr>
      </w:pPr>
      <w:r w:rsidRPr="00331BED">
        <w:rPr>
          <w:b/>
        </w:rPr>
        <w:t>separately and that the category of the "mother stand" should remain at Sectional Title Residential."</w:t>
      </w:r>
      <w:r w:rsidR="003F0527">
        <w:rPr>
          <w:b/>
        </w:rPr>
        <w:t xml:space="preserve"> </w:t>
      </w:r>
      <w:r w:rsidR="003F0527">
        <w:rPr>
          <w:bCs/>
          <w:i w:val="0"/>
          <w:iCs w:val="0"/>
        </w:rPr>
        <w:t>[Emphasis in the email.]</w:t>
      </w:r>
    </w:p>
    <w:p w14:paraId="60745A3B" w14:textId="74564C18" w:rsidR="009F581C" w:rsidRPr="00331BED" w:rsidRDefault="00F8415D" w:rsidP="00F8415D">
      <w:pPr>
        <w:pStyle w:val="LEVEL10"/>
        <w:numPr>
          <w:ilvl w:val="0"/>
          <w:numId w:val="0"/>
        </w:numPr>
        <w:ind w:left="851" w:hanging="851"/>
      </w:pPr>
      <w:r w:rsidRPr="00331BED">
        <w:t>[33]</w:t>
      </w:r>
      <w:r w:rsidRPr="00331BED">
        <w:tab/>
      </w:r>
      <w:r w:rsidR="003F0527">
        <w:t xml:space="preserve">The second email was sent by </w:t>
      </w:r>
      <w:r w:rsidR="009D76CF">
        <w:t xml:space="preserve">Mr </w:t>
      </w:r>
      <w:proofErr w:type="spellStart"/>
      <w:r w:rsidR="00B958DE" w:rsidRPr="00331BED">
        <w:t>Lefu</w:t>
      </w:r>
      <w:r w:rsidR="003F0527">
        <w:t>no</w:t>
      </w:r>
      <w:proofErr w:type="spellEnd"/>
      <w:r w:rsidR="00B958DE" w:rsidRPr="00331BED">
        <w:t xml:space="preserve"> </w:t>
      </w:r>
      <w:proofErr w:type="spellStart"/>
      <w:r w:rsidR="00B958DE" w:rsidRPr="00331BED">
        <w:t>Mash</w:t>
      </w:r>
      <w:r w:rsidR="00556378" w:rsidRPr="00331BED">
        <w:t>au</w:t>
      </w:r>
      <w:proofErr w:type="spellEnd"/>
      <w:r w:rsidR="009D76CF">
        <w:t xml:space="preserve"> (an employee of the </w:t>
      </w:r>
      <w:proofErr w:type="gramStart"/>
      <w:r w:rsidR="009D76CF">
        <w:t xml:space="preserve">City) </w:t>
      </w:r>
      <w:r w:rsidR="00556378" w:rsidRPr="00331BED">
        <w:t xml:space="preserve"> </w:t>
      </w:r>
      <w:r w:rsidR="003065B1">
        <w:t>on</w:t>
      </w:r>
      <w:proofErr w:type="gramEnd"/>
      <w:r w:rsidR="003065B1">
        <w:t xml:space="preserve"> </w:t>
      </w:r>
      <w:r w:rsidR="00556378" w:rsidRPr="00331BED">
        <w:t>20 May 2019</w:t>
      </w:r>
      <w:r w:rsidR="003F0527">
        <w:t xml:space="preserve"> </w:t>
      </w:r>
      <w:r w:rsidR="00556378" w:rsidRPr="00331BED">
        <w:t xml:space="preserve"> which reads as follows:</w:t>
      </w:r>
    </w:p>
    <w:p w14:paraId="090FC22C" w14:textId="77777777" w:rsidR="002B6946" w:rsidRPr="00331BED" w:rsidRDefault="002B6946" w:rsidP="002B6946">
      <w:pPr>
        <w:pStyle w:val="quotation1"/>
      </w:pPr>
      <w:r w:rsidRPr="00331BED">
        <w:t>"Dear Thami</w:t>
      </w:r>
    </w:p>
    <w:p w14:paraId="74AEC7B5" w14:textId="4DFB5919" w:rsidR="009F581C" w:rsidRPr="00331BED" w:rsidRDefault="002B6946" w:rsidP="002B6946">
      <w:pPr>
        <w:pStyle w:val="quotation1"/>
        <w:tabs>
          <w:tab w:val="clear" w:pos="1985"/>
        </w:tabs>
        <w:ind w:left="1418" w:firstLine="0"/>
      </w:pPr>
      <w:r w:rsidRPr="00331BED">
        <w:t xml:space="preserve">Below email has reference. Based on the findings of the valuation unit, there is a need for City Power to align the electrify billing to the process as outlined. The "lifestyle" facilities provided by </w:t>
      </w:r>
      <w:proofErr w:type="spellStart"/>
      <w:r w:rsidRPr="00331BED">
        <w:t>Balwin</w:t>
      </w:r>
      <w:proofErr w:type="spellEnd"/>
      <w:r w:rsidRPr="00331BED">
        <w:t xml:space="preserve"> Properties within their developments having been valued as part of the schemes and are therefore seen as residential for the purpose of valuation. Electricity billing in </w:t>
      </w:r>
      <w:proofErr w:type="gramStart"/>
      <w:r w:rsidRPr="00331BED">
        <w:t>this developments</w:t>
      </w:r>
      <w:proofErr w:type="gramEnd"/>
      <w:r w:rsidRPr="00331BED">
        <w:t xml:space="preserve"> needs to be corrected to residential in order to achieve the alignment. "</w:t>
      </w:r>
    </w:p>
    <w:p w14:paraId="0B0B7B9F" w14:textId="20303462" w:rsidR="009F581C" w:rsidRPr="00331BED" w:rsidRDefault="00F8415D" w:rsidP="00F8415D">
      <w:pPr>
        <w:pStyle w:val="LEVEL10"/>
        <w:numPr>
          <w:ilvl w:val="0"/>
          <w:numId w:val="0"/>
        </w:numPr>
        <w:ind w:left="851" w:hanging="851"/>
      </w:pPr>
      <w:r w:rsidRPr="00331BED">
        <w:t>[34]</w:t>
      </w:r>
      <w:r w:rsidRPr="00331BED">
        <w:tab/>
      </w:r>
      <w:r w:rsidR="002B6946" w:rsidRPr="00331BED">
        <w:t>The applicants’ contention is that the last email constitu</w:t>
      </w:r>
      <w:r w:rsidR="004016D9" w:rsidRPr="00331BED">
        <w:t>tes a decision by the respondents’ valuation department that the lifestyle centres should be billed on a residential basis.</w:t>
      </w:r>
      <w:r w:rsidR="003F0527">
        <w:t xml:space="preserve"> </w:t>
      </w:r>
      <w:r w:rsidR="00B26E2E">
        <w:t xml:space="preserve">The respondents deny that this email </w:t>
      </w:r>
      <w:r w:rsidR="00174B32">
        <w:t xml:space="preserve">was a </w:t>
      </w:r>
      <w:r w:rsidR="00B26E2E">
        <w:t>decision</w:t>
      </w:r>
      <w:r w:rsidR="00174B32">
        <w:t xml:space="preserve"> of the </w:t>
      </w:r>
      <w:proofErr w:type="gramStart"/>
      <w:r w:rsidR="00174B32">
        <w:t>City</w:t>
      </w:r>
      <w:proofErr w:type="gramEnd"/>
      <w:r w:rsidR="00B26E2E">
        <w:t>.</w:t>
      </w:r>
    </w:p>
    <w:p w14:paraId="6B2820BE" w14:textId="6A0D6D8A" w:rsidR="003434BF" w:rsidRPr="003434BF" w:rsidRDefault="00F8415D" w:rsidP="00F8415D">
      <w:pPr>
        <w:pStyle w:val="LEVEL10"/>
        <w:numPr>
          <w:ilvl w:val="0"/>
          <w:numId w:val="0"/>
        </w:numPr>
        <w:ind w:left="851" w:hanging="851"/>
      </w:pPr>
      <w:r w:rsidRPr="003434BF">
        <w:lastRenderedPageBreak/>
        <w:t>[35]</w:t>
      </w:r>
      <w:r w:rsidRPr="003434BF">
        <w:tab/>
      </w:r>
      <w:r w:rsidR="00B25547">
        <w:t xml:space="preserve">The email string is attached as an annexure to the supplementary founding affidavit. </w:t>
      </w:r>
      <w:r w:rsidR="00295D97" w:rsidRPr="00331BED">
        <w:t>Attached as part of the same annexure</w:t>
      </w:r>
      <w:r w:rsidR="009D76CF">
        <w:t xml:space="preserve"> </w:t>
      </w:r>
      <w:r w:rsidR="00295D97" w:rsidRPr="00331BED">
        <w:t xml:space="preserve">is a letter from </w:t>
      </w:r>
      <w:proofErr w:type="spellStart"/>
      <w:r w:rsidR="00295D97" w:rsidRPr="00331BED">
        <w:t>Balwin</w:t>
      </w:r>
      <w:proofErr w:type="spellEnd"/>
      <w:r w:rsidR="00295D97" w:rsidRPr="00331BED">
        <w:t xml:space="preserve"> Properties</w:t>
      </w:r>
      <w:r w:rsidR="00635343">
        <w:t xml:space="preserve"> (“</w:t>
      </w:r>
      <w:proofErr w:type="spellStart"/>
      <w:r w:rsidR="00635343" w:rsidRPr="00F8628A">
        <w:rPr>
          <w:i/>
          <w:iCs/>
        </w:rPr>
        <w:t>Balwin</w:t>
      </w:r>
      <w:proofErr w:type="spellEnd"/>
      <w:proofErr w:type="gramStart"/>
      <w:r w:rsidR="00635343">
        <w:t xml:space="preserve">”) </w:t>
      </w:r>
      <w:r w:rsidR="00295D97" w:rsidRPr="00331BED">
        <w:t xml:space="preserve"> dated</w:t>
      </w:r>
      <w:proofErr w:type="gramEnd"/>
      <w:r w:rsidR="00295D97" w:rsidRPr="00331BED">
        <w:t xml:space="preserve"> 1 April 2019 </w:t>
      </w:r>
      <w:r w:rsidR="00B26E2E">
        <w:t xml:space="preserve">addressed </w:t>
      </w:r>
      <w:r w:rsidR="00295D97" w:rsidRPr="00331BED">
        <w:t>to the City</w:t>
      </w:r>
      <w:r w:rsidR="002D0510" w:rsidRPr="00331BED">
        <w:t xml:space="preserve">. </w:t>
      </w:r>
      <w:r w:rsidR="00F8628A">
        <w:t>(</w:t>
      </w:r>
      <w:proofErr w:type="spellStart"/>
      <w:r w:rsidR="00F8628A" w:rsidRPr="003434BF">
        <w:t>Balwin</w:t>
      </w:r>
      <w:proofErr w:type="spellEnd"/>
      <w:r w:rsidR="00F8628A" w:rsidRPr="003434BF">
        <w:t xml:space="preserve"> was the developer who owned the two estates before they were transferred to the first and second applicants.</w:t>
      </w:r>
      <w:r w:rsidR="00F8628A">
        <w:t xml:space="preserve">) </w:t>
      </w:r>
      <w:r w:rsidR="003434BF">
        <w:t>T</w:t>
      </w:r>
      <w:r w:rsidR="003434BF" w:rsidRPr="00331BED">
        <w:t xml:space="preserve">he supplementary </w:t>
      </w:r>
      <w:r w:rsidR="008D3AE5">
        <w:t xml:space="preserve">founding </w:t>
      </w:r>
      <w:r w:rsidR="003434BF" w:rsidRPr="00331BED">
        <w:t xml:space="preserve">affidavit </w:t>
      </w:r>
      <w:r w:rsidR="003434BF">
        <w:t xml:space="preserve">does </w:t>
      </w:r>
      <w:r w:rsidR="008D3AE5">
        <w:t>give any background or context to the Baldwin letter</w:t>
      </w:r>
      <w:r w:rsidR="00F8628A">
        <w:t>.</w:t>
      </w:r>
      <w:r w:rsidR="00F8628A" w:rsidRPr="005E0D8C">
        <w:rPr>
          <w:rStyle w:val="FootnoteReference"/>
          <w:rFonts w:cs="Arial"/>
        </w:rPr>
        <w:footnoteReference w:id="1"/>
      </w:r>
      <w:r w:rsidR="008D3AE5">
        <w:t xml:space="preserve"> </w:t>
      </w:r>
      <w:r w:rsidR="0038328B" w:rsidRPr="00127F62">
        <w:rPr>
          <w:rStyle w:val="FootnoteReference"/>
          <w:rFonts w:cs="Arial"/>
          <w:szCs w:val="24"/>
        </w:rPr>
        <w:footnoteReference w:id="2"/>
      </w:r>
    </w:p>
    <w:p w14:paraId="2FC9D5C4" w14:textId="5DC9F639" w:rsidR="00174B32" w:rsidRDefault="00F8415D" w:rsidP="00F8415D">
      <w:pPr>
        <w:pStyle w:val="LEVEL10"/>
        <w:numPr>
          <w:ilvl w:val="0"/>
          <w:numId w:val="0"/>
        </w:numPr>
        <w:ind w:left="851" w:hanging="851"/>
      </w:pPr>
      <w:r>
        <w:t>[36]</w:t>
      </w:r>
      <w:r>
        <w:tab/>
      </w:r>
      <w:r w:rsidR="00B26E2E">
        <w:t xml:space="preserve">Mr </w:t>
      </w:r>
      <w:proofErr w:type="spellStart"/>
      <w:r w:rsidR="00B26E2E">
        <w:t>Mashau</w:t>
      </w:r>
      <w:proofErr w:type="spellEnd"/>
      <w:r w:rsidR="00B26E2E">
        <w:t xml:space="preserve"> is also the deponent to the answering affidavit. He says that the </w:t>
      </w:r>
      <w:r w:rsidR="00413B36" w:rsidRPr="00331BED">
        <w:t xml:space="preserve">email was </w:t>
      </w:r>
      <w:r w:rsidR="00B26E2E">
        <w:t xml:space="preserve">merely a suggestion to his colleagues </w:t>
      </w:r>
      <w:r w:rsidR="00413B36" w:rsidRPr="00331BED">
        <w:t xml:space="preserve">and </w:t>
      </w:r>
      <w:r w:rsidR="00B26E2E">
        <w:t xml:space="preserve">did </w:t>
      </w:r>
      <w:r w:rsidR="00413B36" w:rsidRPr="00331BED">
        <w:t xml:space="preserve">not constitute a </w:t>
      </w:r>
      <w:r w:rsidR="00413B36" w:rsidRPr="00B26E2E">
        <w:rPr>
          <w:i/>
          <w:iCs/>
        </w:rPr>
        <w:t>“decision”</w:t>
      </w:r>
      <w:r w:rsidR="00413B36" w:rsidRPr="00331BED">
        <w:t xml:space="preserve">. There is nothing to gainsay </w:t>
      </w:r>
      <w:r w:rsidR="00A71922" w:rsidRPr="00331BED">
        <w:t>this version</w:t>
      </w:r>
      <w:r w:rsidR="00C17460">
        <w:t xml:space="preserve"> and it </w:t>
      </w:r>
      <w:r w:rsidR="006C3EBF" w:rsidRPr="00331BED">
        <w:t xml:space="preserve">cannot be rejected on the papers.  </w:t>
      </w:r>
      <w:r w:rsidR="00C17460">
        <w:t xml:space="preserve">The </w:t>
      </w:r>
      <w:proofErr w:type="spellStart"/>
      <w:r w:rsidR="00C17460">
        <w:rPr>
          <w:i/>
          <w:iCs/>
        </w:rPr>
        <w:t>Plascon</w:t>
      </w:r>
      <w:proofErr w:type="spellEnd"/>
      <w:r w:rsidR="00C17460">
        <w:rPr>
          <w:i/>
          <w:iCs/>
        </w:rPr>
        <w:t xml:space="preserve">-Evans </w:t>
      </w:r>
      <w:r w:rsidR="00C17460">
        <w:t xml:space="preserve">rule </w:t>
      </w:r>
      <w:proofErr w:type="gramStart"/>
      <w:r w:rsidR="00C17460">
        <w:t>applies</w:t>
      </w:r>
      <w:proofErr w:type="gramEnd"/>
      <w:r w:rsidR="00C17460">
        <w:t xml:space="preserve"> and I must accept the respondents’ version on this issue.</w:t>
      </w:r>
    </w:p>
    <w:p w14:paraId="7F264895" w14:textId="55A2B36B" w:rsidR="00D23DF8" w:rsidRPr="00D23DF8" w:rsidRDefault="00F8415D" w:rsidP="00F8415D">
      <w:pPr>
        <w:pStyle w:val="LEVEL10"/>
        <w:numPr>
          <w:ilvl w:val="0"/>
          <w:numId w:val="0"/>
        </w:numPr>
        <w:ind w:left="851" w:hanging="851"/>
      </w:pPr>
      <w:r w:rsidRPr="00D23DF8">
        <w:t>[37]</w:t>
      </w:r>
      <w:r w:rsidRPr="00D23DF8">
        <w:tab/>
      </w:r>
      <w:r w:rsidR="00826E15">
        <w:t>The applicants c</w:t>
      </w:r>
      <w:r w:rsidR="00C17460">
        <w:t xml:space="preserve">an </w:t>
      </w:r>
      <w:r w:rsidR="00826E15">
        <w:t xml:space="preserve">also not refute </w:t>
      </w:r>
      <w:r w:rsidR="00174B32">
        <w:t xml:space="preserve">Mr </w:t>
      </w:r>
      <w:proofErr w:type="spellStart"/>
      <w:r w:rsidR="00174B32">
        <w:t>Mashau</w:t>
      </w:r>
      <w:r w:rsidR="00826E15">
        <w:t>’s</w:t>
      </w:r>
      <w:proofErr w:type="spellEnd"/>
      <w:r w:rsidR="00826E15">
        <w:t xml:space="preserve"> statement that he did not have the authority to have made such a decision. In fact, t</w:t>
      </w:r>
      <w:r w:rsidR="00826E15" w:rsidRPr="00331BED">
        <w:t>he tariff policy and the by-laws</w:t>
      </w:r>
      <w:r w:rsidR="00826E15">
        <w:t xml:space="preserve"> do not grant </w:t>
      </w:r>
      <w:r w:rsidR="00484D03">
        <w:t xml:space="preserve">authority </w:t>
      </w:r>
      <w:r w:rsidR="00826E15">
        <w:t xml:space="preserve">to any individual to make such </w:t>
      </w:r>
      <w:r w:rsidR="00826E15" w:rsidRPr="00331BED">
        <w:t xml:space="preserve">a decision. </w:t>
      </w:r>
      <w:r w:rsidR="00826E15">
        <w:t xml:space="preserve">A </w:t>
      </w:r>
      <w:r w:rsidR="00826E15">
        <w:lastRenderedPageBreak/>
        <w:t xml:space="preserve">decision of this nature would also have been </w:t>
      </w:r>
      <w:r w:rsidR="00826E15" w:rsidRPr="00D23DF8">
        <w:rPr>
          <w:i/>
          <w:iCs/>
        </w:rPr>
        <w:t>ultra vires</w:t>
      </w:r>
      <w:r w:rsidR="00484D03">
        <w:t xml:space="preserve">. </w:t>
      </w:r>
      <w:r w:rsidR="00826E15">
        <w:t xml:space="preserve"> </w:t>
      </w:r>
      <w:r w:rsidR="00484D03">
        <w:t>T</w:t>
      </w:r>
      <w:r w:rsidR="006C3EBF" w:rsidRPr="00331BED">
        <w:t xml:space="preserve">he applicants did not raise an </w:t>
      </w:r>
      <w:r w:rsidR="006C3EBF" w:rsidRPr="00484D03">
        <w:t>estoppel</w:t>
      </w:r>
      <w:r w:rsidR="00484D03">
        <w:t xml:space="preserve"> against </w:t>
      </w:r>
      <w:r w:rsidR="008D3AE5">
        <w:t xml:space="preserve">the respondents’ denial of </w:t>
      </w:r>
      <w:r w:rsidR="00484D03">
        <w:t>authority.</w:t>
      </w:r>
    </w:p>
    <w:p w14:paraId="628F97AC" w14:textId="557D4578" w:rsidR="009F581C" w:rsidRPr="00331BED" w:rsidRDefault="00524A43" w:rsidP="00524A43">
      <w:pPr>
        <w:pStyle w:val="Heading1"/>
      </w:pPr>
      <w:r w:rsidRPr="00331BED">
        <w:t>CONDONATION</w:t>
      </w:r>
      <w:r w:rsidR="00F93763">
        <w:t xml:space="preserve"> AND </w:t>
      </w:r>
      <w:r w:rsidR="00A12A5D">
        <w:t>PROPOSAL</w:t>
      </w:r>
    </w:p>
    <w:p w14:paraId="4825CE15" w14:textId="0E89C04B" w:rsidR="00F93763" w:rsidRDefault="00F8415D" w:rsidP="00F8415D">
      <w:pPr>
        <w:pStyle w:val="LEVEL10"/>
        <w:numPr>
          <w:ilvl w:val="0"/>
          <w:numId w:val="0"/>
        </w:numPr>
        <w:ind w:left="851" w:hanging="851"/>
      </w:pPr>
      <w:r>
        <w:t>[38]</w:t>
      </w:r>
      <w:r>
        <w:tab/>
      </w:r>
      <w:r w:rsidR="00F93763" w:rsidRPr="00331BED">
        <w:t>There are applications</w:t>
      </w:r>
      <w:r w:rsidR="00A12A5D">
        <w:t xml:space="preserve"> for condonation and leave </w:t>
      </w:r>
      <w:r w:rsidR="00F93763" w:rsidRPr="00331BED">
        <w:t>for the filing of</w:t>
      </w:r>
      <w:r w:rsidR="00F93763">
        <w:t xml:space="preserve"> the </w:t>
      </w:r>
      <w:r w:rsidR="00F93763" w:rsidRPr="00331BED">
        <w:t xml:space="preserve">supplementary </w:t>
      </w:r>
      <w:r w:rsidR="00F93763">
        <w:t xml:space="preserve">founding </w:t>
      </w:r>
      <w:r w:rsidR="00F93763" w:rsidRPr="00331BED">
        <w:t>affidavit, for the late filing of a supplementary answering affidavit (wh</w:t>
      </w:r>
      <w:r w:rsidR="00F93763">
        <w:t>ich</w:t>
      </w:r>
      <w:r w:rsidR="00F93763" w:rsidRPr="00331BED">
        <w:t xml:space="preserve"> </w:t>
      </w:r>
      <w:r w:rsidR="00C17460">
        <w:t xml:space="preserve">mainly </w:t>
      </w:r>
      <w:r w:rsidR="00F93763" w:rsidRPr="00331BED">
        <w:t>deal</w:t>
      </w:r>
      <w:r w:rsidR="00C17460">
        <w:t>s</w:t>
      </w:r>
      <w:r w:rsidR="00F93763" w:rsidRPr="00331BED">
        <w:t xml:space="preserve"> with the tariff policy</w:t>
      </w:r>
      <w:r w:rsidR="00F93763">
        <w:t xml:space="preserve">) </w:t>
      </w:r>
      <w:proofErr w:type="gramStart"/>
      <w:r w:rsidR="00F93763">
        <w:t xml:space="preserve">and </w:t>
      </w:r>
      <w:r w:rsidR="00F93763" w:rsidRPr="00331BED">
        <w:t xml:space="preserve"> the</w:t>
      </w:r>
      <w:proofErr w:type="gramEnd"/>
      <w:r w:rsidR="00F93763" w:rsidRPr="00331BED">
        <w:t xml:space="preserve"> late filing of </w:t>
      </w:r>
      <w:r w:rsidR="00A12A5D">
        <w:t xml:space="preserve">the </w:t>
      </w:r>
      <w:r w:rsidR="00F93763" w:rsidRPr="00331BED">
        <w:t>replying affidavit.  No party suffered any prejudice, and all the</w:t>
      </w:r>
      <w:r w:rsidR="00F93763">
        <w:t xml:space="preserve"> allegations </w:t>
      </w:r>
      <w:r w:rsidR="00F93763" w:rsidRPr="00331BED">
        <w:t xml:space="preserve">were properly debated.  All these applications </w:t>
      </w:r>
      <w:r w:rsidR="00F93763">
        <w:t xml:space="preserve">are </w:t>
      </w:r>
      <w:r w:rsidR="00F93763" w:rsidRPr="00331BED">
        <w:t>granted</w:t>
      </w:r>
      <w:r w:rsidR="00F93763">
        <w:t xml:space="preserve"> in so far as is necessary</w:t>
      </w:r>
      <w:r w:rsidR="00C17460">
        <w:t>, and costs are to be costs in the cause</w:t>
      </w:r>
      <w:r w:rsidR="00F93763" w:rsidRPr="00331BED">
        <w:t>.</w:t>
      </w:r>
      <w:r w:rsidR="00F93763">
        <w:t xml:space="preserve"> The respondents’ answering affidavit i</w:t>
      </w:r>
      <w:r w:rsidR="006B2392">
        <w:t>s i</w:t>
      </w:r>
      <w:r w:rsidR="00F93763">
        <w:t>n response to the applicants’ supplementary affidavit and was therefore not filed out of time and no condonation is required.</w:t>
      </w:r>
    </w:p>
    <w:p w14:paraId="6281B2F9" w14:textId="7524597B" w:rsidR="00F93763" w:rsidRPr="00F93763" w:rsidRDefault="00F8415D" w:rsidP="00F8415D">
      <w:pPr>
        <w:pStyle w:val="LEVEL10"/>
        <w:numPr>
          <w:ilvl w:val="0"/>
          <w:numId w:val="0"/>
        </w:numPr>
        <w:ind w:left="851" w:hanging="851"/>
      </w:pPr>
      <w:r w:rsidRPr="00F93763">
        <w:t>[39]</w:t>
      </w:r>
      <w:r w:rsidRPr="00F93763">
        <w:tab/>
      </w:r>
      <w:r w:rsidR="00F93763">
        <w:t>The respondents are however entitled to the reserved costs of 19 October 2021.</w:t>
      </w:r>
    </w:p>
    <w:p w14:paraId="02D82D51" w14:textId="11B202DB" w:rsidR="009F581C" w:rsidRDefault="00F8415D" w:rsidP="00F8415D">
      <w:pPr>
        <w:pStyle w:val="LEVEL10"/>
        <w:numPr>
          <w:ilvl w:val="0"/>
          <w:numId w:val="0"/>
        </w:numPr>
        <w:ind w:left="851" w:hanging="851"/>
      </w:pPr>
      <w:r>
        <w:t>[40]</w:t>
      </w:r>
      <w:r>
        <w:tab/>
      </w:r>
      <w:r w:rsidR="00FD5385" w:rsidRPr="00331BED">
        <w:t xml:space="preserve">The City attached to its answering affidavit </w:t>
      </w:r>
      <w:r w:rsidR="0085325C" w:rsidRPr="00331BED">
        <w:t xml:space="preserve">a proposed draft order to provide for </w:t>
      </w:r>
      <w:r w:rsidR="00F93763">
        <w:t xml:space="preserve">the implementation </w:t>
      </w:r>
      <w:r w:rsidR="0085325C" w:rsidRPr="00331BED">
        <w:t xml:space="preserve">of a split meter, </w:t>
      </w:r>
      <w:r w:rsidR="00D32BEB" w:rsidRPr="00331BED">
        <w:t xml:space="preserve">and </w:t>
      </w:r>
      <w:r w:rsidR="00A12A5D">
        <w:t xml:space="preserve">for the </w:t>
      </w:r>
      <w:proofErr w:type="gramStart"/>
      <w:r w:rsidR="00A12A5D">
        <w:t>City</w:t>
      </w:r>
      <w:proofErr w:type="gramEnd"/>
      <w:r w:rsidR="00A12A5D">
        <w:t xml:space="preserve"> to </w:t>
      </w:r>
      <w:r w:rsidR="00D32BEB" w:rsidRPr="00331BED">
        <w:t>re-read and re-bill the applicant</w:t>
      </w:r>
      <w:r w:rsidR="00F93763">
        <w:t>s</w:t>
      </w:r>
      <w:r w:rsidR="00D32BEB" w:rsidRPr="00331BED">
        <w:t xml:space="preserve"> since 2016 and 2015 respectively and charge</w:t>
      </w:r>
      <w:r w:rsidR="0038728F" w:rsidRPr="00331BED">
        <w:t xml:space="preserve"> electricity already consumed on a residential tariff.</w:t>
      </w:r>
      <w:r w:rsidR="003B364D" w:rsidRPr="00331BED">
        <w:t xml:space="preserve"> The applicants did</w:t>
      </w:r>
      <w:r w:rsidR="00F93763">
        <w:t xml:space="preserve"> not</w:t>
      </w:r>
      <w:r w:rsidR="003B364D" w:rsidRPr="00331BED">
        <w:t xml:space="preserve"> accept the </w:t>
      </w:r>
      <w:r w:rsidR="00F93763">
        <w:t xml:space="preserve">proposal </w:t>
      </w:r>
      <w:r w:rsidR="003B364D" w:rsidRPr="00331BED">
        <w:t xml:space="preserve">but did not object to its inclusion in the record. </w:t>
      </w:r>
      <w:r w:rsidR="00F93763">
        <w:t>The proposal or tender has no bearing on any of the issues or on costs</w:t>
      </w:r>
      <w:r w:rsidR="00A12A5D">
        <w:t xml:space="preserve"> and nothing further </w:t>
      </w:r>
      <w:r w:rsidR="00C17460">
        <w:t xml:space="preserve">needs </w:t>
      </w:r>
      <w:r w:rsidR="00A12A5D">
        <w:t>to be said about it</w:t>
      </w:r>
      <w:r w:rsidR="00F93763">
        <w:t>.</w:t>
      </w:r>
    </w:p>
    <w:p w14:paraId="7FA44C24" w14:textId="77777777" w:rsidR="008D3AE5" w:rsidRPr="008D3AE5" w:rsidRDefault="008D3AE5" w:rsidP="008D3AE5">
      <w:pPr>
        <w:pStyle w:val="List"/>
      </w:pPr>
    </w:p>
    <w:p w14:paraId="10622EBF" w14:textId="274D9A98" w:rsidR="00DA26E4" w:rsidRPr="00331BED" w:rsidRDefault="006F02A3" w:rsidP="00DA26E4">
      <w:pPr>
        <w:pStyle w:val="Heading1"/>
      </w:pPr>
      <w:r>
        <w:lastRenderedPageBreak/>
        <w:t>ORDER</w:t>
      </w:r>
    </w:p>
    <w:p w14:paraId="5804A628" w14:textId="1ACBA628" w:rsidR="009F581C" w:rsidRPr="00331BED" w:rsidRDefault="00F8415D" w:rsidP="00F8415D">
      <w:pPr>
        <w:pStyle w:val="LEVEL10"/>
        <w:numPr>
          <w:ilvl w:val="0"/>
          <w:numId w:val="0"/>
        </w:numPr>
        <w:ind w:left="851" w:hanging="851"/>
      </w:pPr>
      <w:r w:rsidRPr="00331BED">
        <w:t>[41]</w:t>
      </w:r>
      <w:r w:rsidRPr="00331BED">
        <w:tab/>
      </w:r>
      <w:r w:rsidR="00F93763">
        <w:t xml:space="preserve">The application stands to be dismissed. </w:t>
      </w:r>
      <w:r w:rsidR="005D759E" w:rsidRPr="00331BED">
        <w:t>There is no reason why cost</w:t>
      </w:r>
      <w:r w:rsidR="00F36445">
        <w:t>s</w:t>
      </w:r>
      <w:r w:rsidR="005D759E" w:rsidRPr="00331BED">
        <w:t xml:space="preserve"> should not follow the result.</w:t>
      </w:r>
      <w:r w:rsidR="00F93763">
        <w:t xml:space="preserve"> The respondents seek costs on the attorney and client scale, but this is not warranted.</w:t>
      </w:r>
    </w:p>
    <w:p w14:paraId="0C4EAB30" w14:textId="2B5FF1CA" w:rsidR="00D65ECA" w:rsidRPr="00331BED" w:rsidRDefault="00F8415D" w:rsidP="00F8415D">
      <w:pPr>
        <w:pStyle w:val="LEVEL20"/>
        <w:numPr>
          <w:ilvl w:val="0"/>
          <w:numId w:val="0"/>
        </w:numPr>
        <w:ind w:left="851" w:hanging="851"/>
      </w:pPr>
      <w:r w:rsidRPr="00331BED">
        <w:t>[42]</w:t>
      </w:r>
      <w:r w:rsidRPr="00331BED">
        <w:tab/>
      </w:r>
      <w:r w:rsidR="00D65ECA" w:rsidRPr="00331BED">
        <w:t>Accordingly the following order is made</w:t>
      </w:r>
      <w:r w:rsidR="00AD336D" w:rsidRPr="00331BED">
        <w:t>:</w:t>
      </w:r>
    </w:p>
    <w:p w14:paraId="3B809335" w14:textId="2E1DD906" w:rsidR="00C17460" w:rsidRPr="008D3AE5" w:rsidRDefault="00D351B0" w:rsidP="008D3AE5">
      <w:pPr>
        <w:pStyle w:val="1"/>
        <w:numPr>
          <w:ilvl w:val="0"/>
          <w:numId w:val="0"/>
        </w:numPr>
        <w:ind w:left="1701"/>
      </w:pPr>
      <w:r w:rsidRPr="00331BED">
        <w:t>The application</w:t>
      </w:r>
      <w:r w:rsidR="00D17326" w:rsidRPr="00331BED">
        <w:t xml:space="preserve"> is dismissed with costs</w:t>
      </w:r>
      <w:r w:rsidR="00F93763">
        <w:t>, such costs to include the wasted costs of 19 October 2021</w:t>
      </w:r>
      <w:r w:rsidRPr="00331BED">
        <w:t>.</w:t>
      </w:r>
    </w:p>
    <w:p w14:paraId="5C8A893E" w14:textId="77777777" w:rsidR="002E2BEE" w:rsidRPr="00331BED" w:rsidRDefault="002E2BEE" w:rsidP="00FD3CB9">
      <w:pPr>
        <w:rPr>
          <w:b/>
          <w:bCs/>
          <w:lang w:val="en-GB"/>
        </w:rPr>
      </w:pPr>
    </w:p>
    <w:p w14:paraId="2D11514A" w14:textId="3548B561" w:rsidR="00FD3CB9" w:rsidRPr="00331BED" w:rsidRDefault="00FD3CB9" w:rsidP="00FD3CB9">
      <w:pPr>
        <w:rPr>
          <w:b/>
          <w:bCs/>
          <w:lang w:val="en-GB"/>
        </w:rPr>
      </w:pPr>
      <w:r w:rsidRPr="00331BED">
        <w:rPr>
          <w:b/>
          <w:bCs/>
          <w:lang w:val="en-GB"/>
        </w:rPr>
        <w:t>____________________</w:t>
      </w:r>
    </w:p>
    <w:p w14:paraId="128365E5" w14:textId="58D7EF85" w:rsidR="00C70F4C" w:rsidRPr="00331BED" w:rsidRDefault="00B27C05" w:rsidP="003339D6">
      <w:pPr>
        <w:rPr>
          <w:b/>
          <w:bCs/>
          <w:lang w:val="en-GB"/>
        </w:rPr>
      </w:pPr>
      <w:r w:rsidRPr="00331BED">
        <w:rPr>
          <w:b/>
          <w:bCs/>
          <w:lang w:val="en-GB"/>
        </w:rPr>
        <w:t>VAN DER BERG AJ</w:t>
      </w:r>
    </w:p>
    <w:p w14:paraId="3AC4D700" w14:textId="77777777" w:rsidR="00583A4A" w:rsidRPr="00331BED" w:rsidRDefault="00583A4A" w:rsidP="00FD3CB9">
      <w:pPr>
        <w:widowControl w:val="0"/>
        <w:tabs>
          <w:tab w:val="left" w:pos="851"/>
        </w:tabs>
        <w:spacing w:before="0" w:line="240" w:lineRule="auto"/>
        <w:jc w:val="center"/>
        <w:rPr>
          <w:b/>
          <w:lang w:val="en-GB"/>
        </w:rPr>
      </w:pPr>
    </w:p>
    <w:p w14:paraId="00540F46" w14:textId="77777777" w:rsidR="00F93763" w:rsidRDefault="00F93763" w:rsidP="00121F5C">
      <w:pPr>
        <w:widowControl w:val="0"/>
        <w:tabs>
          <w:tab w:val="left" w:pos="851"/>
        </w:tabs>
        <w:spacing w:before="0" w:line="240" w:lineRule="auto"/>
        <w:rPr>
          <w:b/>
          <w:lang w:val="en-GB"/>
        </w:rPr>
      </w:pPr>
    </w:p>
    <w:p w14:paraId="5E47F5A5" w14:textId="5D0A1044" w:rsidR="00E44D42" w:rsidRDefault="00E44D42" w:rsidP="00E818DB">
      <w:pPr>
        <w:widowControl w:val="0"/>
        <w:tabs>
          <w:tab w:val="left" w:pos="851"/>
        </w:tabs>
        <w:spacing w:before="0" w:line="240" w:lineRule="auto"/>
        <w:rPr>
          <w:b/>
          <w:lang w:val="en-GB"/>
        </w:rPr>
      </w:pPr>
    </w:p>
    <w:p w14:paraId="661EDF09" w14:textId="495F5068" w:rsidR="008D3AE5" w:rsidRDefault="008D3AE5" w:rsidP="00E818DB">
      <w:pPr>
        <w:widowControl w:val="0"/>
        <w:tabs>
          <w:tab w:val="left" w:pos="851"/>
        </w:tabs>
        <w:spacing w:before="0" w:line="240" w:lineRule="auto"/>
        <w:rPr>
          <w:b/>
          <w:lang w:val="en-GB"/>
        </w:rPr>
      </w:pPr>
    </w:p>
    <w:p w14:paraId="689C9473" w14:textId="59F7E47B" w:rsidR="008D3AE5" w:rsidRDefault="008D3AE5" w:rsidP="00E818DB">
      <w:pPr>
        <w:widowControl w:val="0"/>
        <w:tabs>
          <w:tab w:val="left" w:pos="851"/>
        </w:tabs>
        <w:spacing w:before="0" w:line="240" w:lineRule="auto"/>
        <w:rPr>
          <w:b/>
          <w:lang w:val="en-GB"/>
        </w:rPr>
      </w:pPr>
    </w:p>
    <w:p w14:paraId="16052152" w14:textId="5DDC0A13" w:rsidR="008D3AE5" w:rsidRDefault="008D3AE5" w:rsidP="00E818DB">
      <w:pPr>
        <w:widowControl w:val="0"/>
        <w:tabs>
          <w:tab w:val="left" w:pos="851"/>
        </w:tabs>
        <w:spacing w:before="0" w:line="240" w:lineRule="auto"/>
        <w:rPr>
          <w:b/>
          <w:lang w:val="en-GB"/>
        </w:rPr>
      </w:pPr>
    </w:p>
    <w:p w14:paraId="5D7B5916" w14:textId="60158731" w:rsidR="008D3AE5" w:rsidRDefault="008D3AE5" w:rsidP="00E818DB">
      <w:pPr>
        <w:widowControl w:val="0"/>
        <w:tabs>
          <w:tab w:val="left" w:pos="851"/>
        </w:tabs>
        <w:spacing w:before="0" w:line="240" w:lineRule="auto"/>
        <w:rPr>
          <w:b/>
          <w:lang w:val="en-GB"/>
        </w:rPr>
      </w:pPr>
    </w:p>
    <w:p w14:paraId="34F059B7" w14:textId="03AE7F13" w:rsidR="008D3AE5" w:rsidRDefault="008D3AE5" w:rsidP="00E818DB">
      <w:pPr>
        <w:widowControl w:val="0"/>
        <w:tabs>
          <w:tab w:val="left" w:pos="851"/>
        </w:tabs>
        <w:spacing w:before="0" w:line="240" w:lineRule="auto"/>
        <w:rPr>
          <w:b/>
          <w:lang w:val="en-GB"/>
        </w:rPr>
      </w:pPr>
    </w:p>
    <w:p w14:paraId="584DBB37" w14:textId="3914197A" w:rsidR="008D3AE5" w:rsidRDefault="008D3AE5" w:rsidP="00E818DB">
      <w:pPr>
        <w:widowControl w:val="0"/>
        <w:tabs>
          <w:tab w:val="left" w:pos="851"/>
        </w:tabs>
        <w:spacing w:before="0" w:line="240" w:lineRule="auto"/>
        <w:rPr>
          <w:b/>
          <w:lang w:val="en-GB"/>
        </w:rPr>
      </w:pPr>
    </w:p>
    <w:p w14:paraId="532237C2" w14:textId="62C1F088" w:rsidR="008D3AE5" w:rsidRDefault="008D3AE5" w:rsidP="00E818DB">
      <w:pPr>
        <w:widowControl w:val="0"/>
        <w:tabs>
          <w:tab w:val="left" w:pos="851"/>
        </w:tabs>
        <w:spacing w:before="0" w:line="240" w:lineRule="auto"/>
        <w:rPr>
          <w:b/>
          <w:lang w:val="en-GB"/>
        </w:rPr>
      </w:pPr>
    </w:p>
    <w:p w14:paraId="45357031" w14:textId="77777777" w:rsidR="008D3AE5" w:rsidRDefault="008D3AE5" w:rsidP="00E818DB">
      <w:pPr>
        <w:widowControl w:val="0"/>
        <w:tabs>
          <w:tab w:val="left" w:pos="851"/>
        </w:tabs>
        <w:spacing w:before="0" w:line="240" w:lineRule="auto"/>
        <w:rPr>
          <w:b/>
          <w:lang w:val="en-GB"/>
        </w:rPr>
      </w:pPr>
    </w:p>
    <w:p w14:paraId="1F07AE21" w14:textId="77777777" w:rsidR="00E44D42" w:rsidRDefault="00E44D42" w:rsidP="00121F5C">
      <w:pPr>
        <w:widowControl w:val="0"/>
        <w:tabs>
          <w:tab w:val="left" w:pos="851"/>
        </w:tabs>
        <w:spacing w:before="0" w:line="240" w:lineRule="auto"/>
        <w:rPr>
          <w:b/>
          <w:lang w:val="en-GB"/>
        </w:rPr>
      </w:pPr>
    </w:p>
    <w:p w14:paraId="69C2730E" w14:textId="4A1B911F" w:rsidR="00E44D42" w:rsidRDefault="00E44D42" w:rsidP="00FD3CB9">
      <w:pPr>
        <w:widowControl w:val="0"/>
        <w:tabs>
          <w:tab w:val="left" w:pos="851"/>
        </w:tabs>
        <w:spacing w:before="0" w:line="240" w:lineRule="auto"/>
        <w:jc w:val="center"/>
        <w:rPr>
          <w:b/>
          <w:lang w:val="en-GB"/>
        </w:rPr>
      </w:pPr>
    </w:p>
    <w:p w14:paraId="1E9B3937" w14:textId="43EEBC7C" w:rsidR="008D3AE5" w:rsidRDefault="008D3AE5" w:rsidP="00FD3CB9">
      <w:pPr>
        <w:widowControl w:val="0"/>
        <w:tabs>
          <w:tab w:val="left" w:pos="851"/>
        </w:tabs>
        <w:spacing w:before="0" w:line="240" w:lineRule="auto"/>
        <w:jc w:val="center"/>
        <w:rPr>
          <w:b/>
          <w:lang w:val="en-GB"/>
        </w:rPr>
      </w:pPr>
    </w:p>
    <w:p w14:paraId="38C1C228" w14:textId="7C423B97" w:rsidR="008D3AE5" w:rsidRDefault="008D3AE5" w:rsidP="00FD3CB9">
      <w:pPr>
        <w:widowControl w:val="0"/>
        <w:tabs>
          <w:tab w:val="left" w:pos="851"/>
        </w:tabs>
        <w:spacing w:before="0" w:line="240" w:lineRule="auto"/>
        <w:jc w:val="center"/>
        <w:rPr>
          <w:b/>
          <w:lang w:val="en-GB"/>
        </w:rPr>
      </w:pPr>
    </w:p>
    <w:p w14:paraId="13F4FF80" w14:textId="38FA9DDA" w:rsidR="008D3AE5" w:rsidRDefault="008D3AE5" w:rsidP="00FD3CB9">
      <w:pPr>
        <w:widowControl w:val="0"/>
        <w:tabs>
          <w:tab w:val="left" w:pos="851"/>
        </w:tabs>
        <w:spacing w:before="0" w:line="240" w:lineRule="auto"/>
        <w:jc w:val="center"/>
        <w:rPr>
          <w:b/>
          <w:lang w:val="en-GB"/>
        </w:rPr>
      </w:pPr>
    </w:p>
    <w:p w14:paraId="0186918F" w14:textId="228ADADD" w:rsidR="008D3AE5" w:rsidRDefault="008D3AE5" w:rsidP="00FD3CB9">
      <w:pPr>
        <w:widowControl w:val="0"/>
        <w:tabs>
          <w:tab w:val="left" w:pos="851"/>
        </w:tabs>
        <w:spacing w:before="0" w:line="240" w:lineRule="auto"/>
        <w:jc w:val="center"/>
        <w:rPr>
          <w:b/>
          <w:lang w:val="en-GB"/>
        </w:rPr>
      </w:pPr>
    </w:p>
    <w:p w14:paraId="43FB27CD" w14:textId="1532CECF" w:rsidR="008D3AE5" w:rsidRDefault="008D3AE5" w:rsidP="00FD3CB9">
      <w:pPr>
        <w:widowControl w:val="0"/>
        <w:tabs>
          <w:tab w:val="left" w:pos="851"/>
        </w:tabs>
        <w:spacing w:before="0" w:line="240" w:lineRule="auto"/>
        <w:jc w:val="center"/>
        <w:rPr>
          <w:b/>
          <w:lang w:val="en-GB"/>
        </w:rPr>
      </w:pPr>
    </w:p>
    <w:p w14:paraId="5934A993" w14:textId="545A4617" w:rsidR="008D3AE5" w:rsidRDefault="008D3AE5" w:rsidP="00FD3CB9">
      <w:pPr>
        <w:widowControl w:val="0"/>
        <w:tabs>
          <w:tab w:val="left" w:pos="851"/>
        </w:tabs>
        <w:spacing w:before="0" w:line="240" w:lineRule="auto"/>
        <w:jc w:val="center"/>
        <w:rPr>
          <w:b/>
          <w:lang w:val="en-GB"/>
        </w:rPr>
      </w:pPr>
    </w:p>
    <w:p w14:paraId="263FCA75" w14:textId="77777777" w:rsidR="008D3AE5" w:rsidRDefault="008D3AE5" w:rsidP="00FD3CB9">
      <w:pPr>
        <w:widowControl w:val="0"/>
        <w:tabs>
          <w:tab w:val="left" w:pos="851"/>
        </w:tabs>
        <w:spacing w:before="0" w:line="240" w:lineRule="auto"/>
        <w:jc w:val="center"/>
        <w:rPr>
          <w:b/>
          <w:lang w:val="en-GB"/>
        </w:rPr>
      </w:pPr>
    </w:p>
    <w:p w14:paraId="10B56163" w14:textId="77777777" w:rsidR="00E44D42" w:rsidRDefault="00E44D42" w:rsidP="00FD3CB9">
      <w:pPr>
        <w:widowControl w:val="0"/>
        <w:tabs>
          <w:tab w:val="left" w:pos="851"/>
        </w:tabs>
        <w:spacing w:before="0" w:line="240" w:lineRule="auto"/>
        <w:jc w:val="center"/>
        <w:rPr>
          <w:b/>
          <w:lang w:val="en-GB"/>
        </w:rPr>
      </w:pPr>
    </w:p>
    <w:p w14:paraId="1A5869C1" w14:textId="63C4D1E6" w:rsidR="00304FFE" w:rsidRPr="00331BED" w:rsidRDefault="00304FFE" w:rsidP="00FD3CB9">
      <w:pPr>
        <w:widowControl w:val="0"/>
        <w:tabs>
          <w:tab w:val="left" w:pos="851"/>
        </w:tabs>
        <w:spacing w:before="0" w:line="240" w:lineRule="auto"/>
        <w:jc w:val="center"/>
        <w:rPr>
          <w:lang w:val="en-GB"/>
        </w:rPr>
      </w:pPr>
      <w:r w:rsidRPr="00331BED">
        <w:rPr>
          <w:b/>
          <w:lang w:val="en-GB"/>
        </w:rPr>
        <w:lastRenderedPageBreak/>
        <w:t>APPEARANCES</w:t>
      </w:r>
    </w:p>
    <w:p w14:paraId="4CDDDB5E" w14:textId="77777777" w:rsidR="00304FFE" w:rsidRPr="00331BED" w:rsidRDefault="00304FFE" w:rsidP="00304FFE">
      <w:pPr>
        <w:widowControl w:val="0"/>
        <w:tabs>
          <w:tab w:val="left" w:pos="851"/>
        </w:tabs>
        <w:spacing w:before="0" w:line="240" w:lineRule="auto"/>
        <w:ind w:left="2880" w:hanging="2880"/>
        <w:rPr>
          <w:lang w:val="en-GB"/>
        </w:rPr>
      </w:pPr>
    </w:p>
    <w:p w14:paraId="59E4C5EF" w14:textId="107D262F" w:rsidR="00C70F4C" w:rsidRPr="00331BED" w:rsidRDefault="00304FFE" w:rsidP="00304FFE">
      <w:pPr>
        <w:widowControl w:val="0"/>
        <w:tabs>
          <w:tab w:val="left" w:pos="851"/>
        </w:tabs>
        <w:spacing w:before="0" w:line="240" w:lineRule="auto"/>
        <w:ind w:left="2880" w:hanging="2880"/>
        <w:rPr>
          <w:lang w:val="en-GB"/>
        </w:rPr>
      </w:pPr>
      <w:r w:rsidRPr="00331BED">
        <w:rPr>
          <w:b/>
          <w:bCs/>
          <w:lang w:val="en-GB"/>
        </w:rPr>
        <w:t>For the applicant</w:t>
      </w:r>
      <w:r w:rsidR="00D17326" w:rsidRPr="00331BED">
        <w:rPr>
          <w:b/>
          <w:bCs/>
          <w:lang w:val="en-GB"/>
        </w:rPr>
        <w:t>s</w:t>
      </w:r>
      <w:r w:rsidRPr="00331BED">
        <w:rPr>
          <w:lang w:val="en-GB"/>
        </w:rPr>
        <w:t>:</w:t>
      </w:r>
      <w:r w:rsidRPr="00331BED">
        <w:rPr>
          <w:lang w:val="en-GB"/>
        </w:rPr>
        <w:tab/>
      </w:r>
    </w:p>
    <w:p w14:paraId="297901EF" w14:textId="77777777" w:rsidR="00C70F4C" w:rsidRPr="00331BED" w:rsidRDefault="00C70F4C" w:rsidP="00304FFE">
      <w:pPr>
        <w:widowControl w:val="0"/>
        <w:tabs>
          <w:tab w:val="left" w:pos="851"/>
        </w:tabs>
        <w:spacing w:before="0" w:line="240" w:lineRule="auto"/>
        <w:ind w:left="2880" w:hanging="2880"/>
        <w:rPr>
          <w:lang w:val="en-GB"/>
        </w:rPr>
      </w:pPr>
    </w:p>
    <w:p w14:paraId="1E798835" w14:textId="3F5890DE" w:rsidR="00186FD6" w:rsidRPr="00331BED" w:rsidRDefault="00304FFE" w:rsidP="00B05DAE">
      <w:pPr>
        <w:widowControl w:val="0"/>
        <w:tabs>
          <w:tab w:val="left" w:pos="851"/>
        </w:tabs>
        <w:spacing w:before="0" w:line="240" w:lineRule="auto"/>
        <w:ind w:left="2880" w:hanging="2880"/>
        <w:rPr>
          <w:lang w:val="en-GB"/>
        </w:rPr>
      </w:pPr>
      <w:r w:rsidRPr="00331BED">
        <w:rPr>
          <w:lang w:val="en-GB"/>
        </w:rPr>
        <w:t xml:space="preserve">Adv </w:t>
      </w:r>
      <w:r w:rsidR="00D17326" w:rsidRPr="00331BED">
        <w:rPr>
          <w:lang w:val="en-GB"/>
        </w:rPr>
        <w:t>B D Stevens</w:t>
      </w:r>
    </w:p>
    <w:p w14:paraId="095AD115" w14:textId="0986E0D1" w:rsidR="009E049A" w:rsidRPr="00331BED" w:rsidRDefault="00304FFE" w:rsidP="009D1F2B">
      <w:pPr>
        <w:widowControl w:val="0"/>
        <w:tabs>
          <w:tab w:val="left" w:pos="851"/>
        </w:tabs>
        <w:spacing w:before="0" w:line="240" w:lineRule="auto"/>
        <w:ind w:left="2880" w:hanging="2880"/>
        <w:rPr>
          <w:lang w:val="en-GB"/>
        </w:rPr>
      </w:pPr>
      <w:r w:rsidRPr="00331BED">
        <w:rPr>
          <w:lang w:val="en-GB"/>
        </w:rPr>
        <w:t>Instructed by</w:t>
      </w:r>
      <w:r w:rsidR="009E049A" w:rsidRPr="00331BED">
        <w:rPr>
          <w:lang w:val="en-GB"/>
        </w:rPr>
        <w:t>:</w:t>
      </w:r>
    </w:p>
    <w:p w14:paraId="4064961E" w14:textId="30E7A39C" w:rsidR="00304FFE" w:rsidRPr="00331BED" w:rsidRDefault="00D17326" w:rsidP="009D1F2B">
      <w:pPr>
        <w:widowControl w:val="0"/>
        <w:tabs>
          <w:tab w:val="left" w:pos="851"/>
        </w:tabs>
        <w:spacing w:before="0" w:line="240" w:lineRule="auto"/>
        <w:ind w:left="2880" w:hanging="2880"/>
        <w:rPr>
          <w:lang w:val="en-GB"/>
        </w:rPr>
      </w:pPr>
      <w:r w:rsidRPr="00331BED">
        <w:rPr>
          <w:lang w:val="en-GB"/>
        </w:rPr>
        <w:t xml:space="preserve">Jurgens </w:t>
      </w:r>
      <w:proofErr w:type="spellStart"/>
      <w:r w:rsidRPr="00331BED">
        <w:rPr>
          <w:lang w:val="en-GB"/>
        </w:rPr>
        <w:t>Bekker</w:t>
      </w:r>
      <w:proofErr w:type="spellEnd"/>
      <w:r w:rsidRPr="00331BED">
        <w:rPr>
          <w:lang w:val="en-GB"/>
        </w:rPr>
        <w:t xml:space="preserve"> Attorneys</w:t>
      </w:r>
    </w:p>
    <w:p w14:paraId="5118521C" w14:textId="7D03F17D" w:rsidR="00DC1BE0" w:rsidRPr="00331BED" w:rsidRDefault="00DC1BE0" w:rsidP="009D1F2B">
      <w:pPr>
        <w:widowControl w:val="0"/>
        <w:tabs>
          <w:tab w:val="left" w:pos="851"/>
        </w:tabs>
        <w:spacing w:before="0" w:line="240" w:lineRule="auto"/>
        <w:ind w:left="2880" w:hanging="2880"/>
        <w:rPr>
          <w:lang w:val="en-GB"/>
        </w:rPr>
      </w:pPr>
      <w:r w:rsidRPr="00331BED">
        <w:rPr>
          <w:lang w:val="en-GB"/>
        </w:rPr>
        <w:tab/>
      </w:r>
      <w:r w:rsidRPr="00331BED">
        <w:rPr>
          <w:lang w:val="en-GB"/>
        </w:rPr>
        <w:tab/>
      </w:r>
    </w:p>
    <w:p w14:paraId="3ED67274" w14:textId="77777777" w:rsidR="00304FFE" w:rsidRPr="00331BED" w:rsidRDefault="00304FFE" w:rsidP="00583A4A">
      <w:pPr>
        <w:widowControl w:val="0"/>
        <w:tabs>
          <w:tab w:val="left" w:pos="851"/>
        </w:tabs>
        <w:spacing w:before="0" w:line="240" w:lineRule="auto"/>
        <w:rPr>
          <w:lang w:val="en-GB"/>
        </w:rPr>
      </w:pPr>
    </w:p>
    <w:p w14:paraId="5C701FD4" w14:textId="77777777" w:rsidR="00687D70" w:rsidRPr="00331BED" w:rsidRDefault="00687D70" w:rsidP="009A1E57">
      <w:pPr>
        <w:widowControl w:val="0"/>
        <w:tabs>
          <w:tab w:val="left" w:pos="851"/>
        </w:tabs>
        <w:spacing w:before="0" w:line="240" w:lineRule="auto"/>
        <w:rPr>
          <w:b/>
          <w:bCs/>
          <w:lang w:val="en-GB"/>
        </w:rPr>
      </w:pPr>
    </w:p>
    <w:p w14:paraId="16469A49" w14:textId="77777777" w:rsidR="00687D70" w:rsidRPr="00331BED" w:rsidRDefault="00687D70" w:rsidP="00304FFE">
      <w:pPr>
        <w:widowControl w:val="0"/>
        <w:tabs>
          <w:tab w:val="left" w:pos="851"/>
        </w:tabs>
        <w:spacing w:before="0" w:line="240" w:lineRule="auto"/>
        <w:ind w:left="2880" w:hanging="2880"/>
        <w:rPr>
          <w:b/>
          <w:bCs/>
          <w:lang w:val="en-GB"/>
        </w:rPr>
      </w:pPr>
    </w:p>
    <w:p w14:paraId="4E8FDE17" w14:textId="5481E54D" w:rsidR="00C70F4C" w:rsidRPr="00331BED" w:rsidRDefault="00304FFE" w:rsidP="00304FFE">
      <w:pPr>
        <w:widowControl w:val="0"/>
        <w:tabs>
          <w:tab w:val="left" w:pos="851"/>
        </w:tabs>
        <w:spacing w:before="0" w:line="240" w:lineRule="auto"/>
        <w:ind w:left="2880" w:hanging="2880"/>
        <w:rPr>
          <w:lang w:val="en-GB"/>
        </w:rPr>
      </w:pPr>
      <w:r w:rsidRPr="00331BED">
        <w:rPr>
          <w:b/>
          <w:bCs/>
          <w:lang w:val="en-GB"/>
        </w:rPr>
        <w:t xml:space="preserve">For the </w:t>
      </w:r>
      <w:r w:rsidR="002F356E" w:rsidRPr="00331BED">
        <w:rPr>
          <w:b/>
          <w:bCs/>
          <w:lang w:val="en-GB"/>
        </w:rPr>
        <w:t>r</w:t>
      </w:r>
      <w:r w:rsidRPr="00331BED">
        <w:rPr>
          <w:b/>
          <w:bCs/>
          <w:lang w:val="en-GB"/>
        </w:rPr>
        <w:t>espondent</w:t>
      </w:r>
      <w:r w:rsidR="00D17326" w:rsidRPr="00331BED">
        <w:rPr>
          <w:b/>
          <w:bCs/>
          <w:lang w:val="en-GB"/>
        </w:rPr>
        <w:t>s</w:t>
      </w:r>
      <w:r w:rsidRPr="00331BED">
        <w:rPr>
          <w:lang w:val="en-GB"/>
        </w:rPr>
        <w:t>:</w:t>
      </w:r>
    </w:p>
    <w:p w14:paraId="5173215D" w14:textId="57C5F648" w:rsidR="00DC1BE0" w:rsidRPr="00331BED" w:rsidRDefault="00DC1BE0" w:rsidP="00304FFE">
      <w:pPr>
        <w:widowControl w:val="0"/>
        <w:tabs>
          <w:tab w:val="left" w:pos="851"/>
        </w:tabs>
        <w:spacing w:before="0" w:line="240" w:lineRule="auto"/>
        <w:ind w:left="2880" w:hanging="2880"/>
        <w:rPr>
          <w:lang w:val="en-GB"/>
        </w:rPr>
      </w:pPr>
    </w:p>
    <w:p w14:paraId="37E4D5B1" w14:textId="5F31C801" w:rsidR="00DC1BE0" w:rsidRPr="00331BED" w:rsidRDefault="00304FFE" w:rsidP="00026DC7">
      <w:pPr>
        <w:widowControl w:val="0"/>
        <w:tabs>
          <w:tab w:val="left" w:pos="851"/>
        </w:tabs>
        <w:spacing w:before="0" w:line="240" w:lineRule="auto"/>
        <w:ind w:left="2880" w:hanging="2880"/>
        <w:rPr>
          <w:lang w:val="en-GB"/>
        </w:rPr>
      </w:pPr>
      <w:r w:rsidRPr="00331BED">
        <w:rPr>
          <w:lang w:val="en-GB"/>
        </w:rPr>
        <w:t xml:space="preserve">Adv </w:t>
      </w:r>
      <w:r w:rsidR="00D17326" w:rsidRPr="00331BED">
        <w:rPr>
          <w:lang w:val="en-GB"/>
        </w:rPr>
        <w:t>S Jackson</w:t>
      </w:r>
    </w:p>
    <w:p w14:paraId="6F467AB5" w14:textId="7D63DC6B" w:rsidR="009E049A" w:rsidRPr="00331BED" w:rsidRDefault="00304FFE" w:rsidP="00304FFE">
      <w:pPr>
        <w:widowControl w:val="0"/>
        <w:tabs>
          <w:tab w:val="left" w:pos="851"/>
        </w:tabs>
        <w:spacing w:before="0" w:line="240" w:lineRule="auto"/>
        <w:ind w:left="2880" w:hanging="2880"/>
        <w:rPr>
          <w:lang w:val="en-GB"/>
        </w:rPr>
      </w:pPr>
      <w:r w:rsidRPr="00331BED">
        <w:rPr>
          <w:lang w:val="en-GB"/>
        </w:rPr>
        <w:t>Instructed by</w:t>
      </w:r>
      <w:r w:rsidR="009E049A" w:rsidRPr="00331BED">
        <w:rPr>
          <w:lang w:val="en-GB"/>
        </w:rPr>
        <w:t>:</w:t>
      </w:r>
      <w:r w:rsidRPr="00331BED">
        <w:rPr>
          <w:lang w:val="en-GB"/>
        </w:rPr>
        <w:t xml:space="preserve"> </w:t>
      </w:r>
    </w:p>
    <w:p w14:paraId="2673F723" w14:textId="62C1B899" w:rsidR="00304FFE" w:rsidRPr="00331BED" w:rsidRDefault="00D17326" w:rsidP="00304FFE">
      <w:pPr>
        <w:widowControl w:val="0"/>
        <w:tabs>
          <w:tab w:val="left" w:pos="851"/>
        </w:tabs>
        <w:spacing w:before="0" w:line="240" w:lineRule="auto"/>
        <w:ind w:left="2880" w:hanging="2880"/>
        <w:rPr>
          <w:lang w:val="en-GB"/>
        </w:rPr>
      </w:pPr>
      <w:r w:rsidRPr="00331BED">
        <w:rPr>
          <w:lang w:val="en-GB"/>
        </w:rPr>
        <w:t>Moodie &amp; Robertson</w:t>
      </w:r>
    </w:p>
    <w:p w14:paraId="5A18121B" w14:textId="6F0C989B" w:rsidR="00304FFE" w:rsidRPr="00331BED" w:rsidRDefault="00304FFE" w:rsidP="00583A4A">
      <w:pPr>
        <w:widowControl w:val="0"/>
        <w:tabs>
          <w:tab w:val="left" w:pos="851"/>
        </w:tabs>
        <w:spacing w:before="0" w:line="240" w:lineRule="auto"/>
        <w:ind w:left="2880" w:hanging="2880"/>
        <w:rPr>
          <w:lang w:val="en-GB"/>
        </w:rPr>
      </w:pPr>
      <w:r w:rsidRPr="00331BED">
        <w:rPr>
          <w:lang w:val="en-GB"/>
        </w:rPr>
        <w:tab/>
      </w:r>
      <w:r w:rsidRPr="00331BED">
        <w:rPr>
          <w:lang w:val="en-GB"/>
        </w:rPr>
        <w:tab/>
      </w:r>
    </w:p>
    <w:p w14:paraId="687B6994" w14:textId="05457B73" w:rsidR="00304FFE" w:rsidRPr="00331BED" w:rsidRDefault="00304FFE" w:rsidP="00186FD6">
      <w:pPr>
        <w:widowControl w:val="0"/>
        <w:tabs>
          <w:tab w:val="left" w:pos="851"/>
          <w:tab w:val="left" w:pos="2835"/>
        </w:tabs>
        <w:spacing w:before="0" w:line="240" w:lineRule="auto"/>
        <w:rPr>
          <w:lang w:val="en-GB"/>
        </w:rPr>
      </w:pPr>
      <w:r w:rsidRPr="00331BED">
        <w:rPr>
          <w:lang w:val="en-GB"/>
        </w:rPr>
        <w:t>Date of hearing:</w:t>
      </w:r>
      <w:r w:rsidRPr="00331BED">
        <w:rPr>
          <w:lang w:val="en-GB"/>
        </w:rPr>
        <w:tab/>
      </w:r>
      <w:r w:rsidR="009A1E57">
        <w:rPr>
          <w:lang w:val="en-GB"/>
        </w:rPr>
        <w:t xml:space="preserve">20 </w:t>
      </w:r>
      <w:r w:rsidR="00186FD6" w:rsidRPr="00331BED">
        <w:rPr>
          <w:lang w:val="en-GB"/>
        </w:rPr>
        <w:t>October 20</w:t>
      </w:r>
      <w:r w:rsidR="00EC5114" w:rsidRPr="00331BED">
        <w:rPr>
          <w:lang w:val="en-GB"/>
        </w:rPr>
        <w:t>22</w:t>
      </w:r>
    </w:p>
    <w:p w14:paraId="618E2F73" w14:textId="77777777" w:rsidR="00304FFE" w:rsidRPr="00331BED" w:rsidRDefault="00304FFE" w:rsidP="00304FFE">
      <w:pPr>
        <w:widowControl w:val="0"/>
        <w:tabs>
          <w:tab w:val="left" w:pos="851"/>
        </w:tabs>
        <w:spacing w:before="0" w:line="240" w:lineRule="auto"/>
        <w:rPr>
          <w:lang w:val="en-GB"/>
        </w:rPr>
      </w:pPr>
    </w:p>
    <w:p w14:paraId="4109D05B" w14:textId="27A9E377" w:rsidR="002117E2" w:rsidRPr="00331BED" w:rsidRDefault="00304FFE" w:rsidP="00121F5C">
      <w:pPr>
        <w:widowControl w:val="0"/>
        <w:tabs>
          <w:tab w:val="left" w:pos="851"/>
          <w:tab w:val="left" w:pos="2835"/>
        </w:tabs>
        <w:spacing w:before="0" w:line="240" w:lineRule="auto"/>
        <w:rPr>
          <w:lang w:val="en-GB"/>
        </w:rPr>
      </w:pPr>
      <w:r w:rsidRPr="00331BED">
        <w:rPr>
          <w:lang w:val="en-GB"/>
        </w:rPr>
        <w:t>Date of judgment:</w:t>
      </w:r>
      <w:r w:rsidRPr="00331BED">
        <w:rPr>
          <w:lang w:val="en-GB"/>
        </w:rPr>
        <w:tab/>
      </w:r>
      <w:r w:rsidR="00121F5C">
        <w:rPr>
          <w:lang w:val="en-GB"/>
        </w:rPr>
        <w:t>11</w:t>
      </w:r>
      <w:r w:rsidR="00687D70" w:rsidRPr="00331BED">
        <w:rPr>
          <w:lang w:val="en-GB"/>
        </w:rPr>
        <w:t xml:space="preserve"> November</w:t>
      </w:r>
      <w:r w:rsidR="00B05DAE" w:rsidRPr="00331BED">
        <w:rPr>
          <w:lang w:val="en-GB"/>
        </w:rPr>
        <w:t xml:space="preserve"> 2022</w:t>
      </w:r>
    </w:p>
    <w:sectPr w:rsidR="002117E2" w:rsidRPr="00331BED" w:rsidSect="00B3188B">
      <w:headerReference w:type="defaul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5EF9" w14:textId="77777777" w:rsidR="004E34D1" w:rsidRDefault="004E34D1" w:rsidP="00BA6AAB">
      <w:pPr>
        <w:spacing w:before="0" w:line="240" w:lineRule="auto"/>
      </w:pPr>
      <w:r>
        <w:separator/>
      </w:r>
    </w:p>
  </w:endnote>
  <w:endnote w:type="continuationSeparator" w:id="0">
    <w:p w14:paraId="3307B62B" w14:textId="77777777" w:rsidR="004E34D1" w:rsidRDefault="004E34D1" w:rsidP="00BA6AA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6834A" w14:textId="77777777" w:rsidR="004E34D1" w:rsidRDefault="004E34D1" w:rsidP="00BA6AAB">
      <w:pPr>
        <w:spacing w:before="0" w:line="240" w:lineRule="auto"/>
      </w:pPr>
      <w:r>
        <w:separator/>
      </w:r>
    </w:p>
  </w:footnote>
  <w:footnote w:type="continuationSeparator" w:id="0">
    <w:p w14:paraId="46F01FD2" w14:textId="77777777" w:rsidR="004E34D1" w:rsidRDefault="004E34D1" w:rsidP="00BA6AAB">
      <w:pPr>
        <w:spacing w:before="0" w:line="240" w:lineRule="auto"/>
      </w:pPr>
      <w:r>
        <w:continuationSeparator/>
      </w:r>
    </w:p>
  </w:footnote>
  <w:footnote w:id="1">
    <w:p w14:paraId="6EAFA696" w14:textId="77777777" w:rsidR="00F8628A" w:rsidRPr="00A72CB5" w:rsidRDefault="00F8628A" w:rsidP="00F8628A">
      <w:pPr>
        <w:pStyle w:val="FootnoteText"/>
        <w:rPr>
          <w:rFonts w:cs="Arial"/>
        </w:rPr>
      </w:pPr>
      <w:r w:rsidRPr="00F136B1">
        <w:rPr>
          <w:rStyle w:val="FootnoteReference"/>
          <w:rFonts w:cs="Arial"/>
        </w:rPr>
        <w:footnoteRef/>
      </w:r>
      <w:r w:rsidRPr="00F136B1">
        <w:rPr>
          <w:rFonts w:cs="Arial"/>
        </w:rPr>
        <w:t xml:space="preserve"> </w:t>
      </w:r>
      <w:r w:rsidRPr="00F136B1">
        <w:rPr>
          <w:rFonts w:cs="Arial"/>
        </w:rPr>
        <w:tab/>
      </w:r>
      <w:r>
        <w:rPr>
          <w:rFonts w:cs="Arial"/>
        </w:rPr>
        <w:t xml:space="preserve">See </w:t>
      </w:r>
      <w:r w:rsidRPr="00A72CB5">
        <w:rPr>
          <w:rFonts w:cs="Arial"/>
          <w:i/>
          <w:iCs/>
        </w:rPr>
        <w:t>Swissborough Diamond Mines (Pty) Ltd and Others v Government of the Republic of South Africa and Others</w:t>
      </w:r>
      <w:r w:rsidRPr="00A72CB5">
        <w:rPr>
          <w:rFonts w:cs="Arial"/>
        </w:rPr>
        <w:t xml:space="preserve"> 1999 (2) SA 279 (T) at 324G:</w:t>
      </w:r>
    </w:p>
    <w:p w14:paraId="6396AB19" w14:textId="77777777" w:rsidR="00F8628A" w:rsidRPr="00F136B1" w:rsidRDefault="00F8628A" w:rsidP="00F8628A">
      <w:pPr>
        <w:pStyle w:val="FootnoteText"/>
        <w:ind w:left="851" w:hanging="284"/>
        <w:rPr>
          <w:rFonts w:cs="Arial"/>
          <w:i/>
          <w:iCs/>
        </w:rPr>
      </w:pPr>
      <w:r w:rsidRPr="00A72CB5">
        <w:rPr>
          <w:rFonts w:cs="Arial"/>
        </w:rPr>
        <w:tab/>
      </w:r>
      <w:r>
        <w:rPr>
          <w:rFonts w:cs="Arial"/>
        </w:rPr>
        <w:t>“</w:t>
      </w:r>
      <w:r w:rsidRPr="00A72CB5">
        <w:rPr>
          <w:rFonts w:cs="Arial"/>
          <w:i/>
          <w:iCs/>
        </w:rPr>
        <w:t>(I)t is not open to an applicant or a respondent to merely annex to its affidavit documentation and to request the court to have regard to it. What is required is the identification of the portions thereof on which reliance is placed and an indication of the case which is sought to be made out on the strength thereof. If this were not so the essence of our established practice would be destroyed. A party would not know what case must be met</w:t>
      </w:r>
      <w:r w:rsidRPr="00A72CB5">
        <w:rPr>
          <w:rFonts w:cs="Arial"/>
        </w:rPr>
        <w:t>.</w:t>
      </w:r>
      <w:r>
        <w:rPr>
          <w:rFonts w:cs="Arial"/>
        </w:rPr>
        <w:t>”</w:t>
      </w:r>
    </w:p>
  </w:footnote>
  <w:footnote w:id="2">
    <w:p w14:paraId="4E107DDD" w14:textId="53DA3F5C" w:rsidR="0038328B" w:rsidRPr="00127F62" w:rsidRDefault="0038328B" w:rsidP="0038328B">
      <w:pPr>
        <w:pStyle w:val="FootnoteText"/>
        <w:rPr>
          <w:rFonts w:cs="Arial"/>
          <w:szCs w:val="20"/>
        </w:rPr>
      </w:pPr>
      <w:r w:rsidRPr="00127F62">
        <w:rPr>
          <w:rStyle w:val="FootnoteReference"/>
          <w:rFonts w:cs="Arial"/>
        </w:rPr>
        <w:footnoteRef/>
      </w:r>
      <w:r w:rsidRPr="00127F62">
        <w:rPr>
          <w:rFonts w:cs="Arial"/>
        </w:rPr>
        <w:t xml:space="preserve"> </w:t>
      </w:r>
      <w:r w:rsidRPr="00127F62">
        <w:rPr>
          <w:rFonts w:cs="Arial"/>
        </w:rPr>
        <w:tab/>
      </w:r>
      <w:r w:rsidR="00A12A5D">
        <w:rPr>
          <w:rFonts w:cs="Arial"/>
        </w:rPr>
        <w:t>The letter raise</w:t>
      </w:r>
      <w:r w:rsidR="00C17460">
        <w:rPr>
          <w:rFonts w:cs="Arial"/>
        </w:rPr>
        <w:t>s</w:t>
      </w:r>
      <w:r w:rsidR="00A12A5D">
        <w:rPr>
          <w:rFonts w:cs="Arial"/>
        </w:rPr>
        <w:t xml:space="preserve"> many questions</w:t>
      </w:r>
      <w:r w:rsidRPr="00127F62">
        <w:rPr>
          <w:rFonts w:cs="Arial"/>
        </w:rPr>
        <w:t xml:space="preserve">: 1. </w:t>
      </w:r>
      <w:r w:rsidRPr="00127F62">
        <w:rPr>
          <w:rFonts w:cs="Arial"/>
          <w:szCs w:val="20"/>
        </w:rPr>
        <w:t xml:space="preserve">It is not stated whether Balwin wrote this letter on behalf of the applicants (as it may have been a developer to many similar estates) and whether it was mandated to do so.  </w:t>
      </w:r>
      <w:r w:rsidRPr="00127F62">
        <w:rPr>
          <w:rFonts w:cs="Arial"/>
        </w:rPr>
        <w:t xml:space="preserve">2. </w:t>
      </w:r>
      <w:r w:rsidRPr="00127F62">
        <w:rPr>
          <w:rFonts w:cs="Arial"/>
          <w:szCs w:val="20"/>
        </w:rPr>
        <w:t xml:space="preserve">The Balwin letter does not even refer to electricity tariffs. </w:t>
      </w:r>
      <w:r w:rsidRPr="00127F62">
        <w:rPr>
          <w:rFonts w:cs="Arial"/>
        </w:rPr>
        <w:t xml:space="preserve">3. </w:t>
      </w:r>
      <w:r w:rsidRPr="00127F62">
        <w:rPr>
          <w:rFonts w:cs="Arial"/>
          <w:szCs w:val="20"/>
        </w:rPr>
        <w:t>It appears from the email string that  Balwin became aware of the City’s “decision” on 21 May 2019 when it was forwarded to one of its representatives. If this was indeed a “decision” one would have expected Balwin to have informed the applicants long before September 2021</w:t>
      </w:r>
      <w:r w:rsidRPr="00127F62">
        <w:rPr>
          <w:rFonts w:cs="Arial"/>
        </w:rPr>
        <w:t xml:space="preserve">. 4. </w:t>
      </w:r>
      <w:r w:rsidRPr="00127F62">
        <w:rPr>
          <w:rFonts w:cs="Arial"/>
          <w:szCs w:val="20"/>
        </w:rPr>
        <w:t>The two emails are introduced in the supplementary affidavit as follows:</w:t>
      </w:r>
      <w:r w:rsidRPr="00127F62">
        <w:rPr>
          <w:rFonts w:cs="Arial"/>
        </w:rPr>
        <w:t xml:space="preserve"> </w:t>
      </w:r>
      <w:r w:rsidRPr="00127F62">
        <w:rPr>
          <w:rFonts w:cs="Arial"/>
          <w:i/>
          <w:iCs/>
          <w:szCs w:val="20"/>
          <w:lang w:val="en-GB"/>
        </w:rPr>
        <w:t>“On or about 21 September 2021 the Applicants’ Attorneys received telephonic permission from Balwin Properties to present certain email correspondence to the Court.”</w:t>
      </w:r>
      <w:r w:rsidRPr="00127F62">
        <w:rPr>
          <w:rFonts w:cs="Arial"/>
        </w:rPr>
        <w:t xml:space="preserve"> </w:t>
      </w:r>
      <w:r w:rsidRPr="00127F62">
        <w:rPr>
          <w:rFonts w:cs="Arial"/>
          <w:szCs w:val="20"/>
        </w:rPr>
        <w:t xml:space="preserve">It is not explained why </w:t>
      </w:r>
      <w:r w:rsidRPr="00127F62">
        <w:rPr>
          <w:rFonts w:cs="Arial"/>
          <w:i/>
          <w:iCs/>
          <w:szCs w:val="20"/>
        </w:rPr>
        <w:t>“permission”</w:t>
      </w:r>
      <w:r w:rsidRPr="00127F62">
        <w:rPr>
          <w:rFonts w:cs="Arial"/>
          <w:szCs w:val="20"/>
        </w:rPr>
        <w:t xml:space="preserve"> would be required if the email constituted a binding decision.</w:t>
      </w:r>
    </w:p>
    <w:p w14:paraId="69B95E6D" w14:textId="77777777" w:rsidR="0038328B" w:rsidRPr="00127F62" w:rsidRDefault="0038328B" w:rsidP="0038328B">
      <w:pPr>
        <w:pStyle w:val="FootnoteText"/>
        <w:rPr>
          <w:rFonts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68544970"/>
      <w:docPartObj>
        <w:docPartGallery w:val="Page Numbers (Top of Page)"/>
        <w:docPartUnique/>
      </w:docPartObj>
    </w:sdtPr>
    <w:sdtEndPr>
      <w:rPr>
        <w:b/>
        <w:bCs/>
        <w:noProof/>
        <w:color w:val="auto"/>
        <w:spacing w:val="0"/>
      </w:rPr>
    </w:sdtEndPr>
    <w:sdtContent>
      <w:p w14:paraId="78194167" w14:textId="305512DA" w:rsidR="00BA6AAB" w:rsidRDefault="00BA6AA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23CB2" w:rsidRPr="00323CB2">
          <w:rPr>
            <w:b/>
            <w:bCs/>
            <w:noProof/>
          </w:rPr>
          <w:t>2</w:t>
        </w:r>
        <w:r>
          <w:rPr>
            <w:b/>
            <w:bCs/>
            <w:noProof/>
          </w:rPr>
          <w:fldChar w:fldCharType="end"/>
        </w:r>
      </w:p>
    </w:sdtContent>
  </w:sdt>
  <w:p w14:paraId="34AC142E" w14:textId="77777777" w:rsidR="00BA6AAB" w:rsidRDefault="00BA6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117"/>
    <w:multiLevelType w:val="multilevel"/>
    <w:tmpl w:val="B636C908"/>
    <w:lvl w:ilvl="0">
      <w:start w:val="1"/>
      <w:numFmt w:val="decimal"/>
      <w:pStyle w:val="level1"/>
      <w:lvlText w:val="[%1]"/>
      <w:lvlJc w:val="left"/>
      <w:pPr>
        <w:tabs>
          <w:tab w:val="num" w:pos="737"/>
        </w:tabs>
        <w:ind w:left="851" w:hanging="851"/>
      </w:pPr>
      <w:rPr>
        <w:rFonts w:hint="default"/>
        <w:b w:val="0"/>
        <w:bCs w:val="0"/>
        <w:i w:val="0"/>
        <w:iCs w:val="0"/>
      </w:rPr>
    </w:lvl>
    <w:lvl w:ilvl="1">
      <w:start w:val="1"/>
      <w:numFmt w:val="decimal"/>
      <w:lvlText w:val="%2."/>
      <w:lvlJc w:val="left"/>
      <w:pPr>
        <w:tabs>
          <w:tab w:val="num" w:pos="1985"/>
        </w:tabs>
        <w:ind w:left="1985" w:hanging="1134"/>
      </w:pPr>
      <w:rPr>
        <w:rFonts w:ascii="Arial" w:eastAsiaTheme="minorHAnsi" w:hAnsi="Arial" w:cstheme="minorBidi"/>
      </w:rPr>
    </w:lvl>
    <w:lvl w:ilvl="2">
      <w:start w:val="1"/>
      <w:numFmt w:val="decimal"/>
      <w:lvlText w:val="%1.%2.%3"/>
      <w:lvlJc w:val="left"/>
      <w:pPr>
        <w:tabs>
          <w:tab w:val="num" w:pos="2835"/>
        </w:tabs>
        <w:ind w:left="2835" w:hanging="1531"/>
      </w:pPr>
      <w:rPr>
        <w:rFonts w:hint="default"/>
      </w:rPr>
    </w:lvl>
    <w:lvl w:ilvl="3">
      <w:start w:val="1"/>
      <w:numFmt w:val="decimal"/>
      <w:lvlText w:val="%1.%2.%3.%4"/>
      <w:lvlJc w:val="left"/>
      <w:pPr>
        <w:tabs>
          <w:tab w:val="num" w:pos="4536"/>
        </w:tabs>
        <w:ind w:left="4536" w:hanging="221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2A0BD5"/>
    <w:multiLevelType w:val="hybridMultilevel"/>
    <w:tmpl w:val="8C04E9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25D3839"/>
    <w:multiLevelType w:val="hybridMultilevel"/>
    <w:tmpl w:val="C90C6B5A"/>
    <w:lvl w:ilvl="0" w:tplc="8C528A36">
      <w:start w:val="1"/>
      <w:numFmt w:val="lowerRoman"/>
      <w:lvlText w:val="(%1)"/>
      <w:lvlJc w:val="left"/>
      <w:pPr>
        <w:ind w:left="2702" w:hanging="72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3" w15:restartNumberingAfterBreak="0">
    <w:nsid w:val="1DD36559"/>
    <w:multiLevelType w:val="multilevel"/>
    <w:tmpl w:val="C23AD6C0"/>
    <w:lvl w:ilvl="0">
      <w:start w:val="1"/>
      <w:numFmt w:val="decimal"/>
      <w:pStyle w:val="1"/>
      <w:lvlText w:val="%1."/>
      <w:lvlJc w:val="left"/>
      <w:pPr>
        <w:ind w:left="360" w:hanging="360"/>
      </w:pPr>
      <w:rPr>
        <w:rFonts w:hint="default"/>
      </w:rPr>
    </w:lvl>
    <w:lvl w:ilvl="1">
      <w:start w:val="1"/>
      <w:numFmt w:val="decimal"/>
      <w:pStyle w:val="11"/>
      <w:lvlText w:val="%1.%2"/>
      <w:lvlJc w:val="left"/>
      <w:pPr>
        <w:ind w:left="792" w:hanging="432"/>
      </w:pPr>
      <w:rPr>
        <w:rFonts w:hint="default"/>
      </w:rPr>
    </w:lvl>
    <w:lvl w:ilvl="2">
      <w:start w:val="1"/>
      <w:numFmt w:val="decimal"/>
      <w:pStyle w:val="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3A4F8B"/>
    <w:multiLevelType w:val="multilevel"/>
    <w:tmpl w:val="116A92FA"/>
    <w:lvl w:ilvl="0">
      <w:start w:val="1"/>
      <w:numFmt w:val="lowerLetter"/>
      <w:pStyle w:val="level4a"/>
      <w:lvlText w:val="%1."/>
      <w:lvlJc w:val="left"/>
      <w:pPr>
        <w:ind w:left="3686" w:hanging="1134"/>
      </w:pPr>
      <w:rPr>
        <w:rFonts w:hint="default"/>
      </w:rPr>
    </w:lvl>
    <w:lvl w:ilvl="1">
      <w:start w:val="1"/>
      <w:numFmt w:val="lowerLetter"/>
      <w:lvlText w:val="%2."/>
      <w:lvlJc w:val="left"/>
      <w:pPr>
        <w:ind w:left="3992" w:hanging="360"/>
      </w:pPr>
      <w:rPr>
        <w:rFonts w:hint="default"/>
      </w:rPr>
    </w:lvl>
    <w:lvl w:ilvl="2">
      <w:start w:val="1"/>
      <w:numFmt w:val="lowerRoman"/>
      <w:lvlText w:val="%3."/>
      <w:lvlJc w:val="right"/>
      <w:pPr>
        <w:ind w:left="4712" w:hanging="180"/>
      </w:pPr>
      <w:rPr>
        <w:rFonts w:hint="default"/>
      </w:rPr>
    </w:lvl>
    <w:lvl w:ilvl="3">
      <w:start w:val="1"/>
      <w:numFmt w:val="decimal"/>
      <w:lvlText w:val="%4."/>
      <w:lvlJc w:val="left"/>
      <w:pPr>
        <w:ind w:left="5432" w:hanging="360"/>
      </w:pPr>
      <w:rPr>
        <w:rFonts w:hint="default"/>
      </w:rPr>
    </w:lvl>
    <w:lvl w:ilvl="4">
      <w:start w:val="1"/>
      <w:numFmt w:val="lowerLetter"/>
      <w:lvlText w:val="%5."/>
      <w:lvlJc w:val="left"/>
      <w:pPr>
        <w:ind w:left="6152" w:hanging="360"/>
      </w:pPr>
      <w:rPr>
        <w:rFonts w:hint="default"/>
      </w:rPr>
    </w:lvl>
    <w:lvl w:ilvl="5">
      <w:start w:val="1"/>
      <w:numFmt w:val="lowerRoman"/>
      <w:lvlText w:val="%6."/>
      <w:lvlJc w:val="right"/>
      <w:pPr>
        <w:ind w:left="6872" w:hanging="180"/>
      </w:pPr>
      <w:rPr>
        <w:rFonts w:hint="default"/>
      </w:rPr>
    </w:lvl>
    <w:lvl w:ilvl="6">
      <w:start w:val="1"/>
      <w:numFmt w:val="decimal"/>
      <w:lvlText w:val="%7."/>
      <w:lvlJc w:val="left"/>
      <w:pPr>
        <w:ind w:left="7592" w:hanging="360"/>
      </w:pPr>
      <w:rPr>
        <w:rFonts w:hint="default"/>
      </w:rPr>
    </w:lvl>
    <w:lvl w:ilvl="7">
      <w:start w:val="1"/>
      <w:numFmt w:val="lowerLetter"/>
      <w:lvlText w:val="%8."/>
      <w:lvlJc w:val="left"/>
      <w:pPr>
        <w:ind w:left="8312" w:hanging="360"/>
      </w:pPr>
      <w:rPr>
        <w:rFonts w:hint="default"/>
      </w:rPr>
    </w:lvl>
    <w:lvl w:ilvl="8">
      <w:start w:val="1"/>
      <w:numFmt w:val="lowerRoman"/>
      <w:lvlText w:val="%9."/>
      <w:lvlJc w:val="right"/>
      <w:pPr>
        <w:ind w:left="9032" w:hanging="180"/>
      </w:pPr>
      <w:rPr>
        <w:rFonts w:hint="default"/>
      </w:rPr>
    </w:lvl>
  </w:abstractNum>
  <w:abstractNum w:abstractNumId="5" w15:restartNumberingAfterBreak="0">
    <w:nsid w:val="37F74AF9"/>
    <w:multiLevelType w:val="hybridMultilevel"/>
    <w:tmpl w:val="CAE64F12"/>
    <w:lvl w:ilvl="0" w:tplc="5554D600">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9464E5B"/>
    <w:multiLevelType w:val="hybridMultilevel"/>
    <w:tmpl w:val="5A68BD96"/>
    <w:lvl w:ilvl="0" w:tplc="A7248794">
      <w:start w:val="19"/>
      <w:numFmt w:val="decimal"/>
      <w:lvlText w:val="%1."/>
      <w:lvlJc w:val="left"/>
      <w:pPr>
        <w:ind w:left="691" w:hanging="569"/>
      </w:pPr>
      <w:rPr>
        <w:spacing w:val="-1"/>
        <w:w w:val="98"/>
        <w:lang w:val="en-US" w:eastAsia="en-US" w:bidi="ar-SA"/>
      </w:rPr>
    </w:lvl>
    <w:lvl w:ilvl="1" w:tplc="D19AB0A2">
      <w:start w:val="2"/>
      <w:numFmt w:val="decimal"/>
      <w:lvlText w:val="(%2)"/>
      <w:lvlJc w:val="left"/>
      <w:pPr>
        <w:ind w:left="2271" w:hanging="699"/>
      </w:pPr>
      <w:rPr>
        <w:rFonts w:ascii="Arial" w:eastAsia="Arial" w:hAnsi="Arial" w:cs="Arial" w:hint="default"/>
        <w:b w:val="0"/>
        <w:bCs w:val="0"/>
        <w:i/>
        <w:iCs/>
        <w:color w:val="3B3B3B"/>
        <w:spacing w:val="-1"/>
        <w:w w:val="98"/>
        <w:sz w:val="25"/>
        <w:szCs w:val="25"/>
        <w:lang w:val="en-US" w:eastAsia="en-US" w:bidi="ar-SA"/>
      </w:rPr>
    </w:lvl>
    <w:lvl w:ilvl="2" w:tplc="AFFE0E48">
      <w:start w:val="1"/>
      <w:numFmt w:val="lowerLetter"/>
      <w:lvlText w:val="(%3)"/>
      <w:lvlJc w:val="left"/>
      <w:pPr>
        <w:ind w:left="2844" w:hanging="570"/>
      </w:pPr>
      <w:rPr>
        <w:rFonts w:ascii="Arial" w:eastAsia="Arial" w:hAnsi="Arial" w:cs="Arial" w:hint="default"/>
        <w:b w:val="0"/>
        <w:bCs w:val="0"/>
        <w:i/>
        <w:iCs/>
        <w:color w:val="3B3B3B"/>
        <w:spacing w:val="-1"/>
        <w:w w:val="102"/>
        <w:sz w:val="25"/>
        <w:szCs w:val="25"/>
        <w:lang w:val="en-US" w:eastAsia="en-US" w:bidi="ar-SA"/>
      </w:rPr>
    </w:lvl>
    <w:lvl w:ilvl="3" w:tplc="3F109272">
      <w:start w:val="1"/>
      <w:numFmt w:val="lowerRoman"/>
      <w:lvlText w:val="(%4)"/>
      <w:lvlJc w:val="left"/>
      <w:pPr>
        <w:ind w:left="3305" w:hanging="441"/>
      </w:pPr>
      <w:rPr>
        <w:rFonts w:ascii="Arial" w:eastAsia="Arial" w:hAnsi="Arial" w:cs="Arial" w:hint="default"/>
        <w:b w:val="0"/>
        <w:bCs w:val="0"/>
        <w:i/>
        <w:iCs/>
        <w:color w:val="3B3B3B"/>
        <w:spacing w:val="-1"/>
        <w:w w:val="105"/>
        <w:sz w:val="25"/>
        <w:szCs w:val="25"/>
        <w:lang w:val="en-US" w:eastAsia="en-US" w:bidi="ar-SA"/>
      </w:rPr>
    </w:lvl>
    <w:lvl w:ilvl="4" w:tplc="9C78196A">
      <w:numFmt w:val="bullet"/>
      <w:lvlText w:val="•"/>
      <w:lvlJc w:val="left"/>
      <w:pPr>
        <w:ind w:left="2840" w:hanging="441"/>
      </w:pPr>
      <w:rPr>
        <w:lang w:val="en-US" w:eastAsia="en-US" w:bidi="ar-SA"/>
      </w:rPr>
    </w:lvl>
    <w:lvl w:ilvl="5" w:tplc="39803376">
      <w:numFmt w:val="bullet"/>
      <w:lvlText w:val="•"/>
      <w:lvlJc w:val="left"/>
      <w:pPr>
        <w:ind w:left="3300" w:hanging="441"/>
      </w:pPr>
      <w:rPr>
        <w:lang w:val="en-US" w:eastAsia="en-US" w:bidi="ar-SA"/>
      </w:rPr>
    </w:lvl>
    <w:lvl w:ilvl="6" w:tplc="C758384C">
      <w:numFmt w:val="bullet"/>
      <w:lvlText w:val="•"/>
      <w:lvlJc w:val="left"/>
      <w:pPr>
        <w:ind w:left="4584" w:hanging="441"/>
      </w:pPr>
      <w:rPr>
        <w:lang w:val="en-US" w:eastAsia="en-US" w:bidi="ar-SA"/>
      </w:rPr>
    </w:lvl>
    <w:lvl w:ilvl="7" w:tplc="4E1E6D48">
      <w:numFmt w:val="bullet"/>
      <w:lvlText w:val="•"/>
      <w:lvlJc w:val="left"/>
      <w:pPr>
        <w:ind w:left="5868" w:hanging="441"/>
      </w:pPr>
      <w:rPr>
        <w:lang w:val="en-US" w:eastAsia="en-US" w:bidi="ar-SA"/>
      </w:rPr>
    </w:lvl>
    <w:lvl w:ilvl="8" w:tplc="E27680FE">
      <w:numFmt w:val="bullet"/>
      <w:lvlText w:val="•"/>
      <w:lvlJc w:val="left"/>
      <w:pPr>
        <w:ind w:left="7152" w:hanging="441"/>
      </w:pPr>
      <w:rPr>
        <w:lang w:val="en-US" w:eastAsia="en-US" w:bidi="ar-SA"/>
      </w:rPr>
    </w:lvl>
  </w:abstractNum>
  <w:abstractNum w:abstractNumId="7" w15:restartNumberingAfterBreak="0">
    <w:nsid w:val="4D421412"/>
    <w:multiLevelType w:val="hybridMultilevel"/>
    <w:tmpl w:val="8F7E7BEE"/>
    <w:lvl w:ilvl="0" w:tplc="86A868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F732B51"/>
    <w:multiLevelType w:val="multilevel"/>
    <w:tmpl w:val="25DA8840"/>
    <w:lvl w:ilvl="0">
      <w:start w:val="1"/>
      <w:numFmt w:val="decimal"/>
      <w:isLgl/>
      <w:lvlText w:val="%1"/>
      <w:lvlJc w:val="left"/>
      <w:pPr>
        <w:tabs>
          <w:tab w:val="num" w:pos="567"/>
        </w:tabs>
        <w:ind w:left="567" w:hanging="567"/>
      </w:pPr>
      <w:rPr>
        <w:rFonts w:ascii="Arial" w:hAnsi="Arial" w:hint="default"/>
        <w:b w:val="0"/>
        <w:i w:val="0"/>
        <w:color w:val="auto"/>
        <w:sz w:val="22"/>
        <w:szCs w:val="22"/>
        <w:u w:val="none"/>
      </w:rPr>
    </w:lvl>
    <w:lvl w:ilvl="1">
      <w:start w:val="1"/>
      <w:numFmt w:val="decimal"/>
      <w:pStyle w:val="level2"/>
      <w:isLgl/>
      <w:lvlText w:val="%1.%2"/>
      <w:lvlJc w:val="left"/>
      <w:pPr>
        <w:ind w:left="1418" w:hanging="851"/>
      </w:pPr>
      <w:rPr>
        <w:rFonts w:ascii="Arial (W1)" w:hAnsi="Arial (W1)" w:hint="default"/>
        <w:b w:val="0"/>
        <w:i w:val="0"/>
        <w:sz w:val="22"/>
        <w:szCs w:val="22"/>
      </w:rPr>
    </w:lvl>
    <w:lvl w:ilvl="2">
      <w:start w:val="1"/>
      <w:numFmt w:val="decimal"/>
      <w:pStyle w:val="level3"/>
      <w:isLgl/>
      <w:lvlText w:val="%1.%2.%3"/>
      <w:lvlJc w:val="left"/>
      <w:pPr>
        <w:ind w:left="2552" w:hanging="1134"/>
      </w:pPr>
      <w:rPr>
        <w:rFonts w:ascii="Arial (W1)" w:hAnsi="Arial (W1)" w:hint="default"/>
        <w:b w:val="0"/>
        <w:i w:val="0"/>
        <w:sz w:val="22"/>
        <w:szCs w:val="22"/>
      </w:rPr>
    </w:lvl>
    <w:lvl w:ilvl="3">
      <w:start w:val="1"/>
      <w:numFmt w:val="decimal"/>
      <w:pStyle w:val="level4"/>
      <w:isLgl/>
      <w:lvlText w:val="%1.%2.%3.%4"/>
      <w:lvlJc w:val="left"/>
      <w:pPr>
        <w:ind w:left="3686" w:hanging="1134"/>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395541E"/>
    <w:multiLevelType w:val="multilevel"/>
    <w:tmpl w:val="03AAD670"/>
    <w:lvl w:ilvl="0">
      <w:start w:val="1"/>
      <w:numFmt w:val="decimal"/>
      <w:lvlText w:val="%1"/>
      <w:lvlJc w:val="left"/>
      <w:pPr>
        <w:tabs>
          <w:tab w:val="num" w:pos="851"/>
        </w:tabs>
        <w:ind w:left="851" w:hanging="851"/>
      </w:pPr>
      <w:rPr>
        <w:rFonts w:ascii="Arial" w:hAnsi="Arial" w:hint="default"/>
        <w:b w:val="0"/>
        <w:i w:val="0"/>
        <w:sz w:val="24"/>
        <w:szCs w:val="26"/>
      </w:rPr>
    </w:lvl>
    <w:lvl w:ilvl="1">
      <w:start w:val="1"/>
      <w:numFmt w:val="decimal"/>
      <w:lvlText w:val="%1.%2"/>
      <w:lvlJc w:val="left"/>
      <w:pPr>
        <w:tabs>
          <w:tab w:val="num" w:pos="1985"/>
        </w:tabs>
        <w:ind w:left="1985" w:hanging="1134"/>
      </w:pPr>
      <w:rPr>
        <w:rFonts w:ascii="Arial" w:hAnsi="Arial" w:hint="default"/>
        <w:b w:val="0"/>
        <w:i w:val="0"/>
        <w:sz w:val="24"/>
        <w:szCs w:val="26"/>
      </w:rPr>
    </w:lvl>
    <w:lvl w:ilvl="2">
      <w:start w:val="1"/>
      <w:numFmt w:val="decimal"/>
      <w:lvlText w:val="%1.%2.%3"/>
      <w:lvlJc w:val="left"/>
      <w:pPr>
        <w:tabs>
          <w:tab w:val="num" w:pos="2552"/>
        </w:tabs>
        <w:ind w:left="2552" w:hanging="1134"/>
      </w:pPr>
      <w:rPr>
        <w:rFonts w:ascii="Arial" w:hAnsi="Arial" w:hint="default"/>
        <w:b w:val="0"/>
        <w:i w:val="0"/>
        <w:sz w:val="24"/>
        <w:szCs w:val="26"/>
      </w:rPr>
    </w:lvl>
    <w:lvl w:ilvl="3">
      <w:start w:val="1"/>
      <w:numFmt w:val="decimal"/>
      <w:lvlText w:val="%1.%2.%3.%4"/>
      <w:lvlJc w:val="left"/>
      <w:pPr>
        <w:tabs>
          <w:tab w:val="num" w:pos="3240"/>
        </w:tabs>
        <w:ind w:left="3240" w:hanging="1080"/>
      </w:pPr>
      <w:rPr>
        <w:rFonts w:ascii="Arial" w:hAnsi="Arial" w:hint="default"/>
        <w:b w:val="0"/>
        <w:i w:val="0"/>
        <w:sz w:val="24"/>
        <w:szCs w:val="24"/>
      </w:rPr>
    </w:lvl>
    <w:lvl w:ilvl="4">
      <w:start w:val="1"/>
      <w:numFmt w:val="decimal"/>
      <w:lvlText w:val="%1.%2.%3.%4.%5"/>
      <w:lvlJc w:val="left"/>
      <w:pPr>
        <w:tabs>
          <w:tab w:val="num" w:pos="3960"/>
        </w:tabs>
        <w:ind w:left="3960" w:hanging="1080"/>
      </w:pPr>
      <w:rPr>
        <w:rFonts w:ascii="Times New Roman" w:hAnsi="Times New Roman" w:hint="default"/>
      </w:rPr>
    </w:lvl>
    <w:lvl w:ilvl="5">
      <w:start w:val="1"/>
      <w:numFmt w:val="decimal"/>
      <w:lvlText w:val="%1.%2.%3.%4.%5.%6"/>
      <w:lvlJc w:val="left"/>
      <w:pPr>
        <w:tabs>
          <w:tab w:val="num" w:pos="5040"/>
        </w:tabs>
        <w:ind w:left="5040" w:hanging="1440"/>
      </w:pPr>
      <w:rPr>
        <w:rFonts w:ascii="Times New Roman" w:hAnsi="Times New Roman" w:hint="default"/>
      </w:rPr>
    </w:lvl>
    <w:lvl w:ilvl="6">
      <w:start w:val="1"/>
      <w:numFmt w:val="decimal"/>
      <w:lvlText w:val="%1.%2.%3.%4.%5.%6.%7"/>
      <w:lvlJc w:val="left"/>
      <w:pPr>
        <w:tabs>
          <w:tab w:val="num" w:pos="5760"/>
        </w:tabs>
        <w:ind w:left="5760" w:hanging="1440"/>
      </w:pPr>
      <w:rPr>
        <w:rFonts w:ascii="Times New Roman" w:hAnsi="Times New Roman" w:hint="default"/>
      </w:rPr>
    </w:lvl>
    <w:lvl w:ilvl="7">
      <w:start w:val="1"/>
      <w:numFmt w:val="decimal"/>
      <w:lvlText w:val="%1.%2.%3.%4.%5.%6.%7.%8"/>
      <w:lvlJc w:val="left"/>
      <w:pPr>
        <w:tabs>
          <w:tab w:val="num" w:pos="6840"/>
        </w:tabs>
        <w:ind w:left="6840" w:hanging="1800"/>
      </w:pPr>
      <w:rPr>
        <w:rFonts w:ascii="Times New Roman" w:hAnsi="Times New Roman" w:hint="default"/>
      </w:rPr>
    </w:lvl>
    <w:lvl w:ilvl="8">
      <w:start w:val="1"/>
      <w:numFmt w:val="decimal"/>
      <w:lvlText w:val="%1.%2.%3.%4.%5.%6.%7.%8.%9"/>
      <w:lvlJc w:val="left"/>
      <w:pPr>
        <w:tabs>
          <w:tab w:val="num" w:pos="7560"/>
        </w:tabs>
        <w:ind w:left="7560" w:hanging="1800"/>
      </w:pPr>
      <w:rPr>
        <w:rFonts w:ascii="Times New Roman" w:hAnsi="Times New Roman" w:hint="default"/>
      </w:rPr>
    </w:lvl>
  </w:abstractNum>
  <w:abstractNum w:abstractNumId="10" w15:restartNumberingAfterBreak="0">
    <w:nsid w:val="5AE54BD3"/>
    <w:multiLevelType w:val="hybridMultilevel"/>
    <w:tmpl w:val="0E94C298"/>
    <w:lvl w:ilvl="0" w:tplc="89587EE8">
      <w:start w:val="1"/>
      <w:numFmt w:val="lowerLetter"/>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11" w15:restartNumberingAfterBreak="0">
    <w:nsid w:val="72D1044B"/>
    <w:multiLevelType w:val="hybridMultilevel"/>
    <w:tmpl w:val="BFA009E2"/>
    <w:lvl w:ilvl="0" w:tplc="645CB0C4">
      <w:start w:val="1"/>
      <w:numFmt w:val="lowerRoman"/>
      <w:lvlText w:val="(%1)"/>
      <w:lvlJc w:val="left"/>
      <w:pPr>
        <w:ind w:left="1284" w:hanging="720"/>
      </w:pPr>
      <w:rPr>
        <w:rFonts w:hint="default"/>
      </w:rPr>
    </w:lvl>
    <w:lvl w:ilvl="1" w:tplc="1C090019" w:tentative="1">
      <w:start w:val="1"/>
      <w:numFmt w:val="lowerLetter"/>
      <w:lvlText w:val="%2."/>
      <w:lvlJc w:val="left"/>
      <w:pPr>
        <w:ind w:left="1644" w:hanging="360"/>
      </w:pPr>
    </w:lvl>
    <w:lvl w:ilvl="2" w:tplc="1C09001B" w:tentative="1">
      <w:start w:val="1"/>
      <w:numFmt w:val="lowerRoman"/>
      <w:lvlText w:val="%3."/>
      <w:lvlJc w:val="right"/>
      <w:pPr>
        <w:ind w:left="2364" w:hanging="180"/>
      </w:pPr>
    </w:lvl>
    <w:lvl w:ilvl="3" w:tplc="1C09000F" w:tentative="1">
      <w:start w:val="1"/>
      <w:numFmt w:val="decimal"/>
      <w:lvlText w:val="%4."/>
      <w:lvlJc w:val="left"/>
      <w:pPr>
        <w:ind w:left="3084" w:hanging="360"/>
      </w:pPr>
    </w:lvl>
    <w:lvl w:ilvl="4" w:tplc="1C090019" w:tentative="1">
      <w:start w:val="1"/>
      <w:numFmt w:val="lowerLetter"/>
      <w:lvlText w:val="%5."/>
      <w:lvlJc w:val="left"/>
      <w:pPr>
        <w:ind w:left="3804" w:hanging="360"/>
      </w:pPr>
    </w:lvl>
    <w:lvl w:ilvl="5" w:tplc="1C09001B" w:tentative="1">
      <w:start w:val="1"/>
      <w:numFmt w:val="lowerRoman"/>
      <w:lvlText w:val="%6."/>
      <w:lvlJc w:val="right"/>
      <w:pPr>
        <w:ind w:left="4524" w:hanging="180"/>
      </w:pPr>
    </w:lvl>
    <w:lvl w:ilvl="6" w:tplc="1C09000F" w:tentative="1">
      <w:start w:val="1"/>
      <w:numFmt w:val="decimal"/>
      <w:lvlText w:val="%7."/>
      <w:lvlJc w:val="left"/>
      <w:pPr>
        <w:ind w:left="5244" w:hanging="360"/>
      </w:pPr>
    </w:lvl>
    <w:lvl w:ilvl="7" w:tplc="1C090019" w:tentative="1">
      <w:start w:val="1"/>
      <w:numFmt w:val="lowerLetter"/>
      <w:lvlText w:val="%8."/>
      <w:lvlJc w:val="left"/>
      <w:pPr>
        <w:ind w:left="5964" w:hanging="360"/>
      </w:pPr>
    </w:lvl>
    <w:lvl w:ilvl="8" w:tplc="1C09001B" w:tentative="1">
      <w:start w:val="1"/>
      <w:numFmt w:val="lowerRoman"/>
      <w:lvlText w:val="%9."/>
      <w:lvlJc w:val="right"/>
      <w:pPr>
        <w:ind w:left="6684" w:hanging="180"/>
      </w:pPr>
    </w:lvl>
  </w:abstractNum>
  <w:num w:numId="1" w16cid:durableId="218635581">
    <w:abstractNumId w:val="8"/>
  </w:num>
  <w:num w:numId="2" w16cid:durableId="1629125271">
    <w:abstractNumId w:val="8"/>
  </w:num>
  <w:num w:numId="3" w16cid:durableId="1631087999">
    <w:abstractNumId w:val="8"/>
  </w:num>
  <w:num w:numId="4" w16cid:durableId="662271517">
    <w:abstractNumId w:val="8"/>
  </w:num>
  <w:num w:numId="5" w16cid:durableId="545798143">
    <w:abstractNumId w:val="4"/>
  </w:num>
  <w:num w:numId="6" w16cid:durableId="1543515065">
    <w:abstractNumId w:val="8"/>
  </w:num>
  <w:num w:numId="7" w16cid:durableId="1829056068">
    <w:abstractNumId w:val="8"/>
  </w:num>
  <w:num w:numId="8" w16cid:durableId="906962019">
    <w:abstractNumId w:val="8"/>
  </w:num>
  <w:num w:numId="9" w16cid:durableId="229925962">
    <w:abstractNumId w:val="8"/>
  </w:num>
  <w:num w:numId="10" w16cid:durableId="267811914">
    <w:abstractNumId w:val="8"/>
  </w:num>
  <w:num w:numId="11" w16cid:durableId="6180064">
    <w:abstractNumId w:val="8"/>
  </w:num>
  <w:num w:numId="12" w16cid:durableId="777719591">
    <w:abstractNumId w:val="8"/>
  </w:num>
  <w:num w:numId="13" w16cid:durableId="934166207">
    <w:abstractNumId w:val="8"/>
  </w:num>
  <w:num w:numId="14" w16cid:durableId="1612856371">
    <w:abstractNumId w:val="8"/>
  </w:num>
  <w:num w:numId="15" w16cid:durableId="1670017573">
    <w:abstractNumId w:val="8"/>
  </w:num>
  <w:num w:numId="16" w16cid:durableId="2107992323">
    <w:abstractNumId w:val="5"/>
  </w:num>
  <w:num w:numId="17" w16cid:durableId="2092920289">
    <w:abstractNumId w:val="5"/>
  </w:num>
  <w:num w:numId="18" w16cid:durableId="591864993">
    <w:abstractNumId w:val="7"/>
  </w:num>
  <w:num w:numId="19" w16cid:durableId="1319847617">
    <w:abstractNumId w:val="0"/>
  </w:num>
  <w:num w:numId="20" w16cid:durableId="1815878171">
    <w:abstractNumId w:val="11"/>
  </w:num>
  <w:num w:numId="21" w16cid:durableId="348528066">
    <w:abstractNumId w:val="9"/>
  </w:num>
  <w:num w:numId="22" w16cid:durableId="273710525">
    <w:abstractNumId w:val="10"/>
  </w:num>
  <w:num w:numId="23" w16cid:durableId="999651589">
    <w:abstractNumId w:val="3"/>
  </w:num>
  <w:num w:numId="24" w16cid:durableId="4244934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31480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03165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5391657">
    <w:abstractNumId w:val="6"/>
    <w:lvlOverride w:ilvl="0">
      <w:startOverride w:val="19"/>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8" w16cid:durableId="1661033095">
    <w:abstractNumId w:val="1"/>
  </w:num>
  <w:num w:numId="29" w16cid:durableId="307247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2E5"/>
    <w:rsid w:val="00000660"/>
    <w:rsid w:val="00000BB4"/>
    <w:rsid w:val="00003E9C"/>
    <w:rsid w:val="0001308F"/>
    <w:rsid w:val="00014E8A"/>
    <w:rsid w:val="00021478"/>
    <w:rsid w:val="000224BB"/>
    <w:rsid w:val="00026DC7"/>
    <w:rsid w:val="00027425"/>
    <w:rsid w:val="0002781D"/>
    <w:rsid w:val="00036EC9"/>
    <w:rsid w:val="00050B96"/>
    <w:rsid w:val="0005256A"/>
    <w:rsid w:val="00055924"/>
    <w:rsid w:val="00056011"/>
    <w:rsid w:val="0006439C"/>
    <w:rsid w:val="0006463B"/>
    <w:rsid w:val="00064B4C"/>
    <w:rsid w:val="00070415"/>
    <w:rsid w:val="00073917"/>
    <w:rsid w:val="00097162"/>
    <w:rsid w:val="000A57B5"/>
    <w:rsid w:val="000A7DBF"/>
    <w:rsid w:val="000B0FF3"/>
    <w:rsid w:val="000B3379"/>
    <w:rsid w:val="000C40E2"/>
    <w:rsid w:val="000C77F5"/>
    <w:rsid w:val="000D3D2C"/>
    <w:rsid w:val="000E5F71"/>
    <w:rsid w:val="000F343F"/>
    <w:rsid w:val="001072E5"/>
    <w:rsid w:val="00121F5C"/>
    <w:rsid w:val="00122AFF"/>
    <w:rsid w:val="001258E0"/>
    <w:rsid w:val="001275DA"/>
    <w:rsid w:val="001354B3"/>
    <w:rsid w:val="00137D95"/>
    <w:rsid w:val="00145540"/>
    <w:rsid w:val="00146AC4"/>
    <w:rsid w:val="00146E62"/>
    <w:rsid w:val="001576B8"/>
    <w:rsid w:val="0016217C"/>
    <w:rsid w:val="00164F23"/>
    <w:rsid w:val="00167520"/>
    <w:rsid w:val="001732E9"/>
    <w:rsid w:val="00174B32"/>
    <w:rsid w:val="00182E1D"/>
    <w:rsid w:val="00186FD6"/>
    <w:rsid w:val="001B2A46"/>
    <w:rsid w:val="001C02E8"/>
    <w:rsid w:val="001C2401"/>
    <w:rsid w:val="001C2542"/>
    <w:rsid w:val="001D2390"/>
    <w:rsid w:val="001D2F02"/>
    <w:rsid w:val="001D595D"/>
    <w:rsid w:val="001E09A0"/>
    <w:rsid w:val="001E1229"/>
    <w:rsid w:val="001E23BD"/>
    <w:rsid w:val="001E5884"/>
    <w:rsid w:val="001F2B40"/>
    <w:rsid w:val="001F4316"/>
    <w:rsid w:val="001F465A"/>
    <w:rsid w:val="00200808"/>
    <w:rsid w:val="00202DF4"/>
    <w:rsid w:val="00207EFA"/>
    <w:rsid w:val="002117E2"/>
    <w:rsid w:val="0021428D"/>
    <w:rsid w:val="00215857"/>
    <w:rsid w:val="002205BE"/>
    <w:rsid w:val="002312D8"/>
    <w:rsid w:val="00235DA8"/>
    <w:rsid w:val="002368E5"/>
    <w:rsid w:val="00240883"/>
    <w:rsid w:val="0024487C"/>
    <w:rsid w:val="002448DA"/>
    <w:rsid w:val="00247FD8"/>
    <w:rsid w:val="00252C87"/>
    <w:rsid w:val="002546A7"/>
    <w:rsid w:val="00261A36"/>
    <w:rsid w:val="002807CB"/>
    <w:rsid w:val="002847E8"/>
    <w:rsid w:val="00287977"/>
    <w:rsid w:val="002951C1"/>
    <w:rsid w:val="00295D97"/>
    <w:rsid w:val="00296F9D"/>
    <w:rsid w:val="002A085E"/>
    <w:rsid w:val="002A4378"/>
    <w:rsid w:val="002B1CFC"/>
    <w:rsid w:val="002B38EF"/>
    <w:rsid w:val="002B4F75"/>
    <w:rsid w:val="002B6946"/>
    <w:rsid w:val="002C38CB"/>
    <w:rsid w:val="002C5CE2"/>
    <w:rsid w:val="002C7708"/>
    <w:rsid w:val="002D0510"/>
    <w:rsid w:val="002D6697"/>
    <w:rsid w:val="002E1D1D"/>
    <w:rsid w:val="002E2BEE"/>
    <w:rsid w:val="002E38EE"/>
    <w:rsid w:val="002E6A31"/>
    <w:rsid w:val="002F066E"/>
    <w:rsid w:val="002F1549"/>
    <w:rsid w:val="002F356E"/>
    <w:rsid w:val="002F3BEE"/>
    <w:rsid w:val="002F4757"/>
    <w:rsid w:val="002F52BD"/>
    <w:rsid w:val="002F56F7"/>
    <w:rsid w:val="00300522"/>
    <w:rsid w:val="00304FFE"/>
    <w:rsid w:val="0030560D"/>
    <w:rsid w:val="00305787"/>
    <w:rsid w:val="003065B1"/>
    <w:rsid w:val="0031103B"/>
    <w:rsid w:val="00317DB3"/>
    <w:rsid w:val="00323CB2"/>
    <w:rsid w:val="00330157"/>
    <w:rsid w:val="00331BED"/>
    <w:rsid w:val="00331CAE"/>
    <w:rsid w:val="003339D6"/>
    <w:rsid w:val="003345B2"/>
    <w:rsid w:val="003351BE"/>
    <w:rsid w:val="00335A63"/>
    <w:rsid w:val="003413D9"/>
    <w:rsid w:val="0034166B"/>
    <w:rsid w:val="003434BF"/>
    <w:rsid w:val="0034450D"/>
    <w:rsid w:val="00345856"/>
    <w:rsid w:val="00354822"/>
    <w:rsid w:val="00354C9A"/>
    <w:rsid w:val="00354EC0"/>
    <w:rsid w:val="00361309"/>
    <w:rsid w:val="003647D8"/>
    <w:rsid w:val="00365A8E"/>
    <w:rsid w:val="00367D5C"/>
    <w:rsid w:val="00373C6D"/>
    <w:rsid w:val="00377237"/>
    <w:rsid w:val="0038328B"/>
    <w:rsid w:val="0038728F"/>
    <w:rsid w:val="00390775"/>
    <w:rsid w:val="00391168"/>
    <w:rsid w:val="00393923"/>
    <w:rsid w:val="00394491"/>
    <w:rsid w:val="003A6BA8"/>
    <w:rsid w:val="003B1C2A"/>
    <w:rsid w:val="003B364D"/>
    <w:rsid w:val="003B4270"/>
    <w:rsid w:val="003B62FC"/>
    <w:rsid w:val="003C124D"/>
    <w:rsid w:val="003C3AFF"/>
    <w:rsid w:val="003C4155"/>
    <w:rsid w:val="003D068D"/>
    <w:rsid w:val="003D32DF"/>
    <w:rsid w:val="003D4EDC"/>
    <w:rsid w:val="003D5E49"/>
    <w:rsid w:val="003E0A89"/>
    <w:rsid w:val="003E0F94"/>
    <w:rsid w:val="003E14F3"/>
    <w:rsid w:val="003E7E0E"/>
    <w:rsid w:val="003F0527"/>
    <w:rsid w:val="003F096A"/>
    <w:rsid w:val="003F64B1"/>
    <w:rsid w:val="004016D9"/>
    <w:rsid w:val="00403C47"/>
    <w:rsid w:val="00404815"/>
    <w:rsid w:val="00413B36"/>
    <w:rsid w:val="0041418F"/>
    <w:rsid w:val="00415EA1"/>
    <w:rsid w:val="004178F5"/>
    <w:rsid w:val="004276EB"/>
    <w:rsid w:val="00443FE2"/>
    <w:rsid w:val="00445E44"/>
    <w:rsid w:val="00446A8C"/>
    <w:rsid w:val="00447F9D"/>
    <w:rsid w:val="00451FBE"/>
    <w:rsid w:val="00457A28"/>
    <w:rsid w:val="004605E8"/>
    <w:rsid w:val="00464F5C"/>
    <w:rsid w:val="004770AD"/>
    <w:rsid w:val="0047784F"/>
    <w:rsid w:val="0048001F"/>
    <w:rsid w:val="00484D03"/>
    <w:rsid w:val="004910CB"/>
    <w:rsid w:val="004A3B35"/>
    <w:rsid w:val="004A4E31"/>
    <w:rsid w:val="004A6542"/>
    <w:rsid w:val="004B28F2"/>
    <w:rsid w:val="004C682E"/>
    <w:rsid w:val="004C6957"/>
    <w:rsid w:val="004C797D"/>
    <w:rsid w:val="004D0212"/>
    <w:rsid w:val="004D452C"/>
    <w:rsid w:val="004D5637"/>
    <w:rsid w:val="004E1775"/>
    <w:rsid w:val="004E34D1"/>
    <w:rsid w:val="004E35D9"/>
    <w:rsid w:val="004E41CB"/>
    <w:rsid w:val="004E4624"/>
    <w:rsid w:val="004E46E5"/>
    <w:rsid w:val="004E4C2D"/>
    <w:rsid w:val="004F7C5F"/>
    <w:rsid w:val="005119B5"/>
    <w:rsid w:val="00515713"/>
    <w:rsid w:val="005166C2"/>
    <w:rsid w:val="00524A43"/>
    <w:rsid w:val="005329C5"/>
    <w:rsid w:val="005330C9"/>
    <w:rsid w:val="0053323D"/>
    <w:rsid w:val="00535C05"/>
    <w:rsid w:val="00537B3A"/>
    <w:rsid w:val="00543CC3"/>
    <w:rsid w:val="00547371"/>
    <w:rsid w:val="00550361"/>
    <w:rsid w:val="00552108"/>
    <w:rsid w:val="00552EF0"/>
    <w:rsid w:val="005539F4"/>
    <w:rsid w:val="0055579F"/>
    <w:rsid w:val="00556378"/>
    <w:rsid w:val="005568AB"/>
    <w:rsid w:val="005574D9"/>
    <w:rsid w:val="0057131F"/>
    <w:rsid w:val="005724E3"/>
    <w:rsid w:val="005741E5"/>
    <w:rsid w:val="005762D1"/>
    <w:rsid w:val="0058398F"/>
    <w:rsid w:val="00583A4A"/>
    <w:rsid w:val="00587308"/>
    <w:rsid w:val="0059403D"/>
    <w:rsid w:val="00595044"/>
    <w:rsid w:val="005A5D2E"/>
    <w:rsid w:val="005B2448"/>
    <w:rsid w:val="005B6A94"/>
    <w:rsid w:val="005C31BB"/>
    <w:rsid w:val="005C5563"/>
    <w:rsid w:val="005D2E15"/>
    <w:rsid w:val="005D759E"/>
    <w:rsid w:val="005F0DEB"/>
    <w:rsid w:val="005F4B0F"/>
    <w:rsid w:val="006037AF"/>
    <w:rsid w:val="0061431B"/>
    <w:rsid w:val="00626930"/>
    <w:rsid w:val="00631D4D"/>
    <w:rsid w:val="00635343"/>
    <w:rsid w:val="00641E42"/>
    <w:rsid w:val="00642C40"/>
    <w:rsid w:val="00650A8F"/>
    <w:rsid w:val="00652566"/>
    <w:rsid w:val="006608AF"/>
    <w:rsid w:val="00662730"/>
    <w:rsid w:val="00664276"/>
    <w:rsid w:val="006675CD"/>
    <w:rsid w:val="00670632"/>
    <w:rsid w:val="0068381E"/>
    <w:rsid w:val="0068480C"/>
    <w:rsid w:val="00686A2B"/>
    <w:rsid w:val="00687D70"/>
    <w:rsid w:val="00690149"/>
    <w:rsid w:val="00691504"/>
    <w:rsid w:val="00694137"/>
    <w:rsid w:val="006A00B7"/>
    <w:rsid w:val="006A208C"/>
    <w:rsid w:val="006B2392"/>
    <w:rsid w:val="006B3596"/>
    <w:rsid w:val="006B3A8C"/>
    <w:rsid w:val="006C1936"/>
    <w:rsid w:val="006C1B6E"/>
    <w:rsid w:val="006C3B25"/>
    <w:rsid w:val="006C3EBF"/>
    <w:rsid w:val="006D194A"/>
    <w:rsid w:val="006D501F"/>
    <w:rsid w:val="006D5F23"/>
    <w:rsid w:val="006D60FC"/>
    <w:rsid w:val="006F02A3"/>
    <w:rsid w:val="007001F4"/>
    <w:rsid w:val="00700866"/>
    <w:rsid w:val="00706A12"/>
    <w:rsid w:val="007147F3"/>
    <w:rsid w:val="007169E1"/>
    <w:rsid w:val="00716B28"/>
    <w:rsid w:val="00721501"/>
    <w:rsid w:val="007248E4"/>
    <w:rsid w:val="00727B66"/>
    <w:rsid w:val="007302AF"/>
    <w:rsid w:val="00743E08"/>
    <w:rsid w:val="00743F64"/>
    <w:rsid w:val="00745F9B"/>
    <w:rsid w:val="00747845"/>
    <w:rsid w:val="00751F05"/>
    <w:rsid w:val="00752B7F"/>
    <w:rsid w:val="00764C42"/>
    <w:rsid w:val="00767FAF"/>
    <w:rsid w:val="0077304F"/>
    <w:rsid w:val="00776BA1"/>
    <w:rsid w:val="007804C6"/>
    <w:rsid w:val="007846E1"/>
    <w:rsid w:val="007955C6"/>
    <w:rsid w:val="007A3A45"/>
    <w:rsid w:val="007A4DF9"/>
    <w:rsid w:val="007A58D7"/>
    <w:rsid w:val="007B05FB"/>
    <w:rsid w:val="007B0CB9"/>
    <w:rsid w:val="007B193A"/>
    <w:rsid w:val="007B279B"/>
    <w:rsid w:val="007B5141"/>
    <w:rsid w:val="007C273B"/>
    <w:rsid w:val="007D0D2E"/>
    <w:rsid w:val="007D6495"/>
    <w:rsid w:val="007E2F26"/>
    <w:rsid w:val="007F1833"/>
    <w:rsid w:val="007F4FCD"/>
    <w:rsid w:val="007F76BA"/>
    <w:rsid w:val="008065D8"/>
    <w:rsid w:val="008073E0"/>
    <w:rsid w:val="008266A4"/>
    <w:rsid w:val="00826E15"/>
    <w:rsid w:val="0083780E"/>
    <w:rsid w:val="008401B3"/>
    <w:rsid w:val="008447AB"/>
    <w:rsid w:val="0085325C"/>
    <w:rsid w:val="00855DAE"/>
    <w:rsid w:val="008604D3"/>
    <w:rsid w:val="00865A13"/>
    <w:rsid w:val="00873FDF"/>
    <w:rsid w:val="00882BF4"/>
    <w:rsid w:val="0088463B"/>
    <w:rsid w:val="00887569"/>
    <w:rsid w:val="00887AF2"/>
    <w:rsid w:val="008918FA"/>
    <w:rsid w:val="008923D6"/>
    <w:rsid w:val="00893EA5"/>
    <w:rsid w:val="00897EE7"/>
    <w:rsid w:val="008A450C"/>
    <w:rsid w:val="008A6279"/>
    <w:rsid w:val="008B1200"/>
    <w:rsid w:val="008C1D67"/>
    <w:rsid w:val="008C2460"/>
    <w:rsid w:val="008C2A14"/>
    <w:rsid w:val="008C476C"/>
    <w:rsid w:val="008C59FC"/>
    <w:rsid w:val="008D0C87"/>
    <w:rsid w:val="008D3AE5"/>
    <w:rsid w:val="008E18B8"/>
    <w:rsid w:val="008E6831"/>
    <w:rsid w:val="008E7CC7"/>
    <w:rsid w:val="00903824"/>
    <w:rsid w:val="0092681C"/>
    <w:rsid w:val="00934029"/>
    <w:rsid w:val="009342F5"/>
    <w:rsid w:val="00940F63"/>
    <w:rsid w:val="0094680A"/>
    <w:rsid w:val="00950B82"/>
    <w:rsid w:val="00953929"/>
    <w:rsid w:val="0095745D"/>
    <w:rsid w:val="00957A1F"/>
    <w:rsid w:val="009611D5"/>
    <w:rsid w:val="0096121E"/>
    <w:rsid w:val="00964F69"/>
    <w:rsid w:val="0096650D"/>
    <w:rsid w:val="00972971"/>
    <w:rsid w:val="00975FA9"/>
    <w:rsid w:val="00976B87"/>
    <w:rsid w:val="00987423"/>
    <w:rsid w:val="0098776C"/>
    <w:rsid w:val="009A11BE"/>
    <w:rsid w:val="009A1E57"/>
    <w:rsid w:val="009A3CAB"/>
    <w:rsid w:val="009A7F10"/>
    <w:rsid w:val="009B0661"/>
    <w:rsid w:val="009B431B"/>
    <w:rsid w:val="009B7154"/>
    <w:rsid w:val="009C4233"/>
    <w:rsid w:val="009D1F2B"/>
    <w:rsid w:val="009D6A67"/>
    <w:rsid w:val="009D741D"/>
    <w:rsid w:val="009D76CF"/>
    <w:rsid w:val="009E049A"/>
    <w:rsid w:val="009E24A5"/>
    <w:rsid w:val="009E40E9"/>
    <w:rsid w:val="009E4ADE"/>
    <w:rsid w:val="009E7C9E"/>
    <w:rsid w:val="009F581C"/>
    <w:rsid w:val="00A01FCD"/>
    <w:rsid w:val="00A10F3A"/>
    <w:rsid w:val="00A12A5D"/>
    <w:rsid w:val="00A256EB"/>
    <w:rsid w:val="00A277D6"/>
    <w:rsid w:val="00A351CF"/>
    <w:rsid w:val="00A37426"/>
    <w:rsid w:val="00A43B3B"/>
    <w:rsid w:val="00A5134E"/>
    <w:rsid w:val="00A530C1"/>
    <w:rsid w:val="00A63BEC"/>
    <w:rsid w:val="00A64F24"/>
    <w:rsid w:val="00A66C37"/>
    <w:rsid w:val="00A713E3"/>
    <w:rsid w:val="00A71922"/>
    <w:rsid w:val="00A73024"/>
    <w:rsid w:val="00A7704F"/>
    <w:rsid w:val="00A77185"/>
    <w:rsid w:val="00A80A54"/>
    <w:rsid w:val="00A84290"/>
    <w:rsid w:val="00A85C6D"/>
    <w:rsid w:val="00A85EB1"/>
    <w:rsid w:val="00A874F8"/>
    <w:rsid w:val="00A9151A"/>
    <w:rsid w:val="00A9269F"/>
    <w:rsid w:val="00AB1209"/>
    <w:rsid w:val="00AB4A5D"/>
    <w:rsid w:val="00AB7A0B"/>
    <w:rsid w:val="00AC4878"/>
    <w:rsid w:val="00AC5532"/>
    <w:rsid w:val="00AC76A9"/>
    <w:rsid w:val="00AD336D"/>
    <w:rsid w:val="00AD6623"/>
    <w:rsid w:val="00AD79BC"/>
    <w:rsid w:val="00AE0C17"/>
    <w:rsid w:val="00AE65F2"/>
    <w:rsid w:val="00AF118E"/>
    <w:rsid w:val="00AF616C"/>
    <w:rsid w:val="00AF767A"/>
    <w:rsid w:val="00AF78AA"/>
    <w:rsid w:val="00B05DAE"/>
    <w:rsid w:val="00B16317"/>
    <w:rsid w:val="00B215FC"/>
    <w:rsid w:val="00B25547"/>
    <w:rsid w:val="00B26E2E"/>
    <w:rsid w:val="00B27C05"/>
    <w:rsid w:val="00B3188B"/>
    <w:rsid w:val="00B339A4"/>
    <w:rsid w:val="00B36AFE"/>
    <w:rsid w:val="00B41629"/>
    <w:rsid w:val="00B45B56"/>
    <w:rsid w:val="00B50545"/>
    <w:rsid w:val="00B50F08"/>
    <w:rsid w:val="00B660DD"/>
    <w:rsid w:val="00B73EC4"/>
    <w:rsid w:val="00B768E6"/>
    <w:rsid w:val="00B77171"/>
    <w:rsid w:val="00B77A2A"/>
    <w:rsid w:val="00B812AC"/>
    <w:rsid w:val="00B8391B"/>
    <w:rsid w:val="00B858D6"/>
    <w:rsid w:val="00B85FBD"/>
    <w:rsid w:val="00B958DE"/>
    <w:rsid w:val="00BA0598"/>
    <w:rsid w:val="00BA50E1"/>
    <w:rsid w:val="00BA6AAB"/>
    <w:rsid w:val="00BB0F1D"/>
    <w:rsid w:val="00BB5D45"/>
    <w:rsid w:val="00BB5F22"/>
    <w:rsid w:val="00BB7A4E"/>
    <w:rsid w:val="00BC0CF1"/>
    <w:rsid w:val="00BC12D7"/>
    <w:rsid w:val="00BC348C"/>
    <w:rsid w:val="00BD06C3"/>
    <w:rsid w:val="00BD0C23"/>
    <w:rsid w:val="00BD224C"/>
    <w:rsid w:val="00BE4F8D"/>
    <w:rsid w:val="00BF1CAC"/>
    <w:rsid w:val="00BF3940"/>
    <w:rsid w:val="00BF670B"/>
    <w:rsid w:val="00BF677F"/>
    <w:rsid w:val="00C0043A"/>
    <w:rsid w:val="00C11BAD"/>
    <w:rsid w:val="00C1680E"/>
    <w:rsid w:val="00C17460"/>
    <w:rsid w:val="00C22C27"/>
    <w:rsid w:val="00C2470B"/>
    <w:rsid w:val="00C24FAF"/>
    <w:rsid w:val="00C271A1"/>
    <w:rsid w:val="00C47B40"/>
    <w:rsid w:val="00C51F72"/>
    <w:rsid w:val="00C52D51"/>
    <w:rsid w:val="00C70F4C"/>
    <w:rsid w:val="00C770E9"/>
    <w:rsid w:val="00C81173"/>
    <w:rsid w:val="00C83BE9"/>
    <w:rsid w:val="00C8651A"/>
    <w:rsid w:val="00C8664A"/>
    <w:rsid w:val="00C90D81"/>
    <w:rsid w:val="00C96ED6"/>
    <w:rsid w:val="00CA02B3"/>
    <w:rsid w:val="00CA3908"/>
    <w:rsid w:val="00CA39D4"/>
    <w:rsid w:val="00CA464D"/>
    <w:rsid w:val="00CA67B3"/>
    <w:rsid w:val="00CA6969"/>
    <w:rsid w:val="00CA7499"/>
    <w:rsid w:val="00CA7D25"/>
    <w:rsid w:val="00CB6927"/>
    <w:rsid w:val="00CB76DF"/>
    <w:rsid w:val="00CB799D"/>
    <w:rsid w:val="00CC6530"/>
    <w:rsid w:val="00CD3BBB"/>
    <w:rsid w:val="00CD3EBC"/>
    <w:rsid w:val="00CD7084"/>
    <w:rsid w:val="00CE4065"/>
    <w:rsid w:val="00D073BA"/>
    <w:rsid w:val="00D10F91"/>
    <w:rsid w:val="00D17326"/>
    <w:rsid w:val="00D23236"/>
    <w:rsid w:val="00D23DF8"/>
    <w:rsid w:val="00D264C9"/>
    <w:rsid w:val="00D32BEB"/>
    <w:rsid w:val="00D351B0"/>
    <w:rsid w:val="00D36330"/>
    <w:rsid w:val="00D41782"/>
    <w:rsid w:val="00D417FB"/>
    <w:rsid w:val="00D446F0"/>
    <w:rsid w:val="00D53CCD"/>
    <w:rsid w:val="00D5440D"/>
    <w:rsid w:val="00D546E6"/>
    <w:rsid w:val="00D5515C"/>
    <w:rsid w:val="00D568C1"/>
    <w:rsid w:val="00D632A8"/>
    <w:rsid w:val="00D65ECA"/>
    <w:rsid w:val="00D66DB8"/>
    <w:rsid w:val="00D748CC"/>
    <w:rsid w:val="00D91ADA"/>
    <w:rsid w:val="00D945DF"/>
    <w:rsid w:val="00DA04A6"/>
    <w:rsid w:val="00DA26E4"/>
    <w:rsid w:val="00DA2C79"/>
    <w:rsid w:val="00DA32E1"/>
    <w:rsid w:val="00DA3D92"/>
    <w:rsid w:val="00DA62CA"/>
    <w:rsid w:val="00DB3248"/>
    <w:rsid w:val="00DB7AF4"/>
    <w:rsid w:val="00DC1195"/>
    <w:rsid w:val="00DC1BE0"/>
    <w:rsid w:val="00DC2571"/>
    <w:rsid w:val="00DC560E"/>
    <w:rsid w:val="00DC5D6B"/>
    <w:rsid w:val="00DD4C99"/>
    <w:rsid w:val="00DD623E"/>
    <w:rsid w:val="00DD6AD9"/>
    <w:rsid w:val="00DE05CF"/>
    <w:rsid w:val="00DE21B7"/>
    <w:rsid w:val="00DE3B81"/>
    <w:rsid w:val="00DE3B8F"/>
    <w:rsid w:val="00DE4C4F"/>
    <w:rsid w:val="00DE6D6F"/>
    <w:rsid w:val="00E03423"/>
    <w:rsid w:val="00E22F8F"/>
    <w:rsid w:val="00E26EAB"/>
    <w:rsid w:val="00E36040"/>
    <w:rsid w:val="00E37CC2"/>
    <w:rsid w:val="00E37E95"/>
    <w:rsid w:val="00E405B8"/>
    <w:rsid w:val="00E44D42"/>
    <w:rsid w:val="00E451C8"/>
    <w:rsid w:val="00E468AD"/>
    <w:rsid w:val="00E62E17"/>
    <w:rsid w:val="00E67971"/>
    <w:rsid w:val="00E76ED7"/>
    <w:rsid w:val="00E8124B"/>
    <w:rsid w:val="00E818DB"/>
    <w:rsid w:val="00E84E3E"/>
    <w:rsid w:val="00E956BE"/>
    <w:rsid w:val="00EA0110"/>
    <w:rsid w:val="00EA0EC5"/>
    <w:rsid w:val="00EA6D7C"/>
    <w:rsid w:val="00EB0D2D"/>
    <w:rsid w:val="00EB402C"/>
    <w:rsid w:val="00EC4F6F"/>
    <w:rsid w:val="00EC5114"/>
    <w:rsid w:val="00EC78D8"/>
    <w:rsid w:val="00ED661D"/>
    <w:rsid w:val="00EE47FA"/>
    <w:rsid w:val="00EE5558"/>
    <w:rsid w:val="00EF22F2"/>
    <w:rsid w:val="00EF2539"/>
    <w:rsid w:val="00EF2C48"/>
    <w:rsid w:val="00F0325D"/>
    <w:rsid w:val="00F0378B"/>
    <w:rsid w:val="00F0500F"/>
    <w:rsid w:val="00F12A04"/>
    <w:rsid w:val="00F23FD5"/>
    <w:rsid w:val="00F245C1"/>
    <w:rsid w:val="00F248B7"/>
    <w:rsid w:val="00F25AEB"/>
    <w:rsid w:val="00F266DB"/>
    <w:rsid w:val="00F27A71"/>
    <w:rsid w:val="00F27C18"/>
    <w:rsid w:val="00F316FC"/>
    <w:rsid w:val="00F32B7E"/>
    <w:rsid w:val="00F34B8E"/>
    <w:rsid w:val="00F36445"/>
    <w:rsid w:val="00F4575B"/>
    <w:rsid w:val="00F467BF"/>
    <w:rsid w:val="00F51D37"/>
    <w:rsid w:val="00F522DD"/>
    <w:rsid w:val="00F52D09"/>
    <w:rsid w:val="00F53CB2"/>
    <w:rsid w:val="00F56448"/>
    <w:rsid w:val="00F56CD9"/>
    <w:rsid w:val="00F648F3"/>
    <w:rsid w:val="00F66DD7"/>
    <w:rsid w:val="00F70DD4"/>
    <w:rsid w:val="00F70EF2"/>
    <w:rsid w:val="00F74563"/>
    <w:rsid w:val="00F75A30"/>
    <w:rsid w:val="00F82D8F"/>
    <w:rsid w:val="00F8415D"/>
    <w:rsid w:val="00F8492F"/>
    <w:rsid w:val="00F8628A"/>
    <w:rsid w:val="00F93763"/>
    <w:rsid w:val="00F95E33"/>
    <w:rsid w:val="00FA78FE"/>
    <w:rsid w:val="00FC5E74"/>
    <w:rsid w:val="00FC6A72"/>
    <w:rsid w:val="00FC6F49"/>
    <w:rsid w:val="00FD07EE"/>
    <w:rsid w:val="00FD3CB9"/>
    <w:rsid w:val="00FD5385"/>
    <w:rsid w:val="00FD553D"/>
    <w:rsid w:val="00FD7452"/>
    <w:rsid w:val="00FE0E9F"/>
    <w:rsid w:val="00FE41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DBC3"/>
  <w15:chartTrackingRefBased/>
  <w15:docId w15:val="{927F564F-23CF-494E-9567-02D178E9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E5"/>
    <w:pPr>
      <w:spacing w:before="360" w:after="0" w:line="480" w:lineRule="auto"/>
      <w:jc w:val="both"/>
    </w:pPr>
    <w:rPr>
      <w:rFonts w:ascii="Arial" w:eastAsiaTheme="minorHAnsi" w:hAnsi="Arial"/>
      <w:sz w:val="24"/>
    </w:rPr>
  </w:style>
  <w:style w:type="paragraph" w:styleId="Heading1">
    <w:name w:val="heading 1"/>
    <w:basedOn w:val="Normal"/>
    <w:next w:val="Normal"/>
    <w:link w:val="Heading1Char"/>
    <w:uiPriority w:val="9"/>
    <w:qFormat/>
    <w:rsid w:val="00DB3248"/>
    <w:pPr>
      <w:widowControl w:val="0"/>
      <w:spacing w:before="0" w:after="320"/>
      <w:outlineLvl w:val="0"/>
    </w:pPr>
    <w:rPr>
      <w:b/>
      <w:bCs/>
      <w:lang w:val="en-GB"/>
    </w:rPr>
  </w:style>
  <w:style w:type="paragraph" w:styleId="Heading2">
    <w:name w:val="heading 2"/>
    <w:basedOn w:val="Normal"/>
    <w:next w:val="Normal"/>
    <w:link w:val="Heading2Char"/>
    <w:uiPriority w:val="9"/>
    <w:unhideWhenUsed/>
    <w:qFormat/>
    <w:rsid w:val="00DB3248"/>
    <w:pPr>
      <w:widowControl w:val="0"/>
      <w:spacing w:before="0" w:after="320"/>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uiPriority w:val="29"/>
    <w:rsid w:val="00A77185"/>
    <w:pPr>
      <w:spacing w:before="120" w:line="360" w:lineRule="auto"/>
      <w:ind w:left="1985"/>
    </w:pPr>
    <w:rPr>
      <w:iCs/>
      <w:color w:val="000000"/>
    </w:rPr>
  </w:style>
  <w:style w:type="character" w:customStyle="1" w:styleId="QuoteChar">
    <w:name w:val="Quote Char"/>
    <w:link w:val="Quote"/>
    <w:uiPriority w:val="29"/>
    <w:rsid w:val="00A77185"/>
    <w:rPr>
      <w:rFonts w:ascii="Arial" w:hAnsi="Arial"/>
      <w:iCs/>
      <w:color w:val="000000"/>
      <w:sz w:val="24"/>
    </w:rPr>
  </w:style>
  <w:style w:type="paragraph" w:styleId="Footer">
    <w:name w:val="footer"/>
    <w:basedOn w:val="Normal"/>
    <w:link w:val="FooterChar"/>
    <w:rsid w:val="007A58D7"/>
    <w:pPr>
      <w:tabs>
        <w:tab w:val="right" w:pos="8222"/>
      </w:tabs>
    </w:pPr>
  </w:style>
  <w:style w:type="character" w:customStyle="1" w:styleId="FooterChar">
    <w:name w:val="Footer Char"/>
    <w:basedOn w:val="DefaultParagraphFont"/>
    <w:link w:val="Footer"/>
    <w:rsid w:val="007A58D7"/>
    <w:rPr>
      <w:rFonts w:ascii="Arial" w:eastAsia="Times New Roman" w:hAnsi="Arial" w:cs="Times New Roman"/>
      <w:sz w:val="24"/>
      <w:szCs w:val="20"/>
      <w:lang w:eastAsia="en-ZA"/>
    </w:rPr>
  </w:style>
  <w:style w:type="character" w:styleId="FootnoteReference">
    <w:name w:val="footnote reference"/>
    <w:aliases w:val="(NECG) Footnote Reference"/>
    <w:basedOn w:val="DefaultParagraphFont"/>
    <w:uiPriority w:val="99"/>
    <w:unhideWhenUsed/>
    <w:qFormat/>
    <w:rsid w:val="007A58D7"/>
    <w:rPr>
      <w:vertAlign w:val="superscript"/>
    </w:rPr>
  </w:style>
  <w:style w:type="paragraph" w:styleId="FootnoteText">
    <w:name w:val="footnote text"/>
    <w:aliases w:val="Char, Char,single space Char,single space,Footnote Reference1,FA Fu,Footnote Text Char Char Char Char Char,Footnote Text Char Char Char Char,vFootnote Text,Footnote Text Char1,Footnote Text Char Char,Footnote Text Char1 Char Char,fn,ft"/>
    <w:basedOn w:val="Normal"/>
    <w:link w:val="FootnoteTextChar"/>
    <w:uiPriority w:val="99"/>
    <w:unhideWhenUsed/>
    <w:qFormat/>
    <w:rsid w:val="007A58D7"/>
    <w:pPr>
      <w:spacing w:before="120" w:line="240" w:lineRule="auto"/>
      <w:ind w:left="567" w:hanging="567"/>
    </w:pPr>
    <w:rPr>
      <w:sz w:val="20"/>
      <w:szCs w:val="24"/>
    </w:rPr>
  </w:style>
  <w:style w:type="character" w:customStyle="1" w:styleId="FootnoteTextChar">
    <w:name w:val="Footnote Text Char"/>
    <w:aliases w:val="Char Char, Char Char,single space Char Char,single space Char1,Footnote Reference1 Char,FA Fu Char,Footnote Text Char Char Char Char Char Char,Footnote Text Char Char Char Char Char1,vFootnote Text Char,Footnote Text Char1 Char"/>
    <w:basedOn w:val="DefaultParagraphFont"/>
    <w:link w:val="FootnoteText"/>
    <w:uiPriority w:val="99"/>
    <w:rsid w:val="007A58D7"/>
    <w:rPr>
      <w:rFonts w:ascii="Arial" w:eastAsia="Times New Roman" w:hAnsi="Arial" w:cs="Times New Roman"/>
      <w:sz w:val="20"/>
      <w:szCs w:val="24"/>
      <w:lang w:eastAsia="en-ZA"/>
    </w:rPr>
  </w:style>
  <w:style w:type="paragraph" w:styleId="Header">
    <w:name w:val="header"/>
    <w:basedOn w:val="Normal"/>
    <w:link w:val="HeaderChar"/>
    <w:uiPriority w:val="99"/>
    <w:unhideWhenUsed/>
    <w:rsid w:val="007A58D7"/>
    <w:pPr>
      <w:tabs>
        <w:tab w:val="center" w:pos="4513"/>
        <w:tab w:val="right" w:pos="9026"/>
      </w:tabs>
      <w:spacing w:line="240" w:lineRule="auto"/>
    </w:pPr>
  </w:style>
  <w:style w:type="character" w:customStyle="1" w:styleId="HeaderChar">
    <w:name w:val="Header Char"/>
    <w:basedOn w:val="DefaultParagraphFont"/>
    <w:link w:val="Header"/>
    <w:uiPriority w:val="99"/>
    <w:rsid w:val="007A58D7"/>
    <w:rPr>
      <w:rFonts w:ascii="Arial" w:eastAsia="Times New Roman" w:hAnsi="Arial" w:cs="Times New Roman"/>
      <w:sz w:val="24"/>
      <w:szCs w:val="20"/>
      <w:lang w:eastAsia="en-ZA"/>
    </w:rPr>
  </w:style>
  <w:style w:type="paragraph" w:customStyle="1" w:styleId="level1">
    <w:name w:val="level1"/>
    <w:basedOn w:val="Normal"/>
    <w:rsid w:val="00464F5C"/>
    <w:pPr>
      <w:widowControl w:val="0"/>
      <w:numPr>
        <w:numId w:val="19"/>
      </w:numPr>
      <w:tabs>
        <w:tab w:val="clear" w:pos="737"/>
      </w:tabs>
      <w:spacing w:before="0" w:after="320"/>
    </w:pPr>
    <w:rPr>
      <w:lang w:val="en-GB"/>
    </w:rPr>
  </w:style>
  <w:style w:type="paragraph" w:customStyle="1" w:styleId="LEVEL10">
    <w:name w:val="LEVEL1"/>
    <w:basedOn w:val="level1"/>
    <w:next w:val="List"/>
    <w:qFormat/>
    <w:rsid w:val="001732E9"/>
    <w:rPr>
      <w:lang w:val="en-ZA"/>
    </w:rPr>
  </w:style>
  <w:style w:type="paragraph" w:styleId="List">
    <w:name w:val="List"/>
    <w:basedOn w:val="Normal"/>
    <w:uiPriority w:val="99"/>
    <w:semiHidden/>
    <w:unhideWhenUsed/>
    <w:rsid w:val="007A58D7"/>
    <w:pPr>
      <w:ind w:left="283" w:hanging="283"/>
      <w:contextualSpacing/>
    </w:pPr>
  </w:style>
  <w:style w:type="paragraph" w:customStyle="1" w:styleId="level2">
    <w:name w:val="level2"/>
    <w:basedOn w:val="Normal"/>
    <w:rsid w:val="00A77185"/>
    <w:pPr>
      <w:widowControl w:val="0"/>
      <w:numPr>
        <w:ilvl w:val="1"/>
        <w:numId w:val="15"/>
      </w:numPr>
      <w:tabs>
        <w:tab w:val="left" w:pos="1418"/>
      </w:tabs>
    </w:pPr>
  </w:style>
  <w:style w:type="paragraph" w:customStyle="1" w:styleId="LEVEL20">
    <w:name w:val="LEVEL2"/>
    <w:basedOn w:val="LEVEL10"/>
    <w:qFormat/>
    <w:rsid w:val="00A77185"/>
    <w:pPr>
      <w:tabs>
        <w:tab w:val="left" w:pos="1418"/>
      </w:tabs>
    </w:pPr>
  </w:style>
  <w:style w:type="paragraph" w:customStyle="1" w:styleId="level3">
    <w:name w:val="level3"/>
    <w:basedOn w:val="Normal"/>
    <w:rsid w:val="00A77185"/>
    <w:pPr>
      <w:widowControl w:val="0"/>
      <w:numPr>
        <w:ilvl w:val="2"/>
        <w:numId w:val="15"/>
      </w:numPr>
      <w:tabs>
        <w:tab w:val="left" w:pos="2552"/>
      </w:tabs>
    </w:pPr>
  </w:style>
  <w:style w:type="paragraph" w:customStyle="1" w:styleId="LEVEL30">
    <w:name w:val="LEVEL3"/>
    <w:basedOn w:val="LEVEL20"/>
    <w:qFormat/>
    <w:rsid w:val="007A58D7"/>
    <w:pPr>
      <w:tabs>
        <w:tab w:val="clear" w:pos="1418"/>
        <w:tab w:val="left" w:pos="2552"/>
      </w:tabs>
    </w:pPr>
  </w:style>
  <w:style w:type="paragraph" w:customStyle="1" w:styleId="level4">
    <w:name w:val="level4"/>
    <w:basedOn w:val="Normal"/>
    <w:rsid w:val="00A77185"/>
    <w:pPr>
      <w:widowControl w:val="0"/>
      <w:numPr>
        <w:ilvl w:val="3"/>
        <w:numId w:val="15"/>
      </w:numPr>
      <w:tabs>
        <w:tab w:val="left" w:pos="3686"/>
      </w:tabs>
    </w:pPr>
  </w:style>
  <w:style w:type="paragraph" w:customStyle="1" w:styleId="LEVEL40">
    <w:name w:val="LEVEL4"/>
    <w:basedOn w:val="LEVEL30"/>
    <w:qFormat/>
    <w:rsid w:val="007A58D7"/>
    <w:pPr>
      <w:tabs>
        <w:tab w:val="clear" w:pos="2552"/>
        <w:tab w:val="left" w:pos="3402"/>
      </w:tabs>
    </w:pPr>
  </w:style>
  <w:style w:type="paragraph" w:customStyle="1" w:styleId="level4a">
    <w:name w:val="level4a"/>
    <w:basedOn w:val="level4"/>
    <w:qFormat/>
    <w:rsid w:val="007A58D7"/>
    <w:pPr>
      <w:numPr>
        <w:ilvl w:val="0"/>
        <w:numId w:val="5"/>
      </w:numPr>
    </w:pPr>
  </w:style>
  <w:style w:type="paragraph" w:customStyle="1" w:styleId="level5">
    <w:name w:val="level5"/>
    <w:basedOn w:val="Normal"/>
    <w:rsid w:val="00A77185"/>
    <w:pPr>
      <w:widowControl w:val="0"/>
      <w:numPr>
        <w:ilvl w:val="4"/>
        <w:numId w:val="15"/>
      </w:numPr>
      <w:spacing w:before="240"/>
    </w:pPr>
  </w:style>
  <w:style w:type="paragraph" w:customStyle="1" w:styleId="level6">
    <w:name w:val="level6"/>
    <w:basedOn w:val="Normal"/>
    <w:rsid w:val="00A77185"/>
    <w:pPr>
      <w:widowControl w:val="0"/>
      <w:numPr>
        <w:ilvl w:val="5"/>
        <w:numId w:val="15"/>
      </w:numPr>
      <w:spacing w:before="240"/>
    </w:pPr>
  </w:style>
  <w:style w:type="paragraph" w:customStyle="1" w:styleId="level7">
    <w:name w:val="level7"/>
    <w:basedOn w:val="Normal"/>
    <w:rsid w:val="00A77185"/>
    <w:pPr>
      <w:widowControl w:val="0"/>
      <w:numPr>
        <w:ilvl w:val="6"/>
        <w:numId w:val="15"/>
      </w:numPr>
      <w:spacing w:before="240"/>
    </w:pPr>
  </w:style>
  <w:style w:type="paragraph" w:customStyle="1" w:styleId="reference">
    <w:name w:val="reference"/>
    <w:basedOn w:val="Normal"/>
    <w:rsid w:val="00A77185"/>
    <w:pPr>
      <w:widowControl w:val="0"/>
      <w:tabs>
        <w:tab w:val="left" w:pos="567"/>
        <w:tab w:val="left" w:pos="851"/>
        <w:tab w:val="left" w:pos="1134"/>
        <w:tab w:val="left" w:pos="1418"/>
        <w:tab w:val="left" w:pos="1701"/>
        <w:tab w:val="left" w:pos="1985"/>
        <w:tab w:val="left" w:pos="2268"/>
      </w:tabs>
      <w:spacing w:before="240" w:line="240" w:lineRule="auto"/>
      <w:ind w:left="1701"/>
    </w:pPr>
  </w:style>
  <w:style w:type="paragraph" w:customStyle="1" w:styleId="Sublevel">
    <w:name w:val="Sub level"/>
    <w:basedOn w:val="Normal"/>
    <w:rsid w:val="00A77185"/>
    <w:pPr>
      <w:widowControl w:val="0"/>
    </w:pPr>
  </w:style>
  <w:style w:type="paragraph" w:customStyle="1" w:styleId="SUBLEVEL0">
    <w:name w:val="SUBLEVEL"/>
    <w:basedOn w:val="Normal"/>
    <w:rsid w:val="007A58D7"/>
    <w:rPr>
      <w:rFonts w:eastAsia="Calibri" w:cs="Arial"/>
    </w:rPr>
  </w:style>
  <w:style w:type="character" w:customStyle="1" w:styleId="Heading1Char">
    <w:name w:val="Heading 1 Char"/>
    <w:basedOn w:val="DefaultParagraphFont"/>
    <w:link w:val="Heading1"/>
    <w:uiPriority w:val="9"/>
    <w:rsid w:val="00DB3248"/>
    <w:rPr>
      <w:rFonts w:ascii="Arial" w:eastAsiaTheme="minorHAnsi" w:hAnsi="Arial"/>
      <w:b/>
      <w:bCs/>
      <w:sz w:val="24"/>
      <w:lang w:val="en-GB"/>
    </w:rPr>
  </w:style>
  <w:style w:type="paragraph" w:styleId="ListParagraph">
    <w:name w:val="List Paragraph"/>
    <w:basedOn w:val="Normal"/>
    <w:uiPriority w:val="34"/>
    <w:qFormat/>
    <w:rsid w:val="001072E5"/>
    <w:pPr>
      <w:ind w:left="720"/>
      <w:contextualSpacing/>
    </w:pPr>
  </w:style>
  <w:style w:type="character" w:customStyle="1" w:styleId="Heading2Char">
    <w:name w:val="Heading 2 Char"/>
    <w:basedOn w:val="DefaultParagraphFont"/>
    <w:link w:val="Heading2"/>
    <w:uiPriority w:val="9"/>
    <w:rsid w:val="00DB3248"/>
    <w:rPr>
      <w:rFonts w:ascii="Arial" w:eastAsiaTheme="minorHAnsi" w:hAnsi="Arial"/>
      <w:b/>
      <w:bCs/>
      <w:sz w:val="24"/>
      <w:lang w:val="en-GB"/>
    </w:rPr>
  </w:style>
  <w:style w:type="paragraph" w:customStyle="1" w:styleId="quotation1">
    <w:name w:val="quotation 1"/>
    <w:basedOn w:val="Normal"/>
    <w:link w:val="quotation1Char"/>
    <w:qFormat/>
    <w:rsid w:val="003B4270"/>
    <w:pPr>
      <w:widowControl w:val="0"/>
      <w:tabs>
        <w:tab w:val="left" w:pos="1985"/>
      </w:tabs>
      <w:spacing w:before="0" w:after="320" w:line="360" w:lineRule="auto"/>
      <w:ind w:left="1985" w:hanging="567"/>
    </w:pPr>
    <w:rPr>
      <w:i/>
      <w:iCs/>
      <w:lang w:val="en-GB"/>
    </w:rPr>
  </w:style>
  <w:style w:type="paragraph" w:customStyle="1" w:styleId="FN">
    <w:name w:val="FN"/>
    <w:basedOn w:val="FootnoteText"/>
    <w:link w:val="FNChar"/>
    <w:qFormat/>
    <w:rsid w:val="00ED661D"/>
    <w:pPr>
      <w:tabs>
        <w:tab w:val="left" w:pos="567"/>
      </w:tabs>
    </w:pPr>
  </w:style>
  <w:style w:type="character" w:customStyle="1" w:styleId="quotation1Char">
    <w:name w:val="quotation 1 Char"/>
    <w:basedOn w:val="DefaultParagraphFont"/>
    <w:link w:val="quotation1"/>
    <w:rsid w:val="003B4270"/>
    <w:rPr>
      <w:rFonts w:ascii="Arial" w:eastAsiaTheme="minorHAnsi" w:hAnsi="Arial"/>
      <w:i/>
      <w:iCs/>
      <w:sz w:val="24"/>
      <w:lang w:val="en-GB"/>
    </w:rPr>
  </w:style>
  <w:style w:type="paragraph" w:customStyle="1" w:styleId="1">
    <w:name w:val="1."/>
    <w:basedOn w:val="Normal"/>
    <w:link w:val="1Char"/>
    <w:qFormat/>
    <w:rsid w:val="00903824"/>
    <w:pPr>
      <w:widowControl w:val="0"/>
      <w:numPr>
        <w:numId w:val="23"/>
      </w:numPr>
      <w:spacing w:before="0" w:after="320"/>
      <w:ind w:left="1701" w:hanging="850"/>
    </w:pPr>
    <w:rPr>
      <w:rFonts w:cs="Arial"/>
      <w:lang w:val="en-GB"/>
    </w:rPr>
  </w:style>
  <w:style w:type="character" w:customStyle="1" w:styleId="FNChar">
    <w:name w:val="FN Char"/>
    <w:basedOn w:val="FootnoteTextChar"/>
    <w:link w:val="FN"/>
    <w:rsid w:val="00ED661D"/>
    <w:rPr>
      <w:rFonts w:ascii="Arial" w:eastAsiaTheme="minorHAnsi" w:hAnsi="Arial" w:cs="Times New Roman"/>
      <w:sz w:val="20"/>
      <w:szCs w:val="24"/>
      <w:lang w:eastAsia="en-ZA"/>
    </w:rPr>
  </w:style>
  <w:style w:type="character" w:customStyle="1" w:styleId="1Char">
    <w:name w:val="1. Char"/>
    <w:basedOn w:val="DefaultParagraphFont"/>
    <w:link w:val="1"/>
    <w:rsid w:val="00903824"/>
    <w:rPr>
      <w:rFonts w:ascii="Arial" w:eastAsiaTheme="minorHAnsi" w:hAnsi="Arial" w:cs="Arial"/>
      <w:sz w:val="24"/>
      <w:lang w:val="en-GB"/>
    </w:rPr>
  </w:style>
  <w:style w:type="paragraph" w:customStyle="1" w:styleId="11">
    <w:name w:val="1.1"/>
    <w:basedOn w:val="1"/>
    <w:link w:val="11Char"/>
    <w:qFormat/>
    <w:rsid w:val="00903824"/>
    <w:pPr>
      <w:numPr>
        <w:ilvl w:val="1"/>
      </w:numPr>
      <w:ind w:left="2835" w:hanging="1134"/>
    </w:pPr>
  </w:style>
  <w:style w:type="paragraph" w:customStyle="1" w:styleId="111">
    <w:name w:val="1.1.1"/>
    <w:basedOn w:val="11"/>
    <w:link w:val="111Char"/>
    <w:qFormat/>
    <w:rsid w:val="00903824"/>
    <w:pPr>
      <w:numPr>
        <w:ilvl w:val="2"/>
      </w:numPr>
      <w:ind w:left="3969" w:hanging="1134"/>
    </w:pPr>
  </w:style>
  <w:style w:type="character" w:customStyle="1" w:styleId="11Char">
    <w:name w:val="1.1 Char"/>
    <w:basedOn w:val="1Char"/>
    <w:link w:val="11"/>
    <w:rsid w:val="00903824"/>
    <w:rPr>
      <w:rFonts w:ascii="Arial" w:eastAsiaTheme="minorHAnsi" w:hAnsi="Arial" w:cs="Arial"/>
      <w:sz w:val="24"/>
      <w:lang w:val="en-GB"/>
    </w:rPr>
  </w:style>
  <w:style w:type="character" w:customStyle="1" w:styleId="111Char">
    <w:name w:val="1.1.1 Char"/>
    <w:basedOn w:val="11Char"/>
    <w:link w:val="111"/>
    <w:rsid w:val="00903824"/>
    <w:rPr>
      <w:rFonts w:ascii="Arial" w:eastAsiaTheme="minorHAnsi" w:hAnsi="Arial" w:cs="Arial"/>
      <w:sz w:val="24"/>
      <w:lang w:val="en-GB"/>
    </w:rPr>
  </w:style>
  <w:style w:type="table" w:styleId="TableGrid">
    <w:name w:val="Table Grid"/>
    <w:basedOn w:val="TableNormal"/>
    <w:uiPriority w:val="39"/>
    <w:rsid w:val="002F0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027425"/>
    <w:pPr>
      <w:widowControl w:val="0"/>
      <w:autoSpaceDE w:val="0"/>
      <w:autoSpaceDN w:val="0"/>
      <w:spacing w:before="0" w:line="240" w:lineRule="auto"/>
      <w:jc w:val="left"/>
    </w:pPr>
    <w:rPr>
      <w:rFonts w:eastAsia="Arial" w:cs="Arial"/>
      <w:sz w:val="25"/>
      <w:szCs w:val="25"/>
      <w:lang w:val="en-US"/>
    </w:rPr>
  </w:style>
  <w:style w:type="character" w:customStyle="1" w:styleId="BodyTextChar">
    <w:name w:val="Body Text Char"/>
    <w:basedOn w:val="DefaultParagraphFont"/>
    <w:link w:val="BodyText"/>
    <w:uiPriority w:val="1"/>
    <w:semiHidden/>
    <w:rsid w:val="00027425"/>
    <w:rPr>
      <w:rFonts w:ascii="Arial" w:eastAsia="Arial" w:hAnsi="Arial" w:cs="Arial"/>
      <w:sz w:val="25"/>
      <w:szCs w:val="25"/>
      <w:lang w:val="en-US"/>
    </w:rPr>
  </w:style>
  <w:style w:type="paragraph" w:styleId="Revision">
    <w:name w:val="Revision"/>
    <w:hidden/>
    <w:uiPriority w:val="99"/>
    <w:semiHidden/>
    <w:rsid w:val="00DD6AD9"/>
    <w:pPr>
      <w:spacing w:after="0" w:line="240" w:lineRule="auto"/>
    </w:pPr>
    <w:rPr>
      <w:rFonts w:ascii="Arial" w:eastAsiaTheme="minorHAnsi" w:hAnsi="Arial"/>
      <w:sz w:val="24"/>
    </w:rPr>
  </w:style>
  <w:style w:type="character" w:styleId="CommentReference">
    <w:name w:val="annotation reference"/>
    <w:basedOn w:val="DefaultParagraphFont"/>
    <w:uiPriority w:val="99"/>
    <w:semiHidden/>
    <w:unhideWhenUsed/>
    <w:rsid w:val="003065B1"/>
    <w:rPr>
      <w:sz w:val="16"/>
      <w:szCs w:val="16"/>
    </w:rPr>
  </w:style>
  <w:style w:type="paragraph" w:styleId="CommentText">
    <w:name w:val="annotation text"/>
    <w:basedOn w:val="Normal"/>
    <w:link w:val="CommentTextChar"/>
    <w:uiPriority w:val="99"/>
    <w:semiHidden/>
    <w:unhideWhenUsed/>
    <w:rsid w:val="003065B1"/>
    <w:pPr>
      <w:spacing w:line="240" w:lineRule="auto"/>
    </w:pPr>
    <w:rPr>
      <w:sz w:val="20"/>
      <w:szCs w:val="20"/>
    </w:rPr>
  </w:style>
  <w:style w:type="character" w:customStyle="1" w:styleId="CommentTextChar">
    <w:name w:val="Comment Text Char"/>
    <w:basedOn w:val="DefaultParagraphFont"/>
    <w:link w:val="CommentText"/>
    <w:uiPriority w:val="99"/>
    <w:semiHidden/>
    <w:rsid w:val="003065B1"/>
    <w:rPr>
      <w:rFonts w:ascii="Arial" w:eastAsiaTheme="minorHAnsi" w:hAnsi="Arial"/>
      <w:sz w:val="20"/>
      <w:szCs w:val="20"/>
    </w:rPr>
  </w:style>
  <w:style w:type="paragraph" w:styleId="CommentSubject">
    <w:name w:val="annotation subject"/>
    <w:basedOn w:val="CommentText"/>
    <w:next w:val="CommentText"/>
    <w:link w:val="CommentSubjectChar"/>
    <w:uiPriority w:val="99"/>
    <w:semiHidden/>
    <w:unhideWhenUsed/>
    <w:rsid w:val="003065B1"/>
    <w:rPr>
      <w:b/>
      <w:bCs/>
    </w:rPr>
  </w:style>
  <w:style w:type="character" w:customStyle="1" w:styleId="CommentSubjectChar">
    <w:name w:val="Comment Subject Char"/>
    <w:basedOn w:val="CommentTextChar"/>
    <w:link w:val="CommentSubject"/>
    <w:uiPriority w:val="99"/>
    <w:semiHidden/>
    <w:rsid w:val="003065B1"/>
    <w:rPr>
      <w:rFonts w:ascii="Arial" w:eastAsiaTheme="minorHAnsi"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6590">
      <w:bodyDiv w:val="1"/>
      <w:marLeft w:val="0"/>
      <w:marRight w:val="0"/>
      <w:marTop w:val="0"/>
      <w:marBottom w:val="0"/>
      <w:divBdr>
        <w:top w:val="none" w:sz="0" w:space="0" w:color="auto"/>
        <w:left w:val="none" w:sz="0" w:space="0" w:color="auto"/>
        <w:bottom w:val="none" w:sz="0" w:space="0" w:color="auto"/>
        <w:right w:val="none" w:sz="0" w:space="0" w:color="auto"/>
      </w:divBdr>
      <w:divsChild>
        <w:div w:id="348876947">
          <w:marLeft w:val="0"/>
          <w:marRight w:val="0"/>
          <w:marTop w:val="120"/>
          <w:marBottom w:val="0"/>
          <w:divBdr>
            <w:top w:val="none" w:sz="0" w:space="0" w:color="auto"/>
            <w:left w:val="none" w:sz="0" w:space="0" w:color="auto"/>
            <w:bottom w:val="none" w:sz="0" w:space="0" w:color="auto"/>
            <w:right w:val="none" w:sz="0" w:space="0" w:color="auto"/>
          </w:divBdr>
        </w:div>
        <w:div w:id="1543518763">
          <w:marLeft w:val="1134"/>
          <w:marRight w:val="0"/>
          <w:marTop w:val="60"/>
          <w:marBottom w:val="0"/>
          <w:divBdr>
            <w:top w:val="none" w:sz="0" w:space="0" w:color="auto"/>
            <w:left w:val="none" w:sz="0" w:space="0" w:color="auto"/>
            <w:bottom w:val="none" w:sz="0" w:space="0" w:color="auto"/>
            <w:right w:val="none" w:sz="0" w:space="0" w:color="auto"/>
          </w:divBdr>
        </w:div>
      </w:divsChild>
    </w:div>
    <w:div w:id="530803330">
      <w:bodyDiv w:val="1"/>
      <w:marLeft w:val="0"/>
      <w:marRight w:val="0"/>
      <w:marTop w:val="0"/>
      <w:marBottom w:val="0"/>
      <w:divBdr>
        <w:top w:val="none" w:sz="0" w:space="0" w:color="auto"/>
        <w:left w:val="none" w:sz="0" w:space="0" w:color="auto"/>
        <w:bottom w:val="none" w:sz="0" w:space="0" w:color="auto"/>
        <w:right w:val="none" w:sz="0" w:space="0" w:color="auto"/>
      </w:divBdr>
    </w:div>
    <w:div w:id="1084184041">
      <w:bodyDiv w:val="1"/>
      <w:marLeft w:val="0"/>
      <w:marRight w:val="0"/>
      <w:marTop w:val="0"/>
      <w:marBottom w:val="0"/>
      <w:divBdr>
        <w:top w:val="none" w:sz="0" w:space="0" w:color="auto"/>
        <w:left w:val="none" w:sz="0" w:space="0" w:color="auto"/>
        <w:bottom w:val="none" w:sz="0" w:space="0" w:color="auto"/>
        <w:right w:val="none" w:sz="0" w:space="0" w:color="auto"/>
      </w:divBdr>
    </w:div>
    <w:div w:id="1299339885">
      <w:bodyDiv w:val="1"/>
      <w:marLeft w:val="0"/>
      <w:marRight w:val="0"/>
      <w:marTop w:val="0"/>
      <w:marBottom w:val="0"/>
      <w:divBdr>
        <w:top w:val="none" w:sz="0" w:space="0" w:color="auto"/>
        <w:left w:val="none" w:sz="0" w:space="0" w:color="auto"/>
        <w:bottom w:val="none" w:sz="0" w:space="0" w:color="auto"/>
        <w:right w:val="none" w:sz="0" w:space="0" w:color="auto"/>
      </w:divBdr>
    </w:div>
    <w:div w:id="1405569600">
      <w:bodyDiv w:val="1"/>
      <w:marLeft w:val="0"/>
      <w:marRight w:val="0"/>
      <w:marTop w:val="0"/>
      <w:marBottom w:val="0"/>
      <w:divBdr>
        <w:top w:val="none" w:sz="0" w:space="0" w:color="auto"/>
        <w:left w:val="none" w:sz="0" w:space="0" w:color="auto"/>
        <w:bottom w:val="none" w:sz="0" w:space="0" w:color="auto"/>
        <w:right w:val="none" w:sz="0" w:space="0" w:color="auto"/>
      </w:divBdr>
    </w:div>
    <w:div w:id="1423994763">
      <w:bodyDiv w:val="1"/>
      <w:marLeft w:val="0"/>
      <w:marRight w:val="0"/>
      <w:marTop w:val="0"/>
      <w:marBottom w:val="0"/>
      <w:divBdr>
        <w:top w:val="none" w:sz="0" w:space="0" w:color="auto"/>
        <w:left w:val="none" w:sz="0" w:space="0" w:color="auto"/>
        <w:bottom w:val="none" w:sz="0" w:space="0" w:color="auto"/>
        <w:right w:val="none" w:sz="0" w:space="0" w:color="auto"/>
      </w:divBdr>
      <w:divsChild>
        <w:div w:id="1175848814">
          <w:marLeft w:val="0"/>
          <w:marRight w:val="0"/>
          <w:marTop w:val="120"/>
          <w:marBottom w:val="0"/>
          <w:divBdr>
            <w:top w:val="none" w:sz="0" w:space="0" w:color="auto"/>
            <w:left w:val="none" w:sz="0" w:space="0" w:color="auto"/>
            <w:bottom w:val="none" w:sz="0" w:space="0" w:color="auto"/>
            <w:right w:val="none" w:sz="0" w:space="0" w:color="auto"/>
          </w:divBdr>
        </w:div>
        <w:div w:id="192305109">
          <w:marLeft w:val="1134"/>
          <w:marRight w:val="0"/>
          <w:marTop w:val="60"/>
          <w:marBottom w:val="0"/>
          <w:divBdr>
            <w:top w:val="none" w:sz="0" w:space="0" w:color="auto"/>
            <w:left w:val="none" w:sz="0" w:space="0" w:color="auto"/>
            <w:bottom w:val="none" w:sz="0" w:space="0" w:color="auto"/>
            <w:right w:val="none" w:sz="0" w:space="0" w:color="auto"/>
          </w:divBdr>
        </w:div>
        <w:div w:id="955212729">
          <w:marLeft w:val="1134"/>
          <w:marRight w:val="0"/>
          <w:marTop w:val="60"/>
          <w:marBottom w:val="0"/>
          <w:divBdr>
            <w:top w:val="none" w:sz="0" w:space="0" w:color="auto"/>
            <w:left w:val="none" w:sz="0" w:space="0" w:color="auto"/>
            <w:bottom w:val="none" w:sz="0" w:space="0" w:color="auto"/>
            <w:right w:val="none" w:sz="0" w:space="0" w:color="auto"/>
          </w:divBdr>
        </w:div>
        <w:div w:id="133734503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dc:creator>
  <cp:keywords/>
  <dc:description/>
  <cp:lastModifiedBy>Mariana Anguelov</cp:lastModifiedBy>
  <cp:revision>3</cp:revision>
  <cp:lastPrinted>2022-11-11T09:42:00Z</cp:lastPrinted>
  <dcterms:created xsi:type="dcterms:W3CDTF">2022-11-16T13:01:00Z</dcterms:created>
  <dcterms:modified xsi:type="dcterms:W3CDTF">2022-11-16T19:17:00Z</dcterms:modified>
</cp:coreProperties>
</file>