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1EEE8" w14:textId="77777777" w:rsidR="008906F4" w:rsidRPr="008906F4" w:rsidRDefault="008906F4" w:rsidP="009D710B">
      <w:pPr>
        <w:spacing w:after="0" w:line="240" w:lineRule="auto"/>
        <w:jc w:val="center"/>
        <w:rPr>
          <w:b/>
          <w:sz w:val="26"/>
          <w:szCs w:val="26"/>
        </w:rPr>
      </w:pPr>
      <w:bookmarkStart w:id="0" w:name="_GoBack"/>
      <w:bookmarkEnd w:id="0"/>
      <w:r w:rsidRPr="008906F4">
        <w:rPr>
          <w:b/>
          <w:sz w:val="26"/>
          <w:szCs w:val="26"/>
        </w:rPr>
        <w:t>REPUBLIC OF SOUTH AFRICA</w:t>
      </w:r>
    </w:p>
    <w:p w14:paraId="452CDF04" w14:textId="77777777" w:rsidR="008906F4" w:rsidRDefault="008906F4" w:rsidP="009D710B">
      <w:pPr>
        <w:spacing w:after="0" w:line="240" w:lineRule="auto"/>
        <w:jc w:val="center"/>
        <w:rPr>
          <w:b/>
          <w:sz w:val="26"/>
          <w:szCs w:val="26"/>
        </w:rPr>
      </w:pPr>
    </w:p>
    <w:p w14:paraId="205715CA" w14:textId="5C070E20" w:rsidR="00BD6237" w:rsidRDefault="00BD6237" w:rsidP="00AF090B">
      <w:pPr>
        <w:spacing w:after="0" w:line="240" w:lineRule="auto"/>
        <w:jc w:val="center"/>
        <w:rPr>
          <w:b/>
          <w:sz w:val="26"/>
          <w:szCs w:val="26"/>
        </w:rPr>
      </w:pPr>
      <w:r>
        <w:rPr>
          <w:noProof/>
          <w:lang w:eastAsia="en-ZA"/>
        </w:rPr>
        <w:drawing>
          <wp:inline distT="0" distB="0" distL="0" distR="0" wp14:anchorId="0E109D9D" wp14:editId="2E7B51D3">
            <wp:extent cx="1352550" cy="1019175"/>
            <wp:effectExtent l="0" t="0" r="0" b="9525"/>
            <wp:docPr id="2" name="Picture 2"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76AF.8E67B5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p>
    <w:p w14:paraId="15B5C548" w14:textId="77777777" w:rsidR="008906F4" w:rsidRDefault="008906F4" w:rsidP="00AF090B">
      <w:pPr>
        <w:spacing w:after="0" w:line="240" w:lineRule="auto"/>
        <w:jc w:val="center"/>
        <w:rPr>
          <w:b/>
          <w:sz w:val="26"/>
          <w:szCs w:val="26"/>
        </w:rPr>
      </w:pPr>
    </w:p>
    <w:p w14:paraId="513BAFD3" w14:textId="4DD5DB9E" w:rsidR="00C813AC" w:rsidRDefault="00AF090B" w:rsidP="00AF090B">
      <w:pPr>
        <w:spacing w:after="0" w:line="240" w:lineRule="auto"/>
        <w:jc w:val="center"/>
        <w:rPr>
          <w:b/>
          <w:sz w:val="26"/>
          <w:szCs w:val="26"/>
        </w:rPr>
      </w:pPr>
      <w:r>
        <w:rPr>
          <w:b/>
          <w:sz w:val="26"/>
          <w:szCs w:val="26"/>
        </w:rPr>
        <w:t>IN THE HIGH COURT OF SOUTH AFRICA</w:t>
      </w:r>
    </w:p>
    <w:p w14:paraId="0247D657" w14:textId="2D9FD0FC" w:rsidR="00AF090B" w:rsidRDefault="00AF090B" w:rsidP="00637DE0">
      <w:pPr>
        <w:spacing w:line="240" w:lineRule="auto"/>
        <w:jc w:val="center"/>
        <w:rPr>
          <w:sz w:val="26"/>
          <w:szCs w:val="26"/>
        </w:rPr>
      </w:pPr>
      <w:r>
        <w:rPr>
          <w:b/>
          <w:sz w:val="26"/>
          <w:szCs w:val="26"/>
        </w:rPr>
        <w:t>GAUTENG LOCAL DIVISION, JOHANNESBURG</w:t>
      </w:r>
    </w:p>
    <w:p w14:paraId="1FACA01E" w14:textId="77777777" w:rsidR="00AB5725" w:rsidRDefault="00AB5725" w:rsidP="006E1088">
      <w:pPr>
        <w:spacing w:after="0" w:line="240" w:lineRule="auto"/>
        <w:jc w:val="right"/>
        <w:rPr>
          <w:b/>
          <w:sz w:val="26"/>
          <w:szCs w:val="26"/>
        </w:rPr>
      </w:pPr>
    </w:p>
    <w:p w14:paraId="25F5F92F" w14:textId="0F1A4C90" w:rsidR="006E1088" w:rsidRDefault="000F7E69" w:rsidP="00AB5725">
      <w:pPr>
        <w:spacing w:after="0" w:line="360" w:lineRule="auto"/>
        <w:jc w:val="right"/>
        <w:rPr>
          <w:b/>
          <w:sz w:val="26"/>
          <w:szCs w:val="26"/>
        </w:rPr>
      </w:pPr>
      <w:r>
        <w:rPr>
          <w:b/>
          <w:sz w:val="26"/>
          <w:szCs w:val="26"/>
        </w:rPr>
        <w:t>C</w:t>
      </w:r>
      <w:r w:rsidR="006E1088" w:rsidRPr="006E1088">
        <w:rPr>
          <w:b/>
          <w:sz w:val="26"/>
          <w:szCs w:val="26"/>
        </w:rPr>
        <w:t xml:space="preserve">ASE NO:  </w:t>
      </w:r>
      <w:r w:rsidR="007A4FE8">
        <w:rPr>
          <w:b/>
          <w:sz w:val="26"/>
          <w:szCs w:val="26"/>
        </w:rPr>
        <w:t>5539/2019</w:t>
      </w:r>
    </w:p>
    <w:p w14:paraId="7EF7D732" w14:textId="0507A3C9" w:rsidR="009D5D88" w:rsidRDefault="009D5D88" w:rsidP="009D5D88">
      <w:pPr>
        <w:spacing w:after="0" w:line="360" w:lineRule="auto"/>
        <w:jc w:val="left"/>
        <w:rPr>
          <w:b/>
          <w:sz w:val="26"/>
          <w:szCs w:val="26"/>
        </w:rPr>
      </w:pPr>
    </w:p>
    <w:p w14:paraId="11230AFF" w14:textId="08699C3A" w:rsidR="009D5D88" w:rsidRPr="006E1088" w:rsidRDefault="009D5D88" w:rsidP="009D5D88">
      <w:pPr>
        <w:spacing w:after="0" w:line="360" w:lineRule="auto"/>
        <w:jc w:val="left"/>
        <w:rPr>
          <w:b/>
          <w:sz w:val="26"/>
          <w:szCs w:val="26"/>
        </w:rPr>
      </w:pPr>
      <w:r>
        <w:rPr>
          <w:b/>
          <w:noProof/>
          <w:sz w:val="26"/>
          <w:szCs w:val="26"/>
          <w:lang w:eastAsia="en-ZA"/>
        </w:rPr>
        <w:drawing>
          <wp:inline distT="0" distB="0" distL="0" distR="0" wp14:anchorId="569B0A67" wp14:editId="3FAA9F13">
            <wp:extent cx="3200400" cy="1389891"/>
            <wp:effectExtent l="0" t="0" r="0"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9335" cy="1441543"/>
                    </a:xfrm>
                    <a:prstGeom prst="rect">
                      <a:avLst/>
                    </a:prstGeom>
                    <a:noFill/>
                  </pic:spPr>
                </pic:pic>
              </a:graphicData>
            </a:graphic>
          </wp:inline>
        </w:drawing>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283"/>
        <w:gridCol w:w="2693"/>
      </w:tblGrid>
      <w:tr w:rsidR="003800C4" w14:paraId="39714E44" w14:textId="77777777" w:rsidTr="009D5D88">
        <w:trPr>
          <w:trHeight w:val="75"/>
        </w:trPr>
        <w:tc>
          <w:tcPr>
            <w:tcW w:w="6384" w:type="dxa"/>
            <w:gridSpan w:val="2"/>
          </w:tcPr>
          <w:p w14:paraId="4087A5F4" w14:textId="77777777" w:rsidR="003800C4" w:rsidRDefault="003800C4" w:rsidP="00AB5725">
            <w:pPr>
              <w:spacing w:line="360" w:lineRule="auto"/>
              <w:rPr>
                <w:sz w:val="26"/>
                <w:szCs w:val="26"/>
              </w:rPr>
            </w:pPr>
          </w:p>
        </w:tc>
        <w:tc>
          <w:tcPr>
            <w:tcW w:w="2693" w:type="dxa"/>
          </w:tcPr>
          <w:p w14:paraId="2EF64993" w14:textId="0DF51B05" w:rsidR="00122A1A" w:rsidRPr="00AB5725" w:rsidRDefault="00122A1A" w:rsidP="00AB5725">
            <w:pPr>
              <w:spacing w:line="360" w:lineRule="auto"/>
              <w:jc w:val="right"/>
              <w:rPr>
                <w:b/>
                <w:bCs/>
                <w:sz w:val="26"/>
                <w:szCs w:val="26"/>
              </w:rPr>
            </w:pPr>
          </w:p>
        </w:tc>
      </w:tr>
      <w:tr w:rsidR="003800C4" w14:paraId="173E32E0" w14:textId="77777777" w:rsidTr="009D5D88">
        <w:trPr>
          <w:trHeight w:val="562"/>
        </w:trPr>
        <w:tc>
          <w:tcPr>
            <w:tcW w:w="6384" w:type="dxa"/>
            <w:gridSpan w:val="2"/>
          </w:tcPr>
          <w:p w14:paraId="13BE833D" w14:textId="26BE2F62" w:rsidR="003800C4" w:rsidRDefault="00453A82" w:rsidP="006E1088">
            <w:pPr>
              <w:spacing w:line="480" w:lineRule="auto"/>
              <w:rPr>
                <w:sz w:val="26"/>
                <w:szCs w:val="26"/>
              </w:rPr>
            </w:pPr>
            <w:r>
              <w:rPr>
                <w:sz w:val="26"/>
                <w:szCs w:val="26"/>
              </w:rPr>
              <w:t>In the matter of:</w:t>
            </w:r>
          </w:p>
        </w:tc>
        <w:tc>
          <w:tcPr>
            <w:tcW w:w="2693" w:type="dxa"/>
          </w:tcPr>
          <w:p w14:paraId="56596970" w14:textId="77777777" w:rsidR="003800C4" w:rsidRDefault="003800C4" w:rsidP="003943A1">
            <w:pPr>
              <w:jc w:val="right"/>
              <w:rPr>
                <w:sz w:val="26"/>
                <w:szCs w:val="26"/>
              </w:rPr>
            </w:pPr>
          </w:p>
          <w:p w14:paraId="04246FA1" w14:textId="77777777" w:rsidR="00122A1A" w:rsidRDefault="00122A1A" w:rsidP="003943A1">
            <w:pPr>
              <w:jc w:val="right"/>
              <w:rPr>
                <w:sz w:val="26"/>
                <w:szCs w:val="26"/>
              </w:rPr>
            </w:pPr>
          </w:p>
          <w:p w14:paraId="0EBD8258" w14:textId="21C5E450" w:rsidR="00122A1A" w:rsidRDefault="00122A1A" w:rsidP="00122A1A">
            <w:pPr>
              <w:rPr>
                <w:sz w:val="26"/>
                <w:szCs w:val="26"/>
              </w:rPr>
            </w:pPr>
          </w:p>
        </w:tc>
      </w:tr>
      <w:tr w:rsidR="00774574" w14:paraId="173A52C6" w14:textId="77777777" w:rsidTr="00AB5725">
        <w:trPr>
          <w:trHeight w:val="439"/>
        </w:trPr>
        <w:tc>
          <w:tcPr>
            <w:tcW w:w="6384" w:type="dxa"/>
            <w:gridSpan w:val="2"/>
          </w:tcPr>
          <w:p w14:paraId="4F58773C" w14:textId="48FA1DFB" w:rsidR="00774574" w:rsidRDefault="007A4FE8" w:rsidP="00442CDC">
            <w:pPr>
              <w:jc w:val="left"/>
              <w:rPr>
                <w:b/>
                <w:sz w:val="26"/>
                <w:szCs w:val="26"/>
              </w:rPr>
            </w:pPr>
            <w:r>
              <w:rPr>
                <w:b/>
                <w:sz w:val="26"/>
                <w:szCs w:val="26"/>
              </w:rPr>
              <w:t>LABUSCHAGNE, SHARON DOROTHY</w:t>
            </w:r>
          </w:p>
        </w:tc>
        <w:tc>
          <w:tcPr>
            <w:tcW w:w="2693" w:type="dxa"/>
          </w:tcPr>
          <w:p w14:paraId="0FE31F74" w14:textId="66B29B37" w:rsidR="00774574" w:rsidRDefault="00774574" w:rsidP="00774574">
            <w:pPr>
              <w:jc w:val="right"/>
              <w:rPr>
                <w:sz w:val="26"/>
                <w:szCs w:val="26"/>
              </w:rPr>
            </w:pPr>
            <w:r>
              <w:rPr>
                <w:sz w:val="26"/>
                <w:szCs w:val="26"/>
              </w:rPr>
              <w:t xml:space="preserve">First </w:t>
            </w:r>
            <w:r w:rsidR="007A4FE8">
              <w:rPr>
                <w:sz w:val="26"/>
                <w:szCs w:val="26"/>
              </w:rPr>
              <w:t>Applicant</w:t>
            </w:r>
            <w:r w:rsidR="00D90AE2">
              <w:rPr>
                <w:sz w:val="26"/>
                <w:szCs w:val="26"/>
              </w:rPr>
              <w:t xml:space="preserve"> </w:t>
            </w:r>
            <w:r>
              <w:rPr>
                <w:sz w:val="26"/>
                <w:szCs w:val="26"/>
              </w:rPr>
              <w:t xml:space="preserve"> </w:t>
            </w:r>
          </w:p>
        </w:tc>
      </w:tr>
      <w:tr w:rsidR="00774574" w14:paraId="17FF8883" w14:textId="77777777" w:rsidTr="00AB5725">
        <w:trPr>
          <w:trHeight w:val="709"/>
        </w:trPr>
        <w:tc>
          <w:tcPr>
            <w:tcW w:w="6384" w:type="dxa"/>
            <w:gridSpan w:val="2"/>
          </w:tcPr>
          <w:p w14:paraId="224B8710" w14:textId="237A9CDD" w:rsidR="00774574" w:rsidRDefault="007A4FE8" w:rsidP="00442CDC">
            <w:pPr>
              <w:jc w:val="left"/>
              <w:rPr>
                <w:b/>
                <w:sz w:val="26"/>
                <w:szCs w:val="26"/>
              </w:rPr>
            </w:pPr>
            <w:r>
              <w:rPr>
                <w:b/>
                <w:sz w:val="26"/>
                <w:szCs w:val="26"/>
              </w:rPr>
              <w:t>LABUSCHAGNE, HENDRIK TJAART JACOBUS</w:t>
            </w:r>
          </w:p>
        </w:tc>
        <w:tc>
          <w:tcPr>
            <w:tcW w:w="2693" w:type="dxa"/>
          </w:tcPr>
          <w:p w14:paraId="46892FE7" w14:textId="766C0D90" w:rsidR="00774574" w:rsidRDefault="00774574" w:rsidP="00774574">
            <w:pPr>
              <w:jc w:val="right"/>
              <w:rPr>
                <w:sz w:val="26"/>
                <w:szCs w:val="26"/>
              </w:rPr>
            </w:pPr>
            <w:r>
              <w:rPr>
                <w:sz w:val="26"/>
                <w:szCs w:val="26"/>
              </w:rPr>
              <w:t xml:space="preserve">Second </w:t>
            </w:r>
            <w:r w:rsidR="007A4FE8">
              <w:rPr>
                <w:sz w:val="26"/>
                <w:szCs w:val="26"/>
              </w:rPr>
              <w:t>Applicant</w:t>
            </w:r>
            <w:r w:rsidR="00021E58">
              <w:rPr>
                <w:sz w:val="26"/>
                <w:szCs w:val="26"/>
              </w:rPr>
              <w:t xml:space="preserve"> </w:t>
            </w:r>
          </w:p>
        </w:tc>
      </w:tr>
      <w:tr w:rsidR="00774574" w14:paraId="159F5576" w14:textId="77777777" w:rsidTr="00AB5725">
        <w:trPr>
          <w:trHeight w:val="712"/>
        </w:trPr>
        <w:tc>
          <w:tcPr>
            <w:tcW w:w="6384" w:type="dxa"/>
            <w:gridSpan w:val="2"/>
          </w:tcPr>
          <w:p w14:paraId="0A9BA4D0" w14:textId="1CA97AD7" w:rsidR="00774574" w:rsidRPr="00D03C5E" w:rsidRDefault="00774574" w:rsidP="00442CDC">
            <w:pPr>
              <w:jc w:val="left"/>
              <w:rPr>
                <w:sz w:val="26"/>
                <w:szCs w:val="26"/>
              </w:rPr>
            </w:pPr>
            <w:r>
              <w:rPr>
                <w:sz w:val="26"/>
                <w:szCs w:val="26"/>
              </w:rPr>
              <w:t>and</w:t>
            </w:r>
          </w:p>
        </w:tc>
        <w:tc>
          <w:tcPr>
            <w:tcW w:w="2693" w:type="dxa"/>
          </w:tcPr>
          <w:p w14:paraId="100E74B1" w14:textId="77777777" w:rsidR="00774574" w:rsidRDefault="00774574" w:rsidP="00774574">
            <w:pPr>
              <w:jc w:val="right"/>
              <w:rPr>
                <w:sz w:val="26"/>
                <w:szCs w:val="26"/>
              </w:rPr>
            </w:pPr>
          </w:p>
        </w:tc>
      </w:tr>
      <w:tr w:rsidR="00DC51FF" w14:paraId="2DCA910A" w14:textId="77777777" w:rsidTr="00AB5725">
        <w:trPr>
          <w:trHeight w:val="541"/>
        </w:trPr>
        <w:tc>
          <w:tcPr>
            <w:tcW w:w="6101" w:type="dxa"/>
          </w:tcPr>
          <w:p w14:paraId="622681E3" w14:textId="50ED5F78" w:rsidR="00DC51FF" w:rsidRPr="00DC51FF" w:rsidRDefault="007A4FE8" w:rsidP="00442CDC">
            <w:pPr>
              <w:jc w:val="left"/>
              <w:rPr>
                <w:b/>
                <w:sz w:val="26"/>
                <w:szCs w:val="26"/>
              </w:rPr>
            </w:pPr>
            <w:r>
              <w:rPr>
                <w:b/>
                <w:sz w:val="26"/>
                <w:szCs w:val="26"/>
              </w:rPr>
              <w:t>GLOBAL AIR BRAKES CC</w:t>
            </w:r>
          </w:p>
        </w:tc>
        <w:tc>
          <w:tcPr>
            <w:tcW w:w="2976" w:type="dxa"/>
            <w:gridSpan w:val="2"/>
          </w:tcPr>
          <w:p w14:paraId="7A51C39E" w14:textId="11017ED3" w:rsidR="00DC51FF" w:rsidRDefault="00DC51FF" w:rsidP="00DC51FF">
            <w:pPr>
              <w:jc w:val="right"/>
              <w:rPr>
                <w:sz w:val="26"/>
                <w:szCs w:val="26"/>
              </w:rPr>
            </w:pPr>
            <w:r>
              <w:rPr>
                <w:sz w:val="26"/>
                <w:szCs w:val="26"/>
              </w:rPr>
              <w:t xml:space="preserve">First </w:t>
            </w:r>
            <w:r w:rsidR="007A4FE8">
              <w:rPr>
                <w:sz w:val="26"/>
                <w:szCs w:val="26"/>
              </w:rPr>
              <w:t>Respondent</w:t>
            </w:r>
          </w:p>
        </w:tc>
      </w:tr>
      <w:tr w:rsidR="00DC51FF" w14:paraId="16B215E7" w14:textId="77777777" w:rsidTr="00AB5725">
        <w:trPr>
          <w:trHeight w:val="600"/>
        </w:trPr>
        <w:tc>
          <w:tcPr>
            <w:tcW w:w="6101" w:type="dxa"/>
          </w:tcPr>
          <w:p w14:paraId="04D2CFC4" w14:textId="12AD0030" w:rsidR="00DC51FF" w:rsidRDefault="007A4FE8" w:rsidP="00442CDC">
            <w:pPr>
              <w:jc w:val="left"/>
              <w:rPr>
                <w:b/>
                <w:sz w:val="26"/>
                <w:szCs w:val="26"/>
              </w:rPr>
            </w:pPr>
            <w:r>
              <w:rPr>
                <w:b/>
                <w:sz w:val="26"/>
                <w:szCs w:val="26"/>
              </w:rPr>
              <w:t>THE CITY OF EKURHULENI METROPOLITAN MUNICIPALITY</w:t>
            </w:r>
            <w:r w:rsidR="00021E58">
              <w:rPr>
                <w:b/>
                <w:sz w:val="26"/>
                <w:szCs w:val="26"/>
              </w:rPr>
              <w:t xml:space="preserve"> </w:t>
            </w:r>
          </w:p>
        </w:tc>
        <w:tc>
          <w:tcPr>
            <w:tcW w:w="2976" w:type="dxa"/>
            <w:gridSpan w:val="2"/>
          </w:tcPr>
          <w:p w14:paraId="26794E00" w14:textId="7D62E625" w:rsidR="00DC51FF" w:rsidRDefault="00DC51FF" w:rsidP="00DC51FF">
            <w:pPr>
              <w:jc w:val="right"/>
              <w:rPr>
                <w:sz w:val="26"/>
                <w:szCs w:val="26"/>
              </w:rPr>
            </w:pPr>
            <w:r>
              <w:rPr>
                <w:sz w:val="26"/>
                <w:szCs w:val="26"/>
              </w:rPr>
              <w:t xml:space="preserve">Second </w:t>
            </w:r>
            <w:r w:rsidR="007A4FE8">
              <w:rPr>
                <w:sz w:val="26"/>
                <w:szCs w:val="26"/>
              </w:rPr>
              <w:t>Respondent</w:t>
            </w:r>
          </w:p>
        </w:tc>
      </w:tr>
    </w:tbl>
    <w:p w14:paraId="22822D57" w14:textId="47F09924" w:rsidR="002979D9" w:rsidRDefault="002979D9" w:rsidP="002979D9">
      <w:pPr>
        <w:spacing w:after="0" w:line="240"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9E6AC8" w14:paraId="7577BA69" w14:textId="77777777" w:rsidTr="004C5927">
        <w:tc>
          <w:tcPr>
            <w:tcW w:w="2830" w:type="dxa"/>
          </w:tcPr>
          <w:p w14:paraId="6DE29AB8" w14:textId="1BC19B5A" w:rsidR="009E6AC8" w:rsidRPr="004C4C29" w:rsidRDefault="009E6AC8" w:rsidP="004C5927">
            <w:pPr>
              <w:spacing w:line="360" w:lineRule="auto"/>
              <w:rPr>
                <w:b/>
                <w:bCs/>
                <w:sz w:val="26"/>
                <w:szCs w:val="26"/>
              </w:rPr>
            </w:pPr>
          </w:p>
        </w:tc>
        <w:tc>
          <w:tcPr>
            <w:tcW w:w="6186" w:type="dxa"/>
          </w:tcPr>
          <w:p w14:paraId="29567949" w14:textId="57CE2DD8" w:rsidR="009E6AC8" w:rsidRPr="00081E35" w:rsidRDefault="009E6AC8" w:rsidP="004C5927">
            <w:pPr>
              <w:spacing w:line="360" w:lineRule="auto"/>
              <w:rPr>
                <w:sz w:val="26"/>
                <w:szCs w:val="26"/>
              </w:rPr>
            </w:pPr>
          </w:p>
        </w:tc>
      </w:tr>
    </w:tbl>
    <w:p w14:paraId="229A1A16" w14:textId="77777777" w:rsidR="00877526" w:rsidRDefault="00877526" w:rsidP="00877526">
      <w:pPr>
        <w:pBdr>
          <w:top w:val="single" w:sz="12" w:space="0" w:color="auto"/>
          <w:bottom w:val="single" w:sz="12" w:space="1" w:color="auto"/>
        </w:pBdr>
        <w:spacing w:after="0" w:line="240" w:lineRule="auto"/>
        <w:jc w:val="center"/>
        <w:rPr>
          <w:b/>
          <w:bCs/>
          <w:sz w:val="26"/>
          <w:szCs w:val="26"/>
        </w:rPr>
      </w:pPr>
    </w:p>
    <w:p w14:paraId="0CE76FE6" w14:textId="77777777" w:rsidR="00877526" w:rsidRDefault="00877526" w:rsidP="00877526">
      <w:pPr>
        <w:pBdr>
          <w:top w:val="single" w:sz="12" w:space="0" w:color="auto"/>
          <w:bottom w:val="single" w:sz="12" w:space="1" w:color="auto"/>
        </w:pBdr>
        <w:spacing w:after="0" w:line="240" w:lineRule="auto"/>
        <w:jc w:val="center"/>
        <w:rPr>
          <w:b/>
          <w:bCs/>
          <w:sz w:val="26"/>
          <w:szCs w:val="26"/>
        </w:rPr>
      </w:pPr>
      <w:r>
        <w:rPr>
          <w:b/>
          <w:bCs/>
          <w:sz w:val="26"/>
          <w:szCs w:val="26"/>
        </w:rPr>
        <w:t>JUDGMENT</w:t>
      </w:r>
    </w:p>
    <w:p w14:paraId="25BC7CFC" w14:textId="77777777" w:rsidR="00877526" w:rsidRDefault="00877526" w:rsidP="00877526">
      <w:pPr>
        <w:pBdr>
          <w:top w:val="single" w:sz="12" w:space="0" w:color="auto"/>
          <w:bottom w:val="single" w:sz="12" w:space="1" w:color="auto"/>
        </w:pBdr>
        <w:spacing w:after="0" w:line="240" w:lineRule="auto"/>
        <w:jc w:val="center"/>
        <w:rPr>
          <w:sz w:val="26"/>
          <w:szCs w:val="26"/>
        </w:rPr>
      </w:pPr>
    </w:p>
    <w:p w14:paraId="6C14BAB1" w14:textId="77777777" w:rsidR="00BC4B4E" w:rsidRDefault="00BC4B4E" w:rsidP="009E6AC8">
      <w:pPr>
        <w:rPr>
          <w:b/>
          <w:bCs/>
          <w:sz w:val="26"/>
          <w:szCs w:val="26"/>
        </w:rPr>
      </w:pPr>
    </w:p>
    <w:p w14:paraId="6A0CCE1A" w14:textId="37E5C49C" w:rsidR="009E6AC8" w:rsidRPr="002D099B" w:rsidRDefault="002D099B" w:rsidP="009E6AC8">
      <w:pPr>
        <w:rPr>
          <w:sz w:val="26"/>
          <w:szCs w:val="26"/>
          <w:u w:val="single"/>
        </w:rPr>
      </w:pPr>
      <w:r w:rsidRPr="002D099B">
        <w:rPr>
          <w:sz w:val="26"/>
          <w:szCs w:val="26"/>
          <w:u w:val="single"/>
        </w:rPr>
        <w:lastRenderedPageBreak/>
        <w:t>BESTER AJ</w:t>
      </w:r>
    </w:p>
    <w:p w14:paraId="37AAD462" w14:textId="003F4A61" w:rsidR="001660A8" w:rsidRDefault="00442CDC" w:rsidP="008F1877">
      <w:pPr>
        <w:pStyle w:val="ListParagraph"/>
        <w:numPr>
          <w:ilvl w:val="0"/>
          <w:numId w:val="3"/>
        </w:numPr>
        <w:contextualSpacing w:val="0"/>
        <w:rPr>
          <w:sz w:val="26"/>
          <w:szCs w:val="26"/>
        </w:rPr>
      </w:pPr>
      <w:r>
        <w:rPr>
          <w:sz w:val="26"/>
          <w:szCs w:val="26"/>
        </w:rPr>
        <w:t>The applicants, a retired couple, live in the residential neighbourhood of Ravenswood</w:t>
      </w:r>
      <w:r w:rsidR="007F77B1">
        <w:rPr>
          <w:sz w:val="26"/>
          <w:szCs w:val="26"/>
        </w:rPr>
        <w:t xml:space="preserve"> in Boksburg</w:t>
      </w:r>
      <w:r>
        <w:rPr>
          <w:sz w:val="26"/>
          <w:szCs w:val="26"/>
        </w:rPr>
        <w:t>.  On the adjacent property, the first respondent, Global Air Brak</w:t>
      </w:r>
      <w:r w:rsidR="00877526">
        <w:rPr>
          <w:sz w:val="26"/>
          <w:szCs w:val="26"/>
        </w:rPr>
        <w:t>e</w:t>
      </w:r>
      <w:r>
        <w:rPr>
          <w:sz w:val="26"/>
          <w:szCs w:val="26"/>
        </w:rPr>
        <w:t xml:space="preserve">s </w:t>
      </w:r>
      <w:r w:rsidR="004B6505">
        <w:rPr>
          <w:sz w:val="26"/>
          <w:szCs w:val="26"/>
        </w:rPr>
        <w:t>CC</w:t>
      </w:r>
      <w:r>
        <w:rPr>
          <w:sz w:val="26"/>
          <w:szCs w:val="26"/>
        </w:rPr>
        <w:t xml:space="preserve">, </w:t>
      </w:r>
      <w:r w:rsidR="007630F4">
        <w:rPr>
          <w:sz w:val="26"/>
          <w:szCs w:val="26"/>
        </w:rPr>
        <w:t>conducts a vehicle repair workshop.</w:t>
      </w:r>
      <w:r w:rsidR="00C36E21">
        <w:rPr>
          <w:sz w:val="26"/>
          <w:szCs w:val="26"/>
        </w:rPr>
        <w:t xml:space="preserve">  Immediately across the road from these properties,</w:t>
      </w:r>
      <w:r w:rsidR="00C757BD">
        <w:rPr>
          <w:sz w:val="26"/>
          <w:szCs w:val="26"/>
        </w:rPr>
        <w:t xml:space="preserve"> which are</w:t>
      </w:r>
      <w:r w:rsidR="00C36E21">
        <w:rPr>
          <w:sz w:val="26"/>
          <w:szCs w:val="26"/>
        </w:rPr>
        <w:t xml:space="preserve"> owned by their respective occupants, </w:t>
      </w:r>
      <w:r w:rsidR="00207BE6">
        <w:rPr>
          <w:sz w:val="26"/>
          <w:szCs w:val="26"/>
        </w:rPr>
        <w:t xml:space="preserve">lies a light industrial area.  </w:t>
      </w:r>
    </w:p>
    <w:p w14:paraId="641423F9" w14:textId="2AD98676" w:rsidR="00762CC9" w:rsidRPr="001B2303" w:rsidRDefault="00207BE6" w:rsidP="001B2303">
      <w:pPr>
        <w:pStyle w:val="ListParagraph"/>
        <w:numPr>
          <w:ilvl w:val="0"/>
          <w:numId w:val="3"/>
        </w:numPr>
        <w:contextualSpacing w:val="0"/>
        <w:rPr>
          <w:sz w:val="26"/>
          <w:szCs w:val="26"/>
        </w:rPr>
      </w:pPr>
      <w:r>
        <w:rPr>
          <w:sz w:val="26"/>
          <w:szCs w:val="26"/>
        </w:rPr>
        <w:t xml:space="preserve">Over a period of several years the applicants and the first respondent have been at odds regarding </w:t>
      </w:r>
      <w:r w:rsidR="00935C26">
        <w:rPr>
          <w:sz w:val="26"/>
          <w:szCs w:val="26"/>
        </w:rPr>
        <w:t xml:space="preserve">the </w:t>
      </w:r>
      <w:r w:rsidR="009017F4">
        <w:rPr>
          <w:sz w:val="26"/>
          <w:szCs w:val="26"/>
        </w:rPr>
        <w:t xml:space="preserve">first respondent’s use of the property.  </w:t>
      </w:r>
      <w:r w:rsidR="000E47AA">
        <w:rPr>
          <w:sz w:val="26"/>
          <w:szCs w:val="26"/>
        </w:rPr>
        <w:t xml:space="preserve">The dispute culminated in this application, wherein the applicants </w:t>
      </w:r>
      <w:r w:rsidR="00AF461A" w:rsidRPr="002953C2">
        <w:rPr>
          <w:sz w:val="26"/>
          <w:szCs w:val="26"/>
        </w:rPr>
        <w:t xml:space="preserve">seek to interdict the first respondent </w:t>
      </w:r>
      <w:r w:rsidR="00291E4F" w:rsidRPr="002953C2">
        <w:rPr>
          <w:sz w:val="26"/>
          <w:szCs w:val="26"/>
        </w:rPr>
        <w:t>from using the property as a vehicle repair workshop</w:t>
      </w:r>
      <w:r w:rsidR="00394A92">
        <w:rPr>
          <w:sz w:val="26"/>
          <w:szCs w:val="26"/>
        </w:rPr>
        <w:t xml:space="preserve"> and preven</w:t>
      </w:r>
      <w:r w:rsidR="004F16B4">
        <w:rPr>
          <w:sz w:val="26"/>
          <w:szCs w:val="26"/>
        </w:rPr>
        <w:t>ting the first respondent from making excessive noise at the property</w:t>
      </w:r>
      <w:r w:rsidR="00C7032C">
        <w:rPr>
          <w:sz w:val="26"/>
          <w:szCs w:val="26"/>
        </w:rPr>
        <w:t>. In addition</w:t>
      </w:r>
      <w:r w:rsidR="001B2303">
        <w:rPr>
          <w:sz w:val="26"/>
          <w:szCs w:val="26"/>
        </w:rPr>
        <w:t>, t</w:t>
      </w:r>
      <w:r w:rsidR="00762CC9" w:rsidRPr="001B2303">
        <w:rPr>
          <w:sz w:val="26"/>
          <w:szCs w:val="26"/>
        </w:rPr>
        <w:t xml:space="preserve">hey </w:t>
      </w:r>
      <w:r w:rsidR="00C7032C">
        <w:rPr>
          <w:sz w:val="26"/>
          <w:szCs w:val="26"/>
        </w:rPr>
        <w:t xml:space="preserve">also </w:t>
      </w:r>
      <w:r w:rsidR="00291E4F" w:rsidRPr="001B2303">
        <w:rPr>
          <w:sz w:val="26"/>
          <w:szCs w:val="26"/>
        </w:rPr>
        <w:t>seek a</w:t>
      </w:r>
      <w:r w:rsidR="00C7032C">
        <w:rPr>
          <w:sz w:val="26"/>
          <w:szCs w:val="26"/>
        </w:rPr>
        <w:t xml:space="preserve">n order for the </w:t>
      </w:r>
      <w:r w:rsidR="00291E4F" w:rsidRPr="001B2303">
        <w:rPr>
          <w:sz w:val="26"/>
          <w:szCs w:val="26"/>
        </w:rPr>
        <w:t>demol</w:t>
      </w:r>
      <w:r w:rsidR="006A6E45" w:rsidRPr="001B2303">
        <w:rPr>
          <w:sz w:val="26"/>
          <w:szCs w:val="26"/>
        </w:rPr>
        <w:t>itio</w:t>
      </w:r>
      <w:r w:rsidR="00291E4F" w:rsidRPr="001B2303">
        <w:rPr>
          <w:sz w:val="26"/>
          <w:szCs w:val="26"/>
        </w:rPr>
        <w:t xml:space="preserve">n </w:t>
      </w:r>
      <w:r w:rsidR="00C7032C">
        <w:rPr>
          <w:sz w:val="26"/>
          <w:szCs w:val="26"/>
        </w:rPr>
        <w:t>of</w:t>
      </w:r>
      <w:r w:rsidR="00291E4F" w:rsidRPr="001B2303">
        <w:rPr>
          <w:sz w:val="26"/>
          <w:szCs w:val="26"/>
        </w:rPr>
        <w:t xml:space="preserve"> </w:t>
      </w:r>
      <w:r w:rsidR="006A6E45" w:rsidRPr="001B2303">
        <w:rPr>
          <w:sz w:val="26"/>
          <w:szCs w:val="26"/>
        </w:rPr>
        <w:t>a</w:t>
      </w:r>
      <w:r w:rsidR="00762CC9" w:rsidRPr="001B2303">
        <w:rPr>
          <w:sz w:val="26"/>
          <w:szCs w:val="26"/>
        </w:rPr>
        <w:t xml:space="preserve"> structure on the </w:t>
      </w:r>
      <w:r w:rsidR="00B0372B">
        <w:rPr>
          <w:sz w:val="26"/>
          <w:szCs w:val="26"/>
        </w:rPr>
        <w:t xml:space="preserve">first respondent’s </w:t>
      </w:r>
      <w:r w:rsidR="00762CC9" w:rsidRPr="001B2303">
        <w:rPr>
          <w:sz w:val="26"/>
          <w:szCs w:val="26"/>
        </w:rPr>
        <w:t>property</w:t>
      </w:r>
      <w:r w:rsidR="00B0372B">
        <w:rPr>
          <w:sz w:val="26"/>
          <w:szCs w:val="26"/>
        </w:rPr>
        <w:t>.</w:t>
      </w:r>
      <w:r w:rsidR="00AE7A88">
        <w:rPr>
          <w:sz w:val="26"/>
          <w:szCs w:val="26"/>
        </w:rPr>
        <w:t xml:space="preserve"> </w:t>
      </w:r>
    </w:p>
    <w:p w14:paraId="6CF2C137" w14:textId="31F65389" w:rsidR="00A279F8" w:rsidRDefault="00A279F8" w:rsidP="00A355A1">
      <w:pPr>
        <w:pStyle w:val="ListParagraph"/>
        <w:numPr>
          <w:ilvl w:val="0"/>
          <w:numId w:val="3"/>
        </w:numPr>
        <w:contextualSpacing w:val="0"/>
        <w:rPr>
          <w:sz w:val="26"/>
          <w:szCs w:val="26"/>
        </w:rPr>
      </w:pPr>
      <w:r>
        <w:rPr>
          <w:sz w:val="26"/>
          <w:szCs w:val="26"/>
        </w:rPr>
        <w:t xml:space="preserve">Although the first respondent delivered opposing papers, it failed to deliver heads of argument, even after an order compelling it to do so had been granted, and it did not have representation on the day of the hearing.  </w:t>
      </w:r>
      <w:r w:rsidR="00D728C8">
        <w:rPr>
          <w:sz w:val="26"/>
          <w:szCs w:val="26"/>
        </w:rPr>
        <w:t xml:space="preserve">The second respondent, the </w:t>
      </w:r>
      <w:r w:rsidR="004B6505">
        <w:rPr>
          <w:sz w:val="26"/>
          <w:szCs w:val="26"/>
        </w:rPr>
        <w:t>C</w:t>
      </w:r>
      <w:r w:rsidR="00D728C8">
        <w:rPr>
          <w:sz w:val="26"/>
          <w:szCs w:val="26"/>
        </w:rPr>
        <w:t xml:space="preserve">ity of Ekurhuleni Metropolitan Municipality, did not oppose the application.  </w:t>
      </w:r>
    </w:p>
    <w:p w14:paraId="706F6D60" w14:textId="4FCF43A8" w:rsidR="00D728C8" w:rsidRDefault="003B55BB" w:rsidP="00A355A1">
      <w:pPr>
        <w:pStyle w:val="ListParagraph"/>
        <w:numPr>
          <w:ilvl w:val="0"/>
          <w:numId w:val="3"/>
        </w:numPr>
        <w:contextualSpacing w:val="0"/>
        <w:rPr>
          <w:sz w:val="26"/>
          <w:szCs w:val="26"/>
        </w:rPr>
      </w:pPr>
      <w:r>
        <w:rPr>
          <w:sz w:val="26"/>
          <w:szCs w:val="26"/>
        </w:rPr>
        <w:t>Originally the applica</w:t>
      </w:r>
      <w:r w:rsidR="00092283">
        <w:rPr>
          <w:sz w:val="26"/>
          <w:szCs w:val="26"/>
        </w:rPr>
        <w:t>nts</w:t>
      </w:r>
      <w:r>
        <w:rPr>
          <w:sz w:val="26"/>
          <w:szCs w:val="26"/>
        </w:rPr>
        <w:t xml:space="preserve"> contended that the structure is illegal on the basis that no building plans had been approved for the structure.  After delivery of </w:t>
      </w:r>
      <w:r>
        <w:rPr>
          <w:sz w:val="26"/>
          <w:szCs w:val="26"/>
        </w:rPr>
        <w:lastRenderedPageBreak/>
        <w:t xml:space="preserve">the application in February 2019, the </w:t>
      </w:r>
      <w:r w:rsidR="008B0063">
        <w:rPr>
          <w:sz w:val="26"/>
          <w:szCs w:val="26"/>
        </w:rPr>
        <w:t xml:space="preserve">first respondent submitted </w:t>
      </w:r>
      <w:r w:rsidR="007A3925">
        <w:rPr>
          <w:sz w:val="26"/>
          <w:szCs w:val="26"/>
        </w:rPr>
        <w:t xml:space="preserve">building </w:t>
      </w:r>
      <w:r w:rsidR="008B0063">
        <w:rPr>
          <w:sz w:val="26"/>
          <w:szCs w:val="26"/>
        </w:rPr>
        <w:t>plans to the second respondent, which was approved two days later</w:t>
      </w:r>
      <w:r w:rsidR="00500B92">
        <w:rPr>
          <w:sz w:val="26"/>
          <w:szCs w:val="26"/>
        </w:rPr>
        <w:t>.  T</w:t>
      </w:r>
      <w:r w:rsidR="008B0063">
        <w:rPr>
          <w:sz w:val="26"/>
          <w:szCs w:val="26"/>
        </w:rPr>
        <w:t xml:space="preserve">he first respondent relied </w:t>
      </w:r>
      <w:r w:rsidR="00500B92">
        <w:rPr>
          <w:sz w:val="26"/>
          <w:szCs w:val="26"/>
        </w:rPr>
        <w:t xml:space="preserve">on the approval </w:t>
      </w:r>
      <w:r w:rsidR="008B0063">
        <w:rPr>
          <w:sz w:val="26"/>
          <w:szCs w:val="26"/>
        </w:rPr>
        <w:t xml:space="preserve">in its subsequently delivered answering affidavit.  This led the applicants to supplement their papers, </w:t>
      </w:r>
      <w:r w:rsidR="00DD495C">
        <w:rPr>
          <w:sz w:val="26"/>
          <w:szCs w:val="26"/>
        </w:rPr>
        <w:t>claimi</w:t>
      </w:r>
      <w:r w:rsidR="008B0063">
        <w:rPr>
          <w:sz w:val="26"/>
          <w:szCs w:val="26"/>
        </w:rPr>
        <w:t>ng that, even if the building plans had been approved, the structure itself is not constructed in accordance with t</w:t>
      </w:r>
      <w:r w:rsidR="007A3925">
        <w:rPr>
          <w:sz w:val="26"/>
          <w:szCs w:val="26"/>
        </w:rPr>
        <w:t>h</w:t>
      </w:r>
      <w:r w:rsidR="008B0063">
        <w:rPr>
          <w:sz w:val="26"/>
          <w:szCs w:val="26"/>
        </w:rPr>
        <w:t xml:space="preserve">e plans, and therefore remains illegal. </w:t>
      </w:r>
    </w:p>
    <w:p w14:paraId="39DEBD69" w14:textId="64D53C08" w:rsidR="00174304" w:rsidRDefault="00174304" w:rsidP="00A355A1">
      <w:pPr>
        <w:pStyle w:val="ListParagraph"/>
        <w:numPr>
          <w:ilvl w:val="0"/>
          <w:numId w:val="3"/>
        </w:numPr>
        <w:contextualSpacing w:val="0"/>
        <w:rPr>
          <w:sz w:val="26"/>
          <w:szCs w:val="26"/>
        </w:rPr>
      </w:pPr>
      <w:r>
        <w:rPr>
          <w:sz w:val="26"/>
          <w:szCs w:val="26"/>
        </w:rPr>
        <w:t>In addition, the applicants</w:t>
      </w:r>
      <w:r w:rsidR="00B0372B">
        <w:rPr>
          <w:sz w:val="26"/>
          <w:szCs w:val="26"/>
        </w:rPr>
        <w:t xml:space="preserve"> brought an int</w:t>
      </w:r>
      <w:r w:rsidR="00396EDF">
        <w:rPr>
          <w:sz w:val="26"/>
          <w:szCs w:val="26"/>
        </w:rPr>
        <w:t xml:space="preserve">erlocutory </w:t>
      </w:r>
      <w:r>
        <w:rPr>
          <w:sz w:val="26"/>
          <w:szCs w:val="26"/>
        </w:rPr>
        <w:t>application</w:t>
      </w:r>
      <w:r w:rsidR="00396EDF">
        <w:rPr>
          <w:sz w:val="26"/>
          <w:szCs w:val="26"/>
        </w:rPr>
        <w:t>, as they termed it, in which they seek substantive relief of a nature</w:t>
      </w:r>
      <w:r>
        <w:rPr>
          <w:sz w:val="26"/>
          <w:szCs w:val="26"/>
        </w:rPr>
        <w:t xml:space="preserve"> </w:t>
      </w:r>
      <w:r w:rsidR="00C24FEB">
        <w:rPr>
          <w:sz w:val="26"/>
          <w:szCs w:val="26"/>
        </w:rPr>
        <w:t xml:space="preserve">that was described </w:t>
      </w:r>
      <w:r w:rsidR="00A2442E">
        <w:rPr>
          <w:sz w:val="26"/>
          <w:szCs w:val="26"/>
        </w:rPr>
        <w:t xml:space="preserve">by </w:t>
      </w:r>
      <w:r w:rsidR="00C24FEB">
        <w:rPr>
          <w:sz w:val="26"/>
          <w:szCs w:val="26"/>
        </w:rPr>
        <w:t>both the applicants</w:t>
      </w:r>
      <w:r w:rsidR="00BD17D2">
        <w:rPr>
          <w:sz w:val="26"/>
          <w:szCs w:val="26"/>
        </w:rPr>
        <w:t>’</w:t>
      </w:r>
      <w:r w:rsidR="00C24FEB">
        <w:rPr>
          <w:sz w:val="26"/>
          <w:szCs w:val="26"/>
        </w:rPr>
        <w:t xml:space="preserve"> and the second respondent’s counsel in argument as a review.  This application </w:t>
      </w:r>
      <w:r w:rsidR="00AE7A88">
        <w:rPr>
          <w:sz w:val="26"/>
          <w:szCs w:val="26"/>
        </w:rPr>
        <w:t>is opposed</w:t>
      </w:r>
      <w:r w:rsidR="00F30829">
        <w:rPr>
          <w:sz w:val="26"/>
          <w:szCs w:val="26"/>
        </w:rPr>
        <w:t xml:space="preserve"> by the </w:t>
      </w:r>
      <w:r w:rsidR="00BF1479">
        <w:rPr>
          <w:sz w:val="26"/>
          <w:szCs w:val="26"/>
        </w:rPr>
        <w:t xml:space="preserve">second </w:t>
      </w:r>
      <w:r w:rsidR="00C7593C">
        <w:rPr>
          <w:sz w:val="26"/>
          <w:szCs w:val="26"/>
        </w:rPr>
        <w:t>res</w:t>
      </w:r>
      <w:r w:rsidR="00F30829">
        <w:rPr>
          <w:sz w:val="26"/>
          <w:szCs w:val="26"/>
        </w:rPr>
        <w:t>pondent, but</w:t>
      </w:r>
      <w:r w:rsidR="00C7593C">
        <w:rPr>
          <w:sz w:val="26"/>
          <w:szCs w:val="26"/>
        </w:rPr>
        <w:t xml:space="preserve"> not by</w:t>
      </w:r>
      <w:r w:rsidR="00F30829">
        <w:rPr>
          <w:sz w:val="26"/>
          <w:szCs w:val="26"/>
        </w:rPr>
        <w:t xml:space="preserve"> the </w:t>
      </w:r>
      <w:r w:rsidR="00C7593C">
        <w:rPr>
          <w:sz w:val="26"/>
          <w:szCs w:val="26"/>
        </w:rPr>
        <w:t>first</w:t>
      </w:r>
      <w:r w:rsidR="00F87930">
        <w:rPr>
          <w:sz w:val="26"/>
          <w:szCs w:val="26"/>
        </w:rPr>
        <w:t xml:space="preserve"> respondent</w:t>
      </w:r>
      <w:r w:rsidR="00F30829">
        <w:rPr>
          <w:sz w:val="26"/>
          <w:szCs w:val="26"/>
        </w:rPr>
        <w:t xml:space="preserve">.  </w:t>
      </w:r>
    </w:p>
    <w:p w14:paraId="711A4D56" w14:textId="2838579E" w:rsidR="00DF3716" w:rsidRDefault="00DF3716" w:rsidP="00DF3716">
      <w:pPr>
        <w:pStyle w:val="Heading1"/>
      </w:pPr>
      <w:r>
        <w:t>The use of the property</w:t>
      </w:r>
    </w:p>
    <w:p w14:paraId="55244770" w14:textId="21DF808F" w:rsidR="00B95A1F" w:rsidRDefault="00B95A1F" w:rsidP="00A355A1">
      <w:pPr>
        <w:pStyle w:val="ListParagraph"/>
        <w:numPr>
          <w:ilvl w:val="0"/>
          <w:numId w:val="3"/>
        </w:numPr>
        <w:contextualSpacing w:val="0"/>
        <w:rPr>
          <w:sz w:val="26"/>
          <w:szCs w:val="26"/>
        </w:rPr>
      </w:pPr>
      <w:r>
        <w:rPr>
          <w:sz w:val="26"/>
          <w:szCs w:val="26"/>
        </w:rPr>
        <w:t xml:space="preserve">The first respondent conducts business as specialists in air brake systems on </w:t>
      </w:r>
      <w:r w:rsidR="00EE7EF5">
        <w:rPr>
          <w:sz w:val="26"/>
          <w:szCs w:val="26"/>
        </w:rPr>
        <w:t>t</w:t>
      </w:r>
      <w:r>
        <w:rPr>
          <w:sz w:val="26"/>
          <w:szCs w:val="26"/>
        </w:rPr>
        <w:t>rucks and trailers</w:t>
      </w:r>
      <w:r w:rsidR="003842E3">
        <w:rPr>
          <w:sz w:val="26"/>
          <w:szCs w:val="26"/>
        </w:rPr>
        <w:t>.  Services provided by it include reconditioning of valves, boosters and clutch</w:t>
      </w:r>
      <w:r w:rsidR="00C854F7">
        <w:rPr>
          <w:sz w:val="26"/>
          <w:szCs w:val="26"/>
        </w:rPr>
        <w:t xml:space="preserve"> systems; reconditioning of complete air systems; air brake installations; realign</w:t>
      </w:r>
      <w:r w:rsidR="00EE7EF5">
        <w:rPr>
          <w:sz w:val="26"/>
          <w:szCs w:val="26"/>
        </w:rPr>
        <w:t>ment</w:t>
      </w:r>
      <w:r w:rsidR="00C854F7">
        <w:rPr>
          <w:sz w:val="26"/>
          <w:szCs w:val="26"/>
        </w:rPr>
        <w:t>;</w:t>
      </w:r>
      <w:r w:rsidR="00EB5F76">
        <w:rPr>
          <w:sz w:val="26"/>
          <w:szCs w:val="26"/>
        </w:rPr>
        <w:t xml:space="preserve"> and</w:t>
      </w:r>
      <w:r w:rsidR="00C854F7">
        <w:rPr>
          <w:sz w:val="26"/>
          <w:szCs w:val="26"/>
        </w:rPr>
        <w:t xml:space="preserve"> reconditioning of clutches</w:t>
      </w:r>
      <w:r w:rsidR="00C4015A">
        <w:rPr>
          <w:sz w:val="26"/>
          <w:szCs w:val="26"/>
        </w:rPr>
        <w:t xml:space="preserve">.  </w:t>
      </w:r>
    </w:p>
    <w:p w14:paraId="16F29AAD" w14:textId="67823DC8" w:rsidR="00F36D30" w:rsidRDefault="006A703A" w:rsidP="00A355A1">
      <w:pPr>
        <w:pStyle w:val="ListParagraph"/>
        <w:numPr>
          <w:ilvl w:val="0"/>
          <w:numId w:val="3"/>
        </w:numPr>
        <w:contextualSpacing w:val="0"/>
        <w:rPr>
          <w:sz w:val="26"/>
          <w:szCs w:val="26"/>
        </w:rPr>
      </w:pPr>
      <w:r>
        <w:rPr>
          <w:sz w:val="26"/>
          <w:szCs w:val="26"/>
        </w:rPr>
        <w:t>The Ekurhuleni Town Planning Scheme of 2014</w:t>
      </w:r>
      <w:r w:rsidR="00941464">
        <w:rPr>
          <w:sz w:val="26"/>
          <w:szCs w:val="26"/>
        </w:rPr>
        <w:t xml:space="preserve"> </w:t>
      </w:r>
      <w:r w:rsidR="000F50CA">
        <w:rPr>
          <w:sz w:val="26"/>
          <w:szCs w:val="26"/>
        </w:rPr>
        <w:t xml:space="preserve">(‘the </w:t>
      </w:r>
      <w:r w:rsidR="00F87930">
        <w:rPr>
          <w:sz w:val="26"/>
          <w:szCs w:val="26"/>
        </w:rPr>
        <w:t>S</w:t>
      </w:r>
      <w:r w:rsidR="000F50CA">
        <w:rPr>
          <w:sz w:val="26"/>
          <w:szCs w:val="26"/>
        </w:rPr>
        <w:t>chem</w:t>
      </w:r>
      <w:r w:rsidR="006619EE">
        <w:rPr>
          <w:sz w:val="26"/>
          <w:szCs w:val="26"/>
        </w:rPr>
        <w:t xml:space="preserve">e’) </w:t>
      </w:r>
      <w:r w:rsidR="00E81BD9">
        <w:rPr>
          <w:sz w:val="26"/>
          <w:szCs w:val="26"/>
        </w:rPr>
        <w:t>regulates</w:t>
      </w:r>
      <w:r w:rsidR="00941464">
        <w:rPr>
          <w:sz w:val="26"/>
          <w:szCs w:val="26"/>
        </w:rPr>
        <w:t xml:space="preserve"> use of land </w:t>
      </w:r>
      <w:r w:rsidR="006619EE">
        <w:rPr>
          <w:sz w:val="26"/>
          <w:szCs w:val="26"/>
        </w:rPr>
        <w:t>and</w:t>
      </w:r>
      <w:r w:rsidR="00941464">
        <w:rPr>
          <w:sz w:val="26"/>
          <w:szCs w:val="26"/>
        </w:rPr>
        <w:t xml:space="preserve"> buildings </w:t>
      </w:r>
      <w:r w:rsidR="00E81BD9">
        <w:rPr>
          <w:sz w:val="26"/>
          <w:szCs w:val="26"/>
        </w:rPr>
        <w:t>in the second respondent’s area of jurisdiction</w:t>
      </w:r>
      <w:r w:rsidR="00941464">
        <w:rPr>
          <w:sz w:val="26"/>
          <w:szCs w:val="26"/>
        </w:rPr>
        <w:t xml:space="preserve">. </w:t>
      </w:r>
      <w:r w:rsidR="00F36D30">
        <w:rPr>
          <w:sz w:val="26"/>
          <w:szCs w:val="26"/>
        </w:rPr>
        <w:t xml:space="preserve"> The Boksburg Town Planning Scheme</w:t>
      </w:r>
      <w:r w:rsidR="00203370">
        <w:rPr>
          <w:sz w:val="26"/>
          <w:szCs w:val="26"/>
        </w:rPr>
        <w:t xml:space="preserve">, 1991 has been incorporated into the </w:t>
      </w:r>
      <w:r w:rsidR="00C02C16">
        <w:rPr>
          <w:sz w:val="26"/>
          <w:szCs w:val="26"/>
        </w:rPr>
        <w:t>S</w:t>
      </w:r>
      <w:r w:rsidR="00203370">
        <w:rPr>
          <w:sz w:val="26"/>
          <w:szCs w:val="26"/>
        </w:rPr>
        <w:t xml:space="preserve">cheme in its entirety.  </w:t>
      </w:r>
      <w:r w:rsidR="00941464">
        <w:rPr>
          <w:sz w:val="26"/>
          <w:szCs w:val="26"/>
        </w:rPr>
        <w:t xml:space="preserve"> </w:t>
      </w:r>
      <w:r w:rsidR="00BA4526">
        <w:rPr>
          <w:sz w:val="26"/>
          <w:szCs w:val="26"/>
        </w:rPr>
        <w:t>According to its zoning certificate of 7 November 20</w:t>
      </w:r>
      <w:r w:rsidR="00676304">
        <w:rPr>
          <w:sz w:val="26"/>
          <w:szCs w:val="26"/>
        </w:rPr>
        <w:t>12</w:t>
      </w:r>
      <w:r w:rsidR="00BA4526">
        <w:rPr>
          <w:sz w:val="26"/>
          <w:szCs w:val="26"/>
        </w:rPr>
        <w:t xml:space="preserve">, the first respondent’s property is zoned as “business 3”, including </w:t>
      </w:r>
      <w:r w:rsidR="006F20C6">
        <w:rPr>
          <w:sz w:val="26"/>
          <w:szCs w:val="26"/>
        </w:rPr>
        <w:t>“</w:t>
      </w:r>
      <w:r w:rsidR="00BA4526">
        <w:rPr>
          <w:sz w:val="26"/>
          <w:szCs w:val="26"/>
        </w:rPr>
        <w:t>service industry</w:t>
      </w:r>
      <w:r w:rsidR="006F20C6">
        <w:rPr>
          <w:sz w:val="26"/>
          <w:szCs w:val="26"/>
        </w:rPr>
        <w:t>”</w:t>
      </w:r>
      <w:r w:rsidR="00BA4526">
        <w:rPr>
          <w:sz w:val="26"/>
          <w:szCs w:val="26"/>
        </w:rPr>
        <w:t>.</w:t>
      </w:r>
    </w:p>
    <w:p w14:paraId="44EAF5B3" w14:textId="7D80E83C" w:rsidR="006A703A" w:rsidRDefault="00941464" w:rsidP="00A355A1">
      <w:pPr>
        <w:pStyle w:val="ListParagraph"/>
        <w:numPr>
          <w:ilvl w:val="0"/>
          <w:numId w:val="3"/>
        </w:numPr>
        <w:contextualSpacing w:val="0"/>
        <w:rPr>
          <w:sz w:val="26"/>
          <w:szCs w:val="26"/>
        </w:rPr>
      </w:pPr>
      <w:r>
        <w:rPr>
          <w:sz w:val="26"/>
          <w:szCs w:val="26"/>
        </w:rPr>
        <w:t xml:space="preserve">The </w:t>
      </w:r>
      <w:r w:rsidR="00676304">
        <w:rPr>
          <w:sz w:val="26"/>
          <w:szCs w:val="26"/>
        </w:rPr>
        <w:t>S</w:t>
      </w:r>
      <w:r>
        <w:rPr>
          <w:sz w:val="26"/>
          <w:szCs w:val="26"/>
        </w:rPr>
        <w:t xml:space="preserve">cheme allows for properties zoned </w:t>
      </w:r>
      <w:r w:rsidR="000E14D7">
        <w:rPr>
          <w:sz w:val="26"/>
          <w:szCs w:val="26"/>
        </w:rPr>
        <w:t>‘</w:t>
      </w:r>
      <w:r>
        <w:rPr>
          <w:sz w:val="26"/>
          <w:szCs w:val="26"/>
        </w:rPr>
        <w:t>business 3</w:t>
      </w:r>
      <w:r w:rsidR="000E14D7">
        <w:rPr>
          <w:sz w:val="26"/>
          <w:szCs w:val="26"/>
        </w:rPr>
        <w:t xml:space="preserve">’ to be used </w:t>
      </w:r>
      <w:r w:rsidR="00734695">
        <w:rPr>
          <w:sz w:val="26"/>
          <w:szCs w:val="26"/>
        </w:rPr>
        <w:t>as</w:t>
      </w:r>
      <w:r w:rsidR="000E14D7">
        <w:rPr>
          <w:sz w:val="26"/>
          <w:szCs w:val="26"/>
        </w:rPr>
        <w:t xml:space="preserve"> </w:t>
      </w:r>
      <w:r>
        <w:rPr>
          <w:sz w:val="26"/>
          <w:szCs w:val="26"/>
        </w:rPr>
        <w:t>offices, medical consulting rooms and dwelling houses.  With the special consent of the municipality, this may be extended to include</w:t>
      </w:r>
      <w:r w:rsidR="000E14D7">
        <w:rPr>
          <w:sz w:val="26"/>
          <w:szCs w:val="26"/>
        </w:rPr>
        <w:t xml:space="preserve"> </w:t>
      </w:r>
      <w:r>
        <w:rPr>
          <w:sz w:val="26"/>
          <w:szCs w:val="26"/>
        </w:rPr>
        <w:t xml:space="preserve">service industries.  A </w:t>
      </w:r>
      <w:r w:rsidR="00BD3FBA">
        <w:rPr>
          <w:sz w:val="26"/>
          <w:szCs w:val="26"/>
        </w:rPr>
        <w:t>‘</w:t>
      </w:r>
      <w:r>
        <w:rPr>
          <w:sz w:val="26"/>
          <w:szCs w:val="26"/>
        </w:rPr>
        <w:t>service industry</w:t>
      </w:r>
      <w:r w:rsidR="00BD3FBA">
        <w:rPr>
          <w:sz w:val="26"/>
          <w:szCs w:val="26"/>
        </w:rPr>
        <w:t>’</w:t>
      </w:r>
      <w:r>
        <w:rPr>
          <w:sz w:val="26"/>
          <w:szCs w:val="26"/>
        </w:rPr>
        <w:t xml:space="preserve"> is defined in the scheme as </w:t>
      </w:r>
      <w:r>
        <w:rPr>
          <w:i/>
          <w:iCs/>
          <w:sz w:val="26"/>
          <w:szCs w:val="26"/>
        </w:rPr>
        <w:t>“buildings used for the repair and maintenance of household or office goods and equipment or appliances on a small scale, as determined by the municipality and includes a confectionary, but excludes a motor workshop, fitment centre and light industry.”</w:t>
      </w:r>
      <w:r>
        <w:rPr>
          <w:sz w:val="26"/>
          <w:szCs w:val="26"/>
        </w:rPr>
        <w:t xml:space="preserve"> </w:t>
      </w:r>
    </w:p>
    <w:p w14:paraId="7F4EDAF5" w14:textId="147F9D93" w:rsidR="003542B6" w:rsidRDefault="007543C5" w:rsidP="00A355A1">
      <w:pPr>
        <w:pStyle w:val="ListParagraph"/>
        <w:numPr>
          <w:ilvl w:val="0"/>
          <w:numId w:val="3"/>
        </w:numPr>
        <w:contextualSpacing w:val="0"/>
        <w:rPr>
          <w:sz w:val="26"/>
          <w:szCs w:val="26"/>
        </w:rPr>
      </w:pPr>
      <w:r>
        <w:rPr>
          <w:sz w:val="26"/>
          <w:szCs w:val="26"/>
        </w:rPr>
        <w:t xml:space="preserve">The Scheme provides definitions for each of the excluded activities mentioned in the definition of a service industry:   </w:t>
      </w:r>
    </w:p>
    <w:p w14:paraId="77013D11" w14:textId="470F6622" w:rsidR="00DE51F4" w:rsidRDefault="009859DC" w:rsidP="009859DC">
      <w:pPr>
        <w:pStyle w:val="ListParagraph"/>
        <w:numPr>
          <w:ilvl w:val="1"/>
          <w:numId w:val="3"/>
        </w:numPr>
        <w:contextualSpacing w:val="0"/>
        <w:rPr>
          <w:sz w:val="26"/>
          <w:szCs w:val="26"/>
        </w:rPr>
      </w:pPr>
      <w:r>
        <w:rPr>
          <w:i/>
          <w:iCs/>
          <w:sz w:val="26"/>
          <w:szCs w:val="26"/>
        </w:rPr>
        <w:t>“FITMENT CENTRE</w:t>
      </w:r>
      <w:r w:rsidRPr="00DE51F4">
        <w:rPr>
          <w:i/>
          <w:iCs/>
          <w:sz w:val="26"/>
          <w:szCs w:val="26"/>
        </w:rPr>
        <w:t xml:space="preserve">: </w:t>
      </w:r>
      <w:r w:rsidR="00BF1479" w:rsidRPr="00DE51F4">
        <w:rPr>
          <w:i/>
          <w:iCs/>
          <w:sz w:val="26"/>
          <w:szCs w:val="26"/>
        </w:rPr>
        <w:t>Bu</w:t>
      </w:r>
      <w:r w:rsidR="00BF1479">
        <w:rPr>
          <w:i/>
          <w:iCs/>
          <w:sz w:val="26"/>
          <w:szCs w:val="26"/>
        </w:rPr>
        <w:t>i</w:t>
      </w:r>
      <w:r w:rsidR="00BF1479" w:rsidRPr="00DE51F4">
        <w:rPr>
          <w:i/>
          <w:iCs/>
          <w:sz w:val="26"/>
          <w:szCs w:val="26"/>
        </w:rPr>
        <w:t>ldings</w:t>
      </w:r>
      <w:r w:rsidRPr="00DE51F4">
        <w:rPr>
          <w:i/>
          <w:iCs/>
          <w:sz w:val="26"/>
          <w:szCs w:val="26"/>
        </w:rPr>
        <w:t xml:space="preserve"> used for the </w:t>
      </w:r>
      <w:r w:rsidR="00DE51F4" w:rsidRPr="00DE51F4">
        <w:rPr>
          <w:i/>
          <w:iCs/>
          <w:sz w:val="26"/>
          <w:szCs w:val="26"/>
        </w:rPr>
        <w:t>fitting of exhausts, towbars, radios, shock absorbers, tyres and other vehicle parts, but excludes Motor Workshops and Panel Beaters.”</w:t>
      </w:r>
      <w:r w:rsidR="00DE51F4">
        <w:rPr>
          <w:sz w:val="26"/>
          <w:szCs w:val="26"/>
        </w:rPr>
        <w:t xml:space="preserve">  </w:t>
      </w:r>
    </w:p>
    <w:p w14:paraId="7AFDC3F7" w14:textId="77777777" w:rsidR="00FD251C" w:rsidRDefault="0025354D" w:rsidP="009859DC">
      <w:pPr>
        <w:pStyle w:val="ListParagraph"/>
        <w:numPr>
          <w:ilvl w:val="1"/>
          <w:numId w:val="3"/>
        </w:numPr>
        <w:contextualSpacing w:val="0"/>
        <w:rPr>
          <w:sz w:val="26"/>
          <w:szCs w:val="26"/>
        </w:rPr>
      </w:pPr>
      <w:r>
        <w:rPr>
          <w:i/>
          <w:iCs/>
          <w:sz w:val="26"/>
          <w:szCs w:val="26"/>
        </w:rPr>
        <w:t>“LIGHT INDUSTRY: land or buildings used for, inter alia</w:t>
      </w:r>
      <w:r w:rsidR="00E606FD">
        <w:rPr>
          <w:i/>
          <w:iCs/>
          <w:sz w:val="26"/>
          <w:szCs w:val="26"/>
        </w:rPr>
        <w:t xml:space="preserve">, bakeries, dry-cleaners, carpet cleaners, joinery workshops, laundries, lawnmower workshops, </w:t>
      </w:r>
      <w:r w:rsidR="00F80A84">
        <w:rPr>
          <w:i/>
          <w:iCs/>
          <w:sz w:val="26"/>
          <w:szCs w:val="26"/>
        </w:rPr>
        <w:t xml:space="preserve">plumber’s workshops, publication works, and any other such industries, workshops or yards which, in the opinion of the </w:t>
      </w:r>
      <w:r w:rsidR="00FD251C">
        <w:rPr>
          <w:i/>
          <w:iCs/>
          <w:sz w:val="26"/>
          <w:szCs w:val="26"/>
        </w:rPr>
        <w:t>M</w:t>
      </w:r>
      <w:r w:rsidR="00F80A84">
        <w:rPr>
          <w:i/>
          <w:iCs/>
          <w:sz w:val="26"/>
          <w:szCs w:val="26"/>
        </w:rPr>
        <w:t>unicipality</w:t>
      </w:r>
      <w:r w:rsidR="00FD251C">
        <w:rPr>
          <w:i/>
          <w:iCs/>
          <w:sz w:val="26"/>
          <w:szCs w:val="26"/>
        </w:rPr>
        <w:t xml:space="preserve">, do not cause a nuisance to the environment.” </w:t>
      </w:r>
      <w:r w:rsidR="00FD251C">
        <w:rPr>
          <w:sz w:val="26"/>
          <w:szCs w:val="26"/>
        </w:rPr>
        <w:t xml:space="preserve"> </w:t>
      </w:r>
    </w:p>
    <w:p w14:paraId="7ECCC7EC" w14:textId="0E0E2CF6" w:rsidR="009859DC" w:rsidRDefault="00FD251C" w:rsidP="009859DC">
      <w:pPr>
        <w:pStyle w:val="ListParagraph"/>
        <w:numPr>
          <w:ilvl w:val="1"/>
          <w:numId w:val="3"/>
        </w:numPr>
        <w:contextualSpacing w:val="0"/>
        <w:rPr>
          <w:sz w:val="26"/>
          <w:szCs w:val="26"/>
        </w:rPr>
      </w:pPr>
      <w:r>
        <w:rPr>
          <w:i/>
          <w:iCs/>
          <w:sz w:val="26"/>
          <w:szCs w:val="26"/>
        </w:rPr>
        <w:t xml:space="preserve">“MOTOR WORKSHOP: </w:t>
      </w:r>
      <w:r w:rsidR="00F178A2">
        <w:rPr>
          <w:i/>
          <w:iCs/>
          <w:sz w:val="26"/>
          <w:szCs w:val="26"/>
        </w:rPr>
        <w:t xml:space="preserve">land or buildings used for the servicing, maintenance and repair of motor vehicles and/or the sale and/or fitment of motor vehicle parts but excludes a Panel Beater.” </w:t>
      </w:r>
      <w:r w:rsidR="00DE51F4">
        <w:rPr>
          <w:sz w:val="26"/>
          <w:szCs w:val="26"/>
        </w:rPr>
        <w:t xml:space="preserve"> </w:t>
      </w:r>
    </w:p>
    <w:p w14:paraId="6A9444C4" w14:textId="69502591" w:rsidR="00F76F9B" w:rsidRDefault="00F32BAB" w:rsidP="00F76F9B">
      <w:pPr>
        <w:pStyle w:val="ListParagraph"/>
        <w:numPr>
          <w:ilvl w:val="0"/>
          <w:numId w:val="3"/>
        </w:numPr>
        <w:contextualSpacing w:val="0"/>
        <w:rPr>
          <w:sz w:val="26"/>
          <w:szCs w:val="26"/>
        </w:rPr>
      </w:pPr>
      <w:r>
        <w:rPr>
          <w:sz w:val="26"/>
          <w:szCs w:val="26"/>
        </w:rPr>
        <w:t xml:space="preserve">The first respondent’s member, Mr </w:t>
      </w:r>
      <w:r w:rsidR="00995E15">
        <w:rPr>
          <w:sz w:val="26"/>
          <w:szCs w:val="26"/>
        </w:rPr>
        <w:t>Malan</w:t>
      </w:r>
      <w:r>
        <w:rPr>
          <w:sz w:val="26"/>
          <w:szCs w:val="26"/>
        </w:rPr>
        <w:t xml:space="preserve">, states in the answering affidavit that the </w:t>
      </w:r>
      <w:r w:rsidR="003304A3">
        <w:rPr>
          <w:sz w:val="26"/>
          <w:szCs w:val="26"/>
        </w:rPr>
        <w:t>municipality</w:t>
      </w:r>
      <w:r>
        <w:rPr>
          <w:sz w:val="26"/>
          <w:szCs w:val="26"/>
        </w:rPr>
        <w:t xml:space="preserve"> has conducted inspections at the property and had confirmed that the first respondent’s use of the property complies with its zoning certificate.  </w:t>
      </w:r>
      <w:r w:rsidR="00C00A90">
        <w:rPr>
          <w:sz w:val="26"/>
          <w:szCs w:val="26"/>
        </w:rPr>
        <w:t>He specifically refer</w:t>
      </w:r>
      <w:r w:rsidR="00995E15">
        <w:rPr>
          <w:sz w:val="26"/>
          <w:szCs w:val="26"/>
        </w:rPr>
        <w:t>red</w:t>
      </w:r>
      <w:r w:rsidR="00C00A90">
        <w:rPr>
          <w:sz w:val="26"/>
          <w:szCs w:val="26"/>
        </w:rPr>
        <w:t xml:space="preserve"> to an email from </w:t>
      </w:r>
      <w:r w:rsidR="00995E15">
        <w:rPr>
          <w:sz w:val="26"/>
          <w:szCs w:val="26"/>
        </w:rPr>
        <w:t>a Mr</w:t>
      </w:r>
      <w:r w:rsidR="00C00A90">
        <w:rPr>
          <w:sz w:val="26"/>
          <w:szCs w:val="26"/>
        </w:rPr>
        <w:t xml:space="preserve"> Grobler on 26 January 2018, addressed to the </w:t>
      </w:r>
      <w:r w:rsidR="005701A9">
        <w:rPr>
          <w:sz w:val="26"/>
          <w:szCs w:val="26"/>
        </w:rPr>
        <w:t xml:space="preserve">first respondent and the second applicant, wherein he states that </w:t>
      </w:r>
      <w:r w:rsidR="005701A9">
        <w:rPr>
          <w:i/>
          <w:iCs/>
          <w:sz w:val="26"/>
          <w:szCs w:val="26"/>
        </w:rPr>
        <w:t>“it is understood that the zoning allows the owner of the property to operate this type of business.”</w:t>
      </w:r>
      <w:r w:rsidR="005701A9">
        <w:rPr>
          <w:sz w:val="26"/>
          <w:szCs w:val="26"/>
        </w:rPr>
        <w:t xml:space="preserve">  Mr Grobler</w:t>
      </w:r>
      <w:r w:rsidR="003304A3">
        <w:rPr>
          <w:sz w:val="26"/>
          <w:szCs w:val="26"/>
        </w:rPr>
        <w:t xml:space="preserve"> </w:t>
      </w:r>
      <w:r w:rsidR="005701A9">
        <w:rPr>
          <w:sz w:val="26"/>
          <w:szCs w:val="26"/>
        </w:rPr>
        <w:t>is an environmental health practitioner in the City of Ekurhuleni’s Department of Health and Social Development.</w:t>
      </w:r>
      <w:r w:rsidR="00F76F9B">
        <w:rPr>
          <w:sz w:val="26"/>
          <w:szCs w:val="26"/>
        </w:rPr>
        <w:t xml:space="preserve">  </w:t>
      </w:r>
      <w:r w:rsidR="004B398C" w:rsidRPr="00F76F9B">
        <w:rPr>
          <w:sz w:val="26"/>
          <w:szCs w:val="26"/>
        </w:rPr>
        <w:t>No</w:t>
      </w:r>
      <w:r w:rsidR="003542B6" w:rsidRPr="00F76F9B">
        <w:rPr>
          <w:sz w:val="26"/>
          <w:szCs w:val="26"/>
        </w:rPr>
        <w:t xml:space="preserve">t only </w:t>
      </w:r>
      <w:r w:rsidR="00F76F9B" w:rsidRPr="00F76F9B">
        <w:rPr>
          <w:sz w:val="26"/>
          <w:szCs w:val="26"/>
        </w:rPr>
        <w:t xml:space="preserve">is the statement rather noncommittal, </w:t>
      </w:r>
      <w:r w:rsidR="00B07C3B" w:rsidRPr="00F76F9B">
        <w:rPr>
          <w:sz w:val="26"/>
          <w:szCs w:val="26"/>
        </w:rPr>
        <w:t>but no basis is also</w:t>
      </w:r>
      <w:r w:rsidR="00F76F9B" w:rsidRPr="00F76F9B">
        <w:rPr>
          <w:sz w:val="26"/>
          <w:szCs w:val="26"/>
        </w:rPr>
        <w:t xml:space="preserve"> set out by the either Mr Malan or Mr Grobler for this contention</w:t>
      </w:r>
      <w:r w:rsidR="004B398C" w:rsidRPr="00F76F9B">
        <w:rPr>
          <w:sz w:val="26"/>
          <w:szCs w:val="26"/>
        </w:rPr>
        <w:t xml:space="preserve">.  </w:t>
      </w:r>
    </w:p>
    <w:p w14:paraId="460312DF" w14:textId="144E4090" w:rsidR="00D52F3E" w:rsidRDefault="004B398C" w:rsidP="00F76F9B">
      <w:pPr>
        <w:pStyle w:val="ListParagraph"/>
        <w:numPr>
          <w:ilvl w:val="0"/>
          <w:numId w:val="3"/>
        </w:numPr>
        <w:contextualSpacing w:val="0"/>
        <w:rPr>
          <w:sz w:val="26"/>
          <w:szCs w:val="26"/>
        </w:rPr>
      </w:pPr>
      <w:r w:rsidRPr="00F76F9B">
        <w:rPr>
          <w:sz w:val="26"/>
          <w:szCs w:val="26"/>
        </w:rPr>
        <w:t xml:space="preserve">On the common cause facts, the first respondent conducts </w:t>
      </w:r>
      <w:r w:rsidR="005720B3">
        <w:rPr>
          <w:sz w:val="26"/>
          <w:szCs w:val="26"/>
        </w:rPr>
        <w:t xml:space="preserve">a motor workshop </w:t>
      </w:r>
      <w:r w:rsidRPr="00F76F9B">
        <w:rPr>
          <w:sz w:val="26"/>
          <w:szCs w:val="26"/>
        </w:rPr>
        <w:t>at the property</w:t>
      </w:r>
      <w:r w:rsidR="00F82828">
        <w:rPr>
          <w:sz w:val="26"/>
          <w:szCs w:val="26"/>
        </w:rPr>
        <w:t>. Th</w:t>
      </w:r>
      <w:r w:rsidR="009D441B">
        <w:rPr>
          <w:sz w:val="26"/>
          <w:szCs w:val="26"/>
        </w:rPr>
        <w:t>is</w:t>
      </w:r>
      <w:r w:rsidR="00F82828">
        <w:rPr>
          <w:sz w:val="26"/>
          <w:szCs w:val="26"/>
        </w:rPr>
        <w:t xml:space="preserve"> activit</w:t>
      </w:r>
      <w:r w:rsidR="009D441B">
        <w:rPr>
          <w:sz w:val="26"/>
          <w:szCs w:val="26"/>
        </w:rPr>
        <w:t>y is</w:t>
      </w:r>
      <w:r w:rsidRPr="00F76F9B">
        <w:rPr>
          <w:sz w:val="26"/>
          <w:szCs w:val="26"/>
        </w:rPr>
        <w:t xml:space="preserve"> expressly excluded from </w:t>
      </w:r>
      <w:r w:rsidR="00F927C9" w:rsidRPr="00F76F9B">
        <w:rPr>
          <w:sz w:val="26"/>
          <w:szCs w:val="26"/>
        </w:rPr>
        <w:t>permitted activities at the property.  The first respondent’s use of the property clearly contravenes its zoning</w:t>
      </w:r>
      <w:r w:rsidR="009D441B">
        <w:rPr>
          <w:sz w:val="26"/>
          <w:szCs w:val="26"/>
        </w:rPr>
        <w:t xml:space="preserve"> permission</w:t>
      </w:r>
      <w:r w:rsidR="006F5940">
        <w:rPr>
          <w:sz w:val="26"/>
          <w:szCs w:val="26"/>
        </w:rPr>
        <w:t>.</w:t>
      </w:r>
      <w:r w:rsidR="00F927C9" w:rsidRPr="00F76F9B">
        <w:rPr>
          <w:sz w:val="26"/>
          <w:szCs w:val="26"/>
        </w:rPr>
        <w:t xml:space="preserve"> </w:t>
      </w:r>
    </w:p>
    <w:p w14:paraId="7B381187" w14:textId="77777777" w:rsidR="00B2029F" w:rsidRDefault="006C0173" w:rsidP="00F76F9B">
      <w:pPr>
        <w:pStyle w:val="ListParagraph"/>
        <w:numPr>
          <w:ilvl w:val="0"/>
          <w:numId w:val="3"/>
        </w:numPr>
        <w:contextualSpacing w:val="0"/>
        <w:rPr>
          <w:sz w:val="26"/>
          <w:szCs w:val="26"/>
        </w:rPr>
      </w:pPr>
      <w:r>
        <w:rPr>
          <w:sz w:val="26"/>
          <w:szCs w:val="26"/>
        </w:rPr>
        <w:t>An interference with the property rights of another</w:t>
      </w:r>
      <w:r w:rsidR="002A158C">
        <w:rPr>
          <w:sz w:val="26"/>
          <w:szCs w:val="26"/>
        </w:rPr>
        <w:t xml:space="preserve"> is actionable if it is unreasonable. It will be unreasonable if it is conduct</w:t>
      </w:r>
      <w:r w:rsidR="00476C24">
        <w:rPr>
          <w:sz w:val="26"/>
          <w:szCs w:val="26"/>
        </w:rPr>
        <w:t xml:space="preserve"> that is not to be expected in the circumstances and which does not have to be tolerated</w:t>
      </w:r>
      <w:r w:rsidR="00DE7618">
        <w:rPr>
          <w:sz w:val="26"/>
          <w:szCs w:val="26"/>
        </w:rPr>
        <w:t xml:space="preserve"> under the principle of</w:t>
      </w:r>
      <w:r w:rsidR="00E503C6">
        <w:rPr>
          <w:sz w:val="26"/>
          <w:szCs w:val="26"/>
        </w:rPr>
        <w:t xml:space="preserve"> ‘give and take, live and let live’.</w:t>
      </w:r>
      <w:r w:rsidR="00E275C1">
        <w:rPr>
          <w:rStyle w:val="FootnoteReference"/>
          <w:sz w:val="26"/>
          <w:szCs w:val="26"/>
        </w:rPr>
        <w:footnoteReference w:id="1"/>
      </w:r>
    </w:p>
    <w:p w14:paraId="3B111F71" w14:textId="2D1B2A8A" w:rsidR="00D80D79" w:rsidRDefault="00264677" w:rsidP="00F76F9B">
      <w:pPr>
        <w:pStyle w:val="ListParagraph"/>
        <w:numPr>
          <w:ilvl w:val="0"/>
          <w:numId w:val="3"/>
        </w:numPr>
        <w:contextualSpacing w:val="0"/>
        <w:rPr>
          <w:sz w:val="26"/>
          <w:szCs w:val="26"/>
        </w:rPr>
      </w:pPr>
      <w:r w:rsidRPr="00D80D79">
        <w:rPr>
          <w:sz w:val="26"/>
          <w:szCs w:val="26"/>
        </w:rPr>
        <w:t xml:space="preserve">There is no dispute that the activities of the first respondent at the property </w:t>
      </w:r>
      <w:r w:rsidR="001840FC">
        <w:rPr>
          <w:sz w:val="26"/>
          <w:szCs w:val="26"/>
        </w:rPr>
        <w:t>causes</w:t>
      </w:r>
      <w:r w:rsidRPr="00D80D79">
        <w:rPr>
          <w:sz w:val="26"/>
          <w:szCs w:val="26"/>
        </w:rPr>
        <w:t xml:space="preserve"> </w:t>
      </w:r>
      <w:r w:rsidR="00CB66EF" w:rsidRPr="00D80D79">
        <w:rPr>
          <w:sz w:val="26"/>
          <w:szCs w:val="26"/>
        </w:rPr>
        <w:t>traffic congestion</w:t>
      </w:r>
      <w:r w:rsidR="001840FC">
        <w:rPr>
          <w:sz w:val="26"/>
          <w:szCs w:val="26"/>
        </w:rPr>
        <w:t>,</w:t>
      </w:r>
      <w:r w:rsidR="00C77132" w:rsidRPr="00D80D79">
        <w:rPr>
          <w:sz w:val="26"/>
          <w:szCs w:val="26"/>
        </w:rPr>
        <w:t xml:space="preserve"> </w:t>
      </w:r>
      <w:r w:rsidR="001840FC">
        <w:rPr>
          <w:sz w:val="26"/>
          <w:szCs w:val="26"/>
        </w:rPr>
        <w:t xml:space="preserve">regular </w:t>
      </w:r>
      <w:r w:rsidR="00C77132" w:rsidRPr="00D80D79">
        <w:rPr>
          <w:sz w:val="26"/>
          <w:szCs w:val="26"/>
        </w:rPr>
        <w:t>blocking</w:t>
      </w:r>
      <w:r w:rsidR="00CB66EF" w:rsidRPr="00D80D79">
        <w:rPr>
          <w:sz w:val="26"/>
          <w:szCs w:val="26"/>
        </w:rPr>
        <w:t xml:space="preserve"> </w:t>
      </w:r>
      <w:r w:rsidR="001840FC">
        <w:rPr>
          <w:sz w:val="26"/>
          <w:szCs w:val="26"/>
        </w:rPr>
        <w:t>of access to</w:t>
      </w:r>
      <w:r w:rsidR="00CB66EF" w:rsidRPr="00D80D79">
        <w:rPr>
          <w:sz w:val="26"/>
          <w:szCs w:val="26"/>
        </w:rPr>
        <w:t xml:space="preserve"> the entrances of the properties</w:t>
      </w:r>
      <w:r w:rsidR="00C77132" w:rsidRPr="00D80D79">
        <w:rPr>
          <w:sz w:val="26"/>
          <w:szCs w:val="26"/>
        </w:rPr>
        <w:t xml:space="preserve"> and</w:t>
      </w:r>
      <w:r w:rsidR="001840FC">
        <w:rPr>
          <w:sz w:val="26"/>
          <w:szCs w:val="26"/>
        </w:rPr>
        <w:t xml:space="preserve"> </w:t>
      </w:r>
      <w:r w:rsidR="00077E80">
        <w:rPr>
          <w:sz w:val="26"/>
          <w:szCs w:val="26"/>
        </w:rPr>
        <w:t>obstructions</w:t>
      </w:r>
      <w:r w:rsidR="00C77132" w:rsidRPr="00D80D79">
        <w:rPr>
          <w:sz w:val="26"/>
          <w:szCs w:val="26"/>
        </w:rPr>
        <w:t xml:space="preserve"> in the public street </w:t>
      </w:r>
      <w:r w:rsidR="002C45FF" w:rsidRPr="00D80D79">
        <w:rPr>
          <w:sz w:val="26"/>
          <w:szCs w:val="26"/>
        </w:rPr>
        <w:t>along which the properties are situated</w:t>
      </w:r>
      <w:r w:rsidR="002D4DC0" w:rsidRPr="00D80D79">
        <w:rPr>
          <w:sz w:val="26"/>
          <w:szCs w:val="26"/>
        </w:rPr>
        <w:t xml:space="preserve"> as a result of the movements of the trucks</w:t>
      </w:r>
      <w:r w:rsidR="00DA5C4F" w:rsidRPr="00D80D79">
        <w:rPr>
          <w:sz w:val="26"/>
          <w:szCs w:val="26"/>
        </w:rPr>
        <w:t>,</w:t>
      </w:r>
      <w:r w:rsidR="00FE7E8E" w:rsidRPr="00D80D79">
        <w:rPr>
          <w:sz w:val="26"/>
          <w:szCs w:val="26"/>
        </w:rPr>
        <w:t xml:space="preserve"> and</w:t>
      </w:r>
      <w:r w:rsidR="002D4DC0" w:rsidRPr="00D80D79">
        <w:rPr>
          <w:sz w:val="26"/>
          <w:szCs w:val="26"/>
        </w:rPr>
        <w:t xml:space="preserve"> noise from air-operated tools</w:t>
      </w:r>
      <w:r w:rsidR="00335AE2" w:rsidRPr="00D80D79">
        <w:rPr>
          <w:sz w:val="26"/>
          <w:szCs w:val="26"/>
        </w:rPr>
        <w:t>, idling trucks</w:t>
      </w:r>
      <w:r w:rsidR="00CA4756" w:rsidRPr="00D80D79">
        <w:rPr>
          <w:sz w:val="26"/>
          <w:szCs w:val="26"/>
        </w:rPr>
        <w:t>, reverse sirens,</w:t>
      </w:r>
      <w:r w:rsidR="002D4DC0" w:rsidRPr="00D80D79">
        <w:rPr>
          <w:sz w:val="26"/>
          <w:szCs w:val="26"/>
        </w:rPr>
        <w:t xml:space="preserve"> and a siren</w:t>
      </w:r>
      <w:r w:rsidR="00CA4756" w:rsidRPr="00D80D79">
        <w:rPr>
          <w:sz w:val="26"/>
          <w:szCs w:val="26"/>
        </w:rPr>
        <w:t xml:space="preserve"> regulating work shifts</w:t>
      </w:r>
      <w:r w:rsidR="00FE7E8E" w:rsidRPr="00D80D79">
        <w:rPr>
          <w:sz w:val="26"/>
          <w:szCs w:val="26"/>
        </w:rPr>
        <w:t xml:space="preserve">. </w:t>
      </w:r>
      <w:r w:rsidR="00163F57" w:rsidRPr="00D80D79">
        <w:rPr>
          <w:sz w:val="26"/>
          <w:szCs w:val="26"/>
        </w:rPr>
        <w:t xml:space="preserve">The </w:t>
      </w:r>
      <w:r w:rsidR="00607DF4" w:rsidRPr="00D80D79">
        <w:rPr>
          <w:sz w:val="26"/>
          <w:szCs w:val="26"/>
        </w:rPr>
        <w:t>applicants</w:t>
      </w:r>
      <w:r w:rsidR="00163F57" w:rsidRPr="00D80D79">
        <w:rPr>
          <w:sz w:val="26"/>
          <w:szCs w:val="26"/>
        </w:rPr>
        <w:t xml:space="preserve"> also complain that their </w:t>
      </w:r>
      <w:r w:rsidR="00607DF4" w:rsidRPr="00D80D79">
        <w:rPr>
          <w:sz w:val="26"/>
          <w:szCs w:val="26"/>
        </w:rPr>
        <w:t>privacy</w:t>
      </w:r>
      <w:r w:rsidR="00163F57" w:rsidRPr="00D80D79">
        <w:rPr>
          <w:sz w:val="26"/>
          <w:szCs w:val="26"/>
        </w:rPr>
        <w:t xml:space="preserve"> is </w:t>
      </w:r>
      <w:r w:rsidR="00607DF4" w:rsidRPr="00D80D79">
        <w:rPr>
          <w:sz w:val="26"/>
          <w:szCs w:val="26"/>
        </w:rPr>
        <w:t>interfered</w:t>
      </w:r>
      <w:r w:rsidR="00163F57" w:rsidRPr="00D80D79">
        <w:rPr>
          <w:sz w:val="26"/>
          <w:szCs w:val="26"/>
        </w:rPr>
        <w:t xml:space="preserve"> with. They can no longer use their swimming pool w</w:t>
      </w:r>
      <w:r w:rsidR="00E43ED9" w:rsidRPr="00D80D79">
        <w:rPr>
          <w:sz w:val="26"/>
          <w:szCs w:val="26"/>
        </w:rPr>
        <w:t xml:space="preserve">ith comfort, as the height of the vehicle cabins </w:t>
      </w:r>
      <w:r w:rsidR="00D80D79" w:rsidRPr="00D80D79">
        <w:rPr>
          <w:sz w:val="26"/>
          <w:szCs w:val="26"/>
        </w:rPr>
        <w:t>allows</w:t>
      </w:r>
      <w:r w:rsidR="00607DF4" w:rsidRPr="00D80D79">
        <w:rPr>
          <w:sz w:val="26"/>
          <w:szCs w:val="26"/>
        </w:rPr>
        <w:t xml:space="preserve"> drivers line of sight into their property.</w:t>
      </w:r>
    </w:p>
    <w:p w14:paraId="2AEF7B57" w14:textId="14E6F983" w:rsidR="00C872B4" w:rsidRPr="00D80D79" w:rsidRDefault="00F253F2" w:rsidP="00F76F9B">
      <w:pPr>
        <w:pStyle w:val="ListParagraph"/>
        <w:numPr>
          <w:ilvl w:val="0"/>
          <w:numId w:val="3"/>
        </w:numPr>
        <w:contextualSpacing w:val="0"/>
        <w:rPr>
          <w:sz w:val="26"/>
          <w:szCs w:val="26"/>
        </w:rPr>
      </w:pPr>
      <w:r>
        <w:rPr>
          <w:sz w:val="26"/>
          <w:szCs w:val="26"/>
        </w:rPr>
        <w:t>It</w:t>
      </w:r>
      <w:r w:rsidR="00935CF7" w:rsidRPr="00D80D79">
        <w:rPr>
          <w:sz w:val="26"/>
          <w:szCs w:val="26"/>
        </w:rPr>
        <w:t xml:space="preserve"> is clear that the disturbances are </w:t>
      </w:r>
      <w:r w:rsidR="00915B4B" w:rsidRPr="00D80D79">
        <w:rPr>
          <w:sz w:val="26"/>
          <w:szCs w:val="26"/>
        </w:rPr>
        <w:t xml:space="preserve">real and </w:t>
      </w:r>
      <w:r w:rsidR="00935CF7" w:rsidRPr="00D80D79">
        <w:rPr>
          <w:sz w:val="26"/>
          <w:szCs w:val="26"/>
        </w:rPr>
        <w:t>in effect continuous</w:t>
      </w:r>
      <w:r w:rsidR="00F1426A" w:rsidRPr="00D80D79">
        <w:rPr>
          <w:sz w:val="26"/>
          <w:szCs w:val="26"/>
        </w:rPr>
        <w:t>,</w:t>
      </w:r>
      <w:r w:rsidR="00915B4B" w:rsidRPr="00D80D79">
        <w:rPr>
          <w:sz w:val="26"/>
          <w:szCs w:val="26"/>
        </w:rPr>
        <w:t xml:space="preserve"> commencing before five </w:t>
      </w:r>
      <w:r w:rsidR="009D444F" w:rsidRPr="00D80D79">
        <w:rPr>
          <w:sz w:val="26"/>
          <w:szCs w:val="26"/>
        </w:rPr>
        <w:t xml:space="preserve">o’clock </w:t>
      </w:r>
      <w:r w:rsidR="00915B4B" w:rsidRPr="00D80D79">
        <w:rPr>
          <w:sz w:val="26"/>
          <w:szCs w:val="26"/>
        </w:rPr>
        <w:t xml:space="preserve">in the morning and continuing as late as </w:t>
      </w:r>
      <w:r w:rsidR="009D444F" w:rsidRPr="00D80D79">
        <w:rPr>
          <w:sz w:val="26"/>
          <w:szCs w:val="26"/>
        </w:rPr>
        <w:t>ten or eleven o’clock at night</w:t>
      </w:r>
      <w:r w:rsidR="00F1426A" w:rsidRPr="00D80D79">
        <w:rPr>
          <w:sz w:val="26"/>
          <w:szCs w:val="26"/>
        </w:rPr>
        <w:t>.</w:t>
      </w:r>
      <w:r w:rsidR="00CB66EF" w:rsidRPr="00D80D79">
        <w:rPr>
          <w:sz w:val="26"/>
          <w:szCs w:val="26"/>
        </w:rPr>
        <w:t xml:space="preserve"> </w:t>
      </w:r>
    </w:p>
    <w:p w14:paraId="05FADAE3" w14:textId="2B72B2F1" w:rsidR="00EB3038" w:rsidRDefault="00EF799C" w:rsidP="00EF799C">
      <w:pPr>
        <w:pStyle w:val="ListParagraph"/>
        <w:numPr>
          <w:ilvl w:val="0"/>
          <w:numId w:val="3"/>
        </w:numPr>
        <w:contextualSpacing w:val="0"/>
        <w:rPr>
          <w:sz w:val="26"/>
          <w:szCs w:val="26"/>
        </w:rPr>
      </w:pPr>
      <w:r w:rsidRPr="007D3990">
        <w:rPr>
          <w:sz w:val="26"/>
          <w:szCs w:val="26"/>
        </w:rPr>
        <w:t xml:space="preserve">The applicants presented the findings of a noise and acoustics expert, Mr Bodenstein. </w:t>
      </w:r>
      <w:r w:rsidR="00EB3038">
        <w:rPr>
          <w:sz w:val="26"/>
          <w:szCs w:val="26"/>
        </w:rPr>
        <w:t xml:space="preserve"> </w:t>
      </w:r>
      <w:r w:rsidRPr="007D3990">
        <w:rPr>
          <w:sz w:val="26"/>
          <w:szCs w:val="26"/>
        </w:rPr>
        <w:t xml:space="preserve">His </w:t>
      </w:r>
      <w:r w:rsidR="00F253F2">
        <w:rPr>
          <w:sz w:val="26"/>
          <w:szCs w:val="26"/>
        </w:rPr>
        <w:t>expertise was not challenged, and</w:t>
      </w:r>
      <w:r w:rsidR="001D4731">
        <w:rPr>
          <w:sz w:val="26"/>
          <w:szCs w:val="26"/>
        </w:rPr>
        <w:t xml:space="preserve"> his </w:t>
      </w:r>
      <w:r w:rsidRPr="007D3990">
        <w:rPr>
          <w:sz w:val="26"/>
          <w:szCs w:val="26"/>
        </w:rPr>
        <w:t>evidence was not seriously challenged by the first respondent, who</w:t>
      </w:r>
      <w:r w:rsidR="00EB3038">
        <w:rPr>
          <w:sz w:val="26"/>
          <w:szCs w:val="26"/>
        </w:rPr>
        <w:t>,</w:t>
      </w:r>
      <w:r w:rsidRPr="007D3990">
        <w:rPr>
          <w:sz w:val="26"/>
          <w:szCs w:val="26"/>
        </w:rPr>
        <w:t xml:space="preserve"> for instance</w:t>
      </w:r>
      <w:r w:rsidR="00EB3038">
        <w:rPr>
          <w:sz w:val="26"/>
          <w:szCs w:val="26"/>
        </w:rPr>
        <w:t>,</w:t>
      </w:r>
      <w:r w:rsidRPr="007D3990">
        <w:rPr>
          <w:sz w:val="26"/>
          <w:szCs w:val="26"/>
        </w:rPr>
        <w:t xml:space="preserve"> challenged the calibration of the measuring instruments</w:t>
      </w:r>
      <w:r w:rsidR="009D3ED8">
        <w:rPr>
          <w:sz w:val="26"/>
          <w:szCs w:val="26"/>
        </w:rPr>
        <w:t>,</w:t>
      </w:r>
      <w:r w:rsidR="00EB3038">
        <w:rPr>
          <w:sz w:val="26"/>
          <w:szCs w:val="26"/>
        </w:rPr>
        <w:t xml:space="preserve"> in the face of</w:t>
      </w:r>
      <w:r w:rsidRPr="007D3990">
        <w:rPr>
          <w:sz w:val="26"/>
          <w:szCs w:val="26"/>
        </w:rPr>
        <w:t xml:space="preserve"> calibration certificates</w:t>
      </w:r>
      <w:r w:rsidR="009D3ED8">
        <w:rPr>
          <w:sz w:val="26"/>
          <w:szCs w:val="26"/>
        </w:rPr>
        <w:t>,</w:t>
      </w:r>
      <w:r w:rsidR="00EB3038">
        <w:rPr>
          <w:sz w:val="26"/>
          <w:szCs w:val="26"/>
        </w:rPr>
        <w:t xml:space="preserve"> without establishing any factual basis for the challenge</w:t>
      </w:r>
      <w:r w:rsidRPr="007D3990">
        <w:rPr>
          <w:sz w:val="26"/>
          <w:szCs w:val="26"/>
        </w:rPr>
        <w:t xml:space="preserve">.  </w:t>
      </w:r>
    </w:p>
    <w:p w14:paraId="3F98FF95" w14:textId="22788E61" w:rsidR="00EF799C" w:rsidRDefault="00EF799C" w:rsidP="00EF799C">
      <w:pPr>
        <w:pStyle w:val="ListParagraph"/>
        <w:numPr>
          <w:ilvl w:val="0"/>
          <w:numId w:val="3"/>
        </w:numPr>
        <w:contextualSpacing w:val="0"/>
        <w:rPr>
          <w:sz w:val="26"/>
          <w:szCs w:val="26"/>
        </w:rPr>
      </w:pPr>
      <w:r w:rsidRPr="007D3990">
        <w:rPr>
          <w:sz w:val="26"/>
          <w:szCs w:val="26"/>
        </w:rPr>
        <w:t>Mr Bodenstein took various measurements and compared them with the ratings allowed in terms of National Standard SANS 10103 of 2008. He concluded that the noise at the property is at least 15dBA higher than allowed by the regulations and national standards.</w:t>
      </w:r>
      <w:r>
        <w:rPr>
          <w:sz w:val="26"/>
          <w:szCs w:val="26"/>
        </w:rPr>
        <w:t xml:space="preserve"> The analysis in his report satisfied me that his measurements indeed show that the noise is excessive.</w:t>
      </w:r>
    </w:p>
    <w:p w14:paraId="4C565A01" w14:textId="7509BB34" w:rsidR="005701A9" w:rsidRPr="003276F5" w:rsidRDefault="007D38C5" w:rsidP="00F76F9B">
      <w:pPr>
        <w:pStyle w:val="ListParagraph"/>
        <w:numPr>
          <w:ilvl w:val="0"/>
          <w:numId w:val="3"/>
        </w:numPr>
        <w:contextualSpacing w:val="0"/>
        <w:rPr>
          <w:sz w:val="26"/>
          <w:szCs w:val="26"/>
        </w:rPr>
      </w:pPr>
      <w:r w:rsidRPr="003276F5">
        <w:rPr>
          <w:sz w:val="26"/>
          <w:szCs w:val="26"/>
        </w:rPr>
        <w:t>T</w:t>
      </w:r>
      <w:r w:rsidR="00C872B4" w:rsidRPr="003276F5">
        <w:rPr>
          <w:sz w:val="26"/>
          <w:szCs w:val="26"/>
        </w:rPr>
        <w:t xml:space="preserve">he </w:t>
      </w:r>
      <w:r w:rsidR="00F00A7E">
        <w:rPr>
          <w:sz w:val="26"/>
          <w:szCs w:val="26"/>
        </w:rPr>
        <w:t xml:space="preserve">facts show that the </w:t>
      </w:r>
      <w:r w:rsidR="00C872B4" w:rsidRPr="003276F5">
        <w:rPr>
          <w:sz w:val="26"/>
          <w:szCs w:val="26"/>
        </w:rPr>
        <w:t xml:space="preserve">applicants are disturbed in their use and enjoyment of their property. </w:t>
      </w:r>
      <w:r w:rsidR="00E503C6" w:rsidRPr="003276F5">
        <w:rPr>
          <w:sz w:val="26"/>
          <w:szCs w:val="26"/>
        </w:rPr>
        <w:t xml:space="preserve"> </w:t>
      </w:r>
      <w:r w:rsidR="007B1848" w:rsidRPr="003276F5">
        <w:rPr>
          <w:sz w:val="26"/>
          <w:szCs w:val="26"/>
        </w:rPr>
        <w:t xml:space="preserve">The disturbances </w:t>
      </w:r>
      <w:r w:rsidR="00F93343" w:rsidRPr="003276F5">
        <w:rPr>
          <w:sz w:val="26"/>
          <w:szCs w:val="26"/>
        </w:rPr>
        <w:t>are unreasonable</w:t>
      </w:r>
      <w:r w:rsidR="003276F5" w:rsidRPr="003276F5">
        <w:rPr>
          <w:sz w:val="26"/>
          <w:szCs w:val="26"/>
        </w:rPr>
        <w:t xml:space="preserve"> – </w:t>
      </w:r>
      <w:r w:rsidR="003276F5">
        <w:rPr>
          <w:sz w:val="26"/>
          <w:szCs w:val="26"/>
        </w:rPr>
        <w:t>t</w:t>
      </w:r>
      <w:r w:rsidR="00F93343" w:rsidRPr="003276F5">
        <w:rPr>
          <w:sz w:val="26"/>
          <w:szCs w:val="26"/>
        </w:rPr>
        <w:t>hey are not expected at the property, because the property is not zoned for such activities.</w:t>
      </w:r>
      <w:r w:rsidR="00F927C9" w:rsidRPr="003276F5">
        <w:rPr>
          <w:sz w:val="26"/>
          <w:szCs w:val="26"/>
        </w:rPr>
        <w:t xml:space="preserve"> </w:t>
      </w:r>
      <w:r w:rsidR="00875974" w:rsidRPr="003276F5">
        <w:rPr>
          <w:sz w:val="26"/>
          <w:szCs w:val="26"/>
        </w:rPr>
        <w:t xml:space="preserve">  </w:t>
      </w:r>
    </w:p>
    <w:p w14:paraId="1DB55917" w14:textId="0E47E959" w:rsidR="00F93343" w:rsidRPr="007D38C5" w:rsidRDefault="00C7593C" w:rsidP="00C7593C">
      <w:pPr>
        <w:pStyle w:val="ListParagraph"/>
        <w:numPr>
          <w:ilvl w:val="0"/>
          <w:numId w:val="3"/>
        </w:numPr>
        <w:contextualSpacing w:val="0"/>
        <w:rPr>
          <w:sz w:val="26"/>
          <w:szCs w:val="26"/>
        </w:rPr>
      </w:pPr>
      <w:r w:rsidRPr="007D38C5">
        <w:rPr>
          <w:sz w:val="26"/>
          <w:szCs w:val="26"/>
        </w:rPr>
        <w:t>To obtain a final interdict, the applicants have to show (a) a clear right; (b) an injury actually committed or reasonably apprehended; and (c) the lack of an adequate alternative remedy.</w:t>
      </w:r>
      <w:r w:rsidR="00E275C1">
        <w:rPr>
          <w:rStyle w:val="FootnoteReference"/>
          <w:sz w:val="26"/>
          <w:szCs w:val="26"/>
        </w:rPr>
        <w:footnoteReference w:id="2"/>
      </w:r>
      <w:r w:rsidR="007D38C5" w:rsidRPr="007D38C5">
        <w:rPr>
          <w:sz w:val="26"/>
          <w:szCs w:val="26"/>
        </w:rPr>
        <w:t xml:space="preserve"> </w:t>
      </w:r>
      <w:r w:rsidR="00F93343" w:rsidRPr="007D38C5">
        <w:rPr>
          <w:sz w:val="26"/>
          <w:szCs w:val="26"/>
        </w:rPr>
        <w:t>The applicant</w:t>
      </w:r>
      <w:r w:rsidR="005F7E76">
        <w:rPr>
          <w:sz w:val="26"/>
          <w:szCs w:val="26"/>
        </w:rPr>
        <w:t>s</w:t>
      </w:r>
      <w:r w:rsidR="00F93343" w:rsidRPr="007D38C5">
        <w:rPr>
          <w:sz w:val="26"/>
          <w:szCs w:val="26"/>
        </w:rPr>
        <w:t xml:space="preserve"> have met these </w:t>
      </w:r>
      <w:r w:rsidR="002313B9" w:rsidRPr="007D38C5">
        <w:rPr>
          <w:sz w:val="26"/>
          <w:szCs w:val="26"/>
        </w:rPr>
        <w:t>requirements and</w:t>
      </w:r>
      <w:r w:rsidR="008E19F3" w:rsidRPr="007D38C5">
        <w:rPr>
          <w:sz w:val="26"/>
          <w:szCs w:val="26"/>
        </w:rPr>
        <w:t xml:space="preserve"> are entitled to an interdict </w:t>
      </w:r>
      <w:r w:rsidR="004B2D25" w:rsidRPr="007D38C5">
        <w:rPr>
          <w:sz w:val="26"/>
          <w:szCs w:val="26"/>
        </w:rPr>
        <w:t>prohibiting</w:t>
      </w:r>
      <w:r w:rsidR="008E19F3" w:rsidRPr="007D38C5">
        <w:rPr>
          <w:sz w:val="26"/>
          <w:szCs w:val="26"/>
        </w:rPr>
        <w:t xml:space="preserve"> the first respondent from </w:t>
      </w:r>
      <w:r w:rsidR="004B2D25" w:rsidRPr="007D38C5">
        <w:rPr>
          <w:sz w:val="26"/>
          <w:szCs w:val="26"/>
        </w:rPr>
        <w:t xml:space="preserve">using the property as a </w:t>
      </w:r>
      <w:r w:rsidR="00C84B1E">
        <w:rPr>
          <w:sz w:val="26"/>
          <w:szCs w:val="26"/>
        </w:rPr>
        <w:t>motor work</w:t>
      </w:r>
      <w:r w:rsidR="004B2D25" w:rsidRPr="007D38C5">
        <w:rPr>
          <w:sz w:val="26"/>
          <w:szCs w:val="26"/>
        </w:rPr>
        <w:t>shop</w:t>
      </w:r>
      <w:r w:rsidR="00C84B1E">
        <w:rPr>
          <w:sz w:val="26"/>
          <w:szCs w:val="26"/>
        </w:rPr>
        <w:t xml:space="preserve"> as defined in the </w:t>
      </w:r>
      <w:r w:rsidR="00F17C8D">
        <w:rPr>
          <w:sz w:val="26"/>
          <w:szCs w:val="26"/>
        </w:rPr>
        <w:t>Scheme and prohibiting the noise disturbance flowing therefrom.</w:t>
      </w:r>
    </w:p>
    <w:p w14:paraId="129835E6" w14:textId="3ED3BBF4" w:rsidR="00C02C16" w:rsidRDefault="00556B8F" w:rsidP="00C02C16">
      <w:pPr>
        <w:pStyle w:val="Heading1"/>
      </w:pPr>
      <w:r>
        <w:t xml:space="preserve">The </w:t>
      </w:r>
      <w:r w:rsidR="006B4898">
        <w:t>structure</w:t>
      </w:r>
    </w:p>
    <w:p w14:paraId="0A8469CE" w14:textId="528B02BB" w:rsidR="00AA0D31" w:rsidRDefault="00556B8F" w:rsidP="00A355A1">
      <w:pPr>
        <w:pStyle w:val="ListParagraph"/>
        <w:numPr>
          <w:ilvl w:val="0"/>
          <w:numId w:val="3"/>
        </w:numPr>
        <w:contextualSpacing w:val="0"/>
        <w:rPr>
          <w:sz w:val="26"/>
          <w:szCs w:val="26"/>
        </w:rPr>
      </w:pPr>
      <w:r>
        <w:rPr>
          <w:sz w:val="26"/>
          <w:szCs w:val="26"/>
        </w:rPr>
        <w:t>A</w:t>
      </w:r>
      <w:r w:rsidR="000A5465">
        <w:rPr>
          <w:sz w:val="26"/>
          <w:szCs w:val="26"/>
        </w:rPr>
        <w:t xml:space="preserve">t the time when </w:t>
      </w:r>
      <w:r>
        <w:rPr>
          <w:sz w:val="26"/>
          <w:szCs w:val="26"/>
        </w:rPr>
        <w:t>the</w:t>
      </w:r>
      <w:r w:rsidR="000A5465">
        <w:rPr>
          <w:sz w:val="26"/>
          <w:szCs w:val="26"/>
        </w:rPr>
        <w:t xml:space="preserve"> application </w:t>
      </w:r>
      <w:r>
        <w:rPr>
          <w:sz w:val="26"/>
          <w:szCs w:val="26"/>
        </w:rPr>
        <w:t xml:space="preserve">was launched </w:t>
      </w:r>
      <w:r w:rsidR="000A5465">
        <w:rPr>
          <w:sz w:val="26"/>
          <w:szCs w:val="26"/>
        </w:rPr>
        <w:t xml:space="preserve">in February 2019, the </w:t>
      </w:r>
      <w:r w:rsidR="00EB3038">
        <w:rPr>
          <w:sz w:val="26"/>
          <w:szCs w:val="26"/>
        </w:rPr>
        <w:t>second</w:t>
      </w:r>
      <w:r w:rsidR="000A5465">
        <w:rPr>
          <w:sz w:val="26"/>
          <w:szCs w:val="26"/>
        </w:rPr>
        <w:t xml:space="preserve"> respondent had no</w:t>
      </w:r>
      <w:r w:rsidR="00EB3038">
        <w:rPr>
          <w:sz w:val="26"/>
          <w:szCs w:val="26"/>
        </w:rPr>
        <w:t>t</w:t>
      </w:r>
      <w:r w:rsidR="000A5465">
        <w:rPr>
          <w:sz w:val="26"/>
          <w:szCs w:val="26"/>
        </w:rPr>
        <w:t xml:space="preserve"> approved building plans for the structure </w:t>
      </w:r>
      <w:r w:rsidR="00EB3038">
        <w:rPr>
          <w:sz w:val="26"/>
          <w:szCs w:val="26"/>
        </w:rPr>
        <w:t xml:space="preserve">that had been erected on the property </w:t>
      </w:r>
      <w:r w:rsidR="00F319B6">
        <w:rPr>
          <w:sz w:val="26"/>
          <w:szCs w:val="26"/>
        </w:rPr>
        <w:t xml:space="preserve">and </w:t>
      </w:r>
      <w:r w:rsidR="000A5465">
        <w:rPr>
          <w:sz w:val="26"/>
          <w:szCs w:val="26"/>
        </w:rPr>
        <w:t xml:space="preserve">from which </w:t>
      </w:r>
      <w:r w:rsidR="00F319B6">
        <w:rPr>
          <w:sz w:val="26"/>
          <w:szCs w:val="26"/>
        </w:rPr>
        <w:t xml:space="preserve">the first </w:t>
      </w:r>
      <w:r w:rsidR="00A25BE0">
        <w:rPr>
          <w:sz w:val="26"/>
          <w:szCs w:val="26"/>
        </w:rPr>
        <w:t xml:space="preserve">respondent </w:t>
      </w:r>
      <w:r w:rsidR="000A5465">
        <w:rPr>
          <w:sz w:val="26"/>
          <w:szCs w:val="26"/>
        </w:rPr>
        <w:t>operates its business.</w:t>
      </w:r>
      <w:r w:rsidR="00F319B6">
        <w:rPr>
          <w:sz w:val="26"/>
          <w:szCs w:val="26"/>
        </w:rPr>
        <w:t xml:space="preserve">  In these circumstances, the applicants sought an order for the demolishing of the structure as having been illegally erected.</w:t>
      </w:r>
      <w:r w:rsidR="000A5465">
        <w:rPr>
          <w:sz w:val="26"/>
          <w:szCs w:val="26"/>
        </w:rPr>
        <w:t xml:space="preserve">  </w:t>
      </w:r>
    </w:p>
    <w:p w14:paraId="5B70767D" w14:textId="7622525F" w:rsidR="00567498" w:rsidRDefault="0069151D" w:rsidP="00A355A1">
      <w:pPr>
        <w:pStyle w:val="ListParagraph"/>
        <w:numPr>
          <w:ilvl w:val="0"/>
          <w:numId w:val="3"/>
        </w:numPr>
        <w:contextualSpacing w:val="0"/>
        <w:rPr>
          <w:sz w:val="26"/>
          <w:szCs w:val="26"/>
        </w:rPr>
      </w:pPr>
      <w:r>
        <w:rPr>
          <w:sz w:val="26"/>
          <w:szCs w:val="26"/>
        </w:rPr>
        <w:t xml:space="preserve">A few weeks later, on 25 March 2019, </w:t>
      </w:r>
      <w:r w:rsidR="00047D3A">
        <w:rPr>
          <w:sz w:val="26"/>
          <w:szCs w:val="26"/>
        </w:rPr>
        <w:t>the first respondent</w:t>
      </w:r>
      <w:r>
        <w:rPr>
          <w:sz w:val="26"/>
          <w:szCs w:val="26"/>
        </w:rPr>
        <w:t xml:space="preserve"> submitted plans for the building to the </w:t>
      </w:r>
      <w:r w:rsidR="00315E7C">
        <w:rPr>
          <w:sz w:val="26"/>
          <w:szCs w:val="26"/>
        </w:rPr>
        <w:t>second respondent</w:t>
      </w:r>
      <w:r>
        <w:rPr>
          <w:sz w:val="26"/>
          <w:szCs w:val="26"/>
        </w:rPr>
        <w:t xml:space="preserve">, who, with amazing efficiency, approved the plans two days later.  When the first respondent delivered its answering affidavit shortly thereafter, </w:t>
      </w:r>
      <w:r w:rsidR="008A6DE8">
        <w:rPr>
          <w:sz w:val="26"/>
          <w:szCs w:val="26"/>
        </w:rPr>
        <w:t xml:space="preserve">it </w:t>
      </w:r>
      <w:r w:rsidR="00185410">
        <w:rPr>
          <w:sz w:val="26"/>
          <w:szCs w:val="26"/>
        </w:rPr>
        <w:t xml:space="preserve">relied on the approved plans to oppose the order for the demolition of the structure.  </w:t>
      </w:r>
      <w:r w:rsidR="00D0657B">
        <w:rPr>
          <w:sz w:val="26"/>
          <w:szCs w:val="26"/>
        </w:rPr>
        <w:t>T</w:t>
      </w:r>
      <w:r w:rsidR="005763E5">
        <w:rPr>
          <w:sz w:val="26"/>
          <w:szCs w:val="26"/>
        </w:rPr>
        <w:t xml:space="preserve">his prompted the applicants to carefully consider the plans and the actual built structure, </w:t>
      </w:r>
      <w:r w:rsidR="00210673">
        <w:rPr>
          <w:sz w:val="26"/>
          <w:szCs w:val="26"/>
        </w:rPr>
        <w:t>whereafter they</w:t>
      </w:r>
      <w:r w:rsidR="00567498">
        <w:rPr>
          <w:sz w:val="26"/>
          <w:szCs w:val="26"/>
        </w:rPr>
        <w:t xml:space="preserve"> applied to supplement their papers to set out the basis for their contention that the structure, as built, does not comply with the approved plans. </w:t>
      </w:r>
    </w:p>
    <w:p w14:paraId="50319EDE" w14:textId="1F4921C2" w:rsidR="0035016D" w:rsidRDefault="00567498" w:rsidP="00A355A1">
      <w:pPr>
        <w:pStyle w:val="ListParagraph"/>
        <w:numPr>
          <w:ilvl w:val="0"/>
          <w:numId w:val="3"/>
        </w:numPr>
        <w:contextualSpacing w:val="0"/>
        <w:rPr>
          <w:sz w:val="26"/>
          <w:szCs w:val="26"/>
        </w:rPr>
      </w:pPr>
      <w:r>
        <w:rPr>
          <w:sz w:val="26"/>
          <w:szCs w:val="26"/>
        </w:rPr>
        <w:t>This evidence could not have</w:t>
      </w:r>
      <w:r w:rsidR="00D005DD">
        <w:rPr>
          <w:sz w:val="26"/>
          <w:szCs w:val="26"/>
        </w:rPr>
        <w:t xml:space="preserve"> been presented earlier.  In fact, the first respondent delayed the delivery of its answering affidavit until it </w:t>
      </w:r>
      <w:r w:rsidR="005943C0">
        <w:rPr>
          <w:sz w:val="26"/>
          <w:szCs w:val="26"/>
        </w:rPr>
        <w:t xml:space="preserve">had </w:t>
      </w:r>
      <w:r w:rsidR="00D005DD">
        <w:rPr>
          <w:sz w:val="26"/>
          <w:szCs w:val="26"/>
        </w:rPr>
        <w:t xml:space="preserve">obtained </w:t>
      </w:r>
      <w:r w:rsidR="002162BE">
        <w:rPr>
          <w:sz w:val="26"/>
          <w:szCs w:val="26"/>
        </w:rPr>
        <w:t xml:space="preserve">approval of the building plans. </w:t>
      </w:r>
      <w:r w:rsidR="005943C0">
        <w:rPr>
          <w:sz w:val="26"/>
          <w:szCs w:val="26"/>
        </w:rPr>
        <w:t xml:space="preserve"> The supplementary papers seek to bring about a change in the cause for the relief for demolition of the </w:t>
      </w:r>
      <w:r w:rsidR="00122837">
        <w:rPr>
          <w:sz w:val="26"/>
          <w:szCs w:val="26"/>
        </w:rPr>
        <w:t>property and</w:t>
      </w:r>
      <w:r w:rsidR="0035016D">
        <w:rPr>
          <w:sz w:val="26"/>
          <w:szCs w:val="26"/>
        </w:rPr>
        <w:t xml:space="preserve"> introduce </w:t>
      </w:r>
      <w:r w:rsidR="00122837">
        <w:rPr>
          <w:sz w:val="26"/>
          <w:szCs w:val="26"/>
        </w:rPr>
        <w:t>twin reasons for a demolition order</w:t>
      </w:r>
      <w:r w:rsidR="005943C0">
        <w:rPr>
          <w:sz w:val="26"/>
          <w:szCs w:val="26"/>
        </w:rPr>
        <w:t>.</w:t>
      </w:r>
      <w:r w:rsidR="002162BE">
        <w:rPr>
          <w:sz w:val="26"/>
          <w:szCs w:val="26"/>
        </w:rPr>
        <w:t xml:space="preserve"> </w:t>
      </w:r>
      <w:r w:rsidR="00D5310B">
        <w:rPr>
          <w:sz w:val="26"/>
          <w:szCs w:val="26"/>
        </w:rPr>
        <w:t xml:space="preserve"> </w:t>
      </w:r>
    </w:p>
    <w:p w14:paraId="56172ECF" w14:textId="13C88F07" w:rsidR="00D0657B" w:rsidRDefault="00122837" w:rsidP="00A355A1">
      <w:pPr>
        <w:pStyle w:val="ListParagraph"/>
        <w:numPr>
          <w:ilvl w:val="0"/>
          <w:numId w:val="3"/>
        </w:numPr>
        <w:contextualSpacing w:val="0"/>
        <w:rPr>
          <w:sz w:val="26"/>
          <w:szCs w:val="26"/>
        </w:rPr>
      </w:pPr>
      <w:r>
        <w:rPr>
          <w:sz w:val="26"/>
          <w:szCs w:val="26"/>
        </w:rPr>
        <w:t xml:space="preserve">The applicants </w:t>
      </w:r>
      <w:r w:rsidR="00AE634D">
        <w:rPr>
          <w:sz w:val="26"/>
          <w:szCs w:val="26"/>
        </w:rPr>
        <w:t xml:space="preserve">show </w:t>
      </w:r>
      <w:r w:rsidR="00A33CEE">
        <w:rPr>
          <w:sz w:val="26"/>
          <w:szCs w:val="26"/>
        </w:rPr>
        <w:t xml:space="preserve">that the structure does not </w:t>
      </w:r>
      <w:r w:rsidR="002B0BB8">
        <w:rPr>
          <w:sz w:val="26"/>
          <w:szCs w:val="26"/>
        </w:rPr>
        <w:t>comply</w:t>
      </w:r>
      <w:r w:rsidR="00A33CEE">
        <w:rPr>
          <w:sz w:val="26"/>
          <w:szCs w:val="26"/>
        </w:rPr>
        <w:t xml:space="preserve"> with the building plans</w:t>
      </w:r>
      <w:r w:rsidR="00AE634D">
        <w:rPr>
          <w:sz w:val="26"/>
          <w:szCs w:val="26"/>
        </w:rPr>
        <w:t>. This</w:t>
      </w:r>
      <w:r w:rsidR="00A33CEE">
        <w:rPr>
          <w:sz w:val="26"/>
          <w:szCs w:val="26"/>
        </w:rPr>
        <w:t xml:space="preserve"> </w:t>
      </w:r>
      <w:r w:rsidR="002B0BB8">
        <w:rPr>
          <w:sz w:val="26"/>
          <w:szCs w:val="26"/>
        </w:rPr>
        <w:t>has been conceded by both</w:t>
      </w:r>
      <w:r w:rsidR="004332A0">
        <w:rPr>
          <w:sz w:val="26"/>
          <w:szCs w:val="26"/>
        </w:rPr>
        <w:t xml:space="preserve"> respondents at an </w:t>
      </w:r>
      <w:r w:rsidR="00E23A7E">
        <w:rPr>
          <w:sz w:val="26"/>
          <w:szCs w:val="26"/>
        </w:rPr>
        <w:t>inspection</w:t>
      </w:r>
      <w:r w:rsidR="004332A0">
        <w:rPr>
          <w:sz w:val="26"/>
          <w:szCs w:val="26"/>
        </w:rPr>
        <w:t xml:space="preserve"> </w:t>
      </w:r>
      <w:r w:rsidR="004332A0">
        <w:rPr>
          <w:i/>
          <w:iCs/>
          <w:sz w:val="26"/>
          <w:szCs w:val="26"/>
        </w:rPr>
        <w:t xml:space="preserve">in </w:t>
      </w:r>
      <w:r w:rsidR="00E23A7E">
        <w:rPr>
          <w:i/>
          <w:iCs/>
          <w:sz w:val="26"/>
          <w:szCs w:val="26"/>
        </w:rPr>
        <w:t>loco</w:t>
      </w:r>
      <w:r w:rsidR="00E23A7E">
        <w:rPr>
          <w:sz w:val="26"/>
          <w:szCs w:val="26"/>
        </w:rPr>
        <w:t xml:space="preserve"> arranged by the applicants’ attorney</w:t>
      </w:r>
      <w:r w:rsidR="00805576">
        <w:rPr>
          <w:sz w:val="26"/>
          <w:szCs w:val="26"/>
        </w:rPr>
        <w:t xml:space="preserve"> and held on </w:t>
      </w:r>
      <w:r w:rsidR="0080458D">
        <w:rPr>
          <w:sz w:val="26"/>
          <w:szCs w:val="26"/>
        </w:rPr>
        <w:t>29 November 2019</w:t>
      </w:r>
      <w:r w:rsidR="00E23A7E">
        <w:rPr>
          <w:sz w:val="26"/>
          <w:szCs w:val="26"/>
        </w:rPr>
        <w:t xml:space="preserve">.  </w:t>
      </w:r>
      <w:r w:rsidR="00125339">
        <w:rPr>
          <w:sz w:val="26"/>
          <w:szCs w:val="26"/>
        </w:rPr>
        <w:t xml:space="preserve">The applicants thus contend that they are entitled to a demolition order. </w:t>
      </w:r>
      <w:r w:rsidR="00E23A7E">
        <w:rPr>
          <w:sz w:val="26"/>
          <w:szCs w:val="26"/>
        </w:rPr>
        <w:t xml:space="preserve">As a consequence of the concession, the </w:t>
      </w:r>
      <w:r w:rsidR="00DB761E">
        <w:rPr>
          <w:sz w:val="26"/>
          <w:szCs w:val="26"/>
        </w:rPr>
        <w:t>respondents</w:t>
      </w:r>
      <w:r w:rsidR="00E23A7E">
        <w:rPr>
          <w:sz w:val="26"/>
          <w:szCs w:val="26"/>
        </w:rPr>
        <w:t xml:space="preserve"> agreed that the structure must be demolished</w:t>
      </w:r>
      <w:r w:rsidR="00D50EB7">
        <w:rPr>
          <w:sz w:val="26"/>
          <w:szCs w:val="26"/>
        </w:rPr>
        <w:t xml:space="preserve"> at the inspection</w:t>
      </w:r>
      <w:r w:rsidR="00E23A7E">
        <w:rPr>
          <w:sz w:val="26"/>
          <w:szCs w:val="26"/>
        </w:rPr>
        <w:t xml:space="preserve">.  This agreement </w:t>
      </w:r>
      <w:r w:rsidR="00D50EB7">
        <w:rPr>
          <w:sz w:val="26"/>
          <w:szCs w:val="26"/>
        </w:rPr>
        <w:t xml:space="preserve">the applicants proffer as a second basis </w:t>
      </w:r>
      <w:r w:rsidR="00DB761E">
        <w:rPr>
          <w:sz w:val="26"/>
          <w:szCs w:val="26"/>
        </w:rPr>
        <w:t xml:space="preserve">for </w:t>
      </w:r>
      <w:r w:rsidR="00414787">
        <w:rPr>
          <w:sz w:val="26"/>
          <w:szCs w:val="26"/>
        </w:rPr>
        <w:t xml:space="preserve">a </w:t>
      </w:r>
      <w:r w:rsidR="00DB761E">
        <w:rPr>
          <w:sz w:val="26"/>
          <w:szCs w:val="26"/>
        </w:rPr>
        <w:t>demolition order.</w:t>
      </w:r>
    </w:p>
    <w:p w14:paraId="17A34C5C" w14:textId="1D568134" w:rsidR="00DB761E" w:rsidRDefault="00DB761E" w:rsidP="00A355A1">
      <w:pPr>
        <w:pStyle w:val="ListParagraph"/>
        <w:numPr>
          <w:ilvl w:val="0"/>
          <w:numId w:val="3"/>
        </w:numPr>
        <w:contextualSpacing w:val="0"/>
        <w:rPr>
          <w:sz w:val="26"/>
          <w:szCs w:val="26"/>
        </w:rPr>
      </w:pPr>
      <w:r>
        <w:rPr>
          <w:sz w:val="26"/>
          <w:szCs w:val="26"/>
        </w:rPr>
        <w:t xml:space="preserve">It is apparent that the new evidence is material to the relief sought, as the original basis for the relief sought no longer exists, but has been replaced by a new basis, flowing directly from the </w:t>
      </w:r>
      <w:r w:rsidR="00056E37">
        <w:rPr>
          <w:sz w:val="26"/>
          <w:szCs w:val="26"/>
        </w:rPr>
        <w:t>way</w:t>
      </w:r>
      <w:r w:rsidR="00EA36A5">
        <w:rPr>
          <w:sz w:val="26"/>
          <w:szCs w:val="26"/>
        </w:rPr>
        <w:t xml:space="preserve"> the first basis was sought to be resolved by the first respondent.  It seems to me just to allow the further evidence, having regard to the various relevant considerations.</w:t>
      </w:r>
      <w:r w:rsidR="00EA36A5">
        <w:rPr>
          <w:rStyle w:val="FootnoteReference"/>
          <w:sz w:val="26"/>
          <w:szCs w:val="26"/>
        </w:rPr>
        <w:footnoteReference w:id="3"/>
      </w:r>
      <w:r w:rsidR="00A769ED">
        <w:rPr>
          <w:sz w:val="26"/>
          <w:szCs w:val="26"/>
        </w:rPr>
        <w:t xml:space="preserve">  There is also no opposition to the admission of these papers.  In the result, the supplementary affidavit deposed to by the </w:t>
      </w:r>
      <w:r w:rsidR="00727DF9">
        <w:rPr>
          <w:sz w:val="26"/>
          <w:szCs w:val="26"/>
        </w:rPr>
        <w:t xml:space="preserve">first applicant on 15 December 2020, as well as the confirmatory affidavits by the second respondent and the applicants’ </w:t>
      </w:r>
      <w:r w:rsidR="004A6F70">
        <w:rPr>
          <w:sz w:val="26"/>
          <w:szCs w:val="26"/>
        </w:rPr>
        <w:t xml:space="preserve">attorney, Ms Lagarto, of the same date, are admitted.  As there were no further papers </w:t>
      </w:r>
      <w:r w:rsidR="00D87CC0">
        <w:rPr>
          <w:sz w:val="26"/>
          <w:szCs w:val="26"/>
        </w:rPr>
        <w:t xml:space="preserve">delivered by either of the respondents, the </w:t>
      </w:r>
      <w:r w:rsidR="00630C67">
        <w:rPr>
          <w:sz w:val="26"/>
          <w:szCs w:val="26"/>
        </w:rPr>
        <w:t xml:space="preserve">supplementary </w:t>
      </w:r>
      <w:r w:rsidR="00D87CC0">
        <w:rPr>
          <w:sz w:val="26"/>
          <w:szCs w:val="26"/>
        </w:rPr>
        <w:t xml:space="preserve">evidence </w:t>
      </w:r>
      <w:r w:rsidR="00630C67">
        <w:rPr>
          <w:sz w:val="26"/>
          <w:szCs w:val="26"/>
        </w:rPr>
        <w:t>stands uncontested</w:t>
      </w:r>
      <w:r w:rsidR="00952BF2">
        <w:rPr>
          <w:sz w:val="26"/>
          <w:szCs w:val="26"/>
        </w:rPr>
        <w:t>.</w:t>
      </w:r>
    </w:p>
    <w:p w14:paraId="273B0906" w14:textId="37C30AC6" w:rsidR="003D2906" w:rsidRDefault="00D25CBF" w:rsidP="00C95400">
      <w:pPr>
        <w:pStyle w:val="ListParagraph"/>
        <w:numPr>
          <w:ilvl w:val="0"/>
          <w:numId w:val="3"/>
        </w:numPr>
        <w:contextualSpacing w:val="0"/>
        <w:rPr>
          <w:sz w:val="26"/>
          <w:szCs w:val="26"/>
        </w:rPr>
      </w:pPr>
      <w:r>
        <w:rPr>
          <w:sz w:val="26"/>
          <w:szCs w:val="26"/>
        </w:rPr>
        <w:t>In their founding papers, t</w:t>
      </w:r>
      <w:r w:rsidR="000C0102">
        <w:rPr>
          <w:sz w:val="26"/>
          <w:szCs w:val="26"/>
        </w:rPr>
        <w:t>he applicants rel</w:t>
      </w:r>
      <w:r w:rsidR="006A5DAA">
        <w:rPr>
          <w:sz w:val="26"/>
          <w:szCs w:val="26"/>
        </w:rPr>
        <w:t>y</w:t>
      </w:r>
      <w:r w:rsidR="000C0102">
        <w:rPr>
          <w:sz w:val="26"/>
          <w:szCs w:val="26"/>
        </w:rPr>
        <w:t xml:space="preserve"> on section 21 of the National Building Regulations and Building Standards Act 103 of </w:t>
      </w:r>
      <w:r w:rsidR="003D2906">
        <w:rPr>
          <w:sz w:val="26"/>
          <w:szCs w:val="26"/>
        </w:rPr>
        <w:t xml:space="preserve">1977, which provides as follows: </w:t>
      </w:r>
    </w:p>
    <w:p w14:paraId="10A2E3FD" w14:textId="1936CB88" w:rsidR="003D2906" w:rsidRDefault="003D2906" w:rsidP="000227CA">
      <w:pPr>
        <w:pStyle w:val="ListParagraph"/>
        <w:spacing w:line="360" w:lineRule="auto"/>
        <w:ind w:left="2268" w:right="521" w:hanging="567"/>
        <w:contextualSpacing w:val="0"/>
      </w:pPr>
      <w:r>
        <w:t>“21.</w:t>
      </w:r>
      <w:r w:rsidR="000227CA">
        <w:tab/>
        <w:t>Order in respect of erection and demolition of buildings</w:t>
      </w:r>
    </w:p>
    <w:p w14:paraId="662AE75D" w14:textId="4A1049DE" w:rsidR="000227CA" w:rsidRPr="003D2906" w:rsidRDefault="000227CA" w:rsidP="000227CA">
      <w:pPr>
        <w:pStyle w:val="ListParagraph"/>
        <w:spacing w:line="360" w:lineRule="auto"/>
        <w:ind w:left="2268" w:right="521"/>
        <w:contextualSpacing w:val="0"/>
      </w:pPr>
      <w:r>
        <w:t xml:space="preserve">Notwithstanding </w:t>
      </w:r>
      <w:r w:rsidR="00504C72">
        <w:t xml:space="preserve">anything to the contrary contained in any law relating to magistrates’ courts, a magistrate shall have jurisdiction, on the application of </w:t>
      </w:r>
      <w:r w:rsidR="00F221DC">
        <w:t xml:space="preserve">any local authority or the Minister, to make an order prohibiting any person from commencing or proceeding with the erection of any building or authorising such local authority to demolish such building if such magistrate is satisfied that such erection is contrary to or does not comply with the provisions of this Act or any approval or authorisation granted thereunder.” </w:t>
      </w:r>
    </w:p>
    <w:p w14:paraId="5CDFCEBB" w14:textId="2987D3D0" w:rsidR="00805C2B" w:rsidRDefault="00F221DC" w:rsidP="00C95400">
      <w:pPr>
        <w:pStyle w:val="ListParagraph"/>
        <w:numPr>
          <w:ilvl w:val="0"/>
          <w:numId w:val="3"/>
        </w:numPr>
        <w:contextualSpacing w:val="0"/>
        <w:rPr>
          <w:sz w:val="26"/>
          <w:szCs w:val="26"/>
        </w:rPr>
      </w:pPr>
      <w:r>
        <w:rPr>
          <w:sz w:val="26"/>
          <w:szCs w:val="26"/>
        </w:rPr>
        <w:t>It is thus apparent that only the second respondent, or the responsible minister, may approach a court for a demolition order in terms of this section</w:t>
      </w:r>
      <w:r w:rsidR="004D50D8">
        <w:rPr>
          <w:sz w:val="26"/>
          <w:szCs w:val="26"/>
        </w:rPr>
        <w:t>.</w:t>
      </w:r>
      <w:r>
        <w:rPr>
          <w:sz w:val="26"/>
          <w:szCs w:val="26"/>
        </w:rPr>
        <w:t xml:space="preserve">  The relief is not available at the </w:t>
      </w:r>
      <w:r w:rsidR="004934B5">
        <w:rPr>
          <w:sz w:val="26"/>
          <w:szCs w:val="26"/>
        </w:rPr>
        <w:t>behest of the applicants.</w:t>
      </w:r>
      <w:r w:rsidR="004934B5">
        <w:rPr>
          <w:rStyle w:val="FootnoteReference"/>
          <w:sz w:val="26"/>
          <w:szCs w:val="26"/>
        </w:rPr>
        <w:footnoteReference w:id="4"/>
      </w:r>
      <w:r w:rsidR="004934B5">
        <w:rPr>
          <w:sz w:val="26"/>
          <w:szCs w:val="26"/>
        </w:rPr>
        <w:t xml:space="preserve">  The applicants do not contend that the structures on the first respondent’s property encroach upon their property, and the common law remedy of demolition for encroachment can </w:t>
      </w:r>
      <w:r w:rsidR="004431E6">
        <w:rPr>
          <w:sz w:val="26"/>
          <w:szCs w:val="26"/>
        </w:rPr>
        <w:t xml:space="preserve">thus </w:t>
      </w:r>
      <w:r w:rsidR="00E74880">
        <w:rPr>
          <w:sz w:val="26"/>
          <w:szCs w:val="26"/>
        </w:rPr>
        <w:t xml:space="preserve">not </w:t>
      </w:r>
      <w:r w:rsidR="004431E6">
        <w:rPr>
          <w:sz w:val="26"/>
          <w:szCs w:val="26"/>
        </w:rPr>
        <w:t>be considered here.</w:t>
      </w:r>
      <w:r w:rsidR="004431E6">
        <w:rPr>
          <w:rStyle w:val="FootnoteReference"/>
          <w:sz w:val="26"/>
          <w:szCs w:val="26"/>
        </w:rPr>
        <w:footnoteReference w:id="5"/>
      </w:r>
    </w:p>
    <w:p w14:paraId="59154305" w14:textId="1B5B4CEA" w:rsidR="00AC3BB1" w:rsidRDefault="009977B5" w:rsidP="00C95400">
      <w:pPr>
        <w:pStyle w:val="ListParagraph"/>
        <w:numPr>
          <w:ilvl w:val="0"/>
          <w:numId w:val="3"/>
        </w:numPr>
        <w:contextualSpacing w:val="0"/>
        <w:rPr>
          <w:sz w:val="26"/>
          <w:szCs w:val="26"/>
        </w:rPr>
      </w:pPr>
      <w:r>
        <w:rPr>
          <w:sz w:val="26"/>
          <w:szCs w:val="26"/>
        </w:rPr>
        <w:t xml:space="preserve">Mr </w:t>
      </w:r>
      <w:r w:rsidR="00924084">
        <w:rPr>
          <w:sz w:val="26"/>
          <w:szCs w:val="26"/>
        </w:rPr>
        <w:t xml:space="preserve">van der Merwe, for the applicants, submitted that an agreement was reached at the inspection that the structure will be demolished, and that the </w:t>
      </w:r>
      <w:r w:rsidR="00E75FBC">
        <w:rPr>
          <w:sz w:val="26"/>
          <w:szCs w:val="26"/>
        </w:rPr>
        <w:t>applicants</w:t>
      </w:r>
      <w:r w:rsidR="00924084">
        <w:rPr>
          <w:sz w:val="26"/>
          <w:szCs w:val="26"/>
        </w:rPr>
        <w:t xml:space="preserve"> are </w:t>
      </w:r>
      <w:r w:rsidR="00C54A14">
        <w:rPr>
          <w:sz w:val="26"/>
          <w:szCs w:val="26"/>
        </w:rPr>
        <w:t xml:space="preserve">on this basis entitled to a demolition order. In this regard, he relied upon an email recordal of the </w:t>
      </w:r>
      <w:r w:rsidR="00E75FBC">
        <w:rPr>
          <w:sz w:val="26"/>
          <w:szCs w:val="26"/>
        </w:rPr>
        <w:t>discussions and agreement at the inspection by the applicants’ attorneys on 2 December 2019</w:t>
      </w:r>
      <w:r w:rsidR="00361057">
        <w:rPr>
          <w:sz w:val="26"/>
          <w:szCs w:val="26"/>
        </w:rPr>
        <w:t>, and specifically paragraph 4 thereof</w:t>
      </w:r>
      <w:r w:rsidR="007F02EC">
        <w:rPr>
          <w:sz w:val="26"/>
          <w:szCs w:val="26"/>
        </w:rPr>
        <w:t>.</w:t>
      </w:r>
    </w:p>
    <w:p w14:paraId="497CC0F3" w14:textId="741009AB" w:rsidR="00361057" w:rsidRDefault="00361057" w:rsidP="00C95400">
      <w:pPr>
        <w:pStyle w:val="ListParagraph"/>
        <w:numPr>
          <w:ilvl w:val="0"/>
          <w:numId w:val="3"/>
        </w:numPr>
        <w:contextualSpacing w:val="0"/>
        <w:rPr>
          <w:sz w:val="26"/>
          <w:szCs w:val="26"/>
        </w:rPr>
      </w:pPr>
      <w:r>
        <w:rPr>
          <w:sz w:val="26"/>
          <w:szCs w:val="26"/>
        </w:rPr>
        <w:t xml:space="preserve">I </w:t>
      </w:r>
      <w:r w:rsidR="00240FA0">
        <w:rPr>
          <w:sz w:val="26"/>
          <w:szCs w:val="26"/>
        </w:rPr>
        <w:t xml:space="preserve">do not agree that such an agreement was reached. Paragraph 4 of the email records </w:t>
      </w:r>
      <w:r w:rsidR="009D4083">
        <w:rPr>
          <w:sz w:val="26"/>
          <w:szCs w:val="26"/>
        </w:rPr>
        <w:t xml:space="preserve">observations made by one of the second respondent’s </w:t>
      </w:r>
      <w:r w:rsidR="00155DD9">
        <w:rPr>
          <w:sz w:val="26"/>
          <w:szCs w:val="26"/>
        </w:rPr>
        <w:t>representatives at the inspection</w:t>
      </w:r>
      <w:r w:rsidR="00A61A8B">
        <w:rPr>
          <w:sz w:val="26"/>
          <w:szCs w:val="26"/>
        </w:rPr>
        <w:t xml:space="preserve">, who expressed the view that the structure was illegal and must be demolished. The paragraph does not record an agreement. Rather, paragraph 5 </w:t>
      </w:r>
      <w:r w:rsidR="00240FA0">
        <w:rPr>
          <w:sz w:val="26"/>
          <w:szCs w:val="26"/>
        </w:rPr>
        <w:t>as follows:</w:t>
      </w:r>
    </w:p>
    <w:p w14:paraId="7B81466C" w14:textId="16F6E0F7" w:rsidR="00240FA0" w:rsidRDefault="00240FA0" w:rsidP="00A24C13">
      <w:pPr>
        <w:pStyle w:val="ListParagraph"/>
        <w:spacing w:line="360" w:lineRule="auto"/>
        <w:ind w:left="2268" w:right="521"/>
        <w:contextualSpacing w:val="0"/>
      </w:pPr>
      <w:bookmarkStart w:id="1" w:name="_Hlk112317062"/>
      <w:r>
        <w:t>“</w:t>
      </w:r>
      <w:r w:rsidR="00272936">
        <w:t>5.</w:t>
      </w:r>
      <w:r w:rsidR="00272936">
        <w:tab/>
        <w:t>Between the attorneys it was agreed as follows:</w:t>
      </w:r>
    </w:p>
    <w:p w14:paraId="7626CEE2" w14:textId="344A4818" w:rsidR="009357BC" w:rsidRDefault="00AC4744" w:rsidP="00272936">
      <w:pPr>
        <w:pStyle w:val="ListParagraph"/>
        <w:numPr>
          <w:ilvl w:val="7"/>
          <w:numId w:val="3"/>
        </w:numPr>
        <w:spacing w:line="360" w:lineRule="auto"/>
        <w:ind w:right="521"/>
        <w:contextualSpacing w:val="0"/>
      </w:pPr>
      <w:r>
        <w:t xml:space="preserve">That it is necessary for a written confirmation / undertaking from the City confirming that the </w:t>
      </w:r>
      <w:r w:rsidR="009357BC">
        <w:t>structure</w:t>
      </w:r>
      <w:r>
        <w:t xml:space="preserve"> would be demolished</w:t>
      </w:r>
      <w:r w:rsidR="00E33523">
        <w:t xml:space="preserve"> and would comply with the </w:t>
      </w:r>
      <w:r w:rsidR="009357BC">
        <w:t>approved building plans as mentioned above. The confirmation would also include an approach to the construction of the fire wall. The purpose of this is to clarify and manage the expectations, alternatively perceptions of our client so that all the parties can be on the same page.</w:t>
      </w:r>
    </w:p>
    <w:p w14:paraId="40400302" w14:textId="630CE856" w:rsidR="00DE51B7" w:rsidRDefault="009357BC" w:rsidP="00272936">
      <w:pPr>
        <w:pStyle w:val="ListParagraph"/>
        <w:numPr>
          <w:ilvl w:val="7"/>
          <w:numId w:val="3"/>
        </w:numPr>
        <w:spacing w:line="360" w:lineRule="auto"/>
        <w:ind w:right="521"/>
        <w:contextualSpacing w:val="0"/>
      </w:pPr>
      <w:r>
        <w:t xml:space="preserve">That an </w:t>
      </w:r>
      <w:r w:rsidR="003C2772">
        <w:t xml:space="preserve">independent person (not Ayanda in other words) is to review the plans and zoning of the property and that we would be presented with a written </w:t>
      </w:r>
      <w:r w:rsidR="00DE51B7">
        <w:t>decision by the council. The time is to be confirmed by Moeketsi but it was indicated that given the sensitivity and current delay in the matter, that this must be done as soon as possible.</w:t>
      </w:r>
    </w:p>
    <w:p w14:paraId="29779AAB" w14:textId="45AC147A" w:rsidR="00240FA0" w:rsidRPr="003D2906" w:rsidRDefault="006D5A63" w:rsidP="00272936">
      <w:pPr>
        <w:pStyle w:val="ListParagraph"/>
        <w:numPr>
          <w:ilvl w:val="7"/>
          <w:numId w:val="3"/>
        </w:numPr>
        <w:spacing w:line="360" w:lineRule="auto"/>
        <w:ind w:right="521"/>
        <w:contextualSpacing w:val="0"/>
      </w:pPr>
      <w:r>
        <w:t>Once the process has been completed, the parties will revisit possible settlement of the matter</w:t>
      </w:r>
      <w:r w:rsidR="00240FA0">
        <w:t>.”</w:t>
      </w:r>
      <w:bookmarkEnd w:id="1"/>
      <w:r w:rsidR="00240FA0">
        <w:t xml:space="preserve"> </w:t>
      </w:r>
    </w:p>
    <w:p w14:paraId="19A275AC" w14:textId="3ECA9C03" w:rsidR="00240FA0" w:rsidRDefault="00500784" w:rsidP="00C95400">
      <w:pPr>
        <w:pStyle w:val="ListParagraph"/>
        <w:numPr>
          <w:ilvl w:val="0"/>
          <w:numId w:val="3"/>
        </w:numPr>
        <w:contextualSpacing w:val="0"/>
        <w:rPr>
          <w:sz w:val="26"/>
          <w:szCs w:val="26"/>
        </w:rPr>
      </w:pPr>
      <w:r>
        <w:rPr>
          <w:sz w:val="26"/>
          <w:szCs w:val="26"/>
        </w:rPr>
        <w:t xml:space="preserve">‘Ayanda’ is the official who expressed the views recorded in paragraph 4 of the email, and ‘Moeketsi’ is a reference to the other </w:t>
      </w:r>
      <w:r w:rsidR="0048556E">
        <w:rPr>
          <w:sz w:val="26"/>
          <w:szCs w:val="26"/>
        </w:rPr>
        <w:t>City</w:t>
      </w:r>
      <w:r>
        <w:rPr>
          <w:sz w:val="26"/>
          <w:szCs w:val="26"/>
        </w:rPr>
        <w:t xml:space="preserve"> official who attend the inspection.</w:t>
      </w:r>
      <w:r w:rsidR="0048556E">
        <w:rPr>
          <w:sz w:val="26"/>
          <w:szCs w:val="26"/>
        </w:rPr>
        <w:t xml:space="preserve"> It is clear f</w:t>
      </w:r>
      <w:r w:rsidR="00E7748B">
        <w:rPr>
          <w:sz w:val="26"/>
          <w:szCs w:val="26"/>
        </w:rPr>
        <w:t>ro</w:t>
      </w:r>
      <w:r w:rsidR="0048556E">
        <w:rPr>
          <w:sz w:val="26"/>
          <w:szCs w:val="26"/>
        </w:rPr>
        <w:t xml:space="preserve">m the recordal that only a process was agreed upon, and not an agreement that the </w:t>
      </w:r>
      <w:r w:rsidR="00E7748B">
        <w:rPr>
          <w:sz w:val="26"/>
          <w:szCs w:val="26"/>
        </w:rPr>
        <w:t>structure will be demolished.</w:t>
      </w:r>
      <w:r w:rsidR="005624CC">
        <w:rPr>
          <w:sz w:val="26"/>
          <w:szCs w:val="26"/>
        </w:rPr>
        <w:t xml:space="preserve"> The applicants cannot rely on the events at the meeting as establishing a basis for a </w:t>
      </w:r>
      <w:r w:rsidR="006B4F84">
        <w:rPr>
          <w:sz w:val="26"/>
          <w:szCs w:val="26"/>
        </w:rPr>
        <w:t>demolition</w:t>
      </w:r>
      <w:r w:rsidR="005624CC">
        <w:rPr>
          <w:sz w:val="26"/>
          <w:szCs w:val="26"/>
        </w:rPr>
        <w:t xml:space="preserve"> order. In fact, they agreed to adhere to a process</w:t>
      </w:r>
      <w:r w:rsidR="006B4F84">
        <w:rPr>
          <w:sz w:val="26"/>
          <w:szCs w:val="26"/>
        </w:rPr>
        <w:t xml:space="preserve"> to be followed at the meeting, which precludes their current approach.</w:t>
      </w:r>
    </w:p>
    <w:p w14:paraId="53D3036B" w14:textId="4C858940" w:rsidR="006B4F84" w:rsidRDefault="006B4F84" w:rsidP="00C95400">
      <w:pPr>
        <w:pStyle w:val="ListParagraph"/>
        <w:numPr>
          <w:ilvl w:val="0"/>
          <w:numId w:val="3"/>
        </w:numPr>
        <w:contextualSpacing w:val="0"/>
        <w:rPr>
          <w:sz w:val="26"/>
          <w:szCs w:val="26"/>
        </w:rPr>
      </w:pPr>
      <w:r>
        <w:rPr>
          <w:sz w:val="26"/>
          <w:szCs w:val="26"/>
        </w:rPr>
        <w:t xml:space="preserve">In the result I </w:t>
      </w:r>
      <w:r w:rsidR="001D72E5">
        <w:rPr>
          <w:sz w:val="26"/>
          <w:szCs w:val="26"/>
        </w:rPr>
        <w:t>conclude that the applicants are not entitled to a demolition order.</w:t>
      </w:r>
    </w:p>
    <w:p w14:paraId="2729B6A3" w14:textId="3B237B86" w:rsidR="002D14FD" w:rsidRDefault="002D14FD" w:rsidP="00C95400">
      <w:pPr>
        <w:pStyle w:val="ListParagraph"/>
        <w:numPr>
          <w:ilvl w:val="0"/>
          <w:numId w:val="3"/>
        </w:numPr>
        <w:contextualSpacing w:val="0"/>
        <w:rPr>
          <w:sz w:val="26"/>
          <w:szCs w:val="26"/>
        </w:rPr>
      </w:pPr>
      <w:r>
        <w:rPr>
          <w:sz w:val="26"/>
          <w:szCs w:val="26"/>
        </w:rPr>
        <w:t xml:space="preserve">Overall, the applicants </w:t>
      </w:r>
      <w:r w:rsidR="00726609">
        <w:rPr>
          <w:sz w:val="26"/>
          <w:szCs w:val="26"/>
        </w:rPr>
        <w:t xml:space="preserve">have been successful against the first applicant, and they are entitled to their costs. They seek </w:t>
      </w:r>
      <w:r w:rsidR="00920483">
        <w:rPr>
          <w:sz w:val="26"/>
          <w:szCs w:val="26"/>
        </w:rPr>
        <w:t xml:space="preserve">costs on the attorney and client scale. In my view, this is warranted. The first respondent has </w:t>
      </w:r>
      <w:r w:rsidR="00C60413">
        <w:rPr>
          <w:sz w:val="26"/>
          <w:szCs w:val="26"/>
        </w:rPr>
        <w:t xml:space="preserve">opposed this </w:t>
      </w:r>
      <w:r w:rsidR="00F501FD">
        <w:rPr>
          <w:sz w:val="26"/>
          <w:szCs w:val="26"/>
        </w:rPr>
        <w:t xml:space="preserve">application without any </w:t>
      </w:r>
      <w:r w:rsidR="0064250F">
        <w:rPr>
          <w:sz w:val="26"/>
          <w:szCs w:val="26"/>
        </w:rPr>
        <w:t>reasonable grounds</w:t>
      </w:r>
      <w:r w:rsidR="00F501FD">
        <w:rPr>
          <w:sz w:val="26"/>
          <w:szCs w:val="26"/>
        </w:rPr>
        <w:t xml:space="preserve">, and it should not have forced the </w:t>
      </w:r>
      <w:r w:rsidR="0064250F">
        <w:rPr>
          <w:sz w:val="26"/>
          <w:szCs w:val="26"/>
        </w:rPr>
        <w:t>applicants</w:t>
      </w:r>
      <w:r w:rsidR="00F501FD">
        <w:rPr>
          <w:sz w:val="26"/>
          <w:szCs w:val="26"/>
        </w:rPr>
        <w:t xml:space="preserve"> to come </w:t>
      </w:r>
      <w:r w:rsidR="0064250F">
        <w:rPr>
          <w:sz w:val="26"/>
          <w:szCs w:val="26"/>
        </w:rPr>
        <w:t>to</w:t>
      </w:r>
      <w:r w:rsidR="00F501FD">
        <w:rPr>
          <w:sz w:val="26"/>
          <w:szCs w:val="26"/>
        </w:rPr>
        <w:t xml:space="preserve"> court for this relief.</w:t>
      </w:r>
      <w:r w:rsidR="00C60413">
        <w:rPr>
          <w:sz w:val="26"/>
          <w:szCs w:val="26"/>
        </w:rPr>
        <w:t xml:space="preserve"> </w:t>
      </w:r>
    </w:p>
    <w:p w14:paraId="6308FD4E" w14:textId="05169179" w:rsidR="00805C2B" w:rsidRDefault="00A1680C" w:rsidP="00805C2B">
      <w:pPr>
        <w:pStyle w:val="Heading1"/>
      </w:pPr>
      <w:r>
        <w:t>The application to review the approval of the building plans</w:t>
      </w:r>
    </w:p>
    <w:p w14:paraId="38D4D9B6" w14:textId="0208B4B7" w:rsidR="006D4890" w:rsidRDefault="00800BD3" w:rsidP="00C95400">
      <w:pPr>
        <w:pStyle w:val="ListParagraph"/>
        <w:numPr>
          <w:ilvl w:val="0"/>
          <w:numId w:val="3"/>
        </w:numPr>
        <w:contextualSpacing w:val="0"/>
        <w:rPr>
          <w:sz w:val="26"/>
          <w:szCs w:val="26"/>
        </w:rPr>
      </w:pPr>
      <w:r>
        <w:rPr>
          <w:sz w:val="26"/>
          <w:szCs w:val="26"/>
        </w:rPr>
        <w:t>As mentioned, the applicants also launched a</w:t>
      </w:r>
      <w:r w:rsidR="00E746C1">
        <w:rPr>
          <w:sz w:val="26"/>
          <w:szCs w:val="26"/>
        </w:rPr>
        <w:t>n interlocutory application, styled by both the applicants’ and the second respondent’s counsel as a review.</w:t>
      </w:r>
      <w:r w:rsidR="006B614A">
        <w:rPr>
          <w:sz w:val="26"/>
          <w:szCs w:val="26"/>
        </w:rPr>
        <w:t xml:space="preserve"> However, the nature of the relief sought in terms of the notice of motion </w:t>
      </w:r>
      <w:r w:rsidR="007D13B1">
        <w:rPr>
          <w:sz w:val="26"/>
          <w:szCs w:val="26"/>
        </w:rPr>
        <w:t>in the interlocutory application is not a</w:t>
      </w:r>
      <w:r>
        <w:rPr>
          <w:sz w:val="26"/>
          <w:szCs w:val="26"/>
        </w:rPr>
        <w:t xml:space="preserve"> review</w:t>
      </w:r>
      <w:r w:rsidR="007D13B1">
        <w:rPr>
          <w:sz w:val="26"/>
          <w:szCs w:val="26"/>
        </w:rPr>
        <w:t xml:space="preserve">. </w:t>
      </w:r>
      <w:r w:rsidR="0023239F">
        <w:rPr>
          <w:sz w:val="26"/>
          <w:szCs w:val="26"/>
        </w:rPr>
        <w:t xml:space="preserve">The first applicant, in her founding affidavit to this application, states that the purpose of the application </w:t>
      </w:r>
      <w:r w:rsidR="006D4890">
        <w:rPr>
          <w:sz w:val="26"/>
          <w:szCs w:val="26"/>
        </w:rPr>
        <w:t>is</w:t>
      </w:r>
      <w:r w:rsidR="0023239F">
        <w:rPr>
          <w:sz w:val="26"/>
          <w:szCs w:val="26"/>
        </w:rPr>
        <w:t xml:space="preserve"> s</w:t>
      </w:r>
      <w:r w:rsidR="00FD4A02">
        <w:rPr>
          <w:sz w:val="26"/>
          <w:szCs w:val="26"/>
        </w:rPr>
        <w:t xml:space="preserve">o seek an order compelling the second respondent to take a decision under the provisions of section 62 of the Local Government: Municipal Systems Act, 32 of 2000, </w:t>
      </w:r>
      <w:r w:rsidR="006D4890">
        <w:rPr>
          <w:sz w:val="26"/>
          <w:szCs w:val="26"/>
        </w:rPr>
        <w:t>alternatively</w:t>
      </w:r>
      <w:r w:rsidR="00FD4A02">
        <w:rPr>
          <w:sz w:val="26"/>
          <w:szCs w:val="26"/>
        </w:rPr>
        <w:t xml:space="preserve"> under </w:t>
      </w:r>
      <w:r w:rsidR="006D4890">
        <w:rPr>
          <w:sz w:val="26"/>
          <w:szCs w:val="26"/>
        </w:rPr>
        <w:t>section 5 of the Promotion of Administrative Justice act, 3 of 2000.</w:t>
      </w:r>
    </w:p>
    <w:p w14:paraId="675D1E2E" w14:textId="393AED8F" w:rsidR="00C42691" w:rsidRDefault="00C42691" w:rsidP="00C95400">
      <w:pPr>
        <w:pStyle w:val="ListParagraph"/>
        <w:numPr>
          <w:ilvl w:val="0"/>
          <w:numId w:val="3"/>
        </w:numPr>
        <w:contextualSpacing w:val="0"/>
        <w:rPr>
          <w:sz w:val="26"/>
          <w:szCs w:val="26"/>
        </w:rPr>
      </w:pPr>
      <w:r>
        <w:rPr>
          <w:sz w:val="26"/>
          <w:szCs w:val="26"/>
        </w:rPr>
        <w:t xml:space="preserve">The application is ill-conceived. Section 62(1) provides </w:t>
      </w:r>
      <w:r w:rsidR="00C40291">
        <w:rPr>
          <w:sz w:val="26"/>
          <w:szCs w:val="26"/>
        </w:rPr>
        <w:t xml:space="preserve">in relevant parts </w:t>
      </w:r>
      <w:r>
        <w:rPr>
          <w:sz w:val="26"/>
          <w:szCs w:val="26"/>
        </w:rPr>
        <w:t>as follows:</w:t>
      </w:r>
    </w:p>
    <w:p w14:paraId="7883BC7D" w14:textId="4D88C7BC" w:rsidR="00C61C3B" w:rsidRDefault="0007225C" w:rsidP="00A41250">
      <w:pPr>
        <w:pStyle w:val="ListParagraph"/>
        <w:ind w:left="2268" w:right="521"/>
        <w:contextualSpacing w:val="0"/>
      </w:pPr>
      <w:r w:rsidRPr="00C40291">
        <w:t>“A person w</w:t>
      </w:r>
      <w:r w:rsidR="00C40291">
        <w:t>h</w:t>
      </w:r>
      <w:r w:rsidRPr="00C40291">
        <w:t xml:space="preserve">ose rights are affected by a decision taken by a … staff </w:t>
      </w:r>
      <w:r w:rsidR="00C40291" w:rsidRPr="00C40291">
        <w:t>member of a municipality …</w:t>
      </w:r>
      <w:r w:rsidR="00977C13">
        <w:t xml:space="preserve"> may appeal against the decision by giving written notice of the appeal and reasons to the municipal manager</w:t>
      </w:r>
      <w:r w:rsidR="00C61C3B">
        <w:t xml:space="preserve"> within 21 days of the notification of the decision”</w:t>
      </w:r>
    </w:p>
    <w:p w14:paraId="3A696D47" w14:textId="3D59173E" w:rsidR="00FC0CA0" w:rsidRDefault="00C61C3B" w:rsidP="00C95400">
      <w:pPr>
        <w:pStyle w:val="ListParagraph"/>
        <w:numPr>
          <w:ilvl w:val="0"/>
          <w:numId w:val="3"/>
        </w:numPr>
        <w:contextualSpacing w:val="0"/>
        <w:rPr>
          <w:sz w:val="26"/>
          <w:szCs w:val="26"/>
        </w:rPr>
      </w:pPr>
      <w:r>
        <w:rPr>
          <w:sz w:val="26"/>
          <w:szCs w:val="26"/>
        </w:rPr>
        <w:t>The decisi</w:t>
      </w:r>
      <w:r w:rsidR="00CE7825">
        <w:rPr>
          <w:sz w:val="26"/>
          <w:szCs w:val="26"/>
        </w:rPr>
        <w:t xml:space="preserve">on the applicants are dissatisfied with, is the approval of the building plans. However, they </w:t>
      </w:r>
      <w:r w:rsidR="00FC0CA0">
        <w:rPr>
          <w:sz w:val="26"/>
          <w:szCs w:val="26"/>
        </w:rPr>
        <w:t>have not followed the procedure set out in section 62.</w:t>
      </w:r>
      <w:r w:rsidR="00B0413F">
        <w:rPr>
          <w:sz w:val="26"/>
          <w:szCs w:val="26"/>
        </w:rPr>
        <w:t xml:space="preserve"> Thus, the applicants are seeking an order compelling the second respondent</w:t>
      </w:r>
      <w:r w:rsidR="007466F7">
        <w:rPr>
          <w:sz w:val="26"/>
          <w:szCs w:val="26"/>
        </w:rPr>
        <w:t xml:space="preserve"> to review the approval, in circumstances where they did not lodge </w:t>
      </w:r>
      <w:r w:rsidR="002D14FD">
        <w:rPr>
          <w:sz w:val="26"/>
          <w:szCs w:val="26"/>
        </w:rPr>
        <w:t>an</w:t>
      </w:r>
      <w:r w:rsidR="007466F7">
        <w:rPr>
          <w:sz w:val="26"/>
          <w:szCs w:val="26"/>
        </w:rPr>
        <w:t xml:space="preserve"> appeal</w:t>
      </w:r>
      <w:r w:rsidR="00E93585">
        <w:rPr>
          <w:sz w:val="26"/>
          <w:szCs w:val="26"/>
        </w:rPr>
        <w:t xml:space="preserve"> against the approval. As Mr Memani, for the second respondent, points out, the application is doomed to fail.</w:t>
      </w:r>
    </w:p>
    <w:p w14:paraId="75DD1776" w14:textId="259342D1" w:rsidR="00800BD3" w:rsidRDefault="00F872EC" w:rsidP="00C95400">
      <w:pPr>
        <w:pStyle w:val="ListParagraph"/>
        <w:numPr>
          <w:ilvl w:val="0"/>
          <w:numId w:val="3"/>
        </w:numPr>
        <w:contextualSpacing w:val="0"/>
        <w:rPr>
          <w:sz w:val="26"/>
          <w:szCs w:val="26"/>
        </w:rPr>
      </w:pPr>
      <w:r>
        <w:rPr>
          <w:sz w:val="26"/>
          <w:szCs w:val="26"/>
        </w:rPr>
        <w:t xml:space="preserve">Mr van der Merwe stated that, </w:t>
      </w:r>
      <w:r w:rsidR="008D5655">
        <w:rPr>
          <w:sz w:val="26"/>
          <w:szCs w:val="26"/>
        </w:rPr>
        <w:t>as the applicants may rely on t</w:t>
      </w:r>
      <w:r>
        <w:rPr>
          <w:sz w:val="26"/>
          <w:szCs w:val="26"/>
        </w:rPr>
        <w:t xml:space="preserve">he agreement that the structure must be demolished, the applicants do not need to pursue the review.  </w:t>
      </w:r>
      <w:r w:rsidR="00670BD1">
        <w:rPr>
          <w:sz w:val="26"/>
          <w:szCs w:val="26"/>
        </w:rPr>
        <w:t xml:space="preserve">However, he did not withdraw the application. </w:t>
      </w:r>
      <w:r w:rsidR="008D5655">
        <w:rPr>
          <w:sz w:val="26"/>
          <w:szCs w:val="26"/>
        </w:rPr>
        <w:t>As shown above, the agreement does not exist.</w:t>
      </w:r>
    </w:p>
    <w:p w14:paraId="4DBD6E4C" w14:textId="3A9CA27C" w:rsidR="0046401D" w:rsidRDefault="00424951" w:rsidP="00C95400">
      <w:pPr>
        <w:pStyle w:val="ListParagraph"/>
        <w:numPr>
          <w:ilvl w:val="0"/>
          <w:numId w:val="3"/>
        </w:numPr>
        <w:contextualSpacing w:val="0"/>
        <w:rPr>
          <w:sz w:val="26"/>
          <w:szCs w:val="26"/>
        </w:rPr>
      </w:pPr>
      <w:r>
        <w:rPr>
          <w:sz w:val="26"/>
          <w:szCs w:val="26"/>
        </w:rPr>
        <w:t>In the result, th</w:t>
      </w:r>
      <w:r w:rsidR="002D14FD">
        <w:rPr>
          <w:sz w:val="26"/>
          <w:szCs w:val="26"/>
        </w:rPr>
        <w:t xml:space="preserve">is </w:t>
      </w:r>
      <w:r>
        <w:rPr>
          <w:sz w:val="26"/>
          <w:szCs w:val="26"/>
        </w:rPr>
        <w:t>applica</w:t>
      </w:r>
      <w:r w:rsidR="002D14FD">
        <w:rPr>
          <w:sz w:val="26"/>
          <w:szCs w:val="26"/>
        </w:rPr>
        <w:t>tion</w:t>
      </w:r>
      <w:r>
        <w:rPr>
          <w:sz w:val="26"/>
          <w:szCs w:val="26"/>
        </w:rPr>
        <w:t xml:space="preserve"> should be dismissed with costs.</w:t>
      </w:r>
    </w:p>
    <w:p w14:paraId="5E635D20" w14:textId="42789F5A" w:rsidR="00A1680C" w:rsidRDefault="00A1680C" w:rsidP="00A1680C">
      <w:pPr>
        <w:pStyle w:val="Heading1"/>
      </w:pPr>
      <w:r>
        <w:t>Conclusion</w:t>
      </w:r>
    </w:p>
    <w:p w14:paraId="209EA93A" w14:textId="4DD779AA" w:rsidR="00501C54" w:rsidRDefault="00501C54" w:rsidP="00C95400">
      <w:pPr>
        <w:pStyle w:val="ListParagraph"/>
        <w:numPr>
          <w:ilvl w:val="0"/>
          <w:numId w:val="3"/>
        </w:numPr>
        <w:contextualSpacing w:val="0"/>
        <w:rPr>
          <w:sz w:val="26"/>
          <w:szCs w:val="26"/>
        </w:rPr>
      </w:pPr>
      <w:r>
        <w:rPr>
          <w:sz w:val="26"/>
          <w:szCs w:val="26"/>
        </w:rPr>
        <w:t xml:space="preserve">In the circumstances I make the following order: </w:t>
      </w:r>
    </w:p>
    <w:p w14:paraId="37912774" w14:textId="58A0D01E" w:rsidR="00501C54" w:rsidRPr="00501C54" w:rsidRDefault="00501C54" w:rsidP="00501C54">
      <w:pPr>
        <w:pStyle w:val="ListParagraph"/>
        <w:ind w:left="1418" w:hanging="567"/>
        <w:contextualSpacing w:val="0"/>
        <w:rPr>
          <w:sz w:val="26"/>
          <w:szCs w:val="26"/>
        </w:rPr>
      </w:pPr>
      <w:r w:rsidRPr="00501C54">
        <w:rPr>
          <w:sz w:val="26"/>
          <w:szCs w:val="26"/>
        </w:rPr>
        <w:t>(1)</w:t>
      </w:r>
      <w:r w:rsidRPr="00501C54">
        <w:rPr>
          <w:sz w:val="26"/>
          <w:szCs w:val="26"/>
        </w:rPr>
        <w:tab/>
        <w:t xml:space="preserve">The first respondent </w:t>
      </w:r>
      <w:r w:rsidR="00E52BCD">
        <w:rPr>
          <w:sz w:val="26"/>
          <w:szCs w:val="26"/>
        </w:rPr>
        <w:t>is interdicted from</w:t>
      </w:r>
      <w:r w:rsidRPr="00501C54">
        <w:rPr>
          <w:sz w:val="26"/>
          <w:szCs w:val="26"/>
        </w:rPr>
        <w:t xml:space="preserve"> us</w:t>
      </w:r>
      <w:r w:rsidR="0075687A">
        <w:rPr>
          <w:sz w:val="26"/>
          <w:szCs w:val="26"/>
        </w:rPr>
        <w:t>ing</w:t>
      </w:r>
      <w:r w:rsidRPr="00501C54">
        <w:rPr>
          <w:sz w:val="26"/>
          <w:szCs w:val="26"/>
        </w:rPr>
        <w:t xml:space="preserve"> the property described as Erf 205, Ravenswood Extension 9, situated at 117 Thirteenth Avenue, Ravenswood, Boksburg (“the property”) for the business of a motor workshop</w:t>
      </w:r>
      <w:r w:rsidR="0075687A">
        <w:rPr>
          <w:sz w:val="26"/>
          <w:szCs w:val="26"/>
        </w:rPr>
        <w:t xml:space="preserve"> and from </w:t>
      </w:r>
      <w:r w:rsidR="00CC6098">
        <w:rPr>
          <w:sz w:val="26"/>
          <w:szCs w:val="26"/>
        </w:rPr>
        <w:t xml:space="preserve">creating noise exceeding the </w:t>
      </w:r>
      <w:r w:rsidR="00BB2233" w:rsidRPr="007D3990">
        <w:rPr>
          <w:sz w:val="26"/>
          <w:szCs w:val="26"/>
        </w:rPr>
        <w:t>ratings allowed</w:t>
      </w:r>
      <w:r w:rsidR="00BB2233">
        <w:rPr>
          <w:sz w:val="26"/>
          <w:szCs w:val="26"/>
        </w:rPr>
        <w:t xml:space="preserve"> at the property</w:t>
      </w:r>
      <w:r w:rsidR="00BB2233" w:rsidRPr="007D3990">
        <w:rPr>
          <w:sz w:val="26"/>
          <w:szCs w:val="26"/>
        </w:rPr>
        <w:t xml:space="preserve"> in terms of National Standard SANS 10103 of 2008</w:t>
      </w:r>
      <w:r w:rsidRPr="00501C54">
        <w:rPr>
          <w:sz w:val="26"/>
          <w:szCs w:val="26"/>
        </w:rPr>
        <w:t>.</w:t>
      </w:r>
    </w:p>
    <w:p w14:paraId="247B1347" w14:textId="6A4075AD" w:rsidR="00501C54" w:rsidRPr="00501C54" w:rsidRDefault="00501C54" w:rsidP="00501C54">
      <w:pPr>
        <w:pStyle w:val="ListParagraph"/>
        <w:ind w:left="1418" w:hanging="567"/>
        <w:contextualSpacing w:val="0"/>
        <w:rPr>
          <w:sz w:val="26"/>
          <w:szCs w:val="26"/>
        </w:rPr>
      </w:pPr>
      <w:r w:rsidRPr="00501C54">
        <w:rPr>
          <w:sz w:val="26"/>
          <w:szCs w:val="26"/>
        </w:rPr>
        <w:t>(2)</w:t>
      </w:r>
      <w:r w:rsidR="00E6568E">
        <w:rPr>
          <w:sz w:val="26"/>
          <w:szCs w:val="26"/>
        </w:rPr>
        <w:tab/>
      </w:r>
      <w:r w:rsidRPr="00501C54">
        <w:rPr>
          <w:sz w:val="26"/>
          <w:szCs w:val="26"/>
        </w:rPr>
        <w:t>The first respondent shall pay the applicants’ costs of the application on the attorney and client scale.</w:t>
      </w:r>
    </w:p>
    <w:p w14:paraId="209F5EDD" w14:textId="5F4E5418" w:rsidR="00501C54" w:rsidRPr="00501C54" w:rsidRDefault="00501C54" w:rsidP="00501C54">
      <w:pPr>
        <w:pStyle w:val="ListParagraph"/>
        <w:ind w:left="1418" w:hanging="567"/>
        <w:contextualSpacing w:val="0"/>
        <w:rPr>
          <w:sz w:val="26"/>
          <w:szCs w:val="26"/>
        </w:rPr>
      </w:pPr>
      <w:r w:rsidRPr="00501C54">
        <w:rPr>
          <w:sz w:val="26"/>
          <w:szCs w:val="26"/>
        </w:rPr>
        <w:t>(6)</w:t>
      </w:r>
      <w:r w:rsidRPr="00501C54">
        <w:rPr>
          <w:sz w:val="26"/>
          <w:szCs w:val="26"/>
        </w:rPr>
        <w:tab/>
        <w:t xml:space="preserve">The </w:t>
      </w:r>
      <w:r w:rsidR="00CE27EA">
        <w:rPr>
          <w:sz w:val="26"/>
          <w:szCs w:val="26"/>
        </w:rPr>
        <w:t xml:space="preserve">interlocutory application dated </w:t>
      </w:r>
      <w:r w:rsidR="00B42FF0">
        <w:rPr>
          <w:sz w:val="26"/>
          <w:szCs w:val="26"/>
        </w:rPr>
        <w:t>28 August 2019</w:t>
      </w:r>
      <w:r w:rsidRPr="00501C54">
        <w:rPr>
          <w:sz w:val="26"/>
          <w:szCs w:val="26"/>
        </w:rPr>
        <w:t xml:space="preserve"> is dismissed.</w:t>
      </w:r>
    </w:p>
    <w:p w14:paraId="641FC433" w14:textId="6A9ECCE9" w:rsidR="00501C54" w:rsidRPr="00C95400" w:rsidRDefault="00501C54" w:rsidP="00501C54">
      <w:pPr>
        <w:pStyle w:val="ListParagraph"/>
        <w:ind w:left="1418" w:hanging="567"/>
        <w:contextualSpacing w:val="0"/>
        <w:rPr>
          <w:sz w:val="26"/>
          <w:szCs w:val="26"/>
        </w:rPr>
      </w:pPr>
      <w:r w:rsidRPr="00501C54">
        <w:rPr>
          <w:sz w:val="26"/>
          <w:szCs w:val="26"/>
        </w:rPr>
        <w:t>(7)</w:t>
      </w:r>
      <w:r w:rsidRPr="00501C54">
        <w:rPr>
          <w:sz w:val="26"/>
          <w:szCs w:val="26"/>
        </w:rPr>
        <w:tab/>
        <w:t xml:space="preserve">The applicants shall pay the second respondent’s costs of the </w:t>
      </w:r>
      <w:r w:rsidR="00CE27EA">
        <w:rPr>
          <w:sz w:val="26"/>
          <w:szCs w:val="26"/>
        </w:rPr>
        <w:t>interlocutory</w:t>
      </w:r>
      <w:r w:rsidRPr="00501C54">
        <w:rPr>
          <w:sz w:val="26"/>
          <w:szCs w:val="26"/>
        </w:rPr>
        <w:t xml:space="preserve"> application.</w:t>
      </w:r>
    </w:p>
    <w:p w14:paraId="778C9F38" w14:textId="77777777" w:rsidR="000B48F5" w:rsidRDefault="000B48F5" w:rsidP="000B48F5">
      <w:pPr>
        <w:spacing w:after="0" w:line="240" w:lineRule="auto"/>
        <w:rPr>
          <w:sz w:val="26"/>
          <w:szCs w:val="26"/>
        </w:rPr>
      </w:pPr>
      <w:r>
        <w:rPr>
          <w:sz w:val="26"/>
          <w:szCs w:val="26"/>
        </w:rPr>
        <w:t>______________________________________</w:t>
      </w:r>
    </w:p>
    <w:p w14:paraId="68C51962" w14:textId="77777777" w:rsidR="000B48F5" w:rsidRPr="002653D6" w:rsidRDefault="000B48F5" w:rsidP="000B48F5">
      <w:pPr>
        <w:spacing w:after="0" w:line="240" w:lineRule="auto"/>
        <w:rPr>
          <w:b/>
          <w:sz w:val="26"/>
          <w:szCs w:val="26"/>
        </w:rPr>
      </w:pPr>
      <w:r>
        <w:rPr>
          <w:b/>
          <w:sz w:val="26"/>
          <w:szCs w:val="26"/>
        </w:rPr>
        <w:t>A Bester</w:t>
      </w:r>
    </w:p>
    <w:p w14:paraId="6C6BB01F" w14:textId="77777777" w:rsidR="000B48F5" w:rsidRDefault="000B48F5" w:rsidP="000B48F5">
      <w:pPr>
        <w:spacing w:after="0" w:line="240" w:lineRule="auto"/>
        <w:rPr>
          <w:b/>
          <w:sz w:val="26"/>
          <w:szCs w:val="26"/>
        </w:rPr>
      </w:pPr>
      <w:r w:rsidRPr="006B2625">
        <w:rPr>
          <w:b/>
          <w:sz w:val="26"/>
          <w:szCs w:val="26"/>
        </w:rPr>
        <w:t xml:space="preserve">Acting Judge </w:t>
      </w:r>
      <w:r>
        <w:rPr>
          <w:b/>
          <w:sz w:val="26"/>
          <w:szCs w:val="26"/>
        </w:rPr>
        <w:t>o</w:t>
      </w:r>
      <w:r w:rsidRPr="006B2625">
        <w:rPr>
          <w:b/>
          <w:sz w:val="26"/>
          <w:szCs w:val="26"/>
        </w:rPr>
        <w:t xml:space="preserve">f </w:t>
      </w:r>
      <w:r>
        <w:rPr>
          <w:b/>
          <w:sz w:val="26"/>
          <w:szCs w:val="26"/>
        </w:rPr>
        <w:t>t</w:t>
      </w:r>
      <w:r w:rsidRPr="006B2625">
        <w:rPr>
          <w:b/>
          <w:sz w:val="26"/>
          <w:szCs w:val="26"/>
        </w:rPr>
        <w:t>he High Court</w:t>
      </w:r>
      <w:r>
        <w:rPr>
          <w:b/>
          <w:sz w:val="26"/>
          <w:szCs w:val="26"/>
        </w:rPr>
        <w:t xml:space="preserve"> of South Africa</w:t>
      </w:r>
    </w:p>
    <w:p w14:paraId="7A508833" w14:textId="51015105" w:rsidR="000B48F5" w:rsidRDefault="000B48F5" w:rsidP="000B48F5">
      <w:pPr>
        <w:spacing w:after="0" w:line="240" w:lineRule="auto"/>
        <w:rPr>
          <w:b/>
          <w:sz w:val="26"/>
          <w:szCs w:val="26"/>
        </w:rPr>
      </w:pPr>
      <w:r>
        <w:rPr>
          <w:b/>
          <w:sz w:val="26"/>
          <w:szCs w:val="26"/>
        </w:rPr>
        <w:t>Gauteng Division, Johannesburg</w:t>
      </w:r>
    </w:p>
    <w:p w14:paraId="7E85FEF0" w14:textId="77777777" w:rsidR="000B48F5" w:rsidRDefault="000B48F5" w:rsidP="000B48F5">
      <w:pPr>
        <w:spacing w:after="0" w:line="240" w:lineRule="auto"/>
        <w:rPr>
          <w:sz w:val="26"/>
          <w:szCs w:val="26"/>
        </w:rPr>
      </w:pPr>
    </w:p>
    <w:p w14:paraId="31F03597" w14:textId="77777777" w:rsidR="006D2B13" w:rsidRDefault="006D2B13" w:rsidP="000B48F5">
      <w:pPr>
        <w:spacing w:after="0" w:line="240" w:lineRule="auto"/>
        <w:rPr>
          <w:sz w:val="26"/>
          <w:szCs w:val="26"/>
        </w:rPr>
      </w:pPr>
    </w:p>
    <w:p w14:paraId="53E141D3" w14:textId="2D062356" w:rsidR="006D2B13" w:rsidRDefault="006D2B13" w:rsidP="000B48F5">
      <w:pPr>
        <w:spacing w:after="0" w:line="240" w:lineRule="auto"/>
        <w:rPr>
          <w:sz w:val="26"/>
          <w:szCs w:val="26"/>
        </w:rPr>
      </w:pPr>
      <w:r>
        <w:rPr>
          <w:sz w:val="26"/>
          <w:szCs w:val="26"/>
        </w:rPr>
        <w:t>Heard on:</w:t>
      </w:r>
      <w:r w:rsidR="006602EE">
        <w:rPr>
          <w:sz w:val="26"/>
          <w:szCs w:val="26"/>
        </w:rPr>
        <w:tab/>
      </w:r>
      <w:r w:rsidR="006602EE">
        <w:rPr>
          <w:sz w:val="26"/>
          <w:szCs w:val="26"/>
        </w:rPr>
        <w:tab/>
      </w:r>
      <w:r w:rsidR="006602EE">
        <w:rPr>
          <w:sz w:val="26"/>
          <w:szCs w:val="26"/>
        </w:rPr>
        <w:tab/>
      </w:r>
      <w:r w:rsidR="006602EE">
        <w:rPr>
          <w:sz w:val="26"/>
          <w:szCs w:val="26"/>
        </w:rPr>
        <w:tab/>
        <w:t>22 November 2021</w:t>
      </w:r>
    </w:p>
    <w:p w14:paraId="438D81E5" w14:textId="0CC0CB93" w:rsidR="006602EE" w:rsidRDefault="006602EE" w:rsidP="000B48F5">
      <w:pPr>
        <w:spacing w:after="0" w:line="240" w:lineRule="auto"/>
        <w:rPr>
          <w:sz w:val="26"/>
          <w:szCs w:val="26"/>
        </w:rPr>
      </w:pPr>
      <w:r>
        <w:rPr>
          <w:sz w:val="26"/>
          <w:szCs w:val="26"/>
        </w:rPr>
        <w:t>Judgment date:</w:t>
      </w:r>
      <w:r>
        <w:rPr>
          <w:sz w:val="26"/>
          <w:szCs w:val="26"/>
        </w:rPr>
        <w:tab/>
      </w:r>
      <w:r>
        <w:rPr>
          <w:sz w:val="26"/>
          <w:szCs w:val="26"/>
        </w:rPr>
        <w:tab/>
      </w:r>
      <w:r>
        <w:rPr>
          <w:sz w:val="26"/>
          <w:szCs w:val="26"/>
        </w:rPr>
        <w:tab/>
      </w:r>
      <w:r>
        <w:rPr>
          <w:sz w:val="26"/>
          <w:szCs w:val="26"/>
        </w:rPr>
        <w:tab/>
        <w:t>25 August 2022</w:t>
      </w:r>
    </w:p>
    <w:p w14:paraId="75924B79" w14:textId="77777777" w:rsidR="000B48F5" w:rsidRDefault="000B48F5" w:rsidP="000B48F5">
      <w:pPr>
        <w:spacing w:after="0" w:line="240" w:lineRule="auto"/>
        <w:rPr>
          <w:sz w:val="26"/>
          <w:szCs w:val="26"/>
        </w:rPr>
      </w:pPr>
    </w:p>
    <w:p w14:paraId="6124E5CF" w14:textId="43756B21" w:rsidR="006602EE" w:rsidRDefault="006602EE" w:rsidP="000B48F5">
      <w:pPr>
        <w:spacing w:after="0" w:line="240" w:lineRule="auto"/>
        <w:rPr>
          <w:sz w:val="26"/>
          <w:szCs w:val="26"/>
        </w:rPr>
      </w:pPr>
      <w:r>
        <w:rPr>
          <w:sz w:val="26"/>
          <w:szCs w:val="26"/>
        </w:rPr>
        <w:t>Counsel for the applicants:</w:t>
      </w:r>
      <w:r>
        <w:rPr>
          <w:sz w:val="26"/>
          <w:szCs w:val="26"/>
        </w:rPr>
        <w:tab/>
      </w:r>
      <w:r>
        <w:rPr>
          <w:sz w:val="26"/>
          <w:szCs w:val="26"/>
        </w:rPr>
        <w:tab/>
        <w:t>Adv C van der Merwe</w:t>
      </w:r>
    </w:p>
    <w:p w14:paraId="40972287" w14:textId="6FD64098" w:rsidR="008C2AC8" w:rsidRDefault="008C2AC8" w:rsidP="000B48F5">
      <w:pPr>
        <w:spacing w:after="0" w:line="240" w:lineRule="auto"/>
        <w:rPr>
          <w:sz w:val="26"/>
          <w:szCs w:val="26"/>
        </w:rPr>
      </w:pPr>
      <w:r>
        <w:rPr>
          <w:sz w:val="26"/>
          <w:szCs w:val="26"/>
        </w:rPr>
        <w:t>Instructed by:</w:t>
      </w:r>
      <w:r>
        <w:rPr>
          <w:sz w:val="26"/>
          <w:szCs w:val="26"/>
        </w:rPr>
        <w:tab/>
      </w:r>
      <w:r>
        <w:rPr>
          <w:sz w:val="26"/>
          <w:szCs w:val="26"/>
        </w:rPr>
        <w:tab/>
      </w:r>
      <w:r>
        <w:rPr>
          <w:sz w:val="26"/>
          <w:szCs w:val="26"/>
        </w:rPr>
        <w:tab/>
      </w:r>
      <w:r>
        <w:rPr>
          <w:sz w:val="26"/>
          <w:szCs w:val="26"/>
        </w:rPr>
        <w:tab/>
        <w:t>Lagarto Bhana Attorneys</w:t>
      </w:r>
    </w:p>
    <w:p w14:paraId="59AF49D5" w14:textId="77777777" w:rsidR="008C2AC8" w:rsidRDefault="008C2AC8" w:rsidP="000B48F5">
      <w:pPr>
        <w:spacing w:after="0" w:line="240" w:lineRule="auto"/>
        <w:rPr>
          <w:sz w:val="26"/>
          <w:szCs w:val="26"/>
        </w:rPr>
      </w:pPr>
    </w:p>
    <w:p w14:paraId="6B300B99" w14:textId="356DE220" w:rsidR="008C2AC8" w:rsidRDefault="008C2AC8" w:rsidP="000B48F5">
      <w:pPr>
        <w:spacing w:after="0" w:line="240" w:lineRule="auto"/>
        <w:rPr>
          <w:sz w:val="26"/>
          <w:szCs w:val="26"/>
        </w:rPr>
      </w:pPr>
      <w:r>
        <w:rPr>
          <w:sz w:val="26"/>
          <w:szCs w:val="26"/>
        </w:rPr>
        <w:t>No appearance for the first respondent</w:t>
      </w:r>
      <w:r w:rsidR="007F00D4">
        <w:rPr>
          <w:sz w:val="26"/>
          <w:szCs w:val="26"/>
        </w:rPr>
        <w:t>.</w:t>
      </w:r>
    </w:p>
    <w:p w14:paraId="0FE1D0DE" w14:textId="77777777" w:rsidR="007F00D4" w:rsidRDefault="007F00D4" w:rsidP="000B48F5">
      <w:pPr>
        <w:spacing w:after="0" w:line="240" w:lineRule="auto"/>
        <w:rPr>
          <w:sz w:val="26"/>
          <w:szCs w:val="26"/>
        </w:rPr>
      </w:pPr>
    </w:p>
    <w:p w14:paraId="2DDE14E0" w14:textId="4BD683BA" w:rsidR="007F00D4" w:rsidRDefault="007F00D4" w:rsidP="000B48F5">
      <w:pPr>
        <w:spacing w:after="0" w:line="240" w:lineRule="auto"/>
        <w:rPr>
          <w:sz w:val="26"/>
          <w:szCs w:val="26"/>
        </w:rPr>
      </w:pPr>
      <w:r>
        <w:rPr>
          <w:sz w:val="26"/>
          <w:szCs w:val="26"/>
        </w:rPr>
        <w:t>Counsel for the second respondent</w:t>
      </w:r>
      <w:r w:rsidR="009C43AC">
        <w:rPr>
          <w:sz w:val="26"/>
          <w:szCs w:val="26"/>
        </w:rPr>
        <w:t>:</w:t>
      </w:r>
      <w:r w:rsidR="009C43AC">
        <w:rPr>
          <w:sz w:val="26"/>
          <w:szCs w:val="26"/>
        </w:rPr>
        <w:tab/>
        <w:t>Adv FR Memani</w:t>
      </w:r>
    </w:p>
    <w:p w14:paraId="3D3073FD" w14:textId="569DBC3F" w:rsidR="009C43AC" w:rsidRDefault="009C43AC" w:rsidP="000B48F5">
      <w:pPr>
        <w:spacing w:after="0" w:line="240" w:lineRule="auto"/>
        <w:rPr>
          <w:sz w:val="26"/>
          <w:szCs w:val="26"/>
        </w:rPr>
      </w:pPr>
      <w:r>
        <w:rPr>
          <w:sz w:val="26"/>
          <w:szCs w:val="26"/>
        </w:rPr>
        <w:t>Instructed by:</w:t>
      </w:r>
      <w:r>
        <w:rPr>
          <w:sz w:val="26"/>
          <w:szCs w:val="26"/>
        </w:rPr>
        <w:tab/>
      </w:r>
      <w:r>
        <w:rPr>
          <w:sz w:val="26"/>
          <w:szCs w:val="26"/>
        </w:rPr>
        <w:tab/>
      </w:r>
      <w:r>
        <w:rPr>
          <w:sz w:val="26"/>
          <w:szCs w:val="26"/>
        </w:rPr>
        <w:tab/>
      </w:r>
      <w:r>
        <w:rPr>
          <w:sz w:val="26"/>
          <w:szCs w:val="26"/>
        </w:rPr>
        <w:tab/>
      </w:r>
      <w:r w:rsidR="00E55430">
        <w:rPr>
          <w:sz w:val="26"/>
          <w:szCs w:val="26"/>
        </w:rPr>
        <w:t>Maema Attorneys</w:t>
      </w:r>
    </w:p>
    <w:sectPr w:rsidR="009C43AC" w:rsidSect="00453AE9">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81DCA" w14:textId="77777777" w:rsidR="0072581F" w:rsidRDefault="0072581F" w:rsidP="00A47B82">
      <w:pPr>
        <w:spacing w:after="0" w:line="240" w:lineRule="auto"/>
      </w:pPr>
      <w:r>
        <w:separator/>
      </w:r>
    </w:p>
  </w:endnote>
  <w:endnote w:type="continuationSeparator" w:id="0">
    <w:p w14:paraId="76257D52" w14:textId="77777777" w:rsidR="0072581F" w:rsidRDefault="0072581F" w:rsidP="00A4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Calibri">
    <w:altName w:val="Times New Roman"/>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C9220" w14:textId="77777777" w:rsidR="0072581F" w:rsidRDefault="0072581F" w:rsidP="00A47B82">
      <w:pPr>
        <w:spacing w:after="0" w:line="240" w:lineRule="auto"/>
      </w:pPr>
      <w:r>
        <w:separator/>
      </w:r>
    </w:p>
  </w:footnote>
  <w:footnote w:type="continuationSeparator" w:id="0">
    <w:p w14:paraId="5D12BEAB" w14:textId="77777777" w:rsidR="0072581F" w:rsidRDefault="0072581F" w:rsidP="00A47B82">
      <w:pPr>
        <w:spacing w:after="0" w:line="240" w:lineRule="auto"/>
      </w:pPr>
      <w:r>
        <w:continuationSeparator/>
      </w:r>
    </w:p>
  </w:footnote>
  <w:footnote w:id="1">
    <w:p w14:paraId="11A00C95" w14:textId="42B8D4D4" w:rsidR="00E275C1" w:rsidRPr="00DF3716" w:rsidRDefault="00E275C1" w:rsidP="00E275C1">
      <w:pPr>
        <w:pStyle w:val="FootnoteText"/>
        <w:ind w:left="284" w:hanging="284"/>
      </w:pPr>
      <w:r>
        <w:rPr>
          <w:rStyle w:val="FootnoteReference"/>
        </w:rPr>
        <w:footnoteRef/>
      </w:r>
      <w:r>
        <w:t xml:space="preserve"> </w:t>
      </w:r>
      <w:r>
        <w:tab/>
      </w:r>
      <w:r>
        <w:rPr>
          <w:i/>
          <w:iCs/>
        </w:rPr>
        <w:t xml:space="preserve">PGB Boerdery Beleggings (Edms) Bpk v Somerville 62 (Edms) Bpk </w:t>
      </w:r>
      <w:r w:rsidRPr="00E275C1">
        <w:t xml:space="preserve">2008 (2) SA 428 (SCA) in [9], approving of LAWSA Reissue </w:t>
      </w:r>
      <w:r w:rsidR="00D3519A">
        <w:t xml:space="preserve">Volume </w:t>
      </w:r>
      <w:r w:rsidRPr="00E275C1">
        <w:t>1 paragraph 189</w:t>
      </w:r>
      <w:r>
        <w:t>.</w:t>
      </w:r>
    </w:p>
  </w:footnote>
  <w:footnote w:id="2">
    <w:p w14:paraId="389BC8CA" w14:textId="77777777" w:rsidR="00E275C1" w:rsidRPr="00DF3716" w:rsidRDefault="00E275C1" w:rsidP="00E275C1">
      <w:pPr>
        <w:pStyle w:val="FootnoteText"/>
        <w:ind w:left="284" w:hanging="284"/>
      </w:pPr>
      <w:r>
        <w:rPr>
          <w:rStyle w:val="FootnoteReference"/>
        </w:rPr>
        <w:footnoteRef/>
      </w:r>
      <w:r>
        <w:t xml:space="preserve"> </w:t>
      </w:r>
      <w:r>
        <w:tab/>
      </w:r>
      <w:r>
        <w:rPr>
          <w:i/>
          <w:iCs/>
        </w:rPr>
        <w:t>Masstores (Pty) Ltd v Pick n Pay Retailers (Pty) Ltd</w:t>
      </w:r>
      <w:r>
        <w:rPr>
          <w:b/>
          <w:bCs/>
          <w:i/>
          <w:iCs/>
        </w:rPr>
        <w:t xml:space="preserve"> </w:t>
      </w:r>
      <w:r w:rsidRPr="00DC4ED7">
        <w:t xml:space="preserve">2017 </w:t>
      </w:r>
      <w:r>
        <w:t xml:space="preserve">(1) SA 613 (CC) in [7], approving </w:t>
      </w:r>
      <w:r>
        <w:rPr>
          <w:i/>
          <w:iCs/>
        </w:rPr>
        <w:t>Setlogelo v Setlogelo</w:t>
      </w:r>
      <w:r>
        <w:t xml:space="preserve"> 1914 AD 221 at 227.</w:t>
      </w:r>
    </w:p>
  </w:footnote>
  <w:footnote w:id="3">
    <w:p w14:paraId="2C1845C0" w14:textId="1C80E008" w:rsidR="00EA36A5" w:rsidRDefault="00EA36A5" w:rsidP="00EA36A5">
      <w:pPr>
        <w:pStyle w:val="FootnoteText"/>
        <w:ind w:left="284" w:hanging="284"/>
      </w:pPr>
      <w:r>
        <w:rPr>
          <w:rStyle w:val="FootnoteReference"/>
        </w:rPr>
        <w:footnoteRef/>
      </w:r>
      <w:r>
        <w:t xml:space="preserve"> </w:t>
      </w:r>
      <w:r>
        <w:tab/>
        <w:t>See</w:t>
      </w:r>
      <w:r w:rsidR="00620A4E">
        <w:t xml:space="preserve"> </w:t>
      </w:r>
      <w:r w:rsidR="00620A4E" w:rsidRPr="00620A4E">
        <w:rPr>
          <w:i/>
          <w:iCs/>
        </w:rPr>
        <w:t>inter alia</w:t>
      </w:r>
      <w:r w:rsidR="00620A4E">
        <w:t xml:space="preserve"> </w:t>
      </w:r>
      <w:r w:rsidR="00620A4E" w:rsidRPr="00056E37">
        <w:rPr>
          <w:i/>
          <w:iCs/>
        </w:rPr>
        <w:t>Porterstraat 69 Eiendomme (Pty) Ltd v P</w:t>
      </w:r>
      <w:r w:rsidR="00187921" w:rsidRPr="00056E37">
        <w:rPr>
          <w:i/>
          <w:iCs/>
        </w:rPr>
        <w:t>A Venter Worcester (Pty) Ltd</w:t>
      </w:r>
      <w:r w:rsidR="00187921">
        <w:t xml:space="preserve"> </w:t>
      </w:r>
      <w:r w:rsidR="0082437D">
        <w:t>20</w:t>
      </w:r>
      <w:r w:rsidR="003B7B36">
        <w:t>0</w:t>
      </w:r>
      <w:r w:rsidR="0082437D">
        <w:t>0 (4) SA 598 (C) at 617 B – F.</w:t>
      </w:r>
    </w:p>
  </w:footnote>
  <w:footnote w:id="4">
    <w:p w14:paraId="2E590696" w14:textId="7CC9000B" w:rsidR="004934B5" w:rsidRPr="004934B5" w:rsidRDefault="004934B5" w:rsidP="004934B5">
      <w:pPr>
        <w:pStyle w:val="FootnoteText"/>
        <w:ind w:left="284" w:hanging="284"/>
      </w:pPr>
      <w:r>
        <w:rPr>
          <w:rStyle w:val="FootnoteReference"/>
        </w:rPr>
        <w:footnoteRef/>
      </w:r>
      <w:r>
        <w:t xml:space="preserve"> </w:t>
      </w:r>
      <w:r>
        <w:tab/>
      </w:r>
      <w:r>
        <w:rPr>
          <w:i/>
          <w:iCs/>
        </w:rPr>
        <w:t xml:space="preserve">BSB International Link CC v Readam South Africa (Pty) Ltd and Another </w:t>
      </w:r>
      <w:r>
        <w:t>2016 (4) SA 83 (SCA) in [23].</w:t>
      </w:r>
    </w:p>
  </w:footnote>
  <w:footnote w:id="5">
    <w:p w14:paraId="406A856F" w14:textId="50B2B3AD" w:rsidR="004431E6" w:rsidRPr="004431E6" w:rsidRDefault="004431E6" w:rsidP="004431E6">
      <w:pPr>
        <w:pStyle w:val="FootnoteText"/>
        <w:ind w:left="284" w:hanging="284"/>
      </w:pPr>
      <w:r>
        <w:rPr>
          <w:rStyle w:val="FootnoteReference"/>
        </w:rPr>
        <w:footnoteRef/>
      </w:r>
      <w:r>
        <w:t xml:space="preserve"> </w:t>
      </w:r>
      <w:r>
        <w:tab/>
      </w:r>
      <w:r>
        <w:rPr>
          <w:i/>
          <w:iCs/>
        </w:rPr>
        <w:t xml:space="preserve">BSB supra </w:t>
      </w:r>
      <w:r>
        <w:t>in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330000"/>
      <w:docPartObj>
        <w:docPartGallery w:val="Page Numbers (Top of Page)"/>
        <w:docPartUnique/>
      </w:docPartObj>
    </w:sdtPr>
    <w:sdtEndPr>
      <w:rPr>
        <w:noProof/>
      </w:rPr>
    </w:sdtEndPr>
    <w:sdtContent>
      <w:p w14:paraId="5182714B" w14:textId="7E2EDA6C" w:rsidR="00A46E1C" w:rsidRDefault="00A46E1C">
        <w:pPr>
          <w:pStyle w:val="Header"/>
          <w:jc w:val="center"/>
        </w:pPr>
        <w:r>
          <w:fldChar w:fldCharType="begin"/>
        </w:r>
        <w:r>
          <w:instrText xml:space="preserve"> PAGE   \* MERGEFORMAT </w:instrText>
        </w:r>
        <w:r>
          <w:fldChar w:fldCharType="separate"/>
        </w:r>
        <w:r w:rsidR="00BD42B6">
          <w:rPr>
            <w:noProof/>
          </w:rPr>
          <w:t>2</w:t>
        </w:r>
        <w:r>
          <w:rPr>
            <w:noProof/>
          </w:rPr>
          <w:fldChar w:fldCharType="end"/>
        </w:r>
      </w:p>
    </w:sdtContent>
  </w:sdt>
  <w:p w14:paraId="71AF23D4" w14:textId="77777777" w:rsidR="00453AE9" w:rsidRDefault="00453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405"/>
    <w:multiLevelType w:val="multilevel"/>
    <w:tmpl w:val="1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E43DA9"/>
    <w:multiLevelType w:val="hybridMultilevel"/>
    <w:tmpl w:val="949EF7BC"/>
    <w:lvl w:ilvl="0" w:tplc="21087A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406694"/>
    <w:multiLevelType w:val="multilevel"/>
    <w:tmpl w:val="1C2E5DE2"/>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63093B"/>
    <w:multiLevelType w:val="hybridMultilevel"/>
    <w:tmpl w:val="08B4277A"/>
    <w:lvl w:ilvl="0" w:tplc="892E2BC8">
      <w:start w:val="1"/>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97B59D9"/>
    <w:multiLevelType w:val="multilevel"/>
    <w:tmpl w:val="1C09001D"/>
    <w:numStyleLink w:val="Style1"/>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5DF0EB-3707-491D-A27B-FC690D1AE424}"/>
    <w:docVar w:name="dgnword-eventsink" w:val="2117277186688"/>
  </w:docVars>
  <w:rsids>
    <w:rsidRoot w:val="00D47BAD"/>
    <w:rsid w:val="0000536F"/>
    <w:rsid w:val="00010AD9"/>
    <w:rsid w:val="000166C0"/>
    <w:rsid w:val="00021E58"/>
    <w:rsid w:val="000227CA"/>
    <w:rsid w:val="00026681"/>
    <w:rsid w:val="000275C3"/>
    <w:rsid w:val="00037824"/>
    <w:rsid w:val="000420F3"/>
    <w:rsid w:val="00042DEF"/>
    <w:rsid w:val="000459B6"/>
    <w:rsid w:val="00047D3A"/>
    <w:rsid w:val="00053212"/>
    <w:rsid w:val="00053431"/>
    <w:rsid w:val="00056E37"/>
    <w:rsid w:val="0006513C"/>
    <w:rsid w:val="000673CD"/>
    <w:rsid w:val="00071C85"/>
    <w:rsid w:val="00071EF7"/>
    <w:rsid w:val="0007225C"/>
    <w:rsid w:val="0007650E"/>
    <w:rsid w:val="00077E80"/>
    <w:rsid w:val="00092283"/>
    <w:rsid w:val="00095295"/>
    <w:rsid w:val="00096324"/>
    <w:rsid w:val="000A2FA7"/>
    <w:rsid w:val="000A5465"/>
    <w:rsid w:val="000A7F0B"/>
    <w:rsid w:val="000B0CA7"/>
    <w:rsid w:val="000B30C3"/>
    <w:rsid w:val="000B34BF"/>
    <w:rsid w:val="000B47EF"/>
    <w:rsid w:val="000B48F5"/>
    <w:rsid w:val="000B5275"/>
    <w:rsid w:val="000B58A0"/>
    <w:rsid w:val="000C0102"/>
    <w:rsid w:val="000D0DFE"/>
    <w:rsid w:val="000D50AF"/>
    <w:rsid w:val="000D68E9"/>
    <w:rsid w:val="000E14D7"/>
    <w:rsid w:val="000E47AA"/>
    <w:rsid w:val="000E4A53"/>
    <w:rsid w:val="000E7263"/>
    <w:rsid w:val="000F0CC4"/>
    <w:rsid w:val="000F30D5"/>
    <w:rsid w:val="000F3C4D"/>
    <w:rsid w:val="000F50CA"/>
    <w:rsid w:val="000F7E69"/>
    <w:rsid w:val="00101A58"/>
    <w:rsid w:val="001038B0"/>
    <w:rsid w:val="00122837"/>
    <w:rsid w:val="00122A1A"/>
    <w:rsid w:val="00125339"/>
    <w:rsid w:val="00125A4E"/>
    <w:rsid w:val="00155DD9"/>
    <w:rsid w:val="00163F57"/>
    <w:rsid w:val="00165F99"/>
    <w:rsid w:val="001660A8"/>
    <w:rsid w:val="001708AA"/>
    <w:rsid w:val="00170D2B"/>
    <w:rsid w:val="00174304"/>
    <w:rsid w:val="001840FC"/>
    <w:rsid w:val="00185410"/>
    <w:rsid w:val="00187921"/>
    <w:rsid w:val="001A1EB4"/>
    <w:rsid w:val="001B1E25"/>
    <w:rsid w:val="001B2303"/>
    <w:rsid w:val="001C1CF8"/>
    <w:rsid w:val="001C1F69"/>
    <w:rsid w:val="001C7E4D"/>
    <w:rsid w:val="001D25D6"/>
    <w:rsid w:val="001D4731"/>
    <w:rsid w:val="001D4791"/>
    <w:rsid w:val="001D603A"/>
    <w:rsid w:val="001D72E5"/>
    <w:rsid w:val="001E7990"/>
    <w:rsid w:val="001F1666"/>
    <w:rsid w:val="00203370"/>
    <w:rsid w:val="00207BE6"/>
    <w:rsid w:val="00210673"/>
    <w:rsid w:val="002146DE"/>
    <w:rsid w:val="002152FB"/>
    <w:rsid w:val="002156FF"/>
    <w:rsid w:val="002162BE"/>
    <w:rsid w:val="0022593F"/>
    <w:rsid w:val="002301EC"/>
    <w:rsid w:val="002313B9"/>
    <w:rsid w:val="0023239F"/>
    <w:rsid w:val="0023258C"/>
    <w:rsid w:val="00235CC8"/>
    <w:rsid w:val="00237419"/>
    <w:rsid w:val="00240FA0"/>
    <w:rsid w:val="00251F35"/>
    <w:rsid w:val="0025354D"/>
    <w:rsid w:val="00264677"/>
    <w:rsid w:val="002653D6"/>
    <w:rsid w:val="00271C78"/>
    <w:rsid w:val="00272936"/>
    <w:rsid w:val="00273B33"/>
    <w:rsid w:val="00291E4F"/>
    <w:rsid w:val="002927D7"/>
    <w:rsid w:val="00293872"/>
    <w:rsid w:val="002953C2"/>
    <w:rsid w:val="0029713F"/>
    <w:rsid w:val="002979D9"/>
    <w:rsid w:val="002A158C"/>
    <w:rsid w:val="002A297A"/>
    <w:rsid w:val="002A654E"/>
    <w:rsid w:val="002A79BA"/>
    <w:rsid w:val="002B0BB8"/>
    <w:rsid w:val="002C3A0A"/>
    <w:rsid w:val="002C45FF"/>
    <w:rsid w:val="002D099B"/>
    <w:rsid w:val="002D14FD"/>
    <w:rsid w:val="002D4DC0"/>
    <w:rsid w:val="002D585E"/>
    <w:rsid w:val="002D7248"/>
    <w:rsid w:val="003029C3"/>
    <w:rsid w:val="003062B2"/>
    <w:rsid w:val="00310910"/>
    <w:rsid w:val="00312BFC"/>
    <w:rsid w:val="00315E7C"/>
    <w:rsid w:val="00317680"/>
    <w:rsid w:val="003223A5"/>
    <w:rsid w:val="003276F5"/>
    <w:rsid w:val="003304A3"/>
    <w:rsid w:val="00331200"/>
    <w:rsid w:val="00335AE2"/>
    <w:rsid w:val="00346245"/>
    <w:rsid w:val="0034706E"/>
    <w:rsid w:val="0035016D"/>
    <w:rsid w:val="00352AF2"/>
    <w:rsid w:val="003542B6"/>
    <w:rsid w:val="00356A0D"/>
    <w:rsid w:val="00361057"/>
    <w:rsid w:val="0036166E"/>
    <w:rsid w:val="00362177"/>
    <w:rsid w:val="003800C4"/>
    <w:rsid w:val="003842E3"/>
    <w:rsid w:val="0038611E"/>
    <w:rsid w:val="00387C72"/>
    <w:rsid w:val="003907DC"/>
    <w:rsid w:val="00394064"/>
    <w:rsid w:val="003943A1"/>
    <w:rsid w:val="00394A92"/>
    <w:rsid w:val="00396EDF"/>
    <w:rsid w:val="003A7709"/>
    <w:rsid w:val="003B4391"/>
    <w:rsid w:val="003B55BB"/>
    <w:rsid w:val="003B64EC"/>
    <w:rsid w:val="003B7B36"/>
    <w:rsid w:val="003C2772"/>
    <w:rsid w:val="003D2906"/>
    <w:rsid w:val="003E6908"/>
    <w:rsid w:val="003F144E"/>
    <w:rsid w:val="003F5BC3"/>
    <w:rsid w:val="00400DA3"/>
    <w:rsid w:val="00401ED3"/>
    <w:rsid w:val="00405B93"/>
    <w:rsid w:val="00414787"/>
    <w:rsid w:val="00417467"/>
    <w:rsid w:val="00420B4A"/>
    <w:rsid w:val="00424951"/>
    <w:rsid w:val="00425B82"/>
    <w:rsid w:val="004273EE"/>
    <w:rsid w:val="00432B32"/>
    <w:rsid w:val="004332A0"/>
    <w:rsid w:val="00441A70"/>
    <w:rsid w:val="00442CDC"/>
    <w:rsid w:val="004431E6"/>
    <w:rsid w:val="00453A82"/>
    <w:rsid w:val="00453AE9"/>
    <w:rsid w:val="00460D3C"/>
    <w:rsid w:val="00460F28"/>
    <w:rsid w:val="0046401D"/>
    <w:rsid w:val="00466CFC"/>
    <w:rsid w:val="004720F0"/>
    <w:rsid w:val="00475B80"/>
    <w:rsid w:val="00476C24"/>
    <w:rsid w:val="00483430"/>
    <w:rsid w:val="00484F70"/>
    <w:rsid w:val="0048556E"/>
    <w:rsid w:val="004866BE"/>
    <w:rsid w:val="00492530"/>
    <w:rsid w:val="00492C2E"/>
    <w:rsid w:val="004934B5"/>
    <w:rsid w:val="00493C86"/>
    <w:rsid w:val="004954E9"/>
    <w:rsid w:val="004A22DA"/>
    <w:rsid w:val="004A405F"/>
    <w:rsid w:val="004A6F70"/>
    <w:rsid w:val="004B2D25"/>
    <w:rsid w:val="004B398C"/>
    <w:rsid w:val="004B6505"/>
    <w:rsid w:val="004B7BFC"/>
    <w:rsid w:val="004D50D8"/>
    <w:rsid w:val="004D5B35"/>
    <w:rsid w:val="004D6325"/>
    <w:rsid w:val="004E70EE"/>
    <w:rsid w:val="004F0A7F"/>
    <w:rsid w:val="004F16B4"/>
    <w:rsid w:val="00500784"/>
    <w:rsid w:val="00500B16"/>
    <w:rsid w:val="00500B92"/>
    <w:rsid w:val="00501C54"/>
    <w:rsid w:val="00504C72"/>
    <w:rsid w:val="00527DEB"/>
    <w:rsid w:val="00532B24"/>
    <w:rsid w:val="0054064C"/>
    <w:rsid w:val="00541F8C"/>
    <w:rsid w:val="00546198"/>
    <w:rsid w:val="00547690"/>
    <w:rsid w:val="00556B8F"/>
    <w:rsid w:val="005624CC"/>
    <w:rsid w:val="005655C3"/>
    <w:rsid w:val="00567498"/>
    <w:rsid w:val="005701A9"/>
    <w:rsid w:val="005720B3"/>
    <w:rsid w:val="005720DC"/>
    <w:rsid w:val="005763E5"/>
    <w:rsid w:val="0059029D"/>
    <w:rsid w:val="005943C0"/>
    <w:rsid w:val="005968A5"/>
    <w:rsid w:val="005A20D3"/>
    <w:rsid w:val="005A4CA9"/>
    <w:rsid w:val="005B5C35"/>
    <w:rsid w:val="005C24CB"/>
    <w:rsid w:val="005D13CE"/>
    <w:rsid w:val="005D4D20"/>
    <w:rsid w:val="005E241D"/>
    <w:rsid w:val="005F0DF4"/>
    <w:rsid w:val="005F7E76"/>
    <w:rsid w:val="00607DF4"/>
    <w:rsid w:val="00620A4E"/>
    <w:rsid w:val="0062760D"/>
    <w:rsid w:val="00630C67"/>
    <w:rsid w:val="00634BF6"/>
    <w:rsid w:val="00634C41"/>
    <w:rsid w:val="00635A0E"/>
    <w:rsid w:val="00637DE0"/>
    <w:rsid w:val="0064250F"/>
    <w:rsid w:val="00643CA5"/>
    <w:rsid w:val="00652A1E"/>
    <w:rsid w:val="00656480"/>
    <w:rsid w:val="0065682C"/>
    <w:rsid w:val="006602EE"/>
    <w:rsid w:val="00661021"/>
    <w:rsid w:val="006619EE"/>
    <w:rsid w:val="00666EB5"/>
    <w:rsid w:val="00670BD1"/>
    <w:rsid w:val="00676304"/>
    <w:rsid w:val="0068541A"/>
    <w:rsid w:val="00687810"/>
    <w:rsid w:val="00691319"/>
    <w:rsid w:val="0069151D"/>
    <w:rsid w:val="006A5DAA"/>
    <w:rsid w:val="006A6E45"/>
    <w:rsid w:val="006A703A"/>
    <w:rsid w:val="006B104A"/>
    <w:rsid w:val="006B2625"/>
    <w:rsid w:val="006B4898"/>
    <w:rsid w:val="006B4F84"/>
    <w:rsid w:val="006B614A"/>
    <w:rsid w:val="006B6910"/>
    <w:rsid w:val="006C0173"/>
    <w:rsid w:val="006C272A"/>
    <w:rsid w:val="006D0016"/>
    <w:rsid w:val="006D2B13"/>
    <w:rsid w:val="006D4890"/>
    <w:rsid w:val="006D5A63"/>
    <w:rsid w:val="006E00F2"/>
    <w:rsid w:val="006E1088"/>
    <w:rsid w:val="006F20C6"/>
    <w:rsid w:val="006F24FA"/>
    <w:rsid w:val="006F3723"/>
    <w:rsid w:val="006F5940"/>
    <w:rsid w:val="006F64F6"/>
    <w:rsid w:val="006F7CFE"/>
    <w:rsid w:val="00702BCB"/>
    <w:rsid w:val="0071190D"/>
    <w:rsid w:val="0071510D"/>
    <w:rsid w:val="0072581F"/>
    <w:rsid w:val="00726609"/>
    <w:rsid w:val="00727DF9"/>
    <w:rsid w:val="00734695"/>
    <w:rsid w:val="00735351"/>
    <w:rsid w:val="00745BFE"/>
    <w:rsid w:val="007466F7"/>
    <w:rsid w:val="007543C5"/>
    <w:rsid w:val="0075687A"/>
    <w:rsid w:val="00762CC9"/>
    <w:rsid w:val="007630F4"/>
    <w:rsid w:val="00770055"/>
    <w:rsid w:val="00774574"/>
    <w:rsid w:val="007749B2"/>
    <w:rsid w:val="007804DD"/>
    <w:rsid w:val="007844B2"/>
    <w:rsid w:val="00786F82"/>
    <w:rsid w:val="007A1925"/>
    <w:rsid w:val="007A3925"/>
    <w:rsid w:val="007A4FE8"/>
    <w:rsid w:val="007A7FDF"/>
    <w:rsid w:val="007B1848"/>
    <w:rsid w:val="007B2A7B"/>
    <w:rsid w:val="007B3904"/>
    <w:rsid w:val="007B3F9D"/>
    <w:rsid w:val="007C0DC6"/>
    <w:rsid w:val="007C2E0E"/>
    <w:rsid w:val="007C49BF"/>
    <w:rsid w:val="007C5CD2"/>
    <w:rsid w:val="007C5DEB"/>
    <w:rsid w:val="007C799F"/>
    <w:rsid w:val="007D13B1"/>
    <w:rsid w:val="007D38C5"/>
    <w:rsid w:val="007D3990"/>
    <w:rsid w:val="007E201B"/>
    <w:rsid w:val="007E51D7"/>
    <w:rsid w:val="007F00D4"/>
    <w:rsid w:val="007F02EC"/>
    <w:rsid w:val="007F247A"/>
    <w:rsid w:val="007F77B1"/>
    <w:rsid w:val="00800BD3"/>
    <w:rsid w:val="0080458D"/>
    <w:rsid w:val="00805576"/>
    <w:rsid w:val="00805C2B"/>
    <w:rsid w:val="00811C92"/>
    <w:rsid w:val="00811F50"/>
    <w:rsid w:val="0081257A"/>
    <w:rsid w:val="00813CC8"/>
    <w:rsid w:val="00813DFC"/>
    <w:rsid w:val="008140B8"/>
    <w:rsid w:val="00815EE1"/>
    <w:rsid w:val="0082437D"/>
    <w:rsid w:val="00827AEE"/>
    <w:rsid w:val="00830888"/>
    <w:rsid w:val="00831180"/>
    <w:rsid w:val="008332EB"/>
    <w:rsid w:val="008348DA"/>
    <w:rsid w:val="008467C2"/>
    <w:rsid w:val="00847285"/>
    <w:rsid w:val="0085645D"/>
    <w:rsid w:val="00860220"/>
    <w:rsid w:val="00875974"/>
    <w:rsid w:val="00877526"/>
    <w:rsid w:val="008873E5"/>
    <w:rsid w:val="008906F4"/>
    <w:rsid w:val="008948A7"/>
    <w:rsid w:val="0089585B"/>
    <w:rsid w:val="00895C5B"/>
    <w:rsid w:val="008A31F6"/>
    <w:rsid w:val="008A4B1B"/>
    <w:rsid w:val="008A4FB7"/>
    <w:rsid w:val="008A6DE8"/>
    <w:rsid w:val="008B0063"/>
    <w:rsid w:val="008B1F16"/>
    <w:rsid w:val="008B3640"/>
    <w:rsid w:val="008C0897"/>
    <w:rsid w:val="008C169B"/>
    <w:rsid w:val="008C2AC8"/>
    <w:rsid w:val="008D0A95"/>
    <w:rsid w:val="008D314A"/>
    <w:rsid w:val="008D5655"/>
    <w:rsid w:val="008D7B0C"/>
    <w:rsid w:val="008E19F3"/>
    <w:rsid w:val="008F1877"/>
    <w:rsid w:val="008F307E"/>
    <w:rsid w:val="008F5920"/>
    <w:rsid w:val="008F59B8"/>
    <w:rsid w:val="009011B1"/>
    <w:rsid w:val="009017F4"/>
    <w:rsid w:val="00915B4B"/>
    <w:rsid w:val="00920483"/>
    <w:rsid w:val="00924084"/>
    <w:rsid w:val="00927914"/>
    <w:rsid w:val="00927A5B"/>
    <w:rsid w:val="009357BC"/>
    <w:rsid w:val="00935C26"/>
    <w:rsid w:val="00935CF7"/>
    <w:rsid w:val="009362BB"/>
    <w:rsid w:val="00937B79"/>
    <w:rsid w:val="00941464"/>
    <w:rsid w:val="00945600"/>
    <w:rsid w:val="00952BF2"/>
    <w:rsid w:val="0096286D"/>
    <w:rsid w:val="00964DB9"/>
    <w:rsid w:val="0096549D"/>
    <w:rsid w:val="0097394D"/>
    <w:rsid w:val="0097583F"/>
    <w:rsid w:val="00977C13"/>
    <w:rsid w:val="009859DC"/>
    <w:rsid w:val="00992DDD"/>
    <w:rsid w:val="00995E15"/>
    <w:rsid w:val="009977B5"/>
    <w:rsid w:val="00997B58"/>
    <w:rsid w:val="009A45A2"/>
    <w:rsid w:val="009A4FF0"/>
    <w:rsid w:val="009A5096"/>
    <w:rsid w:val="009B003B"/>
    <w:rsid w:val="009C22E7"/>
    <w:rsid w:val="009C3E93"/>
    <w:rsid w:val="009C43AC"/>
    <w:rsid w:val="009D0C79"/>
    <w:rsid w:val="009D1AD8"/>
    <w:rsid w:val="009D2FA3"/>
    <w:rsid w:val="009D3ED8"/>
    <w:rsid w:val="009D4083"/>
    <w:rsid w:val="009D441B"/>
    <w:rsid w:val="009D444F"/>
    <w:rsid w:val="009D4ACD"/>
    <w:rsid w:val="009D5D88"/>
    <w:rsid w:val="009D710B"/>
    <w:rsid w:val="009E6AC8"/>
    <w:rsid w:val="009F1204"/>
    <w:rsid w:val="00A07B3A"/>
    <w:rsid w:val="00A1680C"/>
    <w:rsid w:val="00A23968"/>
    <w:rsid w:val="00A24196"/>
    <w:rsid w:val="00A2442E"/>
    <w:rsid w:val="00A24C13"/>
    <w:rsid w:val="00A25BE0"/>
    <w:rsid w:val="00A279F8"/>
    <w:rsid w:val="00A335DB"/>
    <w:rsid w:val="00A33CEE"/>
    <w:rsid w:val="00A355A1"/>
    <w:rsid w:val="00A41250"/>
    <w:rsid w:val="00A46337"/>
    <w:rsid w:val="00A46E1C"/>
    <w:rsid w:val="00A47B82"/>
    <w:rsid w:val="00A47DE2"/>
    <w:rsid w:val="00A528A6"/>
    <w:rsid w:val="00A53CAC"/>
    <w:rsid w:val="00A541EC"/>
    <w:rsid w:val="00A61A8B"/>
    <w:rsid w:val="00A65304"/>
    <w:rsid w:val="00A769ED"/>
    <w:rsid w:val="00A77700"/>
    <w:rsid w:val="00A818B5"/>
    <w:rsid w:val="00A8424C"/>
    <w:rsid w:val="00A9049E"/>
    <w:rsid w:val="00A9151A"/>
    <w:rsid w:val="00A94B54"/>
    <w:rsid w:val="00AA0D31"/>
    <w:rsid w:val="00AA7E6B"/>
    <w:rsid w:val="00AB5725"/>
    <w:rsid w:val="00AC33BD"/>
    <w:rsid w:val="00AC3BB1"/>
    <w:rsid w:val="00AC4744"/>
    <w:rsid w:val="00AC5A48"/>
    <w:rsid w:val="00AD25CE"/>
    <w:rsid w:val="00AD55DA"/>
    <w:rsid w:val="00AE1A66"/>
    <w:rsid w:val="00AE634D"/>
    <w:rsid w:val="00AE7A88"/>
    <w:rsid w:val="00AF090B"/>
    <w:rsid w:val="00AF461A"/>
    <w:rsid w:val="00B0372B"/>
    <w:rsid w:val="00B0413F"/>
    <w:rsid w:val="00B07C3B"/>
    <w:rsid w:val="00B12F75"/>
    <w:rsid w:val="00B15E10"/>
    <w:rsid w:val="00B16B0A"/>
    <w:rsid w:val="00B2029F"/>
    <w:rsid w:val="00B24792"/>
    <w:rsid w:val="00B3272B"/>
    <w:rsid w:val="00B36629"/>
    <w:rsid w:val="00B40481"/>
    <w:rsid w:val="00B428B0"/>
    <w:rsid w:val="00B42FF0"/>
    <w:rsid w:val="00B52C1F"/>
    <w:rsid w:val="00B56076"/>
    <w:rsid w:val="00B6303C"/>
    <w:rsid w:val="00B70199"/>
    <w:rsid w:val="00B71165"/>
    <w:rsid w:val="00B73437"/>
    <w:rsid w:val="00B77990"/>
    <w:rsid w:val="00B85445"/>
    <w:rsid w:val="00B878B2"/>
    <w:rsid w:val="00B950FB"/>
    <w:rsid w:val="00B95A1F"/>
    <w:rsid w:val="00BA1707"/>
    <w:rsid w:val="00BA4526"/>
    <w:rsid w:val="00BB2233"/>
    <w:rsid w:val="00BB2320"/>
    <w:rsid w:val="00BC0F15"/>
    <w:rsid w:val="00BC4B4E"/>
    <w:rsid w:val="00BC7705"/>
    <w:rsid w:val="00BD17D2"/>
    <w:rsid w:val="00BD3FBA"/>
    <w:rsid w:val="00BD42B6"/>
    <w:rsid w:val="00BD6237"/>
    <w:rsid w:val="00BE3CF2"/>
    <w:rsid w:val="00BE7DA2"/>
    <w:rsid w:val="00BF0A00"/>
    <w:rsid w:val="00BF1479"/>
    <w:rsid w:val="00BF293D"/>
    <w:rsid w:val="00C00A90"/>
    <w:rsid w:val="00C02C16"/>
    <w:rsid w:val="00C11CFA"/>
    <w:rsid w:val="00C125F3"/>
    <w:rsid w:val="00C15007"/>
    <w:rsid w:val="00C15FD5"/>
    <w:rsid w:val="00C23151"/>
    <w:rsid w:val="00C23C4B"/>
    <w:rsid w:val="00C24FEB"/>
    <w:rsid w:val="00C35569"/>
    <w:rsid w:val="00C36465"/>
    <w:rsid w:val="00C36E21"/>
    <w:rsid w:val="00C3765A"/>
    <w:rsid w:val="00C4015A"/>
    <w:rsid w:val="00C40291"/>
    <w:rsid w:val="00C42691"/>
    <w:rsid w:val="00C437B1"/>
    <w:rsid w:val="00C502D4"/>
    <w:rsid w:val="00C54A14"/>
    <w:rsid w:val="00C60413"/>
    <w:rsid w:val="00C61C3B"/>
    <w:rsid w:val="00C62782"/>
    <w:rsid w:val="00C7032C"/>
    <w:rsid w:val="00C757BD"/>
    <w:rsid w:val="00C7593C"/>
    <w:rsid w:val="00C77132"/>
    <w:rsid w:val="00C81BD7"/>
    <w:rsid w:val="00C84724"/>
    <w:rsid w:val="00C84B1E"/>
    <w:rsid w:val="00C854F7"/>
    <w:rsid w:val="00C86BE9"/>
    <w:rsid w:val="00C872B4"/>
    <w:rsid w:val="00C87724"/>
    <w:rsid w:val="00C916F5"/>
    <w:rsid w:val="00C94998"/>
    <w:rsid w:val="00C95400"/>
    <w:rsid w:val="00CA1D28"/>
    <w:rsid w:val="00CA4756"/>
    <w:rsid w:val="00CA51C4"/>
    <w:rsid w:val="00CA7C32"/>
    <w:rsid w:val="00CB2545"/>
    <w:rsid w:val="00CB3DD9"/>
    <w:rsid w:val="00CB66EF"/>
    <w:rsid w:val="00CB75D4"/>
    <w:rsid w:val="00CC4029"/>
    <w:rsid w:val="00CC4A3F"/>
    <w:rsid w:val="00CC6098"/>
    <w:rsid w:val="00CC6874"/>
    <w:rsid w:val="00CD4EAD"/>
    <w:rsid w:val="00CE19ED"/>
    <w:rsid w:val="00CE27EA"/>
    <w:rsid w:val="00CE57C0"/>
    <w:rsid w:val="00CE7825"/>
    <w:rsid w:val="00CF1587"/>
    <w:rsid w:val="00D005DD"/>
    <w:rsid w:val="00D03C5E"/>
    <w:rsid w:val="00D046F3"/>
    <w:rsid w:val="00D0657B"/>
    <w:rsid w:val="00D1104B"/>
    <w:rsid w:val="00D135D4"/>
    <w:rsid w:val="00D20EC0"/>
    <w:rsid w:val="00D25CBF"/>
    <w:rsid w:val="00D27DB2"/>
    <w:rsid w:val="00D3519A"/>
    <w:rsid w:val="00D35436"/>
    <w:rsid w:val="00D47BAD"/>
    <w:rsid w:val="00D50EB7"/>
    <w:rsid w:val="00D51CB9"/>
    <w:rsid w:val="00D52F3E"/>
    <w:rsid w:val="00D5310B"/>
    <w:rsid w:val="00D62F57"/>
    <w:rsid w:val="00D728C8"/>
    <w:rsid w:val="00D76E24"/>
    <w:rsid w:val="00D80D79"/>
    <w:rsid w:val="00D846B4"/>
    <w:rsid w:val="00D84ECB"/>
    <w:rsid w:val="00D85D29"/>
    <w:rsid w:val="00D87CC0"/>
    <w:rsid w:val="00D90AE2"/>
    <w:rsid w:val="00D96E17"/>
    <w:rsid w:val="00DA5C4F"/>
    <w:rsid w:val="00DB5B38"/>
    <w:rsid w:val="00DB761E"/>
    <w:rsid w:val="00DC2310"/>
    <w:rsid w:val="00DC3DA6"/>
    <w:rsid w:val="00DC4ED7"/>
    <w:rsid w:val="00DC51FF"/>
    <w:rsid w:val="00DD0A7C"/>
    <w:rsid w:val="00DD1079"/>
    <w:rsid w:val="00DD46EB"/>
    <w:rsid w:val="00DD495C"/>
    <w:rsid w:val="00DE0144"/>
    <w:rsid w:val="00DE51B7"/>
    <w:rsid w:val="00DE51F4"/>
    <w:rsid w:val="00DE7618"/>
    <w:rsid w:val="00DF0574"/>
    <w:rsid w:val="00DF0AA3"/>
    <w:rsid w:val="00DF3716"/>
    <w:rsid w:val="00E02085"/>
    <w:rsid w:val="00E03871"/>
    <w:rsid w:val="00E16609"/>
    <w:rsid w:val="00E22382"/>
    <w:rsid w:val="00E23A7E"/>
    <w:rsid w:val="00E270D9"/>
    <w:rsid w:val="00E275C1"/>
    <w:rsid w:val="00E33523"/>
    <w:rsid w:val="00E33832"/>
    <w:rsid w:val="00E3703D"/>
    <w:rsid w:val="00E43ED9"/>
    <w:rsid w:val="00E503C6"/>
    <w:rsid w:val="00E51CF7"/>
    <w:rsid w:val="00E52BCD"/>
    <w:rsid w:val="00E55430"/>
    <w:rsid w:val="00E606FD"/>
    <w:rsid w:val="00E6568E"/>
    <w:rsid w:val="00E746C1"/>
    <w:rsid w:val="00E74880"/>
    <w:rsid w:val="00E75FBC"/>
    <w:rsid w:val="00E7748B"/>
    <w:rsid w:val="00E81BD9"/>
    <w:rsid w:val="00E86173"/>
    <w:rsid w:val="00E87DF5"/>
    <w:rsid w:val="00E93585"/>
    <w:rsid w:val="00E94767"/>
    <w:rsid w:val="00E94A73"/>
    <w:rsid w:val="00EA36A5"/>
    <w:rsid w:val="00EA4ADA"/>
    <w:rsid w:val="00EB3038"/>
    <w:rsid w:val="00EB5F76"/>
    <w:rsid w:val="00EC33AC"/>
    <w:rsid w:val="00EC6324"/>
    <w:rsid w:val="00ED085D"/>
    <w:rsid w:val="00ED4EBD"/>
    <w:rsid w:val="00ED6A9A"/>
    <w:rsid w:val="00EE52D1"/>
    <w:rsid w:val="00EE6068"/>
    <w:rsid w:val="00EE7EF5"/>
    <w:rsid w:val="00EF0B81"/>
    <w:rsid w:val="00EF799C"/>
    <w:rsid w:val="00F00A7E"/>
    <w:rsid w:val="00F1024C"/>
    <w:rsid w:val="00F1426A"/>
    <w:rsid w:val="00F178A2"/>
    <w:rsid w:val="00F17C8D"/>
    <w:rsid w:val="00F221DC"/>
    <w:rsid w:val="00F253F2"/>
    <w:rsid w:val="00F25F93"/>
    <w:rsid w:val="00F26C0E"/>
    <w:rsid w:val="00F30829"/>
    <w:rsid w:val="00F31425"/>
    <w:rsid w:val="00F319B6"/>
    <w:rsid w:val="00F3264D"/>
    <w:rsid w:val="00F32BAB"/>
    <w:rsid w:val="00F36D30"/>
    <w:rsid w:val="00F37565"/>
    <w:rsid w:val="00F501FD"/>
    <w:rsid w:val="00F50271"/>
    <w:rsid w:val="00F62A16"/>
    <w:rsid w:val="00F62EA4"/>
    <w:rsid w:val="00F70196"/>
    <w:rsid w:val="00F76280"/>
    <w:rsid w:val="00F76F9B"/>
    <w:rsid w:val="00F77DD1"/>
    <w:rsid w:val="00F80A84"/>
    <w:rsid w:val="00F82828"/>
    <w:rsid w:val="00F8712D"/>
    <w:rsid w:val="00F872EC"/>
    <w:rsid w:val="00F87930"/>
    <w:rsid w:val="00F927C9"/>
    <w:rsid w:val="00F93343"/>
    <w:rsid w:val="00F95742"/>
    <w:rsid w:val="00FA4499"/>
    <w:rsid w:val="00FA6494"/>
    <w:rsid w:val="00FA7728"/>
    <w:rsid w:val="00FB0DF3"/>
    <w:rsid w:val="00FC0CA0"/>
    <w:rsid w:val="00FC1B17"/>
    <w:rsid w:val="00FC328F"/>
    <w:rsid w:val="00FC48E3"/>
    <w:rsid w:val="00FC4B0D"/>
    <w:rsid w:val="00FD251C"/>
    <w:rsid w:val="00FD3804"/>
    <w:rsid w:val="00FD4A02"/>
    <w:rsid w:val="00FD6311"/>
    <w:rsid w:val="00FE1040"/>
    <w:rsid w:val="00FE4177"/>
    <w:rsid w:val="00FE7E8E"/>
    <w:rsid w:val="00FF6F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76FD"/>
  <w15:chartTrackingRefBased/>
  <w15:docId w15:val="{98AB232B-CBA3-4017-B9B1-226CD72E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716"/>
    <w:pPr>
      <w:keepNext/>
      <w:keepLines/>
      <w:spacing w:before="360"/>
      <w:outlineLvl w:val="0"/>
    </w:pPr>
    <w:rPr>
      <w:rFonts w:ascii="Calibri" w:eastAsiaTheme="majorEastAsia" w:hAnsi="Calibri" w:cstheme="majorBidi"/>
      <w:b/>
      <w:color w:val="000000" w:themeColor="text1"/>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75B80"/>
    <w:pPr>
      <w:numPr>
        <w:numId w:val="1"/>
      </w:numPr>
    </w:pPr>
  </w:style>
  <w:style w:type="paragraph" w:styleId="ListParagraph">
    <w:name w:val="List Paragraph"/>
    <w:basedOn w:val="Normal"/>
    <w:uiPriority w:val="34"/>
    <w:qFormat/>
    <w:rsid w:val="00475B80"/>
    <w:pPr>
      <w:ind w:left="720"/>
      <w:contextualSpacing/>
    </w:pPr>
  </w:style>
  <w:style w:type="paragraph" w:styleId="FootnoteText">
    <w:name w:val="footnote text"/>
    <w:basedOn w:val="Normal"/>
    <w:link w:val="FootnoteTextChar"/>
    <w:uiPriority w:val="99"/>
    <w:semiHidden/>
    <w:unhideWhenUsed/>
    <w:rsid w:val="00A47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B82"/>
    <w:rPr>
      <w:sz w:val="20"/>
      <w:szCs w:val="20"/>
    </w:rPr>
  </w:style>
  <w:style w:type="character" w:styleId="FootnoteReference">
    <w:name w:val="footnote reference"/>
    <w:basedOn w:val="DefaultParagraphFont"/>
    <w:uiPriority w:val="99"/>
    <w:semiHidden/>
    <w:unhideWhenUsed/>
    <w:rsid w:val="00A47B82"/>
    <w:rPr>
      <w:vertAlign w:val="superscript"/>
    </w:rPr>
  </w:style>
  <w:style w:type="paragraph" w:styleId="Header">
    <w:name w:val="header"/>
    <w:basedOn w:val="Normal"/>
    <w:link w:val="HeaderChar"/>
    <w:uiPriority w:val="99"/>
    <w:unhideWhenUsed/>
    <w:rsid w:val="0045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E9"/>
  </w:style>
  <w:style w:type="paragraph" w:styleId="Footer">
    <w:name w:val="footer"/>
    <w:basedOn w:val="Normal"/>
    <w:link w:val="FooterChar"/>
    <w:uiPriority w:val="99"/>
    <w:unhideWhenUsed/>
    <w:rsid w:val="0045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E9"/>
  </w:style>
  <w:style w:type="table" w:customStyle="1" w:styleId="TableGrid1">
    <w:name w:val="Table Grid1"/>
    <w:basedOn w:val="TableNormal"/>
    <w:next w:val="TableGrid"/>
    <w:uiPriority w:val="39"/>
    <w:rsid w:val="00D8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3716"/>
    <w:rPr>
      <w:rFonts w:ascii="Calibri" w:eastAsiaTheme="majorEastAsia" w:hAnsi="Calibri" w:cstheme="majorBidi"/>
      <w:b/>
      <w:color w:val="000000" w:themeColor="tex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EB93-ED82-49C6-948C-C055ED79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Nell</dc:creator>
  <cp:keywords/>
  <dc:description/>
  <cp:lastModifiedBy>Lazarus Rakgwale</cp:lastModifiedBy>
  <cp:revision>2</cp:revision>
  <cp:lastPrinted>2022-08-25T09:12:00Z</cp:lastPrinted>
  <dcterms:created xsi:type="dcterms:W3CDTF">2022-08-29T06:37:00Z</dcterms:created>
  <dcterms:modified xsi:type="dcterms:W3CDTF">2022-08-29T06:37:00Z</dcterms:modified>
</cp:coreProperties>
</file>