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B2" w:rsidRPr="00303C89" w:rsidRDefault="00BB65B2" w:rsidP="00BB65B2">
      <w:pPr>
        <w:tabs>
          <w:tab w:val="left" w:pos="2342"/>
          <w:tab w:val="center" w:pos="4513"/>
        </w:tabs>
        <w:jc w:val="center"/>
        <w:outlineLvl w:val="0"/>
        <w:rPr>
          <w:b/>
          <w:noProof/>
          <w:u w:val="none"/>
          <w:lang w:val="en-ZA" w:eastAsia="en-ZA"/>
        </w:rPr>
      </w:pPr>
      <w:bookmarkStart w:id="0" w:name="_GoBack"/>
      <w:bookmarkEnd w:id="0"/>
      <w:r w:rsidRPr="00303C89">
        <w:rPr>
          <w:b/>
          <w:noProof/>
          <w:u w:val="none"/>
          <w:lang w:val="en-ZA" w:eastAsia="en-ZA"/>
        </w:rPr>
        <w:t>REPUBLIC OF SOUTH AFRICA</w:t>
      </w:r>
    </w:p>
    <w:p w:rsidR="00BB65B2" w:rsidRPr="00303C89" w:rsidRDefault="00BB65B2" w:rsidP="00BB65B2">
      <w:pPr>
        <w:tabs>
          <w:tab w:val="left" w:pos="2342"/>
          <w:tab w:val="center" w:pos="4513"/>
        </w:tabs>
        <w:jc w:val="center"/>
        <w:outlineLvl w:val="0"/>
        <w:rPr>
          <w:b/>
          <w:noProof/>
          <w:u w:val="none"/>
          <w:lang w:val="en-ZA" w:eastAsia="en-ZA"/>
        </w:rPr>
      </w:pPr>
    </w:p>
    <w:p w:rsidR="00BB65B2" w:rsidRPr="00303C89" w:rsidRDefault="00BB65B2" w:rsidP="00BB65B2">
      <w:pPr>
        <w:tabs>
          <w:tab w:val="left" w:pos="2342"/>
          <w:tab w:val="center" w:pos="4513"/>
        </w:tabs>
        <w:jc w:val="center"/>
        <w:outlineLvl w:val="0"/>
        <w:rPr>
          <w:u w:val="none"/>
          <w:lang w:val="en-ZA"/>
        </w:rPr>
      </w:pPr>
      <w:r w:rsidRPr="00303C89">
        <w:rPr>
          <w:noProof/>
          <w:u w:val="none"/>
          <w:lang w:val="en-ZA" w:eastAsia="en-ZA"/>
        </w:rPr>
        <w:drawing>
          <wp:inline distT="0" distB="0" distL="0" distR="0" wp14:anchorId="3FA8B9CB" wp14:editId="46EC7591">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BB65B2" w:rsidRPr="00303C89" w:rsidRDefault="00BB65B2" w:rsidP="00BB65B2">
      <w:pPr>
        <w:jc w:val="center"/>
        <w:outlineLvl w:val="0"/>
        <w:rPr>
          <w:b/>
          <w:u w:val="none"/>
          <w:lang w:val="en-ZA"/>
        </w:rPr>
      </w:pPr>
    </w:p>
    <w:p w:rsidR="00BB65B2" w:rsidRPr="00303C89" w:rsidRDefault="00BB65B2" w:rsidP="00BB65B2">
      <w:pPr>
        <w:jc w:val="center"/>
        <w:outlineLvl w:val="0"/>
        <w:rPr>
          <w:b/>
          <w:u w:val="none"/>
          <w:lang w:val="en-ZA"/>
        </w:rPr>
      </w:pPr>
      <w:r w:rsidRPr="00303C89">
        <w:rPr>
          <w:b/>
          <w:u w:val="none"/>
          <w:lang w:val="en-ZA"/>
        </w:rPr>
        <w:t>IN THE HIGH COURT OF SOUTH AFRICA</w:t>
      </w:r>
    </w:p>
    <w:p w:rsidR="00BB65B2" w:rsidRPr="00303C89" w:rsidRDefault="00BB65B2" w:rsidP="00BB65B2">
      <w:pPr>
        <w:jc w:val="center"/>
        <w:outlineLvl w:val="0"/>
        <w:rPr>
          <w:b/>
          <w:u w:val="none"/>
          <w:lang w:val="en-ZA"/>
        </w:rPr>
      </w:pPr>
      <w:r w:rsidRPr="00303C89">
        <w:rPr>
          <w:b/>
          <w:u w:val="none"/>
          <w:lang w:val="en-ZA"/>
        </w:rPr>
        <w:t>GAUTENG DIVISION, JOHANNESBURG</w:t>
      </w:r>
    </w:p>
    <w:p w:rsidR="00BB65B2" w:rsidRPr="00303C89" w:rsidRDefault="00BB65B2" w:rsidP="00BB65B2">
      <w:pPr>
        <w:jc w:val="both"/>
        <w:rPr>
          <w:u w:val="none"/>
          <w:lang w:val="en-ZA"/>
        </w:rPr>
      </w:pPr>
    </w:p>
    <w:p w:rsidR="00BB65B2" w:rsidRPr="00303C89" w:rsidRDefault="00BB65B2" w:rsidP="00BB65B2">
      <w:pPr>
        <w:jc w:val="both"/>
        <w:rPr>
          <w:u w:val="none"/>
          <w:lang w:val="en-ZA"/>
        </w:rPr>
      </w:pPr>
    </w:p>
    <w:p w:rsidR="00BB65B2" w:rsidRDefault="00BB65B2" w:rsidP="00BB65B2">
      <w:pPr>
        <w:tabs>
          <w:tab w:val="right" w:pos="9029"/>
        </w:tabs>
        <w:jc w:val="both"/>
        <w:rPr>
          <w:b/>
          <w:bCs/>
          <w:u w:val="none"/>
          <w:lang w:val="en-ZA"/>
        </w:rPr>
      </w:pPr>
      <w:r w:rsidRPr="00303C89">
        <w:rPr>
          <w:u w:val="none"/>
          <w:lang w:val="en-ZA"/>
        </w:rPr>
        <w:tab/>
      </w:r>
      <w:r w:rsidR="008324B6">
        <w:rPr>
          <w:b/>
          <w:bCs/>
          <w:u w:val="none"/>
          <w:lang w:val="en-ZA"/>
        </w:rPr>
        <w:t>Appeal No</w:t>
      </w:r>
      <w:r w:rsidRPr="00303C89">
        <w:rPr>
          <w:b/>
          <w:bCs/>
          <w:u w:val="none"/>
          <w:lang w:val="en-ZA"/>
        </w:rPr>
        <w:t>: A5049/17</w:t>
      </w:r>
    </w:p>
    <w:p w:rsidR="008324B6" w:rsidRPr="00303C89" w:rsidRDefault="008324B6" w:rsidP="00BB65B2">
      <w:pPr>
        <w:tabs>
          <w:tab w:val="right" w:pos="9029"/>
        </w:tabs>
        <w:jc w:val="both"/>
        <w:rPr>
          <w:b/>
          <w:bCs/>
          <w:u w:val="none"/>
          <w:lang w:val="en-ZA"/>
        </w:rPr>
      </w:pPr>
      <w:r>
        <w:rPr>
          <w:b/>
          <w:bCs/>
          <w:u w:val="none"/>
          <w:lang w:val="en-ZA"/>
        </w:rPr>
        <w:t xml:space="preserve">                                                                                      Case No 14138/16 &amp;</w:t>
      </w:r>
      <w:r w:rsidRPr="008324B6">
        <w:rPr>
          <w:b/>
          <w:bCs/>
          <w:u w:val="none"/>
          <w:lang w:val="en-ZA"/>
        </w:rPr>
        <w:t xml:space="preserve"> 34564/14</w:t>
      </w:r>
    </w:p>
    <w:p w:rsidR="00BB65B2" w:rsidRPr="00303C89" w:rsidRDefault="00BB65B2" w:rsidP="00BB65B2">
      <w:pPr>
        <w:tabs>
          <w:tab w:val="right" w:pos="9029"/>
        </w:tabs>
        <w:jc w:val="both"/>
        <w:rPr>
          <w:u w:val="none"/>
          <w:lang w:val="en-ZA"/>
        </w:rPr>
      </w:pPr>
      <w:r w:rsidRPr="00303C89">
        <w:rPr>
          <w:noProof/>
          <w:u w:val="none"/>
          <w:lang w:val="en-ZA" w:eastAsia="en-ZA"/>
        </w:rPr>
        <mc:AlternateContent>
          <mc:Choice Requires="wps">
            <w:drawing>
              <wp:anchor distT="0" distB="0" distL="114300" distR="114300" simplePos="0" relativeHeight="251661312" behindDoc="0" locked="0" layoutInCell="1" allowOverlap="1" wp14:anchorId="786706D3" wp14:editId="237DD3FA">
                <wp:simplePos x="0" y="0"/>
                <wp:positionH relativeFrom="margin">
                  <wp:align>left</wp:align>
                </wp:positionH>
                <wp:positionV relativeFrom="paragraph">
                  <wp:posOffset>23495</wp:posOffset>
                </wp:positionV>
                <wp:extent cx="33147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BB65B2" w:rsidRPr="00303C89" w:rsidRDefault="00BB65B2" w:rsidP="00BB65B2">
                            <w:pPr>
                              <w:jc w:val="center"/>
                              <w:rPr>
                                <w:rFonts w:ascii="Century Gothic" w:hAnsi="Century Gothic"/>
                                <w:b/>
                                <w:sz w:val="20"/>
                                <w:szCs w:val="20"/>
                                <w:u w:val="none"/>
                              </w:rPr>
                            </w:pPr>
                          </w:p>
                          <w:p w:rsidR="00BB65B2" w:rsidRPr="00303C89" w:rsidRDefault="00BB65B2" w:rsidP="00BB65B2">
                            <w:pPr>
                              <w:numPr>
                                <w:ilvl w:val="0"/>
                                <w:numId w:val="1"/>
                              </w:numPr>
                              <w:rPr>
                                <w:rFonts w:ascii="Times New Roman" w:hAnsi="Times New Roman" w:cs="Times New Roman"/>
                                <w:sz w:val="20"/>
                                <w:szCs w:val="20"/>
                                <w:u w:val="none"/>
                              </w:rPr>
                            </w:pPr>
                            <w:r w:rsidRPr="00303C89">
                              <w:rPr>
                                <w:rFonts w:ascii="Times New Roman" w:hAnsi="Times New Roman" w:cs="Times New Roman"/>
                                <w:sz w:val="20"/>
                                <w:szCs w:val="20"/>
                                <w:u w:val="none"/>
                              </w:rPr>
                              <w:t>REPORTABLE: NO</w:t>
                            </w:r>
                          </w:p>
                          <w:p w:rsidR="00BB65B2" w:rsidRPr="00303C89" w:rsidRDefault="00BB65B2" w:rsidP="00BB65B2">
                            <w:pPr>
                              <w:numPr>
                                <w:ilvl w:val="0"/>
                                <w:numId w:val="1"/>
                              </w:numPr>
                              <w:rPr>
                                <w:rFonts w:ascii="Times New Roman" w:hAnsi="Times New Roman" w:cs="Times New Roman"/>
                                <w:sz w:val="20"/>
                                <w:szCs w:val="20"/>
                                <w:u w:val="none"/>
                              </w:rPr>
                            </w:pPr>
                            <w:r w:rsidRPr="00303C89">
                              <w:rPr>
                                <w:rFonts w:ascii="Times New Roman" w:hAnsi="Times New Roman" w:cs="Times New Roman"/>
                                <w:sz w:val="20"/>
                                <w:szCs w:val="20"/>
                                <w:u w:val="none"/>
                              </w:rPr>
                              <w:t>OF INTEREST TO OTHER JUDGES: NO</w:t>
                            </w:r>
                          </w:p>
                          <w:p w:rsidR="00BB65B2" w:rsidRPr="00303C89" w:rsidRDefault="00BB65B2" w:rsidP="00BB65B2">
                            <w:pPr>
                              <w:numPr>
                                <w:ilvl w:val="0"/>
                                <w:numId w:val="1"/>
                              </w:numPr>
                              <w:rPr>
                                <w:rFonts w:ascii="Times New Roman" w:hAnsi="Times New Roman" w:cs="Times New Roman"/>
                                <w:sz w:val="20"/>
                                <w:szCs w:val="20"/>
                                <w:u w:val="none"/>
                              </w:rPr>
                            </w:pPr>
                            <w:r w:rsidRPr="00303C89">
                              <w:rPr>
                                <w:rFonts w:ascii="Times New Roman" w:hAnsi="Times New Roman" w:cs="Times New Roman"/>
                                <w:sz w:val="20"/>
                                <w:szCs w:val="20"/>
                                <w:u w:val="none"/>
                              </w:rPr>
                              <w:t>REVISED: NO</w:t>
                            </w:r>
                          </w:p>
                          <w:p w:rsidR="00BB65B2" w:rsidRPr="00303C89" w:rsidRDefault="00BB65B2" w:rsidP="00BB65B2">
                            <w:pPr>
                              <w:rPr>
                                <w:rFonts w:ascii="Times New Roman" w:hAnsi="Times New Roman" w:cs="Times New Roman"/>
                                <w:b/>
                                <w:sz w:val="20"/>
                                <w:szCs w:val="20"/>
                                <w:u w:val="none"/>
                              </w:rPr>
                            </w:pPr>
                          </w:p>
                          <w:p w:rsidR="00BB65B2" w:rsidRPr="00303C89" w:rsidRDefault="00BC0D13" w:rsidP="00BC0D13">
                            <w:pPr>
                              <w:ind w:left="180"/>
                              <w:rPr>
                                <w:rFonts w:ascii="Times New Roman" w:hAnsi="Times New Roman" w:cs="Times New Roman"/>
                                <w:b/>
                                <w:sz w:val="20"/>
                                <w:szCs w:val="20"/>
                                <w:u w:val="none"/>
                              </w:rPr>
                            </w:pPr>
                            <w:r>
                              <w:rPr>
                                <w:rFonts w:ascii="Times New Roman" w:hAnsi="Times New Roman" w:cs="Times New Roman"/>
                                <w:b/>
                                <w:sz w:val="20"/>
                                <w:szCs w:val="20"/>
                                <w:u w:val="none"/>
                              </w:rPr>
                              <w:t>13 September 2022</w:t>
                            </w:r>
                            <w:r w:rsidR="00BB65B2" w:rsidRPr="00303C89">
                              <w:rPr>
                                <w:rFonts w:ascii="Times New Roman" w:hAnsi="Times New Roman" w:cs="Times New Roman"/>
                                <w:b/>
                                <w:sz w:val="20"/>
                                <w:szCs w:val="20"/>
                                <w:u w:val="none"/>
                              </w:rPr>
                              <w:tab/>
                            </w:r>
                            <w:r w:rsidR="00BB65B2" w:rsidRPr="00303C89">
                              <w:rPr>
                                <w:rFonts w:ascii="Times New Roman" w:hAnsi="Times New Roman" w:cs="Times New Roman"/>
                                <w:b/>
                                <w:sz w:val="20"/>
                                <w:szCs w:val="20"/>
                                <w:u w:val="none"/>
                              </w:rPr>
                              <w:tab/>
                            </w:r>
                            <w:r>
                              <w:rPr>
                                <w:rFonts w:ascii="Times New Roman" w:hAnsi="Times New Roman" w:cs="Times New Roman"/>
                                <w:b/>
                                <w:sz w:val="20"/>
                                <w:szCs w:val="20"/>
                                <w:u w:val="none"/>
                              </w:rPr>
                              <w:t xml:space="preserve"> __________________   ---------------------------</w:t>
                            </w:r>
                          </w:p>
                          <w:p w:rsidR="00BB65B2" w:rsidRPr="00303C89" w:rsidRDefault="00BB65B2" w:rsidP="00BB65B2">
                            <w:pPr>
                              <w:rPr>
                                <w:rFonts w:ascii="Times New Roman" w:hAnsi="Times New Roman" w:cs="Times New Roman"/>
                                <w:sz w:val="20"/>
                                <w:szCs w:val="20"/>
                                <w:u w:val="none"/>
                              </w:rPr>
                            </w:pPr>
                            <w:r w:rsidRPr="00303C89">
                              <w:rPr>
                                <w:rFonts w:ascii="Times New Roman" w:hAnsi="Times New Roman" w:cs="Times New Roman"/>
                                <w:sz w:val="20"/>
                                <w:szCs w:val="20"/>
                                <w:u w:val="none"/>
                              </w:rPr>
                              <w:t>DATE</w:t>
                            </w:r>
                            <w:r w:rsidRPr="00303C89">
                              <w:rPr>
                                <w:rFonts w:ascii="Times New Roman" w:hAnsi="Times New Roman" w:cs="Times New Roman"/>
                                <w:sz w:val="20"/>
                                <w:szCs w:val="20"/>
                                <w:u w:val="none"/>
                              </w:rPr>
                              <w:tab/>
                            </w:r>
                            <w:r w:rsidRPr="00303C89">
                              <w:rPr>
                                <w:rFonts w:ascii="Times New Roman" w:hAnsi="Times New Roman" w:cs="Times New Roman"/>
                                <w:sz w:val="20"/>
                                <w:szCs w:val="20"/>
                                <w:u w:val="none"/>
                              </w:rPr>
                              <w:tab/>
                            </w:r>
                            <w:r w:rsidRPr="00303C89">
                              <w:rPr>
                                <w:rFonts w:ascii="Times New Roman" w:hAnsi="Times New Roman" w:cs="Times New Roman"/>
                                <w:sz w:val="20"/>
                                <w:szCs w:val="20"/>
                                <w:u w:val="none"/>
                              </w:rPr>
                              <w:tab/>
                              <w:t xml:space="preserve"> </w:t>
                            </w:r>
                            <w:r w:rsidR="00BC0D13">
                              <w:rPr>
                                <w:rFonts w:ascii="Times New Roman" w:hAnsi="Times New Roman" w:cs="Times New Roman"/>
                                <w:sz w:val="20"/>
                                <w:szCs w:val="20"/>
                                <w:u w:val="none"/>
                              </w:rPr>
                              <w:t xml:space="preserve">              </w:t>
                            </w:r>
                            <w:r w:rsidRPr="00303C89">
                              <w:rPr>
                                <w:rFonts w:ascii="Times New Roman" w:hAnsi="Times New Roman" w:cs="Times New Roman"/>
                                <w:sz w:val="20"/>
                                <w:szCs w:val="20"/>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706D3" id="_x0000_t202" coordsize="21600,21600" o:spt="202" path="m,l,21600r21600,l21600,xe">
                <v:stroke joinstyle="miter"/>
                <v:path gradientshapeok="t" o:connecttype="rect"/>
              </v:shapetype>
              <v:shape id="Text Box 4"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l/KQIAAFEEAAAOAAAAZHJzL2Uyb0RvYy54bWysVNtu2zAMfR+wfxD0vthOnF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CjTtl/KQIAAFEEAAAOAAAAAAAAAAAAAAAAAC4CAABkcnMvZTJv&#10;RG9jLnhtbFBLAQItABQABgAIAAAAIQCR2ASs3QAAAAYBAAAPAAAAAAAAAAAAAAAAAIMEAABkcnMv&#10;ZG93bnJldi54bWxQSwUGAAAAAAQABADzAAAAjQUAAAAA&#10;">
                <v:textbox>
                  <w:txbxContent>
                    <w:p w:rsidR="00BB65B2" w:rsidRPr="00303C89" w:rsidRDefault="00BB65B2" w:rsidP="00BB65B2">
                      <w:pPr>
                        <w:jc w:val="center"/>
                        <w:rPr>
                          <w:rFonts w:ascii="Century Gothic" w:hAnsi="Century Gothic"/>
                          <w:b/>
                          <w:sz w:val="20"/>
                          <w:szCs w:val="20"/>
                          <w:u w:val="none"/>
                        </w:rPr>
                      </w:pPr>
                    </w:p>
                    <w:p w:rsidR="00BB65B2" w:rsidRPr="00303C89" w:rsidRDefault="00BB65B2" w:rsidP="00BB65B2">
                      <w:pPr>
                        <w:numPr>
                          <w:ilvl w:val="0"/>
                          <w:numId w:val="1"/>
                        </w:numPr>
                        <w:rPr>
                          <w:rFonts w:ascii="Times New Roman" w:hAnsi="Times New Roman" w:cs="Times New Roman"/>
                          <w:sz w:val="20"/>
                          <w:szCs w:val="20"/>
                          <w:u w:val="none"/>
                        </w:rPr>
                      </w:pPr>
                      <w:r w:rsidRPr="00303C89">
                        <w:rPr>
                          <w:rFonts w:ascii="Times New Roman" w:hAnsi="Times New Roman" w:cs="Times New Roman"/>
                          <w:sz w:val="20"/>
                          <w:szCs w:val="20"/>
                          <w:u w:val="none"/>
                        </w:rPr>
                        <w:t>REPORTABLE: NO</w:t>
                      </w:r>
                    </w:p>
                    <w:p w:rsidR="00BB65B2" w:rsidRPr="00303C89" w:rsidRDefault="00BB65B2" w:rsidP="00BB65B2">
                      <w:pPr>
                        <w:numPr>
                          <w:ilvl w:val="0"/>
                          <w:numId w:val="1"/>
                        </w:numPr>
                        <w:rPr>
                          <w:rFonts w:ascii="Times New Roman" w:hAnsi="Times New Roman" w:cs="Times New Roman"/>
                          <w:sz w:val="20"/>
                          <w:szCs w:val="20"/>
                          <w:u w:val="none"/>
                        </w:rPr>
                      </w:pPr>
                      <w:r w:rsidRPr="00303C89">
                        <w:rPr>
                          <w:rFonts w:ascii="Times New Roman" w:hAnsi="Times New Roman" w:cs="Times New Roman"/>
                          <w:sz w:val="20"/>
                          <w:szCs w:val="20"/>
                          <w:u w:val="none"/>
                        </w:rPr>
                        <w:t>OF INTEREST TO OTHER JUDGES: NO</w:t>
                      </w:r>
                    </w:p>
                    <w:p w:rsidR="00BB65B2" w:rsidRPr="00303C89" w:rsidRDefault="00BB65B2" w:rsidP="00BB65B2">
                      <w:pPr>
                        <w:numPr>
                          <w:ilvl w:val="0"/>
                          <w:numId w:val="1"/>
                        </w:numPr>
                        <w:rPr>
                          <w:rFonts w:ascii="Times New Roman" w:hAnsi="Times New Roman" w:cs="Times New Roman"/>
                          <w:sz w:val="20"/>
                          <w:szCs w:val="20"/>
                          <w:u w:val="none"/>
                        </w:rPr>
                      </w:pPr>
                      <w:r w:rsidRPr="00303C89">
                        <w:rPr>
                          <w:rFonts w:ascii="Times New Roman" w:hAnsi="Times New Roman" w:cs="Times New Roman"/>
                          <w:sz w:val="20"/>
                          <w:szCs w:val="20"/>
                          <w:u w:val="none"/>
                        </w:rPr>
                        <w:t>REVISED: NO</w:t>
                      </w:r>
                    </w:p>
                    <w:p w:rsidR="00BB65B2" w:rsidRPr="00303C89" w:rsidRDefault="00BB65B2" w:rsidP="00BB65B2">
                      <w:pPr>
                        <w:rPr>
                          <w:rFonts w:ascii="Times New Roman" w:hAnsi="Times New Roman" w:cs="Times New Roman"/>
                          <w:b/>
                          <w:sz w:val="20"/>
                          <w:szCs w:val="20"/>
                          <w:u w:val="none"/>
                        </w:rPr>
                      </w:pPr>
                    </w:p>
                    <w:p w:rsidR="00BB65B2" w:rsidRPr="00303C89" w:rsidRDefault="00BC0D13" w:rsidP="00BC0D13">
                      <w:pPr>
                        <w:ind w:left="180"/>
                        <w:rPr>
                          <w:rFonts w:ascii="Times New Roman" w:hAnsi="Times New Roman" w:cs="Times New Roman"/>
                          <w:b/>
                          <w:sz w:val="20"/>
                          <w:szCs w:val="20"/>
                          <w:u w:val="none"/>
                        </w:rPr>
                      </w:pPr>
                      <w:r>
                        <w:rPr>
                          <w:rFonts w:ascii="Times New Roman" w:hAnsi="Times New Roman" w:cs="Times New Roman"/>
                          <w:b/>
                          <w:sz w:val="20"/>
                          <w:szCs w:val="20"/>
                          <w:u w:val="none"/>
                        </w:rPr>
                        <w:t>13 September 2022</w:t>
                      </w:r>
                      <w:r w:rsidR="00BB65B2" w:rsidRPr="00303C89">
                        <w:rPr>
                          <w:rFonts w:ascii="Times New Roman" w:hAnsi="Times New Roman" w:cs="Times New Roman"/>
                          <w:b/>
                          <w:sz w:val="20"/>
                          <w:szCs w:val="20"/>
                          <w:u w:val="none"/>
                        </w:rPr>
                        <w:tab/>
                      </w:r>
                      <w:r w:rsidR="00BB65B2" w:rsidRPr="00303C89">
                        <w:rPr>
                          <w:rFonts w:ascii="Times New Roman" w:hAnsi="Times New Roman" w:cs="Times New Roman"/>
                          <w:b/>
                          <w:sz w:val="20"/>
                          <w:szCs w:val="20"/>
                          <w:u w:val="none"/>
                        </w:rPr>
                        <w:tab/>
                      </w:r>
                      <w:r>
                        <w:rPr>
                          <w:rFonts w:ascii="Times New Roman" w:hAnsi="Times New Roman" w:cs="Times New Roman"/>
                          <w:b/>
                          <w:sz w:val="20"/>
                          <w:szCs w:val="20"/>
                          <w:u w:val="none"/>
                        </w:rPr>
                        <w:t xml:space="preserve"> __________________   ---------------------------</w:t>
                      </w:r>
                    </w:p>
                    <w:p w:rsidR="00BB65B2" w:rsidRPr="00303C89" w:rsidRDefault="00BB65B2" w:rsidP="00BB65B2">
                      <w:pPr>
                        <w:rPr>
                          <w:rFonts w:ascii="Times New Roman" w:hAnsi="Times New Roman" w:cs="Times New Roman"/>
                          <w:sz w:val="20"/>
                          <w:szCs w:val="20"/>
                          <w:u w:val="none"/>
                        </w:rPr>
                      </w:pPr>
                      <w:r w:rsidRPr="00303C89">
                        <w:rPr>
                          <w:rFonts w:ascii="Times New Roman" w:hAnsi="Times New Roman" w:cs="Times New Roman"/>
                          <w:sz w:val="20"/>
                          <w:szCs w:val="20"/>
                          <w:u w:val="none"/>
                        </w:rPr>
                        <w:t>DATE</w:t>
                      </w:r>
                      <w:r w:rsidRPr="00303C89">
                        <w:rPr>
                          <w:rFonts w:ascii="Times New Roman" w:hAnsi="Times New Roman" w:cs="Times New Roman"/>
                          <w:sz w:val="20"/>
                          <w:szCs w:val="20"/>
                          <w:u w:val="none"/>
                        </w:rPr>
                        <w:tab/>
                      </w:r>
                      <w:r w:rsidRPr="00303C89">
                        <w:rPr>
                          <w:rFonts w:ascii="Times New Roman" w:hAnsi="Times New Roman" w:cs="Times New Roman"/>
                          <w:sz w:val="20"/>
                          <w:szCs w:val="20"/>
                          <w:u w:val="none"/>
                        </w:rPr>
                        <w:tab/>
                      </w:r>
                      <w:r w:rsidRPr="00303C89">
                        <w:rPr>
                          <w:rFonts w:ascii="Times New Roman" w:hAnsi="Times New Roman" w:cs="Times New Roman"/>
                          <w:sz w:val="20"/>
                          <w:szCs w:val="20"/>
                          <w:u w:val="none"/>
                        </w:rPr>
                        <w:tab/>
                        <w:t xml:space="preserve"> </w:t>
                      </w:r>
                      <w:r w:rsidR="00BC0D13">
                        <w:rPr>
                          <w:rFonts w:ascii="Times New Roman" w:hAnsi="Times New Roman" w:cs="Times New Roman"/>
                          <w:sz w:val="20"/>
                          <w:szCs w:val="20"/>
                          <w:u w:val="none"/>
                        </w:rPr>
                        <w:t xml:space="preserve">              </w:t>
                      </w:r>
                      <w:r w:rsidRPr="00303C89">
                        <w:rPr>
                          <w:rFonts w:ascii="Times New Roman" w:hAnsi="Times New Roman" w:cs="Times New Roman"/>
                          <w:sz w:val="20"/>
                          <w:szCs w:val="20"/>
                          <w:u w:val="none"/>
                        </w:rPr>
                        <w:t>SIGNATURE</w:t>
                      </w:r>
                    </w:p>
                  </w:txbxContent>
                </v:textbox>
                <w10:wrap anchorx="margin"/>
              </v:shape>
            </w:pict>
          </mc:Fallback>
        </mc:AlternateContent>
      </w:r>
    </w:p>
    <w:p w:rsidR="00BB65B2" w:rsidRPr="00303C89" w:rsidRDefault="00BB65B2" w:rsidP="00BB65B2">
      <w:pPr>
        <w:tabs>
          <w:tab w:val="left" w:pos="8998"/>
        </w:tabs>
        <w:jc w:val="both"/>
        <w:rPr>
          <w:u w:val="none"/>
          <w:lang w:val="en-ZA"/>
        </w:rPr>
      </w:pPr>
    </w:p>
    <w:p w:rsidR="00BB65B2" w:rsidRPr="00303C89" w:rsidRDefault="00BB65B2" w:rsidP="00BB65B2">
      <w:pPr>
        <w:tabs>
          <w:tab w:val="left" w:pos="8998"/>
        </w:tabs>
        <w:jc w:val="both"/>
        <w:rPr>
          <w:u w:val="none"/>
          <w:lang w:val="en-ZA"/>
        </w:rPr>
      </w:pPr>
    </w:p>
    <w:p w:rsidR="00BB65B2" w:rsidRPr="00303C89" w:rsidRDefault="00BB65B2" w:rsidP="00BB65B2">
      <w:pPr>
        <w:tabs>
          <w:tab w:val="left" w:pos="8998"/>
        </w:tabs>
        <w:jc w:val="both"/>
        <w:rPr>
          <w:u w:val="none"/>
          <w:lang w:val="en-ZA"/>
        </w:rPr>
      </w:pPr>
      <w:r w:rsidRPr="00303C89">
        <w:rPr>
          <w:u w:val="none"/>
          <w:lang w:val="en-ZA"/>
        </w:rPr>
        <w:t>In the matter between:</w:t>
      </w:r>
    </w:p>
    <w:p w:rsidR="00BB65B2" w:rsidRPr="00303C89" w:rsidRDefault="00BB65B2" w:rsidP="00BB65B2">
      <w:pPr>
        <w:tabs>
          <w:tab w:val="right" w:pos="9029"/>
        </w:tabs>
        <w:jc w:val="both"/>
        <w:rPr>
          <w:u w:val="none"/>
          <w:lang w:val="en-ZA"/>
        </w:rPr>
      </w:pPr>
    </w:p>
    <w:p w:rsidR="00BB65B2" w:rsidRPr="00303C89" w:rsidRDefault="00BB65B2" w:rsidP="00BB65B2">
      <w:pPr>
        <w:tabs>
          <w:tab w:val="right" w:pos="9029"/>
        </w:tabs>
        <w:jc w:val="both"/>
        <w:rPr>
          <w:u w:val="none"/>
          <w:lang w:val="en-ZA"/>
        </w:rPr>
      </w:pP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u w:val="none"/>
          <w:lang w:val="en-ZA"/>
        </w:rPr>
      </w:pPr>
      <w:r w:rsidRPr="00303C89">
        <w:rPr>
          <w:u w:val="none"/>
          <w:lang w:val="en-ZA"/>
        </w:rPr>
        <w:t>In the matter between:</w:t>
      </w: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rPr>
      </w:pPr>
      <w:r w:rsidRPr="00303C89">
        <w:rPr>
          <w:b/>
          <w:u w:val="none"/>
        </w:rPr>
        <w:t>CITY OF JOHANNESBURG METROPOLITAN</w:t>
      </w:r>
    </w:p>
    <w:p w:rsidR="00BB65B2" w:rsidRPr="00303C89" w:rsidRDefault="00BB65B2" w:rsidP="00BB65B2">
      <w:pPr>
        <w:tabs>
          <w:tab w:val="right" w:pos="9029"/>
        </w:tabs>
        <w:contextualSpacing/>
        <w:jc w:val="both"/>
        <w:rPr>
          <w:b/>
          <w:u w:val="none"/>
          <w:lang w:val="en-ZA"/>
        </w:rPr>
      </w:pPr>
      <w:r w:rsidRPr="00303C89">
        <w:rPr>
          <w:b/>
          <w:u w:val="none"/>
        </w:rPr>
        <w:t>MUNICIPALITY</w:t>
      </w:r>
      <w:r w:rsidRPr="00303C89">
        <w:rPr>
          <w:b/>
          <w:u w:val="none"/>
          <w:lang w:val="en-ZA"/>
        </w:rPr>
        <w:tab/>
        <w:t>FIRST APPELLANT</w:t>
      </w: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lang w:val="en-ZA"/>
        </w:rPr>
      </w:pPr>
      <w:r w:rsidRPr="00303C89">
        <w:rPr>
          <w:b/>
          <w:u w:val="none"/>
          <w:lang w:val="en-ZA"/>
        </w:rPr>
        <w:t>CITY OF JOHANNESBURG PROPERTY COMPANY</w:t>
      </w:r>
    </w:p>
    <w:p w:rsidR="00BB65B2" w:rsidRPr="00303C89" w:rsidRDefault="00BB65B2" w:rsidP="00BB65B2">
      <w:pPr>
        <w:tabs>
          <w:tab w:val="right" w:pos="9029"/>
        </w:tabs>
        <w:contextualSpacing/>
        <w:jc w:val="both"/>
        <w:rPr>
          <w:b/>
          <w:u w:val="none"/>
          <w:lang w:val="en-ZA"/>
        </w:rPr>
      </w:pPr>
      <w:r w:rsidRPr="00303C89">
        <w:rPr>
          <w:b/>
          <w:u w:val="none"/>
          <w:lang w:val="en-ZA"/>
        </w:rPr>
        <w:t>SOC LTD</w:t>
      </w:r>
      <w:r w:rsidRPr="00303C89">
        <w:rPr>
          <w:b/>
          <w:u w:val="none"/>
          <w:lang w:val="en-ZA"/>
        </w:rPr>
        <w:tab/>
        <w:t>SECOND APPELLANT</w:t>
      </w: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u w:val="none"/>
          <w:lang w:val="en-ZA"/>
        </w:rPr>
      </w:pPr>
      <w:r w:rsidRPr="00303C89">
        <w:rPr>
          <w:u w:val="none"/>
          <w:lang w:val="en-ZA"/>
        </w:rPr>
        <w:t>AND</w:t>
      </w: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lang w:val="en-ZA"/>
        </w:rPr>
      </w:pPr>
      <w:r w:rsidRPr="00303C89">
        <w:rPr>
          <w:b/>
          <w:u w:val="none"/>
        </w:rPr>
        <w:t>MOGOROSI IKOPELENG PITSE N.O</w:t>
      </w:r>
      <w:r w:rsidRPr="00303C89">
        <w:rPr>
          <w:b/>
          <w:u w:val="none"/>
          <w:lang w:val="en-ZA"/>
        </w:rPr>
        <w:tab/>
        <w:t>FIRST RESPONDENT</w:t>
      </w:r>
    </w:p>
    <w:p w:rsidR="00BB65B2" w:rsidRPr="00303C89" w:rsidRDefault="00BB65B2" w:rsidP="00BB65B2">
      <w:pPr>
        <w:contextualSpacing/>
        <w:jc w:val="both"/>
        <w:rPr>
          <w:b/>
          <w:u w:val="none"/>
          <w:lang w:val="en-ZA"/>
        </w:rPr>
      </w:pPr>
    </w:p>
    <w:p w:rsidR="00BB65B2" w:rsidRPr="00303C89" w:rsidRDefault="00BB65B2" w:rsidP="00BB65B2">
      <w:pPr>
        <w:tabs>
          <w:tab w:val="right" w:pos="9029"/>
        </w:tabs>
        <w:contextualSpacing/>
        <w:jc w:val="both"/>
        <w:rPr>
          <w:b/>
          <w:u w:val="none"/>
          <w:lang w:val="en-ZA"/>
        </w:rPr>
      </w:pPr>
      <w:r w:rsidRPr="00303C89">
        <w:rPr>
          <w:b/>
          <w:u w:val="none"/>
        </w:rPr>
        <w:t>REGISTRAR OF DEEDS, JOHANNESBURG</w:t>
      </w:r>
      <w:r w:rsidRPr="00303C89">
        <w:rPr>
          <w:b/>
          <w:u w:val="none"/>
          <w:lang w:val="en-ZA"/>
        </w:rPr>
        <w:tab/>
        <w:t>SECOND RESPONDENT</w:t>
      </w:r>
    </w:p>
    <w:p w:rsidR="00BB65B2" w:rsidRPr="00303C89" w:rsidRDefault="00BB65B2" w:rsidP="00BB65B2">
      <w:pPr>
        <w:tabs>
          <w:tab w:val="right" w:pos="9029"/>
        </w:tabs>
        <w:contextualSpacing/>
        <w:jc w:val="both"/>
        <w:rPr>
          <w:b/>
          <w:u w:val="none"/>
          <w:lang w:val="en-ZA"/>
        </w:rPr>
      </w:pPr>
    </w:p>
    <w:p w:rsidR="00BB65B2" w:rsidRPr="00303C89" w:rsidRDefault="00BB65B2" w:rsidP="00BB65B2">
      <w:pPr>
        <w:tabs>
          <w:tab w:val="right" w:pos="9029"/>
        </w:tabs>
        <w:contextualSpacing/>
        <w:jc w:val="both"/>
        <w:rPr>
          <w:b/>
          <w:u w:val="none"/>
        </w:rPr>
      </w:pPr>
      <w:r w:rsidRPr="00303C89">
        <w:rPr>
          <w:b/>
          <w:u w:val="none"/>
        </w:rPr>
        <w:t>MASTER OF THE HIGH COURT, JOHANNESBURG</w:t>
      </w:r>
      <w:r w:rsidRPr="00303C89">
        <w:rPr>
          <w:b/>
          <w:u w:val="none"/>
        </w:rPr>
        <w:tab/>
        <w:t>THIRD RESPONDENT</w:t>
      </w:r>
    </w:p>
    <w:p w:rsidR="00BB65B2" w:rsidRPr="00303C89" w:rsidRDefault="00BB65B2" w:rsidP="00BB65B2">
      <w:pPr>
        <w:tabs>
          <w:tab w:val="right" w:pos="9029"/>
        </w:tabs>
        <w:contextualSpacing/>
        <w:jc w:val="both"/>
        <w:rPr>
          <w:b/>
          <w:u w:val="none"/>
        </w:rPr>
      </w:pPr>
    </w:p>
    <w:p w:rsidR="00BB65B2" w:rsidRDefault="00BB65B2" w:rsidP="00BB65B2">
      <w:pPr>
        <w:tabs>
          <w:tab w:val="right" w:pos="9029"/>
        </w:tabs>
        <w:contextualSpacing/>
        <w:jc w:val="both"/>
        <w:rPr>
          <w:b/>
          <w:u w:val="none"/>
        </w:rPr>
      </w:pPr>
      <w:r w:rsidRPr="00303C89">
        <w:rPr>
          <w:b/>
          <w:u w:val="none"/>
        </w:rPr>
        <w:t>SHERIFF, JOHANNESBURG CENTRAL</w:t>
      </w:r>
      <w:r w:rsidRPr="00303C89">
        <w:rPr>
          <w:b/>
          <w:u w:val="none"/>
        </w:rPr>
        <w:tab/>
        <w:t>FOURTH RESPONDENT</w:t>
      </w:r>
    </w:p>
    <w:p w:rsidR="00D06AEE" w:rsidRDefault="00D06AEE" w:rsidP="00BB65B2">
      <w:pPr>
        <w:tabs>
          <w:tab w:val="right" w:pos="9029"/>
        </w:tabs>
        <w:contextualSpacing/>
        <w:jc w:val="both"/>
        <w:rPr>
          <w:b/>
          <w:u w:val="none"/>
        </w:rPr>
      </w:pPr>
    </w:p>
    <w:p w:rsidR="00D06AEE" w:rsidRPr="00D06AEE" w:rsidRDefault="00D06AEE" w:rsidP="00D06AEE">
      <w:pPr>
        <w:spacing w:line="360" w:lineRule="auto"/>
        <w:ind w:left="1418" w:hanging="1418"/>
        <w:rPr>
          <w:u w:val="none"/>
          <w:lang w:val="en-ZA" w:eastAsia="en-US"/>
        </w:rPr>
      </w:pPr>
      <w:r w:rsidRPr="00D06AEE">
        <w:rPr>
          <w:b/>
          <w:bCs/>
          <w:u w:val="none"/>
          <w:lang w:val="en-ZA" w:eastAsia="en-US"/>
        </w:rPr>
        <w:t>Coram:</w:t>
      </w:r>
      <w:r w:rsidRPr="00D06AEE">
        <w:rPr>
          <w:u w:val="none"/>
          <w:lang w:val="en-ZA" w:eastAsia="en-US"/>
        </w:rPr>
        <w:tab/>
        <w:t xml:space="preserve">Wepener J, Mudau J </w:t>
      </w:r>
      <w:r w:rsidRPr="00D06AEE">
        <w:rPr>
          <w:i/>
          <w:u w:val="none"/>
          <w:lang w:val="en-ZA" w:eastAsia="en-US"/>
        </w:rPr>
        <w:t>et</w:t>
      </w:r>
      <w:r w:rsidRPr="00D06AEE">
        <w:rPr>
          <w:u w:val="none"/>
          <w:lang w:val="en-ZA" w:eastAsia="en-US"/>
        </w:rPr>
        <w:t xml:space="preserve"> Todd AJ</w:t>
      </w:r>
    </w:p>
    <w:p w:rsidR="00D06AEE" w:rsidRPr="00D06AEE" w:rsidRDefault="00D06AEE" w:rsidP="00D06AEE">
      <w:pPr>
        <w:spacing w:after="120" w:line="360" w:lineRule="auto"/>
        <w:ind w:left="1418" w:hanging="1418"/>
        <w:jc w:val="both"/>
        <w:rPr>
          <w:b/>
          <w:u w:val="none"/>
          <w:lang w:val="en-ZA" w:eastAsia="en-US"/>
        </w:rPr>
      </w:pPr>
      <w:r w:rsidRPr="00D06AEE">
        <w:rPr>
          <w:b/>
          <w:bCs/>
          <w:u w:val="none"/>
          <w:lang w:val="en-ZA" w:eastAsia="en-US"/>
        </w:rPr>
        <w:t>Heard</w:t>
      </w:r>
      <w:r w:rsidRPr="00D06AEE">
        <w:rPr>
          <w:u w:val="none"/>
          <w:lang w:val="en-ZA" w:eastAsia="en-US"/>
        </w:rPr>
        <w:t>:</w:t>
      </w:r>
      <w:r w:rsidRPr="00D06AEE">
        <w:rPr>
          <w:u w:val="none"/>
          <w:lang w:val="en-ZA" w:eastAsia="en-US"/>
        </w:rPr>
        <w:tab/>
        <w:t xml:space="preserve">10 August 2022 </w:t>
      </w:r>
    </w:p>
    <w:p w:rsidR="00D06AEE" w:rsidRPr="00D06AEE" w:rsidRDefault="00D06AEE" w:rsidP="00D06AEE">
      <w:pPr>
        <w:spacing w:after="120" w:line="360" w:lineRule="auto"/>
        <w:ind w:left="1418" w:hanging="1418"/>
        <w:jc w:val="both"/>
        <w:rPr>
          <w:u w:val="none"/>
          <w:lang w:val="en-ZA" w:eastAsia="en-US"/>
        </w:rPr>
      </w:pPr>
      <w:r w:rsidRPr="00D06AEE">
        <w:rPr>
          <w:b/>
          <w:u w:val="none"/>
          <w:lang w:val="en-ZA" w:eastAsia="en-US"/>
        </w:rPr>
        <w:t>Delivered:</w:t>
      </w:r>
      <w:r w:rsidRPr="00D06AEE">
        <w:rPr>
          <w:b/>
          <w:u w:val="none"/>
          <w:lang w:val="en-ZA" w:eastAsia="en-US"/>
        </w:rPr>
        <w:tab/>
      </w:r>
      <w:r w:rsidRPr="00D06AEE">
        <w:rPr>
          <w:u w:val="none"/>
          <w:lang w:val="en-ZA" w:eastAsia="en-US"/>
        </w:rPr>
        <w:t xml:space="preserve">13 September 2022 – This judgment was handed down electronically by circulation to the parties' representatives </w:t>
      </w:r>
      <w:r w:rsidRPr="00D06AEE">
        <w:rPr>
          <w:i/>
          <w:u w:val="none"/>
          <w:lang w:val="en-ZA" w:eastAsia="en-US"/>
        </w:rPr>
        <w:t>via</w:t>
      </w:r>
      <w:r w:rsidRPr="00D06AEE">
        <w:rPr>
          <w:u w:val="none"/>
          <w:lang w:val="en-ZA" w:eastAsia="en-US"/>
        </w:rPr>
        <w:t xml:space="preserve"> email, by being uploaded to </w:t>
      </w:r>
      <w:r w:rsidRPr="00D06AEE">
        <w:rPr>
          <w:i/>
          <w:u w:val="none"/>
          <w:lang w:val="en-ZA" w:eastAsia="en-US"/>
        </w:rPr>
        <w:lastRenderedPageBreak/>
        <w:t>CaseLines</w:t>
      </w:r>
      <w:r w:rsidRPr="00D06AEE">
        <w:rPr>
          <w:u w:val="none"/>
          <w:lang w:val="en-ZA" w:eastAsia="en-US"/>
        </w:rPr>
        <w:t xml:space="preserve"> and by release to SAFLII. The date and time for hand-down is deemed to be 11H00 on 13 September 2022.</w:t>
      </w:r>
    </w:p>
    <w:p w:rsidR="00D06AEE" w:rsidRPr="00C01883" w:rsidRDefault="00D06AEE" w:rsidP="00D06AEE">
      <w:pPr>
        <w:spacing w:after="240" w:line="360" w:lineRule="auto"/>
        <w:ind w:left="1418" w:hanging="1418"/>
        <w:jc w:val="both"/>
        <w:rPr>
          <w:u w:val="none"/>
        </w:rPr>
      </w:pPr>
      <w:r w:rsidRPr="00D06AEE">
        <w:rPr>
          <w:b/>
          <w:bCs/>
          <w:u w:val="none"/>
          <w:lang w:val="en-ZA" w:eastAsia="en-US"/>
        </w:rPr>
        <w:t>Summary:</w:t>
      </w:r>
      <w:r w:rsidRPr="00D06AEE">
        <w:rPr>
          <w:b/>
          <w:bCs/>
          <w:u w:val="none"/>
          <w:lang w:val="en-ZA" w:eastAsia="en-US"/>
        </w:rPr>
        <w:tab/>
      </w:r>
      <w:r w:rsidR="00F15D35" w:rsidRPr="00F15D35">
        <w:rPr>
          <w:bCs/>
          <w:u w:val="none"/>
          <w:lang w:val="en-ZA" w:eastAsia="en-US"/>
        </w:rPr>
        <w:t>Law of contract-</w:t>
      </w:r>
      <w:r w:rsidR="00F15D35">
        <w:rPr>
          <w:b/>
          <w:bCs/>
          <w:u w:val="none"/>
          <w:lang w:val="en-ZA" w:eastAsia="en-US"/>
        </w:rPr>
        <w:t xml:space="preserve"> </w:t>
      </w:r>
      <w:r w:rsidR="000A7274" w:rsidRPr="00C01883">
        <w:rPr>
          <w:u w:val="none"/>
        </w:rPr>
        <w:t>Alienation of Land Act 68 of 1981 – interpretation of section 27 – right of purchaser to demand transfer –sale agreement subject</w:t>
      </w:r>
      <w:r w:rsidR="000A7274" w:rsidRPr="00C01883">
        <w:rPr>
          <w:color w:val="000000"/>
          <w:u w:val="none"/>
        </w:rPr>
        <w:t xml:space="preserve"> to certain stipulated conditions</w:t>
      </w:r>
      <w:r w:rsidR="000A7274" w:rsidRPr="00C01883">
        <w:rPr>
          <w:u w:val="none"/>
        </w:rPr>
        <w:t xml:space="preserve">– paid purchase price – </w:t>
      </w:r>
      <w:r w:rsidR="00C01883" w:rsidRPr="00C01883">
        <w:rPr>
          <w:u w:val="none"/>
        </w:rPr>
        <w:t xml:space="preserve">Breach of contract – purchaser not </w:t>
      </w:r>
      <w:r w:rsidR="000A7274" w:rsidRPr="00C01883">
        <w:rPr>
          <w:u w:val="none"/>
        </w:rPr>
        <w:t>entitled to demand transfer</w:t>
      </w:r>
      <w:r w:rsidR="00C01883" w:rsidRPr="00C01883">
        <w:rPr>
          <w:u w:val="none"/>
        </w:rPr>
        <w:t xml:space="preserve"> in terms of section 27 (4)</w:t>
      </w:r>
      <w:r w:rsidRPr="00C01883">
        <w:rPr>
          <w:bCs/>
          <w:u w:val="none"/>
          <w:lang w:val="en-ZA" w:eastAsia="en-US"/>
        </w:rPr>
        <w:t xml:space="preserve"> </w:t>
      </w:r>
      <w:r w:rsidRPr="00C01883">
        <w:rPr>
          <w:color w:val="000000"/>
          <w:u w:val="none"/>
        </w:rPr>
        <w:t>-</w:t>
      </w:r>
      <w:r w:rsidR="00B53C53" w:rsidRPr="00B53C53">
        <w:rPr>
          <w:color w:val="000000"/>
          <w:u w:val="none"/>
        </w:rPr>
        <w:t xml:space="preserve"> </w:t>
      </w:r>
      <w:r w:rsidR="00B53C53" w:rsidRPr="00001406">
        <w:rPr>
          <w:color w:val="000000"/>
          <w:u w:val="none"/>
        </w:rPr>
        <w:t xml:space="preserve">The provisions of this section shall not apply </w:t>
      </w:r>
      <w:r w:rsidR="00B53C53" w:rsidRPr="00303C89">
        <w:rPr>
          <w:color w:val="000000"/>
          <w:u w:val="none"/>
        </w:rPr>
        <w:t>in respect of a deed of alienation in terms of which the State or a local authority is the seller</w:t>
      </w:r>
      <w:r w:rsidR="00B53C53">
        <w:rPr>
          <w:color w:val="000000"/>
          <w:u w:val="none"/>
        </w:rPr>
        <w:t xml:space="preserve">- </w:t>
      </w:r>
      <w:r w:rsidRPr="00C01883">
        <w:rPr>
          <w:color w:val="000000"/>
          <w:u w:val="none"/>
        </w:rPr>
        <w:t xml:space="preserve"> </w:t>
      </w:r>
      <w:r w:rsidRPr="00C01883">
        <w:rPr>
          <w:u w:val="none"/>
        </w:rPr>
        <w:t>proper construction of a written contract</w:t>
      </w:r>
    </w:p>
    <w:p w:rsidR="00D06AEE" w:rsidRPr="00D06AEE" w:rsidRDefault="00D06AEE" w:rsidP="00D06AEE">
      <w:pPr>
        <w:spacing w:after="240" w:line="360" w:lineRule="auto"/>
        <w:ind w:left="1418" w:hanging="1418"/>
        <w:jc w:val="both"/>
        <w:rPr>
          <w:u w:val="none"/>
        </w:rPr>
      </w:pPr>
      <w:r w:rsidRPr="00D06AEE">
        <w:rPr>
          <w:b/>
          <w:bCs/>
          <w:u w:val="none"/>
          <w:lang w:val="en-ZA" w:eastAsia="en-US"/>
        </w:rPr>
        <w:t xml:space="preserve">Appeal:        </w:t>
      </w:r>
      <w:r w:rsidRPr="00D06AEE">
        <w:rPr>
          <w:bCs/>
          <w:u w:val="none"/>
          <w:lang w:val="en-ZA" w:eastAsia="en-US"/>
        </w:rPr>
        <w:t>Upheld</w:t>
      </w:r>
      <w:r w:rsidR="009C5756">
        <w:rPr>
          <w:bCs/>
          <w:u w:val="none"/>
          <w:lang w:val="en-ZA" w:eastAsia="en-US"/>
        </w:rPr>
        <w:t xml:space="preserve"> with costs</w:t>
      </w:r>
    </w:p>
    <w:p w:rsidR="00D06AEE" w:rsidRDefault="00D06AEE" w:rsidP="00D06AEE">
      <w:pPr>
        <w:pStyle w:val="LegalTramLines"/>
        <w:spacing w:after="360"/>
      </w:pPr>
      <w:r>
        <w:t>ORDER</w:t>
      </w:r>
    </w:p>
    <w:p w:rsidR="00D06AEE" w:rsidRDefault="00D06AEE" w:rsidP="00D06AEE">
      <w:pPr>
        <w:pStyle w:val="LegalMAINHEADING"/>
        <w:spacing w:before="0" w:after="120"/>
        <w:rPr>
          <w:rFonts w:cs="Arial"/>
          <w:b w:val="0"/>
          <w:caps w:val="0"/>
          <w:lang w:eastAsia="en-US"/>
        </w:rPr>
      </w:pPr>
      <w:r>
        <w:rPr>
          <w:rFonts w:cs="Arial"/>
          <w:caps w:val="0"/>
          <w:lang w:eastAsia="en-US"/>
        </w:rPr>
        <w:t xml:space="preserve">On appeal from: </w:t>
      </w:r>
      <w:r>
        <w:rPr>
          <w:rFonts w:cs="Arial"/>
          <w:b w:val="0"/>
          <w:caps w:val="0"/>
          <w:lang w:eastAsia="en-US"/>
        </w:rPr>
        <w:t>The Gauteng Division, Johannesburg.</w:t>
      </w:r>
    </w:p>
    <w:p w:rsidR="009C5756" w:rsidRPr="009C5756" w:rsidRDefault="009C5756" w:rsidP="009C5756">
      <w:pPr>
        <w:pStyle w:val="ListParagraph"/>
        <w:numPr>
          <w:ilvl w:val="0"/>
          <w:numId w:val="5"/>
        </w:numPr>
        <w:suppressAutoHyphens/>
        <w:spacing w:line="480" w:lineRule="auto"/>
        <w:ind w:left="567" w:hanging="567"/>
        <w:contextualSpacing w:val="0"/>
        <w:jc w:val="both"/>
      </w:pPr>
      <w:r w:rsidRPr="009C5756">
        <w:rPr>
          <w:u w:val="none"/>
          <w:lang w:val="en-US"/>
        </w:rPr>
        <w:t xml:space="preserve">The appeal accordingly succeeds, with costs, and the order of the court </w:t>
      </w:r>
      <w:r w:rsidRPr="009C5756">
        <w:rPr>
          <w:i/>
          <w:u w:val="none"/>
          <w:lang w:val="en-US"/>
        </w:rPr>
        <w:t>a quo</w:t>
      </w:r>
      <w:r w:rsidRPr="009C5756">
        <w:rPr>
          <w:u w:val="none"/>
          <w:lang w:val="en-US"/>
        </w:rPr>
        <w:t xml:space="preserve"> is set aside and the following order is substituted:</w:t>
      </w:r>
    </w:p>
    <w:p w:rsidR="009C5756" w:rsidRPr="00490F25" w:rsidRDefault="009C5756" w:rsidP="009C5756">
      <w:pPr>
        <w:pStyle w:val="ListParagraph"/>
        <w:spacing w:line="480" w:lineRule="auto"/>
        <w:ind w:left="1134" w:hanging="567"/>
        <w:jc w:val="both"/>
        <w:rPr>
          <w:u w:val="none"/>
          <w:lang w:val="en-US"/>
        </w:rPr>
      </w:pPr>
      <w:r w:rsidRPr="00490F25">
        <w:rPr>
          <w:u w:val="none"/>
          <w:lang w:val="en-US"/>
        </w:rPr>
        <w:t>“1.</w:t>
      </w:r>
      <w:r>
        <w:rPr>
          <w:u w:val="none"/>
          <w:lang w:val="en-US"/>
        </w:rPr>
        <w:tab/>
      </w:r>
      <w:r w:rsidRPr="00490F25">
        <w:rPr>
          <w:u w:val="none"/>
          <w:lang w:val="en-US"/>
        </w:rPr>
        <w:t xml:space="preserve">Confirming that the agreement of sale entered into between the first respondent, duly represented by the second respondent. and Abel Ikgopoleng Pitse dated 4 October 2001 pertaining to </w:t>
      </w:r>
      <w:r>
        <w:rPr>
          <w:u w:val="none"/>
          <w:lang w:val="en-US"/>
        </w:rPr>
        <w:t>Stand 6643, Orlando East, w</w:t>
      </w:r>
      <w:r w:rsidRPr="00490F25">
        <w:rPr>
          <w:u w:val="none"/>
          <w:lang w:val="en-US"/>
        </w:rPr>
        <w:t>as validly terminated by the first and second respondents on 6 August 2015</w:t>
      </w:r>
      <w:r>
        <w:rPr>
          <w:u w:val="none"/>
          <w:lang w:val="en-US"/>
        </w:rPr>
        <w:t>.</w:t>
      </w:r>
    </w:p>
    <w:p w:rsidR="009C5756" w:rsidRPr="00490F25" w:rsidRDefault="009C5756" w:rsidP="009C5756">
      <w:pPr>
        <w:pStyle w:val="ListParagraph"/>
        <w:spacing w:line="480" w:lineRule="auto"/>
        <w:ind w:left="1134" w:hanging="567"/>
        <w:jc w:val="both"/>
        <w:rPr>
          <w:u w:val="none"/>
          <w:lang w:val="en-US"/>
        </w:rPr>
      </w:pPr>
      <w:r w:rsidRPr="00490F25">
        <w:rPr>
          <w:u w:val="none"/>
          <w:lang w:val="en-US"/>
        </w:rPr>
        <w:t>2.</w:t>
      </w:r>
      <w:r>
        <w:rPr>
          <w:u w:val="none"/>
          <w:lang w:val="en-US"/>
        </w:rPr>
        <w:tab/>
      </w:r>
      <w:r w:rsidRPr="00490F25">
        <w:rPr>
          <w:u w:val="none"/>
          <w:lang w:val="en-US"/>
        </w:rPr>
        <w:t>That the main application brought by the applicant be dismissed with costs.</w:t>
      </w:r>
    </w:p>
    <w:p w:rsidR="00D06AEE" w:rsidRPr="009C5756" w:rsidRDefault="009C5756" w:rsidP="009C5756">
      <w:pPr>
        <w:pStyle w:val="ListParagraph"/>
        <w:spacing w:line="480" w:lineRule="auto"/>
        <w:ind w:left="1134" w:hanging="567"/>
        <w:jc w:val="both"/>
        <w:rPr>
          <w:u w:val="none"/>
          <w:lang w:val="en-US"/>
        </w:rPr>
      </w:pPr>
      <w:r w:rsidRPr="00490F25">
        <w:rPr>
          <w:u w:val="none"/>
          <w:lang w:val="en-US"/>
        </w:rPr>
        <w:t>3.</w:t>
      </w:r>
      <w:r>
        <w:rPr>
          <w:u w:val="none"/>
          <w:lang w:val="en-US"/>
        </w:rPr>
        <w:tab/>
        <w:t>That the applicant is to pay the c</w:t>
      </w:r>
      <w:r w:rsidRPr="00490F25">
        <w:rPr>
          <w:u w:val="none"/>
          <w:lang w:val="en-US"/>
        </w:rPr>
        <w:t>osts of the counter-application</w:t>
      </w:r>
      <w:r>
        <w:rPr>
          <w:u w:val="none"/>
          <w:lang w:val="en-US"/>
        </w:rPr>
        <w:t>”.</w:t>
      </w:r>
    </w:p>
    <w:p w:rsidR="00D06AEE" w:rsidRPr="00303C89" w:rsidRDefault="00D06AEE" w:rsidP="00BB65B2">
      <w:pPr>
        <w:tabs>
          <w:tab w:val="right" w:pos="9029"/>
        </w:tabs>
        <w:contextualSpacing/>
        <w:jc w:val="both"/>
        <w:rPr>
          <w:b/>
          <w:u w:val="none"/>
        </w:rPr>
      </w:pPr>
    </w:p>
    <w:p w:rsidR="00BB65B2" w:rsidRPr="00303C89" w:rsidRDefault="00BB65B2" w:rsidP="00BB65B2">
      <w:pPr>
        <w:tabs>
          <w:tab w:val="right" w:pos="9029"/>
        </w:tabs>
        <w:contextualSpacing/>
        <w:jc w:val="both"/>
        <w:rPr>
          <w:b/>
          <w:u w:val="none"/>
        </w:rPr>
      </w:pPr>
    </w:p>
    <w:p w:rsidR="00BB65B2" w:rsidRPr="000025B8" w:rsidRDefault="00BB65B2" w:rsidP="00BB65B2">
      <w:pPr>
        <w:pBdr>
          <w:bottom w:val="single" w:sz="12" w:space="1" w:color="auto"/>
        </w:pBdr>
        <w:rPr>
          <w:b/>
          <w:lang w:val="en-ZA"/>
        </w:rPr>
      </w:pPr>
    </w:p>
    <w:p w:rsidR="00BB65B2" w:rsidRPr="000025B8" w:rsidRDefault="00BB65B2" w:rsidP="00BB65B2">
      <w:pPr>
        <w:ind w:left="1440" w:hanging="1440"/>
        <w:rPr>
          <w:b/>
        </w:rPr>
      </w:pPr>
    </w:p>
    <w:p w:rsidR="00BB65B2" w:rsidRPr="00303C89" w:rsidRDefault="00BB65B2" w:rsidP="00BB65B2">
      <w:pPr>
        <w:pBdr>
          <w:bottom w:val="single" w:sz="12" w:space="1" w:color="auto"/>
        </w:pBdr>
        <w:spacing w:after="240" w:line="480" w:lineRule="auto"/>
        <w:jc w:val="center"/>
        <w:rPr>
          <w:b/>
          <w:u w:val="none"/>
          <w:lang w:val="en-ZA"/>
        </w:rPr>
      </w:pPr>
      <w:r w:rsidRPr="00303C89">
        <w:rPr>
          <w:b/>
          <w:u w:val="none"/>
          <w:lang w:val="en-ZA"/>
        </w:rPr>
        <w:t>JUDGMENT</w:t>
      </w:r>
    </w:p>
    <w:p w:rsidR="00972885" w:rsidRPr="0097259F" w:rsidRDefault="00972885" w:rsidP="00972885"/>
    <w:p w:rsidR="00972885" w:rsidRDefault="00972885" w:rsidP="00EF0779">
      <w:pPr>
        <w:spacing w:line="360" w:lineRule="auto"/>
        <w:rPr>
          <w:b/>
          <w:u w:val="none"/>
        </w:rPr>
      </w:pPr>
      <w:r w:rsidRPr="0097259F">
        <w:rPr>
          <w:b/>
          <w:u w:val="none"/>
        </w:rPr>
        <w:lastRenderedPageBreak/>
        <w:t>MUDAU, J:</w:t>
      </w:r>
      <w:r w:rsidR="006100EA">
        <w:rPr>
          <w:b/>
          <w:u w:val="none"/>
        </w:rPr>
        <w:t xml:space="preserve"> </w:t>
      </w:r>
      <w:r w:rsidR="0019712D">
        <w:rPr>
          <w:b/>
          <w:u w:val="none"/>
        </w:rPr>
        <w:t>(WITH</w:t>
      </w:r>
      <w:r w:rsidR="006100EA">
        <w:rPr>
          <w:b/>
          <w:u w:val="none"/>
        </w:rPr>
        <w:t xml:space="preserve"> WEPENER J AND TODD AJ CONCURRING)</w:t>
      </w:r>
    </w:p>
    <w:p w:rsidR="00BB65B2" w:rsidRPr="005976B1" w:rsidRDefault="00BB65B2" w:rsidP="00EF0779">
      <w:pPr>
        <w:spacing w:line="360" w:lineRule="auto"/>
        <w:rPr>
          <w:b/>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This is an appeal against a decision of the Gauteng Division, Johannesburg made by Pather, AJ, on 30 October 2017, whereby the first appellant, the City of Johannesburg Metropolitan Municipality (“the City”) was directed to pass transfer to the first respondent, of certain landed property pursuant to a written deed of sale. The City of Johannesburg Metropolitan Municipality has been established in accordance with Section 2 of the Local Government: Municipal Systems Act 32 of 2000. It is the successor in title to the Greater Johannesburg Metropolitan Council.</w:t>
      </w:r>
    </w:p>
    <w:p w:rsidR="006100EA" w:rsidRPr="006046A3" w:rsidRDefault="006100EA" w:rsidP="00BB65B2">
      <w:pPr>
        <w:pStyle w:val="ListParagraph"/>
        <w:spacing w:line="480" w:lineRule="auto"/>
        <w:ind w:left="567" w:hanging="567"/>
        <w:jc w:val="both"/>
        <w:rPr>
          <w:color w:val="000000"/>
          <w:u w:val="none"/>
        </w:rPr>
      </w:pPr>
    </w:p>
    <w:p w:rsidR="00D25B75"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appeal arose from the following distinct applications. The first, was brought by the appellants, seeking the eviction of the current occupiers of the property</w:t>
      </w:r>
      <w:r w:rsidR="008035F3">
        <w:rPr>
          <w:color w:val="000000"/>
          <w:u w:val="none"/>
        </w:rPr>
        <w:t xml:space="preserve"> -</w:t>
      </w:r>
      <w:r w:rsidRPr="006046A3">
        <w:rPr>
          <w:color w:val="000000"/>
          <w:u w:val="none"/>
        </w:rPr>
        <w:t>a church. The eviction application resulted in an order by the court (per Baqwa</w:t>
      </w:r>
      <w:r w:rsidR="008035F3">
        <w:rPr>
          <w:color w:val="000000"/>
          <w:u w:val="none"/>
        </w:rPr>
        <w:t> </w:t>
      </w:r>
      <w:r w:rsidRPr="006046A3">
        <w:rPr>
          <w:color w:val="000000"/>
          <w:u w:val="none"/>
        </w:rPr>
        <w:t>J) that proceedings must be instituted by either party for the first respondent to compel transfer of the property to the deceased’s estate alternatively, for the appellants to bring proceedings for the cancellation of the agreement of sale entered into between the deceased and the appellants in these proceedings.</w:t>
      </w:r>
    </w:p>
    <w:p w:rsidR="00D25B75" w:rsidRDefault="00D25B75" w:rsidP="00BB65B2">
      <w:pPr>
        <w:pStyle w:val="ListParagraph"/>
        <w:spacing w:line="480" w:lineRule="auto"/>
        <w:ind w:left="567" w:hanging="567"/>
        <w:jc w:val="both"/>
        <w:rPr>
          <w:color w:val="000000"/>
          <w:u w:val="none"/>
        </w:rPr>
      </w:pPr>
    </w:p>
    <w:p w:rsidR="0027475E" w:rsidRPr="006046A3"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first respondent subsequently launched an application to compel the appellants to transfer the property in terms of the sale agreement (the second application). The appellants in turn launched a counter application, seeking an order declaring their cancellation of the sale agreement to be valid</w:t>
      </w:r>
      <w:r w:rsidR="0034037E">
        <w:rPr>
          <w:color w:val="000000"/>
          <w:u w:val="none"/>
        </w:rPr>
        <w:t>.  The counter application</w:t>
      </w:r>
      <w:r w:rsidRPr="006046A3">
        <w:rPr>
          <w:color w:val="000000"/>
          <w:u w:val="none"/>
        </w:rPr>
        <w:t xml:space="preserve"> was dismissed </w:t>
      </w:r>
      <w:r w:rsidR="0034037E">
        <w:rPr>
          <w:color w:val="000000"/>
          <w:u w:val="none"/>
        </w:rPr>
        <w:t xml:space="preserve">and the main application granted by Pather AJ, who </w:t>
      </w:r>
      <w:r w:rsidRPr="006046A3">
        <w:rPr>
          <w:color w:val="000000"/>
          <w:u w:val="none"/>
        </w:rPr>
        <w:t>order</w:t>
      </w:r>
      <w:r w:rsidR="0034037E">
        <w:rPr>
          <w:color w:val="000000"/>
          <w:u w:val="none"/>
        </w:rPr>
        <w:t>ed the appellants</w:t>
      </w:r>
      <w:r w:rsidRPr="006046A3">
        <w:rPr>
          <w:color w:val="000000"/>
          <w:u w:val="none"/>
        </w:rPr>
        <w:t xml:space="preserve"> to pass transfer</w:t>
      </w:r>
      <w:r w:rsidR="0034037E">
        <w:rPr>
          <w:color w:val="000000"/>
          <w:u w:val="none"/>
        </w:rPr>
        <w:t xml:space="preserve"> of the property to the deceased’s estate</w:t>
      </w:r>
      <w:r w:rsidRPr="006046A3">
        <w:rPr>
          <w:color w:val="000000"/>
          <w:u w:val="none"/>
        </w:rPr>
        <w:t>.</w:t>
      </w:r>
      <w:r w:rsidR="00C378A0">
        <w:rPr>
          <w:color w:val="000000"/>
          <w:u w:val="none"/>
        </w:rPr>
        <w:t xml:space="preserve"> </w:t>
      </w:r>
      <w:r w:rsidR="00C378A0">
        <w:rPr>
          <w:color w:val="000000"/>
          <w:u w:val="none"/>
        </w:rPr>
        <w:lastRenderedPageBreak/>
        <w:t>The eviction application was as a result</w:t>
      </w:r>
      <w:r w:rsidR="008324B6">
        <w:rPr>
          <w:color w:val="000000"/>
          <w:u w:val="none"/>
        </w:rPr>
        <w:t>,</w:t>
      </w:r>
      <w:r w:rsidR="00C378A0">
        <w:rPr>
          <w:color w:val="000000"/>
          <w:u w:val="none"/>
        </w:rPr>
        <w:t xml:space="preserve"> also dismissed.</w:t>
      </w:r>
      <w:r w:rsidRPr="006046A3">
        <w:rPr>
          <w:color w:val="000000"/>
          <w:u w:val="none"/>
        </w:rPr>
        <w:t xml:space="preserve"> The appeal is with leave of Pather</w:t>
      </w:r>
      <w:r w:rsidR="008035F3">
        <w:rPr>
          <w:color w:val="000000"/>
          <w:u w:val="none"/>
        </w:rPr>
        <w:t> </w:t>
      </w:r>
      <w:r w:rsidRPr="006046A3">
        <w:rPr>
          <w:color w:val="000000"/>
          <w:u w:val="none"/>
        </w:rPr>
        <w:t>AJ.</w:t>
      </w:r>
    </w:p>
    <w:p w:rsidR="008035F3" w:rsidRDefault="008035F3" w:rsidP="00BB65B2">
      <w:pPr>
        <w:pStyle w:val="ListParagraph"/>
        <w:spacing w:line="480" w:lineRule="auto"/>
        <w:ind w:left="567" w:hanging="567"/>
        <w:jc w:val="both"/>
        <w:rPr>
          <w:color w:val="000000"/>
          <w:u w:val="none"/>
        </w:rPr>
      </w:pPr>
    </w:p>
    <w:p w:rsidR="0027475E" w:rsidRPr="00303C89" w:rsidRDefault="0027475E" w:rsidP="00BB65B2">
      <w:pPr>
        <w:pStyle w:val="ListParagraph"/>
        <w:spacing w:line="480" w:lineRule="auto"/>
        <w:ind w:left="567" w:hanging="567"/>
        <w:jc w:val="both"/>
        <w:rPr>
          <w:b/>
          <w:color w:val="000000"/>
          <w:u w:val="none"/>
        </w:rPr>
      </w:pPr>
      <w:r w:rsidRPr="00303C89">
        <w:rPr>
          <w:b/>
          <w:color w:val="000000"/>
          <w:u w:val="none"/>
        </w:rPr>
        <w:t>Background Facts</w:t>
      </w:r>
    </w:p>
    <w:p w:rsidR="0027475E" w:rsidRPr="006046A3" w:rsidRDefault="0027475E" w:rsidP="00BB65B2">
      <w:pPr>
        <w:pStyle w:val="ListParagraph"/>
        <w:numPr>
          <w:ilvl w:val="0"/>
          <w:numId w:val="2"/>
        </w:numPr>
        <w:tabs>
          <w:tab w:val="clear" w:pos="690"/>
        </w:tabs>
        <w:spacing w:line="480" w:lineRule="auto"/>
        <w:ind w:left="567" w:hanging="567"/>
        <w:jc w:val="both"/>
        <w:rPr>
          <w:color w:val="000000"/>
        </w:rPr>
      </w:pPr>
      <w:r w:rsidRPr="006046A3">
        <w:rPr>
          <w:color w:val="000000"/>
          <w:u w:val="none"/>
        </w:rPr>
        <w:t>There is no dispute concerning the facts of the case, which may be summarised as follows.</w:t>
      </w:r>
      <w:r w:rsidRPr="006046A3">
        <w:rPr>
          <w:rFonts w:ascii="Verdana" w:hAnsi="Verdana"/>
          <w:color w:val="000000"/>
          <w:sz w:val="20"/>
          <w:szCs w:val="20"/>
          <w:u w:val="none"/>
        </w:rPr>
        <w:t xml:space="preserve"> </w:t>
      </w:r>
      <w:r w:rsidRPr="006046A3">
        <w:rPr>
          <w:color w:val="000000"/>
          <w:u w:val="none"/>
        </w:rPr>
        <w:t>Following public tenders invited for the acquisition of a vacant piece of land, stand No 6643 Orlando East, Soweto (“the property”) in 2001, the late Mr Ikgopoleng Abel Pitse (“the deceased”) submitted a tender to the City, which</w:t>
      </w:r>
      <w:r w:rsidRPr="0027475E">
        <w:rPr>
          <w:color w:val="000000"/>
        </w:rPr>
        <w:t xml:space="preserve"> </w:t>
      </w:r>
      <w:r w:rsidRPr="006046A3">
        <w:rPr>
          <w:color w:val="000000"/>
          <w:u w:val="none"/>
        </w:rPr>
        <w:t>was accepted to purchase the property for an amount of R108 000,00. On 4</w:t>
      </w:r>
      <w:r w:rsidR="008035F3">
        <w:rPr>
          <w:color w:val="000000"/>
          <w:u w:val="none"/>
        </w:rPr>
        <w:t> </w:t>
      </w:r>
      <w:r w:rsidRPr="006046A3">
        <w:rPr>
          <w:color w:val="000000"/>
          <w:u w:val="none"/>
        </w:rPr>
        <w:t>October 2001, the first appellant represented by the second appellant (then called Propcom) concluded an agreement of sale with the deceased. Subsequent to entering into the sale agreement, the deceased took possession of the property. However, transfer of the property was never effected by the first</w:t>
      </w:r>
      <w:r w:rsidR="008035F3">
        <w:rPr>
          <w:color w:val="000000"/>
          <w:u w:val="none"/>
        </w:rPr>
        <w:t> </w:t>
      </w:r>
      <w:r w:rsidRPr="006046A3">
        <w:rPr>
          <w:color w:val="000000"/>
          <w:u w:val="none"/>
        </w:rPr>
        <w:t>appellant. The deceased passed away in 2006. The first respondent is the executor of his estate. The estate remains in possession and occupation of the property. From the time the sale agreement was concluded, until 30 June 2015, a period of some fourteen years, nothing happened in terms of the agreement.</w:t>
      </w:r>
    </w:p>
    <w:p w:rsidR="006046A3" w:rsidRPr="0027475E" w:rsidRDefault="006046A3" w:rsidP="00BB65B2">
      <w:pPr>
        <w:pStyle w:val="ListParagraph"/>
        <w:spacing w:line="480" w:lineRule="auto"/>
        <w:ind w:left="567" w:hanging="567"/>
        <w:jc w:val="both"/>
        <w:rPr>
          <w:color w:val="000000"/>
        </w:rPr>
      </w:pPr>
    </w:p>
    <w:p w:rsidR="001D5AD6"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 xml:space="preserve">The agreement provides </w:t>
      </w:r>
      <w:r w:rsidRPr="00303C89">
        <w:rPr>
          <w:i/>
          <w:color w:val="000000"/>
          <w:u w:val="none"/>
        </w:rPr>
        <w:t>inter alia</w:t>
      </w:r>
      <w:r w:rsidRPr="006046A3">
        <w:rPr>
          <w:color w:val="000000"/>
          <w:u w:val="none"/>
        </w:rPr>
        <w:t xml:space="preserve">, in clause 5 that </w:t>
      </w:r>
      <w:r w:rsidRPr="008035F3">
        <w:rPr>
          <w:color w:val="000000"/>
          <w:u w:val="none"/>
        </w:rPr>
        <w:t>“</w:t>
      </w:r>
      <w:r w:rsidR="008035F3" w:rsidRPr="008035F3">
        <w:rPr>
          <w:color w:val="000000"/>
          <w:u w:val="none"/>
        </w:rPr>
        <w:t>[t</w:t>
      </w:r>
      <w:r w:rsidR="008035F3" w:rsidRPr="00303C89">
        <w:rPr>
          <w:color w:val="000000"/>
          <w:u w:val="none"/>
        </w:rPr>
        <w:t>]</w:t>
      </w:r>
      <w:r w:rsidRPr="00303C89">
        <w:rPr>
          <w:color w:val="000000"/>
          <w:u w:val="none"/>
        </w:rPr>
        <w:t>ransfer of the PROPERTY into the name of the PURCHASER shall be effected by the COUNCIL's conveyancers. The PURCHASER shall be liable for all costs in connection with such transfer…</w:t>
      </w:r>
      <w:r w:rsidR="008035F3">
        <w:rPr>
          <w:color w:val="000000"/>
          <w:u w:val="none"/>
        </w:rPr>
        <w:t>”</w:t>
      </w:r>
      <w:r w:rsidRPr="008035F3">
        <w:rPr>
          <w:color w:val="000000"/>
          <w:u w:val="none"/>
        </w:rPr>
        <w:t xml:space="preserve">. </w:t>
      </w:r>
      <w:r w:rsidRPr="006046A3">
        <w:rPr>
          <w:color w:val="000000"/>
          <w:u w:val="none"/>
        </w:rPr>
        <w:t>Clause 7.1 provides as follow</w:t>
      </w:r>
      <w:r w:rsidR="008035F3">
        <w:rPr>
          <w:color w:val="000000"/>
          <w:u w:val="none"/>
        </w:rPr>
        <w:t>s</w:t>
      </w:r>
      <w:r w:rsidRPr="006046A3">
        <w:rPr>
          <w:color w:val="000000"/>
          <w:u w:val="none"/>
        </w:rPr>
        <w:t>:</w:t>
      </w:r>
    </w:p>
    <w:p w:rsidR="0027475E" w:rsidRPr="00303C89" w:rsidRDefault="0027475E" w:rsidP="00303C89">
      <w:pPr>
        <w:pStyle w:val="ListParagraph"/>
        <w:spacing w:line="480" w:lineRule="auto"/>
        <w:ind w:left="567"/>
        <w:jc w:val="both"/>
        <w:rPr>
          <w:color w:val="000000"/>
          <w:sz w:val="22"/>
          <w:szCs w:val="22"/>
          <w:u w:val="none"/>
        </w:rPr>
      </w:pPr>
      <w:r w:rsidRPr="00303C89">
        <w:rPr>
          <w:color w:val="000000"/>
          <w:sz w:val="22"/>
          <w:szCs w:val="22"/>
          <w:u w:val="none"/>
        </w:rPr>
        <w:t>“</w:t>
      </w:r>
      <w:r w:rsidR="008035F3" w:rsidRPr="00303C89">
        <w:rPr>
          <w:color w:val="000000"/>
          <w:sz w:val="22"/>
          <w:szCs w:val="22"/>
          <w:u w:val="none"/>
        </w:rPr>
        <w:t>[t]</w:t>
      </w:r>
      <w:r w:rsidRPr="00303C89">
        <w:rPr>
          <w:color w:val="000000"/>
          <w:sz w:val="22"/>
          <w:szCs w:val="22"/>
          <w:u w:val="none"/>
        </w:rPr>
        <w:t>he PURCHASER shall commence the erection on the PROPERTY of a building, for business purposes within l</w:t>
      </w:r>
      <w:r w:rsidR="008035F3" w:rsidRPr="00303C89">
        <w:rPr>
          <w:color w:val="000000"/>
          <w:sz w:val="22"/>
          <w:szCs w:val="22"/>
          <w:u w:val="none"/>
        </w:rPr>
        <w:t xml:space="preserve"> </w:t>
      </w:r>
      <w:r w:rsidRPr="00303C89">
        <w:rPr>
          <w:color w:val="000000"/>
          <w:sz w:val="22"/>
          <w:szCs w:val="22"/>
          <w:u w:val="none"/>
        </w:rPr>
        <w:t xml:space="preserve">(one) year from date of signing of this Agreement by the COUNCIL and at least the first phase of the said building shall be ready for occupation and operation within 18 (eighteen) months from the date of signing of this Agreement by </w:t>
      </w:r>
      <w:r w:rsidRPr="00303C89">
        <w:rPr>
          <w:color w:val="000000"/>
          <w:sz w:val="22"/>
          <w:szCs w:val="22"/>
          <w:u w:val="none"/>
        </w:rPr>
        <w:lastRenderedPageBreak/>
        <w:t>the COUNCIL failing which reasons for such Failure shall be submitted to the COUNCIL in writing for consideration”.</w:t>
      </w:r>
    </w:p>
    <w:p w:rsidR="006046A3" w:rsidRPr="006046A3" w:rsidRDefault="006046A3" w:rsidP="00BB65B2">
      <w:pPr>
        <w:spacing w:line="480" w:lineRule="auto"/>
        <w:ind w:left="567" w:hanging="567"/>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Clause 7.2 records that “</w:t>
      </w:r>
      <w:r w:rsidR="001D5AD6">
        <w:rPr>
          <w:color w:val="000000"/>
          <w:u w:val="none"/>
        </w:rPr>
        <w:t>[t]</w:t>
      </w:r>
      <w:r w:rsidRPr="006046A3">
        <w:rPr>
          <w:color w:val="000000"/>
          <w:u w:val="none"/>
        </w:rPr>
        <w:t>he COUNCIL reserves the pre-emptive right to repurchase the PROPERTY at the cost of the PURCHASER, should the provisions of clause 7,1 above not be complied with…”.</w:t>
      </w:r>
    </w:p>
    <w:p w:rsidR="006046A3" w:rsidRPr="006046A3" w:rsidRDefault="006046A3" w:rsidP="00BB65B2">
      <w:pPr>
        <w:pStyle w:val="ListParagraph"/>
        <w:ind w:left="567" w:hanging="567"/>
        <w:rPr>
          <w:color w:val="000000"/>
          <w:u w:val="none"/>
        </w:rPr>
      </w:pPr>
    </w:p>
    <w:p w:rsidR="001D5AD6"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Clause 7.3 provides as follows:</w:t>
      </w:r>
    </w:p>
    <w:p w:rsidR="0027475E" w:rsidRPr="00303C89" w:rsidRDefault="0027475E" w:rsidP="00303C89">
      <w:pPr>
        <w:pStyle w:val="ListParagraph"/>
        <w:spacing w:line="480" w:lineRule="auto"/>
        <w:ind w:left="567"/>
        <w:jc w:val="both"/>
        <w:rPr>
          <w:color w:val="000000"/>
          <w:sz w:val="22"/>
          <w:szCs w:val="22"/>
          <w:u w:val="none"/>
        </w:rPr>
      </w:pPr>
      <w:r w:rsidRPr="00303C89">
        <w:rPr>
          <w:color w:val="000000"/>
          <w:sz w:val="22"/>
          <w:szCs w:val="22"/>
          <w:u w:val="none"/>
        </w:rPr>
        <w:t>“</w:t>
      </w:r>
      <w:r w:rsidR="001D5AD6" w:rsidRPr="00303C89">
        <w:rPr>
          <w:color w:val="000000"/>
          <w:sz w:val="22"/>
          <w:szCs w:val="22"/>
          <w:u w:val="none"/>
        </w:rPr>
        <w:t>[t]</w:t>
      </w:r>
      <w:r w:rsidRPr="00303C89">
        <w:rPr>
          <w:color w:val="000000"/>
          <w:sz w:val="22"/>
          <w:szCs w:val="22"/>
          <w:u w:val="none"/>
        </w:rPr>
        <w:t>he PURCHASER shall not dispose of the PROPERTY before a building(s), specified in clause 7.1 above, has been erected thereon except to the COUNCIL at a price to be determined in terms of clause 7.2: Provided that the COUNCII. may in such event compensate the PURCHASER for any improvements effected to the PROPERTY, the value of which shall be determined by the COUNCIL's Executive Officer: Valuation Services or an independent va</w:t>
      </w:r>
      <w:r w:rsidR="001D5AD6" w:rsidRPr="00303C89">
        <w:rPr>
          <w:color w:val="000000"/>
          <w:sz w:val="22"/>
          <w:szCs w:val="22"/>
          <w:u w:val="none"/>
        </w:rPr>
        <w:t>l</w:t>
      </w:r>
      <w:r w:rsidRPr="00303C89">
        <w:rPr>
          <w:color w:val="000000"/>
          <w:sz w:val="22"/>
          <w:szCs w:val="22"/>
          <w:u w:val="none"/>
        </w:rPr>
        <w:t>uer appointed by the Council. All costs in connection with the re transfer of the PROPERTY into the name of the COUNCIL, shall be borne by the PURCHASER”.</w:t>
      </w:r>
    </w:p>
    <w:p w:rsidR="006046A3" w:rsidRPr="006046A3" w:rsidRDefault="006046A3" w:rsidP="00BB65B2">
      <w:pPr>
        <w:pStyle w:val="ListParagraph"/>
        <w:spacing w:line="480" w:lineRule="auto"/>
        <w:ind w:left="567" w:hanging="567"/>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 xml:space="preserve">Clause 8 made provision that, should the purchaser fail to comply with any obligation imposed on the purchaser in terms of this agreement, after having been given </w:t>
      </w:r>
      <w:r w:rsidR="009B35CC">
        <w:rPr>
          <w:color w:val="000000"/>
          <w:u w:val="none"/>
        </w:rPr>
        <w:t>1</w:t>
      </w:r>
      <w:r w:rsidRPr="006046A3">
        <w:rPr>
          <w:color w:val="000000"/>
          <w:u w:val="none"/>
        </w:rPr>
        <w:t>4 (fourteen) days' written notice by the council in the manner prescribed by the agreement, then the council shall have the right, in addition and without prejudice</w:t>
      </w:r>
      <w:r w:rsidR="009B35CC">
        <w:rPr>
          <w:color w:val="000000"/>
          <w:u w:val="none"/>
        </w:rPr>
        <w:t>,</w:t>
      </w:r>
      <w:r w:rsidRPr="006046A3">
        <w:rPr>
          <w:color w:val="000000"/>
          <w:u w:val="none"/>
        </w:rPr>
        <w:t xml:space="preserve"> to </w:t>
      </w:r>
      <w:r w:rsidR="003D4436">
        <w:rPr>
          <w:color w:val="000000"/>
          <w:u w:val="none"/>
        </w:rPr>
        <w:t xml:space="preserve">use </w:t>
      </w:r>
      <w:r w:rsidRPr="006046A3">
        <w:rPr>
          <w:color w:val="000000"/>
          <w:u w:val="none"/>
        </w:rPr>
        <w:t xml:space="preserve">any other remedies available </w:t>
      </w:r>
      <w:r w:rsidR="009B35CC">
        <w:rPr>
          <w:color w:val="000000"/>
          <w:u w:val="none"/>
        </w:rPr>
        <w:t>in</w:t>
      </w:r>
      <w:r w:rsidR="009B35CC" w:rsidRPr="006046A3">
        <w:rPr>
          <w:color w:val="000000"/>
          <w:u w:val="none"/>
        </w:rPr>
        <w:t xml:space="preserve"> </w:t>
      </w:r>
      <w:r w:rsidRPr="006046A3">
        <w:rPr>
          <w:color w:val="000000"/>
          <w:u w:val="none"/>
        </w:rPr>
        <w:t>law to terminate the agreement and withdraw from it; to cancel the agreement and claim and recover such damages; or to claim specific performance.</w:t>
      </w:r>
    </w:p>
    <w:p w:rsidR="006046A3" w:rsidRPr="006046A3" w:rsidRDefault="006046A3" w:rsidP="00BB65B2">
      <w:pPr>
        <w:pStyle w:val="ListParagraph"/>
        <w:ind w:left="567" w:hanging="567"/>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On 30 June 2015, pursuant to having instituted eviction proceedings against the tenants on the property</w:t>
      </w:r>
      <w:r w:rsidR="005975C2">
        <w:rPr>
          <w:color w:val="000000"/>
          <w:u w:val="none"/>
        </w:rPr>
        <w:t>,</w:t>
      </w:r>
      <w:r w:rsidRPr="006046A3">
        <w:rPr>
          <w:color w:val="000000"/>
          <w:u w:val="none"/>
        </w:rPr>
        <w:t xml:space="preserve"> the appellants’ attorneys addressed a letter including a notice pursuant to clause 8 of the sale agreement to the first respondent. The </w:t>
      </w:r>
      <w:r w:rsidRPr="006046A3">
        <w:rPr>
          <w:color w:val="000000"/>
          <w:u w:val="none"/>
        </w:rPr>
        <w:lastRenderedPageBreak/>
        <w:t>letter pointed out that the deceased had</w:t>
      </w:r>
      <w:r w:rsidR="005975C2">
        <w:rPr>
          <w:color w:val="000000"/>
          <w:u w:val="none"/>
        </w:rPr>
        <w:t>,</w:t>
      </w:r>
      <w:r w:rsidRPr="006046A3">
        <w:rPr>
          <w:color w:val="000000"/>
          <w:u w:val="none"/>
        </w:rPr>
        <w:t xml:space="preserve"> during his lifetime</w:t>
      </w:r>
      <w:r w:rsidR="005975C2">
        <w:rPr>
          <w:color w:val="000000"/>
          <w:u w:val="none"/>
        </w:rPr>
        <w:t>,</w:t>
      </w:r>
      <w:r w:rsidRPr="006046A3">
        <w:rPr>
          <w:color w:val="000000"/>
          <w:u w:val="none"/>
        </w:rPr>
        <w:t xml:space="preserve"> breached clause 7.1 of the agreement, which required the deceased to erect buildings on the property. The letter called upon the firs</w:t>
      </w:r>
      <w:r w:rsidR="005975C2">
        <w:rPr>
          <w:color w:val="000000"/>
          <w:u w:val="none"/>
        </w:rPr>
        <w:t>t</w:t>
      </w:r>
      <w:r w:rsidRPr="006046A3">
        <w:rPr>
          <w:color w:val="000000"/>
          <w:u w:val="none"/>
        </w:rPr>
        <w:t xml:space="preserve"> respondent to remedy the breach within fourteen days of the date of service of the letter.</w:t>
      </w:r>
    </w:p>
    <w:p w:rsidR="005975C2" w:rsidRPr="006046A3" w:rsidRDefault="005975C2" w:rsidP="00303C89">
      <w:pPr>
        <w:pStyle w:val="ListParagraph"/>
        <w:spacing w:line="480" w:lineRule="auto"/>
        <w:ind w:left="0"/>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first respondent</w:t>
      </w:r>
      <w:r w:rsidR="005975C2">
        <w:rPr>
          <w:color w:val="000000"/>
          <w:u w:val="none"/>
        </w:rPr>
        <w:t>,</w:t>
      </w:r>
      <w:r w:rsidRPr="006046A3">
        <w:rPr>
          <w:color w:val="000000"/>
          <w:u w:val="none"/>
        </w:rPr>
        <w:t xml:space="preserve"> on 17 July 2015, through its attorneys addressed a letter to the City’s attorneys’ denying that there had been a breach of the agreement by the deceased. The letter pointed out that it was the appellants who had breached the agreement in that they had failed</w:t>
      </w:r>
      <w:r w:rsidR="005975C2">
        <w:rPr>
          <w:color w:val="000000"/>
          <w:u w:val="none"/>
        </w:rPr>
        <w:t>,</w:t>
      </w:r>
      <w:r w:rsidRPr="006046A3">
        <w:rPr>
          <w:color w:val="000000"/>
          <w:u w:val="none"/>
        </w:rPr>
        <w:t xml:space="preserve"> within a reasonable time</w:t>
      </w:r>
      <w:r w:rsidR="005975C2">
        <w:rPr>
          <w:color w:val="000000"/>
          <w:u w:val="none"/>
        </w:rPr>
        <w:t>,</w:t>
      </w:r>
      <w:r w:rsidRPr="006046A3">
        <w:rPr>
          <w:color w:val="000000"/>
          <w:u w:val="none"/>
        </w:rPr>
        <w:t xml:space="preserve"> to transfer ownership of the property to the deceased estate. The letter also pointed out that the prior approval of the local authority was required before any building construction could commence </w:t>
      </w:r>
      <w:r w:rsidR="005975C2">
        <w:rPr>
          <w:color w:val="000000"/>
          <w:u w:val="none"/>
        </w:rPr>
        <w:t>an</w:t>
      </w:r>
      <w:r w:rsidRPr="006046A3">
        <w:rPr>
          <w:color w:val="000000"/>
          <w:u w:val="none"/>
        </w:rPr>
        <w:t>d that building plans had to be submitted for approval to the local authority by the registered owner of the property together with the title deed and if no title deed was available, proof that transfer of the property had commenced.</w:t>
      </w:r>
    </w:p>
    <w:p w:rsidR="006046A3" w:rsidRPr="006046A3" w:rsidRDefault="006046A3" w:rsidP="00BB65B2">
      <w:pPr>
        <w:pStyle w:val="ListParagraph"/>
        <w:spacing w:line="480" w:lineRule="auto"/>
        <w:ind w:left="567" w:hanging="567"/>
        <w:jc w:val="both"/>
        <w:rPr>
          <w:color w:val="000000"/>
          <w:u w:val="none"/>
        </w:rPr>
      </w:pPr>
    </w:p>
    <w:p w:rsidR="0053361D"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appellants refused to transfer the property to the deceased estate and purported to cancel the agreement in terms of a letter dated 6 August 2015. The letter pointed out that:</w:t>
      </w:r>
    </w:p>
    <w:p w:rsidR="0027475E" w:rsidRPr="00303C89" w:rsidRDefault="0027475E" w:rsidP="00303C89">
      <w:pPr>
        <w:pStyle w:val="ListParagraph"/>
        <w:spacing w:line="480" w:lineRule="auto"/>
        <w:ind w:left="567"/>
        <w:jc w:val="both"/>
        <w:rPr>
          <w:color w:val="000000"/>
          <w:sz w:val="22"/>
          <w:szCs w:val="22"/>
          <w:u w:val="none"/>
        </w:rPr>
      </w:pPr>
      <w:r w:rsidRPr="00303C89">
        <w:rPr>
          <w:color w:val="000000"/>
          <w:sz w:val="22"/>
          <w:szCs w:val="22"/>
          <w:u w:val="none"/>
        </w:rPr>
        <w:t xml:space="preserve">“Clause 7.1 of the agreement … was and is totally unrelated to the transfer of ownership of the property </w:t>
      </w:r>
      <w:r w:rsidR="0053361D">
        <w:rPr>
          <w:color w:val="000000"/>
          <w:sz w:val="22"/>
          <w:szCs w:val="22"/>
          <w:u w:val="none"/>
        </w:rPr>
        <w:t>i</w:t>
      </w:r>
      <w:r w:rsidRPr="00303C89">
        <w:rPr>
          <w:color w:val="000000"/>
          <w:sz w:val="22"/>
          <w:szCs w:val="22"/>
          <w:u w:val="none"/>
        </w:rPr>
        <w:t>n question …. Furthermore, that, the deceased and/or his estate and/or an executor of the estate and/or anybody else on their behalf never took any steps to have the property transferred or to comply with the provisions of clause 7.2 of the contract”.</w:t>
      </w:r>
    </w:p>
    <w:p w:rsidR="006046A3" w:rsidRPr="006046A3" w:rsidRDefault="006046A3" w:rsidP="00BB65B2">
      <w:pPr>
        <w:pStyle w:val="ListParagraph"/>
        <w:ind w:left="567" w:hanging="567"/>
        <w:rPr>
          <w:color w:val="000000"/>
          <w:u w:val="none"/>
        </w:rPr>
      </w:pPr>
    </w:p>
    <w:p w:rsidR="0027475E" w:rsidRPr="00303C89" w:rsidRDefault="0027475E" w:rsidP="00303C89">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letter of 6 August 2015 went on to point out that</w:t>
      </w:r>
      <w:r w:rsidR="0053361D">
        <w:rPr>
          <w:color w:val="000000"/>
          <w:u w:val="none"/>
        </w:rPr>
        <w:t xml:space="preserve">, </w:t>
      </w:r>
      <w:r w:rsidRPr="00303C89">
        <w:rPr>
          <w:color w:val="000000"/>
          <w:u w:val="none"/>
        </w:rPr>
        <w:t>“</w:t>
      </w:r>
      <w:r w:rsidR="0053361D">
        <w:rPr>
          <w:color w:val="000000"/>
          <w:u w:val="none"/>
        </w:rPr>
        <w:t>[t]</w:t>
      </w:r>
      <w:r w:rsidRPr="00303C89">
        <w:rPr>
          <w:color w:val="000000"/>
          <w:u w:val="none"/>
        </w:rPr>
        <w:t xml:space="preserve">he National Building Regulations Act 103 of 1977, the regulations promulgated thereunder or any </w:t>
      </w:r>
      <w:r w:rsidRPr="00303C89">
        <w:rPr>
          <w:color w:val="000000"/>
          <w:u w:val="none"/>
        </w:rPr>
        <w:lastRenderedPageBreak/>
        <w:t>practice did not and does not require the passing of ownership prior to the submission of any plans before the commencement of the building operations envisaged in clause 7.1 of the contract</w:t>
      </w:r>
      <w:r w:rsidRPr="0053361D">
        <w:rPr>
          <w:color w:val="000000"/>
          <w:u w:val="none"/>
        </w:rPr>
        <w:t>”.</w:t>
      </w:r>
      <w:r w:rsidRPr="00303C89">
        <w:rPr>
          <w:color w:val="000000"/>
          <w:u w:val="none"/>
        </w:rPr>
        <w:t xml:space="preserve"> In addition, no attempts were made</w:t>
      </w:r>
      <w:r w:rsidR="0034037E">
        <w:rPr>
          <w:color w:val="000000"/>
        </w:rPr>
        <w:t xml:space="preserve"> </w:t>
      </w:r>
      <w:r w:rsidRPr="00303C89">
        <w:rPr>
          <w:color w:val="000000"/>
          <w:u w:val="none"/>
        </w:rPr>
        <w:t xml:space="preserve">to have the property registered nor were any building plans submitted or any steps </w:t>
      </w:r>
      <w:r w:rsidR="0034037E">
        <w:rPr>
          <w:color w:val="000000"/>
          <w:u w:val="none"/>
        </w:rPr>
        <w:t xml:space="preserve">taken </w:t>
      </w:r>
      <w:r w:rsidRPr="00303C89">
        <w:rPr>
          <w:color w:val="000000"/>
          <w:u w:val="none"/>
        </w:rPr>
        <w:t>whatsoever so as to comply with the Act. The appellants further tendered t</w:t>
      </w:r>
      <w:r w:rsidR="0034037E">
        <w:rPr>
          <w:color w:val="000000"/>
          <w:u w:val="none"/>
        </w:rPr>
        <w:t>o</w:t>
      </w:r>
      <w:r w:rsidRPr="00303C89">
        <w:rPr>
          <w:color w:val="000000"/>
          <w:u w:val="none"/>
        </w:rPr>
        <w:t xml:space="preserve"> refund the purchase price of R108 000.00 to the deceased estate. As a result of the alleged breach of clause 7.1 of the contract which the respondents failed to remedy despite due notice in terms of clause 8 of the contract, the appellants terminated the contract and withdrew from it in terms of clause 8.1 thereof.</w:t>
      </w:r>
    </w:p>
    <w:p w:rsidR="006046A3" w:rsidRPr="006046A3" w:rsidRDefault="006046A3" w:rsidP="00BB65B2">
      <w:pPr>
        <w:pStyle w:val="ListParagraph"/>
        <w:spacing w:line="480" w:lineRule="auto"/>
        <w:ind w:left="567" w:hanging="567"/>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 xml:space="preserve">The first respondent’s attorneys addressed further correspondence to the appellants’ attorneys rejecting the validity of the purported cancellation of the agreement in a letter dated 2 September 2015, further persisting with the claim for transfer of the property to the deceased’s estate. The developments led to the applications before the court </w:t>
      </w:r>
      <w:r w:rsidRPr="00303C89">
        <w:rPr>
          <w:i/>
          <w:color w:val="000000"/>
          <w:u w:val="none"/>
        </w:rPr>
        <w:t>a</w:t>
      </w:r>
      <w:r w:rsidR="0053361D" w:rsidRPr="00303C89">
        <w:rPr>
          <w:i/>
          <w:color w:val="000000"/>
          <w:u w:val="none"/>
        </w:rPr>
        <w:t xml:space="preserve"> </w:t>
      </w:r>
      <w:r w:rsidRPr="00303C89">
        <w:rPr>
          <w:i/>
          <w:color w:val="000000"/>
          <w:u w:val="none"/>
        </w:rPr>
        <w:t>quo</w:t>
      </w:r>
      <w:r w:rsidRPr="006046A3">
        <w:rPr>
          <w:color w:val="000000"/>
          <w:u w:val="none"/>
        </w:rPr>
        <w:t xml:space="preserve">. The first respondent sought to enforce a contractual obligation to transfer the property into the estate. The City resisted this, on the basis that it </w:t>
      </w:r>
      <w:r w:rsidR="0034037E">
        <w:rPr>
          <w:color w:val="000000"/>
          <w:u w:val="none"/>
        </w:rPr>
        <w:t xml:space="preserve">had </w:t>
      </w:r>
      <w:r w:rsidRPr="006046A3">
        <w:rPr>
          <w:color w:val="000000"/>
          <w:u w:val="none"/>
        </w:rPr>
        <w:t>validly cancelled the agreement.</w:t>
      </w:r>
    </w:p>
    <w:p w:rsidR="006046A3" w:rsidRPr="006046A3" w:rsidRDefault="006046A3" w:rsidP="00BB65B2">
      <w:pPr>
        <w:pStyle w:val="ListParagraph"/>
        <w:ind w:left="567" w:hanging="567"/>
        <w:rPr>
          <w:color w:val="000000"/>
          <w:u w:val="none"/>
        </w:rPr>
      </w:pPr>
    </w:p>
    <w:p w:rsidR="0027475E" w:rsidRPr="006046A3"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 xml:space="preserve">The first respondent contended before the court </w:t>
      </w:r>
      <w:r w:rsidRPr="005940CA">
        <w:rPr>
          <w:color w:val="000000"/>
          <w:u w:val="none"/>
        </w:rPr>
        <w:t>below</w:t>
      </w:r>
      <w:r w:rsidRPr="006046A3">
        <w:rPr>
          <w:color w:val="000000"/>
          <w:u w:val="none"/>
        </w:rPr>
        <w:t xml:space="preserve"> and in this appeal that as the deceased had paid the purchase price at the </w:t>
      </w:r>
      <w:r w:rsidR="0019712D">
        <w:rPr>
          <w:color w:val="000000"/>
          <w:u w:val="none"/>
        </w:rPr>
        <w:t>time of conclusion of the agreem</w:t>
      </w:r>
      <w:r w:rsidRPr="006046A3">
        <w:rPr>
          <w:color w:val="000000"/>
          <w:u w:val="none"/>
        </w:rPr>
        <w:t>ent, an obligation arose on the part of the appellants to transfer the property to the deceased. ln respect of the parties’ reciprocal duties, the court</w:t>
      </w:r>
      <w:r w:rsidR="00B83A90">
        <w:rPr>
          <w:color w:val="000000"/>
          <w:u w:val="none"/>
        </w:rPr>
        <w:t> </w:t>
      </w:r>
      <w:r w:rsidRPr="00303C89">
        <w:rPr>
          <w:i/>
          <w:color w:val="000000"/>
          <w:u w:val="none"/>
        </w:rPr>
        <w:t>a</w:t>
      </w:r>
      <w:r w:rsidR="00B83A90" w:rsidRPr="00303C89">
        <w:rPr>
          <w:i/>
          <w:color w:val="000000"/>
          <w:u w:val="none"/>
        </w:rPr>
        <w:t> </w:t>
      </w:r>
      <w:r w:rsidRPr="00303C89">
        <w:rPr>
          <w:i/>
          <w:color w:val="000000"/>
          <w:u w:val="none"/>
        </w:rPr>
        <w:t>quo</w:t>
      </w:r>
      <w:r w:rsidRPr="006046A3">
        <w:rPr>
          <w:color w:val="000000"/>
          <w:u w:val="none"/>
        </w:rPr>
        <w:t xml:space="preserve"> </w:t>
      </w:r>
      <w:r w:rsidR="00B83A90">
        <w:rPr>
          <w:color w:val="000000"/>
          <w:u w:val="none"/>
        </w:rPr>
        <w:t xml:space="preserve">and this court was </w:t>
      </w:r>
      <w:r w:rsidRPr="006046A3">
        <w:rPr>
          <w:color w:val="000000"/>
          <w:u w:val="none"/>
        </w:rPr>
        <w:t xml:space="preserve">referred to the case of </w:t>
      </w:r>
      <w:r w:rsidRPr="00303C89">
        <w:rPr>
          <w:i/>
          <w:color w:val="000000"/>
          <w:u w:val="none"/>
        </w:rPr>
        <w:t>Botha v Rich NO</w:t>
      </w:r>
      <w:r w:rsidR="00487279">
        <w:rPr>
          <w:rStyle w:val="FootnoteReference"/>
          <w:color w:val="000000"/>
          <w:u w:val="none"/>
        </w:rPr>
        <w:footnoteReference w:id="1"/>
      </w:r>
      <w:r w:rsidRPr="006046A3">
        <w:rPr>
          <w:color w:val="000000"/>
          <w:u w:val="none"/>
        </w:rPr>
        <w:t xml:space="preserve"> wherein the Constitutional Court stated that:</w:t>
      </w:r>
    </w:p>
    <w:p w:rsidR="0027475E" w:rsidRPr="00303C89" w:rsidRDefault="0027475E" w:rsidP="00303C89">
      <w:pPr>
        <w:pStyle w:val="ListParagraph"/>
        <w:spacing w:line="480" w:lineRule="auto"/>
        <w:ind w:left="567"/>
        <w:jc w:val="both"/>
        <w:rPr>
          <w:color w:val="000000"/>
          <w:sz w:val="22"/>
          <w:szCs w:val="22"/>
          <w:u w:val="none"/>
        </w:rPr>
      </w:pPr>
      <w:r w:rsidRPr="00303C89">
        <w:rPr>
          <w:color w:val="000000"/>
          <w:sz w:val="22"/>
          <w:szCs w:val="22"/>
          <w:u w:val="none"/>
        </w:rPr>
        <w:lastRenderedPageBreak/>
        <w:t>"</w:t>
      </w:r>
      <w:r w:rsidR="002F776B" w:rsidRPr="00303C89">
        <w:rPr>
          <w:color w:val="000000"/>
          <w:sz w:val="22"/>
          <w:szCs w:val="22"/>
          <w:u w:val="none"/>
        </w:rPr>
        <w:t xml:space="preserve">… </w:t>
      </w:r>
      <w:r w:rsidRPr="00303C89">
        <w:rPr>
          <w:color w:val="000000"/>
          <w:sz w:val="22"/>
          <w:szCs w:val="22"/>
          <w:u w:val="none"/>
        </w:rPr>
        <w:t xml:space="preserve">It </w:t>
      </w:r>
      <w:r w:rsidR="002F776B" w:rsidRPr="00303C89">
        <w:rPr>
          <w:color w:val="000000"/>
          <w:sz w:val="22"/>
          <w:szCs w:val="22"/>
          <w:u w:val="none"/>
        </w:rPr>
        <w:t>i</w:t>
      </w:r>
      <w:r w:rsidRPr="00303C89">
        <w:rPr>
          <w:color w:val="000000"/>
          <w:sz w:val="22"/>
          <w:szCs w:val="22"/>
          <w:u w:val="none"/>
        </w:rPr>
        <w:t xml:space="preserve">s an accepted principle of our law that where a contract creates reciprocal obligations, own performance or </w:t>
      </w:r>
      <w:r w:rsidR="002F776B" w:rsidRPr="00303C89">
        <w:rPr>
          <w:color w:val="000000"/>
          <w:sz w:val="22"/>
          <w:szCs w:val="22"/>
          <w:u w:val="none"/>
        </w:rPr>
        <w:t>t</w:t>
      </w:r>
      <w:r w:rsidRPr="00303C89">
        <w:rPr>
          <w:color w:val="000000"/>
          <w:sz w:val="22"/>
          <w:szCs w:val="22"/>
          <w:u w:val="none"/>
        </w:rPr>
        <w:t xml:space="preserve">ender of own perfonnance by </w:t>
      </w:r>
      <w:r w:rsidR="002F776B" w:rsidRPr="00303C89">
        <w:rPr>
          <w:color w:val="000000"/>
          <w:sz w:val="22"/>
          <w:szCs w:val="22"/>
          <w:u w:val="none"/>
        </w:rPr>
        <w:t xml:space="preserve">a </w:t>
      </w:r>
      <w:r w:rsidRPr="00303C89">
        <w:rPr>
          <w:color w:val="000000"/>
          <w:sz w:val="22"/>
          <w:szCs w:val="22"/>
          <w:u w:val="none"/>
        </w:rPr>
        <w:t xml:space="preserve">claimant </w:t>
      </w:r>
      <w:r w:rsidR="002F776B" w:rsidRPr="00303C89">
        <w:rPr>
          <w:color w:val="000000"/>
          <w:sz w:val="22"/>
          <w:szCs w:val="22"/>
          <w:u w:val="none"/>
        </w:rPr>
        <w:t>i</w:t>
      </w:r>
      <w:r w:rsidRPr="00303C89">
        <w:rPr>
          <w:color w:val="000000"/>
          <w:sz w:val="22"/>
          <w:szCs w:val="22"/>
          <w:u w:val="none"/>
        </w:rPr>
        <w:t xml:space="preserve">s a requirement for the enforceability of her claim for counter performance. This </w:t>
      </w:r>
      <w:r w:rsidR="002F776B" w:rsidRPr="00303C89">
        <w:rPr>
          <w:color w:val="000000"/>
          <w:sz w:val="22"/>
          <w:szCs w:val="22"/>
          <w:u w:val="none"/>
        </w:rPr>
        <w:t>i</w:t>
      </w:r>
      <w:r w:rsidRPr="00303C89">
        <w:rPr>
          <w:color w:val="000000"/>
          <w:sz w:val="22"/>
          <w:szCs w:val="22"/>
          <w:u w:val="none"/>
        </w:rPr>
        <w:t xml:space="preserve">s an </w:t>
      </w:r>
      <w:r w:rsidR="002F776B" w:rsidRPr="00303C89">
        <w:rPr>
          <w:color w:val="000000"/>
          <w:sz w:val="22"/>
          <w:szCs w:val="22"/>
          <w:u w:val="none"/>
        </w:rPr>
        <w:t>i</w:t>
      </w:r>
      <w:r w:rsidRPr="00303C89">
        <w:rPr>
          <w:color w:val="000000"/>
          <w:sz w:val="22"/>
          <w:szCs w:val="22"/>
          <w:u w:val="none"/>
        </w:rPr>
        <w:t xml:space="preserve">nstance of the principle of reciprocity … </w:t>
      </w:r>
      <w:r w:rsidR="002F776B" w:rsidRPr="00303C89">
        <w:rPr>
          <w:color w:val="000000"/>
          <w:sz w:val="22"/>
          <w:szCs w:val="22"/>
          <w:u w:val="none"/>
        </w:rPr>
        <w:t xml:space="preserve">. </w:t>
      </w:r>
      <w:r w:rsidRPr="00303C89">
        <w:rPr>
          <w:color w:val="000000"/>
          <w:sz w:val="22"/>
          <w:szCs w:val="22"/>
          <w:u w:val="none"/>
        </w:rPr>
        <w:t xml:space="preserve">For the principle </w:t>
      </w:r>
      <w:r w:rsidR="002F776B" w:rsidRPr="00303C89">
        <w:rPr>
          <w:color w:val="000000"/>
          <w:sz w:val="22"/>
          <w:szCs w:val="22"/>
          <w:u w:val="none"/>
        </w:rPr>
        <w:t>t</w:t>
      </w:r>
      <w:r w:rsidRPr="00303C89">
        <w:rPr>
          <w:color w:val="000000"/>
          <w:sz w:val="22"/>
          <w:szCs w:val="22"/>
          <w:u w:val="none"/>
        </w:rPr>
        <w:t>o operate the obligations of the parties must be reciprocal in the sense that performance of the one cannot be</w:t>
      </w:r>
      <w:r w:rsidR="006046A3" w:rsidRPr="00303C89">
        <w:rPr>
          <w:color w:val="000000"/>
          <w:sz w:val="22"/>
          <w:szCs w:val="22"/>
          <w:u w:val="none"/>
        </w:rPr>
        <w:t xml:space="preserve"> enforced without performance</w:t>
      </w:r>
      <w:r w:rsidRPr="00303C89">
        <w:rPr>
          <w:color w:val="000000"/>
          <w:sz w:val="22"/>
          <w:szCs w:val="22"/>
          <w:u w:val="none"/>
        </w:rPr>
        <w:t xml:space="preserve"> of the other."</w:t>
      </w:r>
    </w:p>
    <w:p w:rsidR="006046A3" w:rsidRPr="006046A3" w:rsidRDefault="006046A3" w:rsidP="00BB65B2">
      <w:pPr>
        <w:pStyle w:val="ListParagraph"/>
        <w:spacing w:line="480" w:lineRule="auto"/>
        <w:ind w:left="567" w:hanging="567"/>
        <w:jc w:val="both"/>
        <w:rPr>
          <w:color w:val="000000"/>
          <w:u w:val="none"/>
        </w:rPr>
      </w:pPr>
    </w:p>
    <w:p w:rsidR="0027475E" w:rsidRPr="002F776B"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 xml:space="preserve">The court </w:t>
      </w:r>
      <w:r w:rsidRPr="00303C89">
        <w:rPr>
          <w:i/>
          <w:color w:val="000000"/>
          <w:u w:val="none"/>
        </w:rPr>
        <w:t>a</w:t>
      </w:r>
      <w:r w:rsidR="00B83A90" w:rsidRPr="00303C89">
        <w:rPr>
          <w:i/>
          <w:color w:val="000000"/>
          <w:u w:val="none"/>
        </w:rPr>
        <w:t xml:space="preserve"> </w:t>
      </w:r>
      <w:r w:rsidRPr="00303C89">
        <w:rPr>
          <w:i/>
          <w:color w:val="000000"/>
          <w:u w:val="none"/>
        </w:rPr>
        <w:t>quo</w:t>
      </w:r>
      <w:r w:rsidRPr="006046A3">
        <w:rPr>
          <w:color w:val="000000"/>
          <w:u w:val="none"/>
        </w:rPr>
        <w:t xml:space="preserve"> reasoned in its conclusion for the transfer order that </w:t>
      </w:r>
      <w:r w:rsidRPr="00303C89">
        <w:rPr>
          <w:color w:val="000000"/>
          <w:u w:val="none"/>
        </w:rPr>
        <w:t xml:space="preserve">“the agreement </w:t>
      </w:r>
      <w:r w:rsidR="002F776B">
        <w:rPr>
          <w:color w:val="000000"/>
          <w:u w:val="none"/>
        </w:rPr>
        <w:t>i</w:t>
      </w:r>
      <w:r w:rsidRPr="00303C89">
        <w:rPr>
          <w:color w:val="000000"/>
          <w:u w:val="none"/>
        </w:rPr>
        <w:t xml:space="preserve">n my view required the council to effect transfer of the property before the building commenced. That </w:t>
      </w:r>
      <w:r w:rsidR="002F776B">
        <w:rPr>
          <w:color w:val="000000"/>
          <w:u w:val="none"/>
        </w:rPr>
        <w:t>i</w:t>
      </w:r>
      <w:r w:rsidRPr="00303C89">
        <w:rPr>
          <w:color w:val="000000"/>
          <w:u w:val="none"/>
        </w:rPr>
        <w:t>s the only way in which the contract makes business sense. The respondents were wrong to ask for specific perfo</w:t>
      </w:r>
      <w:r w:rsidR="002F776B">
        <w:rPr>
          <w:color w:val="000000"/>
          <w:u w:val="none"/>
        </w:rPr>
        <w:t>rm</w:t>
      </w:r>
      <w:r w:rsidRPr="00303C89">
        <w:rPr>
          <w:color w:val="000000"/>
          <w:u w:val="none"/>
        </w:rPr>
        <w:t xml:space="preserve">ance before </w:t>
      </w:r>
      <w:r w:rsidR="002F776B">
        <w:rPr>
          <w:color w:val="000000"/>
          <w:u w:val="none"/>
        </w:rPr>
        <w:t>i</w:t>
      </w:r>
      <w:r w:rsidRPr="00303C89">
        <w:rPr>
          <w:color w:val="000000"/>
          <w:u w:val="none"/>
        </w:rPr>
        <w:t>t had complied with its obligation to transfer the property</w:t>
      </w:r>
      <w:r w:rsidRPr="002F776B">
        <w:rPr>
          <w:color w:val="000000"/>
          <w:u w:val="none"/>
        </w:rPr>
        <w:t>.”</w:t>
      </w:r>
    </w:p>
    <w:p w:rsidR="006046A3" w:rsidRPr="006046A3" w:rsidRDefault="006046A3" w:rsidP="00BB65B2">
      <w:pPr>
        <w:pStyle w:val="ListParagraph"/>
        <w:spacing w:line="480" w:lineRule="auto"/>
        <w:ind w:left="567" w:hanging="567"/>
        <w:jc w:val="both"/>
        <w:rPr>
          <w:color w:val="000000"/>
          <w:u w:val="none"/>
        </w:rPr>
      </w:pPr>
    </w:p>
    <w:p w:rsidR="0027475E" w:rsidRPr="00303C89" w:rsidRDefault="0027475E" w:rsidP="00BB65B2">
      <w:pPr>
        <w:pStyle w:val="ListParagraph"/>
        <w:spacing w:line="480" w:lineRule="auto"/>
        <w:ind w:left="567" w:hanging="567"/>
        <w:jc w:val="both"/>
        <w:rPr>
          <w:b/>
          <w:color w:val="000000"/>
          <w:u w:val="none"/>
        </w:rPr>
      </w:pPr>
      <w:r w:rsidRPr="00303C89">
        <w:rPr>
          <w:b/>
          <w:color w:val="000000"/>
          <w:u w:val="none"/>
        </w:rPr>
        <w:t>The grounds of appeal</w:t>
      </w: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various grounds of appeal raised by the City can be distilled into three contentions</w:t>
      </w:r>
      <w:r w:rsidR="006F1FB9">
        <w:rPr>
          <w:color w:val="000000"/>
          <w:u w:val="none"/>
        </w:rPr>
        <w:t>.</w:t>
      </w:r>
      <w:r w:rsidRPr="006046A3">
        <w:rPr>
          <w:color w:val="000000"/>
          <w:u w:val="none"/>
        </w:rPr>
        <w:t xml:space="preserve"> First, that clause 7.1 of the agreement was engaged upon the signature date, not transfer. Second, that there was no reciprocity between clauses 5 and 7.1; and 7.3</w:t>
      </w:r>
      <w:r w:rsidR="006F1FB9">
        <w:rPr>
          <w:color w:val="000000"/>
          <w:u w:val="none"/>
        </w:rPr>
        <w:t>.</w:t>
      </w:r>
      <w:r w:rsidRPr="006046A3">
        <w:rPr>
          <w:color w:val="000000"/>
          <w:u w:val="none"/>
        </w:rPr>
        <w:t xml:space="preserve"> Third, that the City validly cancelled the agreement.</w:t>
      </w:r>
    </w:p>
    <w:p w:rsidR="006046A3" w:rsidRPr="006046A3" w:rsidRDefault="006046A3" w:rsidP="00BB65B2">
      <w:pPr>
        <w:pStyle w:val="ListParagraph"/>
        <w:spacing w:line="480" w:lineRule="auto"/>
        <w:ind w:left="567" w:hanging="567"/>
        <w:jc w:val="both"/>
        <w:rPr>
          <w:color w:val="000000"/>
          <w:u w:val="none"/>
        </w:rPr>
      </w:pPr>
    </w:p>
    <w:p w:rsidR="0027475E" w:rsidRPr="006046A3"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As regards the principle of reciprocity</w:t>
      </w:r>
      <w:r w:rsidR="006F1FB9">
        <w:rPr>
          <w:color w:val="000000"/>
          <w:u w:val="none"/>
        </w:rPr>
        <w:t>,</w:t>
      </w:r>
      <w:r w:rsidRPr="006046A3">
        <w:rPr>
          <w:color w:val="000000"/>
          <w:u w:val="none"/>
        </w:rPr>
        <w:t xml:space="preserve"> the SCA in </w:t>
      </w:r>
      <w:r w:rsidRPr="00303C89">
        <w:rPr>
          <w:i/>
          <w:color w:val="000000"/>
          <w:u w:val="none"/>
        </w:rPr>
        <w:t>Cradle City (Pty) Ltd v Lindley Farm 528 (Pty) Ltd</w:t>
      </w:r>
      <w:r w:rsidR="006F1FB9">
        <w:rPr>
          <w:color w:val="000000"/>
          <w:u w:val="none"/>
        </w:rPr>
        <w:t>,</w:t>
      </w:r>
      <w:r w:rsidR="00DD48F7">
        <w:rPr>
          <w:rStyle w:val="FootnoteReference"/>
          <w:color w:val="000000"/>
          <w:u w:val="none"/>
        </w:rPr>
        <w:footnoteReference w:id="2"/>
      </w:r>
      <w:r w:rsidRPr="006046A3">
        <w:rPr>
          <w:color w:val="000000"/>
          <w:u w:val="none"/>
        </w:rPr>
        <w:t xml:space="preserve"> which counsel for the appellants also referred to, put it thus:</w:t>
      </w:r>
    </w:p>
    <w:p w:rsidR="0027475E" w:rsidRPr="006F1FB9" w:rsidRDefault="0027475E" w:rsidP="00303C89">
      <w:pPr>
        <w:pStyle w:val="ListParagraph"/>
        <w:spacing w:line="480" w:lineRule="auto"/>
        <w:ind w:left="567"/>
        <w:jc w:val="both"/>
        <w:rPr>
          <w:color w:val="000000"/>
          <w:u w:val="none"/>
        </w:rPr>
      </w:pPr>
      <w:r w:rsidRPr="00303C89">
        <w:rPr>
          <w:color w:val="000000"/>
          <w:sz w:val="22"/>
          <w:szCs w:val="22"/>
          <w:u w:val="none"/>
        </w:rPr>
        <w:t>“</w:t>
      </w:r>
      <w:r w:rsidR="006F1FB9">
        <w:rPr>
          <w:color w:val="000000"/>
          <w:sz w:val="22"/>
          <w:szCs w:val="22"/>
          <w:u w:val="none"/>
        </w:rPr>
        <w:t xml:space="preserve">… . </w:t>
      </w:r>
      <w:r w:rsidRPr="00303C89">
        <w:rPr>
          <w:color w:val="000000"/>
          <w:sz w:val="22"/>
          <w:szCs w:val="22"/>
          <w:u w:val="none"/>
        </w:rPr>
        <w:t>The principle of reciprocity (</w:t>
      </w:r>
      <w:r w:rsidRPr="00303C89">
        <w:rPr>
          <w:i/>
          <w:color w:val="000000"/>
          <w:sz w:val="22"/>
          <w:szCs w:val="22"/>
          <w:u w:val="none"/>
        </w:rPr>
        <w:t>exceptio non adimpleti contractus</w:t>
      </w:r>
      <w:r w:rsidRPr="00303C89">
        <w:rPr>
          <w:color w:val="000000"/>
          <w:sz w:val="22"/>
          <w:szCs w:val="22"/>
          <w:u w:val="none"/>
        </w:rPr>
        <w:t xml:space="preserve">) recognises the fact that, in many contracts, the common intention of the parties, expressed or unexpressed, is that there should be an exchange of performance. Whether there is such an intention must often be determined by an interpretation of the contract (see Van der Merwe et </w:t>
      </w:r>
      <w:r w:rsidRPr="00303C89">
        <w:rPr>
          <w:color w:val="000000"/>
          <w:sz w:val="22"/>
          <w:szCs w:val="22"/>
          <w:u w:val="none"/>
        </w:rPr>
        <w:lastRenderedPageBreak/>
        <w:t>al </w:t>
      </w:r>
      <w:r w:rsidRPr="00303C89">
        <w:rPr>
          <w:i/>
          <w:color w:val="000000"/>
          <w:sz w:val="22"/>
          <w:szCs w:val="22"/>
          <w:u w:val="none"/>
        </w:rPr>
        <w:t>Contract: General Principles</w:t>
      </w:r>
      <w:r w:rsidRPr="00303C89">
        <w:rPr>
          <w:color w:val="000000"/>
          <w:sz w:val="22"/>
          <w:szCs w:val="22"/>
          <w:u w:val="none"/>
        </w:rPr>
        <w:t> 5 ed (2015) at 335 and the references therein). In fact, there is a presumption that interdependent promises are reciprocal unless there is evidence to the contrary (</w:t>
      </w:r>
      <w:r w:rsidRPr="00303C89">
        <w:rPr>
          <w:i/>
          <w:color w:val="000000"/>
          <w:sz w:val="22"/>
          <w:szCs w:val="22"/>
          <w:u w:val="none"/>
        </w:rPr>
        <w:t>Contract: General Principles supra</w:t>
      </w:r>
      <w:r w:rsidRPr="00303C89">
        <w:rPr>
          <w:color w:val="000000"/>
          <w:sz w:val="22"/>
          <w:szCs w:val="22"/>
          <w:u w:val="none"/>
        </w:rPr>
        <w:t>). The common intention is that neither should be entitled to enforce the contract unless he/she has performed or is ready to perform his/her own obligations</w:t>
      </w:r>
      <w:r w:rsidR="006F1FB9" w:rsidRPr="00303C89">
        <w:rPr>
          <w:color w:val="000000"/>
          <w:sz w:val="22"/>
          <w:szCs w:val="22"/>
          <w:u w:val="none"/>
        </w:rPr>
        <w:t xml:space="preserve">… </w:t>
      </w:r>
      <w:r w:rsidRPr="00303C89">
        <w:rPr>
          <w:color w:val="000000"/>
          <w:sz w:val="22"/>
          <w:szCs w:val="22"/>
          <w:u w:val="none"/>
        </w:rPr>
        <w:t>”.</w:t>
      </w:r>
    </w:p>
    <w:p w:rsidR="006046A3" w:rsidRPr="006046A3" w:rsidRDefault="006046A3" w:rsidP="00BB65B2">
      <w:pPr>
        <w:pStyle w:val="ListParagraph"/>
        <w:spacing w:line="480" w:lineRule="auto"/>
        <w:ind w:left="567" w:hanging="567"/>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But</w:t>
      </w:r>
      <w:r w:rsidR="000D4137">
        <w:rPr>
          <w:color w:val="000000"/>
          <w:u w:val="none"/>
        </w:rPr>
        <w:t>,</w:t>
      </w:r>
      <w:r w:rsidRPr="006046A3">
        <w:rPr>
          <w:color w:val="000000"/>
          <w:u w:val="none"/>
        </w:rPr>
        <w:t xml:space="preserve"> as counsel for the respondents was constrained to concede during argument before us, </w:t>
      </w:r>
      <w:r w:rsidRPr="00303C89">
        <w:rPr>
          <w:i/>
          <w:color w:val="000000"/>
          <w:u w:val="none"/>
        </w:rPr>
        <w:t>Botha</w:t>
      </w:r>
      <w:r w:rsidR="00001406">
        <w:rPr>
          <w:color w:val="000000"/>
          <w:u w:val="none"/>
        </w:rPr>
        <w:t>,</w:t>
      </w:r>
      <w:r w:rsidR="00DD48F7">
        <w:rPr>
          <w:rStyle w:val="FootnoteReference"/>
          <w:color w:val="000000"/>
          <w:u w:val="none"/>
        </w:rPr>
        <w:footnoteReference w:id="3"/>
      </w:r>
      <w:r w:rsidR="00DD48F7">
        <w:rPr>
          <w:color w:val="000000"/>
          <w:u w:val="none"/>
        </w:rPr>
        <w:t xml:space="preserve"> </w:t>
      </w:r>
      <w:r w:rsidR="0034037E">
        <w:rPr>
          <w:color w:val="000000"/>
          <w:u w:val="none"/>
        </w:rPr>
        <w:t xml:space="preserve">on </w:t>
      </w:r>
      <w:r w:rsidRPr="006046A3">
        <w:rPr>
          <w:color w:val="000000"/>
          <w:u w:val="none"/>
        </w:rPr>
        <w:t>which the court placed heavy reliance, is distinguishable on the facts from the facts of this matter. In that case, Botha had concluded an instalment sale agreement to buy immovable property </w:t>
      </w:r>
      <w:r w:rsidRPr="006046A3">
        <w:rPr>
          <w:u w:val="none"/>
        </w:rPr>
        <w:t>from</w:t>
      </w:r>
      <w:r w:rsidRPr="006046A3">
        <w:rPr>
          <w:color w:val="000000"/>
          <w:u w:val="none"/>
        </w:rPr>
        <w:t xml:space="preserve"> a trust. A cancellation clause stated that breach by Botha would entitle the trust to cancel the agreement and retain all payments made.</w:t>
      </w:r>
    </w:p>
    <w:p w:rsidR="006046A3" w:rsidRPr="006046A3" w:rsidRDefault="006046A3" w:rsidP="00BB65B2">
      <w:pPr>
        <w:pStyle w:val="ListParagraph"/>
        <w:spacing w:line="480" w:lineRule="auto"/>
        <w:ind w:left="567" w:hanging="567"/>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When Botha, having paid three-quarters of the purchase price, began to default on the instalments, the trust successfully sued for cancellation and eviction. Botha, citing s 27(1) the Alienation of Land Act</w:t>
      </w:r>
      <w:r w:rsidR="00001406">
        <w:rPr>
          <w:color w:val="000000"/>
          <w:u w:val="none"/>
        </w:rPr>
        <w:t xml:space="preserve"> </w:t>
      </w:r>
      <w:r w:rsidR="00001406" w:rsidRPr="006046A3">
        <w:rPr>
          <w:color w:val="000000"/>
          <w:u w:val="none"/>
        </w:rPr>
        <w:t>(</w:t>
      </w:r>
      <w:r w:rsidR="00001406">
        <w:rPr>
          <w:color w:val="000000"/>
          <w:u w:val="none"/>
        </w:rPr>
        <w:t>“</w:t>
      </w:r>
      <w:r w:rsidR="00001406" w:rsidRPr="006046A3">
        <w:rPr>
          <w:color w:val="000000"/>
          <w:u w:val="none"/>
        </w:rPr>
        <w:t>the Act”),</w:t>
      </w:r>
      <w:r w:rsidR="00DD48F7">
        <w:rPr>
          <w:rStyle w:val="FootnoteReference"/>
          <w:color w:val="000000"/>
          <w:u w:val="none"/>
        </w:rPr>
        <w:footnoteReference w:id="4"/>
      </w:r>
      <w:r w:rsidRPr="006046A3">
        <w:rPr>
          <w:color w:val="000000"/>
          <w:u w:val="none"/>
        </w:rPr>
        <w:t xml:space="preserve"> demanded the transfer of the property into her name. The Constitutional Court held in Botha</w:t>
      </w:r>
      <w:r w:rsidR="00001406">
        <w:rPr>
          <w:color w:val="000000"/>
          <w:u w:val="none"/>
        </w:rPr>
        <w:t>,</w:t>
      </w:r>
      <w:r w:rsidR="00DD48F7">
        <w:rPr>
          <w:rStyle w:val="FootnoteReference"/>
          <w:color w:val="000000"/>
          <w:u w:val="none"/>
        </w:rPr>
        <w:footnoteReference w:id="5"/>
      </w:r>
      <w:r w:rsidRPr="006046A3">
        <w:rPr>
          <w:color w:val="000000"/>
          <w:u w:val="none"/>
        </w:rPr>
        <w:t xml:space="preserve"> a</w:t>
      </w:r>
      <w:r w:rsidRPr="006046A3">
        <w:rPr>
          <w:rFonts w:eastAsiaTheme="minorHAnsi"/>
          <w:color w:val="000000"/>
          <w:u w:val="none"/>
          <w:lang w:eastAsia="en-US"/>
        </w:rPr>
        <w:t>s to the for</w:t>
      </w:r>
      <w:r w:rsidRPr="006046A3">
        <w:rPr>
          <w:color w:val="000000"/>
          <w:u w:val="none"/>
        </w:rPr>
        <w:t>feiture clause and cancellation</w:t>
      </w:r>
      <w:r w:rsidR="00001406">
        <w:rPr>
          <w:color w:val="000000"/>
          <w:u w:val="none"/>
        </w:rPr>
        <w:t>,</w:t>
      </w:r>
      <w:r w:rsidRPr="006046A3">
        <w:rPr>
          <w:color w:val="000000"/>
          <w:u w:val="none"/>
        </w:rPr>
        <w:t xml:space="preserve"> that g</w:t>
      </w:r>
      <w:r w:rsidRPr="006046A3">
        <w:rPr>
          <w:rFonts w:eastAsiaTheme="minorHAnsi"/>
          <w:color w:val="000000"/>
          <w:u w:val="none"/>
          <w:lang w:eastAsia="en-US"/>
        </w:rPr>
        <w:t xml:space="preserve">ranting </w:t>
      </w:r>
      <w:r w:rsidRPr="006046A3">
        <w:rPr>
          <w:color w:val="000000"/>
          <w:u w:val="none"/>
        </w:rPr>
        <w:t>cancellation and</w:t>
      </w:r>
      <w:r w:rsidRPr="006046A3">
        <w:rPr>
          <w:rFonts w:eastAsiaTheme="minorHAnsi"/>
          <w:color w:val="000000"/>
          <w:u w:val="none"/>
          <w:lang w:eastAsia="en-US"/>
        </w:rPr>
        <w:t xml:space="preserve"> </w:t>
      </w:r>
      <w:r w:rsidRPr="006046A3">
        <w:rPr>
          <w:color w:val="000000"/>
          <w:u w:val="none"/>
        </w:rPr>
        <w:t>therefore forfeiture</w:t>
      </w:r>
      <w:r w:rsidRPr="006046A3">
        <w:rPr>
          <w:rFonts w:eastAsiaTheme="minorHAnsi"/>
          <w:color w:val="000000"/>
          <w:u w:val="none"/>
          <w:lang w:eastAsia="en-US"/>
        </w:rPr>
        <w:t xml:space="preserve"> </w:t>
      </w:r>
      <w:r w:rsidRPr="006046A3">
        <w:rPr>
          <w:color w:val="000000"/>
          <w:u w:val="none"/>
        </w:rPr>
        <w:t xml:space="preserve">in circumstances </w:t>
      </w:r>
      <w:r w:rsidRPr="006046A3">
        <w:rPr>
          <w:rFonts w:eastAsiaTheme="minorHAnsi"/>
          <w:color w:val="000000"/>
          <w:u w:val="none"/>
          <w:lang w:eastAsia="en-US"/>
        </w:rPr>
        <w:t>when more than three-quarters of the purchase price had already been paid</w:t>
      </w:r>
      <w:r w:rsidR="00001406">
        <w:rPr>
          <w:rFonts w:eastAsiaTheme="minorHAnsi"/>
          <w:color w:val="000000"/>
          <w:u w:val="none"/>
          <w:lang w:eastAsia="en-US"/>
        </w:rPr>
        <w:t>,</w:t>
      </w:r>
      <w:r w:rsidRPr="006046A3">
        <w:rPr>
          <w:rFonts w:eastAsiaTheme="minorHAnsi"/>
          <w:color w:val="000000"/>
          <w:u w:val="none"/>
          <w:lang w:eastAsia="en-US"/>
        </w:rPr>
        <w:t xml:space="preserve"> would amount to a disproportionate penalty for Botha's breach. In such circumstances</w:t>
      </w:r>
      <w:r w:rsidR="00001406">
        <w:rPr>
          <w:rFonts w:eastAsiaTheme="minorHAnsi"/>
          <w:color w:val="000000"/>
          <w:u w:val="none"/>
          <w:lang w:eastAsia="en-US"/>
        </w:rPr>
        <w:t>,</w:t>
      </w:r>
      <w:r w:rsidRPr="006046A3">
        <w:rPr>
          <w:rFonts w:eastAsiaTheme="minorHAnsi"/>
          <w:color w:val="000000"/>
          <w:u w:val="none"/>
          <w:lang w:eastAsia="en-US"/>
        </w:rPr>
        <w:t xml:space="preserve"> the trust would not be entitled to cancellation. Botha</w:t>
      </w:r>
      <w:r w:rsidR="00001406">
        <w:rPr>
          <w:rFonts w:eastAsiaTheme="minorHAnsi"/>
          <w:color w:val="000000"/>
          <w:u w:val="none"/>
          <w:lang w:eastAsia="en-US"/>
        </w:rPr>
        <w:t>,</w:t>
      </w:r>
      <w:r w:rsidRPr="006046A3">
        <w:rPr>
          <w:rFonts w:eastAsiaTheme="minorHAnsi"/>
          <w:color w:val="000000"/>
          <w:u w:val="none"/>
          <w:lang w:eastAsia="en-US"/>
        </w:rPr>
        <w:t xml:space="preserve"> </w:t>
      </w:r>
      <w:r w:rsidRPr="006046A3">
        <w:rPr>
          <w:color w:val="000000"/>
          <w:u w:val="none"/>
        </w:rPr>
        <w:t xml:space="preserve">as the Constitutional Court found, </w:t>
      </w:r>
      <w:r w:rsidRPr="006046A3">
        <w:rPr>
          <w:rFonts w:eastAsiaTheme="minorHAnsi"/>
          <w:color w:val="000000"/>
          <w:u w:val="none"/>
          <w:lang w:eastAsia="en-US"/>
        </w:rPr>
        <w:t>was entitled to transfer against registration of a bond in favour of the trust, provided all arrears were brought up to date at or before transfer</w:t>
      </w:r>
      <w:r w:rsidRPr="006046A3">
        <w:rPr>
          <w:color w:val="000000"/>
          <w:u w:val="none"/>
        </w:rPr>
        <w:t>.</w:t>
      </w:r>
    </w:p>
    <w:p w:rsidR="006046A3" w:rsidRPr="006046A3" w:rsidRDefault="006046A3" w:rsidP="00BB65B2">
      <w:pPr>
        <w:spacing w:line="480" w:lineRule="auto"/>
        <w:ind w:left="567" w:hanging="567"/>
        <w:jc w:val="both"/>
        <w:rPr>
          <w:color w:val="000000"/>
          <w:u w:val="none"/>
        </w:rPr>
      </w:pPr>
    </w:p>
    <w:p w:rsidR="0027475E" w:rsidRPr="00001406" w:rsidRDefault="0027475E" w:rsidP="00303C89">
      <w:pPr>
        <w:pStyle w:val="ListParagraph"/>
        <w:numPr>
          <w:ilvl w:val="0"/>
          <w:numId w:val="2"/>
        </w:numPr>
        <w:tabs>
          <w:tab w:val="clear" w:pos="690"/>
        </w:tabs>
        <w:spacing w:line="480" w:lineRule="auto"/>
        <w:ind w:left="567" w:hanging="567"/>
        <w:jc w:val="both"/>
        <w:rPr>
          <w:color w:val="000000"/>
          <w:u w:val="none"/>
        </w:rPr>
      </w:pPr>
      <w:r w:rsidRPr="00001406">
        <w:rPr>
          <w:color w:val="000000"/>
          <w:u w:val="none"/>
        </w:rPr>
        <w:t xml:space="preserve">However, what makes Botha distinguishable on the facts is that section 27 (4) of the Act specifically provides </w:t>
      </w:r>
      <w:r w:rsidR="00001406" w:rsidRPr="00001406">
        <w:rPr>
          <w:color w:val="000000"/>
          <w:u w:val="none"/>
        </w:rPr>
        <w:t xml:space="preserve">that, </w:t>
      </w:r>
      <w:r w:rsidRPr="00001406">
        <w:rPr>
          <w:color w:val="000000"/>
          <w:u w:val="none"/>
        </w:rPr>
        <w:t xml:space="preserve">“The provisions of this section shall not apply </w:t>
      </w:r>
      <w:r w:rsidRPr="00303C89">
        <w:rPr>
          <w:color w:val="000000"/>
          <w:u w:val="none"/>
        </w:rPr>
        <w:t>in respect of a deed of alienation in terms of which the State or a local authority is the seller</w:t>
      </w:r>
      <w:r w:rsidRPr="00001406">
        <w:rPr>
          <w:color w:val="000000"/>
          <w:u w:val="none"/>
        </w:rPr>
        <w:t>”.</w:t>
      </w:r>
      <w:r w:rsidR="00001406">
        <w:rPr>
          <w:color w:val="000000"/>
          <w:u w:val="none"/>
        </w:rPr>
        <w:t xml:space="preserve"> </w:t>
      </w:r>
      <w:r w:rsidRPr="00001406">
        <w:rPr>
          <w:color w:val="000000"/>
          <w:u w:val="none"/>
        </w:rPr>
        <w:t>In this case, the seller of the property is the City, a local authority</w:t>
      </w:r>
      <w:r w:rsidR="006046A3" w:rsidRPr="00001406">
        <w:rPr>
          <w:color w:val="000000"/>
          <w:u w:val="none"/>
        </w:rPr>
        <w:t>, which is exempted.</w:t>
      </w:r>
    </w:p>
    <w:p w:rsidR="006046A3" w:rsidRPr="006046A3" w:rsidRDefault="006046A3" w:rsidP="00BB65B2">
      <w:pPr>
        <w:pStyle w:val="ListParagraph"/>
        <w:spacing w:line="480" w:lineRule="auto"/>
        <w:ind w:left="567" w:hanging="567"/>
        <w:jc w:val="both"/>
        <w:rPr>
          <w:color w:val="000000"/>
          <w:u w:val="none"/>
        </w:rPr>
      </w:pPr>
    </w:p>
    <w:p w:rsidR="0027475E" w:rsidRDefault="0027475E" w:rsidP="00BB65B2">
      <w:pPr>
        <w:pStyle w:val="ListParagraph"/>
        <w:numPr>
          <w:ilvl w:val="0"/>
          <w:numId w:val="2"/>
        </w:numPr>
        <w:tabs>
          <w:tab w:val="clear" w:pos="690"/>
        </w:tabs>
        <w:spacing w:line="480" w:lineRule="auto"/>
        <w:ind w:left="567" w:hanging="567"/>
        <w:jc w:val="both"/>
        <w:rPr>
          <w:color w:val="000000"/>
          <w:u w:val="none"/>
        </w:rPr>
      </w:pPr>
      <w:r w:rsidRPr="006046A3">
        <w:rPr>
          <w:color w:val="000000"/>
          <w:u w:val="none"/>
        </w:rPr>
        <w:t>The City contends that the obligations in clauses 5 and 7 were not reciprocal. That is, the parties did not contemplate that they would be performed in exchange for one another. I am persuaded to agree. It would seem to me that nothing in the writing of the agreement suggests that the obligation to build was linked with the obligation to effect transfer. In my view, if it was, the milestones in clause 7.1 would have been dependent upon transfer, not signature. From the written agreement all that was necessary for the obligation to erect a building to arise, was possession of the property, which had been given.</w:t>
      </w:r>
    </w:p>
    <w:p w:rsidR="006046A3" w:rsidRPr="006046A3" w:rsidRDefault="006046A3" w:rsidP="00BB65B2">
      <w:pPr>
        <w:pStyle w:val="ListParagraph"/>
        <w:spacing w:line="480" w:lineRule="auto"/>
        <w:ind w:left="567" w:hanging="567"/>
        <w:jc w:val="both"/>
        <w:rPr>
          <w:color w:val="000000"/>
          <w:u w:val="none"/>
        </w:rPr>
      </w:pPr>
    </w:p>
    <w:p w:rsidR="006046A3" w:rsidRPr="00AB0A99" w:rsidRDefault="0027475E" w:rsidP="0037089C">
      <w:pPr>
        <w:pStyle w:val="ListParagraph"/>
        <w:numPr>
          <w:ilvl w:val="0"/>
          <w:numId w:val="2"/>
        </w:numPr>
        <w:tabs>
          <w:tab w:val="clear" w:pos="690"/>
        </w:tabs>
        <w:spacing w:line="480" w:lineRule="auto"/>
        <w:ind w:left="567" w:hanging="567"/>
        <w:jc w:val="both"/>
        <w:rPr>
          <w:color w:val="000000"/>
          <w:u w:val="none"/>
        </w:rPr>
      </w:pPr>
      <w:r w:rsidRPr="00AB0A99">
        <w:rPr>
          <w:color w:val="000000"/>
          <w:u w:val="none"/>
        </w:rPr>
        <w:t>In my view, the obligations in clause 7.1 arose upon signature of the agreement, and not on transfer and in this regard</w:t>
      </w:r>
      <w:r w:rsidR="00F37A54" w:rsidRPr="00AB0A99">
        <w:rPr>
          <w:color w:val="000000"/>
          <w:u w:val="none"/>
        </w:rPr>
        <w:t>,</w:t>
      </w:r>
      <w:r w:rsidRPr="00AB0A99">
        <w:rPr>
          <w:color w:val="000000"/>
          <w:u w:val="none"/>
        </w:rPr>
        <w:t xml:space="preserve"> I am fortified for the following reasons. Clause 7.1 set two milestones, both of which were in reference to the signature date. The milestone for the first phase was one year from the signature date. The second, was 18 months from the signature date.</w:t>
      </w:r>
      <w:r w:rsidRPr="00AB0A99">
        <w:rPr>
          <w:u w:val="none"/>
        </w:rPr>
        <w:t xml:space="preserve"> </w:t>
      </w:r>
      <w:r w:rsidRPr="00AB0A99">
        <w:rPr>
          <w:color w:val="000000"/>
          <w:u w:val="none"/>
        </w:rPr>
        <w:t>Transfer of ownership was</w:t>
      </w:r>
      <w:r w:rsidR="00F37A54" w:rsidRPr="00AB0A99">
        <w:rPr>
          <w:color w:val="000000"/>
          <w:u w:val="none"/>
        </w:rPr>
        <w:t>,</w:t>
      </w:r>
      <w:r w:rsidRPr="00AB0A99">
        <w:rPr>
          <w:color w:val="000000"/>
          <w:u w:val="none"/>
        </w:rPr>
        <w:t xml:space="preserve"> I find, neither a factual nor legal requirement to commence building. On the first respondent’s version, a power of attorney from the City would</w:t>
      </w:r>
      <w:r w:rsidR="00F37A54" w:rsidRPr="00AB0A99">
        <w:rPr>
          <w:color w:val="000000"/>
          <w:u w:val="none"/>
        </w:rPr>
        <w:t>,</w:t>
      </w:r>
      <w:r w:rsidRPr="00AB0A99">
        <w:rPr>
          <w:color w:val="000000"/>
          <w:u w:val="none"/>
        </w:rPr>
        <w:t xml:space="preserve"> in any event</w:t>
      </w:r>
      <w:r w:rsidR="00F37A54" w:rsidRPr="00AB0A99">
        <w:rPr>
          <w:color w:val="000000"/>
          <w:u w:val="none"/>
        </w:rPr>
        <w:t>,</w:t>
      </w:r>
      <w:r w:rsidRPr="00AB0A99">
        <w:rPr>
          <w:color w:val="000000"/>
          <w:u w:val="none"/>
        </w:rPr>
        <w:t xml:space="preserve"> have sufficed. The first respondent did not allege that he failed to achieve transfer with a power of </w:t>
      </w:r>
      <w:r w:rsidR="00AB0A99" w:rsidRPr="00AB0A99">
        <w:rPr>
          <w:color w:val="000000"/>
          <w:u w:val="none"/>
        </w:rPr>
        <w:t xml:space="preserve">attorney. The City’s own breach, if it was such, is of no consequence as there was no demand made for it to remedy any breach.  </w:t>
      </w:r>
      <w:r w:rsidR="000216FD" w:rsidRPr="00AB0A99">
        <w:rPr>
          <w:color w:val="000000"/>
          <w:u w:val="none"/>
        </w:rPr>
        <w:t xml:space="preserve"> </w:t>
      </w:r>
    </w:p>
    <w:p w:rsidR="0027475E" w:rsidRPr="006046A3" w:rsidRDefault="0027475E" w:rsidP="00BB65B2">
      <w:pPr>
        <w:pStyle w:val="ListParagraph"/>
        <w:numPr>
          <w:ilvl w:val="0"/>
          <w:numId w:val="2"/>
        </w:numPr>
        <w:tabs>
          <w:tab w:val="clear" w:pos="690"/>
        </w:tabs>
        <w:spacing w:line="480" w:lineRule="auto"/>
        <w:ind w:left="567" w:hanging="567"/>
        <w:jc w:val="both"/>
        <w:rPr>
          <w:color w:val="000000"/>
          <w:u w:val="none"/>
          <w:lang w:val="en-ZA"/>
        </w:rPr>
      </w:pPr>
      <w:r w:rsidRPr="006046A3">
        <w:rPr>
          <w:color w:val="000000"/>
          <w:u w:val="none"/>
        </w:rPr>
        <w:lastRenderedPageBreak/>
        <w:t>As for the allegation regarding existence of the building plans, there was no evidence in support thereof, except for the bold allegation that they were available, which the appellants denied, either at the time of the breach, or before</w:t>
      </w:r>
      <w:r w:rsidRPr="0027475E">
        <w:rPr>
          <w:color w:val="000000"/>
        </w:rPr>
        <w:t xml:space="preserve"> </w:t>
      </w:r>
      <w:r w:rsidRPr="006046A3">
        <w:rPr>
          <w:color w:val="000000"/>
          <w:u w:val="none"/>
        </w:rPr>
        <w:t xml:space="preserve">the </w:t>
      </w:r>
      <w:r w:rsidR="00B552C2">
        <w:rPr>
          <w:color w:val="000000"/>
          <w:u w:val="none"/>
        </w:rPr>
        <w:t>c</w:t>
      </w:r>
      <w:r w:rsidRPr="006046A3">
        <w:rPr>
          <w:color w:val="000000"/>
          <w:u w:val="none"/>
        </w:rPr>
        <w:t xml:space="preserve">ourt </w:t>
      </w:r>
      <w:r w:rsidRPr="00303C89">
        <w:rPr>
          <w:i/>
          <w:color w:val="000000"/>
          <w:u w:val="none"/>
        </w:rPr>
        <w:t>a quo</w:t>
      </w:r>
      <w:r w:rsidRPr="006046A3">
        <w:rPr>
          <w:color w:val="000000"/>
          <w:u w:val="none"/>
        </w:rPr>
        <w:t xml:space="preserve">. The first respondent did not attach the alleged building plans or any proof of submission of those building plans to the City for its consideration. In my view, in the light of the first respondent’s breach, the City was entitled to demand performance, which it did. With the first respondent having failed to comply with the terms of the contract in relation to clause 7.1, the City was accordingly entitled to cancel the agreement </w:t>
      </w:r>
      <w:r w:rsidRPr="006046A3">
        <w:rPr>
          <w:u w:val="none"/>
          <w:lang w:val="en-US"/>
        </w:rPr>
        <w:t>by virtue of clause 8 thereof.</w:t>
      </w:r>
    </w:p>
    <w:p w:rsidR="006046A3" w:rsidRPr="006046A3" w:rsidRDefault="006046A3" w:rsidP="00BB65B2">
      <w:pPr>
        <w:spacing w:line="480" w:lineRule="auto"/>
        <w:ind w:left="567" w:hanging="567"/>
        <w:jc w:val="both"/>
        <w:rPr>
          <w:color w:val="000000"/>
          <w:u w:val="none"/>
          <w:lang w:val="en-ZA"/>
        </w:rPr>
      </w:pPr>
    </w:p>
    <w:p w:rsidR="0027475E" w:rsidRDefault="0027475E" w:rsidP="00BB65B2">
      <w:pPr>
        <w:pStyle w:val="ListParagraph"/>
        <w:numPr>
          <w:ilvl w:val="0"/>
          <w:numId w:val="2"/>
        </w:numPr>
        <w:tabs>
          <w:tab w:val="clear" w:pos="690"/>
        </w:tabs>
        <w:spacing w:line="480" w:lineRule="auto"/>
        <w:ind w:left="567" w:hanging="567"/>
        <w:jc w:val="both"/>
        <w:rPr>
          <w:u w:val="none"/>
          <w:lang w:val="en-US"/>
        </w:rPr>
      </w:pPr>
      <w:r w:rsidRPr="006046A3">
        <w:rPr>
          <w:u w:val="none"/>
          <w:lang w:val="en-US"/>
        </w:rPr>
        <w:t xml:space="preserve"> In determining the intention of the parties as 'expressed' in their contract</w:t>
      </w:r>
      <w:r w:rsidR="00951166">
        <w:rPr>
          <w:u w:val="none"/>
          <w:lang w:val="en-US"/>
        </w:rPr>
        <w:t>,</w:t>
      </w:r>
      <w:r w:rsidRPr="006046A3">
        <w:rPr>
          <w:u w:val="none"/>
          <w:lang w:val="en-US"/>
        </w:rPr>
        <w:t xml:space="preserve"> the Court is of course primarily concerned with a difficult construction. There are no grounds in this case on which to adopt the purposive interpretation for which the court </w:t>
      </w:r>
      <w:r w:rsidRPr="00303C89">
        <w:rPr>
          <w:i/>
          <w:u w:val="none"/>
          <w:lang w:val="en-US"/>
        </w:rPr>
        <w:t>a</w:t>
      </w:r>
      <w:r w:rsidR="00951166" w:rsidRPr="00303C89">
        <w:rPr>
          <w:i/>
          <w:u w:val="none"/>
          <w:lang w:val="en-US"/>
        </w:rPr>
        <w:t xml:space="preserve"> </w:t>
      </w:r>
      <w:r w:rsidRPr="00303C89">
        <w:rPr>
          <w:i/>
          <w:u w:val="none"/>
          <w:lang w:val="en-US"/>
        </w:rPr>
        <w:t>quo</w:t>
      </w:r>
      <w:r w:rsidRPr="006046A3">
        <w:rPr>
          <w:u w:val="none"/>
          <w:lang w:val="en-US"/>
        </w:rPr>
        <w:t xml:space="preserve"> relied upon in its reasoning.</w:t>
      </w:r>
      <w:r w:rsidRPr="006046A3">
        <w:rPr>
          <w:rFonts w:ascii="Verdana" w:hAnsi="Verdana"/>
          <w:color w:val="000000"/>
          <w:sz w:val="20"/>
          <w:szCs w:val="20"/>
          <w:u w:val="none"/>
        </w:rPr>
        <w:t xml:space="preserve"> </w:t>
      </w:r>
      <w:r w:rsidRPr="006046A3">
        <w:rPr>
          <w:u w:val="none"/>
          <w:lang w:val="en-US"/>
        </w:rPr>
        <w:t>I find myself unable to construe the contract in the manner contended for by the first respondent. It must be remembered that the property was sold for the deceased to construct business premises</w:t>
      </w:r>
      <w:r w:rsidR="0034037E">
        <w:rPr>
          <w:u w:val="none"/>
          <w:lang w:val="en-US"/>
        </w:rPr>
        <w:t xml:space="preserve">, in contrast with the purpose for which </w:t>
      </w:r>
      <w:r w:rsidRPr="006046A3">
        <w:rPr>
          <w:u w:val="none"/>
          <w:lang w:val="en-US"/>
        </w:rPr>
        <w:t>it was subsequently leased out. A local authority is bound to comply, and enforce compliance, with zoning schemes. The use of the City property as a church in contravention of the Town-Planning legislation of the City of Johannesburg Land Use Scheme of 2018 also constitutes an offence.</w:t>
      </w:r>
    </w:p>
    <w:p w:rsidR="006046A3" w:rsidRPr="006046A3" w:rsidRDefault="006046A3" w:rsidP="00BB65B2">
      <w:pPr>
        <w:spacing w:line="480" w:lineRule="auto"/>
        <w:ind w:left="567" w:hanging="567"/>
        <w:jc w:val="both"/>
        <w:rPr>
          <w:u w:val="none"/>
          <w:lang w:val="en-US"/>
        </w:rPr>
      </w:pPr>
    </w:p>
    <w:p w:rsidR="00254F2E" w:rsidRDefault="0027475E" w:rsidP="00BB65B2">
      <w:pPr>
        <w:pStyle w:val="ListParagraph"/>
        <w:numPr>
          <w:ilvl w:val="0"/>
          <w:numId w:val="2"/>
        </w:numPr>
        <w:tabs>
          <w:tab w:val="clear" w:pos="690"/>
        </w:tabs>
        <w:spacing w:line="480" w:lineRule="auto"/>
        <w:ind w:left="567" w:hanging="567"/>
        <w:jc w:val="both"/>
        <w:rPr>
          <w:u w:val="none"/>
          <w:lang w:val="en-US"/>
        </w:rPr>
      </w:pPr>
      <w:r w:rsidRPr="006046A3">
        <w:rPr>
          <w:u w:val="none"/>
          <w:lang w:val="en-US"/>
        </w:rPr>
        <w:t xml:space="preserve">Our courts have affirmed the role and duty of local authorities to regulate and enforce “with the requisite degree of vigour and efficiency” land use in their areas </w:t>
      </w:r>
      <w:r w:rsidRPr="006046A3">
        <w:rPr>
          <w:u w:val="none"/>
          <w:lang w:val="en-US"/>
        </w:rPr>
        <w:lastRenderedPageBreak/>
        <w:t>of responsibility</w:t>
      </w:r>
      <w:r w:rsidR="00D8025F">
        <w:rPr>
          <w:u w:val="none"/>
          <w:lang w:val="en-US"/>
        </w:rPr>
        <w:t>.</w:t>
      </w:r>
      <w:r w:rsidR="00DD48F7">
        <w:rPr>
          <w:rStyle w:val="FootnoteReference"/>
          <w:u w:val="none"/>
          <w:lang w:val="en-US"/>
        </w:rPr>
        <w:footnoteReference w:id="6"/>
      </w:r>
      <w:r w:rsidR="00D8025F">
        <w:rPr>
          <w:u w:val="none"/>
          <w:lang w:val="en-US"/>
        </w:rPr>
        <w:t xml:space="preserve"> </w:t>
      </w:r>
      <w:r w:rsidRPr="006046A3">
        <w:rPr>
          <w:u w:val="none"/>
          <w:lang w:val="en-US"/>
        </w:rPr>
        <w:t>The purpose of zoning or town planning and its concomitant restriction on the use rights attaching to land is to provide for the orderly, harmonious and effective development of the affected area</w:t>
      </w:r>
      <w:r w:rsidR="00D8025F">
        <w:rPr>
          <w:u w:val="none"/>
          <w:lang w:val="en-US"/>
        </w:rPr>
        <w:t>.</w:t>
      </w:r>
      <w:r w:rsidR="00A200AB">
        <w:rPr>
          <w:rStyle w:val="FootnoteReference"/>
          <w:u w:val="none"/>
          <w:lang w:val="en-US"/>
        </w:rPr>
        <w:footnoteReference w:id="7"/>
      </w:r>
    </w:p>
    <w:p w:rsidR="00254F2E" w:rsidRPr="00254F2E" w:rsidRDefault="00254F2E" w:rsidP="00BB65B2">
      <w:pPr>
        <w:pStyle w:val="ListParagraph"/>
        <w:ind w:left="567" w:hanging="567"/>
        <w:rPr>
          <w:rFonts w:ascii="Verdana" w:hAnsi="Verdana"/>
          <w:color w:val="000000"/>
          <w:sz w:val="20"/>
          <w:szCs w:val="20"/>
        </w:rPr>
      </w:pPr>
    </w:p>
    <w:p w:rsidR="00724F5F" w:rsidRDefault="00254F2E" w:rsidP="00BB65B2">
      <w:pPr>
        <w:pStyle w:val="ListParagraph"/>
        <w:numPr>
          <w:ilvl w:val="0"/>
          <w:numId w:val="2"/>
        </w:numPr>
        <w:tabs>
          <w:tab w:val="clear" w:pos="690"/>
        </w:tabs>
        <w:spacing w:line="480" w:lineRule="auto"/>
        <w:ind w:left="567" w:hanging="567"/>
        <w:jc w:val="both"/>
        <w:rPr>
          <w:u w:val="none"/>
          <w:lang w:val="en-US"/>
        </w:rPr>
      </w:pPr>
      <w:r>
        <w:rPr>
          <w:u w:val="none"/>
          <w:lang w:val="en-US"/>
        </w:rPr>
        <w:t xml:space="preserve">It is trite that </w:t>
      </w:r>
      <w:r w:rsidRPr="00254F2E">
        <w:rPr>
          <w:u w:val="none"/>
          <w:lang w:val="en-US"/>
        </w:rPr>
        <w:t>the Court does not</w:t>
      </w:r>
      <w:r>
        <w:rPr>
          <w:u w:val="none"/>
          <w:lang w:val="en-US"/>
        </w:rPr>
        <w:t xml:space="preserve"> readily import a tacit term as it</w:t>
      </w:r>
      <w:r w:rsidRPr="00254F2E">
        <w:rPr>
          <w:u w:val="none"/>
          <w:lang w:val="en-US"/>
        </w:rPr>
        <w:t xml:space="preserve"> cannot make contracts for</w:t>
      </w:r>
      <w:r>
        <w:rPr>
          <w:u w:val="none"/>
          <w:lang w:val="en-US"/>
        </w:rPr>
        <w:t xml:space="preserve"> parties</w:t>
      </w:r>
      <w:r w:rsidRPr="00254F2E">
        <w:rPr>
          <w:u w:val="none"/>
          <w:lang w:val="en-US"/>
        </w:rPr>
        <w:t xml:space="preserve">; nor can it supplement the agreement of the parties merely because it might be reasonable to do </w:t>
      </w:r>
      <w:r w:rsidR="00A200AB" w:rsidRPr="00254F2E">
        <w:rPr>
          <w:u w:val="none"/>
          <w:lang w:val="en-US"/>
        </w:rPr>
        <w:t>so</w:t>
      </w:r>
      <w:r w:rsidR="00724F5F">
        <w:rPr>
          <w:u w:val="none"/>
          <w:lang w:val="en-US"/>
        </w:rPr>
        <w:t>.</w:t>
      </w:r>
      <w:r w:rsidR="00A200AB">
        <w:rPr>
          <w:rStyle w:val="FootnoteReference"/>
          <w:u w:val="none"/>
          <w:lang w:val="en-US"/>
        </w:rPr>
        <w:footnoteReference w:id="8"/>
      </w:r>
      <w:r w:rsidR="00A200AB">
        <w:rPr>
          <w:u w:val="none"/>
          <w:lang w:val="en-US"/>
        </w:rPr>
        <w:t xml:space="preserve"> </w:t>
      </w:r>
      <w:r w:rsidRPr="00254F2E">
        <w:rPr>
          <w:u w:val="none"/>
          <w:lang w:val="en-US"/>
        </w:rPr>
        <w:t>Before it can imply a tacit term</w:t>
      </w:r>
      <w:r w:rsidR="00724F5F">
        <w:rPr>
          <w:u w:val="none"/>
          <w:lang w:val="en-US"/>
        </w:rPr>
        <w:t>,</w:t>
      </w:r>
      <w:r w:rsidRPr="00254F2E">
        <w:rPr>
          <w:u w:val="none"/>
          <w:lang w:val="en-US"/>
        </w:rPr>
        <w:t xml:space="preserve"> the Court must be satisfied, upon a consideration in a reasonable and businesslike manner of the terms of the contract and the admissible evidence of surrounding circumstances, that</w:t>
      </w:r>
      <w:r>
        <w:rPr>
          <w:u w:val="none"/>
          <w:lang w:val="en-US"/>
        </w:rPr>
        <w:t xml:space="preserve"> </w:t>
      </w:r>
      <w:r w:rsidRPr="00254F2E">
        <w:rPr>
          <w:u w:val="none"/>
          <w:lang w:val="en-US"/>
        </w:rPr>
        <w:t>an implication necessarily arises that the parties intended to contract on the basis of the suggested term</w:t>
      </w:r>
      <w:r w:rsidR="00724F5F">
        <w:rPr>
          <w:u w:val="none"/>
          <w:lang w:val="en-US"/>
        </w:rPr>
        <w:t>.</w:t>
      </w:r>
      <w:r w:rsidR="00A200AB">
        <w:rPr>
          <w:rStyle w:val="FootnoteReference"/>
          <w:u w:val="none"/>
          <w:lang w:val="en-US"/>
        </w:rPr>
        <w:footnoteReference w:id="9"/>
      </w:r>
    </w:p>
    <w:p w:rsidR="00254F2E" w:rsidRPr="00254F2E" w:rsidRDefault="00254F2E" w:rsidP="00303C89">
      <w:pPr>
        <w:pStyle w:val="ListParagraph"/>
        <w:spacing w:line="480" w:lineRule="auto"/>
        <w:ind w:left="567"/>
        <w:jc w:val="both"/>
        <w:rPr>
          <w:u w:val="none"/>
          <w:lang w:val="en-US"/>
        </w:rPr>
      </w:pPr>
    </w:p>
    <w:p w:rsidR="0027475E" w:rsidRPr="00D25B75" w:rsidRDefault="0027475E" w:rsidP="00BB65B2">
      <w:pPr>
        <w:pStyle w:val="ListParagraph"/>
        <w:numPr>
          <w:ilvl w:val="0"/>
          <w:numId w:val="2"/>
        </w:numPr>
        <w:tabs>
          <w:tab w:val="clear" w:pos="690"/>
        </w:tabs>
        <w:spacing w:line="480" w:lineRule="auto"/>
        <w:ind w:left="567" w:hanging="567"/>
        <w:jc w:val="both"/>
        <w:rPr>
          <w:u w:val="none"/>
          <w:lang w:val="en-US"/>
        </w:rPr>
      </w:pPr>
      <w:r w:rsidRPr="00D25B75">
        <w:rPr>
          <w:u w:val="none"/>
          <w:lang w:val="en-US"/>
        </w:rPr>
        <w:t xml:space="preserve">The purposive or business-like approach adopted by the court </w:t>
      </w:r>
      <w:r w:rsidRPr="00303C89">
        <w:rPr>
          <w:i/>
          <w:u w:val="none"/>
          <w:lang w:val="en-US"/>
        </w:rPr>
        <w:t>a</w:t>
      </w:r>
      <w:r w:rsidR="007B261D" w:rsidRPr="00303C89">
        <w:rPr>
          <w:i/>
          <w:u w:val="none"/>
          <w:lang w:val="en-US"/>
        </w:rPr>
        <w:t xml:space="preserve"> </w:t>
      </w:r>
      <w:r w:rsidRPr="00303C89">
        <w:rPr>
          <w:i/>
          <w:u w:val="none"/>
          <w:lang w:val="en-US"/>
        </w:rPr>
        <w:t>quo</w:t>
      </w:r>
      <w:r w:rsidRPr="00D25B75">
        <w:rPr>
          <w:u w:val="none"/>
          <w:lang w:val="en-US"/>
        </w:rPr>
        <w:t xml:space="preserve"> in its construction of the contract would accordingly</w:t>
      </w:r>
      <w:r w:rsidR="007B261D">
        <w:rPr>
          <w:u w:val="none"/>
          <w:lang w:val="en-US"/>
        </w:rPr>
        <w:t>,</w:t>
      </w:r>
      <w:r w:rsidRPr="00D25B75">
        <w:rPr>
          <w:u w:val="none"/>
          <w:lang w:val="en-US"/>
        </w:rPr>
        <w:t xml:space="preserve"> in effect</w:t>
      </w:r>
      <w:r w:rsidR="007B261D">
        <w:rPr>
          <w:u w:val="none"/>
          <w:lang w:val="en-US"/>
        </w:rPr>
        <w:t>,</w:t>
      </w:r>
      <w:r w:rsidRPr="00D25B75">
        <w:rPr>
          <w:u w:val="none"/>
          <w:lang w:val="en-US"/>
        </w:rPr>
        <w:t xml:space="preserve"> amount to rewriting the contract for the parties, which the Supreme Court of Appeal specifically warned against in </w:t>
      </w:r>
      <w:r w:rsidRPr="00D25B75">
        <w:rPr>
          <w:i/>
          <w:iCs/>
          <w:color w:val="242121"/>
          <w:u w:val="none"/>
          <w:shd w:val="clear" w:color="auto" w:fill="FFFFFF"/>
        </w:rPr>
        <w:t>Natal Joint Municipal Pension Fund v Endumeni Municipality</w:t>
      </w:r>
      <w:r w:rsidRPr="00D25B75">
        <w:rPr>
          <w:color w:val="242121"/>
          <w:u w:val="none"/>
          <w:shd w:val="clear" w:color="auto" w:fill="FFFFFF"/>
        </w:rPr>
        <w:t>:</w:t>
      </w:r>
      <w:r w:rsidRPr="00D25B75">
        <w:rPr>
          <w:rStyle w:val="FootnoteReference"/>
          <w:color w:val="242121"/>
          <w:u w:val="none"/>
          <w:shd w:val="clear" w:color="auto" w:fill="FFFFFF"/>
        </w:rPr>
        <w:footnoteReference w:id="10"/>
      </w:r>
    </w:p>
    <w:p w:rsidR="00724F5F" w:rsidRDefault="0027475E" w:rsidP="00724F5F">
      <w:pPr>
        <w:pStyle w:val="BowLevel1ListAlt"/>
        <w:numPr>
          <w:ilvl w:val="0"/>
          <w:numId w:val="0"/>
        </w:numPr>
        <w:tabs>
          <w:tab w:val="left" w:pos="720"/>
        </w:tabs>
        <w:ind w:left="567"/>
        <w:rPr>
          <w:rFonts w:ascii="Arial" w:hAnsi="Arial" w:cs="Arial"/>
          <w:sz w:val="24"/>
          <w:szCs w:val="24"/>
          <w:lang w:val="en-US" w:eastAsia="en-GB"/>
        </w:rPr>
      </w:pPr>
      <w:r w:rsidRPr="00303C89">
        <w:rPr>
          <w:rFonts w:ascii="Arial" w:hAnsi="Arial" w:cs="Arial"/>
          <w:iCs/>
          <w:color w:val="242121"/>
          <w:sz w:val="22"/>
          <w:szCs w:val="22"/>
          <w:shd w:val="clear" w:color="auto" w:fill="FFFFFF"/>
        </w:rPr>
        <w:t xml:space="preserve">“Judges must be alert to, and guard against, the temptation to substitute what they regard as reasonable, sensible or </w:t>
      </w:r>
      <w:r w:rsidR="007B261D" w:rsidRPr="00724F5F">
        <w:rPr>
          <w:rFonts w:ascii="Arial" w:hAnsi="Arial" w:cs="Arial"/>
          <w:iCs/>
          <w:color w:val="242121"/>
          <w:sz w:val="22"/>
          <w:szCs w:val="22"/>
          <w:shd w:val="clear" w:color="auto" w:fill="FFFFFF"/>
        </w:rPr>
        <w:t>business-like</w:t>
      </w:r>
      <w:r w:rsidRPr="00303C89">
        <w:rPr>
          <w:rFonts w:ascii="Arial" w:hAnsi="Arial" w:cs="Arial"/>
          <w:iCs/>
          <w:color w:val="242121"/>
          <w:sz w:val="22"/>
          <w:szCs w:val="22"/>
          <w:shd w:val="clear" w:color="auto" w:fill="FFFFFF"/>
        </w:rPr>
        <w:t xml:space="preserve"> for the words actually used. To do so in regard to a statute or statutory instrument is to cross the divide between interpretation and legislation</w:t>
      </w:r>
      <w:r w:rsidR="007B261D">
        <w:rPr>
          <w:rFonts w:ascii="Arial" w:hAnsi="Arial" w:cs="Arial"/>
          <w:iCs/>
          <w:color w:val="242121"/>
          <w:sz w:val="22"/>
          <w:szCs w:val="22"/>
          <w:shd w:val="clear" w:color="auto" w:fill="FFFFFF"/>
        </w:rPr>
        <w:t>. I</w:t>
      </w:r>
      <w:r w:rsidRPr="00303C89">
        <w:rPr>
          <w:rFonts w:ascii="Arial" w:hAnsi="Arial" w:cs="Arial"/>
          <w:iCs/>
          <w:color w:val="242121"/>
          <w:sz w:val="22"/>
          <w:szCs w:val="22"/>
          <w:shd w:val="clear" w:color="auto" w:fill="FFFFFF"/>
        </w:rPr>
        <w:t>n a contractual context it is to make a contract for the parties other than the one they in fact made.”</w:t>
      </w:r>
    </w:p>
    <w:p w:rsidR="0027475E" w:rsidRPr="00303C89" w:rsidRDefault="0027475E" w:rsidP="00303C89">
      <w:pPr>
        <w:pStyle w:val="BowLevel1ListAlt"/>
        <w:numPr>
          <w:ilvl w:val="0"/>
          <w:numId w:val="0"/>
        </w:numPr>
        <w:tabs>
          <w:tab w:val="left" w:pos="720"/>
        </w:tabs>
        <w:spacing w:after="0"/>
        <w:ind w:left="567"/>
        <w:rPr>
          <w:rFonts w:ascii="Arial" w:hAnsi="Arial" w:cs="Arial"/>
          <w:sz w:val="24"/>
          <w:szCs w:val="24"/>
          <w:lang w:val="en-US" w:eastAsia="en-GB"/>
        </w:rPr>
      </w:pPr>
    </w:p>
    <w:p w:rsidR="0027475E" w:rsidRPr="00D25B75" w:rsidRDefault="0027475E" w:rsidP="00BB65B2">
      <w:pPr>
        <w:pStyle w:val="ListParagraph"/>
        <w:numPr>
          <w:ilvl w:val="0"/>
          <w:numId w:val="2"/>
        </w:numPr>
        <w:tabs>
          <w:tab w:val="clear" w:pos="690"/>
        </w:tabs>
        <w:spacing w:line="480" w:lineRule="auto"/>
        <w:ind w:left="567" w:hanging="567"/>
        <w:jc w:val="both"/>
        <w:rPr>
          <w:color w:val="000000"/>
          <w:u w:val="none"/>
        </w:rPr>
      </w:pPr>
      <w:r w:rsidRPr="00D25B75">
        <w:rPr>
          <w:u w:val="none"/>
          <w:lang w:val="en-US"/>
        </w:rPr>
        <w:t xml:space="preserve">In this matter, all the </w:t>
      </w:r>
      <w:r w:rsidR="00265DD2">
        <w:rPr>
          <w:u w:val="none"/>
          <w:lang w:val="en-US"/>
        </w:rPr>
        <w:t>c</w:t>
      </w:r>
      <w:r w:rsidRPr="00D25B75">
        <w:rPr>
          <w:u w:val="none"/>
          <w:lang w:val="en-US"/>
        </w:rPr>
        <w:t>lauses</w:t>
      </w:r>
      <w:r w:rsidR="00265DD2">
        <w:rPr>
          <w:u w:val="none"/>
          <w:lang w:val="en-US"/>
        </w:rPr>
        <w:t xml:space="preserve">, </w:t>
      </w:r>
      <w:r w:rsidRPr="00D25B75">
        <w:rPr>
          <w:u w:val="none"/>
          <w:lang w:val="en-US"/>
        </w:rPr>
        <w:t>and in particular</w:t>
      </w:r>
      <w:r w:rsidR="00265DD2">
        <w:rPr>
          <w:u w:val="none"/>
          <w:lang w:val="en-US"/>
        </w:rPr>
        <w:t>,</w:t>
      </w:r>
      <w:r w:rsidRPr="00D25B75">
        <w:rPr>
          <w:u w:val="none"/>
          <w:lang w:val="en-US"/>
        </w:rPr>
        <w:t xml:space="preserve"> clause 7.1 are stipulations concluded between freely contracting parties which are thus</w:t>
      </w:r>
      <w:r w:rsidR="00265DD2">
        <w:rPr>
          <w:u w:val="none"/>
          <w:lang w:val="en-US"/>
        </w:rPr>
        <w:t xml:space="preserve"> </w:t>
      </w:r>
      <w:r w:rsidRPr="00303C89">
        <w:rPr>
          <w:i/>
          <w:u w:val="none"/>
          <w:lang w:val="en-US"/>
        </w:rPr>
        <w:t>prima facie</w:t>
      </w:r>
      <w:r w:rsidR="00265DD2">
        <w:rPr>
          <w:u w:val="none"/>
          <w:lang w:val="en-US"/>
        </w:rPr>
        <w:t xml:space="preserve"> </w:t>
      </w:r>
      <w:r w:rsidRPr="00D25B75">
        <w:rPr>
          <w:u w:val="none"/>
          <w:lang w:val="en-US"/>
        </w:rPr>
        <w:t xml:space="preserve">binding </w:t>
      </w:r>
      <w:r w:rsidRPr="00D25B75">
        <w:rPr>
          <w:u w:val="none"/>
          <w:lang w:val="en-US"/>
        </w:rPr>
        <w:lastRenderedPageBreak/>
        <w:t>and enforceable.</w:t>
      </w:r>
      <w:r w:rsidR="000D4137">
        <w:rPr>
          <w:u w:val="none"/>
          <w:lang w:val="en-US"/>
        </w:rPr>
        <w:t xml:space="preserve"> </w:t>
      </w:r>
      <w:r w:rsidR="000D4137" w:rsidRPr="000D4137">
        <w:rPr>
          <w:u w:val="none"/>
          <w:lang w:val="en-US"/>
        </w:rPr>
        <w:t xml:space="preserve">When the parties contracted, they were fully alive to the nature of the issues that were likely to arise </w:t>
      </w:r>
      <w:r w:rsidR="000D4137">
        <w:rPr>
          <w:u w:val="none"/>
          <w:lang w:val="en-US"/>
        </w:rPr>
        <w:t xml:space="preserve">and </w:t>
      </w:r>
      <w:r w:rsidR="000D4137" w:rsidRPr="000D4137">
        <w:rPr>
          <w:u w:val="none"/>
          <w:lang w:val="en-US"/>
        </w:rPr>
        <w:t xml:space="preserve">with that in mind, they stipulated for terms in the written agreement and should </w:t>
      </w:r>
      <w:r w:rsidR="000D4137">
        <w:rPr>
          <w:u w:val="none"/>
          <w:lang w:val="en-US"/>
        </w:rPr>
        <w:t xml:space="preserve">accordingly </w:t>
      </w:r>
      <w:r w:rsidR="000D4137" w:rsidRPr="000D4137">
        <w:rPr>
          <w:u w:val="none"/>
          <w:lang w:val="en-US"/>
        </w:rPr>
        <w:t>be held to it.</w:t>
      </w:r>
      <w:r w:rsidR="000D4137">
        <w:rPr>
          <w:u w:val="none"/>
          <w:lang w:val="en-US"/>
        </w:rPr>
        <w:t xml:space="preserve"> </w:t>
      </w:r>
      <w:r w:rsidRPr="000D4137">
        <w:rPr>
          <w:u w:val="none"/>
          <w:lang w:val="en-US"/>
        </w:rPr>
        <w:t>In my judgment</w:t>
      </w:r>
      <w:r w:rsidR="00265DD2">
        <w:rPr>
          <w:u w:val="none"/>
          <w:lang w:val="en-US"/>
        </w:rPr>
        <w:t>,</w:t>
      </w:r>
      <w:r w:rsidRPr="00D25B75">
        <w:rPr>
          <w:color w:val="000000"/>
          <w:u w:val="none"/>
        </w:rPr>
        <w:t xml:space="preserve"> the respondents' submissions cannot, therefore, be sustained, and the appellants’ contention that they validly </w:t>
      </w:r>
      <w:r w:rsidR="0034037E">
        <w:rPr>
          <w:color w:val="000000"/>
          <w:u w:val="none"/>
        </w:rPr>
        <w:t>terminated</w:t>
      </w:r>
      <w:r w:rsidRPr="00D25B75">
        <w:rPr>
          <w:color w:val="000000"/>
          <w:u w:val="none"/>
        </w:rPr>
        <w:t xml:space="preserve"> the contract should be upheld.</w:t>
      </w:r>
    </w:p>
    <w:p w:rsidR="00265DD2" w:rsidRDefault="00265DD2" w:rsidP="00BB65B2">
      <w:pPr>
        <w:pStyle w:val="ListParagraph"/>
        <w:spacing w:line="480" w:lineRule="auto"/>
        <w:ind w:left="567" w:hanging="567"/>
        <w:jc w:val="both"/>
        <w:rPr>
          <w:b/>
          <w:u w:val="none"/>
          <w:lang w:val="en-US"/>
        </w:rPr>
      </w:pPr>
    </w:p>
    <w:p w:rsidR="0027475E" w:rsidRPr="00303C89" w:rsidRDefault="0027475E" w:rsidP="00BB65B2">
      <w:pPr>
        <w:pStyle w:val="ListParagraph"/>
        <w:spacing w:line="480" w:lineRule="auto"/>
        <w:ind w:left="567" w:hanging="567"/>
        <w:jc w:val="both"/>
        <w:rPr>
          <w:b/>
          <w:u w:val="none"/>
          <w:lang w:val="en-US"/>
        </w:rPr>
      </w:pPr>
      <w:r w:rsidRPr="00303C89">
        <w:rPr>
          <w:b/>
          <w:u w:val="none"/>
          <w:lang w:val="en-US"/>
        </w:rPr>
        <w:t>Order</w:t>
      </w:r>
    </w:p>
    <w:p w:rsidR="0027475E" w:rsidRPr="00490F25" w:rsidRDefault="0027475E" w:rsidP="00BB65B2">
      <w:pPr>
        <w:pStyle w:val="ListParagraph"/>
        <w:numPr>
          <w:ilvl w:val="0"/>
          <w:numId w:val="2"/>
        </w:numPr>
        <w:tabs>
          <w:tab w:val="clear" w:pos="690"/>
        </w:tabs>
        <w:spacing w:line="480" w:lineRule="auto"/>
        <w:ind w:left="567" w:hanging="567"/>
        <w:jc w:val="both"/>
        <w:rPr>
          <w:u w:val="none"/>
          <w:lang w:val="en-US"/>
        </w:rPr>
      </w:pPr>
      <w:r w:rsidRPr="00490F25">
        <w:rPr>
          <w:u w:val="none"/>
          <w:lang w:val="en-US"/>
        </w:rPr>
        <w:t xml:space="preserve">The appeal accordingly succeeds, with costs, and the order of the court </w:t>
      </w:r>
      <w:r w:rsidRPr="00303C89">
        <w:rPr>
          <w:i/>
          <w:u w:val="none"/>
          <w:lang w:val="en-US"/>
        </w:rPr>
        <w:t>a</w:t>
      </w:r>
      <w:r w:rsidR="00265DD2" w:rsidRPr="00303C89">
        <w:rPr>
          <w:i/>
          <w:u w:val="none"/>
          <w:lang w:val="en-US"/>
        </w:rPr>
        <w:t xml:space="preserve"> </w:t>
      </w:r>
      <w:r w:rsidRPr="00303C89">
        <w:rPr>
          <w:i/>
          <w:u w:val="none"/>
          <w:lang w:val="en-US"/>
        </w:rPr>
        <w:t>quo</w:t>
      </w:r>
      <w:r w:rsidRPr="00490F25">
        <w:rPr>
          <w:u w:val="none"/>
          <w:lang w:val="en-US"/>
        </w:rPr>
        <w:t xml:space="preserve"> </w:t>
      </w:r>
      <w:r w:rsidR="00490F25" w:rsidRPr="00490F25">
        <w:rPr>
          <w:u w:val="none"/>
          <w:lang w:val="en-US"/>
        </w:rPr>
        <w:t>is set aside and the following order is substituted:</w:t>
      </w:r>
    </w:p>
    <w:p w:rsidR="00490F25" w:rsidRPr="00490F25" w:rsidRDefault="00490F25" w:rsidP="00BB65B2">
      <w:pPr>
        <w:pStyle w:val="ListParagraph"/>
        <w:spacing w:line="480" w:lineRule="auto"/>
        <w:ind w:left="1134" w:hanging="567"/>
        <w:jc w:val="both"/>
        <w:rPr>
          <w:u w:val="none"/>
          <w:lang w:val="en-US"/>
        </w:rPr>
      </w:pPr>
      <w:r w:rsidRPr="00490F25">
        <w:rPr>
          <w:u w:val="none"/>
          <w:lang w:val="en-US"/>
        </w:rPr>
        <w:t>“1.</w:t>
      </w:r>
      <w:r w:rsidR="00BB65B2">
        <w:rPr>
          <w:u w:val="none"/>
          <w:lang w:val="en-US"/>
        </w:rPr>
        <w:tab/>
      </w:r>
      <w:r w:rsidRPr="00490F25">
        <w:rPr>
          <w:u w:val="none"/>
          <w:lang w:val="en-US"/>
        </w:rPr>
        <w:t xml:space="preserve">Confirming that the agreement of sale entered into between the first respondent, duly represented by the second respondent. and Abel Ikgopoleng Pitse dated 4 October 2001 pertaining to </w:t>
      </w:r>
      <w:r w:rsidR="00A200AB">
        <w:rPr>
          <w:u w:val="none"/>
          <w:lang w:val="en-US"/>
        </w:rPr>
        <w:t>Stand 6643,</w:t>
      </w:r>
      <w:r>
        <w:rPr>
          <w:u w:val="none"/>
          <w:lang w:val="en-US"/>
        </w:rPr>
        <w:t xml:space="preserve"> Orlando East, w</w:t>
      </w:r>
      <w:r w:rsidRPr="00490F25">
        <w:rPr>
          <w:u w:val="none"/>
          <w:lang w:val="en-US"/>
        </w:rPr>
        <w:t>as validly terminated by the first and second respondents on 6 August 2015</w:t>
      </w:r>
      <w:r>
        <w:rPr>
          <w:u w:val="none"/>
          <w:lang w:val="en-US"/>
        </w:rPr>
        <w:t>.</w:t>
      </w:r>
    </w:p>
    <w:p w:rsidR="00490F25" w:rsidRPr="00490F25" w:rsidRDefault="00490F25" w:rsidP="00BB65B2">
      <w:pPr>
        <w:pStyle w:val="ListParagraph"/>
        <w:spacing w:line="480" w:lineRule="auto"/>
        <w:ind w:left="1134" w:hanging="567"/>
        <w:jc w:val="both"/>
        <w:rPr>
          <w:u w:val="none"/>
          <w:lang w:val="en-US"/>
        </w:rPr>
      </w:pPr>
      <w:r w:rsidRPr="00490F25">
        <w:rPr>
          <w:u w:val="none"/>
          <w:lang w:val="en-US"/>
        </w:rPr>
        <w:t>2.</w:t>
      </w:r>
      <w:r w:rsidR="00BB65B2">
        <w:rPr>
          <w:u w:val="none"/>
          <w:lang w:val="en-US"/>
        </w:rPr>
        <w:tab/>
      </w:r>
      <w:r w:rsidRPr="00490F25">
        <w:rPr>
          <w:u w:val="none"/>
          <w:lang w:val="en-US"/>
        </w:rPr>
        <w:t>That the main application brought by the applicant be dismissed with costs.</w:t>
      </w:r>
    </w:p>
    <w:p w:rsidR="00490F25" w:rsidRDefault="00490F25" w:rsidP="00BB65B2">
      <w:pPr>
        <w:pStyle w:val="ListParagraph"/>
        <w:spacing w:line="480" w:lineRule="auto"/>
        <w:ind w:left="1134" w:hanging="567"/>
        <w:jc w:val="both"/>
        <w:rPr>
          <w:u w:val="none"/>
          <w:lang w:val="en-US"/>
        </w:rPr>
      </w:pPr>
      <w:r w:rsidRPr="00490F25">
        <w:rPr>
          <w:u w:val="none"/>
          <w:lang w:val="en-US"/>
        </w:rPr>
        <w:t>3.</w:t>
      </w:r>
      <w:r w:rsidR="00BB65B2">
        <w:rPr>
          <w:u w:val="none"/>
          <w:lang w:val="en-US"/>
        </w:rPr>
        <w:tab/>
      </w:r>
      <w:r w:rsidR="0034037E">
        <w:rPr>
          <w:u w:val="none"/>
          <w:lang w:val="en-US"/>
        </w:rPr>
        <w:t>Th</w:t>
      </w:r>
      <w:r w:rsidR="00621ABB">
        <w:rPr>
          <w:u w:val="none"/>
          <w:lang w:val="en-US"/>
        </w:rPr>
        <w:t>at th</w:t>
      </w:r>
      <w:r w:rsidR="0034037E">
        <w:rPr>
          <w:u w:val="none"/>
          <w:lang w:val="en-US"/>
        </w:rPr>
        <w:t>e applicant is to pay the c</w:t>
      </w:r>
      <w:r w:rsidRPr="00490F25">
        <w:rPr>
          <w:u w:val="none"/>
          <w:lang w:val="en-US"/>
        </w:rPr>
        <w:t>osts of the counter-application</w:t>
      </w:r>
      <w:r>
        <w:rPr>
          <w:u w:val="none"/>
          <w:lang w:val="en-US"/>
        </w:rPr>
        <w:t>”.</w:t>
      </w:r>
    </w:p>
    <w:p w:rsidR="003A1F4C" w:rsidRPr="00490F25" w:rsidRDefault="003A1F4C" w:rsidP="00BB65B2">
      <w:pPr>
        <w:pStyle w:val="ListParagraph"/>
        <w:spacing w:line="480" w:lineRule="auto"/>
        <w:ind w:left="1134" w:hanging="567"/>
        <w:jc w:val="both"/>
        <w:rPr>
          <w:u w:val="none"/>
          <w:lang w:val="en-US"/>
        </w:rPr>
      </w:pPr>
    </w:p>
    <w:p w:rsidR="00972885" w:rsidRPr="00303C89" w:rsidRDefault="00972885" w:rsidP="00303C89">
      <w:pPr>
        <w:spacing w:before="240" w:line="360" w:lineRule="auto"/>
        <w:jc w:val="right"/>
        <w:rPr>
          <w:u w:val="none"/>
        </w:rPr>
      </w:pPr>
      <w:r w:rsidRPr="00265DD2">
        <w:rPr>
          <w:b/>
          <w:u w:val="none"/>
        </w:rPr>
        <w:t>_______________</w:t>
      </w:r>
      <w:r w:rsidR="00265DD2">
        <w:rPr>
          <w:b/>
          <w:u w:val="none"/>
        </w:rPr>
        <w:t>________________</w:t>
      </w:r>
    </w:p>
    <w:p w:rsidR="009A15D5" w:rsidRDefault="00972885">
      <w:pPr>
        <w:spacing w:line="360" w:lineRule="auto"/>
        <w:jc w:val="right"/>
        <w:rPr>
          <w:b/>
          <w:u w:val="none"/>
        </w:rPr>
      </w:pPr>
      <w:r w:rsidRPr="0097259F">
        <w:rPr>
          <w:b/>
          <w:u w:val="none"/>
        </w:rPr>
        <w:t>MUDAU J</w:t>
      </w:r>
    </w:p>
    <w:p w:rsidR="009A15D5" w:rsidRPr="009A15D5" w:rsidRDefault="009A15D5">
      <w:pPr>
        <w:spacing w:line="360" w:lineRule="auto"/>
        <w:jc w:val="right"/>
        <w:rPr>
          <w:b/>
          <w:u w:val="none"/>
        </w:rPr>
      </w:pPr>
      <w:r w:rsidRPr="009A15D5">
        <w:rPr>
          <w:u w:val="none"/>
        </w:rPr>
        <w:t>Judge of the High Court</w:t>
      </w:r>
    </w:p>
    <w:p w:rsidR="004B4EB6" w:rsidRPr="009A15D5" w:rsidRDefault="009A15D5">
      <w:pPr>
        <w:pStyle w:val="ListParagraph"/>
        <w:spacing w:after="120" w:line="360" w:lineRule="auto"/>
        <w:jc w:val="right"/>
        <w:rPr>
          <w:u w:val="none"/>
        </w:rPr>
      </w:pPr>
      <w:r w:rsidRPr="009A15D5">
        <w:rPr>
          <w:u w:val="none"/>
        </w:rPr>
        <w:t>Gauteng Division, Johannesburg</w:t>
      </w:r>
    </w:p>
    <w:p w:rsidR="004B4EB6" w:rsidRDefault="004B4EB6">
      <w:pPr>
        <w:pStyle w:val="ListParagraph"/>
        <w:spacing w:after="120" w:line="360" w:lineRule="auto"/>
        <w:jc w:val="right"/>
      </w:pPr>
    </w:p>
    <w:p w:rsidR="004B4EB6" w:rsidRDefault="004B4EB6">
      <w:pPr>
        <w:pStyle w:val="ListParagraph"/>
        <w:keepNext/>
        <w:keepLines/>
        <w:tabs>
          <w:tab w:val="left" w:pos="0"/>
        </w:tabs>
        <w:jc w:val="right"/>
        <w:rPr>
          <w:rFonts w:cs="Times New Roman"/>
          <w:b/>
        </w:rPr>
      </w:pPr>
      <w:r>
        <w:rPr>
          <w:b/>
        </w:rPr>
        <w:t>________________________________</w:t>
      </w:r>
    </w:p>
    <w:p w:rsidR="004B4EB6" w:rsidRPr="009A15D5" w:rsidRDefault="00265DD2">
      <w:pPr>
        <w:pStyle w:val="ListParagraph"/>
        <w:keepNext/>
        <w:spacing w:before="240" w:line="360" w:lineRule="auto"/>
        <w:jc w:val="right"/>
        <w:rPr>
          <w:b/>
          <w:u w:val="none"/>
        </w:rPr>
      </w:pPr>
      <w:r w:rsidRPr="009A15D5">
        <w:rPr>
          <w:b/>
          <w:u w:val="none"/>
        </w:rPr>
        <w:t>WEPENER</w:t>
      </w:r>
      <w:r>
        <w:rPr>
          <w:b/>
          <w:u w:val="none"/>
        </w:rPr>
        <w:t xml:space="preserve"> J</w:t>
      </w:r>
    </w:p>
    <w:p w:rsidR="004B4EB6" w:rsidRPr="009A15D5" w:rsidRDefault="004B4EB6">
      <w:pPr>
        <w:pStyle w:val="ListParagraph"/>
        <w:keepNext/>
        <w:spacing w:line="360" w:lineRule="auto"/>
        <w:jc w:val="right"/>
        <w:rPr>
          <w:u w:val="none"/>
        </w:rPr>
      </w:pPr>
      <w:r w:rsidRPr="009A15D5">
        <w:rPr>
          <w:u w:val="none"/>
        </w:rPr>
        <w:t>Judge of the High Court</w:t>
      </w:r>
    </w:p>
    <w:p w:rsidR="004B4EB6" w:rsidRPr="009A15D5" w:rsidRDefault="004B4EB6">
      <w:pPr>
        <w:pStyle w:val="ListParagraph"/>
        <w:spacing w:after="120" w:line="360" w:lineRule="auto"/>
        <w:jc w:val="right"/>
        <w:rPr>
          <w:u w:val="none"/>
        </w:rPr>
      </w:pPr>
      <w:r w:rsidRPr="009A15D5">
        <w:rPr>
          <w:u w:val="none"/>
        </w:rPr>
        <w:t>Gauteng Division, Johannesburg</w:t>
      </w:r>
    </w:p>
    <w:p w:rsidR="004B4EB6" w:rsidRDefault="004B4EB6">
      <w:pPr>
        <w:pStyle w:val="ListParagraph"/>
        <w:spacing w:after="120" w:line="360" w:lineRule="auto"/>
        <w:jc w:val="right"/>
      </w:pPr>
    </w:p>
    <w:p w:rsidR="004B4EB6" w:rsidRDefault="004B4EB6">
      <w:pPr>
        <w:pStyle w:val="ListParagraph"/>
        <w:spacing w:after="120" w:line="360" w:lineRule="auto"/>
        <w:jc w:val="right"/>
      </w:pPr>
    </w:p>
    <w:p w:rsidR="004B4EB6" w:rsidRDefault="004B4EB6">
      <w:pPr>
        <w:pStyle w:val="ListParagraph"/>
        <w:keepNext/>
        <w:keepLines/>
        <w:tabs>
          <w:tab w:val="left" w:pos="0"/>
        </w:tabs>
        <w:jc w:val="right"/>
        <w:rPr>
          <w:rFonts w:cs="Times New Roman"/>
          <w:b/>
        </w:rPr>
      </w:pPr>
      <w:r>
        <w:rPr>
          <w:b/>
        </w:rPr>
        <w:lastRenderedPageBreak/>
        <w:t>________________________________</w:t>
      </w:r>
    </w:p>
    <w:p w:rsidR="004B4EB6" w:rsidRPr="007249B2" w:rsidRDefault="00265DD2">
      <w:pPr>
        <w:pStyle w:val="ListParagraph"/>
        <w:keepNext/>
        <w:spacing w:before="240" w:line="360" w:lineRule="auto"/>
        <w:jc w:val="right"/>
        <w:rPr>
          <w:b/>
          <w:u w:val="none"/>
        </w:rPr>
      </w:pPr>
      <w:r w:rsidRPr="007249B2">
        <w:rPr>
          <w:b/>
          <w:u w:val="none"/>
        </w:rPr>
        <w:t>TODD</w:t>
      </w:r>
      <w:r>
        <w:rPr>
          <w:b/>
          <w:u w:val="none"/>
        </w:rPr>
        <w:t xml:space="preserve"> AJ</w:t>
      </w:r>
    </w:p>
    <w:p w:rsidR="004B4EB6" w:rsidRPr="009A15D5" w:rsidRDefault="009A15D5">
      <w:pPr>
        <w:pStyle w:val="ListParagraph"/>
        <w:keepNext/>
        <w:spacing w:line="360" w:lineRule="auto"/>
        <w:jc w:val="right"/>
        <w:rPr>
          <w:u w:val="none"/>
        </w:rPr>
      </w:pPr>
      <w:r w:rsidRPr="009A15D5">
        <w:rPr>
          <w:u w:val="none"/>
        </w:rPr>
        <w:t xml:space="preserve">Acting </w:t>
      </w:r>
      <w:r w:rsidR="004B4EB6" w:rsidRPr="009A15D5">
        <w:rPr>
          <w:u w:val="none"/>
        </w:rPr>
        <w:t>Judge of the High Court</w:t>
      </w:r>
    </w:p>
    <w:p w:rsidR="004B4EB6" w:rsidRPr="009A15D5" w:rsidRDefault="004B4EB6">
      <w:pPr>
        <w:pStyle w:val="ListParagraph"/>
        <w:spacing w:after="120" w:line="360" w:lineRule="auto"/>
        <w:jc w:val="right"/>
        <w:rPr>
          <w:u w:val="none"/>
        </w:rPr>
      </w:pPr>
      <w:r w:rsidRPr="009A15D5">
        <w:rPr>
          <w:u w:val="none"/>
        </w:rPr>
        <w:t>Gauteng Division, Johannesburg</w:t>
      </w:r>
    </w:p>
    <w:p w:rsidR="00972885" w:rsidRPr="0097259F" w:rsidRDefault="00972885" w:rsidP="00EF0779">
      <w:pPr>
        <w:spacing w:line="360" w:lineRule="auto"/>
        <w:jc w:val="right"/>
        <w:rPr>
          <w:b/>
          <w:u w:val="none"/>
        </w:rPr>
      </w:pPr>
    </w:p>
    <w:p w:rsidR="00972885" w:rsidRPr="00303C89" w:rsidRDefault="00972885" w:rsidP="00EF0779">
      <w:pPr>
        <w:spacing w:line="360" w:lineRule="auto"/>
        <w:jc w:val="both"/>
        <w:rPr>
          <w:b/>
          <w:u w:val="none"/>
        </w:rPr>
      </w:pPr>
      <w:r w:rsidRPr="00303C89">
        <w:rPr>
          <w:b/>
          <w:u w:val="none"/>
        </w:rPr>
        <w:t>APPEARANCES</w:t>
      </w:r>
    </w:p>
    <w:p w:rsidR="001D1A34" w:rsidRDefault="001D1A34" w:rsidP="00EF0779">
      <w:pPr>
        <w:spacing w:line="360" w:lineRule="auto"/>
        <w:jc w:val="both"/>
        <w:rPr>
          <w:u w:val="none"/>
        </w:rPr>
      </w:pPr>
    </w:p>
    <w:p w:rsidR="00972885" w:rsidRPr="0097259F" w:rsidRDefault="007249B2" w:rsidP="00EF0779">
      <w:pPr>
        <w:spacing w:line="360" w:lineRule="auto"/>
        <w:jc w:val="both"/>
        <w:rPr>
          <w:u w:val="none"/>
        </w:rPr>
      </w:pPr>
      <w:r>
        <w:rPr>
          <w:u w:val="none"/>
        </w:rPr>
        <w:t>For the Appellants</w:t>
      </w:r>
      <w:r w:rsidR="00E46C4B" w:rsidRPr="0097259F">
        <w:rPr>
          <w:u w:val="none"/>
        </w:rPr>
        <w:t>:</w:t>
      </w:r>
      <w:r w:rsidR="00972885" w:rsidRPr="0097259F">
        <w:rPr>
          <w:u w:val="none"/>
        </w:rPr>
        <w:tab/>
      </w:r>
      <w:r w:rsidR="00972885" w:rsidRPr="0097259F">
        <w:rPr>
          <w:u w:val="none"/>
        </w:rPr>
        <w:tab/>
      </w:r>
      <w:r w:rsidR="00972885" w:rsidRPr="0097259F">
        <w:rPr>
          <w:u w:val="none"/>
        </w:rPr>
        <w:tab/>
      </w:r>
      <w:r w:rsidR="003A1F4C">
        <w:rPr>
          <w:u w:val="none"/>
        </w:rPr>
        <w:tab/>
      </w:r>
      <w:r w:rsidR="007F2CD8" w:rsidRPr="0097259F">
        <w:rPr>
          <w:u w:val="none"/>
        </w:rPr>
        <w:t>Adv</w:t>
      </w:r>
      <w:r w:rsidR="00AB5C7A" w:rsidRPr="0097259F">
        <w:rPr>
          <w:u w:val="none"/>
        </w:rPr>
        <w:t>.</w:t>
      </w:r>
      <w:r w:rsidR="007F2CD8" w:rsidRPr="0097259F">
        <w:rPr>
          <w:u w:val="none"/>
        </w:rPr>
        <w:t xml:space="preserve"> </w:t>
      </w:r>
      <w:r w:rsidR="007D20E2">
        <w:rPr>
          <w:bCs/>
          <w:sz w:val="23"/>
          <w:szCs w:val="23"/>
          <w:u w:val="none"/>
        </w:rPr>
        <w:t>M V Chauke (Heads by Adv M Sibanda)</w:t>
      </w:r>
    </w:p>
    <w:p w:rsidR="00972885" w:rsidRPr="0097259F" w:rsidRDefault="00972885" w:rsidP="00EF0779">
      <w:pPr>
        <w:spacing w:line="360" w:lineRule="auto"/>
        <w:jc w:val="both"/>
        <w:rPr>
          <w:u w:val="none"/>
        </w:rPr>
      </w:pPr>
      <w:r w:rsidRPr="0097259F">
        <w:rPr>
          <w:u w:val="none"/>
        </w:rPr>
        <w:t>Instructed by:</w:t>
      </w:r>
      <w:r w:rsidRPr="0097259F">
        <w:rPr>
          <w:u w:val="none"/>
        </w:rPr>
        <w:tab/>
      </w:r>
      <w:r w:rsidR="00AB5C7A" w:rsidRPr="0097259F">
        <w:rPr>
          <w:u w:val="none"/>
        </w:rPr>
        <w:tab/>
      </w:r>
      <w:r w:rsidR="00AB5C7A" w:rsidRPr="0097259F">
        <w:rPr>
          <w:u w:val="none"/>
        </w:rPr>
        <w:tab/>
      </w:r>
      <w:r w:rsidR="003A1F4C">
        <w:rPr>
          <w:u w:val="none"/>
        </w:rPr>
        <w:tab/>
      </w:r>
      <w:r w:rsidR="007D20E2" w:rsidRPr="007D20E2">
        <w:rPr>
          <w:u w:val="none"/>
        </w:rPr>
        <w:t>Moodie &amp; Robertson Attorneys</w:t>
      </w:r>
    </w:p>
    <w:p w:rsidR="00972885" w:rsidRPr="0097259F" w:rsidRDefault="00972885" w:rsidP="00EF0779">
      <w:pPr>
        <w:spacing w:line="360" w:lineRule="auto"/>
        <w:jc w:val="both"/>
        <w:rPr>
          <w:u w:val="none"/>
        </w:rPr>
      </w:pPr>
    </w:p>
    <w:p w:rsidR="00AB5C7A" w:rsidRDefault="00972885" w:rsidP="00EF0779">
      <w:pPr>
        <w:spacing w:line="360" w:lineRule="auto"/>
        <w:jc w:val="both"/>
        <w:rPr>
          <w:u w:val="none"/>
        </w:rPr>
      </w:pPr>
      <w:r w:rsidRPr="0097259F">
        <w:rPr>
          <w:u w:val="none"/>
        </w:rPr>
        <w:t>For the</w:t>
      </w:r>
      <w:r w:rsidR="007D20E2">
        <w:rPr>
          <w:u w:val="none"/>
        </w:rPr>
        <w:t xml:space="preserve"> 1</w:t>
      </w:r>
      <w:r w:rsidR="007D20E2" w:rsidRPr="007D20E2">
        <w:rPr>
          <w:u w:val="none"/>
          <w:vertAlign w:val="superscript"/>
        </w:rPr>
        <w:t>st</w:t>
      </w:r>
      <w:r w:rsidR="007D20E2">
        <w:rPr>
          <w:u w:val="none"/>
        </w:rPr>
        <w:t xml:space="preserve"> and 2nd</w:t>
      </w:r>
      <w:r w:rsidRPr="0097259F">
        <w:rPr>
          <w:u w:val="none"/>
        </w:rPr>
        <w:t xml:space="preserve"> Respondent</w:t>
      </w:r>
      <w:r w:rsidR="00984C0B" w:rsidRPr="0097259F">
        <w:rPr>
          <w:u w:val="none"/>
        </w:rPr>
        <w:t>s</w:t>
      </w:r>
      <w:r w:rsidRPr="0097259F">
        <w:rPr>
          <w:u w:val="none"/>
        </w:rPr>
        <w:t>:</w:t>
      </w:r>
      <w:r w:rsidR="001D1A34">
        <w:rPr>
          <w:u w:val="none"/>
        </w:rPr>
        <w:tab/>
      </w:r>
      <w:r w:rsidR="001D1A34">
        <w:rPr>
          <w:u w:val="none"/>
        </w:rPr>
        <w:tab/>
      </w:r>
      <w:r w:rsidR="007D20E2">
        <w:rPr>
          <w:u w:val="none"/>
        </w:rPr>
        <w:t xml:space="preserve">Adv </w:t>
      </w:r>
      <w:r w:rsidR="007D20E2" w:rsidRPr="007D20E2">
        <w:rPr>
          <w:u w:val="none"/>
        </w:rPr>
        <w:t>NL Dyirakumunda</w:t>
      </w:r>
    </w:p>
    <w:p w:rsidR="007D20E2" w:rsidRPr="0097259F" w:rsidRDefault="007D20E2" w:rsidP="00EF0779">
      <w:pPr>
        <w:spacing w:line="360" w:lineRule="auto"/>
        <w:jc w:val="both"/>
        <w:rPr>
          <w:u w:val="none"/>
        </w:rPr>
      </w:pPr>
      <w:r>
        <w:rPr>
          <w:u w:val="none"/>
        </w:rPr>
        <w:t>Instructed by:</w:t>
      </w:r>
      <w:r w:rsidR="003A1F4C">
        <w:rPr>
          <w:u w:val="none"/>
        </w:rPr>
        <w:tab/>
      </w:r>
      <w:r w:rsidR="003A1F4C">
        <w:rPr>
          <w:u w:val="none"/>
        </w:rPr>
        <w:tab/>
      </w:r>
      <w:r w:rsidR="003A1F4C">
        <w:rPr>
          <w:u w:val="none"/>
        </w:rPr>
        <w:tab/>
      </w:r>
      <w:r w:rsidR="003A1F4C">
        <w:rPr>
          <w:u w:val="none"/>
        </w:rPr>
        <w:tab/>
      </w:r>
      <w:r w:rsidRPr="007D20E2">
        <w:rPr>
          <w:u w:val="none"/>
        </w:rPr>
        <w:t>DMB Attorneys</w:t>
      </w:r>
    </w:p>
    <w:p w:rsidR="00972885" w:rsidRPr="0097259F" w:rsidRDefault="00972885" w:rsidP="00EF0779">
      <w:pPr>
        <w:spacing w:line="360" w:lineRule="auto"/>
        <w:jc w:val="both"/>
        <w:rPr>
          <w:u w:val="none"/>
        </w:rPr>
      </w:pPr>
    </w:p>
    <w:p w:rsidR="00AB5C7A" w:rsidRPr="0097259F" w:rsidRDefault="00AB5C7A" w:rsidP="00EF0779">
      <w:pPr>
        <w:spacing w:line="360" w:lineRule="auto"/>
        <w:jc w:val="both"/>
        <w:rPr>
          <w:u w:val="none"/>
        </w:rPr>
      </w:pPr>
      <w:r w:rsidRPr="0097259F">
        <w:rPr>
          <w:u w:val="none"/>
        </w:rPr>
        <w:t>Date of Hearing:</w:t>
      </w:r>
      <w:r w:rsidRPr="0097259F">
        <w:rPr>
          <w:u w:val="none"/>
        </w:rPr>
        <w:tab/>
      </w:r>
      <w:r w:rsidRPr="0097259F">
        <w:rPr>
          <w:u w:val="none"/>
        </w:rPr>
        <w:tab/>
      </w:r>
      <w:r w:rsidRPr="0097259F">
        <w:rPr>
          <w:u w:val="none"/>
        </w:rPr>
        <w:tab/>
      </w:r>
      <w:r w:rsidR="007249B2">
        <w:rPr>
          <w:u w:val="none"/>
        </w:rPr>
        <w:t xml:space="preserve">10 August </w:t>
      </w:r>
      <w:r w:rsidRPr="0097259F">
        <w:rPr>
          <w:u w:val="none"/>
        </w:rPr>
        <w:t>2022</w:t>
      </w:r>
    </w:p>
    <w:p w:rsidR="002F15B7" w:rsidRPr="0097259F" w:rsidRDefault="00AB5C7A" w:rsidP="00303C89">
      <w:pPr>
        <w:spacing w:line="360" w:lineRule="auto"/>
        <w:jc w:val="both"/>
        <w:rPr>
          <w:u w:val="none"/>
        </w:rPr>
      </w:pPr>
      <w:r w:rsidRPr="0097259F">
        <w:rPr>
          <w:u w:val="none"/>
        </w:rPr>
        <w:t>Date of Judgment:</w:t>
      </w:r>
      <w:r w:rsidRPr="0097259F">
        <w:rPr>
          <w:u w:val="none"/>
        </w:rPr>
        <w:tab/>
      </w:r>
      <w:r w:rsidR="007249B2">
        <w:rPr>
          <w:u w:val="none"/>
        </w:rPr>
        <w:tab/>
      </w:r>
      <w:r w:rsidR="007249B2">
        <w:rPr>
          <w:u w:val="none"/>
        </w:rPr>
        <w:tab/>
        <w:t>13</w:t>
      </w:r>
      <w:r w:rsidR="00C32774" w:rsidRPr="0097259F">
        <w:rPr>
          <w:u w:val="none"/>
        </w:rPr>
        <w:t xml:space="preserve"> </w:t>
      </w:r>
      <w:r w:rsidR="007249B2">
        <w:rPr>
          <w:u w:val="none"/>
        </w:rPr>
        <w:t xml:space="preserve">September </w:t>
      </w:r>
      <w:r w:rsidRPr="0097259F">
        <w:rPr>
          <w:u w:val="none"/>
        </w:rPr>
        <w:t>2022</w:t>
      </w:r>
    </w:p>
    <w:sectPr w:rsidR="002F15B7" w:rsidRPr="0097259F" w:rsidSect="000B37FD">
      <w:footerReference w:type="default" r:id="rId10"/>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7B" w:rsidRDefault="00E9697B" w:rsidP="00972885">
      <w:r>
        <w:separator/>
      </w:r>
    </w:p>
  </w:endnote>
  <w:endnote w:type="continuationSeparator" w:id="0">
    <w:p w:rsidR="00E9697B" w:rsidRDefault="00E9697B"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590287">
      <w:rPr>
        <w:noProof/>
        <w:u w:val="none"/>
      </w:rPr>
      <w:t>14</w:t>
    </w:r>
    <w:r w:rsidRPr="009C3009">
      <w:rPr>
        <w:noProof/>
        <w:u w:val="none"/>
      </w:rPr>
      <w:fldChar w:fldCharType="end"/>
    </w:r>
  </w:p>
  <w:p w:rsidR="00950FD7" w:rsidRDefault="009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7B" w:rsidRDefault="00E9697B" w:rsidP="00972885">
      <w:r>
        <w:separator/>
      </w:r>
    </w:p>
  </w:footnote>
  <w:footnote w:type="continuationSeparator" w:id="0">
    <w:p w:rsidR="00E9697B" w:rsidRDefault="00E9697B" w:rsidP="00972885">
      <w:r>
        <w:continuationSeparator/>
      </w:r>
    </w:p>
  </w:footnote>
  <w:footnote w:id="1">
    <w:p w:rsidR="00487279" w:rsidRPr="002F776B" w:rsidRDefault="00487279" w:rsidP="00303C89">
      <w:pPr>
        <w:pStyle w:val="FootnoteText"/>
        <w:jc w:val="both"/>
        <w:rPr>
          <w:u w:val="none"/>
        </w:rPr>
      </w:pPr>
      <w:r w:rsidRPr="002F776B">
        <w:rPr>
          <w:rStyle w:val="FootnoteReference"/>
          <w:u w:val="none"/>
        </w:rPr>
        <w:footnoteRef/>
      </w:r>
      <w:r w:rsidRPr="002F776B">
        <w:rPr>
          <w:u w:val="none"/>
        </w:rPr>
        <w:t xml:space="preserve"> </w:t>
      </w:r>
      <w:r w:rsidRPr="002F776B">
        <w:rPr>
          <w:color w:val="000000"/>
          <w:u w:val="none"/>
        </w:rPr>
        <w:t>2014 (4) SA 124 (CC) at para 43</w:t>
      </w:r>
      <w:r w:rsidR="006F1FB9">
        <w:rPr>
          <w:color w:val="000000"/>
          <w:u w:val="none"/>
        </w:rPr>
        <w:t>.</w:t>
      </w:r>
    </w:p>
  </w:footnote>
  <w:footnote w:id="2">
    <w:p w:rsidR="00DD48F7" w:rsidRPr="002F776B" w:rsidRDefault="00DD48F7" w:rsidP="00303C89">
      <w:pPr>
        <w:pStyle w:val="FootnoteText"/>
        <w:jc w:val="both"/>
        <w:rPr>
          <w:u w:val="none"/>
        </w:rPr>
      </w:pPr>
      <w:r w:rsidRPr="002F776B">
        <w:rPr>
          <w:rStyle w:val="FootnoteReference"/>
          <w:u w:val="none"/>
        </w:rPr>
        <w:footnoteRef/>
      </w:r>
      <w:r w:rsidRPr="002F776B">
        <w:rPr>
          <w:u w:val="none"/>
        </w:rPr>
        <w:t xml:space="preserve"> </w:t>
      </w:r>
      <w:r w:rsidRPr="002F776B">
        <w:rPr>
          <w:color w:val="000000"/>
          <w:u w:val="none"/>
        </w:rPr>
        <w:t>2018 (3) SA</w:t>
      </w:r>
      <w:r w:rsidR="006F1FB9">
        <w:rPr>
          <w:color w:val="000000"/>
          <w:u w:val="none"/>
        </w:rPr>
        <w:t xml:space="preserve"> </w:t>
      </w:r>
      <w:r w:rsidRPr="002F776B">
        <w:rPr>
          <w:color w:val="000000"/>
          <w:u w:val="none"/>
        </w:rPr>
        <w:t>65 (SCA) at para 20</w:t>
      </w:r>
      <w:r w:rsidR="006F1FB9">
        <w:rPr>
          <w:color w:val="000000"/>
          <w:u w:val="none"/>
        </w:rPr>
        <w:t>.</w:t>
      </w:r>
    </w:p>
  </w:footnote>
  <w:footnote w:id="3">
    <w:p w:rsidR="00DD48F7" w:rsidRPr="002F776B" w:rsidRDefault="00DD48F7" w:rsidP="00303C89">
      <w:pPr>
        <w:pStyle w:val="FootnoteText"/>
        <w:jc w:val="both"/>
        <w:rPr>
          <w:u w:val="none"/>
        </w:rPr>
      </w:pPr>
      <w:r w:rsidRPr="002F776B">
        <w:rPr>
          <w:rStyle w:val="FootnoteReference"/>
          <w:u w:val="none"/>
        </w:rPr>
        <w:footnoteRef/>
      </w:r>
      <w:r w:rsidRPr="002F776B">
        <w:rPr>
          <w:u w:val="none"/>
        </w:rPr>
        <w:t xml:space="preserve"> </w:t>
      </w:r>
      <w:r w:rsidR="00001406" w:rsidRPr="00303C89">
        <w:rPr>
          <w:u w:val="none"/>
        </w:rPr>
        <w:t>Botha</w:t>
      </w:r>
      <w:r w:rsidR="00001406">
        <w:rPr>
          <w:u w:val="none"/>
        </w:rPr>
        <w:t xml:space="preserve"> above n 1.</w:t>
      </w:r>
    </w:p>
  </w:footnote>
  <w:footnote w:id="4">
    <w:p w:rsidR="00DD48F7" w:rsidRPr="002F776B" w:rsidRDefault="00DD48F7" w:rsidP="00303C89">
      <w:pPr>
        <w:pStyle w:val="FootnoteText"/>
        <w:jc w:val="both"/>
        <w:rPr>
          <w:u w:val="none"/>
        </w:rPr>
      </w:pPr>
      <w:r w:rsidRPr="002F776B">
        <w:rPr>
          <w:rStyle w:val="FootnoteReference"/>
          <w:u w:val="none"/>
        </w:rPr>
        <w:footnoteRef/>
      </w:r>
      <w:r w:rsidRPr="002F776B">
        <w:rPr>
          <w:u w:val="none"/>
        </w:rPr>
        <w:t xml:space="preserve"> Act </w:t>
      </w:r>
      <w:r w:rsidRPr="002F776B">
        <w:rPr>
          <w:color w:val="000000"/>
          <w:u w:val="none"/>
        </w:rPr>
        <w:t>68 of 1981</w:t>
      </w:r>
      <w:r w:rsidR="00001406">
        <w:rPr>
          <w:color w:val="000000"/>
          <w:u w:val="none"/>
        </w:rPr>
        <w:t>.</w:t>
      </w:r>
    </w:p>
  </w:footnote>
  <w:footnote w:id="5">
    <w:p w:rsidR="00DD48F7" w:rsidRPr="002F776B" w:rsidRDefault="00DD48F7" w:rsidP="00303C89">
      <w:pPr>
        <w:pStyle w:val="FootnoteText"/>
        <w:jc w:val="both"/>
        <w:rPr>
          <w:u w:val="none"/>
        </w:rPr>
      </w:pPr>
      <w:r w:rsidRPr="002F776B">
        <w:rPr>
          <w:rStyle w:val="FootnoteReference"/>
          <w:u w:val="none"/>
        </w:rPr>
        <w:footnoteRef/>
      </w:r>
      <w:r w:rsidRPr="002F776B">
        <w:rPr>
          <w:u w:val="none"/>
        </w:rPr>
        <w:t xml:space="preserve"> </w:t>
      </w:r>
      <w:r w:rsidR="00001406" w:rsidRPr="00303C89">
        <w:rPr>
          <w:u w:val="none"/>
        </w:rPr>
        <w:t>Botha</w:t>
      </w:r>
      <w:r w:rsidR="00001406">
        <w:rPr>
          <w:u w:val="none"/>
        </w:rPr>
        <w:t xml:space="preserve"> above n 1 </w:t>
      </w:r>
      <w:r w:rsidR="00001406">
        <w:rPr>
          <w:rFonts w:eastAsiaTheme="minorHAnsi"/>
          <w:color w:val="000000"/>
          <w:u w:val="none"/>
          <w:lang w:eastAsia="en-US"/>
        </w:rPr>
        <w:t>at paras</w:t>
      </w:r>
      <w:r w:rsidRPr="002F776B">
        <w:rPr>
          <w:rFonts w:eastAsiaTheme="minorHAnsi"/>
          <w:color w:val="000000"/>
          <w:u w:val="none"/>
          <w:lang w:eastAsia="en-US"/>
        </w:rPr>
        <w:t xml:space="preserve"> [50]–[51]</w:t>
      </w:r>
      <w:r w:rsidR="00001406">
        <w:rPr>
          <w:rFonts w:eastAsiaTheme="minorHAnsi"/>
          <w:color w:val="000000"/>
          <w:u w:val="none"/>
          <w:lang w:eastAsia="en-US"/>
        </w:rPr>
        <w:t>.</w:t>
      </w:r>
    </w:p>
  </w:footnote>
  <w:footnote w:id="6">
    <w:p w:rsidR="00DD48F7" w:rsidRPr="002F776B" w:rsidRDefault="00DD48F7" w:rsidP="00303C89">
      <w:pPr>
        <w:pStyle w:val="FootnoteText"/>
        <w:jc w:val="both"/>
        <w:rPr>
          <w:color w:val="242121"/>
          <w:u w:val="none"/>
          <w:shd w:val="clear" w:color="auto" w:fill="FFFFFF"/>
          <w:lang w:val="en-ZA" w:eastAsia="en-US"/>
        </w:rPr>
      </w:pPr>
      <w:r w:rsidRPr="002F776B">
        <w:rPr>
          <w:rStyle w:val="FootnoteReference"/>
          <w:u w:val="none"/>
        </w:rPr>
        <w:footnoteRef/>
      </w:r>
      <w:r w:rsidRPr="002F776B">
        <w:rPr>
          <w:u w:val="none"/>
        </w:rPr>
        <w:t xml:space="preserve"> </w:t>
      </w:r>
      <w:r w:rsidR="00951166">
        <w:rPr>
          <w:u w:val="none"/>
        </w:rPr>
        <w:t xml:space="preserve">See </w:t>
      </w:r>
      <w:r w:rsidR="00951166" w:rsidRPr="00303C89">
        <w:rPr>
          <w:i/>
          <w:u w:val="none"/>
          <w:lang w:val="en-US"/>
        </w:rPr>
        <w:t>Chapman</w:t>
      </w:r>
      <w:r w:rsidR="00D46A55">
        <w:rPr>
          <w:i/>
          <w:u w:val="none"/>
          <w:lang w:val="en-US"/>
        </w:rPr>
        <w:t>s</w:t>
      </w:r>
      <w:r w:rsidR="00951166" w:rsidRPr="00303C89">
        <w:rPr>
          <w:i/>
          <w:u w:val="none"/>
          <w:lang w:val="en-US"/>
        </w:rPr>
        <w:t xml:space="preserve"> Peak Hotel (Pty) Ltd and </w:t>
      </w:r>
      <w:r w:rsidR="00D46A55">
        <w:rPr>
          <w:i/>
          <w:u w:val="none"/>
          <w:lang w:val="en-US"/>
        </w:rPr>
        <w:t>A</w:t>
      </w:r>
      <w:r w:rsidR="00951166" w:rsidRPr="00303C89">
        <w:rPr>
          <w:i/>
          <w:u w:val="none"/>
          <w:lang w:val="en-US"/>
        </w:rPr>
        <w:t>nother v Jab and Annalene Restaurants CC t/a O’Hagans</w:t>
      </w:r>
      <w:r w:rsidR="00951166">
        <w:rPr>
          <w:u w:val="none"/>
        </w:rPr>
        <w:t xml:space="preserve"> </w:t>
      </w:r>
      <w:hyperlink r:id="rId1" w:tooltip="View LawCiteRecord" w:history="1">
        <w:r w:rsidR="00A200AB" w:rsidRPr="002F776B">
          <w:rPr>
            <w:color w:val="242121"/>
            <w:u w:val="none"/>
            <w:lang w:val="en-ZA" w:eastAsia="en-US"/>
          </w:rPr>
          <w:t>2001 (4) All SA 415</w:t>
        </w:r>
      </w:hyperlink>
      <w:r w:rsidR="00A200AB" w:rsidRPr="002F776B">
        <w:rPr>
          <w:color w:val="242121"/>
          <w:u w:val="none"/>
          <w:shd w:val="clear" w:color="auto" w:fill="FFFFFF"/>
          <w:lang w:val="en-ZA" w:eastAsia="en-US"/>
        </w:rPr>
        <w:t xml:space="preserve"> (C) at </w:t>
      </w:r>
      <w:r w:rsidRPr="002F776B">
        <w:rPr>
          <w:color w:val="242121"/>
          <w:u w:val="none"/>
          <w:shd w:val="clear" w:color="auto" w:fill="FFFFFF"/>
          <w:lang w:val="en-ZA" w:eastAsia="en-US"/>
        </w:rPr>
        <w:t>para 38</w:t>
      </w:r>
      <w:r w:rsidR="00951166">
        <w:rPr>
          <w:color w:val="242121"/>
          <w:u w:val="none"/>
          <w:shd w:val="clear" w:color="auto" w:fill="FFFFFF"/>
          <w:lang w:val="en-ZA" w:eastAsia="en-US"/>
        </w:rPr>
        <w:t>.</w:t>
      </w:r>
    </w:p>
  </w:footnote>
  <w:footnote w:id="7">
    <w:p w:rsidR="00A200AB" w:rsidRPr="002F776B" w:rsidRDefault="00A200AB" w:rsidP="00303C89">
      <w:pPr>
        <w:pStyle w:val="FootnoteText"/>
        <w:jc w:val="both"/>
      </w:pPr>
      <w:r w:rsidRPr="002F776B">
        <w:rPr>
          <w:rStyle w:val="FootnoteReference"/>
          <w:u w:val="none"/>
        </w:rPr>
        <w:footnoteRef/>
      </w:r>
      <w:r w:rsidRPr="002F776B">
        <w:rPr>
          <w:u w:val="none"/>
        </w:rPr>
        <w:t xml:space="preserve"> </w:t>
      </w:r>
      <w:r w:rsidR="00233382" w:rsidRPr="00303C89">
        <w:rPr>
          <w:u w:val="none"/>
          <w:lang w:val="en-US"/>
        </w:rPr>
        <w:t>Id</w:t>
      </w:r>
      <w:r w:rsidRPr="00233382">
        <w:rPr>
          <w:u w:val="none"/>
          <w:lang w:val="en-US"/>
        </w:rPr>
        <w:t xml:space="preserve"> </w:t>
      </w:r>
      <w:r w:rsidRPr="002F776B">
        <w:rPr>
          <w:u w:val="none"/>
          <w:lang w:val="en-US"/>
        </w:rPr>
        <w:t>at para 12</w:t>
      </w:r>
      <w:r w:rsidR="00951166">
        <w:rPr>
          <w:u w:val="none"/>
          <w:lang w:val="en-US"/>
        </w:rPr>
        <w:t>.</w:t>
      </w:r>
    </w:p>
  </w:footnote>
  <w:footnote w:id="8">
    <w:p w:rsidR="00A200AB" w:rsidRPr="002F776B" w:rsidRDefault="00A200AB" w:rsidP="00303C89">
      <w:pPr>
        <w:pStyle w:val="FootnoteText"/>
        <w:jc w:val="both"/>
        <w:rPr>
          <w:u w:val="none"/>
        </w:rPr>
      </w:pPr>
      <w:r w:rsidRPr="002F776B">
        <w:rPr>
          <w:rStyle w:val="FootnoteReference"/>
          <w:u w:val="none"/>
        </w:rPr>
        <w:footnoteRef/>
      </w:r>
      <w:r w:rsidRPr="002F776B">
        <w:rPr>
          <w:u w:val="none"/>
        </w:rPr>
        <w:t xml:space="preserve"> </w:t>
      </w:r>
      <w:r w:rsidRPr="00303C89">
        <w:rPr>
          <w:bCs/>
          <w:i/>
          <w:color w:val="000000"/>
          <w:u w:val="none"/>
        </w:rPr>
        <w:t xml:space="preserve">Alfred Mcalpine &amp; Son (Pty) Ltd </w:t>
      </w:r>
      <w:r w:rsidR="000D34C1">
        <w:rPr>
          <w:bCs/>
          <w:i/>
          <w:color w:val="000000"/>
          <w:u w:val="none"/>
        </w:rPr>
        <w:t>v</w:t>
      </w:r>
      <w:r w:rsidRPr="00303C89">
        <w:rPr>
          <w:bCs/>
          <w:i/>
          <w:color w:val="000000"/>
          <w:u w:val="none"/>
        </w:rPr>
        <w:t xml:space="preserve"> Transvaal Provincial Administr</w:t>
      </w:r>
      <w:r w:rsidRPr="00303C89">
        <w:rPr>
          <w:bCs/>
          <w:color w:val="000000"/>
          <w:u w:val="none"/>
        </w:rPr>
        <w:t>ation 1974 (3) SA 506 (A) at 532</w:t>
      </w:r>
      <w:r w:rsidRPr="002F776B">
        <w:rPr>
          <w:u w:val="none"/>
          <w:lang w:val="en-US"/>
        </w:rPr>
        <w:t>.</w:t>
      </w:r>
    </w:p>
  </w:footnote>
  <w:footnote w:id="9">
    <w:p w:rsidR="00A200AB" w:rsidRPr="002F776B" w:rsidRDefault="00A200AB" w:rsidP="00303C89">
      <w:pPr>
        <w:pStyle w:val="FootnoteText"/>
        <w:jc w:val="both"/>
        <w:rPr>
          <w:u w:val="none"/>
        </w:rPr>
      </w:pPr>
      <w:r w:rsidRPr="002F776B">
        <w:rPr>
          <w:rStyle w:val="FootnoteReference"/>
          <w:u w:val="none"/>
        </w:rPr>
        <w:footnoteRef/>
      </w:r>
      <w:r w:rsidRPr="002F776B">
        <w:rPr>
          <w:u w:val="none"/>
        </w:rPr>
        <w:t xml:space="preserve"> </w:t>
      </w:r>
      <w:r w:rsidR="000D34C1">
        <w:rPr>
          <w:u w:val="none"/>
        </w:rPr>
        <w:t>Id</w:t>
      </w:r>
      <w:r w:rsidRPr="002F776B">
        <w:rPr>
          <w:u w:val="none"/>
        </w:rPr>
        <w:t xml:space="preserve"> at 532</w:t>
      </w:r>
      <w:r w:rsidR="000D34C1">
        <w:rPr>
          <w:u w:val="none"/>
        </w:rPr>
        <w:t>G-533A.</w:t>
      </w:r>
    </w:p>
  </w:footnote>
  <w:footnote w:id="10">
    <w:p w:rsidR="0027475E" w:rsidRPr="002F776B" w:rsidRDefault="0027475E" w:rsidP="00303C89">
      <w:pPr>
        <w:pStyle w:val="BowLevel1ListAlt"/>
        <w:numPr>
          <w:ilvl w:val="0"/>
          <w:numId w:val="0"/>
        </w:numPr>
        <w:tabs>
          <w:tab w:val="left" w:pos="720"/>
        </w:tabs>
        <w:ind w:left="567" w:hanging="567"/>
        <w:rPr>
          <w:rFonts w:ascii="Arial" w:hAnsi="Arial" w:cs="Arial"/>
          <w:color w:val="242121"/>
          <w:sz w:val="20"/>
          <w:szCs w:val="20"/>
          <w:shd w:val="clear" w:color="auto" w:fill="FFFFFF"/>
        </w:rPr>
      </w:pPr>
      <w:r w:rsidRPr="00303C89">
        <w:rPr>
          <w:rFonts w:ascii="Arial" w:hAnsi="Arial" w:cs="Arial"/>
          <w:color w:val="242121"/>
          <w:sz w:val="20"/>
          <w:szCs w:val="20"/>
          <w:shd w:val="clear" w:color="auto" w:fill="FFFFFF"/>
          <w:vertAlign w:val="superscript"/>
        </w:rPr>
        <w:footnoteRef/>
      </w:r>
      <w:r w:rsidRPr="002F776B">
        <w:rPr>
          <w:rFonts w:ascii="Arial" w:hAnsi="Arial" w:cs="Arial"/>
          <w:color w:val="242121"/>
          <w:sz w:val="20"/>
          <w:szCs w:val="20"/>
          <w:shd w:val="clear" w:color="auto" w:fill="FFFFFF"/>
        </w:rPr>
        <w:t xml:space="preserve"> </w:t>
      </w:r>
      <w:hyperlink r:id="rId2" w:tooltip="View LawCiteRecord" w:history="1">
        <w:r w:rsidRPr="00303C89">
          <w:rPr>
            <w:rFonts w:ascii="Arial" w:hAnsi="Arial" w:cs="Arial"/>
            <w:color w:val="242121"/>
            <w:sz w:val="20"/>
            <w:szCs w:val="20"/>
          </w:rPr>
          <w:t>2012 (4) SA 593</w:t>
        </w:r>
      </w:hyperlink>
      <w:r w:rsidRPr="002F776B">
        <w:rPr>
          <w:rFonts w:ascii="Arial" w:hAnsi="Arial" w:cs="Arial"/>
          <w:color w:val="242121"/>
          <w:sz w:val="20"/>
          <w:szCs w:val="20"/>
          <w:shd w:val="clear" w:color="auto" w:fill="FFFFFF"/>
        </w:rPr>
        <w:t> (</w:t>
      </w:r>
      <w:r w:rsidR="00A200AB" w:rsidRPr="002F776B">
        <w:rPr>
          <w:rFonts w:ascii="Arial" w:hAnsi="Arial" w:cs="Arial"/>
          <w:color w:val="242121"/>
          <w:sz w:val="20"/>
          <w:szCs w:val="20"/>
          <w:shd w:val="clear" w:color="auto" w:fill="FFFFFF"/>
        </w:rPr>
        <w:t>SCA) at para 18</w:t>
      </w:r>
      <w:r w:rsidR="00AA3724">
        <w:rPr>
          <w:rFonts w:ascii="Arial" w:hAnsi="Arial" w:cs="Arial"/>
          <w:color w:val="24212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b w:val="0"/>
      </w:rPr>
    </w:lvl>
    <w:lvl w:ilvl="1">
      <w:start w:val="1"/>
      <w:numFmt w:val="decimal"/>
      <w:pStyle w:val="BowLevel2ListAlt"/>
      <w:lvlText w:val="%1.%2"/>
      <w:lvlJc w:val="left"/>
      <w:pPr>
        <w:tabs>
          <w:tab w:val="num" w:pos="851"/>
        </w:tabs>
        <w:ind w:left="851" w:hanging="851"/>
      </w:pPr>
    </w:lvl>
    <w:lvl w:ilvl="2">
      <w:start w:val="1"/>
      <w:numFmt w:val="decimal"/>
      <w:pStyle w:val="BowLevel3ListAlt"/>
      <w:lvlText w:val="%1.%2.%3"/>
      <w:lvlJc w:val="left"/>
      <w:pPr>
        <w:tabs>
          <w:tab w:val="num" w:pos="1134"/>
        </w:tabs>
        <w:ind w:left="1134" w:hanging="1134"/>
      </w:pPr>
    </w:lvl>
    <w:lvl w:ilvl="3">
      <w:start w:val="1"/>
      <w:numFmt w:val="decimal"/>
      <w:pStyle w:val="BowLevel4ListAlt"/>
      <w:lvlText w:val="%1.%2.%3.%4"/>
      <w:lvlJc w:val="left"/>
      <w:pPr>
        <w:tabs>
          <w:tab w:val="num" w:pos="1418"/>
        </w:tabs>
        <w:ind w:left="1418" w:hanging="1418"/>
      </w:pPr>
      <w:rPr>
        <w:i w:val="0"/>
      </w:rPr>
    </w:lvl>
    <w:lvl w:ilvl="4">
      <w:start w:val="1"/>
      <w:numFmt w:val="decimal"/>
      <w:pStyle w:val="BowLevel5ListAlt"/>
      <w:lvlText w:val="%1.%2.%3.%4.%5"/>
      <w:lvlJc w:val="left"/>
      <w:pPr>
        <w:tabs>
          <w:tab w:val="num" w:pos="1701"/>
        </w:tabs>
        <w:ind w:left="1701" w:hanging="1701"/>
      </w:pPr>
    </w:lvl>
    <w:lvl w:ilvl="5">
      <w:start w:val="1"/>
      <w:numFmt w:val="decimal"/>
      <w:pStyle w:val="BowLevel6ListAlt"/>
      <w:lvlText w:val="%1.%2.%3.%4.%5.%6"/>
      <w:lvlJc w:val="left"/>
      <w:pPr>
        <w:tabs>
          <w:tab w:val="num" w:pos="1985"/>
        </w:tabs>
        <w:ind w:left="1985" w:hanging="1985"/>
      </w:pPr>
    </w:lvl>
    <w:lvl w:ilvl="6">
      <w:start w:val="1"/>
      <w:numFmt w:val="decimal"/>
      <w:pStyle w:val="BowLevel7ListAltM"/>
      <w:lvlText w:val="%1.%2.%3.%4.%5.%6.%7"/>
      <w:lvlJc w:val="left"/>
      <w:pPr>
        <w:tabs>
          <w:tab w:val="num" w:pos="2268"/>
        </w:tabs>
        <w:ind w:left="2268" w:hanging="2268"/>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8E1B62"/>
    <w:multiLevelType w:val="multilevel"/>
    <w:tmpl w:val="FA44955E"/>
    <w:lvl w:ilvl="0">
      <w:start w:val="19"/>
      <w:numFmt w:val="decimal"/>
      <w:lvlText w:val="[%1]"/>
      <w:lvlJc w:val="left"/>
      <w:pPr>
        <w:ind w:left="851" w:hanging="851"/>
      </w:pPr>
      <w:rPr>
        <w:rFonts w:ascii="Helvetica" w:hAnsi="Helvetica" w:cs="Helvetica" w:hint="default"/>
        <w:b w:val="0"/>
        <w:bCs/>
        <w:sz w:val="23"/>
        <w:szCs w:val="23"/>
      </w:rPr>
    </w:lvl>
    <w:lvl w:ilvl="1">
      <w:start w:val="1"/>
      <w:numFmt w:val="decimal"/>
      <w:lvlText w:val="%1.%2."/>
      <w:lvlJc w:val="left"/>
      <w:pPr>
        <w:ind w:left="792" w:hanging="432"/>
      </w:pPr>
      <w:rPr>
        <w:rFonts w:ascii="Helvetica" w:hAnsi="Helvetica" w:cs="Helvetica" w:hint="default"/>
        <w:b w:val="0"/>
        <w:bCs/>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4" w15:restartNumberingAfterBreak="0">
    <w:nsid w:val="71650808"/>
    <w:multiLevelType w:val="hybridMultilevel"/>
    <w:tmpl w:val="DA1278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1406"/>
    <w:rsid w:val="00003568"/>
    <w:rsid w:val="00005C13"/>
    <w:rsid w:val="00006473"/>
    <w:rsid w:val="000216FD"/>
    <w:rsid w:val="00025103"/>
    <w:rsid w:val="000379E7"/>
    <w:rsid w:val="00040252"/>
    <w:rsid w:val="00040BC6"/>
    <w:rsid w:val="000438D4"/>
    <w:rsid w:val="00050245"/>
    <w:rsid w:val="00056EBC"/>
    <w:rsid w:val="0006028C"/>
    <w:rsid w:val="00060E0E"/>
    <w:rsid w:val="00062F1C"/>
    <w:rsid w:val="00065807"/>
    <w:rsid w:val="0007043B"/>
    <w:rsid w:val="00084C83"/>
    <w:rsid w:val="000A7274"/>
    <w:rsid w:val="000B17FD"/>
    <w:rsid w:val="000B1B1B"/>
    <w:rsid w:val="000B37FD"/>
    <w:rsid w:val="000B4065"/>
    <w:rsid w:val="000D34C1"/>
    <w:rsid w:val="000D4137"/>
    <w:rsid w:val="000F33AB"/>
    <w:rsid w:val="000F52AC"/>
    <w:rsid w:val="00105735"/>
    <w:rsid w:val="001237FC"/>
    <w:rsid w:val="00132D4C"/>
    <w:rsid w:val="00133C1C"/>
    <w:rsid w:val="0013784D"/>
    <w:rsid w:val="00151AAE"/>
    <w:rsid w:val="001563C2"/>
    <w:rsid w:val="00165D36"/>
    <w:rsid w:val="00166666"/>
    <w:rsid w:val="00174C94"/>
    <w:rsid w:val="0019115F"/>
    <w:rsid w:val="00191EFB"/>
    <w:rsid w:val="00194AF9"/>
    <w:rsid w:val="0019712D"/>
    <w:rsid w:val="001B3808"/>
    <w:rsid w:val="001C0ABC"/>
    <w:rsid w:val="001C40E6"/>
    <w:rsid w:val="001D1A34"/>
    <w:rsid w:val="001D5AD6"/>
    <w:rsid w:val="001D7A2E"/>
    <w:rsid w:val="001E02FA"/>
    <w:rsid w:val="00221778"/>
    <w:rsid w:val="00233382"/>
    <w:rsid w:val="00250361"/>
    <w:rsid w:val="00254F2E"/>
    <w:rsid w:val="00265DD2"/>
    <w:rsid w:val="002665E7"/>
    <w:rsid w:val="00271C0D"/>
    <w:rsid w:val="0027475E"/>
    <w:rsid w:val="00275743"/>
    <w:rsid w:val="00297060"/>
    <w:rsid w:val="002A1772"/>
    <w:rsid w:val="002A296C"/>
    <w:rsid w:val="002B2470"/>
    <w:rsid w:val="002C3876"/>
    <w:rsid w:val="002C60B4"/>
    <w:rsid w:val="002F15B7"/>
    <w:rsid w:val="002F1F31"/>
    <w:rsid w:val="002F776B"/>
    <w:rsid w:val="003027FA"/>
    <w:rsid w:val="00303C89"/>
    <w:rsid w:val="0031746F"/>
    <w:rsid w:val="003249B7"/>
    <w:rsid w:val="00332284"/>
    <w:rsid w:val="003342E8"/>
    <w:rsid w:val="00335B96"/>
    <w:rsid w:val="00336854"/>
    <w:rsid w:val="00337D04"/>
    <w:rsid w:val="0034037E"/>
    <w:rsid w:val="00343D2E"/>
    <w:rsid w:val="00345B11"/>
    <w:rsid w:val="00352B4A"/>
    <w:rsid w:val="00363E49"/>
    <w:rsid w:val="003646D2"/>
    <w:rsid w:val="003662D5"/>
    <w:rsid w:val="00377918"/>
    <w:rsid w:val="003A1F4C"/>
    <w:rsid w:val="003A47E3"/>
    <w:rsid w:val="003C3A52"/>
    <w:rsid w:val="003D1B00"/>
    <w:rsid w:val="003D4436"/>
    <w:rsid w:val="003E305A"/>
    <w:rsid w:val="003F3209"/>
    <w:rsid w:val="003F5571"/>
    <w:rsid w:val="00412E9F"/>
    <w:rsid w:val="0042116E"/>
    <w:rsid w:val="00452390"/>
    <w:rsid w:val="0045365F"/>
    <w:rsid w:val="00462BF9"/>
    <w:rsid w:val="0046446A"/>
    <w:rsid w:val="00466B83"/>
    <w:rsid w:val="00482A5D"/>
    <w:rsid w:val="00485E21"/>
    <w:rsid w:val="00487279"/>
    <w:rsid w:val="00490F25"/>
    <w:rsid w:val="0049646D"/>
    <w:rsid w:val="004A0C86"/>
    <w:rsid w:val="004A2A28"/>
    <w:rsid w:val="004A7673"/>
    <w:rsid w:val="004B2FEC"/>
    <w:rsid w:val="004B477A"/>
    <w:rsid w:val="004B4EB6"/>
    <w:rsid w:val="004B618A"/>
    <w:rsid w:val="004C2A9F"/>
    <w:rsid w:val="004D0633"/>
    <w:rsid w:val="004D79AA"/>
    <w:rsid w:val="004E24F2"/>
    <w:rsid w:val="004E76E3"/>
    <w:rsid w:val="00513231"/>
    <w:rsid w:val="0052629A"/>
    <w:rsid w:val="00527823"/>
    <w:rsid w:val="0053361D"/>
    <w:rsid w:val="005355A8"/>
    <w:rsid w:val="00544A10"/>
    <w:rsid w:val="00551E22"/>
    <w:rsid w:val="0055700B"/>
    <w:rsid w:val="00564959"/>
    <w:rsid w:val="00587F50"/>
    <w:rsid w:val="00590287"/>
    <w:rsid w:val="005940CA"/>
    <w:rsid w:val="005975C2"/>
    <w:rsid w:val="005976B1"/>
    <w:rsid w:val="005A00B8"/>
    <w:rsid w:val="005A0379"/>
    <w:rsid w:val="005A26C1"/>
    <w:rsid w:val="005B5071"/>
    <w:rsid w:val="005B7E52"/>
    <w:rsid w:val="005C5F26"/>
    <w:rsid w:val="005D64FC"/>
    <w:rsid w:val="005F625B"/>
    <w:rsid w:val="006046A3"/>
    <w:rsid w:val="00605CA1"/>
    <w:rsid w:val="006100EA"/>
    <w:rsid w:val="00621ABB"/>
    <w:rsid w:val="006561BA"/>
    <w:rsid w:val="00660D40"/>
    <w:rsid w:val="00680C88"/>
    <w:rsid w:val="00683F75"/>
    <w:rsid w:val="00685C78"/>
    <w:rsid w:val="00686DFE"/>
    <w:rsid w:val="006873E8"/>
    <w:rsid w:val="006A315B"/>
    <w:rsid w:val="006B2B5A"/>
    <w:rsid w:val="006D0272"/>
    <w:rsid w:val="006D4B46"/>
    <w:rsid w:val="006F1FB9"/>
    <w:rsid w:val="006F35B4"/>
    <w:rsid w:val="006F680B"/>
    <w:rsid w:val="0070213C"/>
    <w:rsid w:val="007039E3"/>
    <w:rsid w:val="00707E4D"/>
    <w:rsid w:val="007249B2"/>
    <w:rsid w:val="00724F5F"/>
    <w:rsid w:val="007326AF"/>
    <w:rsid w:val="00733BAF"/>
    <w:rsid w:val="00736FB9"/>
    <w:rsid w:val="007516D8"/>
    <w:rsid w:val="00752E3D"/>
    <w:rsid w:val="00760637"/>
    <w:rsid w:val="00760952"/>
    <w:rsid w:val="0076143F"/>
    <w:rsid w:val="007629EA"/>
    <w:rsid w:val="007874CA"/>
    <w:rsid w:val="007932EB"/>
    <w:rsid w:val="0079472A"/>
    <w:rsid w:val="007B261D"/>
    <w:rsid w:val="007C5106"/>
    <w:rsid w:val="007C5B13"/>
    <w:rsid w:val="007C7128"/>
    <w:rsid w:val="007D20E2"/>
    <w:rsid w:val="007D20FF"/>
    <w:rsid w:val="007D42FD"/>
    <w:rsid w:val="007E0B40"/>
    <w:rsid w:val="007E37BB"/>
    <w:rsid w:val="007F2CD8"/>
    <w:rsid w:val="008008F5"/>
    <w:rsid w:val="00802CB7"/>
    <w:rsid w:val="008035F3"/>
    <w:rsid w:val="00803E28"/>
    <w:rsid w:val="0081512C"/>
    <w:rsid w:val="0081776B"/>
    <w:rsid w:val="008245CC"/>
    <w:rsid w:val="008324B6"/>
    <w:rsid w:val="008913D4"/>
    <w:rsid w:val="00895009"/>
    <w:rsid w:val="00896220"/>
    <w:rsid w:val="008A0517"/>
    <w:rsid w:val="008A76BD"/>
    <w:rsid w:val="008B2A7A"/>
    <w:rsid w:val="008B2C05"/>
    <w:rsid w:val="008B40F2"/>
    <w:rsid w:val="008C5BFD"/>
    <w:rsid w:val="008E2DCA"/>
    <w:rsid w:val="008E34C1"/>
    <w:rsid w:val="008F0AFD"/>
    <w:rsid w:val="009126C3"/>
    <w:rsid w:val="00914270"/>
    <w:rsid w:val="00915366"/>
    <w:rsid w:val="00932DD0"/>
    <w:rsid w:val="009347D4"/>
    <w:rsid w:val="00940FB0"/>
    <w:rsid w:val="00950FD7"/>
    <w:rsid w:val="00951166"/>
    <w:rsid w:val="009544D0"/>
    <w:rsid w:val="00967CBF"/>
    <w:rsid w:val="0097259F"/>
    <w:rsid w:val="00972885"/>
    <w:rsid w:val="00973A4D"/>
    <w:rsid w:val="0098325E"/>
    <w:rsid w:val="00984C0B"/>
    <w:rsid w:val="009923A9"/>
    <w:rsid w:val="00995270"/>
    <w:rsid w:val="009A15D5"/>
    <w:rsid w:val="009A1942"/>
    <w:rsid w:val="009B35CC"/>
    <w:rsid w:val="009C2214"/>
    <w:rsid w:val="009C5756"/>
    <w:rsid w:val="009C5B3E"/>
    <w:rsid w:val="009D2A0B"/>
    <w:rsid w:val="009D5B97"/>
    <w:rsid w:val="009E2F8D"/>
    <w:rsid w:val="009F72AE"/>
    <w:rsid w:val="00A049D1"/>
    <w:rsid w:val="00A151BD"/>
    <w:rsid w:val="00A200AB"/>
    <w:rsid w:val="00A310C0"/>
    <w:rsid w:val="00A36A32"/>
    <w:rsid w:val="00A50EC3"/>
    <w:rsid w:val="00A57F04"/>
    <w:rsid w:val="00A716D5"/>
    <w:rsid w:val="00A75ADC"/>
    <w:rsid w:val="00AA1A32"/>
    <w:rsid w:val="00AA1C30"/>
    <w:rsid w:val="00AA3724"/>
    <w:rsid w:val="00AB013D"/>
    <w:rsid w:val="00AB0A99"/>
    <w:rsid w:val="00AB5C7A"/>
    <w:rsid w:val="00AC42F7"/>
    <w:rsid w:val="00AD2973"/>
    <w:rsid w:val="00AD461C"/>
    <w:rsid w:val="00AD676B"/>
    <w:rsid w:val="00B001FA"/>
    <w:rsid w:val="00B11FF8"/>
    <w:rsid w:val="00B12CCF"/>
    <w:rsid w:val="00B133FF"/>
    <w:rsid w:val="00B1389D"/>
    <w:rsid w:val="00B26670"/>
    <w:rsid w:val="00B359E1"/>
    <w:rsid w:val="00B40293"/>
    <w:rsid w:val="00B40DCC"/>
    <w:rsid w:val="00B45D32"/>
    <w:rsid w:val="00B5142E"/>
    <w:rsid w:val="00B53C53"/>
    <w:rsid w:val="00B552C2"/>
    <w:rsid w:val="00B55CF3"/>
    <w:rsid w:val="00B56AE1"/>
    <w:rsid w:val="00B60F27"/>
    <w:rsid w:val="00B65A1F"/>
    <w:rsid w:val="00B83A90"/>
    <w:rsid w:val="00B90AF4"/>
    <w:rsid w:val="00B96819"/>
    <w:rsid w:val="00BA4FB5"/>
    <w:rsid w:val="00BB0E5C"/>
    <w:rsid w:val="00BB65B2"/>
    <w:rsid w:val="00BC0D13"/>
    <w:rsid w:val="00BC21AF"/>
    <w:rsid w:val="00BC2380"/>
    <w:rsid w:val="00BD47DD"/>
    <w:rsid w:val="00BE4164"/>
    <w:rsid w:val="00C01883"/>
    <w:rsid w:val="00C05303"/>
    <w:rsid w:val="00C10D19"/>
    <w:rsid w:val="00C21B81"/>
    <w:rsid w:val="00C32774"/>
    <w:rsid w:val="00C35063"/>
    <w:rsid w:val="00C3599D"/>
    <w:rsid w:val="00C378A0"/>
    <w:rsid w:val="00C563F0"/>
    <w:rsid w:val="00C6513B"/>
    <w:rsid w:val="00C651C6"/>
    <w:rsid w:val="00C77298"/>
    <w:rsid w:val="00C828E5"/>
    <w:rsid w:val="00C83B48"/>
    <w:rsid w:val="00C869A2"/>
    <w:rsid w:val="00C877A3"/>
    <w:rsid w:val="00C911E4"/>
    <w:rsid w:val="00CA02BB"/>
    <w:rsid w:val="00CA3C09"/>
    <w:rsid w:val="00CA74FD"/>
    <w:rsid w:val="00CB63B3"/>
    <w:rsid w:val="00CC5EC2"/>
    <w:rsid w:val="00CD600D"/>
    <w:rsid w:val="00CF38BD"/>
    <w:rsid w:val="00CF4DBE"/>
    <w:rsid w:val="00D00D3B"/>
    <w:rsid w:val="00D06AEE"/>
    <w:rsid w:val="00D14A37"/>
    <w:rsid w:val="00D1514A"/>
    <w:rsid w:val="00D215E1"/>
    <w:rsid w:val="00D24081"/>
    <w:rsid w:val="00D255B4"/>
    <w:rsid w:val="00D25B75"/>
    <w:rsid w:val="00D2697B"/>
    <w:rsid w:val="00D36F7A"/>
    <w:rsid w:val="00D42C9D"/>
    <w:rsid w:val="00D43D1F"/>
    <w:rsid w:val="00D46A55"/>
    <w:rsid w:val="00D47DF3"/>
    <w:rsid w:val="00D72FCC"/>
    <w:rsid w:val="00D76E49"/>
    <w:rsid w:val="00D8025F"/>
    <w:rsid w:val="00D9296C"/>
    <w:rsid w:val="00DA7DF5"/>
    <w:rsid w:val="00DB413C"/>
    <w:rsid w:val="00DB5720"/>
    <w:rsid w:val="00DC1600"/>
    <w:rsid w:val="00DD0A39"/>
    <w:rsid w:val="00DD3454"/>
    <w:rsid w:val="00DD48F7"/>
    <w:rsid w:val="00DE5E75"/>
    <w:rsid w:val="00DF0295"/>
    <w:rsid w:val="00DF05CF"/>
    <w:rsid w:val="00E02F5D"/>
    <w:rsid w:val="00E03313"/>
    <w:rsid w:val="00E13935"/>
    <w:rsid w:val="00E140A6"/>
    <w:rsid w:val="00E230E2"/>
    <w:rsid w:val="00E46C4B"/>
    <w:rsid w:val="00E47285"/>
    <w:rsid w:val="00E474D3"/>
    <w:rsid w:val="00E51E20"/>
    <w:rsid w:val="00E520A7"/>
    <w:rsid w:val="00E67160"/>
    <w:rsid w:val="00E67600"/>
    <w:rsid w:val="00E72D68"/>
    <w:rsid w:val="00E900DD"/>
    <w:rsid w:val="00E9697B"/>
    <w:rsid w:val="00EA3BEB"/>
    <w:rsid w:val="00EB1876"/>
    <w:rsid w:val="00EB3E31"/>
    <w:rsid w:val="00EC75A1"/>
    <w:rsid w:val="00ED21CB"/>
    <w:rsid w:val="00EE3042"/>
    <w:rsid w:val="00EE6932"/>
    <w:rsid w:val="00EF0779"/>
    <w:rsid w:val="00EF4158"/>
    <w:rsid w:val="00F00262"/>
    <w:rsid w:val="00F13CE2"/>
    <w:rsid w:val="00F15D35"/>
    <w:rsid w:val="00F16159"/>
    <w:rsid w:val="00F37A54"/>
    <w:rsid w:val="00F45739"/>
    <w:rsid w:val="00F457AD"/>
    <w:rsid w:val="00F463FA"/>
    <w:rsid w:val="00F80AEA"/>
    <w:rsid w:val="00F8197D"/>
    <w:rsid w:val="00F87C0E"/>
    <w:rsid w:val="00F92B55"/>
    <w:rsid w:val="00F9357B"/>
    <w:rsid w:val="00F976AA"/>
    <w:rsid w:val="00FA66DC"/>
    <w:rsid w:val="00FA790D"/>
    <w:rsid w:val="00FB4F23"/>
    <w:rsid w:val="00FC0A00"/>
    <w:rsid w:val="00FC4D4A"/>
    <w:rsid w:val="00FC6C86"/>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paragraph" w:styleId="NormalWeb">
    <w:name w:val="Normal (Web)"/>
    <w:basedOn w:val="Normal"/>
    <w:uiPriority w:val="99"/>
    <w:semiHidden/>
    <w:unhideWhenUsed/>
    <w:rsid w:val="00DA7DF5"/>
    <w:pPr>
      <w:spacing w:before="100" w:beforeAutospacing="1" w:after="100" w:afterAutospacing="1"/>
    </w:pPr>
    <w:rPr>
      <w:rFonts w:ascii="Times New Roman" w:hAnsi="Times New Roman" w:cs="Times New Roman"/>
      <w:u w:val="none"/>
      <w:lang w:val="en-ZA" w:eastAsia="en-ZA"/>
    </w:rPr>
  </w:style>
  <w:style w:type="paragraph" w:customStyle="1" w:styleId="BowLevel1ListAlt">
    <w:name w:val="Bow_Level 1 List Alt+["/>
    <w:basedOn w:val="Normal"/>
    <w:rsid w:val="0027475E"/>
    <w:pPr>
      <w:numPr>
        <w:numId w:val="4"/>
      </w:numPr>
      <w:spacing w:after="200" w:line="360" w:lineRule="auto"/>
      <w:jc w:val="both"/>
    </w:pPr>
    <w:rPr>
      <w:rFonts w:ascii="Century Gothic" w:hAnsi="Century Gothic" w:cs="Times New Roman"/>
      <w:sz w:val="18"/>
      <w:szCs w:val="18"/>
      <w:u w:val="none"/>
      <w:lang w:val="en-ZA" w:eastAsia="en-US"/>
    </w:rPr>
  </w:style>
  <w:style w:type="paragraph" w:customStyle="1" w:styleId="BowLevel2ListAlt">
    <w:name w:val="Bow_Level 2 List Alt ]"/>
    <w:basedOn w:val="Normal"/>
    <w:rsid w:val="0027475E"/>
    <w:pPr>
      <w:numPr>
        <w:ilvl w:val="1"/>
        <w:numId w:val="4"/>
      </w:numPr>
      <w:spacing w:after="200" w:line="360" w:lineRule="auto"/>
      <w:jc w:val="both"/>
    </w:pPr>
    <w:rPr>
      <w:rFonts w:ascii="Century Gothic" w:hAnsi="Century Gothic" w:cs="Times New Roman"/>
      <w:sz w:val="18"/>
      <w:szCs w:val="18"/>
      <w:u w:val="none"/>
      <w:lang w:val="en-ZA" w:eastAsia="en-US"/>
    </w:rPr>
  </w:style>
  <w:style w:type="paragraph" w:customStyle="1" w:styleId="BowLevel3ListAlt">
    <w:name w:val="Bow_Level 3 List Alt+'"/>
    <w:basedOn w:val="Normal"/>
    <w:rsid w:val="0027475E"/>
    <w:pPr>
      <w:numPr>
        <w:ilvl w:val="2"/>
        <w:numId w:val="4"/>
      </w:numPr>
      <w:spacing w:after="200" w:line="360" w:lineRule="auto"/>
      <w:jc w:val="both"/>
    </w:pPr>
    <w:rPr>
      <w:rFonts w:ascii="Century Gothic" w:hAnsi="Century Gothic" w:cs="Times New Roman"/>
      <w:sz w:val="18"/>
      <w:szCs w:val="18"/>
      <w:u w:val="none"/>
      <w:lang w:val="en-ZA" w:eastAsia="en-US"/>
    </w:rPr>
  </w:style>
  <w:style w:type="paragraph" w:customStyle="1" w:styleId="BowLevel4ListAlt">
    <w:name w:val="Bow_Level 4 List Alt+/"/>
    <w:basedOn w:val="Normal"/>
    <w:rsid w:val="0027475E"/>
    <w:pPr>
      <w:numPr>
        <w:ilvl w:val="3"/>
        <w:numId w:val="4"/>
      </w:numPr>
      <w:spacing w:after="200" w:line="360" w:lineRule="auto"/>
      <w:jc w:val="both"/>
    </w:pPr>
    <w:rPr>
      <w:rFonts w:ascii="Century Gothic" w:hAnsi="Century Gothic" w:cs="Times New Roman"/>
      <w:sz w:val="18"/>
      <w:szCs w:val="18"/>
      <w:u w:val="none"/>
      <w:lang w:val="en-ZA" w:eastAsia="en-US"/>
    </w:rPr>
  </w:style>
  <w:style w:type="paragraph" w:customStyle="1" w:styleId="BowLevel5ListAlt">
    <w:name w:val="Bow_Level 5 List Alt+."/>
    <w:basedOn w:val="Normal"/>
    <w:rsid w:val="0027475E"/>
    <w:pPr>
      <w:numPr>
        <w:ilvl w:val="4"/>
        <w:numId w:val="4"/>
      </w:numPr>
      <w:spacing w:after="200" w:line="360" w:lineRule="auto"/>
      <w:jc w:val="both"/>
    </w:pPr>
    <w:rPr>
      <w:rFonts w:ascii="Century Gothic" w:hAnsi="Century Gothic" w:cs="Times New Roman"/>
      <w:sz w:val="18"/>
      <w:szCs w:val="18"/>
      <w:u w:val="none"/>
      <w:lang w:val="en-ZA" w:eastAsia="en-US"/>
    </w:rPr>
  </w:style>
  <w:style w:type="paragraph" w:customStyle="1" w:styleId="BowLevel6ListAlt">
    <w:name w:val="Bow_Level 6 List Alt+"/>
    <w:basedOn w:val="Normal"/>
    <w:rsid w:val="0027475E"/>
    <w:pPr>
      <w:numPr>
        <w:ilvl w:val="5"/>
        <w:numId w:val="4"/>
      </w:numPr>
      <w:spacing w:after="200" w:line="360" w:lineRule="auto"/>
      <w:jc w:val="both"/>
    </w:pPr>
    <w:rPr>
      <w:rFonts w:ascii="Century Gothic" w:hAnsi="Century Gothic" w:cs="Times New Roman"/>
      <w:sz w:val="18"/>
      <w:szCs w:val="18"/>
      <w:u w:val="none"/>
      <w:lang w:val="en-ZA" w:eastAsia="en-US"/>
    </w:rPr>
  </w:style>
  <w:style w:type="paragraph" w:customStyle="1" w:styleId="BowLevel7ListAltM">
    <w:name w:val="Bow_Level 7 List Alt+M"/>
    <w:basedOn w:val="Normal"/>
    <w:rsid w:val="0027475E"/>
    <w:pPr>
      <w:numPr>
        <w:ilvl w:val="6"/>
        <w:numId w:val="4"/>
      </w:numPr>
      <w:spacing w:after="200" w:line="360" w:lineRule="auto"/>
      <w:jc w:val="both"/>
    </w:pPr>
    <w:rPr>
      <w:rFonts w:ascii="Century Gothic" w:hAnsi="Century Gothic" w:cs="Times New Roman"/>
      <w:sz w:val="18"/>
      <w:szCs w:val="18"/>
      <w:u w:val="none"/>
      <w:lang w:val="en-ZA" w:eastAsia="en-US"/>
    </w:rPr>
  </w:style>
  <w:style w:type="paragraph" w:styleId="Revision">
    <w:name w:val="Revision"/>
    <w:hidden/>
    <w:uiPriority w:val="99"/>
    <w:semiHidden/>
    <w:rsid w:val="0034037E"/>
    <w:pPr>
      <w:spacing w:after="0" w:line="240" w:lineRule="auto"/>
    </w:pPr>
    <w:rPr>
      <w:rFonts w:ascii="Arial" w:eastAsia="Times New Roman" w:hAnsi="Arial" w:cs="Arial"/>
      <w:sz w:val="24"/>
      <w:szCs w:val="24"/>
      <w:u w:val="single"/>
      <w:lang w:val="en-GB" w:eastAsia="en-GB"/>
    </w:rPr>
  </w:style>
  <w:style w:type="paragraph" w:customStyle="1" w:styleId="LegalMAINHEADING">
    <w:name w:val="Legal_MAINHEADING"/>
    <w:basedOn w:val="Normal"/>
    <w:next w:val="Normal"/>
    <w:semiHidden/>
    <w:rsid w:val="00D06AEE"/>
    <w:pPr>
      <w:keepNext/>
      <w:suppressAutoHyphens/>
      <w:spacing w:before="480" w:after="360" w:line="480" w:lineRule="auto"/>
      <w:jc w:val="both"/>
    </w:pPr>
    <w:rPr>
      <w:rFonts w:cs="Times New Roman"/>
      <w:b/>
      <w:caps/>
      <w:u w:val="none"/>
    </w:rPr>
  </w:style>
  <w:style w:type="paragraph" w:customStyle="1" w:styleId="LegalTramLines">
    <w:name w:val="Legal_TramLines"/>
    <w:basedOn w:val="Normal"/>
    <w:next w:val="Normal"/>
    <w:semiHidden/>
    <w:rsid w:val="00D06AEE"/>
    <w:pPr>
      <w:pBdr>
        <w:top w:val="single" w:sz="4" w:space="18" w:color="auto"/>
        <w:bottom w:val="single" w:sz="4" w:space="18" w:color="auto"/>
      </w:pBdr>
      <w:suppressAutoHyphens/>
      <w:spacing w:after="480"/>
      <w:jc w:val="center"/>
    </w:pPr>
    <w:rPr>
      <w:rFonts w:ascii="Arial Bold" w:hAnsi="Arial Bold" w:cs="Times New Roman"/>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07871">
      <w:bodyDiv w:val="1"/>
      <w:marLeft w:val="0"/>
      <w:marRight w:val="0"/>
      <w:marTop w:val="0"/>
      <w:marBottom w:val="0"/>
      <w:divBdr>
        <w:top w:val="none" w:sz="0" w:space="0" w:color="auto"/>
        <w:left w:val="none" w:sz="0" w:space="0" w:color="auto"/>
        <w:bottom w:val="none" w:sz="0" w:space="0" w:color="auto"/>
        <w:right w:val="none" w:sz="0" w:space="0" w:color="auto"/>
      </w:divBdr>
    </w:div>
    <w:div w:id="1276599715">
      <w:bodyDiv w:val="1"/>
      <w:marLeft w:val="0"/>
      <w:marRight w:val="0"/>
      <w:marTop w:val="0"/>
      <w:marBottom w:val="0"/>
      <w:divBdr>
        <w:top w:val="none" w:sz="0" w:space="0" w:color="auto"/>
        <w:left w:val="none" w:sz="0" w:space="0" w:color="auto"/>
        <w:bottom w:val="none" w:sz="0" w:space="0" w:color="auto"/>
        <w:right w:val="none" w:sz="0" w:space="0" w:color="auto"/>
      </w:divBdr>
      <w:divsChild>
        <w:div w:id="1359165249">
          <w:marLeft w:val="0"/>
          <w:marRight w:val="0"/>
          <w:marTop w:val="120"/>
          <w:marBottom w:val="0"/>
          <w:divBdr>
            <w:top w:val="none" w:sz="0" w:space="0" w:color="auto"/>
            <w:left w:val="none" w:sz="0" w:space="0" w:color="auto"/>
            <w:bottom w:val="none" w:sz="0" w:space="0" w:color="auto"/>
            <w:right w:val="none" w:sz="0" w:space="0" w:color="auto"/>
          </w:divBdr>
        </w:div>
      </w:divsChild>
    </w:div>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 w:id="1742411650">
      <w:bodyDiv w:val="1"/>
      <w:marLeft w:val="0"/>
      <w:marRight w:val="0"/>
      <w:marTop w:val="0"/>
      <w:marBottom w:val="0"/>
      <w:divBdr>
        <w:top w:val="none" w:sz="0" w:space="0" w:color="auto"/>
        <w:left w:val="none" w:sz="0" w:space="0" w:color="auto"/>
        <w:bottom w:val="none" w:sz="0" w:space="0" w:color="auto"/>
        <w:right w:val="none" w:sz="0" w:space="0" w:color="auto"/>
      </w:divBdr>
      <w:divsChild>
        <w:div w:id="12632219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12%20%284%29%20SA%20593" TargetMode="External"/><Relationship Id="rId1" Type="http://schemas.openxmlformats.org/officeDocument/2006/relationships/hyperlink" Target="http://www.saflii.org/cgi-bin/LawCite?cit=2001%20%284%29%20All%20SA%2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B039-B06B-472E-BA96-B4F5D8C1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Lazarus Rakgwale</cp:lastModifiedBy>
  <cp:revision>2</cp:revision>
  <cp:lastPrinted>2022-09-12T21:09:00Z</cp:lastPrinted>
  <dcterms:created xsi:type="dcterms:W3CDTF">2022-09-14T09:58:00Z</dcterms:created>
  <dcterms:modified xsi:type="dcterms:W3CDTF">2022-09-14T09:58:00Z</dcterms:modified>
</cp:coreProperties>
</file>