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6B" w:rsidRDefault="00B3196B" w:rsidP="00B3196B">
      <w:pPr>
        <w:pStyle w:val="LegalTitle"/>
        <w:spacing w:after="120" w:line="360" w:lineRule="auto"/>
        <w:rPr>
          <w:u w:val="single"/>
        </w:rPr>
      </w:pPr>
      <w:bookmarkStart w:id="0" w:name="_GoBack"/>
      <w:bookmarkEnd w:id="0"/>
      <w:r>
        <w:rPr>
          <w:u w:val="single"/>
        </w:rPr>
        <w:t>THE 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236346"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36346" w:rsidRPr="0038792A" w:rsidRDefault="00236346"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36346" w:rsidRPr="0038792A" w:rsidRDefault="00236346"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A17630">
                              <w:rPr>
                                <w:rFonts w:ascii="Century Gothic" w:hAnsi="Century Gothic"/>
                                <w:b/>
                                <w:i/>
                                <w:sz w:val="22"/>
                                <w:szCs w:val="22"/>
                                <w:u w:val="single"/>
                              </w:rPr>
                              <w:t>22</w:t>
                            </w:r>
                            <w:r w:rsidR="006B489F">
                              <w:rPr>
                                <w:rFonts w:ascii="Century Gothic" w:hAnsi="Century Gothic"/>
                                <w:b/>
                                <w:i/>
                                <w:sz w:val="22"/>
                                <w:szCs w:val="22"/>
                                <w:u w:val="single"/>
                              </w:rPr>
                              <w:t xml:space="preserve"> </w:t>
                            </w:r>
                            <w:r w:rsidR="00B3196B">
                              <w:rPr>
                                <w:rFonts w:ascii="Century Gothic" w:hAnsi="Century Gothic"/>
                                <w:b/>
                                <w:i/>
                                <w:sz w:val="22"/>
                                <w:szCs w:val="22"/>
                                <w:u w:val="single"/>
                              </w:rPr>
                              <w:t>September</w:t>
                            </w:r>
                            <w:r>
                              <w:rPr>
                                <w:rFonts w:ascii="Century Gothic" w:hAnsi="Century Gothic"/>
                                <w:b/>
                                <w:i/>
                                <w:sz w:val="22"/>
                                <w:szCs w:val="22"/>
                                <w:u w:val="single"/>
                              </w:rPr>
                              <w:t xml:space="preserve"> 202</w:t>
                            </w:r>
                            <w:r w:rsidR="00B3196B">
                              <w:rPr>
                                <w:rFonts w:ascii="Century Gothic" w:hAnsi="Century Gothic"/>
                                <w:b/>
                                <w:i/>
                                <w:sz w:val="22"/>
                                <w:szCs w:val="22"/>
                                <w:u w:val="single"/>
                              </w:rPr>
                              <w:t>2</w:t>
                            </w:r>
                            <w:r>
                              <w:rPr>
                                <w:rFonts w:ascii="Century Gothic" w:hAnsi="Century Gothic"/>
                                <w:sz w:val="22"/>
                                <w:szCs w:val="22"/>
                              </w:rPr>
                              <w:t xml:space="preserve"> Signature: </w:t>
                            </w:r>
                            <w:r w:rsidR="00B345C3">
                              <w:rPr>
                                <w:rFonts w:ascii="Century Gothic" w:hAnsi="Century Gothic"/>
                                <w:b/>
                                <w:i/>
                                <w:sz w:val="22"/>
                                <w:szCs w:val="22"/>
                                <w:u w:val="single"/>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236346"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36346" w:rsidRPr="0038792A" w:rsidRDefault="00236346"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36346" w:rsidRPr="0038792A" w:rsidRDefault="00236346"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A17630">
                        <w:rPr>
                          <w:rFonts w:ascii="Century Gothic" w:hAnsi="Century Gothic"/>
                          <w:b/>
                          <w:i/>
                          <w:sz w:val="22"/>
                          <w:szCs w:val="22"/>
                          <w:u w:val="single"/>
                        </w:rPr>
                        <w:t>22</w:t>
                      </w:r>
                      <w:r w:rsidR="006B489F">
                        <w:rPr>
                          <w:rFonts w:ascii="Century Gothic" w:hAnsi="Century Gothic"/>
                          <w:b/>
                          <w:i/>
                          <w:sz w:val="22"/>
                          <w:szCs w:val="22"/>
                          <w:u w:val="single"/>
                        </w:rPr>
                        <w:t xml:space="preserve"> </w:t>
                      </w:r>
                      <w:r w:rsidR="00B3196B">
                        <w:rPr>
                          <w:rFonts w:ascii="Century Gothic" w:hAnsi="Century Gothic"/>
                          <w:b/>
                          <w:i/>
                          <w:sz w:val="22"/>
                          <w:szCs w:val="22"/>
                          <w:u w:val="single"/>
                        </w:rPr>
                        <w:t>September</w:t>
                      </w:r>
                      <w:r>
                        <w:rPr>
                          <w:rFonts w:ascii="Century Gothic" w:hAnsi="Century Gothic"/>
                          <w:b/>
                          <w:i/>
                          <w:sz w:val="22"/>
                          <w:szCs w:val="22"/>
                          <w:u w:val="single"/>
                        </w:rPr>
                        <w:t xml:space="preserve"> 202</w:t>
                      </w:r>
                      <w:r w:rsidR="00B3196B">
                        <w:rPr>
                          <w:rFonts w:ascii="Century Gothic" w:hAnsi="Century Gothic"/>
                          <w:b/>
                          <w:i/>
                          <w:sz w:val="22"/>
                          <w:szCs w:val="22"/>
                          <w:u w:val="single"/>
                        </w:rPr>
                        <w:t>2</w:t>
                      </w:r>
                      <w:r>
                        <w:rPr>
                          <w:rFonts w:ascii="Century Gothic" w:hAnsi="Century Gothic"/>
                          <w:sz w:val="22"/>
                          <w:szCs w:val="22"/>
                        </w:rPr>
                        <w:t xml:space="preserve"> Signature: </w:t>
                      </w:r>
                      <w:r w:rsidR="00B345C3">
                        <w:rPr>
                          <w:rFonts w:ascii="Century Gothic" w:hAnsi="Century Gothic"/>
                          <w:b/>
                          <w:i/>
                          <w:sz w:val="22"/>
                          <w:szCs w:val="22"/>
                          <w:u w:val="single"/>
                        </w:rPr>
                        <w:t>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B3196B" w:rsidRPr="00B3196B">
        <w:rPr>
          <w:b w:val="0"/>
        </w:rPr>
        <w:t>16835</w:t>
      </w:r>
      <w:r w:rsidR="00F86558" w:rsidRPr="004E00FA">
        <w:rPr>
          <w:b w:val="0"/>
        </w:rPr>
        <w:t>/</w:t>
      </w:r>
      <w:r w:rsidR="00F94A41">
        <w:rPr>
          <w:b w:val="0"/>
        </w:rPr>
        <w:t>202</w:t>
      </w:r>
      <w:r w:rsidR="00B3196B">
        <w:rPr>
          <w:b w:val="0"/>
        </w:rPr>
        <w:t>1</w:t>
      </w:r>
    </w:p>
    <w:p w:rsidR="004E00FA" w:rsidRDefault="004E00FA" w:rsidP="004E00FA">
      <w:pPr>
        <w:pStyle w:val="LegalAnnexure"/>
        <w:spacing w:after="0" w:line="360" w:lineRule="auto"/>
      </w:pPr>
      <w:r>
        <w:rPr>
          <w:u w:val="single"/>
        </w:rPr>
        <w:t>DATE</w:t>
      </w:r>
      <w:r w:rsidRPr="0080126D">
        <w:t>:</w:t>
      </w:r>
      <w:r>
        <w:t xml:space="preserve"> </w:t>
      </w:r>
      <w:r w:rsidR="00A17630">
        <w:rPr>
          <w:b w:val="0"/>
        </w:rPr>
        <w:t>22</w:t>
      </w:r>
      <w:r w:rsidR="00A17630" w:rsidRPr="00A17630">
        <w:rPr>
          <w:b w:val="0"/>
          <w:vertAlign w:val="superscript"/>
        </w:rPr>
        <w:t>nd</w:t>
      </w:r>
      <w:r w:rsidR="00A17630">
        <w:rPr>
          <w:b w:val="0"/>
        </w:rPr>
        <w:t xml:space="preserve"> </w:t>
      </w:r>
      <w:r w:rsidR="00B3196B">
        <w:rPr>
          <w:b w:val="0"/>
        </w:rPr>
        <w:t>September</w:t>
      </w:r>
      <w:r w:rsidR="00592459">
        <w:rPr>
          <w:b w:val="0"/>
        </w:rPr>
        <w:t xml:space="preserve"> </w:t>
      </w:r>
      <w:r w:rsidR="0062393B">
        <w:rPr>
          <w:b w:val="0"/>
        </w:rPr>
        <w:t>20</w:t>
      </w:r>
      <w:r w:rsidR="00BE3209">
        <w:rPr>
          <w:b w:val="0"/>
        </w:rPr>
        <w:t>2</w:t>
      </w:r>
      <w:r w:rsidR="00B3196B">
        <w:rPr>
          <w:b w:val="0"/>
        </w:rPr>
        <w:t>2</w:t>
      </w:r>
    </w:p>
    <w:p w:rsidR="009314F3" w:rsidRPr="00A84826" w:rsidRDefault="009314F3" w:rsidP="0006059E">
      <w:pPr>
        <w:pStyle w:val="LegalNormal"/>
        <w:spacing w:after="120" w:line="360" w:lineRule="auto"/>
      </w:pPr>
      <w:r w:rsidRPr="00A84826">
        <w:t>In the matter between:</w:t>
      </w:r>
    </w:p>
    <w:p w:rsidR="00027B5A" w:rsidRDefault="00B3196B" w:rsidP="0006059E">
      <w:pPr>
        <w:pStyle w:val="LegalPlainDef"/>
        <w:spacing w:after="120" w:line="360" w:lineRule="auto"/>
      </w:pPr>
      <w:r>
        <w:rPr>
          <w:b/>
          <w:u w:val="single"/>
        </w:rPr>
        <w:t>BOTHA</w:t>
      </w:r>
      <w:r w:rsidR="00BE5C18">
        <w:rPr>
          <w:b/>
        </w:rPr>
        <w:t xml:space="preserve">, </w:t>
      </w:r>
      <w:r>
        <w:rPr>
          <w:b/>
        </w:rPr>
        <w:t>CORNELIUS</w:t>
      </w:r>
      <w:r w:rsidR="00CA498E">
        <w:rPr>
          <w:b/>
        </w:rPr>
        <w:t xml:space="preserve"> </w:t>
      </w:r>
      <w:r>
        <w:rPr>
          <w:b/>
        </w:rPr>
        <w:t xml:space="preserve">ERASMUS N O </w:t>
      </w:r>
      <w:r>
        <w:rPr>
          <w:b/>
        </w:rPr>
        <w:tab/>
      </w:r>
      <w:r w:rsidR="00027B5A">
        <w:t>Applicant</w:t>
      </w:r>
    </w:p>
    <w:p w:rsidR="009314F3" w:rsidRPr="00A84826" w:rsidRDefault="009314F3" w:rsidP="0006059E">
      <w:pPr>
        <w:pStyle w:val="LegalNormal"/>
        <w:spacing w:after="120" w:line="360" w:lineRule="auto"/>
      </w:pPr>
      <w:r w:rsidRPr="00A84826">
        <w:t>and</w:t>
      </w:r>
    </w:p>
    <w:p w:rsidR="007D4738" w:rsidRDefault="00B3196B" w:rsidP="0006059E">
      <w:pPr>
        <w:pStyle w:val="LegalPlainDef"/>
        <w:spacing w:after="0" w:line="360" w:lineRule="auto"/>
      </w:pPr>
      <w:r>
        <w:rPr>
          <w:b/>
          <w:bCs/>
          <w:u w:val="single"/>
          <w:lang w:val="en-US"/>
        </w:rPr>
        <w:t>LEBOKO-RADEBE</w:t>
      </w:r>
      <w:r w:rsidR="00CA498E">
        <w:rPr>
          <w:b/>
          <w:bCs/>
          <w:lang w:val="en-US"/>
        </w:rPr>
        <w:t xml:space="preserve">, </w:t>
      </w:r>
      <w:r>
        <w:rPr>
          <w:b/>
          <w:bCs/>
          <w:lang w:val="en-US"/>
        </w:rPr>
        <w:t>NTHIBI</w:t>
      </w:r>
      <w:r w:rsidR="00CA498E">
        <w:rPr>
          <w:b/>
          <w:bCs/>
          <w:lang w:val="en-US"/>
        </w:rPr>
        <w:t xml:space="preserve"> </w:t>
      </w:r>
      <w:r>
        <w:rPr>
          <w:b/>
          <w:bCs/>
          <w:lang w:val="en-US"/>
        </w:rPr>
        <w:t>DORA</w:t>
      </w:r>
      <w:r w:rsidR="007D4738" w:rsidRPr="00DE6787">
        <w:rPr>
          <w:b/>
        </w:rPr>
        <w:tab/>
      </w:r>
      <w:r w:rsidR="0006059E">
        <w:t>First R</w:t>
      </w:r>
      <w:r w:rsidR="007D4738">
        <w:t>espondent</w:t>
      </w:r>
    </w:p>
    <w:p w:rsidR="0006059E" w:rsidRDefault="00B3196B" w:rsidP="00B3196B">
      <w:pPr>
        <w:pStyle w:val="LegalPlainDef"/>
        <w:spacing w:after="0" w:line="360" w:lineRule="auto"/>
      </w:pPr>
      <w:r>
        <w:rPr>
          <w:b/>
          <w:bCs/>
          <w:lang w:val="en-US"/>
        </w:rPr>
        <w:t>ABSA BANK LIMITED</w:t>
      </w:r>
      <w:r w:rsidR="0006059E" w:rsidRPr="00DE6787">
        <w:rPr>
          <w:b/>
        </w:rPr>
        <w:tab/>
      </w:r>
      <w:r w:rsidR="0006059E">
        <w:t>Second Respondent</w:t>
      </w:r>
    </w:p>
    <w:p w:rsidR="00B3196B" w:rsidRDefault="00B3196B" w:rsidP="00B3196B">
      <w:pPr>
        <w:pStyle w:val="LegalPlainDef"/>
        <w:spacing w:after="0" w:line="360" w:lineRule="auto"/>
      </w:pPr>
      <w:r>
        <w:rPr>
          <w:b/>
          <w:bCs/>
          <w:lang w:val="en-US"/>
        </w:rPr>
        <w:t>MASTER OF THE HIGH COURT, JOHANNESBURG</w:t>
      </w:r>
      <w:r w:rsidRPr="00DE6787">
        <w:rPr>
          <w:b/>
        </w:rPr>
        <w:tab/>
      </w:r>
      <w:r>
        <w:t>Third Respondent</w:t>
      </w:r>
    </w:p>
    <w:p w:rsidR="00B3196B" w:rsidRDefault="00B3196B" w:rsidP="00B3196B">
      <w:pPr>
        <w:pStyle w:val="LegalPlainDef"/>
        <w:spacing w:after="240" w:line="360" w:lineRule="auto"/>
      </w:pPr>
      <w:r>
        <w:rPr>
          <w:b/>
          <w:bCs/>
          <w:lang w:val="en-US"/>
        </w:rPr>
        <w:t>REGISTRAR OF DEEDS, JOHANNESBURG</w:t>
      </w:r>
      <w:r w:rsidRPr="00DE6787">
        <w:rPr>
          <w:b/>
        </w:rPr>
        <w:tab/>
      </w:r>
      <w:r>
        <w:t>Fourth Respondent</w:t>
      </w:r>
    </w:p>
    <w:p w:rsidR="00DA3FFC" w:rsidRPr="00DA3FFC" w:rsidRDefault="006D3032" w:rsidP="009E3852">
      <w:pPr>
        <w:suppressAutoHyphens w:val="0"/>
        <w:spacing w:line="360" w:lineRule="auto"/>
        <w:ind w:left="1276" w:hanging="1276"/>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rsidR="00A01933" w:rsidRPr="00DA3FFC" w:rsidRDefault="00DA3FFC" w:rsidP="009E3852">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A01933">
        <w:rPr>
          <w:rFonts w:cs="Arial"/>
          <w:lang w:val="en-ZA" w:eastAsia="en-US"/>
        </w:rPr>
        <w:t>:</w:t>
      </w:r>
      <w:r w:rsidR="00A01933">
        <w:rPr>
          <w:rFonts w:cs="Arial"/>
          <w:lang w:val="en-ZA" w:eastAsia="en-US"/>
        </w:rPr>
        <w:tab/>
      </w:r>
      <w:r w:rsidR="00B3196B">
        <w:rPr>
          <w:rFonts w:cs="Arial"/>
          <w:lang w:val="en-ZA" w:eastAsia="en-US"/>
        </w:rPr>
        <w:t>23</w:t>
      </w:r>
      <w:r>
        <w:rPr>
          <w:rFonts w:cs="Arial"/>
          <w:lang w:val="en-ZA" w:eastAsia="en-US"/>
        </w:rPr>
        <w:t xml:space="preserve"> </w:t>
      </w:r>
      <w:r w:rsidR="00B3196B">
        <w:rPr>
          <w:rFonts w:cs="Arial"/>
          <w:lang w:val="en-ZA" w:eastAsia="en-US"/>
        </w:rPr>
        <w:t>May</w:t>
      </w:r>
      <w:r w:rsidRPr="00DA3FFC">
        <w:rPr>
          <w:rFonts w:cs="Arial"/>
          <w:lang w:val="en-ZA" w:eastAsia="en-US"/>
        </w:rPr>
        <w:t xml:space="preserve"> 20</w:t>
      </w:r>
      <w:r w:rsidR="00B3196B">
        <w:rPr>
          <w:rFonts w:cs="Arial"/>
          <w:lang w:val="en-ZA" w:eastAsia="en-US"/>
        </w:rPr>
        <w:t>22</w:t>
      </w:r>
      <w:r w:rsidR="00A01933">
        <w:rPr>
          <w:rFonts w:cs="Arial"/>
          <w:lang w:val="en-ZA" w:eastAsia="en-US"/>
        </w:rPr>
        <w:t xml:space="preserve"> – The ‘virtual hearing’ of the application was conducted as a videoconference on </w:t>
      </w:r>
      <w:r w:rsidR="00A01933" w:rsidRPr="0007312F">
        <w:rPr>
          <w:rFonts w:cs="Arial"/>
          <w:i/>
          <w:lang w:val="en-ZA" w:eastAsia="en-US"/>
        </w:rPr>
        <w:t>Microsoft Teams</w:t>
      </w:r>
      <w:r w:rsidR="00A01933">
        <w:rPr>
          <w:rFonts w:cs="Arial"/>
          <w:lang w:val="en-ZA" w:eastAsia="en-US"/>
        </w:rPr>
        <w:t>.</w:t>
      </w:r>
    </w:p>
    <w:p w:rsidR="00DA3FFC" w:rsidRPr="00DA3FFC" w:rsidRDefault="00DA3FFC" w:rsidP="009E385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A17630">
        <w:rPr>
          <w:rFonts w:cs="Arial"/>
          <w:lang w:val="en-ZA" w:eastAsia="en-US"/>
        </w:rPr>
        <w:t>22</w:t>
      </w:r>
      <w:r w:rsidR="002149EC">
        <w:rPr>
          <w:rFonts w:cs="Arial"/>
          <w:lang w:val="en-ZA" w:eastAsia="en-US"/>
        </w:rPr>
        <w:t xml:space="preserve"> </w:t>
      </w:r>
      <w:r w:rsidR="00B3196B">
        <w:rPr>
          <w:rFonts w:cs="Arial"/>
          <w:lang w:val="en-ZA" w:eastAsia="en-US"/>
        </w:rPr>
        <w:t>September 2022</w:t>
      </w:r>
      <w:r w:rsidR="002149EC">
        <w:rPr>
          <w:rFonts w:cs="Arial"/>
          <w:lang w:val="en-ZA" w:eastAsia="en-US"/>
        </w:rPr>
        <w:t xml:space="preserve"> – This judgment was handed down electronically by circulation to the parties' representatives by email, by being uploaded to </w:t>
      </w:r>
      <w:r w:rsidR="002149EC" w:rsidRPr="002149EC">
        <w:rPr>
          <w:rFonts w:cs="Arial"/>
          <w:i/>
          <w:lang w:val="en-ZA" w:eastAsia="en-US"/>
        </w:rPr>
        <w:t>CaseLines</w:t>
      </w:r>
      <w:r w:rsidR="002149EC">
        <w:rPr>
          <w:rFonts w:cs="Arial"/>
          <w:lang w:val="en-ZA" w:eastAsia="en-US"/>
        </w:rPr>
        <w:t xml:space="preserve"> and by release to SAFLII. The date and time for hand-down is deemed to be </w:t>
      </w:r>
      <w:r w:rsidR="00A17630">
        <w:rPr>
          <w:rFonts w:cs="Arial"/>
          <w:lang w:val="en-ZA" w:eastAsia="en-US"/>
        </w:rPr>
        <w:t>14</w:t>
      </w:r>
      <w:r w:rsidR="00B3196B">
        <w:rPr>
          <w:rFonts w:cs="Arial"/>
          <w:lang w:val="en-ZA" w:eastAsia="en-US"/>
        </w:rPr>
        <w:t>:0</w:t>
      </w:r>
      <w:r w:rsidR="00334F5E">
        <w:rPr>
          <w:rFonts w:cs="Arial"/>
          <w:lang w:val="en-ZA" w:eastAsia="en-US"/>
        </w:rPr>
        <w:t>0</w:t>
      </w:r>
      <w:r w:rsidR="002149EC">
        <w:rPr>
          <w:rFonts w:cs="Arial"/>
          <w:lang w:val="en-ZA" w:eastAsia="en-US"/>
        </w:rPr>
        <w:t xml:space="preserve"> on </w:t>
      </w:r>
      <w:r w:rsidR="00A17630">
        <w:rPr>
          <w:rFonts w:cs="Arial"/>
          <w:lang w:val="en-ZA" w:eastAsia="en-US"/>
        </w:rPr>
        <w:t>22</w:t>
      </w:r>
      <w:r w:rsidR="00A7628F">
        <w:rPr>
          <w:rFonts w:cs="Arial"/>
          <w:lang w:val="en-ZA" w:eastAsia="en-US"/>
        </w:rPr>
        <w:t xml:space="preserve"> </w:t>
      </w:r>
      <w:r w:rsidR="00B3196B">
        <w:rPr>
          <w:rFonts w:cs="Arial"/>
          <w:lang w:val="en-ZA" w:eastAsia="en-US"/>
        </w:rPr>
        <w:t>September</w:t>
      </w:r>
      <w:r w:rsidR="002149EC">
        <w:rPr>
          <w:rFonts w:cs="Arial"/>
          <w:lang w:val="en-ZA" w:eastAsia="en-US"/>
        </w:rPr>
        <w:t xml:space="preserve"> 2020.</w:t>
      </w:r>
    </w:p>
    <w:p w:rsidR="00FE27ED" w:rsidRDefault="00DA3FFC" w:rsidP="00FE0C0A">
      <w:pPr>
        <w:spacing w:after="240" w:line="360" w:lineRule="auto"/>
        <w:jc w:val="both"/>
        <w:rPr>
          <w:rFonts w:cs="Arial"/>
          <w:lang w:val="en-ZA"/>
        </w:rPr>
      </w:pPr>
      <w:r w:rsidRPr="00DA3FFC">
        <w:rPr>
          <w:rFonts w:cs="Arial"/>
          <w:b/>
          <w:bCs/>
          <w:lang w:val="en-ZA" w:eastAsia="en-US"/>
        </w:rPr>
        <w:lastRenderedPageBreak/>
        <w:t>Summary:</w:t>
      </w:r>
      <w:r w:rsidRPr="00DA3FFC">
        <w:rPr>
          <w:rFonts w:cs="Arial"/>
          <w:b/>
          <w:bCs/>
          <w:lang w:val="en-ZA" w:eastAsia="en-US"/>
        </w:rPr>
        <w:tab/>
      </w:r>
      <w:r w:rsidR="00A01933">
        <w:rPr>
          <w:rFonts w:cs="Arial"/>
        </w:rPr>
        <w:t>Opposed</w:t>
      </w:r>
      <w:r w:rsidR="00FE0C0A">
        <w:rPr>
          <w:rFonts w:cs="Arial"/>
        </w:rPr>
        <w:t xml:space="preserve"> application</w:t>
      </w:r>
      <w:r w:rsidR="00FE27ED">
        <w:rPr>
          <w:rFonts w:cs="Arial"/>
        </w:rPr>
        <w:t xml:space="preserve"> – </w:t>
      </w:r>
      <w:r w:rsidR="00A17630" w:rsidRPr="00A17630">
        <w:rPr>
          <w:rFonts w:cs="Arial"/>
          <w:i/>
        </w:rPr>
        <w:t>rei vindicatio</w:t>
      </w:r>
      <w:r w:rsidR="00A17630">
        <w:rPr>
          <w:rFonts w:cs="Arial"/>
        </w:rPr>
        <w:t xml:space="preserve"> – cancellation of title deed relating to immovable property</w:t>
      </w:r>
      <w:r w:rsidR="00FE27ED">
        <w:rPr>
          <w:rFonts w:cs="Arial"/>
        </w:rPr>
        <w:t xml:space="preserve"> – </w:t>
      </w:r>
      <w:r w:rsidR="00A17630">
        <w:rPr>
          <w:rFonts w:cs="Arial"/>
        </w:rPr>
        <w:t>section 6(1) of the Deeds Registries Act</w:t>
      </w:r>
      <w:r w:rsidR="0006059E">
        <w:rPr>
          <w:rFonts w:cs="Arial"/>
        </w:rPr>
        <w:t xml:space="preserve"> –</w:t>
      </w:r>
      <w:r w:rsidR="00B345C3">
        <w:rPr>
          <w:rFonts w:cs="Arial"/>
        </w:rPr>
        <w:t xml:space="preserve"> </w:t>
      </w:r>
      <w:r w:rsidR="00A17630">
        <w:rPr>
          <w:rFonts w:cs="Arial"/>
          <w:lang w:val="en-ZA"/>
        </w:rPr>
        <w:t>fraud unravels everything</w:t>
      </w:r>
      <w:r w:rsidR="003C255A">
        <w:rPr>
          <w:rFonts w:cs="Arial"/>
          <w:lang w:val="en-ZA"/>
        </w:rPr>
        <w:t xml:space="preserve"> </w:t>
      </w:r>
      <w:r w:rsidR="00B32378">
        <w:rPr>
          <w:rFonts w:cs="Arial"/>
          <w:lang w:val="en-ZA"/>
        </w:rPr>
        <w:t>–</w:t>
      </w:r>
      <w:r w:rsidR="00F85B48">
        <w:rPr>
          <w:rFonts w:cs="Arial"/>
          <w:lang w:val="en-ZA"/>
        </w:rPr>
        <w:t xml:space="preserve"> if </w:t>
      </w:r>
      <w:r w:rsidR="00F85B48">
        <w:rPr>
          <w:color w:val="000000"/>
        </w:rPr>
        <w:t>agreement is tainted by fraud,</w:t>
      </w:r>
      <w:r w:rsidR="00F85B48" w:rsidRPr="00296213">
        <w:rPr>
          <w:color w:val="000000"/>
        </w:rPr>
        <w:t xml:space="preserve"> ownership of the property will not pass despite registration</w:t>
      </w:r>
      <w:r w:rsidR="00F85B48">
        <w:rPr>
          <w:color w:val="000000"/>
        </w:rPr>
        <w:t xml:space="preserve"> – </w:t>
      </w:r>
      <w:r w:rsidR="00F85B48" w:rsidRPr="00296213">
        <w:rPr>
          <w:color w:val="000000"/>
        </w:rPr>
        <w:t>the</w:t>
      </w:r>
      <w:r w:rsidR="00F85B48">
        <w:rPr>
          <w:color w:val="000000"/>
        </w:rPr>
        <w:t xml:space="preserve"> </w:t>
      </w:r>
      <w:r w:rsidR="00B345C3">
        <w:rPr>
          <w:rFonts w:cs="Arial"/>
          <w:lang w:val="en-ZA"/>
        </w:rPr>
        <w:t>applicant’s</w:t>
      </w:r>
      <w:r w:rsidR="003C255A">
        <w:rPr>
          <w:rFonts w:cs="Arial"/>
          <w:lang w:val="en-ZA"/>
        </w:rPr>
        <w:t xml:space="preserve"> </w:t>
      </w:r>
      <w:r w:rsidR="00FE0C0A">
        <w:rPr>
          <w:rFonts w:cs="Arial"/>
          <w:lang w:val="en-ZA"/>
        </w:rPr>
        <w:t xml:space="preserve">application </w:t>
      </w:r>
      <w:r w:rsidR="00A17630">
        <w:rPr>
          <w:rFonts w:cs="Arial"/>
          <w:lang w:val="en-ZA"/>
        </w:rPr>
        <w:t>granted.</w:t>
      </w:r>
    </w:p>
    <w:p w:rsidR="00DA3FFC" w:rsidRPr="00DA3FFC" w:rsidRDefault="00DA3FFC" w:rsidP="003069D8">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94674E" w:rsidRDefault="00784A8B" w:rsidP="003069D8">
      <w:pPr>
        <w:pStyle w:val="ListParagraph"/>
        <w:numPr>
          <w:ilvl w:val="2"/>
          <w:numId w:val="28"/>
        </w:numPr>
        <w:spacing w:after="120" w:line="360" w:lineRule="auto"/>
        <w:ind w:left="561" w:hanging="561"/>
        <w:jc w:val="both"/>
      </w:pPr>
      <w:r>
        <w:t>Endorsement number T</w:t>
      </w:r>
      <w:r w:rsidR="00D35EDA">
        <w:t>046947/</w:t>
      </w:r>
      <w:r>
        <w:t>05, in terms of section 45(1) of the Deeds Registries Act, Act 47 of 1937 (‘the Act’), of Deed of Transfer number T8806/2002, in terms of which Erf 9247, Protea Glen Extension 12 To</w:t>
      </w:r>
      <w:r w:rsidR="00D35EDA">
        <w:t>wnship, Registration Division IQ</w:t>
      </w:r>
      <w:r>
        <w:t xml:space="preserve">, Gauteng Province, </w:t>
      </w:r>
      <w:r w:rsidR="00D35EDA">
        <w:t>in extent 255 (two hundred and fifty five) square meters</w:t>
      </w:r>
      <w:r w:rsidR="0094674E">
        <w:t xml:space="preserve">, </w:t>
      </w:r>
      <w:r>
        <w:t>held under Deed of Transfer number T8806/2002</w:t>
      </w:r>
      <w:r w:rsidR="0094674E">
        <w:t xml:space="preserve"> (‘the property’)</w:t>
      </w:r>
      <w:r>
        <w:t xml:space="preserve">, was </w:t>
      </w:r>
      <w:r w:rsidR="0094674E">
        <w:t xml:space="preserve">transferred </w:t>
      </w:r>
      <w:r>
        <w:t xml:space="preserve">to and registered in the </w:t>
      </w:r>
      <w:r w:rsidR="0094674E">
        <w:t xml:space="preserve">name of Nthibi Dora Leboko-Radebe, identity number: 611022 644 083, </w:t>
      </w:r>
      <w:r>
        <w:t>be and is hereby cancelled in terms of section 6(1) of the Act</w:t>
      </w:r>
      <w:r w:rsidR="0094674E">
        <w:t>.</w:t>
      </w:r>
    </w:p>
    <w:p w:rsidR="0094674E" w:rsidRDefault="0094674E" w:rsidP="003069D8">
      <w:pPr>
        <w:pStyle w:val="ListParagraph"/>
        <w:numPr>
          <w:ilvl w:val="2"/>
          <w:numId w:val="28"/>
        </w:numPr>
        <w:spacing w:after="120" w:line="360" w:lineRule="auto"/>
        <w:ind w:left="561" w:hanging="561"/>
        <w:jc w:val="both"/>
      </w:pPr>
      <w:r>
        <w:t>The fourth respondent shall forthwith cancel the aforementioned Endorsement number: T46947/2005.</w:t>
      </w:r>
    </w:p>
    <w:p w:rsidR="003069D8" w:rsidRDefault="003069D8" w:rsidP="003069D8">
      <w:pPr>
        <w:pStyle w:val="ListParagraph"/>
        <w:numPr>
          <w:ilvl w:val="2"/>
          <w:numId w:val="28"/>
        </w:numPr>
        <w:spacing w:after="120" w:line="360" w:lineRule="auto"/>
        <w:ind w:left="561" w:hanging="561"/>
        <w:jc w:val="both"/>
      </w:pPr>
      <w:r>
        <w:t>The fourth r</w:t>
      </w:r>
      <w:r w:rsidR="00784A8B">
        <w:t xml:space="preserve">espondent </w:t>
      </w:r>
      <w:r>
        <w:t xml:space="preserve">be and </w:t>
      </w:r>
      <w:r w:rsidR="00784A8B">
        <w:t xml:space="preserve">is hereby </w:t>
      </w:r>
      <w:r>
        <w:t>ordered and directed</w:t>
      </w:r>
      <w:r w:rsidR="00784A8B">
        <w:t xml:space="preserve"> to </w:t>
      </w:r>
      <w:r>
        <w:t>forthwith cancel the Continuing Coverage Mortgage Bond number:</w:t>
      </w:r>
      <w:r w:rsidR="00D35EDA">
        <w:t xml:space="preserve"> B29273/</w:t>
      </w:r>
      <w:r w:rsidR="00784A8B">
        <w:t>0</w:t>
      </w:r>
      <w:r>
        <w:t>6, registered in favour of the second r</w:t>
      </w:r>
      <w:r w:rsidR="00784A8B">
        <w:t xml:space="preserve">espondent over </w:t>
      </w:r>
      <w:r w:rsidR="00D35EDA">
        <w:t>Erf 9247, Protea Glen Extension 12 Township, Registration Division IQ, Gauteng Province, in extent 255 (two hundred and fifty-five</w:t>
      </w:r>
      <w:r w:rsidR="002A3ECD">
        <w:t>)</w:t>
      </w:r>
      <w:r w:rsidR="00D35EDA">
        <w:t xml:space="preserve"> square meters, held under Deed of Transfer number T8806/2002 (‘the property’)</w:t>
      </w:r>
      <w:r>
        <w:t>.</w:t>
      </w:r>
    </w:p>
    <w:p w:rsidR="003069D8" w:rsidRDefault="00C6184E" w:rsidP="003069D8">
      <w:pPr>
        <w:pStyle w:val="ListParagraph"/>
        <w:numPr>
          <w:ilvl w:val="2"/>
          <w:numId w:val="28"/>
        </w:numPr>
        <w:spacing w:after="120" w:line="360" w:lineRule="auto"/>
        <w:ind w:left="561" w:hanging="561"/>
        <w:jc w:val="both"/>
      </w:pPr>
      <w:r>
        <w:t xml:space="preserve">Upon cancellation of the aforementioned </w:t>
      </w:r>
      <w:r w:rsidR="003069D8">
        <w:t>Endorsement number</w:t>
      </w:r>
      <w:r w:rsidR="00D35EDA">
        <w:t>: T46947/</w:t>
      </w:r>
      <w:r w:rsidR="003069D8">
        <w:t>05</w:t>
      </w:r>
      <w:r>
        <w:t xml:space="preserve">, the Deed under which the property was held immediately prior to registration of </w:t>
      </w:r>
      <w:r w:rsidR="003069D8">
        <w:t xml:space="preserve">Endorsement number: T46947/2005, </w:t>
      </w:r>
      <w:r>
        <w:t xml:space="preserve">shall be revived.  </w:t>
      </w:r>
    </w:p>
    <w:p w:rsidR="00A258BD" w:rsidRDefault="00B345C3" w:rsidP="003C255A">
      <w:pPr>
        <w:pStyle w:val="LegalBodyText1"/>
        <w:numPr>
          <w:ilvl w:val="2"/>
          <w:numId w:val="28"/>
        </w:numPr>
        <w:spacing w:after="240" w:line="360" w:lineRule="auto"/>
        <w:ind w:left="567" w:hanging="567"/>
      </w:pPr>
      <w:r>
        <w:t>There shall be no order as to costs.</w:t>
      </w:r>
    </w:p>
    <w:p w:rsidR="009314F3" w:rsidRPr="00A84826" w:rsidRDefault="00F86558" w:rsidP="003069D8">
      <w:pPr>
        <w:pStyle w:val="LegalTramLines"/>
        <w:keepNext/>
        <w:spacing w:after="240"/>
      </w:pPr>
      <w:r>
        <w:lastRenderedPageBreak/>
        <w:t xml:space="preserve">JUDGMENT </w:t>
      </w:r>
    </w:p>
    <w:p w:rsidR="007D27AD" w:rsidRPr="007D27AD" w:rsidRDefault="007D27AD" w:rsidP="00630DF9">
      <w:pPr>
        <w:keepNext/>
        <w:spacing w:before="120" w:after="120" w:line="360" w:lineRule="auto"/>
        <w:jc w:val="both"/>
        <w:rPr>
          <w:b/>
          <w:caps/>
        </w:rPr>
      </w:pPr>
      <w:r w:rsidRPr="007D27AD">
        <w:rPr>
          <w:b/>
        </w:rPr>
        <w:t>Adams J:</w:t>
      </w:r>
    </w:p>
    <w:p w:rsidR="008615AA" w:rsidRPr="0052488A" w:rsidRDefault="008615AA" w:rsidP="008615AA">
      <w:pPr>
        <w:numPr>
          <w:ilvl w:val="0"/>
          <w:numId w:val="13"/>
        </w:numPr>
        <w:spacing w:after="120" w:line="360" w:lineRule="auto"/>
        <w:ind w:left="0" w:firstLine="0"/>
        <w:jc w:val="both"/>
        <w:outlineLvl w:val="0"/>
        <w:rPr>
          <w:color w:val="000000"/>
        </w:rPr>
      </w:pPr>
      <w:r>
        <w:rPr>
          <w:color w:val="000000"/>
        </w:rPr>
        <w:t>The applicant is the executor in the deceased estate of the late Mr </w:t>
      </w:r>
      <w:r w:rsidRPr="00B90EC6">
        <w:rPr>
          <w:color w:val="000000"/>
        </w:rPr>
        <w:t>Jeremiah Jerry Radebe</w:t>
      </w:r>
      <w:r>
        <w:rPr>
          <w:color w:val="000000"/>
        </w:rPr>
        <w:t xml:space="preserve"> (‘the deceased’), who passed away almost two decades ago on 17 April 2004. At the time of his death, the deceased was the owner of immovable property, namely </w:t>
      </w:r>
      <w:r w:rsidR="00D35EDA">
        <w:t>Erf 9247, Protea Glen Extension 12 Township, Registration Division IQ, Gauteng Province, in extent 255 (two hundred and fifty-five) square meters, held under Deed of Transfer number T8806/2002 (‘the property’)</w:t>
      </w:r>
      <w:r>
        <w:t xml:space="preserve">. The deceased was married to the first respondent until the date of their divorce on 13 March 1997, and he acquired the property </w:t>
      </w:r>
      <w:r w:rsidR="0052488A">
        <w:t>during 2002.</w:t>
      </w:r>
    </w:p>
    <w:p w:rsidR="00FC6E8A" w:rsidRPr="00FC6E8A" w:rsidRDefault="0052488A" w:rsidP="008615AA">
      <w:pPr>
        <w:numPr>
          <w:ilvl w:val="0"/>
          <w:numId w:val="13"/>
        </w:numPr>
        <w:spacing w:after="120" w:line="360" w:lineRule="auto"/>
        <w:ind w:left="0" w:firstLine="0"/>
        <w:jc w:val="both"/>
        <w:outlineLvl w:val="0"/>
        <w:rPr>
          <w:color w:val="000000"/>
        </w:rPr>
      </w:pPr>
      <w:r>
        <w:t>During 2005, the first respondent, through fraudulent means and by misrepresenting to the third respondent (‘the Master’) that she was the surviving spouse of the deceased, first obtained letters of authority, entitling her to take control of the assets of the deceased, and secondly caused th</w:t>
      </w:r>
      <w:r w:rsidR="00FC6E8A">
        <w:t>e property to be transferred in</w:t>
      </w:r>
      <w:r>
        <w:t xml:space="preserve">to her name by having the Deed of Transfer relating to the property endorsed to that effect by the fifth respondent (the Registrar of Deeds). The fraud by the first respondent did not end there. During 2006 she obtained a loan from the second respondent </w:t>
      </w:r>
      <w:r w:rsidR="00FC6E8A">
        <w:t>(‘</w:t>
      </w:r>
      <w:r w:rsidR="00F85B48">
        <w:t>Absa</w:t>
      </w:r>
      <w:r w:rsidR="00FC6E8A">
        <w:t xml:space="preserve"> Bank’) </w:t>
      </w:r>
      <w:r>
        <w:t xml:space="preserve">and, as security for the said loan, she had a mortgage bond registered over the property in </w:t>
      </w:r>
      <w:r w:rsidR="00FC6E8A">
        <w:t xml:space="preserve">their </w:t>
      </w:r>
      <w:r>
        <w:t>favour</w:t>
      </w:r>
      <w:r w:rsidR="00FC6E8A">
        <w:t>.</w:t>
      </w:r>
    </w:p>
    <w:p w:rsidR="00FC6E8A" w:rsidRDefault="00FC6E8A" w:rsidP="00F95B38">
      <w:pPr>
        <w:numPr>
          <w:ilvl w:val="0"/>
          <w:numId w:val="13"/>
        </w:numPr>
        <w:spacing w:after="120" w:line="360" w:lineRule="auto"/>
        <w:ind w:left="0" w:firstLine="0"/>
        <w:jc w:val="both"/>
        <w:outlineLvl w:val="0"/>
        <w:rPr>
          <w:color w:val="000000"/>
        </w:rPr>
      </w:pPr>
      <w:r>
        <w:rPr>
          <w:color w:val="000000"/>
        </w:rPr>
        <w:t>In t</w:t>
      </w:r>
      <w:r w:rsidR="007D27AD" w:rsidRPr="007D27AD">
        <w:rPr>
          <w:color w:val="000000"/>
        </w:rPr>
        <w:t>his opposed application</w:t>
      </w:r>
      <w:r>
        <w:rPr>
          <w:color w:val="000000"/>
        </w:rPr>
        <w:t xml:space="preserve">, </w:t>
      </w:r>
      <w:r w:rsidR="007D27AD" w:rsidRPr="007D27AD">
        <w:rPr>
          <w:color w:val="000000"/>
        </w:rPr>
        <w:t xml:space="preserve">the applicant </w:t>
      </w:r>
      <w:r>
        <w:rPr>
          <w:color w:val="000000"/>
        </w:rPr>
        <w:t xml:space="preserve">applies </w:t>
      </w:r>
      <w:r w:rsidR="007D27AD" w:rsidRPr="007D27AD">
        <w:rPr>
          <w:color w:val="000000"/>
        </w:rPr>
        <w:t>for</w:t>
      </w:r>
      <w:r w:rsidR="0071131D">
        <w:rPr>
          <w:color w:val="000000"/>
        </w:rPr>
        <w:t xml:space="preserve"> </w:t>
      </w:r>
      <w:r w:rsidR="00A94E4C">
        <w:rPr>
          <w:color w:val="000000"/>
        </w:rPr>
        <w:t xml:space="preserve">vindicatory relief in relation to </w:t>
      </w:r>
      <w:r>
        <w:rPr>
          <w:color w:val="000000"/>
        </w:rPr>
        <w:t xml:space="preserve">the property. </w:t>
      </w:r>
      <w:r w:rsidR="00170F57" w:rsidRPr="00FC6E8A">
        <w:rPr>
          <w:color w:val="000000"/>
        </w:rPr>
        <w:t xml:space="preserve">In </w:t>
      </w:r>
      <w:r>
        <w:rPr>
          <w:color w:val="000000"/>
        </w:rPr>
        <w:t>his</w:t>
      </w:r>
      <w:r w:rsidR="00170F57" w:rsidRPr="00FC6E8A">
        <w:rPr>
          <w:color w:val="000000"/>
        </w:rPr>
        <w:t xml:space="preserve"> notice of </w:t>
      </w:r>
      <w:r w:rsidRPr="00FC6E8A">
        <w:rPr>
          <w:color w:val="000000"/>
        </w:rPr>
        <w:t>motion,</w:t>
      </w:r>
      <w:r w:rsidR="00170F57" w:rsidRPr="00FC6E8A">
        <w:rPr>
          <w:color w:val="000000"/>
        </w:rPr>
        <w:t xml:space="preserve"> the applicant </w:t>
      </w:r>
      <w:r w:rsidR="00C152C9" w:rsidRPr="00FC6E8A">
        <w:rPr>
          <w:color w:val="000000"/>
        </w:rPr>
        <w:t xml:space="preserve">requests </w:t>
      </w:r>
      <w:r w:rsidR="00170F57" w:rsidRPr="00FC6E8A">
        <w:rPr>
          <w:color w:val="000000"/>
        </w:rPr>
        <w:t xml:space="preserve">that the </w:t>
      </w:r>
      <w:r>
        <w:rPr>
          <w:color w:val="000000"/>
        </w:rPr>
        <w:t xml:space="preserve">endorsement of the title deed relating to the property and in terms of which the property was effectively transferred to the first respondent, </w:t>
      </w:r>
      <w:r w:rsidR="00C152C9" w:rsidRPr="00FC6E8A">
        <w:rPr>
          <w:color w:val="000000"/>
        </w:rPr>
        <w:t xml:space="preserve">be cancelled </w:t>
      </w:r>
      <w:r>
        <w:rPr>
          <w:color w:val="000000"/>
        </w:rPr>
        <w:t>so as to have ownership of the property revert back to the estate of the deceased.</w:t>
      </w:r>
    </w:p>
    <w:p w:rsidR="004E3DFE" w:rsidRPr="004E3DFE" w:rsidRDefault="0064093D" w:rsidP="005A59E5">
      <w:pPr>
        <w:numPr>
          <w:ilvl w:val="0"/>
          <w:numId w:val="13"/>
        </w:numPr>
        <w:spacing w:after="120" w:line="360" w:lineRule="auto"/>
        <w:ind w:left="0" w:firstLine="0"/>
        <w:jc w:val="both"/>
        <w:outlineLvl w:val="0"/>
        <w:rPr>
          <w:color w:val="000000"/>
        </w:rPr>
      </w:pPr>
      <w:r>
        <w:rPr>
          <w:color w:val="000000"/>
        </w:rPr>
        <w:t xml:space="preserve">The </w:t>
      </w:r>
      <w:r w:rsidR="005A59E5" w:rsidRPr="005A59E5">
        <w:rPr>
          <w:color w:val="000000"/>
        </w:rPr>
        <w:t xml:space="preserve">application </w:t>
      </w:r>
      <w:r>
        <w:rPr>
          <w:color w:val="000000"/>
        </w:rPr>
        <w:t xml:space="preserve">is based on the provisions of </w:t>
      </w:r>
      <w:r w:rsidR="005A59E5" w:rsidRPr="005A59E5">
        <w:rPr>
          <w:color w:val="000000"/>
        </w:rPr>
        <w:t xml:space="preserve">section 6 of </w:t>
      </w:r>
      <w:r>
        <w:rPr>
          <w:color w:val="000000"/>
        </w:rPr>
        <w:t>the Deeds Registries Act, Act</w:t>
      </w:r>
      <w:r w:rsidR="005A59E5" w:rsidRPr="005A59E5">
        <w:rPr>
          <w:color w:val="000000"/>
        </w:rPr>
        <w:t xml:space="preserve"> 47 of 1937 </w:t>
      </w:r>
      <w:r w:rsidR="002E1B87">
        <w:rPr>
          <w:color w:val="000000"/>
        </w:rPr>
        <w:t xml:space="preserve">(‘the Act’) </w:t>
      </w:r>
      <w:r w:rsidR="000A5FD5">
        <w:rPr>
          <w:color w:val="000000"/>
        </w:rPr>
        <w:t>for the cancellation of</w:t>
      </w:r>
      <w:r w:rsidR="005A59E5" w:rsidRPr="005A59E5">
        <w:rPr>
          <w:color w:val="000000"/>
        </w:rPr>
        <w:t xml:space="preserve"> </w:t>
      </w:r>
      <w:r w:rsidR="00FC6E8A">
        <w:t xml:space="preserve">Endorsement number T46947/2005, in terms of section 45(1) of the Act, of Deed of Transfer number T8806/2002, in terms of which the property </w:t>
      </w:r>
      <w:r w:rsidR="004E3DFE">
        <w:t>w</w:t>
      </w:r>
      <w:r w:rsidR="00FC6E8A">
        <w:t xml:space="preserve">as transferred </w:t>
      </w:r>
      <w:r w:rsidR="004E3DFE">
        <w:t xml:space="preserve">the first </w:t>
      </w:r>
      <w:r w:rsidR="004E3DFE">
        <w:lastRenderedPageBreak/>
        <w:t xml:space="preserve">respondent. The applicant also applies for a cancellation of the mortgage bond which the first respondent had caused to registered over the property in favour of </w:t>
      </w:r>
      <w:r w:rsidR="00F85B48">
        <w:t>Absa</w:t>
      </w:r>
      <w:r w:rsidR="004E3DFE">
        <w:t xml:space="preserve"> Bank. </w:t>
      </w:r>
    </w:p>
    <w:p w:rsidR="004E3DFE" w:rsidRPr="004E3DFE" w:rsidRDefault="004E3DFE" w:rsidP="004E3DFE">
      <w:pPr>
        <w:numPr>
          <w:ilvl w:val="0"/>
          <w:numId w:val="13"/>
        </w:numPr>
        <w:spacing w:after="120" w:line="360" w:lineRule="auto"/>
        <w:ind w:left="0" w:firstLine="0"/>
        <w:jc w:val="both"/>
        <w:outlineLvl w:val="0"/>
        <w:rPr>
          <w:color w:val="000000"/>
        </w:rPr>
      </w:pPr>
      <w:r>
        <w:t xml:space="preserve">I interpose here to note that, although the applicant’s application was duly served on </w:t>
      </w:r>
      <w:r w:rsidR="00F85B48">
        <w:t>Absa</w:t>
      </w:r>
      <w:r>
        <w:t xml:space="preserve"> Bank, it has to date not delivered notice of intention to oppose. I assume from their quiescence that they acquiesce and will abide the decision of the Court. In light of my finding in this matter, that seems like a prudent approach. </w:t>
      </w:r>
    </w:p>
    <w:p w:rsidR="002E1B87" w:rsidRDefault="002E1B87" w:rsidP="002E1B87">
      <w:pPr>
        <w:numPr>
          <w:ilvl w:val="0"/>
          <w:numId w:val="13"/>
        </w:numPr>
        <w:spacing w:line="360" w:lineRule="auto"/>
        <w:ind w:left="0" w:firstLine="0"/>
        <w:jc w:val="both"/>
        <w:outlineLvl w:val="0"/>
        <w:rPr>
          <w:color w:val="000000"/>
        </w:rPr>
      </w:pPr>
      <w:r>
        <w:rPr>
          <w:color w:val="000000"/>
        </w:rPr>
        <w:t>Section 6 of the Act provides as follows:</w:t>
      </w:r>
    </w:p>
    <w:p w:rsidR="002E1B87" w:rsidRPr="00170F57" w:rsidRDefault="002E1B87" w:rsidP="002E1B87">
      <w:pPr>
        <w:spacing w:line="360" w:lineRule="auto"/>
        <w:jc w:val="both"/>
        <w:outlineLvl w:val="0"/>
        <w:rPr>
          <w:color w:val="000000"/>
          <w:sz w:val="22"/>
          <w:szCs w:val="22"/>
        </w:rPr>
      </w:pPr>
      <w:r w:rsidRPr="00170F57">
        <w:rPr>
          <w:color w:val="000000"/>
          <w:sz w:val="22"/>
          <w:szCs w:val="22"/>
        </w:rPr>
        <w:t>‘6</w:t>
      </w:r>
      <w:r w:rsidRPr="00170F57">
        <w:rPr>
          <w:color w:val="000000"/>
          <w:sz w:val="22"/>
          <w:szCs w:val="22"/>
        </w:rPr>
        <w:tab/>
      </w:r>
      <w:r w:rsidRPr="00170F57">
        <w:rPr>
          <w:b/>
          <w:color w:val="000000"/>
          <w:sz w:val="22"/>
          <w:szCs w:val="22"/>
        </w:rPr>
        <w:t>Registered deeds not to be cancelled except upon an order of court</w:t>
      </w:r>
      <w:r w:rsidR="00170F57">
        <w:rPr>
          <w:b/>
          <w:color w:val="000000"/>
          <w:sz w:val="22"/>
          <w:szCs w:val="22"/>
        </w:rPr>
        <w:t xml:space="preserve"> –</w:t>
      </w:r>
    </w:p>
    <w:p w:rsidR="002E1B87" w:rsidRPr="00170F57" w:rsidRDefault="002E1B87" w:rsidP="00170F57">
      <w:pPr>
        <w:spacing w:line="360" w:lineRule="auto"/>
        <w:ind w:left="567" w:hanging="567"/>
        <w:jc w:val="both"/>
        <w:outlineLvl w:val="0"/>
        <w:rPr>
          <w:color w:val="000000"/>
          <w:sz w:val="22"/>
          <w:szCs w:val="22"/>
        </w:rPr>
      </w:pPr>
      <w:r w:rsidRPr="00170F57">
        <w:rPr>
          <w:color w:val="000000"/>
          <w:sz w:val="22"/>
          <w:szCs w:val="22"/>
        </w:rPr>
        <w:t>(1)</w:t>
      </w:r>
      <w:r w:rsidRPr="00170F57">
        <w:rPr>
          <w:color w:val="000000"/>
          <w:sz w:val="22"/>
          <w:szCs w:val="22"/>
        </w:rPr>
        <w:tab/>
        <w:t>Save as is otherwise provided in this Act or in any other law no registered deed of grant, deed of transfer, certificate of title or other deed conferring or conveying title to land, or any real right in land other than a mortgage bond, and no cession of any registered bond not made as security, shall be cancelled by a registrar except upon an order of Court.</w:t>
      </w:r>
    </w:p>
    <w:p w:rsidR="002E1B87" w:rsidRPr="00170F57" w:rsidRDefault="002E1B87" w:rsidP="00170F57">
      <w:pPr>
        <w:spacing w:after="120" w:line="360" w:lineRule="auto"/>
        <w:ind w:left="567" w:hanging="567"/>
        <w:jc w:val="both"/>
        <w:outlineLvl w:val="0"/>
        <w:rPr>
          <w:color w:val="000000"/>
          <w:sz w:val="22"/>
          <w:szCs w:val="22"/>
        </w:rPr>
      </w:pPr>
      <w:r w:rsidRPr="00170F57">
        <w:rPr>
          <w:color w:val="000000"/>
          <w:sz w:val="22"/>
          <w:szCs w:val="22"/>
        </w:rPr>
        <w:t>(2)</w:t>
      </w:r>
      <w:r w:rsidRPr="00170F57">
        <w:rPr>
          <w:color w:val="000000"/>
          <w:sz w:val="22"/>
          <w:szCs w:val="22"/>
        </w:rPr>
        <w:tab/>
        <w:t>Upon the cancellation of any deed conferring or conveying title to land or any real right in land other than a mortgage bond as provided for in subsection (1), the deed under which the land or such real right in land was held immediately prior to the registration of the deed which is cancelled, shall be revived to the extent of such cancellation, and the registrar shall cancel the relevant endorsement thereon evidencing the registration of the cancelled deed.</w:t>
      </w:r>
      <w:r w:rsidR="00170F57" w:rsidRPr="00170F57">
        <w:rPr>
          <w:color w:val="000000"/>
          <w:sz w:val="22"/>
          <w:szCs w:val="22"/>
        </w:rPr>
        <w:t>’</w:t>
      </w:r>
    </w:p>
    <w:p w:rsidR="004E3DFE" w:rsidRDefault="000A5FD5" w:rsidP="005A59E5">
      <w:pPr>
        <w:numPr>
          <w:ilvl w:val="0"/>
          <w:numId w:val="13"/>
        </w:numPr>
        <w:spacing w:after="120" w:line="360" w:lineRule="auto"/>
        <w:ind w:left="0" w:firstLine="0"/>
        <w:jc w:val="both"/>
        <w:outlineLvl w:val="0"/>
        <w:rPr>
          <w:color w:val="000000"/>
        </w:rPr>
      </w:pPr>
      <w:r>
        <w:rPr>
          <w:color w:val="000000"/>
        </w:rPr>
        <w:t xml:space="preserve">The question to be decided in this application is whether the transfer of the property into the name of the first respondent was valid and based on a lawful and sustainable </w:t>
      </w:r>
      <w:r w:rsidRPr="000A5FD5">
        <w:rPr>
          <w:i/>
          <w:color w:val="000000"/>
        </w:rPr>
        <w:t>causa</w:t>
      </w:r>
      <w:r>
        <w:rPr>
          <w:color w:val="000000"/>
        </w:rPr>
        <w:t xml:space="preserve">. That question should be decided against the backdrop of the relevant facts, some of which </w:t>
      </w:r>
      <w:r w:rsidR="004E3DFE">
        <w:rPr>
          <w:color w:val="000000"/>
        </w:rPr>
        <w:t xml:space="preserve">I have already alluded to </w:t>
      </w:r>
      <w:r w:rsidR="004E3DFE" w:rsidRPr="004E3DFE">
        <w:rPr>
          <w:i/>
          <w:color w:val="000000"/>
        </w:rPr>
        <w:t>supra</w:t>
      </w:r>
      <w:r w:rsidR="004E3DFE">
        <w:rPr>
          <w:color w:val="000000"/>
        </w:rPr>
        <w:t>, and which are expanded on in the paragraphs which follow.</w:t>
      </w:r>
    </w:p>
    <w:p w:rsidR="001F4D55" w:rsidRDefault="001F4D55" w:rsidP="001F4D55">
      <w:pPr>
        <w:numPr>
          <w:ilvl w:val="0"/>
          <w:numId w:val="13"/>
        </w:numPr>
        <w:spacing w:after="120" w:line="360" w:lineRule="auto"/>
        <w:ind w:left="0" w:firstLine="0"/>
        <w:jc w:val="both"/>
        <w:outlineLvl w:val="0"/>
        <w:rPr>
          <w:color w:val="000000"/>
        </w:rPr>
      </w:pPr>
      <w:r>
        <w:rPr>
          <w:color w:val="000000"/>
        </w:rPr>
        <w:t>As already indicated, the late Jeremiah Jerry Radebe divorce</w:t>
      </w:r>
      <w:r w:rsidR="00F95B38">
        <w:rPr>
          <w:color w:val="000000"/>
        </w:rPr>
        <w:t>d</w:t>
      </w:r>
      <w:r>
        <w:rPr>
          <w:color w:val="000000"/>
        </w:rPr>
        <w:t xml:space="preserve"> from the first r</w:t>
      </w:r>
      <w:r w:rsidR="00B90EC6" w:rsidRPr="001F4D55">
        <w:rPr>
          <w:color w:val="000000"/>
        </w:rPr>
        <w:t>espondent on 13 March 1997 and the</w:t>
      </w:r>
      <w:r>
        <w:rPr>
          <w:color w:val="000000"/>
        </w:rPr>
        <w:t>ir</w:t>
      </w:r>
      <w:r w:rsidR="00B90EC6" w:rsidRPr="001F4D55">
        <w:rPr>
          <w:color w:val="000000"/>
        </w:rPr>
        <w:t xml:space="preserve"> joint estate was subsequently divided</w:t>
      </w:r>
      <w:r>
        <w:rPr>
          <w:color w:val="000000"/>
        </w:rPr>
        <w:t xml:space="preserve">. Thereafter, he </w:t>
      </w:r>
      <w:r w:rsidR="00B90EC6" w:rsidRPr="001F4D55">
        <w:rPr>
          <w:color w:val="000000"/>
        </w:rPr>
        <w:t>purchased the property</w:t>
      </w:r>
      <w:r>
        <w:rPr>
          <w:color w:val="000000"/>
        </w:rPr>
        <w:t>. And he passed away</w:t>
      </w:r>
      <w:r w:rsidR="00B90EC6" w:rsidRPr="001F4D55">
        <w:rPr>
          <w:color w:val="000000"/>
        </w:rPr>
        <w:t xml:space="preserve"> on 17 April 2004.</w:t>
      </w:r>
      <w:r>
        <w:rPr>
          <w:color w:val="000000"/>
        </w:rPr>
        <w:t xml:space="preserve"> </w:t>
      </w:r>
      <w:r w:rsidR="00B90EC6" w:rsidRPr="001F4D55">
        <w:rPr>
          <w:color w:val="000000"/>
        </w:rPr>
        <w:t>On 2 July 2004</w:t>
      </w:r>
      <w:r>
        <w:rPr>
          <w:color w:val="000000"/>
        </w:rPr>
        <w:t xml:space="preserve"> the first r</w:t>
      </w:r>
      <w:r w:rsidR="00B90EC6" w:rsidRPr="001F4D55">
        <w:rPr>
          <w:color w:val="000000"/>
        </w:rPr>
        <w:t xml:space="preserve">espondent reported the </w:t>
      </w:r>
      <w:r>
        <w:rPr>
          <w:color w:val="000000"/>
        </w:rPr>
        <w:t xml:space="preserve">estate of the </w:t>
      </w:r>
      <w:r w:rsidR="00B90EC6" w:rsidRPr="001F4D55">
        <w:rPr>
          <w:color w:val="000000"/>
        </w:rPr>
        <w:t xml:space="preserve">deceased to the </w:t>
      </w:r>
      <w:r w:rsidR="00F95B38">
        <w:rPr>
          <w:color w:val="000000"/>
        </w:rPr>
        <w:t xml:space="preserve">office of the </w:t>
      </w:r>
      <w:r>
        <w:rPr>
          <w:color w:val="000000"/>
        </w:rPr>
        <w:t>Master, fraudulently claiming</w:t>
      </w:r>
      <w:r w:rsidR="00B90EC6" w:rsidRPr="001F4D55">
        <w:rPr>
          <w:color w:val="000000"/>
        </w:rPr>
        <w:t xml:space="preserve"> that she was the </w:t>
      </w:r>
      <w:r>
        <w:rPr>
          <w:color w:val="000000"/>
        </w:rPr>
        <w:t xml:space="preserve">surviving spouse of the </w:t>
      </w:r>
      <w:r w:rsidR="00B90EC6" w:rsidRPr="001F4D55">
        <w:rPr>
          <w:color w:val="000000"/>
        </w:rPr>
        <w:t>deceased</w:t>
      </w:r>
      <w:r>
        <w:rPr>
          <w:color w:val="000000"/>
        </w:rPr>
        <w:t xml:space="preserve">. She was then issued with ‘letters of authority’ with the power to receive and liquidate the assets of the deceased. In that capacity, she caused </w:t>
      </w:r>
      <w:r>
        <w:rPr>
          <w:color w:val="000000"/>
        </w:rPr>
        <w:lastRenderedPageBreak/>
        <w:t xml:space="preserve">the property to be registered into her name. Thereafter, she had a bond registered over the property. </w:t>
      </w:r>
    </w:p>
    <w:p w:rsidR="006B0595" w:rsidRDefault="001F4D55" w:rsidP="00B90EC6">
      <w:pPr>
        <w:numPr>
          <w:ilvl w:val="0"/>
          <w:numId w:val="13"/>
        </w:numPr>
        <w:spacing w:after="120" w:line="360" w:lineRule="auto"/>
        <w:ind w:left="0" w:firstLine="0"/>
        <w:jc w:val="both"/>
        <w:outlineLvl w:val="0"/>
        <w:rPr>
          <w:color w:val="000000"/>
        </w:rPr>
      </w:pPr>
      <w:r>
        <w:rPr>
          <w:color w:val="000000"/>
        </w:rPr>
        <w:t>When this fraudulent conduct by the first respondent came to the attention of the third respondent, the latter revoke</w:t>
      </w:r>
      <w:r w:rsidR="00F95B38">
        <w:rPr>
          <w:color w:val="000000"/>
        </w:rPr>
        <w:t>d</w:t>
      </w:r>
      <w:r>
        <w:rPr>
          <w:color w:val="000000"/>
        </w:rPr>
        <w:t xml:space="preserve"> the first respondent’s letters of authority and on 4 September 2015 appointed the applicant as the Executor </w:t>
      </w:r>
      <w:r w:rsidR="006B0595">
        <w:rPr>
          <w:color w:val="000000"/>
        </w:rPr>
        <w:t>in the estate of the deceased.</w:t>
      </w:r>
    </w:p>
    <w:p w:rsidR="00A3454E" w:rsidRDefault="006B0595" w:rsidP="00A3454E">
      <w:pPr>
        <w:numPr>
          <w:ilvl w:val="0"/>
          <w:numId w:val="13"/>
        </w:numPr>
        <w:spacing w:after="120" w:line="360" w:lineRule="auto"/>
        <w:ind w:left="0" w:firstLine="0"/>
        <w:jc w:val="both"/>
        <w:outlineLvl w:val="0"/>
        <w:rPr>
          <w:color w:val="000000"/>
        </w:rPr>
      </w:pPr>
      <w:r>
        <w:rPr>
          <w:color w:val="000000"/>
        </w:rPr>
        <w:t xml:space="preserve">As </w:t>
      </w:r>
      <w:r w:rsidR="00832FE5">
        <w:rPr>
          <w:color w:val="000000"/>
        </w:rPr>
        <w:t>correctly pointed out by Mr Kellerman SC, who appeared on behalf of the applicant, t</w:t>
      </w:r>
      <w:r w:rsidR="00B90EC6" w:rsidRPr="00B90EC6">
        <w:rPr>
          <w:color w:val="000000"/>
        </w:rPr>
        <w:t xml:space="preserve">he transfer of </w:t>
      </w:r>
      <w:r w:rsidR="00832FE5">
        <w:rPr>
          <w:color w:val="000000"/>
        </w:rPr>
        <w:t>the property from the deceased estate to the first r</w:t>
      </w:r>
      <w:r w:rsidR="00B90EC6" w:rsidRPr="00B90EC6">
        <w:rPr>
          <w:color w:val="000000"/>
        </w:rPr>
        <w:t>espondent</w:t>
      </w:r>
      <w:r w:rsidR="00B90EC6">
        <w:rPr>
          <w:color w:val="000000"/>
        </w:rPr>
        <w:t xml:space="preserve"> </w:t>
      </w:r>
      <w:r w:rsidR="00B90EC6" w:rsidRPr="00B90EC6">
        <w:rPr>
          <w:color w:val="000000"/>
        </w:rPr>
        <w:t>was tainted by fraud and the resulting registrati</w:t>
      </w:r>
      <w:r w:rsidR="00832FE5">
        <w:rPr>
          <w:color w:val="000000"/>
        </w:rPr>
        <w:t>on of ownership in the name of first r</w:t>
      </w:r>
      <w:r w:rsidR="00B90EC6" w:rsidRPr="00B90EC6">
        <w:rPr>
          <w:color w:val="000000"/>
        </w:rPr>
        <w:t>espondent falls to be set aside.</w:t>
      </w:r>
      <w:r w:rsidR="00832FE5">
        <w:rPr>
          <w:color w:val="000000"/>
        </w:rPr>
        <w:t xml:space="preserve"> The same applies to the mortgage bond. </w:t>
      </w:r>
      <w:r w:rsidR="00A3454E">
        <w:rPr>
          <w:color w:val="000000"/>
        </w:rPr>
        <w:t xml:space="preserve">The point is simply that </w:t>
      </w:r>
      <w:r w:rsidR="00A3454E" w:rsidRPr="00A3454E">
        <w:rPr>
          <w:color w:val="000000"/>
        </w:rPr>
        <w:t xml:space="preserve">the so-called ‘fraud unravels all’ principle </w:t>
      </w:r>
      <w:r w:rsidR="00A3454E">
        <w:rPr>
          <w:color w:val="000000"/>
        </w:rPr>
        <w:t xml:space="preserve">finds application </w:t>
      </w:r>
      <w:r w:rsidR="00A3454E" w:rsidRPr="00A3454E">
        <w:rPr>
          <w:i/>
          <w:color w:val="000000"/>
        </w:rPr>
        <w:t>in casu</w:t>
      </w:r>
      <w:r w:rsidR="00A3454E">
        <w:rPr>
          <w:color w:val="000000"/>
        </w:rPr>
        <w:t xml:space="preserve">. The transfer of the property into the name of the first respondent, as well as the registration of the bond over the property, </w:t>
      </w:r>
      <w:r w:rsidR="00A3454E" w:rsidRPr="00A3454E">
        <w:rPr>
          <w:color w:val="000000"/>
        </w:rPr>
        <w:t>stand to be set aside on the grounds that they were underpinned by acts of fraud</w:t>
      </w:r>
      <w:r w:rsidR="00A3454E">
        <w:rPr>
          <w:color w:val="000000"/>
        </w:rPr>
        <w:t xml:space="preserve">. </w:t>
      </w:r>
      <w:r w:rsidR="00F95B38">
        <w:rPr>
          <w:color w:val="000000"/>
        </w:rPr>
        <w:t>And it matters not that Absa Bank was completely innocent and not implicated at all in the fraud.</w:t>
      </w:r>
    </w:p>
    <w:p w:rsidR="00A3454E" w:rsidRDefault="00A3454E" w:rsidP="00A3454E">
      <w:pPr>
        <w:pStyle w:val="ListParagraph"/>
        <w:numPr>
          <w:ilvl w:val="0"/>
          <w:numId w:val="13"/>
        </w:numPr>
        <w:spacing w:line="360" w:lineRule="auto"/>
        <w:ind w:left="0" w:firstLine="0"/>
        <w:jc w:val="both"/>
        <w:rPr>
          <w:color w:val="000000"/>
        </w:rPr>
      </w:pPr>
      <w:r>
        <w:rPr>
          <w:color w:val="000000"/>
        </w:rPr>
        <w:t xml:space="preserve">As was held by the SCA in </w:t>
      </w:r>
      <w:r>
        <w:rPr>
          <w:i/>
          <w:color w:val="000000"/>
        </w:rPr>
        <w:t>Namasthethu Electrical (Pty) Ltd v City of Cape Town</w:t>
      </w:r>
      <w:r>
        <w:rPr>
          <w:rStyle w:val="FootnoteReference"/>
          <w:i/>
          <w:color w:val="000000"/>
        </w:rPr>
        <w:footnoteReference w:id="1"/>
      </w:r>
      <w:r>
        <w:rPr>
          <w:color w:val="000000"/>
        </w:rPr>
        <w:t xml:space="preserve">, it is trite law that fraud is conduct which vitiates every transaction known to the law. In affirming this principle, the SCA, in </w:t>
      </w:r>
      <w:r>
        <w:rPr>
          <w:i/>
          <w:color w:val="000000"/>
        </w:rPr>
        <w:t>Esorfranki Pipelines (Pty) Ltd and Another v Mopani District Municipality and Others</w:t>
      </w:r>
      <w:r>
        <w:rPr>
          <w:rStyle w:val="FootnoteReference"/>
          <w:i/>
          <w:color w:val="000000"/>
        </w:rPr>
        <w:footnoteReference w:id="2"/>
      </w:r>
      <w:r>
        <w:rPr>
          <w:i/>
          <w:color w:val="000000"/>
        </w:rPr>
        <w:t>,</w:t>
      </w:r>
      <w:r>
        <w:rPr>
          <w:color w:val="000000"/>
        </w:rPr>
        <w:t xml:space="preserve"> referred with approval to Lord Denning's dicta in </w:t>
      </w:r>
      <w:r>
        <w:rPr>
          <w:i/>
          <w:color w:val="000000"/>
        </w:rPr>
        <w:t>Lazarus Estates Ltd v Beasley</w:t>
      </w:r>
      <w:r>
        <w:rPr>
          <w:rStyle w:val="FootnoteReference"/>
          <w:i/>
          <w:color w:val="000000"/>
        </w:rPr>
        <w:footnoteReference w:id="3"/>
      </w:r>
      <w:r>
        <w:rPr>
          <w:color w:val="000000"/>
        </w:rPr>
        <w:t>, when he said:</w:t>
      </w:r>
    </w:p>
    <w:p w:rsidR="00A3454E" w:rsidRDefault="00A3454E" w:rsidP="00A3454E">
      <w:pPr>
        <w:spacing w:after="120" w:line="360" w:lineRule="auto"/>
        <w:jc w:val="both"/>
        <w:rPr>
          <w:color w:val="000000"/>
          <w:sz w:val="22"/>
          <w:szCs w:val="22"/>
        </w:rPr>
      </w:pPr>
      <w:r>
        <w:rPr>
          <w:color w:val="000000"/>
          <w:sz w:val="22"/>
          <w:szCs w:val="22"/>
        </w:rPr>
        <w:t>‘No court in this land will allow a person to keep an advantage which he has obtained by fraud. No judgment of a court, no order of a Minister, can be allowed to stand if it has been obtained by fraud. Fraud unravels everything. The court is careful not to find fraud unless it is distinctly pleaded and proved; but once it is proved it vitiates judgments, contracts and a</w:t>
      </w:r>
      <w:r w:rsidR="00F95B38">
        <w:rPr>
          <w:color w:val="000000"/>
          <w:sz w:val="22"/>
          <w:szCs w:val="22"/>
        </w:rPr>
        <w:t xml:space="preserve">ll transactions whatsoever … </w:t>
      </w:r>
      <w:r>
        <w:rPr>
          <w:color w:val="000000"/>
          <w:sz w:val="22"/>
          <w:szCs w:val="22"/>
        </w:rPr>
        <w:t>'.</w:t>
      </w:r>
    </w:p>
    <w:p w:rsidR="00A3454E" w:rsidRPr="00A3454E" w:rsidRDefault="00A3454E" w:rsidP="00A3454E">
      <w:pPr>
        <w:pStyle w:val="ListParagraph"/>
        <w:numPr>
          <w:ilvl w:val="0"/>
          <w:numId w:val="13"/>
        </w:numPr>
        <w:spacing w:after="120" w:line="360" w:lineRule="auto"/>
        <w:ind w:left="0" w:firstLine="0"/>
        <w:jc w:val="both"/>
        <w:rPr>
          <w:color w:val="000000"/>
        </w:rPr>
      </w:pPr>
      <w:r>
        <w:rPr>
          <w:color w:val="000000"/>
        </w:rPr>
        <w:t xml:space="preserve">Fraud unravels everything – that is our law. And I have already found that first respondent committed fraud in that she misrepresented to the office of the </w:t>
      </w:r>
      <w:r>
        <w:rPr>
          <w:color w:val="000000"/>
        </w:rPr>
        <w:lastRenderedPageBreak/>
        <w:t>Master that she was the surviving spouse of the deceased, when</w:t>
      </w:r>
      <w:r w:rsidR="00F85B48">
        <w:rPr>
          <w:color w:val="000000"/>
        </w:rPr>
        <w:t xml:space="preserve"> in fact and in truth</w:t>
      </w:r>
      <w:r>
        <w:rPr>
          <w:color w:val="000000"/>
        </w:rPr>
        <w:t xml:space="preserve"> they had divorced many years before his death. This misrepresentation resulted in the two impugned transactions, </w:t>
      </w:r>
      <w:r w:rsidRPr="00A3454E">
        <w:rPr>
          <w:color w:val="000000"/>
        </w:rPr>
        <w:t xml:space="preserve">which therefore need to be ‘unravelled’ as </w:t>
      </w:r>
      <w:r>
        <w:rPr>
          <w:color w:val="000000"/>
        </w:rPr>
        <w:t xml:space="preserve">being based on fraud. </w:t>
      </w:r>
      <w:r w:rsidRPr="00A3454E">
        <w:rPr>
          <w:color w:val="000000"/>
        </w:rPr>
        <w:t xml:space="preserve">For this reason alone, the </w:t>
      </w:r>
      <w:r>
        <w:rPr>
          <w:color w:val="000000"/>
        </w:rPr>
        <w:t>transactions</w:t>
      </w:r>
      <w:r w:rsidRPr="00A3454E">
        <w:rPr>
          <w:color w:val="000000"/>
        </w:rPr>
        <w:t xml:space="preserve"> </w:t>
      </w:r>
      <w:r>
        <w:rPr>
          <w:color w:val="000000"/>
        </w:rPr>
        <w:t>fall</w:t>
      </w:r>
      <w:r w:rsidRPr="00A3454E">
        <w:rPr>
          <w:color w:val="000000"/>
        </w:rPr>
        <w:t xml:space="preserve"> to be set aside.</w:t>
      </w:r>
    </w:p>
    <w:p w:rsidR="00B90EC6" w:rsidRPr="00B90EC6" w:rsidRDefault="00A3454E" w:rsidP="00B90EC6">
      <w:pPr>
        <w:numPr>
          <w:ilvl w:val="0"/>
          <w:numId w:val="13"/>
        </w:numPr>
        <w:spacing w:after="120" w:line="360" w:lineRule="auto"/>
        <w:ind w:left="0" w:firstLine="0"/>
        <w:jc w:val="both"/>
        <w:outlineLvl w:val="0"/>
        <w:rPr>
          <w:color w:val="000000"/>
        </w:rPr>
      </w:pPr>
      <w:r>
        <w:rPr>
          <w:color w:val="000000"/>
        </w:rPr>
        <w:t>Moreover, i</w:t>
      </w:r>
      <w:r w:rsidR="00B90EC6" w:rsidRPr="00B90EC6">
        <w:rPr>
          <w:color w:val="000000"/>
        </w:rPr>
        <w:t>t is trite that the requirem</w:t>
      </w:r>
      <w:r>
        <w:rPr>
          <w:color w:val="000000"/>
        </w:rPr>
        <w:t>ents for transfer are twofold: (1) </w:t>
      </w:r>
      <w:r w:rsidR="00B90EC6" w:rsidRPr="00B90EC6">
        <w:rPr>
          <w:color w:val="000000"/>
        </w:rPr>
        <w:t>delivery effected by</w:t>
      </w:r>
      <w:r w:rsidR="00B90EC6">
        <w:rPr>
          <w:color w:val="000000"/>
        </w:rPr>
        <w:t xml:space="preserve"> </w:t>
      </w:r>
      <w:r w:rsidR="00B90EC6" w:rsidRPr="00B90EC6">
        <w:rPr>
          <w:color w:val="000000"/>
        </w:rPr>
        <w:t xml:space="preserve">registration of transfer in the deed’s office; and </w:t>
      </w:r>
      <w:r>
        <w:rPr>
          <w:color w:val="000000"/>
        </w:rPr>
        <w:t>(2) </w:t>
      </w:r>
      <w:r w:rsidR="00B90EC6" w:rsidRPr="00B90EC6">
        <w:rPr>
          <w:color w:val="000000"/>
        </w:rPr>
        <w:t>the existence of a real agreement, the essential elements of which are an intention on the part of the transferor to transfer the property and an intention on the part of the transferee to acquire ownership of the property.</w:t>
      </w:r>
    </w:p>
    <w:p w:rsidR="00B90EC6" w:rsidRPr="00296213" w:rsidRDefault="00B90EC6" w:rsidP="00296213">
      <w:pPr>
        <w:numPr>
          <w:ilvl w:val="0"/>
          <w:numId w:val="13"/>
        </w:numPr>
        <w:spacing w:after="120" w:line="360" w:lineRule="auto"/>
        <w:ind w:left="0" w:firstLine="0"/>
        <w:jc w:val="both"/>
        <w:outlineLvl w:val="0"/>
        <w:rPr>
          <w:color w:val="000000"/>
        </w:rPr>
      </w:pPr>
      <w:r w:rsidRPr="00B90EC6">
        <w:rPr>
          <w:color w:val="000000"/>
        </w:rPr>
        <w:t>If there is any defect in the real agreement, that is the lack of intention on the</w:t>
      </w:r>
      <w:r>
        <w:rPr>
          <w:color w:val="000000"/>
        </w:rPr>
        <w:t xml:space="preserve"> </w:t>
      </w:r>
      <w:r w:rsidRPr="00B90EC6">
        <w:rPr>
          <w:color w:val="000000"/>
        </w:rPr>
        <w:t xml:space="preserve">part of the transferor and the transferee to transfer and acquire ownership of the property respectively, then ownership will </w:t>
      </w:r>
      <w:r w:rsidR="00296213">
        <w:rPr>
          <w:color w:val="000000"/>
        </w:rPr>
        <w:t>not pass despite registration. (P</w:t>
      </w:r>
      <w:r w:rsidRPr="00296213">
        <w:rPr>
          <w:color w:val="000000"/>
        </w:rPr>
        <w:t xml:space="preserve">er Nicholls J in </w:t>
      </w:r>
      <w:r w:rsidRPr="00296213">
        <w:rPr>
          <w:i/>
          <w:color w:val="000000"/>
        </w:rPr>
        <w:t>Radebe and Another v Sheriff for the District of Vereeniging and Others</w:t>
      </w:r>
      <w:r w:rsidR="00296213">
        <w:rPr>
          <w:rStyle w:val="FootnoteReference"/>
          <w:i/>
          <w:color w:val="000000"/>
        </w:rPr>
        <w:footnoteReference w:id="4"/>
      </w:r>
      <w:r w:rsidR="00296213">
        <w:rPr>
          <w:color w:val="000000"/>
        </w:rPr>
        <w:t xml:space="preserve">). </w:t>
      </w:r>
      <w:r w:rsidRPr="00296213">
        <w:rPr>
          <w:color w:val="000000"/>
        </w:rPr>
        <w:t>If the agreement is tainted by fraud or obtained by some other means that vitiates consent, ownership of the property will not pass despite registration in the deed’s registry.</w:t>
      </w:r>
    </w:p>
    <w:p w:rsidR="00296213" w:rsidRDefault="00296213" w:rsidP="00296213">
      <w:pPr>
        <w:numPr>
          <w:ilvl w:val="0"/>
          <w:numId w:val="13"/>
        </w:numPr>
        <w:spacing w:after="240" w:line="360" w:lineRule="auto"/>
        <w:ind w:left="0" w:firstLine="0"/>
        <w:jc w:val="both"/>
        <w:outlineLvl w:val="0"/>
        <w:rPr>
          <w:color w:val="000000"/>
        </w:rPr>
      </w:pPr>
      <w:r>
        <w:rPr>
          <w:color w:val="000000"/>
        </w:rPr>
        <w:t xml:space="preserve">For all of these reasons, I am of the view that the applicant is </w:t>
      </w:r>
      <w:r w:rsidR="00B90EC6" w:rsidRPr="00B90EC6">
        <w:rPr>
          <w:color w:val="000000"/>
        </w:rPr>
        <w:t xml:space="preserve">entitled to </w:t>
      </w:r>
      <w:r>
        <w:rPr>
          <w:color w:val="000000"/>
        </w:rPr>
        <w:t xml:space="preserve">vindicate the property and to the </w:t>
      </w:r>
      <w:r w:rsidR="00B90EC6" w:rsidRPr="00B90EC6">
        <w:rPr>
          <w:color w:val="000000"/>
        </w:rPr>
        <w:t xml:space="preserve">relief </w:t>
      </w:r>
      <w:r>
        <w:rPr>
          <w:color w:val="000000"/>
        </w:rPr>
        <w:t>claimed in this opposed application.</w:t>
      </w:r>
    </w:p>
    <w:p w:rsidR="007D27AD" w:rsidRPr="007D27AD" w:rsidRDefault="007D27AD" w:rsidP="007D27AD">
      <w:pPr>
        <w:keepNext/>
        <w:spacing w:after="120" w:line="360" w:lineRule="auto"/>
        <w:jc w:val="both"/>
        <w:rPr>
          <w:b/>
          <w:caps/>
        </w:rPr>
      </w:pPr>
      <w:r w:rsidRPr="007D27AD">
        <w:rPr>
          <w:b/>
        </w:rPr>
        <w:t>Costs</w:t>
      </w:r>
    </w:p>
    <w:p w:rsidR="00D379C0" w:rsidRDefault="007D27AD" w:rsidP="00D379C0">
      <w:pPr>
        <w:numPr>
          <w:ilvl w:val="0"/>
          <w:numId w:val="13"/>
        </w:numPr>
        <w:suppressAutoHyphens w:val="0"/>
        <w:autoSpaceDE w:val="0"/>
        <w:autoSpaceDN w:val="0"/>
        <w:adjustRightInd w:val="0"/>
        <w:spacing w:after="120" w:line="360" w:lineRule="auto"/>
        <w:ind w:left="0" w:firstLine="0"/>
        <w:jc w:val="both"/>
        <w:rPr>
          <w:rFonts w:cs="Arial"/>
          <w:lang w:eastAsia="en-ZA"/>
        </w:rPr>
      </w:pPr>
      <w:r w:rsidRPr="007D27AD">
        <w:rPr>
          <w:rFonts w:cs="Arial"/>
        </w:rPr>
        <w:t xml:space="preserve">The general rule in matters of costs is that the successful party should be given </w:t>
      </w:r>
      <w:r w:rsidR="00296213">
        <w:rPr>
          <w:rFonts w:cs="Arial"/>
        </w:rPr>
        <w:t>his</w:t>
      </w:r>
      <w:r w:rsidRPr="007D27AD">
        <w:rPr>
          <w:rFonts w:cs="Arial"/>
        </w:rPr>
        <w:t xml:space="preserve"> costs, and this rule should not be departed from except where there are good grounds for doing so</w:t>
      </w:r>
      <w:r w:rsidR="00D379C0">
        <w:rPr>
          <w:rFonts w:cs="Arial"/>
        </w:rPr>
        <w:t>.</w:t>
      </w:r>
    </w:p>
    <w:p w:rsidR="007D27AD" w:rsidRPr="007D27AD" w:rsidRDefault="00AD1F12" w:rsidP="00D379C0">
      <w:pPr>
        <w:numPr>
          <w:ilvl w:val="0"/>
          <w:numId w:val="13"/>
        </w:numPr>
        <w:suppressAutoHyphens w:val="0"/>
        <w:autoSpaceDE w:val="0"/>
        <w:autoSpaceDN w:val="0"/>
        <w:adjustRightInd w:val="0"/>
        <w:spacing w:after="120" w:line="360" w:lineRule="auto"/>
        <w:ind w:left="0" w:firstLine="0"/>
        <w:jc w:val="both"/>
        <w:rPr>
          <w:rFonts w:cs="Arial"/>
          <w:lang w:eastAsia="en-ZA"/>
        </w:rPr>
      </w:pPr>
      <w:r w:rsidRPr="00FF3E69">
        <w:rPr>
          <w:rFonts w:cs="Arial"/>
          <w:i/>
        </w:rPr>
        <w:t>In casu</w:t>
      </w:r>
      <w:r>
        <w:rPr>
          <w:rFonts w:cs="Arial"/>
        </w:rPr>
        <w:t>, the first respondent</w:t>
      </w:r>
      <w:r w:rsidR="00296213">
        <w:rPr>
          <w:rFonts w:cs="Arial"/>
        </w:rPr>
        <w:t xml:space="preserve">, who appeared in person at the hearing of the matter on 23 May 2022, advised the Court that she had in fact utilised the R100 000 she obtained from </w:t>
      </w:r>
      <w:r w:rsidR="00F85B48">
        <w:rPr>
          <w:rFonts w:cs="Arial"/>
        </w:rPr>
        <w:t>Absa</w:t>
      </w:r>
      <w:r w:rsidR="00296213">
        <w:rPr>
          <w:rFonts w:cs="Arial"/>
        </w:rPr>
        <w:t xml:space="preserve"> Bank to pay some of the expenses relating to the property, such as the municipal accounts. She also indicated – and this appears to be common cause – that she has never had the benefit of occupying the property</w:t>
      </w:r>
      <w:r>
        <w:rPr>
          <w:rFonts w:cs="Arial"/>
        </w:rPr>
        <w:t>.</w:t>
      </w:r>
      <w:r w:rsidR="00296213">
        <w:rPr>
          <w:rFonts w:cs="Arial"/>
        </w:rPr>
        <w:t xml:space="preserve"> She has been prevented from </w:t>
      </w:r>
      <w:r w:rsidR="00F85B48">
        <w:rPr>
          <w:rFonts w:cs="Arial"/>
        </w:rPr>
        <w:t>occupation</w:t>
      </w:r>
      <w:r w:rsidR="00296213">
        <w:rPr>
          <w:rFonts w:cs="Arial"/>
        </w:rPr>
        <w:t xml:space="preserve"> by the family members of </w:t>
      </w:r>
      <w:r w:rsidR="00296213">
        <w:rPr>
          <w:rFonts w:cs="Arial"/>
        </w:rPr>
        <w:lastRenderedPageBreak/>
        <w:t>the deceased.</w:t>
      </w:r>
      <w:r>
        <w:rPr>
          <w:rFonts w:cs="Arial"/>
        </w:rPr>
        <w:t xml:space="preserve"> </w:t>
      </w:r>
      <w:r w:rsidR="00296213">
        <w:rPr>
          <w:rFonts w:cs="Arial"/>
        </w:rPr>
        <w:t>The afor</w:t>
      </w:r>
      <w:r w:rsidR="00F85B48">
        <w:rPr>
          <w:rFonts w:cs="Arial"/>
        </w:rPr>
        <w:t>egoing, in my view, justifies a</w:t>
      </w:r>
      <w:r w:rsidR="00296213">
        <w:rPr>
          <w:rFonts w:cs="Arial"/>
        </w:rPr>
        <w:t xml:space="preserve"> costs order to the effect that each party should bear his / her own costs</w:t>
      </w:r>
      <w:r>
        <w:rPr>
          <w:rFonts w:cs="Arial"/>
        </w:rPr>
        <w:t>.</w:t>
      </w:r>
    </w:p>
    <w:p w:rsidR="007D27AD" w:rsidRPr="007D27AD" w:rsidRDefault="007D27AD" w:rsidP="007D27AD">
      <w:pPr>
        <w:numPr>
          <w:ilvl w:val="0"/>
          <w:numId w:val="13"/>
        </w:numPr>
        <w:suppressAutoHyphens w:val="0"/>
        <w:autoSpaceDE w:val="0"/>
        <w:autoSpaceDN w:val="0"/>
        <w:adjustRightInd w:val="0"/>
        <w:spacing w:after="240" w:line="360" w:lineRule="auto"/>
        <w:ind w:left="0" w:firstLine="0"/>
        <w:jc w:val="both"/>
        <w:rPr>
          <w:rFonts w:cs="Arial"/>
          <w:lang w:eastAsia="en-ZA"/>
        </w:rPr>
      </w:pPr>
      <w:r w:rsidRPr="007D27AD">
        <w:t xml:space="preserve">I therefore intend awarding </w:t>
      </w:r>
      <w:r w:rsidR="00AD1F12">
        <w:t xml:space="preserve">no order as to </w:t>
      </w:r>
      <w:r w:rsidRPr="007D27AD">
        <w:t>cost</w:t>
      </w:r>
      <w:r w:rsidR="00D379C0">
        <w:t>s</w:t>
      </w:r>
      <w:r w:rsidR="00AD1F12">
        <w:t>.</w:t>
      </w:r>
    </w:p>
    <w:p w:rsidR="007D27AD" w:rsidRPr="007D27AD" w:rsidRDefault="007D27AD" w:rsidP="007D27AD">
      <w:pPr>
        <w:keepNext/>
        <w:spacing w:after="120" w:line="360" w:lineRule="auto"/>
        <w:jc w:val="both"/>
        <w:rPr>
          <w:b/>
          <w:caps/>
          <w:lang w:val="en-ZA" w:eastAsia="en-ZA"/>
        </w:rPr>
      </w:pPr>
      <w:r w:rsidRPr="007D27AD">
        <w:rPr>
          <w:b/>
          <w:lang w:val="en-ZA" w:eastAsia="en-ZA"/>
        </w:rPr>
        <w:t>Order</w:t>
      </w:r>
    </w:p>
    <w:p w:rsidR="007D27AD" w:rsidRPr="007D27AD" w:rsidRDefault="007D27AD" w:rsidP="007D27AD">
      <w:pPr>
        <w:spacing w:after="120" w:line="360" w:lineRule="auto"/>
        <w:jc w:val="both"/>
      </w:pPr>
      <w:r w:rsidRPr="007D27AD">
        <w:t xml:space="preserve">Accordingly, I make the following </w:t>
      </w:r>
      <w:r w:rsidR="00294456" w:rsidRPr="007D27AD">
        <w:t>order: -</w:t>
      </w:r>
    </w:p>
    <w:p w:rsidR="002A3ECD" w:rsidRDefault="002A3ECD" w:rsidP="002A3ECD">
      <w:pPr>
        <w:pStyle w:val="ListParagraph"/>
        <w:numPr>
          <w:ilvl w:val="0"/>
          <w:numId w:val="35"/>
        </w:numPr>
        <w:spacing w:after="120" w:line="360" w:lineRule="auto"/>
        <w:ind w:left="567" w:hanging="567"/>
        <w:jc w:val="both"/>
      </w:pPr>
      <w:r>
        <w:t>Endorsement number T046947/05, in terms of section 45(1) of the Deeds Registries Act, Act 47 of 1937 (‘the Act’), of Deed of Transfer number T8806/2002, in terms of which Erf 9247, Protea Glen Extension 12 Township, Registration Division IQ, Gauteng Province, in extent 255 (two hundred and fifty five) square meters, held under Deed of Transfer number T8806/2002 (‘the property’), was transferred to and registered in the name of Nthibi Dora Leboko-Radebe, identity number: 611022 644 083, be and is hereby cancelled in terms of section 6(1) of the Act.</w:t>
      </w:r>
    </w:p>
    <w:p w:rsidR="002A3ECD" w:rsidRDefault="002A3ECD" w:rsidP="002A3ECD">
      <w:pPr>
        <w:pStyle w:val="ListParagraph"/>
        <w:numPr>
          <w:ilvl w:val="0"/>
          <w:numId w:val="35"/>
        </w:numPr>
        <w:spacing w:after="120" w:line="360" w:lineRule="auto"/>
        <w:ind w:left="567" w:hanging="567"/>
        <w:jc w:val="both"/>
      </w:pPr>
      <w:r>
        <w:t>The fourth respondent shall forthwith cancel the aforementioned Endorsement number: T46947/2005.</w:t>
      </w:r>
    </w:p>
    <w:p w:rsidR="002A3ECD" w:rsidRDefault="002A3ECD" w:rsidP="002A3ECD">
      <w:pPr>
        <w:pStyle w:val="ListParagraph"/>
        <w:numPr>
          <w:ilvl w:val="0"/>
          <w:numId w:val="35"/>
        </w:numPr>
        <w:spacing w:after="120" w:line="360" w:lineRule="auto"/>
        <w:ind w:left="567" w:hanging="567"/>
        <w:jc w:val="both"/>
      </w:pPr>
      <w:r>
        <w:t>The fourth respondent be and is hereby ordered and directed to forthwith cancel the Continuing Coverage Mortgage Bond number: B29273/06, registered in favour of the second respondent over Erf 9247, Protea Glen Extension 12 Township, Registration Division IQ, Gauteng Province, in extent 255 (two hundred and fifty-five) square meters, held under Deed of Transfer number T8806/2002 (‘the property’).</w:t>
      </w:r>
    </w:p>
    <w:p w:rsidR="002A3ECD" w:rsidRDefault="002A3ECD" w:rsidP="002A3ECD">
      <w:pPr>
        <w:pStyle w:val="ListParagraph"/>
        <w:numPr>
          <w:ilvl w:val="0"/>
          <w:numId w:val="35"/>
        </w:numPr>
        <w:spacing w:after="120" w:line="360" w:lineRule="auto"/>
        <w:ind w:left="567" w:hanging="567"/>
        <w:jc w:val="both"/>
      </w:pPr>
      <w:r>
        <w:t>Upon cancellation of the aforementioned Endorsement number: T46947/05, the Deed under which the property was held immediately prior to registration of Endorsement number: T46947/2005, shall be revived.</w:t>
      </w:r>
    </w:p>
    <w:p w:rsidR="002A3ECD" w:rsidRDefault="002A3ECD" w:rsidP="002A3ECD">
      <w:pPr>
        <w:pStyle w:val="ListParagraph"/>
        <w:numPr>
          <w:ilvl w:val="0"/>
          <w:numId w:val="35"/>
        </w:numPr>
        <w:spacing w:after="120" w:line="360" w:lineRule="auto"/>
        <w:ind w:left="567" w:hanging="567"/>
        <w:jc w:val="both"/>
      </w:pPr>
      <w:r>
        <w:t xml:space="preserve">  There shall be no order as to costs.</w:t>
      </w:r>
    </w:p>
    <w:p w:rsidR="00294456" w:rsidRDefault="00294456" w:rsidP="002A3ECD">
      <w:pPr>
        <w:keepNext/>
        <w:keepLines/>
        <w:tabs>
          <w:tab w:val="left" w:pos="0"/>
        </w:tabs>
        <w:spacing w:before="960" w:line="360" w:lineRule="auto"/>
        <w:jc w:val="right"/>
        <w:rPr>
          <w:b/>
          <w:u w:val="single"/>
        </w:rPr>
      </w:pPr>
      <w:r>
        <w:rPr>
          <w:b/>
          <w:u w:val="single"/>
        </w:rPr>
        <w:lastRenderedPageBreak/>
        <w:t>________________________________</w:t>
      </w:r>
    </w:p>
    <w:p w:rsidR="00294456" w:rsidRDefault="00294456" w:rsidP="00294456">
      <w:pPr>
        <w:keepNext/>
        <w:jc w:val="right"/>
        <w:rPr>
          <w:rFonts w:cs="Arial"/>
          <w:b/>
        </w:rPr>
      </w:pPr>
      <w:r>
        <w:rPr>
          <w:rFonts w:cs="Arial"/>
          <w:b/>
        </w:rPr>
        <w:t>L R ADAMS</w:t>
      </w:r>
    </w:p>
    <w:p w:rsidR="007D27AD" w:rsidRPr="007D27AD" w:rsidRDefault="007D27AD" w:rsidP="00294456">
      <w:pPr>
        <w:keepNext/>
        <w:jc w:val="right"/>
        <w:rPr>
          <w:rFonts w:cs="Arial"/>
          <w:i/>
        </w:rPr>
      </w:pPr>
      <w:r w:rsidRPr="007D27AD">
        <w:rPr>
          <w:rFonts w:cs="Arial"/>
          <w:i/>
        </w:rPr>
        <w:t>Judge of the High Court</w:t>
      </w:r>
    </w:p>
    <w:p w:rsidR="007D27AD" w:rsidRPr="007D27AD" w:rsidRDefault="007D27AD" w:rsidP="004E644B">
      <w:pPr>
        <w:pBdr>
          <w:bottom w:val="single" w:sz="6" w:space="1" w:color="auto"/>
        </w:pBdr>
        <w:spacing w:after="240" w:line="480" w:lineRule="auto"/>
        <w:jc w:val="right"/>
        <w:rPr>
          <w:rFonts w:cs="Arial"/>
          <w:i/>
        </w:rPr>
      </w:pPr>
      <w:r w:rsidRPr="007D27AD">
        <w:rPr>
          <w:rFonts w:cs="Arial"/>
          <w:i/>
        </w:rPr>
        <w:t>Gauteng Division, Johannesburg</w:t>
      </w:r>
    </w:p>
    <w:tbl>
      <w:tblPr>
        <w:tblW w:w="8614" w:type="dxa"/>
        <w:tblLook w:val="04A0" w:firstRow="1" w:lastRow="0" w:firstColumn="1" w:lastColumn="0" w:noHBand="0" w:noVBand="1"/>
      </w:tblPr>
      <w:tblGrid>
        <w:gridCol w:w="3993"/>
        <w:gridCol w:w="4621"/>
      </w:tblGrid>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t>HEARD ON: </w:t>
            </w:r>
          </w:p>
        </w:tc>
        <w:tc>
          <w:tcPr>
            <w:tcW w:w="0" w:type="auto"/>
            <w:tcMar>
              <w:top w:w="32" w:type="dxa"/>
              <w:left w:w="108" w:type="dxa"/>
              <w:bottom w:w="32" w:type="dxa"/>
              <w:right w:w="108" w:type="dxa"/>
            </w:tcMar>
            <w:vAlign w:val="center"/>
            <w:hideMark/>
          </w:tcPr>
          <w:p w:rsidR="007D27AD" w:rsidRPr="007D27AD" w:rsidRDefault="008A04DA" w:rsidP="008A04DA">
            <w:pPr>
              <w:keepNext/>
              <w:spacing w:before="120" w:after="120"/>
              <w:ind w:left="-108"/>
              <w:jc w:val="both"/>
              <w:rPr>
                <w:sz w:val="22"/>
                <w:szCs w:val="22"/>
                <w:lang w:eastAsia="en-US"/>
              </w:rPr>
            </w:pPr>
            <w:r>
              <w:t>23</w:t>
            </w:r>
            <w:r w:rsidRPr="008A04DA">
              <w:rPr>
                <w:vertAlign w:val="superscript"/>
              </w:rPr>
              <w:t>rd</w:t>
            </w:r>
            <w:r w:rsidR="00EB0927">
              <w:t xml:space="preserve"> </w:t>
            </w:r>
            <w:r>
              <w:t>May 2022</w:t>
            </w:r>
            <w:r w:rsidR="00A01933">
              <w:t xml:space="preserve"> – in a ‘virtual hearing’ during a videoconference on </w:t>
            </w:r>
            <w:r w:rsidR="00A01933" w:rsidRPr="007503A6">
              <w:rPr>
                <w:i/>
              </w:rPr>
              <w:t>Microsoft Teams</w:t>
            </w:r>
            <w:r>
              <w:t>.</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2A3ECD" w:rsidP="002A3ECD">
            <w:pPr>
              <w:keepNext/>
              <w:spacing w:before="120" w:after="120"/>
              <w:ind w:left="-108"/>
              <w:jc w:val="both"/>
            </w:pPr>
            <w:r>
              <w:t>22</w:t>
            </w:r>
            <w:r w:rsidRPr="002A3ECD">
              <w:rPr>
                <w:vertAlign w:val="superscript"/>
              </w:rPr>
              <w:t>nd</w:t>
            </w:r>
            <w:r w:rsidR="006B489F">
              <w:t xml:space="preserve"> </w:t>
            </w:r>
            <w:r>
              <w:t>September</w:t>
            </w:r>
            <w:r w:rsidR="007D27AD" w:rsidRPr="007D27AD">
              <w:t xml:space="preserve"> 20</w:t>
            </w:r>
            <w:r>
              <w:t>22</w:t>
            </w:r>
            <w:r w:rsidR="00A01933">
              <w:t xml:space="preserve"> – judgment handed down electronically</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t>FOR THE APPLICANT: </w:t>
            </w:r>
          </w:p>
        </w:tc>
        <w:tc>
          <w:tcPr>
            <w:tcW w:w="0" w:type="auto"/>
            <w:tcMar>
              <w:top w:w="32" w:type="dxa"/>
              <w:left w:w="108" w:type="dxa"/>
              <w:bottom w:w="32" w:type="dxa"/>
              <w:right w:w="108" w:type="dxa"/>
            </w:tcMar>
            <w:vAlign w:val="center"/>
            <w:hideMark/>
          </w:tcPr>
          <w:p w:rsidR="007D27AD" w:rsidRPr="007D27AD" w:rsidRDefault="00EB0927" w:rsidP="008A04DA">
            <w:pPr>
              <w:keepNext/>
              <w:spacing w:before="120" w:after="120"/>
              <w:ind w:left="-108"/>
              <w:rPr>
                <w:sz w:val="22"/>
                <w:szCs w:val="22"/>
                <w:lang w:eastAsia="en-US"/>
              </w:rPr>
            </w:pPr>
            <w:r>
              <w:t xml:space="preserve">Advocate </w:t>
            </w:r>
            <w:r w:rsidR="008A04DA">
              <w:t>L Kellerman SC</w:t>
            </w:r>
            <w:r>
              <w:t xml:space="preserve"> </w:t>
            </w:r>
            <w:r w:rsidRPr="00EB0927">
              <w:rPr>
                <w:u w:val="single"/>
              </w:rPr>
              <w:t>Cell no</w:t>
            </w:r>
            <w:r>
              <w:t>: (</w:t>
            </w:r>
            <w:r w:rsidR="008A04DA">
              <w:t>082</w:t>
            </w:r>
            <w:r>
              <w:t>)</w:t>
            </w:r>
            <w:r w:rsidR="008A04DA">
              <w:t> 464</w:t>
            </w:r>
            <w:r>
              <w:t>-</w:t>
            </w:r>
            <w:r w:rsidR="008A04DA">
              <w:t>7974</w:t>
            </w:r>
            <w:r>
              <w:t xml:space="preserve"> </w:t>
            </w:r>
            <w:r w:rsidRPr="00EB0927">
              <w:rPr>
                <w:u w:val="single"/>
              </w:rPr>
              <w:t>Email</w:t>
            </w:r>
            <w:r>
              <w:t>: </w:t>
            </w:r>
            <w:hyperlink r:id="rId10" w:history="1">
              <w:r w:rsidR="008A04DA" w:rsidRPr="00005AC7">
                <w:rPr>
                  <w:rStyle w:val="Hyperlink"/>
                </w:rPr>
                <w:t>kelly@brooklynadvocates.co.za</w:t>
              </w:r>
            </w:hyperlink>
            <w:r w:rsidR="008A04DA">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8A04DA" w:rsidP="008A04DA">
            <w:pPr>
              <w:keepNext/>
              <w:spacing w:before="120" w:after="120"/>
              <w:ind w:left="-108"/>
              <w:rPr>
                <w:sz w:val="22"/>
                <w:szCs w:val="22"/>
                <w:lang w:eastAsia="en-US"/>
              </w:rPr>
            </w:pPr>
            <w:r>
              <w:t>Cornel Botha Attorneys</w:t>
            </w:r>
            <w:r w:rsidR="00CA2A54">
              <w:t>, Pretoria</w:t>
            </w:r>
            <w:r w:rsidR="002305D3">
              <w:t xml:space="preserve"> </w:t>
            </w:r>
            <w:r w:rsidR="002305D3" w:rsidRPr="002305D3">
              <w:rPr>
                <w:u w:val="single"/>
              </w:rPr>
              <w:t>Cell</w:t>
            </w:r>
            <w:r>
              <w:rPr>
                <w:u w:val="single"/>
              </w:rPr>
              <w:t> </w:t>
            </w:r>
            <w:r w:rsidR="002305D3" w:rsidRPr="002305D3">
              <w:rPr>
                <w:u w:val="single"/>
              </w:rPr>
              <w:t>no</w:t>
            </w:r>
            <w:r w:rsidR="002305D3">
              <w:t>:</w:t>
            </w:r>
            <w:r>
              <w:t> </w:t>
            </w:r>
            <w:r w:rsidR="002305D3">
              <w:t>(</w:t>
            </w:r>
            <w:r>
              <w:t>084</w:t>
            </w:r>
            <w:r w:rsidR="002305D3">
              <w:t>)</w:t>
            </w:r>
            <w:r>
              <w:t> 580</w:t>
            </w:r>
            <w:r w:rsidR="002305D3">
              <w:t>-</w:t>
            </w:r>
            <w:r>
              <w:t>0598</w:t>
            </w:r>
            <w:r w:rsidR="002305D3">
              <w:t xml:space="preserve"> </w:t>
            </w:r>
            <w:r w:rsidR="002305D3" w:rsidRPr="002305D3">
              <w:rPr>
                <w:u w:val="single"/>
              </w:rPr>
              <w:t>Email</w:t>
            </w:r>
            <w:r w:rsidR="002305D3">
              <w:t>: </w:t>
            </w:r>
            <w:hyperlink r:id="rId11" w:history="1">
              <w:r w:rsidRPr="00005AC7">
                <w:rPr>
                  <w:rStyle w:val="Hyperlink"/>
                </w:rPr>
                <w:t>cornel@cornelbothaattorneys.co.za</w:t>
              </w:r>
            </w:hyperlink>
            <w:r>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keepNext/>
              <w:spacing w:before="120" w:after="120"/>
              <w:rPr>
                <w:sz w:val="22"/>
                <w:szCs w:val="22"/>
                <w:lang w:eastAsia="en-US"/>
              </w:rPr>
            </w:pPr>
            <w:r w:rsidRPr="007D27AD">
              <w:t xml:space="preserve">FOR THE </w:t>
            </w:r>
            <w:r w:rsidR="00D14255">
              <w:t xml:space="preserve">FIRST </w:t>
            </w:r>
            <w:r w:rsidRPr="007D27AD">
              <w:t>RESPONDENT: </w:t>
            </w:r>
          </w:p>
        </w:tc>
        <w:tc>
          <w:tcPr>
            <w:tcW w:w="0" w:type="auto"/>
            <w:tcMar>
              <w:top w:w="32" w:type="dxa"/>
              <w:left w:w="108" w:type="dxa"/>
              <w:bottom w:w="32" w:type="dxa"/>
              <w:right w:w="108" w:type="dxa"/>
            </w:tcMar>
            <w:vAlign w:val="center"/>
            <w:hideMark/>
          </w:tcPr>
          <w:p w:rsidR="007D27AD" w:rsidRPr="007D27AD" w:rsidRDefault="00EB0927" w:rsidP="008A04DA">
            <w:pPr>
              <w:keepNext/>
              <w:spacing w:before="120" w:after="120"/>
              <w:ind w:left="-108"/>
            </w:pPr>
            <w:r>
              <w:t>In person</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8A04DA">
            <w:pPr>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EB0927" w:rsidP="008A04DA">
            <w:pPr>
              <w:spacing w:before="120" w:after="120"/>
              <w:ind w:left="-108"/>
              <w:rPr>
                <w:sz w:val="22"/>
                <w:szCs w:val="22"/>
                <w:lang w:eastAsia="en-US"/>
              </w:rPr>
            </w:pPr>
            <w:r>
              <w:t>In person</w:t>
            </w:r>
          </w:p>
        </w:tc>
      </w:tr>
      <w:tr w:rsidR="00223058" w:rsidRPr="007D27AD" w:rsidTr="00055988">
        <w:tc>
          <w:tcPr>
            <w:tcW w:w="4786" w:type="dxa"/>
            <w:tcMar>
              <w:top w:w="32" w:type="dxa"/>
              <w:left w:w="108" w:type="dxa"/>
              <w:bottom w:w="32" w:type="dxa"/>
              <w:right w:w="108" w:type="dxa"/>
            </w:tcMar>
            <w:vAlign w:val="center"/>
            <w:hideMark/>
          </w:tcPr>
          <w:p w:rsidR="00223058" w:rsidRPr="00223058" w:rsidRDefault="00223058" w:rsidP="008A04DA">
            <w:pPr>
              <w:spacing w:before="120" w:after="120"/>
            </w:pPr>
            <w:r w:rsidRPr="007D27AD">
              <w:t xml:space="preserve">FOR THE </w:t>
            </w:r>
            <w:r w:rsidR="00EB0927">
              <w:t>SECOND</w:t>
            </w:r>
            <w:r w:rsidR="008A04DA">
              <w:t xml:space="preserve">, THIRD AND FOURTH </w:t>
            </w:r>
            <w:r w:rsidRPr="007D27AD">
              <w:t>RESPONDENT</w:t>
            </w:r>
            <w:r w:rsidR="008A04DA">
              <w:t>S</w:t>
            </w:r>
            <w:r w:rsidRPr="007D27AD">
              <w:t>: </w:t>
            </w:r>
          </w:p>
        </w:tc>
        <w:tc>
          <w:tcPr>
            <w:tcW w:w="0" w:type="auto"/>
            <w:tcMar>
              <w:top w:w="32" w:type="dxa"/>
              <w:left w:w="108" w:type="dxa"/>
              <w:bottom w:w="32" w:type="dxa"/>
              <w:right w:w="108" w:type="dxa"/>
            </w:tcMar>
            <w:vAlign w:val="center"/>
            <w:hideMark/>
          </w:tcPr>
          <w:p w:rsidR="00223058" w:rsidRPr="007D27AD" w:rsidRDefault="00EB0927" w:rsidP="008A04DA">
            <w:pPr>
              <w:spacing w:before="120" w:after="120"/>
              <w:ind w:left="-108"/>
            </w:pPr>
            <w:r>
              <w:t>No appearance</w:t>
            </w:r>
          </w:p>
        </w:tc>
      </w:tr>
      <w:tr w:rsidR="00223058" w:rsidRPr="007D27AD" w:rsidTr="00055988">
        <w:tc>
          <w:tcPr>
            <w:tcW w:w="4786" w:type="dxa"/>
            <w:tcMar>
              <w:top w:w="32" w:type="dxa"/>
              <w:left w:w="108" w:type="dxa"/>
              <w:bottom w:w="32" w:type="dxa"/>
              <w:right w:w="108" w:type="dxa"/>
            </w:tcMar>
            <w:vAlign w:val="center"/>
            <w:hideMark/>
          </w:tcPr>
          <w:p w:rsidR="00223058" w:rsidRPr="00223058" w:rsidRDefault="00223058" w:rsidP="008A04DA">
            <w:pPr>
              <w:spacing w:before="120" w:after="120"/>
            </w:pPr>
            <w:r w:rsidRPr="007D27AD">
              <w:t>INSTRUCTED BY: </w:t>
            </w:r>
          </w:p>
        </w:tc>
        <w:tc>
          <w:tcPr>
            <w:tcW w:w="0" w:type="auto"/>
            <w:tcMar>
              <w:top w:w="32" w:type="dxa"/>
              <w:left w:w="108" w:type="dxa"/>
              <w:bottom w:w="32" w:type="dxa"/>
              <w:right w:w="108" w:type="dxa"/>
            </w:tcMar>
            <w:vAlign w:val="center"/>
            <w:hideMark/>
          </w:tcPr>
          <w:p w:rsidR="00223058" w:rsidRPr="00223058" w:rsidRDefault="00EB0927" w:rsidP="008A04DA">
            <w:pPr>
              <w:spacing w:before="120" w:after="120"/>
              <w:ind w:left="-108"/>
            </w:pPr>
            <w:r>
              <w:t>No appearance</w:t>
            </w:r>
          </w:p>
        </w:tc>
      </w:tr>
    </w:tbl>
    <w:p w:rsidR="002F15F5" w:rsidRPr="00D63801" w:rsidRDefault="002F15F5" w:rsidP="007D27AD">
      <w:pPr>
        <w:pStyle w:val="LegalMAINHEADING"/>
        <w:spacing w:before="0" w:after="120" w:line="360" w:lineRule="auto"/>
        <w:rPr>
          <w:b w:val="0"/>
        </w:rPr>
      </w:pPr>
    </w:p>
    <w:sectPr w:rsidR="002F15F5" w:rsidRPr="00D63801" w:rsidSect="002B6C0E">
      <w:headerReference w:type="even" r:id="rId12"/>
      <w:headerReference w:type="default" r:id="rId13"/>
      <w:headerReference w:type="first" r:id="rId14"/>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24" w:rsidRDefault="00194024">
      <w:pPr>
        <w:spacing w:line="20" w:lineRule="exact"/>
      </w:pPr>
    </w:p>
  </w:endnote>
  <w:endnote w:type="continuationSeparator" w:id="0">
    <w:p w:rsidR="00194024" w:rsidRDefault="00194024">
      <w:r>
        <w:t xml:space="preserve"> </w:t>
      </w:r>
    </w:p>
  </w:endnote>
  <w:endnote w:type="continuationNotice" w:id="1">
    <w:p w:rsidR="00194024" w:rsidRDefault="001940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24" w:rsidRDefault="00194024">
      <w:r>
        <w:separator/>
      </w:r>
    </w:p>
  </w:footnote>
  <w:footnote w:type="continuationSeparator" w:id="0">
    <w:p w:rsidR="00194024" w:rsidRDefault="00194024">
      <w:r>
        <w:continuationSeparator/>
      </w:r>
    </w:p>
  </w:footnote>
  <w:footnote w:id="1">
    <w:p w:rsidR="00A3454E" w:rsidRDefault="00A3454E" w:rsidP="00A3454E">
      <w:pPr>
        <w:pStyle w:val="FootnoteText"/>
      </w:pPr>
      <w:r>
        <w:rPr>
          <w:rStyle w:val="FootnoteReference"/>
        </w:rPr>
        <w:footnoteRef/>
      </w:r>
      <w:r>
        <w:t xml:space="preserve"> </w:t>
      </w:r>
      <w:r>
        <w:rPr>
          <w:i/>
          <w:color w:val="000000"/>
        </w:rPr>
        <w:t>Namasthethu Electrical (Pty) Ltd v City of Cape Town</w:t>
      </w:r>
      <w:r>
        <w:rPr>
          <w:color w:val="000000"/>
        </w:rPr>
        <w:t xml:space="preserve"> 2020 JDR 1279 (SCA); </w:t>
      </w:r>
    </w:p>
  </w:footnote>
  <w:footnote w:id="2">
    <w:p w:rsidR="00A3454E" w:rsidRDefault="00A3454E" w:rsidP="00A3454E">
      <w:pPr>
        <w:pStyle w:val="FootnoteText"/>
      </w:pPr>
      <w:r>
        <w:rPr>
          <w:rStyle w:val="FootnoteReference"/>
        </w:rPr>
        <w:footnoteRef/>
      </w:r>
      <w:r>
        <w:t xml:space="preserve"> </w:t>
      </w:r>
      <w:r>
        <w:rPr>
          <w:i/>
          <w:color w:val="000000"/>
        </w:rPr>
        <w:t>Esorfranki Pipelines (Pty) Ltd and Another v Mopani District Municipality and Others</w:t>
      </w:r>
      <w:r>
        <w:rPr>
          <w:color w:val="000000"/>
        </w:rPr>
        <w:t xml:space="preserve"> [2014] ZASCA 2; [2014] 2 All SA 493 (SCA) para 11;</w:t>
      </w:r>
    </w:p>
  </w:footnote>
  <w:footnote w:id="3">
    <w:p w:rsidR="00A3454E" w:rsidRDefault="00A3454E" w:rsidP="00A3454E">
      <w:pPr>
        <w:pStyle w:val="FootnoteText"/>
      </w:pPr>
      <w:r>
        <w:rPr>
          <w:rStyle w:val="FootnoteReference"/>
        </w:rPr>
        <w:footnoteRef/>
      </w:r>
      <w:r>
        <w:t xml:space="preserve"> </w:t>
      </w:r>
      <w:r>
        <w:rPr>
          <w:i/>
          <w:color w:val="000000"/>
        </w:rPr>
        <w:t>Lazarus Estates Ltd v Beasley</w:t>
      </w:r>
      <w:r>
        <w:rPr>
          <w:color w:val="000000"/>
        </w:rPr>
        <w:t xml:space="preserve"> [1956] 1 QB (CA) at 712; </w:t>
      </w:r>
    </w:p>
  </w:footnote>
  <w:footnote w:id="4">
    <w:p w:rsidR="00296213" w:rsidRDefault="00296213">
      <w:pPr>
        <w:pStyle w:val="FootnoteText"/>
      </w:pPr>
      <w:r>
        <w:rPr>
          <w:rStyle w:val="FootnoteReference"/>
        </w:rPr>
        <w:footnoteRef/>
      </w:r>
      <w:r>
        <w:t xml:space="preserve"> </w:t>
      </w:r>
      <w:r w:rsidRPr="00296213">
        <w:rPr>
          <w:i/>
          <w:color w:val="000000"/>
        </w:rPr>
        <w:t>Radebe and Another v Sheriff for the District of Vereeniging and Others</w:t>
      </w:r>
      <w:r w:rsidRPr="00296213">
        <w:rPr>
          <w:color w:val="000000"/>
        </w:rPr>
        <w:t xml:space="preserve"> [2014] ZAGPJHC 228 para 20</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AF5E05">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2E4380"/>
    <w:multiLevelType w:val="hybridMultilevel"/>
    <w:tmpl w:val="774AD06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90709174">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9FE33ED"/>
    <w:multiLevelType w:val="hybridMultilevel"/>
    <w:tmpl w:val="734801A4"/>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9EA7FDE"/>
    <w:multiLevelType w:val="hybridMultilevel"/>
    <w:tmpl w:val="594AE400"/>
    <w:lvl w:ilvl="0" w:tplc="9E5840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7"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4"/>
  </w:num>
  <w:num w:numId="2">
    <w:abstractNumId w:val="13"/>
  </w:num>
  <w:num w:numId="3">
    <w:abstractNumId w:val="22"/>
  </w:num>
  <w:num w:numId="4">
    <w:abstractNumId w:val="3"/>
    <w:lvlOverride w:ilvl="0">
      <w:startOverride w:val="1"/>
    </w:lvlOverride>
  </w:num>
  <w:num w:numId="5">
    <w:abstractNumId w:val="2"/>
  </w:num>
  <w:num w:numId="6">
    <w:abstractNumId w:val="14"/>
  </w:num>
  <w:num w:numId="7">
    <w:abstractNumId w:val="9"/>
  </w:num>
  <w:num w:numId="8">
    <w:abstractNumId w:val="19"/>
  </w:num>
  <w:num w:numId="9">
    <w:abstractNumId w:val="13"/>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1"/>
  </w:num>
  <w:num w:numId="20">
    <w:abstractNumId w:val="18"/>
  </w:num>
  <w:num w:numId="21">
    <w:abstractNumId w:val="28"/>
  </w:num>
  <w:num w:numId="22">
    <w:abstractNumId w:val="5"/>
  </w:num>
  <w:num w:numId="23">
    <w:abstractNumId w:val="25"/>
  </w:num>
  <w:num w:numId="24">
    <w:abstractNumId w:val="0"/>
  </w:num>
  <w:num w:numId="25">
    <w:abstractNumId w:val="1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7"/>
  </w:num>
  <w:num w:numId="31">
    <w:abstractNumId w:val="26"/>
  </w:num>
  <w:num w:numId="32">
    <w:abstractNumId w:val="20"/>
  </w:num>
  <w:num w:numId="33">
    <w:abstractNumId w:val="6"/>
  </w:num>
  <w:num w:numId="34">
    <w:abstractNumId w:val="8"/>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44DD"/>
    <w:rsid w:val="00006C41"/>
    <w:rsid w:val="00010637"/>
    <w:rsid w:val="00013F8B"/>
    <w:rsid w:val="000201EB"/>
    <w:rsid w:val="00021D83"/>
    <w:rsid w:val="00022583"/>
    <w:rsid w:val="00022C07"/>
    <w:rsid w:val="00022F88"/>
    <w:rsid w:val="00025EA8"/>
    <w:rsid w:val="0002792E"/>
    <w:rsid w:val="00027B5A"/>
    <w:rsid w:val="0003241F"/>
    <w:rsid w:val="0003349A"/>
    <w:rsid w:val="00034856"/>
    <w:rsid w:val="000402A4"/>
    <w:rsid w:val="000445C8"/>
    <w:rsid w:val="000456A5"/>
    <w:rsid w:val="000462E1"/>
    <w:rsid w:val="0004668A"/>
    <w:rsid w:val="00046699"/>
    <w:rsid w:val="00046717"/>
    <w:rsid w:val="0004728A"/>
    <w:rsid w:val="00053277"/>
    <w:rsid w:val="00053CA7"/>
    <w:rsid w:val="000542A1"/>
    <w:rsid w:val="00055988"/>
    <w:rsid w:val="0005727B"/>
    <w:rsid w:val="000578BA"/>
    <w:rsid w:val="0006059E"/>
    <w:rsid w:val="0006315B"/>
    <w:rsid w:val="000632FF"/>
    <w:rsid w:val="00066884"/>
    <w:rsid w:val="00070D07"/>
    <w:rsid w:val="00071294"/>
    <w:rsid w:val="00071615"/>
    <w:rsid w:val="00081021"/>
    <w:rsid w:val="000814F0"/>
    <w:rsid w:val="00081D5F"/>
    <w:rsid w:val="0008219B"/>
    <w:rsid w:val="00086BE3"/>
    <w:rsid w:val="00090F50"/>
    <w:rsid w:val="00095F0E"/>
    <w:rsid w:val="00096045"/>
    <w:rsid w:val="00096904"/>
    <w:rsid w:val="000A12C2"/>
    <w:rsid w:val="000A12C9"/>
    <w:rsid w:val="000A1606"/>
    <w:rsid w:val="000A3741"/>
    <w:rsid w:val="000A5FD5"/>
    <w:rsid w:val="000A779C"/>
    <w:rsid w:val="000B53AD"/>
    <w:rsid w:val="000B64EF"/>
    <w:rsid w:val="000C017F"/>
    <w:rsid w:val="000C2C18"/>
    <w:rsid w:val="000C3AF7"/>
    <w:rsid w:val="000C3F2A"/>
    <w:rsid w:val="000C4A10"/>
    <w:rsid w:val="000C564F"/>
    <w:rsid w:val="000C6C30"/>
    <w:rsid w:val="000C7321"/>
    <w:rsid w:val="000D0AF6"/>
    <w:rsid w:val="000D3D74"/>
    <w:rsid w:val="000D5E2F"/>
    <w:rsid w:val="000E01DD"/>
    <w:rsid w:val="000E091F"/>
    <w:rsid w:val="000E1836"/>
    <w:rsid w:val="000E1955"/>
    <w:rsid w:val="000E1E64"/>
    <w:rsid w:val="000E1EAC"/>
    <w:rsid w:val="000E2097"/>
    <w:rsid w:val="000E3A95"/>
    <w:rsid w:val="000E3AAB"/>
    <w:rsid w:val="000E4D2D"/>
    <w:rsid w:val="000F0DCE"/>
    <w:rsid w:val="000F1289"/>
    <w:rsid w:val="000F3B88"/>
    <w:rsid w:val="000F441B"/>
    <w:rsid w:val="000F5D91"/>
    <w:rsid w:val="00102771"/>
    <w:rsid w:val="00102D9D"/>
    <w:rsid w:val="0010314E"/>
    <w:rsid w:val="00105056"/>
    <w:rsid w:val="00106C97"/>
    <w:rsid w:val="00107E81"/>
    <w:rsid w:val="00110BD4"/>
    <w:rsid w:val="0011424F"/>
    <w:rsid w:val="00114D0F"/>
    <w:rsid w:val="0011574C"/>
    <w:rsid w:val="00115783"/>
    <w:rsid w:val="00116675"/>
    <w:rsid w:val="00116EF2"/>
    <w:rsid w:val="00117625"/>
    <w:rsid w:val="00120DE5"/>
    <w:rsid w:val="001218BA"/>
    <w:rsid w:val="001230FB"/>
    <w:rsid w:val="00123FBA"/>
    <w:rsid w:val="00124B7A"/>
    <w:rsid w:val="00124F00"/>
    <w:rsid w:val="00126288"/>
    <w:rsid w:val="00130E55"/>
    <w:rsid w:val="0013390C"/>
    <w:rsid w:val="001348F0"/>
    <w:rsid w:val="00140558"/>
    <w:rsid w:val="0014119D"/>
    <w:rsid w:val="0014239A"/>
    <w:rsid w:val="00147F04"/>
    <w:rsid w:val="00150F46"/>
    <w:rsid w:val="00154CE6"/>
    <w:rsid w:val="001557DC"/>
    <w:rsid w:val="00155F1F"/>
    <w:rsid w:val="00157F64"/>
    <w:rsid w:val="00160E8B"/>
    <w:rsid w:val="001628CB"/>
    <w:rsid w:val="00163C01"/>
    <w:rsid w:val="0016529B"/>
    <w:rsid w:val="001654DE"/>
    <w:rsid w:val="00170F57"/>
    <w:rsid w:val="00171416"/>
    <w:rsid w:val="001715FC"/>
    <w:rsid w:val="001730A8"/>
    <w:rsid w:val="00173172"/>
    <w:rsid w:val="001751E0"/>
    <w:rsid w:val="00176117"/>
    <w:rsid w:val="00177C74"/>
    <w:rsid w:val="0018024F"/>
    <w:rsid w:val="00183726"/>
    <w:rsid w:val="00185055"/>
    <w:rsid w:val="00185197"/>
    <w:rsid w:val="00185298"/>
    <w:rsid w:val="00193988"/>
    <w:rsid w:val="00194024"/>
    <w:rsid w:val="0019694E"/>
    <w:rsid w:val="00196C48"/>
    <w:rsid w:val="00197892"/>
    <w:rsid w:val="001A6747"/>
    <w:rsid w:val="001A7168"/>
    <w:rsid w:val="001A719F"/>
    <w:rsid w:val="001B04D1"/>
    <w:rsid w:val="001B182A"/>
    <w:rsid w:val="001B49F3"/>
    <w:rsid w:val="001C0A0D"/>
    <w:rsid w:val="001C1E85"/>
    <w:rsid w:val="001C2344"/>
    <w:rsid w:val="001C2642"/>
    <w:rsid w:val="001C2BAA"/>
    <w:rsid w:val="001D4CB9"/>
    <w:rsid w:val="001D5D9C"/>
    <w:rsid w:val="001D5F2F"/>
    <w:rsid w:val="001D6ACD"/>
    <w:rsid w:val="001E2508"/>
    <w:rsid w:val="001E52FC"/>
    <w:rsid w:val="001E54EE"/>
    <w:rsid w:val="001E66C9"/>
    <w:rsid w:val="001E6B14"/>
    <w:rsid w:val="001F3099"/>
    <w:rsid w:val="001F316B"/>
    <w:rsid w:val="001F47D7"/>
    <w:rsid w:val="001F4D55"/>
    <w:rsid w:val="001F57B4"/>
    <w:rsid w:val="001F581D"/>
    <w:rsid w:val="001F5890"/>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437C"/>
    <w:rsid w:val="00224EDB"/>
    <w:rsid w:val="002271ED"/>
    <w:rsid w:val="002273D3"/>
    <w:rsid w:val="00230307"/>
    <w:rsid w:val="002303E4"/>
    <w:rsid w:val="002305D3"/>
    <w:rsid w:val="00230C36"/>
    <w:rsid w:val="00230DF6"/>
    <w:rsid w:val="00233A6E"/>
    <w:rsid w:val="00234007"/>
    <w:rsid w:val="00234507"/>
    <w:rsid w:val="00235AC0"/>
    <w:rsid w:val="00235EBC"/>
    <w:rsid w:val="00236346"/>
    <w:rsid w:val="00247370"/>
    <w:rsid w:val="00247A06"/>
    <w:rsid w:val="00252153"/>
    <w:rsid w:val="00253951"/>
    <w:rsid w:val="00257D52"/>
    <w:rsid w:val="00257DCC"/>
    <w:rsid w:val="002601DD"/>
    <w:rsid w:val="00261222"/>
    <w:rsid w:val="00261791"/>
    <w:rsid w:val="00262F54"/>
    <w:rsid w:val="00270461"/>
    <w:rsid w:val="0027069E"/>
    <w:rsid w:val="002707D9"/>
    <w:rsid w:val="00271071"/>
    <w:rsid w:val="00272260"/>
    <w:rsid w:val="00273196"/>
    <w:rsid w:val="00273A58"/>
    <w:rsid w:val="00275F90"/>
    <w:rsid w:val="0028129B"/>
    <w:rsid w:val="00284D06"/>
    <w:rsid w:val="00284D9A"/>
    <w:rsid w:val="00286241"/>
    <w:rsid w:val="00286F5F"/>
    <w:rsid w:val="002910FD"/>
    <w:rsid w:val="002920DC"/>
    <w:rsid w:val="002924A9"/>
    <w:rsid w:val="002924E6"/>
    <w:rsid w:val="00293059"/>
    <w:rsid w:val="0029407B"/>
    <w:rsid w:val="00294456"/>
    <w:rsid w:val="00296213"/>
    <w:rsid w:val="00296B4D"/>
    <w:rsid w:val="002A0339"/>
    <w:rsid w:val="002A183B"/>
    <w:rsid w:val="002A2443"/>
    <w:rsid w:val="002A24CE"/>
    <w:rsid w:val="002A3ECD"/>
    <w:rsid w:val="002A4952"/>
    <w:rsid w:val="002A7B19"/>
    <w:rsid w:val="002B0F1B"/>
    <w:rsid w:val="002B1051"/>
    <w:rsid w:val="002B1ABA"/>
    <w:rsid w:val="002B5A8F"/>
    <w:rsid w:val="002B6B65"/>
    <w:rsid w:val="002B6C0E"/>
    <w:rsid w:val="002C04E8"/>
    <w:rsid w:val="002C0FDD"/>
    <w:rsid w:val="002C15A4"/>
    <w:rsid w:val="002C4309"/>
    <w:rsid w:val="002C4603"/>
    <w:rsid w:val="002C4AC3"/>
    <w:rsid w:val="002C6BC7"/>
    <w:rsid w:val="002C7929"/>
    <w:rsid w:val="002D22DD"/>
    <w:rsid w:val="002D3126"/>
    <w:rsid w:val="002D33E9"/>
    <w:rsid w:val="002D3996"/>
    <w:rsid w:val="002D5A72"/>
    <w:rsid w:val="002D5BC0"/>
    <w:rsid w:val="002D693C"/>
    <w:rsid w:val="002D6E26"/>
    <w:rsid w:val="002E0905"/>
    <w:rsid w:val="002E1B87"/>
    <w:rsid w:val="002E2102"/>
    <w:rsid w:val="002E26DB"/>
    <w:rsid w:val="002E47C9"/>
    <w:rsid w:val="002E49A9"/>
    <w:rsid w:val="002E5934"/>
    <w:rsid w:val="002E5CDA"/>
    <w:rsid w:val="002E654A"/>
    <w:rsid w:val="002F0534"/>
    <w:rsid w:val="002F15F5"/>
    <w:rsid w:val="002F3A96"/>
    <w:rsid w:val="00300053"/>
    <w:rsid w:val="0030029A"/>
    <w:rsid w:val="003025DD"/>
    <w:rsid w:val="003047A4"/>
    <w:rsid w:val="003069D8"/>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DBA"/>
    <w:rsid w:val="00330C8B"/>
    <w:rsid w:val="00331755"/>
    <w:rsid w:val="003321FE"/>
    <w:rsid w:val="0033323F"/>
    <w:rsid w:val="003339AE"/>
    <w:rsid w:val="00334F5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0841"/>
    <w:rsid w:val="00363701"/>
    <w:rsid w:val="00364F91"/>
    <w:rsid w:val="0036670F"/>
    <w:rsid w:val="00366948"/>
    <w:rsid w:val="003704DC"/>
    <w:rsid w:val="0037249E"/>
    <w:rsid w:val="00374176"/>
    <w:rsid w:val="00374BEE"/>
    <w:rsid w:val="0037738F"/>
    <w:rsid w:val="00381B82"/>
    <w:rsid w:val="003828ED"/>
    <w:rsid w:val="003829F1"/>
    <w:rsid w:val="00384277"/>
    <w:rsid w:val="00385FAB"/>
    <w:rsid w:val="00391008"/>
    <w:rsid w:val="003926BE"/>
    <w:rsid w:val="00392AC0"/>
    <w:rsid w:val="00392F03"/>
    <w:rsid w:val="00392FF5"/>
    <w:rsid w:val="00395AD7"/>
    <w:rsid w:val="00395D28"/>
    <w:rsid w:val="00395E16"/>
    <w:rsid w:val="0039631A"/>
    <w:rsid w:val="003A1FE4"/>
    <w:rsid w:val="003A2810"/>
    <w:rsid w:val="003A4D14"/>
    <w:rsid w:val="003A5867"/>
    <w:rsid w:val="003A65DE"/>
    <w:rsid w:val="003A7624"/>
    <w:rsid w:val="003B12D2"/>
    <w:rsid w:val="003C18EA"/>
    <w:rsid w:val="003C255A"/>
    <w:rsid w:val="003C30DF"/>
    <w:rsid w:val="003C5E65"/>
    <w:rsid w:val="003C6237"/>
    <w:rsid w:val="003C6C62"/>
    <w:rsid w:val="003C6EE5"/>
    <w:rsid w:val="003D1632"/>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2753"/>
    <w:rsid w:val="0043381C"/>
    <w:rsid w:val="004341CB"/>
    <w:rsid w:val="00441F8C"/>
    <w:rsid w:val="00442BAE"/>
    <w:rsid w:val="0044319C"/>
    <w:rsid w:val="004459C6"/>
    <w:rsid w:val="004460B7"/>
    <w:rsid w:val="00447FD7"/>
    <w:rsid w:val="00451F69"/>
    <w:rsid w:val="00453830"/>
    <w:rsid w:val="00454458"/>
    <w:rsid w:val="00454D4A"/>
    <w:rsid w:val="00456058"/>
    <w:rsid w:val="00460609"/>
    <w:rsid w:val="004612E6"/>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DFD"/>
    <w:rsid w:val="004A0022"/>
    <w:rsid w:val="004A00DA"/>
    <w:rsid w:val="004A64E2"/>
    <w:rsid w:val="004A69D3"/>
    <w:rsid w:val="004B0F6D"/>
    <w:rsid w:val="004B20DB"/>
    <w:rsid w:val="004B4386"/>
    <w:rsid w:val="004B6987"/>
    <w:rsid w:val="004B6BF6"/>
    <w:rsid w:val="004B7E32"/>
    <w:rsid w:val="004C0244"/>
    <w:rsid w:val="004C0C23"/>
    <w:rsid w:val="004C111D"/>
    <w:rsid w:val="004C672F"/>
    <w:rsid w:val="004D124F"/>
    <w:rsid w:val="004D2006"/>
    <w:rsid w:val="004D2106"/>
    <w:rsid w:val="004D4CB5"/>
    <w:rsid w:val="004D5D47"/>
    <w:rsid w:val="004D77DB"/>
    <w:rsid w:val="004D7D69"/>
    <w:rsid w:val="004E00FA"/>
    <w:rsid w:val="004E3DFE"/>
    <w:rsid w:val="004E4CEF"/>
    <w:rsid w:val="004E4F3C"/>
    <w:rsid w:val="004E5DF9"/>
    <w:rsid w:val="004E644B"/>
    <w:rsid w:val="004F017E"/>
    <w:rsid w:val="004F06FE"/>
    <w:rsid w:val="004F10C6"/>
    <w:rsid w:val="004F1C61"/>
    <w:rsid w:val="004F2B4D"/>
    <w:rsid w:val="004F33A2"/>
    <w:rsid w:val="004F7771"/>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488A"/>
    <w:rsid w:val="00525DA6"/>
    <w:rsid w:val="005261D9"/>
    <w:rsid w:val="005264E8"/>
    <w:rsid w:val="00530E4D"/>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6DE2"/>
    <w:rsid w:val="00557477"/>
    <w:rsid w:val="00561B3A"/>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180"/>
    <w:rsid w:val="00592459"/>
    <w:rsid w:val="005958D4"/>
    <w:rsid w:val="00597786"/>
    <w:rsid w:val="005A0C73"/>
    <w:rsid w:val="005A216A"/>
    <w:rsid w:val="005A22DF"/>
    <w:rsid w:val="005A43A6"/>
    <w:rsid w:val="005A59E5"/>
    <w:rsid w:val="005B0A20"/>
    <w:rsid w:val="005B17FC"/>
    <w:rsid w:val="005B618E"/>
    <w:rsid w:val="005B6F3C"/>
    <w:rsid w:val="005C0303"/>
    <w:rsid w:val="005C1410"/>
    <w:rsid w:val="005C3882"/>
    <w:rsid w:val="005C5220"/>
    <w:rsid w:val="005C5505"/>
    <w:rsid w:val="005C6FB7"/>
    <w:rsid w:val="005C763B"/>
    <w:rsid w:val="005C7C82"/>
    <w:rsid w:val="005D0C11"/>
    <w:rsid w:val="005D411C"/>
    <w:rsid w:val="005D7057"/>
    <w:rsid w:val="005E0981"/>
    <w:rsid w:val="005E1975"/>
    <w:rsid w:val="005E2831"/>
    <w:rsid w:val="005E6CE5"/>
    <w:rsid w:val="005F0553"/>
    <w:rsid w:val="005F2312"/>
    <w:rsid w:val="005F49F5"/>
    <w:rsid w:val="005F68FD"/>
    <w:rsid w:val="005F72E9"/>
    <w:rsid w:val="005F744C"/>
    <w:rsid w:val="00600E49"/>
    <w:rsid w:val="00600F23"/>
    <w:rsid w:val="00604D82"/>
    <w:rsid w:val="0061534E"/>
    <w:rsid w:val="0062393B"/>
    <w:rsid w:val="00623FF2"/>
    <w:rsid w:val="00625283"/>
    <w:rsid w:val="00625747"/>
    <w:rsid w:val="00626303"/>
    <w:rsid w:val="0062690C"/>
    <w:rsid w:val="006272EE"/>
    <w:rsid w:val="00627C4C"/>
    <w:rsid w:val="00630DF9"/>
    <w:rsid w:val="006311BA"/>
    <w:rsid w:val="006313C9"/>
    <w:rsid w:val="00632181"/>
    <w:rsid w:val="00632E6C"/>
    <w:rsid w:val="00635BD5"/>
    <w:rsid w:val="00636A69"/>
    <w:rsid w:val="0064093D"/>
    <w:rsid w:val="00640CF7"/>
    <w:rsid w:val="006413C3"/>
    <w:rsid w:val="00642074"/>
    <w:rsid w:val="00642CBF"/>
    <w:rsid w:val="00644813"/>
    <w:rsid w:val="00646160"/>
    <w:rsid w:val="00652E4B"/>
    <w:rsid w:val="00653587"/>
    <w:rsid w:val="0065360E"/>
    <w:rsid w:val="006544BC"/>
    <w:rsid w:val="00657245"/>
    <w:rsid w:val="00657CF2"/>
    <w:rsid w:val="0066114F"/>
    <w:rsid w:val="006625F0"/>
    <w:rsid w:val="00663103"/>
    <w:rsid w:val="00665443"/>
    <w:rsid w:val="00665BBD"/>
    <w:rsid w:val="00665BE8"/>
    <w:rsid w:val="00666970"/>
    <w:rsid w:val="006677B0"/>
    <w:rsid w:val="00670AF7"/>
    <w:rsid w:val="00670BE0"/>
    <w:rsid w:val="00676D30"/>
    <w:rsid w:val="006815B3"/>
    <w:rsid w:val="00684829"/>
    <w:rsid w:val="00687EC8"/>
    <w:rsid w:val="00690F32"/>
    <w:rsid w:val="00692812"/>
    <w:rsid w:val="00696C18"/>
    <w:rsid w:val="00696E2A"/>
    <w:rsid w:val="006A0AA9"/>
    <w:rsid w:val="006A0B57"/>
    <w:rsid w:val="006A0FCA"/>
    <w:rsid w:val="006A7A6C"/>
    <w:rsid w:val="006B0595"/>
    <w:rsid w:val="006B1945"/>
    <w:rsid w:val="006B34E1"/>
    <w:rsid w:val="006B3518"/>
    <w:rsid w:val="006B45E7"/>
    <w:rsid w:val="006B489F"/>
    <w:rsid w:val="006B5760"/>
    <w:rsid w:val="006B5C4C"/>
    <w:rsid w:val="006B6D3A"/>
    <w:rsid w:val="006B7CDD"/>
    <w:rsid w:val="006C06CB"/>
    <w:rsid w:val="006C10F7"/>
    <w:rsid w:val="006C472F"/>
    <w:rsid w:val="006C75AB"/>
    <w:rsid w:val="006C7A8B"/>
    <w:rsid w:val="006C7F1A"/>
    <w:rsid w:val="006D0461"/>
    <w:rsid w:val="006D063A"/>
    <w:rsid w:val="006D3032"/>
    <w:rsid w:val="006D43C4"/>
    <w:rsid w:val="006D4572"/>
    <w:rsid w:val="006D4C72"/>
    <w:rsid w:val="006D67A1"/>
    <w:rsid w:val="006D722B"/>
    <w:rsid w:val="006D7938"/>
    <w:rsid w:val="006E0E17"/>
    <w:rsid w:val="006E2C4F"/>
    <w:rsid w:val="006E5E65"/>
    <w:rsid w:val="006F16B8"/>
    <w:rsid w:val="006F3208"/>
    <w:rsid w:val="006F3DB5"/>
    <w:rsid w:val="006F5DC2"/>
    <w:rsid w:val="006F6AF8"/>
    <w:rsid w:val="00700254"/>
    <w:rsid w:val="0070328E"/>
    <w:rsid w:val="00705082"/>
    <w:rsid w:val="00705418"/>
    <w:rsid w:val="00705E2F"/>
    <w:rsid w:val="00706D4B"/>
    <w:rsid w:val="00707AC9"/>
    <w:rsid w:val="00710722"/>
    <w:rsid w:val="0071131D"/>
    <w:rsid w:val="00712BFD"/>
    <w:rsid w:val="00713F36"/>
    <w:rsid w:val="00720193"/>
    <w:rsid w:val="007204C5"/>
    <w:rsid w:val="00720DCC"/>
    <w:rsid w:val="007221E2"/>
    <w:rsid w:val="00722981"/>
    <w:rsid w:val="00726A81"/>
    <w:rsid w:val="00726C25"/>
    <w:rsid w:val="00727B75"/>
    <w:rsid w:val="00727C4C"/>
    <w:rsid w:val="00731DCF"/>
    <w:rsid w:val="00732BA3"/>
    <w:rsid w:val="00733068"/>
    <w:rsid w:val="007338D1"/>
    <w:rsid w:val="00733E81"/>
    <w:rsid w:val="00736099"/>
    <w:rsid w:val="00737244"/>
    <w:rsid w:val="007458A7"/>
    <w:rsid w:val="00745C2A"/>
    <w:rsid w:val="00753B7A"/>
    <w:rsid w:val="00754B79"/>
    <w:rsid w:val="00755318"/>
    <w:rsid w:val="007569B6"/>
    <w:rsid w:val="00756E0D"/>
    <w:rsid w:val="007571C2"/>
    <w:rsid w:val="00757CF5"/>
    <w:rsid w:val="007610BA"/>
    <w:rsid w:val="00761D9E"/>
    <w:rsid w:val="00761FA7"/>
    <w:rsid w:val="00762EB3"/>
    <w:rsid w:val="00763355"/>
    <w:rsid w:val="00763D7C"/>
    <w:rsid w:val="0076525B"/>
    <w:rsid w:val="00766386"/>
    <w:rsid w:val="00766BC0"/>
    <w:rsid w:val="00766C91"/>
    <w:rsid w:val="00766CF8"/>
    <w:rsid w:val="00772430"/>
    <w:rsid w:val="0077388E"/>
    <w:rsid w:val="00773AAE"/>
    <w:rsid w:val="00775591"/>
    <w:rsid w:val="00775826"/>
    <w:rsid w:val="007776FF"/>
    <w:rsid w:val="0077775C"/>
    <w:rsid w:val="00781994"/>
    <w:rsid w:val="00783E42"/>
    <w:rsid w:val="00784A8B"/>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7FB"/>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1C2"/>
    <w:rsid w:val="00812BA7"/>
    <w:rsid w:val="0081785F"/>
    <w:rsid w:val="00820FD1"/>
    <w:rsid w:val="0082139E"/>
    <w:rsid w:val="00821DF4"/>
    <w:rsid w:val="008233A8"/>
    <w:rsid w:val="008246AB"/>
    <w:rsid w:val="008274A6"/>
    <w:rsid w:val="00831AB2"/>
    <w:rsid w:val="00832FE5"/>
    <w:rsid w:val="00834122"/>
    <w:rsid w:val="00834B98"/>
    <w:rsid w:val="00836245"/>
    <w:rsid w:val="00836C74"/>
    <w:rsid w:val="008378A3"/>
    <w:rsid w:val="00837FA9"/>
    <w:rsid w:val="00841BB6"/>
    <w:rsid w:val="0084371A"/>
    <w:rsid w:val="0084669D"/>
    <w:rsid w:val="00846F26"/>
    <w:rsid w:val="0084771B"/>
    <w:rsid w:val="0085095D"/>
    <w:rsid w:val="00851A68"/>
    <w:rsid w:val="008526BD"/>
    <w:rsid w:val="00854763"/>
    <w:rsid w:val="0085560F"/>
    <w:rsid w:val="00856B35"/>
    <w:rsid w:val="008574FB"/>
    <w:rsid w:val="0086121B"/>
    <w:rsid w:val="008615AA"/>
    <w:rsid w:val="008628C4"/>
    <w:rsid w:val="00865470"/>
    <w:rsid w:val="00867EAC"/>
    <w:rsid w:val="00872693"/>
    <w:rsid w:val="00875F92"/>
    <w:rsid w:val="00876890"/>
    <w:rsid w:val="00876B1D"/>
    <w:rsid w:val="00880E23"/>
    <w:rsid w:val="008827A5"/>
    <w:rsid w:val="00883096"/>
    <w:rsid w:val="0088405B"/>
    <w:rsid w:val="00890603"/>
    <w:rsid w:val="00890D68"/>
    <w:rsid w:val="008948FF"/>
    <w:rsid w:val="0089565B"/>
    <w:rsid w:val="008958F2"/>
    <w:rsid w:val="008A04DA"/>
    <w:rsid w:val="008A0776"/>
    <w:rsid w:val="008A099F"/>
    <w:rsid w:val="008A0E0A"/>
    <w:rsid w:val="008A472E"/>
    <w:rsid w:val="008A4A98"/>
    <w:rsid w:val="008A509C"/>
    <w:rsid w:val="008A69B2"/>
    <w:rsid w:val="008B1556"/>
    <w:rsid w:val="008B326B"/>
    <w:rsid w:val="008B3FFD"/>
    <w:rsid w:val="008B4AA8"/>
    <w:rsid w:val="008B5038"/>
    <w:rsid w:val="008B6E91"/>
    <w:rsid w:val="008C1333"/>
    <w:rsid w:val="008C19EE"/>
    <w:rsid w:val="008C308C"/>
    <w:rsid w:val="008C535C"/>
    <w:rsid w:val="008C7E0F"/>
    <w:rsid w:val="008D03DA"/>
    <w:rsid w:val="008D1209"/>
    <w:rsid w:val="008D2CA9"/>
    <w:rsid w:val="008D2DA8"/>
    <w:rsid w:val="008D2DB2"/>
    <w:rsid w:val="008D2E6F"/>
    <w:rsid w:val="008E040E"/>
    <w:rsid w:val="008E09B8"/>
    <w:rsid w:val="008E3A95"/>
    <w:rsid w:val="008E4025"/>
    <w:rsid w:val="008E4A54"/>
    <w:rsid w:val="008E4DD4"/>
    <w:rsid w:val="008E6058"/>
    <w:rsid w:val="008E6A17"/>
    <w:rsid w:val="008F2574"/>
    <w:rsid w:val="008F37BE"/>
    <w:rsid w:val="008F4562"/>
    <w:rsid w:val="008F67F7"/>
    <w:rsid w:val="008F6ADE"/>
    <w:rsid w:val="0090139D"/>
    <w:rsid w:val="009020BE"/>
    <w:rsid w:val="0090343D"/>
    <w:rsid w:val="00903BE2"/>
    <w:rsid w:val="00904BA1"/>
    <w:rsid w:val="009059FD"/>
    <w:rsid w:val="00906022"/>
    <w:rsid w:val="00910CE2"/>
    <w:rsid w:val="0091102F"/>
    <w:rsid w:val="009115DE"/>
    <w:rsid w:val="00913EDB"/>
    <w:rsid w:val="00915507"/>
    <w:rsid w:val="009169B6"/>
    <w:rsid w:val="00916A3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674E"/>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AB0"/>
    <w:rsid w:val="00984E7A"/>
    <w:rsid w:val="00985B0B"/>
    <w:rsid w:val="00991BE6"/>
    <w:rsid w:val="0099237C"/>
    <w:rsid w:val="0099352B"/>
    <w:rsid w:val="00995500"/>
    <w:rsid w:val="0099681B"/>
    <w:rsid w:val="00997F04"/>
    <w:rsid w:val="009A143F"/>
    <w:rsid w:val="009A3E79"/>
    <w:rsid w:val="009A5024"/>
    <w:rsid w:val="009A7E98"/>
    <w:rsid w:val="009B1265"/>
    <w:rsid w:val="009B15BA"/>
    <w:rsid w:val="009B1FF9"/>
    <w:rsid w:val="009B2E80"/>
    <w:rsid w:val="009B43DE"/>
    <w:rsid w:val="009B4BB4"/>
    <w:rsid w:val="009B56E5"/>
    <w:rsid w:val="009B6537"/>
    <w:rsid w:val="009C2505"/>
    <w:rsid w:val="009C5162"/>
    <w:rsid w:val="009D15B1"/>
    <w:rsid w:val="009D1B99"/>
    <w:rsid w:val="009D4251"/>
    <w:rsid w:val="009D57A8"/>
    <w:rsid w:val="009D5AC0"/>
    <w:rsid w:val="009D5EA2"/>
    <w:rsid w:val="009D70B4"/>
    <w:rsid w:val="009D7A09"/>
    <w:rsid w:val="009E07F6"/>
    <w:rsid w:val="009E31C2"/>
    <w:rsid w:val="009E3852"/>
    <w:rsid w:val="009E4764"/>
    <w:rsid w:val="009E544F"/>
    <w:rsid w:val="009E5CB7"/>
    <w:rsid w:val="009E66E8"/>
    <w:rsid w:val="009E7B20"/>
    <w:rsid w:val="009F2D0C"/>
    <w:rsid w:val="009F5172"/>
    <w:rsid w:val="009F5D6E"/>
    <w:rsid w:val="009F6C26"/>
    <w:rsid w:val="00A00A33"/>
    <w:rsid w:val="00A01933"/>
    <w:rsid w:val="00A03AB5"/>
    <w:rsid w:val="00A042B8"/>
    <w:rsid w:val="00A06B29"/>
    <w:rsid w:val="00A11793"/>
    <w:rsid w:val="00A13D95"/>
    <w:rsid w:val="00A1750E"/>
    <w:rsid w:val="00A17630"/>
    <w:rsid w:val="00A2171C"/>
    <w:rsid w:val="00A2271E"/>
    <w:rsid w:val="00A2434F"/>
    <w:rsid w:val="00A24C05"/>
    <w:rsid w:val="00A24FDD"/>
    <w:rsid w:val="00A258BD"/>
    <w:rsid w:val="00A25CBA"/>
    <w:rsid w:val="00A26A2F"/>
    <w:rsid w:val="00A311D3"/>
    <w:rsid w:val="00A32117"/>
    <w:rsid w:val="00A33E7A"/>
    <w:rsid w:val="00A3454E"/>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E64"/>
    <w:rsid w:val="00A70430"/>
    <w:rsid w:val="00A70CDF"/>
    <w:rsid w:val="00A71EFE"/>
    <w:rsid w:val="00A73B4D"/>
    <w:rsid w:val="00A7536E"/>
    <w:rsid w:val="00A75FCD"/>
    <w:rsid w:val="00A7628F"/>
    <w:rsid w:val="00A774F3"/>
    <w:rsid w:val="00A77B2F"/>
    <w:rsid w:val="00A80D38"/>
    <w:rsid w:val="00A811F0"/>
    <w:rsid w:val="00A814AF"/>
    <w:rsid w:val="00A81EFD"/>
    <w:rsid w:val="00A82835"/>
    <w:rsid w:val="00A8327C"/>
    <w:rsid w:val="00A84826"/>
    <w:rsid w:val="00A850CE"/>
    <w:rsid w:val="00A8540F"/>
    <w:rsid w:val="00A87399"/>
    <w:rsid w:val="00A87C30"/>
    <w:rsid w:val="00A903A4"/>
    <w:rsid w:val="00A90B05"/>
    <w:rsid w:val="00A93CA5"/>
    <w:rsid w:val="00A946DB"/>
    <w:rsid w:val="00A94E4C"/>
    <w:rsid w:val="00AA092F"/>
    <w:rsid w:val="00AA385C"/>
    <w:rsid w:val="00AA5F6D"/>
    <w:rsid w:val="00AB11CA"/>
    <w:rsid w:val="00AB1BD1"/>
    <w:rsid w:val="00AB1EFE"/>
    <w:rsid w:val="00AB49DF"/>
    <w:rsid w:val="00AB70D9"/>
    <w:rsid w:val="00AB74F0"/>
    <w:rsid w:val="00AC0562"/>
    <w:rsid w:val="00AC0E7E"/>
    <w:rsid w:val="00AC4F0A"/>
    <w:rsid w:val="00AC5A33"/>
    <w:rsid w:val="00AC6ED9"/>
    <w:rsid w:val="00AC6FCA"/>
    <w:rsid w:val="00AC7A58"/>
    <w:rsid w:val="00AD06C4"/>
    <w:rsid w:val="00AD1F12"/>
    <w:rsid w:val="00AD32FF"/>
    <w:rsid w:val="00AD3E8F"/>
    <w:rsid w:val="00AD41F8"/>
    <w:rsid w:val="00AD4E45"/>
    <w:rsid w:val="00AD7511"/>
    <w:rsid w:val="00AD7CD9"/>
    <w:rsid w:val="00AE3D21"/>
    <w:rsid w:val="00AE4747"/>
    <w:rsid w:val="00AE654D"/>
    <w:rsid w:val="00AE69DC"/>
    <w:rsid w:val="00AF5E05"/>
    <w:rsid w:val="00AF601F"/>
    <w:rsid w:val="00B0058A"/>
    <w:rsid w:val="00B02383"/>
    <w:rsid w:val="00B03E45"/>
    <w:rsid w:val="00B04AD3"/>
    <w:rsid w:val="00B05E39"/>
    <w:rsid w:val="00B07D3A"/>
    <w:rsid w:val="00B07D41"/>
    <w:rsid w:val="00B11188"/>
    <w:rsid w:val="00B11363"/>
    <w:rsid w:val="00B14866"/>
    <w:rsid w:val="00B162AD"/>
    <w:rsid w:val="00B1686D"/>
    <w:rsid w:val="00B17416"/>
    <w:rsid w:val="00B1791B"/>
    <w:rsid w:val="00B20F4C"/>
    <w:rsid w:val="00B229CB"/>
    <w:rsid w:val="00B2528C"/>
    <w:rsid w:val="00B26C8D"/>
    <w:rsid w:val="00B30389"/>
    <w:rsid w:val="00B318EF"/>
    <w:rsid w:val="00B3196B"/>
    <w:rsid w:val="00B32378"/>
    <w:rsid w:val="00B324BE"/>
    <w:rsid w:val="00B33307"/>
    <w:rsid w:val="00B345C3"/>
    <w:rsid w:val="00B34B54"/>
    <w:rsid w:val="00B36B5A"/>
    <w:rsid w:val="00B37A94"/>
    <w:rsid w:val="00B410AD"/>
    <w:rsid w:val="00B427FF"/>
    <w:rsid w:val="00B429B6"/>
    <w:rsid w:val="00B449DC"/>
    <w:rsid w:val="00B45957"/>
    <w:rsid w:val="00B45F72"/>
    <w:rsid w:val="00B52DB8"/>
    <w:rsid w:val="00B53C4C"/>
    <w:rsid w:val="00B5477F"/>
    <w:rsid w:val="00B55F2E"/>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0EC6"/>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6F9F"/>
    <w:rsid w:val="00BD7C19"/>
    <w:rsid w:val="00BE19C2"/>
    <w:rsid w:val="00BE253F"/>
    <w:rsid w:val="00BE3209"/>
    <w:rsid w:val="00BE34C3"/>
    <w:rsid w:val="00BE3FF2"/>
    <w:rsid w:val="00BE4BE4"/>
    <w:rsid w:val="00BE5508"/>
    <w:rsid w:val="00BE5C18"/>
    <w:rsid w:val="00BE6294"/>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261"/>
    <w:rsid w:val="00C1441D"/>
    <w:rsid w:val="00C152C9"/>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84E"/>
    <w:rsid w:val="00C61E65"/>
    <w:rsid w:val="00C62247"/>
    <w:rsid w:val="00C624EB"/>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97BC6"/>
    <w:rsid w:val="00CA137A"/>
    <w:rsid w:val="00CA17AB"/>
    <w:rsid w:val="00CA1825"/>
    <w:rsid w:val="00CA2132"/>
    <w:rsid w:val="00CA2A54"/>
    <w:rsid w:val="00CA2F29"/>
    <w:rsid w:val="00CA387D"/>
    <w:rsid w:val="00CA44D3"/>
    <w:rsid w:val="00CA498E"/>
    <w:rsid w:val="00CA4B4D"/>
    <w:rsid w:val="00CB20C0"/>
    <w:rsid w:val="00CB314F"/>
    <w:rsid w:val="00CB41BB"/>
    <w:rsid w:val="00CB465C"/>
    <w:rsid w:val="00CB5734"/>
    <w:rsid w:val="00CB629C"/>
    <w:rsid w:val="00CC1622"/>
    <w:rsid w:val="00CC2854"/>
    <w:rsid w:val="00CC37B5"/>
    <w:rsid w:val="00CC40E7"/>
    <w:rsid w:val="00CC6058"/>
    <w:rsid w:val="00CC66F1"/>
    <w:rsid w:val="00CC7B5B"/>
    <w:rsid w:val="00CD06C7"/>
    <w:rsid w:val="00CE02E1"/>
    <w:rsid w:val="00CE0657"/>
    <w:rsid w:val="00CE134C"/>
    <w:rsid w:val="00CE3785"/>
    <w:rsid w:val="00CE3B3E"/>
    <w:rsid w:val="00CE3EDF"/>
    <w:rsid w:val="00CE5F0E"/>
    <w:rsid w:val="00CF01CD"/>
    <w:rsid w:val="00CF05ED"/>
    <w:rsid w:val="00CF72F5"/>
    <w:rsid w:val="00D01545"/>
    <w:rsid w:val="00D02B71"/>
    <w:rsid w:val="00D0523D"/>
    <w:rsid w:val="00D14255"/>
    <w:rsid w:val="00D153D4"/>
    <w:rsid w:val="00D16098"/>
    <w:rsid w:val="00D17BCE"/>
    <w:rsid w:val="00D20C7E"/>
    <w:rsid w:val="00D23C19"/>
    <w:rsid w:val="00D25AB2"/>
    <w:rsid w:val="00D30A84"/>
    <w:rsid w:val="00D30E9F"/>
    <w:rsid w:val="00D31D26"/>
    <w:rsid w:val="00D33E0D"/>
    <w:rsid w:val="00D346AB"/>
    <w:rsid w:val="00D35EDA"/>
    <w:rsid w:val="00D3618B"/>
    <w:rsid w:val="00D3646B"/>
    <w:rsid w:val="00D36C6D"/>
    <w:rsid w:val="00D36DD4"/>
    <w:rsid w:val="00D3701B"/>
    <w:rsid w:val="00D379C0"/>
    <w:rsid w:val="00D37C97"/>
    <w:rsid w:val="00D37D12"/>
    <w:rsid w:val="00D42513"/>
    <w:rsid w:val="00D44DF6"/>
    <w:rsid w:val="00D460FE"/>
    <w:rsid w:val="00D47D0F"/>
    <w:rsid w:val="00D509E5"/>
    <w:rsid w:val="00D537B2"/>
    <w:rsid w:val="00D56B92"/>
    <w:rsid w:val="00D6327C"/>
    <w:rsid w:val="00D63801"/>
    <w:rsid w:val="00D656DA"/>
    <w:rsid w:val="00D66175"/>
    <w:rsid w:val="00D760BA"/>
    <w:rsid w:val="00D812F1"/>
    <w:rsid w:val="00D814DE"/>
    <w:rsid w:val="00D84E91"/>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2EE2"/>
    <w:rsid w:val="00DC3E47"/>
    <w:rsid w:val="00DC4C5F"/>
    <w:rsid w:val="00DC658B"/>
    <w:rsid w:val="00DC766D"/>
    <w:rsid w:val="00DD04BB"/>
    <w:rsid w:val="00DD2128"/>
    <w:rsid w:val="00DD26CC"/>
    <w:rsid w:val="00DD43A0"/>
    <w:rsid w:val="00DD5D1E"/>
    <w:rsid w:val="00DD649A"/>
    <w:rsid w:val="00DD66C0"/>
    <w:rsid w:val="00DE25F1"/>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1CBB"/>
    <w:rsid w:val="00E12691"/>
    <w:rsid w:val="00E149D0"/>
    <w:rsid w:val="00E1634B"/>
    <w:rsid w:val="00E206ED"/>
    <w:rsid w:val="00E2074E"/>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4DF1"/>
    <w:rsid w:val="00E553C5"/>
    <w:rsid w:val="00E5571E"/>
    <w:rsid w:val="00E5577D"/>
    <w:rsid w:val="00E55AE4"/>
    <w:rsid w:val="00E55E7E"/>
    <w:rsid w:val="00E563D8"/>
    <w:rsid w:val="00E56B73"/>
    <w:rsid w:val="00E62017"/>
    <w:rsid w:val="00E623A5"/>
    <w:rsid w:val="00E626B2"/>
    <w:rsid w:val="00E63A64"/>
    <w:rsid w:val="00E64075"/>
    <w:rsid w:val="00E64577"/>
    <w:rsid w:val="00E673E6"/>
    <w:rsid w:val="00E67B96"/>
    <w:rsid w:val="00E7139D"/>
    <w:rsid w:val="00E72FD1"/>
    <w:rsid w:val="00E741C6"/>
    <w:rsid w:val="00E750D6"/>
    <w:rsid w:val="00E761D9"/>
    <w:rsid w:val="00E84642"/>
    <w:rsid w:val="00E87AC5"/>
    <w:rsid w:val="00E909A2"/>
    <w:rsid w:val="00E91F60"/>
    <w:rsid w:val="00E92C2C"/>
    <w:rsid w:val="00E92CD7"/>
    <w:rsid w:val="00E9302B"/>
    <w:rsid w:val="00E95115"/>
    <w:rsid w:val="00E96407"/>
    <w:rsid w:val="00E96BD7"/>
    <w:rsid w:val="00EA13B5"/>
    <w:rsid w:val="00EA221B"/>
    <w:rsid w:val="00EA25C7"/>
    <w:rsid w:val="00EA26CF"/>
    <w:rsid w:val="00EA2900"/>
    <w:rsid w:val="00EA3C73"/>
    <w:rsid w:val="00EA4185"/>
    <w:rsid w:val="00EA689F"/>
    <w:rsid w:val="00EA6A8C"/>
    <w:rsid w:val="00EA72A9"/>
    <w:rsid w:val="00EB0615"/>
    <w:rsid w:val="00EB0927"/>
    <w:rsid w:val="00EB0FD8"/>
    <w:rsid w:val="00EB1D98"/>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1897"/>
    <w:rsid w:val="00ED3583"/>
    <w:rsid w:val="00ED4AFC"/>
    <w:rsid w:val="00ED51DC"/>
    <w:rsid w:val="00ED671E"/>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27E81"/>
    <w:rsid w:val="00F31CF2"/>
    <w:rsid w:val="00F3226A"/>
    <w:rsid w:val="00F32E0B"/>
    <w:rsid w:val="00F33C62"/>
    <w:rsid w:val="00F34E17"/>
    <w:rsid w:val="00F35F53"/>
    <w:rsid w:val="00F36C53"/>
    <w:rsid w:val="00F36F65"/>
    <w:rsid w:val="00F40E6F"/>
    <w:rsid w:val="00F41882"/>
    <w:rsid w:val="00F42182"/>
    <w:rsid w:val="00F46447"/>
    <w:rsid w:val="00F573B4"/>
    <w:rsid w:val="00F578D2"/>
    <w:rsid w:val="00F6005B"/>
    <w:rsid w:val="00F6060C"/>
    <w:rsid w:val="00F641BE"/>
    <w:rsid w:val="00F64AB8"/>
    <w:rsid w:val="00F6511D"/>
    <w:rsid w:val="00F673B7"/>
    <w:rsid w:val="00F70CF8"/>
    <w:rsid w:val="00F76392"/>
    <w:rsid w:val="00F77FCD"/>
    <w:rsid w:val="00F81585"/>
    <w:rsid w:val="00F81DFE"/>
    <w:rsid w:val="00F85578"/>
    <w:rsid w:val="00F85A4F"/>
    <w:rsid w:val="00F85B48"/>
    <w:rsid w:val="00F86558"/>
    <w:rsid w:val="00F865F1"/>
    <w:rsid w:val="00F86670"/>
    <w:rsid w:val="00F91F56"/>
    <w:rsid w:val="00F92406"/>
    <w:rsid w:val="00F92876"/>
    <w:rsid w:val="00F92AC9"/>
    <w:rsid w:val="00F941F3"/>
    <w:rsid w:val="00F94A41"/>
    <w:rsid w:val="00F95715"/>
    <w:rsid w:val="00F95B38"/>
    <w:rsid w:val="00F96821"/>
    <w:rsid w:val="00F969CD"/>
    <w:rsid w:val="00F9747E"/>
    <w:rsid w:val="00FA0273"/>
    <w:rsid w:val="00FA0DC7"/>
    <w:rsid w:val="00FA11D9"/>
    <w:rsid w:val="00FA21E7"/>
    <w:rsid w:val="00FA59E0"/>
    <w:rsid w:val="00FB008A"/>
    <w:rsid w:val="00FB0530"/>
    <w:rsid w:val="00FB0FD6"/>
    <w:rsid w:val="00FB2D8C"/>
    <w:rsid w:val="00FB45CA"/>
    <w:rsid w:val="00FB5D57"/>
    <w:rsid w:val="00FC02FD"/>
    <w:rsid w:val="00FC0BCD"/>
    <w:rsid w:val="00FC14DF"/>
    <w:rsid w:val="00FC3428"/>
    <w:rsid w:val="00FC6E8A"/>
    <w:rsid w:val="00FC7F35"/>
    <w:rsid w:val="00FD027C"/>
    <w:rsid w:val="00FD0496"/>
    <w:rsid w:val="00FD0EC9"/>
    <w:rsid w:val="00FD41A0"/>
    <w:rsid w:val="00FD422A"/>
    <w:rsid w:val="00FD56E5"/>
    <w:rsid w:val="00FD6FCF"/>
    <w:rsid w:val="00FD7282"/>
    <w:rsid w:val="00FD7303"/>
    <w:rsid w:val="00FE0C0A"/>
    <w:rsid w:val="00FE2697"/>
    <w:rsid w:val="00FE26AA"/>
    <w:rsid w:val="00FE27ED"/>
    <w:rsid w:val="00FE3403"/>
    <w:rsid w:val="00FE44B6"/>
    <w:rsid w:val="00FE57B0"/>
    <w:rsid w:val="00FE681F"/>
    <w:rsid w:val="00FE7075"/>
    <w:rsid w:val="00FF0BC8"/>
    <w:rsid w:val="00FF1A23"/>
    <w:rsid w:val="00FF2A30"/>
    <w:rsid w:val="00FF38B6"/>
    <w:rsid w:val="00FF3E6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07603-7A3E-415B-B251-41D837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1996">
      <w:bodyDiv w:val="1"/>
      <w:marLeft w:val="0"/>
      <w:marRight w:val="0"/>
      <w:marTop w:val="0"/>
      <w:marBottom w:val="0"/>
      <w:divBdr>
        <w:top w:val="none" w:sz="0" w:space="0" w:color="auto"/>
        <w:left w:val="none" w:sz="0" w:space="0" w:color="auto"/>
        <w:bottom w:val="none" w:sz="0" w:space="0" w:color="auto"/>
        <w:right w:val="none" w:sz="0" w:space="0" w:color="auto"/>
      </w:divBdr>
    </w:div>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655843241">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nel@cornelbothaattorneys.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lly@brooklynadvocates.co.za" TargetMode="Externa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D6564-FD26-462A-83CF-DC1FF35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8</Pages>
  <Words>1958</Words>
  <Characters>11165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Judgment - Limbada &amp; 6 Others v Jazz Spirit</vt:lpstr>
      <vt:lpstr>The applicant is the executor in the deceased estate of the late Mr Jeremiah Jer</vt:lpstr>
      <vt:lpstr>During 2005, the first respondent, through fraudulent means and by misrepresenti</vt:lpstr>
      <vt:lpstr>In this opposed application, the applicant applies for vindicatory relief in rel</vt:lpstr>
      <vt:lpstr>The application is based on the provisions of section 6 of the Deeds Registries </vt:lpstr>
      <vt:lpstr>I interpose here to note that, although the applicant’s application was duly ser</vt:lpstr>
      <vt:lpstr>Section 6 of the Act provides as follows:</vt:lpstr>
      <vt:lpstr>‘6	Registered deeds not to be cancelled except upon an order of court –</vt:lpstr>
      <vt:lpstr>(1)	Save as is otherwise provided in this Act or in any other law no registered </vt:lpstr>
      <vt:lpstr>(2)	Upon the cancellation of any deed conferring or conveying title to land or a</vt:lpstr>
      <vt:lpstr>The question to be decided in this application is whether the transfer of the pr</vt:lpstr>
      <vt:lpstr>As already indicated, the late Jeremiah Jerry Radebe divorced from the first res</vt:lpstr>
      <vt:lpstr>When this fraudulent conduct by the first respondent came to the attention of th</vt:lpstr>
      <vt:lpstr>As correctly pointed out by Mr Kellerman SC, who appeared on behalf of the appli</vt:lpstr>
      <vt:lpstr>Moreover, it is trite that the requirements for transfer are twofold: (1) delive</vt:lpstr>
      <vt:lpstr>If there is any defect in the real agreement, that is the lack of intention on t</vt:lpstr>
      <vt:lpstr>For all of these reasons, I am of the view that the applicant is entitled to vin</vt:lpstr>
    </vt:vector>
  </TitlesOfParts>
  <Company>.</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Lazarus Rakgwale</cp:lastModifiedBy>
  <cp:revision>2</cp:revision>
  <cp:lastPrinted>2020-04-20T08:27:00Z</cp:lastPrinted>
  <dcterms:created xsi:type="dcterms:W3CDTF">2022-10-03T12:16:00Z</dcterms:created>
  <dcterms:modified xsi:type="dcterms:W3CDTF">2022-10-03T12:16:00Z</dcterms:modified>
</cp:coreProperties>
</file>